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5" w:rsidRPr="00511FFD" w:rsidRDefault="0004779E" w:rsidP="003E69EB">
      <w:pPr>
        <w:rPr>
          <w:rFonts w:ascii="Arial" w:hAnsi="Arial" w:cs="Arial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-296545</wp:posOffset>
            </wp:positionV>
            <wp:extent cx="791210" cy="559435"/>
            <wp:effectExtent l="0" t="0" r="8890" b="0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055" w:rsidRPr="00511FFD" w:rsidRDefault="004C6055" w:rsidP="003E69EB">
      <w:pPr>
        <w:rPr>
          <w:rFonts w:ascii="Arial" w:hAnsi="Arial" w:cs="Arial"/>
          <w:sz w:val="22"/>
        </w:rPr>
      </w:pPr>
    </w:p>
    <w:p w:rsidR="004C6055" w:rsidRPr="00511FFD" w:rsidRDefault="004C6055" w:rsidP="003E69EB">
      <w:pPr>
        <w:rPr>
          <w:rFonts w:ascii="Arial" w:hAnsi="Arial" w:cs="Arial"/>
          <w:b/>
          <w:szCs w:val="24"/>
        </w:rPr>
      </w:pPr>
    </w:p>
    <w:p w:rsidR="004C6055" w:rsidRPr="004E6B66" w:rsidRDefault="004C6055" w:rsidP="003E69EB">
      <w:pPr>
        <w:jc w:val="center"/>
        <w:rPr>
          <w:rFonts w:ascii="Arial" w:hAnsi="Arial" w:cs="Arial"/>
          <w:b/>
          <w:sz w:val="28"/>
          <w:szCs w:val="28"/>
        </w:rPr>
      </w:pPr>
      <w:r w:rsidRPr="004E6B66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4E6B66" w:rsidRPr="00BE783E" w:rsidRDefault="004E6B66" w:rsidP="003E69EB">
      <w:pPr>
        <w:jc w:val="center"/>
        <w:rPr>
          <w:rFonts w:ascii="Arial" w:hAnsi="Arial" w:cs="Arial"/>
          <w:b/>
          <w:szCs w:val="24"/>
        </w:rPr>
      </w:pPr>
    </w:p>
    <w:p w:rsidR="004E6B66" w:rsidRDefault="00C25638" w:rsidP="003E69EB">
      <w:pPr>
        <w:pStyle w:val="NadpisKZ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13/</w:t>
      </w:r>
      <w:r w:rsidR="00BB4CD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9</w:t>
      </w:r>
    </w:p>
    <w:p w:rsidR="003E69EB" w:rsidRPr="00293E6A" w:rsidRDefault="003E69EB" w:rsidP="003E69EB">
      <w:pPr>
        <w:pStyle w:val="NadpisKZ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B4CD6" w:rsidRPr="00BB4CD6" w:rsidRDefault="00BB4CD6" w:rsidP="003E69EB">
      <w:pPr>
        <w:jc w:val="center"/>
        <w:rPr>
          <w:rFonts w:ascii="Arial" w:hAnsi="Arial" w:cs="Arial"/>
          <w:b/>
          <w:sz w:val="28"/>
          <w:szCs w:val="28"/>
        </w:rPr>
      </w:pPr>
      <w:r w:rsidRPr="00BB4CD6">
        <w:rPr>
          <w:rFonts w:ascii="Arial" w:hAnsi="Arial" w:cs="Arial"/>
          <w:b/>
          <w:sz w:val="28"/>
          <w:szCs w:val="28"/>
        </w:rPr>
        <w:t xml:space="preserve">Závěrečný účet kapitoly státního rozpočtu </w:t>
      </w:r>
      <w:r w:rsidRPr="00295352">
        <w:rPr>
          <w:rFonts w:ascii="Arial" w:hAnsi="Arial" w:cs="Arial"/>
          <w:b/>
          <w:i/>
          <w:sz w:val="28"/>
          <w:szCs w:val="28"/>
        </w:rPr>
        <w:t>Ministerstvo dopravy</w:t>
      </w:r>
      <w:r w:rsidRPr="00BB4CD6">
        <w:rPr>
          <w:rFonts w:ascii="Arial" w:hAnsi="Arial" w:cs="Arial"/>
          <w:b/>
          <w:sz w:val="28"/>
          <w:szCs w:val="28"/>
        </w:rPr>
        <w:t xml:space="preserve"> za rok 2013, účetní závěrka a finanční výkazy Ministerstva dopravy za rok 2013</w:t>
      </w:r>
    </w:p>
    <w:p w:rsidR="00CC5B64" w:rsidRDefault="00CC5B64" w:rsidP="003E69EB">
      <w:pPr>
        <w:rPr>
          <w:rFonts w:ascii="Arial" w:hAnsi="Arial" w:cs="Arial"/>
          <w:b/>
        </w:rPr>
      </w:pPr>
    </w:p>
    <w:p w:rsidR="003E69EB" w:rsidRPr="003A331B" w:rsidRDefault="003E69EB" w:rsidP="003E69EB">
      <w:pPr>
        <w:rPr>
          <w:rFonts w:ascii="Arial" w:hAnsi="Arial" w:cs="Arial"/>
          <w:b/>
        </w:rPr>
      </w:pPr>
    </w:p>
    <w:p w:rsidR="00CC5B64" w:rsidRPr="002C504C" w:rsidRDefault="00CC5B64" w:rsidP="003E69EB">
      <w:pPr>
        <w:rPr>
          <w:rFonts w:ascii="Arial" w:hAnsi="Arial"/>
          <w:sz w:val="22"/>
        </w:rPr>
      </w:pPr>
      <w:r w:rsidRPr="003A331B">
        <w:rPr>
          <w:rFonts w:ascii="Arial" w:hAnsi="Arial"/>
          <w:sz w:val="22"/>
        </w:rPr>
        <w:t xml:space="preserve">Kontrolní akce byla </w:t>
      </w:r>
      <w:r w:rsidR="00F37176">
        <w:rPr>
          <w:rFonts w:ascii="Arial" w:hAnsi="Arial"/>
          <w:sz w:val="22"/>
        </w:rPr>
        <w:t xml:space="preserve">zařazena </w:t>
      </w:r>
      <w:r w:rsidRPr="003A331B">
        <w:rPr>
          <w:rFonts w:ascii="Arial" w:hAnsi="Arial"/>
          <w:sz w:val="22"/>
        </w:rPr>
        <w:t xml:space="preserve">do plánu kontrolní činnosti </w:t>
      </w:r>
      <w:r w:rsidR="00F37176">
        <w:rPr>
          <w:rFonts w:ascii="Arial" w:hAnsi="Arial"/>
          <w:sz w:val="22"/>
        </w:rPr>
        <w:t>Nejvyššího kontrolního ú</w:t>
      </w:r>
      <w:r w:rsidRPr="003A331B">
        <w:rPr>
          <w:rFonts w:ascii="Arial" w:hAnsi="Arial"/>
          <w:sz w:val="22"/>
        </w:rPr>
        <w:t xml:space="preserve">řadu </w:t>
      </w:r>
      <w:r w:rsidR="00F37176">
        <w:rPr>
          <w:rFonts w:ascii="Arial" w:hAnsi="Arial"/>
          <w:sz w:val="22"/>
        </w:rPr>
        <w:t xml:space="preserve">(dále </w:t>
      </w:r>
      <w:r w:rsidR="00F37176" w:rsidRPr="002C504C">
        <w:rPr>
          <w:rFonts w:ascii="Arial" w:hAnsi="Arial"/>
          <w:sz w:val="22"/>
        </w:rPr>
        <w:t>jen „NKÚ“) na rok 201</w:t>
      </w:r>
      <w:r w:rsidR="00C028D3">
        <w:rPr>
          <w:rFonts w:ascii="Arial" w:hAnsi="Arial"/>
          <w:sz w:val="22"/>
        </w:rPr>
        <w:t>3</w:t>
      </w:r>
      <w:r w:rsidR="00F37176" w:rsidRPr="002C504C">
        <w:rPr>
          <w:rFonts w:ascii="Arial" w:hAnsi="Arial"/>
          <w:sz w:val="22"/>
        </w:rPr>
        <w:t xml:space="preserve"> pod číslem 13/</w:t>
      </w:r>
      <w:r w:rsidR="00C028D3">
        <w:rPr>
          <w:rFonts w:ascii="Arial" w:hAnsi="Arial"/>
          <w:sz w:val="22"/>
        </w:rPr>
        <w:t>3</w:t>
      </w:r>
      <w:r w:rsidR="00F37176" w:rsidRPr="002C504C">
        <w:rPr>
          <w:rFonts w:ascii="Arial" w:hAnsi="Arial"/>
          <w:sz w:val="22"/>
        </w:rPr>
        <w:t xml:space="preserve">9. </w:t>
      </w:r>
      <w:r w:rsidR="00F37176" w:rsidRPr="00017167">
        <w:rPr>
          <w:rFonts w:ascii="Arial" w:hAnsi="Arial" w:cs="Arial"/>
          <w:sz w:val="22"/>
        </w:rPr>
        <w:t xml:space="preserve">Kontrolní akci řídil a kontrolní závěr vypracoval člen NKÚ Ing. </w:t>
      </w:r>
      <w:r w:rsidR="00C028D3">
        <w:rPr>
          <w:rFonts w:ascii="Arial" w:hAnsi="Arial" w:cs="Arial"/>
          <w:sz w:val="22"/>
        </w:rPr>
        <w:t>Daniel Reisiegel, MPA</w:t>
      </w:r>
      <w:r w:rsidR="00F37176" w:rsidRPr="00017167">
        <w:rPr>
          <w:rFonts w:ascii="Arial" w:hAnsi="Arial" w:cs="Arial"/>
          <w:sz w:val="22"/>
        </w:rPr>
        <w:t>.</w:t>
      </w:r>
    </w:p>
    <w:p w:rsidR="003E69EB" w:rsidRDefault="003E69EB" w:rsidP="00293E6A">
      <w:pPr>
        <w:rPr>
          <w:rFonts w:ascii="Arial" w:hAnsi="Arial" w:cs="Arial"/>
          <w:sz w:val="22"/>
        </w:rPr>
      </w:pPr>
    </w:p>
    <w:p w:rsidR="00F37176" w:rsidRDefault="00F37176" w:rsidP="00293E6A">
      <w:pPr>
        <w:rPr>
          <w:rFonts w:ascii="Arial" w:hAnsi="Arial" w:cs="Arial"/>
          <w:sz w:val="22"/>
        </w:rPr>
      </w:pPr>
      <w:r w:rsidRPr="002C504C">
        <w:rPr>
          <w:rFonts w:ascii="Arial" w:hAnsi="Arial" w:cs="Arial"/>
          <w:sz w:val="22"/>
        </w:rPr>
        <w:t xml:space="preserve">Cílem kontroly bylo prověřit, zda Ministerstvo </w:t>
      </w:r>
      <w:r w:rsidR="00C028D3">
        <w:rPr>
          <w:rFonts w:ascii="Arial" w:hAnsi="Arial" w:cs="Arial"/>
          <w:sz w:val="22"/>
        </w:rPr>
        <w:t>dopravy</w:t>
      </w:r>
      <w:r w:rsidRPr="002C504C">
        <w:rPr>
          <w:rFonts w:ascii="Arial" w:hAnsi="Arial" w:cs="Arial"/>
          <w:sz w:val="22"/>
        </w:rPr>
        <w:t xml:space="preserve"> při sestavení závěrečného účtu a při vedení účetnictví a sestavení účetní závěrky a finančních výkazů za rok 201</w:t>
      </w:r>
      <w:r w:rsidR="00C028D3">
        <w:rPr>
          <w:rFonts w:ascii="Arial" w:hAnsi="Arial" w:cs="Arial"/>
          <w:sz w:val="22"/>
        </w:rPr>
        <w:t>3</w:t>
      </w:r>
      <w:r w:rsidRPr="002C504C">
        <w:rPr>
          <w:rFonts w:ascii="Arial" w:hAnsi="Arial" w:cs="Arial"/>
          <w:sz w:val="22"/>
        </w:rPr>
        <w:t xml:space="preserve"> postupovalo v souladu s příslušnými právními předpisy.</w:t>
      </w:r>
    </w:p>
    <w:p w:rsidR="003E69EB" w:rsidRPr="002C504C" w:rsidRDefault="003E69EB" w:rsidP="00293E6A">
      <w:pPr>
        <w:rPr>
          <w:rFonts w:ascii="Arial" w:hAnsi="Arial" w:cs="Arial"/>
          <w:sz w:val="22"/>
        </w:rPr>
      </w:pPr>
    </w:p>
    <w:p w:rsidR="004E6B66" w:rsidRDefault="004E6B66" w:rsidP="00293E6A">
      <w:pPr>
        <w:rPr>
          <w:rFonts w:ascii="Arial" w:hAnsi="Arial" w:cs="Arial"/>
          <w:sz w:val="22"/>
        </w:rPr>
      </w:pPr>
      <w:r w:rsidRPr="002C504C">
        <w:rPr>
          <w:rFonts w:ascii="Arial" w:hAnsi="Arial" w:cs="Arial"/>
          <w:sz w:val="22"/>
        </w:rPr>
        <w:t xml:space="preserve">Kontrolovanou </w:t>
      </w:r>
      <w:r w:rsidR="00F37176" w:rsidRPr="002C504C">
        <w:rPr>
          <w:rFonts w:ascii="Arial" w:hAnsi="Arial" w:cs="Arial"/>
          <w:sz w:val="22"/>
        </w:rPr>
        <w:t xml:space="preserve">osobou bylo Ministerstvo </w:t>
      </w:r>
      <w:r w:rsidR="00C028D3">
        <w:rPr>
          <w:rFonts w:ascii="Arial" w:hAnsi="Arial" w:cs="Arial"/>
          <w:sz w:val="22"/>
        </w:rPr>
        <w:t>dopravy</w:t>
      </w:r>
      <w:r w:rsidR="00F37176" w:rsidRPr="002C504C">
        <w:rPr>
          <w:rFonts w:ascii="Arial" w:hAnsi="Arial" w:cs="Arial"/>
          <w:sz w:val="22"/>
        </w:rPr>
        <w:t xml:space="preserve"> (dále také „M</w:t>
      </w:r>
      <w:r w:rsidR="00C028D3">
        <w:rPr>
          <w:rFonts w:ascii="Arial" w:hAnsi="Arial" w:cs="Arial"/>
          <w:sz w:val="22"/>
        </w:rPr>
        <w:t>D</w:t>
      </w:r>
      <w:r w:rsidRPr="002C504C">
        <w:rPr>
          <w:rFonts w:ascii="Arial" w:hAnsi="Arial" w:cs="Arial"/>
          <w:sz w:val="22"/>
        </w:rPr>
        <w:t>“).</w:t>
      </w:r>
    </w:p>
    <w:p w:rsidR="003E69EB" w:rsidRPr="002C504C" w:rsidRDefault="003E69EB" w:rsidP="00293E6A">
      <w:pPr>
        <w:rPr>
          <w:rFonts w:ascii="Arial" w:hAnsi="Arial" w:cs="Arial"/>
          <w:sz w:val="22"/>
        </w:rPr>
      </w:pPr>
    </w:p>
    <w:p w:rsidR="004E6B66" w:rsidRDefault="004E6B66" w:rsidP="00293E6A">
      <w:pPr>
        <w:rPr>
          <w:rFonts w:ascii="Arial" w:hAnsi="Arial" w:cs="Arial"/>
          <w:sz w:val="22"/>
        </w:rPr>
      </w:pPr>
      <w:r w:rsidRPr="002C504C">
        <w:rPr>
          <w:rFonts w:ascii="Arial" w:hAnsi="Arial" w:cs="Arial"/>
          <w:sz w:val="22"/>
        </w:rPr>
        <w:t>Ko</w:t>
      </w:r>
      <w:r w:rsidR="00F37176" w:rsidRPr="002C504C">
        <w:rPr>
          <w:rFonts w:ascii="Arial" w:hAnsi="Arial" w:cs="Arial"/>
          <w:sz w:val="22"/>
        </w:rPr>
        <w:t>ntrolov</w:t>
      </w:r>
      <w:r w:rsidR="00DC276E">
        <w:rPr>
          <w:rFonts w:ascii="Arial" w:hAnsi="Arial" w:cs="Arial"/>
          <w:sz w:val="22"/>
        </w:rPr>
        <w:t>áno</w:t>
      </w:r>
      <w:r w:rsidR="00F37176" w:rsidRPr="002C504C">
        <w:rPr>
          <w:rFonts w:ascii="Arial" w:hAnsi="Arial" w:cs="Arial"/>
          <w:sz w:val="22"/>
        </w:rPr>
        <w:t xml:space="preserve"> </w:t>
      </w:r>
      <w:r w:rsidR="00DC276E">
        <w:rPr>
          <w:rFonts w:ascii="Arial" w:hAnsi="Arial" w:cs="Arial"/>
          <w:sz w:val="22"/>
        </w:rPr>
        <w:t xml:space="preserve">bylo </w:t>
      </w:r>
      <w:r w:rsidR="00F37176" w:rsidRPr="002C504C">
        <w:rPr>
          <w:rFonts w:ascii="Arial" w:hAnsi="Arial" w:cs="Arial"/>
          <w:sz w:val="22"/>
        </w:rPr>
        <w:t>obdo</w:t>
      </w:r>
      <w:r w:rsidR="00503B8E">
        <w:rPr>
          <w:rFonts w:ascii="Arial" w:hAnsi="Arial" w:cs="Arial"/>
          <w:sz w:val="22"/>
        </w:rPr>
        <w:t>bí rok</w:t>
      </w:r>
      <w:r w:rsidR="00DC276E">
        <w:rPr>
          <w:rFonts w:ascii="Arial" w:hAnsi="Arial" w:cs="Arial"/>
          <w:sz w:val="22"/>
        </w:rPr>
        <w:t>u</w:t>
      </w:r>
      <w:r w:rsidR="00503B8E">
        <w:rPr>
          <w:rFonts w:ascii="Arial" w:hAnsi="Arial" w:cs="Arial"/>
          <w:sz w:val="22"/>
        </w:rPr>
        <w:t xml:space="preserve"> 201</w:t>
      </w:r>
      <w:r w:rsidR="00C028D3">
        <w:rPr>
          <w:rFonts w:ascii="Arial" w:hAnsi="Arial" w:cs="Arial"/>
          <w:sz w:val="22"/>
        </w:rPr>
        <w:t>3</w:t>
      </w:r>
      <w:r w:rsidR="00503B8E">
        <w:rPr>
          <w:rFonts w:ascii="Arial" w:hAnsi="Arial" w:cs="Arial"/>
          <w:sz w:val="22"/>
        </w:rPr>
        <w:t xml:space="preserve"> a související</w:t>
      </w:r>
      <w:r w:rsidR="00F37176" w:rsidRPr="002C504C">
        <w:rPr>
          <w:rFonts w:ascii="Arial" w:hAnsi="Arial" w:cs="Arial"/>
          <w:sz w:val="22"/>
        </w:rPr>
        <w:t xml:space="preserve"> skutečnosti</w:t>
      </w:r>
      <w:r w:rsidRPr="002C504C">
        <w:rPr>
          <w:rFonts w:ascii="Arial" w:hAnsi="Arial" w:cs="Arial"/>
          <w:sz w:val="22"/>
        </w:rPr>
        <w:t xml:space="preserve"> </w:t>
      </w:r>
      <w:r w:rsidR="0044342E">
        <w:rPr>
          <w:rFonts w:ascii="Arial" w:hAnsi="Arial" w:cs="Arial"/>
          <w:sz w:val="22"/>
        </w:rPr>
        <w:t>z </w:t>
      </w:r>
      <w:r w:rsidRPr="002C504C">
        <w:rPr>
          <w:rFonts w:ascii="Arial" w:hAnsi="Arial" w:cs="Arial"/>
          <w:sz w:val="22"/>
        </w:rPr>
        <w:t xml:space="preserve">předchozích </w:t>
      </w:r>
      <w:r w:rsidR="00F37176" w:rsidRPr="002C504C">
        <w:rPr>
          <w:rFonts w:ascii="Arial" w:hAnsi="Arial" w:cs="Arial"/>
          <w:sz w:val="22"/>
        </w:rPr>
        <w:t xml:space="preserve">let, popřípadě </w:t>
      </w:r>
      <w:r w:rsidR="000309D2">
        <w:rPr>
          <w:rFonts w:ascii="Arial" w:hAnsi="Arial" w:cs="Arial"/>
          <w:sz w:val="22"/>
        </w:rPr>
        <w:t>z </w:t>
      </w:r>
      <w:r w:rsidR="00F37176" w:rsidRPr="002C504C">
        <w:rPr>
          <w:rFonts w:ascii="Arial" w:hAnsi="Arial" w:cs="Arial"/>
          <w:sz w:val="22"/>
        </w:rPr>
        <w:t>roku 201</w:t>
      </w:r>
      <w:r w:rsidR="00C028D3">
        <w:rPr>
          <w:rFonts w:ascii="Arial" w:hAnsi="Arial" w:cs="Arial"/>
          <w:sz w:val="22"/>
        </w:rPr>
        <w:t>4</w:t>
      </w:r>
      <w:r w:rsidRPr="002C504C">
        <w:rPr>
          <w:rFonts w:ascii="Arial" w:hAnsi="Arial" w:cs="Arial"/>
          <w:sz w:val="22"/>
        </w:rPr>
        <w:t>.</w:t>
      </w:r>
    </w:p>
    <w:p w:rsidR="003E69EB" w:rsidRPr="002C504C" w:rsidRDefault="003E69EB" w:rsidP="00293E6A">
      <w:pPr>
        <w:rPr>
          <w:rFonts w:ascii="Arial" w:hAnsi="Arial" w:cs="Arial"/>
          <w:sz w:val="22"/>
        </w:rPr>
      </w:pPr>
    </w:p>
    <w:p w:rsidR="004E6B66" w:rsidRDefault="004E6B66" w:rsidP="003E69EB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2C504C">
        <w:rPr>
          <w:rFonts w:ascii="Arial" w:hAnsi="Arial" w:cs="Arial"/>
          <w:szCs w:val="22"/>
        </w:rPr>
        <w:t>Kontrola</w:t>
      </w:r>
      <w:r w:rsidR="00F37176" w:rsidRPr="002C504C">
        <w:rPr>
          <w:rFonts w:ascii="Arial" w:hAnsi="Arial" w:cs="Arial"/>
          <w:szCs w:val="22"/>
        </w:rPr>
        <w:t xml:space="preserve"> byla prováděna</w:t>
      </w:r>
      <w:r w:rsidR="002C504C">
        <w:rPr>
          <w:rFonts w:ascii="Arial" w:hAnsi="Arial" w:cs="Arial"/>
          <w:szCs w:val="22"/>
        </w:rPr>
        <w:t xml:space="preserve"> </w:t>
      </w:r>
      <w:r w:rsidR="0044342E">
        <w:rPr>
          <w:rFonts w:ascii="Arial" w:hAnsi="Arial" w:cs="Arial"/>
          <w:szCs w:val="22"/>
        </w:rPr>
        <w:t>v </w:t>
      </w:r>
      <w:r w:rsidR="002C504C">
        <w:rPr>
          <w:rFonts w:ascii="Arial" w:hAnsi="Arial" w:cs="Arial"/>
          <w:szCs w:val="22"/>
        </w:rPr>
        <w:t xml:space="preserve">době od </w:t>
      </w:r>
      <w:r w:rsidR="00035790">
        <w:rPr>
          <w:rFonts w:ascii="Arial" w:hAnsi="Arial" w:cs="Arial"/>
          <w:szCs w:val="22"/>
        </w:rPr>
        <w:t>listopadu</w:t>
      </w:r>
      <w:r w:rsidR="002C504C">
        <w:rPr>
          <w:rFonts w:ascii="Arial" w:hAnsi="Arial" w:cs="Arial"/>
          <w:szCs w:val="22"/>
        </w:rPr>
        <w:t xml:space="preserve"> roku 2013</w:t>
      </w:r>
      <w:r w:rsidR="00F37176" w:rsidRPr="002C504C">
        <w:rPr>
          <w:rFonts w:ascii="Arial" w:hAnsi="Arial" w:cs="Arial"/>
          <w:szCs w:val="22"/>
        </w:rPr>
        <w:t xml:space="preserve"> do </w:t>
      </w:r>
      <w:r w:rsidR="00035790">
        <w:rPr>
          <w:rFonts w:ascii="Arial" w:hAnsi="Arial" w:cs="Arial"/>
          <w:szCs w:val="22"/>
        </w:rPr>
        <w:t>květ</w:t>
      </w:r>
      <w:r w:rsidR="00F37176" w:rsidRPr="002C504C">
        <w:rPr>
          <w:rFonts w:ascii="Arial" w:hAnsi="Arial" w:cs="Arial"/>
          <w:szCs w:val="22"/>
        </w:rPr>
        <w:t>na roku 2014</w:t>
      </w:r>
      <w:r w:rsidRPr="002C504C">
        <w:rPr>
          <w:rFonts w:ascii="Arial" w:hAnsi="Arial" w:cs="Arial"/>
          <w:szCs w:val="22"/>
        </w:rPr>
        <w:t xml:space="preserve">. </w:t>
      </w:r>
    </w:p>
    <w:p w:rsidR="002C504C" w:rsidRPr="002C504C" w:rsidRDefault="002C504C" w:rsidP="003E69EB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4E6B66" w:rsidRDefault="004E6B66" w:rsidP="003E69EB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2C504C">
        <w:rPr>
          <w:rFonts w:ascii="Arial" w:hAnsi="Arial" w:cs="Arial"/>
          <w:szCs w:val="22"/>
        </w:rPr>
        <w:t>Námitky proti kontrolnímu protokolu</w:t>
      </w:r>
      <w:r w:rsidR="002C504C" w:rsidRPr="002C504C">
        <w:rPr>
          <w:rFonts w:ascii="Arial" w:hAnsi="Arial" w:cs="Arial"/>
          <w:szCs w:val="22"/>
        </w:rPr>
        <w:t>,</w:t>
      </w:r>
      <w:r w:rsidRPr="002C504C">
        <w:rPr>
          <w:rFonts w:ascii="Arial" w:hAnsi="Arial" w:cs="Arial"/>
          <w:szCs w:val="22"/>
        </w:rPr>
        <w:t xml:space="preserve"> </w:t>
      </w:r>
      <w:r w:rsidR="00B6488E">
        <w:rPr>
          <w:rFonts w:ascii="Arial" w:hAnsi="Arial" w:cs="Arial"/>
          <w:szCs w:val="22"/>
        </w:rPr>
        <w:t>které MD</w:t>
      </w:r>
      <w:r w:rsidR="002C504C" w:rsidRPr="002C504C">
        <w:rPr>
          <w:rFonts w:ascii="Arial" w:hAnsi="Arial" w:cs="Arial"/>
          <w:szCs w:val="22"/>
        </w:rPr>
        <w:t xml:space="preserve"> podalo, vypořádal vedoucí skupiny kontrolujících rozhodnutím o námitkách. </w:t>
      </w:r>
    </w:p>
    <w:p w:rsidR="00FB03BD" w:rsidRPr="002C691E" w:rsidRDefault="00FB03BD" w:rsidP="003E69EB">
      <w:pPr>
        <w:pStyle w:val="NormlnKZ"/>
        <w:spacing w:after="0"/>
        <w:ind w:firstLine="0"/>
        <w:rPr>
          <w:rFonts w:ascii="Arial" w:hAnsi="Arial" w:cs="Arial"/>
          <w:szCs w:val="22"/>
          <w:highlight w:val="yellow"/>
        </w:rPr>
      </w:pPr>
    </w:p>
    <w:p w:rsidR="004E6B66" w:rsidRPr="002C504C" w:rsidRDefault="004E6B66" w:rsidP="003E69EB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2C504C">
        <w:rPr>
          <w:rFonts w:ascii="Arial" w:hAnsi="Arial" w:cs="Arial"/>
          <w:b/>
          <w:bCs/>
          <w:i/>
          <w:iCs/>
          <w:spacing w:val="40"/>
          <w:szCs w:val="22"/>
        </w:rPr>
        <w:t>Kolegium</w:t>
      </w:r>
      <w:r w:rsidRPr="002C504C">
        <w:rPr>
          <w:rFonts w:ascii="Arial" w:hAnsi="Arial" w:cs="Arial"/>
          <w:b/>
          <w:bCs/>
          <w:i/>
          <w:iCs/>
          <w:szCs w:val="22"/>
        </w:rPr>
        <w:t xml:space="preserve"> </w:t>
      </w:r>
      <w:proofErr w:type="gramStart"/>
      <w:r w:rsidRPr="00293E6A">
        <w:rPr>
          <w:rFonts w:ascii="Arial" w:hAnsi="Arial" w:cs="Arial"/>
          <w:b/>
          <w:bCs/>
          <w:i/>
          <w:iCs/>
          <w:spacing w:val="40"/>
          <w:szCs w:val="22"/>
        </w:rPr>
        <w:t>NKÚ</w:t>
      </w:r>
      <w:r w:rsidRPr="002C504C">
        <w:rPr>
          <w:rFonts w:ascii="Arial" w:hAnsi="Arial" w:cs="Arial"/>
          <w:szCs w:val="22"/>
        </w:rPr>
        <w:t xml:space="preserve">   na</w:t>
      </w:r>
      <w:proofErr w:type="gramEnd"/>
      <w:r w:rsidR="00747ECF">
        <w:rPr>
          <w:rFonts w:ascii="Arial" w:hAnsi="Arial" w:cs="Arial"/>
          <w:szCs w:val="22"/>
        </w:rPr>
        <w:t xml:space="preserve"> svém </w:t>
      </w:r>
      <w:r w:rsidR="00DC276E">
        <w:rPr>
          <w:rFonts w:ascii="Arial" w:hAnsi="Arial" w:cs="Arial"/>
          <w:szCs w:val="22"/>
        </w:rPr>
        <w:t>XIV. jednání</w:t>
      </w:r>
      <w:r w:rsidR="00747ECF">
        <w:rPr>
          <w:rFonts w:ascii="Arial" w:hAnsi="Arial" w:cs="Arial"/>
          <w:szCs w:val="22"/>
        </w:rPr>
        <w:t xml:space="preserve">, </w:t>
      </w:r>
      <w:r w:rsidR="00DC276E">
        <w:rPr>
          <w:rFonts w:ascii="Arial" w:hAnsi="Arial" w:cs="Arial"/>
          <w:szCs w:val="22"/>
        </w:rPr>
        <w:t xml:space="preserve">které se </w:t>
      </w:r>
      <w:r w:rsidR="00747ECF">
        <w:rPr>
          <w:rFonts w:ascii="Arial" w:hAnsi="Arial" w:cs="Arial"/>
          <w:szCs w:val="22"/>
        </w:rPr>
        <w:t>kona</w:t>
      </w:r>
      <w:r w:rsidR="00DC276E">
        <w:rPr>
          <w:rFonts w:ascii="Arial" w:hAnsi="Arial" w:cs="Arial"/>
          <w:szCs w:val="22"/>
        </w:rPr>
        <w:t>lo</w:t>
      </w:r>
      <w:r w:rsidR="00747ECF">
        <w:rPr>
          <w:rFonts w:ascii="Arial" w:hAnsi="Arial" w:cs="Arial"/>
          <w:szCs w:val="22"/>
        </w:rPr>
        <w:t xml:space="preserve"> dne 8. září 2014</w:t>
      </w:r>
      <w:r w:rsidR="00DC276E">
        <w:rPr>
          <w:rFonts w:ascii="Arial" w:hAnsi="Arial" w:cs="Arial"/>
          <w:szCs w:val="22"/>
        </w:rPr>
        <w:t>,</w:t>
      </w:r>
      <w:bookmarkStart w:id="0" w:name="_GoBack"/>
      <w:bookmarkEnd w:id="0"/>
    </w:p>
    <w:p w:rsidR="004E6B66" w:rsidRPr="002C504C" w:rsidRDefault="004E6B66" w:rsidP="003E69EB">
      <w:pPr>
        <w:pStyle w:val="Normlnweb"/>
        <w:rPr>
          <w:rFonts w:ascii="Arial" w:hAnsi="Arial" w:cs="Arial"/>
          <w:sz w:val="22"/>
          <w:szCs w:val="22"/>
        </w:rPr>
      </w:pPr>
      <w:proofErr w:type="gramStart"/>
      <w:r w:rsidRPr="002C504C">
        <w:rPr>
          <w:rFonts w:ascii="Arial" w:hAnsi="Arial" w:cs="Arial"/>
          <w:b/>
          <w:bCs/>
          <w:i/>
          <w:iCs/>
          <w:spacing w:val="40"/>
          <w:sz w:val="22"/>
          <w:szCs w:val="22"/>
        </w:rPr>
        <w:t>schválilo</w:t>
      </w:r>
      <w:r w:rsidRPr="002C504C">
        <w:rPr>
          <w:rFonts w:ascii="Arial" w:hAnsi="Arial" w:cs="Arial"/>
          <w:sz w:val="22"/>
          <w:szCs w:val="22"/>
        </w:rPr>
        <w:t xml:space="preserve">   usnesením</w:t>
      </w:r>
      <w:proofErr w:type="gramEnd"/>
      <w:r w:rsidRPr="002C504C">
        <w:rPr>
          <w:rFonts w:ascii="Arial" w:hAnsi="Arial" w:cs="Arial"/>
          <w:sz w:val="22"/>
          <w:szCs w:val="22"/>
        </w:rPr>
        <w:t xml:space="preserve"> č. </w:t>
      </w:r>
      <w:r w:rsidR="006C7F9F">
        <w:rPr>
          <w:rFonts w:ascii="Arial" w:hAnsi="Arial" w:cs="Arial"/>
          <w:sz w:val="22"/>
          <w:szCs w:val="22"/>
        </w:rPr>
        <w:t>11</w:t>
      </w:r>
      <w:r w:rsidR="00CD3605">
        <w:rPr>
          <w:rFonts w:ascii="Arial" w:hAnsi="Arial" w:cs="Arial"/>
          <w:sz w:val="22"/>
          <w:szCs w:val="22"/>
        </w:rPr>
        <w:t>/</w:t>
      </w:r>
      <w:r w:rsidR="00747ECF">
        <w:rPr>
          <w:rFonts w:ascii="Arial" w:hAnsi="Arial" w:cs="Arial"/>
          <w:sz w:val="22"/>
          <w:szCs w:val="22"/>
        </w:rPr>
        <w:t>XIV</w:t>
      </w:r>
      <w:r w:rsidR="00CD3605">
        <w:rPr>
          <w:rFonts w:ascii="Arial" w:hAnsi="Arial" w:cs="Arial"/>
          <w:sz w:val="22"/>
          <w:szCs w:val="22"/>
        </w:rPr>
        <w:t>/2014</w:t>
      </w:r>
    </w:p>
    <w:p w:rsidR="004E6B66" w:rsidRPr="002C504C" w:rsidRDefault="004E6B66" w:rsidP="003E69EB">
      <w:pPr>
        <w:rPr>
          <w:rFonts w:ascii="Arial" w:hAnsi="Arial" w:cs="Arial"/>
          <w:sz w:val="22"/>
        </w:rPr>
      </w:pPr>
      <w:r w:rsidRPr="002C504C">
        <w:rPr>
          <w:rFonts w:ascii="Arial" w:hAnsi="Arial" w:cs="Arial"/>
          <w:b/>
          <w:bCs/>
          <w:i/>
          <w:iCs/>
          <w:spacing w:val="40"/>
          <w:sz w:val="22"/>
        </w:rPr>
        <w:t>kontrolní</w:t>
      </w:r>
      <w:r w:rsidRPr="002C504C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gramStart"/>
      <w:r w:rsidRPr="002C504C">
        <w:rPr>
          <w:rFonts w:ascii="Arial" w:hAnsi="Arial" w:cs="Arial"/>
          <w:b/>
          <w:bCs/>
          <w:i/>
          <w:iCs/>
          <w:spacing w:val="40"/>
          <w:sz w:val="22"/>
        </w:rPr>
        <w:t>závěr</w:t>
      </w:r>
      <w:r w:rsidRPr="002C504C">
        <w:rPr>
          <w:rFonts w:ascii="Arial" w:hAnsi="Arial" w:cs="Arial"/>
          <w:sz w:val="22"/>
        </w:rPr>
        <w:t xml:space="preserve">   </w:t>
      </w:r>
      <w:r w:rsidR="0044342E">
        <w:rPr>
          <w:rFonts w:ascii="Arial" w:hAnsi="Arial" w:cs="Arial"/>
          <w:sz w:val="22"/>
        </w:rPr>
        <w:t>v </w:t>
      </w:r>
      <w:r w:rsidRPr="002C504C">
        <w:rPr>
          <w:rFonts w:ascii="Arial" w:hAnsi="Arial" w:cs="Arial"/>
          <w:sz w:val="22"/>
        </w:rPr>
        <w:t>tomto</w:t>
      </w:r>
      <w:proofErr w:type="gramEnd"/>
      <w:r w:rsidRPr="002C504C">
        <w:rPr>
          <w:rFonts w:ascii="Arial" w:hAnsi="Arial" w:cs="Arial"/>
          <w:sz w:val="22"/>
        </w:rPr>
        <w:t xml:space="preserve"> znění:</w:t>
      </w:r>
    </w:p>
    <w:p w:rsidR="004E6B66" w:rsidRPr="002C691E" w:rsidRDefault="004E6B66" w:rsidP="003E69EB">
      <w:pPr>
        <w:rPr>
          <w:rFonts w:ascii="Arial" w:hAnsi="Arial" w:cs="Arial"/>
          <w:sz w:val="22"/>
          <w:highlight w:val="yellow"/>
        </w:rPr>
      </w:pPr>
    </w:p>
    <w:p w:rsidR="004E6B66" w:rsidRPr="002C691E" w:rsidRDefault="004E6B66" w:rsidP="003E69EB">
      <w:pPr>
        <w:rPr>
          <w:rFonts w:ascii="Arial" w:hAnsi="Arial" w:cs="Arial"/>
          <w:sz w:val="22"/>
          <w:highlight w:val="yellow"/>
        </w:rPr>
      </w:pPr>
    </w:p>
    <w:p w:rsidR="004E6B66" w:rsidRDefault="004E6B66" w:rsidP="00293E6A">
      <w:pPr>
        <w:jc w:val="center"/>
        <w:rPr>
          <w:rFonts w:ascii="Arial" w:hAnsi="Arial" w:cs="Arial"/>
          <w:b/>
        </w:rPr>
      </w:pPr>
      <w:r w:rsidRPr="002C504C">
        <w:rPr>
          <w:rFonts w:ascii="Arial" w:hAnsi="Arial" w:cs="Arial"/>
          <w:b/>
        </w:rPr>
        <w:t>I. Úvod</w:t>
      </w:r>
    </w:p>
    <w:p w:rsidR="003E69EB" w:rsidRPr="002C504C" w:rsidRDefault="003E69EB" w:rsidP="00293E6A">
      <w:pPr>
        <w:jc w:val="center"/>
        <w:rPr>
          <w:rFonts w:ascii="Arial" w:hAnsi="Arial" w:cs="Arial"/>
          <w:b/>
        </w:rPr>
      </w:pPr>
    </w:p>
    <w:p w:rsidR="0021409E" w:rsidRDefault="0021409E" w:rsidP="00293E6A">
      <w:pPr>
        <w:rPr>
          <w:rFonts w:ascii="Arial" w:hAnsi="Arial" w:cs="Arial"/>
          <w:sz w:val="22"/>
        </w:rPr>
      </w:pPr>
      <w:r w:rsidRPr="00951245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inisterstvo dopravy</w:t>
      </w:r>
      <w:r w:rsidRPr="00951245">
        <w:rPr>
          <w:rFonts w:ascii="Arial" w:hAnsi="Arial" w:cs="Arial"/>
          <w:sz w:val="22"/>
        </w:rPr>
        <w:t xml:space="preserve"> bylo zřízeno zákonem č. 2/1969 Sb., o zřízení ministerstev a jiných ústředních orgánů státní správy České republiky. </w:t>
      </w:r>
      <w:r w:rsidR="008A2EE6" w:rsidRPr="008A2EE6">
        <w:rPr>
          <w:rFonts w:ascii="Arial" w:hAnsi="Arial" w:cs="Arial"/>
          <w:sz w:val="22"/>
        </w:rPr>
        <w:t xml:space="preserve">MD je organizační složkou státu (dále také „OSS“), samostatnou účetní jednotkou a správcem rozpočtové kapitoly 327 – </w:t>
      </w:r>
      <w:r w:rsidR="008A2EE6" w:rsidRPr="008A2EE6">
        <w:rPr>
          <w:rFonts w:ascii="Arial" w:hAnsi="Arial" w:cs="Arial"/>
          <w:i/>
          <w:sz w:val="22"/>
        </w:rPr>
        <w:t>Ministerstvo dopravy</w:t>
      </w:r>
      <w:r w:rsidR="008A2EE6" w:rsidRPr="008A2EE6">
        <w:rPr>
          <w:rFonts w:ascii="Arial" w:hAnsi="Arial" w:cs="Arial"/>
          <w:sz w:val="22"/>
        </w:rPr>
        <w:t xml:space="preserve"> </w:t>
      </w:r>
      <w:r w:rsidR="008A2EE6" w:rsidRPr="00B6062B">
        <w:rPr>
          <w:rFonts w:ascii="Arial" w:hAnsi="Arial" w:cs="Arial"/>
          <w:sz w:val="22"/>
        </w:rPr>
        <w:t>(dále také „kapitola MD“</w:t>
      </w:r>
      <w:r w:rsidR="00415989" w:rsidRPr="00B6062B">
        <w:rPr>
          <w:rFonts w:ascii="Arial" w:hAnsi="Arial" w:cs="Arial"/>
          <w:sz w:val="22"/>
        </w:rPr>
        <w:t>).</w:t>
      </w:r>
      <w:r w:rsidR="00415989">
        <w:rPr>
          <w:rFonts w:ascii="Arial" w:hAnsi="Arial" w:cs="Arial"/>
          <w:sz w:val="22"/>
        </w:rPr>
        <w:t xml:space="preserve"> </w:t>
      </w:r>
      <w:r w:rsidR="006F4A58">
        <w:rPr>
          <w:rFonts w:ascii="Arial" w:hAnsi="Arial" w:cs="Arial"/>
          <w:sz w:val="22"/>
        </w:rPr>
        <w:t xml:space="preserve">K datu </w:t>
      </w:r>
      <w:r w:rsidRPr="00951245">
        <w:rPr>
          <w:rFonts w:ascii="Arial" w:hAnsi="Arial" w:cs="Arial"/>
          <w:sz w:val="22"/>
        </w:rPr>
        <w:t>31. 12. 2013 bylo MD zřizovatelem šesti organizačních složek státu a dvou příspěvkových organizací.</w:t>
      </w:r>
    </w:p>
    <w:p w:rsidR="003E69EB" w:rsidRPr="00951245" w:rsidRDefault="003E69EB" w:rsidP="00293E6A">
      <w:pPr>
        <w:rPr>
          <w:rFonts w:ascii="Arial" w:hAnsi="Arial" w:cs="Arial"/>
          <w:sz w:val="22"/>
        </w:rPr>
      </w:pPr>
    </w:p>
    <w:p w:rsidR="00546269" w:rsidRDefault="0044342E" w:rsidP="00293E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</w:t>
      </w:r>
      <w:r w:rsidR="00546269" w:rsidRPr="00546269">
        <w:rPr>
          <w:rFonts w:ascii="Arial" w:hAnsi="Arial" w:cs="Arial"/>
          <w:sz w:val="22"/>
        </w:rPr>
        <w:t>roce 201</w:t>
      </w:r>
      <w:r w:rsidR="00546269">
        <w:rPr>
          <w:rFonts w:ascii="Arial" w:hAnsi="Arial" w:cs="Arial"/>
          <w:sz w:val="22"/>
        </w:rPr>
        <w:t>3</w:t>
      </w:r>
      <w:r w:rsidR="00546269" w:rsidRPr="00546269">
        <w:rPr>
          <w:rFonts w:ascii="Arial" w:hAnsi="Arial" w:cs="Arial"/>
          <w:sz w:val="22"/>
        </w:rPr>
        <w:t xml:space="preserve"> činil podíl příjmů M</w:t>
      </w:r>
      <w:r w:rsidR="00546269">
        <w:rPr>
          <w:rFonts w:ascii="Arial" w:hAnsi="Arial" w:cs="Arial"/>
          <w:sz w:val="22"/>
        </w:rPr>
        <w:t>D</w:t>
      </w:r>
      <w:r w:rsidR="00546269" w:rsidRPr="00546269">
        <w:rPr>
          <w:rFonts w:ascii="Arial" w:hAnsi="Arial" w:cs="Arial"/>
          <w:sz w:val="22"/>
        </w:rPr>
        <w:t xml:space="preserve"> na celkovém souhrnu příjmů kapitoly </w:t>
      </w:r>
      <w:r w:rsidR="00546269">
        <w:rPr>
          <w:rFonts w:ascii="Arial" w:hAnsi="Arial" w:cs="Arial"/>
          <w:sz w:val="22"/>
        </w:rPr>
        <w:t>MD</w:t>
      </w:r>
      <w:r w:rsidR="00546269" w:rsidRPr="00546269">
        <w:rPr>
          <w:rFonts w:ascii="Arial" w:hAnsi="Arial" w:cs="Arial"/>
          <w:sz w:val="22"/>
        </w:rPr>
        <w:t xml:space="preserve"> </w:t>
      </w:r>
      <w:r w:rsidR="000805AF">
        <w:rPr>
          <w:rFonts w:ascii="Arial" w:hAnsi="Arial" w:cs="Arial"/>
          <w:sz w:val="22"/>
        </w:rPr>
        <w:t>99,9</w:t>
      </w:r>
      <w:r w:rsidR="00546269" w:rsidRPr="00546269">
        <w:rPr>
          <w:rFonts w:ascii="Arial" w:hAnsi="Arial" w:cs="Arial"/>
          <w:sz w:val="22"/>
        </w:rPr>
        <w:t xml:space="preserve"> % a podíl výdajů </w:t>
      </w:r>
      <w:r w:rsidR="00546269">
        <w:rPr>
          <w:rFonts w:ascii="Arial" w:hAnsi="Arial" w:cs="Arial"/>
          <w:sz w:val="22"/>
        </w:rPr>
        <w:t>MD</w:t>
      </w:r>
      <w:r w:rsidR="00546269" w:rsidRPr="00546269">
        <w:rPr>
          <w:rFonts w:ascii="Arial" w:hAnsi="Arial" w:cs="Arial"/>
          <w:sz w:val="22"/>
        </w:rPr>
        <w:t xml:space="preserve"> na celkovém souhrnu výdajů kapitoly </w:t>
      </w:r>
      <w:r w:rsidR="00546269">
        <w:rPr>
          <w:rFonts w:ascii="Arial" w:hAnsi="Arial" w:cs="Arial"/>
          <w:sz w:val="22"/>
        </w:rPr>
        <w:t>MD</w:t>
      </w:r>
      <w:r w:rsidR="00546269" w:rsidRPr="00546269">
        <w:rPr>
          <w:rFonts w:ascii="Arial" w:hAnsi="Arial" w:cs="Arial"/>
          <w:sz w:val="22"/>
        </w:rPr>
        <w:t xml:space="preserve"> </w:t>
      </w:r>
      <w:r w:rsidR="000805AF">
        <w:rPr>
          <w:rFonts w:ascii="Arial" w:hAnsi="Arial" w:cs="Arial"/>
          <w:sz w:val="22"/>
        </w:rPr>
        <w:t>99</w:t>
      </w:r>
      <w:r w:rsidR="00546269" w:rsidRPr="00546269">
        <w:rPr>
          <w:rFonts w:ascii="Arial" w:hAnsi="Arial" w:cs="Arial"/>
          <w:sz w:val="22"/>
        </w:rPr>
        <w:t xml:space="preserve"> %. Podíl aktiv </w:t>
      </w:r>
      <w:r w:rsidR="00546269">
        <w:rPr>
          <w:rFonts w:ascii="Arial" w:hAnsi="Arial" w:cs="Arial"/>
          <w:sz w:val="22"/>
        </w:rPr>
        <w:t>MD</w:t>
      </w:r>
      <w:r w:rsidR="00546269" w:rsidRPr="00546269">
        <w:rPr>
          <w:rFonts w:ascii="Arial" w:hAnsi="Arial" w:cs="Arial"/>
          <w:sz w:val="22"/>
        </w:rPr>
        <w:t xml:space="preserve"> </w:t>
      </w:r>
      <w:r w:rsidR="001025BF">
        <w:rPr>
          <w:rFonts w:ascii="Arial" w:hAnsi="Arial" w:cs="Arial"/>
          <w:sz w:val="22"/>
        </w:rPr>
        <w:t xml:space="preserve">(netto) </w:t>
      </w:r>
      <w:r w:rsidR="00546269" w:rsidRPr="00546269">
        <w:rPr>
          <w:rFonts w:ascii="Arial" w:hAnsi="Arial" w:cs="Arial"/>
          <w:sz w:val="22"/>
        </w:rPr>
        <w:t xml:space="preserve">na celkovém souhrnu aktiv kapitoly </w:t>
      </w:r>
      <w:r w:rsidR="00546269">
        <w:rPr>
          <w:rFonts w:ascii="Arial" w:hAnsi="Arial" w:cs="Arial"/>
          <w:sz w:val="22"/>
        </w:rPr>
        <w:t>MD</w:t>
      </w:r>
      <w:r w:rsidR="00546269" w:rsidRPr="00546269">
        <w:rPr>
          <w:rFonts w:ascii="Arial" w:hAnsi="Arial" w:cs="Arial"/>
          <w:sz w:val="22"/>
        </w:rPr>
        <w:t xml:space="preserve"> byl </w:t>
      </w:r>
      <w:r w:rsidR="001025BF">
        <w:rPr>
          <w:rFonts w:ascii="Arial" w:hAnsi="Arial" w:cs="Arial"/>
          <w:sz w:val="22"/>
        </w:rPr>
        <w:t>12,3</w:t>
      </w:r>
      <w:r w:rsidR="00546269" w:rsidRPr="00546269">
        <w:rPr>
          <w:rFonts w:ascii="Arial" w:hAnsi="Arial" w:cs="Arial"/>
          <w:sz w:val="22"/>
        </w:rPr>
        <w:t xml:space="preserve"> %</w:t>
      </w:r>
      <w:r w:rsidR="00057F41">
        <w:rPr>
          <w:rFonts w:ascii="Arial" w:hAnsi="Arial" w:cs="Arial"/>
          <w:sz w:val="22"/>
        </w:rPr>
        <w:t>,</w:t>
      </w:r>
      <w:r w:rsidR="00546269" w:rsidRPr="00546269">
        <w:rPr>
          <w:rFonts w:ascii="Arial" w:hAnsi="Arial" w:cs="Arial"/>
          <w:sz w:val="22"/>
        </w:rPr>
        <w:t xml:space="preserve"> </w:t>
      </w:r>
      <w:r w:rsidR="00057F41">
        <w:rPr>
          <w:rFonts w:ascii="Arial" w:hAnsi="Arial" w:cs="Arial"/>
          <w:sz w:val="22"/>
        </w:rPr>
        <w:t>p</w:t>
      </w:r>
      <w:r w:rsidR="00546269" w:rsidRPr="00546269">
        <w:rPr>
          <w:rFonts w:ascii="Arial" w:hAnsi="Arial" w:cs="Arial"/>
          <w:sz w:val="22"/>
        </w:rPr>
        <w:t xml:space="preserve">odíl nákladů </w:t>
      </w:r>
      <w:r w:rsidR="00546269">
        <w:rPr>
          <w:rFonts w:ascii="Arial" w:hAnsi="Arial" w:cs="Arial"/>
          <w:sz w:val="22"/>
        </w:rPr>
        <w:t>MD</w:t>
      </w:r>
      <w:r w:rsidR="00546269" w:rsidRPr="00546269">
        <w:rPr>
          <w:rFonts w:ascii="Arial" w:hAnsi="Arial" w:cs="Arial"/>
          <w:sz w:val="22"/>
        </w:rPr>
        <w:t xml:space="preserve"> na celkovém souhrnu nákladů kapitoly </w:t>
      </w:r>
      <w:r w:rsidR="00546269">
        <w:rPr>
          <w:rFonts w:ascii="Arial" w:hAnsi="Arial" w:cs="Arial"/>
          <w:sz w:val="22"/>
        </w:rPr>
        <w:t>MD</w:t>
      </w:r>
      <w:r w:rsidR="00546269" w:rsidRPr="00546269">
        <w:rPr>
          <w:rFonts w:ascii="Arial" w:hAnsi="Arial" w:cs="Arial"/>
          <w:sz w:val="22"/>
        </w:rPr>
        <w:t xml:space="preserve"> </w:t>
      </w:r>
      <w:r w:rsidR="004F5DA8">
        <w:rPr>
          <w:rFonts w:ascii="Arial" w:hAnsi="Arial" w:cs="Arial"/>
          <w:sz w:val="22"/>
        </w:rPr>
        <w:t>59,7</w:t>
      </w:r>
      <w:r w:rsidR="00546269" w:rsidRPr="00546269">
        <w:rPr>
          <w:rFonts w:ascii="Arial" w:hAnsi="Arial" w:cs="Arial"/>
          <w:sz w:val="22"/>
        </w:rPr>
        <w:t xml:space="preserve"> % a podíl výnosů </w:t>
      </w:r>
      <w:r w:rsidR="00546269">
        <w:rPr>
          <w:rFonts w:ascii="Arial" w:hAnsi="Arial" w:cs="Arial"/>
          <w:sz w:val="22"/>
        </w:rPr>
        <w:t>MD</w:t>
      </w:r>
      <w:r w:rsidR="00546269" w:rsidRPr="00546269">
        <w:rPr>
          <w:rFonts w:ascii="Arial" w:hAnsi="Arial" w:cs="Arial"/>
          <w:sz w:val="22"/>
        </w:rPr>
        <w:t xml:space="preserve"> na celkovém souhrnu výnosů kapitoly</w:t>
      </w:r>
      <w:r w:rsidR="00896E20">
        <w:rPr>
          <w:rFonts w:ascii="Arial" w:hAnsi="Arial" w:cs="Arial"/>
          <w:sz w:val="22"/>
        </w:rPr>
        <w:t> </w:t>
      </w:r>
      <w:r w:rsidR="00546269">
        <w:rPr>
          <w:rFonts w:ascii="Arial" w:hAnsi="Arial" w:cs="Arial"/>
          <w:sz w:val="22"/>
        </w:rPr>
        <w:t>MD</w:t>
      </w:r>
      <w:r w:rsidR="00896E20">
        <w:rPr>
          <w:rFonts w:ascii="Arial" w:hAnsi="Arial" w:cs="Arial"/>
          <w:sz w:val="22"/>
        </w:rPr>
        <w:t> </w:t>
      </w:r>
      <w:r w:rsidR="004F5DA8">
        <w:rPr>
          <w:rFonts w:ascii="Arial" w:hAnsi="Arial" w:cs="Arial"/>
          <w:sz w:val="22"/>
        </w:rPr>
        <w:t>2</w:t>
      </w:r>
      <w:r w:rsidR="00896E20">
        <w:rPr>
          <w:rFonts w:ascii="Arial" w:hAnsi="Arial" w:cs="Arial"/>
          <w:sz w:val="22"/>
        </w:rPr>
        <w:t> </w:t>
      </w:r>
      <w:r w:rsidR="00546269" w:rsidRPr="00546269">
        <w:rPr>
          <w:rFonts w:ascii="Arial" w:hAnsi="Arial" w:cs="Arial"/>
          <w:sz w:val="22"/>
        </w:rPr>
        <w:t>%.</w:t>
      </w:r>
    </w:p>
    <w:p w:rsidR="003E69EB" w:rsidRDefault="003E69EB" w:rsidP="00293E6A">
      <w:pPr>
        <w:rPr>
          <w:rFonts w:ascii="Arial" w:hAnsi="Arial" w:cs="Arial"/>
          <w:sz w:val="22"/>
        </w:rPr>
      </w:pPr>
    </w:p>
    <w:p w:rsidR="009E4794" w:rsidRDefault="004E6B66" w:rsidP="00293E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Kontrolovány byly č</w:t>
      </w:r>
      <w:r w:rsidRPr="00B44E07">
        <w:rPr>
          <w:rFonts w:ascii="Arial" w:hAnsi="Arial" w:cs="Arial"/>
          <w:sz w:val="22"/>
        </w:rPr>
        <w:t xml:space="preserve">innosti a skutečnosti, které byly předmětem účetnictví a měly vliv na hodnotu kontrolovaných významných konečných zůstatků účtů v účetní závěrce </w:t>
      </w:r>
      <w:r w:rsidR="00CF05D0">
        <w:rPr>
          <w:rFonts w:ascii="Arial" w:hAnsi="Arial" w:cs="Arial"/>
          <w:sz w:val="22"/>
        </w:rPr>
        <w:t xml:space="preserve">(dále také </w:t>
      </w:r>
      <w:r w:rsidR="00CF05D0">
        <w:rPr>
          <w:rFonts w:ascii="Arial" w:hAnsi="Arial" w:cs="Arial"/>
          <w:sz w:val="22"/>
        </w:rPr>
        <w:lastRenderedPageBreak/>
        <w:t xml:space="preserve">„ÚZ“) </w:t>
      </w:r>
      <w:r w:rsidRPr="00B44E07">
        <w:rPr>
          <w:rFonts w:ascii="Arial" w:hAnsi="Arial" w:cs="Arial"/>
          <w:sz w:val="22"/>
        </w:rPr>
        <w:t>Minister</w:t>
      </w:r>
      <w:r w:rsidR="00A41850">
        <w:rPr>
          <w:rFonts w:ascii="Arial" w:hAnsi="Arial" w:cs="Arial"/>
          <w:sz w:val="22"/>
        </w:rPr>
        <w:t xml:space="preserve">stva </w:t>
      </w:r>
      <w:r w:rsidR="00CF05D0">
        <w:rPr>
          <w:rFonts w:ascii="Arial" w:hAnsi="Arial" w:cs="Arial"/>
          <w:sz w:val="22"/>
        </w:rPr>
        <w:t>dopravy</w:t>
      </w:r>
      <w:r w:rsidR="00A41850">
        <w:rPr>
          <w:rFonts w:ascii="Arial" w:hAnsi="Arial" w:cs="Arial"/>
          <w:sz w:val="22"/>
        </w:rPr>
        <w:t xml:space="preserve"> za rok 201</w:t>
      </w:r>
      <w:r w:rsidR="00CF05D0">
        <w:rPr>
          <w:rFonts w:ascii="Arial" w:hAnsi="Arial" w:cs="Arial"/>
          <w:sz w:val="22"/>
        </w:rPr>
        <w:t>3</w:t>
      </w:r>
      <w:r w:rsidRPr="00B44E0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</w:t>
      </w:r>
      <w:r w:rsidRPr="00B44E07">
        <w:rPr>
          <w:rFonts w:ascii="Arial" w:hAnsi="Arial" w:cs="Arial"/>
          <w:sz w:val="22"/>
        </w:rPr>
        <w:t>na hodnotu významných údajů ve fi</w:t>
      </w:r>
      <w:r w:rsidR="00A41850">
        <w:rPr>
          <w:rFonts w:ascii="Arial" w:hAnsi="Arial" w:cs="Arial"/>
          <w:sz w:val="22"/>
        </w:rPr>
        <w:t xml:space="preserve">nančních výkazech Ministerstva </w:t>
      </w:r>
      <w:r w:rsidR="00CF05D0">
        <w:rPr>
          <w:rFonts w:ascii="Arial" w:hAnsi="Arial" w:cs="Arial"/>
          <w:sz w:val="22"/>
        </w:rPr>
        <w:t>dopravy</w:t>
      </w:r>
      <w:r w:rsidR="00A41850">
        <w:rPr>
          <w:rFonts w:ascii="Arial" w:hAnsi="Arial" w:cs="Arial"/>
          <w:sz w:val="22"/>
        </w:rPr>
        <w:t xml:space="preserve"> za rok 201</w:t>
      </w:r>
      <w:r w:rsidR="00CF05D0">
        <w:rPr>
          <w:rFonts w:ascii="Arial" w:hAnsi="Arial" w:cs="Arial"/>
          <w:sz w:val="22"/>
        </w:rPr>
        <w:t>3</w:t>
      </w:r>
      <w:r w:rsidRPr="00B44E07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na z</w:t>
      </w:r>
      <w:r w:rsidRPr="00B44E07">
        <w:rPr>
          <w:rFonts w:ascii="Arial" w:hAnsi="Arial" w:cs="Arial"/>
          <w:sz w:val="22"/>
        </w:rPr>
        <w:t xml:space="preserve">ávěrečný účet </w:t>
      </w:r>
      <w:r w:rsidR="00A41850">
        <w:rPr>
          <w:rFonts w:ascii="Arial" w:hAnsi="Arial" w:cs="Arial"/>
          <w:sz w:val="22"/>
        </w:rPr>
        <w:t>kapitoly M</w:t>
      </w:r>
      <w:r w:rsidR="00CF05D0">
        <w:rPr>
          <w:rFonts w:ascii="Arial" w:hAnsi="Arial" w:cs="Arial"/>
          <w:sz w:val="22"/>
        </w:rPr>
        <w:t>D</w:t>
      </w:r>
      <w:r w:rsidR="00A41850">
        <w:rPr>
          <w:rFonts w:ascii="Arial" w:hAnsi="Arial" w:cs="Arial"/>
          <w:sz w:val="22"/>
        </w:rPr>
        <w:t xml:space="preserve"> za rok 201</w:t>
      </w:r>
      <w:r w:rsidR="00CF05D0">
        <w:rPr>
          <w:rFonts w:ascii="Arial" w:hAnsi="Arial" w:cs="Arial"/>
          <w:sz w:val="22"/>
        </w:rPr>
        <w:t>3</w:t>
      </w:r>
      <w:r w:rsidRPr="00B44E07">
        <w:rPr>
          <w:rFonts w:ascii="Arial" w:hAnsi="Arial" w:cs="Arial"/>
          <w:sz w:val="22"/>
        </w:rPr>
        <w:t>.</w:t>
      </w:r>
      <w:r w:rsidR="009E4794">
        <w:rPr>
          <w:rFonts w:ascii="Arial" w:hAnsi="Arial" w:cs="Arial"/>
          <w:sz w:val="22"/>
        </w:rPr>
        <w:t xml:space="preserve"> </w:t>
      </w:r>
    </w:p>
    <w:p w:rsidR="003E69EB" w:rsidRDefault="003E69EB" w:rsidP="00293E6A">
      <w:pPr>
        <w:rPr>
          <w:rFonts w:ascii="Arial" w:hAnsi="Arial" w:cs="Arial"/>
          <w:sz w:val="22"/>
        </w:rPr>
      </w:pPr>
    </w:p>
    <w:p w:rsidR="004F7348" w:rsidRDefault="009E4794" w:rsidP="00293E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Kontrolní akce </w:t>
      </w:r>
      <w:r w:rsidRPr="009E0231">
        <w:rPr>
          <w:rFonts w:ascii="Arial" w:hAnsi="Arial" w:cs="Arial"/>
          <w:sz w:val="22"/>
        </w:rPr>
        <w:t xml:space="preserve">byla zaměřena zejména na správnost, úplnost, průkaznost a srozumitelnost vedení účetnictví a na dodržení uspořádání, označení a obsahového vymezení položek účetní závěrky MD sestavené k 31. prosinci 2013. </w:t>
      </w:r>
      <w:r w:rsidR="00DC276E">
        <w:rPr>
          <w:rFonts w:ascii="Arial" w:hAnsi="Arial" w:cs="Arial"/>
          <w:sz w:val="22"/>
        </w:rPr>
        <w:t>U</w:t>
      </w:r>
      <w:r w:rsidRPr="009E0231">
        <w:rPr>
          <w:rFonts w:ascii="Arial" w:hAnsi="Arial" w:cs="Arial"/>
          <w:sz w:val="22"/>
        </w:rPr>
        <w:t xml:space="preserve"> finančních výkazů se kontrola zaměřila zejména na rozsah údajů předkládaných pro hodnocení plnění</w:t>
      </w:r>
      <w:r w:rsidR="00E81643">
        <w:rPr>
          <w:rFonts w:ascii="Arial" w:hAnsi="Arial" w:cs="Arial"/>
          <w:sz w:val="22"/>
        </w:rPr>
        <w:t xml:space="preserve"> státního rozpočtu a </w:t>
      </w:r>
      <w:r w:rsidRPr="009E0231">
        <w:rPr>
          <w:rFonts w:ascii="Arial" w:hAnsi="Arial" w:cs="Arial"/>
          <w:sz w:val="22"/>
        </w:rPr>
        <w:t>na dodržení rozpočtové skladby.</w:t>
      </w:r>
      <w:r>
        <w:rPr>
          <w:rFonts w:ascii="Arial" w:hAnsi="Arial" w:cs="Arial"/>
          <w:sz w:val="22"/>
        </w:rPr>
        <w:t xml:space="preserve"> </w:t>
      </w:r>
    </w:p>
    <w:p w:rsidR="003E69EB" w:rsidRDefault="003E69EB" w:rsidP="00293E6A">
      <w:pPr>
        <w:rPr>
          <w:rFonts w:ascii="Arial" w:hAnsi="Arial" w:cs="Arial"/>
          <w:sz w:val="22"/>
        </w:rPr>
      </w:pPr>
    </w:p>
    <w:p w:rsidR="004E6B66" w:rsidRDefault="004F7348" w:rsidP="00293E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Kontrol</w:t>
      </w:r>
      <w:r w:rsidR="00AC08F8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byl</w:t>
      </w:r>
      <w:r w:rsidR="00AC08F8">
        <w:rPr>
          <w:rFonts w:ascii="Arial" w:hAnsi="Arial" w:cs="Arial"/>
          <w:sz w:val="22"/>
        </w:rPr>
        <w:t xml:space="preserve">a u položek </w:t>
      </w:r>
      <w:r w:rsidR="00AF139F">
        <w:rPr>
          <w:rFonts w:ascii="Arial" w:hAnsi="Arial" w:cs="Arial"/>
          <w:sz w:val="22"/>
        </w:rPr>
        <w:t xml:space="preserve">účetní závěrky </w:t>
      </w:r>
      <w:r w:rsidR="00AC08F8">
        <w:rPr>
          <w:rFonts w:ascii="Arial" w:hAnsi="Arial" w:cs="Arial"/>
          <w:sz w:val="22"/>
        </w:rPr>
        <w:t xml:space="preserve">a finančních výkazů </w:t>
      </w:r>
      <w:r w:rsidR="00CF05D0">
        <w:rPr>
          <w:rFonts w:ascii="Arial" w:hAnsi="Arial" w:cs="Arial"/>
          <w:sz w:val="22"/>
        </w:rPr>
        <w:t xml:space="preserve">provedena </w:t>
      </w:r>
      <w:r w:rsidR="00AC08F8">
        <w:rPr>
          <w:rFonts w:ascii="Arial" w:hAnsi="Arial" w:cs="Arial"/>
          <w:sz w:val="22"/>
        </w:rPr>
        <w:t>výběrovým způsobem</w:t>
      </w:r>
      <w:r w:rsidR="00CF05D0">
        <w:rPr>
          <w:rFonts w:ascii="Arial" w:hAnsi="Arial" w:cs="Arial"/>
          <w:sz w:val="22"/>
        </w:rPr>
        <w:t xml:space="preserve">, </w:t>
      </w:r>
      <w:r w:rsidR="00DC276E">
        <w:rPr>
          <w:rFonts w:ascii="Arial" w:hAnsi="Arial" w:cs="Arial"/>
          <w:sz w:val="22"/>
        </w:rPr>
        <w:t xml:space="preserve">a to </w:t>
      </w:r>
      <w:r w:rsidR="00CF05D0">
        <w:rPr>
          <w:rFonts w:ascii="Arial" w:hAnsi="Arial" w:cs="Arial"/>
          <w:sz w:val="22"/>
        </w:rPr>
        <w:t xml:space="preserve">se zaměřením na rizika </w:t>
      </w:r>
      <w:r w:rsidR="00AC08F8">
        <w:rPr>
          <w:rFonts w:ascii="Arial" w:hAnsi="Arial" w:cs="Arial"/>
          <w:sz w:val="22"/>
        </w:rPr>
        <w:t>v návaznosti na jejich významnost.</w:t>
      </w:r>
      <w:r w:rsidR="004E6B66" w:rsidRPr="00B44E07">
        <w:rPr>
          <w:rFonts w:ascii="Arial" w:hAnsi="Arial" w:cs="Arial"/>
          <w:sz w:val="22"/>
        </w:rPr>
        <w:t xml:space="preserve"> </w:t>
      </w:r>
    </w:p>
    <w:p w:rsidR="003E69EB" w:rsidRDefault="003E69EB" w:rsidP="00293E6A">
      <w:pPr>
        <w:rPr>
          <w:rFonts w:ascii="Arial" w:hAnsi="Arial" w:cs="Arial"/>
          <w:sz w:val="22"/>
        </w:rPr>
      </w:pPr>
    </w:p>
    <w:p w:rsidR="00CD16C7" w:rsidRDefault="00CD16C7" w:rsidP="00293E6A">
      <w:pPr>
        <w:rPr>
          <w:rFonts w:ascii="Arial" w:hAnsi="Arial" w:cs="Arial"/>
          <w:sz w:val="22"/>
        </w:rPr>
      </w:pPr>
      <w:r w:rsidRPr="009E0231">
        <w:rPr>
          <w:rFonts w:ascii="Arial" w:hAnsi="Arial" w:cs="Arial"/>
          <w:sz w:val="22"/>
        </w:rPr>
        <w:t>U závěrečného účtu bylo posouzeno, zda poskytuje všechny předepsané informace dle právní</w:t>
      </w:r>
      <w:r w:rsidR="005D6565">
        <w:rPr>
          <w:rFonts w:ascii="Arial" w:hAnsi="Arial" w:cs="Arial"/>
          <w:sz w:val="22"/>
        </w:rPr>
        <w:t>ch</w:t>
      </w:r>
      <w:r w:rsidRPr="009E0231">
        <w:rPr>
          <w:rFonts w:ascii="Arial" w:hAnsi="Arial" w:cs="Arial"/>
          <w:sz w:val="22"/>
        </w:rPr>
        <w:t xml:space="preserve"> předpis</w:t>
      </w:r>
      <w:r w:rsidR="005D6565">
        <w:rPr>
          <w:rFonts w:ascii="Arial" w:hAnsi="Arial" w:cs="Arial"/>
          <w:sz w:val="22"/>
        </w:rPr>
        <w:t>ů</w:t>
      </w:r>
      <w:r w:rsidRPr="009E0231">
        <w:rPr>
          <w:rFonts w:ascii="Arial" w:hAnsi="Arial" w:cs="Arial"/>
          <w:sz w:val="22"/>
        </w:rPr>
        <w:t>.</w:t>
      </w:r>
    </w:p>
    <w:p w:rsidR="003E69EB" w:rsidRDefault="003E69EB" w:rsidP="00293E6A">
      <w:pPr>
        <w:rPr>
          <w:rFonts w:ascii="Arial" w:hAnsi="Arial" w:cs="Arial"/>
          <w:sz w:val="22"/>
        </w:rPr>
      </w:pPr>
    </w:p>
    <w:p w:rsidR="0022446F" w:rsidRPr="00EC672E" w:rsidRDefault="0022446F" w:rsidP="0022446F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Tato kontrolní akce svým zamě</w:t>
      </w:r>
      <w:r w:rsidR="00FA78D3">
        <w:rPr>
          <w:rFonts w:ascii="Arial" w:hAnsi="Arial" w:cs="Arial"/>
          <w:sz w:val="22"/>
        </w:rPr>
        <w:t>řením navazuje na kontrolní akce</w:t>
      </w:r>
      <w:r w:rsidRPr="00EC672E">
        <w:rPr>
          <w:rFonts w:ascii="Arial" w:hAnsi="Arial" w:cs="Arial"/>
          <w:sz w:val="22"/>
        </w:rPr>
        <w:t xml:space="preserve"> NKÚ č. 09/22</w:t>
      </w:r>
      <w:r>
        <w:rPr>
          <w:rFonts w:ascii="Arial" w:hAnsi="Arial" w:cs="Arial"/>
          <w:sz w:val="22"/>
        </w:rPr>
        <w:t xml:space="preserve"> a 12/14</w:t>
      </w:r>
      <w:r w:rsidR="001339B4">
        <w:rPr>
          <w:rStyle w:val="Znakapoznpodarou"/>
          <w:rFonts w:ascii="Arial" w:hAnsi="Arial" w:cs="Arial"/>
          <w:sz w:val="22"/>
        </w:rPr>
        <w:footnoteReference w:id="1"/>
      </w:r>
      <w:r w:rsidRPr="00EC672E">
        <w:rPr>
          <w:rFonts w:ascii="Arial" w:hAnsi="Arial" w:cs="Arial"/>
          <w:sz w:val="22"/>
        </w:rPr>
        <w:t>.</w:t>
      </w:r>
    </w:p>
    <w:p w:rsidR="0022446F" w:rsidRDefault="0022446F" w:rsidP="004E6B66">
      <w:pPr>
        <w:rPr>
          <w:rFonts w:ascii="Arial" w:hAnsi="Arial" w:cs="Arial"/>
          <w:sz w:val="22"/>
        </w:rPr>
      </w:pPr>
    </w:p>
    <w:p w:rsidR="007948A4" w:rsidRDefault="007948A4" w:rsidP="004E6B66">
      <w:pPr>
        <w:rPr>
          <w:rFonts w:ascii="Arial" w:hAnsi="Arial" w:cs="Arial"/>
          <w:sz w:val="22"/>
        </w:rPr>
      </w:pPr>
    </w:p>
    <w:p w:rsidR="004E6B66" w:rsidRPr="00E91032" w:rsidRDefault="004E6B66" w:rsidP="00E81643">
      <w:pPr>
        <w:ind w:left="652" w:hanging="652"/>
        <w:rPr>
          <w:rFonts w:ascii="Arial" w:hAnsi="Arial" w:cs="Arial"/>
          <w:iCs/>
          <w:sz w:val="18"/>
          <w:szCs w:val="18"/>
        </w:rPr>
      </w:pPr>
      <w:r w:rsidRPr="00524FE9">
        <w:rPr>
          <w:rFonts w:ascii="Arial" w:hAnsi="Arial" w:cs="Arial"/>
          <w:b/>
          <w:iCs/>
          <w:sz w:val="18"/>
          <w:szCs w:val="18"/>
        </w:rPr>
        <w:t>Pozn.: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Pr="00E91032">
        <w:rPr>
          <w:rFonts w:ascii="Arial" w:hAnsi="Arial" w:cs="Arial"/>
          <w:iCs/>
          <w:sz w:val="18"/>
          <w:szCs w:val="18"/>
        </w:rPr>
        <w:t xml:space="preserve">Všechny právní předpisy uváděné </w:t>
      </w:r>
      <w:r w:rsidR="0044342E">
        <w:rPr>
          <w:rFonts w:ascii="Arial" w:hAnsi="Arial" w:cs="Arial"/>
          <w:iCs/>
          <w:sz w:val="18"/>
          <w:szCs w:val="18"/>
        </w:rPr>
        <w:t>v </w:t>
      </w:r>
      <w:r w:rsidRPr="00E91032">
        <w:rPr>
          <w:rFonts w:ascii="Arial" w:hAnsi="Arial" w:cs="Arial"/>
          <w:iCs/>
          <w:sz w:val="18"/>
          <w:szCs w:val="18"/>
        </w:rPr>
        <w:t>tomto kontrolním závěru jsou aplikovány ve znění účinném pro kontrolované období.</w:t>
      </w:r>
    </w:p>
    <w:p w:rsidR="004E6B66" w:rsidRDefault="004E6B66" w:rsidP="00293E6A">
      <w:pPr>
        <w:rPr>
          <w:rFonts w:ascii="Arial" w:hAnsi="Arial" w:cs="Arial"/>
          <w:sz w:val="22"/>
        </w:rPr>
      </w:pPr>
    </w:p>
    <w:p w:rsidR="00750ACD" w:rsidRPr="008B533C" w:rsidRDefault="00750ACD" w:rsidP="00293E6A">
      <w:pPr>
        <w:rPr>
          <w:rFonts w:ascii="Arial" w:hAnsi="Arial" w:cs="Arial"/>
          <w:sz w:val="22"/>
        </w:rPr>
      </w:pPr>
    </w:p>
    <w:p w:rsidR="004E6B66" w:rsidRPr="00741C30" w:rsidRDefault="004E6B66" w:rsidP="00293E6A">
      <w:pPr>
        <w:jc w:val="center"/>
        <w:rPr>
          <w:rFonts w:ascii="Arial" w:hAnsi="Arial" w:cs="Arial"/>
          <w:b/>
        </w:rPr>
      </w:pPr>
      <w:r w:rsidRPr="00741C30">
        <w:rPr>
          <w:rFonts w:ascii="Arial" w:hAnsi="Arial" w:cs="Arial"/>
          <w:b/>
        </w:rPr>
        <w:t>II. Skutečnosti zjištěné při kontrole</w:t>
      </w:r>
    </w:p>
    <w:p w:rsidR="003E69EB" w:rsidRDefault="003E69EB" w:rsidP="00293E6A">
      <w:pPr>
        <w:rPr>
          <w:rFonts w:ascii="Arial" w:hAnsi="Arial" w:cs="Arial"/>
          <w:b/>
          <w:sz w:val="22"/>
        </w:rPr>
      </w:pPr>
    </w:p>
    <w:p w:rsidR="004E6B66" w:rsidRPr="00741C30" w:rsidRDefault="00CF30BA" w:rsidP="00293E6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 Účetní závěrka M</w:t>
      </w:r>
      <w:r w:rsidR="00A00634">
        <w:rPr>
          <w:rFonts w:ascii="Arial" w:hAnsi="Arial" w:cs="Arial"/>
          <w:b/>
          <w:sz w:val="22"/>
        </w:rPr>
        <w:t>D</w:t>
      </w:r>
      <w:r>
        <w:rPr>
          <w:rFonts w:ascii="Arial" w:hAnsi="Arial" w:cs="Arial"/>
          <w:b/>
          <w:sz w:val="22"/>
        </w:rPr>
        <w:t xml:space="preserve"> </w:t>
      </w:r>
      <w:r w:rsidR="0044342E">
        <w:rPr>
          <w:rFonts w:ascii="Arial" w:hAnsi="Arial" w:cs="Arial"/>
          <w:b/>
          <w:sz w:val="22"/>
        </w:rPr>
        <w:t>k </w:t>
      </w:r>
      <w:r>
        <w:rPr>
          <w:rFonts w:ascii="Arial" w:hAnsi="Arial" w:cs="Arial"/>
          <w:b/>
          <w:sz w:val="22"/>
        </w:rPr>
        <w:t>31. prosinci 201</w:t>
      </w:r>
      <w:r w:rsidR="00A00634">
        <w:rPr>
          <w:rFonts w:ascii="Arial" w:hAnsi="Arial" w:cs="Arial"/>
          <w:b/>
          <w:sz w:val="22"/>
        </w:rPr>
        <w:t>3</w:t>
      </w:r>
    </w:p>
    <w:p w:rsidR="003E69EB" w:rsidRDefault="003E69EB" w:rsidP="003534AE">
      <w:pPr>
        <w:rPr>
          <w:rFonts w:ascii="Arial" w:hAnsi="Arial" w:cs="Arial"/>
          <w:sz w:val="22"/>
        </w:rPr>
      </w:pPr>
    </w:p>
    <w:p w:rsidR="005E431D" w:rsidRDefault="005E431D" w:rsidP="003534A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MD</w:t>
      </w:r>
      <w:r w:rsidRPr="00741C30">
        <w:rPr>
          <w:rFonts w:ascii="Arial" w:hAnsi="Arial" w:cs="Arial"/>
          <w:sz w:val="22"/>
        </w:rPr>
        <w:t xml:space="preserve"> sestavilo ÚZ </w:t>
      </w:r>
      <w:r w:rsidR="00FB03BD">
        <w:rPr>
          <w:rFonts w:ascii="Arial" w:hAnsi="Arial" w:cs="Arial"/>
          <w:sz w:val="22"/>
        </w:rPr>
        <w:t xml:space="preserve">k 31. 12. 2013 </w:t>
      </w:r>
      <w:r w:rsidR="0044342E">
        <w:rPr>
          <w:rFonts w:ascii="Arial" w:hAnsi="Arial" w:cs="Arial"/>
          <w:sz w:val="22"/>
        </w:rPr>
        <w:t>v </w:t>
      </w:r>
      <w:r w:rsidRPr="00741C30">
        <w:rPr>
          <w:rFonts w:ascii="Arial" w:hAnsi="Arial" w:cs="Arial"/>
          <w:sz w:val="22"/>
        </w:rPr>
        <w:t xml:space="preserve">rozsahu dle </w:t>
      </w:r>
      <w:r w:rsidRPr="00741C30">
        <w:rPr>
          <w:rFonts w:ascii="Arial" w:hAnsi="Arial" w:cs="Arial"/>
          <w:bCs/>
          <w:sz w:val="22"/>
        </w:rPr>
        <w:t xml:space="preserve">§ 18 odst. 1 zákona </w:t>
      </w:r>
      <w:r w:rsidR="001F0C24">
        <w:rPr>
          <w:rFonts w:ascii="Arial" w:hAnsi="Arial" w:cs="Arial"/>
          <w:bCs/>
          <w:sz w:val="22"/>
        </w:rPr>
        <w:t xml:space="preserve">č. 563/1991 Sb., </w:t>
      </w:r>
      <w:r w:rsidR="00CD3605">
        <w:rPr>
          <w:rFonts w:ascii="Arial" w:hAnsi="Arial" w:cs="Arial"/>
          <w:bCs/>
          <w:sz w:val="22"/>
        </w:rPr>
        <w:t>o </w:t>
      </w:r>
      <w:r>
        <w:rPr>
          <w:rFonts w:ascii="Arial" w:hAnsi="Arial" w:cs="Arial"/>
          <w:bCs/>
          <w:sz w:val="22"/>
        </w:rPr>
        <w:t>účetnictví, tj. </w:t>
      </w:r>
      <w:r w:rsidRPr="00741C30">
        <w:rPr>
          <w:rFonts w:ascii="Arial" w:hAnsi="Arial" w:cs="Arial"/>
          <w:bCs/>
          <w:sz w:val="22"/>
        </w:rPr>
        <w:t xml:space="preserve">sestavilo </w:t>
      </w:r>
      <w:r>
        <w:rPr>
          <w:rFonts w:ascii="Arial" w:hAnsi="Arial" w:cs="Arial"/>
          <w:bCs/>
          <w:sz w:val="22"/>
        </w:rPr>
        <w:t>r</w:t>
      </w:r>
      <w:r w:rsidRPr="00741C30">
        <w:rPr>
          <w:rFonts w:ascii="Arial" w:hAnsi="Arial" w:cs="Arial"/>
          <w:bCs/>
          <w:sz w:val="22"/>
        </w:rPr>
        <w:t xml:space="preserve">ozvahu, </w:t>
      </w:r>
      <w:r>
        <w:rPr>
          <w:rFonts w:ascii="Arial" w:hAnsi="Arial" w:cs="Arial"/>
          <w:bCs/>
          <w:sz w:val="22"/>
        </w:rPr>
        <w:t>v</w:t>
      </w:r>
      <w:r w:rsidRPr="00741C30">
        <w:rPr>
          <w:rFonts w:ascii="Arial" w:hAnsi="Arial" w:cs="Arial"/>
          <w:bCs/>
          <w:sz w:val="22"/>
        </w:rPr>
        <w:t xml:space="preserve">ýkaz zisku a ztráty, </w:t>
      </w:r>
      <w:r>
        <w:rPr>
          <w:rFonts w:ascii="Arial" w:hAnsi="Arial" w:cs="Arial"/>
          <w:bCs/>
          <w:sz w:val="22"/>
        </w:rPr>
        <w:t>p</w:t>
      </w:r>
      <w:r w:rsidRPr="00741C30">
        <w:rPr>
          <w:rFonts w:ascii="Arial" w:hAnsi="Arial" w:cs="Arial"/>
          <w:bCs/>
          <w:sz w:val="22"/>
        </w:rPr>
        <w:t xml:space="preserve">řílohu, </w:t>
      </w:r>
      <w:r>
        <w:rPr>
          <w:rFonts w:ascii="Arial" w:hAnsi="Arial" w:cs="Arial"/>
          <w:bCs/>
          <w:sz w:val="22"/>
        </w:rPr>
        <w:t>p</w:t>
      </w:r>
      <w:r w:rsidRPr="00741C30">
        <w:rPr>
          <w:rFonts w:ascii="Arial" w:hAnsi="Arial" w:cs="Arial"/>
          <w:bCs/>
          <w:sz w:val="22"/>
        </w:rPr>
        <w:t>řehled o peněžních tocích a</w:t>
      </w:r>
      <w:r>
        <w:rPr>
          <w:rFonts w:ascii="Arial" w:hAnsi="Arial" w:cs="Arial"/>
          <w:bCs/>
          <w:sz w:val="22"/>
        </w:rPr>
        <w:t> p</w:t>
      </w:r>
      <w:r w:rsidRPr="00741C30">
        <w:rPr>
          <w:rFonts w:ascii="Arial" w:hAnsi="Arial" w:cs="Arial"/>
          <w:bCs/>
          <w:sz w:val="22"/>
        </w:rPr>
        <w:t xml:space="preserve">řehled o změnách </w:t>
      </w:r>
      <w:r w:rsidRPr="00C5178A">
        <w:rPr>
          <w:rFonts w:ascii="Arial" w:hAnsi="Arial" w:cs="Arial"/>
          <w:bCs/>
          <w:sz w:val="22"/>
        </w:rPr>
        <w:t>vlastního kapitálu.</w:t>
      </w:r>
      <w:r w:rsidR="00FB03BD">
        <w:rPr>
          <w:rFonts w:ascii="Arial" w:hAnsi="Arial" w:cs="Arial"/>
          <w:bCs/>
          <w:sz w:val="22"/>
        </w:rPr>
        <w:t xml:space="preserve"> </w:t>
      </w:r>
    </w:p>
    <w:p w:rsidR="00CD3605" w:rsidRPr="003534AE" w:rsidRDefault="00CD3605" w:rsidP="003534AE">
      <w:pPr>
        <w:rPr>
          <w:rFonts w:ascii="Arial" w:hAnsi="Arial" w:cs="Arial"/>
          <w:color w:val="000000"/>
        </w:rPr>
      </w:pPr>
    </w:p>
    <w:p w:rsidR="003534AE" w:rsidRPr="00293E6A" w:rsidRDefault="003534AE" w:rsidP="00293E6A">
      <w:pPr>
        <w:tabs>
          <w:tab w:val="right" w:pos="9072"/>
        </w:tabs>
        <w:spacing w:after="20"/>
        <w:ind w:left="1622" w:hanging="1622"/>
        <w:rPr>
          <w:rFonts w:ascii="Arial" w:hAnsi="Arial" w:cs="Arial"/>
          <w:b/>
          <w:color w:val="000000"/>
          <w:sz w:val="22"/>
        </w:rPr>
      </w:pPr>
      <w:r w:rsidRPr="00293E6A">
        <w:rPr>
          <w:rFonts w:ascii="Arial" w:hAnsi="Arial" w:cs="Arial"/>
          <w:b/>
          <w:color w:val="000000"/>
          <w:sz w:val="22"/>
        </w:rPr>
        <w:t>Tabulka č. 1 – Základní údaje účetní závěrky MD k 31. prosinci 2013</w:t>
      </w:r>
      <w:r w:rsidRPr="00293E6A">
        <w:rPr>
          <w:rFonts w:ascii="Arial" w:hAnsi="Arial" w:cs="Arial"/>
          <w:b/>
          <w:color w:val="000000"/>
          <w:sz w:val="22"/>
        </w:rPr>
        <w:tab/>
        <w:t>(v Kč)</w:t>
      </w:r>
    </w:p>
    <w:tbl>
      <w:tblPr>
        <w:tblW w:w="4962" w:type="pct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607"/>
        <w:gridCol w:w="4679"/>
        <w:gridCol w:w="2019"/>
      </w:tblGrid>
      <w:tr w:rsidR="00846DE1" w:rsidRPr="003534AE" w:rsidTr="00293E6A">
        <w:trPr>
          <w:trHeight w:val="283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46DE1" w:rsidRPr="003534AE" w:rsidRDefault="00846DE1" w:rsidP="00EC28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Výkaz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46DE1" w:rsidRPr="003534AE" w:rsidRDefault="00846DE1" w:rsidP="00846D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34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46DE1" w:rsidRPr="003534AE" w:rsidRDefault="00846DE1" w:rsidP="00EC28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34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Účetní hodnota</w:t>
            </w:r>
          </w:p>
        </w:tc>
      </w:tr>
      <w:tr w:rsidR="001F0D6F" w:rsidRPr="003534AE" w:rsidTr="00293E6A">
        <w:trPr>
          <w:trHeight w:val="280"/>
          <w:jc w:val="center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3FE6" w:rsidRPr="003534AE" w:rsidRDefault="003F3FE6" w:rsidP="005C7E7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ROZVAHA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FE6" w:rsidRPr="003534AE" w:rsidRDefault="003F3FE6" w:rsidP="005C7E78">
            <w:pPr>
              <w:ind w:right="1708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534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Aktiva (netto)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FE6" w:rsidRPr="003534AE" w:rsidRDefault="003F3FE6" w:rsidP="001F0D6F">
            <w:pPr>
              <w:ind w:right="2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60 511 514 771,53</w:t>
            </w:r>
          </w:p>
        </w:tc>
      </w:tr>
      <w:tr w:rsidR="001F0D6F" w:rsidRPr="003534AE" w:rsidTr="00293E6A">
        <w:trPr>
          <w:trHeight w:val="124"/>
          <w:jc w:val="center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3FE6" w:rsidRDefault="003F3FE6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FE6" w:rsidRPr="00252BF5" w:rsidRDefault="003F3FE6" w:rsidP="005C7E78">
            <w:pPr>
              <w:tabs>
                <w:tab w:val="left" w:pos="1601"/>
              </w:tabs>
              <w:ind w:right="122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52BF5"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931532"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  <w:tab/>
            </w:r>
            <w:r w:rsidRPr="00252BF5"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  <w:t xml:space="preserve"> z toho </w:t>
            </w: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ab/>
              <w:t>stálá aktiva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FE6" w:rsidRPr="00252BF5" w:rsidRDefault="003F3FE6" w:rsidP="00852F84">
            <w:pPr>
              <w:ind w:right="14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40 536 555 427,37</w:t>
            </w:r>
          </w:p>
        </w:tc>
      </w:tr>
      <w:tr w:rsidR="005520D1" w:rsidRPr="003534AE" w:rsidTr="00293E6A">
        <w:trPr>
          <w:trHeight w:val="99"/>
          <w:jc w:val="center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3FE6" w:rsidRDefault="003F3FE6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FE6" w:rsidRPr="00252BF5" w:rsidRDefault="003F3FE6" w:rsidP="005C7E78">
            <w:pPr>
              <w:tabs>
                <w:tab w:val="left" w:pos="1601"/>
              </w:tabs>
              <w:ind w:right="122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ab/>
            </w:r>
            <w:r w:rsidR="0093153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ab/>
            </w:r>
            <w:r w:rsidR="0093153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ab/>
            </w: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oběžná aktiva</w:t>
            </w: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ab/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FE6" w:rsidRPr="00252BF5" w:rsidRDefault="003F3FE6" w:rsidP="003F3FE6">
            <w:pPr>
              <w:ind w:right="14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19 974 959 344,16</w:t>
            </w:r>
          </w:p>
        </w:tc>
      </w:tr>
      <w:tr w:rsidR="00AC3ECA" w:rsidRPr="003534AE" w:rsidTr="00293E6A">
        <w:trPr>
          <w:trHeight w:val="292"/>
          <w:jc w:val="center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E6" w:rsidRPr="003534AE" w:rsidRDefault="003F3FE6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FE6" w:rsidRPr="003534AE" w:rsidRDefault="003F3FE6" w:rsidP="003F3FE6">
            <w:pPr>
              <w:ind w:right="1708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534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Pasiva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FE6" w:rsidRPr="003534AE" w:rsidRDefault="003F3FE6" w:rsidP="001F0D6F">
            <w:pPr>
              <w:ind w:right="2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60 511 514 771,53</w:t>
            </w:r>
          </w:p>
        </w:tc>
      </w:tr>
      <w:tr w:rsidR="003F3FE6" w:rsidRPr="003534AE" w:rsidTr="00293E6A">
        <w:trPr>
          <w:trHeight w:val="135"/>
          <w:jc w:val="center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3FE6" w:rsidRPr="003534AE" w:rsidRDefault="003F3FE6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FE6" w:rsidRPr="00252BF5" w:rsidRDefault="003F3FE6" w:rsidP="003F3FE6">
            <w:pPr>
              <w:tabs>
                <w:tab w:val="left" w:pos="1601"/>
              </w:tabs>
              <w:ind w:right="122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52BF5"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931532"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  <w:tab/>
            </w:r>
            <w:r w:rsidRPr="00252BF5"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  <w:t xml:space="preserve"> z toho </w:t>
            </w: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ab/>
              <w:t>vlastní kapitál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FE6" w:rsidRPr="00252BF5" w:rsidRDefault="003F3FE6" w:rsidP="003F3FE6">
            <w:pPr>
              <w:ind w:right="14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51 249 161 958,23</w:t>
            </w:r>
          </w:p>
        </w:tc>
      </w:tr>
      <w:tr w:rsidR="003F3FE6" w:rsidRPr="003534AE" w:rsidTr="00293E6A">
        <w:trPr>
          <w:trHeight w:val="136"/>
          <w:jc w:val="center"/>
        </w:trPr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E6" w:rsidRPr="003534AE" w:rsidRDefault="003F3FE6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E6" w:rsidRPr="00252BF5" w:rsidRDefault="003F3FE6" w:rsidP="00852F84">
            <w:pPr>
              <w:tabs>
                <w:tab w:val="left" w:pos="1601"/>
              </w:tabs>
              <w:ind w:right="122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ab/>
            </w:r>
            <w:r w:rsidR="0093153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ab/>
            </w:r>
            <w:r w:rsidR="0093153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ab/>
            </w: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cizí zdroje</w:t>
            </w: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ab/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E6" w:rsidRPr="00252BF5" w:rsidRDefault="003F3FE6" w:rsidP="00852F84">
            <w:pPr>
              <w:ind w:right="14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52BF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9 262 352 813,30</w:t>
            </w:r>
          </w:p>
        </w:tc>
      </w:tr>
      <w:tr w:rsidR="005520D1" w:rsidRPr="003534AE" w:rsidTr="00293E6A">
        <w:trPr>
          <w:trHeight w:val="272"/>
          <w:jc w:val="center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ECA" w:rsidRDefault="005520D1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VÝKAZ ZISKU </w:t>
            </w:r>
          </w:p>
          <w:p w:rsidR="005520D1" w:rsidRPr="003534AE" w:rsidRDefault="005520D1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 ZTRÁTY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20D1" w:rsidRPr="003534AE" w:rsidRDefault="005520D1" w:rsidP="00852F84">
            <w:pPr>
              <w:ind w:right="1708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20D1" w:rsidRPr="003534AE" w:rsidRDefault="005520D1" w:rsidP="00852F84">
            <w:pPr>
              <w:ind w:right="2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28 765 357 031,45</w:t>
            </w:r>
          </w:p>
        </w:tc>
      </w:tr>
      <w:tr w:rsidR="005520D1" w:rsidRPr="003534AE" w:rsidTr="00293E6A">
        <w:trPr>
          <w:trHeight w:val="283"/>
          <w:jc w:val="center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20D1" w:rsidRPr="003534AE" w:rsidRDefault="005520D1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D1" w:rsidRPr="003534AE" w:rsidRDefault="005520D1" w:rsidP="00982428">
            <w:pPr>
              <w:ind w:right="1708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Výnosy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0D1" w:rsidRPr="003534AE" w:rsidRDefault="005520D1" w:rsidP="001F0D6F">
            <w:pPr>
              <w:ind w:right="2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383 566 041,09</w:t>
            </w:r>
          </w:p>
        </w:tc>
      </w:tr>
      <w:tr w:rsidR="005520D1" w:rsidRPr="003534AE" w:rsidTr="00293E6A">
        <w:trPr>
          <w:trHeight w:val="290"/>
          <w:jc w:val="center"/>
        </w:trPr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0D1" w:rsidRPr="003534AE" w:rsidRDefault="005520D1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1" w:rsidRPr="003534AE" w:rsidRDefault="005520D1" w:rsidP="00852F84">
            <w:pPr>
              <w:ind w:right="1256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Výslede</w:t>
            </w:r>
            <w:r w:rsidR="004434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hospodaření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1" w:rsidRPr="003534AE" w:rsidRDefault="00DC276E" w:rsidP="00293E6A">
            <w:pPr>
              <w:ind w:left="-212" w:right="28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163C52">
              <w:rPr>
                <w:rFonts w:ascii="Arial" w:hAnsi="Arial" w:cs="Arial"/>
                <w:sz w:val="18"/>
                <w:szCs w:val="18"/>
              </w:rPr>
              <w:t>−</w:t>
            </w:r>
            <w:r w:rsidR="005520D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28 381 790 990,36</w:t>
            </w:r>
          </w:p>
        </w:tc>
      </w:tr>
      <w:tr w:rsidR="005922BD" w:rsidRPr="003534AE" w:rsidTr="00293E6A">
        <w:trPr>
          <w:trHeight w:val="368"/>
          <w:jc w:val="center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2BD" w:rsidRDefault="005922BD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PŘÍLOHA</w:t>
            </w:r>
          </w:p>
          <w:p w:rsidR="005922BD" w:rsidRDefault="005922BD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922BD" w:rsidRPr="003534AE" w:rsidRDefault="005922BD" w:rsidP="005520D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(podrozvahové účty)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22BD" w:rsidRPr="005520D1" w:rsidRDefault="005922BD" w:rsidP="00DC276E">
            <w:pPr>
              <w:ind w:left="532" w:hanging="53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20D1">
              <w:rPr>
                <w:rFonts w:ascii="Arial" w:hAnsi="Arial" w:cs="Arial"/>
                <w:sz w:val="18"/>
                <w:szCs w:val="18"/>
              </w:rPr>
              <w:t>P.I</w:t>
            </w:r>
            <w:r w:rsidR="00DC276E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520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22BD" w:rsidRPr="005520D1" w:rsidRDefault="005922BD" w:rsidP="005922BD">
            <w:pPr>
              <w:ind w:left="532" w:hanging="6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20D1">
              <w:rPr>
                <w:rFonts w:ascii="Arial" w:hAnsi="Arial" w:cs="Arial"/>
                <w:sz w:val="18"/>
                <w:szCs w:val="18"/>
              </w:rPr>
              <w:t>Majetek účetní jednotky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2BD" w:rsidRPr="005520D1" w:rsidRDefault="005922BD" w:rsidP="005922BD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0D1">
              <w:rPr>
                <w:rFonts w:ascii="Arial" w:hAnsi="Arial" w:cs="Arial"/>
                <w:sz w:val="18"/>
                <w:szCs w:val="18"/>
              </w:rPr>
              <w:t>1 201 903,77</w:t>
            </w:r>
          </w:p>
        </w:tc>
      </w:tr>
      <w:tr w:rsidR="005922BD" w:rsidRPr="003534AE" w:rsidTr="00293E6A">
        <w:trPr>
          <w:trHeight w:val="283"/>
          <w:jc w:val="center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2BD" w:rsidRDefault="005922BD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2" w:type="pct"/>
            <w:tcBorders>
              <w:left w:val="single" w:sz="4" w:space="0" w:color="auto"/>
            </w:tcBorders>
            <w:vAlign w:val="center"/>
          </w:tcPr>
          <w:p w:rsidR="005922BD" w:rsidRPr="005520D1" w:rsidRDefault="005922BD" w:rsidP="00DC276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20D1">
              <w:rPr>
                <w:rFonts w:ascii="Arial" w:hAnsi="Arial" w:cs="Arial"/>
                <w:sz w:val="18"/>
                <w:szCs w:val="18"/>
              </w:rPr>
              <w:t>P.II</w:t>
            </w:r>
            <w:proofErr w:type="gramEnd"/>
            <w:r w:rsidR="00DC276E">
              <w:rPr>
                <w:rFonts w:ascii="Arial" w:hAnsi="Arial" w:cs="Arial"/>
                <w:sz w:val="18"/>
                <w:szCs w:val="18"/>
              </w:rPr>
              <w:t>.</w:t>
            </w:r>
            <w:r w:rsidRPr="005520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9" w:type="pct"/>
            <w:tcBorders>
              <w:right w:val="single" w:sz="4" w:space="0" w:color="auto"/>
            </w:tcBorders>
            <w:vAlign w:val="center"/>
          </w:tcPr>
          <w:p w:rsidR="005922BD" w:rsidRPr="005520D1" w:rsidRDefault="005922BD" w:rsidP="005922BD">
            <w:pPr>
              <w:ind w:left="-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20D1">
              <w:rPr>
                <w:rFonts w:ascii="Arial" w:hAnsi="Arial" w:cs="Arial"/>
                <w:sz w:val="18"/>
                <w:szCs w:val="18"/>
              </w:rPr>
              <w:t xml:space="preserve">Vyřazené pohledávky a závazky 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BD" w:rsidRPr="005520D1" w:rsidRDefault="005922BD" w:rsidP="005922BD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0D1">
              <w:rPr>
                <w:rFonts w:ascii="Arial" w:hAnsi="Arial" w:cs="Arial"/>
                <w:sz w:val="18"/>
                <w:szCs w:val="18"/>
              </w:rPr>
              <w:t>352 593,00</w:t>
            </w:r>
          </w:p>
        </w:tc>
      </w:tr>
      <w:tr w:rsidR="005922BD" w:rsidRPr="003534AE" w:rsidTr="00293E6A">
        <w:trPr>
          <w:trHeight w:val="283"/>
          <w:jc w:val="center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2BD" w:rsidRDefault="005922BD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2" w:type="pct"/>
            <w:tcBorders>
              <w:left w:val="single" w:sz="4" w:space="0" w:color="auto"/>
            </w:tcBorders>
            <w:vAlign w:val="center"/>
          </w:tcPr>
          <w:p w:rsidR="005922BD" w:rsidRPr="005520D1" w:rsidRDefault="005922BD" w:rsidP="00DC276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20D1">
              <w:rPr>
                <w:rFonts w:ascii="Arial" w:hAnsi="Arial" w:cs="Arial"/>
                <w:sz w:val="18"/>
                <w:szCs w:val="18"/>
              </w:rPr>
              <w:t>P.IV</w:t>
            </w:r>
            <w:proofErr w:type="gramEnd"/>
            <w:r w:rsidR="00DC276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9" w:type="pct"/>
            <w:tcBorders>
              <w:right w:val="single" w:sz="4" w:space="0" w:color="auto"/>
            </w:tcBorders>
            <w:vAlign w:val="center"/>
          </w:tcPr>
          <w:p w:rsidR="005922BD" w:rsidRPr="005520D1" w:rsidRDefault="005922BD" w:rsidP="005922BD">
            <w:pPr>
              <w:ind w:left="-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20D1">
              <w:rPr>
                <w:rFonts w:ascii="Arial" w:hAnsi="Arial" w:cs="Arial"/>
                <w:sz w:val="18"/>
                <w:szCs w:val="18"/>
              </w:rPr>
              <w:t>Další podmíněné pohledávky a ostatní podmíněná aktiva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BD" w:rsidRPr="005520D1" w:rsidRDefault="005922BD" w:rsidP="005922BD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0D1">
              <w:rPr>
                <w:rFonts w:ascii="Arial" w:hAnsi="Arial" w:cs="Arial"/>
                <w:sz w:val="18"/>
                <w:szCs w:val="18"/>
              </w:rPr>
              <w:t>162 129 483,26</w:t>
            </w:r>
          </w:p>
        </w:tc>
      </w:tr>
      <w:tr w:rsidR="005922BD" w:rsidRPr="003534AE" w:rsidTr="00293E6A">
        <w:trPr>
          <w:trHeight w:val="283"/>
          <w:jc w:val="center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2BD" w:rsidRDefault="005922BD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2" w:type="pct"/>
            <w:tcBorders>
              <w:left w:val="single" w:sz="4" w:space="0" w:color="auto"/>
            </w:tcBorders>
            <w:vAlign w:val="center"/>
          </w:tcPr>
          <w:p w:rsidR="005922BD" w:rsidRPr="005520D1" w:rsidRDefault="005922BD" w:rsidP="00DC276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20D1">
              <w:rPr>
                <w:rFonts w:ascii="Arial" w:hAnsi="Arial" w:cs="Arial"/>
                <w:sz w:val="18"/>
                <w:szCs w:val="18"/>
              </w:rPr>
              <w:t>P.V</w:t>
            </w:r>
            <w:r w:rsidR="00DC276E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520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9" w:type="pct"/>
            <w:tcBorders>
              <w:right w:val="single" w:sz="4" w:space="0" w:color="auto"/>
            </w:tcBorders>
            <w:vAlign w:val="center"/>
          </w:tcPr>
          <w:p w:rsidR="005922BD" w:rsidRPr="005520D1" w:rsidRDefault="005922BD" w:rsidP="005922BD">
            <w:pPr>
              <w:ind w:left="-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20D1">
              <w:rPr>
                <w:rFonts w:ascii="Arial" w:hAnsi="Arial" w:cs="Arial"/>
                <w:sz w:val="18"/>
                <w:szCs w:val="18"/>
              </w:rPr>
              <w:t>Podmíněné závazky z důvodu užívání cizího majetku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BD" w:rsidRPr="005520D1" w:rsidRDefault="005922BD" w:rsidP="005922BD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0D1">
              <w:rPr>
                <w:rFonts w:ascii="Arial" w:hAnsi="Arial" w:cs="Arial"/>
                <w:sz w:val="18"/>
                <w:szCs w:val="18"/>
              </w:rPr>
              <w:t>1,01</w:t>
            </w:r>
          </w:p>
        </w:tc>
      </w:tr>
      <w:tr w:rsidR="005922BD" w:rsidRPr="003534AE" w:rsidTr="00293E6A">
        <w:trPr>
          <w:trHeight w:val="298"/>
          <w:jc w:val="center"/>
        </w:trPr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2BD" w:rsidRDefault="005922BD" w:rsidP="00EC28F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</w:tcPr>
          <w:p w:rsidR="005922BD" w:rsidRPr="005520D1" w:rsidRDefault="005922BD" w:rsidP="00DC276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20D1">
              <w:rPr>
                <w:rFonts w:ascii="Arial" w:hAnsi="Arial" w:cs="Arial"/>
                <w:sz w:val="18"/>
                <w:szCs w:val="18"/>
              </w:rPr>
              <w:t>P.VI</w:t>
            </w:r>
            <w:proofErr w:type="gramEnd"/>
            <w:r w:rsidR="00DC276E">
              <w:rPr>
                <w:rFonts w:ascii="Arial" w:hAnsi="Arial" w:cs="Arial"/>
                <w:sz w:val="18"/>
                <w:szCs w:val="18"/>
              </w:rPr>
              <w:t>.</w:t>
            </w:r>
            <w:r w:rsidRPr="005520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9" w:type="pct"/>
            <w:tcBorders>
              <w:bottom w:val="single" w:sz="4" w:space="0" w:color="auto"/>
              <w:right w:val="single" w:sz="4" w:space="0" w:color="auto"/>
            </w:tcBorders>
          </w:tcPr>
          <w:p w:rsidR="005922BD" w:rsidRPr="005520D1" w:rsidRDefault="005922BD" w:rsidP="005922BD">
            <w:pPr>
              <w:ind w:left="-7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20D1">
              <w:rPr>
                <w:rFonts w:ascii="Arial" w:hAnsi="Arial" w:cs="Arial"/>
                <w:sz w:val="18"/>
                <w:szCs w:val="18"/>
              </w:rPr>
              <w:t>Další podmíněné závazky a jiná podmíněná pasiva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BD" w:rsidRPr="005520D1" w:rsidRDefault="005922BD" w:rsidP="005922BD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0D1">
              <w:rPr>
                <w:rFonts w:ascii="Arial" w:hAnsi="Arial" w:cs="Arial"/>
                <w:sz w:val="18"/>
                <w:szCs w:val="18"/>
              </w:rPr>
              <w:t>28 990 824 433,14</w:t>
            </w:r>
          </w:p>
        </w:tc>
      </w:tr>
    </w:tbl>
    <w:p w:rsidR="003534AE" w:rsidRDefault="003534AE" w:rsidP="00293E6A">
      <w:pPr>
        <w:tabs>
          <w:tab w:val="right" w:pos="9072"/>
        </w:tabs>
        <w:spacing w:before="40"/>
        <w:ind w:left="567" w:hanging="567"/>
        <w:jc w:val="left"/>
        <w:rPr>
          <w:rFonts w:ascii="Arial" w:hAnsi="Arial" w:cs="Arial"/>
          <w:color w:val="000000"/>
          <w:sz w:val="18"/>
          <w:szCs w:val="18"/>
        </w:rPr>
      </w:pPr>
      <w:r w:rsidRPr="003534AE">
        <w:rPr>
          <w:rFonts w:ascii="Arial" w:hAnsi="Arial" w:cs="Arial"/>
          <w:b/>
          <w:color w:val="000000"/>
          <w:sz w:val="18"/>
          <w:szCs w:val="18"/>
        </w:rPr>
        <w:t>Zdroj:</w:t>
      </w:r>
      <w:r w:rsidRPr="003534AE">
        <w:rPr>
          <w:rFonts w:ascii="Arial" w:hAnsi="Arial" w:cs="Arial"/>
          <w:color w:val="000000"/>
          <w:sz w:val="18"/>
          <w:szCs w:val="18"/>
        </w:rPr>
        <w:t xml:space="preserve"> účetní závěrka </w:t>
      </w:r>
      <w:r w:rsidR="00BB2752">
        <w:rPr>
          <w:rFonts w:ascii="Arial" w:hAnsi="Arial" w:cs="Arial"/>
          <w:color w:val="000000"/>
          <w:sz w:val="18"/>
          <w:szCs w:val="18"/>
        </w:rPr>
        <w:t>MD</w:t>
      </w:r>
      <w:r w:rsidRPr="003534AE">
        <w:rPr>
          <w:rFonts w:ascii="Arial" w:hAnsi="Arial" w:cs="Arial"/>
          <w:color w:val="000000"/>
          <w:sz w:val="18"/>
          <w:szCs w:val="18"/>
        </w:rPr>
        <w:t xml:space="preserve"> k 31. prosinci 201</w:t>
      </w:r>
      <w:r w:rsidR="00BB2752">
        <w:rPr>
          <w:rFonts w:ascii="Arial" w:hAnsi="Arial" w:cs="Arial"/>
          <w:color w:val="000000"/>
          <w:sz w:val="18"/>
          <w:szCs w:val="18"/>
        </w:rPr>
        <w:t>3</w:t>
      </w:r>
      <w:r w:rsidR="00AC3ECA">
        <w:rPr>
          <w:rFonts w:ascii="Arial" w:hAnsi="Arial" w:cs="Arial"/>
          <w:color w:val="000000"/>
          <w:sz w:val="18"/>
          <w:szCs w:val="18"/>
        </w:rPr>
        <w:t xml:space="preserve"> </w:t>
      </w:r>
      <w:r w:rsidR="00AC3ECA" w:rsidRPr="00300D1C">
        <w:rPr>
          <w:rFonts w:ascii="Arial" w:hAnsi="Arial" w:cs="Arial"/>
          <w:color w:val="000000"/>
          <w:sz w:val="18"/>
          <w:szCs w:val="18"/>
        </w:rPr>
        <w:t>(</w:t>
      </w:r>
      <w:r w:rsidR="00C8749F" w:rsidRPr="00300D1C">
        <w:rPr>
          <w:rFonts w:ascii="Arial" w:hAnsi="Arial" w:cs="Arial"/>
          <w:color w:val="000000"/>
          <w:sz w:val="18"/>
          <w:szCs w:val="18"/>
        </w:rPr>
        <w:t xml:space="preserve">sestavená dne 12. 3. 2014 a opatřená </w:t>
      </w:r>
      <w:r w:rsidR="00AC3ECA" w:rsidRPr="00300D1C">
        <w:rPr>
          <w:rFonts w:ascii="Arial" w:hAnsi="Arial" w:cs="Arial"/>
          <w:color w:val="000000"/>
          <w:sz w:val="18"/>
          <w:szCs w:val="18"/>
        </w:rPr>
        <w:t>podpisem ministra</w:t>
      </w:r>
      <w:r w:rsidR="00C8749F" w:rsidRPr="00300D1C">
        <w:rPr>
          <w:rFonts w:ascii="Arial" w:hAnsi="Arial" w:cs="Arial"/>
          <w:color w:val="000000"/>
          <w:sz w:val="18"/>
          <w:szCs w:val="18"/>
        </w:rPr>
        <w:t xml:space="preserve"> dop</w:t>
      </w:r>
      <w:r w:rsidR="002B1C39" w:rsidRPr="00300D1C">
        <w:rPr>
          <w:rFonts w:ascii="Arial" w:hAnsi="Arial" w:cs="Arial"/>
          <w:color w:val="000000"/>
          <w:sz w:val="18"/>
          <w:szCs w:val="18"/>
        </w:rPr>
        <w:t>r</w:t>
      </w:r>
      <w:r w:rsidR="00C8749F" w:rsidRPr="00300D1C">
        <w:rPr>
          <w:rFonts w:ascii="Arial" w:hAnsi="Arial" w:cs="Arial"/>
          <w:color w:val="000000"/>
          <w:sz w:val="18"/>
          <w:szCs w:val="18"/>
        </w:rPr>
        <w:t>avy</w:t>
      </w:r>
      <w:r w:rsidR="00AC3ECA" w:rsidRPr="00300D1C">
        <w:rPr>
          <w:rFonts w:ascii="Arial" w:hAnsi="Arial" w:cs="Arial"/>
          <w:color w:val="000000"/>
          <w:sz w:val="18"/>
          <w:szCs w:val="18"/>
        </w:rPr>
        <w:t>)</w:t>
      </w:r>
      <w:r w:rsidR="00CD3605">
        <w:rPr>
          <w:rFonts w:ascii="Arial" w:hAnsi="Arial" w:cs="Arial"/>
          <w:color w:val="000000"/>
          <w:sz w:val="18"/>
          <w:szCs w:val="18"/>
        </w:rPr>
        <w:t>.</w:t>
      </w:r>
    </w:p>
    <w:p w:rsidR="001B6055" w:rsidRPr="00293E6A" w:rsidRDefault="001B6055" w:rsidP="00293E6A">
      <w:pPr>
        <w:tabs>
          <w:tab w:val="right" w:pos="9072"/>
        </w:tabs>
        <w:ind w:left="1622" w:hanging="1622"/>
        <w:rPr>
          <w:rFonts w:ascii="Arial" w:hAnsi="Arial" w:cs="Arial"/>
          <w:color w:val="000000"/>
          <w:sz w:val="22"/>
        </w:rPr>
      </w:pPr>
    </w:p>
    <w:p w:rsidR="00E6537A" w:rsidRDefault="008F35EE" w:rsidP="00293E6A">
      <w:pPr>
        <w:pStyle w:val="Pa10"/>
        <w:jc w:val="both"/>
        <w:rPr>
          <w:color w:val="000000"/>
          <w:sz w:val="22"/>
          <w:szCs w:val="22"/>
        </w:rPr>
      </w:pPr>
      <w:r w:rsidRPr="00C24B70">
        <w:rPr>
          <w:color w:val="000000"/>
          <w:sz w:val="22"/>
          <w:szCs w:val="22"/>
        </w:rPr>
        <w:t>Následující grafy zobrazuj</w:t>
      </w:r>
      <w:r w:rsidR="00932AE4" w:rsidRPr="00C24B70">
        <w:rPr>
          <w:color w:val="000000"/>
          <w:sz w:val="22"/>
          <w:szCs w:val="22"/>
        </w:rPr>
        <w:t>í</w:t>
      </w:r>
      <w:r w:rsidRPr="00C24B70">
        <w:rPr>
          <w:color w:val="000000"/>
          <w:sz w:val="22"/>
          <w:szCs w:val="22"/>
        </w:rPr>
        <w:t xml:space="preserve"> vývoj struktury základní</w:t>
      </w:r>
      <w:r w:rsidR="00932AE4" w:rsidRPr="00D16CE6">
        <w:rPr>
          <w:color w:val="000000"/>
          <w:sz w:val="22"/>
          <w:szCs w:val="22"/>
        </w:rPr>
        <w:t>ch</w:t>
      </w:r>
      <w:r w:rsidRPr="00D16CE6">
        <w:rPr>
          <w:color w:val="000000"/>
          <w:sz w:val="22"/>
          <w:szCs w:val="22"/>
        </w:rPr>
        <w:t xml:space="preserve"> údajů rozvahy </w:t>
      </w:r>
      <w:r w:rsidR="00932AE4" w:rsidRPr="00D16CE6">
        <w:rPr>
          <w:color w:val="000000"/>
          <w:sz w:val="22"/>
          <w:szCs w:val="22"/>
        </w:rPr>
        <w:t xml:space="preserve">(složek </w:t>
      </w:r>
      <w:r w:rsidRPr="00D16CE6">
        <w:rPr>
          <w:color w:val="000000"/>
          <w:sz w:val="22"/>
          <w:szCs w:val="22"/>
        </w:rPr>
        <w:t>aktiv a pasiv</w:t>
      </w:r>
      <w:r w:rsidR="00932AE4" w:rsidRPr="00D16CE6">
        <w:rPr>
          <w:color w:val="000000"/>
          <w:sz w:val="22"/>
          <w:szCs w:val="22"/>
        </w:rPr>
        <w:t>)</w:t>
      </w:r>
      <w:r w:rsidRPr="00D16CE6">
        <w:rPr>
          <w:color w:val="000000"/>
          <w:sz w:val="22"/>
          <w:szCs w:val="22"/>
        </w:rPr>
        <w:t xml:space="preserve"> MD od roku 2010, tj. od </w:t>
      </w:r>
      <w:r w:rsidR="007948A4" w:rsidRPr="00D16CE6">
        <w:rPr>
          <w:color w:val="000000"/>
          <w:sz w:val="22"/>
          <w:szCs w:val="22"/>
        </w:rPr>
        <w:t xml:space="preserve">doby, kdy </w:t>
      </w:r>
      <w:r w:rsidR="00932AE4" w:rsidRPr="00D16CE6">
        <w:rPr>
          <w:color w:val="000000"/>
          <w:sz w:val="22"/>
          <w:szCs w:val="22"/>
        </w:rPr>
        <w:t xml:space="preserve">v souvislosti s prováděním účetní reformy v oblasti </w:t>
      </w:r>
      <w:r w:rsidR="00932AE4" w:rsidRPr="00D16CE6">
        <w:rPr>
          <w:color w:val="000000"/>
          <w:sz w:val="22"/>
          <w:szCs w:val="22"/>
        </w:rPr>
        <w:lastRenderedPageBreak/>
        <w:t xml:space="preserve">veřejného sektoru </w:t>
      </w:r>
      <w:r w:rsidR="007948A4" w:rsidRPr="00D16CE6">
        <w:rPr>
          <w:color w:val="000000"/>
          <w:sz w:val="22"/>
          <w:szCs w:val="22"/>
        </w:rPr>
        <w:t xml:space="preserve">vstoupila v účinnost ustanovení nových předpisů </w:t>
      </w:r>
      <w:r w:rsidR="00CD3605">
        <w:rPr>
          <w:color w:val="000000"/>
          <w:sz w:val="22"/>
          <w:szCs w:val="22"/>
        </w:rPr>
        <w:t>k vedení účetnictví a </w:t>
      </w:r>
      <w:r w:rsidR="00932AE4" w:rsidRPr="00D16CE6">
        <w:rPr>
          <w:color w:val="000000"/>
          <w:sz w:val="22"/>
          <w:szCs w:val="22"/>
        </w:rPr>
        <w:t>účetnímu výkaznictví tzv. vybraných účetních jednotek</w:t>
      </w:r>
      <w:r w:rsidRPr="00D16CE6">
        <w:rPr>
          <w:color w:val="000000"/>
          <w:sz w:val="22"/>
          <w:szCs w:val="22"/>
        </w:rPr>
        <w:t>.</w:t>
      </w:r>
    </w:p>
    <w:p w:rsidR="00750ACD" w:rsidRPr="000923D6" w:rsidRDefault="00750ACD">
      <w:pPr>
        <w:jc w:val="left"/>
        <w:rPr>
          <w:rFonts w:ascii="Arial" w:hAnsi="Arial" w:cs="Arial"/>
          <w:b/>
          <w:color w:val="000000"/>
          <w:sz w:val="22"/>
        </w:rPr>
      </w:pPr>
    </w:p>
    <w:p w:rsidR="008F35EE" w:rsidRPr="000923D6" w:rsidRDefault="008F35EE" w:rsidP="000309D2">
      <w:pPr>
        <w:tabs>
          <w:tab w:val="right" w:pos="9072"/>
        </w:tabs>
        <w:spacing w:after="40"/>
        <w:ind w:left="1622" w:hanging="1622"/>
        <w:rPr>
          <w:rFonts w:ascii="Arial" w:hAnsi="Arial" w:cs="Arial"/>
          <w:b/>
          <w:color w:val="000000"/>
          <w:sz w:val="22"/>
        </w:rPr>
      </w:pPr>
      <w:r w:rsidRPr="000923D6">
        <w:rPr>
          <w:rFonts w:ascii="Arial" w:hAnsi="Arial" w:cs="Arial"/>
          <w:b/>
          <w:color w:val="000000"/>
          <w:sz w:val="22"/>
        </w:rPr>
        <w:t>Graf č. 1 – Vývoj struktury aktiv MD od 1. 1.</w:t>
      </w:r>
      <w:r w:rsidR="00DC276E">
        <w:rPr>
          <w:rFonts w:ascii="Arial" w:hAnsi="Arial" w:cs="Arial"/>
          <w:b/>
          <w:color w:val="000000"/>
          <w:sz w:val="22"/>
        </w:rPr>
        <w:t xml:space="preserve"> </w:t>
      </w:r>
      <w:r w:rsidRPr="000923D6">
        <w:rPr>
          <w:rFonts w:ascii="Arial" w:hAnsi="Arial" w:cs="Arial"/>
          <w:b/>
          <w:color w:val="000000"/>
          <w:sz w:val="22"/>
        </w:rPr>
        <w:t>2010 do 31. 12. 2013</w:t>
      </w:r>
      <w:r w:rsidRPr="000923D6">
        <w:rPr>
          <w:rFonts w:ascii="Arial" w:hAnsi="Arial" w:cs="Arial"/>
          <w:b/>
          <w:color w:val="000000"/>
          <w:sz w:val="22"/>
        </w:rPr>
        <w:tab/>
        <w:t>(v mld. Kč)</w:t>
      </w:r>
    </w:p>
    <w:p w:rsidR="008F35EE" w:rsidRPr="00C24B70" w:rsidRDefault="00091182" w:rsidP="008F35EE">
      <w:pPr>
        <w:pStyle w:val="Default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F7BE3C4" wp14:editId="6EDD94C4">
            <wp:extent cx="5760720" cy="25021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2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35EE" w:rsidRPr="00D16CE6" w:rsidRDefault="008F35EE" w:rsidP="00CD3605">
      <w:pPr>
        <w:tabs>
          <w:tab w:val="right" w:pos="9072"/>
        </w:tabs>
        <w:spacing w:before="40"/>
        <w:ind w:left="624" w:hanging="624"/>
        <w:rPr>
          <w:rFonts w:ascii="Arial" w:hAnsi="Arial" w:cs="Arial"/>
          <w:color w:val="000000"/>
          <w:sz w:val="18"/>
          <w:szCs w:val="18"/>
        </w:rPr>
      </w:pPr>
      <w:r w:rsidRPr="00C24B70">
        <w:rPr>
          <w:rFonts w:ascii="Arial" w:hAnsi="Arial" w:cs="Arial"/>
          <w:b/>
          <w:color w:val="000000"/>
          <w:sz w:val="18"/>
          <w:szCs w:val="18"/>
        </w:rPr>
        <w:t>Zdroj:</w:t>
      </w:r>
      <w:r w:rsidRPr="00C24B70">
        <w:rPr>
          <w:rFonts w:ascii="Arial" w:hAnsi="Arial" w:cs="Arial"/>
          <w:color w:val="000000"/>
          <w:sz w:val="18"/>
          <w:szCs w:val="18"/>
        </w:rPr>
        <w:t xml:space="preserve"> </w:t>
      </w:r>
      <w:r w:rsidR="001C1BF3">
        <w:rPr>
          <w:rFonts w:ascii="Arial" w:hAnsi="Arial" w:cs="Arial"/>
          <w:color w:val="000000"/>
          <w:sz w:val="18"/>
          <w:szCs w:val="18"/>
        </w:rPr>
        <w:tab/>
      </w:r>
      <w:r w:rsidRPr="00C24B70">
        <w:rPr>
          <w:rFonts w:ascii="Arial" w:hAnsi="Arial" w:cs="Arial"/>
          <w:color w:val="000000"/>
          <w:sz w:val="18"/>
          <w:szCs w:val="18"/>
        </w:rPr>
        <w:t xml:space="preserve">údaje </w:t>
      </w:r>
      <w:r w:rsidR="0046485F" w:rsidRPr="00D16CE6">
        <w:rPr>
          <w:rFonts w:ascii="Arial" w:hAnsi="Arial" w:cs="Arial"/>
          <w:color w:val="000000"/>
          <w:sz w:val="18"/>
          <w:szCs w:val="18"/>
        </w:rPr>
        <w:t xml:space="preserve">o položkách aktiv </w:t>
      </w:r>
      <w:r w:rsidRPr="00D16CE6">
        <w:rPr>
          <w:rFonts w:ascii="Arial" w:hAnsi="Arial" w:cs="Arial"/>
          <w:color w:val="000000"/>
          <w:sz w:val="18"/>
          <w:szCs w:val="18"/>
        </w:rPr>
        <w:t xml:space="preserve">zveřejněné </w:t>
      </w:r>
      <w:r w:rsidR="0046485F" w:rsidRPr="00D16CE6">
        <w:rPr>
          <w:rFonts w:ascii="Arial" w:hAnsi="Arial" w:cs="Arial"/>
          <w:color w:val="000000"/>
          <w:sz w:val="18"/>
          <w:szCs w:val="18"/>
        </w:rPr>
        <w:t xml:space="preserve">k okamžikům uvedeným v grafu </w:t>
      </w:r>
      <w:r w:rsidRPr="00D16CE6">
        <w:rPr>
          <w:rFonts w:ascii="Arial" w:hAnsi="Arial" w:cs="Arial"/>
          <w:color w:val="000000"/>
          <w:sz w:val="18"/>
          <w:szCs w:val="18"/>
        </w:rPr>
        <w:t xml:space="preserve">v konsolidačním účetním záznamu </w:t>
      </w:r>
      <w:r w:rsidR="00DC276E">
        <w:rPr>
          <w:rFonts w:ascii="Arial" w:hAnsi="Arial" w:cs="Arial"/>
          <w:color w:val="000000"/>
          <w:sz w:val="18"/>
          <w:szCs w:val="18"/>
        </w:rPr>
        <w:t>r</w:t>
      </w:r>
      <w:r w:rsidRPr="00D16CE6">
        <w:rPr>
          <w:rFonts w:ascii="Arial" w:hAnsi="Arial" w:cs="Arial"/>
          <w:color w:val="000000"/>
          <w:sz w:val="18"/>
          <w:szCs w:val="18"/>
        </w:rPr>
        <w:t xml:space="preserve">ozvaha MD </w:t>
      </w:r>
      <w:r w:rsidR="00BF4E52" w:rsidRPr="00D16CE6">
        <w:rPr>
          <w:rFonts w:ascii="Arial" w:hAnsi="Arial" w:cs="Arial"/>
          <w:color w:val="000000"/>
          <w:sz w:val="18"/>
          <w:szCs w:val="18"/>
        </w:rPr>
        <w:t xml:space="preserve">(za příslušný rok) </w:t>
      </w:r>
      <w:r w:rsidR="00962D60" w:rsidRPr="00D16CE6">
        <w:rPr>
          <w:rFonts w:ascii="Arial" w:hAnsi="Arial" w:cs="Arial"/>
          <w:color w:val="000000"/>
          <w:sz w:val="18"/>
          <w:szCs w:val="18"/>
        </w:rPr>
        <w:t>na informačním portálu</w:t>
      </w:r>
      <w:r w:rsidR="0046485F" w:rsidRPr="00D16CE6">
        <w:rPr>
          <w:rFonts w:ascii="Arial" w:hAnsi="Arial" w:cs="Arial"/>
          <w:color w:val="000000"/>
          <w:sz w:val="18"/>
          <w:szCs w:val="18"/>
        </w:rPr>
        <w:t xml:space="preserve"> Ministerstva financí MONITOR</w:t>
      </w:r>
      <w:r w:rsidR="00CD3605">
        <w:rPr>
          <w:rFonts w:ascii="Arial" w:hAnsi="Arial" w:cs="Arial"/>
          <w:color w:val="000000"/>
          <w:sz w:val="18"/>
          <w:szCs w:val="18"/>
        </w:rPr>
        <w:t>.</w:t>
      </w:r>
      <w:r w:rsidR="00BF4E52" w:rsidRPr="00D16CE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F35EE" w:rsidRPr="00091182" w:rsidRDefault="008F35EE" w:rsidP="008F35EE">
      <w:pPr>
        <w:pStyle w:val="Default"/>
        <w:rPr>
          <w:rFonts w:ascii="Arial" w:hAnsi="Arial" w:cs="Arial"/>
          <w:sz w:val="22"/>
          <w:szCs w:val="22"/>
          <w:lang w:eastAsia="cs-CZ"/>
        </w:rPr>
      </w:pPr>
    </w:p>
    <w:p w:rsidR="00750ACD" w:rsidRPr="00091182" w:rsidRDefault="00750ACD" w:rsidP="008F35EE">
      <w:pPr>
        <w:pStyle w:val="Default"/>
        <w:rPr>
          <w:rFonts w:ascii="Arial" w:hAnsi="Arial" w:cs="Arial"/>
          <w:sz w:val="22"/>
          <w:szCs w:val="22"/>
          <w:lang w:eastAsia="cs-CZ"/>
        </w:rPr>
      </w:pPr>
    </w:p>
    <w:p w:rsidR="008F35EE" w:rsidRPr="00091182" w:rsidRDefault="008F35EE" w:rsidP="008F35EE">
      <w:pPr>
        <w:tabs>
          <w:tab w:val="right" w:pos="9072"/>
        </w:tabs>
        <w:spacing w:after="40"/>
        <w:ind w:left="1622" w:hanging="1622"/>
        <w:rPr>
          <w:rFonts w:ascii="Arial" w:hAnsi="Arial" w:cs="Arial"/>
          <w:b/>
          <w:color w:val="000000"/>
          <w:sz w:val="22"/>
        </w:rPr>
      </w:pPr>
      <w:r w:rsidRPr="00091182">
        <w:rPr>
          <w:rFonts w:ascii="Arial" w:hAnsi="Arial" w:cs="Arial"/>
          <w:b/>
          <w:color w:val="000000"/>
          <w:sz w:val="22"/>
        </w:rPr>
        <w:t>Graf č. 2 – Vývoj struktury pasiv MD od 1. 1.</w:t>
      </w:r>
      <w:r w:rsidR="00DC276E">
        <w:rPr>
          <w:rFonts w:ascii="Arial" w:hAnsi="Arial" w:cs="Arial"/>
          <w:b/>
          <w:color w:val="000000"/>
          <w:sz w:val="22"/>
        </w:rPr>
        <w:t xml:space="preserve"> </w:t>
      </w:r>
      <w:r w:rsidRPr="00091182">
        <w:rPr>
          <w:rFonts w:ascii="Arial" w:hAnsi="Arial" w:cs="Arial"/>
          <w:b/>
          <w:color w:val="000000"/>
          <w:sz w:val="22"/>
        </w:rPr>
        <w:t>2010 do 31. 12. 2013</w:t>
      </w:r>
      <w:r w:rsidRPr="00091182">
        <w:rPr>
          <w:rFonts w:ascii="Arial" w:hAnsi="Arial" w:cs="Arial"/>
          <w:b/>
          <w:color w:val="000000"/>
          <w:sz w:val="22"/>
        </w:rPr>
        <w:tab/>
        <w:t>(v mld. Kč)</w:t>
      </w:r>
    </w:p>
    <w:p w:rsidR="008F35EE" w:rsidRPr="00C24B70" w:rsidRDefault="00EB3C05" w:rsidP="008F35EE">
      <w:pPr>
        <w:pStyle w:val="Default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DDB1EE2" wp14:editId="6A3CA907">
            <wp:extent cx="5760720" cy="1954406"/>
            <wp:effectExtent l="0" t="0" r="0" b="8255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5F" w:rsidRPr="00D16CE6" w:rsidRDefault="0046485F" w:rsidP="000923D6">
      <w:pPr>
        <w:tabs>
          <w:tab w:val="right" w:pos="9072"/>
        </w:tabs>
        <w:spacing w:before="40"/>
        <w:ind w:left="567" w:hanging="567"/>
        <w:rPr>
          <w:rFonts w:ascii="Arial" w:hAnsi="Arial" w:cs="Arial"/>
          <w:color w:val="000000"/>
          <w:sz w:val="18"/>
          <w:szCs w:val="18"/>
        </w:rPr>
      </w:pPr>
      <w:r w:rsidRPr="00C24B70">
        <w:rPr>
          <w:rFonts w:ascii="Arial" w:hAnsi="Arial" w:cs="Arial"/>
          <w:b/>
          <w:color w:val="000000"/>
          <w:sz w:val="18"/>
          <w:szCs w:val="18"/>
        </w:rPr>
        <w:t>Zdroj:</w:t>
      </w:r>
      <w:r w:rsidRPr="00C24B70">
        <w:rPr>
          <w:rFonts w:ascii="Arial" w:hAnsi="Arial" w:cs="Arial"/>
          <w:color w:val="000000"/>
          <w:sz w:val="18"/>
          <w:szCs w:val="18"/>
        </w:rPr>
        <w:t xml:space="preserve"> </w:t>
      </w:r>
      <w:r w:rsidR="00BA0E14">
        <w:rPr>
          <w:rFonts w:ascii="Arial" w:hAnsi="Arial" w:cs="Arial"/>
          <w:color w:val="000000"/>
          <w:sz w:val="18"/>
          <w:szCs w:val="18"/>
        </w:rPr>
        <w:tab/>
      </w:r>
      <w:r w:rsidRPr="00C24B70">
        <w:rPr>
          <w:rFonts w:ascii="Arial" w:hAnsi="Arial" w:cs="Arial"/>
          <w:color w:val="000000"/>
          <w:sz w:val="18"/>
          <w:szCs w:val="18"/>
        </w:rPr>
        <w:t xml:space="preserve">údaje </w:t>
      </w:r>
      <w:r w:rsidRPr="00D16CE6">
        <w:rPr>
          <w:rFonts w:ascii="Arial" w:hAnsi="Arial" w:cs="Arial"/>
          <w:color w:val="000000"/>
          <w:sz w:val="18"/>
          <w:szCs w:val="18"/>
        </w:rPr>
        <w:t xml:space="preserve">o položkách pasiv zveřejněné k okamžikům uvedeným v grafu v konsolidačním účetním záznamu </w:t>
      </w:r>
      <w:r w:rsidR="0077742D">
        <w:rPr>
          <w:rFonts w:ascii="Arial" w:hAnsi="Arial" w:cs="Arial"/>
          <w:color w:val="000000"/>
          <w:sz w:val="18"/>
          <w:szCs w:val="18"/>
        </w:rPr>
        <w:t>r</w:t>
      </w:r>
      <w:r w:rsidRPr="00D16CE6">
        <w:rPr>
          <w:rFonts w:ascii="Arial" w:hAnsi="Arial" w:cs="Arial"/>
          <w:color w:val="000000"/>
          <w:sz w:val="18"/>
          <w:szCs w:val="18"/>
        </w:rPr>
        <w:t xml:space="preserve">ozvaha MD </w:t>
      </w:r>
      <w:r w:rsidR="00BF4E52" w:rsidRPr="00D16CE6">
        <w:rPr>
          <w:rFonts w:ascii="Arial" w:hAnsi="Arial" w:cs="Arial"/>
          <w:color w:val="000000"/>
          <w:sz w:val="18"/>
          <w:szCs w:val="18"/>
        </w:rPr>
        <w:t xml:space="preserve">(za příslušný rok) </w:t>
      </w:r>
      <w:r w:rsidR="00962D60" w:rsidRPr="00D16CE6">
        <w:rPr>
          <w:rFonts w:ascii="Arial" w:hAnsi="Arial" w:cs="Arial"/>
          <w:color w:val="000000"/>
          <w:sz w:val="18"/>
          <w:szCs w:val="18"/>
        </w:rPr>
        <w:t xml:space="preserve">na informačním portálu </w:t>
      </w:r>
      <w:r w:rsidRPr="00D16CE6">
        <w:rPr>
          <w:rFonts w:ascii="Arial" w:hAnsi="Arial" w:cs="Arial"/>
          <w:color w:val="000000"/>
          <w:sz w:val="18"/>
          <w:szCs w:val="18"/>
        </w:rPr>
        <w:t>Ministerstva financí MONITOR</w:t>
      </w:r>
      <w:r w:rsidR="00CD3605">
        <w:rPr>
          <w:rFonts w:ascii="Arial" w:hAnsi="Arial" w:cs="Arial"/>
          <w:color w:val="000000"/>
          <w:sz w:val="18"/>
          <w:szCs w:val="18"/>
        </w:rPr>
        <w:t>.</w:t>
      </w:r>
    </w:p>
    <w:p w:rsidR="0046485F" w:rsidRPr="000923D6" w:rsidRDefault="0046485F" w:rsidP="008F35EE">
      <w:pPr>
        <w:pStyle w:val="Default"/>
        <w:rPr>
          <w:rFonts w:ascii="Arial" w:hAnsi="Arial" w:cs="Arial"/>
          <w:sz w:val="22"/>
          <w:szCs w:val="22"/>
          <w:lang w:eastAsia="cs-CZ"/>
        </w:rPr>
      </w:pPr>
    </w:p>
    <w:p w:rsidR="007948A4" w:rsidRDefault="008F35EE" w:rsidP="000923D6">
      <w:pPr>
        <w:pStyle w:val="Default"/>
        <w:jc w:val="both"/>
        <w:rPr>
          <w:rFonts w:ascii="Arial" w:hAnsi="Arial" w:cs="Arial"/>
          <w:sz w:val="22"/>
          <w:szCs w:val="22"/>
          <w:lang w:eastAsia="cs-CZ"/>
        </w:rPr>
      </w:pPr>
      <w:r w:rsidRPr="00D16CE6">
        <w:rPr>
          <w:rFonts w:ascii="Arial" w:hAnsi="Arial" w:cs="Arial"/>
          <w:sz w:val="22"/>
          <w:szCs w:val="22"/>
          <w:lang w:eastAsia="cs-CZ"/>
        </w:rPr>
        <w:t>Z grafů vyplýv</w:t>
      </w:r>
      <w:r w:rsidR="00A21FC4">
        <w:rPr>
          <w:rFonts w:ascii="Arial" w:hAnsi="Arial" w:cs="Arial"/>
          <w:sz w:val="22"/>
          <w:szCs w:val="22"/>
          <w:lang w:eastAsia="cs-CZ"/>
        </w:rPr>
        <w:t>ají</w:t>
      </w:r>
      <w:r w:rsidRPr="00D16CE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21FC4" w:rsidRPr="00050607">
        <w:rPr>
          <w:rFonts w:ascii="Arial" w:hAnsi="Arial" w:cs="Arial"/>
          <w:b/>
          <w:sz w:val="22"/>
          <w:szCs w:val="22"/>
          <w:lang w:eastAsia="cs-CZ"/>
        </w:rPr>
        <w:t>významné meziroční změny</w:t>
      </w:r>
      <w:r w:rsidRPr="00050607">
        <w:rPr>
          <w:rFonts w:ascii="Arial" w:hAnsi="Arial" w:cs="Arial"/>
          <w:b/>
          <w:sz w:val="22"/>
          <w:szCs w:val="22"/>
          <w:lang w:eastAsia="cs-CZ"/>
        </w:rPr>
        <w:t xml:space="preserve"> některých základních rozvahových údajů, </w:t>
      </w:r>
      <w:r w:rsidR="00962D60" w:rsidRPr="00050607">
        <w:rPr>
          <w:rFonts w:ascii="Arial" w:hAnsi="Arial" w:cs="Arial"/>
          <w:b/>
          <w:sz w:val="22"/>
          <w:szCs w:val="22"/>
          <w:lang w:eastAsia="cs-CZ"/>
        </w:rPr>
        <w:t>zejména</w:t>
      </w:r>
      <w:r w:rsidRPr="00050607">
        <w:rPr>
          <w:rFonts w:ascii="Arial" w:hAnsi="Arial" w:cs="Arial"/>
          <w:b/>
          <w:sz w:val="22"/>
          <w:szCs w:val="22"/>
          <w:lang w:eastAsia="cs-CZ"/>
        </w:rPr>
        <w:t xml:space="preserve"> oběžných aktiv a cizích zdrojů</w:t>
      </w:r>
      <w:r w:rsidR="0077742D">
        <w:rPr>
          <w:rFonts w:ascii="Arial" w:hAnsi="Arial" w:cs="Arial"/>
          <w:b/>
          <w:sz w:val="22"/>
          <w:szCs w:val="22"/>
          <w:lang w:eastAsia="cs-CZ"/>
        </w:rPr>
        <w:t>,</w:t>
      </w:r>
      <w:r w:rsidR="00664A2E" w:rsidRPr="00050607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060E51" w:rsidRPr="00050607">
        <w:rPr>
          <w:rFonts w:ascii="Arial" w:hAnsi="Arial" w:cs="Arial"/>
          <w:b/>
          <w:sz w:val="22"/>
          <w:szCs w:val="22"/>
          <w:lang w:eastAsia="cs-CZ"/>
        </w:rPr>
        <w:t>v řádu desítek miliard Kč</w:t>
      </w:r>
      <w:r w:rsidR="00060E51" w:rsidRPr="000923D6">
        <w:rPr>
          <w:rFonts w:ascii="Arial" w:hAnsi="Arial" w:cs="Arial"/>
          <w:b/>
          <w:sz w:val="22"/>
          <w:szCs w:val="22"/>
          <w:lang w:eastAsia="cs-CZ"/>
        </w:rPr>
        <w:t>.</w:t>
      </w:r>
      <w:r w:rsidRPr="00D16CE6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3E69EB" w:rsidRPr="00D16CE6" w:rsidRDefault="003E69EB" w:rsidP="000923D6">
      <w:pPr>
        <w:pStyle w:val="Default"/>
        <w:jc w:val="both"/>
        <w:rPr>
          <w:rFonts w:ascii="Arial" w:hAnsi="Arial" w:cs="Arial"/>
          <w:sz w:val="22"/>
          <w:szCs w:val="22"/>
          <w:lang w:eastAsia="cs-CZ"/>
        </w:rPr>
      </w:pPr>
    </w:p>
    <w:p w:rsidR="008F35EE" w:rsidRDefault="007F5115" w:rsidP="000923D6">
      <w:pPr>
        <w:pStyle w:val="Defaul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D16CE6">
        <w:rPr>
          <w:rFonts w:ascii="Arial" w:hAnsi="Arial" w:cs="Arial"/>
          <w:sz w:val="22"/>
          <w:szCs w:val="22"/>
        </w:rPr>
        <w:t>Účetnictví a výkaznictví veřejného sektoru prochází reformo</w:t>
      </w:r>
      <w:r w:rsidR="00CD3605">
        <w:rPr>
          <w:rFonts w:ascii="Arial" w:hAnsi="Arial" w:cs="Arial"/>
          <w:sz w:val="22"/>
          <w:szCs w:val="22"/>
        </w:rPr>
        <w:t>u, která byla započata 1. ledna </w:t>
      </w:r>
      <w:r w:rsidRPr="00D16CE6">
        <w:rPr>
          <w:rFonts w:ascii="Arial" w:hAnsi="Arial" w:cs="Arial"/>
          <w:sz w:val="22"/>
          <w:szCs w:val="22"/>
        </w:rPr>
        <w:t xml:space="preserve">2010. Po celé toto období dochází </w:t>
      </w:r>
      <w:r w:rsidR="0044342E">
        <w:rPr>
          <w:rFonts w:ascii="Arial" w:hAnsi="Arial" w:cs="Arial"/>
          <w:sz w:val="22"/>
          <w:szCs w:val="22"/>
        </w:rPr>
        <w:t>v </w:t>
      </w:r>
      <w:r w:rsidRPr="00D16CE6">
        <w:rPr>
          <w:rFonts w:ascii="Arial" w:hAnsi="Arial" w:cs="Arial"/>
          <w:sz w:val="22"/>
          <w:szCs w:val="22"/>
        </w:rPr>
        <w:t>této oblast</w:t>
      </w:r>
      <w:r w:rsidR="00CD3605">
        <w:rPr>
          <w:rFonts w:ascii="Arial" w:hAnsi="Arial" w:cs="Arial"/>
          <w:sz w:val="22"/>
          <w:szCs w:val="22"/>
        </w:rPr>
        <w:t xml:space="preserve">i </w:t>
      </w:r>
      <w:r w:rsidR="0044342E">
        <w:rPr>
          <w:rFonts w:ascii="Arial" w:hAnsi="Arial" w:cs="Arial"/>
          <w:sz w:val="22"/>
          <w:szCs w:val="22"/>
        </w:rPr>
        <w:t>k </w:t>
      </w:r>
      <w:r w:rsidR="00CD3605">
        <w:rPr>
          <w:rFonts w:ascii="Arial" w:hAnsi="Arial" w:cs="Arial"/>
          <w:sz w:val="22"/>
          <w:szCs w:val="22"/>
        </w:rPr>
        <w:t>dalším změnám, zpřesněním a </w:t>
      </w:r>
      <w:r w:rsidRPr="00D16CE6">
        <w:rPr>
          <w:rFonts w:ascii="Arial" w:hAnsi="Arial" w:cs="Arial"/>
          <w:sz w:val="22"/>
          <w:szCs w:val="22"/>
        </w:rPr>
        <w:t>doplněním právních předpisů</w:t>
      </w:r>
      <w:r w:rsidR="006F2830" w:rsidRPr="00D16CE6">
        <w:rPr>
          <w:rFonts w:ascii="Arial" w:hAnsi="Arial" w:cs="Arial"/>
          <w:sz w:val="22"/>
          <w:szCs w:val="22"/>
        </w:rPr>
        <w:t xml:space="preserve"> a</w:t>
      </w:r>
      <w:r w:rsidRPr="00D16CE6">
        <w:rPr>
          <w:rFonts w:ascii="Arial" w:hAnsi="Arial" w:cs="Arial"/>
          <w:sz w:val="22"/>
          <w:szCs w:val="22"/>
        </w:rPr>
        <w:t xml:space="preserve"> účetních standardů.</w:t>
      </w:r>
      <w:r w:rsidRPr="00C24B70">
        <w:rPr>
          <w:rFonts w:ascii="Arial" w:hAnsi="Arial" w:cs="Arial"/>
          <w:sz w:val="22"/>
          <w:szCs w:val="22"/>
        </w:rPr>
        <w:t xml:space="preserve"> </w:t>
      </w:r>
      <w:r w:rsidRPr="00050607">
        <w:rPr>
          <w:rFonts w:ascii="Arial" w:hAnsi="Arial" w:cs="Arial"/>
          <w:b/>
          <w:sz w:val="22"/>
          <w:szCs w:val="22"/>
        </w:rPr>
        <w:t>Např. do roku 2011 (včetně) se roz</w:t>
      </w:r>
      <w:r w:rsidR="007948A4" w:rsidRPr="00050607">
        <w:rPr>
          <w:rFonts w:ascii="Arial" w:hAnsi="Arial" w:cs="Arial"/>
          <w:b/>
          <w:sz w:val="22"/>
          <w:szCs w:val="22"/>
        </w:rPr>
        <w:t>p</w:t>
      </w:r>
      <w:r w:rsidRPr="00050607">
        <w:rPr>
          <w:rFonts w:ascii="Arial" w:hAnsi="Arial" w:cs="Arial"/>
          <w:b/>
          <w:sz w:val="22"/>
          <w:szCs w:val="22"/>
        </w:rPr>
        <w:t>očtové příjmy MD vy</w:t>
      </w:r>
      <w:r w:rsidR="005F178A" w:rsidRPr="00050607">
        <w:rPr>
          <w:rFonts w:ascii="Arial" w:hAnsi="Arial" w:cs="Arial"/>
          <w:b/>
          <w:sz w:val="22"/>
          <w:szCs w:val="22"/>
          <w:lang w:eastAsia="cs-CZ"/>
        </w:rPr>
        <w:t xml:space="preserve">kazovaly jako </w:t>
      </w:r>
      <w:r w:rsidR="007948A4" w:rsidRPr="00050607">
        <w:rPr>
          <w:rFonts w:ascii="Arial" w:hAnsi="Arial" w:cs="Arial"/>
          <w:b/>
          <w:sz w:val="22"/>
          <w:szCs w:val="22"/>
          <w:lang w:eastAsia="cs-CZ"/>
        </w:rPr>
        <w:t xml:space="preserve">oběžná </w:t>
      </w:r>
      <w:r w:rsidR="005F178A" w:rsidRPr="00050607">
        <w:rPr>
          <w:rFonts w:ascii="Arial" w:hAnsi="Arial" w:cs="Arial"/>
          <w:b/>
          <w:sz w:val="22"/>
          <w:szCs w:val="22"/>
          <w:lang w:eastAsia="cs-CZ"/>
        </w:rPr>
        <w:t>aktiva</w:t>
      </w:r>
      <w:r w:rsidR="007948A4" w:rsidRPr="00050607">
        <w:rPr>
          <w:rFonts w:ascii="Arial" w:hAnsi="Arial" w:cs="Arial"/>
          <w:b/>
          <w:sz w:val="22"/>
          <w:szCs w:val="22"/>
          <w:lang w:eastAsia="cs-CZ"/>
        </w:rPr>
        <w:t xml:space="preserve"> a rozpočtové výdaje jako cizí zdroje; od roku 2012 se však rozpočtové příjmy a výdaje vykazují ve vlastním kapitálu</w:t>
      </w:r>
      <w:r w:rsidR="006F2830" w:rsidRPr="00050607">
        <w:rPr>
          <w:rFonts w:ascii="Arial" w:hAnsi="Arial" w:cs="Arial"/>
          <w:b/>
          <w:sz w:val="22"/>
          <w:szCs w:val="22"/>
          <w:lang w:eastAsia="cs-CZ"/>
        </w:rPr>
        <w:t>, což je jeden z důvodů významné změny údajů v uvedené časové řadě</w:t>
      </w:r>
      <w:r w:rsidR="007948A4" w:rsidRPr="00050607">
        <w:rPr>
          <w:rFonts w:ascii="Arial" w:hAnsi="Arial" w:cs="Arial"/>
          <w:b/>
          <w:sz w:val="22"/>
          <w:szCs w:val="22"/>
          <w:lang w:eastAsia="cs-CZ"/>
        </w:rPr>
        <w:t xml:space="preserve">. </w:t>
      </w:r>
    </w:p>
    <w:p w:rsidR="003E69EB" w:rsidRPr="00C24B70" w:rsidRDefault="003E69EB" w:rsidP="000923D6">
      <w:pPr>
        <w:pStyle w:val="Default"/>
        <w:jc w:val="both"/>
        <w:rPr>
          <w:rFonts w:ascii="Arial" w:hAnsi="Arial" w:cs="Arial"/>
          <w:sz w:val="22"/>
          <w:szCs w:val="22"/>
          <w:lang w:eastAsia="cs-CZ"/>
        </w:rPr>
      </w:pPr>
    </w:p>
    <w:p w:rsidR="008F35EE" w:rsidRPr="00C24B70" w:rsidRDefault="00060E51" w:rsidP="000923D6">
      <w:pPr>
        <w:tabs>
          <w:tab w:val="right" w:pos="9072"/>
        </w:tabs>
        <w:rPr>
          <w:rFonts w:ascii="Arial" w:hAnsi="Arial" w:cs="Arial"/>
          <w:color w:val="000000"/>
          <w:sz w:val="22"/>
        </w:rPr>
      </w:pPr>
      <w:r w:rsidRPr="00C24B70">
        <w:rPr>
          <w:rFonts w:ascii="Arial" w:hAnsi="Arial" w:cs="Arial"/>
          <w:color w:val="000000"/>
          <w:sz w:val="22"/>
        </w:rPr>
        <w:t xml:space="preserve">Další změny v údajích </w:t>
      </w:r>
      <w:r w:rsidR="0012697F" w:rsidRPr="00C24B70">
        <w:rPr>
          <w:rFonts w:ascii="Arial" w:hAnsi="Arial" w:cs="Arial"/>
          <w:color w:val="000000"/>
          <w:sz w:val="22"/>
        </w:rPr>
        <w:t xml:space="preserve">znázorněné </w:t>
      </w:r>
      <w:r w:rsidRPr="00D16CE6">
        <w:rPr>
          <w:rFonts w:ascii="Arial" w:hAnsi="Arial" w:cs="Arial"/>
          <w:color w:val="000000"/>
          <w:sz w:val="22"/>
        </w:rPr>
        <w:t>časové řady souvis</w:t>
      </w:r>
      <w:r w:rsidR="00B65CBE">
        <w:rPr>
          <w:rFonts w:ascii="Arial" w:hAnsi="Arial" w:cs="Arial"/>
          <w:color w:val="000000"/>
          <w:sz w:val="22"/>
        </w:rPr>
        <w:t>ej</w:t>
      </w:r>
      <w:r w:rsidRPr="00D16CE6">
        <w:rPr>
          <w:rFonts w:ascii="Arial" w:hAnsi="Arial" w:cs="Arial"/>
          <w:color w:val="000000"/>
          <w:sz w:val="22"/>
        </w:rPr>
        <w:t xml:space="preserve">í s tím, že </w:t>
      </w:r>
      <w:r w:rsidRPr="00050607">
        <w:rPr>
          <w:rFonts w:ascii="Arial" w:hAnsi="Arial" w:cs="Arial"/>
          <w:b/>
          <w:color w:val="000000"/>
          <w:sz w:val="22"/>
        </w:rPr>
        <w:t>MD v roce 2012 provedlo metodickou změnu účtování o transferech spolufinancovaných</w:t>
      </w:r>
      <w:r w:rsidR="003601C4" w:rsidRPr="00050607">
        <w:rPr>
          <w:rFonts w:ascii="Arial" w:hAnsi="Arial" w:cs="Arial"/>
          <w:b/>
          <w:color w:val="000000"/>
          <w:sz w:val="22"/>
        </w:rPr>
        <w:t xml:space="preserve"> ze zahraničí</w:t>
      </w:r>
      <w:r w:rsidR="001C181F" w:rsidRPr="00050607">
        <w:rPr>
          <w:rFonts w:ascii="Arial" w:hAnsi="Arial" w:cs="Arial"/>
          <w:b/>
          <w:color w:val="000000"/>
          <w:sz w:val="22"/>
        </w:rPr>
        <w:t xml:space="preserve"> (z</w:t>
      </w:r>
      <w:r w:rsidR="006C2263" w:rsidRPr="00050607">
        <w:rPr>
          <w:rFonts w:ascii="Arial" w:hAnsi="Arial" w:cs="Arial"/>
          <w:b/>
          <w:color w:val="000000"/>
          <w:sz w:val="22"/>
        </w:rPr>
        <w:t>měnilo</w:t>
      </w:r>
      <w:r w:rsidR="001C181F" w:rsidRPr="00050607">
        <w:rPr>
          <w:rFonts w:ascii="Arial" w:hAnsi="Arial" w:cs="Arial"/>
          <w:b/>
          <w:color w:val="000000"/>
          <w:sz w:val="22"/>
        </w:rPr>
        <w:t xml:space="preserve"> </w:t>
      </w:r>
      <w:r w:rsidR="006C2263" w:rsidRPr="00050607">
        <w:rPr>
          <w:rFonts w:ascii="Arial" w:hAnsi="Arial" w:cs="Arial"/>
          <w:b/>
          <w:color w:val="000000"/>
          <w:sz w:val="22"/>
        </w:rPr>
        <w:t>roli z</w:t>
      </w:r>
      <w:r w:rsidR="00A21FC4" w:rsidRPr="00050607">
        <w:rPr>
          <w:rFonts w:ascii="Arial" w:hAnsi="Arial" w:cs="Arial"/>
          <w:b/>
          <w:color w:val="000000"/>
          <w:sz w:val="22"/>
        </w:rPr>
        <w:t> </w:t>
      </w:r>
      <w:r w:rsidR="001C181F" w:rsidRPr="00050607">
        <w:rPr>
          <w:rFonts w:ascii="Arial" w:hAnsi="Arial" w:cs="Arial"/>
          <w:b/>
          <w:color w:val="000000"/>
          <w:sz w:val="22"/>
        </w:rPr>
        <w:t>poskytovatel</w:t>
      </w:r>
      <w:r w:rsidR="00A21FC4" w:rsidRPr="00050607">
        <w:rPr>
          <w:rFonts w:ascii="Arial" w:hAnsi="Arial" w:cs="Arial"/>
          <w:b/>
          <w:color w:val="000000"/>
          <w:sz w:val="22"/>
        </w:rPr>
        <w:t>e</w:t>
      </w:r>
      <w:r w:rsidR="001C181F" w:rsidRPr="00050607">
        <w:rPr>
          <w:rFonts w:ascii="Arial" w:hAnsi="Arial" w:cs="Arial"/>
          <w:b/>
          <w:color w:val="000000"/>
          <w:sz w:val="22"/>
        </w:rPr>
        <w:t xml:space="preserve"> </w:t>
      </w:r>
      <w:r w:rsidR="00A21FC4" w:rsidRPr="00050607">
        <w:rPr>
          <w:rFonts w:ascii="Arial" w:hAnsi="Arial" w:cs="Arial"/>
          <w:b/>
          <w:color w:val="000000"/>
          <w:sz w:val="22"/>
        </w:rPr>
        <w:t xml:space="preserve">a příjemce </w:t>
      </w:r>
      <w:r w:rsidR="001C181F" w:rsidRPr="00050607">
        <w:rPr>
          <w:rFonts w:ascii="Arial" w:hAnsi="Arial" w:cs="Arial"/>
          <w:b/>
          <w:color w:val="000000"/>
          <w:sz w:val="22"/>
        </w:rPr>
        <w:t xml:space="preserve">na </w:t>
      </w:r>
      <w:r w:rsidR="001F2092" w:rsidRPr="00050607">
        <w:rPr>
          <w:rFonts w:ascii="Arial" w:hAnsi="Arial" w:cs="Arial"/>
          <w:b/>
          <w:color w:val="000000"/>
          <w:sz w:val="22"/>
        </w:rPr>
        <w:t>zprostředkovatel</w:t>
      </w:r>
      <w:r w:rsidR="00A21FC4" w:rsidRPr="00050607">
        <w:rPr>
          <w:rFonts w:ascii="Arial" w:hAnsi="Arial" w:cs="Arial"/>
          <w:b/>
          <w:color w:val="000000"/>
          <w:sz w:val="22"/>
        </w:rPr>
        <w:t>e</w:t>
      </w:r>
      <w:r w:rsidR="001F2092" w:rsidRPr="00050607">
        <w:rPr>
          <w:rFonts w:ascii="Arial" w:hAnsi="Arial" w:cs="Arial"/>
          <w:b/>
          <w:color w:val="000000"/>
          <w:sz w:val="22"/>
        </w:rPr>
        <w:t>)</w:t>
      </w:r>
      <w:r w:rsidR="00BA0E14">
        <w:rPr>
          <w:rFonts w:ascii="Arial" w:hAnsi="Arial" w:cs="Arial"/>
          <w:b/>
          <w:color w:val="000000"/>
          <w:sz w:val="22"/>
        </w:rPr>
        <w:t xml:space="preserve"> </w:t>
      </w:r>
      <w:r w:rsidRPr="00050607">
        <w:rPr>
          <w:rFonts w:ascii="Arial" w:hAnsi="Arial" w:cs="Arial"/>
          <w:b/>
          <w:color w:val="000000"/>
          <w:sz w:val="22"/>
        </w:rPr>
        <w:t xml:space="preserve">a v důsledku toho významně poklesly </w:t>
      </w:r>
      <w:r w:rsidR="003601C4" w:rsidRPr="00050607">
        <w:rPr>
          <w:rFonts w:ascii="Arial" w:hAnsi="Arial" w:cs="Arial"/>
          <w:b/>
          <w:color w:val="000000"/>
          <w:sz w:val="22"/>
        </w:rPr>
        <w:t xml:space="preserve">vykázané </w:t>
      </w:r>
      <w:r w:rsidRPr="00050607">
        <w:rPr>
          <w:rFonts w:ascii="Arial" w:hAnsi="Arial" w:cs="Arial"/>
          <w:b/>
          <w:color w:val="000000"/>
          <w:sz w:val="22"/>
        </w:rPr>
        <w:t>údaje o výši oběžných aktiv i cizích zdrojů</w:t>
      </w:r>
      <w:r w:rsidRPr="000923D6">
        <w:rPr>
          <w:rFonts w:ascii="Arial" w:hAnsi="Arial" w:cs="Arial"/>
          <w:b/>
          <w:color w:val="000000"/>
          <w:sz w:val="22"/>
        </w:rPr>
        <w:t>;</w:t>
      </w:r>
      <w:r w:rsidRPr="00C24B70">
        <w:rPr>
          <w:rFonts w:ascii="Arial" w:hAnsi="Arial" w:cs="Arial"/>
          <w:color w:val="000000"/>
          <w:sz w:val="22"/>
        </w:rPr>
        <w:t xml:space="preserve"> </w:t>
      </w:r>
      <w:r w:rsidR="005F0022" w:rsidRPr="00C24B70">
        <w:rPr>
          <w:rFonts w:ascii="Arial" w:hAnsi="Arial" w:cs="Arial"/>
          <w:color w:val="000000"/>
          <w:sz w:val="22"/>
        </w:rPr>
        <w:t>kromě jinéh</w:t>
      </w:r>
      <w:r w:rsidR="00E86D74">
        <w:rPr>
          <w:rFonts w:ascii="Arial" w:hAnsi="Arial" w:cs="Arial"/>
          <w:color w:val="000000"/>
          <w:sz w:val="22"/>
        </w:rPr>
        <w:t>o došlo i </w:t>
      </w:r>
      <w:r w:rsidR="005F0022" w:rsidRPr="00C24B70">
        <w:rPr>
          <w:rFonts w:ascii="Arial" w:hAnsi="Arial" w:cs="Arial"/>
          <w:color w:val="000000"/>
          <w:sz w:val="22"/>
        </w:rPr>
        <w:t xml:space="preserve">k tomu, že </w:t>
      </w:r>
      <w:r w:rsidR="005F0022" w:rsidRPr="00050607">
        <w:rPr>
          <w:rFonts w:ascii="Arial" w:hAnsi="Arial" w:cs="Arial"/>
          <w:b/>
          <w:color w:val="000000"/>
          <w:sz w:val="22"/>
        </w:rPr>
        <w:t>nároky za Národním fondem</w:t>
      </w:r>
      <w:r w:rsidR="005D6565" w:rsidRPr="00050607">
        <w:rPr>
          <w:rFonts w:ascii="Arial" w:hAnsi="Arial" w:cs="Arial"/>
          <w:b/>
          <w:color w:val="000000"/>
          <w:sz w:val="22"/>
        </w:rPr>
        <w:t xml:space="preserve">, </w:t>
      </w:r>
      <w:r w:rsidR="004D50A1">
        <w:rPr>
          <w:rFonts w:ascii="Arial" w:hAnsi="Arial" w:cs="Arial"/>
          <w:b/>
          <w:color w:val="000000"/>
          <w:sz w:val="22"/>
        </w:rPr>
        <w:t xml:space="preserve">jejž </w:t>
      </w:r>
      <w:r w:rsidR="005D6565" w:rsidRPr="00050607">
        <w:rPr>
          <w:rFonts w:ascii="Arial" w:hAnsi="Arial" w:cs="Arial"/>
          <w:b/>
          <w:color w:val="000000"/>
          <w:sz w:val="22"/>
        </w:rPr>
        <w:t>sprav</w:t>
      </w:r>
      <w:r w:rsidR="004D50A1">
        <w:rPr>
          <w:rFonts w:ascii="Arial" w:hAnsi="Arial" w:cs="Arial"/>
          <w:b/>
          <w:color w:val="000000"/>
          <w:sz w:val="22"/>
        </w:rPr>
        <w:t>uje</w:t>
      </w:r>
      <w:r w:rsidR="005F0022" w:rsidRPr="00050607">
        <w:rPr>
          <w:rFonts w:ascii="Arial" w:hAnsi="Arial" w:cs="Arial"/>
          <w:b/>
          <w:color w:val="000000"/>
          <w:sz w:val="22"/>
        </w:rPr>
        <w:t xml:space="preserve"> Ministerstv</w:t>
      </w:r>
      <w:r w:rsidR="004D50A1">
        <w:rPr>
          <w:rFonts w:ascii="Arial" w:hAnsi="Arial" w:cs="Arial"/>
          <w:b/>
          <w:color w:val="000000"/>
          <w:sz w:val="22"/>
        </w:rPr>
        <w:t>o</w:t>
      </w:r>
      <w:r w:rsidR="005F0022" w:rsidRPr="00050607">
        <w:rPr>
          <w:rFonts w:ascii="Arial" w:hAnsi="Arial" w:cs="Arial"/>
          <w:b/>
          <w:color w:val="000000"/>
          <w:sz w:val="22"/>
        </w:rPr>
        <w:t xml:space="preserve"> financí</w:t>
      </w:r>
      <w:r w:rsidR="005D6565" w:rsidRPr="00050607">
        <w:rPr>
          <w:rFonts w:ascii="Arial" w:hAnsi="Arial" w:cs="Arial"/>
          <w:b/>
          <w:color w:val="000000"/>
          <w:sz w:val="22"/>
        </w:rPr>
        <w:t>,</w:t>
      </w:r>
      <w:r w:rsidR="005F0022" w:rsidRPr="00050607">
        <w:rPr>
          <w:rFonts w:ascii="Arial" w:hAnsi="Arial" w:cs="Arial"/>
          <w:b/>
          <w:color w:val="000000"/>
          <w:sz w:val="22"/>
        </w:rPr>
        <w:t xml:space="preserve"> </w:t>
      </w:r>
      <w:r w:rsidR="005F0022" w:rsidRPr="00050607">
        <w:rPr>
          <w:rFonts w:ascii="Arial" w:hAnsi="Arial" w:cs="Arial"/>
          <w:b/>
          <w:color w:val="000000"/>
          <w:sz w:val="22"/>
        </w:rPr>
        <w:lastRenderedPageBreak/>
        <w:t>nejsou vykazovány v oběžných aktivech, ale naopak snižují výši vykázaných závazků v rámci cizích zdrojů</w:t>
      </w:r>
      <w:r w:rsidR="005F0022" w:rsidRPr="000923D6">
        <w:rPr>
          <w:rFonts w:ascii="Arial" w:hAnsi="Arial" w:cs="Arial"/>
          <w:b/>
          <w:color w:val="000000"/>
          <w:sz w:val="22"/>
        </w:rPr>
        <w:t>.</w:t>
      </w:r>
      <w:r w:rsidR="005F0022" w:rsidRPr="00D16CE6">
        <w:rPr>
          <w:rFonts w:ascii="Arial" w:hAnsi="Arial" w:cs="Arial"/>
          <w:color w:val="000000"/>
          <w:sz w:val="22"/>
        </w:rPr>
        <w:t xml:space="preserve"> </w:t>
      </w:r>
      <w:r w:rsidR="0012697F" w:rsidRPr="00D16CE6">
        <w:rPr>
          <w:rFonts w:ascii="Arial" w:hAnsi="Arial" w:cs="Arial"/>
          <w:color w:val="000000"/>
          <w:sz w:val="22"/>
        </w:rPr>
        <w:t xml:space="preserve">V další části kontrolního závěru je uvedeno, že </w:t>
      </w:r>
      <w:r w:rsidR="0012697F" w:rsidRPr="00050607">
        <w:rPr>
          <w:rFonts w:ascii="Arial" w:hAnsi="Arial" w:cs="Arial"/>
          <w:b/>
          <w:color w:val="000000"/>
          <w:sz w:val="22"/>
        </w:rPr>
        <w:t>d</w:t>
      </w:r>
      <w:r w:rsidRPr="00050607">
        <w:rPr>
          <w:rFonts w:ascii="Arial" w:hAnsi="Arial" w:cs="Arial"/>
          <w:b/>
          <w:color w:val="000000"/>
          <w:sz w:val="22"/>
        </w:rPr>
        <w:t>ůsledky této změny řešilo MD ještě v roce 2013</w:t>
      </w:r>
      <w:r w:rsidR="0012697F" w:rsidRPr="00050607">
        <w:rPr>
          <w:rFonts w:ascii="Arial" w:hAnsi="Arial" w:cs="Arial"/>
          <w:b/>
          <w:color w:val="000000"/>
          <w:sz w:val="22"/>
        </w:rPr>
        <w:t xml:space="preserve"> a v přímé návaznosti na </w:t>
      </w:r>
      <w:r w:rsidR="00664A2E" w:rsidRPr="00050607">
        <w:rPr>
          <w:rFonts w:ascii="Arial" w:hAnsi="Arial" w:cs="Arial"/>
          <w:b/>
          <w:color w:val="000000"/>
          <w:sz w:val="22"/>
        </w:rPr>
        <w:t>tu</w:t>
      </w:r>
      <w:r w:rsidR="0012697F" w:rsidRPr="00050607">
        <w:rPr>
          <w:rFonts w:ascii="Arial" w:hAnsi="Arial" w:cs="Arial"/>
          <w:b/>
          <w:color w:val="000000"/>
          <w:sz w:val="22"/>
        </w:rPr>
        <w:t>to</w:t>
      </w:r>
      <w:r w:rsidR="00664A2E" w:rsidRPr="00050607">
        <w:rPr>
          <w:rFonts w:ascii="Arial" w:hAnsi="Arial" w:cs="Arial"/>
          <w:b/>
          <w:color w:val="000000"/>
          <w:sz w:val="22"/>
        </w:rPr>
        <w:t xml:space="preserve"> změnu</w:t>
      </w:r>
      <w:r w:rsidR="00E86D74">
        <w:rPr>
          <w:rFonts w:ascii="Arial" w:hAnsi="Arial" w:cs="Arial"/>
          <w:b/>
          <w:color w:val="000000"/>
          <w:sz w:val="22"/>
        </w:rPr>
        <w:t xml:space="preserve"> účtovalo v roce 2013 o </w:t>
      </w:r>
      <w:r w:rsidR="0012697F" w:rsidRPr="00050607">
        <w:rPr>
          <w:rFonts w:ascii="Arial" w:hAnsi="Arial" w:cs="Arial"/>
          <w:b/>
          <w:color w:val="000000"/>
          <w:sz w:val="22"/>
        </w:rPr>
        <w:t>množství oprav</w:t>
      </w:r>
      <w:r w:rsidR="0012697F" w:rsidRPr="000923D6">
        <w:rPr>
          <w:rFonts w:ascii="Arial" w:hAnsi="Arial" w:cs="Arial"/>
          <w:b/>
          <w:color w:val="000000"/>
          <w:sz w:val="22"/>
        </w:rPr>
        <w:t>,</w:t>
      </w:r>
      <w:r w:rsidR="0012697F" w:rsidRPr="00D16CE6">
        <w:rPr>
          <w:rFonts w:ascii="Arial" w:hAnsi="Arial" w:cs="Arial"/>
          <w:color w:val="000000"/>
          <w:sz w:val="22"/>
        </w:rPr>
        <w:t xml:space="preserve"> </w:t>
      </w:r>
      <w:r w:rsidR="003601C4" w:rsidRPr="00D16CE6">
        <w:rPr>
          <w:rFonts w:ascii="Arial" w:hAnsi="Arial" w:cs="Arial"/>
          <w:color w:val="000000"/>
          <w:sz w:val="22"/>
        </w:rPr>
        <w:t>což</w:t>
      </w:r>
      <w:r w:rsidR="0012697F" w:rsidRPr="00C24B70">
        <w:rPr>
          <w:rFonts w:ascii="Arial" w:hAnsi="Arial" w:cs="Arial"/>
          <w:color w:val="000000"/>
          <w:sz w:val="22"/>
        </w:rPr>
        <w:t xml:space="preserve"> se promítlo zej</w:t>
      </w:r>
      <w:r w:rsidR="003601C4" w:rsidRPr="00D16CE6">
        <w:rPr>
          <w:rFonts w:ascii="Arial" w:hAnsi="Arial" w:cs="Arial"/>
          <w:color w:val="000000"/>
          <w:sz w:val="22"/>
        </w:rPr>
        <w:t xml:space="preserve">ména do významné změny položky </w:t>
      </w:r>
      <w:r w:rsidR="0012697F" w:rsidRPr="00D16CE6">
        <w:rPr>
          <w:rFonts w:ascii="Arial" w:hAnsi="Arial" w:cs="Arial"/>
          <w:i/>
          <w:color w:val="000000"/>
          <w:sz w:val="22"/>
        </w:rPr>
        <w:t>Jmění účetní jednotky a upravující položky</w:t>
      </w:r>
      <w:r w:rsidR="00924707" w:rsidRPr="00C24B70">
        <w:rPr>
          <w:rFonts w:ascii="Arial" w:hAnsi="Arial" w:cs="Arial"/>
          <w:color w:val="000000"/>
          <w:sz w:val="22"/>
        </w:rPr>
        <w:t xml:space="preserve"> (složky vlastní</w:t>
      </w:r>
      <w:r w:rsidR="00962D60" w:rsidRPr="00D16CE6">
        <w:rPr>
          <w:rFonts w:ascii="Arial" w:hAnsi="Arial" w:cs="Arial"/>
          <w:color w:val="000000"/>
          <w:sz w:val="22"/>
        </w:rPr>
        <w:t>ho</w:t>
      </w:r>
      <w:r w:rsidR="00924707" w:rsidRPr="00C24B70">
        <w:rPr>
          <w:rFonts w:ascii="Arial" w:hAnsi="Arial" w:cs="Arial"/>
          <w:color w:val="000000"/>
          <w:sz w:val="22"/>
        </w:rPr>
        <w:t xml:space="preserve"> kapitálu)</w:t>
      </w:r>
      <w:r w:rsidR="0012697F" w:rsidRPr="00C24B70">
        <w:rPr>
          <w:rFonts w:ascii="Arial" w:hAnsi="Arial" w:cs="Arial"/>
          <w:color w:val="000000"/>
          <w:sz w:val="22"/>
        </w:rPr>
        <w:t>.</w:t>
      </w:r>
    </w:p>
    <w:p w:rsidR="003534AE" w:rsidRPr="00D16CE6" w:rsidRDefault="003534AE" w:rsidP="003534AE">
      <w:pPr>
        <w:tabs>
          <w:tab w:val="right" w:pos="9072"/>
        </w:tabs>
        <w:ind w:left="1622" w:hanging="1622"/>
        <w:rPr>
          <w:rFonts w:ascii="Arial" w:hAnsi="Arial" w:cs="Arial"/>
          <w:color w:val="000000"/>
        </w:rPr>
      </w:pPr>
    </w:p>
    <w:p w:rsidR="00E15CC1" w:rsidRPr="00D16CE6" w:rsidRDefault="00E15CC1" w:rsidP="00E15CC1">
      <w:pPr>
        <w:spacing w:after="120"/>
        <w:rPr>
          <w:rFonts w:ascii="Arial" w:hAnsi="Arial" w:cs="Arial"/>
          <w:b/>
          <w:sz w:val="22"/>
        </w:rPr>
      </w:pPr>
      <w:r w:rsidRPr="00D16CE6">
        <w:rPr>
          <w:rFonts w:ascii="Arial" w:hAnsi="Arial" w:cs="Arial"/>
          <w:b/>
          <w:sz w:val="22"/>
        </w:rPr>
        <w:t xml:space="preserve">1.1 </w:t>
      </w:r>
      <w:r w:rsidR="00327DEA" w:rsidRPr="00D16CE6">
        <w:rPr>
          <w:rFonts w:ascii="Arial" w:hAnsi="Arial" w:cs="Arial"/>
          <w:b/>
          <w:sz w:val="22"/>
        </w:rPr>
        <w:t>Oblasti účetnictví, které nejsou předpisy</w:t>
      </w:r>
      <w:r w:rsidRPr="00D16CE6">
        <w:rPr>
          <w:rFonts w:ascii="Arial" w:hAnsi="Arial" w:cs="Arial"/>
          <w:b/>
          <w:sz w:val="22"/>
        </w:rPr>
        <w:t xml:space="preserve"> </w:t>
      </w:r>
      <w:r w:rsidR="00327DEA" w:rsidRPr="00D16CE6">
        <w:rPr>
          <w:rFonts w:ascii="Arial" w:hAnsi="Arial" w:cs="Arial"/>
          <w:b/>
          <w:sz w:val="22"/>
        </w:rPr>
        <w:t>pro</w:t>
      </w:r>
      <w:r w:rsidRPr="00D16CE6">
        <w:rPr>
          <w:rFonts w:ascii="Arial" w:hAnsi="Arial" w:cs="Arial"/>
          <w:b/>
          <w:sz w:val="22"/>
        </w:rPr>
        <w:t xml:space="preserve"> vedení účetnictví</w:t>
      </w:r>
      <w:r w:rsidR="00327DEA" w:rsidRPr="00D16CE6">
        <w:rPr>
          <w:rFonts w:ascii="Arial" w:hAnsi="Arial" w:cs="Arial"/>
          <w:b/>
          <w:sz w:val="22"/>
        </w:rPr>
        <w:t xml:space="preserve"> jasně upraveny</w:t>
      </w:r>
    </w:p>
    <w:p w:rsidR="005723D1" w:rsidRDefault="00E15CC1" w:rsidP="000923D6">
      <w:pPr>
        <w:pStyle w:val="Pa10"/>
        <w:jc w:val="both"/>
        <w:rPr>
          <w:color w:val="000000"/>
          <w:sz w:val="22"/>
          <w:szCs w:val="22"/>
        </w:rPr>
      </w:pPr>
      <w:r w:rsidRPr="00D16CE6">
        <w:rPr>
          <w:color w:val="000000"/>
          <w:sz w:val="22"/>
          <w:szCs w:val="22"/>
        </w:rPr>
        <w:t xml:space="preserve">I přes </w:t>
      </w:r>
      <w:r w:rsidR="00F50801" w:rsidRPr="00D16CE6">
        <w:rPr>
          <w:color w:val="000000"/>
          <w:sz w:val="22"/>
          <w:szCs w:val="22"/>
        </w:rPr>
        <w:t xml:space="preserve">prováděné </w:t>
      </w:r>
      <w:r w:rsidRPr="00D16CE6">
        <w:rPr>
          <w:color w:val="000000"/>
          <w:sz w:val="22"/>
          <w:szCs w:val="22"/>
        </w:rPr>
        <w:t xml:space="preserve">změny </w:t>
      </w:r>
      <w:r w:rsidR="00F50801" w:rsidRPr="00D16CE6">
        <w:rPr>
          <w:color w:val="000000"/>
          <w:sz w:val="22"/>
          <w:szCs w:val="22"/>
        </w:rPr>
        <w:t>předpisů</w:t>
      </w:r>
      <w:r w:rsidR="00924707" w:rsidRPr="00D16CE6">
        <w:rPr>
          <w:color w:val="000000"/>
          <w:sz w:val="22"/>
          <w:szCs w:val="22"/>
        </w:rPr>
        <w:t>, k nimž v průběhu reformy od roku 2010 dochází,</w:t>
      </w:r>
      <w:r w:rsidR="00F50801" w:rsidRPr="00D16CE6">
        <w:rPr>
          <w:color w:val="000000"/>
          <w:sz w:val="22"/>
          <w:szCs w:val="22"/>
        </w:rPr>
        <w:t xml:space="preserve"> </w:t>
      </w:r>
      <w:r w:rsidRPr="00D16CE6">
        <w:rPr>
          <w:color w:val="000000"/>
          <w:sz w:val="22"/>
          <w:szCs w:val="22"/>
        </w:rPr>
        <w:t>zůstávají dosud některé oblasti účetnictví organizačních složek státu při aplikaci účetní regulace zatíženy nejasnostmi</w:t>
      </w:r>
      <w:r w:rsidR="00414AB4" w:rsidRPr="00D16CE6">
        <w:rPr>
          <w:color w:val="000000"/>
          <w:sz w:val="22"/>
          <w:szCs w:val="22"/>
        </w:rPr>
        <w:t>, které pak mohou významně ovlivnit i údaje vykázané v účetních závěrkách</w:t>
      </w:r>
      <w:r w:rsidR="00C37631" w:rsidRPr="00D16CE6">
        <w:rPr>
          <w:color w:val="000000"/>
          <w:sz w:val="22"/>
          <w:szCs w:val="22"/>
        </w:rPr>
        <w:t xml:space="preserve"> a </w:t>
      </w:r>
      <w:r w:rsidR="004D50A1">
        <w:rPr>
          <w:color w:val="000000"/>
          <w:sz w:val="22"/>
          <w:szCs w:val="22"/>
        </w:rPr>
        <w:t xml:space="preserve">mohou </w:t>
      </w:r>
      <w:r w:rsidR="00C37631" w:rsidRPr="00D16CE6">
        <w:rPr>
          <w:color w:val="000000"/>
          <w:sz w:val="22"/>
          <w:szCs w:val="22"/>
        </w:rPr>
        <w:t>vést k nesrovnatelnosti údajů mezi účetními jednotkami a mezi účetními obdobími</w:t>
      </w:r>
      <w:r w:rsidRPr="00D16CE6">
        <w:rPr>
          <w:color w:val="000000"/>
          <w:sz w:val="22"/>
          <w:szCs w:val="22"/>
        </w:rPr>
        <w:t>.</w:t>
      </w:r>
      <w:r w:rsidR="00520276" w:rsidRPr="00D16CE6">
        <w:rPr>
          <w:color w:val="000000"/>
          <w:sz w:val="22"/>
          <w:szCs w:val="22"/>
        </w:rPr>
        <w:t xml:space="preserve"> </w:t>
      </w:r>
    </w:p>
    <w:p w:rsidR="003E69EB" w:rsidRPr="00C57F6B" w:rsidRDefault="003E69EB" w:rsidP="000923D6">
      <w:pPr>
        <w:pStyle w:val="Default"/>
        <w:rPr>
          <w:sz w:val="22"/>
          <w:szCs w:val="22"/>
        </w:rPr>
      </w:pPr>
    </w:p>
    <w:p w:rsidR="00C37631" w:rsidRPr="0016696F" w:rsidRDefault="00520276" w:rsidP="000923D6">
      <w:pPr>
        <w:pStyle w:val="Pa10"/>
        <w:jc w:val="both"/>
        <w:rPr>
          <w:color w:val="000000"/>
          <w:sz w:val="22"/>
          <w:szCs w:val="22"/>
        </w:rPr>
      </w:pPr>
      <w:r w:rsidRPr="00D16CE6">
        <w:rPr>
          <w:color w:val="000000"/>
          <w:sz w:val="22"/>
          <w:szCs w:val="22"/>
        </w:rPr>
        <w:t>Ve vztahu k účetnictví MD za rok 2013 byly zjištěny následující případy nejasnosti předpisů s vlivem na vykázání údajů</w:t>
      </w:r>
      <w:r w:rsidRPr="0016696F">
        <w:rPr>
          <w:color w:val="000000"/>
          <w:sz w:val="22"/>
          <w:szCs w:val="22"/>
        </w:rPr>
        <w:t xml:space="preserve"> </w:t>
      </w:r>
      <w:r w:rsidR="00300D1C" w:rsidRPr="0016696F">
        <w:rPr>
          <w:color w:val="000000"/>
          <w:sz w:val="22"/>
          <w:szCs w:val="22"/>
        </w:rPr>
        <w:t>v ÚZ MD</w:t>
      </w:r>
      <w:r w:rsidR="004D50A1">
        <w:rPr>
          <w:color w:val="000000"/>
          <w:sz w:val="22"/>
          <w:szCs w:val="22"/>
        </w:rPr>
        <w:t>:</w:t>
      </w:r>
      <w:r w:rsidR="00300D1C" w:rsidRPr="0016696F">
        <w:rPr>
          <w:color w:val="000000"/>
          <w:sz w:val="22"/>
          <w:szCs w:val="22"/>
        </w:rPr>
        <w:t xml:space="preserve"> </w:t>
      </w:r>
    </w:p>
    <w:p w:rsidR="00520276" w:rsidRPr="0016696F" w:rsidRDefault="00520276" w:rsidP="000923D6">
      <w:pPr>
        <w:pStyle w:val="Default"/>
        <w:numPr>
          <w:ilvl w:val="0"/>
          <w:numId w:val="22"/>
        </w:numPr>
        <w:ind w:left="567" w:hanging="283"/>
        <w:rPr>
          <w:rFonts w:ascii="Arial" w:eastAsia="Calibri" w:hAnsi="Arial" w:cs="Arial"/>
          <w:sz w:val="22"/>
          <w:szCs w:val="22"/>
          <w:lang w:eastAsia="cs-CZ"/>
        </w:rPr>
      </w:pPr>
      <w:r w:rsidRPr="0016696F">
        <w:rPr>
          <w:rFonts w:ascii="Arial" w:eastAsia="Calibri" w:hAnsi="Arial" w:cs="Arial"/>
          <w:sz w:val="22"/>
          <w:szCs w:val="22"/>
          <w:lang w:eastAsia="cs-CZ"/>
        </w:rPr>
        <w:t>předfinancování transferů spolufinancovaných ze zahraničí,</w:t>
      </w:r>
    </w:p>
    <w:p w:rsidR="00520276" w:rsidRPr="0016696F" w:rsidRDefault="00520276" w:rsidP="000923D6">
      <w:pPr>
        <w:pStyle w:val="Default"/>
        <w:numPr>
          <w:ilvl w:val="0"/>
          <w:numId w:val="22"/>
        </w:numPr>
        <w:ind w:left="567" w:hanging="283"/>
        <w:jc w:val="both"/>
        <w:rPr>
          <w:rFonts w:ascii="Arial" w:eastAsia="Calibri" w:hAnsi="Arial" w:cs="Arial"/>
          <w:sz w:val="22"/>
          <w:szCs w:val="22"/>
          <w:lang w:eastAsia="cs-CZ"/>
        </w:rPr>
      </w:pPr>
      <w:r w:rsidRPr="0016696F">
        <w:rPr>
          <w:rFonts w:ascii="Arial" w:eastAsia="Calibri" w:hAnsi="Arial" w:cs="Arial"/>
          <w:sz w:val="22"/>
          <w:szCs w:val="22"/>
          <w:lang w:eastAsia="cs-CZ"/>
        </w:rPr>
        <w:t>vyk</w:t>
      </w:r>
      <w:r w:rsidR="004D50A1">
        <w:rPr>
          <w:rFonts w:ascii="Arial" w:eastAsia="Calibri" w:hAnsi="Arial" w:cs="Arial"/>
          <w:sz w:val="22"/>
          <w:szCs w:val="22"/>
          <w:lang w:eastAsia="cs-CZ"/>
        </w:rPr>
        <w:t>azování</w:t>
      </w:r>
      <w:r w:rsidRPr="0016696F">
        <w:rPr>
          <w:rFonts w:ascii="Arial" w:eastAsia="Calibri" w:hAnsi="Arial" w:cs="Arial"/>
          <w:sz w:val="22"/>
          <w:szCs w:val="22"/>
          <w:lang w:eastAsia="cs-CZ"/>
        </w:rPr>
        <w:t xml:space="preserve"> údajů o „zvýšení stavu“ či „snížení stavu“ </w:t>
      </w:r>
      <w:r w:rsidR="004D50A1">
        <w:rPr>
          <w:rFonts w:ascii="Arial" w:eastAsia="Calibri" w:hAnsi="Arial" w:cs="Arial"/>
          <w:sz w:val="22"/>
          <w:szCs w:val="22"/>
          <w:lang w:eastAsia="cs-CZ"/>
        </w:rPr>
        <w:t xml:space="preserve">na </w:t>
      </w:r>
      <w:r w:rsidRPr="0016696F">
        <w:rPr>
          <w:rFonts w:ascii="Arial" w:eastAsia="Calibri" w:hAnsi="Arial" w:cs="Arial"/>
          <w:sz w:val="22"/>
          <w:szCs w:val="22"/>
          <w:lang w:eastAsia="cs-CZ"/>
        </w:rPr>
        <w:t>polož</w:t>
      </w:r>
      <w:r w:rsidR="004D50A1">
        <w:rPr>
          <w:rFonts w:ascii="Arial" w:eastAsia="Calibri" w:hAnsi="Arial" w:cs="Arial"/>
          <w:sz w:val="22"/>
          <w:szCs w:val="22"/>
          <w:lang w:eastAsia="cs-CZ"/>
        </w:rPr>
        <w:t>ce</w:t>
      </w:r>
      <w:r w:rsidRPr="0016696F">
        <w:rPr>
          <w:rFonts w:ascii="Arial" w:eastAsia="Calibri" w:hAnsi="Arial" w:cs="Arial"/>
          <w:sz w:val="22"/>
          <w:szCs w:val="22"/>
          <w:lang w:eastAsia="cs-CZ"/>
        </w:rPr>
        <w:t xml:space="preserve"> B. </w:t>
      </w:r>
      <w:r w:rsidR="00780458" w:rsidRPr="00DD3B45">
        <w:rPr>
          <w:rFonts w:ascii="Arial" w:hAnsi="Arial" w:cs="Arial"/>
          <w:i/>
          <w:sz w:val="22"/>
          <w:lang w:eastAsia="cs-CZ"/>
        </w:rPr>
        <w:t>Fondy účetní jednotky</w:t>
      </w:r>
      <w:r w:rsidR="00780458">
        <w:rPr>
          <w:rFonts w:ascii="Arial" w:hAnsi="Arial" w:cs="Arial"/>
          <w:i/>
          <w:sz w:val="22"/>
          <w:lang w:eastAsia="cs-CZ"/>
        </w:rPr>
        <w:t xml:space="preserve"> </w:t>
      </w:r>
      <w:r w:rsidRPr="0016696F">
        <w:rPr>
          <w:rFonts w:ascii="Arial" w:eastAsia="Calibri" w:hAnsi="Arial" w:cs="Arial"/>
          <w:sz w:val="22"/>
          <w:szCs w:val="22"/>
          <w:lang w:eastAsia="cs-CZ"/>
        </w:rPr>
        <w:t xml:space="preserve">a </w:t>
      </w:r>
      <w:r w:rsidR="004D50A1">
        <w:rPr>
          <w:rFonts w:ascii="Arial" w:eastAsia="Calibri" w:hAnsi="Arial" w:cs="Arial"/>
          <w:sz w:val="22"/>
          <w:szCs w:val="22"/>
          <w:lang w:eastAsia="cs-CZ"/>
        </w:rPr>
        <w:t xml:space="preserve">na položce </w:t>
      </w:r>
      <w:r w:rsidRPr="0016696F">
        <w:rPr>
          <w:rFonts w:ascii="Arial" w:eastAsia="Calibri" w:hAnsi="Arial" w:cs="Arial"/>
          <w:sz w:val="22"/>
          <w:szCs w:val="22"/>
          <w:lang w:eastAsia="cs-CZ"/>
        </w:rPr>
        <w:t xml:space="preserve">D. </w:t>
      </w:r>
      <w:r w:rsidR="00780458" w:rsidRPr="00DD3B45">
        <w:rPr>
          <w:rFonts w:ascii="Arial" w:hAnsi="Arial" w:cs="Arial"/>
          <w:i/>
          <w:sz w:val="22"/>
          <w:lang w:eastAsia="cs-CZ"/>
        </w:rPr>
        <w:t>Příjmový a výdajový účet rozpočtového hospodaření</w:t>
      </w:r>
      <w:r w:rsidR="00780458">
        <w:rPr>
          <w:rFonts w:ascii="Arial" w:hAnsi="Arial" w:cs="Arial"/>
          <w:sz w:val="22"/>
          <w:lang w:eastAsia="cs-CZ"/>
        </w:rPr>
        <w:t xml:space="preserve"> </w:t>
      </w:r>
      <w:r w:rsidRPr="0016696F">
        <w:rPr>
          <w:rFonts w:ascii="Arial" w:eastAsia="Calibri" w:hAnsi="Arial" w:cs="Arial"/>
          <w:sz w:val="22"/>
          <w:szCs w:val="22"/>
          <w:lang w:eastAsia="cs-CZ"/>
        </w:rPr>
        <w:t>přehledu o</w:t>
      </w:r>
      <w:r w:rsidR="00CD3605">
        <w:rPr>
          <w:rFonts w:ascii="Arial" w:eastAsia="Calibri" w:hAnsi="Arial" w:cs="Arial"/>
          <w:sz w:val="22"/>
          <w:szCs w:val="22"/>
          <w:lang w:eastAsia="cs-CZ"/>
        </w:rPr>
        <w:t> </w:t>
      </w:r>
      <w:r w:rsidRPr="0016696F">
        <w:rPr>
          <w:rFonts w:ascii="Arial" w:eastAsia="Calibri" w:hAnsi="Arial" w:cs="Arial"/>
          <w:sz w:val="22"/>
          <w:szCs w:val="22"/>
          <w:lang w:eastAsia="cs-CZ"/>
        </w:rPr>
        <w:t>změnách vlastního kapitálu.</w:t>
      </w:r>
    </w:p>
    <w:p w:rsidR="00520276" w:rsidRPr="000923D6" w:rsidRDefault="00520276" w:rsidP="00520276">
      <w:pPr>
        <w:pStyle w:val="Default"/>
        <w:rPr>
          <w:rFonts w:ascii="Arial" w:hAnsi="Arial" w:cs="Arial"/>
          <w:sz w:val="22"/>
          <w:szCs w:val="22"/>
          <w:lang w:eastAsia="cs-CZ"/>
        </w:rPr>
      </w:pPr>
    </w:p>
    <w:p w:rsidR="00C37631" w:rsidRPr="0016696F" w:rsidRDefault="00C37631" w:rsidP="000923D6">
      <w:pPr>
        <w:pStyle w:val="Pa10"/>
        <w:spacing w:after="120"/>
        <w:jc w:val="both"/>
        <w:rPr>
          <w:b/>
          <w:color w:val="000000"/>
          <w:sz w:val="22"/>
          <w:szCs w:val="22"/>
        </w:rPr>
      </w:pPr>
      <w:r w:rsidRPr="0016696F">
        <w:rPr>
          <w:b/>
          <w:color w:val="000000"/>
          <w:sz w:val="22"/>
          <w:szCs w:val="22"/>
        </w:rPr>
        <w:t>1.1.1</w:t>
      </w:r>
      <w:r w:rsidR="00520276" w:rsidRPr="0016696F">
        <w:rPr>
          <w:b/>
          <w:color w:val="000000"/>
          <w:sz w:val="22"/>
          <w:szCs w:val="22"/>
        </w:rPr>
        <w:t xml:space="preserve"> Transfery spolufinancované ze zahraničí</w:t>
      </w:r>
    </w:p>
    <w:p w:rsidR="00C1457C" w:rsidRDefault="00520276" w:rsidP="000923D6">
      <w:pPr>
        <w:pStyle w:val="Pa26"/>
        <w:jc w:val="both"/>
        <w:rPr>
          <w:sz w:val="22"/>
          <w:szCs w:val="22"/>
        </w:rPr>
      </w:pPr>
      <w:r w:rsidRPr="0016696F">
        <w:rPr>
          <w:sz w:val="22"/>
          <w:szCs w:val="22"/>
        </w:rPr>
        <w:t xml:space="preserve">Účtování a vykazování účetních případů týkajících se poskytování peněžních prostředků státního rozpočtu na předfinancování výdajů, které mají být kryty prostředky </w:t>
      </w:r>
      <w:r w:rsidR="005A130E" w:rsidRPr="0016696F">
        <w:rPr>
          <w:sz w:val="22"/>
          <w:szCs w:val="22"/>
        </w:rPr>
        <w:t xml:space="preserve">ze zahraničí </w:t>
      </w:r>
      <w:r w:rsidR="00DF64CB">
        <w:rPr>
          <w:sz w:val="22"/>
          <w:szCs w:val="22"/>
        </w:rPr>
        <w:t>z r</w:t>
      </w:r>
      <w:r w:rsidRPr="0016696F">
        <w:rPr>
          <w:sz w:val="22"/>
          <w:szCs w:val="22"/>
        </w:rPr>
        <w:t xml:space="preserve">ozpočtu </w:t>
      </w:r>
      <w:r w:rsidR="005A130E" w:rsidRPr="0016696F">
        <w:rPr>
          <w:sz w:val="22"/>
          <w:szCs w:val="22"/>
        </w:rPr>
        <w:t>Evropské unie (dále také „</w:t>
      </w:r>
      <w:r w:rsidRPr="0016696F">
        <w:rPr>
          <w:sz w:val="22"/>
          <w:szCs w:val="22"/>
        </w:rPr>
        <w:t>EU</w:t>
      </w:r>
      <w:r w:rsidR="005A130E" w:rsidRPr="0016696F">
        <w:rPr>
          <w:sz w:val="22"/>
          <w:szCs w:val="22"/>
        </w:rPr>
        <w:t>“) přímo či prostřednictvím Národního fondu</w:t>
      </w:r>
      <w:r w:rsidRPr="0016696F">
        <w:rPr>
          <w:sz w:val="22"/>
          <w:szCs w:val="22"/>
        </w:rPr>
        <w:t xml:space="preserve">, není </w:t>
      </w:r>
      <w:r w:rsidR="002A1330">
        <w:rPr>
          <w:sz w:val="22"/>
          <w:szCs w:val="22"/>
        </w:rPr>
        <w:t>č</w:t>
      </w:r>
      <w:r w:rsidR="005A130E" w:rsidRPr="0016696F">
        <w:rPr>
          <w:sz w:val="22"/>
          <w:szCs w:val="22"/>
        </w:rPr>
        <w:t>eským účetním standardem (dále také „</w:t>
      </w:r>
      <w:r w:rsidRPr="0016696F">
        <w:rPr>
          <w:sz w:val="22"/>
          <w:szCs w:val="22"/>
        </w:rPr>
        <w:t>ČÚS</w:t>
      </w:r>
      <w:r w:rsidR="005A130E" w:rsidRPr="0016696F">
        <w:rPr>
          <w:sz w:val="22"/>
          <w:szCs w:val="22"/>
        </w:rPr>
        <w:t>“)</w:t>
      </w:r>
      <w:r w:rsidRPr="0016696F">
        <w:rPr>
          <w:sz w:val="22"/>
          <w:szCs w:val="22"/>
        </w:rPr>
        <w:t xml:space="preserve"> č. 703 </w:t>
      </w:r>
      <w:r w:rsidR="005A130E" w:rsidRPr="008D4BE1">
        <w:rPr>
          <w:i/>
          <w:sz w:val="22"/>
          <w:szCs w:val="22"/>
        </w:rPr>
        <w:t>– Transfery</w:t>
      </w:r>
      <w:r w:rsidR="005A130E" w:rsidRPr="0016696F">
        <w:rPr>
          <w:sz w:val="22"/>
          <w:szCs w:val="22"/>
        </w:rPr>
        <w:t xml:space="preserve"> </w:t>
      </w:r>
      <w:r w:rsidRPr="0016696F">
        <w:rPr>
          <w:sz w:val="22"/>
          <w:szCs w:val="22"/>
        </w:rPr>
        <w:t xml:space="preserve">jednoznačně upraveno, </w:t>
      </w:r>
      <w:r w:rsidR="005A130E" w:rsidRPr="0016696F">
        <w:rPr>
          <w:sz w:val="22"/>
          <w:szCs w:val="22"/>
        </w:rPr>
        <w:t xml:space="preserve">resp. nelze </w:t>
      </w:r>
      <w:r w:rsidRPr="0016696F">
        <w:rPr>
          <w:sz w:val="22"/>
          <w:szCs w:val="22"/>
        </w:rPr>
        <w:t>jednoznačně</w:t>
      </w:r>
      <w:r w:rsidR="005A130E" w:rsidRPr="0016696F">
        <w:rPr>
          <w:sz w:val="22"/>
          <w:szCs w:val="22"/>
        </w:rPr>
        <w:t xml:space="preserve"> určit</w:t>
      </w:r>
      <w:r w:rsidRPr="0016696F">
        <w:rPr>
          <w:sz w:val="22"/>
          <w:szCs w:val="22"/>
        </w:rPr>
        <w:t xml:space="preserve">, zda </w:t>
      </w:r>
      <w:r w:rsidR="005A130E" w:rsidRPr="0016696F">
        <w:rPr>
          <w:sz w:val="22"/>
          <w:szCs w:val="22"/>
        </w:rPr>
        <w:t xml:space="preserve">mělo MD </w:t>
      </w:r>
      <w:r w:rsidR="00C50175" w:rsidRPr="0016696F">
        <w:rPr>
          <w:sz w:val="22"/>
          <w:szCs w:val="22"/>
        </w:rPr>
        <w:t xml:space="preserve">dle ČÚS </w:t>
      </w:r>
      <w:r w:rsidR="005A130E" w:rsidRPr="0016696F">
        <w:rPr>
          <w:sz w:val="22"/>
          <w:szCs w:val="22"/>
        </w:rPr>
        <w:t xml:space="preserve">vystupovat v roli </w:t>
      </w:r>
      <w:r w:rsidR="00DF64CB">
        <w:rPr>
          <w:sz w:val="22"/>
          <w:szCs w:val="22"/>
        </w:rPr>
        <w:t>poskytovatele a </w:t>
      </w:r>
      <w:r w:rsidRPr="0016696F">
        <w:rPr>
          <w:sz w:val="22"/>
          <w:szCs w:val="22"/>
        </w:rPr>
        <w:t>pří</w:t>
      </w:r>
      <w:r w:rsidR="005A130E" w:rsidRPr="0016696F">
        <w:rPr>
          <w:sz w:val="22"/>
          <w:szCs w:val="22"/>
        </w:rPr>
        <w:t>jemce</w:t>
      </w:r>
      <w:r w:rsidR="00C50175" w:rsidRPr="0016696F">
        <w:rPr>
          <w:sz w:val="22"/>
          <w:szCs w:val="22"/>
        </w:rPr>
        <w:t xml:space="preserve"> transferu</w:t>
      </w:r>
      <w:r w:rsidR="005A130E" w:rsidRPr="0016696F">
        <w:rPr>
          <w:sz w:val="22"/>
          <w:szCs w:val="22"/>
        </w:rPr>
        <w:t xml:space="preserve">, nebo v roli </w:t>
      </w:r>
      <w:r w:rsidRPr="0016696F">
        <w:rPr>
          <w:sz w:val="22"/>
          <w:szCs w:val="22"/>
        </w:rPr>
        <w:t>zprostředkovatele</w:t>
      </w:r>
      <w:r w:rsidR="005A130E" w:rsidRPr="0016696F">
        <w:rPr>
          <w:sz w:val="22"/>
          <w:szCs w:val="22"/>
        </w:rPr>
        <w:t xml:space="preserve"> zahraničního transferu</w:t>
      </w:r>
      <w:r w:rsidRPr="0016696F">
        <w:rPr>
          <w:sz w:val="22"/>
          <w:szCs w:val="22"/>
        </w:rPr>
        <w:t>.</w:t>
      </w:r>
      <w:r w:rsidR="00C759F1" w:rsidRPr="0016696F">
        <w:rPr>
          <w:sz w:val="22"/>
          <w:szCs w:val="22"/>
        </w:rPr>
        <w:t xml:space="preserve"> To vede vybrané účetní jednotky k nutnosti aplikovat účetní postupy </w:t>
      </w:r>
      <w:r w:rsidR="00664073">
        <w:rPr>
          <w:sz w:val="22"/>
          <w:szCs w:val="22"/>
        </w:rPr>
        <w:t>dle</w:t>
      </w:r>
      <w:r w:rsidR="00C759F1" w:rsidRPr="0016696F">
        <w:rPr>
          <w:sz w:val="22"/>
          <w:szCs w:val="22"/>
        </w:rPr>
        <w:t xml:space="preserve"> </w:t>
      </w:r>
      <w:r w:rsidR="000C4B81">
        <w:rPr>
          <w:sz w:val="22"/>
          <w:szCs w:val="22"/>
        </w:rPr>
        <w:t>své</w:t>
      </w:r>
      <w:r w:rsidR="00664073">
        <w:rPr>
          <w:sz w:val="22"/>
          <w:szCs w:val="22"/>
        </w:rPr>
        <w:t>ho</w:t>
      </w:r>
      <w:r w:rsidR="000C4B81">
        <w:rPr>
          <w:sz w:val="22"/>
          <w:szCs w:val="22"/>
        </w:rPr>
        <w:t xml:space="preserve"> </w:t>
      </w:r>
      <w:r w:rsidR="002A1330">
        <w:rPr>
          <w:sz w:val="22"/>
          <w:szCs w:val="22"/>
        </w:rPr>
        <w:t>vlastní</w:t>
      </w:r>
      <w:r w:rsidR="00664073">
        <w:rPr>
          <w:sz w:val="22"/>
          <w:szCs w:val="22"/>
        </w:rPr>
        <w:t>ho</w:t>
      </w:r>
      <w:r w:rsidR="002A1330">
        <w:rPr>
          <w:sz w:val="22"/>
          <w:szCs w:val="22"/>
        </w:rPr>
        <w:t xml:space="preserve"> výkladu</w:t>
      </w:r>
      <w:r w:rsidR="00C759F1" w:rsidRPr="0016696F">
        <w:rPr>
          <w:sz w:val="22"/>
          <w:szCs w:val="22"/>
        </w:rPr>
        <w:t xml:space="preserve"> daného předpisu.</w:t>
      </w:r>
      <w:r w:rsidR="00FE500F" w:rsidRPr="0016696F">
        <w:rPr>
          <w:sz w:val="22"/>
          <w:szCs w:val="22"/>
        </w:rPr>
        <w:t xml:space="preserve"> </w:t>
      </w:r>
    </w:p>
    <w:p w:rsidR="003E69EB" w:rsidRPr="00DB2349" w:rsidRDefault="003E69EB" w:rsidP="00AB3132">
      <w:pPr>
        <w:pStyle w:val="Default"/>
        <w:rPr>
          <w:sz w:val="22"/>
          <w:szCs w:val="22"/>
        </w:rPr>
      </w:pPr>
    </w:p>
    <w:p w:rsidR="000A1CB8" w:rsidRPr="0016696F" w:rsidRDefault="000A1CB8" w:rsidP="0095408B">
      <w:pPr>
        <w:pStyle w:val="Pa26"/>
        <w:jc w:val="both"/>
        <w:rPr>
          <w:bCs/>
          <w:iCs/>
          <w:sz w:val="22"/>
          <w:szCs w:val="22"/>
        </w:rPr>
      </w:pPr>
      <w:r w:rsidRPr="0016696F">
        <w:rPr>
          <w:bCs/>
          <w:iCs/>
          <w:sz w:val="22"/>
          <w:szCs w:val="22"/>
        </w:rPr>
        <w:t>MD roli, ve které se při poskytování předfinancovaných transferů dle ČÚS č. 703 nalézá, v průběhu času změnilo. Zatímco v roce 2011 se považ</w:t>
      </w:r>
      <w:r w:rsidR="00DF64CB">
        <w:rPr>
          <w:bCs/>
          <w:iCs/>
          <w:sz w:val="22"/>
          <w:szCs w:val="22"/>
        </w:rPr>
        <w:t>ovalo za jejich poskytovatele a </w:t>
      </w:r>
      <w:r w:rsidRPr="0016696F">
        <w:rPr>
          <w:bCs/>
          <w:iCs/>
          <w:sz w:val="22"/>
          <w:szCs w:val="22"/>
        </w:rPr>
        <w:t>příjemce a dle toho účtovalo, v</w:t>
      </w:r>
      <w:r w:rsidR="00DF64CB">
        <w:rPr>
          <w:bCs/>
          <w:iCs/>
          <w:sz w:val="22"/>
          <w:szCs w:val="22"/>
        </w:rPr>
        <w:t> </w:t>
      </w:r>
      <w:r w:rsidRPr="0016696F">
        <w:rPr>
          <w:bCs/>
          <w:iCs/>
          <w:sz w:val="22"/>
          <w:szCs w:val="22"/>
        </w:rPr>
        <w:t>roce 2012 svou roli přehodnotilo a začalo účtovat jako zprostředkovatel zahraničního transferu. Provedlo tak změnu, která zásadním způsobem ovlivnila údaje účetní závěrky zejména z</w:t>
      </w:r>
      <w:r w:rsidR="00DF64CB">
        <w:rPr>
          <w:bCs/>
          <w:iCs/>
          <w:sz w:val="22"/>
          <w:szCs w:val="22"/>
        </w:rPr>
        <w:t> </w:t>
      </w:r>
      <w:r w:rsidRPr="0016696F">
        <w:rPr>
          <w:bCs/>
          <w:iCs/>
          <w:sz w:val="22"/>
          <w:szCs w:val="22"/>
        </w:rPr>
        <w:t>pohledu časové řady (o provedené změně</w:t>
      </w:r>
      <w:r w:rsidR="004A3F6D" w:rsidRPr="0016696F">
        <w:rPr>
          <w:bCs/>
          <w:iCs/>
          <w:sz w:val="22"/>
          <w:szCs w:val="22"/>
        </w:rPr>
        <w:t xml:space="preserve"> MD</w:t>
      </w:r>
      <w:r w:rsidRPr="0016696F">
        <w:rPr>
          <w:bCs/>
          <w:iCs/>
          <w:sz w:val="22"/>
          <w:szCs w:val="22"/>
        </w:rPr>
        <w:t xml:space="preserve"> informovalo v</w:t>
      </w:r>
      <w:r w:rsidR="00DF64CB">
        <w:rPr>
          <w:bCs/>
          <w:iCs/>
          <w:sz w:val="22"/>
          <w:szCs w:val="22"/>
        </w:rPr>
        <w:t> </w:t>
      </w:r>
      <w:r w:rsidRPr="0016696F">
        <w:rPr>
          <w:bCs/>
          <w:iCs/>
          <w:sz w:val="22"/>
          <w:szCs w:val="22"/>
        </w:rPr>
        <w:t xml:space="preserve">příloze účetní závěrky i </w:t>
      </w:r>
      <w:r w:rsidR="00664073">
        <w:rPr>
          <w:bCs/>
          <w:iCs/>
          <w:sz w:val="22"/>
          <w:szCs w:val="22"/>
        </w:rPr>
        <w:t>v </w:t>
      </w:r>
      <w:r w:rsidRPr="0016696F">
        <w:rPr>
          <w:bCs/>
          <w:iCs/>
          <w:sz w:val="22"/>
          <w:szCs w:val="22"/>
        </w:rPr>
        <w:t xml:space="preserve">závěrečném účtu kapitoly </w:t>
      </w:r>
      <w:r w:rsidR="00300D1C" w:rsidRPr="0016696F">
        <w:rPr>
          <w:bCs/>
          <w:iCs/>
          <w:sz w:val="22"/>
          <w:szCs w:val="22"/>
        </w:rPr>
        <w:t>MD</w:t>
      </w:r>
      <w:r w:rsidR="00A571A3" w:rsidRPr="0016696F">
        <w:rPr>
          <w:bCs/>
          <w:iCs/>
          <w:sz w:val="22"/>
          <w:szCs w:val="22"/>
        </w:rPr>
        <w:t xml:space="preserve"> za rok 2012</w:t>
      </w:r>
      <w:r w:rsidRPr="0016696F">
        <w:rPr>
          <w:bCs/>
          <w:iCs/>
          <w:sz w:val="22"/>
          <w:szCs w:val="22"/>
        </w:rPr>
        <w:t xml:space="preserve">). </w:t>
      </w:r>
    </w:p>
    <w:p w:rsidR="009A7313" w:rsidRDefault="009A7313" w:rsidP="0095408B">
      <w:pPr>
        <w:rPr>
          <w:rFonts w:ascii="Arial" w:hAnsi="Arial" w:cs="Arial"/>
          <w:b/>
          <w:i/>
          <w:sz w:val="22"/>
        </w:rPr>
      </w:pPr>
    </w:p>
    <w:p w:rsidR="000A1CB8" w:rsidRPr="00D16CE6" w:rsidRDefault="000A1CB8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Vykázání významné záporné výše závazku</w:t>
      </w:r>
    </w:p>
    <w:p w:rsidR="00526AB2" w:rsidRDefault="00E644C3" w:rsidP="0095408B">
      <w:pPr>
        <w:rPr>
          <w:rFonts w:ascii="Arial" w:hAnsi="Arial" w:cs="Arial"/>
          <w:sz w:val="22"/>
        </w:rPr>
      </w:pPr>
      <w:r w:rsidRPr="0016696F">
        <w:rPr>
          <w:rFonts w:ascii="Arial" w:hAnsi="Arial" w:cs="Arial"/>
          <w:sz w:val="22"/>
        </w:rPr>
        <w:t>MD v</w:t>
      </w:r>
      <w:r w:rsidR="00DF64CB">
        <w:rPr>
          <w:rFonts w:ascii="Arial" w:hAnsi="Arial" w:cs="Arial"/>
          <w:sz w:val="22"/>
        </w:rPr>
        <w:t> </w:t>
      </w:r>
      <w:r w:rsidRPr="0016696F">
        <w:rPr>
          <w:rFonts w:ascii="Arial" w:hAnsi="Arial" w:cs="Arial"/>
          <w:sz w:val="22"/>
        </w:rPr>
        <w:t xml:space="preserve">roce 2013 při poskytování předfinancovaných transferů účtovalo jako zprostředkovatel zahraničního transferu podle </w:t>
      </w:r>
      <w:r w:rsidR="00526AB2" w:rsidRPr="0016696F">
        <w:rPr>
          <w:rFonts w:ascii="Arial" w:hAnsi="Arial" w:cs="Arial"/>
          <w:sz w:val="22"/>
        </w:rPr>
        <w:t xml:space="preserve">ČÚS č. 703 </w:t>
      </w:r>
      <w:r w:rsidR="00526AB2" w:rsidRPr="00254317">
        <w:rPr>
          <w:rFonts w:ascii="Arial" w:hAnsi="Arial" w:cs="Arial"/>
          <w:sz w:val="22"/>
        </w:rPr>
        <w:t xml:space="preserve">– </w:t>
      </w:r>
      <w:r w:rsidR="00526AB2" w:rsidRPr="008D4BE1">
        <w:rPr>
          <w:rFonts w:ascii="Arial" w:hAnsi="Arial" w:cs="Arial"/>
          <w:i/>
          <w:sz w:val="22"/>
        </w:rPr>
        <w:t>Transfery</w:t>
      </w:r>
      <w:r w:rsidRPr="0016696F">
        <w:rPr>
          <w:rFonts w:ascii="Arial" w:hAnsi="Arial" w:cs="Arial"/>
          <w:sz w:val="22"/>
        </w:rPr>
        <w:t>.</w:t>
      </w:r>
      <w:r w:rsidR="00526AB2" w:rsidRPr="0016696F">
        <w:rPr>
          <w:rFonts w:ascii="Arial" w:hAnsi="Arial" w:cs="Arial"/>
          <w:sz w:val="22"/>
        </w:rPr>
        <w:t xml:space="preserve"> </w:t>
      </w:r>
      <w:r w:rsidRPr="0016696F">
        <w:rPr>
          <w:rFonts w:ascii="Arial" w:hAnsi="Arial" w:cs="Arial"/>
          <w:sz w:val="22"/>
        </w:rPr>
        <w:t xml:space="preserve">Ten </w:t>
      </w:r>
      <w:r w:rsidR="00526AB2" w:rsidRPr="0016696F">
        <w:rPr>
          <w:rFonts w:ascii="Arial" w:hAnsi="Arial" w:cs="Arial"/>
          <w:sz w:val="22"/>
        </w:rPr>
        <w:t>v</w:t>
      </w:r>
      <w:r w:rsidR="00DF64CB">
        <w:rPr>
          <w:rFonts w:ascii="Arial" w:hAnsi="Arial" w:cs="Arial"/>
          <w:sz w:val="22"/>
        </w:rPr>
        <w:t> </w:t>
      </w:r>
      <w:r w:rsidR="00526AB2" w:rsidRPr="0016696F">
        <w:rPr>
          <w:rFonts w:ascii="Arial" w:hAnsi="Arial" w:cs="Arial"/>
          <w:sz w:val="22"/>
        </w:rPr>
        <w:t>bodu 5.1.2 pro roky 201</w:t>
      </w:r>
      <w:r w:rsidR="006E2275" w:rsidRPr="0016696F">
        <w:rPr>
          <w:rFonts w:ascii="Arial" w:hAnsi="Arial" w:cs="Arial"/>
          <w:sz w:val="22"/>
        </w:rPr>
        <w:t>1</w:t>
      </w:r>
      <w:r w:rsidR="00526AB2" w:rsidRPr="0016696F">
        <w:rPr>
          <w:rFonts w:ascii="Arial" w:hAnsi="Arial" w:cs="Arial"/>
          <w:sz w:val="22"/>
        </w:rPr>
        <w:t xml:space="preserve"> a</w:t>
      </w:r>
      <w:r w:rsidR="006E2275" w:rsidRPr="0016696F">
        <w:rPr>
          <w:rFonts w:ascii="Arial" w:hAnsi="Arial" w:cs="Arial"/>
          <w:sz w:val="22"/>
        </w:rPr>
        <w:t>ž</w:t>
      </w:r>
      <w:r w:rsidR="00526AB2" w:rsidRPr="0016696F">
        <w:rPr>
          <w:rFonts w:ascii="Arial" w:hAnsi="Arial" w:cs="Arial"/>
          <w:sz w:val="22"/>
        </w:rPr>
        <w:t xml:space="preserve"> 2013 vyžadoval, aby zprostředkovatel zahraničního transferu účtoval o zprostředkování zahraničního tra</w:t>
      </w:r>
      <w:r w:rsidR="00E86D74">
        <w:rPr>
          <w:rFonts w:ascii="Arial" w:hAnsi="Arial" w:cs="Arial"/>
          <w:sz w:val="22"/>
        </w:rPr>
        <w:t>nsferu prostřednictvím účtu 372 – </w:t>
      </w:r>
      <w:r w:rsidR="00526AB2" w:rsidRPr="0016696F">
        <w:rPr>
          <w:rFonts w:ascii="Arial" w:hAnsi="Arial" w:cs="Arial"/>
          <w:i/>
          <w:sz w:val="22"/>
        </w:rPr>
        <w:t>Krátkodobé závazky z</w:t>
      </w:r>
      <w:r w:rsidR="00DF64CB">
        <w:rPr>
          <w:rFonts w:ascii="Arial" w:hAnsi="Arial" w:cs="Arial"/>
          <w:i/>
          <w:sz w:val="22"/>
        </w:rPr>
        <w:t> </w:t>
      </w:r>
      <w:r w:rsidR="00526AB2" w:rsidRPr="0016696F">
        <w:rPr>
          <w:rFonts w:ascii="Arial" w:hAnsi="Arial" w:cs="Arial"/>
          <w:i/>
          <w:sz w:val="22"/>
        </w:rPr>
        <w:t>nástrojů spolufinancovaných ze zahraničí</w:t>
      </w:r>
      <w:r w:rsidR="00B0534A" w:rsidRPr="0016696F">
        <w:rPr>
          <w:rFonts w:ascii="Arial" w:hAnsi="Arial" w:cs="Arial"/>
          <w:sz w:val="22"/>
        </w:rPr>
        <w:t xml:space="preserve">. MD prostřednictvím tohoto závazkového účtu </w:t>
      </w:r>
      <w:r w:rsidR="006E2275" w:rsidRPr="0016696F">
        <w:rPr>
          <w:rFonts w:ascii="Arial" w:hAnsi="Arial" w:cs="Arial"/>
          <w:sz w:val="22"/>
        </w:rPr>
        <w:t xml:space="preserve">od roku 2012 </w:t>
      </w:r>
      <w:r w:rsidR="00B0534A" w:rsidRPr="0016696F">
        <w:rPr>
          <w:rFonts w:ascii="Arial" w:hAnsi="Arial" w:cs="Arial"/>
          <w:sz w:val="22"/>
        </w:rPr>
        <w:t>skutečně účtovalo, a to v</w:t>
      </w:r>
      <w:r w:rsidR="00DF64CB">
        <w:rPr>
          <w:rFonts w:ascii="Arial" w:hAnsi="Arial" w:cs="Arial"/>
          <w:sz w:val="22"/>
        </w:rPr>
        <w:t> </w:t>
      </w:r>
      <w:r w:rsidR="00B0534A" w:rsidRPr="0016696F">
        <w:rPr>
          <w:rFonts w:ascii="Arial" w:hAnsi="Arial" w:cs="Arial"/>
          <w:sz w:val="22"/>
        </w:rPr>
        <w:t>případě předfinancování transferu</w:t>
      </w:r>
      <w:r w:rsidR="00526AB2" w:rsidRPr="0016696F">
        <w:rPr>
          <w:rFonts w:ascii="Arial" w:hAnsi="Arial" w:cs="Arial"/>
          <w:sz w:val="22"/>
        </w:rPr>
        <w:t>.</w:t>
      </w:r>
      <w:r w:rsidR="00664073">
        <w:rPr>
          <w:rFonts w:ascii="Arial" w:hAnsi="Arial" w:cs="Arial"/>
          <w:sz w:val="22"/>
        </w:rPr>
        <w:t xml:space="preserve"> </w:t>
      </w:r>
      <w:r w:rsidR="00526AB2" w:rsidRPr="0016696F">
        <w:rPr>
          <w:rFonts w:ascii="Arial" w:hAnsi="Arial" w:cs="Arial"/>
          <w:sz w:val="22"/>
        </w:rPr>
        <w:t>Postup uvedený v</w:t>
      </w:r>
      <w:r w:rsidR="00DF64CB">
        <w:rPr>
          <w:rFonts w:ascii="Arial" w:hAnsi="Arial" w:cs="Arial"/>
          <w:sz w:val="22"/>
        </w:rPr>
        <w:t> </w:t>
      </w:r>
      <w:r w:rsidR="00526AB2" w:rsidRPr="0016696F">
        <w:rPr>
          <w:rFonts w:ascii="Arial" w:hAnsi="Arial" w:cs="Arial"/>
          <w:sz w:val="22"/>
        </w:rPr>
        <w:t xml:space="preserve">ČÚS však systému předfinancování (používanému </w:t>
      </w:r>
      <w:r w:rsidR="00664073">
        <w:rPr>
          <w:rFonts w:ascii="Arial" w:hAnsi="Arial" w:cs="Arial"/>
          <w:sz w:val="22"/>
        </w:rPr>
        <w:t>Ministerstvem dopravy</w:t>
      </w:r>
      <w:r w:rsidR="00526AB2" w:rsidRPr="0016696F">
        <w:rPr>
          <w:rFonts w:ascii="Arial" w:hAnsi="Arial" w:cs="Arial"/>
          <w:sz w:val="22"/>
        </w:rPr>
        <w:t>) neodpovídá, jelikož MD, např. v</w:t>
      </w:r>
      <w:r w:rsidR="00DF64CB">
        <w:rPr>
          <w:rFonts w:ascii="Arial" w:hAnsi="Arial" w:cs="Arial"/>
          <w:sz w:val="22"/>
        </w:rPr>
        <w:t> </w:t>
      </w:r>
      <w:r w:rsidR="00526AB2" w:rsidRPr="0016696F">
        <w:rPr>
          <w:rFonts w:ascii="Arial" w:hAnsi="Arial" w:cs="Arial"/>
          <w:sz w:val="22"/>
        </w:rPr>
        <w:t xml:space="preserve">případě </w:t>
      </w:r>
      <w:r w:rsidR="00664073">
        <w:rPr>
          <w:rFonts w:ascii="Arial" w:hAnsi="Arial" w:cs="Arial"/>
          <w:sz w:val="22"/>
        </w:rPr>
        <w:t>o</w:t>
      </w:r>
      <w:r w:rsidR="00526AB2" w:rsidRPr="0016696F">
        <w:rPr>
          <w:rFonts w:ascii="Arial" w:hAnsi="Arial" w:cs="Arial"/>
          <w:sz w:val="22"/>
        </w:rPr>
        <w:t xml:space="preserve">peračního programu </w:t>
      </w:r>
      <w:r w:rsidR="00664073" w:rsidRPr="0095408B">
        <w:rPr>
          <w:rFonts w:ascii="Arial" w:hAnsi="Arial" w:cs="Arial"/>
          <w:i/>
          <w:sz w:val="22"/>
        </w:rPr>
        <w:t>D</w:t>
      </w:r>
      <w:r w:rsidR="00526AB2" w:rsidRPr="0095408B">
        <w:rPr>
          <w:rFonts w:ascii="Arial" w:hAnsi="Arial" w:cs="Arial"/>
          <w:i/>
          <w:sz w:val="22"/>
        </w:rPr>
        <w:t>oprava</w:t>
      </w:r>
      <w:r w:rsidR="001265FF" w:rsidRPr="0016696F">
        <w:rPr>
          <w:rFonts w:ascii="Arial" w:hAnsi="Arial" w:cs="Arial"/>
          <w:sz w:val="22"/>
        </w:rPr>
        <w:t xml:space="preserve"> (dále také „OPD“)</w:t>
      </w:r>
      <w:r w:rsidR="00526AB2" w:rsidRPr="0016696F">
        <w:rPr>
          <w:rFonts w:ascii="Arial" w:hAnsi="Arial" w:cs="Arial"/>
          <w:sz w:val="22"/>
        </w:rPr>
        <w:t>, nejdříve z</w:t>
      </w:r>
      <w:r w:rsidR="00DF64CB">
        <w:rPr>
          <w:rFonts w:ascii="Arial" w:hAnsi="Arial" w:cs="Arial"/>
          <w:sz w:val="22"/>
        </w:rPr>
        <w:t> </w:t>
      </w:r>
      <w:r w:rsidR="00526AB2" w:rsidRPr="0016696F">
        <w:rPr>
          <w:rFonts w:ascii="Arial" w:hAnsi="Arial" w:cs="Arial"/>
          <w:sz w:val="22"/>
        </w:rPr>
        <w:t>prostředků státního rozpočtu zasílá prostředky příjemci (tj. prostředky „předfinancuje“) a až následně je prostřednictvím podaných žádostí získává od Národního fondu</w:t>
      </w:r>
      <w:r w:rsidR="005D6565">
        <w:rPr>
          <w:rFonts w:ascii="Arial" w:hAnsi="Arial" w:cs="Arial"/>
          <w:sz w:val="22"/>
        </w:rPr>
        <w:t xml:space="preserve"> spravovaného</w:t>
      </w:r>
      <w:r w:rsidR="00526AB2" w:rsidRPr="0016696F">
        <w:rPr>
          <w:rFonts w:ascii="Arial" w:hAnsi="Arial" w:cs="Arial"/>
          <w:sz w:val="22"/>
        </w:rPr>
        <w:t xml:space="preserve"> Ministerstv</w:t>
      </w:r>
      <w:r w:rsidR="005D6565">
        <w:rPr>
          <w:rFonts w:ascii="Arial" w:hAnsi="Arial" w:cs="Arial"/>
          <w:sz w:val="22"/>
        </w:rPr>
        <w:t>em</w:t>
      </w:r>
      <w:r w:rsidR="00526AB2" w:rsidRPr="0016696F">
        <w:rPr>
          <w:rFonts w:ascii="Arial" w:hAnsi="Arial" w:cs="Arial"/>
          <w:sz w:val="22"/>
        </w:rPr>
        <w:t xml:space="preserve"> financí. </w:t>
      </w:r>
      <w:r w:rsidR="00664073">
        <w:rPr>
          <w:rFonts w:ascii="Arial" w:hAnsi="Arial" w:cs="Arial"/>
          <w:sz w:val="22"/>
        </w:rPr>
        <w:t xml:space="preserve">Ministerstvu dopravy </w:t>
      </w:r>
      <w:r w:rsidR="00B0534A" w:rsidRPr="0016696F">
        <w:rPr>
          <w:rFonts w:ascii="Arial" w:hAnsi="Arial" w:cs="Arial"/>
          <w:sz w:val="22"/>
        </w:rPr>
        <w:t>tedy při předfinancování vzniká při poskytnutí prostředků fakticky nárok na jejich refundaci, tj.</w:t>
      </w:r>
      <w:r w:rsidR="00664073">
        <w:rPr>
          <w:rFonts w:ascii="Arial" w:hAnsi="Arial" w:cs="Arial"/>
          <w:sz w:val="22"/>
        </w:rPr>
        <w:t> </w:t>
      </w:r>
      <w:r w:rsidR="00DF2F00" w:rsidRPr="0016696F">
        <w:rPr>
          <w:rFonts w:ascii="Arial" w:hAnsi="Arial" w:cs="Arial"/>
          <w:sz w:val="22"/>
        </w:rPr>
        <w:t xml:space="preserve">jejich poskytnutím mu </w:t>
      </w:r>
      <w:r w:rsidR="00B0534A" w:rsidRPr="0016696F">
        <w:rPr>
          <w:rFonts w:ascii="Arial" w:hAnsi="Arial" w:cs="Arial"/>
          <w:sz w:val="22"/>
        </w:rPr>
        <w:t>n</w:t>
      </w:r>
      <w:r w:rsidR="0036766A" w:rsidRPr="0016696F">
        <w:rPr>
          <w:rFonts w:ascii="Arial" w:hAnsi="Arial" w:cs="Arial"/>
          <w:sz w:val="22"/>
        </w:rPr>
        <w:t xml:space="preserve">evzniká </w:t>
      </w:r>
      <w:r w:rsidR="00B0534A" w:rsidRPr="0016696F">
        <w:rPr>
          <w:rFonts w:ascii="Arial" w:hAnsi="Arial" w:cs="Arial"/>
          <w:sz w:val="22"/>
        </w:rPr>
        <w:t>závazek</w:t>
      </w:r>
      <w:r w:rsidR="00DF2F00" w:rsidRPr="0016696F">
        <w:rPr>
          <w:rFonts w:ascii="Arial" w:hAnsi="Arial" w:cs="Arial"/>
          <w:sz w:val="22"/>
        </w:rPr>
        <w:t>,</w:t>
      </w:r>
      <w:r w:rsidR="000A1CB8" w:rsidRPr="0016696F">
        <w:rPr>
          <w:rFonts w:ascii="Arial" w:hAnsi="Arial" w:cs="Arial"/>
          <w:sz w:val="22"/>
        </w:rPr>
        <w:t xml:space="preserve"> ale pohledávka</w:t>
      </w:r>
      <w:r w:rsidR="00B0534A" w:rsidRPr="0016696F">
        <w:rPr>
          <w:rFonts w:ascii="Arial" w:hAnsi="Arial" w:cs="Arial"/>
          <w:sz w:val="22"/>
        </w:rPr>
        <w:t>. MD však o tomto určitém nároku v</w:t>
      </w:r>
      <w:r w:rsidR="00DF64CB">
        <w:rPr>
          <w:rFonts w:ascii="Arial" w:hAnsi="Arial" w:cs="Arial"/>
          <w:sz w:val="22"/>
        </w:rPr>
        <w:t> </w:t>
      </w:r>
      <w:r w:rsidR="00B0534A" w:rsidRPr="0016696F">
        <w:rPr>
          <w:rFonts w:ascii="Arial" w:hAnsi="Arial" w:cs="Arial"/>
          <w:sz w:val="22"/>
        </w:rPr>
        <w:t xml:space="preserve">roce 2012 </w:t>
      </w:r>
      <w:r w:rsidR="00664073">
        <w:rPr>
          <w:rFonts w:ascii="Arial" w:hAnsi="Arial" w:cs="Arial"/>
          <w:sz w:val="22"/>
        </w:rPr>
        <w:t>i v roce</w:t>
      </w:r>
      <w:r w:rsidR="00B0534A" w:rsidRPr="0016696F">
        <w:rPr>
          <w:rFonts w:ascii="Arial" w:hAnsi="Arial" w:cs="Arial"/>
          <w:sz w:val="22"/>
        </w:rPr>
        <w:t xml:space="preserve"> 2013 účtovalo </w:t>
      </w:r>
      <w:r w:rsidR="000367A0" w:rsidRPr="0016696F">
        <w:rPr>
          <w:rFonts w:ascii="Arial" w:hAnsi="Arial" w:cs="Arial"/>
          <w:sz w:val="22"/>
        </w:rPr>
        <w:t>na</w:t>
      </w:r>
      <w:r w:rsidR="000A1CB8" w:rsidRPr="0016696F">
        <w:rPr>
          <w:rFonts w:ascii="Arial" w:hAnsi="Arial" w:cs="Arial"/>
          <w:sz w:val="22"/>
        </w:rPr>
        <w:t xml:space="preserve"> rozvahový </w:t>
      </w:r>
      <w:r w:rsidR="000367A0" w:rsidRPr="0016696F">
        <w:rPr>
          <w:rFonts w:ascii="Arial" w:hAnsi="Arial" w:cs="Arial"/>
          <w:sz w:val="22"/>
        </w:rPr>
        <w:t>závazkový účet</w:t>
      </w:r>
      <w:r w:rsidR="00DF2F00" w:rsidRPr="0016696F">
        <w:rPr>
          <w:rFonts w:ascii="Arial" w:hAnsi="Arial" w:cs="Arial"/>
          <w:sz w:val="22"/>
        </w:rPr>
        <w:t xml:space="preserve"> 372</w:t>
      </w:r>
      <w:r w:rsidR="00FE500F" w:rsidRPr="0016696F">
        <w:rPr>
          <w:rFonts w:ascii="Arial" w:hAnsi="Arial" w:cs="Arial"/>
          <w:sz w:val="22"/>
        </w:rPr>
        <w:t>, a to</w:t>
      </w:r>
      <w:r w:rsidR="00DF2F00" w:rsidRPr="0016696F">
        <w:rPr>
          <w:rFonts w:ascii="Arial" w:hAnsi="Arial" w:cs="Arial"/>
          <w:sz w:val="22"/>
        </w:rPr>
        <w:t xml:space="preserve"> s</w:t>
      </w:r>
      <w:r w:rsidR="00DF64CB">
        <w:rPr>
          <w:rFonts w:ascii="Arial" w:hAnsi="Arial" w:cs="Arial"/>
          <w:sz w:val="22"/>
        </w:rPr>
        <w:t> </w:t>
      </w:r>
      <w:r w:rsidR="00DF2F00" w:rsidRPr="0016696F">
        <w:rPr>
          <w:rFonts w:ascii="Arial" w:hAnsi="Arial" w:cs="Arial"/>
          <w:sz w:val="22"/>
        </w:rPr>
        <w:t>odvoláním na ČÚS</w:t>
      </w:r>
      <w:r w:rsidR="00FE500F" w:rsidRPr="0016696F">
        <w:rPr>
          <w:rFonts w:ascii="Arial" w:hAnsi="Arial" w:cs="Arial"/>
          <w:sz w:val="22"/>
        </w:rPr>
        <w:t xml:space="preserve"> č.</w:t>
      </w:r>
      <w:r w:rsidR="00664073">
        <w:rPr>
          <w:rFonts w:ascii="Arial" w:hAnsi="Arial" w:cs="Arial"/>
          <w:sz w:val="22"/>
        </w:rPr>
        <w:t> </w:t>
      </w:r>
      <w:r w:rsidR="00FE500F" w:rsidRPr="0016696F">
        <w:rPr>
          <w:rFonts w:ascii="Arial" w:hAnsi="Arial" w:cs="Arial"/>
          <w:sz w:val="22"/>
        </w:rPr>
        <w:t xml:space="preserve">703 </w:t>
      </w:r>
      <w:r w:rsidRPr="008D4BE1">
        <w:rPr>
          <w:rFonts w:ascii="Arial" w:hAnsi="Arial" w:cs="Arial"/>
          <w:i/>
          <w:sz w:val="22"/>
        </w:rPr>
        <w:t>–</w:t>
      </w:r>
      <w:r w:rsidR="00FE500F" w:rsidRPr="008D4BE1">
        <w:rPr>
          <w:rFonts w:ascii="Arial" w:hAnsi="Arial" w:cs="Arial"/>
          <w:i/>
          <w:sz w:val="22"/>
        </w:rPr>
        <w:t xml:space="preserve"> Transfery</w:t>
      </w:r>
      <w:r w:rsidR="000367A0" w:rsidRPr="0016696F">
        <w:rPr>
          <w:rFonts w:ascii="Arial" w:hAnsi="Arial" w:cs="Arial"/>
          <w:sz w:val="22"/>
        </w:rPr>
        <w:t>.</w:t>
      </w:r>
      <w:r w:rsidR="00B0534A" w:rsidRPr="0016696F">
        <w:rPr>
          <w:rFonts w:ascii="Arial" w:hAnsi="Arial" w:cs="Arial"/>
          <w:sz w:val="22"/>
        </w:rPr>
        <w:t xml:space="preserve"> </w:t>
      </w:r>
    </w:p>
    <w:p w:rsidR="003E69EB" w:rsidRPr="0016696F" w:rsidRDefault="003E69EB" w:rsidP="0095408B">
      <w:pPr>
        <w:rPr>
          <w:rFonts w:ascii="Arial" w:hAnsi="Arial" w:cs="Arial"/>
          <w:sz w:val="22"/>
        </w:rPr>
      </w:pPr>
    </w:p>
    <w:p w:rsidR="0043303D" w:rsidRDefault="003C34B9" w:rsidP="0095408B">
      <w:pPr>
        <w:rPr>
          <w:rFonts w:ascii="Arial" w:hAnsi="Arial" w:cs="Arial"/>
          <w:sz w:val="22"/>
        </w:rPr>
      </w:pPr>
      <w:r w:rsidRPr="0016696F">
        <w:rPr>
          <w:rFonts w:ascii="Arial" w:hAnsi="Arial" w:cs="Arial"/>
          <w:sz w:val="22"/>
        </w:rPr>
        <w:lastRenderedPageBreak/>
        <w:t>Z</w:t>
      </w:r>
      <w:r w:rsidR="00DF64CB">
        <w:rPr>
          <w:rFonts w:ascii="Arial" w:hAnsi="Arial" w:cs="Arial"/>
          <w:sz w:val="22"/>
        </w:rPr>
        <w:t> </w:t>
      </w:r>
      <w:r w:rsidRPr="0016696F">
        <w:rPr>
          <w:rFonts w:ascii="Arial" w:hAnsi="Arial" w:cs="Arial"/>
          <w:sz w:val="22"/>
        </w:rPr>
        <w:t xml:space="preserve">účetního hlediska </w:t>
      </w:r>
      <w:r w:rsidR="00B0534A" w:rsidRPr="0016696F">
        <w:rPr>
          <w:rFonts w:ascii="Arial" w:hAnsi="Arial" w:cs="Arial"/>
          <w:sz w:val="22"/>
        </w:rPr>
        <w:t>tak dochází</w:t>
      </w:r>
      <w:r w:rsidRPr="0016696F">
        <w:rPr>
          <w:rFonts w:ascii="Arial" w:hAnsi="Arial" w:cs="Arial"/>
          <w:sz w:val="22"/>
        </w:rPr>
        <w:t xml:space="preserve"> ke vzniku neobvyklé situace projevující se i v</w:t>
      </w:r>
      <w:r w:rsidR="00DF64CB">
        <w:rPr>
          <w:rFonts w:ascii="Arial" w:hAnsi="Arial" w:cs="Arial"/>
          <w:sz w:val="22"/>
        </w:rPr>
        <w:t> </w:t>
      </w:r>
      <w:r w:rsidRPr="0016696F">
        <w:rPr>
          <w:rFonts w:ascii="Arial" w:hAnsi="Arial" w:cs="Arial"/>
          <w:sz w:val="22"/>
        </w:rPr>
        <w:t xml:space="preserve">účetní závěrce </w:t>
      </w:r>
      <w:r w:rsidR="00B0534A" w:rsidRPr="0016696F">
        <w:rPr>
          <w:rFonts w:ascii="Arial" w:hAnsi="Arial" w:cs="Arial"/>
          <w:sz w:val="22"/>
        </w:rPr>
        <w:t xml:space="preserve">MD </w:t>
      </w:r>
      <w:r w:rsidR="000367A0" w:rsidRPr="0016696F">
        <w:rPr>
          <w:rFonts w:ascii="Arial" w:hAnsi="Arial" w:cs="Arial"/>
          <w:sz w:val="22"/>
        </w:rPr>
        <w:t xml:space="preserve">tím, že </w:t>
      </w:r>
      <w:r w:rsidR="00FE500F" w:rsidRPr="0016696F">
        <w:rPr>
          <w:rFonts w:ascii="Arial" w:hAnsi="Arial" w:cs="Arial"/>
          <w:sz w:val="22"/>
        </w:rPr>
        <w:t>určit</w:t>
      </w:r>
      <w:r w:rsidR="000A1CB8" w:rsidRPr="0016696F">
        <w:rPr>
          <w:rFonts w:ascii="Arial" w:hAnsi="Arial" w:cs="Arial"/>
          <w:sz w:val="22"/>
        </w:rPr>
        <w:t>ý</w:t>
      </w:r>
      <w:r w:rsidR="00FE500F" w:rsidRPr="0016696F">
        <w:rPr>
          <w:rFonts w:ascii="Arial" w:hAnsi="Arial" w:cs="Arial"/>
          <w:sz w:val="22"/>
        </w:rPr>
        <w:t xml:space="preserve"> </w:t>
      </w:r>
      <w:r w:rsidR="000A1CB8" w:rsidRPr="0016696F">
        <w:rPr>
          <w:rFonts w:ascii="Arial" w:hAnsi="Arial" w:cs="Arial"/>
          <w:sz w:val="22"/>
        </w:rPr>
        <w:t xml:space="preserve">druh </w:t>
      </w:r>
      <w:r w:rsidR="00FE500F" w:rsidRPr="0016696F">
        <w:rPr>
          <w:rFonts w:ascii="Arial" w:hAnsi="Arial" w:cs="Arial"/>
          <w:sz w:val="22"/>
        </w:rPr>
        <w:t xml:space="preserve">pohledávky </w:t>
      </w:r>
      <w:r w:rsidR="000A1CB8" w:rsidRPr="0016696F">
        <w:rPr>
          <w:rFonts w:ascii="Arial" w:hAnsi="Arial" w:cs="Arial"/>
          <w:sz w:val="22"/>
        </w:rPr>
        <w:t xml:space="preserve">je vykazován </w:t>
      </w:r>
      <w:r w:rsidR="00FE500F" w:rsidRPr="0016696F">
        <w:rPr>
          <w:rFonts w:ascii="Arial" w:hAnsi="Arial" w:cs="Arial"/>
          <w:sz w:val="22"/>
        </w:rPr>
        <w:t>v</w:t>
      </w:r>
      <w:r w:rsidR="00DF64CB">
        <w:rPr>
          <w:rFonts w:ascii="Arial" w:hAnsi="Arial" w:cs="Arial"/>
          <w:sz w:val="22"/>
        </w:rPr>
        <w:t> </w:t>
      </w:r>
      <w:r w:rsidR="00FE500F" w:rsidRPr="0016696F">
        <w:rPr>
          <w:rFonts w:ascii="Arial" w:hAnsi="Arial" w:cs="Arial"/>
          <w:sz w:val="22"/>
        </w:rPr>
        <w:t xml:space="preserve">rozvaze </w:t>
      </w:r>
      <w:r w:rsidR="009B0B52" w:rsidRPr="0016696F">
        <w:rPr>
          <w:rFonts w:ascii="Arial" w:hAnsi="Arial" w:cs="Arial"/>
          <w:sz w:val="22"/>
        </w:rPr>
        <w:t xml:space="preserve">na položce </w:t>
      </w:r>
      <w:r w:rsidR="00FE500F" w:rsidRPr="0016696F">
        <w:rPr>
          <w:rFonts w:ascii="Arial" w:hAnsi="Arial" w:cs="Arial"/>
          <w:sz w:val="22"/>
        </w:rPr>
        <w:t>závazk</w:t>
      </w:r>
      <w:r w:rsidR="009B0B52" w:rsidRPr="0016696F">
        <w:rPr>
          <w:rFonts w:ascii="Arial" w:hAnsi="Arial" w:cs="Arial"/>
          <w:sz w:val="22"/>
        </w:rPr>
        <w:t>ů</w:t>
      </w:r>
      <w:r w:rsidR="00FE500F" w:rsidRPr="0016696F">
        <w:rPr>
          <w:rFonts w:ascii="Arial" w:hAnsi="Arial" w:cs="Arial"/>
          <w:sz w:val="22"/>
        </w:rPr>
        <w:t xml:space="preserve"> </w:t>
      </w:r>
      <w:r w:rsidRPr="0016696F">
        <w:rPr>
          <w:rFonts w:ascii="Arial" w:hAnsi="Arial" w:cs="Arial"/>
          <w:sz w:val="22"/>
        </w:rPr>
        <w:t>v</w:t>
      </w:r>
      <w:r w:rsidR="00DF64CB">
        <w:rPr>
          <w:rFonts w:ascii="Arial" w:hAnsi="Arial" w:cs="Arial"/>
          <w:sz w:val="22"/>
        </w:rPr>
        <w:t> </w:t>
      </w:r>
      <w:r w:rsidRPr="0016696F">
        <w:rPr>
          <w:rFonts w:ascii="Arial" w:hAnsi="Arial" w:cs="Arial"/>
          <w:sz w:val="22"/>
        </w:rPr>
        <w:t>záporné hodnotě</w:t>
      </w:r>
      <w:r w:rsidR="00C1457C" w:rsidRPr="0016696F">
        <w:rPr>
          <w:rFonts w:ascii="Arial" w:hAnsi="Arial" w:cs="Arial"/>
          <w:sz w:val="22"/>
        </w:rPr>
        <w:t>, což představuje obtížně srozumitelnou informaci, vyžadující detailní seznamování se s</w:t>
      </w:r>
      <w:r w:rsidR="00DF64CB">
        <w:rPr>
          <w:rFonts w:ascii="Arial" w:hAnsi="Arial" w:cs="Arial"/>
          <w:sz w:val="22"/>
        </w:rPr>
        <w:t> </w:t>
      </w:r>
      <w:r w:rsidR="00C1457C" w:rsidRPr="0016696F">
        <w:rPr>
          <w:rFonts w:ascii="Arial" w:hAnsi="Arial" w:cs="Arial"/>
          <w:sz w:val="22"/>
        </w:rPr>
        <w:t>přílohou účetní závěrky a s</w:t>
      </w:r>
      <w:r w:rsidR="00DF64CB">
        <w:rPr>
          <w:rFonts w:ascii="Arial" w:hAnsi="Arial" w:cs="Arial"/>
          <w:sz w:val="22"/>
        </w:rPr>
        <w:t> </w:t>
      </w:r>
      <w:r w:rsidR="00C1457C" w:rsidRPr="0016696F">
        <w:rPr>
          <w:rFonts w:ascii="Arial" w:hAnsi="Arial" w:cs="Arial"/>
          <w:sz w:val="22"/>
        </w:rPr>
        <w:t xml:space="preserve">podrobnostmi předpisů upravujících účetnictví </w:t>
      </w:r>
      <w:r w:rsidR="00A571A3" w:rsidRPr="0016696F">
        <w:rPr>
          <w:rFonts w:ascii="Arial" w:hAnsi="Arial" w:cs="Arial"/>
          <w:sz w:val="22"/>
        </w:rPr>
        <w:t>OSS</w:t>
      </w:r>
      <w:r w:rsidRPr="0016696F">
        <w:rPr>
          <w:rFonts w:ascii="Arial" w:hAnsi="Arial" w:cs="Arial"/>
          <w:sz w:val="22"/>
        </w:rPr>
        <w:t>. K</w:t>
      </w:r>
      <w:r w:rsidR="00DF64CB">
        <w:rPr>
          <w:rFonts w:ascii="Arial" w:hAnsi="Arial" w:cs="Arial"/>
          <w:sz w:val="22"/>
        </w:rPr>
        <w:t> </w:t>
      </w:r>
      <w:r w:rsidR="00FE500F" w:rsidRPr="0016696F">
        <w:rPr>
          <w:rFonts w:ascii="Arial" w:hAnsi="Arial" w:cs="Arial"/>
          <w:sz w:val="22"/>
        </w:rPr>
        <w:t xml:space="preserve">takovému </w:t>
      </w:r>
      <w:r w:rsidRPr="0016696F">
        <w:rPr>
          <w:rFonts w:ascii="Arial" w:hAnsi="Arial" w:cs="Arial"/>
          <w:sz w:val="22"/>
        </w:rPr>
        <w:t>vykázání záporné výše závazku u MD k</w:t>
      </w:r>
      <w:r w:rsidR="00DF64CB">
        <w:rPr>
          <w:rFonts w:ascii="Arial" w:hAnsi="Arial" w:cs="Arial"/>
          <w:sz w:val="22"/>
        </w:rPr>
        <w:t> </w:t>
      </w:r>
      <w:r w:rsidRPr="0016696F">
        <w:rPr>
          <w:rFonts w:ascii="Arial" w:hAnsi="Arial" w:cs="Arial"/>
          <w:sz w:val="22"/>
        </w:rPr>
        <w:t>31. 12. 2013 skutečně došlo; v</w:t>
      </w:r>
      <w:r w:rsidR="00DF64CB">
        <w:rPr>
          <w:rFonts w:ascii="Arial" w:hAnsi="Arial" w:cs="Arial"/>
          <w:sz w:val="22"/>
        </w:rPr>
        <w:t> </w:t>
      </w:r>
      <w:r w:rsidR="00183A2E">
        <w:rPr>
          <w:rFonts w:ascii="Arial" w:hAnsi="Arial" w:cs="Arial"/>
          <w:sz w:val="22"/>
        </w:rPr>
        <w:t>r</w:t>
      </w:r>
      <w:r w:rsidRPr="0016696F">
        <w:rPr>
          <w:rFonts w:ascii="Arial" w:hAnsi="Arial" w:cs="Arial"/>
          <w:sz w:val="22"/>
        </w:rPr>
        <w:t xml:space="preserve">ozvaze MD je </w:t>
      </w:r>
      <w:r w:rsidR="000367A0" w:rsidRPr="0016696F">
        <w:rPr>
          <w:rFonts w:ascii="Arial" w:hAnsi="Arial" w:cs="Arial"/>
          <w:sz w:val="22"/>
        </w:rPr>
        <w:t>k</w:t>
      </w:r>
      <w:r w:rsidR="00DF64CB">
        <w:rPr>
          <w:rFonts w:ascii="Arial" w:hAnsi="Arial" w:cs="Arial"/>
          <w:sz w:val="22"/>
        </w:rPr>
        <w:t> </w:t>
      </w:r>
      <w:r w:rsidR="000367A0" w:rsidRPr="0016696F">
        <w:rPr>
          <w:rFonts w:ascii="Arial" w:hAnsi="Arial" w:cs="Arial"/>
          <w:sz w:val="22"/>
        </w:rPr>
        <w:t xml:space="preserve">31. 12. 2013 </w:t>
      </w:r>
      <w:r w:rsidRPr="0016696F">
        <w:rPr>
          <w:rFonts w:ascii="Arial" w:hAnsi="Arial" w:cs="Arial"/>
          <w:sz w:val="22"/>
        </w:rPr>
        <w:t xml:space="preserve">na účtu 372 </w:t>
      </w:r>
      <w:r w:rsidRPr="0016696F">
        <w:rPr>
          <w:rFonts w:ascii="Arial" w:hAnsi="Arial" w:cs="Arial"/>
          <w:bCs/>
          <w:i/>
          <w:iCs/>
          <w:sz w:val="22"/>
        </w:rPr>
        <w:t>– Krátkodobé závazky z</w:t>
      </w:r>
      <w:r w:rsidR="00DF64CB">
        <w:rPr>
          <w:rFonts w:ascii="Arial" w:hAnsi="Arial" w:cs="Arial"/>
          <w:bCs/>
          <w:i/>
          <w:iCs/>
          <w:sz w:val="22"/>
        </w:rPr>
        <w:t> </w:t>
      </w:r>
      <w:r w:rsidRPr="0016696F">
        <w:rPr>
          <w:rFonts w:ascii="Arial" w:hAnsi="Arial" w:cs="Arial"/>
          <w:bCs/>
          <w:i/>
          <w:iCs/>
          <w:sz w:val="22"/>
        </w:rPr>
        <w:t>nástrojů spolufinancovaných ze zahraničí</w:t>
      </w:r>
      <w:r w:rsidRPr="0016696F">
        <w:rPr>
          <w:rFonts w:ascii="Arial" w:hAnsi="Arial" w:cs="Arial"/>
          <w:sz w:val="22"/>
        </w:rPr>
        <w:t xml:space="preserve"> </w:t>
      </w:r>
      <w:r w:rsidR="000367A0" w:rsidRPr="0016696F">
        <w:rPr>
          <w:rFonts w:ascii="Arial" w:hAnsi="Arial" w:cs="Arial"/>
          <w:sz w:val="22"/>
        </w:rPr>
        <w:t>v</w:t>
      </w:r>
      <w:r w:rsidRPr="0016696F">
        <w:rPr>
          <w:rFonts w:ascii="Arial" w:hAnsi="Arial" w:cs="Arial"/>
          <w:sz w:val="22"/>
        </w:rPr>
        <w:t xml:space="preserve">ykázána částka </w:t>
      </w:r>
      <w:r w:rsidR="00A571A3" w:rsidRPr="0016696F">
        <w:rPr>
          <w:rFonts w:ascii="Arial" w:hAnsi="Arial" w:cs="Arial"/>
          <w:sz w:val="22"/>
        </w:rPr>
        <w:t xml:space="preserve">ve výši </w:t>
      </w:r>
      <w:r w:rsidR="00CE773F" w:rsidRPr="0095408B">
        <w:rPr>
          <w:rFonts w:ascii="Arial" w:hAnsi="Arial" w:cs="Arial"/>
          <w:sz w:val="22"/>
        </w:rPr>
        <w:t>−</w:t>
      </w:r>
      <w:r w:rsidRPr="0016696F">
        <w:rPr>
          <w:rFonts w:ascii="Arial" w:hAnsi="Arial" w:cs="Arial"/>
          <w:sz w:val="22"/>
        </w:rPr>
        <w:t>10 764 337 731,14 Kč.</w:t>
      </w:r>
    </w:p>
    <w:p w:rsidR="003E69EB" w:rsidRPr="0016696F" w:rsidRDefault="003E69EB" w:rsidP="0095408B">
      <w:pPr>
        <w:rPr>
          <w:rFonts w:ascii="Arial" w:hAnsi="Arial" w:cs="Arial"/>
          <w:sz w:val="22"/>
        </w:rPr>
      </w:pPr>
    </w:p>
    <w:p w:rsidR="003C34B9" w:rsidRPr="0016696F" w:rsidRDefault="0036766A" w:rsidP="0095408B">
      <w:pPr>
        <w:rPr>
          <w:rFonts w:ascii="Arial" w:hAnsi="Arial" w:cs="Arial"/>
          <w:sz w:val="22"/>
        </w:rPr>
      </w:pPr>
      <w:r w:rsidRPr="0016696F">
        <w:rPr>
          <w:rFonts w:ascii="Arial" w:hAnsi="Arial" w:cs="Arial"/>
          <w:sz w:val="22"/>
        </w:rPr>
        <w:t>V</w:t>
      </w:r>
      <w:r w:rsidR="002C235F" w:rsidRPr="0016696F">
        <w:rPr>
          <w:rFonts w:ascii="Arial" w:hAnsi="Arial" w:cs="Arial"/>
          <w:sz w:val="22"/>
        </w:rPr>
        <w:t xml:space="preserve">ykázání „závazků“, resp. </w:t>
      </w:r>
      <w:r w:rsidR="00183A2E">
        <w:rPr>
          <w:rFonts w:ascii="Arial" w:hAnsi="Arial" w:cs="Arial"/>
          <w:sz w:val="22"/>
        </w:rPr>
        <w:t>v</w:t>
      </w:r>
      <w:r w:rsidR="002C235F" w:rsidRPr="0016696F">
        <w:rPr>
          <w:rFonts w:ascii="Arial" w:hAnsi="Arial" w:cs="Arial"/>
          <w:sz w:val="22"/>
        </w:rPr>
        <w:t xml:space="preserve">ykázání zůstatku na účtu 372 se záporným znaménkem </w:t>
      </w:r>
      <w:r w:rsidRPr="0016696F">
        <w:rPr>
          <w:rFonts w:ascii="Arial" w:hAnsi="Arial" w:cs="Arial"/>
          <w:sz w:val="22"/>
        </w:rPr>
        <w:t xml:space="preserve">je však pro roky 2012 a 2013 </w:t>
      </w:r>
      <w:r w:rsidR="00DB06C6" w:rsidRPr="0016696F">
        <w:rPr>
          <w:rFonts w:ascii="Arial" w:hAnsi="Arial" w:cs="Arial"/>
          <w:sz w:val="22"/>
        </w:rPr>
        <w:t>podle u</w:t>
      </w:r>
      <w:r w:rsidR="002C235F" w:rsidRPr="0016696F">
        <w:rPr>
          <w:rFonts w:ascii="Arial" w:hAnsi="Arial" w:cs="Arial"/>
          <w:sz w:val="22"/>
        </w:rPr>
        <w:t>stanovení § 4 odst. 8 vyhlášky č. 410/2009 Sb.</w:t>
      </w:r>
      <w:r w:rsidR="002C235F" w:rsidRPr="0016696F">
        <w:rPr>
          <w:rFonts w:ascii="Arial" w:hAnsi="Arial" w:cs="Arial"/>
          <w:b/>
          <w:bCs/>
          <w:iCs/>
          <w:sz w:val="22"/>
        </w:rPr>
        <w:t xml:space="preserve"> </w:t>
      </w:r>
      <w:r w:rsidR="002C235F" w:rsidRPr="0016696F">
        <w:rPr>
          <w:rFonts w:ascii="Arial" w:hAnsi="Arial" w:cs="Arial"/>
          <w:sz w:val="22"/>
        </w:rPr>
        <w:t xml:space="preserve">výslovně </w:t>
      </w:r>
      <w:r w:rsidR="00DB06C6" w:rsidRPr="0016696F">
        <w:rPr>
          <w:rFonts w:ascii="Arial" w:hAnsi="Arial" w:cs="Arial"/>
          <w:sz w:val="22"/>
        </w:rPr>
        <w:t>umožněno</w:t>
      </w:r>
      <w:r w:rsidR="002C235F" w:rsidRPr="0016696F">
        <w:rPr>
          <w:rFonts w:ascii="Arial" w:hAnsi="Arial" w:cs="Arial"/>
          <w:sz w:val="22"/>
        </w:rPr>
        <w:t>.</w:t>
      </w:r>
    </w:p>
    <w:p w:rsidR="009A7313" w:rsidRDefault="009A7313" w:rsidP="0095408B">
      <w:pPr>
        <w:rPr>
          <w:rFonts w:ascii="Arial" w:hAnsi="Arial" w:cs="Arial"/>
          <w:b/>
          <w:i/>
          <w:sz w:val="22"/>
        </w:rPr>
      </w:pPr>
    </w:p>
    <w:p w:rsidR="000A1CB8" w:rsidRPr="00D16CE6" w:rsidRDefault="000A1CB8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Nejasnost předpisů při určení role MD pro účtování o transferech</w:t>
      </w:r>
    </w:p>
    <w:p w:rsidR="0043303D" w:rsidRPr="0016696F" w:rsidRDefault="0043303D" w:rsidP="0095408B">
      <w:pPr>
        <w:rPr>
          <w:rFonts w:ascii="Arial" w:hAnsi="Arial" w:cs="Arial"/>
          <w:sz w:val="22"/>
        </w:rPr>
      </w:pPr>
      <w:r w:rsidRPr="0016696F">
        <w:rPr>
          <w:rFonts w:ascii="Arial" w:hAnsi="Arial" w:cs="Arial"/>
          <w:sz w:val="22"/>
        </w:rPr>
        <w:t>Přístup MD k</w:t>
      </w:r>
      <w:r w:rsidR="00DF64CB">
        <w:rPr>
          <w:rFonts w:ascii="Arial" w:hAnsi="Arial" w:cs="Arial"/>
          <w:sz w:val="22"/>
        </w:rPr>
        <w:t> </w:t>
      </w:r>
      <w:r w:rsidRPr="0016696F">
        <w:rPr>
          <w:rFonts w:ascii="Arial" w:hAnsi="Arial" w:cs="Arial"/>
          <w:sz w:val="22"/>
        </w:rPr>
        <w:t>účtování o předfinancování transferů ze státního rozpočtu je sice promyšleně nastaven s</w:t>
      </w:r>
      <w:r w:rsidR="00DF64CB">
        <w:rPr>
          <w:rFonts w:ascii="Arial" w:hAnsi="Arial" w:cs="Arial"/>
          <w:sz w:val="22"/>
        </w:rPr>
        <w:t> </w:t>
      </w:r>
      <w:r w:rsidRPr="0016696F">
        <w:rPr>
          <w:rFonts w:ascii="Arial" w:hAnsi="Arial" w:cs="Arial"/>
          <w:sz w:val="22"/>
        </w:rPr>
        <w:t xml:space="preserve">ohledem na výkladově možné pojetí zprostředkovatele zahraničního transferu, </w:t>
      </w:r>
      <w:r w:rsidR="00183A2E">
        <w:rPr>
          <w:rFonts w:ascii="Arial" w:hAnsi="Arial" w:cs="Arial"/>
          <w:sz w:val="22"/>
        </w:rPr>
        <w:t>a</w:t>
      </w:r>
      <w:r w:rsidR="00183A2E" w:rsidRPr="0016696F">
        <w:rPr>
          <w:rFonts w:ascii="Arial" w:hAnsi="Arial" w:cs="Arial"/>
          <w:sz w:val="22"/>
        </w:rPr>
        <w:t xml:space="preserve">však </w:t>
      </w:r>
      <w:r w:rsidRPr="0016696F">
        <w:rPr>
          <w:rFonts w:ascii="Arial" w:hAnsi="Arial" w:cs="Arial"/>
          <w:sz w:val="22"/>
        </w:rPr>
        <w:t>z</w:t>
      </w:r>
      <w:r w:rsidR="00DF64CB">
        <w:rPr>
          <w:rFonts w:ascii="Arial" w:hAnsi="Arial" w:cs="Arial"/>
          <w:sz w:val="22"/>
        </w:rPr>
        <w:t> </w:t>
      </w:r>
      <w:r w:rsidRPr="0016696F">
        <w:rPr>
          <w:rFonts w:ascii="Arial" w:hAnsi="Arial" w:cs="Arial"/>
          <w:sz w:val="22"/>
        </w:rPr>
        <w:t xml:space="preserve">ČÚS č. 703 </w:t>
      </w:r>
      <w:r w:rsidR="00C1457C" w:rsidRPr="008D4BE1">
        <w:rPr>
          <w:rFonts w:ascii="Arial" w:hAnsi="Arial" w:cs="Arial"/>
          <w:i/>
          <w:sz w:val="22"/>
        </w:rPr>
        <w:t>– Transfery</w:t>
      </w:r>
      <w:r w:rsidR="00C1457C" w:rsidRPr="0016696F">
        <w:rPr>
          <w:rFonts w:ascii="Arial" w:hAnsi="Arial" w:cs="Arial"/>
          <w:sz w:val="22"/>
        </w:rPr>
        <w:t xml:space="preserve"> </w:t>
      </w:r>
      <w:r w:rsidRPr="0016696F">
        <w:rPr>
          <w:rFonts w:ascii="Arial" w:hAnsi="Arial" w:cs="Arial"/>
          <w:sz w:val="22"/>
        </w:rPr>
        <w:t>lze vyvozovat i jiné přijatelné výklady týkající se toho</w:t>
      </w:r>
      <w:r w:rsidR="009E4794" w:rsidRPr="0016696F">
        <w:rPr>
          <w:rFonts w:ascii="Arial" w:hAnsi="Arial" w:cs="Arial"/>
          <w:sz w:val="22"/>
        </w:rPr>
        <w:t>:</w:t>
      </w:r>
      <w:r w:rsidRPr="0016696F">
        <w:rPr>
          <w:rFonts w:ascii="Arial" w:hAnsi="Arial" w:cs="Arial"/>
          <w:sz w:val="22"/>
        </w:rPr>
        <w:t xml:space="preserve"> </w:t>
      </w:r>
    </w:p>
    <w:p w:rsidR="0043303D" w:rsidRPr="0016696F" w:rsidRDefault="009E4794" w:rsidP="0095408B">
      <w:pPr>
        <w:numPr>
          <w:ilvl w:val="0"/>
          <w:numId w:val="22"/>
        </w:numPr>
        <w:ind w:left="567" w:hanging="283"/>
        <w:rPr>
          <w:rFonts w:ascii="Arial" w:hAnsi="Arial" w:cs="Arial"/>
          <w:sz w:val="22"/>
          <w:lang w:eastAsia="hi-IN" w:bidi="hi-IN"/>
        </w:rPr>
      </w:pPr>
      <w:r w:rsidRPr="0016696F">
        <w:rPr>
          <w:rFonts w:ascii="Arial" w:hAnsi="Arial" w:cs="Arial"/>
          <w:sz w:val="22"/>
          <w:lang w:eastAsia="hi-IN" w:bidi="hi-IN"/>
        </w:rPr>
        <w:t xml:space="preserve">zda </w:t>
      </w:r>
      <w:r w:rsidR="00856090" w:rsidRPr="0016696F">
        <w:rPr>
          <w:rFonts w:ascii="Arial" w:hAnsi="Arial" w:cs="Arial"/>
          <w:sz w:val="22"/>
          <w:lang w:eastAsia="hi-IN" w:bidi="hi-IN"/>
        </w:rPr>
        <w:t xml:space="preserve">je </w:t>
      </w:r>
      <w:r w:rsidR="0043303D" w:rsidRPr="0016696F">
        <w:rPr>
          <w:rFonts w:ascii="Arial" w:hAnsi="Arial" w:cs="Arial"/>
          <w:sz w:val="22"/>
          <w:lang w:eastAsia="hi-IN" w:bidi="hi-IN"/>
        </w:rPr>
        <w:t>MD zprostředkovatelem zahraničního transferu v případě spolufinancované části (podíl EU)</w:t>
      </w:r>
      <w:r w:rsidR="00856090">
        <w:rPr>
          <w:rFonts w:ascii="Arial" w:hAnsi="Arial" w:cs="Arial"/>
          <w:sz w:val="22"/>
          <w:lang w:eastAsia="hi-IN" w:bidi="hi-IN"/>
        </w:rPr>
        <w:t>,</w:t>
      </w:r>
      <w:r w:rsidR="0043303D" w:rsidRPr="0016696F">
        <w:rPr>
          <w:rFonts w:ascii="Arial" w:hAnsi="Arial" w:cs="Arial"/>
          <w:sz w:val="22"/>
          <w:lang w:eastAsia="hi-IN" w:bidi="hi-IN"/>
        </w:rPr>
        <w:t xml:space="preserve"> nebo zda je jeho poskytovatelem a příjemcem,</w:t>
      </w:r>
    </w:p>
    <w:p w:rsidR="0043303D" w:rsidRPr="0016696F" w:rsidRDefault="0043303D" w:rsidP="0095408B">
      <w:pPr>
        <w:numPr>
          <w:ilvl w:val="0"/>
          <w:numId w:val="22"/>
        </w:numPr>
        <w:ind w:left="567" w:hanging="283"/>
        <w:rPr>
          <w:rFonts w:ascii="Arial" w:hAnsi="Arial" w:cs="Arial"/>
          <w:sz w:val="22"/>
          <w:lang w:eastAsia="hi-IN" w:bidi="hi-IN"/>
        </w:rPr>
      </w:pPr>
      <w:r w:rsidRPr="0016696F">
        <w:rPr>
          <w:rFonts w:ascii="Arial" w:hAnsi="Arial" w:cs="Arial"/>
          <w:sz w:val="22"/>
          <w:lang w:eastAsia="hi-IN" w:bidi="hi-IN"/>
        </w:rPr>
        <w:t>jak účtovat o předfinancování výdajů spolufinancovaných z prostředků Evropské unie a</w:t>
      </w:r>
      <w:r w:rsidR="00856090">
        <w:rPr>
          <w:rFonts w:ascii="Arial" w:hAnsi="Arial" w:cs="Arial"/>
          <w:sz w:val="22"/>
          <w:lang w:eastAsia="hi-IN" w:bidi="hi-IN"/>
        </w:rPr>
        <w:t> </w:t>
      </w:r>
      <w:r w:rsidRPr="0016696F">
        <w:rPr>
          <w:rFonts w:ascii="Arial" w:hAnsi="Arial" w:cs="Arial"/>
          <w:sz w:val="22"/>
          <w:lang w:eastAsia="hi-IN" w:bidi="hi-IN"/>
        </w:rPr>
        <w:t>o</w:t>
      </w:r>
      <w:r w:rsidR="00856090">
        <w:rPr>
          <w:rFonts w:ascii="Arial" w:hAnsi="Arial" w:cs="Arial"/>
          <w:sz w:val="22"/>
          <w:lang w:eastAsia="hi-IN" w:bidi="hi-IN"/>
        </w:rPr>
        <w:t> </w:t>
      </w:r>
      <w:r w:rsidRPr="0016696F">
        <w:rPr>
          <w:rFonts w:ascii="Arial" w:hAnsi="Arial" w:cs="Arial"/>
          <w:sz w:val="22"/>
          <w:lang w:eastAsia="hi-IN" w:bidi="hi-IN"/>
        </w:rPr>
        <w:t>jejich následné</w:t>
      </w:r>
      <w:r w:rsidR="0095408B">
        <w:rPr>
          <w:rFonts w:ascii="Arial" w:hAnsi="Arial" w:cs="Arial"/>
          <w:sz w:val="22"/>
          <w:lang w:eastAsia="hi-IN" w:bidi="hi-IN"/>
        </w:rPr>
        <w:t xml:space="preserve"> refundaci,</w:t>
      </w:r>
    </w:p>
    <w:p w:rsidR="00C91457" w:rsidRDefault="0043303D" w:rsidP="0095408B">
      <w:pPr>
        <w:overflowPunct w:val="0"/>
        <w:autoSpaceDE w:val="0"/>
        <w:autoSpaceDN w:val="0"/>
        <w:rPr>
          <w:rFonts w:ascii="Arial" w:hAnsi="Arial" w:cs="Arial"/>
          <w:sz w:val="22"/>
          <w:lang w:eastAsia="hi-IN" w:bidi="hi-IN"/>
        </w:rPr>
      </w:pPr>
      <w:r w:rsidRPr="0016696F">
        <w:rPr>
          <w:rFonts w:ascii="Arial" w:hAnsi="Arial" w:cs="Arial"/>
          <w:sz w:val="22"/>
          <w:lang w:eastAsia="hi-IN" w:bidi="hi-IN"/>
        </w:rPr>
        <w:t xml:space="preserve">přičemž tyto výklady mají významný a různý dopad </w:t>
      </w:r>
      <w:r w:rsidR="00C82E90" w:rsidRPr="0016696F">
        <w:rPr>
          <w:rFonts w:ascii="Arial" w:hAnsi="Arial" w:cs="Arial"/>
          <w:sz w:val="22"/>
          <w:lang w:eastAsia="hi-IN" w:bidi="hi-IN"/>
        </w:rPr>
        <w:t xml:space="preserve">zejména </w:t>
      </w:r>
      <w:r w:rsidRPr="0016696F">
        <w:rPr>
          <w:rFonts w:ascii="Arial" w:hAnsi="Arial" w:cs="Arial"/>
          <w:sz w:val="22"/>
          <w:lang w:eastAsia="hi-IN" w:bidi="hi-IN"/>
        </w:rPr>
        <w:t>na údaje o výsledku hospodaření (náklady, výnosy)</w:t>
      </w:r>
      <w:r w:rsidR="003347A3">
        <w:rPr>
          <w:rFonts w:ascii="Arial" w:hAnsi="Arial" w:cs="Arial"/>
          <w:sz w:val="22"/>
          <w:lang w:eastAsia="hi-IN" w:bidi="hi-IN"/>
        </w:rPr>
        <w:t xml:space="preserve"> a</w:t>
      </w:r>
      <w:r w:rsidR="00C82E90" w:rsidRPr="0016696F">
        <w:rPr>
          <w:rFonts w:ascii="Arial" w:hAnsi="Arial" w:cs="Arial"/>
          <w:sz w:val="22"/>
          <w:lang w:eastAsia="hi-IN" w:bidi="hi-IN"/>
        </w:rPr>
        <w:t xml:space="preserve"> </w:t>
      </w:r>
      <w:r w:rsidR="00856090">
        <w:rPr>
          <w:rFonts w:ascii="Arial" w:hAnsi="Arial" w:cs="Arial"/>
          <w:sz w:val="22"/>
          <w:lang w:eastAsia="hi-IN" w:bidi="hi-IN"/>
        </w:rPr>
        <w:t xml:space="preserve">na </w:t>
      </w:r>
      <w:r w:rsidR="00C82E90" w:rsidRPr="0016696F">
        <w:rPr>
          <w:rFonts w:ascii="Arial" w:hAnsi="Arial" w:cs="Arial"/>
          <w:sz w:val="22"/>
          <w:lang w:eastAsia="hi-IN" w:bidi="hi-IN"/>
        </w:rPr>
        <w:t>další údaj</w:t>
      </w:r>
      <w:r w:rsidR="00060B77" w:rsidRPr="00D16CE6">
        <w:rPr>
          <w:rFonts w:ascii="Arial" w:hAnsi="Arial" w:cs="Arial"/>
          <w:sz w:val="22"/>
          <w:lang w:eastAsia="hi-IN" w:bidi="hi-IN"/>
        </w:rPr>
        <w:t>e</w:t>
      </w:r>
      <w:r w:rsidRPr="0016696F">
        <w:rPr>
          <w:rFonts w:ascii="Arial" w:hAnsi="Arial" w:cs="Arial"/>
          <w:sz w:val="22"/>
          <w:lang w:eastAsia="hi-IN" w:bidi="hi-IN"/>
        </w:rPr>
        <w:t xml:space="preserve"> </w:t>
      </w:r>
      <w:r w:rsidR="00C1457C" w:rsidRPr="0016696F">
        <w:rPr>
          <w:rFonts w:ascii="Arial" w:hAnsi="Arial" w:cs="Arial"/>
          <w:sz w:val="22"/>
          <w:lang w:eastAsia="hi-IN" w:bidi="hi-IN"/>
        </w:rPr>
        <w:t>ÚZ</w:t>
      </w:r>
      <w:r w:rsidRPr="0016696F">
        <w:rPr>
          <w:rFonts w:ascii="Arial" w:hAnsi="Arial" w:cs="Arial"/>
          <w:sz w:val="22"/>
          <w:lang w:eastAsia="hi-IN" w:bidi="hi-IN"/>
        </w:rPr>
        <w:t xml:space="preserve"> MD. </w:t>
      </w:r>
    </w:p>
    <w:p w:rsidR="003E69EB" w:rsidRPr="0016696F" w:rsidRDefault="003E69EB" w:rsidP="0095408B">
      <w:pPr>
        <w:overflowPunct w:val="0"/>
        <w:autoSpaceDE w:val="0"/>
        <w:autoSpaceDN w:val="0"/>
        <w:rPr>
          <w:rFonts w:ascii="Arial" w:hAnsi="Arial" w:cs="Arial"/>
          <w:sz w:val="22"/>
          <w:lang w:eastAsia="hi-IN" w:bidi="hi-IN"/>
        </w:rPr>
      </w:pPr>
    </w:p>
    <w:p w:rsidR="00E609AF" w:rsidRDefault="00C54F43" w:rsidP="0095408B">
      <w:pPr>
        <w:overflowPunct w:val="0"/>
        <w:autoSpaceDE w:val="0"/>
        <w:autoSpaceDN w:val="0"/>
        <w:rPr>
          <w:rFonts w:ascii="Arial" w:hAnsi="Arial" w:cs="Arial"/>
          <w:sz w:val="22"/>
          <w:lang w:eastAsia="hi-IN" w:bidi="hi-IN"/>
        </w:rPr>
      </w:pPr>
      <w:r w:rsidRPr="008F1CFC">
        <w:rPr>
          <w:rFonts w:ascii="Arial" w:hAnsi="Arial" w:cs="Arial"/>
          <w:bCs/>
          <w:sz w:val="22"/>
          <w:lang w:eastAsia="cs-CZ"/>
        </w:rPr>
        <w:t>Na základě zjištění skutečného stavu</w:t>
      </w:r>
      <w:r w:rsidR="0034757A">
        <w:rPr>
          <w:rFonts w:ascii="Arial" w:hAnsi="Arial" w:cs="Arial"/>
          <w:bCs/>
          <w:sz w:val="22"/>
          <w:lang w:eastAsia="cs-CZ"/>
        </w:rPr>
        <w:t xml:space="preserve"> a s ohledem na</w:t>
      </w:r>
      <w:r w:rsidRPr="008F1CFC">
        <w:rPr>
          <w:rFonts w:ascii="Arial" w:hAnsi="Arial" w:cs="Arial"/>
          <w:bCs/>
          <w:sz w:val="22"/>
          <w:lang w:eastAsia="cs-CZ"/>
        </w:rPr>
        <w:t xml:space="preserve"> ustanovení předpisů a českých účetních standardů upravujících vedení účetnictví organizačních složek státu</w:t>
      </w:r>
      <w:r w:rsidR="00FB15B6" w:rsidRPr="008F1CFC">
        <w:rPr>
          <w:rFonts w:ascii="Arial" w:hAnsi="Arial" w:cs="Arial"/>
          <w:bCs/>
          <w:sz w:val="22"/>
          <w:lang w:eastAsia="cs-CZ"/>
        </w:rPr>
        <w:t xml:space="preserve"> je třeba konstatovat, že </w:t>
      </w:r>
      <w:r w:rsidR="00E17958">
        <w:rPr>
          <w:rFonts w:ascii="Arial" w:hAnsi="Arial" w:cs="Arial"/>
          <w:bCs/>
          <w:sz w:val="22"/>
          <w:lang w:eastAsia="cs-CZ"/>
        </w:rPr>
        <w:t>správnost postupů zvolených MD</w:t>
      </w:r>
      <w:r w:rsidR="0043303D" w:rsidRPr="008F1CFC">
        <w:rPr>
          <w:rFonts w:ascii="Arial" w:hAnsi="Arial" w:cs="Arial"/>
          <w:sz w:val="22"/>
          <w:lang w:eastAsia="hi-IN" w:bidi="hi-IN"/>
        </w:rPr>
        <w:t xml:space="preserve"> pro účtování o předfinancovaných transferech nelze </w:t>
      </w:r>
      <w:r w:rsidR="00A426CB" w:rsidRPr="008F1CFC">
        <w:rPr>
          <w:rFonts w:ascii="Arial" w:hAnsi="Arial" w:cs="Arial"/>
          <w:bCs/>
          <w:sz w:val="22"/>
          <w:lang w:eastAsia="cs-CZ"/>
        </w:rPr>
        <w:t>vyhodnotit</w:t>
      </w:r>
      <w:r w:rsidR="00E17958">
        <w:rPr>
          <w:rFonts w:ascii="Arial" w:hAnsi="Arial" w:cs="Arial"/>
          <w:bCs/>
          <w:sz w:val="22"/>
          <w:lang w:eastAsia="cs-CZ"/>
        </w:rPr>
        <w:t>.</w:t>
      </w:r>
      <w:r w:rsidR="0043303D" w:rsidRPr="008F1CFC">
        <w:rPr>
          <w:rFonts w:ascii="Arial" w:hAnsi="Arial" w:cs="Arial"/>
          <w:sz w:val="22"/>
          <w:lang w:eastAsia="hi-IN" w:bidi="hi-IN"/>
        </w:rPr>
        <w:t xml:space="preserve"> Neprovedení vyhodnocení však nelze dávat k tíži MD, příčina spočívá v nejednoznačnosti </w:t>
      </w:r>
      <w:r w:rsidR="0043303D" w:rsidRPr="0016696F">
        <w:rPr>
          <w:rFonts w:ascii="Arial" w:hAnsi="Arial" w:cs="Arial"/>
          <w:sz w:val="22"/>
          <w:lang w:eastAsia="hi-IN" w:bidi="hi-IN"/>
        </w:rPr>
        <w:t xml:space="preserve">ustanovení předpisů upravujících </w:t>
      </w:r>
      <w:r w:rsidR="00E609AF" w:rsidRPr="0016696F">
        <w:rPr>
          <w:rFonts w:ascii="Arial" w:hAnsi="Arial" w:cs="Arial"/>
          <w:sz w:val="22"/>
          <w:lang w:eastAsia="hi-IN" w:bidi="hi-IN"/>
        </w:rPr>
        <w:t xml:space="preserve">vedení </w:t>
      </w:r>
      <w:r w:rsidR="0043303D" w:rsidRPr="0016696F">
        <w:rPr>
          <w:rFonts w:ascii="Arial" w:hAnsi="Arial" w:cs="Arial"/>
          <w:sz w:val="22"/>
          <w:lang w:eastAsia="hi-IN" w:bidi="hi-IN"/>
        </w:rPr>
        <w:t>účetnictví</w:t>
      </w:r>
      <w:r w:rsidR="001F14B5">
        <w:rPr>
          <w:rFonts w:ascii="Arial" w:hAnsi="Arial" w:cs="Arial"/>
          <w:sz w:val="22"/>
          <w:lang w:eastAsia="hi-IN" w:bidi="hi-IN"/>
        </w:rPr>
        <w:t>.</w:t>
      </w:r>
    </w:p>
    <w:p w:rsidR="003E69EB" w:rsidRPr="0016696F" w:rsidRDefault="003E69EB" w:rsidP="0095408B">
      <w:pPr>
        <w:overflowPunct w:val="0"/>
        <w:autoSpaceDE w:val="0"/>
        <w:autoSpaceDN w:val="0"/>
        <w:rPr>
          <w:rFonts w:ascii="Arial" w:hAnsi="Arial" w:cs="Arial"/>
          <w:sz w:val="22"/>
          <w:lang w:eastAsia="hi-IN" w:bidi="hi-IN"/>
        </w:rPr>
      </w:pPr>
    </w:p>
    <w:p w:rsidR="00DF2F00" w:rsidRPr="0016696F" w:rsidRDefault="00C84177" w:rsidP="0095408B">
      <w:pPr>
        <w:overflowPunct w:val="0"/>
        <w:autoSpaceDE w:val="0"/>
        <w:autoSpaceDN w:val="0"/>
        <w:rPr>
          <w:rFonts w:ascii="Arial" w:hAnsi="Arial" w:cs="Arial"/>
          <w:sz w:val="22"/>
        </w:rPr>
      </w:pPr>
      <w:r w:rsidRPr="008F1CFC">
        <w:rPr>
          <w:rFonts w:ascii="Arial" w:hAnsi="Arial" w:cs="Arial"/>
          <w:sz w:val="22"/>
          <w:lang w:eastAsia="hi-IN" w:bidi="hi-IN"/>
        </w:rPr>
        <w:t>NK</w:t>
      </w:r>
      <w:r w:rsidRPr="00C84177">
        <w:rPr>
          <w:rFonts w:ascii="Arial" w:hAnsi="Arial" w:cs="Arial"/>
          <w:sz w:val="22"/>
          <w:lang w:eastAsia="hi-IN" w:bidi="hi-IN"/>
        </w:rPr>
        <w:t>Ú se proto</w:t>
      </w:r>
      <w:r>
        <w:rPr>
          <w:rFonts w:ascii="Arial" w:hAnsi="Arial" w:cs="Arial"/>
          <w:bCs/>
          <w:sz w:val="22"/>
          <w:lang w:eastAsia="hi-IN" w:bidi="hi-IN"/>
        </w:rPr>
        <w:t xml:space="preserve"> </w:t>
      </w:r>
      <w:r w:rsidR="00DF2F00" w:rsidRPr="008F1CFC">
        <w:rPr>
          <w:rFonts w:ascii="Arial" w:hAnsi="Arial" w:cs="Arial"/>
          <w:bCs/>
          <w:sz w:val="22"/>
          <w:lang w:eastAsia="hi-IN" w:bidi="hi-IN"/>
        </w:rPr>
        <w:t xml:space="preserve">nevyjadřuje ke správnosti účtování a vykazování položek účetní závěrky sestavené k 31. 12. 2013, prostřednictvím kterých MD o předfinancování </w:t>
      </w:r>
      <w:r w:rsidR="00DF2F00" w:rsidRPr="00D16CE6">
        <w:rPr>
          <w:rFonts w:ascii="Arial" w:hAnsi="Arial" w:cs="Arial"/>
          <w:bCs/>
          <w:sz w:val="22"/>
          <w:lang w:eastAsia="hi-IN" w:bidi="hi-IN"/>
        </w:rPr>
        <w:t>prostředků ze zahraničí účtovalo</w:t>
      </w:r>
      <w:r w:rsidR="00DF2F00" w:rsidRPr="0016696F">
        <w:rPr>
          <w:rFonts w:ascii="Arial" w:hAnsi="Arial" w:cs="Arial"/>
          <w:bCs/>
          <w:sz w:val="22"/>
          <w:lang w:eastAsia="hi-IN" w:bidi="hi-IN"/>
        </w:rPr>
        <w:t>:</w:t>
      </w:r>
    </w:p>
    <w:p w:rsidR="00DF2F00" w:rsidRPr="0016696F" w:rsidRDefault="004D65E5" w:rsidP="0095408B">
      <w:pPr>
        <w:pStyle w:val="Odstavecseseznamem"/>
        <w:numPr>
          <w:ilvl w:val="0"/>
          <w:numId w:val="22"/>
        </w:numPr>
        <w:suppressAutoHyphens/>
        <w:ind w:left="567" w:hanging="283"/>
        <w:contextualSpacing w:val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Cs/>
          <w:sz w:val="22"/>
          <w:lang w:val="cs-CZ"/>
        </w:rPr>
        <w:t xml:space="preserve">NKÚ se </w:t>
      </w:r>
      <w:r w:rsidR="00C82E90" w:rsidRPr="0016696F">
        <w:rPr>
          <w:rFonts w:ascii="Arial" w:hAnsi="Arial" w:cs="Arial"/>
          <w:bCs/>
          <w:sz w:val="22"/>
          <w:lang w:val="cs-CZ"/>
        </w:rPr>
        <w:t>nevyja</w:t>
      </w:r>
      <w:r w:rsidR="009B0B52" w:rsidRPr="0016696F">
        <w:rPr>
          <w:rFonts w:ascii="Arial" w:hAnsi="Arial" w:cs="Arial"/>
          <w:bCs/>
          <w:sz w:val="22"/>
          <w:lang w:val="cs-CZ"/>
        </w:rPr>
        <w:t>d</w:t>
      </w:r>
      <w:r w:rsidR="00C82E90" w:rsidRPr="0016696F">
        <w:rPr>
          <w:rFonts w:ascii="Arial" w:hAnsi="Arial" w:cs="Arial"/>
          <w:bCs/>
          <w:sz w:val="22"/>
          <w:lang w:val="cs-CZ"/>
        </w:rPr>
        <w:t>řuje</w:t>
      </w:r>
      <w:r w:rsidR="00DF2F00" w:rsidRPr="0016696F">
        <w:rPr>
          <w:rFonts w:ascii="Arial" w:hAnsi="Arial" w:cs="Arial"/>
          <w:bCs/>
          <w:sz w:val="22"/>
          <w:lang w:val="cs-CZ"/>
        </w:rPr>
        <w:t xml:space="preserve"> </w:t>
      </w:r>
      <w:r w:rsidR="00C82E90" w:rsidRPr="0016696F">
        <w:rPr>
          <w:rFonts w:ascii="Arial" w:hAnsi="Arial" w:cs="Arial"/>
          <w:bCs/>
          <w:sz w:val="22"/>
          <w:lang w:val="cs-CZ"/>
        </w:rPr>
        <w:t>ke</w:t>
      </w:r>
      <w:r w:rsidR="00DF2F00" w:rsidRPr="0016696F">
        <w:rPr>
          <w:rFonts w:ascii="Arial" w:hAnsi="Arial" w:cs="Arial"/>
          <w:bCs/>
          <w:sz w:val="22"/>
          <w:lang w:val="cs-CZ"/>
        </w:rPr>
        <w:t xml:space="preserve"> správnost</w:t>
      </w:r>
      <w:r w:rsidR="00C82E90" w:rsidRPr="0016696F">
        <w:rPr>
          <w:rFonts w:ascii="Arial" w:hAnsi="Arial" w:cs="Arial"/>
          <w:bCs/>
          <w:sz w:val="22"/>
          <w:lang w:val="cs-CZ"/>
        </w:rPr>
        <w:t>i</w:t>
      </w:r>
      <w:r w:rsidR="00DF2F00" w:rsidRPr="0016696F">
        <w:rPr>
          <w:rFonts w:ascii="Arial" w:hAnsi="Arial" w:cs="Arial"/>
          <w:bCs/>
          <w:sz w:val="22"/>
          <w:lang w:val="cs-CZ"/>
        </w:rPr>
        <w:t xml:space="preserve"> účtování údajů a vykázání zůstatku ve výši</w:t>
      </w:r>
      <w:r w:rsidR="003174AD" w:rsidRPr="0016696F">
        <w:rPr>
          <w:rFonts w:ascii="Arial" w:hAnsi="Arial" w:cs="Arial"/>
          <w:bCs/>
          <w:sz w:val="22"/>
          <w:lang w:val="cs-CZ"/>
        </w:rPr>
        <w:t xml:space="preserve"> </w:t>
      </w:r>
      <w:r w:rsidRPr="0095408B">
        <w:rPr>
          <w:rFonts w:ascii="Arial" w:hAnsi="Arial" w:cs="Arial"/>
          <w:sz w:val="22"/>
          <w:lang w:val="cs-CZ"/>
        </w:rPr>
        <w:t>−</w:t>
      </w:r>
      <w:r w:rsidR="00DF2F00" w:rsidRPr="0016696F">
        <w:rPr>
          <w:rFonts w:ascii="Arial" w:hAnsi="Arial" w:cs="Arial"/>
          <w:sz w:val="22"/>
          <w:lang w:val="cs-CZ"/>
        </w:rPr>
        <w:t>10</w:t>
      </w:r>
      <w:r w:rsidR="003174AD" w:rsidRPr="0016696F">
        <w:rPr>
          <w:rFonts w:ascii="Arial" w:hAnsi="Arial" w:cs="Arial"/>
          <w:sz w:val="22"/>
          <w:lang w:val="cs-CZ"/>
        </w:rPr>
        <w:t> </w:t>
      </w:r>
      <w:r w:rsidR="00DF2F00" w:rsidRPr="0016696F">
        <w:rPr>
          <w:rFonts w:ascii="Arial" w:hAnsi="Arial" w:cs="Arial"/>
          <w:sz w:val="22"/>
          <w:lang w:val="cs-CZ"/>
        </w:rPr>
        <w:t>764</w:t>
      </w:r>
      <w:r w:rsidR="003174AD" w:rsidRPr="0016696F">
        <w:rPr>
          <w:rFonts w:ascii="Arial" w:hAnsi="Arial" w:cs="Arial"/>
          <w:sz w:val="22"/>
          <w:lang w:val="cs-CZ"/>
        </w:rPr>
        <w:t> </w:t>
      </w:r>
      <w:r w:rsidR="00DF2F00" w:rsidRPr="0016696F">
        <w:rPr>
          <w:rFonts w:ascii="Arial" w:hAnsi="Arial" w:cs="Arial"/>
          <w:sz w:val="22"/>
          <w:lang w:val="cs-CZ"/>
        </w:rPr>
        <w:t>337</w:t>
      </w:r>
      <w:r w:rsidR="003174AD" w:rsidRPr="0016696F">
        <w:rPr>
          <w:rFonts w:ascii="Arial" w:hAnsi="Arial" w:cs="Arial"/>
          <w:sz w:val="22"/>
          <w:lang w:val="cs-CZ"/>
        </w:rPr>
        <w:t> </w:t>
      </w:r>
      <w:r w:rsidR="009C6F4E">
        <w:rPr>
          <w:rFonts w:ascii="Arial" w:hAnsi="Arial" w:cs="Arial"/>
          <w:sz w:val="22"/>
          <w:lang w:val="cs-CZ"/>
        </w:rPr>
        <w:t>731,14</w:t>
      </w:r>
      <w:r w:rsidR="000664CF">
        <w:rPr>
          <w:rFonts w:ascii="Arial" w:hAnsi="Arial" w:cs="Arial"/>
          <w:sz w:val="22"/>
          <w:lang w:val="cs-CZ"/>
        </w:rPr>
        <w:t> </w:t>
      </w:r>
      <w:r w:rsidR="009C6F4E">
        <w:rPr>
          <w:rFonts w:ascii="Arial" w:hAnsi="Arial" w:cs="Arial"/>
          <w:sz w:val="22"/>
          <w:lang w:val="cs-CZ"/>
        </w:rPr>
        <w:t>Kč na účtu 372 </w:t>
      </w:r>
      <w:r w:rsidR="00DF2F00" w:rsidRPr="0016696F">
        <w:rPr>
          <w:rFonts w:ascii="Arial" w:hAnsi="Arial" w:cs="Arial"/>
          <w:sz w:val="22"/>
          <w:lang w:val="cs-CZ"/>
        </w:rPr>
        <w:t>–</w:t>
      </w:r>
      <w:r w:rsidR="009C6F4E">
        <w:rPr>
          <w:rFonts w:ascii="Arial" w:hAnsi="Arial" w:cs="Arial"/>
          <w:bCs/>
          <w:i/>
          <w:color w:val="000000"/>
          <w:sz w:val="22"/>
          <w:lang w:val="cs-CZ" w:eastAsia="cs-CZ"/>
        </w:rPr>
        <w:t> </w:t>
      </w:r>
      <w:r w:rsidR="00DF2F00" w:rsidRPr="0016696F">
        <w:rPr>
          <w:rFonts w:ascii="Arial" w:hAnsi="Arial" w:cs="Arial"/>
          <w:bCs/>
          <w:i/>
          <w:color w:val="000000"/>
          <w:sz w:val="22"/>
          <w:lang w:val="cs-CZ" w:eastAsia="cs-CZ"/>
        </w:rPr>
        <w:t xml:space="preserve">Krátkodobé závazky z nástrojů spolufinancovaných ze zahraničí </w:t>
      </w:r>
      <w:r w:rsidR="00DF2F00" w:rsidRPr="0016696F">
        <w:rPr>
          <w:rFonts w:ascii="Arial" w:hAnsi="Arial" w:cs="Arial"/>
          <w:bCs/>
          <w:color w:val="000000"/>
          <w:sz w:val="22"/>
          <w:lang w:val="cs-CZ" w:eastAsia="cs-CZ"/>
        </w:rPr>
        <w:t xml:space="preserve">ve výkazu </w:t>
      </w:r>
      <w:r>
        <w:rPr>
          <w:rFonts w:ascii="Arial" w:hAnsi="Arial" w:cs="Arial"/>
          <w:bCs/>
          <w:color w:val="000000"/>
          <w:sz w:val="22"/>
          <w:lang w:val="cs-CZ" w:eastAsia="cs-CZ"/>
        </w:rPr>
        <w:t>r</w:t>
      </w:r>
      <w:r w:rsidR="00DF2F00" w:rsidRPr="0016696F">
        <w:rPr>
          <w:rFonts w:ascii="Arial" w:hAnsi="Arial" w:cs="Arial"/>
          <w:bCs/>
          <w:color w:val="000000"/>
          <w:sz w:val="22"/>
          <w:lang w:val="cs-CZ" w:eastAsia="cs-CZ"/>
        </w:rPr>
        <w:t>ozvaha k 31. 12. 2013 v údajích za období běžné</w:t>
      </w:r>
      <w:r>
        <w:rPr>
          <w:rFonts w:ascii="Arial" w:hAnsi="Arial" w:cs="Arial"/>
          <w:sz w:val="22"/>
          <w:lang w:val="cs-CZ"/>
        </w:rPr>
        <w:t>.</w:t>
      </w:r>
    </w:p>
    <w:p w:rsidR="00DF2F00" w:rsidRPr="00D16CE6" w:rsidRDefault="004D65E5" w:rsidP="0095408B">
      <w:pPr>
        <w:pStyle w:val="Odstavecseseznamem"/>
        <w:numPr>
          <w:ilvl w:val="0"/>
          <w:numId w:val="22"/>
        </w:numPr>
        <w:suppressAutoHyphens/>
        <w:spacing w:after="120"/>
        <w:ind w:left="567" w:hanging="283"/>
        <w:contextualSpacing w:val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 w:eastAsia="hi-IN" w:bidi="hi-IN"/>
        </w:rPr>
        <w:t>V</w:t>
      </w:r>
      <w:r w:rsidR="00DF2F00" w:rsidRPr="0016696F">
        <w:rPr>
          <w:rFonts w:ascii="Arial" w:hAnsi="Arial" w:cs="Arial"/>
          <w:sz w:val="22"/>
          <w:lang w:val="cs-CZ" w:eastAsia="hi-IN" w:bidi="hi-IN"/>
        </w:rPr>
        <w:t xml:space="preserve"> případě částky ve výši 26 187 232 292,09 Kč vykázané na účtu 571 – </w:t>
      </w:r>
      <w:r w:rsidR="00DF2F00" w:rsidRPr="0016696F">
        <w:rPr>
          <w:rFonts w:ascii="Arial" w:hAnsi="Arial" w:cs="Arial"/>
          <w:bCs/>
          <w:i/>
          <w:color w:val="000000"/>
          <w:sz w:val="22"/>
          <w:lang w:val="cs-CZ" w:eastAsia="cs-CZ"/>
        </w:rPr>
        <w:t>Náklady vybraných ústředních vládních institucí na transfery</w:t>
      </w:r>
      <w:r w:rsidR="00DF2F00" w:rsidRPr="0016696F">
        <w:rPr>
          <w:rFonts w:ascii="Arial" w:hAnsi="Arial" w:cs="Arial"/>
          <w:sz w:val="22"/>
          <w:lang w:val="cs-CZ"/>
        </w:rPr>
        <w:t xml:space="preserve"> ve </w:t>
      </w:r>
      <w:r>
        <w:rPr>
          <w:rFonts w:ascii="Arial" w:hAnsi="Arial" w:cs="Arial"/>
          <w:sz w:val="22"/>
          <w:lang w:val="cs-CZ"/>
        </w:rPr>
        <w:t>v</w:t>
      </w:r>
      <w:r w:rsidR="00DF2F00" w:rsidRPr="0016696F">
        <w:rPr>
          <w:rFonts w:ascii="Arial" w:hAnsi="Arial" w:cs="Arial"/>
          <w:sz w:val="22"/>
          <w:lang w:val="cs-CZ"/>
        </w:rPr>
        <w:t xml:space="preserve">ýkazu zisku a ztráty </w:t>
      </w:r>
      <w:r w:rsidR="00CA29D9">
        <w:rPr>
          <w:rFonts w:ascii="Arial" w:hAnsi="Arial" w:cs="Arial"/>
          <w:sz w:val="22"/>
          <w:lang w:val="cs-CZ"/>
        </w:rPr>
        <w:t>k 31. 12. </w:t>
      </w:r>
      <w:r w:rsidR="00DF2F00" w:rsidRPr="0016696F">
        <w:rPr>
          <w:rFonts w:ascii="Arial" w:hAnsi="Arial" w:cs="Arial"/>
          <w:sz w:val="22"/>
          <w:lang w:val="cs-CZ"/>
        </w:rPr>
        <w:t xml:space="preserve">2013 v údajích za období běžné se </w:t>
      </w:r>
      <w:r>
        <w:rPr>
          <w:rFonts w:ascii="Arial" w:hAnsi="Arial" w:cs="Arial"/>
          <w:sz w:val="22"/>
          <w:lang w:val="cs-CZ"/>
        </w:rPr>
        <w:t xml:space="preserve">NKÚ </w:t>
      </w:r>
      <w:r w:rsidR="00DF2F00" w:rsidRPr="0016696F">
        <w:rPr>
          <w:rFonts w:ascii="Arial" w:hAnsi="Arial" w:cs="Arial"/>
          <w:sz w:val="22"/>
          <w:lang w:val="cs-CZ" w:eastAsia="hi-IN" w:bidi="hi-IN"/>
        </w:rPr>
        <w:t xml:space="preserve">nevyjadřuje k tomu, zda zůstatek tohoto účtu není podhodnocen o </w:t>
      </w:r>
      <w:r w:rsidR="00DF2F00" w:rsidRPr="0016696F">
        <w:rPr>
          <w:rFonts w:ascii="Arial" w:hAnsi="Arial" w:cs="Arial"/>
          <w:bCs/>
          <w:color w:val="000000"/>
          <w:sz w:val="22"/>
          <w:lang w:val="cs-CZ" w:eastAsia="cs-CZ"/>
        </w:rPr>
        <w:t>5 587 364 965,79 Kč</w:t>
      </w:r>
      <w:r w:rsidR="00E609AF" w:rsidRPr="0016696F">
        <w:rPr>
          <w:rStyle w:val="Znakapoznpodarou"/>
          <w:rFonts w:ascii="Arial" w:hAnsi="Arial" w:cs="Arial"/>
          <w:bCs/>
          <w:color w:val="000000"/>
          <w:sz w:val="22"/>
          <w:lang w:val="cs-CZ" w:eastAsia="cs-CZ"/>
        </w:rPr>
        <w:footnoteReference w:id="2"/>
      </w:r>
      <w:r w:rsidR="00DF2F00" w:rsidRPr="0016696F">
        <w:rPr>
          <w:rFonts w:ascii="Arial" w:hAnsi="Arial" w:cs="Arial"/>
          <w:bCs/>
          <w:color w:val="000000"/>
          <w:sz w:val="22"/>
          <w:lang w:val="cs-CZ" w:eastAsia="cs-CZ"/>
        </w:rPr>
        <w:t>.</w:t>
      </w:r>
    </w:p>
    <w:p w:rsidR="009A7313" w:rsidRDefault="009A7313">
      <w:pPr>
        <w:jc w:val="left"/>
        <w:rPr>
          <w:rFonts w:ascii="Arial" w:hAnsi="Arial" w:cs="Arial"/>
          <w:b/>
          <w:color w:val="000000"/>
          <w:sz w:val="22"/>
          <w:lang w:eastAsia="cs-CZ"/>
        </w:rPr>
      </w:pPr>
      <w:r>
        <w:rPr>
          <w:b/>
          <w:color w:val="000000"/>
          <w:sz w:val="22"/>
        </w:rPr>
        <w:br w:type="page"/>
      </w:r>
    </w:p>
    <w:p w:rsidR="00872264" w:rsidRPr="0016696F" w:rsidRDefault="00872264" w:rsidP="00300D1C">
      <w:pPr>
        <w:pStyle w:val="Pa10"/>
        <w:spacing w:after="120"/>
        <w:jc w:val="both"/>
        <w:rPr>
          <w:b/>
          <w:color w:val="000000"/>
          <w:sz w:val="22"/>
          <w:szCs w:val="22"/>
        </w:rPr>
      </w:pPr>
      <w:r w:rsidRPr="0016696F">
        <w:rPr>
          <w:b/>
          <w:color w:val="000000"/>
          <w:sz w:val="22"/>
          <w:szCs w:val="22"/>
        </w:rPr>
        <w:lastRenderedPageBreak/>
        <w:t>1.1.2 Přehled o změnách vlastního kapitálu</w:t>
      </w:r>
    </w:p>
    <w:p w:rsidR="00D26C87" w:rsidRDefault="00E1015A" w:rsidP="00FC6B79">
      <w:pPr>
        <w:rPr>
          <w:rFonts w:ascii="Arial" w:hAnsi="Arial" w:cs="Arial"/>
          <w:sz w:val="22"/>
        </w:rPr>
      </w:pPr>
      <w:r w:rsidRPr="0016696F">
        <w:rPr>
          <w:rFonts w:ascii="Arial" w:hAnsi="Arial" w:cs="Arial"/>
          <w:sz w:val="22"/>
        </w:rPr>
        <w:t>V</w:t>
      </w:r>
      <w:r w:rsidR="00872264" w:rsidRPr="0016696F">
        <w:rPr>
          <w:rFonts w:ascii="Arial" w:hAnsi="Arial" w:cs="Arial"/>
          <w:sz w:val="22"/>
        </w:rPr>
        <w:t>yhlášk</w:t>
      </w:r>
      <w:r w:rsidRPr="0016696F">
        <w:rPr>
          <w:rFonts w:ascii="Arial" w:hAnsi="Arial" w:cs="Arial"/>
          <w:sz w:val="22"/>
        </w:rPr>
        <w:t>a</w:t>
      </w:r>
      <w:r w:rsidR="00872264" w:rsidRPr="0016696F">
        <w:rPr>
          <w:rFonts w:ascii="Arial" w:hAnsi="Arial" w:cs="Arial"/>
          <w:sz w:val="22"/>
        </w:rPr>
        <w:t xml:space="preserve"> č. 410/2009 Sb. </w:t>
      </w:r>
      <w:r w:rsidRPr="0016696F">
        <w:rPr>
          <w:rFonts w:ascii="Arial" w:hAnsi="Arial" w:cs="Arial"/>
          <w:sz w:val="22"/>
        </w:rPr>
        <w:t xml:space="preserve">neupravuje jasně a jednoznačně způsob </w:t>
      </w:r>
      <w:r w:rsidR="00872264" w:rsidRPr="0016696F">
        <w:rPr>
          <w:rFonts w:ascii="Arial" w:hAnsi="Arial" w:cs="Arial"/>
          <w:sz w:val="22"/>
        </w:rPr>
        <w:t>naplnění údajů o „zvýšení stavu“ či „snížení stavu“ položek B. a D. přehledu o změnách vlastního kapitálu</w:t>
      </w:r>
      <w:r w:rsidRPr="0016696F">
        <w:rPr>
          <w:rFonts w:ascii="Arial" w:hAnsi="Arial" w:cs="Arial"/>
          <w:sz w:val="22"/>
        </w:rPr>
        <w:t>.</w:t>
      </w:r>
    </w:p>
    <w:p w:rsidR="007A4D8F" w:rsidRPr="0016696F" w:rsidRDefault="007A4D8F" w:rsidP="00FC6B79">
      <w:pPr>
        <w:rPr>
          <w:rFonts w:ascii="Arial" w:hAnsi="Arial" w:cs="Arial"/>
          <w:sz w:val="22"/>
        </w:rPr>
      </w:pPr>
    </w:p>
    <w:p w:rsidR="00E1015A" w:rsidRDefault="00D26C87" w:rsidP="00FC6B79">
      <w:pPr>
        <w:rPr>
          <w:rFonts w:ascii="Arial" w:hAnsi="Arial" w:cs="Arial"/>
          <w:sz w:val="22"/>
        </w:rPr>
      </w:pPr>
      <w:r w:rsidRPr="0016696F">
        <w:rPr>
          <w:rFonts w:ascii="Arial" w:hAnsi="Arial" w:cs="Arial"/>
          <w:sz w:val="22"/>
        </w:rPr>
        <w:t xml:space="preserve">MD v případě položky </w:t>
      </w:r>
      <w:r w:rsidRPr="00FC6B79">
        <w:rPr>
          <w:rFonts w:ascii="Arial" w:hAnsi="Arial" w:cs="Arial"/>
          <w:sz w:val="22"/>
        </w:rPr>
        <w:t>B.</w:t>
      </w:r>
      <w:r w:rsidRPr="0016696F">
        <w:rPr>
          <w:rFonts w:ascii="Arial" w:hAnsi="Arial" w:cs="Arial"/>
          <w:i/>
          <w:sz w:val="22"/>
        </w:rPr>
        <w:t xml:space="preserve"> Fondy účetní jednotky</w:t>
      </w:r>
      <w:r w:rsidRPr="0016696F">
        <w:rPr>
          <w:rFonts w:ascii="Arial" w:hAnsi="Arial" w:cs="Arial"/>
          <w:sz w:val="22"/>
        </w:rPr>
        <w:t xml:space="preserve"> zachytilo „snížení“ a současně i „zvýšení“ této položky </w:t>
      </w:r>
      <w:r w:rsidRPr="00FC6B79">
        <w:rPr>
          <w:rFonts w:ascii="Arial" w:hAnsi="Arial" w:cs="Arial"/>
          <w:b/>
          <w:sz w:val="22"/>
        </w:rPr>
        <w:t>ve výši obratů</w:t>
      </w:r>
      <w:r w:rsidRPr="0016696F">
        <w:rPr>
          <w:rFonts w:ascii="Arial" w:hAnsi="Arial" w:cs="Arial"/>
          <w:sz w:val="22"/>
        </w:rPr>
        <w:t xml:space="preserve"> různých </w:t>
      </w:r>
      <w:r w:rsidR="00E1015A" w:rsidRPr="0016696F">
        <w:rPr>
          <w:rFonts w:ascii="Arial" w:hAnsi="Arial" w:cs="Arial"/>
          <w:sz w:val="22"/>
        </w:rPr>
        <w:t xml:space="preserve">relevantních </w:t>
      </w:r>
      <w:r w:rsidRPr="0016696F">
        <w:rPr>
          <w:rFonts w:ascii="Arial" w:hAnsi="Arial" w:cs="Arial"/>
          <w:sz w:val="22"/>
        </w:rPr>
        <w:t xml:space="preserve">syntetických účtů, avšak v případě položky </w:t>
      </w:r>
      <w:r w:rsidRPr="00FC6B79">
        <w:rPr>
          <w:rFonts w:ascii="Arial" w:hAnsi="Arial" w:cs="Arial"/>
          <w:sz w:val="22"/>
        </w:rPr>
        <w:t>D.</w:t>
      </w:r>
      <w:r w:rsidRPr="0016696F">
        <w:rPr>
          <w:rFonts w:ascii="Arial" w:hAnsi="Arial" w:cs="Arial"/>
          <w:i/>
          <w:sz w:val="22"/>
        </w:rPr>
        <w:t xml:space="preserve"> Příjmový a výdajový účet rozpočtového hospodaření </w:t>
      </w:r>
      <w:r w:rsidRPr="0016696F">
        <w:rPr>
          <w:rFonts w:ascii="Arial" w:hAnsi="Arial" w:cs="Arial"/>
          <w:sz w:val="22"/>
        </w:rPr>
        <w:t>vykázalo MD jen</w:t>
      </w:r>
      <w:r w:rsidRPr="00FC6B79">
        <w:rPr>
          <w:rFonts w:ascii="Arial" w:hAnsi="Arial" w:cs="Arial"/>
          <w:sz w:val="22"/>
        </w:rPr>
        <w:t xml:space="preserve"> </w:t>
      </w:r>
      <w:r w:rsidRPr="00FC6B79">
        <w:rPr>
          <w:rFonts w:ascii="Arial" w:hAnsi="Arial" w:cs="Arial"/>
          <w:b/>
          <w:sz w:val="22"/>
        </w:rPr>
        <w:t xml:space="preserve">výslednou změnu celkové výše </w:t>
      </w:r>
      <w:r w:rsidR="00E1015A" w:rsidRPr="00FC6B79">
        <w:rPr>
          <w:rFonts w:ascii="Arial" w:hAnsi="Arial" w:cs="Arial"/>
          <w:b/>
          <w:sz w:val="22"/>
        </w:rPr>
        <w:t xml:space="preserve">relevantních </w:t>
      </w:r>
      <w:r w:rsidRPr="00FC6B79">
        <w:rPr>
          <w:rFonts w:ascii="Arial" w:hAnsi="Arial" w:cs="Arial"/>
          <w:b/>
          <w:sz w:val="22"/>
        </w:rPr>
        <w:t>položek</w:t>
      </w:r>
      <w:r w:rsidR="00796230">
        <w:rPr>
          <w:rFonts w:ascii="Arial" w:hAnsi="Arial" w:cs="Arial"/>
          <w:b/>
          <w:sz w:val="22"/>
        </w:rPr>
        <w:t>,</w:t>
      </w:r>
      <w:r w:rsidRPr="0016696F">
        <w:rPr>
          <w:rFonts w:ascii="Arial" w:hAnsi="Arial" w:cs="Arial"/>
          <w:sz w:val="22"/>
        </w:rPr>
        <w:t xml:space="preserve"> nikoliv výši obratů účtů tvořících </w:t>
      </w:r>
      <w:r w:rsidR="00E1015A" w:rsidRPr="0016696F">
        <w:rPr>
          <w:rFonts w:ascii="Arial" w:hAnsi="Arial" w:cs="Arial"/>
          <w:sz w:val="22"/>
        </w:rPr>
        <w:t>jejich zůstatek.</w:t>
      </w:r>
      <w:r w:rsidR="008E7146" w:rsidRPr="0016696F">
        <w:rPr>
          <w:rFonts w:ascii="Arial" w:hAnsi="Arial" w:cs="Arial"/>
          <w:sz w:val="22"/>
        </w:rPr>
        <w:t xml:space="preserve"> </w:t>
      </w:r>
      <w:r w:rsidR="00E1015A" w:rsidRPr="0016696F">
        <w:rPr>
          <w:rFonts w:ascii="Arial" w:hAnsi="Arial" w:cs="Arial"/>
          <w:sz w:val="22"/>
        </w:rPr>
        <w:t>P</w:t>
      </w:r>
      <w:r w:rsidRPr="0016696F">
        <w:rPr>
          <w:rFonts w:ascii="Arial" w:hAnsi="Arial" w:cs="Arial"/>
          <w:sz w:val="22"/>
        </w:rPr>
        <w:t>oložky B. i D. přitom mají dle § 44 odst. 11 vyhlášky č. 410/2009 Sb. stanoveno stejné vymezení pro naplnění položek „zvýšení stavu“ a „snížení stavu“.</w:t>
      </w:r>
    </w:p>
    <w:p w:rsidR="007A4D8F" w:rsidRPr="0016696F" w:rsidRDefault="007A4D8F" w:rsidP="00FC6B79">
      <w:pPr>
        <w:rPr>
          <w:rFonts w:ascii="Arial" w:hAnsi="Arial" w:cs="Arial"/>
          <w:sz w:val="22"/>
        </w:rPr>
      </w:pPr>
    </w:p>
    <w:p w:rsidR="008D2631" w:rsidRPr="0016696F" w:rsidRDefault="008E7146" w:rsidP="00FC6B79">
      <w:pPr>
        <w:rPr>
          <w:rFonts w:ascii="Arial" w:hAnsi="Arial" w:cs="Arial"/>
          <w:sz w:val="22"/>
        </w:rPr>
      </w:pPr>
      <w:r w:rsidRPr="0016696F">
        <w:rPr>
          <w:rFonts w:ascii="Arial" w:hAnsi="Arial" w:cs="Arial"/>
          <w:sz w:val="22"/>
        </w:rPr>
        <w:t>Z</w:t>
      </w:r>
      <w:r w:rsidR="00D26C87" w:rsidRPr="0016696F">
        <w:rPr>
          <w:rFonts w:ascii="Arial" w:hAnsi="Arial" w:cs="Arial"/>
          <w:sz w:val="22"/>
        </w:rPr>
        <w:t> ustanovení § 44 odst. 11 vyhlášky č. 410/2009 Sb. nelze jednoznačně vyvodit, jakým konkrétním způsobem má účetní jednotka postupovat při naplňování údajů položek B. a D.</w:t>
      </w:r>
      <w:r w:rsidR="003174AD">
        <w:rPr>
          <w:rFonts w:ascii="Arial" w:hAnsi="Arial" w:cs="Arial"/>
          <w:sz w:val="22"/>
        </w:rPr>
        <w:t xml:space="preserve"> </w:t>
      </w:r>
      <w:r w:rsidR="00D26C87" w:rsidRPr="0016696F">
        <w:rPr>
          <w:rFonts w:ascii="Arial" w:hAnsi="Arial" w:cs="Arial"/>
          <w:sz w:val="22"/>
        </w:rPr>
        <w:t xml:space="preserve">týkajících se </w:t>
      </w:r>
      <w:r w:rsidR="008D2631" w:rsidRPr="0016696F">
        <w:rPr>
          <w:rFonts w:ascii="Arial" w:hAnsi="Arial" w:cs="Arial"/>
          <w:sz w:val="22"/>
        </w:rPr>
        <w:t xml:space="preserve">vykázání </w:t>
      </w:r>
      <w:r w:rsidR="00D26C87" w:rsidRPr="0016696F">
        <w:rPr>
          <w:rFonts w:ascii="Arial" w:hAnsi="Arial" w:cs="Arial"/>
          <w:sz w:val="22"/>
        </w:rPr>
        <w:t>výše „snížení“ a „zvýšení“ stavu.</w:t>
      </w:r>
      <w:r w:rsidR="00E1015A" w:rsidRPr="0016696F">
        <w:rPr>
          <w:rFonts w:ascii="Arial" w:hAnsi="Arial" w:cs="Arial"/>
          <w:sz w:val="22"/>
        </w:rPr>
        <w:t xml:space="preserve"> </w:t>
      </w:r>
    </w:p>
    <w:p w:rsidR="00A6541C" w:rsidRPr="0016696F" w:rsidRDefault="00A6541C" w:rsidP="00FC6B79">
      <w:pPr>
        <w:rPr>
          <w:rFonts w:ascii="Arial" w:hAnsi="Arial" w:cs="Arial"/>
          <w:b/>
          <w:sz w:val="22"/>
        </w:rPr>
      </w:pPr>
    </w:p>
    <w:p w:rsidR="000F05C2" w:rsidRPr="0016696F" w:rsidRDefault="000F05C2" w:rsidP="00FC6B79">
      <w:pPr>
        <w:rPr>
          <w:rFonts w:ascii="Arial" w:hAnsi="Arial" w:cs="Arial"/>
          <w:b/>
          <w:sz w:val="22"/>
        </w:rPr>
      </w:pPr>
      <w:r w:rsidRPr="0016696F">
        <w:rPr>
          <w:rFonts w:ascii="Arial" w:hAnsi="Arial" w:cs="Arial"/>
          <w:b/>
          <w:sz w:val="22"/>
        </w:rPr>
        <w:t xml:space="preserve">1.2 </w:t>
      </w:r>
      <w:r w:rsidR="00EB0A86" w:rsidRPr="0016696F">
        <w:rPr>
          <w:rFonts w:ascii="Arial" w:hAnsi="Arial" w:cs="Arial"/>
          <w:b/>
          <w:sz w:val="22"/>
        </w:rPr>
        <w:t>V</w:t>
      </w:r>
      <w:r w:rsidRPr="0016696F">
        <w:rPr>
          <w:rFonts w:ascii="Arial" w:hAnsi="Arial" w:cs="Arial"/>
          <w:b/>
          <w:sz w:val="22"/>
        </w:rPr>
        <w:t>edení účetnictví MD</w:t>
      </w:r>
      <w:r w:rsidR="00250C28" w:rsidRPr="0016696F">
        <w:rPr>
          <w:rFonts w:ascii="Arial" w:hAnsi="Arial" w:cs="Arial"/>
          <w:b/>
          <w:sz w:val="22"/>
        </w:rPr>
        <w:t xml:space="preserve"> a nesprávnosti v ÚZ</w:t>
      </w:r>
    </w:p>
    <w:p w:rsidR="007A4D8F" w:rsidRDefault="007A4D8F" w:rsidP="00FC6B79">
      <w:pPr>
        <w:pStyle w:val="Pa10"/>
        <w:jc w:val="both"/>
        <w:rPr>
          <w:b/>
          <w:color w:val="000000"/>
          <w:sz w:val="22"/>
          <w:szCs w:val="22"/>
        </w:rPr>
      </w:pPr>
    </w:p>
    <w:p w:rsidR="000F05C2" w:rsidRPr="0016696F" w:rsidRDefault="000F05C2" w:rsidP="00300D1C">
      <w:pPr>
        <w:pStyle w:val="Pa10"/>
        <w:spacing w:after="120"/>
        <w:jc w:val="both"/>
        <w:rPr>
          <w:b/>
          <w:color w:val="000000"/>
          <w:sz w:val="22"/>
          <w:szCs w:val="22"/>
        </w:rPr>
      </w:pPr>
      <w:r w:rsidRPr="0016696F">
        <w:rPr>
          <w:b/>
          <w:color w:val="000000"/>
          <w:sz w:val="22"/>
          <w:szCs w:val="22"/>
        </w:rPr>
        <w:t>1.2.</w:t>
      </w:r>
      <w:r w:rsidR="008E7146" w:rsidRPr="0016696F">
        <w:rPr>
          <w:b/>
          <w:color w:val="000000"/>
          <w:sz w:val="22"/>
          <w:szCs w:val="22"/>
        </w:rPr>
        <w:t>1</w:t>
      </w:r>
      <w:r w:rsidRPr="0016696F">
        <w:rPr>
          <w:b/>
          <w:color w:val="000000"/>
          <w:sz w:val="22"/>
          <w:szCs w:val="22"/>
        </w:rPr>
        <w:t xml:space="preserve"> P</w:t>
      </w:r>
      <w:r w:rsidR="00247C17" w:rsidRPr="0016696F">
        <w:rPr>
          <w:b/>
          <w:color w:val="000000"/>
          <w:sz w:val="22"/>
          <w:szCs w:val="22"/>
        </w:rPr>
        <w:t>rokázání vykázaných údajů</w:t>
      </w:r>
      <w:r w:rsidRPr="0016696F">
        <w:rPr>
          <w:b/>
          <w:color w:val="000000"/>
          <w:sz w:val="22"/>
          <w:szCs w:val="22"/>
        </w:rPr>
        <w:t xml:space="preserve"> </w:t>
      </w:r>
      <w:r w:rsidR="009B0B52" w:rsidRPr="0016696F">
        <w:rPr>
          <w:b/>
          <w:color w:val="000000"/>
          <w:sz w:val="22"/>
          <w:szCs w:val="22"/>
        </w:rPr>
        <w:t xml:space="preserve">– </w:t>
      </w:r>
      <w:r w:rsidR="00E331FA" w:rsidRPr="0016696F">
        <w:rPr>
          <w:b/>
          <w:color w:val="000000"/>
          <w:sz w:val="22"/>
          <w:szCs w:val="22"/>
        </w:rPr>
        <w:t>průkaznost vedení účetnictví</w:t>
      </w:r>
    </w:p>
    <w:p w:rsidR="00E331FA" w:rsidRPr="009A7313" w:rsidRDefault="00E331FA" w:rsidP="00FC6B79">
      <w:pPr>
        <w:rPr>
          <w:rFonts w:ascii="Arial" w:hAnsi="Arial" w:cs="Arial"/>
          <w:sz w:val="22"/>
        </w:rPr>
      </w:pPr>
      <w:r w:rsidRPr="0016696F">
        <w:rPr>
          <w:rFonts w:ascii="Arial" w:hAnsi="Arial" w:cs="Arial"/>
          <w:sz w:val="22"/>
        </w:rPr>
        <w:t xml:space="preserve">Významným problémem při vedení účetnictví a jeho kontrole ze strany NKÚ se stalo </w:t>
      </w:r>
      <w:r w:rsidRPr="009A7313">
        <w:rPr>
          <w:rFonts w:ascii="Arial" w:hAnsi="Arial" w:cs="Arial"/>
          <w:sz w:val="22"/>
        </w:rPr>
        <w:t xml:space="preserve">prokázání správnosti a úplnosti některých údajů, </w:t>
      </w:r>
      <w:r w:rsidR="004D65E5">
        <w:rPr>
          <w:rFonts w:ascii="Arial" w:hAnsi="Arial" w:cs="Arial"/>
          <w:sz w:val="22"/>
        </w:rPr>
        <w:t xml:space="preserve">a to </w:t>
      </w:r>
      <w:r w:rsidRPr="009A7313">
        <w:rPr>
          <w:rFonts w:ascii="Arial" w:hAnsi="Arial" w:cs="Arial"/>
          <w:sz w:val="22"/>
        </w:rPr>
        <w:t xml:space="preserve">zejména </w:t>
      </w:r>
      <w:r w:rsidR="004D65E5">
        <w:rPr>
          <w:rFonts w:ascii="Arial" w:hAnsi="Arial" w:cs="Arial"/>
          <w:sz w:val="22"/>
        </w:rPr>
        <w:t>z toho důvodu</w:t>
      </w:r>
      <w:r w:rsidRPr="009A7313">
        <w:rPr>
          <w:rFonts w:ascii="Arial" w:hAnsi="Arial" w:cs="Arial"/>
          <w:sz w:val="22"/>
        </w:rPr>
        <w:t xml:space="preserve">, že MD </w:t>
      </w:r>
      <w:r w:rsidR="009B0B52" w:rsidRPr="009A7313">
        <w:rPr>
          <w:rFonts w:ascii="Arial" w:hAnsi="Arial" w:cs="Arial"/>
          <w:sz w:val="22"/>
        </w:rPr>
        <w:t xml:space="preserve">v době před koncem kontroly </w:t>
      </w:r>
      <w:r w:rsidRPr="009A7313">
        <w:rPr>
          <w:rFonts w:ascii="Arial" w:hAnsi="Arial" w:cs="Arial"/>
          <w:sz w:val="22"/>
        </w:rPr>
        <w:t xml:space="preserve">provádělo </w:t>
      </w:r>
      <w:r w:rsidR="00A702F9" w:rsidRPr="009A7313">
        <w:rPr>
          <w:rFonts w:ascii="Arial" w:hAnsi="Arial" w:cs="Arial"/>
          <w:sz w:val="22"/>
        </w:rPr>
        <w:t xml:space="preserve">ve významném rozsahu </w:t>
      </w:r>
      <w:r w:rsidRPr="009A7313">
        <w:rPr>
          <w:rFonts w:ascii="Arial" w:hAnsi="Arial" w:cs="Arial"/>
          <w:sz w:val="22"/>
        </w:rPr>
        <w:t xml:space="preserve">opravy údajů o vykázaných prostředcích </w:t>
      </w:r>
      <w:r w:rsidRPr="009A7313">
        <w:rPr>
          <w:rFonts w:ascii="Arial" w:hAnsi="Arial" w:cs="Arial"/>
          <w:bCs/>
          <w:sz w:val="22"/>
          <w:lang w:eastAsia="cs-CZ"/>
        </w:rPr>
        <w:t>z nástrojů spolufinancovaných ze zahraničí</w:t>
      </w:r>
      <w:r w:rsidRPr="009A7313">
        <w:rPr>
          <w:rFonts w:ascii="Arial" w:hAnsi="Arial" w:cs="Arial"/>
          <w:sz w:val="22"/>
        </w:rPr>
        <w:t xml:space="preserve">. Další problémy </w:t>
      </w:r>
      <w:r w:rsidR="00100B3B" w:rsidRPr="009A7313">
        <w:rPr>
          <w:rFonts w:ascii="Arial" w:hAnsi="Arial" w:cs="Arial"/>
          <w:sz w:val="22"/>
        </w:rPr>
        <w:t>související se zajištěním</w:t>
      </w:r>
      <w:r w:rsidRPr="009A7313">
        <w:rPr>
          <w:rFonts w:ascii="Arial" w:hAnsi="Arial" w:cs="Arial"/>
          <w:sz w:val="22"/>
        </w:rPr>
        <w:t xml:space="preserve"> průkaznosti vedení účetnictví se vyskytly zejména v případě prokázání existence majetku, kdy se </w:t>
      </w:r>
      <w:r w:rsidR="00EC52D8">
        <w:rPr>
          <w:rFonts w:ascii="Arial" w:hAnsi="Arial" w:cs="Arial"/>
          <w:sz w:val="22"/>
        </w:rPr>
        <w:t>Ministerstvu dopravy</w:t>
      </w:r>
      <w:r w:rsidRPr="009A7313">
        <w:rPr>
          <w:rFonts w:ascii="Arial" w:hAnsi="Arial" w:cs="Arial"/>
          <w:sz w:val="22"/>
        </w:rPr>
        <w:t xml:space="preserve"> v posledních třech letech opakovaně nedaří při inventarizaci </w:t>
      </w:r>
      <w:r w:rsidR="009B0B52" w:rsidRPr="009A7313">
        <w:rPr>
          <w:rFonts w:ascii="Arial" w:hAnsi="Arial" w:cs="Arial"/>
          <w:sz w:val="22"/>
        </w:rPr>
        <w:t xml:space="preserve">nalézt </w:t>
      </w:r>
      <w:r w:rsidRPr="009A7313">
        <w:rPr>
          <w:rFonts w:ascii="Arial" w:hAnsi="Arial" w:cs="Arial"/>
          <w:sz w:val="22"/>
        </w:rPr>
        <w:t>majetek v řádu až desítek milionů Kč.</w:t>
      </w:r>
    </w:p>
    <w:p w:rsidR="009A7313" w:rsidRPr="0016696F" w:rsidRDefault="009A7313" w:rsidP="00FC6B79">
      <w:pPr>
        <w:rPr>
          <w:rFonts w:ascii="Arial" w:hAnsi="Arial" w:cs="Arial"/>
          <w:sz w:val="22"/>
        </w:rPr>
      </w:pPr>
    </w:p>
    <w:p w:rsidR="000F05C2" w:rsidRPr="00D16CE6" w:rsidRDefault="008E7146" w:rsidP="00300D1C">
      <w:pPr>
        <w:pStyle w:val="Default"/>
        <w:spacing w:after="120"/>
        <w:rPr>
          <w:rFonts w:ascii="Arial" w:hAnsi="Arial" w:cs="Arial"/>
          <w:b/>
          <w:bCs/>
          <w:i/>
          <w:sz w:val="22"/>
          <w:szCs w:val="22"/>
          <w:lang w:eastAsia="cs-CZ"/>
        </w:rPr>
      </w:pPr>
      <w:r w:rsidRPr="00D16CE6">
        <w:rPr>
          <w:rFonts w:ascii="Arial" w:hAnsi="Arial" w:cs="Arial"/>
          <w:b/>
          <w:bCs/>
          <w:i/>
          <w:sz w:val="22"/>
          <w:szCs w:val="22"/>
          <w:lang w:eastAsia="cs-CZ"/>
        </w:rPr>
        <w:t>Závazky z nástrojů spolufinancovaných ze zahr</w:t>
      </w:r>
      <w:r w:rsidR="008D53F3" w:rsidRPr="00D16CE6">
        <w:rPr>
          <w:rFonts w:ascii="Arial" w:hAnsi="Arial" w:cs="Arial"/>
          <w:b/>
          <w:bCs/>
          <w:i/>
          <w:sz w:val="22"/>
          <w:szCs w:val="22"/>
          <w:lang w:eastAsia="cs-CZ"/>
        </w:rPr>
        <w:t>a</w:t>
      </w:r>
      <w:r w:rsidRPr="00D16CE6">
        <w:rPr>
          <w:rFonts w:ascii="Arial" w:hAnsi="Arial" w:cs="Arial"/>
          <w:b/>
          <w:bCs/>
          <w:i/>
          <w:sz w:val="22"/>
          <w:szCs w:val="22"/>
          <w:lang w:eastAsia="cs-CZ"/>
        </w:rPr>
        <w:t>ničí</w:t>
      </w:r>
    </w:p>
    <w:p w:rsidR="00686C22" w:rsidRDefault="00686C22" w:rsidP="00FC6B79">
      <w:pPr>
        <w:rPr>
          <w:rFonts w:ascii="Arial" w:hAnsi="Arial" w:cs="Arial"/>
          <w:sz w:val="22"/>
        </w:rPr>
      </w:pPr>
      <w:r w:rsidRPr="0016696F">
        <w:rPr>
          <w:rFonts w:ascii="Arial" w:hAnsi="Arial" w:cs="Arial"/>
          <w:sz w:val="22"/>
        </w:rPr>
        <w:t>MD k 31. 12. 2013 vykázalo zůstatek na účtu 372 –</w:t>
      </w:r>
      <w:r w:rsidRPr="0016696F">
        <w:rPr>
          <w:rFonts w:ascii="Arial" w:hAnsi="Arial" w:cs="Arial"/>
          <w:bCs/>
          <w:i/>
          <w:color w:val="000000"/>
          <w:sz w:val="22"/>
          <w:lang w:eastAsia="cs-CZ"/>
        </w:rPr>
        <w:t xml:space="preserve"> Krátkodobé závazky z nástrojů spolufinancovaných ze zahraničí </w:t>
      </w:r>
      <w:r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v záporné výši více než 10 mld. </w:t>
      </w:r>
      <w:r w:rsidR="00996C20">
        <w:rPr>
          <w:rFonts w:ascii="Arial" w:hAnsi="Arial" w:cs="Arial"/>
          <w:sz w:val="22"/>
        </w:rPr>
        <w:t>Kč na základě údajů z </w:t>
      </w:r>
      <w:r w:rsidRPr="0016696F">
        <w:rPr>
          <w:rFonts w:ascii="Arial" w:hAnsi="Arial" w:cs="Arial"/>
          <w:sz w:val="22"/>
        </w:rPr>
        <w:t>modelu, který si pro vyčíslení výše zůstatku sestavilo</w:t>
      </w:r>
      <w:r w:rsidR="005E51FB" w:rsidRPr="0016696F">
        <w:rPr>
          <w:rFonts w:ascii="Arial" w:hAnsi="Arial" w:cs="Arial"/>
          <w:sz w:val="22"/>
        </w:rPr>
        <w:t>.</w:t>
      </w:r>
      <w:r w:rsidRPr="0016696F">
        <w:rPr>
          <w:rFonts w:ascii="Arial" w:hAnsi="Arial" w:cs="Arial"/>
          <w:sz w:val="22"/>
        </w:rPr>
        <w:t xml:space="preserve"> Použitý model se týkal vyčíslení možného nároku z</w:t>
      </w:r>
      <w:r w:rsidR="00996C20">
        <w:rPr>
          <w:rFonts w:ascii="Arial" w:hAnsi="Arial" w:cs="Arial"/>
          <w:sz w:val="22"/>
        </w:rPr>
        <w:t> </w:t>
      </w:r>
      <w:r w:rsidRPr="0016696F">
        <w:rPr>
          <w:rFonts w:ascii="Arial" w:hAnsi="Arial" w:cs="Arial"/>
          <w:sz w:val="22"/>
        </w:rPr>
        <w:t>předfinancování pro</w:t>
      </w:r>
      <w:r w:rsidRPr="00951245">
        <w:rPr>
          <w:rFonts w:ascii="Arial" w:hAnsi="Arial" w:cs="Arial"/>
          <w:sz w:val="22"/>
        </w:rPr>
        <w:t>středků ze zahraničí, zejména O</w:t>
      </w:r>
      <w:r w:rsidR="005E51FB">
        <w:rPr>
          <w:rFonts w:ascii="Arial" w:hAnsi="Arial" w:cs="Arial"/>
          <w:sz w:val="22"/>
        </w:rPr>
        <w:t>PD</w:t>
      </w:r>
      <w:r w:rsidRPr="00951245">
        <w:rPr>
          <w:rFonts w:ascii="Arial" w:hAnsi="Arial" w:cs="Arial"/>
          <w:sz w:val="22"/>
        </w:rPr>
        <w:t>.</w:t>
      </w:r>
    </w:p>
    <w:p w:rsidR="007A4D8F" w:rsidRPr="00951245" w:rsidRDefault="007A4D8F" w:rsidP="00FC6B79">
      <w:pPr>
        <w:rPr>
          <w:rFonts w:ascii="Arial" w:hAnsi="Arial" w:cs="Arial"/>
          <w:sz w:val="22"/>
        </w:rPr>
      </w:pPr>
    </w:p>
    <w:p w:rsidR="00686C22" w:rsidRPr="0016696F" w:rsidRDefault="00686C22" w:rsidP="00FC6B79">
      <w:pPr>
        <w:rPr>
          <w:rFonts w:ascii="Arial" w:hAnsi="Arial" w:cs="Arial"/>
          <w:bCs/>
          <w:color w:val="000000"/>
          <w:sz w:val="22"/>
          <w:lang w:eastAsia="cs-CZ"/>
        </w:rPr>
      </w:pPr>
      <w:r w:rsidRPr="009A7313">
        <w:rPr>
          <w:rFonts w:ascii="Arial" w:hAnsi="Arial" w:cs="Arial"/>
          <w:b/>
          <w:sz w:val="22"/>
        </w:rPr>
        <w:t>MD krátce před sestavením účetní závěrky za rok 2013</w:t>
      </w:r>
      <w:r w:rsidR="00333FD2" w:rsidRPr="009A7313">
        <w:rPr>
          <w:rFonts w:ascii="Arial" w:hAnsi="Arial" w:cs="Arial"/>
          <w:b/>
          <w:sz w:val="22"/>
        </w:rPr>
        <w:t xml:space="preserve">, </w:t>
      </w:r>
      <w:r w:rsidR="003D7681">
        <w:rPr>
          <w:rFonts w:ascii="Arial" w:hAnsi="Arial" w:cs="Arial"/>
          <w:b/>
          <w:sz w:val="22"/>
        </w:rPr>
        <w:t xml:space="preserve">konkrétně </w:t>
      </w:r>
      <w:r w:rsidR="00333FD2" w:rsidRPr="009A7313">
        <w:rPr>
          <w:rFonts w:ascii="Arial" w:hAnsi="Arial" w:cs="Arial"/>
          <w:b/>
          <w:sz w:val="22"/>
        </w:rPr>
        <w:t>v</w:t>
      </w:r>
      <w:r w:rsidR="00996C20" w:rsidRPr="009A7313">
        <w:rPr>
          <w:rFonts w:ascii="Arial" w:hAnsi="Arial" w:cs="Arial"/>
          <w:b/>
          <w:sz w:val="22"/>
        </w:rPr>
        <w:t> </w:t>
      </w:r>
      <w:r w:rsidR="00333FD2" w:rsidRPr="009A7313">
        <w:rPr>
          <w:rFonts w:ascii="Arial" w:hAnsi="Arial" w:cs="Arial"/>
          <w:b/>
          <w:sz w:val="22"/>
        </w:rPr>
        <w:t>únoru 2014,</w:t>
      </w:r>
      <w:r w:rsidRPr="009A7313">
        <w:rPr>
          <w:rFonts w:ascii="Arial" w:hAnsi="Arial" w:cs="Arial"/>
          <w:b/>
          <w:sz w:val="22"/>
        </w:rPr>
        <w:t xml:space="preserve"> provádělo rozsáhlé opravy účtování</w:t>
      </w:r>
      <w:r w:rsidR="00250C28" w:rsidRPr="009A7313">
        <w:rPr>
          <w:rFonts w:ascii="Arial" w:hAnsi="Arial" w:cs="Arial"/>
          <w:b/>
          <w:sz w:val="22"/>
        </w:rPr>
        <w:t xml:space="preserve"> v</w:t>
      </w:r>
      <w:r w:rsidR="00996C20" w:rsidRPr="009A7313">
        <w:rPr>
          <w:rFonts w:ascii="Arial" w:hAnsi="Arial" w:cs="Arial"/>
          <w:b/>
          <w:sz w:val="22"/>
        </w:rPr>
        <w:t> </w:t>
      </w:r>
      <w:r w:rsidR="00250C28" w:rsidRPr="009A7313">
        <w:rPr>
          <w:rFonts w:ascii="Arial" w:hAnsi="Arial" w:cs="Arial"/>
          <w:b/>
          <w:sz w:val="22"/>
        </w:rPr>
        <w:t xml:space="preserve">řádu desítek </w:t>
      </w:r>
      <w:r w:rsidRPr="009A7313">
        <w:rPr>
          <w:rFonts w:ascii="Arial" w:hAnsi="Arial" w:cs="Arial"/>
          <w:b/>
          <w:sz w:val="22"/>
        </w:rPr>
        <w:t>miliard Kč,</w:t>
      </w:r>
      <w:r w:rsidR="009F54B2" w:rsidRPr="009A7313">
        <w:rPr>
          <w:rFonts w:ascii="Arial" w:hAnsi="Arial" w:cs="Arial"/>
          <w:b/>
          <w:sz w:val="22"/>
        </w:rPr>
        <w:t xml:space="preserve"> a to</w:t>
      </w:r>
      <w:r w:rsidRPr="009A7313">
        <w:rPr>
          <w:rFonts w:ascii="Arial" w:hAnsi="Arial" w:cs="Arial"/>
          <w:b/>
          <w:sz w:val="22"/>
        </w:rPr>
        <w:t xml:space="preserve"> zejména z</w:t>
      </w:r>
      <w:r w:rsidR="00996C20" w:rsidRPr="009A7313">
        <w:rPr>
          <w:rFonts w:ascii="Arial" w:hAnsi="Arial" w:cs="Arial"/>
          <w:b/>
          <w:sz w:val="22"/>
        </w:rPr>
        <w:t> </w:t>
      </w:r>
      <w:r w:rsidRPr="009A7313">
        <w:rPr>
          <w:rFonts w:ascii="Arial" w:hAnsi="Arial" w:cs="Arial"/>
          <w:b/>
          <w:sz w:val="22"/>
        </w:rPr>
        <w:t xml:space="preserve">důvodu neúplného </w:t>
      </w:r>
      <w:r w:rsidR="00530D25" w:rsidRPr="009A7313">
        <w:rPr>
          <w:rFonts w:ascii="Arial" w:hAnsi="Arial" w:cs="Arial"/>
          <w:b/>
          <w:sz w:val="22"/>
        </w:rPr>
        <w:t xml:space="preserve">či nesprávného </w:t>
      </w:r>
      <w:r w:rsidRPr="009A7313">
        <w:rPr>
          <w:rFonts w:ascii="Arial" w:hAnsi="Arial" w:cs="Arial"/>
          <w:b/>
          <w:sz w:val="22"/>
        </w:rPr>
        <w:t>účtování v</w:t>
      </w:r>
      <w:r w:rsidR="00996C20" w:rsidRPr="009A7313">
        <w:rPr>
          <w:rFonts w:ascii="Arial" w:hAnsi="Arial" w:cs="Arial"/>
          <w:b/>
          <w:sz w:val="22"/>
        </w:rPr>
        <w:t> </w:t>
      </w:r>
      <w:r w:rsidRPr="009A7313">
        <w:rPr>
          <w:rFonts w:ascii="Arial" w:hAnsi="Arial" w:cs="Arial"/>
          <w:b/>
          <w:sz w:val="22"/>
        </w:rPr>
        <w:t>roce 2012</w:t>
      </w:r>
      <w:r w:rsidR="00333FD2" w:rsidRPr="009A7313">
        <w:rPr>
          <w:rFonts w:ascii="Arial" w:hAnsi="Arial" w:cs="Arial"/>
          <w:b/>
          <w:sz w:val="22"/>
        </w:rPr>
        <w:t xml:space="preserve"> </w:t>
      </w:r>
      <w:r w:rsidR="000910A1" w:rsidRPr="009A7313">
        <w:rPr>
          <w:rFonts w:ascii="Arial" w:hAnsi="Arial" w:cs="Arial"/>
          <w:sz w:val="22"/>
        </w:rPr>
        <w:t>v</w:t>
      </w:r>
      <w:r w:rsidR="00996C20" w:rsidRPr="009A7313">
        <w:rPr>
          <w:rFonts w:ascii="Arial" w:hAnsi="Arial" w:cs="Arial"/>
          <w:sz w:val="22"/>
        </w:rPr>
        <w:t> </w:t>
      </w:r>
      <w:r w:rsidR="000910A1" w:rsidRPr="009A7313">
        <w:rPr>
          <w:rFonts w:ascii="Arial" w:hAnsi="Arial" w:cs="Arial"/>
          <w:sz w:val="22"/>
        </w:rPr>
        <w:t xml:space="preserve">souvislosti </w:t>
      </w:r>
      <w:r w:rsidR="00333FD2" w:rsidRPr="009A7313">
        <w:rPr>
          <w:rFonts w:ascii="Arial" w:hAnsi="Arial" w:cs="Arial"/>
          <w:sz w:val="22"/>
        </w:rPr>
        <w:t xml:space="preserve">se změnou </w:t>
      </w:r>
      <w:r w:rsidRPr="009A7313">
        <w:rPr>
          <w:rFonts w:ascii="Arial" w:hAnsi="Arial" w:cs="Arial"/>
          <w:sz w:val="22"/>
        </w:rPr>
        <w:t>rol</w:t>
      </w:r>
      <w:r w:rsidR="00333FD2" w:rsidRPr="009A7313">
        <w:rPr>
          <w:rFonts w:ascii="Arial" w:hAnsi="Arial" w:cs="Arial"/>
          <w:sz w:val="22"/>
        </w:rPr>
        <w:t>e</w:t>
      </w:r>
      <w:r w:rsidRPr="009A7313">
        <w:rPr>
          <w:rFonts w:ascii="Arial" w:hAnsi="Arial" w:cs="Arial"/>
          <w:sz w:val="22"/>
        </w:rPr>
        <w:t xml:space="preserve"> poskytovatele</w:t>
      </w:r>
      <w:r w:rsidR="00E357F1">
        <w:rPr>
          <w:rFonts w:ascii="Arial" w:hAnsi="Arial" w:cs="Arial"/>
          <w:sz w:val="22"/>
        </w:rPr>
        <w:t xml:space="preserve"> a </w:t>
      </w:r>
      <w:r w:rsidR="00A21FC4" w:rsidRPr="009A7313">
        <w:rPr>
          <w:rFonts w:ascii="Arial" w:hAnsi="Arial" w:cs="Arial"/>
          <w:sz w:val="22"/>
        </w:rPr>
        <w:t>příjemce</w:t>
      </w:r>
      <w:r w:rsidRPr="009A7313">
        <w:rPr>
          <w:rFonts w:ascii="Arial" w:hAnsi="Arial" w:cs="Arial"/>
          <w:sz w:val="22"/>
        </w:rPr>
        <w:t xml:space="preserve"> na zprostředkovatele zahraničního transferu</w:t>
      </w:r>
      <w:r w:rsidRPr="009A7313">
        <w:rPr>
          <w:rFonts w:ascii="Arial" w:hAnsi="Arial" w:cs="Arial"/>
          <w:bCs/>
          <w:color w:val="000000"/>
          <w:sz w:val="22"/>
          <w:lang w:eastAsia="cs-CZ"/>
        </w:rPr>
        <w:t>.</w:t>
      </w:r>
      <w:r w:rsidRPr="00D7795C">
        <w:rPr>
          <w:rFonts w:ascii="Arial" w:hAnsi="Arial" w:cs="Arial"/>
          <w:bCs/>
          <w:color w:val="000000"/>
          <w:sz w:val="22"/>
          <w:lang w:eastAsia="cs-CZ"/>
        </w:rPr>
        <w:t xml:space="preserve"> </w:t>
      </w:r>
      <w:r w:rsidRPr="0016696F">
        <w:rPr>
          <w:rFonts w:ascii="Arial" w:hAnsi="Arial" w:cs="Arial"/>
          <w:bCs/>
          <w:color w:val="000000"/>
          <w:sz w:val="22"/>
          <w:lang w:eastAsia="cs-CZ"/>
        </w:rPr>
        <w:t>MD</w:t>
      </w:r>
      <w:r w:rsidR="005A432B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 </w:t>
      </w:r>
      <w:r w:rsidRPr="0016696F">
        <w:rPr>
          <w:rFonts w:ascii="Arial" w:hAnsi="Arial" w:cs="Arial"/>
          <w:bCs/>
          <w:color w:val="000000"/>
          <w:sz w:val="22"/>
          <w:lang w:eastAsia="cs-CZ"/>
        </w:rPr>
        <w:t>v</w:t>
      </w:r>
      <w:r w:rsidR="00996C20">
        <w:rPr>
          <w:rFonts w:ascii="Arial" w:hAnsi="Arial" w:cs="Arial"/>
          <w:bCs/>
          <w:color w:val="000000"/>
          <w:sz w:val="22"/>
          <w:lang w:eastAsia="cs-CZ"/>
        </w:rPr>
        <w:t> </w:t>
      </w:r>
      <w:r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roce 2012 </w:t>
      </w:r>
      <w:r w:rsidR="005A432B" w:rsidRPr="0016696F">
        <w:rPr>
          <w:rFonts w:ascii="Arial" w:hAnsi="Arial" w:cs="Arial"/>
          <w:bCs/>
          <w:color w:val="000000"/>
          <w:sz w:val="22"/>
          <w:lang w:eastAsia="cs-CZ"/>
        </w:rPr>
        <w:t>např.</w:t>
      </w:r>
      <w:r w:rsidR="003D7681">
        <w:rPr>
          <w:rFonts w:ascii="Arial" w:hAnsi="Arial" w:cs="Arial"/>
          <w:bCs/>
          <w:color w:val="000000"/>
          <w:sz w:val="22"/>
          <w:lang w:eastAsia="cs-CZ"/>
        </w:rPr>
        <w:t> </w:t>
      </w:r>
      <w:r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nepromítlo do zůstatku účtu </w:t>
      </w:r>
      <w:r w:rsidR="00333FD2" w:rsidRPr="0016696F">
        <w:rPr>
          <w:rFonts w:ascii="Arial" w:hAnsi="Arial" w:cs="Arial"/>
          <w:bCs/>
          <w:color w:val="000000"/>
          <w:sz w:val="22"/>
          <w:lang w:eastAsia="cs-CZ"/>
        </w:rPr>
        <w:t>závazků z</w:t>
      </w:r>
      <w:r w:rsidR="00996C20">
        <w:rPr>
          <w:rFonts w:ascii="Arial" w:hAnsi="Arial" w:cs="Arial"/>
          <w:bCs/>
          <w:color w:val="000000"/>
          <w:sz w:val="22"/>
          <w:lang w:eastAsia="cs-CZ"/>
        </w:rPr>
        <w:t> </w:t>
      </w:r>
      <w:r w:rsidR="00333FD2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nástrojů spolufinancovaných ze zahraničí </w:t>
      </w:r>
      <w:r w:rsidRPr="0016696F">
        <w:rPr>
          <w:rFonts w:ascii="Arial" w:hAnsi="Arial" w:cs="Arial"/>
          <w:bCs/>
          <w:color w:val="000000"/>
          <w:sz w:val="22"/>
          <w:lang w:eastAsia="cs-CZ"/>
        </w:rPr>
        <w:t>skutečnost</w:t>
      </w:r>
      <w:r w:rsidR="001265FF" w:rsidRPr="0016696F">
        <w:rPr>
          <w:rFonts w:ascii="Arial" w:hAnsi="Arial" w:cs="Arial"/>
          <w:bCs/>
          <w:color w:val="000000"/>
          <w:sz w:val="22"/>
          <w:lang w:eastAsia="cs-CZ"/>
        </w:rPr>
        <w:t>, že</w:t>
      </w:r>
    </w:p>
    <w:p w:rsidR="001265FF" w:rsidRPr="0016696F" w:rsidRDefault="001265FF" w:rsidP="00FC6B79">
      <w:pPr>
        <w:numPr>
          <w:ilvl w:val="0"/>
          <w:numId w:val="22"/>
        </w:numPr>
        <w:ind w:left="567" w:hanging="283"/>
        <w:rPr>
          <w:rFonts w:ascii="Arial" w:hAnsi="Arial" w:cs="Arial"/>
          <w:sz w:val="22"/>
        </w:rPr>
      </w:pPr>
      <w:r w:rsidRPr="0016696F">
        <w:rPr>
          <w:rFonts w:ascii="Arial" w:hAnsi="Arial" w:cs="Arial"/>
          <w:bCs/>
          <w:color w:val="000000"/>
          <w:sz w:val="22"/>
          <w:lang w:eastAsia="cs-CZ"/>
        </w:rPr>
        <w:t>některé již předfinancované projekty byly vyjmuty z financování OPD</w:t>
      </w:r>
      <w:r w:rsidR="003D7681">
        <w:rPr>
          <w:rFonts w:ascii="Arial" w:hAnsi="Arial" w:cs="Arial"/>
          <w:bCs/>
          <w:color w:val="000000"/>
          <w:sz w:val="22"/>
          <w:lang w:eastAsia="cs-CZ"/>
        </w:rPr>
        <w:t>, takže</w:t>
      </w:r>
      <w:r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 MD </w:t>
      </w:r>
      <w:r w:rsidR="003D7681">
        <w:rPr>
          <w:rFonts w:ascii="Arial" w:hAnsi="Arial" w:cs="Arial"/>
          <w:bCs/>
          <w:color w:val="000000"/>
          <w:sz w:val="22"/>
          <w:lang w:eastAsia="cs-CZ"/>
        </w:rPr>
        <w:t>následně nemohlo požadovat</w:t>
      </w:r>
      <w:r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 refundaci </w:t>
      </w:r>
      <w:r w:rsidR="003D7681" w:rsidRPr="0016696F">
        <w:rPr>
          <w:rFonts w:ascii="Arial" w:hAnsi="Arial" w:cs="Arial"/>
          <w:bCs/>
          <w:color w:val="000000"/>
          <w:sz w:val="22"/>
          <w:lang w:eastAsia="cs-CZ"/>
        </w:rPr>
        <w:t>jejich</w:t>
      </w:r>
      <w:r w:rsidR="003D7681">
        <w:rPr>
          <w:rFonts w:ascii="Arial" w:hAnsi="Arial" w:cs="Arial"/>
          <w:bCs/>
          <w:color w:val="000000"/>
          <w:sz w:val="22"/>
          <w:lang w:eastAsia="cs-CZ"/>
        </w:rPr>
        <w:t xml:space="preserve"> výdajů</w:t>
      </w:r>
      <w:r w:rsidR="005A432B" w:rsidRPr="0016696F">
        <w:rPr>
          <w:rFonts w:ascii="Arial" w:hAnsi="Arial" w:cs="Arial"/>
          <w:bCs/>
          <w:color w:val="000000"/>
          <w:sz w:val="22"/>
          <w:lang w:eastAsia="cs-CZ"/>
        </w:rPr>
        <w:t>, tj. ne</w:t>
      </w:r>
      <w:r w:rsidR="00333FD2" w:rsidRPr="0016696F">
        <w:rPr>
          <w:rFonts w:ascii="Arial" w:hAnsi="Arial" w:cs="Arial"/>
          <w:bCs/>
          <w:color w:val="000000"/>
          <w:sz w:val="22"/>
          <w:lang w:eastAsia="cs-CZ"/>
        </w:rPr>
        <w:t>byl již</w:t>
      </w:r>
      <w:r w:rsidR="005A432B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 důvod vykazovat </w:t>
      </w:r>
      <w:r w:rsidR="00333FD2" w:rsidRPr="0016696F">
        <w:rPr>
          <w:rFonts w:ascii="Arial" w:hAnsi="Arial" w:cs="Arial"/>
          <w:bCs/>
          <w:color w:val="000000"/>
          <w:sz w:val="22"/>
          <w:lang w:eastAsia="cs-CZ"/>
        </w:rPr>
        <w:t>v rozvaze nárok</w:t>
      </w:r>
      <w:r w:rsidR="005A432B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 z titulu refundace</w:t>
      </w:r>
      <w:r w:rsidR="001707FC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; MD </w:t>
      </w:r>
      <w:r w:rsidR="004571FD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provedlo </w:t>
      </w:r>
      <w:r w:rsidR="001707FC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v této souvislosti </w:t>
      </w:r>
      <w:r w:rsidR="004571FD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opravu a </w:t>
      </w:r>
      <w:r w:rsidR="001707FC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k 31. 12. 2013 </w:t>
      </w:r>
      <w:r w:rsidR="004571FD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účtovalo </w:t>
      </w:r>
      <w:r w:rsidR="001707FC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o opravě </w:t>
      </w:r>
      <w:r w:rsidR="004571FD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nákladů </w:t>
      </w:r>
      <w:r w:rsidR="001707FC" w:rsidRPr="0016696F">
        <w:rPr>
          <w:rFonts w:ascii="Arial" w:hAnsi="Arial" w:cs="Arial"/>
          <w:bCs/>
          <w:color w:val="000000"/>
          <w:sz w:val="22"/>
          <w:lang w:eastAsia="cs-CZ"/>
        </w:rPr>
        <w:t xml:space="preserve">minulých období ve výši </w:t>
      </w:r>
      <w:r w:rsidR="001707FC" w:rsidRPr="0016696F">
        <w:rPr>
          <w:rFonts w:ascii="Arial" w:hAnsi="Arial" w:cs="Arial"/>
          <w:bCs/>
          <w:sz w:val="22"/>
          <w:lang w:eastAsia="cs-CZ"/>
        </w:rPr>
        <w:t>3,6 mld. Kč</w:t>
      </w:r>
      <w:r w:rsidR="003D7681">
        <w:rPr>
          <w:rFonts w:ascii="Arial" w:hAnsi="Arial" w:cs="Arial"/>
          <w:bCs/>
          <w:color w:val="000000"/>
          <w:sz w:val="22"/>
          <w:lang w:eastAsia="cs-CZ"/>
        </w:rPr>
        <w:t>;</w:t>
      </w:r>
    </w:p>
    <w:p w:rsidR="001265FF" w:rsidRPr="00D16CE6" w:rsidRDefault="001265FF" w:rsidP="00FC6B79">
      <w:pPr>
        <w:numPr>
          <w:ilvl w:val="0"/>
          <w:numId w:val="22"/>
        </w:numPr>
        <w:ind w:left="567" w:hanging="283"/>
        <w:rPr>
          <w:rFonts w:ascii="Arial" w:hAnsi="Arial" w:cs="Arial"/>
          <w:sz w:val="22"/>
        </w:rPr>
      </w:pPr>
      <w:r w:rsidRPr="00C24B70">
        <w:rPr>
          <w:rFonts w:ascii="Arial" w:hAnsi="Arial" w:cs="Arial"/>
          <w:sz w:val="22"/>
        </w:rPr>
        <w:t xml:space="preserve">může požadovat refundaci i za prostředky </w:t>
      </w:r>
      <w:r w:rsidR="00996C20">
        <w:rPr>
          <w:rFonts w:ascii="Arial" w:hAnsi="Arial" w:cs="Arial"/>
          <w:sz w:val="22"/>
        </w:rPr>
        <w:t>předfinancované v letech 2008</w:t>
      </w:r>
      <w:r w:rsidR="00BD61CC" w:rsidRPr="00C24B70">
        <w:rPr>
          <w:rFonts w:ascii="Arial" w:hAnsi="Arial" w:cs="Arial"/>
          <w:sz w:val="22"/>
        </w:rPr>
        <w:t>–</w:t>
      </w:r>
      <w:r w:rsidR="00A3620A" w:rsidRPr="00D16CE6">
        <w:rPr>
          <w:rFonts w:ascii="Arial" w:hAnsi="Arial" w:cs="Arial"/>
          <w:sz w:val="22"/>
        </w:rPr>
        <w:t>2010</w:t>
      </w:r>
      <w:r w:rsidR="00690045" w:rsidRPr="00D16CE6">
        <w:rPr>
          <w:rFonts w:ascii="Arial" w:hAnsi="Arial" w:cs="Arial"/>
          <w:sz w:val="22"/>
        </w:rPr>
        <w:t>,</w:t>
      </w:r>
      <w:r w:rsidR="005A432B" w:rsidRPr="00D16CE6">
        <w:rPr>
          <w:rFonts w:ascii="Arial" w:hAnsi="Arial" w:cs="Arial"/>
          <w:sz w:val="22"/>
        </w:rPr>
        <w:t xml:space="preserve"> pohledávku za tyto prostředky však na příslušném účtu nevykázalo,</w:t>
      </w:r>
      <w:r w:rsidR="00690045" w:rsidRPr="00D16CE6">
        <w:rPr>
          <w:rFonts w:ascii="Arial" w:hAnsi="Arial" w:cs="Arial"/>
          <w:sz w:val="22"/>
        </w:rPr>
        <w:t xml:space="preserve"> aj</w:t>
      </w:r>
      <w:r w:rsidR="00BD61CC" w:rsidRPr="00D16CE6">
        <w:rPr>
          <w:rFonts w:ascii="Arial" w:hAnsi="Arial" w:cs="Arial"/>
          <w:sz w:val="22"/>
        </w:rPr>
        <w:t>.</w:t>
      </w:r>
    </w:p>
    <w:p w:rsidR="007A4D8F" w:rsidRDefault="007A4D8F" w:rsidP="006B2DE7">
      <w:pPr>
        <w:rPr>
          <w:rFonts w:ascii="Arial" w:hAnsi="Arial" w:cs="Arial"/>
          <w:sz w:val="22"/>
        </w:rPr>
      </w:pPr>
    </w:p>
    <w:p w:rsidR="00DC1D27" w:rsidRDefault="00DC1D27" w:rsidP="006B2DE7">
      <w:pPr>
        <w:rPr>
          <w:rFonts w:ascii="Arial" w:hAnsi="Arial" w:cs="Arial"/>
          <w:sz w:val="22"/>
        </w:rPr>
      </w:pPr>
      <w:r w:rsidRPr="00D16CE6">
        <w:rPr>
          <w:rFonts w:ascii="Arial" w:hAnsi="Arial" w:cs="Arial"/>
          <w:sz w:val="22"/>
        </w:rPr>
        <w:t>Opravy provádělo MD zejména prostřednictvím účtování na účtu 372</w:t>
      </w:r>
      <w:r w:rsidR="00932AE4" w:rsidRPr="00D16CE6">
        <w:rPr>
          <w:rFonts w:ascii="Arial" w:hAnsi="Arial" w:cs="Arial"/>
          <w:sz w:val="22"/>
        </w:rPr>
        <w:t xml:space="preserve"> a </w:t>
      </w:r>
      <w:r w:rsidRPr="00D16CE6">
        <w:rPr>
          <w:rFonts w:ascii="Arial" w:hAnsi="Arial" w:cs="Arial"/>
          <w:sz w:val="22"/>
        </w:rPr>
        <w:t>účt</w:t>
      </w:r>
      <w:r w:rsidR="00932AE4" w:rsidRPr="00D16CE6">
        <w:rPr>
          <w:rFonts w:ascii="Arial" w:hAnsi="Arial" w:cs="Arial"/>
          <w:sz w:val="22"/>
        </w:rPr>
        <w:t>ech vlastního kapitálu</w:t>
      </w:r>
      <w:r w:rsidRPr="00D16CE6">
        <w:rPr>
          <w:rFonts w:ascii="Arial" w:hAnsi="Arial" w:cs="Arial"/>
          <w:sz w:val="22"/>
        </w:rPr>
        <w:t xml:space="preserve"> 406 – </w:t>
      </w:r>
      <w:r w:rsidRPr="00D16CE6">
        <w:rPr>
          <w:rFonts w:ascii="Arial" w:hAnsi="Arial" w:cs="Arial"/>
          <w:i/>
          <w:sz w:val="22"/>
        </w:rPr>
        <w:t xml:space="preserve">Oceňovací </w:t>
      </w:r>
      <w:r w:rsidR="00932AE4" w:rsidRPr="00D16CE6">
        <w:rPr>
          <w:rFonts w:ascii="Arial" w:hAnsi="Arial" w:cs="Arial"/>
          <w:i/>
          <w:sz w:val="22"/>
        </w:rPr>
        <w:t>rozdíly při pr</w:t>
      </w:r>
      <w:r w:rsidRPr="00D16CE6">
        <w:rPr>
          <w:rFonts w:ascii="Arial" w:hAnsi="Arial" w:cs="Arial"/>
          <w:i/>
          <w:sz w:val="22"/>
        </w:rPr>
        <w:t>votním použití metody</w:t>
      </w:r>
      <w:r w:rsidRPr="00C24B70">
        <w:rPr>
          <w:rFonts w:ascii="Arial" w:hAnsi="Arial" w:cs="Arial"/>
          <w:sz w:val="22"/>
        </w:rPr>
        <w:t xml:space="preserve"> a 408 – </w:t>
      </w:r>
      <w:r w:rsidRPr="00D16CE6">
        <w:rPr>
          <w:rFonts w:ascii="Arial" w:hAnsi="Arial" w:cs="Arial"/>
          <w:i/>
          <w:sz w:val="22"/>
        </w:rPr>
        <w:t>Opravy minulých období</w:t>
      </w:r>
      <w:r w:rsidRPr="00C24B70">
        <w:rPr>
          <w:rFonts w:ascii="Arial" w:hAnsi="Arial" w:cs="Arial"/>
          <w:sz w:val="22"/>
        </w:rPr>
        <w:t>.</w:t>
      </w:r>
    </w:p>
    <w:p w:rsidR="007A4D8F" w:rsidRPr="00C24B70" w:rsidRDefault="007A4D8F" w:rsidP="006B2DE7">
      <w:pPr>
        <w:rPr>
          <w:rFonts w:ascii="Arial" w:hAnsi="Arial" w:cs="Arial"/>
          <w:sz w:val="22"/>
        </w:rPr>
      </w:pPr>
    </w:p>
    <w:p w:rsidR="006B23A6" w:rsidRDefault="00BD61CC" w:rsidP="006B2DE7">
      <w:pPr>
        <w:rPr>
          <w:rFonts w:ascii="Arial" w:hAnsi="Arial" w:cs="Arial"/>
          <w:sz w:val="22"/>
        </w:rPr>
      </w:pPr>
      <w:r w:rsidRPr="009A7313">
        <w:rPr>
          <w:rFonts w:ascii="Arial" w:hAnsi="Arial" w:cs="Arial"/>
          <w:b/>
          <w:sz w:val="22"/>
        </w:rPr>
        <w:t>NKÚ</w:t>
      </w:r>
      <w:r w:rsidR="00686C22" w:rsidRPr="00D16CE6">
        <w:rPr>
          <w:rFonts w:ascii="Arial" w:hAnsi="Arial" w:cs="Arial"/>
          <w:sz w:val="22"/>
        </w:rPr>
        <w:t xml:space="preserve"> získal podklady související s provedenými roz</w:t>
      </w:r>
      <w:r w:rsidR="00E357F1">
        <w:rPr>
          <w:rFonts w:ascii="Arial" w:hAnsi="Arial" w:cs="Arial"/>
          <w:sz w:val="22"/>
        </w:rPr>
        <w:t>sáhlými opravami v dubnu 2014</w:t>
      </w:r>
      <w:r w:rsidR="006B23A6">
        <w:rPr>
          <w:rFonts w:ascii="Arial" w:hAnsi="Arial" w:cs="Arial"/>
          <w:sz w:val="22"/>
        </w:rPr>
        <w:t>,</w:t>
      </w:r>
      <w:r w:rsidR="00E357F1">
        <w:rPr>
          <w:rFonts w:ascii="Arial" w:hAnsi="Arial" w:cs="Arial"/>
          <w:sz w:val="22"/>
        </w:rPr>
        <w:t xml:space="preserve"> a</w:t>
      </w:r>
      <w:r w:rsidR="006B23A6">
        <w:rPr>
          <w:rFonts w:ascii="Arial" w:hAnsi="Arial" w:cs="Arial"/>
          <w:sz w:val="22"/>
        </w:rPr>
        <w:t xml:space="preserve">však </w:t>
      </w:r>
      <w:r w:rsidR="00902A3A" w:rsidRPr="008F1CFC">
        <w:rPr>
          <w:rFonts w:ascii="Arial" w:hAnsi="Arial" w:cs="Arial"/>
          <w:sz w:val="22"/>
        </w:rPr>
        <w:t xml:space="preserve">vzhledem k časovému plánu kontroly </w:t>
      </w:r>
      <w:r w:rsidR="00902A3A" w:rsidRPr="009A7313">
        <w:rPr>
          <w:rFonts w:ascii="Arial" w:hAnsi="Arial" w:cs="Arial"/>
          <w:b/>
          <w:sz w:val="22"/>
        </w:rPr>
        <w:t>neprověřoval,</w:t>
      </w:r>
      <w:r w:rsidR="00902A3A" w:rsidRPr="009A7313">
        <w:rPr>
          <w:rFonts w:ascii="Arial" w:hAnsi="Arial" w:cs="Arial"/>
          <w:b/>
          <w:i/>
          <w:sz w:val="22"/>
        </w:rPr>
        <w:t xml:space="preserve"> </w:t>
      </w:r>
      <w:r w:rsidR="00686C22" w:rsidRPr="009A7313">
        <w:rPr>
          <w:rFonts w:ascii="Arial" w:hAnsi="Arial" w:cs="Arial"/>
          <w:b/>
          <w:sz w:val="22"/>
        </w:rPr>
        <w:t xml:space="preserve">zda údaje </w:t>
      </w:r>
      <w:r w:rsidR="005E346B" w:rsidRPr="009A7313">
        <w:rPr>
          <w:rFonts w:ascii="Arial" w:hAnsi="Arial" w:cs="Arial"/>
          <w:b/>
          <w:sz w:val="22"/>
        </w:rPr>
        <w:t xml:space="preserve">po provedených opravách </w:t>
      </w:r>
      <w:r w:rsidR="00686C22" w:rsidRPr="009A7313">
        <w:rPr>
          <w:rFonts w:ascii="Arial" w:hAnsi="Arial" w:cs="Arial"/>
          <w:b/>
          <w:sz w:val="22"/>
        </w:rPr>
        <w:t>nejsou zatíženy neúplností</w:t>
      </w:r>
      <w:r w:rsidR="00F65EA5">
        <w:rPr>
          <w:rFonts w:ascii="Arial" w:hAnsi="Arial" w:cs="Arial"/>
          <w:b/>
          <w:sz w:val="22"/>
        </w:rPr>
        <w:t>,</w:t>
      </w:r>
      <w:r w:rsidR="006B23A6">
        <w:rPr>
          <w:rFonts w:ascii="Arial" w:hAnsi="Arial" w:cs="Arial"/>
          <w:b/>
          <w:sz w:val="22"/>
        </w:rPr>
        <w:t xml:space="preserve"> </w:t>
      </w:r>
      <w:r w:rsidR="00686C22" w:rsidRPr="009A7313">
        <w:rPr>
          <w:rFonts w:ascii="Arial" w:hAnsi="Arial" w:cs="Arial"/>
          <w:b/>
          <w:sz w:val="22"/>
        </w:rPr>
        <w:t xml:space="preserve">nesprávnostmi </w:t>
      </w:r>
      <w:r w:rsidR="002211BB">
        <w:rPr>
          <w:rFonts w:ascii="Arial" w:hAnsi="Arial" w:cs="Arial"/>
          <w:b/>
          <w:sz w:val="22"/>
        </w:rPr>
        <w:t>nebo</w:t>
      </w:r>
      <w:r w:rsidR="00686C22" w:rsidRPr="009A7313">
        <w:rPr>
          <w:rFonts w:ascii="Arial" w:hAnsi="Arial" w:cs="Arial"/>
          <w:b/>
          <w:sz w:val="22"/>
        </w:rPr>
        <w:t xml:space="preserve"> jinými chybami v podkladech, </w:t>
      </w:r>
      <w:r w:rsidR="00686C22" w:rsidRPr="009A7313">
        <w:rPr>
          <w:rFonts w:ascii="Arial" w:hAnsi="Arial" w:cs="Arial"/>
          <w:b/>
          <w:sz w:val="22"/>
        </w:rPr>
        <w:lastRenderedPageBreak/>
        <w:t xml:space="preserve">nevhodně zvolenými předpoklady či </w:t>
      </w:r>
      <w:r w:rsidR="00A702F9" w:rsidRPr="009A7313">
        <w:rPr>
          <w:rFonts w:ascii="Arial" w:hAnsi="Arial" w:cs="Arial"/>
          <w:b/>
          <w:sz w:val="22"/>
        </w:rPr>
        <w:t xml:space="preserve">nezahrnutím </w:t>
      </w:r>
      <w:r w:rsidR="00686C22" w:rsidRPr="009A7313">
        <w:rPr>
          <w:rFonts w:ascii="Arial" w:hAnsi="Arial" w:cs="Arial"/>
          <w:b/>
          <w:sz w:val="22"/>
        </w:rPr>
        <w:t>některých dalších</w:t>
      </w:r>
      <w:r w:rsidR="00686C22" w:rsidRPr="00D16CE6">
        <w:rPr>
          <w:rFonts w:ascii="Arial" w:hAnsi="Arial" w:cs="Arial"/>
          <w:sz w:val="22"/>
        </w:rPr>
        <w:t xml:space="preserve"> (prozatím neznámých) </w:t>
      </w:r>
      <w:r w:rsidR="00686C22" w:rsidRPr="009A7313">
        <w:rPr>
          <w:rFonts w:ascii="Arial" w:hAnsi="Arial" w:cs="Arial"/>
          <w:b/>
          <w:sz w:val="22"/>
        </w:rPr>
        <w:t>aspektů</w:t>
      </w:r>
      <w:r w:rsidR="00686C22" w:rsidRPr="001731C5">
        <w:rPr>
          <w:rFonts w:ascii="Arial" w:hAnsi="Arial" w:cs="Arial"/>
          <w:b/>
          <w:sz w:val="22"/>
        </w:rPr>
        <w:t>.</w:t>
      </w:r>
      <w:r w:rsidRPr="00D16CE6">
        <w:rPr>
          <w:rFonts w:ascii="Arial" w:hAnsi="Arial" w:cs="Arial"/>
          <w:sz w:val="22"/>
        </w:rPr>
        <w:t xml:space="preserve"> </w:t>
      </w:r>
    </w:p>
    <w:p w:rsidR="006B23A6" w:rsidRDefault="006B23A6" w:rsidP="006B2DE7">
      <w:pPr>
        <w:rPr>
          <w:rFonts w:ascii="Arial" w:hAnsi="Arial" w:cs="Arial"/>
          <w:sz w:val="22"/>
        </w:rPr>
      </w:pPr>
    </w:p>
    <w:p w:rsidR="00686C22" w:rsidRDefault="00690045" w:rsidP="006B2DE7">
      <w:pPr>
        <w:rPr>
          <w:rFonts w:ascii="Arial" w:hAnsi="Arial" w:cs="Arial"/>
          <w:b/>
          <w:sz w:val="22"/>
        </w:rPr>
      </w:pPr>
      <w:r w:rsidRPr="00D16CE6">
        <w:rPr>
          <w:rFonts w:ascii="Arial" w:hAnsi="Arial" w:cs="Arial"/>
          <w:sz w:val="22"/>
        </w:rPr>
        <w:t>V</w:t>
      </w:r>
      <w:r w:rsidR="00BD61CC" w:rsidRPr="00D16CE6">
        <w:rPr>
          <w:rFonts w:ascii="Arial" w:hAnsi="Arial" w:cs="Arial"/>
          <w:sz w:val="22"/>
        </w:rPr>
        <w:t xml:space="preserve"> rámci inventarizace </w:t>
      </w:r>
      <w:r w:rsidRPr="00D16CE6">
        <w:rPr>
          <w:rFonts w:ascii="Arial" w:hAnsi="Arial" w:cs="Arial"/>
          <w:sz w:val="22"/>
        </w:rPr>
        <w:t xml:space="preserve">za rok 2013 </w:t>
      </w:r>
      <w:r w:rsidR="00BD61CC" w:rsidRPr="00D16CE6">
        <w:rPr>
          <w:rFonts w:ascii="Arial" w:hAnsi="Arial" w:cs="Arial"/>
          <w:sz w:val="22"/>
        </w:rPr>
        <w:t>neprovedlo</w:t>
      </w:r>
      <w:r w:rsidR="009F54B2" w:rsidRPr="00D16CE6">
        <w:rPr>
          <w:rFonts w:ascii="Arial" w:hAnsi="Arial" w:cs="Arial"/>
          <w:sz w:val="22"/>
        </w:rPr>
        <w:t xml:space="preserve"> MD</w:t>
      </w:r>
      <w:r w:rsidR="00BD61CC" w:rsidRPr="00D16CE6">
        <w:rPr>
          <w:rFonts w:ascii="Arial" w:hAnsi="Arial" w:cs="Arial"/>
          <w:sz w:val="22"/>
        </w:rPr>
        <w:t xml:space="preserve"> vzájemné odsouhlasení zůstatku účtu</w:t>
      </w:r>
      <w:r w:rsidR="00686C22" w:rsidRPr="00D16CE6">
        <w:rPr>
          <w:rFonts w:ascii="Arial" w:hAnsi="Arial" w:cs="Arial"/>
          <w:sz w:val="22"/>
        </w:rPr>
        <w:t xml:space="preserve"> </w:t>
      </w:r>
      <w:r w:rsidR="005A432B" w:rsidRPr="00D16CE6">
        <w:rPr>
          <w:rFonts w:ascii="Arial" w:hAnsi="Arial" w:cs="Arial"/>
          <w:sz w:val="22"/>
        </w:rPr>
        <w:t xml:space="preserve">372 </w:t>
      </w:r>
      <w:r w:rsidR="00BD61CC" w:rsidRPr="00D16CE6">
        <w:rPr>
          <w:rFonts w:ascii="Arial" w:hAnsi="Arial" w:cs="Arial"/>
          <w:sz w:val="22"/>
        </w:rPr>
        <w:t>s</w:t>
      </w:r>
      <w:r w:rsidR="000910A1" w:rsidRPr="00D16CE6">
        <w:rPr>
          <w:rFonts w:ascii="Arial" w:hAnsi="Arial" w:cs="Arial"/>
          <w:sz w:val="22"/>
        </w:rPr>
        <w:t> </w:t>
      </w:r>
      <w:r w:rsidR="00BD61CC" w:rsidRPr="00D16CE6">
        <w:rPr>
          <w:rFonts w:ascii="Arial" w:hAnsi="Arial" w:cs="Arial"/>
          <w:sz w:val="22"/>
        </w:rPr>
        <w:t>protistranou</w:t>
      </w:r>
      <w:r w:rsidR="000910A1" w:rsidRPr="00D16CE6">
        <w:rPr>
          <w:rFonts w:ascii="Arial" w:hAnsi="Arial" w:cs="Arial"/>
          <w:sz w:val="22"/>
        </w:rPr>
        <w:t>;</w:t>
      </w:r>
      <w:r w:rsidRPr="00D16CE6">
        <w:rPr>
          <w:rFonts w:ascii="Arial" w:hAnsi="Arial" w:cs="Arial"/>
          <w:sz w:val="22"/>
        </w:rPr>
        <w:t xml:space="preserve"> </w:t>
      </w:r>
      <w:r w:rsidRPr="009A7313">
        <w:rPr>
          <w:rFonts w:ascii="Arial" w:hAnsi="Arial" w:cs="Arial"/>
          <w:b/>
          <w:sz w:val="22"/>
        </w:rPr>
        <w:t>některé zaúčtované údaje vznikly zčásti i jako provedený odhad příslušn</w:t>
      </w:r>
      <w:r w:rsidR="009F54B2" w:rsidRPr="009A7313">
        <w:rPr>
          <w:rFonts w:ascii="Arial" w:hAnsi="Arial" w:cs="Arial"/>
          <w:b/>
          <w:sz w:val="22"/>
        </w:rPr>
        <w:t>é částky</w:t>
      </w:r>
      <w:r w:rsidR="006B23A6">
        <w:rPr>
          <w:rFonts w:ascii="Arial" w:hAnsi="Arial" w:cs="Arial"/>
          <w:b/>
          <w:sz w:val="22"/>
        </w:rPr>
        <w:t>,</w:t>
      </w:r>
      <w:r w:rsidR="009F54B2" w:rsidRPr="009A7313">
        <w:rPr>
          <w:rFonts w:ascii="Arial" w:hAnsi="Arial" w:cs="Arial"/>
          <w:b/>
          <w:sz w:val="22"/>
        </w:rPr>
        <w:t xml:space="preserve"> a</w:t>
      </w:r>
      <w:r w:rsidR="005E346B" w:rsidRPr="009A7313">
        <w:rPr>
          <w:rFonts w:ascii="Arial" w:hAnsi="Arial" w:cs="Arial"/>
          <w:b/>
          <w:sz w:val="22"/>
        </w:rPr>
        <w:t xml:space="preserve"> nikoliv pouze na základě průkazných účetních záznamů</w:t>
      </w:r>
      <w:r w:rsidRPr="009A7313">
        <w:rPr>
          <w:rFonts w:ascii="Arial" w:hAnsi="Arial" w:cs="Arial"/>
          <w:b/>
          <w:sz w:val="22"/>
        </w:rPr>
        <w:t>.</w:t>
      </w:r>
    </w:p>
    <w:p w:rsidR="007A4D8F" w:rsidRPr="00D16CE6" w:rsidRDefault="007A4D8F" w:rsidP="006B2DE7">
      <w:pPr>
        <w:rPr>
          <w:rFonts w:ascii="Arial" w:hAnsi="Arial" w:cs="Arial"/>
          <w:bCs/>
          <w:sz w:val="22"/>
          <w:lang w:eastAsia="cs-CZ"/>
        </w:rPr>
      </w:pPr>
    </w:p>
    <w:p w:rsidR="00686C22" w:rsidRPr="00D16CE6" w:rsidRDefault="00690045" w:rsidP="006B2DE7">
      <w:pPr>
        <w:rPr>
          <w:rFonts w:ascii="Arial" w:hAnsi="Arial" w:cs="Arial"/>
        </w:rPr>
      </w:pPr>
      <w:r w:rsidRPr="00D16CE6">
        <w:rPr>
          <w:rFonts w:ascii="Arial" w:hAnsi="Arial" w:cs="Arial"/>
          <w:bCs/>
          <w:sz w:val="22"/>
          <w:lang w:eastAsia="cs-CZ"/>
        </w:rPr>
        <w:t>Přestože se model MD jeví nastaven na základě logicky vhodných vazeb a využívá údaje</w:t>
      </w:r>
      <w:r w:rsidR="00CE31F7">
        <w:rPr>
          <w:rFonts w:ascii="Arial" w:hAnsi="Arial" w:cs="Arial"/>
          <w:bCs/>
          <w:sz w:val="22"/>
          <w:lang w:eastAsia="cs-CZ"/>
        </w:rPr>
        <w:t xml:space="preserve"> z relevantních zdrojů</w:t>
      </w:r>
      <w:r w:rsidR="005E346B" w:rsidRPr="00D16CE6">
        <w:rPr>
          <w:rFonts w:ascii="Arial" w:hAnsi="Arial" w:cs="Arial"/>
          <w:bCs/>
          <w:sz w:val="22"/>
          <w:lang w:eastAsia="cs-CZ"/>
        </w:rPr>
        <w:t xml:space="preserve">, </w:t>
      </w:r>
      <w:r w:rsidR="005E346B" w:rsidRPr="00D16CE6">
        <w:rPr>
          <w:rFonts w:ascii="Arial" w:hAnsi="Arial" w:cs="Arial"/>
          <w:sz w:val="22"/>
        </w:rPr>
        <w:t xml:space="preserve">nemohl NKÚ ověřit a prokázat, zda </w:t>
      </w:r>
      <w:r w:rsidR="00E17958">
        <w:rPr>
          <w:rFonts w:ascii="Arial" w:hAnsi="Arial" w:cs="Arial"/>
          <w:sz w:val="22"/>
        </w:rPr>
        <w:t xml:space="preserve">tyto údaje byly správné </w:t>
      </w:r>
      <w:r w:rsidR="005E346B" w:rsidRPr="00D16CE6">
        <w:rPr>
          <w:rFonts w:ascii="Arial" w:hAnsi="Arial" w:cs="Arial"/>
          <w:sz w:val="22"/>
        </w:rPr>
        <w:t xml:space="preserve">a zda </w:t>
      </w:r>
      <w:r w:rsidR="00E17958">
        <w:rPr>
          <w:rFonts w:ascii="Arial" w:hAnsi="Arial" w:cs="Arial"/>
          <w:sz w:val="22"/>
        </w:rPr>
        <w:t>byly</w:t>
      </w:r>
      <w:r w:rsidR="009D64E4">
        <w:rPr>
          <w:rFonts w:ascii="Arial" w:hAnsi="Arial" w:cs="Arial"/>
          <w:sz w:val="22"/>
        </w:rPr>
        <w:t xml:space="preserve"> zohledněny </w:t>
      </w:r>
      <w:r w:rsidR="005E346B" w:rsidRPr="00D16CE6">
        <w:rPr>
          <w:rFonts w:ascii="Arial" w:hAnsi="Arial" w:cs="Arial"/>
          <w:sz w:val="22"/>
        </w:rPr>
        <w:t xml:space="preserve">veškeré relevantní skutečnosti a údaje minulých období. </w:t>
      </w:r>
      <w:r w:rsidR="009F54B2" w:rsidRPr="00D16CE6">
        <w:rPr>
          <w:rFonts w:ascii="Arial" w:hAnsi="Arial" w:cs="Arial"/>
          <w:sz w:val="22"/>
        </w:rPr>
        <w:t>NKÚ se</w:t>
      </w:r>
      <w:r w:rsidR="009F54B2" w:rsidRPr="00D16CE6">
        <w:rPr>
          <w:rFonts w:ascii="Arial" w:hAnsi="Arial" w:cs="Arial"/>
          <w:bCs/>
          <w:sz w:val="22"/>
          <w:lang w:eastAsia="cs-CZ"/>
        </w:rPr>
        <w:t xml:space="preserve"> proto </w:t>
      </w:r>
      <w:r w:rsidR="000910A1" w:rsidRPr="00D16CE6">
        <w:rPr>
          <w:rFonts w:ascii="Arial" w:hAnsi="Arial" w:cs="Arial"/>
          <w:bCs/>
          <w:sz w:val="22"/>
          <w:lang w:eastAsia="cs-CZ"/>
        </w:rPr>
        <w:t>nevyjadřuje</w:t>
      </w:r>
      <w:r w:rsidR="00686C22" w:rsidRPr="00D16CE6">
        <w:rPr>
          <w:rFonts w:ascii="Arial" w:hAnsi="Arial" w:cs="Arial"/>
          <w:bCs/>
          <w:sz w:val="22"/>
          <w:lang w:eastAsia="cs-CZ"/>
        </w:rPr>
        <w:t xml:space="preserve"> k tomu, zda </w:t>
      </w:r>
      <w:r w:rsidR="00530D25" w:rsidRPr="00D16CE6">
        <w:rPr>
          <w:rFonts w:ascii="Arial" w:hAnsi="Arial" w:cs="Arial"/>
          <w:bCs/>
          <w:sz w:val="22"/>
          <w:lang w:eastAsia="cs-CZ"/>
        </w:rPr>
        <w:t xml:space="preserve">vykázaná výše </w:t>
      </w:r>
      <w:r w:rsidR="009F54B2" w:rsidRPr="00D16CE6">
        <w:rPr>
          <w:rFonts w:ascii="Arial" w:hAnsi="Arial" w:cs="Arial"/>
          <w:bCs/>
          <w:sz w:val="22"/>
          <w:lang w:eastAsia="cs-CZ"/>
        </w:rPr>
        <w:t>zůstatk</w:t>
      </w:r>
      <w:r w:rsidR="00530D25" w:rsidRPr="00D16CE6">
        <w:rPr>
          <w:rFonts w:ascii="Arial" w:hAnsi="Arial" w:cs="Arial"/>
          <w:bCs/>
          <w:sz w:val="22"/>
          <w:lang w:eastAsia="cs-CZ"/>
        </w:rPr>
        <w:t>u</w:t>
      </w:r>
      <w:r w:rsidR="009F54B2" w:rsidRPr="00D16CE6">
        <w:rPr>
          <w:rFonts w:ascii="Arial" w:hAnsi="Arial" w:cs="Arial"/>
          <w:bCs/>
          <w:sz w:val="22"/>
          <w:lang w:eastAsia="cs-CZ"/>
        </w:rPr>
        <w:t xml:space="preserve"> účtu 372 – </w:t>
      </w:r>
      <w:r w:rsidR="009F54B2" w:rsidRPr="00D16CE6">
        <w:rPr>
          <w:rFonts w:ascii="Arial" w:hAnsi="Arial" w:cs="Arial"/>
          <w:bCs/>
          <w:i/>
          <w:sz w:val="22"/>
          <w:lang w:eastAsia="cs-CZ"/>
        </w:rPr>
        <w:t>Krátkodobé závazky z nástrojů spolufinancovaných ze zahraničí</w:t>
      </w:r>
      <w:r w:rsidR="00A702F9" w:rsidRPr="00D16CE6">
        <w:rPr>
          <w:rFonts w:ascii="Arial" w:hAnsi="Arial" w:cs="Arial"/>
          <w:bCs/>
          <w:i/>
          <w:sz w:val="22"/>
          <w:lang w:eastAsia="cs-CZ"/>
        </w:rPr>
        <w:t xml:space="preserve"> </w:t>
      </w:r>
      <w:r w:rsidR="00A702F9" w:rsidRPr="00D16CE6">
        <w:rPr>
          <w:rFonts w:ascii="Arial" w:hAnsi="Arial" w:cs="Arial"/>
          <w:bCs/>
          <w:sz w:val="22"/>
          <w:lang w:eastAsia="cs-CZ"/>
        </w:rPr>
        <w:t>v záporné částce více než 10 mld. Kč</w:t>
      </w:r>
      <w:r w:rsidR="00530D25" w:rsidRPr="00D16CE6">
        <w:rPr>
          <w:rFonts w:ascii="Arial" w:hAnsi="Arial" w:cs="Arial"/>
          <w:bCs/>
          <w:sz w:val="22"/>
          <w:lang w:eastAsia="cs-CZ"/>
        </w:rPr>
        <w:t xml:space="preserve"> </w:t>
      </w:r>
      <w:r w:rsidR="00817B3B">
        <w:rPr>
          <w:rFonts w:ascii="Arial" w:hAnsi="Arial" w:cs="Arial"/>
          <w:bCs/>
          <w:sz w:val="22"/>
          <w:lang w:eastAsia="cs-CZ"/>
        </w:rPr>
        <w:t>(</w:t>
      </w:r>
      <w:r w:rsidR="00530D25" w:rsidRPr="00D16CE6">
        <w:rPr>
          <w:rFonts w:ascii="Arial" w:hAnsi="Arial" w:cs="Arial"/>
          <w:bCs/>
          <w:sz w:val="22"/>
          <w:lang w:eastAsia="cs-CZ"/>
        </w:rPr>
        <w:t>vzešlá z modelu použitého MD</w:t>
      </w:r>
      <w:r w:rsidR="00817B3B">
        <w:rPr>
          <w:rFonts w:ascii="Arial" w:hAnsi="Arial" w:cs="Arial"/>
          <w:bCs/>
          <w:sz w:val="22"/>
          <w:lang w:eastAsia="cs-CZ"/>
        </w:rPr>
        <w:t>)</w:t>
      </w:r>
      <w:r w:rsidR="00530D25" w:rsidRPr="00D16CE6">
        <w:rPr>
          <w:rFonts w:ascii="Arial" w:hAnsi="Arial" w:cs="Arial"/>
          <w:bCs/>
          <w:sz w:val="22"/>
          <w:lang w:eastAsia="cs-CZ"/>
        </w:rPr>
        <w:t xml:space="preserve"> je správná.</w:t>
      </w:r>
    </w:p>
    <w:p w:rsidR="00281B62" w:rsidRDefault="00281B62" w:rsidP="006B2DE7">
      <w:pPr>
        <w:pStyle w:val="Default"/>
        <w:jc w:val="both"/>
        <w:rPr>
          <w:rFonts w:ascii="Arial" w:eastAsia="Calibri" w:hAnsi="Arial" w:cs="Arial"/>
          <w:b/>
          <w:i/>
          <w:color w:val="auto"/>
          <w:sz w:val="22"/>
          <w:szCs w:val="22"/>
        </w:rPr>
      </w:pPr>
    </w:p>
    <w:p w:rsidR="00EE6C3B" w:rsidRPr="00D16CE6" w:rsidRDefault="00EE6C3B" w:rsidP="00D16CE6">
      <w:pPr>
        <w:pStyle w:val="Default"/>
        <w:spacing w:after="120"/>
        <w:jc w:val="both"/>
        <w:rPr>
          <w:rFonts w:ascii="Arial" w:eastAsia="Calibri" w:hAnsi="Arial" w:cs="Arial"/>
          <w:b/>
          <w:i/>
          <w:color w:val="auto"/>
          <w:sz w:val="22"/>
          <w:szCs w:val="22"/>
        </w:rPr>
      </w:pPr>
      <w:r w:rsidRPr="00D16CE6">
        <w:rPr>
          <w:rFonts w:ascii="Arial" w:eastAsia="Calibri" w:hAnsi="Arial" w:cs="Arial"/>
          <w:b/>
          <w:i/>
          <w:color w:val="auto"/>
          <w:sz w:val="22"/>
          <w:szCs w:val="22"/>
        </w:rPr>
        <w:t>Inventarizace</w:t>
      </w:r>
      <w:r w:rsidR="00952F5C" w:rsidRPr="00D16CE6">
        <w:rPr>
          <w:rFonts w:ascii="Arial" w:eastAsia="Calibri" w:hAnsi="Arial" w:cs="Arial"/>
          <w:b/>
          <w:i/>
          <w:color w:val="auto"/>
          <w:sz w:val="22"/>
          <w:szCs w:val="22"/>
        </w:rPr>
        <w:t xml:space="preserve"> – </w:t>
      </w:r>
      <w:r w:rsidR="00172E5F">
        <w:rPr>
          <w:rFonts w:ascii="Arial" w:eastAsia="Calibri" w:hAnsi="Arial" w:cs="Arial"/>
          <w:b/>
          <w:i/>
          <w:color w:val="auto"/>
          <w:sz w:val="22"/>
          <w:szCs w:val="22"/>
        </w:rPr>
        <w:t>n</w:t>
      </w:r>
      <w:r w:rsidRPr="00D16CE6">
        <w:rPr>
          <w:rFonts w:ascii="Arial" w:eastAsia="Calibri" w:hAnsi="Arial" w:cs="Arial"/>
          <w:b/>
          <w:i/>
          <w:color w:val="auto"/>
          <w:sz w:val="22"/>
          <w:szCs w:val="22"/>
        </w:rPr>
        <w:t>edohledaný majetek</w:t>
      </w:r>
    </w:p>
    <w:p w:rsidR="00EE6C3B" w:rsidRPr="00D16CE6" w:rsidRDefault="00EE6C3B" w:rsidP="001731C5">
      <w:pPr>
        <w:rPr>
          <w:rFonts w:ascii="Arial" w:hAnsi="Arial" w:cs="Arial"/>
          <w:sz w:val="22"/>
        </w:rPr>
      </w:pPr>
      <w:r w:rsidRPr="00C24B70">
        <w:rPr>
          <w:rFonts w:ascii="Arial" w:hAnsi="Arial" w:cs="Arial"/>
          <w:bCs/>
          <w:sz w:val="22"/>
          <w:lang w:eastAsia="cs-CZ"/>
        </w:rPr>
        <w:t xml:space="preserve">MD v rámci </w:t>
      </w:r>
      <w:r w:rsidRPr="00C24B70">
        <w:rPr>
          <w:rFonts w:ascii="Arial" w:hAnsi="Arial" w:cs="Arial"/>
          <w:bCs/>
          <w:iCs/>
          <w:sz w:val="22"/>
        </w:rPr>
        <w:t xml:space="preserve">inventarizace provedené za roky 2011, 2012 a 2013 </w:t>
      </w:r>
      <w:r w:rsidRPr="00281B62">
        <w:rPr>
          <w:rFonts w:ascii="Arial" w:hAnsi="Arial" w:cs="Arial"/>
          <w:b/>
          <w:bCs/>
          <w:iCs/>
          <w:sz w:val="22"/>
        </w:rPr>
        <w:t xml:space="preserve">nedohledalo při inventarizacích </w:t>
      </w:r>
      <w:r w:rsidRPr="00281B62">
        <w:rPr>
          <w:rFonts w:ascii="Arial" w:hAnsi="Arial" w:cs="Arial"/>
          <w:b/>
          <w:sz w:val="22"/>
        </w:rPr>
        <w:t>majetek zejména charakteru výpočetní techniky</w:t>
      </w:r>
      <w:r w:rsidR="009A7313" w:rsidRPr="00281B62">
        <w:rPr>
          <w:rFonts w:ascii="Arial" w:hAnsi="Arial" w:cs="Arial"/>
          <w:b/>
          <w:sz w:val="22"/>
        </w:rPr>
        <w:t xml:space="preserve"> </w:t>
      </w:r>
      <w:r w:rsidR="009A7313" w:rsidRPr="00281B62">
        <w:rPr>
          <w:rFonts w:ascii="Arial" w:hAnsi="Arial" w:cs="Arial"/>
          <w:sz w:val="22"/>
        </w:rPr>
        <w:t>(PC, tiskárny, fotoaparáty, notebooky apod.)</w:t>
      </w:r>
      <w:r w:rsidR="009A7313" w:rsidRPr="00281B62">
        <w:rPr>
          <w:rFonts w:ascii="Arial" w:hAnsi="Arial" w:cs="Arial"/>
          <w:b/>
          <w:sz w:val="22"/>
        </w:rPr>
        <w:t xml:space="preserve"> </w:t>
      </w:r>
      <w:r w:rsidRPr="00281B62">
        <w:rPr>
          <w:rFonts w:ascii="Arial" w:hAnsi="Arial" w:cs="Arial"/>
          <w:b/>
          <w:sz w:val="22"/>
        </w:rPr>
        <w:t>v řádu desítek milionů Kč</w:t>
      </w:r>
      <w:r w:rsidRPr="001731C5">
        <w:rPr>
          <w:rFonts w:ascii="Arial" w:hAnsi="Arial" w:cs="Arial"/>
          <w:b/>
          <w:sz w:val="22"/>
        </w:rPr>
        <w:t>,</w:t>
      </w:r>
      <w:r w:rsidR="009A7313">
        <w:rPr>
          <w:rFonts w:ascii="Arial" w:hAnsi="Arial" w:cs="Arial"/>
          <w:sz w:val="22"/>
        </w:rPr>
        <w:t xml:space="preserve"> </w:t>
      </w:r>
      <w:r w:rsidRPr="00D16CE6">
        <w:rPr>
          <w:rFonts w:ascii="Arial" w:hAnsi="Arial" w:cs="Arial"/>
          <w:sz w:val="22"/>
        </w:rPr>
        <w:t>a</w:t>
      </w:r>
      <w:r w:rsidR="009A7313">
        <w:rPr>
          <w:rFonts w:ascii="Arial" w:hAnsi="Arial" w:cs="Arial"/>
          <w:sz w:val="22"/>
        </w:rPr>
        <w:t> </w:t>
      </w:r>
      <w:r w:rsidRPr="00D16CE6">
        <w:rPr>
          <w:rFonts w:ascii="Arial" w:hAnsi="Arial" w:cs="Arial"/>
          <w:sz w:val="22"/>
        </w:rPr>
        <w:t>to:</w:t>
      </w:r>
    </w:p>
    <w:p w:rsidR="00EE6C3B" w:rsidRPr="00D16CE6" w:rsidRDefault="00EE6C3B" w:rsidP="001731C5">
      <w:pPr>
        <w:numPr>
          <w:ilvl w:val="0"/>
          <w:numId w:val="22"/>
        </w:numPr>
        <w:ind w:left="567" w:hanging="283"/>
        <w:rPr>
          <w:rFonts w:ascii="Arial" w:hAnsi="Arial" w:cs="Arial"/>
          <w:sz w:val="22"/>
        </w:rPr>
      </w:pPr>
      <w:r w:rsidRPr="00D16CE6">
        <w:rPr>
          <w:rFonts w:ascii="Arial" w:hAnsi="Arial" w:cs="Arial"/>
          <w:sz w:val="22"/>
        </w:rPr>
        <w:t xml:space="preserve">za rok 2011 majetek </w:t>
      </w:r>
      <w:r w:rsidR="0071213E">
        <w:rPr>
          <w:rFonts w:ascii="Arial" w:hAnsi="Arial" w:cs="Arial"/>
          <w:sz w:val="22"/>
        </w:rPr>
        <w:t xml:space="preserve">z oblasti </w:t>
      </w:r>
      <w:r w:rsidR="00A2358D">
        <w:rPr>
          <w:rFonts w:ascii="Arial" w:hAnsi="Arial" w:cs="Arial"/>
          <w:sz w:val="22"/>
        </w:rPr>
        <w:t>výpočetní</w:t>
      </w:r>
      <w:r w:rsidRPr="00D16CE6">
        <w:rPr>
          <w:rFonts w:ascii="Arial" w:hAnsi="Arial" w:cs="Arial"/>
          <w:sz w:val="22"/>
        </w:rPr>
        <w:t xml:space="preserve"> techniky ve výši 51 284 224,27 Kč, </w:t>
      </w:r>
    </w:p>
    <w:p w:rsidR="00EE6C3B" w:rsidRPr="00D16CE6" w:rsidRDefault="00EE6C3B" w:rsidP="001731C5">
      <w:pPr>
        <w:numPr>
          <w:ilvl w:val="0"/>
          <w:numId w:val="22"/>
        </w:numPr>
        <w:ind w:left="567" w:hanging="283"/>
        <w:jc w:val="left"/>
        <w:rPr>
          <w:rFonts w:ascii="Arial" w:hAnsi="Arial" w:cs="Arial"/>
          <w:sz w:val="22"/>
        </w:rPr>
      </w:pPr>
      <w:r w:rsidRPr="00D16CE6">
        <w:rPr>
          <w:rFonts w:ascii="Arial" w:hAnsi="Arial" w:cs="Arial"/>
          <w:sz w:val="22"/>
        </w:rPr>
        <w:t>za rok 2012 majetek vedený odbor</w:t>
      </w:r>
      <w:r w:rsidR="0071213E">
        <w:rPr>
          <w:rFonts w:ascii="Arial" w:hAnsi="Arial" w:cs="Arial"/>
          <w:sz w:val="22"/>
        </w:rPr>
        <w:t>em</w:t>
      </w:r>
      <w:r w:rsidRPr="00D16CE6">
        <w:rPr>
          <w:rFonts w:ascii="Arial" w:hAnsi="Arial" w:cs="Arial"/>
          <w:sz w:val="22"/>
        </w:rPr>
        <w:t xml:space="preserve"> informatiky a spisové služby ve výši 39 652 600</w:t>
      </w:r>
      <w:r w:rsidR="0071213E">
        <w:rPr>
          <w:rFonts w:ascii="Arial" w:hAnsi="Arial" w:cs="Arial"/>
          <w:sz w:val="22"/>
        </w:rPr>
        <w:t> </w:t>
      </w:r>
      <w:r w:rsidRPr="00D16CE6">
        <w:rPr>
          <w:rFonts w:ascii="Arial" w:hAnsi="Arial" w:cs="Arial"/>
          <w:sz w:val="22"/>
        </w:rPr>
        <w:t>Kč a dále drobný dlouhodobý hmotný ma</w:t>
      </w:r>
      <w:r w:rsidR="00996C20">
        <w:rPr>
          <w:rFonts w:ascii="Arial" w:hAnsi="Arial" w:cs="Arial"/>
          <w:sz w:val="22"/>
        </w:rPr>
        <w:t xml:space="preserve">jetek </w:t>
      </w:r>
      <w:r w:rsidRPr="00D16CE6">
        <w:rPr>
          <w:rFonts w:ascii="Arial" w:hAnsi="Arial" w:cs="Arial"/>
          <w:sz w:val="22"/>
        </w:rPr>
        <w:t>ve výši 11 640 474 Kč,</w:t>
      </w:r>
    </w:p>
    <w:p w:rsidR="00EE6C3B" w:rsidRPr="00D16CE6" w:rsidRDefault="00EE6C3B" w:rsidP="001731C5">
      <w:pPr>
        <w:numPr>
          <w:ilvl w:val="0"/>
          <w:numId w:val="22"/>
        </w:numPr>
        <w:ind w:left="567" w:hanging="283"/>
        <w:rPr>
          <w:rFonts w:ascii="Arial" w:hAnsi="Arial" w:cs="Arial"/>
          <w:sz w:val="22"/>
        </w:rPr>
      </w:pPr>
      <w:r w:rsidRPr="00D16CE6">
        <w:rPr>
          <w:rFonts w:ascii="Arial" w:hAnsi="Arial" w:cs="Arial"/>
          <w:sz w:val="22"/>
        </w:rPr>
        <w:t xml:space="preserve">za rok 2013 majetek </w:t>
      </w:r>
      <w:r w:rsidR="0071213E">
        <w:rPr>
          <w:rFonts w:ascii="Arial" w:hAnsi="Arial" w:cs="Arial"/>
          <w:sz w:val="22"/>
        </w:rPr>
        <w:t xml:space="preserve">z oblasti </w:t>
      </w:r>
      <w:r w:rsidR="00A2358D">
        <w:rPr>
          <w:rFonts w:ascii="Arial" w:hAnsi="Arial" w:cs="Arial"/>
          <w:sz w:val="22"/>
        </w:rPr>
        <w:t>výpočetní</w:t>
      </w:r>
      <w:r w:rsidRPr="00D16CE6">
        <w:rPr>
          <w:rFonts w:ascii="Arial" w:hAnsi="Arial" w:cs="Arial"/>
          <w:sz w:val="22"/>
        </w:rPr>
        <w:t xml:space="preserve"> techniky ve výši 8 471 687,20 Kč</w:t>
      </w:r>
      <w:r w:rsidR="00C53687" w:rsidRPr="00D16CE6">
        <w:rPr>
          <w:rFonts w:ascii="Arial" w:hAnsi="Arial" w:cs="Arial"/>
          <w:sz w:val="22"/>
        </w:rPr>
        <w:t>.</w:t>
      </w:r>
    </w:p>
    <w:p w:rsidR="007A4D8F" w:rsidRDefault="007A4D8F" w:rsidP="001731C5">
      <w:pPr>
        <w:rPr>
          <w:rFonts w:ascii="Arial" w:hAnsi="Arial" w:cs="Arial"/>
          <w:sz w:val="22"/>
        </w:rPr>
      </w:pPr>
    </w:p>
    <w:p w:rsidR="00EE6C3B" w:rsidRPr="00D16CE6" w:rsidRDefault="00EE6C3B" w:rsidP="001731C5">
      <w:pPr>
        <w:rPr>
          <w:rFonts w:ascii="Arial" w:hAnsi="Arial" w:cs="Arial"/>
          <w:sz w:val="22"/>
        </w:rPr>
      </w:pPr>
      <w:r w:rsidRPr="00D16CE6">
        <w:rPr>
          <w:rFonts w:ascii="Arial" w:hAnsi="Arial" w:cs="Arial"/>
          <w:sz w:val="22"/>
        </w:rPr>
        <w:t xml:space="preserve">Majetek byl dohledáván a částečně úspěšně dohledán v průběhu následujících účetních období (např. za rok 2012 byl </w:t>
      </w:r>
      <w:r w:rsidR="0071213E">
        <w:rPr>
          <w:rFonts w:ascii="Arial" w:hAnsi="Arial" w:cs="Arial"/>
          <w:sz w:val="22"/>
        </w:rPr>
        <w:t>dodatečně</w:t>
      </w:r>
      <w:r w:rsidR="0071213E" w:rsidRPr="00D16CE6">
        <w:rPr>
          <w:rFonts w:ascii="Arial" w:hAnsi="Arial" w:cs="Arial"/>
          <w:sz w:val="22"/>
        </w:rPr>
        <w:t xml:space="preserve"> </w:t>
      </w:r>
      <w:r w:rsidRPr="00D16CE6">
        <w:rPr>
          <w:rFonts w:ascii="Arial" w:hAnsi="Arial" w:cs="Arial"/>
          <w:sz w:val="22"/>
        </w:rPr>
        <w:t xml:space="preserve">dohledán majetek za více než 30 mil. Kč). </w:t>
      </w:r>
      <w:r w:rsidRPr="00281B62">
        <w:rPr>
          <w:rFonts w:ascii="Arial" w:hAnsi="Arial" w:cs="Arial"/>
          <w:b/>
          <w:sz w:val="22"/>
        </w:rPr>
        <w:t>Až v účetním období roku 2013 však MD zaúčtovalo nedohledaný majetek jako inventarizační rozdíl; v předchozích letech 2011 a 2012 nedoh</w:t>
      </w:r>
      <w:r w:rsidR="005A432B" w:rsidRPr="00281B62">
        <w:rPr>
          <w:rFonts w:ascii="Arial" w:hAnsi="Arial" w:cs="Arial"/>
          <w:b/>
          <w:sz w:val="22"/>
        </w:rPr>
        <w:t>ledan</w:t>
      </w:r>
      <w:r w:rsidR="00125D43" w:rsidRPr="00281B62">
        <w:rPr>
          <w:rFonts w:ascii="Arial" w:hAnsi="Arial" w:cs="Arial"/>
          <w:b/>
          <w:sz w:val="22"/>
        </w:rPr>
        <w:t>ý</w:t>
      </w:r>
      <w:r w:rsidR="005A432B" w:rsidRPr="00281B62">
        <w:rPr>
          <w:rFonts w:ascii="Arial" w:hAnsi="Arial" w:cs="Arial"/>
          <w:b/>
          <w:sz w:val="22"/>
        </w:rPr>
        <w:t xml:space="preserve"> majet</w:t>
      </w:r>
      <w:r w:rsidR="00125D43" w:rsidRPr="00281B62">
        <w:rPr>
          <w:rFonts w:ascii="Arial" w:hAnsi="Arial" w:cs="Arial"/>
          <w:b/>
          <w:sz w:val="22"/>
        </w:rPr>
        <w:t>e</w:t>
      </w:r>
      <w:r w:rsidR="005A432B" w:rsidRPr="00281B62">
        <w:rPr>
          <w:rFonts w:ascii="Arial" w:hAnsi="Arial" w:cs="Arial"/>
          <w:b/>
          <w:sz w:val="22"/>
        </w:rPr>
        <w:t xml:space="preserve">k vykazovalo, ačkoliv při inventuře </w:t>
      </w:r>
      <w:r w:rsidRPr="00281B62">
        <w:rPr>
          <w:rFonts w:ascii="Arial" w:hAnsi="Arial" w:cs="Arial"/>
          <w:b/>
          <w:sz w:val="22"/>
        </w:rPr>
        <w:t>neprokázalo jeho existenci.</w:t>
      </w:r>
    </w:p>
    <w:p w:rsidR="00281B62" w:rsidRDefault="00281B62" w:rsidP="001731C5">
      <w:pPr>
        <w:rPr>
          <w:rFonts w:ascii="Arial" w:hAnsi="Arial" w:cs="Arial"/>
          <w:b/>
          <w:i/>
          <w:sz w:val="22"/>
        </w:rPr>
      </w:pPr>
    </w:p>
    <w:p w:rsidR="00952F5C" w:rsidRPr="00D16CE6" w:rsidRDefault="00952F5C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 xml:space="preserve">Ocenění </w:t>
      </w:r>
      <w:r w:rsidR="00807F97" w:rsidRPr="00D16CE6">
        <w:rPr>
          <w:rFonts w:ascii="Arial" w:hAnsi="Arial" w:cs="Arial"/>
          <w:b/>
          <w:i/>
          <w:sz w:val="22"/>
        </w:rPr>
        <w:t>programových vybavení</w:t>
      </w:r>
    </w:p>
    <w:p w:rsidR="00807F97" w:rsidRDefault="00952F5C" w:rsidP="001731C5">
      <w:pPr>
        <w:rPr>
          <w:rFonts w:ascii="Arial" w:hAnsi="Arial" w:cs="Arial"/>
          <w:sz w:val="22"/>
          <w:lang w:eastAsia="cs-CZ"/>
        </w:rPr>
      </w:pPr>
      <w:r w:rsidRPr="00BD1316">
        <w:rPr>
          <w:rFonts w:ascii="Arial" w:hAnsi="Arial" w:cs="Arial"/>
          <w:b/>
          <w:sz w:val="22"/>
        </w:rPr>
        <w:t>MD</w:t>
      </w:r>
      <w:r w:rsidRPr="00D16CE6">
        <w:rPr>
          <w:rFonts w:ascii="Arial" w:hAnsi="Arial" w:cs="Arial"/>
          <w:sz w:val="22"/>
        </w:rPr>
        <w:t xml:space="preserve"> v letech 2010 až 2012 </w:t>
      </w:r>
      <w:r w:rsidRPr="00BD1316">
        <w:rPr>
          <w:rFonts w:ascii="Arial" w:hAnsi="Arial" w:cs="Arial"/>
          <w:b/>
          <w:sz w:val="22"/>
        </w:rPr>
        <w:t xml:space="preserve">každý měsíc účtovalo o uvedení technického zhodnocení svého programového vybavení používaného pro vedení účetnictví do užívání v paušální částce, aniž by </w:t>
      </w:r>
      <w:r w:rsidRPr="00BD1316">
        <w:rPr>
          <w:rFonts w:ascii="Arial" w:hAnsi="Arial" w:cs="Arial"/>
          <w:b/>
          <w:sz w:val="22"/>
          <w:lang w:eastAsia="cs-CZ"/>
        </w:rPr>
        <w:t>prokázalo, že zaúčtované částky představovaly výdaje za technické zhodnocení</w:t>
      </w:r>
      <w:r w:rsidRPr="00D16CE6">
        <w:rPr>
          <w:rFonts w:ascii="Arial" w:hAnsi="Arial" w:cs="Arial"/>
          <w:sz w:val="22"/>
          <w:lang w:eastAsia="cs-CZ"/>
        </w:rPr>
        <w:t xml:space="preserve"> systému</w:t>
      </w:r>
      <w:r w:rsidR="0071213E">
        <w:rPr>
          <w:rFonts w:ascii="Arial" w:hAnsi="Arial" w:cs="Arial"/>
          <w:sz w:val="22"/>
          <w:lang w:eastAsia="cs-CZ"/>
        </w:rPr>
        <w:t xml:space="preserve"> </w:t>
      </w:r>
      <w:r w:rsidRPr="00D16CE6">
        <w:rPr>
          <w:rFonts w:ascii="Arial" w:hAnsi="Arial" w:cs="Arial"/>
          <w:sz w:val="22"/>
          <w:lang w:eastAsia="cs-CZ"/>
        </w:rPr>
        <w:t>uvedené každ</w:t>
      </w:r>
      <w:r w:rsidR="00281B62">
        <w:rPr>
          <w:rFonts w:ascii="Arial" w:hAnsi="Arial" w:cs="Arial"/>
          <w:sz w:val="22"/>
          <w:lang w:eastAsia="cs-CZ"/>
        </w:rPr>
        <w:t xml:space="preserve">ý měsíc </w:t>
      </w:r>
      <w:r w:rsidRPr="00D16CE6">
        <w:rPr>
          <w:rFonts w:ascii="Arial" w:hAnsi="Arial" w:cs="Arial"/>
          <w:sz w:val="22"/>
          <w:lang w:eastAsia="cs-CZ"/>
        </w:rPr>
        <w:t xml:space="preserve">do užívání. </w:t>
      </w:r>
      <w:r w:rsidR="00807F97" w:rsidRPr="00D16CE6">
        <w:rPr>
          <w:rFonts w:ascii="Arial" w:hAnsi="Arial" w:cs="Arial"/>
          <w:sz w:val="22"/>
          <w:lang w:eastAsia="cs-CZ"/>
        </w:rPr>
        <w:t xml:space="preserve">Pravidelné měsíční účtování o technickém zhodnocení formou paušálu </w:t>
      </w:r>
      <w:r w:rsidR="00807F97" w:rsidRPr="00BD1316">
        <w:rPr>
          <w:rFonts w:ascii="Arial" w:hAnsi="Arial" w:cs="Arial"/>
          <w:b/>
          <w:sz w:val="22"/>
          <w:lang w:eastAsia="cs-CZ"/>
        </w:rPr>
        <w:t>bez ohledu na provedené práce v principu nemůže vést k takovému prokázání</w:t>
      </w:r>
      <w:r w:rsidR="00807F97" w:rsidRPr="001731C5">
        <w:rPr>
          <w:rFonts w:ascii="Arial" w:hAnsi="Arial" w:cs="Arial"/>
          <w:b/>
          <w:sz w:val="22"/>
          <w:lang w:eastAsia="cs-CZ"/>
        </w:rPr>
        <w:t>.</w:t>
      </w:r>
      <w:r w:rsidR="00807F97" w:rsidRPr="00D16CE6">
        <w:rPr>
          <w:rFonts w:ascii="Arial" w:hAnsi="Arial" w:cs="Arial"/>
          <w:sz w:val="22"/>
          <w:lang w:eastAsia="cs-CZ"/>
        </w:rPr>
        <w:t xml:space="preserve"> </w:t>
      </w:r>
    </w:p>
    <w:p w:rsidR="007A4D8F" w:rsidRPr="00D16CE6" w:rsidRDefault="007A4D8F" w:rsidP="001731C5">
      <w:pPr>
        <w:rPr>
          <w:rFonts w:ascii="Arial" w:hAnsi="Arial" w:cs="Arial"/>
          <w:sz w:val="22"/>
          <w:lang w:eastAsia="cs-CZ"/>
        </w:rPr>
      </w:pPr>
    </w:p>
    <w:p w:rsidR="00807F97" w:rsidRDefault="000C7D46" w:rsidP="001731C5">
      <w:pPr>
        <w:rPr>
          <w:rFonts w:ascii="Arial" w:hAnsi="Arial" w:cs="Arial"/>
          <w:sz w:val="22"/>
        </w:rPr>
      </w:pPr>
      <w:r w:rsidRPr="00D16CE6">
        <w:rPr>
          <w:rFonts w:ascii="Arial" w:hAnsi="Arial" w:cs="Arial"/>
          <w:sz w:val="22"/>
        </w:rPr>
        <w:t xml:space="preserve">MD mělo </w:t>
      </w:r>
      <w:r w:rsidR="0071213E">
        <w:rPr>
          <w:rFonts w:ascii="Arial" w:hAnsi="Arial" w:cs="Arial"/>
          <w:sz w:val="22"/>
        </w:rPr>
        <w:t xml:space="preserve">pro případy </w:t>
      </w:r>
      <w:r w:rsidRPr="00D16CE6">
        <w:rPr>
          <w:rFonts w:ascii="Arial" w:hAnsi="Arial" w:cs="Arial"/>
          <w:sz w:val="22"/>
        </w:rPr>
        <w:t xml:space="preserve">pořizování svých programových vybavení nastavit takové postupy, aby </w:t>
      </w:r>
      <w:r w:rsidR="00172E5F">
        <w:rPr>
          <w:rFonts w:ascii="Arial" w:hAnsi="Arial" w:cs="Arial"/>
          <w:sz w:val="22"/>
        </w:rPr>
        <w:t xml:space="preserve">účtování o prostředcích </w:t>
      </w:r>
      <w:r w:rsidRPr="00C24B70">
        <w:rPr>
          <w:rFonts w:ascii="Arial" w:hAnsi="Arial" w:cs="Arial"/>
          <w:sz w:val="22"/>
        </w:rPr>
        <w:t>vynaložených na pořízení těchto systém</w:t>
      </w:r>
      <w:r w:rsidRPr="00D16CE6">
        <w:rPr>
          <w:rFonts w:ascii="Arial" w:hAnsi="Arial" w:cs="Arial"/>
          <w:sz w:val="22"/>
        </w:rPr>
        <w:t>ů</w:t>
      </w:r>
      <w:r w:rsidR="00172E5F">
        <w:rPr>
          <w:rFonts w:ascii="Arial" w:hAnsi="Arial" w:cs="Arial"/>
          <w:sz w:val="22"/>
        </w:rPr>
        <w:t xml:space="preserve">, </w:t>
      </w:r>
      <w:r w:rsidRPr="00C24B70">
        <w:rPr>
          <w:rFonts w:ascii="Arial" w:hAnsi="Arial" w:cs="Arial"/>
          <w:sz w:val="22"/>
        </w:rPr>
        <w:t>jejich ocenění</w:t>
      </w:r>
      <w:r w:rsidR="00172E5F">
        <w:rPr>
          <w:rFonts w:ascii="Arial" w:hAnsi="Arial" w:cs="Arial"/>
          <w:sz w:val="22"/>
        </w:rPr>
        <w:t xml:space="preserve">, </w:t>
      </w:r>
      <w:r w:rsidRPr="00C24B70">
        <w:rPr>
          <w:rFonts w:ascii="Arial" w:hAnsi="Arial" w:cs="Arial"/>
          <w:sz w:val="22"/>
        </w:rPr>
        <w:t>provedení a uvedení technické</w:t>
      </w:r>
      <w:r w:rsidR="001500D2">
        <w:rPr>
          <w:rFonts w:ascii="Arial" w:hAnsi="Arial" w:cs="Arial"/>
          <w:sz w:val="22"/>
        </w:rPr>
        <w:t>ho</w:t>
      </w:r>
      <w:r w:rsidRPr="00C24B70">
        <w:rPr>
          <w:rFonts w:ascii="Arial" w:hAnsi="Arial" w:cs="Arial"/>
          <w:sz w:val="22"/>
        </w:rPr>
        <w:t xml:space="preserve"> zhodnocení do užívání </w:t>
      </w:r>
      <w:r w:rsidR="00172E5F">
        <w:rPr>
          <w:rFonts w:ascii="Arial" w:hAnsi="Arial" w:cs="Arial"/>
          <w:sz w:val="22"/>
        </w:rPr>
        <w:t>bylo založeno na prokázaných skutečnostech.</w:t>
      </w:r>
    </w:p>
    <w:p w:rsidR="00BD1316" w:rsidRDefault="00BD1316" w:rsidP="001731C5">
      <w:pPr>
        <w:pStyle w:val="Default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EE6C3B" w:rsidRDefault="00DB7F5D" w:rsidP="00300D1C">
      <w:pPr>
        <w:pStyle w:val="Default"/>
        <w:spacing w:after="120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1.2.2 </w:t>
      </w:r>
      <w:r w:rsidR="00971822">
        <w:rPr>
          <w:rFonts w:ascii="Arial" w:eastAsia="Calibri" w:hAnsi="Arial" w:cs="Arial"/>
          <w:b/>
          <w:color w:val="auto"/>
          <w:sz w:val="22"/>
          <w:szCs w:val="22"/>
        </w:rPr>
        <w:t>Nesprávnosti v účetní závěrce</w:t>
      </w:r>
    </w:p>
    <w:p w:rsidR="003067C4" w:rsidRDefault="003067C4" w:rsidP="001731C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Kontrola NKÚ probíhala </w:t>
      </w:r>
      <w:r w:rsidR="00C80998">
        <w:rPr>
          <w:rFonts w:ascii="Arial" w:hAnsi="Arial" w:cs="Arial"/>
          <w:sz w:val="22"/>
        </w:rPr>
        <w:t>z významné části před uzavřením kontrolovaného</w:t>
      </w:r>
      <w:r>
        <w:rPr>
          <w:rFonts w:ascii="Arial" w:hAnsi="Arial" w:cs="Arial"/>
          <w:sz w:val="22"/>
        </w:rPr>
        <w:t xml:space="preserve"> účetního období</w:t>
      </w:r>
      <w:r w:rsidR="00D9415A">
        <w:rPr>
          <w:rFonts w:ascii="Arial" w:hAnsi="Arial" w:cs="Arial"/>
          <w:sz w:val="22"/>
        </w:rPr>
        <w:t xml:space="preserve"> a </w:t>
      </w:r>
      <w:r w:rsidR="0071213E">
        <w:rPr>
          <w:rFonts w:ascii="Arial" w:hAnsi="Arial" w:cs="Arial"/>
          <w:sz w:val="22"/>
        </w:rPr>
        <w:t xml:space="preserve">před </w:t>
      </w:r>
      <w:r w:rsidR="00C80998">
        <w:rPr>
          <w:rFonts w:ascii="Arial" w:hAnsi="Arial" w:cs="Arial"/>
          <w:sz w:val="22"/>
        </w:rPr>
        <w:t>sestavením účetní závěrky MD za toto období</w:t>
      </w:r>
      <w:r>
        <w:rPr>
          <w:rFonts w:ascii="Arial" w:hAnsi="Arial" w:cs="Arial"/>
          <w:sz w:val="22"/>
        </w:rPr>
        <w:t xml:space="preserve">, </w:t>
      </w:r>
      <w:r w:rsidR="00FA671B">
        <w:rPr>
          <w:rFonts w:ascii="Arial" w:hAnsi="Arial" w:cs="Arial"/>
          <w:sz w:val="22"/>
        </w:rPr>
        <w:t xml:space="preserve">což </w:t>
      </w:r>
      <w:r w:rsidR="0071213E">
        <w:rPr>
          <w:rFonts w:ascii="Arial" w:hAnsi="Arial" w:cs="Arial"/>
          <w:sz w:val="22"/>
        </w:rPr>
        <w:t>Ministerstvu dopravy</w:t>
      </w:r>
      <w:r>
        <w:rPr>
          <w:rFonts w:ascii="Arial" w:hAnsi="Arial" w:cs="Arial"/>
          <w:sz w:val="22"/>
        </w:rPr>
        <w:t xml:space="preserve"> </w:t>
      </w:r>
      <w:r w:rsidR="00FA671B">
        <w:rPr>
          <w:rFonts w:ascii="Arial" w:hAnsi="Arial" w:cs="Arial"/>
          <w:sz w:val="22"/>
        </w:rPr>
        <w:t>mj.</w:t>
      </w:r>
      <w:r w:rsidR="0071213E">
        <w:rPr>
          <w:rFonts w:ascii="Arial" w:hAnsi="Arial" w:cs="Arial"/>
          <w:sz w:val="22"/>
        </w:rPr>
        <w:t> </w:t>
      </w:r>
      <w:r w:rsidR="00FA671B">
        <w:rPr>
          <w:rFonts w:ascii="Arial" w:hAnsi="Arial" w:cs="Arial"/>
          <w:sz w:val="22"/>
        </w:rPr>
        <w:t xml:space="preserve">umožňovalo řešit </w:t>
      </w:r>
      <w:r>
        <w:rPr>
          <w:rFonts w:ascii="Arial" w:hAnsi="Arial" w:cs="Arial"/>
          <w:sz w:val="22"/>
        </w:rPr>
        <w:t xml:space="preserve">některé problémy zjištěné </w:t>
      </w:r>
      <w:r w:rsidR="00D90C9F">
        <w:rPr>
          <w:rFonts w:ascii="Arial" w:hAnsi="Arial" w:cs="Arial"/>
          <w:sz w:val="22"/>
        </w:rPr>
        <w:t xml:space="preserve">kontrolou a související </w:t>
      </w:r>
      <w:r w:rsidR="0044342E">
        <w:rPr>
          <w:rFonts w:ascii="Arial" w:hAnsi="Arial" w:cs="Arial"/>
          <w:sz w:val="22"/>
        </w:rPr>
        <w:t>s </w:t>
      </w:r>
      <w:r>
        <w:rPr>
          <w:rFonts w:ascii="Arial" w:hAnsi="Arial" w:cs="Arial"/>
          <w:sz w:val="22"/>
        </w:rPr>
        <w:t>vedení</w:t>
      </w:r>
      <w:r w:rsidR="00D90C9F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účetnictví tak, aby neměly negativní dopad na údaje vykázané </w:t>
      </w:r>
      <w:r w:rsidR="0044342E">
        <w:rPr>
          <w:rFonts w:ascii="Arial" w:hAnsi="Arial" w:cs="Arial"/>
          <w:sz w:val="22"/>
        </w:rPr>
        <w:t>v </w:t>
      </w:r>
      <w:r>
        <w:rPr>
          <w:rFonts w:ascii="Arial" w:hAnsi="Arial" w:cs="Arial"/>
          <w:sz w:val="22"/>
        </w:rPr>
        <w:t>účetní závěrce MD k 31. 12. 2013.</w:t>
      </w:r>
    </w:p>
    <w:p w:rsidR="007A4D8F" w:rsidRDefault="007A4D8F" w:rsidP="001731C5">
      <w:pPr>
        <w:rPr>
          <w:rFonts w:ascii="Arial" w:hAnsi="Arial" w:cs="Arial"/>
          <w:color w:val="000000"/>
          <w:sz w:val="22"/>
        </w:rPr>
      </w:pPr>
    </w:p>
    <w:p w:rsidR="001F0C24" w:rsidRDefault="00DF0C3E" w:rsidP="001731C5">
      <w:pPr>
        <w:rPr>
          <w:rFonts w:ascii="Arial" w:hAnsi="Arial" w:cs="Arial"/>
          <w:color w:val="000000"/>
          <w:sz w:val="22"/>
        </w:rPr>
      </w:pPr>
      <w:r w:rsidRPr="00DF0C3E">
        <w:rPr>
          <w:rFonts w:ascii="Arial" w:hAnsi="Arial" w:cs="Arial"/>
          <w:color w:val="000000"/>
          <w:sz w:val="22"/>
        </w:rPr>
        <w:t xml:space="preserve">V účetní závěrce MD sestavené k 31. </w:t>
      </w:r>
      <w:r w:rsidR="00D9415A">
        <w:rPr>
          <w:rFonts w:ascii="Arial" w:hAnsi="Arial" w:cs="Arial"/>
          <w:color w:val="000000"/>
          <w:sz w:val="22"/>
        </w:rPr>
        <w:t>12.</w:t>
      </w:r>
      <w:r w:rsidRPr="00DF0C3E">
        <w:rPr>
          <w:rFonts w:ascii="Arial" w:hAnsi="Arial" w:cs="Arial"/>
          <w:color w:val="000000"/>
          <w:sz w:val="22"/>
        </w:rPr>
        <w:t xml:space="preserve"> 2013 byla v</w:t>
      </w:r>
      <w:r w:rsidR="003067C4">
        <w:rPr>
          <w:rFonts w:ascii="Arial" w:hAnsi="Arial" w:cs="Arial"/>
          <w:color w:val="000000"/>
          <w:sz w:val="22"/>
        </w:rPr>
        <w:t>e vykázaných</w:t>
      </w:r>
      <w:r w:rsidR="00675428">
        <w:rPr>
          <w:rFonts w:ascii="Arial" w:hAnsi="Arial" w:cs="Arial"/>
          <w:color w:val="000000"/>
          <w:sz w:val="22"/>
        </w:rPr>
        <w:t xml:space="preserve"> </w:t>
      </w:r>
      <w:r w:rsidRPr="00DF0C3E">
        <w:rPr>
          <w:rFonts w:ascii="Arial" w:hAnsi="Arial" w:cs="Arial"/>
          <w:color w:val="000000"/>
          <w:sz w:val="22"/>
        </w:rPr>
        <w:t>údajích za běžné účetní období zjištěna celková nesprávnost ve výši 10,6 mld. Kč</w:t>
      </w:r>
      <w:r w:rsidR="00675428">
        <w:rPr>
          <w:rFonts w:ascii="Arial" w:hAnsi="Arial" w:cs="Arial"/>
          <w:color w:val="000000"/>
          <w:sz w:val="22"/>
        </w:rPr>
        <w:t>, na níž</w:t>
      </w:r>
      <w:r w:rsidR="001F0C24" w:rsidRPr="00DF0C3E">
        <w:rPr>
          <w:rFonts w:ascii="Arial" w:hAnsi="Arial" w:cs="Arial"/>
          <w:color w:val="000000"/>
          <w:sz w:val="22"/>
        </w:rPr>
        <w:t xml:space="preserve"> se podílelo nadhodnocení a</w:t>
      </w:r>
      <w:r w:rsidR="00675428">
        <w:rPr>
          <w:rFonts w:ascii="Arial" w:hAnsi="Arial" w:cs="Arial"/>
          <w:color w:val="000000"/>
          <w:sz w:val="22"/>
        </w:rPr>
        <w:t> </w:t>
      </w:r>
      <w:r w:rsidR="001F0C24" w:rsidRPr="00DF0C3E">
        <w:rPr>
          <w:rFonts w:ascii="Arial" w:hAnsi="Arial" w:cs="Arial"/>
          <w:color w:val="000000"/>
          <w:sz w:val="22"/>
        </w:rPr>
        <w:t xml:space="preserve">podhodnocení zůstatků jednotlivých položek </w:t>
      </w:r>
      <w:r w:rsidR="0071213E">
        <w:rPr>
          <w:rFonts w:ascii="Arial" w:hAnsi="Arial" w:cs="Arial"/>
          <w:color w:val="000000"/>
          <w:sz w:val="22"/>
        </w:rPr>
        <w:t>r</w:t>
      </w:r>
      <w:r w:rsidR="001F0C24" w:rsidRPr="00DF0C3E">
        <w:rPr>
          <w:rFonts w:ascii="Arial" w:hAnsi="Arial" w:cs="Arial"/>
          <w:color w:val="000000"/>
          <w:sz w:val="22"/>
        </w:rPr>
        <w:t xml:space="preserve">ozvahy, </w:t>
      </w:r>
      <w:r w:rsidR="0071213E">
        <w:rPr>
          <w:rFonts w:ascii="Arial" w:hAnsi="Arial" w:cs="Arial"/>
          <w:color w:val="000000"/>
          <w:sz w:val="22"/>
        </w:rPr>
        <w:t>v</w:t>
      </w:r>
      <w:r w:rsidR="001F0C24" w:rsidRPr="00DF0C3E">
        <w:rPr>
          <w:rFonts w:ascii="Arial" w:hAnsi="Arial" w:cs="Arial"/>
          <w:color w:val="000000"/>
          <w:sz w:val="22"/>
        </w:rPr>
        <w:t xml:space="preserve">ýkazu zisku a ztráty, </w:t>
      </w:r>
      <w:r w:rsidR="0071213E">
        <w:rPr>
          <w:rFonts w:ascii="Arial" w:hAnsi="Arial" w:cs="Arial"/>
          <w:color w:val="000000"/>
          <w:sz w:val="22"/>
        </w:rPr>
        <w:t>p</w:t>
      </w:r>
      <w:r w:rsidR="001F0C24" w:rsidRPr="00DF0C3E">
        <w:rPr>
          <w:rFonts w:ascii="Arial" w:hAnsi="Arial" w:cs="Arial"/>
          <w:color w:val="000000"/>
          <w:sz w:val="22"/>
        </w:rPr>
        <w:t>řehledu o</w:t>
      </w:r>
      <w:r w:rsidR="00675428">
        <w:rPr>
          <w:rFonts w:ascii="Arial" w:hAnsi="Arial" w:cs="Arial"/>
          <w:color w:val="000000"/>
          <w:sz w:val="22"/>
        </w:rPr>
        <w:t> </w:t>
      </w:r>
      <w:r w:rsidR="001F0C24" w:rsidRPr="00DF0C3E">
        <w:rPr>
          <w:rFonts w:ascii="Arial" w:hAnsi="Arial" w:cs="Arial"/>
          <w:color w:val="000000"/>
          <w:sz w:val="22"/>
        </w:rPr>
        <w:t xml:space="preserve">peněžních tocích a </w:t>
      </w:r>
      <w:r w:rsidR="0071213E">
        <w:rPr>
          <w:rFonts w:ascii="Arial" w:hAnsi="Arial" w:cs="Arial"/>
          <w:color w:val="000000"/>
          <w:sz w:val="22"/>
        </w:rPr>
        <w:t>p</w:t>
      </w:r>
      <w:r w:rsidR="001F0C24" w:rsidRPr="00DF0C3E">
        <w:rPr>
          <w:rFonts w:ascii="Arial" w:hAnsi="Arial" w:cs="Arial"/>
          <w:color w:val="000000"/>
          <w:sz w:val="22"/>
        </w:rPr>
        <w:t>řílohy</w:t>
      </w:r>
      <w:r w:rsidR="0071213E">
        <w:rPr>
          <w:rFonts w:ascii="Arial" w:hAnsi="Arial" w:cs="Arial"/>
          <w:color w:val="000000"/>
          <w:sz w:val="22"/>
        </w:rPr>
        <w:t>.</w:t>
      </w:r>
      <w:r w:rsidR="001F0C24" w:rsidRPr="00DF0C3E">
        <w:rPr>
          <w:rFonts w:ascii="Arial" w:hAnsi="Arial" w:cs="Arial"/>
          <w:color w:val="000000"/>
          <w:sz w:val="22"/>
        </w:rPr>
        <w:t xml:space="preserve"> </w:t>
      </w:r>
      <w:r w:rsidR="0071213E">
        <w:rPr>
          <w:rFonts w:ascii="Arial" w:hAnsi="Arial" w:cs="Arial"/>
          <w:color w:val="000000"/>
          <w:sz w:val="22"/>
        </w:rPr>
        <w:t xml:space="preserve">Nesprávnost byla zapříčiněna </w:t>
      </w:r>
      <w:r w:rsidR="00675428">
        <w:rPr>
          <w:rFonts w:ascii="Arial" w:hAnsi="Arial" w:cs="Arial"/>
          <w:color w:val="000000"/>
          <w:sz w:val="22"/>
        </w:rPr>
        <w:t>tím</w:t>
      </w:r>
      <w:r w:rsidR="001F0C24" w:rsidRPr="00DF0C3E">
        <w:rPr>
          <w:rFonts w:ascii="Arial" w:hAnsi="Arial" w:cs="Arial"/>
          <w:color w:val="000000"/>
          <w:sz w:val="22"/>
        </w:rPr>
        <w:t xml:space="preserve">, že MD v roce 2013 </w:t>
      </w:r>
      <w:r w:rsidR="00A702F9">
        <w:rPr>
          <w:rFonts w:ascii="Arial" w:hAnsi="Arial" w:cs="Arial"/>
          <w:color w:val="000000"/>
          <w:sz w:val="22"/>
        </w:rPr>
        <w:t xml:space="preserve">nepostupovalo v souladu </w:t>
      </w:r>
      <w:r w:rsidR="0044342E">
        <w:rPr>
          <w:rFonts w:ascii="Arial" w:hAnsi="Arial" w:cs="Arial"/>
          <w:color w:val="000000"/>
          <w:sz w:val="22"/>
        </w:rPr>
        <w:t>s </w:t>
      </w:r>
      <w:r w:rsidR="001F0C24" w:rsidRPr="00DF0C3E">
        <w:rPr>
          <w:rFonts w:ascii="Arial" w:hAnsi="Arial" w:cs="Arial"/>
          <w:color w:val="000000"/>
          <w:sz w:val="22"/>
        </w:rPr>
        <w:t>právní</w:t>
      </w:r>
      <w:r w:rsidR="00A702F9">
        <w:rPr>
          <w:rFonts w:ascii="Arial" w:hAnsi="Arial" w:cs="Arial"/>
          <w:color w:val="000000"/>
          <w:sz w:val="22"/>
        </w:rPr>
        <w:t>mi</w:t>
      </w:r>
      <w:r w:rsidR="001F0C24" w:rsidRPr="00DF0C3E">
        <w:rPr>
          <w:rFonts w:ascii="Arial" w:hAnsi="Arial" w:cs="Arial"/>
          <w:color w:val="000000"/>
          <w:sz w:val="22"/>
        </w:rPr>
        <w:t xml:space="preserve"> předpisy upravující</w:t>
      </w:r>
      <w:r w:rsidR="00A702F9">
        <w:rPr>
          <w:rFonts w:ascii="Arial" w:hAnsi="Arial" w:cs="Arial"/>
          <w:color w:val="000000"/>
          <w:sz w:val="22"/>
        </w:rPr>
        <w:t>mi</w:t>
      </w:r>
      <w:r w:rsidR="001F0C24" w:rsidRPr="00DF0C3E">
        <w:rPr>
          <w:rFonts w:ascii="Arial" w:hAnsi="Arial" w:cs="Arial"/>
          <w:color w:val="000000"/>
          <w:sz w:val="22"/>
        </w:rPr>
        <w:t xml:space="preserve"> účetnictví </w:t>
      </w:r>
      <w:r w:rsidR="001F0C24" w:rsidRPr="00A702F9">
        <w:rPr>
          <w:rFonts w:ascii="Arial" w:hAnsi="Arial" w:cs="Arial"/>
          <w:color w:val="000000"/>
          <w:sz w:val="22"/>
        </w:rPr>
        <w:t xml:space="preserve">a účetní výkaznictví </w:t>
      </w:r>
      <w:r w:rsidR="001F0C24" w:rsidRPr="00A702F9">
        <w:rPr>
          <w:rFonts w:ascii="Arial" w:hAnsi="Arial" w:cs="Arial"/>
          <w:color w:val="000000"/>
          <w:sz w:val="22"/>
        </w:rPr>
        <w:lastRenderedPageBreak/>
        <w:t>OSS</w:t>
      </w:r>
      <w:r w:rsidR="0071213E">
        <w:rPr>
          <w:rFonts w:ascii="Arial" w:hAnsi="Arial" w:cs="Arial"/>
          <w:color w:val="000000"/>
          <w:sz w:val="22"/>
        </w:rPr>
        <w:t>.</w:t>
      </w:r>
      <w:r w:rsidR="00A702F9" w:rsidRPr="00A702F9">
        <w:rPr>
          <w:rFonts w:ascii="Arial" w:hAnsi="Arial" w:cs="Arial"/>
          <w:color w:val="000000"/>
          <w:sz w:val="22"/>
        </w:rPr>
        <w:t xml:space="preserve"> </w:t>
      </w:r>
      <w:r w:rsidR="0071213E">
        <w:rPr>
          <w:rFonts w:ascii="Arial" w:hAnsi="Arial" w:cs="Arial"/>
          <w:color w:val="000000"/>
          <w:sz w:val="22"/>
        </w:rPr>
        <w:t>N</w:t>
      </w:r>
      <w:r w:rsidR="00A702F9" w:rsidRPr="00D16CE6">
        <w:rPr>
          <w:rFonts w:ascii="Arial" w:hAnsi="Arial" w:cs="Arial"/>
          <w:sz w:val="22"/>
        </w:rPr>
        <w:t xml:space="preserve">a výši zjištěné celkové započtené nesprávnosti se z 99,9 % </w:t>
      </w:r>
      <w:r w:rsidR="000544A6" w:rsidRPr="000544A6">
        <w:rPr>
          <w:rFonts w:ascii="Arial" w:hAnsi="Arial" w:cs="Arial"/>
          <w:sz w:val="22"/>
        </w:rPr>
        <w:t>podíl</w:t>
      </w:r>
      <w:r w:rsidR="000544A6">
        <w:rPr>
          <w:rFonts w:ascii="Arial" w:hAnsi="Arial" w:cs="Arial"/>
          <w:sz w:val="22"/>
        </w:rPr>
        <w:t>elo</w:t>
      </w:r>
      <w:r w:rsidR="00A702F9" w:rsidRPr="00D16CE6">
        <w:rPr>
          <w:rFonts w:ascii="Arial" w:hAnsi="Arial" w:cs="Arial"/>
          <w:sz w:val="22"/>
        </w:rPr>
        <w:t xml:space="preserve"> jedno chybné zatřídění podrozvahového závazku ve výkazu </w:t>
      </w:r>
      <w:r w:rsidR="0071213E">
        <w:rPr>
          <w:rFonts w:ascii="Arial" w:hAnsi="Arial" w:cs="Arial"/>
          <w:sz w:val="22"/>
        </w:rPr>
        <w:t>p</w:t>
      </w:r>
      <w:r w:rsidR="00A702F9" w:rsidRPr="00D16CE6">
        <w:rPr>
          <w:rFonts w:ascii="Arial" w:hAnsi="Arial" w:cs="Arial"/>
          <w:sz w:val="22"/>
        </w:rPr>
        <w:t>říloha.</w:t>
      </w:r>
      <w:r w:rsidR="001F0C24" w:rsidRPr="00DF0C3E">
        <w:rPr>
          <w:rFonts w:ascii="Arial" w:hAnsi="Arial" w:cs="Arial"/>
          <w:color w:val="000000"/>
          <w:sz w:val="22"/>
        </w:rPr>
        <w:t xml:space="preserve"> </w:t>
      </w:r>
    </w:p>
    <w:p w:rsidR="007A4D8F" w:rsidRPr="00DF0C3E" w:rsidRDefault="007A4D8F" w:rsidP="001731C5">
      <w:pPr>
        <w:rPr>
          <w:rFonts w:ascii="Arial" w:hAnsi="Arial" w:cs="Arial"/>
          <w:color w:val="000000"/>
          <w:sz w:val="22"/>
        </w:rPr>
      </w:pPr>
    </w:p>
    <w:p w:rsidR="00100B3B" w:rsidRDefault="00DF0C3E" w:rsidP="001731C5">
      <w:pPr>
        <w:rPr>
          <w:rFonts w:ascii="Arial" w:hAnsi="Arial" w:cs="Arial"/>
          <w:sz w:val="22"/>
        </w:rPr>
      </w:pPr>
      <w:r w:rsidRPr="00DF0C3E">
        <w:rPr>
          <w:rFonts w:ascii="Arial" w:hAnsi="Arial" w:cs="Arial"/>
          <w:color w:val="000000"/>
          <w:sz w:val="22"/>
        </w:rPr>
        <w:t>Nesprávnosti byly identifikovány dle jednotlivých položek ÚZ s ohledem na jejich obsahové vymezení podle ustanovení § 4 zákona o účetnictví a podle vyhlášky č. 410/2009 Sb.</w:t>
      </w:r>
      <w:r w:rsidR="00675428">
        <w:rPr>
          <w:rFonts w:ascii="Arial" w:hAnsi="Arial" w:cs="Arial"/>
          <w:color w:val="000000"/>
          <w:sz w:val="22"/>
        </w:rPr>
        <w:t xml:space="preserve"> </w:t>
      </w:r>
      <w:r w:rsidR="00A861D2">
        <w:rPr>
          <w:rFonts w:ascii="Arial" w:hAnsi="Arial" w:cs="Arial"/>
          <w:sz w:val="22"/>
        </w:rPr>
        <w:t>Zjištěny byly např. následující nesprávnosti:</w:t>
      </w:r>
    </w:p>
    <w:p w:rsidR="00281B62" w:rsidRPr="001731C5" w:rsidRDefault="00281B62" w:rsidP="001731C5">
      <w:pPr>
        <w:rPr>
          <w:rFonts w:ascii="Arial" w:hAnsi="Arial" w:cs="Arial"/>
          <w:i/>
          <w:sz w:val="22"/>
        </w:rPr>
      </w:pPr>
    </w:p>
    <w:p w:rsidR="003067C4" w:rsidRPr="00D16CE6" w:rsidRDefault="003067C4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Vyk</w:t>
      </w:r>
      <w:r w:rsidR="00675428">
        <w:rPr>
          <w:rFonts w:ascii="Arial" w:hAnsi="Arial" w:cs="Arial"/>
          <w:b/>
          <w:i/>
          <w:sz w:val="22"/>
        </w:rPr>
        <w:t>azování</w:t>
      </w:r>
      <w:r w:rsidRPr="00D16CE6">
        <w:rPr>
          <w:rFonts w:ascii="Arial" w:hAnsi="Arial" w:cs="Arial"/>
          <w:b/>
          <w:i/>
          <w:sz w:val="22"/>
        </w:rPr>
        <w:t xml:space="preserve"> podrozvahových závazků</w:t>
      </w:r>
    </w:p>
    <w:p w:rsidR="003067C4" w:rsidRDefault="003067C4" w:rsidP="001731C5">
      <w:pPr>
        <w:rPr>
          <w:rFonts w:ascii="Arial" w:hAnsi="Arial" w:cs="Arial"/>
          <w:bCs/>
          <w:i/>
          <w:iCs/>
          <w:sz w:val="22"/>
        </w:rPr>
      </w:pPr>
      <w:r w:rsidRPr="00951245">
        <w:rPr>
          <w:rFonts w:ascii="Arial" w:hAnsi="Arial" w:cs="Arial"/>
          <w:bCs/>
          <w:iCs/>
          <w:sz w:val="22"/>
        </w:rPr>
        <w:t>Česká republika</w:t>
      </w:r>
      <w:r>
        <w:rPr>
          <w:rFonts w:ascii="Arial" w:hAnsi="Arial" w:cs="Arial"/>
          <w:bCs/>
          <w:iCs/>
          <w:sz w:val="22"/>
        </w:rPr>
        <w:t xml:space="preserve"> uzavřela s kraji </w:t>
      </w:r>
      <w:r w:rsidRPr="00951245">
        <w:rPr>
          <w:rFonts w:ascii="Arial" w:hAnsi="Arial" w:cs="Arial"/>
          <w:i/>
          <w:sz w:val="22"/>
        </w:rPr>
        <w:t>Memorandum o zajištění stabilního financování dopravní obslužnosti veřejnou regionální železniční osobní dopravou</w:t>
      </w:r>
      <w:r>
        <w:rPr>
          <w:rFonts w:ascii="Arial" w:hAnsi="Arial" w:cs="Arial"/>
          <w:sz w:val="22"/>
        </w:rPr>
        <w:t>, dle kterého m</w:t>
      </w:r>
      <w:r w:rsidR="00B61BD7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MD</w:t>
      </w:r>
      <w:r w:rsidRPr="00C702A3">
        <w:rPr>
          <w:rFonts w:ascii="Arial" w:hAnsi="Arial" w:cs="Arial"/>
          <w:bCs/>
          <w:iCs/>
          <w:sz w:val="22"/>
        </w:rPr>
        <w:t xml:space="preserve"> </w:t>
      </w:r>
      <w:r w:rsidR="000E676A">
        <w:rPr>
          <w:rFonts w:ascii="Arial" w:hAnsi="Arial" w:cs="Arial"/>
          <w:bCs/>
          <w:iCs/>
          <w:sz w:val="22"/>
        </w:rPr>
        <w:t>v letech 2010–</w:t>
      </w:r>
      <w:r>
        <w:rPr>
          <w:rFonts w:ascii="Arial" w:hAnsi="Arial" w:cs="Arial"/>
          <w:bCs/>
          <w:iCs/>
          <w:sz w:val="22"/>
        </w:rPr>
        <w:t xml:space="preserve">2019 poskytovat krajům ročně dotace na financování dopravní obslužnosti. MD o této skutečnosti účtovalo jako o svých </w:t>
      </w:r>
      <w:r w:rsidRPr="00C702A3">
        <w:rPr>
          <w:rFonts w:ascii="Arial" w:hAnsi="Arial" w:cs="Arial"/>
          <w:bCs/>
          <w:iCs/>
          <w:sz w:val="22"/>
        </w:rPr>
        <w:t>podmíněných závazcích</w:t>
      </w:r>
      <w:r>
        <w:rPr>
          <w:rFonts w:ascii="Arial" w:hAnsi="Arial" w:cs="Arial"/>
          <w:bCs/>
          <w:iCs/>
          <w:sz w:val="22"/>
        </w:rPr>
        <w:t xml:space="preserve">, a to o krátkodobých ve výši 2,649 mld. Kč na účtu </w:t>
      </w:r>
      <w:r w:rsidRPr="00C702A3">
        <w:rPr>
          <w:rFonts w:ascii="Arial" w:hAnsi="Arial" w:cs="Arial"/>
          <w:bCs/>
          <w:iCs/>
          <w:sz w:val="22"/>
        </w:rPr>
        <w:t xml:space="preserve">985 – </w:t>
      </w:r>
      <w:r w:rsidRPr="00C702A3">
        <w:rPr>
          <w:rFonts w:ascii="Arial" w:hAnsi="Arial" w:cs="Arial"/>
          <w:bCs/>
          <w:i/>
          <w:iCs/>
          <w:sz w:val="22"/>
        </w:rPr>
        <w:t>Ostatní krátkodobá podmíněná pasiva</w:t>
      </w:r>
      <w:r>
        <w:rPr>
          <w:rFonts w:ascii="Arial" w:hAnsi="Arial" w:cs="Arial"/>
          <w:bCs/>
          <w:i/>
          <w:iCs/>
          <w:sz w:val="22"/>
        </w:rPr>
        <w:t xml:space="preserve"> </w:t>
      </w:r>
      <w:r w:rsidRPr="009D014E">
        <w:rPr>
          <w:rFonts w:ascii="Arial" w:hAnsi="Arial" w:cs="Arial"/>
          <w:bCs/>
          <w:iCs/>
          <w:sz w:val="22"/>
        </w:rPr>
        <w:t xml:space="preserve">a dlouhodobých </w:t>
      </w:r>
      <w:r>
        <w:rPr>
          <w:rFonts w:ascii="Arial" w:hAnsi="Arial" w:cs="Arial"/>
          <w:bCs/>
          <w:iCs/>
          <w:sz w:val="22"/>
        </w:rPr>
        <w:t xml:space="preserve">ve výši 7,947 mld. Kč na účtu </w:t>
      </w:r>
      <w:r w:rsidRPr="00951245">
        <w:rPr>
          <w:rFonts w:ascii="Arial" w:hAnsi="Arial" w:cs="Arial"/>
          <w:bCs/>
          <w:iCs/>
          <w:sz w:val="22"/>
        </w:rPr>
        <w:t xml:space="preserve">986 – </w:t>
      </w:r>
      <w:r w:rsidRPr="00951245">
        <w:rPr>
          <w:rFonts w:ascii="Arial" w:hAnsi="Arial" w:cs="Arial"/>
          <w:bCs/>
          <w:i/>
          <w:iCs/>
          <w:sz w:val="22"/>
        </w:rPr>
        <w:t xml:space="preserve">Ostatní dlouhodobá podmíněná </w:t>
      </w:r>
      <w:r w:rsidRPr="00304E27">
        <w:rPr>
          <w:rFonts w:ascii="Arial" w:hAnsi="Arial" w:cs="Arial"/>
          <w:bCs/>
          <w:i/>
          <w:iCs/>
          <w:sz w:val="22"/>
        </w:rPr>
        <w:t xml:space="preserve">pasiva. </w:t>
      </w:r>
    </w:p>
    <w:p w:rsidR="007A4D8F" w:rsidRDefault="007A4D8F" w:rsidP="001731C5">
      <w:pPr>
        <w:rPr>
          <w:rFonts w:ascii="Arial" w:hAnsi="Arial" w:cs="Arial"/>
          <w:bCs/>
          <w:i/>
          <w:iCs/>
          <w:sz w:val="22"/>
        </w:rPr>
      </w:pPr>
    </w:p>
    <w:p w:rsidR="003067C4" w:rsidRDefault="003067C4" w:rsidP="001731C5">
      <w:pPr>
        <w:rPr>
          <w:rFonts w:ascii="Arial" w:hAnsi="Arial" w:cs="Arial"/>
          <w:bCs/>
          <w:i/>
          <w:iCs/>
          <w:sz w:val="22"/>
        </w:rPr>
      </w:pPr>
      <w:r w:rsidRPr="00951245">
        <w:rPr>
          <w:rFonts w:ascii="Arial" w:hAnsi="Arial" w:cs="Arial"/>
          <w:bCs/>
          <w:iCs/>
          <w:sz w:val="22"/>
        </w:rPr>
        <w:t>M</w:t>
      </w:r>
      <w:r>
        <w:rPr>
          <w:rFonts w:ascii="Arial" w:hAnsi="Arial" w:cs="Arial"/>
          <w:bCs/>
          <w:iCs/>
          <w:sz w:val="22"/>
        </w:rPr>
        <w:t>D</w:t>
      </w:r>
      <w:r w:rsidRPr="00951245">
        <w:rPr>
          <w:rFonts w:ascii="Arial" w:hAnsi="Arial" w:cs="Arial"/>
          <w:bCs/>
          <w:iCs/>
          <w:sz w:val="22"/>
        </w:rPr>
        <w:t xml:space="preserve"> v případ</w:t>
      </w:r>
      <w:r>
        <w:rPr>
          <w:rFonts w:ascii="Arial" w:hAnsi="Arial" w:cs="Arial"/>
          <w:bCs/>
          <w:iCs/>
          <w:sz w:val="22"/>
        </w:rPr>
        <w:t>ě</w:t>
      </w:r>
      <w:r w:rsidRPr="00951245">
        <w:rPr>
          <w:rFonts w:ascii="Arial" w:hAnsi="Arial" w:cs="Arial"/>
          <w:bCs/>
          <w:iCs/>
          <w:sz w:val="22"/>
        </w:rPr>
        <w:t xml:space="preserve"> plnění závazku podle memoranda plní závazek typu transferu</w:t>
      </w:r>
      <w:r w:rsidR="00996C20">
        <w:rPr>
          <w:rFonts w:ascii="Arial" w:hAnsi="Arial" w:cs="Arial"/>
          <w:bCs/>
          <w:iCs/>
          <w:sz w:val="22"/>
        </w:rPr>
        <w:t>, proto mělo o </w:t>
      </w:r>
      <w:r w:rsidRPr="00951245">
        <w:rPr>
          <w:rFonts w:ascii="Arial" w:hAnsi="Arial" w:cs="Arial"/>
          <w:bCs/>
          <w:iCs/>
          <w:sz w:val="22"/>
        </w:rPr>
        <w:t>možnost</w:t>
      </w:r>
      <w:r>
        <w:rPr>
          <w:rFonts w:ascii="Arial" w:hAnsi="Arial" w:cs="Arial"/>
          <w:bCs/>
          <w:iCs/>
          <w:sz w:val="22"/>
        </w:rPr>
        <w:t>i</w:t>
      </w:r>
      <w:r w:rsidRPr="00951245">
        <w:rPr>
          <w:rFonts w:ascii="Arial" w:hAnsi="Arial" w:cs="Arial"/>
          <w:bCs/>
          <w:iCs/>
          <w:sz w:val="22"/>
        </w:rPr>
        <w:t xml:space="preserve"> poskytnutí transferu</w:t>
      </w:r>
      <w:r>
        <w:rPr>
          <w:rFonts w:ascii="Arial" w:hAnsi="Arial" w:cs="Arial"/>
          <w:bCs/>
          <w:iCs/>
          <w:sz w:val="22"/>
        </w:rPr>
        <w:t xml:space="preserve"> </w:t>
      </w:r>
      <w:r w:rsidR="000544A6">
        <w:rPr>
          <w:rFonts w:ascii="Arial" w:hAnsi="Arial" w:cs="Arial"/>
          <w:bCs/>
          <w:iCs/>
          <w:sz w:val="22"/>
        </w:rPr>
        <w:t>účtovat</w:t>
      </w:r>
      <w:r w:rsidR="000544A6" w:rsidRPr="001731C5">
        <w:rPr>
          <w:rFonts w:ascii="Arial" w:hAnsi="Arial" w:cs="Arial"/>
          <w:bCs/>
          <w:iCs/>
          <w:sz w:val="22"/>
        </w:rPr>
        <w:t xml:space="preserve"> </w:t>
      </w:r>
      <w:r w:rsidRPr="00C702A3">
        <w:rPr>
          <w:rFonts w:ascii="Arial" w:hAnsi="Arial" w:cs="Arial"/>
          <w:bCs/>
          <w:iCs/>
          <w:sz w:val="22"/>
        </w:rPr>
        <w:t xml:space="preserve">dle ustanovení bodu </w:t>
      </w:r>
      <w:proofErr w:type="gramStart"/>
      <w:r w:rsidRPr="00C702A3">
        <w:rPr>
          <w:rFonts w:ascii="Arial" w:hAnsi="Arial" w:cs="Arial"/>
          <w:bCs/>
          <w:iCs/>
          <w:sz w:val="22"/>
        </w:rPr>
        <w:t>4.1. ČÚS</w:t>
      </w:r>
      <w:proofErr w:type="gramEnd"/>
      <w:r w:rsidRPr="00C702A3">
        <w:rPr>
          <w:rFonts w:ascii="Arial" w:hAnsi="Arial" w:cs="Arial"/>
          <w:bCs/>
          <w:iCs/>
          <w:sz w:val="22"/>
        </w:rPr>
        <w:t xml:space="preserve"> č. 703</w:t>
      </w:r>
      <w:r>
        <w:rPr>
          <w:rFonts w:ascii="Arial" w:hAnsi="Arial" w:cs="Arial"/>
          <w:bCs/>
          <w:iCs/>
          <w:sz w:val="22"/>
        </w:rPr>
        <w:t xml:space="preserve"> </w:t>
      </w:r>
      <w:r w:rsidRPr="008D4BE1">
        <w:rPr>
          <w:rFonts w:ascii="Arial" w:hAnsi="Arial" w:cs="Arial"/>
          <w:bCs/>
          <w:i/>
          <w:iCs/>
          <w:sz w:val="22"/>
        </w:rPr>
        <w:t>– Transfery</w:t>
      </w:r>
      <w:r w:rsidR="00996C20">
        <w:rPr>
          <w:rFonts w:ascii="Arial" w:hAnsi="Arial" w:cs="Arial"/>
          <w:bCs/>
          <w:iCs/>
          <w:sz w:val="22"/>
        </w:rPr>
        <w:t xml:space="preserve"> a </w:t>
      </w:r>
      <w:r>
        <w:rPr>
          <w:rFonts w:ascii="Arial" w:hAnsi="Arial" w:cs="Arial"/>
          <w:bCs/>
          <w:iCs/>
          <w:sz w:val="22"/>
        </w:rPr>
        <w:t>případný podmíněný závazek účtovat prostřednictvím účtů</w:t>
      </w:r>
      <w:r w:rsidRPr="00951245">
        <w:rPr>
          <w:rFonts w:ascii="Arial" w:hAnsi="Arial" w:cs="Arial"/>
          <w:bCs/>
          <w:iCs/>
          <w:sz w:val="22"/>
        </w:rPr>
        <w:t xml:space="preserve"> </w:t>
      </w:r>
      <w:r w:rsidRPr="005245EE">
        <w:rPr>
          <w:rFonts w:ascii="Arial" w:hAnsi="Arial" w:cs="Arial"/>
          <w:bCs/>
          <w:iCs/>
          <w:sz w:val="22"/>
        </w:rPr>
        <w:t>973</w:t>
      </w:r>
      <w:r w:rsidRPr="00951245">
        <w:rPr>
          <w:rFonts w:ascii="Arial" w:hAnsi="Arial" w:cs="Arial"/>
          <w:bCs/>
          <w:i/>
          <w:iCs/>
          <w:sz w:val="22"/>
        </w:rPr>
        <w:t xml:space="preserve"> </w:t>
      </w:r>
      <w:r w:rsidR="00B61BD7" w:rsidRPr="008D4BE1">
        <w:rPr>
          <w:rFonts w:ascii="Arial" w:hAnsi="Arial" w:cs="Arial"/>
          <w:bCs/>
          <w:iCs/>
          <w:sz w:val="22"/>
        </w:rPr>
        <w:t>(974)</w:t>
      </w:r>
      <w:r w:rsidR="00B61BD7">
        <w:rPr>
          <w:rFonts w:ascii="Arial" w:hAnsi="Arial" w:cs="Arial"/>
          <w:bCs/>
          <w:iCs/>
          <w:sz w:val="22"/>
        </w:rPr>
        <w:t xml:space="preserve"> </w:t>
      </w:r>
      <w:r w:rsidRPr="00951245">
        <w:rPr>
          <w:rFonts w:ascii="Arial" w:hAnsi="Arial" w:cs="Arial"/>
          <w:bCs/>
          <w:iCs/>
          <w:sz w:val="22"/>
        </w:rPr>
        <w:t xml:space="preserve">– </w:t>
      </w:r>
      <w:r w:rsidRPr="00951245">
        <w:rPr>
          <w:rFonts w:ascii="Arial" w:hAnsi="Arial" w:cs="Arial"/>
          <w:bCs/>
          <w:i/>
          <w:iCs/>
          <w:sz w:val="22"/>
        </w:rPr>
        <w:t xml:space="preserve">Krátkodobé </w:t>
      </w:r>
      <w:r w:rsidR="00B61BD7" w:rsidRPr="001731C5">
        <w:rPr>
          <w:rFonts w:ascii="Arial" w:hAnsi="Arial" w:cs="Arial"/>
          <w:bCs/>
          <w:iCs/>
          <w:sz w:val="22"/>
        </w:rPr>
        <w:t>(</w:t>
      </w:r>
      <w:r w:rsidR="00B61BD7" w:rsidRPr="00951245">
        <w:rPr>
          <w:rFonts w:ascii="Arial" w:hAnsi="Arial" w:cs="Arial"/>
          <w:bCs/>
          <w:i/>
          <w:iCs/>
          <w:sz w:val="22"/>
        </w:rPr>
        <w:t>Dlouhodobé</w:t>
      </w:r>
      <w:r w:rsidR="00B61BD7" w:rsidRPr="001731C5">
        <w:rPr>
          <w:rFonts w:ascii="Arial" w:hAnsi="Arial" w:cs="Arial"/>
          <w:bCs/>
          <w:iCs/>
          <w:sz w:val="22"/>
        </w:rPr>
        <w:t>)</w:t>
      </w:r>
      <w:r w:rsidR="00B61BD7" w:rsidRPr="00951245">
        <w:rPr>
          <w:rFonts w:ascii="Arial" w:hAnsi="Arial" w:cs="Arial"/>
          <w:bCs/>
          <w:i/>
          <w:iCs/>
          <w:sz w:val="22"/>
        </w:rPr>
        <w:t xml:space="preserve"> </w:t>
      </w:r>
      <w:r w:rsidRPr="00951245">
        <w:rPr>
          <w:rFonts w:ascii="Arial" w:hAnsi="Arial" w:cs="Arial"/>
          <w:bCs/>
          <w:i/>
          <w:iCs/>
          <w:sz w:val="22"/>
        </w:rPr>
        <w:t>podmíněné závazky z jiných smluv</w:t>
      </w:r>
      <w:r w:rsidR="00B61BD7">
        <w:rPr>
          <w:rFonts w:ascii="Arial" w:hAnsi="Arial" w:cs="Arial"/>
          <w:bCs/>
          <w:i/>
          <w:iCs/>
          <w:sz w:val="22"/>
        </w:rPr>
        <w:t>.</w:t>
      </w:r>
      <w:r w:rsidRPr="00951245">
        <w:rPr>
          <w:rFonts w:ascii="Arial" w:hAnsi="Arial" w:cs="Arial"/>
          <w:bCs/>
          <w:i/>
          <w:iCs/>
          <w:sz w:val="22"/>
        </w:rPr>
        <w:t xml:space="preserve"> </w:t>
      </w:r>
    </w:p>
    <w:p w:rsidR="007A4D8F" w:rsidRDefault="007A4D8F" w:rsidP="001731C5">
      <w:pPr>
        <w:rPr>
          <w:rFonts w:ascii="Arial" w:hAnsi="Arial" w:cs="Arial"/>
          <w:bCs/>
          <w:i/>
          <w:iCs/>
          <w:sz w:val="22"/>
        </w:rPr>
      </w:pPr>
    </w:p>
    <w:p w:rsidR="003067C4" w:rsidRDefault="003067C4" w:rsidP="001731C5">
      <w:pPr>
        <w:rPr>
          <w:rFonts w:ascii="Arial" w:hAnsi="Arial" w:cs="Arial"/>
          <w:b/>
          <w:sz w:val="22"/>
        </w:rPr>
      </w:pPr>
      <w:r w:rsidRPr="00951245">
        <w:rPr>
          <w:rFonts w:ascii="Arial" w:hAnsi="Arial" w:cs="Arial"/>
          <w:sz w:val="22"/>
        </w:rPr>
        <w:t xml:space="preserve">Zjištěné pochybení </w:t>
      </w:r>
      <w:r w:rsidR="00675428">
        <w:rPr>
          <w:rFonts w:ascii="Arial" w:hAnsi="Arial" w:cs="Arial"/>
          <w:sz w:val="22"/>
        </w:rPr>
        <w:t>v </w:t>
      </w:r>
      <w:r w:rsidR="009F39F5">
        <w:rPr>
          <w:rFonts w:ascii="Arial" w:hAnsi="Arial" w:cs="Arial"/>
          <w:bCs/>
          <w:iCs/>
          <w:sz w:val="22"/>
        </w:rPr>
        <w:t>celk</w:t>
      </w:r>
      <w:r w:rsidR="00675428">
        <w:rPr>
          <w:rFonts w:ascii="Arial" w:hAnsi="Arial" w:cs="Arial"/>
          <w:bCs/>
          <w:iCs/>
          <w:sz w:val="22"/>
        </w:rPr>
        <w:t>ové</w:t>
      </w:r>
      <w:r w:rsidR="009F39F5">
        <w:rPr>
          <w:rFonts w:ascii="Arial" w:hAnsi="Arial" w:cs="Arial"/>
          <w:bCs/>
          <w:iCs/>
          <w:sz w:val="22"/>
        </w:rPr>
        <w:t xml:space="preserve"> výši 10,596 mld. Kč</w:t>
      </w:r>
      <w:r w:rsidR="009F39F5" w:rsidRPr="00951245">
        <w:rPr>
          <w:rFonts w:ascii="Arial" w:hAnsi="Arial" w:cs="Arial"/>
          <w:sz w:val="22"/>
        </w:rPr>
        <w:t xml:space="preserve"> </w:t>
      </w:r>
      <w:r w:rsidR="009F39F5">
        <w:rPr>
          <w:rFonts w:ascii="Arial" w:hAnsi="Arial" w:cs="Arial"/>
          <w:sz w:val="22"/>
        </w:rPr>
        <w:t>se týk</w:t>
      </w:r>
      <w:r w:rsidR="00B61BD7">
        <w:rPr>
          <w:rFonts w:ascii="Arial" w:hAnsi="Arial" w:cs="Arial"/>
          <w:sz w:val="22"/>
        </w:rPr>
        <w:t>alo</w:t>
      </w:r>
      <w:r w:rsidR="009F39F5">
        <w:rPr>
          <w:rFonts w:ascii="Arial" w:hAnsi="Arial" w:cs="Arial"/>
          <w:sz w:val="22"/>
        </w:rPr>
        <w:t xml:space="preserve"> podrozvahových účtů a </w:t>
      </w:r>
      <w:r w:rsidR="00B61BD7">
        <w:rPr>
          <w:rFonts w:ascii="Arial" w:hAnsi="Arial" w:cs="Arial"/>
          <w:sz w:val="22"/>
        </w:rPr>
        <w:t>bylo</w:t>
      </w:r>
      <w:r w:rsidRPr="00951245">
        <w:rPr>
          <w:rFonts w:ascii="Arial" w:hAnsi="Arial" w:cs="Arial"/>
          <w:sz w:val="22"/>
        </w:rPr>
        <w:t xml:space="preserve"> klasifikační povahy, </w:t>
      </w:r>
      <w:r w:rsidR="009F39F5">
        <w:rPr>
          <w:rFonts w:ascii="Arial" w:hAnsi="Arial" w:cs="Arial"/>
          <w:sz w:val="22"/>
        </w:rPr>
        <w:t>tj.</w:t>
      </w:r>
      <w:r w:rsidRPr="00951245">
        <w:rPr>
          <w:rFonts w:ascii="Arial" w:hAnsi="Arial" w:cs="Arial"/>
          <w:sz w:val="22"/>
        </w:rPr>
        <w:t xml:space="preserve"> neměl</w:t>
      </w:r>
      <w:r w:rsidR="009F39F5">
        <w:rPr>
          <w:rFonts w:ascii="Arial" w:hAnsi="Arial" w:cs="Arial"/>
          <w:sz w:val="22"/>
        </w:rPr>
        <w:t>o</w:t>
      </w:r>
      <w:r w:rsidRPr="00951245">
        <w:rPr>
          <w:rFonts w:ascii="Arial" w:hAnsi="Arial" w:cs="Arial"/>
          <w:sz w:val="22"/>
        </w:rPr>
        <w:t xml:space="preserve"> vliv na celkovou vykázanou výši podmíněných závazků</w:t>
      </w:r>
      <w:r w:rsidR="009F39F5">
        <w:rPr>
          <w:rFonts w:ascii="Arial" w:hAnsi="Arial" w:cs="Arial"/>
          <w:sz w:val="22"/>
        </w:rPr>
        <w:t xml:space="preserve"> ani na rozlišení závazků na krátkodobé/dlouhodobé</w:t>
      </w:r>
      <w:r w:rsidRPr="00951245">
        <w:rPr>
          <w:rFonts w:ascii="Arial" w:hAnsi="Arial" w:cs="Arial"/>
          <w:sz w:val="22"/>
        </w:rPr>
        <w:t xml:space="preserve">. </w:t>
      </w:r>
    </w:p>
    <w:p w:rsidR="00BD1316" w:rsidRDefault="00BD1316" w:rsidP="001731C5">
      <w:pPr>
        <w:rPr>
          <w:rFonts w:ascii="Arial" w:hAnsi="Arial" w:cs="Arial"/>
          <w:b/>
          <w:i/>
          <w:sz w:val="22"/>
        </w:rPr>
      </w:pPr>
    </w:p>
    <w:p w:rsidR="00EE40AE" w:rsidRPr="00D16CE6" w:rsidRDefault="00EE40AE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Výnosy a příjmy z prodeje dlouhodobých aktiv</w:t>
      </w:r>
    </w:p>
    <w:p w:rsidR="00B41AA3" w:rsidRDefault="00EE40AE" w:rsidP="001731C5">
      <w:pPr>
        <w:rPr>
          <w:rFonts w:ascii="Arial" w:hAnsi="Arial" w:cs="Arial"/>
          <w:sz w:val="22"/>
        </w:rPr>
      </w:pPr>
      <w:r w:rsidRPr="00951245">
        <w:rPr>
          <w:rFonts w:ascii="Arial" w:hAnsi="Arial" w:cs="Arial"/>
          <w:bCs/>
          <w:iCs/>
          <w:sz w:val="22"/>
        </w:rPr>
        <w:t xml:space="preserve">MD v roce 2013 inkasovalo od svých </w:t>
      </w:r>
      <w:r w:rsidR="00C53687">
        <w:rPr>
          <w:rFonts w:ascii="Arial" w:hAnsi="Arial" w:cs="Arial"/>
          <w:bCs/>
          <w:iCs/>
          <w:sz w:val="22"/>
        </w:rPr>
        <w:t xml:space="preserve">podřízených </w:t>
      </w:r>
      <w:r w:rsidRPr="00951245">
        <w:rPr>
          <w:rFonts w:ascii="Arial" w:hAnsi="Arial" w:cs="Arial"/>
          <w:bCs/>
          <w:iCs/>
          <w:sz w:val="22"/>
        </w:rPr>
        <w:t xml:space="preserve">příspěvkových organizací odvody </w:t>
      </w:r>
      <w:r w:rsidR="0044342E">
        <w:rPr>
          <w:rFonts w:ascii="Arial" w:hAnsi="Arial" w:cs="Arial"/>
          <w:bCs/>
          <w:iCs/>
          <w:sz w:val="22"/>
        </w:rPr>
        <w:t>z </w:t>
      </w:r>
      <w:r w:rsidRPr="00951245">
        <w:rPr>
          <w:rFonts w:ascii="Arial" w:hAnsi="Arial" w:cs="Arial"/>
          <w:bCs/>
          <w:iCs/>
          <w:sz w:val="22"/>
        </w:rPr>
        <w:t xml:space="preserve">příjmů z titulu prodeje pozemků </w:t>
      </w:r>
      <w:r w:rsidR="00C53687">
        <w:rPr>
          <w:rFonts w:ascii="Arial" w:hAnsi="Arial" w:cs="Arial"/>
          <w:bCs/>
          <w:iCs/>
          <w:sz w:val="22"/>
        </w:rPr>
        <w:t>těchto</w:t>
      </w:r>
      <w:r w:rsidR="00047ADA">
        <w:rPr>
          <w:rFonts w:ascii="Arial" w:hAnsi="Arial" w:cs="Arial"/>
          <w:bCs/>
          <w:iCs/>
          <w:sz w:val="22"/>
        </w:rPr>
        <w:t xml:space="preserve"> </w:t>
      </w:r>
      <w:r w:rsidRPr="00951245">
        <w:rPr>
          <w:rFonts w:ascii="Arial" w:hAnsi="Arial" w:cs="Arial"/>
          <w:bCs/>
          <w:iCs/>
          <w:sz w:val="22"/>
        </w:rPr>
        <w:t>příspěvkových organizací</w:t>
      </w:r>
      <w:r>
        <w:rPr>
          <w:rFonts w:ascii="Arial" w:hAnsi="Arial" w:cs="Arial"/>
          <w:bCs/>
          <w:iCs/>
          <w:sz w:val="22"/>
        </w:rPr>
        <w:t xml:space="preserve"> a účtovalo o nich na</w:t>
      </w:r>
      <w:r w:rsidRPr="00951245">
        <w:rPr>
          <w:rFonts w:ascii="Arial" w:hAnsi="Arial" w:cs="Arial"/>
          <w:bCs/>
          <w:iCs/>
          <w:sz w:val="22"/>
        </w:rPr>
        <w:t xml:space="preserve"> účtu </w:t>
      </w:r>
      <w:r w:rsidR="00996C20">
        <w:rPr>
          <w:rFonts w:ascii="Arial" w:hAnsi="Arial" w:cs="Arial"/>
          <w:bCs/>
          <w:iCs/>
          <w:sz w:val="22"/>
        </w:rPr>
        <w:br/>
      </w:r>
      <w:r w:rsidRPr="00951245">
        <w:rPr>
          <w:rFonts w:ascii="Arial" w:hAnsi="Arial" w:cs="Arial"/>
          <w:bCs/>
          <w:iCs/>
          <w:sz w:val="22"/>
        </w:rPr>
        <w:t xml:space="preserve">647 – </w:t>
      </w:r>
      <w:r w:rsidRPr="00951245">
        <w:rPr>
          <w:rFonts w:ascii="Arial" w:hAnsi="Arial" w:cs="Arial"/>
          <w:bCs/>
          <w:i/>
          <w:iCs/>
          <w:sz w:val="22"/>
        </w:rPr>
        <w:t>Výnosy z</w:t>
      </w:r>
      <w:r w:rsidR="00996C20">
        <w:rPr>
          <w:rFonts w:ascii="Arial" w:hAnsi="Arial" w:cs="Arial"/>
          <w:bCs/>
          <w:i/>
          <w:iCs/>
          <w:sz w:val="22"/>
        </w:rPr>
        <w:t> </w:t>
      </w:r>
      <w:r w:rsidRPr="00951245">
        <w:rPr>
          <w:rFonts w:ascii="Arial" w:hAnsi="Arial" w:cs="Arial"/>
          <w:bCs/>
          <w:i/>
          <w:iCs/>
          <w:sz w:val="22"/>
        </w:rPr>
        <w:t>prodeje pozemků</w:t>
      </w:r>
      <w:r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jako o výnosu z</w:t>
      </w:r>
      <w:r w:rsidR="00996C20">
        <w:rPr>
          <w:rFonts w:ascii="Arial" w:hAnsi="Arial" w:cs="Arial"/>
          <w:bCs/>
          <w:iCs/>
          <w:sz w:val="22"/>
        </w:rPr>
        <w:t> </w:t>
      </w:r>
      <w:r>
        <w:rPr>
          <w:rFonts w:ascii="Arial" w:hAnsi="Arial" w:cs="Arial"/>
          <w:bCs/>
          <w:iCs/>
          <w:sz w:val="22"/>
        </w:rPr>
        <w:t>prodeje svých pozemků</w:t>
      </w:r>
      <w:r w:rsidR="00B41AA3">
        <w:rPr>
          <w:rFonts w:ascii="Arial" w:hAnsi="Arial" w:cs="Arial"/>
          <w:bCs/>
          <w:iCs/>
          <w:sz w:val="22"/>
        </w:rPr>
        <w:t>,</w:t>
      </w:r>
      <w:r w:rsidRPr="00951245">
        <w:rPr>
          <w:rFonts w:ascii="Arial" w:hAnsi="Arial" w:cs="Arial"/>
          <w:bCs/>
          <w:iCs/>
          <w:sz w:val="22"/>
        </w:rPr>
        <w:t xml:space="preserve"> </w:t>
      </w:r>
      <w:r w:rsidR="00CF3400">
        <w:rPr>
          <w:rFonts w:ascii="Arial" w:hAnsi="Arial" w:cs="Arial"/>
          <w:bCs/>
          <w:iCs/>
          <w:sz w:val="22"/>
        </w:rPr>
        <w:t xml:space="preserve">přestože se pro MD </w:t>
      </w:r>
      <w:r w:rsidRPr="00951245">
        <w:rPr>
          <w:rFonts w:ascii="Arial" w:hAnsi="Arial" w:cs="Arial"/>
          <w:bCs/>
          <w:iCs/>
          <w:sz w:val="22"/>
        </w:rPr>
        <w:t xml:space="preserve">jednalo o příjem </w:t>
      </w:r>
      <w:r w:rsidR="00B41AA3">
        <w:rPr>
          <w:rFonts w:ascii="Arial" w:hAnsi="Arial" w:cs="Arial"/>
          <w:bCs/>
          <w:iCs/>
          <w:sz w:val="22"/>
        </w:rPr>
        <w:t xml:space="preserve">a výnos </w:t>
      </w:r>
      <w:r w:rsidRPr="00951245">
        <w:rPr>
          <w:rFonts w:ascii="Arial" w:hAnsi="Arial" w:cs="Arial"/>
          <w:bCs/>
          <w:iCs/>
          <w:sz w:val="22"/>
        </w:rPr>
        <w:t>z</w:t>
      </w:r>
      <w:r w:rsidR="00996C20">
        <w:rPr>
          <w:rFonts w:ascii="Arial" w:hAnsi="Arial" w:cs="Arial"/>
          <w:bCs/>
          <w:iCs/>
          <w:sz w:val="22"/>
        </w:rPr>
        <w:t> </w:t>
      </w:r>
      <w:r w:rsidR="00B41AA3">
        <w:rPr>
          <w:rFonts w:ascii="Arial" w:hAnsi="Arial" w:cs="Arial"/>
          <w:bCs/>
          <w:iCs/>
          <w:sz w:val="22"/>
        </w:rPr>
        <w:t xml:space="preserve">povinného </w:t>
      </w:r>
      <w:r w:rsidRPr="00951245">
        <w:rPr>
          <w:rFonts w:ascii="Arial" w:hAnsi="Arial" w:cs="Arial"/>
          <w:bCs/>
          <w:iCs/>
          <w:sz w:val="22"/>
        </w:rPr>
        <w:t xml:space="preserve">odvodu dle § 53 odst. 6 </w:t>
      </w:r>
      <w:r w:rsidR="00CF3400">
        <w:rPr>
          <w:rFonts w:ascii="Arial" w:hAnsi="Arial" w:cs="Arial"/>
          <w:bCs/>
          <w:iCs/>
          <w:sz w:val="22"/>
        </w:rPr>
        <w:t xml:space="preserve">zákona č. 218/2000 Sb., </w:t>
      </w:r>
      <w:r w:rsidR="00B41AA3">
        <w:rPr>
          <w:rFonts w:ascii="Arial" w:hAnsi="Arial" w:cs="Arial"/>
          <w:bCs/>
          <w:iCs/>
          <w:sz w:val="22"/>
        </w:rPr>
        <w:t>nikoliv o výnos z</w:t>
      </w:r>
      <w:r w:rsidR="00996C20">
        <w:rPr>
          <w:rFonts w:ascii="Arial" w:hAnsi="Arial" w:cs="Arial"/>
          <w:bCs/>
          <w:iCs/>
          <w:sz w:val="22"/>
        </w:rPr>
        <w:t> </w:t>
      </w:r>
      <w:r w:rsidR="00B41AA3">
        <w:rPr>
          <w:rFonts w:ascii="Arial" w:hAnsi="Arial" w:cs="Arial"/>
          <w:bCs/>
          <w:iCs/>
          <w:sz w:val="22"/>
        </w:rPr>
        <w:t>prodeje pozemků</w:t>
      </w:r>
      <w:r w:rsidR="00CF3400">
        <w:rPr>
          <w:rFonts w:ascii="Arial" w:hAnsi="Arial" w:cs="Arial"/>
          <w:bCs/>
          <w:iCs/>
          <w:sz w:val="22"/>
        </w:rPr>
        <w:t>. V</w:t>
      </w:r>
      <w:r w:rsidR="00996C20">
        <w:rPr>
          <w:rFonts w:ascii="Arial" w:hAnsi="Arial" w:cs="Arial"/>
          <w:bCs/>
          <w:iCs/>
          <w:sz w:val="22"/>
        </w:rPr>
        <w:t> </w:t>
      </w:r>
      <w:r w:rsidR="00CF3400">
        <w:rPr>
          <w:rFonts w:ascii="Arial" w:hAnsi="Arial" w:cs="Arial"/>
          <w:bCs/>
          <w:iCs/>
          <w:sz w:val="22"/>
        </w:rPr>
        <w:t xml:space="preserve">důsledku toho </w:t>
      </w:r>
      <w:r w:rsidR="008B3A91">
        <w:rPr>
          <w:rFonts w:ascii="Arial" w:hAnsi="Arial" w:cs="Arial"/>
          <w:bCs/>
          <w:iCs/>
          <w:sz w:val="22"/>
        </w:rPr>
        <w:t xml:space="preserve">MD </w:t>
      </w:r>
      <w:r w:rsidR="00EE6DB6">
        <w:rPr>
          <w:rFonts w:ascii="Arial" w:hAnsi="Arial" w:cs="Arial"/>
          <w:bCs/>
          <w:iCs/>
          <w:sz w:val="22"/>
        </w:rPr>
        <w:t>v</w:t>
      </w:r>
      <w:r w:rsidR="00996C20">
        <w:rPr>
          <w:rFonts w:ascii="Arial" w:hAnsi="Arial" w:cs="Arial"/>
          <w:bCs/>
          <w:iCs/>
          <w:sz w:val="22"/>
        </w:rPr>
        <w:t> </w:t>
      </w:r>
      <w:r w:rsidR="00EE6DB6">
        <w:rPr>
          <w:rFonts w:ascii="Arial" w:hAnsi="Arial" w:cs="Arial"/>
          <w:bCs/>
          <w:iCs/>
          <w:sz w:val="22"/>
        </w:rPr>
        <w:t>účetní závěrce k</w:t>
      </w:r>
      <w:r w:rsidR="00996C20">
        <w:rPr>
          <w:rFonts w:ascii="Arial" w:hAnsi="Arial" w:cs="Arial"/>
          <w:bCs/>
          <w:iCs/>
          <w:sz w:val="22"/>
        </w:rPr>
        <w:t> </w:t>
      </w:r>
      <w:r w:rsidR="00EE6DB6">
        <w:rPr>
          <w:rFonts w:ascii="Arial" w:hAnsi="Arial" w:cs="Arial"/>
          <w:bCs/>
          <w:iCs/>
          <w:sz w:val="22"/>
        </w:rPr>
        <w:t>31. 12. 2013 o</w:t>
      </w:r>
      <w:r w:rsidR="00675428">
        <w:rPr>
          <w:rFonts w:ascii="Arial" w:hAnsi="Arial" w:cs="Arial"/>
          <w:bCs/>
          <w:iCs/>
          <w:sz w:val="22"/>
        </w:rPr>
        <w:t> </w:t>
      </w:r>
      <w:r w:rsidR="00EE6DB6">
        <w:rPr>
          <w:rFonts w:ascii="Arial" w:hAnsi="Arial" w:cs="Arial"/>
          <w:bCs/>
          <w:iCs/>
          <w:sz w:val="22"/>
        </w:rPr>
        <w:t xml:space="preserve">částku </w:t>
      </w:r>
      <w:r w:rsidR="00EE6DB6" w:rsidRPr="00951245">
        <w:rPr>
          <w:rFonts w:ascii="Arial" w:hAnsi="Arial" w:cs="Arial"/>
          <w:sz w:val="22"/>
        </w:rPr>
        <w:t>3 134</w:t>
      </w:r>
      <w:r w:rsidR="00EE6DB6">
        <w:rPr>
          <w:rFonts w:ascii="Arial" w:hAnsi="Arial" w:cs="Arial"/>
          <w:sz w:val="22"/>
        </w:rPr>
        <w:t> </w:t>
      </w:r>
      <w:r w:rsidR="00EE6DB6" w:rsidRPr="00951245">
        <w:rPr>
          <w:rFonts w:ascii="Arial" w:hAnsi="Arial" w:cs="Arial"/>
          <w:sz w:val="22"/>
        </w:rPr>
        <w:t>313</w:t>
      </w:r>
      <w:r w:rsidR="00EE6DB6">
        <w:rPr>
          <w:rFonts w:ascii="Arial" w:hAnsi="Arial" w:cs="Arial"/>
          <w:sz w:val="22"/>
        </w:rPr>
        <w:t xml:space="preserve"> Kč nadhodnotilo </w:t>
      </w:r>
      <w:r w:rsidR="008B3A91">
        <w:rPr>
          <w:rFonts w:ascii="Arial" w:hAnsi="Arial" w:cs="Arial"/>
          <w:sz w:val="22"/>
        </w:rPr>
        <w:t xml:space="preserve">údaje o </w:t>
      </w:r>
      <w:r w:rsidR="00EE6DB6">
        <w:rPr>
          <w:rFonts w:ascii="Arial" w:hAnsi="Arial" w:cs="Arial"/>
          <w:sz w:val="22"/>
        </w:rPr>
        <w:t>výnos</w:t>
      </w:r>
      <w:r w:rsidR="008B3A91">
        <w:rPr>
          <w:rFonts w:ascii="Arial" w:hAnsi="Arial" w:cs="Arial"/>
          <w:sz w:val="22"/>
        </w:rPr>
        <w:t>ech</w:t>
      </w:r>
      <w:r w:rsidR="00EE6DB6">
        <w:rPr>
          <w:rFonts w:ascii="Arial" w:hAnsi="Arial" w:cs="Arial"/>
          <w:sz w:val="22"/>
        </w:rPr>
        <w:t xml:space="preserve"> </w:t>
      </w:r>
      <w:r w:rsidR="008B3A91">
        <w:rPr>
          <w:rFonts w:ascii="Arial" w:hAnsi="Arial" w:cs="Arial"/>
          <w:sz w:val="22"/>
        </w:rPr>
        <w:t>a příjmech z</w:t>
      </w:r>
      <w:r w:rsidR="00996C20">
        <w:rPr>
          <w:rFonts w:ascii="Arial" w:hAnsi="Arial" w:cs="Arial"/>
          <w:sz w:val="22"/>
        </w:rPr>
        <w:t> </w:t>
      </w:r>
      <w:r w:rsidR="008B3A91">
        <w:rPr>
          <w:rFonts w:ascii="Arial" w:hAnsi="Arial" w:cs="Arial"/>
          <w:sz w:val="22"/>
        </w:rPr>
        <w:t>prodeje pozemků vykázané</w:t>
      </w:r>
      <w:r w:rsidR="00B41AA3">
        <w:rPr>
          <w:rFonts w:ascii="Arial" w:hAnsi="Arial" w:cs="Arial"/>
          <w:sz w:val="22"/>
        </w:rPr>
        <w:t>:</w:t>
      </w:r>
    </w:p>
    <w:p w:rsidR="00B41AA3" w:rsidRPr="00B41AA3" w:rsidRDefault="008B3A91" w:rsidP="001731C5">
      <w:pPr>
        <w:numPr>
          <w:ilvl w:val="0"/>
          <w:numId w:val="22"/>
        </w:numPr>
        <w:ind w:left="567" w:hanging="283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na účtu </w:t>
      </w:r>
      <w:r w:rsidRPr="00951245">
        <w:rPr>
          <w:rFonts w:ascii="Arial" w:hAnsi="Arial" w:cs="Arial"/>
          <w:sz w:val="22"/>
        </w:rPr>
        <w:t xml:space="preserve">647 – </w:t>
      </w:r>
      <w:r w:rsidRPr="00951245">
        <w:rPr>
          <w:rFonts w:ascii="Arial" w:hAnsi="Arial" w:cs="Arial"/>
          <w:i/>
          <w:sz w:val="22"/>
        </w:rPr>
        <w:t xml:space="preserve">Výnosy z prodeje pozemků </w:t>
      </w:r>
      <w:r w:rsidR="00EE6DB6">
        <w:rPr>
          <w:rFonts w:ascii="Arial" w:hAnsi="Arial" w:cs="Arial"/>
          <w:sz w:val="22"/>
        </w:rPr>
        <w:t xml:space="preserve">ve </w:t>
      </w:r>
      <w:r w:rsidR="004667FA">
        <w:rPr>
          <w:rFonts w:ascii="Arial" w:hAnsi="Arial" w:cs="Arial"/>
          <w:sz w:val="22"/>
        </w:rPr>
        <w:t>v</w:t>
      </w:r>
      <w:r w:rsidR="00EE6DB6">
        <w:rPr>
          <w:rFonts w:ascii="Arial" w:hAnsi="Arial" w:cs="Arial"/>
          <w:sz w:val="22"/>
        </w:rPr>
        <w:t xml:space="preserve">ýkazu zisku a ztráty </w:t>
      </w:r>
    </w:p>
    <w:p w:rsidR="00B41AA3" w:rsidRPr="00B41AA3" w:rsidRDefault="004A56C5" w:rsidP="001731C5">
      <w:pPr>
        <w:numPr>
          <w:ilvl w:val="0"/>
          <w:numId w:val="22"/>
        </w:numPr>
        <w:ind w:left="567" w:hanging="283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na </w:t>
      </w:r>
      <w:proofErr w:type="gramStart"/>
      <w:r w:rsidR="008B3A91">
        <w:rPr>
          <w:rFonts w:ascii="Arial" w:hAnsi="Arial" w:cs="Arial"/>
          <w:sz w:val="22"/>
        </w:rPr>
        <w:t>položce</w:t>
      </w:r>
      <w:r w:rsidR="00B41AA3">
        <w:rPr>
          <w:rFonts w:ascii="Arial" w:hAnsi="Arial" w:cs="Arial"/>
          <w:sz w:val="22"/>
        </w:rPr>
        <w:t xml:space="preserve"> </w:t>
      </w:r>
      <w:r w:rsidR="008B3A91" w:rsidRPr="008B3A91">
        <w:rPr>
          <w:rFonts w:ascii="Arial" w:hAnsi="Arial" w:cs="Arial"/>
          <w:bCs/>
          <w:iCs/>
          <w:sz w:val="22"/>
        </w:rPr>
        <w:t>B.II</w:t>
      </w:r>
      <w:proofErr w:type="gramEnd"/>
      <w:r w:rsidR="008B3A91" w:rsidRPr="008B3A91">
        <w:rPr>
          <w:rFonts w:ascii="Arial" w:hAnsi="Arial" w:cs="Arial"/>
          <w:bCs/>
          <w:iCs/>
          <w:sz w:val="22"/>
        </w:rPr>
        <w:t xml:space="preserve">.3. – </w:t>
      </w:r>
      <w:r w:rsidR="008B3A91" w:rsidRPr="008B3A91">
        <w:rPr>
          <w:rFonts w:ascii="Arial" w:hAnsi="Arial" w:cs="Arial"/>
          <w:bCs/>
          <w:i/>
          <w:iCs/>
          <w:sz w:val="22"/>
        </w:rPr>
        <w:t xml:space="preserve">Příjmy </w:t>
      </w:r>
      <w:r w:rsidR="0044342E">
        <w:rPr>
          <w:rFonts w:ascii="Arial" w:hAnsi="Arial" w:cs="Arial"/>
          <w:bCs/>
          <w:i/>
          <w:iCs/>
          <w:sz w:val="22"/>
        </w:rPr>
        <w:t>z </w:t>
      </w:r>
      <w:r w:rsidR="008B3A91" w:rsidRPr="008B3A91">
        <w:rPr>
          <w:rFonts w:ascii="Arial" w:hAnsi="Arial" w:cs="Arial"/>
          <w:bCs/>
          <w:i/>
          <w:iCs/>
          <w:sz w:val="22"/>
        </w:rPr>
        <w:t>prodeje dlouhodobého majetku určeného k</w:t>
      </w:r>
      <w:r w:rsidR="00B41AA3">
        <w:rPr>
          <w:rFonts w:ascii="Arial" w:hAnsi="Arial" w:cs="Arial"/>
          <w:bCs/>
          <w:i/>
          <w:iCs/>
          <w:sz w:val="22"/>
        </w:rPr>
        <w:t> </w:t>
      </w:r>
      <w:r w:rsidR="008B3A91" w:rsidRPr="008B3A91">
        <w:rPr>
          <w:rFonts w:ascii="Arial" w:hAnsi="Arial" w:cs="Arial"/>
          <w:bCs/>
          <w:i/>
          <w:iCs/>
          <w:sz w:val="22"/>
        </w:rPr>
        <w:t>prodeji</w:t>
      </w:r>
      <w:r w:rsidR="00B41AA3">
        <w:rPr>
          <w:rFonts w:ascii="Arial" w:hAnsi="Arial" w:cs="Arial"/>
          <w:bCs/>
          <w:i/>
          <w:iCs/>
          <w:sz w:val="22"/>
        </w:rPr>
        <w:t xml:space="preserve"> </w:t>
      </w:r>
      <w:r w:rsidR="00B41AA3">
        <w:rPr>
          <w:rFonts w:ascii="Arial" w:hAnsi="Arial" w:cs="Arial"/>
          <w:bCs/>
          <w:iCs/>
          <w:sz w:val="22"/>
        </w:rPr>
        <w:t>v </w:t>
      </w:r>
      <w:r w:rsidR="001731C5">
        <w:rPr>
          <w:rFonts w:ascii="Arial" w:hAnsi="Arial" w:cs="Arial"/>
          <w:bCs/>
          <w:iCs/>
          <w:sz w:val="22"/>
        </w:rPr>
        <w:t>p</w:t>
      </w:r>
      <w:r w:rsidR="00B41AA3">
        <w:rPr>
          <w:rFonts w:ascii="Arial" w:hAnsi="Arial" w:cs="Arial"/>
          <w:bCs/>
          <w:iCs/>
          <w:sz w:val="22"/>
        </w:rPr>
        <w:t>řehledu o peněžních tocích</w:t>
      </w:r>
      <w:r w:rsidR="00B41AA3" w:rsidRPr="00B41AA3">
        <w:rPr>
          <w:rFonts w:ascii="Arial" w:hAnsi="Arial" w:cs="Arial"/>
          <w:bCs/>
          <w:iCs/>
          <w:sz w:val="22"/>
        </w:rPr>
        <w:t>.</w:t>
      </w:r>
    </w:p>
    <w:p w:rsidR="00BD1316" w:rsidRDefault="00BD1316" w:rsidP="001731C5">
      <w:pPr>
        <w:rPr>
          <w:rFonts w:ascii="Arial" w:hAnsi="Arial" w:cs="Arial"/>
          <w:b/>
          <w:i/>
          <w:sz w:val="22"/>
        </w:rPr>
      </w:pPr>
    </w:p>
    <w:p w:rsidR="00B41AA3" w:rsidRPr="00D16CE6" w:rsidRDefault="00047C9E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Výdaje na pořízení dlouhodobých aktiv</w:t>
      </w:r>
    </w:p>
    <w:p w:rsidR="00E25A4C" w:rsidRDefault="00047C9E" w:rsidP="001731C5">
      <w:pPr>
        <w:rPr>
          <w:rFonts w:ascii="Arial" w:hAnsi="Arial" w:cs="Arial"/>
          <w:sz w:val="22"/>
        </w:rPr>
      </w:pPr>
      <w:r w:rsidRPr="00951245">
        <w:rPr>
          <w:rFonts w:ascii="Arial" w:hAnsi="Arial" w:cs="Arial"/>
          <w:sz w:val="22"/>
        </w:rPr>
        <w:t xml:space="preserve">MD </w:t>
      </w:r>
      <w:r w:rsidR="00C702A3">
        <w:rPr>
          <w:rFonts w:ascii="Arial" w:hAnsi="Arial" w:cs="Arial"/>
          <w:sz w:val="22"/>
        </w:rPr>
        <w:t xml:space="preserve">postupovalo </w:t>
      </w:r>
      <w:r w:rsidR="00047ADA">
        <w:rPr>
          <w:rFonts w:ascii="Arial" w:hAnsi="Arial" w:cs="Arial"/>
          <w:sz w:val="22"/>
        </w:rPr>
        <w:t>nesprávně při vy</w:t>
      </w:r>
      <w:r w:rsidR="00C702A3">
        <w:rPr>
          <w:rFonts w:ascii="Arial" w:hAnsi="Arial" w:cs="Arial"/>
          <w:sz w:val="22"/>
        </w:rPr>
        <w:t xml:space="preserve">kázání údajů </w:t>
      </w:r>
      <w:r w:rsidRPr="00951245">
        <w:rPr>
          <w:rFonts w:ascii="Arial" w:hAnsi="Arial" w:cs="Arial"/>
          <w:sz w:val="22"/>
        </w:rPr>
        <w:t xml:space="preserve">na </w:t>
      </w:r>
      <w:proofErr w:type="gramStart"/>
      <w:r w:rsidRPr="00951245">
        <w:rPr>
          <w:rFonts w:ascii="Arial" w:hAnsi="Arial" w:cs="Arial"/>
          <w:sz w:val="22"/>
        </w:rPr>
        <w:t xml:space="preserve">položkách </w:t>
      </w:r>
      <w:r w:rsidRPr="00865120">
        <w:rPr>
          <w:rFonts w:ascii="Arial" w:hAnsi="Arial" w:cs="Arial"/>
          <w:i/>
          <w:sz w:val="22"/>
        </w:rPr>
        <w:t>B.I.</w:t>
      </w:r>
      <w:proofErr w:type="gramEnd"/>
      <w:r w:rsidR="00343C6B">
        <w:rPr>
          <w:rFonts w:ascii="Arial" w:hAnsi="Arial" w:cs="Arial"/>
          <w:sz w:val="22"/>
        </w:rPr>
        <w:t> </w:t>
      </w:r>
      <w:r w:rsidRPr="00951245">
        <w:rPr>
          <w:rFonts w:ascii="Arial" w:hAnsi="Arial" w:cs="Arial"/>
          <w:i/>
          <w:sz w:val="22"/>
        </w:rPr>
        <w:t xml:space="preserve">Výdaje na pořízení dlouhodobých </w:t>
      </w:r>
      <w:proofErr w:type="gramStart"/>
      <w:r w:rsidRPr="00951245">
        <w:rPr>
          <w:rFonts w:ascii="Arial" w:hAnsi="Arial" w:cs="Arial"/>
          <w:i/>
          <w:sz w:val="22"/>
        </w:rPr>
        <w:t>aktiv</w:t>
      </w:r>
      <w:r w:rsidRPr="00951245">
        <w:rPr>
          <w:rFonts w:ascii="Arial" w:hAnsi="Arial" w:cs="Arial"/>
          <w:sz w:val="22"/>
        </w:rPr>
        <w:t xml:space="preserve"> a </w:t>
      </w:r>
      <w:r w:rsidRPr="00865120">
        <w:rPr>
          <w:rFonts w:ascii="Arial" w:hAnsi="Arial" w:cs="Arial"/>
          <w:i/>
          <w:sz w:val="22"/>
        </w:rPr>
        <w:t>B.III</w:t>
      </w:r>
      <w:proofErr w:type="gramEnd"/>
      <w:r w:rsidRPr="00865120">
        <w:rPr>
          <w:rFonts w:ascii="Arial" w:hAnsi="Arial" w:cs="Arial"/>
          <w:i/>
          <w:sz w:val="22"/>
        </w:rPr>
        <w:t>.</w:t>
      </w:r>
      <w:r w:rsidR="00343C6B">
        <w:rPr>
          <w:rFonts w:ascii="Arial" w:hAnsi="Arial" w:cs="Arial"/>
          <w:sz w:val="22"/>
        </w:rPr>
        <w:t> </w:t>
      </w:r>
      <w:r w:rsidRPr="00951245">
        <w:rPr>
          <w:rFonts w:ascii="Arial" w:hAnsi="Arial" w:cs="Arial"/>
          <w:i/>
          <w:sz w:val="22"/>
        </w:rPr>
        <w:t>Ostatní peněžní toky z dlouhodobých aktiv</w:t>
      </w:r>
      <w:r w:rsidRPr="00951245">
        <w:rPr>
          <w:rFonts w:ascii="Arial" w:hAnsi="Arial" w:cs="Arial"/>
          <w:sz w:val="22"/>
        </w:rPr>
        <w:t xml:space="preserve"> </w:t>
      </w:r>
      <w:r w:rsidR="0044342E">
        <w:rPr>
          <w:rFonts w:ascii="Arial" w:hAnsi="Arial" w:cs="Arial"/>
          <w:sz w:val="22"/>
        </w:rPr>
        <w:t>v </w:t>
      </w:r>
      <w:r w:rsidR="004667FA">
        <w:rPr>
          <w:rFonts w:ascii="Arial" w:hAnsi="Arial" w:cs="Arial"/>
          <w:sz w:val="22"/>
        </w:rPr>
        <w:t>p</w:t>
      </w:r>
      <w:r w:rsidR="00996C20">
        <w:rPr>
          <w:rFonts w:ascii="Arial" w:hAnsi="Arial" w:cs="Arial"/>
          <w:sz w:val="22"/>
        </w:rPr>
        <w:t>řehledu o </w:t>
      </w:r>
      <w:r w:rsidR="00C702A3" w:rsidRPr="00951245">
        <w:rPr>
          <w:rFonts w:ascii="Arial" w:hAnsi="Arial" w:cs="Arial"/>
          <w:sz w:val="22"/>
        </w:rPr>
        <w:t>peněžních tocích k</w:t>
      </w:r>
      <w:r w:rsidR="00996C20">
        <w:rPr>
          <w:rFonts w:ascii="Arial" w:hAnsi="Arial" w:cs="Arial"/>
          <w:sz w:val="22"/>
        </w:rPr>
        <w:t> </w:t>
      </w:r>
      <w:r w:rsidR="00C702A3" w:rsidRPr="00951245">
        <w:rPr>
          <w:rFonts w:ascii="Arial" w:hAnsi="Arial" w:cs="Arial"/>
          <w:sz w:val="22"/>
        </w:rPr>
        <w:t>31. 12. 2013</w:t>
      </w:r>
      <w:r w:rsidR="00C702A3">
        <w:rPr>
          <w:rFonts w:ascii="Arial" w:hAnsi="Arial" w:cs="Arial"/>
          <w:sz w:val="22"/>
        </w:rPr>
        <w:t>, neboť na</w:t>
      </w:r>
      <w:r w:rsidR="0082518A">
        <w:rPr>
          <w:rFonts w:ascii="Arial" w:hAnsi="Arial" w:cs="Arial"/>
          <w:sz w:val="22"/>
        </w:rPr>
        <w:t>místo výše výdajů vykázalo na těchto položkách</w:t>
      </w:r>
      <w:r w:rsidR="00E25A4C">
        <w:rPr>
          <w:rFonts w:ascii="Arial" w:hAnsi="Arial" w:cs="Arial"/>
          <w:sz w:val="22"/>
        </w:rPr>
        <w:t xml:space="preserve"> účetní pohyb</w:t>
      </w:r>
      <w:r w:rsidR="0082518A">
        <w:rPr>
          <w:rFonts w:ascii="Arial" w:hAnsi="Arial" w:cs="Arial"/>
          <w:sz w:val="22"/>
        </w:rPr>
        <w:t>y</w:t>
      </w:r>
      <w:r w:rsidR="00E25A4C">
        <w:rPr>
          <w:rFonts w:ascii="Arial" w:hAnsi="Arial" w:cs="Arial"/>
          <w:sz w:val="22"/>
        </w:rPr>
        <w:t xml:space="preserve"> zachycen</w:t>
      </w:r>
      <w:r w:rsidR="0082518A">
        <w:rPr>
          <w:rFonts w:ascii="Arial" w:hAnsi="Arial" w:cs="Arial"/>
          <w:sz w:val="22"/>
        </w:rPr>
        <w:t>é</w:t>
      </w:r>
      <w:r w:rsidR="00E25A4C">
        <w:rPr>
          <w:rFonts w:ascii="Arial" w:hAnsi="Arial" w:cs="Arial"/>
          <w:sz w:val="22"/>
        </w:rPr>
        <w:t xml:space="preserve"> na </w:t>
      </w:r>
      <w:r w:rsidR="00E25A4C" w:rsidRPr="00951245">
        <w:rPr>
          <w:rFonts w:ascii="Arial" w:hAnsi="Arial" w:cs="Arial"/>
          <w:sz w:val="22"/>
        </w:rPr>
        <w:t>účt</w:t>
      </w:r>
      <w:r w:rsidR="00E25A4C">
        <w:rPr>
          <w:rFonts w:ascii="Arial" w:hAnsi="Arial" w:cs="Arial"/>
          <w:sz w:val="22"/>
        </w:rPr>
        <w:t>ech</w:t>
      </w:r>
      <w:r w:rsidR="00E25A4C" w:rsidRPr="00951245">
        <w:rPr>
          <w:rFonts w:ascii="Arial" w:hAnsi="Arial" w:cs="Arial"/>
          <w:sz w:val="22"/>
        </w:rPr>
        <w:t xml:space="preserve"> 041 </w:t>
      </w:r>
      <w:r w:rsidR="00E25A4C">
        <w:rPr>
          <w:rFonts w:ascii="Arial" w:hAnsi="Arial" w:cs="Arial"/>
          <w:sz w:val="22"/>
        </w:rPr>
        <w:t xml:space="preserve">(042) </w:t>
      </w:r>
      <w:r w:rsidR="00E25A4C" w:rsidRPr="00951245">
        <w:rPr>
          <w:rFonts w:ascii="Arial" w:hAnsi="Arial" w:cs="Arial"/>
          <w:i/>
          <w:sz w:val="22"/>
        </w:rPr>
        <w:t xml:space="preserve">– Nedokončený dlouhodobý nehmotný </w:t>
      </w:r>
      <w:r w:rsidR="00E25A4C">
        <w:rPr>
          <w:rFonts w:ascii="Arial" w:hAnsi="Arial" w:cs="Arial"/>
          <w:sz w:val="22"/>
        </w:rPr>
        <w:t>(</w:t>
      </w:r>
      <w:r w:rsidR="00E25A4C" w:rsidRPr="00865120">
        <w:rPr>
          <w:rFonts w:ascii="Arial" w:hAnsi="Arial" w:cs="Arial"/>
          <w:i/>
          <w:sz w:val="22"/>
        </w:rPr>
        <w:t>hmotný</w:t>
      </w:r>
      <w:r w:rsidR="00E25A4C">
        <w:rPr>
          <w:rFonts w:ascii="Arial" w:hAnsi="Arial" w:cs="Arial"/>
          <w:sz w:val="22"/>
        </w:rPr>
        <w:t xml:space="preserve">) </w:t>
      </w:r>
      <w:r w:rsidR="00E25A4C" w:rsidRPr="00951245">
        <w:rPr>
          <w:rFonts w:ascii="Arial" w:hAnsi="Arial" w:cs="Arial"/>
          <w:i/>
          <w:sz w:val="22"/>
        </w:rPr>
        <w:t>majetek</w:t>
      </w:r>
      <w:r w:rsidR="00C702A3">
        <w:rPr>
          <w:rFonts w:ascii="Arial" w:hAnsi="Arial" w:cs="Arial"/>
          <w:sz w:val="22"/>
        </w:rPr>
        <w:t xml:space="preserve">. </w:t>
      </w:r>
      <w:r w:rsidR="00047ADA">
        <w:rPr>
          <w:rFonts w:ascii="Arial" w:hAnsi="Arial" w:cs="Arial"/>
          <w:sz w:val="22"/>
        </w:rPr>
        <w:t>Kontrola prokázala</w:t>
      </w:r>
      <w:r w:rsidR="0082518A">
        <w:rPr>
          <w:rFonts w:ascii="Arial" w:hAnsi="Arial" w:cs="Arial"/>
          <w:sz w:val="22"/>
        </w:rPr>
        <w:t xml:space="preserve">, že některé </w:t>
      </w:r>
      <w:r w:rsidR="00E25A4C" w:rsidRPr="00951245">
        <w:rPr>
          <w:rFonts w:ascii="Arial" w:hAnsi="Arial" w:cs="Arial"/>
          <w:sz w:val="22"/>
        </w:rPr>
        <w:t xml:space="preserve">pohyby na </w:t>
      </w:r>
      <w:r w:rsidR="00C702A3">
        <w:rPr>
          <w:rFonts w:ascii="Arial" w:hAnsi="Arial" w:cs="Arial"/>
          <w:sz w:val="22"/>
        </w:rPr>
        <w:t xml:space="preserve">účtech nedokončeného dlouhodobého majetku </w:t>
      </w:r>
      <w:r w:rsidR="0082518A">
        <w:rPr>
          <w:rFonts w:ascii="Arial" w:hAnsi="Arial" w:cs="Arial"/>
          <w:sz w:val="22"/>
        </w:rPr>
        <w:t>se výdajů netýkaly</w:t>
      </w:r>
      <w:r w:rsidR="004667FA">
        <w:rPr>
          <w:rFonts w:ascii="Arial" w:hAnsi="Arial" w:cs="Arial"/>
          <w:sz w:val="22"/>
        </w:rPr>
        <w:t>,</w:t>
      </w:r>
      <w:r w:rsidR="00C702A3">
        <w:rPr>
          <w:rFonts w:ascii="Arial" w:hAnsi="Arial" w:cs="Arial"/>
          <w:sz w:val="22"/>
        </w:rPr>
        <w:t xml:space="preserve"> a</w:t>
      </w:r>
      <w:r w:rsidR="004667FA">
        <w:rPr>
          <w:rFonts w:ascii="Arial" w:hAnsi="Arial" w:cs="Arial"/>
          <w:sz w:val="22"/>
        </w:rPr>
        <w:t xml:space="preserve"> proto</w:t>
      </w:r>
      <w:r w:rsidR="00C702A3">
        <w:rPr>
          <w:rFonts w:ascii="Arial" w:hAnsi="Arial" w:cs="Arial"/>
          <w:sz w:val="22"/>
        </w:rPr>
        <w:t xml:space="preserve"> neměly být vykázány jako výdaje</w:t>
      </w:r>
      <w:r w:rsidR="0082518A">
        <w:rPr>
          <w:rFonts w:ascii="Arial" w:hAnsi="Arial" w:cs="Arial"/>
          <w:sz w:val="22"/>
        </w:rPr>
        <w:t>.</w:t>
      </w:r>
    </w:p>
    <w:p w:rsidR="00546269" w:rsidRDefault="00546269" w:rsidP="001731C5">
      <w:pPr>
        <w:pStyle w:val="Default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EE6C3B" w:rsidRDefault="00EE6C3B" w:rsidP="001731C5">
      <w:pPr>
        <w:pStyle w:val="Default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1.2.3 Stálost aplikace postupů účtování a oce</w:t>
      </w:r>
      <w:r w:rsidR="004667FA">
        <w:rPr>
          <w:rFonts w:ascii="Arial" w:eastAsia="Calibri" w:hAnsi="Arial" w:cs="Arial"/>
          <w:b/>
          <w:color w:val="auto"/>
          <w:sz w:val="22"/>
          <w:szCs w:val="22"/>
        </w:rPr>
        <w:t>ňování</w:t>
      </w:r>
    </w:p>
    <w:p w:rsidR="00BD1316" w:rsidRDefault="00BD1316" w:rsidP="001731C5">
      <w:pPr>
        <w:pStyle w:val="Default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A54D1E" w:rsidRPr="00BD1316" w:rsidRDefault="00EE6C3B" w:rsidP="001731C5">
      <w:pPr>
        <w:pStyle w:val="Default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 w:rsidRPr="00BD1316">
        <w:rPr>
          <w:rFonts w:ascii="Arial" w:eastAsia="Calibri" w:hAnsi="Arial" w:cs="Arial"/>
          <w:b/>
          <w:color w:val="auto"/>
          <w:sz w:val="22"/>
          <w:szCs w:val="22"/>
        </w:rPr>
        <w:t>MD v</w:t>
      </w:r>
      <w:r w:rsidR="00996C20" w:rsidRPr="00BD1316">
        <w:rPr>
          <w:rFonts w:ascii="Arial" w:eastAsia="Calibri" w:hAnsi="Arial" w:cs="Arial"/>
          <w:b/>
          <w:color w:val="auto"/>
          <w:sz w:val="22"/>
          <w:szCs w:val="22"/>
        </w:rPr>
        <w:t> </w:t>
      </w:r>
      <w:r w:rsidRPr="00BD1316">
        <w:rPr>
          <w:rFonts w:ascii="Arial" w:eastAsia="Calibri" w:hAnsi="Arial" w:cs="Arial"/>
          <w:b/>
          <w:color w:val="auto"/>
          <w:sz w:val="22"/>
          <w:szCs w:val="22"/>
        </w:rPr>
        <w:t>oblasti účtování na podrozvahových účtech nebylo konzistentní</w:t>
      </w:r>
      <w:r w:rsidR="00A54D1E" w:rsidRPr="00BD1316">
        <w:rPr>
          <w:rFonts w:ascii="Arial" w:eastAsia="Calibri" w:hAnsi="Arial" w:cs="Arial"/>
          <w:b/>
          <w:color w:val="auto"/>
          <w:sz w:val="22"/>
          <w:szCs w:val="22"/>
        </w:rPr>
        <w:t>:</w:t>
      </w:r>
    </w:p>
    <w:p w:rsidR="00A54D1E" w:rsidRDefault="00A54D1E" w:rsidP="00CC2461">
      <w:pPr>
        <w:pStyle w:val="Default"/>
        <w:numPr>
          <w:ilvl w:val="0"/>
          <w:numId w:val="22"/>
        </w:numPr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při volbě účtů, na kterých účtovalo zejména transfery spolufinancované z</w:t>
      </w:r>
      <w:r w:rsidR="00F2013C">
        <w:rPr>
          <w:rFonts w:ascii="Arial" w:eastAsia="Calibri" w:hAnsi="Arial" w:cs="Arial"/>
          <w:color w:val="auto"/>
          <w:sz w:val="22"/>
          <w:szCs w:val="22"/>
        </w:rPr>
        <w:t> </w:t>
      </w:r>
      <w:r>
        <w:rPr>
          <w:rFonts w:ascii="Arial" w:eastAsia="Calibri" w:hAnsi="Arial" w:cs="Arial"/>
          <w:color w:val="auto"/>
          <w:sz w:val="22"/>
          <w:szCs w:val="22"/>
        </w:rPr>
        <w:t>EU</w:t>
      </w:r>
      <w:r w:rsidR="00F2013C">
        <w:rPr>
          <w:rFonts w:ascii="Arial" w:eastAsia="Calibri" w:hAnsi="Arial" w:cs="Arial"/>
          <w:color w:val="auto"/>
          <w:sz w:val="22"/>
          <w:szCs w:val="22"/>
        </w:rPr>
        <w:t>;</w:t>
      </w:r>
    </w:p>
    <w:p w:rsidR="00A54D1E" w:rsidRDefault="00A54D1E" w:rsidP="00CC2461">
      <w:pPr>
        <w:pStyle w:val="Default"/>
        <w:numPr>
          <w:ilvl w:val="0"/>
          <w:numId w:val="22"/>
        </w:numPr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při aplikaci hlediska významnosti na podmíněné závazky týkající se předfinancované výše transferu spolufinancovaného z</w:t>
      </w:r>
      <w:r w:rsidR="00F2013C">
        <w:rPr>
          <w:rFonts w:ascii="Arial" w:eastAsia="Calibri" w:hAnsi="Arial" w:cs="Arial"/>
          <w:color w:val="auto"/>
          <w:sz w:val="22"/>
          <w:szCs w:val="22"/>
        </w:rPr>
        <w:t> </w:t>
      </w:r>
      <w:r>
        <w:rPr>
          <w:rFonts w:ascii="Arial" w:eastAsia="Calibri" w:hAnsi="Arial" w:cs="Arial"/>
          <w:color w:val="auto"/>
          <w:sz w:val="22"/>
          <w:szCs w:val="22"/>
        </w:rPr>
        <w:t>EU</w:t>
      </w:r>
      <w:r w:rsidR="00F2013C">
        <w:rPr>
          <w:rFonts w:ascii="Arial" w:eastAsia="Calibri" w:hAnsi="Arial" w:cs="Arial"/>
          <w:color w:val="auto"/>
          <w:sz w:val="22"/>
          <w:szCs w:val="22"/>
        </w:rPr>
        <w:t>;</w:t>
      </w:r>
    </w:p>
    <w:p w:rsidR="00EE6C3B" w:rsidRDefault="00A54D1E" w:rsidP="00865120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při oce</w:t>
      </w:r>
      <w:r w:rsidR="00F2013C">
        <w:rPr>
          <w:rFonts w:ascii="Arial" w:eastAsia="Calibri" w:hAnsi="Arial" w:cs="Arial"/>
          <w:color w:val="auto"/>
          <w:sz w:val="22"/>
          <w:szCs w:val="22"/>
        </w:rPr>
        <w:t>ňování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dlouhodobých podmíněných závazků.</w:t>
      </w:r>
    </w:p>
    <w:p w:rsidR="00BD1316" w:rsidRDefault="00BD1316" w:rsidP="00865120">
      <w:pPr>
        <w:pStyle w:val="Default"/>
        <w:jc w:val="both"/>
        <w:rPr>
          <w:rFonts w:ascii="Arial" w:eastAsia="Calibri" w:hAnsi="Arial" w:cs="Arial"/>
          <w:b/>
          <w:i/>
          <w:color w:val="auto"/>
          <w:sz w:val="22"/>
          <w:szCs w:val="22"/>
        </w:rPr>
      </w:pPr>
    </w:p>
    <w:p w:rsidR="00CC2461" w:rsidRDefault="00CC2461" w:rsidP="00300D1C">
      <w:pPr>
        <w:pStyle w:val="Default"/>
        <w:spacing w:after="120"/>
        <w:jc w:val="both"/>
        <w:rPr>
          <w:rFonts w:ascii="Arial" w:eastAsia="Calibri" w:hAnsi="Arial" w:cs="Arial"/>
          <w:b/>
          <w:i/>
          <w:color w:val="auto"/>
          <w:sz w:val="22"/>
          <w:szCs w:val="22"/>
        </w:rPr>
      </w:pPr>
    </w:p>
    <w:p w:rsidR="00E71E3E" w:rsidRPr="00D16CE6" w:rsidRDefault="00E71E3E" w:rsidP="00300D1C">
      <w:pPr>
        <w:pStyle w:val="Default"/>
        <w:spacing w:after="120"/>
        <w:jc w:val="both"/>
        <w:rPr>
          <w:rFonts w:ascii="Arial" w:eastAsia="Calibri" w:hAnsi="Arial" w:cs="Arial"/>
          <w:b/>
          <w:i/>
          <w:color w:val="auto"/>
          <w:sz w:val="22"/>
          <w:szCs w:val="22"/>
        </w:rPr>
      </w:pPr>
      <w:r w:rsidRPr="00D16CE6">
        <w:rPr>
          <w:rFonts w:ascii="Arial" w:eastAsia="Calibri" w:hAnsi="Arial" w:cs="Arial"/>
          <w:b/>
          <w:i/>
          <w:color w:val="auto"/>
          <w:sz w:val="22"/>
          <w:szCs w:val="22"/>
        </w:rPr>
        <w:lastRenderedPageBreak/>
        <w:t>Spolufinancované transfery</w:t>
      </w:r>
    </w:p>
    <w:p w:rsidR="00D56F2B" w:rsidRDefault="003A0A4C" w:rsidP="00F1728A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MD v případě </w:t>
      </w:r>
      <w:r w:rsidR="00E71E3E">
        <w:rPr>
          <w:rFonts w:ascii="Arial" w:eastAsia="Calibri" w:hAnsi="Arial" w:cs="Arial"/>
          <w:color w:val="auto"/>
          <w:sz w:val="22"/>
          <w:szCs w:val="22"/>
        </w:rPr>
        <w:t>spolufinancovaných</w:t>
      </w:r>
      <w:r w:rsidR="00D37EF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5E0369">
        <w:rPr>
          <w:rFonts w:ascii="Arial" w:eastAsia="Calibri" w:hAnsi="Arial" w:cs="Arial"/>
          <w:color w:val="auto"/>
          <w:sz w:val="22"/>
          <w:szCs w:val="22"/>
        </w:rPr>
        <w:t xml:space="preserve">transferů </w:t>
      </w:r>
      <w:r w:rsidR="00D56F2B">
        <w:rPr>
          <w:rFonts w:ascii="Arial" w:eastAsia="Calibri" w:hAnsi="Arial" w:cs="Arial"/>
          <w:color w:val="auto"/>
          <w:sz w:val="22"/>
          <w:szCs w:val="22"/>
        </w:rPr>
        <w:t>postupovalo při účtování podmíněných závazků nekonzistentně:</w:t>
      </w:r>
    </w:p>
    <w:p w:rsidR="003742CA" w:rsidRDefault="00DB2349" w:rsidP="00DB2349">
      <w:pPr>
        <w:pStyle w:val="Default"/>
        <w:numPr>
          <w:ilvl w:val="0"/>
          <w:numId w:val="22"/>
        </w:numPr>
        <w:ind w:left="567" w:hanging="283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N</w:t>
      </w:r>
      <w:r w:rsidR="00020446">
        <w:rPr>
          <w:rFonts w:ascii="Arial" w:eastAsia="Calibri" w:hAnsi="Arial" w:cs="Arial"/>
          <w:color w:val="auto"/>
          <w:sz w:val="22"/>
          <w:szCs w:val="22"/>
        </w:rPr>
        <w:t>ěkteré případy</w:t>
      </w:r>
      <w:r w:rsidR="005E0369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D37EF7">
        <w:rPr>
          <w:rFonts w:ascii="Arial" w:eastAsia="Calibri" w:hAnsi="Arial" w:cs="Arial"/>
          <w:color w:val="auto"/>
          <w:sz w:val="22"/>
          <w:szCs w:val="22"/>
        </w:rPr>
        <w:t>účtovalo prostředn</w:t>
      </w:r>
      <w:r w:rsidR="006A672E">
        <w:rPr>
          <w:rFonts w:ascii="Arial" w:eastAsia="Calibri" w:hAnsi="Arial" w:cs="Arial"/>
          <w:color w:val="auto"/>
          <w:sz w:val="22"/>
          <w:szCs w:val="22"/>
        </w:rPr>
        <w:t>ictvím</w:t>
      </w:r>
      <w:r w:rsidR="0083573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6A672E">
        <w:rPr>
          <w:rFonts w:ascii="Arial" w:eastAsia="Calibri" w:hAnsi="Arial" w:cs="Arial"/>
          <w:color w:val="auto"/>
          <w:sz w:val="22"/>
          <w:szCs w:val="22"/>
        </w:rPr>
        <w:t xml:space="preserve">účtů </w:t>
      </w:r>
      <w:r w:rsidR="006A672E" w:rsidRPr="00951245">
        <w:rPr>
          <w:rFonts w:ascii="Arial" w:hAnsi="Arial" w:cs="Arial"/>
          <w:sz w:val="22"/>
          <w:szCs w:val="22"/>
        </w:rPr>
        <w:t xml:space="preserve">975 </w:t>
      </w:r>
      <w:r w:rsidR="00835737">
        <w:rPr>
          <w:rFonts w:ascii="Arial" w:hAnsi="Arial" w:cs="Arial"/>
          <w:sz w:val="22"/>
          <w:szCs w:val="22"/>
        </w:rPr>
        <w:t>(9</w:t>
      </w:r>
      <w:r w:rsidR="006569BC">
        <w:rPr>
          <w:rFonts w:ascii="Arial" w:hAnsi="Arial" w:cs="Arial"/>
          <w:sz w:val="22"/>
          <w:szCs w:val="22"/>
        </w:rPr>
        <w:t>7</w:t>
      </w:r>
      <w:r w:rsidR="00835737">
        <w:rPr>
          <w:rFonts w:ascii="Arial" w:hAnsi="Arial" w:cs="Arial"/>
          <w:sz w:val="22"/>
          <w:szCs w:val="22"/>
        </w:rPr>
        <w:t xml:space="preserve">6) </w:t>
      </w:r>
      <w:r w:rsidR="006A672E" w:rsidRPr="00951245">
        <w:rPr>
          <w:rFonts w:ascii="Arial" w:hAnsi="Arial" w:cs="Arial"/>
          <w:sz w:val="22"/>
          <w:szCs w:val="22"/>
        </w:rPr>
        <w:t xml:space="preserve">– </w:t>
      </w:r>
      <w:r w:rsidR="006A672E" w:rsidRPr="00951245">
        <w:rPr>
          <w:rFonts w:ascii="Arial" w:hAnsi="Arial" w:cs="Arial"/>
          <w:i/>
          <w:sz w:val="22"/>
          <w:szCs w:val="22"/>
        </w:rPr>
        <w:t xml:space="preserve">Krátkodobé </w:t>
      </w:r>
      <w:r w:rsidR="00835737" w:rsidRPr="00D16CE6">
        <w:rPr>
          <w:rFonts w:ascii="Arial" w:hAnsi="Arial" w:cs="Arial"/>
          <w:sz w:val="22"/>
          <w:szCs w:val="22"/>
        </w:rPr>
        <w:t>(</w:t>
      </w:r>
      <w:r w:rsidR="00835737" w:rsidRPr="00837E54">
        <w:rPr>
          <w:rFonts w:ascii="Arial" w:hAnsi="Arial" w:cs="Arial"/>
          <w:i/>
          <w:sz w:val="22"/>
          <w:szCs w:val="22"/>
        </w:rPr>
        <w:t>Dlouhodobé</w:t>
      </w:r>
      <w:r w:rsidR="00835737" w:rsidRPr="00D16CE6">
        <w:rPr>
          <w:rFonts w:ascii="Arial" w:hAnsi="Arial" w:cs="Arial"/>
          <w:sz w:val="22"/>
          <w:szCs w:val="22"/>
        </w:rPr>
        <w:t>)</w:t>
      </w:r>
      <w:r w:rsidR="00835737">
        <w:rPr>
          <w:rFonts w:ascii="Arial" w:hAnsi="Arial" w:cs="Arial"/>
          <w:i/>
          <w:sz w:val="22"/>
          <w:szCs w:val="22"/>
        </w:rPr>
        <w:t xml:space="preserve"> </w:t>
      </w:r>
      <w:r w:rsidR="006A672E" w:rsidRPr="00951245">
        <w:rPr>
          <w:rFonts w:ascii="Arial" w:hAnsi="Arial" w:cs="Arial"/>
          <w:i/>
          <w:sz w:val="22"/>
          <w:szCs w:val="22"/>
        </w:rPr>
        <w:t xml:space="preserve">podmíněné závazky </w:t>
      </w:r>
      <w:r w:rsidR="0044342E">
        <w:rPr>
          <w:rFonts w:ascii="Arial" w:hAnsi="Arial" w:cs="Arial"/>
          <w:i/>
          <w:sz w:val="22"/>
          <w:szCs w:val="22"/>
        </w:rPr>
        <w:t>z </w:t>
      </w:r>
      <w:r w:rsidR="006A672E" w:rsidRPr="00951245">
        <w:rPr>
          <w:rFonts w:ascii="Arial" w:hAnsi="Arial" w:cs="Arial"/>
          <w:i/>
          <w:sz w:val="22"/>
          <w:szCs w:val="22"/>
        </w:rPr>
        <w:t>nástrojů spolufinancovaných ze zahraničí</w:t>
      </w:r>
      <w:r w:rsidR="00835737">
        <w:rPr>
          <w:rFonts w:ascii="Arial" w:hAnsi="Arial" w:cs="Arial"/>
          <w:sz w:val="22"/>
          <w:szCs w:val="22"/>
        </w:rPr>
        <w:t xml:space="preserve">, </w:t>
      </w:r>
      <w:r w:rsidR="00E71E3E">
        <w:rPr>
          <w:rFonts w:ascii="Arial" w:hAnsi="Arial" w:cs="Arial"/>
          <w:sz w:val="22"/>
          <w:szCs w:val="22"/>
        </w:rPr>
        <w:t>pro jiné</w:t>
      </w:r>
      <w:r w:rsidR="00835737">
        <w:rPr>
          <w:rFonts w:ascii="Arial" w:hAnsi="Arial" w:cs="Arial"/>
          <w:sz w:val="22"/>
          <w:szCs w:val="22"/>
        </w:rPr>
        <w:t xml:space="preserve"> používalo </w:t>
      </w:r>
      <w:r w:rsidR="006A672E">
        <w:rPr>
          <w:rFonts w:ascii="Arial" w:eastAsia="Calibri" w:hAnsi="Arial" w:cs="Arial"/>
          <w:color w:val="auto"/>
          <w:sz w:val="22"/>
          <w:szCs w:val="22"/>
        </w:rPr>
        <w:t>úč</w:t>
      </w:r>
      <w:r>
        <w:rPr>
          <w:rFonts w:ascii="Arial" w:eastAsia="Calibri" w:hAnsi="Arial" w:cs="Arial"/>
          <w:color w:val="auto"/>
          <w:sz w:val="22"/>
          <w:szCs w:val="22"/>
        </w:rPr>
        <w:t>e</w:t>
      </w:r>
      <w:r w:rsidR="006A672E">
        <w:rPr>
          <w:rFonts w:ascii="Arial" w:eastAsia="Calibri" w:hAnsi="Arial" w:cs="Arial"/>
          <w:color w:val="auto"/>
          <w:sz w:val="22"/>
          <w:szCs w:val="22"/>
        </w:rPr>
        <w:t xml:space="preserve">t 985 – </w:t>
      </w:r>
      <w:r w:rsidR="006A672E" w:rsidRPr="00951245">
        <w:rPr>
          <w:rFonts w:ascii="Arial" w:hAnsi="Arial" w:cs="Arial"/>
          <w:bCs/>
          <w:i/>
          <w:iCs/>
          <w:sz w:val="22"/>
          <w:szCs w:val="22"/>
        </w:rPr>
        <w:t>Ostatní krátkodobá podmíněná pasiva</w:t>
      </w:r>
      <w:r w:rsidR="00D56F2B">
        <w:rPr>
          <w:rFonts w:ascii="Arial" w:eastAsia="Calibri" w:hAnsi="Arial" w:cs="Arial"/>
          <w:color w:val="auto"/>
          <w:sz w:val="22"/>
          <w:szCs w:val="22"/>
        </w:rPr>
        <w:t>.</w:t>
      </w:r>
    </w:p>
    <w:p w:rsidR="00DB2349" w:rsidRDefault="00DB2349" w:rsidP="00837E54">
      <w:pPr>
        <w:pStyle w:val="Default"/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DB2349" w:rsidRDefault="00047ADA" w:rsidP="00837E54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23A5F" w:rsidRPr="00951245">
        <w:rPr>
          <w:rFonts w:ascii="Arial" w:hAnsi="Arial" w:cs="Arial"/>
          <w:sz w:val="22"/>
          <w:szCs w:val="22"/>
        </w:rPr>
        <w:t xml:space="preserve">ekonzistentní </w:t>
      </w:r>
      <w:r w:rsidR="003742CA" w:rsidRPr="00951245">
        <w:rPr>
          <w:rFonts w:ascii="Arial" w:hAnsi="Arial" w:cs="Arial"/>
          <w:sz w:val="22"/>
          <w:szCs w:val="22"/>
        </w:rPr>
        <w:t>účtování</w:t>
      </w:r>
      <w:r w:rsidR="003742CA">
        <w:rPr>
          <w:rFonts w:ascii="Arial" w:hAnsi="Arial" w:cs="Arial"/>
          <w:sz w:val="22"/>
          <w:szCs w:val="22"/>
        </w:rPr>
        <w:t xml:space="preserve"> na podrozvahových účtech nebylo d</w:t>
      </w:r>
      <w:r>
        <w:rPr>
          <w:rFonts w:ascii="Arial" w:hAnsi="Arial" w:cs="Arial"/>
          <w:sz w:val="22"/>
          <w:szCs w:val="22"/>
        </w:rPr>
        <w:t>ůvodné a představuje systémové riziko v účetnictví MD,</w:t>
      </w:r>
      <w:r w:rsidR="003742CA">
        <w:rPr>
          <w:rFonts w:ascii="Arial" w:hAnsi="Arial" w:cs="Arial"/>
          <w:sz w:val="22"/>
          <w:szCs w:val="22"/>
        </w:rPr>
        <w:t xml:space="preserve"> nemělo však </w:t>
      </w:r>
      <w:r w:rsidR="00423A5F">
        <w:rPr>
          <w:rFonts w:ascii="Arial" w:hAnsi="Arial" w:cs="Arial"/>
          <w:sz w:val="22"/>
          <w:szCs w:val="22"/>
        </w:rPr>
        <w:t xml:space="preserve">výsledně </w:t>
      </w:r>
      <w:r w:rsidR="003742CA">
        <w:rPr>
          <w:rFonts w:ascii="Arial" w:hAnsi="Arial" w:cs="Arial"/>
          <w:sz w:val="22"/>
          <w:szCs w:val="22"/>
        </w:rPr>
        <w:t>vliv na vykázané údaje v ÚZ.</w:t>
      </w:r>
    </w:p>
    <w:p w:rsidR="003742CA" w:rsidRDefault="003742CA" w:rsidP="00837E54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:rsidR="00867A36" w:rsidRPr="00867A36" w:rsidRDefault="00DB2349" w:rsidP="00DB2349">
      <w:pPr>
        <w:pStyle w:val="Default"/>
        <w:numPr>
          <w:ilvl w:val="0"/>
          <w:numId w:val="22"/>
        </w:numPr>
        <w:ind w:left="567" w:hanging="283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</w:rPr>
        <w:t>N</w:t>
      </w:r>
      <w:r w:rsidR="00120EBD" w:rsidRPr="00882418">
        <w:rPr>
          <w:rFonts w:ascii="Arial" w:hAnsi="Arial" w:cs="Arial"/>
          <w:sz w:val="22"/>
        </w:rPr>
        <w:t>ě</w:t>
      </w:r>
      <w:r w:rsidR="00E71E3E" w:rsidRPr="00882418">
        <w:rPr>
          <w:rFonts w:ascii="Arial" w:hAnsi="Arial" w:cs="Arial"/>
          <w:sz w:val="22"/>
        </w:rPr>
        <w:t>kter</w:t>
      </w:r>
      <w:r w:rsidR="00FF15A0" w:rsidRPr="00882418">
        <w:rPr>
          <w:rFonts w:ascii="Arial" w:hAnsi="Arial" w:cs="Arial"/>
          <w:sz w:val="22"/>
        </w:rPr>
        <w:t>é</w:t>
      </w:r>
      <w:r w:rsidR="00E71E3E" w:rsidRPr="00882418">
        <w:rPr>
          <w:rFonts w:ascii="Arial" w:hAnsi="Arial" w:cs="Arial"/>
          <w:sz w:val="22"/>
        </w:rPr>
        <w:t xml:space="preserve"> podmíněn</w:t>
      </w:r>
      <w:r w:rsidR="00FF15A0" w:rsidRPr="00882418">
        <w:rPr>
          <w:rFonts w:ascii="Arial" w:hAnsi="Arial" w:cs="Arial"/>
          <w:sz w:val="22"/>
        </w:rPr>
        <w:t>é</w:t>
      </w:r>
      <w:r w:rsidR="00E71E3E" w:rsidRPr="00882418">
        <w:rPr>
          <w:rFonts w:ascii="Arial" w:hAnsi="Arial" w:cs="Arial"/>
          <w:sz w:val="22"/>
        </w:rPr>
        <w:t xml:space="preserve"> závaz</w:t>
      </w:r>
      <w:r w:rsidR="00FF15A0" w:rsidRPr="00882418">
        <w:rPr>
          <w:rFonts w:ascii="Arial" w:hAnsi="Arial" w:cs="Arial"/>
          <w:sz w:val="22"/>
        </w:rPr>
        <w:t>ky</w:t>
      </w:r>
      <w:r w:rsidR="00B1260D" w:rsidRPr="00882418">
        <w:rPr>
          <w:rFonts w:ascii="Arial" w:hAnsi="Arial" w:cs="Arial"/>
          <w:sz w:val="22"/>
        </w:rPr>
        <w:t xml:space="preserve"> </w:t>
      </w:r>
      <w:r w:rsidR="00882418">
        <w:rPr>
          <w:rFonts w:ascii="Arial" w:hAnsi="Arial" w:cs="Arial"/>
          <w:sz w:val="22"/>
        </w:rPr>
        <w:t xml:space="preserve">představující podíl transferu předfinancovaného za EU </w:t>
      </w:r>
      <w:r w:rsidR="00FF15A0" w:rsidRPr="00882418">
        <w:rPr>
          <w:rFonts w:ascii="Arial" w:hAnsi="Arial" w:cs="Arial"/>
          <w:sz w:val="22"/>
        </w:rPr>
        <w:t xml:space="preserve">odúčtovalo </w:t>
      </w:r>
      <w:r w:rsidR="00206FB5">
        <w:rPr>
          <w:rFonts w:ascii="Arial" w:hAnsi="Arial" w:cs="Arial"/>
          <w:sz w:val="22"/>
        </w:rPr>
        <w:t>MD k 31. 12. </w:t>
      </w:r>
      <w:r w:rsidR="00423A5F" w:rsidRPr="00882418">
        <w:rPr>
          <w:rFonts w:ascii="Arial" w:hAnsi="Arial" w:cs="Arial"/>
          <w:sz w:val="22"/>
        </w:rPr>
        <w:t>2</w:t>
      </w:r>
      <w:r w:rsidR="00423A5F">
        <w:rPr>
          <w:rFonts w:ascii="Arial" w:hAnsi="Arial" w:cs="Arial"/>
          <w:sz w:val="22"/>
        </w:rPr>
        <w:t xml:space="preserve">013 </w:t>
      </w:r>
      <w:r w:rsidR="00FF15A0" w:rsidRPr="00882418">
        <w:rPr>
          <w:rFonts w:ascii="Arial" w:hAnsi="Arial" w:cs="Arial"/>
          <w:sz w:val="22"/>
        </w:rPr>
        <w:t>z podrozvahových závazků</w:t>
      </w:r>
      <w:r w:rsidR="00120EBD" w:rsidRPr="00882418">
        <w:rPr>
          <w:rFonts w:ascii="Arial" w:hAnsi="Arial" w:cs="Arial"/>
          <w:bCs/>
          <w:iCs/>
          <w:sz w:val="22"/>
        </w:rPr>
        <w:t xml:space="preserve"> (</w:t>
      </w:r>
      <w:r w:rsidR="006569BC">
        <w:rPr>
          <w:rFonts w:ascii="Arial" w:hAnsi="Arial" w:cs="Arial"/>
          <w:sz w:val="22"/>
        </w:rPr>
        <w:t>v částce více než 7,5 </w:t>
      </w:r>
      <w:r w:rsidR="00120EBD" w:rsidRPr="00882418">
        <w:rPr>
          <w:rFonts w:ascii="Arial" w:hAnsi="Arial" w:cs="Arial"/>
          <w:sz w:val="22"/>
        </w:rPr>
        <w:t>mld.</w:t>
      </w:r>
      <w:r w:rsidR="006569BC">
        <w:rPr>
          <w:rFonts w:ascii="Arial" w:hAnsi="Arial" w:cs="Arial"/>
          <w:sz w:val="22"/>
        </w:rPr>
        <w:t> </w:t>
      </w:r>
      <w:r w:rsidR="00120EBD" w:rsidRPr="00882418">
        <w:rPr>
          <w:rFonts w:ascii="Arial" w:hAnsi="Arial" w:cs="Arial"/>
          <w:sz w:val="22"/>
        </w:rPr>
        <w:t>Kč)</w:t>
      </w:r>
      <w:r w:rsidR="00120EBD" w:rsidRPr="00882418">
        <w:rPr>
          <w:rFonts w:ascii="Arial" w:hAnsi="Arial" w:cs="Arial"/>
          <w:bCs/>
          <w:iCs/>
          <w:sz w:val="22"/>
        </w:rPr>
        <w:t>, č</w:t>
      </w:r>
      <w:r w:rsidR="00FF15A0" w:rsidRPr="00882418">
        <w:rPr>
          <w:rFonts w:ascii="Arial" w:hAnsi="Arial" w:cs="Arial"/>
          <w:bCs/>
          <w:iCs/>
          <w:sz w:val="22"/>
        </w:rPr>
        <w:t>ást t</w:t>
      </w:r>
      <w:r w:rsidR="006569BC">
        <w:rPr>
          <w:rFonts w:ascii="Arial" w:hAnsi="Arial" w:cs="Arial"/>
          <w:bCs/>
          <w:iCs/>
          <w:sz w:val="22"/>
        </w:rPr>
        <w:t>ěchto</w:t>
      </w:r>
      <w:r w:rsidR="00FF15A0" w:rsidRPr="00882418">
        <w:rPr>
          <w:rFonts w:ascii="Arial" w:hAnsi="Arial" w:cs="Arial"/>
          <w:bCs/>
          <w:iCs/>
          <w:sz w:val="22"/>
        </w:rPr>
        <w:t xml:space="preserve"> transferů však MD </w:t>
      </w:r>
      <w:r w:rsidR="007E1E11" w:rsidRPr="00882418">
        <w:rPr>
          <w:rFonts w:ascii="Arial" w:hAnsi="Arial" w:cs="Arial"/>
          <w:bCs/>
          <w:iCs/>
          <w:sz w:val="22"/>
        </w:rPr>
        <w:t xml:space="preserve">k 31. 12. 2013 na podrozvahových účtech </w:t>
      </w:r>
      <w:r w:rsidR="00120EBD" w:rsidRPr="00882418">
        <w:rPr>
          <w:rFonts w:ascii="Arial" w:hAnsi="Arial" w:cs="Arial"/>
          <w:bCs/>
          <w:iCs/>
          <w:sz w:val="22"/>
        </w:rPr>
        <w:t>ponechalo vykázanou (</w:t>
      </w:r>
      <w:r w:rsidR="007E1E11" w:rsidRPr="00882418">
        <w:rPr>
          <w:rFonts w:ascii="Arial" w:hAnsi="Arial" w:cs="Arial"/>
          <w:bCs/>
          <w:iCs/>
          <w:sz w:val="22"/>
        </w:rPr>
        <w:t xml:space="preserve">více než </w:t>
      </w:r>
      <w:r w:rsidR="007E1E11" w:rsidRPr="00882418">
        <w:rPr>
          <w:rFonts w:ascii="Arial" w:hAnsi="Arial" w:cs="Arial"/>
          <w:sz w:val="22"/>
          <w:lang w:eastAsia="cs-CZ"/>
        </w:rPr>
        <w:t>510 mil. Kč na účtu 975</w:t>
      </w:r>
      <w:r w:rsidR="00771005">
        <w:rPr>
          <w:rFonts w:ascii="Arial" w:hAnsi="Arial" w:cs="Arial"/>
          <w:sz w:val="22"/>
          <w:lang w:eastAsia="cs-CZ"/>
        </w:rPr>
        <w:t xml:space="preserve"> a více než 136 mil. Kč na účtu </w:t>
      </w:r>
      <w:r w:rsidR="007E1E11" w:rsidRPr="00882418">
        <w:rPr>
          <w:rFonts w:ascii="Arial" w:hAnsi="Arial" w:cs="Arial"/>
          <w:sz w:val="22"/>
          <w:lang w:eastAsia="cs-CZ"/>
        </w:rPr>
        <w:t>976</w:t>
      </w:r>
      <w:r w:rsidR="00120EBD" w:rsidRPr="00882418">
        <w:rPr>
          <w:rFonts w:ascii="Arial" w:hAnsi="Arial" w:cs="Arial"/>
          <w:sz w:val="22"/>
          <w:lang w:eastAsia="cs-CZ"/>
        </w:rPr>
        <w:t>)</w:t>
      </w:r>
      <w:r w:rsidR="007E1E11" w:rsidRPr="00882418">
        <w:rPr>
          <w:rFonts w:ascii="Arial" w:hAnsi="Arial" w:cs="Arial"/>
          <w:sz w:val="22"/>
          <w:lang w:eastAsia="cs-CZ"/>
        </w:rPr>
        <w:t>.</w:t>
      </w:r>
      <w:r w:rsidR="00423A5F">
        <w:rPr>
          <w:rFonts w:ascii="Arial" w:hAnsi="Arial" w:cs="Arial"/>
          <w:sz w:val="22"/>
          <w:lang w:eastAsia="cs-CZ"/>
        </w:rPr>
        <w:t xml:space="preserve"> </w:t>
      </w:r>
    </w:p>
    <w:p w:rsidR="00DB2349" w:rsidRDefault="00DB2349" w:rsidP="00837E54">
      <w:pPr>
        <w:pStyle w:val="Default"/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867A36" w:rsidRDefault="00867A36" w:rsidP="00837E54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MD provedlo odúčtování části podmíněných závazků</w:t>
      </w:r>
      <w:r w:rsidRPr="00951245">
        <w:rPr>
          <w:rFonts w:ascii="Arial" w:hAnsi="Arial" w:cs="Arial"/>
          <w:sz w:val="22"/>
          <w:szCs w:val="22"/>
        </w:rPr>
        <w:t xml:space="preserve"> s odkazem na to, že ČÚS </w:t>
      </w:r>
      <w:r w:rsidR="00771005">
        <w:rPr>
          <w:rFonts w:ascii="Arial" w:hAnsi="Arial" w:cs="Arial"/>
          <w:sz w:val="22"/>
          <w:szCs w:val="22"/>
        </w:rPr>
        <w:br/>
      </w:r>
      <w:r w:rsidRPr="00951245">
        <w:rPr>
          <w:rFonts w:ascii="Arial" w:hAnsi="Arial" w:cs="Arial"/>
          <w:sz w:val="22"/>
          <w:szCs w:val="22"/>
        </w:rPr>
        <w:t xml:space="preserve">č. 703 </w:t>
      </w:r>
      <w:r w:rsidRPr="008D4BE1">
        <w:rPr>
          <w:rFonts w:ascii="Arial" w:hAnsi="Arial" w:cs="Arial"/>
          <w:i/>
          <w:sz w:val="22"/>
          <w:szCs w:val="22"/>
        </w:rPr>
        <w:t>– Transfery</w:t>
      </w:r>
      <w:r w:rsidRPr="00951245">
        <w:rPr>
          <w:rFonts w:ascii="Arial" w:hAnsi="Arial" w:cs="Arial"/>
          <w:sz w:val="22"/>
          <w:szCs w:val="22"/>
        </w:rPr>
        <w:t xml:space="preserve"> </w:t>
      </w:r>
      <w:r w:rsidR="00DB2349" w:rsidRPr="00951245">
        <w:rPr>
          <w:rFonts w:ascii="Arial" w:hAnsi="Arial" w:cs="Arial"/>
          <w:sz w:val="22"/>
          <w:szCs w:val="22"/>
        </w:rPr>
        <w:t xml:space="preserve">neuvádí </w:t>
      </w:r>
      <w:r w:rsidRPr="00951245">
        <w:rPr>
          <w:rFonts w:ascii="Arial" w:hAnsi="Arial" w:cs="Arial"/>
          <w:sz w:val="22"/>
          <w:szCs w:val="22"/>
        </w:rPr>
        <w:t xml:space="preserve">výslovně povinnost, aby také zprostředkovatel zahraničního transferu účtoval o podrozvahových skutečnostech. Část podrozvahových závazků týkajících se podílů EU tak vykázána byla a část nebyla, </w:t>
      </w:r>
      <w:r w:rsidR="006569BC">
        <w:rPr>
          <w:rFonts w:ascii="Arial" w:hAnsi="Arial" w:cs="Arial"/>
          <w:sz w:val="22"/>
          <w:szCs w:val="22"/>
        </w:rPr>
        <w:t>i</w:t>
      </w:r>
      <w:r w:rsidRPr="00951245">
        <w:rPr>
          <w:rFonts w:ascii="Arial" w:hAnsi="Arial" w:cs="Arial"/>
          <w:sz w:val="22"/>
          <w:szCs w:val="22"/>
        </w:rPr>
        <w:t xml:space="preserve">nformace </w:t>
      </w:r>
      <w:r w:rsidR="006569BC">
        <w:rPr>
          <w:rFonts w:ascii="Arial" w:hAnsi="Arial" w:cs="Arial"/>
          <w:sz w:val="22"/>
          <w:szCs w:val="22"/>
        </w:rPr>
        <w:t xml:space="preserve">vykázaná v ÚZ MD </w:t>
      </w:r>
      <w:r>
        <w:rPr>
          <w:rFonts w:ascii="Arial" w:hAnsi="Arial" w:cs="Arial"/>
          <w:sz w:val="22"/>
          <w:szCs w:val="22"/>
        </w:rPr>
        <w:t xml:space="preserve">k 31. 12. 2013 </w:t>
      </w:r>
      <w:r w:rsidRPr="00951245">
        <w:rPr>
          <w:rFonts w:ascii="Arial" w:hAnsi="Arial" w:cs="Arial"/>
          <w:sz w:val="22"/>
          <w:szCs w:val="22"/>
        </w:rPr>
        <w:t>o výši těchto závazků je tak nekonzistentní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A4D8F" w:rsidRDefault="007A4D8F" w:rsidP="00837E54">
      <w:pPr>
        <w:rPr>
          <w:rFonts w:ascii="Arial" w:hAnsi="Arial" w:cs="Arial"/>
          <w:sz w:val="22"/>
        </w:rPr>
      </w:pPr>
    </w:p>
    <w:p w:rsidR="00CE5DC3" w:rsidRPr="0044029F" w:rsidRDefault="00867A36" w:rsidP="00837E54">
      <w:pPr>
        <w:rPr>
          <w:rFonts w:ascii="Arial" w:hAnsi="Arial" w:cs="Arial"/>
          <w:sz w:val="22"/>
        </w:rPr>
      </w:pPr>
      <w:r w:rsidRPr="0044029F">
        <w:rPr>
          <w:rFonts w:ascii="Arial" w:hAnsi="Arial" w:cs="Arial"/>
          <w:sz w:val="22"/>
        </w:rPr>
        <w:t>Vzhledem k nejasnosti účetních předpisů se NKÚ k je</w:t>
      </w:r>
      <w:r w:rsidR="00771005">
        <w:rPr>
          <w:rFonts w:ascii="Arial" w:hAnsi="Arial" w:cs="Arial"/>
          <w:sz w:val="22"/>
        </w:rPr>
        <w:t>dnoznačné správnosti</w:t>
      </w:r>
      <w:r w:rsidR="00A964AE">
        <w:rPr>
          <w:rFonts w:ascii="Arial" w:hAnsi="Arial" w:cs="Arial"/>
          <w:sz w:val="22"/>
        </w:rPr>
        <w:t xml:space="preserve"> </w:t>
      </w:r>
      <w:r w:rsidR="00771005">
        <w:rPr>
          <w:rFonts w:ascii="Arial" w:hAnsi="Arial" w:cs="Arial"/>
          <w:sz w:val="22"/>
        </w:rPr>
        <w:t>účtování o </w:t>
      </w:r>
      <w:r w:rsidRPr="0044029F">
        <w:rPr>
          <w:rFonts w:ascii="Arial" w:hAnsi="Arial" w:cs="Arial"/>
          <w:sz w:val="22"/>
        </w:rPr>
        <w:t>předfinancovaných prostředcích nevyjadřuje ani v</w:t>
      </w:r>
      <w:r w:rsidR="00771005">
        <w:rPr>
          <w:rFonts w:ascii="Arial" w:hAnsi="Arial" w:cs="Arial"/>
          <w:sz w:val="22"/>
        </w:rPr>
        <w:t> </w:t>
      </w:r>
      <w:r w:rsidRPr="0044029F">
        <w:rPr>
          <w:rFonts w:ascii="Arial" w:hAnsi="Arial" w:cs="Arial"/>
          <w:sz w:val="22"/>
        </w:rPr>
        <w:t xml:space="preserve">oblasti podrozvahových účtů, </w:t>
      </w:r>
      <w:r w:rsidRPr="0044029F">
        <w:rPr>
          <w:rFonts w:ascii="Arial" w:hAnsi="Arial" w:cs="Arial"/>
          <w:sz w:val="22"/>
          <w:lang w:eastAsia="cs-CZ"/>
        </w:rPr>
        <w:t xml:space="preserve">pravidla týkající se podrozvahového účtování o podílu EU </w:t>
      </w:r>
      <w:r w:rsidR="00657EFD" w:rsidRPr="0044029F">
        <w:rPr>
          <w:rFonts w:ascii="Arial" w:hAnsi="Arial" w:cs="Arial"/>
          <w:sz w:val="22"/>
          <w:lang w:eastAsia="cs-CZ"/>
        </w:rPr>
        <w:t>však mělo</w:t>
      </w:r>
      <w:r w:rsidRPr="0044029F">
        <w:rPr>
          <w:rFonts w:ascii="Arial" w:hAnsi="Arial" w:cs="Arial"/>
          <w:sz w:val="22"/>
          <w:lang w:eastAsia="cs-CZ"/>
        </w:rPr>
        <w:t xml:space="preserve"> MD nastavit jednotně</w:t>
      </w:r>
      <w:r w:rsidR="00657EFD" w:rsidRPr="0044029F">
        <w:rPr>
          <w:rFonts w:ascii="Arial" w:hAnsi="Arial" w:cs="Arial"/>
          <w:sz w:val="22"/>
          <w:lang w:eastAsia="cs-CZ"/>
        </w:rPr>
        <w:t>. P</w:t>
      </w:r>
      <w:r w:rsidR="00206FB5">
        <w:rPr>
          <w:rFonts w:ascii="Arial" w:hAnsi="Arial" w:cs="Arial"/>
          <w:sz w:val="22"/>
          <w:lang w:eastAsia="cs-CZ"/>
        </w:rPr>
        <w:t xml:space="preserve">rotože dle ČÚS č. 701 </w:t>
      </w:r>
      <w:r w:rsidR="00DB2349">
        <w:rPr>
          <w:rFonts w:ascii="Arial" w:hAnsi="Arial" w:cs="Arial"/>
          <w:sz w:val="22"/>
          <w:lang w:eastAsia="cs-CZ"/>
        </w:rPr>
        <w:t>(</w:t>
      </w:r>
      <w:r w:rsidR="00206FB5">
        <w:rPr>
          <w:rFonts w:ascii="Arial" w:hAnsi="Arial" w:cs="Arial"/>
          <w:sz w:val="22"/>
          <w:lang w:eastAsia="cs-CZ"/>
        </w:rPr>
        <w:t xml:space="preserve">bod </w:t>
      </w:r>
      <w:proofErr w:type="gramStart"/>
      <w:r w:rsidR="00206FB5">
        <w:rPr>
          <w:rFonts w:ascii="Arial" w:hAnsi="Arial" w:cs="Arial"/>
          <w:sz w:val="22"/>
          <w:lang w:eastAsia="cs-CZ"/>
        </w:rPr>
        <w:t>6.7.</w:t>
      </w:r>
      <w:r w:rsidR="00DB2349">
        <w:rPr>
          <w:rFonts w:ascii="Arial" w:hAnsi="Arial" w:cs="Arial"/>
          <w:sz w:val="22"/>
          <w:lang w:eastAsia="cs-CZ"/>
        </w:rPr>
        <w:t>)</w:t>
      </w:r>
      <w:r w:rsidR="00206FB5">
        <w:rPr>
          <w:rFonts w:ascii="Arial" w:hAnsi="Arial" w:cs="Arial"/>
          <w:sz w:val="22"/>
          <w:lang w:eastAsia="cs-CZ"/>
        </w:rPr>
        <w:t xml:space="preserve"> </w:t>
      </w:r>
      <w:r w:rsidR="00657EFD" w:rsidRPr="0044029F">
        <w:rPr>
          <w:rFonts w:ascii="Arial" w:hAnsi="Arial" w:cs="Arial"/>
          <w:sz w:val="22"/>
          <w:lang w:eastAsia="cs-CZ"/>
        </w:rPr>
        <w:t>se</w:t>
      </w:r>
      <w:proofErr w:type="gramEnd"/>
      <w:r w:rsidR="00657EFD" w:rsidRPr="0044029F">
        <w:rPr>
          <w:rFonts w:ascii="Arial" w:hAnsi="Arial" w:cs="Arial"/>
          <w:sz w:val="22"/>
          <w:lang w:eastAsia="cs-CZ"/>
        </w:rPr>
        <w:t xml:space="preserve"> informace o transferu, který se z</w:t>
      </w:r>
      <w:r w:rsidR="00771005">
        <w:rPr>
          <w:rFonts w:ascii="Arial" w:hAnsi="Arial" w:cs="Arial"/>
          <w:sz w:val="22"/>
          <w:lang w:eastAsia="cs-CZ"/>
        </w:rPr>
        <w:t> </w:t>
      </w:r>
      <w:r w:rsidR="00657EFD" w:rsidRPr="0044029F">
        <w:rPr>
          <w:rFonts w:ascii="Arial" w:hAnsi="Arial" w:cs="Arial"/>
          <w:sz w:val="22"/>
          <w:lang w:eastAsia="cs-CZ"/>
        </w:rPr>
        <w:t>části nebo zcela týká prostředků ze zahraničí, považuje ve vztahu k</w:t>
      </w:r>
      <w:r w:rsidR="00771005">
        <w:rPr>
          <w:rFonts w:ascii="Arial" w:hAnsi="Arial" w:cs="Arial"/>
          <w:sz w:val="22"/>
          <w:lang w:eastAsia="cs-CZ"/>
        </w:rPr>
        <w:t> </w:t>
      </w:r>
      <w:r w:rsidR="00657EFD" w:rsidRPr="0044029F">
        <w:rPr>
          <w:rFonts w:ascii="Arial" w:hAnsi="Arial" w:cs="Arial"/>
          <w:sz w:val="22"/>
          <w:lang w:eastAsia="cs-CZ"/>
        </w:rPr>
        <w:t>podrozvahovým účtů</w:t>
      </w:r>
      <w:r w:rsidR="000A6A90">
        <w:rPr>
          <w:rFonts w:ascii="Arial" w:hAnsi="Arial" w:cs="Arial"/>
          <w:sz w:val="22"/>
          <w:lang w:eastAsia="cs-CZ"/>
        </w:rPr>
        <w:t>m</w:t>
      </w:r>
      <w:r w:rsidR="00657EFD" w:rsidRPr="0044029F">
        <w:rPr>
          <w:rFonts w:ascii="Arial" w:hAnsi="Arial" w:cs="Arial"/>
          <w:sz w:val="22"/>
          <w:lang w:eastAsia="cs-CZ"/>
        </w:rPr>
        <w:t xml:space="preserve"> za významnou vždy, </w:t>
      </w:r>
      <w:r w:rsidR="00CE5DC3" w:rsidRPr="0044029F">
        <w:rPr>
          <w:rFonts w:ascii="Arial" w:hAnsi="Arial" w:cs="Arial"/>
          <w:sz w:val="22"/>
          <w:lang w:eastAsia="cs-CZ"/>
        </w:rPr>
        <w:t>bylo vykázání výše podmíněných závazků z</w:t>
      </w:r>
      <w:r w:rsidR="00771005">
        <w:rPr>
          <w:rFonts w:ascii="Arial" w:hAnsi="Arial" w:cs="Arial"/>
          <w:sz w:val="22"/>
          <w:lang w:eastAsia="cs-CZ"/>
        </w:rPr>
        <w:t> </w:t>
      </w:r>
      <w:r w:rsidR="00CE5DC3" w:rsidRPr="0044029F">
        <w:rPr>
          <w:rFonts w:ascii="Arial" w:hAnsi="Arial" w:cs="Arial"/>
          <w:sz w:val="22"/>
          <w:lang w:eastAsia="cs-CZ"/>
        </w:rPr>
        <w:t xml:space="preserve">těchto závazků i u zprostředkovatele zahraničního transferu relevantní. </w:t>
      </w:r>
    </w:p>
    <w:p w:rsidR="00BD1316" w:rsidRDefault="00BD1316" w:rsidP="00837E54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:rsidR="00CE5DC3" w:rsidRPr="00D16CE6" w:rsidRDefault="0044029F" w:rsidP="00300D1C">
      <w:pPr>
        <w:pStyle w:val="Default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D16CE6">
        <w:rPr>
          <w:rFonts w:ascii="Arial" w:hAnsi="Arial" w:cs="Arial"/>
          <w:b/>
          <w:i/>
          <w:sz w:val="22"/>
          <w:szCs w:val="22"/>
        </w:rPr>
        <w:t xml:space="preserve">Ocenění </w:t>
      </w:r>
      <w:r w:rsidR="00C5699E" w:rsidRPr="00D16CE6">
        <w:rPr>
          <w:rFonts w:ascii="Arial" w:hAnsi="Arial" w:cs="Arial"/>
          <w:b/>
          <w:i/>
          <w:sz w:val="22"/>
          <w:szCs w:val="22"/>
        </w:rPr>
        <w:t xml:space="preserve">dlouhodobých </w:t>
      </w:r>
      <w:r w:rsidRPr="00D16CE6">
        <w:rPr>
          <w:rFonts w:ascii="Arial" w:hAnsi="Arial" w:cs="Arial"/>
          <w:b/>
          <w:i/>
          <w:sz w:val="22"/>
          <w:szCs w:val="22"/>
        </w:rPr>
        <w:t>podmíněných závazků</w:t>
      </w:r>
    </w:p>
    <w:p w:rsidR="00075C3C" w:rsidRDefault="00C5699E" w:rsidP="00837E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51245">
        <w:rPr>
          <w:rFonts w:ascii="Arial" w:hAnsi="Arial" w:cs="Arial"/>
          <w:sz w:val="22"/>
          <w:szCs w:val="22"/>
        </w:rPr>
        <w:t>MD nepostupovalo v</w:t>
      </w:r>
      <w:r w:rsidR="00771005">
        <w:rPr>
          <w:rFonts w:ascii="Arial" w:hAnsi="Arial" w:cs="Arial"/>
          <w:sz w:val="22"/>
          <w:szCs w:val="22"/>
        </w:rPr>
        <w:t> </w:t>
      </w:r>
      <w:r w:rsidRPr="00951245">
        <w:rPr>
          <w:rFonts w:ascii="Arial" w:hAnsi="Arial" w:cs="Arial"/>
          <w:sz w:val="22"/>
          <w:szCs w:val="22"/>
        </w:rPr>
        <w:t>roce 2013 jednotně v</w:t>
      </w:r>
      <w:r w:rsidR="00771005">
        <w:rPr>
          <w:rFonts w:ascii="Arial" w:hAnsi="Arial" w:cs="Arial"/>
          <w:sz w:val="22"/>
          <w:szCs w:val="22"/>
        </w:rPr>
        <w:t> </w:t>
      </w:r>
      <w:r w:rsidRPr="00951245">
        <w:rPr>
          <w:rFonts w:ascii="Arial" w:hAnsi="Arial" w:cs="Arial"/>
          <w:sz w:val="22"/>
          <w:szCs w:val="22"/>
        </w:rPr>
        <w:t xml:space="preserve">případě oceňování podrozvahových </w:t>
      </w:r>
      <w:r>
        <w:rPr>
          <w:rFonts w:ascii="Arial" w:hAnsi="Arial" w:cs="Arial"/>
          <w:sz w:val="22"/>
          <w:szCs w:val="22"/>
        </w:rPr>
        <w:t xml:space="preserve">dlouhodobých </w:t>
      </w:r>
      <w:r w:rsidRPr="00951245">
        <w:rPr>
          <w:rFonts w:ascii="Arial" w:hAnsi="Arial" w:cs="Arial"/>
          <w:sz w:val="22"/>
          <w:szCs w:val="22"/>
        </w:rPr>
        <w:t>závazků</w:t>
      </w:r>
      <w:r>
        <w:rPr>
          <w:rFonts w:ascii="Arial" w:hAnsi="Arial" w:cs="Arial"/>
          <w:sz w:val="22"/>
          <w:szCs w:val="22"/>
        </w:rPr>
        <w:t xml:space="preserve">. </w:t>
      </w:r>
      <w:r w:rsidR="00075C3C">
        <w:rPr>
          <w:rFonts w:ascii="Arial" w:hAnsi="Arial" w:cs="Arial"/>
          <w:sz w:val="22"/>
          <w:szCs w:val="22"/>
        </w:rPr>
        <w:t>MD pou</w:t>
      </w:r>
      <w:r w:rsidR="006569BC">
        <w:rPr>
          <w:rFonts w:ascii="Arial" w:hAnsi="Arial" w:cs="Arial"/>
          <w:sz w:val="22"/>
          <w:szCs w:val="22"/>
        </w:rPr>
        <w:t xml:space="preserve">žívalo dva způsoby </w:t>
      </w:r>
      <w:r w:rsidR="00C869A2">
        <w:rPr>
          <w:rFonts w:ascii="Arial" w:hAnsi="Arial" w:cs="Arial"/>
          <w:sz w:val="22"/>
          <w:szCs w:val="22"/>
        </w:rPr>
        <w:t>stanovení</w:t>
      </w:r>
      <w:r w:rsidR="006569BC">
        <w:rPr>
          <w:rFonts w:ascii="Arial" w:hAnsi="Arial" w:cs="Arial"/>
          <w:sz w:val="22"/>
          <w:szCs w:val="22"/>
        </w:rPr>
        <w:t xml:space="preserve"> výše ocenění</w:t>
      </w:r>
      <w:r w:rsidR="00075C3C">
        <w:rPr>
          <w:rFonts w:ascii="Arial" w:hAnsi="Arial" w:cs="Arial"/>
          <w:sz w:val="22"/>
          <w:szCs w:val="22"/>
        </w:rPr>
        <w:t>:</w:t>
      </w:r>
    </w:p>
    <w:p w:rsidR="00075C3C" w:rsidRPr="00075C3C" w:rsidRDefault="00DB2349" w:rsidP="00837E54">
      <w:pPr>
        <w:pStyle w:val="Default"/>
        <w:numPr>
          <w:ilvl w:val="0"/>
          <w:numId w:val="22"/>
        </w:numPr>
        <w:ind w:left="567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75C3C">
        <w:rPr>
          <w:rFonts w:ascii="Arial" w:hAnsi="Arial" w:cs="Arial"/>
          <w:sz w:val="22"/>
          <w:szCs w:val="22"/>
        </w:rPr>
        <w:t>cenění</w:t>
      </w:r>
      <w:r w:rsidR="000A5F9E">
        <w:rPr>
          <w:rFonts w:ascii="Arial" w:hAnsi="Arial" w:cs="Arial"/>
          <w:sz w:val="22"/>
          <w:szCs w:val="22"/>
        </w:rPr>
        <w:t xml:space="preserve"> dlouhodobých podmíněných závazků stanov</w:t>
      </w:r>
      <w:r>
        <w:rPr>
          <w:rFonts w:ascii="Arial" w:hAnsi="Arial" w:cs="Arial"/>
          <w:sz w:val="22"/>
          <w:szCs w:val="22"/>
        </w:rPr>
        <w:t>ovalo</w:t>
      </w:r>
      <w:r w:rsidR="00075C3C">
        <w:rPr>
          <w:rFonts w:ascii="Arial" w:hAnsi="Arial" w:cs="Arial"/>
          <w:sz w:val="22"/>
          <w:szCs w:val="22"/>
        </w:rPr>
        <w:t xml:space="preserve"> v předpokládané </w:t>
      </w:r>
      <w:r w:rsidR="00C5699E">
        <w:rPr>
          <w:rFonts w:ascii="Arial" w:hAnsi="Arial" w:cs="Arial"/>
          <w:sz w:val="22"/>
          <w:szCs w:val="22"/>
        </w:rPr>
        <w:t xml:space="preserve">výši odpovídající </w:t>
      </w:r>
      <w:r w:rsidR="00C5699E" w:rsidRPr="00951245">
        <w:rPr>
          <w:rFonts w:ascii="Arial" w:hAnsi="Arial" w:cs="Arial"/>
          <w:sz w:val="22"/>
          <w:szCs w:val="22"/>
        </w:rPr>
        <w:t>úhrnu za tř</w:t>
      </w:r>
      <w:r w:rsidR="00C5699E">
        <w:rPr>
          <w:rFonts w:ascii="Arial" w:hAnsi="Arial" w:cs="Arial"/>
          <w:sz w:val="22"/>
          <w:szCs w:val="22"/>
        </w:rPr>
        <w:t>i</w:t>
      </w:r>
      <w:r w:rsidR="00C5699E" w:rsidRPr="00951245">
        <w:rPr>
          <w:rFonts w:ascii="Arial" w:hAnsi="Arial" w:cs="Arial"/>
          <w:sz w:val="22"/>
          <w:szCs w:val="22"/>
        </w:rPr>
        <w:t xml:space="preserve"> </w:t>
      </w:r>
      <w:r w:rsidR="00C5699E">
        <w:rPr>
          <w:rFonts w:ascii="Arial" w:hAnsi="Arial" w:cs="Arial"/>
          <w:sz w:val="22"/>
          <w:szCs w:val="22"/>
        </w:rPr>
        <w:t>roky</w:t>
      </w:r>
      <w:r w:rsidR="006569BC">
        <w:rPr>
          <w:rFonts w:ascii="Arial" w:hAnsi="Arial" w:cs="Arial"/>
          <w:sz w:val="22"/>
          <w:szCs w:val="22"/>
        </w:rPr>
        <w:t>.</w:t>
      </w:r>
      <w:r w:rsidR="000A5F9E">
        <w:rPr>
          <w:rFonts w:ascii="Arial" w:hAnsi="Arial" w:cs="Arial"/>
          <w:sz w:val="22"/>
          <w:szCs w:val="22"/>
        </w:rPr>
        <w:t xml:space="preserve"> MD </w:t>
      </w:r>
      <w:r w:rsidR="00C869A2">
        <w:rPr>
          <w:rFonts w:ascii="Arial" w:hAnsi="Arial" w:cs="Arial"/>
          <w:sz w:val="22"/>
          <w:szCs w:val="22"/>
        </w:rPr>
        <w:t xml:space="preserve">při ocenění podmíněných závazků </w:t>
      </w:r>
      <w:r w:rsidR="000A5F9E">
        <w:rPr>
          <w:rFonts w:ascii="Arial" w:hAnsi="Arial" w:cs="Arial"/>
          <w:sz w:val="22"/>
          <w:szCs w:val="22"/>
        </w:rPr>
        <w:t>postupovalo tak, že na krátkodobých závazcích vyká</w:t>
      </w:r>
      <w:r w:rsidR="00C869A2">
        <w:rPr>
          <w:rFonts w:ascii="Arial" w:hAnsi="Arial" w:cs="Arial"/>
          <w:sz w:val="22"/>
          <w:szCs w:val="22"/>
        </w:rPr>
        <w:t>zalo předpokládanou částku za 1 </w:t>
      </w:r>
      <w:r w:rsidR="000A5F9E">
        <w:rPr>
          <w:rFonts w:ascii="Arial" w:hAnsi="Arial" w:cs="Arial"/>
          <w:sz w:val="22"/>
          <w:szCs w:val="22"/>
        </w:rPr>
        <w:t>účetní období a</w:t>
      </w:r>
      <w:r>
        <w:rPr>
          <w:rFonts w:ascii="Arial" w:hAnsi="Arial" w:cs="Arial"/>
          <w:sz w:val="22"/>
          <w:szCs w:val="22"/>
        </w:rPr>
        <w:t> </w:t>
      </w:r>
      <w:r w:rsidR="000A5F9E">
        <w:rPr>
          <w:rFonts w:ascii="Arial" w:hAnsi="Arial" w:cs="Arial"/>
          <w:sz w:val="22"/>
          <w:szCs w:val="22"/>
        </w:rPr>
        <w:t xml:space="preserve">na dlouhodobých závazcích předpokládanou částku za 3 </w:t>
      </w:r>
      <w:r w:rsidR="00C869A2">
        <w:rPr>
          <w:rFonts w:ascii="Arial" w:hAnsi="Arial" w:cs="Arial"/>
          <w:sz w:val="22"/>
          <w:szCs w:val="22"/>
        </w:rPr>
        <w:t xml:space="preserve">další </w:t>
      </w:r>
      <w:r w:rsidR="000A5F9E">
        <w:rPr>
          <w:rFonts w:ascii="Arial" w:hAnsi="Arial" w:cs="Arial"/>
          <w:sz w:val="22"/>
          <w:szCs w:val="22"/>
        </w:rPr>
        <w:t>následující období</w:t>
      </w:r>
      <w:r>
        <w:rPr>
          <w:rFonts w:ascii="Arial" w:hAnsi="Arial" w:cs="Arial"/>
          <w:sz w:val="22"/>
          <w:szCs w:val="22"/>
        </w:rPr>
        <w:t>.</w:t>
      </w:r>
      <w:r w:rsidR="00075C3C">
        <w:rPr>
          <w:rFonts w:ascii="Arial" w:hAnsi="Arial" w:cs="Arial"/>
          <w:sz w:val="22"/>
          <w:szCs w:val="22"/>
        </w:rPr>
        <w:t xml:space="preserve"> </w:t>
      </w:r>
    </w:p>
    <w:p w:rsidR="00C5699E" w:rsidRPr="0044029F" w:rsidRDefault="00DB2349" w:rsidP="00837E54">
      <w:pPr>
        <w:pStyle w:val="Default"/>
        <w:numPr>
          <w:ilvl w:val="0"/>
          <w:numId w:val="22"/>
        </w:numPr>
        <w:ind w:left="567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75C3C">
        <w:rPr>
          <w:rFonts w:ascii="Arial" w:hAnsi="Arial" w:cs="Arial"/>
          <w:sz w:val="22"/>
          <w:szCs w:val="22"/>
        </w:rPr>
        <w:t xml:space="preserve">cenění </w:t>
      </w:r>
      <w:r w:rsidR="000A5F9E">
        <w:rPr>
          <w:rFonts w:ascii="Arial" w:hAnsi="Arial" w:cs="Arial"/>
          <w:sz w:val="22"/>
          <w:szCs w:val="22"/>
        </w:rPr>
        <w:t>dlouhodobých podmíněných závazků stanov</w:t>
      </w:r>
      <w:r>
        <w:rPr>
          <w:rFonts w:ascii="Arial" w:hAnsi="Arial" w:cs="Arial"/>
          <w:sz w:val="22"/>
          <w:szCs w:val="22"/>
        </w:rPr>
        <w:t>ovalo</w:t>
      </w:r>
      <w:r w:rsidR="000A5F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některých případech </w:t>
      </w:r>
      <w:r w:rsidR="00C5699E" w:rsidRPr="00951245">
        <w:rPr>
          <w:rFonts w:ascii="Arial" w:hAnsi="Arial" w:cs="Arial"/>
          <w:sz w:val="22"/>
          <w:szCs w:val="22"/>
        </w:rPr>
        <w:t>v celkové možné výši podle smlouvy</w:t>
      </w:r>
      <w:r w:rsidR="00C5699E">
        <w:rPr>
          <w:rFonts w:ascii="Arial" w:hAnsi="Arial" w:cs="Arial"/>
          <w:sz w:val="22"/>
          <w:szCs w:val="22"/>
        </w:rPr>
        <w:t xml:space="preserve">, </w:t>
      </w:r>
      <w:r w:rsidR="00FE15BE">
        <w:rPr>
          <w:rFonts w:ascii="Arial" w:hAnsi="Arial" w:cs="Arial"/>
          <w:sz w:val="22"/>
          <w:szCs w:val="22"/>
        </w:rPr>
        <w:t xml:space="preserve">a to i </w:t>
      </w:r>
      <w:r>
        <w:rPr>
          <w:rFonts w:ascii="Arial" w:hAnsi="Arial" w:cs="Arial"/>
          <w:sz w:val="22"/>
          <w:szCs w:val="22"/>
        </w:rPr>
        <w:t>tehdy, když</w:t>
      </w:r>
      <w:r w:rsidR="00C5699E">
        <w:rPr>
          <w:rFonts w:ascii="Arial" w:hAnsi="Arial" w:cs="Arial"/>
          <w:sz w:val="22"/>
          <w:szCs w:val="22"/>
        </w:rPr>
        <w:t xml:space="preserve"> bylo možné stanovit předpokládané hodnoty plnění </w:t>
      </w:r>
      <w:r w:rsidR="000A5F9E">
        <w:rPr>
          <w:rFonts w:ascii="Arial" w:hAnsi="Arial" w:cs="Arial"/>
          <w:sz w:val="22"/>
          <w:szCs w:val="22"/>
        </w:rPr>
        <w:t xml:space="preserve">za další rok i </w:t>
      </w:r>
      <w:r w:rsidR="00C5699E">
        <w:rPr>
          <w:rFonts w:ascii="Arial" w:hAnsi="Arial" w:cs="Arial"/>
          <w:sz w:val="22"/>
          <w:szCs w:val="22"/>
        </w:rPr>
        <w:t xml:space="preserve">za </w:t>
      </w:r>
      <w:r w:rsidR="000A5F9E">
        <w:rPr>
          <w:rFonts w:ascii="Arial" w:hAnsi="Arial" w:cs="Arial"/>
          <w:sz w:val="22"/>
          <w:szCs w:val="22"/>
        </w:rPr>
        <w:t xml:space="preserve">následující </w:t>
      </w:r>
      <w:r w:rsidR="00C5699E">
        <w:rPr>
          <w:rFonts w:ascii="Arial" w:hAnsi="Arial" w:cs="Arial"/>
          <w:sz w:val="22"/>
          <w:szCs w:val="22"/>
        </w:rPr>
        <w:t>tři roky</w:t>
      </w:r>
      <w:r w:rsidR="00C5699E" w:rsidRPr="00951245">
        <w:rPr>
          <w:rFonts w:ascii="Arial" w:hAnsi="Arial" w:cs="Arial"/>
          <w:sz w:val="22"/>
          <w:szCs w:val="22"/>
        </w:rPr>
        <w:t>.</w:t>
      </w:r>
    </w:p>
    <w:p w:rsidR="007A4D8F" w:rsidRDefault="007A4D8F" w:rsidP="00837E5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A5F9E" w:rsidRDefault="000E35E3" w:rsidP="00837E5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Vyhláška č. 410/2009 Sb. uvádí v § 72 odst. 4 a 5 oba tyto způsoby ocenění</w:t>
      </w:r>
      <w:r w:rsidR="00AB1D32">
        <w:rPr>
          <w:rFonts w:ascii="Arial" w:hAnsi="Arial" w:cs="Arial"/>
          <w:sz w:val="22"/>
        </w:rPr>
        <w:t xml:space="preserve"> jako možné</w:t>
      </w:r>
      <w:r>
        <w:rPr>
          <w:rFonts w:ascii="Arial" w:hAnsi="Arial" w:cs="Arial"/>
          <w:sz w:val="22"/>
        </w:rPr>
        <w:t>, MD však nestanovilo jasná pravidla použití konkrétního způsobu ocenění</w:t>
      </w:r>
      <w:r w:rsidR="00AB1D32">
        <w:rPr>
          <w:rFonts w:ascii="Arial" w:hAnsi="Arial" w:cs="Arial"/>
          <w:sz w:val="22"/>
        </w:rPr>
        <w:t xml:space="preserve"> a ani v </w:t>
      </w:r>
      <w:r w:rsidR="00DB2349">
        <w:rPr>
          <w:rFonts w:ascii="Arial" w:hAnsi="Arial" w:cs="Arial"/>
          <w:sz w:val="22"/>
        </w:rPr>
        <w:t>p</w:t>
      </w:r>
      <w:r w:rsidR="00AB1D32">
        <w:rPr>
          <w:rFonts w:ascii="Arial" w:hAnsi="Arial" w:cs="Arial"/>
          <w:sz w:val="22"/>
        </w:rPr>
        <w:t>říloze ÚZ neinformovalo, v jakých případech použilo příslušný způsob ocenění</w:t>
      </w:r>
      <w:r>
        <w:rPr>
          <w:rFonts w:ascii="Arial" w:hAnsi="Arial" w:cs="Arial"/>
          <w:sz w:val="22"/>
        </w:rPr>
        <w:t>.</w:t>
      </w:r>
    </w:p>
    <w:p w:rsidR="007A4D8F" w:rsidRDefault="007A4D8F" w:rsidP="00837E5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50CF4" w:rsidRDefault="000A5F9E" w:rsidP="00837E5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Nekonzistentní </w:t>
      </w:r>
      <w:r w:rsidR="009059B1">
        <w:rPr>
          <w:rFonts w:ascii="Arial" w:hAnsi="Arial" w:cs="Arial"/>
          <w:sz w:val="22"/>
        </w:rPr>
        <w:t xml:space="preserve">aplikování </w:t>
      </w:r>
      <w:r>
        <w:rPr>
          <w:rFonts w:ascii="Arial" w:hAnsi="Arial" w:cs="Arial"/>
          <w:sz w:val="22"/>
        </w:rPr>
        <w:t>postup</w:t>
      </w:r>
      <w:r w:rsidR="009059B1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p</w:t>
      </w:r>
      <w:r w:rsidR="009059B1">
        <w:rPr>
          <w:rFonts w:ascii="Arial" w:hAnsi="Arial" w:cs="Arial"/>
          <w:sz w:val="22"/>
        </w:rPr>
        <w:t>ro</w:t>
      </w:r>
      <w:r>
        <w:rPr>
          <w:rFonts w:ascii="Arial" w:hAnsi="Arial" w:cs="Arial"/>
          <w:sz w:val="22"/>
        </w:rPr>
        <w:t xml:space="preserve"> účtování a oceňování podmíněných závazků představuj</w:t>
      </w:r>
      <w:r w:rsidR="009059B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významné riziko pro používání a srozumitelnost </w:t>
      </w:r>
      <w:r w:rsidR="00FE15BE">
        <w:rPr>
          <w:rFonts w:ascii="Arial" w:hAnsi="Arial" w:cs="Arial"/>
          <w:sz w:val="22"/>
        </w:rPr>
        <w:t>údajů vykázaných na podrozvahov</w:t>
      </w:r>
      <w:r>
        <w:rPr>
          <w:rFonts w:ascii="Arial" w:hAnsi="Arial" w:cs="Arial"/>
          <w:sz w:val="22"/>
        </w:rPr>
        <w:t xml:space="preserve">ých účtech. </w:t>
      </w:r>
      <w:r w:rsidR="00150CF4">
        <w:rPr>
          <w:rFonts w:ascii="Arial" w:hAnsi="Arial" w:cs="Arial"/>
          <w:sz w:val="22"/>
        </w:rPr>
        <w:t>O</w:t>
      </w:r>
      <w:r w:rsidR="00C6022F">
        <w:rPr>
          <w:rFonts w:ascii="Arial" w:hAnsi="Arial" w:cs="Arial"/>
          <w:sz w:val="22"/>
        </w:rPr>
        <w:t>vlivňuj</w:t>
      </w:r>
      <w:r w:rsidR="009059B1">
        <w:rPr>
          <w:rFonts w:ascii="Arial" w:hAnsi="Arial" w:cs="Arial"/>
          <w:sz w:val="22"/>
        </w:rPr>
        <w:t>e</w:t>
      </w:r>
      <w:r w:rsidR="00C6022F">
        <w:rPr>
          <w:rFonts w:ascii="Arial" w:hAnsi="Arial" w:cs="Arial"/>
          <w:sz w:val="22"/>
        </w:rPr>
        <w:t xml:space="preserve"> nejen</w:t>
      </w:r>
      <w:r w:rsidR="00C6022F" w:rsidRPr="00951245">
        <w:rPr>
          <w:rFonts w:ascii="Arial" w:hAnsi="Arial" w:cs="Arial"/>
          <w:sz w:val="22"/>
        </w:rPr>
        <w:t xml:space="preserve"> vypovídací schopnost </w:t>
      </w:r>
      <w:r w:rsidR="00C6022F">
        <w:rPr>
          <w:rFonts w:ascii="Arial" w:hAnsi="Arial" w:cs="Arial"/>
          <w:sz w:val="22"/>
        </w:rPr>
        <w:t xml:space="preserve">a srozumitelnost informací z řádné účetní závěrky, ale také vypovídací schopnost </w:t>
      </w:r>
      <w:r w:rsidR="00C6022F" w:rsidRPr="00951245">
        <w:rPr>
          <w:rFonts w:ascii="Arial" w:hAnsi="Arial" w:cs="Arial"/>
          <w:sz w:val="22"/>
        </w:rPr>
        <w:t>jiných účetních záznamů</w:t>
      </w:r>
      <w:r w:rsidR="00C6022F">
        <w:rPr>
          <w:rFonts w:ascii="Arial" w:hAnsi="Arial" w:cs="Arial"/>
          <w:sz w:val="22"/>
        </w:rPr>
        <w:t xml:space="preserve"> </w:t>
      </w:r>
      <w:r w:rsidR="00C6022F" w:rsidRPr="00951245">
        <w:rPr>
          <w:rFonts w:ascii="Arial" w:hAnsi="Arial" w:cs="Arial"/>
          <w:sz w:val="22"/>
        </w:rPr>
        <w:t>periodicky předávaných</w:t>
      </w:r>
      <w:r w:rsidR="00C6022F">
        <w:rPr>
          <w:rFonts w:ascii="Arial" w:hAnsi="Arial" w:cs="Arial"/>
          <w:sz w:val="22"/>
        </w:rPr>
        <w:t xml:space="preserve"> pro potřeby externích uživatelů, např. </w:t>
      </w:r>
      <w:r w:rsidR="00C6022F" w:rsidRPr="00951245">
        <w:rPr>
          <w:rFonts w:ascii="Arial" w:hAnsi="Arial" w:cs="Arial"/>
          <w:sz w:val="22"/>
        </w:rPr>
        <w:t>tzv. mezitímních účetních závěrek, operativních účetních záznamů</w:t>
      </w:r>
      <w:r w:rsidR="00C6022F">
        <w:rPr>
          <w:rFonts w:ascii="Arial" w:hAnsi="Arial" w:cs="Arial"/>
          <w:sz w:val="22"/>
        </w:rPr>
        <w:t xml:space="preserve"> či pomocného analytického přehledu předáva</w:t>
      </w:r>
      <w:r w:rsidR="00771005">
        <w:rPr>
          <w:rFonts w:ascii="Arial" w:hAnsi="Arial" w:cs="Arial"/>
          <w:sz w:val="22"/>
        </w:rPr>
        <w:t>ného pro potřeby monitorování a </w:t>
      </w:r>
      <w:r w:rsidR="00C6022F">
        <w:rPr>
          <w:rFonts w:ascii="Arial" w:hAnsi="Arial" w:cs="Arial"/>
          <w:sz w:val="22"/>
        </w:rPr>
        <w:t xml:space="preserve">řízení veřejných financí. </w:t>
      </w:r>
    </w:p>
    <w:p w:rsidR="007A4D8F" w:rsidRDefault="007A4D8F" w:rsidP="00837E5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DC3E8B" w:rsidRPr="004B12FD" w:rsidRDefault="00DC3E8B" w:rsidP="00837E5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DB7F5D" w:rsidRDefault="00DB7F5D" w:rsidP="00300D1C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1.2.4 </w:t>
      </w:r>
      <w:r w:rsidR="00EE6C3B">
        <w:rPr>
          <w:rFonts w:ascii="Arial" w:hAnsi="Arial" w:cs="Arial"/>
          <w:b/>
          <w:sz w:val="22"/>
        </w:rPr>
        <w:t>Aplik</w:t>
      </w:r>
      <w:r w:rsidR="004E4031">
        <w:rPr>
          <w:rFonts w:ascii="Arial" w:hAnsi="Arial" w:cs="Arial"/>
          <w:b/>
          <w:sz w:val="22"/>
        </w:rPr>
        <w:t>ování</w:t>
      </w:r>
      <w:r w:rsidR="00EE6C3B">
        <w:rPr>
          <w:rFonts w:ascii="Arial" w:hAnsi="Arial" w:cs="Arial"/>
          <w:b/>
          <w:sz w:val="22"/>
        </w:rPr>
        <w:t xml:space="preserve"> ú</w:t>
      </w:r>
      <w:r>
        <w:rPr>
          <w:rFonts w:ascii="Arial" w:hAnsi="Arial" w:cs="Arial"/>
          <w:b/>
          <w:sz w:val="22"/>
        </w:rPr>
        <w:t>četní</w:t>
      </w:r>
      <w:r w:rsidR="00EE6C3B">
        <w:rPr>
          <w:rFonts w:ascii="Arial" w:hAnsi="Arial" w:cs="Arial"/>
          <w:b/>
          <w:sz w:val="22"/>
        </w:rPr>
        <w:t>ch</w:t>
      </w:r>
      <w:r>
        <w:rPr>
          <w:rFonts w:ascii="Arial" w:hAnsi="Arial" w:cs="Arial"/>
          <w:b/>
          <w:sz w:val="22"/>
        </w:rPr>
        <w:t xml:space="preserve"> metod</w:t>
      </w:r>
      <w:r w:rsidR="004571FD">
        <w:rPr>
          <w:rFonts w:ascii="Arial" w:hAnsi="Arial" w:cs="Arial"/>
          <w:b/>
          <w:sz w:val="22"/>
        </w:rPr>
        <w:t xml:space="preserve"> charakteru účetních odhadů</w:t>
      </w:r>
    </w:p>
    <w:p w:rsidR="00DB7F5D" w:rsidRDefault="00B6062B" w:rsidP="00837E54">
      <w:pPr>
        <w:rPr>
          <w:rFonts w:ascii="Arial" w:hAnsi="Arial" w:cs="Arial"/>
          <w:b/>
          <w:sz w:val="22"/>
        </w:rPr>
      </w:pPr>
      <w:r w:rsidRPr="00BD1316">
        <w:rPr>
          <w:rFonts w:ascii="Arial" w:hAnsi="Arial" w:cs="Arial"/>
          <w:b/>
          <w:sz w:val="22"/>
        </w:rPr>
        <w:t>MD nemělo nastavené</w:t>
      </w:r>
      <w:r w:rsidR="00DB7F5D" w:rsidRPr="00BD1316">
        <w:rPr>
          <w:rFonts w:ascii="Arial" w:hAnsi="Arial" w:cs="Arial"/>
          <w:b/>
          <w:sz w:val="22"/>
        </w:rPr>
        <w:t xml:space="preserve"> vhodné postupy pro aplik</w:t>
      </w:r>
      <w:r w:rsidR="004E4031">
        <w:rPr>
          <w:rFonts w:ascii="Arial" w:hAnsi="Arial" w:cs="Arial"/>
          <w:b/>
          <w:sz w:val="22"/>
        </w:rPr>
        <w:t>ování</w:t>
      </w:r>
      <w:r w:rsidR="00DB7F5D" w:rsidRPr="00BD1316">
        <w:rPr>
          <w:rFonts w:ascii="Arial" w:hAnsi="Arial" w:cs="Arial"/>
          <w:b/>
          <w:sz w:val="22"/>
        </w:rPr>
        <w:t xml:space="preserve"> některých účetních metod</w:t>
      </w:r>
      <w:r w:rsidR="00651ED5" w:rsidRPr="00BD1316">
        <w:rPr>
          <w:rFonts w:ascii="Arial" w:hAnsi="Arial" w:cs="Arial"/>
          <w:b/>
          <w:sz w:val="22"/>
        </w:rPr>
        <w:t xml:space="preserve"> týkajících se účetních odhadů</w:t>
      </w:r>
      <w:r w:rsidR="004571FD" w:rsidRPr="00BD1316">
        <w:rPr>
          <w:rFonts w:ascii="Arial" w:hAnsi="Arial" w:cs="Arial"/>
          <w:b/>
          <w:sz w:val="22"/>
        </w:rPr>
        <w:t xml:space="preserve"> v případě rezerv, dohadných položek a odpisů.</w:t>
      </w:r>
    </w:p>
    <w:p w:rsidR="007A4D8F" w:rsidRPr="00BD1316" w:rsidRDefault="007A4D8F" w:rsidP="00837E54">
      <w:pPr>
        <w:rPr>
          <w:rFonts w:ascii="Arial" w:hAnsi="Arial" w:cs="Arial"/>
          <w:b/>
          <w:sz w:val="22"/>
        </w:rPr>
      </w:pPr>
    </w:p>
    <w:p w:rsidR="00FF6D41" w:rsidRPr="00D16CE6" w:rsidRDefault="00651ED5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R</w:t>
      </w:r>
      <w:r w:rsidR="000B03C0" w:rsidRPr="00D16CE6">
        <w:rPr>
          <w:rFonts w:ascii="Arial" w:hAnsi="Arial" w:cs="Arial"/>
          <w:b/>
          <w:i/>
          <w:sz w:val="22"/>
        </w:rPr>
        <w:t xml:space="preserve">ezervy </w:t>
      </w:r>
    </w:p>
    <w:p w:rsidR="00FF6D41" w:rsidRPr="00651ED5" w:rsidRDefault="000B03C0" w:rsidP="00837E54">
      <w:pPr>
        <w:rPr>
          <w:rFonts w:ascii="Arial" w:hAnsi="Arial" w:cs="Arial"/>
          <w:sz w:val="22"/>
        </w:rPr>
      </w:pPr>
      <w:r w:rsidRPr="00BD1316">
        <w:rPr>
          <w:rFonts w:ascii="Arial" w:hAnsi="Arial" w:cs="Arial"/>
          <w:b/>
          <w:sz w:val="22"/>
        </w:rPr>
        <w:t>MD si stanovilo hranici významnosti pro tvorbu rezerv</w:t>
      </w:r>
      <w:r w:rsidRPr="00651ED5">
        <w:rPr>
          <w:rFonts w:ascii="Arial" w:hAnsi="Arial" w:cs="Arial"/>
          <w:sz w:val="22"/>
        </w:rPr>
        <w:t xml:space="preserve"> v</w:t>
      </w:r>
      <w:r w:rsidR="00206FB5">
        <w:rPr>
          <w:rFonts w:ascii="Arial" w:hAnsi="Arial" w:cs="Arial"/>
          <w:sz w:val="22"/>
        </w:rPr>
        <w:t>e výši 3 % celkových aktiv, tj. </w:t>
      </w:r>
      <w:r w:rsidRPr="00651ED5">
        <w:rPr>
          <w:rFonts w:ascii="Arial" w:hAnsi="Arial" w:cs="Arial"/>
          <w:sz w:val="22"/>
        </w:rPr>
        <w:t xml:space="preserve">podle stavu k 31. 12. 2013 </w:t>
      </w:r>
      <w:r w:rsidRPr="00BD1316">
        <w:rPr>
          <w:rFonts w:ascii="Arial" w:hAnsi="Arial" w:cs="Arial"/>
          <w:b/>
          <w:sz w:val="22"/>
        </w:rPr>
        <w:t>ve výši více než 1,8 mld. Kč.</w:t>
      </w:r>
      <w:r w:rsidRPr="00651ED5">
        <w:rPr>
          <w:rFonts w:ascii="Arial" w:hAnsi="Arial" w:cs="Arial"/>
          <w:sz w:val="22"/>
        </w:rPr>
        <w:t xml:space="preserve"> Takto vysoká částka fakticky eliminuje zachycení částek nákladů významného charakteru z hlediska účetní závěrky. Ta</w:t>
      </w:r>
      <w:r w:rsidR="00B6062B">
        <w:rPr>
          <w:rFonts w:ascii="Arial" w:hAnsi="Arial" w:cs="Arial"/>
          <w:sz w:val="22"/>
        </w:rPr>
        <w:t>kto stanovenou</w:t>
      </w:r>
      <w:r w:rsidRPr="00651ED5">
        <w:rPr>
          <w:rFonts w:ascii="Arial" w:hAnsi="Arial" w:cs="Arial"/>
          <w:sz w:val="22"/>
        </w:rPr>
        <w:t xml:space="preserve"> hranic</w:t>
      </w:r>
      <w:r w:rsidR="00B6062B">
        <w:rPr>
          <w:rFonts w:ascii="Arial" w:hAnsi="Arial" w:cs="Arial"/>
          <w:sz w:val="22"/>
        </w:rPr>
        <w:t>i</w:t>
      </w:r>
      <w:r w:rsidRPr="00651ED5">
        <w:rPr>
          <w:rFonts w:ascii="Arial" w:hAnsi="Arial" w:cs="Arial"/>
          <w:sz w:val="22"/>
        </w:rPr>
        <w:t xml:space="preserve"> významnosti pro tvorbu rezer</w:t>
      </w:r>
      <w:r w:rsidR="00771005">
        <w:rPr>
          <w:rFonts w:ascii="Arial" w:hAnsi="Arial" w:cs="Arial"/>
          <w:sz w:val="22"/>
        </w:rPr>
        <w:t>v považuje NKÚ za neadekvátní a </w:t>
      </w:r>
      <w:r w:rsidRPr="00651ED5">
        <w:rPr>
          <w:rFonts w:ascii="Arial" w:hAnsi="Arial" w:cs="Arial"/>
          <w:sz w:val="22"/>
        </w:rPr>
        <w:t xml:space="preserve">nepřiměřeně vysokou. </w:t>
      </w:r>
    </w:p>
    <w:p w:rsidR="00BD1316" w:rsidRDefault="00BD1316" w:rsidP="00837E54">
      <w:pPr>
        <w:rPr>
          <w:rFonts w:ascii="Arial" w:hAnsi="Arial" w:cs="Arial"/>
          <w:b/>
          <w:i/>
          <w:sz w:val="22"/>
        </w:rPr>
      </w:pPr>
    </w:p>
    <w:p w:rsidR="00FF6D41" w:rsidRPr="00D16CE6" w:rsidRDefault="00651ED5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D</w:t>
      </w:r>
      <w:r w:rsidR="000B03C0" w:rsidRPr="00D16CE6">
        <w:rPr>
          <w:rFonts w:ascii="Arial" w:hAnsi="Arial" w:cs="Arial"/>
          <w:b/>
          <w:i/>
          <w:sz w:val="22"/>
        </w:rPr>
        <w:t>ohadné položky</w:t>
      </w:r>
    </w:p>
    <w:p w:rsidR="00651ED5" w:rsidRDefault="00FF6D41" w:rsidP="00837E54">
      <w:pPr>
        <w:rPr>
          <w:rFonts w:ascii="Arial" w:hAnsi="Arial" w:cs="Arial"/>
          <w:sz w:val="22"/>
        </w:rPr>
      </w:pPr>
      <w:r w:rsidRPr="00651ED5">
        <w:rPr>
          <w:rFonts w:ascii="Arial" w:hAnsi="Arial" w:cs="Arial"/>
          <w:sz w:val="22"/>
        </w:rPr>
        <w:t xml:space="preserve">MD v rámci programu okamžitých oprav místních komunikací v důsledku povodní poskytlo v roce 2013 zálohy na transfery ve výši 441 mil. Kč, z toho však u částky 313 mil. Kč bylo v roce 2013 na základě žádostí jednotlivých obcí a vydaných rozhodnutí prodlouženo čerpání až do konce roku 2014. </w:t>
      </w:r>
      <w:r w:rsidRPr="00BD1316">
        <w:rPr>
          <w:rFonts w:ascii="Arial" w:hAnsi="Arial" w:cs="Arial"/>
          <w:b/>
          <w:sz w:val="22"/>
        </w:rPr>
        <w:t>Přestože objektivně existovaly informace o tom, že obce v roce 2013 poskytnuté dotace nevyčerpaly, MD přesto</w:t>
      </w:r>
      <w:r w:rsidR="00771005" w:rsidRPr="00BD1316">
        <w:rPr>
          <w:rFonts w:ascii="Arial" w:hAnsi="Arial" w:cs="Arial"/>
          <w:b/>
          <w:sz w:val="22"/>
        </w:rPr>
        <w:t xml:space="preserve"> v roce 2013 vykázalo náklady a </w:t>
      </w:r>
      <w:r w:rsidRPr="00BD1316">
        <w:rPr>
          <w:rFonts w:ascii="Arial" w:hAnsi="Arial" w:cs="Arial"/>
          <w:b/>
          <w:sz w:val="22"/>
        </w:rPr>
        <w:t>dohadné účty pasivní k nevypořádaným dotacím ve výši 100 % poskytnutých záloh</w:t>
      </w:r>
      <w:r w:rsidR="00651ED5" w:rsidRPr="00BD1316">
        <w:rPr>
          <w:rFonts w:ascii="Arial" w:hAnsi="Arial" w:cs="Arial"/>
          <w:b/>
          <w:sz w:val="22"/>
        </w:rPr>
        <w:t>, tj. tak, jako by bylo možné předpokládat jejich plné použití již v roce 2013</w:t>
      </w:r>
      <w:r w:rsidRPr="00BD1316">
        <w:rPr>
          <w:rFonts w:ascii="Arial" w:hAnsi="Arial" w:cs="Arial"/>
          <w:b/>
          <w:sz w:val="22"/>
        </w:rPr>
        <w:t>.</w:t>
      </w:r>
      <w:r w:rsidRPr="00651ED5">
        <w:rPr>
          <w:rFonts w:ascii="Arial" w:hAnsi="Arial" w:cs="Arial"/>
          <w:sz w:val="22"/>
        </w:rPr>
        <w:t xml:space="preserve"> </w:t>
      </w:r>
    </w:p>
    <w:p w:rsidR="007A4D8F" w:rsidRDefault="007A4D8F" w:rsidP="00837E54">
      <w:pPr>
        <w:rPr>
          <w:rFonts w:ascii="Arial" w:hAnsi="Arial" w:cs="Arial"/>
          <w:sz w:val="22"/>
        </w:rPr>
      </w:pPr>
    </w:p>
    <w:p w:rsidR="00FF6D41" w:rsidRPr="00651ED5" w:rsidRDefault="00651ED5" w:rsidP="00837E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Přístup MD k zachycení odhadov</w:t>
      </w:r>
      <w:r w:rsidR="00D133DC">
        <w:rPr>
          <w:rFonts w:ascii="Arial" w:hAnsi="Arial" w:cs="Arial"/>
          <w:sz w:val="22"/>
        </w:rPr>
        <w:t>an</w:t>
      </w:r>
      <w:r>
        <w:rPr>
          <w:rFonts w:ascii="Arial" w:hAnsi="Arial" w:cs="Arial"/>
          <w:sz w:val="22"/>
        </w:rPr>
        <w:t>é částky náklad</w:t>
      </w:r>
      <w:r w:rsidR="00D133DC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je zjednodušu</w:t>
      </w:r>
      <w:r w:rsidR="00126FE0">
        <w:rPr>
          <w:rFonts w:ascii="Arial" w:hAnsi="Arial" w:cs="Arial"/>
          <w:sz w:val="22"/>
        </w:rPr>
        <w:t xml:space="preserve">jícím přístupem; </w:t>
      </w:r>
      <w:r>
        <w:rPr>
          <w:rFonts w:ascii="Arial" w:hAnsi="Arial" w:cs="Arial"/>
          <w:sz w:val="22"/>
        </w:rPr>
        <w:t xml:space="preserve">účetní jednotky by měly </w:t>
      </w:r>
      <w:r w:rsidR="00FF6D41" w:rsidRPr="00651ED5">
        <w:rPr>
          <w:rFonts w:ascii="Arial" w:hAnsi="Arial" w:cs="Arial"/>
          <w:sz w:val="22"/>
        </w:rPr>
        <w:t>pro stanovení odhadu výše nákladů</w:t>
      </w:r>
      <w:r w:rsidR="004E4031">
        <w:rPr>
          <w:rFonts w:ascii="Arial" w:hAnsi="Arial" w:cs="Arial"/>
          <w:sz w:val="22"/>
        </w:rPr>
        <w:t>,</w:t>
      </w:r>
      <w:r w:rsidR="00FF6D41" w:rsidRPr="00651ED5">
        <w:rPr>
          <w:rFonts w:ascii="Arial" w:hAnsi="Arial" w:cs="Arial"/>
          <w:sz w:val="22"/>
        </w:rPr>
        <w:t xml:space="preserve"> a </w:t>
      </w:r>
      <w:r w:rsidR="004E4031">
        <w:rPr>
          <w:rFonts w:ascii="Arial" w:hAnsi="Arial" w:cs="Arial"/>
          <w:sz w:val="22"/>
        </w:rPr>
        <w:t>tedy i</w:t>
      </w:r>
      <w:r w:rsidR="00FF6D41" w:rsidRPr="00651ED5">
        <w:rPr>
          <w:rFonts w:ascii="Arial" w:hAnsi="Arial" w:cs="Arial"/>
          <w:sz w:val="22"/>
        </w:rPr>
        <w:t xml:space="preserve"> dohadných položek používat postupy, které povedou k </w:t>
      </w:r>
      <w:r w:rsidR="00FF6D41" w:rsidRPr="001B6055">
        <w:rPr>
          <w:rFonts w:ascii="Arial" w:hAnsi="Arial" w:cs="Arial"/>
          <w:sz w:val="22"/>
        </w:rPr>
        <w:t xml:space="preserve">zachycení </w:t>
      </w:r>
      <w:r w:rsidR="00126FE0" w:rsidRPr="001B6055">
        <w:rPr>
          <w:rFonts w:ascii="Arial" w:hAnsi="Arial" w:cs="Arial"/>
          <w:sz w:val="22"/>
        </w:rPr>
        <w:t xml:space="preserve">jejich </w:t>
      </w:r>
      <w:r w:rsidRPr="001339B4">
        <w:rPr>
          <w:rFonts w:ascii="Arial" w:hAnsi="Arial" w:cs="Arial"/>
          <w:sz w:val="22"/>
        </w:rPr>
        <w:t>adekvátní</w:t>
      </w:r>
      <w:r>
        <w:rPr>
          <w:rFonts w:ascii="Arial" w:hAnsi="Arial" w:cs="Arial"/>
          <w:sz w:val="22"/>
        </w:rPr>
        <w:t xml:space="preserve"> </w:t>
      </w:r>
      <w:r w:rsidR="00FF6D41" w:rsidRPr="00651ED5">
        <w:rPr>
          <w:rFonts w:ascii="Arial" w:hAnsi="Arial" w:cs="Arial"/>
          <w:sz w:val="22"/>
        </w:rPr>
        <w:t>výš</w:t>
      </w:r>
      <w:r w:rsidR="007C170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.</w:t>
      </w:r>
    </w:p>
    <w:p w:rsidR="00BD1316" w:rsidRDefault="00BD1316" w:rsidP="00837E54">
      <w:pPr>
        <w:rPr>
          <w:rFonts w:ascii="Arial" w:hAnsi="Arial" w:cs="Arial"/>
          <w:b/>
          <w:i/>
          <w:sz w:val="22"/>
        </w:rPr>
      </w:pPr>
    </w:p>
    <w:p w:rsidR="00060FD1" w:rsidRDefault="00651ED5" w:rsidP="00837E54">
      <w:pPr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O</w:t>
      </w:r>
      <w:r w:rsidR="00060FD1" w:rsidRPr="00D16CE6">
        <w:rPr>
          <w:rFonts w:ascii="Arial" w:hAnsi="Arial" w:cs="Arial"/>
          <w:b/>
          <w:i/>
          <w:sz w:val="22"/>
        </w:rPr>
        <w:t xml:space="preserve">dpisy </w:t>
      </w:r>
    </w:p>
    <w:p w:rsidR="007A4D8F" w:rsidRPr="00D16CE6" w:rsidRDefault="007A4D8F" w:rsidP="00837E54">
      <w:pPr>
        <w:rPr>
          <w:rFonts w:ascii="Arial" w:hAnsi="Arial" w:cs="Arial"/>
          <w:b/>
          <w:i/>
          <w:sz w:val="22"/>
        </w:rPr>
      </w:pPr>
    </w:p>
    <w:p w:rsidR="00504F0E" w:rsidRDefault="00504F0E" w:rsidP="00300D1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Odpisový plán</w:t>
      </w:r>
    </w:p>
    <w:p w:rsidR="00D657CD" w:rsidRDefault="00EF3596" w:rsidP="00837E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MD o</w:t>
      </w:r>
      <w:r w:rsidRPr="00951245">
        <w:rPr>
          <w:rFonts w:ascii="Arial" w:hAnsi="Arial" w:cs="Arial"/>
          <w:sz w:val="22"/>
        </w:rPr>
        <w:t xml:space="preserve">d 1. 1. 2013 </w:t>
      </w:r>
      <w:r>
        <w:rPr>
          <w:rFonts w:ascii="Arial" w:hAnsi="Arial" w:cs="Arial"/>
          <w:sz w:val="22"/>
        </w:rPr>
        <w:t xml:space="preserve">změnilo </w:t>
      </w:r>
      <w:r w:rsidRPr="00951245">
        <w:rPr>
          <w:rFonts w:ascii="Arial" w:hAnsi="Arial" w:cs="Arial"/>
          <w:sz w:val="22"/>
        </w:rPr>
        <w:t>odpisov</w:t>
      </w:r>
      <w:r>
        <w:rPr>
          <w:rFonts w:ascii="Arial" w:hAnsi="Arial" w:cs="Arial"/>
          <w:sz w:val="22"/>
        </w:rPr>
        <w:t>ý</w:t>
      </w:r>
      <w:r w:rsidRPr="00951245">
        <w:rPr>
          <w:rFonts w:ascii="Arial" w:hAnsi="Arial" w:cs="Arial"/>
          <w:sz w:val="22"/>
        </w:rPr>
        <w:t xml:space="preserve"> plán u nehmotného majetku, zejména byly upraveny předpokládané doby používání</w:t>
      </w:r>
      <w:r w:rsidR="00584F53">
        <w:rPr>
          <w:rFonts w:ascii="Arial" w:hAnsi="Arial" w:cs="Arial"/>
          <w:sz w:val="22"/>
        </w:rPr>
        <w:t xml:space="preserve"> a </w:t>
      </w:r>
      <w:r w:rsidR="00D133DC">
        <w:rPr>
          <w:rFonts w:ascii="Arial" w:hAnsi="Arial" w:cs="Arial"/>
          <w:sz w:val="22"/>
        </w:rPr>
        <w:t xml:space="preserve">tím </w:t>
      </w:r>
      <w:r w:rsidR="00584F53">
        <w:rPr>
          <w:rFonts w:ascii="Arial" w:hAnsi="Arial" w:cs="Arial"/>
          <w:sz w:val="22"/>
        </w:rPr>
        <w:t>fakticky i odpisování</w:t>
      </w:r>
      <w:r w:rsidRPr="0095124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584F53">
        <w:rPr>
          <w:rFonts w:ascii="Arial" w:hAnsi="Arial" w:cs="Arial"/>
          <w:sz w:val="22"/>
        </w:rPr>
        <w:t>D</w:t>
      </w:r>
      <w:r w:rsidR="00584F53" w:rsidRPr="00951245">
        <w:rPr>
          <w:rFonts w:ascii="Arial" w:hAnsi="Arial" w:cs="Arial"/>
          <w:sz w:val="22"/>
        </w:rPr>
        <w:t xml:space="preserve">oba odpisování nehmotného majetku u některých položek nehmotného majetku </w:t>
      </w:r>
      <w:r w:rsidR="00584F53">
        <w:rPr>
          <w:rFonts w:ascii="Arial" w:hAnsi="Arial" w:cs="Arial"/>
          <w:sz w:val="22"/>
        </w:rPr>
        <w:t xml:space="preserve">však </w:t>
      </w:r>
      <w:r w:rsidR="00584F53" w:rsidRPr="00951245">
        <w:rPr>
          <w:rFonts w:ascii="Arial" w:hAnsi="Arial" w:cs="Arial"/>
          <w:sz w:val="22"/>
        </w:rPr>
        <w:t xml:space="preserve">neodpovídala takto </w:t>
      </w:r>
      <w:r w:rsidR="00584F53">
        <w:rPr>
          <w:rFonts w:ascii="Arial" w:hAnsi="Arial" w:cs="Arial"/>
          <w:sz w:val="22"/>
        </w:rPr>
        <w:t xml:space="preserve">nově </w:t>
      </w:r>
      <w:r w:rsidR="00584F53" w:rsidRPr="00951245">
        <w:rPr>
          <w:rFonts w:ascii="Arial" w:hAnsi="Arial" w:cs="Arial"/>
          <w:sz w:val="22"/>
        </w:rPr>
        <w:t>stanoveným dobám používání</w:t>
      </w:r>
      <w:r w:rsidR="00D657CD">
        <w:rPr>
          <w:rFonts w:ascii="Arial" w:hAnsi="Arial" w:cs="Arial"/>
          <w:sz w:val="22"/>
        </w:rPr>
        <w:t xml:space="preserve">. Při kontrole bylo zjištěno, že MD </w:t>
      </w:r>
      <w:r w:rsidR="00D657CD" w:rsidRPr="00951245">
        <w:rPr>
          <w:rFonts w:ascii="Arial" w:hAnsi="Arial" w:cs="Arial"/>
          <w:sz w:val="22"/>
        </w:rPr>
        <w:t xml:space="preserve">pro některý nehmotný majetek </w:t>
      </w:r>
      <w:r w:rsidR="00D657CD">
        <w:rPr>
          <w:rFonts w:ascii="Arial" w:hAnsi="Arial" w:cs="Arial"/>
          <w:sz w:val="22"/>
        </w:rPr>
        <w:t>stanovovalo</w:t>
      </w:r>
      <w:r w:rsidR="00D657CD" w:rsidRPr="00951245">
        <w:rPr>
          <w:rFonts w:ascii="Arial" w:hAnsi="Arial" w:cs="Arial"/>
          <w:sz w:val="22"/>
        </w:rPr>
        <w:t xml:space="preserve"> dob</w:t>
      </w:r>
      <w:r w:rsidR="00C949C7">
        <w:rPr>
          <w:rFonts w:ascii="Arial" w:hAnsi="Arial" w:cs="Arial"/>
          <w:sz w:val="22"/>
        </w:rPr>
        <w:t>u</w:t>
      </w:r>
      <w:r w:rsidR="00D657CD" w:rsidRPr="00951245">
        <w:rPr>
          <w:rFonts w:ascii="Arial" w:hAnsi="Arial" w:cs="Arial"/>
          <w:sz w:val="22"/>
        </w:rPr>
        <w:t xml:space="preserve"> používání od 1. 1. 2013, </w:t>
      </w:r>
      <w:r w:rsidR="00C949C7">
        <w:rPr>
          <w:rFonts w:ascii="Arial" w:hAnsi="Arial" w:cs="Arial"/>
          <w:sz w:val="22"/>
        </w:rPr>
        <w:t xml:space="preserve">zatímco </w:t>
      </w:r>
      <w:r w:rsidR="00D657CD" w:rsidRPr="00951245">
        <w:rPr>
          <w:rFonts w:ascii="Arial" w:hAnsi="Arial" w:cs="Arial"/>
          <w:sz w:val="22"/>
        </w:rPr>
        <w:t xml:space="preserve">u jiných majetkových položek </w:t>
      </w:r>
      <w:r w:rsidR="00D657CD">
        <w:rPr>
          <w:rFonts w:ascii="Arial" w:hAnsi="Arial" w:cs="Arial"/>
          <w:sz w:val="22"/>
        </w:rPr>
        <w:t>stanovovalo</w:t>
      </w:r>
      <w:r w:rsidR="00D657CD" w:rsidRPr="00951245">
        <w:rPr>
          <w:rFonts w:ascii="Arial" w:hAnsi="Arial" w:cs="Arial"/>
          <w:sz w:val="22"/>
        </w:rPr>
        <w:t xml:space="preserve"> dob</w:t>
      </w:r>
      <w:r w:rsidR="00D657CD">
        <w:rPr>
          <w:rFonts w:ascii="Arial" w:hAnsi="Arial" w:cs="Arial"/>
          <w:sz w:val="22"/>
        </w:rPr>
        <w:t>u</w:t>
      </w:r>
      <w:r w:rsidR="00D657CD" w:rsidRPr="00951245">
        <w:rPr>
          <w:rFonts w:ascii="Arial" w:hAnsi="Arial" w:cs="Arial"/>
          <w:sz w:val="22"/>
        </w:rPr>
        <w:t xml:space="preserve"> používání </w:t>
      </w:r>
      <w:r w:rsidR="00D657CD">
        <w:rPr>
          <w:rFonts w:ascii="Arial" w:hAnsi="Arial" w:cs="Arial"/>
          <w:sz w:val="22"/>
        </w:rPr>
        <w:t>od</w:t>
      </w:r>
      <w:r w:rsidR="00D657CD" w:rsidRPr="00951245">
        <w:rPr>
          <w:rFonts w:ascii="Arial" w:hAnsi="Arial" w:cs="Arial"/>
          <w:sz w:val="22"/>
        </w:rPr>
        <w:t xml:space="preserve"> data uvedení majetku do užívání</w:t>
      </w:r>
      <w:r w:rsidR="00D133DC">
        <w:rPr>
          <w:rFonts w:ascii="Arial" w:hAnsi="Arial" w:cs="Arial"/>
          <w:sz w:val="22"/>
        </w:rPr>
        <w:t>, přičemž v odpisovém plánu</w:t>
      </w:r>
      <w:r w:rsidR="00C949C7" w:rsidRPr="00504F0E">
        <w:rPr>
          <w:rFonts w:ascii="Arial" w:hAnsi="Arial" w:cs="Arial"/>
          <w:sz w:val="22"/>
        </w:rPr>
        <w:t xml:space="preserve"> </w:t>
      </w:r>
      <w:r w:rsidR="004E4031">
        <w:rPr>
          <w:rFonts w:ascii="Arial" w:hAnsi="Arial" w:cs="Arial"/>
          <w:sz w:val="22"/>
        </w:rPr>
        <w:t xml:space="preserve">nebylo jasně a vhodně promítnuto </w:t>
      </w:r>
      <w:r w:rsidR="00D133DC">
        <w:rPr>
          <w:rFonts w:ascii="Arial" w:hAnsi="Arial" w:cs="Arial"/>
          <w:sz w:val="22"/>
        </w:rPr>
        <w:t>potřebné rozlišení</w:t>
      </w:r>
      <w:r w:rsidR="00C949C7" w:rsidRPr="00504F0E">
        <w:rPr>
          <w:rFonts w:ascii="Arial" w:hAnsi="Arial" w:cs="Arial"/>
          <w:sz w:val="22"/>
        </w:rPr>
        <w:t xml:space="preserve">. </w:t>
      </w:r>
    </w:p>
    <w:p w:rsidR="007A4D8F" w:rsidRDefault="007A4D8F" w:rsidP="00837E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p w:rsidR="00060FD1" w:rsidRDefault="00E06F42" w:rsidP="00837E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MD </w:t>
      </w:r>
      <w:r w:rsidR="00150CF4">
        <w:rPr>
          <w:rFonts w:ascii="Arial" w:hAnsi="Arial" w:cs="Arial"/>
          <w:sz w:val="22"/>
        </w:rPr>
        <w:t>dále</w:t>
      </w:r>
      <w:r w:rsidR="00504F0E">
        <w:rPr>
          <w:rFonts w:ascii="Arial" w:hAnsi="Arial" w:cs="Arial"/>
          <w:sz w:val="22"/>
        </w:rPr>
        <w:t xml:space="preserve"> </w:t>
      </w:r>
      <w:r w:rsidRPr="00BD1316">
        <w:rPr>
          <w:rFonts w:ascii="Arial" w:hAnsi="Arial" w:cs="Arial"/>
          <w:b/>
          <w:sz w:val="22"/>
        </w:rPr>
        <w:t>v případ</w:t>
      </w:r>
      <w:r w:rsidR="004E4031">
        <w:rPr>
          <w:rFonts w:ascii="Arial" w:hAnsi="Arial" w:cs="Arial"/>
          <w:b/>
          <w:sz w:val="22"/>
        </w:rPr>
        <w:t>ech</w:t>
      </w:r>
      <w:r w:rsidRPr="00BD1316">
        <w:rPr>
          <w:rFonts w:ascii="Arial" w:hAnsi="Arial" w:cs="Arial"/>
          <w:b/>
          <w:sz w:val="22"/>
        </w:rPr>
        <w:t xml:space="preserve"> technického zhodnocení </w:t>
      </w:r>
      <w:r w:rsidR="00126402" w:rsidRPr="00BD1316">
        <w:rPr>
          <w:rFonts w:ascii="Arial" w:hAnsi="Arial" w:cs="Arial"/>
          <w:b/>
          <w:sz w:val="22"/>
        </w:rPr>
        <w:t xml:space="preserve">nehmotného </w:t>
      </w:r>
      <w:r w:rsidRPr="00BD1316">
        <w:rPr>
          <w:rFonts w:ascii="Arial" w:hAnsi="Arial" w:cs="Arial"/>
          <w:b/>
          <w:sz w:val="22"/>
        </w:rPr>
        <w:t>majetku používalo pro potřeby</w:t>
      </w:r>
      <w:r w:rsidR="00877621">
        <w:rPr>
          <w:rFonts w:ascii="Arial" w:hAnsi="Arial" w:cs="Arial"/>
          <w:b/>
          <w:sz w:val="22"/>
        </w:rPr>
        <w:t xml:space="preserve"> </w:t>
      </w:r>
      <w:r w:rsidR="005F195C" w:rsidRPr="00BD1316">
        <w:rPr>
          <w:rFonts w:ascii="Arial" w:hAnsi="Arial" w:cs="Arial"/>
          <w:b/>
          <w:sz w:val="22"/>
        </w:rPr>
        <w:t xml:space="preserve">odpisování algoritmus, jehož výsledkem bylo automatické prodloužení </w:t>
      </w:r>
      <w:r w:rsidR="00676A3D" w:rsidRPr="00BD1316">
        <w:rPr>
          <w:rFonts w:ascii="Arial" w:hAnsi="Arial" w:cs="Arial"/>
          <w:b/>
          <w:sz w:val="22"/>
        </w:rPr>
        <w:t xml:space="preserve">předpokládané </w:t>
      </w:r>
      <w:r w:rsidR="005F195C" w:rsidRPr="00BD1316">
        <w:rPr>
          <w:rFonts w:ascii="Arial" w:hAnsi="Arial" w:cs="Arial"/>
          <w:b/>
          <w:sz w:val="22"/>
        </w:rPr>
        <w:t>doby používání majetku</w:t>
      </w:r>
      <w:r w:rsidR="00575978" w:rsidRPr="00BD1316">
        <w:rPr>
          <w:rFonts w:ascii="Arial" w:hAnsi="Arial" w:cs="Arial"/>
          <w:b/>
          <w:sz w:val="22"/>
        </w:rPr>
        <w:t>.</w:t>
      </w:r>
      <w:r w:rsidR="00575978" w:rsidRPr="00C71EA6">
        <w:rPr>
          <w:rFonts w:ascii="Arial" w:hAnsi="Arial" w:cs="Arial"/>
          <w:sz w:val="22"/>
        </w:rPr>
        <w:t xml:space="preserve"> </w:t>
      </w:r>
      <w:r w:rsidR="00126402" w:rsidRPr="00EF3596">
        <w:rPr>
          <w:rFonts w:ascii="Arial" w:hAnsi="Arial" w:cs="Arial"/>
          <w:sz w:val="22"/>
        </w:rPr>
        <w:t>Odpisy majetku pak nebyly stanoveny tak, aby odpovídaly dobám používání dle schváleného odpisového plánu</w:t>
      </w:r>
      <w:r w:rsidR="00504F0E">
        <w:rPr>
          <w:rFonts w:ascii="Arial" w:hAnsi="Arial" w:cs="Arial"/>
          <w:sz w:val="22"/>
        </w:rPr>
        <w:t>.</w:t>
      </w:r>
      <w:r w:rsidR="00126402" w:rsidRPr="00EF3596">
        <w:rPr>
          <w:rFonts w:ascii="Arial" w:hAnsi="Arial" w:cs="Arial"/>
          <w:sz w:val="22"/>
        </w:rPr>
        <w:t xml:space="preserve"> </w:t>
      </w:r>
      <w:r w:rsidR="00575978" w:rsidRPr="00C71EA6">
        <w:rPr>
          <w:rFonts w:ascii="Arial" w:hAnsi="Arial" w:cs="Arial"/>
          <w:sz w:val="22"/>
        </w:rPr>
        <w:t>Pro naplnění u</w:t>
      </w:r>
      <w:r w:rsidR="00771005">
        <w:rPr>
          <w:rFonts w:ascii="Arial" w:hAnsi="Arial" w:cs="Arial"/>
          <w:sz w:val="22"/>
        </w:rPr>
        <w:t xml:space="preserve">stanovení bodu </w:t>
      </w:r>
      <w:proofErr w:type="gramStart"/>
      <w:r w:rsidR="00771005">
        <w:rPr>
          <w:rFonts w:ascii="Arial" w:hAnsi="Arial" w:cs="Arial"/>
          <w:sz w:val="22"/>
        </w:rPr>
        <w:t>4.10</w:t>
      </w:r>
      <w:r w:rsidR="004E4031">
        <w:rPr>
          <w:rFonts w:ascii="Arial" w:hAnsi="Arial" w:cs="Arial"/>
          <w:sz w:val="22"/>
        </w:rPr>
        <w:t>.</w:t>
      </w:r>
      <w:r w:rsidR="00771005">
        <w:rPr>
          <w:rFonts w:ascii="Arial" w:hAnsi="Arial" w:cs="Arial"/>
          <w:sz w:val="22"/>
        </w:rPr>
        <w:t xml:space="preserve"> ČÚS</w:t>
      </w:r>
      <w:proofErr w:type="gramEnd"/>
      <w:r w:rsidR="00771005">
        <w:rPr>
          <w:rFonts w:ascii="Arial" w:hAnsi="Arial" w:cs="Arial"/>
          <w:sz w:val="22"/>
        </w:rPr>
        <w:t xml:space="preserve"> č. 708 – </w:t>
      </w:r>
      <w:r w:rsidR="00575978" w:rsidRPr="00837E54">
        <w:rPr>
          <w:rFonts w:ascii="Arial" w:hAnsi="Arial" w:cs="Arial"/>
          <w:i/>
          <w:sz w:val="22"/>
        </w:rPr>
        <w:t>Odpisování dlouhodobého majetku</w:t>
      </w:r>
      <w:r w:rsidR="00575978" w:rsidRPr="00C71EA6">
        <w:rPr>
          <w:rFonts w:ascii="Arial" w:hAnsi="Arial" w:cs="Arial"/>
          <w:sz w:val="22"/>
        </w:rPr>
        <w:t xml:space="preserve"> mělo MD zjišťovat</w:t>
      </w:r>
      <w:r w:rsidR="002560F0" w:rsidRPr="00C71EA6">
        <w:rPr>
          <w:rFonts w:ascii="Arial" w:hAnsi="Arial" w:cs="Arial"/>
          <w:sz w:val="22"/>
        </w:rPr>
        <w:t>, zda technické zhodnocení vedlo či nevedlo k prodloužení doby používání</w:t>
      </w:r>
      <w:r w:rsidR="003B3314">
        <w:rPr>
          <w:rFonts w:ascii="Arial" w:hAnsi="Arial" w:cs="Arial"/>
          <w:sz w:val="22"/>
        </w:rPr>
        <w:t>,</w:t>
      </w:r>
      <w:r w:rsidR="00126402" w:rsidRPr="00C71EA6">
        <w:rPr>
          <w:rFonts w:ascii="Arial" w:hAnsi="Arial" w:cs="Arial"/>
          <w:sz w:val="22"/>
        </w:rPr>
        <w:t xml:space="preserve"> a</w:t>
      </w:r>
      <w:r w:rsidR="003B3314">
        <w:rPr>
          <w:rFonts w:ascii="Arial" w:hAnsi="Arial" w:cs="Arial"/>
          <w:sz w:val="22"/>
        </w:rPr>
        <w:t xml:space="preserve"> tedy i</w:t>
      </w:r>
      <w:r w:rsidR="00126402" w:rsidRPr="00C71EA6">
        <w:rPr>
          <w:rFonts w:ascii="Arial" w:hAnsi="Arial" w:cs="Arial"/>
          <w:sz w:val="22"/>
        </w:rPr>
        <w:t xml:space="preserve"> doby odpisování.</w:t>
      </w:r>
    </w:p>
    <w:p w:rsidR="007A4D8F" w:rsidRDefault="007A4D8F" w:rsidP="00837E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p w:rsidR="00504F0E" w:rsidRDefault="00504F0E" w:rsidP="00300D1C">
      <w:pPr>
        <w:numPr>
          <w:ilvl w:val="0"/>
          <w:numId w:val="14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Odpis majetku určeného </w:t>
      </w:r>
      <w:r w:rsidR="0044342E">
        <w:rPr>
          <w:rFonts w:ascii="Arial" w:hAnsi="Arial" w:cs="Arial"/>
          <w:sz w:val="22"/>
        </w:rPr>
        <w:t>k </w:t>
      </w:r>
      <w:r>
        <w:rPr>
          <w:rFonts w:ascii="Arial" w:hAnsi="Arial" w:cs="Arial"/>
          <w:sz w:val="22"/>
        </w:rPr>
        <w:t>prodeji</w:t>
      </w:r>
    </w:p>
    <w:p w:rsidR="00060FD1" w:rsidRDefault="00060FD1" w:rsidP="00837E54">
      <w:pPr>
        <w:rPr>
          <w:rFonts w:ascii="Arial" w:hAnsi="Arial" w:cs="Arial"/>
          <w:bCs/>
          <w:iCs/>
          <w:sz w:val="22"/>
        </w:rPr>
      </w:pPr>
      <w:r w:rsidRPr="00C71EA6">
        <w:rPr>
          <w:rFonts w:ascii="Arial" w:hAnsi="Arial" w:cs="Arial"/>
          <w:sz w:val="22"/>
        </w:rPr>
        <w:t xml:space="preserve">MD odpisovalo </w:t>
      </w:r>
      <w:r w:rsidR="00D133DC">
        <w:rPr>
          <w:rFonts w:ascii="Arial" w:hAnsi="Arial" w:cs="Arial"/>
          <w:sz w:val="22"/>
        </w:rPr>
        <w:t xml:space="preserve">hmotný </w:t>
      </w:r>
      <w:r w:rsidRPr="00C71EA6">
        <w:rPr>
          <w:rFonts w:ascii="Arial" w:hAnsi="Arial" w:cs="Arial"/>
          <w:sz w:val="22"/>
        </w:rPr>
        <w:t>movitý ma</w:t>
      </w:r>
      <w:r w:rsidR="00504F0E">
        <w:rPr>
          <w:rFonts w:ascii="Arial" w:hAnsi="Arial" w:cs="Arial"/>
          <w:sz w:val="22"/>
        </w:rPr>
        <w:t>je</w:t>
      </w:r>
      <w:r w:rsidRPr="00C71EA6">
        <w:rPr>
          <w:rFonts w:ascii="Arial" w:hAnsi="Arial" w:cs="Arial"/>
          <w:sz w:val="22"/>
        </w:rPr>
        <w:t>tek</w:t>
      </w:r>
      <w:r w:rsidR="00504F0E">
        <w:rPr>
          <w:rFonts w:ascii="Arial" w:hAnsi="Arial" w:cs="Arial"/>
          <w:sz w:val="22"/>
        </w:rPr>
        <w:t xml:space="preserve">, který byl určen </w:t>
      </w:r>
      <w:r w:rsidR="0044342E">
        <w:rPr>
          <w:rFonts w:ascii="Arial" w:hAnsi="Arial" w:cs="Arial"/>
          <w:sz w:val="22"/>
        </w:rPr>
        <w:t>k </w:t>
      </w:r>
      <w:r w:rsidR="00504F0E">
        <w:rPr>
          <w:rFonts w:ascii="Arial" w:hAnsi="Arial" w:cs="Arial"/>
          <w:sz w:val="22"/>
        </w:rPr>
        <w:t>prodeji</w:t>
      </w:r>
      <w:r w:rsidRPr="00C71EA6">
        <w:rPr>
          <w:rFonts w:ascii="Arial" w:hAnsi="Arial" w:cs="Arial"/>
          <w:sz w:val="22"/>
        </w:rPr>
        <w:t>. Tento majetek mělo MD ocenit reálnou hodnotou a k tomuto majetku nemělo aplikovat metodu odpisů</w:t>
      </w:r>
      <w:r w:rsidRPr="00837E54">
        <w:rPr>
          <w:rFonts w:ascii="Arial" w:hAnsi="Arial" w:cs="Arial"/>
          <w:bCs/>
          <w:iCs/>
          <w:sz w:val="22"/>
        </w:rPr>
        <w:t>.</w:t>
      </w:r>
    </w:p>
    <w:p w:rsidR="007A4D8F" w:rsidRPr="00951245" w:rsidRDefault="007A4D8F" w:rsidP="00837E54">
      <w:pPr>
        <w:rPr>
          <w:rFonts w:ascii="Arial" w:hAnsi="Arial" w:cs="Arial"/>
          <w:b/>
          <w:sz w:val="22"/>
        </w:rPr>
      </w:pPr>
    </w:p>
    <w:p w:rsidR="0048293C" w:rsidRPr="0048293C" w:rsidRDefault="0048293C" w:rsidP="00837E54">
      <w:pPr>
        <w:pStyle w:val="Bezmezer1"/>
        <w:spacing w:after="0"/>
        <w:ind w:firstLine="0"/>
        <w:rPr>
          <w:lang w:eastAsia="cs-CZ"/>
        </w:rPr>
      </w:pPr>
      <w:r w:rsidRPr="0048293C">
        <w:rPr>
          <w:lang w:eastAsia="cs-CZ"/>
        </w:rPr>
        <w:t xml:space="preserve">Problémy zjištěné v odpisování majetku nemají podle názoru NKÚ významný dopad na údaje </w:t>
      </w:r>
      <w:r w:rsidR="00D133DC">
        <w:rPr>
          <w:lang w:eastAsia="cs-CZ"/>
        </w:rPr>
        <w:t>ÚZ</w:t>
      </w:r>
      <w:r w:rsidRPr="0048293C">
        <w:rPr>
          <w:lang w:eastAsia="cs-CZ"/>
        </w:rPr>
        <w:t xml:space="preserve"> za rok 2013, jedná se však o systémové riziko, které se vlivem kumulace nevhodně nastavených výší odpisů může významně promítnout do údajů v budoucích </w:t>
      </w:r>
      <w:r w:rsidR="00D133DC">
        <w:rPr>
          <w:lang w:eastAsia="cs-CZ"/>
        </w:rPr>
        <w:t>ÚZ MD</w:t>
      </w:r>
      <w:r w:rsidRPr="0048293C">
        <w:rPr>
          <w:lang w:eastAsia="cs-CZ"/>
        </w:rPr>
        <w:t xml:space="preserve">. </w:t>
      </w:r>
    </w:p>
    <w:p w:rsidR="00BD1316" w:rsidRDefault="00BD1316" w:rsidP="00837E54">
      <w:pPr>
        <w:rPr>
          <w:rFonts w:ascii="Arial" w:hAnsi="Arial" w:cs="Arial"/>
          <w:b/>
          <w:sz w:val="22"/>
        </w:rPr>
      </w:pPr>
    </w:p>
    <w:p w:rsidR="00BD1316" w:rsidRDefault="00BD1316">
      <w:pPr>
        <w:jc w:val="left"/>
        <w:rPr>
          <w:rFonts w:ascii="Arial" w:hAnsi="Arial" w:cs="Arial"/>
          <w:b/>
          <w:sz w:val="22"/>
        </w:rPr>
      </w:pPr>
    </w:p>
    <w:p w:rsidR="004F5DA8" w:rsidRDefault="004F5DA8" w:rsidP="00300D1C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1.3 </w:t>
      </w:r>
      <w:r w:rsidR="001C37AA">
        <w:rPr>
          <w:rFonts w:ascii="Arial" w:hAnsi="Arial" w:cs="Arial"/>
          <w:b/>
          <w:sz w:val="22"/>
        </w:rPr>
        <w:t>Zveřejňování účetní závěrky</w:t>
      </w:r>
    </w:p>
    <w:p w:rsidR="00020BAC" w:rsidRDefault="000B69C5" w:rsidP="007052BD">
      <w:pPr>
        <w:rPr>
          <w:rFonts w:ascii="Arial" w:hAnsi="Arial" w:cs="Arial"/>
          <w:sz w:val="22"/>
        </w:rPr>
      </w:pPr>
      <w:r w:rsidRPr="00951245">
        <w:rPr>
          <w:rFonts w:ascii="Arial" w:hAnsi="Arial" w:cs="Arial"/>
          <w:sz w:val="22"/>
        </w:rPr>
        <w:t>MD </w:t>
      </w:r>
      <w:r w:rsidR="00713FC0">
        <w:rPr>
          <w:rFonts w:ascii="Arial" w:hAnsi="Arial" w:cs="Arial"/>
          <w:sz w:val="22"/>
        </w:rPr>
        <w:t>v roce 2014</w:t>
      </w:r>
      <w:r w:rsidRPr="00951245">
        <w:rPr>
          <w:rFonts w:ascii="Arial" w:hAnsi="Arial" w:cs="Arial"/>
          <w:sz w:val="22"/>
        </w:rPr>
        <w:t xml:space="preserve"> v</w:t>
      </w:r>
      <w:r w:rsidR="000748CA">
        <w:rPr>
          <w:rFonts w:ascii="Arial" w:hAnsi="Arial" w:cs="Arial"/>
          <w:sz w:val="22"/>
        </w:rPr>
        <w:t xml:space="preserve"> únorovém </w:t>
      </w:r>
      <w:r w:rsidRPr="00951245">
        <w:rPr>
          <w:rFonts w:ascii="Arial" w:hAnsi="Arial" w:cs="Arial"/>
          <w:sz w:val="22"/>
        </w:rPr>
        <w:t xml:space="preserve">termínu dle vyhlášky č. 383/2009 Sb. zaslalo do </w:t>
      </w:r>
      <w:r w:rsidRPr="007052BD">
        <w:rPr>
          <w:rFonts w:ascii="Arial" w:hAnsi="Arial" w:cs="Arial"/>
          <w:i/>
          <w:sz w:val="22"/>
        </w:rPr>
        <w:t>C</w:t>
      </w:r>
      <w:r w:rsidR="00D45EE2" w:rsidRPr="007052BD">
        <w:rPr>
          <w:rFonts w:ascii="Arial" w:hAnsi="Arial" w:cs="Arial"/>
          <w:i/>
          <w:sz w:val="22"/>
        </w:rPr>
        <w:t>entrálního systému účetních informací státu</w:t>
      </w:r>
      <w:r w:rsidR="00D45EE2">
        <w:rPr>
          <w:rFonts w:ascii="Arial" w:hAnsi="Arial" w:cs="Arial"/>
          <w:sz w:val="22"/>
        </w:rPr>
        <w:t xml:space="preserve"> (CSÚIS)</w:t>
      </w:r>
      <w:r w:rsidRPr="00951245">
        <w:rPr>
          <w:rFonts w:ascii="Arial" w:hAnsi="Arial" w:cs="Arial"/>
          <w:sz w:val="22"/>
        </w:rPr>
        <w:t xml:space="preserve"> </w:t>
      </w:r>
      <w:r w:rsidR="003B3314">
        <w:rPr>
          <w:rFonts w:ascii="Arial" w:hAnsi="Arial" w:cs="Arial"/>
          <w:sz w:val="22"/>
        </w:rPr>
        <w:t>p</w:t>
      </w:r>
      <w:r w:rsidRPr="00951245">
        <w:rPr>
          <w:rFonts w:ascii="Arial" w:hAnsi="Arial" w:cs="Arial"/>
          <w:sz w:val="22"/>
        </w:rPr>
        <w:t>řílohu</w:t>
      </w:r>
      <w:r w:rsidR="00E53C64">
        <w:rPr>
          <w:rFonts w:ascii="Arial" w:hAnsi="Arial" w:cs="Arial"/>
          <w:sz w:val="22"/>
        </w:rPr>
        <w:t xml:space="preserve"> </w:t>
      </w:r>
      <w:r w:rsidR="00020BAC">
        <w:rPr>
          <w:rFonts w:ascii="Arial" w:hAnsi="Arial" w:cs="Arial"/>
          <w:sz w:val="22"/>
        </w:rPr>
        <w:t xml:space="preserve">s údaji k datu 31. 12. 2013 </w:t>
      </w:r>
      <w:r w:rsidR="00592B94">
        <w:rPr>
          <w:rFonts w:ascii="Arial" w:hAnsi="Arial" w:cs="Arial"/>
          <w:sz w:val="22"/>
        </w:rPr>
        <w:t>(obsahující i </w:t>
      </w:r>
      <w:r w:rsidR="00206FB5">
        <w:rPr>
          <w:rFonts w:ascii="Arial" w:hAnsi="Arial" w:cs="Arial"/>
          <w:sz w:val="22"/>
        </w:rPr>
        <w:t>údaje o </w:t>
      </w:r>
      <w:r w:rsidR="00E53C64" w:rsidRPr="00D455A5">
        <w:rPr>
          <w:rFonts w:ascii="Arial" w:hAnsi="Arial" w:cs="Arial"/>
          <w:sz w:val="22"/>
        </w:rPr>
        <w:t>podmíněných závazcích)</w:t>
      </w:r>
      <w:r w:rsidRPr="00D455A5">
        <w:rPr>
          <w:rFonts w:ascii="Arial" w:hAnsi="Arial" w:cs="Arial"/>
          <w:sz w:val="22"/>
        </w:rPr>
        <w:t xml:space="preserve">, avšak </w:t>
      </w:r>
      <w:r w:rsidR="000748CA">
        <w:rPr>
          <w:rFonts w:ascii="Arial" w:hAnsi="Arial" w:cs="Arial"/>
          <w:sz w:val="22"/>
        </w:rPr>
        <w:t xml:space="preserve">jednalo se o dílčí konsolidační účetní záznam, který </w:t>
      </w:r>
      <w:r w:rsidRPr="00D455A5">
        <w:rPr>
          <w:rFonts w:ascii="Arial" w:hAnsi="Arial" w:cs="Arial"/>
          <w:sz w:val="22"/>
        </w:rPr>
        <w:t xml:space="preserve">ještě </w:t>
      </w:r>
      <w:r w:rsidR="000748CA">
        <w:rPr>
          <w:rFonts w:ascii="Arial" w:hAnsi="Arial" w:cs="Arial"/>
          <w:sz w:val="22"/>
        </w:rPr>
        <w:t xml:space="preserve">nebyl </w:t>
      </w:r>
      <w:r w:rsidRPr="00D455A5">
        <w:rPr>
          <w:rFonts w:ascii="Arial" w:hAnsi="Arial" w:cs="Arial"/>
          <w:sz w:val="22"/>
        </w:rPr>
        <w:t>součástí sestavené účetní závěrky</w:t>
      </w:r>
      <w:r w:rsidR="00D455A5" w:rsidRPr="00D455A5">
        <w:rPr>
          <w:rFonts w:ascii="Arial" w:hAnsi="Arial" w:cs="Arial"/>
          <w:sz w:val="22"/>
        </w:rPr>
        <w:t>.</w:t>
      </w:r>
      <w:r w:rsidR="00020BAC">
        <w:rPr>
          <w:rFonts w:ascii="Arial" w:hAnsi="Arial" w:cs="Arial"/>
          <w:sz w:val="22"/>
        </w:rPr>
        <w:t xml:space="preserve"> Tento zaslaný </w:t>
      </w:r>
      <w:r w:rsidR="00794204">
        <w:rPr>
          <w:rFonts w:ascii="Arial" w:hAnsi="Arial" w:cs="Arial"/>
          <w:sz w:val="22"/>
        </w:rPr>
        <w:t xml:space="preserve">dílčí konsolidační </w:t>
      </w:r>
      <w:r w:rsidR="00020BAC">
        <w:rPr>
          <w:rFonts w:ascii="Arial" w:hAnsi="Arial" w:cs="Arial"/>
          <w:sz w:val="22"/>
        </w:rPr>
        <w:t>účetní záznam byl zveřejněn v systému MONITOR</w:t>
      </w:r>
      <w:r w:rsidR="008E4647">
        <w:rPr>
          <w:rStyle w:val="Znakapoznpodarou"/>
          <w:rFonts w:ascii="Arial" w:hAnsi="Arial" w:cs="Arial"/>
          <w:sz w:val="22"/>
        </w:rPr>
        <w:footnoteReference w:id="3"/>
      </w:r>
      <w:r w:rsidR="00020BAC">
        <w:rPr>
          <w:rFonts w:ascii="Arial" w:hAnsi="Arial" w:cs="Arial"/>
          <w:sz w:val="22"/>
        </w:rPr>
        <w:t xml:space="preserve"> jako </w:t>
      </w:r>
      <w:r w:rsidR="000D3445">
        <w:rPr>
          <w:rFonts w:ascii="Arial" w:hAnsi="Arial" w:cs="Arial"/>
          <w:sz w:val="22"/>
        </w:rPr>
        <w:t>p</w:t>
      </w:r>
      <w:r w:rsidR="00020BAC">
        <w:rPr>
          <w:rFonts w:ascii="Arial" w:hAnsi="Arial" w:cs="Arial"/>
          <w:sz w:val="22"/>
        </w:rPr>
        <w:t>říloha MD.</w:t>
      </w:r>
      <w:r w:rsidR="00D455A5" w:rsidRPr="00D455A5">
        <w:rPr>
          <w:rFonts w:ascii="Arial" w:hAnsi="Arial" w:cs="Arial"/>
          <w:sz w:val="22"/>
        </w:rPr>
        <w:t xml:space="preserve"> </w:t>
      </w:r>
      <w:r w:rsidR="003E57B4">
        <w:rPr>
          <w:rFonts w:ascii="Arial" w:hAnsi="Arial" w:cs="Arial"/>
          <w:sz w:val="22"/>
          <w:lang w:eastAsia="cs-CZ"/>
        </w:rPr>
        <w:t>N</w:t>
      </w:r>
      <w:r w:rsidR="003E57B4" w:rsidRPr="0016696F">
        <w:rPr>
          <w:rFonts w:ascii="Arial" w:hAnsi="Arial" w:cs="Arial"/>
          <w:sz w:val="22"/>
        </w:rPr>
        <w:t xml:space="preserve">a veřejně dostupných stránkách </w:t>
      </w:r>
      <w:r w:rsidR="003E57B4">
        <w:rPr>
          <w:rFonts w:ascii="Arial" w:hAnsi="Arial" w:cs="Arial"/>
          <w:sz w:val="22"/>
        </w:rPr>
        <w:t xml:space="preserve">systému </w:t>
      </w:r>
      <w:r w:rsidR="003E57B4" w:rsidRPr="00D7795C">
        <w:rPr>
          <w:rFonts w:ascii="Arial" w:hAnsi="Arial" w:cs="Arial"/>
          <w:sz w:val="22"/>
        </w:rPr>
        <w:t>MONITOR</w:t>
      </w:r>
      <w:r w:rsidR="003E57B4" w:rsidRPr="001339B4">
        <w:rPr>
          <w:rFonts w:ascii="Arial" w:hAnsi="Arial" w:cs="Arial"/>
          <w:sz w:val="22"/>
        </w:rPr>
        <w:t xml:space="preserve"> </w:t>
      </w:r>
      <w:r w:rsidR="003E57B4">
        <w:rPr>
          <w:rFonts w:ascii="Arial" w:hAnsi="Arial" w:cs="Arial"/>
          <w:sz w:val="22"/>
        </w:rPr>
        <w:t xml:space="preserve">se </w:t>
      </w:r>
      <w:r w:rsidR="003E57B4" w:rsidRPr="001339B4">
        <w:rPr>
          <w:rFonts w:ascii="Arial" w:hAnsi="Arial" w:cs="Arial"/>
          <w:sz w:val="22"/>
        </w:rPr>
        <w:t>uvádí,</w:t>
      </w:r>
      <w:r w:rsidR="003E57B4" w:rsidRPr="00951245">
        <w:rPr>
          <w:rFonts w:ascii="Arial" w:hAnsi="Arial" w:cs="Arial"/>
          <w:sz w:val="22"/>
        </w:rPr>
        <w:t xml:space="preserve"> že tento systém </w:t>
      </w:r>
      <w:r w:rsidR="003E57B4">
        <w:rPr>
          <w:rFonts w:ascii="Arial" w:hAnsi="Arial" w:cs="Arial"/>
          <w:sz w:val="22"/>
        </w:rPr>
        <w:t>„</w:t>
      </w:r>
      <w:r w:rsidR="003E57B4" w:rsidRPr="00DD3B45">
        <w:rPr>
          <w:rFonts w:ascii="Arial" w:hAnsi="Arial" w:cs="Arial"/>
          <w:i/>
          <w:sz w:val="22"/>
        </w:rPr>
        <w:t>zajišťuje zveřejňování účetních závěrek organizačních složek státu podle § 21a zákona č. 563/1991 Sb., o účetnictví, ve znění pozdějších předpisů</w:t>
      </w:r>
      <w:r w:rsidR="003E57B4">
        <w:rPr>
          <w:rFonts w:ascii="Arial" w:hAnsi="Arial" w:cs="Arial"/>
          <w:sz w:val="22"/>
        </w:rPr>
        <w:t>“</w:t>
      </w:r>
      <w:r w:rsidR="003E57B4" w:rsidRPr="00951245">
        <w:rPr>
          <w:rFonts w:ascii="Arial" w:hAnsi="Arial" w:cs="Arial"/>
          <w:sz w:val="22"/>
        </w:rPr>
        <w:t>.</w:t>
      </w:r>
      <w:r w:rsidR="003E57B4">
        <w:rPr>
          <w:rFonts w:ascii="Arial" w:hAnsi="Arial" w:cs="Arial"/>
          <w:sz w:val="22"/>
        </w:rPr>
        <w:t xml:space="preserve"> </w:t>
      </w:r>
    </w:p>
    <w:p w:rsidR="007A4D8F" w:rsidRDefault="007A4D8F" w:rsidP="007052BD">
      <w:pPr>
        <w:rPr>
          <w:rFonts w:ascii="Arial" w:hAnsi="Arial" w:cs="Arial"/>
          <w:sz w:val="22"/>
        </w:rPr>
      </w:pPr>
    </w:p>
    <w:p w:rsidR="00BB026F" w:rsidRDefault="000B69C5" w:rsidP="007052BD">
      <w:pPr>
        <w:rPr>
          <w:rFonts w:ascii="Arial" w:hAnsi="Arial" w:cs="Arial"/>
          <w:sz w:val="22"/>
        </w:rPr>
      </w:pPr>
      <w:r w:rsidRPr="00D455A5">
        <w:rPr>
          <w:rFonts w:ascii="Arial" w:hAnsi="Arial" w:cs="Arial"/>
          <w:sz w:val="22"/>
        </w:rPr>
        <w:t xml:space="preserve">MD </w:t>
      </w:r>
      <w:r w:rsidR="000748CA">
        <w:rPr>
          <w:rFonts w:ascii="Arial" w:hAnsi="Arial" w:cs="Arial"/>
          <w:sz w:val="22"/>
        </w:rPr>
        <w:t xml:space="preserve">ještě </w:t>
      </w:r>
      <w:r w:rsidRPr="00D455A5">
        <w:rPr>
          <w:rFonts w:ascii="Arial" w:hAnsi="Arial" w:cs="Arial"/>
          <w:sz w:val="22"/>
        </w:rPr>
        <w:t xml:space="preserve">dne 12. 3. </w:t>
      </w:r>
      <w:r w:rsidR="000D3445">
        <w:rPr>
          <w:rFonts w:ascii="Arial" w:hAnsi="Arial" w:cs="Arial"/>
          <w:sz w:val="22"/>
        </w:rPr>
        <w:t xml:space="preserve">2014 </w:t>
      </w:r>
      <w:r w:rsidRPr="00D455A5">
        <w:rPr>
          <w:rFonts w:ascii="Arial" w:hAnsi="Arial" w:cs="Arial"/>
          <w:sz w:val="22"/>
        </w:rPr>
        <w:t>provádělo opravné účetní zápisy</w:t>
      </w:r>
      <w:r w:rsidR="00455B92" w:rsidRPr="00D455A5">
        <w:rPr>
          <w:rFonts w:ascii="Arial" w:hAnsi="Arial" w:cs="Arial"/>
          <w:sz w:val="22"/>
        </w:rPr>
        <w:t xml:space="preserve"> </w:t>
      </w:r>
      <w:r w:rsidR="00D455A5" w:rsidRPr="00D455A5">
        <w:rPr>
          <w:rFonts w:ascii="Arial" w:hAnsi="Arial" w:cs="Arial"/>
          <w:sz w:val="22"/>
        </w:rPr>
        <w:t xml:space="preserve">na účtech 973 – </w:t>
      </w:r>
      <w:r w:rsidR="00D455A5" w:rsidRPr="00D455A5">
        <w:rPr>
          <w:rFonts w:ascii="Arial" w:hAnsi="Arial" w:cs="Arial"/>
          <w:i/>
          <w:sz w:val="22"/>
          <w:lang w:eastAsia="cs-CZ"/>
        </w:rPr>
        <w:t xml:space="preserve">Krátkodobé podmíněné závazky z jiných smluv </w:t>
      </w:r>
      <w:r w:rsidR="00D455A5" w:rsidRPr="00D455A5">
        <w:rPr>
          <w:rFonts w:ascii="Arial" w:hAnsi="Arial" w:cs="Arial"/>
          <w:sz w:val="22"/>
          <w:lang w:eastAsia="cs-CZ"/>
        </w:rPr>
        <w:t>a</w:t>
      </w:r>
      <w:r w:rsidR="00D455A5" w:rsidRPr="00D455A5">
        <w:rPr>
          <w:rFonts w:ascii="Arial" w:hAnsi="Arial" w:cs="Arial"/>
          <w:i/>
          <w:sz w:val="22"/>
          <w:lang w:eastAsia="cs-CZ"/>
        </w:rPr>
        <w:t xml:space="preserve"> </w:t>
      </w:r>
      <w:r w:rsidR="00D455A5" w:rsidRPr="00D455A5">
        <w:rPr>
          <w:rFonts w:ascii="Arial" w:hAnsi="Arial" w:cs="Arial"/>
          <w:sz w:val="22"/>
          <w:lang w:eastAsia="cs-CZ"/>
        </w:rPr>
        <w:t>974</w:t>
      </w:r>
      <w:r w:rsidR="00D455A5" w:rsidRPr="00D455A5">
        <w:rPr>
          <w:rFonts w:ascii="Arial" w:hAnsi="Arial" w:cs="Arial"/>
          <w:i/>
          <w:sz w:val="22"/>
          <w:lang w:eastAsia="cs-CZ"/>
        </w:rPr>
        <w:t xml:space="preserve"> – Dlouhodobé podmíněné závazky z jiných smluv</w:t>
      </w:r>
      <w:r w:rsidR="00D455A5" w:rsidRPr="00D455A5">
        <w:rPr>
          <w:rFonts w:ascii="Arial" w:hAnsi="Arial" w:cs="Arial"/>
          <w:sz w:val="22"/>
        </w:rPr>
        <w:t xml:space="preserve"> </w:t>
      </w:r>
      <w:r w:rsidRPr="00D455A5">
        <w:rPr>
          <w:rFonts w:ascii="Arial" w:hAnsi="Arial" w:cs="Arial"/>
          <w:sz w:val="22"/>
        </w:rPr>
        <w:t>do účetního období roku 2013</w:t>
      </w:r>
      <w:r w:rsidR="00D455A5" w:rsidRPr="00D455A5">
        <w:rPr>
          <w:rFonts w:ascii="Arial" w:hAnsi="Arial" w:cs="Arial"/>
          <w:sz w:val="22"/>
        </w:rPr>
        <w:t xml:space="preserve"> v</w:t>
      </w:r>
      <w:r w:rsidR="00BB026F">
        <w:rPr>
          <w:rFonts w:ascii="Arial" w:hAnsi="Arial" w:cs="Arial"/>
          <w:sz w:val="22"/>
        </w:rPr>
        <w:t xml:space="preserve"> souhrnné </w:t>
      </w:r>
      <w:r w:rsidR="00D455A5" w:rsidRPr="00D455A5">
        <w:rPr>
          <w:rFonts w:ascii="Arial" w:hAnsi="Arial" w:cs="Arial"/>
          <w:sz w:val="22"/>
        </w:rPr>
        <w:t>částce 472 532 750,02 Kč</w:t>
      </w:r>
      <w:r w:rsidR="000748CA">
        <w:rPr>
          <w:rFonts w:ascii="Arial" w:hAnsi="Arial" w:cs="Arial"/>
          <w:sz w:val="22"/>
        </w:rPr>
        <w:t>. P</w:t>
      </w:r>
      <w:r w:rsidRPr="00D455A5">
        <w:rPr>
          <w:rFonts w:ascii="Arial" w:hAnsi="Arial" w:cs="Arial"/>
          <w:sz w:val="22"/>
        </w:rPr>
        <w:t xml:space="preserve">o provedení </w:t>
      </w:r>
      <w:r w:rsidR="000D3445">
        <w:rPr>
          <w:rFonts w:ascii="Arial" w:hAnsi="Arial" w:cs="Arial"/>
          <w:sz w:val="22"/>
        </w:rPr>
        <w:t>těchto</w:t>
      </w:r>
      <w:r w:rsidR="000D3445" w:rsidRPr="00D455A5">
        <w:rPr>
          <w:rFonts w:ascii="Arial" w:hAnsi="Arial" w:cs="Arial"/>
          <w:sz w:val="22"/>
        </w:rPr>
        <w:t xml:space="preserve"> </w:t>
      </w:r>
      <w:r w:rsidRPr="00D455A5">
        <w:rPr>
          <w:rFonts w:ascii="Arial" w:hAnsi="Arial" w:cs="Arial"/>
          <w:sz w:val="22"/>
        </w:rPr>
        <w:t>oprav znovu zaslalo opravená data (</w:t>
      </w:r>
      <w:r w:rsidR="000D3445">
        <w:rPr>
          <w:rFonts w:ascii="Arial" w:hAnsi="Arial" w:cs="Arial"/>
          <w:sz w:val="22"/>
        </w:rPr>
        <w:t>p</w:t>
      </w:r>
      <w:r w:rsidRPr="00D455A5">
        <w:rPr>
          <w:rFonts w:ascii="Arial" w:hAnsi="Arial" w:cs="Arial"/>
          <w:sz w:val="22"/>
        </w:rPr>
        <w:t>řílohu) do CSÚIS</w:t>
      </w:r>
      <w:r w:rsidR="00BA1662">
        <w:rPr>
          <w:rFonts w:ascii="Arial" w:hAnsi="Arial" w:cs="Arial"/>
          <w:sz w:val="22"/>
        </w:rPr>
        <w:t>,</w:t>
      </w:r>
      <w:r w:rsidR="00D455A5">
        <w:rPr>
          <w:rFonts w:ascii="Arial" w:hAnsi="Arial" w:cs="Arial"/>
          <w:sz w:val="22"/>
        </w:rPr>
        <w:t xml:space="preserve"> sestavilo účetní závěrku (připojen </w:t>
      </w:r>
      <w:r w:rsidR="00D455A5" w:rsidRPr="001B6055">
        <w:rPr>
          <w:rFonts w:ascii="Arial" w:hAnsi="Arial" w:cs="Arial"/>
          <w:sz w:val="22"/>
        </w:rPr>
        <w:t>podpis vedoucího účetní jednotky, tj. ministra dopravy</w:t>
      </w:r>
      <w:r w:rsidR="000D3445">
        <w:rPr>
          <w:rFonts w:ascii="Arial" w:hAnsi="Arial" w:cs="Arial"/>
          <w:sz w:val="22"/>
        </w:rPr>
        <w:t>,</w:t>
      </w:r>
      <w:r w:rsidR="00E650F1" w:rsidRPr="001339B4">
        <w:rPr>
          <w:rFonts w:ascii="Arial" w:hAnsi="Arial" w:cs="Arial"/>
          <w:sz w:val="22"/>
        </w:rPr>
        <w:t xml:space="preserve"> s datem sestavení 12. 3. 2014</w:t>
      </w:r>
      <w:r w:rsidR="00D455A5" w:rsidRPr="00D7795C">
        <w:rPr>
          <w:rFonts w:ascii="Arial" w:hAnsi="Arial" w:cs="Arial"/>
          <w:sz w:val="22"/>
        </w:rPr>
        <w:t>)</w:t>
      </w:r>
      <w:r w:rsidR="00206FB5">
        <w:rPr>
          <w:rFonts w:ascii="Arial" w:hAnsi="Arial" w:cs="Arial"/>
          <w:sz w:val="22"/>
        </w:rPr>
        <w:t xml:space="preserve"> a </w:t>
      </w:r>
      <w:r w:rsidR="000748CA" w:rsidRPr="00D7795C">
        <w:rPr>
          <w:rFonts w:ascii="Arial" w:hAnsi="Arial" w:cs="Arial"/>
          <w:sz w:val="22"/>
        </w:rPr>
        <w:t xml:space="preserve">požádalo </w:t>
      </w:r>
      <w:r w:rsidR="005C6E5A" w:rsidRPr="00D7795C">
        <w:rPr>
          <w:rFonts w:ascii="Arial" w:hAnsi="Arial" w:cs="Arial"/>
          <w:sz w:val="22"/>
        </w:rPr>
        <w:t xml:space="preserve">Ministerstvo financí </w:t>
      </w:r>
      <w:r w:rsidR="000748CA" w:rsidRPr="00D7795C">
        <w:rPr>
          <w:rFonts w:ascii="Arial" w:hAnsi="Arial" w:cs="Arial"/>
          <w:sz w:val="22"/>
        </w:rPr>
        <w:t>o výměnu zveřejněné přílohy.</w:t>
      </w:r>
      <w:r w:rsidR="002B1C39" w:rsidRPr="0016696F">
        <w:rPr>
          <w:rFonts w:ascii="Arial" w:hAnsi="Arial" w:cs="Arial"/>
          <w:sz w:val="22"/>
        </w:rPr>
        <w:t xml:space="preserve"> </w:t>
      </w:r>
      <w:r w:rsidR="00E650F1" w:rsidRPr="0016696F">
        <w:rPr>
          <w:rFonts w:ascii="Arial" w:hAnsi="Arial" w:cs="Arial"/>
          <w:sz w:val="22"/>
        </w:rPr>
        <w:t>Výměna</w:t>
      </w:r>
      <w:r w:rsidR="00020BAC">
        <w:rPr>
          <w:rFonts w:ascii="Arial" w:hAnsi="Arial" w:cs="Arial"/>
          <w:sz w:val="22"/>
        </w:rPr>
        <w:t xml:space="preserve"> za </w:t>
      </w:r>
      <w:r w:rsidR="00BA1662">
        <w:rPr>
          <w:rFonts w:ascii="Arial" w:hAnsi="Arial" w:cs="Arial"/>
          <w:sz w:val="22"/>
        </w:rPr>
        <w:t xml:space="preserve">opravenou </w:t>
      </w:r>
      <w:r w:rsidR="000D3445">
        <w:rPr>
          <w:rFonts w:ascii="Arial" w:hAnsi="Arial" w:cs="Arial"/>
          <w:sz w:val="22"/>
        </w:rPr>
        <w:t>p</w:t>
      </w:r>
      <w:r w:rsidR="00020BAC">
        <w:rPr>
          <w:rFonts w:ascii="Arial" w:hAnsi="Arial" w:cs="Arial"/>
          <w:sz w:val="22"/>
        </w:rPr>
        <w:t xml:space="preserve">řílohu </w:t>
      </w:r>
      <w:r w:rsidR="00947907">
        <w:rPr>
          <w:rFonts w:ascii="Arial" w:hAnsi="Arial" w:cs="Arial"/>
          <w:sz w:val="22"/>
        </w:rPr>
        <w:t>v systému MONITOR</w:t>
      </w:r>
      <w:r w:rsidR="003E57B4">
        <w:rPr>
          <w:rFonts w:ascii="Arial" w:hAnsi="Arial" w:cs="Arial"/>
          <w:sz w:val="22"/>
        </w:rPr>
        <w:t xml:space="preserve"> však </w:t>
      </w:r>
      <w:r w:rsidR="00020BAC">
        <w:rPr>
          <w:rFonts w:ascii="Arial" w:hAnsi="Arial" w:cs="Arial"/>
          <w:sz w:val="22"/>
        </w:rPr>
        <w:t>již</w:t>
      </w:r>
      <w:r w:rsidR="00E650F1" w:rsidRPr="0016696F">
        <w:rPr>
          <w:rFonts w:ascii="Arial" w:hAnsi="Arial" w:cs="Arial"/>
          <w:sz w:val="22"/>
        </w:rPr>
        <w:t xml:space="preserve"> provedena</w:t>
      </w:r>
      <w:r w:rsidR="00020BAC">
        <w:rPr>
          <w:rFonts w:ascii="Arial" w:hAnsi="Arial" w:cs="Arial"/>
          <w:sz w:val="22"/>
        </w:rPr>
        <w:t xml:space="preserve"> </w:t>
      </w:r>
      <w:r w:rsidR="00020BAC" w:rsidRPr="0016696F">
        <w:rPr>
          <w:rFonts w:ascii="Arial" w:hAnsi="Arial" w:cs="Arial"/>
          <w:sz w:val="22"/>
        </w:rPr>
        <w:t>nebyla</w:t>
      </w:r>
      <w:r w:rsidR="00BB026F" w:rsidRPr="0016696F">
        <w:rPr>
          <w:rFonts w:ascii="Arial" w:hAnsi="Arial" w:cs="Arial"/>
          <w:sz w:val="22"/>
        </w:rPr>
        <w:t>.</w:t>
      </w:r>
    </w:p>
    <w:p w:rsidR="007A4D8F" w:rsidRDefault="007A4D8F" w:rsidP="007052BD">
      <w:pPr>
        <w:rPr>
          <w:rFonts w:ascii="Arial" w:hAnsi="Arial" w:cs="Arial"/>
          <w:sz w:val="22"/>
        </w:rPr>
      </w:pPr>
    </w:p>
    <w:p w:rsidR="00751C05" w:rsidRPr="00741C30" w:rsidRDefault="00E02EC3" w:rsidP="007052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Ú</w:t>
      </w:r>
      <w:r w:rsidR="00AD709D" w:rsidRPr="0009374C">
        <w:rPr>
          <w:rFonts w:ascii="Arial" w:hAnsi="Arial" w:cs="Arial"/>
          <w:sz w:val="22"/>
        </w:rPr>
        <w:t>četní závěrka MD sestavená k 31. 12.</w:t>
      </w:r>
      <w:r w:rsidR="00AD709D" w:rsidRPr="00C66080">
        <w:rPr>
          <w:rFonts w:ascii="Arial" w:hAnsi="Arial" w:cs="Arial"/>
          <w:sz w:val="22"/>
        </w:rPr>
        <w:t xml:space="preserve"> 2</w:t>
      </w:r>
      <w:r w:rsidR="00AD709D" w:rsidRPr="000B1CB5">
        <w:rPr>
          <w:rFonts w:ascii="Arial" w:hAnsi="Arial" w:cs="Arial"/>
          <w:sz w:val="22"/>
        </w:rPr>
        <w:t>013</w:t>
      </w:r>
      <w:r w:rsidR="00AD709D" w:rsidRPr="00896E20">
        <w:rPr>
          <w:rFonts w:ascii="Arial" w:hAnsi="Arial" w:cs="Arial"/>
          <w:sz w:val="22"/>
        </w:rPr>
        <w:t xml:space="preserve">, tj. závěrka podepsaná ministrem, </w:t>
      </w:r>
      <w:r>
        <w:rPr>
          <w:rFonts w:ascii="Arial" w:hAnsi="Arial" w:cs="Arial"/>
          <w:sz w:val="22"/>
        </w:rPr>
        <w:t xml:space="preserve">tak </w:t>
      </w:r>
      <w:r w:rsidR="00AD709D" w:rsidRPr="0009374C">
        <w:rPr>
          <w:rFonts w:ascii="Arial" w:hAnsi="Arial" w:cs="Arial"/>
          <w:sz w:val="22"/>
        </w:rPr>
        <w:t>obsahovala údaje o podmíněných závazcích lišící se o více než 470 mil. Kč od údaj</w:t>
      </w:r>
      <w:r w:rsidR="007052BD">
        <w:rPr>
          <w:rFonts w:ascii="Arial" w:hAnsi="Arial" w:cs="Arial"/>
          <w:sz w:val="22"/>
        </w:rPr>
        <w:t xml:space="preserve">ů </w:t>
      </w:r>
      <w:r w:rsidR="00AD709D" w:rsidRPr="0009374C">
        <w:rPr>
          <w:rFonts w:ascii="Arial" w:hAnsi="Arial" w:cs="Arial"/>
          <w:sz w:val="22"/>
        </w:rPr>
        <w:t>zveřejněn</w:t>
      </w:r>
      <w:r w:rsidR="006377BD">
        <w:rPr>
          <w:rFonts w:ascii="Arial" w:hAnsi="Arial" w:cs="Arial"/>
          <w:sz w:val="22"/>
        </w:rPr>
        <w:t>ých</w:t>
      </w:r>
      <w:r w:rsidR="00AD709D" w:rsidRPr="0009374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 </w:t>
      </w:r>
      <w:r w:rsidR="000D3445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říloze MD k 31. 12. 2013 na informačním portálu </w:t>
      </w:r>
      <w:r w:rsidR="00AD709D" w:rsidRPr="0009374C">
        <w:rPr>
          <w:rFonts w:ascii="Arial" w:hAnsi="Arial" w:cs="Arial"/>
          <w:sz w:val="22"/>
        </w:rPr>
        <w:t>MONITOR.</w:t>
      </w:r>
      <w:r w:rsidR="00623D82">
        <w:rPr>
          <w:rFonts w:ascii="Arial" w:hAnsi="Arial" w:cs="Arial"/>
          <w:sz w:val="22"/>
        </w:rPr>
        <w:t xml:space="preserve"> </w:t>
      </w:r>
    </w:p>
    <w:p w:rsidR="00410CE0" w:rsidRDefault="00410CE0" w:rsidP="007052BD">
      <w:pPr>
        <w:rPr>
          <w:rFonts w:ascii="Arial" w:hAnsi="Arial" w:cs="Arial"/>
          <w:b/>
          <w:sz w:val="22"/>
        </w:rPr>
      </w:pPr>
    </w:p>
    <w:p w:rsidR="002B1C39" w:rsidRPr="00741C30" w:rsidRDefault="002B1C39" w:rsidP="007052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 Finanční výkazy MD za rok 2013</w:t>
      </w:r>
    </w:p>
    <w:p w:rsidR="007A4D8F" w:rsidRDefault="007A4D8F" w:rsidP="00E86A44">
      <w:pPr>
        <w:rPr>
          <w:rFonts w:ascii="Arial" w:hAnsi="Arial" w:cs="Arial"/>
          <w:sz w:val="22"/>
          <w:lang w:eastAsia="cs-CZ"/>
        </w:rPr>
      </w:pPr>
    </w:p>
    <w:p w:rsidR="002B1C39" w:rsidRPr="00D16CE6" w:rsidRDefault="002B1C39" w:rsidP="00E86A44">
      <w:pPr>
        <w:rPr>
          <w:rFonts w:ascii="Arial" w:hAnsi="Arial" w:cs="Arial"/>
          <w:sz w:val="22"/>
          <w:lang w:eastAsia="cs-CZ"/>
        </w:rPr>
      </w:pPr>
      <w:r w:rsidRPr="00D16CE6">
        <w:rPr>
          <w:rFonts w:ascii="Arial" w:hAnsi="Arial" w:cs="Arial"/>
          <w:sz w:val="22"/>
          <w:lang w:eastAsia="cs-CZ"/>
        </w:rPr>
        <w:t xml:space="preserve">V průběhu kontroly byl </w:t>
      </w:r>
      <w:r w:rsidR="00220D70">
        <w:rPr>
          <w:rFonts w:ascii="Arial" w:hAnsi="Arial" w:cs="Arial"/>
          <w:sz w:val="22"/>
          <w:lang w:eastAsia="cs-CZ"/>
        </w:rPr>
        <w:t xml:space="preserve">prověřen </w:t>
      </w:r>
      <w:r w:rsidRPr="00D16CE6">
        <w:rPr>
          <w:rFonts w:ascii="Arial" w:hAnsi="Arial" w:cs="Arial"/>
          <w:sz w:val="22"/>
          <w:lang w:eastAsia="cs-CZ"/>
        </w:rPr>
        <w:t xml:space="preserve">také výkaz pro hodnocení plnění rozpočtu. </w:t>
      </w:r>
    </w:p>
    <w:p w:rsidR="00894357" w:rsidRDefault="00894357" w:rsidP="006377BD">
      <w:pPr>
        <w:tabs>
          <w:tab w:val="right" w:pos="9072"/>
        </w:tabs>
        <w:rPr>
          <w:rFonts w:ascii="Arial" w:hAnsi="Arial" w:cs="Arial"/>
          <w:b/>
          <w:color w:val="000000"/>
          <w:sz w:val="22"/>
        </w:rPr>
      </w:pPr>
    </w:p>
    <w:p w:rsidR="002B1C39" w:rsidRPr="002B1C39" w:rsidRDefault="002B1C39" w:rsidP="006377BD">
      <w:pPr>
        <w:tabs>
          <w:tab w:val="right" w:pos="9072"/>
        </w:tabs>
        <w:spacing w:after="20"/>
        <w:rPr>
          <w:rFonts w:ascii="Arial" w:hAnsi="Arial" w:cs="Arial"/>
          <w:b/>
          <w:color w:val="000000"/>
          <w:sz w:val="22"/>
        </w:rPr>
      </w:pPr>
      <w:r w:rsidRPr="002B1C39">
        <w:rPr>
          <w:rFonts w:ascii="Arial" w:hAnsi="Arial" w:cs="Arial"/>
          <w:b/>
          <w:color w:val="000000"/>
          <w:sz w:val="22"/>
        </w:rPr>
        <w:t xml:space="preserve">Tabulka č. 2 – Údaje z výkazu pro hodnocení plnění rozpočtu </w:t>
      </w:r>
      <w:r w:rsidRPr="002B1C39">
        <w:rPr>
          <w:rFonts w:ascii="Arial" w:hAnsi="Arial" w:cs="Arial"/>
          <w:b/>
          <w:color w:val="000000"/>
          <w:sz w:val="22"/>
        </w:rPr>
        <w:tab/>
        <w:t>(v Kč)</w:t>
      </w:r>
    </w:p>
    <w:tbl>
      <w:tblPr>
        <w:tblW w:w="905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2495"/>
        <w:gridCol w:w="1916"/>
        <w:gridCol w:w="2495"/>
      </w:tblGrid>
      <w:tr w:rsidR="002B1C39" w:rsidRPr="00410CE0" w:rsidTr="00410CE0">
        <w:trPr>
          <w:trHeight w:val="29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B1C39" w:rsidRPr="00410CE0" w:rsidRDefault="002B1C39" w:rsidP="00300D1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10C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Rozpočtové příjmy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B1C39" w:rsidRPr="00410CE0" w:rsidRDefault="002B1C39" w:rsidP="00300D1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10C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Rozpočtové výdaje</w:t>
            </w:r>
          </w:p>
        </w:tc>
      </w:tr>
      <w:tr w:rsidR="002B1C39" w:rsidRPr="00410CE0" w:rsidTr="00410CE0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B1C39" w:rsidRPr="00410CE0" w:rsidRDefault="002B1C39" w:rsidP="00300D1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10C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Rozpočet po změnách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B1C39" w:rsidRPr="00410CE0" w:rsidRDefault="002B1C39" w:rsidP="00300D1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10C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Výsledek od počátku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B1C39" w:rsidRPr="00410CE0" w:rsidRDefault="002B1C39" w:rsidP="00300D1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10C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Konečný rozpočet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B1C39" w:rsidRPr="00410CE0" w:rsidRDefault="002B1C39" w:rsidP="00300D1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10C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Výsledek od počátku roku</w:t>
            </w:r>
          </w:p>
        </w:tc>
      </w:tr>
      <w:tr w:rsidR="002B1C39" w:rsidRPr="00410CE0" w:rsidTr="00F91F80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39" w:rsidRPr="00410CE0" w:rsidRDefault="001B5157" w:rsidP="00300D1C">
            <w:pPr>
              <w:spacing w:after="120"/>
              <w:ind w:right="17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0CE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17 160 585 842</w:t>
            </w:r>
            <w:r w:rsidR="002B1C39" w:rsidRPr="00410CE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39" w:rsidRPr="00410CE0" w:rsidRDefault="001B5157" w:rsidP="00300D1C">
            <w:pPr>
              <w:spacing w:after="120"/>
              <w:ind w:right="17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0CE0">
              <w:rPr>
                <w:rFonts w:ascii="Arial" w:hAnsi="Arial" w:cs="Arial"/>
                <w:sz w:val="18"/>
                <w:szCs w:val="18"/>
                <w:lang w:eastAsia="cs-CZ"/>
              </w:rPr>
              <w:t>39 050 732 807,17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39" w:rsidRPr="00410CE0" w:rsidRDefault="001B5157" w:rsidP="00300D1C">
            <w:pPr>
              <w:spacing w:after="120"/>
              <w:ind w:right="17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0CE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60 576 651 683,16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39" w:rsidRPr="00410CE0" w:rsidRDefault="001B5157" w:rsidP="00300D1C">
            <w:pPr>
              <w:spacing w:after="120"/>
              <w:ind w:right="179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0CE0">
              <w:rPr>
                <w:rFonts w:ascii="Arial" w:hAnsi="Arial" w:cs="Arial"/>
                <w:sz w:val="18"/>
                <w:szCs w:val="18"/>
                <w:lang w:eastAsia="cs-CZ"/>
              </w:rPr>
              <w:t>34 335 382 270,68</w:t>
            </w:r>
          </w:p>
        </w:tc>
      </w:tr>
    </w:tbl>
    <w:p w:rsidR="002B1C39" w:rsidRPr="009F39F5" w:rsidRDefault="002B1C39" w:rsidP="006377BD">
      <w:pPr>
        <w:tabs>
          <w:tab w:val="right" w:pos="9072"/>
        </w:tabs>
        <w:spacing w:before="40"/>
        <w:rPr>
          <w:rFonts w:ascii="Arial" w:hAnsi="Arial" w:cs="Arial"/>
          <w:color w:val="000000"/>
          <w:sz w:val="18"/>
          <w:szCs w:val="18"/>
        </w:rPr>
      </w:pPr>
      <w:r w:rsidRPr="009F39F5">
        <w:rPr>
          <w:rFonts w:ascii="Arial" w:hAnsi="Arial" w:cs="Arial"/>
          <w:b/>
          <w:color w:val="000000"/>
          <w:sz w:val="18"/>
          <w:szCs w:val="18"/>
        </w:rPr>
        <w:t>Zdroj:</w:t>
      </w:r>
      <w:r w:rsidRPr="009F39F5">
        <w:rPr>
          <w:rFonts w:ascii="Arial" w:hAnsi="Arial" w:cs="Arial"/>
          <w:color w:val="000000"/>
          <w:sz w:val="18"/>
          <w:szCs w:val="18"/>
        </w:rPr>
        <w:t xml:space="preserve"> výkaz pro hodnocení plnění rozpočtu za rok 2013</w:t>
      </w:r>
      <w:r w:rsidR="003112C8">
        <w:rPr>
          <w:rFonts w:ascii="Arial" w:hAnsi="Arial" w:cs="Arial"/>
          <w:color w:val="000000"/>
          <w:sz w:val="18"/>
          <w:szCs w:val="18"/>
        </w:rPr>
        <w:t>.</w:t>
      </w:r>
    </w:p>
    <w:p w:rsidR="002F59FA" w:rsidRDefault="002F59FA" w:rsidP="006377BD">
      <w:pPr>
        <w:rPr>
          <w:rFonts w:ascii="Arial" w:hAnsi="Arial" w:cs="Arial"/>
          <w:b/>
          <w:sz w:val="22"/>
        </w:rPr>
      </w:pPr>
    </w:p>
    <w:p w:rsidR="009F39F5" w:rsidRPr="009F39F5" w:rsidRDefault="009F39F5" w:rsidP="00300D1C">
      <w:pPr>
        <w:spacing w:after="120"/>
        <w:rPr>
          <w:rFonts w:ascii="Arial" w:hAnsi="Arial" w:cs="Arial"/>
          <w:b/>
          <w:sz w:val="22"/>
        </w:rPr>
      </w:pPr>
      <w:r w:rsidRPr="009F39F5">
        <w:rPr>
          <w:rFonts w:ascii="Arial" w:hAnsi="Arial" w:cs="Arial"/>
          <w:b/>
          <w:sz w:val="22"/>
        </w:rPr>
        <w:t>2.1 Právní předpisy v roce 201</w:t>
      </w:r>
      <w:r>
        <w:rPr>
          <w:rFonts w:ascii="Arial" w:hAnsi="Arial" w:cs="Arial"/>
          <w:b/>
          <w:sz w:val="22"/>
        </w:rPr>
        <w:t>3</w:t>
      </w:r>
      <w:r w:rsidRPr="009F39F5">
        <w:rPr>
          <w:rFonts w:ascii="Arial" w:hAnsi="Arial" w:cs="Arial"/>
          <w:b/>
          <w:sz w:val="22"/>
        </w:rPr>
        <w:t xml:space="preserve"> pro oblast finančního výkaznictví OSS</w:t>
      </w:r>
    </w:p>
    <w:p w:rsidR="009F39F5" w:rsidRPr="009F39F5" w:rsidRDefault="009F39F5" w:rsidP="00410CE0">
      <w:pPr>
        <w:rPr>
          <w:rFonts w:ascii="Arial" w:hAnsi="Arial" w:cs="Arial"/>
          <w:sz w:val="22"/>
        </w:rPr>
      </w:pPr>
      <w:r w:rsidRPr="009F39F5">
        <w:rPr>
          <w:rFonts w:ascii="Arial" w:hAnsi="Arial" w:cs="Arial"/>
          <w:sz w:val="22"/>
        </w:rPr>
        <w:t>Finanční výkazy byly v roce 201</w:t>
      </w:r>
      <w:r>
        <w:rPr>
          <w:rFonts w:ascii="Arial" w:hAnsi="Arial" w:cs="Arial"/>
          <w:sz w:val="22"/>
        </w:rPr>
        <w:t>3</w:t>
      </w:r>
      <w:r w:rsidRPr="009F39F5">
        <w:rPr>
          <w:rFonts w:ascii="Arial" w:hAnsi="Arial" w:cs="Arial"/>
          <w:sz w:val="22"/>
        </w:rPr>
        <w:t xml:space="preserve"> upraveny zejména zákonem č. 218/2000 Sb., o rozpočtových pravidlech a o změně některých souvisejících zákonů (rozpočtová pravidla), vyhláškou č. 323/2002 Sb., o rozpočtové skladbě, a vyhláškou č. 449/2009 Sb., o způsobu, termínech a rozsahu údajů předkládaných pro hodnocení plnění státního rozpočtu, rozpočtů státních fondů, rozpočtů územních samosprávných celků, rozpočtů dobrovolných svazků obcí a rozpočtů regionálních rad regionů soudržnosti.  </w:t>
      </w:r>
    </w:p>
    <w:p w:rsidR="009F39F5" w:rsidRPr="009F39F5" w:rsidRDefault="009F39F5" w:rsidP="00410CE0">
      <w:pPr>
        <w:rPr>
          <w:rFonts w:ascii="Arial" w:hAnsi="Arial" w:cs="Arial"/>
          <w:sz w:val="22"/>
        </w:rPr>
      </w:pPr>
    </w:p>
    <w:p w:rsidR="009F39F5" w:rsidRPr="009F39F5" w:rsidRDefault="009F39F5" w:rsidP="00300D1C">
      <w:pPr>
        <w:spacing w:after="120"/>
        <w:rPr>
          <w:rFonts w:ascii="Arial" w:hAnsi="Arial" w:cs="Arial"/>
          <w:b/>
          <w:sz w:val="22"/>
        </w:rPr>
      </w:pPr>
      <w:r w:rsidRPr="009F39F5">
        <w:rPr>
          <w:rFonts w:ascii="Arial" w:hAnsi="Arial" w:cs="Arial"/>
          <w:b/>
          <w:sz w:val="22"/>
        </w:rPr>
        <w:t xml:space="preserve">2.2 Nesprávnosti ve výkazu pro hodnocení plnění rozpočtu  </w:t>
      </w:r>
    </w:p>
    <w:p w:rsidR="009F39F5" w:rsidRDefault="009F39F5" w:rsidP="006377BD">
      <w:pPr>
        <w:rPr>
          <w:rFonts w:ascii="Arial" w:hAnsi="Arial" w:cs="Arial"/>
          <w:sz w:val="22"/>
        </w:rPr>
      </w:pPr>
      <w:r w:rsidRPr="009F39F5">
        <w:rPr>
          <w:rFonts w:ascii="Arial" w:hAnsi="Arial" w:cs="Arial"/>
          <w:color w:val="000000"/>
          <w:sz w:val="22"/>
        </w:rPr>
        <w:t xml:space="preserve">V případě příjmů a výdajů uvedených ve </w:t>
      </w:r>
      <w:r w:rsidR="00684226">
        <w:rPr>
          <w:rFonts w:ascii="Arial" w:hAnsi="Arial" w:cs="Arial"/>
          <w:color w:val="000000"/>
          <w:sz w:val="22"/>
        </w:rPr>
        <w:t>v</w:t>
      </w:r>
      <w:r w:rsidRPr="009F39F5">
        <w:rPr>
          <w:rFonts w:ascii="Arial" w:hAnsi="Arial" w:cs="Arial"/>
          <w:color w:val="000000"/>
          <w:sz w:val="22"/>
        </w:rPr>
        <w:t xml:space="preserve">ýkazu pro hodnocení plnění rozpočtu </w:t>
      </w:r>
      <w:r w:rsidR="00E86A44">
        <w:rPr>
          <w:rFonts w:ascii="Arial" w:hAnsi="Arial" w:cs="Arial"/>
          <w:color w:val="000000"/>
          <w:sz w:val="22"/>
        </w:rPr>
        <w:t xml:space="preserve">MD </w:t>
      </w:r>
      <w:r w:rsidR="002B2AD8">
        <w:rPr>
          <w:rFonts w:ascii="Arial" w:hAnsi="Arial" w:cs="Arial"/>
          <w:color w:val="000000"/>
          <w:sz w:val="22"/>
        </w:rPr>
        <w:t xml:space="preserve">za rok 2013 </w:t>
      </w:r>
      <w:r w:rsidRPr="009F39F5">
        <w:rPr>
          <w:rFonts w:ascii="Arial" w:hAnsi="Arial" w:cs="Arial"/>
          <w:color w:val="000000"/>
          <w:sz w:val="22"/>
        </w:rPr>
        <w:t>byla na vybraném vzorku kontrolována správnos</w:t>
      </w:r>
      <w:r w:rsidR="00A0157E">
        <w:rPr>
          <w:rFonts w:ascii="Arial" w:hAnsi="Arial" w:cs="Arial"/>
          <w:color w:val="000000"/>
          <w:sz w:val="22"/>
        </w:rPr>
        <w:t>t jejich zatřídění na položky a </w:t>
      </w:r>
      <w:r w:rsidRPr="009F39F5">
        <w:rPr>
          <w:rFonts w:ascii="Arial" w:hAnsi="Arial" w:cs="Arial"/>
          <w:color w:val="000000"/>
          <w:sz w:val="22"/>
        </w:rPr>
        <w:t xml:space="preserve">paragrafy rozpočtové skladby dle vyhlášky č. 323/2002 Sb. </w:t>
      </w:r>
      <w:r w:rsidR="0044342E">
        <w:rPr>
          <w:rFonts w:ascii="Arial" w:hAnsi="Arial" w:cs="Arial"/>
          <w:color w:val="000000"/>
          <w:sz w:val="22"/>
        </w:rPr>
        <w:t>V </w:t>
      </w:r>
      <w:r w:rsidRPr="009F39F5">
        <w:rPr>
          <w:rFonts w:ascii="Arial" w:hAnsi="Arial" w:cs="Arial"/>
          <w:color w:val="000000"/>
          <w:sz w:val="22"/>
        </w:rPr>
        <w:t xml:space="preserve">tomto výkazu byla zjištěna celková nesprávnost ve výši </w:t>
      </w:r>
      <w:r w:rsidR="00827F1E">
        <w:rPr>
          <w:rFonts w:ascii="Arial" w:hAnsi="Arial" w:cs="Arial"/>
          <w:color w:val="000000"/>
          <w:sz w:val="22"/>
        </w:rPr>
        <w:t>3</w:t>
      </w:r>
      <w:r w:rsidRPr="009F39F5">
        <w:rPr>
          <w:rFonts w:ascii="Arial" w:hAnsi="Arial" w:cs="Arial"/>
          <w:color w:val="000000"/>
          <w:sz w:val="22"/>
        </w:rPr>
        <w:t>,</w:t>
      </w:r>
      <w:r w:rsidR="00827F1E">
        <w:rPr>
          <w:rFonts w:ascii="Arial" w:hAnsi="Arial" w:cs="Arial"/>
          <w:color w:val="000000"/>
          <w:sz w:val="22"/>
        </w:rPr>
        <w:t>99</w:t>
      </w:r>
      <w:r w:rsidRPr="009F39F5">
        <w:rPr>
          <w:rFonts w:ascii="Arial" w:hAnsi="Arial" w:cs="Arial"/>
          <w:color w:val="000000"/>
          <w:sz w:val="22"/>
        </w:rPr>
        <w:t xml:space="preserve"> mld. Kč</w:t>
      </w:r>
      <w:r w:rsidRPr="009F39F5">
        <w:rPr>
          <w:rFonts w:ascii="Arial" w:hAnsi="Arial" w:cs="Arial"/>
          <w:sz w:val="22"/>
        </w:rPr>
        <w:t>.</w:t>
      </w:r>
    </w:p>
    <w:p w:rsidR="004B12FD" w:rsidRDefault="004B12FD" w:rsidP="006377BD">
      <w:pPr>
        <w:rPr>
          <w:rFonts w:ascii="Arial" w:hAnsi="Arial" w:cs="Arial"/>
          <w:b/>
          <w:i/>
          <w:sz w:val="22"/>
        </w:rPr>
      </w:pPr>
    </w:p>
    <w:p w:rsidR="004F5DA8" w:rsidRPr="00D16CE6" w:rsidRDefault="00827F1E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Výdaje na zajištění dopravní obslužnosti</w:t>
      </w:r>
    </w:p>
    <w:p w:rsidR="00CD3AA5" w:rsidRDefault="00827F1E" w:rsidP="0063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MD</w:t>
      </w:r>
      <w:r w:rsidRPr="0095124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základě </w:t>
      </w:r>
      <w:r w:rsidR="00684226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smlouvy o závazku veřejné služby</w:t>
      </w:r>
      <w:r w:rsidR="00684226">
        <w:rPr>
          <w:rFonts w:ascii="Arial" w:hAnsi="Arial" w:cs="Arial"/>
          <w:sz w:val="22"/>
        </w:rPr>
        <w:t>“</w:t>
      </w:r>
      <w:r w:rsidR="00CD3AA5">
        <w:rPr>
          <w:rFonts w:ascii="Arial" w:hAnsi="Arial" w:cs="Arial"/>
          <w:sz w:val="22"/>
        </w:rPr>
        <w:t xml:space="preserve"> uzavřené podle</w:t>
      </w:r>
      <w:r>
        <w:rPr>
          <w:rFonts w:ascii="Arial" w:hAnsi="Arial" w:cs="Arial"/>
          <w:sz w:val="22"/>
        </w:rPr>
        <w:t xml:space="preserve"> </w:t>
      </w:r>
      <w:r w:rsidR="00CD3AA5" w:rsidRPr="00951245">
        <w:rPr>
          <w:rFonts w:ascii="Arial" w:hAnsi="Arial" w:cs="Arial"/>
          <w:sz w:val="22"/>
        </w:rPr>
        <w:t>§ 39 odst. 1 písm. b) zákona č. 266/1994 Sb., o drahách</w:t>
      </w:r>
      <w:r w:rsidR="00684226">
        <w:rPr>
          <w:rFonts w:ascii="Arial" w:hAnsi="Arial" w:cs="Arial"/>
          <w:sz w:val="22"/>
        </w:rPr>
        <w:t>,</w:t>
      </w:r>
      <w:r w:rsidR="00CD3AA5" w:rsidRPr="00951245">
        <w:rPr>
          <w:rFonts w:ascii="Arial" w:hAnsi="Arial" w:cs="Arial"/>
          <w:sz w:val="22"/>
        </w:rPr>
        <w:t xml:space="preserve"> </w:t>
      </w:r>
      <w:r w:rsidRPr="00951245">
        <w:rPr>
          <w:rFonts w:ascii="Arial" w:hAnsi="Arial" w:cs="Arial"/>
          <w:sz w:val="22"/>
        </w:rPr>
        <w:t>vyrovnávalo v roce 2013</w:t>
      </w:r>
      <w:r>
        <w:rPr>
          <w:rFonts w:ascii="Arial" w:hAnsi="Arial" w:cs="Arial"/>
          <w:sz w:val="22"/>
        </w:rPr>
        <w:t xml:space="preserve"> </w:t>
      </w:r>
      <w:r w:rsidRPr="00951245">
        <w:rPr>
          <w:rFonts w:ascii="Arial" w:hAnsi="Arial" w:cs="Arial"/>
          <w:sz w:val="22"/>
        </w:rPr>
        <w:t xml:space="preserve">dopravci ztrátu způsobenou </w:t>
      </w:r>
      <w:r w:rsidRPr="00951245">
        <w:rPr>
          <w:rFonts w:ascii="Arial" w:hAnsi="Arial" w:cs="Arial"/>
          <w:sz w:val="22"/>
        </w:rPr>
        <w:lastRenderedPageBreak/>
        <w:t xml:space="preserve">plněním objednaného dopravního výkonu. Na základě této smlouvy uhradilo MD </w:t>
      </w:r>
      <w:r w:rsidR="003308D9">
        <w:rPr>
          <w:rFonts w:ascii="Arial" w:hAnsi="Arial" w:cs="Arial"/>
          <w:sz w:val="22"/>
        </w:rPr>
        <w:t xml:space="preserve">v roce 2013 </w:t>
      </w:r>
      <w:r w:rsidRPr="00951245">
        <w:rPr>
          <w:rFonts w:ascii="Arial" w:hAnsi="Arial" w:cs="Arial"/>
          <w:sz w:val="22"/>
        </w:rPr>
        <w:t xml:space="preserve">výdaje v celkové výši </w:t>
      </w:r>
      <w:r w:rsidR="00684226">
        <w:rPr>
          <w:rFonts w:ascii="Arial" w:hAnsi="Arial" w:cs="Arial"/>
          <w:sz w:val="22"/>
        </w:rPr>
        <w:t>přesahující</w:t>
      </w:r>
      <w:r w:rsidR="001C311A">
        <w:rPr>
          <w:rFonts w:ascii="Arial" w:hAnsi="Arial" w:cs="Arial"/>
          <w:sz w:val="22"/>
        </w:rPr>
        <w:t xml:space="preserve"> 3,9 mld.</w:t>
      </w:r>
      <w:r w:rsidRPr="001C311A">
        <w:rPr>
          <w:rFonts w:ascii="Arial" w:hAnsi="Arial" w:cs="Arial"/>
          <w:sz w:val="22"/>
        </w:rPr>
        <w:t xml:space="preserve"> Kč</w:t>
      </w:r>
      <w:r w:rsidR="00CD3AA5" w:rsidRPr="006377BD">
        <w:rPr>
          <w:rFonts w:ascii="Arial" w:hAnsi="Arial" w:cs="Arial"/>
          <w:sz w:val="22"/>
        </w:rPr>
        <w:t xml:space="preserve"> </w:t>
      </w:r>
      <w:r w:rsidR="00CD3AA5">
        <w:rPr>
          <w:rFonts w:ascii="Arial" w:hAnsi="Arial" w:cs="Arial"/>
          <w:sz w:val="22"/>
        </w:rPr>
        <w:t xml:space="preserve">a rozpočtově je vykázalo jako transfer na </w:t>
      </w:r>
      <w:r w:rsidRPr="00951245">
        <w:rPr>
          <w:rFonts w:ascii="Arial" w:hAnsi="Arial" w:cs="Arial"/>
          <w:sz w:val="22"/>
        </w:rPr>
        <w:t>polož</w:t>
      </w:r>
      <w:r w:rsidR="00CD3AA5">
        <w:rPr>
          <w:rFonts w:ascii="Arial" w:hAnsi="Arial" w:cs="Arial"/>
          <w:sz w:val="22"/>
        </w:rPr>
        <w:t>ce</w:t>
      </w:r>
      <w:r w:rsidRPr="00951245">
        <w:rPr>
          <w:rFonts w:ascii="Arial" w:hAnsi="Arial" w:cs="Arial"/>
          <w:sz w:val="22"/>
        </w:rPr>
        <w:t xml:space="preserve"> 5213 – </w:t>
      </w:r>
      <w:r w:rsidRPr="00951245">
        <w:rPr>
          <w:rFonts w:ascii="Arial" w:hAnsi="Arial" w:cs="Arial"/>
          <w:i/>
          <w:sz w:val="22"/>
        </w:rPr>
        <w:t>Neinvestiční transfery nefinančním podnikatelským subjektům – právnickým osobám</w:t>
      </w:r>
      <w:r w:rsidRPr="00951245">
        <w:rPr>
          <w:rFonts w:ascii="Arial" w:hAnsi="Arial" w:cs="Arial"/>
          <w:sz w:val="22"/>
        </w:rPr>
        <w:t>.</w:t>
      </w:r>
      <w:r w:rsidR="00CD3AA5">
        <w:rPr>
          <w:rFonts w:ascii="Arial" w:hAnsi="Arial" w:cs="Arial"/>
          <w:sz w:val="22"/>
        </w:rPr>
        <w:t xml:space="preserve"> </w:t>
      </w:r>
    </w:p>
    <w:p w:rsidR="004102EB" w:rsidRDefault="004102EB" w:rsidP="006377BD">
      <w:pPr>
        <w:rPr>
          <w:rFonts w:ascii="Arial" w:hAnsi="Arial" w:cs="Arial"/>
          <w:sz w:val="22"/>
        </w:rPr>
      </w:pPr>
    </w:p>
    <w:p w:rsidR="003308D9" w:rsidRDefault="00CD3AA5" w:rsidP="006377BD">
      <w:pPr>
        <w:rPr>
          <w:rFonts w:ascii="Arial" w:hAnsi="Arial" w:cs="Arial"/>
          <w:color w:val="000000"/>
          <w:sz w:val="22"/>
        </w:rPr>
      </w:pPr>
      <w:r w:rsidRPr="00951245">
        <w:rPr>
          <w:rFonts w:ascii="Arial" w:hAnsi="Arial" w:cs="Arial"/>
          <w:sz w:val="22"/>
        </w:rPr>
        <w:t xml:space="preserve">Pro daný případ je </w:t>
      </w:r>
      <w:r w:rsidR="002B2AD8">
        <w:rPr>
          <w:rFonts w:ascii="Arial" w:hAnsi="Arial" w:cs="Arial"/>
          <w:sz w:val="22"/>
        </w:rPr>
        <w:t xml:space="preserve">však </w:t>
      </w:r>
      <w:r w:rsidRPr="00951245">
        <w:rPr>
          <w:rFonts w:ascii="Arial" w:hAnsi="Arial" w:cs="Arial"/>
          <w:sz w:val="22"/>
        </w:rPr>
        <w:t xml:space="preserve">specificky a jednoznačně určena </w:t>
      </w:r>
      <w:r w:rsidR="001C311A">
        <w:rPr>
          <w:rFonts w:ascii="Arial" w:hAnsi="Arial" w:cs="Arial"/>
          <w:sz w:val="22"/>
        </w:rPr>
        <w:t xml:space="preserve">netransferová </w:t>
      </w:r>
      <w:r w:rsidRPr="00951245">
        <w:rPr>
          <w:rFonts w:ascii="Arial" w:hAnsi="Arial" w:cs="Arial"/>
          <w:sz w:val="22"/>
        </w:rPr>
        <w:t xml:space="preserve">položka </w:t>
      </w:r>
      <w:r w:rsidR="00A0157E">
        <w:rPr>
          <w:rFonts w:ascii="Arial" w:hAnsi="Arial" w:cs="Arial"/>
          <w:sz w:val="22"/>
        </w:rPr>
        <w:br/>
      </w:r>
      <w:r w:rsidRPr="00951245">
        <w:rPr>
          <w:rFonts w:ascii="Arial" w:hAnsi="Arial" w:cs="Arial"/>
          <w:sz w:val="22"/>
        </w:rPr>
        <w:t>5193</w:t>
      </w:r>
      <w:r>
        <w:rPr>
          <w:rFonts w:ascii="Arial" w:hAnsi="Arial" w:cs="Arial"/>
          <w:sz w:val="22"/>
        </w:rPr>
        <w:t xml:space="preserve"> </w:t>
      </w:r>
      <w:r w:rsidRPr="00951245">
        <w:rPr>
          <w:rFonts w:ascii="Arial" w:hAnsi="Arial" w:cs="Arial"/>
          <w:sz w:val="22"/>
        </w:rPr>
        <w:t xml:space="preserve">– </w:t>
      </w:r>
      <w:r w:rsidRPr="006377BD">
        <w:rPr>
          <w:rFonts w:ascii="Arial" w:hAnsi="Arial" w:cs="Arial"/>
          <w:i/>
          <w:sz w:val="22"/>
        </w:rPr>
        <w:t>V</w:t>
      </w:r>
      <w:r w:rsidRPr="00951245">
        <w:rPr>
          <w:rFonts w:ascii="Arial" w:hAnsi="Arial" w:cs="Arial"/>
          <w:i/>
          <w:sz w:val="22"/>
        </w:rPr>
        <w:t>ýdaje na dopravní územní obslužnost</w:t>
      </w:r>
      <w:r w:rsidR="003308D9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MD p</w:t>
      </w:r>
      <w:r w:rsidRPr="00951245">
        <w:rPr>
          <w:rFonts w:ascii="Arial" w:hAnsi="Arial" w:cs="Arial"/>
          <w:sz w:val="22"/>
        </w:rPr>
        <w:t xml:space="preserve">roto </w:t>
      </w:r>
      <w:r w:rsidR="001C311A">
        <w:rPr>
          <w:rFonts w:ascii="Arial" w:hAnsi="Arial" w:cs="Arial"/>
          <w:sz w:val="22"/>
        </w:rPr>
        <w:t>vykázalo výdaje</w:t>
      </w:r>
      <w:r w:rsidR="003308D9">
        <w:rPr>
          <w:rFonts w:ascii="Arial" w:hAnsi="Arial" w:cs="Arial"/>
          <w:sz w:val="22"/>
        </w:rPr>
        <w:t xml:space="preserve"> </w:t>
      </w:r>
      <w:r w:rsidR="001E4B97">
        <w:rPr>
          <w:rFonts w:ascii="Arial" w:hAnsi="Arial" w:cs="Arial"/>
          <w:sz w:val="22"/>
        </w:rPr>
        <w:t xml:space="preserve">ve výši 3,9 mld. Kč na </w:t>
      </w:r>
      <w:r w:rsidR="003308D9">
        <w:rPr>
          <w:rFonts w:ascii="Arial" w:hAnsi="Arial" w:cs="Arial"/>
          <w:sz w:val="22"/>
        </w:rPr>
        <w:t>polož</w:t>
      </w:r>
      <w:r w:rsidR="001E4B97">
        <w:rPr>
          <w:rFonts w:ascii="Arial" w:hAnsi="Arial" w:cs="Arial"/>
          <w:sz w:val="22"/>
        </w:rPr>
        <w:t>ce</w:t>
      </w:r>
      <w:r w:rsidR="003308D9">
        <w:rPr>
          <w:rFonts w:ascii="Arial" w:hAnsi="Arial" w:cs="Arial"/>
          <w:sz w:val="22"/>
        </w:rPr>
        <w:t xml:space="preserve"> 5213 nesprávně</w:t>
      </w:r>
      <w:r w:rsidRPr="00951245">
        <w:rPr>
          <w:rFonts w:ascii="Arial" w:hAnsi="Arial" w:cs="Arial"/>
          <w:sz w:val="22"/>
        </w:rPr>
        <w:t>.</w:t>
      </w:r>
      <w:r w:rsidR="003308D9">
        <w:rPr>
          <w:rFonts w:ascii="Arial" w:hAnsi="Arial" w:cs="Arial"/>
          <w:sz w:val="22"/>
        </w:rPr>
        <w:t xml:space="preserve"> </w:t>
      </w:r>
      <w:r w:rsidR="001E4B97">
        <w:rPr>
          <w:rFonts w:ascii="Arial" w:hAnsi="Arial" w:cs="Arial"/>
          <w:sz w:val="22"/>
        </w:rPr>
        <w:t xml:space="preserve">Podle </w:t>
      </w:r>
      <w:r w:rsidR="001E4B97" w:rsidRPr="001B6055">
        <w:rPr>
          <w:rFonts w:ascii="Arial" w:hAnsi="Arial" w:cs="Arial"/>
          <w:sz w:val="22"/>
        </w:rPr>
        <w:t>MD se</w:t>
      </w:r>
      <w:r w:rsidR="001E4B97">
        <w:rPr>
          <w:rFonts w:ascii="Arial" w:hAnsi="Arial" w:cs="Arial"/>
          <w:sz w:val="22"/>
        </w:rPr>
        <w:t xml:space="preserve"> však jedná o</w:t>
      </w:r>
      <w:r w:rsidR="001C311A">
        <w:rPr>
          <w:rFonts w:ascii="Arial" w:hAnsi="Arial" w:cs="Arial"/>
          <w:sz w:val="22"/>
        </w:rPr>
        <w:t xml:space="preserve"> výdaje transferové</w:t>
      </w:r>
      <w:r w:rsidR="001E4B97">
        <w:rPr>
          <w:rFonts w:ascii="Arial" w:hAnsi="Arial" w:cs="Arial"/>
          <w:sz w:val="22"/>
        </w:rPr>
        <w:t>,</w:t>
      </w:r>
      <w:r w:rsidR="001C311A">
        <w:rPr>
          <w:rFonts w:ascii="Arial" w:hAnsi="Arial" w:cs="Arial"/>
          <w:sz w:val="22"/>
        </w:rPr>
        <w:t xml:space="preserve"> zatřídění na netransferov</w:t>
      </w:r>
      <w:r w:rsidR="001E4B97">
        <w:rPr>
          <w:rFonts w:ascii="Arial" w:hAnsi="Arial" w:cs="Arial"/>
          <w:sz w:val="22"/>
        </w:rPr>
        <w:t>ý výdaj</w:t>
      </w:r>
      <w:r w:rsidR="001C311A">
        <w:rPr>
          <w:rFonts w:ascii="Arial" w:hAnsi="Arial" w:cs="Arial"/>
          <w:sz w:val="22"/>
        </w:rPr>
        <w:t xml:space="preserve"> považuje </w:t>
      </w:r>
      <w:r w:rsidR="001E4B97">
        <w:rPr>
          <w:rFonts w:ascii="Arial" w:hAnsi="Arial" w:cs="Arial"/>
          <w:sz w:val="22"/>
        </w:rPr>
        <w:t xml:space="preserve">MD </w:t>
      </w:r>
      <w:r w:rsidR="001C311A">
        <w:rPr>
          <w:rFonts w:ascii="Arial" w:hAnsi="Arial" w:cs="Arial"/>
          <w:sz w:val="22"/>
        </w:rPr>
        <w:t xml:space="preserve">za nesystémové a </w:t>
      </w:r>
      <w:r w:rsidR="001E4B97">
        <w:rPr>
          <w:rFonts w:ascii="Arial" w:hAnsi="Arial" w:cs="Arial"/>
          <w:sz w:val="22"/>
        </w:rPr>
        <w:t xml:space="preserve">považuje jej </w:t>
      </w:r>
      <w:r w:rsidR="001C311A">
        <w:rPr>
          <w:rFonts w:ascii="Arial" w:hAnsi="Arial" w:cs="Arial"/>
          <w:sz w:val="22"/>
        </w:rPr>
        <w:t xml:space="preserve">za problém </w:t>
      </w:r>
      <w:r w:rsidR="003308D9" w:rsidRPr="008F4050">
        <w:rPr>
          <w:rFonts w:ascii="Arial" w:hAnsi="Arial" w:cs="Arial"/>
          <w:color w:val="000000"/>
          <w:sz w:val="22"/>
        </w:rPr>
        <w:t>v zatřídění tohoto druhu výdaje ve vyhlášce č. 323/2002 Sb.</w:t>
      </w:r>
    </w:p>
    <w:p w:rsidR="00BD1316" w:rsidRDefault="00BD1316" w:rsidP="006377BD">
      <w:pPr>
        <w:rPr>
          <w:rFonts w:ascii="Arial" w:hAnsi="Arial" w:cs="Arial"/>
          <w:b/>
          <w:i/>
          <w:color w:val="000000"/>
          <w:sz w:val="22"/>
        </w:rPr>
      </w:pPr>
    </w:p>
    <w:p w:rsidR="001E4B97" w:rsidRPr="00D16CE6" w:rsidRDefault="001E4B97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color w:val="000000"/>
          <w:sz w:val="22"/>
        </w:rPr>
        <w:t xml:space="preserve">Kompenzace slev </w:t>
      </w:r>
      <w:r w:rsidR="0044342E">
        <w:rPr>
          <w:rFonts w:ascii="Arial" w:hAnsi="Arial" w:cs="Arial"/>
          <w:b/>
          <w:i/>
          <w:color w:val="000000"/>
          <w:sz w:val="22"/>
        </w:rPr>
        <w:t>v </w:t>
      </w:r>
      <w:r w:rsidRPr="00D16CE6">
        <w:rPr>
          <w:rFonts w:ascii="Arial" w:hAnsi="Arial" w:cs="Arial"/>
          <w:b/>
          <w:i/>
          <w:color w:val="000000"/>
          <w:sz w:val="22"/>
        </w:rPr>
        <w:t>dopravě</w:t>
      </w:r>
    </w:p>
    <w:p w:rsidR="001E4B97" w:rsidRPr="00951245" w:rsidRDefault="001E4B97" w:rsidP="006377BD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MD</w:t>
      </w:r>
      <w:r w:rsidRPr="00951245">
        <w:rPr>
          <w:rFonts w:ascii="Arial" w:hAnsi="Arial" w:cs="Arial"/>
          <w:bCs/>
          <w:sz w:val="22"/>
        </w:rPr>
        <w:t xml:space="preserve"> </w:t>
      </w:r>
      <w:r w:rsidR="0002212B">
        <w:rPr>
          <w:rFonts w:ascii="Arial" w:hAnsi="Arial" w:cs="Arial"/>
          <w:bCs/>
          <w:sz w:val="22"/>
        </w:rPr>
        <w:t xml:space="preserve">v souladu s uzavřenou smlouvou </w:t>
      </w:r>
      <w:r w:rsidRPr="00951245">
        <w:rPr>
          <w:rFonts w:ascii="Arial" w:hAnsi="Arial" w:cs="Arial"/>
          <w:bCs/>
          <w:sz w:val="22"/>
        </w:rPr>
        <w:t>kompenzovalo v roce 2013 dopravcům ztrátu způsobenou státem nařízenými slevami jízdného pro vymezené skupiny cestujících</w:t>
      </w:r>
      <w:r>
        <w:rPr>
          <w:rFonts w:ascii="Arial" w:hAnsi="Arial" w:cs="Arial"/>
          <w:bCs/>
          <w:sz w:val="22"/>
        </w:rPr>
        <w:t xml:space="preserve"> a tyto výdaje zatřiďovalo na položku </w:t>
      </w:r>
      <w:r w:rsidRPr="001E4B97">
        <w:rPr>
          <w:rFonts w:ascii="Arial" w:hAnsi="Arial" w:cs="Arial"/>
          <w:sz w:val="22"/>
        </w:rPr>
        <w:t xml:space="preserve">5192 – </w:t>
      </w:r>
      <w:r w:rsidRPr="001E4B97">
        <w:rPr>
          <w:rFonts w:ascii="Arial" w:hAnsi="Arial" w:cs="Arial"/>
          <w:i/>
          <w:sz w:val="22"/>
        </w:rPr>
        <w:t>Poskytnuté neinvestiční příspěvky</w:t>
      </w:r>
      <w:r w:rsidRPr="001E4B97">
        <w:rPr>
          <w:rFonts w:ascii="Arial" w:hAnsi="Arial" w:cs="Arial"/>
          <w:sz w:val="22"/>
        </w:rPr>
        <w:t xml:space="preserve"> </w:t>
      </w:r>
      <w:r w:rsidRPr="001E4B97">
        <w:rPr>
          <w:rFonts w:ascii="Arial" w:hAnsi="Arial" w:cs="Arial"/>
          <w:i/>
          <w:sz w:val="22"/>
        </w:rPr>
        <w:t>a náhrady (část)</w:t>
      </w:r>
      <w:r w:rsidRPr="006377BD">
        <w:rPr>
          <w:rFonts w:ascii="Arial" w:hAnsi="Arial" w:cs="Arial"/>
          <w:sz w:val="22"/>
        </w:rPr>
        <w:t>.</w:t>
      </w:r>
      <w:r w:rsidR="00684226">
        <w:rPr>
          <w:rFonts w:ascii="Arial" w:hAnsi="Arial" w:cs="Arial"/>
          <w:sz w:val="22"/>
        </w:rPr>
        <w:t xml:space="preserve"> </w:t>
      </w:r>
      <w:r w:rsidR="0002212B">
        <w:rPr>
          <w:rFonts w:ascii="Arial" w:hAnsi="Arial" w:cs="Arial"/>
          <w:sz w:val="22"/>
        </w:rPr>
        <w:t xml:space="preserve">Kompenzace byly prováděny </w:t>
      </w:r>
      <w:r w:rsidR="0002212B" w:rsidRPr="00951245">
        <w:rPr>
          <w:rFonts w:ascii="Arial" w:hAnsi="Arial" w:cs="Arial"/>
          <w:sz w:val="22"/>
        </w:rPr>
        <w:t xml:space="preserve">na základě článku 3 odst. 2 </w:t>
      </w:r>
      <w:r w:rsidR="00684226">
        <w:rPr>
          <w:rFonts w:ascii="Arial" w:hAnsi="Arial" w:cs="Arial"/>
          <w:sz w:val="22"/>
        </w:rPr>
        <w:t>n</w:t>
      </w:r>
      <w:r w:rsidR="002F59FA">
        <w:rPr>
          <w:rFonts w:ascii="Arial" w:hAnsi="Arial" w:cs="Arial"/>
          <w:sz w:val="22"/>
        </w:rPr>
        <w:t>ařízení Evropského parlamentu a </w:t>
      </w:r>
      <w:r w:rsidR="00323AFE" w:rsidRPr="00951245">
        <w:rPr>
          <w:rFonts w:ascii="Arial" w:hAnsi="Arial" w:cs="Arial"/>
          <w:sz w:val="22"/>
        </w:rPr>
        <w:t>Rady (ES</w:t>
      </w:r>
      <w:r w:rsidR="00323AFE">
        <w:rPr>
          <w:rFonts w:ascii="Arial" w:hAnsi="Arial" w:cs="Arial"/>
          <w:sz w:val="22"/>
        </w:rPr>
        <w:t>)</w:t>
      </w:r>
      <w:r w:rsidR="00323AFE" w:rsidRPr="00951245">
        <w:rPr>
          <w:rFonts w:ascii="Arial" w:hAnsi="Arial" w:cs="Arial"/>
          <w:sz w:val="22"/>
        </w:rPr>
        <w:t xml:space="preserve"> </w:t>
      </w:r>
      <w:r w:rsidR="0002212B" w:rsidRPr="00951245">
        <w:rPr>
          <w:rFonts w:ascii="Arial" w:hAnsi="Arial" w:cs="Arial"/>
          <w:sz w:val="22"/>
        </w:rPr>
        <w:t>č. 1370/2007</w:t>
      </w:r>
      <w:r w:rsidR="00323AFE" w:rsidRPr="00951245">
        <w:rPr>
          <w:rFonts w:ascii="Arial" w:hAnsi="Arial" w:cs="Arial"/>
          <w:sz w:val="22"/>
        </w:rPr>
        <w:t xml:space="preserve"> ze dne 23. října 2007</w:t>
      </w:r>
      <w:r w:rsidR="00684226">
        <w:rPr>
          <w:rFonts w:ascii="Arial" w:hAnsi="Arial" w:cs="Arial"/>
          <w:sz w:val="22"/>
        </w:rPr>
        <w:t>,</w:t>
      </w:r>
      <w:r w:rsidR="00323AFE" w:rsidRPr="00951245">
        <w:rPr>
          <w:rFonts w:ascii="Arial" w:hAnsi="Arial" w:cs="Arial"/>
          <w:sz w:val="22"/>
        </w:rPr>
        <w:t xml:space="preserve"> </w:t>
      </w:r>
      <w:r w:rsidR="00323AFE" w:rsidRPr="006377BD">
        <w:rPr>
          <w:rFonts w:ascii="Arial" w:hAnsi="Arial" w:cs="Arial"/>
          <w:i/>
          <w:sz w:val="22"/>
        </w:rPr>
        <w:t xml:space="preserve">o veřejných službách </w:t>
      </w:r>
      <w:r w:rsidR="0044342E" w:rsidRPr="006377BD">
        <w:rPr>
          <w:rFonts w:ascii="Arial" w:hAnsi="Arial" w:cs="Arial"/>
          <w:i/>
          <w:sz w:val="22"/>
        </w:rPr>
        <w:t>v </w:t>
      </w:r>
      <w:r w:rsidR="00323AFE" w:rsidRPr="006377BD">
        <w:rPr>
          <w:rFonts w:ascii="Arial" w:hAnsi="Arial" w:cs="Arial"/>
          <w:i/>
          <w:sz w:val="22"/>
        </w:rPr>
        <w:t>přepravě cestujících po železnici a silnici a o zrušení nařízení Rady (EHS) č. 1191/69 a č. 1107/70</w:t>
      </w:r>
      <w:r w:rsidR="002B2AD8">
        <w:rPr>
          <w:rFonts w:ascii="Arial" w:hAnsi="Arial" w:cs="Arial"/>
          <w:sz w:val="22"/>
        </w:rPr>
        <w:t>. P</w:t>
      </w:r>
      <w:r w:rsidR="00323AFE">
        <w:rPr>
          <w:rFonts w:ascii="Arial" w:hAnsi="Arial" w:cs="Arial"/>
          <w:sz w:val="22"/>
        </w:rPr>
        <w:t xml:space="preserve">ro tyto typy výdajů </w:t>
      </w:r>
      <w:r w:rsidRPr="00951245">
        <w:rPr>
          <w:rFonts w:ascii="Arial" w:hAnsi="Arial" w:cs="Arial"/>
          <w:sz w:val="22"/>
        </w:rPr>
        <w:t xml:space="preserve">je </w:t>
      </w:r>
      <w:r w:rsidR="002B2AD8">
        <w:rPr>
          <w:rFonts w:ascii="Arial" w:hAnsi="Arial" w:cs="Arial"/>
          <w:sz w:val="22"/>
        </w:rPr>
        <w:t xml:space="preserve">však </w:t>
      </w:r>
      <w:r w:rsidR="00323AFE">
        <w:rPr>
          <w:rFonts w:ascii="Arial" w:hAnsi="Arial" w:cs="Arial"/>
          <w:sz w:val="22"/>
        </w:rPr>
        <w:t>s</w:t>
      </w:r>
      <w:r w:rsidRPr="00951245">
        <w:rPr>
          <w:rFonts w:ascii="Arial" w:hAnsi="Arial" w:cs="Arial"/>
          <w:sz w:val="22"/>
        </w:rPr>
        <w:t xml:space="preserve">pecificky určena </w:t>
      </w:r>
      <w:r>
        <w:rPr>
          <w:rFonts w:ascii="Arial" w:hAnsi="Arial" w:cs="Arial"/>
          <w:sz w:val="22"/>
        </w:rPr>
        <w:t>p</w:t>
      </w:r>
      <w:r w:rsidRPr="00951245">
        <w:rPr>
          <w:rFonts w:ascii="Arial" w:hAnsi="Arial" w:cs="Arial"/>
          <w:sz w:val="22"/>
        </w:rPr>
        <w:t>oložka 5193</w:t>
      </w:r>
      <w:r>
        <w:rPr>
          <w:rFonts w:ascii="Arial" w:hAnsi="Arial" w:cs="Arial"/>
          <w:sz w:val="22"/>
        </w:rPr>
        <w:t xml:space="preserve"> </w:t>
      </w:r>
      <w:r w:rsidRPr="00951245">
        <w:rPr>
          <w:rFonts w:ascii="Arial" w:hAnsi="Arial" w:cs="Arial"/>
          <w:sz w:val="22"/>
        </w:rPr>
        <w:t xml:space="preserve">– </w:t>
      </w:r>
      <w:r w:rsidRPr="006377BD">
        <w:rPr>
          <w:rFonts w:ascii="Arial" w:hAnsi="Arial" w:cs="Arial"/>
          <w:i/>
          <w:sz w:val="22"/>
        </w:rPr>
        <w:t>V</w:t>
      </w:r>
      <w:r w:rsidRPr="00951245">
        <w:rPr>
          <w:rFonts w:ascii="Arial" w:hAnsi="Arial" w:cs="Arial"/>
          <w:i/>
          <w:sz w:val="22"/>
        </w:rPr>
        <w:t>ýdaje na dopravní územní obslužnost</w:t>
      </w:r>
      <w:r w:rsidR="00323AFE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MD </w:t>
      </w:r>
      <w:r w:rsidR="00684226">
        <w:rPr>
          <w:rFonts w:ascii="Arial" w:hAnsi="Arial" w:cs="Arial"/>
          <w:sz w:val="22"/>
        </w:rPr>
        <w:t>tedy</w:t>
      </w:r>
      <w:r w:rsidRPr="0095124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vykázalo výdaje ve výši </w:t>
      </w:r>
      <w:r w:rsidR="00323AFE">
        <w:rPr>
          <w:rFonts w:ascii="Arial" w:hAnsi="Arial" w:cs="Arial"/>
          <w:sz w:val="22"/>
        </w:rPr>
        <w:t xml:space="preserve">více než 6 mil. </w:t>
      </w:r>
      <w:r>
        <w:rPr>
          <w:rFonts w:ascii="Arial" w:hAnsi="Arial" w:cs="Arial"/>
          <w:sz w:val="22"/>
        </w:rPr>
        <w:t>Kč nesprávně</w:t>
      </w:r>
      <w:r w:rsidR="00323AFE">
        <w:rPr>
          <w:rFonts w:ascii="Arial" w:hAnsi="Arial" w:cs="Arial"/>
          <w:sz w:val="22"/>
        </w:rPr>
        <w:t xml:space="preserve"> na položce 5192.</w:t>
      </w:r>
    </w:p>
    <w:p w:rsidR="00BD1316" w:rsidRDefault="00BD1316" w:rsidP="006377BD">
      <w:pPr>
        <w:rPr>
          <w:rFonts w:ascii="Arial" w:hAnsi="Arial" w:cs="Arial"/>
          <w:b/>
          <w:i/>
          <w:color w:val="000000"/>
          <w:sz w:val="22"/>
        </w:rPr>
      </w:pPr>
    </w:p>
    <w:p w:rsidR="00323AFE" w:rsidRPr="00D16CE6" w:rsidRDefault="00323AFE" w:rsidP="00300D1C">
      <w:pPr>
        <w:spacing w:after="120"/>
        <w:rPr>
          <w:rFonts w:ascii="Arial" w:hAnsi="Arial" w:cs="Arial"/>
          <w:b/>
          <w:i/>
          <w:color w:val="000000"/>
          <w:sz w:val="22"/>
        </w:rPr>
      </w:pPr>
      <w:r w:rsidRPr="00D16CE6">
        <w:rPr>
          <w:rFonts w:ascii="Arial" w:hAnsi="Arial" w:cs="Arial"/>
          <w:b/>
          <w:i/>
          <w:color w:val="000000"/>
          <w:sz w:val="22"/>
        </w:rPr>
        <w:t>Zatřídění příjmů od Národního fondu</w:t>
      </w:r>
    </w:p>
    <w:p w:rsidR="00540DA5" w:rsidRPr="00951245" w:rsidRDefault="00323AFE" w:rsidP="006377BD">
      <w:pPr>
        <w:rPr>
          <w:rFonts w:ascii="Arial" w:hAnsi="Arial" w:cs="Arial"/>
          <w:b/>
          <w:bCs/>
          <w:iCs/>
        </w:rPr>
      </w:pPr>
      <w:r w:rsidRPr="00540DA5">
        <w:rPr>
          <w:rFonts w:ascii="Arial" w:hAnsi="Arial" w:cs="Arial"/>
          <w:bCs/>
          <w:iCs/>
          <w:sz w:val="22"/>
        </w:rPr>
        <w:t>MD přijaté refundace neinvestičních výdajů vynaložených na realizaci projektů OPD</w:t>
      </w:r>
      <w:r w:rsidR="00540DA5" w:rsidRPr="00540DA5">
        <w:rPr>
          <w:rFonts w:ascii="Arial" w:hAnsi="Arial" w:cs="Arial"/>
          <w:bCs/>
          <w:iCs/>
          <w:sz w:val="22"/>
        </w:rPr>
        <w:t xml:space="preserve"> zatřiďovalo </w:t>
      </w:r>
      <w:r w:rsidRPr="00540DA5">
        <w:rPr>
          <w:rFonts w:ascii="Arial" w:hAnsi="Arial" w:cs="Arial"/>
          <w:bCs/>
          <w:iCs/>
          <w:sz w:val="22"/>
        </w:rPr>
        <w:t>na položku rozpočtové skladby 4218</w:t>
      </w:r>
      <w:r w:rsidRPr="00540DA5">
        <w:rPr>
          <w:rFonts w:ascii="Arial" w:hAnsi="Arial" w:cs="Arial"/>
          <w:bCs/>
          <w:i/>
          <w:iCs/>
          <w:sz w:val="22"/>
        </w:rPr>
        <w:t xml:space="preserve"> – Investiční převody od Národního fondu</w:t>
      </w:r>
      <w:r w:rsidRPr="00540DA5">
        <w:rPr>
          <w:rFonts w:ascii="Arial" w:hAnsi="Arial" w:cs="Arial"/>
          <w:bCs/>
          <w:iCs/>
          <w:sz w:val="22"/>
        </w:rPr>
        <w:t xml:space="preserve">, přestože </w:t>
      </w:r>
      <w:r w:rsidR="00540DA5">
        <w:rPr>
          <w:rFonts w:ascii="Arial" w:hAnsi="Arial" w:cs="Arial"/>
          <w:bCs/>
          <w:iCs/>
          <w:sz w:val="22"/>
        </w:rPr>
        <w:t xml:space="preserve">se </w:t>
      </w:r>
      <w:r w:rsidRPr="00540DA5">
        <w:rPr>
          <w:rFonts w:ascii="Arial" w:hAnsi="Arial" w:cs="Arial"/>
          <w:bCs/>
          <w:iCs/>
          <w:sz w:val="22"/>
        </w:rPr>
        <w:t xml:space="preserve">svojí povahou </w:t>
      </w:r>
      <w:r w:rsidR="00540DA5">
        <w:rPr>
          <w:rFonts w:ascii="Arial" w:hAnsi="Arial" w:cs="Arial"/>
          <w:bCs/>
          <w:iCs/>
          <w:sz w:val="22"/>
        </w:rPr>
        <w:t xml:space="preserve">jednalo o neinvestiční příjmy, které měly být zatříděny </w:t>
      </w:r>
      <w:r w:rsidRPr="00540DA5">
        <w:rPr>
          <w:rFonts w:ascii="Arial" w:hAnsi="Arial" w:cs="Arial"/>
          <w:bCs/>
          <w:iCs/>
          <w:sz w:val="22"/>
        </w:rPr>
        <w:t>pod položku 4118</w:t>
      </w:r>
      <w:r w:rsidRPr="00540DA5">
        <w:rPr>
          <w:rFonts w:ascii="Arial" w:hAnsi="Arial" w:cs="Arial"/>
          <w:bCs/>
          <w:i/>
          <w:iCs/>
          <w:sz w:val="22"/>
        </w:rPr>
        <w:t xml:space="preserve"> – Neinvestiční převody od Národního fondu</w:t>
      </w:r>
      <w:r w:rsidR="00540DA5">
        <w:rPr>
          <w:rFonts w:ascii="Arial" w:hAnsi="Arial" w:cs="Arial"/>
          <w:bCs/>
          <w:i/>
          <w:iCs/>
          <w:sz w:val="22"/>
        </w:rPr>
        <w:t xml:space="preserve">. </w:t>
      </w:r>
      <w:r w:rsidR="00540DA5">
        <w:rPr>
          <w:rFonts w:ascii="Arial" w:hAnsi="Arial" w:cs="Arial"/>
          <w:bCs/>
          <w:iCs/>
          <w:sz w:val="22"/>
        </w:rPr>
        <w:t xml:space="preserve">MD tím nesprávně vykázalo příjmy ve výši </w:t>
      </w:r>
      <w:r w:rsidR="00684226">
        <w:rPr>
          <w:rFonts w:ascii="Arial" w:hAnsi="Arial" w:cs="Arial"/>
          <w:sz w:val="22"/>
        </w:rPr>
        <w:t xml:space="preserve">přesahující </w:t>
      </w:r>
      <w:r w:rsidR="00540DA5">
        <w:rPr>
          <w:rFonts w:ascii="Arial" w:hAnsi="Arial" w:cs="Arial"/>
          <w:bCs/>
          <w:iCs/>
          <w:sz w:val="22"/>
        </w:rPr>
        <w:t>9,7 mil. Kč</w:t>
      </w:r>
      <w:r w:rsidR="00684226">
        <w:rPr>
          <w:rFonts w:ascii="Arial" w:hAnsi="Arial" w:cs="Arial"/>
          <w:bCs/>
          <w:iCs/>
          <w:sz w:val="22"/>
        </w:rPr>
        <w:t>.</w:t>
      </w:r>
    </w:p>
    <w:p w:rsidR="00410CE0" w:rsidRDefault="00410CE0" w:rsidP="006377BD">
      <w:pPr>
        <w:pStyle w:val="Pa24"/>
        <w:ind w:left="440" w:hanging="440"/>
        <w:rPr>
          <w:b/>
          <w:bCs/>
          <w:color w:val="000000"/>
          <w:sz w:val="22"/>
          <w:szCs w:val="22"/>
        </w:rPr>
      </w:pPr>
    </w:p>
    <w:p w:rsidR="00540DA5" w:rsidRDefault="00540DA5" w:rsidP="006377BD">
      <w:pPr>
        <w:pStyle w:val="Pa24"/>
        <w:ind w:left="440" w:hanging="4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Závěrečný účet </w:t>
      </w:r>
    </w:p>
    <w:p w:rsidR="004102EB" w:rsidRDefault="004102EB" w:rsidP="006377BD">
      <w:pPr>
        <w:pStyle w:val="Bezmezer1"/>
        <w:spacing w:after="0"/>
        <w:ind w:firstLine="0"/>
      </w:pPr>
    </w:p>
    <w:p w:rsidR="00540DA5" w:rsidRPr="00951245" w:rsidRDefault="00540DA5" w:rsidP="006377BD">
      <w:pPr>
        <w:pStyle w:val="Bezmezer1"/>
        <w:spacing w:after="0"/>
        <w:ind w:firstLine="0"/>
        <w:rPr>
          <w:highlight w:val="yellow"/>
          <w:u w:val="single"/>
        </w:rPr>
      </w:pPr>
      <w:r w:rsidRPr="00951245">
        <w:t xml:space="preserve">Závěrečný účet </w:t>
      </w:r>
      <w:r>
        <w:t xml:space="preserve">kapitoly </w:t>
      </w:r>
      <w:r w:rsidRPr="00951245">
        <w:t xml:space="preserve">MD za rok 2013 </w:t>
      </w:r>
      <w:r w:rsidRPr="00540DA5">
        <w:t>byl zpracován v </w:t>
      </w:r>
      <w:r w:rsidR="00A0157E">
        <w:t>rozsahu stanoveném vyhláškou č. </w:t>
      </w:r>
      <w:r w:rsidRPr="00540DA5">
        <w:t>419/2001 Sb.</w:t>
      </w:r>
      <w:r w:rsidR="00684226">
        <w:t>,</w:t>
      </w:r>
      <w:r w:rsidRPr="00540DA5">
        <w:t xml:space="preserve"> o rozsahu, struktuře a</w:t>
      </w:r>
      <w:r w:rsidRPr="00951245">
        <w:t xml:space="preserve"> termínech údajů předkládaných pro vypracování návrhu státního závěrečného účtu a o rozsahu a termínech sestavení návrhů závěrečných účtů kapitol státního rozpočtu, a obsahoval průvodní zp</w:t>
      </w:r>
      <w:r w:rsidR="00A0157E">
        <w:t>rávu, povinné číselné sestavy a </w:t>
      </w:r>
      <w:r w:rsidRPr="00951245">
        <w:t>tabulkové přílohy.</w:t>
      </w:r>
    </w:p>
    <w:p w:rsidR="002B2AD8" w:rsidRDefault="002B2AD8" w:rsidP="006377BD">
      <w:pPr>
        <w:pStyle w:val="Pa24"/>
        <w:ind w:left="442" w:hanging="442"/>
        <w:rPr>
          <w:b/>
          <w:bCs/>
          <w:color w:val="000000"/>
          <w:sz w:val="22"/>
          <w:szCs w:val="22"/>
        </w:rPr>
      </w:pPr>
    </w:p>
    <w:p w:rsidR="00540DA5" w:rsidRDefault="00540DA5" w:rsidP="006377BD">
      <w:pPr>
        <w:pStyle w:val="Pa24"/>
        <w:ind w:left="440" w:hanging="4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Ostatní zjištění </w:t>
      </w:r>
    </w:p>
    <w:p w:rsidR="004102EB" w:rsidRDefault="004102EB" w:rsidP="006377BD">
      <w:pPr>
        <w:pStyle w:val="Default"/>
        <w:rPr>
          <w:rFonts w:ascii="Arial" w:hAnsi="Arial" w:cs="Arial"/>
          <w:b/>
          <w:i/>
          <w:sz w:val="22"/>
          <w:szCs w:val="22"/>
          <w:lang w:eastAsia="cs-CZ"/>
        </w:rPr>
      </w:pPr>
    </w:p>
    <w:p w:rsidR="0053203E" w:rsidRDefault="0053203E" w:rsidP="006377BD">
      <w:pPr>
        <w:pStyle w:val="Default"/>
        <w:rPr>
          <w:rFonts w:ascii="Arial" w:hAnsi="Arial" w:cs="Arial"/>
          <w:b/>
          <w:i/>
          <w:sz w:val="22"/>
          <w:szCs w:val="22"/>
          <w:lang w:eastAsia="cs-CZ"/>
        </w:rPr>
      </w:pPr>
      <w:r w:rsidRPr="00D16CE6">
        <w:rPr>
          <w:rFonts w:ascii="Arial" w:hAnsi="Arial" w:cs="Arial"/>
          <w:b/>
          <w:i/>
          <w:sz w:val="22"/>
          <w:szCs w:val="22"/>
          <w:lang w:eastAsia="cs-CZ"/>
        </w:rPr>
        <w:t xml:space="preserve">Poskytnutí </w:t>
      </w:r>
      <w:r w:rsidR="00B61BD7">
        <w:rPr>
          <w:rFonts w:ascii="Arial" w:hAnsi="Arial" w:cs="Arial"/>
          <w:b/>
          <w:i/>
          <w:sz w:val="22"/>
          <w:szCs w:val="22"/>
          <w:lang w:eastAsia="cs-CZ"/>
        </w:rPr>
        <w:t>dotace</w:t>
      </w:r>
      <w:r w:rsidR="00B61BD7" w:rsidRPr="00D16CE6">
        <w:rPr>
          <w:rFonts w:ascii="Arial" w:hAnsi="Arial" w:cs="Arial"/>
          <w:b/>
          <w:i/>
          <w:sz w:val="22"/>
          <w:szCs w:val="22"/>
          <w:lang w:eastAsia="cs-CZ"/>
        </w:rPr>
        <w:t xml:space="preserve"> </w:t>
      </w:r>
      <w:r w:rsidRPr="00D16CE6">
        <w:rPr>
          <w:rFonts w:ascii="Arial" w:hAnsi="Arial" w:cs="Arial"/>
          <w:b/>
          <w:i/>
          <w:sz w:val="22"/>
          <w:szCs w:val="22"/>
          <w:lang w:eastAsia="cs-CZ"/>
        </w:rPr>
        <w:t>S</w:t>
      </w:r>
      <w:r w:rsidR="00F66036" w:rsidRPr="00D16CE6">
        <w:rPr>
          <w:rFonts w:ascii="Arial" w:hAnsi="Arial" w:cs="Arial"/>
          <w:b/>
          <w:i/>
          <w:sz w:val="22"/>
          <w:szCs w:val="22"/>
          <w:lang w:eastAsia="cs-CZ"/>
        </w:rPr>
        <w:t>tátnímu fondu dopravní infrastruktury</w:t>
      </w:r>
      <w:r w:rsidR="00B61BD7">
        <w:rPr>
          <w:rFonts w:ascii="Arial" w:hAnsi="Arial" w:cs="Arial"/>
          <w:b/>
          <w:i/>
          <w:sz w:val="22"/>
          <w:szCs w:val="22"/>
          <w:lang w:eastAsia="cs-CZ"/>
        </w:rPr>
        <w:t xml:space="preserve"> </w:t>
      </w:r>
      <w:r w:rsidR="0044342E">
        <w:rPr>
          <w:rFonts w:ascii="Arial" w:hAnsi="Arial" w:cs="Arial"/>
          <w:b/>
          <w:i/>
          <w:sz w:val="22"/>
          <w:szCs w:val="22"/>
          <w:lang w:eastAsia="cs-CZ"/>
        </w:rPr>
        <w:t>s </w:t>
      </w:r>
      <w:r w:rsidR="00F026CF">
        <w:rPr>
          <w:rFonts w:ascii="Arial" w:hAnsi="Arial" w:cs="Arial"/>
          <w:b/>
          <w:i/>
          <w:sz w:val="22"/>
          <w:szCs w:val="22"/>
          <w:lang w:eastAsia="cs-CZ"/>
        </w:rPr>
        <w:t>odůvodněním</w:t>
      </w:r>
      <w:r w:rsidR="00B61BD7" w:rsidRPr="00B61BD7">
        <w:rPr>
          <w:rFonts w:ascii="Arial" w:hAnsi="Arial" w:cs="Arial"/>
          <w:b/>
          <w:i/>
          <w:sz w:val="22"/>
          <w:szCs w:val="22"/>
          <w:lang w:eastAsia="cs-CZ"/>
        </w:rPr>
        <w:t xml:space="preserve"> </w:t>
      </w:r>
      <w:r w:rsidR="00F026CF">
        <w:rPr>
          <w:rFonts w:ascii="Arial" w:hAnsi="Arial" w:cs="Arial"/>
          <w:b/>
          <w:i/>
          <w:sz w:val="22"/>
          <w:szCs w:val="22"/>
          <w:lang w:eastAsia="cs-CZ"/>
        </w:rPr>
        <w:t>„</w:t>
      </w:r>
      <w:r w:rsidR="00B61BD7" w:rsidRPr="00B61BD7">
        <w:rPr>
          <w:rFonts w:ascii="Arial" w:hAnsi="Arial" w:cs="Arial"/>
          <w:b/>
          <w:i/>
          <w:sz w:val="22"/>
          <w:szCs w:val="22"/>
          <w:lang w:eastAsia="cs-CZ"/>
        </w:rPr>
        <w:t>optimalizace finančních operací státního rozpočtu a řízení likvidity státu</w:t>
      </w:r>
      <w:r w:rsidR="00F026CF">
        <w:rPr>
          <w:rFonts w:ascii="Arial" w:hAnsi="Arial" w:cs="Arial"/>
          <w:b/>
          <w:i/>
          <w:sz w:val="22"/>
          <w:szCs w:val="22"/>
          <w:lang w:eastAsia="cs-CZ"/>
        </w:rPr>
        <w:t>“</w:t>
      </w:r>
    </w:p>
    <w:p w:rsidR="004102EB" w:rsidRPr="00D16CE6" w:rsidRDefault="004102EB" w:rsidP="006377BD">
      <w:pPr>
        <w:pStyle w:val="Default"/>
        <w:rPr>
          <w:rFonts w:ascii="Arial" w:hAnsi="Arial" w:cs="Arial"/>
          <w:b/>
          <w:i/>
          <w:sz w:val="22"/>
          <w:szCs w:val="22"/>
          <w:lang w:eastAsia="cs-CZ"/>
        </w:rPr>
      </w:pPr>
    </w:p>
    <w:p w:rsidR="00BE4CD2" w:rsidRDefault="00BE4CD2" w:rsidP="0063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MD d</w:t>
      </w:r>
      <w:r w:rsidRPr="00951245">
        <w:rPr>
          <w:rFonts w:ascii="Arial" w:hAnsi="Arial" w:cs="Arial"/>
          <w:sz w:val="22"/>
        </w:rPr>
        <w:t xml:space="preserve">ne 31. 12. 2012 </w:t>
      </w:r>
      <w:r w:rsidR="007A7CEC">
        <w:rPr>
          <w:rFonts w:ascii="Arial" w:hAnsi="Arial" w:cs="Arial"/>
          <w:sz w:val="22"/>
        </w:rPr>
        <w:t>převedlo</w:t>
      </w:r>
      <w:r w:rsidR="002B2AD8">
        <w:rPr>
          <w:rFonts w:ascii="Arial" w:hAnsi="Arial" w:cs="Arial"/>
          <w:sz w:val="22"/>
        </w:rPr>
        <w:t xml:space="preserve"> ze svého bankovního účtu</w:t>
      </w:r>
      <w:r w:rsidR="007A7CEC">
        <w:rPr>
          <w:rFonts w:ascii="Arial" w:hAnsi="Arial" w:cs="Arial"/>
          <w:sz w:val="22"/>
        </w:rPr>
        <w:t xml:space="preserve"> na</w:t>
      </w:r>
      <w:r>
        <w:rPr>
          <w:rFonts w:ascii="Arial" w:hAnsi="Arial" w:cs="Arial"/>
          <w:sz w:val="22"/>
        </w:rPr>
        <w:t xml:space="preserve"> Státní fond dopravní infrastruktury (dále </w:t>
      </w:r>
      <w:r w:rsidR="00891FCF">
        <w:rPr>
          <w:rFonts w:ascii="Arial" w:hAnsi="Arial" w:cs="Arial"/>
          <w:sz w:val="22"/>
        </w:rPr>
        <w:t xml:space="preserve">také </w:t>
      </w:r>
      <w:r>
        <w:rPr>
          <w:rFonts w:ascii="Arial" w:hAnsi="Arial" w:cs="Arial"/>
          <w:sz w:val="22"/>
        </w:rPr>
        <w:t xml:space="preserve">„SFDI“) dotaci </w:t>
      </w:r>
      <w:r w:rsidR="0044342E">
        <w:rPr>
          <w:rFonts w:ascii="Arial" w:hAnsi="Arial" w:cs="Arial"/>
          <w:sz w:val="22"/>
        </w:rPr>
        <w:t>z </w:t>
      </w:r>
      <w:r w:rsidR="00D04EC6">
        <w:rPr>
          <w:rFonts w:ascii="Arial" w:hAnsi="Arial" w:cs="Arial"/>
          <w:sz w:val="22"/>
        </w:rPr>
        <w:t xml:space="preserve">prostředků </w:t>
      </w:r>
      <w:r w:rsidR="00891FCF">
        <w:rPr>
          <w:rFonts w:ascii="Arial" w:hAnsi="Arial" w:cs="Arial"/>
          <w:sz w:val="22"/>
        </w:rPr>
        <w:t>o</w:t>
      </w:r>
      <w:r w:rsidR="00D04EC6">
        <w:rPr>
          <w:rFonts w:ascii="Arial" w:hAnsi="Arial" w:cs="Arial"/>
          <w:sz w:val="22"/>
        </w:rPr>
        <w:t xml:space="preserve">peračního programu </w:t>
      </w:r>
      <w:r w:rsidR="00891FCF" w:rsidRPr="006377BD">
        <w:rPr>
          <w:rFonts w:ascii="Arial" w:hAnsi="Arial" w:cs="Arial"/>
          <w:i/>
          <w:sz w:val="22"/>
        </w:rPr>
        <w:t>D</w:t>
      </w:r>
      <w:r w:rsidR="00D04EC6" w:rsidRPr="006377BD">
        <w:rPr>
          <w:rFonts w:ascii="Arial" w:hAnsi="Arial" w:cs="Arial"/>
          <w:i/>
          <w:sz w:val="22"/>
        </w:rPr>
        <w:t>oprava</w:t>
      </w:r>
      <w:r w:rsidR="00D04E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 výši 5</w:t>
      </w:r>
      <w:r w:rsidR="0004154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mld.</w:t>
      </w:r>
      <w:r w:rsidR="0004154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Kč</w:t>
      </w:r>
      <w:r w:rsidRPr="00951245">
        <w:rPr>
          <w:rFonts w:ascii="Arial" w:hAnsi="Arial" w:cs="Arial"/>
          <w:sz w:val="22"/>
        </w:rPr>
        <w:t xml:space="preserve">. SFDI tuto poskytnutou částku nevyužil a dne 13. 2. 2013 ji v rámci finančního vypořádání převedl </w:t>
      </w:r>
      <w:r>
        <w:rPr>
          <w:rFonts w:ascii="Arial" w:hAnsi="Arial" w:cs="Arial"/>
          <w:sz w:val="22"/>
        </w:rPr>
        <w:t xml:space="preserve">zpět </w:t>
      </w:r>
      <w:r w:rsidRPr="00951245">
        <w:rPr>
          <w:rFonts w:ascii="Arial" w:hAnsi="Arial" w:cs="Arial"/>
          <w:sz w:val="22"/>
        </w:rPr>
        <w:t>na depozitní účet MD.</w:t>
      </w:r>
    </w:p>
    <w:p w:rsidR="004102EB" w:rsidRPr="00951245" w:rsidRDefault="004102EB" w:rsidP="006377BD">
      <w:pPr>
        <w:rPr>
          <w:rFonts w:ascii="Arial" w:hAnsi="Arial" w:cs="Arial"/>
          <w:sz w:val="22"/>
        </w:rPr>
      </w:pPr>
    </w:p>
    <w:p w:rsidR="0053203E" w:rsidRDefault="0053203E" w:rsidP="006377BD">
      <w:pPr>
        <w:rPr>
          <w:rFonts w:ascii="Arial" w:hAnsi="Arial" w:cs="Arial"/>
          <w:sz w:val="22"/>
        </w:rPr>
      </w:pPr>
      <w:r w:rsidRPr="00951245">
        <w:rPr>
          <w:rFonts w:ascii="Arial" w:hAnsi="Arial" w:cs="Arial"/>
          <w:sz w:val="22"/>
        </w:rPr>
        <w:t>Poskytnutí uvedené tranše, včetně důvodu poskytnutí, komentovalo MD</w:t>
      </w:r>
      <w:r w:rsidR="002B2AD8">
        <w:rPr>
          <w:rFonts w:ascii="Arial" w:hAnsi="Arial" w:cs="Arial"/>
          <w:sz w:val="22"/>
        </w:rPr>
        <w:t xml:space="preserve"> </w:t>
      </w:r>
      <w:r w:rsidRPr="00951245">
        <w:rPr>
          <w:rFonts w:ascii="Arial" w:hAnsi="Arial" w:cs="Arial"/>
          <w:sz w:val="22"/>
        </w:rPr>
        <w:t xml:space="preserve">v závěrečném </w:t>
      </w:r>
      <w:r w:rsidR="00F66036">
        <w:rPr>
          <w:rFonts w:ascii="Arial" w:hAnsi="Arial" w:cs="Arial"/>
          <w:sz w:val="22"/>
        </w:rPr>
        <w:t xml:space="preserve">účtu </w:t>
      </w:r>
      <w:r w:rsidRPr="00951245">
        <w:rPr>
          <w:rFonts w:ascii="Arial" w:hAnsi="Arial" w:cs="Arial"/>
          <w:sz w:val="22"/>
        </w:rPr>
        <w:t xml:space="preserve">kapitoly </w:t>
      </w:r>
      <w:r w:rsidR="002B2AD8">
        <w:rPr>
          <w:rFonts w:ascii="Arial" w:hAnsi="Arial" w:cs="Arial"/>
          <w:sz w:val="22"/>
        </w:rPr>
        <w:t xml:space="preserve">MD </w:t>
      </w:r>
      <w:r w:rsidRPr="00951245">
        <w:rPr>
          <w:rFonts w:ascii="Arial" w:hAnsi="Arial" w:cs="Arial"/>
          <w:sz w:val="22"/>
        </w:rPr>
        <w:t>za rok 2012</w:t>
      </w:r>
      <w:r w:rsidR="00891FCF">
        <w:rPr>
          <w:rFonts w:ascii="Arial" w:hAnsi="Arial" w:cs="Arial"/>
          <w:sz w:val="22"/>
        </w:rPr>
        <w:t xml:space="preserve"> těmito slovy:</w:t>
      </w:r>
      <w:r w:rsidR="004102EB">
        <w:rPr>
          <w:rFonts w:ascii="Arial" w:hAnsi="Arial" w:cs="Arial"/>
          <w:sz w:val="22"/>
        </w:rPr>
        <w:t xml:space="preserve"> </w:t>
      </w:r>
      <w:r w:rsidRPr="006377BD">
        <w:rPr>
          <w:rFonts w:ascii="Arial" w:hAnsi="Arial" w:cs="Arial"/>
          <w:sz w:val="22"/>
        </w:rPr>
        <w:t>„</w:t>
      </w:r>
      <w:r w:rsidRPr="00BD1316">
        <w:rPr>
          <w:rFonts w:ascii="Arial" w:hAnsi="Arial" w:cs="Arial"/>
          <w:b/>
          <w:i/>
          <w:sz w:val="22"/>
        </w:rPr>
        <w:t>Z důvodu optimalizace finančních operací státního rozpočtu na rok 2012 a řízení likvidity státu byla na základě žádosti Ministerstva financí</w:t>
      </w:r>
      <w:r w:rsidRPr="00951245">
        <w:rPr>
          <w:rFonts w:ascii="Arial" w:hAnsi="Arial" w:cs="Arial"/>
          <w:i/>
          <w:sz w:val="22"/>
        </w:rPr>
        <w:t xml:space="preserve"> pod </w:t>
      </w:r>
      <w:proofErr w:type="gramStart"/>
      <w:r w:rsidRPr="00951245">
        <w:rPr>
          <w:rFonts w:ascii="Arial" w:hAnsi="Arial" w:cs="Arial"/>
          <w:i/>
          <w:sz w:val="22"/>
        </w:rPr>
        <w:t>č.j.</w:t>
      </w:r>
      <w:proofErr w:type="gramEnd"/>
      <w:r w:rsidRPr="00951245">
        <w:rPr>
          <w:rFonts w:ascii="Arial" w:hAnsi="Arial" w:cs="Arial"/>
          <w:i/>
          <w:sz w:val="22"/>
        </w:rPr>
        <w:t xml:space="preserve"> MF-122421/2012/19 ze dne 28.12.2012 </w:t>
      </w:r>
      <w:r w:rsidRPr="00BD1316">
        <w:rPr>
          <w:rFonts w:ascii="Arial" w:hAnsi="Arial" w:cs="Arial"/>
          <w:b/>
          <w:i/>
          <w:sz w:val="22"/>
        </w:rPr>
        <w:t>zaslána tranše ve výši 5 mld. Kč na Státní fond dopravní infrastruktury</w:t>
      </w:r>
      <w:r w:rsidRPr="00951245">
        <w:rPr>
          <w:rFonts w:ascii="Arial" w:hAnsi="Arial" w:cs="Arial"/>
          <w:i/>
          <w:sz w:val="22"/>
        </w:rPr>
        <w:t xml:space="preserve"> účelově určená na Operační program Doprava.</w:t>
      </w:r>
      <w:r w:rsidRPr="00951245">
        <w:rPr>
          <w:rFonts w:ascii="Arial" w:hAnsi="Arial" w:cs="Arial"/>
          <w:sz w:val="22"/>
        </w:rPr>
        <w:t>“</w:t>
      </w:r>
    </w:p>
    <w:p w:rsidR="004102EB" w:rsidRDefault="004102EB" w:rsidP="006377BD">
      <w:pPr>
        <w:rPr>
          <w:rFonts w:ascii="Arial" w:hAnsi="Arial" w:cs="Arial"/>
          <w:sz w:val="22"/>
        </w:rPr>
      </w:pPr>
    </w:p>
    <w:p w:rsidR="00BE4CD2" w:rsidRPr="00951245" w:rsidRDefault="00BE4CD2" w:rsidP="006377BD">
      <w:pPr>
        <w:rPr>
          <w:rFonts w:ascii="Arial" w:hAnsi="Arial" w:cs="Arial"/>
          <w:sz w:val="22"/>
        </w:rPr>
      </w:pPr>
      <w:r w:rsidRPr="00951245">
        <w:rPr>
          <w:rFonts w:ascii="Arial" w:hAnsi="Arial" w:cs="Arial"/>
          <w:sz w:val="22"/>
        </w:rPr>
        <w:lastRenderedPageBreak/>
        <w:t xml:space="preserve">Uvedenou tranši komentoval také SFDI ve své výroční zprávě za rok 2012 </w:t>
      </w:r>
      <w:r w:rsidR="00891FCF">
        <w:rPr>
          <w:rFonts w:ascii="Arial" w:hAnsi="Arial" w:cs="Arial"/>
          <w:sz w:val="22"/>
        </w:rPr>
        <w:t>(</w:t>
      </w:r>
      <w:r w:rsidRPr="00951245">
        <w:rPr>
          <w:rFonts w:ascii="Arial" w:hAnsi="Arial" w:cs="Arial"/>
          <w:sz w:val="22"/>
        </w:rPr>
        <w:t xml:space="preserve">zveřejněné na stránkách </w:t>
      </w:r>
      <w:r w:rsidR="00B1701A" w:rsidRPr="00A61BB3">
        <w:rPr>
          <w:rFonts w:ascii="Arial" w:hAnsi="Arial" w:cs="Arial"/>
          <w:sz w:val="22"/>
        </w:rPr>
        <w:t>www.sfdi.cz</w:t>
      </w:r>
      <w:r w:rsidR="00B1701A" w:rsidRPr="00A61BB3">
        <w:rPr>
          <w:rFonts w:ascii="Arial" w:hAnsi="Arial" w:cs="Arial"/>
          <w:sz w:val="22"/>
          <w:vertAlign w:val="superscript"/>
        </w:rPr>
        <w:footnoteReference w:id="4"/>
      </w:r>
      <w:r w:rsidR="00891FCF" w:rsidRPr="00A61BB3">
        <w:rPr>
          <w:rFonts w:ascii="Arial" w:hAnsi="Arial" w:cs="Arial"/>
          <w:sz w:val="22"/>
        </w:rPr>
        <w:t>)</w:t>
      </w:r>
      <w:r w:rsidRPr="00951245">
        <w:rPr>
          <w:rFonts w:ascii="Arial" w:hAnsi="Arial" w:cs="Arial"/>
          <w:sz w:val="22"/>
        </w:rPr>
        <w:t>:</w:t>
      </w:r>
      <w:r w:rsidR="004102EB">
        <w:rPr>
          <w:rFonts w:ascii="Arial" w:hAnsi="Arial" w:cs="Arial"/>
          <w:sz w:val="22"/>
        </w:rPr>
        <w:t xml:space="preserve"> </w:t>
      </w:r>
      <w:r w:rsidRPr="006377BD">
        <w:rPr>
          <w:rFonts w:ascii="Arial" w:hAnsi="Arial" w:cs="Arial"/>
          <w:sz w:val="22"/>
          <w:lang w:eastAsia="cs-CZ"/>
        </w:rPr>
        <w:t>„</w:t>
      </w:r>
      <w:r w:rsidR="00891FCF">
        <w:rPr>
          <w:rFonts w:ascii="Arial" w:hAnsi="Arial" w:cs="Arial"/>
          <w:i/>
          <w:sz w:val="22"/>
          <w:lang w:eastAsia="cs-CZ"/>
        </w:rPr>
        <w:t>…</w:t>
      </w:r>
      <w:r w:rsidRPr="006377BD">
        <w:rPr>
          <w:rFonts w:ascii="Arial" w:hAnsi="Arial" w:cs="Arial"/>
          <w:i/>
          <w:sz w:val="22"/>
          <w:lang w:eastAsia="cs-CZ"/>
        </w:rPr>
        <w:t xml:space="preserve"> </w:t>
      </w:r>
      <w:r w:rsidRPr="00BD1316">
        <w:rPr>
          <w:rFonts w:ascii="Arial" w:hAnsi="Arial" w:cs="Arial"/>
          <w:b/>
          <w:i/>
          <w:sz w:val="22"/>
          <w:lang w:eastAsia="cs-CZ"/>
        </w:rPr>
        <w:t xml:space="preserve">Ke konci roku byly na účet SFDI v souladu </w:t>
      </w:r>
      <w:r w:rsidR="0044342E">
        <w:rPr>
          <w:rFonts w:ascii="Arial" w:hAnsi="Arial" w:cs="Arial"/>
          <w:b/>
          <w:i/>
          <w:sz w:val="22"/>
          <w:lang w:eastAsia="cs-CZ"/>
        </w:rPr>
        <w:t>s </w:t>
      </w:r>
      <w:r w:rsidRPr="00BD1316">
        <w:rPr>
          <w:rFonts w:ascii="Arial" w:hAnsi="Arial" w:cs="Arial"/>
          <w:b/>
          <w:i/>
          <w:sz w:val="22"/>
          <w:lang w:eastAsia="cs-CZ"/>
        </w:rPr>
        <w:t xml:space="preserve">pokynem Ministerstva financí převedeny prostředky OPD ve výši 5 mld. Kč. Tyto prostředky budou předmětem zúčtování dotací ze státního rozpočtu </w:t>
      </w:r>
      <w:r w:rsidRPr="00951245">
        <w:rPr>
          <w:rFonts w:ascii="Arial" w:hAnsi="Arial" w:cs="Arial"/>
          <w:i/>
          <w:sz w:val="22"/>
          <w:lang w:eastAsia="cs-CZ"/>
        </w:rPr>
        <w:t xml:space="preserve">podle vyhlášky č. 52/2008 Sb., </w:t>
      </w:r>
      <w:r w:rsidR="0044342E">
        <w:rPr>
          <w:rFonts w:ascii="Arial" w:hAnsi="Arial" w:cs="Arial"/>
          <w:i/>
          <w:sz w:val="22"/>
          <w:lang w:eastAsia="cs-CZ"/>
        </w:rPr>
        <w:t>v </w:t>
      </w:r>
      <w:r w:rsidRPr="00951245">
        <w:rPr>
          <w:rFonts w:ascii="Arial" w:hAnsi="Arial" w:cs="Arial"/>
          <w:i/>
          <w:sz w:val="22"/>
          <w:lang w:eastAsia="cs-CZ"/>
        </w:rPr>
        <w:t>platném znění.</w:t>
      </w:r>
      <w:r w:rsidRPr="00951245">
        <w:rPr>
          <w:rFonts w:ascii="Arial" w:hAnsi="Arial" w:cs="Arial"/>
          <w:sz w:val="22"/>
          <w:lang w:eastAsia="cs-CZ"/>
        </w:rPr>
        <w:t>“</w:t>
      </w:r>
    </w:p>
    <w:p w:rsidR="004102EB" w:rsidRDefault="004102EB" w:rsidP="00A61BB3">
      <w:pPr>
        <w:rPr>
          <w:rFonts w:ascii="Arial" w:hAnsi="Arial" w:cs="Arial"/>
          <w:sz w:val="22"/>
        </w:rPr>
      </w:pPr>
    </w:p>
    <w:p w:rsidR="007A7CEC" w:rsidRDefault="00D04EC6" w:rsidP="00866E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Praxe při poskytování prostředků OPD byla taková, že </w:t>
      </w:r>
      <w:r w:rsidRPr="00951245">
        <w:rPr>
          <w:rFonts w:ascii="Arial" w:hAnsi="Arial" w:cs="Arial"/>
          <w:sz w:val="22"/>
        </w:rPr>
        <w:t xml:space="preserve">prostředky, které SFDI od MD </w:t>
      </w:r>
      <w:r w:rsidR="00B34BF2">
        <w:rPr>
          <w:rFonts w:ascii="Arial" w:hAnsi="Arial" w:cs="Arial"/>
          <w:sz w:val="22"/>
        </w:rPr>
        <w:t xml:space="preserve">přijímal </w:t>
      </w:r>
      <w:r w:rsidRPr="00951245">
        <w:rPr>
          <w:rFonts w:ascii="Arial" w:hAnsi="Arial" w:cs="Arial"/>
          <w:sz w:val="22"/>
        </w:rPr>
        <w:t>formou dotac</w:t>
      </w:r>
      <w:r w:rsidR="00B34BF2">
        <w:rPr>
          <w:rFonts w:ascii="Arial" w:hAnsi="Arial" w:cs="Arial"/>
          <w:sz w:val="22"/>
        </w:rPr>
        <w:t>í</w:t>
      </w:r>
      <w:r w:rsidRPr="00951245">
        <w:rPr>
          <w:rFonts w:ascii="Arial" w:hAnsi="Arial" w:cs="Arial"/>
          <w:sz w:val="22"/>
        </w:rPr>
        <w:t xml:space="preserve"> a v roce 2012 na stanovený účel neposkyt</w:t>
      </w:r>
      <w:r w:rsidR="00891FCF">
        <w:rPr>
          <w:rFonts w:ascii="Arial" w:hAnsi="Arial" w:cs="Arial"/>
          <w:sz w:val="22"/>
        </w:rPr>
        <w:t>l</w:t>
      </w:r>
      <w:r w:rsidRPr="00951245">
        <w:rPr>
          <w:rFonts w:ascii="Arial" w:hAnsi="Arial" w:cs="Arial"/>
          <w:sz w:val="22"/>
        </w:rPr>
        <w:t xml:space="preserve"> konečnému příjemci, a dále prostředky</w:t>
      </w:r>
      <w:r w:rsidR="00891FCF">
        <w:rPr>
          <w:rFonts w:ascii="Arial" w:hAnsi="Arial" w:cs="Arial"/>
          <w:sz w:val="22"/>
        </w:rPr>
        <w:t>, které nebyly vyčerpány</w:t>
      </w:r>
      <w:r w:rsidRPr="00951245">
        <w:rPr>
          <w:rFonts w:ascii="Arial" w:hAnsi="Arial" w:cs="Arial"/>
          <w:sz w:val="22"/>
        </w:rPr>
        <w:t xml:space="preserve"> konečnými příjemci, vrát</w:t>
      </w:r>
      <w:r w:rsidR="00891FCF">
        <w:rPr>
          <w:rFonts w:ascii="Arial" w:hAnsi="Arial" w:cs="Arial"/>
          <w:sz w:val="22"/>
        </w:rPr>
        <w:t>il</w:t>
      </w:r>
      <w:r w:rsidRPr="00951245">
        <w:rPr>
          <w:rFonts w:ascii="Arial" w:hAnsi="Arial" w:cs="Arial"/>
          <w:sz w:val="22"/>
        </w:rPr>
        <w:t xml:space="preserve"> SFDI Ministerstvu dopravy nejpozději do 20. 12. 2012.</w:t>
      </w:r>
      <w:r w:rsidR="007A7CEC">
        <w:rPr>
          <w:rFonts w:ascii="Arial" w:hAnsi="Arial" w:cs="Arial"/>
          <w:sz w:val="22"/>
        </w:rPr>
        <w:t xml:space="preserve"> </w:t>
      </w:r>
      <w:r w:rsidR="007A7CEC" w:rsidRPr="00BD1316">
        <w:rPr>
          <w:rFonts w:ascii="Arial" w:hAnsi="Arial" w:cs="Arial"/>
          <w:b/>
          <w:sz w:val="22"/>
        </w:rPr>
        <w:t xml:space="preserve">V tomto případě </w:t>
      </w:r>
      <w:r w:rsidR="003F3148" w:rsidRPr="00BD1316">
        <w:rPr>
          <w:rFonts w:ascii="Arial" w:hAnsi="Arial" w:cs="Arial"/>
          <w:b/>
          <w:sz w:val="22"/>
        </w:rPr>
        <w:t xml:space="preserve">však </w:t>
      </w:r>
      <w:r w:rsidR="007A7CEC" w:rsidRPr="00BD1316">
        <w:rPr>
          <w:rFonts w:ascii="Arial" w:hAnsi="Arial" w:cs="Arial"/>
          <w:b/>
          <w:sz w:val="22"/>
        </w:rPr>
        <w:t>došlo na základě výzvy Ministerstva financí</w:t>
      </w:r>
      <w:r w:rsidR="007A7CEC">
        <w:rPr>
          <w:rFonts w:ascii="Arial" w:hAnsi="Arial" w:cs="Arial"/>
          <w:sz w:val="22"/>
        </w:rPr>
        <w:t xml:space="preserve"> </w:t>
      </w:r>
      <w:r w:rsidR="00A0157E" w:rsidRPr="00BD1316">
        <w:rPr>
          <w:rFonts w:ascii="Arial" w:hAnsi="Arial" w:cs="Arial"/>
          <w:b/>
          <w:sz w:val="22"/>
        </w:rPr>
        <w:t>z 28. 12. </w:t>
      </w:r>
      <w:r w:rsidR="00546362" w:rsidRPr="00BD1316">
        <w:rPr>
          <w:rFonts w:ascii="Arial" w:hAnsi="Arial" w:cs="Arial"/>
          <w:b/>
          <w:sz w:val="22"/>
        </w:rPr>
        <w:t xml:space="preserve">2012 </w:t>
      </w:r>
      <w:r w:rsidR="00FE0BB0" w:rsidRPr="00BD1316">
        <w:rPr>
          <w:rFonts w:ascii="Arial" w:hAnsi="Arial" w:cs="Arial"/>
          <w:b/>
          <w:sz w:val="22"/>
        </w:rPr>
        <w:t>k</w:t>
      </w:r>
      <w:r w:rsidR="00A0157E" w:rsidRPr="00BD1316">
        <w:rPr>
          <w:rFonts w:ascii="Arial" w:hAnsi="Arial" w:cs="Arial"/>
          <w:b/>
          <w:sz w:val="22"/>
        </w:rPr>
        <w:t> </w:t>
      </w:r>
      <w:r w:rsidR="007A7CEC" w:rsidRPr="00BD1316">
        <w:rPr>
          <w:rFonts w:ascii="Arial" w:hAnsi="Arial" w:cs="Arial"/>
          <w:b/>
          <w:sz w:val="22"/>
        </w:rPr>
        <w:t>operaci, kdy</w:t>
      </w:r>
      <w:r w:rsidR="007A7CEC" w:rsidRPr="006377BD">
        <w:rPr>
          <w:rFonts w:ascii="Arial" w:hAnsi="Arial" w:cs="Arial"/>
          <w:b/>
          <w:sz w:val="22"/>
        </w:rPr>
        <w:t>:</w:t>
      </w:r>
    </w:p>
    <w:p w:rsidR="00546362" w:rsidRPr="00F77C71" w:rsidRDefault="00F026CF" w:rsidP="006377BD">
      <w:pPr>
        <w:numPr>
          <w:ilvl w:val="0"/>
          <w:numId w:val="22"/>
        </w:numPr>
        <w:ind w:left="567" w:hanging="283"/>
        <w:rPr>
          <w:rFonts w:ascii="Arial" w:hAnsi="Arial" w:cs="Arial"/>
          <w:bCs/>
          <w:iCs/>
          <w:sz w:val="22"/>
        </w:rPr>
      </w:pPr>
      <w:r w:rsidRPr="00BD1316">
        <w:rPr>
          <w:rFonts w:ascii="Arial" w:hAnsi="Arial" w:cs="Arial"/>
          <w:b/>
          <w:bCs/>
          <w:iCs/>
          <w:sz w:val="22"/>
        </w:rPr>
        <w:t xml:space="preserve">ve stejný den, tj. </w:t>
      </w:r>
      <w:r w:rsidR="00546362" w:rsidRPr="00BD1316">
        <w:rPr>
          <w:rFonts w:ascii="Arial" w:hAnsi="Arial" w:cs="Arial"/>
          <w:b/>
          <w:bCs/>
          <w:iCs/>
          <w:sz w:val="22"/>
        </w:rPr>
        <w:t>28. 12. 2012</w:t>
      </w:r>
      <w:r w:rsidRPr="00BD1316">
        <w:rPr>
          <w:rFonts w:ascii="Arial" w:hAnsi="Arial" w:cs="Arial"/>
          <w:b/>
          <w:bCs/>
          <w:iCs/>
          <w:sz w:val="22"/>
        </w:rPr>
        <w:t>,</w:t>
      </w:r>
      <w:r w:rsidR="00546362" w:rsidRPr="00BD1316">
        <w:rPr>
          <w:rFonts w:ascii="Arial" w:hAnsi="Arial" w:cs="Arial"/>
          <w:b/>
          <w:bCs/>
          <w:iCs/>
          <w:sz w:val="22"/>
        </w:rPr>
        <w:t xml:space="preserve"> vystavil SFDI žádost o tranši dotace, ten samý den MD provedení operace </w:t>
      </w:r>
      <w:r w:rsidR="003F3148" w:rsidRPr="00BD1316">
        <w:rPr>
          <w:rFonts w:ascii="Arial" w:hAnsi="Arial" w:cs="Arial"/>
          <w:b/>
          <w:bCs/>
          <w:iCs/>
          <w:sz w:val="22"/>
        </w:rPr>
        <w:t>schválilo</w:t>
      </w:r>
      <w:r w:rsidR="003F3148" w:rsidRPr="00F77C71">
        <w:rPr>
          <w:rFonts w:ascii="Arial" w:hAnsi="Arial" w:cs="Arial"/>
          <w:bCs/>
          <w:iCs/>
          <w:sz w:val="22"/>
        </w:rPr>
        <w:t xml:space="preserve"> </w:t>
      </w:r>
      <w:r w:rsidR="00546362" w:rsidRPr="00F77C71">
        <w:rPr>
          <w:rFonts w:ascii="Arial" w:hAnsi="Arial" w:cs="Arial"/>
          <w:bCs/>
          <w:iCs/>
          <w:sz w:val="22"/>
        </w:rPr>
        <w:t>(provedení finanční kontrol</w:t>
      </w:r>
      <w:r w:rsidR="002B2AD8">
        <w:rPr>
          <w:rFonts w:ascii="Arial" w:hAnsi="Arial" w:cs="Arial"/>
          <w:bCs/>
          <w:iCs/>
          <w:sz w:val="22"/>
        </w:rPr>
        <w:t>y</w:t>
      </w:r>
      <w:r w:rsidR="00546362" w:rsidRPr="00F77C71">
        <w:rPr>
          <w:rFonts w:ascii="Arial" w:hAnsi="Arial" w:cs="Arial"/>
          <w:bCs/>
          <w:iCs/>
          <w:sz w:val="22"/>
        </w:rPr>
        <w:t>)</w:t>
      </w:r>
      <w:r>
        <w:rPr>
          <w:rFonts w:ascii="Arial" w:hAnsi="Arial" w:cs="Arial"/>
          <w:bCs/>
          <w:iCs/>
          <w:sz w:val="22"/>
        </w:rPr>
        <w:t>,</w:t>
      </w:r>
    </w:p>
    <w:p w:rsidR="007A7CEC" w:rsidRPr="00BD1316" w:rsidRDefault="007A7CEC" w:rsidP="006377BD">
      <w:pPr>
        <w:numPr>
          <w:ilvl w:val="0"/>
          <w:numId w:val="22"/>
        </w:numPr>
        <w:ind w:left="567" w:hanging="283"/>
        <w:rPr>
          <w:rFonts w:ascii="Arial" w:hAnsi="Arial" w:cs="Arial"/>
          <w:b/>
          <w:bCs/>
          <w:iCs/>
          <w:sz w:val="22"/>
        </w:rPr>
      </w:pPr>
      <w:r w:rsidRPr="00BD1316">
        <w:rPr>
          <w:rFonts w:ascii="Arial" w:hAnsi="Arial" w:cs="Arial"/>
          <w:b/>
          <w:sz w:val="22"/>
        </w:rPr>
        <w:t>v poslední den</w:t>
      </w:r>
      <w:r w:rsidR="00D04EC6" w:rsidRPr="00BD1316">
        <w:rPr>
          <w:rFonts w:ascii="Arial" w:hAnsi="Arial" w:cs="Arial"/>
          <w:b/>
          <w:sz w:val="22"/>
        </w:rPr>
        <w:t xml:space="preserve"> roku 2012 </w:t>
      </w:r>
      <w:r w:rsidRPr="00BD1316">
        <w:rPr>
          <w:rFonts w:ascii="Arial" w:hAnsi="Arial" w:cs="Arial"/>
          <w:b/>
          <w:sz w:val="22"/>
        </w:rPr>
        <w:t xml:space="preserve">byla </w:t>
      </w:r>
      <w:r w:rsidR="003F3148" w:rsidRPr="00BD1316">
        <w:rPr>
          <w:rFonts w:ascii="Arial" w:hAnsi="Arial" w:cs="Arial"/>
          <w:b/>
          <w:sz w:val="22"/>
        </w:rPr>
        <w:t xml:space="preserve">z rozpočtových prostředků roku 2012 </w:t>
      </w:r>
      <w:r w:rsidRPr="00BD1316">
        <w:rPr>
          <w:rFonts w:ascii="Arial" w:hAnsi="Arial" w:cs="Arial"/>
          <w:b/>
          <w:sz w:val="22"/>
        </w:rPr>
        <w:t xml:space="preserve">poskytnuta SFDI </w:t>
      </w:r>
      <w:r w:rsidR="00D04EC6" w:rsidRPr="00BD1316">
        <w:rPr>
          <w:rFonts w:ascii="Arial" w:hAnsi="Arial" w:cs="Arial"/>
          <w:b/>
          <w:sz w:val="22"/>
        </w:rPr>
        <w:t xml:space="preserve">tranše dotace ve výši 5 mld. Kč, </w:t>
      </w:r>
    </w:p>
    <w:p w:rsidR="00546362" w:rsidRPr="00F77C71" w:rsidRDefault="00D04EC6" w:rsidP="006377BD">
      <w:pPr>
        <w:numPr>
          <w:ilvl w:val="0"/>
          <w:numId w:val="22"/>
        </w:numPr>
        <w:ind w:left="567" w:hanging="283"/>
        <w:rPr>
          <w:rFonts w:ascii="Arial" w:hAnsi="Arial" w:cs="Arial"/>
          <w:bCs/>
          <w:iCs/>
          <w:sz w:val="22"/>
        </w:rPr>
      </w:pPr>
      <w:r w:rsidRPr="00BD1316">
        <w:rPr>
          <w:rFonts w:ascii="Arial" w:hAnsi="Arial" w:cs="Arial"/>
          <w:b/>
          <w:sz w:val="22"/>
        </w:rPr>
        <w:t xml:space="preserve">SFDI </w:t>
      </w:r>
      <w:r w:rsidR="002B2AD8" w:rsidRPr="00BD1316">
        <w:rPr>
          <w:rFonts w:ascii="Arial" w:hAnsi="Arial" w:cs="Arial"/>
          <w:b/>
          <w:sz w:val="22"/>
        </w:rPr>
        <w:t>poskytnut</w:t>
      </w:r>
      <w:r w:rsidR="00891FCF">
        <w:rPr>
          <w:rFonts w:ascii="Arial" w:hAnsi="Arial" w:cs="Arial"/>
          <w:b/>
          <w:sz w:val="22"/>
        </w:rPr>
        <w:t>ou</w:t>
      </w:r>
      <w:r w:rsidR="002B2AD8" w:rsidRPr="00BD1316">
        <w:rPr>
          <w:rFonts w:ascii="Arial" w:hAnsi="Arial" w:cs="Arial"/>
          <w:b/>
          <w:sz w:val="22"/>
        </w:rPr>
        <w:t xml:space="preserve"> </w:t>
      </w:r>
      <w:r w:rsidR="00546362" w:rsidRPr="00BD1316">
        <w:rPr>
          <w:rFonts w:ascii="Arial" w:hAnsi="Arial" w:cs="Arial"/>
          <w:b/>
          <w:sz w:val="22"/>
        </w:rPr>
        <w:t>tranš</w:t>
      </w:r>
      <w:r w:rsidR="00891FCF">
        <w:rPr>
          <w:rFonts w:ascii="Arial" w:hAnsi="Arial" w:cs="Arial"/>
          <w:b/>
          <w:sz w:val="22"/>
        </w:rPr>
        <w:t>i</w:t>
      </w:r>
      <w:r w:rsidR="00546362" w:rsidRPr="00BD1316">
        <w:rPr>
          <w:rFonts w:ascii="Arial" w:hAnsi="Arial" w:cs="Arial"/>
          <w:b/>
          <w:sz w:val="22"/>
        </w:rPr>
        <w:t xml:space="preserve"> nevyužil a celou ji dne 13. 2. 2013 v rámci finančního vypořádání převedl na depozitní účet MD</w:t>
      </w:r>
      <w:r w:rsidR="00891FCF">
        <w:rPr>
          <w:rFonts w:ascii="Arial" w:hAnsi="Arial" w:cs="Arial"/>
          <w:b/>
          <w:sz w:val="22"/>
        </w:rPr>
        <w:t>.</w:t>
      </w:r>
    </w:p>
    <w:p w:rsidR="000F7FB0" w:rsidRDefault="000F7FB0" w:rsidP="000734E1">
      <w:pPr>
        <w:rPr>
          <w:rFonts w:ascii="Arial" w:hAnsi="Arial" w:cs="Arial"/>
          <w:sz w:val="22"/>
        </w:rPr>
      </w:pPr>
    </w:p>
    <w:p w:rsidR="00912270" w:rsidRDefault="000F7FB0" w:rsidP="000734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3F3148" w:rsidRPr="003F3148">
        <w:rPr>
          <w:rFonts w:ascii="Arial" w:hAnsi="Arial" w:cs="Arial"/>
          <w:sz w:val="22"/>
        </w:rPr>
        <w:t>ůvodem poskytování tranš</w:t>
      </w:r>
      <w:r w:rsidR="003F3148">
        <w:rPr>
          <w:rFonts w:ascii="Arial" w:hAnsi="Arial" w:cs="Arial"/>
          <w:sz w:val="22"/>
        </w:rPr>
        <w:t>í</w:t>
      </w:r>
      <w:r w:rsidR="003F3148" w:rsidRPr="003F3148">
        <w:rPr>
          <w:rFonts w:ascii="Arial" w:hAnsi="Arial" w:cs="Arial"/>
          <w:sz w:val="22"/>
        </w:rPr>
        <w:t xml:space="preserve"> dotac</w:t>
      </w:r>
      <w:r w:rsidR="003F3148">
        <w:rPr>
          <w:rFonts w:ascii="Arial" w:hAnsi="Arial" w:cs="Arial"/>
          <w:sz w:val="22"/>
        </w:rPr>
        <w:t>í</w:t>
      </w:r>
      <w:r w:rsidR="003F3148" w:rsidRPr="003F3148">
        <w:rPr>
          <w:rFonts w:ascii="Arial" w:hAnsi="Arial" w:cs="Arial"/>
          <w:sz w:val="22"/>
        </w:rPr>
        <w:t xml:space="preserve"> </w:t>
      </w:r>
      <w:r w:rsidR="008D4BE1">
        <w:rPr>
          <w:rFonts w:ascii="Arial" w:hAnsi="Arial" w:cs="Arial"/>
          <w:sz w:val="22"/>
        </w:rPr>
        <w:t xml:space="preserve">by měla být </w:t>
      </w:r>
      <w:r w:rsidR="003F3148" w:rsidRPr="003F3148">
        <w:rPr>
          <w:rFonts w:ascii="Arial" w:hAnsi="Arial" w:cs="Arial"/>
          <w:sz w:val="22"/>
        </w:rPr>
        <w:t>pouze potřeba financování projektů OPD</w:t>
      </w:r>
      <w:r w:rsidR="003F3148">
        <w:rPr>
          <w:rFonts w:ascii="Arial" w:hAnsi="Arial" w:cs="Arial"/>
          <w:sz w:val="22"/>
        </w:rPr>
        <w:t xml:space="preserve">, </w:t>
      </w:r>
      <w:r w:rsidR="00F77C71" w:rsidRPr="00D16CE6">
        <w:rPr>
          <w:rFonts w:ascii="Arial" w:hAnsi="Arial" w:cs="Arial"/>
          <w:b/>
          <w:sz w:val="22"/>
        </w:rPr>
        <w:t xml:space="preserve">poskytnutí </w:t>
      </w:r>
      <w:r w:rsidR="00E46E8A" w:rsidRPr="00D16CE6">
        <w:rPr>
          <w:rFonts w:ascii="Arial" w:hAnsi="Arial" w:cs="Arial"/>
          <w:b/>
          <w:sz w:val="22"/>
        </w:rPr>
        <w:t xml:space="preserve">této tranše </w:t>
      </w:r>
      <w:r w:rsidR="00F77C71" w:rsidRPr="00D16CE6">
        <w:rPr>
          <w:rFonts w:ascii="Arial" w:hAnsi="Arial" w:cs="Arial"/>
          <w:b/>
          <w:sz w:val="22"/>
        </w:rPr>
        <w:t xml:space="preserve">dotace </w:t>
      </w:r>
      <w:r w:rsidR="008D4BE1">
        <w:rPr>
          <w:rFonts w:ascii="Arial" w:hAnsi="Arial" w:cs="Arial"/>
          <w:b/>
          <w:sz w:val="22"/>
        </w:rPr>
        <w:t xml:space="preserve">však </w:t>
      </w:r>
      <w:r w:rsidR="003F3148" w:rsidRPr="00D16CE6">
        <w:rPr>
          <w:rFonts w:ascii="Arial" w:hAnsi="Arial" w:cs="Arial"/>
          <w:b/>
          <w:sz w:val="22"/>
        </w:rPr>
        <w:t>bylo</w:t>
      </w:r>
      <w:r w:rsidR="00F77C71" w:rsidRPr="00D16CE6">
        <w:rPr>
          <w:rFonts w:ascii="Arial" w:hAnsi="Arial" w:cs="Arial"/>
          <w:b/>
          <w:sz w:val="22"/>
        </w:rPr>
        <w:t xml:space="preserve"> zdůvodňováno </w:t>
      </w:r>
      <w:r>
        <w:rPr>
          <w:rFonts w:ascii="Arial" w:hAnsi="Arial" w:cs="Arial"/>
          <w:b/>
          <w:sz w:val="22"/>
        </w:rPr>
        <w:t>„</w:t>
      </w:r>
      <w:r w:rsidR="00F77C71" w:rsidRPr="00D16CE6">
        <w:rPr>
          <w:rFonts w:ascii="Arial" w:hAnsi="Arial" w:cs="Arial"/>
          <w:b/>
          <w:sz w:val="22"/>
        </w:rPr>
        <w:t>optimalizací finančních operací státního rozpočtu a řízením likvidity státu</w:t>
      </w:r>
      <w:r>
        <w:rPr>
          <w:rFonts w:ascii="Arial" w:hAnsi="Arial" w:cs="Arial"/>
          <w:b/>
          <w:sz w:val="22"/>
        </w:rPr>
        <w:t>“</w:t>
      </w:r>
      <w:r w:rsidR="003F3148" w:rsidRPr="000734E1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="00FE0BB0">
        <w:rPr>
          <w:rFonts w:ascii="Arial" w:hAnsi="Arial" w:cs="Arial"/>
          <w:sz w:val="22"/>
        </w:rPr>
        <w:t>V</w:t>
      </w:r>
      <w:r w:rsidR="00FE0BB0" w:rsidRPr="00951245">
        <w:rPr>
          <w:rFonts w:ascii="Arial" w:hAnsi="Arial" w:cs="Arial"/>
          <w:sz w:val="22"/>
        </w:rPr>
        <w:t>zhledem k času poskytnutí (</w:t>
      </w:r>
      <w:r w:rsidR="0044342E">
        <w:rPr>
          <w:rFonts w:ascii="Arial" w:hAnsi="Arial" w:cs="Arial"/>
          <w:sz w:val="22"/>
        </w:rPr>
        <w:t>v </w:t>
      </w:r>
      <w:r w:rsidR="00FE0BB0" w:rsidRPr="00951245">
        <w:rPr>
          <w:rFonts w:ascii="Arial" w:hAnsi="Arial" w:cs="Arial"/>
          <w:sz w:val="22"/>
        </w:rPr>
        <w:t xml:space="preserve">poslední možný den, tj. 31. 12. 2012) </w:t>
      </w:r>
      <w:r w:rsidR="00FE0BB0">
        <w:rPr>
          <w:rFonts w:ascii="Arial" w:hAnsi="Arial" w:cs="Arial"/>
          <w:sz w:val="22"/>
        </w:rPr>
        <w:t xml:space="preserve">bylo </w:t>
      </w:r>
      <w:r w:rsidR="00FE0BB0" w:rsidRPr="00951245">
        <w:rPr>
          <w:rFonts w:ascii="Arial" w:hAnsi="Arial" w:cs="Arial"/>
          <w:sz w:val="22"/>
        </w:rPr>
        <w:t>pravděpodobné</w:t>
      </w:r>
      <w:r w:rsidR="007D243D">
        <w:rPr>
          <w:rFonts w:ascii="Arial" w:hAnsi="Arial" w:cs="Arial"/>
          <w:sz w:val="22"/>
        </w:rPr>
        <w:t xml:space="preserve"> a </w:t>
      </w:r>
      <w:r w:rsidR="00FE0BB0">
        <w:rPr>
          <w:rFonts w:ascii="Arial" w:hAnsi="Arial" w:cs="Arial"/>
          <w:sz w:val="22"/>
        </w:rPr>
        <w:t xml:space="preserve">očekávatelné, že </w:t>
      </w:r>
      <w:r w:rsidR="00FE0BB0" w:rsidRPr="00E46E8A">
        <w:rPr>
          <w:rFonts w:ascii="Arial" w:hAnsi="Arial" w:cs="Arial"/>
          <w:sz w:val="22"/>
        </w:rPr>
        <w:t xml:space="preserve">dotace </w:t>
      </w:r>
      <w:r w:rsidRPr="00E46E8A">
        <w:rPr>
          <w:rFonts w:ascii="Arial" w:hAnsi="Arial" w:cs="Arial"/>
          <w:sz w:val="22"/>
        </w:rPr>
        <w:t xml:space="preserve">nebude </w:t>
      </w:r>
      <w:r w:rsidR="00FE0BB0" w:rsidRPr="00E46E8A">
        <w:rPr>
          <w:rFonts w:ascii="Arial" w:hAnsi="Arial" w:cs="Arial"/>
          <w:sz w:val="22"/>
        </w:rPr>
        <w:t>využita</w:t>
      </w:r>
      <w:r>
        <w:rPr>
          <w:rFonts w:ascii="Arial" w:hAnsi="Arial" w:cs="Arial"/>
          <w:sz w:val="22"/>
        </w:rPr>
        <w:t>,</w:t>
      </w:r>
      <w:r w:rsidR="00FE0BB0" w:rsidRPr="00E46E8A">
        <w:rPr>
          <w:rFonts w:ascii="Arial" w:hAnsi="Arial" w:cs="Arial"/>
          <w:sz w:val="22"/>
        </w:rPr>
        <w:t xml:space="preserve"> a bude </w:t>
      </w:r>
      <w:r w:rsidR="0085627B" w:rsidRPr="00E46E8A">
        <w:rPr>
          <w:rFonts w:ascii="Arial" w:hAnsi="Arial" w:cs="Arial"/>
          <w:sz w:val="22"/>
        </w:rPr>
        <w:t xml:space="preserve">proto </w:t>
      </w:r>
      <w:r w:rsidR="00FE0BB0" w:rsidRPr="00E46E8A">
        <w:rPr>
          <w:rFonts w:ascii="Arial" w:hAnsi="Arial" w:cs="Arial"/>
          <w:sz w:val="22"/>
        </w:rPr>
        <w:t>v</w:t>
      </w:r>
      <w:r w:rsidR="007D243D">
        <w:rPr>
          <w:rFonts w:ascii="Arial" w:hAnsi="Arial" w:cs="Arial"/>
          <w:sz w:val="22"/>
        </w:rPr>
        <w:t> </w:t>
      </w:r>
      <w:r w:rsidR="00FE0BB0" w:rsidRPr="00E46E8A">
        <w:rPr>
          <w:rFonts w:ascii="Arial" w:hAnsi="Arial" w:cs="Arial"/>
          <w:sz w:val="22"/>
        </w:rPr>
        <w:t xml:space="preserve">rámci finančního vypořádání vrácena. </w:t>
      </w:r>
    </w:p>
    <w:p w:rsidR="004102EB" w:rsidRPr="00E46E8A" w:rsidRDefault="004102EB" w:rsidP="000734E1">
      <w:pPr>
        <w:rPr>
          <w:rFonts w:ascii="Arial" w:hAnsi="Arial" w:cs="Arial"/>
          <w:sz w:val="22"/>
        </w:rPr>
      </w:pPr>
    </w:p>
    <w:p w:rsidR="00912270" w:rsidRPr="00E46E8A" w:rsidRDefault="006C4CC4" w:rsidP="000734E1">
      <w:p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sz w:val="22"/>
        </w:rPr>
        <w:t>J</w:t>
      </w:r>
      <w:r w:rsidR="00912270" w:rsidRPr="00E46E8A">
        <w:rPr>
          <w:rFonts w:ascii="Arial" w:hAnsi="Arial" w:cs="Arial"/>
          <w:sz w:val="22"/>
        </w:rPr>
        <w:t xml:space="preserve">e třeba upozornit na takovýto způsob financování a na to, že </w:t>
      </w:r>
      <w:r w:rsidR="00912270" w:rsidRPr="00BD1316">
        <w:rPr>
          <w:rFonts w:ascii="Arial" w:hAnsi="Arial" w:cs="Arial"/>
          <w:b/>
          <w:sz w:val="22"/>
        </w:rPr>
        <w:t>operace provedené v</w:t>
      </w:r>
      <w:r w:rsidR="007D243D" w:rsidRPr="00BD1316">
        <w:rPr>
          <w:rFonts w:ascii="Arial" w:hAnsi="Arial" w:cs="Arial"/>
          <w:b/>
          <w:sz w:val="22"/>
        </w:rPr>
        <w:t> </w:t>
      </w:r>
      <w:r w:rsidR="00912270" w:rsidRPr="00BD1316">
        <w:rPr>
          <w:rFonts w:ascii="Arial" w:hAnsi="Arial" w:cs="Arial"/>
          <w:b/>
          <w:sz w:val="22"/>
        </w:rPr>
        <w:t>souvislosti s</w:t>
      </w:r>
      <w:r w:rsidR="007D243D" w:rsidRPr="00BD1316">
        <w:rPr>
          <w:rFonts w:ascii="Arial" w:hAnsi="Arial" w:cs="Arial"/>
          <w:b/>
          <w:sz w:val="22"/>
        </w:rPr>
        <w:t> </w:t>
      </w:r>
      <w:r w:rsidR="00912270" w:rsidRPr="00BD1316">
        <w:rPr>
          <w:rFonts w:ascii="Arial" w:hAnsi="Arial" w:cs="Arial"/>
          <w:b/>
          <w:sz w:val="22"/>
        </w:rPr>
        <w:t xml:space="preserve">touto tranší a vratkou ovlivnily </w:t>
      </w:r>
      <w:r w:rsidR="00FB092C" w:rsidRPr="00BD1316">
        <w:rPr>
          <w:rFonts w:ascii="Arial" w:hAnsi="Arial" w:cs="Arial"/>
          <w:b/>
          <w:sz w:val="22"/>
        </w:rPr>
        <w:t xml:space="preserve">o 5 mld. Kč </w:t>
      </w:r>
      <w:r w:rsidR="004548F1">
        <w:rPr>
          <w:rFonts w:ascii="Arial" w:hAnsi="Arial" w:cs="Arial"/>
          <w:b/>
          <w:sz w:val="22"/>
        </w:rPr>
        <w:t xml:space="preserve">nejen </w:t>
      </w:r>
      <w:r w:rsidR="00912270" w:rsidRPr="00BD1316">
        <w:rPr>
          <w:rFonts w:ascii="Arial" w:hAnsi="Arial" w:cs="Arial"/>
          <w:b/>
          <w:sz w:val="22"/>
        </w:rPr>
        <w:t>ekonomické údaje MD</w:t>
      </w:r>
      <w:r w:rsidR="00912270" w:rsidRPr="00E46E8A">
        <w:rPr>
          <w:rFonts w:ascii="Arial" w:hAnsi="Arial" w:cs="Arial"/>
          <w:sz w:val="22"/>
        </w:rPr>
        <w:t xml:space="preserve"> (např. výši výdajů a nároků MD</w:t>
      </w:r>
      <w:r w:rsidR="003F3148" w:rsidRPr="00E46E8A">
        <w:rPr>
          <w:rFonts w:ascii="Arial" w:hAnsi="Arial" w:cs="Arial"/>
          <w:sz w:val="22"/>
        </w:rPr>
        <w:t xml:space="preserve"> </w:t>
      </w:r>
      <w:r w:rsidR="00912270" w:rsidRPr="00E46E8A">
        <w:rPr>
          <w:rFonts w:ascii="Arial" w:hAnsi="Arial" w:cs="Arial"/>
          <w:sz w:val="22"/>
        </w:rPr>
        <w:t xml:space="preserve">či částku </w:t>
      </w:r>
      <w:r w:rsidR="003F3148" w:rsidRPr="00E46E8A">
        <w:rPr>
          <w:rFonts w:ascii="Arial" w:hAnsi="Arial" w:cs="Arial"/>
          <w:sz w:val="22"/>
        </w:rPr>
        <w:t xml:space="preserve">vykázaného </w:t>
      </w:r>
      <w:r w:rsidR="00912270" w:rsidRPr="00E46E8A">
        <w:rPr>
          <w:rFonts w:ascii="Arial" w:hAnsi="Arial" w:cs="Arial"/>
          <w:sz w:val="22"/>
        </w:rPr>
        <w:t>čerpání</w:t>
      </w:r>
      <w:r w:rsidR="00912270" w:rsidRPr="00E46E8A">
        <w:rPr>
          <w:rFonts w:ascii="Arial" w:hAnsi="Arial" w:cs="Arial"/>
          <w:bCs/>
          <w:iCs/>
          <w:sz w:val="22"/>
        </w:rPr>
        <w:t xml:space="preserve"> prostředků OPD</w:t>
      </w:r>
      <w:r w:rsidR="003F3148" w:rsidRPr="000734E1">
        <w:rPr>
          <w:rFonts w:ascii="Arial" w:hAnsi="Arial" w:cs="Arial"/>
          <w:bCs/>
          <w:iCs/>
          <w:sz w:val="22"/>
        </w:rPr>
        <w:t>)</w:t>
      </w:r>
      <w:r w:rsidR="00BD1316" w:rsidRPr="000734E1">
        <w:rPr>
          <w:rFonts w:ascii="Arial" w:hAnsi="Arial" w:cs="Arial"/>
          <w:bCs/>
          <w:iCs/>
          <w:sz w:val="22"/>
        </w:rPr>
        <w:t>,</w:t>
      </w:r>
      <w:r w:rsidR="003F3148" w:rsidRPr="00BD1316">
        <w:rPr>
          <w:rFonts w:ascii="Arial" w:hAnsi="Arial" w:cs="Arial"/>
          <w:b/>
          <w:bCs/>
          <w:iCs/>
          <w:sz w:val="22"/>
        </w:rPr>
        <w:t xml:space="preserve"> a</w:t>
      </w:r>
      <w:r w:rsidR="00BD1316">
        <w:rPr>
          <w:rFonts w:ascii="Arial" w:hAnsi="Arial" w:cs="Arial"/>
          <w:b/>
          <w:bCs/>
          <w:iCs/>
          <w:sz w:val="22"/>
        </w:rPr>
        <w:t>le</w:t>
      </w:r>
      <w:r w:rsidR="003F3148" w:rsidRPr="00BD1316">
        <w:rPr>
          <w:rFonts w:ascii="Arial" w:hAnsi="Arial" w:cs="Arial"/>
          <w:b/>
          <w:bCs/>
          <w:iCs/>
          <w:sz w:val="22"/>
        </w:rPr>
        <w:t xml:space="preserve"> i</w:t>
      </w:r>
      <w:r w:rsidR="0021572A">
        <w:rPr>
          <w:rFonts w:ascii="Arial" w:hAnsi="Arial" w:cs="Arial"/>
          <w:b/>
          <w:bCs/>
          <w:iCs/>
          <w:sz w:val="22"/>
        </w:rPr>
        <w:t> </w:t>
      </w:r>
      <w:r w:rsidR="00912270" w:rsidRPr="00BD1316">
        <w:rPr>
          <w:rFonts w:ascii="Arial" w:hAnsi="Arial" w:cs="Arial"/>
          <w:b/>
          <w:bCs/>
          <w:iCs/>
          <w:sz w:val="22"/>
        </w:rPr>
        <w:t xml:space="preserve">celkové údaje </w:t>
      </w:r>
      <w:r w:rsidR="003F3148" w:rsidRPr="00BD1316">
        <w:rPr>
          <w:rFonts w:ascii="Arial" w:hAnsi="Arial" w:cs="Arial"/>
          <w:b/>
          <w:bCs/>
          <w:iCs/>
          <w:sz w:val="22"/>
        </w:rPr>
        <w:t>o hospodaření státního rozpočtu</w:t>
      </w:r>
      <w:r w:rsidR="00013328" w:rsidRPr="000734E1">
        <w:rPr>
          <w:rFonts w:ascii="Arial" w:hAnsi="Arial" w:cs="Arial"/>
          <w:b/>
          <w:bCs/>
          <w:iCs/>
          <w:sz w:val="22"/>
        </w:rPr>
        <w:t>,</w:t>
      </w:r>
      <w:r w:rsidR="00013328" w:rsidRPr="00750ACD">
        <w:rPr>
          <w:rFonts w:ascii="Arial" w:hAnsi="Arial" w:cs="Arial"/>
          <w:bCs/>
          <w:iCs/>
          <w:sz w:val="22"/>
        </w:rPr>
        <w:t xml:space="preserve"> a to </w:t>
      </w:r>
      <w:r w:rsidR="009C3885" w:rsidRPr="00750ACD">
        <w:rPr>
          <w:rFonts w:ascii="Arial" w:hAnsi="Arial" w:cs="Arial"/>
          <w:bCs/>
          <w:iCs/>
          <w:sz w:val="22"/>
        </w:rPr>
        <w:t xml:space="preserve">jak </w:t>
      </w:r>
      <w:r w:rsidR="00013328" w:rsidRPr="00750ACD">
        <w:rPr>
          <w:rFonts w:ascii="Arial" w:hAnsi="Arial" w:cs="Arial"/>
          <w:bCs/>
          <w:iCs/>
          <w:sz w:val="22"/>
        </w:rPr>
        <w:t>údaje za rok 2012</w:t>
      </w:r>
      <w:r w:rsidR="009C3885" w:rsidRPr="00750ACD">
        <w:rPr>
          <w:rFonts w:ascii="Arial" w:hAnsi="Arial" w:cs="Arial"/>
          <w:bCs/>
          <w:iCs/>
          <w:sz w:val="22"/>
        </w:rPr>
        <w:t>,</w:t>
      </w:r>
      <w:r w:rsidR="00013328" w:rsidRPr="00750ACD">
        <w:rPr>
          <w:rFonts w:ascii="Arial" w:hAnsi="Arial" w:cs="Arial"/>
          <w:bCs/>
          <w:iCs/>
          <w:sz w:val="22"/>
        </w:rPr>
        <w:t xml:space="preserve"> </w:t>
      </w:r>
      <w:r w:rsidR="009C3885" w:rsidRPr="00750ACD">
        <w:rPr>
          <w:rFonts w:ascii="Arial" w:hAnsi="Arial" w:cs="Arial"/>
          <w:bCs/>
          <w:iCs/>
          <w:sz w:val="22"/>
        </w:rPr>
        <w:t>t</w:t>
      </w:r>
      <w:r w:rsidR="00013328" w:rsidRPr="00750ACD">
        <w:rPr>
          <w:rFonts w:ascii="Arial" w:hAnsi="Arial" w:cs="Arial"/>
          <w:bCs/>
          <w:iCs/>
          <w:sz w:val="22"/>
        </w:rPr>
        <w:t>a</w:t>
      </w:r>
      <w:r w:rsidR="009C3885" w:rsidRPr="00750ACD">
        <w:rPr>
          <w:rFonts w:ascii="Arial" w:hAnsi="Arial" w:cs="Arial"/>
          <w:bCs/>
          <w:iCs/>
          <w:sz w:val="22"/>
        </w:rPr>
        <w:t>k</w:t>
      </w:r>
      <w:r w:rsidR="00013328" w:rsidRPr="00750ACD">
        <w:rPr>
          <w:rFonts w:ascii="Arial" w:hAnsi="Arial" w:cs="Arial"/>
          <w:bCs/>
          <w:iCs/>
          <w:sz w:val="22"/>
        </w:rPr>
        <w:t xml:space="preserve"> vzhledem k</w:t>
      </w:r>
      <w:r w:rsidR="007D243D" w:rsidRPr="00750ACD">
        <w:rPr>
          <w:rFonts w:ascii="Arial" w:hAnsi="Arial" w:cs="Arial"/>
          <w:bCs/>
          <w:iCs/>
          <w:sz w:val="22"/>
        </w:rPr>
        <w:t> </w:t>
      </w:r>
      <w:r w:rsidR="00013328" w:rsidRPr="00750ACD">
        <w:rPr>
          <w:rFonts w:ascii="Arial" w:hAnsi="Arial" w:cs="Arial"/>
          <w:bCs/>
          <w:iCs/>
          <w:sz w:val="22"/>
        </w:rPr>
        <w:t xml:space="preserve">vratce i </w:t>
      </w:r>
      <w:r w:rsidR="009C3885" w:rsidRPr="00750ACD">
        <w:rPr>
          <w:rFonts w:ascii="Arial" w:hAnsi="Arial" w:cs="Arial"/>
          <w:bCs/>
          <w:iCs/>
          <w:sz w:val="22"/>
        </w:rPr>
        <w:t xml:space="preserve">údaje </w:t>
      </w:r>
      <w:r w:rsidR="00013328" w:rsidRPr="00750ACD">
        <w:rPr>
          <w:rFonts w:ascii="Arial" w:hAnsi="Arial" w:cs="Arial"/>
          <w:bCs/>
          <w:iCs/>
          <w:sz w:val="22"/>
        </w:rPr>
        <w:t>za rok 2013</w:t>
      </w:r>
      <w:r w:rsidR="003F3148" w:rsidRPr="00750ACD">
        <w:rPr>
          <w:rFonts w:ascii="Arial" w:hAnsi="Arial" w:cs="Arial"/>
          <w:bCs/>
          <w:iCs/>
          <w:sz w:val="22"/>
        </w:rPr>
        <w:t>.</w:t>
      </w:r>
    </w:p>
    <w:p w:rsidR="00BD1316" w:rsidRDefault="00BD1316" w:rsidP="000734E1">
      <w:pPr>
        <w:rPr>
          <w:rFonts w:ascii="Arial" w:hAnsi="Arial" w:cs="Arial"/>
          <w:b/>
          <w:i/>
          <w:sz w:val="22"/>
        </w:rPr>
      </w:pPr>
    </w:p>
    <w:p w:rsidR="0053203E" w:rsidRPr="00D16CE6" w:rsidRDefault="000734E1" w:rsidP="00300D1C">
      <w:pPr>
        <w:spacing w:after="12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Zůstatek</w:t>
      </w:r>
      <w:r w:rsidRPr="00D16CE6">
        <w:rPr>
          <w:rFonts w:ascii="Arial" w:hAnsi="Arial" w:cs="Arial"/>
          <w:b/>
          <w:i/>
          <w:sz w:val="22"/>
        </w:rPr>
        <w:t xml:space="preserve"> </w:t>
      </w:r>
      <w:r w:rsidR="00E46E8A" w:rsidRPr="00D16CE6">
        <w:rPr>
          <w:rFonts w:ascii="Arial" w:hAnsi="Arial" w:cs="Arial"/>
          <w:b/>
          <w:i/>
          <w:sz w:val="22"/>
        </w:rPr>
        <w:t>na účtu cizích prostředků</w:t>
      </w:r>
    </w:p>
    <w:p w:rsidR="00E46E8A" w:rsidRPr="00D61668" w:rsidRDefault="00E46E8A" w:rsidP="000734E1">
      <w:pPr>
        <w:rPr>
          <w:rFonts w:ascii="Arial" w:hAnsi="Arial" w:cs="Arial"/>
          <w:bCs/>
          <w:iCs/>
          <w:sz w:val="22"/>
        </w:rPr>
      </w:pPr>
      <w:r w:rsidRPr="00D61668">
        <w:rPr>
          <w:rFonts w:ascii="Arial" w:hAnsi="Arial" w:cs="Arial"/>
          <w:bCs/>
          <w:iCs/>
          <w:sz w:val="22"/>
        </w:rPr>
        <w:t xml:space="preserve">MD </w:t>
      </w:r>
      <w:r w:rsidR="00F91F80">
        <w:rPr>
          <w:rFonts w:ascii="Arial" w:hAnsi="Arial" w:cs="Arial"/>
          <w:bCs/>
          <w:iCs/>
          <w:sz w:val="22"/>
        </w:rPr>
        <w:t xml:space="preserve">mělo </w:t>
      </w:r>
      <w:r w:rsidRPr="00D61668">
        <w:rPr>
          <w:rFonts w:ascii="Arial" w:hAnsi="Arial" w:cs="Arial"/>
          <w:bCs/>
          <w:iCs/>
          <w:sz w:val="22"/>
        </w:rPr>
        <w:t>na bankovním úč</w:t>
      </w:r>
      <w:r w:rsidR="00D76079">
        <w:rPr>
          <w:rFonts w:ascii="Arial" w:hAnsi="Arial" w:cs="Arial"/>
          <w:bCs/>
          <w:iCs/>
          <w:sz w:val="22"/>
        </w:rPr>
        <w:t>t</w:t>
      </w:r>
      <w:r w:rsidRPr="00D61668">
        <w:rPr>
          <w:rFonts w:ascii="Arial" w:hAnsi="Arial" w:cs="Arial"/>
          <w:bCs/>
          <w:iCs/>
          <w:sz w:val="22"/>
        </w:rPr>
        <w:t xml:space="preserve">u cizích prostředků </w:t>
      </w:r>
      <w:r w:rsidR="00F91F80">
        <w:rPr>
          <w:rFonts w:ascii="Arial" w:hAnsi="Arial" w:cs="Arial"/>
          <w:bCs/>
          <w:iCs/>
          <w:sz w:val="22"/>
        </w:rPr>
        <w:t>uloženy</w:t>
      </w:r>
      <w:r w:rsidRPr="00D61668">
        <w:rPr>
          <w:rFonts w:ascii="Arial" w:hAnsi="Arial" w:cs="Arial"/>
          <w:bCs/>
          <w:iCs/>
          <w:sz w:val="22"/>
        </w:rPr>
        <w:t xml:space="preserve"> k</w:t>
      </w:r>
      <w:r w:rsidR="007D243D">
        <w:rPr>
          <w:rFonts w:ascii="Arial" w:hAnsi="Arial" w:cs="Arial"/>
          <w:bCs/>
          <w:iCs/>
          <w:sz w:val="22"/>
        </w:rPr>
        <w:t> </w:t>
      </w:r>
      <w:r w:rsidRPr="00D61668">
        <w:rPr>
          <w:rFonts w:ascii="Arial" w:hAnsi="Arial" w:cs="Arial"/>
          <w:bCs/>
          <w:iCs/>
          <w:sz w:val="22"/>
        </w:rPr>
        <w:t xml:space="preserve">31. 12. 2013 peněžní prostředky ve výši 429 640 Kč, nedokázalo </w:t>
      </w:r>
      <w:r w:rsidR="00D61668">
        <w:rPr>
          <w:rFonts w:ascii="Arial" w:hAnsi="Arial" w:cs="Arial"/>
          <w:bCs/>
          <w:iCs/>
          <w:sz w:val="22"/>
        </w:rPr>
        <w:t xml:space="preserve">však </w:t>
      </w:r>
      <w:r w:rsidR="00D61668" w:rsidRPr="00D61668">
        <w:rPr>
          <w:rFonts w:ascii="Arial" w:hAnsi="Arial" w:cs="Arial"/>
          <w:bCs/>
          <w:iCs/>
          <w:sz w:val="22"/>
        </w:rPr>
        <w:t xml:space="preserve">tuto částku </w:t>
      </w:r>
      <w:r w:rsidR="00D61668">
        <w:rPr>
          <w:rFonts w:ascii="Arial" w:hAnsi="Arial" w:cs="Arial"/>
          <w:bCs/>
          <w:iCs/>
          <w:sz w:val="22"/>
        </w:rPr>
        <w:t xml:space="preserve">blíže </w:t>
      </w:r>
      <w:r w:rsidRPr="00D61668">
        <w:rPr>
          <w:rFonts w:ascii="Arial" w:hAnsi="Arial" w:cs="Arial"/>
          <w:bCs/>
          <w:iCs/>
          <w:sz w:val="22"/>
        </w:rPr>
        <w:t>identifikovat</w:t>
      </w:r>
      <w:r w:rsidR="00D61668">
        <w:rPr>
          <w:rFonts w:ascii="Arial" w:hAnsi="Arial" w:cs="Arial"/>
          <w:bCs/>
          <w:iCs/>
          <w:sz w:val="22"/>
        </w:rPr>
        <w:t xml:space="preserve">. </w:t>
      </w:r>
      <w:r w:rsidR="00F91F80">
        <w:rPr>
          <w:rFonts w:ascii="Arial" w:hAnsi="Arial" w:cs="Arial"/>
          <w:bCs/>
          <w:iCs/>
          <w:sz w:val="22"/>
        </w:rPr>
        <w:t>N</w:t>
      </w:r>
      <w:r w:rsidRPr="00D61668">
        <w:rPr>
          <w:rFonts w:ascii="Arial" w:hAnsi="Arial" w:cs="Arial"/>
          <w:bCs/>
          <w:iCs/>
          <w:sz w:val="22"/>
        </w:rPr>
        <w:t xml:space="preserve">ení tak zřejmé, zda se jedná o peněžní prostředky, které </w:t>
      </w:r>
      <w:r w:rsidR="00D61668">
        <w:rPr>
          <w:rFonts w:ascii="Arial" w:hAnsi="Arial" w:cs="Arial"/>
          <w:bCs/>
          <w:iCs/>
          <w:sz w:val="22"/>
        </w:rPr>
        <w:t>mělo již v</w:t>
      </w:r>
      <w:r w:rsidR="007D243D">
        <w:rPr>
          <w:rFonts w:ascii="Arial" w:hAnsi="Arial" w:cs="Arial"/>
          <w:bCs/>
          <w:iCs/>
          <w:sz w:val="22"/>
        </w:rPr>
        <w:t> </w:t>
      </w:r>
      <w:r w:rsidR="00D61668">
        <w:rPr>
          <w:rFonts w:ascii="Arial" w:hAnsi="Arial" w:cs="Arial"/>
          <w:bCs/>
          <w:iCs/>
          <w:sz w:val="22"/>
        </w:rPr>
        <w:t xml:space="preserve">minulosti </w:t>
      </w:r>
      <w:r w:rsidR="00D61668" w:rsidRPr="00D61668">
        <w:rPr>
          <w:rFonts w:ascii="Arial" w:hAnsi="Arial" w:cs="Arial"/>
          <w:bCs/>
          <w:iCs/>
          <w:sz w:val="22"/>
        </w:rPr>
        <w:t xml:space="preserve">odvést </w:t>
      </w:r>
      <w:r w:rsidR="00D61668">
        <w:rPr>
          <w:rFonts w:ascii="Arial" w:hAnsi="Arial" w:cs="Arial"/>
          <w:bCs/>
          <w:iCs/>
          <w:sz w:val="22"/>
        </w:rPr>
        <w:t>do státního rozpočtu. MD uvedlo, že bude potřebné údaje dohledávat</w:t>
      </w:r>
      <w:r w:rsidR="00F91F80">
        <w:rPr>
          <w:rFonts w:ascii="Arial" w:hAnsi="Arial" w:cs="Arial"/>
          <w:bCs/>
          <w:iCs/>
          <w:sz w:val="22"/>
        </w:rPr>
        <w:t xml:space="preserve"> a že </w:t>
      </w:r>
      <w:r w:rsidR="00FB092C">
        <w:rPr>
          <w:rFonts w:ascii="Arial" w:hAnsi="Arial" w:cs="Arial"/>
          <w:bCs/>
          <w:iCs/>
          <w:sz w:val="22"/>
        </w:rPr>
        <w:t xml:space="preserve">záležitost </w:t>
      </w:r>
      <w:r w:rsidR="00F91F80">
        <w:rPr>
          <w:rFonts w:ascii="Arial" w:hAnsi="Arial" w:cs="Arial"/>
          <w:bCs/>
          <w:iCs/>
          <w:sz w:val="22"/>
        </w:rPr>
        <w:t xml:space="preserve">souvisí </w:t>
      </w:r>
      <w:r w:rsidR="00D64D5D">
        <w:rPr>
          <w:rFonts w:ascii="Arial" w:hAnsi="Arial" w:cs="Arial"/>
          <w:bCs/>
          <w:iCs/>
          <w:sz w:val="22"/>
        </w:rPr>
        <w:t>s</w:t>
      </w:r>
      <w:r w:rsidR="007D243D">
        <w:rPr>
          <w:rFonts w:ascii="Arial" w:hAnsi="Arial" w:cs="Arial"/>
          <w:bCs/>
          <w:iCs/>
          <w:sz w:val="22"/>
        </w:rPr>
        <w:t> </w:t>
      </w:r>
      <w:r w:rsidR="00D64D5D">
        <w:rPr>
          <w:rFonts w:ascii="Arial" w:hAnsi="Arial" w:cs="Arial"/>
          <w:bCs/>
          <w:iCs/>
          <w:sz w:val="22"/>
        </w:rPr>
        <w:t xml:space="preserve">rozdíly </w:t>
      </w:r>
      <w:r w:rsidR="00F91F80">
        <w:rPr>
          <w:rFonts w:ascii="Arial" w:hAnsi="Arial" w:cs="Arial"/>
          <w:bCs/>
          <w:iCs/>
          <w:sz w:val="22"/>
        </w:rPr>
        <w:t>vzniklými před rokem 2008</w:t>
      </w:r>
      <w:r w:rsidR="00D61668">
        <w:rPr>
          <w:rFonts w:ascii="Arial" w:hAnsi="Arial" w:cs="Arial"/>
          <w:bCs/>
          <w:iCs/>
          <w:sz w:val="22"/>
        </w:rPr>
        <w:t xml:space="preserve">. </w:t>
      </w:r>
    </w:p>
    <w:p w:rsidR="00BD1316" w:rsidRDefault="00BD1316" w:rsidP="000734E1">
      <w:pPr>
        <w:rPr>
          <w:rFonts w:ascii="Arial" w:hAnsi="Arial" w:cs="Arial"/>
          <w:b/>
          <w:i/>
          <w:sz w:val="22"/>
        </w:rPr>
      </w:pPr>
    </w:p>
    <w:p w:rsidR="00D64D5D" w:rsidRPr="00D16CE6" w:rsidRDefault="00D64D5D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Oblast výpočetní techniky a programového vybavení</w:t>
      </w:r>
    </w:p>
    <w:p w:rsidR="00D64D5D" w:rsidRDefault="00D64D5D" w:rsidP="000734E1">
      <w:pPr>
        <w:rPr>
          <w:rFonts w:ascii="Arial" w:hAnsi="Arial" w:cs="Arial"/>
          <w:sz w:val="22"/>
        </w:rPr>
      </w:pPr>
      <w:r w:rsidRPr="00951245">
        <w:rPr>
          <w:rFonts w:ascii="Arial" w:hAnsi="Arial" w:cs="Arial"/>
          <w:sz w:val="22"/>
        </w:rPr>
        <w:t>Oblast výpočetní techniky a programového vybavení (dále také „I</w:t>
      </w:r>
      <w:r w:rsidR="00F66036">
        <w:rPr>
          <w:rFonts w:ascii="Arial" w:hAnsi="Arial" w:cs="Arial"/>
          <w:sz w:val="22"/>
        </w:rPr>
        <w:t>C</w:t>
      </w:r>
      <w:r w:rsidRPr="00951245">
        <w:rPr>
          <w:rFonts w:ascii="Arial" w:hAnsi="Arial" w:cs="Arial"/>
          <w:sz w:val="22"/>
        </w:rPr>
        <w:t>T“) byla součástí předmětu kontroly v</w:t>
      </w:r>
      <w:r w:rsidR="007D243D">
        <w:rPr>
          <w:rFonts w:ascii="Arial" w:hAnsi="Arial" w:cs="Arial"/>
          <w:sz w:val="22"/>
        </w:rPr>
        <w:t> </w:t>
      </w:r>
      <w:r w:rsidRPr="00951245">
        <w:rPr>
          <w:rFonts w:ascii="Arial" w:hAnsi="Arial" w:cs="Arial"/>
          <w:sz w:val="22"/>
        </w:rPr>
        <w:t>rámci prověřov</w:t>
      </w:r>
      <w:r w:rsidR="001E5608">
        <w:rPr>
          <w:rFonts w:ascii="Arial" w:hAnsi="Arial" w:cs="Arial"/>
          <w:sz w:val="22"/>
        </w:rPr>
        <w:t>ání</w:t>
      </w:r>
      <w:r w:rsidRPr="00951245">
        <w:rPr>
          <w:rFonts w:ascii="Arial" w:hAnsi="Arial" w:cs="Arial"/>
          <w:sz w:val="22"/>
        </w:rPr>
        <w:t xml:space="preserve"> různých činností</w:t>
      </w:r>
      <w:r w:rsidR="001E5608">
        <w:rPr>
          <w:rFonts w:ascii="Arial" w:hAnsi="Arial" w:cs="Arial"/>
          <w:sz w:val="22"/>
        </w:rPr>
        <w:t xml:space="preserve"> MD</w:t>
      </w:r>
      <w:r w:rsidRPr="00951245">
        <w:rPr>
          <w:rFonts w:ascii="Arial" w:hAnsi="Arial" w:cs="Arial"/>
          <w:sz w:val="22"/>
        </w:rPr>
        <w:t>, např. inventarizace majetku, dokladování zaúčtovaných a vykázaných skutečností</w:t>
      </w:r>
      <w:r w:rsidR="00FB092C">
        <w:rPr>
          <w:rFonts w:ascii="Arial" w:hAnsi="Arial" w:cs="Arial"/>
          <w:sz w:val="22"/>
        </w:rPr>
        <w:t xml:space="preserve"> či</w:t>
      </w:r>
      <w:r w:rsidRPr="00951245">
        <w:rPr>
          <w:rFonts w:ascii="Arial" w:hAnsi="Arial" w:cs="Arial"/>
          <w:sz w:val="22"/>
        </w:rPr>
        <w:t xml:space="preserve"> </w:t>
      </w:r>
      <w:r w:rsidR="00FB092C">
        <w:rPr>
          <w:rFonts w:ascii="Arial" w:hAnsi="Arial" w:cs="Arial"/>
          <w:sz w:val="22"/>
        </w:rPr>
        <w:t>vyjasňování postupů</w:t>
      </w:r>
      <w:r w:rsidRPr="00951245">
        <w:rPr>
          <w:rFonts w:ascii="Arial" w:hAnsi="Arial" w:cs="Arial"/>
          <w:sz w:val="22"/>
        </w:rPr>
        <w:t xml:space="preserve"> k</w:t>
      </w:r>
      <w:r w:rsidR="007D243D">
        <w:rPr>
          <w:rFonts w:ascii="Arial" w:hAnsi="Arial" w:cs="Arial"/>
          <w:sz w:val="22"/>
        </w:rPr>
        <w:t> </w:t>
      </w:r>
      <w:r w:rsidRPr="00951245">
        <w:rPr>
          <w:rFonts w:ascii="Arial" w:hAnsi="Arial" w:cs="Arial"/>
          <w:sz w:val="22"/>
        </w:rPr>
        <w:t>vyjádření ocenění majetku (průkaznost).</w:t>
      </w:r>
      <w:r>
        <w:rPr>
          <w:rFonts w:ascii="Arial" w:hAnsi="Arial" w:cs="Arial"/>
          <w:sz w:val="22"/>
        </w:rPr>
        <w:t xml:space="preserve"> </w:t>
      </w:r>
      <w:r w:rsidRPr="00BD1316">
        <w:rPr>
          <w:rFonts w:ascii="Arial" w:hAnsi="Arial" w:cs="Arial"/>
          <w:b/>
          <w:sz w:val="22"/>
        </w:rPr>
        <w:t>V</w:t>
      </w:r>
      <w:r w:rsidR="007D243D" w:rsidRPr="00BD1316">
        <w:rPr>
          <w:rFonts w:ascii="Arial" w:hAnsi="Arial" w:cs="Arial"/>
          <w:b/>
          <w:sz w:val="22"/>
        </w:rPr>
        <w:t> </w:t>
      </w:r>
      <w:r w:rsidRPr="00BD1316">
        <w:rPr>
          <w:rFonts w:ascii="Arial" w:hAnsi="Arial" w:cs="Arial"/>
          <w:b/>
          <w:sz w:val="22"/>
        </w:rPr>
        <w:t>této oblasti byla zjištěna řada problémů</w:t>
      </w:r>
      <w:r w:rsidRPr="000734E1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sz w:val="22"/>
        </w:rPr>
        <w:t xml:space="preserve"> na</w:t>
      </w:r>
      <w:r w:rsidRPr="00951245">
        <w:rPr>
          <w:rFonts w:ascii="Arial" w:hAnsi="Arial" w:cs="Arial"/>
          <w:sz w:val="22"/>
        </w:rPr>
        <w:t xml:space="preserve"> které by </w:t>
      </w:r>
      <w:r>
        <w:rPr>
          <w:rFonts w:ascii="Arial" w:hAnsi="Arial" w:cs="Arial"/>
          <w:sz w:val="22"/>
        </w:rPr>
        <w:t xml:space="preserve">měl </w:t>
      </w:r>
      <w:r w:rsidRPr="00951245">
        <w:rPr>
          <w:rFonts w:ascii="Arial" w:hAnsi="Arial" w:cs="Arial"/>
          <w:sz w:val="22"/>
        </w:rPr>
        <w:t xml:space="preserve">kontrolní systém MD vhodně </w:t>
      </w:r>
      <w:r>
        <w:rPr>
          <w:rFonts w:ascii="Arial" w:hAnsi="Arial" w:cs="Arial"/>
          <w:sz w:val="22"/>
        </w:rPr>
        <w:t>reagova</w:t>
      </w:r>
      <w:r w:rsidRPr="00951245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:</w:t>
      </w:r>
    </w:p>
    <w:p w:rsidR="0057758A" w:rsidRPr="003B6367" w:rsidRDefault="001E5608" w:rsidP="000734E1">
      <w:pPr>
        <w:numPr>
          <w:ilvl w:val="0"/>
          <w:numId w:val="22"/>
        </w:numPr>
        <w:ind w:left="567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57758A" w:rsidRPr="00247F49">
        <w:rPr>
          <w:rFonts w:ascii="Arial" w:hAnsi="Arial" w:cs="Arial"/>
          <w:b/>
          <w:sz w:val="22"/>
        </w:rPr>
        <w:t>nventuru výpočetní techniky neprováděly osoby, které k tomu byly jmenovány</w:t>
      </w:r>
      <w:r w:rsidR="0057758A" w:rsidRPr="000734E1">
        <w:rPr>
          <w:rFonts w:ascii="Arial" w:hAnsi="Arial" w:cs="Arial"/>
          <w:b/>
          <w:sz w:val="22"/>
        </w:rPr>
        <w:t>,</w:t>
      </w:r>
      <w:r w:rsidR="0057758A">
        <w:rPr>
          <w:rFonts w:ascii="Arial" w:hAnsi="Arial" w:cs="Arial"/>
          <w:sz w:val="22"/>
        </w:rPr>
        <w:t xml:space="preserve"> samotné inventurní soupisy k tomuto majetku podepsaly jiné osoby než členové jmenované příslušné inventarizační komise</w:t>
      </w:r>
      <w:r>
        <w:rPr>
          <w:rFonts w:ascii="Arial" w:hAnsi="Arial" w:cs="Arial"/>
          <w:sz w:val="22"/>
        </w:rPr>
        <w:t>.</w:t>
      </w:r>
    </w:p>
    <w:p w:rsidR="0057758A" w:rsidRPr="0057758A" w:rsidRDefault="001E5608" w:rsidP="000734E1">
      <w:pPr>
        <w:numPr>
          <w:ilvl w:val="0"/>
          <w:numId w:val="22"/>
        </w:numPr>
        <w:ind w:left="567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K</w:t>
      </w:r>
      <w:r w:rsidR="0044342E">
        <w:rPr>
          <w:rFonts w:ascii="Arial" w:hAnsi="Arial" w:cs="Arial"/>
          <w:sz w:val="22"/>
        </w:rPr>
        <w:t> </w:t>
      </w:r>
      <w:r w:rsidR="0057758A">
        <w:rPr>
          <w:rFonts w:ascii="Arial" w:hAnsi="Arial" w:cs="Arial"/>
          <w:sz w:val="22"/>
        </w:rPr>
        <w:t>inventurním soupisům nepřikládalo MD vyjádření o používání softwar</w:t>
      </w:r>
      <w:r>
        <w:rPr>
          <w:rFonts w:ascii="Arial" w:hAnsi="Arial" w:cs="Arial"/>
          <w:sz w:val="22"/>
        </w:rPr>
        <w:t>u</w:t>
      </w:r>
      <w:r w:rsidR="0057758A">
        <w:rPr>
          <w:rFonts w:ascii="Arial" w:hAnsi="Arial" w:cs="Arial"/>
          <w:sz w:val="22"/>
        </w:rPr>
        <w:t>, o existenci licencí a jejich legálním používání, přestože toto vyjádření vyžadovaly vnitřní předpisy MD</w:t>
      </w:r>
      <w:r>
        <w:rPr>
          <w:rFonts w:ascii="Arial" w:hAnsi="Arial" w:cs="Arial"/>
          <w:sz w:val="22"/>
        </w:rPr>
        <w:t>.</w:t>
      </w:r>
    </w:p>
    <w:p w:rsidR="0057758A" w:rsidRPr="0057758A" w:rsidRDefault="0057758A" w:rsidP="000734E1">
      <w:pPr>
        <w:numPr>
          <w:ilvl w:val="0"/>
          <w:numId w:val="22"/>
        </w:numPr>
        <w:ind w:left="567" w:hanging="284"/>
        <w:rPr>
          <w:rFonts w:ascii="Arial" w:hAnsi="Arial" w:cs="Arial"/>
          <w:b/>
          <w:sz w:val="22"/>
        </w:rPr>
      </w:pPr>
      <w:r w:rsidRPr="00247F49">
        <w:rPr>
          <w:rFonts w:ascii="Arial" w:hAnsi="Arial" w:cs="Arial"/>
          <w:b/>
          <w:sz w:val="22"/>
        </w:rPr>
        <w:t>MD v roce 2013 ne</w:t>
      </w:r>
      <w:r w:rsidR="009454F3" w:rsidRPr="00247F49">
        <w:rPr>
          <w:rFonts w:ascii="Arial" w:hAnsi="Arial" w:cs="Arial"/>
          <w:b/>
          <w:sz w:val="22"/>
        </w:rPr>
        <w:t>e</w:t>
      </w:r>
      <w:r w:rsidRPr="00247F49">
        <w:rPr>
          <w:rFonts w:ascii="Arial" w:hAnsi="Arial" w:cs="Arial"/>
          <w:b/>
          <w:sz w:val="22"/>
        </w:rPr>
        <w:t>vidovalo počty licencí</w:t>
      </w:r>
      <w:r w:rsidRPr="00CB2B9A">
        <w:rPr>
          <w:rFonts w:ascii="Arial" w:hAnsi="Arial" w:cs="Arial"/>
          <w:sz w:val="22"/>
        </w:rPr>
        <w:t xml:space="preserve"> (a to </w:t>
      </w:r>
      <w:r w:rsidR="001E5608">
        <w:rPr>
          <w:rFonts w:ascii="Arial" w:hAnsi="Arial" w:cs="Arial"/>
          <w:sz w:val="22"/>
        </w:rPr>
        <w:t>ani</w:t>
      </w:r>
      <w:r w:rsidRPr="00CB2B9A">
        <w:rPr>
          <w:rFonts w:ascii="Arial" w:hAnsi="Arial" w:cs="Arial"/>
          <w:sz w:val="22"/>
        </w:rPr>
        <w:t xml:space="preserve"> aktuálně instalovan</w:t>
      </w:r>
      <w:r w:rsidR="001E5608">
        <w:rPr>
          <w:rFonts w:ascii="Arial" w:hAnsi="Arial" w:cs="Arial"/>
          <w:sz w:val="22"/>
        </w:rPr>
        <w:t>ých</w:t>
      </w:r>
      <w:r w:rsidRPr="00CB2B9A">
        <w:rPr>
          <w:rFonts w:ascii="Arial" w:hAnsi="Arial" w:cs="Arial"/>
          <w:sz w:val="22"/>
        </w:rPr>
        <w:t xml:space="preserve">, </w:t>
      </w:r>
      <w:r w:rsidR="001E5608">
        <w:rPr>
          <w:rFonts w:ascii="Arial" w:hAnsi="Arial" w:cs="Arial"/>
          <w:sz w:val="22"/>
        </w:rPr>
        <w:t>ani</w:t>
      </w:r>
      <w:r w:rsidRPr="00CB2B9A">
        <w:rPr>
          <w:rFonts w:ascii="Arial" w:hAnsi="Arial" w:cs="Arial"/>
          <w:sz w:val="22"/>
        </w:rPr>
        <w:t xml:space="preserve"> maximálně dan</w:t>
      </w:r>
      <w:r w:rsidR="001E5608">
        <w:rPr>
          <w:rFonts w:ascii="Arial" w:hAnsi="Arial" w:cs="Arial"/>
          <w:sz w:val="22"/>
        </w:rPr>
        <w:t>ých</w:t>
      </w:r>
      <w:r w:rsidRPr="00CB2B9A">
        <w:rPr>
          <w:rFonts w:ascii="Arial" w:hAnsi="Arial" w:cs="Arial"/>
          <w:sz w:val="22"/>
        </w:rPr>
        <w:t xml:space="preserve"> konkrétní smlouvou) </w:t>
      </w:r>
      <w:r w:rsidR="0044342E">
        <w:rPr>
          <w:rFonts w:ascii="Arial" w:hAnsi="Arial" w:cs="Arial"/>
          <w:sz w:val="22"/>
        </w:rPr>
        <w:t>k </w:t>
      </w:r>
      <w:r w:rsidRPr="00CB2B9A">
        <w:rPr>
          <w:rFonts w:ascii="Arial" w:hAnsi="Arial" w:cs="Arial"/>
          <w:sz w:val="22"/>
        </w:rPr>
        <w:t xml:space="preserve">jednotlivým počítačovým programům, které </w:t>
      </w:r>
      <w:r w:rsidRPr="00CB2B9A">
        <w:rPr>
          <w:rFonts w:ascii="Arial" w:hAnsi="Arial" w:cs="Arial"/>
          <w:sz w:val="22"/>
        </w:rPr>
        <w:lastRenderedPageBreak/>
        <w:t xml:space="preserve">má na základě smluvních ujednání </w:t>
      </w:r>
      <w:r w:rsidR="0044342E">
        <w:rPr>
          <w:rFonts w:ascii="Arial" w:hAnsi="Arial" w:cs="Arial"/>
          <w:sz w:val="22"/>
        </w:rPr>
        <w:t>s </w:t>
      </w:r>
      <w:r w:rsidRPr="00CB2B9A">
        <w:rPr>
          <w:rFonts w:ascii="Arial" w:hAnsi="Arial" w:cs="Arial"/>
          <w:sz w:val="22"/>
        </w:rPr>
        <w:t xml:space="preserve">dodavateli k dispozici, nebylo tak vhodně </w:t>
      </w:r>
      <w:r>
        <w:rPr>
          <w:rFonts w:ascii="Arial" w:hAnsi="Arial" w:cs="Arial"/>
          <w:sz w:val="22"/>
        </w:rPr>
        <w:t>(</w:t>
      </w:r>
      <w:r w:rsidRPr="00CB2B9A">
        <w:rPr>
          <w:rFonts w:ascii="Arial" w:hAnsi="Arial" w:cs="Arial"/>
          <w:sz w:val="22"/>
        </w:rPr>
        <w:t>ani v rámci inventarizace</w:t>
      </w:r>
      <w:r>
        <w:rPr>
          <w:rFonts w:ascii="Arial" w:hAnsi="Arial" w:cs="Arial"/>
          <w:sz w:val="22"/>
        </w:rPr>
        <w:t>)</w:t>
      </w:r>
      <w:r w:rsidRPr="00CB2B9A">
        <w:rPr>
          <w:rFonts w:ascii="Arial" w:hAnsi="Arial" w:cs="Arial"/>
          <w:sz w:val="22"/>
        </w:rPr>
        <w:t xml:space="preserve"> ošetřeno riziko, zda MD používá veškerá programová vybavení v souladu s platnými licenčními smlouvami, např. zda nemá nainstalované i jiné produkty než ty, které jsou </w:t>
      </w:r>
      <w:r>
        <w:rPr>
          <w:rFonts w:ascii="Arial" w:hAnsi="Arial" w:cs="Arial"/>
          <w:sz w:val="22"/>
        </w:rPr>
        <w:t>podloženy licenčními smlouvami</w:t>
      </w:r>
      <w:r w:rsidR="001E5608">
        <w:rPr>
          <w:rFonts w:ascii="Arial" w:hAnsi="Arial" w:cs="Arial"/>
          <w:sz w:val="22"/>
        </w:rPr>
        <w:t>.</w:t>
      </w:r>
    </w:p>
    <w:p w:rsidR="008F27A1" w:rsidRPr="008F27A1" w:rsidRDefault="0057758A" w:rsidP="000734E1">
      <w:pPr>
        <w:numPr>
          <w:ilvl w:val="0"/>
          <w:numId w:val="22"/>
        </w:numPr>
        <w:ind w:left="567" w:hanging="284"/>
        <w:rPr>
          <w:rFonts w:ascii="Arial" w:hAnsi="Arial" w:cs="Arial"/>
          <w:sz w:val="22"/>
        </w:rPr>
      </w:pPr>
      <w:r w:rsidRPr="00247F49">
        <w:rPr>
          <w:rFonts w:ascii="Arial" w:hAnsi="Arial" w:cs="Arial"/>
          <w:b/>
          <w:color w:val="000000"/>
          <w:sz w:val="22"/>
        </w:rPr>
        <w:t>MD</w:t>
      </w:r>
      <w:r w:rsidR="00F66036" w:rsidRPr="00247F49">
        <w:rPr>
          <w:rFonts w:ascii="Arial" w:hAnsi="Arial" w:cs="Arial"/>
          <w:b/>
          <w:color w:val="000000"/>
          <w:sz w:val="22"/>
        </w:rPr>
        <w:t xml:space="preserve"> opakovaně </w:t>
      </w:r>
      <w:r w:rsidRPr="00247F49">
        <w:rPr>
          <w:rFonts w:ascii="Arial" w:hAnsi="Arial" w:cs="Arial"/>
          <w:b/>
          <w:color w:val="000000"/>
          <w:sz w:val="22"/>
        </w:rPr>
        <w:t xml:space="preserve">vysvětlovalo problémy </w:t>
      </w:r>
      <w:r w:rsidR="001E5608">
        <w:rPr>
          <w:rFonts w:ascii="Arial" w:hAnsi="Arial" w:cs="Arial"/>
          <w:b/>
          <w:color w:val="000000"/>
          <w:sz w:val="22"/>
        </w:rPr>
        <w:t>vzniklé</w:t>
      </w:r>
      <w:r w:rsidRPr="00247F49">
        <w:rPr>
          <w:rFonts w:ascii="Arial" w:hAnsi="Arial" w:cs="Arial"/>
          <w:b/>
          <w:color w:val="000000"/>
          <w:sz w:val="22"/>
        </w:rPr>
        <w:t xml:space="preserve"> </w:t>
      </w:r>
      <w:r w:rsidR="00D72D32" w:rsidRPr="00247F49">
        <w:rPr>
          <w:rFonts w:ascii="Arial" w:hAnsi="Arial" w:cs="Arial"/>
          <w:b/>
          <w:color w:val="000000"/>
          <w:sz w:val="22"/>
        </w:rPr>
        <w:t xml:space="preserve">při vedení </w:t>
      </w:r>
      <w:r w:rsidRPr="00247F49">
        <w:rPr>
          <w:rFonts w:ascii="Arial" w:hAnsi="Arial" w:cs="Arial"/>
          <w:b/>
          <w:color w:val="000000"/>
          <w:sz w:val="22"/>
        </w:rPr>
        <w:t xml:space="preserve">účetnictví potížemi souvisejícími </w:t>
      </w:r>
      <w:r w:rsidR="0044342E">
        <w:rPr>
          <w:rFonts w:ascii="Arial" w:hAnsi="Arial" w:cs="Arial"/>
          <w:b/>
          <w:color w:val="000000"/>
          <w:sz w:val="22"/>
        </w:rPr>
        <w:t>s </w:t>
      </w:r>
      <w:r w:rsidRPr="00247F49">
        <w:rPr>
          <w:rFonts w:ascii="Arial" w:hAnsi="Arial" w:cs="Arial"/>
          <w:b/>
          <w:color w:val="000000"/>
          <w:sz w:val="22"/>
        </w:rPr>
        <w:t>provozováním používaného systému pro vedení účetnictví</w:t>
      </w:r>
      <w:r w:rsidR="00D72D32" w:rsidRPr="000734E1">
        <w:rPr>
          <w:rFonts w:ascii="Arial" w:hAnsi="Arial" w:cs="Arial"/>
          <w:b/>
          <w:color w:val="000000"/>
          <w:sz w:val="22"/>
        </w:rPr>
        <w:t>,</w:t>
      </w:r>
      <w:r w:rsidR="00D72D32">
        <w:rPr>
          <w:rFonts w:ascii="Arial" w:hAnsi="Arial" w:cs="Arial"/>
          <w:color w:val="000000"/>
          <w:sz w:val="22"/>
        </w:rPr>
        <w:t xml:space="preserve"> např. problémy </w:t>
      </w:r>
      <w:r w:rsidR="0044342E">
        <w:rPr>
          <w:rFonts w:ascii="Arial" w:hAnsi="Arial" w:cs="Arial"/>
          <w:color w:val="000000"/>
          <w:sz w:val="22"/>
        </w:rPr>
        <w:t>v </w:t>
      </w:r>
      <w:r w:rsidR="00D72D32">
        <w:rPr>
          <w:rFonts w:ascii="Arial" w:hAnsi="Arial" w:cs="Arial"/>
          <w:color w:val="000000"/>
          <w:sz w:val="22"/>
        </w:rPr>
        <w:t xml:space="preserve">souvislosti s ukončením servisní smlouvy s dodavatelem systému. </w:t>
      </w:r>
      <w:r w:rsidR="007829D4" w:rsidRPr="00247F49">
        <w:rPr>
          <w:rFonts w:ascii="Arial" w:hAnsi="Arial" w:cs="Arial"/>
          <w:b/>
          <w:color w:val="000000"/>
          <w:sz w:val="22"/>
        </w:rPr>
        <w:t xml:space="preserve">Problémy se týkaly </w:t>
      </w:r>
      <w:r w:rsidR="00450007" w:rsidRPr="00247F49">
        <w:rPr>
          <w:rFonts w:ascii="Arial" w:hAnsi="Arial" w:cs="Arial"/>
          <w:b/>
          <w:color w:val="000000"/>
          <w:sz w:val="22"/>
        </w:rPr>
        <w:t xml:space="preserve">např. </w:t>
      </w:r>
      <w:r w:rsidR="007829D4" w:rsidRPr="00247F49">
        <w:rPr>
          <w:rFonts w:ascii="Arial" w:hAnsi="Arial" w:cs="Arial"/>
          <w:b/>
          <w:color w:val="000000"/>
          <w:sz w:val="22"/>
        </w:rPr>
        <w:t>nastavení odpisů nebo rozdílu mezi zaúčtovanými údaji a údaji v operativních účetních záznamech</w:t>
      </w:r>
      <w:r w:rsidR="00450007" w:rsidRPr="00247F49">
        <w:rPr>
          <w:rFonts w:ascii="Arial" w:hAnsi="Arial" w:cs="Arial"/>
          <w:b/>
          <w:color w:val="000000"/>
          <w:sz w:val="22"/>
        </w:rPr>
        <w:t>, přestože i ty měly vznikat na základě údajů vedených v účetn</w:t>
      </w:r>
      <w:r w:rsidR="007D243D" w:rsidRPr="00247F49">
        <w:rPr>
          <w:rFonts w:ascii="Arial" w:hAnsi="Arial" w:cs="Arial"/>
          <w:b/>
          <w:color w:val="000000"/>
          <w:sz w:val="22"/>
        </w:rPr>
        <w:t>ictví</w:t>
      </w:r>
      <w:r w:rsidR="007D243D">
        <w:rPr>
          <w:rFonts w:ascii="Arial" w:hAnsi="Arial" w:cs="Arial"/>
          <w:color w:val="000000"/>
          <w:sz w:val="22"/>
        </w:rPr>
        <w:t xml:space="preserve"> a </w:t>
      </w:r>
      <w:r w:rsidR="00FB092C">
        <w:rPr>
          <w:rFonts w:ascii="Arial" w:hAnsi="Arial" w:cs="Arial"/>
          <w:color w:val="000000"/>
          <w:sz w:val="22"/>
        </w:rPr>
        <w:t xml:space="preserve">měly si </w:t>
      </w:r>
      <w:r w:rsidR="001E5608">
        <w:rPr>
          <w:rFonts w:ascii="Arial" w:hAnsi="Arial" w:cs="Arial"/>
          <w:color w:val="000000"/>
          <w:sz w:val="22"/>
        </w:rPr>
        <w:t>tedy</w:t>
      </w:r>
      <w:r w:rsidR="00FB092C">
        <w:rPr>
          <w:rFonts w:ascii="Arial" w:hAnsi="Arial" w:cs="Arial"/>
          <w:color w:val="000000"/>
          <w:sz w:val="22"/>
        </w:rPr>
        <w:t xml:space="preserve"> odpovídat.</w:t>
      </w:r>
      <w:r w:rsidR="00450007">
        <w:rPr>
          <w:rFonts w:ascii="Arial" w:hAnsi="Arial" w:cs="Arial"/>
          <w:color w:val="000000"/>
          <w:sz w:val="22"/>
        </w:rPr>
        <w:t xml:space="preserve"> MD k</w:t>
      </w:r>
      <w:r w:rsidR="007D243D">
        <w:rPr>
          <w:rFonts w:ascii="Arial" w:hAnsi="Arial" w:cs="Arial"/>
          <w:color w:val="000000"/>
          <w:sz w:val="22"/>
        </w:rPr>
        <w:t> </w:t>
      </w:r>
      <w:r w:rsidR="00450007">
        <w:rPr>
          <w:rFonts w:ascii="Arial" w:hAnsi="Arial" w:cs="Arial"/>
          <w:color w:val="000000"/>
          <w:sz w:val="22"/>
        </w:rPr>
        <w:t xml:space="preserve">tomu </w:t>
      </w:r>
      <w:r w:rsidR="00450007" w:rsidRPr="00450007">
        <w:rPr>
          <w:rFonts w:ascii="Arial" w:hAnsi="Arial" w:cs="Arial"/>
          <w:color w:val="000000"/>
          <w:sz w:val="22"/>
        </w:rPr>
        <w:t>uvedlo, že se (a</w:t>
      </w:r>
      <w:r w:rsidR="00450007" w:rsidRPr="00450007">
        <w:rPr>
          <w:rFonts w:ascii="Arial" w:hAnsi="Arial" w:cs="Arial"/>
          <w:color w:val="000000"/>
          <w:sz w:val="22"/>
          <w:lang w:eastAsia="cs-CZ"/>
        </w:rPr>
        <w:t>ni zpětně) nepodařilo příčinu rozdílů zjistit.</w:t>
      </w:r>
      <w:r w:rsidR="007829D4" w:rsidRPr="00450007">
        <w:rPr>
          <w:rFonts w:ascii="Arial" w:hAnsi="Arial" w:cs="Arial"/>
          <w:color w:val="000000"/>
          <w:sz w:val="22"/>
        </w:rPr>
        <w:t xml:space="preserve"> </w:t>
      </w:r>
    </w:p>
    <w:p w:rsidR="004102EB" w:rsidRDefault="004102EB" w:rsidP="000734E1">
      <w:pPr>
        <w:ind w:left="567"/>
        <w:rPr>
          <w:rFonts w:ascii="Arial" w:hAnsi="Arial" w:cs="Arial"/>
          <w:b/>
          <w:sz w:val="22"/>
        </w:rPr>
      </w:pPr>
    </w:p>
    <w:p w:rsidR="0085628F" w:rsidRDefault="00450007" w:rsidP="000734E1">
      <w:pPr>
        <w:ind w:left="567"/>
        <w:rPr>
          <w:rFonts w:ascii="Arial" w:hAnsi="Arial" w:cs="Arial"/>
          <w:sz w:val="22"/>
        </w:rPr>
      </w:pPr>
      <w:r w:rsidRPr="00247F49">
        <w:rPr>
          <w:rFonts w:ascii="Arial" w:hAnsi="Arial" w:cs="Arial"/>
          <w:b/>
          <w:sz w:val="22"/>
        </w:rPr>
        <w:t>Vzhledem k</w:t>
      </w:r>
      <w:r w:rsidR="007D243D" w:rsidRPr="00247F49">
        <w:rPr>
          <w:rFonts w:ascii="Arial" w:hAnsi="Arial" w:cs="Arial"/>
          <w:b/>
          <w:sz w:val="22"/>
        </w:rPr>
        <w:t> </w:t>
      </w:r>
      <w:r w:rsidRPr="00247F49">
        <w:rPr>
          <w:rFonts w:ascii="Arial" w:hAnsi="Arial" w:cs="Arial"/>
          <w:b/>
          <w:sz w:val="22"/>
        </w:rPr>
        <w:t>tomu, že samo MD nezná některé příč</w:t>
      </w:r>
      <w:r w:rsidR="0021572A">
        <w:rPr>
          <w:rFonts w:ascii="Arial" w:hAnsi="Arial" w:cs="Arial"/>
          <w:b/>
          <w:sz w:val="22"/>
        </w:rPr>
        <w:t>iny vznikajících rozdílů u </w:t>
      </w:r>
      <w:r w:rsidRPr="00247F49">
        <w:rPr>
          <w:rFonts w:ascii="Arial" w:hAnsi="Arial" w:cs="Arial"/>
          <w:b/>
          <w:sz w:val="22"/>
        </w:rPr>
        <w:t>zaúčtovaných údajů</w:t>
      </w:r>
      <w:r w:rsidR="00FB092C" w:rsidRPr="00247F49">
        <w:rPr>
          <w:rFonts w:ascii="Arial" w:hAnsi="Arial" w:cs="Arial"/>
          <w:b/>
          <w:sz w:val="22"/>
        </w:rPr>
        <w:t xml:space="preserve"> a odvolává se na možné problémy používaného informačního systému pro vedení účetnictví</w:t>
      </w:r>
      <w:r w:rsidRPr="00247F49">
        <w:rPr>
          <w:rFonts w:ascii="Arial" w:hAnsi="Arial" w:cs="Arial"/>
          <w:b/>
          <w:sz w:val="22"/>
        </w:rPr>
        <w:t xml:space="preserve">, je třeba konstatovat, že rizika spojená </w:t>
      </w:r>
      <w:r w:rsidR="005C6E5A" w:rsidRPr="00247F49">
        <w:rPr>
          <w:rFonts w:ascii="Arial" w:hAnsi="Arial" w:cs="Arial"/>
          <w:b/>
          <w:sz w:val="22"/>
        </w:rPr>
        <w:t>s</w:t>
      </w:r>
      <w:r w:rsidR="007D243D" w:rsidRPr="00247F49">
        <w:rPr>
          <w:rFonts w:ascii="Arial" w:hAnsi="Arial" w:cs="Arial"/>
          <w:b/>
          <w:sz w:val="22"/>
        </w:rPr>
        <w:t> </w:t>
      </w:r>
      <w:r w:rsidRPr="00247F49">
        <w:rPr>
          <w:rFonts w:ascii="Arial" w:hAnsi="Arial" w:cs="Arial"/>
          <w:b/>
          <w:sz w:val="22"/>
        </w:rPr>
        <w:t xml:space="preserve">fungováním </w:t>
      </w:r>
      <w:r w:rsidR="005C71F6">
        <w:rPr>
          <w:rFonts w:ascii="Arial" w:hAnsi="Arial" w:cs="Arial"/>
          <w:b/>
          <w:sz w:val="22"/>
        </w:rPr>
        <w:t xml:space="preserve">tohoto </w:t>
      </w:r>
      <w:r w:rsidRPr="00247F49">
        <w:rPr>
          <w:rFonts w:ascii="Arial" w:hAnsi="Arial" w:cs="Arial"/>
          <w:b/>
          <w:sz w:val="22"/>
        </w:rPr>
        <w:t>informačního systému v</w:t>
      </w:r>
      <w:r w:rsidR="007D243D" w:rsidRPr="00247F49">
        <w:rPr>
          <w:rFonts w:ascii="Arial" w:hAnsi="Arial" w:cs="Arial"/>
          <w:b/>
          <w:sz w:val="22"/>
        </w:rPr>
        <w:t> </w:t>
      </w:r>
      <w:r w:rsidRPr="00247F49">
        <w:rPr>
          <w:rFonts w:ascii="Arial" w:hAnsi="Arial" w:cs="Arial"/>
          <w:b/>
          <w:sz w:val="22"/>
        </w:rPr>
        <w:t>roce 2013 vážně ohrožovala průkaznost údajů</w:t>
      </w:r>
      <w:r w:rsidR="005C71F6">
        <w:rPr>
          <w:rFonts w:ascii="Arial" w:hAnsi="Arial" w:cs="Arial"/>
          <w:b/>
          <w:sz w:val="22"/>
        </w:rPr>
        <w:t xml:space="preserve"> v </w:t>
      </w:r>
      <w:r w:rsidR="005C71F6" w:rsidRPr="00247F49">
        <w:rPr>
          <w:rFonts w:ascii="Arial" w:hAnsi="Arial" w:cs="Arial"/>
          <w:b/>
          <w:sz w:val="22"/>
        </w:rPr>
        <w:t>účetnictví</w:t>
      </w:r>
      <w:r w:rsidR="005C71F6">
        <w:rPr>
          <w:rFonts w:ascii="Arial" w:hAnsi="Arial" w:cs="Arial"/>
          <w:b/>
          <w:sz w:val="22"/>
        </w:rPr>
        <w:t xml:space="preserve"> MD</w:t>
      </w:r>
      <w:r w:rsidR="00F66036" w:rsidRPr="00247F49">
        <w:rPr>
          <w:rFonts w:ascii="Arial" w:hAnsi="Arial" w:cs="Arial"/>
          <w:b/>
          <w:sz w:val="22"/>
        </w:rPr>
        <w:t>.</w:t>
      </w:r>
      <w:r w:rsidRPr="00450007">
        <w:rPr>
          <w:rFonts w:ascii="Arial" w:hAnsi="Arial" w:cs="Arial"/>
          <w:sz w:val="22"/>
        </w:rPr>
        <w:t xml:space="preserve"> </w:t>
      </w:r>
      <w:r w:rsidR="00F66036">
        <w:rPr>
          <w:rFonts w:ascii="Arial" w:hAnsi="Arial" w:cs="Arial"/>
          <w:sz w:val="22"/>
        </w:rPr>
        <w:t>K</w:t>
      </w:r>
      <w:r w:rsidR="00D72D32" w:rsidRPr="00450007">
        <w:rPr>
          <w:rFonts w:ascii="Arial" w:hAnsi="Arial" w:cs="Arial"/>
          <w:sz w:val="22"/>
        </w:rPr>
        <w:t xml:space="preserve">ontrolní systém </w:t>
      </w:r>
      <w:r w:rsidR="005C71F6">
        <w:rPr>
          <w:rFonts w:ascii="Arial" w:hAnsi="Arial" w:cs="Arial"/>
          <w:sz w:val="22"/>
        </w:rPr>
        <w:t xml:space="preserve">Ministerstva dopravy </w:t>
      </w:r>
      <w:r w:rsidR="00D72D32" w:rsidRPr="00450007">
        <w:rPr>
          <w:rFonts w:ascii="Arial" w:hAnsi="Arial" w:cs="Arial"/>
          <w:sz w:val="22"/>
        </w:rPr>
        <w:t>nebyl dostatečně účinný, aby zajistil eliminaci</w:t>
      </w:r>
      <w:r w:rsidR="00D72D32" w:rsidRPr="00D72D32">
        <w:rPr>
          <w:rFonts w:ascii="Arial" w:hAnsi="Arial" w:cs="Arial"/>
          <w:sz w:val="22"/>
        </w:rPr>
        <w:t xml:space="preserve"> rizik dávaných do souvislosti s</w:t>
      </w:r>
      <w:r w:rsidR="007D243D">
        <w:rPr>
          <w:rFonts w:ascii="Arial" w:hAnsi="Arial" w:cs="Arial"/>
          <w:sz w:val="22"/>
        </w:rPr>
        <w:t> </w:t>
      </w:r>
      <w:r w:rsidR="00D72D32" w:rsidRPr="00D72D32">
        <w:rPr>
          <w:rFonts w:ascii="Arial" w:hAnsi="Arial" w:cs="Arial"/>
          <w:sz w:val="22"/>
        </w:rPr>
        <w:t>neexistencí servisní smlouvy (vyskytovaly se po významnou část roku 2013) a</w:t>
      </w:r>
      <w:r w:rsidR="001E5608">
        <w:rPr>
          <w:rFonts w:ascii="Arial" w:hAnsi="Arial" w:cs="Arial"/>
          <w:sz w:val="22"/>
        </w:rPr>
        <w:t> </w:t>
      </w:r>
      <w:r w:rsidR="00D72D32" w:rsidRPr="00D72D32">
        <w:rPr>
          <w:rFonts w:ascii="Arial" w:hAnsi="Arial" w:cs="Arial"/>
          <w:sz w:val="22"/>
        </w:rPr>
        <w:t>objasňování</w:t>
      </w:r>
      <w:r w:rsidR="00D72D32">
        <w:rPr>
          <w:rFonts w:ascii="Arial" w:hAnsi="Arial" w:cs="Arial"/>
          <w:sz w:val="22"/>
        </w:rPr>
        <w:t>m</w:t>
      </w:r>
      <w:r w:rsidR="00D72D32" w:rsidRPr="00D72D32">
        <w:rPr>
          <w:rFonts w:ascii="Arial" w:hAnsi="Arial" w:cs="Arial"/>
          <w:sz w:val="22"/>
        </w:rPr>
        <w:t xml:space="preserve"> příčin nedostatků, což </w:t>
      </w:r>
      <w:r w:rsidR="00D72D32">
        <w:rPr>
          <w:rFonts w:ascii="Arial" w:hAnsi="Arial" w:cs="Arial"/>
          <w:sz w:val="22"/>
        </w:rPr>
        <w:t>představuje riziko</w:t>
      </w:r>
      <w:r w:rsidR="000440D6">
        <w:rPr>
          <w:rFonts w:ascii="Arial" w:hAnsi="Arial" w:cs="Arial"/>
          <w:sz w:val="22"/>
        </w:rPr>
        <w:t xml:space="preserve"> </w:t>
      </w:r>
      <w:r w:rsidR="00D72D32" w:rsidRPr="00D72D32">
        <w:rPr>
          <w:rFonts w:ascii="Arial" w:hAnsi="Arial" w:cs="Arial"/>
          <w:sz w:val="22"/>
        </w:rPr>
        <w:t>systémov</w:t>
      </w:r>
      <w:r w:rsidR="00D72D32">
        <w:rPr>
          <w:rFonts w:ascii="Arial" w:hAnsi="Arial" w:cs="Arial"/>
          <w:sz w:val="22"/>
        </w:rPr>
        <w:t>ého</w:t>
      </w:r>
      <w:r w:rsidR="00D72D32" w:rsidRPr="00D72D32">
        <w:rPr>
          <w:rFonts w:ascii="Arial" w:hAnsi="Arial" w:cs="Arial"/>
          <w:sz w:val="22"/>
        </w:rPr>
        <w:t xml:space="preserve"> selhání při vedení účetnictví</w:t>
      </w:r>
      <w:r w:rsidR="005C71F6">
        <w:rPr>
          <w:rFonts w:ascii="Arial" w:hAnsi="Arial" w:cs="Arial"/>
          <w:sz w:val="22"/>
        </w:rPr>
        <w:t>.</w:t>
      </w:r>
    </w:p>
    <w:p w:rsidR="004102EB" w:rsidRDefault="004102EB" w:rsidP="000734E1">
      <w:pPr>
        <w:ind w:left="567"/>
        <w:rPr>
          <w:rFonts w:ascii="Arial" w:hAnsi="Arial" w:cs="Arial"/>
          <w:sz w:val="22"/>
        </w:rPr>
      </w:pPr>
    </w:p>
    <w:p w:rsidR="00AB3EF6" w:rsidRDefault="0085628F" w:rsidP="000734E1">
      <w:pPr>
        <w:numPr>
          <w:ilvl w:val="0"/>
          <w:numId w:val="22"/>
        </w:numPr>
        <w:ind w:left="567" w:hanging="284"/>
        <w:rPr>
          <w:rFonts w:ascii="Arial" w:hAnsi="Arial" w:cs="Arial"/>
          <w:bCs/>
          <w:iCs/>
          <w:sz w:val="22"/>
        </w:rPr>
      </w:pPr>
      <w:r w:rsidRPr="00EC01BD">
        <w:rPr>
          <w:rFonts w:ascii="Arial" w:hAnsi="Arial" w:cs="Arial"/>
          <w:bCs/>
          <w:iCs/>
          <w:sz w:val="22"/>
        </w:rPr>
        <w:t>NKÚ žádal v průběhu kontroly o předložení množství dokladů</w:t>
      </w:r>
      <w:r w:rsidR="004A2962">
        <w:rPr>
          <w:rFonts w:ascii="Arial" w:hAnsi="Arial" w:cs="Arial"/>
          <w:bCs/>
          <w:iCs/>
          <w:sz w:val="22"/>
        </w:rPr>
        <w:t>, které prokaz</w:t>
      </w:r>
      <w:r w:rsidR="000440D6">
        <w:rPr>
          <w:rFonts w:ascii="Arial" w:hAnsi="Arial" w:cs="Arial"/>
          <w:bCs/>
          <w:iCs/>
          <w:sz w:val="22"/>
        </w:rPr>
        <w:t>ují</w:t>
      </w:r>
      <w:r w:rsidRPr="00EC01BD">
        <w:rPr>
          <w:rFonts w:ascii="Arial" w:hAnsi="Arial" w:cs="Arial"/>
          <w:bCs/>
          <w:iCs/>
          <w:sz w:val="22"/>
        </w:rPr>
        <w:t xml:space="preserve"> řádné převzetí dodávek a služeb </w:t>
      </w:r>
      <w:r w:rsidR="004A2962">
        <w:rPr>
          <w:rFonts w:ascii="Arial" w:hAnsi="Arial" w:cs="Arial"/>
          <w:bCs/>
          <w:iCs/>
          <w:sz w:val="22"/>
        </w:rPr>
        <w:t xml:space="preserve">a které souvisejí </w:t>
      </w:r>
      <w:r w:rsidRPr="00EC01BD">
        <w:rPr>
          <w:rFonts w:ascii="Arial" w:hAnsi="Arial" w:cs="Arial"/>
          <w:bCs/>
          <w:iCs/>
          <w:sz w:val="22"/>
        </w:rPr>
        <w:t>s</w:t>
      </w:r>
      <w:r w:rsidR="004A2962">
        <w:rPr>
          <w:rFonts w:ascii="Arial" w:hAnsi="Arial" w:cs="Arial"/>
          <w:bCs/>
          <w:iCs/>
          <w:sz w:val="22"/>
        </w:rPr>
        <w:t> </w:t>
      </w:r>
      <w:r w:rsidR="00F316B7">
        <w:rPr>
          <w:rFonts w:ascii="Arial" w:hAnsi="Arial" w:cs="Arial"/>
          <w:bCs/>
          <w:iCs/>
          <w:sz w:val="22"/>
        </w:rPr>
        <w:t>fakturac</w:t>
      </w:r>
      <w:r w:rsidR="004A2962">
        <w:rPr>
          <w:rFonts w:ascii="Arial" w:hAnsi="Arial" w:cs="Arial"/>
          <w:bCs/>
          <w:iCs/>
          <w:sz w:val="22"/>
        </w:rPr>
        <w:t>í</w:t>
      </w:r>
      <w:r w:rsidR="00F316B7">
        <w:rPr>
          <w:rFonts w:ascii="Arial" w:hAnsi="Arial" w:cs="Arial"/>
          <w:bCs/>
          <w:iCs/>
          <w:sz w:val="22"/>
        </w:rPr>
        <w:t xml:space="preserve"> za </w:t>
      </w:r>
      <w:r w:rsidRPr="00EC01BD">
        <w:rPr>
          <w:rFonts w:ascii="Arial" w:hAnsi="Arial" w:cs="Arial"/>
          <w:bCs/>
          <w:iCs/>
          <w:sz w:val="22"/>
        </w:rPr>
        <w:t>vybran</w:t>
      </w:r>
      <w:r w:rsidR="00F316B7">
        <w:rPr>
          <w:rFonts w:ascii="Arial" w:hAnsi="Arial" w:cs="Arial"/>
          <w:bCs/>
          <w:iCs/>
          <w:sz w:val="22"/>
        </w:rPr>
        <w:t>á</w:t>
      </w:r>
      <w:r w:rsidRPr="00EC01BD">
        <w:rPr>
          <w:rFonts w:ascii="Arial" w:hAnsi="Arial" w:cs="Arial"/>
          <w:bCs/>
          <w:iCs/>
          <w:sz w:val="22"/>
        </w:rPr>
        <w:t xml:space="preserve"> programov</w:t>
      </w:r>
      <w:r w:rsidR="00F316B7">
        <w:rPr>
          <w:rFonts w:ascii="Arial" w:hAnsi="Arial" w:cs="Arial"/>
          <w:bCs/>
          <w:iCs/>
          <w:sz w:val="22"/>
        </w:rPr>
        <w:t>á</w:t>
      </w:r>
      <w:r w:rsidRPr="00EC01BD">
        <w:rPr>
          <w:rFonts w:ascii="Arial" w:hAnsi="Arial" w:cs="Arial"/>
          <w:bCs/>
          <w:iCs/>
          <w:sz w:val="22"/>
        </w:rPr>
        <w:t xml:space="preserve"> vybavení (např. předávací protokoly, akceptační protokoly)</w:t>
      </w:r>
      <w:r w:rsidR="005C71F6">
        <w:rPr>
          <w:rFonts w:ascii="Arial" w:hAnsi="Arial" w:cs="Arial"/>
          <w:bCs/>
          <w:iCs/>
          <w:sz w:val="22"/>
        </w:rPr>
        <w:t>.</w:t>
      </w:r>
      <w:r w:rsidRPr="00EC01BD">
        <w:rPr>
          <w:rFonts w:ascii="Arial" w:hAnsi="Arial" w:cs="Arial"/>
          <w:bCs/>
          <w:iCs/>
          <w:sz w:val="22"/>
        </w:rPr>
        <w:t xml:space="preserve"> MD však </w:t>
      </w:r>
      <w:r w:rsidR="007D243D">
        <w:rPr>
          <w:rFonts w:ascii="Arial" w:hAnsi="Arial" w:cs="Arial"/>
          <w:bCs/>
          <w:iCs/>
          <w:sz w:val="22"/>
        </w:rPr>
        <w:t>v písemných odpovědích uvedlo a </w:t>
      </w:r>
      <w:r w:rsidRPr="00EC01BD">
        <w:rPr>
          <w:rFonts w:ascii="Arial" w:hAnsi="Arial" w:cs="Arial"/>
          <w:bCs/>
          <w:iCs/>
          <w:sz w:val="22"/>
        </w:rPr>
        <w:t xml:space="preserve">potvrdilo, že požadovanou dokumentaci nemá k dispozici. </w:t>
      </w:r>
      <w:r w:rsidR="00AF1FE6">
        <w:rPr>
          <w:rFonts w:ascii="Arial" w:hAnsi="Arial" w:cs="Arial"/>
          <w:bCs/>
          <w:iCs/>
          <w:sz w:val="22"/>
        </w:rPr>
        <w:t xml:space="preserve">Po upozornění na </w:t>
      </w:r>
      <w:r w:rsidR="00C26EDD">
        <w:rPr>
          <w:rFonts w:ascii="Arial" w:hAnsi="Arial" w:cs="Arial"/>
          <w:bCs/>
          <w:iCs/>
          <w:sz w:val="22"/>
        </w:rPr>
        <w:t xml:space="preserve">závažnost a rozsah </w:t>
      </w:r>
      <w:r w:rsidR="00AF1FE6">
        <w:rPr>
          <w:rFonts w:ascii="Arial" w:hAnsi="Arial" w:cs="Arial"/>
          <w:bCs/>
          <w:iCs/>
          <w:sz w:val="22"/>
        </w:rPr>
        <w:t>problém</w:t>
      </w:r>
      <w:r w:rsidR="008F27A1">
        <w:rPr>
          <w:rFonts w:ascii="Arial" w:hAnsi="Arial" w:cs="Arial"/>
          <w:bCs/>
          <w:iCs/>
          <w:sz w:val="22"/>
        </w:rPr>
        <w:t>u</w:t>
      </w:r>
      <w:r w:rsidR="00AF1FE6">
        <w:rPr>
          <w:rFonts w:ascii="Arial" w:hAnsi="Arial" w:cs="Arial"/>
          <w:bCs/>
          <w:iCs/>
          <w:sz w:val="22"/>
        </w:rPr>
        <w:t xml:space="preserve"> a </w:t>
      </w:r>
      <w:r w:rsidR="00C26EDD">
        <w:rPr>
          <w:rFonts w:ascii="Arial" w:hAnsi="Arial" w:cs="Arial"/>
          <w:bCs/>
          <w:iCs/>
          <w:sz w:val="22"/>
        </w:rPr>
        <w:t xml:space="preserve">po předložení </w:t>
      </w:r>
      <w:r w:rsidR="00AF1FE6">
        <w:rPr>
          <w:rFonts w:ascii="Arial" w:hAnsi="Arial" w:cs="Arial"/>
          <w:bCs/>
          <w:iCs/>
          <w:sz w:val="22"/>
        </w:rPr>
        <w:t>žádosti o</w:t>
      </w:r>
      <w:r w:rsidR="000440D6">
        <w:rPr>
          <w:rFonts w:ascii="Arial" w:hAnsi="Arial" w:cs="Arial"/>
          <w:bCs/>
          <w:iCs/>
          <w:sz w:val="22"/>
        </w:rPr>
        <w:t xml:space="preserve"> </w:t>
      </w:r>
      <w:r w:rsidR="00F316B7">
        <w:rPr>
          <w:rFonts w:ascii="Arial" w:hAnsi="Arial" w:cs="Arial"/>
          <w:sz w:val="22"/>
        </w:rPr>
        <w:t>písemn</w:t>
      </w:r>
      <w:r w:rsidR="00AF1FE6">
        <w:rPr>
          <w:rFonts w:ascii="Arial" w:hAnsi="Arial" w:cs="Arial"/>
          <w:sz w:val="22"/>
        </w:rPr>
        <w:t>é</w:t>
      </w:r>
      <w:r w:rsidR="00F316B7">
        <w:rPr>
          <w:rFonts w:ascii="Arial" w:hAnsi="Arial" w:cs="Arial"/>
          <w:sz w:val="22"/>
        </w:rPr>
        <w:t xml:space="preserve"> potvrzení, </w:t>
      </w:r>
      <w:r w:rsidR="00F316B7" w:rsidRPr="00951245">
        <w:rPr>
          <w:rFonts w:ascii="Arial" w:hAnsi="Arial" w:cs="Arial"/>
          <w:bCs/>
          <w:iCs/>
          <w:sz w:val="22"/>
        </w:rPr>
        <w:t>že takový rozsah dokumentace není skutečně k</w:t>
      </w:r>
      <w:r w:rsidR="00AF1FE6">
        <w:rPr>
          <w:rFonts w:ascii="Arial" w:hAnsi="Arial" w:cs="Arial"/>
          <w:bCs/>
          <w:iCs/>
          <w:sz w:val="22"/>
        </w:rPr>
        <w:t> </w:t>
      </w:r>
      <w:r w:rsidR="00F316B7" w:rsidRPr="00951245">
        <w:rPr>
          <w:rFonts w:ascii="Arial" w:hAnsi="Arial" w:cs="Arial"/>
          <w:bCs/>
          <w:iCs/>
          <w:sz w:val="22"/>
        </w:rPr>
        <w:t>dispozici</w:t>
      </w:r>
      <w:r w:rsidR="00AF1FE6">
        <w:rPr>
          <w:rFonts w:ascii="Arial" w:hAnsi="Arial" w:cs="Arial"/>
          <w:bCs/>
          <w:iCs/>
          <w:sz w:val="22"/>
        </w:rPr>
        <w:t>, však</w:t>
      </w:r>
      <w:r w:rsidR="00F316B7">
        <w:rPr>
          <w:rFonts w:ascii="Arial" w:hAnsi="Arial" w:cs="Arial"/>
          <w:bCs/>
          <w:iCs/>
          <w:sz w:val="22"/>
        </w:rPr>
        <w:t xml:space="preserve"> MD </w:t>
      </w:r>
      <w:r w:rsidR="00073876">
        <w:rPr>
          <w:rFonts w:ascii="Arial" w:hAnsi="Arial" w:cs="Arial"/>
          <w:bCs/>
          <w:iCs/>
          <w:sz w:val="22"/>
        </w:rPr>
        <w:t>doklad</w:t>
      </w:r>
      <w:r w:rsidR="008F1CFC">
        <w:rPr>
          <w:rFonts w:ascii="Arial" w:hAnsi="Arial" w:cs="Arial"/>
          <w:bCs/>
          <w:iCs/>
          <w:sz w:val="22"/>
        </w:rPr>
        <w:t>y</w:t>
      </w:r>
      <w:r w:rsidR="00073876">
        <w:rPr>
          <w:rFonts w:ascii="Arial" w:hAnsi="Arial" w:cs="Arial"/>
          <w:bCs/>
          <w:iCs/>
          <w:sz w:val="22"/>
        </w:rPr>
        <w:t xml:space="preserve"> </w:t>
      </w:r>
      <w:r w:rsidR="00EC01BD" w:rsidRPr="00EC01BD">
        <w:rPr>
          <w:rFonts w:ascii="Arial" w:hAnsi="Arial" w:cs="Arial"/>
          <w:bCs/>
          <w:iCs/>
          <w:sz w:val="22"/>
        </w:rPr>
        <w:t>dohledalo a předalo.</w:t>
      </w:r>
    </w:p>
    <w:p w:rsidR="004102EB" w:rsidRDefault="004102EB" w:rsidP="00AC470D">
      <w:pPr>
        <w:rPr>
          <w:rFonts w:ascii="Arial" w:hAnsi="Arial" w:cs="Arial"/>
          <w:bCs/>
          <w:iCs/>
          <w:sz w:val="22"/>
        </w:rPr>
      </w:pPr>
    </w:p>
    <w:p w:rsidR="0085628F" w:rsidRPr="00AB3EF6" w:rsidRDefault="00C26EDD" w:rsidP="00AC470D">
      <w:pPr>
        <w:spacing w:after="120"/>
        <w:ind w:left="567"/>
        <w:rPr>
          <w:rFonts w:ascii="Arial" w:hAnsi="Arial" w:cs="Arial"/>
          <w:bCs/>
          <w:iCs/>
          <w:sz w:val="22"/>
        </w:rPr>
      </w:pPr>
      <w:r w:rsidRPr="001B6055">
        <w:rPr>
          <w:rFonts w:ascii="Arial" w:hAnsi="Arial" w:cs="Arial"/>
          <w:bCs/>
          <w:iCs/>
          <w:sz w:val="22"/>
        </w:rPr>
        <w:t xml:space="preserve">Tato skutečnost </w:t>
      </w:r>
      <w:r w:rsidR="00EC01BD" w:rsidRPr="001B6055">
        <w:rPr>
          <w:rFonts w:ascii="Arial" w:hAnsi="Arial" w:cs="Arial"/>
          <w:bCs/>
          <w:iCs/>
          <w:sz w:val="22"/>
        </w:rPr>
        <w:t xml:space="preserve">svědčí o problémech s evidencí </w:t>
      </w:r>
      <w:r w:rsidR="005C6E5A" w:rsidRPr="001B6055">
        <w:rPr>
          <w:rFonts w:ascii="Arial" w:hAnsi="Arial" w:cs="Arial"/>
          <w:bCs/>
          <w:iCs/>
          <w:sz w:val="22"/>
        </w:rPr>
        <w:t xml:space="preserve">dokumentů </w:t>
      </w:r>
      <w:r w:rsidR="00EC01BD" w:rsidRPr="001B6055">
        <w:rPr>
          <w:rFonts w:ascii="Arial" w:hAnsi="Arial" w:cs="Arial"/>
          <w:bCs/>
          <w:iCs/>
          <w:sz w:val="22"/>
        </w:rPr>
        <w:t xml:space="preserve">a prokazováním </w:t>
      </w:r>
      <w:r w:rsidR="005C6E5A" w:rsidRPr="001339B4">
        <w:rPr>
          <w:rFonts w:ascii="Arial" w:hAnsi="Arial" w:cs="Arial"/>
          <w:bCs/>
          <w:iCs/>
          <w:sz w:val="22"/>
        </w:rPr>
        <w:t>informací.</w:t>
      </w:r>
      <w:r w:rsidR="00CF408B" w:rsidRPr="00D7795C">
        <w:rPr>
          <w:rFonts w:ascii="Arial" w:hAnsi="Arial" w:cs="Arial"/>
          <w:bCs/>
          <w:iCs/>
          <w:sz w:val="22"/>
        </w:rPr>
        <w:t xml:space="preserve"> Tyto problémy</w:t>
      </w:r>
      <w:r w:rsidRPr="0016696F">
        <w:rPr>
          <w:rFonts w:ascii="Arial" w:hAnsi="Arial" w:cs="Arial"/>
          <w:bCs/>
          <w:iCs/>
          <w:sz w:val="22"/>
        </w:rPr>
        <w:t xml:space="preserve"> ohrožuj</w:t>
      </w:r>
      <w:r w:rsidR="00410CE0" w:rsidRPr="0016696F">
        <w:rPr>
          <w:rFonts w:ascii="Arial" w:hAnsi="Arial" w:cs="Arial"/>
          <w:bCs/>
          <w:iCs/>
          <w:sz w:val="22"/>
        </w:rPr>
        <w:t>í mj.</w:t>
      </w:r>
      <w:r w:rsidRPr="0016696F">
        <w:rPr>
          <w:rFonts w:ascii="Arial" w:hAnsi="Arial" w:cs="Arial"/>
          <w:bCs/>
          <w:iCs/>
          <w:sz w:val="22"/>
        </w:rPr>
        <w:t xml:space="preserve"> </w:t>
      </w:r>
      <w:r w:rsidR="00410CE0" w:rsidRPr="0016696F">
        <w:rPr>
          <w:rFonts w:ascii="Arial" w:hAnsi="Arial" w:cs="Arial"/>
          <w:bCs/>
          <w:iCs/>
          <w:sz w:val="22"/>
        </w:rPr>
        <w:t xml:space="preserve">efektivní </w:t>
      </w:r>
      <w:r w:rsidR="008F27A1" w:rsidRPr="0016696F">
        <w:rPr>
          <w:rFonts w:ascii="Arial" w:hAnsi="Arial" w:cs="Arial"/>
          <w:bCs/>
          <w:iCs/>
          <w:sz w:val="22"/>
        </w:rPr>
        <w:t>průběh kontroly a důvěru v předáva</w:t>
      </w:r>
      <w:r w:rsidRPr="0016696F">
        <w:rPr>
          <w:rFonts w:ascii="Arial" w:hAnsi="Arial" w:cs="Arial"/>
          <w:bCs/>
          <w:iCs/>
          <w:sz w:val="22"/>
        </w:rPr>
        <w:t>né informace</w:t>
      </w:r>
      <w:r w:rsidR="00EC01BD" w:rsidRPr="0016696F">
        <w:rPr>
          <w:rFonts w:ascii="Arial" w:hAnsi="Arial" w:cs="Arial"/>
          <w:bCs/>
          <w:iCs/>
          <w:sz w:val="22"/>
        </w:rPr>
        <w:t>.</w:t>
      </w:r>
      <w:r w:rsidR="00EC01BD" w:rsidRPr="00AB3EF6">
        <w:rPr>
          <w:rFonts w:ascii="Arial" w:hAnsi="Arial" w:cs="Arial"/>
          <w:bCs/>
          <w:iCs/>
          <w:sz w:val="22"/>
        </w:rPr>
        <w:t xml:space="preserve"> </w:t>
      </w:r>
    </w:p>
    <w:p w:rsidR="00750ACD" w:rsidRDefault="00750ACD" w:rsidP="00AC470D">
      <w:pPr>
        <w:jc w:val="center"/>
        <w:rPr>
          <w:rFonts w:ascii="Arial" w:hAnsi="Arial" w:cs="Arial"/>
          <w:b/>
        </w:rPr>
      </w:pPr>
    </w:p>
    <w:p w:rsidR="00750ACD" w:rsidRDefault="00750ACD" w:rsidP="00AC470D">
      <w:pPr>
        <w:jc w:val="center"/>
        <w:rPr>
          <w:rFonts w:ascii="Arial" w:hAnsi="Arial" w:cs="Arial"/>
          <w:b/>
        </w:rPr>
      </w:pPr>
    </w:p>
    <w:p w:rsidR="005D4EFE" w:rsidRDefault="005D4EFE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64D5D" w:rsidRDefault="00C26EDD" w:rsidP="00295607">
      <w:pPr>
        <w:jc w:val="center"/>
        <w:rPr>
          <w:rFonts w:ascii="Arial" w:hAnsi="Arial" w:cs="Arial"/>
          <w:b/>
        </w:rPr>
      </w:pPr>
      <w:r w:rsidRPr="00741C30">
        <w:rPr>
          <w:rFonts w:ascii="Arial" w:hAnsi="Arial" w:cs="Arial"/>
          <w:b/>
        </w:rPr>
        <w:lastRenderedPageBreak/>
        <w:t>II</w:t>
      </w:r>
      <w:r>
        <w:rPr>
          <w:rFonts w:ascii="Arial" w:hAnsi="Arial" w:cs="Arial"/>
          <w:b/>
        </w:rPr>
        <w:t>I</w:t>
      </w:r>
      <w:r w:rsidRPr="00741C30">
        <w:rPr>
          <w:rFonts w:ascii="Arial" w:hAnsi="Arial" w:cs="Arial"/>
          <w:b/>
        </w:rPr>
        <w:t>. S</w:t>
      </w:r>
      <w:r>
        <w:rPr>
          <w:rFonts w:ascii="Arial" w:hAnsi="Arial" w:cs="Arial"/>
          <w:b/>
        </w:rPr>
        <w:t>hrnutí a vyhodnocení</w:t>
      </w:r>
    </w:p>
    <w:p w:rsidR="004102EB" w:rsidRDefault="004102EB" w:rsidP="00295607">
      <w:pPr>
        <w:rPr>
          <w:rFonts w:ascii="Arial" w:hAnsi="Arial" w:cs="Arial"/>
          <w:color w:val="000000"/>
          <w:sz w:val="22"/>
        </w:rPr>
      </w:pPr>
    </w:p>
    <w:p w:rsidR="005D4EFE" w:rsidRDefault="00563A15" w:rsidP="00295607">
      <w:pPr>
        <w:rPr>
          <w:rFonts w:ascii="Arial" w:hAnsi="Arial" w:cs="Arial"/>
          <w:color w:val="000000"/>
          <w:sz w:val="22"/>
        </w:rPr>
      </w:pPr>
      <w:r w:rsidRPr="00563A15">
        <w:rPr>
          <w:rFonts w:ascii="Arial" w:hAnsi="Arial" w:cs="Arial"/>
          <w:color w:val="000000"/>
          <w:sz w:val="22"/>
        </w:rPr>
        <w:t xml:space="preserve">Kontrolou </w:t>
      </w:r>
      <w:r w:rsidR="00AB3EF6">
        <w:rPr>
          <w:rFonts w:ascii="Arial" w:hAnsi="Arial" w:cs="Arial"/>
          <w:color w:val="000000"/>
          <w:sz w:val="22"/>
        </w:rPr>
        <w:t xml:space="preserve">bylo </w:t>
      </w:r>
      <w:r w:rsidRPr="00563A15">
        <w:rPr>
          <w:rFonts w:ascii="Arial" w:hAnsi="Arial" w:cs="Arial"/>
          <w:color w:val="000000"/>
          <w:sz w:val="22"/>
        </w:rPr>
        <w:t xml:space="preserve">prověřeno, zda </w:t>
      </w:r>
      <w:r>
        <w:rPr>
          <w:rFonts w:ascii="Arial" w:hAnsi="Arial" w:cs="Arial"/>
          <w:color w:val="000000"/>
          <w:sz w:val="22"/>
        </w:rPr>
        <w:t>MD</w:t>
      </w:r>
      <w:r w:rsidRPr="00563A15">
        <w:rPr>
          <w:rFonts w:ascii="Arial" w:hAnsi="Arial" w:cs="Arial"/>
          <w:color w:val="000000"/>
          <w:sz w:val="22"/>
        </w:rPr>
        <w:t xml:space="preserve"> při sestavení závěrečného účtu, při vedení účetnictví</w:t>
      </w:r>
      <w:r w:rsidR="00F66036">
        <w:rPr>
          <w:rFonts w:ascii="Arial" w:hAnsi="Arial" w:cs="Arial"/>
          <w:color w:val="000000"/>
          <w:sz w:val="22"/>
        </w:rPr>
        <w:t>,</w:t>
      </w:r>
      <w:r w:rsidRPr="00563A15">
        <w:rPr>
          <w:rFonts w:ascii="Arial" w:hAnsi="Arial" w:cs="Arial"/>
          <w:color w:val="000000"/>
          <w:sz w:val="22"/>
        </w:rPr>
        <w:t xml:space="preserve"> </w:t>
      </w:r>
      <w:r w:rsidR="00F66036">
        <w:rPr>
          <w:rFonts w:ascii="Arial" w:hAnsi="Arial" w:cs="Arial"/>
          <w:color w:val="000000"/>
          <w:sz w:val="22"/>
        </w:rPr>
        <w:t xml:space="preserve">při </w:t>
      </w:r>
      <w:r w:rsidRPr="00563A15">
        <w:rPr>
          <w:rFonts w:ascii="Arial" w:hAnsi="Arial" w:cs="Arial"/>
          <w:color w:val="000000"/>
          <w:sz w:val="22"/>
        </w:rPr>
        <w:t xml:space="preserve">sestavení účetní závěrky a </w:t>
      </w:r>
      <w:r w:rsidR="00F66036">
        <w:rPr>
          <w:rFonts w:ascii="Arial" w:hAnsi="Arial" w:cs="Arial"/>
          <w:color w:val="000000"/>
          <w:sz w:val="22"/>
        </w:rPr>
        <w:t xml:space="preserve">sestavení </w:t>
      </w:r>
      <w:r w:rsidRPr="00563A15">
        <w:rPr>
          <w:rFonts w:ascii="Arial" w:hAnsi="Arial" w:cs="Arial"/>
          <w:color w:val="000000"/>
          <w:sz w:val="22"/>
        </w:rPr>
        <w:t>finančních výkazů za rok 201</w:t>
      </w:r>
      <w:r>
        <w:rPr>
          <w:rFonts w:ascii="Arial" w:hAnsi="Arial" w:cs="Arial"/>
          <w:color w:val="000000"/>
          <w:sz w:val="22"/>
        </w:rPr>
        <w:t>3</w:t>
      </w:r>
      <w:r w:rsidR="00741F78">
        <w:rPr>
          <w:rFonts w:ascii="Arial" w:hAnsi="Arial" w:cs="Arial"/>
          <w:color w:val="000000"/>
          <w:sz w:val="22"/>
        </w:rPr>
        <w:t xml:space="preserve"> postupovalo </w:t>
      </w:r>
      <w:r w:rsidR="0044342E">
        <w:rPr>
          <w:rFonts w:ascii="Arial" w:hAnsi="Arial" w:cs="Arial"/>
          <w:color w:val="000000"/>
          <w:sz w:val="22"/>
        </w:rPr>
        <w:t>v </w:t>
      </w:r>
      <w:r w:rsidR="00741F78">
        <w:rPr>
          <w:rFonts w:ascii="Arial" w:hAnsi="Arial" w:cs="Arial"/>
          <w:color w:val="000000"/>
          <w:sz w:val="22"/>
        </w:rPr>
        <w:t>souladu s </w:t>
      </w:r>
      <w:r w:rsidRPr="00563A15">
        <w:rPr>
          <w:rFonts w:ascii="Arial" w:hAnsi="Arial" w:cs="Arial"/>
          <w:color w:val="000000"/>
          <w:sz w:val="22"/>
        </w:rPr>
        <w:t>příslušnými právními předpisy.</w:t>
      </w:r>
    </w:p>
    <w:p w:rsidR="005D4EFE" w:rsidRDefault="005D4EFE" w:rsidP="00295607">
      <w:pPr>
        <w:rPr>
          <w:rFonts w:ascii="Arial" w:hAnsi="Arial" w:cs="Arial"/>
          <w:b/>
          <w:sz w:val="22"/>
        </w:rPr>
      </w:pPr>
    </w:p>
    <w:p w:rsidR="00D64D5D" w:rsidRDefault="00563A15" w:rsidP="005D4EFE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Účetní závěrka</w:t>
      </w:r>
    </w:p>
    <w:p w:rsidR="00AB3EF6" w:rsidRPr="007C1704" w:rsidRDefault="00AB3EF6" w:rsidP="00295607">
      <w:pPr>
        <w:rPr>
          <w:rFonts w:ascii="Arial" w:hAnsi="Arial" w:cs="Arial"/>
          <w:bCs/>
          <w:sz w:val="22"/>
        </w:rPr>
      </w:pPr>
      <w:r w:rsidRPr="007C1704">
        <w:rPr>
          <w:rFonts w:ascii="Arial" w:hAnsi="Arial" w:cs="Arial"/>
          <w:bCs/>
          <w:sz w:val="22"/>
        </w:rPr>
        <w:t xml:space="preserve">Některé informace </w:t>
      </w:r>
      <w:r w:rsidR="0044342E">
        <w:rPr>
          <w:rFonts w:ascii="Arial" w:hAnsi="Arial" w:cs="Arial"/>
          <w:bCs/>
          <w:sz w:val="22"/>
        </w:rPr>
        <w:t>v </w:t>
      </w:r>
      <w:r w:rsidRPr="007C1704">
        <w:rPr>
          <w:rFonts w:ascii="Arial" w:hAnsi="Arial" w:cs="Arial"/>
          <w:bCs/>
          <w:sz w:val="22"/>
        </w:rPr>
        <w:t>účetní závěrce MD k 31. 12. 2013:</w:t>
      </w:r>
    </w:p>
    <w:p w:rsidR="0020530F" w:rsidRPr="005D5EDA" w:rsidRDefault="00223639" w:rsidP="00295607">
      <w:pPr>
        <w:pStyle w:val="Odstavecseseznamem"/>
        <w:numPr>
          <w:ilvl w:val="0"/>
          <w:numId w:val="17"/>
        </w:numPr>
        <w:tabs>
          <w:tab w:val="clear" w:pos="720"/>
        </w:tabs>
        <w:suppressAutoHyphens/>
        <w:ind w:left="426" w:hanging="426"/>
        <w:contextualSpacing w:val="0"/>
        <w:rPr>
          <w:rFonts w:ascii="Arial" w:hAnsi="Arial" w:cs="Arial"/>
          <w:b/>
          <w:bCs/>
          <w:sz w:val="22"/>
          <w:lang w:val="cs-CZ"/>
        </w:rPr>
      </w:pPr>
      <w:r w:rsidRPr="005D5EDA">
        <w:rPr>
          <w:rFonts w:ascii="Arial" w:hAnsi="Arial" w:cs="Arial"/>
          <w:b/>
          <w:bCs/>
          <w:sz w:val="22"/>
          <w:lang w:val="cs-CZ"/>
        </w:rPr>
        <w:t>nebyly vykázány v souladu s předpisy upravujícími vedení účetnictví, tj. byly vykázány nesprávně</w:t>
      </w:r>
    </w:p>
    <w:p w:rsidR="004102EB" w:rsidRDefault="004102EB" w:rsidP="00295607">
      <w:pPr>
        <w:pStyle w:val="Odstavecseseznamem"/>
        <w:suppressAutoHyphens/>
        <w:ind w:left="426"/>
        <w:contextualSpacing w:val="0"/>
        <w:rPr>
          <w:rFonts w:ascii="Arial" w:hAnsi="Arial" w:cs="Arial"/>
          <w:bCs/>
          <w:sz w:val="22"/>
          <w:lang w:val="cs-CZ"/>
        </w:rPr>
      </w:pPr>
    </w:p>
    <w:p w:rsidR="0020530F" w:rsidRDefault="0020530F" w:rsidP="00295607">
      <w:pPr>
        <w:pStyle w:val="Odstavecseseznamem"/>
        <w:suppressAutoHyphens/>
        <w:ind w:left="426"/>
        <w:contextualSpacing w:val="0"/>
        <w:rPr>
          <w:rFonts w:ascii="Arial" w:hAnsi="Arial" w:cs="Arial"/>
          <w:bCs/>
          <w:sz w:val="22"/>
          <w:lang w:val="cs-CZ"/>
        </w:rPr>
      </w:pPr>
      <w:r w:rsidRPr="0020530F">
        <w:rPr>
          <w:rFonts w:ascii="Arial" w:hAnsi="Arial" w:cs="Arial"/>
          <w:bCs/>
          <w:sz w:val="22"/>
          <w:lang w:val="cs-CZ"/>
        </w:rPr>
        <w:t xml:space="preserve">Celková částka nesprávností, které byly </w:t>
      </w:r>
      <w:r w:rsidR="0044342E">
        <w:rPr>
          <w:rFonts w:ascii="Arial" w:hAnsi="Arial" w:cs="Arial"/>
          <w:bCs/>
          <w:sz w:val="22"/>
          <w:lang w:val="cs-CZ"/>
        </w:rPr>
        <w:t>v </w:t>
      </w:r>
      <w:r w:rsidRPr="0020530F">
        <w:rPr>
          <w:rFonts w:ascii="Arial" w:hAnsi="Arial" w:cs="Arial"/>
          <w:bCs/>
          <w:sz w:val="22"/>
          <w:lang w:val="cs-CZ"/>
        </w:rPr>
        <w:t xml:space="preserve">průběhu kontroly zjištěny, byla vyčíslena ve výši 10,606 mld. Kč. </w:t>
      </w:r>
      <w:r w:rsidR="00223639" w:rsidRPr="0020530F">
        <w:rPr>
          <w:rFonts w:ascii="Arial" w:hAnsi="Arial" w:cs="Arial"/>
          <w:bCs/>
          <w:sz w:val="22"/>
          <w:lang w:val="cs-CZ"/>
        </w:rPr>
        <w:t>Na výši zjištěné celkové započtené nesprávnosti se částkou 10</w:t>
      </w:r>
      <w:r w:rsidRPr="0020530F">
        <w:rPr>
          <w:rFonts w:ascii="Arial" w:hAnsi="Arial" w:cs="Arial"/>
          <w:bCs/>
          <w:sz w:val="22"/>
          <w:lang w:val="cs-CZ"/>
        </w:rPr>
        <w:t>,</w:t>
      </w:r>
      <w:r w:rsidR="00223639" w:rsidRPr="0020530F">
        <w:rPr>
          <w:rFonts w:ascii="Arial" w:hAnsi="Arial" w:cs="Arial"/>
          <w:bCs/>
          <w:sz w:val="22"/>
          <w:lang w:val="cs-CZ"/>
        </w:rPr>
        <w:t>596 </w:t>
      </w:r>
      <w:r w:rsidRPr="0020530F">
        <w:rPr>
          <w:rFonts w:ascii="Arial" w:hAnsi="Arial" w:cs="Arial"/>
          <w:bCs/>
          <w:sz w:val="22"/>
          <w:lang w:val="cs-CZ"/>
        </w:rPr>
        <w:t>mld.</w:t>
      </w:r>
      <w:r w:rsidR="000440D6">
        <w:rPr>
          <w:rFonts w:ascii="Arial" w:hAnsi="Arial" w:cs="Arial"/>
          <w:bCs/>
          <w:sz w:val="22"/>
          <w:lang w:val="cs-CZ"/>
        </w:rPr>
        <w:t> </w:t>
      </w:r>
      <w:r w:rsidR="00223639" w:rsidRPr="0020530F">
        <w:rPr>
          <w:rFonts w:ascii="Arial" w:hAnsi="Arial" w:cs="Arial"/>
          <w:bCs/>
          <w:sz w:val="22"/>
          <w:lang w:val="cs-CZ"/>
        </w:rPr>
        <w:t xml:space="preserve">Kč podílí jedno chybné zatřídění podrozvahového závazku </w:t>
      </w:r>
      <w:r w:rsidR="000440D6">
        <w:rPr>
          <w:rFonts w:ascii="Arial" w:hAnsi="Arial" w:cs="Arial"/>
          <w:bCs/>
          <w:sz w:val="22"/>
          <w:lang w:val="cs-CZ"/>
        </w:rPr>
        <w:t>v příloze</w:t>
      </w:r>
      <w:r w:rsidR="00223639" w:rsidRPr="0020530F">
        <w:rPr>
          <w:rFonts w:ascii="Arial" w:hAnsi="Arial" w:cs="Arial"/>
          <w:bCs/>
          <w:sz w:val="22"/>
          <w:lang w:val="cs-CZ"/>
        </w:rPr>
        <w:t xml:space="preserve"> účetní závěrky (99,9 % celkové zapo</w:t>
      </w:r>
      <w:r w:rsidR="00796D06">
        <w:rPr>
          <w:rFonts w:ascii="Arial" w:hAnsi="Arial" w:cs="Arial"/>
          <w:bCs/>
          <w:sz w:val="22"/>
          <w:lang w:val="cs-CZ"/>
        </w:rPr>
        <w:t>čtené nesprávnosti). Jedná se o </w:t>
      </w:r>
      <w:r w:rsidR="00223639" w:rsidRPr="0020530F">
        <w:rPr>
          <w:rFonts w:ascii="Arial" w:hAnsi="Arial" w:cs="Arial"/>
          <w:bCs/>
          <w:sz w:val="22"/>
          <w:lang w:val="cs-CZ"/>
        </w:rPr>
        <w:t>nesprávnost klasifikační povahy, která neměla vliv na celkovou vykázanou výši podmíněných závazků</w:t>
      </w:r>
      <w:r w:rsidR="00B22F47">
        <w:rPr>
          <w:rFonts w:ascii="Arial" w:hAnsi="Arial" w:cs="Arial"/>
          <w:bCs/>
          <w:sz w:val="22"/>
          <w:lang w:val="cs-CZ"/>
        </w:rPr>
        <w:t xml:space="preserve"> </w:t>
      </w:r>
      <w:r w:rsidR="00B22F47" w:rsidRPr="00D16CE6">
        <w:rPr>
          <w:rFonts w:ascii="Arial" w:hAnsi="Arial" w:cs="Arial"/>
          <w:sz w:val="22"/>
          <w:lang w:val="cs-CZ"/>
        </w:rPr>
        <w:t>ani na rozlišení závazků na krátkodobé/dlouhodobé</w:t>
      </w:r>
      <w:r w:rsidR="0096663F">
        <w:rPr>
          <w:rFonts w:ascii="Arial" w:hAnsi="Arial" w:cs="Arial"/>
          <w:sz w:val="22"/>
          <w:lang w:val="cs-CZ"/>
        </w:rPr>
        <w:t>;</w:t>
      </w:r>
      <w:r w:rsidR="00B22F47" w:rsidRPr="00D16CE6">
        <w:rPr>
          <w:rFonts w:ascii="Arial" w:hAnsi="Arial" w:cs="Arial"/>
          <w:sz w:val="22"/>
          <w:lang w:val="cs-CZ"/>
        </w:rPr>
        <w:t xml:space="preserve"> </w:t>
      </w:r>
      <w:r w:rsidR="0096663F">
        <w:rPr>
          <w:rFonts w:ascii="Arial" w:hAnsi="Arial" w:cs="Arial"/>
          <w:bCs/>
          <w:sz w:val="22"/>
          <w:lang w:val="cs-CZ"/>
        </w:rPr>
        <w:t>p</w:t>
      </w:r>
      <w:r w:rsidR="00223639" w:rsidRPr="0020530F">
        <w:rPr>
          <w:rFonts w:ascii="Arial" w:hAnsi="Arial" w:cs="Arial"/>
          <w:bCs/>
          <w:sz w:val="22"/>
          <w:lang w:val="cs-CZ"/>
        </w:rPr>
        <w:t xml:space="preserve">odle názoru </w:t>
      </w:r>
      <w:r w:rsidRPr="0020530F">
        <w:rPr>
          <w:rFonts w:ascii="Arial" w:hAnsi="Arial" w:cs="Arial"/>
          <w:bCs/>
          <w:sz w:val="22"/>
          <w:lang w:val="cs-CZ"/>
        </w:rPr>
        <w:t>NKÚ</w:t>
      </w:r>
      <w:r w:rsidR="00223639" w:rsidRPr="0020530F">
        <w:rPr>
          <w:rFonts w:ascii="Arial" w:hAnsi="Arial" w:cs="Arial"/>
          <w:bCs/>
          <w:sz w:val="22"/>
          <w:lang w:val="cs-CZ"/>
        </w:rPr>
        <w:t xml:space="preserve"> neměla tato nesprávnost významný vliv na úsudek nebo rozhodování uživatelů účetní závěrk</w:t>
      </w:r>
      <w:r w:rsidRPr="0020530F">
        <w:rPr>
          <w:rFonts w:ascii="Arial" w:hAnsi="Arial" w:cs="Arial"/>
          <w:bCs/>
          <w:sz w:val="22"/>
          <w:lang w:val="cs-CZ"/>
        </w:rPr>
        <w:t>y.</w:t>
      </w:r>
    </w:p>
    <w:p w:rsidR="004102EB" w:rsidRDefault="004102EB" w:rsidP="00295607">
      <w:pPr>
        <w:pStyle w:val="Odstavecseseznamem"/>
        <w:suppressAutoHyphens/>
        <w:ind w:left="426"/>
        <w:contextualSpacing w:val="0"/>
        <w:rPr>
          <w:rFonts w:ascii="Arial" w:hAnsi="Arial" w:cs="Arial"/>
          <w:bCs/>
          <w:sz w:val="22"/>
          <w:lang w:val="cs-CZ"/>
        </w:rPr>
      </w:pPr>
    </w:p>
    <w:p w:rsidR="005E01D5" w:rsidRPr="005D5EDA" w:rsidRDefault="00223639" w:rsidP="00E20E21">
      <w:pPr>
        <w:pStyle w:val="Odstavecseseznamem"/>
        <w:numPr>
          <w:ilvl w:val="0"/>
          <w:numId w:val="17"/>
        </w:numPr>
        <w:tabs>
          <w:tab w:val="clear" w:pos="720"/>
        </w:tabs>
        <w:suppressAutoHyphens/>
        <w:ind w:left="426" w:hanging="426"/>
        <w:contextualSpacing w:val="0"/>
        <w:rPr>
          <w:rFonts w:ascii="Arial" w:hAnsi="Arial" w:cs="Arial"/>
          <w:b/>
          <w:bCs/>
          <w:sz w:val="22"/>
          <w:lang w:val="cs-CZ"/>
        </w:rPr>
      </w:pPr>
      <w:r w:rsidRPr="005D5EDA">
        <w:rPr>
          <w:rFonts w:ascii="Arial" w:hAnsi="Arial" w:cs="Arial"/>
          <w:b/>
          <w:sz w:val="22"/>
          <w:lang w:val="cs-CZ"/>
        </w:rPr>
        <w:t xml:space="preserve">nelze na základě </w:t>
      </w:r>
      <w:r w:rsidR="00C66080">
        <w:rPr>
          <w:rFonts w:ascii="Arial" w:hAnsi="Arial" w:cs="Arial"/>
          <w:b/>
          <w:sz w:val="22"/>
          <w:lang w:val="cs-CZ"/>
        </w:rPr>
        <w:t>zjištění</w:t>
      </w:r>
      <w:r w:rsidR="00C66080" w:rsidRPr="005D5EDA">
        <w:rPr>
          <w:rFonts w:ascii="Arial" w:hAnsi="Arial" w:cs="Arial"/>
          <w:b/>
          <w:sz w:val="22"/>
          <w:lang w:val="cs-CZ"/>
        </w:rPr>
        <w:t xml:space="preserve"> </w:t>
      </w:r>
      <w:r w:rsidRPr="005D5EDA">
        <w:rPr>
          <w:rFonts w:ascii="Arial" w:hAnsi="Arial" w:cs="Arial"/>
          <w:b/>
          <w:sz w:val="22"/>
          <w:lang w:val="cs-CZ"/>
        </w:rPr>
        <w:t xml:space="preserve">skutečného stavu a </w:t>
      </w:r>
      <w:r w:rsidR="0034757A">
        <w:rPr>
          <w:rFonts w:ascii="Arial" w:hAnsi="Arial" w:cs="Arial"/>
          <w:b/>
          <w:sz w:val="22"/>
          <w:lang w:val="cs-CZ"/>
        </w:rPr>
        <w:t xml:space="preserve">s ohledem na </w:t>
      </w:r>
      <w:r w:rsidR="00796D06">
        <w:rPr>
          <w:rFonts w:ascii="Arial" w:hAnsi="Arial" w:cs="Arial"/>
          <w:b/>
          <w:sz w:val="22"/>
          <w:lang w:val="cs-CZ"/>
        </w:rPr>
        <w:t>ustanovení předpisů a </w:t>
      </w:r>
      <w:r w:rsidRPr="005D5EDA">
        <w:rPr>
          <w:rFonts w:ascii="Arial" w:hAnsi="Arial" w:cs="Arial"/>
          <w:b/>
          <w:sz w:val="22"/>
          <w:lang w:val="cs-CZ"/>
        </w:rPr>
        <w:t xml:space="preserve">českých účetních standardů upravujících vedení účetnictví organizačních složek státu </w:t>
      </w:r>
      <w:r w:rsidRPr="000B1CB5">
        <w:rPr>
          <w:rFonts w:ascii="Arial" w:hAnsi="Arial" w:cs="Arial"/>
          <w:b/>
          <w:sz w:val="22"/>
          <w:lang w:val="cs-CZ"/>
        </w:rPr>
        <w:t>vyhodnotit</w:t>
      </w:r>
      <w:r w:rsidR="000C2005" w:rsidRPr="000B1CB5">
        <w:rPr>
          <w:rFonts w:ascii="Arial" w:hAnsi="Arial" w:cs="Arial"/>
          <w:b/>
          <w:sz w:val="22"/>
          <w:lang w:val="cs-CZ"/>
        </w:rPr>
        <w:t xml:space="preserve">, </w:t>
      </w:r>
      <w:r w:rsidR="000C2005" w:rsidRPr="008F1CFC">
        <w:rPr>
          <w:rFonts w:ascii="Arial" w:hAnsi="Arial" w:cs="Arial"/>
          <w:b/>
          <w:sz w:val="22"/>
          <w:lang w:val="cs-CZ"/>
        </w:rPr>
        <w:t>tj. ověřit jejich soulad s těmito právními předpisy a českými účetními standardy</w:t>
      </w:r>
    </w:p>
    <w:p w:rsidR="004102EB" w:rsidRDefault="004102EB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</w:p>
    <w:p w:rsidR="008B2459" w:rsidRDefault="005E01D5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Nejednoznačnosti a nejasnosti s přímým vlivem na informace uvedené v účetní závěrce MD</w:t>
      </w:r>
      <w:r w:rsidR="00920248" w:rsidRPr="005E01D5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 xml:space="preserve">se týkají zejména </w:t>
      </w:r>
      <w:r w:rsidR="00920248" w:rsidRPr="005E01D5">
        <w:rPr>
          <w:rFonts w:ascii="Arial" w:hAnsi="Arial" w:cs="Arial"/>
          <w:sz w:val="22"/>
          <w:lang w:val="cs-CZ"/>
        </w:rPr>
        <w:t>aplikac</w:t>
      </w:r>
      <w:r>
        <w:rPr>
          <w:rFonts w:ascii="Arial" w:hAnsi="Arial" w:cs="Arial"/>
          <w:sz w:val="22"/>
          <w:lang w:val="cs-CZ"/>
        </w:rPr>
        <w:t>e</w:t>
      </w:r>
      <w:r w:rsidR="00920248" w:rsidRPr="005E01D5">
        <w:rPr>
          <w:rFonts w:ascii="Arial" w:hAnsi="Arial" w:cs="Arial"/>
          <w:sz w:val="22"/>
          <w:lang w:val="cs-CZ"/>
        </w:rPr>
        <w:t xml:space="preserve"> </w:t>
      </w:r>
      <w:r w:rsidR="008F27A1">
        <w:rPr>
          <w:rFonts w:ascii="Arial" w:hAnsi="Arial" w:cs="Arial"/>
          <w:sz w:val="22"/>
          <w:lang w:val="cs-CZ"/>
        </w:rPr>
        <w:t>ČÚS</w:t>
      </w:r>
      <w:r w:rsidR="00920248" w:rsidRPr="005E01D5">
        <w:rPr>
          <w:rFonts w:ascii="Arial" w:hAnsi="Arial" w:cs="Arial"/>
          <w:sz w:val="22"/>
          <w:lang w:val="cs-CZ"/>
        </w:rPr>
        <w:t xml:space="preserve"> č. 703 </w:t>
      </w:r>
      <w:r w:rsidR="00920248" w:rsidRPr="008D4BE1">
        <w:rPr>
          <w:rFonts w:ascii="Arial" w:hAnsi="Arial" w:cs="Arial"/>
          <w:i/>
          <w:sz w:val="22"/>
          <w:lang w:val="cs-CZ"/>
        </w:rPr>
        <w:t>– Transfery</w:t>
      </w:r>
      <w:r w:rsidR="00920248" w:rsidRPr="005E01D5">
        <w:rPr>
          <w:rFonts w:ascii="Arial" w:hAnsi="Arial" w:cs="Arial"/>
          <w:sz w:val="22"/>
          <w:lang w:val="cs-CZ"/>
        </w:rPr>
        <w:t xml:space="preserve">, neboť není jednoznačně stanoveno, zda má být vybraná účetní jednotka v případě účtování předfinancovaných transferů spolufinancovaných z EU v roli poskytovatele a příjemce, či v roli zprostředkovatele zahraničního transferu. </w:t>
      </w:r>
    </w:p>
    <w:p w:rsidR="004102EB" w:rsidRDefault="004102EB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</w:p>
    <w:p w:rsidR="008B2459" w:rsidRDefault="00920248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  <w:r w:rsidRPr="00920248">
        <w:rPr>
          <w:rFonts w:ascii="Arial" w:hAnsi="Arial" w:cs="Arial"/>
          <w:sz w:val="22"/>
          <w:lang w:val="cs-CZ"/>
        </w:rPr>
        <w:t>Informace o těchto účetních případech jsou přitom v účetní závěrce MD významné</w:t>
      </w:r>
      <w:r w:rsidR="00796D06">
        <w:rPr>
          <w:rFonts w:ascii="Arial" w:hAnsi="Arial" w:cs="Arial"/>
          <w:sz w:val="22"/>
          <w:lang w:val="cs-CZ"/>
        </w:rPr>
        <w:t xml:space="preserve"> a </w:t>
      </w:r>
      <w:r w:rsidR="008B2459">
        <w:rPr>
          <w:rFonts w:ascii="Arial" w:hAnsi="Arial" w:cs="Arial"/>
          <w:sz w:val="22"/>
          <w:lang w:val="cs-CZ"/>
        </w:rPr>
        <w:t>týkají se různých částí účetní závěrky</w:t>
      </w:r>
      <w:r w:rsidRPr="00920248">
        <w:rPr>
          <w:rFonts w:ascii="Arial" w:hAnsi="Arial" w:cs="Arial"/>
          <w:sz w:val="22"/>
          <w:lang w:val="cs-CZ"/>
        </w:rPr>
        <w:t>.</w:t>
      </w:r>
      <w:r w:rsidRPr="00920248">
        <w:rPr>
          <w:rFonts w:ascii="Arial" w:hAnsi="Arial" w:cs="Arial"/>
          <w:color w:val="000000"/>
          <w:sz w:val="22"/>
          <w:lang w:val="cs-CZ"/>
        </w:rPr>
        <w:t xml:space="preserve"> </w:t>
      </w:r>
      <w:r w:rsidR="008B2459" w:rsidRPr="00951245">
        <w:rPr>
          <w:rFonts w:ascii="Arial" w:hAnsi="Arial" w:cs="Arial"/>
          <w:sz w:val="22"/>
          <w:lang w:val="cs-CZ"/>
        </w:rPr>
        <w:t>Nejasnosti a nejednoznačnosti použitelných kritérií mohou vést k</w:t>
      </w:r>
      <w:r w:rsidR="008B2459">
        <w:rPr>
          <w:rFonts w:ascii="Arial" w:hAnsi="Arial" w:cs="Arial"/>
          <w:sz w:val="22"/>
          <w:lang w:val="cs-CZ"/>
        </w:rPr>
        <w:t xml:space="preserve"> významně </w:t>
      </w:r>
      <w:r w:rsidR="008B2459" w:rsidRPr="00951245">
        <w:rPr>
          <w:rFonts w:ascii="Arial" w:hAnsi="Arial" w:cs="Arial"/>
          <w:sz w:val="22"/>
          <w:lang w:val="cs-CZ"/>
        </w:rPr>
        <w:t>odlišnému způsobu zobrazení skutečnosti v účetní závěrce</w:t>
      </w:r>
      <w:r w:rsidR="00E82F70">
        <w:rPr>
          <w:rFonts w:ascii="Arial" w:hAnsi="Arial" w:cs="Arial"/>
          <w:sz w:val="22"/>
          <w:lang w:val="cs-CZ"/>
        </w:rPr>
        <w:t>,</w:t>
      </w:r>
      <w:r w:rsidR="008B2459" w:rsidRPr="00951245">
        <w:rPr>
          <w:rFonts w:ascii="Arial" w:hAnsi="Arial" w:cs="Arial"/>
          <w:sz w:val="22"/>
          <w:lang w:val="cs-CZ"/>
        </w:rPr>
        <w:t xml:space="preserve"> než </w:t>
      </w:r>
      <w:r w:rsidR="00E82F70">
        <w:rPr>
          <w:rFonts w:ascii="Arial" w:hAnsi="Arial" w:cs="Arial"/>
          <w:sz w:val="22"/>
          <w:lang w:val="cs-CZ"/>
        </w:rPr>
        <w:t>jaký</w:t>
      </w:r>
      <w:r w:rsidR="00E82F70" w:rsidRPr="00951245">
        <w:rPr>
          <w:rFonts w:ascii="Arial" w:hAnsi="Arial" w:cs="Arial"/>
          <w:sz w:val="22"/>
          <w:lang w:val="cs-CZ"/>
        </w:rPr>
        <w:t xml:space="preserve"> zvolilo</w:t>
      </w:r>
      <w:r w:rsidR="00E82F70">
        <w:rPr>
          <w:rFonts w:ascii="Arial" w:hAnsi="Arial" w:cs="Arial"/>
          <w:sz w:val="22"/>
          <w:lang w:val="cs-CZ"/>
        </w:rPr>
        <w:t xml:space="preserve"> </w:t>
      </w:r>
      <w:r w:rsidR="008B2459" w:rsidRPr="00951245">
        <w:rPr>
          <w:rFonts w:ascii="Arial" w:hAnsi="Arial" w:cs="Arial"/>
          <w:sz w:val="22"/>
          <w:lang w:val="cs-CZ"/>
        </w:rPr>
        <w:t>MD</w:t>
      </w:r>
      <w:r w:rsidR="008B2459">
        <w:rPr>
          <w:rFonts w:ascii="Arial" w:hAnsi="Arial" w:cs="Arial"/>
          <w:sz w:val="22"/>
          <w:lang w:val="cs-CZ"/>
        </w:rPr>
        <w:t>.</w:t>
      </w:r>
      <w:r w:rsidR="003031F7">
        <w:rPr>
          <w:rFonts w:ascii="Arial" w:hAnsi="Arial" w:cs="Arial"/>
          <w:sz w:val="22"/>
          <w:lang w:val="cs-CZ"/>
        </w:rPr>
        <w:t xml:space="preserve"> Tyto nejednoznačnosti však nelze dávat k tíži MD.</w:t>
      </w:r>
    </w:p>
    <w:p w:rsidR="004102EB" w:rsidRDefault="004102EB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</w:p>
    <w:p w:rsidR="0016696F" w:rsidRDefault="0044342E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color w:val="000000"/>
          <w:sz w:val="22"/>
          <w:lang w:val="cs-CZ"/>
        </w:rPr>
        <w:t>V </w:t>
      </w:r>
      <w:r w:rsidR="00920248" w:rsidRPr="00920248">
        <w:rPr>
          <w:rFonts w:ascii="Arial" w:hAnsi="Arial" w:cs="Arial"/>
          <w:color w:val="000000"/>
          <w:sz w:val="22"/>
          <w:lang w:val="cs-CZ"/>
        </w:rPr>
        <w:t xml:space="preserve">průběhu kontroly byly oblasti ovlivněné touto nejednoznačností předpisů identifikovány a vyčísleny u MD </w:t>
      </w:r>
      <w:r>
        <w:rPr>
          <w:rFonts w:ascii="Arial" w:hAnsi="Arial" w:cs="Arial"/>
          <w:color w:val="000000"/>
          <w:sz w:val="22"/>
          <w:lang w:val="cs-CZ"/>
        </w:rPr>
        <w:t>v </w:t>
      </w:r>
      <w:r w:rsidR="00920248" w:rsidRPr="00920248">
        <w:rPr>
          <w:rFonts w:ascii="Arial" w:hAnsi="Arial" w:cs="Arial"/>
          <w:color w:val="000000"/>
          <w:sz w:val="22"/>
          <w:lang w:val="cs-CZ"/>
        </w:rPr>
        <w:t xml:space="preserve">celkové výši </w:t>
      </w:r>
      <w:r w:rsidR="00E82F70">
        <w:rPr>
          <w:rFonts w:ascii="Arial" w:hAnsi="Arial" w:cs="Arial"/>
          <w:color w:val="000000"/>
          <w:sz w:val="22"/>
          <w:lang w:val="cs-CZ"/>
        </w:rPr>
        <w:t>přesahující</w:t>
      </w:r>
      <w:r w:rsidR="00920248" w:rsidRPr="00920248">
        <w:rPr>
          <w:rFonts w:ascii="Arial" w:hAnsi="Arial" w:cs="Arial"/>
          <w:color w:val="000000"/>
          <w:sz w:val="22"/>
          <w:lang w:val="cs-CZ"/>
        </w:rPr>
        <w:t xml:space="preserve"> 16 mld. Kč</w:t>
      </w:r>
      <w:r w:rsidR="0061390E" w:rsidRPr="00D7795C">
        <w:rPr>
          <w:rFonts w:ascii="Arial" w:hAnsi="Arial" w:cs="Arial"/>
          <w:sz w:val="22"/>
          <w:lang w:val="cs-CZ"/>
        </w:rPr>
        <w:t>.</w:t>
      </w:r>
      <w:r w:rsidR="0061390E" w:rsidRPr="00D16CE6" w:rsidDel="0061390E">
        <w:rPr>
          <w:rFonts w:ascii="Arial" w:hAnsi="Arial" w:cs="Arial"/>
          <w:sz w:val="22"/>
          <w:lang w:val="cs-CZ"/>
        </w:rPr>
        <w:t xml:space="preserve"> </w:t>
      </w:r>
    </w:p>
    <w:p w:rsidR="004102EB" w:rsidRPr="00D16CE6" w:rsidRDefault="004102EB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u w:val="single"/>
          <w:lang w:val="cs-CZ"/>
        </w:rPr>
      </w:pPr>
    </w:p>
    <w:p w:rsidR="005D5EDA" w:rsidRPr="005D5EDA" w:rsidRDefault="005D5EDA" w:rsidP="00E20E21">
      <w:pPr>
        <w:pStyle w:val="Odstavecseseznamem"/>
        <w:numPr>
          <w:ilvl w:val="0"/>
          <w:numId w:val="17"/>
        </w:numPr>
        <w:tabs>
          <w:tab w:val="clear" w:pos="720"/>
        </w:tabs>
        <w:suppressAutoHyphens/>
        <w:ind w:left="426" w:hanging="426"/>
        <w:contextualSpacing w:val="0"/>
        <w:rPr>
          <w:rFonts w:ascii="Arial" w:hAnsi="Arial" w:cs="Arial"/>
          <w:b/>
          <w:sz w:val="22"/>
          <w:lang w:val="cs-CZ"/>
        </w:rPr>
      </w:pPr>
      <w:r w:rsidRPr="005D5EDA">
        <w:rPr>
          <w:rFonts w:ascii="Arial" w:hAnsi="Arial" w:cs="Arial"/>
          <w:b/>
          <w:sz w:val="22"/>
          <w:lang w:val="cs-CZ"/>
        </w:rPr>
        <w:t>byly vykázány, avšak NKÚ se k nim nemohl vyjádřit vzhledem k nemožnosti získat dostatečné a vhodné důkazní informace</w:t>
      </w:r>
      <w:r w:rsidR="0044342E">
        <w:rPr>
          <w:rFonts w:ascii="Arial" w:hAnsi="Arial" w:cs="Arial"/>
          <w:b/>
          <w:sz w:val="22"/>
          <w:lang w:val="cs-CZ"/>
        </w:rPr>
        <w:t xml:space="preserve"> </w:t>
      </w:r>
      <w:r w:rsidRPr="005D5EDA">
        <w:rPr>
          <w:rFonts w:ascii="Arial" w:hAnsi="Arial" w:cs="Arial"/>
          <w:b/>
          <w:sz w:val="22"/>
          <w:lang w:val="cs-CZ"/>
        </w:rPr>
        <w:t>k jejich prokázání</w:t>
      </w:r>
    </w:p>
    <w:p w:rsidR="004102EB" w:rsidRDefault="004102EB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</w:p>
    <w:p w:rsidR="005D5EDA" w:rsidRDefault="005D5EDA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  <w:r w:rsidRPr="00796D06">
        <w:rPr>
          <w:rFonts w:ascii="Arial" w:hAnsi="Arial" w:cs="Arial"/>
          <w:sz w:val="22"/>
          <w:lang w:val="cs-CZ"/>
        </w:rPr>
        <w:t>MD k 31. 12. 2013 vykázalo zůstatek na účtu 372 –</w:t>
      </w:r>
      <w:r w:rsidRPr="00796D06">
        <w:rPr>
          <w:rFonts w:ascii="Arial" w:hAnsi="Arial" w:cs="Arial"/>
          <w:bCs/>
          <w:i/>
          <w:color w:val="000000"/>
          <w:sz w:val="22"/>
          <w:lang w:val="cs-CZ" w:eastAsia="cs-CZ"/>
        </w:rPr>
        <w:t xml:space="preserve"> Krátkodobé závazky z nástrojů spolufinancovaných ze zahraničí </w:t>
      </w:r>
      <w:r w:rsidRPr="00796D06">
        <w:rPr>
          <w:rFonts w:ascii="Arial" w:hAnsi="Arial" w:cs="Arial"/>
          <w:bCs/>
          <w:color w:val="000000"/>
          <w:sz w:val="22"/>
          <w:lang w:val="cs-CZ" w:eastAsia="cs-CZ"/>
        </w:rPr>
        <w:t xml:space="preserve">ve výši </w:t>
      </w:r>
      <w:r w:rsidR="00E82F70" w:rsidRPr="00E20E21">
        <w:rPr>
          <w:rFonts w:ascii="Arial" w:hAnsi="Arial" w:cs="Arial"/>
          <w:sz w:val="22"/>
          <w:lang w:val="cs-CZ"/>
        </w:rPr>
        <w:t>−</w:t>
      </w:r>
      <w:r w:rsidRPr="00796D06">
        <w:rPr>
          <w:rFonts w:ascii="Arial" w:hAnsi="Arial" w:cs="Arial"/>
          <w:sz w:val="22"/>
          <w:lang w:val="cs-CZ"/>
        </w:rPr>
        <w:t>10 764 3</w:t>
      </w:r>
      <w:r w:rsidR="00796D06" w:rsidRPr="00796D06">
        <w:rPr>
          <w:rFonts w:ascii="Arial" w:hAnsi="Arial" w:cs="Arial"/>
          <w:sz w:val="22"/>
          <w:lang w:val="cs-CZ"/>
        </w:rPr>
        <w:t>37 731,14 Kč na základě údajů z </w:t>
      </w:r>
      <w:r w:rsidRPr="00796D06">
        <w:rPr>
          <w:rFonts w:ascii="Arial" w:hAnsi="Arial" w:cs="Arial"/>
          <w:sz w:val="22"/>
          <w:lang w:val="cs-CZ"/>
        </w:rPr>
        <w:t xml:space="preserve">modelu, který si pro </w:t>
      </w:r>
      <w:r w:rsidRPr="008F27A1">
        <w:rPr>
          <w:rFonts w:ascii="Arial" w:hAnsi="Arial" w:cs="Arial"/>
          <w:sz w:val="22"/>
          <w:lang w:val="cs-CZ"/>
        </w:rPr>
        <w:t>vyčíslení výše zůstatku sestavilo a ke kterému shromáždilo v únoru 2014 údaje z různých zdrojů. Model se týká vyčíslení možného nároku z předfinancování prostředků ze zahraničí, zejména OPD.</w:t>
      </w:r>
    </w:p>
    <w:p w:rsidR="004102EB" w:rsidRPr="008F27A1" w:rsidRDefault="004102EB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</w:p>
    <w:p w:rsidR="00BB7C28" w:rsidRDefault="005D5EDA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  <w:r w:rsidRPr="008F27A1">
        <w:rPr>
          <w:rFonts w:ascii="Arial" w:hAnsi="Arial" w:cs="Arial"/>
          <w:sz w:val="22"/>
          <w:lang w:val="cs-CZ"/>
        </w:rPr>
        <w:t xml:space="preserve">MD krátce před sestavením účetní závěrky za rok 2013 </w:t>
      </w:r>
      <w:r w:rsidR="00E82F70">
        <w:rPr>
          <w:rFonts w:ascii="Arial" w:hAnsi="Arial" w:cs="Arial"/>
          <w:sz w:val="22"/>
          <w:lang w:val="cs-CZ"/>
        </w:rPr>
        <w:t xml:space="preserve">(konkrétně </w:t>
      </w:r>
      <w:r w:rsidRPr="008F27A1">
        <w:rPr>
          <w:rFonts w:ascii="Arial" w:hAnsi="Arial" w:cs="Arial"/>
          <w:sz w:val="22"/>
          <w:lang w:val="cs-CZ"/>
        </w:rPr>
        <w:t>v únoru 2014</w:t>
      </w:r>
      <w:r w:rsidR="00E82F70">
        <w:rPr>
          <w:rFonts w:ascii="Arial" w:hAnsi="Arial" w:cs="Arial"/>
          <w:sz w:val="22"/>
          <w:lang w:val="cs-CZ"/>
        </w:rPr>
        <w:t>)</w:t>
      </w:r>
      <w:r w:rsidRPr="008F27A1">
        <w:rPr>
          <w:rFonts w:ascii="Arial" w:hAnsi="Arial" w:cs="Arial"/>
          <w:sz w:val="22"/>
          <w:lang w:val="cs-CZ"/>
        </w:rPr>
        <w:t xml:space="preserve"> provádělo rozsáhlé opravy účtování v řádu desítek miliard Kč, </w:t>
      </w:r>
      <w:r w:rsidR="00E82F70">
        <w:rPr>
          <w:rFonts w:ascii="Arial" w:hAnsi="Arial" w:cs="Arial"/>
          <w:sz w:val="22"/>
          <w:lang w:val="cs-CZ"/>
        </w:rPr>
        <w:t xml:space="preserve">a to </w:t>
      </w:r>
      <w:r w:rsidRPr="008F27A1">
        <w:rPr>
          <w:rFonts w:ascii="Arial" w:hAnsi="Arial" w:cs="Arial"/>
          <w:sz w:val="22"/>
          <w:lang w:val="cs-CZ"/>
        </w:rPr>
        <w:t xml:space="preserve">zejména z důvodu neúplného účtování v roce 2012, kdy </w:t>
      </w:r>
      <w:r w:rsidR="00BB7C28" w:rsidRPr="008F27A1">
        <w:rPr>
          <w:rFonts w:ascii="Arial" w:hAnsi="Arial" w:cs="Arial"/>
          <w:sz w:val="22"/>
          <w:lang w:val="cs-CZ"/>
        </w:rPr>
        <w:t xml:space="preserve">(po vyhodnocení ustanovení účetních předpisů) </w:t>
      </w:r>
      <w:r w:rsidRPr="008F27A1">
        <w:rPr>
          <w:rFonts w:ascii="Arial" w:hAnsi="Arial" w:cs="Arial"/>
          <w:sz w:val="22"/>
          <w:lang w:val="cs-CZ"/>
        </w:rPr>
        <w:t>změnilo svou roli z</w:t>
      </w:r>
      <w:r w:rsidR="00A21FC4">
        <w:rPr>
          <w:rFonts w:ascii="Arial" w:hAnsi="Arial" w:cs="Arial"/>
          <w:sz w:val="22"/>
          <w:lang w:val="cs-CZ"/>
        </w:rPr>
        <w:t> </w:t>
      </w:r>
      <w:r w:rsidRPr="008F27A1">
        <w:rPr>
          <w:rFonts w:ascii="Arial" w:hAnsi="Arial" w:cs="Arial"/>
          <w:sz w:val="22"/>
          <w:lang w:val="cs-CZ"/>
        </w:rPr>
        <w:t>poskytovatele</w:t>
      </w:r>
      <w:r w:rsidR="00A21FC4">
        <w:rPr>
          <w:rFonts w:ascii="Arial" w:hAnsi="Arial" w:cs="Arial"/>
          <w:sz w:val="22"/>
          <w:lang w:val="cs-CZ"/>
        </w:rPr>
        <w:t xml:space="preserve"> a příjemce</w:t>
      </w:r>
      <w:r w:rsidRPr="008F27A1">
        <w:rPr>
          <w:rFonts w:ascii="Arial" w:hAnsi="Arial" w:cs="Arial"/>
          <w:sz w:val="22"/>
          <w:lang w:val="cs-CZ"/>
        </w:rPr>
        <w:t xml:space="preserve"> transferu na zprostředkovatele zahraničního transferu, </w:t>
      </w:r>
      <w:r w:rsidR="00E82F70">
        <w:rPr>
          <w:rFonts w:ascii="Arial" w:hAnsi="Arial" w:cs="Arial"/>
          <w:sz w:val="22"/>
          <w:lang w:val="cs-CZ"/>
        </w:rPr>
        <w:t>a</w:t>
      </w:r>
      <w:r w:rsidR="00E82F70" w:rsidRPr="008F27A1">
        <w:rPr>
          <w:rFonts w:ascii="Arial" w:hAnsi="Arial" w:cs="Arial"/>
          <w:sz w:val="22"/>
          <w:lang w:val="cs-CZ"/>
        </w:rPr>
        <w:t xml:space="preserve">však </w:t>
      </w:r>
      <w:r w:rsidRPr="008F27A1">
        <w:rPr>
          <w:rFonts w:ascii="Arial" w:hAnsi="Arial" w:cs="Arial"/>
          <w:sz w:val="22"/>
          <w:lang w:val="cs-CZ"/>
        </w:rPr>
        <w:t xml:space="preserve">neúčtovalo o některých skutečnostech s relevantním vlivem na zůstatek účtu 372. </w:t>
      </w:r>
    </w:p>
    <w:p w:rsidR="004102EB" w:rsidRPr="008F27A1" w:rsidRDefault="004102EB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</w:p>
    <w:p w:rsidR="005D5EDA" w:rsidRDefault="00BB7C28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sz w:val="22"/>
          <w:lang w:val="cs-CZ"/>
        </w:rPr>
      </w:pPr>
      <w:r w:rsidRPr="008F27A1">
        <w:rPr>
          <w:rFonts w:ascii="Arial" w:hAnsi="Arial" w:cs="Arial"/>
          <w:sz w:val="22"/>
          <w:lang w:val="cs-CZ"/>
        </w:rPr>
        <w:lastRenderedPageBreak/>
        <w:t>NKÚ získal</w:t>
      </w:r>
      <w:r w:rsidR="005D5EDA" w:rsidRPr="008F27A1">
        <w:rPr>
          <w:rFonts w:ascii="Arial" w:hAnsi="Arial" w:cs="Arial"/>
          <w:sz w:val="22"/>
          <w:lang w:val="cs-CZ"/>
        </w:rPr>
        <w:t xml:space="preserve"> podklady související s provedenými rozsáhlým</w:t>
      </w:r>
      <w:r w:rsidR="00657022">
        <w:rPr>
          <w:rFonts w:ascii="Arial" w:hAnsi="Arial" w:cs="Arial"/>
          <w:sz w:val="22"/>
          <w:lang w:val="cs-CZ"/>
        </w:rPr>
        <w:t>i opravami v dubnu 2014</w:t>
      </w:r>
      <w:r w:rsidR="00E82F70">
        <w:rPr>
          <w:rFonts w:ascii="Arial" w:hAnsi="Arial" w:cs="Arial"/>
          <w:sz w:val="22"/>
          <w:lang w:val="cs-CZ"/>
        </w:rPr>
        <w:t>,</w:t>
      </w:r>
      <w:r w:rsidR="00657022">
        <w:rPr>
          <w:rFonts w:ascii="Arial" w:hAnsi="Arial" w:cs="Arial"/>
          <w:sz w:val="22"/>
          <w:lang w:val="cs-CZ"/>
        </w:rPr>
        <w:t xml:space="preserve"> a</w:t>
      </w:r>
      <w:r w:rsidR="00E82F70">
        <w:rPr>
          <w:rFonts w:ascii="Arial" w:hAnsi="Arial" w:cs="Arial"/>
          <w:sz w:val="22"/>
          <w:lang w:val="cs-CZ"/>
        </w:rPr>
        <w:t xml:space="preserve">však </w:t>
      </w:r>
      <w:r w:rsidR="00E20302" w:rsidRPr="008F1CFC">
        <w:rPr>
          <w:rFonts w:ascii="Arial" w:hAnsi="Arial" w:cs="Arial"/>
          <w:sz w:val="22"/>
          <w:lang w:val="cs-CZ"/>
        </w:rPr>
        <w:t xml:space="preserve">vzhledem k časovému plánu kontroly již </w:t>
      </w:r>
      <w:r w:rsidR="00C80998">
        <w:rPr>
          <w:rFonts w:ascii="Arial" w:hAnsi="Arial" w:cs="Arial"/>
          <w:sz w:val="22"/>
          <w:lang w:val="cs-CZ"/>
        </w:rPr>
        <w:t>nemohl prověřit</w:t>
      </w:r>
      <w:r w:rsidR="00E20302" w:rsidRPr="008F1CFC">
        <w:rPr>
          <w:rFonts w:ascii="Arial" w:hAnsi="Arial" w:cs="Arial"/>
          <w:sz w:val="22"/>
          <w:lang w:val="cs-CZ"/>
        </w:rPr>
        <w:t xml:space="preserve">, </w:t>
      </w:r>
      <w:r w:rsidR="005D5EDA" w:rsidRPr="008F27A1">
        <w:rPr>
          <w:rFonts w:ascii="Arial" w:hAnsi="Arial" w:cs="Arial"/>
          <w:sz w:val="22"/>
          <w:lang w:val="cs-CZ"/>
        </w:rPr>
        <w:t xml:space="preserve">zda údaje nejsou zatíženy neúplností, nesprávnostmi (např. číselným vyjádřením) </w:t>
      </w:r>
      <w:r w:rsidR="00E82F70">
        <w:rPr>
          <w:rFonts w:ascii="Arial" w:hAnsi="Arial" w:cs="Arial"/>
          <w:sz w:val="22"/>
          <w:lang w:val="cs-CZ"/>
        </w:rPr>
        <w:t>nebo</w:t>
      </w:r>
      <w:r w:rsidR="005D5EDA" w:rsidRPr="008F27A1">
        <w:rPr>
          <w:rFonts w:ascii="Arial" w:hAnsi="Arial" w:cs="Arial"/>
          <w:sz w:val="22"/>
          <w:lang w:val="cs-CZ"/>
        </w:rPr>
        <w:t xml:space="preserve"> jinými chybami v podkladech, nevhodně zvolenými předpoklady či </w:t>
      </w:r>
      <w:r w:rsidR="00B13C7F">
        <w:rPr>
          <w:rFonts w:ascii="Arial" w:hAnsi="Arial" w:cs="Arial"/>
          <w:sz w:val="22"/>
          <w:lang w:val="cs-CZ"/>
        </w:rPr>
        <w:t>nezahrnutím</w:t>
      </w:r>
      <w:r w:rsidR="00B13C7F" w:rsidRPr="008F27A1">
        <w:rPr>
          <w:rFonts w:ascii="Arial" w:hAnsi="Arial" w:cs="Arial"/>
          <w:sz w:val="22"/>
          <w:lang w:val="cs-CZ"/>
        </w:rPr>
        <w:t xml:space="preserve"> </w:t>
      </w:r>
      <w:r w:rsidR="005D5EDA" w:rsidRPr="008F27A1">
        <w:rPr>
          <w:rFonts w:ascii="Arial" w:hAnsi="Arial" w:cs="Arial"/>
          <w:sz w:val="22"/>
          <w:lang w:val="cs-CZ"/>
        </w:rPr>
        <w:t>některých dalších</w:t>
      </w:r>
      <w:r w:rsidRPr="008F27A1">
        <w:rPr>
          <w:rFonts w:ascii="Arial" w:hAnsi="Arial" w:cs="Arial"/>
          <w:sz w:val="22"/>
          <w:lang w:val="cs-CZ"/>
        </w:rPr>
        <w:t xml:space="preserve"> relevantních</w:t>
      </w:r>
      <w:r w:rsidR="005D5EDA" w:rsidRPr="008F27A1">
        <w:rPr>
          <w:rFonts w:ascii="Arial" w:hAnsi="Arial" w:cs="Arial"/>
          <w:sz w:val="22"/>
          <w:lang w:val="cs-CZ"/>
        </w:rPr>
        <w:t xml:space="preserve"> aspektů. </w:t>
      </w:r>
    </w:p>
    <w:p w:rsidR="004102EB" w:rsidRPr="008F27A1" w:rsidRDefault="004102EB" w:rsidP="00E20E21">
      <w:pPr>
        <w:pStyle w:val="Odstavecseseznamem"/>
        <w:suppressAutoHyphens/>
        <w:ind w:left="426"/>
        <w:contextualSpacing w:val="0"/>
        <w:rPr>
          <w:rFonts w:ascii="Arial" w:hAnsi="Arial" w:cs="Arial"/>
          <w:b/>
          <w:sz w:val="22"/>
          <w:lang w:val="cs-CZ"/>
        </w:rPr>
      </w:pPr>
    </w:p>
    <w:p w:rsidR="003031F7" w:rsidRDefault="00563A15" w:rsidP="00E20E21">
      <w:pPr>
        <w:rPr>
          <w:rFonts w:ascii="Arial" w:hAnsi="Arial" w:cs="Arial"/>
          <w:sz w:val="22"/>
        </w:rPr>
      </w:pPr>
      <w:r w:rsidRPr="003031F7">
        <w:rPr>
          <w:rFonts w:ascii="Arial" w:hAnsi="Arial" w:cs="Arial"/>
          <w:b/>
          <w:sz w:val="22"/>
        </w:rPr>
        <w:t>Možnost vyjádř</w:t>
      </w:r>
      <w:r w:rsidR="009A6F94">
        <w:rPr>
          <w:rFonts w:ascii="Arial" w:hAnsi="Arial" w:cs="Arial"/>
          <w:b/>
          <w:sz w:val="22"/>
        </w:rPr>
        <w:t>it</w:t>
      </w:r>
      <w:r w:rsidRPr="003031F7">
        <w:rPr>
          <w:rFonts w:ascii="Arial" w:hAnsi="Arial" w:cs="Arial"/>
          <w:b/>
          <w:sz w:val="22"/>
        </w:rPr>
        <w:t xml:space="preserve"> se ke spolehlivosti</w:t>
      </w:r>
      <w:r w:rsidR="002768A2">
        <w:rPr>
          <w:rFonts w:ascii="Arial" w:hAnsi="Arial" w:cs="Arial"/>
          <w:b/>
          <w:sz w:val="22"/>
        </w:rPr>
        <w:t xml:space="preserve"> </w:t>
      </w:r>
      <w:r w:rsidRPr="003031F7">
        <w:rPr>
          <w:rFonts w:ascii="Arial" w:hAnsi="Arial" w:cs="Arial"/>
          <w:b/>
          <w:sz w:val="22"/>
        </w:rPr>
        <w:t xml:space="preserve">účetní závěrky </w:t>
      </w:r>
      <w:r w:rsidR="00065A7E" w:rsidRPr="003031F7">
        <w:rPr>
          <w:rFonts w:ascii="Arial" w:hAnsi="Arial" w:cs="Arial"/>
          <w:b/>
          <w:sz w:val="22"/>
        </w:rPr>
        <w:t xml:space="preserve">MD k 31. 12. 2013 </w:t>
      </w:r>
      <w:r w:rsidRPr="003031F7">
        <w:rPr>
          <w:rFonts w:ascii="Arial" w:hAnsi="Arial" w:cs="Arial"/>
          <w:b/>
          <w:sz w:val="22"/>
        </w:rPr>
        <w:t>byla ve významném rozsahu omezena z důvodu nejednoznačností a nejasností při aplik</w:t>
      </w:r>
      <w:r w:rsidR="00C41577">
        <w:rPr>
          <w:rFonts w:ascii="Arial" w:hAnsi="Arial" w:cs="Arial"/>
          <w:b/>
          <w:sz w:val="22"/>
        </w:rPr>
        <w:t xml:space="preserve">aci </w:t>
      </w:r>
      <w:r w:rsidR="009A6F94">
        <w:rPr>
          <w:rFonts w:ascii="Arial" w:hAnsi="Arial" w:cs="Arial"/>
          <w:b/>
          <w:sz w:val="22"/>
        </w:rPr>
        <w:t>č</w:t>
      </w:r>
      <w:r w:rsidR="00C41577">
        <w:rPr>
          <w:rFonts w:ascii="Arial" w:hAnsi="Arial" w:cs="Arial"/>
          <w:b/>
          <w:sz w:val="22"/>
        </w:rPr>
        <w:t xml:space="preserve">eského účetního standardu </w:t>
      </w:r>
      <w:r w:rsidRPr="003031F7">
        <w:rPr>
          <w:rFonts w:ascii="Arial" w:hAnsi="Arial" w:cs="Arial"/>
          <w:b/>
          <w:sz w:val="22"/>
        </w:rPr>
        <w:t xml:space="preserve">č. 703 </w:t>
      </w:r>
      <w:r w:rsidRPr="008D4BE1">
        <w:rPr>
          <w:rFonts w:ascii="Arial" w:hAnsi="Arial" w:cs="Arial"/>
          <w:b/>
          <w:i/>
          <w:sz w:val="22"/>
        </w:rPr>
        <w:t>– Transfery</w:t>
      </w:r>
      <w:r w:rsidR="003031F7" w:rsidRPr="003373CB">
        <w:rPr>
          <w:rFonts w:ascii="Arial" w:hAnsi="Arial" w:cs="Arial"/>
          <w:b/>
          <w:sz w:val="22"/>
        </w:rPr>
        <w:t>.</w:t>
      </w:r>
      <w:r w:rsidR="003031F7">
        <w:rPr>
          <w:rFonts w:ascii="Arial" w:hAnsi="Arial" w:cs="Arial"/>
          <w:sz w:val="22"/>
        </w:rPr>
        <w:t xml:space="preserve"> </w:t>
      </w:r>
      <w:r w:rsidR="003031F7" w:rsidRPr="00D50DA2">
        <w:rPr>
          <w:rFonts w:ascii="Arial" w:hAnsi="Arial" w:cs="Arial"/>
          <w:sz w:val="22"/>
        </w:rPr>
        <w:t>Tyto nejednoznačnosti nejsou dávány k tíži MD, zároveň však vedou k tomu, že nelze poskytnout informaci uživatelům účetní závěrky, zda účetní závěrka podává</w:t>
      </w:r>
      <w:r w:rsidR="009A6F94">
        <w:rPr>
          <w:rFonts w:ascii="Arial" w:hAnsi="Arial" w:cs="Arial"/>
          <w:sz w:val="22"/>
        </w:rPr>
        <w:t>,</w:t>
      </w:r>
      <w:r w:rsidR="003031F7" w:rsidRPr="00D50DA2">
        <w:rPr>
          <w:rFonts w:ascii="Arial" w:hAnsi="Arial" w:cs="Arial"/>
          <w:sz w:val="22"/>
        </w:rPr>
        <w:t xml:space="preserve"> či nepodává věrný a poct</w:t>
      </w:r>
      <w:r w:rsidR="00657022">
        <w:rPr>
          <w:rFonts w:ascii="Arial" w:hAnsi="Arial" w:cs="Arial"/>
          <w:sz w:val="22"/>
        </w:rPr>
        <w:t>ivý obraz předmětu účetnictví a </w:t>
      </w:r>
      <w:r w:rsidR="003031F7" w:rsidRPr="00D50DA2">
        <w:rPr>
          <w:rFonts w:ascii="Arial" w:hAnsi="Arial" w:cs="Arial"/>
          <w:sz w:val="22"/>
        </w:rPr>
        <w:t>finanční situace účetní jednotky dle § 7 odst. 1 zákona o účetnictví, neboť při jiném výkladu nejednoznačných ustanovení předpisů upravujících vedení účetnictví by mohly být podány informace jiné, které by mohly jiným způsobem ovlivnit rozhodování a</w:t>
      </w:r>
      <w:r w:rsidR="008F27A1">
        <w:rPr>
          <w:rFonts w:ascii="Arial" w:hAnsi="Arial" w:cs="Arial"/>
          <w:sz w:val="22"/>
        </w:rPr>
        <w:t xml:space="preserve"> úsudek uživatele ÚZ</w:t>
      </w:r>
      <w:r w:rsidR="003031F7" w:rsidRPr="00D50DA2">
        <w:rPr>
          <w:rFonts w:ascii="Arial" w:hAnsi="Arial" w:cs="Arial"/>
          <w:sz w:val="22"/>
        </w:rPr>
        <w:t>.</w:t>
      </w:r>
    </w:p>
    <w:p w:rsidR="004102EB" w:rsidRPr="00D50DA2" w:rsidRDefault="004102EB" w:rsidP="00E20E21">
      <w:pPr>
        <w:rPr>
          <w:rFonts w:ascii="Arial" w:hAnsi="Arial" w:cs="Arial"/>
          <w:sz w:val="22"/>
        </w:rPr>
      </w:pPr>
    </w:p>
    <w:p w:rsidR="003031F7" w:rsidRDefault="0044342E" w:rsidP="00E20E2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 </w:t>
      </w:r>
      <w:r w:rsidR="003031F7" w:rsidRPr="00951245">
        <w:rPr>
          <w:rFonts w:ascii="Arial" w:hAnsi="Arial" w:cs="Arial"/>
          <w:b/>
          <w:sz w:val="22"/>
        </w:rPr>
        <w:t xml:space="preserve">důsledku těchto skutečností </w:t>
      </w:r>
      <w:r w:rsidR="00247F49">
        <w:rPr>
          <w:rFonts w:ascii="Arial" w:hAnsi="Arial" w:cs="Arial"/>
          <w:b/>
          <w:sz w:val="22"/>
        </w:rPr>
        <w:t>n</w:t>
      </w:r>
      <w:r w:rsidR="003031F7">
        <w:rPr>
          <w:rFonts w:ascii="Arial" w:hAnsi="Arial" w:cs="Arial"/>
          <w:b/>
          <w:sz w:val="22"/>
        </w:rPr>
        <w:t xml:space="preserve">ení možné </w:t>
      </w:r>
      <w:r w:rsidR="00247F49">
        <w:rPr>
          <w:rFonts w:ascii="Arial" w:hAnsi="Arial" w:cs="Arial"/>
          <w:b/>
          <w:sz w:val="22"/>
        </w:rPr>
        <w:t xml:space="preserve">se </w:t>
      </w:r>
      <w:r w:rsidR="003031F7">
        <w:rPr>
          <w:rFonts w:ascii="Arial" w:hAnsi="Arial" w:cs="Arial"/>
          <w:b/>
          <w:sz w:val="22"/>
        </w:rPr>
        <w:t>vyjádřit ke spolehlivosti účetní závěrky MD k 31. 12. 2013 jako celku.</w:t>
      </w:r>
    </w:p>
    <w:p w:rsidR="004102EB" w:rsidRDefault="004102EB" w:rsidP="00E20E21">
      <w:pPr>
        <w:rPr>
          <w:rFonts w:ascii="Arial" w:hAnsi="Arial" w:cs="Arial"/>
          <w:sz w:val="22"/>
        </w:rPr>
      </w:pPr>
    </w:p>
    <w:p w:rsidR="003031F7" w:rsidRDefault="00D50DA2" w:rsidP="00E20E21">
      <w:pPr>
        <w:rPr>
          <w:rFonts w:ascii="Arial" w:hAnsi="Arial" w:cs="Arial"/>
          <w:sz w:val="22"/>
        </w:rPr>
      </w:pPr>
      <w:r w:rsidRPr="00084461">
        <w:rPr>
          <w:rFonts w:ascii="Arial" w:hAnsi="Arial" w:cs="Arial"/>
          <w:bCs/>
          <w:iCs/>
          <w:sz w:val="22"/>
        </w:rPr>
        <w:t xml:space="preserve">Současně je však třeba upozornit na skutečnost, že </w:t>
      </w:r>
      <w:r>
        <w:rPr>
          <w:rFonts w:ascii="Arial" w:hAnsi="Arial" w:cs="Arial"/>
          <w:bCs/>
          <w:iCs/>
          <w:sz w:val="22"/>
        </w:rPr>
        <w:t>NKÚ byl</w:t>
      </w:r>
      <w:r w:rsidRPr="00084461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sz w:val="22"/>
        </w:rPr>
        <w:t>významně omezen</w:t>
      </w:r>
      <w:r w:rsidRPr="00084461">
        <w:rPr>
          <w:rFonts w:ascii="Arial" w:hAnsi="Arial" w:cs="Arial"/>
          <w:sz w:val="22"/>
        </w:rPr>
        <w:t xml:space="preserve"> v možnosti získat dostatečné a vhodné důkazní informace k prokázání některých údajů účetní závěrky (</w:t>
      </w:r>
      <w:r w:rsidR="0044342E">
        <w:rPr>
          <w:rFonts w:ascii="Arial" w:hAnsi="Arial" w:cs="Arial"/>
          <w:sz w:val="22"/>
        </w:rPr>
        <w:t>k </w:t>
      </w:r>
      <w:r w:rsidRPr="00084461">
        <w:rPr>
          <w:rFonts w:ascii="Arial" w:hAnsi="Arial" w:cs="Arial"/>
          <w:sz w:val="22"/>
        </w:rPr>
        <w:t>zůstatku účtu 372 –</w:t>
      </w:r>
      <w:r w:rsidRPr="00084461">
        <w:rPr>
          <w:rFonts w:ascii="Arial" w:hAnsi="Arial" w:cs="Arial"/>
          <w:bCs/>
          <w:color w:val="000000"/>
          <w:sz w:val="22"/>
          <w:lang w:eastAsia="cs-CZ"/>
        </w:rPr>
        <w:t xml:space="preserve"> </w:t>
      </w:r>
      <w:r w:rsidRPr="00084461">
        <w:rPr>
          <w:rFonts w:ascii="Arial" w:hAnsi="Arial" w:cs="Arial"/>
          <w:bCs/>
          <w:i/>
          <w:color w:val="000000"/>
          <w:sz w:val="22"/>
          <w:lang w:eastAsia="cs-CZ"/>
        </w:rPr>
        <w:t>Krátkodobé závazky z nástrojů spolufinancovaných ze zahraničí</w:t>
      </w:r>
      <w:r w:rsidRPr="00084461">
        <w:rPr>
          <w:rFonts w:ascii="Arial" w:hAnsi="Arial" w:cs="Arial"/>
          <w:bCs/>
          <w:color w:val="000000"/>
          <w:sz w:val="22"/>
          <w:lang w:eastAsia="cs-CZ"/>
        </w:rPr>
        <w:t>)</w:t>
      </w:r>
      <w:r w:rsidRPr="00084461">
        <w:rPr>
          <w:rFonts w:ascii="Arial" w:hAnsi="Arial" w:cs="Arial"/>
          <w:sz w:val="22"/>
        </w:rPr>
        <w:t xml:space="preserve">, přičemž rozsah tohoto omezení </w:t>
      </w:r>
      <w:r w:rsidRPr="00084461">
        <w:rPr>
          <w:rFonts w:ascii="Arial" w:hAnsi="Arial" w:cs="Arial"/>
          <w:bCs/>
          <w:iCs/>
          <w:sz w:val="22"/>
        </w:rPr>
        <w:t xml:space="preserve">několikanásobně překročil stanovenou </w:t>
      </w:r>
      <w:r w:rsidR="009A6F94">
        <w:rPr>
          <w:rFonts w:ascii="Arial" w:hAnsi="Arial" w:cs="Arial"/>
          <w:bCs/>
          <w:iCs/>
          <w:sz w:val="22"/>
        </w:rPr>
        <w:t xml:space="preserve">hladinu </w:t>
      </w:r>
      <w:r w:rsidRPr="00084461">
        <w:rPr>
          <w:rFonts w:ascii="Arial" w:hAnsi="Arial" w:cs="Arial"/>
          <w:bCs/>
          <w:iCs/>
          <w:sz w:val="22"/>
        </w:rPr>
        <w:t>významnost</w:t>
      </w:r>
      <w:r w:rsidR="009A6F94">
        <w:rPr>
          <w:rFonts w:ascii="Arial" w:hAnsi="Arial" w:cs="Arial"/>
          <w:bCs/>
          <w:iCs/>
          <w:sz w:val="22"/>
        </w:rPr>
        <w:t>i</w:t>
      </w:r>
      <w:r w:rsidR="006B24D0">
        <w:rPr>
          <w:rFonts w:ascii="Arial" w:hAnsi="Arial" w:cs="Arial"/>
          <w:bCs/>
          <w:iCs/>
          <w:sz w:val="22"/>
        </w:rPr>
        <w:t>,</w:t>
      </w:r>
      <w:r w:rsidRPr="00084461">
        <w:rPr>
          <w:rFonts w:ascii="Arial" w:hAnsi="Arial" w:cs="Arial"/>
          <w:bCs/>
          <w:iCs/>
          <w:sz w:val="22"/>
        </w:rPr>
        <w:t xml:space="preserve"> a za jiných okolností</w:t>
      </w:r>
      <w:r w:rsidRPr="003373CB">
        <w:rPr>
          <w:rStyle w:val="Znakapoznpodarou"/>
          <w:rFonts w:ascii="Arial" w:hAnsi="Arial" w:cs="Arial"/>
          <w:bCs/>
          <w:iCs/>
        </w:rPr>
        <w:footnoteReference w:id="5"/>
      </w:r>
      <w:r w:rsidRPr="00084461">
        <w:rPr>
          <w:rFonts w:ascii="Arial" w:hAnsi="Arial" w:cs="Arial"/>
          <w:bCs/>
          <w:iCs/>
          <w:sz w:val="22"/>
        </w:rPr>
        <w:t xml:space="preserve"> by tak vedl k modifikovanému </w:t>
      </w:r>
      <w:r w:rsidR="008F27A1">
        <w:rPr>
          <w:rFonts w:ascii="Arial" w:hAnsi="Arial" w:cs="Arial"/>
          <w:bCs/>
          <w:iCs/>
          <w:sz w:val="22"/>
        </w:rPr>
        <w:t>stanovisku</w:t>
      </w:r>
      <w:r w:rsidRPr="00084461">
        <w:rPr>
          <w:rFonts w:ascii="Arial" w:hAnsi="Arial" w:cs="Arial"/>
          <w:bCs/>
          <w:iCs/>
          <w:sz w:val="22"/>
        </w:rPr>
        <w:t>.</w:t>
      </w:r>
    </w:p>
    <w:p w:rsidR="00247F49" w:rsidRDefault="00247F49" w:rsidP="00E20E21">
      <w:pPr>
        <w:rPr>
          <w:rFonts w:ascii="Arial" w:hAnsi="Arial" w:cs="Arial"/>
          <w:b/>
          <w:sz w:val="22"/>
        </w:rPr>
      </w:pPr>
    </w:p>
    <w:p w:rsidR="00D50DA2" w:rsidRDefault="009F0FA7" w:rsidP="00E20E2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Problémy s aplik</w:t>
      </w:r>
      <w:r w:rsidR="009A6F94">
        <w:rPr>
          <w:rFonts w:ascii="Arial" w:hAnsi="Arial" w:cs="Arial"/>
          <w:b/>
          <w:sz w:val="22"/>
        </w:rPr>
        <w:t>ováním</w:t>
      </w:r>
      <w:r>
        <w:rPr>
          <w:rFonts w:ascii="Arial" w:hAnsi="Arial" w:cs="Arial"/>
          <w:b/>
          <w:sz w:val="22"/>
        </w:rPr>
        <w:t xml:space="preserve"> předpisů</w:t>
      </w:r>
      <w:r w:rsidR="00D50DA2" w:rsidRPr="00D50DA2">
        <w:rPr>
          <w:rFonts w:ascii="Arial" w:hAnsi="Arial" w:cs="Arial"/>
          <w:b/>
          <w:sz w:val="22"/>
        </w:rPr>
        <w:t xml:space="preserve"> upravující</w:t>
      </w:r>
      <w:r>
        <w:rPr>
          <w:rFonts w:ascii="Arial" w:hAnsi="Arial" w:cs="Arial"/>
          <w:b/>
          <w:sz w:val="22"/>
        </w:rPr>
        <w:t>ch</w:t>
      </w:r>
      <w:r w:rsidR="00D50DA2" w:rsidRPr="00D50DA2">
        <w:rPr>
          <w:rFonts w:ascii="Arial" w:hAnsi="Arial" w:cs="Arial"/>
          <w:b/>
          <w:sz w:val="22"/>
        </w:rPr>
        <w:t xml:space="preserve"> vedení účetnictví </w:t>
      </w:r>
    </w:p>
    <w:p w:rsidR="004102EB" w:rsidRPr="00D50DA2" w:rsidRDefault="004102EB" w:rsidP="00E20E21">
      <w:pPr>
        <w:rPr>
          <w:rFonts w:ascii="Arial" w:hAnsi="Arial" w:cs="Arial"/>
          <w:b/>
          <w:sz w:val="22"/>
        </w:rPr>
      </w:pPr>
    </w:p>
    <w:p w:rsidR="008124AF" w:rsidRPr="00D16CE6" w:rsidRDefault="008124AF" w:rsidP="004102EB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Transfery spolufinancované z EU</w:t>
      </w:r>
    </w:p>
    <w:p w:rsidR="008F27A1" w:rsidRDefault="007C1704" w:rsidP="003373CB">
      <w:pPr>
        <w:rPr>
          <w:rFonts w:ascii="Arial" w:hAnsi="Arial" w:cs="Arial"/>
          <w:sz w:val="22"/>
        </w:rPr>
      </w:pPr>
      <w:r w:rsidRPr="00D16CE6">
        <w:rPr>
          <w:rFonts w:ascii="Arial" w:hAnsi="Arial" w:cs="Arial"/>
          <w:sz w:val="22"/>
        </w:rPr>
        <w:t>Ú</w:t>
      </w:r>
      <w:r w:rsidR="00563A15" w:rsidRPr="00D16CE6">
        <w:rPr>
          <w:rFonts w:ascii="Arial" w:hAnsi="Arial" w:cs="Arial"/>
          <w:sz w:val="22"/>
        </w:rPr>
        <w:t>čtování</w:t>
      </w:r>
      <w:r w:rsidR="00DD05AB" w:rsidRPr="00D16CE6">
        <w:rPr>
          <w:rFonts w:ascii="Arial" w:hAnsi="Arial" w:cs="Arial"/>
          <w:sz w:val="22"/>
        </w:rPr>
        <w:t xml:space="preserve"> o</w:t>
      </w:r>
      <w:r w:rsidR="00563A15" w:rsidRPr="00D16CE6">
        <w:rPr>
          <w:rFonts w:ascii="Arial" w:hAnsi="Arial" w:cs="Arial"/>
          <w:sz w:val="22"/>
        </w:rPr>
        <w:t xml:space="preserve"> transfer</w:t>
      </w:r>
      <w:r w:rsidRPr="00D16CE6">
        <w:rPr>
          <w:rFonts w:ascii="Arial" w:hAnsi="Arial" w:cs="Arial"/>
          <w:sz w:val="22"/>
        </w:rPr>
        <w:t>ech</w:t>
      </w:r>
      <w:r w:rsidR="00563A15" w:rsidRPr="00D16CE6">
        <w:rPr>
          <w:rFonts w:ascii="Arial" w:hAnsi="Arial" w:cs="Arial"/>
          <w:sz w:val="22"/>
        </w:rPr>
        <w:t xml:space="preserve"> spolufinancovaných z</w:t>
      </w:r>
      <w:r w:rsidR="00DF1FB6" w:rsidRPr="00D16CE6">
        <w:rPr>
          <w:rFonts w:ascii="Arial" w:hAnsi="Arial" w:cs="Arial"/>
          <w:sz w:val="22"/>
        </w:rPr>
        <w:t> </w:t>
      </w:r>
      <w:r w:rsidR="00563A15" w:rsidRPr="00D16CE6">
        <w:rPr>
          <w:rFonts w:ascii="Arial" w:hAnsi="Arial" w:cs="Arial"/>
          <w:sz w:val="22"/>
        </w:rPr>
        <w:t>EU</w:t>
      </w:r>
      <w:r w:rsidR="00DF1FB6" w:rsidRPr="003373CB">
        <w:rPr>
          <w:rFonts w:ascii="Arial" w:hAnsi="Arial" w:cs="Arial"/>
          <w:sz w:val="22"/>
        </w:rPr>
        <w:t xml:space="preserve"> </w:t>
      </w:r>
      <w:r w:rsidR="00DF1FB6">
        <w:rPr>
          <w:rFonts w:ascii="Arial" w:hAnsi="Arial" w:cs="Arial"/>
          <w:sz w:val="22"/>
        </w:rPr>
        <w:t>(či obecně ze zahraničí)</w:t>
      </w:r>
      <w:r w:rsidR="00563A15" w:rsidRPr="00065A7E">
        <w:rPr>
          <w:rFonts w:ascii="Arial" w:hAnsi="Arial" w:cs="Arial"/>
          <w:sz w:val="22"/>
        </w:rPr>
        <w:t xml:space="preserve"> </w:t>
      </w:r>
      <w:r w:rsidR="00DD05AB">
        <w:rPr>
          <w:rFonts w:ascii="Arial" w:hAnsi="Arial" w:cs="Arial"/>
          <w:sz w:val="22"/>
        </w:rPr>
        <w:t xml:space="preserve">je </w:t>
      </w:r>
      <w:r>
        <w:rPr>
          <w:rFonts w:ascii="Arial" w:hAnsi="Arial" w:cs="Arial"/>
          <w:sz w:val="22"/>
        </w:rPr>
        <w:t xml:space="preserve">oblastí, která je </w:t>
      </w:r>
      <w:r w:rsidR="00DD05AB">
        <w:rPr>
          <w:rFonts w:ascii="Arial" w:hAnsi="Arial" w:cs="Arial"/>
          <w:sz w:val="22"/>
        </w:rPr>
        <w:t xml:space="preserve">zatížena nejasnostmi při aplikaci účetních předpisů, přičemž dopad na </w:t>
      </w:r>
      <w:r w:rsidR="008F27A1">
        <w:rPr>
          <w:rFonts w:ascii="Arial" w:hAnsi="Arial" w:cs="Arial"/>
          <w:sz w:val="22"/>
        </w:rPr>
        <w:t>ÚZ</w:t>
      </w:r>
      <w:r w:rsidR="00DD05AB">
        <w:rPr>
          <w:rFonts w:ascii="Arial" w:hAnsi="Arial" w:cs="Arial"/>
          <w:sz w:val="22"/>
        </w:rPr>
        <w:t xml:space="preserve"> MD byl natolik významný, že neumožnil NKÚ vyjádřit se k její spolehlivosti</w:t>
      </w:r>
      <w:r w:rsidR="00563A15" w:rsidRPr="00065A7E">
        <w:rPr>
          <w:rFonts w:ascii="Arial" w:hAnsi="Arial" w:cs="Arial"/>
          <w:sz w:val="22"/>
        </w:rPr>
        <w:t xml:space="preserve">. </w:t>
      </w:r>
    </w:p>
    <w:p w:rsidR="004102EB" w:rsidRDefault="004102EB" w:rsidP="003373CB">
      <w:pPr>
        <w:rPr>
          <w:rFonts w:ascii="Arial" w:hAnsi="Arial" w:cs="Arial"/>
          <w:sz w:val="22"/>
        </w:rPr>
      </w:pPr>
    </w:p>
    <w:p w:rsidR="008124AF" w:rsidRDefault="00DD05AB" w:rsidP="003373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Jedná se o dlouhodob</w:t>
      </w:r>
      <w:r w:rsidR="00247F49">
        <w:rPr>
          <w:rFonts w:ascii="Arial" w:hAnsi="Arial" w:cs="Arial"/>
          <w:sz w:val="22"/>
        </w:rPr>
        <w:t>ě</w:t>
      </w:r>
      <w:r>
        <w:rPr>
          <w:rFonts w:ascii="Arial" w:hAnsi="Arial" w:cs="Arial"/>
          <w:sz w:val="22"/>
        </w:rPr>
        <w:t xml:space="preserve"> přetrvávající problém</w:t>
      </w:r>
      <w:r w:rsidR="00A44CE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A44CE8">
        <w:rPr>
          <w:rFonts w:ascii="Arial" w:hAnsi="Arial" w:cs="Arial"/>
          <w:sz w:val="22"/>
        </w:rPr>
        <w:t>T</w:t>
      </w:r>
      <w:r w:rsidR="00697D05" w:rsidRPr="00697D05">
        <w:rPr>
          <w:rFonts w:ascii="Arial" w:hAnsi="Arial" w:cs="Arial"/>
          <w:sz w:val="22"/>
        </w:rPr>
        <w:t>uto nejasnost konst</w:t>
      </w:r>
      <w:r w:rsidR="008124AF">
        <w:rPr>
          <w:rFonts w:ascii="Arial" w:hAnsi="Arial" w:cs="Arial"/>
          <w:sz w:val="22"/>
        </w:rPr>
        <w:t>atoval NKÚ již v řadě kontrolních</w:t>
      </w:r>
      <w:r w:rsidR="00697D05" w:rsidRPr="00697D05">
        <w:rPr>
          <w:rFonts w:ascii="Arial" w:hAnsi="Arial" w:cs="Arial"/>
          <w:sz w:val="22"/>
        </w:rPr>
        <w:t xml:space="preserve"> závěrů</w:t>
      </w:r>
      <w:r>
        <w:rPr>
          <w:rFonts w:ascii="Arial" w:hAnsi="Arial" w:cs="Arial"/>
          <w:sz w:val="22"/>
        </w:rPr>
        <w:t xml:space="preserve"> na základě kontrol provedených u různých účetních jednotek</w:t>
      </w:r>
      <w:r w:rsidR="005B7CAF">
        <w:rPr>
          <w:rFonts w:ascii="Arial" w:hAnsi="Arial" w:cs="Arial"/>
          <w:sz w:val="22"/>
        </w:rPr>
        <w:t xml:space="preserve"> (</w:t>
      </w:r>
      <w:r w:rsidR="00697D05" w:rsidRPr="00697D05">
        <w:rPr>
          <w:rFonts w:ascii="Arial" w:hAnsi="Arial" w:cs="Arial"/>
          <w:sz w:val="22"/>
        </w:rPr>
        <w:t>kontrolní akce</w:t>
      </w:r>
      <w:r w:rsidR="009A6F94">
        <w:rPr>
          <w:rFonts w:ascii="Arial" w:hAnsi="Arial" w:cs="Arial"/>
          <w:sz w:val="22"/>
        </w:rPr>
        <w:t xml:space="preserve"> č.</w:t>
      </w:r>
      <w:r w:rsidR="00697D05" w:rsidRPr="00697D05">
        <w:rPr>
          <w:rFonts w:ascii="Arial" w:hAnsi="Arial" w:cs="Arial"/>
          <w:sz w:val="22"/>
        </w:rPr>
        <w:t xml:space="preserve"> 12/14, 12/15, 12/30 či 13/19</w:t>
      </w:r>
      <w:r w:rsidR="005B7CAF">
        <w:rPr>
          <w:rFonts w:ascii="Arial" w:hAnsi="Arial" w:cs="Arial"/>
          <w:sz w:val="22"/>
        </w:rPr>
        <w:t>)</w:t>
      </w:r>
      <w:r w:rsidR="00697D05">
        <w:rPr>
          <w:rFonts w:ascii="Arial" w:hAnsi="Arial" w:cs="Arial"/>
          <w:sz w:val="22"/>
        </w:rPr>
        <w:t>.</w:t>
      </w:r>
      <w:r w:rsidR="006E2275">
        <w:rPr>
          <w:rFonts w:ascii="Arial" w:hAnsi="Arial" w:cs="Arial"/>
          <w:sz w:val="22"/>
        </w:rPr>
        <w:t xml:space="preserve"> </w:t>
      </w:r>
    </w:p>
    <w:p w:rsidR="004102EB" w:rsidRDefault="004102EB" w:rsidP="003373CB">
      <w:pPr>
        <w:rPr>
          <w:rFonts w:ascii="Arial" w:hAnsi="Arial" w:cs="Arial"/>
          <w:sz w:val="22"/>
        </w:rPr>
      </w:pPr>
    </w:p>
    <w:p w:rsidR="00697D05" w:rsidRDefault="008124AF" w:rsidP="003373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této souvislosti je třeba upozornit na záležitost, která se </w:t>
      </w:r>
      <w:r w:rsidR="00657022">
        <w:rPr>
          <w:rFonts w:ascii="Arial" w:hAnsi="Arial" w:cs="Arial"/>
          <w:sz w:val="22"/>
        </w:rPr>
        <w:t>projevila právě v případě MD, a </w:t>
      </w:r>
      <w:r>
        <w:rPr>
          <w:rFonts w:ascii="Arial" w:hAnsi="Arial" w:cs="Arial"/>
          <w:sz w:val="22"/>
        </w:rPr>
        <w:t xml:space="preserve">sice že </w:t>
      </w:r>
      <w:r w:rsidRPr="00247F49">
        <w:rPr>
          <w:rFonts w:ascii="Arial" w:hAnsi="Arial" w:cs="Arial"/>
          <w:b/>
          <w:sz w:val="22"/>
        </w:rPr>
        <w:t>u těch OSS</w:t>
      </w:r>
      <w:r w:rsidR="006E2275" w:rsidRPr="00247F49">
        <w:rPr>
          <w:rFonts w:ascii="Arial" w:hAnsi="Arial" w:cs="Arial"/>
          <w:b/>
          <w:sz w:val="22"/>
        </w:rPr>
        <w:t>, které předfinancují zahranič</w:t>
      </w:r>
      <w:r w:rsidR="009A6F94">
        <w:rPr>
          <w:rFonts w:ascii="Arial" w:hAnsi="Arial" w:cs="Arial"/>
          <w:b/>
          <w:sz w:val="22"/>
        </w:rPr>
        <w:t>n</w:t>
      </w:r>
      <w:r w:rsidR="006E2275" w:rsidRPr="00247F49">
        <w:rPr>
          <w:rFonts w:ascii="Arial" w:hAnsi="Arial" w:cs="Arial"/>
          <w:b/>
          <w:sz w:val="22"/>
        </w:rPr>
        <w:t xml:space="preserve">í transfery a účtují jako zprostředkovatel zahraničního transferu, může s ohledem na ustanovení účetních předpisů docházet k tomu, že své nároky na refundace (pohledávky) </w:t>
      </w:r>
      <w:r w:rsidR="00B22F47" w:rsidRPr="00247F49">
        <w:rPr>
          <w:rFonts w:ascii="Arial" w:hAnsi="Arial" w:cs="Arial"/>
          <w:b/>
          <w:sz w:val="22"/>
        </w:rPr>
        <w:t xml:space="preserve">vykáží </w:t>
      </w:r>
      <w:r w:rsidR="006E2275" w:rsidRPr="00247F49">
        <w:rPr>
          <w:rFonts w:ascii="Arial" w:hAnsi="Arial" w:cs="Arial"/>
          <w:b/>
          <w:sz w:val="22"/>
        </w:rPr>
        <w:t>v</w:t>
      </w:r>
      <w:r w:rsidR="00C1457C" w:rsidRPr="00247F49">
        <w:rPr>
          <w:rFonts w:ascii="Arial" w:hAnsi="Arial" w:cs="Arial"/>
          <w:b/>
          <w:sz w:val="22"/>
        </w:rPr>
        <w:t> </w:t>
      </w:r>
      <w:r w:rsidR="006E2275" w:rsidRPr="00247F49">
        <w:rPr>
          <w:rFonts w:ascii="Arial" w:hAnsi="Arial" w:cs="Arial"/>
          <w:b/>
          <w:sz w:val="22"/>
        </w:rPr>
        <w:t>zá</w:t>
      </w:r>
      <w:r w:rsidR="00C1457C" w:rsidRPr="00247F49">
        <w:rPr>
          <w:rFonts w:ascii="Arial" w:hAnsi="Arial" w:cs="Arial"/>
          <w:b/>
          <w:sz w:val="22"/>
        </w:rPr>
        <w:t>porné hodnotě na účtu závazk</w:t>
      </w:r>
      <w:r w:rsidR="00B22F47" w:rsidRPr="00247F49">
        <w:rPr>
          <w:rFonts w:ascii="Arial" w:hAnsi="Arial" w:cs="Arial"/>
          <w:b/>
          <w:sz w:val="22"/>
        </w:rPr>
        <w:t>ů</w:t>
      </w:r>
      <w:r w:rsidR="00C1457C" w:rsidRPr="003373CB">
        <w:rPr>
          <w:rFonts w:ascii="Arial" w:hAnsi="Arial" w:cs="Arial"/>
          <w:b/>
          <w:sz w:val="22"/>
        </w:rPr>
        <w:t>,</w:t>
      </w:r>
      <w:r w:rsidR="00C1457C">
        <w:rPr>
          <w:rFonts w:ascii="Arial" w:hAnsi="Arial" w:cs="Arial"/>
          <w:sz w:val="22"/>
        </w:rPr>
        <w:t xml:space="preserve"> což je z účetního hlediska neobvyklá a obtížně srozumitelná informace. </w:t>
      </w:r>
    </w:p>
    <w:p w:rsidR="00247F49" w:rsidRDefault="00247F49" w:rsidP="003373CB">
      <w:pPr>
        <w:rPr>
          <w:rFonts w:ascii="Arial" w:hAnsi="Arial" w:cs="Arial"/>
          <w:b/>
          <w:i/>
          <w:sz w:val="22"/>
        </w:rPr>
      </w:pPr>
    </w:p>
    <w:p w:rsidR="008124AF" w:rsidRPr="00D16CE6" w:rsidRDefault="008124AF" w:rsidP="00247F49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Přehled o změnách vlastního kapitálu</w:t>
      </w:r>
    </w:p>
    <w:p w:rsidR="00FE50A6" w:rsidRPr="00951245" w:rsidRDefault="00FE50A6" w:rsidP="00FB1348">
      <w:pPr>
        <w:rPr>
          <w:rFonts w:ascii="Arial" w:hAnsi="Arial" w:cs="Arial"/>
          <w:sz w:val="22"/>
        </w:rPr>
      </w:pPr>
      <w:r w:rsidRPr="00FE50A6">
        <w:rPr>
          <w:rFonts w:ascii="Arial" w:hAnsi="Arial" w:cs="Arial"/>
          <w:sz w:val="22"/>
        </w:rPr>
        <w:t xml:space="preserve">Další oblastí, která je postižena </w:t>
      </w:r>
      <w:r w:rsidRPr="00C24B70">
        <w:rPr>
          <w:rFonts w:ascii="Arial" w:hAnsi="Arial" w:cs="Arial"/>
          <w:sz w:val="22"/>
        </w:rPr>
        <w:t xml:space="preserve">nejasností při aplikaci právních předpisů, je používání </w:t>
      </w:r>
      <w:r w:rsidRPr="00D16CE6">
        <w:rPr>
          <w:rFonts w:ascii="Arial" w:hAnsi="Arial" w:cs="Arial"/>
          <w:sz w:val="22"/>
        </w:rPr>
        <w:t>různých způsobů pro naplnění údajů o „zvýšení stavu“ a „snížení stavu“</w:t>
      </w:r>
      <w:r w:rsidRPr="00C24B70">
        <w:rPr>
          <w:rFonts w:ascii="Arial" w:hAnsi="Arial" w:cs="Arial"/>
          <w:sz w:val="22"/>
        </w:rPr>
        <w:t xml:space="preserve"> u položek B.</w:t>
      </w:r>
      <w:r w:rsidRPr="00D16CE6">
        <w:rPr>
          <w:rFonts w:ascii="Arial" w:hAnsi="Arial" w:cs="Arial"/>
          <w:sz w:val="22"/>
        </w:rPr>
        <w:t xml:space="preserve"> </w:t>
      </w:r>
      <w:r w:rsidRPr="00D16CE6">
        <w:rPr>
          <w:rFonts w:ascii="Arial" w:hAnsi="Arial" w:cs="Arial"/>
          <w:i/>
          <w:sz w:val="22"/>
        </w:rPr>
        <w:t>Fondy účetní jednotky</w:t>
      </w:r>
      <w:r w:rsidRPr="00D16CE6">
        <w:rPr>
          <w:rFonts w:ascii="Arial" w:hAnsi="Arial" w:cs="Arial"/>
          <w:sz w:val="22"/>
        </w:rPr>
        <w:t xml:space="preserve"> a </w:t>
      </w:r>
      <w:r w:rsidRPr="00FB1348">
        <w:rPr>
          <w:rFonts w:ascii="Arial" w:hAnsi="Arial" w:cs="Arial"/>
          <w:sz w:val="22"/>
        </w:rPr>
        <w:t>D.</w:t>
      </w:r>
      <w:r w:rsidRPr="00D16CE6">
        <w:rPr>
          <w:rFonts w:ascii="Arial" w:hAnsi="Arial" w:cs="Arial"/>
          <w:i/>
          <w:sz w:val="22"/>
        </w:rPr>
        <w:t xml:space="preserve"> Příjmový a výdajový účet rozpočtového hospodaření </w:t>
      </w:r>
      <w:r w:rsidR="009A6F94">
        <w:rPr>
          <w:rFonts w:ascii="Arial" w:hAnsi="Arial" w:cs="Arial"/>
          <w:sz w:val="22"/>
        </w:rPr>
        <w:t>p</w:t>
      </w:r>
      <w:r w:rsidR="00657022">
        <w:rPr>
          <w:rFonts w:ascii="Arial" w:hAnsi="Arial" w:cs="Arial"/>
          <w:sz w:val="22"/>
        </w:rPr>
        <w:t>řehledu o </w:t>
      </w:r>
      <w:r w:rsidRPr="00D16CE6">
        <w:rPr>
          <w:rFonts w:ascii="Arial" w:hAnsi="Arial" w:cs="Arial"/>
          <w:sz w:val="22"/>
        </w:rPr>
        <w:t>změnách vlastního kapitálu</w:t>
      </w:r>
      <w:r w:rsidRPr="00C24B70">
        <w:rPr>
          <w:rFonts w:ascii="Arial" w:hAnsi="Arial" w:cs="Arial"/>
          <w:sz w:val="22"/>
        </w:rPr>
        <w:t xml:space="preserve">. </w:t>
      </w:r>
      <w:r w:rsidR="008124AF" w:rsidRPr="00C24B70">
        <w:rPr>
          <w:rFonts w:ascii="Arial" w:hAnsi="Arial" w:cs="Arial"/>
          <w:sz w:val="22"/>
        </w:rPr>
        <w:t>Tato n</w:t>
      </w:r>
      <w:r w:rsidRPr="00C24B70">
        <w:rPr>
          <w:rFonts w:ascii="Arial" w:hAnsi="Arial" w:cs="Arial"/>
          <w:sz w:val="22"/>
        </w:rPr>
        <w:t>ejasnost</w:t>
      </w:r>
      <w:r>
        <w:rPr>
          <w:rFonts w:ascii="Arial" w:hAnsi="Arial" w:cs="Arial"/>
          <w:sz w:val="22"/>
        </w:rPr>
        <w:t xml:space="preserve"> vede </w:t>
      </w:r>
      <w:r w:rsidR="0044342E">
        <w:rPr>
          <w:rFonts w:ascii="Arial" w:hAnsi="Arial" w:cs="Arial"/>
          <w:sz w:val="22"/>
        </w:rPr>
        <w:t>k </w:t>
      </w:r>
      <w:r>
        <w:rPr>
          <w:rFonts w:ascii="Arial" w:hAnsi="Arial" w:cs="Arial"/>
          <w:sz w:val="22"/>
        </w:rPr>
        <w:t>riziku</w:t>
      </w:r>
      <w:r w:rsidRPr="0095124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vzniku </w:t>
      </w:r>
      <w:r w:rsidR="00657022">
        <w:rPr>
          <w:rFonts w:ascii="Arial" w:hAnsi="Arial" w:cs="Arial"/>
          <w:sz w:val="22"/>
        </w:rPr>
        <w:t>nesrovnatelnosti údajů a </w:t>
      </w:r>
      <w:r w:rsidRPr="00951245">
        <w:rPr>
          <w:rFonts w:ascii="Arial" w:hAnsi="Arial" w:cs="Arial"/>
          <w:sz w:val="22"/>
        </w:rPr>
        <w:t>jejich další nepoužitelnosti v rámci vybraných účetních jednotek.</w:t>
      </w:r>
      <w:r w:rsidR="004929EC">
        <w:rPr>
          <w:rFonts w:ascii="Arial" w:hAnsi="Arial" w:cs="Arial"/>
          <w:sz w:val="22"/>
        </w:rPr>
        <w:t xml:space="preserve"> Na tento problém upozornil NKÚ již v</w:t>
      </w:r>
      <w:r w:rsidR="00A44CE8">
        <w:rPr>
          <w:rFonts w:ascii="Arial" w:hAnsi="Arial" w:cs="Arial"/>
          <w:sz w:val="22"/>
        </w:rPr>
        <w:t> kontrolní akci</w:t>
      </w:r>
      <w:r w:rsidR="004929EC">
        <w:rPr>
          <w:rFonts w:ascii="Arial" w:hAnsi="Arial" w:cs="Arial"/>
          <w:sz w:val="22"/>
        </w:rPr>
        <w:t xml:space="preserve"> </w:t>
      </w:r>
      <w:r w:rsidR="009A6F94">
        <w:rPr>
          <w:rFonts w:ascii="Arial" w:hAnsi="Arial" w:cs="Arial"/>
          <w:sz w:val="22"/>
        </w:rPr>
        <w:t xml:space="preserve">č. </w:t>
      </w:r>
      <w:r w:rsidR="004929EC">
        <w:rPr>
          <w:rFonts w:ascii="Arial" w:hAnsi="Arial" w:cs="Arial"/>
          <w:sz w:val="22"/>
        </w:rPr>
        <w:t>13/19.</w:t>
      </w:r>
    </w:p>
    <w:p w:rsidR="00EF0DCD" w:rsidRDefault="00EF0DCD" w:rsidP="00FB1348">
      <w:pPr>
        <w:rPr>
          <w:rFonts w:ascii="Arial" w:hAnsi="Arial" w:cs="Arial"/>
          <w:b/>
          <w:i/>
          <w:sz w:val="22"/>
        </w:rPr>
      </w:pPr>
    </w:p>
    <w:p w:rsidR="00C11FBE" w:rsidRDefault="00C11FBE" w:rsidP="00FB1348">
      <w:pPr>
        <w:rPr>
          <w:rFonts w:ascii="Arial" w:hAnsi="Arial" w:cs="Arial"/>
          <w:b/>
          <w:i/>
          <w:sz w:val="22"/>
        </w:rPr>
      </w:pPr>
    </w:p>
    <w:p w:rsidR="008124AF" w:rsidRPr="00D16CE6" w:rsidRDefault="008124AF" w:rsidP="00300D1C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lastRenderedPageBreak/>
        <w:t>Příloha ÚZ – podrozvahové účty</w:t>
      </w:r>
    </w:p>
    <w:p w:rsidR="00B6062B" w:rsidRDefault="00DF1FB6" w:rsidP="00FB1348">
      <w:pPr>
        <w:rPr>
          <w:rFonts w:ascii="Arial" w:hAnsi="Arial" w:cs="Arial"/>
          <w:sz w:val="22"/>
        </w:rPr>
      </w:pPr>
      <w:r w:rsidRPr="00DF1FB6">
        <w:rPr>
          <w:rFonts w:ascii="Arial" w:hAnsi="Arial" w:cs="Arial"/>
          <w:sz w:val="22"/>
        </w:rPr>
        <w:t xml:space="preserve">Skutečnosti a zjištění </w:t>
      </w:r>
      <w:r w:rsidR="007579EC">
        <w:rPr>
          <w:rFonts w:ascii="Arial" w:hAnsi="Arial" w:cs="Arial"/>
          <w:sz w:val="22"/>
        </w:rPr>
        <w:t xml:space="preserve">z kontroly </w:t>
      </w:r>
      <w:r w:rsidRPr="00DF1FB6">
        <w:rPr>
          <w:rFonts w:ascii="Arial" w:hAnsi="Arial" w:cs="Arial"/>
          <w:sz w:val="22"/>
        </w:rPr>
        <w:t xml:space="preserve">na MD dále ukazují, že další oblastí, která se </w:t>
      </w:r>
      <w:r w:rsidR="007579EC">
        <w:rPr>
          <w:rFonts w:ascii="Arial" w:hAnsi="Arial" w:cs="Arial"/>
          <w:sz w:val="22"/>
        </w:rPr>
        <w:t xml:space="preserve">z účetního hlediska </w:t>
      </w:r>
      <w:r w:rsidRPr="00DF1FB6">
        <w:rPr>
          <w:rFonts w:ascii="Arial" w:hAnsi="Arial" w:cs="Arial"/>
          <w:sz w:val="22"/>
        </w:rPr>
        <w:t xml:space="preserve">potýká s množstvím problémů, </w:t>
      </w:r>
      <w:r w:rsidRPr="00C24B70">
        <w:rPr>
          <w:rFonts w:ascii="Arial" w:hAnsi="Arial" w:cs="Arial"/>
          <w:sz w:val="22"/>
        </w:rPr>
        <w:t xml:space="preserve">je </w:t>
      </w:r>
      <w:r w:rsidRPr="00D16CE6">
        <w:rPr>
          <w:rFonts w:ascii="Arial" w:hAnsi="Arial" w:cs="Arial"/>
          <w:sz w:val="22"/>
        </w:rPr>
        <w:t>oblast účtování a vyk</w:t>
      </w:r>
      <w:r w:rsidR="009A6F94">
        <w:rPr>
          <w:rFonts w:ascii="Arial" w:hAnsi="Arial" w:cs="Arial"/>
          <w:sz w:val="22"/>
        </w:rPr>
        <w:t>azování</w:t>
      </w:r>
      <w:r w:rsidRPr="00D16CE6">
        <w:rPr>
          <w:rFonts w:ascii="Arial" w:hAnsi="Arial" w:cs="Arial"/>
          <w:sz w:val="22"/>
        </w:rPr>
        <w:t xml:space="preserve"> údajů o</w:t>
      </w:r>
      <w:r w:rsidR="009A6F94">
        <w:rPr>
          <w:rFonts w:ascii="Arial" w:hAnsi="Arial" w:cs="Arial"/>
          <w:sz w:val="22"/>
        </w:rPr>
        <w:t> </w:t>
      </w:r>
      <w:r w:rsidR="00A04C92" w:rsidRPr="00D16CE6">
        <w:rPr>
          <w:rFonts w:ascii="Arial" w:hAnsi="Arial" w:cs="Arial"/>
          <w:sz w:val="22"/>
        </w:rPr>
        <w:t>podmíněných pohledávkách a závazcích zachycovaných</w:t>
      </w:r>
      <w:r w:rsidR="00A04C92">
        <w:rPr>
          <w:rFonts w:ascii="Arial" w:hAnsi="Arial" w:cs="Arial"/>
          <w:b/>
          <w:sz w:val="22"/>
        </w:rPr>
        <w:t xml:space="preserve"> </w:t>
      </w:r>
      <w:r w:rsidR="00A04C92" w:rsidRPr="00D16CE6">
        <w:rPr>
          <w:rFonts w:ascii="Arial" w:hAnsi="Arial" w:cs="Arial"/>
          <w:sz w:val="22"/>
        </w:rPr>
        <w:t xml:space="preserve">na </w:t>
      </w:r>
      <w:r w:rsidRPr="00D16CE6">
        <w:rPr>
          <w:rFonts w:ascii="Arial" w:hAnsi="Arial" w:cs="Arial"/>
          <w:sz w:val="22"/>
        </w:rPr>
        <w:t>podrozvahových účtech</w:t>
      </w:r>
      <w:r w:rsidRPr="00C24B70">
        <w:rPr>
          <w:rFonts w:ascii="Arial" w:hAnsi="Arial" w:cs="Arial"/>
          <w:sz w:val="22"/>
        </w:rPr>
        <w:t>.</w:t>
      </w:r>
      <w:r w:rsidR="00400DEF" w:rsidRPr="00C24B70">
        <w:rPr>
          <w:rFonts w:ascii="Arial" w:hAnsi="Arial" w:cs="Arial"/>
          <w:sz w:val="22"/>
        </w:rPr>
        <w:t xml:space="preserve"> </w:t>
      </w:r>
      <w:r w:rsidR="00400DEF" w:rsidRPr="00247F49">
        <w:rPr>
          <w:rFonts w:ascii="Arial" w:hAnsi="Arial" w:cs="Arial"/>
          <w:b/>
          <w:sz w:val="22"/>
        </w:rPr>
        <w:t xml:space="preserve">MD </w:t>
      </w:r>
      <w:r w:rsidR="00DF0BBA" w:rsidRPr="00247F49">
        <w:rPr>
          <w:rFonts w:ascii="Arial" w:hAnsi="Arial" w:cs="Arial"/>
          <w:b/>
          <w:sz w:val="22"/>
        </w:rPr>
        <w:t xml:space="preserve">v roce 2013 </w:t>
      </w:r>
      <w:r w:rsidR="00400DEF" w:rsidRPr="00247F49">
        <w:rPr>
          <w:rFonts w:ascii="Arial" w:hAnsi="Arial" w:cs="Arial"/>
          <w:b/>
          <w:sz w:val="22"/>
        </w:rPr>
        <w:t xml:space="preserve">nezajistilo, aby jeho postupy </w:t>
      </w:r>
      <w:r w:rsidR="00DF0BBA" w:rsidRPr="00247F49">
        <w:rPr>
          <w:rFonts w:ascii="Arial" w:hAnsi="Arial" w:cs="Arial"/>
          <w:b/>
          <w:sz w:val="22"/>
        </w:rPr>
        <w:t xml:space="preserve">zejména </w:t>
      </w:r>
      <w:r w:rsidR="00400DEF" w:rsidRPr="00247F49">
        <w:rPr>
          <w:rFonts w:ascii="Arial" w:hAnsi="Arial" w:cs="Arial"/>
          <w:b/>
          <w:sz w:val="22"/>
        </w:rPr>
        <w:t xml:space="preserve">při účtování a oceňování </w:t>
      </w:r>
      <w:r w:rsidR="00DF0BBA" w:rsidRPr="00247F49">
        <w:rPr>
          <w:rFonts w:ascii="Arial" w:hAnsi="Arial" w:cs="Arial"/>
          <w:b/>
          <w:sz w:val="22"/>
        </w:rPr>
        <w:t>podmíněných závazků byly konzistentní</w:t>
      </w:r>
      <w:r w:rsidR="009A6F94">
        <w:rPr>
          <w:rFonts w:ascii="Arial" w:hAnsi="Arial" w:cs="Arial"/>
          <w:b/>
          <w:sz w:val="22"/>
        </w:rPr>
        <w:t>.</w:t>
      </w:r>
      <w:r w:rsidR="00DF0BBA">
        <w:rPr>
          <w:rFonts w:ascii="Arial" w:hAnsi="Arial" w:cs="Arial"/>
          <w:sz w:val="22"/>
        </w:rPr>
        <w:t xml:space="preserve"> </w:t>
      </w:r>
      <w:r w:rsidR="009A6F94">
        <w:rPr>
          <w:rFonts w:ascii="Arial" w:hAnsi="Arial" w:cs="Arial"/>
          <w:sz w:val="22"/>
        </w:rPr>
        <w:t>D</w:t>
      </w:r>
      <w:r w:rsidR="00DF0BBA">
        <w:rPr>
          <w:rFonts w:ascii="Arial" w:hAnsi="Arial" w:cs="Arial"/>
          <w:sz w:val="22"/>
        </w:rPr>
        <w:t xml:space="preserve">ůvody </w:t>
      </w:r>
      <w:r w:rsidR="009A6F94">
        <w:rPr>
          <w:rFonts w:ascii="Arial" w:hAnsi="Arial" w:cs="Arial"/>
          <w:sz w:val="22"/>
        </w:rPr>
        <w:t xml:space="preserve">pro </w:t>
      </w:r>
      <w:r w:rsidR="00DF0BBA">
        <w:rPr>
          <w:rFonts w:ascii="Arial" w:hAnsi="Arial" w:cs="Arial"/>
          <w:sz w:val="22"/>
        </w:rPr>
        <w:t>použ</w:t>
      </w:r>
      <w:r w:rsidR="009A6F94">
        <w:rPr>
          <w:rFonts w:ascii="Arial" w:hAnsi="Arial" w:cs="Arial"/>
          <w:sz w:val="22"/>
        </w:rPr>
        <w:t>ívání</w:t>
      </w:r>
      <w:r w:rsidR="00DF0BBA">
        <w:rPr>
          <w:rFonts w:ascii="Arial" w:hAnsi="Arial" w:cs="Arial"/>
          <w:sz w:val="22"/>
        </w:rPr>
        <w:t xml:space="preserve"> různých přístupů </w:t>
      </w:r>
      <w:r w:rsidR="0082496F">
        <w:rPr>
          <w:rFonts w:ascii="Arial" w:hAnsi="Arial" w:cs="Arial"/>
          <w:sz w:val="22"/>
        </w:rPr>
        <w:t>lze spatřovat mimo jiné v </w:t>
      </w:r>
      <w:r w:rsidR="00DF0BBA">
        <w:rPr>
          <w:rFonts w:ascii="Arial" w:hAnsi="Arial" w:cs="Arial"/>
          <w:sz w:val="22"/>
        </w:rPr>
        <w:t>různém</w:t>
      </w:r>
      <w:r w:rsidR="00DF0BBA" w:rsidRPr="00FE15BE">
        <w:rPr>
          <w:rFonts w:ascii="Arial" w:hAnsi="Arial" w:cs="Arial"/>
          <w:sz w:val="22"/>
        </w:rPr>
        <w:t xml:space="preserve"> chápání, </w:t>
      </w:r>
      <w:r w:rsidR="00B05B6A">
        <w:rPr>
          <w:rFonts w:ascii="Arial" w:hAnsi="Arial" w:cs="Arial"/>
          <w:sz w:val="22"/>
        </w:rPr>
        <w:t xml:space="preserve">různých </w:t>
      </w:r>
      <w:r w:rsidR="00DF0BBA" w:rsidRPr="00FE15BE">
        <w:rPr>
          <w:rFonts w:ascii="Arial" w:hAnsi="Arial" w:cs="Arial"/>
          <w:sz w:val="22"/>
        </w:rPr>
        <w:t>výklad</w:t>
      </w:r>
      <w:r w:rsidR="00B05B6A">
        <w:rPr>
          <w:rFonts w:ascii="Arial" w:hAnsi="Arial" w:cs="Arial"/>
          <w:sz w:val="22"/>
        </w:rPr>
        <w:t>ech</w:t>
      </w:r>
      <w:r w:rsidR="00DF0BBA" w:rsidRPr="00FE15BE">
        <w:rPr>
          <w:rFonts w:ascii="Arial" w:hAnsi="Arial" w:cs="Arial"/>
          <w:sz w:val="22"/>
        </w:rPr>
        <w:t xml:space="preserve"> </w:t>
      </w:r>
      <w:r w:rsidR="00B05B6A">
        <w:rPr>
          <w:rFonts w:ascii="Arial" w:hAnsi="Arial" w:cs="Arial"/>
          <w:sz w:val="22"/>
        </w:rPr>
        <w:t>či</w:t>
      </w:r>
      <w:r w:rsidR="00DF0BBA" w:rsidRPr="00FE15BE">
        <w:rPr>
          <w:rFonts w:ascii="Arial" w:hAnsi="Arial" w:cs="Arial"/>
          <w:sz w:val="22"/>
        </w:rPr>
        <w:t xml:space="preserve"> </w:t>
      </w:r>
      <w:r w:rsidR="00B05B6A">
        <w:rPr>
          <w:rFonts w:ascii="Arial" w:hAnsi="Arial" w:cs="Arial"/>
          <w:sz w:val="22"/>
        </w:rPr>
        <w:t xml:space="preserve">obtížné </w:t>
      </w:r>
      <w:r w:rsidR="00DF0BBA" w:rsidRPr="00FE15BE">
        <w:rPr>
          <w:rFonts w:ascii="Arial" w:hAnsi="Arial" w:cs="Arial"/>
          <w:sz w:val="22"/>
        </w:rPr>
        <w:t>srozumitelno</w:t>
      </w:r>
      <w:r w:rsidR="00DF0BBA">
        <w:rPr>
          <w:rFonts w:ascii="Arial" w:hAnsi="Arial" w:cs="Arial"/>
          <w:sz w:val="22"/>
        </w:rPr>
        <w:t>sti ustanovení předpis</w:t>
      </w:r>
      <w:r w:rsidR="00A04C92">
        <w:rPr>
          <w:rFonts w:ascii="Arial" w:hAnsi="Arial" w:cs="Arial"/>
          <w:sz w:val="22"/>
        </w:rPr>
        <w:t>ů</w:t>
      </w:r>
      <w:r w:rsidR="001500D2">
        <w:rPr>
          <w:rFonts w:ascii="Arial" w:hAnsi="Arial" w:cs="Arial"/>
          <w:sz w:val="22"/>
        </w:rPr>
        <w:t xml:space="preserve"> u</w:t>
      </w:r>
      <w:r w:rsidR="00DC5403">
        <w:rPr>
          <w:rFonts w:ascii="Arial" w:hAnsi="Arial" w:cs="Arial"/>
          <w:sz w:val="22"/>
        </w:rPr>
        <w:t>pravujících vedení účetnictví a </w:t>
      </w:r>
      <w:r w:rsidR="001500D2">
        <w:rPr>
          <w:rFonts w:ascii="Arial" w:hAnsi="Arial" w:cs="Arial"/>
          <w:sz w:val="22"/>
        </w:rPr>
        <w:t>výkaznictví</w:t>
      </w:r>
      <w:r w:rsidR="00B6062B">
        <w:rPr>
          <w:rFonts w:ascii="Arial" w:hAnsi="Arial" w:cs="Arial"/>
          <w:sz w:val="22"/>
        </w:rPr>
        <w:t>:</w:t>
      </w:r>
    </w:p>
    <w:p w:rsidR="00B6062B" w:rsidRDefault="00B05B6A" w:rsidP="00FB1348">
      <w:pPr>
        <w:numPr>
          <w:ilvl w:val="0"/>
          <w:numId w:val="22"/>
        </w:numPr>
        <w:ind w:left="567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DF0BBA">
        <w:rPr>
          <w:rFonts w:ascii="Arial" w:hAnsi="Arial" w:cs="Arial"/>
          <w:sz w:val="22"/>
        </w:rPr>
        <w:t>stanovení</w:t>
      </w:r>
      <w:r w:rsidR="000C139A">
        <w:rPr>
          <w:rFonts w:ascii="Arial" w:hAnsi="Arial" w:cs="Arial"/>
          <w:sz w:val="22"/>
        </w:rPr>
        <w:t xml:space="preserve"> </w:t>
      </w:r>
      <w:r w:rsidR="00DF0BBA">
        <w:rPr>
          <w:rFonts w:ascii="Arial" w:hAnsi="Arial" w:cs="Arial"/>
          <w:sz w:val="22"/>
        </w:rPr>
        <w:t>předpisů</w:t>
      </w:r>
      <w:r w:rsidR="000C139A">
        <w:rPr>
          <w:rFonts w:ascii="Arial" w:hAnsi="Arial" w:cs="Arial"/>
          <w:sz w:val="22"/>
        </w:rPr>
        <w:t xml:space="preserve"> např.</w:t>
      </w:r>
      <w:r w:rsidR="00DF0BBA">
        <w:rPr>
          <w:rFonts w:ascii="Arial" w:hAnsi="Arial" w:cs="Arial"/>
          <w:sz w:val="22"/>
        </w:rPr>
        <w:t xml:space="preserve"> umožňují ocenit podmíněné závazky v ocenění odpovídající</w:t>
      </w:r>
      <w:r>
        <w:rPr>
          <w:rFonts w:ascii="Arial" w:hAnsi="Arial" w:cs="Arial"/>
          <w:sz w:val="22"/>
        </w:rPr>
        <w:t>m</w:t>
      </w:r>
      <w:r w:rsidR="00DF0BBA">
        <w:rPr>
          <w:rFonts w:ascii="Arial" w:hAnsi="Arial" w:cs="Arial"/>
          <w:sz w:val="22"/>
        </w:rPr>
        <w:t xml:space="preserve"> </w:t>
      </w:r>
      <w:r w:rsidR="00DF0BBA" w:rsidRPr="00951245">
        <w:rPr>
          <w:rFonts w:ascii="Arial" w:hAnsi="Arial" w:cs="Arial"/>
          <w:sz w:val="22"/>
        </w:rPr>
        <w:t>úhrnu za tř</w:t>
      </w:r>
      <w:r w:rsidR="00DF0BBA">
        <w:rPr>
          <w:rFonts w:ascii="Arial" w:hAnsi="Arial" w:cs="Arial"/>
          <w:sz w:val="22"/>
        </w:rPr>
        <w:t>i</w:t>
      </w:r>
      <w:r w:rsidR="00DF0BBA" w:rsidRPr="00951245">
        <w:rPr>
          <w:rFonts w:ascii="Arial" w:hAnsi="Arial" w:cs="Arial"/>
          <w:sz w:val="22"/>
        </w:rPr>
        <w:t xml:space="preserve"> </w:t>
      </w:r>
      <w:r w:rsidR="00DF0BBA">
        <w:rPr>
          <w:rFonts w:ascii="Arial" w:hAnsi="Arial" w:cs="Arial"/>
          <w:sz w:val="22"/>
        </w:rPr>
        <w:t xml:space="preserve">roky, ale výkladově také </w:t>
      </w:r>
      <w:r w:rsidR="000C139A" w:rsidRPr="00951245">
        <w:rPr>
          <w:rFonts w:ascii="Arial" w:hAnsi="Arial" w:cs="Arial"/>
          <w:sz w:val="22"/>
        </w:rPr>
        <w:t>v celkové možné výši podle smlouvy</w:t>
      </w:r>
      <w:r w:rsidR="000C139A">
        <w:rPr>
          <w:rFonts w:ascii="Arial" w:hAnsi="Arial" w:cs="Arial"/>
          <w:sz w:val="22"/>
        </w:rPr>
        <w:t>, což může vést k vykázání značně odlišných částek</w:t>
      </w:r>
      <w:r>
        <w:rPr>
          <w:rFonts w:ascii="Arial" w:hAnsi="Arial" w:cs="Arial"/>
          <w:sz w:val="22"/>
        </w:rPr>
        <w:t>.</w:t>
      </w:r>
      <w:r w:rsidR="00A04C92">
        <w:rPr>
          <w:rFonts w:ascii="Arial" w:hAnsi="Arial" w:cs="Arial"/>
          <w:sz w:val="22"/>
        </w:rPr>
        <w:t xml:space="preserve"> MD používalo oba přístupy</w:t>
      </w:r>
      <w:r>
        <w:rPr>
          <w:rFonts w:ascii="Arial" w:hAnsi="Arial" w:cs="Arial"/>
          <w:sz w:val="22"/>
        </w:rPr>
        <w:t>.</w:t>
      </w:r>
    </w:p>
    <w:p w:rsidR="00A04C92" w:rsidRDefault="00B05B6A" w:rsidP="00FB1348">
      <w:pPr>
        <w:numPr>
          <w:ilvl w:val="0"/>
          <w:numId w:val="22"/>
        </w:numPr>
        <w:ind w:left="567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C139A">
        <w:rPr>
          <w:rFonts w:ascii="Arial" w:hAnsi="Arial" w:cs="Arial"/>
          <w:sz w:val="22"/>
        </w:rPr>
        <w:t>ři účtování o spolufinancovaných transferech</w:t>
      </w:r>
      <w:r w:rsidR="007579EC">
        <w:rPr>
          <w:rFonts w:ascii="Arial" w:hAnsi="Arial" w:cs="Arial"/>
          <w:sz w:val="22"/>
        </w:rPr>
        <w:t xml:space="preserve"> (tj. oblasti zatížené nejasnostmi při aplikaci účetních předpisů) </w:t>
      </w:r>
      <w:r w:rsidR="000C139A">
        <w:rPr>
          <w:rFonts w:ascii="Arial" w:hAnsi="Arial" w:cs="Arial"/>
          <w:sz w:val="22"/>
        </w:rPr>
        <w:t>volilo MD pro obdobné případy</w:t>
      </w:r>
      <w:r w:rsidR="009C7FE8">
        <w:rPr>
          <w:rFonts w:ascii="Arial" w:hAnsi="Arial" w:cs="Arial"/>
          <w:sz w:val="22"/>
        </w:rPr>
        <w:t xml:space="preserve"> </w:t>
      </w:r>
      <w:r w:rsidR="000C139A">
        <w:rPr>
          <w:rFonts w:ascii="Arial" w:hAnsi="Arial" w:cs="Arial"/>
          <w:sz w:val="22"/>
        </w:rPr>
        <w:t xml:space="preserve">různé účty a </w:t>
      </w:r>
      <w:r w:rsidR="009C7FE8">
        <w:rPr>
          <w:rFonts w:ascii="Arial" w:hAnsi="Arial" w:cs="Arial"/>
          <w:sz w:val="22"/>
        </w:rPr>
        <w:t xml:space="preserve">některé případy nevykázalo vůbec, jiné obdobné případy </w:t>
      </w:r>
      <w:r w:rsidR="008124AF">
        <w:rPr>
          <w:rFonts w:ascii="Arial" w:hAnsi="Arial" w:cs="Arial"/>
          <w:sz w:val="22"/>
        </w:rPr>
        <w:t xml:space="preserve">však </w:t>
      </w:r>
      <w:r w:rsidR="009C7FE8">
        <w:rPr>
          <w:rFonts w:ascii="Arial" w:hAnsi="Arial" w:cs="Arial"/>
          <w:sz w:val="22"/>
        </w:rPr>
        <w:t>vykázalo</w:t>
      </w:r>
      <w:r w:rsidR="008124AF">
        <w:rPr>
          <w:rFonts w:ascii="Arial" w:hAnsi="Arial" w:cs="Arial"/>
          <w:sz w:val="22"/>
        </w:rPr>
        <w:t>. P</w:t>
      </w:r>
      <w:r w:rsidR="009C7FE8">
        <w:rPr>
          <w:rFonts w:ascii="Arial" w:hAnsi="Arial" w:cs="Arial"/>
          <w:sz w:val="22"/>
        </w:rPr>
        <w:t>ostupovalo tak nekonzistentně</w:t>
      </w:r>
      <w:r w:rsidR="00B6062B">
        <w:rPr>
          <w:rFonts w:ascii="Arial" w:hAnsi="Arial" w:cs="Arial"/>
          <w:sz w:val="22"/>
        </w:rPr>
        <w:t>.</w:t>
      </w:r>
    </w:p>
    <w:p w:rsidR="004102EB" w:rsidRDefault="004102EB" w:rsidP="00FB1348">
      <w:pPr>
        <w:rPr>
          <w:rFonts w:ascii="Arial" w:hAnsi="Arial" w:cs="Arial"/>
          <w:sz w:val="22"/>
        </w:rPr>
      </w:pPr>
    </w:p>
    <w:p w:rsidR="00DF1FB6" w:rsidRPr="00951245" w:rsidRDefault="00A04C92" w:rsidP="00FB1348">
      <w:pPr>
        <w:rPr>
          <w:rFonts w:ascii="Arial" w:hAnsi="Arial" w:cs="Arial"/>
          <w:b/>
          <w:sz w:val="22"/>
        </w:rPr>
      </w:pPr>
      <w:r w:rsidRPr="00DF1FB6">
        <w:rPr>
          <w:rFonts w:ascii="Arial" w:hAnsi="Arial" w:cs="Arial"/>
          <w:sz w:val="22"/>
        </w:rPr>
        <w:t>Podrozvahové účtování je oblastí, která pro vybrané účetní jednotky po provedení účetní reformy v roce 2010 znamenala značný nárůst sledování a vykazování nových skutečností tzv. podmíněného charakteru</w:t>
      </w:r>
      <w:r w:rsidRPr="00FB1348">
        <w:rPr>
          <w:rFonts w:ascii="Arial" w:hAnsi="Arial" w:cs="Arial"/>
          <w:sz w:val="22"/>
        </w:rPr>
        <w:t xml:space="preserve">. </w:t>
      </w:r>
      <w:r w:rsidR="009C7FE8" w:rsidRPr="00247F49">
        <w:rPr>
          <w:rFonts w:ascii="Arial" w:hAnsi="Arial" w:cs="Arial"/>
          <w:b/>
          <w:sz w:val="22"/>
        </w:rPr>
        <w:t xml:space="preserve">Zjištěné problémy </w:t>
      </w:r>
      <w:r w:rsidR="00DF1FB6" w:rsidRPr="00247F49">
        <w:rPr>
          <w:rFonts w:ascii="Arial" w:hAnsi="Arial" w:cs="Arial"/>
          <w:b/>
          <w:sz w:val="22"/>
        </w:rPr>
        <w:t xml:space="preserve">obecně signalizují riziko </w:t>
      </w:r>
      <w:r w:rsidR="009C7FE8" w:rsidRPr="00247F49">
        <w:rPr>
          <w:rFonts w:ascii="Arial" w:hAnsi="Arial" w:cs="Arial"/>
          <w:b/>
          <w:sz w:val="22"/>
        </w:rPr>
        <w:t>nekonzistence údajů v rámci účetních jednotek</w:t>
      </w:r>
      <w:r w:rsidR="009C7FE8" w:rsidRPr="00D16CE6">
        <w:rPr>
          <w:rFonts w:ascii="Arial" w:hAnsi="Arial" w:cs="Arial"/>
          <w:sz w:val="22"/>
        </w:rPr>
        <w:t xml:space="preserve"> postupujících podle vyhlášky č. 410/2009 Sb.</w:t>
      </w:r>
      <w:r w:rsidR="00D8550D">
        <w:rPr>
          <w:rFonts w:ascii="Arial" w:hAnsi="Arial" w:cs="Arial"/>
          <w:sz w:val="22"/>
        </w:rPr>
        <w:t>, z čehož vyplývá</w:t>
      </w:r>
      <w:r w:rsidR="009C7FE8" w:rsidRPr="00D16CE6">
        <w:rPr>
          <w:rFonts w:ascii="Arial" w:hAnsi="Arial" w:cs="Arial"/>
          <w:sz w:val="22"/>
        </w:rPr>
        <w:t xml:space="preserve"> zejména </w:t>
      </w:r>
      <w:r w:rsidR="009C7FE8" w:rsidRPr="00247F49">
        <w:rPr>
          <w:rFonts w:ascii="Arial" w:hAnsi="Arial" w:cs="Arial"/>
          <w:b/>
          <w:sz w:val="22"/>
        </w:rPr>
        <w:t xml:space="preserve">riziko </w:t>
      </w:r>
      <w:r w:rsidR="00DF1FB6" w:rsidRPr="00247F49">
        <w:rPr>
          <w:rFonts w:ascii="Arial" w:hAnsi="Arial" w:cs="Arial"/>
          <w:b/>
          <w:sz w:val="22"/>
        </w:rPr>
        <w:t>nesrovnatelnosti a obtížné použitelnosti údajů vykázaných na podrozvahových účtech</w:t>
      </w:r>
      <w:r w:rsidR="00DF1FB6" w:rsidRPr="00FB1348">
        <w:rPr>
          <w:rFonts w:ascii="Arial" w:hAnsi="Arial" w:cs="Arial"/>
          <w:b/>
          <w:sz w:val="22"/>
        </w:rPr>
        <w:t>.</w:t>
      </w:r>
      <w:r w:rsidRPr="00B169ED">
        <w:rPr>
          <w:rFonts w:ascii="Arial" w:hAnsi="Arial" w:cs="Arial"/>
          <w:sz w:val="22"/>
        </w:rPr>
        <w:t xml:space="preserve"> </w:t>
      </w:r>
      <w:r w:rsidR="00B169ED" w:rsidRPr="00B169ED">
        <w:rPr>
          <w:rFonts w:ascii="Arial" w:hAnsi="Arial" w:cs="Arial"/>
          <w:sz w:val="22"/>
        </w:rPr>
        <w:t>Čím vyšší bude externí potřeba používat údaje vykázané na podrozvahových účtech, tím více bude třeba tuto oblast upravovat a řídit tak, aby údaje byly srozumitelné a adekvátně srovnatelné.</w:t>
      </w:r>
    </w:p>
    <w:p w:rsidR="00247F49" w:rsidRDefault="00247F49" w:rsidP="00FB1348">
      <w:pPr>
        <w:rPr>
          <w:rFonts w:ascii="Arial" w:hAnsi="Arial" w:cs="Arial"/>
          <w:b/>
          <w:i/>
          <w:sz w:val="22"/>
        </w:rPr>
      </w:pPr>
    </w:p>
    <w:p w:rsidR="008124AF" w:rsidRPr="00D16CE6" w:rsidRDefault="008124AF" w:rsidP="004102EB">
      <w:pPr>
        <w:spacing w:after="120"/>
        <w:rPr>
          <w:rFonts w:ascii="Arial" w:hAnsi="Arial" w:cs="Arial"/>
          <w:b/>
          <w:i/>
          <w:sz w:val="22"/>
        </w:rPr>
      </w:pPr>
      <w:r w:rsidRPr="00D16CE6">
        <w:rPr>
          <w:rFonts w:ascii="Arial" w:hAnsi="Arial" w:cs="Arial"/>
          <w:b/>
          <w:i/>
          <w:sz w:val="22"/>
        </w:rPr>
        <w:t>Účetní odhady</w:t>
      </w:r>
    </w:p>
    <w:p w:rsidR="00CA1429" w:rsidRDefault="00D8550D" w:rsidP="00FB13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9F0FA7">
        <w:rPr>
          <w:rFonts w:ascii="Arial" w:hAnsi="Arial" w:cs="Arial"/>
          <w:sz w:val="22"/>
        </w:rPr>
        <w:t xml:space="preserve">le názoru NKÚ </w:t>
      </w:r>
      <w:r>
        <w:rPr>
          <w:rFonts w:ascii="Arial" w:hAnsi="Arial" w:cs="Arial"/>
          <w:sz w:val="22"/>
        </w:rPr>
        <w:t xml:space="preserve">mělo MD </w:t>
      </w:r>
      <w:r w:rsidR="009F0FA7">
        <w:rPr>
          <w:rFonts w:ascii="Arial" w:hAnsi="Arial" w:cs="Arial"/>
          <w:sz w:val="22"/>
        </w:rPr>
        <w:t>v</w:t>
      </w:r>
      <w:r w:rsidR="007C1704">
        <w:rPr>
          <w:rFonts w:ascii="Arial" w:hAnsi="Arial" w:cs="Arial"/>
          <w:sz w:val="22"/>
        </w:rPr>
        <w:t xml:space="preserve"> oblasti účetních metod </w:t>
      </w:r>
      <w:r w:rsidR="009F0FA7">
        <w:rPr>
          <w:rFonts w:ascii="Arial" w:hAnsi="Arial" w:cs="Arial"/>
          <w:sz w:val="22"/>
        </w:rPr>
        <w:t>týkajících se účetních odhadů, konkrétně tvorb</w:t>
      </w:r>
      <w:r w:rsidR="00CA1429">
        <w:rPr>
          <w:rFonts w:ascii="Arial" w:hAnsi="Arial" w:cs="Arial"/>
          <w:sz w:val="22"/>
        </w:rPr>
        <w:t>y</w:t>
      </w:r>
      <w:r w:rsidR="009F0FA7">
        <w:rPr>
          <w:rFonts w:ascii="Arial" w:hAnsi="Arial" w:cs="Arial"/>
          <w:sz w:val="22"/>
        </w:rPr>
        <w:t xml:space="preserve"> </w:t>
      </w:r>
      <w:r w:rsidR="007C1704">
        <w:rPr>
          <w:rFonts w:ascii="Arial" w:hAnsi="Arial" w:cs="Arial"/>
          <w:sz w:val="22"/>
        </w:rPr>
        <w:t>rezerv a doh</w:t>
      </w:r>
      <w:r w:rsidR="009F0FA7">
        <w:rPr>
          <w:rFonts w:ascii="Arial" w:hAnsi="Arial" w:cs="Arial"/>
          <w:sz w:val="22"/>
        </w:rPr>
        <w:t>a</w:t>
      </w:r>
      <w:r w:rsidR="007C1704">
        <w:rPr>
          <w:rFonts w:ascii="Arial" w:hAnsi="Arial" w:cs="Arial"/>
          <w:sz w:val="22"/>
        </w:rPr>
        <w:t>dných účtů</w:t>
      </w:r>
      <w:r w:rsidR="009F0FA7">
        <w:rPr>
          <w:rFonts w:ascii="Arial" w:hAnsi="Arial" w:cs="Arial"/>
          <w:sz w:val="22"/>
        </w:rPr>
        <w:t xml:space="preserve"> v případě poskytování transferů, problémy v jejich nastavení</w:t>
      </w:r>
      <w:r w:rsidR="00CA1429">
        <w:rPr>
          <w:rFonts w:ascii="Arial" w:hAnsi="Arial" w:cs="Arial"/>
          <w:sz w:val="22"/>
        </w:rPr>
        <w:t xml:space="preserve"> a přiměřené aplikaci</w:t>
      </w:r>
      <w:r w:rsidR="007C1704">
        <w:rPr>
          <w:rFonts w:ascii="Arial" w:hAnsi="Arial" w:cs="Arial"/>
          <w:sz w:val="22"/>
        </w:rPr>
        <w:t xml:space="preserve">. </w:t>
      </w:r>
    </w:p>
    <w:p w:rsidR="004102EB" w:rsidRDefault="004102EB" w:rsidP="00FB1348">
      <w:pPr>
        <w:rPr>
          <w:rFonts w:ascii="Arial" w:hAnsi="Arial" w:cs="Arial"/>
          <w:sz w:val="22"/>
        </w:rPr>
      </w:pPr>
    </w:p>
    <w:p w:rsidR="00DF65A9" w:rsidRDefault="009F0FA7" w:rsidP="00FB13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MD si např. h</w:t>
      </w:r>
      <w:r w:rsidR="007C1704">
        <w:rPr>
          <w:rFonts w:ascii="Arial" w:hAnsi="Arial" w:cs="Arial"/>
          <w:sz w:val="22"/>
        </w:rPr>
        <w:t>ranic</w:t>
      </w:r>
      <w:r>
        <w:rPr>
          <w:rFonts w:ascii="Arial" w:hAnsi="Arial" w:cs="Arial"/>
          <w:sz w:val="22"/>
        </w:rPr>
        <w:t>i</w:t>
      </w:r>
      <w:r w:rsidR="007C1704">
        <w:rPr>
          <w:rFonts w:ascii="Arial" w:hAnsi="Arial" w:cs="Arial"/>
          <w:sz w:val="22"/>
        </w:rPr>
        <w:t xml:space="preserve"> významnosti pro tvorbu rezerv stanov</w:t>
      </w:r>
      <w:r>
        <w:rPr>
          <w:rFonts w:ascii="Arial" w:hAnsi="Arial" w:cs="Arial"/>
          <w:sz w:val="22"/>
        </w:rPr>
        <w:t xml:space="preserve">ilo </w:t>
      </w:r>
      <w:r w:rsidR="007C1704">
        <w:rPr>
          <w:rFonts w:ascii="Arial" w:hAnsi="Arial" w:cs="Arial"/>
          <w:sz w:val="22"/>
        </w:rPr>
        <w:t xml:space="preserve">pro rok 2013 ve výši </w:t>
      </w:r>
      <w:r w:rsidR="00D8550D">
        <w:rPr>
          <w:rFonts w:ascii="Arial" w:hAnsi="Arial" w:cs="Arial"/>
          <w:sz w:val="22"/>
        </w:rPr>
        <w:t>přesahující</w:t>
      </w:r>
      <w:r w:rsidR="00DC5403">
        <w:rPr>
          <w:rFonts w:ascii="Arial" w:hAnsi="Arial" w:cs="Arial"/>
          <w:sz w:val="22"/>
        </w:rPr>
        <w:t xml:space="preserve"> 1,8 </w:t>
      </w:r>
      <w:r w:rsidR="007C1704" w:rsidRPr="00651ED5">
        <w:rPr>
          <w:rFonts w:ascii="Arial" w:hAnsi="Arial" w:cs="Arial"/>
          <w:sz w:val="22"/>
        </w:rPr>
        <w:t>mld. Kč</w:t>
      </w:r>
      <w:r w:rsidR="008D4BE1">
        <w:rPr>
          <w:rFonts w:ascii="Arial" w:hAnsi="Arial" w:cs="Arial"/>
          <w:sz w:val="22"/>
        </w:rPr>
        <w:t xml:space="preserve"> (3 % celkových aktiv)</w:t>
      </w:r>
      <w:r w:rsidR="007C170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což </w:t>
      </w:r>
      <w:r w:rsidR="007C1704">
        <w:rPr>
          <w:rFonts w:ascii="Arial" w:hAnsi="Arial" w:cs="Arial"/>
          <w:sz w:val="22"/>
        </w:rPr>
        <w:t xml:space="preserve">je dle názoru NKÚ </w:t>
      </w:r>
      <w:r>
        <w:rPr>
          <w:rFonts w:ascii="Arial" w:hAnsi="Arial" w:cs="Arial"/>
          <w:sz w:val="22"/>
        </w:rPr>
        <w:t xml:space="preserve">hranice </w:t>
      </w:r>
      <w:r w:rsidR="00CA1429">
        <w:rPr>
          <w:rFonts w:ascii="Arial" w:hAnsi="Arial" w:cs="Arial"/>
          <w:sz w:val="22"/>
        </w:rPr>
        <w:t xml:space="preserve">pro účtování o nákladech </w:t>
      </w:r>
      <w:r w:rsidR="007C1704">
        <w:rPr>
          <w:rFonts w:ascii="Arial" w:hAnsi="Arial" w:cs="Arial"/>
          <w:sz w:val="22"/>
        </w:rPr>
        <w:t>příliš vysoká</w:t>
      </w:r>
      <w:r w:rsidR="00CA1429">
        <w:rPr>
          <w:rFonts w:ascii="Arial" w:hAnsi="Arial" w:cs="Arial"/>
          <w:sz w:val="22"/>
        </w:rPr>
        <w:t>. V</w:t>
      </w:r>
      <w:r w:rsidR="007C1704">
        <w:rPr>
          <w:rFonts w:ascii="Arial" w:hAnsi="Arial" w:cs="Arial"/>
          <w:sz w:val="22"/>
        </w:rPr>
        <w:t xml:space="preserve"> případě </w:t>
      </w:r>
      <w:r>
        <w:rPr>
          <w:rFonts w:ascii="Arial" w:hAnsi="Arial" w:cs="Arial"/>
          <w:sz w:val="22"/>
        </w:rPr>
        <w:t>odhadov</w:t>
      </w:r>
      <w:r w:rsidR="00D8550D">
        <w:rPr>
          <w:rFonts w:ascii="Arial" w:hAnsi="Arial" w:cs="Arial"/>
          <w:sz w:val="22"/>
        </w:rPr>
        <w:t>ání</w:t>
      </w:r>
      <w:r>
        <w:rPr>
          <w:rFonts w:ascii="Arial" w:hAnsi="Arial" w:cs="Arial"/>
          <w:sz w:val="22"/>
        </w:rPr>
        <w:t xml:space="preserve"> výše nákladů u zálohově poskytovaných transferů volilo obecně zjednodušující přístup a </w:t>
      </w:r>
      <w:r w:rsidRPr="00651ED5">
        <w:rPr>
          <w:rFonts w:ascii="Arial" w:hAnsi="Arial" w:cs="Arial"/>
          <w:sz w:val="22"/>
        </w:rPr>
        <w:t xml:space="preserve">náklady </w:t>
      </w:r>
      <w:r>
        <w:rPr>
          <w:rFonts w:ascii="Arial" w:hAnsi="Arial" w:cs="Arial"/>
          <w:sz w:val="22"/>
        </w:rPr>
        <w:t>(</w:t>
      </w:r>
      <w:r w:rsidRPr="00651ED5">
        <w:rPr>
          <w:rFonts w:ascii="Arial" w:hAnsi="Arial" w:cs="Arial"/>
          <w:sz w:val="22"/>
        </w:rPr>
        <w:t>a dohadné účty pasivní</w:t>
      </w:r>
      <w:r>
        <w:rPr>
          <w:rFonts w:ascii="Arial" w:hAnsi="Arial" w:cs="Arial"/>
          <w:sz w:val="22"/>
        </w:rPr>
        <w:t>)</w:t>
      </w:r>
      <w:r w:rsidRPr="00651ED5">
        <w:rPr>
          <w:rFonts w:ascii="Arial" w:hAnsi="Arial" w:cs="Arial"/>
          <w:sz w:val="22"/>
        </w:rPr>
        <w:t xml:space="preserve"> k nevypořádaným dotacím </w:t>
      </w:r>
      <w:r>
        <w:rPr>
          <w:rFonts w:ascii="Arial" w:hAnsi="Arial" w:cs="Arial"/>
          <w:sz w:val="22"/>
        </w:rPr>
        <w:t xml:space="preserve">tvořilo </w:t>
      </w:r>
      <w:r w:rsidRPr="00651ED5">
        <w:rPr>
          <w:rFonts w:ascii="Arial" w:hAnsi="Arial" w:cs="Arial"/>
          <w:sz w:val="22"/>
        </w:rPr>
        <w:t>ve výši 100 % poskytnutých záloh</w:t>
      </w:r>
      <w:r>
        <w:rPr>
          <w:rFonts w:ascii="Arial" w:hAnsi="Arial" w:cs="Arial"/>
          <w:sz w:val="22"/>
        </w:rPr>
        <w:t xml:space="preserve">, a to i v případě, kdy bylo možné důvodně předpokládat jejich použití </w:t>
      </w:r>
      <w:r w:rsidR="00126FE0">
        <w:rPr>
          <w:rFonts w:ascii="Arial" w:hAnsi="Arial" w:cs="Arial"/>
          <w:sz w:val="22"/>
        </w:rPr>
        <w:t xml:space="preserve">příjemci transferů </w:t>
      </w:r>
      <w:r w:rsidR="00247F49">
        <w:rPr>
          <w:rFonts w:ascii="Arial" w:hAnsi="Arial" w:cs="Arial"/>
          <w:sz w:val="22"/>
        </w:rPr>
        <w:t xml:space="preserve">až v následujícím roce, tj. </w:t>
      </w:r>
      <w:r w:rsidR="00D8550D">
        <w:rPr>
          <w:rFonts w:ascii="Arial" w:hAnsi="Arial" w:cs="Arial"/>
          <w:sz w:val="22"/>
        </w:rPr>
        <w:t>v </w:t>
      </w:r>
      <w:r w:rsidR="00247F49">
        <w:rPr>
          <w:rFonts w:ascii="Arial" w:hAnsi="Arial" w:cs="Arial"/>
          <w:sz w:val="22"/>
        </w:rPr>
        <w:t>roce 2014</w:t>
      </w:r>
      <w:r w:rsidRPr="00651ED5">
        <w:rPr>
          <w:rFonts w:ascii="Arial" w:hAnsi="Arial" w:cs="Arial"/>
          <w:sz w:val="22"/>
        </w:rPr>
        <w:t>.</w:t>
      </w:r>
      <w:r w:rsidR="00126FE0">
        <w:rPr>
          <w:rFonts w:ascii="Arial" w:hAnsi="Arial" w:cs="Arial"/>
          <w:sz w:val="22"/>
        </w:rPr>
        <w:t xml:space="preserve"> </w:t>
      </w:r>
    </w:p>
    <w:p w:rsidR="004102EB" w:rsidRDefault="004102EB" w:rsidP="00FB1348">
      <w:pPr>
        <w:rPr>
          <w:rFonts w:ascii="Arial" w:hAnsi="Arial" w:cs="Arial"/>
          <w:sz w:val="22"/>
        </w:rPr>
      </w:pPr>
    </w:p>
    <w:p w:rsidR="009F0FA7" w:rsidRDefault="00D8550D" w:rsidP="00FB13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126FE0">
        <w:rPr>
          <w:rFonts w:ascii="Arial" w:hAnsi="Arial" w:cs="Arial"/>
          <w:sz w:val="22"/>
        </w:rPr>
        <w:t>vorb</w:t>
      </w:r>
      <w:r>
        <w:rPr>
          <w:rFonts w:ascii="Arial" w:hAnsi="Arial" w:cs="Arial"/>
          <w:sz w:val="22"/>
        </w:rPr>
        <w:t>a</w:t>
      </w:r>
      <w:r w:rsidR="00126FE0">
        <w:rPr>
          <w:rFonts w:ascii="Arial" w:hAnsi="Arial" w:cs="Arial"/>
          <w:sz w:val="22"/>
        </w:rPr>
        <w:t xml:space="preserve"> a účtování účetních odhad</w:t>
      </w:r>
      <w:r>
        <w:rPr>
          <w:rFonts w:ascii="Arial" w:hAnsi="Arial" w:cs="Arial"/>
          <w:sz w:val="22"/>
        </w:rPr>
        <w:t>ů</w:t>
      </w:r>
      <w:r w:rsidR="00126FE0">
        <w:rPr>
          <w:rFonts w:ascii="Arial" w:hAnsi="Arial" w:cs="Arial"/>
          <w:sz w:val="22"/>
        </w:rPr>
        <w:t xml:space="preserve"> j</w:t>
      </w:r>
      <w:r>
        <w:rPr>
          <w:rFonts w:ascii="Arial" w:hAnsi="Arial" w:cs="Arial"/>
          <w:sz w:val="22"/>
        </w:rPr>
        <w:t>sou činnosti</w:t>
      </w:r>
      <w:r w:rsidR="00126FE0">
        <w:rPr>
          <w:rFonts w:ascii="Arial" w:hAnsi="Arial" w:cs="Arial"/>
          <w:sz w:val="22"/>
        </w:rPr>
        <w:t xml:space="preserve"> pro OSS relativně nov</w:t>
      </w:r>
      <w:r>
        <w:rPr>
          <w:rFonts w:ascii="Arial" w:hAnsi="Arial" w:cs="Arial"/>
          <w:sz w:val="22"/>
        </w:rPr>
        <w:t>é</w:t>
      </w:r>
      <w:r w:rsidR="00126FE0">
        <w:rPr>
          <w:rFonts w:ascii="Arial" w:hAnsi="Arial" w:cs="Arial"/>
          <w:sz w:val="22"/>
        </w:rPr>
        <w:t xml:space="preserve">, </w:t>
      </w:r>
      <w:r w:rsidR="001D769E">
        <w:rPr>
          <w:rFonts w:ascii="Arial" w:hAnsi="Arial" w:cs="Arial"/>
          <w:sz w:val="22"/>
        </w:rPr>
        <w:t xml:space="preserve">které </w:t>
      </w:r>
      <w:r w:rsidR="00126FE0">
        <w:rPr>
          <w:rFonts w:ascii="Arial" w:hAnsi="Arial" w:cs="Arial"/>
          <w:sz w:val="22"/>
        </w:rPr>
        <w:t>souvisejí s účetní reformou prováděnou od roku 2010, u OSS tak scház</w:t>
      </w:r>
      <w:r w:rsidR="001D769E">
        <w:rPr>
          <w:rFonts w:ascii="Arial" w:hAnsi="Arial" w:cs="Arial"/>
          <w:sz w:val="22"/>
        </w:rPr>
        <w:t>ej</w:t>
      </w:r>
      <w:r w:rsidR="00126FE0">
        <w:rPr>
          <w:rFonts w:ascii="Arial" w:hAnsi="Arial" w:cs="Arial"/>
          <w:sz w:val="22"/>
        </w:rPr>
        <w:t>í zkušenosti s aplikací tohoto druhu účetních metod, což může být zdrojem problémů s vyk</w:t>
      </w:r>
      <w:r w:rsidR="001D769E">
        <w:rPr>
          <w:rFonts w:ascii="Arial" w:hAnsi="Arial" w:cs="Arial"/>
          <w:sz w:val="22"/>
        </w:rPr>
        <w:t>azováním</w:t>
      </w:r>
      <w:r w:rsidR="00126FE0">
        <w:rPr>
          <w:rFonts w:ascii="Arial" w:hAnsi="Arial" w:cs="Arial"/>
          <w:sz w:val="22"/>
        </w:rPr>
        <w:t xml:space="preserve"> významných údajů v jejich ÚZ. </w:t>
      </w:r>
    </w:p>
    <w:p w:rsidR="007C1704" w:rsidRDefault="007C1704" w:rsidP="00FB1348">
      <w:pPr>
        <w:rPr>
          <w:rFonts w:ascii="Arial" w:hAnsi="Arial" w:cs="Arial"/>
          <w:sz w:val="22"/>
        </w:rPr>
      </w:pPr>
    </w:p>
    <w:p w:rsidR="008220A5" w:rsidRDefault="008220A5" w:rsidP="00300D1C">
      <w:pPr>
        <w:spacing w:after="120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Finanční výkazy</w:t>
      </w:r>
    </w:p>
    <w:p w:rsidR="008220A5" w:rsidRDefault="00041FBC" w:rsidP="00FB134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 v</w:t>
      </w:r>
      <w:r w:rsidR="008220A5" w:rsidRPr="00A53A17">
        <w:rPr>
          <w:rFonts w:ascii="Arial" w:hAnsi="Arial"/>
          <w:sz w:val="22"/>
        </w:rPr>
        <w:t>ýkazu pro hodno</w:t>
      </w:r>
      <w:r w:rsidR="00FE50A6">
        <w:rPr>
          <w:rFonts w:ascii="Arial" w:hAnsi="Arial"/>
          <w:sz w:val="22"/>
        </w:rPr>
        <w:t>cení plnění rozpočtu sestaveném</w:t>
      </w:r>
      <w:r w:rsidR="008220A5" w:rsidRPr="00A53A17">
        <w:rPr>
          <w:rFonts w:ascii="Arial" w:hAnsi="Arial"/>
          <w:sz w:val="22"/>
        </w:rPr>
        <w:t xml:space="preserve"> k 31. </w:t>
      </w:r>
      <w:r w:rsidR="00FE50A6">
        <w:rPr>
          <w:rFonts w:ascii="Arial" w:hAnsi="Arial"/>
          <w:sz w:val="22"/>
        </w:rPr>
        <w:t>12. 2013</w:t>
      </w:r>
      <w:r w:rsidR="008220A5" w:rsidRPr="00A53A17">
        <w:rPr>
          <w:rFonts w:ascii="Arial" w:hAnsi="Arial"/>
          <w:sz w:val="22"/>
        </w:rPr>
        <w:t xml:space="preserve"> byla zjištěna </w:t>
      </w:r>
      <w:r w:rsidR="008220A5" w:rsidRPr="00125206">
        <w:rPr>
          <w:rFonts w:ascii="Arial" w:hAnsi="Arial"/>
          <w:sz w:val="22"/>
        </w:rPr>
        <w:t xml:space="preserve">nesprávnost </w:t>
      </w:r>
      <w:r w:rsidR="00C83EBC">
        <w:rPr>
          <w:rFonts w:ascii="Arial" w:hAnsi="Arial"/>
          <w:sz w:val="22"/>
        </w:rPr>
        <w:t xml:space="preserve">v </w:t>
      </w:r>
      <w:r w:rsidR="008220A5">
        <w:rPr>
          <w:rFonts w:ascii="Arial" w:hAnsi="Arial"/>
          <w:sz w:val="22"/>
        </w:rPr>
        <w:t>celk</w:t>
      </w:r>
      <w:r w:rsidR="001D769E">
        <w:rPr>
          <w:rFonts w:ascii="Arial" w:hAnsi="Arial"/>
          <w:sz w:val="22"/>
        </w:rPr>
        <w:t>ové</w:t>
      </w:r>
      <w:r w:rsidR="008220A5">
        <w:rPr>
          <w:rFonts w:ascii="Arial" w:hAnsi="Arial"/>
          <w:sz w:val="22"/>
        </w:rPr>
        <w:t xml:space="preserve"> výši </w:t>
      </w:r>
      <w:r w:rsidR="004929EC">
        <w:rPr>
          <w:rFonts w:ascii="Arial" w:hAnsi="Arial" w:cs="Arial"/>
          <w:color w:val="000000"/>
          <w:sz w:val="22"/>
        </w:rPr>
        <w:t>3</w:t>
      </w:r>
      <w:r w:rsidR="004929EC" w:rsidRPr="009F39F5">
        <w:rPr>
          <w:rFonts w:ascii="Arial" w:hAnsi="Arial" w:cs="Arial"/>
          <w:color w:val="000000"/>
          <w:sz w:val="22"/>
        </w:rPr>
        <w:t>,</w:t>
      </w:r>
      <w:r w:rsidR="004929EC">
        <w:rPr>
          <w:rFonts w:ascii="Arial" w:hAnsi="Arial" w:cs="Arial"/>
          <w:color w:val="000000"/>
          <w:sz w:val="22"/>
        </w:rPr>
        <w:t>99</w:t>
      </w:r>
      <w:r w:rsidR="004929EC" w:rsidRPr="009F39F5">
        <w:rPr>
          <w:rFonts w:ascii="Arial" w:hAnsi="Arial" w:cs="Arial"/>
          <w:color w:val="000000"/>
          <w:sz w:val="22"/>
        </w:rPr>
        <w:t xml:space="preserve"> mld. Kč</w:t>
      </w:r>
      <w:r w:rsidR="001D769E">
        <w:rPr>
          <w:rFonts w:ascii="Arial" w:hAnsi="Arial" w:cs="Arial"/>
          <w:color w:val="000000"/>
          <w:sz w:val="22"/>
        </w:rPr>
        <w:t>.</w:t>
      </w:r>
      <w:r w:rsidR="004929EC">
        <w:rPr>
          <w:rFonts w:ascii="Arial" w:hAnsi="Arial" w:cs="Arial"/>
          <w:sz w:val="22"/>
        </w:rPr>
        <w:t xml:space="preserve"> </w:t>
      </w:r>
      <w:r w:rsidR="001D769E">
        <w:rPr>
          <w:rFonts w:ascii="Arial" w:hAnsi="Arial" w:cs="Arial"/>
          <w:sz w:val="22"/>
        </w:rPr>
        <w:t>Z</w:t>
      </w:r>
      <w:r w:rsidR="008220A5">
        <w:rPr>
          <w:rFonts w:ascii="Arial" w:hAnsi="Arial" w:cs="Arial"/>
          <w:sz w:val="22"/>
        </w:rPr>
        <w:t>apříčiněn</w:t>
      </w:r>
      <w:r w:rsidR="001D769E">
        <w:rPr>
          <w:rFonts w:ascii="Arial" w:hAnsi="Arial" w:cs="Arial"/>
          <w:sz w:val="22"/>
        </w:rPr>
        <w:t>a</w:t>
      </w:r>
      <w:r w:rsidR="008220A5">
        <w:rPr>
          <w:rFonts w:ascii="Arial" w:hAnsi="Arial" w:cs="Arial"/>
          <w:sz w:val="22"/>
        </w:rPr>
        <w:t xml:space="preserve"> </w:t>
      </w:r>
      <w:r w:rsidR="001D769E">
        <w:rPr>
          <w:rFonts w:ascii="Arial" w:hAnsi="Arial" w:cs="Arial"/>
          <w:sz w:val="22"/>
        </w:rPr>
        <w:t xml:space="preserve">byla </w:t>
      </w:r>
      <w:r w:rsidR="004929EC">
        <w:rPr>
          <w:rFonts w:ascii="Arial" w:hAnsi="Arial" w:cs="Arial"/>
          <w:sz w:val="22"/>
        </w:rPr>
        <w:t>zejména chybným zatříděním výdajů na zajištění dopravní obslužnosti</w:t>
      </w:r>
      <w:r w:rsidR="00C86702">
        <w:rPr>
          <w:rFonts w:ascii="Arial" w:hAnsi="Arial" w:cs="Arial"/>
          <w:sz w:val="22"/>
        </w:rPr>
        <w:t xml:space="preserve"> ve výši 3,97 mld. Kč</w:t>
      </w:r>
      <w:r w:rsidR="008220A5">
        <w:rPr>
          <w:rFonts w:ascii="Arial" w:hAnsi="Arial"/>
          <w:sz w:val="22"/>
        </w:rPr>
        <w:t xml:space="preserve">. </w:t>
      </w:r>
    </w:p>
    <w:p w:rsidR="004102EB" w:rsidRDefault="004102EB" w:rsidP="00FB1348">
      <w:pPr>
        <w:rPr>
          <w:rFonts w:ascii="Arial" w:hAnsi="Arial"/>
          <w:sz w:val="22"/>
        </w:rPr>
      </w:pPr>
    </w:p>
    <w:p w:rsidR="004929EC" w:rsidRPr="00003B61" w:rsidRDefault="004929EC" w:rsidP="00FB1348">
      <w:pPr>
        <w:rPr>
          <w:rFonts w:ascii="Arial" w:hAnsi="Arial" w:cs="Arial"/>
          <w:sz w:val="22"/>
        </w:rPr>
      </w:pPr>
      <w:r w:rsidRPr="00003B61">
        <w:rPr>
          <w:rFonts w:ascii="Arial" w:hAnsi="Arial" w:cs="Arial"/>
          <w:bCs/>
          <w:color w:val="000000"/>
          <w:sz w:val="22"/>
        </w:rPr>
        <w:t xml:space="preserve">Výkaz pro hodnocení plnění rozpočtu </w:t>
      </w:r>
      <w:r w:rsidR="00003B61" w:rsidRPr="00003B61">
        <w:rPr>
          <w:rFonts w:ascii="Arial" w:hAnsi="Arial" w:cs="Arial"/>
          <w:bCs/>
          <w:color w:val="000000"/>
          <w:sz w:val="22"/>
        </w:rPr>
        <w:t xml:space="preserve">tak </w:t>
      </w:r>
      <w:r w:rsidR="00C86702">
        <w:rPr>
          <w:rFonts w:ascii="Arial" w:hAnsi="Arial" w:cs="Arial"/>
          <w:bCs/>
          <w:color w:val="000000"/>
          <w:sz w:val="22"/>
        </w:rPr>
        <w:t xml:space="preserve">v tomto rozsahu </w:t>
      </w:r>
      <w:r w:rsidR="00DC5403">
        <w:rPr>
          <w:rFonts w:ascii="Arial" w:hAnsi="Arial" w:cs="Arial"/>
          <w:bCs/>
          <w:color w:val="000000"/>
          <w:sz w:val="22"/>
        </w:rPr>
        <w:t xml:space="preserve">nebyl sestaven </w:t>
      </w:r>
      <w:r w:rsidR="0044342E">
        <w:rPr>
          <w:rFonts w:ascii="Arial" w:hAnsi="Arial" w:cs="Arial"/>
          <w:bCs/>
          <w:color w:val="000000"/>
          <w:sz w:val="22"/>
        </w:rPr>
        <w:t>v </w:t>
      </w:r>
      <w:r w:rsidR="00DC5403">
        <w:rPr>
          <w:rFonts w:ascii="Arial" w:hAnsi="Arial" w:cs="Arial"/>
          <w:bCs/>
          <w:color w:val="000000"/>
          <w:sz w:val="22"/>
        </w:rPr>
        <w:t>souladu s </w:t>
      </w:r>
      <w:r w:rsidRPr="00003B61">
        <w:rPr>
          <w:rFonts w:ascii="Arial" w:hAnsi="Arial" w:cs="Arial"/>
          <w:bCs/>
          <w:color w:val="000000"/>
          <w:sz w:val="22"/>
        </w:rPr>
        <w:t>příslušnými právními předpisy.</w:t>
      </w:r>
    </w:p>
    <w:p w:rsidR="0087693D" w:rsidRDefault="0087693D" w:rsidP="00FB1348">
      <w:pPr>
        <w:rPr>
          <w:rFonts w:ascii="Arial" w:hAnsi="Arial" w:cs="Arial"/>
          <w:b/>
          <w:sz w:val="22"/>
        </w:rPr>
      </w:pPr>
    </w:p>
    <w:p w:rsidR="00C11FBE" w:rsidRDefault="00C11FBE" w:rsidP="00FB1348">
      <w:pPr>
        <w:rPr>
          <w:rFonts w:ascii="Arial" w:hAnsi="Arial" w:cs="Arial"/>
          <w:b/>
          <w:sz w:val="22"/>
        </w:rPr>
      </w:pPr>
    </w:p>
    <w:p w:rsidR="00C11FBE" w:rsidRDefault="00C11FBE" w:rsidP="00FB1348">
      <w:pPr>
        <w:rPr>
          <w:rFonts w:ascii="Arial" w:hAnsi="Arial" w:cs="Arial"/>
          <w:b/>
          <w:sz w:val="22"/>
        </w:rPr>
      </w:pPr>
    </w:p>
    <w:p w:rsidR="00152A9B" w:rsidRPr="00152A9B" w:rsidRDefault="00152A9B" w:rsidP="00300D1C">
      <w:pPr>
        <w:spacing w:after="120"/>
        <w:rPr>
          <w:rFonts w:ascii="Arial" w:hAnsi="Arial" w:cs="Arial"/>
          <w:b/>
          <w:sz w:val="22"/>
        </w:rPr>
      </w:pPr>
      <w:r w:rsidRPr="00152A9B">
        <w:rPr>
          <w:rFonts w:ascii="Arial" w:hAnsi="Arial" w:cs="Arial"/>
          <w:b/>
          <w:sz w:val="22"/>
        </w:rPr>
        <w:lastRenderedPageBreak/>
        <w:t>Závěrečný účet</w:t>
      </w:r>
    </w:p>
    <w:p w:rsidR="00152A9B" w:rsidRDefault="00152A9B" w:rsidP="00C83E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Závěrečný účet kapitoly </w:t>
      </w:r>
      <w:r w:rsidR="00041FBC">
        <w:rPr>
          <w:rFonts w:ascii="Arial" w:hAnsi="Arial" w:cs="Arial"/>
          <w:sz w:val="22"/>
        </w:rPr>
        <w:t>3</w:t>
      </w:r>
      <w:r w:rsidR="004929EC">
        <w:rPr>
          <w:rFonts w:ascii="Arial" w:hAnsi="Arial" w:cs="Arial"/>
          <w:sz w:val="22"/>
        </w:rPr>
        <w:t>2</w:t>
      </w:r>
      <w:r w:rsidR="00041FBC">
        <w:rPr>
          <w:rFonts w:ascii="Arial" w:hAnsi="Arial" w:cs="Arial"/>
          <w:sz w:val="22"/>
        </w:rPr>
        <w:t>7</w:t>
      </w:r>
      <w:r w:rsidR="001D769E">
        <w:rPr>
          <w:rFonts w:ascii="Arial" w:hAnsi="Arial" w:cs="Arial"/>
          <w:sz w:val="22"/>
        </w:rPr>
        <w:t xml:space="preserve"> –</w:t>
      </w:r>
      <w:r w:rsidR="00041FBC">
        <w:rPr>
          <w:rFonts w:ascii="Arial" w:hAnsi="Arial" w:cs="Arial"/>
          <w:sz w:val="22"/>
        </w:rPr>
        <w:t xml:space="preserve"> </w:t>
      </w:r>
      <w:r w:rsidR="00041FBC" w:rsidRPr="00C83EBC">
        <w:rPr>
          <w:rFonts w:ascii="Arial" w:hAnsi="Arial" w:cs="Arial"/>
          <w:i/>
          <w:sz w:val="22"/>
        </w:rPr>
        <w:t xml:space="preserve">Ministerstvo </w:t>
      </w:r>
      <w:r w:rsidR="004929EC" w:rsidRPr="00C83EBC">
        <w:rPr>
          <w:rFonts w:ascii="Arial" w:hAnsi="Arial" w:cs="Arial"/>
          <w:i/>
          <w:sz w:val="22"/>
        </w:rPr>
        <w:t>dopravy</w:t>
      </w:r>
      <w:r w:rsidR="00113F73">
        <w:rPr>
          <w:rFonts w:ascii="Arial" w:hAnsi="Arial" w:cs="Arial"/>
          <w:sz w:val="22"/>
        </w:rPr>
        <w:t xml:space="preserve"> byl zpracován v rozsahu stanoveném vyhláškou č. 419/2001 Sb. a obsahoval povinné číselné sestavy a tabulkové přílohy. </w:t>
      </w:r>
    </w:p>
    <w:p w:rsidR="005D4EFE" w:rsidRDefault="005D4EFE">
      <w:pPr>
        <w:jc w:val="left"/>
        <w:rPr>
          <w:rFonts w:ascii="Arial" w:hAnsi="Arial" w:cs="Arial"/>
          <w:b/>
          <w:sz w:val="22"/>
        </w:rPr>
      </w:pPr>
    </w:p>
    <w:p w:rsidR="004929EC" w:rsidRPr="00512EB6" w:rsidRDefault="004929EC" w:rsidP="00300D1C">
      <w:pPr>
        <w:spacing w:after="120"/>
        <w:rPr>
          <w:rFonts w:ascii="Arial" w:hAnsi="Arial" w:cs="Arial"/>
          <w:b/>
          <w:sz w:val="22"/>
        </w:rPr>
      </w:pPr>
      <w:r w:rsidRPr="00512EB6">
        <w:rPr>
          <w:rFonts w:ascii="Arial" w:hAnsi="Arial" w:cs="Arial"/>
          <w:b/>
          <w:sz w:val="22"/>
        </w:rPr>
        <w:t>Ostatní zjištění</w:t>
      </w:r>
    </w:p>
    <w:p w:rsidR="004929EC" w:rsidRDefault="00247F49" w:rsidP="00C83E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MD </w:t>
      </w:r>
      <w:r w:rsidR="00C86702">
        <w:rPr>
          <w:rFonts w:ascii="Arial" w:hAnsi="Arial" w:cs="Arial"/>
          <w:sz w:val="22"/>
        </w:rPr>
        <w:t>mělo</w:t>
      </w:r>
      <w:r>
        <w:rPr>
          <w:rFonts w:ascii="Arial" w:hAnsi="Arial" w:cs="Arial"/>
          <w:sz w:val="22"/>
        </w:rPr>
        <w:t xml:space="preserve"> významné problémy v oblasti ICT (zejména v evidenci a dokládání existence majetku), na které by měl</w:t>
      </w:r>
      <w:r w:rsidR="00C86702">
        <w:rPr>
          <w:rFonts w:ascii="Arial" w:hAnsi="Arial" w:cs="Arial"/>
          <w:sz w:val="22"/>
        </w:rPr>
        <w:t xml:space="preserve"> dostatečně účinný vnitřní kontrolní systém</w:t>
      </w:r>
      <w:r>
        <w:rPr>
          <w:rFonts w:ascii="Arial" w:hAnsi="Arial" w:cs="Arial"/>
          <w:sz w:val="22"/>
        </w:rPr>
        <w:t xml:space="preserve"> reagovat</w:t>
      </w:r>
      <w:r w:rsidR="00C86702">
        <w:rPr>
          <w:rFonts w:ascii="Arial" w:hAnsi="Arial" w:cs="Arial"/>
          <w:sz w:val="22"/>
        </w:rPr>
        <w:t>.</w:t>
      </w:r>
    </w:p>
    <w:p w:rsidR="00877621" w:rsidRDefault="00877621" w:rsidP="00C83EBC">
      <w:pPr>
        <w:rPr>
          <w:rFonts w:ascii="Arial" w:hAnsi="Arial" w:cs="Arial"/>
          <w:sz w:val="22"/>
        </w:rPr>
      </w:pPr>
    </w:p>
    <w:p w:rsidR="0060671D" w:rsidRDefault="0060671D" w:rsidP="00C83EBC">
      <w:pPr>
        <w:rPr>
          <w:rFonts w:ascii="Arial" w:hAnsi="Arial" w:cs="Arial"/>
          <w:bCs/>
          <w:iCs/>
          <w:sz w:val="22"/>
        </w:rPr>
      </w:pPr>
      <w:r w:rsidRPr="005D4EFE">
        <w:rPr>
          <w:rFonts w:ascii="Arial" w:hAnsi="Arial" w:cs="Arial"/>
          <w:sz w:val="22"/>
        </w:rPr>
        <w:t>NKÚ dále upozorňuje na</w:t>
      </w:r>
      <w:r w:rsidRPr="005D4EFE">
        <w:rPr>
          <w:rFonts w:ascii="Arial" w:hAnsi="Arial" w:cs="Arial"/>
          <w:b/>
          <w:sz w:val="22"/>
        </w:rPr>
        <w:t xml:space="preserve"> </w:t>
      </w:r>
      <w:r w:rsidR="00247F49" w:rsidRPr="005D4EFE">
        <w:rPr>
          <w:rFonts w:ascii="Arial" w:hAnsi="Arial" w:cs="Arial"/>
          <w:b/>
          <w:sz w:val="22"/>
        </w:rPr>
        <w:t xml:space="preserve">nestandardní účel </w:t>
      </w:r>
      <w:r w:rsidRPr="005D4EFE">
        <w:rPr>
          <w:rFonts w:ascii="Arial" w:hAnsi="Arial" w:cs="Arial"/>
          <w:b/>
          <w:sz w:val="22"/>
        </w:rPr>
        <w:t>poskytnutí dotace SFDI ve výši 5 mld. Kč</w:t>
      </w:r>
      <w:r w:rsidR="005D4EFE" w:rsidRPr="005D4EFE">
        <w:rPr>
          <w:rFonts w:ascii="Arial" w:hAnsi="Arial" w:cs="Arial"/>
          <w:b/>
          <w:sz w:val="22"/>
        </w:rPr>
        <w:t>, která</w:t>
      </w:r>
      <w:r w:rsidRPr="005D4EFE">
        <w:rPr>
          <w:rFonts w:ascii="Arial" w:hAnsi="Arial" w:cs="Arial"/>
          <w:b/>
          <w:sz w:val="22"/>
        </w:rPr>
        <w:t xml:space="preserve"> </w:t>
      </w:r>
      <w:r w:rsidR="00253670" w:rsidRPr="005D4EFE">
        <w:rPr>
          <w:rFonts w:ascii="Arial" w:hAnsi="Arial" w:cs="Arial"/>
          <w:b/>
          <w:sz w:val="22"/>
        </w:rPr>
        <w:t xml:space="preserve">byla </w:t>
      </w:r>
      <w:r w:rsidRPr="005D4EFE">
        <w:rPr>
          <w:rFonts w:ascii="Arial" w:hAnsi="Arial" w:cs="Arial"/>
          <w:b/>
          <w:sz w:val="22"/>
        </w:rPr>
        <w:t>poskytnut</w:t>
      </w:r>
      <w:r w:rsidR="00253670" w:rsidRPr="005D4EFE">
        <w:rPr>
          <w:rFonts w:ascii="Arial" w:hAnsi="Arial" w:cs="Arial"/>
          <w:b/>
          <w:sz w:val="22"/>
        </w:rPr>
        <w:t>a</w:t>
      </w:r>
      <w:r w:rsidRPr="005D4EFE">
        <w:rPr>
          <w:rFonts w:ascii="Arial" w:hAnsi="Arial" w:cs="Arial"/>
          <w:b/>
          <w:sz w:val="22"/>
        </w:rPr>
        <w:t xml:space="preserve"> </w:t>
      </w:r>
      <w:r w:rsidR="0044342E">
        <w:rPr>
          <w:rFonts w:ascii="Arial" w:hAnsi="Arial" w:cs="Arial"/>
          <w:b/>
          <w:sz w:val="22"/>
        </w:rPr>
        <w:t>v </w:t>
      </w:r>
      <w:r w:rsidRPr="005D4EFE">
        <w:rPr>
          <w:rFonts w:ascii="Arial" w:hAnsi="Arial" w:cs="Arial"/>
          <w:b/>
          <w:sz w:val="22"/>
        </w:rPr>
        <w:t>poslední den roku 2012</w:t>
      </w:r>
      <w:r w:rsidRPr="00C83EBC">
        <w:rPr>
          <w:rFonts w:ascii="Arial" w:hAnsi="Arial" w:cs="Arial"/>
          <w:b/>
          <w:sz w:val="22"/>
        </w:rPr>
        <w:t>,</w:t>
      </w:r>
      <w:r w:rsidRPr="00951245">
        <w:rPr>
          <w:rFonts w:ascii="Arial" w:hAnsi="Arial" w:cs="Arial"/>
          <w:sz w:val="22"/>
        </w:rPr>
        <w:t xml:space="preserve"> tj. 31. 12. 2012</w:t>
      </w:r>
      <w:r>
        <w:rPr>
          <w:rFonts w:ascii="Arial" w:hAnsi="Arial" w:cs="Arial"/>
          <w:sz w:val="22"/>
        </w:rPr>
        <w:t>,</w:t>
      </w:r>
      <w:r w:rsidR="00253670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byla zdůvodněna tím, že </w:t>
      </w:r>
      <w:r w:rsidR="0044342E">
        <w:rPr>
          <w:rFonts w:ascii="Arial" w:hAnsi="Arial" w:cs="Arial"/>
          <w:b/>
          <w:sz w:val="22"/>
        </w:rPr>
        <w:t>k </w:t>
      </w:r>
      <w:r w:rsidR="00253670" w:rsidRPr="005D4EFE">
        <w:rPr>
          <w:rFonts w:ascii="Arial" w:hAnsi="Arial" w:cs="Arial"/>
          <w:b/>
          <w:sz w:val="22"/>
        </w:rPr>
        <w:t xml:space="preserve">jejímu poskytnutí došlo na žádost Ministerstva financí a </w:t>
      </w:r>
      <w:r w:rsidR="00253670" w:rsidRPr="00C83EBC">
        <w:rPr>
          <w:rFonts w:ascii="Arial" w:hAnsi="Arial" w:cs="Arial"/>
          <w:b/>
          <w:sz w:val="22"/>
        </w:rPr>
        <w:t>že</w:t>
      </w:r>
      <w:r w:rsidR="00253670" w:rsidRPr="005D4EFE">
        <w:rPr>
          <w:rFonts w:ascii="Arial" w:hAnsi="Arial" w:cs="Arial"/>
          <w:b/>
          <w:sz w:val="22"/>
        </w:rPr>
        <w:t xml:space="preserve"> </w:t>
      </w:r>
      <w:r w:rsidRPr="005D4EFE">
        <w:rPr>
          <w:rFonts w:ascii="Arial" w:hAnsi="Arial" w:cs="Arial"/>
          <w:b/>
          <w:sz w:val="22"/>
        </w:rPr>
        <w:t>měla sloužit „</w:t>
      </w:r>
      <w:r w:rsidRPr="00C83EBC">
        <w:rPr>
          <w:rFonts w:ascii="Arial" w:hAnsi="Arial" w:cs="Arial"/>
          <w:b/>
          <w:i/>
          <w:sz w:val="22"/>
        </w:rPr>
        <w:t>optimalizaci finančních operací státního rozpočtu</w:t>
      </w:r>
      <w:r w:rsidR="00A4549F" w:rsidRPr="00C83EBC">
        <w:rPr>
          <w:rFonts w:ascii="Arial" w:hAnsi="Arial" w:cs="Arial"/>
          <w:b/>
          <w:i/>
          <w:sz w:val="22"/>
        </w:rPr>
        <w:t xml:space="preserve"> a řízení likvidity státu</w:t>
      </w:r>
      <w:r w:rsidRPr="005D4EFE">
        <w:rPr>
          <w:rFonts w:ascii="Arial" w:hAnsi="Arial" w:cs="Arial"/>
          <w:b/>
          <w:sz w:val="22"/>
        </w:rPr>
        <w:t>“</w:t>
      </w:r>
      <w:r w:rsidR="00253670" w:rsidRPr="005D4EFE">
        <w:rPr>
          <w:rFonts w:ascii="Arial" w:hAnsi="Arial" w:cs="Arial"/>
          <w:b/>
          <w:sz w:val="22"/>
        </w:rPr>
        <w:t>. V</w:t>
      </w:r>
      <w:r w:rsidRPr="005D4EFE">
        <w:rPr>
          <w:rFonts w:ascii="Arial" w:hAnsi="Arial" w:cs="Arial"/>
          <w:b/>
          <w:sz w:val="22"/>
        </w:rPr>
        <w:t xml:space="preserve">zhledem k času poskytnutí bylo </w:t>
      </w:r>
      <w:r w:rsidR="00253670" w:rsidRPr="005D4EFE">
        <w:rPr>
          <w:rFonts w:ascii="Arial" w:hAnsi="Arial" w:cs="Arial"/>
          <w:b/>
          <w:sz w:val="22"/>
        </w:rPr>
        <w:t>o</w:t>
      </w:r>
      <w:r w:rsidRPr="005D4EFE">
        <w:rPr>
          <w:rFonts w:ascii="Arial" w:hAnsi="Arial" w:cs="Arial"/>
          <w:b/>
          <w:sz w:val="22"/>
        </w:rPr>
        <w:t>čekávatelné, že dotace využita nebude</w:t>
      </w:r>
      <w:r w:rsidR="00253670" w:rsidRPr="00C83EBC">
        <w:rPr>
          <w:rFonts w:ascii="Arial" w:hAnsi="Arial" w:cs="Arial"/>
          <w:b/>
          <w:sz w:val="22"/>
        </w:rPr>
        <w:t>;</w:t>
      </w:r>
      <w:r w:rsidR="00253670">
        <w:rPr>
          <w:rFonts w:ascii="Arial" w:hAnsi="Arial" w:cs="Arial"/>
          <w:sz w:val="22"/>
        </w:rPr>
        <w:t xml:space="preserve"> v</w:t>
      </w:r>
      <w:r w:rsidR="00DC5403">
        <w:rPr>
          <w:rFonts w:ascii="Arial" w:hAnsi="Arial" w:cs="Arial"/>
          <w:sz w:val="22"/>
        </w:rPr>
        <w:t>yužita také skutečně nebyla a</w:t>
      </w:r>
      <w:r w:rsidR="001D769E">
        <w:rPr>
          <w:rFonts w:ascii="Arial" w:hAnsi="Arial" w:cs="Arial"/>
          <w:sz w:val="22"/>
        </w:rPr>
        <w:t xml:space="preserve"> </w:t>
      </w:r>
      <w:r w:rsidR="00DC5403">
        <w:rPr>
          <w:rFonts w:ascii="Arial" w:hAnsi="Arial" w:cs="Arial"/>
          <w:sz w:val="22"/>
        </w:rPr>
        <w:t>v </w:t>
      </w:r>
      <w:r w:rsidR="00253670">
        <w:rPr>
          <w:rFonts w:ascii="Arial" w:hAnsi="Arial" w:cs="Arial"/>
          <w:sz w:val="22"/>
        </w:rPr>
        <w:t>r</w:t>
      </w:r>
      <w:r w:rsidRPr="00E46E8A">
        <w:rPr>
          <w:rFonts w:ascii="Arial" w:hAnsi="Arial" w:cs="Arial"/>
          <w:sz w:val="22"/>
        </w:rPr>
        <w:t xml:space="preserve">ámci finančního vypořádání </w:t>
      </w:r>
      <w:r w:rsidR="00CA1429">
        <w:rPr>
          <w:rFonts w:ascii="Arial" w:hAnsi="Arial" w:cs="Arial"/>
          <w:sz w:val="22"/>
        </w:rPr>
        <w:t xml:space="preserve">byla </w:t>
      </w:r>
      <w:r w:rsidR="001D769E">
        <w:rPr>
          <w:rFonts w:ascii="Arial" w:hAnsi="Arial" w:cs="Arial"/>
          <w:sz w:val="22"/>
        </w:rPr>
        <w:t>Ministerstvem dopravy</w:t>
      </w:r>
      <w:r w:rsidR="00CA1429">
        <w:rPr>
          <w:rFonts w:ascii="Arial" w:hAnsi="Arial" w:cs="Arial"/>
          <w:sz w:val="22"/>
        </w:rPr>
        <w:t xml:space="preserve"> </w:t>
      </w:r>
      <w:r w:rsidR="001D769E">
        <w:rPr>
          <w:rFonts w:ascii="Arial" w:hAnsi="Arial" w:cs="Arial"/>
          <w:sz w:val="22"/>
        </w:rPr>
        <w:t>v </w:t>
      </w:r>
      <w:r w:rsidR="00CA1429">
        <w:rPr>
          <w:rFonts w:ascii="Arial" w:hAnsi="Arial" w:cs="Arial"/>
          <w:sz w:val="22"/>
        </w:rPr>
        <w:t>další</w:t>
      </w:r>
      <w:r w:rsidR="001D769E">
        <w:rPr>
          <w:rFonts w:ascii="Arial" w:hAnsi="Arial" w:cs="Arial"/>
          <w:sz w:val="22"/>
        </w:rPr>
        <w:t>m</w:t>
      </w:r>
      <w:r w:rsidR="00CA1429">
        <w:rPr>
          <w:rFonts w:ascii="Arial" w:hAnsi="Arial" w:cs="Arial"/>
          <w:sz w:val="22"/>
        </w:rPr>
        <w:t xml:space="preserve"> rozpočtov</w:t>
      </w:r>
      <w:r w:rsidR="001D769E">
        <w:rPr>
          <w:rFonts w:ascii="Arial" w:hAnsi="Arial" w:cs="Arial"/>
          <w:sz w:val="22"/>
        </w:rPr>
        <w:t>ém</w:t>
      </w:r>
      <w:r w:rsidR="00CA1429">
        <w:rPr>
          <w:rFonts w:ascii="Arial" w:hAnsi="Arial" w:cs="Arial"/>
          <w:sz w:val="22"/>
        </w:rPr>
        <w:t xml:space="preserve"> ro</w:t>
      </w:r>
      <w:r w:rsidR="001D769E">
        <w:rPr>
          <w:rFonts w:ascii="Arial" w:hAnsi="Arial" w:cs="Arial"/>
          <w:sz w:val="22"/>
        </w:rPr>
        <w:t>ce</w:t>
      </w:r>
      <w:r w:rsidR="00CA1429">
        <w:rPr>
          <w:rFonts w:ascii="Arial" w:hAnsi="Arial" w:cs="Arial"/>
          <w:sz w:val="22"/>
        </w:rPr>
        <w:t xml:space="preserve"> </w:t>
      </w:r>
      <w:r w:rsidRPr="00E46E8A">
        <w:rPr>
          <w:rFonts w:ascii="Arial" w:hAnsi="Arial" w:cs="Arial"/>
          <w:sz w:val="22"/>
        </w:rPr>
        <w:t>vrácena</w:t>
      </w:r>
      <w:r w:rsidR="00253670">
        <w:rPr>
          <w:rFonts w:ascii="Arial" w:hAnsi="Arial" w:cs="Arial"/>
          <w:sz w:val="22"/>
        </w:rPr>
        <w:t xml:space="preserve">. </w:t>
      </w:r>
      <w:r w:rsidR="0087693D">
        <w:rPr>
          <w:rFonts w:ascii="Arial" w:hAnsi="Arial" w:cs="Arial"/>
          <w:sz w:val="22"/>
        </w:rPr>
        <w:t xml:space="preserve">Podle názoru </w:t>
      </w:r>
      <w:r w:rsidRPr="00E46E8A">
        <w:rPr>
          <w:rFonts w:ascii="Arial" w:hAnsi="Arial" w:cs="Arial"/>
          <w:sz w:val="22"/>
        </w:rPr>
        <w:t>NKÚ nemá</w:t>
      </w:r>
      <w:r w:rsidR="0087693D">
        <w:rPr>
          <w:rFonts w:ascii="Arial" w:hAnsi="Arial" w:cs="Arial"/>
          <w:sz w:val="22"/>
        </w:rPr>
        <w:t xml:space="preserve"> </w:t>
      </w:r>
      <w:r w:rsidRPr="00E46E8A">
        <w:rPr>
          <w:rFonts w:ascii="Arial" w:hAnsi="Arial" w:cs="Arial"/>
          <w:bCs/>
          <w:iCs/>
          <w:sz w:val="22"/>
        </w:rPr>
        <w:t xml:space="preserve">poskytnutí </w:t>
      </w:r>
      <w:r w:rsidR="00415DBD">
        <w:rPr>
          <w:rFonts w:ascii="Arial" w:hAnsi="Arial" w:cs="Arial"/>
          <w:bCs/>
          <w:iCs/>
          <w:sz w:val="22"/>
        </w:rPr>
        <w:t>dotace z </w:t>
      </w:r>
      <w:r w:rsidR="0087693D">
        <w:rPr>
          <w:rFonts w:ascii="Arial" w:hAnsi="Arial" w:cs="Arial"/>
          <w:bCs/>
          <w:iCs/>
          <w:sz w:val="22"/>
        </w:rPr>
        <w:t>OPD</w:t>
      </w:r>
      <w:r w:rsidRPr="00E46E8A">
        <w:rPr>
          <w:rFonts w:ascii="Arial" w:hAnsi="Arial" w:cs="Arial"/>
          <w:bCs/>
          <w:iCs/>
          <w:sz w:val="22"/>
        </w:rPr>
        <w:t xml:space="preserve"> </w:t>
      </w:r>
      <w:r w:rsidR="0087693D">
        <w:rPr>
          <w:rFonts w:ascii="Arial" w:hAnsi="Arial" w:cs="Arial"/>
          <w:bCs/>
          <w:iCs/>
          <w:sz w:val="22"/>
        </w:rPr>
        <w:t>sloužit takovýmto potřebám</w:t>
      </w:r>
      <w:r w:rsidRPr="00E46E8A">
        <w:rPr>
          <w:rFonts w:ascii="Arial" w:hAnsi="Arial" w:cs="Arial"/>
          <w:sz w:val="22"/>
        </w:rPr>
        <w:t xml:space="preserve">. </w:t>
      </w:r>
      <w:r w:rsidR="00253670" w:rsidRPr="005D4EFE">
        <w:rPr>
          <w:rFonts w:ascii="Arial" w:hAnsi="Arial" w:cs="Arial"/>
          <w:b/>
          <w:sz w:val="22"/>
        </w:rPr>
        <w:t>O</w:t>
      </w:r>
      <w:r w:rsidRPr="005D4EFE">
        <w:rPr>
          <w:rFonts w:ascii="Arial" w:hAnsi="Arial" w:cs="Arial"/>
          <w:b/>
          <w:sz w:val="22"/>
        </w:rPr>
        <w:t xml:space="preserve">perace provedené v souvislosti s touto tranší a vratkou </w:t>
      </w:r>
      <w:r w:rsidR="00253670" w:rsidRPr="005D4EFE">
        <w:rPr>
          <w:rFonts w:ascii="Arial" w:hAnsi="Arial" w:cs="Arial"/>
          <w:b/>
          <w:sz w:val="22"/>
        </w:rPr>
        <w:t xml:space="preserve">přitom významně </w:t>
      </w:r>
      <w:r w:rsidRPr="005D4EFE">
        <w:rPr>
          <w:rFonts w:ascii="Arial" w:hAnsi="Arial" w:cs="Arial"/>
          <w:b/>
          <w:sz w:val="22"/>
        </w:rPr>
        <w:t xml:space="preserve">ovlivnily </w:t>
      </w:r>
      <w:r w:rsidR="001D769E">
        <w:rPr>
          <w:rFonts w:ascii="Arial" w:hAnsi="Arial" w:cs="Arial"/>
          <w:b/>
          <w:sz w:val="22"/>
        </w:rPr>
        <w:t>nejen</w:t>
      </w:r>
      <w:r w:rsidR="001D769E" w:rsidRPr="005D4EFE">
        <w:rPr>
          <w:rFonts w:ascii="Arial" w:hAnsi="Arial" w:cs="Arial"/>
          <w:b/>
          <w:sz w:val="22"/>
        </w:rPr>
        <w:t xml:space="preserve"> </w:t>
      </w:r>
      <w:r w:rsidRPr="005D4EFE">
        <w:rPr>
          <w:rFonts w:ascii="Arial" w:hAnsi="Arial" w:cs="Arial"/>
          <w:b/>
          <w:sz w:val="22"/>
        </w:rPr>
        <w:t>ekonomické údaje</w:t>
      </w:r>
      <w:r w:rsidR="005D4EFE">
        <w:rPr>
          <w:rFonts w:ascii="Arial" w:hAnsi="Arial" w:cs="Arial"/>
          <w:b/>
          <w:sz w:val="22"/>
        </w:rPr>
        <w:t xml:space="preserve"> </w:t>
      </w:r>
      <w:r w:rsidRPr="005D4EFE">
        <w:rPr>
          <w:rFonts w:ascii="Arial" w:hAnsi="Arial" w:cs="Arial"/>
          <w:b/>
          <w:sz w:val="22"/>
        </w:rPr>
        <w:t>MD</w:t>
      </w:r>
      <w:r w:rsidR="00013328" w:rsidRPr="005D4EFE">
        <w:rPr>
          <w:rFonts w:ascii="Arial" w:hAnsi="Arial" w:cs="Arial"/>
          <w:b/>
          <w:sz w:val="22"/>
        </w:rPr>
        <w:t xml:space="preserve"> </w:t>
      </w:r>
      <w:r w:rsidRPr="00E46E8A">
        <w:rPr>
          <w:rFonts w:ascii="Arial" w:hAnsi="Arial" w:cs="Arial"/>
          <w:sz w:val="22"/>
        </w:rPr>
        <w:t>(např. výši výdajů a nároků MD či částku vykázaného čerpání</w:t>
      </w:r>
      <w:r w:rsidR="00DC5403">
        <w:rPr>
          <w:rFonts w:ascii="Arial" w:hAnsi="Arial" w:cs="Arial"/>
          <w:bCs/>
          <w:iCs/>
          <w:sz w:val="22"/>
        </w:rPr>
        <w:t xml:space="preserve"> prostředků OPD)</w:t>
      </w:r>
      <w:r w:rsidR="005D4EFE" w:rsidRPr="00C83EBC">
        <w:rPr>
          <w:rFonts w:ascii="Arial" w:hAnsi="Arial" w:cs="Arial"/>
          <w:bCs/>
          <w:iCs/>
          <w:sz w:val="22"/>
        </w:rPr>
        <w:t>,</w:t>
      </w:r>
      <w:r w:rsidR="00DC5403">
        <w:rPr>
          <w:rFonts w:ascii="Arial" w:hAnsi="Arial" w:cs="Arial"/>
          <w:bCs/>
          <w:iCs/>
          <w:sz w:val="22"/>
        </w:rPr>
        <w:t xml:space="preserve"> </w:t>
      </w:r>
      <w:r w:rsidR="00DC5403" w:rsidRPr="005D4EFE">
        <w:rPr>
          <w:rFonts w:ascii="Arial" w:hAnsi="Arial" w:cs="Arial"/>
          <w:b/>
          <w:bCs/>
          <w:iCs/>
          <w:sz w:val="22"/>
        </w:rPr>
        <w:t>a</w:t>
      </w:r>
      <w:r w:rsidR="005D4EFE">
        <w:rPr>
          <w:rFonts w:ascii="Arial" w:hAnsi="Arial" w:cs="Arial"/>
          <w:b/>
          <w:bCs/>
          <w:iCs/>
          <w:sz w:val="22"/>
        </w:rPr>
        <w:t>le</w:t>
      </w:r>
      <w:r w:rsidRPr="005D4EFE">
        <w:rPr>
          <w:rFonts w:ascii="Arial" w:hAnsi="Arial" w:cs="Arial"/>
          <w:b/>
          <w:bCs/>
          <w:iCs/>
          <w:sz w:val="22"/>
        </w:rPr>
        <w:t xml:space="preserve"> i celkové údaje o hospodaření státního rozpočtu</w:t>
      </w:r>
      <w:r w:rsidR="00013328" w:rsidRPr="00C83EBC">
        <w:rPr>
          <w:rFonts w:ascii="Arial" w:hAnsi="Arial" w:cs="Arial"/>
          <w:b/>
          <w:bCs/>
          <w:iCs/>
          <w:sz w:val="22"/>
        </w:rPr>
        <w:t>,</w:t>
      </w:r>
      <w:r w:rsidR="00013328" w:rsidRPr="00750ACD">
        <w:rPr>
          <w:rFonts w:ascii="Arial" w:hAnsi="Arial" w:cs="Arial"/>
          <w:bCs/>
          <w:iCs/>
          <w:sz w:val="22"/>
        </w:rPr>
        <w:t xml:space="preserve"> a to </w:t>
      </w:r>
      <w:r w:rsidR="009C3885" w:rsidRPr="00750ACD">
        <w:rPr>
          <w:rFonts w:ascii="Arial" w:hAnsi="Arial" w:cs="Arial"/>
          <w:bCs/>
          <w:iCs/>
          <w:sz w:val="22"/>
        </w:rPr>
        <w:t xml:space="preserve">jak </w:t>
      </w:r>
      <w:r w:rsidR="00013328" w:rsidRPr="00750ACD">
        <w:rPr>
          <w:rFonts w:ascii="Arial" w:hAnsi="Arial" w:cs="Arial"/>
          <w:bCs/>
          <w:iCs/>
          <w:sz w:val="22"/>
        </w:rPr>
        <w:t>údaje za rok 2012</w:t>
      </w:r>
      <w:r w:rsidR="009C3885" w:rsidRPr="00750ACD">
        <w:rPr>
          <w:rFonts w:ascii="Arial" w:hAnsi="Arial" w:cs="Arial"/>
          <w:bCs/>
          <w:iCs/>
          <w:sz w:val="22"/>
        </w:rPr>
        <w:t>, t</w:t>
      </w:r>
      <w:r w:rsidR="00013328" w:rsidRPr="00750ACD">
        <w:rPr>
          <w:rFonts w:ascii="Arial" w:hAnsi="Arial" w:cs="Arial"/>
          <w:bCs/>
          <w:iCs/>
          <w:sz w:val="22"/>
        </w:rPr>
        <w:t>a</w:t>
      </w:r>
      <w:r w:rsidR="009C3885" w:rsidRPr="00750ACD">
        <w:rPr>
          <w:rFonts w:ascii="Arial" w:hAnsi="Arial" w:cs="Arial"/>
          <w:bCs/>
          <w:iCs/>
          <w:sz w:val="22"/>
        </w:rPr>
        <w:t>k</w:t>
      </w:r>
      <w:r w:rsidR="00013328" w:rsidRPr="00750ACD">
        <w:rPr>
          <w:rFonts w:ascii="Arial" w:hAnsi="Arial" w:cs="Arial"/>
          <w:bCs/>
          <w:iCs/>
          <w:sz w:val="22"/>
        </w:rPr>
        <w:t xml:space="preserve"> vzhledem k vratce i </w:t>
      </w:r>
      <w:r w:rsidR="009C3885" w:rsidRPr="00750ACD">
        <w:rPr>
          <w:rFonts w:ascii="Arial" w:hAnsi="Arial" w:cs="Arial"/>
          <w:bCs/>
          <w:iCs/>
          <w:sz w:val="22"/>
        </w:rPr>
        <w:t xml:space="preserve">údaje </w:t>
      </w:r>
      <w:r w:rsidR="00013328" w:rsidRPr="00750ACD">
        <w:rPr>
          <w:rFonts w:ascii="Arial" w:hAnsi="Arial" w:cs="Arial"/>
          <w:bCs/>
          <w:iCs/>
          <w:sz w:val="22"/>
        </w:rPr>
        <w:t>za rok 2013</w:t>
      </w:r>
      <w:r w:rsidRPr="00750ACD">
        <w:rPr>
          <w:rFonts w:ascii="Arial" w:hAnsi="Arial" w:cs="Arial"/>
          <w:bCs/>
          <w:iCs/>
          <w:sz w:val="22"/>
        </w:rPr>
        <w:t>.</w:t>
      </w:r>
    </w:p>
    <w:p w:rsidR="00877621" w:rsidRDefault="00877621" w:rsidP="00C83EBC">
      <w:pPr>
        <w:rPr>
          <w:rFonts w:ascii="Arial" w:hAnsi="Arial" w:cs="Arial"/>
          <w:bCs/>
          <w:iCs/>
          <w:sz w:val="22"/>
        </w:rPr>
      </w:pPr>
    </w:p>
    <w:p w:rsidR="0054376F" w:rsidRPr="00253670" w:rsidRDefault="00CA1429" w:rsidP="00300D1C">
      <w:pPr>
        <w:spacing w:after="12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D</w:t>
      </w:r>
      <w:r w:rsidR="0054376F">
        <w:rPr>
          <w:rFonts w:ascii="Arial" w:hAnsi="Arial" w:cs="Arial"/>
          <w:bCs/>
          <w:iCs/>
          <w:sz w:val="22"/>
        </w:rPr>
        <w:t xml:space="preserve">ále je třeba upozornit na to, že </w:t>
      </w:r>
      <w:r w:rsidR="0054376F" w:rsidRPr="005D4EFE">
        <w:rPr>
          <w:rFonts w:ascii="Arial" w:hAnsi="Arial" w:cs="Arial"/>
          <w:b/>
          <w:bCs/>
          <w:iCs/>
          <w:sz w:val="22"/>
        </w:rPr>
        <w:t>v informačním portálu Ministerstva financí MONITOR nemus</w:t>
      </w:r>
      <w:r w:rsidR="00513A5F">
        <w:rPr>
          <w:rFonts w:ascii="Arial" w:hAnsi="Arial" w:cs="Arial"/>
          <w:b/>
          <w:bCs/>
          <w:iCs/>
          <w:sz w:val="22"/>
        </w:rPr>
        <w:t>ej</w:t>
      </w:r>
      <w:r w:rsidR="0054376F" w:rsidRPr="005D4EFE">
        <w:rPr>
          <w:rFonts w:ascii="Arial" w:hAnsi="Arial" w:cs="Arial"/>
          <w:b/>
          <w:bCs/>
          <w:iCs/>
          <w:sz w:val="22"/>
        </w:rPr>
        <w:t xml:space="preserve">í být za </w:t>
      </w:r>
      <w:r w:rsidR="00C35938">
        <w:rPr>
          <w:rFonts w:ascii="Arial" w:hAnsi="Arial" w:cs="Arial"/>
          <w:b/>
          <w:bCs/>
          <w:iCs/>
          <w:sz w:val="22"/>
        </w:rPr>
        <w:t>organizační složky státu</w:t>
      </w:r>
      <w:r w:rsidR="0054376F" w:rsidRPr="005D4EFE">
        <w:rPr>
          <w:rFonts w:ascii="Arial" w:hAnsi="Arial" w:cs="Arial"/>
          <w:b/>
          <w:bCs/>
          <w:iCs/>
          <w:sz w:val="22"/>
        </w:rPr>
        <w:t xml:space="preserve"> prezentovány k 31. 12. 2013 údaje shodné s údaji v</w:t>
      </w:r>
      <w:r w:rsidR="005D4EFE" w:rsidRPr="005D4EFE">
        <w:rPr>
          <w:rFonts w:ascii="Arial" w:hAnsi="Arial" w:cs="Arial"/>
          <w:b/>
          <w:bCs/>
          <w:iCs/>
          <w:sz w:val="22"/>
        </w:rPr>
        <w:t> jejich sestaven</w:t>
      </w:r>
      <w:r w:rsidR="00C35938">
        <w:rPr>
          <w:rFonts w:ascii="Arial" w:hAnsi="Arial" w:cs="Arial"/>
          <w:b/>
          <w:bCs/>
          <w:iCs/>
          <w:sz w:val="22"/>
        </w:rPr>
        <w:t>ých</w:t>
      </w:r>
      <w:r w:rsidR="005D4EFE" w:rsidRPr="005D4EFE">
        <w:rPr>
          <w:rFonts w:ascii="Arial" w:hAnsi="Arial" w:cs="Arial"/>
          <w:b/>
          <w:bCs/>
          <w:iCs/>
          <w:sz w:val="22"/>
        </w:rPr>
        <w:t xml:space="preserve"> </w:t>
      </w:r>
      <w:r w:rsidR="00C35938">
        <w:rPr>
          <w:rFonts w:ascii="Arial" w:hAnsi="Arial" w:cs="Arial"/>
          <w:b/>
          <w:bCs/>
          <w:iCs/>
          <w:sz w:val="22"/>
        </w:rPr>
        <w:t>účetních závěrk</w:t>
      </w:r>
      <w:r w:rsidR="0043725C">
        <w:rPr>
          <w:rFonts w:ascii="Arial" w:hAnsi="Arial" w:cs="Arial"/>
          <w:b/>
          <w:bCs/>
          <w:iCs/>
          <w:sz w:val="22"/>
        </w:rPr>
        <w:t>ách</w:t>
      </w:r>
      <w:r w:rsidR="005D4EFE" w:rsidRPr="005D4EFE">
        <w:rPr>
          <w:rFonts w:ascii="Arial" w:hAnsi="Arial" w:cs="Arial"/>
          <w:b/>
          <w:bCs/>
          <w:iCs/>
          <w:sz w:val="22"/>
        </w:rPr>
        <w:t>.</w:t>
      </w:r>
      <w:r w:rsidR="0054376F">
        <w:rPr>
          <w:rFonts w:ascii="Arial" w:hAnsi="Arial" w:cs="Arial"/>
          <w:bCs/>
          <w:iCs/>
          <w:sz w:val="22"/>
        </w:rPr>
        <w:t xml:space="preserve"> </w:t>
      </w:r>
      <w:r w:rsidR="00DC5403">
        <w:rPr>
          <w:rFonts w:ascii="Arial" w:hAnsi="Arial" w:cs="Arial"/>
          <w:bCs/>
          <w:iCs/>
          <w:sz w:val="22"/>
        </w:rPr>
        <w:t xml:space="preserve">V případě MD se </w:t>
      </w:r>
      <w:r w:rsidR="00DC5403" w:rsidRPr="005D4EFE">
        <w:rPr>
          <w:rFonts w:ascii="Arial" w:hAnsi="Arial" w:cs="Arial"/>
          <w:b/>
          <w:bCs/>
          <w:iCs/>
          <w:sz w:val="22"/>
        </w:rPr>
        <w:t>údaje</w:t>
      </w:r>
      <w:r w:rsidR="00DC5403">
        <w:rPr>
          <w:rFonts w:ascii="Arial" w:hAnsi="Arial" w:cs="Arial"/>
          <w:bCs/>
          <w:iCs/>
          <w:sz w:val="22"/>
        </w:rPr>
        <w:t xml:space="preserve"> o</w:t>
      </w:r>
      <w:r w:rsidR="0043725C">
        <w:rPr>
          <w:rFonts w:ascii="Arial" w:hAnsi="Arial" w:cs="Arial"/>
          <w:bCs/>
          <w:iCs/>
          <w:sz w:val="22"/>
        </w:rPr>
        <w:t xml:space="preserve"> </w:t>
      </w:r>
      <w:r w:rsidR="0054376F">
        <w:rPr>
          <w:rFonts w:ascii="Arial" w:hAnsi="Arial" w:cs="Arial"/>
          <w:bCs/>
          <w:iCs/>
          <w:sz w:val="22"/>
        </w:rPr>
        <w:t>podmíněných závazcích prezentované v</w:t>
      </w:r>
      <w:r w:rsidR="00C35938">
        <w:rPr>
          <w:rFonts w:ascii="Arial" w:hAnsi="Arial" w:cs="Arial"/>
          <w:bCs/>
          <w:iCs/>
          <w:sz w:val="22"/>
        </w:rPr>
        <w:t>e výkazu příloha</w:t>
      </w:r>
      <w:r w:rsidR="0054376F">
        <w:rPr>
          <w:rFonts w:ascii="Arial" w:hAnsi="Arial" w:cs="Arial"/>
          <w:bCs/>
          <w:iCs/>
          <w:sz w:val="22"/>
        </w:rPr>
        <w:t xml:space="preserve"> </w:t>
      </w:r>
      <w:r w:rsidR="00714A68">
        <w:rPr>
          <w:rFonts w:ascii="Arial" w:hAnsi="Arial" w:cs="Arial"/>
          <w:bCs/>
          <w:iCs/>
          <w:sz w:val="22"/>
        </w:rPr>
        <w:t>k 31. 1</w:t>
      </w:r>
      <w:r w:rsidR="0087693D">
        <w:rPr>
          <w:rFonts w:ascii="Arial" w:hAnsi="Arial" w:cs="Arial"/>
          <w:bCs/>
          <w:iCs/>
          <w:sz w:val="22"/>
        </w:rPr>
        <w:t>2</w:t>
      </w:r>
      <w:r w:rsidR="00714A68">
        <w:rPr>
          <w:rFonts w:ascii="Arial" w:hAnsi="Arial" w:cs="Arial"/>
          <w:bCs/>
          <w:iCs/>
          <w:sz w:val="22"/>
        </w:rPr>
        <w:t xml:space="preserve">. 2013 </w:t>
      </w:r>
      <w:r w:rsidR="0009374C" w:rsidRPr="005D4EFE">
        <w:rPr>
          <w:rFonts w:ascii="Arial" w:hAnsi="Arial" w:cs="Arial"/>
          <w:b/>
          <w:bCs/>
          <w:iCs/>
          <w:sz w:val="22"/>
        </w:rPr>
        <w:t>v systému MONITOR</w:t>
      </w:r>
      <w:r w:rsidR="0054376F" w:rsidRPr="005D4EFE">
        <w:rPr>
          <w:rFonts w:ascii="Arial" w:hAnsi="Arial" w:cs="Arial"/>
          <w:b/>
          <w:bCs/>
          <w:iCs/>
          <w:sz w:val="22"/>
        </w:rPr>
        <w:t xml:space="preserve"> </w:t>
      </w:r>
      <w:r w:rsidR="00186B23" w:rsidRPr="005D4EFE">
        <w:rPr>
          <w:rFonts w:ascii="Arial" w:hAnsi="Arial" w:cs="Arial"/>
          <w:b/>
          <w:bCs/>
          <w:iCs/>
          <w:sz w:val="22"/>
        </w:rPr>
        <w:t>lišily od údajů</w:t>
      </w:r>
      <w:r w:rsidR="0009374C" w:rsidRPr="005D4EFE">
        <w:rPr>
          <w:rFonts w:ascii="Arial" w:hAnsi="Arial" w:cs="Arial"/>
          <w:b/>
          <w:bCs/>
          <w:iCs/>
          <w:sz w:val="22"/>
        </w:rPr>
        <w:t xml:space="preserve"> ze sestavené ÚZ MD </w:t>
      </w:r>
      <w:r w:rsidR="0054376F" w:rsidRPr="005D4EFE">
        <w:rPr>
          <w:rFonts w:ascii="Arial" w:hAnsi="Arial" w:cs="Arial"/>
          <w:b/>
          <w:bCs/>
          <w:iCs/>
          <w:sz w:val="22"/>
        </w:rPr>
        <w:t>o více než 470</w:t>
      </w:r>
      <w:r w:rsidR="005D4EFE">
        <w:rPr>
          <w:rFonts w:ascii="Arial" w:hAnsi="Arial" w:cs="Arial"/>
          <w:b/>
          <w:bCs/>
          <w:iCs/>
          <w:sz w:val="22"/>
        </w:rPr>
        <w:t> </w:t>
      </w:r>
      <w:r w:rsidR="0054376F" w:rsidRPr="005D4EFE">
        <w:rPr>
          <w:rFonts w:ascii="Arial" w:hAnsi="Arial" w:cs="Arial"/>
          <w:b/>
          <w:bCs/>
          <w:iCs/>
          <w:sz w:val="22"/>
        </w:rPr>
        <w:t xml:space="preserve">mil. Kč, přestože </w:t>
      </w:r>
      <w:r w:rsidR="00CE1A35">
        <w:rPr>
          <w:rFonts w:ascii="Arial" w:hAnsi="Arial" w:cs="Arial"/>
          <w:b/>
          <w:bCs/>
          <w:iCs/>
          <w:sz w:val="22"/>
        </w:rPr>
        <w:t>Ministerstvo financí</w:t>
      </w:r>
      <w:r w:rsidR="0054376F" w:rsidRPr="005D4EFE">
        <w:rPr>
          <w:rFonts w:ascii="Arial" w:hAnsi="Arial" w:cs="Arial"/>
          <w:b/>
          <w:bCs/>
          <w:iCs/>
          <w:sz w:val="22"/>
        </w:rPr>
        <w:t xml:space="preserve"> na webových stránkách </w:t>
      </w:r>
      <w:r w:rsidR="00CE1A35" w:rsidRPr="005D4EFE">
        <w:rPr>
          <w:rFonts w:ascii="Arial" w:hAnsi="Arial" w:cs="Arial"/>
          <w:b/>
          <w:sz w:val="22"/>
        </w:rPr>
        <w:t>systém</w:t>
      </w:r>
      <w:r w:rsidR="00CE1A35">
        <w:rPr>
          <w:rFonts w:ascii="Arial" w:hAnsi="Arial" w:cs="Arial"/>
          <w:b/>
          <w:sz w:val="22"/>
        </w:rPr>
        <w:t>u</w:t>
      </w:r>
      <w:r w:rsidR="00CE1A35" w:rsidRPr="005D4EFE">
        <w:rPr>
          <w:rFonts w:ascii="Arial" w:hAnsi="Arial" w:cs="Arial"/>
          <w:b/>
          <w:sz w:val="22"/>
        </w:rPr>
        <w:t xml:space="preserve"> MONITOR </w:t>
      </w:r>
      <w:r w:rsidR="0054376F" w:rsidRPr="005D4EFE">
        <w:rPr>
          <w:rFonts w:ascii="Arial" w:hAnsi="Arial" w:cs="Arial"/>
          <w:b/>
          <w:bCs/>
          <w:iCs/>
          <w:sz w:val="22"/>
        </w:rPr>
        <w:t xml:space="preserve">uvádí, že </w:t>
      </w:r>
      <w:r w:rsidR="00CE1A35">
        <w:rPr>
          <w:rFonts w:ascii="Arial" w:hAnsi="Arial" w:cs="Arial"/>
          <w:b/>
          <w:sz w:val="22"/>
        </w:rPr>
        <w:t xml:space="preserve">tento informační portál </w:t>
      </w:r>
      <w:r w:rsidR="0054376F" w:rsidRPr="005D4EFE">
        <w:rPr>
          <w:rFonts w:ascii="Arial" w:hAnsi="Arial" w:cs="Arial"/>
          <w:b/>
          <w:sz w:val="22"/>
        </w:rPr>
        <w:t>zajišťuje zveřejňování účetních závěrek OSS</w:t>
      </w:r>
      <w:r w:rsidR="00CE1A35" w:rsidRPr="00CE1A35">
        <w:rPr>
          <w:rFonts w:ascii="Arial" w:hAnsi="Arial" w:cs="Arial"/>
          <w:b/>
          <w:sz w:val="22"/>
        </w:rPr>
        <w:t>,</w:t>
      </w:r>
      <w:r w:rsidR="00CE1A35" w:rsidRPr="00C83EBC">
        <w:rPr>
          <w:rFonts w:ascii="Arial" w:hAnsi="Arial" w:cs="Arial"/>
          <w:sz w:val="22"/>
        </w:rPr>
        <w:t xml:space="preserve"> čímž</w:t>
      </w:r>
      <w:r w:rsidR="0054376F" w:rsidRPr="00C83EBC">
        <w:rPr>
          <w:rFonts w:ascii="Arial" w:hAnsi="Arial" w:cs="Arial"/>
          <w:sz w:val="22"/>
        </w:rPr>
        <w:t xml:space="preserve"> </w:t>
      </w:r>
      <w:r w:rsidR="0054376F">
        <w:rPr>
          <w:rFonts w:ascii="Arial" w:hAnsi="Arial" w:cs="Arial"/>
          <w:sz w:val="22"/>
        </w:rPr>
        <w:t>vyvolává dojem, že prezentované údaje jsou údaji ze sestavených ÚZ OSS.</w:t>
      </w:r>
    </w:p>
    <w:sectPr w:rsidR="0054376F" w:rsidRPr="00253670" w:rsidSect="00BE783E">
      <w:footerReference w:type="default" r:id="rId12"/>
      <w:pgSz w:w="11906" w:h="16838"/>
      <w:pgMar w:top="1417" w:right="1417" w:bottom="1417" w:left="1417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48" w:rsidRDefault="00FB1348" w:rsidP="004C6055">
      <w:r>
        <w:separator/>
      </w:r>
    </w:p>
  </w:endnote>
  <w:endnote w:type="continuationSeparator" w:id="0">
    <w:p w:rsidR="00FB1348" w:rsidRDefault="00FB1348" w:rsidP="004C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48" w:rsidRPr="00494FF1" w:rsidRDefault="00FB1348" w:rsidP="004016AF">
    <w:pPr>
      <w:pStyle w:val="Zpat"/>
      <w:jc w:val="center"/>
      <w:rPr>
        <w:rFonts w:ascii="Arial" w:hAnsi="Arial" w:cs="Arial"/>
        <w:sz w:val="22"/>
      </w:rPr>
    </w:pPr>
    <w:r w:rsidRPr="00494FF1">
      <w:rPr>
        <w:rFonts w:ascii="Arial" w:hAnsi="Arial" w:cs="Arial"/>
        <w:sz w:val="22"/>
      </w:rPr>
      <w:fldChar w:fldCharType="begin"/>
    </w:r>
    <w:r w:rsidRPr="00494FF1">
      <w:rPr>
        <w:rFonts w:ascii="Arial" w:hAnsi="Arial" w:cs="Arial"/>
        <w:sz w:val="22"/>
      </w:rPr>
      <w:instrText xml:space="preserve"> PAGE   \* MERGEFORMAT </w:instrText>
    </w:r>
    <w:r w:rsidRPr="00494FF1">
      <w:rPr>
        <w:rFonts w:ascii="Arial" w:hAnsi="Arial" w:cs="Arial"/>
        <w:sz w:val="22"/>
      </w:rPr>
      <w:fldChar w:fldCharType="separate"/>
    </w:r>
    <w:r w:rsidR="0056028C">
      <w:rPr>
        <w:rFonts w:ascii="Arial" w:hAnsi="Arial" w:cs="Arial"/>
        <w:noProof/>
        <w:sz w:val="22"/>
      </w:rPr>
      <w:t>2</w:t>
    </w:r>
    <w:r w:rsidRPr="00494FF1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48" w:rsidRDefault="00FB1348" w:rsidP="004C6055">
      <w:r>
        <w:separator/>
      </w:r>
    </w:p>
  </w:footnote>
  <w:footnote w:type="continuationSeparator" w:id="0">
    <w:p w:rsidR="00FB1348" w:rsidRDefault="00FB1348" w:rsidP="004C6055">
      <w:r>
        <w:continuationSeparator/>
      </w:r>
    </w:p>
  </w:footnote>
  <w:footnote w:id="1">
    <w:p w:rsidR="00FB1348" w:rsidRPr="000309D2" w:rsidRDefault="00FB1348" w:rsidP="000309D2">
      <w:pPr>
        <w:ind w:left="284" w:hanging="284"/>
        <w:rPr>
          <w:rFonts w:ascii="Arial" w:hAnsi="Arial" w:cs="Arial"/>
          <w:sz w:val="18"/>
          <w:szCs w:val="18"/>
        </w:rPr>
      </w:pPr>
      <w:r w:rsidRPr="00D16CE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tab/>
      </w:r>
      <w:r>
        <w:rPr>
          <w:rFonts w:ascii="Arial" w:hAnsi="Arial" w:cs="Arial"/>
          <w:sz w:val="18"/>
          <w:szCs w:val="18"/>
        </w:rPr>
        <w:t>Kontrolní závěr z k</w:t>
      </w:r>
      <w:r w:rsidRPr="00F46FD8">
        <w:rPr>
          <w:rFonts w:ascii="Arial" w:hAnsi="Arial" w:cs="Arial"/>
          <w:sz w:val="18"/>
          <w:szCs w:val="18"/>
        </w:rPr>
        <w:t>ontrolní akc</w:t>
      </w:r>
      <w:r>
        <w:rPr>
          <w:rFonts w:ascii="Arial" w:hAnsi="Arial" w:cs="Arial"/>
          <w:sz w:val="18"/>
          <w:szCs w:val="18"/>
        </w:rPr>
        <w:t>e</w:t>
      </w:r>
      <w:r w:rsidRPr="00F46FD8">
        <w:rPr>
          <w:rFonts w:ascii="Arial" w:hAnsi="Arial" w:cs="Arial"/>
          <w:sz w:val="18"/>
          <w:szCs w:val="18"/>
        </w:rPr>
        <w:t xml:space="preserve"> č. 0</w:t>
      </w:r>
      <w:r>
        <w:rPr>
          <w:rFonts w:ascii="Arial" w:hAnsi="Arial" w:cs="Arial"/>
          <w:sz w:val="18"/>
          <w:szCs w:val="18"/>
        </w:rPr>
        <w:t>9</w:t>
      </w:r>
      <w:r w:rsidRPr="00F46FD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22 byl </w:t>
      </w:r>
      <w:r w:rsidRPr="00D16CE6">
        <w:rPr>
          <w:rFonts w:ascii="Arial" w:hAnsi="Arial" w:cs="Arial"/>
          <w:sz w:val="18"/>
          <w:szCs w:val="18"/>
        </w:rPr>
        <w:t xml:space="preserve">zveřejněn </w:t>
      </w:r>
      <w:r>
        <w:rPr>
          <w:rFonts w:ascii="Arial" w:hAnsi="Arial" w:cs="Arial"/>
          <w:sz w:val="18"/>
          <w:szCs w:val="18"/>
        </w:rPr>
        <w:t>v </w:t>
      </w:r>
      <w:r w:rsidRPr="00D16CE6">
        <w:rPr>
          <w:rFonts w:ascii="Arial" w:hAnsi="Arial" w:cs="Arial"/>
          <w:sz w:val="18"/>
          <w:szCs w:val="18"/>
        </w:rPr>
        <w:t xml:space="preserve">částce 2/2010 </w:t>
      </w:r>
      <w:r w:rsidRPr="00D16CE6">
        <w:rPr>
          <w:rFonts w:ascii="Arial" w:hAnsi="Arial" w:cs="Arial"/>
          <w:i/>
          <w:sz w:val="18"/>
          <w:szCs w:val="18"/>
        </w:rPr>
        <w:t>Věstníku NKÚ</w:t>
      </w:r>
      <w:r>
        <w:rPr>
          <w:rFonts w:ascii="Arial" w:hAnsi="Arial" w:cs="Arial"/>
          <w:sz w:val="18"/>
          <w:szCs w:val="18"/>
        </w:rPr>
        <w:t xml:space="preserve">, kontrolní závěr z kontrolní akce č. 12/14 byl zveřejněn v částce 1/2013 </w:t>
      </w:r>
      <w:r w:rsidRPr="00836431">
        <w:rPr>
          <w:rFonts w:ascii="Arial" w:hAnsi="Arial" w:cs="Arial"/>
          <w:i/>
          <w:sz w:val="18"/>
          <w:szCs w:val="18"/>
        </w:rPr>
        <w:t>Věstníku NKÚ</w:t>
      </w:r>
      <w:r w:rsidRPr="00113872">
        <w:rPr>
          <w:rFonts w:ascii="Arial" w:hAnsi="Arial" w:cs="Arial"/>
          <w:sz w:val="18"/>
          <w:szCs w:val="18"/>
        </w:rPr>
        <w:t>.</w:t>
      </w:r>
    </w:p>
  </w:footnote>
  <w:footnote w:id="2">
    <w:p w:rsidR="00FB1348" w:rsidRPr="00D16CE6" w:rsidRDefault="00FB1348" w:rsidP="00D16CE6">
      <w:pPr>
        <w:spacing w:after="120"/>
        <w:ind w:left="284" w:hanging="284"/>
        <w:rPr>
          <w:rFonts w:ascii="Arial" w:hAnsi="Arial" w:cs="Arial"/>
          <w:sz w:val="18"/>
          <w:szCs w:val="18"/>
          <w:shd w:val="clear" w:color="auto" w:fill="FFFF00"/>
          <w:lang w:eastAsia="hi-IN" w:bidi="hi-IN"/>
        </w:rPr>
      </w:pPr>
      <w:r w:rsidRPr="00D16CE6">
        <w:rPr>
          <w:rStyle w:val="Znakapoznpodarou"/>
          <w:rFonts w:ascii="Arial" w:hAnsi="Arial" w:cs="Arial"/>
          <w:sz w:val="18"/>
          <w:szCs w:val="18"/>
        </w:rPr>
        <w:footnoteRef/>
      </w:r>
      <w:r w:rsidRPr="00D16C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16CE6">
        <w:rPr>
          <w:rFonts w:ascii="Arial" w:hAnsi="Arial" w:cs="Arial"/>
          <w:sz w:val="18"/>
          <w:szCs w:val="18"/>
        </w:rPr>
        <w:t>J</w:t>
      </w:r>
      <w:r w:rsidRPr="00D16CE6">
        <w:rPr>
          <w:rFonts w:ascii="Arial" w:hAnsi="Arial" w:cs="Arial"/>
          <w:bCs/>
          <w:color w:val="000000"/>
          <w:sz w:val="18"/>
          <w:szCs w:val="18"/>
          <w:lang w:eastAsia="cs-CZ"/>
        </w:rPr>
        <w:t>edná se o částku v roce 2013 předfinancovaných výdajů zahraničních transferů.</w:t>
      </w:r>
      <w:r>
        <w:rPr>
          <w:rFonts w:ascii="Arial" w:hAnsi="Arial" w:cs="Arial"/>
          <w:bCs/>
          <w:color w:val="000000"/>
          <w:sz w:val="18"/>
          <w:szCs w:val="18"/>
          <w:lang w:eastAsia="cs-CZ"/>
        </w:rPr>
        <w:t xml:space="preserve"> </w:t>
      </w:r>
      <w:r w:rsidRPr="00D16CE6">
        <w:rPr>
          <w:rFonts w:ascii="Arial" w:hAnsi="Arial" w:cs="Arial"/>
          <w:sz w:val="18"/>
          <w:szCs w:val="18"/>
          <w:lang w:eastAsia="hi-IN" w:bidi="hi-IN"/>
        </w:rPr>
        <w:t>Za základní údaje pro demonstraci dopadu volby jiné role u předfinancovaných výdajů transferů (</w:t>
      </w:r>
      <w:r>
        <w:rPr>
          <w:rFonts w:ascii="Arial" w:hAnsi="Arial" w:cs="Arial"/>
          <w:sz w:val="18"/>
          <w:szCs w:val="18"/>
          <w:lang w:eastAsia="hi-IN" w:bidi="hi-IN"/>
        </w:rPr>
        <w:t xml:space="preserve">role </w:t>
      </w:r>
      <w:r w:rsidRPr="00D16CE6">
        <w:rPr>
          <w:rFonts w:ascii="Arial" w:hAnsi="Arial" w:cs="Arial"/>
          <w:sz w:val="18"/>
          <w:szCs w:val="18"/>
          <w:lang w:eastAsia="hi-IN" w:bidi="hi-IN"/>
        </w:rPr>
        <w:t xml:space="preserve">poskytovatel a příjemce </w:t>
      </w:r>
      <w:r>
        <w:rPr>
          <w:rFonts w:ascii="Arial" w:hAnsi="Arial" w:cs="Arial"/>
          <w:sz w:val="18"/>
          <w:szCs w:val="18"/>
          <w:lang w:eastAsia="hi-IN" w:bidi="hi-IN"/>
        </w:rPr>
        <w:t>versus</w:t>
      </w:r>
      <w:r w:rsidRPr="00D16CE6">
        <w:rPr>
          <w:rFonts w:ascii="Arial" w:hAnsi="Arial" w:cs="Arial"/>
          <w:sz w:val="18"/>
          <w:szCs w:val="18"/>
          <w:lang w:eastAsia="hi-IN" w:bidi="hi-IN"/>
        </w:rPr>
        <w:t xml:space="preserve"> zprostředkovatel) byly zvoleny částky možného podhodnocení účtů 372 a 571, ostatní údaje a účty k vyhodnocení nebyly vyčísleny, neboť by vyžadovaly další klíčování a analyzování údajů zejména minulých let a transferů a jejich použití by do </w:t>
      </w:r>
      <w:r>
        <w:rPr>
          <w:rFonts w:ascii="Arial" w:hAnsi="Arial" w:cs="Arial"/>
          <w:sz w:val="18"/>
          <w:szCs w:val="18"/>
          <w:lang w:eastAsia="hi-IN" w:bidi="hi-IN"/>
        </w:rPr>
        <w:t>značné</w:t>
      </w:r>
      <w:r w:rsidRPr="00D16CE6">
        <w:rPr>
          <w:rFonts w:ascii="Arial" w:hAnsi="Arial" w:cs="Arial"/>
          <w:sz w:val="18"/>
          <w:szCs w:val="18"/>
          <w:lang w:eastAsia="hi-IN" w:bidi="hi-IN"/>
        </w:rPr>
        <w:t xml:space="preserve"> míry záviselo i na postupech zvolených MD; jedná se o účty</w:t>
      </w:r>
      <w:r w:rsidR="00FE28C7"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="00FE28C7">
        <w:rPr>
          <w:rFonts w:ascii="Arial" w:hAnsi="Arial" w:cs="Arial"/>
          <w:sz w:val="18"/>
          <w:szCs w:val="18"/>
          <w:lang w:eastAsia="hi-IN" w:bidi="hi-IN"/>
        </w:rPr>
        <w:br/>
      </w:r>
      <w:r w:rsidRPr="00D16CE6">
        <w:rPr>
          <w:rFonts w:ascii="Arial" w:hAnsi="Arial" w:cs="Arial"/>
          <w:sz w:val="18"/>
          <w:szCs w:val="18"/>
          <w:lang w:eastAsia="hi-IN" w:bidi="hi-IN"/>
        </w:rPr>
        <w:t xml:space="preserve">671 – </w:t>
      </w:r>
      <w:r w:rsidRPr="00D16CE6">
        <w:rPr>
          <w:rFonts w:ascii="Arial" w:hAnsi="Arial" w:cs="Arial"/>
          <w:i/>
          <w:sz w:val="18"/>
          <w:szCs w:val="18"/>
          <w:lang w:eastAsia="hi-IN" w:bidi="hi-IN"/>
        </w:rPr>
        <w:t xml:space="preserve">Výnosy vybraných ústředních vládních institucí </w:t>
      </w:r>
      <w:r>
        <w:rPr>
          <w:rFonts w:ascii="Arial" w:hAnsi="Arial" w:cs="Arial"/>
          <w:i/>
          <w:sz w:val="18"/>
          <w:szCs w:val="18"/>
          <w:lang w:eastAsia="hi-IN" w:bidi="hi-IN"/>
        </w:rPr>
        <w:t>z </w:t>
      </w:r>
      <w:r w:rsidRPr="00D16CE6">
        <w:rPr>
          <w:rFonts w:ascii="Arial" w:hAnsi="Arial" w:cs="Arial"/>
          <w:i/>
          <w:sz w:val="18"/>
          <w:szCs w:val="18"/>
          <w:lang w:eastAsia="hi-IN" w:bidi="hi-IN"/>
        </w:rPr>
        <w:t>transferů</w:t>
      </w:r>
      <w:r w:rsidRPr="00D16CE6">
        <w:rPr>
          <w:rFonts w:ascii="Arial" w:hAnsi="Arial" w:cs="Arial"/>
          <w:sz w:val="18"/>
          <w:szCs w:val="18"/>
          <w:lang w:eastAsia="hi-IN" w:bidi="hi-IN"/>
        </w:rPr>
        <w:t xml:space="preserve">, 406 – </w:t>
      </w:r>
      <w:r w:rsidRPr="00D16CE6">
        <w:rPr>
          <w:rFonts w:ascii="Arial" w:hAnsi="Arial" w:cs="Arial"/>
          <w:i/>
          <w:sz w:val="18"/>
          <w:szCs w:val="18"/>
          <w:lang w:eastAsia="hi-IN" w:bidi="hi-IN"/>
        </w:rPr>
        <w:t>Oceňovací rozdíly při prvotním použití metody</w:t>
      </w:r>
      <w:r w:rsidRPr="00D16CE6">
        <w:rPr>
          <w:rFonts w:ascii="Arial" w:hAnsi="Arial" w:cs="Arial"/>
          <w:sz w:val="18"/>
          <w:szCs w:val="18"/>
          <w:lang w:eastAsia="hi-IN" w:bidi="hi-IN"/>
        </w:rPr>
        <w:t xml:space="preserve">, 388 – </w:t>
      </w:r>
      <w:r w:rsidRPr="00D16CE6">
        <w:rPr>
          <w:rFonts w:ascii="Arial" w:hAnsi="Arial" w:cs="Arial"/>
          <w:i/>
          <w:sz w:val="18"/>
          <w:szCs w:val="18"/>
          <w:lang w:eastAsia="hi-IN" w:bidi="hi-IN"/>
        </w:rPr>
        <w:t>Dohadné účty aktivní</w:t>
      </w:r>
      <w:r w:rsidRPr="00D16CE6">
        <w:rPr>
          <w:rFonts w:ascii="Arial" w:hAnsi="Arial" w:cs="Arial"/>
          <w:sz w:val="18"/>
          <w:szCs w:val="18"/>
          <w:lang w:eastAsia="hi-IN" w:bidi="hi-IN"/>
        </w:rPr>
        <w:t xml:space="preserve"> a 389 </w:t>
      </w:r>
      <w:r w:rsidRPr="00D16CE6">
        <w:rPr>
          <w:rFonts w:ascii="Arial" w:hAnsi="Arial" w:cs="Arial"/>
          <w:i/>
          <w:sz w:val="18"/>
          <w:szCs w:val="18"/>
          <w:lang w:eastAsia="hi-IN" w:bidi="hi-IN"/>
        </w:rPr>
        <w:t>– Dohadné účty pasivní</w:t>
      </w:r>
      <w:r w:rsidRPr="00D16CE6">
        <w:rPr>
          <w:rFonts w:ascii="Arial" w:hAnsi="Arial" w:cs="Arial"/>
          <w:sz w:val="18"/>
          <w:szCs w:val="18"/>
          <w:lang w:eastAsia="hi-IN" w:bidi="hi-IN"/>
        </w:rPr>
        <w:t xml:space="preserve"> a účty podrozvahové. </w:t>
      </w:r>
    </w:p>
    <w:p w:rsidR="00FB1348" w:rsidRPr="00D16CE6" w:rsidRDefault="00FB1348">
      <w:pPr>
        <w:pStyle w:val="Textpoznpodarou"/>
        <w:rPr>
          <w:sz w:val="18"/>
          <w:szCs w:val="18"/>
        </w:rPr>
      </w:pPr>
    </w:p>
  </w:footnote>
  <w:footnote w:id="3">
    <w:p w:rsidR="00FB1348" w:rsidRPr="006377BD" w:rsidRDefault="00FB1348" w:rsidP="006377B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6377BD">
        <w:rPr>
          <w:rStyle w:val="Znakapoznpodarou"/>
          <w:rFonts w:ascii="Arial" w:hAnsi="Arial" w:cs="Arial"/>
          <w:sz w:val="18"/>
          <w:szCs w:val="18"/>
        </w:rPr>
        <w:footnoteRef/>
      </w:r>
      <w:r w:rsidRPr="006377BD">
        <w:rPr>
          <w:rFonts w:ascii="Arial" w:hAnsi="Arial" w:cs="Arial"/>
          <w:sz w:val="18"/>
          <w:szCs w:val="18"/>
        </w:rPr>
        <w:t xml:space="preserve"> </w:t>
      </w:r>
      <w:r>
        <w:tab/>
      </w:r>
      <w:r w:rsidRPr="00D16CE6">
        <w:rPr>
          <w:rFonts w:ascii="Arial" w:hAnsi="Arial" w:cs="Arial"/>
          <w:sz w:val="18"/>
          <w:szCs w:val="18"/>
        </w:rPr>
        <w:t xml:space="preserve">MONITOR je informační portál Ministerstva financí, který umožňuje volný přístup </w:t>
      </w:r>
      <w:r>
        <w:rPr>
          <w:rFonts w:ascii="Arial" w:hAnsi="Arial" w:cs="Arial"/>
          <w:sz w:val="18"/>
          <w:szCs w:val="18"/>
        </w:rPr>
        <w:t>k </w:t>
      </w:r>
      <w:r w:rsidRPr="00D16CE6">
        <w:rPr>
          <w:rFonts w:ascii="Arial" w:hAnsi="Arial" w:cs="Arial"/>
          <w:sz w:val="18"/>
          <w:szCs w:val="18"/>
        </w:rPr>
        <w:t>rozpočtovým a účetním informacím ze všech úr</w:t>
      </w:r>
      <w:r>
        <w:rPr>
          <w:rFonts w:ascii="Arial" w:hAnsi="Arial" w:cs="Arial"/>
          <w:sz w:val="18"/>
          <w:szCs w:val="18"/>
        </w:rPr>
        <w:t xml:space="preserve">ovní státní správy a samosprávy </w:t>
      </w:r>
      <w:r w:rsidRPr="00D16CE6">
        <w:rPr>
          <w:rFonts w:ascii="Arial" w:hAnsi="Arial" w:cs="Arial"/>
          <w:sz w:val="18"/>
          <w:szCs w:val="18"/>
        </w:rPr>
        <w:t xml:space="preserve">– viz informace </w:t>
      </w:r>
      <w:r>
        <w:rPr>
          <w:rFonts w:ascii="Arial" w:hAnsi="Arial" w:cs="Arial"/>
          <w:sz w:val="18"/>
          <w:szCs w:val="18"/>
        </w:rPr>
        <w:t>z </w:t>
      </w:r>
      <w:hyperlink r:id="rId1" w:history="1">
        <w:r w:rsidRPr="00D16CE6">
          <w:rPr>
            <w:rFonts w:ascii="Arial" w:hAnsi="Arial" w:cs="Arial"/>
            <w:sz w:val="18"/>
            <w:szCs w:val="18"/>
          </w:rPr>
          <w:t>www.monitor.statnipokladna</w:t>
        </w:r>
      </w:hyperlink>
      <w:r w:rsidRPr="00D16CE6">
        <w:rPr>
          <w:rFonts w:ascii="Arial" w:hAnsi="Arial" w:cs="Arial"/>
          <w:sz w:val="18"/>
          <w:szCs w:val="18"/>
        </w:rPr>
        <w:t>.cz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B1348" w:rsidRPr="00D16CE6" w:rsidRDefault="00FB1348" w:rsidP="00D16CE6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D16CE6">
        <w:rPr>
          <w:rStyle w:val="Znakapoznpodarou"/>
          <w:rFonts w:ascii="Arial" w:hAnsi="Arial" w:cs="Arial"/>
          <w:sz w:val="18"/>
          <w:szCs w:val="18"/>
        </w:rPr>
        <w:footnoteRef/>
      </w:r>
      <w:r w:rsidRPr="00D16C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Strana</w:t>
      </w:r>
      <w:r w:rsidRPr="00D16CE6">
        <w:rPr>
          <w:rFonts w:ascii="Arial" w:hAnsi="Arial" w:cs="Arial"/>
          <w:sz w:val="18"/>
          <w:szCs w:val="18"/>
        </w:rPr>
        <w:t xml:space="preserve"> 17 a 18, kapitola 3.1 </w:t>
      </w:r>
      <w:r w:rsidRPr="000734E1">
        <w:rPr>
          <w:rFonts w:ascii="Arial" w:hAnsi="Arial" w:cs="Arial"/>
          <w:i/>
          <w:sz w:val="18"/>
          <w:szCs w:val="18"/>
        </w:rPr>
        <w:t>Charakteristika příjmů SFDI a jejich plnění v roce 2012</w:t>
      </w:r>
      <w:r w:rsidRPr="00D16CE6">
        <w:rPr>
          <w:rFonts w:ascii="Arial" w:hAnsi="Arial" w:cs="Arial"/>
          <w:sz w:val="18"/>
          <w:szCs w:val="18"/>
        </w:rPr>
        <w:t xml:space="preserve">, část </w:t>
      </w:r>
      <w:r w:rsidRPr="000734E1">
        <w:rPr>
          <w:rFonts w:ascii="Arial" w:hAnsi="Arial" w:cs="Arial"/>
          <w:i/>
          <w:sz w:val="18"/>
          <w:szCs w:val="18"/>
        </w:rPr>
        <w:t>Dotace ze státního rozpočtu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:rsidR="00FB1348" w:rsidRPr="00D16CE6" w:rsidRDefault="00FB1348" w:rsidP="00D16CE6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D16CE6">
        <w:rPr>
          <w:rStyle w:val="Znakapoznpodarou"/>
          <w:rFonts w:ascii="Arial" w:hAnsi="Arial" w:cs="Arial"/>
          <w:sz w:val="18"/>
          <w:szCs w:val="18"/>
        </w:rPr>
        <w:footnoteRef/>
      </w:r>
      <w:r w:rsidRPr="00D16C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16CE6">
        <w:rPr>
          <w:rFonts w:ascii="Arial" w:hAnsi="Arial" w:cs="Arial"/>
          <w:sz w:val="18"/>
          <w:szCs w:val="18"/>
        </w:rPr>
        <w:t>S</w:t>
      </w:r>
      <w:r w:rsidRPr="00D16CE6">
        <w:rPr>
          <w:rFonts w:ascii="Arial" w:hAnsi="Arial" w:cs="Arial"/>
          <w:bCs/>
          <w:iCs/>
          <w:sz w:val="18"/>
          <w:szCs w:val="18"/>
        </w:rPr>
        <w:t>ituace, kdy by vyhodnocení správnosti účtování a vykázání transferů spolufinancovaných ze zahraničí nebylo znemožněno nejednoznačností předpisů pro účetnictví</w:t>
      </w:r>
      <w:r>
        <w:rPr>
          <w:rFonts w:ascii="Arial" w:hAnsi="Arial" w:cs="Arial"/>
          <w:bCs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5C7"/>
    <w:multiLevelType w:val="hybridMultilevel"/>
    <w:tmpl w:val="366E904C"/>
    <w:lvl w:ilvl="0" w:tplc="712AE2EA">
      <w:start w:val="2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6CE7"/>
    <w:multiLevelType w:val="hybridMultilevel"/>
    <w:tmpl w:val="515CBF20"/>
    <w:lvl w:ilvl="0" w:tplc="9EFCC0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1893"/>
    <w:multiLevelType w:val="hybridMultilevel"/>
    <w:tmpl w:val="78AE4E2A"/>
    <w:lvl w:ilvl="0" w:tplc="F79EF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60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22000898"/>
    <w:multiLevelType w:val="hybridMultilevel"/>
    <w:tmpl w:val="29BA148E"/>
    <w:lvl w:ilvl="0" w:tplc="C6CAD7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01C3B"/>
    <w:multiLevelType w:val="hybridMultilevel"/>
    <w:tmpl w:val="607855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82522"/>
    <w:multiLevelType w:val="hybridMultilevel"/>
    <w:tmpl w:val="64EC3520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B632CE"/>
    <w:multiLevelType w:val="hybridMultilevel"/>
    <w:tmpl w:val="C0C49404"/>
    <w:lvl w:ilvl="0" w:tplc="D1CC18A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EF2B3A"/>
    <w:multiLevelType w:val="multilevel"/>
    <w:tmpl w:val="F16EA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627C43"/>
    <w:multiLevelType w:val="hybridMultilevel"/>
    <w:tmpl w:val="FAEAA224"/>
    <w:lvl w:ilvl="0" w:tplc="ADA2A1E2">
      <w:start w:val="3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7FC0C2C"/>
    <w:multiLevelType w:val="multilevel"/>
    <w:tmpl w:val="3A8A34B2"/>
    <w:lvl w:ilvl="0">
      <w:start w:val="1"/>
      <w:numFmt w:val="decimal"/>
      <w:pStyle w:val="1rove"/>
      <w:lvlText w:val="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pStyle w:val="1rove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pStyle w:val="2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3rove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C1129C9"/>
    <w:multiLevelType w:val="hybridMultilevel"/>
    <w:tmpl w:val="7370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D52C9"/>
    <w:multiLevelType w:val="hybridMultilevel"/>
    <w:tmpl w:val="930A77CA"/>
    <w:lvl w:ilvl="0" w:tplc="7700B58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DD39A7"/>
    <w:multiLevelType w:val="hybridMultilevel"/>
    <w:tmpl w:val="0C989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3112B"/>
    <w:multiLevelType w:val="hybridMultilevel"/>
    <w:tmpl w:val="BA84044C"/>
    <w:lvl w:ilvl="0" w:tplc="5328BF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EAB0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276CC"/>
    <w:multiLevelType w:val="hybridMultilevel"/>
    <w:tmpl w:val="EE12B92E"/>
    <w:lvl w:ilvl="0" w:tplc="B8D2C5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83D90"/>
    <w:multiLevelType w:val="hybridMultilevel"/>
    <w:tmpl w:val="E6AA88D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A56AAD"/>
    <w:multiLevelType w:val="hybridMultilevel"/>
    <w:tmpl w:val="98D80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A39E6"/>
    <w:multiLevelType w:val="hybridMultilevel"/>
    <w:tmpl w:val="CF5EC23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1E67D7"/>
    <w:multiLevelType w:val="hybridMultilevel"/>
    <w:tmpl w:val="D6E8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4726F"/>
    <w:multiLevelType w:val="hybridMultilevel"/>
    <w:tmpl w:val="EAE293A8"/>
    <w:lvl w:ilvl="0" w:tplc="142A0F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57C27"/>
    <w:multiLevelType w:val="hybridMultilevel"/>
    <w:tmpl w:val="F202DCE4"/>
    <w:lvl w:ilvl="0" w:tplc="D400BD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71E62"/>
    <w:multiLevelType w:val="hybridMultilevel"/>
    <w:tmpl w:val="C84A6F4C"/>
    <w:lvl w:ilvl="0" w:tplc="712AE2EA">
      <w:start w:val="28"/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C97BAC"/>
    <w:multiLevelType w:val="hybridMultilevel"/>
    <w:tmpl w:val="E32EE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D7620C"/>
    <w:multiLevelType w:val="hybridMultilevel"/>
    <w:tmpl w:val="C5306ABE"/>
    <w:lvl w:ilvl="0" w:tplc="BADC26CA">
      <w:start w:val="1"/>
      <w:numFmt w:val="upperRoman"/>
      <w:pStyle w:val="PodnadpisI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17"/>
  </w:num>
  <w:num w:numId="5">
    <w:abstractNumId w:val="19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21"/>
  </w:num>
  <w:num w:numId="12">
    <w:abstractNumId w:val="9"/>
  </w:num>
  <w:num w:numId="13">
    <w:abstractNumId w:val="14"/>
  </w:num>
  <w:num w:numId="14">
    <w:abstractNumId w:val="5"/>
  </w:num>
  <w:num w:numId="15">
    <w:abstractNumId w:val="23"/>
  </w:num>
  <w:num w:numId="16">
    <w:abstractNumId w:val="15"/>
  </w:num>
  <w:num w:numId="17">
    <w:abstractNumId w:val="0"/>
  </w:num>
  <w:num w:numId="18">
    <w:abstractNumId w:val="1"/>
  </w:num>
  <w:num w:numId="19">
    <w:abstractNumId w:val="20"/>
  </w:num>
  <w:num w:numId="20">
    <w:abstractNumId w:val="2"/>
  </w:num>
  <w:num w:numId="21">
    <w:abstractNumId w:val="4"/>
  </w:num>
  <w:num w:numId="22">
    <w:abstractNumId w:val="22"/>
  </w:num>
  <w:num w:numId="23">
    <w:abstractNumId w:val="18"/>
  </w:num>
  <w:num w:numId="24">
    <w:abstractNumId w:val="6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55"/>
    <w:rsid w:val="000022E1"/>
    <w:rsid w:val="00003B61"/>
    <w:rsid w:val="000062EA"/>
    <w:rsid w:val="00010EE7"/>
    <w:rsid w:val="0001107C"/>
    <w:rsid w:val="00011311"/>
    <w:rsid w:val="00011490"/>
    <w:rsid w:val="00013328"/>
    <w:rsid w:val="00014118"/>
    <w:rsid w:val="00014470"/>
    <w:rsid w:val="000150D7"/>
    <w:rsid w:val="00017167"/>
    <w:rsid w:val="00020446"/>
    <w:rsid w:val="00020BAC"/>
    <w:rsid w:val="0002212B"/>
    <w:rsid w:val="00025A35"/>
    <w:rsid w:val="00027352"/>
    <w:rsid w:val="000309D2"/>
    <w:rsid w:val="000312B7"/>
    <w:rsid w:val="00035790"/>
    <w:rsid w:val="000367A0"/>
    <w:rsid w:val="00041540"/>
    <w:rsid w:val="00041CD8"/>
    <w:rsid w:val="00041FBC"/>
    <w:rsid w:val="000440D6"/>
    <w:rsid w:val="0004588A"/>
    <w:rsid w:val="0004779E"/>
    <w:rsid w:val="00047ADA"/>
    <w:rsid w:val="00047C9E"/>
    <w:rsid w:val="00050607"/>
    <w:rsid w:val="000544A6"/>
    <w:rsid w:val="00057F41"/>
    <w:rsid w:val="00060B77"/>
    <w:rsid w:val="00060E51"/>
    <w:rsid w:val="00060FD1"/>
    <w:rsid w:val="00065A7E"/>
    <w:rsid w:val="000663D7"/>
    <w:rsid w:val="000664CF"/>
    <w:rsid w:val="000732FF"/>
    <w:rsid w:val="000734E1"/>
    <w:rsid w:val="00073689"/>
    <w:rsid w:val="00073876"/>
    <w:rsid w:val="000739C4"/>
    <w:rsid w:val="0007407A"/>
    <w:rsid w:val="000748CA"/>
    <w:rsid w:val="00075C3C"/>
    <w:rsid w:val="00077AAC"/>
    <w:rsid w:val="000805AF"/>
    <w:rsid w:val="00084461"/>
    <w:rsid w:val="00085CFF"/>
    <w:rsid w:val="000910A1"/>
    <w:rsid w:val="00091182"/>
    <w:rsid w:val="000923D6"/>
    <w:rsid w:val="00093524"/>
    <w:rsid w:val="0009374C"/>
    <w:rsid w:val="000A1CB8"/>
    <w:rsid w:val="000A27FC"/>
    <w:rsid w:val="000A5F9E"/>
    <w:rsid w:val="000A6A90"/>
    <w:rsid w:val="000B03C0"/>
    <w:rsid w:val="000B0FCE"/>
    <w:rsid w:val="000B1CB5"/>
    <w:rsid w:val="000B69C5"/>
    <w:rsid w:val="000C05F5"/>
    <w:rsid w:val="000C0C51"/>
    <w:rsid w:val="000C139A"/>
    <w:rsid w:val="000C1523"/>
    <w:rsid w:val="000C2005"/>
    <w:rsid w:val="000C24F1"/>
    <w:rsid w:val="000C4096"/>
    <w:rsid w:val="000C4B81"/>
    <w:rsid w:val="000C7D46"/>
    <w:rsid w:val="000D3445"/>
    <w:rsid w:val="000D3F31"/>
    <w:rsid w:val="000D5234"/>
    <w:rsid w:val="000D5DD0"/>
    <w:rsid w:val="000D620F"/>
    <w:rsid w:val="000E04B9"/>
    <w:rsid w:val="000E06E3"/>
    <w:rsid w:val="000E1E88"/>
    <w:rsid w:val="000E35E3"/>
    <w:rsid w:val="000E38AC"/>
    <w:rsid w:val="000E676A"/>
    <w:rsid w:val="000F0106"/>
    <w:rsid w:val="000F05C2"/>
    <w:rsid w:val="000F4DFC"/>
    <w:rsid w:val="000F7C55"/>
    <w:rsid w:val="000F7FB0"/>
    <w:rsid w:val="00100B3B"/>
    <w:rsid w:val="00100CEC"/>
    <w:rsid w:val="001025BF"/>
    <w:rsid w:val="00103716"/>
    <w:rsid w:val="001109E9"/>
    <w:rsid w:val="00110CF3"/>
    <w:rsid w:val="001128F6"/>
    <w:rsid w:val="00113F73"/>
    <w:rsid w:val="0011424F"/>
    <w:rsid w:val="0011580F"/>
    <w:rsid w:val="0011698F"/>
    <w:rsid w:val="001177EC"/>
    <w:rsid w:val="001209F7"/>
    <w:rsid w:val="00120EBD"/>
    <w:rsid w:val="001212C8"/>
    <w:rsid w:val="00121BF7"/>
    <w:rsid w:val="00125D43"/>
    <w:rsid w:val="00126402"/>
    <w:rsid w:val="001265FF"/>
    <w:rsid w:val="0012697F"/>
    <w:rsid w:val="00126FE0"/>
    <w:rsid w:val="00127850"/>
    <w:rsid w:val="00132E8B"/>
    <w:rsid w:val="001339B4"/>
    <w:rsid w:val="0014564F"/>
    <w:rsid w:val="001467B9"/>
    <w:rsid w:val="001500D2"/>
    <w:rsid w:val="0015010F"/>
    <w:rsid w:val="00150CF4"/>
    <w:rsid w:val="00152A9B"/>
    <w:rsid w:val="00152D0C"/>
    <w:rsid w:val="001542FA"/>
    <w:rsid w:val="00154DF2"/>
    <w:rsid w:val="0015739B"/>
    <w:rsid w:val="00157886"/>
    <w:rsid w:val="001658C1"/>
    <w:rsid w:val="0016696F"/>
    <w:rsid w:val="001707FC"/>
    <w:rsid w:val="00172E5F"/>
    <w:rsid w:val="001731C5"/>
    <w:rsid w:val="00182DCF"/>
    <w:rsid w:val="00183A2E"/>
    <w:rsid w:val="0018595E"/>
    <w:rsid w:val="00185BAE"/>
    <w:rsid w:val="00186B23"/>
    <w:rsid w:val="001875CD"/>
    <w:rsid w:val="00194A77"/>
    <w:rsid w:val="0019630E"/>
    <w:rsid w:val="001A1011"/>
    <w:rsid w:val="001A30D1"/>
    <w:rsid w:val="001A3419"/>
    <w:rsid w:val="001A3508"/>
    <w:rsid w:val="001A4C9F"/>
    <w:rsid w:val="001A5B16"/>
    <w:rsid w:val="001A7009"/>
    <w:rsid w:val="001B0FA1"/>
    <w:rsid w:val="001B1478"/>
    <w:rsid w:val="001B2068"/>
    <w:rsid w:val="001B5157"/>
    <w:rsid w:val="001B6055"/>
    <w:rsid w:val="001B6BC4"/>
    <w:rsid w:val="001C06A8"/>
    <w:rsid w:val="001C181F"/>
    <w:rsid w:val="001C1BF3"/>
    <w:rsid w:val="001C26BD"/>
    <w:rsid w:val="001C311A"/>
    <w:rsid w:val="001C37AA"/>
    <w:rsid w:val="001C6F4F"/>
    <w:rsid w:val="001C7166"/>
    <w:rsid w:val="001D23AD"/>
    <w:rsid w:val="001D285C"/>
    <w:rsid w:val="001D446C"/>
    <w:rsid w:val="001D675B"/>
    <w:rsid w:val="001D717E"/>
    <w:rsid w:val="001D769E"/>
    <w:rsid w:val="001E07AB"/>
    <w:rsid w:val="001E2A85"/>
    <w:rsid w:val="001E4B97"/>
    <w:rsid w:val="001E5608"/>
    <w:rsid w:val="001E63F0"/>
    <w:rsid w:val="001F0C24"/>
    <w:rsid w:val="001F0D6F"/>
    <w:rsid w:val="001F14B5"/>
    <w:rsid w:val="001F2092"/>
    <w:rsid w:val="001F4847"/>
    <w:rsid w:val="0020438E"/>
    <w:rsid w:val="0020530F"/>
    <w:rsid w:val="00206A44"/>
    <w:rsid w:val="00206FB5"/>
    <w:rsid w:val="00207776"/>
    <w:rsid w:val="00213832"/>
    <w:rsid w:val="0021409E"/>
    <w:rsid w:val="0021572A"/>
    <w:rsid w:val="00220A9E"/>
    <w:rsid w:val="00220D70"/>
    <w:rsid w:val="002211BB"/>
    <w:rsid w:val="002228F1"/>
    <w:rsid w:val="00223639"/>
    <w:rsid w:val="00223972"/>
    <w:rsid w:val="0022446F"/>
    <w:rsid w:val="00225ECA"/>
    <w:rsid w:val="00226103"/>
    <w:rsid w:val="00233639"/>
    <w:rsid w:val="0023418C"/>
    <w:rsid w:val="00241302"/>
    <w:rsid w:val="00241988"/>
    <w:rsid w:val="002443E0"/>
    <w:rsid w:val="00247C17"/>
    <w:rsid w:val="00247F49"/>
    <w:rsid w:val="00250C28"/>
    <w:rsid w:val="002514D0"/>
    <w:rsid w:val="002528A7"/>
    <w:rsid w:val="00252BF5"/>
    <w:rsid w:val="00253670"/>
    <w:rsid w:val="00254317"/>
    <w:rsid w:val="002560F0"/>
    <w:rsid w:val="002570F8"/>
    <w:rsid w:val="00270178"/>
    <w:rsid w:val="00274956"/>
    <w:rsid w:val="00275B34"/>
    <w:rsid w:val="002768A2"/>
    <w:rsid w:val="00281B62"/>
    <w:rsid w:val="00284C12"/>
    <w:rsid w:val="00290C3E"/>
    <w:rsid w:val="00290F8C"/>
    <w:rsid w:val="00293E6A"/>
    <w:rsid w:val="00294E5A"/>
    <w:rsid w:val="00295352"/>
    <w:rsid w:val="00295460"/>
    <w:rsid w:val="00295607"/>
    <w:rsid w:val="00296A29"/>
    <w:rsid w:val="002A1330"/>
    <w:rsid w:val="002A6C6D"/>
    <w:rsid w:val="002A70CB"/>
    <w:rsid w:val="002B1C39"/>
    <w:rsid w:val="002B2AD8"/>
    <w:rsid w:val="002B54F0"/>
    <w:rsid w:val="002B5D1A"/>
    <w:rsid w:val="002B6BEE"/>
    <w:rsid w:val="002C19BB"/>
    <w:rsid w:val="002C235F"/>
    <w:rsid w:val="002C31C8"/>
    <w:rsid w:val="002C504C"/>
    <w:rsid w:val="002C584D"/>
    <w:rsid w:val="002C691E"/>
    <w:rsid w:val="002C6E2C"/>
    <w:rsid w:val="002D221A"/>
    <w:rsid w:val="002D6061"/>
    <w:rsid w:val="002D66A3"/>
    <w:rsid w:val="002E7536"/>
    <w:rsid w:val="002E7D9E"/>
    <w:rsid w:val="002F33FE"/>
    <w:rsid w:val="002F59FA"/>
    <w:rsid w:val="002F5C10"/>
    <w:rsid w:val="002F6BCD"/>
    <w:rsid w:val="00300D1C"/>
    <w:rsid w:val="00302D8D"/>
    <w:rsid w:val="003031F7"/>
    <w:rsid w:val="00304E27"/>
    <w:rsid w:val="003067C4"/>
    <w:rsid w:val="003112C8"/>
    <w:rsid w:val="0031199F"/>
    <w:rsid w:val="00314ECF"/>
    <w:rsid w:val="003174AD"/>
    <w:rsid w:val="003220D1"/>
    <w:rsid w:val="00323AFE"/>
    <w:rsid w:val="003272E7"/>
    <w:rsid w:val="00327DEA"/>
    <w:rsid w:val="003308D9"/>
    <w:rsid w:val="00331422"/>
    <w:rsid w:val="00333386"/>
    <w:rsid w:val="00333FD2"/>
    <w:rsid w:val="003347A3"/>
    <w:rsid w:val="003373CB"/>
    <w:rsid w:val="00343C6B"/>
    <w:rsid w:val="00346DE9"/>
    <w:rsid w:val="0034732E"/>
    <w:rsid w:val="0034757A"/>
    <w:rsid w:val="003530FF"/>
    <w:rsid w:val="003534AE"/>
    <w:rsid w:val="003565F2"/>
    <w:rsid w:val="00357196"/>
    <w:rsid w:val="003601C4"/>
    <w:rsid w:val="00363C4B"/>
    <w:rsid w:val="00366037"/>
    <w:rsid w:val="0036766A"/>
    <w:rsid w:val="00370109"/>
    <w:rsid w:val="00372BC4"/>
    <w:rsid w:val="003742CA"/>
    <w:rsid w:val="003916DC"/>
    <w:rsid w:val="0039360C"/>
    <w:rsid w:val="00394584"/>
    <w:rsid w:val="003A0415"/>
    <w:rsid w:val="003A0A4C"/>
    <w:rsid w:val="003A23C2"/>
    <w:rsid w:val="003B08C7"/>
    <w:rsid w:val="003B3314"/>
    <w:rsid w:val="003B6367"/>
    <w:rsid w:val="003C0BE4"/>
    <w:rsid w:val="003C34B9"/>
    <w:rsid w:val="003C7CD1"/>
    <w:rsid w:val="003D30AD"/>
    <w:rsid w:val="003D7681"/>
    <w:rsid w:val="003E5012"/>
    <w:rsid w:val="003E57B4"/>
    <w:rsid w:val="003E69EB"/>
    <w:rsid w:val="003F084C"/>
    <w:rsid w:val="003F3148"/>
    <w:rsid w:val="003F3FE6"/>
    <w:rsid w:val="003F531D"/>
    <w:rsid w:val="00400DEF"/>
    <w:rsid w:val="004016AF"/>
    <w:rsid w:val="00402340"/>
    <w:rsid w:val="00403AA8"/>
    <w:rsid w:val="0040617A"/>
    <w:rsid w:val="00406623"/>
    <w:rsid w:val="004102EB"/>
    <w:rsid w:val="00410CE0"/>
    <w:rsid w:val="00414AB4"/>
    <w:rsid w:val="00415989"/>
    <w:rsid w:val="00415DBD"/>
    <w:rsid w:val="00422D74"/>
    <w:rsid w:val="00423A5F"/>
    <w:rsid w:val="004249E3"/>
    <w:rsid w:val="00424B54"/>
    <w:rsid w:val="0043303D"/>
    <w:rsid w:val="0043365F"/>
    <w:rsid w:val="0043725C"/>
    <w:rsid w:val="00437D8E"/>
    <w:rsid w:val="0044029F"/>
    <w:rsid w:val="004402BA"/>
    <w:rsid w:val="00441DE2"/>
    <w:rsid w:val="0044342E"/>
    <w:rsid w:val="00447B47"/>
    <w:rsid w:val="00450007"/>
    <w:rsid w:val="00453BF6"/>
    <w:rsid w:val="004548F1"/>
    <w:rsid w:val="00455B92"/>
    <w:rsid w:val="00456CBF"/>
    <w:rsid w:val="004571FD"/>
    <w:rsid w:val="00457CAD"/>
    <w:rsid w:val="0046485F"/>
    <w:rsid w:val="004667FA"/>
    <w:rsid w:val="00471894"/>
    <w:rsid w:val="004813E2"/>
    <w:rsid w:val="0048293C"/>
    <w:rsid w:val="004929EC"/>
    <w:rsid w:val="00493928"/>
    <w:rsid w:val="00497A04"/>
    <w:rsid w:val="004A099E"/>
    <w:rsid w:val="004A159B"/>
    <w:rsid w:val="004A204C"/>
    <w:rsid w:val="004A2962"/>
    <w:rsid w:val="004A3F6D"/>
    <w:rsid w:val="004A460A"/>
    <w:rsid w:val="004A56C5"/>
    <w:rsid w:val="004A695A"/>
    <w:rsid w:val="004B124A"/>
    <w:rsid w:val="004B12FD"/>
    <w:rsid w:val="004B2A6B"/>
    <w:rsid w:val="004B36F8"/>
    <w:rsid w:val="004B3D30"/>
    <w:rsid w:val="004C0AEB"/>
    <w:rsid w:val="004C0B7B"/>
    <w:rsid w:val="004C2266"/>
    <w:rsid w:val="004C28EE"/>
    <w:rsid w:val="004C6055"/>
    <w:rsid w:val="004C79F4"/>
    <w:rsid w:val="004D417D"/>
    <w:rsid w:val="004D50A1"/>
    <w:rsid w:val="004D65E5"/>
    <w:rsid w:val="004E0AA1"/>
    <w:rsid w:val="004E2A36"/>
    <w:rsid w:val="004E4031"/>
    <w:rsid w:val="004E4D11"/>
    <w:rsid w:val="004E6B66"/>
    <w:rsid w:val="004F06CB"/>
    <w:rsid w:val="004F29D1"/>
    <w:rsid w:val="004F5C76"/>
    <w:rsid w:val="004F5DA8"/>
    <w:rsid w:val="004F678B"/>
    <w:rsid w:val="004F7348"/>
    <w:rsid w:val="004F7525"/>
    <w:rsid w:val="00503B8E"/>
    <w:rsid w:val="00504F0E"/>
    <w:rsid w:val="00506B81"/>
    <w:rsid w:val="00512EB6"/>
    <w:rsid w:val="00513A5F"/>
    <w:rsid w:val="00515F19"/>
    <w:rsid w:val="0051689A"/>
    <w:rsid w:val="00520276"/>
    <w:rsid w:val="005245EE"/>
    <w:rsid w:val="005247BE"/>
    <w:rsid w:val="00526593"/>
    <w:rsid w:val="00526AB2"/>
    <w:rsid w:val="00527196"/>
    <w:rsid w:val="005278DB"/>
    <w:rsid w:val="00530D25"/>
    <w:rsid w:val="0053203E"/>
    <w:rsid w:val="00532866"/>
    <w:rsid w:val="00540DA5"/>
    <w:rsid w:val="00541EA6"/>
    <w:rsid w:val="0054376F"/>
    <w:rsid w:val="00546269"/>
    <w:rsid w:val="00546362"/>
    <w:rsid w:val="005505D3"/>
    <w:rsid w:val="005520D1"/>
    <w:rsid w:val="0056028C"/>
    <w:rsid w:val="00563962"/>
    <w:rsid w:val="00563A15"/>
    <w:rsid w:val="00564548"/>
    <w:rsid w:val="00565512"/>
    <w:rsid w:val="00567369"/>
    <w:rsid w:val="005723D1"/>
    <w:rsid w:val="00572BB0"/>
    <w:rsid w:val="00575978"/>
    <w:rsid w:val="0057758A"/>
    <w:rsid w:val="0058038A"/>
    <w:rsid w:val="00584F53"/>
    <w:rsid w:val="0059092D"/>
    <w:rsid w:val="005922BD"/>
    <w:rsid w:val="00592B94"/>
    <w:rsid w:val="00593D34"/>
    <w:rsid w:val="005A0415"/>
    <w:rsid w:val="005A130E"/>
    <w:rsid w:val="005A432B"/>
    <w:rsid w:val="005A6184"/>
    <w:rsid w:val="005B0BEB"/>
    <w:rsid w:val="005B41AE"/>
    <w:rsid w:val="005B7CAF"/>
    <w:rsid w:val="005C02AF"/>
    <w:rsid w:val="005C4F8F"/>
    <w:rsid w:val="005C5FA6"/>
    <w:rsid w:val="005C6863"/>
    <w:rsid w:val="005C6E5A"/>
    <w:rsid w:val="005C71F6"/>
    <w:rsid w:val="005C7E78"/>
    <w:rsid w:val="005D2ADB"/>
    <w:rsid w:val="005D4EFE"/>
    <w:rsid w:val="005D5EDA"/>
    <w:rsid w:val="005D6565"/>
    <w:rsid w:val="005D67D4"/>
    <w:rsid w:val="005E01D5"/>
    <w:rsid w:val="005E0369"/>
    <w:rsid w:val="005E346B"/>
    <w:rsid w:val="005E431D"/>
    <w:rsid w:val="005E51FB"/>
    <w:rsid w:val="005F0022"/>
    <w:rsid w:val="005F178A"/>
    <w:rsid w:val="005F195C"/>
    <w:rsid w:val="005F34BD"/>
    <w:rsid w:val="00600F05"/>
    <w:rsid w:val="0060309D"/>
    <w:rsid w:val="006056EF"/>
    <w:rsid w:val="0060671D"/>
    <w:rsid w:val="0061390E"/>
    <w:rsid w:val="0061626D"/>
    <w:rsid w:val="0062088B"/>
    <w:rsid w:val="00623297"/>
    <w:rsid w:val="00623D82"/>
    <w:rsid w:val="0063287F"/>
    <w:rsid w:val="00636A8D"/>
    <w:rsid w:val="0063753F"/>
    <w:rsid w:val="006377BD"/>
    <w:rsid w:val="006417EB"/>
    <w:rsid w:val="00646B3B"/>
    <w:rsid w:val="00651ED5"/>
    <w:rsid w:val="006527DC"/>
    <w:rsid w:val="006569BC"/>
    <w:rsid w:val="00657022"/>
    <w:rsid w:val="00657EFD"/>
    <w:rsid w:val="00662ACE"/>
    <w:rsid w:val="00664073"/>
    <w:rsid w:val="00664A2E"/>
    <w:rsid w:val="006658E6"/>
    <w:rsid w:val="0067217C"/>
    <w:rsid w:val="006724DD"/>
    <w:rsid w:val="00675428"/>
    <w:rsid w:val="00676A3D"/>
    <w:rsid w:val="00676CC2"/>
    <w:rsid w:val="00683364"/>
    <w:rsid w:val="00684226"/>
    <w:rsid w:val="00686C22"/>
    <w:rsid w:val="006879C8"/>
    <w:rsid w:val="00690045"/>
    <w:rsid w:val="006941B9"/>
    <w:rsid w:val="00696257"/>
    <w:rsid w:val="0069629F"/>
    <w:rsid w:val="00696779"/>
    <w:rsid w:val="00697D05"/>
    <w:rsid w:val="00697D79"/>
    <w:rsid w:val="006A0B55"/>
    <w:rsid w:val="006A14AA"/>
    <w:rsid w:val="006A15CA"/>
    <w:rsid w:val="006A1716"/>
    <w:rsid w:val="006A3649"/>
    <w:rsid w:val="006A3DD4"/>
    <w:rsid w:val="006A5620"/>
    <w:rsid w:val="006A672E"/>
    <w:rsid w:val="006A6CD7"/>
    <w:rsid w:val="006B0CCD"/>
    <w:rsid w:val="006B23A6"/>
    <w:rsid w:val="006B24D0"/>
    <w:rsid w:val="006B2DE7"/>
    <w:rsid w:val="006C05D2"/>
    <w:rsid w:val="006C2263"/>
    <w:rsid w:val="006C3098"/>
    <w:rsid w:val="006C3921"/>
    <w:rsid w:val="006C4CC4"/>
    <w:rsid w:val="006C6284"/>
    <w:rsid w:val="006C7F9F"/>
    <w:rsid w:val="006E005E"/>
    <w:rsid w:val="006E2275"/>
    <w:rsid w:val="006E2C17"/>
    <w:rsid w:val="006E2E30"/>
    <w:rsid w:val="006E6A21"/>
    <w:rsid w:val="006F2830"/>
    <w:rsid w:val="006F4A58"/>
    <w:rsid w:val="006F70CA"/>
    <w:rsid w:val="00704B63"/>
    <w:rsid w:val="00705158"/>
    <w:rsid w:val="007052BD"/>
    <w:rsid w:val="00707B4F"/>
    <w:rsid w:val="0071213E"/>
    <w:rsid w:val="00713FC0"/>
    <w:rsid w:val="00714A68"/>
    <w:rsid w:val="00717278"/>
    <w:rsid w:val="00722444"/>
    <w:rsid w:val="00723B19"/>
    <w:rsid w:val="007256A9"/>
    <w:rsid w:val="007262DA"/>
    <w:rsid w:val="0073503D"/>
    <w:rsid w:val="007405BD"/>
    <w:rsid w:val="0074088C"/>
    <w:rsid w:val="00741F78"/>
    <w:rsid w:val="00747ECF"/>
    <w:rsid w:val="00750ACD"/>
    <w:rsid w:val="007516A4"/>
    <w:rsid w:val="00751C05"/>
    <w:rsid w:val="00754156"/>
    <w:rsid w:val="00754A14"/>
    <w:rsid w:val="007579EC"/>
    <w:rsid w:val="00762DD6"/>
    <w:rsid w:val="00765D00"/>
    <w:rsid w:val="00766B2C"/>
    <w:rsid w:val="00767F41"/>
    <w:rsid w:val="007701E8"/>
    <w:rsid w:val="00771005"/>
    <w:rsid w:val="0077742D"/>
    <w:rsid w:val="00780458"/>
    <w:rsid w:val="007829D4"/>
    <w:rsid w:val="00782BAB"/>
    <w:rsid w:val="00784A05"/>
    <w:rsid w:val="007860A6"/>
    <w:rsid w:val="007909DD"/>
    <w:rsid w:val="00794204"/>
    <w:rsid w:val="007948A4"/>
    <w:rsid w:val="00794D79"/>
    <w:rsid w:val="00795CB0"/>
    <w:rsid w:val="00796230"/>
    <w:rsid w:val="00796D06"/>
    <w:rsid w:val="007A4D8F"/>
    <w:rsid w:val="007A66D1"/>
    <w:rsid w:val="007A7CEC"/>
    <w:rsid w:val="007C05B1"/>
    <w:rsid w:val="007C1704"/>
    <w:rsid w:val="007D243D"/>
    <w:rsid w:val="007D2A7A"/>
    <w:rsid w:val="007D48AD"/>
    <w:rsid w:val="007E0CC8"/>
    <w:rsid w:val="007E1E11"/>
    <w:rsid w:val="007E21F2"/>
    <w:rsid w:val="007F070A"/>
    <w:rsid w:val="007F1E0C"/>
    <w:rsid w:val="007F5115"/>
    <w:rsid w:val="007F5492"/>
    <w:rsid w:val="008065DD"/>
    <w:rsid w:val="00806BE2"/>
    <w:rsid w:val="00807F97"/>
    <w:rsid w:val="008115B5"/>
    <w:rsid w:val="008124AF"/>
    <w:rsid w:val="008136D0"/>
    <w:rsid w:val="00815A67"/>
    <w:rsid w:val="00815C37"/>
    <w:rsid w:val="00817B3B"/>
    <w:rsid w:val="0082074E"/>
    <w:rsid w:val="008220A5"/>
    <w:rsid w:val="00822B0F"/>
    <w:rsid w:val="0082496F"/>
    <w:rsid w:val="0082518A"/>
    <w:rsid w:val="00827F1E"/>
    <w:rsid w:val="008310AD"/>
    <w:rsid w:val="00831EAC"/>
    <w:rsid w:val="00835737"/>
    <w:rsid w:val="00837E54"/>
    <w:rsid w:val="00840162"/>
    <w:rsid w:val="00846DE1"/>
    <w:rsid w:val="00852F84"/>
    <w:rsid w:val="0085589F"/>
    <w:rsid w:val="00856090"/>
    <w:rsid w:val="0085627B"/>
    <w:rsid w:val="0085628F"/>
    <w:rsid w:val="0085765D"/>
    <w:rsid w:val="00857912"/>
    <w:rsid w:val="00857BEF"/>
    <w:rsid w:val="0086138D"/>
    <w:rsid w:val="0086504D"/>
    <w:rsid w:val="00865120"/>
    <w:rsid w:val="0086589C"/>
    <w:rsid w:val="00865B8B"/>
    <w:rsid w:val="00866EAF"/>
    <w:rsid w:val="00867A36"/>
    <w:rsid w:val="00871F4C"/>
    <w:rsid w:val="00872264"/>
    <w:rsid w:val="00872996"/>
    <w:rsid w:val="0087693D"/>
    <w:rsid w:val="00877621"/>
    <w:rsid w:val="00881FAA"/>
    <w:rsid w:val="00882418"/>
    <w:rsid w:val="0089037A"/>
    <w:rsid w:val="00891FCF"/>
    <w:rsid w:val="00894357"/>
    <w:rsid w:val="00896E20"/>
    <w:rsid w:val="00897B52"/>
    <w:rsid w:val="008A01E1"/>
    <w:rsid w:val="008A20D0"/>
    <w:rsid w:val="008A2A8F"/>
    <w:rsid w:val="008A2EE6"/>
    <w:rsid w:val="008A477F"/>
    <w:rsid w:val="008A716D"/>
    <w:rsid w:val="008B1100"/>
    <w:rsid w:val="008B1982"/>
    <w:rsid w:val="008B2459"/>
    <w:rsid w:val="008B3326"/>
    <w:rsid w:val="008B3A91"/>
    <w:rsid w:val="008B55FC"/>
    <w:rsid w:val="008C60A7"/>
    <w:rsid w:val="008C681E"/>
    <w:rsid w:val="008D2631"/>
    <w:rsid w:val="008D389B"/>
    <w:rsid w:val="008D4BE1"/>
    <w:rsid w:val="008D53F3"/>
    <w:rsid w:val="008D6BF4"/>
    <w:rsid w:val="008E4647"/>
    <w:rsid w:val="008E7146"/>
    <w:rsid w:val="008F1CFC"/>
    <w:rsid w:val="008F27A1"/>
    <w:rsid w:val="008F2C20"/>
    <w:rsid w:val="008F35EE"/>
    <w:rsid w:val="008F7CF0"/>
    <w:rsid w:val="00900BCD"/>
    <w:rsid w:val="0090266A"/>
    <w:rsid w:val="00902A3A"/>
    <w:rsid w:val="00902FCE"/>
    <w:rsid w:val="00903CEF"/>
    <w:rsid w:val="009047A3"/>
    <w:rsid w:val="009047F5"/>
    <w:rsid w:val="009059B1"/>
    <w:rsid w:val="00912270"/>
    <w:rsid w:val="00914CBD"/>
    <w:rsid w:val="009169A2"/>
    <w:rsid w:val="00920248"/>
    <w:rsid w:val="00922E61"/>
    <w:rsid w:val="00924707"/>
    <w:rsid w:val="00931532"/>
    <w:rsid w:val="00932AE4"/>
    <w:rsid w:val="009344F9"/>
    <w:rsid w:val="00934F92"/>
    <w:rsid w:val="009360AF"/>
    <w:rsid w:val="009436FE"/>
    <w:rsid w:val="009439A2"/>
    <w:rsid w:val="00945047"/>
    <w:rsid w:val="009454F3"/>
    <w:rsid w:val="009473E9"/>
    <w:rsid w:val="00947907"/>
    <w:rsid w:val="00951C9E"/>
    <w:rsid w:val="00952161"/>
    <w:rsid w:val="00952F5C"/>
    <w:rsid w:val="0095408B"/>
    <w:rsid w:val="00957B7C"/>
    <w:rsid w:val="00962D60"/>
    <w:rsid w:val="0096663F"/>
    <w:rsid w:val="0097030F"/>
    <w:rsid w:val="00971822"/>
    <w:rsid w:val="009738B9"/>
    <w:rsid w:val="009755E7"/>
    <w:rsid w:val="009821E3"/>
    <w:rsid w:val="00982428"/>
    <w:rsid w:val="0098424F"/>
    <w:rsid w:val="00985636"/>
    <w:rsid w:val="00991064"/>
    <w:rsid w:val="00996735"/>
    <w:rsid w:val="00996C20"/>
    <w:rsid w:val="009A1267"/>
    <w:rsid w:val="009A3F63"/>
    <w:rsid w:val="009A42D0"/>
    <w:rsid w:val="009A6F94"/>
    <w:rsid w:val="009A7313"/>
    <w:rsid w:val="009B0500"/>
    <w:rsid w:val="009B0B52"/>
    <w:rsid w:val="009B14AF"/>
    <w:rsid w:val="009B52D4"/>
    <w:rsid w:val="009C2C17"/>
    <w:rsid w:val="009C3885"/>
    <w:rsid w:val="009C6F4E"/>
    <w:rsid w:val="009C7FE8"/>
    <w:rsid w:val="009D0091"/>
    <w:rsid w:val="009D014E"/>
    <w:rsid w:val="009D3F82"/>
    <w:rsid w:val="009D64E4"/>
    <w:rsid w:val="009E171C"/>
    <w:rsid w:val="009E4794"/>
    <w:rsid w:val="009E5E09"/>
    <w:rsid w:val="009F0FA7"/>
    <w:rsid w:val="009F15B8"/>
    <w:rsid w:val="009F39F5"/>
    <w:rsid w:val="009F3B86"/>
    <w:rsid w:val="009F54B2"/>
    <w:rsid w:val="00A00634"/>
    <w:rsid w:val="00A012C8"/>
    <w:rsid w:val="00A0157E"/>
    <w:rsid w:val="00A01AF2"/>
    <w:rsid w:val="00A01B49"/>
    <w:rsid w:val="00A02B12"/>
    <w:rsid w:val="00A04C92"/>
    <w:rsid w:val="00A05633"/>
    <w:rsid w:val="00A0572E"/>
    <w:rsid w:val="00A06B66"/>
    <w:rsid w:val="00A121B2"/>
    <w:rsid w:val="00A1639C"/>
    <w:rsid w:val="00A21FC4"/>
    <w:rsid w:val="00A2358D"/>
    <w:rsid w:val="00A26ACF"/>
    <w:rsid w:val="00A27B88"/>
    <w:rsid w:val="00A31872"/>
    <w:rsid w:val="00A31DC8"/>
    <w:rsid w:val="00A328A3"/>
    <w:rsid w:val="00A346DE"/>
    <w:rsid w:val="00A3620A"/>
    <w:rsid w:val="00A41850"/>
    <w:rsid w:val="00A426CB"/>
    <w:rsid w:val="00A43CEF"/>
    <w:rsid w:val="00A44CE8"/>
    <w:rsid w:val="00A4549F"/>
    <w:rsid w:val="00A5062F"/>
    <w:rsid w:val="00A51785"/>
    <w:rsid w:val="00A5231D"/>
    <w:rsid w:val="00A53047"/>
    <w:rsid w:val="00A54D1E"/>
    <w:rsid w:val="00A571A3"/>
    <w:rsid w:val="00A61BB3"/>
    <w:rsid w:val="00A62C03"/>
    <w:rsid w:val="00A635FE"/>
    <w:rsid w:val="00A6541C"/>
    <w:rsid w:val="00A702F9"/>
    <w:rsid w:val="00A7063A"/>
    <w:rsid w:val="00A72426"/>
    <w:rsid w:val="00A7644E"/>
    <w:rsid w:val="00A8446B"/>
    <w:rsid w:val="00A861D2"/>
    <w:rsid w:val="00A87F59"/>
    <w:rsid w:val="00A909A1"/>
    <w:rsid w:val="00A964AE"/>
    <w:rsid w:val="00AA31C2"/>
    <w:rsid w:val="00AB1D32"/>
    <w:rsid w:val="00AB3132"/>
    <w:rsid w:val="00AB3CC4"/>
    <w:rsid w:val="00AB3EF6"/>
    <w:rsid w:val="00AC08F8"/>
    <w:rsid w:val="00AC3ECA"/>
    <w:rsid w:val="00AC470D"/>
    <w:rsid w:val="00AC6C41"/>
    <w:rsid w:val="00AD709D"/>
    <w:rsid w:val="00AF139F"/>
    <w:rsid w:val="00AF1D49"/>
    <w:rsid w:val="00AF1FE6"/>
    <w:rsid w:val="00AF46BF"/>
    <w:rsid w:val="00AF5619"/>
    <w:rsid w:val="00AF5FA1"/>
    <w:rsid w:val="00AF66BA"/>
    <w:rsid w:val="00B01185"/>
    <w:rsid w:val="00B01FD4"/>
    <w:rsid w:val="00B033CA"/>
    <w:rsid w:val="00B0361C"/>
    <w:rsid w:val="00B0534A"/>
    <w:rsid w:val="00B05B6A"/>
    <w:rsid w:val="00B05BA5"/>
    <w:rsid w:val="00B074CF"/>
    <w:rsid w:val="00B1260D"/>
    <w:rsid w:val="00B13C7F"/>
    <w:rsid w:val="00B13D02"/>
    <w:rsid w:val="00B169ED"/>
    <w:rsid w:val="00B1701A"/>
    <w:rsid w:val="00B22F47"/>
    <w:rsid w:val="00B23935"/>
    <w:rsid w:val="00B27CC7"/>
    <w:rsid w:val="00B30EA2"/>
    <w:rsid w:val="00B34074"/>
    <w:rsid w:val="00B34BF2"/>
    <w:rsid w:val="00B376A4"/>
    <w:rsid w:val="00B404BA"/>
    <w:rsid w:val="00B40E57"/>
    <w:rsid w:val="00B41AA3"/>
    <w:rsid w:val="00B51BE4"/>
    <w:rsid w:val="00B540A7"/>
    <w:rsid w:val="00B55329"/>
    <w:rsid w:val="00B6062B"/>
    <w:rsid w:val="00B6072B"/>
    <w:rsid w:val="00B61BD7"/>
    <w:rsid w:val="00B623B6"/>
    <w:rsid w:val="00B6488E"/>
    <w:rsid w:val="00B65474"/>
    <w:rsid w:val="00B65CBE"/>
    <w:rsid w:val="00B724F4"/>
    <w:rsid w:val="00B73699"/>
    <w:rsid w:val="00B813CE"/>
    <w:rsid w:val="00B8219D"/>
    <w:rsid w:val="00B9218A"/>
    <w:rsid w:val="00B95D6B"/>
    <w:rsid w:val="00B95D99"/>
    <w:rsid w:val="00BA0E14"/>
    <w:rsid w:val="00BA1591"/>
    <w:rsid w:val="00BA1662"/>
    <w:rsid w:val="00BA4874"/>
    <w:rsid w:val="00BA4CDE"/>
    <w:rsid w:val="00BA4E3F"/>
    <w:rsid w:val="00BA52B8"/>
    <w:rsid w:val="00BB026F"/>
    <w:rsid w:val="00BB2752"/>
    <w:rsid w:val="00BB4967"/>
    <w:rsid w:val="00BB4CD6"/>
    <w:rsid w:val="00BB7C28"/>
    <w:rsid w:val="00BC6EDE"/>
    <w:rsid w:val="00BD1316"/>
    <w:rsid w:val="00BD3B11"/>
    <w:rsid w:val="00BD411C"/>
    <w:rsid w:val="00BD4D4C"/>
    <w:rsid w:val="00BD61CC"/>
    <w:rsid w:val="00BD7FF6"/>
    <w:rsid w:val="00BE31F4"/>
    <w:rsid w:val="00BE48F6"/>
    <w:rsid w:val="00BE4CD2"/>
    <w:rsid w:val="00BE783E"/>
    <w:rsid w:val="00BF4E52"/>
    <w:rsid w:val="00C007CD"/>
    <w:rsid w:val="00C028D3"/>
    <w:rsid w:val="00C04318"/>
    <w:rsid w:val="00C05300"/>
    <w:rsid w:val="00C05A1A"/>
    <w:rsid w:val="00C106E4"/>
    <w:rsid w:val="00C11FBE"/>
    <w:rsid w:val="00C12D40"/>
    <w:rsid w:val="00C13234"/>
    <w:rsid w:val="00C1457C"/>
    <w:rsid w:val="00C16211"/>
    <w:rsid w:val="00C163B7"/>
    <w:rsid w:val="00C1748D"/>
    <w:rsid w:val="00C21A5B"/>
    <w:rsid w:val="00C21CBB"/>
    <w:rsid w:val="00C24B70"/>
    <w:rsid w:val="00C25638"/>
    <w:rsid w:val="00C26EDD"/>
    <w:rsid w:val="00C27E2A"/>
    <w:rsid w:val="00C30F16"/>
    <w:rsid w:val="00C31269"/>
    <w:rsid w:val="00C3346B"/>
    <w:rsid w:val="00C3544C"/>
    <w:rsid w:val="00C35938"/>
    <w:rsid w:val="00C35F0F"/>
    <w:rsid w:val="00C37631"/>
    <w:rsid w:val="00C376E5"/>
    <w:rsid w:val="00C41577"/>
    <w:rsid w:val="00C45022"/>
    <w:rsid w:val="00C4787C"/>
    <w:rsid w:val="00C50175"/>
    <w:rsid w:val="00C50176"/>
    <w:rsid w:val="00C53687"/>
    <w:rsid w:val="00C54F43"/>
    <w:rsid w:val="00C5699E"/>
    <w:rsid w:val="00C57592"/>
    <w:rsid w:val="00C57F6B"/>
    <w:rsid w:val="00C6022F"/>
    <w:rsid w:val="00C63A50"/>
    <w:rsid w:val="00C66080"/>
    <w:rsid w:val="00C6730D"/>
    <w:rsid w:val="00C702A3"/>
    <w:rsid w:val="00C71EA6"/>
    <w:rsid w:val="00C759F1"/>
    <w:rsid w:val="00C77C91"/>
    <w:rsid w:val="00C80108"/>
    <w:rsid w:val="00C80998"/>
    <w:rsid w:val="00C82E90"/>
    <w:rsid w:val="00C83EBC"/>
    <w:rsid w:val="00C84177"/>
    <w:rsid w:val="00C86702"/>
    <w:rsid w:val="00C869A2"/>
    <w:rsid w:val="00C8749F"/>
    <w:rsid w:val="00C91457"/>
    <w:rsid w:val="00C93190"/>
    <w:rsid w:val="00C949C7"/>
    <w:rsid w:val="00C950D6"/>
    <w:rsid w:val="00CA1429"/>
    <w:rsid w:val="00CA29D9"/>
    <w:rsid w:val="00CA2D48"/>
    <w:rsid w:val="00CA378D"/>
    <w:rsid w:val="00CB04CA"/>
    <w:rsid w:val="00CB1647"/>
    <w:rsid w:val="00CB2B9A"/>
    <w:rsid w:val="00CC2461"/>
    <w:rsid w:val="00CC34E6"/>
    <w:rsid w:val="00CC4DB9"/>
    <w:rsid w:val="00CC5B64"/>
    <w:rsid w:val="00CC6978"/>
    <w:rsid w:val="00CC7F58"/>
    <w:rsid w:val="00CD16C7"/>
    <w:rsid w:val="00CD3605"/>
    <w:rsid w:val="00CD3AA5"/>
    <w:rsid w:val="00CD7D3E"/>
    <w:rsid w:val="00CE15CD"/>
    <w:rsid w:val="00CE1A35"/>
    <w:rsid w:val="00CE229C"/>
    <w:rsid w:val="00CE2EE2"/>
    <w:rsid w:val="00CE31F7"/>
    <w:rsid w:val="00CE458A"/>
    <w:rsid w:val="00CE5DC3"/>
    <w:rsid w:val="00CE6F67"/>
    <w:rsid w:val="00CE773F"/>
    <w:rsid w:val="00CF05D0"/>
    <w:rsid w:val="00CF0BD6"/>
    <w:rsid w:val="00CF1819"/>
    <w:rsid w:val="00CF30BA"/>
    <w:rsid w:val="00CF3400"/>
    <w:rsid w:val="00CF408B"/>
    <w:rsid w:val="00CF5028"/>
    <w:rsid w:val="00D01F3C"/>
    <w:rsid w:val="00D023AB"/>
    <w:rsid w:val="00D04EC6"/>
    <w:rsid w:val="00D070BA"/>
    <w:rsid w:val="00D133DC"/>
    <w:rsid w:val="00D16CE6"/>
    <w:rsid w:val="00D17CF4"/>
    <w:rsid w:val="00D260D6"/>
    <w:rsid w:val="00D26AAE"/>
    <w:rsid w:val="00D26C87"/>
    <w:rsid w:val="00D278FF"/>
    <w:rsid w:val="00D36109"/>
    <w:rsid w:val="00D37EF7"/>
    <w:rsid w:val="00D455A5"/>
    <w:rsid w:val="00D45BAB"/>
    <w:rsid w:val="00D45EE2"/>
    <w:rsid w:val="00D50902"/>
    <w:rsid w:val="00D50DA2"/>
    <w:rsid w:val="00D5416A"/>
    <w:rsid w:val="00D54187"/>
    <w:rsid w:val="00D56880"/>
    <w:rsid w:val="00D56F2B"/>
    <w:rsid w:val="00D57492"/>
    <w:rsid w:val="00D60AE7"/>
    <w:rsid w:val="00D61668"/>
    <w:rsid w:val="00D63B50"/>
    <w:rsid w:val="00D64D5D"/>
    <w:rsid w:val="00D657CD"/>
    <w:rsid w:val="00D70463"/>
    <w:rsid w:val="00D72D32"/>
    <w:rsid w:val="00D76079"/>
    <w:rsid w:val="00D7795C"/>
    <w:rsid w:val="00D831CC"/>
    <w:rsid w:val="00D85151"/>
    <w:rsid w:val="00D8550D"/>
    <w:rsid w:val="00D86A95"/>
    <w:rsid w:val="00D90C9F"/>
    <w:rsid w:val="00D91431"/>
    <w:rsid w:val="00D91457"/>
    <w:rsid w:val="00D9415A"/>
    <w:rsid w:val="00D95527"/>
    <w:rsid w:val="00D9747C"/>
    <w:rsid w:val="00DA0FFB"/>
    <w:rsid w:val="00DA3585"/>
    <w:rsid w:val="00DB06C6"/>
    <w:rsid w:val="00DB2349"/>
    <w:rsid w:val="00DB3700"/>
    <w:rsid w:val="00DB3DB4"/>
    <w:rsid w:val="00DB7925"/>
    <w:rsid w:val="00DB7F5D"/>
    <w:rsid w:val="00DC1A30"/>
    <w:rsid w:val="00DC1D27"/>
    <w:rsid w:val="00DC276E"/>
    <w:rsid w:val="00DC3E8B"/>
    <w:rsid w:val="00DC5403"/>
    <w:rsid w:val="00DD05AB"/>
    <w:rsid w:val="00DD0E10"/>
    <w:rsid w:val="00DD3A2F"/>
    <w:rsid w:val="00DD69BA"/>
    <w:rsid w:val="00DE2781"/>
    <w:rsid w:val="00DE4677"/>
    <w:rsid w:val="00DE5272"/>
    <w:rsid w:val="00DF0BBA"/>
    <w:rsid w:val="00DF0C3E"/>
    <w:rsid w:val="00DF1FB6"/>
    <w:rsid w:val="00DF232C"/>
    <w:rsid w:val="00DF2F00"/>
    <w:rsid w:val="00DF4998"/>
    <w:rsid w:val="00DF49CD"/>
    <w:rsid w:val="00DF61CD"/>
    <w:rsid w:val="00DF64CB"/>
    <w:rsid w:val="00DF65A9"/>
    <w:rsid w:val="00DF7DEC"/>
    <w:rsid w:val="00E00B31"/>
    <w:rsid w:val="00E00DA3"/>
    <w:rsid w:val="00E0134E"/>
    <w:rsid w:val="00E02EC3"/>
    <w:rsid w:val="00E04E85"/>
    <w:rsid w:val="00E06F42"/>
    <w:rsid w:val="00E1015A"/>
    <w:rsid w:val="00E10BEB"/>
    <w:rsid w:val="00E10C57"/>
    <w:rsid w:val="00E15CC1"/>
    <w:rsid w:val="00E17958"/>
    <w:rsid w:val="00E20302"/>
    <w:rsid w:val="00E20E21"/>
    <w:rsid w:val="00E23609"/>
    <w:rsid w:val="00E25A4C"/>
    <w:rsid w:val="00E300DE"/>
    <w:rsid w:val="00E313DB"/>
    <w:rsid w:val="00E331FA"/>
    <w:rsid w:val="00E357F1"/>
    <w:rsid w:val="00E44791"/>
    <w:rsid w:val="00E44CB3"/>
    <w:rsid w:val="00E4647D"/>
    <w:rsid w:val="00E46E8A"/>
    <w:rsid w:val="00E5116A"/>
    <w:rsid w:val="00E53C64"/>
    <w:rsid w:val="00E544EB"/>
    <w:rsid w:val="00E577DB"/>
    <w:rsid w:val="00E609AF"/>
    <w:rsid w:val="00E62945"/>
    <w:rsid w:val="00E644C3"/>
    <w:rsid w:val="00E650F1"/>
    <w:rsid w:val="00E6537A"/>
    <w:rsid w:val="00E71E3E"/>
    <w:rsid w:val="00E7207B"/>
    <w:rsid w:val="00E74B1E"/>
    <w:rsid w:val="00E81643"/>
    <w:rsid w:val="00E82F70"/>
    <w:rsid w:val="00E84311"/>
    <w:rsid w:val="00E86A44"/>
    <w:rsid w:val="00E86D74"/>
    <w:rsid w:val="00E9065C"/>
    <w:rsid w:val="00E91572"/>
    <w:rsid w:val="00EA23DA"/>
    <w:rsid w:val="00EA7F62"/>
    <w:rsid w:val="00EB0879"/>
    <w:rsid w:val="00EB0A86"/>
    <w:rsid w:val="00EB314E"/>
    <w:rsid w:val="00EB3BD0"/>
    <w:rsid w:val="00EB3C05"/>
    <w:rsid w:val="00EC01BD"/>
    <w:rsid w:val="00EC1D27"/>
    <w:rsid w:val="00EC28FF"/>
    <w:rsid w:val="00EC48D1"/>
    <w:rsid w:val="00EC52D8"/>
    <w:rsid w:val="00ED3C96"/>
    <w:rsid w:val="00ED4963"/>
    <w:rsid w:val="00EE2ED3"/>
    <w:rsid w:val="00EE40AE"/>
    <w:rsid w:val="00EE6029"/>
    <w:rsid w:val="00EE6C3B"/>
    <w:rsid w:val="00EE6DB6"/>
    <w:rsid w:val="00EF0DCD"/>
    <w:rsid w:val="00EF33B1"/>
    <w:rsid w:val="00EF3596"/>
    <w:rsid w:val="00EF47A5"/>
    <w:rsid w:val="00F026CF"/>
    <w:rsid w:val="00F03504"/>
    <w:rsid w:val="00F06F02"/>
    <w:rsid w:val="00F10E23"/>
    <w:rsid w:val="00F15F63"/>
    <w:rsid w:val="00F16F3B"/>
    <w:rsid w:val="00F1728A"/>
    <w:rsid w:val="00F2013C"/>
    <w:rsid w:val="00F24AE4"/>
    <w:rsid w:val="00F30825"/>
    <w:rsid w:val="00F316B7"/>
    <w:rsid w:val="00F319FA"/>
    <w:rsid w:val="00F34243"/>
    <w:rsid w:val="00F35991"/>
    <w:rsid w:val="00F36061"/>
    <w:rsid w:val="00F37176"/>
    <w:rsid w:val="00F50801"/>
    <w:rsid w:val="00F52D3F"/>
    <w:rsid w:val="00F65EA5"/>
    <w:rsid w:val="00F66036"/>
    <w:rsid w:val="00F705CB"/>
    <w:rsid w:val="00F77286"/>
    <w:rsid w:val="00F77C71"/>
    <w:rsid w:val="00F8036D"/>
    <w:rsid w:val="00F85C89"/>
    <w:rsid w:val="00F91F80"/>
    <w:rsid w:val="00F91F95"/>
    <w:rsid w:val="00F97A29"/>
    <w:rsid w:val="00FA3509"/>
    <w:rsid w:val="00FA671B"/>
    <w:rsid w:val="00FA78D3"/>
    <w:rsid w:val="00FB03BD"/>
    <w:rsid w:val="00FB092C"/>
    <w:rsid w:val="00FB1348"/>
    <w:rsid w:val="00FB15B6"/>
    <w:rsid w:val="00FB44E7"/>
    <w:rsid w:val="00FC5130"/>
    <w:rsid w:val="00FC6B79"/>
    <w:rsid w:val="00FD2CE6"/>
    <w:rsid w:val="00FD658C"/>
    <w:rsid w:val="00FD7E48"/>
    <w:rsid w:val="00FE0BB0"/>
    <w:rsid w:val="00FE1333"/>
    <w:rsid w:val="00FE15BE"/>
    <w:rsid w:val="00FE28C7"/>
    <w:rsid w:val="00FE500F"/>
    <w:rsid w:val="00FE5071"/>
    <w:rsid w:val="00FE50A6"/>
    <w:rsid w:val="00FF15A0"/>
    <w:rsid w:val="00FF1A10"/>
    <w:rsid w:val="00FF2FBA"/>
    <w:rsid w:val="00FF6B7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5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C6055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6055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6055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6055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C6055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C605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5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5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5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C605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4C605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4C6055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C6055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4C6055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4C6055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C6055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4C6055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4C6055"/>
    <w:rPr>
      <w:rFonts w:ascii="Cambria" w:eastAsia="Times New Roman" w:hAnsi="Cambria"/>
      <w:i/>
      <w:iCs/>
      <w:color w:val="404040"/>
      <w:lang w:eastAsia="en-US"/>
    </w:rPr>
  </w:style>
  <w:style w:type="paragraph" w:styleId="Odstavecseseznamem">
    <w:name w:val="List Paragraph"/>
    <w:aliases w:val="odrážky,Nadpis pro KZ"/>
    <w:basedOn w:val="Normln"/>
    <w:link w:val="OdstavecseseznamemChar"/>
    <w:uiPriority w:val="34"/>
    <w:qFormat/>
    <w:rsid w:val="004C6055"/>
    <w:pPr>
      <w:ind w:left="720"/>
      <w:contextualSpacing/>
    </w:pPr>
    <w:rPr>
      <w:lang w:val="en-US"/>
    </w:rPr>
  </w:style>
  <w:style w:type="character" w:customStyle="1" w:styleId="OdstavecseseznamemChar">
    <w:name w:val="Odstavec se seznamem Char"/>
    <w:aliases w:val="odrážky Char,Nadpis pro KZ Char"/>
    <w:link w:val="Odstavecseseznamem"/>
    <w:uiPriority w:val="34"/>
    <w:locked/>
    <w:rsid w:val="00403AA8"/>
    <w:rPr>
      <w:rFonts w:ascii="Times New Roman" w:hAnsi="Times New Roman"/>
      <w:sz w:val="24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4C6055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Zkladntextodsazen2Char">
    <w:name w:val="Základní text odsazený 2 Char"/>
    <w:link w:val="Zkladntextodsazen2"/>
    <w:uiPriority w:val="99"/>
    <w:rsid w:val="004C605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60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6055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unhideWhenUsed/>
    <w:rsid w:val="004C6055"/>
    <w:rPr>
      <w:vertAlign w:val="superscript"/>
    </w:rPr>
  </w:style>
  <w:style w:type="table" w:styleId="Mkatabulky">
    <w:name w:val="Table Grid"/>
    <w:basedOn w:val="Normlntabulka"/>
    <w:uiPriority w:val="59"/>
    <w:rsid w:val="004C60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C605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4C6055"/>
    <w:rPr>
      <w:rFonts w:ascii="Times New Roman" w:eastAsia="Calibri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4C605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6055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E6B66"/>
    <w:pPr>
      <w:jc w:val="left"/>
    </w:pPr>
    <w:rPr>
      <w:rFonts w:eastAsia="Times New Roman"/>
      <w:szCs w:val="24"/>
    </w:rPr>
  </w:style>
  <w:style w:type="paragraph" w:customStyle="1" w:styleId="NadpisKZ">
    <w:name w:val="Nadpis KZ"/>
    <w:basedOn w:val="Zkladntext2"/>
    <w:rsid w:val="004E6B66"/>
  </w:style>
  <w:style w:type="paragraph" w:styleId="Zkladntext2">
    <w:name w:val="Body Text 2"/>
    <w:basedOn w:val="Normln"/>
    <w:link w:val="Zkladntext2Char"/>
    <w:uiPriority w:val="99"/>
    <w:semiHidden/>
    <w:unhideWhenUsed/>
    <w:rsid w:val="004E6B66"/>
    <w:pPr>
      <w:spacing w:after="120" w:line="480" w:lineRule="auto"/>
      <w:jc w:val="left"/>
    </w:pPr>
    <w:rPr>
      <w:rFonts w:eastAsia="Times New Roman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4E6B6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KZ">
    <w:name w:val="Normální KZ"/>
    <w:basedOn w:val="Normln"/>
    <w:rsid w:val="004E6B66"/>
    <w:pPr>
      <w:spacing w:after="120"/>
      <w:ind w:firstLine="425"/>
    </w:pPr>
    <w:rPr>
      <w:rFonts w:eastAsia="Times New Roman"/>
      <w:sz w:val="22"/>
      <w:szCs w:val="24"/>
      <w:lang w:eastAsia="cs-CZ"/>
    </w:rPr>
  </w:style>
  <w:style w:type="paragraph" w:styleId="Titulek">
    <w:name w:val="caption"/>
    <w:basedOn w:val="Normln"/>
    <w:next w:val="Normln"/>
    <w:uiPriority w:val="35"/>
    <w:qFormat/>
    <w:rsid w:val="004E6B66"/>
    <w:pPr>
      <w:spacing w:before="120" w:after="120"/>
      <w:jc w:val="left"/>
    </w:pPr>
    <w:rPr>
      <w:rFonts w:eastAsia="Times New Roman"/>
      <w:b/>
      <w:bCs/>
      <w:sz w:val="20"/>
      <w:szCs w:val="20"/>
      <w:lang w:eastAsia="cs-CZ"/>
    </w:rPr>
  </w:style>
  <w:style w:type="paragraph" w:customStyle="1" w:styleId="rove1">
    <w:name w:val="úroveň1"/>
    <w:basedOn w:val="Normln"/>
    <w:qFormat/>
    <w:rsid w:val="004E6B66"/>
    <w:pPr>
      <w:jc w:val="left"/>
      <w:outlineLvl w:val="0"/>
    </w:pPr>
    <w:rPr>
      <w:rFonts w:ascii="Arial" w:eastAsia="Times New Roman" w:hAnsi="Arial" w:cs="Arial"/>
      <w:b/>
      <w:sz w:val="28"/>
      <w:szCs w:val="24"/>
    </w:rPr>
  </w:style>
  <w:style w:type="character" w:styleId="Zvraznn">
    <w:name w:val="Emphasis"/>
    <w:uiPriority w:val="20"/>
    <w:qFormat/>
    <w:rsid w:val="004E6B66"/>
    <w:rPr>
      <w:b/>
      <w:bCs/>
      <w:i w:val="0"/>
      <w:iCs w:val="0"/>
    </w:rPr>
  </w:style>
  <w:style w:type="character" w:customStyle="1" w:styleId="st">
    <w:name w:val="st"/>
    <w:rsid w:val="004E6B66"/>
  </w:style>
  <w:style w:type="character" w:styleId="Odkaznakoment">
    <w:name w:val="annotation reference"/>
    <w:uiPriority w:val="99"/>
    <w:semiHidden/>
    <w:unhideWhenUsed/>
    <w:rsid w:val="004E6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6B66"/>
    <w:pPr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E6B6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B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6B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E6B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0">
    <w:name w:val="Norm‡ln’"/>
    <w:rsid w:val="004E6B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4E6B66"/>
    <w:pPr>
      <w:tabs>
        <w:tab w:val="center" w:pos="4536"/>
        <w:tab w:val="right" w:pos="9072"/>
      </w:tabs>
      <w:jc w:val="left"/>
    </w:pPr>
    <w:rPr>
      <w:rFonts w:eastAsia="Times New Roman"/>
      <w:szCs w:val="24"/>
    </w:rPr>
  </w:style>
  <w:style w:type="character" w:customStyle="1" w:styleId="ZhlavChar">
    <w:name w:val="Záhlaví Char"/>
    <w:link w:val="Zhlav"/>
    <w:uiPriority w:val="99"/>
    <w:rsid w:val="004E6B66"/>
    <w:rPr>
      <w:rFonts w:ascii="Times New Roman" w:eastAsia="Times New Roman" w:hAnsi="Times New Roman" w:cs="Times New Roman"/>
      <w:sz w:val="24"/>
      <w:szCs w:val="24"/>
    </w:rPr>
  </w:style>
  <w:style w:type="paragraph" w:customStyle="1" w:styleId="Bezmezer1">
    <w:name w:val="Bez mezer1"/>
    <w:aliases w:val="KP,No Spacing,Bez mezer11"/>
    <w:basedOn w:val="Normln"/>
    <w:uiPriority w:val="1"/>
    <w:qFormat/>
    <w:rsid w:val="004E6B66"/>
    <w:pPr>
      <w:spacing w:after="120"/>
      <w:ind w:firstLine="567"/>
    </w:pPr>
    <w:rPr>
      <w:rFonts w:ascii="Arial" w:eastAsia="Times New Roman" w:hAnsi="Arial" w:cs="Arial"/>
      <w:sz w:val="22"/>
    </w:rPr>
  </w:style>
  <w:style w:type="paragraph" w:customStyle="1" w:styleId="1rove">
    <w:name w:val="1. úroveň"/>
    <w:basedOn w:val="Normln"/>
    <w:qFormat/>
    <w:rsid w:val="00CC5B64"/>
    <w:pPr>
      <w:numPr>
        <w:numId w:val="2"/>
      </w:numPr>
      <w:spacing w:after="240"/>
      <w:ind w:left="567" w:hanging="567"/>
      <w:jc w:val="left"/>
      <w:outlineLvl w:val="0"/>
    </w:pPr>
    <w:rPr>
      <w:rFonts w:ascii="Arial" w:eastAsia="Times New Roman" w:hAnsi="Arial" w:cs="Arial"/>
      <w:b/>
      <w:szCs w:val="24"/>
    </w:rPr>
  </w:style>
  <w:style w:type="paragraph" w:customStyle="1" w:styleId="2rove">
    <w:name w:val="2. úroveň"/>
    <w:basedOn w:val="1rove"/>
    <w:qFormat/>
    <w:rsid w:val="00CC5B64"/>
    <w:pPr>
      <w:numPr>
        <w:ilvl w:val="1"/>
      </w:numPr>
      <w:spacing w:after="120"/>
      <w:ind w:left="794" w:hanging="794"/>
      <w:outlineLvl w:val="1"/>
    </w:pPr>
  </w:style>
  <w:style w:type="paragraph" w:customStyle="1" w:styleId="3rove">
    <w:name w:val="3. úroveň"/>
    <w:basedOn w:val="2rove"/>
    <w:qFormat/>
    <w:rsid w:val="00CC5B64"/>
    <w:pPr>
      <w:numPr>
        <w:ilvl w:val="2"/>
      </w:numPr>
      <w:outlineLvl w:val="2"/>
    </w:pPr>
  </w:style>
  <w:style w:type="paragraph" w:customStyle="1" w:styleId="4rove">
    <w:name w:val="4. úroveň"/>
    <w:basedOn w:val="3rove"/>
    <w:qFormat/>
    <w:rsid w:val="00CC5B64"/>
    <w:pPr>
      <w:numPr>
        <w:ilvl w:val="3"/>
      </w:numPr>
      <w:ind w:left="1247" w:hanging="1247"/>
    </w:pPr>
  </w:style>
  <w:style w:type="character" w:styleId="Hypertextovodkaz">
    <w:name w:val="Hyperlink"/>
    <w:uiPriority w:val="99"/>
    <w:rsid w:val="00403AA8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403AA8"/>
    <w:rPr>
      <w:rFonts w:ascii="Arial" w:eastAsia="Times New Roman" w:hAnsi="Arial" w:cs="Arial"/>
      <w:i/>
      <w:sz w:val="22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403AA8"/>
    <w:rPr>
      <w:rFonts w:ascii="Arial" w:eastAsia="Times New Roman" w:hAnsi="Arial" w:cs="Arial"/>
      <w:i/>
      <w:sz w:val="22"/>
      <w:szCs w:val="24"/>
    </w:rPr>
  </w:style>
  <w:style w:type="paragraph" w:styleId="Normlnodsazen">
    <w:name w:val="Normal Indent"/>
    <w:basedOn w:val="Normln"/>
    <w:uiPriority w:val="99"/>
    <w:rsid w:val="00403AA8"/>
    <w:pPr>
      <w:spacing w:line="360" w:lineRule="auto"/>
      <w:ind w:firstLine="720"/>
    </w:pPr>
    <w:rPr>
      <w:rFonts w:ascii="Arial" w:eastAsia="Times New Roman" w:hAnsi="Arial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03AA8"/>
    <w:pPr>
      <w:spacing w:line="276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03AA8"/>
    <w:pPr>
      <w:spacing w:after="100"/>
      <w:ind w:left="240"/>
      <w:jc w:val="left"/>
    </w:pPr>
    <w:rPr>
      <w:rFonts w:eastAsia="Times New Roman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403AA8"/>
    <w:pPr>
      <w:spacing w:after="100"/>
      <w:jc w:val="left"/>
    </w:pPr>
    <w:rPr>
      <w:rFonts w:eastAsia="Times New Roman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03AA8"/>
    <w:pPr>
      <w:spacing w:after="100"/>
      <w:ind w:left="480"/>
      <w:jc w:val="left"/>
    </w:pPr>
    <w:rPr>
      <w:rFonts w:eastAsia="Times New Roman"/>
      <w:szCs w:val="24"/>
    </w:rPr>
  </w:style>
  <w:style w:type="paragraph" w:customStyle="1" w:styleId="Default">
    <w:name w:val="Default"/>
    <w:rsid w:val="00403A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itace">
    <w:name w:val="citace"/>
    <w:basedOn w:val="Normln"/>
    <w:next w:val="Normln"/>
    <w:rsid w:val="00403AA8"/>
    <w:pPr>
      <w:spacing w:after="120"/>
      <w:ind w:firstLine="720"/>
    </w:pPr>
    <w:rPr>
      <w:rFonts w:ascii="Arial" w:eastAsia="Times New Roman" w:hAnsi="Arial"/>
      <w:i/>
      <w:sz w:val="22"/>
      <w:szCs w:val="24"/>
    </w:rPr>
  </w:style>
  <w:style w:type="paragraph" w:customStyle="1" w:styleId="PodnadpisI">
    <w:name w:val="Podnadpis I"/>
    <w:basedOn w:val="Normln"/>
    <w:qFormat/>
    <w:rsid w:val="00403AA8"/>
    <w:pPr>
      <w:numPr>
        <w:numId w:val="3"/>
      </w:numPr>
      <w:jc w:val="left"/>
    </w:pPr>
    <w:rPr>
      <w:rFonts w:ascii="Arial" w:eastAsia="Times New Roman" w:hAnsi="Arial"/>
      <w:b/>
      <w:sz w:val="22"/>
      <w:szCs w:val="24"/>
      <w:u w:val="single"/>
    </w:rPr>
  </w:style>
  <w:style w:type="paragraph" w:customStyle="1" w:styleId="CharChar1CharCharCharCharCharChar">
    <w:name w:val="Char Char1 Char Char Char Char Char Char"/>
    <w:basedOn w:val="Normln"/>
    <w:rsid w:val="00403AA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rozkazyChar">
    <w:name w:val="_rozkazy Char"/>
    <w:link w:val="rozkazy"/>
    <w:locked/>
    <w:rsid w:val="00403AA8"/>
  </w:style>
  <w:style w:type="paragraph" w:customStyle="1" w:styleId="rozkazy">
    <w:name w:val="_rozkazy"/>
    <w:basedOn w:val="Normln"/>
    <w:link w:val="rozkazyChar"/>
    <w:rsid w:val="00403AA8"/>
    <w:pPr>
      <w:spacing w:after="120" w:line="288" w:lineRule="auto"/>
      <w:ind w:firstLine="567"/>
    </w:pPr>
    <w:rPr>
      <w:rFonts w:ascii="Calibri" w:hAnsi="Calibri"/>
      <w:sz w:val="20"/>
      <w:szCs w:val="20"/>
      <w:lang w:eastAsia="cs-CZ"/>
    </w:rPr>
  </w:style>
  <w:style w:type="character" w:styleId="Sledovanodkaz">
    <w:name w:val="FollowedHyperlink"/>
    <w:semiHidden/>
    <w:rsid w:val="00DB3700"/>
    <w:rPr>
      <w:color w:val="800080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DB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DB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704B63"/>
    <w:rPr>
      <w:b/>
    </w:rPr>
  </w:style>
  <w:style w:type="paragraph" w:customStyle="1" w:styleId="Pa10">
    <w:name w:val="Pa10"/>
    <w:basedOn w:val="Default"/>
    <w:next w:val="Default"/>
    <w:uiPriority w:val="99"/>
    <w:rsid w:val="00E15CC1"/>
    <w:pPr>
      <w:spacing w:line="191" w:lineRule="atLeast"/>
    </w:pPr>
    <w:rPr>
      <w:rFonts w:ascii="Arial" w:eastAsia="Calibri" w:hAnsi="Arial" w:cs="Arial"/>
      <w:color w:val="auto"/>
      <w:lang w:eastAsia="cs-CZ"/>
    </w:rPr>
  </w:style>
  <w:style w:type="paragraph" w:customStyle="1" w:styleId="Pa26">
    <w:name w:val="Pa26"/>
    <w:basedOn w:val="Default"/>
    <w:next w:val="Default"/>
    <w:uiPriority w:val="99"/>
    <w:rsid w:val="00E15CC1"/>
    <w:pPr>
      <w:spacing w:line="191" w:lineRule="atLeast"/>
    </w:pPr>
    <w:rPr>
      <w:rFonts w:ascii="Arial" w:eastAsia="Calibri" w:hAnsi="Arial" w:cs="Arial"/>
      <w:color w:val="auto"/>
      <w:lang w:eastAsia="cs-CZ"/>
    </w:rPr>
  </w:style>
  <w:style w:type="character" w:customStyle="1" w:styleId="A7">
    <w:name w:val="A7"/>
    <w:uiPriority w:val="99"/>
    <w:rsid w:val="00E15CC1"/>
    <w:rPr>
      <w:color w:val="000000"/>
      <w:sz w:val="19"/>
      <w:szCs w:val="19"/>
    </w:rPr>
  </w:style>
  <w:style w:type="character" w:customStyle="1" w:styleId="A5">
    <w:name w:val="A5"/>
    <w:uiPriority w:val="99"/>
    <w:rsid w:val="00E15CC1"/>
    <w:rPr>
      <w:color w:val="000000"/>
      <w:sz w:val="11"/>
      <w:szCs w:val="11"/>
    </w:rPr>
  </w:style>
  <w:style w:type="paragraph" w:customStyle="1" w:styleId="Pa31">
    <w:name w:val="Pa31"/>
    <w:basedOn w:val="Default"/>
    <w:next w:val="Default"/>
    <w:uiPriority w:val="99"/>
    <w:rsid w:val="00E15CC1"/>
    <w:pPr>
      <w:spacing w:line="191" w:lineRule="atLeast"/>
    </w:pPr>
    <w:rPr>
      <w:rFonts w:ascii="Arial" w:eastAsia="Calibri" w:hAnsi="Arial" w:cs="Arial"/>
      <w:color w:val="auto"/>
      <w:lang w:eastAsia="cs-CZ"/>
    </w:rPr>
  </w:style>
  <w:style w:type="character" w:customStyle="1" w:styleId="A9">
    <w:name w:val="A9"/>
    <w:uiPriority w:val="99"/>
    <w:rsid w:val="00F50801"/>
    <w:rPr>
      <w:color w:val="000000"/>
      <w:sz w:val="12"/>
      <w:szCs w:val="12"/>
    </w:rPr>
  </w:style>
  <w:style w:type="paragraph" w:customStyle="1" w:styleId="rove4">
    <w:name w:val="úroveň4"/>
    <w:basedOn w:val="Normln"/>
    <w:qFormat/>
    <w:rsid w:val="00A012C8"/>
    <w:pPr>
      <w:outlineLvl w:val="3"/>
    </w:pPr>
    <w:rPr>
      <w:rFonts w:ascii="Arial" w:eastAsia="Times New Roman" w:hAnsi="Arial" w:cs="Arial"/>
      <w:szCs w:val="24"/>
    </w:rPr>
  </w:style>
  <w:style w:type="paragraph" w:customStyle="1" w:styleId="Pa24">
    <w:name w:val="Pa24"/>
    <w:basedOn w:val="Default"/>
    <w:next w:val="Default"/>
    <w:uiPriority w:val="99"/>
    <w:rsid w:val="00540DA5"/>
    <w:pPr>
      <w:spacing w:line="221" w:lineRule="atLeast"/>
    </w:pPr>
    <w:rPr>
      <w:rFonts w:ascii="Arial" w:eastAsia="Calibri" w:hAnsi="Arial" w:cs="Arial"/>
      <w:color w:val="auto"/>
      <w:lang w:eastAsia="cs-CZ"/>
    </w:rPr>
  </w:style>
  <w:style w:type="paragraph" w:customStyle="1" w:styleId="Pa13">
    <w:name w:val="Pa13"/>
    <w:basedOn w:val="Default"/>
    <w:next w:val="Default"/>
    <w:uiPriority w:val="99"/>
    <w:rsid w:val="00540DA5"/>
    <w:pPr>
      <w:spacing w:line="191" w:lineRule="atLeast"/>
    </w:pPr>
    <w:rPr>
      <w:rFonts w:ascii="Arial" w:eastAsia="Calibri" w:hAnsi="Arial" w:cs="Arial"/>
      <w:color w:val="auto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5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C6055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6055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6055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6055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C6055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C605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5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5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5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C605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4C605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4C6055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C6055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4C6055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4C6055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C6055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4C6055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4C6055"/>
    <w:rPr>
      <w:rFonts w:ascii="Cambria" w:eastAsia="Times New Roman" w:hAnsi="Cambria"/>
      <w:i/>
      <w:iCs/>
      <w:color w:val="404040"/>
      <w:lang w:eastAsia="en-US"/>
    </w:rPr>
  </w:style>
  <w:style w:type="paragraph" w:styleId="Odstavecseseznamem">
    <w:name w:val="List Paragraph"/>
    <w:aliases w:val="odrážky,Nadpis pro KZ"/>
    <w:basedOn w:val="Normln"/>
    <w:link w:val="OdstavecseseznamemChar"/>
    <w:uiPriority w:val="34"/>
    <w:qFormat/>
    <w:rsid w:val="004C6055"/>
    <w:pPr>
      <w:ind w:left="720"/>
      <w:contextualSpacing/>
    </w:pPr>
    <w:rPr>
      <w:lang w:val="en-US"/>
    </w:rPr>
  </w:style>
  <w:style w:type="character" w:customStyle="1" w:styleId="OdstavecseseznamemChar">
    <w:name w:val="Odstavec se seznamem Char"/>
    <w:aliases w:val="odrážky Char,Nadpis pro KZ Char"/>
    <w:link w:val="Odstavecseseznamem"/>
    <w:uiPriority w:val="34"/>
    <w:locked/>
    <w:rsid w:val="00403AA8"/>
    <w:rPr>
      <w:rFonts w:ascii="Times New Roman" w:hAnsi="Times New Roman"/>
      <w:sz w:val="24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4C6055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Zkladntextodsazen2Char">
    <w:name w:val="Základní text odsazený 2 Char"/>
    <w:link w:val="Zkladntextodsazen2"/>
    <w:uiPriority w:val="99"/>
    <w:rsid w:val="004C605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60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6055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unhideWhenUsed/>
    <w:rsid w:val="004C6055"/>
    <w:rPr>
      <w:vertAlign w:val="superscript"/>
    </w:rPr>
  </w:style>
  <w:style w:type="table" w:styleId="Mkatabulky">
    <w:name w:val="Table Grid"/>
    <w:basedOn w:val="Normlntabulka"/>
    <w:uiPriority w:val="59"/>
    <w:rsid w:val="004C60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C605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4C6055"/>
    <w:rPr>
      <w:rFonts w:ascii="Times New Roman" w:eastAsia="Calibri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4C605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6055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E6B66"/>
    <w:pPr>
      <w:jc w:val="left"/>
    </w:pPr>
    <w:rPr>
      <w:rFonts w:eastAsia="Times New Roman"/>
      <w:szCs w:val="24"/>
    </w:rPr>
  </w:style>
  <w:style w:type="paragraph" w:customStyle="1" w:styleId="NadpisKZ">
    <w:name w:val="Nadpis KZ"/>
    <w:basedOn w:val="Zkladntext2"/>
    <w:rsid w:val="004E6B66"/>
  </w:style>
  <w:style w:type="paragraph" w:styleId="Zkladntext2">
    <w:name w:val="Body Text 2"/>
    <w:basedOn w:val="Normln"/>
    <w:link w:val="Zkladntext2Char"/>
    <w:uiPriority w:val="99"/>
    <w:semiHidden/>
    <w:unhideWhenUsed/>
    <w:rsid w:val="004E6B66"/>
    <w:pPr>
      <w:spacing w:after="120" w:line="480" w:lineRule="auto"/>
      <w:jc w:val="left"/>
    </w:pPr>
    <w:rPr>
      <w:rFonts w:eastAsia="Times New Roman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4E6B6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KZ">
    <w:name w:val="Normální KZ"/>
    <w:basedOn w:val="Normln"/>
    <w:rsid w:val="004E6B66"/>
    <w:pPr>
      <w:spacing w:after="120"/>
      <w:ind w:firstLine="425"/>
    </w:pPr>
    <w:rPr>
      <w:rFonts w:eastAsia="Times New Roman"/>
      <w:sz w:val="22"/>
      <w:szCs w:val="24"/>
      <w:lang w:eastAsia="cs-CZ"/>
    </w:rPr>
  </w:style>
  <w:style w:type="paragraph" w:styleId="Titulek">
    <w:name w:val="caption"/>
    <w:basedOn w:val="Normln"/>
    <w:next w:val="Normln"/>
    <w:uiPriority w:val="35"/>
    <w:qFormat/>
    <w:rsid w:val="004E6B66"/>
    <w:pPr>
      <w:spacing w:before="120" w:after="120"/>
      <w:jc w:val="left"/>
    </w:pPr>
    <w:rPr>
      <w:rFonts w:eastAsia="Times New Roman"/>
      <w:b/>
      <w:bCs/>
      <w:sz w:val="20"/>
      <w:szCs w:val="20"/>
      <w:lang w:eastAsia="cs-CZ"/>
    </w:rPr>
  </w:style>
  <w:style w:type="paragraph" w:customStyle="1" w:styleId="rove1">
    <w:name w:val="úroveň1"/>
    <w:basedOn w:val="Normln"/>
    <w:qFormat/>
    <w:rsid w:val="004E6B66"/>
    <w:pPr>
      <w:jc w:val="left"/>
      <w:outlineLvl w:val="0"/>
    </w:pPr>
    <w:rPr>
      <w:rFonts w:ascii="Arial" w:eastAsia="Times New Roman" w:hAnsi="Arial" w:cs="Arial"/>
      <w:b/>
      <w:sz w:val="28"/>
      <w:szCs w:val="24"/>
    </w:rPr>
  </w:style>
  <w:style w:type="character" w:styleId="Zvraznn">
    <w:name w:val="Emphasis"/>
    <w:uiPriority w:val="20"/>
    <w:qFormat/>
    <w:rsid w:val="004E6B66"/>
    <w:rPr>
      <w:b/>
      <w:bCs/>
      <w:i w:val="0"/>
      <w:iCs w:val="0"/>
    </w:rPr>
  </w:style>
  <w:style w:type="character" w:customStyle="1" w:styleId="st">
    <w:name w:val="st"/>
    <w:rsid w:val="004E6B66"/>
  </w:style>
  <w:style w:type="character" w:styleId="Odkaznakoment">
    <w:name w:val="annotation reference"/>
    <w:uiPriority w:val="99"/>
    <w:semiHidden/>
    <w:unhideWhenUsed/>
    <w:rsid w:val="004E6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6B66"/>
    <w:pPr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E6B6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B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6B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E6B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0">
    <w:name w:val="Norm‡ln’"/>
    <w:rsid w:val="004E6B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4E6B66"/>
    <w:pPr>
      <w:tabs>
        <w:tab w:val="center" w:pos="4536"/>
        <w:tab w:val="right" w:pos="9072"/>
      </w:tabs>
      <w:jc w:val="left"/>
    </w:pPr>
    <w:rPr>
      <w:rFonts w:eastAsia="Times New Roman"/>
      <w:szCs w:val="24"/>
    </w:rPr>
  </w:style>
  <w:style w:type="character" w:customStyle="1" w:styleId="ZhlavChar">
    <w:name w:val="Záhlaví Char"/>
    <w:link w:val="Zhlav"/>
    <w:uiPriority w:val="99"/>
    <w:rsid w:val="004E6B66"/>
    <w:rPr>
      <w:rFonts w:ascii="Times New Roman" w:eastAsia="Times New Roman" w:hAnsi="Times New Roman" w:cs="Times New Roman"/>
      <w:sz w:val="24"/>
      <w:szCs w:val="24"/>
    </w:rPr>
  </w:style>
  <w:style w:type="paragraph" w:customStyle="1" w:styleId="Bezmezer1">
    <w:name w:val="Bez mezer1"/>
    <w:aliases w:val="KP,No Spacing,Bez mezer11"/>
    <w:basedOn w:val="Normln"/>
    <w:uiPriority w:val="1"/>
    <w:qFormat/>
    <w:rsid w:val="004E6B66"/>
    <w:pPr>
      <w:spacing w:after="120"/>
      <w:ind w:firstLine="567"/>
    </w:pPr>
    <w:rPr>
      <w:rFonts w:ascii="Arial" w:eastAsia="Times New Roman" w:hAnsi="Arial" w:cs="Arial"/>
      <w:sz w:val="22"/>
    </w:rPr>
  </w:style>
  <w:style w:type="paragraph" w:customStyle="1" w:styleId="1rove">
    <w:name w:val="1. úroveň"/>
    <w:basedOn w:val="Normln"/>
    <w:qFormat/>
    <w:rsid w:val="00CC5B64"/>
    <w:pPr>
      <w:numPr>
        <w:numId w:val="2"/>
      </w:numPr>
      <w:spacing w:after="240"/>
      <w:ind w:left="567" w:hanging="567"/>
      <w:jc w:val="left"/>
      <w:outlineLvl w:val="0"/>
    </w:pPr>
    <w:rPr>
      <w:rFonts w:ascii="Arial" w:eastAsia="Times New Roman" w:hAnsi="Arial" w:cs="Arial"/>
      <w:b/>
      <w:szCs w:val="24"/>
    </w:rPr>
  </w:style>
  <w:style w:type="paragraph" w:customStyle="1" w:styleId="2rove">
    <w:name w:val="2. úroveň"/>
    <w:basedOn w:val="1rove"/>
    <w:qFormat/>
    <w:rsid w:val="00CC5B64"/>
    <w:pPr>
      <w:numPr>
        <w:ilvl w:val="1"/>
      </w:numPr>
      <w:spacing w:after="120"/>
      <w:ind w:left="794" w:hanging="794"/>
      <w:outlineLvl w:val="1"/>
    </w:pPr>
  </w:style>
  <w:style w:type="paragraph" w:customStyle="1" w:styleId="3rove">
    <w:name w:val="3. úroveň"/>
    <w:basedOn w:val="2rove"/>
    <w:qFormat/>
    <w:rsid w:val="00CC5B64"/>
    <w:pPr>
      <w:numPr>
        <w:ilvl w:val="2"/>
      </w:numPr>
      <w:outlineLvl w:val="2"/>
    </w:pPr>
  </w:style>
  <w:style w:type="paragraph" w:customStyle="1" w:styleId="4rove">
    <w:name w:val="4. úroveň"/>
    <w:basedOn w:val="3rove"/>
    <w:qFormat/>
    <w:rsid w:val="00CC5B64"/>
    <w:pPr>
      <w:numPr>
        <w:ilvl w:val="3"/>
      </w:numPr>
      <w:ind w:left="1247" w:hanging="1247"/>
    </w:pPr>
  </w:style>
  <w:style w:type="character" w:styleId="Hypertextovodkaz">
    <w:name w:val="Hyperlink"/>
    <w:uiPriority w:val="99"/>
    <w:rsid w:val="00403AA8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403AA8"/>
    <w:rPr>
      <w:rFonts w:ascii="Arial" w:eastAsia="Times New Roman" w:hAnsi="Arial" w:cs="Arial"/>
      <w:i/>
      <w:sz w:val="22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403AA8"/>
    <w:rPr>
      <w:rFonts w:ascii="Arial" w:eastAsia="Times New Roman" w:hAnsi="Arial" w:cs="Arial"/>
      <w:i/>
      <w:sz w:val="22"/>
      <w:szCs w:val="24"/>
    </w:rPr>
  </w:style>
  <w:style w:type="paragraph" w:styleId="Normlnodsazen">
    <w:name w:val="Normal Indent"/>
    <w:basedOn w:val="Normln"/>
    <w:uiPriority w:val="99"/>
    <w:rsid w:val="00403AA8"/>
    <w:pPr>
      <w:spacing w:line="360" w:lineRule="auto"/>
      <w:ind w:firstLine="720"/>
    </w:pPr>
    <w:rPr>
      <w:rFonts w:ascii="Arial" w:eastAsia="Times New Roman" w:hAnsi="Arial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03AA8"/>
    <w:pPr>
      <w:spacing w:line="276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03AA8"/>
    <w:pPr>
      <w:spacing w:after="100"/>
      <w:ind w:left="240"/>
      <w:jc w:val="left"/>
    </w:pPr>
    <w:rPr>
      <w:rFonts w:eastAsia="Times New Roman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403AA8"/>
    <w:pPr>
      <w:spacing w:after="100"/>
      <w:jc w:val="left"/>
    </w:pPr>
    <w:rPr>
      <w:rFonts w:eastAsia="Times New Roman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03AA8"/>
    <w:pPr>
      <w:spacing w:after="100"/>
      <w:ind w:left="480"/>
      <w:jc w:val="left"/>
    </w:pPr>
    <w:rPr>
      <w:rFonts w:eastAsia="Times New Roman"/>
      <w:szCs w:val="24"/>
    </w:rPr>
  </w:style>
  <w:style w:type="paragraph" w:customStyle="1" w:styleId="Default">
    <w:name w:val="Default"/>
    <w:rsid w:val="00403A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itace">
    <w:name w:val="citace"/>
    <w:basedOn w:val="Normln"/>
    <w:next w:val="Normln"/>
    <w:rsid w:val="00403AA8"/>
    <w:pPr>
      <w:spacing w:after="120"/>
      <w:ind w:firstLine="720"/>
    </w:pPr>
    <w:rPr>
      <w:rFonts w:ascii="Arial" w:eastAsia="Times New Roman" w:hAnsi="Arial"/>
      <w:i/>
      <w:sz w:val="22"/>
      <w:szCs w:val="24"/>
    </w:rPr>
  </w:style>
  <w:style w:type="paragraph" w:customStyle="1" w:styleId="PodnadpisI">
    <w:name w:val="Podnadpis I"/>
    <w:basedOn w:val="Normln"/>
    <w:qFormat/>
    <w:rsid w:val="00403AA8"/>
    <w:pPr>
      <w:numPr>
        <w:numId w:val="3"/>
      </w:numPr>
      <w:jc w:val="left"/>
    </w:pPr>
    <w:rPr>
      <w:rFonts w:ascii="Arial" w:eastAsia="Times New Roman" w:hAnsi="Arial"/>
      <w:b/>
      <w:sz w:val="22"/>
      <w:szCs w:val="24"/>
      <w:u w:val="single"/>
    </w:rPr>
  </w:style>
  <w:style w:type="paragraph" w:customStyle="1" w:styleId="CharChar1CharCharCharCharCharChar">
    <w:name w:val="Char Char1 Char Char Char Char Char Char"/>
    <w:basedOn w:val="Normln"/>
    <w:rsid w:val="00403AA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rozkazyChar">
    <w:name w:val="_rozkazy Char"/>
    <w:link w:val="rozkazy"/>
    <w:locked/>
    <w:rsid w:val="00403AA8"/>
  </w:style>
  <w:style w:type="paragraph" w:customStyle="1" w:styleId="rozkazy">
    <w:name w:val="_rozkazy"/>
    <w:basedOn w:val="Normln"/>
    <w:link w:val="rozkazyChar"/>
    <w:rsid w:val="00403AA8"/>
    <w:pPr>
      <w:spacing w:after="120" w:line="288" w:lineRule="auto"/>
      <w:ind w:firstLine="567"/>
    </w:pPr>
    <w:rPr>
      <w:rFonts w:ascii="Calibri" w:hAnsi="Calibri"/>
      <w:sz w:val="20"/>
      <w:szCs w:val="20"/>
      <w:lang w:eastAsia="cs-CZ"/>
    </w:rPr>
  </w:style>
  <w:style w:type="character" w:styleId="Sledovanodkaz">
    <w:name w:val="FollowedHyperlink"/>
    <w:semiHidden/>
    <w:rsid w:val="00DB3700"/>
    <w:rPr>
      <w:color w:val="800080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DB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DB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704B63"/>
    <w:rPr>
      <w:b/>
    </w:rPr>
  </w:style>
  <w:style w:type="paragraph" w:customStyle="1" w:styleId="Pa10">
    <w:name w:val="Pa10"/>
    <w:basedOn w:val="Default"/>
    <w:next w:val="Default"/>
    <w:uiPriority w:val="99"/>
    <w:rsid w:val="00E15CC1"/>
    <w:pPr>
      <w:spacing w:line="191" w:lineRule="atLeast"/>
    </w:pPr>
    <w:rPr>
      <w:rFonts w:ascii="Arial" w:eastAsia="Calibri" w:hAnsi="Arial" w:cs="Arial"/>
      <w:color w:val="auto"/>
      <w:lang w:eastAsia="cs-CZ"/>
    </w:rPr>
  </w:style>
  <w:style w:type="paragraph" w:customStyle="1" w:styleId="Pa26">
    <w:name w:val="Pa26"/>
    <w:basedOn w:val="Default"/>
    <w:next w:val="Default"/>
    <w:uiPriority w:val="99"/>
    <w:rsid w:val="00E15CC1"/>
    <w:pPr>
      <w:spacing w:line="191" w:lineRule="atLeast"/>
    </w:pPr>
    <w:rPr>
      <w:rFonts w:ascii="Arial" w:eastAsia="Calibri" w:hAnsi="Arial" w:cs="Arial"/>
      <w:color w:val="auto"/>
      <w:lang w:eastAsia="cs-CZ"/>
    </w:rPr>
  </w:style>
  <w:style w:type="character" w:customStyle="1" w:styleId="A7">
    <w:name w:val="A7"/>
    <w:uiPriority w:val="99"/>
    <w:rsid w:val="00E15CC1"/>
    <w:rPr>
      <w:color w:val="000000"/>
      <w:sz w:val="19"/>
      <w:szCs w:val="19"/>
    </w:rPr>
  </w:style>
  <w:style w:type="character" w:customStyle="1" w:styleId="A5">
    <w:name w:val="A5"/>
    <w:uiPriority w:val="99"/>
    <w:rsid w:val="00E15CC1"/>
    <w:rPr>
      <w:color w:val="000000"/>
      <w:sz w:val="11"/>
      <w:szCs w:val="11"/>
    </w:rPr>
  </w:style>
  <w:style w:type="paragraph" w:customStyle="1" w:styleId="Pa31">
    <w:name w:val="Pa31"/>
    <w:basedOn w:val="Default"/>
    <w:next w:val="Default"/>
    <w:uiPriority w:val="99"/>
    <w:rsid w:val="00E15CC1"/>
    <w:pPr>
      <w:spacing w:line="191" w:lineRule="atLeast"/>
    </w:pPr>
    <w:rPr>
      <w:rFonts w:ascii="Arial" w:eastAsia="Calibri" w:hAnsi="Arial" w:cs="Arial"/>
      <w:color w:val="auto"/>
      <w:lang w:eastAsia="cs-CZ"/>
    </w:rPr>
  </w:style>
  <w:style w:type="character" w:customStyle="1" w:styleId="A9">
    <w:name w:val="A9"/>
    <w:uiPriority w:val="99"/>
    <w:rsid w:val="00F50801"/>
    <w:rPr>
      <w:color w:val="000000"/>
      <w:sz w:val="12"/>
      <w:szCs w:val="12"/>
    </w:rPr>
  </w:style>
  <w:style w:type="paragraph" w:customStyle="1" w:styleId="rove4">
    <w:name w:val="úroveň4"/>
    <w:basedOn w:val="Normln"/>
    <w:qFormat/>
    <w:rsid w:val="00A012C8"/>
    <w:pPr>
      <w:outlineLvl w:val="3"/>
    </w:pPr>
    <w:rPr>
      <w:rFonts w:ascii="Arial" w:eastAsia="Times New Roman" w:hAnsi="Arial" w:cs="Arial"/>
      <w:szCs w:val="24"/>
    </w:rPr>
  </w:style>
  <w:style w:type="paragraph" w:customStyle="1" w:styleId="Pa24">
    <w:name w:val="Pa24"/>
    <w:basedOn w:val="Default"/>
    <w:next w:val="Default"/>
    <w:uiPriority w:val="99"/>
    <w:rsid w:val="00540DA5"/>
    <w:pPr>
      <w:spacing w:line="221" w:lineRule="atLeast"/>
    </w:pPr>
    <w:rPr>
      <w:rFonts w:ascii="Arial" w:eastAsia="Calibri" w:hAnsi="Arial" w:cs="Arial"/>
      <w:color w:val="auto"/>
      <w:lang w:eastAsia="cs-CZ"/>
    </w:rPr>
  </w:style>
  <w:style w:type="paragraph" w:customStyle="1" w:styleId="Pa13">
    <w:name w:val="Pa13"/>
    <w:basedOn w:val="Default"/>
    <w:next w:val="Default"/>
    <w:uiPriority w:val="99"/>
    <w:rsid w:val="00540DA5"/>
    <w:pPr>
      <w:spacing w:line="191" w:lineRule="atLeast"/>
    </w:pPr>
    <w:rPr>
      <w:rFonts w:ascii="Arial" w:eastAsia="Calibri" w:hAnsi="Arial" w:cs="Arial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itor.statnipoklad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D22FFA-90C7-44B6-8B13-47FF16F4656E}"/>
</file>

<file path=customXml/itemProps2.xml><?xml version="1.0" encoding="utf-8"?>
<ds:datastoreItem xmlns:ds="http://schemas.openxmlformats.org/officeDocument/2006/customXml" ds:itemID="{76BFB1D3-BA26-4165-9363-9284C0110389}"/>
</file>

<file path=customXml/itemProps3.xml><?xml version="1.0" encoding="utf-8"?>
<ds:datastoreItem xmlns:ds="http://schemas.openxmlformats.org/officeDocument/2006/customXml" ds:itemID="{09B1465C-0CFF-4A6B-AA34-89942CA31298}"/>
</file>

<file path=customXml/itemProps4.xml><?xml version="1.0" encoding="utf-8"?>
<ds:datastoreItem xmlns:ds="http://schemas.openxmlformats.org/officeDocument/2006/customXml" ds:itemID="{4BF86F1A-70D4-4875-B875-26CD001D1E14}"/>
</file>

<file path=docProps/app.xml><?xml version="1.0" encoding="utf-8"?>
<Properties xmlns="http://schemas.openxmlformats.org/officeDocument/2006/extended-properties" xmlns:vt="http://schemas.openxmlformats.org/officeDocument/2006/docPropsVTypes">
  <Template>7B568D2E</Template>
  <TotalTime>1443</TotalTime>
  <Pages>18</Pages>
  <Words>7385</Words>
  <Characters>43577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50861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http://www.monitor.statnipokladna/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13/39</dc:title>
  <dc:creator>BIEDERMANNOVÁ Miroslava</dc:creator>
  <cp:lastModifiedBy>POKORNÁ Jana</cp:lastModifiedBy>
  <cp:revision>92</cp:revision>
  <cp:lastPrinted>2014-09-30T11:53:00Z</cp:lastPrinted>
  <dcterms:created xsi:type="dcterms:W3CDTF">2014-09-08T13:12:00Z</dcterms:created>
  <dcterms:modified xsi:type="dcterms:W3CDTF">2014-09-30T12:05:00Z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