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B" w:rsidRPr="00326D76" w:rsidRDefault="00326D76" w:rsidP="00326D76">
      <w:pPr>
        <w:jc w:val="center"/>
        <w:rPr>
          <w:sz w:val="22"/>
          <w:szCs w:val="22"/>
        </w:rPr>
      </w:pPr>
      <w:r w:rsidRPr="00326D7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524A09" wp14:editId="43EF2D3C">
            <wp:simplePos x="0" y="0"/>
            <wp:positionH relativeFrom="column">
              <wp:posOffset>2487930</wp:posOffset>
            </wp:positionH>
            <wp:positionV relativeFrom="paragraph">
              <wp:posOffset>18415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86B" w:rsidRPr="00326D76" w:rsidRDefault="00B5686B" w:rsidP="00B72645">
      <w:pPr>
        <w:rPr>
          <w:sz w:val="22"/>
          <w:szCs w:val="22"/>
        </w:rPr>
      </w:pPr>
    </w:p>
    <w:p w:rsidR="00B5686B" w:rsidRPr="0038127E" w:rsidRDefault="00B5686B" w:rsidP="00326D76">
      <w:pPr>
        <w:pStyle w:val="Nadpis9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38127E">
        <w:rPr>
          <w:rFonts w:ascii="Arial" w:hAnsi="Arial" w:cs="Arial"/>
          <w:b/>
          <w:sz w:val="24"/>
          <w:szCs w:val="24"/>
        </w:rPr>
        <w:t>Kontrolní závěr z kontrolní akce</w:t>
      </w:r>
    </w:p>
    <w:p w:rsidR="00B5686B" w:rsidRPr="0038127E" w:rsidRDefault="00B5686B" w:rsidP="00326D76">
      <w:pPr>
        <w:jc w:val="center"/>
      </w:pPr>
    </w:p>
    <w:p w:rsidR="00B5686B" w:rsidRPr="0038127E" w:rsidRDefault="00B5686B" w:rsidP="00326D76">
      <w:pPr>
        <w:ind w:right="68"/>
        <w:jc w:val="center"/>
        <w:rPr>
          <w:rFonts w:cs="Arial"/>
          <w:b/>
          <w:bCs/>
        </w:rPr>
      </w:pPr>
      <w:r w:rsidRPr="0038127E">
        <w:rPr>
          <w:rFonts w:cs="Arial"/>
          <w:b/>
          <w:bCs/>
        </w:rPr>
        <w:t>14/03</w:t>
      </w:r>
    </w:p>
    <w:p w:rsidR="00AF40A8" w:rsidRPr="0038127E" w:rsidRDefault="00AF40A8" w:rsidP="00326D76">
      <w:pPr>
        <w:ind w:right="68"/>
        <w:jc w:val="center"/>
        <w:rPr>
          <w:rFonts w:cs="Arial"/>
          <w:b/>
          <w:bCs/>
        </w:rPr>
      </w:pPr>
    </w:p>
    <w:p w:rsidR="00B5686B" w:rsidRPr="0038127E" w:rsidRDefault="00B5686B" w:rsidP="00326D76">
      <w:pPr>
        <w:jc w:val="center"/>
        <w:rPr>
          <w:rFonts w:cs="Arial"/>
          <w:b/>
        </w:rPr>
      </w:pPr>
      <w:r w:rsidRPr="0038127E">
        <w:rPr>
          <w:rFonts w:cs="Arial"/>
          <w:b/>
        </w:rPr>
        <w:t>Peněžní prostředky určené</w:t>
      </w:r>
    </w:p>
    <w:p w:rsidR="00B5686B" w:rsidRPr="0038127E" w:rsidRDefault="00B5686B" w:rsidP="00326D76">
      <w:pPr>
        <w:jc w:val="center"/>
        <w:rPr>
          <w:rFonts w:cs="Arial"/>
          <w:b/>
          <w:noProof/>
          <w:color w:val="000000"/>
        </w:rPr>
      </w:pPr>
      <w:r w:rsidRPr="0038127E">
        <w:rPr>
          <w:rFonts w:cs="Arial"/>
          <w:b/>
        </w:rPr>
        <w:t xml:space="preserve">na </w:t>
      </w:r>
      <w:r w:rsidRPr="0038127E">
        <w:rPr>
          <w:rFonts w:cs="Arial"/>
          <w:b/>
          <w:noProof/>
          <w:color w:val="000000"/>
        </w:rPr>
        <w:t>rozvoj a modernizaci vodních cest a přístavů</w:t>
      </w:r>
    </w:p>
    <w:p w:rsidR="00B5686B" w:rsidRPr="0038127E" w:rsidRDefault="00B5686B" w:rsidP="00326D76">
      <w:pPr>
        <w:jc w:val="center"/>
        <w:rPr>
          <w:rFonts w:cs="Arial"/>
          <w:b/>
        </w:rPr>
      </w:pPr>
      <w:r w:rsidRPr="0038127E">
        <w:rPr>
          <w:rFonts w:cs="Arial"/>
          <w:b/>
          <w:noProof/>
          <w:color w:val="000000"/>
        </w:rPr>
        <w:t>a na podporu multimodální nákladní přepravy</w:t>
      </w:r>
    </w:p>
    <w:p w:rsidR="00B5686B" w:rsidRPr="00326D76" w:rsidRDefault="00B5686B" w:rsidP="00326D76">
      <w:pPr>
        <w:jc w:val="both"/>
        <w:rPr>
          <w:rFonts w:cs="Arial"/>
          <w:sz w:val="22"/>
          <w:szCs w:val="22"/>
        </w:rPr>
      </w:pPr>
    </w:p>
    <w:p w:rsidR="00B5686B" w:rsidRPr="00326D76" w:rsidRDefault="00B5686B" w:rsidP="00326D76">
      <w:pPr>
        <w:jc w:val="both"/>
        <w:rPr>
          <w:rFonts w:cs="Arial"/>
          <w:sz w:val="22"/>
          <w:szCs w:val="22"/>
        </w:rPr>
      </w:pPr>
    </w:p>
    <w:p w:rsidR="00326D76" w:rsidRDefault="00B5686B" w:rsidP="00326D76">
      <w:pPr>
        <w:pStyle w:val="Zkladn"/>
        <w:spacing w:before="0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 xml:space="preserve">Kontrolní akce byla zařazena do plánu kontrolní činnosti Nejvyššího kontrolního úřadu (dále také „NKÚ“) na rok 2014 pod číslem 14/03. Kontrolní akci řídil a kontrolní závěr vypracoval člen NKÚ Ing. Karel </w:t>
      </w:r>
      <w:proofErr w:type="spellStart"/>
      <w:r w:rsidRPr="005F4D95">
        <w:rPr>
          <w:rFonts w:cs="Arial"/>
          <w:sz w:val="22"/>
          <w:szCs w:val="22"/>
        </w:rPr>
        <w:t>Sehoř</w:t>
      </w:r>
      <w:proofErr w:type="spellEnd"/>
      <w:r w:rsidRPr="005F4D95">
        <w:rPr>
          <w:rFonts w:cs="Arial"/>
          <w:sz w:val="22"/>
          <w:szCs w:val="22"/>
        </w:rPr>
        <w:t>.</w:t>
      </w:r>
    </w:p>
    <w:p w:rsidR="00B5686B" w:rsidRPr="005F4D95" w:rsidRDefault="00B5686B" w:rsidP="00326D76">
      <w:pPr>
        <w:pStyle w:val="Zkladn"/>
        <w:spacing w:before="0"/>
        <w:rPr>
          <w:rFonts w:cs="Arial"/>
          <w:sz w:val="22"/>
          <w:szCs w:val="22"/>
        </w:rPr>
      </w:pPr>
    </w:p>
    <w:p w:rsidR="00B5686B" w:rsidRDefault="00B5686B" w:rsidP="00326D76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 xml:space="preserve">Cílem kontroly bylo prověřit </w:t>
      </w:r>
      <w:r w:rsidR="002E615F">
        <w:rPr>
          <w:rFonts w:cs="Arial"/>
          <w:sz w:val="22"/>
          <w:szCs w:val="22"/>
        </w:rPr>
        <w:t xml:space="preserve">poskytování, čerpání a </w:t>
      </w:r>
      <w:r w:rsidR="00CA2AA1">
        <w:rPr>
          <w:rFonts w:cs="Arial"/>
          <w:sz w:val="22"/>
          <w:szCs w:val="22"/>
        </w:rPr>
        <w:t>použití</w:t>
      </w:r>
      <w:r w:rsidR="004C5D1B">
        <w:rPr>
          <w:rFonts w:cs="Arial"/>
          <w:sz w:val="22"/>
          <w:szCs w:val="22"/>
        </w:rPr>
        <w:t xml:space="preserve"> </w:t>
      </w:r>
      <w:r w:rsidR="00CA2AA1">
        <w:rPr>
          <w:rFonts w:cs="Arial"/>
          <w:sz w:val="22"/>
          <w:szCs w:val="22"/>
        </w:rPr>
        <w:t xml:space="preserve">peněžních prostředků určených na </w:t>
      </w:r>
      <w:r w:rsidRPr="005F4D95">
        <w:rPr>
          <w:rFonts w:cs="Arial"/>
          <w:sz w:val="22"/>
          <w:szCs w:val="22"/>
        </w:rPr>
        <w:t>rozvoj a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modernizaci vodních cest a přístavů a na podporu multimodální nákladní přepravy a dále prověřit spolehlivost a účinnost řídicího a kontrolního systému operačního programu </w:t>
      </w:r>
      <w:r w:rsidRPr="00604ED5">
        <w:rPr>
          <w:rFonts w:cs="Arial"/>
          <w:i/>
          <w:sz w:val="22"/>
          <w:szCs w:val="22"/>
        </w:rPr>
        <w:t>Doprava</w:t>
      </w:r>
      <w:r w:rsidRPr="005F4D95">
        <w:rPr>
          <w:rStyle w:val="Znakapoznpodarou"/>
          <w:rFonts w:cs="Arial"/>
          <w:sz w:val="22"/>
          <w:szCs w:val="22"/>
        </w:rPr>
        <w:footnoteReference w:id="1"/>
      </w:r>
      <w:r w:rsidRPr="005F4D95">
        <w:rPr>
          <w:rFonts w:cs="Arial"/>
          <w:sz w:val="22"/>
          <w:szCs w:val="22"/>
        </w:rPr>
        <w:t xml:space="preserve"> (dále také „OPD“).</w:t>
      </w:r>
    </w:p>
    <w:p w:rsidR="00326D76" w:rsidRPr="005F4D95" w:rsidRDefault="00326D76" w:rsidP="00326D76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Kontrola byla prováděna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době od ledna do srpna 2014.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Kontrolovaným obdobím bylo období od roku 2009 do doby ukončení kontroly,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případě věcných souvislostí i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období předchozí.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326D76">
      <w:pPr>
        <w:pStyle w:val="Zkladn"/>
        <w:spacing w:before="0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Kontrolované osoby:</w:t>
      </w:r>
    </w:p>
    <w:p w:rsidR="00B5686B" w:rsidRDefault="00B5686B" w:rsidP="00326D76">
      <w:pPr>
        <w:pStyle w:val="Zkladn"/>
        <w:spacing w:before="0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Ministerstvo dopravy (dále také „MD“); Státní fond dopravní infrastruktury</w:t>
      </w:r>
      <w:r w:rsidR="002E615F">
        <w:rPr>
          <w:rFonts w:cs="Arial"/>
          <w:sz w:val="22"/>
          <w:szCs w:val="22"/>
        </w:rPr>
        <w:t>, Praha</w:t>
      </w:r>
      <w:r w:rsidR="007813AA">
        <w:rPr>
          <w:rFonts w:cs="Arial"/>
          <w:sz w:val="22"/>
          <w:szCs w:val="22"/>
        </w:rPr>
        <w:t>,</w:t>
      </w:r>
      <w:r w:rsidRPr="005F4D95">
        <w:rPr>
          <w:rFonts w:cs="Arial"/>
          <w:sz w:val="22"/>
          <w:szCs w:val="22"/>
        </w:rPr>
        <w:t xml:space="preserve"> (dále </w:t>
      </w:r>
      <w:r w:rsidR="007813AA">
        <w:rPr>
          <w:rFonts w:cs="Arial"/>
          <w:sz w:val="22"/>
          <w:szCs w:val="22"/>
        </w:rPr>
        <w:t>jen</w:t>
      </w:r>
      <w:r w:rsidRPr="005F4D95">
        <w:rPr>
          <w:rFonts w:cs="Arial"/>
          <w:sz w:val="22"/>
          <w:szCs w:val="22"/>
        </w:rPr>
        <w:t xml:space="preserve"> „SFDI“); Ředitelství vodních cest ČR </w:t>
      </w:r>
      <w:r w:rsidR="002E615F">
        <w:rPr>
          <w:rFonts w:cs="Arial"/>
          <w:sz w:val="22"/>
          <w:szCs w:val="22"/>
        </w:rPr>
        <w:t>(ve zkratce ŘVC ČR), Praha</w:t>
      </w:r>
      <w:r w:rsidR="007813AA">
        <w:rPr>
          <w:rFonts w:cs="Arial"/>
          <w:sz w:val="22"/>
          <w:szCs w:val="22"/>
        </w:rPr>
        <w:t>,</w:t>
      </w:r>
      <w:r w:rsidR="002E615F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(dále </w:t>
      </w:r>
      <w:r w:rsidR="007813AA">
        <w:rPr>
          <w:rFonts w:cs="Arial"/>
          <w:sz w:val="22"/>
          <w:szCs w:val="22"/>
        </w:rPr>
        <w:t>jen</w:t>
      </w:r>
      <w:r w:rsidRPr="005F4D95">
        <w:rPr>
          <w:rFonts w:cs="Arial"/>
          <w:sz w:val="22"/>
          <w:szCs w:val="22"/>
        </w:rPr>
        <w:t xml:space="preserve"> „ŘVC“).</w:t>
      </w:r>
    </w:p>
    <w:p w:rsidR="00326D76" w:rsidRPr="005F4D95" w:rsidRDefault="00326D76" w:rsidP="00326D76">
      <w:pPr>
        <w:pStyle w:val="Zkladn"/>
        <w:spacing w:before="0"/>
        <w:rPr>
          <w:rFonts w:cs="Arial"/>
          <w:sz w:val="22"/>
          <w:szCs w:val="22"/>
        </w:rPr>
      </w:pPr>
    </w:p>
    <w:p w:rsidR="00B5686B" w:rsidRPr="005F4D95" w:rsidRDefault="00B5686B" w:rsidP="00326D7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Námitky proti kontrolnímu protokolu, které podaly MD, SFDI a ŘVC</w:t>
      </w:r>
      <w:r w:rsidR="00132D01">
        <w:rPr>
          <w:rFonts w:cs="Arial"/>
          <w:sz w:val="22"/>
          <w:szCs w:val="22"/>
        </w:rPr>
        <w:t>,</w:t>
      </w:r>
      <w:r w:rsidRPr="005F4D95">
        <w:rPr>
          <w:rFonts w:cs="Arial"/>
          <w:sz w:val="22"/>
          <w:szCs w:val="22"/>
        </w:rPr>
        <w:t xml:space="preserve"> byly vypořádány vedoucími skupin kontrolujících rozhodnutími o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námitkách. </w:t>
      </w:r>
      <w:r w:rsidRPr="000F4E4E">
        <w:rPr>
          <w:rFonts w:cs="Arial"/>
          <w:sz w:val="22"/>
          <w:szCs w:val="22"/>
        </w:rPr>
        <w:t>Odvolání proti rozhodnutí o</w:t>
      </w:r>
      <w:r w:rsidR="006764CC">
        <w:rPr>
          <w:rFonts w:cs="Arial"/>
          <w:sz w:val="22"/>
          <w:szCs w:val="22"/>
        </w:rPr>
        <w:t> </w:t>
      </w:r>
      <w:r w:rsidRPr="000F4E4E">
        <w:rPr>
          <w:rFonts w:cs="Arial"/>
          <w:sz w:val="22"/>
          <w:szCs w:val="22"/>
        </w:rPr>
        <w:t>námitkách, kter</w:t>
      </w:r>
      <w:r w:rsidR="00A01293">
        <w:rPr>
          <w:rFonts w:cs="Arial"/>
          <w:sz w:val="22"/>
          <w:szCs w:val="22"/>
        </w:rPr>
        <w:t>é</w:t>
      </w:r>
      <w:r w:rsidRPr="000F4E4E">
        <w:rPr>
          <w:rFonts w:cs="Arial"/>
          <w:sz w:val="22"/>
          <w:szCs w:val="22"/>
        </w:rPr>
        <w:t xml:space="preserve"> podalo MD, bylo vypořádáno usnesením Kolegia NKÚ.</w:t>
      </w:r>
      <w:r w:rsidR="0047344C">
        <w:rPr>
          <w:rFonts w:cs="Arial"/>
          <w:sz w:val="22"/>
          <w:szCs w:val="22"/>
        </w:rPr>
        <w:t xml:space="preserve"> Jedno odvolání proti rozhodnutí o námitkách bylo podáno po marném uplynutí zákonem stanovené lhůty. </w:t>
      </w:r>
    </w:p>
    <w:p w:rsidR="002F2630" w:rsidRDefault="002F2630" w:rsidP="00326D76">
      <w:pPr>
        <w:ind w:right="70"/>
        <w:jc w:val="both"/>
        <w:rPr>
          <w:rFonts w:cs="Arial"/>
          <w:sz w:val="22"/>
          <w:szCs w:val="22"/>
        </w:rPr>
      </w:pPr>
    </w:p>
    <w:p w:rsidR="00B5686B" w:rsidRPr="005F4D95" w:rsidRDefault="007813AA" w:rsidP="00326D76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7813AA">
        <w:rPr>
          <w:rFonts w:cs="Arial"/>
          <w:b/>
          <w:bCs/>
          <w:i/>
          <w:iCs/>
          <w:spacing w:val="60"/>
          <w:sz w:val="22"/>
          <w:szCs w:val="22"/>
        </w:rPr>
        <w:t>Kolegiu</w:t>
      </w:r>
      <w:r w:rsidR="00B5686B" w:rsidRPr="007813AA">
        <w:rPr>
          <w:rFonts w:cs="Arial"/>
          <w:b/>
          <w:bCs/>
          <w:i/>
          <w:iCs/>
          <w:spacing w:val="60"/>
          <w:sz w:val="22"/>
          <w:szCs w:val="22"/>
        </w:rPr>
        <w:t>m</w:t>
      </w:r>
      <w:r w:rsidR="00B5686B" w:rsidRPr="005F4D95">
        <w:rPr>
          <w:rFonts w:cs="Arial"/>
          <w:sz w:val="22"/>
          <w:szCs w:val="22"/>
        </w:rPr>
        <w:t xml:space="preserve">   </w:t>
      </w:r>
      <w:r w:rsidRPr="007813AA">
        <w:rPr>
          <w:rFonts w:cs="Arial"/>
          <w:b/>
          <w:bCs/>
          <w:i/>
          <w:iCs/>
          <w:spacing w:val="60"/>
          <w:sz w:val="22"/>
          <w:szCs w:val="22"/>
        </w:rPr>
        <w:t>NK</w:t>
      </w:r>
      <w:r w:rsidR="00B5686B" w:rsidRPr="007813AA">
        <w:rPr>
          <w:rFonts w:cs="Arial"/>
          <w:b/>
          <w:bCs/>
          <w:i/>
          <w:iCs/>
          <w:spacing w:val="60"/>
          <w:sz w:val="22"/>
          <w:szCs w:val="22"/>
        </w:rPr>
        <w:t>Ú</w:t>
      </w:r>
      <w:proofErr w:type="gramEnd"/>
      <w:r w:rsidR="00B5686B" w:rsidRPr="005F4D95">
        <w:rPr>
          <w:rFonts w:cs="Arial"/>
          <w:b/>
          <w:bCs/>
          <w:i/>
          <w:iCs/>
          <w:sz w:val="22"/>
          <w:szCs w:val="22"/>
        </w:rPr>
        <w:t xml:space="preserve">  </w:t>
      </w:r>
      <w:r w:rsidR="00B5686B" w:rsidRPr="005F4D95">
        <w:rPr>
          <w:rFonts w:cs="Arial"/>
          <w:b/>
          <w:bCs/>
          <w:iCs/>
          <w:sz w:val="22"/>
          <w:szCs w:val="22"/>
        </w:rPr>
        <w:t xml:space="preserve"> </w:t>
      </w:r>
      <w:r w:rsidR="00B5686B" w:rsidRPr="005F4D95">
        <w:rPr>
          <w:rFonts w:cs="Arial"/>
          <w:sz w:val="22"/>
          <w:szCs w:val="22"/>
        </w:rPr>
        <w:t xml:space="preserve">na svém </w:t>
      </w:r>
      <w:r w:rsidR="00EC4623">
        <w:rPr>
          <w:rFonts w:cs="Arial"/>
          <w:sz w:val="22"/>
          <w:szCs w:val="22"/>
        </w:rPr>
        <w:t>XVI. jednání</w:t>
      </w:r>
      <w:r w:rsidR="00B5686B" w:rsidRPr="005F4D95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které se konalo</w:t>
      </w:r>
      <w:r w:rsidR="00B5686B" w:rsidRPr="005F4D95">
        <w:rPr>
          <w:rFonts w:cs="Arial"/>
          <w:sz w:val="22"/>
          <w:szCs w:val="22"/>
        </w:rPr>
        <w:t xml:space="preserve"> dne</w:t>
      </w:r>
      <w:r w:rsidR="00EC4623">
        <w:rPr>
          <w:rFonts w:cs="Arial"/>
          <w:sz w:val="22"/>
          <w:szCs w:val="22"/>
        </w:rPr>
        <w:t xml:space="preserve"> 6. října </w:t>
      </w:r>
      <w:r w:rsidR="00B5686B" w:rsidRPr="005F4D95">
        <w:rPr>
          <w:rFonts w:cs="Arial"/>
          <w:sz w:val="22"/>
          <w:szCs w:val="22"/>
        </w:rPr>
        <w:t>2014,</w:t>
      </w:r>
    </w:p>
    <w:p w:rsidR="00B5686B" w:rsidRPr="005F4D95" w:rsidRDefault="00B5686B" w:rsidP="00326D76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7813AA">
        <w:rPr>
          <w:rFonts w:cs="Arial"/>
          <w:b/>
          <w:bCs/>
          <w:i/>
          <w:iCs/>
          <w:spacing w:val="60"/>
          <w:sz w:val="22"/>
          <w:szCs w:val="22"/>
        </w:rPr>
        <w:t>schválilo</w:t>
      </w:r>
      <w:r w:rsidRPr="005F4D95">
        <w:rPr>
          <w:rFonts w:cs="Arial"/>
          <w:sz w:val="22"/>
          <w:szCs w:val="22"/>
        </w:rPr>
        <w:t xml:space="preserve">   usnesením</w:t>
      </w:r>
      <w:proofErr w:type="gramEnd"/>
      <w:r w:rsidRPr="005F4D95">
        <w:rPr>
          <w:rFonts w:cs="Arial"/>
          <w:sz w:val="22"/>
          <w:szCs w:val="22"/>
        </w:rPr>
        <w:t xml:space="preserve"> č. </w:t>
      </w:r>
      <w:r w:rsidR="00AC7CB6">
        <w:rPr>
          <w:rFonts w:cs="Arial"/>
          <w:sz w:val="22"/>
          <w:szCs w:val="22"/>
        </w:rPr>
        <w:t>10</w:t>
      </w:r>
      <w:r w:rsidRPr="005F4D95">
        <w:rPr>
          <w:rFonts w:cs="Arial"/>
          <w:sz w:val="22"/>
          <w:szCs w:val="22"/>
        </w:rPr>
        <w:t>/</w:t>
      </w:r>
      <w:r w:rsidR="00EC4623">
        <w:rPr>
          <w:rFonts w:cs="Arial"/>
          <w:sz w:val="22"/>
          <w:szCs w:val="22"/>
        </w:rPr>
        <w:t>XVI</w:t>
      </w:r>
      <w:r w:rsidRPr="005F4D95">
        <w:rPr>
          <w:rFonts w:cs="Arial"/>
          <w:sz w:val="22"/>
          <w:szCs w:val="22"/>
        </w:rPr>
        <w:t>/2014</w:t>
      </w:r>
    </w:p>
    <w:p w:rsidR="00B5686B" w:rsidRDefault="00B5686B" w:rsidP="00326D76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5F4D95">
        <w:rPr>
          <w:rFonts w:cs="Arial"/>
          <w:b/>
          <w:bCs/>
          <w:i/>
          <w:iCs/>
          <w:spacing w:val="60"/>
          <w:sz w:val="22"/>
          <w:szCs w:val="22"/>
        </w:rPr>
        <w:t>kontrolní</w:t>
      </w:r>
      <w:r w:rsidRPr="00DF2A6F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DF2A6F">
        <w:rPr>
          <w:rFonts w:cs="Arial"/>
          <w:b/>
          <w:bCs/>
          <w:i/>
          <w:iCs/>
          <w:sz w:val="22"/>
          <w:szCs w:val="22"/>
        </w:rPr>
        <w:t xml:space="preserve">  </w:t>
      </w:r>
      <w:r w:rsidRPr="005F4D95">
        <w:rPr>
          <w:rFonts w:cs="Arial"/>
          <w:b/>
          <w:bCs/>
          <w:i/>
          <w:iCs/>
          <w:spacing w:val="60"/>
          <w:sz w:val="22"/>
          <w:szCs w:val="22"/>
        </w:rPr>
        <w:t>závěr</w:t>
      </w:r>
      <w:proofErr w:type="gramEnd"/>
      <w:r w:rsidRPr="005F4D95">
        <w:rPr>
          <w:rFonts w:cs="Arial"/>
          <w:sz w:val="22"/>
          <w:szCs w:val="22"/>
        </w:rPr>
        <w:t xml:space="preserve">   v tomto znění:</w:t>
      </w:r>
    </w:p>
    <w:p w:rsidR="00326D76" w:rsidRDefault="00326D76" w:rsidP="00326D76">
      <w:pPr>
        <w:rPr>
          <w:sz w:val="22"/>
          <w:szCs w:val="22"/>
        </w:rPr>
      </w:pPr>
    </w:p>
    <w:p w:rsidR="0010795A" w:rsidRPr="0010795A" w:rsidRDefault="0010795A" w:rsidP="00326D76">
      <w:pPr>
        <w:rPr>
          <w:sz w:val="22"/>
          <w:szCs w:val="22"/>
        </w:rPr>
      </w:pPr>
    </w:p>
    <w:p w:rsidR="00AF40A8" w:rsidRDefault="00AF40A8" w:rsidP="00326D76">
      <w:r>
        <w:br w:type="page"/>
      </w:r>
    </w:p>
    <w:p w:rsidR="00B5686B" w:rsidRPr="00326D76" w:rsidRDefault="00B5686B" w:rsidP="00326D76">
      <w:pPr>
        <w:jc w:val="center"/>
        <w:rPr>
          <w:b/>
        </w:rPr>
      </w:pPr>
      <w:r w:rsidRPr="00326D76">
        <w:rPr>
          <w:b/>
        </w:rPr>
        <w:lastRenderedPageBreak/>
        <w:t>I. Úvod do problematiky a vymezení pojmů</w:t>
      </w:r>
    </w:p>
    <w:p w:rsidR="00326D76" w:rsidRPr="00326D76" w:rsidRDefault="00326D76" w:rsidP="00326D76">
      <w:pPr>
        <w:jc w:val="both"/>
        <w:rPr>
          <w:sz w:val="22"/>
          <w:szCs w:val="22"/>
        </w:rPr>
      </w:pPr>
    </w:p>
    <w:p w:rsidR="00B5686B" w:rsidRDefault="00B5686B" w:rsidP="00326D76">
      <w:pPr>
        <w:jc w:val="both"/>
        <w:rPr>
          <w:sz w:val="22"/>
          <w:szCs w:val="22"/>
        </w:rPr>
      </w:pPr>
      <w:r w:rsidRPr="00326D76">
        <w:rPr>
          <w:b/>
          <w:sz w:val="22"/>
          <w:szCs w:val="22"/>
        </w:rPr>
        <w:t>MD</w:t>
      </w:r>
      <w:r w:rsidRPr="00326D76">
        <w:rPr>
          <w:sz w:val="22"/>
          <w:szCs w:val="22"/>
        </w:rPr>
        <w:t xml:space="preserve"> </w:t>
      </w:r>
      <w:r w:rsidRPr="00326D76">
        <w:rPr>
          <w:iCs/>
          <w:sz w:val="22"/>
          <w:szCs w:val="22"/>
        </w:rPr>
        <w:t xml:space="preserve">je ústředním orgánem státní správy ve věcech dopravy. </w:t>
      </w:r>
      <w:r w:rsidRPr="00326D76">
        <w:rPr>
          <w:sz w:val="22"/>
          <w:szCs w:val="22"/>
        </w:rPr>
        <w:t>Zodpovídá za tvorbu státní politiky v</w:t>
      </w:r>
      <w:r w:rsidR="004C5D1B" w:rsidRPr="00326D76">
        <w:rPr>
          <w:sz w:val="22"/>
          <w:szCs w:val="22"/>
        </w:rPr>
        <w:t xml:space="preserve"> </w:t>
      </w:r>
      <w:r w:rsidRPr="00326D76">
        <w:rPr>
          <w:sz w:val="22"/>
          <w:szCs w:val="22"/>
        </w:rPr>
        <w:t>oblasti dopravy a v</w:t>
      </w:r>
      <w:r w:rsidR="004C5D1B" w:rsidRPr="00326D76">
        <w:rPr>
          <w:sz w:val="22"/>
          <w:szCs w:val="22"/>
        </w:rPr>
        <w:t xml:space="preserve"> </w:t>
      </w:r>
      <w:r w:rsidRPr="00326D76">
        <w:rPr>
          <w:sz w:val="22"/>
          <w:szCs w:val="22"/>
        </w:rPr>
        <w:t>rozsahu své působnosti za její uskutečňování</w:t>
      </w:r>
      <w:r w:rsidRPr="00326D76">
        <w:rPr>
          <w:rStyle w:val="Znakapoznpodarou"/>
          <w:rFonts w:cs="Arial"/>
          <w:sz w:val="22"/>
          <w:szCs w:val="22"/>
        </w:rPr>
        <w:footnoteReference w:id="2"/>
      </w:r>
      <w:r w:rsidRPr="00326D76">
        <w:rPr>
          <w:sz w:val="22"/>
          <w:szCs w:val="22"/>
        </w:rPr>
        <w:t xml:space="preserve">. Zodpovídá </w:t>
      </w:r>
      <w:r w:rsidRPr="00326D76">
        <w:rPr>
          <w:iCs/>
          <w:sz w:val="22"/>
          <w:szCs w:val="22"/>
        </w:rPr>
        <w:t>mj. za rozvoj dopravních sítí v</w:t>
      </w:r>
      <w:r w:rsidR="004C5D1B" w:rsidRPr="00326D76">
        <w:rPr>
          <w:iCs/>
          <w:sz w:val="22"/>
          <w:szCs w:val="22"/>
        </w:rPr>
        <w:t xml:space="preserve"> </w:t>
      </w:r>
      <w:r w:rsidRPr="00326D76">
        <w:rPr>
          <w:iCs/>
          <w:sz w:val="22"/>
          <w:szCs w:val="22"/>
        </w:rPr>
        <w:t xml:space="preserve">České republice a do jeho působnosti spadá i problematika </w:t>
      </w:r>
      <w:r w:rsidRPr="00326D76">
        <w:rPr>
          <w:sz w:val="22"/>
          <w:szCs w:val="22"/>
        </w:rPr>
        <w:t xml:space="preserve">výstavby, obnovy a modernizace vodních cest. </w:t>
      </w:r>
      <w:r w:rsidR="00A01293" w:rsidRPr="00326D76">
        <w:rPr>
          <w:sz w:val="22"/>
          <w:szCs w:val="22"/>
        </w:rPr>
        <w:t>Ve spolupráci</w:t>
      </w:r>
      <w:r w:rsidRPr="00326D76">
        <w:rPr>
          <w:sz w:val="22"/>
          <w:szCs w:val="22"/>
        </w:rPr>
        <w:t xml:space="preserve"> s ústředním vodohospodářským orgánem vykonává působnost v oblasti péče o</w:t>
      </w:r>
      <w:r w:rsidR="004C5D1B" w:rsidRPr="00326D76">
        <w:rPr>
          <w:sz w:val="22"/>
          <w:szCs w:val="22"/>
        </w:rPr>
        <w:t xml:space="preserve"> </w:t>
      </w:r>
      <w:r w:rsidRPr="00326D76">
        <w:rPr>
          <w:sz w:val="22"/>
          <w:szCs w:val="22"/>
        </w:rPr>
        <w:t xml:space="preserve">rozvoj </w:t>
      </w:r>
      <w:r w:rsidR="005C0E37" w:rsidRPr="00326D76">
        <w:rPr>
          <w:sz w:val="22"/>
          <w:szCs w:val="22"/>
        </w:rPr>
        <w:t>a modernizaci</w:t>
      </w:r>
      <w:r w:rsidRPr="00326D76">
        <w:rPr>
          <w:sz w:val="22"/>
          <w:szCs w:val="22"/>
        </w:rPr>
        <w:t xml:space="preserve"> dopravně významných </w:t>
      </w:r>
      <w:r w:rsidR="005C0E37" w:rsidRPr="00326D76">
        <w:rPr>
          <w:sz w:val="22"/>
          <w:szCs w:val="22"/>
        </w:rPr>
        <w:t>vodních cest</w:t>
      </w:r>
      <w:r w:rsidRPr="00326D76">
        <w:rPr>
          <w:rStyle w:val="Znakapoznpodarou"/>
          <w:rFonts w:cs="Arial"/>
          <w:sz w:val="22"/>
          <w:szCs w:val="22"/>
        </w:rPr>
        <w:footnoteReference w:id="3"/>
      </w:r>
      <w:r w:rsidRPr="00326D76">
        <w:rPr>
          <w:bCs/>
          <w:iCs/>
          <w:sz w:val="22"/>
          <w:szCs w:val="22"/>
        </w:rPr>
        <w:t>.</w:t>
      </w:r>
      <w:r w:rsidRPr="00326D76">
        <w:rPr>
          <w:sz w:val="22"/>
          <w:szCs w:val="22"/>
        </w:rPr>
        <w:t xml:space="preserve"> </w:t>
      </w:r>
      <w:r w:rsidRPr="00326D76">
        <w:rPr>
          <w:color w:val="000000"/>
          <w:sz w:val="22"/>
          <w:szCs w:val="22"/>
        </w:rPr>
        <w:t>Na základě usnesení vlády</w:t>
      </w:r>
      <w:r w:rsidRPr="00326D76">
        <w:rPr>
          <w:rStyle w:val="Znakapoznpodarou"/>
          <w:rFonts w:cs="Arial"/>
          <w:sz w:val="22"/>
          <w:szCs w:val="22"/>
        </w:rPr>
        <w:footnoteReference w:id="4"/>
      </w:r>
      <w:r w:rsidRPr="00326D76">
        <w:rPr>
          <w:color w:val="000000"/>
          <w:sz w:val="22"/>
          <w:szCs w:val="22"/>
        </w:rPr>
        <w:t xml:space="preserve"> j</w:t>
      </w:r>
      <w:r w:rsidRPr="00326D76">
        <w:rPr>
          <w:sz w:val="22"/>
          <w:szCs w:val="22"/>
        </w:rPr>
        <w:t xml:space="preserve">e </w:t>
      </w:r>
      <w:r w:rsidR="0015059A" w:rsidRPr="00326D76">
        <w:rPr>
          <w:sz w:val="22"/>
          <w:szCs w:val="22"/>
        </w:rPr>
        <w:t>ř</w:t>
      </w:r>
      <w:r w:rsidRPr="00326D76">
        <w:rPr>
          <w:sz w:val="22"/>
          <w:szCs w:val="22"/>
        </w:rPr>
        <w:t>íd</w:t>
      </w:r>
      <w:r w:rsidR="00AC52BB" w:rsidRPr="00326D76">
        <w:rPr>
          <w:sz w:val="22"/>
          <w:szCs w:val="22"/>
        </w:rPr>
        <w:t>i</w:t>
      </w:r>
      <w:r w:rsidRPr="00326D76">
        <w:rPr>
          <w:sz w:val="22"/>
          <w:szCs w:val="22"/>
        </w:rPr>
        <w:t>cím orgánem OPD (dále také „ŘO OPD“).</w:t>
      </w:r>
    </w:p>
    <w:p w:rsidR="00326D76" w:rsidRPr="00326D76" w:rsidRDefault="00326D76" w:rsidP="00326D76">
      <w:pPr>
        <w:jc w:val="both"/>
        <w:rPr>
          <w:sz w:val="22"/>
          <w:szCs w:val="22"/>
        </w:rPr>
      </w:pPr>
    </w:p>
    <w:p w:rsidR="00A064EF" w:rsidRDefault="00B5686B" w:rsidP="00326D76">
      <w:pPr>
        <w:jc w:val="both"/>
        <w:rPr>
          <w:rFonts w:cs="Arial"/>
          <w:color w:val="000000"/>
          <w:sz w:val="22"/>
          <w:szCs w:val="22"/>
        </w:rPr>
      </w:pPr>
      <w:r w:rsidRPr="00326D76">
        <w:rPr>
          <w:rFonts w:cs="Arial"/>
          <w:b/>
          <w:sz w:val="22"/>
          <w:szCs w:val="22"/>
        </w:rPr>
        <w:t>SFDI</w:t>
      </w:r>
      <w:r w:rsidRPr="00326D76">
        <w:rPr>
          <w:rFonts w:cs="Arial"/>
          <w:sz w:val="22"/>
          <w:szCs w:val="22"/>
        </w:rPr>
        <w:t xml:space="preserve"> je právnickou osobou zřízenou zákonem č. 104/2000 Sb.</w:t>
      </w:r>
      <w:r w:rsidRPr="00326D76">
        <w:rPr>
          <w:rStyle w:val="Znakapoznpodarou"/>
          <w:rFonts w:cs="Arial"/>
          <w:sz w:val="22"/>
          <w:szCs w:val="22"/>
        </w:rPr>
        <w:footnoteReference w:id="5"/>
      </w:r>
      <w:r w:rsidRPr="00326D76">
        <w:rPr>
          <w:rFonts w:cs="Arial"/>
          <w:sz w:val="22"/>
          <w:szCs w:val="22"/>
        </w:rPr>
        <w:t xml:space="preserve"> Podle § 2 odst. 1 písm. d) tohoto zákona je účelem SFDI mj. poskytování příspěvků na financování výstavby a</w:t>
      </w:r>
      <w:r w:rsidR="006764CC" w:rsidRPr="00326D76">
        <w:rPr>
          <w:rFonts w:cs="Arial"/>
          <w:sz w:val="22"/>
          <w:szCs w:val="22"/>
        </w:rPr>
        <w:t> </w:t>
      </w:r>
      <w:r w:rsidRPr="00326D76">
        <w:rPr>
          <w:rFonts w:cs="Arial"/>
          <w:sz w:val="22"/>
          <w:szCs w:val="22"/>
        </w:rPr>
        <w:t xml:space="preserve">modernizace dopravně významných vnitrozemských vodních cest. Na základě </w:t>
      </w:r>
      <w:r w:rsidR="00351312">
        <w:rPr>
          <w:rFonts w:cs="Arial"/>
          <w:i/>
          <w:sz w:val="22"/>
          <w:szCs w:val="22"/>
        </w:rPr>
        <w:t>d</w:t>
      </w:r>
      <w:r w:rsidRPr="00326D76">
        <w:rPr>
          <w:rFonts w:cs="Arial"/>
          <w:i/>
          <w:sz w:val="22"/>
          <w:szCs w:val="22"/>
        </w:rPr>
        <w:t>ohody o</w:t>
      </w:r>
      <w:r w:rsidR="006764CC" w:rsidRPr="00326D76">
        <w:rPr>
          <w:rFonts w:cs="Arial"/>
          <w:i/>
          <w:sz w:val="22"/>
          <w:szCs w:val="22"/>
        </w:rPr>
        <w:t> </w:t>
      </w:r>
      <w:r w:rsidRPr="00326D76">
        <w:rPr>
          <w:rFonts w:cs="Arial"/>
          <w:i/>
          <w:sz w:val="22"/>
          <w:szCs w:val="22"/>
        </w:rPr>
        <w:t>delegování něk</w:t>
      </w:r>
      <w:r w:rsidR="00AC52BB" w:rsidRPr="00326D76">
        <w:rPr>
          <w:rFonts w:cs="Arial"/>
          <w:i/>
          <w:sz w:val="22"/>
          <w:szCs w:val="22"/>
        </w:rPr>
        <w:t>terých pravomocí a činností Řídi</w:t>
      </w:r>
      <w:r w:rsidRPr="00326D76">
        <w:rPr>
          <w:rFonts w:cs="Arial"/>
          <w:i/>
          <w:sz w:val="22"/>
          <w:szCs w:val="22"/>
        </w:rPr>
        <w:t>cího orgánu OP Doprava na Zprostředkující subjekt OPD</w:t>
      </w:r>
      <w:r w:rsidRPr="00326D76">
        <w:rPr>
          <w:rFonts w:cs="Arial"/>
          <w:sz w:val="22"/>
          <w:szCs w:val="22"/>
        </w:rPr>
        <w:t xml:space="preserve"> (dále také „Delegační dohoda“) </w:t>
      </w:r>
      <w:r w:rsidR="00A064EF" w:rsidRPr="00326D76">
        <w:rPr>
          <w:rFonts w:cs="Arial"/>
          <w:color w:val="000000"/>
          <w:sz w:val="22"/>
          <w:szCs w:val="22"/>
        </w:rPr>
        <w:t>vykonává</w:t>
      </w:r>
      <w:r w:rsidR="00A064EF" w:rsidRPr="00326D76">
        <w:rPr>
          <w:rFonts w:cs="Arial"/>
          <w:sz w:val="22"/>
          <w:szCs w:val="22"/>
        </w:rPr>
        <w:t xml:space="preserve"> jako zprostředkující subjekt OPD (dále také „ZS OPD“) </w:t>
      </w:r>
      <w:r w:rsidR="00A064EF" w:rsidRPr="00326D76">
        <w:rPr>
          <w:rFonts w:cs="Arial"/>
          <w:color w:val="000000"/>
          <w:sz w:val="22"/>
          <w:szCs w:val="22"/>
        </w:rPr>
        <w:t>část pravomocí a činností souvisejících s</w:t>
      </w:r>
      <w:r w:rsidR="004C5D1B" w:rsidRPr="00326D76">
        <w:rPr>
          <w:rFonts w:cs="Arial"/>
          <w:color w:val="000000"/>
          <w:sz w:val="22"/>
          <w:szCs w:val="22"/>
        </w:rPr>
        <w:t xml:space="preserve"> </w:t>
      </w:r>
      <w:r w:rsidR="00A064EF" w:rsidRPr="00326D76">
        <w:rPr>
          <w:rFonts w:cs="Arial"/>
          <w:color w:val="000000"/>
          <w:sz w:val="22"/>
          <w:szCs w:val="22"/>
        </w:rPr>
        <w:t>výkonem funkce řídicího orgánu, kterou na něj delegovalo MD.</w:t>
      </w:r>
    </w:p>
    <w:p w:rsidR="00326D76" w:rsidRPr="00326D76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326D76">
        <w:rPr>
          <w:rFonts w:cs="Arial"/>
          <w:b/>
          <w:sz w:val="22"/>
          <w:szCs w:val="22"/>
        </w:rPr>
        <w:t>ŘVC</w:t>
      </w:r>
      <w:r w:rsidRPr="00326D76">
        <w:rPr>
          <w:rFonts w:cs="Arial"/>
          <w:sz w:val="22"/>
          <w:szCs w:val="22"/>
        </w:rPr>
        <w:t xml:space="preserve"> je organizační složkou státu zřízenou MD. </w:t>
      </w:r>
      <w:r w:rsidR="002176C0" w:rsidRPr="00326D76">
        <w:rPr>
          <w:rFonts w:cs="Arial"/>
          <w:sz w:val="22"/>
          <w:szCs w:val="22"/>
        </w:rPr>
        <w:t xml:space="preserve">Zajišťuje </w:t>
      </w:r>
      <w:r w:rsidRPr="00326D76">
        <w:rPr>
          <w:rFonts w:cs="Arial"/>
          <w:sz w:val="22"/>
          <w:szCs w:val="22"/>
        </w:rPr>
        <w:t>přípravu a realizaci výstavby a</w:t>
      </w:r>
      <w:r w:rsidR="006764CC" w:rsidRPr="00326D76">
        <w:rPr>
          <w:rFonts w:cs="Arial"/>
          <w:sz w:val="22"/>
          <w:szCs w:val="22"/>
        </w:rPr>
        <w:t> </w:t>
      </w:r>
      <w:r w:rsidRPr="00326D76">
        <w:rPr>
          <w:rFonts w:cs="Arial"/>
          <w:sz w:val="22"/>
          <w:szCs w:val="22"/>
        </w:rPr>
        <w:t>modernizace vodních cest a</w:t>
      </w:r>
      <w:r w:rsidR="004C5D1B" w:rsidRPr="00326D76">
        <w:rPr>
          <w:rFonts w:cs="Arial"/>
          <w:sz w:val="22"/>
          <w:szCs w:val="22"/>
        </w:rPr>
        <w:t xml:space="preserve"> </w:t>
      </w:r>
      <w:r w:rsidRPr="00326D76">
        <w:rPr>
          <w:rFonts w:cs="Arial"/>
          <w:sz w:val="22"/>
          <w:szCs w:val="22"/>
        </w:rPr>
        <w:t>dalších staveb nutných pro provoz na vodních cestách, jejich správu a údržbu. Je příjemcem peněžních prostředků z</w:t>
      </w:r>
      <w:r w:rsidR="004C5D1B" w:rsidRPr="00326D76">
        <w:rPr>
          <w:rFonts w:cs="Arial"/>
          <w:sz w:val="22"/>
          <w:szCs w:val="22"/>
        </w:rPr>
        <w:t xml:space="preserve"> </w:t>
      </w:r>
      <w:r w:rsidRPr="00326D76">
        <w:rPr>
          <w:rFonts w:cs="Arial"/>
          <w:sz w:val="22"/>
          <w:szCs w:val="22"/>
        </w:rPr>
        <w:t xml:space="preserve">rozpočtu SFDI a prostředků </w:t>
      </w:r>
      <w:r w:rsidR="00717B81" w:rsidRPr="00326D76">
        <w:rPr>
          <w:rFonts w:cs="Arial"/>
          <w:sz w:val="22"/>
          <w:szCs w:val="22"/>
        </w:rPr>
        <w:t>Evropské unie (dále také „</w:t>
      </w:r>
      <w:r w:rsidRPr="00326D76">
        <w:rPr>
          <w:rFonts w:cs="Arial"/>
          <w:sz w:val="22"/>
          <w:szCs w:val="22"/>
        </w:rPr>
        <w:t>EU</w:t>
      </w:r>
      <w:r w:rsidR="00717B81" w:rsidRPr="00326D76">
        <w:rPr>
          <w:rFonts w:cs="Arial"/>
          <w:sz w:val="22"/>
          <w:szCs w:val="22"/>
        </w:rPr>
        <w:t>“)</w:t>
      </w:r>
      <w:r w:rsidRPr="00326D76">
        <w:rPr>
          <w:rFonts w:cs="Arial"/>
          <w:sz w:val="22"/>
          <w:szCs w:val="22"/>
        </w:rPr>
        <w:t>.</w:t>
      </w:r>
    </w:p>
    <w:p w:rsidR="00326D76" w:rsidRPr="00326D76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326D76">
        <w:rPr>
          <w:rFonts w:cs="Arial"/>
          <w:sz w:val="22"/>
          <w:szCs w:val="22"/>
        </w:rPr>
        <w:t xml:space="preserve">NKÚ při </w:t>
      </w:r>
      <w:r w:rsidR="00A413DE" w:rsidRPr="00326D76">
        <w:rPr>
          <w:rFonts w:cs="Arial"/>
          <w:sz w:val="22"/>
          <w:szCs w:val="22"/>
        </w:rPr>
        <w:t xml:space="preserve">předchozí </w:t>
      </w:r>
      <w:r w:rsidRPr="00326D76">
        <w:rPr>
          <w:rFonts w:cs="Arial"/>
          <w:sz w:val="22"/>
          <w:szCs w:val="22"/>
        </w:rPr>
        <w:t>kontrolní akci č. 08/19</w:t>
      </w:r>
      <w:r w:rsidR="00351312">
        <w:rPr>
          <w:rFonts w:cs="Arial"/>
          <w:sz w:val="22"/>
          <w:szCs w:val="22"/>
        </w:rPr>
        <w:t> –</w:t>
      </w:r>
      <w:r w:rsidRPr="00326D76">
        <w:rPr>
          <w:rFonts w:cs="Arial"/>
          <w:sz w:val="22"/>
          <w:szCs w:val="22"/>
        </w:rPr>
        <w:t xml:space="preserve"> </w:t>
      </w:r>
      <w:r w:rsidRPr="00326D76">
        <w:rPr>
          <w:rFonts w:cs="Arial"/>
          <w:i/>
          <w:sz w:val="22"/>
          <w:szCs w:val="22"/>
        </w:rPr>
        <w:t>Finanční prostředky určené na modernizaci a</w:t>
      </w:r>
      <w:r w:rsidR="006764CC" w:rsidRPr="00326D76">
        <w:rPr>
          <w:rFonts w:cs="Arial"/>
          <w:i/>
          <w:sz w:val="22"/>
          <w:szCs w:val="22"/>
        </w:rPr>
        <w:t> </w:t>
      </w:r>
      <w:r w:rsidRPr="00326D76">
        <w:rPr>
          <w:rFonts w:cs="Arial"/>
          <w:i/>
          <w:sz w:val="22"/>
          <w:szCs w:val="22"/>
        </w:rPr>
        <w:t>rozvoj vodních cest a přístavů</w:t>
      </w:r>
      <w:r w:rsidRPr="00326D76">
        <w:rPr>
          <w:rFonts w:cs="Arial"/>
          <w:sz w:val="22"/>
          <w:szCs w:val="22"/>
          <w:vertAlign w:val="superscript"/>
        </w:rPr>
        <w:footnoteReference w:id="6"/>
      </w:r>
      <w:r w:rsidRPr="00326D76">
        <w:rPr>
          <w:rFonts w:cs="Arial"/>
          <w:sz w:val="22"/>
          <w:szCs w:val="22"/>
        </w:rPr>
        <w:t xml:space="preserve"> mj. zjistil, že MD v koncepčních dokumentech </w:t>
      </w:r>
      <w:r w:rsidR="00E51657" w:rsidRPr="00326D76">
        <w:rPr>
          <w:rFonts w:cs="Arial"/>
          <w:sz w:val="22"/>
          <w:szCs w:val="22"/>
        </w:rPr>
        <w:t>nevymezilo</w:t>
      </w:r>
      <w:r w:rsidR="00E51657">
        <w:rPr>
          <w:rFonts w:cs="Arial"/>
          <w:sz w:val="22"/>
          <w:szCs w:val="22"/>
        </w:rPr>
        <w:t xml:space="preserve"> komplexně</w:t>
      </w:r>
      <w:r w:rsidR="00E51657" w:rsidRPr="00326D76">
        <w:rPr>
          <w:rFonts w:cs="Arial"/>
          <w:sz w:val="22"/>
          <w:szCs w:val="22"/>
        </w:rPr>
        <w:t xml:space="preserve"> </w:t>
      </w:r>
      <w:r w:rsidRPr="00326D76">
        <w:rPr>
          <w:rFonts w:cs="Arial"/>
          <w:sz w:val="22"/>
          <w:szCs w:val="22"/>
        </w:rPr>
        <w:t>věcné, časové a finanční podmínky pro dosažení cílového stavu, zejména nebyly vymezeny všechny akce, ujasněn jejich rozsah, finanční potřeba a</w:t>
      </w:r>
      <w:r w:rsidR="00E51657">
        <w:rPr>
          <w:rFonts w:cs="Arial"/>
          <w:sz w:val="22"/>
          <w:szCs w:val="22"/>
        </w:rPr>
        <w:t>ni</w:t>
      </w:r>
      <w:r w:rsidRPr="00326D76">
        <w:rPr>
          <w:rFonts w:cs="Arial"/>
          <w:sz w:val="22"/>
          <w:szCs w:val="22"/>
        </w:rPr>
        <w:t xml:space="preserve"> časová období realizace. ŘVC provádělo hodnocení efektivnosti jen za jednotlivé akce nebo jejich soubory, avšak tato hodnocení vycházela z nevěrohodných, nedostatečně doložených a změněným podmínkám neodpovídajících vstupních údajů. MD nevytvořilo dostatečně transparentní a</w:t>
      </w:r>
      <w:r w:rsidR="006764CC" w:rsidRPr="00326D76">
        <w:rPr>
          <w:rFonts w:cs="Arial"/>
          <w:sz w:val="22"/>
          <w:szCs w:val="22"/>
        </w:rPr>
        <w:t> </w:t>
      </w:r>
      <w:r w:rsidRPr="00326D76">
        <w:rPr>
          <w:rFonts w:cs="Arial"/>
          <w:sz w:val="22"/>
          <w:szCs w:val="22"/>
        </w:rPr>
        <w:t xml:space="preserve">účinný systém řízení, sledování a financování realizací akcí. Vláda vzala </w:t>
      </w:r>
      <w:r w:rsidR="002176C0" w:rsidRPr="00326D76">
        <w:rPr>
          <w:rFonts w:cs="Arial"/>
          <w:sz w:val="22"/>
          <w:szCs w:val="22"/>
        </w:rPr>
        <w:t xml:space="preserve">svým </w:t>
      </w:r>
      <w:r w:rsidRPr="00326D76">
        <w:rPr>
          <w:rFonts w:cs="Arial"/>
          <w:sz w:val="22"/>
          <w:szCs w:val="22"/>
        </w:rPr>
        <w:t>usnesením</w:t>
      </w:r>
      <w:r w:rsidRPr="00326D76">
        <w:rPr>
          <w:rFonts w:cs="Arial"/>
          <w:sz w:val="22"/>
          <w:szCs w:val="22"/>
          <w:vertAlign w:val="superscript"/>
        </w:rPr>
        <w:footnoteReference w:id="7"/>
      </w:r>
      <w:r w:rsidRPr="00326D76">
        <w:rPr>
          <w:rFonts w:cs="Arial"/>
          <w:sz w:val="22"/>
          <w:szCs w:val="22"/>
        </w:rPr>
        <w:t xml:space="preserve"> na vědomí kontrolní závěr z</w:t>
      </w:r>
      <w:r w:rsidR="004C5D1B" w:rsidRPr="00326D76">
        <w:rPr>
          <w:rFonts w:cs="Arial"/>
          <w:sz w:val="22"/>
          <w:szCs w:val="22"/>
        </w:rPr>
        <w:t xml:space="preserve"> </w:t>
      </w:r>
      <w:r w:rsidRPr="00326D76">
        <w:rPr>
          <w:rFonts w:cs="Arial"/>
          <w:sz w:val="22"/>
          <w:szCs w:val="22"/>
        </w:rPr>
        <w:t>kontrolní akce č. 08/19 a</w:t>
      </w:r>
      <w:r w:rsidR="00E51657">
        <w:rPr>
          <w:rFonts w:cs="Arial"/>
          <w:sz w:val="22"/>
          <w:szCs w:val="22"/>
        </w:rPr>
        <w:t> </w:t>
      </w:r>
      <w:r w:rsidRPr="00326D76">
        <w:rPr>
          <w:rFonts w:cs="Arial"/>
          <w:sz w:val="22"/>
          <w:szCs w:val="22"/>
        </w:rPr>
        <w:t>stanovisko MD k</w:t>
      </w:r>
      <w:r w:rsidR="004C5D1B" w:rsidRPr="00326D76">
        <w:rPr>
          <w:rFonts w:cs="Arial"/>
          <w:sz w:val="22"/>
          <w:szCs w:val="22"/>
        </w:rPr>
        <w:t xml:space="preserve"> </w:t>
      </w:r>
      <w:r w:rsidRPr="00326D76">
        <w:rPr>
          <w:rFonts w:cs="Arial"/>
          <w:sz w:val="22"/>
          <w:szCs w:val="22"/>
        </w:rPr>
        <w:t>tomuto kontrolnímu závěru, v němž MD zjištění NKÚ odmítlo s</w:t>
      </w:r>
      <w:r w:rsidR="004C5D1B" w:rsidRPr="00326D76">
        <w:rPr>
          <w:rFonts w:cs="Arial"/>
          <w:sz w:val="22"/>
          <w:szCs w:val="22"/>
        </w:rPr>
        <w:t xml:space="preserve"> </w:t>
      </w:r>
      <w:r w:rsidRPr="00326D76">
        <w:rPr>
          <w:rFonts w:cs="Arial"/>
          <w:sz w:val="22"/>
          <w:szCs w:val="22"/>
        </w:rPr>
        <w:t>odůvodněním, že nebyl porušen žádný právní předpis</w:t>
      </w:r>
      <w:r w:rsidR="00351312">
        <w:rPr>
          <w:rFonts w:cs="Arial"/>
          <w:sz w:val="22"/>
          <w:szCs w:val="22"/>
        </w:rPr>
        <w:t>,</w:t>
      </w:r>
      <w:r w:rsidRPr="00326D76">
        <w:rPr>
          <w:rFonts w:cs="Arial"/>
          <w:sz w:val="22"/>
          <w:szCs w:val="22"/>
        </w:rPr>
        <w:t xml:space="preserve"> a nepřijalo k</w:t>
      </w:r>
      <w:r w:rsidR="00E51657">
        <w:rPr>
          <w:rFonts w:cs="Arial"/>
          <w:sz w:val="22"/>
          <w:szCs w:val="22"/>
        </w:rPr>
        <w:t> </w:t>
      </w:r>
      <w:r w:rsidRPr="00326D76">
        <w:rPr>
          <w:rFonts w:cs="Arial"/>
          <w:sz w:val="22"/>
          <w:szCs w:val="22"/>
        </w:rPr>
        <w:t>nim žádná nápravná opatření.</w:t>
      </w:r>
    </w:p>
    <w:p w:rsidR="00326D76" w:rsidRPr="00326D76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Pr="00326D76" w:rsidRDefault="00B5686B" w:rsidP="00326D7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326D76">
      <w:pPr>
        <w:tabs>
          <w:tab w:val="left" w:pos="567"/>
        </w:tabs>
        <w:spacing w:after="120" w:line="264" w:lineRule="auto"/>
        <w:ind w:left="567" w:hanging="567"/>
        <w:jc w:val="both"/>
        <w:rPr>
          <w:rFonts w:cs="Arial"/>
          <w:sz w:val="18"/>
          <w:szCs w:val="18"/>
        </w:rPr>
      </w:pPr>
      <w:r w:rsidRPr="005F4D95">
        <w:rPr>
          <w:rFonts w:cs="Arial"/>
          <w:b/>
          <w:sz w:val="18"/>
          <w:szCs w:val="18"/>
        </w:rPr>
        <w:t>Pozn.:</w:t>
      </w:r>
      <w:r w:rsidRPr="005F4D95">
        <w:rPr>
          <w:rFonts w:cs="Arial"/>
          <w:sz w:val="18"/>
          <w:szCs w:val="18"/>
        </w:rPr>
        <w:tab/>
        <w:t>Právní předpisy uvedené v</w:t>
      </w:r>
      <w:r w:rsidR="004C5D1B">
        <w:rPr>
          <w:rFonts w:cs="Arial"/>
          <w:sz w:val="18"/>
          <w:szCs w:val="18"/>
        </w:rPr>
        <w:t xml:space="preserve"> </w:t>
      </w:r>
      <w:r w:rsidRPr="005F4D95">
        <w:rPr>
          <w:rFonts w:cs="Arial"/>
          <w:sz w:val="18"/>
          <w:szCs w:val="18"/>
        </w:rPr>
        <w:t>kontrolním závěru jsou aplikovány ve znění účinném pro kontrolované období.</w:t>
      </w:r>
    </w:p>
    <w:p w:rsidR="00AF40A8" w:rsidRDefault="00AF40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B5686B" w:rsidRPr="00AB146A" w:rsidRDefault="00B5686B" w:rsidP="00326D76">
      <w:pPr>
        <w:jc w:val="center"/>
        <w:rPr>
          <w:rFonts w:cs="Arial"/>
          <w:b/>
          <w:lang w:eastAsia="en-US"/>
        </w:rPr>
      </w:pPr>
      <w:r w:rsidRPr="00AB146A">
        <w:rPr>
          <w:rFonts w:cs="Arial"/>
          <w:b/>
          <w:lang w:eastAsia="en-US"/>
        </w:rPr>
        <w:lastRenderedPageBreak/>
        <w:t>II. Skutečnosti zjištěné při kontrole</w:t>
      </w:r>
    </w:p>
    <w:p w:rsidR="00326D76" w:rsidRDefault="00326D76" w:rsidP="00326D76">
      <w:pPr>
        <w:jc w:val="both"/>
        <w:rPr>
          <w:rFonts w:eastAsia="Calibri" w:cs="Arial"/>
          <w:sz w:val="22"/>
          <w:szCs w:val="22"/>
          <w:lang w:eastAsia="en-US"/>
        </w:rPr>
      </w:pPr>
    </w:p>
    <w:p w:rsidR="00326D76" w:rsidRDefault="000705F2" w:rsidP="00326D76">
      <w:pPr>
        <w:jc w:val="both"/>
        <w:rPr>
          <w:rFonts w:eastAsia="Calibri" w:cs="Arial"/>
          <w:sz w:val="22"/>
          <w:szCs w:val="22"/>
          <w:lang w:eastAsia="en-US"/>
        </w:rPr>
      </w:pPr>
      <w:r w:rsidRPr="000705F2">
        <w:rPr>
          <w:rFonts w:eastAsia="Calibri" w:cs="Arial"/>
          <w:sz w:val="22"/>
          <w:szCs w:val="22"/>
          <w:lang w:eastAsia="en-US"/>
        </w:rPr>
        <w:t>Výkon činností MD jako ŘO OPD a SFDI jako ZS OPD byl kontrolován</w:t>
      </w:r>
      <w:r w:rsidR="00444FF3">
        <w:rPr>
          <w:rFonts w:eastAsia="Calibri" w:cs="Arial"/>
          <w:sz w:val="22"/>
          <w:szCs w:val="22"/>
          <w:lang w:eastAsia="en-US"/>
        </w:rPr>
        <w:t xml:space="preserve"> u </w:t>
      </w:r>
      <w:r w:rsidR="00444FF3" w:rsidRPr="000705F2">
        <w:rPr>
          <w:rFonts w:eastAsia="Calibri" w:cs="Arial"/>
          <w:sz w:val="22"/>
          <w:szCs w:val="22"/>
          <w:lang w:eastAsia="en-US"/>
        </w:rPr>
        <w:t>prioritní osy 6 OPD</w:t>
      </w:r>
      <w:r w:rsidRPr="000705F2">
        <w:rPr>
          <w:rFonts w:eastAsia="Calibri" w:cs="Arial"/>
          <w:sz w:val="22"/>
          <w:szCs w:val="22"/>
          <w:lang w:eastAsia="en-US"/>
        </w:rPr>
        <w:t xml:space="preserve"> na vzorku 9 projektů v</w:t>
      </w:r>
      <w:r w:rsidR="004C5D1B">
        <w:rPr>
          <w:rFonts w:eastAsia="Calibri" w:cs="Arial"/>
          <w:sz w:val="22"/>
          <w:szCs w:val="22"/>
          <w:lang w:eastAsia="en-US"/>
        </w:rPr>
        <w:t xml:space="preserve"> </w:t>
      </w:r>
      <w:r w:rsidRPr="000705F2">
        <w:rPr>
          <w:rFonts w:eastAsia="Calibri" w:cs="Arial"/>
          <w:sz w:val="22"/>
          <w:szCs w:val="22"/>
          <w:lang w:eastAsia="en-US"/>
        </w:rPr>
        <w:t xml:space="preserve">celkovém objemu </w:t>
      </w:r>
      <w:r w:rsidR="00633B8C">
        <w:rPr>
          <w:rFonts w:eastAsia="Calibri" w:cs="Arial"/>
          <w:sz w:val="22"/>
          <w:szCs w:val="22"/>
          <w:lang w:eastAsia="en-US"/>
        </w:rPr>
        <w:t xml:space="preserve">podpory ve výši </w:t>
      </w:r>
      <w:r w:rsidRPr="000705F2">
        <w:rPr>
          <w:rFonts w:eastAsia="Calibri" w:cs="Arial"/>
          <w:sz w:val="22"/>
          <w:szCs w:val="22"/>
          <w:lang w:eastAsia="en-US"/>
        </w:rPr>
        <w:t xml:space="preserve">2,4 mld. Kč. Kontrole byl podroben systém administrace projektů, zejména nastavení a účinnost řídicích </w:t>
      </w:r>
      <w:r w:rsidR="00A5590D">
        <w:rPr>
          <w:rFonts w:eastAsia="Calibri" w:cs="Arial"/>
          <w:sz w:val="22"/>
          <w:szCs w:val="22"/>
          <w:lang w:eastAsia="en-US"/>
        </w:rPr>
        <w:t>a </w:t>
      </w:r>
      <w:r w:rsidRPr="000705F2">
        <w:rPr>
          <w:rFonts w:eastAsia="Calibri" w:cs="Arial"/>
          <w:sz w:val="22"/>
          <w:szCs w:val="22"/>
          <w:lang w:eastAsia="en-US"/>
        </w:rPr>
        <w:t xml:space="preserve">kontrolních systémů dle </w:t>
      </w:r>
      <w:r w:rsidR="00FE5B3B">
        <w:rPr>
          <w:rFonts w:cs="Arial"/>
          <w:sz w:val="22"/>
          <w:szCs w:val="22"/>
        </w:rPr>
        <w:t>předpisu E</w:t>
      </w:r>
      <w:r w:rsidR="00717B81">
        <w:rPr>
          <w:rFonts w:cs="Arial"/>
          <w:sz w:val="22"/>
          <w:szCs w:val="22"/>
        </w:rPr>
        <w:t>U</w:t>
      </w:r>
      <w:r w:rsidRPr="005F4D95">
        <w:rPr>
          <w:rStyle w:val="Znakapoznpodarou"/>
          <w:rFonts w:cs="Arial"/>
          <w:sz w:val="22"/>
          <w:szCs w:val="22"/>
        </w:rPr>
        <w:footnoteReference w:id="8"/>
      </w:r>
      <w:r w:rsidRPr="000705F2">
        <w:rPr>
          <w:rFonts w:eastAsia="Calibri" w:cs="Arial"/>
          <w:sz w:val="22"/>
          <w:szCs w:val="22"/>
          <w:lang w:eastAsia="en-US"/>
        </w:rPr>
        <w:t>. Kontrola postupu ŘVC při přípravě a realizaci projektů byla provedena u</w:t>
      </w:r>
      <w:r w:rsidR="003C7F30">
        <w:rPr>
          <w:rFonts w:eastAsia="Calibri" w:cs="Arial"/>
          <w:sz w:val="22"/>
          <w:szCs w:val="22"/>
          <w:lang w:eastAsia="en-US"/>
        </w:rPr>
        <w:t> </w:t>
      </w:r>
      <w:r w:rsidR="00FB12F4">
        <w:rPr>
          <w:rFonts w:eastAsia="Calibri" w:cs="Arial"/>
          <w:sz w:val="22"/>
          <w:szCs w:val="22"/>
          <w:lang w:eastAsia="en-US"/>
        </w:rPr>
        <w:t xml:space="preserve">tří </w:t>
      </w:r>
      <w:r w:rsidRPr="000705F2">
        <w:rPr>
          <w:rFonts w:eastAsia="Calibri" w:cs="Arial"/>
          <w:sz w:val="22"/>
          <w:szCs w:val="22"/>
          <w:lang w:eastAsia="en-US"/>
        </w:rPr>
        <w:t>finančně nejvýznamnějších projektů, které byly realizovány na labské a vltavské vodn</w:t>
      </w:r>
      <w:r w:rsidR="00876DED">
        <w:rPr>
          <w:rFonts w:eastAsia="Calibri" w:cs="Arial"/>
          <w:sz w:val="22"/>
          <w:szCs w:val="22"/>
          <w:lang w:eastAsia="en-US"/>
        </w:rPr>
        <w:t>í cestě v</w:t>
      </w:r>
      <w:r w:rsidR="004C5D1B">
        <w:rPr>
          <w:rFonts w:eastAsia="Calibri" w:cs="Arial"/>
          <w:sz w:val="22"/>
          <w:szCs w:val="22"/>
          <w:lang w:eastAsia="en-US"/>
        </w:rPr>
        <w:t xml:space="preserve"> </w:t>
      </w:r>
      <w:r w:rsidR="00876DED">
        <w:rPr>
          <w:rFonts w:eastAsia="Calibri" w:cs="Arial"/>
          <w:sz w:val="22"/>
          <w:szCs w:val="22"/>
          <w:lang w:eastAsia="en-US"/>
        </w:rPr>
        <w:t>kontrolovaném období.</w:t>
      </w:r>
    </w:p>
    <w:p w:rsidR="000705F2" w:rsidRDefault="000705F2" w:rsidP="00326D76">
      <w:pPr>
        <w:jc w:val="both"/>
        <w:rPr>
          <w:rFonts w:cs="Arial"/>
          <w:sz w:val="22"/>
          <w:szCs w:val="22"/>
        </w:rPr>
      </w:pPr>
    </w:p>
    <w:p w:rsidR="00B5686B" w:rsidRPr="00544726" w:rsidRDefault="00544726" w:rsidP="00544726">
      <w:pPr>
        <w:ind w:left="255" w:hanging="255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="00B5686B" w:rsidRPr="00544726">
        <w:rPr>
          <w:rFonts w:cs="Arial"/>
          <w:b/>
          <w:sz w:val="22"/>
          <w:szCs w:val="22"/>
        </w:rPr>
        <w:t>Priority a cíle rozvoje a</w:t>
      </w:r>
      <w:r w:rsidR="004C5D1B" w:rsidRPr="00544726">
        <w:rPr>
          <w:rFonts w:cs="Arial"/>
          <w:b/>
          <w:sz w:val="22"/>
          <w:szCs w:val="22"/>
        </w:rPr>
        <w:t xml:space="preserve"> </w:t>
      </w:r>
      <w:r w:rsidR="00B5686B" w:rsidRPr="00544726">
        <w:rPr>
          <w:rFonts w:cs="Arial"/>
          <w:b/>
          <w:sz w:val="22"/>
          <w:szCs w:val="22"/>
        </w:rPr>
        <w:t>modernizace vodních cest a přístavů, podpora multimodální nákladní přepravy</w:t>
      </w:r>
    </w:p>
    <w:p w:rsidR="00326D76" w:rsidRPr="00326D76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Pr="005F4D95" w:rsidRDefault="0010795A" w:rsidP="0010795A">
      <w:pPr>
        <w:pStyle w:val="Zkladntextodsazen2"/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A. </w:t>
      </w:r>
      <w:r w:rsidR="00B5686B" w:rsidRPr="005F4D95">
        <w:rPr>
          <w:rFonts w:cs="Arial"/>
          <w:b/>
          <w:sz w:val="22"/>
          <w:szCs w:val="22"/>
        </w:rPr>
        <w:t>Parametry vodních cest</w:t>
      </w:r>
    </w:p>
    <w:p w:rsidR="00326D76" w:rsidRDefault="00326D76" w:rsidP="00326D76">
      <w:pPr>
        <w:pStyle w:val="Zkladntextodsazen2"/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pStyle w:val="Zkladntextodsazen2"/>
        <w:spacing w:after="0" w:line="240" w:lineRule="auto"/>
        <w:ind w:left="0"/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Zákonem č.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114/1995 Sb.</w:t>
      </w:r>
      <w:r w:rsidR="000707DC">
        <w:rPr>
          <w:rStyle w:val="Znakapoznpodarou"/>
          <w:rFonts w:cs="Arial"/>
          <w:sz w:val="22"/>
          <w:szCs w:val="22"/>
        </w:rPr>
        <w:t>3</w:t>
      </w:r>
      <w:r w:rsidRPr="00444FF3">
        <w:rPr>
          <w:rStyle w:val="Znakapoznpodarou"/>
          <w:rFonts w:cs="Arial"/>
          <w:sz w:val="22"/>
          <w:szCs w:val="22"/>
          <w:vertAlign w:val="baseline"/>
        </w:rPr>
        <w:t xml:space="preserve"> </w:t>
      </w:r>
      <w:r w:rsidRPr="005F4D95">
        <w:rPr>
          <w:rFonts w:cs="Arial"/>
          <w:sz w:val="22"/>
          <w:szCs w:val="22"/>
        </w:rPr>
        <w:t>a jeho prováděcími předpisy</w:t>
      </w:r>
      <w:r w:rsidRPr="005F4D95">
        <w:rPr>
          <w:rFonts w:cs="Arial"/>
          <w:sz w:val="22"/>
          <w:szCs w:val="22"/>
          <w:vertAlign w:val="superscript"/>
        </w:rPr>
        <w:footnoteReference w:id="9"/>
      </w:r>
      <w:r w:rsidRPr="005F4D95">
        <w:rPr>
          <w:rFonts w:cs="Arial"/>
          <w:sz w:val="22"/>
          <w:szCs w:val="22"/>
        </w:rPr>
        <w:t xml:space="preserve"> je stanoveno rozdělení vodních cest do druhů a tříd a jejich základní parametry. Minimální plavební hloubky jsou stanoveny pouze pro nové a nově upravované vodní cesty. Minimální podjezdná výška mostů nad nejvyšší plavební hladinou je stanovena pouze pro mosty nově stavěné (7,0 m) a mosty rekonstruované (5,25 m). Podjezdné výšky mohou být pro úseky vodních cest dále upraveny plavebními vyhláškami vydávanými Státní plavební správou. </w:t>
      </w:r>
    </w:p>
    <w:p w:rsidR="00326D76" w:rsidRPr="005F4D95" w:rsidRDefault="00326D76" w:rsidP="00326D76">
      <w:pPr>
        <w:pStyle w:val="Zkladntextodsazen2"/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:rsidR="000705F2" w:rsidRDefault="00B5686B" w:rsidP="00326D76">
      <w:pPr>
        <w:pStyle w:val="Zkladntextodsazen2"/>
        <w:spacing w:after="0" w:line="240" w:lineRule="auto"/>
        <w:ind w:left="0"/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Z</w:t>
      </w:r>
      <w:r w:rsidR="004C5D1B">
        <w:rPr>
          <w:rFonts w:cs="Arial"/>
          <w:sz w:val="22"/>
          <w:szCs w:val="22"/>
        </w:rPr>
        <w:t xml:space="preserve"> </w:t>
      </w:r>
      <w:r w:rsidRPr="00604ED5">
        <w:rPr>
          <w:rFonts w:cs="Arial"/>
          <w:i/>
          <w:sz w:val="22"/>
          <w:szCs w:val="22"/>
        </w:rPr>
        <w:t>Evropské dohody o hlavních vnitrozemských vodních cestách mezinárodního významu (</w:t>
      </w:r>
      <w:proofErr w:type="gramStart"/>
      <w:r w:rsidRPr="00604ED5">
        <w:rPr>
          <w:rFonts w:cs="Arial"/>
          <w:i/>
          <w:sz w:val="22"/>
          <w:szCs w:val="22"/>
        </w:rPr>
        <w:t>AGN)</w:t>
      </w:r>
      <w:r w:rsidRPr="005F4D95">
        <w:rPr>
          <w:rFonts w:cs="Arial"/>
          <w:sz w:val="22"/>
          <w:szCs w:val="22"/>
        </w:rPr>
        <w:t xml:space="preserve"> (dále</w:t>
      </w:r>
      <w:proofErr w:type="gramEnd"/>
      <w:r w:rsidRPr="005F4D95">
        <w:rPr>
          <w:rFonts w:cs="Arial"/>
          <w:sz w:val="22"/>
          <w:szCs w:val="22"/>
        </w:rPr>
        <w:t xml:space="preserve"> také „Dohoda AGN“)</w:t>
      </w:r>
      <w:r w:rsidRPr="005F4D95">
        <w:rPr>
          <w:rFonts w:cs="Arial"/>
          <w:sz w:val="22"/>
          <w:szCs w:val="22"/>
          <w:vertAlign w:val="superscript"/>
        </w:rPr>
        <w:footnoteReference w:id="10"/>
      </w:r>
      <w:r w:rsidRPr="005F4D95">
        <w:rPr>
          <w:rFonts w:cs="Arial"/>
          <w:sz w:val="22"/>
          <w:szCs w:val="22"/>
        </w:rPr>
        <w:t xml:space="preserve"> vyplývá požadavek na přizpůsobení sítě vnitrozemských vodních cest a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jejich objektů parametrům odpovídajícím klasifikaci evropských vnitrozemských vodních cest, avšak jen podmíněně a neurčitě (např. doporučované podjezdné výšky mostů je třeba zajistit „</w:t>
      </w:r>
      <w:r w:rsidRPr="005F4D95">
        <w:rPr>
          <w:rFonts w:cs="Arial"/>
          <w:i/>
          <w:sz w:val="22"/>
          <w:szCs w:val="22"/>
        </w:rPr>
        <w:t>tam, kde je to možné a ekonomicky zdůvodněné</w:t>
      </w:r>
      <w:r w:rsidRPr="00604ED5">
        <w:rPr>
          <w:rFonts w:cs="Arial"/>
          <w:sz w:val="22"/>
          <w:szCs w:val="22"/>
        </w:rPr>
        <w:t>“</w:t>
      </w:r>
      <w:r w:rsidRPr="005F4D95">
        <w:rPr>
          <w:rFonts w:cs="Arial"/>
          <w:i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s připuštěním výjimek</w:t>
      </w:r>
      <w:r w:rsidRPr="005F4D95">
        <w:rPr>
          <w:rFonts w:cs="Arial"/>
          <w:i/>
          <w:sz w:val="22"/>
          <w:szCs w:val="22"/>
        </w:rPr>
        <w:t xml:space="preserve"> </w:t>
      </w:r>
      <w:r w:rsidRPr="00604ED5">
        <w:rPr>
          <w:rFonts w:cs="Arial"/>
          <w:sz w:val="22"/>
          <w:szCs w:val="22"/>
        </w:rPr>
        <w:t>„</w:t>
      </w:r>
      <w:r w:rsidRPr="005F4D95">
        <w:rPr>
          <w:rFonts w:cs="Arial"/>
          <w:i/>
          <w:sz w:val="22"/>
          <w:szCs w:val="22"/>
        </w:rPr>
        <w:t>ve vztahu k</w:t>
      </w:r>
      <w:r w:rsidR="004C5D1B">
        <w:rPr>
          <w:rFonts w:cs="Arial"/>
          <w:i/>
          <w:sz w:val="22"/>
          <w:szCs w:val="22"/>
        </w:rPr>
        <w:t xml:space="preserve"> </w:t>
      </w:r>
      <w:r w:rsidRPr="005F4D95">
        <w:rPr>
          <w:rFonts w:cs="Arial"/>
          <w:i/>
          <w:sz w:val="22"/>
          <w:szCs w:val="22"/>
        </w:rPr>
        <w:t>existujícím vodním cestám</w:t>
      </w:r>
      <w:r w:rsidRPr="00604ED5">
        <w:rPr>
          <w:rFonts w:cs="Arial"/>
          <w:sz w:val="22"/>
          <w:szCs w:val="22"/>
        </w:rPr>
        <w:t>“).</w:t>
      </w:r>
      <w:r w:rsidRPr="0010795A">
        <w:rPr>
          <w:rFonts w:cs="Arial"/>
          <w:sz w:val="22"/>
          <w:szCs w:val="22"/>
        </w:rPr>
        <w:t xml:space="preserve"> </w:t>
      </w:r>
    </w:p>
    <w:p w:rsidR="00326D76" w:rsidRDefault="00326D76" w:rsidP="00326D76">
      <w:pPr>
        <w:pStyle w:val="Zkladntextodsazen2"/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pStyle w:val="Zkladntextodsazen2"/>
        <w:spacing w:after="0" w:line="240" w:lineRule="auto"/>
        <w:ind w:left="0"/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Podle Dohody AGN má být na vnitrozemských vodních cestách mezinárodního významu zajištěna splavnost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průběhu celého plavebního období s „</w:t>
      </w:r>
      <w:r w:rsidRPr="005F4D95">
        <w:rPr>
          <w:rFonts w:cs="Arial"/>
          <w:i/>
          <w:sz w:val="22"/>
          <w:szCs w:val="22"/>
        </w:rPr>
        <w:t>rozumným omezením přípustných hodnot ponorů</w:t>
      </w:r>
      <w:r w:rsidRPr="005F4D95">
        <w:rPr>
          <w:rFonts w:cs="Arial"/>
          <w:sz w:val="22"/>
          <w:szCs w:val="22"/>
        </w:rPr>
        <w:t>“, přičemž trvale musí bý</w:t>
      </w:r>
      <w:r w:rsidR="0010795A">
        <w:rPr>
          <w:rFonts w:cs="Arial"/>
          <w:sz w:val="22"/>
          <w:szCs w:val="22"/>
        </w:rPr>
        <w:t>t zajištěn minimální ponor 1,20 </w:t>
      </w:r>
      <w:r w:rsidRPr="005F4D95">
        <w:rPr>
          <w:rFonts w:cs="Arial"/>
          <w:sz w:val="22"/>
          <w:szCs w:val="22"/>
        </w:rPr>
        <w:t>m a</w:t>
      </w:r>
      <w:r w:rsidR="003C7F30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 xml:space="preserve">hodnota doporučeného nebo obvyklého ponoru musí být zajištěna nejméně 240 dní v roce. </w:t>
      </w:r>
      <w:r w:rsidRPr="000705F2">
        <w:rPr>
          <w:rFonts w:cs="Arial"/>
          <w:b/>
          <w:sz w:val="22"/>
          <w:szCs w:val="22"/>
        </w:rPr>
        <w:t xml:space="preserve">Na labské vodní cestě tento požadavek </w:t>
      </w:r>
      <w:r w:rsidR="00F00870">
        <w:rPr>
          <w:rFonts w:cs="Arial"/>
          <w:b/>
          <w:sz w:val="22"/>
          <w:szCs w:val="22"/>
        </w:rPr>
        <w:t xml:space="preserve">Dohody AGN </w:t>
      </w:r>
      <w:r w:rsidRPr="000705F2">
        <w:rPr>
          <w:rFonts w:cs="Arial"/>
          <w:b/>
          <w:sz w:val="22"/>
          <w:szCs w:val="22"/>
        </w:rPr>
        <w:t>není dlouhodobě naplňován</w:t>
      </w:r>
      <w:r w:rsidR="0010795A">
        <w:rPr>
          <w:rFonts w:cs="Arial"/>
          <w:b/>
          <w:sz w:val="22"/>
          <w:szCs w:val="22"/>
        </w:rPr>
        <w:t>,</w:t>
      </w:r>
      <w:r w:rsidRPr="000705F2">
        <w:rPr>
          <w:rFonts w:cs="Arial"/>
          <w:b/>
          <w:sz w:val="22"/>
          <w:szCs w:val="22"/>
        </w:rPr>
        <w:t xml:space="preserve"> především v</w:t>
      </w:r>
      <w:r w:rsidR="004C5D1B">
        <w:rPr>
          <w:rFonts w:cs="Arial"/>
          <w:b/>
          <w:sz w:val="22"/>
          <w:szCs w:val="22"/>
        </w:rPr>
        <w:t xml:space="preserve"> </w:t>
      </w:r>
      <w:r w:rsidRPr="000705F2">
        <w:rPr>
          <w:rFonts w:cs="Arial"/>
          <w:b/>
          <w:sz w:val="22"/>
          <w:szCs w:val="22"/>
        </w:rPr>
        <w:t>problematické</w:t>
      </w:r>
      <w:r w:rsidR="00444FF3">
        <w:rPr>
          <w:rFonts w:cs="Arial"/>
          <w:b/>
          <w:sz w:val="22"/>
          <w:szCs w:val="22"/>
        </w:rPr>
        <w:t>m</w:t>
      </w:r>
      <w:r w:rsidRPr="000705F2">
        <w:rPr>
          <w:rFonts w:cs="Arial"/>
          <w:b/>
          <w:sz w:val="22"/>
          <w:szCs w:val="22"/>
        </w:rPr>
        <w:t xml:space="preserve"> plavební</w:t>
      </w:r>
      <w:r w:rsidR="00444FF3">
        <w:rPr>
          <w:rFonts w:cs="Arial"/>
          <w:b/>
          <w:sz w:val="22"/>
          <w:szCs w:val="22"/>
        </w:rPr>
        <w:t>m</w:t>
      </w:r>
      <w:r w:rsidRPr="000705F2">
        <w:rPr>
          <w:rFonts w:cs="Arial"/>
          <w:b/>
          <w:sz w:val="22"/>
          <w:szCs w:val="22"/>
        </w:rPr>
        <w:t xml:space="preserve"> úseku na dolním Labi</w:t>
      </w:r>
      <w:r w:rsidRPr="005F4D95">
        <w:rPr>
          <w:rFonts w:cs="Arial"/>
          <w:sz w:val="22"/>
          <w:szCs w:val="22"/>
        </w:rPr>
        <w:t xml:space="preserve"> mezi státní hranicí ČR/SRN a </w:t>
      </w:r>
      <w:r w:rsidR="00A73FCE">
        <w:rPr>
          <w:rFonts w:cs="Arial"/>
          <w:sz w:val="22"/>
          <w:szCs w:val="22"/>
        </w:rPr>
        <w:t>Ústí</w:t>
      </w:r>
      <w:r w:rsidR="00C40399">
        <w:rPr>
          <w:rFonts w:cs="Arial"/>
          <w:sz w:val="22"/>
          <w:szCs w:val="22"/>
        </w:rPr>
        <w:t>m</w:t>
      </w:r>
      <w:r w:rsidR="00A73FCE">
        <w:rPr>
          <w:rFonts w:cs="Arial"/>
          <w:sz w:val="22"/>
          <w:szCs w:val="22"/>
        </w:rPr>
        <w:t xml:space="preserve"> nad Labem</w:t>
      </w:r>
      <w:r w:rsidR="00444FF3">
        <w:rPr>
          <w:rFonts w:cs="Arial"/>
          <w:sz w:val="22"/>
          <w:szCs w:val="22"/>
        </w:rPr>
        <w:t xml:space="preserve"> – </w:t>
      </w:r>
      <w:proofErr w:type="spellStart"/>
      <w:r w:rsidRPr="005F4D95">
        <w:rPr>
          <w:rFonts w:cs="Arial"/>
          <w:sz w:val="22"/>
          <w:szCs w:val="22"/>
        </w:rPr>
        <w:t>Střekovem</w:t>
      </w:r>
      <w:proofErr w:type="spellEnd"/>
      <w:r w:rsidR="0012537C">
        <w:rPr>
          <w:rFonts w:cs="Arial"/>
          <w:sz w:val="22"/>
          <w:szCs w:val="22"/>
        </w:rPr>
        <w:t>, kde tyto parametry nejsou dodrž</w:t>
      </w:r>
      <w:r w:rsidR="00444FF3">
        <w:rPr>
          <w:rFonts w:cs="Arial"/>
          <w:sz w:val="22"/>
          <w:szCs w:val="22"/>
        </w:rPr>
        <w:t>ová</w:t>
      </w:r>
      <w:r w:rsidR="0012537C">
        <w:rPr>
          <w:rFonts w:cs="Arial"/>
          <w:sz w:val="22"/>
          <w:szCs w:val="22"/>
        </w:rPr>
        <w:t>ny až 200 dní v roce</w:t>
      </w:r>
      <w:r w:rsidRPr="005F4D95">
        <w:rPr>
          <w:rFonts w:cs="Arial"/>
          <w:sz w:val="22"/>
          <w:szCs w:val="22"/>
        </w:rPr>
        <w:t xml:space="preserve">. </w:t>
      </w:r>
    </w:p>
    <w:p w:rsidR="00326D76" w:rsidRPr="005F4D95" w:rsidRDefault="00326D76" w:rsidP="00326D76">
      <w:pPr>
        <w:pStyle w:val="Zkladntextodsazen2"/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:rsidR="00B5686B" w:rsidRPr="0010795A" w:rsidRDefault="0010795A" w:rsidP="0010795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B. </w:t>
      </w:r>
      <w:r w:rsidR="00B5686B" w:rsidRPr="0010795A">
        <w:rPr>
          <w:rFonts w:cs="Arial"/>
          <w:b/>
          <w:sz w:val="22"/>
          <w:szCs w:val="22"/>
        </w:rPr>
        <w:t>Koncepční dokumenty pro oblast rozvoje vodních cest a multimodální dopravy</w:t>
      </w:r>
    </w:p>
    <w:p w:rsidR="00326D76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Výchozím strategickým dokumentem pro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oblast dopravy a dopravní infrastruktury stanovujícím hlavní zásady rozvoje</w:t>
      </w:r>
      <w:r w:rsidR="00444FF3">
        <w:rPr>
          <w:rFonts w:cs="Arial"/>
          <w:sz w:val="22"/>
          <w:szCs w:val="22"/>
        </w:rPr>
        <w:t xml:space="preserve"> v této oblasti</w:t>
      </w:r>
      <w:r w:rsidRPr="005F4D95">
        <w:rPr>
          <w:rFonts w:cs="Arial"/>
          <w:sz w:val="22"/>
          <w:szCs w:val="22"/>
        </w:rPr>
        <w:t xml:space="preserve"> byla </w:t>
      </w:r>
      <w:r w:rsidRPr="005F4D95">
        <w:rPr>
          <w:rFonts w:cs="Arial"/>
          <w:i/>
          <w:sz w:val="22"/>
          <w:szCs w:val="22"/>
        </w:rPr>
        <w:t>Dopravní politika České republiky pro léta 2005–2013</w:t>
      </w:r>
      <w:r w:rsidRPr="005F4D95">
        <w:rPr>
          <w:rFonts w:cs="Arial"/>
          <w:sz w:val="22"/>
          <w:szCs w:val="22"/>
        </w:rPr>
        <w:t xml:space="preserve"> (dále také „Dopravní politika“)</w:t>
      </w:r>
      <w:r w:rsidRPr="005F4D95">
        <w:rPr>
          <w:rStyle w:val="Znakapoznpodarou"/>
          <w:rFonts w:cs="Arial"/>
          <w:sz w:val="22"/>
          <w:szCs w:val="22"/>
        </w:rPr>
        <w:footnoteReference w:id="11"/>
      </w:r>
      <w:r w:rsidRPr="005F4D95">
        <w:rPr>
          <w:rFonts w:cs="Arial"/>
          <w:sz w:val="22"/>
          <w:szCs w:val="22"/>
        </w:rPr>
        <w:t xml:space="preserve">. Vyhodnocení účinnosti Dopravní politiky vláda schválila </w:t>
      </w:r>
      <w:r w:rsidR="000F4E4E">
        <w:rPr>
          <w:rFonts w:cs="Arial"/>
          <w:sz w:val="22"/>
          <w:szCs w:val="22"/>
        </w:rPr>
        <w:t>v roce</w:t>
      </w:r>
      <w:r w:rsidRPr="005F4D95">
        <w:rPr>
          <w:rFonts w:cs="Arial"/>
          <w:sz w:val="22"/>
          <w:szCs w:val="22"/>
        </w:rPr>
        <w:t xml:space="preserve"> 2010</w:t>
      </w:r>
      <w:r w:rsidRPr="005F4D95">
        <w:rPr>
          <w:rStyle w:val="Znakapoznpodarou"/>
          <w:rFonts w:cs="Arial"/>
          <w:sz w:val="22"/>
          <w:szCs w:val="22"/>
        </w:rPr>
        <w:footnoteReference w:id="12"/>
      </w:r>
      <w:r w:rsidRPr="005F4D95">
        <w:rPr>
          <w:rFonts w:cs="Arial"/>
          <w:sz w:val="22"/>
          <w:szCs w:val="22"/>
        </w:rPr>
        <w:t xml:space="preserve">. Aktualizaci Dopravní politiky vláda schválila </w:t>
      </w:r>
      <w:r w:rsidR="000F4E4E">
        <w:rPr>
          <w:rFonts w:cs="Arial"/>
          <w:sz w:val="22"/>
          <w:szCs w:val="22"/>
        </w:rPr>
        <w:t>v</w:t>
      </w:r>
      <w:r w:rsidR="00444FF3">
        <w:rPr>
          <w:rFonts w:cs="Arial"/>
          <w:sz w:val="22"/>
          <w:szCs w:val="22"/>
        </w:rPr>
        <w:t> </w:t>
      </w:r>
      <w:r w:rsidR="000F4E4E">
        <w:rPr>
          <w:rFonts w:cs="Arial"/>
          <w:sz w:val="22"/>
          <w:szCs w:val="22"/>
        </w:rPr>
        <w:t xml:space="preserve">roce </w:t>
      </w:r>
      <w:r w:rsidRPr="005F4D95">
        <w:rPr>
          <w:rFonts w:cs="Arial"/>
          <w:sz w:val="22"/>
          <w:szCs w:val="22"/>
        </w:rPr>
        <w:t>2011</w:t>
      </w:r>
      <w:r w:rsidRPr="005F4D95">
        <w:rPr>
          <w:rStyle w:val="Znakapoznpodarou"/>
          <w:rFonts w:cs="Arial"/>
          <w:sz w:val="22"/>
          <w:szCs w:val="22"/>
        </w:rPr>
        <w:footnoteReference w:id="13"/>
      </w:r>
      <w:r w:rsidRPr="005F4D95">
        <w:rPr>
          <w:rFonts w:cs="Arial"/>
          <w:sz w:val="22"/>
          <w:szCs w:val="22"/>
        </w:rPr>
        <w:t xml:space="preserve">. 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Dopravní politika i vyhodnocení její účinnosti se zabývaly stanovením a naplňováním dlouhodobých priorit, specifických cílů a opatření pro jejich dosažení pouze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míře obecnosti, která strategickým dokumentům </w:t>
      </w:r>
      <w:r w:rsidR="00A73FCE">
        <w:rPr>
          <w:rFonts w:cs="Arial"/>
          <w:sz w:val="22"/>
          <w:szCs w:val="22"/>
        </w:rPr>
        <w:t xml:space="preserve">tohoto typu </w:t>
      </w:r>
      <w:r w:rsidRPr="005F4D95">
        <w:rPr>
          <w:rFonts w:cs="Arial"/>
          <w:sz w:val="22"/>
          <w:szCs w:val="22"/>
        </w:rPr>
        <w:t xml:space="preserve">přísluší. 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0F4E4E" w:rsidP="00326D7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roce </w:t>
      </w:r>
      <w:r w:rsidR="00B5686B" w:rsidRPr="005F4D95">
        <w:rPr>
          <w:rFonts w:cs="Arial"/>
          <w:sz w:val="22"/>
          <w:szCs w:val="22"/>
        </w:rPr>
        <w:t>2009</w:t>
      </w:r>
      <w:r w:rsidR="00A73FCE">
        <w:rPr>
          <w:rFonts w:cs="Arial"/>
          <w:sz w:val="22"/>
          <w:szCs w:val="22"/>
        </w:rPr>
        <w:t xml:space="preserve"> vláda</w:t>
      </w:r>
      <w:r w:rsidR="00B5686B" w:rsidRPr="005F4D95">
        <w:rPr>
          <w:rStyle w:val="Znakapoznpodarou"/>
          <w:rFonts w:cs="Arial"/>
          <w:sz w:val="22"/>
          <w:szCs w:val="22"/>
        </w:rPr>
        <w:footnoteReference w:id="14"/>
      </w:r>
      <w:r w:rsidR="00B5686B" w:rsidRPr="005F4D95">
        <w:rPr>
          <w:rFonts w:cs="Arial"/>
          <w:sz w:val="22"/>
          <w:szCs w:val="22"/>
        </w:rPr>
        <w:t xml:space="preserve"> vzala na vědomí dokument </w:t>
      </w:r>
      <w:r w:rsidR="00B5686B" w:rsidRPr="00604ED5">
        <w:rPr>
          <w:rFonts w:cs="Arial"/>
          <w:i/>
          <w:sz w:val="22"/>
          <w:szCs w:val="22"/>
        </w:rPr>
        <w:t>S</w:t>
      </w:r>
      <w:r w:rsidR="00B5686B" w:rsidRPr="005F4D95">
        <w:rPr>
          <w:rFonts w:cs="Arial"/>
          <w:i/>
          <w:sz w:val="22"/>
          <w:szCs w:val="22"/>
        </w:rPr>
        <w:t>trategie podpory logistiky z</w:t>
      </w:r>
      <w:r w:rsidR="004C5D1B">
        <w:rPr>
          <w:rFonts w:cs="Arial"/>
          <w:i/>
          <w:sz w:val="22"/>
          <w:szCs w:val="22"/>
        </w:rPr>
        <w:t xml:space="preserve"> </w:t>
      </w:r>
      <w:r w:rsidR="00B5686B" w:rsidRPr="005F4D95">
        <w:rPr>
          <w:rFonts w:cs="Arial"/>
          <w:i/>
          <w:sz w:val="22"/>
          <w:szCs w:val="22"/>
        </w:rPr>
        <w:t>veřejných zdrojů</w:t>
      </w:r>
      <w:r w:rsidR="00B5686B" w:rsidRPr="005F4D95">
        <w:rPr>
          <w:rFonts w:cs="Arial"/>
          <w:sz w:val="22"/>
          <w:szCs w:val="22"/>
        </w:rPr>
        <w:t xml:space="preserve"> (dále také „Strategie podpory logistiky“) jako „</w:t>
      </w:r>
      <w:r w:rsidR="00B5686B" w:rsidRPr="005F4D95">
        <w:rPr>
          <w:rFonts w:cs="Arial"/>
          <w:i/>
          <w:sz w:val="22"/>
          <w:szCs w:val="22"/>
        </w:rPr>
        <w:t>výchozí systémový přístup pro veřejnou podporu logistiky napojené na více druhů dopravy</w:t>
      </w:r>
      <w:r w:rsidR="00B5686B" w:rsidRPr="005F4D95">
        <w:rPr>
          <w:rFonts w:cs="Arial"/>
          <w:sz w:val="22"/>
          <w:szCs w:val="22"/>
        </w:rPr>
        <w:t>“. Podle tohoto dokumentu měla být podpora logistiky v</w:t>
      </w:r>
      <w:r w:rsidR="004C5D1B">
        <w:rPr>
          <w:rFonts w:cs="Arial"/>
          <w:sz w:val="22"/>
          <w:szCs w:val="22"/>
        </w:rPr>
        <w:t xml:space="preserve"> </w:t>
      </w:r>
      <w:r w:rsidR="00B5686B" w:rsidRPr="005F4D95">
        <w:rPr>
          <w:rFonts w:cs="Arial"/>
          <w:sz w:val="22"/>
          <w:szCs w:val="22"/>
        </w:rPr>
        <w:t>gesci resortu dopravy realizována prostřednictvím tří programů s</w:t>
      </w:r>
      <w:r w:rsidR="006764CC">
        <w:rPr>
          <w:rFonts w:cs="Arial"/>
          <w:sz w:val="22"/>
          <w:szCs w:val="22"/>
        </w:rPr>
        <w:t> </w:t>
      </w:r>
      <w:r w:rsidR="00B5686B" w:rsidRPr="005F4D95">
        <w:rPr>
          <w:rFonts w:cs="Arial"/>
          <w:sz w:val="22"/>
          <w:szCs w:val="22"/>
        </w:rPr>
        <w:t>celkovým objemem podpory z</w:t>
      </w:r>
      <w:r w:rsidR="004C5D1B">
        <w:rPr>
          <w:rFonts w:cs="Arial"/>
          <w:sz w:val="22"/>
          <w:szCs w:val="22"/>
        </w:rPr>
        <w:t xml:space="preserve"> </w:t>
      </w:r>
      <w:r w:rsidR="00B5686B" w:rsidRPr="005F4D95">
        <w:rPr>
          <w:rFonts w:cs="Arial"/>
          <w:sz w:val="22"/>
          <w:szCs w:val="22"/>
        </w:rPr>
        <w:t xml:space="preserve">prostředků </w:t>
      </w:r>
      <w:r w:rsidR="00B5686B" w:rsidRPr="00604ED5">
        <w:rPr>
          <w:rFonts w:cs="Arial"/>
          <w:i/>
          <w:sz w:val="22"/>
          <w:szCs w:val="22"/>
        </w:rPr>
        <w:t>Evropského fondu regionálního rozvoje</w:t>
      </w:r>
      <w:r w:rsidR="00B5686B" w:rsidRPr="005F4D95">
        <w:rPr>
          <w:rFonts w:cs="Arial"/>
          <w:sz w:val="22"/>
          <w:szCs w:val="22"/>
        </w:rPr>
        <w:t xml:space="preserve"> (dále </w:t>
      </w:r>
      <w:r w:rsidR="00444FF3">
        <w:rPr>
          <w:rFonts w:cs="Arial"/>
          <w:sz w:val="22"/>
          <w:szCs w:val="22"/>
        </w:rPr>
        <w:t>jen</w:t>
      </w:r>
      <w:r w:rsidR="00B5686B" w:rsidRPr="005F4D95">
        <w:rPr>
          <w:rFonts w:cs="Arial"/>
          <w:sz w:val="22"/>
          <w:szCs w:val="22"/>
        </w:rPr>
        <w:t xml:space="preserve"> „ERDF“) pro období let 2007</w:t>
      </w:r>
      <w:r w:rsidR="00AB146A">
        <w:rPr>
          <w:rFonts w:cs="Arial"/>
          <w:sz w:val="22"/>
          <w:szCs w:val="22"/>
        </w:rPr>
        <w:t>–</w:t>
      </w:r>
      <w:r w:rsidR="00B5686B" w:rsidRPr="005F4D95">
        <w:rPr>
          <w:rFonts w:cs="Arial"/>
          <w:sz w:val="22"/>
          <w:szCs w:val="22"/>
        </w:rPr>
        <w:t>2013 ve výši až 2,2 mld. Kč.</w:t>
      </w:r>
      <w:r w:rsidR="0015059A">
        <w:rPr>
          <w:rFonts w:cs="Arial"/>
          <w:sz w:val="22"/>
          <w:szCs w:val="22"/>
        </w:rPr>
        <w:t xml:space="preserve"> 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326D76">
      <w:pPr>
        <w:jc w:val="both"/>
        <w:rPr>
          <w:rFonts w:cs="Arial"/>
          <w:b/>
          <w:sz w:val="22"/>
          <w:szCs w:val="22"/>
        </w:rPr>
      </w:pPr>
      <w:r w:rsidRPr="005F4D95">
        <w:rPr>
          <w:rFonts w:cs="Arial"/>
          <w:sz w:val="22"/>
          <w:szCs w:val="22"/>
        </w:rPr>
        <w:t>Plnění Strategie podpory logistiky mělo být sledováno a vyhodnocováno průběžně po jednotlivých etapách a celkově vyhodnoceno nejpozději do pěti let od jejího schválení. MD však uvedený postup do doby ukončení kontroly ne</w:t>
      </w:r>
      <w:r w:rsidR="002E615F">
        <w:rPr>
          <w:rFonts w:cs="Arial"/>
          <w:sz w:val="22"/>
          <w:szCs w:val="22"/>
        </w:rPr>
        <w:t>dodržoval</w:t>
      </w:r>
      <w:r w:rsidRPr="005F4D95">
        <w:rPr>
          <w:rFonts w:cs="Arial"/>
          <w:sz w:val="22"/>
          <w:szCs w:val="22"/>
        </w:rPr>
        <w:t xml:space="preserve">o. </w:t>
      </w:r>
      <w:r w:rsidRPr="005F4D95">
        <w:rPr>
          <w:rFonts w:cs="Arial"/>
          <w:b/>
          <w:sz w:val="22"/>
          <w:szCs w:val="22"/>
        </w:rPr>
        <w:t>V rámci OPD byl realizován jen jediný program</w:t>
      </w:r>
      <w:r w:rsidR="00633B8C">
        <w:rPr>
          <w:rFonts w:cs="Arial"/>
          <w:b/>
          <w:sz w:val="22"/>
          <w:szCs w:val="22"/>
        </w:rPr>
        <w:t>, a to</w:t>
      </w:r>
      <w:r w:rsidRPr="005F4D95">
        <w:rPr>
          <w:rFonts w:cs="Arial"/>
          <w:b/>
          <w:sz w:val="22"/>
          <w:szCs w:val="22"/>
        </w:rPr>
        <w:t xml:space="preserve"> </w:t>
      </w:r>
      <w:r w:rsidRPr="000E1FD2">
        <w:rPr>
          <w:rFonts w:cs="Arial"/>
          <w:b/>
          <w:i/>
          <w:sz w:val="22"/>
          <w:szCs w:val="22"/>
        </w:rPr>
        <w:t>Podpora revitalizace železničních vleček</w:t>
      </w:r>
      <w:r w:rsidRPr="005F4D95">
        <w:rPr>
          <w:rFonts w:cs="Arial"/>
          <w:b/>
          <w:sz w:val="22"/>
          <w:szCs w:val="22"/>
        </w:rPr>
        <w:t>, do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něhož bylo v</w:t>
      </w:r>
      <w:r w:rsidR="00633B8C">
        <w:rPr>
          <w:rFonts w:cs="Arial"/>
          <w:b/>
          <w:sz w:val="22"/>
          <w:szCs w:val="22"/>
        </w:rPr>
        <w:t> </w:t>
      </w:r>
      <w:r w:rsidRPr="005F4D95">
        <w:rPr>
          <w:rFonts w:cs="Arial"/>
          <w:b/>
          <w:sz w:val="22"/>
          <w:szCs w:val="22"/>
        </w:rPr>
        <w:t>období od listopadu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 xml:space="preserve">2007 (vyhlášení první výzvy) do června 2014 zařazeno </w:t>
      </w:r>
      <w:r w:rsidR="0015059A">
        <w:rPr>
          <w:rFonts w:cs="Arial"/>
          <w:b/>
          <w:sz w:val="22"/>
          <w:szCs w:val="22"/>
        </w:rPr>
        <w:t xml:space="preserve">šest </w:t>
      </w:r>
      <w:r w:rsidRPr="005F4D95">
        <w:rPr>
          <w:rFonts w:cs="Arial"/>
          <w:b/>
          <w:sz w:val="22"/>
          <w:szCs w:val="22"/>
        </w:rPr>
        <w:t>projektů s</w:t>
      </w:r>
      <w:r w:rsidR="006764CC">
        <w:rPr>
          <w:rFonts w:cs="Arial"/>
          <w:b/>
          <w:sz w:val="22"/>
          <w:szCs w:val="22"/>
        </w:rPr>
        <w:t> </w:t>
      </w:r>
      <w:r w:rsidRPr="005F4D95">
        <w:rPr>
          <w:rFonts w:cs="Arial"/>
          <w:b/>
          <w:sz w:val="22"/>
          <w:szCs w:val="22"/>
        </w:rPr>
        <w:t>celkovou výší veřejné podpory 120,4 mil. Kč, z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 xml:space="preserve">toho 102,3 mil. Kč </w:t>
      </w:r>
      <w:r w:rsidR="00444FF3">
        <w:rPr>
          <w:rFonts w:cs="Arial"/>
          <w:b/>
          <w:sz w:val="22"/>
          <w:szCs w:val="22"/>
        </w:rPr>
        <w:t>tvořily prostředky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ERDF, což představuje pouhý zlomek původně uvažované podpory.</w:t>
      </w:r>
    </w:p>
    <w:p w:rsidR="00326D76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roce 2012 vláda vzala na vědomí dva dokumenty</w:t>
      </w:r>
      <w:r w:rsidRPr="005F4D95">
        <w:rPr>
          <w:rStyle w:val="Znakapoznpodarou"/>
          <w:rFonts w:cs="Arial"/>
          <w:sz w:val="22"/>
          <w:szCs w:val="22"/>
        </w:rPr>
        <w:footnoteReference w:id="15"/>
      </w:r>
      <w:r w:rsidR="00230666">
        <w:rPr>
          <w:rFonts w:cs="Arial"/>
          <w:sz w:val="22"/>
          <w:szCs w:val="22"/>
          <w:vertAlign w:val="superscript"/>
        </w:rPr>
        <w:t>,</w:t>
      </w:r>
      <w:r w:rsidRPr="005F4D95">
        <w:rPr>
          <w:rStyle w:val="Znakapoznpodarou"/>
          <w:rFonts w:cs="Arial"/>
          <w:sz w:val="22"/>
          <w:szCs w:val="22"/>
        </w:rPr>
        <w:footnoteReference w:id="16"/>
      </w:r>
      <w:r w:rsidRPr="005F4D95">
        <w:rPr>
          <w:rFonts w:cs="Arial"/>
          <w:sz w:val="22"/>
          <w:szCs w:val="22"/>
        </w:rPr>
        <w:t xml:space="preserve"> obsah</w:t>
      </w:r>
      <w:r w:rsidR="000F4E4E">
        <w:rPr>
          <w:rFonts w:cs="Arial"/>
          <w:sz w:val="22"/>
          <w:szCs w:val="22"/>
        </w:rPr>
        <w:t>ující</w:t>
      </w:r>
      <w:r w:rsidRPr="005F4D95">
        <w:rPr>
          <w:rFonts w:cs="Arial"/>
          <w:sz w:val="22"/>
          <w:szCs w:val="22"/>
        </w:rPr>
        <w:t xml:space="preserve"> rekapitulac</w:t>
      </w:r>
      <w:r w:rsidR="000707DC">
        <w:rPr>
          <w:rFonts w:cs="Arial"/>
          <w:sz w:val="22"/>
          <w:szCs w:val="22"/>
        </w:rPr>
        <w:t>i</w:t>
      </w:r>
      <w:r w:rsidRPr="005F4D95">
        <w:rPr>
          <w:rFonts w:cs="Arial"/>
          <w:sz w:val="22"/>
          <w:szCs w:val="22"/>
        </w:rPr>
        <w:t xml:space="preserve"> aktuálního stavu a očekávaného vývoje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oblasti vodní dopravy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ČR a</w:t>
      </w:r>
      <w:r w:rsidR="00444FF3">
        <w:rPr>
          <w:rFonts w:cs="Arial"/>
          <w:sz w:val="22"/>
          <w:szCs w:val="22"/>
        </w:rPr>
        <w:t> informace o</w:t>
      </w:r>
      <w:r w:rsidRPr="005F4D95">
        <w:rPr>
          <w:rFonts w:cs="Arial"/>
          <w:sz w:val="22"/>
          <w:szCs w:val="22"/>
        </w:rPr>
        <w:t xml:space="preserve"> jej</w:t>
      </w:r>
      <w:r w:rsidR="00444FF3">
        <w:rPr>
          <w:rFonts w:cs="Arial"/>
          <w:sz w:val="22"/>
          <w:szCs w:val="22"/>
        </w:rPr>
        <w:t>í</w:t>
      </w:r>
      <w:r w:rsidRPr="005F4D95">
        <w:rPr>
          <w:rFonts w:cs="Arial"/>
          <w:sz w:val="22"/>
          <w:szCs w:val="22"/>
        </w:rPr>
        <w:t>ch klíčových projekt</w:t>
      </w:r>
      <w:r w:rsidR="00444FF3">
        <w:rPr>
          <w:rFonts w:cs="Arial"/>
          <w:sz w:val="22"/>
          <w:szCs w:val="22"/>
        </w:rPr>
        <w:t>ech</w:t>
      </w:r>
      <w:r w:rsidRPr="005F4D95">
        <w:rPr>
          <w:rFonts w:cs="Arial"/>
          <w:sz w:val="22"/>
          <w:szCs w:val="22"/>
        </w:rPr>
        <w:t>.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 xml:space="preserve">Dokument </w:t>
      </w:r>
      <w:r w:rsidRPr="005F4D95">
        <w:rPr>
          <w:rFonts w:cs="Arial"/>
          <w:i/>
          <w:sz w:val="22"/>
          <w:szCs w:val="22"/>
        </w:rPr>
        <w:t>Dopravní politika České republiky pro období let 2014 až 2020 s výhledem do roku 2050</w:t>
      </w:r>
      <w:r w:rsidRPr="005F4D95">
        <w:rPr>
          <w:rFonts w:cs="Arial"/>
          <w:sz w:val="22"/>
          <w:szCs w:val="22"/>
        </w:rPr>
        <w:t xml:space="preserve"> (dále jen „Dopravní politika 2014“) vláda schválila </w:t>
      </w:r>
      <w:r w:rsidR="000F4E4E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="000F4E4E">
        <w:rPr>
          <w:rFonts w:cs="Arial"/>
          <w:sz w:val="22"/>
          <w:szCs w:val="22"/>
        </w:rPr>
        <w:t xml:space="preserve">červnu </w:t>
      </w:r>
      <w:r w:rsidRPr="005F4D95">
        <w:rPr>
          <w:rFonts w:cs="Arial"/>
          <w:sz w:val="22"/>
          <w:szCs w:val="22"/>
        </w:rPr>
        <w:t>2013</w:t>
      </w:r>
      <w:r w:rsidRPr="005F4D95">
        <w:rPr>
          <w:rStyle w:val="Znakapoznpodarou"/>
          <w:rFonts w:cs="Arial"/>
          <w:sz w:val="22"/>
          <w:szCs w:val="22"/>
        </w:rPr>
        <w:footnoteReference w:id="17"/>
      </w:r>
      <w:r w:rsidRPr="005F4D95">
        <w:rPr>
          <w:rFonts w:cs="Arial"/>
          <w:sz w:val="22"/>
          <w:szCs w:val="22"/>
        </w:rPr>
        <w:t>. Konkretizaci cílů a priorit rozvoje jednotlivých druhů dopravní infrastruktury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návaznosti na očekávaný vývoj dopravních potřeb a možnosti financování infrastrukturních investic </w:t>
      </w:r>
      <w:r w:rsidR="00C40399">
        <w:rPr>
          <w:rFonts w:cs="Arial"/>
          <w:sz w:val="22"/>
          <w:szCs w:val="22"/>
        </w:rPr>
        <w:t>obsah</w:t>
      </w:r>
      <w:r w:rsidR="00A01293">
        <w:rPr>
          <w:rFonts w:cs="Arial"/>
          <w:sz w:val="22"/>
          <w:szCs w:val="22"/>
        </w:rPr>
        <w:t>uje</w:t>
      </w:r>
      <w:r w:rsidRPr="005F4D95">
        <w:rPr>
          <w:rFonts w:cs="Arial"/>
          <w:sz w:val="22"/>
          <w:szCs w:val="22"/>
        </w:rPr>
        <w:t xml:space="preserve"> dokument </w:t>
      </w:r>
      <w:r w:rsidRPr="005F4D95">
        <w:rPr>
          <w:rFonts w:cs="Arial"/>
          <w:i/>
          <w:sz w:val="22"/>
          <w:szCs w:val="22"/>
        </w:rPr>
        <w:t>Dopravní sektorové strategie 2. fáze</w:t>
      </w:r>
      <w:r w:rsidRPr="005F4D95">
        <w:rPr>
          <w:rFonts w:cs="Arial"/>
          <w:sz w:val="22"/>
          <w:szCs w:val="22"/>
        </w:rPr>
        <w:t xml:space="preserve"> (dále jen „Dopravní strategie“), který vláda schválila </w:t>
      </w:r>
      <w:r w:rsidR="000F4E4E">
        <w:rPr>
          <w:rFonts w:cs="Arial"/>
          <w:sz w:val="22"/>
          <w:szCs w:val="22"/>
        </w:rPr>
        <w:t xml:space="preserve">v listopadu </w:t>
      </w:r>
      <w:r w:rsidRPr="005F4D95">
        <w:rPr>
          <w:rFonts w:cs="Arial"/>
          <w:sz w:val="22"/>
          <w:szCs w:val="22"/>
        </w:rPr>
        <w:t>2013</w:t>
      </w:r>
      <w:r w:rsidRPr="005F4D95">
        <w:rPr>
          <w:rStyle w:val="Znakapoznpodarou"/>
          <w:rFonts w:cs="Arial"/>
          <w:sz w:val="22"/>
          <w:szCs w:val="22"/>
        </w:rPr>
        <w:footnoteReference w:id="18"/>
      </w:r>
      <w:r w:rsidRPr="005F4D95">
        <w:rPr>
          <w:rFonts w:cs="Arial"/>
          <w:sz w:val="22"/>
          <w:szCs w:val="22"/>
        </w:rPr>
        <w:t>.</w:t>
      </w:r>
      <w:r w:rsidR="0015059A">
        <w:rPr>
          <w:rFonts w:cs="Arial"/>
          <w:sz w:val="22"/>
          <w:szCs w:val="22"/>
        </w:rPr>
        <w:t xml:space="preserve"> </w:t>
      </w:r>
    </w:p>
    <w:p w:rsidR="00326D76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color w:val="000000" w:themeColor="text1"/>
          <w:sz w:val="22"/>
          <w:szCs w:val="22"/>
        </w:rPr>
      </w:pPr>
      <w:r w:rsidRPr="005F4D95">
        <w:rPr>
          <w:rFonts w:cs="Arial"/>
          <w:sz w:val="22"/>
          <w:szCs w:val="22"/>
        </w:rPr>
        <w:t xml:space="preserve">Dopravní politika 2014 </w:t>
      </w:r>
      <w:r w:rsidR="00444FF3">
        <w:rPr>
          <w:rFonts w:cs="Arial"/>
          <w:sz w:val="22"/>
          <w:szCs w:val="22"/>
        </w:rPr>
        <w:t>(</w:t>
      </w:r>
      <w:r w:rsidRPr="005F4D95">
        <w:rPr>
          <w:rFonts w:cs="Arial"/>
          <w:sz w:val="22"/>
          <w:szCs w:val="22"/>
        </w:rPr>
        <w:t>obdobně jako předchozí Dopravní politika</w:t>
      </w:r>
      <w:r w:rsidR="00444FF3">
        <w:rPr>
          <w:rFonts w:cs="Arial"/>
          <w:sz w:val="22"/>
          <w:szCs w:val="22"/>
        </w:rPr>
        <w:t>)</w:t>
      </w:r>
      <w:r w:rsidRPr="005F4D95">
        <w:rPr>
          <w:rFonts w:cs="Arial"/>
          <w:sz w:val="22"/>
          <w:szCs w:val="22"/>
        </w:rPr>
        <w:t xml:space="preserve"> </w:t>
      </w:r>
      <w:r w:rsidR="002F7E3E">
        <w:rPr>
          <w:rFonts w:cs="Arial"/>
          <w:sz w:val="22"/>
          <w:szCs w:val="22"/>
        </w:rPr>
        <w:t>stanovuje dlouhodobé priority</w:t>
      </w:r>
      <w:r w:rsidRPr="005F4D95">
        <w:rPr>
          <w:rFonts w:cs="Arial"/>
          <w:sz w:val="22"/>
          <w:szCs w:val="22"/>
        </w:rPr>
        <w:t>, specifick</w:t>
      </w:r>
      <w:r w:rsidR="002F7E3E">
        <w:rPr>
          <w:rFonts w:cs="Arial"/>
          <w:sz w:val="22"/>
          <w:szCs w:val="22"/>
        </w:rPr>
        <w:t>é</w:t>
      </w:r>
      <w:r w:rsidRPr="005F4D95">
        <w:rPr>
          <w:rFonts w:cs="Arial"/>
          <w:sz w:val="22"/>
          <w:szCs w:val="22"/>
        </w:rPr>
        <w:t xml:space="preserve"> cíl</w:t>
      </w:r>
      <w:r w:rsidR="002F7E3E">
        <w:rPr>
          <w:rFonts w:cs="Arial"/>
          <w:sz w:val="22"/>
          <w:szCs w:val="22"/>
        </w:rPr>
        <w:t>e</w:t>
      </w:r>
      <w:r w:rsidRPr="005F4D95">
        <w:rPr>
          <w:rFonts w:cs="Arial"/>
          <w:sz w:val="22"/>
          <w:szCs w:val="22"/>
        </w:rPr>
        <w:t xml:space="preserve"> a opatření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tím, že jejich konkretizaci mají </w:t>
      </w:r>
      <w:r w:rsidR="00A01293">
        <w:rPr>
          <w:rFonts w:cs="Arial"/>
          <w:sz w:val="22"/>
          <w:szCs w:val="22"/>
        </w:rPr>
        <w:t>poskytnout</w:t>
      </w:r>
      <w:r w:rsidRPr="005F4D95">
        <w:rPr>
          <w:rFonts w:cs="Arial"/>
          <w:sz w:val="22"/>
          <w:szCs w:val="22"/>
        </w:rPr>
        <w:t xml:space="preserve"> Dopravní strategie a navazující koncepční dokumenty pro jednotlivé oblasti </w:t>
      </w:r>
      <w:r w:rsidR="002F7E3E">
        <w:rPr>
          <w:rFonts w:cs="Arial"/>
          <w:sz w:val="22"/>
          <w:szCs w:val="22"/>
        </w:rPr>
        <w:t>d</w:t>
      </w:r>
      <w:r w:rsidRPr="005F4D95">
        <w:rPr>
          <w:rFonts w:cs="Arial"/>
          <w:sz w:val="22"/>
          <w:szCs w:val="22"/>
        </w:rPr>
        <w:t xml:space="preserve">opravní politiky, resp. druhy dopravy. </w:t>
      </w:r>
      <w:r w:rsidR="00674D58">
        <w:rPr>
          <w:rFonts w:cs="Arial"/>
          <w:b/>
          <w:sz w:val="22"/>
          <w:szCs w:val="22"/>
        </w:rPr>
        <w:t>Systém indikátorů Dopravní politiky 2014 neumožňuje</w:t>
      </w:r>
      <w:r w:rsidR="00AC52BB">
        <w:rPr>
          <w:rFonts w:cs="Arial"/>
          <w:b/>
          <w:sz w:val="22"/>
          <w:szCs w:val="22"/>
        </w:rPr>
        <w:t xml:space="preserve"> v</w:t>
      </w:r>
      <w:r w:rsidR="004C5D1B">
        <w:rPr>
          <w:rFonts w:cs="Arial"/>
          <w:b/>
          <w:sz w:val="22"/>
          <w:szCs w:val="22"/>
        </w:rPr>
        <w:t xml:space="preserve"> </w:t>
      </w:r>
      <w:r w:rsidR="007D62A3">
        <w:rPr>
          <w:rFonts w:cs="Arial"/>
          <w:b/>
          <w:sz w:val="22"/>
          <w:szCs w:val="22"/>
        </w:rPr>
        <w:t>oblasti vodní a </w:t>
      </w:r>
      <w:r w:rsidR="00AC52BB">
        <w:rPr>
          <w:rFonts w:cs="Arial"/>
          <w:b/>
          <w:sz w:val="22"/>
          <w:szCs w:val="22"/>
        </w:rPr>
        <w:t>multimodální dopravy</w:t>
      </w:r>
      <w:r w:rsidR="002F7E3E">
        <w:rPr>
          <w:rFonts w:cs="Arial"/>
          <w:b/>
          <w:sz w:val="22"/>
          <w:szCs w:val="22"/>
        </w:rPr>
        <w:t xml:space="preserve"> objektivně a </w:t>
      </w:r>
      <w:r w:rsidRPr="005F4D95">
        <w:rPr>
          <w:rFonts w:cs="Arial"/>
          <w:b/>
          <w:sz w:val="22"/>
          <w:szCs w:val="22"/>
        </w:rPr>
        <w:t>měřiteln</w:t>
      </w:r>
      <w:r w:rsidR="002F7E3E">
        <w:rPr>
          <w:rFonts w:cs="Arial"/>
          <w:b/>
          <w:sz w:val="22"/>
          <w:szCs w:val="22"/>
        </w:rPr>
        <w:t>ě</w:t>
      </w:r>
      <w:r w:rsidRPr="005F4D95">
        <w:rPr>
          <w:rFonts w:cs="Arial"/>
          <w:b/>
          <w:sz w:val="22"/>
          <w:szCs w:val="22"/>
        </w:rPr>
        <w:t xml:space="preserve"> vyhodnocov</w:t>
      </w:r>
      <w:r w:rsidR="002F7E3E">
        <w:rPr>
          <w:rFonts w:cs="Arial"/>
          <w:b/>
          <w:sz w:val="22"/>
          <w:szCs w:val="22"/>
        </w:rPr>
        <w:t>at</w:t>
      </w:r>
      <w:r w:rsidRPr="005F4D95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bCs/>
          <w:iCs/>
          <w:sz w:val="22"/>
          <w:szCs w:val="22"/>
        </w:rPr>
        <w:t>účinnost opatření</w:t>
      </w:r>
      <w:r w:rsidR="002F7E3E">
        <w:rPr>
          <w:rFonts w:cs="Arial"/>
          <w:b/>
          <w:bCs/>
          <w:iCs/>
          <w:sz w:val="22"/>
          <w:szCs w:val="22"/>
        </w:rPr>
        <w:t>,</w:t>
      </w:r>
      <w:r w:rsidRPr="005F4D95">
        <w:rPr>
          <w:rFonts w:cs="Arial"/>
          <w:b/>
          <w:bCs/>
          <w:iCs/>
          <w:sz w:val="22"/>
          <w:szCs w:val="22"/>
        </w:rPr>
        <w:t xml:space="preserve"> mír</w:t>
      </w:r>
      <w:r w:rsidR="002F7E3E">
        <w:rPr>
          <w:rFonts w:cs="Arial"/>
          <w:b/>
          <w:bCs/>
          <w:iCs/>
          <w:sz w:val="22"/>
          <w:szCs w:val="22"/>
        </w:rPr>
        <w:t>u</w:t>
      </w:r>
      <w:r w:rsidRPr="005F4D95">
        <w:rPr>
          <w:rFonts w:cs="Arial"/>
          <w:b/>
          <w:bCs/>
          <w:iCs/>
          <w:sz w:val="22"/>
          <w:szCs w:val="22"/>
        </w:rPr>
        <w:t xml:space="preserve"> odstranění identifikovaných nedostatků a</w:t>
      </w:r>
      <w:r w:rsidR="002F7E3E">
        <w:rPr>
          <w:rFonts w:cs="Arial"/>
          <w:b/>
          <w:bCs/>
          <w:iCs/>
          <w:sz w:val="22"/>
          <w:szCs w:val="22"/>
        </w:rPr>
        <w:t>ni</w:t>
      </w:r>
      <w:r w:rsidRPr="005F4D95">
        <w:rPr>
          <w:rFonts w:cs="Arial"/>
          <w:b/>
          <w:bCs/>
          <w:iCs/>
          <w:sz w:val="22"/>
          <w:szCs w:val="22"/>
        </w:rPr>
        <w:t xml:space="preserve"> dosažení cílů a priorit.</w:t>
      </w:r>
      <w:r w:rsidRPr="005F4D95">
        <w:rPr>
          <w:rFonts w:cs="Arial"/>
          <w:bCs/>
          <w:iCs/>
          <w:sz w:val="22"/>
          <w:szCs w:val="22"/>
        </w:rPr>
        <w:t xml:space="preserve"> Pro</w:t>
      </w:r>
      <w:r w:rsidRPr="005F4D95">
        <w:rPr>
          <w:rFonts w:cs="Arial"/>
          <w:sz w:val="22"/>
          <w:szCs w:val="22"/>
        </w:rPr>
        <w:t xml:space="preserve"> oblast </w:t>
      </w:r>
      <w:r w:rsidR="00A064EF">
        <w:rPr>
          <w:rFonts w:cs="Arial"/>
          <w:sz w:val="22"/>
          <w:szCs w:val="22"/>
        </w:rPr>
        <w:t xml:space="preserve">vodní dopravy </w:t>
      </w:r>
      <w:r w:rsidRPr="005F4D95">
        <w:rPr>
          <w:rFonts w:cs="Arial"/>
          <w:sz w:val="22"/>
          <w:szCs w:val="22"/>
        </w:rPr>
        <w:t>nejsou stanoveny žádné samostatné indikátory, ale pouze jeden souhrnný indikátor pro vodní dopravu společně se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železniční dopravou</w:t>
      </w:r>
      <w:r w:rsidR="002F7E3E">
        <w:rPr>
          <w:rFonts w:cs="Arial"/>
          <w:sz w:val="22"/>
          <w:szCs w:val="22"/>
        </w:rPr>
        <w:t>; u tohoto indikátoru však</w:t>
      </w:r>
      <w:r w:rsidRPr="005F4D95">
        <w:rPr>
          <w:rFonts w:cs="Arial"/>
          <w:sz w:val="22"/>
          <w:szCs w:val="22"/>
        </w:rPr>
        <w:t xml:space="preserve"> navíc </w:t>
      </w:r>
      <w:r w:rsidR="00A5590D">
        <w:rPr>
          <w:rFonts w:cs="Arial"/>
          <w:sz w:val="22"/>
          <w:szCs w:val="22"/>
        </w:rPr>
        <w:t>není zřejmé, jak byl stanoven a </w:t>
      </w:r>
      <w:r w:rsidR="00633B8C">
        <w:rPr>
          <w:rFonts w:cs="Arial"/>
          <w:sz w:val="22"/>
          <w:szCs w:val="22"/>
        </w:rPr>
        <w:t>na základě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jakých podkladů bude sledován jeho vývoj.</w:t>
      </w:r>
      <w:r w:rsidRPr="00326D76">
        <w:rPr>
          <w:rFonts w:cs="Arial"/>
          <w:color w:val="000000" w:themeColor="text1"/>
          <w:sz w:val="22"/>
          <w:szCs w:val="22"/>
        </w:rPr>
        <w:t xml:space="preserve"> </w:t>
      </w:r>
    </w:p>
    <w:p w:rsidR="00326D76" w:rsidRPr="00326D76" w:rsidRDefault="00326D76" w:rsidP="00326D76">
      <w:pPr>
        <w:jc w:val="both"/>
        <w:rPr>
          <w:rFonts w:cs="Arial"/>
          <w:color w:val="000000" w:themeColor="text1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oblasti podpory multimodální dopravy </w:t>
      </w:r>
      <w:r w:rsidR="002F7E3E" w:rsidRPr="005F4D95">
        <w:rPr>
          <w:rFonts w:cs="Arial"/>
          <w:sz w:val="22"/>
          <w:szCs w:val="22"/>
        </w:rPr>
        <w:t xml:space="preserve">obsahuje </w:t>
      </w:r>
      <w:r w:rsidRPr="005F4D95">
        <w:rPr>
          <w:rFonts w:cs="Arial"/>
          <w:sz w:val="22"/>
          <w:szCs w:val="22"/>
        </w:rPr>
        <w:t xml:space="preserve">Dopravní politika 2014 rovněž obecné stanovení dlouhodobých priorit a opatření s orientačními termíny. Opakovaně konstatuje nedostatečný počet </w:t>
      </w:r>
      <w:r w:rsidRPr="005F4D95">
        <w:rPr>
          <w:rFonts w:cs="Arial"/>
          <w:bCs/>
          <w:sz w:val="22"/>
          <w:szCs w:val="22"/>
        </w:rPr>
        <w:t xml:space="preserve">veřejných terminálů multimodální dopravy a deklaruje podporu jejich rozvoje. Odkazuje přitom na </w:t>
      </w:r>
      <w:r w:rsidRPr="005F4D95">
        <w:rPr>
          <w:rFonts w:cs="Arial"/>
          <w:sz w:val="22"/>
          <w:szCs w:val="22"/>
        </w:rPr>
        <w:t>Strategii podpory logistiky, která však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Dopravní politikou 2014 není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souladu zejména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oblasti podpory veřejných logistických center. MD tuto </w:t>
      </w:r>
      <w:r w:rsidRPr="005F4D95">
        <w:rPr>
          <w:rFonts w:cs="Arial"/>
          <w:sz w:val="22"/>
          <w:szCs w:val="22"/>
        </w:rPr>
        <w:lastRenderedPageBreak/>
        <w:t>problematiku hodlá řešit až při vyhodnoc</w:t>
      </w:r>
      <w:r w:rsidR="002F7E3E">
        <w:rPr>
          <w:rFonts w:cs="Arial"/>
          <w:sz w:val="22"/>
          <w:szCs w:val="22"/>
        </w:rPr>
        <w:t>ová</w:t>
      </w:r>
      <w:r w:rsidRPr="005F4D95">
        <w:rPr>
          <w:rFonts w:cs="Arial"/>
          <w:sz w:val="22"/>
          <w:szCs w:val="22"/>
        </w:rPr>
        <w:t>ní Strategie podpory logistiky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roce 2015, resp. při aktualizaci tohoto dokumentu v roce 2016. 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b/>
          <w:sz w:val="22"/>
          <w:szCs w:val="22"/>
        </w:rPr>
        <w:t>Dopravní strategie ve stávající podobě nejsou dostatečným podkladem pro stanovení dalšího postupu přípravy a realizace projektů v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oblasti rozvoje a modernizace vodních cest a multimodální dopravy.</w:t>
      </w:r>
      <w:r w:rsidRPr="005F4D95">
        <w:rPr>
          <w:rFonts w:cs="Arial"/>
          <w:sz w:val="22"/>
          <w:szCs w:val="22"/>
        </w:rPr>
        <w:t xml:space="preserve"> Kontrolou byly zjištěny nejasnosti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návaznost</w:t>
      </w:r>
      <w:r w:rsidR="00EB24C1">
        <w:rPr>
          <w:rFonts w:cs="Arial"/>
          <w:sz w:val="22"/>
          <w:szCs w:val="22"/>
        </w:rPr>
        <w:t>i</w:t>
      </w:r>
      <w:r w:rsidRPr="005F4D95">
        <w:rPr>
          <w:rFonts w:cs="Arial"/>
          <w:sz w:val="22"/>
          <w:szCs w:val="22"/>
        </w:rPr>
        <w:t xml:space="preserve"> částí týkajících se identifikace nedostatků a částí věnovaných postupu jejich řešení. Především se jedná o zařazování investičních opatření do tzv. clusterů (souborů vzájemně souvisejících projektů a námětů), krytí finančních potřeb zdroji financování, rozhodování o postupu přípravy a realizace projektů, nedořešení problematiky rekreační plavby a podpory multimodální dopravy, nevytvoření systému monitoringu umožňujícího </w:t>
      </w:r>
      <w:r w:rsidR="00C446B0">
        <w:rPr>
          <w:rFonts w:cs="Arial"/>
          <w:sz w:val="22"/>
          <w:szCs w:val="22"/>
        </w:rPr>
        <w:t>sledování dosaženého pokroku</w:t>
      </w:r>
      <w:r w:rsidRPr="005F4D95">
        <w:rPr>
          <w:rFonts w:cs="Arial"/>
          <w:sz w:val="22"/>
          <w:szCs w:val="22"/>
        </w:rPr>
        <w:t>.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b/>
          <w:sz w:val="22"/>
          <w:szCs w:val="22"/>
        </w:rPr>
        <w:t>Dva projekty s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klíčovým významem pro splavnění labské vodní cesty</w:t>
      </w:r>
      <w:r w:rsidR="00633B8C">
        <w:rPr>
          <w:rFonts w:cs="Arial"/>
          <w:b/>
          <w:sz w:val="22"/>
          <w:szCs w:val="22"/>
        </w:rPr>
        <w:t> –</w:t>
      </w:r>
      <w:r w:rsidRPr="005F4D95">
        <w:rPr>
          <w:rFonts w:cs="Arial"/>
          <w:b/>
          <w:sz w:val="22"/>
          <w:szCs w:val="22"/>
        </w:rPr>
        <w:t xml:space="preserve"> </w:t>
      </w:r>
      <w:r w:rsidRPr="000E1FD2">
        <w:rPr>
          <w:rFonts w:cs="Arial"/>
          <w:b/>
          <w:i/>
          <w:sz w:val="22"/>
          <w:szCs w:val="22"/>
        </w:rPr>
        <w:t>Plavební stupeň Děčín</w:t>
      </w:r>
      <w:r w:rsidRPr="005F4D95">
        <w:rPr>
          <w:rFonts w:cs="Arial"/>
          <w:b/>
          <w:sz w:val="22"/>
          <w:szCs w:val="22"/>
        </w:rPr>
        <w:t xml:space="preserve"> a </w:t>
      </w:r>
      <w:r w:rsidRPr="000E1FD2">
        <w:rPr>
          <w:rFonts w:cs="Arial"/>
          <w:b/>
          <w:i/>
          <w:sz w:val="22"/>
          <w:szCs w:val="22"/>
        </w:rPr>
        <w:t>Plavební stupeň Přelouč II</w:t>
      </w:r>
      <w:r w:rsidRPr="005F4D95">
        <w:rPr>
          <w:rFonts w:cs="Arial"/>
          <w:b/>
          <w:sz w:val="22"/>
          <w:szCs w:val="22"/>
        </w:rPr>
        <w:t xml:space="preserve"> </w:t>
      </w:r>
      <w:r w:rsidR="00633B8C">
        <w:rPr>
          <w:rFonts w:cs="Arial"/>
          <w:b/>
          <w:sz w:val="22"/>
          <w:szCs w:val="22"/>
        </w:rPr>
        <w:t xml:space="preserve">– </w:t>
      </w:r>
      <w:r w:rsidRPr="005F4D95">
        <w:rPr>
          <w:rFonts w:cs="Arial"/>
          <w:b/>
          <w:sz w:val="22"/>
          <w:szCs w:val="22"/>
        </w:rPr>
        <w:t>byly zařazeny do dvou samostatných clusterů bez dořešení jejich vzájemné návaznosti.</w:t>
      </w:r>
      <w:r w:rsidRPr="005F4D95">
        <w:rPr>
          <w:rFonts w:cs="Arial"/>
          <w:sz w:val="22"/>
          <w:szCs w:val="22"/>
        </w:rPr>
        <w:t xml:space="preserve">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výše uvedených koncepčních dokumentů jednoznačně vyplývá, že smysluplnost realizace clusteru týkajícího se splavnění středního Labe </w:t>
      </w:r>
      <w:r w:rsidR="005B2FC6">
        <w:rPr>
          <w:rFonts w:cs="Arial"/>
          <w:sz w:val="22"/>
          <w:szCs w:val="22"/>
        </w:rPr>
        <w:t>(</w:t>
      </w:r>
      <w:proofErr w:type="gramStart"/>
      <w:r w:rsidR="005B2FC6">
        <w:rPr>
          <w:rFonts w:cs="Arial"/>
          <w:sz w:val="22"/>
          <w:szCs w:val="22"/>
        </w:rPr>
        <w:t>Mělník</w:t>
      </w:r>
      <w:proofErr w:type="gramEnd"/>
      <w:r w:rsidR="005B2FC6">
        <w:rPr>
          <w:rFonts w:cs="Arial"/>
          <w:sz w:val="22"/>
          <w:szCs w:val="22"/>
        </w:rPr>
        <w:t>–</w:t>
      </w:r>
      <w:proofErr w:type="gramStart"/>
      <w:r w:rsidR="005B2FC6">
        <w:rPr>
          <w:rFonts w:cs="Arial"/>
          <w:sz w:val="22"/>
          <w:szCs w:val="22"/>
        </w:rPr>
        <w:t>Pardubice</w:t>
      </w:r>
      <w:proofErr w:type="gramEnd"/>
      <w:r w:rsidR="005B2FC6">
        <w:rPr>
          <w:rFonts w:cs="Arial"/>
          <w:sz w:val="22"/>
          <w:szCs w:val="22"/>
        </w:rPr>
        <w:t xml:space="preserve">) </w:t>
      </w:r>
      <w:r w:rsidRPr="005F4D95">
        <w:rPr>
          <w:rFonts w:cs="Arial"/>
          <w:sz w:val="22"/>
          <w:szCs w:val="22"/>
        </w:rPr>
        <w:t>je zcela podmíněna realizací clusteru řešícího zajištění bezproblémové splavnosti dolního Labe</w:t>
      </w:r>
      <w:r w:rsidR="005B2FC6">
        <w:rPr>
          <w:rFonts w:cs="Arial"/>
          <w:sz w:val="22"/>
          <w:szCs w:val="22"/>
        </w:rPr>
        <w:t xml:space="preserve"> (státní hranice </w:t>
      </w:r>
      <w:r w:rsidR="007964C2">
        <w:rPr>
          <w:rFonts w:cs="Arial"/>
          <w:sz w:val="22"/>
          <w:szCs w:val="22"/>
        </w:rPr>
        <w:t>ČR/SRN</w:t>
      </w:r>
      <w:r w:rsidR="005B2FC6">
        <w:rPr>
          <w:rFonts w:cs="Arial"/>
          <w:sz w:val="22"/>
          <w:szCs w:val="22"/>
        </w:rPr>
        <w:t xml:space="preserve"> – Mělník)</w:t>
      </w:r>
      <w:r w:rsidRPr="005F4D95">
        <w:rPr>
          <w:rFonts w:cs="Arial"/>
          <w:sz w:val="22"/>
          <w:szCs w:val="22"/>
        </w:rPr>
        <w:t xml:space="preserve">, především projektu </w:t>
      </w:r>
      <w:r w:rsidRPr="000E1FD2">
        <w:rPr>
          <w:rFonts w:cs="Arial"/>
          <w:i/>
          <w:sz w:val="22"/>
          <w:szCs w:val="22"/>
        </w:rPr>
        <w:t>Plavební stupeň Děčín</w:t>
      </w:r>
      <w:r w:rsidRPr="005F4D95">
        <w:rPr>
          <w:rFonts w:cs="Arial"/>
          <w:sz w:val="22"/>
          <w:szCs w:val="22"/>
        </w:rPr>
        <w:t xml:space="preserve">, </w:t>
      </w:r>
      <w:r w:rsidR="005247C5">
        <w:rPr>
          <w:rFonts w:cs="Arial"/>
          <w:sz w:val="22"/>
          <w:szCs w:val="22"/>
        </w:rPr>
        <w:t>tento projekt</w:t>
      </w:r>
      <w:r w:rsidRPr="005F4D95">
        <w:rPr>
          <w:rFonts w:cs="Arial"/>
          <w:sz w:val="22"/>
          <w:szCs w:val="22"/>
        </w:rPr>
        <w:t xml:space="preserve"> však naráží na závažné problémy při posuzování vlivu stavby na životní prostředí a zahájení jeho realizace bylo opakovaně </w:t>
      </w:r>
      <w:r w:rsidR="005247C5">
        <w:rPr>
          <w:rFonts w:cs="Arial"/>
          <w:sz w:val="22"/>
          <w:szCs w:val="22"/>
        </w:rPr>
        <w:t>odloženo</w:t>
      </w:r>
      <w:r w:rsidRPr="005F4D95">
        <w:rPr>
          <w:rFonts w:cs="Arial"/>
          <w:sz w:val="22"/>
          <w:szCs w:val="22"/>
        </w:rPr>
        <w:t>. V</w:t>
      </w:r>
      <w:r w:rsidR="003C7F30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 xml:space="preserve">dokumentu </w:t>
      </w:r>
      <w:r w:rsidRPr="005F4D95">
        <w:rPr>
          <w:rFonts w:cs="Arial"/>
          <w:i/>
          <w:sz w:val="22"/>
          <w:szCs w:val="22"/>
        </w:rPr>
        <w:t>Zpráva o stavu vnitrozemské vodní dopravy</w:t>
      </w:r>
      <w:r w:rsidR="00831B70" w:rsidRPr="00831B70">
        <w:rPr>
          <w:rFonts w:cs="Arial"/>
          <w:sz w:val="22"/>
          <w:szCs w:val="22"/>
          <w:vertAlign w:val="superscript"/>
        </w:rPr>
        <w:t>15</w:t>
      </w:r>
      <w:r w:rsidRPr="005F4D95">
        <w:rPr>
          <w:rFonts w:cs="Arial"/>
          <w:sz w:val="22"/>
          <w:szCs w:val="22"/>
        </w:rPr>
        <w:t xml:space="preserve"> je uvedeno: „</w:t>
      </w:r>
      <w:r w:rsidRPr="005F4D95">
        <w:rPr>
          <w:rFonts w:cs="Arial"/>
          <w:i/>
          <w:sz w:val="22"/>
          <w:szCs w:val="22"/>
        </w:rPr>
        <w:t>Tento úsek (dolní Labe) … zásadně znehodnocuje doposud realizovanou infrastrukturu na řece Labi a Vltavě … Aby dosud investované prostředky měly smysl, je nutné dobudovat infrastrukturní stavby Plavební stupeň Děčín a Plavební stupeň Přelouč II.</w:t>
      </w:r>
      <w:r w:rsidRPr="005F4D95">
        <w:rPr>
          <w:rFonts w:cs="Arial"/>
          <w:sz w:val="22"/>
          <w:szCs w:val="22"/>
        </w:rPr>
        <w:t>“</w:t>
      </w:r>
    </w:p>
    <w:p w:rsidR="00326D76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 xml:space="preserve">Podle Dopravních strategií má být projekt </w:t>
      </w:r>
      <w:r w:rsidRPr="000E1FD2">
        <w:rPr>
          <w:rFonts w:cs="Arial"/>
          <w:i/>
          <w:sz w:val="22"/>
          <w:szCs w:val="22"/>
        </w:rPr>
        <w:t>Plavební stupeň Přelouč II</w:t>
      </w:r>
      <w:r w:rsidRPr="005F4D95">
        <w:rPr>
          <w:rFonts w:cs="Arial"/>
          <w:sz w:val="22"/>
          <w:szCs w:val="22"/>
        </w:rPr>
        <w:t xml:space="preserve"> realizován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letech 2015</w:t>
      </w:r>
      <w:r w:rsidR="0015059A">
        <w:rPr>
          <w:rFonts w:cs="Arial"/>
          <w:sz w:val="22"/>
          <w:szCs w:val="22"/>
        </w:rPr>
        <w:t>–</w:t>
      </w:r>
      <w:r w:rsidRPr="005F4D95">
        <w:rPr>
          <w:rFonts w:cs="Arial"/>
          <w:sz w:val="22"/>
          <w:szCs w:val="22"/>
        </w:rPr>
        <w:t>2017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náklady 3,1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mld. Kč. Projekt </w:t>
      </w:r>
      <w:r w:rsidRPr="000E1FD2">
        <w:rPr>
          <w:rFonts w:cs="Arial"/>
          <w:i/>
          <w:sz w:val="22"/>
          <w:szCs w:val="22"/>
        </w:rPr>
        <w:t>Veřejný přístav Pardubice</w:t>
      </w:r>
      <w:r w:rsidRPr="005F4D95">
        <w:rPr>
          <w:rFonts w:cs="Arial"/>
          <w:sz w:val="22"/>
          <w:szCs w:val="22"/>
        </w:rPr>
        <w:t xml:space="preserve"> má být realizován v letech 2018</w:t>
      </w:r>
      <w:r w:rsidR="0015059A">
        <w:rPr>
          <w:rFonts w:cs="Arial"/>
          <w:sz w:val="22"/>
          <w:szCs w:val="22"/>
        </w:rPr>
        <w:t>–</w:t>
      </w:r>
      <w:r w:rsidRPr="005F4D95">
        <w:rPr>
          <w:rFonts w:cs="Arial"/>
          <w:sz w:val="22"/>
          <w:szCs w:val="22"/>
        </w:rPr>
        <w:t>2019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předpokládanými náklady 224 mil. Kč (bez nákladů na vybudování pozemní části přístavu a kapacitně odpovídajícího napojení přístavu na silniční a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železniční dopravní infrastrukturu). Realizace projektu </w:t>
      </w:r>
      <w:r w:rsidRPr="000E1FD2">
        <w:rPr>
          <w:rFonts w:cs="Arial"/>
          <w:i/>
          <w:sz w:val="22"/>
          <w:szCs w:val="22"/>
        </w:rPr>
        <w:t>Plavební stupeň Děčín</w:t>
      </w:r>
      <w:r w:rsidRPr="005F4D95">
        <w:rPr>
          <w:rFonts w:cs="Arial"/>
          <w:sz w:val="22"/>
          <w:szCs w:val="22"/>
        </w:rPr>
        <w:t xml:space="preserve"> je předpokládána až v období let 2018–2021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náklady 4,2 mld. Kč.</w:t>
      </w:r>
    </w:p>
    <w:p w:rsidR="00326D76" w:rsidRPr="005F4D95" w:rsidRDefault="00326D76" w:rsidP="00326D76">
      <w:pPr>
        <w:jc w:val="both"/>
        <w:rPr>
          <w:rFonts w:cs="Arial"/>
          <w:sz w:val="22"/>
          <w:szCs w:val="22"/>
        </w:rPr>
      </w:pPr>
    </w:p>
    <w:p w:rsidR="00B5686B" w:rsidRPr="005F4D95" w:rsidRDefault="00633B8C" w:rsidP="00326D76">
      <w:pPr>
        <w:jc w:val="both"/>
        <w:rPr>
          <w:rFonts w:cs="Arial"/>
          <w:b/>
          <w:sz w:val="22"/>
          <w:szCs w:val="22"/>
        </w:rPr>
      </w:pPr>
      <w:r w:rsidRPr="005F4D95">
        <w:rPr>
          <w:rFonts w:cs="Arial"/>
          <w:sz w:val="22"/>
          <w:szCs w:val="22"/>
        </w:rPr>
        <w:t>MD neuvedlo do praxe</w:t>
      </w:r>
      <w:r>
        <w:rPr>
          <w:rFonts w:cs="Arial"/>
          <w:sz w:val="22"/>
          <w:szCs w:val="22"/>
        </w:rPr>
        <w:t xml:space="preserve"> p</w:t>
      </w:r>
      <w:r w:rsidR="00B5686B" w:rsidRPr="005F4D95">
        <w:rPr>
          <w:rFonts w:cs="Arial"/>
          <w:sz w:val="22"/>
          <w:szCs w:val="22"/>
        </w:rPr>
        <w:t>ožadavek</w:t>
      </w:r>
      <w:r w:rsidR="004C5D1B">
        <w:rPr>
          <w:rFonts w:cs="Arial"/>
          <w:sz w:val="22"/>
          <w:szCs w:val="22"/>
        </w:rPr>
        <w:t xml:space="preserve"> </w:t>
      </w:r>
      <w:r w:rsidR="00B5686B" w:rsidRPr="005F4D95">
        <w:rPr>
          <w:rFonts w:cs="Arial"/>
          <w:sz w:val="22"/>
          <w:szCs w:val="22"/>
        </w:rPr>
        <w:t>Dopravních strategií na rozhodování o ucelených dopravních řešeních v</w:t>
      </w:r>
      <w:r w:rsidR="004C5D1B">
        <w:rPr>
          <w:rFonts w:cs="Arial"/>
          <w:sz w:val="22"/>
          <w:szCs w:val="22"/>
        </w:rPr>
        <w:t xml:space="preserve"> </w:t>
      </w:r>
      <w:r w:rsidR="00B5686B" w:rsidRPr="005F4D95">
        <w:rPr>
          <w:rFonts w:cs="Arial"/>
          <w:sz w:val="22"/>
          <w:szCs w:val="22"/>
        </w:rPr>
        <w:t>rámci clusterů</w:t>
      </w:r>
      <w:r>
        <w:rPr>
          <w:rFonts w:cs="Arial"/>
          <w:sz w:val="22"/>
          <w:szCs w:val="22"/>
        </w:rPr>
        <w:t>, neboť doposud rozhodovalo o </w:t>
      </w:r>
      <w:r w:rsidR="00B5686B" w:rsidRPr="005F4D95">
        <w:rPr>
          <w:rFonts w:cs="Arial"/>
          <w:sz w:val="22"/>
          <w:szCs w:val="22"/>
        </w:rPr>
        <w:t>postupu přípravy a</w:t>
      </w:r>
      <w:r w:rsidR="0038127E">
        <w:rPr>
          <w:rFonts w:cs="Arial"/>
          <w:sz w:val="22"/>
          <w:szCs w:val="22"/>
        </w:rPr>
        <w:t> </w:t>
      </w:r>
      <w:r w:rsidR="00B5686B" w:rsidRPr="005F4D95">
        <w:rPr>
          <w:rFonts w:cs="Arial"/>
          <w:sz w:val="22"/>
          <w:szCs w:val="22"/>
        </w:rPr>
        <w:t xml:space="preserve">realizace včetně zajištění financování jen na úrovni jednotlivých projektů. </w:t>
      </w:r>
      <w:r w:rsidR="00B5686B" w:rsidRPr="005F4D95">
        <w:rPr>
          <w:rFonts w:cs="Arial"/>
          <w:b/>
          <w:sz w:val="22"/>
          <w:szCs w:val="22"/>
        </w:rPr>
        <w:t>V</w:t>
      </w:r>
      <w:r w:rsidR="004C5D1B">
        <w:rPr>
          <w:rFonts w:cs="Arial"/>
          <w:b/>
          <w:sz w:val="22"/>
          <w:szCs w:val="22"/>
        </w:rPr>
        <w:t xml:space="preserve"> </w:t>
      </w:r>
      <w:r w:rsidR="00B5686B" w:rsidRPr="005F4D95">
        <w:rPr>
          <w:rFonts w:cs="Arial"/>
          <w:b/>
          <w:sz w:val="22"/>
          <w:szCs w:val="22"/>
        </w:rPr>
        <w:t xml:space="preserve">případě zahájení stavební realizace již připraveného projektu </w:t>
      </w:r>
      <w:r w:rsidR="00B5686B" w:rsidRPr="000E1FD2">
        <w:rPr>
          <w:rFonts w:cs="Arial"/>
          <w:b/>
          <w:i/>
          <w:sz w:val="22"/>
          <w:szCs w:val="22"/>
        </w:rPr>
        <w:t>Plavební stupeň Přelouč II</w:t>
      </w:r>
      <w:r w:rsidR="00B5686B" w:rsidRPr="005F4D95">
        <w:rPr>
          <w:rFonts w:cs="Arial"/>
          <w:b/>
          <w:sz w:val="22"/>
          <w:szCs w:val="22"/>
        </w:rPr>
        <w:t xml:space="preserve"> </w:t>
      </w:r>
      <w:r w:rsidR="00B5686B" w:rsidRPr="00604ED5">
        <w:rPr>
          <w:rFonts w:cs="Arial"/>
          <w:b/>
          <w:sz w:val="22"/>
          <w:szCs w:val="22"/>
        </w:rPr>
        <w:t>bez</w:t>
      </w:r>
      <w:r w:rsidR="00B5686B" w:rsidRPr="00633B8C">
        <w:rPr>
          <w:rFonts w:cs="Arial"/>
          <w:b/>
          <w:sz w:val="22"/>
          <w:szCs w:val="22"/>
        </w:rPr>
        <w:t xml:space="preserve"> </w:t>
      </w:r>
      <w:r w:rsidR="00B5686B" w:rsidRPr="00604ED5">
        <w:rPr>
          <w:rFonts w:cs="Arial"/>
          <w:b/>
          <w:sz w:val="22"/>
          <w:szCs w:val="22"/>
        </w:rPr>
        <w:t>závazného rozhodnutí</w:t>
      </w:r>
      <w:r w:rsidR="00B5686B" w:rsidRPr="005F4D95">
        <w:rPr>
          <w:rFonts w:cs="Arial"/>
          <w:b/>
          <w:sz w:val="22"/>
          <w:szCs w:val="22"/>
        </w:rPr>
        <w:t xml:space="preserve"> o termínu a způsobu realizace dalších navazujících projektů v rámci clusteru týkajícího se splavnosti středního Labe (zejména vybudování koncového přístavu v</w:t>
      </w:r>
      <w:r w:rsidR="004C5D1B">
        <w:rPr>
          <w:rFonts w:cs="Arial"/>
          <w:b/>
          <w:sz w:val="22"/>
          <w:szCs w:val="22"/>
        </w:rPr>
        <w:t xml:space="preserve"> </w:t>
      </w:r>
      <w:r w:rsidR="00B5686B" w:rsidRPr="005F4D95">
        <w:rPr>
          <w:rFonts w:cs="Arial"/>
          <w:b/>
          <w:sz w:val="22"/>
          <w:szCs w:val="22"/>
        </w:rPr>
        <w:t>Pardubicích) a zároveň o realizaci clusteru týkajícího se splavnosti dolního Labe může dojít k neúčelnému a neefektivnímu vyna</w:t>
      </w:r>
      <w:r w:rsidR="005247C5">
        <w:rPr>
          <w:rFonts w:cs="Arial"/>
          <w:b/>
          <w:sz w:val="22"/>
          <w:szCs w:val="22"/>
        </w:rPr>
        <w:t>lože</w:t>
      </w:r>
      <w:r w:rsidR="00B5686B" w:rsidRPr="005F4D95">
        <w:rPr>
          <w:rFonts w:cs="Arial"/>
          <w:b/>
          <w:sz w:val="22"/>
          <w:szCs w:val="22"/>
        </w:rPr>
        <w:t>ní veřejných prostředků.</w:t>
      </w:r>
    </w:p>
    <w:p w:rsidR="00326D76" w:rsidRDefault="00326D76" w:rsidP="00326D7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B5686B" w:rsidRPr="00326D76" w:rsidRDefault="00B77CB9" w:rsidP="00326D7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47344C">
        <w:rPr>
          <w:rFonts w:cs="Arial"/>
          <w:sz w:val="22"/>
          <w:szCs w:val="22"/>
        </w:rPr>
        <w:t xml:space="preserve"> roce 2012 vláda</w:t>
      </w:r>
      <w:r w:rsidR="00B5686B" w:rsidRPr="00043AE0">
        <w:rPr>
          <w:rFonts w:cs="Arial"/>
          <w:sz w:val="22"/>
          <w:szCs w:val="22"/>
          <w:vertAlign w:val="superscript"/>
        </w:rPr>
        <w:t>1</w:t>
      </w:r>
      <w:r w:rsidR="00831B70">
        <w:rPr>
          <w:rFonts w:cs="Arial"/>
          <w:sz w:val="22"/>
          <w:szCs w:val="22"/>
          <w:vertAlign w:val="superscript"/>
        </w:rPr>
        <w:t>5</w:t>
      </w:r>
      <w:r w:rsidR="00B5686B" w:rsidRPr="005F4D95">
        <w:rPr>
          <w:rFonts w:cs="Arial"/>
          <w:sz w:val="22"/>
          <w:szCs w:val="22"/>
        </w:rPr>
        <w:t xml:space="preserve"> mj. uložila ministru dopravy zpracovat ve spolupráci s</w:t>
      </w:r>
      <w:r w:rsidR="004C5D1B">
        <w:rPr>
          <w:rFonts w:cs="Arial"/>
          <w:sz w:val="22"/>
          <w:szCs w:val="22"/>
        </w:rPr>
        <w:t xml:space="preserve"> </w:t>
      </w:r>
      <w:r w:rsidR="00B5686B" w:rsidRPr="005F4D95">
        <w:rPr>
          <w:rFonts w:cs="Arial"/>
          <w:sz w:val="22"/>
          <w:szCs w:val="22"/>
        </w:rPr>
        <w:t>ministry životního prostředí, zemědělství a místní</w:t>
      </w:r>
      <w:r w:rsidR="00633B8C">
        <w:rPr>
          <w:rFonts w:cs="Arial"/>
          <w:sz w:val="22"/>
          <w:szCs w:val="22"/>
        </w:rPr>
        <w:t>ho</w:t>
      </w:r>
      <w:r w:rsidR="00B5686B" w:rsidRPr="005F4D95">
        <w:rPr>
          <w:rFonts w:cs="Arial"/>
          <w:sz w:val="22"/>
          <w:szCs w:val="22"/>
        </w:rPr>
        <w:t xml:space="preserve"> rozvoj</w:t>
      </w:r>
      <w:r w:rsidR="00633B8C">
        <w:rPr>
          <w:rFonts w:cs="Arial"/>
          <w:sz w:val="22"/>
          <w:szCs w:val="22"/>
        </w:rPr>
        <w:t>e</w:t>
      </w:r>
      <w:r w:rsidR="00B5686B" w:rsidRPr="005F4D95">
        <w:rPr>
          <w:rFonts w:cs="Arial"/>
          <w:sz w:val="22"/>
          <w:szCs w:val="22"/>
        </w:rPr>
        <w:t xml:space="preserve"> komplexní dopravní a</w:t>
      </w:r>
      <w:r w:rsidR="004C5D1B">
        <w:rPr>
          <w:rFonts w:cs="Arial"/>
          <w:sz w:val="22"/>
          <w:szCs w:val="22"/>
        </w:rPr>
        <w:t xml:space="preserve"> </w:t>
      </w:r>
      <w:r w:rsidR="00B5686B" w:rsidRPr="005F4D95">
        <w:rPr>
          <w:rFonts w:cs="Arial"/>
          <w:sz w:val="22"/>
          <w:szCs w:val="22"/>
        </w:rPr>
        <w:t xml:space="preserve">environmentální analýzu dopravního (vodního) koridoru Dunaj </w:t>
      </w:r>
      <w:r w:rsidR="00544726">
        <w:rPr>
          <w:rFonts w:cs="Arial"/>
          <w:sz w:val="22"/>
          <w:szCs w:val="22"/>
        </w:rPr>
        <w:t>–</w:t>
      </w:r>
      <w:r w:rsidR="00B5686B" w:rsidRPr="005F4D95">
        <w:rPr>
          <w:rFonts w:cs="Arial"/>
          <w:sz w:val="22"/>
          <w:szCs w:val="22"/>
        </w:rPr>
        <w:t xml:space="preserve"> Odra </w:t>
      </w:r>
      <w:r w:rsidR="00544726">
        <w:rPr>
          <w:rFonts w:cs="Arial"/>
          <w:sz w:val="22"/>
          <w:szCs w:val="22"/>
        </w:rPr>
        <w:t>–</w:t>
      </w:r>
      <w:r w:rsidR="00B5686B" w:rsidRPr="005F4D95">
        <w:rPr>
          <w:rFonts w:cs="Arial"/>
          <w:sz w:val="22"/>
          <w:szCs w:val="22"/>
        </w:rPr>
        <w:t xml:space="preserve"> Labe a jeho přínosů a dopadů na zájmy České republiky v členění na jednotlivé větve i jako celek a zajistit komplexní projednání záměru a</w:t>
      </w:r>
      <w:r w:rsidR="003C7F30">
        <w:rPr>
          <w:rFonts w:cs="Arial"/>
          <w:sz w:val="22"/>
          <w:szCs w:val="22"/>
        </w:rPr>
        <w:t> </w:t>
      </w:r>
      <w:r w:rsidR="00B5686B" w:rsidRPr="005F4D95">
        <w:rPr>
          <w:rFonts w:cs="Arial"/>
          <w:sz w:val="22"/>
          <w:szCs w:val="22"/>
        </w:rPr>
        <w:t>jeho možných dopadů s představiteli sousedních států a</w:t>
      </w:r>
      <w:r w:rsidR="004C5D1B">
        <w:rPr>
          <w:rFonts w:cs="Arial"/>
          <w:sz w:val="22"/>
          <w:szCs w:val="22"/>
        </w:rPr>
        <w:t xml:space="preserve"> </w:t>
      </w:r>
      <w:r w:rsidR="005C6208">
        <w:rPr>
          <w:rFonts w:cs="Arial"/>
          <w:sz w:val="22"/>
          <w:szCs w:val="22"/>
        </w:rPr>
        <w:t>E</w:t>
      </w:r>
      <w:r w:rsidR="005C6208" w:rsidRPr="005F4D95">
        <w:rPr>
          <w:rFonts w:cs="Arial"/>
          <w:sz w:val="22"/>
          <w:szCs w:val="22"/>
        </w:rPr>
        <w:t xml:space="preserve">vropské komise (dále také „EK“) </w:t>
      </w:r>
      <w:r w:rsidR="00B5686B" w:rsidRPr="005F4D95">
        <w:rPr>
          <w:rFonts w:cs="Arial"/>
          <w:sz w:val="22"/>
          <w:szCs w:val="22"/>
        </w:rPr>
        <w:t xml:space="preserve">a informovat o </w:t>
      </w:r>
      <w:r w:rsidR="005247C5">
        <w:rPr>
          <w:rFonts w:cs="Arial"/>
          <w:sz w:val="22"/>
          <w:szCs w:val="22"/>
        </w:rPr>
        <w:t>výsledcích jednání</w:t>
      </w:r>
      <w:r w:rsidR="00B5686B" w:rsidRPr="005F4D95">
        <w:rPr>
          <w:rFonts w:cs="Arial"/>
          <w:sz w:val="22"/>
          <w:szCs w:val="22"/>
        </w:rPr>
        <w:t xml:space="preserve"> vládu do </w:t>
      </w:r>
      <w:r w:rsidR="0047344C">
        <w:rPr>
          <w:rFonts w:cs="Arial"/>
          <w:sz w:val="22"/>
          <w:szCs w:val="22"/>
        </w:rPr>
        <w:t>konce roku</w:t>
      </w:r>
      <w:r w:rsidR="004C5D1B">
        <w:rPr>
          <w:rFonts w:cs="Arial"/>
          <w:sz w:val="22"/>
          <w:szCs w:val="22"/>
        </w:rPr>
        <w:t xml:space="preserve"> </w:t>
      </w:r>
      <w:r w:rsidR="00B5686B" w:rsidRPr="005F4D95">
        <w:rPr>
          <w:rFonts w:cs="Arial"/>
          <w:sz w:val="22"/>
          <w:szCs w:val="22"/>
        </w:rPr>
        <w:t>2013. MD tento úkol nesplnilo a uvedlo, že „…</w:t>
      </w:r>
      <w:r w:rsidR="0015059A">
        <w:rPr>
          <w:rFonts w:cs="Arial"/>
          <w:sz w:val="22"/>
          <w:szCs w:val="22"/>
        </w:rPr>
        <w:t xml:space="preserve"> </w:t>
      </w:r>
      <w:r w:rsidR="00B5686B" w:rsidRPr="005F4D95">
        <w:rPr>
          <w:rFonts w:cs="Arial"/>
          <w:i/>
          <w:sz w:val="22"/>
          <w:szCs w:val="22"/>
        </w:rPr>
        <w:t>v souvislosti s</w:t>
      </w:r>
      <w:r w:rsidR="004C5D1B">
        <w:rPr>
          <w:rFonts w:cs="Arial"/>
          <w:i/>
          <w:sz w:val="22"/>
          <w:szCs w:val="22"/>
        </w:rPr>
        <w:t xml:space="preserve"> </w:t>
      </w:r>
      <w:r w:rsidR="00B5686B" w:rsidRPr="005F4D95">
        <w:rPr>
          <w:rFonts w:cs="Arial"/>
          <w:i/>
          <w:sz w:val="22"/>
          <w:szCs w:val="22"/>
        </w:rPr>
        <w:t>nástupem nového vedení MDČR v</w:t>
      </w:r>
      <w:r w:rsidR="004C5D1B">
        <w:rPr>
          <w:rFonts w:cs="Arial"/>
          <w:i/>
          <w:sz w:val="22"/>
          <w:szCs w:val="22"/>
        </w:rPr>
        <w:t xml:space="preserve"> </w:t>
      </w:r>
      <w:r w:rsidR="00B5686B" w:rsidRPr="005F4D95">
        <w:rPr>
          <w:rFonts w:cs="Arial"/>
          <w:i/>
          <w:sz w:val="22"/>
          <w:szCs w:val="22"/>
        </w:rPr>
        <w:t>lednu 2014 bylo rozhodnuto zpracovat syntézu dosud realizovaných studijních prací k</w:t>
      </w:r>
      <w:r w:rsidR="004C5D1B">
        <w:rPr>
          <w:rFonts w:cs="Arial"/>
          <w:i/>
          <w:sz w:val="22"/>
          <w:szCs w:val="22"/>
        </w:rPr>
        <w:t xml:space="preserve"> </w:t>
      </w:r>
      <w:r w:rsidR="00B5686B" w:rsidRPr="005F4D95">
        <w:rPr>
          <w:rFonts w:cs="Arial"/>
          <w:i/>
          <w:sz w:val="22"/>
          <w:szCs w:val="22"/>
        </w:rPr>
        <w:t>problematice vodního koridoru Dunaj – Odra – Labe. Na základě výsledků této syntézy bude následně stanoven další postup, o němž bude vláda ČR informována.</w:t>
      </w:r>
      <w:r w:rsidR="00B5686B" w:rsidRPr="00604ED5">
        <w:rPr>
          <w:rFonts w:cs="Arial"/>
          <w:sz w:val="22"/>
          <w:szCs w:val="22"/>
        </w:rPr>
        <w:t>“</w:t>
      </w:r>
    </w:p>
    <w:p w:rsidR="00326D76" w:rsidRPr="00326D76" w:rsidRDefault="00326D76" w:rsidP="00326D7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B5686B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lastRenderedPageBreak/>
        <w:t xml:space="preserve">K problematice koncepčních a na ně navazujících dokumentů pro oblast vodní dopravy MD </w:t>
      </w:r>
      <w:r w:rsidR="00D73B0D">
        <w:rPr>
          <w:rFonts w:cs="Arial"/>
          <w:sz w:val="22"/>
          <w:szCs w:val="22"/>
        </w:rPr>
        <w:t>potvrdilo</w:t>
      </w:r>
      <w:r w:rsidRPr="005F4D95">
        <w:rPr>
          <w:rFonts w:cs="Arial"/>
          <w:sz w:val="22"/>
          <w:szCs w:val="22"/>
        </w:rPr>
        <w:t>,</w:t>
      </w:r>
      <w:r w:rsidRPr="005F4D95">
        <w:rPr>
          <w:rFonts w:cs="Arial"/>
          <w:i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že dosud nedisponuje dokumentem, který by se zabýval mj. rozvojem celé labské vodní cesty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potřebné míře podrobnosti</w:t>
      </w:r>
      <w:r w:rsidR="005247C5">
        <w:rPr>
          <w:rFonts w:cs="Arial"/>
          <w:sz w:val="22"/>
          <w:szCs w:val="22"/>
        </w:rPr>
        <w:t>,</w:t>
      </w:r>
      <w:r w:rsidRPr="005F4D95">
        <w:rPr>
          <w:rFonts w:cs="Arial"/>
          <w:sz w:val="22"/>
          <w:szCs w:val="22"/>
        </w:rPr>
        <w:t xml:space="preserve"> a odkázalo na připravovaný dokument </w:t>
      </w:r>
      <w:r w:rsidRPr="005F4D95">
        <w:rPr>
          <w:rFonts w:cs="Arial"/>
          <w:i/>
          <w:sz w:val="22"/>
          <w:szCs w:val="22"/>
        </w:rPr>
        <w:t>Koncepce vodní dopravy</w:t>
      </w:r>
      <w:r w:rsidRPr="005F4D95">
        <w:rPr>
          <w:rFonts w:cs="Arial"/>
          <w:sz w:val="22"/>
          <w:szCs w:val="22"/>
        </w:rPr>
        <w:t>, jehož dopracování předpokládá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říjnu 2014.</w:t>
      </w:r>
    </w:p>
    <w:p w:rsidR="0006347C" w:rsidRPr="005F4D95" w:rsidRDefault="0006347C" w:rsidP="00326D76">
      <w:pPr>
        <w:jc w:val="both"/>
        <w:rPr>
          <w:rFonts w:cs="Arial"/>
          <w:sz w:val="22"/>
          <w:szCs w:val="22"/>
        </w:rPr>
      </w:pPr>
    </w:p>
    <w:p w:rsidR="00B5686B" w:rsidRPr="00544726" w:rsidRDefault="00544726" w:rsidP="00544726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 w:rsidR="00B5686B" w:rsidRPr="00544726">
        <w:rPr>
          <w:rFonts w:cs="Arial"/>
          <w:b/>
          <w:sz w:val="22"/>
          <w:szCs w:val="22"/>
        </w:rPr>
        <w:t>Řídicí a kontrolní systém OPD</w:t>
      </w:r>
    </w:p>
    <w:p w:rsidR="00326D76" w:rsidRDefault="00326D76" w:rsidP="00326D76">
      <w:pPr>
        <w:jc w:val="both"/>
        <w:rPr>
          <w:rFonts w:cs="Arial"/>
          <w:sz w:val="22"/>
          <w:szCs w:val="22"/>
        </w:rPr>
      </w:pPr>
    </w:p>
    <w:p w:rsidR="00326D76" w:rsidRDefault="00B5686B" w:rsidP="00326D7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ERDF a </w:t>
      </w:r>
      <w:r w:rsidRPr="00604ED5">
        <w:rPr>
          <w:rFonts w:cs="Arial"/>
          <w:i/>
          <w:sz w:val="22"/>
          <w:szCs w:val="22"/>
        </w:rPr>
        <w:t>Fondu soudržnosti</w:t>
      </w:r>
      <w:r w:rsidRPr="005F4D95">
        <w:rPr>
          <w:rFonts w:cs="Arial"/>
          <w:sz w:val="22"/>
          <w:szCs w:val="22"/>
        </w:rPr>
        <w:t xml:space="preserve"> bylo pro OPD vyčleněno celkem 5,82 mld. €, což představuje 22 % všech prostředků evropských fondů určených pro ČR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programovém období </w:t>
      </w:r>
      <w:r w:rsidR="00633B8C">
        <w:rPr>
          <w:rFonts w:cs="Arial"/>
          <w:sz w:val="22"/>
          <w:szCs w:val="22"/>
        </w:rPr>
        <w:br/>
      </w:r>
      <w:r w:rsidRPr="005F4D95">
        <w:rPr>
          <w:rFonts w:cs="Arial"/>
          <w:sz w:val="22"/>
          <w:szCs w:val="22"/>
        </w:rPr>
        <w:t>2007</w:t>
      </w:r>
      <w:r w:rsidR="006764CC">
        <w:rPr>
          <w:rFonts w:cs="Arial"/>
          <w:sz w:val="22"/>
          <w:szCs w:val="22"/>
        </w:rPr>
        <w:t>–</w:t>
      </w:r>
      <w:r w:rsidRPr="005F4D95">
        <w:rPr>
          <w:rFonts w:cs="Arial"/>
          <w:sz w:val="22"/>
          <w:szCs w:val="22"/>
        </w:rPr>
        <w:t>2013. OPD je realizován prostřednictvím šesti prioritních os zaměřených na dopravní infrastrukturu. Prioritní osa 6 je realizována v rámci specifického cíle OPD „</w:t>
      </w:r>
      <w:r w:rsidR="006E6A72">
        <w:rPr>
          <w:rFonts w:cs="Arial"/>
          <w:i/>
          <w:sz w:val="22"/>
          <w:szCs w:val="22"/>
        </w:rPr>
        <w:t>p</w:t>
      </w:r>
      <w:r w:rsidRPr="005F4D95">
        <w:rPr>
          <w:rFonts w:cs="Arial"/>
          <w:i/>
          <w:sz w:val="22"/>
          <w:szCs w:val="22"/>
        </w:rPr>
        <w:t>odpora multimodální nákladní přepravy a</w:t>
      </w:r>
      <w:r w:rsidR="004C5D1B">
        <w:rPr>
          <w:rFonts w:cs="Arial"/>
          <w:i/>
          <w:sz w:val="22"/>
          <w:szCs w:val="22"/>
        </w:rPr>
        <w:t xml:space="preserve"> </w:t>
      </w:r>
      <w:r w:rsidRPr="005F4D95">
        <w:rPr>
          <w:rFonts w:cs="Arial"/>
          <w:i/>
          <w:sz w:val="22"/>
          <w:szCs w:val="22"/>
        </w:rPr>
        <w:t>rozvoj vnitrozemské vodní dopravy</w:t>
      </w:r>
      <w:r w:rsidRPr="005F4D95">
        <w:rPr>
          <w:rFonts w:cs="Arial"/>
          <w:sz w:val="22"/>
          <w:szCs w:val="22"/>
        </w:rPr>
        <w:t>“.</w:t>
      </w:r>
    </w:p>
    <w:p w:rsidR="00326D76" w:rsidRDefault="00326D76" w:rsidP="00326D76">
      <w:pPr>
        <w:jc w:val="both"/>
        <w:rPr>
          <w:rFonts w:cs="Arial"/>
          <w:sz w:val="22"/>
          <w:szCs w:val="22"/>
        </w:rPr>
      </w:pPr>
    </w:p>
    <w:p w:rsidR="00EC4623" w:rsidRDefault="004577E8" w:rsidP="00544726">
      <w:pPr>
        <w:ind w:left="1418" w:hanging="141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Tabulka </w:t>
      </w:r>
      <w:r w:rsidR="00EC4623">
        <w:rPr>
          <w:rFonts w:cs="Arial"/>
          <w:b/>
          <w:sz w:val="22"/>
          <w:szCs w:val="22"/>
        </w:rPr>
        <w:t>č. 1</w:t>
      </w:r>
      <w:r w:rsidR="006E6A72">
        <w:rPr>
          <w:rFonts w:cs="Arial"/>
          <w:b/>
          <w:sz w:val="22"/>
          <w:szCs w:val="22"/>
        </w:rPr>
        <w:t> –</w:t>
      </w:r>
      <w:r w:rsidR="00EC4623">
        <w:rPr>
          <w:rFonts w:cs="Arial"/>
          <w:b/>
          <w:sz w:val="22"/>
          <w:szCs w:val="22"/>
        </w:rPr>
        <w:t xml:space="preserve"> Alokace</w:t>
      </w:r>
      <w:r w:rsidR="00B5686B" w:rsidRPr="005F4D95">
        <w:rPr>
          <w:rFonts w:cs="Arial"/>
          <w:b/>
          <w:sz w:val="22"/>
          <w:szCs w:val="22"/>
        </w:rPr>
        <w:t xml:space="preserve"> a čerpání podpory v</w:t>
      </w:r>
      <w:r w:rsidR="004C5D1B">
        <w:rPr>
          <w:rFonts w:cs="Arial"/>
          <w:b/>
          <w:sz w:val="22"/>
          <w:szCs w:val="22"/>
        </w:rPr>
        <w:t xml:space="preserve"> </w:t>
      </w:r>
      <w:r w:rsidR="00B5686B" w:rsidRPr="005F4D95">
        <w:rPr>
          <w:rFonts w:cs="Arial"/>
          <w:b/>
          <w:sz w:val="22"/>
          <w:szCs w:val="22"/>
        </w:rPr>
        <w:t>rámci prioritní osy 6</w:t>
      </w:r>
      <w:r w:rsidR="00876DED">
        <w:rPr>
          <w:rFonts w:cs="Arial"/>
          <w:b/>
          <w:sz w:val="22"/>
          <w:szCs w:val="22"/>
        </w:rPr>
        <w:t xml:space="preserve"> </w:t>
      </w:r>
      <w:r w:rsidR="00EC4623">
        <w:rPr>
          <w:rFonts w:cs="Arial"/>
          <w:b/>
          <w:sz w:val="22"/>
          <w:szCs w:val="22"/>
        </w:rPr>
        <w:t>–</w:t>
      </w:r>
      <w:r w:rsidR="00876DED">
        <w:rPr>
          <w:rFonts w:cs="Arial"/>
          <w:b/>
          <w:sz w:val="22"/>
          <w:szCs w:val="22"/>
        </w:rPr>
        <w:t xml:space="preserve"> </w:t>
      </w:r>
      <w:r w:rsidR="00B5686B" w:rsidRPr="005F4D95">
        <w:rPr>
          <w:rFonts w:cs="Arial"/>
          <w:b/>
          <w:sz w:val="22"/>
          <w:szCs w:val="22"/>
        </w:rPr>
        <w:t>stav k</w:t>
      </w:r>
      <w:r w:rsidR="004C5D1B">
        <w:rPr>
          <w:rFonts w:cs="Arial"/>
          <w:b/>
          <w:sz w:val="22"/>
          <w:szCs w:val="22"/>
        </w:rPr>
        <w:t xml:space="preserve"> </w:t>
      </w:r>
      <w:r w:rsidR="00B5686B" w:rsidRPr="005F4D95">
        <w:rPr>
          <w:rFonts w:cs="Arial"/>
          <w:b/>
          <w:sz w:val="22"/>
          <w:szCs w:val="22"/>
        </w:rPr>
        <w:t xml:space="preserve">24. 6. 2014 </w:t>
      </w:r>
    </w:p>
    <w:p w:rsidR="00B5686B" w:rsidRPr="006E6A72" w:rsidRDefault="00EC4623" w:rsidP="00544726">
      <w:pPr>
        <w:tabs>
          <w:tab w:val="right" w:pos="8931"/>
        </w:tabs>
        <w:spacing w:after="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876DED" w:rsidRPr="00604ED5">
        <w:rPr>
          <w:rFonts w:cs="Arial"/>
          <w:b/>
          <w:sz w:val="22"/>
          <w:szCs w:val="22"/>
        </w:rPr>
        <w:t>(</w:t>
      </w:r>
      <w:r w:rsidR="00B5686B" w:rsidRPr="00604ED5">
        <w:rPr>
          <w:rFonts w:cs="Arial"/>
          <w:b/>
          <w:sz w:val="22"/>
          <w:szCs w:val="22"/>
        </w:rPr>
        <w:t>v Kč)</w:t>
      </w: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3"/>
        <w:gridCol w:w="3088"/>
        <w:gridCol w:w="1532"/>
        <w:gridCol w:w="2159"/>
        <w:gridCol w:w="1611"/>
      </w:tblGrid>
      <w:tr w:rsidR="001E12F2" w:rsidRPr="00326D76" w:rsidTr="00544726">
        <w:trPr>
          <w:trHeight w:val="283"/>
          <w:jc w:val="center"/>
        </w:trPr>
        <w:tc>
          <w:tcPr>
            <w:tcW w:w="20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E12F2" w:rsidRPr="00326D76" w:rsidRDefault="001E12F2" w:rsidP="0054472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/>
                <w:bCs/>
                <w:color w:val="000000"/>
                <w:sz w:val="18"/>
                <w:szCs w:val="18"/>
              </w:rPr>
              <w:t>Číslo a název oblasti podpory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1E12F2" w:rsidRPr="00326D76" w:rsidRDefault="001E12F2" w:rsidP="0054472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/>
                <w:bCs/>
                <w:color w:val="000000"/>
                <w:sz w:val="18"/>
                <w:szCs w:val="18"/>
              </w:rPr>
              <w:t>Alokace</w:t>
            </w:r>
          </w:p>
        </w:tc>
        <w:tc>
          <w:tcPr>
            <w:tcW w:w="11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2F2" w:rsidRPr="00326D76" w:rsidRDefault="001E12F2" w:rsidP="0054472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/>
                <w:bCs/>
                <w:color w:val="000000"/>
                <w:sz w:val="18"/>
                <w:szCs w:val="18"/>
              </w:rPr>
              <w:t>Prostředky kryté smlouvou/rozhodnutím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2F2" w:rsidRPr="00326D76" w:rsidRDefault="001E12F2" w:rsidP="0054472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/>
                <w:bCs/>
                <w:color w:val="000000"/>
                <w:sz w:val="18"/>
                <w:szCs w:val="18"/>
              </w:rPr>
              <w:t>Proplacené prostředky</w:t>
            </w:r>
          </w:p>
        </w:tc>
      </w:tr>
      <w:tr w:rsidR="00B5686B" w:rsidRPr="00326D76" w:rsidTr="00544726">
        <w:trPr>
          <w:trHeight w:val="283"/>
          <w:jc w:val="center"/>
        </w:trPr>
        <w:tc>
          <w:tcPr>
            <w:tcW w:w="371" w:type="pct"/>
            <w:tcBorders>
              <w:top w:val="single" w:sz="12" w:space="0" w:color="auto"/>
            </w:tcBorders>
            <w:noWrap/>
            <w:vAlign w:val="center"/>
          </w:tcPr>
          <w:p w:rsidR="00B5686B" w:rsidRPr="00326D76" w:rsidRDefault="00B5686B" w:rsidP="0054472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686B" w:rsidRPr="00326D76" w:rsidRDefault="00B5686B" w:rsidP="00544726">
            <w:pPr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Podpora multimodální nákladní přepravy, nák</w:t>
            </w:r>
            <w:r w:rsidR="00FC370D" w:rsidRPr="00326D76">
              <w:rPr>
                <w:rFonts w:cs="Arial"/>
                <w:color w:val="000000"/>
                <w:sz w:val="18"/>
                <w:szCs w:val="18"/>
              </w:rPr>
              <w:t xml:space="preserve">up dopravních prostředků pro KD* </w:t>
            </w:r>
            <w:r w:rsidRPr="00326D76">
              <w:rPr>
                <w:rFonts w:cs="Arial"/>
                <w:color w:val="000000"/>
                <w:sz w:val="18"/>
                <w:szCs w:val="18"/>
              </w:rPr>
              <w:t>a přepravních jednotek pro KD</w:t>
            </w:r>
            <w:r w:rsidR="00FC370D" w:rsidRPr="00326D76">
              <w:rPr>
                <w:rFonts w:cs="Arial"/>
                <w:color w:val="000000"/>
                <w:sz w:val="18"/>
                <w:szCs w:val="18"/>
              </w:rPr>
              <w:t>*,</w:t>
            </w:r>
            <w:r w:rsidRPr="00326D76">
              <w:rPr>
                <w:rFonts w:cs="Arial"/>
                <w:color w:val="000000"/>
                <w:sz w:val="18"/>
                <w:szCs w:val="18"/>
              </w:rPr>
              <w:t xml:space="preserve"> modernizace překladišť KD</w:t>
            </w:r>
            <w:r w:rsidR="00FC370D" w:rsidRPr="00326D76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86B" w:rsidRPr="00326D76" w:rsidRDefault="00810B1D" w:rsidP="00544726">
            <w:pPr>
              <w:ind w:right="57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sz w:val="18"/>
                <w:szCs w:val="18"/>
              </w:rPr>
              <w:t>219</w:t>
            </w:r>
            <w:r w:rsidR="004C5D1B" w:rsidRPr="00326D76">
              <w:rPr>
                <w:rFonts w:cs="Arial"/>
                <w:sz w:val="18"/>
                <w:szCs w:val="18"/>
              </w:rPr>
              <w:t xml:space="preserve"> </w:t>
            </w:r>
            <w:r w:rsidRPr="00326D76">
              <w:rPr>
                <w:rFonts w:cs="Arial"/>
                <w:sz w:val="18"/>
                <w:szCs w:val="18"/>
              </w:rPr>
              <w:t>041 528</w:t>
            </w:r>
          </w:p>
        </w:tc>
        <w:tc>
          <w:tcPr>
            <w:tcW w:w="1191" w:type="pct"/>
            <w:tcBorders>
              <w:top w:val="single" w:sz="12" w:space="0" w:color="auto"/>
            </w:tcBorders>
            <w:vAlign w:val="center"/>
          </w:tcPr>
          <w:p w:rsidR="00B5686B" w:rsidRPr="00326D76" w:rsidRDefault="00B5686B" w:rsidP="00544726">
            <w:pPr>
              <w:ind w:right="141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120 355 813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noWrap/>
            <w:vAlign w:val="center"/>
          </w:tcPr>
          <w:p w:rsidR="00B5686B" w:rsidRPr="00326D76" w:rsidRDefault="00B5686B" w:rsidP="00544726">
            <w:pPr>
              <w:ind w:right="57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99 980 135,25</w:t>
            </w:r>
          </w:p>
        </w:tc>
      </w:tr>
      <w:tr w:rsidR="00B5686B" w:rsidRPr="00326D76" w:rsidTr="00544726">
        <w:trPr>
          <w:trHeight w:val="283"/>
          <w:jc w:val="center"/>
        </w:trPr>
        <w:tc>
          <w:tcPr>
            <w:tcW w:w="371" w:type="pct"/>
            <w:noWrap/>
            <w:vAlign w:val="center"/>
          </w:tcPr>
          <w:p w:rsidR="00B5686B" w:rsidRPr="00326D76" w:rsidRDefault="00B5686B" w:rsidP="0054472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:rsidR="00B5686B" w:rsidRPr="00326D76" w:rsidRDefault="00B5686B" w:rsidP="00544726">
            <w:pPr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Rozvoj a modernizace vnitrozemských vodních cest</w:t>
            </w:r>
          </w:p>
        </w:tc>
        <w:tc>
          <w:tcPr>
            <w:tcW w:w="845" w:type="pct"/>
            <w:tcBorders>
              <w:left w:val="single" w:sz="12" w:space="0" w:color="auto"/>
            </w:tcBorders>
            <w:vAlign w:val="center"/>
          </w:tcPr>
          <w:p w:rsidR="00B5686B" w:rsidRPr="00326D76" w:rsidRDefault="00810B1D" w:rsidP="00544726">
            <w:pPr>
              <w:ind w:right="57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sz w:val="18"/>
                <w:szCs w:val="18"/>
              </w:rPr>
              <w:t>2</w:t>
            </w:r>
            <w:r w:rsidR="004C5D1B" w:rsidRPr="00326D76">
              <w:rPr>
                <w:rFonts w:cs="Arial"/>
                <w:sz w:val="18"/>
                <w:szCs w:val="18"/>
              </w:rPr>
              <w:t xml:space="preserve"> </w:t>
            </w:r>
            <w:r w:rsidRPr="00326D76">
              <w:rPr>
                <w:rFonts w:cs="Arial"/>
                <w:sz w:val="18"/>
                <w:szCs w:val="18"/>
              </w:rPr>
              <w:t>582</w:t>
            </w:r>
            <w:r w:rsidR="004C5D1B" w:rsidRPr="00326D76">
              <w:rPr>
                <w:rFonts w:cs="Arial"/>
                <w:sz w:val="18"/>
                <w:szCs w:val="18"/>
              </w:rPr>
              <w:t xml:space="preserve"> </w:t>
            </w:r>
            <w:r w:rsidRPr="00326D76">
              <w:rPr>
                <w:rFonts w:cs="Arial"/>
                <w:sz w:val="18"/>
                <w:szCs w:val="18"/>
              </w:rPr>
              <w:t>813 834</w:t>
            </w:r>
          </w:p>
        </w:tc>
        <w:tc>
          <w:tcPr>
            <w:tcW w:w="1191" w:type="pct"/>
            <w:vAlign w:val="center"/>
          </w:tcPr>
          <w:p w:rsidR="00B5686B" w:rsidRPr="00326D76" w:rsidRDefault="00B5686B" w:rsidP="00544726">
            <w:pPr>
              <w:ind w:right="141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3 495 573 922</w:t>
            </w:r>
          </w:p>
        </w:tc>
        <w:tc>
          <w:tcPr>
            <w:tcW w:w="889" w:type="pct"/>
            <w:noWrap/>
            <w:vAlign w:val="center"/>
          </w:tcPr>
          <w:p w:rsidR="00B5686B" w:rsidRPr="00326D76" w:rsidRDefault="00B5686B" w:rsidP="00544726">
            <w:pPr>
              <w:ind w:right="57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2 807 702 746,85</w:t>
            </w:r>
          </w:p>
        </w:tc>
      </w:tr>
      <w:tr w:rsidR="00B5686B" w:rsidRPr="00326D76" w:rsidTr="00544726">
        <w:trPr>
          <w:trHeight w:val="283"/>
          <w:jc w:val="center"/>
        </w:trPr>
        <w:tc>
          <w:tcPr>
            <w:tcW w:w="371" w:type="pct"/>
            <w:tcBorders>
              <w:bottom w:val="single" w:sz="12" w:space="0" w:color="auto"/>
            </w:tcBorders>
            <w:noWrap/>
            <w:vAlign w:val="center"/>
          </w:tcPr>
          <w:p w:rsidR="00B5686B" w:rsidRPr="00326D76" w:rsidRDefault="00B5686B" w:rsidP="0054472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7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686B" w:rsidRPr="00326D76" w:rsidRDefault="00B5686B" w:rsidP="00544726">
            <w:pPr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Podpora modernizace říčních plavidel</w:t>
            </w:r>
          </w:p>
        </w:tc>
        <w:tc>
          <w:tcPr>
            <w:tcW w:w="8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86B" w:rsidRPr="00326D76" w:rsidRDefault="00810B1D" w:rsidP="00544726">
            <w:pPr>
              <w:ind w:right="57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sz w:val="18"/>
                <w:szCs w:val="18"/>
              </w:rPr>
              <w:t>221</w:t>
            </w:r>
            <w:r w:rsidR="004C5D1B" w:rsidRPr="00326D76">
              <w:rPr>
                <w:rFonts w:cs="Arial"/>
                <w:sz w:val="18"/>
                <w:szCs w:val="18"/>
              </w:rPr>
              <w:t xml:space="preserve"> </w:t>
            </w:r>
            <w:r w:rsidRPr="00326D76">
              <w:rPr>
                <w:rFonts w:cs="Arial"/>
                <w:sz w:val="18"/>
                <w:szCs w:val="18"/>
              </w:rPr>
              <w:t>715 415</w:t>
            </w:r>
          </w:p>
        </w:tc>
        <w:tc>
          <w:tcPr>
            <w:tcW w:w="1191" w:type="pct"/>
            <w:tcBorders>
              <w:bottom w:val="single" w:sz="12" w:space="0" w:color="auto"/>
            </w:tcBorders>
            <w:vAlign w:val="center"/>
          </w:tcPr>
          <w:p w:rsidR="00B5686B" w:rsidRPr="00326D76" w:rsidRDefault="00B5686B" w:rsidP="00544726">
            <w:pPr>
              <w:ind w:right="141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44 537 006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noWrap/>
            <w:vAlign w:val="center"/>
          </w:tcPr>
          <w:p w:rsidR="00B5686B" w:rsidRPr="00326D76" w:rsidRDefault="00B5686B" w:rsidP="00544726">
            <w:pPr>
              <w:ind w:right="57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color w:val="000000"/>
                <w:sz w:val="18"/>
                <w:szCs w:val="18"/>
              </w:rPr>
              <w:t>29 480 234,87</w:t>
            </w:r>
          </w:p>
        </w:tc>
      </w:tr>
      <w:tr w:rsidR="001E12F2" w:rsidRPr="00326D76" w:rsidTr="00544726">
        <w:trPr>
          <w:trHeight w:val="283"/>
          <w:jc w:val="center"/>
        </w:trPr>
        <w:tc>
          <w:tcPr>
            <w:tcW w:w="20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E12F2" w:rsidRPr="00326D76" w:rsidRDefault="001E12F2" w:rsidP="005247C5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/>
                <w:color w:val="000000"/>
                <w:sz w:val="18"/>
                <w:szCs w:val="18"/>
              </w:rPr>
              <w:t>Prioritní osa 6 celkem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1E12F2" w:rsidRPr="00326D76" w:rsidRDefault="00810B1D" w:rsidP="00544726">
            <w:pPr>
              <w:ind w:right="57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/>
                <w:sz w:val="18"/>
                <w:szCs w:val="18"/>
              </w:rPr>
              <w:t>3</w:t>
            </w:r>
            <w:r w:rsidR="004C5D1B" w:rsidRPr="00326D7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26D76">
              <w:rPr>
                <w:rFonts w:cs="Arial"/>
                <w:b/>
                <w:sz w:val="18"/>
                <w:szCs w:val="18"/>
              </w:rPr>
              <w:t>023</w:t>
            </w:r>
            <w:r w:rsidR="004C5D1B" w:rsidRPr="00326D7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26D76">
              <w:rPr>
                <w:rFonts w:cs="Arial"/>
                <w:b/>
                <w:sz w:val="18"/>
                <w:szCs w:val="18"/>
              </w:rPr>
              <w:t>570 777</w:t>
            </w:r>
          </w:p>
        </w:tc>
        <w:tc>
          <w:tcPr>
            <w:tcW w:w="1191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1E12F2" w:rsidRPr="00326D76" w:rsidRDefault="001E12F2" w:rsidP="00544726">
            <w:pPr>
              <w:ind w:left="720" w:right="141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/>
                <w:bCs/>
                <w:color w:val="000000"/>
                <w:sz w:val="18"/>
                <w:szCs w:val="18"/>
              </w:rPr>
              <w:t>3 660 466 741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1E12F2" w:rsidRPr="00326D76" w:rsidRDefault="001E12F2" w:rsidP="00544726">
            <w:pPr>
              <w:ind w:right="57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6D76">
              <w:rPr>
                <w:rFonts w:cs="Arial"/>
                <w:b/>
                <w:bCs/>
                <w:color w:val="000000"/>
                <w:sz w:val="18"/>
                <w:szCs w:val="18"/>
              </w:rPr>
              <w:t>2 937 163 116,97</w:t>
            </w:r>
          </w:p>
        </w:tc>
      </w:tr>
    </w:tbl>
    <w:p w:rsidR="00B5686B" w:rsidRPr="00544726" w:rsidRDefault="00B5686B" w:rsidP="00544726">
      <w:pPr>
        <w:spacing w:before="40"/>
        <w:jc w:val="both"/>
        <w:rPr>
          <w:rFonts w:cs="Arial"/>
          <w:sz w:val="18"/>
          <w:szCs w:val="18"/>
        </w:rPr>
      </w:pPr>
      <w:r w:rsidRPr="00604ED5">
        <w:rPr>
          <w:rFonts w:cs="Arial"/>
          <w:b/>
          <w:sz w:val="18"/>
          <w:szCs w:val="18"/>
        </w:rPr>
        <w:t>Zdroj:</w:t>
      </w:r>
      <w:r w:rsidRPr="00544726">
        <w:rPr>
          <w:rFonts w:cs="Arial"/>
          <w:sz w:val="18"/>
          <w:szCs w:val="18"/>
        </w:rPr>
        <w:t xml:space="preserve"> </w:t>
      </w:r>
      <w:r w:rsidR="006E6A72">
        <w:rPr>
          <w:rFonts w:cs="Arial"/>
          <w:sz w:val="18"/>
          <w:szCs w:val="18"/>
        </w:rPr>
        <w:t>i</w:t>
      </w:r>
      <w:r w:rsidR="00202CE2" w:rsidRPr="00544726">
        <w:rPr>
          <w:rFonts w:cs="Arial"/>
          <w:sz w:val="18"/>
          <w:szCs w:val="18"/>
        </w:rPr>
        <w:t xml:space="preserve">nformační systém </w:t>
      </w:r>
      <w:r w:rsidR="00810B1D" w:rsidRPr="00544726">
        <w:rPr>
          <w:rFonts w:cs="Arial"/>
          <w:iCs/>
          <w:sz w:val="18"/>
          <w:szCs w:val="18"/>
        </w:rPr>
        <w:t>MSC2007</w:t>
      </w:r>
      <w:r w:rsidR="006E6A72">
        <w:rPr>
          <w:rFonts w:cs="Arial"/>
          <w:iCs/>
          <w:sz w:val="18"/>
          <w:szCs w:val="18"/>
        </w:rPr>
        <w:t>.</w:t>
      </w:r>
    </w:p>
    <w:p w:rsidR="00B5686B" w:rsidRPr="00544726" w:rsidRDefault="00FC370D" w:rsidP="00544726">
      <w:pPr>
        <w:ind w:left="709" w:hanging="709"/>
        <w:jc w:val="both"/>
        <w:rPr>
          <w:rFonts w:cs="Arial"/>
          <w:iCs/>
          <w:sz w:val="18"/>
          <w:szCs w:val="18"/>
        </w:rPr>
      </w:pPr>
      <w:r w:rsidRPr="00544726">
        <w:rPr>
          <w:rFonts w:cs="Arial"/>
          <w:iCs/>
          <w:sz w:val="18"/>
          <w:szCs w:val="18"/>
        </w:rPr>
        <w:t xml:space="preserve">* </w:t>
      </w:r>
      <w:r w:rsidR="006E6A72">
        <w:rPr>
          <w:rFonts w:cs="Arial"/>
          <w:iCs/>
          <w:sz w:val="18"/>
          <w:szCs w:val="18"/>
        </w:rPr>
        <w:tab/>
      </w:r>
      <w:r w:rsidR="005F3AE6" w:rsidRPr="00544726">
        <w:rPr>
          <w:rFonts w:cs="Arial"/>
          <w:iCs/>
          <w:sz w:val="18"/>
          <w:szCs w:val="18"/>
        </w:rPr>
        <w:t>KD … kombinovaná doprava</w:t>
      </w:r>
      <w:r w:rsidR="005247C5">
        <w:rPr>
          <w:rFonts w:cs="Arial"/>
          <w:iCs/>
          <w:sz w:val="18"/>
          <w:szCs w:val="18"/>
        </w:rPr>
        <w:t>.</w:t>
      </w:r>
      <w:r w:rsidR="00B5686B" w:rsidRPr="00544726">
        <w:rPr>
          <w:rFonts w:cs="Arial"/>
          <w:iCs/>
          <w:sz w:val="18"/>
          <w:szCs w:val="18"/>
        </w:rPr>
        <w:t xml:space="preserve"> </w:t>
      </w:r>
    </w:p>
    <w:p w:rsidR="00B5686B" w:rsidRPr="00544726" w:rsidRDefault="005247C5" w:rsidP="000E3AED">
      <w:pPr>
        <w:ind w:left="709" w:hanging="709"/>
        <w:jc w:val="both"/>
        <w:rPr>
          <w:rFonts w:cs="Arial"/>
          <w:i/>
          <w:iCs/>
          <w:sz w:val="18"/>
          <w:szCs w:val="18"/>
        </w:rPr>
      </w:pPr>
      <w:r w:rsidRPr="00604ED5">
        <w:rPr>
          <w:rFonts w:cs="Arial"/>
          <w:b/>
          <w:iCs/>
          <w:sz w:val="18"/>
          <w:szCs w:val="18"/>
        </w:rPr>
        <w:t>Pozn.:</w:t>
      </w:r>
      <w:r w:rsidR="00FC370D" w:rsidRPr="00544726">
        <w:rPr>
          <w:rFonts w:cs="Arial"/>
          <w:iCs/>
          <w:sz w:val="18"/>
          <w:szCs w:val="18"/>
        </w:rPr>
        <w:t xml:space="preserve"> </w:t>
      </w:r>
      <w:r w:rsidR="006E6A72">
        <w:rPr>
          <w:rFonts w:cs="Arial"/>
          <w:iCs/>
          <w:sz w:val="18"/>
          <w:szCs w:val="18"/>
        </w:rPr>
        <w:tab/>
      </w:r>
      <w:r w:rsidR="00202CE2" w:rsidRPr="00544726">
        <w:rPr>
          <w:rFonts w:cs="Arial"/>
          <w:sz w:val="18"/>
          <w:szCs w:val="18"/>
        </w:rPr>
        <w:t>Výši alokace, která je stanovena v</w:t>
      </w:r>
      <w:r w:rsidR="004C5D1B" w:rsidRPr="00544726">
        <w:rPr>
          <w:rFonts w:cs="Arial"/>
          <w:sz w:val="18"/>
          <w:szCs w:val="18"/>
        </w:rPr>
        <w:t xml:space="preserve"> </w:t>
      </w:r>
      <w:r w:rsidR="006E6A72">
        <w:rPr>
          <w:rFonts w:cs="Arial"/>
          <w:sz w:val="18"/>
          <w:szCs w:val="18"/>
        </w:rPr>
        <w:t>eurech</w:t>
      </w:r>
      <w:r w:rsidR="00202CE2" w:rsidRPr="00544726">
        <w:rPr>
          <w:rFonts w:cs="Arial"/>
          <w:sz w:val="18"/>
          <w:szCs w:val="18"/>
        </w:rPr>
        <w:t>, ovlivňuje vývoj směnného kur</w:t>
      </w:r>
      <w:r>
        <w:rPr>
          <w:rFonts w:cs="Arial"/>
          <w:sz w:val="18"/>
          <w:szCs w:val="18"/>
        </w:rPr>
        <w:t>z</w:t>
      </w:r>
      <w:r w:rsidR="00202CE2" w:rsidRPr="00544726">
        <w:rPr>
          <w:rFonts w:cs="Arial"/>
          <w:sz w:val="18"/>
          <w:szCs w:val="18"/>
        </w:rPr>
        <w:t>u EUR/CZK. Prostředky kryté smlouvou/rozhodnutím jsou vždy uváděny v</w:t>
      </w:r>
      <w:r w:rsidR="004C5D1B" w:rsidRPr="00544726">
        <w:rPr>
          <w:rFonts w:cs="Arial"/>
          <w:sz w:val="18"/>
          <w:szCs w:val="18"/>
        </w:rPr>
        <w:t xml:space="preserve"> </w:t>
      </w:r>
      <w:r w:rsidR="00202CE2" w:rsidRPr="00544726">
        <w:rPr>
          <w:rFonts w:cs="Arial"/>
          <w:sz w:val="18"/>
          <w:szCs w:val="18"/>
        </w:rPr>
        <w:t>CZK. Ke zmírnění negativních dopadů na dočerpání alokace OPD, zejména z důvodu výkyvu směnného kur</w:t>
      </w:r>
      <w:r>
        <w:rPr>
          <w:rFonts w:cs="Arial"/>
          <w:sz w:val="18"/>
          <w:szCs w:val="18"/>
        </w:rPr>
        <w:t>z</w:t>
      </w:r>
      <w:r w:rsidR="00202CE2" w:rsidRPr="00544726">
        <w:rPr>
          <w:rFonts w:cs="Arial"/>
          <w:sz w:val="18"/>
          <w:szCs w:val="18"/>
        </w:rPr>
        <w:t xml:space="preserve">u EUR/CZK či </w:t>
      </w:r>
      <w:r>
        <w:rPr>
          <w:rFonts w:cs="Arial"/>
          <w:sz w:val="18"/>
          <w:szCs w:val="18"/>
        </w:rPr>
        <w:t xml:space="preserve">z důvodu </w:t>
      </w:r>
      <w:r w:rsidR="00202CE2" w:rsidRPr="00544726">
        <w:rPr>
          <w:rFonts w:cs="Arial"/>
          <w:sz w:val="18"/>
          <w:szCs w:val="18"/>
        </w:rPr>
        <w:t>případného nedočerpání prostředků v</w:t>
      </w:r>
      <w:r w:rsidR="006E6A72">
        <w:rPr>
          <w:rFonts w:cs="Arial"/>
          <w:sz w:val="18"/>
          <w:szCs w:val="18"/>
        </w:rPr>
        <w:t> </w:t>
      </w:r>
      <w:r w:rsidR="00202CE2" w:rsidRPr="00544726">
        <w:rPr>
          <w:rFonts w:cs="Arial"/>
          <w:sz w:val="18"/>
          <w:szCs w:val="18"/>
        </w:rPr>
        <w:t>rámci již realizovaných projektů, je objem prostředků krytých smlouvou/rozhodnutím vyšší než objem alokace pro prioritní osu 6 OPD.</w:t>
      </w:r>
    </w:p>
    <w:p w:rsidR="00A90B95" w:rsidRDefault="00A90B95" w:rsidP="00A90B95">
      <w:pPr>
        <w:autoSpaceDE w:val="0"/>
        <w:autoSpaceDN w:val="0"/>
        <w:adjustRightInd w:val="0"/>
        <w:jc w:val="both"/>
        <w:rPr>
          <w:rFonts w:cs="Arial"/>
          <w:iCs/>
          <w:sz w:val="22"/>
          <w:szCs w:val="22"/>
        </w:rPr>
      </w:pPr>
    </w:p>
    <w:p w:rsidR="00B5686B" w:rsidRDefault="00810B1D" w:rsidP="00A90B95">
      <w:pPr>
        <w:autoSpaceDE w:val="0"/>
        <w:autoSpaceDN w:val="0"/>
        <w:adjustRightInd w:val="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Výrazně v</w:t>
      </w:r>
      <w:r w:rsidR="00B5686B" w:rsidRPr="005F4D95">
        <w:rPr>
          <w:rFonts w:cs="Arial"/>
          <w:iCs/>
          <w:sz w:val="22"/>
          <w:szCs w:val="22"/>
        </w:rPr>
        <w:t xml:space="preserve">yšší </w:t>
      </w:r>
      <w:r>
        <w:rPr>
          <w:rFonts w:cs="Arial"/>
          <w:iCs/>
          <w:sz w:val="22"/>
          <w:szCs w:val="22"/>
        </w:rPr>
        <w:t xml:space="preserve">je </w:t>
      </w:r>
      <w:r w:rsidR="00B5686B" w:rsidRPr="005F4D95">
        <w:rPr>
          <w:rFonts w:cs="Arial"/>
          <w:iCs/>
          <w:sz w:val="22"/>
          <w:szCs w:val="22"/>
        </w:rPr>
        <w:t>čerpání podpory v oblasti podpory 6.2</w:t>
      </w:r>
      <w:r w:rsidR="005247C5">
        <w:rPr>
          <w:rFonts w:cs="Arial"/>
          <w:iCs/>
          <w:sz w:val="22"/>
          <w:szCs w:val="22"/>
        </w:rPr>
        <w:t>,</w:t>
      </w:r>
      <w:r w:rsidR="00B5686B" w:rsidRPr="005F4D95"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kde </w:t>
      </w:r>
      <w:r w:rsidR="005247C5">
        <w:rPr>
          <w:rFonts w:cs="Arial"/>
          <w:iCs/>
          <w:sz w:val="22"/>
          <w:szCs w:val="22"/>
        </w:rPr>
        <w:t xml:space="preserve">je </w:t>
      </w:r>
      <w:r w:rsidR="00030060">
        <w:rPr>
          <w:rFonts w:cs="Arial"/>
          <w:iCs/>
          <w:sz w:val="22"/>
          <w:szCs w:val="22"/>
        </w:rPr>
        <w:t>příjemcem ŘVC</w:t>
      </w:r>
      <w:r>
        <w:rPr>
          <w:rFonts w:cs="Arial"/>
          <w:iCs/>
          <w:sz w:val="22"/>
          <w:szCs w:val="22"/>
        </w:rPr>
        <w:t xml:space="preserve">. Oblasti podpory </w:t>
      </w:r>
      <w:r w:rsidR="00B5686B" w:rsidRPr="005F4D95">
        <w:rPr>
          <w:rFonts w:cs="Arial"/>
          <w:iCs/>
          <w:sz w:val="22"/>
          <w:szCs w:val="22"/>
        </w:rPr>
        <w:t>6.1 a 6.3</w:t>
      </w:r>
      <w:r w:rsidR="006E6A72">
        <w:rPr>
          <w:rFonts w:cs="Arial"/>
          <w:iCs/>
          <w:sz w:val="22"/>
          <w:szCs w:val="22"/>
        </w:rPr>
        <w:t>,</w:t>
      </w:r>
      <w:r w:rsidR="00B5686B" w:rsidRPr="005F4D95">
        <w:rPr>
          <w:rFonts w:cs="Arial"/>
          <w:iCs/>
          <w:sz w:val="22"/>
          <w:szCs w:val="22"/>
        </w:rPr>
        <w:t xml:space="preserve"> </w:t>
      </w:r>
      <w:r w:rsidR="005247C5">
        <w:rPr>
          <w:rFonts w:cs="Arial"/>
          <w:iCs/>
          <w:sz w:val="22"/>
          <w:szCs w:val="22"/>
        </w:rPr>
        <w:t>u nichž</w:t>
      </w:r>
      <w:r>
        <w:rPr>
          <w:rFonts w:cs="Arial"/>
          <w:iCs/>
          <w:sz w:val="22"/>
          <w:szCs w:val="22"/>
        </w:rPr>
        <w:t xml:space="preserve"> probíhá </w:t>
      </w:r>
      <w:r w:rsidR="00030060">
        <w:rPr>
          <w:rFonts w:cs="Arial"/>
          <w:iCs/>
          <w:sz w:val="22"/>
          <w:szCs w:val="22"/>
        </w:rPr>
        <w:t>veřejná soutěž žadatelů o veřejné prostředky</w:t>
      </w:r>
      <w:r w:rsidR="006E6A72">
        <w:rPr>
          <w:rFonts w:cs="Arial"/>
          <w:iCs/>
          <w:sz w:val="22"/>
          <w:szCs w:val="22"/>
        </w:rPr>
        <w:t>,</w:t>
      </w:r>
      <w:r>
        <w:rPr>
          <w:rFonts w:cs="Arial"/>
          <w:iCs/>
          <w:sz w:val="22"/>
          <w:szCs w:val="22"/>
        </w:rPr>
        <w:t xml:space="preserve"> se potýk</w:t>
      </w:r>
      <w:r w:rsidR="005247C5">
        <w:rPr>
          <w:rFonts w:cs="Arial"/>
          <w:iCs/>
          <w:sz w:val="22"/>
          <w:szCs w:val="22"/>
        </w:rPr>
        <w:t>ají</w:t>
      </w:r>
      <w:r>
        <w:rPr>
          <w:rFonts w:cs="Arial"/>
          <w:iCs/>
          <w:sz w:val="22"/>
          <w:szCs w:val="22"/>
        </w:rPr>
        <w:t xml:space="preserve"> s</w:t>
      </w:r>
      <w:r w:rsidR="003C7F30">
        <w:rPr>
          <w:rFonts w:cs="Arial"/>
          <w:iCs/>
          <w:sz w:val="22"/>
          <w:szCs w:val="22"/>
        </w:rPr>
        <w:t> </w:t>
      </w:r>
      <w:r>
        <w:rPr>
          <w:rFonts w:cs="Arial"/>
          <w:iCs/>
          <w:sz w:val="22"/>
          <w:szCs w:val="22"/>
        </w:rPr>
        <w:t>nižším</w:t>
      </w:r>
      <w:r w:rsidR="00B5686B" w:rsidRPr="005F4D95">
        <w:rPr>
          <w:rFonts w:cs="Arial"/>
          <w:iCs/>
          <w:sz w:val="22"/>
          <w:szCs w:val="22"/>
        </w:rPr>
        <w:t xml:space="preserve"> zájmem žadatelů o</w:t>
      </w:r>
      <w:r w:rsidR="004C5D1B"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>podporované aktivity. S</w:t>
      </w:r>
      <w:r w:rsidR="00B5686B" w:rsidRPr="005F4D95">
        <w:rPr>
          <w:rFonts w:cs="Arial"/>
          <w:iCs/>
          <w:sz w:val="22"/>
          <w:szCs w:val="22"/>
        </w:rPr>
        <w:t>měrodatné je však čerpání celkové alokace v</w:t>
      </w:r>
      <w:r w:rsidR="004C5D1B">
        <w:rPr>
          <w:rFonts w:cs="Arial"/>
          <w:iCs/>
          <w:sz w:val="22"/>
          <w:szCs w:val="22"/>
        </w:rPr>
        <w:t xml:space="preserve"> </w:t>
      </w:r>
      <w:r w:rsidR="00B5686B" w:rsidRPr="005F4D95">
        <w:rPr>
          <w:rFonts w:cs="Arial"/>
          <w:iCs/>
          <w:sz w:val="22"/>
          <w:szCs w:val="22"/>
        </w:rPr>
        <w:t>rámci prioritní osy 6.</w:t>
      </w:r>
      <w:r w:rsidR="0015059A">
        <w:rPr>
          <w:rFonts w:cs="Arial"/>
          <w:iCs/>
          <w:sz w:val="22"/>
          <w:szCs w:val="22"/>
        </w:rPr>
        <w:t xml:space="preserve"> </w:t>
      </w:r>
    </w:p>
    <w:p w:rsidR="00A90B95" w:rsidRPr="005F4D95" w:rsidRDefault="00A90B95" w:rsidP="00A90B95">
      <w:pPr>
        <w:autoSpaceDE w:val="0"/>
        <w:autoSpaceDN w:val="0"/>
        <w:adjustRightInd w:val="0"/>
        <w:jc w:val="both"/>
        <w:rPr>
          <w:rFonts w:cs="Arial"/>
          <w:iCs/>
          <w:sz w:val="22"/>
          <w:szCs w:val="22"/>
        </w:rPr>
      </w:pPr>
    </w:p>
    <w:p w:rsidR="00B5686B" w:rsidRDefault="00B5686B" w:rsidP="00A90B95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 xml:space="preserve">Na základě závěrů auditu </w:t>
      </w:r>
      <w:r>
        <w:rPr>
          <w:rFonts w:cs="Arial"/>
          <w:sz w:val="22"/>
          <w:szCs w:val="22"/>
        </w:rPr>
        <w:t>E</w:t>
      </w:r>
      <w:r w:rsidR="00717B81">
        <w:rPr>
          <w:rFonts w:cs="Arial"/>
          <w:sz w:val="22"/>
          <w:szCs w:val="22"/>
        </w:rPr>
        <w:t>K</w:t>
      </w:r>
      <w:r w:rsidRPr="005F4D95">
        <w:rPr>
          <w:rStyle w:val="Znakapoznpodarou"/>
          <w:rFonts w:cs="Arial"/>
          <w:sz w:val="22"/>
          <w:szCs w:val="22"/>
        </w:rPr>
        <w:footnoteReference w:id="19"/>
      </w:r>
      <w:r w:rsidRPr="005F4D95">
        <w:rPr>
          <w:rFonts w:cs="Arial"/>
          <w:sz w:val="22"/>
          <w:szCs w:val="22"/>
        </w:rPr>
        <w:t xml:space="preserve"> byla provedena finanční oprava v celkové výši 10 % </w:t>
      </w:r>
      <w:r w:rsidR="006E6A72">
        <w:rPr>
          <w:rFonts w:cs="Arial"/>
          <w:sz w:val="22"/>
          <w:szCs w:val="22"/>
        </w:rPr>
        <w:t>u </w:t>
      </w:r>
      <w:r w:rsidR="00030060">
        <w:rPr>
          <w:rFonts w:cs="Arial"/>
          <w:sz w:val="22"/>
          <w:szCs w:val="22"/>
        </w:rPr>
        <w:t>všech výdajů proplacených</w:t>
      </w:r>
      <w:r w:rsidRPr="005F4D95">
        <w:rPr>
          <w:rFonts w:cs="Arial"/>
          <w:sz w:val="22"/>
          <w:szCs w:val="22"/>
        </w:rPr>
        <w:t xml:space="preserve"> příjemcům </w:t>
      </w:r>
      <w:r w:rsidR="005247C5">
        <w:rPr>
          <w:rFonts w:cs="Arial"/>
          <w:sz w:val="22"/>
          <w:szCs w:val="22"/>
        </w:rPr>
        <w:t>z </w:t>
      </w:r>
      <w:r w:rsidRPr="005F4D95">
        <w:rPr>
          <w:rFonts w:cs="Arial"/>
          <w:sz w:val="22"/>
          <w:szCs w:val="22"/>
        </w:rPr>
        <w:t>OPD od počátku programového období do konce srpna 2012. Nedostatky identifikované EK v rámci auditní činnosti se týkaly především oblastí veřejných zakázek, říd</w:t>
      </w:r>
      <w:r w:rsidR="00AC52BB">
        <w:rPr>
          <w:rFonts w:cs="Arial"/>
          <w:sz w:val="22"/>
          <w:szCs w:val="22"/>
        </w:rPr>
        <w:t>i</w:t>
      </w:r>
      <w:r w:rsidRPr="005F4D95">
        <w:rPr>
          <w:rFonts w:cs="Arial"/>
          <w:sz w:val="22"/>
          <w:szCs w:val="22"/>
        </w:rPr>
        <w:t xml:space="preserve">cí kontroly, řešení nesrovnalostí a posílení funkční nezávislosti auditorů. Zjištění z auditů EK a </w:t>
      </w:r>
      <w:r>
        <w:rPr>
          <w:rFonts w:cs="Arial"/>
          <w:sz w:val="22"/>
          <w:szCs w:val="22"/>
        </w:rPr>
        <w:t xml:space="preserve">Evropského účetního dvora </w:t>
      </w:r>
      <w:r w:rsidRPr="005F4D95">
        <w:rPr>
          <w:rFonts w:cs="Arial"/>
          <w:sz w:val="22"/>
          <w:szCs w:val="22"/>
        </w:rPr>
        <w:t>byla zařazena jako rizika ke sledování a MD přijalo některá nápravná opatření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oblasti hodnocení projektů a kontroly zadávání veřejných zakázek. </w:t>
      </w:r>
      <w:r w:rsidR="00B278AA">
        <w:rPr>
          <w:rFonts w:cs="Arial"/>
          <w:sz w:val="22"/>
          <w:szCs w:val="22"/>
        </w:rPr>
        <w:t xml:space="preserve">Účinnost přijatých opatření </w:t>
      </w:r>
      <w:r w:rsidR="001E12F2">
        <w:rPr>
          <w:rFonts w:cs="Arial"/>
          <w:sz w:val="22"/>
          <w:szCs w:val="22"/>
        </w:rPr>
        <w:t xml:space="preserve">nemohl </w:t>
      </w:r>
      <w:r w:rsidR="005247C5">
        <w:rPr>
          <w:rFonts w:cs="Arial"/>
          <w:sz w:val="22"/>
          <w:szCs w:val="22"/>
        </w:rPr>
        <w:t xml:space="preserve">NKÚ </w:t>
      </w:r>
      <w:r w:rsidR="001E12F2">
        <w:rPr>
          <w:rFonts w:cs="Arial"/>
          <w:sz w:val="22"/>
          <w:szCs w:val="22"/>
        </w:rPr>
        <w:t xml:space="preserve">ověřit, protože v prioritní ose 6 OPD </w:t>
      </w:r>
      <w:r w:rsidR="00F163B8">
        <w:rPr>
          <w:rFonts w:cs="Arial"/>
          <w:sz w:val="22"/>
          <w:szCs w:val="22"/>
        </w:rPr>
        <w:t xml:space="preserve">již </w:t>
      </w:r>
      <w:r w:rsidR="001E12F2">
        <w:rPr>
          <w:rFonts w:cs="Arial"/>
          <w:sz w:val="22"/>
          <w:szCs w:val="22"/>
        </w:rPr>
        <w:t xml:space="preserve">neexistuje dostatečný vzorek projektů, na </w:t>
      </w:r>
      <w:r w:rsidR="005247C5">
        <w:rPr>
          <w:rFonts w:cs="Arial"/>
          <w:sz w:val="22"/>
          <w:szCs w:val="22"/>
        </w:rPr>
        <w:t>něž</w:t>
      </w:r>
      <w:r w:rsidR="001E12F2">
        <w:rPr>
          <w:rFonts w:cs="Arial"/>
          <w:sz w:val="22"/>
          <w:szCs w:val="22"/>
        </w:rPr>
        <w:t xml:space="preserve"> by byla upravená pravidla aplikována</w:t>
      </w:r>
      <w:r w:rsidR="00B278AA">
        <w:rPr>
          <w:rFonts w:cs="Arial"/>
          <w:sz w:val="22"/>
          <w:szCs w:val="22"/>
        </w:rPr>
        <w:t xml:space="preserve">. </w:t>
      </w:r>
    </w:p>
    <w:p w:rsidR="00A90B95" w:rsidRPr="005F4D95" w:rsidRDefault="00A90B95" w:rsidP="00A90B95">
      <w:pPr>
        <w:jc w:val="both"/>
        <w:rPr>
          <w:rFonts w:cs="Arial"/>
          <w:b/>
          <w:bCs/>
          <w:sz w:val="22"/>
          <w:szCs w:val="22"/>
        </w:rPr>
      </w:pPr>
    </w:p>
    <w:p w:rsidR="005247C5" w:rsidRDefault="005247C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5686B" w:rsidRPr="00A90B95" w:rsidRDefault="00A90B95" w:rsidP="00A90B9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A. </w:t>
      </w:r>
      <w:r w:rsidR="00B5686B" w:rsidRPr="00A90B95">
        <w:rPr>
          <w:b/>
          <w:sz w:val="22"/>
          <w:szCs w:val="22"/>
        </w:rPr>
        <w:t>Věcné řízení a monitoring</w:t>
      </w:r>
    </w:p>
    <w:p w:rsid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A90B95">
      <w:pPr>
        <w:jc w:val="both"/>
        <w:rPr>
          <w:rFonts w:cs="Arial"/>
          <w:b/>
          <w:sz w:val="22"/>
          <w:szCs w:val="22"/>
        </w:rPr>
      </w:pPr>
      <w:r w:rsidRPr="005F4D95">
        <w:rPr>
          <w:rFonts w:cs="Arial"/>
          <w:sz w:val="22"/>
          <w:szCs w:val="22"/>
        </w:rPr>
        <w:t>MD pro prioritní osu 6 vymezilo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programovém dokumentu OPD globální cíl </w:t>
      </w:r>
      <w:r w:rsidRPr="006512A6">
        <w:rPr>
          <w:rFonts w:cs="Arial"/>
          <w:sz w:val="22"/>
          <w:szCs w:val="22"/>
        </w:rPr>
        <w:t>„</w:t>
      </w:r>
      <w:r w:rsidRPr="005F4D95">
        <w:rPr>
          <w:rFonts w:cs="Arial"/>
          <w:i/>
          <w:sz w:val="22"/>
          <w:szCs w:val="22"/>
        </w:rPr>
        <w:t xml:space="preserve">zvýšení </w:t>
      </w:r>
      <w:proofErr w:type="spellStart"/>
      <w:r w:rsidRPr="005F4D95">
        <w:rPr>
          <w:rFonts w:cs="Arial"/>
          <w:i/>
          <w:sz w:val="22"/>
          <w:szCs w:val="22"/>
        </w:rPr>
        <w:t>multimodality</w:t>
      </w:r>
      <w:proofErr w:type="spellEnd"/>
      <w:r w:rsidRPr="005F4D95">
        <w:rPr>
          <w:rFonts w:cs="Arial"/>
          <w:i/>
          <w:sz w:val="22"/>
          <w:szCs w:val="22"/>
        </w:rPr>
        <w:t xml:space="preserve"> v</w:t>
      </w:r>
      <w:r w:rsidR="004C5D1B">
        <w:rPr>
          <w:rFonts w:cs="Arial"/>
          <w:i/>
          <w:sz w:val="22"/>
          <w:szCs w:val="22"/>
        </w:rPr>
        <w:t xml:space="preserve"> </w:t>
      </w:r>
      <w:r w:rsidRPr="005F4D95">
        <w:rPr>
          <w:rFonts w:cs="Arial"/>
          <w:i/>
          <w:sz w:val="22"/>
          <w:szCs w:val="22"/>
        </w:rPr>
        <w:t>nákladní přepravě a zlepšení vnitrozemské vodní dopravy</w:t>
      </w:r>
      <w:r w:rsidRPr="006512A6">
        <w:rPr>
          <w:rFonts w:cs="Arial"/>
          <w:sz w:val="22"/>
          <w:szCs w:val="22"/>
        </w:rPr>
        <w:t>“.</w:t>
      </w:r>
      <w:r w:rsidRPr="005F4D95">
        <w:rPr>
          <w:rFonts w:cs="Arial"/>
          <w:sz w:val="22"/>
          <w:szCs w:val="22"/>
        </w:rPr>
        <w:t xml:space="preserve"> K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dosažení tohoto cíle stanovilo dva specifické cíle: </w:t>
      </w:r>
      <w:r w:rsidRPr="006512A6">
        <w:rPr>
          <w:rFonts w:cs="Arial"/>
          <w:sz w:val="22"/>
          <w:szCs w:val="22"/>
        </w:rPr>
        <w:t>„</w:t>
      </w:r>
      <w:r w:rsidRPr="005F4D95">
        <w:rPr>
          <w:rFonts w:cs="Arial"/>
          <w:i/>
          <w:sz w:val="22"/>
          <w:szCs w:val="22"/>
        </w:rPr>
        <w:t>zatraktivnění multimodální nákladní přepravy za účelem snížení negativních vlivů dopravy na životní prostředí a veřejné zdraví snížením podílu silniční nákladní dopravy</w:t>
      </w:r>
      <w:r w:rsidR="00F42070" w:rsidRPr="006512A6">
        <w:rPr>
          <w:rFonts w:cs="Arial"/>
          <w:sz w:val="22"/>
          <w:szCs w:val="22"/>
        </w:rPr>
        <w:t>“</w:t>
      </w:r>
      <w:r w:rsidRPr="005F4D95">
        <w:rPr>
          <w:rFonts w:cs="Arial"/>
          <w:i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a </w:t>
      </w:r>
      <w:r w:rsidRPr="006512A6">
        <w:rPr>
          <w:rFonts w:cs="Arial"/>
          <w:sz w:val="22"/>
          <w:szCs w:val="22"/>
        </w:rPr>
        <w:t>„</w:t>
      </w:r>
      <w:r w:rsidRPr="005F4D95">
        <w:rPr>
          <w:rFonts w:cs="Arial"/>
          <w:i/>
          <w:sz w:val="22"/>
          <w:szCs w:val="22"/>
        </w:rPr>
        <w:t>zlepšení vnitrozemské vodní dopravy</w:t>
      </w:r>
      <w:r w:rsidRPr="006512A6">
        <w:rPr>
          <w:rFonts w:cs="Arial"/>
          <w:sz w:val="22"/>
          <w:szCs w:val="22"/>
        </w:rPr>
        <w:t>“.</w:t>
      </w:r>
      <w:r w:rsidRPr="005F4D95">
        <w:rPr>
          <w:rFonts w:cs="Arial"/>
          <w:i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 xml:space="preserve">Pro dosažení globálního cíle prioritní osy 6 </w:t>
      </w:r>
      <w:r w:rsidR="004B1DCC" w:rsidRPr="005F4D95">
        <w:rPr>
          <w:rFonts w:cs="Arial"/>
          <w:b/>
          <w:sz w:val="22"/>
          <w:szCs w:val="22"/>
        </w:rPr>
        <w:t xml:space="preserve">stanovilo </w:t>
      </w:r>
      <w:r w:rsidRPr="005F4D95">
        <w:rPr>
          <w:rFonts w:cs="Arial"/>
          <w:b/>
          <w:sz w:val="22"/>
          <w:szCs w:val="22"/>
        </w:rPr>
        <w:t>MD v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programovém dokumentu nekonkrétní, ob</w:t>
      </w:r>
      <w:r w:rsidR="00B278AA">
        <w:rPr>
          <w:rFonts w:cs="Arial"/>
          <w:b/>
          <w:sz w:val="22"/>
          <w:szCs w:val="22"/>
        </w:rPr>
        <w:t>tížně měřitelné specifické cíle a</w:t>
      </w:r>
      <w:r w:rsidRPr="005F4D95">
        <w:rPr>
          <w:rFonts w:cs="Arial"/>
          <w:b/>
          <w:sz w:val="22"/>
          <w:szCs w:val="22"/>
        </w:rPr>
        <w:t xml:space="preserve"> nepřiřadilo jim žádné odpovídající indikátory, které by umožňovaly měření míry dosažení těch</w:t>
      </w:r>
      <w:r w:rsidR="006E6A72">
        <w:rPr>
          <w:rFonts w:cs="Arial"/>
          <w:b/>
          <w:sz w:val="22"/>
          <w:szCs w:val="22"/>
        </w:rPr>
        <w:t>to cílů. MD tak nepostupovalo v </w:t>
      </w:r>
      <w:r w:rsidRPr="005F4D95">
        <w:rPr>
          <w:rFonts w:cs="Arial"/>
          <w:b/>
          <w:sz w:val="22"/>
          <w:szCs w:val="22"/>
        </w:rPr>
        <w:t>souladu se zásadou řádného finančního řízení stanovenou v</w:t>
      </w:r>
      <w:r w:rsidR="004B1DCC">
        <w:rPr>
          <w:rFonts w:cs="Arial"/>
          <w:b/>
          <w:sz w:val="22"/>
          <w:szCs w:val="22"/>
        </w:rPr>
        <w:t> </w:t>
      </w:r>
      <w:r w:rsidRPr="005F4D95">
        <w:rPr>
          <w:rFonts w:cs="Arial"/>
          <w:b/>
          <w:sz w:val="22"/>
          <w:szCs w:val="22"/>
        </w:rPr>
        <w:t>předpis</w:t>
      </w:r>
      <w:bookmarkStart w:id="0" w:name="_Ref397686726"/>
      <w:r w:rsidR="00B93671">
        <w:rPr>
          <w:rFonts w:cs="Arial"/>
          <w:b/>
          <w:sz w:val="22"/>
          <w:szCs w:val="22"/>
        </w:rPr>
        <w:t>ech</w:t>
      </w:r>
      <w:r w:rsidR="00FE5B3B">
        <w:rPr>
          <w:rFonts w:cs="Arial"/>
          <w:b/>
          <w:sz w:val="22"/>
          <w:szCs w:val="22"/>
        </w:rPr>
        <w:t xml:space="preserve"> E</w:t>
      </w:r>
      <w:r w:rsidR="00717B81">
        <w:rPr>
          <w:rFonts w:cs="Arial"/>
          <w:b/>
          <w:sz w:val="22"/>
          <w:szCs w:val="22"/>
        </w:rPr>
        <w:t>U</w:t>
      </w:r>
      <w:r w:rsidRPr="006E6A72">
        <w:rPr>
          <w:rStyle w:val="Znakapoznpodarou"/>
          <w:rFonts w:cs="Arial"/>
          <w:b/>
          <w:sz w:val="22"/>
          <w:szCs w:val="22"/>
        </w:rPr>
        <w:footnoteReference w:id="20"/>
      </w:r>
      <w:bookmarkEnd w:id="0"/>
      <w:r w:rsidRPr="005F4D95">
        <w:rPr>
          <w:rFonts w:cs="Arial"/>
          <w:b/>
          <w:sz w:val="22"/>
          <w:szCs w:val="22"/>
        </w:rPr>
        <w:t>.</w:t>
      </w:r>
      <w:r w:rsidR="0015059A">
        <w:rPr>
          <w:rFonts w:cs="Arial"/>
          <w:b/>
          <w:sz w:val="22"/>
          <w:szCs w:val="22"/>
        </w:rPr>
        <w:t xml:space="preserve"> 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Default="00B5686B" w:rsidP="00A90B95">
      <w:pPr>
        <w:jc w:val="both"/>
        <w:rPr>
          <w:rFonts w:cs="Arial"/>
          <w:sz w:val="22"/>
          <w:szCs w:val="22"/>
        </w:rPr>
      </w:pPr>
      <w:r w:rsidRPr="000E1FD2">
        <w:rPr>
          <w:rFonts w:cs="Arial"/>
          <w:b/>
          <w:sz w:val="22"/>
          <w:szCs w:val="22"/>
        </w:rPr>
        <w:t xml:space="preserve">MD nesledovalo na programové úrovni u prioritní osy </w:t>
      </w:r>
      <w:r w:rsidR="0038127E">
        <w:rPr>
          <w:rFonts w:cs="Arial"/>
          <w:b/>
          <w:sz w:val="22"/>
          <w:szCs w:val="22"/>
        </w:rPr>
        <w:t>6 žádné výsledkové indikátory a </w:t>
      </w:r>
      <w:r w:rsidRPr="000E1FD2">
        <w:rPr>
          <w:rFonts w:cs="Arial"/>
          <w:b/>
          <w:sz w:val="22"/>
          <w:szCs w:val="22"/>
        </w:rPr>
        <w:t xml:space="preserve">nezajistilo vzájemnou provázanost a </w:t>
      </w:r>
      <w:proofErr w:type="spellStart"/>
      <w:r w:rsidRPr="000E1FD2">
        <w:rPr>
          <w:rFonts w:cs="Arial"/>
          <w:b/>
          <w:sz w:val="22"/>
          <w:szCs w:val="22"/>
        </w:rPr>
        <w:t>agregovatelnost</w:t>
      </w:r>
      <w:proofErr w:type="spellEnd"/>
      <w:r w:rsidRPr="000E1FD2">
        <w:rPr>
          <w:rFonts w:cs="Arial"/>
          <w:b/>
          <w:sz w:val="22"/>
          <w:szCs w:val="22"/>
        </w:rPr>
        <w:t xml:space="preserve"> indikátorů na jednotlivých úrovních</w:t>
      </w:r>
      <w:r w:rsidR="004B1DCC">
        <w:rPr>
          <w:rFonts w:cs="Arial"/>
          <w:b/>
          <w:sz w:val="22"/>
          <w:szCs w:val="22"/>
        </w:rPr>
        <w:t xml:space="preserve"> </w:t>
      </w:r>
      <w:r w:rsidR="004B1DCC" w:rsidRPr="000E1FD2">
        <w:rPr>
          <w:rFonts w:cs="Arial"/>
          <w:b/>
          <w:sz w:val="22"/>
          <w:szCs w:val="22"/>
        </w:rPr>
        <w:t>indikátorové soustavy</w:t>
      </w:r>
      <w:r w:rsidRPr="000E1FD2">
        <w:rPr>
          <w:rFonts w:cs="Arial"/>
          <w:b/>
          <w:sz w:val="22"/>
          <w:szCs w:val="22"/>
        </w:rPr>
        <w:t xml:space="preserve">. </w:t>
      </w:r>
      <w:r w:rsidR="00B93671">
        <w:rPr>
          <w:rFonts w:cs="Arial"/>
          <w:b/>
          <w:sz w:val="22"/>
          <w:szCs w:val="22"/>
        </w:rPr>
        <w:t>MD tak n</w:t>
      </w:r>
      <w:r w:rsidR="004B1DCC">
        <w:rPr>
          <w:rFonts w:cs="Arial"/>
          <w:b/>
          <w:sz w:val="22"/>
          <w:szCs w:val="22"/>
        </w:rPr>
        <w:t>epostupovalo v </w:t>
      </w:r>
      <w:r w:rsidRPr="000E1FD2">
        <w:rPr>
          <w:rFonts w:cs="Arial"/>
          <w:b/>
          <w:sz w:val="22"/>
          <w:szCs w:val="22"/>
        </w:rPr>
        <w:t>souladu s</w:t>
      </w:r>
      <w:r w:rsidR="004C5D1B">
        <w:rPr>
          <w:rFonts w:cs="Arial"/>
          <w:b/>
          <w:sz w:val="22"/>
          <w:szCs w:val="22"/>
        </w:rPr>
        <w:t xml:space="preserve"> </w:t>
      </w:r>
      <w:r w:rsidRPr="000E1FD2">
        <w:rPr>
          <w:rFonts w:cs="Arial"/>
          <w:b/>
          <w:sz w:val="22"/>
          <w:szCs w:val="22"/>
        </w:rPr>
        <w:t>pravidly stanovenými na národní úrovni závazným dokumentem pro monitorování</w:t>
      </w:r>
      <w:r w:rsidRPr="00CE4175">
        <w:rPr>
          <w:rStyle w:val="Znakapoznpodarou"/>
          <w:rFonts w:cs="Arial"/>
          <w:b/>
          <w:sz w:val="22"/>
          <w:szCs w:val="22"/>
        </w:rPr>
        <w:footnoteReference w:id="21"/>
      </w:r>
      <w:r w:rsidRPr="006512A6">
        <w:rPr>
          <w:rFonts w:cs="Arial"/>
          <w:b/>
          <w:sz w:val="22"/>
          <w:szCs w:val="22"/>
        </w:rPr>
        <w:t>.</w:t>
      </w:r>
      <w:r w:rsidRPr="005F4D95">
        <w:rPr>
          <w:rFonts w:cs="Arial"/>
          <w:sz w:val="22"/>
          <w:szCs w:val="22"/>
        </w:rPr>
        <w:t xml:space="preserve"> Nestanovilo žádné ukazatele, které by umožňovaly měření průběžného pokroku ve vztahu k objemu aktuálně vyplacených peněžních prostředků</w:t>
      </w:r>
      <w:r w:rsidR="00CE4175">
        <w:rPr>
          <w:rFonts w:cs="Arial"/>
          <w:sz w:val="22"/>
          <w:szCs w:val="22"/>
        </w:rPr>
        <w:t>,</w:t>
      </w:r>
      <w:r w:rsidRPr="005F4D95">
        <w:rPr>
          <w:rFonts w:cs="Arial"/>
          <w:sz w:val="22"/>
          <w:szCs w:val="22"/>
        </w:rPr>
        <w:t xml:space="preserve"> a</w:t>
      </w:r>
      <w:r w:rsidR="00CE4175">
        <w:rPr>
          <w:rFonts w:cs="Arial"/>
          <w:sz w:val="22"/>
          <w:szCs w:val="22"/>
        </w:rPr>
        <w:t> tudíž</w:t>
      </w:r>
      <w:r w:rsidRPr="005F4D95">
        <w:rPr>
          <w:rFonts w:cs="Arial"/>
          <w:sz w:val="22"/>
          <w:szCs w:val="22"/>
        </w:rPr>
        <w:t xml:space="preserve"> nepostupovalo </w:t>
      </w:r>
      <w:r w:rsidRPr="005F4D95">
        <w:rPr>
          <w:rFonts w:cs="Arial"/>
          <w:color w:val="000000"/>
          <w:sz w:val="22"/>
          <w:szCs w:val="22"/>
        </w:rPr>
        <w:t>v</w:t>
      </w:r>
      <w:r w:rsidR="004C5D1B">
        <w:rPr>
          <w:rFonts w:cs="Arial"/>
          <w:color w:val="000000"/>
          <w:sz w:val="22"/>
          <w:szCs w:val="22"/>
        </w:rPr>
        <w:t xml:space="preserve"> </w:t>
      </w:r>
      <w:r w:rsidRPr="005F4D95">
        <w:rPr>
          <w:rFonts w:cs="Arial"/>
          <w:color w:val="000000"/>
          <w:sz w:val="22"/>
          <w:szCs w:val="22"/>
        </w:rPr>
        <w:t xml:space="preserve">souladu s příslušným ustanovením </w:t>
      </w:r>
      <w:r w:rsidR="00FE5B3B">
        <w:rPr>
          <w:rFonts w:cs="Arial"/>
          <w:color w:val="000000"/>
          <w:sz w:val="22"/>
          <w:szCs w:val="22"/>
        </w:rPr>
        <w:t>předpisu E</w:t>
      </w:r>
      <w:r w:rsidR="00717B81">
        <w:rPr>
          <w:rFonts w:cs="Arial"/>
          <w:color w:val="000000"/>
          <w:sz w:val="22"/>
          <w:szCs w:val="22"/>
        </w:rPr>
        <w:t>U</w:t>
      </w:r>
      <w:r w:rsidRPr="005F4D95">
        <w:rPr>
          <w:rStyle w:val="Znakapoznpodarou"/>
          <w:rFonts w:cs="Arial"/>
          <w:color w:val="000000"/>
          <w:sz w:val="22"/>
          <w:szCs w:val="22"/>
        </w:rPr>
        <w:footnoteReference w:id="22"/>
      </w:r>
      <w:r w:rsidRPr="005F4D95">
        <w:rPr>
          <w:rFonts w:cs="Arial"/>
          <w:color w:val="000000"/>
          <w:sz w:val="22"/>
          <w:szCs w:val="22"/>
        </w:rPr>
        <w:t xml:space="preserve">. </w:t>
      </w:r>
      <w:r w:rsidRPr="005F4D95">
        <w:rPr>
          <w:rFonts w:cs="Arial"/>
          <w:sz w:val="22"/>
          <w:szCs w:val="22"/>
        </w:rPr>
        <w:t xml:space="preserve">Při hodnocení </w:t>
      </w:r>
      <w:r w:rsidR="00B278AA">
        <w:rPr>
          <w:rFonts w:cs="Arial"/>
          <w:sz w:val="22"/>
          <w:szCs w:val="22"/>
        </w:rPr>
        <w:t xml:space="preserve">nastavení </w:t>
      </w:r>
      <w:r w:rsidRPr="005F4D95">
        <w:rPr>
          <w:rFonts w:cs="Arial"/>
          <w:sz w:val="22"/>
          <w:szCs w:val="22"/>
        </w:rPr>
        <w:t>systému</w:t>
      </w:r>
      <w:r w:rsidR="004B1DCC">
        <w:rPr>
          <w:rFonts w:cs="Arial"/>
          <w:sz w:val="22"/>
          <w:szCs w:val="22"/>
        </w:rPr>
        <w:t xml:space="preserve"> indikátorů</w:t>
      </w:r>
      <w:r w:rsidRPr="005F4D95">
        <w:rPr>
          <w:rFonts w:cs="Arial"/>
          <w:sz w:val="22"/>
          <w:szCs w:val="22"/>
        </w:rPr>
        <w:t xml:space="preserve"> </w:t>
      </w:r>
      <w:r w:rsidR="004B1DCC" w:rsidRPr="005F4D95">
        <w:rPr>
          <w:rFonts w:cs="Arial"/>
          <w:sz w:val="22"/>
          <w:szCs w:val="22"/>
        </w:rPr>
        <w:t xml:space="preserve">nezohlednilo </w:t>
      </w:r>
      <w:r w:rsidRPr="005F4D95">
        <w:rPr>
          <w:rFonts w:cs="Arial"/>
          <w:sz w:val="22"/>
          <w:szCs w:val="22"/>
        </w:rPr>
        <w:t>MD dostatečně doporučení z</w:t>
      </w:r>
      <w:r w:rsidR="004B1D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provedeného hodnocení relevance indikátorů OPD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roku 2011</w:t>
      </w:r>
      <w:r w:rsidRPr="005F4D95">
        <w:rPr>
          <w:rStyle w:val="Znakapoznpodarou"/>
          <w:rFonts w:cs="Arial"/>
          <w:sz w:val="22"/>
          <w:szCs w:val="22"/>
        </w:rPr>
        <w:footnoteReference w:id="23"/>
      </w:r>
      <w:r w:rsidRPr="005F4D95">
        <w:rPr>
          <w:rFonts w:cs="Arial"/>
          <w:sz w:val="22"/>
          <w:szCs w:val="22"/>
        </w:rPr>
        <w:t>.</w:t>
      </w:r>
    </w:p>
    <w:p w:rsidR="00A90B95" w:rsidRPr="005F4D95" w:rsidRDefault="00A90B95" w:rsidP="00A90B95">
      <w:pPr>
        <w:jc w:val="both"/>
        <w:rPr>
          <w:rFonts w:cs="Arial"/>
          <w:sz w:val="22"/>
          <w:szCs w:val="22"/>
        </w:rPr>
      </w:pPr>
    </w:p>
    <w:p w:rsidR="003C7F30" w:rsidRDefault="00B5686B" w:rsidP="00A90B95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b/>
          <w:color w:val="000000"/>
          <w:sz w:val="22"/>
          <w:szCs w:val="22"/>
        </w:rPr>
        <w:t xml:space="preserve">MD se </w:t>
      </w:r>
      <w:r w:rsidR="004B1DCC" w:rsidRPr="005F4D95">
        <w:rPr>
          <w:rFonts w:cs="Arial"/>
          <w:b/>
          <w:color w:val="000000"/>
          <w:sz w:val="22"/>
          <w:szCs w:val="22"/>
        </w:rPr>
        <w:t>nez</w:t>
      </w:r>
      <w:r w:rsidR="004B1DCC" w:rsidRPr="005F4D95">
        <w:rPr>
          <w:rFonts w:cs="Arial"/>
          <w:b/>
          <w:sz w:val="22"/>
          <w:szCs w:val="22"/>
        </w:rPr>
        <w:t xml:space="preserve">abývalo </w:t>
      </w:r>
      <w:r w:rsidRPr="005F4D95">
        <w:rPr>
          <w:rFonts w:cs="Arial"/>
          <w:b/>
          <w:color w:val="000000"/>
          <w:sz w:val="22"/>
          <w:szCs w:val="22"/>
        </w:rPr>
        <w:t xml:space="preserve">dostatečně </w:t>
      </w:r>
      <w:r w:rsidRPr="005F4D95">
        <w:rPr>
          <w:rFonts w:cs="Arial"/>
          <w:b/>
          <w:sz w:val="22"/>
          <w:szCs w:val="22"/>
        </w:rPr>
        <w:t>vyhodnoc</w:t>
      </w:r>
      <w:r w:rsidR="004B1DCC">
        <w:rPr>
          <w:rFonts w:cs="Arial"/>
          <w:b/>
          <w:sz w:val="22"/>
          <w:szCs w:val="22"/>
        </w:rPr>
        <w:t>ová</w:t>
      </w:r>
      <w:r w:rsidRPr="005F4D95">
        <w:rPr>
          <w:rFonts w:cs="Arial"/>
          <w:b/>
          <w:sz w:val="22"/>
          <w:szCs w:val="22"/>
        </w:rPr>
        <w:t>ním vlivu realizovaných projektů podpořených z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 xml:space="preserve">OPD na příslušné ukazatele podílu železniční a vodní dopravy </w:t>
      </w:r>
      <w:r w:rsidR="004B1DCC">
        <w:rPr>
          <w:rFonts w:cs="Arial"/>
          <w:b/>
          <w:sz w:val="22"/>
          <w:szCs w:val="22"/>
        </w:rPr>
        <w:t xml:space="preserve">na celkové </w:t>
      </w:r>
      <w:r w:rsidRPr="005F4D95">
        <w:rPr>
          <w:rFonts w:cs="Arial"/>
          <w:b/>
          <w:sz w:val="22"/>
          <w:szCs w:val="22"/>
        </w:rPr>
        <w:t xml:space="preserve">nákladní dopravě ani </w:t>
      </w:r>
      <w:r w:rsidRPr="005F4D95">
        <w:rPr>
          <w:rFonts w:cs="Arial"/>
          <w:b/>
          <w:color w:val="000000"/>
          <w:sz w:val="22"/>
          <w:szCs w:val="22"/>
        </w:rPr>
        <w:t>žádným jiným způsobem nevyhodnoc</w:t>
      </w:r>
      <w:r w:rsidR="001F78A0">
        <w:rPr>
          <w:rFonts w:cs="Arial"/>
          <w:b/>
          <w:color w:val="000000"/>
          <w:sz w:val="22"/>
          <w:szCs w:val="22"/>
        </w:rPr>
        <w:t>ovalo</w:t>
      </w:r>
      <w:r w:rsidRPr="005F4D95">
        <w:rPr>
          <w:rFonts w:cs="Arial"/>
          <w:b/>
          <w:color w:val="000000"/>
          <w:sz w:val="22"/>
          <w:szCs w:val="22"/>
        </w:rPr>
        <w:t xml:space="preserve"> naplňování očekávaných přínosů a efektů projektů</w:t>
      </w:r>
      <w:r w:rsidRPr="005F4D95">
        <w:rPr>
          <w:rFonts w:cs="Arial"/>
          <w:b/>
          <w:sz w:val="22"/>
          <w:szCs w:val="22"/>
        </w:rPr>
        <w:t>.</w:t>
      </w:r>
      <w:r w:rsidRPr="005F4D95">
        <w:rPr>
          <w:rFonts w:cs="Arial"/>
          <w:sz w:val="22"/>
          <w:szCs w:val="22"/>
        </w:rPr>
        <w:t xml:space="preserve">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dokladů předložených ke kontrole mj. vyplývá, že očekávaný výsledek stanovený </w:t>
      </w:r>
      <w:r w:rsidR="00B278AA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OPD</w:t>
      </w:r>
      <w:r w:rsidR="00B278AA">
        <w:rPr>
          <w:rFonts w:cs="Arial"/>
          <w:sz w:val="22"/>
          <w:szCs w:val="22"/>
        </w:rPr>
        <w:t>, tj.</w:t>
      </w:r>
      <w:r w:rsidRPr="005F4D95">
        <w:rPr>
          <w:rFonts w:cs="Arial"/>
          <w:sz w:val="22"/>
          <w:szCs w:val="22"/>
        </w:rPr>
        <w:t xml:space="preserve"> „</w:t>
      </w:r>
      <w:r w:rsidR="004B1DCC">
        <w:rPr>
          <w:rFonts w:cs="Arial"/>
          <w:i/>
          <w:color w:val="000000"/>
          <w:sz w:val="22"/>
          <w:szCs w:val="22"/>
        </w:rPr>
        <w:t>větší zapojení železniční a </w:t>
      </w:r>
      <w:r w:rsidRPr="005F4D95">
        <w:rPr>
          <w:rFonts w:cs="Arial"/>
          <w:i/>
          <w:color w:val="000000"/>
          <w:sz w:val="22"/>
          <w:szCs w:val="22"/>
        </w:rPr>
        <w:t>vnitrozemské vodní dopravy do přepravních řetězců nákladní dopravy budováním infrastruktury překladišť kombinované dopravy a VLC a podporou technologií kombinované dopravy“</w:t>
      </w:r>
      <w:r w:rsidR="00132D01">
        <w:rPr>
          <w:rFonts w:cs="Arial"/>
          <w:color w:val="000000"/>
          <w:sz w:val="22"/>
          <w:szCs w:val="22"/>
        </w:rPr>
        <w:t>,</w:t>
      </w:r>
      <w:r w:rsidRPr="005F4D95">
        <w:rPr>
          <w:rFonts w:cs="Arial"/>
          <w:i/>
          <w:color w:val="000000"/>
          <w:sz w:val="22"/>
          <w:szCs w:val="22"/>
        </w:rPr>
        <w:t xml:space="preserve"> </w:t>
      </w:r>
      <w:r w:rsidRPr="005F4D95">
        <w:rPr>
          <w:rFonts w:cs="Arial"/>
          <w:color w:val="000000"/>
          <w:sz w:val="22"/>
          <w:szCs w:val="22"/>
        </w:rPr>
        <w:t>dosud</w:t>
      </w:r>
      <w:r w:rsidRPr="005F4D95">
        <w:rPr>
          <w:rFonts w:cs="Arial"/>
          <w:sz w:val="22"/>
          <w:szCs w:val="22"/>
        </w:rPr>
        <w:t xml:space="preserve"> nenastal. Podíl vodní dopravy na nákladní dopravě zůstává zanedbatelný (v</w:t>
      </w:r>
      <w:r w:rsidR="004B1D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 xml:space="preserve">posledních pěti letech dosáhl nejvýše 0,43 % </w:t>
      </w:r>
      <w:r>
        <w:rPr>
          <w:rFonts w:cs="Arial"/>
          <w:sz w:val="22"/>
          <w:szCs w:val="22"/>
        </w:rPr>
        <w:t>objemu</w:t>
      </w:r>
      <w:r w:rsidRPr="005F4D95">
        <w:rPr>
          <w:rFonts w:cs="Arial"/>
          <w:sz w:val="22"/>
          <w:szCs w:val="22"/>
        </w:rPr>
        <w:t xml:space="preserve"> přepraveného zboží v</w:t>
      </w:r>
      <w:r w:rsidR="004C5D1B">
        <w:rPr>
          <w:rFonts w:cs="Arial"/>
          <w:sz w:val="22"/>
          <w:szCs w:val="22"/>
        </w:rPr>
        <w:t xml:space="preserve"> </w:t>
      </w:r>
      <w:r w:rsidR="004B1DCC">
        <w:rPr>
          <w:rFonts w:cs="Arial"/>
          <w:sz w:val="22"/>
          <w:szCs w:val="22"/>
        </w:rPr>
        <w:t>tunách a 1,1 </w:t>
      </w:r>
      <w:r w:rsidRPr="005F4D95">
        <w:rPr>
          <w:rFonts w:cs="Arial"/>
          <w:sz w:val="22"/>
          <w:szCs w:val="22"/>
        </w:rPr>
        <w:t>% přepravních výkonů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tunokilometrech)</w:t>
      </w:r>
      <w:r w:rsidR="00CE4175">
        <w:rPr>
          <w:rFonts w:cs="Arial"/>
          <w:sz w:val="22"/>
          <w:szCs w:val="22"/>
        </w:rPr>
        <w:t>,</w:t>
      </w:r>
      <w:r w:rsidR="00C40399" w:rsidRPr="00C40399">
        <w:rPr>
          <w:rFonts w:cs="Arial"/>
          <w:sz w:val="22"/>
          <w:szCs w:val="22"/>
        </w:rPr>
        <w:t xml:space="preserve"> </w:t>
      </w:r>
      <w:r w:rsidR="00C40399">
        <w:rPr>
          <w:rFonts w:cs="Arial"/>
          <w:sz w:val="22"/>
          <w:szCs w:val="22"/>
        </w:rPr>
        <w:t xml:space="preserve">jak </w:t>
      </w:r>
      <w:r w:rsidR="00CE4175">
        <w:rPr>
          <w:rFonts w:cs="Arial"/>
          <w:sz w:val="22"/>
          <w:szCs w:val="22"/>
        </w:rPr>
        <w:t>uvádí</w:t>
      </w:r>
      <w:r w:rsidR="004C5D1B">
        <w:rPr>
          <w:rFonts w:cs="Arial"/>
          <w:sz w:val="22"/>
          <w:szCs w:val="22"/>
        </w:rPr>
        <w:t xml:space="preserve"> </w:t>
      </w:r>
      <w:r w:rsidR="00C40399">
        <w:rPr>
          <w:rFonts w:cs="Arial"/>
          <w:sz w:val="22"/>
          <w:szCs w:val="22"/>
        </w:rPr>
        <w:t>tabulka č. 2</w:t>
      </w:r>
      <w:r w:rsidR="00CE4175">
        <w:rPr>
          <w:rFonts w:cs="Arial"/>
          <w:sz w:val="22"/>
          <w:szCs w:val="22"/>
        </w:rPr>
        <w:t>,</w:t>
      </w:r>
      <w:r w:rsidRPr="005F4D95">
        <w:rPr>
          <w:rFonts w:cs="Arial"/>
          <w:sz w:val="22"/>
          <w:szCs w:val="22"/>
        </w:rPr>
        <w:t xml:space="preserve"> a počet překladišť </w:t>
      </w:r>
      <w:r w:rsidR="004B1DCC">
        <w:rPr>
          <w:rFonts w:cs="Arial"/>
          <w:sz w:val="22"/>
          <w:szCs w:val="22"/>
        </w:rPr>
        <w:t>napojených na</w:t>
      </w:r>
      <w:r w:rsidRPr="005F4D95">
        <w:rPr>
          <w:rFonts w:cs="Arial"/>
          <w:sz w:val="22"/>
          <w:szCs w:val="22"/>
        </w:rPr>
        <w:t xml:space="preserve"> vodní dopravu se nezměnil.</w:t>
      </w:r>
    </w:p>
    <w:p w:rsidR="00A90B95" w:rsidRDefault="00A90B95" w:rsidP="00A90B95">
      <w:pPr>
        <w:jc w:val="both"/>
        <w:rPr>
          <w:rFonts w:cs="Arial"/>
          <w:sz w:val="22"/>
          <w:szCs w:val="22"/>
        </w:rPr>
      </w:pPr>
    </w:p>
    <w:p w:rsidR="0071026F" w:rsidRDefault="0071026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B5686B" w:rsidRPr="005F4D95" w:rsidRDefault="00030060" w:rsidP="00544726">
      <w:pPr>
        <w:spacing w:after="40"/>
        <w:jc w:val="both"/>
        <w:rPr>
          <w:rFonts w:cs="Arial"/>
          <w:b/>
          <w:sz w:val="22"/>
          <w:szCs w:val="22"/>
        </w:rPr>
      </w:pPr>
      <w:r w:rsidRPr="00030060">
        <w:rPr>
          <w:rFonts w:cs="Arial"/>
          <w:b/>
          <w:sz w:val="22"/>
          <w:szCs w:val="22"/>
        </w:rPr>
        <w:lastRenderedPageBreak/>
        <w:t>Tabulka č. 2</w:t>
      </w:r>
      <w:r w:rsidR="00CE4175">
        <w:rPr>
          <w:rFonts w:cs="Arial"/>
          <w:b/>
          <w:sz w:val="22"/>
          <w:szCs w:val="22"/>
        </w:rPr>
        <w:t> –</w:t>
      </w:r>
      <w:r w:rsidRPr="00544726">
        <w:rPr>
          <w:rFonts w:cs="Arial"/>
          <w:b/>
          <w:sz w:val="22"/>
          <w:szCs w:val="22"/>
        </w:rPr>
        <w:t xml:space="preserve"> </w:t>
      </w:r>
      <w:r w:rsidR="00B5686B" w:rsidRPr="005F4D95">
        <w:rPr>
          <w:rFonts w:cs="Arial"/>
          <w:b/>
          <w:sz w:val="22"/>
          <w:szCs w:val="22"/>
        </w:rPr>
        <w:t xml:space="preserve">Podíl železniční a vodní dopravy </w:t>
      </w:r>
      <w:r w:rsidR="004B1DCC">
        <w:rPr>
          <w:rFonts w:cs="Arial"/>
          <w:b/>
          <w:sz w:val="22"/>
          <w:szCs w:val="22"/>
        </w:rPr>
        <w:t>na celkové</w:t>
      </w:r>
      <w:r w:rsidR="004C5D1B">
        <w:rPr>
          <w:rFonts w:cs="Arial"/>
          <w:b/>
          <w:sz w:val="22"/>
          <w:szCs w:val="22"/>
        </w:rPr>
        <w:t xml:space="preserve"> </w:t>
      </w:r>
      <w:r w:rsidR="00B5686B" w:rsidRPr="005F4D95">
        <w:rPr>
          <w:rFonts w:cs="Arial"/>
          <w:b/>
          <w:sz w:val="22"/>
          <w:szCs w:val="22"/>
        </w:rPr>
        <w:t>nákladní dopravě</w:t>
      </w:r>
    </w:p>
    <w:tbl>
      <w:tblPr>
        <w:tblW w:w="8984" w:type="dxa"/>
        <w:jc w:val="center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1190"/>
        <w:gridCol w:w="1020"/>
        <w:gridCol w:w="1020"/>
        <w:gridCol w:w="1020"/>
        <w:gridCol w:w="1020"/>
        <w:gridCol w:w="1020"/>
      </w:tblGrid>
      <w:tr w:rsidR="00B5686B" w:rsidRPr="005F4D95" w:rsidTr="00544726">
        <w:trPr>
          <w:trHeight w:val="283"/>
          <w:jc w:val="center"/>
        </w:trPr>
        <w:tc>
          <w:tcPr>
            <w:tcW w:w="388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F4D95">
              <w:rPr>
                <w:rFonts w:cs="Arial"/>
                <w:b/>
                <w:sz w:val="18"/>
                <w:szCs w:val="18"/>
              </w:rPr>
              <w:t>2009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F4D95">
              <w:rPr>
                <w:rFonts w:cs="Arial"/>
                <w:b/>
                <w:sz w:val="18"/>
                <w:szCs w:val="18"/>
              </w:rPr>
              <w:t>2010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F4D95">
              <w:rPr>
                <w:rFonts w:cs="Arial"/>
                <w:b/>
                <w:sz w:val="18"/>
                <w:szCs w:val="18"/>
              </w:rPr>
              <w:t>2011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F4D95">
              <w:rPr>
                <w:rFonts w:cs="Arial"/>
                <w:b/>
                <w:sz w:val="18"/>
                <w:szCs w:val="18"/>
              </w:rPr>
              <w:t>2012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5686B" w:rsidRPr="005F4D95" w:rsidRDefault="00B5686B" w:rsidP="004B1DCC">
            <w:pPr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F4D95">
              <w:rPr>
                <w:rFonts w:cs="Arial"/>
                <w:b/>
                <w:sz w:val="18"/>
                <w:szCs w:val="18"/>
              </w:rPr>
              <w:t>2013</w:t>
            </w:r>
            <w:r w:rsidRPr="005F4D95">
              <w:rPr>
                <w:rFonts w:cs="Arial"/>
                <w:sz w:val="18"/>
                <w:szCs w:val="18"/>
              </w:rPr>
              <w:t>*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 w:val="restart"/>
            <w:tcBorders>
              <w:top w:val="single" w:sz="12" w:space="0" w:color="000000"/>
            </w:tcBorders>
            <w:vAlign w:val="center"/>
          </w:tcPr>
          <w:p w:rsidR="00B5686B" w:rsidRPr="005F4D95" w:rsidRDefault="00B5686B" w:rsidP="004B1DCC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Přeprava celkem**</w:t>
            </w:r>
          </w:p>
        </w:tc>
        <w:tc>
          <w:tcPr>
            <w:tcW w:w="119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tis. tun</w:t>
            </w:r>
          </w:p>
        </w:tc>
        <w:tc>
          <w:tcPr>
            <w:tcW w:w="1020" w:type="dxa"/>
            <w:tcBorders>
              <w:top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448 492</w:t>
            </w:r>
          </w:p>
        </w:tc>
        <w:tc>
          <w:tcPr>
            <w:tcW w:w="1020" w:type="dxa"/>
            <w:tcBorders>
              <w:top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440 466</w:t>
            </w:r>
          </w:p>
        </w:tc>
        <w:tc>
          <w:tcPr>
            <w:tcW w:w="1020" w:type="dxa"/>
            <w:tcBorders>
              <w:top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438 281</w:t>
            </w:r>
          </w:p>
        </w:tc>
        <w:tc>
          <w:tcPr>
            <w:tcW w:w="1020" w:type="dxa"/>
            <w:tcBorders>
              <w:top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424 058</w:t>
            </w:r>
          </w:p>
        </w:tc>
        <w:tc>
          <w:tcPr>
            <w:tcW w:w="1020" w:type="dxa"/>
            <w:tcBorders>
              <w:top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446 016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  <w:vAlign w:val="center"/>
          </w:tcPr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 xml:space="preserve">v mil. </w:t>
            </w:r>
            <w:proofErr w:type="spellStart"/>
            <w:r w:rsidRPr="005F4D95">
              <w:rPr>
                <w:rFonts w:cs="Arial"/>
                <w:sz w:val="18"/>
                <w:szCs w:val="18"/>
              </w:rPr>
              <w:t>tkm</w:t>
            </w:r>
            <w:proofErr w:type="spellEnd"/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58 415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66 304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69 863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66 180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69 575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 w:val="restart"/>
            <w:vAlign w:val="center"/>
          </w:tcPr>
          <w:p w:rsidR="00F163B8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 xml:space="preserve">Železniční doprava / </w:t>
            </w:r>
          </w:p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podíl na celkové přepravě</w:t>
            </w: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tis. tun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76 715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82 900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87 096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82 968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83 957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  <w:vAlign w:val="center"/>
          </w:tcPr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%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17,11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18,82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19,87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19,57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18,82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  <w:vAlign w:val="center"/>
          </w:tcPr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 xml:space="preserve">v mil. </w:t>
            </w:r>
            <w:proofErr w:type="spellStart"/>
            <w:r w:rsidRPr="005F4D95">
              <w:rPr>
                <w:rFonts w:cs="Arial"/>
                <w:sz w:val="18"/>
                <w:szCs w:val="18"/>
              </w:rPr>
              <w:t>tkm</w:t>
            </w:r>
            <w:proofErr w:type="spellEnd"/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12 791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13 770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14 316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14 266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13 965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  <w:vAlign w:val="center"/>
          </w:tcPr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%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20,77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20,49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21,56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20,07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 w:val="restart"/>
            <w:vAlign w:val="center"/>
          </w:tcPr>
          <w:p w:rsidR="00F163B8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 xml:space="preserve">Vodní doprava / </w:t>
            </w:r>
          </w:p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podíl na celkové přepravě</w:t>
            </w: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tis. tun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1 647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1 642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1 895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1 767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1 619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  <w:vAlign w:val="center"/>
          </w:tcPr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%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0,36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  <w:vAlign w:val="center"/>
          </w:tcPr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 xml:space="preserve">v mil. </w:t>
            </w:r>
            <w:proofErr w:type="spellStart"/>
            <w:r w:rsidRPr="005F4D95">
              <w:rPr>
                <w:rFonts w:cs="Arial"/>
                <w:sz w:val="18"/>
                <w:szCs w:val="18"/>
              </w:rPr>
              <w:t>tkm</w:t>
            </w:r>
            <w:proofErr w:type="spellEnd"/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693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  <w:vAlign w:val="center"/>
          </w:tcPr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%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1,00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 w:val="restart"/>
            <w:vAlign w:val="center"/>
          </w:tcPr>
          <w:p w:rsidR="00F163B8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  <w:proofErr w:type="gramStart"/>
            <w:r w:rsidRPr="005F4D95">
              <w:rPr>
                <w:rFonts w:cs="Arial"/>
                <w:sz w:val="18"/>
                <w:szCs w:val="18"/>
              </w:rPr>
              <w:t>Žel. a vodní</w:t>
            </w:r>
            <w:proofErr w:type="gramEnd"/>
            <w:r w:rsidRPr="005F4D95">
              <w:rPr>
                <w:rFonts w:cs="Arial"/>
                <w:sz w:val="18"/>
                <w:szCs w:val="18"/>
              </w:rPr>
              <w:t xml:space="preserve"> doprava / </w:t>
            </w:r>
          </w:p>
          <w:p w:rsidR="00B5686B" w:rsidRPr="005F4D95" w:rsidRDefault="00B5686B" w:rsidP="00876DED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podíl na celkové přepravě</w:t>
            </w: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tis. tun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78 362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84 542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88 991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84 735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85 576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</w:tcPr>
          <w:p w:rsidR="00B5686B" w:rsidRPr="005F4D95" w:rsidRDefault="00B5686B" w:rsidP="00876DED">
            <w:pPr>
              <w:spacing w:line="264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%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17,47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19,19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19,98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19,19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</w:tcPr>
          <w:p w:rsidR="00B5686B" w:rsidRPr="005F4D95" w:rsidRDefault="00B5686B" w:rsidP="00876DED">
            <w:pPr>
              <w:spacing w:line="264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 xml:space="preserve">v mil. </w:t>
            </w:r>
            <w:proofErr w:type="spellStart"/>
            <w:r w:rsidRPr="005F4D95">
              <w:rPr>
                <w:rFonts w:cs="Arial"/>
                <w:sz w:val="18"/>
                <w:szCs w:val="18"/>
              </w:rPr>
              <w:t>tkm</w:t>
            </w:r>
            <w:proofErr w:type="spellEnd"/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13 431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14 449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15 011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14 936</w:t>
            </w:r>
          </w:p>
        </w:tc>
        <w:tc>
          <w:tcPr>
            <w:tcW w:w="1020" w:type="dxa"/>
            <w:vAlign w:val="center"/>
          </w:tcPr>
          <w:p w:rsidR="00B5686B" w:rsidRPr="005F4D95" w:rsidRDefault="00B5686B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F4D95">
              <w:rPr>
                <w:rFonts w:cs="Arial"/>
                <w:color w:val="000000"/>
                <w:sz w:val="18"/>
                <w:szCs w:val="18"/>
              </w:rPr>
              <w:t>14 658</w:t>
            </w:r>
          </w:p>
        </w:tc>
      </w:tr>
      <w:tr w:rsidR="00B5686B" w:rsidRPr="005F4D95" w:rsidTr="00544726">
        <w:trPr>
          <w:trHeight w:val="283"/>
          <w:jc w:val="center"/>
        </w:trPr>
        <w:tc>
          <w:tcPr>
            <w:tcW w:w="2694" w:type="dxa"/>
            <w:vMerge/>
            <w:tcBorders>
              <w:bottom w:val="single" w:sz="12" w:space="0" w:color="000000"/>
            </w:tcBorders>
          </w:tcPr>
          <w:p w:rsidR="00B5686B" w:rsidRPr="005F4D95" w:rsidRDefault="00B5686B" w:rsidP="00876DED">
            <w:pPr>
              <w:spacing w:line="264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5686B" w:rsidRPr="005F4D95" w:rsidRDefault="00B5686B" w:rsidP="00A90B9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5F4D95">
              <w:rPr>
                <w:rFonts w:cs="Arial"/>
                <w:sz w:val="18"/>
                <w:szCs w:val="18"/>
              </w:rPr>
              <w:t>v %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  <w:vAlign w:val="center"/>
          </w:tcPr>
          <w:p w:rsidR="00B5686B" w:rsidRPr="005F4D95" w:rsidRDefault="00A753FF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22,99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  <w:vAlign w:val="center"/>
          </w:tcPr>
          <w:p w:rsidR="00B5686B" w:rsidRPr="005F4D95" w:rsidRDefault="00A753FF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21,79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  <w:vAlign w:val="center"/>
          </w:tcPr>
          <w:p w:rsidR="00B5686B" w:rsidRPr="005F4D95" w:rsidRDefault="00A753FF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21,49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  <w:vAlign w:val="center"/>
          </w:tcPr>
          <w:p w:rsidR="00B5686B" w:rsidRPr="005F4D95" w:rsidRDefault="00A753FF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22,57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  <w:vAlign w:val="center"/>
          </w:tcPr>
          <w:p w:rsidR="00B5686B" w:rsidRPr="005F4D95" w:rsidRDefault="00A753FF" w:rsidP="00A90B95">
            <w:pPr>
              <w:spacing w:line="264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21,07</w:t>
            </w:r>
            <w:bookmarkStart w:id="1" w:name="_GoBack"/>
            <w:bookmarkEnd w:id="1"/>
          </w:p>
        </w:tc>
      </w:tr>
    </w:tbl>
    <w:p w:rsidR="00B5686B" w:rsidRPr="006764CC" w:rsidRDefault="00B5686B" w:rsidP="00CE4175">
      <w:pPr>
        <w:spacing w:before="40"/>
        <w:ind w:left="567" w:hanging="567"/>
        <w:jc w:val="both"/>
        <w:rPr>
          <w:rFonts w:cs="Arial"/>
          <w:sz w:val="18"/>
          <w:szCs w:val="18"/>
        </w:rPr>
      </w:pPr>
      <w:r w:rsidRPr="00702B25">
        <w:rPr>
          <w:rFonts w:cs="Arial"/>
          <w:b/>
          <w:sz w:val="18"/>
          <w:szCs w:val="18"/>
        </w:rPr>
        <w:t>Zdroj:</w:t>
      </w:r>
      <w:r w:rsidRPr="006764CC">
        <w:rPr>
          <w:rFonts w:cs="Arial"/>
          <w:sz w:val="18"/>
          <w:szCs w:val="18"/>
        </w:rPr>
        <w:t xml:space="preserve"> </w:t>
      </w:r>
      <w:r w:rsidR="00CE4175">
        <w:rPr>
          <w:rFonts w:cs="Arial"/>
          <w:sz w:val="18"/>
          <w:szCs w:val="18"/>
        </w:rPr>
        <w:tab/>
        <w:t>r</w:t>
      </w:r>
      <w:r w:rsidRPr="006764CC">
        <w:rPr>
          <w:rFonts w:cs="Arial"/>
          <w:sz w:val="18"/>
          <w:szCs w:val="18"/>
        </w:rPr>
        <w:t xml:space="preserve">očenky dopravy, </w:t>
      </w:r>
      <w:r w:rsidRPr="00702B25">
        <w:rPr>
          <w:rFonts w:cs="Arial"/>
          <w:i/>
          <w:sz w:val="18"/>
          <w:szCs w:val="18"/>
        </w:rPr>
        <w:t>Souhrnný přehled o přepravě věcí po vnitrozemských vodních cestách za rok 2013</w:t>
      </w:r>
      <w:r w:rsidRPr="006764CC">
        <w:rPr>
          <w:rFonts w:cs="Arial"/>
          <w:sz w:val="18"/>
          <w:szCs w:val="18"/>
        </w:rPr>
        <w:t>, výpočet NKÚ.</w:t>
      </w:r>
    </w:p>
    <w:p w:rsidR="00B5686B" w:rsidRPr="00A90B95" w:rsidRDefault="00544726" w:rsidP="00544726">
      <w:pPr>
        <w:tabs>
          <w:tab w:val="left" w:pos="284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ab/>
      </w:r>
      <w:r w:rsidR="00B5686B" w:rsidRPr="00A90B95">
        <w:rPr>
          <w:rFonts w:cs="Arial"/>
          <w:sz w:val="18"/>
          <w:szCs w:val="18"/>
        </w:rPr>
        <w:t>Předběžné výsledky k</w:t>
      </w:r>
      <w:r w:rsidR="004C5D1B" w:rsidRPr="00A90B95">
        <w:rPr>
          <w:rFonts w:cs="Arial"/>
          <w:sz w:val="18"/>
          <w:szCs w:val="18"/>
        </w:rPr>
        <w:t xml:space="preserve"> </w:t>
      </w:r>
      <w:r w:rsidR="00B5686B" w:rsidRPr="00A90B95">
        <w:rPr>
          <w:rFonts w:cs="Arial"/>
          <w:sz w:val="18"/>
          <w:szCs w:val="18"/>
        </w:rPr>
        <w:t>25.</w:t>
      </w:r>
      <w:r w:rsidR="004C5D1B" w:rsidRPr="00A90B95">
        <w:rPr>
          <w:rFonts w:cs="Arial"/>
          <w:sz w:val="18"/>
          <w:szCs w:val="18"/>
        </w:rPr>
        <w:t xml:space="preserve"> </w:t>
      </w:r>
      <w:r w:rsidR="00B5686B" w:rsidRPr="00A90B95">
        <w:rPr>
          <w:rFonts w:cs="Arial"/>
          <w:sz w:val="18"/>
          <w:szCs w:val="18"/>
        </w:rPr>
        <w:t>6.</w:t>
      </w:r>
      <w:r w:rsidR="004C5D1B" w:rsidRPr="00A90B95">
        <w:rPr>
          <w:rFonts w:cs="Arial"/>
          <w:sz w:val="18"/>
          <w:szCs w:val="18"/>
        </w:rPr>
        <w:t xml:space="preserve"> </w:t>
      </w:r>
      <w:r w:rsidR="00B5686B" w:rsidRPr="00A90B95">
        <w:rPr>
          <w:rFonts w:cs="Arial"/>
          <w:sz w:val="18"/>
          <w:szCs w:val="18"/>
        </w:rPr>
        <w:t>2014.</w:t>
      </w:r>
    </w:p>
    <w:p w:rsidR="00B5686B" w:rsidRPr="00A90B95" w:rsidRDefault="00544726" w:rsidP="00544726">
      <w:pPr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**</w:t>
      </w:r>
      <w:r>
        <w:rPr>
          <w:rFonts w:cs="Arial"/>
          <w:sz w:val="18"/>
          <w:szCs w:val="18"/>
        </w:rPr>
        <w:tab/>
      </w:r>
      <w:r w:rsidR="00B5686B" w:rsidRPr="00A90B95">
        <w:rPr>
          <w:rFonts w:cs="Arial"/>
          <w:sz w:val="18"/>
          <w:szCs w:val="18"/>
        </w:rPr>
        <w:t>Bez ropovodů.</w:t>
      </w:r>
    </w:p>
    <w:p w:rsidR="0006347C" w:rsidRPr="00A90B95" w:rsidRDefault="0006347C" w:rsidP="00A90B95">
      <w:pPr>
        <w:rPr>
          <w:rFonts w:cs="Arial"/>
          <w:sz w:val="22"/>
          <w:szCs w:val="22"/>
        </w:rPr>
      </w:pPr>
    </w:p>
    <w:p w:rsidR="00B5686B" w:rsidRPr="00A90B95" w:rsidRDefault="00A90B95" w:rsidP="00A90B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 </w:t>
      </w:r>
      <w:r w:rsidR="00B5686B" w:rsidRPr="00A90B95">
        <w:rPr>
          <w:b/>
          <w:sz w:val="22"/>
          <w:szCs w:val="22"/>
        </w:rPr>
        <w:t xml:space="preserve">Hodnocení a výběr projektů </w:t>
      </w:r>
    </w:p>
    <w:p w:rsid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Default="00717B81" w:rsidP="00A90B95">
      <w:pPr>
        <w:jc w:val="both"/>
        <w:rPr>
          <w:rFonts w:cs="Arial"/>
          <w:sz w:val="22"/>
          <w:szCs w:val="22"/>
        </w:rPr>
      </w:pPr>
      <w:r w:rsidRPr="00A90B95">
        <w:rPr>
          <w:rFonts w:cs="Arial"/>
          <w:sz w:val="22"/>
          <w:szCs w:val="22"/>
        </w:rPr>
        <w:t>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době, kdy MD hodnotilo a schvalovalo projekty na labské a vltavské vodní cestě, nemělo k dispozici podklady pro kvalifikované rozhodnutí o poskytnutí veřejné podpory těmto projektům.</w:t>
      </w:r>
      <w:r w:rsidR="00637E14" w:rsidRPr="00A90B95">
        <w:rPr>
          <w:rFonts w:cs="Arial"/>
          <w:b/>
          <w:sz w:val="22"/>
          <w:szCs w:val="22"/>
        </w:rPr>
        <w:t xml:space="preserve"> </w:t>
      </w:r>
      <w:r w:rsidRPr="00A90B95">
        <w:rPr>
          <w:rFonts w:cs="Arial"/>
          <w:b/>
          <w:sz w:val="22"/>
          <w:szCs w:val="22"/>
        </w:rPr>
        <w:t>K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="00B5686B" w:rsidRPr="00A90B95">
        <w:rPr>
          <w:rFonts w:cs="Arial"/>
          <w:b/>
          <w:sz w:val="22"/>
          <w:szCs w:val="22"/>
        </w:rPr>
        <w:t>financování z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="00B5686B" w:rsidRPr="00A90B95">
        <w:rPr>
          <w:rFonts w:cs="Arial"/>
          <w:b/>
          <w:sz w:val="22"/>
          <w:szCs w:val="22"/>
        </w:rPr>
        <w:t xml:space="preserve">OPD schvalovalo projektové žádosti, přestože vykazovaly významné nedostatky. </w:t>
      </w:r>
      <w:r w:rsidR="00B5686B" w:rsidRPr="00A90B95">
        <w:rPr>
          <w:rFonts w:cs="Arial"/>
          <w:sz w:val="22"/>
          <w:szCs w:val="22"/>
        </w:rPr>
        <w:t>V</w:t>
      </w:r>
      <w:r w:rsidR="004C5D1B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>dokladech, které byly součástmi či přílohami projektových žádostí</w:t>
      </w:r>
      <w:r w:rsidR="00D72485">
        <w:rPr>
          <w:rFonts w:cs="Arial"/>
          <w:sz w:val="22"/>
          <w:szCs w:val="22"/>
        </w:rPr>
        <w:t>,</w:t>
      </w:r>
      <w:r w:rsidR="00B5686B" w:rsidRPr="00A90B95">
        <w:rPr>
          <w:rFonts w:cs="Arial"/>
          <w:sz w:val="22"/>
          <w:szCs w:val="22"/>
        </w:rPr>
        <w:t xml:space="preserve"> byly zjištěny nejasnosti a</w:t>
      </w:r>
      <w:r w:rsidR="004C5D1B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>rozpory, kterými se MD dostatečně nezabývalo, a to ani v případech, kdy na tyto nedostatky upozornili hodnotitelé projektů v</w:t>
      </w:r>
      <w:r w:rsidR="004C5D1B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 xml:space="preserve">rámci II. stupně hodnocení, které navíc bylo prováděno značně formálně a na základě neurčitých podkladů. 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Pr="00A90B95" w:rsidRDefault="00B5686B" w:rsidP="00A90B95">
      <w:pPr>
        <w:jc w:val="both"/>
        <w:rPr>
          <w:rFonts w:cs="Arial"/>
          <w:b/>
          <w:sz w:val="22"/>
          <w:szCs w:val="22"/>
        </w:rPr>
      </w:pPr>
      <w:r w:rsidRPr="00A90B95">
        <w:rPr>
          <w:rFonts w:cs="Arial"/>
          <w:sz w:val="22"/>
          <w:szCs w:val="22"/>
        </w:rPr>
        <w:t>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průběhu II. stupně hodnocení projektové žádosti projektu </w:t>
      </w:r>
      <w:r w:rsidRPr="00A90B95">
        <w:rPr>
          <w:rFonts w:cs="Arial"/>
          <w:i/>
          <w:sz w:val="22"/>
          <w:szCs w:val="22"/>
        </w:rPr>
        <w:t>Rekonstrukce železničního mostu Kolín</w:t>
      </w:r>
      <w:r w:rsidRPr="00A90B95">
        <w:rPr>
          <w:rFonts w:cs="Arial"/>
          <w:sz w:val="22"/>
          <w:szCs w:val="22"/>
        </w:rPr>
        <w:t xml:space="preserve"> došlo </w:t>
      </w:r>
      <w:r w:rsidR="002E615F" w:rsidRPr="00A90B95">
        <w:rPr>
          <w:rFonts w:cs="Arial"/>
          <w:sz w:val="22"/>
          <w:szCs w:val="22"/>
        </w:rPr>
        <w:t xml:space="preserve">za spolupráce MD a ŘVC </w:t>
      </w:r>
      <w:r w:rsidRPr="00A90B95">
        <w:rPr>
          <w:rFonts w:cs="Arial"/>
          <w:sz w:val="22"/>
          <w:szCs w:val="22"/>
        </w:rPr>
        <w:t>k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vyčlenění výdajů nezpůsobilých k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financování z OPD 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celkovém objemu 197 mil. Kč a jejich přesunu k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financování z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rozpočtu SFDI a dále k aktualizaci ekonomického hodnocení, aniž by </w:t>
      </w:r>
      <w:r w:rsidR="004B1DCC" w:rsidRPr="00A90B95">
        <w:rPr>
          <w:rFonts w:cs="Arial"/>
          <w:sz w:val="22"/>
          <w:szCs w:val="22"/>
        </w:rPr>
        <w:t xml:space="preserve">byl </w:t>
      </w:r>
      <w:r w:rsidRPr="00A90B95">
        <w:rPr>
          <w:rFonts w:cs="Arial"/>
          <w:sz w:val="22"/>
          <w:szCs w:val="22"/>
        </w:rPr>
        <w:t xml:space="preserve">současně aktualizován investiční záměr (dále také „IZ“) projektu. </w:t>
      </w:r>
      <w:r w:rsidR="004B1DCC">
        <w:rPr>
          <w:rFonts w:cs="Arial"/>
          <w:sz w:val="22"/>
          <w:szCs w:val="22"/>
        </w:rPr>
        <w:t>V </w:t>
      </w:r>
      <w:r w:rsidR="004B1DCC">
        <w:rPr>
          <w:rFonts w:cs="Arial"/>
          <w:b/>
          <w:sz w:val="22"/>
          <w:szCs w:val="22"/>
        </w:rPr>
        <w:t>p</w:t>
      </w:r>
      <w:r w:rsidRPr="00A90B95">
        <w:rPr>
          <w:rFonts w:cs="Arial"/>
          <w:b/>
          <w:sz w:val="22"/>
          <w:szCs w:val="22"/>
        </w:rPr>
        <w:t>ůvodní</w:t>
      </w:r>
      <w:r w:rsidR="004B1DCC">
        <w:rPr>
          <w:rFonts w:cs="Arial"/>
          <w:b/>
          <w:sz w:val="22"/>
          <w:szCs w:val="22"/>
        </w:rPr>
        <w:t>m</w:t>
      </w:r>
      <w:r w:rsidRPr="00A90B95">
        <w:rPr>
          <w:rFonts w:cs="Arial"/>
          <w:b/>
          <w:sz w:val="22"/>
          <w:szCs w:val="22"/>
        </w:rPr>
        <w:t xml:space="preserve"> i aktualizované</w:t>
      </w:r>
      <w:r w:rsidR="004B1DCC">
        <w:rPr>
          <w:rFonts w:cs="Arial"/>
          <w:b/>
          <w:sz w:val="22"/>
          <w:szCs w:val="22"/>
        </w:rPr>
        <w:t>m</w:t>
      </w:r>
      <w:r w:rsidRPr="00A90B95">
        <w:rPr>
          <w:rFonts w:cs="Arial"/>
          <w:b/>
          <w:sz w:val="22"/>
          <w:szCs w:val="22"/>
        </w:rPr>
        <w:t xml:space="preserve"> ekonomické</w:t>
      </w:r>
      <w:r w:rsidR="004B1DCC">
        <w:rPr>
          <w:rFonts w:cs="Arial"/>
          <w:b/>
          <w:sz w:val="22"/>
          <w:szCs w:val="22"/>
        </w:rPr>
        <w:t>m</w:t>
      </w:r>
      <w:r w:rsidRPr="00A90B95">
        <w:rPr>
          <w:rFonts w:cs="Arial"/>
          <w:b/>
          <w:sz w:val="22"/>
          <w:szCs w:val="22"/>
        </w:rPr>
        <w:t xml:space="preserve"> hodnocení </w:t>
      </w:r>
      <w:r w:rsidR="004B1DCC">
        <w:rPr>
          <w:rFonts w:cs="Arial"/>
          <w:b/>
          <w:sz w:val="22"/>
          <w:szCs w:val="22"/>
        </w:rPr>
        <w:t>se vyskytly</w:t>
      </w:r>
      <w:r w:rsidRPr="00A90B95">
        <w:rPr>
          <w:rFonts w:cs="Arial"/>
          <w:b/>
          <w:sz w:val="22"/>
          <w:szCs w:val="22"/>
        </w:rPr>
        <w:t xml:space="preserve"> zásadní rozpory v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Pr="00A90B95">
        <w:rPr>
          <w:rFonts w:cs="Arial"/>
          <w:b/>
          <w:sz w:val="22"/>
          <w:szCs w:val="22"/>
        </w:rPr>
        <w:t>údajích a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Pr="00A90B95">
        <w:rPr>
          <w:rFonts w:cs="Arial"/>
          <w:b/>
          <w:sz w:val="22"/>
          <w:szCs w:val="22"/>
        </w:rPr>
        <w:t>další věcné a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Pr="00A90B95">
        <w:rPr>
          <w:rFonts w:cs="Arial"/>
          <w:b/>
          <w:sz w:val="22"/>
          <w:szCs w:val="22"/>
        </w:rPr>
        <w:t>formální nedostatky, které zpochybňují správnost a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Pr="00A90B95">
        <w:rPr>
          <w:rFonts w:cs="Arial"/>
          <w:b/>
          <w:sz w:val="22"/>
          <w:szCs w:val="22"/>
        </w:rPr>
        <w:t xml:space="preserve">věrohodnost jejich výsledků. </w:t>
      </w:r>
    </w:p>
    <w:p w:rsid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Default="00B5686B" w:rsidP="00A90B95">
      <w:pPr>
        <w:jc w:val="both"/>
        <w:rPr>
          <w:rFonts w:cs="Arial"/>
          <w:sz w:val="22"/>
          <w:szCs w:val="22"/>
        </w:rPr>
      </w:pPr>
      <w:r w:rsidRPr="00A90B95">
        <w:rPr>
          <w:rFonts w:cs="Arial"/>
          <w:sz w:val="22"/>
          <w:szCs w:val="22"/>
        </w:rPr>
        <w:t>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případě projektů </w:t>
      </w:r>
      <w:r w:rsidRPr="00A90B95">
        <w:rPr>
          <w:rFonts w:cs="Arial"/>
          <w:i/>
          <w:sz w:val="22"/>
          <w:szCs w:val="22"/>
        </w:rPr>
        <w:t>Dokončení vltavské vodní cesty v</w:t>
      </w:r>
      <w:r w:rsidR="004C5D1B" w:rsidRPr="00A90B95">
        <w:rPr>
          <w:rFonts w:cs="Arial"/>
          <w:i/>
          <w:sz w:val="22"/>
          <w:szCs w:val="22"/>
        </w:rPr>
        <w:t xml:space="preserve"> </w:t>
      </w:r>
      <w:r w:rsidRPr="00A90B95">
        <w:rPr>
          <w:rFonts w:cs="Arial"/>
          <w:i/>
          <w:sz w:val="22"/>
          <w:szCs w:val="22"/>
        </w:rPr>
        <w:t xml:space="preserve">úseku České Budějovice </w:t>
      </w:r>
      <w:r w:rsidR="0015059A" w:rsidRPr="00A90B95">
        <w:rPr>
          <w:rFonts w:cs="Arial"/>
          <w:i/>
          <w:sz w:val="22"/>
          <w:szCs w:val="22"/>
        </w:rPr>
        <w:t>–</w:t>
      </w:r>
      <w:r w:rsidRPr="00A90B95">
        <w:rPr>
          <w:rFonts w:cs="Arial"/>
          <w:i/>
          <w:sz w:val="22"/>
          <w:szCs w:val="22"/>
        </w:rPr>
        <w:t xml:space="preserve"> Hluboká nad Vltavou</w:t>
      </w:r>
      <w:r w:rsidRPr="00A90B95">
        <w:rPr>
          <w:rFonts w:cs="Arial"/>
          <w:sz w:val="22"/>
          <w:szCs w:val="22"/>
        </w:rPr>
        <w:t xml:space="preserve"> a </w:t>
      </w:r>
      <w:r w:rsidRPr="00A90B95">
        <w:rPr>
          <w:rFonts w:cs="Arial"/>
          <w:i/>
          <w:sz w:val="22"/>
          <w:szCs w:val="22"/>
        </w:rPr>
        <w:t>Dokončení vltavské vodní cesty v</w:t>
      </w:r>
      <w:r w:rsidR="004C5D1B" w:rsidRPr="00A90B95">
        <w:rPr>
          <w:rFonts w:cs="Arial"/>
          <w:i/>
          <w:sz w:val="22"/>
          <w:szCs w:val="22"/>
        </w:rPr>
        <w:t xml:space="preserve"> </w:t>
      </w:r>
      <w:r w:rsidRPr="00A90B95">
        <w:rPr>
          <w:rFonts w:cs="Arial"/>
          <w:i/>
          <w:sz w:val="22"/>
          <w:szCs w:val="22"/>
        </w:rPr>
        <w:t>úseku VD Hněvkovice – Týn nad Vltavou</w:t>
      </w:r>
      <w:r w:rsidR="005E58B1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měl hodnotitel </w:t>
      </w:r>
      <w:r w:rsidR="004B1DCC" w:rsidRPr="00A90B95">
        <w:rPr>
          <w:rFonts w:cs="Arial"/>
          <w:sz w:val="22"/>
          <w:szCs w:val="22"/>
        </w:rPr>
        <w:t>v rámci ekonomické analýzy</w:t>
      </w:r>
      <w:r w:rsidR="004B1DCC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výhrady k</w:t>
      </w:r>
      <w:r w:rsidR="007B4CC6" w:rsidRPr="00A90B95">
        <w:rPr>
          <w:rFonts w:cs="Arial"/>
          <w:sz w:val="22"/>
          <w:szCs w:val="22"/>
        </w:rPr>
        <w:t>e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způsobu uplatnění uvažovaných přínosů realizace projektu. Nové tahové </w:t>
      </w:r>
      <w:r w:rsidR="00B93671" w:rsidRPr="00A90B95">
        <w:rPr>
          <w:rFonts w:cs="Arial"/>
          <w:sz w:val="22"/>
          <w:szCs w:val="22"/>
        </w:rPr>
        <w:t xml:space="preserve">(souhrnné) </w:t>
      </w:r>
      <w:r w:rsidRPr="00A90B95">
        <w:rPr>
          <w:rFonts w:cs="Arial"/>
          <w:sz w:val="22"/>
          <w:szCs w:val="22"/>
        </w:rPr>
        <w:t>hodnocení ekonomické efektivnosti, které reagovalo na připomínky hodnotitele i připomínky z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kontroly provedené Evropským účetním dvorem, schválilo</w:t>
      </w:r>
      <w:r w:rsidR="004B1DCC">
        <w:rPr>
          <w:rFonts w:cs="Arial"/>
          <w:sz w:val="22"/>
          <w:szCs w:val="22"/>
        </w:rPr>
        <w:t xml:space="preserve"> </w:t>
      </w:r>
      <w:r w:rsidR="004B1DCC" w:rsidRPr="00A90B95">
        <w:rPr>
          <w:rFonts w:cs="Arial"/>
          <w:sz w:val="22"/>
          <w:szCs w:val="22"/>
        </w:rPr>
        <w:t>MD</w:t>
      </w:r>
      <w:r w:rsidRPr="00A90B95">
        <w:rPr>
          <w:rFonts w:cs="Arial"/>
          <w:sz w:val="22"/>
          <w:szCs w:val="22"/>
        </w:rPr>
        <w:t xml:space="preserve"> 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lednu 2014, tedy až po ukončení realizace </w:t>
      </w:r>
      <w:r w:rsidR="00873399" w:rsidRPr="00A90B95">
        <w:rPr>
          <w:rFonts w:cs="Arial"/>
          <w:sz w:val="22"/>
          <w:szCs w:val="22"/>
        </w:rPr>
        <w:t>prvního</w:t>
      </w:r>
      <w:r w:rsidR="00B83339" w:rsidRPr="00A90B95">
        <w:rPr>
          <w:rFonts w:cs="Arial"/>
          <w:sz w:val="22"/>
          <w:szCs w:val="22"/>
        </w:rPr>
        <w:t xml:space="preserve"> a části druhého</w:t>
      </w:r>
      <w:r w:rsidR="00873399" w:rsidRPr="00A90B95">
        <w:rPr>
          <w:rFonts w:cs="Arial"/>
          <w:sz w:val="22"/>
          <w:szCs w:val="22"/>
        </w:rPr>
        <w:t xml:space="preserve"> z uvedených </w:t>
      </w:r>
      <w:r w:rsidRPr="00A90B95">
        <w:rPr>
          <w:rFonts w:cs="Arial"/>
          <w:sz w:val="22"/>
          <w:szCs w:val="22"/>
        </w:rPr>
        <w:t>projekt</w:t>
      </w:r>
      <w:r w:rsidR="00873399" w:rsidRPr="00A90B95">
        <w:rPr>
          <w:rFonts w:cs="Arial"/>
          <w:sz w:val="22"/>
          <w:szCs w:val="22"/>
        </w:rPr>
        <w:t>ů</w:t>
      </w:r>
      <w:r w:rsidRPr="00A90B95">
        <w:rPr>
          <w:rFonts w:cs="Arial"/>
          <w:sz w:val="22"/>
          <w:szCs w:val="22"/>
        </w:rPr>
        <w:t xml:space="preserve">. 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Pr="00A90B95" w:rsidRDefault="00A90B95" w:rsidP="00A90B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 </w:t>
      </w:r>
      <w:r w:rsidR="00B5686B" w:rsidRPr="00A90B95">
        <w:rPr>
          <w:b/>
          <w:sz w:val="22"/>
          <w:szCs w:val="22"/>
        </w:rPr>
        <w:t xml:space="preserve">Kontrolní systém </w:t>
      </w:r>
    </w:p>
    <w:p w:rsidR="00A90B95" w:rsidRDefault="00A90B95" w:rsidP="00A90B95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B5686B" w:rsidRDefault="00B5686B" w:rsidP="00A90B95">
      <w:pPr>
        <w:pStyle w:val="Zkladntext2"/>
        <w:spacing w:after="0" w:line="240" w:lineRule="auto"/>
        <w:jc w:val="both"/>
        <w:rPr>
          <w:rFonts w:cs="Arial"/>
          <w:iCs/>
          <w:sz w:val="22"/>
          <w:szCs w:val="22"/>
        </w:rPr>
      </w:pPr>
      <w:r w:rsidRPr="00A90B95">
        <w:rPr>
          <w:rFonts w:cs="Arial"/>
          <w:sz w:val="22"/>
          <w:szCs w:val="22"/>
        </w:rPr>
        <w:t>ŘO OPD má dle platných právních předpisů vykonávat veřejnosprávní kontrolu na všech úrovních poskytování finančních prostředků z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rozpočtu </w:t>
      </w:r>
      <w:r w:rsidRPr="00A90B95">
        <w:rPr>
          <w:rFonts w:cs="Arial"/>
          <w:bCs/>
          <w:iCs/>
          <w:sz w:val="22"/>
          <w:szCs w:val="22"/>
        </w:rPr>
        <w:t>E</w:t>
      </w:r>
      <w:r w:rsidR="00717B81" w:rsidRPr="00A90B95">
        <w:rPr>
          <w:rFonts w:cs="Arial"/>
          <w:bCs/>
          <w:iCs/>
          <w:sz w:val="22"/>
          <w:szCs w:val="22"/>
        </w:rPr>
        <w:t>U</w:t>
      </w:r>
      <w:r w:rsidRPr="00A90B95">
        <w:rPr>
          <w:rFonts w:cs="Arial"/>
          <w:bCs/>
          <w:iCs/>
          <w:sz w:val="22"/>
          <w:szCs w:val="22"/>
        </w:rPr>
        <w:t>.</w:t>
      </w:r>
      <w:r w:rsidRPr="00A90B95">
        <w:rPr>
          <w:rStyle w:val="Znakapoznpodarou"/>
          <w:rFonts w:cs="Arial"/>
          <w:sz w:val="22"/>
          <w:szCs w:val="22"/>
        </w:rPr>
        <w:footnoteReference w:id="24"/>
      </w:r>
      <w:r w:rsidRPr="00A90B95">
        <w:rPr>
          <w:rFonts w:cs="Arial"/>
          <w:bCs/>
          <w:iCs/>
          <w:sz w:val="22"/>
          <w:szCs w:val="22"/>
        </w:rPr>
        <w:t xml:space="preserve"> Kontrola hospodaření </w:t>
      </w:r>
      <w:r w:rsidRPr="00A90B95">
        <w:rPr>
          <w:rFonts w:cs="Arial"/>
          <w:bCs/>
          <w:iCs/>
          <w:sz w:val="22"/>
          <w:szCs w:val="22"/>
        </w:rPr>
        <w:lastRenderedPageBreak/>
        <w:t>s</w:t>
      </w:r>
      <w:r w:rsidR="003C7F30" w:rsidRPr="00A90B95">
        <w:rPr>
          <w:rFonts w:cs="Arial"/>
          <w:bCs/>
          <w:iCs/>
          <w:sz w:val="22"/>
          <w:szCs w:val="22"/>
        </w:rPr>
        <w:t> </w:t>
      </w:r>
      <w:r w:rsidRPr="00A90B95">
        <w:rPr>
          <w:rFonts w:cs="Arial"/>
          <w:bCs/>
          <w:iCs/>
          <w:sz w:val="22"/>
          <w:szCs w:val="22"/>
        </w:rPr>
        <w:t>veřejnými prostředky má být prováděna před jejich poskytnutím, v průběhu jejich použití a</w:t>
      </w:r>
      <w:r w:rsidR="003C7F30" w:rsidRPr="00A90B95">
        <w:rPr>
          <w:rFonts w:cs="Arial"/>
          <w:bCs/>
          <w:iCs/>
          <w:sz w:val="22"/>
          <w:szCs w:val="22"/>
        </w:rPr>
        <w:t> </w:t>
      </w:r>
      <w:r w:rsidRPr="00A90B95">
        <w:rPr>
          <w:rFonts w:cs="Arial"/>
          <w:bCs/>
          <w:iCs/>
          <w:sz w:val="22"/>
          <w:szCs w:val="22"/>
        </w:rPr>
        <w:t>následně po jejich použití</w:t>
      </w:r>
      <w:r w:rsidRPr="00A90B95">
        <w:rPr>
          <w:rStyle w:val="Znakapoznpodarou"/>
          <w:rFonts w:cs="Arial"/>
          <w:sz w:val="22"/>
          <w:szCs w:val="22"/>
        </w:rPr>
        <w:footnoteReference w:id="25"/>
      </w:r>
      <w:r w:rsidRPr="00A90B95">
        <w:rPr>
          <w:rFonts w:cs="Arial"/>
          <w:bCs/>
          <w:iCs/>
          <w:sz w:val="22"/>
          <w:szCs w:val="22"/>
        </w:rPr>
        <w:t>.</w:t>
      </w:r>
      <w:r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iCs/>
          <w:sz w:val="22"/>
          <w:szCs w:val="22"/>
        </w:rPr>
        <w:t>Předmětem kontroly má být kontrola zajištění ochrany veřejných prostředků proti rizikům, nesrovnalostem nebo jiným nedostatkům způsobeným zejména porušením právních předpisů, nehospodárným, neúčelným a</w:t>
      </w:r>
      <w:r w:rsidR="004C5D1B" w:rsidRPr="00A90B95">
        <w:rPr>
          <w:rFonts w:cs="Arial"/>
          <w:iCs/>
          <w:sz w:val="22"/>
          <w:szCs w:val="22"/>
        </w:rPr>
        <w:t xml:space="preserve"> </w:t>
      </w:r>
      <w:r w:rsidRPr="00A90B95">
        <w:rPr>
          <w:rFonts w:cs="Arial"/>
          <w:iCs/>
          <w:sz w:val="22"/>
          <w:szCs w:val="22"/>
        </w:rPr>
        <w:t>neefektivním nakládáním s</w:t>
      </w:r>
      <w:r w:rsidR="004C5D1B" w:rsidRPr="00A90B95">
        <w:rPr>
          <w:rFonts w:cs="Arial"/>
          <w:iCs/>
          <w:sz w:val="22"/>
          <w:szCs w:val="22"/>
        </w:rPr>
        <w:t xml:space="preserve"> </w:t>
      </w:r>
      <w:r w:rsidRPr="00A90B95">
        <w:rPr>
          <w:rFonts w:cs="Arial"/>
          <w:iCs/>
          <w:sz w:val="22"/>
          <w:szCs w:val="22"/>
        </w:rPr>
        <w:t>veřejnými prostředky nebo trestnou činností</w:t>
      </w:r>
      <w:r w:rsidRPr="00A90B95">
        <w:rPr>
          <w:rStyle w:val="Znakapoznpodarou"/>
          <w:rFonts w:cs="Arial"/>
          <w:sz w:val="22"/>
          <w:szCs w:val="22"/>
        </w:rPr>
        <w:footnoteReference w:id="26"/>
      </w:r>
      <w:r w:rsidRPr="00A90B95">
        <w:rPr>
          <w:rFonts w:cs="Arial"/>
          <w:iCs/>
          <w:sz w:val="22"/>
          <w:szCs w:val="22"/>
        </w:rPr>
        <w:t xml:space="preserve">. </w:t>
      </w:r>
    </w:p>
    <w:p w:rsidR="00A90B95" w:rsidRPr="00A90B95" w:rsidRDefault="00A90B95" w:rsidP="00A90B95">
      <w:pPr>
        <w:pStyle w:val="Zkladntext2"/>
        <w:spacing w:after="0" w:line="240" w:lineRule="auto"/>
        <w:jc w:val="both"/>
        <w:rPr>
          <w:rFonts w:cs="Arial"/>
          <w:iCs/>
          <w:sz w:val="22"/>
          <w:szCs w:val="22"/>
        </w:rPr>
      </w:pPr>
    </w:p>
    <w:p w:rsidR="00B5686B" w:rsidRDefault="00B5686B" w:rsidP="00A90B95">
      <w:pPr>
        <w:jc w:val="both"/>
        <w:rPr>
          <w:rFonts w:cs="Arial"/>
          <w:sz w:val="22"/>
          <w:szCs w:val="22"/>
        </w:rPr>
      </w:pPr>
      <w:r w:rsidRPr="00A90B95">
        <w:rPr>
          <w:rFonts w:cs="Arial"/>
          <w:sz w:val="22"/>
          <w:szCs w:val="22"/>
        </w:rPr>
        <w:t>MD stanovilo pro oblasti podpory 6.1 a 6.3 okruhy způsobilosti výdajů 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dokumentacích příslušných programů. </w:t>
      </w:r>
      <w:r w:rsidRPr="00A90B95">
        <w:rPr>
          <w:rFonts w:cs="Arial"/>
          <w:b/>
          <w:sz w:val="22"/>
          <w:szCs w:val="22"/>
        </w:rPr>
        <w:t>Pro oblast podpory 6.2 však nestanovilo žádná specifická pravidla způsobilosti výdajů</w:t>
      </w:r>
      <w:r w:rsidRPr="00A23E36">
        <w:rPr>
          <w:rFonts w:cs="Arial"/>
          <w:b/>
          <w:sz w:val="22"/>
          <w:szCs w:val="22"/>
        </w:rPr>
        <w:t>,</w:t>
      </w:r>
      <w:r w:rsidRPr="00A90B95">
        <w:rPr>
          <w:rFonts w:cs="Arial"/>
          <w:sz w:val="22"/>
          <w:szCs w:val="22"/>
        </w:rPr>
        <w:t xml:space="preserve"> výjimku</w:t>
      </w:r>
      <w:r w:rsidR="00A74027">
        <w:rPr>
          <w:rFonts w:cs="Arial"/>
          <w:sz w:val="22"/>
          <w:szCs w:val="22"/>
        </w:rPr>
        <w:t xml:space="preserve"> tvořilo jen</w:t>
      </w:r>
      <w:r w:rsidRPr="00A90B95">
        <w:rPr>
          <w:rFonts w:cs="Arial"/>
          <w:sz w:val="22"/>
          <w:szCs w:val="22"/>
        </w:rPr>
        <w:t xml:space="preserve"> upřesnění způsobilosti výdajů spojených se službami pro objednatele (od července 2010) a</w:t>
      </w:r>
      <w:r w:rsidR="00A74027">
        <w:rPr>
          <w:rFonts w:cs="Arial"/>
          <w:sz w:val="22"/>
          <w:szCs w:val="22"/>
        </w:rPr>
        <w:t> upravení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problematiky tzv. </w:t>
      </w:r>
      <w:proofErr w:type="spellStart"/>
      <w:r w:rsidRPr="00A90B95">
        <w:rPr>
          <w:rFonts w:cs="Arial"/>
          <w:sz w:val="22"/>
          <w:szCs w:val="22"/>
        </w:rPr>
        <w:t>výzisků</w:t>
      </w:r>
      <w:proofErr w:type="spellEnd"/>
      <w:r w:rsidRPr="00A90B95">
        <w:rPr>
          <w:rFonts w:cs="Arial"/>
          <w:sz w:val="22"/>
          <w:szCs w:val="22"/>
        </w:rPr>
        <w:t xml:space="preserve"> (od června 2011).</w:t>
      </w:r>
      <w:r w:rsidR="0015059A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Nespecifikovány tak zůstaly mj. podmínky pro posuzování výdajů 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oblasti tzv. vyvolaných investic, které tvořily významnou část výdajů u většiny projektů.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Pr="00A90B95" w:rsidRDefault="00B5686B" w:rsidP="00A90B9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A90B95">
        <w:rPr>
          <w:rFonts w:cs="Arial"/>
          <w:b/>
          <w:sz w:val="22"/>
          <w:szCs w:val="22"/>
        </w:rPr>
        <w:t>Ze záznamů o provedené administrativní kontrole výdajů v žádostech o platbu není zřejmé, v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Pr="00A90B95">
        <w:rPr>
          <w:rFonts w:cs="Arial"/>
          <w:b/>
          <w:sz w:val="22"/>
          <w:szCs w:val="22"/>
        </w:rPr>
        <w:t>jakém rozsahu a na základě jakých podkladů provedlo</w:t>
      </w:r>
      <w:r w:rsidR="00A74027">
        <w:rPr>
          <w:rFonts w:cs="Arial"/>
          <w:b/>
          <w:sz w:val="22"/>
          <w:szCs w:val="22"/>
        </w:rPr>
        <w:t xml:space="preserve"> </w:t>
      </w:r>
      <w:r w:rsidR="00A74027" w:rsidRPr="00A90B95">
        <w:rPr>
          <w:rFonts w:cs="Arial"/>
          <w:b/>
          <w:sz w:val="22"/>
          <w:szCs w:val="22"/>
        </w:rPr>
        <w:t>MD</w:t>
      </w:r>
      <w:r w:rsidRPr="00A90B95">
        <w:rPr>
          <w:rFonts w:cs="Arial"/>
          <w:b/>
          <w:sz w:val="22"/>
          <w:szCs w:val="22"/>
        </w:rPr>
        <w:t xml:space="preserve"> kontrolu způsobilosti výdajů</w:t>
      </w:r>
      <w:r w:rsidRPr="00A74027">
        <w:rPr>
          <w:rFonts w:cs="Arial"/>
          <w:b/>
          <w:sz w:val="22"/>
          <w:szCs w:val="22"/>
        </w:rPr>
        <w:t>,</w:t>
      </w:r>
      <w:r w:rsidRPr="00A90B95">
        <w:rPr>
          <w:rFonts w:cs="Arial"/>
          <w:sz w:val="22"/>
          <w:szCs w:val="22"/>
        </w:rPr>
        <w:t xml:space="preserve"> zejména zda důsledně ověřilo údaje a informace</w:t>
      </w:r>
      <w:r w:rsidR="00A74027">
        <w:rPr>
          <w:rFonts w:cs="Arial"/>
          <w:sz w:val="22"/>
          <w:szCs w:val="22"/>
        </w:rPr>
        <w:t>,</w:t>
      </w:r>
      <w:r w:rsidRPr="00A90B95">
        <w:rPr>
          <w:rFonts w:cs="Arial"/>
          <w:sz w:val="22"/>
          <w:szCs w:val="22"/>
        </w:rPr>
        <w:t xml:space="preserve"> </w:t>
      </w:r>
      <w:r w:rsidR="00A74027">
        <w:rPr>
          <w:rFonts w:cs="Arial"/>
          <w:sz w:val="22"/>
          <w:szCs w:val="22"/>
        </w:rPr>
        <w:t>jež vykazují</w:t>
      </w:r>
      <w:r w:rsidRPr="00A90B95">
        <w:rPr>
          <w:rFonts w:cs="Arial"/>
          <w:sz w:val="22"/>
          <w:szCs w:val="22"/>
        </w:rPr>
        <w:t xml:space="preserve"> příjemci v žádostech. Kontroly </w:t>
      </w:r>
      <w:r w:rsidR="0043436B" w:rsidRPr="00A90B95">
        <w:rPr>
          <w:rFonts w:cs="Arial"/>
          <w:sz w:val="22"/>
          <w:szCs w:val="22"/>
        </w:rPr>
        <w:t>v</w:t>
      </w:r>
      <w:r w:rsidR="004C5D1B" w:rsidRPr="00A90B95">
        <w:rPr>
          <w:rFonts w:cs="Arial"/>
          <w:sz w:val="22"/>
          <w:szCs w:val="22"/>
        </w:rPr>
        <w:t xml:space="preserve"> </w:t>
      </w:r>
      <w:r w:rsidR="0043436B" w:rsidRPr="00A90B95">
        <w:rPr>
          <w:rFonts w:cs="Arial"/>
          <w:sz w:val="22"/>
          <w:szCs w:val="22"/>
        </w:rPr>
        <w:t xml:space="preserve">souvislosti se </w:t>
      </w:r>
      <w:r w:rsidRPr="00A90B95">
        <w:rPr>
          <w:rFonts w:cs="Arial"/>
          <w:sz w:val="22"/>
          <w:szCs w:val="22"/>
        </w:rPr>
        <w:t>zadávání</w:t>
      </w:r>
      <w:r w:rsidR="0043436B" w:rsidRPr="00A90B95">
        <w:rPr>
          <w:rFonts w:cs="Arial"/>
          <w:sz w:val="22"/>
          <w:szCs w:val="22"/>
        </w:rPr>
        <w:t>m</w:t>
      </w:r>
      <w:r w:rsidRPr="00A90B95">
        <w:rPr>
          <w:rFonts w:cs="Arial"/>
          <w:sz w:val="22"/>
          <w:szCs w:val="22"/>
        </w:rPr>
        <w:t xml:space="preserve"> veřejných zakázek provedené do roku 2011 MD zaměř</w:t>
      </w:r>
      <w:r w:rsidR="00A74027">
        <w:rPr>
          <w:rFonts w:cs="Arial"/>
          <w:sz w:val="22"/>
          <w:szCs w:val="22"/>
        </w:rPr>
        <w:t>ova</w:t>
      </w:r>
      <w:r w:rsidRPr="00A90B95">
        <w:rPr>
          <w:rFonts w:cs="Arial"/>
          <w:sz w:val="22"/>
          <w:szCs w:val="22"/>
        </w:rPr>
        <w:t>lo pouze na formální správnost postupu</w:t>
      </w:r>
      <w:r w:rsidR="00871A62" w:rsidRPr="00A90B95">
        <w:rPr>
          <w:rFonts w:cs="Arial"/>
          <w:sz w:val="22"/>
          <w:szCs w:val="22"/>
        </w:rPr>
        <w:t xml:space="preserve"> zadavatele, </w:t>
      </w:r>
      <w:r w:rsidR="00A74027">
        <w:rPr>
          <w:rFonts w:cs="Arial"/>
          <w:sz w:val="22"/>
          <w:szCs w:val="22"/>
        </w:rPr>
        <w:t>aniž by ověřilo</w:t>
      </w:r>
      <w:r w:rsidR="00871A62" w:rsidRPr="00A90B95">
        <w:rPr>
          <w:rFonts w:cs="Arial"/>
          <w:sz w:val="22"/>
          <w:szCs w:val="22"/>
        </w:rPr>
        <w:t xml:space="preserve"> účelnost a</w:t>
      </w:r>
      <w:r w:rsidR="003C7F30" w:rsidRPr="00A90B95">
        <w:rPr>
          <w:rFonts w:cs="Arial"/>
          <w:sz w:val="22"/>
          <w:szCs w:val="22"/>
        </w:rPr>
        <w:t> </w:t>
      </w:r>
      <w:r w:rsidR="00871A62" w:rsidRPr="00A90B95">
        <w:rPr>
          <w:rFonts w:cs="Arial"/>
          <w:sz w:val="22"/>
          <w:szCs w:val="22"/>
        </w:rPr>
        <w:t>hospodárnost soutěžené zakázky</w:t>
      </w:r>
      <w:r w:rsidR="00DB020F" w:rsidRPr="00A90B95">
        <w:rPr>
          <w:rFonts w:cs="Arial"/>
          <w:sz w:val="22"/>
          <w:szCs w:val="22"/>
        </w:rPr>
        <w:t xml:space="preserve"> (např. neověřov</w:t>
      </w:r>
      <w:r w:rsidR="00A74027">
        <w:rPr>
          <w:rFonts w:cs="Arial"/>
          <w:sz w:val="22"/>
          <w:szCs w:val="22"/>
        </w:rPr>
        <w:t>alo</w:t>
      </w:r>
      <w:r w:rsidR="00DB020F" w:rsidRPr="00A90B95">
        <w:rPr>
          <w:rFonts w:cs="Arial"/>
          <w:sz w:val="22"/>
          <w:szCs w:val="22"/>
        </w:rPr>
        <w:t xml:space="preserve"> věcn</w:t>
      </w:r>
      <w:r w:rsidR="00A74027">
        <w:rPr>
          <w:rFonts w:cs="Arial"/>
          <w:sz w:val="22"/>
          <w:szCs w:val="22"/>
        </w:rPr>
        <w:t>ý</w:t>
      </w:r>
      <w:r w:rsidR="00DB020F" w:rsidRPr="00A90B95">
        <w:rPr>
          <w:rFonts w:cs="Arial"/>
          <w:sz w:val="22"/>
          <w:szCs w:val="22"/>
        </w:rPr>
        <w:t xml:space="preserve"> soulad </w:t>
      </w:r>
      <w:r w:rsidR="00B83339" w:rsidRPr="00A90B95">
        <w:rPr>
          <w:rFonts w:cs="Arial"/>
          <w:sz w:val="22"/>
          <w:szCs w:val="22"/>
        </w:rPr>
        <w:t>zadávací dokumentace se schválenou projektovou žádostí</w:t>
      </w:r>
      <w:r w:rsidR="00DB020F" w:rsidRPr="00A90B95">
        <w:rPr>
          <w:rFonts w:cs="Arial"/>
          <w:sz w:val="22"/>
          <w:szCs w:val="22"/>
        </w:rPr>
        <w:t>)</w:t>
      </w:r>
      <w:r w:rsidRPr="00A90B95">
        <w:rPr>
          <w:rFonts w:cs="Arial"/>
          <w:sz w:val="22"/>
          <w:szCs w:val="22"/>
        </w:rPr>
        <w:t xml:space="preserve">. </w:t>
      </w:r>
      <w:r w:rsidRPr="00A90B95">
        <w:rPr>
          <w:rFonts w:cs="Arial"/>
          <w:b/>
          <w:sz w:val="22"/>
          <w:szCs w:val="22"/>
        </w:rPr>
        <w:t>Postup MD při ověřování způsobilosti výdajů z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="00A74027">
        <w:rPr>
          <w:rFonts w:cs="Arial"/>
          <w:b/>
          <w:sz w:val="22"/>
          <w:szCs w:val="22"/>
        </w:rPr>
        <w:t>hlediska jejich účelnosti a </w:t>
      </w:r>
      <w:r w:rsidRPr="00A90B95">
        <w:rPr>
          <w:rFonts w:cs="Arial"/>
          <w:b/>
          <w:sz w:val="22"/>
          <w:szCs w:val="22"/>
        </w:rPr>
        <w:t>hospodárnosti není zřejmý ani z</w:t>
      </w:r>
      <w:r w:rsidR="00A74027">
        <w:rPr>
          <w:rFonts w:cs="Arial"/>
          <w:b/>
          <w:sz w:val="22"/>
          <w:szCs w:val="22"/>
        </w:rPr>
        <w:t> </w:t>
      </w:r>
      <w:r w:rsidRPr="00A90B95">
        <w:rPr>
          <w:rFonts w:cs="Arial"/>
          <w:b/>
          <w:sz w:val="22"/>
          <w:szCs w:val="22"/>
        </w:rPr>
        <w:t>výstupů kontro</w:t>
      </w:r>
      <w:r w:rsidR="00A74027">
        <w:rPr>
          <w:rFonts w:cs="Arial"/>
          <w:b/>
          <w:sz w:val="22"/>
          <w:szCs w:val="22"/>
        </w:rPr>
        <w:t>l realizace projektu na místě u </w:t>
      </w:r>
      <w:r w:rsidRPr="00A90B95">
        <w:rPr>
          <w:rFonts w:cs="Arial"/>
          <w:b/>
          <w:sz w:val="22"/>
          <w:szCs w:val="22"/>
        </w:rPr>
        <w:t>příjemců.</w:t>
      </w:r>
      <w:r w:rsidRPr="00A90B95">
        <w:rPr>
          <w:rFonts w:cs="Arial"/>
          <w:sz w:val="22"/>
          <w:szCs w:val="22"/>
        </w:rPr>
        <w:t xml:space="preserve"> </w:t>
      </w:r>
    </w:p>
    <w:p w:rsid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Default="00B5686B" w:rsidP="00A90B95">
      <w:pPr>
        <w:jc w:val="both"/>
        <w:rPr>
          <w:rFonts w:cs="Arial"/>
          <w:sz w:val="22"/>
          <w:szCs w:val="22"/>
        </w:rPr>
      </w:pPr>
      <w:r w:rsidRPr="00A90B95">
        <w:rPr>
          <w:rFonts w:cs="Arial"/>
          <w:sz w:val="22"/>
          <w:szCs w:val="22"/>
        </w:rPr>
        <w:t>MD 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souladu s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předpisem</w:t>
      </w:r>
      <w:r w:rsidR="00FE5B3B" w:rsidRPr="00A90B95">
        <w:rPr>
          <w:rFonts w:cs="Arial"/>
          <w:sz w:val="22"/>
          <w:szCs w:val="22"/>
        </w:rPr>
        <w:t xml:space="preserve"> E</w:t>
      </w:r>
      <w:r w:rsidR="00717B81" w:rsidRPr="00A90B95">
        <w:rPr>
          <w:rFonts w:cs="Arial"/>
          <w:sz w:val="22"/>
          <w:szCs w:val="22"/>
        </w:rPr>
        <w:t>U</w:t>
      </w:r>
      <w:r w:rsidRPr="00A90B95">
        <w:rPr>
          <w:rStyle w:val="Znakapoznpodarou"/>
          <w:rFonts w:cs="Arial"/>
          <w:sz w:val="22"/>
          <w:szCs w:val="22"/>
        </w:rPr>
        <w:footnoteReference w:id="27"/>
      </w:r>
      <w:r w:rsidRPr="00A90B95">
        <w:rPr>
          <w:rFonts w:cs="Arial"/>
          <w:sz w:val="22"/>
          <w:szCs w:val="22"/>
        </w:rPr>
        <w:t xml:space="preserve"> delegovalo část svých činností ŘO OPD včetně kontrolních pravomocí na SFDI jako ZS OPD. Podle </w:t>
      </w:r>
      <w:r w:rsidR="00A74027">
        <w:rPr>
          <w:rFonts w:cs="Arial"/>
          <w:sz w:val="22"/>
          <w:szCs w:val="22"/>
        </w:rPr>
        <w:t>d</w:t>
      </w:r>
      <w:r w:rsidRPr="00A90B95">
        <w:rPr>
          <w:rFonts w:cs="Arial"/>
          <w:sz w:val="22"/>
          <w:szCs w:val="22"/>
        </w:rPr>
        <w:t>elegační dohody má SFDI provádět správní ověření žádostí o platbu a kontroly na místě u příjemců 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rámci oblasti podpory 6.2, </w:t>
      </w:r>
      <w:r w:rsidR="00A74027">
        <w:rPr>
          <w:rFonts w:cs="Arial"/>
          <w:sz w:val="22"/>
          <w:szCs w:val="22"/>
        </w:rPr>
        <w:t>ve své působnosti si MD ponechalo</w:t>
      </w:r>
      <w:r w:rsidRPr="00A90B95">
        <w:rPr>
          <w:rFonts w:cs="Arial"/>
          <w:sz w:val="22"/>
          <w:szCs w:val="22"/>
        </w:rPr>
        <w:t xml:space="preserve"> kontrol</w:t>
      </w:r>
      <w:r w:rsidR="00A74027">
        <w:rPr>
          <w:rFonts w:cs="Arial"/>
          <w:sz w:val="22"/>
          <w:szCs w:val="22"/>
        </w:rPr>
        <w:t>u</w:t>
      </w:r>
      <w:r w:rsidRPr="00A90B95">
        <w:rPr>
          <w:rFonts w:cs="Arial"/>
          <w:sz w:val="22"/>
          <w:szCs w:val="22"/>
        </w:rPr>
        <w:t xml:space="preserve"> zadávání veřejných zakázek. 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Default="00B5686B" w:rsidP="00A90B95">
      <w:pPr>
        <w:jc w:val="both"/>
        <w:rPr>
          <w:rFonts w:cs="Arial"/>
          <w:sz w:val="22"/>
          <w:szCs w:val="22"/>
        </w:rPr>
      </w:pPr>
      <w:r w:rsidRPr="00A90B95">
        <w:rPr>
          <w:rFonts w:cs="Arial"/>
          <w:b/>
          <w:sz w:val="22"/>
          <w:szCs w:val="22"/>
        </w:rPr>
        <w:t>Kontrol</w:t>
      </w:r>
      <w:r w:rsidR="00A74027">
        <w:rPr>
          <w:rFonts w:cs="Arial"/>
          <w:b/>
          <w:sz w:val="22"/>
          <w:szCs w:val="22"/>
        </w:rPr>
        <w:t>ní akcí</w:t>
      </w:r>
      <w:r w:rsidRPr="00A90B95">
        <w:rPr>
          <w:rFonts w:cs="Arial"/>
          <w:b/>
          <w:sz w:val="22"/>
          <w:szCs w:val="22"/>
        </w:rPr>
        <w:t xml:space="preserve"> NKÚ bylo zjištěno, že SFDI neměl pro administrativní kontrolu žádostí o</w:t>
      </w:r>
      <w:r w:rsidR="006764CC" w:rsidRPr="00A90B95">
        <w:rPr>
          <w:rFonts w:cs="Arial"/>
          <w:b/>
          <w:sz w:val="22"/>
          <w:szCs w:val="22"/>
        </w:rPr>
        <w:t> </w:t>
      </w:r>
      <w:r w:rsidRPr="00A90B95">
        <w:rPr>
          <w:rFonts w:cs="Arial"/>
          <w:b/>
          <w:sz w:val="22"/>
          <w:szCs w:val="22"/>
        </w:rPr>
        <w:t>platbu dostatečné podklady</w:t>
      </w:r>
      <w:r w:rsidRPr="00266144">
        <w:rPr>
          <w:rFonts w:cs="Arial"/>
          <w:b/>
          <w:sz w:val="22"/>
          <w:szCs w:val="22"/>
        </w:rPr>
        <w:t>.</w:t>
      </w:r>
      <w:r w:rsidRPr="00A90B95">
        <w:rPr>
          <w:rFonts w:cs="Arial"/>
          <w:sz w:val="22"/>
          <w:szCs w:val="22"/>
        </w:rPr>
        <w:t xml:space="preserve"> Např. až do října 2013 neměl ve všech případech pro kontrolu oprávněnosti dokladů předložených příjemcem k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proplacení k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dispozici smlouvy</w:t>
      </w:r>
      <w:r w:rsidR="005E58B1" w:rsidRPr="00A90B95">
        <w:rPr>
          <w:rFonts w:cs="Arial"/>
          <w:sz w:val="22"/>
          <w:szCs w:val="22"/>
        </w:rPr>
        <w:t>,</w:t>
      </w:r>
      <w:r w:rsidRPr="00A90B95">
        <w:rPr>
          <w:rFonts w:cs="Arial"/>
          <w:sz w:val="22"/>
          <w:szCs w:val="22"/>
        </w:rPr>
        <w:t xml:space="preserve"> </w:t>
      </w:r>
      <w:r w:rsidR="00873399" w:rsidRPr="00A90B95">
        <w:rPr>
          <w:rFonts w:cs="Arial"/>
          <w:sz w:val="22"/>
          <w:szCs w:val="22"/>
        </w:rPr>
        <w:t xml:space="preserve">na jejichž </w:t>
      </w:r>
      <w:r w:rsidR="00266144">
        <w:rPr>
          <w:rFonts w:cs="Arial"/>
          <w:sz w:val="22"/>
          <w:szCs w:val="22"/>
        </w:rPr>
        <w:t>zá</w:t>
      </w:r>
      <w:r w:rsidR="00873399" w:rsidRPr="00A90B95">
        <w:rPr>
          <w:rFonts w:cs="Arial"/>
          <w:sz w:val="22"/>
          <w:szCs w:val="22"/>
        </w:rPr>
        <w:t>kladě</w:t>
      </w:r>
      <w:r w:rsidRPr="00A90B95">
        <w:rPr>
          <w:rFonts w:cs="Arial"/>
          <w:sz w:val="22"/>
          <w:szCs w:val="22"/>
        </w:rPr>
        <w:t xml:space="preserve"> byly tyto doklady vystaveny. Pokud kontrolu provedl na základě vyžádaných dokladů nebo porovnáním údajů z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informačního systému, </w:t>
      </w:r>
      <w:r w:rsidR="00A74027">
        <w:rPr>
          <w:rFonts w:cs="Arial"/>
          <w:sz w:val="22"/>
          <w:szCs w:val="22"/>
        </w:rPr>
        <w:t xml:space="preserve">pak o tom </w:t>
      </w:r>
      <w:r w:rsidRPr="00A90B95">
        <w:rPr>
          <w:rFonts w:cs="Arial"/>
          <w:sz w:val="22"/>
          <w:szCs w:val="22"/>
        </w:rPr>
        <w:t>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rozporu s</w:t>
      </w:r>
      <w:r w:rsidR="00A74027">
        <w:rPr>
          <w:rFonts w:cs="Arial"/>
          <w:sz w:val="22"/>
          <w:szCs w:val="22"/>
        </w:rPr>
        <w:t> </w:t>
      </w:r>
      <w:r w:rsidRPr="00A90B95">
        <w:rPr>
          <w:rFonts w:cs="Arial"/>
          <w:sz w:val="22"/>
          <w:szCs w:val="22"/>
        </w:rPr>
        <w:t>předpisem</w:t>
      </w:r>
      <w:r w:rsidR="00FE5B3B" w:rsidRPr="00A90B95">
        <w:rPr>
          <w:rFonts w:cs="Arial"/>
          <w:sz w:val="22"/>
          <w:szCs w:val="22"/>
        </w:rPr>
        <w:t xml:space="preserve"> E</w:t>
      </w:r>
      <w:r w:rsidR="00717B81" w:rsidRPr="00A90B95">
        <w:rPr>
          <w:rFonts w:cs="Arial"/>
          <w:sz w:val="22"/>
          <w:szCs w:val="22"/>
        </w:rPr>
        <w:t>U</w:t>
      </w:r>
      <w:r w:rsidRPr="00A90B95">
        <w:rPr>
          <w:rFonts w:cs="Arial"/>
          <w:sz w:val="22"/>
          <w:szCs w:val="22"/>
          <w:vertAlign w:val="superscript"/>
        </w:rPr>
        <w:footnoteReference w:id="28"/>
      </w:r>
      <w:r w:rsidRPr="00A90B95">
        <w:rPr>
          <w:rFonts w:cs="Arial"/>
          <w:sz w:val="22"/>
          <w:szCs w:val="22"/>
        </w:rPr>
        <w:t xml:space="preserve"> neprovedl příslušný záznam. 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případě projektu </w:t>
      </w:r>
      <w:r w:rsidRPr="00A90B95">
        <w:rPr>
          <w:rFonts w:cs="Arial"/>
          <w:i/>
          <w:sz w:val="22"/>
          <w:szCs w:val="22"/>
        </w:rPr>
        <w:t>Rekonstrukce železničního mostu Kolín</w:t>
      </w:r>
      <w:r w:rsidRPr="00A90B95">
        <w:rPr>
          <w:rFonts w:cs="Arial"/>
          <w:sz w:val="22"/>
          <w:szCs w:val="22"/>
        </w:rPr>
        <w:t xml:space="preserve"> neměl při proplácení výdajů příjemci k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dispozici kompletní</w:t>
      </w:r>
      <w:r w:rsidR="00A74027">
        <w:rPr>
          <w:rFonts w:cs="Arial"/>
          <w:sz w:val="22"/>
          <w:szCs w:val="22"/>
        </w:rPr>
        <w:t>,</w:t>
      </w:r>
      <w:r w:rsidRPr="00A90B95">
        <w:rPr>
          <w:rFonts w:cs="Arial"/>
          <w:sz w:val="22"/>
          <w:szCs w:val="22"/>
        </w:rPr>
        <w:t xml:space="preserve"> aktualizovanou</w:t>
      </w:r>
      <w:r w:rsidR="00A74027">
        <w:rPr>
          <w:rFonts w:cs="Arial"/>
          <w:sz w:val="22"/>
          <w:szCs w:val="22"/>
        </w:rPr>
        <w:t>,</w:t>
      </w:r>
      <w:r w:rsidRPr="00A90B95">
        <w:rPr>
          <w:rFonts w:cs="Arial"/>
          <w:sz w:val="22"/>
          <w:szCs w:val="22"/>
        </w:rPr>
        <w:t xml:space="preserve"> schválenou projektovou žádost jako podklad pro ověření způsobilosti výdajů</w:t>
      </w:r>
      <w:r w:rsidR="00873399" w:rsidRPr="00A90B95">
        <w:rPr>
          <w:rFonts w:cs="Arial"/>
          <w:sz w:val="22"/>
          <w:szCs w:val="22"/>
        </w:rPr>
        <w:t xml:space="preserve"> až do srpna 2010</w:t>
      </w:r>
      <w:r w:rsidRPr="00A90B95">
        <w:rPr>
          <w:rFonts w:cs="Arial"/>
          <w:sz w:val="22"/>
          <w:szCs w:val="22"/>
        </w:rPr>
        <w:t>.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Default="00B5686B" w:rsidP="00A90B95">
      <w:pPr>
        <w:jc w:val="both"/>
        <w:rPr>
          <w:rFonts w:cs="Arial"/>
          <w:sz w:val="22"/>
          <w:szCs w:val="22"/>
        </w:rPr>
      </w:pPr>
      <w:r w:rsidRPr="00A90B95">
        <w:rPr>
          <w:rFonts w:cs="Arial"/>
          <w:sz w:val="22"/>
          <w:szCs w:val="22"/>
        </w:rPr>
        <w:t>SFDI neměl vytvořeny předpoklady ani pro řádné a úplné provádění veřejno</w:t>
      </w:r>
      <w:r w:rsidR="00360176" w:rsidRPr="00A90B95">
        <w:rPr>
          <w:rFonts w:cs="Arial"/>
          <w:sz w:val="22"/>
          <w:szCs w:val="22"/>
        </w:rPr>
        <w:t>s</w:t>
      </w:r>
      <w:r w:rsidRPr="00A90B95">
        <w:rPr>
          <w:rFonts w:cs="Arial"/>
          <w:sz w:val="22"/>
          <w:szCs w:val="22"/>
        </w:rPr>
        <w:t xml:space="preserve">právních kontrol na místě u příjemců, </w:t>
      </w:r>
      <w:r w:rsidR="00A74027">
        <w:rPr>
          <w:rFonts w:cs="Arial"/>
          <w:sz w:val="22"/>
          <w:szCs w:val="22"/>
        </w:rPr>
        <w:t>neboť</w:t>
      </w:r>
      <w:r w:rsidRPr="00A90B95">
        <w:rPr>
          <w:rFonts w:cs="Arial"/>
          <w:sz w:val="22"/>
          <w:szCs w:val="22"/>
        </w:rPr>
        <w:t xml:space="preserve"> neměl stanoven konkrétní postup pro ověřování dodržení pravidel způsobilých výdajů </w:t>
      </w:r>
      <w:r w:rsidR="00873399" w:rsidRPr="00A90B95">
        <w:rPr>
          <w:rFonts w:cs="Arial"/>
          <w:sz w:val="22"/>
          <w:szCs w:val="22"/>
        </w:rPr>
        <w:t xml:space="preserve">příjemcem </w:t>
      </w:r>
      <w:r w:rsidRPr="00A90B95">
        <w:rPr>
          <w:rFonts w:cs="Arial"/>
          <w:sz w:val="22"/>
          <w:szCs w:val="22"/>
        </w:rPr>
        <w:t>z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pohledu je</w:t>
      </w:r>
      <w:r w:rsidR="00A74027">
        <w:rPr>
          <w:rFonts w:cs="Arial"/>
          <w:sz w:val="22"/>
          <w:szCs w:val="22"/>
        </w:rPr>
        <w:t>jich účelnosti, hospodárnosti a </w:t>
      </w:r>
      <w:r w:rsidRPr="00A90B95">
        <w:rPr>
          <w:rFonts w:cs="Arial"/>
          <w:sz w:val="22"/>
          <w:szCs w:val="22"/>
        </w:rPr>
        <w:t xml:space="preserve">efektivnosti, a to zejména u tzv. vyvolaných investic. </w:t>
      </w:r>
      <w:r w:rsidR="00B83339" w:rsidRPr="00A90B95">
        <w:rPr>
          <w:rFonts w:cs="Arial"/>
          <w:b/>
          <w:sz w:val="22"/>
          <w:szCs w:val="22"/>
        </w:rPr>
        <w:t>V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="00B83339" w:rsidRPr="00A90B95">
        <w:rPr>
          <w:rFonts w:cs="Arial"/>
          <w:b/>
          <w:sz w:val="22"/>
          <w:szCs w:val="22"/>
        </w:rPr>
        <w:t>rozporu se zásadou řádného finančního řízení tak není zajištěno, že z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="00B83339" w:rsidRPr="00A90B95">
        <w:rPr>
          <w:rFonts w:cs="Arial"/>
          <w:b/>
          <w:sz w:val="22"/>
          <w:szCs w:val="22"/>
        </w:rPr>
        <w:t xml:space="preserve">evropských fondů budou financovány jen skutečně způsobilé </w:t>
      </w:r>
      <w:proofErr w:type="gramStart"/>
      <w:r w:rsidR="00B83339" w:rsidRPr="00A90B95">
        <w:rPr>
          <w:rFonts w:cs="Arial"/>
          <w:b/>
          <w:sz w:val="22"/>
          <w:szCs w:val="22"/>
        </w:rPr>
        <w:t>výdaje.</w:t>
      </w:r>
      <w:r w:rsidR="00873399" w:rsidRPr="00544726">
        <w:rPr>
          <w:rFonts w:cs="Arial"/>
          <w:b/>
          <w:sz w:val="22"/>
          <w:szCs w:val="22"/>
          <w:vertAlign w:val="superscript"/>
        </w:rPr>
        <w:t>20</w:t>
      </w:r>
      <w:proofErr w:type="gramEnd"/>
      <w:r w:rsidR="00873399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V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 xml:space="preserve">případě projektu </w:t>
      </w:r>
      <w:r w:rsidRPr="00A90B95">
        <w:rPr>
          <w:rFonts w:cs="Arial"/>
          <w:i/>
          <w:sz w:val="22"/>
          <w:szCs w:val="22"/>
        </w:rPr>
        <w:t>Rekonstrukce železničního mostu Kolín</w:t>
      </w:r>
      <w:r w:rsidRPr="00A90B95">
        <w:rPr>
          <w:rFonts w:cs="Arial"/>
          <w:sz w:val="22"/>
          <w:szCs w:val="22"/>
        </w:rPr>
        <w:t xml:space="preserve"> SFDI ověřil jen 7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% způsobilých výdajů schválených před provedením kontroly, což mu nemohlo poskytnout přiměřené ujištění o</w:t>
      </w:r>
      <w:r w:rsidR="004C5D1B" w:rsidRPr="00A90B95">
        <w:rPr>
          <w:rFonts w:cs="Arial"/>
          <w:sz w:val="22"/>
          <w:szCs w:val="22"/>
        </w:rPr>
        <w:t xml:space="preserve"> </w:t>
      </w:r>
      <w:r w:rsidRPr="00A90B95">
        <w:rPr>
          <w:rFonts w:cs="Arial"/>
          <w:sz w:val="22"/>
          <w:szCs w:val="22"/>
        </w:rPr>
        <w:t>způsobilosti výdajů dle požadavků předpis</w:t>
      </w:r>
      <w:r w:rsidR="00FD64B1" w:rsidRPr="00A90B95">
        <w:rPr>
          <w:rFonts w:cs="Arial"/>
          <w:sz w:val="22"/>
          <w:szCs w:val="22"/>
        </w:rPr>
        <w:t>u</w:t>
      </w:r>
      <w:r w:rsidR="00FE5B3B" w:rsidRPr="00A90B95">
        <w:rPr>
          <w:rFonts w:cs="Arial"/>
          <w:sz w:val="22"/>
          <w:szCs w:val="22"/>
        </w:rPr>
        <w:t xml:space="preserve"> E</w:t>
      </w:r>
      <w:r w:rsidR="00717B81" w:rsidRPr="00A90B95">
        <w:rPr>
          <w:rFonts w:cs="Arial"/>
          <w:sz w:val="22"/>
          <w:szCs w:val="22"/>
        </w:rPr>
        <w:t>U</w:t>
      </w:r>
      <w:r w:rsidRPr="00A90B95">
        <w:rPr>
          <w:rStyle w:val="Znakapoznpodarou"/>
          <w:rFonts w:cs="Arial"/>
          <w:sz w:val="22"/>
          <w:szCs w:val="22"/>
        </w:rPr>
        <w:footnoteReference w:id="29"/>
      </w:r>
      <w:r w:rsidRPr="00A90B95">
        <w:rPr>
          <w:rFonts w:cs="Arial"/>
          <w:sz w:val="22"/>
          <w:szCs w:val="22"/>
        </w:rPr>
        <w:t>.</w:t>
      </w:r>
      <w:r w:rsidR="0015059A" w:rsidRPr="00A90B95">
        <w:rPr>
          <w:rFonts w:cs="Arial"/>
          <w:sz w:val="22"/>
          <w:szCs w:val="22"/>
        </w:rPr>
        <w:t xml:space="preserve"> 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Default="002E615F" w:rsidP="00A90B95">
      <w:pPr>
        <w:jc w:val="both"/>
        <w:rPr>
          <w:rFonts w:cs="Arial"/>
          <w:sz w:val="22"/>
          <w:szCs w:val="22"/>
        </w:rPr>
      </w:pPr>
      <w:r w:rsidRPr="00A90B95">
        <w:rPr>
          <w:rFonts w:cs="Arial"/>
          <w:sz w:val="22"/>
          <w:szCs w:val="22"/>
        </w:rPr>
        <w:lastRenderedPageBreak/>
        <w:t xml:space="preserve">NKÚ zjistil rovněž </w:t>
      </w:r>
      <w:r w:rsidR="00A74027">
        <w:rPr>
          <w:rFonts w:cs="Arial"/>
          <w:sz w:val="22"/>
          <w:szCs w:val="22"/>
        </w:rPr>
        <w:t>nedostatek spočívající</w:t>
      </w:r>
      <w:r w:rsidRPr="00A90B95">
        <w:rPr>
          <w:rFonts w:cs="Arial"/>
          <w:sz w:val="22"/>
          <w:szCs w:val="22"/>
        </w:rPr>
        <w:t xml:space="preserve"> ve formálnosti postupu MD při kontrole závěrečných a</w:t>
      </w:r>
      <w:r w:rsidR="003C7F30" w:rsidRPr="00A90B95">
        <w:rPr>
          <w:rFonts w:cs="Arial"/>
          <w:sz w:val="22"/>
          <w:szCs w:val="22"/>
        </w:rPr>
        <w:t> </w:t>
      </w:r>
      <w:r w:rsidRPr="00A90B95">
        <w:rPr>
          <w:rFonts w:cs="Arial"/>
          <w:sz w:val="22"/>
          <w:szCs w:val="22"/>
        </w:rPr>
        <w:t xml:space="preserve">následných monitorovacích zpráv. </w:t>
      </w:r>
      <w:r w:rsidR="00B5686B" w:rsidRPr="00A90B95">
        <w:rPr>
          <w:rFonts w:cs="Arial"/>
          <w:b/>
          <w:sz w:val="22"/>
          <w:szCs w:val="22"/>
        </w:rPr>
        <w:t>MD nevyhodnocovalo výslednou efektivnost a</w:t>
      </w:r>
      <w:r w:rsidR="00A74027">
        <w:rPr>
          <w:rFonts w:cs="Arial"/>
          <w:b/>
          <w:sz w:val="22"/>
          <w:szCs w:val="22"/>
        </w:rPr>
        <w:t xml:space="preserve">ni </w:t>
      </w:r>
      <w:r w:rsidR="00B5686B" w:rsidRPr="00A90B95">
        <w:rPr>
          <w:rFonts w:cs="Arial"/>
          <w:b/>
          <w:sz w:val="22"/>
          <w:szCs w:val="22"/>
        </w:rPr>
        <w:t>dosažení výsledků deklarovaných v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="00B5686B" w:rsidRPr="00A90B95">
        <w:rPr>
          <w:rFonts w:cs="Arial"/>
          <w:b/>
          <w:sz w:val="22"/>
          <w:szCs w:val="22"/>
        </w:rPr>
        <w:t>projektových žádos</w:t>
      </w:r>
      <w:r w:rsidR="00A74027">
        <w:rPr>
          <w:rFonts w:cs="Arial"/>
          <w:b/>
          <w:sz w:val="22"/>
          <w:szCs w:val="22"/>
        </w:rPr>
        <w:t>tech a </w:t>
      </w:r>
      <w:r w:rsidR="00B5686B" w:rsidRPr="00A90B95">
        <w:rPr>
          <w:rFonts w:cs="Arial"/>
          <w:b/>
          <w:sz w:val="22"/>
          <w:szCs w:val="22"/>
        </w:rPr>
        <w:t>neověřovalo správnost údajů a informací uváděných v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="00A74027">
        <w:rPr>
          <w:rFonts w:cs="Arial"/>
          <w:b/>
          <w:sz w:val="22"/>
          <w:szCs w:val="22"/>
        </w:rPr>
        <w:t>závěrečných a </w:t>
      </w:r>
      <w:r w:rsidR="00230666" w:rsidRPr="00A90B95">
        <w:rPr>
          <w:rFonts w:cs="Arial"/>
          <w:b/>
          <w:sz w:val="22"/>
          <w:szCs w:val="22"/>
        </w:rPr>
        <w:t xml:space="preserve">následných </w:t>
      </w:r>
      <w:r w:rsidR="00B5686B" w:rsidRPr="00A90B95">
        <w:rPr>
          <w:rFonts w:cs="Arial"/>
          <w:b/>
          <w:sz w:val="22"/>
          <w:szCs w:val="22"/>
        </w:rPr>
        <w:t>monitorovacích zprávách projektů</w:t>
      </w:r>
      <w:r w:rsidR="00B5686B" w:rsidRPr="00266144">
        <w:rPr>
          <w:rFonts w:cs="Arial"/>
          <w:b/>
          <w:sz w:val="22"/>
          <w:szCs w:val="22"/>
        </w:rPr>
        <w:t>.</w:t>
      </w:r>
      <w:r w:rsidR="00B5686B" w:rsidRPr="00A90B95">
        <w:rPr>
          <w:rFonts w:cs="Arial"/>
          <w:sz w:val="22"/>
          <w:szCs w:val="22"/>
        </w:rPr>
        <w:t xml:space="preserve"> Např. v</w:t>
      </w:r>
      <w:r w:rsidR="004C5D1B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 xml:space="preserve">monitorovacích zprávách projektu </w:t>
      </w:r>
      <w:r w:rsidR="00B5686B" w:rsidRPr="00A90B95">
        <w:rPr>
          <w:rFonts w:cs="Arial"/>
          <w:i/>
          <w:sz w:val="22"/>
          <w:szCs w:val="22"/>
        </w:rPr>
        <w:t>Rekonstrukce železničního mostu Kolín</w:t>
      </w:r>
      <w:r w:rsidR="00B5686B" w:rsidRPr="00A90B95">
        <w:rPr>
          <w:rFonts w:cs="Arial"/>
          <w:sz w:val="22"/>
          <w:szCs w:val="22"/>
        </w:rPr>
        <w:t xml:space="preserve"> ŘVC uvádělo informaci o přepravě cca 15</w:t>
      </w:r>
      <w:r w:rsidR="003C7F30" w:rsidRPr="00A90B95">
        <w:rPr>
          <w:rFonts w:cs="Arial"/>
          <w:sz w:val="22"/>
          <w:szCs w:val="22"/>
        </w:rPr>
        <w:t> </w:t>
      </w:r>
      <w:r w:rsidR="00B5686B" w:rsidRPr="00A90B95">
        <w:rPr>
          <w:rFonts w:cs="Arial"/>
          <w:sz w:val="22"/>
          <w:szCs w:val="22"/>
        </w:rPr>
        <w:t xml:space="preserve">nadměrných nákladů </w:t>
      </w:r>
      <w:r w:rsidR="00266144">
        <w:rPr>
          <w:rFonts w:cs="Arial"/>
          <w:sz w:val="22"/>
          <w:szCs w:val="22"/>
        </w:rPr>
        <w:t>–</w:t>
      </w:r>
      <w:r w:rsidR="00B5686B" w:rsidRPr="00A90B95">
        <w:rPr>
          <w:rFonts w:cs="Arial"/>
          <w:sz w:val="22"/>
          <w:szCs w:val="22"/>
        </w:rPr>
        <w:t xml:space="preserve"> novostaveb lodí</w:t>
      </w:r>
      <w:r w:rsidR="00A74027">
        <w:rPr>
          <w:rFonts w:cs="Arial"/>
          <w:sz w:val="22"/>
          <w:szCs w:val="22"/>
        </w:rPr>
        <w:t xml:space="preserve"> –</w:t>
      </w:r>
      <w:r w:rsidR="00B5686B" w:rsidRPr="00A90B95">
        <w:rPr>
          <w:rFonts w:cs="Arial"/>
          <w:sz w:val="22"/>
          <w:szCs w:val="22"/>
        </w:rPr>
        <w:t xml:space="preserve"> z</w:t>
      </w:r>
      <w:r w:rsidR="004C5D1B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 xml:space="preserve">loděnice </w:t>
      </w:r>
      <w:r w:rsidR="00A74027">
        <w:rPr>
          <w:rFonts w:cs="Arial"/>
          <w:sz w:val="22"/>
          <w:szCs w:val="22"/>
        </w:rPr>
        <w:t xml:space="preserve">ve </w:t>
      </w:r>
      <w:r w:rsidR="00B5686B" w:rsidRPr="00A90B95">
        <w:rPr>
          <w:rFonts w:cs="Arial"/>
          <w:sz w:val="22"/>
          <w:szCs w:val="22"/>
        </w:rPr>
        <w:t>Chvaletic</w:t>
      </w:r>
      <w:r w:rsidR="00A74027">
        <w:rPr>
          <w:rFonts w:cs="Arial"/>
          <w:sz w:val="22"/>
          <w:szCs w:val="22"/>
        </w:rPr>
        <w:t>ích</w:t>
      </w:r>
      <w:r w:rsidR="00B5686B" w:rsidRPr="00A90B95">
        <w:rPr>
          <w:rFonts w:cs="Arial"/>
          <w:sz w:val="22"/>
          <w:szCs w:val="22"/>
        </w:rPr>
        <w:t xml:space="preserve"> ročně, </w:t>
      </w:r>
      <w:r w:rsidR="00266144">
        <w:rPr>
          <w:rFonts w:cs="Arial"/>
          <w:sz w:val="22"/>
          <w:szCs w:val="22"/>
        </w:rPr>
        <w:t>což</w:t>
      </w:r>
      <w:r w:rsidR="00B5686B" w:rsidRPr="00A90B95">
        <w:rPr>
          <w:rFonts w:cs="Arial"/>
          <w:sz w:val="22"/>
          <w:szCs w:val="22"/>
        </w:rPr>
        <w:t xml:space="preserve"> </w:t>
      </w:r>
      <w:r w:rsidR="00A74027">
        <w:rPr>
          <w:rFonts w:cs="Arial"/>
          <w:sz w:val="22"/>
          <w:szCs w:val="22"/>
        </w:rPr>
        <w:t xml:space="preserve">však </w:t>
      </w:r>
      <w:r w:rsidR="00B5686B" w:rsidRPr="00A90B95">
        <w:rPr>
          <w:rFonts w:cs="Arial"/>
          <w:sz w:val="22"/>
          <w:szCs w:val="22"/>
        </w:rPr>
        <w:t>neodpovídá skutečnosti. MD následně potvrdilo, že poslední novostavba většího plavidla byla v</w:t>
      </w:r>
      <w:r w:rsidR="00A74027">
        <w:rPr>
          <w:rFonts w:cs="Arial"/>
          <w:sz w:val="22"/>
          <w:szCs w:val="22"/>
        </w:rPr>
        <w:t>e chvaletické</w:t>
      </w:r>
      <w:r w:rsidR="004C5D1B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>loděnici dokončena v</w:t>
      </w:r>
      <w:r w:rsidR="004C5D1B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>létě 2010 a v</w:t>
      </w:r>
      <w:r w:rsidR="004C5D1B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 xml:space="preserve">roce 2013 přepravena do </w:t>
      </w:r>
      <w:r w:rsidR="00A74027">
        <w:rPr>
          <w:rFonts w:cs="Arial"/>
          <w:sz w:val="22"/>
          <w:szCs w:val="22"/>
        </w:rPr>
        <w:t>Nizozemí</w:t>
      </w:r>
      <w:r w:rsidR="00B5686B" w:rsidRPr="00A90B95">
        <w:rPr>
          <w:rFonts w:cs="Arial"/>
          <w:sz w:val="22"/>
          <w:szCs w:val="22"/>
        </w:rPr>
        <w:t>.</w:t>
      </w:r>
      <w:r w:rsidR="0015059A" w:rsidRPr="00A90B95">
        <w:rPr>
          <w:rFonts w:cs="Arial"/>
          <w:sz w:val="22"/>
          <w:szCs w:val="22"/>
        </w:rPr>
        <w:t xml:space="preserve"> </w:t>
      </w:r>
      <w:r w:rsidR="00B5686B" w:rsidRPr="00A90B95">
        <w:rPr>
          <w:rFonts w:cs="Arial"/>
          <w:sz w:val="22"/>
          <w:szCs w:val="22"/>
        </w:rPr>
        <w:t xml:space="preserve"> 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Pr="00A90B95" w:rsidRDefault="00A90B95" w:rsidP="00A90B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D. </w:t>
      </w:r>
      <w:r w:rsidR="00B5686B" w:rsidRPr="00A90B95">
        <w:rPr>
          <w:b/>
          <w:sz w:val="22"/>
          <w:szCs w:val="22"/>
        </w:rPr>
        <w:t>Řízení rizik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B5686B" w:rsidRDefault="00B5686B" w:rsidP="00A90B95">
      <w:pPr>
        <w:jc w:val="both"/>
        <w:rPr>
          <w:rFonts w:cs="Arial"/>
          <w:sz w:val="22"/>
          <w:szCs w:val="22"/>
        </w:rPr>
      </w:pPr>
      <w:r w:rsidRPr="00A90B95">
        <w:rPr>
          <w:rFonts w:cs="Arial"/>
          <w:b/>
          <w:sz w:val="22"/>
          <w:szCs w:val="22"/>
        </w:rPr>
        <w:t>MD prac</w:t>
      </w:r>
      <w:r w:rsidR="00230666" w:rsidRPr="00A90B95">
        <w:rPr>
          <w:rFonts w:cs="Arial"/>
          <w:b/>
          <w:sz w:val="22"/>
          <w:szCs w:val="22"/>
        </w:rPr>
        <w:t>ovalo</w:t>
      </w:r>
      <w:r w:rsidRPr="00A90B95">
        <w:rPr>
          <w:rFonts w:cs="Arial"/>
          <w:b/>
          <w:sz w:val="22"/>
          <w:szCs w:val="22"/>
        </w:rPr>
        <w:t xml:space="preserve"> s</w:t>
      </w:r>
      <w:r w:rsidR="004C5D1B" w:rsidRPr="00A90B95">
        <w:rPr>
          <w:rFonts w:cs="Arial"/>
          <w:b/>
          <w:sz w:val="22"/>
          <w:szCs w:val="22"/>
        </w:rPr>
        <w:t xml:space="preserve"> </w:t>
      </w:r>
      <w:r w:rsidRPr="00A90B95">
        <w:rPr>
          <w:rFonts w:cs="Arial"/>
          <w:b/>
          <w:sz w:val="22"/>
          <w:szCs w:val="22"/>
        </w:rPr>
        <w:t>r</w:t>
      </w:r>
      <w:r w:rsidR="00230666" w:rsidRPr="00A90B95">
        <w:rPr>
          <w:rFonts w:cs="Arial"/>
          <w:b/>
          <w:sz w:val="22"/>
          <w:szCs w:val="22"/>
        </w:rPr>
        <w:t>iziky způsobem, který neumožňoval</w:t>
      </w:r>
      <w:r w:rsidRPr="00A90B95">
        <w:rPr>
          <w:rFonts w:cs="Arial"/>
          <w:b/>
          <w:sz w:val="22"/>
          <w:szCs w:val="22"/>
        </w:rPr>
        <w:t xml:space="preserve"> jejich průběžné sledování a</w:t>
      </w:r>
      <w:r w:rsidR="006764CC" w:rsidRPr="00A90B95">
        <w:rPr>
          <w:rFonts w:cs="Arial"/>
          <w:b/>
          <w:sz w:val="22"/>
          <w:szCs w:val="22"/>
        </w:rPr>
        <w:t> </w:t>
      </w:r>
      <w:r w:rsidRPr="00A90B95">
        <w:rPr>
          <w:rFonts w:cs="Arial"/>
          <w:b/>
          <w:sz w:val="22"/>
          <w:szCs w:val="22"/>
        </w:rPr>
        <w:t>vyhodnocování</w:t>
      </w:r>
      <w:r w:rsidR="00B83339" w:rsidRPr="00266144">
        <w:rPr>
          <w:rFonts w:cs="Arial"/>
          <w:b/>
          <w:sz w:val="22"/>
          <w:szCs w:val="22"/>
        </w:rPr>
        <w:t>.</w:t>
      </w:r>
      <w:r w:rsidR="00B83339" w:rsidRPr="00A90B95">
        <w:rPr>
          <w:rFonts w:cs="Arial"/>
          <w:sz w:val="22"/>
          <w:szCs w:val="22"/>
        </w:rPr>
        <w:t xml:space="preserve"> </w:t>
      </w:r>
      <w:r w:rsidR="009544A1">
        <w:rPr>
          <w:rFonts w:cs="Arial"/>
          <w:sz w:val="22"/>
          <w:szCs w:val="22"/>
        </w:rPr>
        <w:t>N</w:t>
      </w:r>
      <w:r w:rsidR="009544A1" w:rsidRPr="00A90B95">
        <w:rPr>
          <w:rFonts w:cs="Arial"/>
          <w:sz w:val="22"/>
          <w:szCs w:val="22"/>
        </w:rPr>
        <w:t xml:space="preserve">esledovalo </w:t>
      </w:r>
      <w:r w:rsidR="009544A1">
        <w:rPr>
          <w:rFonts w:cs="Arial"/>
          <w:sz w:val="22"/>
          <w:szCs w:val="22"/>
        </w:rPr>
        <w:t>k</w:t>
      </w:r>
      <w:r w:rsidRPr="00A90B95">
        <w:rPr>
          <w:rFonts w:cs="Arial"/>
          <w:sz w:val="22"/>
          <w:szCs w:val="22"/>
        </w:rPr>
        <w:t xml:space="preserve">ontinuálně žádná klíčová rizika tak, aby bylo možné hodnotit vývoj jejich významnosti od zahájení OPD po celou dobu jeho realizace. </w:t>
      </w:r>
      <w:r w:rsidR="0012537C" w:rsidRPr="00A90B95">
        <w:rPr>
          <w:rFonts w:cs="Arial"/>
          <w:sz w:val="22"/>
          <w:szCs w:val="22"/>
        </w:rPr>
        <w:t>Např. identifikované riziko „</w:t>
      </w:r>
      <w:r w:rsidR="0012537C" w:rsidRPr="00A90B95">
        <w:rPr>
          <w:rFonts w:cs="Arial"/>
          <w:i/>
          <w:sz w:val="22"/>
          <w:szCs w:val="22"/>
        </w:rPr>
        <w:t>evaluace-indikátory/neexistence metodik pro naplňování vybraných dopadových nebo výsledkových indikátorů</w:t>
      </w:r>
      <w:r w:rsidR="0012537C" w:rsidRPr="00A90B95">
        <w:rPr>
          <w:rFonts w:cs="Arial"/>
          <w:sz w:val="22"/>
          <w:szCs w:val="22"/>
        </w:rPr>
        <w:t>“ s</w:t>
      </w:r>
      <w:r w:rsidR="004C5D1B" w:rsidRPr="00A90B95">
        <w:rPr>
          <w:rFonts w:cs="Arial"/>
          <w:sz w:val="22"/>
          <w:szCs w:val="22"/>
        </w:rPr>
        <w:t xml:space="preserve"> </w:t>
      </w:r>
      <w:r w:rsidR="0012537C" w:rsidRPr="00A90B95">
        <w:rPr>
          <w:rFonts w:cs="Arial"/>
          <w:sz w:val="22"/>
          <w:szCs w:val="22"/>
        </w:rPr>
        <w:t>vysokou mírou závažnosti vyřadilo</w:t>
      </w:r>
      <w:r w:rsidR="009544A1">
        <w:rPr>
          <w:rFonts w:cs="Arial"/>
          <w:sz w:val="22"/>
          <w:szCs w:val="22"/>
        </w:rPr>
        <w:t xml:space="preserve"> </w:t>
      </w:r>
      <w:r w:rsidR="009544A1" w:rsidRPr="00A90B95">
        <w:rPr>
          <w:rFonts w:cs="Arial"/>
          <w:sz w:val="22"/>
          <w:szCs w:val="22"/>
        </w:rPr>
        <w:t>MD</w:t>
      </w:r>
      <w:r w:rsidR="0012537C" w:rsidRPr="00A90B95">
        <w:rPr>
          <w:rFonts w:cs="Arial"/>
          <w:sz w:val="22"/>
          <w:szCs w:val="22"/>
        </w:rPr>
        <w:t xml:space="preserve"> ze sledování v</w:t>
      </w:r>
      <w:r w:rsidR="004C5D1B" w:rsidRPr="00A90B95">
        <w:rPr>
          <w:rFonts w:cs="Arial"/>
          <w:sz w:val="22"/>
          <w:szCs w:val="22"/>
        </w:rPr>
        <w:t xml:space="preserve"> </w:t>
      </w:r>
      <w:r w:rsidR="0012537C" w:rsidRPr="00A90B95">
        <w:rPr>
          <w:rFonts w:cs="Arial"/>
          <w:sz w:val="22"/>
          <w:szCs w:val="22"/>
        </w:rPr>
        <w:t>březnu 2009 s</w:t>
      </w:r>
      <w:r w:rsidR="004C5D1B" w:rsidRPr="00A90B95">
        <w:rPr>
          <w:rFonts w:cs="Arial"/>
          <w:sz w:val="22"/>
          <w:szCs w:val="22"/>
        </w:rPr>
        <w:t xml:space="preserve"> </w:t>
      </w:r>
      <w:r w:rsidR="0012537C" w:rsidRPr="00A90B95">
        <w:rPr>
          <w:rFonts w:cs="Arial"/>
          <w:sz w:val="22"/>
          <w:szCs w:val="22"/>
        </w:rPr>
        <w:t>odvoláním na opatření spočívající ve využití externích kapacit pro zpracování „</w:t>
      </w:r>
      <w:r w:rsidR="0012537C" w:rsidRPr="00A90B95">
        <w:rPr>
          <w:rFonts w:cs="Arial"/>
          <w:i/>
          <w:sz w:val="22"/>
          <w:szCs w:val="22"/>
        </w:rPr>
        <w:t>různých studií a modelů</w:t>
      </w:r>
      <w:r w:rsidR="0012537C" w:rsidRPr="00A90B95">
        <w:rPr>
          <w:rFonts w:cs="Arial"/>
          <w:sz w:val="22"/>
          <w:szCs w:val="22"/>
        </w:rPr>
        <w:t>“ s</w:t>
      </w:r>
      <w:r w:rsidR="004C5D1B" w:rsidRPr="00A90B95">
        <w:rPr>
          <w:rFonts w:cs="Arial"/>
          <w:sz w:val="22"/>
          <w:szCs w:val="22"/>
        </w:rPr>
        <w:t xml:space="preserve"> </w:t>
      </w:r>
      <w:r w:rsidR="0012537C" w:rsidRPr="00A90B95">
        <w:rPr>
          <w:rFonts w:cs="Arial"/>
          <w:sz w:val="22"/>
          <w:szCs w:val="22"/>
        </w:rPr>
        <w:t>tím</w:t>
      </w:r>
      <w:r w:rsidR="0076172D" w:rsidRPr="00A90B95">
        <w:rPr>
          <w:rFonts w:cs="Arial"/>
          <w:sz w:val="22"/>
          <w:szCs w:val="22"/>
        </w:rPr>
        <w:t>,</w:t>
      </w:r>
      <w:r w:rsidR="0012537C" w:rsidRPr="00A90B95">
        <w:rPr>
          <w:rFonts w:cs="Arial"/>
          <w:sz w:val="22"/>
          <w:szCs w:val="22"/>
        </w:rPr>
        <w:t xml:space="preserve"> že riziko je efektivně řízeno.</w:t>
      </w:r>
    </w:p>
    <w:p w:rsidR="00A90B95" w:rsidRPr="00A90B95" w:rsidRDefault="00A90B95" w:rsidP="00A90B95">
      <w:pPr>
        <w:jc w:val="both"/>
        <w:rPr>
          <w:rFonts w:cs="Arial"/>
          <w:sz w:val="22"/>
          <w:szCs w:val="22"/>
        </w:rPr>
      </w:pPr>
    </w:p>
    <w:p w:rsidR="00531791" w:rsidRPr="00544726" w:rsidRDefault="00544726" w:rsidP="0054472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 w:rsidR="00090523" w:rsidRPr="00544726">
        <w:rPr>
          <w:rFonts w:cs="Arial"/>
          <w:b/>
          <w:sz w:val="22"/>
          <w:szCs w:val="22"/>
        </w:rPr>
        <w:t>Nejvýznamnější kontrolované projekty</w:t>
      </w:r>
    </w:p>
    <w:p w:rsidR="0010795A" w:rsidRPr="0010795A" w:rsidRDefault="0010795A" w:rsidP="00544726">
      <w:pPr>
        <w:rPr>
          <w:rFonts w:cs="Arial"/>
          <w:sz w:val="22"/>
          <w:szCs w:val="22"/>
        </w:rPr>
      </w:pPr>
    </w:p>
    <w:p w:rsidR="00B5686B" w:rsidRPr="00544726" w:rsidRDefault="00544726" w:rsidP="0054472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A.</w:t>
      </w:r>
      <w:r w:rsidR="006331A0" w:rsidRPr="00544726">
        <w:rPr>
          <w:rFonts w:cs="Arial"/>
          <w:b/>
          <w:sz w:val="22"/>
          <w:szCs w:val="22"/>
        </w:rPr>
        <w:t xml:space="preserve"> </w:t>
      </w:r>
      <w:r w:rsidR="00B5686B" w:rsidRPr="00544726">
        <w:rPr>
          <w:rFonts w:cs="Arial"/>
          <w:b/>
          <w:sz w:val="22"/>
          <w:szCs w:val="22"/>
        </w:rPr>
        <w:t xml:space="preserve">Projekt </w:t>
      </w:r>
      <w:r w:rsidR="00B5686B" w:rsidRPr="00544726">
        <w:rPr>
          <w:rFonts w:cs="Arial"/>
          <w:b/>
          <w:i/>
          <w:sz w:val="22"/>
          <w:szCs w:val="22"/>
        </w:rPr>
        <w:t>Rekonstrukce železničního mostu Kolín</w:t>
      </w:r>
    </w:p>
    <w:p w:rsidR="0010795A" w:rsidRDefault="0010795A" w:rsidP="00544726">
      <w:pPr>
        <w:jc w:val="both"/>
        <w:rPr>
          <w:rFonts w:cs="Arial"/>
          <w:sz w:val="22"/>
          <w:szCs w:val="22"/>
        </w:rPr>
      </w:pPr>
    </w:p>
    <w:p w:rsidR="00B5686B" w:rsidRDefault="00B5686B" w:rsidP="0054472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 xml:space="preserve">Projekt byl součástí komplexního programu </w:t>
      </w:r>
      <w:r w:rsidRPr="000E1FD2">
        <w:rPr>
          <w:rFonts w:cs="Arial"/>
          <w:i/>
          <w:sz w:val="22"/>
          <w:szCs w:val="22"/>
        </w:rPr>
        <w:t>Zabezpeče</w:t>
      </w:r>
      <w:r w:rsidR="00EE22DD">
        <w:rPr>
          <w:rFonts w:cs="Arial"/>
          <w:i/>
          <w:sz w:val="22"/>
          <w:szCs w:val="22"/>
        </w:rPr>
        <w:t>ní podjezdných výšek mostů 5,25 </w:t>
      </w:r>
      <w:r w:rsidRPr="000E1FD2">
        <w:rPr>
          <w:rFonts w:cs="Arial"/>
          <w:i/>
          <w:sz w:val="22"/>
          <w:szCs w:val="22"/>
        </w:rPr>
        <w:t>m do Pardubic</w:t>
      </w:r>
      <w:r w:rsidRPr="005F4D95">
        <w:rPr>
          <w:rFonts w:cs="Arial"/>
          <w:sz w:val="22"/>
          <w:szCs w:val="22"/>
        </w:rPr>
        <w:t xml:space="preserve"> řešícího odstranění jedné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překážek pro využívání labské vodní cesty pro kontejnerovou přepravu zboží a přepravu nadměrných nákladů. Projektová žádost </w:t>
      </w:r>
      <w:r w:rsidR="002E615F">
        <w:rPr>
          <w:rFonts w:cs="Arial"/>
          <w:sz w:val="22"/>
          <w:szCs w:val="22"/>
        </w:rPr>
        <w:t xml:space="preserve">ŘVC </w:t>
      </w:r>
      <w:r w:rsidR="00711F82">
        <w:rPr>
          <w:rFonts w:cs="Arial"/>
          <w:sz w:val="22"/>
          <w:szCs w:val="22"/>
        </w:rPr>
        <w:t>z</w:t>
      </w:r>
      <w:r w:rsidR="008C6B91">
        <w:rPr>
          <w:rFonts w:cs="Arial"/>
          <w:sz w:val="22"/>
          <w:szCs w:val="22"/>
        </w:rPr>
        <w:t> </w:t>
      </w:r>
      <w:r w:rsidR="002E615F">
        <w:rPr>
          <w:rFonts w:cs="Arial"/>
          <w:sz w:val="22"/>
          <w:szCs w:val="22"/>
        </w:rPr>
        <w:t>ledn</w:t>
      </w:r>
      <w:r w:rsidR="00711F82">
        <w:rPr>
          <w:rFonts w:cs="Arial"/>
          <w:sz w:val="22"/>
          <w:szCs w:val="22"/>
        </w:rPr>
        <w:t>a</w:t>
      </w:r>
      <w:r w:rsidRPr="005F4D95">
        <w:rPr>
          <w:rFonts w:cs="Arial"/>
          <w:sz w:val="22"/>
          <w:szCs w:val="22"/>
        </w:rPr>
        <w:t xml:space="preserve"> 2009, která byla podkladem pro zařazení projektu k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financování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OPD, aktualizovaný </w:t>
      </w:r>
      <w:r>
        <w:rPr>
          <w:rFonts w:cs="Arial"/>
          <w:sz w:val="22"/>
          <w:szCs w:val="22"/>
        </w:rPr>
        <w:t>IZ</w:t>
      </w:r>
      <w:r w:rsidRPr="005F4D95">
        <w:rPr>
          <w:rFonts w:cs="Arial"/>
          <w:sz w:val="22"/>
          <w:szCs w:val="22"/>
        </w:rPr>
        <w:t xml:space="preserve"> ani ekonomická hodnocení projektu se však </w:t>
      </w:r>
      <w:r w:rsidR="005C1A66">
        <w:rPr>
          <w:rFonts w:cs="Arial"/>
          <w:sz w:val="22"/>
          <w:szCs w:val="22"/>
        </w:rPr>
        <w:t xml:space="preserve">nezabývaly </w:t>
      </w:r>
      <w:r w:rsidRPr="005F4D95">
        <w:rPr>
          <w:rFonts w:cs="Arial"/>
          <w:sz w:val="22"/>
          <w:szCs w:val="22"/>
        </w:rPr>
        <w:t>návazností na další projekty, jejichž realizací je podmíněno efektivní využití investic do navýšení podjezdné výšky železničního mostu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Kolíně. </w:t>
      </w:r>
    </w:p>
    <w:p w:rsidR="0010795A" w:rsidRPr="005F4D95" w:rsidRDefault="0010795A" w:rsidP="00544726">
      <w:pPr>
        <w:jc w:val="both"/>
        <w:rPr>
          <w:rFonts w:cs="Arial"/>
          <w:sz w:val="22"/>
          <w:szCs w:val="22"/>
        </w:rPr>
      </w:pPr>
    </w:p>
    <w:p w:rsidR="00B5686B" w:rsidRDefault="00B5686B" w:rsidP="00544726">
      <w:pPr>
        <w:jc w:val="both"/>
        <w:rPr>
          <w:rFonts w:cs="Arial"/>
          <w:sz w:val="22"/>
          <w:szCs w:val="22"/>
        </w:rPr>
      </w:pPr>
      <w:r w:rsidRPr="005D0F61">
        <w:rPr>
          <w:rFonts w:cs="Arial"/>
          <w:b/>
          <w:sz w:val="22"/>
          <w:szCs w:val="22"/>
        </w:rPr>
        <w:t>Přestože projekt byl pro možnost získání podpory v oblasti podpory 6.2 OPD deklarován jako projekt rozvoje vodních cest</w:t>
      </w:r>
      <w:r w:rsidRPr="005F4D95">
        <w:rPr>
          <w:rFonts w:cs="Arial"/>
          <w:sz w:val="22"/>
          <w:szCs w:val="22"/>
        </w:rPr>
        <w:t xml:space="preserve"> (hlavním cílem projektu bylo zabezpečení podjezdné výšky mostu 5,25 m nad maximální plavební hladinou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výhledovým dosažením podjezdné výšky 7,00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m prostřednictvím zdvižného pole mostu), </w:t>
      </w:r>
      <w:r w:rsidRPr="005D0F61">
        <w:rPr>
          <w:rFonts w:cs="Arial"/>
          <w:b/>
          <w:sz w:val="22"/>
          <w:szCs w:val="22"/>
        </w:rPr>
        <w:t>ve skutečnosti řešil především rekonstrukci a</w:t>
      </w:r>
      <w:r w:rsidR="004C5D1B">
        <w:rPr>
          <w:rFonts w:cs="Arial"/>
          <w:b/>
          <w:sz w:val="22"/>
          <w:szCs w:val="22"/>
        </w:rPr>
        <w:t xml:space="preserve"> </w:t>
      </w:r>
      <w:r w:rsidRPr="005D0F61">
        <w:rPr>
          <w:rFonts w:cs="Arial"/>
          <w:b/>
          <w:sz w:val="22"/>
          <w:szCs w:val="22"/>
        </w:rPr>
        <w:t>modernizaci železniční infrastruktury</w:t>
      </w:r>
      <w:r w:rsidRPr="00EE22DD">
        <w:rPr>
          <w:rFonts w:cs="Arial"/>
          <w:b/>
          <w:sz w:val="22"/>
          <w:szCs w:val="22"/>
        </w:rPr>
        <w:t>,</w:t>
      </w:r>
      <w:r w:rsidRPr="005F4D95">
        <w:rPr>
          <w:rFonts w:cs="Arial"/>
          <w:sz w:val="22"/>
          <w:szCs w:val="22"/>
        </w:rPr>
        <w:t xml:space="preserve"> a to jak na straně výdajů, tak na straně očekávaných přínosů projektu.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pohledu železnice přitom byl původní most popsán jako provozuschopný a správce železniční infrastruktury ve svém stanovisku uvedl, že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horizontu 20 let neuvažuje </w:t>
      </w:r>
      <w:r w:rsidR="00EE22DD">
        <w:rPr>
          <w:rFonts w:cs="Arial"/>
          <w:sz w:val="22"/>
          <w:szCs w:val="22"/>
        </w:rPr>
        <w:t>o jeho přestavbě nebo rekonstrukci</w:t>
      </w:r>
      <w:r w:rsidRPr="005F4D95">
        <w:rPr>
          <w:rFonts w:cs="Arial"/>
          <w:sz w:val="22"/>
          <w:szCs w:val="22"/>
        </w:rPr>
        <w:t>.</w:t>
      </w:r>
    </w:p>
    <w:p w:rsidR="0010795A" w:rsidRPr="005F4D95" w:rsidRDefault="0010795A" w:rsidP="0054472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54472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Pro monitorování projektu byl stanoven jediný indikátor „</w:t>
      </w:r>
      <w:r w:rsidR="00EE22DD">
        <w:rPr>
          <w:rFonts w:cs="Arial"/>
          <w:i/>
          <w:sz w:val="22"/>
          <w:szCs w:val="22"/>
        </w:rPr>
        <w:t>p</w:t>
      </w:r>
      <w:r w:rsidRPr="000E1FD2">
        <w:rPr>
          <w:rFonts w:cs="Arial"/>
          <w:i/>
          <w:sz w:val="22"/>
          <w:szCs w:val="22"/>
        </w:rPr>
        <w:t>očet projektů podporujících dopravu a dopravní infrastrukturu</w:t>
      </w:r>
      <w:r w:rsidRPr="005F4D95">
        <w:rPr>
          <w:rFonts w:cs="Arial"/>
          <w:sz w:val="22"/>
          <w:szCs w:val="22"/>
        </w:rPr>
        <w:t>“ s výchozí hodnotou 0 a cílovou hodnotou 1 a dále dva rozšiřující ukazatele: „</w:t>
      </w:r>
      <w:r w:rsidR="00EE22DD">
        <w:rPr>
          <w:rFonts w:cs="Arial"/>
          <w:i/>
          <w:sz w:val="22"/>
          <w:szCs w:val="22"/>
        </w:rPr>
        <w:t>r</w:t>
      </w:r>
      <w:r w:rsidRPr="000E1FD2">
        <w:rPr>
          <w:rFonts w:cs="Arial"/>
          <w:i/>
          <w:sz w:val="22"/>
          <w:szCs w:val="22"/>
        </w:rPr>
        <w:t>ekonstrukce železničního mostu Kolín</w:t>
      </w:r>
      <w:r w:rsidRPr="005F4D95">
        <w:rPr>
          <w:rFonts w:cs="Arial"/>
          <w:sz w:val="22"/>
          <w:szCs w:val="22"/>
        </w:rPr>
        <w:t>“ s výchozí hodnotou 0</w:t>
      </w:r>
      <w:r w:rsidR="00EC4623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a</w:t>
      </w:r>
      <w:r w:rsidR="006764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cílovou hodnotou 1 a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„</w:t>
      </w:r>
      <w:r w:rsidR="00EE22DD">
        <w:rPr>
          <w:rFonts w:cs="Arial"/>
          <w:i/>
          <w:sz w:val="22"/>
          <w:szCs w:val="22"/>
        </w:rPr>
        <w:t>p</w:t>
      </w:r>
      <w:r w:rsidRPr="000E1FD2">
        <w:rPr>
          <w:rFonts w:cs="Arial"/>
          <w:i/>
          <w:sz w:val="22"/>
          <w:szCs w:val="22"/>
        </w:rPr>
        <w:t>odjezdná výška mostu</w:t>
      </w:r>
      <w:r w:rsidRPr="005F4D95">
        <w:rPr>
          <w:rFonts w:cs="Arial"/>
          <w:sz w:val="22"/>
          <w:szCs w:val="22"/>
        </w:rPr>
        <w:t>“ s výchozí hodnotou: 4,35</w:t>
      </w:r>
      <w:r w:rsidR="006764CC">
        <w:rPr>
          <w:rFonts w:cs="Arial"/>
          <w:sz w:val="22"/>
          <w:szCs w:val="22"/>
        </w:rPr>
        <w:t>–</w:t>
      </w:r>
      <w:r w:rsidRPr="005F4D95">
        <w:rPr>
          <w:rFonts w:cs="Arial"/>
          <w:sz w:val="22"/>
          <w:szCs w:val="22"/>
        </w:rPr>
        <w:t>4,61</w:t>
      </w:r>
      <w:r w:rsidR="000707DC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m a</w:t>
      </w:r>
      <w:r w:rsidR="00EC4623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 xml:space="preserve">cílovou hodnotou 5,25 m. </w:t>
      </w:r>
      <w:r w:rsidRPr="005D0F61">
        <w:rPr>
          <w:rFonts w:cs="Arial"/>
          <w:b/>
          <w:sz w:val="22"/>
          <w:szCs w:val="22"/>
        </w:rPr>
        <w:t>Žádné indikátory nebo ukazatele, které by umožňovaly sledování a</w:t>
      </w:r>
      <w:r w:rsidR="006764CC">
        <w:rPr>
          <w:rFonts w:cs="Arial"/>
          <w:b/>
          <w:sz w:val="22"/>
          <w:szCs w:val="22"/>
        </w:rPr>
        <w:t> </w:t>
      </w:r>
      <w:r w:rsidRPr="005D0F61">
        <w:rPr>
          <w:rFonts w:cs="Arial"/>
          <w:b/>
          <w:sz w:val="22"/>
          <w:szCs w:val="22"/>
        </w:rPr>
        <w:t>hodnocení výsledků a dopadů realizace projektu</w:t>
      </w:r>
      <w:r w:rsidR="00711F82">
        <w:rPr>
          <w:rFonts w:cs="Arial"/>
          <w:b/>
          <w:sz w:val="22"/>
          <w:szCs w:val="22"/>
        </w:rPr>
        <w:t>,</w:t>
      </w:r>
      <w:r w:rsidRPr="005D0F61">
        <w:rPr>
          <w:rFonts w:cs="Arial"/>
          <w:b/>
          <w:sz w:val="22"/>
          <w:szCs w:val="22"/>
        </w:rPr>
        <w:t xml:space="preserve"> nebyly stanoveny.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54472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 xml:space="preserve">Schválením </w:t>
      </w:r>
      <w:r>
        <w:rPr>
          <w:rFonts w:cs="Arial"/>
          <w:sz w:val="22"/>
          <w:szCs w:val="22"/>
        </w:rPr>
        <w:t>IZ</w:t>
      </w:r>
      <w:r w:rsidRPr="005F4D95">
        <w:rPr>
          <w:rFonts w:cs="Arial"/>
          <w:sz w:val="22"/>
          <w:szCs w:val="22"/>
        </w:rPr>
        <w:t xml:space="preserve"> ve znění změny č. 1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listopadu 2008, který tvořil přílohu projektové žádosti, souhlasilo</w:t>
      </w:r>
      <w:r w:rsidR="00711F82">
        <w:rPr>
          <w:rFonts w:cs="Arial"/>
          <w:sz w:val="22"/>
          <w:szCs w:val="22"/>
        </w:rPr>
        <w:t xml:space="preserve"> </w:t>
      </w:r>
      <w:r w:rsidR="00711F82" w:rsidRPr="005F4D95">
        <w:rPr>
          <w:rFonts w:cs="Arial"/>
          <w:sz w:val="22"/>
          <w:szCs w:val="22"/>
        </w:rPr>
        <w:t>MD</w:t>
      </w:r>
      <w:r w:rsidRPr="005F4D95">
        <w:rPr>
          <w:rFonts w:cs="Arial"/>
          <w:sz w:val="22"/>
          <w:szCs w:val="22"/>
        </w:rPr>
        <w:t xml:space="preserve"> s navýšením celkových investičních nákladů projektu z</w:t>
      </w:r>
      <w:r w:rsidR="004C5D1B">
        <w:rPr>
          <w:rFonts w:cs="Arial"/>
          <w:sz w:val="22"/>
          <w:szCs w:val="22"/>
        </w:rPr>
        <w:t xml:space="preserve"> </w:t>
      </w:r>
      <w:r w:rsidR="00711F82">
        <w:rPr>
          <w:rFonts w:cs="Arial"/>
          <w:sz w:val="22"/>
          <w:szCs w:val="22"/>
        </w:rPr>
        <w:t>původních 800 mil. </w:t>
      </w:r>
      <w:r w:rsidRPr="005F4D95">
        <w:rPr>
          <w:rFonts w:cs="Arial"/>
          <w:sz w:val="22"/>
          <w:szCs w:val="22"/>
        </w:rPr>
        <w:t>Kč na 1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228,6 mil. Kč </w:t>
      </w:r>
      <w:r w:rsidR="00B1646B">
        <w:rPr>
          <w:rFonts w:cs="Arial"/>
          <w:sz w:val="22"/>
          <w:szCs w:val="22"/>
        </w:rPr>
        <w:t>(</w:t>
      </w:r>
      <w:r w:rsidRPr="005F4D95">
        <w:rPr>
          <w:rFonts w:cs="Arial"/>
          <w:sz w:val="22"/>
          <w:szCs w:val="22"/>
        </w:rPr>
        <w:t>vč. DPH</w:t>
      </w:r>
      <w:r w:rsidR="00B1646B">
        <w:rPr>
          <w:rFonts w:cs="Arial"/>
          <w:sz w:val="22"/>
          <w:szCs w:val="22"/>
        </w:rPr>
        <w:t>)</w:t>
      </w:r>
      <w:r w:rsidRPr="005F4D95">
        <w:rPr>
          <w:rFonts w:cs="Arial"/>
          <w:sz w:val="22"/>
          <w:szCs w:val="22"/>
        </w:rPr>
        <w:t>. Důvodem změny bylo mj. dodatečné rozšíření projektu o</w:t>
      </w:r>
      <w:r w:rsidR="006764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rekonstrukci dvou nástupišť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železniční stanici Kolín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řadou stavebních objektů (dále také „SO“), jejichž přímá souvislost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navýšením podjezdné výšky železničního mostu není zřejmá.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rámci projektu tak např. byla provedena rekonstrukce zastřešení nástupišť včetně dodávky nového osvětlení a informačního systému, rekonstrukce budovy na 4.</w:t>
      </w:r>
      <w:r w:rsidR="00711F82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 xml:space="preserve">nástupišti </w:t>
      </w:r>
      <w:r w:rsidRPr="005F4D95">
        <w:rPr>
          <w:rFonts w:cs="Arial"/>
          <w:sz w:val="22"/>
          <w:szCs w:val="22"/>
        </w:rPr>
        <w:lastRenderedPageBreak/>
        <w:t>(stanoviště vnějšího výpravčího), dem</w:t>
      </w:r>
      <w:r w:rsidR="00711F82">
        <w:rPr>
          <w:rFonts w:cs="Arial"/>
          <w:sz w:val="22"/>
          <w:szCs w:val="22"/>
        </w:rPr>
        <w:t>olice budovy na 5. nástupišti a </w:t>
      </w:r>
      <w:r w:rsidRPr="005F4D95">
        <w:rPr>
          <w:rFonts w:cs="Arial"/>
          <w:sz w:val="22"/>
          <w:szCs w:val="22"/>
        </w:rPr>
        <w:t>rekonstrukce interiéru místností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další budově nacházející se vedle trati.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5E58B1" w:rsidRPr="005E58B1" w:rsidRDefault="00B5686B" w:rsidP="00544726">
      <w:pPr>
        <w:jc w:val="both"/>
        <w:rPr>
          <w:rFonts w:cs="Arial"/>
          <w:b/>
          <w:sz w:val="22"/>
          <w:szCs w:val="22"/>
        </w:rPr>
      </w:pPr>
      <w:r w:rsidRPr="005F4D95">
        <w:rPr>
          <w:rFonts w:cs="Arial"/>
          <w:sz w:val="22"/>
          <w:szCs w:val="22"/>
        </w:rPr>
        <w:t>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projektové žádosti ani </w:t>
      </w:r>
      <w:r w:rsidR="00EC0DD1">
        <w:rPr>
          <w:rFonts w:cs="Arial"/>
          <w:sz w:val="22"/>
          <w:szCs w:val="22"/>
        </w:rPr>
        <w:t>z </w:t>
      </w:r>
      <w:r w:rsidRPr="005F4D95">
        <w:rPr>
          <w:rFonts w:cs="Arial"/>
          <w:sz w:val="22"/>
          <w:szCs w:val="22"/>
        </w:rPr>
        <w:t>jiných dokladů předložených ke kontrole není zřejmé jednoznačné rozdělení výdajů na vodní a železniční infrastrukturu, zejména</w:t>
      </w:r>
      <w:r w:rsidR="00EC0DD1">
        <w:rPr>
          <w:rFonts w:cs="Arial"/>
          <w:sz w:val="22"/>
          <w:szCs w:val="22"/>
        </w:rPr>
        <w:t xml:space="preserve"> není zřejmé,</w:t>
      </w:r>
      <w:r w:rsidRPr="005F4D95">
        <w:rPr>
          <w:rFonts w:cs="Arial"/>
          <w:sz w:val="22"/>
          <w:szCs w:val="22"/>
        </w:rPr>
        <w:t xml:space="preserve"> jaký objem výdajů připadal na tzv. vyvolané investice vzešlé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požadavků správce železniční infrastruktury a dalších účastníků územního a stavebního řízení, ani jak </w:t>
      </w:r>
      <w:r w:rsidR="00F1402D">
        <w:rPr>
          <w:rFonts w:cs="Arial"/>
          <w:sz w:val="22"/>
          <w:szCs w:val="22"/>
        </w:rPr>
        <w:t xml:space="preserve">ŘVC a následně MD </w:t>
      </w:r>
      <w:r w:rsidRPr="005F4D95">
        <w:rPr>
          <w:rFonts w:cs="Arial"/>
          <w:sz w:val="22"/>
          <w:szCs w:val="22"/>
        </w:rPr>
        <w:t>posuzov</w:t>
      </w:r>
      <w:r w:rsidR="00F1402D">
        <w:rPr>
          <w:rFonts w:cs="Arial"/>
          <w:sz w:val="22"/>
          <w:szCs w:val="22"/>
        </w:rPr>
        <w:t>al</w:t>
      </w:r>
      <w:r w:rsidR="00EC0DD1">
        <w:rPr>
          <w:rFonts w:cs="Arial"/>
          <w:sz w:val="22"/>
          <w:szCs w:val="22"/>
        </w:rPr>
        <w:t>y</w:t>
      </w:r>
      <w:r w:rsidRPr="005F4D95">
        <w:rPr>
          <w:rFonts w:cs="Arial"/>
          <w:sz w:val="22"/>
          <w:szCs w:val="22"/>
        </w:rPr>
        <w:t xml:space="preserve"> jejich nezbytnost a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přiměřenost ve vztahu k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dosažení deklarovaných cílů projektu a nakolik bylo při jejich zařazení do projektu respektováno hledisko hospodárnosti. </w:t>
      </w:r>
      <w:r w:rsidR="005E58B1" w:rsidRPr="005E58B1">
        <w:rPr>
          <w:rFonts w:cs="Arial"/>
          <w:b/>
          <w:sz w:val="22"/>
          <w:szCs w:val="22"/>
        </w:rPr>
        <w:t>SFDI se v</w:t>
      </w:r>
      <w:r w:rsidR="008C6B91">
        <w:rPr>
          <w:rFonts w:cs="Arial"/>
          <w:b/>
          <w:sz w:val="22"/>
          <w:szCs w:val="22"/>
        </w:rPr>
        <w:t> </w:t>
      </w:r>
      <w:r w:rsidR="005E58B1" w:rsidRPr="005E58B1">
        <w:rPr>
          <w:rFonts w:cs="Arial"/>
          <w:b/>
          <w:sz w:val="22"/>
          <w:szCs w:val="22"/>
        </w:rPr>
        <w:t>případě výdajů, které byly označeny za nezpůsobilé k</w:t>
      </w:r>
      <w:r w:rsidR="004C5D1B">
        <w:rPr>
          <w:rFonts w:cs="Arial"/>
          <w:b/>
          <w:sz w:val="22"/>
          <w:szCs w:val="22"/>
        </w:rPr>
        <w:t xml:space="preserve"> </w:t>
      </w:r>
      <w:r w:rsidR="005E58B1" w:rsidRPr="005E58B1">
        <w:rPr>
          <w:rFonts w:cs="Arial"/>
          <w:b/>
          <w:sz w:val="22"/>
          <w:szCs w:val="22"/>
        </w:rPr>
        <w:t>financování z</w:t>
      </w:r>
      <w:r w:rsidR="004C5D1B">
        <w:rPr>
          <w:rFonts w:cs="Arial"/>
          <w:b/>
          <w:sz w:val="22"/>
          <w:szCs w:val="22"/>
        </w:rPr>
        <w:t xml:space="preserve"> </w:t>
      </w:r>
      <w:r w:rsidR="005E58B1" w:rsidRPr="005E58B1">
        <w:rPr>
          <w:rFonts w:cs="Arial"/>
          <w:b/>
          <w:sz w:val="22"/>
          <w:szCs w:val="22"/>
        </w:rPr>
        <w:t>OPD</w:t>
      </w:r>
      <w:r w:rsidR="005E58B1">
        <w:rPr>
          <w:rFonts w:cs="Arial"/>
          <w:b/>
          <w:sz w:val="22"/>
          <w:szCs w:val="22"/>
        </w:rPr>
        <w:t>,</w:t>
      </w:r>
      <w:r w:rsidR="005E58B1" w:rsidRPr="005E58B1">
        <w:rPr>
          <w:rFonts w:cs="Arial"/>
          <w:b/>
          <w:sz w:val="22"/>
          <w:szCs w:val="22"/>
        </w:rPr>
        <w:t xml:space="preserve"> nezabýval jejich uznatelností pro financování z</w:t>
      </w:r>
      <w:r w:rsidR="004C5D1B">
        <w:rPr>
          <w:rFonts w:cs="Arial"/>
          <w:b/>
          <w:sz w:val="22"/>
          <w:szCs w:val="22"/>
        </w:rPr>
        <w:t xml:space="preserve"> </w:t>
      </w:r>
      <w:r w:rsidR="005E58B1" w:rsidRPr="005E58B1">
        <w:rPr>
          <w:rFonts w:cs="Arial"/>
          <w:b/>
          <w:sz w:val="22"/>
          <w:szCs w:val="22"/>
        </w:rPr>
        <w:t>rozpočtu SFDI.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544726">
      <w:pPr>
        <w:jc w:val="both"/>
        <w:rPr>
          <w:rFonts w:cs="Arial"/>
          <w:b/>
          <w:sz w:val="22"/>
          <w:szCs w:val="22"/>
        </w:rPr>
      </w:pPr>
      <w:r w:rsidRPr="005F4D95">
        <w:rPr>
          <w:rFonts w:cs="Arial"/>
          <w:sz w:val="22"/>
          <w:szCs w:val="22"/>
        </w:rPr>
        <w:t>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provedeného místního šetření, </w:t>
      </w:r>
      <w:r w:rsidR="00EC0DD1">
        <w:rPr>
          <w:rFonts w:cs="Arial"/>
          <w:sz w:val="22"/>
          <w:szCs w:val="22"/>
        </w:rPr>
        <w:t>z </w:t>
      </w:r>
      <w:r w:rsidRPr="005F4D95">
        <w:rPr>
          <w:rFonts w:cs="Arial"/>
          <w:sz w:val="22"/>
          <w:szCs w:val="22"/>
        </w:rPr>
        <w:t xml:space="preserve">předložených dokladů </w:t>
      </w:r>
      <w:r w:rsidR="00EC0DD1">
        <w:rPr>
          <w:rFonts w:cs="Arial"/>
          <w:sz w:val="22"/>
          <w:szCs w:val="22"/>
        </w:rPr>
        <w:t>i z dalších</w:t>
      </w:r>
      <w:r w:rsidRPr="005F4D95">
        <w:rPr>
          <w:rFonts w:cs="Arial"/>
          <w:sz w:val="22"/>
          <w:szCs w:val="22"/>
        </w:rPr>
        <w:t xml:space="preserve"> informací vyplývá, že </w:t>
      </w:r>
      <w:r w:rsidRPr="005F4D95">
        <w:rPr>
          <w:rFonts w:cs="Arial"/>
          <w:b/>
          <w:sz w:val="22"/>
          <w:szCs w:val="22"/>
        </w:rPr>
        <w:t>rozsahem a</w:t>
      </w:r>
      <w:r w:rsidR="006764CC">
        <w:rPr>
          <w:rFonts w:cs="Arial"/>
          <w:b/>
          <w:sz w:val="22"/>
          <w:szCs w:val="22"/>
        </w:rPr>
        <w:t> </w:t>
      </w:r>
      <w:r w:rsidRPr="005F4D95">
        <w:rPr>
          <w:rFonts w:cs="Arial"/>
          <w:b/>
          <w:sz w:val="22"/>
          <w:szCs w:val="22"/>
        </w:rPr>
        <w:t>způsobem provedení tzv. vyvolaných investic na majetku třetích osob došlo k podstatnému zhodnocení cizího majetku bez náležitého majetkoprávního vypořádání.</w:t>
      </w:r>
      <w:r w:rsidRPr="005F4D95">
        <w:rPr>
          <w:rFonts w:cs="Arial"/>
          <w:sz w:val="22"/>
          <w:szCs w:val="22"/>
        </w:rPr>
        <w:t xml:space="preserve"> MD ani SFDI se přitom touto problematikou </w:t>
      </w:r>
      <w:r w:rsidR="00B83339">
        <w:rPr>
          <w:rFonts w:cs="Arial"/>
          <w:sz w:val="22"/>
          <w:szCs w:val="22"/>
        </w:rPr>
        <w:t xml:space="preserve">dostatečně </w:t>
      </w:r>
      <w:r w:rsidRPr="005F4D95">
        <w:rPr>
          <w:rFonts w:cs="Arial"/>
          <w:sz w:val="22"/>
          <w:szCs w:val="22"/>
        </w:rPr>
        <w:t>nezabýval</w:t>
      </w:r>
      <w:r w:rsidR="00F1402D">
        <w:rPr>
          <w:rFonts w:cs="Arial"/>
          <w:sz w:val="22"/>
          <w:szCs w:val="22"/>
        </w:rPr>
        <w:t>y</w:t>
      </w:r>
      <w:r w:rsidRPr="005F4D95">
        <w:rPr>
          <w:rFonts w:cs="Arial"/>
          <w:sz w:val="22"/>
          <w:szCs w:val="22"/>
        </w:rPr>
        <w:t xml:space="preserve">. ŘVC přistupovalo na požadavky účastníků územního a stavebního řízení, aniž by se </w:t>
      </w:r>
      <w:r>
        <w:rPr>
          <w:rFonts w:cs="Arial"/>
          <w:sz w:val="22"/>
          <w:szCs w:val="22"/>
        </w:rPr>
        <w:t xml:space="preserve">vždy </w:t>
      </w:r>
      <w:r w:rsidRPr="005F4D95">
        <w:rPr>
          <w:rFonts w:cs="Arial"/>
          <w:sz w:val="22"/>
          <w:szCs w:val="22"/>
        </w:rPr>
        <w:t>prokazatelně snažilo minimalizovat náklady na rozsah a způsob provedení vyvolaných investic.</w:t>
      </w:r>
      <w:r>
        <w:rPr>
          <w:rFonts w:cs="Arial"/>
          <w:sz w:val="22"/>
          <w:szCs w:val="22"/>
        </w:rPr>
        <w:t xml:space="preserve"> Případ, kdy ŘVC až následně odstoupilo od smluvního závazku proplacení </w:t>
      </w:r>
      <w:r w:rsidR="00F1402D">
        <w:rPr>
          <w:rFonts w:cs="Arial"/>
          <w:sz w:val="22"/>
          <w:szCs w:val="22"/>
        </w:rPr>
        <w:t>vyvolané investice v</w:t>
      </w:r>
      <w:r w:rsidR="004C5D1B">
        <w:rPr>
          <w:rFonts w:cs="Arial"/>
          <w:sz w:val="22"/>
          <w:szCs w:val="22"/>
        </w:rPr>
        <w:t xml:space="preserve"> </w:t>
      </w:r>
      <w:r w:rsidR="00F1402D">
        <w:rPr>
          <w:rFonts w:cs="Arial"/>
          <w:sz w:val="22"/>
          <w:szCs w:val="22"/>
        </w:rPr>
        <w:t>objemu 36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mil. Kč</w:t>
      </w:r>
      <w:r w:rsidRPr="007E39B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 majetku obchodní společnosti, je předmětem neukončeného soudního sporu. </w:t>
      </w:r>
      <w:r w:rsidRPr="005F4D95">
        <w:rPr>
          <w:rFonts w:cs="Arial"/>
          <w:b/>
          <w:sz w:val="22"/>
          <w:szCs w:val="22"/>
        </w:rPr>
        <w:t>ŘVC při přípravě a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realizaci projektu v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oblasti vyvolaných investic nepostupovalo v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souladu s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platným právním předpisem</w:t>
      </w:r>
      <w:r w:rsidRPr="005F4D95">
        <w:rPr>
          <w:rStyle w:val="Znakapoznpodarou"/>
          <w:rFonts w:cs="Arial"/>
          <w:b/>
          <w:sz w:val="22"/>
          <w:szCs w:val="22"/>
        </w:rPr>
        <w:footnoteReference w:id="30"/>
      </w:r>
      <w:r w:rsidRPr="005F4D95">
        <w:rPr>
          <w:rFonts w:cs="Arial"/>
          <w:b/>
          <w:sz w:val="22"/>
          <w:szCs w:val="22"/>
        </w:rPr>
        <w:t>, podle něhož je organizační složka státu povinna dbát, aby plnila určené úkoly nejhospodárnějším způsobem.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Pr="005F4D95" w:rsidRDefault="00B5686B" w:rsidP="00544726">
      <w:pPr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Formální i věcné nedostatky byly zjištěny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postupu ŘVC při provádění změn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průběhu stavební realizace projektu. </w:t>
      </w:r>
      <w:r w:rsidRPr="005F4D95">
        <w:rPr>
          <w:rFonts w:cs="Arial"/>
          <w:b/>
          <w:sz w:val="22"/>
          <w:szCs w:val="22"/>
        </w:rPr>
        <w:t>Předmět i rozsah prací byl</w:t>
      </w:r>
      <w:r w:rsidR="00EC0DD1">
        <w:rPr>
          <w:rFonts w:cs="Arial"/>
          <w:b/>
          <w:sz w:val="22"/>
          <w:szCs w:val="22"/>
        </w:rPr>
        <w:t>y</w:t>
      </w:r>
      <w:r w:rsidRPr="005F4D95">
        <w:rPr>
          <w:rFonts w:cs="Arial"/>
          <w:b/>
          <w:sz w:val="22"/>
          <w:szCs w:val="22"/>
        </w:rPr>
        <w:t xml:space="preserve"> měněn</w:t>
      </w:r>
      <w:r w:rsidR="00EC0DD1">
        <w:rPr>
          <w:rFonts w:cs="Arial"/>
          <w:b/>
          <w:sz w:val="22"/>
          <w:szCs w:val="22"/>
        </w:rPr>
        <w:t>y</w:t>
      </w:r>
      <w:r w:rsidRPr="005F4D95">
        <w:rPr>
          <w:rFonts w:cs="Arial"/>
          <w:b/>
          <w:sz w:val="22"/>
          <w:szCs w:val="22"/>
        </w:rPr>
        <w:t xml:space="preserve"> ve značném rozsahu. U</w:t>
      </w:r>
      <w:r w:rsidR="006764CC">
        <w:rPr>
          <w:rFonts w:cs="Arial"/>
          <w:b/>
          <w:sz w:val="22"/>
          <w:szCs w:val="22"/>
        </w:rPr>
        <w:t> </w:t>
      </w:r>
      <w:r w:rsidRPr="005F4D95">
        <w:rPr>
          <w:rFonts w:cs="Arial"/>
          <w:b/>
          <w:sz w:val="22"/>
          <w:szCs w:val="22"/>
        </w:rPr>
        <w:t xml:space="preserve">některých </w:t>
      </w:r>
      <w:r>
        <w:rPr>
          <w:rFonts w:cs="Arial"/>
          <w:b/>
          <w:sz w:val="22"/>
          <w:szCs w:val="22"/>
        </w:rPr>
        <w:t xml:space="preserve">SO </w:t>
      </w:r>
      <w:r w:rsidRPr="005F4D95">
        <w:rPr>
          <w:rFonts w:cs="Arial"/>
          <w:b/>
          <w:sz w:val="22"/>
          <w:szCs w:val="22"/>
        </w:rPr>
        <w:t>došlo k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téměř úplné změně předmětu díla</w:t>
      </w:r>
      <w:r w:rsidRPr="00EE22DD">
        <w:rPr>
          <w:rFonts w:cs="Arial"/>
          <w:b/>
          <w:sz w:val="22"/>
          <w:szCs w:val="22"/>
        </w:rPr>
        <w:t>.</w:t>
      </w:r>
      <w:r w:rsidRPr="005F4D95">
        <w:rPr>
          <w:rFonts w:cs="Arial"/>
          <w:sz w:val="22"/>
          <w:szCs w:val="22"/>
        </w:rPr>
        <w:t xml:space="preserve"> Velká část změn přitom nemá charakter dodatečných, resp. nových stavebních prací, jejichž potřeba by vznikla v důsledku objektivně nepředvída</w:t>
      </w:r>
      <w:r w:rsidR="00EE22DD">
        <w:rPr>
          <w:rFonts w:cs="Arial"/>
          <w:sz w:val="22"/>
          <w:szCs w:val="22"/>
        </w:rPr>
        <w:t>tel</w:t>
      </w:r>
      <w:r w:rsidRPr="005F4D95">
        <w:rPr>
          <w:rFonts w:cs="Arial"/>
          <w:sz w:val="22"/>
          <w:szCs w:val="22"/>
        </w:rPr>
        <w:t xml:space="preserve">ných okolností </w:t>
      </w:r>
      <w:r w:rsidR="00EC0DD1">
        <w:rPr>
          <w:rFonts w:cs="Arial"/>
          <w:sz w:val="22"/>
          <w:szCs w:val="22"/>
        </w:rPr>
        <w:t>nebo kterým by</w:t>
      </w:r>
      <w:r w:rsidRPr="005F4D95">
        <w:rPr>
          <w:rFonts w:cs="Arial"/>
          <w:sz w:val="22"/>
          <w:szCs w:val="22"/>
        </w:rPr>
        <w:t xml:space="preserve"> nebylo </w:t>
      </w:r>
      <w:r w:rsidR="00EC0DD1">
        <w:rPr>
          <w:rFonts w:cs="Arial"/>
          <w:sz w:val="22"/>
          <w:szCs w:val="22"/>
        </w:rPr>
        <w:t>možné</w:t>
      </w:r>
      <w:r w:rsidRPr="005F4D95">
        <w:rPr>
          <w:rFonts w:cs="Arial"/>
          <w:sz w:val="22"/>
          <w:szCs w:val="22"/>
        </w:rPr>
        <w:t xml:space="preserve"> předejít řádnou přípravou stavby. </w:t>
      </w:r>
      <w:r w:rsidRPr="005F4D95">
        <w:rPr>
          <w:rFonts w:cs="Arial"/>
          <w:b/>
          <w:sz w:val="22"/>
          <w:szCs w:val="22"/>
        </w:rPr>
        <w:t xml:space="preserve">Pro zadávání stavebních prací témuž dodavateli </w:t>
      </w:r>
      <w:r w:rsidR="00EC0DD1" w:rsidRPr="005F4D95">
        <w:rPr>
          <w:rFonts w:cs="Arial"/>
          <w:b/>
          <w:sz w:val="22"/>
          <w:szCs w:val="22"/>
        </w:rPr>
        <w:t xml:space="preserve">nebyly </w:t>
      </w:r>
      <w:r w:rsidRPr="005F4D95">
        <w:rPr>
          <w:rFonts w:cs="Arial"/>
          <w:b/>
          <w:sz w:val="22"/>
          <w:szCs w:val="22"/>
        </w:rPr>
        <w:t>v</w:t>
      </w:r>
      <w:r w:rsidR="00EC0DD1">
        <w:rPr>
          <w:rFonts w:cs="Arial"/>
          <w:b/>
          <w:sz w:val="22"/>
          <w:szCs w:val="22"/>
        </w:rPr>
        <w:t> </w:t>
      </w:r>
      <w:r w:rsidRPr="005F4D95">
        <w:rPr>
          <w:rFonts w:cs="Arial"/>
          <w:b/>
          <w:sz w:val="22"/>
          <w:szCs w:val="22"/>
        </w:rPr>
        <w:t>těchto případech naplněny podmínky stanovené zákonem o veřejných zakázkách</w:t>
      </w:r>
      <w:r w:rsidRPr="00EE22DD">
        <w:rPr>
          <w:rStyle w:val="Znakapoznpodarou"/>
          <w:rFonts w:cs="Arial"/>
          <w:b/>
          <w:sz w:val="22"/>
          <w:szCs w:val="22"/>
        </w:rPr>
        <w:footnoteReference w:id="31"/>
      </w:r>
      <w:r w:rsidRPr="00EE22DD">
        <w:rPr>
          <w:rFonts w:cs="Arial"/>
          <w:b/>
          <w:sz w:val="22"/>
          <w:szCs w:val="22"/>
        </w:rPr>
        <w:t>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Pr="00AB146A" w:rsidRDefault="00B5686B" w:rsidP="00544726">
      <w:pPr>
        <w:jc w:val="both"/>
        <w:rPr>
          <w:rFonts w:cs="Arial"/>
          <w:sz w:val="22"/>
          <w:szCs w:val="22"/>
        </w:rPr>
      </w:pPr>
      <w:r w:rsidRPr="00AB146A">
        <w:rPr>
          <w:rFonts w:cs="Arial"/>
          <w:sz w:val="22"/>
          <w:szCs w:val="22"/>
        </w:rPr>
        <w:t>Například:</w:t>
      </w:r>
    </w:p>
    <w:p w:rsidR="00B5686B" w:rsidRDefault="00B5686B" w:rsidP="00544726">
      <w:pPr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případě SO 4306</w:t>
      </w:r>
      <w:r w:rsidR="00EE22DD">
        <w:rPr>
          <w:rFonts w:cs="Arial"/>
          <w:sz w:val="22"/>
          <w:szCs w:val="22"/>
        </w:rPr>
        <w:t> –</w:t>
      </w:r>
      <w:r w:rsidRPr="005F4D95">
        <w:rPr>
          <w:rFonts w:cs="Arial"/>
          <w:sz w:val="22"/>
          <w:szCs w:val="22"/>
        </w:rPr>
        <w:t xml:space="preserve"> </w:t>
      </w:r>
      <w:r w:rsidRPr="000E1FD2">
        <w:rPr>
          <w:rFonts w:cs="Arial"/>
          <w:i/>
          <w:sz w:val="22"/>
          <w:szCs w:val="22"/>
        </w:rPr>
        <w:t>Rekonstrukce stanoviště vnějšího výpravčího</w:t>
      </w:r>
      <w:r w:rsidRPr="005F4D95">
        <w:rPr>
          <w:rFonts w:cs="Arial"/>
          <w:sz w:val="22"/>
          <w:szCs w:val="22"/>
        </w:rPr>
        <w:t xml:space="preserve"> se změny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týkaly 57</w:t>
      </w:r>
      <w:r w:rsidR="006764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z</w:t>
      </w:r>
      <w:r w:rsidR="006764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58 původních rozpočtových položek,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nichž 27 bylo zcela vypuštěno. </w:t>
      </w:r>
      <w:r w:rsidR="00EE22DD">
        <w:rPr>
          <w:rFonts w:cs="Arial"/>
          <w:sz w:val="22"/>
          <w:szCs w:val="22"/>
        </w:rPr>
        <w:t>D</w:t>
      </w:r>
      <w:r w:rsidR="00EE22DD" w:rsidRPr="005F4D95">
        <w:rPr>
          <w:rFonts w:cs="Arial"/>
          <w:sz w:val="22"/>
          <w:szCs w:val="22"/>
        </w:rPr>
        <w:t>o rozpočtu SO 4306</w:t>
      </w:r>
      <w:r w:rsidR="00EE22DD">
        <w:rPr>
          <w:rFonts w:cs="Arial"/>
          <w:sz w:val="22"/>
          <w:szCs w:val="22"/>
        </w:rPr>
        <w:t xml:space="preserve"> </w:t>
      </w:r>
      <w:r w:rsidR="00EE22DD" w:rsidRPr="005F4D95">
        <w:rPr>
          <w:rFonts w:cs="Arial"/>
          <w:sz w:val="22"/>
          <w:szCs w:val="22"/>
        </w:rPr>
        <w:t xml:space="preserve">bylo zařazeno </w:t>
      </w:r>
      <w:r w:rsidR="00EE22DD">
        <w:rPr>
          <w:rFonts w:cs="Arial"/>
          <w:sz w:val="22"/>
          <w:szCs w:val="22"/>
        </w:rPr>
        <w:t>d</w:t>
      </w:r>
      <w:r w:rsidRPr="005F4D95">
        <w:rPr>
          <w:rFonts w:cs="Arial"/>
          <w:sz w:val="22"/>
          <w:szCs w:val="22"/>
        </w:rPr>
        <w:t>alších 340</w:t>
      </w:r>
      <w:r w:rsidR="006764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nových položek, z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nichž 5 bylo ještě změněno. Původní rozpočet SO 4306 se </w:t>
      </w:r>
      <w:r w:rsidR="000F4E4E" w:rsidRPr="005F4D95">
        <w:rPr>
          <w:rFonts w:cs="Arial"/>
          <w:sz w:val="22"/>
          <w:szCs w:val="22"/>
        </w:rPr>
        <w:t>zvýšil ze 489</w:t>
      </w:r>
      <w:r w:rsidR="00EE22DD">
        <w:rPr>
          <w:rFonts w:cs="Arial"/>
          <w:sz w:val="22"/>
          <w:szCs w:val="22"/>
        </w:rPr>
        <w:t> </w:t>
      </w:r>
      <w:r w:rsidR="000F4E4E" w:rsidRPr="005F4D95">
        <w:rPr>
          <w:rFonts w:cs="Arial"/>
          <w:sz w:val="22"/>
          <w:szCs w:val="22"/>
        </w:rPr>
        <w:t>686</w:t>
      </w:r>
      <w:r w:rsidR="00EE22DD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Kč na 2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129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235,51 Kč</w:t>
      </w:r>
      <w:r w:rsidR="000F4E4E">
        <w:rPr>
          <w:rFonts w:cs="Arial"/>
          <w:sz w:val="22"/>
          <w:szCs w:val="22"/>
        </w:rPr>
        <w:t xml:space="preserve"> (bez DPH)</w:t>
      </w:r>
      <w:r w:rsidR="008C6B91">
        <w:rPr>
          <w:rFonts w:cs="Arial"/>
          <w:sz w:val="22"/>
          <w:szCs w:val="22"/>
        </w:rPr>
        <w:t>, tj. </w:t>
      </w:r>
      <w:r w:rsidRPr="005F4D95">
        <w:rPr>
          <w:rFonts w:cs="Arial"/>
          <w:sz w:val="22"/>
          <w:szCs w:val="22"/>
        </w:rPr>
        <w:t xml:space="preserve">téměř o 335 % oproti původnímu rozpočtu. Vykázány byly </w:t>
      </w:r>
      <w:proofErr w:type="spellStart"/>
      <w:r w:rsidRPr="005F4D95">
        <w:rPr>
          <w:rFonts w:cs="Arial"/>
          <w:sz w:val="22"/>
          <w:szCs w:val="22"/>
        </w:rPr>
        <w:t>méněpráce</w:t>
      </w:r>
      <w:proofErr w:type="spellEnd"/>
      <w:r w:rsidRPr="005F4D95">
        <w:rPr>
          <w:rFonts w:cs="Arial"/>
          <w:sz w:val="22"/>
          <w:szCs w:val="22"/>
        </w:rPr>
        <w:t xml:space="preserve">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celkovém objemu 418 325,83 Kč (85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% původního rozpočtu) a vícepráce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celkovém objemu 2 057 875,34</w:t>
      </w:r>
      <w:r w:rsidR="006764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Kč (420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% původního rozpočtu). </w:t>
      </w:r>
    </w:p>
    <w:p w:rsidR="00B5686B" w:rsidRDefault="00B5686B" w:rsidP="00544726">
      <w:pPr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rFonts w:cs="Arial"/>
          <w:sz w:val="22"/>
          <w:szCs w:val="22"/>
        </w:rPr>
      </w:pPr>
      <w:r w:rsidRPr="0072127D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Pr="0072127D">
        <w:rPr>
          <w:rFonts w:cs="Arial"/>
          <w:sz w:val="22"/>
          <w:szCs w:val="22"/>
        </w:rPr>
        <w:t>případě SO 4121</w:t>
      </w:r>
      <w:r w:rsidR="00EE22DD">
        <w:rPr>
          <w:rFonts w:cs="Arial"/>
          <w:sz w:val="22"/>
          <w:szCs w:val="22"/>
        </w:rPr>
        <w:t> –</w:t>
      </w:r>
      <w:r w:rsidRPr="0072127D">
        <w:rPr>
          <w:rFonts w:cs="Arial"/>
          <w:sz w:val="22"/>
          <w:szCs w:val="22"/>
        </w:rPr>
        <w:t xml:space="preserve"> </w:t>
      </w:r>
      <w:r w:rsidRPr="000E1FD2">
        <w:rPr>
          <w:rFonts w:cs="Arial"/>
          <w:i/>
          <w:sz w:val="22"/>
          <w:szCs w:val="22"/>
        </w:rPr>
        <w:t>Rekonstrukce nástupiště č. 4</w:t>
      </w:r>
      <w:r w:rsidRPr="0072127D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 xml:space="preserve">se změny </w:t>
      </w:r>
      <w:r>
        <w:rPr>
          <w:rFonts w:cs="Arial"/>
          <w:sz w:val="22"/>
          <w:szCs w:val="22"/>
        </w:rPr>
        <w:t xml:space="preserve">týkaly 102 ze </w:t>
      </w:r>
      <w:r w:rsidRPr="002608C0">
        <w:rPr>
          <w:rFonts w:cs="Arial"/>
          <w:sz w:val="22"/>
          <w:szCs w:val="22"/>
        </w:rPr>
        <w:t>121</w:t>
      </w:r>
      <w:r w:rsidR="003C7F30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rozpočtových</w:t>
      </w:r>
      <w:r w:rsidRPr="002608C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položek </w:t>
      </w:r>
      <w:r w:rsidRPr="002608C0">
        <w:rPr>
          <w:rFonts w:cs="Arial"/>
          <w:sz w:val="22"/>
          <w:szCs w:val="22"/>
        </w:rPr>
        <w:t>(jedna položka byla v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původním i upraveném rozpočtu nulová)</w:t>
      </w:r>
      <w:r>
        <w:rPr>
          <w:rFonts w:cs="Arial"/>
          <w:sz w:val="22"/>
          <w:szCs w:val="22"/>
        </w:rPr>
        <w:t xml:space="preserve">, </w:t>
      </w:r>
      <w:r w:rsidRPr="005F4D95">
        <w:rPr>
          <w:rFonts w:cs="Arial"/>
          <w:sz w:val="22"/>
          <w:szCs w:val="22"/>
        </w:rPr>
        <w:t>z nichž</w:t>
      </w:r>
      <w:r w:rsidRPr="002608C0">
        <w:rPr>
          <w:rFonts w:cs="Arial"/>
          <w:sz w:val="22"/>
          <w:szCs w:val="22"/>
        </w:rPr>
        <w:t xml:space="preserve"> 19 bylo z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 xml:space="preserve">rozpočtu </w:t>
      </w:r>
      <w:r>
        <w:rPr>
          <w:rFonts w:cs="Arial"/>
          <w:sz w:val="22"/>
          <w:szCs w:val="22"/>
        </w:rPr>
        <w:t xml:space="preserve">zcela </w:t>
      </w:r>
      <w:r w:rsidRPr="002608C0">
        <w:rPr>
          <w:rFonts w:cs="Arial"/>
          <w:sz w:val="22"/>
          <w:szCs w:val="22"/>
        </w:rPr>
        <w:t>vypuštěno</w:t>
      </w:r>
      <w:r>
        <w:rPr>
          <w:rFonts w:cs="Arial"/>
          <w:sz w:val="22"/>
          <w:szCs w:val="22"/>
        </w:rPr>
        <w:t xml:space="preserve">. </w:t>
      </w:r>
      <w:r w:rsidRPr="005F4D95">
        <w:rPr>
          <w:rFonts w:cs="Arial"/>
          <w:sz w:val="22"/>
          <w:szCs w:val="22"/>
        </w:rPr>
        <w:t xml:space="preserve">Dalších </w:t>
      </w:r>
      <w:r>
        <w:rPr>
          <w:rFonts w:cs="Arial"/>
          <w:sz w:val="22"/>
          <w:szCs w:val="22"/>
        </w:rPr>
        <w:t>37</w:t>
      </w:r>
      <w:r w:rsidRPr="005F4D95">
        <w:rPr>
          <w:rFonts w:cs="Arial"/>
          <w:sz w:val="22"/>
          <w:szCs w:val="22"/>
        </w:rPr>
        <w:t xml:space="preserve"> nových položek bylo do rozpočtu SO </w:t>
      </w:r>
      <w:r w:rsidRPr="0072127D">
        <w:rPr>
          <w:rFonts w:cs="Arial"/>
          <w:sz w:val="22"/>
          <w:szCs w:val="22"/>
        </w:rPr>
        <w:t xml:space="preserve">4121 </w:t>
      </w:r>
      <w:r w:rsidRPr="005F4D95">
        <w:rPr>
          <w:rFonts w:cs="Arial"/>
          <w:sz w:val="22"/>
          <w:szCs w:val="22"/>
        </w:rPr>
        <w:t>zařazeno</w:t>
      </w:r>
      <w:r>
        <w:rPr>
          <w:rFonts w:cs="Arial"/>
          <w:sz w:val="22"/>
          <w:szCs w:val="22"/>
        </w:rPr>
        <w:t xml:space="preserve">. </w:t>
      </w:r>
      <w:r w:rsidRPr="002608C0">
        <w:rPr>
          <w:rFonts w:cs="Arial"/>
          <w:sz w:val="22"/>
          <w:szCs w:val="22"/>
        </w:rPr>
        <w:t>Kromě toho byl do rozpočtu k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 xml:space="preserve">SO 4121 zařazen nový </w:t>
      </w:r>
      <w:r w:rsidR="008C6B91">
        <w:rPr>
          <w:rFonts w:cs="Arial"/>
          <w:sz w:val="22"/>
          <w:szCs w:val="22"/>
        </w:rPr>
        <w:br/>
      </w:r>
      <w:r w:rsidRPr="002608C0">
        <w:rPr>
          <w:rFonts w:cs="Arial"/>
          <w:sz w:val="22"/>
          <w:szCs w:val="22"/>
        </w:rPr>
        <w:t>SO 4121.1</w:t>
      </w:r>
      <w:r w:rsidR="00EE22DD">
        <w:rPr>
          <w:rFonts w:cs="Arial"/>
          <w:sz w:val="22"/>
          <w:szCs w:val="22"/>
        </w:rPr>
        <w:t> –</w:t>
      </w:r>
      <w:r w:rsidRPr="002608C0">
        <w:rPr>
          <w:rFonts w:cs="Arial"/>
          <w:sz w:val="22"/>
          <w:szCs w:val="22"/>
        </w:rPr>
        <w:t xml:space="preserve"> </w:t>
      </w:r>
      <w:r w:rsidRPr="000E1FD2">
        <w:rPr>
          <w:rFonts w:cs="Arial"/>
          <w:i/>
          <w:sz w:val="22"/>
          <w:szCs w:val="22"/>
        </w:rPr>
        <w:t>Nástupiště č. 4 – podchod pro cestující</w:t>
      </w:r>
      <w:r w:rsidRPr="002608C0">
        <w:rPr>
          <w:rFonts w:cs="Arial"/>
          <w:sz w:val="22"/>
          <w:szCs w:val="22"/>
        </w:rPr>
        <w:t xml:space="preserve"> obsahující 31 položek s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celkovou cenou 1 294 665,27 Kč, který v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původním rozpočtu vůbec nebyl.</w:t>
      </w:r>
      <w:r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Původní rozpočet SO</w:t>
      </w:r>
      <w:r>
        <w:rPr>
          <w:rFonts w:cs="Arial"/>
          <w:sz w:val="22"/>
          <w:szCs w:val="22"/>
        </w:rPr>
        <w:t xml:space="preserve"> </w:t>
      </w:r>
      <w:r w:rsidRPr="0072127D">
        <w:rPr>
          <w:rFonts w:cs="Arial"/>
          <w:sz w:val="22"/>
          <w:szCs w:val="22"/>
        </w:rPr>
        <w:t>4121</w:t>
      </w:r>
      <w:r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se zvýšil z</w:t>
      </w:r>
      <w:r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12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373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147 Kč</w:t>
      </w:r>
      <w:r>
        <w:rPr>
          <w:rFonts w:cs="Arial"/>
          <w:sz w:val="22"/>
          <w:szCs w:val="22"/>
        </w:rPr>
        <w:t xml:space="preserve"> na 1</w:t>
      </w:r>
      <w:r w:rsidRPr="002608C0">
        <w:rPr>
          <w:rFonts w:cs="Arial"/>
          <w:sz w:val="22"/>
          <w:szCs w:val="22"/>
        </w:rPr>
        <w:t>4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725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050,75 K</w:t>
      </w:r>
      <w:r>
        <w:rPr>
          <w:rFonts w:cs="Arial"/>
          <w:sz w:val="22"/>
          <w:szCs w:val="22"/>
        </w:rPr>
        <w:t>č</w:t>
      </w:r>
      <w:r w:rsidR="000F4E4E">
        <w:rPr>
          <w:rFonts w:cs="Arial"/>
          <w:sz w:val="22"/>
          <w:szCs w:val="22"/>
        </w:rPr>
        <w:t xml:space="preserve"> (bez DPH)</w:t>
      </w:r>
      <w:r>
        <w:rPr>
          <w:rFonts w:cs="Arial"/>
          <w:sz w:val="22"/>
          <w:szCs w:val="22"/>
        </w:rPr>
        <w:t>, tj. o 19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 xml:space="preserve">% </w:t>
      </w:r>
      <w:r w:rsidRPr="005F4D95">
        <w:rPr>
          <w:rFonts w:cs="Arial"/>
          <w:sz w:val="22"/>
          <w:szCs w:val="22"/>
        </w:rPr>
        <w:t>oproti původnímu rozpočtu.</w:t>
      </w:r>
      <w:r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Vykázány byly </w:t>
      </w:r>
      <w:proofErr w:type="spellStart"/>
      <w:r w:rsidRPr="005F4D95">
        <w:rPr>
          <w:rFonts w:cs="Arial"/>
          <w:sz w:val="22"/>
          <w:szCs w:val="22"/>
        </w:rPr>
        <w:t>méněpráce</w:t>
      </w:r>
      <w:proofErr w:type="spellEnd"/>
      <w:r w:rsidRPr="005F4D95">
        <w:rPr>
          <w:rFonts w:cs="Arial"/>
          <w:sz w:val="22"/>
          <w:szCs w:val="22"/>
        </w:rPr>
        <w:t xml:space="preserve"> 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celkovém objemu</w:t>
      </w:r>
      <w:r>
        <w:rPr>
          <w:rFonts w:cs="Arial"/>
          <w:sz w:val="22"/>
          <w:szCs w:val="22"/>
        </w:rPr>
        <w:t xml:space="preserve"> 1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555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350,30 Kč (13 </w:t>
      </w:r>
      <w:r w:rsidRPr="002608C0">
        <w:rPr>
          <w:rFonts w:cs="Arial"/>
          <w:sz w:val="22"/>
          <w:szCs w:val="22"/>
        </w:rPr>
        <w:t>%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>původního rozpočtu</w:t>
      </w:r>
      <w:r>
        <w:rPr>
          <w:rFonts w:cs="Arial"/>
          <w:sz w:val="22"/>
          <w:szCs w:val="22"/>
        </w:rPr>
        <w:t xml:space="preserve">) a </w:t>
      </w:r>
      <w:r w:rsidRPr="005F4D95">
        <w:rPr>
          <w:rFonts w:cs="Arial"/>
          <w:sz w:val="22"/>
          <w:szCs w:val="22"/>
        </w:rPr>
        <w:t>vícepráce</w:t>
      </w:r>
      <w:r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celkovém objemu</w:t>
      </w:r>
      <w:r>
        <w:rPr>
          <w:rFonts w:cs="Arial"/>
          <w:sz w:val="22"/>
          <w:szCs w:val="22"/>
        </w:rPr>
        <w:t xml:space="preserve"> 3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907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254,05 Kč (32</w:t>
      </w:r>
      <w:r w:rsidR="00863FFE">
        <w:rPr>
          <w:rFonts w:cs="Arial"/>
          <w:sz w:val="22"/>
          <w:szCs w:val="22"/>
        </w:rPr>
        <w:t> </w:t>
      </w:r>
      <w:r w:rsidRPr="002608C0">
        <w:rPr>
          <w:rFonts w:cs="Arial"/>
          <w:sz w:val="22"/>
          <w:szCs w:val="22"/>
        </w:rPr>
        <w:t>%</w:t>
      </w:r>
      <w:r w:rsidR="00863FFE">
        <w:rPr>
          <w:rFonts w:cs="Arial"/>
          <w:sz w:val="22"/>
          <w:szCs w:val="22"/>
        </w:rPr>
        <w:t> </w:t>
      </w:r>
      <w:r w:rsidRPr="002608C0">
        <w:rPr>
          <w:rFonts w:cs="Arial"/>
          <w:sz w:val="22"/>
          <w:szCs w:val="22"/>
        </w:rPr>
        <w:t>původního rozpočtu</w:t>
      </w:r>
      <w:r>
        <w:rPr>
          <w:rFonts w:cs="Arial"/>
          <w:sz w:val="22"/>
          <w:szCs w:val="22"/>
        </w:rPr>
        <w:t>).</w:t>
      </w:r>
    </w:p>
    <w:p w:rsidR="00B5686B" w:rsidRDefault="00B5686B" w:rsidP="00544726">
      <w:pPr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rFonts w:cs="Arial"/>
          <w:sz w:val="22"/>
          <w:szCs w:val="22"/>
        </w:rPr>
      </w:pPr>
      <w:r w:rsidRPr="005F4D95">
        <w:rPr>
          <w:rFonts w:cs="Arial"/>
          <w:sz w:val="22"/>
          <w:szCs w:val="22"/>
        </w:rPr>
        <w:lastRenderedPageBreak/>
        <w:t>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případě</w:t>
      </w:r>
      <w:r w:rsidR="00EC0DD1">
        <w:rPr>
          <w:rFonts w:cs="Arial"/>
          <w:sz w:val="22"/>
          <w:szCs w:val="22"/>
        </w:rPr>
        <w:t xml:space="preserve"> stavební akce</w:t>
      </w:r>
      <w:r w:rsidRPr="005F4D95">
        <w:rPr>
          <w:rFonts w:cs="Arial"/>
          <w:sz w:val="22"/>
          <w:szCs w:val="22"/>
        </w:rPr>
        <w:t xml:space="preserve"> SO 4307 </w:t>
      </w:r>
      <w:r w:rsidR="00A036D9">
        <w:rPr>
          <w:rFonts w:cs="Arial"/>
          <w:sz w:val="22"/>
          <w:szCs w:val="22"/>
        </w:rPr>
        <w:t xml:space="preserve">– </w:t>
      </w:r>
      <w:r w:rsidRPr="000E1FD2">
        <w:rPr>
          <w:rFonts w:cs="Arial"/>
          <w:i/>
          <w:sz w:val="22"/>
          <w:szCs w:val="22"/>
        </w:rPr>
        <w:t>Rekonstrukce útulku pro posunovače</w:t>
      </w:r>
      <w:r w:rsidRPr="005F4D95">
        <w:rPr>
          <w:rFonts w:cs="Arial"/>
          <w:sz w:val="22"/>
          <w:szCs w:val="22"/>
        </w:rPr>
        <w:t xml:space="preserve">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původní cenou 315 062 Kč bylo vypuštěno všech 59 položek původního rozpočtu a místo nich bylo zařazeno 10</w:t>
      </w:r>
      <w:r w:rsidR="006764CC">
        <w:rPr>
          <w:rFonts w:cs="Arial"/>
          <w:sz w:val="22"/>
          <w:szCs w:val="22"/>
        </w:rPr>
        <w:t> </w:t>
      </w:r>
      <w:r w:rsidRPr="005F4D95">
        <w:rPr>
          <w:rFonts w:cs="Arial"/>
          <w:sz w:val="22"/>
          <w:szCs w:val="22"/>
        </w:rPr>
        <w:t>nových položek s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celkovou cenou 161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877,29 Kč. </w:t>
      </w:r>
    </w:p>
    <w:p w:rsidR="00544726" w:rsidRDefault="00544726" w:rsidP="00544726">
      <w:pPr>
        <w:tabs>
          <w:tab w:val="left" w:pos="240"/>
        </w:tabs>
        <w:jc w:val="both"/>
        <w:rPr>
          <w:rFonts w:cs="Arial"/>
          <w:sz w:val="22"/>
          <w:szCs w:val="22"/>
        </w:rPr>
      </w:pPr>
    </w:p>
    <w:p w:rsidR="00B5686B" w:rsidRPr="0010795A" w:rsidRDefault="0010795A" w:rsidP="0010795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B. </w:t>
      </w:r>
      <w:r w:rsidR="00B5686B" w:rsidRPr="0010795A">
        <w:rPr>
          <w:rFonts w:cs="Arial"/>
          <w:b/>
          <w:sz w:val="22"/>
          <w:szCs w:val="22"/>
        </w:rPr>
        <w:t>Dokončení vltavské vodní cesty v</w:t>
      </w:r>
      <w:r w:rsidR="004C5D1B" w:rsidRPr="0010795A">
        <w:rPr>
          <w:rFonts w:cs="Arial"/>
          <w:b/>
          <w:sz w:val="22"/>
          <w:szCs w:val="22"/>
        </w:rPr>
        <w:t xml:space="preserve"> </w:t>
      </w:r>
      <w:r w:rsidR="00B5686B" w:rsidRPr="0010795A">
        <w:rPr>
          <w:rFonts w:cs="Arial"/>
          <w:b/>
          <w:sz w:val="22"/>
          <w:szCs w:val="22"/>
        </w:rPr>
        <w:t>úseku České Budějovice – Týn nad Vltavou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Pr="00DE0AE6" w:rsidRDefault="00B5686B" w:rsidP="00544726">
      <w:pPr>
        <w:jc w:val="both"/>
        <w:rPr>
          <w:rFonts w:cs="Arial"/>
          <w:sz w:val="22"/>
          <w:szCs w:val="22"/>
          <w:highlight w:val="yellow"/>
        </w:rPr>
      </w:pPr>
      <w:r w:rsidRPr="00B4203E">
        <w:rPr>
          <w:rFonts w:cs="Arial"/>
          <w:sz w:val="22"/>
          <w:szCs w:val="22"/>
        </w:rPr>
        <w:t xml:space="preserve">Splavnění </w:t>
      </w:r>
      <w:r>
        <w:rPr>
          <w:rFonts w:cs="Arial"/>
          <w:sz w:val="22"/>
          <w:szCs w:val="22"/>
        </w:rPr>
        <w:t xml:space="preserve">33km </w:t>
      </w:r>
      <w:r w:rsidRPr="00B4203E">
        <w:rPr>
          <w:rFonts w:cs="Arial"/>
          <w:sz w:val="22"/>
          <w:szCs w:val="22"/>
        </w:rPr>
        <w:t xml:space="preserve">úseku vltavské vodní cesty </w:t>
      </w:r>
      <w:r>
        <w:rPr>
          <w:rFonts w:cs="Arial"/>
          <w:sz w:val="22"/>
          <w:szCs w:val="22"/>
        </w:rPr>
        <w:t xml:space="preserve">pro rekreační plavbu </w:t>
      </w:r>
      <w:r w:rsidRPr="00B4203E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="00EE22DD">
        <w:rPr>
          <w:rFonts w:cs="Arial"/>
          <w:sz w:val="22"/>
          <w:szCs w:val="22"/>
        </w:rPr>
        <w:t>úseku České Budějovice </w:t>
      </w:r>
      <w:r w:rsidRPr="00B4203E">
        <w:rPr>
          <w:rFonts w:cs="Arial"/>
          <w:sz w:val="22"/>
          <w:szCs w:val="22"/>
        </w:rPr>
        <w:t>– Týn nad Vltavou</w:t>
      </w:r>
      <w:r>
        <w:rPr>
          <w:rFonts w:cs="Arial"/>
          <w:sz w:val="22"/>
          <w:szCs w:val="22"/>
        </w:rPr>
        <w:t xml:space="preserve"> bylo rozloženo do tří úseků, pro které bylo zpracováno jedno souhrnné hodnocení</w:t>
      </w:r>
      <w:r w:rsidRPr="00B4203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ekonomické efektivnosti. Kontrole NKÚ byl podroben </w:t>
      </w:r>
      <w:r w:rsidRPr="00B4203E">
        <w:rPr>
          <w:rFonts w:cs="Arial"/>
          <w:sz w:val="22"/>
          <w:szCs w:val="22"/>
        </w:rPr>
        <w:t xml:space="preserve">projekt </w:t>
      </w:r>
      <w:r w:rsidRPr="000E1FD2">
        <w:rPr>
          <w:rFonts w:cs="Arial"/>
          <w:i/>
          <w:sz w:val="22"/>
          <w:szCs w:val="22"/>
        </w:rPr>
        <w:t>Dokončení vltavské vodní cesty v</w:t>
      </w:r>
      <w:r w:rsidR="004C5D1B">
        <w:rPr>
          <w:rFonts w:cs="Arial"/>
          <w:i/>
          <w:sz w:val="22"/>
          <w:szCs w:val="22"/>
        </w:rPr>
        <w:t xml:space="preserve"> </w:t>
      </w:r>
      <w:r w:rsidRPr="000E1FD2">
        <w:rPr>
          <w:rFonts w:cs="Arial"/>
          <w:i/>
          <w:sz w:val="22"/>
          <w:szCs w:val="22"/>
        </w:rPr>
        <w:t xml:space="preserve">úseku České Budějovice </w:t>
      </w:r>
      <w:r w:rsidR="00EE22DD">
        <w:rPr>
          <w:rFonts w:cs="Arial"/>
          <w:i/>
          <w:sz w:val="22"/>
          <w:szCs w:val="22"/>
        </w:rPr>
        <w:t>–</w:t>
      </w:r>
      <w:r w:rsidRPr="000E1FD2">
        <w:rPr>
          <w:rFonts w:cs="Arial"/>
          <w:i/>
          <w:sz w:val="22"/>
          <w:szCs w:val="22"/>
        </w:rPr>
        <w:t xml:space="preserve"> Hluboká nad Vltavou</w:t>
      </w:r>
      <w:r>
        <w:rPr>
          <w:rFonts w:cs="Arial"/>
          <w:sz w:val="22"/>
          <w:szCs w:val="22"/>
        </w:rPr>
        <w:t xml:space="preserve"> a</w:t>
      </w:r>
      <w:r w:rsidR="00EE22DD">
        <w:rPr>
          <w:rFonts w:cs="Arial"/>
          <w:sz w:val="22"/>
          <w:szCs w:val="22"/>
        </w:rPr>
        <w:t> </w:t>
      </w:r>
      <w:r w:rsidRPr="008520C9">
        <w:rPr>
          <w:rFonts w:cs="Arial"/>
          <w:sz w:val="22"/>
          <w:szCs w:val="22"/>
        </w:rPr>
        <w:t>v</w:t>
      </w:r>
      <w:r w:rsidR="00EE22DD">
        <w:rPr>
          <w:rFonts w:cs="Arial"/>
          <w:sz w:val="22"/>
          <w:szCs w:val="22"/>
        </w:rPr>
        <w:t> </w:t>
      </w:r>
      <w:r w:rsidRPr="008520C9">
        <w:rPr>
          <w:rFonts w:cs="Arial"/>
          <w:sz w:val="22"/>
          <w:szCs w:val="22"/>
        </w:rPr>
        <w:t xml:space="preserve">omezeném rozsahu </w:t>
      </w:r>
      <w:r w:rsidR="008520C9" w:rsidRPr="008520C9">
        <w:rPr>
          <w:rFonts w:cs="Arial"/>
          <w:sz w:val="22"/>
          <w:szCs w:val="22"/>
        </w:rPr>
        <w:t>odpovídajícím</w:t>
      </w:r>
      <w:r w:rsidR="00496455">
        <w:rPr>
          <w:rFonts w:cs="Arial"/>
          <w:sz w:val="22"/>
          <w:szCs w:val="22"/>
        </w:rPr>
        <w:t>u</w:t>
      </w:r>
      <w:r w:rsidR="008520C9" w:rsidRPr="008520C9">
        <w:rPr>
          <w:rFonts w:cs="Arial"/>
          <w:sz w:val="22"/>
          <w:szCs w:val="22"/>
        </w:rPr>
        <w:t xml:space="preserve"> stupni realizace projektu </w:t>
      </w:r>
      <w:r w:rsidRPr="008520C9">
        <w:rPr>
          <w:rFonts w:cs="Arial"/>
          <w:sz w:val="22"/>
          <w:szCs w:val="22"/>
        </w:rPr>
        <w:t>i</w:t>
      </w:r>
      <w:r w:rsidR="004C5D1B">
        <w:rPr>
          <w:rFonts w:cs="Arial"/>
          <w:sz w:val="22"/>
          <w:szCs w:val="22"/>
        </w:rPr>
        <w:t xml:space="preserve"> </w:t>
      </w:r>
      <w:r w:rsidRPr="008520C9">
        <w:rPr>
          <w:rFonts w:cs="Arial"/>
          <w:sz w:val="22"/>
          <w:szCs w:val="22"/>
        </w:rPr>
        <w:t>projekt</w:t>
      </w:r>
      <w:r w:rsidRPr="00DE0AE6">
        <w:rPr>
          <w:rFonts w:cs="Arial"/>
          <w:sz w:val="22"/>
          <w:szCs w:val="22"/>
        </w:rPr>
        <w:t xml:space="preserve"> </w:t>
      </w:r>
      <w:r w:rsidRPr="000E1FD2">
        <w:rPr>
          <w:rFonts w:cs="Arial"/>
          <w:i/>
          <w:sz w:val="22"/>
          <w:szCs w:val="22"/>
        </w:rPr>
        <w:t>Dokončení vltavské vodní cesty v</w:t>
      </w:r>
      <w:r w:rsidR="00496455">
        <w:rPr>
          <w:rFonts w:cs="Arial"/>
          <w:i/>
          <w:sz w:val="22"/>
          <w:szCs w:val="22"/>
        </w:rPr>
        <w:t> </w:t>
      </w:r>
      <w:r w:rsidRPr="000E1FD2">
        <w:rPr>
          <w:rFonts w:cs="Arial"/>
          <w:i/>
          <w:sz w:val="22"/>
          <w:szCs w:val="22"/>
        </w:rPr>
        <w:t>úseku VD Hněvkovice – Týn nad Vltavou</w:t>
      </w:r>
      <w:r>
        <w:rPr>
          <w:rFonts w:cs="Arial"/>
          <w:sz w:val="22"/>
          <w:szCs w:val="22"/>
        </w:rPr>
        <w:t>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Default="00B5686B" w:rsidP="005447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</w:t>
      </w:r>
      <w:r w:rsidRPr="005F4D9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projektu </w:t>
      </w:r>
      <w:r w:rsidRPr="000E1FD2">
        <w:rPr>
          <w:rFonts w:cs="Arial"/>
          <w:i/>
          <w:sz w:val="22"/>
          <w:szCs w:val="22"/>
        </w:rPr>
        <w:t>Dokončení vltavské vodní cesty v</w:t>
      </w:r>
      <w:r w:rsidR="004C5D1B">
        <w:rPr>
          <w:rFonts w:cs="Arial"/>
          <w:i/>
          <w:sz w:val="22"/>
          <w:szCs w:val="22"/>
        </w:rPr>
        <w:t xml:space="preserve"> </w:t>
      </w:r>
      <w:r w:rsidRPr="000E1FD2">
        <w:rPr>
          <w:rFonts w:cs="Arial"/>
          <w:i/>
          <w:sz w:val="22"/>
          <w:szCs w:val="22"/>
        </w:rPr>
        <w:t xml:space="preserve">úseku České Budějovice </w:t>
      </w:r>
      <w:r w:rsidR="00AB146A" w:rsidRPr="000E1FD2">
        <w:rPr>
          <w:rFonts w:cs="Arial"/>
          <w:i/>
          <w:sz w:val="22"/>
          <w:szCs w:val="22"/>
        </w:rPr>
        <w:t>–</w:t>
      </w:r>
      <w:r w:rsidRPr="000E1FD2">
        <w:rPr>
          <w:rFonts w:cs="Arial"/>
          <w:i/>
          <w:sz w:val="22"/>
          <w:szCs w:val="22"/>
        </w:rPr>
        <w:t xml:space="preserve"> Hluboká nad Vltavou</w:t>
      </w:r>
      <w:r>
        <w:rPr>
          <w:rFonts w:cs="Arial"/>
          <w:sz w:val="22"/>
          <w:szCs w:val="22"/>
        </w:rPr>
        <w:t xml:space="preserve"> MD schválilo bez připomínek v srpnu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2007. </w:t>
      </w:r>
      <w:r w:rsidRPr="005D0F61">
        <w:rPr>
          <w:rFonts w:cs="Arial"/>
          <w:b/>
          <w:sz w:val="22"/>
          <w:szCs w:val="22"/>
        </w:rPr>
        <w:t>V</w:t>
      </w:r>
      <w:r w:rsidR="004C5D1B">
        <w:rPr>
          <w:rFonts w:cs="Arial"/>
          <w:b/>
          <w:sz w:val="22"/>
          <w:szCs w:val="22"/>
        </w:rPr>
        <w:t xml:space="preserve"> </w:t>
      </w:r>
      <w:r w:rsidRPr="005D0F61">
        <w:rPr>
          <w:rFonts w:cs="Arial"/>
          <w:b/>
          <w:sz w:val="22"/>
          <w:szCs w:val="22"/>
        </w:rPr>
        <w:t>prosinci 2008 MD schválilo aktualizaci IZ s</w:t>
      </w:r>
      <w:r w:rsidR="004C5D1B">
        <w:rPr>
          <w:rFonts w:cs="Arial"/>
          <w:b/>
          <w:sz w:val="22"/>
          <w:szCs w:val="22"/>
        </w:rPr>
        <w:t xml:space="preserve"> </w:t>
      </w:r>
      <w:r w:rsidRPr="005D0F61">
        <w:rPr>
          <w:rFonts w:cs="Arial"/>
          <w:b/>
          <w:sz w:val="22"/>
          <w:szCs w:val="22"/>
        </w:rPr>
        <w:t>více než trojnásobným navýšením celkových investičních nákladů</w:t>
      </w:r>
      <w:r w:rsidR="00EC0DD1">
        <w:rPr>
          <w:rFonts w:cs="Arial"/>
          <w:b/>
          <w:sz w:val="22"/>
          <w:szCs w:val="22"/>
        </w:rPr>
        <w:t>, které vzrostly</w:t>
      </w:r>
      <w:r w:rsidRPr="005D0F61">
        <w:rPr>
          <w:rFonts w:cs="Arial"/>
          <w:b/>
          <w:sz w:val="22"/>
          <w:szCs w:val="22"/>
        </w:rPr>
        <w:t xml:space="preserve"> na 879 559 tis. Kč</w:t>
      </w:r>
      <w:r w:rsidR="00B1646B">
        <w:rPr>
          <w:rFonts w:cs="Arial"/>
          <w:b/>
          <w:sz w:val="22"/>
          <w:szCs w:val="22"/>
        </w:rPr>
        <w:t xml:space="preserve"> (vč. DPH)</w:t>
      </w:r>
      <w:r w:rsidRPr="005D0F61">
        <w:rPr>
          <w:rFonts w:cs="Arial"/>
          <w:b/>
          <w:sz w:val="22"/>
          <w:szCs w:val="22"/>
        </w:rPr>
        <w:t>, aniž b</w:t>
      </w:r>
      <w:r w:rsidR="00EC0DD1">
        <w:rPr>
          <w:rFonts w:cs="Arial"/>
          <w:b/>
          <w:sz w:val="22"/>
          <w:szCs w:val="22"/>
        </w:rPr>
        <w:t>y se významněji změnil rozsah a </w:t>
      </w:r>
      <w:r w:rsidRPr="005D0F61">
        <w:rPr>
          <w:rFonts w:cs="Arial"/>
          <w:b/>
          <w:sz w:val="22"/>
          <w:szCs w:val="22"/>
        </w:rPr>
        <w:t xml:space="preserve">obsah projektu. </w:t>
      </w:r>
      <w:r>
        <w:rPr>
          <w:rFonts w:cs="Arial"/>
          <w:sz w:val="22"/>
          <w:szCs w:val="22"/>
        </w:rPr>
        <w:t>Spokojilo se přitom s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jen obecným zdůvodněním nárůstu nákladů uvedeným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aktualizaci IZ. </w:t>
      </w:r>
      <w:r w:rsidRPr="00BB4257">
        <w:rPr>
          <w:rFonts w:cs="Arial"/>
          <w:b/>
          <w:sz w:val="22"/>
          <w:szCs w:val="22"/>
        </w:rPr>
        <w:t>Pro své rozhodování si</w:t>
      </w:r>
      <w:r>
        <w:rPr>
          <w:rFonts w:cs="Arial"/>
          <w:b/>
          <w:sz w:val="22"/>
          <w:szCs w:val="22"/>
        </w:rPr>
        <w:t xml:space="preserve"> MD</w:t>
      </w:r>
      <w:r w:rsidRPr="00BB4257">
        <w:rPr>
          <w:rFonts w:cs="Arial"/>
          <w:b/>
          <w:sz w:val="22"/>
          <w:szCs w:val="22"/>
        </w:rPr>
        <w:t xml:space="preserve"> nevyžádalo žádné další doklady</w:t>
      </w:r>
      <w:r w:rsidR="00233BA9">
        <w:rPr>
          <w:rFonts w:cs="Arial"/>
          <w:b/>
          <w:sz w:val="22"/>
          <w:szCs w:val="22"/>
        </w:rPr>
        <w:t>,</w:t>
      </w:r>
      <w:r w:rsidRPr="00BB4257">
        <w:rPr>
          <w:rFonts w:cs="Arial"/>
          <w:b/>
          <w:sz w:val="22"/>
          <w:szCs w:val="22"/>
        </w:rPr>
        <w:t xml:space="preserve"> a nemělo tedy možnost zabývat se skutečnými příčinami navýšení ani možnost </w:t>
      </w:r>
      <w:r w:rsidR="00233BA9">
        <w:rPr>
          <w:rFonts w:cs="Arial"/>
          <w:b/>
          <w:sz w:val="22"/>
          <w:szCs w:val="22"/>
        </w:rPr>
        <w:t>ověřit</w:t>
      </w:r>
      <w:r w:rsidRPr="00BB4257">
        <w:rPr>
          <w:rFonts w:cs="Arial"/>
          <w:b/>
          <w:sz w:val="22"/>
          <w:szCs w:val="22"/>
        </w:rPr>
        <w:t xml:space="preserve"> správnost postupu ŘVC z</w:t>
      </w:r>
      <w:r w:rsidR="004C5D1B">
        <w:rPr>
          <w:rFonts w:cs="Arial"/>
          <w:b/>
          <w:sz w:val="22"/>
          <w:szCs w:val="22"/>
        </w:rPr>
        <w:t xml:space="preserve"> </w:t>
      </w:r>
      <w:r w:rsidRPr="00BB4257">
        <w:rPr>
          <w:rFonts w:cs="Arial"/>
          <w:b/>
          <w:sz w:val="22"/>
          <w:szCs w:val="22"/>
        </w:rPr>
        <w:t>hlediska účelnosti a hospodárnosti.</w:t>
      </w:r>
      <w:r>
        <w:rPr>
          <w:rFonts w:cs="Arial"/>
          <w:sz w:val="22"/>
          <w:szCs w:val="22"/>
        </w:rPr>
        <w:t xml:space="preserve"> ŘVC k</w:t>
      </w:r>
      <w:r w:rsidR="00EC0DD1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důvodům navýšení nákladů projektu uvedlo, že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době zpracování podkladů pro původní </w:t>
      </w:r>
      <w:r w:rsidR="00A7430D">
        <w:rPr>
          <w:rFonts w:cs="Arial"/>
          <w:sz w:val="22"/>
          <w:szCs w:val="22"/>
        </w:rPr>
        <w:t>IZ</w:t>
      </w:r>
      <w:r>
        <w:rPr>
          <w:rFonts w:cs="Arial"/>
          <w:sz w:val="22"/>
          <w:szCs w:val="22"/>
        </w:rPr>
        <w:t xml:space="preserve"> </w:t>
      </w:r>
      <w:r w:rsidRPr="00212539">
        <w:rPr>
          <w:rFonts w:cs="Arial"/>
          <w:sz w:val="22"/>
          <w:szCs w:val="22"/>
        </w:rPr>
        <w:t>„</w:t>
      </w:r>
      <w:r w:rsidRPr="0024563D">
        <w:rPr>
          <w:rFonts w:cs="Arial"/>
          <w:i/>
          <w:sz w:val="22"/>
          <w:szCs w:val="22"/>
        </w:rPr>
        <w:t>… nemělo od Ministerstva dopravy povoleno vynakládat další prostředky na provedení podrobných průzkumů nebo dokumentací …</w:t>
      </w:r>
      <w:r>
        <w:rPr>
          <w:rFonts w:cs="Arial"/>
          <w:sz w:val="22"/>
          <w:szCs w:val="22"/>
        </w:rPr>
        <w:t>“ a až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rámci projektové přípravy stavby zjistilo, že </w:t>
      </w:r>
      <w:r w:rsidRPr="00212539">
        <w:rPr>
          <w:rFonts w:cs="Arial"/>
          <w:sz w:val="22"/>
          <w:szCs w:val="22"/>
        </w:rPr>
        <w:t>„</w:t>
      </w:r>
      <w:r w:rsidRPr="0024563D">
        <w:rPr>
          <w:rFonts w:cs="Arial"/>
          <w:i/>
          <w:sz w:val="22"/>
          <w:szCs w:val="22"/>
        </w:rPr>
        <w:t>… původní stavební náklady byly zásadně podhodnoceny</w:t>
      </w:r>
      <w:r>
        <w:rPr>
          <w:rFonts w:cs="Arial"/>
          <w:sz w:val="22"/>
          <w:szCs w:val="22"/>
        </w:rPr>
        <w:t xml:space="preserve">.“. 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Default="00B5686B" w:rsidP="005447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Obdobná situace byla zjištěna i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případě projektu </w:t>
      </w:r>
      <w:r w:rsidRPr="000E1FD2">
        <w:rPr>
          <w:rFonts w:cs="Arial"/>
          <w:i/>
          <w:sz w:val="22"/>
          <w:szCs w:val="22"/>
        </w:rPr>
        <w:t>Dokončení vltavské vodní cesty v</w:t>
      </w:r>
      <w:r w:rsidR="004C5D1B">
        <w:rPr>
          <w:rFonts w:cs="Arial"/>
          <w:i/>
          <w:sz w:val="22"/>
          <w:szCs w:val="22"/>
        </w:rPr>
        <w:t xml:space="preserve"> </w:t>
      </w:r>
      <w:r w:rsidRPr="000E1FD2">
        <w:rPr>
          <w:rFonts w:cs="Arial"/>
          <w:i/>
          <w:sz w:val="22"/>
          <w:szCs w:val="22"/>
        </w:rPr>
        <w:t>úseku VD Hněvkovice – Týn nad Vltavou</w:t>
      </w:r>
      <w:r>
        <w:rPr>
          <w:rFonts w:cs="Arial"/>
          <w:sz w:val="22"/>
          <w:szCs w:val="22"/>
        </w:rPr>
        <w:t>, když MD v červenci</w:t>
      </w:r>
      <w:r w:rsidRPr="0057353C">
        <w:rPr>
          <w:rFonts w:cs="Arial"/>
          <w:sz w:val="22"/>
          <w:szCs w:val="22"/>
        </w:rPr>
        <w:t xml:space="preserve"> 200</w:t>
      </w:r>
      <w:r>
        <w:rPr>
          <w:rFonts w:cs="Arial"/>
          <w:sz w:val="22"/>
          <w:szCs w:val="22"/>
        </w:rPr>
        <w:t xml:space="preserve">9 </w:t>
      </w:r>
      <w:r w:rsidRPr="0057353C">
        <w:rPr>
          <w:rFonts w:cs="Arial"/>
          <w:sz w:val="22"/>
          <w:szCs w:val="22"/>
        </w:rPr>
        <w:t>schvál</w:t>
      </w:r>
      <w:r>
        <w:rPr>
          <w:rFonts w:cs="Arial"/>
          <w:sz w:val="22"/>
          <w:szCs w:val="22"/>
        </w:rPr>
        <w:t>ením aktualizovaného IZ</w:t>
      </w:r>
      <w:r w:rsidRPr="00D720EF">
        <w:rPr>
          <w:rFonts w:cs="Arial"/>
          <w:sz w:val="22"/>
          <w:szCs w:val="22"/>
        </w:rPr>
        <w:t xml:space="preserve"> </w:t>
      </w:r>
      <w:r w:rsidRPr="00C601E1">
        <w:rPr>
          <w:rFonts w:cs="Arial"/>
          <w:sz w:val="22"/>
          <w:szCs w:val="22"/>
        </w:rPr>
        <w:t>z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dubna</w:t>
      </w:r>
      <w:r w:rsidRPr="00C601E1">
        <w:rPr>
          <w:rFonts w:cs="Arial"/>
          <w:sz w:val="22"/>
          <w:szCs w:val="22"/>
        </w:rPr>
        <w:t xml:space="preserve"> 200</w:t>
      </w:r>
      <w:r>
        <w:rPr>
          <w:rFonts w:cs="Arial"/>
          <w:sz w:val="22"/>
          <w:szCs w:val="22"/>
        </w:rPr>
        <w:t>9 souhlasilo s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více než dvojnásobným </w:t>
      </w:r>
      <w:r w:rsidRPr="0057353C">
        <w:rPr>
          <w:rFonts w:cs="Arial"/>
          <w:sz w:val="22"/>
          <w:szCs w:val="22"/>
        </w:rPr>
        <w:t>navýšení</w:t>
      </w:r>
      <w:r>
        <w:rPr>
          <w:rFonts w:cs="Arial"/>
          <w:sz w:val="22"/>
          <w:szCs w:val="22"/>
        </w:rPr>
        <w:t>m</w:t>
      </w:r>
      <w:r w:rsidRPr="0057353C">
        <w:rPr>
          <w:rFonts w:cs="Arial"/>
          <w:sz w:val="22"/>
          <w:szCs w:val="22"/>
        </w:rPr>
        <w:t xml:space="preserve"> celkových investičních nákladů </w:t>
      </w:r>
      <w:r>
        <w:rPr>
          <w:rFonts w:cs="Arial"/>
          <w:sz w:val="22"/>
          <w:szCs w:val="22"/>
        </w:rPr>
        <w:t>na 734 413</w:t>
      </w:r>
      <w:r w:rsidRPr="0057353C">
        <w:rPr>
          <w:rFonts w:cs="Arial"/>
          <w:sz w:val="22"/>
          <w:szCs w:val="22"/>
        </w:rPr>
        <w:t xml:space="preserve"> tis. Kč</w:t>
      </w:r>
      <w:r w:rsidR="00E435BC">
        <w:rPr>
          <w:rFonts w:cs="Arial"/>
          <w:sz w:val="22"/>
          <w:szCs w:val="22"/>
        </w:rPr>
        <w:t xml:space="preserve"> (vč. DPH)</w:t>
      </w:r>
      <w:r>
        <w:rPr>
          <w:rFonts w:cs="Arial"/>
          <w:sz w:val="22"/>
          <w:szCs w:val="22"/>
        </w:rPr>
        <w:t xml:space="preserve"> z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původních 350 158 tis. Kč, které schválilo v srpnu 2007.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Pr="003A7235" w:rsidRDefault="00B5686B" w:rsidP="005447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Součástí projektové žádosti projektu </w:t>
      </w:r>
      <w:r w:rsidRPr="000E1FD2">
        <w:rPr>
          <w:rFonts w:cs="Arial"/>
          <w:i/>
          <w:sz w:val="22"/>
          <w:szCs w:val="22"/>
        </w:rPr>
        <w:t>Dokončení vltavské vodní cesty v</w:t>
      </w:r>
      <w:r w:rsidR="004C5D1B">
        <w:rPr>
          <w:rFonts w:cs="Arial"/>
          <w:i/>
          <w:sz w:val="22"/>
          <w:szCs w:val="22"/>
        </w:rPr>
        <w:t xml:space="preserve"> </w:t>
      </w:r>
      <w:r w:rsidRPr="000E1FD2">
        <w:rPr>
          <w:rFonts w:cs="Arial"/>
          <w:i/>
          <w:sz w:val="22"/>
          <w:szCs w:val="22"/>
        </w:rPr>
        <w:t xml:space="preserve">úseku České Budějovice </w:t>
      </w:r>
      <w:r w:rsidR="00233BA9">
        <w:rPr>
          <w:rFonts w:cs="Arial"/>
          <w:i/>
          <w:sz w:val="22"/>
          <w:szCs w:val="22"/>
        </w:rPr>
        <w:t>–</w:t>
      </w:r>
      <w:r w:rsidRPr="000E1FD2">
        <w:rPr>
          <w:rFonts w:cs="Arial"/>
          <w:i/>
          <w:sz w:val="22"/>
          <w:szCs w:val="22"/>
        </w:rPr>
        <w:t xml:space="preserve"> Hluboká nad Vltavou</w:t>
      </w:r>
      <w:r>
        <w:rPr>
          <w:rFonts w:cs="Arial"/>
          <w:sz w:val="22"/>
          <w:szCs w:val="22"/>
        </w:rPr>
        <w:t>, kterou MD schválilo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červenci 2009, bylo kromě aktualizovaného IZ projektu </w:t>
      </w:r>
      <w:r w:rsidR="00DD22F0">
        <w:rPr>
          <w:rFonts w:cs="Arial"/>
          <w:sz w:val="22"/>
          <w:szCs w:val="22"/>
        </w:rPr>
        <w:t xml:space="preserve">také </w:t>
      </w:r>
      <w:r w:rsidRPr="002608C0">
        <w:rPr>
          <w:rFonts w:cs="Arial"/>
          <w:sz w:val="22"/>
          <w:szCs w:val="22"/>
        </w:rPr>
        <w:t xml:space="preserve">ekonomické hodnocení </w:t>
      </w:r>
      <w:r>
        <w:rPr>
          <w:rFonts w:cs="Arial"/>
          <w:sz w:val="22"/>
          <w:szCs w:val="22"/>
        </w:rPr>
        <w:t xml:space="preserve">z </w:t>
      </w:r>
      <w:r w:rsidRPr="002608C0">
        <w:rPr>
          <w:rFonts w:cs="Arial"/>
          <w:sz w:val="22"/>
          <w:szCs w:val="22"/>
        </w:rPr>
        <w:t>říjn</w:t>
      </w:r>
      <w:r>
        <w:rPr>
          <w:rFonts w:cs="Arial"/>
          <w:sz w:val="22"/>
          <w:szCs w:val="22"/>
        </w:rPr>
        <w:t xml:space="preserve">a 2008, které bylo aktualizací </w:t>
      </w:r>
      <w:r w:rsidRPr="002608C0">
        <w:rPr>
          <w:rFonts w:cs="Arial"/>
          <w:sz w:val="22"/>
          <w:szCs w:val="22"/>
        </w:rPr>
        <w:t>původního ekonomické</w:t>
      </w:r>
      <w:r w:rsidR="00283745">
        <w:rPr>
          <w:rFonts w:cs="Arial"/>
          <w:sz w:val="22"/>
          <w:szCs w:val="22"/>
        </w:rPr>
        <w:t>ho</w:t>
      </w:r>
      <w:r w:rsidRPr="002608C0">
        <w:rPr>
          <w:rFonts w:cs="Arial"/>
          <w:sz w:val="22"/>
          <w:szCs w:val="22"/>
        </w:rPr>
        <w:t xml:space="preserve"> hodnocení z</w:t>
      </w:r>
      <w:r w:rsidR="004C5D1B">
        <w:rPr>
          <w:rFonts w:cs="Arial"/>
          <w:sz w:val="22"/>
          <w:szCs w:val="22"/>
        </w:rPr>
        <w:t xml:space="preserve"> </w:t>
      </w:r>
      <w:r w:rsidRPr="002608C0">
        <w:rPr>
          <w:rFonts w:cs="Arial"/>
          <w:sz w:val="22"/>
          <w:szCs w:val="22"/>
        </w:rPr>
        <w:t xml:space="preserve">prosince 2005, resp. </w:t>
      </w:r>
      <w:r w:rsidR="00DD22F0">
        <w:rPr>
          <w:rFonts w:cs="Arial"/>
          <w:sz w:val="22"/>
          <w:szCs w:val="22"/>
        </w:rPr>
        <w:t>z </w:t>
      </w:r>
      <w:r w:rsidRPr="002608C0">
        <w:rPr>
          <w:rFonts w:cs="Arial"/>
          <w:sz w:val="22"/>
          <w:szCs w:val="22"/>
        </w:rPr>
        <w:t>ledna 2006</w:t>
      </w:r>
      <w:r>
        <w:rPr>
          <w:rFonts w:cs="Arial"/>
          <w:sz w:val="22"/>
          <w:szCs w:val="22"/>
        </w:rPr>
        <w:t xml:space="preserve">. Výsledkem </w:t>
      </w:r>
      <w:r w:rsidR="00DD22F0">
        <w:rPr>
          <w:rFonts w:cs="Arial"/>
          <w:sz w:val="22"/>
          <w:szCs w:val="22"/>
        </w:rPr>
        <w:t xml:space="preserve">aktualizované </w:t>
      </w:r>
      <w:r>
        <w:rPr>
          <w:rFonts w:cs="Arial"/>
          <w:sz w:val="22"/>
          <w:szCs w:val="22"/>
        </w:rPr>
        <w:t>ekonomické analýzy jsou příznivější ukazatele dokládající vyšší efektivnost projektu i při jeho výrazně vyšších nákladech. Důvodem je o</w:t>
      </w:r>
      <w:r w:rsidR="00863FFE">
        <w:rPr>
          <w:rFonts w:cs="Arial"/>
          <w:sz w:val="22"/>
          <w:szCs w:val="22"/>
        </w:rPr>
        <w:t>ptimističtější odhad poptávky a </w:t>
      </w:r>
      <w:r>
        <w:rPr>
          <w:rFonts w:cs="Arial"/>
          <w:sz w:val="22"/>
          <w:szCs w:val="22"/>
        </w:rPr>
        <w:t xml:space="preserve">komplexnější pojetí socioekonomických přínosů projektu oproti původnímu ekonomickému hodnocení. </w:t>
      </w:r>
      <w:r w:rsidRPr="00BB4257">
        <w:rPr>
          <w:rFonts w:cs="Arial"/>
          <w:b/>
          <w:sz w:val="22"/>
          <w:szCs w:val="22"/>
        </w:rPr>
        <w:t>Správnost a</w:t>
      </w:r>
      <w:r w:rsidR="004C5D1B">
        <w:rPr>
          <w:rFonts w:cs="Arial"/>
          <w:b/>
          <w:sz w:val="22"/>
          <w:szCs w:val="22"/>
        </w:rPr>
        <w:t xml:space="preserve"> </w:t>
      </w:r>
      <w:r w:rsidR="00DD22F0">
        <w:rPr>
          <w:rFonts w:cs="Arial"/>
          <w:b/>
          <w:sz w:val="22"/>
          <w:szCs w:val="22"/>
        </w:rPr>
        <w:t>objektivnost údajů a </w:t>
      </w:r>
      <w:r w:rsidRPr="00BB4257">
        <w:rPr>
          <w:rFonts w:cs="Arial"/>
          <w:b/>
          <w:sz w:val="22"/>
          <w:szCs w:val="22"/>
        </w:rPr>
        <w:t>předpokladů použitých při propočtech ekonomické efektivnosti projektu nebylo možno z</w:t>
      </w:r>
      <w:r w:rsidR="004C5D1B">
        <w:rPr>
          <w:rFonts w:cs="Arial"/>
          <w:b/>
          <w:sz w:val="22"/>
          <w:szCs w:val="22"/>
        </w:rPr>
        <w:t xml:space="preserve"> </w:t>
      </w:r>
      <w:r w:rsidRPr="00BB4257">
        <w:rPr>
          <w:rFonts w:cs="Arial"/>
          <w:b/>
          <w:sz w:val="22"/>
          <w:szCs w:val="22"/>
        </w:rPr>
        <w:t xml:space="preserve">dokladů předložených </w:t>
      </w:r>
      <w:r w:rsidRPr="003A7235">
        <w:rPr>
          <w:rFonts w:cs="Arial"/>
          <w:b/>
          <w:sz w:val="22"/>
          <w:szCs w:val="22"/>
        </w:rPr>
        <w:t>ke kontrole ověřit</w:t>
      </w:r>
      <w:r w:rsidRPr="00233BA9">
        <w:rPr>
          <w:rFonts w:cs="Arial"/>
          <w:b/>
          <w:sz w:val="22"/>
          <w:szCs w:val="22"/>
        </w:rPr>
        <w:t>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Default="00B5686B" w:rsidP="00544726">
      <w:pPr>
        <w:jc w:val="both"/>
        <w:rPr>
          <w:rFonts w:cs="Arial"/>
          <w:sz w:val="22"/>
          <w:szCs w:val="22"/>
        </w:rPr>
      </w:pPr>
      <w:r w:rsidRPr="003A7235">
        <w:rPr>
          <w:rFonts w:cs="Arial"/>
          <w:sz w:val="22"/>
          <w:szCs w:val="22"/>
        </w:rPr>
        <w:t>V aktualizaci IZ z listopadu 2008 byly jako tzv. vyvolaná investice zapříčiněná požadavkem trvalého zvýšení provozní hladiny o 40 cm a jejího spolehlivého udržování v</w:t>
      </w:r>
      <w:r w:rsidR="004C5D1B">
        <w:rPr>
          <w:rFonts w:cs="Arial"/>
          <w:sz w:val="22"/>
          <w:szCs w:val="22"/>
        </w:rPr>
        <w:t xml:space="preserve"> </w:t>
      </w:r>
      <w:r w:rsidRPr="003A7235">
        <w:rPr>
          <w:rFonts w:cs="Arial"/>
          <w:sz w:val="22"/>
          <w:szCs w:val="22"/>
        </w:rPr>
        <w:t>úzkém rozmezí ± 5 cm</w:t>
      </w:r>
      <w:r w:rsidR="007B1F9D">
        <w:rPr>
          <w:rFonts w:cs="Arial"/>
          <w:sz w:val="22"/>
          <w:szCs w:val="22"/>
        </w:rPr>
        <w:t xml:space="preserve"> </w:t>
      </w:r>
      <w:r w:rsidRPr="003A7235">
        <w:rPr>
          <w:rFonts w:cs="Arial"/>
          <w:sz w:val="22"/>
          <w:szCs w:val="22"/>
        </w:rPr>
        <w:t>nově zahrnuty stavební úpravy a úpravy technologie malé vodní elektrárny (dále také „MVE“)</w:t>
      </w:r>
      <w:r w:rsidR="007B1F9D">
        <w:rPr>
          <w:rFonts w:cs="Arial"/>
          <w:sz w:val="22"/>
          <w:szCs w:val="22"/>
        </w:rPr>
        <w:t xml:space="preserve">. </w:t>
      </w:r>
      <w:r w:rsidR="00790285">
        <w:rPr>
          <w:rFonts w:cs="Arial"/>
          <w:sz w:val="22"/>
          <w:szCs w:val="22"/>
        </w:rPr>
        <w:t>Za</w:t>
      </w:r>
      <w:r w:rsidR="007B1F9D">
        <w:rPr>
          <w:rFonts w:cs="Arial"/>
          <w:sz w:val="22"/>
          <w:szCs w:val="22"/>
        </w:rPr>
        <w:t xml:space="preserve"> stavební pr</w:t>
      </w:r>
      <w:r w:rsidR="00790285">
        <w:rPr>
          <w:rFonts w:cs="Arial"/>
          <w:sz w:val="22"/>
          <w:szCs w:val="22"/>
        </w:rPr>
        <w:t>áce</w:t>
      </w:r>
      <w:r w:rsidR="007B1F9D">
        <w:rPr>
          <w:rFonts w:cs="Arial"/>
          <w:sz w:val="22"/>
          <w:szCs w:val="22"/>
        </w:rPr>
        <w:t xml:space="preserve"> a dod</w:t>
      </w:r>
      <w:r w:rsidR="00790285">
        <w:rPr>
          <w:rFonts w:cs="Arial"/>
          <w:sz w:val="22"/>
          <w:szCs w:val="22"/>
        </w:rPr>
        <w:t>ávky</w:t>
      </w:r>
      <w:r w:rsidR="007B1F9D">
        <w:rPr>
          <w:rFonts w:cs="Arial"/>
          <w:sz w:val="22"/>
          <w:szCs w:val="22"/>
        </w:rPr>
        <w:t xml:space="preserve"> týkající se této vyvolané investice </w:t>
      </w:r>
      <w:r w:rsidR="00DD22F0">
        <w:rPr>
          <w:rFonts w:cs="Arial"/>
          <w:sz w:val="22"/>
          <w:szCs w:val="22"/>
        </w:rPr>
        <w:t xml:space="preserve">zaplatilo </w:t>
      </w:r>
      <w:r w:rsidR="00790285">
        <w:rPr>
          <w:rFonts w:cs="Arial"/>
          <w:sz w:val="22"/>
          <w:szCs w:val="22"/>
        </w:rPr>
        <w:t xml:space="preserve">ŘVC </w:t>
      </w:r>
      <w:r w:rsidR="007B1F9D">
        <w:rPr>
          <w:rFonts w:cs="Arial"/>
          <w:sz w:val="22"/>
          <w:szCs w:val="22"/>
        </w:rPr>
        <w:t>dle uzavřených dvou smluv</w:t>
      </w:r>
      <w:r w:rsidR="00790285">
        <w:rPr>
          <w:rFonts w:cs="Arial"/>
          <w:sz w:val="22"/>
          <w:szCs w:val="22"/>
        </w:rPr>
        <w:t xml:space="preserve"> více než</w:t>
      </w:r>
      <w:r>
        <w:rPr>
          <w:rFonts w:cs="Arial"/>
          <w:sz w:val="22"/>
          <w:szCs w:val="22"/>
        </w:rPr>
        <w:t xml:space="preserve"> </w:t>
      </w:r>
      <w:r w:rsidR="007B1F9D" w:rsidRPr="007B1F9D">
        <w:rPr>
          <w:rFonts w:cs="Arial"/>
          <w:sz w:val="22"/>
          <w:szCs w:val="22"/>
        </w:rPr>
        <w:t>3</w:t>
      </w:r>
      <w:r w:rsidR="00B1646B">
        <w:rPr>
          <w:rFonts w:cs="Arial"/>
          <w:sz w:val="22"/>
          <w:szCs w:val="22"/>
        </w:rPr>
        <w:t>1</w:t>
      </w:r>
      <w:r w:rsidR="007B1F9D" w:rsidRPr="007B1F9D">
        <w:rPr>
          <w:rFonts w:cs="Arial"/>
          <w:sz w:val="22"/>
          <w:szCs w:val="22"/>
        </w:rPr>
        <w:t xml:space="preserve"> mil. Kč</w:t>
      </w:r>
      <w:r w:rsidR="00B1646B">
        <w:rPr>
          <w:rFonts w:cs="Arial"/>
          <w:sz w:val="22"/>
          <w:szCs w:val="22"/>
        </w:rPr>
        <w:t xml:space="preserve"> (bez DPH)</w:t>
      </w:r>
      <w:r w:rsidR="007B1F9D">
        <w:rPr>
          <w:rFonts w:cs="Arial"/>
          <w:sz w:val="22"/>
          <w:szCs w:val="22"/>
        </w:rPr>
        <w:t xml:space="preserve">. 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Default="00B5686B" w:rsidP="0054472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790285">
        <w:rPr>
          <w:rFonts w:ascii="Arial" w:hAnsi="Arial" w:cs="Arial"/>
          <w:b/>
          <w:sz w:val="22"/>
          <w:szCs w:val="22"/>
        </w:rPr>
        <w:t>Kontrol</w:t>
      </w:r>
      <w:r w:rsidR="00DD22F0">
        <w:rPr>
          <w:rFonts w:ascii="Arial" w:hAnsi="Arial" w:cs="Arial"/>
          <w:b/>
          <w:sz w:val="22"/>
          <w:szCs w:val="22"/>
        </w:rPr>
        <w:t>ní akcí</w:t>
      </w:r>
      <w:r w:rsidRPr="00790285">
        <w:rPr>
          <w:rFonts w:ascii="Arial" w:hAnsi="Arial" w:cs="Arial"/>
          <w:b/>
          <w:sz w:val="22"/>
          <w:szCs w:val="22"/>
        </w:rPr>
        <w:t xml:space="preserve"> NKÚ bylo zjištěno, že došlo k</w:t>
      </w:r>
      <w:r w:rsidR="004C5D1B">
        <w:rPr>
          <w:rFonts w:ascii="Arial" w:hAnsi="Arial" w:cs="Arial"/>
          <w:b/>
          <w:sz w:val="22"/>
          <w:szCs w:val="22"/>
        </w:rPr>
        <w:t xml:space="preserve"> </w:t>
      </w:r>
      <w:r w:rsidRPr="00790285">
        <w:rPr>
          <w:rFonts w:ascii="Arial" w:hAnsi="Arial" w:cs="Arial"/>
          <w:b/>
          <w:sz w:val="22"/>
          <w:szCs w:val="22"/>
        </w:rPr>
        <w:t xml:space="preserve">podstatnému zhodnocení cizího majetku bez </w:t>
      </w:r>
      <w:r w:rsidR="007B1F9D" w:rsidRPr="00790285">
        <w:rPr>
          <w:rFonts w:ascii="Arial" w:hAnsi="Arial" w:cs="Arial"/>
          <w:b/>
          <w:sz w:val="22"/>
          <w:szCs w:val="22"/>
        </w:rPr>
        <w:t xml:space="preserve">náležitého </w:t>
      </w:r>
      <w:r w:rsidRPr="00790285">
        <w:rPr>
          <w:rFonts w:ascii="Arial" w:hAnsi="Arial" w:cs="Arial"/>
          <w:b/>
          <w:sz w:val="22"/>
          <w:szCs w:val="22"/>
        </w:rPr>
        <w:t>majetkoprávního vypořádání.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="004C5D1B">
        <w:rPr>
          <w:rFonts w:ascii="Arial" w:hAnsi="Arial" w:cs="Arial"/>
          <w:bCs/>
          <w:sz w:val="22"/>
          <w:szCs w:val="22"/>
        </w:rPr>
        <w:t xml:space="preserve"> </w:t>
      </w:r>
      <w:r w:rsidR="00DD22F0">
        <w:rPr>
          <w:rFonts w:ascii="Arial" w:hAnsi="Arial" w:cs="Arial"/>
          <w:bCs/>
          <w:sz w:val="22"/>
          <w:szCs w:val="22"/>
        </w:rPr>
        <w:t>popisu původního stavu a </w:t>
      </w:r>
      <w:r>
        <w:rPr>
          <w:rFonts w:ascii="Arial" w:hAnsi="Arial" w:cs="Arial"/>
          <w:bCs/>
          <w:sz w:val="22"/>
          <w:szCs w:val="22"/>
        </w:rPr>
        <w:t>prov</w:t>
      </w:r>
      <w:r w:rsidR="00DD22F0">
        <w:rPr>
          <w:rFonts w:ascii="Arial" w:hAnsi="Arial" w:cs="Arial"/>
          <w:bCs/>
          <w:sz w:val="22"/>
          <w:szCs w:val="22"/>
        </w:rPr>
        <w:t>ede</w:t>
      </w:r>
      <w:r>
        <w:rPr>
          <w:rFonts w:ascii="Arial" w:hAnsi="Arial" w:cs="Arial"/>
          <w:bCs/>
          <w:sz w:val="22"/>
          <w:szCs w:val="22"/>
        </w:rPr>
        <w:t>ných úprav vyplývá, že vybavení MVE bylo ve značném rozsahu modernizováno, když technicky i</w:t>
      </w:r>
      <w:r w:rsidR="006764CC">
        <w:rPr>
          <w:rFonts w:ascii="Arial" w:hAnsi="Arial" w:cs="Arial"/>
          <w:bCs/>
          <w:sz w:val="22"/>
          <w:szCs w:val="22"/>
        </w:rPr>
        <w:t> m</w:t>
      </w:r>
      <w:r>
        <w:rPr>
          <w:rFonts w:ascii="Arial" w:hAnsi="Arial" w:cs="Arial"/>
          <w:bCs/>
          <w:sz w:val="22"/>
          <w:szCs w:val="22"/>
        </w:rPr>
        <w:t>orálně dožilá zařízení byla nahrazena novými zařízeními s</w:t>
      </w:r>
      <w:r w:rsidR="004C5D1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lepšími parametry (vyvedení výkonu, ochrany a další součásti řídicího systému MVE) nebo byl řešen stávající nevyhovující stav objektů MVE (sanace průsaků vody do strojovny MVE), aniž by bylo </w:t>
      </w:r>
      <w:r>
        <w:rPr>
          <w:rFonts w:ascii="Arial" w:hAnsi="Arial" w:cs="Arial"/>
          <w:bCs/>
          <w:sz w:val="22"/>
          <w:szCs w:val="22"/>
        </w:rPr>
        <w:lastRenderedPageBreak/>
        <w:t>možno z</w:t>
      </w:r>
      <w:r w:rsidR="004C5D1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předložených dokladů ověřit správnost a objektivnost zdůvodnění rozsahu a</w:t>
      </w:r>
      <w:r w:rsidR="006764CC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způsobu provedení prací a dodávek.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Default="00B5686B" w:rsidP="005447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expertního posouzení, které si nechalo zpracovat ŘVC při přípravě projektu</w:t>
      </w:r>
      <w:r w:rsidR="00B83339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vyplývá, že kromě výše uvedeného zhodnocení majetku mohl vlastník MVE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důsledku provedených úprav vodního díla získat majetkový prospěch spočívající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nárůstu výroby elektrické energie a tržeb z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jejího prodeje, který byl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uvedeném dokumentu vyčíslen na 7,6 mil.</w:t>
      </w:r>
      <w:r w:rsidRPr="00760CDC">
        <w:rPr>
          <w:rFonts w:cs="Arial"/>
          <w:sz w:val="22"/>
          <w:szCs w:val="22"/>
        </w:rPr>
        <w:t xml:space="preserve"> Kč za rok</w:t>
      </w:r>
      <w:r>
        <w:rPr>
          <w:rFonts w:cs="Arial"/>
          <w:sz w:val="22"/>
          <w:szCs w:val="22"/>
        </w:rPr>
        <w:t xml:space="preserve">. Z dokladů, které ŘVC předložilo ke kontrole, není zřejmé, že by byl tento majetkový prospěch </w:t>
      </w:r>
      <w:r w:rsidR="00C40399">
        <w:rPr>
          <w:rFonts w:cs="Arial"/>
          <w:sz w:val="22"/>
          <w:szCs w:val="22"/>
        </w:rPr>
        <w:t>vlastníka</w:t>
      </w:r>
      <w:r>
        <w:rPr>
          <w:rFonts w:cs="Arial"/>
          <w:sz w:val="22"/>
          <w:szCs w:val="22"/>
        </w:rPr>
        <w:t xml:space="preserve"> MVE zohledněn při stanovení rozsahu a způsobu financování tzv. vyvolaných investic. </w:t>
      </w:r>
      <w:r w:rsidRPr="005F4D95">
        <w:rPr>
          <w:rFonts w:cs="Arial"/>
          <w:b/>
          <w:sz w:val="22"/>
          <w:szCs w:val="22"/>
        </w:rPr>
        <w:t xml:space="preserve">ŘVC </w:t>
      </w:r>
      <w:r>
        <w:rPr>
          <w:rFonts w:cs="Arial"/>
          <w:b/>
          <w:sz w:val="22"/>
          <w:szCs w:val="22"/>
        </w:rPr>
        <w:t xml:space="preserve">tedy </w:t>
      </w:r>
      <w:r w:rsidRPr="005F4D95">
        <w:rPr>
          <w:rFonts w:cs="Arial"/>
          <w:b/>
          <w:sz w:val="22"/>
          <w:szCs w:val="22"/>
        </w:rPr>
        <w:t>při přípravě a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realizaci projektu v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oblasti vyvolaných investic nepostupovalo v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souladu s</w:t>
      </w:r>
      <w:r w:rsidR="004C5D1B">
        <w:rPr>
          <w:rFonts w:cs="Arial"/>
          <w:b/>
          <w:sz w:val="22"/>
          <w:szCs w:val="22"/>
        </w:rPr>
        <w:t xml:space="preserve"> </w:t>
      </w:r>
      <w:r w:rsidRPr="005F4D95">
        <w:rPr>
          <w:rFonts w:cs="Arial"/>
          <w:b/>
          <w:sz w:val="22"/>
          <w:szCs w:val="22"/>
        </w:rPr>
        <w:t>platným právním předpisem</w:t>
      </w:r>
      <w:r w:rsidR="00831B70" w:rsidRPr="00233BA9">
        <w:rPr>
          <w:rFonts w:cs="Arial"/>
          <w:b/>
          <w:sz w:val="22"/>
          <w:szCs w:val="22"/>
          <w:vertAlign w:val="superscript"/>
        </w:rPr>
        <w:t>30</w:t>
      </w:r>
      <w:r>
        <w:rPr>
          <w:rFonts w:cs="Arial"/>
          <w:b/>
          <w:sz w:val="22"/>
          <w:szCs w:val="22"/>
        </w:rPr>
        <w:t>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12537C" w:rsidRDefault="00E435BC" w:rsidP="005447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 xml:space="preserve">průběhu stavební realizace </w:t>
      </w:r>
      <w:r w:rsidR="00B51814">
        <w:rPr>
          <w:rFonts w:cs="Arial"/>
          <w:sz w:val="22"/>
          <w:szCs w:val="22"/>
        </w:rPr>
        <w:t>pěti staveb v</w:t>
      </w:r>
      <w:r w:rsidR="004C5D1B">
        <w:rPr>
          <w:rFonts w:cs="Arial"/>
          <w:sz w:val="22"/>
          <w:szCs w:val="22"/>
        </w:rPr>
        <w:t xml:space="preserve"> </w:t>
      </w:r>
      <w:r w:rsidR="00B51814">
        <w:rPr>
          <w:rFonts w:cs="Arial"/>
          <w:sz w:val="22"/>
          <w:szCs w:val="22"/>
        </w:rPr>
        <w:t xml:space="preserve">rámci celého </w:t>
      </w:r>
      <w:r w:rsidRPr="005F4D95">
        <w:rPr>
          <w:rFonts w:cs="Arial"/>
          <w:sz w:val="22"/>
          <w:szCs w:val="22"/>
        </w:rPr>
        <w:t>projektu</w:t>
      </w:r>
      <w:r>
        <w:rPr>
          <w:rFonts w:cs="Arial"/>
          <w:sz w:val="22"/>
          <w:szCs w:val="22"/>
        </w:rPr>
        <w:t xml:space="preserve"> došlo k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navýšení smluvních cen za práce a dodávky o 12</w:t>
      </w:r>
      <w:r w:rsidR="00B51814">
        <w:rPr>
          <w:rFonts w:cs="Arial"/>
          <w:sz w:val="22"/>
          <w:szCs w:val="22"/>
        </w:rPr>
        <w:t>,3</w:t>
      </w:r>
      <w:r>
        <w:rPr>
          <w:rFonts w:cs="Arial"/>
          <w:sz w:val="22"/>
          <w:szCs w:val="22"/>
        </w:rPr>
        <w:t xml:space="preserve"> %, když </w:t>
      </w:r>
      <w:r w:rsidR="00B51814">
        <w:rPr>
          <w:rFonts w:cs="Arial"/>
          <w:sz w:val="22"/>
          <w:szCs w:val="22"/>
        </w:rPr>
        <w:t xml:space="preserve">celkový objem víceprací dosáhl výše 69,9 mil. Kč bez DPH a celkový objem </w:t>
      </w:r>
      <w:proofErr w:type="spellStart"/>
      <w:r w:rsidR="00B51814">
        <w:rPr>
          <w:rFonts w:cs="Arial"/>
          <w:sz w:val="22"/>
          <w:szCs w:val="22"/>
        </w:rPr>
        <w:t>méněprací</w:t>
      </w:r>
      <w:proofErr w:type="spellEnd"/>
      <w:r w:rsidR="00B51814">
        <w:rPr>
          <w:rFonts w:cs="Arial"/>
          <w:sz w:val="22"/>
          <w:szCs w:val="22"/>
        </w:rPr>
        <w:t xml:space="preserve"> 1,6 mil. Kč bez DPH. Řadě </w:t>
      </w:r>
      <w:r w:rsidRPr="005F4D95">
        <w:rPr>
          <w:rFonts w:cs="Arial"/>
          <w:sz w:val="22"/>
          <w:szCs w:val="22"/>
        </w:rPr>
        <w:t xml:space="preserve">změn </w:t>
      </w:r>
      <w:r w:rsidR="00B51814"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="00B51814">
        <w:rPr>
          <w:rFonts w:cs="Arial"/>
          <w:sz w:val="22"/>
          <w:szCs w:val="22"/>
        </w:rPr>
        <w:t xml:space="preserve">průběhu výstavby přitom </w:t>
      </w:r>
      <w:r w:rsidRPr="005F4D95">
        <w:rPr>
          <w:rFonts w:cs="Arial"/>
          <w:sz w:val="22"/>
          <w:szCs w:val="22"/>
        </w:rPr>
        <w:t>bylo možno předejít řádnou přípravou stavby.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352904" w:rsidRDefault="009C00AA" w:rsidP="005447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NKÚ zjistil nedostatky </w:t>
      </w:r>
      <w:r w:rsidR="00352904" w:rsidRPr="00352904">
        <w:rPr>
          <w:rFonts w:cs="Arial"/>
          <w:sz w:val="22"/>
          <w:szCs w:val="22"/>
        </w:rPr>
        <w:t xml:space="preserve">ve </w:t>
      </w:r>
      <w:r w:rsidR="00352904">
        <w:rPr>
          <w:rFonts w:cs="Arial"/>
          <w:sz w:val="22"/>
          <w:szCs w:val="22"/>
        </w:rPr>
        <w:t xml:space="preserve">výkazech práce koordinátora </w:t>
      </w:r>
      <w:r w:rsidR="00DD22F0">
        <w:rPr>
          <w:rFonts w:cs="Arial"/>
          <w:sz w:val="22"/>
          <w:szCs w:val="22"/>
        </w:rPr>
        <w:t>b</w:t>
      </w:r>
      <w:r w:rsidR="00DD22F0" w:rsidRPr="00DD22F0">
        <w:rPr>
          <w:rFonts w:cs="Arial"/>
          <w:sz w:val="22"/>
          <w:szCs w:val="22"/>
        </w:rPr>
        <w:t>ezpečnost</w:t>
      </w:r>
      <w:r w:rsidR="00DD22F0">
        <w:rPr>
          <w:rFonts w:cs="Arial"/>
          <w:sz w:val="22"/>
          <w:szCs w:val="22"/>
        </w:rPr>
        <w:t>i</w:t>
      </w:r>
      <w:r w:rsidR="00DD22F0" w:rsidRPr="00DD22F0">
        <w:rPr>
          <w:rFonts w:cs="Arial"/>
          <w:sz w:val="22"/>
          <w:szCs w:val="22"/>
        </w:rPr>
        <w:t xml:space="preserve"> a ochran</w:t>
      </w:r>
      <w:r w:rsidR="00DD22F0">
        <w:rPr>
          <w:rFonts w:cs="Arial"/>
          <w:sz w:val="22"/>
          <w:szCs w:val="22"/>
        </w:rPr>
        <w:t>y</w:t>
      </w:r>
      <w:r w:rsidR="00DD22F0" w:rsidRPr="00DD22F0">
        <w:rPr>
          <w:rFonts w:cs="Arial"/>
          <w:sz w:val="22"/>
          <w:szCs w:val="22"/>
        </w:rPr>
        <w:t xml:space="preserve"> zdraví při práci </w:t>
      </w:r>
      <w:r w:rsidR="00DD22F0">
        <w:rPr>
          <w:rFonts w:cs="Arial"/>
          <w:sz w:val="22"/>
          <w:szCs w:val="22"/>
        </w:rPr>
        <w:t>(</w:t>
      </w:r>
      <w:r w:rsidR="00352904">
        <w:rPr>
          <w:rFonts w:cs="Arial"/>
          <w:sz w:val="22"/>
          <w:szCs w:val="22"/>
        </w:rPr>
        <w:t>BOZP</w:t>
      </w:r>
      <w:r w:rsidR="00DD22F0">
        <w:rPr>
          <w:rFonts w:cs="Arial"/>
          <w:sz w:val="22"/>
          <w:szCs w:val="22"/>
        </w:rPr>
        <w:t>)</w:t>
      </w:r>
      <w:r w:rsidR="00352904">
        <w:rPr>
          <w:rFonts w:cs="Arial"/>
          <w:sz w:val="22"/>
          <w:szCs w:val="22"/>
        </w:rPr>
        <w:t>, když z</w:t>
      </w:r>
      <w:r w:rsidR="004C5D1B">
        <w:rPr>
          <w:rFonts w:cs="Arial"/>
          <w:sz w:val="22"/>
          <w:szCs w:val="22"/>
        </w:rPr>
        <w:t xml:space="preserve"> </w:t>
      </w:r>
      <w:r w:rsidR="00352904">
        <w:rPr>
          <w:rFonts w:cs="Arial"/>
          <w:sz w:val="22"/>
          <w:szCs w:val="22"/>
        </w:rPr>
        <w:t>faktur</w:t>
      </w:r>
      <w:r w:rsidR="00F163B8">
        <w:rPr>
          <w:rFonts w:cs="Arial"/>
          <w:sz w:val="22"/>
          <w:szCs w:val="22"/>
        </w:rPr>
        <w:t xml:space="preserve"> za období od října 2008 do března 2011</w:t>
      </w:r>
      <w:r w:rsidR="00352904">
        <w:rPr>
          <w:rFonts w:cs="Arial"/>
          <w:sz w:val="22"/>
          <w:szCs w:val="22"/>
        </w:rPr>
        <w:t xml:space="preserve">, </w:t>
      </w:r>
      <w:r w:rsidR="00DD22F0">
        <w:rPr>
          <w:rFonts w:cs="Arial"/>
          <w:sz w:val="22"/>
          <w:szCs w:val="22"/>
        </w:rPr>
        <w:t>z </w:t>
      </w:r>
      <w:r w:rsidR="00352904">
        <w:rPr>
          <w:rFonts w:cs="Arial"/>
          <w:sz w:val="22"/>
          <w:szCs w:val="22"/>
        </w:rPr>
        <w:t xml:space="preserve">jejich příloh ani </w:t>
      </w:r>
      <w:r w:rsidR="00DD22F0">
        <w:rPr>
          <w:rFonts w:cs="Arial"/>
          <w:sz w:val="22"/>
          <w:szCs w:val="22"/>
        </w:rPr>
        <w:t>z </w:t>
      </w:r>
      <w:r w:rsidR="00352904">
        <w:rPr>
          <w:rFonts w:cs="Arial"/>
          <w:sz w:val="22"/>
          <w:szCs w:val="22"/>
        </w:rPr>
        <w:t>jiných dokladů nebylo</w:t>
      </w:r>
      <w:r w:rsidR="00352904" w:rsidRPr="00352904">
        <w:rPr>
          <w:rFonts w:cs="Arial"/>
          <w:sz w:val="22"/>
          <w:szCs w:val="22"/>
        </w:rPr>
        <w:t xml:space="preserve"> </w:t>
      </w:r>
      <w:r w:rsidR="00352904" w:rsidRPr="00E079E4">
        <w:rPr>
          <w:rFonts w:cs="Arial"/>
          <w:sz w:val="22"/>
          <w:szCs w:val="22"/>
        </w:rPr>
        <w:t>zřejmé, jaké konkrétní činnosti a v</w:t>
      </w:r>
      <w:r w:rsidR="004C5D1B">
        <w:rPr>
          <w:rFonts w:cs="Arial"/>
          <w:sz w:val="22"/>
          <w:szCs w:val="22"/>
        </w:rPr>
        <w:t xml:space="preserve"> </w:t>
      </w:r>
      <w:r w:rsidR="00352904" w:rsidRPr="00E079E4">
        <w:rPr>
          <w:rFonts w:cs="Arial"/>
          <w:sz w:val="22"/>
          <w:szCs w:val="22"/>
        </w:rPr>
        <w:t>jakém rozsahu byly prováděny a</w:t>
      </w:r>
      <w:r w:rsidR="004C5D1B">
        <w:rPr>
          <w:rFonts w:cs="Arial"/>
          <w:sz w:val="22"/>
          <w:szCs w:val="22"/>
        </w:rPr>
        <w:t xml:space="preserve"> </w:t>
      </w:r>
      <w:r w:rsidR="00352904" w:rsidRPr="00E079E4">
        <w:rPr>
          <w:rFonts w:cs="Arial"/>
          <w:sz w:val="22"/>
          <w:szCs w:val="22"/>
        </w:rPr>
        <w:t>jakým způsobem byl</w:t>
      </w:r>
      <w:r w:rsidR="00352904">
        <w:rPr>
          <w:rFonts w:cs="Arial"/>
          <w:sz w:val="22"/>
          <w:szCs w:val="22"/>
        </w:rPr>
        <w:t xml:space="preserve">y </w:t>
      </w:r>
      <w:r w:rsidR="00F9493B">
        <w:rPr>
          <w:rFonts w:cs="Arial"/>
          <w:sz w:val="22"/>
          <w:szCs w:val="22"/>
        </w:rPr>
        <w:t xml:space="preserve">u čtyř kontrolovaných staveb </w:t>
      </w:r>
      <w:r w:rsidR="00352904">
        <w:rPr>
          <w:rFonts w:cs="Arial"/>
          <w:sz w:val="22"/>
          <w:szCs w:val="22"/>
        </w:rPr>
        <w:t>stanoveny fakturované částky v</w:t>
      </w:r>
      <w:r w:rsidR="004C5D1B">
        <w:rPr>
          <w:rFonts w:cs="Arial"/>
          <w:sz w:val="22"/>
          <w:szCs w:val="22"/>
        </w:rPr>
        <w:t xml:space="preserve"> </w:t>
      </w:r>
      <w:r w:rsidR="00352904">
        <w:rPr>
          <w:rFonts w:cs="Arial"/>
          <w:sz w:val="22"/>
          <w:szCs w:val="22"/>
        </w:rPr>
        <w:t>celkovém objemu 3,4 mil. Kč</w:t>
      </w:r>
      <w:r w:rsidR="00B1646B">
        <w:rPr>
          <w:rFonts w:cs="Arial"/>
          <w:sz w:val="22"/>
          <w:szCs w:val="22"/>
        </w:rPr>
        <w:t xml:space="preserve"> (bez DPH)</w:t>
      </w:r>
      <w:r w:rsidR="00352904">
        <w:rPr>
          <w:rFonts w:cs="Arial"/>
          <w:sz w:val="22"/>
          <w:szCs w:val="22"/>
        </w:rPr>
        <w:t>.</w:t>
      </w:r>
    </w:p>
    <w:p w:rsidR="00544726" w:rsidRP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Pr="0010795A" w:rsidRDefault="0010795A" w:rsidP="0010795A">
      <w:pPr>
        <w:ind w:left="397" w:hanging="397"/>
        <w:jc w:val="both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C. </w:t>
      </w:r>
      <w:r w:rsidR="00B5686B" w:rsidRPr="0010795A">
        <w:rPr>
          <w:b/>
          <w:sz w:val="22"/>
          <w:szCs w:val="22"/>
        </w:rPr>
        <w:t xml:space="preserve">Projekt </w:t>
      </w:r>
      <w:r w:rsidR="00B5686B" w:rsidRPr="0010795A">
        <w:rPr>
          <w:b/>
          <w:i/>
          <w:sz w:val="22"/>
          <w:szCs w:val="22"/>
        </w:rPr>
        <w:t xml:space="preserve">Veřejný přístav Ústí n. L. </w:t>
      </w:r>
      <w:r w:rsidR="0015059A" w:rsidRPr="0010795A">
        <w:rPr>
          <w:b/>
          <w:i/>
          <w:sz w:val="22"/>
          <w:szCs w:val="22"/>
        </w:rPr>
        <w:t>–</w:t>
      </w:r>
      <w:r w:rsidR="00B5686B" w:rsidRPr="0010795A">
        <w:rPr>
          <w:b/>
          <w:i/>
          <w:sz w:val="22"/>
          <w:szCs w:val="22"/>
        </w:rPr>
        <w:t xml:space="preserve"> </w:t>
      </w:r>
      <w:proofErr w:type="spellStart"/>
      <w:r w:rsidR="00B5686B" w:rsidRPr="0010795A">
        <w:rPr>
          <w:b/>
          <w:i/>
          <w:sz w:val="22"/>
          <w:szCs w:val="22"/>
        </w:rPr>
        <w:t>Vaňov</w:t>
      </w:r>
      <w:proofErr w:type="spellEnd"/>
      <w:r w:rsidR="00B5686B" w:rsidRPr="0010795A">
        <w:rPr>
          <w:b/>
          <w:i/>
          <w:sz w:val="22"/>
          <w:szCs w:val="22"/>
        </w:rPr>
        <w:t>, modernizace překladní hrany s povodňovou ochranou plavidel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B5686B" w:rsidRDefault="00B5686B" w:rsidP="005447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</w:t>
      </w:r>
      <w:r w:rsidRPr="000E0BF1">
        <w:rPr>
          <w:rFonts w:cs="Arial"/>
          <w:sz w:val="22"/>
          <w:szCs w:val="22"/>
        </w:rPr>
        <w:t xml:space="preserve"> projektu s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celkovými </w:t>
      </w:r>
      <w:r w:rsidRPr="000E0BF1">
        <w:rPr>
          <w:rFonts w:cs="Arial"/>
          <w:sz w:val="22"/>
          <w:szCs w:val="22"/>
        </w:rPr>
        <w:t xml:space="preserve">investičními náklady </w:t>
      </w:r>
      <w:r w:rsidRPr="000E0BF1">
        <w:rPr>
          <w:rFonts w:cs="Arial"/>
          <w:bCs/>
          <w:sz w:val="22"/>
          <w:szCs w:val="22"/>
        </w:rPr>
        <w:t>69</w:t>
      </w:r>
      <w:r w:rsidR="004C5D1B">
        <w:rPr>
          <w:rFonts w:cs="Arial"/>
          <w:bCs/>
          <w:sz w:val="22"/>
          <w:szCs w:val="22"/>
        </w:rPr>
        <w:t xml:space="preserve"> </w:t>
      </w:r>
      <w:r w:rsidRPr="000E0BF1">
        <w:rPr>
          <w:rFonts w:cs="Arial"/>
          <w:bCs/>
          <w:sz w:val="22"/>
          <w:szCs w:val="22"/>
        </w:rPr>
        <w:t>972 tis. Kč</w:t>
      </w:r>
      <w:r w:rsidR="00B1646B">
        <w:rPr>
          <w:rFonts w:cs="Arial"/>
          <w:bCs/>
          <w:sz w:val="22"/>
          <w:szCs w:val="22"/>
        </w:rPr>
        <w:t xml:space="preserve"> </w:t>
      </w:r>
      <w:r w:rsidRPr="000E0BF1">
        <w:rPr>
          <w:rFonts w:cs="Arial"/>
          <w:sz w:val="22"/>
          <w:szCs w:val="22"/>
        </w:rPr>
        <w:t>schválilo</w:t>
      </w:r>
      <w:r w:rsidR="00DD22F0">
        <w:rPr>
          <w:rFonts w:cs="Arial"/>
          <w:sz w:val="22"/>
          <w:szCs w:val="22"/>
        </w:rPr>
        <w:t xml:space="preserve"> </w:t>
      </w:r>
      <w:r w:rsidR="00DD22F0" w:rsidRPr="000E0BF1">
        <w:rPr>
          <w:rFonts w:cs="Arial"/>
          <w:sz w:val="22"/>
          <w:szCs w:val="22"/>
        </w:rPr>
        <w:t>MD</w:t>
      </w:r>
      <w:r>
        <w:rPr>
          <w:rFonts w:cs="Arial"/>
          <w:sz w:val="22"/>
          <w:szCs w:val="22"/>
        </w:rPr>
        <w:t xml:space="preserve"> v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dubnu 2008. S odstupem pouhých tří měsíců, </w:t>
      </w:r>
      <w:r w:rsidR="00746002">
        <w:rPr>
          <w:rFonts w:cs="Arial"/>
          <w:sz w:val="22"/>
          <w:szCs w:val="22"/>
        </w:rPr>
        <w:t xml:space="preserve">tedy </w:t>
      </w:r>
      <w:r>
        <w:rPr>
          <w:rFonts w:cs="Arial"/>
          <w:sz w:val="22"/>
          <w:szCs w:val="22"/>
        </w:rPr>
        <w:t>v červenci</w:t>
      </w:r>
      <w:r w:rsidRPr="00C601E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2008</w:t>
      </w:r>
      <w:r w:rsidR="00746002">
        <w:rPr>
          <w:rFonts w:cs="Arial"/>
          <w:sz w:val="22"/>
          <w:szCs w:val="22"/>
        </w:rPr>
        <w:t>,</w:t>
      </w:r>
      <w:r w:rsidRPr="0057353C">
        <w:rPr>
          <w:rFonts w:cs="Arial"/>
          <w:sz w:val="22"/>
          <w:szCs w:val="22"/>
        </w:rPr>
        <w:t xml:space="preserve"> schválilo </w:t>
      </w:r>
      <w:r>
        <w:rPr>
          <w:rFonts w:cs="Arial"/>
          <w:sz w:val="22"/>
          <w:szCs w:val="22"/>
        </w:rPr>
        <w:t>aktualizaci IZ s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téměř dvojnásobným </w:t>
      </w:r>
      <w:r w:rsidRPr="0057353C">
        <w:rPr>
          <w:rFonts w:cs="Arial"/>
          <w:sz w:val="22"/>
          <w:szCs w:val="22"/>
        </w:rPr>
        <w:t>navýšení</w:t>
      </w:r>
      <w:r>
        <w:rPr>
          <w:rFonts w:cs="Arial"/>
          <w:sz w:val="22"/>
          <w:szCs w:val="22"/>
        </w:rPr>
        <w:t>m</w:t>
      </w:r>
      <w:r w:rsidRPr="0057353C">
        <w:rPr>
          <w:rFonts w:cs="Arial"/>
          <w:sz w:val="22"/>
          <w:szCs w:val="22"/>
        </w:rPr>
        <w:t xml:space="preserve"> </w:t>
      </w:r>
      <w:r w:rsidRPr="000E0BF1">
        <w:rPr>
          <w:rFonts w:cs="Arial"/>
          <w:sz w:val="22"/>
          <w:szCs w:val="22"/>
        </w:rPr>
        <w:t xml:space="preserve">celkových investičních nákladů projektu na </w:t>
      </w:r>
      <w:r w:rsidRPr="000E0BF1">
        <w:rPr>
          <w:rFonts w:cs="Arial"/>
          <w:bCs/>
          <w:sz w:val="22"/>
          <w:szCs w:val="22"/>
        </w:rPr>
        <w:t>123</w:t>
      </w:r>
      <w:r w:rsidR="004C5D1B">
        <w:rPr>
          <w:rFonts w:cs="Arial"/>
          <w:bCs/>
          <w:sz w:val="22"/>
          <w:szCs w:val="22"/>
        </w:rPr>
        <w:t xml:space="preserve"> </w:t>
      </w:r>
      <w:r w:rsidRPr="000E0BF1">
        <w:rPr>
          <w:rFonts w:cs="Arial"/>
          <w:bCs/>
          <w:sz w:val="22"/>
          <w:szCs w:val="22"/>
        </w:rPr>
        <w:t>760</w:t>
      </w:r>
      <w:r>
        <w:rPr>
          <w:rFonts w:cs="Arial"/>
          <w:bCs/>
          <w:sz w:val="22"/>
          <w:szCs w:val="22"/>
        </w:rPr>
        <w:t xml:space="preserve"> </w:t>
      </w:r>
      <w:r w:rsidRPr="000E0BF1">
        <w:rPr>
          <w:rFonts w:cs="Arial"/>
          <w:sz w:val="22"/>
          <w:szCs w:val="22"/>
        </w:rPr>
        <w:t>tis</w:t>
      </w:r>
      <w:r>
        <w:rPr>
          <w:rFonts w:cs="Arial"/>
          <w:sz w:val="22"/>
          <w:szCs w:val="22"/>
        </w:rPr>
        <w:t xml:space="preserve">. Kč </w:t>
      </w:r>
      <w:r w:rsidR="00B1646B">
        <w:rPr>
          <w:rFonts w:cs="Arial"/>
          <w:bCs/>
          <w:sz w:val="22"/>
          <w:szCs w:val="22"/>
        </w:rPr>
        <w:t>(vč.</w:t>
      </w:r>
      <w:r w:rsidR="006764CC">
        <w:rPr>
          <w:rFonts w:cs="Arial"/>
          <w:bCs/>
          <w:sz w:val="22"/>
          <w:szCs w:val="22"/>
        </w:rPr>
        <w:t> </w:t>
      </w:r>
      <w:r w:rsidR="00B1646B">
        <w:rPr>
          <w:rFonts w:cs="Arial"/>
          <w:bCs/>
          <w:sz w:val="22"/>
          <w:szCs w:val="22"/>
        </w:rPr>
        <w:t>DPH)</w:t>
      </w:r>
      <w:r w:rsidR="00746002">
        <w:rPr>
          <w:rFonts w:cs="Arial"/>
          <w:sz w:val="22"/>
          <w:szCs w:val="22"/>
        </w:rPr>
        <w:t xml:space="preserve">, což odůvodnilo odkazem </w:t>
      </w:r>
      <w:r w:rsidR="00233BA9">
        <w:rPr>
          <w:rFonts w:cs="Arial"/>
          <w:sz w:val="22"/>
          <w:szCs w:val="22"/>
        </w:rPr>
        <w:t>na</w:t>
      </w:r>
      <w:r>
        <w:rPr>
          <w:rFonts w:cs="Arial"/>
          <w:sz w:val="22"/>
          <w:szCs w:val="22"/>
        </w:rPr>
        <w:t xml:space="preserve"> „</w:t>
      </w:r>
      <w:r w:rsidRPr="00D37606">
        <w:rPr>
          <w:rFonts w:cs="Arial"/>
          <w:i/>
          <w:sz w:val="22"/>
          <w:szCs w:val="22"/>
        </w:rPr>
        <w:t>závěr</w:t>
      </w:r>
      <w:r>
        <w:rPr>
          <w:rFonts w:cs="Arial"/>
          <w:i/>
          <w:sz w:val="22"/>
          <w:szCs w:val="22"/>
        </w:rPr>
        <w:t>y</w:t>
      </w:r>
      <w:r w:rsidRPr="00D37606">
        <w:rPr>
          <w:rFonts w:cs="Arial"/>
          <w:i/>
          <w:sz w:val="22"/>
          <w:szCs w:val="22"/>
        </w:rPr>
        <w:t xml:space="preserve"> a vyhodnocení</w:t>
      </w:r>
      <w:r>
        <w:rPr>
          <w:rFonts w:cs="Arial"/>
          <w:i/>
          <w:sz w:val="22"/>
          <w:szCs w:val="22"/>
        </w:rPr>
        <w:t>mi</w:t>
      </w:r>
      <w:r w:rsidRPr="00D37606">
        <w:rPr>
          <w:rFonts w:cs="Arial"/>
          <w:i/>
          <w:sz w:val="22"/>
          <w:szCs w:val="22"/>
        </w:rPr>
        <w:t xml:space="preserve"> inženýrsko</w:t>
      </w:r>
      <w:r>
        <w:rPr>
          <w:rFonts w:cs="Arial"/>
          <w:i/>
          <w:sz w:val="22"/>
          <w:szCs w:val="22"/>
        </w:rPr>
        <w:t>-</w:t>
      </w:r>
      <w:r w:rsidRPr="00D37606">
        <w:rPr>
          <w:rFonts w:cs="Arial"/>
          <w:i/>
          <w:sz w:val="22"/>
          <w:szCs w:val="22"/>
        </w:rPr>
        <w:t>geologického průzkumu.</w:t>
      </w:r>
      <w:r w:rsidRPr="00D37606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 </w:t>
      </w:r>
      <w:r w:rsidRPr="00EB7B44">
        <w:rPr>
          <w:rFonts w:cs="Arial"/>
          <w:b/>
          <w:sz w:val="22"/>
          <w:szCs w:val="22"/>
        </w:rPr>
        <w:t>Z dokladů předložených kontrole není zřejmé, nakolik se MD při schvalování navýšení investičních nákladů projektu zabývalo účelností, hospodárností a</w:t>
      </w:r>
      <w:r w:rsidR="004C5D1B">
        <w:rPr>
          <w:rFonts w:cs="Arial"/>
          <w:b/>
          <w:sz w:val="22"/>
          <w:szCs w:val="22"/>
        </w:rPr>
        <w:t xml:space="preserve"> </w:t>
      </w:r>
      <w:r w:rsidRPr="00EB7B44">
        <w:rPr>
          <w:rFonts w:cs="Arial"/>
          <w:b/>
          <w:sz w:val="22"/>
          <w:szCs w:val="22"/>
        </w:rPr>
        <w:t xml:space="preserve">efektivností výdajů. </w:t>
      </w:r>
      <w:r w:rsidRPr="000D35AB">
        <w:rPr>
          <w:rFonts w:cs="Arial"/>
          <w:sz w:val="22"/>
          <w:szCs w:val="22"/>
        </w:rPr>
        <w:t xml:space="preserve">Hodnocení ekonomické efektivnosti bylo zpracováno </w:t>
      </w:r>
      <w:r>
        <w:rPr>
          <w:rFonts w:cs="Arial"/>
          <w:sz w:val="22"/>
          <w:szCs w:val="22"/>
        </w:rPr>
        <w:t>s uvažováním</w:t>
      </w:r>
      <w:r w:rsidRPr="000D35AB">
        <w:rPr>
          <w:rFonts w:cs="Arial"/>
          <w:sz w:val="22"/>
          <w:szCs w:val="22"/>
        </w:rPr>
        <w:t xml:space="preserve"> blíže neodůvodněného </w:t>
      </w:r>
      <w:r>
        <w:rPr>
          <w:rFonts w:cs="Arial"/>
          <w:sz w:val="22"/>
          <w:szCs w:val="22"/>
        </w:rPr>
        <w:t xml:space="preserve">předpokladu </w:t>
      </w:r>
      <w:r w:rsidRPr="000D35AB">
        <w:rPr>
          <w:rFonts w:cs="Arial"/>
          <w:sz w:val="22"/>
          <w:szCs w:val="22"/>
        </w:rPr>
        <w:t>skokového nárůstu využití labské vodní cesty pro přepravu kontejnerů, nadrozměrných nákladů a sypkých substrátů</w:t>
      </w:r>
      <w:r w:rsidR="00746002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r</w:t>
      </w:r>
      <w:r w:rsidRPr="000D35AB">
        <w:rPr>
          <w:rFonts w:cs="Arial"/>
          <w:sz w:val="22"/>
          <w:szCs w:val="22"/>
        </w:rPr>
        <w:t xml:space="preserve">eálnost </w:t>
      </w:r>
      <w:r w:rsidR="00746002">
        <w:rPr>
          <w:rFonts w:cs="Arial"/>
          <w:sz w:val="22"/>
          <w:szCs w:val="22"/>
        </w:rPr>
        <w:t xml:space="preserve">předpokladu tohoto nárůstu </w:t>
      </w:r>
      <w:r w:rsidRPr="000D35AB">
        <w:rPr>
          <w:rFonts w:cs="Arial"/>
          <w:sz w:val="22"/>
          <w:szCs w:val="22"/>
        </w:rPr>
        <w:t>nebylo možno z</w:t>
      </w:r>
      <w:r w:rsidR="004C5D1B">
        <w:rPr>
          <w:rFonts w:cs="Arial"/>
          <w:sz w:val="22"/>
          <w:szCs w:val="22"/>
        </w:rPr>
        <w:t xml:space="preserve"> </w:t>
      </w:r>
      <w:r w:rsidRPr="000D35AB">
        <w:rPr>
          <w:rFonts w:cs="Arial"/>
          <w:sz w:val="22"/>
          <w:szCs w:val="22"/>
        </w:rPr>
        <w:t>předložených dokladů ověřit.</w:t>
      </w:r>
    </w:p>
    <w:p w:rsidR="00544726" w:rsidRDefault="00544726" w:rsidP="00544726">
      <w:pPr>
        <w:jc w:val="both"/>
        <w:rPr>
          <w:rFonts w:cs="Arial"/>
          <w:sz w:val="22"/>
          <w:szCs w:val="22"/>
        </w:rPr>
      </w:pPr>
    </w:p>
    <w:p w:rsidR="00746002" w:rsidRDefault="00B51814" w:rsidP="005447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4C5D1B">
        <w:rPr>
          <w:rFonts w:cs="Arial"/>
          <w:sz w:val="22"/>
          <w:szCs w:val="22"/>
        </w:rPr>
        <w:t xml:space="preserve"> </w:t>
      </w:r>
      <w:r w:rsidRPr="005F4D95">
        <w:rPr>
          <w:rFonts w:cs="Arial"/>
          <w:sz w:val="22"/>
          <w:szCs w:val="22"/>
        </w:rPr>
        <w:t>průběhu stavební realizace projektu</w:t>
      </w:r>
      <w:r>
        <w:rPr>
          <w:rFonts w:cs="Arial"/>
          <w:sz w:val="22"/>
          <w:szCs w:val="22"/>
        </w:rPr>
        <w:t xml:space="preserve"> smluvní cena za práce a dodávky zůstala prakticky nezměněna, </w:t>
      </w:r>
      <w:r w:rsidR="00746002">
        <w:rPr>
          <w:rFonts w:cs="Arial"/>
          <w:sz w:val="22"/>
          <w:szCs w:val="22"/>
        </w:rPr>
        <w:t>neboť</w:t>
      </w:r>
      <w:r>
        <w:rPr>
          <w:rFonts w:cs="Arial"/>
          <w:sz w:val="22"/>
          <w:szCs w:val="22"/>
        </w:rPr>
        <w:t xml:space="preserve"> celkový objem víceprací ve výši 20,9 mil. Kč bez DPH</w:t>
      </w:r>
      <w:r w:rsidR="008A3269">
        <w:rPr>
          <w:rFonts w:cs="Arial"/>
          <w:sz w:val="22"/>
          <w:szCs w:val="22"/>
        </w:rPr>
        <w:t xml:space="preserve"> (20,1 % smluvní ceny)</w:t>
      </w:r>
      <w:r>
        <w:rPr>
          <w:rFonts w:cs="Arial"/>
          <w:sz w:val="22"/>
          <w:szCs w:val="22"/>
        </w:rPr>
        <w:t xml:space="preserve"> byl kompenzován téměř stejným ob</w:t>
      </w:r>
      <w:r w:rsidR="00746002">
        <w:rPr>
          <w:rFonts w:cs="Arial"/>
          <w:sz w:val="22"/>
          <w:szCs w:val="22"/>
        </w:rPr>
        <w:t xml:space="preserve">jemem </w:t>
      </w:r>
      <w:proofErr w:type="spellStart"/>
      <w:r w:rsidR="00746002">
        <w:rPr>
          <w:rFonts w:cs="Arial"/>
          <w:sz w:val="22"/>
          <w:szCs w:val="22"/>
        </w:rPr>
        <w:t>méněprací</w:t>
      </w:r>
      <w:proofErr w:type="spellEnd"/>
      <w:r w:rsidR="00746002">
        <w:rPr>
          <w:rFonts w:cs="Arial"/>
          <w:sz w:val="22"/>
          <w:szCs w:val="22"/>
        </w:rPr>
        <w:t>. Obdobně jako u </w:t>
      </w:r>
      <w:r>
        <w:rPr>
          <w:rFonts w:cs="Arial"/>
          <w:sz w:val="22"/>
          <w:szCs w:val="22"/>
        </w:rPr>
        <w:t>ostatních kontrolovaných projektů však z</w:t>
      </w:r>
      <w:r w:rsidR="004C5D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předložených dokladů vyplývá, že řadě </w:t>
      </w:r>
      <w:r w:rsidRPr="005F4D95">
        <w:rPr>
          <w:rFonts w:cs="Arial"/>
          <w:sz w:val="22"/>
          <w:szCs w:val="22"/>
        </w:rPr>
        <w:t>změn</w:t>
      </w:r>
      <w:r w:rsidR="00233BA9">
        <w:rPr>
          <w:rFonts w:cs="Arial"/>
          <w:sz w:val="22"/>
          <w:szCs w:val="22"/>
        </w:rPr>
        <w:t xml:space="preserve"> učiněných</w:t>
      </w:r>
      <w:r w:rsidRPr="005F4D9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233BA9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průběhu výstavby </w:t>
      </w:r>
      <w:r w:rsidRPr="005F4D95">
        <w:rPr>
          <w:rFonts w:cs="Arial"/>
          <w:sz w:val="22"/>
          <w:szCs w:val="22"/>
        </w:rPr>
        <w:t>bylo možno předejít řádnou přípravou stavby.</w:t>
      </w:r>
    </w:p>
    <w:p w:rsidR="00746002" w:rsidRDefault="00746002" w:rsidP="00544726">
      <w:pPr>
        <w:jc w:val="both"/>
        <w:rPr>
          <w:rFonts w:cs="Arial"/>
          <w:sz w:val="22"/>
          <w:szCs w:val="22"/>
        </w:rPr>
      </w:pPr>
    </w:p>
    <w:p w:rsidR="00AF40A8" w:rsidRDefault="00AF40A8" w:rsidP="00544726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br w:type="page"/>
      </w:r>
    </w:p>
    <w:p w:rsidR="000F4E4E" w:rsidRPr="0010795A" w:rsidRDefault="000F4E4E" w:rsidP="0010795A">
      <w:pPr>
        <w:jc w:val="center"/>
        <w:rPr>
          <w:rFonts w:cs="Arial"/>
          <w:b/>
          <w:lang w:eastAsia="en-US"/>
        </w:rPr>
      </w:pPr>
      <w:r w:rsidRPr="0010795A">
        <w:rPr>
          <w:rFonts w:cs="Arial"/>
          <w:b/>
          <w:lang w:eastAsia="en-US"/>
        </w:rPr>
        <w:lastRenderedPageBreak/>
        <w:t>III. Shrnutí</w:t>
      </w:r>
    </w:p>
    <w:p w:rsidR="0010795A" w:rsidRDefault="0010795A" w:rsidP="0010795A">
      <w:pPr>
        <w:jc w:val="both"/>
        <w:rPr>
          <w:rFonts w:eastAsia="Calibri" w:cs="Arial"/>
          <w:sz w:val="22"/>
          <w:szCs w:val="22"/>
          <w:lang w:eastAsia="en-US"/>
        </w:rPr>
      </w:pPr>
    </w:p>
    <w:p w:rsidR="00F163B8" w:rsidRDefault="00F163B8" w:rsidP="0010795A">
      <w:pPr>
        <w:jc w:val="both"/>
        <w:rPr>
          <w:rFonts w:cs="Arial"/>
          <w:sz w:val="22"/>
          <w:szCs w:val="22"/>
        </w:rPr>
      </w:pPr>
      <w:r w:rsidRPr="0010795A">
        <w:rPr>
          <w:rFonts w:eastAsia="Calibri" w:cs="Arial"/>
          <w:sz w:val="22"/>
          <w:szCs w:val="22"/>
          <w:lang w:eastAsia="en-US"/>
        </w:rPr>
        <w:t>Výkon činností MD byl kontrolován</w:t>
      </w:r>
      <w:r w:rsidR="009663D1">
        <w:rPr>
          <w:rFonts w:eastAsia="Calibri" w:cs="Arial"/>
          <w:sz w:val="22"/>
          <w:szCs w:val="22"/>
          <w:lang w:eastAsia="en-US"/>
        </w:rPr>
        <w:t xml:space="preserve"> u </w:t>
      </w:r>
      <w:r w:rsidR="009663D1" w:rsidRPr="0010795A">
        <w:rPr>
          <w:rFonts w:eastAsia="Calibri" w:cs="Arial"/>
          <w:sz w:val="22"/>
          <w:szCs w:val="22"/>
          <w:lang w:eastAsia="en-US"/>
        </w:rPr>
        <w:t>prioritní osy 6 OPD</w:t>
      </w:r>
      <w:r w:rsidRPr="0010795A">
        <w:rPr>
          <w:rFonts w:eastAsia="Calibri" w:cs="Arial"/>
          <w:sz w:val="22"/>
          <w:szCs w:val="22"/>
          <w:lang w:eastAsia="en-US"/>
        </w:rPr>
        <w:t xml:space="preserve"> na vzorku 9 projektů v</w:t>
      </w:r>
      <w:r w:rsidR="004C5D1B" w:rsidRPr="0010795A">
        <w:rPr>
          <w:rFonts w:eastAsia="Calibri" w:cs="Arial"/>
          <w:sz w:val="22"/>
          <w:szCs w:val="22"/>
          <w:lang w:eastAsia="en-US"/>
        </w:rPr>
        <w:t xml:space="preserve"> </w:t>
      </w:r>
      <w:r w:rsidRPr="0010795A">
        <w:rPr>
          <w:rFonts w:eastAsia="Calibri" w:cs="Arial"/>
          <w:sz w:val="22"/>
          <w:szCs w:val="22"/>
          <w:lang w:eastAsia="en-US"/>
        </w:rPr>
        <w:t xml:space="preserve">celkovém objemu </w:t>
      </w:r>
      <w:r w:rsidR="00233BA9">
        <w:rPr>
          <w:rFonts w:eastAsia="Calibri" w:cs="Arial"/>
          <w:sz w:val="22"/>
          <w:szCs w:val="22"/>
          <w:lang w:eastAsia="en-US"/>
        </w:rPr>
        <w:t xml:space="preserve">podpory </w:t>
      </w:r>
      <w:r w:rsidRPr="0010795A">
        <w:rPr>
          <w:rFonts w:eastAsia="Calibri" w:cs="Arial"/>
          <w:sz w:val="22"/>
          <w:szCs w:val="22"/>
          <w:lang w:eastAsia="en-US"/>
        </w:rPr>
        <w:t xml:space="preserve">2,4 mld. Kč. Kontrole byl podroben systém administrace projektů, zejména nastavení a účinnost řídicích a kontrolních systémů dle </w:t>
      </w:r>
      <w:r w:rsidR="00FE5B3B" w:rsidRPr="0010795A">
        <w:rPr>
          <w:rFonts w:eastAsia="Calibri" w:cs="Arial"/>
          <w:sz w:val="22"/>
          <w:szCs w:val="22"/>
          <w:lang w:eastAsia="en-US"/>
        </w:rPr>
        <w:t>předpisů E</w:t>
      </w:r>
      <w:r w:rsidR="00717B81" w:rsidRPr="0010795A">
        <w:rPr>
          <w:rFonts w:eastAsia="Calibri" w:cs="Arial"/>
          <w:sz w:val="22"/>
          <w:szCs w:val="22"/>
          <w:lang w:eastAsia="en-US"/>
        </w:rPr>
        <w:t>U</w:t>
      </w:r>
      <w:r w:rsidRPr="0010795A">
        <w:rPr>
          <w:rFonts w:eastAsia="Calibri" w:cs="Arial"/>
          <w:sz w:val="22"/>
          <w:szCs w:val="22"/>
          <w:lang w:eastAsia="en-US"/>
        </w:rPr>
        <w:t xml:space="preserve">. Kontrola postupu ŘVC při přípravě a realizaci projektů byla provedena u </w:t>
      </w:r>
      <w:r w:rsidR="00233BA9">
        <w:rPr>
          <w:rFonts w:eastAsia="Calibri" w:cs="Arial"/>
          <w:sz w:val="22"/>
          <w:szCs w:val="22"/>
          <w:lang w:eastAsia="en-US"/>
        </w:rPr>
        <w:t>tří</w:t>
      </w:r>
      <w:r w:rsidRPr="0010795A">
        <w:rPr>
          <w:rFonts w:eastAsia="Calibri" w:cs="Arial"/>
          <w:sz w:val="22"/>
          <w:szCs w:val="22"/>
          <w:lang w:eastAsia="en-US"/>
        </w:rPr>
        <w:t xml:space="preserve"> finančně nejvýznamnějších projektů, které byly </w:t>
      </w:r>
      <w:r w:rsidR="009663D1" w:rsidRPr="0010795A">
        <w:rPr>
          <w:rFonts w:eastAsia="Calibri" w:cs="Arial"/>
          <w:sz w:val="22"/>
          <w:szCs w:val="22"/>
          <w:lang w:eastAsia="en-US"/>
        </w:rPr>
        <w:t>v kontrolovaném období</w:t>
      </w:r>
      <w:r w:rsidR="009663D1">
        <w:rPr>
          <w:rFonts w:eastAsia="Calibri" w:cs="Arial"/>
          <w:sz w:val="22"/>
          <w:szCs w:val="22"/>
          <w:lang w:eastAsia="en-US"/>
        </w:rPr>
        <w:t xml:space="preserve"> </w:t>
      </w:r>
      <w:r w:rsidRPr="0010795A">
        <w:rPr>
          <w:rFonts w:eastAsia="Calibri" w:cs="Arial"/>
          <w:sz w:val="22"/>
          <w:szCs w:val="22"/>
          <w:lang w:eastAsia="en-US"/>
        </w:rPr>
        <w:t>realizovány na lab</w:t>
      </w:r>
      <w:r w:rsidR="009663D1">
        <w:rPr>
          <w:rFonts w:eastAsia="Calibri" w:cs="Arial"/>
          <w:sz w:val="22"/>
          <w:szCs w:val="22"/>
          <w:lang w:eastAsia="en-US"/>
        </w:rPr>
        <w:t>ské a </w:t>
      </w:r>
      <w:r w:rsidRPr="0010795A">
        <w:rPr>
          <w:rFonts w:eastAsia="Calibri" w:cs="Arial"/>
          <w:sz w:val="22"/>
          <w:szCs w:val="22"/>
          <w:lang w:eastAsia="en-US"/>
        </w:rPr>
        <w:t>vltavské vodní cestě.</w:t>
      </w:r>
      <w:r w:rsidRPr="0010795A">
        <w:rPr>
          <w:rFonts w:cs="Arial"/>
          <w:sz w:val="22"/>
          <w:szCs w:val="22"/>
        </w:rPr>
        <w:t xml:space="preserve"> 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0F4E4E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>Dopravní strategie z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roku 2013 ve stávající podobě nejsou dostatečným podkladem pro stanovení dalšího postupu přípravy a realizace projektů v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oblasti rozvoje a modernizace vodních cest a multimodální dopravy.</w:t>
      </w:r>
      <w:r w:rsidR="00C40399" w:rsidRPr="0010795A">
        <w:rPr>
          <w:rFonts w:cs="Arial"/>
          <w:sz w:val="22"/>
          <w:szCs w:val="22"/>
        </w:rPr>
        <w:t xml:space="preserve"> Koncepční materiál zabývající se rozvojem celé labské vodní cesty zatím</w:t>
      </w:r>
      <w:r w:rsidR="009663D1">
        <w:rPr>
          <w:rFonts w:cs="Arial"/>
          <w:sz w:val="22"/>
          <w:szCs w:val="22"/>
        </w:rPr>
        <w:t xml:space="preserve"> </w:t>
      </w:r>
      <w:r w:rsidR="009663D1" w:rsidRPr="0010795A">
        <w:rPr>
          <w:rFonts w:cs="Arial"/>
          <w:sz w:val="22"/>
          <w:szCs w:val="22"/>
        </w:rPr>
        <w:t>MD</w:t>
      </w:r>
      <w:r w:rsidR="00C40399" w:rsidRPr="0010795A">
        <w:rPr>
          <w:rFonts w:cs="Arial"/>
          <w:sz w:val="22"/>
          <w:szCs w:val="22"/>
        </w:rPr>
        <w:t xml:space="preserve"> dopracovává.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CF7B56" w:rsidRDefault="0043436B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 xml:space="preserve">Pro </w:t>
      </w:r>
      <w:r w:rsidR="00CF7B56" w:rsidRPr="0010795A">
        <w:rPr>
          <w:rFonts w:cs="Arial"/>
          <w:sz w:val="22"/>
          <w:szCs w:val="22"/>
        </w:rPr>
        <w:t xml:space="preserve">dosažení globálního cíle prioritní osy </w:t>
      </w:r>
      <w:r w:rsidRPr="0010795A">
        <w:rPr>
          <w:rFonts w:cs="Arial"/>
          <w:sz w:val="22"/>
          <w:szCs w:val="22"/>
        </w:rPr>
        <w:t xml:space="preserve">6 </w:t>
      </w:r>
      <w:r w:rsidR="008B7205" w:rsidRPr="0010795A">
        <w:rPr>
          <w:rFonts w:cs="Arial"/>
          <w:sz w:val="22"/>
          <w:szCs w:val="22"/>
        </w:rPr>
        <w:t>stanovilo</w:t>
      </w:r>
      <w:r w:rsidR="008B7205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MD v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programovém dokumentu</w:t>
      </w:r>
      <w:r w:rsidR="00CF7B56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nekonkrétní </w:t>
      </w:r>
      <w:r w:rsidR="009663D1">
        <w:rPr>
          <w:rFonts w:cs="Arial"/>
          <w:sz w:val="22"/>
          <w:szCs w:val="22"/>
        </w:rPr>
        <w:t>a </w:t>
      </w:r>
      <w:r w:rsidRPr="0010795A">
        <w:rPr>
          <w:rFonts w:cs="Arial"/>
          <w:sz w:val="22"/>
          <w:szCs w:val="22"/>
        </w:rPr>
        <w:t>obtížně měřitelné specifické cíle</w:t>
      </w:r>
      <w:r w:rsidR="008B7205">
        <w:rPr>
          <w:rFonts w:cs="Arial"/>
          <w:sz w:val="22"/>
          <w:szCs w:val="22"/>
        </w:rPr>
        <w:t xml:space="preserve"> a</w:t>
      </w:r>
      <w:r w:rsidRPr="0010795A">
        <w:rPr>
          <w:rFonts w:cs="Arial"/>
          <w:sz w:val="22"/>
          <w:szCs w:val="22"/>
        </w:rPr>
        <w:t xml:space="preserve"> nepřiřadilo jim žádné odpovídající indikátory, které by umožňovaly měření míry dosažení těchto cílů. 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CF7B56" w:rsidRDefault="00CF7B56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>Kontroly projektů, zejména jejich výdajů z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hlediska způsobilosti financování z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prioritní osy 6 OPD neprovádí MD ani SFDI důsledně.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E23A03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 xml:space="preserve">Realizace projektu </w:t>
      </w:r>
      <w:r w:rsidRPr="0010795A">
        <w:rPr>
          <w:rFonts w:cs="Arial"/>
          <w:i/>
          <w:sz w:val="22"/>
          <w:szCs w:val="22"/>
        </w:rPr>
        <w:t>Plavební stupeň Děčín</w:t>
      </w:r>
      <w:r w:rsidRPr="0010795A">
        <w:rPr>
          <w:rFonts w:cs="Arial"/>
          <w:sz w:val="22"/>
          <w:szCs w:val="22"/>
        </w:rPr>
        <w:t>, nejpotřebnější stavb</w:t>
      </w:r>
      <w:r w:rsidR="00F163B8" w:rsidRPr="0010795A">
        <w:rPr>
          <w:rFonts w:cs="Arial"/>
          <w:sz w:val="22"/>
          <w:szCs w:val="22"/>
        </w:rPr>
        <w:t>y</w:t>
      </w:r>
      <w:r w:rsidRPr="0010795A">
        <w:rPr>
          <w:rFonts w:cs="Arial"/>
          <w:sz w:val="22"/>
          <w:szCs w:val="22"/>
        </w:rPr>
        <w:t xml:space="preserve"> na vodních cestách z pohledu dopravních potřeb </w:t>
      </w:r>
      <w:r w:rsidR="009663D1">
        <w:rPr>
          <w:rFonts w:cs="Arial"/>
          <w:sz w:val="22"/>
          <w:szCs w:val="22"/>
        </w:rPr>
        <w:t>ČR</w:t>
      </w:r>
      <w:r w:rsidRPr="0010795A">
        <w:rPr>
          <w:rFonts w:cs="Arial"/>
          <w:sz w:val="22"/>
          <w:szCs w:val="22"/>
        </w:rPr>
        <w:t>, je předpokládána až v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období let 2018–2021, tedy po vybudování dalších („závislých“) staveb. </w:t>
      </w:r>
      <w:r w:rsidR="000F4E4E" w:rsidRPr="0010795A">
        <w:rPr>
          <w:rFonts w:cs="Arial"/>
          <w:sz w:val="22"/>
          <w:szCs w:val="22"/>
        </w:rPr>
        <w:t>Dva projekty s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 xml:space="preserve">klíčovým významem pro splavnění labské vodní cesty </w:t>
      </w:r>
      <w:r w:rsidR="000F4E4E" w:rsidRPr="0010795A">
        <w:rPr>
          <w:rFonts w:cs="Arial"/>
          <w:i/>
          <w:sz w:val="22"/>
          <w:szCs w:val="22"/>
        </w:rPr>
        <w:t>Plavební stupeň Děčín</w:t>
      </w:r>
      <w:r w:rsidR="000F4E4E" w:rsidRPr="0010795A">
        <w:rPr>
          <w:rFonts w:cs="Arial"/>
          <w:sz w:val="22"/>
          <w:szCs w:val="22"/>
        </w:rPr>
        <w:t xml:space="preserve"> a </w:t>
      </w:r>
      <w:r w:rsidR="000F4E4E" w:rsidRPr="0010795A">
        <w:rPr>
          <w:rFonts w:cs="Arial"/>
          <w:i/>
          <w:sz w:val="22"/>
          <w:szCs w:val="22"/>
        </w:rPr>
        <w:t>Plavební stupeň Přelouč II</w:t>
      </w:r>
      <w:r w:rsidR="000F4E4E" w:rsidRPr="0010795A">
        <w:rPr>
          <w:rFonts w:cs="Arial"/>
          <w:sz w:val="22"/>
          <w:szCs w:val="22"/>
        </w:rPr>
        <w:t xml:space="preserve"> byly </w:t>
      </w:r>
      <w:r w:rsidR="00035D61" w:rsidRPr="0010795A">
        <w:rPr>
          <w:rFonts w:cs="Arial"/>
          <w:sz w:val="22"/>
          <w:szCs w:val="22"/>
        </w:rPr>
        <w:t>v</w:t>
      </w:r>
      <w:r w:rsidR="004C5D1B" w:rsidRPr="0010795A">
        <w:rPr>
          <w:rFonts w:cs="Arial"/>
          <w:sz w:val="22"/>
          <w:szCs w:val="22"/>
        </w:rPr>
        <w:t xml:space="preserve"> </w:t>
      </w:r>
      <w:r w:rsidR="00035D61" w:rsidRPr="0010795A">
        <w:rPr>
          <w:rFonts w:cs="Arial"/>
          <w:sz w:val="22"/>
          <w:szCs w:val="22"/>
        </w:rPr>
        <w:t xml:space="preserve">Dopravních strategiích </w:t>
      </w:r>
      <w:r w:rsidR="000F4E4E" w:rsidRPr="0010795A">
        <w:rPr>
          <w:rFonts w:cs="Arial"/>
          <w:sz w:val="22"/>
          <w:szCs w:val="22"/>
        </w:rPr>
        <w:t>zařazeny do dvou samostatných clusterů bez řešení jejich vzájemné návaznosti. Požadavek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>na rozhodování o ucelených dopravních řešeních v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>rámci clusterů neuvedlo</w:t>
      </w:r>
      <w:r w:rsidR="009663D1">
        <w:rPr>
          <w:rFonts w:cs="Arial"/>
          <w:sz w:val="22"/>
          <w:szCs w:val="22"/>
        </w:rPr>
        <w:t xml:space="preserve"> </w:t>
      </w:r>
      <w:r w:rsidR="009663D1" w:rsidRPr="0010795A">
        <w:rPr>
          <w:rFonts w:cs="Arial"/>
          <w:sz w:val="22"/>
          <w:szCs w:val="22"/>
        </w:rPr>
        <w:t>MD</w:t>
      </w:r>
      <w:r w:rsidR="000F4E4E" w:rsidRPr="0010795A">
        <w:rPr>
          <w:rFonts w:cs="Arial"/>
          <w:sz w:val="22"/>
          <w:szCs w:val="22"/>
        </w:rPr>
        <w:t xml:space="preserve"> do praxe. Může </w:t>
      </w:r>
      <w:r w:rsidR="00F163B8" w:rsidRPr="0010795A">
        <w:rPr>
          <w:rFonts w:cs="Arial"/>
          <w:sz w:val="22"/>
          <w:szCs w:val="22"/>
        </w:rPr>
        <w:t xml:space="preserve">tak </w:t>
      </w:r>
      <w:r w:rsidR="00B83339" w:rsidRPr="0010795A">
        <w:rPr>
          <w:rFonts w:cs="Arial"/>
          <w:sz w:val="22"/>
          <w:szCs w:val="22"/>
        </w:rPr>
        <w:t>docházet</w:t>
      </w:r>
      <w:r w:rsidR="000F4E4E" w:rsidRPr="0010795A">
        <w:rPr>
          <w:rFonts w:cs="Arial"/>
          <w:sz w:val="22"/>
          <w:szCs w:val="22"/>
        </w:rPr>
        <w:t xml:space="preserve"> k neúčelnému a neefektivnímu vynakládání veřejných prostředků</w:t>
      </w:r>
      <w:r w:rsidR="008B7205">
        <w:rPr>
          <w:rFonts w:cs="Arial"/>
          <w:sz w:val="22"/>
          <w:szCs w:val="22"/>
        </w:rPr>
        <w:t>.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0F4E4E" w:rsidP="0010795A">
      <w:pPr>
        <w:jc w:val="both"/>
        <w:rPr>
          <w:rFonts w:cs="Arial"/>
          <w:sz w:val="22"/>
          <w:szCs w:val="22"/>
        </w:rPr>
      </w:pPr>
      <w:r w:rsidRPr="00CD45CE">
        <w:rPr>
          <w:rFonts w:cs="Arial"/>
          <w:b/>
          <w:sz w:val="22"/>
          <w:szCs w:val="22"/>
        </w:rPr>
        <w:t xml:space="preserve">U projektu </w:t>
      </w:r>
      <w:r w:rsidRPr="00CD45CE">
        <w:rPr>
          <w:rFonts w:cs="Arial"/>
          <w:b/>
          <w:i/>
          <w:sz w:val="22"/>
          <w:szCs w:val="22"/>
        </w:rPr>
        <w:t>Rekonstrukce železničního mostu Kolín</w:t>
      </w:r>
      <w:r w:rsidRPr="0010795A">
        <w:rPr>
          <w:rFonts w:cs="Arial"/>
          <w:sz w:val="22"/>
          <w:szCs w:val="22"/>
        </w:rPr>
        <w:t xml:space="preserve"> </w:t>
      </w:r>
      <w:r w:rsidR="00350BB9" w:rsidRPr="0010795A">
        <w:rPr>
          <w:rFonts w:cs="Arial"/>
          <w:sz w:val="22"/>
          <w:szCs w:val="22"/>
        </w:rPr>
        <w:t>MD souhlasilo s navýšením celkových investičních nákladů projektu z</w:t>
      </w:r>
      <w:r w:rsidR="004C5D1B" w:rsidRPr="0010795A">
        <w:rPr>
          <w:rFonts w:cs="Arial"/>
          <w:sz w:val="22"/>
          <w:szCs w:val="22"/>
        </w:rPr>
        <w:t xml:space="preserve"> </w:t>
      </w:r>
      <w:r w:rsidR="00350BB9" w:rsidRPr="0010795A">
        <w:rPr>
          <w:rFonts w:cs="Arial"/>
          <w:sz w:val="22"/>
          <w:szCs w:val="22"/>
        </w:rPr>
        <w:t>původních 800 mil. Kč na 1</w:t>
      </w:r>
      <w:r w:rsidR="004C5D1B" w:rsidRPr="0010795A">
        <w:rPr>
          <w:rFonts w:cs="Arial"/>
          <w:sz w:val="22"/>
          <w:szCs w:val="22"/>
        </w:rPr>
        <w:t xml:space="preserve"> </w:t>
      </w:r>
      <w:r w:rsidR="00350BB9" w:rsidRPr="0010795A">
        <w:rPr>
          <w:rFonts w:cs="Arial"/>
          <w:sz w:val="22"/>
          <w:szCs w:val="22"/>
        </w:rPr>
        <w:t xml:space="preserve">228,6 mil. Kč. </w:t>
      </w:r>
      <w:r w:rsidR="00B83339" w:rsidRPr="0010795A">
        <w:rPr>
          <w:rFonts w:cs="Arial"/>
          <w:sz w:val="22"/>
          <w:szCs w:val="22"/>
        </w:rPr>
        <w:t>Nestanovilo ž</w:t>
      </w:r>
      <w:r w:rsidR="00350BB9" w:rsidRPr="0010795A">
        <w:rPr>
          <w:rFonts w:cs="Arial"/>
          <w:sz w:val="22"/>
          <w:szCs w:val="22"/>
        </w:rPr>
        <w:t xml:space="preserve">ádné indikátory nebo ukazatele, které by umožňovaly sledování a hodnocení výsledků a dopadů realizace projektu. 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0F4E4E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>Přestože projekt byl pro možnost získání podpory v oblasti podpory 6.2 OPD deklarován jako projekt rozvoje vodních cest, ve skutečnosti řešil především rekonstrukci a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modernizaci železniční infrastruktury</w:t>
      </w:r>
      <w:r w:rsidR="00E73A7F" w:rsidRPr="0010795A">
        <w:rPr>
          <w:rFonts w:cs="Arial"/>
          <w:sz w:val="22"/>
          <w:szCs w:val="22"/>
        </w:rPr>
        <w:t>.</w:t>
      </w:r>
      <w:r w:rsidR="00035D61" w:rsidRPr="0010795A">
        <w:rPr>
          <w:rFonts w:cs="Arial"/>
          <w:sz w:val="22"/>
          <w:szCs w:val="22"/>
        </w:rPr>
        <w:t xml:space="preserve"> 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0F4E4E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 xml:space="preserve">Rozsahem a způsobem provedení tzv. vyvolaných investic na majetku třetích osob došlo k podstatnému zhodnocení cizího majetku bez náležitého majetkoprávního vypořádání. 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AE45FC" w:rsidRDefault="00370967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>U</w:t>
      </w:r>
      <w:r w:rsidR="00035D61" w:rsidRPr="0010795A">
        <w:rPr>
          <w:rFonts w:cs="Arial"/>
          <w:sz w:val="22"/>
          <w:szCs w:val="22"/>
        </w:rPr>
        <w:t xml:space="preserve"> některých stavebních objektů </w:t>
      </w:r>
      <w:r w:rsidR="009663D1" w:rsidRPr="0010795A">
        <w:rPr>
          <w:rFonts w:cs="Arial"/>
          <w:sz w:val="22"/>
          <w:szCs w:val="22"/>
        </w:rPr>
        <w:t xml:space="preserve">měnilo </w:t>
      </w:r>
      <w:r w:rsidRPr="0010795A">
        <w:rPr>
          <w:rFonts w:cs="Arial"/>
          <w:sz w:val="22"/>
          <w:szCs w:val="22"/>
        </w:rPr>
        <w:t>ŘVC ve značném rozsahu předmět a rozsah prací</w:t>
      </w:r>
      <w:r w:rsidR="00035D61" w:rsidRPr="0010795A">
        <w:rPr>
          <w:rFonts w:cs="Arial"/>
          <w:sz w:val="22"/>
          <w:szCs w:val="22"/>
        </w:rPr>
        <w:t xml:space="preserve">. </w:t>
      </w:r>
      <w:r w:rsidR="000F4E4E" w:rsidRPr="0010795A">
        <w:rPr>
          <w:rFonts w:cs="Arial"/>
          <w:sz w:val="22"/>
          <w:szCs w:val="22"/>
        </w:rPr>
        <w:t xml:space="preserve">Pro zadávání </w:t>
      </w:r>
      <w:r w:rsidR="00035D61" w:rsidRPr="0010795A">
        <w:rPr>
          <w:rFonts w:cs="Arial"/>
          <w:sz w:val="22"/>
          <w:szCs w:val="22"/>
        </w:rPr>
        <w:t xml:space="preserve">dodatečných </w:t>
      </w:r>
      <w:r w:rsidR="000F4E4E" w:rsidRPr="0010795A">
        <w:rPr>
          <w:rFonts w:cs="Arial"/>
          <w:sz w:val="22"/>
          <w:szCs w:val="22"/>
        </w:rPr>
        <w:t xml:space="preserve">stavebních prací témuž dodavateli </w:t>
      </w:r>
      <w:r w:rsidR="009663D1" w:rsidRPr="0010795A">
        <w:rPr>
          <w:rFonts w:cs="Arial"/>
          <w:sz w:val="22"/>
          <w:szCs w:val="22"/>
        </w:rPr>
        <w:t xml:space="preserve">nebyly </w:t>
      </w:r>
      <w:r w:rsidR="000F4E4E" w:rsidRPr="0010795A">
        <w:rPr>
          <w:rFonts w:cs="Arial"/>
          <w:sz w:val="22"/>
          <w:szCs w:val="22"/>
        </w:rPr>
        <w:t>v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>těchto případech naplněny podmínky stanovené zákonem o veřejných zakázkách</w:t>
      </w:r>
      <w:r w:rsidR="00E3763F" w:rsidRPr="0010795A">
        <w:rPr>
          <w:rStyle w:val="Znakapoznpodarou"/>
          <w:sz w:val="22"/>
          <w:szCs w:val="22"/>
        </w:rPr>
        <w:footnoteReference w:id="32"/>
      </w:r>
      <w:r w:rsidR="00AE45FC" w:rsidRPr="0010795A">
        <w:rPr>
          <w:rFonts w:cs="Arial"/>
          <w:sz w:val="22"/>
          <w:szCs w:val="22"/>
        </w:rPr>
        <w:t>.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0F4E4E" w:rsidP="0010795A">
      <w:pPr>
        <w:jc w:val="both"/>
        <w:rPr>
          <w:rFonts w:cs="Arial"/>
          <w:sz w:val="22"/>
          <w:szCs w:val="22"/>
        </w:rPr>
      </w:pPr>
      <w:r w:rsidRPr="00CD45CE">
        <w:rPr>
          <w:rFonts w:cs="Arial"/>
          <w:b/>
          <w:sz w:val="22"/>
          <w:szCs w:val="22"/>
        </w:rPr>
        <w:t>V</w:t>
      </w:r>
      <w:r w:rsidR="004C5D1B" w:rsidRPr="00CD45CE">
        <w:rPr>
          <w:rFonts w:cs="Arial"/>
          <w:b/>
          <w:sz w:val="22"/>
          <w:szCs w:val="22"/>
        </w:rPr>
        <w:t xml:space="preserve"> </w:t>
      </w:r>
      <w:r w:rsidRPr="00CD45CE">
        <w:rPr>
          <w:rFonts w:cs="Arial"/>
          <w:b/>
          <w:sz w:val="22"/>
          <w:szCs w:val="22"/>
        </w:rPr>
        <w:t xml:space="preserve">případě projektu </w:t>
      </w:r>
      <w:r w:rsidRPr="00CD45CE">
        <w:rPr>
          <w:rFonts w:cs="Arial"/>
          <w:b/>
          <w:i/>
          <w:sz w:val="22"/>
          <w:szCs w:val="22"/>
        </w:rPr>
        <w:t>Dokončení vltavské vodní cesty v</w:t>
      </w:r>
      <w:r w:rsidR="004C5D1B" w:rsidRPr="00CD45CE">
        <w:rPr>
          <w:rFonts w:cs="Arial"/>
          <w:b/>
          <w:i/>
          <w:sz w:val="22"/>
          <w:szCs w:val="22"/>
        </w:rPr>
        <w:t xml:space="preserve"> </w:t>
      </w:r>
      <w:r w:rsidRPr="00CD45CE">
        <w:rPr>
          <w:rFonts w:cs="Arial"/>
          <w:b/>
          <w:i/>
          <w:sz w:val="22"/>
          <w:szCs w:val="22"/>
        </w:rPr>
        <w:t xml:space="preserve">úseku České Budějovice </w:t>
      </w:r>
      <w:r w:rsidR="00AB146A" w:rsidRPr="00CD45CE">
        <w:rPr>
          <w:rFonts w:cs="Arial"/>
          <w:b/>
          <w:i/>
          <w:sz w:val="22"/>
          <w:szCs w:val="22"/>
        </w:rPr>
        <w:t>–</w:t>
      </w:r>
      <w:r w:rsidRPr="00CD45CE">
        <w:rPr>
          <w:rFonts w:cs="Arial"/>
          <w:b/>
          <w:i/>
          <w:sz w:val="22"/>
          <w:szCs w:val="22"/>
        </w:rPr>
        <w:t xml:space="preserve"> Hluboká nad Vltavou</w:t>
      </w:r>
      <w:r w:rsidRPr="0010795A">
        <w:rPr>
          <w:rFonts w:cs="Arial"/>
          <w:sz w:val="22"/>
          <w:szCs w:val="22"/>
        </w:rPr>
        <w:t xml:space="preserve"> </w:t>
      </w:r>
      <w:r w:rsidR="008B7205" w:rsidRPr="0010795A">
        <w:rPr>
          <w:rFonts w:cs="Arial"/>
          <w:sz w:val="22"/>
          <w:szCs w:val="22"/>
        </w:rPr>
        <w:t>schválilo</w:t>
      </w:r>
      <w:r w:rsidR="008B7205">
        <w:rPr>
          <w:rFonts w:cs="Arial"/>
          <w:sz w:val="22"/>
          <w:szCs w:val="22"/>
        </w:rPr>
        <w:t xml:space="preserve"> </w:t>
      </w:r>
      <w:r w:rsidR="00035D61" w:rsidRPr="0010795A">
        <w:rPr>
          <w:rFonts w:cs="Arial"/>
          <w:sz w:val="22"/>
          <w:szCs w:val="22"/>
        </w:rPr>
        <w:t>MD v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prosinci 2008 </w:t>
      </w:r>
      <w:r w:rsidR="00090523" w:rsidRPr="0010795A">
        <w:rPr>
          <w:rFonts w:cs="Arial"/>
          <w:sz w:val="22"/>
          <w:szCs w:val="22"/>
        </w:rPr>
        <w:t xml:space="preserve">více než trojnásobné </w:t>
      </w:r>
      <w:r w:rsidRPr="0010795A">
        <w:rPr>
          <w:rFonts w:cs="Arial"/>
          <w:sz w:val="22"/>
          <w:szCs w:val="22"/>
        </w:rPr>
        <w:t>navýšení celkových investičních nákladů na 879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559 tis. Kč, aniž by se </w:t>
      </w:r>
      <w:r w:rsidR="009663D1">
        <w:rPr>
          <w:rFonts w:cs="Arial"/>
          <w:sz w:val="22"/>
          <w:szCs w:val="22"/>
        </w:rPr>
        <w:t>výrazněji</w:t>
      </w:r>
      <w:r w:rsidR="00863FFE">
        <w:rPr>
          <w:rFonts w:cs="Arial"/>
          <w:sz w:val="22"/>
          <w:szCs w:val="22"/>
        </w:rPr>
        <w:t xml:space="preserve"> změnil rozsah a </w:t>
      </w:r>
      <w:r w:rsidR="00035D61" w:rsidRPr="0010795A">
        <w:rPr>
          <w:rFonts w:cs="Arial"/>
          <w:sz w:val="22"/>
          <w:szCs w:val="22"/>
        </w:rPr>
        <w:t xml:space="preserve">obsah projektu, který schválilo v </w:t>
      </w:r>
      <w:r w:rsidRPr="0010795A">
        <w:rPr>
          <w:rFonts w:cs="Arial"/>
          <w:sz w:val="22"/>
          <w:szCs w:val="22"/>
        </w:rPr>
        <w:t>srpn</w:t>
      </w:r>
      <w:r w:rsidR="00035D61" w:rsidRPr="0010795A">
        <w:rPr>
          <w:rFonts w:cs="Arial"/>
          <w:sz w:val="22"/>
          <w:szCs w:val="22"/>
        </w:rPr>
        <w:t>u</w:t>
      </w:r>
      <w:r w:rsidRPr="0010795A">
        <w:rPr>
          <w:rFonts w:cs="Arial"/>
          <w:sz w:val="22"/>
          <w:szCs w:val="22"/>
        </w:rPr>
        <w:t xml:space="preserve"> 2007. Pro své rozhodování si MD nevyžádalo </w:t>
      </w:r>
      <w:r w:rsidR="00370967" w:rsidRPr="0010795A">
        <w:rPr>
          <w:rFonts w:cs="Arial"/>
          <w:sz w:val="22"/>
          <w:szCs w:val="22"/>
        </w:rPr>
        <w:t>dostatečné</w:t>
      </w:r>
      <w:r w:rsidRPr="0010795A">
        <w:rPr>
          <w:rFonts w:cs="Arial"/>
          <w:sz w:val="22"/>
          <w:szCs w:val="22"/>
        </w:rPr>
        <w:t xml:space="preserve"> doklady</w:t>
      </w:r>
      <w:r w:rsidR="008B7205">
        <w:rPr>
          <w:rFonts w:cs="Arial"/>
          <w:sz w:val="22"/>
          <w:szCs w:val="22"/>
        </w:rPr>
        <w:t>,</w:t>
      </w:r>
      <w:r w:rsidRPr="0010795A">
        <w:rPr>
          <w:rFonts w:cs="Arial"/>
          <w:sz w:val="22"/>
          <w:szCs w:val="22"/>
        </w:rPr>
        <w:t xml:space="preserve"> a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nemělo tedy možnost zabývat se skutečnými příčinami navýšení ani možnost </w:t>
      </w:r>
      <w:r w:rsidR="008B7205">
        <w:rPr>
          <w:rFonts w:cs="Arial"/>
          <w:sz w:val="22"/>
          <w:szCs w:val="22"/>
        </w:rPr>
        <w:t>ověřit správnost</w:t>
      </w:r>
      <w:r w:rsidRPr="0010795A">
        <w:rPr>
          <w:rFonts w:cs="Arial"/>
          <w:sz w:val="22"/>
          <w:szCs w:val="22"/>
        </w:rPr>
        <w:t xml:space="preserve"> postupu ŘVC z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hlediska </w:t>
      </w:r>
      <w:r w:rsidR="008B7205">
        <w:rPr>
          <w:rFonts w:cs="Arial"/>
          <w:sz w:val="22"/>
          <w:szCs w:val="22"/>
        </w:rPr>
        <w:t xml:space="preserve">zásad </w:t>
      </w:r>
      <w:r w:rsidRPr="0010795A">
        <w:rPr>
          <w:rFonts w:cs="Arial"/>
          <w:sz w:val="22"/>
          <w:szCs w:val="22"/>
        </w:rPr>
        <w:t xml:space="preserve">účelnosti a hospodárnosti. 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370967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lastRenderedPageBreak/>
        <w:t>Při úpravách a modernizaci</w:t>
      </w:r>
      <w:r w:rsidR="00F72024" w:rsidRPr="0010795A">
        <w:rPr>
          <w:rFonts w:cs="Arial"/>
          <w:sz w:val="22"/>
          <w:szCs w:val="22"/>
        </w:rPr>
        <w:t xml:space="preserve"> soukromé MVE d</w:t>
      </w:r>
      <w:r w:rsidR="000F4E4E" w:rsidRPr="0010795A">
        <w:rPr>
          <w:rFonts w:cs="Arial"/>
          <w:sz w:val="22"/>
          <w:szCs w:val="22"/>
        </w:rPr>
        <w:t>ošlo k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 xml:space="preserve">podstatnému zhodnocení cizího majetku bez náležitého majetkoprávního vypořádání. ŘVC </w:t>
      </w:r>
      <w:r w:rsidR="0079165D" w:rsidRPr="0010795A">
        <w:rPr>
          <w:rFonts w:cs="Arial"/>
          <w:sz w:val="22"/>
          <w:szCs w:val="22"/>
        </w:rPr>
        <w:t xml:space="preserve">nepostupovalo </w:t>
      </w:r>
      <w:r w:rsidR="000F4E4E" w:rsidRPr="0010795A">
        <w:rPr>
          <w:rFonts w:cs="Arial"/>
          <w:sz w:val="22"/>
          <w:szCs w:val="22"/>
        </w:rPr>
        <w:t>při přípravě a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>realizaci projektu v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>oblasti vyvolaných investic v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>souladu s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>platným právním předpisem</w:t>
      </w:r>
      <w:r w:rsidR="00F72024" w:rsidRPr="0010795A">
        <w:rPr>
          <w:rFonts w:cs="Arial"/>
          <w:sz w:val="22"/>
          <w:szCs w:val="22"/>
        </w:rPr>
        <w:t>.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0F4E4E" w:rsidP="0010795A">
      <w:pPr>
        <w:jc w:val="both"/>
        <w:rPr>
          <w:rFonts w:cs="Arial"/>
          <w:sz w:val="22"/>
          <w:szCs w:val="22"/>
        </w:rPr>
      </w:pPr>
      <w:r w:rsidRPr="00CD45CE">
        <w:rPr>
          <w:rFonts w:cs="Arial"/>
          <w:b/>
          <w:sz w:val="22"/>
          <w:szCs w:val="22"/>
        </w:rPr>
        <w:t xml:space="preserve">Podobně u projektu </w:t>
      </w:r>
      <w:r w:rsidRPr="00CD45CE">
        <w:rPr>
          <w:rFonts w:cs="Arial"/>
          <w:b/>
          <w:i/>
          <w:sz w:val="22"/>
          <w:szCs w:val="22"/>
        </w:rPr>
        <w:t>Dokončení vltavské vodní cesty v</w:t>
      </w:r>
      <w:r w:rsidR="004C5D1B" w:rsidRPr="00CD45CE">
        <w:rPr>
          <w:rFonts w:cs="Arial"/>
          <w:b/>
          <w:i/>
          <w:sz w:val="22"/>
          <w:szCs w:val="22"/>
        </w:rPr>
        <w:t xml:space="preserve"> </w:t>
      </w:r>
      <w:r w:rsidRPr="00CD45CE">
        <w:rPr>
          <w:rFonts w:cs="Arial"/>
          <w:b/>
          <w:i/>
          <w:sz w:val="22"/>
          <w:szCs w:val="22"/>
        </w:rPr>
        <w:t>úseku VD Hněvkovice – Týn nad Vltavou</w:t>
      </w:r>
      <w:r w:rsidR="00035D61" w:rsidRPr="0010795A">
        <w:rPr>
          <w:rFonts w:cs="Arial"/>
          <w:sz w:val="22"/>
          <w:szCs w:val="22"/>
        </w:rPr>
        <w:t xml:space="preserve"> </w:t>
      </w:r>
      <w:r w:rsidR="00270D68" w:rsidRPr="0010795A">
        <w:rPr>
          <w:rFonts w:cs="Arial"/>
          <w:sz w:val="22"/>
          <w:szCs w:val="22"/>
        </w:rPr>
        <w:t xml:space="preserve">souhlasilo </w:t>
      </w:r>
      <w:r w:rsidRPr="0010795A">
        <w:rPr>
          <w:rFonts w:cs="Arial"/>
          <w:sz w:val="22"/>
          <w:szCs w:val="22"/>
        </w:rPr>
        <w:t>MD v červenci 2009 s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více než dvojnásobným navýšením celkových investičních nákladů na 734 413 tis. Kč, které schválilo v srpnu 2007.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Pr="0010795A" w:rsidRDefault="000F4E4E" w:rsidP="0010795A">
      <w:pPr>
        <w:jc w:val="both"/>
        <w:rPr>
          <w:rFonts w:cs="Arial"/>
          <w:sz w:val="22"/>
          <w:szCs w:val="22"/>
        </w:rPr>
      </w:pPr>
      <w:r w:rsidRPr="00CD45CE">
        <w:rPr>
          <w:rFonts w:cs="Arial"/>
          <w:b/>
          <w:sz w:val="22"/>
          <w:szCs w:val="22"/>
        </w:rPr>
        <w:t xml:space="preserve">U projektu </w:t>
      </w:r>
      <w:r w:rsidRPr="00CD45CE">
        <w:rPr>
          <w:rFonts w:cs="Arial"/>
          <w:b/>
          <w:i/>
          <w:sz w:val="22"/>
          <w:szCs w:val="22"/>
        </w:rPr>
        <w:t xml:space="preserve">Veřejný přístav Ústí n. L. </w:t>
      </w:r>
      <w:r w:rsidR="00270D68">
        <w:rPr>
          <w:rFonts w:cs="Arial"/>
          <w:b/>
          <w:i/>
          <w:sz w:val="22"/>
          <w:szCs w:val="22"/>
        </w:rPr>
        <w:t>–</w:t>
      </w:r>
      <w:r w:rsidRPr="00CD45CE">
        <w:rPr>
          <w:rFonts w:cs="Arial"/>
          <w:b/>
          <w:i/>
          <w:sz w:val="22"/>
          <w:szCs w:val="22"/>
        </w:rPr>
        <w:t xml:space="preserve"> </w:t>
      </w:r>
      <w:proofErr w:type="spellStart"/>
      <w:r w:rsidRPr="00CD45CE">
        <w:rPr>
          <w:rFonts w:cs="Arial"/>
          <w:b/>
          <w:i/>
          <w:sz w:val="22"/>
          <w:szCs w:val="22"/>
        </w:rPr>
        <w:t>Vaňov</w:t>
      </w:r>
      <w:proofErr w:type="spellEnd"/>
      <w:r w:rsidRPr="00CD45CE">
        <w:rPr>
          <w:rFonts w:cs="Arial"/>
          <w:b/>
          <w:i/>
          <w:sz w:val="22"/>
          <w:szCs w:val="22"/>
        </w:rPr>
        <w:t>, modernizace překladní hrany s</w:t>
      </w:r>
      <w:r w:rsidR="00270D68">
        <w:rPr>
          <w:rFonts w:cs="Arial"/>
          <w:b/>
          <w:i/>
          <w:sz w:val="22"/>
          <w:szCs w:val="22"/>
        </w:rPr>
        <w:t> </w:t>
      </w:r>
      <w:r w:rsidRPr="00CD45CE">
        <w:rPr>
          <w:rFonts w:cs="Arial"/>
          <w:b/>
          <w:i/>
          <w:sz w:val="22"/>
          <w:szCs w:val="22"/>
        </w:rPr>
        <w:t>povodňovou ochranou plavidel</w:t>
      </w:r>
      <w:r w:rsidR="0015059A" w:rsidRPr="0010795A">
        <w:rPr>
          <w:rFonts w:cs="Arial"/>
          <w:sz w:val="22"/>
          <w:szCs w:val="22"/>
        </w:rPr>
        <w:t xml:space="preserve"> </w:t>
      </w:r>
      <w:r w:rsidR="00035D61" w:rsidRPr="0010795A">
        <w:rPr>
          <w:rFonts w:cs="Arial"/>
          <w:sz w:val="22"/>
          <w:szCs w:val="22"/>
        </w:rPr>
        <w:t xml:space="preserve">MD </w:t>
      </w:r>
      <w:r w:rsidR="00E3763F" w:rsidRPr="0010795A">
        <w:rPr>
          <w:rFonts w:cs="Arial"/>
          <w:sz w:val="22"/>
          <w:szCs w:val="22"/>
        </w:rPr>
        <w:t>s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odstupem pouhých tří měsíců</w:t>
      </w:r>
      <w:r w:rsidR="0079165D">
        <w:rPr>
          <w:rFonts w:cs="Arial"/>
          <w:sz w:val="22"/>
          <w:szCs w:val="22"/>
        </w:rPr>
        <w:t xml:space="preserve"> od schválení IZ</w:t>
      </w:r>
      <w:r w:rsidRPr="0010795A">
        <w:rPr>
          <w:rFonts w:cs="Arial"/>
          <w:sz w:val="22"/>
          <w:szCs w:val="22"/>
        </w:rPr>
        <w:t xml:space="preserve"> schválilo aktualizaci IZ s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téměř dvojnásobným navýšením celkových investičních nákladů projektu na </w:t>
      </w:r>
      <w:r w:rsidRPr="0010795A">
        <w:rPr>
          <w:rFonts w:cs="Arial"/>
          <w:bCs/>
          <w:sz w:val="22"/>
          <w:szCs w:val="22"/>
        </w:rPr>
        <w:t>123</w:t>
      </w:r>
      <w:r w:rsidR="006764CC" w:rsidRPr="0010795A">
        <w:rPr>
          <w:rFonts w:cs="Arial"/>
          <w:bCs/>
          <w:sz w:val="22"/>
          <w:szCs w:val="22"/>
        </w:rPr>
        <w:t> </w:t>
      </w:r>
      <w:r w:rsidRPr="0010795A">
        <w:rPr>
          <w:rFonts w:cs="Arial"/>
          <w:bCs/>
          <w:sz w:val="22"/>
          <w:szCs w:val="22"/>
        </w:rPr>
        <w:t>760</w:t>
      </w:r>
      <w:r w:rsidR="006764CC" w:rsidRPr="0010795A">
        <w:rPr>
          <w:rFonts w:cs="Arial"/>
          <w:bCs/>
          <w:sz w:val="22"/>
          <w:szCs w:val="22"/>
        </w:rPr>
        <w:t> </w:t>
      </w:r>
      <w:r w:rsidRPr="0010795A">
        <w:rPr>
          <w:rFonts w:cs="Arial"/>
          <w:sz w:val="22"/>
          <w:szCs w:val="22"/>
        </w:rPr>
        <w:t>tis.</w:t>
      </w:r>
      <w:r w:rsidR="006764CC" w:rsidRPr="0010795A">
        <w:rPr>
          <w:rFonts w:cs="Arial"/>
          <w:sz w:val="22"/>
          <w:szCs w:val="22"/>
        </w:rPr>
        <w:t> </w:t>
      </w:r>
      <w:r w:rsidR="00090523" w:rsidRPr="0010795A">
        <w:rPr>
          <w:rFonts w:cs="Arial"/>
          <w:sz w:val="22"/>
          <w:szCs w:val="22"/>
        </w:rPr>
        <w:t xml:space="preserve">Kč. </w:t>
      </w:r>
      <w:r w:rsidRPr="0010795A">
        <w:rPr>
          <w:rFonts w:cs="Arial"/>
          <w:sz w:val="22"/>
          <w:szCs w:val="22"/>
        </w:rPr>
        <w:t xml:space="preserve"> </w:t>
      </w:r>
    </w:p>
    <w:p w:rsidR="00E3763F" w:rsidRDefault="00E3763F" w:rsidP="0010795A">
      <w:pPr>
        <w:jc w:val="both"/>
        <w:rPr>
          <w:rFonts w:cs="Arial"/>
          <w:sz w:val="22"/>
          <w:szCs w:val="22"/>
        </w:rPr>
      </w:pPr>
    </w:p>
    <w:p w:rsidR="00270D68" w:rsidRPr="0010795A" w:rsidRDefault="00270D68" w:rsidP="0010795A">
      <w:pPr>
        <w:jc w:val="both"/>
        <w:rPr>
          <w:rFonts w:cs="Arial"/>
          <w:sz w:val="22"/>
          <w:szCs w:val="22"/>
        </w:rPr>
      </w:pPr>
    </w:p>
    <w:p w:rsidR="000F4E4E" w:rsidRPr="0010795A" w:rsidRDefault="000F4E4E" w:rsidP="0010795A">
      <w:pPr>
        <w:jc w:val="center"/>
        <w:rPr>
          <w:rFonts w:cs="Arial"/>
          <w:b/>
          <w:sz w:val="22"/>
          <w:szCs w:val="22"/>
          <w:lang w:eastAsia="en-US"/>
        </w:rPr>
      </w:pPr>
      <w:r w:rsidRPr="0010795A">
        <w:rPr>
          <w:rFonts w:cs="Arial"/>
          <w:b/>
          <w:sz w:val="22"/>
          <w:szCs w:val="22"/>
          <w:lang w:eastAsia="en-US"/>
        </w:rPr>
        <w:t>IV. Vyhodnocení</w:t>
      </w:r>
    </w:p>
    <w:p w:rsid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Default="000F4E4E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>V</w:t>
      </w:r>
      <w:r w:rsidR="004C5D1B" w:rsidRPr="0010795A">
        <w:rPr>
          <w:rFonts w:cs="Arial"/>
          <w:sz w:val="22"/>
          <w:szCs w:val="22"/>
        </w:rPr>
        <w:t xml:space="preserve"> </w:t>
      </w:r>
      <w:r w:rsidR="00037D02" w:rsidRPr="0010795A">
        <w:rPr>
          <w:rFonts w:cs="Arial"/>
          <w:sz w:val="22"/>
          <w:szCs w:val="22"/>
        </w:rPr>
        <w:t xml:space="preserve">kontrolní akci č. </w:t>
      </w:r>
      <w:r w:rsidRPr="0010795A">
        <w:rPr>
          <w:rFonts w:cs="Arial"/>
          <w:sz w:val="22"/>
          <w:szCs w:val="22"/>
        </w:rPr>
        <w:t xml:space="preserve">14/03 se </w:t>
      </w:r>
      <w:r w:rsidR="00037D02" w:rsidRPr="0010795A">
        <w:rPr>
          <w:rFonts w:cs="Arial"/>
          <w:sz w:val="22"/>
          <w:szCs w:val="22"/>
        </w:rPr>
        <w:t>opakují nedostatky</w:t>
      </w:r>
      <w:r w:rsidR="00F72024" w:rsidRPr="0010795A">
        <w:rPr>
          <w:rFonts w:cs="Arial"/>
          <w:sz w:val="22"/>
          <w:szCs w:val="22"/>
        </w:rPr>
        <w:t>,</w:t>
      </w:r>
      <w:r w:rsidRPr="0010795A">
        <w:rPr>
          <w:rFonts w:cs="Arial"/>
          <w:sz w:val="22"/>
          <w:szCs w:val="22"/>
        </w:rPr>
        <w:t xml:space="preserve"> </w:t>
      </w:r>
      <w:r w:rsidR="00090523" w:rsidRPr="0010795A">
        <w:rPr>
          <w:rFonts w:cs="Arial"/>
          <w:sz w:val="22"/>
          <w:szCs w:val="22"/>
        </w:rPr>
        <w:t xml:space="preserve">na </w:t>
      </w:r>
      <w:r w:rsidR="000705F2" w:rsidRPr="0010795A">
        <w:rPr>
          <w:rFonts w:cs="Arial"/>
          <w:sz w:val="22"/>
          <w:szCs w:val="22"/>
        </w:rPr>
        <w:t xml:space="preserve">které NKÚ </w:t>
      </w:r>
      <w:r w:rsidR="00090523" w:rsidRPr="0010795A">
        <w:rPr>
          <w:rFonts w:cs="Arial"/>
          <w:sz w:val="22"/>
          <w:szCs w:val="22"/>
        </w:rPr>
        <w:t>upozornil</w:t>
      </w:r>
      <w:r w:rsidR="000705F2" w:rsidRPr="0010795A">
        <w:rPr>
          <w:rFonts w:cs="Arial"/>
          <w:sz w:val="22"/>
          <w:szCs w:val="22"/>
        </w:rPr>
        <w:t xml:space="preserve"> již v</w:t>
      </w:r>
      <w:r w:rsidR="004C5D1B" w:rsidRPr="0010795A">
        <w:rPr>
          <w:rFonts w:cs="Arial"/>
          <w:sz w:val="22"/>
          <w:szCs w:val="22"/>
        </w:rPr>
        <w:t xml:space="preserve"> </w:t>
      </w:r>
      <w:r w:rsidR="000705F2" w:rsidRPr="0010795A">
        <w:rPr>
          <w:rFonts w:cs="Arial"/>
          <w:sz w:val="22"/>
          <w:szCs w:val="22"/>
        </w:rPr>
        <w:t>kontrolní akci č.</w:t>
      </w:r>
      <w:r w:rsidR="003C7F30" w:rsidRPr="0010795A">
        <w:rPr>
          <w:rFonts w:cs="Arial"/>
          <w:sz w:val="22"/>
          <w:szCs w:val="22"/>
        </w:rPr>
        <w:t> </w:t>
      </w:r>
      <w:r w:rsidR="000705F2" w:rsidRPr="0010795A">
        <w:rPr>
          <w:rFonts w:cs="Arial"/>
          <w:sz w:val="22"/>
          <w:szCs w:val="22"/>
        </w:rPr>
        <w:t xml:space="preserve">08/19 </w:t>
      </w:r>
      <w:r w:rsidR="00270D68">
        <w:rPr>
          <w:rFonts w:cs="Arial"/>
          <w:sz w:val="22"/>
          <w:szCs w:val="22"/>
        </w:rPr>
        <w:t>ukončené v listopadu 2008</w:t>
      </w:r>
      <w:r w:rsidR="000705F2" w:rsidRPr="0010795A">
        <w:rPr>
          <w:rFonts w:cs="Arial"/>
          <w:sz w:val="22"/>
          <w:szCs w:val="22"/>
        </w:rPr>
        <w:t xml:space="preserve">, </w:t>
      </w:r>
      <w:r w:rsidR="0079165D">
        <w:rPr>
          <w:rFonts w:cs="Arial"/>
          <w:sz w:val="22"/>
          <w:szCs w:val="22"/>
        </w:rPr>
        <w:t>jsou to</w:t>
      </w:r>
      <w:r w:rsidRPr="0010795A">
        <w:rPr>
          <w:rFonts w:cs="Arial"/>
          <w:sz w:val="22"/>
          <w:szCs w:val="22"/>
        </w:rPr>
        <w:t xml:space="preserve"> např. </w:t>
      </w:r>
      <w:r w:rsidR="00F72024" w:rsidRPr="00CD45CE">
        <w:rPr>
          <w:rFonts w:cs="Arial"/>
          <w:sz w:val="22"/>
          <w:szCs w:val="22"/>
        </w:rPr>
        <w:t>neúčinný systém řízení</w:t>
      </w:r>
      <w:r w:rsidR="00F72024" w:rsidRPr="00BC7EB0">
        <w:rPr>
          <w:rFonts w:cs="Arial"/>
          <w:sz w:val="22"/>
          <w:szCs w:val="22"/>
        </w:rPr>
        <w:t xml:space="preserve">, </w:t>
      </w:r>
      <w:r w:rsidR="00F72024" w:rsidRPr="00CD45CE">
        <w:rPr>
          <w:rFonts w:cs="Arial"/>
          <w:sz w:val="22"/>
          <w:szCs w:val="22"/>
        </w:rPr>
        <w:t>vícepráce plynoucí z</w:t>
      </w:r>
      <w:r w:rsidR="004C5D1B" w:rsidRPr="00CD45CE">
        <w:rPr>
          <w:rFonts w:cs="Arial"/>
          <w:sz w:val="22"/>
          <w:szCs w:val="22"/>
        </w:rPr>
        <w:t xml:space="preserve"> </w:t>
      </w:r>
      <w:r w:rsidR="00F72024" w:rsidRPr="00CD45CE">
        <w:rPr>
          <w:rFonts w:cs="Arial"/>
          <w:sz w:val="22"/>
          <w:szCs w:val="22"/>
        </w:rPr>
        <w:t>nedostatečné přípravy projektů</w:t>
      </w:r>
      <w:r w:rsidR="00F72024" w:rsidRPr="00BC7EB0">
        <w:rPr>
          <w:rFonts w:cs="Arial"/>
          <w:sz w:val="22"/>
          <w:szCs w:val="22"/>
        </w:rPr>
        <w:t xml:space="preserve"> či </w:t>
      </w:r>
      <w:r w:rsidRPr="00CD45CE">
        <w:rPr>
          <w:rFonts w:cs="Arial"/>
          <w:sz w:val="22"/>
          <w:szCs w:val="22"/>
        </w:rPr>
        <w:t>nepodložená ekonomická hodnocení projektů</w:t>
      </w:r>
      <w:r w:rsidRPr="0010795A">
        <w:rPr>
          <w:rFonts w:cs="Arial"/>
          <w:sz w:val="22"/>
          <w:szCs w:val="22"/>
        </w:rPr>
        <w:t xml:space="preserve">. 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F72024" w:rsidRDefault="00F72024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 xml:space="preserve">Na základě prověření klíčových prvků řídicího a kontrolního systému v rámci prioritní osy 6 OPD </w:t>
      </w:r>
      <w:r w:rsidR="009C00AA" w:rsidRPr="0010795A">
        <w:rPr>
          <w:rFonts w:cs="Arial"/>
          <w:sz w:val="22"/>
          <w:szCs w:val="22"/>
        </w:rPr>
        <w:t>vyhodnotil NKÚ</w:t>
      </w:r>
      <w:r w:rsidRPr="0010795A">
        <w:rPr>
          <w:rFonts w:cs="Arial"/>
          <w:sz w:val="22"/>
          <w:szCs w:val="22"/>
        </w:rPr>
        <w:t xml:space="preserve"> tento systém jako neúčinný, zejména v oblasti podpory 6.2 OPD ve vztahu k příjemci ŘVC. K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závažným nedostatkům patří zejména </w:t>
      </w:r>
      <w:r w:rsidR="00037D02" w:rsidRPr="0010795A">
        <w:rPr>
          <w:rFonts w:cs="Arial"/>
          <w:sz w:val="22"/>
          <w:szCs w:val="22"/>
        </w:rPr>
        <w:t>nedůsledné hodnocení a</w:t>
      </w:r>
      <w:r w:rsidR="003C7F30" w:rsidRPr="0010795A">
        <w:rPr>
          <w:rFonts w:cs="Arial"/>
          <w:sz w:val="22"/>
          <w:szCs w:val="22"/>
        </w:rPr>
        <w:t> </w:t>
      </w:r>
      <w:r w:rsidR="00037D02" w:rsidRPr="0010795A">
        <w:rPr>
          <w:rFonts w:cs="Arial"/>
          <w:sz w:val="22"/>
          <w:szCs w:val="22"/>
        </w:rPr>
        <w:t>výběr projektů k</w:t>
      </w:r>
      <w:r w:rsidR="004C5D1B" w:rsidRPr="0010795A">
        <w:rPr>
          <w:rFonts w:cs="Arial"/>
          <w:sz w:val="22"/>
          <w:szCs w:val="22"/>
        </w:rPr>
        <w:t xml:space="preserve"> </w:t>
      </w:r>
      <w:r w:rsidR="00037D02" w:rsidRPr="0010795A">
        <w:rPr>
          <w:rFonts w:cs="Arial"/>
          <w:sz w:val="22"/>
          <w:szCs w:val="22"/>
        </w:rPr>
        <w:t xml:space="preserve">financování, </w:t>
      </w:r>
      <w:r w:rsidRPr="0010795A">
        <w:rPr>
          <w:rFonts w:cs="Arial"/>
          <w:sz w:val="22"/>
          <w:szCs w:val="22"/>
        </w:rPr>
        <w:t xml:space="preserve">nejednoznačné postupy pro ověřování způsobilosti výdajů, </w:t>
      </w:r>
      <w:r w:rsidR="00037D02" w:rsidRPr="0010795A">
        <w:rPr>
          <w:rFonts w:cs="Arial"/>
          <w:sz w:val="22"/>
          <w:szCs w:val="22"/>
        </w:rPr>
        <w:t>nedůsledné provádění kontrol projektů v</w:t>
      </w:r>
      <w:r w:rsidR="004C5D1B" w:rsidRPr="0010795A">
        <w:rPr>
          <w:rFonts w:cs="Arial"/>
          <w:sz w:val="22"/>
          <w:szCs w:val="22"/>
        </w:rPr>
        <w:t xml:space="preserve"> </w:t>
      </w:r>
      <w:r w:rsidR="00037D02" w:rsidRPr="0010795A">
        <w:rPr>
          <w:rFonts w:cs="Arial"/>
          <w:sz w:val="22"/>
          <w:szCs w:val="22"/>
        </w:rPr>
        <w:t>oblasti ověřování způsobilosti výdajů</w:t>
      </w:r>
      <w:r w:rsidR="0079165D">
        <w:rPr>
          <w:rFonts w:cs="Arial"/>
          <w:sz w:val="22"/>
          <w:szCs w:val="22"/>
        </w:rPr>
        <w:t>,</w:t>
      </w:r>
      <w:r w:rsidR="00037D02" w:rsidRPr="0010795A">
        <w:rPr>
          <w:rFonts w:cs="Arial"/>
          <w:sz w:val="22"/>
          <w:szCs w:val="22"/>
        </w:rPr>
        <w:t xml:space="preserve"> zejména z pohledu hospodár</w:t>
      </w:r>
      <w:r w:rsidR="003B5E20" w:rsidRPr="0010795A">
        <w:rPr>
          <w:rFonts w:cs="Arial"/>
          <w:sz w:val="22"/>
          <w:szCs w:val="22"/>
        </w:rPr>
        <w:t>nosti, účelnosti a efektivnosti</w:t>
      </w:r>
      <w:r w:rsidR="00037D02" w:rsidRPr="0010795A">
        <w:rPr>
          <w:rFonts w:cs="Arial"/>
          <w:sz w:val="22"/>
          <w:szCs w:val="22"/>
        </w:rPr>
        <w:t xml:space="preserve">, </w:t>
      </w:r>
      <w:r w:rsidR="0079165D">
        <w:rPr>
          <w:rFonts w:cs="Arial"/>
          <w:sz w:val="22"/>
          <w:szCs w:val="22"/>
        </w:rPr>
        <w:t xml:space="preserve">dále </w:t>
      </w:r>
      <w:r w:rsidRPr="0010795A">
        <w:rPr>
          <w:rFonts w:cs="Arial"/>
          <w:sz w:val="22"/>
          <w:szCs w:val="22"/>
        </w:rPr>
        <w:t>neefektivní nastavení a nedostatečné využívání systému monitorování jako nástroje řízení operačního programu, nedůsledné vyhodnocování skutečných přínosů a efektů podpořených projektů v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oblasti vodní dopravy. </w:t>
      </w:r>
    </w:p>
    <w:p w:rsidR="0010795A" w:rsidRP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Pr="0010795A" w:rsidRDefault="000F4E4E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>NKÚ doporučuje</w:t>
      </w:r>
      <w:r w:rsidR="00BC7EB0">
        <w:rPr>
          <w:rFonts w:cs="Arial"/>
          <w:sz w:val="22"/>
          <w:szCs w:val="22"/>
        </w:rPr>
        <w:t>, aby</w:t>
      </w:r>
      <w:r w:rsidRPr="0010795A">
        <w:rPr>
          <w:rFonts w:cs="Arial"/>
          <w:sz w:val="22"/>
          <w:szCs w:val="22"/>
        </w:rPr>
        <w:t xml:space="preserve"> MD </w:t>
      </w:r>
      <w:r w:rsidR="00037D02" w:rsidRPr="0010795A">
        <w:rPr>
          <w:rFonts w:cs="Arial"/>
          <w:sz w:val="22"/>
          <w:szCs w:val="22"/>
        </w:rPr>
        <w:t>zkoordinova</w:t>
      </w:r>
      <w:r w:rsidR="00BC7EB0">
        <w:rPr>
          <w:rFonts w:cs="Arial"/>
          <w:sz w:val="22"/>
          <w:szCs w:val="22"/>
        </w:rPr>
        <w:t>lo</w:t>
      </w:r>
      <w:r w:rsidR="00037D02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reálný postup při přípravě a realizaci projektů s</w:t>
      </w:r>
      <w:r w:rsidR="00370967" w:rsidRPr="0010795A">
        <w:rPr>
          <w:rFonts w:cs="Arial"/>
          <w:sz w:val="22"/>
          <w:szCs w:val="22"/>
        </w:rPr>
        <w:t>e</w:t>
      </w:r>
      <w:r w:rsidRPr="0010795A">
        <w:rPr>
          <w:rFonts w:cs="Arial"/>
          <w:sz w:val="22"/>
          <w:szCs w:val="22"/>
        </w:rPr>
        <w:t xml:space="preserve"> </w:t>
      </w:r>
      <w:r w:rsidR="00350BB9" w:rsidRPr="0010795A">
        <w:rPr>
          <w:rFonts w:cs="Arial"/>
          <w:sz w:val="22"/>
          <w:szCs w:val="22"/>
        </w:rPr>
        <w:t xml:space="preserve">schválenými </w:t>
      </w:r>
      <w:r w:rsidR="00370967" w:rsidRPr="0010795A">
        <w:rPr>
          <w:rFonts w:cs="Arial"/>
          <w:sz w:val="22"/>
          <w:szCs w:val="22"/>
        </w:rPr>
        <w:t xml:space="preserve">koncepčními </w:t>
      </w:r>
      <w:r w:rsidRPr="0010795A">
        <w:rPr>
          <w:rFonts w:cs="Arial"/>
          <w:sz w:val="22"/>
          <w:szCs w:val="22"/>
        </w:rPr>
        <w:t>dokumenty. Například v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Dopravních strategiích</w:t>
      </w:r>
      <w:r w:rsidR="00370967" w:rsidRPr="0010795A">
        <w:rPr>
          <w:rFonts w:cs="Arial"/>
          <w:sz w:val="22"/>
          <w:szCs w:val="22"/>
        </w:rPr>
        <w:t xml:space="preserve"> se doporučuje hodnotit jednotlivé projekty v</w:t>
      </w:r>
      <w:r w:rsidR="004C5D1B" w:rsidRPr="0010795A">
        <w:rPr>
          <w:rFonts w:cs="Arial"/>
          <w:sz w:val="22"/>
          <w:szCs w:val="22"/>
        </w:rPr>
        <w:t xml:space="preserve"> </w:t>
      </w:r>
      <w:r w:rsidR="00370967" w:rsidRPr="0010795A">
        <w:rPr>
          <w:rFonts w:cs="Arial"/>
          <w:sz w:val="22"/>
          <w:szCs w:val="22"/>
        </w:rPr>
        <w:t>rámci ucelených dopravních řešení (clust</w:t>
      </w:r>
      <w:r w:rsidR="0079165D">
        <w:rPr>
          <w:rFonts w:cs="Arial"/>
          <w:sz w:val="22"/>
          <w:szCs w:val="22"/>
        </w:rPr>
        <w:t>e</w:t>
      </w:r>
      <w:r w:rsidR="00370967" w:rsidRPr="0010795A">
        <w:rPr>
          <w:rFonts w:cs="Arial"/>
          <w:sz w:val="22"/>
          <w:szCs w:val="22"/>
        </w:rPr>
        <w:t xml:space="preserve">rů). Dále </w:t>
      </w:r>
      <w:r w:rsidR="0079165D">
        <w:rPr>
          <w:rFonts w:cs="Arial"/>
          <w:sz w:val="22"/>
          <w:szCs w:val="22"/>
        </w:rPr>
        <w:t>tento materiál</w:t>
      </w:r>
      <w:r w:rsidR="00370967" w:rsidRPr="0010795A">
        <w:rPr>
          <w:rFonts w:cs="Arial"/>
          <w:sz w:val="22"/>
          <w:szCs w:val="22"/>
        </w:rPr>
        <w:t xml:space="preserve"> uvádí, že</w:t>
      </w:r>
      <w:r w:rsidRPr="0010795A">
        <w:rPr>
          <w:rFonts w:cs="Arial"/>
          <w:sz w:val="22"/>
          <w:szCs w:val="22"/>
        </w:rPr>
        <w:t xml:space="preserve"> </w:t>
      </w:r>
      <w:r w:rsidR="00230666" w:rsidRPr="0010795A">
        <w:rPr>
          <w:rFonts w:cs="Arial"/>
          <w:sz w:val="22"/>
          <w:szCs w:val="22"/>
        </w:rPr>
        <w:t>„</w:t>
      </w:r>
      <w:r w:rsidR="00BC7EB0">
        <w:rPr>
          <w:rFonts w:cs="Arial"/>
          <w:i/>
          <w:sz w:val="22"/>
          <w:szCs w:val="22"/>
        </w:rPr>
        <w:t>z</w:t>
      </w:r>
      <w:r w:rsidRPr="0010795A">
        <w:rPr>
          <w:rFonts w:cs="Arial"/>
          <w:i/>
          <w:sz w:val="22"/>
          <w:szCs w:val="22"/>
        </w:rPr>
        <w:t xml:space="preserve">cela klíčové </w:t>
      </w:r>
      <w:r w:rsidR="00573A2B" w:rsidRPr="0010795A">
        <w:rPr>
          <w:rFonts w:cs="Arial"/>
          <w:i/>
          <w:sz w:val="22"/>
          <w:szCs w:val="22"/>
        </w:rPr>
        <w:t>pro fungující systém vodní dopravy v</w:t>
      </w:r>
      <w:r w:rsidR="004C5D1B" w:rsidRPr="0010795A">
        <w:rPr>
          <w:rFonts w:cs="Arial"/>
          <w:i/>
          <w:sz w:val="22"/>
          <w:szCs w:val="22"/>
        </w:rPr>
        <w:t xml:space="preserve"> </w:t>
      </w:r>
      <w:r w:rsidR="00573A2B" w:rsidRPr="0010795A">
        <w:rPr>
          <w:rFonts w:cs="Arial"/>
          <w:i/>
          <w:sz w:val="22"/>
          <w:szCs w:val="22"/>
        </w:rPr>
        <w:t>ČR a pro plnění dopravních potřeb státu je</w:t>
      </w:r>
      <w:r w:rsidRPr="0010795A">
        <w:rPr>
          <w:rFonts w:cs="Arial"/>
          <w:i/>
          <w:sz w:val="22"/>
          <w:szCs w:val="22"/>
        </w:rPr>
        <w:t xml:space="preserve"> zlepšení plavebních podmínek na Dolním Labi v</w:t>
      </w:r>
      <w:r w:rsidR="0026285E">
        <w:rPr>
          <w:rFonts w:cs="Arial"/>
          <w:i/>
          <w:sz w:val="22"/>
          <w:szCs w:val="22"/>
        </w:rPr>
        <w:t> </w:t>
      </w:r>
      <w:r w:rsidRPr="0010795A">
        <w:rPr>
          <w:rFonts w:cs="Arial"/>
          <w:i/>
          <w:sz w:val="22"/>
          <w:szCs w:val="22"/>
        </w:rPr>
        <w:t>úseku</w:t>
      </w:r>
      <w:r w:rsidR="0026285E">
        <w:rPr>
          <w:rFonts w:cs="Arial"/>
          <w:i/>
          <w:sz w:val="22"/>
          <w:szCs w:val="22"/>
        </w:rPr>
        <w:br/>
      </w:r>
      <w:proofErr w:type="spellStart"/>
      <w:r w:rsidRPr="0010795A">
        <w:rPr>
          <w:rFonts w:cs="Arial"/>
          <w:i/>
          <w:sz w:val="22"/>
          <w:szCs w:val="22"/>
        </w:rPr>
        <w:t>Střekov</w:t>
      </w:r>
      <w:proofErr w:type="spellEnd"/>
      <w:r w:rsidRPr="0010795A">
        <w:rPr>
          <w:rFonts w:cs="Arial"/>
          <w:i/>
          <w:sz w:val="22"/>
          <w:szCs w:val="22"/>
        </w:rPr>
        <w:t xml:space="preserve"> – státní hranice CZ/DE</w:t>
      </w:r>
      <w:r w:rsidR="003B5E20" w:rsidRPr="00CD45CE">
        <w:rPr>
          <w:rFonts w:cs="Arial"/>
          <w:sz w:val="22"/>
          <w:szCs w:val="22"/>
        </w:rPr>
        <w:t>“</w:t>
      </w:r>
      <w:r w:rsidR="00090523" w:rsidRPr="0010795A">
        <w:rPr>
          <w:rFonts w:cs="Arial"/>
          <w:i/>
          <w:sz w:val="22"/>
          <w:szCs w:val="22"/>
        </w:rPr>
        <w:t>.</w:t>
      </w:r>
      <w:r w:rsidRPr="0010795A">
        <w:rPr>
          <w:rFonts w:cs="Arial"/>
          <w:sz w:val="22"/>
          <w:szCs w:val="22"/>
        </w:rPr>
        <w:t xml:space="preserve"> </w:t>
      </w:r>
      <w:r w:rsidR="00AC52BB" w:rsidRPr="0010795A">
        <w:rPr>
          <w:rFonts w:cs="Arial"/>
          <w:sz w:val="22"/>
          <w:szCs w:val="22"/>
        </w:rPr>
        <w:t xml:space="preserve">Tyto </w:t>
      </w:r>
      <w:r w:rsidR="005664B5" w:rsidRPr="0010795A">
        <w:rPr>
          <w:rFonts w:cs="Arial"/>
          <w:sz w:val="22"/>
          <w:szCs w:val="22"/>
        </w:rPr>
        <w:t>postupy</w:t>
      </w:r>
      <w:r w:rsidR="00AC52BB" w:rsidRPr="0010795A">
        <w:rPr>
          <w:rFonts w:cs="Arial"/>
          <w:sz w:val="22"/>
          <w:szCs w:val="22"/>
        </w:rPr>
        <w:t xml:space="preserve"> se však dosud nenaplňují. </w:t>
      </w:r>
    </w:p>
    <w:p w:rsidR="0010795A" w:rsidRDefault="0010795A" w:rsidP="0010795A">
      <w:pPr>
        <w:jc w:val="both"/>
        <w:rPr>
          <w:rFonts w:cs="Arial"/>
          <w:sz w:val="22"/>
          <w:szCs w:val="22"/>
        </w:rPr>
      </w:pPr>
    </w:p>
    <w:p w:rsidR="000F4E4E" w:rsidRPr="0010795A" w:rsidRDefault="0079165D" w:rsidP="0010795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 se týče problematiky</w:t>
      </w:r>
      <w:r w:rsidR="000F4E4E" w:rsidRPr="0010795A">
        <w:rPr>
          <w:rFonts w:cs="Arial"/>
          <w:sz w:val="22"/>
          <w:szCs w:val="22"/>
        </w:rPr>
        <w:t xml:space="preserve"> koncepčních a na ně navazujících dokumentů pro oblast vodní dopravy</w:t>
      </w:r>
      <w:r>
        <w:rPr>
          <w:rFonts w:cs="Arial"/>
          <w:sz w:val="22"/>
          <w:szCs w:val="22"/>
        </w:rPr>
        <w:t>,</w:t>
      </w:r>
      <w:r w:rsidR="000F4E4E" w:rsidRPr="0010795A">
        <w:rPr>
          <w:rFonts w:cs="Arial"/>
          <w:sz w:val="22"/>
          <w:szCs w:val="22"/>
        </w:rPr>
        <w:t xml:space="preserve"> MD </w:t>
      </w:r>
      <w:r w:rsidR="00D73B0D" w:rsidRPr="0010795A">
        <w:rPr>
          <w:rFonts w:cs="Arial"/>
          <w:sz w:val="22"/>
          <w:szCs w:val="22"/>
        </w:rPr>
        <w:t>potvrdilo</w:t>
      </w:r>
      <w:r w:rsidR="000F4E4E" w:rsidRPr="0010795A">
        <w:rPr>
          <w:rFonts w:cs="Arial"/>
          <w:sz w:val="22"/>
          <w:szCs w:val="22"/>
        </w:rPr>
        <w:t>,</w:t>
      </w:r>
      <w:r w:rsidR="000F4E4E" w:rsidRPr="0010795A">
        <w:rPr>
          <w:rFonts w:cs="Arial"/>
          <w:i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 xml:space="preserve">že dosud </w:t>
      </w:r>
      <w:r w:rsidR="00037D02" w:rsidRPr="0010795A">
        <w:rPr>
          <w:rFonts w:cs="Arial"/>
          <w:sz w:val="22"/>
          <w:szCs w:val="22"/>
        </w:rPr>
        <w:t>nemá materiál</w:t>
      </w:r>
      <w:r w:rsidR="000F4E4E" w:rsidRPr="0010795A">
        <w:rPr>
          <w:rFonts w:cs="Arial"/>
          <w:sz w:val="22"/>
          <w:szCs w:val="22"/>
        </w:rPr>
        <w:t>, který by se zabýval mj.</w:t>
      </w:r>
      <w:r w:rsidR="00A5590D">
        <w:rPr>
          <w:rFonts w:cs="Arial"/>
          <w:sz w:val="22"/>
          <w:szCs w:val="22"/>
        </w:rPr>
        <w:t> r</w:t>
      </w:r>
      <w:r w:rsidR="000F4E4E" w:rsidRPr="0010795A">
        <w:rPr>
          <w:rFonts w:cs="Arial"/>
          <w:sz w:val="22"/>
          <w:szCs w:val="22"/>
        </w:rPr>
        <w:t>ozvojem celé labské vodní cesty v potřebné míře podrobnosti</w:t>
      </w:r>
      <w:r w:rsidR="00BC7EB0">
        <w:rPr>
          <w:rFonts w:cs="Arial"/>
          <w:sz w:val="22"/>
          <w:szCs w:val="22"/>
        </w:rPr>
        <w:t>,</w:t>
      </w:r>
      <w:r w:rsidR="000F4E4E" w:rsidRPr="0010795A">
        <w:rPr>
          <w:rFonts w:cs="Arial"/>
          <w:sz w:val="22"/>
          <w:szCs w:val="22"/>
        </w:rPr>
        <w:t xml:space="preserve"> a odkázalo na připravovaný dokument </w:t>
      </w:r>
      <w:r w:rsidR="000F4E4E" w:rsidRPr="0010795A">
        <w:rPr>
          <w:rFonts w:cs="Arial"/>
          <w:i/>
          <w:sz w:val="22"/>
          <w:szCs w:val="22"/>
        </w:rPr>
        <w:t>Koncepce vodní dopravy</w:t>
      </w:r>
      <w:r w:rsidR="000F4E4E" w:rsidRPr="0010795A">
        <w:rPr>
          <w:rFonts w:cs="Arial"/>
          <w:sz w:val="22"/>
          <w:szCs w:val="22"/>
        </w:rPr>
        <w:t>, jehož dopracování předpokládá v</w:t>
      </w:r>
      <w:r w:rsidR="004C5D1B" w:rsidRPr="0010795A">
        <w:rPr>
          <w:rFonts w:cs="Arial"/>
          <w:sz w:val="22"/>
          <w:szCs w:val="22"/>
        </w:rPr>
        <w:t xml:space="preserve"> </w:t>
      </w:r>
      <w:r w:rsidR="000F4E4E" w:rsidRPr="0010795A">
        <w:rPr>
          <w:rFonts w:cs="Arial"/>
          <w:sz w:val="22"/>
          <w:szCs w:val="22"/>
        </w:rPr>
        <w:t>říjnu 2014.</w:t>
      </w:r>
    </w:p>
    <w:p w:rsidR="0010795A" w:rsidRDefault="0010795A" w:rsidP="0010795A">
      <w:pPr>
        <w:jc w:val="both"/>
        <w:rPr>
          <w:rFonts w:cs="Arial"/>
          <w:sz w:val="22"/>
          <w:szCs w:val="22"/>
        </w:rPr>
      </w:pPr>
    </w:p>
    <w:p w:rsidR="005664B5" w:rsidRPr="0010795A" w:rsidRDefault="005664B5" w:rsidP="0010795A">
      <w:pPr>
        <w:jc w:val="both"/>
        <w:rPr>
          <w:rFonts w:cs="Arial"/>
          <w:sz w:val="22"/>
          <w:szCs w:val="22"/>
        </w:rPr>
      </w:pPr>
      <w:r w:rsidRPr="0010795A">
        <w:rPr>
          <w:rFonts w:cs="Arial"/>
          <w:sz w:val="22"/>
          <w:szCs w:val="22"/>
        </w:rPr>
        <w:t>Podíl vodní dopravy na nákladní dopravě zůstává zanedbatelný (v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>posledních pěti letech dosáhl nejvýše 0,43 % objemu přepraveného zboží v</w:t>
      </w:r>
      <w:r w:rsidR="004C5D1B" w:rsidRPr="0010795A">
        <w:rPr>
          <w:rFonts w:cs="Arial"/>
          <w:sz w:val="22"/>
          <w:szCs w:val="22"/>
        </w:rPr>
        <w:t xml:space="preserve"> </w:t>
      </w:r>
      <w:r w:rsidRPr="0010795A">
        <w:rPr>
          <w:rFonts w:cs="Arial"/>
          <w:sz w:val="22"/>
          <w:szCs w:val="22"/>
        </w:rPr>
        <w:t xml:space="preserve">tunách a 1,1 % přepravních výkonů v tunokilometrech) a počet překladišť </w:t>
      </w:r>
      <w:r w:rsidR="0079165D">
        <w:rPr>
          <w:rFonts w:cs="Arial"/>
          <w:sz w:val="22"/>
          <w:szCs w:val="22"/>
        </w:rPr>
        <w:t>napojených na</w:t>
      </w:r>
      <w:r w:rsidR="00CA36D3">
        <w:rPr>
          <w:rFonts w:cs="Arial"/>
          <w:sz w:val="22"/>
          <w:szCs w:val="22"/>
        </w:rPr>
        <w:t xml:space="preserve"> vodní dopravu se nezměnil.</w:t>
      </w:r>
    </w:p>
    <w:sectPr w:rsidR="005664B5" w:rsidRPr="0010795A" w:rsidSect="00326D76">
      <w:footerReference w:type="default" r:id="rId10"/>
      <w:pgSz w:w="11906" w:h="16838"/>
      <w:pgMar w:top="1417" w:right="1417" w:bottom="1417" w:left="1417" w:header="70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A3" w:rsidRDefault="007D62A3">
      <w:r>
        <w:separator/>
      </w:r>
    </w:p>
  </w:endnote>
  <w:endnote w:type="continuationSeparator" w:id="0">
    <w:p w:rsidR="007D62A3" w:rsidRDefault="007D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A3" w:rsidRDefault="007D62A3" w:rsidP="002F2630">
    <w:pPr>
      <w:pStyle w:val="Zpat"/>
      <w:jc w:val="center"/>
    </w:pPr>
    <w:r w:rsidRPr="001C4863">
      <w:rPr>
        <w:rFonts w:cs="Arial"/>
        <w:sz w:val="22"/>
        <w:szCs w:val="22"/>
      </w:rPr>
      <w:fldChar w:fldCharType="begin"/>
    </w:r>
    <w:r w:rsidRPr="001C4863">
      <w:rPr>
        <w:rFonts w:cs="Arial"/>
        <w:sz w:val="22"/>
        <w:szCs w:val="22"/>
      </w:rPr>
      <w:instrText xml:space="preserve"> PAGE   \* MERGEFORMAT </w:instrText>
    </w:r>
    <w:r w:rsidRPr="001C4863">
      <w:rPr>
        <w:rFonts w:cs="Arial"/>
        <w:sz w:val="22"/>
        <w:szCs w:val="22"/>
      </w:rPr>
      <w:fldChar w:fldCharType="separate"/>
    </w:r>
    <w:r w:rsidR="00A753FF">
      <w:rPr>
        <w:rFonts w:cs="Arial"/>
        <w:noProof/>
        <w:sz w:val="22"/>
        <w:szCs w:val="22"/>
      </w:rPr>
      <w:t>8</w:t>
    </w:r>
    <w:r w:rsidRPr="001C4863"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A3" w:rsidRDefault="007D62A3">
      <w:r>
        <w:separator/>
      </w:r>
    </w:p>
  </w:footnote>
  <w:footnote w:type="continuationSeparator" w:id="0">
    <w:p w:rsidR="007D62A3" w:rsidRDefault="007D62A3">
      <w:r>
        <w:continuationSeparator/>
      </w:r>
    </w:p>
  </w:footnote>
  <w:footnote w:id="1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Operační </w:t>
      </w:r>
      <w:r>
        <w:rPr>
          <w:sz w:val="18"/>
          <w:szCs w:val="18"/>
        </w:rPr>
        <w:t xml:space="preserve">program </w:t>
      </w:r>
      <w:r w:rsidRPr="00604ED5">
        <w:rPr>
          <w:i/>
          <w:sz w:val="18"/>
          <w:szCs w:val="18"/>
        </w:rPr>
        <w:t>Doprava</w:t>
      </w:r>
      <w:r w:rsidRPr="006764CC">
        <w:rPr>
          <w:sz w:val="18"/>
          <w:szCs w:val="18"/>
        </w:rPr>
        <w:t xml:space="preserve"> byl schválen </w:t>
      </w:r>
      <w:r>
        <w:rPr>
          <w:sz w:val="18"/>
          <w:szCs w:val="18"/>
        </w:rPr>
        <w:t>r</w:t>
      </w:r>
      <w:r w:rsidRPr="006764CC">
        <w:rPr>
          <w:sz w:val="18"/>
          <w:szCs w:val="18"/>
        </w:rPr>
        <w:t xml:space="preserve">ozhodnutím Evropské </w:t>
      </w:r>
      <w:proofErr w:type="gramStart"/>
      <w:r w:rsidRPr="006764CC">
        <w:rPr>
          <w:sz w:val="18"/>
          <w:szCs w:val="18"/>
        </w:rPr>
        <w:t>komise K(2007</w:t>
      </w:r>
      <w:proofErr w:type="gramEnd"/>
      <w:r w:rsidRPr="006764CC">
        <w:rPr>
          <w:sz w:val="18"/>
          <w:szCs w:val="18"/>
        </w:rPr>
        <w:t>)6367 ze dne 10. 12. 2007 a</w:t>
      </w:r>
      <w:r>
        <w:rPr>
          <w:sz w:val="18"/>
          <w:szCs w:val="18"/>
        </w:rPr>
        <w:t> </w:t>
      </w:r>
      <w:r w:rsidRPr="006764CC">
        <w:rPr>
          <w:sz w:val="18"/>
          <w:szCs w:val="18"/>
        </w:rPr>
        <w:t xml:space="preserve">revidován </w:t>
      </w:r>
      <w:r>
        <w:rPr>
          <w:sz w:val="18"/>
          <w:szCs w:val="18"/>
        </w:rPr>
        <w:t>r</w:t>
      </w:r>
      <w:r w:rsidRPr="006764CC">
        <w:rPr>
          <w:sz w:val="18"/>
          <w:szCs w:val="18"/>
        </w:rPr>
        <w:t xml:space="preserve">ozhodnutím Evropské komise K(2009)10533 ze dne 18. 12. 2009 a </w:t>
      </w:r>
      <w:r>
        <w:rPr>
          <w:sz w:val="18"/>
          <w:szCs w:val="18"/>
        </w:rPr>
        <w:t>r</w:t>
      </w:r>
      <w:r w:rsidRPr="006764CC">
        <w:rPr>
          <w:sz w:val="18"/>
          <w:szCs w:val="18"/>
        </w:rPr>
        <w:t>ozhodnutím Evropské komise K(2011)9974 ze dne 22. 12. 2011.</w:t>
      </w:r>
    </w:p>
  </w:footnote>
  <w:footnote w:id="2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Ustanovení § 17 z</w:t>
      </w:r>
      <w:r w:rsidRPr="006764CC">
        <w:rPr>
          <w:sz w:val="18"/>
          <w:szCs w:val="18"/>
        </w:rPr>
        <w:t>ákon</w:t>
      </w:r>
      <w:r>
        <w:rPr>
          <w:sz w:val="18"/>
          <w:szCs w:val="18"/>
        </w:rPr>
        <w:t>a</w:t>
      </w:r>
      <w:r w:rsidRPr="006764CC">
        <w:rPr>
          <w:sz w:val="18"/>
          <w:szCs w:val="18"/>
        </w:rPr>
        <w:t xml:space="preserve"> č. 2/1969 Sb., </w:t>
      </w:r>
      <w:r w:rsidRPr="00604ED5">
        <w:rPr>
          <w:sz w:val="18"/>
          <w:szCs w:val="18"/>
        </w:rPr>
        <w:t>o zřízení ministerstev a jiných ústředních orgánů státní správy České republiky</w:t>
      </w:r>
      <w:r w:rsidRPr="006764CC">
        <w:rPr>
          <w:sz w:val="18"/>
          <w:szCs w:val="18"/>
        </w:rPr>
        <w:t>.</w:t>
      </w:r>
    </w:p>
  </w:footnote>
  <w:footnote w:id="3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rStyle w:val="Znakapoznpodarou"/>
          <w:sz w:val="18"/>
          <w:szCs w:val="18"/>
        </w:rPr>
        <w:t xml:space="preserve"> </w:t>
      </w:r>
      <w:r>
        <w:rPr>
          <w:sz w:val="18"/>
          <w:szCs w:val="18"/>
        </w:rPr>
        <w:tab/>
        <w:t>Ustanovení § 4 z</w:t>
      </w:r>
      <w:r w:rsidRPr="006764CC">
        <w:rPr>
          <w:rStyle w:val="Znakapoznpodarou"/>
          <w:sz w:val="18"/>
          <w:szCs w:val="18"/>
          <w:vertAlign w:val="baseline"/>
        </w:rPr>
        <w:t>ákon</w:t>
      </w:r>
      <w:r>
        <w:rPr>
          <w:sz w:val="18"/>
          <w:szCs w:val="18"/>
        </w:rPr>
        <w:t>a</w:t>
      </w:r>
      <w:r w:rsidRPr="006764CC">
        <w:rPr>
          <w:rStyle w:val="Znakapoznpodarou"/>
          <w:sz w:val="18"/>
          <w:szCs w:val="18"/>
          <w:vertAlign w:val="baseline"/>
        </w:rPr>
        <w:t xml:space="preserve"> č. 114/1995 Sb., </w:t>
      </w:r>
      <w:r w:rsidRPr="00604ED5">
        <w:rPr>
          <w:rStyle w:val="Znakapoznpodarou"/>
          <w:sz w:val="18"/>
          <w:szCs w:val="18"/>
          <w:vertAlign w:val="baseline"/>
        </w:rPr>
        <w:t>o vnitrozemské plavbě</w:t>
      </w:r>
      <w:r w:rsidRPr="006764CC">
        <w:rPr>
          <w:sz w:val="18"/>
          <w:szCs w:val="18"/>
        </w:rPr>
        <w:t>.</w:t>
      </w:r>
    </w:p>
  </w:footnote>
  <w:footnote w:id="4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rStyle w:val="Znakapoznpodarou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764CC">
        <w:rPr>
          <w:rStyle w:val="Znakapoznpodarou"/>
          <w:sz w:val="18"/>
          <w:szCs w:val="18"/>
          <w:vertAlign w:val="baseline"/>
        </w:rPr>
        <w:t xml:space="preserve">Usnesení vlády ze dne 22. února 2006 č. 175, </w:t>
      </w:r>
      <w:r w:rsidRPr="006764CC">
        <w:rPr>
          <w:rStyle w:val="Znakapoznpodarou"/>
          <w:i/>
          <w:sz w:val="18"/>
          <w:szCs w:val="18"/>
          <w:vertAlign w:val="baseline"/>
        </w:rPr>
        <w:t>k Návrhu Národního rozvojového plánu České republiky</w:t>
      </w:r>
      <w:r w:rsidRPr="006764CC">
        <w:rPr>
          <w:sz w:val="18"/>
          <w:szCs w:val="18"/>
        </w:rPr>
        <w:t xml:space="preserve"> </w:t>
      </w:r>
      <w:r w:rsidRPr="00604ED5">
        <w:rPr>
          <w:i/>
          <w:sz w:val="18"/>
          <w:szCs w:val="18"/>
        </w:rPr>
        <w:t>na léta 2007 až 2013</w:t>
      </w:r>
      <w:r w:rsidRPr="006764CC">
        <w:rPr>
          <w:sz w:val="18"/>
          <w:szCs w:val="18"/>
        </w:rPr>
        <w:t>.</w:t>
      </w:r>
    </w:p>
  </w:footnote>
  <w:footnote w:id="5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 w:rsidRPr="006764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Zákon č. 104/2000 Sb., </w:t>
      </w:r>
      <w:r w:rsidRPr="00604ED5">
        <w:rPr>
          <w:sz w:val="18"/>
          <w:szCs w:val="18"/>
        </w:rPr>
        <w:t>o Státním fondu dopravní infrastruktury a o změně zákona č. 171/1991 Sb., o působnosti orgánů České republiky ve věcech převodů majetku státu na jiné osoby a o Fondu národního majetku České republiky, ve znění pozdějších předpisů</w:t>
      </w:r>
      <w:r w:rsidRPr="006764CC">
        <w:rPr>
          <w:i/>
          <w:sz w:val="18"/>
          <w:szCs w:val="18"/>
        </w:rPr>
        <w:t>.</w:t>
      </w:r>
    </w:p>
  </w:footnote>
  <w:footnote w:id="6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>Kontrolní závěr z kontrolní akce č. 08/19</w:t>
      </w:r>
      <w:r>
        <w:rPr>
          <w:sz w:val="18"/>
          <w:szCs w:val="18"/>
        </w:rPr>
        <w:t xml:space="preserve"> </w:t>
      </w:r>
      <w:r w:rsidRPr="006764CC">
        <w:rPr>
          <w:sz w:val="18"/>
          <w:szCs w:val="18"/>
        </w:rPr>
        <w:t xml:space="preserve">byl zveřejněn v částce 1/2009 </w:t>
      </w:r>
      <w:r w:rsidRPr="00604ED5">
        <w:rPr>
          <w:i/>
          <w:sz w:val="18"/>
          <w:szCs w:val="18"/>
        </w:rPr>
        <w:t>Věstníku NKÚ</w:t>
      </w:r>
      <w:r w:rsidRPr="006764CC">
        <w:rPr>
          <w:sz w:val="18"/>
          <w:szCs w:val="18"/>
        </w:rPr>
        <w:t>.</w:t>
      </w:r>
    </w:p>
  </w:footnote>
  <w:footnote w:id="7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764CC">
        <w:rPr>
          <w:rStyle w:val="Znakapoznpodarou"/>
          <w:sz w:val="18"/>
          <w:szCs w:val="18"/>
          <w:vertAlign w:val="baseline"/>
        </w:rPr>
        <w:t>Usnesení vlády ze dne 16. března 200</w:t>
      </w:r>
      <w:r w:rsidRPr="006764CC">
        <w:rPr>
          <w:sz w:val="18"/>
          <w:szCs w:val="18"/>
        </w:rPr>
        <w:t>9</w:t>
      </w:r>
      <w:r w:rsidRPr="006764CC">
        <w:rPr>
          <w:rStyle w:val="Znakapoznpodarou"/>
          <w:sz w:val="18"/>
          <w:szCs w:val="18"/>
          <w:vertAlign w:val="baseline"/>
        </w:rPr>
        <w:t xml:space="preserve"> č. 298, </w:t>
      </w:r>
      <w:r w:rsidRPr="00604ED5">
        <w:rPr>
          <w:rStyle w:val="Znakapoznpodarou"/>
          <w:sz w:val="18"/>
          <w:szCs w:val="18"/>
          <w:vertAlign w:val="baseline"/>
        </w:rPr>
        <w:t>ke Kontrolnímu závěru Nejvyššího kontrolního úřadu z kontrolní akce č. 08/19</w:t>
      </w:r>
      <w:r w:rsidRPr="00351312">
        <w:rPr>
          <w:sz w:val="18"/>
          <w:szCs w:val="18"/>
        </w:rPr>
        <w:t xml:space="preserve"> </w:t>
      </w:r>
      <w:r w:rsidRPr="00604ED5">
        <w:rPr>
          <w:rStyle w:val="Znakapoznpodarou"/>
          <w:sz w:val="18"/>
          <w:szCs w:val="18"/>
          <w:vertAlign w:val="baseline"/>
        </w:rPr>
        <w:t>Finanční prostředky určené na rozvoj a modernizaci vodních cest a přístavů</w:t>
      </w:r>
      <w:r w:rsidRPr="006764CC">
        <w:rPr>
          <w:sz w:val="18"/>
          <w:szCs w:val="18"/>
        </w:rPr>
        <w:t>.</w:t>
      </w:r>
    </w:p>
  </w:footnote>
  <w:footnote w:id="8">
    <w:p w:rsidR="007D62A3" w:rsidRPr="006764CC" w:rsidRDefault="007D62A3" w:rsidP="000705F2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>Hlava VI kapitola I článek 58 a násl. nařízení Rady (ES) č. 1083/2006</w:t>
      </w:r>
      <w:r>
        <w:rPr>
          <w:sz w:val="18"/>
          <w:szCs w:val="18"/>
        </w:rPr>
        <w:t>, o obecných ustanoveních o Evropském fondu pro regionální rozvoj, Evropském sociálním fondu a Fondu soudržnosti a o zrušení nařízení (ES) č. 1260/1999</w:t>
      </w:r>
      <w:r w:rsidRPr="006764C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</w:footnote>
  <w:footnote w:id="9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Vyhláška č. 222/1995 Sb., </w:t>
      </w:r>
      <w:r w:rsidRPr="00604ED5">
        <w:rPr>
          <w:sz w:val="18"/>
          <w:szCs w:val="18"/>
        </w:rPr>
        <w:t>o vodních cestách, plavebním provozu v přístavech, společné havárii a dopravě nebezpečných věcí</w:t>
      </w:r>
      <w:r w:rsidRPr="006764CC">
        <w:rPr>
          <w:sz w:val="18"/>
          <w:szCs w:val="18"/>
        </w:rPr>
        <w:t xml:space="preserve">; </w:t>
      </w:r>
      <w:r>
        <w:rPr>
          <w:sz w:val="18"/>
          <w:szCs w:val="18"/>
        </w:rPr>
        <w:t>v</w:t>
      </w:r>
      <w:r w:rsidRPr="006764CC">
        <w:rPr>
          <w:sz w:val="18"/>
          <w:szCs w:val="18"/>
        </w:rPr>
        <w:t xml:space="preserve">yhláška č. 344/1991 Sb., </w:t>
      </w:r>
      <w:r w:rsidRPr="00604ED5">
        <w:rPr>
          <w:sz w:val="18"/>
          <w:szCs w:val="18"/>
        </w:rPr>
        <w:t>kterou se vydává Řád plavební bezpečnosti na vnitrozemských vodních cestách České a Slovenské Federativní Republiky</w:t>
      </w:r>
      <w:r w:rsidRPr="006764CC">
        <w:rPr>
          <w:sz w:val="18"/>
          <w:szCs w:val="18"/>
        </w:rPr>
        <w:t xml:space="preserve">. </w:t>
      </w:r>
    </w:p>
  </w:footnote>
  <w:footnote w:id="10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04ED5">
        <w:rPr>
          <w:i/>
          <w:sz w:val="18"/>
          <w:szCs w:val="18"/>
        </w:rPr>
        <w:t>Evropská dohoda o hlavních vnitrozemských vodních cestách mezinárodního významu (AGN)</w:t>
      </w:r>
      <w:r w:rsidRPr="006764CC">
        <w:rPr>
          <w:sz w:val="18"/>
          <w:szCs w:val="18"/>
        </w:rPr>
        <w:t xml:space="preserve"> přijatá Českou republikou a vyhlášená ve Sbírce zákonů pod č. 163/1999 Sb.; vstoupila v platnost dne 26. 7. 1999.</w:t>
      </w:r>
    </w:p>
  </w:footnote>
  <w:footnote w:id="11">
    <w:p w:rsidR="007D62A3" w:rsidRPr="006764CC" w:rsidRDefault="007D62A3" w:rsidP="006764CC">
      <w:pPr>
        <w:pStyle w:val="poznmkapodarou"/>
        <w:rPr>
          <w:rStyle w:val="Znakapoznpodarou"/>
          <w:rFonts w:cs="Arial"/>
          <w:sz w:val="18"/>
          <w:szCs w:val="18"/>
          <w:vertAlign w:val="baseline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rStyle w:val="Znakapoznpodarou"/>
          <w:rFonts w:cs="Arial"/>
          <w:sz w:val="18"/>
          <w:szCs w:val="18"/>
          <w:vertAlign w:val="baseline"/>
        </w:rPr>
        <w:t xml:space="preserve">Usnesení vlády ze dne 13. července 2005 č. 882, </w:t>
      </w:r>
      <w:r w:rsidRPr="006764CC">
        <w:rPr>
          <w:rStyle w:val="Znakapoznpodarou"/>
          <w:rFonts w:cs="Arial"/>
          <w:i/>
          <w:sz w:val="18"/>
          <w:szCs w:val="18"/>
          <w:vertAlign w:val="baseline"/>
        </w:rPr>
        <w:t>k Dopravní politice České republiky pro léta 2005–2013</w:t>
      </w:r>
      <w:r w:rsidRPr="006764CC">
        <w:rPr>
          <w:rStyle w:val="Znakapoznpodarou"/>
          <w:rFonts w:cs="Arial"/>
          <w:sz w:val="18"/>
          <w:szCs w:val="18"/>
          <w:vertAlign w:val="baseline"/>
        </w:rPr>
        <w:t>.</w:t>
      </w:r>
    </w:p>
  </w:footnote>
  <w:footnote w:id="12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Usnesení vlády ze dne 11. ledna 2010 č. 38, </w:t>
      </w:r>
      <w:r w:rsidRPr="006764CC">
        <w:rPr>
          <w:i/>
          <w:sz w:val="18"/>
          <w:szCs w:val="18"/>
        </w:rPr>
        <w:t>k Vyhodnocení účinnosti Dopravní politiky České republiky pro léta 2005</w:t>
      </w:r>
      <w:r>
        <w:rPr>
          <w:i/>
          <w:sz w:val="18"/>
          <w:szCs w:val="18"/>
        </w:rPr>
        <w:t>–</w:t>
      </w:r>
      <w:r w:rsidRPr="006764CC">
        <w:rPr>
          <w:i/>
          <w:sz w:val="18"/>
          <w:szCs w:val="18"/>
        </w:rPr>
        <w:t>2013</w:t>
      </w:r>
      <w:r>
        <w:rPr>
          <w:i/>
          <w:sz w:val="18"/>
          <w:szCs w:val="18"/>
        </w:rPr>
        <w:t xml:space="preserve"> </w:t>
      </w:r>
      <w:r w:rsidRPr="006764CC">
        <w:rPr>
          <w:i/>
          <w:sz w:val="18"/>
          <w:szCs w:val="18"/>
        </w:rPr>
        <w:t>v roce 2009</w:t>
      </w:r>
      <w:r w:rsidRPr="006764CC">
        <w:rPr>
          <w:sz w:val="18"/>
          <w:szCs w:val="18"/>
        </w:rPr>
        <w:t>.</w:t>
      </w:r>
    </w:p>
  </w:footnote>
  <w:footnote w:id="13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Usnesení vlády ze dne 20. července 2011 č. 565, </w:t>
      </w:r>
      <w:r w:rsidRPr="006764CC">
        <w:rPr>
          <w:i/>
          <w:sz w:val="18"/>
          <w:szCs w:val="18"/>
        </w:rPr>
        <w:t>k aktualizaci Dopravní politiky České republiky pro léta 2005</w:t>
      </w:r>
      <w:r>
        <w:rPr>
          <w:i/>
          <w:sz w:val="18"/>
          <w:szCs w:val="18"/>
        </w:rPr>
        <w:t>–</w:t>
      </w:r>
      <w:r w:rsidRPr="006764CC">
        <w:rPr>
          <w:i/>
          <w:sz w:val="18"/>
          <w:szCs w:val="18"/>
        </w:rPr>
        <w:t>2013</w:t>
      </w:r>
      <w:r>
        <w:rPr>
          <w:i/>
          <w:sz w:val="18"/>
          <w:szCs w:val="18"/>
        </w:rPr>
        <w:t xml:space="preserve"> </w:t>
      </w:r>
      <w:r w:rsidRPr="006764CC">
        <w:rPr>
          <w:i/>
          <w:sz w:val="18"/>
          <w:szCs w:val="18"/>
        </w:rPr>
        <w:t>v roce 2011</w:t>
      </w:r>
      <w:r w:rsidRPr="006764CC">
        <w:rPr>
          <w:sz w:val="18"/>
          <w:szCs w:val="18"/>
        </w:rPr>
        <w:t>.</w:t>
      </w:r>
    </w:p>
  </w:footnote>
  <w:footnote w:id="14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Usnesení vlády ze dne 21. prosince 2009 č. 1571, </w:t>
      </w:r>
      <w:r w:rsidRPr="006764CC">
        <w:rPr>
          <w:i/>
          <w:sz w:val="18"/>
          <w:szCs w:val="18"/>
        </w:rPr>
        <w:t>o Strategii podpory logistiky z veřejných zdrojů</w:t>
      </w:r>
      <w:r w:rsidRPr="006764CC">
        <w:rPr>
          <w:sz w:val="18"/>
          <w:szCs w:val="18"/>
        </w:rPr>
        <w:t>.</w:t>
      </w:r>
    </w:p>
  </w:footnote>
  <w:footnote w:id="15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Usnesení vlády ze dne 14. března 2012 č. 155, </w:t>
      </w:r>
      <w:r w:rsidRPr="006764CC">
        <w:rPr>
          <w:i/>
          <w:sz w:val="18"/>
          <w:szCs w:val="18"/>
        </w:rPr>
        <w:t>ke Zprávě o stavu vnitrozemské vodní dopravy v České republice a možnostech jejího rozvoje</w:t>
      </w:r>
      <w:r w:rsidRPr="006764CC">
        <w:rPr>
          <w:sz w:val="18"/>
          <w:szCs w:val="18"/>
        </w:rPr>
        <w:t>.</w:t>
      </w:r>
    </w:p>
  </w:footnote>
  <w:footnote w:id="16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Usnesení vlády ze dne 26. června 2012 č. 482, </w:t>
      </w:r>
      <w:r w:rsidRPr="006764CC">
        <w:rPr>
          <w:i/>
          <w:sz w:val="18"/>
          <w:szCs w:val="18"/>
        </w:rPr>
        <w:t>k Souhrnné informaci o stavu realizace Plavebních stupňů na labské vodní cestě (PS Děčín a Přelouč)</w:t>
      </w:r>
      <w:r w:rsidRPr="006764CC">
        <w:rPr>
          <w:sz w:val="18"/>
          <w:szCs w:val="18"/>
        </w:rPr>
        <w:t>.</w:t>
      </w:r>
    </w:p>
  </w:footnote>
  <w:footnote w:id="17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Usnesení vlády ze dne 12. června 2013 č. 449, </w:t>
      </w:r>
      <w:r w:rsidRPr="006764CC">
        <w:rPr>
          <w:i/>
          <w:sz w:val="18"/>
          <w:szCs w:val="18"/>
        </w:rPr>
        <w:t>k Dopravní politice České republiky pro období let 2014 až 2020 s výhledem do roku 2050</w:t>
      </w:r>
      <w:r w:rsidRPr="006764CC">
        <w:rPr>
          <w:sz w:val="18"/>
          <w:szCs w:val="18"/>
        </w:rPr>
        <w:t>.</w:t>
      </w:r>
    </w:p>
  </w:footnote>
  <w:footnote w:id="18">
    <w:p w:rsidR="007D62A3" w:rsidRPr="006764CC" w:rsidRDefault="007D62A3" w:rsidP="006764CC">
      <w:pPr>
        <w:pStyle w:val="poznmkapodarou"/>
        <w:rPr>
          <w:sz w:val="18"/>
          <w:szCs w:val="18"/>
        </w:rPr>
      </w:pPr>
      <w:r w:rsidRPr="006764C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764CC">
        <w:rPr>
          <w:sz w:val="18"/>
          <w:szCs w:val="18"/>
        </w:rPr>
        <w:t xml:space="preserve">Usnesení vlády ze dne 13. listopadu 2013 č. 850, </w:t>
      </w:r>
      <w:r w:rsidRPr="006764CC">
        <w:rPr>
          <w:i/>
          <w:sz w:val="18"/>
          <w:szCs w:val="18"/>
        </w:rPr>
        <w:t>o Dopravních sektorových strategiích, 2. fáze</w:t>
      </w:r>
      <w:r w:rsidRPr="006764CC">
        <w:rPr>
          <w:sz w:val="18"/>
          <w:szCs w:val="18"/>
        </w:rPr>
        <w:t>.</w:t>
      </w:r>
    </w:p>
  </w:footnote>
  <w:footnote w:id="19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  <w:t>Auditní mise č. 2012/CZ/REGIO/J4/1192/1.</w:t>
      </w:r>
    </w:p>
  </w:footnote>
  <w:footnote w:id="20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  <w:t xml:space="preserve">Článek 27 nařízení </w:t>
      </w:r>
      <w:r>
        <w:rPr>
          <w:sz w:val="18"/>
          <w:szCs w:val="18"/>
        </w:rPr>
        <w:t xml:space="preserve">Evropského parlamentu a </w:t>
      </w:r>
      <w:r w:rsidRPr="006764CC">
        <w:rPr>
          <w:sz w:val="18"/>
          <w:szCs w:val="18"/>
        </w:rPr>
        <w:t xml:space="preserve">Rady (ES, EURATOM) č. 1605/2002, </w:t>
      </w:r>
      <w:r>
        <w:rPr>
          <w:sz w:val="18"/>
          <w:szCs w:val="18"/>
        </w:rPr>
        <w:t xml:space="preserve">kterým se stanoví finanční nařízení o souhrnném rozpočtu Evropských společenství, </w:t>
      </w:r>
      <w:r w:rsidRPr="006764CC">
        <w:rPr>
          <w:sz w:val="18"/>
          <w:szCs w:val="18"/>
        </w:rPr>
        <w:t xml:space="preserve">resp. článek 30 nařízení </w:t>
      </w:r>
      <w:r>
        <w:rPr>
          <w:sz w:val="18"/>
          <w:szCs w:val="18"/>
        </w:rPr>
        <w:t>Evropského parlamentu a </w:t>
      </w:r>
      <w:r w:rsidRPr="006764CC">
        <w:rPr>
          <w:sz w:val="18"/>
          <w:szCs w:val="18"/>
        </w:rPr>
        <w:t>Rady (EU, EURATOM) č. 966/2012</w:t>
      </w:r>
      <w:r>
        <w:rPr>
          <w:sz w:val="18"/>
          <w:szCs w:val="18"/>
        </w:rPr>
        <w:t>, kterým se stanoví finanční nařízení o souhrnném rozpočtu Unie a o zrušení nařízení Rady (ES, Euratom) č.1605/2002</w:t>
      </w:r>
      <w:r w:rsidRPr="006764CC">
        <w:rPr>
          <w:sz w:val="18"/>
          <w:szCs w:val="18"/>
        </w:rPr>
        <w:t>.</w:t>
      </w:r>
    </w:p>
  </w:footnote>
  <w:footnote w:id="21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  <w:t xml:space="preserve">Dokument </w:t>
      </w:r>
      <w:r w:rsidRPr="006764CC">
        <w:rPr>
          <w:bCs/>
          <w:i/>
          <w:sz w:val="18"/>
          <w:szCs w:val="18"/>
        </w:rPr>
        <w:t>Zásady tvorby indikátorů pro monitoring a evaluaci</w:t>
      </w:r>
      <w:r w:rsidRPr="006764CC">
        <w:rPr>
          <w:bCs/>
          <w:sz w:val="18"/>
          <w:szCs w:val="18"/>
        </w:rPr>
        <w:t xml:space="preserve"> vydaný </w:t>
      </w:r>
      <w:r w:rsidRPr="006764CC">
        <w:rPr>
          <w:sz w:val="18"/>
          <w:szCs w:val="18"/>
        </w:rPr>
        <w:t>Ministerstvem pro místní rozvoj v</w:t>
      </w:r>
      <w:r>
        <w:rPr>
          <w:sz w:val="18"/>
          <w:szCs w:val="18"/>
        </w:rPr>
        <w:t> </w:t>
      </w:r>
      <w:r w:rsidRPr="006764CC">
        <w:rPr>
          <w:sz w:val="18"/>
          <w:szCs w:val="18"/>
        </w:rPr>
        <w:t>březnu roku 2006.</w:t>
      </w:r>
    </w:p>
  </w:footnote>
  <w:footnote w:id="22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</w:r>
      <w:r w:rsidRPr="006764CC">
        <w:rPr>
          <w:color w:val="000000"/>
          <w:sz w:val="18"/>
          <w:szCs w:val="18"/>
        </w:rPr>
        <w:t>Článek 37 odst. 1 písm. c) nařízení Rady (ES) č. 1083/2006</w:t>
      </w:r>
      <w:r w:rsidRPr="006764CC">
        <w:rPr>
          <w:sz w:val="18"/>
          <w:szCs w:val="18"/>
        </w:rPr>
        <w:t xml:space="preserve">. </w:t>
      </w:r>
    </w:p>
  </w:footnote>
  <w:footnote w:id="23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</w:r>
      <w:r w:rsidRPr="006764CC">
        <w:rPr>
          <w:bCs/>
          <w:sz w:val="18"/>
          <w:szCs w:val="18"/>
        </w:rPr>
        <w:t xml:space="preserve">Evaluační závěrečná zpráva </w:t>
      </w:r>
      <w:r w:rsidRPr="006764CC">
        <w:rPr>
          <w:bCs/>
          <w:i/>
          <w:sz w:val="18"/>
          <w:szCs w:val="18"/>
        </w:rPr>
        <w:t>Zhodnocení relevance indikátorů Operačního programu Doprava a upřesnění metodiky jejich sledování</w:t>
      </w:r>
      <w:r w:rsidRPr="006764CC">
        <w:rPr>
          <w:bCs/>
          <w:sz w:val="18"/>
          <w:szCs w:val="18"/>
        </w:rPr>
        <w:t>.</w:t>
      </w:r>
    </w:p>
  </w:footnote>
  <w:footnote w:id="24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</w:r>
      <w:r>
        <w:rPr>
          <w:sz w:val="18"/>
          <w:szCs w:val="18"/>
        </w:rPr>
        <w:t xml:space="preserve">Ustanovení </w:t>
      </w:r>
      <w:r w:rsidRPr="006764CC">
        <w:rPr>
          <w:sz w:val="18"/>
          <w:szCs w:val="18"/>
        </w:rPr>
        <w:t>§</w:t>
      </w:r>
      <w:r>
        <w:rPr>
          <w:sz w:val="18"/>
          <w:szCs w:val="18"/>
        </w:rPr>
        <w:t> </w:t>
      </w:r>
      <w:r w:rsidRPr="006764CC">
        <w:rPr>
          <w:sz w:val="18"/>
          <w:szCs w:val="18"/>
        </w:rPr>
        <w:t>8a zákona č. 320/2001 Sb.,</w:t>
      </w:r>
      <w:r w:rsidRPr="00B64FF6">
        <w:rPr>
          <w:sz w:val="18"/>
          <w:szCs w:val="18"/>
        </w:rPr>
        <w:t xml:space="preserve"> </w:t>
      </w:r>
      <w:r w:rsidRPr="00A23E36">
        <w:rPr>
          <w:sz w:val="18"/>
          <w:szCs w:val="18"/>
        </w:rPr>
        <w:t>o finanční kontrole ve veřejné správě (zákon o finanční kontrole).</w:t>
      </w:r>
      <w:r w:rsidRPr="00B64FF6">
        <w:rPr>
          <w:sz w:val="18"/>
          <w:szCs w:val="18"/>
        </w:rPr>
        <w:t xml:space="preserve"> </w:t>
      </w:r>
      <w:r w:rsidRPr="006764CC">
        <w:rPr>
          <w:sz w:val="18"/>
          <w:szCs w:val="18"/>
        </w:rPr>
        <w:t xml:space="preserve"> </w:t>
      </w:r>
    </w:p>
  </w:footnote>
  <w:footnote w:id="25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</w:r>
      <w:r>
        <w:rPr>
          <w:sz w:val="18"/>
          <w:szCs w:val="18"/>
        </w:rPr>
        <w:t xml:space="preserve">Ustanovení </w:t>
      </w:r>
      <w:r w:rsidRPr="006764CC">
        <w:rPr>
          <w:sz w:val="18"/>
          <w:szCs w:val="18"/>
        </w:rPr>
        <w:t>§</w:t>
      </w:r>
      <w:r>
        <w:rPr>
          <w:sz w:val="18"/>
          <w:szCs w:val="18"/>
        </w:rPr>
        <w:t> </w:t>
      </w:r>
      <w:r w:rsidRPr="006764CC">
        <w:rPr>
          <w:sz w:val="18"/>
          <w:szCs w:val="18"/>
        </w:rPr>
        <w:t xml:space="preserve">3 odst. 2 zákona č. 320/2001 Sb., </w:t>
      </w:r>
      <w:r w:rsidRPr="00A23E36">
        <w:rPr>
          <w:sz w:val="18"/>
          <w:szCs w:val="18"/>
        </w:rPr>
        <w:t xml:space="preserve">o finanční kontrole ve veřejné správě (zákon o finanční kontrole).  </w:t>
      </w:r>
    </w:p>
  </w:footnote>
  <w:footnote w:id="26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</w:r>
      <w:r>
        <w:rPr>
          <w:sz w:val="18"/>
          <w:szCs w:val="18"/>
        </w:rPr>
        <w:t xml:space="preserve">Ustanovení </w:t>
      </w:r>
      <w:r w:rsidRPr="006764CC">
        <w:rPr>
          <w:sz w:val="18"/>
          <w:szCs w:val="18"/>
        </w:rPr>
        <w:t>§</w:t>
      </w:r>
      <w:r>
        <w:rPr>
          <w:sz w:val="18"/>
          <w:szCs w:val="18"/>
        </w:rPr>
        <w:t> </w:t>
      </w:r>
      <w:r w:rsidRPr="006764CC">
        <w:rPr>
          <w:sz w:val="18"/>
          <w:szCs w:val="18"/>
        </w:rPr>
        <w:t xml:space="preserve">4 odst. 1 písm. b) zákona č. 320/2001 Sb., </w:t>
      </w:r>
      <w:r w:rsidRPr="00A23E36">
        <w:rPr>
          <w:sz w:val="18"/>
          <w:szCs w:val="18"/>
        </w:rPr>
        <w:t>o finanční kontrole ve veřejné správě (zákon o finanční kontrole)</w:t>
      </w:r>
      <w:r w:rsidRPr="00B64FF6">
        <w:rPr>
          <w:sz w:val="18"/>
          <w:szCs w:val="18"/>
        </w:rPr>
        <w:t>.</w:t>
      </w:r>
      <w:r w:rsidRPr="00444FF3">
        <w:rPr>
          <w:sz w:val="18"/>
          <w:szCs w:val="18"/>
        </w:rPr>
        <w:t xml:space="preserve"> </w:t>
      </w:r>
      <w:r w:rsidRPr="006764CC">
        <w:rPr>
          <w:sz w:val="18"/>
          <w:szCs w:val="18"/>
        </w:rPr>
        <w:t xml:space="preserve"> </w:t>
      </w:r>
    </w:p>
  </w:footnote>
  <w:footnote w:id="27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  <w:t>Článek 59 odst. 2 nařízení Rady (ES) č. 1083/2006.</w:t>
      </w:r>
      <w:r>
        <w:rPr>
          <w:sz w:val="18"/>
          <w:szCs w:val="18"/>
        </w:rPr>
        <w:t xml:space="preserve"> </w:t>
      </w:r>
    </w:p>
  </w:footnote>
  <w:footnote w:id="28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  <w:t>Článek 13 odst. 4 nařízení Komise č. 1828/2006</w:t>
      </w:r>
      <w:r>
        <w:rPr>
          <w:sz w:val="18"/>
          <w:szCs w:val="18"/>
        </w:rPr>
        <w:t>, kterým se stanoví prováděcí pravidla k nařízení Rady (ES) č. 1083/2006 o obecných ustanoveních týkajících se Evropského fondu pro regionální rozvoj, Evropského sociálního fondu a Fondu soudržnosti a k nařízení Evropského parlamentu a Rady (ES) č. 1080/2006 o Evropském fondu pro regionální rozvoj</w:t>
      </w:r>
      <w:r w:rsidRPr="006764CC">
        <w:rPr>
          <w:sz w:val="18"/>
          <w:szCs w:val="18"/>
        </w:rPr>
        <w:t>.</w:t>
      </w:r>
    </w:p>
  </w:footnote>
  <w:footnote w:id="29">
    <w:p w:rsidR="007D62A3" w:rsidRPr="006764CC" w:rsidRDefault="007D62A3" w:rsidP="002A008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  <w:t>Článek 13 odst. 2 a 3 nařízení Komise č. 1828/2006.</w:t>
      </w:r>
    </w:p>
  </w:footnote>
  <w:footnote w:id="30">
    <w:p w:rsidR="007D62A3" w:rsidRPr="006764CC" w:rsidRDefault="007D62A3" w:rsidP="00831B70">
      <w:pPr>
        <w:tabs>
          <w:tab w:val="left" w:pos="240"/>
        </w:tabs>
        <w:spacing w:line="264" w:lineRule="auto"/>
        <w:ind w:left="284" w:hanging="284"/>
        <w:contextualSpacing/>
        <w:jc w:val="both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</w:r>
      <w:r>
        <w:rPr>
          <w:sz w:val="18"/>
          <w:szCs w:val="18"/>
        </w:rPr>
        <w:t xml:space="preserve">Ustanovení </w:t>
      </w:r>
      <w:r w:rsidRPr="006764CC">
        <w:rPr>
          <w:sz w:val="18"/>
          <w:szCs w:val="18"/>
        </w:rPr>
        <w:t>§</w:t>
      </w:r>
      <w:r>
        <w:rPr>
          <w:sz w:val="18"/>
          <w:szCs w:val="18"/>
        </w:rPr>
        <w:t> </w:t>
      </w:r>
      <w:r w:rsidRPr="006764CC">
        <w:rPr>
          <w:sz w:val="18"/>
          <w:szCs w:val="18"/>
        </w:rPr>
        <w:t>45 odst. 2 zákona č. 218/2000 Sb.,</w:t>
      </w:r>
      <w:r w:rsidRPr="00233BA9">
        <w:rPr>
          <w:sz w:val="18"/>
          <w:szCs w:val="18"/>
        </w:rPr>
        <w:t xml:space="preserve"> </w:t>
      </w:r>
      <w:r w:rsidRPr="00EC4F8B">
        <w:rPr>
          <w:sz w:val="18"/>
          <w:szCs w:val="18"/>
        </w:rPr>
        <w:t>o rozpočtových pravidlech a o změně některých souvisejících zákonů (rozpočtová pravidla)</w:t>
      </w:r>
      <w:r w:rsidRPr="00233BA9">
        <w:rPr>
          <w:sz w:val="18"/>
          <w:szCs w:val="18"/>
        </w:rPr>
        <w:t>.</w:t>
      </w:r>
    </w:p>
  </w:footnote>
  <w:footnote w:id="31">
    <w:p w:rsidR="007D62A3" w:rsidRPr="006764CC" w:rsidRDefault="007D62A3" w:rsidP="005F4D95">
      <w:pPr>
        <w:pStyle w:val="poznmkapodarou"/>
        <w:rPr>
          <w:sz w:val="18"/>
          <w:szCs w:val="18"/>
        </w:rPr>
      </w:pPr>
      <w:r w:rsidRPr="006764CC">
        <w:rPr>
          <w:rStyle w:val="Znakapoznpodarou"/>
          <w:rFonts w:cs="Arial"/>
          <w:sz w:val="18"/>
          <w:szCs w:val="18"/>
        </w:rPr>
        <w:footnoteRef/>
      </w:r>
      <w:r w:rsidRPr="006764CC">
        <w:rPr>
          <w:sz w:val="18"/>
          <w:szCs w:val="18"/>
        </w:rPr>
        <w:tab/>
      </w:r>
      <w:r>
        <w:rPr>
          <w:sz w:val="18"/>
          <w:szCs w:val="18"/>
        </w:rPr>
        <w:t xml:space="preserve">Ustanovení </w:t>
      </w:r>
      <w:r w:rsidRPr="006764CC">
        <w:rPr>
          <w:sz w:val="18"/>
          <w:szCs w:val="18"/>
        </w:rPr>
        <w:t>§</w:t>
      </w:r>
      <w:r>
        <w:rPr>
          <w:sz w:val="18"/>
          <w:szCs w:val="18"/>
        </w:rPr>
        <w:t> </w:t>
      </w:r>
      <w:r w:rsidRPr="006764CC">
        <w:rPr>
          <w:sz w:val="18"/>
          <w:szCs w:val="18"/>
        </w:rPr>
        <w:t>23 odst. 7 zákona č. 137/2006 Sb.</w:t>
      </w:r>
      <w:r w:rsidRPr="00233BA9">
        <w:rPr>
          <w:sz w:val="18"/>
          <w:szCs w:val="18"/>
        </w:rPr>
        <w:t xml:space="preserve">, </w:t>
      </w:r>
      <w:r w:rsidRPr="00EC4F8B">
        <w:rPr>
          <w:sz w:val="18"/>
          <w:szCs w:val="18"/>
        </w:rPr>
        <w:t>o veřejných zakázkách</w:t>
      </w:r>
      <w:r w:rsidRPr="00233BA9">
        <w:rPr>
          <w:sz w:val="18"/>
          <w:szCs w:val="18"/>
        </w:rPr>
        <w:t>.</w:t>
      </w:r>
    </w:p>
  </w:footnote>
  <w:footnote w:id="32">
    <w:p w:rsidR="007D62A3" w:rsidRDefault="007D62A3" w:rsidP="008B7205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>Ustanovení § 27 odst. 7 písm. a) zákona č.137/2006 Sb., o veřejných zakázkách.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A40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B4CE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6C2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A0C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4EA6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423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9E4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18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A06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777D0"/>
    <w:multiLevelType w:val="hybridMultilevel"/>
    <w:tmpl w:val="D93091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B5AD9"/>
    <w:multiLevelType w:val="multilevel"/>
    <w:tmpl w:val="04050021"/>
    <w:styleLink w:val="Styl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>
    <w:nsid w:val="1B471C69"/>
    <w:multiLevelType w:val="hybridMultilevel"/>
    <w:tmpl w:val="B3880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B5518E"/>
    <w:multiLevelType w:val="hybridMultilevel"/>
    <w:tmpl w:val="1DBC1C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98416A"/>
    <w:multiLevelType w:val="hybridMultilevel"/>
    <w:tmpl w:val="AAC26A7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030585"/>
    <w:multiLevelType w:val="hybridMultilevel"/>
    <w:tmpl w:val="35E29ADA"/>
    <w:lvl w:ilvl="0" w:tplc="DDC8DD1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1A3491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312EEA"/>
    <w:multiLevelType w:val="hybridMultilevel"/>
    <w:tmpl w:val="F2DEEAF2"/>
    <w:lvl w:ilvl="0" w:tplc="DDC8DD1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D52209CE">
      <w:start w:val="3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E519E"/>
    <w:multiLevelType w:val="hybridMultilevel"/>
    <w:tmpl w:val="BC8E13D6"/>
    <w:lvl w:ilvl="0" w:tplc="95BCE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F351F"/>
    <w:multiLevelType w:val="hybridMultilevel"/>
    <w:tmpl w:val="1F26495E"/>
    <w:lvl w:ilvl="0" w:tplc="D1CE73A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5"/>
  </w:num>
  <w:num w:numId="20">
    <w:abstractNumId w:val="4"/>
  </w:num>
  <w:num w:numId="21">
    <w:abstractNumId w:val="17"/>
  </w:num>
  <w:num w:numId="22">
    <w:abstractNumId w:val="18"/>
  </w:num>
  <w:num w:numId="23">
    <w:abstractNumId w:val="14"/>
  </w:num>
  <w:num w:numId="24">
    <w:abstractNumId w:val="10"/>
  </w:num>
  <w:num w:numId="2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1E0"/>
    <w:rsid w:val="00000573"/>
    <w:rsid w:val="00000932"/>
    <w:rsid w:val="00000F96"/>
    <w:rsid w:val="00001F62"/>
    <w:rsid w:val="00002073"/>
    <w:rsid w:val="0000330E"/>
    <w:rsid w:val="0000337D"/>
    <w:rsid w:val="000033DB"/>
    <w:rsid w:val="000038D1"/>
    <w:rsid w:val="00003D20"/>
    <w:rsid w:val="000044CF"/>
    <w:rsid w:val="00004DB0"/>
    <w:rsid w:val="00004ECD"/>
    <w:rsid w:val="00005220"/>
    <w:rsid w:val="0000580F"/>
    <w:rsid w:val="00005C47"/>
    <w:rsid w:val="00005C6C"/>
    <w:rsid w:val="000066B9"/>
    <w:rsid w:val="00006886"/>
    <w:rsid w:val="00006B02"/>
    <w:rsid w:val="00007773"/>
    <w:rsid w:val="000112F9"/>
    <w:rsid w:val="00011846"/>
    <w:rsid w:val="00011C9C"/>
    <w:rsid w:val="00012067"/>
    <w:rsid w:val="00013006"/>
    <w:rsid w:val="000131C6"/>
    <w:rsid w:val="0001390C"/>
    <w:rsid w:val="00013B1B"/>
    <w:rsid w:val="00014603"/>
    <w:rsid w:val="00014AE3"/>
    <w:rsid w:val="000152B0"/>
    <w:rsid w:val="0001567E"/>
    <w:rsid w:val="00015CCB"/>
    <w:rsid w:val="00015F28"/>
    <w:rsid w:val="000172AE"/>
    <w:rsid w:val="00020A05"/>
    <w:rsid w:val="00020EF3"/>
    <w:rsid w:val="00021026"/>
    <w:rsid w:val="000211D3"/>
    <w:rsid w:val="000225B8"/>
    <w:rsid w:val="00022B26"/>
    <w:rsid w:val="00022DF5"/>
    <w:rsid w:val="00023EA1"/>
    <w:rsid w:val="00024A45"/>
    <w:rsid w:val="00024CCF"/>
    <w:rsid w:val="00024E81"/>
    <w:rsid w:val="00026482"/>
    <w:rsid w:val="00026AFA"/>
    <w:rsid w:val="00030060"/>
    <w:rsid w:val="000307C5"/>
    <w:rsid w:val="0003087F"/>
    <w:rsid w:val="00030DD7"/>
    <w:rsid w:val="0003111A"/>
    <w:rsid w:val="000314CC"/>
    <w:rsid w:val="0003224D"/>
    <w:rsid w:val="00032482"/>
    <w:rsid w:val="000326DA"/>
    <w:rsid w:val="00033F04"/>
    <w:rsid w:val="000342ED"/>
    <w:rsid w:val="000342F8"/>
    <w:rsid w:val="000343CF"/>
    <w:rsid w:val="000343E1"/>
    <w:rsid w:val="00034844"/>
    <w:rsid w:val="00034852"/>
    <w:rsid w:val="000353C2"/>
    <w:rsid w:val="00035D61"/>
    <w:rsid w:val="00036287"/>
    <w:rsid w:val="00037363"/>
    <w:rsid w:val="00037D02"/>
    <w:rsid w:val="000406B5"/>
    <w:rsid w:val="00040726"/>
    <w:rsid w:val="00041917"/>
    <w:rsid w:val="00041943"/>
    <w:rsid w:val="00041F40"/>
    <w:rsid w:val="00041F64"/>
    <w:rsid w:val="0004209A"/>
    <w:rsid w:val="00042138"/>
    <w:rsid w:val="0004223E"/>
    <w:rsid w:val="000423CF"/>
    <w:rsid w:val="000437B0"/>
    <w:rsid w:val="00043AE0"/>
    <w:rsid w:val="00043B34"/>
    <w:rsid w:val="000448D4"/>
    <w:rsid w:val="00044D63"/>
    <w:rsid w:val="00045E0B"/>
    <w:rsid w:val="00051C1A"/>
    <w:rsid w:val="000530F1"/>
    <w:rsid w:val="0005350B"/>
    <w:rsid w:val="00054517"/>
    <w:rsid w:val="0005531F"/>
    <w:rsid w:val="000558EC"/>
    <w:rsid w:val="00055A17"/>
    <w:rsid w:val="000569A4"/>
    <w:rsid w:val="00057577"/>
    <w:rsid w:val="00057A70"/>
    <w:rsid w:val="0006347C"/>
    <w:rsid w:val="000641DB"/>
    <w:rsid w:val="0006454E"/>
    <w:rsid w:val="00064771"/>
    <w:rsid w:val="00064DEF"/>
    <w:rsid w:val="00065ACF"/>
    <w:rsid w:val="00067C0E"/>
    <w:rsid w:val="00067D6A"/>
    <w:rsid w:val="000705F2"/>
    <w:rsid w:val="0007064B"/>
    <w:rsid w:val="000706B4"/>
    <w:rsid w:val="000707DC"/>
    <w:rsid w:val="00071622"/>
    <w:rsid w:val="00071B68"/>
    <w:rsid w:val="00071FA4"/>
    <w:rsid w:val="00072445"/>
    <w:rsid w:val="00074A01"/>
    <w:rsid w:val="0008013B"/>
    <w:rsid w:val="00080987"/>
    <w:rsid w:val="00080C12"/>
    <w:rsid w:val="00081221"/>
    <w:rsid w:val="00082210"/>
    <w:rsid w:val="000828E4"/>
    <w:rsid w:val="00082FB7"/>
    <w:rsid w:val="000839E5"/>
    <w:rsid w:val="00083C93"/>
    <w:rsid w:val="000843F6"/>
    <w:rsid w:val="00084EF4"/>
    <w:rsid w:val="0008526F"/>
    <w:rsid w:val="000875EC"/>
    <w:rsid w:val="00087655"/>
    <w:rsid w:val="00087884"/>
    <w:rsid w:val="00087A8A"/>
    <w:rsid w:val="000902DE"/>
    <w:rsid w:val="00090523"/>
    <w:rsid w:val="00091459"/>
    <w:rsid w:val="00091F89"/>
    <w:rsid w:val="0009213A"/>
    <w:rsid w:val="000927F6"/>
    <w:rsid w:val="0009286D"/>
    <w:rsid w:val="00093E2F"/>
    <w:rsid w:val="00095329"/>
    <w:rsid w:val="0009660E"/>
    <w:rsid w:val="00096B86"/>
    <w:rsid w:val="0009709F"/>
    <w:rsid w:val="000972AD"/>
    <w:rsid w:val="000A0A28"/>
    <w:rsid w:val="000A1E20"/>
    <w:rsid w:val="000A2538"/>
    <w:rsid w:val="000A315E"/>
    <w:rsid w:val="000A37C5"/>
    <w:rsid w:val="000A41A3"/>
    <w:rsid w:val="000A4D3D"/>
    <w:rsid w:val="000A53CA"/>
    <w:rsid w:val="000A53CC"/>
    <w:rsid w:val="000A58F6"/>
    <w:rsid w:val="000A7392"/>
    <w:rsid w:val="000B04AA"/>
    <w:rsid w:val="000B0F45"/>
    <w:rsid w:val="000B1348"/>
    <w:rsid w:val="000B1C04"/>
    <w:rsid w:val="000B25C3"/>
    <w:rsid w:val="000B3145"/>
    <w:rsid w:val="000B3978"/>
    <w:rsid w:val="000B3FBA"/>
    <w:rsid w:val="000B5FE2"/>
    <w:rsid w:val="000B66C5"/>
    <w:rsid w:val="000B7411"/>
    <w:rsid w:val="000C08FF"/>
    <w:rsid w:val="000C1234"/>
    <w:rsid w:val="000C1A45"/>
    <w:rsid w:val="000C28BB"/>
    <w:rsid w:val="000C2BB7"/>
    <w:rsid w:val="000C3758"/>
    <w:rsid w:val="000C3844"/>
    <w:rsid w:val="000C4C9A"/>
    <w:rsid w:val="000C6DA4"/>
    <w:rsid w:val="000C72FA"/>
    <w:rsid w:val="000D0135"/>
    <w:rsid w:val="000D05D4"/>
    <w:rsid w:val="000D0ED6"/>
    <w:rsid w:val="000D18F3"/>
    <w:rsid w:val="000D225C"/>
    <w:rsid w:val="000D225E"/>
    <w:rsid w:val="000D2D37"/>
    <w:rsid w:val="000D2E43"/>
    <w:rsid w:val="000D350B"/>
    <w:rsid w:val="000D35AB"/>
    <w:rsid w:val="000D365B"/>
    <w:rsid w:val="000D4DC9"/>
    <w:rsid w:val="000D5DBB"/>
    <w:rsid w:val="000D6369"/>
    <w:rsid w:val="000D6EB0"/>
    <w:rsid w:val="000D7D68"/>
    <w:rsid w:val="000E0BF1"/>
    <w:rsid w:val="000E1099"/>
    <w:rsid w:val="000E123D"/>
    <w:rsid w:val="000E196A"/>
    <w:rsid w:val="000E1E4B"/>
    <w:rsid w:val="000E1FD2"/>
    <w:rsid w:val="000E23CC"/>
    <w:rsid w:val="000E23D6"/>
    <w:rsid w:val="000E3606"/>
    <w:rsid w:val="000E3AED"/>
    <w:rsid w:val="000E4219"/>
    <w:rsid w:val="000E5022"/>
    <w:rsid w:val="000E53AF"/>
    <w:rsid w:val="000E5629"/>
    <w:rsid w:val="000E5D02"/>
    <w:rsid w:val="000E650F"/>
    <w:rsid w:val="000F0B0D"/>
    <w:rsid w:val="000F0FA4"/>
    <w:rsid w:val="000F1517"/>
    <w:rsid w:val="000F1FF6"/>
    <w:rsid w:val="000F272E"/>
    <w:rsid w:val="000F37A0"/>
    <w:rsid w:val="000F3957"/>
    <w:rsid w:val="000F46BE"/>
    <w:rsid w:val="000F4E31"/>
    <w:rsid w:val="000F4E4E"/>
    <w:rsid w:val="000F57F0"/>
    <w:rsid w:val="000F5FE2"/>
    <w:rsid w:val="000F5FF1"/>
    <w:rsid w:val="000F674C"/>
    <w:rsid w:val="0010159A"/>
    <w:rsid w:val="001019FC"/>
    <w:rsid w:val="001032BF"/>
    <w:rsid w:val="0010371F"/>
    <w:rsid w:val="00104BDC"/>
    <w:rsid w:val="00105AD0"/>
    <w:rsid w:val="00106174"/>
    <w:rsid w:val="00106EC2"/>
    <w:rsid w:val="0010795A"/>
    <w:rsid w:val="00110594"/>
    <w:rsid w:val="00111EE4"/>
    <w:rsid w:val="001121A9"/>
    <w:rsid w:val="001129ED"/>
    <w:rsid w:val="001139E0"/>
    <w:rsid w:val="00113B93"/>
    <w:rsid w:val="0011637B"/>
    <w:rsid w:val="00116572"/>
    <w:rsid w:val="00116982"/>
    <w:rsid w:val="00116D33"/>
    <w:rsid w:val="0012116B"/>
    <w:rsid w:val="00121642"/>
    <w:rsid w:val="0012241D"/>
    <w:rsid w:val="00123518"/>
    <w:rsid w:val="0012537C"/>
    <w:rsid w:val="00125413"/>
    <w:rsid w:val="00126303"/>
    <w:rsid w:val="001265E7"/>
    <w:rsid w:val="001278CB"/>
    <w:rsid w:val="00127E65"/>
    <w:rsid w:val="00131313"/>
    <w:rsid w:val="00131355"/>
    <w:rsid w:val="001316BB"/>
    <w:rsid w:val="00131861"/>
    <w:rsid w:val="00131A68"/>
    <w:rsid w:val="00132193"/>
    <w:rsid w:val="001325AD"/>
    <w:rsid w:val="00132BB6"/>
    <w:rsid w:val="00132D01"/>
    <w:rsid w:val="0013397D"/>
    <w:rsid w:val="00134C4E"/>
    <w:rsid w:val="0013587A"/>
    <w:rsid w:val="00135AA0"/>
    <w:rsid w:val="00135E06"/>
    <w:rsid w:val="001360A2"/>
    <w:rsid w:val="001368E7"/>
    <w:rsid w:val="00141355"/>
    <w:rsid w:val="001415FD"/>
    <w:rsid w:val="00141FDE"/>
    <w:rsid w:val="001425AD"/>
    <w:rsid w:val="00142B1D"/>
    <w:rsid w:val="00143C9D"/>
    <w:rsid w:val="0014414B"/>
    <w:rsid w:val="00144332"/>
    <w:rsid w:val="00144916"/>
    <w:rsid w:val="0014548A"/>
    <w:rsid w:val="00145854"/>
    <w:rsid w:val="001468BA"/>
    <w:rsid w:val="00146D05"/>
    <w:rsid w:val="00147599"/>
    <w:rsid w:val="001503FE"/>
    <w:rsid w:val="0015059A"/>
    <w:rsid w:val="00152B55"/>
    <w:rsid w:val="001531E3"/>
    <w:rsid w:val="0015334F"/>
    <w:rsid w:val="001537A0"/>
    <w:rsid w:val="00153BF0"/>
    <w:rsid w:val="00154178"/>
    <w:rsid w:val="001550CC"/>
    <w:rsid w:val="0015511A"/>
    <w:rsid w:val="00155783"/>
    <w:rsid w:val="0015660B"/>
    <w:rsid w:val="00156C62"/>
    <w:rsid w:val="00157DAC"/>
    <w:rsid w:val="001602AF"/>
    <w:rsid w:val="00160429"/>
    <w:rsid w:val="00160D42"/>
    <w:rsid w:val="00160E9D"/>
    <w:rsid w:val="00161978"/>
    <w:rsid w:val="0016199E"/>
    <w:rsid w:val="001625D9"/>
    <w:rsid w:val="00162A88"/>
    <w:rsid w:val="00162B1D"/>
    <w:rsid w:val="00163406"/>
    <w:rsid w:val="00164335"/>
    <w:rsid w:val="001645EF"/>
    <w:rsid w:val="001702DE"/>
    <w:rsid w:val="001704ED"/>
    <w:rsid w:val="00171086"/>
    <w:rsid w:val="00171371"/>
    <w:rsid w:val="00171784"/>
    <w:rsid w:val="00171A28"/>
    <w:rsid w:val="001725CE"/>
    <w:rsid w:val="00172804"/>
    <w:rsid w:val="00173420"/>
    <w:rsid w:val="00173BFF"/>
    <w:rsid w:val="0017418E"/>
    <w:rsid w:val="00175F2C"/>
    <w:rsid w:val="00176033"/>
    <w:rsid w:val="001773F4"/>
    <w:rsid w:val="001779D4"/>
    <w:rsid w:val="00177D39"/>
    <w:rsid w:val="00177E1E"/>
    <w:rsid w:val="001807B0"/>
    <w:rsid w:val="00180B46"/>
    <w:rsid w:val="001826FC"/>
    <w:rsid w:val="00182F04"/>
    <w:rsid w:val="001831E2"/>
    <w:rsid w:val="0018767F"/>
    <w:rsid w:val="001922FC"/>
    <w:rsid w:val="00192ADE"/>
    <w:rsid w:val="00192BC2"/>
    <w:rsid w:val="00192BEA"/>
    <w:rsid w:val="001930A1"/>
    <w:rsid w:val="00193533"/>
    <w:rsid w:val="0019357D"/>
    <w:rsid w:val="00194005"/>
    <w:rsid w:val="00194298"/>
    <w:rsid w:val="001951B2"/>
    <w:rsid w:val="0019536B"/>
    <w:rsid w:val="00195A5C"/>
    <w:rsid w:val="001962DF"/>
    <w:rsid w:val="0019670B"/>
    <w:rsid w:val="00196740"/>
    <w:rsid w:val="00196CCC"/>
    <w:rsid w:val="001A0E1F"/>
    <w:rsid w:val="001A0EAB"/>
    <w:rsid w:val="001A15D3"/>
    <w:rsid w:val="001A1CBF"/>
    <w:rsid w:val="001A2ADE"/>
    <w:rsid w:val="001A3388"/>
    <w:rsid w:val="001A37F7"/>
    <w:rsid w:val="001A4061"/>
    <w:rsid w:val="001A48BA"/>
    <w:rsid w:val="001A50E5"/>
    <w:rsid w:val="001A5D01"/>
    <w:rsid w:val="001B1A8D"/>
    <w:rsid w:val="001B2B19"/>
    <w:rsid w:val="001B4703"/>
    <w:rsid w:val="001B5134"/>
    <w:rsid w:val="001B525A"/>
    <w:rsid w:val="001B537D"/>
    <w:rsid w:val="001B57E8"/>
    <w:rsid w:val="001B686B"/>
    <w:rsid w:val="001B6DAD"/>
    <w:rsid w:val="001B7860"/>
    <w:rsid w:val="001C0754"/>
    <w:rsid w:val="001C1BE9"/>
    <w:rsid w:val="001C2E14"/>
    <w:rsid w:val="001C43C9"/>
    <w:rsid w:val="001C43FA"/>
    <w:rsid w:val="001C4863"/>
    <w:rsid w:val="001C5277"/>
    <w:rsid w:val="001C561C"/>
    <w:rsid w:val="001C6A88"/>
    <w:rsid w:val="001C7133"/>
    <w:rsid w:val="001D04AC"/>
    <w:rsid w:val="001D0E63"/>
    <w:rsid w:val="001D14F9"/>
    <w:rsid w:val="001D44EC"/>
    <w:rsid w:val="001D4F1A"/>
    <w:rsid w:val="001D5B72"/>
    <w:rsid w:val="001D61A3"/>
    <w:rsid w:val="001D7EA7"/>
    <w:rsid w:val="001E086F"/>
    <w:rsid w:val="001E12F2"/>
    <w:rsid w:val="001E1682"/>
    <w:rsid w:val="001E1BDA"/>
    <w:rsid w:val="001E31FA"/>
    <w:rsid w:val="001E3B4C"/>
    <w:rsid w:val="001E5882"/>
    <w:rsid w:val="001E71A6"/>
    <w:rsid w:val="001E7BB9"/>
    <w:rsid w:val="001F230F"/>
    <w:rsid w:val="001F4F43"/>
    <w:rsid w:val="001F57C1"/>
    <w:rsid w:val="001F633D"/>
    <w:rsid w:val="001F6CE7"/>
    <w:rsid w:val="001F78A0"/>
    <w:rsid w:val="00201E5D"/>
    <w:rsid w:val="00202300"/>
    <w:rsid w:val="00202CE2"/>
    <w:rsid w:val="002031A2"/>
    <w:rsid w:val="00203DCE"/>
    <w:rsid w:val="00203FDA"/>
    <w:rsid w:val="0020444C"/>
    <w:rsid w:val="00204E26"/>
    <w:rsid w:val="002055CF"/>
    <w:rsid w:val="00205C95"/>
    <w:rsid w:val="00205D19"/>
    <w:rsid w:val="00206604"/>
    <w:rsid w:val="00207FA7"/>
    <w:rsid w:val="002100F1"/>
    <w:rsid w:val="00210221"/>
    <w:rsid w:val="00210672"/>
    <w:rsid w:val="002112BF"/>
    <w:rsid w:val="00211AB9"/>
    <w:rsid w:val="00211F27"/>
    <w:rsid w:val="002120C1"/>
    <w:rsid w:val="00212539"/>
    <w:rsid w:val="002125EB"/>
    <w:rsid w:val="00212868"/>
    <w:rsid w:val="00212FBB"/>
    <w:rsid w:val="00213A72"/>
    <w:rsid w:val="00213D6B"/>
    <w:rsid w:val="00214748"/>
    <w:rsid w:val="00214946"/>
    <w:rsid w:val="00215E15"/>
    <w:rsid w:val="002176C0"/>
    <w:rsid w:val="002178C3"/>
    <w:rsid w:val="00217F03"/>
    <w:rsid w:val="0022056F"/>
    <w:rsid w:val="0022067F"/>
    <w:rsid w:val="00220899"/>
    <w:rsid w:val="002231C0"/>
    <w:rsid w:val="00224CAB"/>
    <w:rsid w:val="00225AEE"/>
    <w:rsid w:val="00226524"/>
    <w:rsid w:val="002268E1"/>
    <w:rsid w:val="0022785B"/>
    <w:rsid w:val="002302F3"/>
    <w:rsid w:val="00230666"/>
    <w:rsid w:val="00231275"/>
    <w:rsid w:val="002313A4"/>
    <w:rsid w:val="00232009"/>
    <w:rsid w:val="00233994"/>
    <w:rsid w:val="00233B2D"/>
    <w:rsid w:val="00233BA9"/>
    <w:rsid w:val="00235659"/>
    <w:rsid w:val="00235DB4"/>
    <w:rsid w:val="00236071"/>
    <w:rsid w:val="00236495"/>
    <w:rsid w:val="002364A9"/>
    <w:rsid w:val="0023655C"/>
    <w:rsid w:val="0023666E"/>
    <w:rsid w:val="00236DAD"/>
    <w:rsid w:val="00237234"/>
    <w:rsid w:val="00237FA1"/>
    <w:rsid w:val="002404C4"/>
    <w:rsid w:val="0024071F"/>
    <w:rsid w:val="00241158"/>
    <w:rsid w:val="0024175C"/>
    <w:rsid w:val="00242A4C"/>
    <w:rsid w:val="00242CE6"/>
    <w:rsid w:val="00243183"/>
    <w:rsid w:val="002433C3"/>
    <w:rsid w:val="00243CBF"/>
    <w:rsid w:val="002443E2"/>
    <w:rsid w:val="00244A9F"/>
    <w:rsid w:val="00244C66"/>
    <w:rsid w:val="0024563D"/>
    <w:rsid w:val="00245B80"/>
    <w:rsid w:val="002460FB"/>
    <w:rsid w:val="00251041"/>
    <w:rsid w:val="002521DD"/>
    <w:rsid w:val="00252631"/>
    <w:rsid w:val="00252CFD"/>
    <w:rsid w:val="002530F5"/>
    <w:rsid w:val="002538C5"/>
    <w:rsid w:val="00254047"/>
    <w:rsid w:val="00254B04"/>
    <w:rsid w:val="00255151"/>
    <w:rsid w:val="00255EB1"/>
    <w:rsid w:val="00256572"/>
    <w:rsid w:val="00256EFA"/>
    <w:rsid w:val="00257504"/>
    <w:rsid w:val="00257FBD"/>
    <w:rsid w:val="0026034D"/>
    <w:rsid w:val="002608C0"/>
    <w:rsid w:val="002610CC"/>
    <w:rsid w:val="002611AB"/>
    <w:rsid w:val="00261540"/>
    <w:rsid w:val="0026161E"/>
    <w:rsid w:val="0026274F"/>
    <w:rsid w:val="0026285E"/>
    <w:rsid w:val="00262B21"/>
    <w:rsid w:val="00262DF8"/>
    <w:rsid w:val="00262E38"/>
    <w:rsid w:val="00263075"/>
    <w:rsid w:val="002634F2"/>
    <w:rsid w:val="00264AC9"/>
    <w:rsid w:val="00265970"/>
    <w:rsid w:val="00266144"/>
    <w:rsid w:val="00266517"/>
    <w:rsid w:val="0026712E"/>
    <w:rsid w:val="00267306"/>
    <w:rsid w:val="00267D2B"/>
    <w:rsid w:val="002701B7"/>
    <w:rsid w:val="00270655"/>
    <w:rsid w:val="00270681"/>
    <w:rsid w:val="0027099B"/>
    <w:rsid w:val="00270D68"/>
    <w:rsid w:val="00271D19"/>
    <w:rsid w:val="00272356"/>
    <w:rsid w:val="0027368D"/>
    <w:rsid w:val="002740E9"/>
    <w:rsid w:val="00274CA4"/>
    <w:rsid w:val="002752AF"/>
    <w:rsid w:val="0027596C"/>
    <w:rsid w:val="002759ED"/>
    <w:rsid w:val="00275C51"/>
    <w:rsid w:val="00276F6C"/>
    <w:rsid w:val="0028011C"/>
    <w:rsid w:val="00281932"/>
    <w:rsid w:val="00282169"/>
    <w:rsid w:val="0028216D"/>
    <w:rsid w:val="00283745"/>
    <w:rsid w:val="00285FA7"/>
    <w:rsid w:val="00286C01"/>
    <w:rsid w:val="00286C26"/>
    <w:rsid w:val="002873F7"/>
    <w:rsid w:val="00287824"/>
    <w:rsid w:val="00287D23"/>
    <w:rsid w:val="002900A8"/>
    <w:rsid w:val="00291685"/>
    <w:rsid w:val="00292390"/>
    <w:rsid w:val="00292459"/>
    <w:rsid w:val="00292EE5"/>
    <w:rsid w:val="00293C31"/>
    <w:rsid w:val="00295311"/>
    <w:rsid w:val="00295758"/>
    <w:rsid w:val="00296193"/>
    <w:rsid w:val="00297590"/>
    <w:rsid w:val="002979E6"/>
    <w:rsid w:val="002A0085"/>
    <w:rsid w:val="002A08E4"/>
    <w:rsid w:val="002A0A79"/>
    <w:rsid w:val="002A1207"/>
    <w:rsid w:val="002A20C3"/>
    <w:rsid w:val="002A23C8"/>
    <w:rsid w:val="002A31B4"/>
    <w:rsid w:val="002A38AB"/>
    <w:rsid w:val="002A4588"/>
    <w:rsid w:val="002A4B86"/>
    <w:rsid w:val="002A62ED"/>
    <w:rsid w:val="002A7DC1"/>
    <w:rsid w:val="002B2B95"/>
    <w:rsid w:val="002B34E3"/>
    <w:rsid w:val="002B43C4"/>
    <w:rsid w:val="002B449A"/>
    <w:rsid w:val="002B5B65"/>
    <w:rsid w:val="002B6023"/>
    <w:rsid w:val="002B64F0"/>
    <w:rsid w:val="002B706F"/>
    <w:rsid w:val="002B79A6"/>
    <w:rsid w:val="002B7D05"/>
    <w:rsid w:val="002C0670"/>
    <w:rsid w:val="002C069F"/>
    <w:rsid w:val="002C1910"/>
    <w:rsid w:val="002C1915"/>
    <w:rsid w:val="002C1E06"/>
    <w:rsid w:val="002C2D97"/>
    <w:rsid w:val="002C43D4"/>
    <w:rsid w:val="002C4CBB"/>
    <w:rsid w:val="002C4FB6"/>
    <w:rsid w:val="002C5128"/>
    <w:rsid w:val="002C5542"/>
    <w:rsid w:val="002C5723"/>
    <w:rsid w:val="002C60C3"/>
    <w:rsid w:val="002C6584"/>
    <w:rsid w:val="002C69F1"/>
    <w:rsid w:val="002C7AB8"/>
    <w:rsid w:val="002D0280"/>
    <w:rsid w:val="002D0929"/>
    <w:rsid w:val="002D0E06"/>
    <w:rsid w:val="002D15C9"/>
    <w:rsid w:val="002D2772"/>
    <w:rsid w:val="002D3474"/>
    <w:rsid w:val="002D3D5C"/>
    <w:rsid w:val="002D4626"/>
    <w:rsid w:val="002D47C8"/>
    <w:rsid w:val="002D5747"/>
    <w:rsid w:val="002D5F4D"/>
    <w:rsid w:val="002D7F4D"/>
    <w:rsid w:val="002E0186"/>
    <w:rsid w:val="002E0221"/>
    <w:rsid w:val="002E15B2"/>
    <w:rsid w:val="002E2332"/>
    <w:rsid w:val="002E3346"/>
    <w:rsid w:val="002E3C7D"/>
    <w:rsid w:val="002E3D05"/>
    <w:rsid w:val="002E51CB"/>
    <w:rsid w:val="002E51F0"/>
    <w:rsid w:val="002E5898"/>
    <w:rsid w:val="002E5B89"/>
    <w:rsid w:val="002E615F"/>
    <w:rsid w:val="002E7555"/>
    <w:rsid w:val="002E7D26"/>
    <w:rsid w:val="002E7D5C"/>
    <w:rsid w:val="002F02BA"/>
    <w:rsid w:val="002F0581"/>
    <w:rsid w:val="002F0F7A"/>
    <w:rsid w:val="002F2131"/>
    <w:rsid w:val="002F2630"/>
    <w:rsid w:val="002F36D7"/>
    <w:rsid w:val="002F375C"/>
    <w:rsid w:val="002F3D42"/>
    <w:rsid w:val="002F5868"/>
    <w:rsid w:val="002F61D6"/>
    <w:rsid w:val="002F68DF"/>
    <w:rsid w:val="002F6A37"/>
    <w:rsid w:val="002F71ED"/>
    <w:rsid w:val="002F723B"/>
    <w:rsid w:val="002F7E3E"/>
    <w:rsid w:val="003002FF"/>
    <w:rsid w:val="00301A10"/>
    <w:rsid w:val="00301B3F"/>
    <w:rsid w:val="00302053"/>
    <w:rsid w:val="00304520"/>
    <w:rsid w:val="00306F79"/>
    <w:rsid w:val="003073C5"/>
    <w:rsid w:val="003103F9"/>
    <w:rsid w:val="00310BDA"/>
    <w:rsid w:val="003110B8"/>
    <w:rsid w:val="0031110D"/>
    <w:rsid w:val="0031325B"/>
    <w:rsid w:val="003137B1"/>
    <w:rsid w:val="0031488A"/>
    <w:rsid w:val="00316A5B"/>
    <w:rsid w:val="00317254"/>
    <w:rsid w:val="00320241"/>
    <w:rsid w:val="00320B18"/>
    <w:rsid w:val="00320C8C"/>
    <w:rsid w:val="003214CE"/>
    <w:rsid w:val="0032152D"/>
    <w:rsid w:val="003217BE"/>
    <w:rsid w:val="0032182E"/>
    <w:rsid w:val="00321AF2"/>
    <w:rsid w:val="00321DCE"/>
    <w:rsid w:val="0032236E"/>
    <w:rsid w:val="003231B5"/>
    <w:rsid w:val="0032329B"/>
    <w:rsid w:val="00323F1A"/>
    <w:rsid w:val="003241F1"/>
    <w:rsid w:val="00325BC6"/>
    <w:rsid w:val="0032616D"/>
    <w:rsid w:val="003262A8"/>
    <w:rsid w:val="00326BB9"/>
    <w:rsid w:val="00326D76"/>
    <w:rsid w:val="00330C08"/>
    <w:rsid w:val="00331225"/>
    <w:rsid w:val="00331F06"/>
    <w:rsid w:val="003325F1"/>
    <w:rsid w:val="003329C3"/>
    <w:rsid w:val="003340F0"/>
    <w:rsid w:val="00334643"/>
    <w:rsid w:val="003362D7"/>
    <w:rsid w:val="00337293"/>
    <w:rsid w:val="00337C49"/>
    <w:rsid w:val="003405F5"/>
    <w:rsid w:val="003409EE"/>
    <w:rsid w:val="00340C5D"/>
    <w:rsid w:val="00341CA7"/>
    <w:rsid w:val="00342486"/>
    <w:rsid w:val="00342701"/>
    <w:rsid w:val="003432FA"/>
    <w:rsid w:val="0034365F"/>
    <w:rsid w:val="00343F6F"/>
    <w:rsid w:val="0034446D"/>
    <w:rsid w:val="00344D8C"/>
    <w:rsid w:val="00345803"/>
    <w:rsid w:val="00345C6E"/>
    <w:rsid w:val="00346154"/>
    <w:rsid w:val="00346ED1"/>
    <w:rsid w:val="00347F22"/>
    <w:rsid w:val="00350BB9"/>
    <w:rsid w:val="00350C5A"/>
    <w:rsid w:val="00351312"/>
    <w:rsid w:val="003516A8"/>
    <w:rsid w:val="00351CCE"/>
    <w:rsid w:val="00352904"/>
    <w:rsid w:val="00352DBE"/>
    <w:rsid w:val="003530D9"/>
    <w:rsid w:val="00353B0A"/>
    <w:rsid w:val="00355E69"/>
    <w:rsid w:val="00356AAB"/>
    <w:rsid w:val="003576CD"/>
    <w:rsid w:val="00357791"/>
    <w:rsid w:val="00360176"/>
    <w:rsid w:val="00361986"/>
    <w:rsid w:val="00361B3E"/>
    <w:rsid w:val="0036238B"/>
    <w:rsid w:val="00362472"/>
    <w:rsid w:val="00362975"/>
    <w:rsid w:val="003632BC"/>
    <w:rsid w:val="00363327"/>
    <w:rsid w:val="0036343D"/>
    <w:rsid w:val="00363DD0"/>
    <w:rsid w:val="00365217"/>
    <w:rsid w:val="003654BF"/>
    <w:rsid w:val="00366147"/>
    <w:rsid w:val="00367ED2"/>
    <w:rsid w:val="00367EF5"/>
    <w:rsid w:val="00370967"/>
    <w:rsid w:val="00370EEE"/>
    <w:rsid w:val="00370F52"/>
    <w:rsid w:val="0037139B"/>
    <w:rsid w:val="0037190D"/>
    <w:rsid w:val="00371957"/>
    <w:rsid w:val="00371A1A"/>
    <w:rsid w:val="00371B53"/>
    <w:rsid w:val="00371C32"/>
    <w:rsid w:val="00372011"/>
    <w:rsid w:val="00372429"/>
    <w:rsid w:val="00373A42"/>
    <w:rsid w:val="00374DED"/>
    <w:rsid w:val="00374E61"/>
    <w:rsid w:val="0037548A"/>
    <w:rsid w:val="00375947"/>
    <w:rsid w:val="00375C61"/>
    <w:rsid w:val="00380C6A"/>
    <w:rsid w:val="00380E69"/>
    <w:rsid w:val="00380E77"/>
    <w:rsid w:val="00381031"/>
    <w:rsid w:val="0038127E"/>
    <w:rsid w:val="00382324"/>
    <w:rsid w:val="00382C98"/>
    <w:rsid w:val="00382D65"/>
    <w:rsid w:val="00382FF4"/>
    <w:rsid w:val="00383DA1"/>
    <w:rsid w:val="003847F0"/>
    <w:rsid w:val="00384A5A"/>
    <w:rsid w:val="00384B02"/>
    <w:rsid w:val="00385156"/>
    <w:rsid w:val="00386336"/>
    <w:rsid w:val="0038635C"/>
    <w:rsid w:val="00386617"/>
    <w:rsid w:val="00387A5A"/>
    <w:rsid w:val="00387EF0"/>
    <w:rsid w:val="00390646"/>
    <w:rsid w:val="00390D42"/>
    <w:rsid w:val="00391858"/>
    <w:rsid w:val="00393B90"/>
    <w:rsid w:val="00394C80"/>
    <w:rsid w:val="003955D1"/>
    <w:rsid w:val="00395E68"/>
    <w:rsid w:val="00396DA8"/>
    <w:rsid w:val="003978B3"/>
    <w:rsid w:val="0039799D"/>
    <w:rsid w:val="003A022D"/>
    <w:rsid w:val="003A0581"/>
    <w:rsid w:val="003A0F46"/>
    <w:rsid w:val="003A142D"/>
    <w:rsid w:val="003A174B"/>
    <w:rsid w:val="003A1A1E"/>
    <w:rsid w:val="003A3681"/>
    <w:rsid w:val="003A3EAE"/>
    <w:rsid w:val="003A4000"/>
    <w:rsid w:val="003A4903"/>
    <w:rsid w:val="003A4D9F"/>
    <w:rsid w:val="003A6F58"/>
    <w:rsid w:val="003A7235"/>
    <w:rsid w:val="003A732C"/>
    <w:rsid w:val="003A7721"/>
    <w:rsid w:val="003B0047"/>
    <w:rsid w:val="003B0AE4"/>
    <w:rsid w:val="003B0FC5"/>
    <w:rsid w:val="003B1208"/>
    <w:rsid w:val="003B13B2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5E20"/>
    <w:rsid w:val="003B60D2"/>
    <w:rsid w:val="003B6B7F"/>
    <w:rsid w:val="003B6D0E"/>
    <w:rsid w:val="003B789C"/>
    <w:rsid w:val="003B7C0B"/>
    <w:rsid w:val="003B7ED7"/>
    <w:rsid w:val="003C12E8"/>
    <w:rsid w:val="003C1C3D"/>
    <w:rsid w:val="003C2F6C"/>
    <w:rsid w:val="003C33D4"/>
    <w:rsid w:val="003C5C52"/>
    <w:rsid w:val="003C6486"/>
    <w:rsid w:val="003C75E1"/>
    <w:rsid w:val="003C7688"/>
    <w:rsid w:val="003C78D5"/>
    <w:rsid w:val="003C7F30"/>
    <w:rsid w:val="003D08F8"/>
    <w:rsid w:val="003D1391"/>
    <w:rsid w:val="003D2A3F"/>
    <w:rsid w:val="003D3AB7"/>
    <w:rsid w:val="003D4507"/>
    <w:rsid w:val="003D6B1C"/>
    <w:rsid w:val="003E0542"/>
    <w:rsid w:val="003E0F40"/>
    <w:rsid w:val="003E1CFD"/>
    <w:rsid w:val="003E1EF4"/>
    <w:rsid w:val="003E2576"/>
    <w:rsid w:val="003E2F16"/>
    <w:rsid w:val="003E32D4"/>
    <w:rsid w:val="003E37A1"/>
    <w:rsid w:val="003E436A"/>
    <w:rsid w:val="003E4602"/>
    <w:rsid w:val="003E60A1"/>
    <w:rsid w:val="003E67F9"/>
    <w:rsid w:val="003E6F87"/>
    <w:rsid w:val="003F0277"/>
    <w:rsid w:val="003F046B"/>
    <w:rsid w:val="003F18CF"/>
    <w:rsid w:val="003F22E7"/>
    <w:rsid w:val="003F23B6"/>
    <w:rsid w:val="003F3594"/>
    <w:rsid w:val="003F38A8"/>
    <w:rsid w:val="003F46E0"/>
    <w:rsid w:val="003F4E50"/>
    <w:rsid w:val="003F4E96"/>
    <w:rsid w:val="003F56A0"/>
    <w:rsid w:val="003F6AB1"/>
    <w:rsid w:val="003F6B72"/>
    <w:rsid w:val="003F6CB9"/>
    <w:rsid w:val="003F6D07"/>
    <w:rsid w:val="003F75C8"/>
    <w:rsid w:val="003F7B5D"/>
    <w:rsid w:val="003F7C6A"/>
    <w:rsid w:val="00400393"/>
    <w:rsid w:val="00401605"/>
    <w:rsid w:val="00401B82"/>
    <w:rsid w:val="00402504"/>
    <w:rsid w:val="00402D91"/>
    <w:rsid w:val="004036F4"/>
    <w:rsid w:val="0040374F"/>
    <w:rsid w:val="004047E4"/>
    <w:rsid w:val="004064FE"/>
    <w:rsid w:val="004069E0"/>
    <w:rsid w:val="00407431"/>
    <w:rsid w:val="004074CD"/>
    <w:rsid w:val="00411403"/>
    <w:rsid w:val="00411CB8"/>
    <w:rsid w:val="00411DDC"/>
    <w:rsid w:val="00412A45"/>
    <w:rsid w:val="00412D07"/>
    <w:rsid w:val="0041457A"/>
    <w:rsid w:val="00414ABF"/>
    <w:rsid w:val="00414D3A"/>
    <w:rsid w:val="00415098"/>
    <w:rsid w:val="00415771"/>
    <w:rsid w:val="00415B7A"/>
    <w:rsid w:val="00416193"/>
    <w:rsid w:val="00421E08"/>
    <w:rsid w:val="00423494"/>
    <w:rsid w:val="00423D11"/>
    <w:rsid w:val="00423FF0"/>
    <w:rsid w:val="00424682"/>
    <w:rsid w:val="00424C2D"/>
    <w:rsid w:val="004254AE"/>
    <w:rsid w:val="00425BAA"/>
    <w:rsid w:val="00430278"/>
    <w:rsid w:val="00430F1D"/>
    <w:rsid w:val="00431190"/>
    <w:rsid w:val="0043146E"/>
    <w:rsid w:val="0043270E"/>
    <w:rsid w:val="00432AC9"/>
    <w:rsid w:val="00432BEE"/>
    <w:rsid w:val="004330BE"/>
    <w:rsid w:val="00433DA4"/>
    <w:rsid w:val="00434336"/>
    <w:rsid w:val="0043436B"/>
    <w:rsid w:val="00434E46"/>
    <w:rsid w:val="0043626E"/>
    <w:rsid w:val="00436C29"/>
    <w:rsid w:val="00436FE4"/>
    <w:rsid w:val="00437689"/>
    <w:rsid w:val="004379AD"/>
    <w:rsid w:val="00437B92"/>
    <w:rsid w:val="00440A71"/>
    <w:rsid w:val="00440E58"/>
    <w:rsid w:val="00440F42"/>
    <w:rsid w:val="00440F95"/>
    <w:rsid w:val="0044156E"/>
    <w:rsid w:val="00441F9F"/>
    <w:rsid w:val="00443949"/>
    <w:rsid w:val="00443C05"/>
    <w:rsid w:val="00443CA9"/>
    <w:rsid w:val="00444832"/>
    <w:rsid w:val="00444FF3"/>
    <w:rsid w:val="00445229"/>
    <w:rsid w:val="00446FF8"/>
    <w:rsid w:val="004476A7"/>
    <w:rsid w:val="0044798F"/>
    <w:rsid w:val="004479C2"/>
    <w:rsid w:val="004502BA"/>
    <w:rsid w:val="004505F8"/>
    <w:rsid w:val="004510C6"/>
    <w:rsid w:val="004512AB"/>
    <w:rsid w:val="004523E3"/>
    <w:rsid w:val="00452559"/>
    <w:rsid w:val="00453835"/>
    <w:rsid w:val="00453897"/>
    <w:rsid w:val="00453B39"/>
    <w:rsid w:val="00455A18"/>
    <w:rsid w:val="00456000"/>
    <w:rsid w:val="0045639B"/>
    <w:rsid w:val="004577E8"/>
    <w:rsid w:val="00457C80"/>
    <w:rsid w:val="00457E68"/>
    <w:rsid w:val="00460F33"/>
    <w:rsid w:val="004617F4"/>
    <w:rsid w:val="00461BC3"/>
    <w:rsid w:val="00461FD5"/>
    <w:rsid w:val="004621FE"/>
    <w:rsid w:val="0046306C"/>
    <w:rsid w:val="0046326E"/>
    <w:rsid w:val="00463836"/>
    <w:rsid w:val="0046403D"/>
    <w:rsid w:val="0046417E"/>
    <w:rsid w:val="00464E56"/>
    <w:rsid w:val="00467C75"/>
    <w:rsid w:val="0047020D"/>
    <w:rsid w:val="00470A1F"/>
    <w:rsid w:val="00470ADE"/>
    <w:rsid w:val="0047280B"/>
    <w:rsid w:val="00472B4B"/>
    <w:rsid w:val="0047344C"/>
    <w:rsid w:val="0047546A"/>
    <w:rsid w:val="00475654"/>
    <w:rsid w:val="00477441"/>
    <w:rsid w:val="00477B72"/>
    <w:rsid w:val="00477FAA"/>
    <w:rsid w:val="0048021D"/>
    <w:rsid w:val="00480A9C"/>
    <w:rsid w:val="004826A3"/>
    <w:rsid w:val="004827C3"/>
    <w:rsid w:val="004837AA"/>
    <w:rsid w:val="00483E99"/>
    <w:rsid w:val="00483FCB"/>
    <w:rsid w:val="0048429E"/>
    <w:rsid w:val="00485CB1"/>
    <w:rsid w:val="00487375"/>
    <w:rsid w:val="004879C7"/>
    <w:rsid w:val="004879EE"/>
    <w:rsid w:val="00487CB6"/>
    <w:rsid w:val="00490D8F"/>
    <w:rsid w:val="00491482"/>
    <w:rsid w:val="00491C48"/>
    <w:rsid w:val="004920A5"/>
    <w:rsid w:val="0049273E"/>
    <w:rsid w:val="00492869"/>
    <w:rsid w:val="00492930"/>
    <w:rsid w:val="00492B9C"/>
    <w:rsid w:val="00493528"/>
    <w:rsid w:val="00494977"/>
    <w:rsid w:val="00494B16"/>
    <w:rsid w:val="00494CBB"/>
    <w:rsid w:val="00494FD7"/>
    <w:rsid w:val="00496455"/>
    <w:rsid w:val="00497D13"/>
    <w:rsid w:val="00497D33"/>
    <w:rsid w:val="004A0BE7"/>
    <w:rsid w:val="004A1078"/>
    <w:rsid w:val="004A1233"/>
    <w:rsid w:val="004A1725"/>
    <w:rsid w:val="004A1BA8"/>
    <w:rsid w:val="004A2CA9"/>
    <w:rsid w:val="004A2EBA"/>
    <w:rsid w:val="004A38B2"/>
    <w:rsid w:val="004A4673"/>
    <w:rsid w:val="004A4AF5"/>
    <w:rsid w:val="004A6B78"/>
    <w:rsid w:val="004A6E29"/>
    <w:rsid w:val="004A7482"/>
    <w:rsid w:val="004A7D52"/>
    <w:rsid w:val="004B0F26"/>
    <w:rsid w:val="004B1923"/>
    <w:rsid w:val="004B1DCC"/>
    <w:rsid w:val="004B3500"/>
    <w:rsid w:val="004B39B6"/>
    <w:rsid w:val="004B3E6A"/>
    <w:rsid w:val="004B5FDA"/>
    <w:rsid w:val="004B61A5"/>
    <w:rsid w:val="004B6E5E"/>
    <w:rsid w:val="004C076A"/>
    <w:rsid w:val="004C08A0"/>
    <w:rsid w:val="004C09D0"/>
    <w:rsid w:val="004C0AB6"/>
    <w:rsid w:val="004C0D43"/>
    <w:rsid w:val="004C1221"/>
    <w:rsid w:val="004C146D"/>
    <w:rsid w:val="004C2A9C"/>
    <w:rsid w:val="004C2BA4"/>
    <w:rsid w:val="004C2DA2"/>
    <w:rsid w:val="004C300B"/>
    <w:rsid w:val="004C3573"/>
    <w:rsid w:val="004C3B8C"/>
    <w:rsid w:val="004C3C77"/>
    <w:rsid w:val="004C40C7"/>
    <w:rsid w:val="004C4C23"/>
    <w:rsid w:val="004C52C9"/>
    <w:rsid w:val="004C5379"/>
    <w:rsid w:val="004C557D"/>
    <w:rsid w:val="004C5D1B"/>
    <w:rsid w:val="004C5EA3"/>
    <w:rsid w:val="004C6991"/>
    <w:rsid w:val="004C6B00"/>
    <w:rsid w:val="004C6BC7"/>
    <w:rsid w:val="004C7B1A"/>
    <w:rsid w:val="004D0421"/>
    <w:rsid w:val="004D0443"/>
    <w:rsid w:val="004D0497"/>
    <w:rsid w:val="004D07E8"/>
    <w:rsid w:val="004D0B8D"/>
    <w:rsid w:val="004D2EB4"/>
    <w:rsid w:val="004D3193"/>
    <w:rsid w:val="004D7B4A"/>
    <w:rsid w:val="004E07C4"/>
    <w:rsid w:val="004E1577"/>
    <w:rsid w:val="004E1BEC"/>
    <w:rsid w:val="004E1DF2"/>
    <w:rsid w:val="004E2256"/>
    <w:rsid w:val="004E2588"/>
    <w:rsid w:val="004E474A"/>
    <w:rsid w:val="004E59B2"/>
    <w:rsid w:val="004E5B5E"/>
    <w:rsid w:val="004E5B8C"/>
    <w:rsid w:val="004E5FD0"/>
    <w:rsid w:val="004E613F"/>
    <w:rsid w:val="004E647E"/>
    <w:rsid w:val="004E7035"/>
    <w:rsid w:val="004E71C3"/>
    <w:rsid w:val="004E779A"/>
    <w:rsid w:val="004F088C"/>
    <w:rsid w:val="004F0D80"/>
    <w:rsid w:val="004F22E5"/>
    <w:rsid w:val="004F269E"/>
    <w:rsid w:val="004F54B3"/>
    <w:rsid w:val="004F562A"/>
    <w:rsid w:val="004F566B"/>
    <w:rsid w:val="004F5F98"/>
    <w:rsid w:val="004F7855"/>
    <w:rsid w:val="004F7D98"/>
    <w:rsid w:val="00500C69"/>
    <w:rsid w:val="005014F5"/>
    <w:rsid w:val="0050184D"/>
    <w:rsid w:val="00502D63"/>
    <w:rsid w:val="00503447"/>
    <w:rsid w:val="00503941"/>
    <w:rsid w:val="00503D78"/>
    <w:rsid w:val="00503F79"/>
    <w:rsid w:val="00504CBE"/>
    <w:rsid w:val="005056E4"/>
    <w:rsid w:val="00505B30"/>
    <w:rsid w:val="0050623D"/>
    <w:rsid w:val="0050734A"/>
    <w:rsid w:val="0050789C"/>
    <w:rsid w:val="00510DF5"/>
    <w:rsid w:val="005113AD"/>
    <w:rsid w:val="00511B45"/>
    <w:rsid w:val="00511F8E"/>
    <w:rsid w:val="00512231"/>
    <w:rsid w:val="0051386E"/>
    <w:rsid w:val="0051468D"/>
    <w:rsid w:val="0051494D"/>
    <w:rsid w:val="00514CC2"/>
    <w:rsid w:val="0051518E"/>
    <w:rsid w:val="005165D6"/>
    <w:rsid w:val="00517B13"/>
    <w:rsid w:val="005207E0"/>
    <w:rsid w:val="00521127"/>
    <w:rsid w:val="005211B2"/>
    <w:rsid w:val="005247C5"/>
    <w:rsid w:val="00525331"/>
    <w:rsid w:val="00525945"/>
    <w:rsid w:val="00525A4C"/>
    <w:rsid w:val="005262A9"/>
    <w:rsid w:val="005262E4"/>
    <w:rsid w:val="00527595"/>
    <w:rsid w:val="005276F9"/>
    <w:rsid w:val="0053112F"/>
    <w:rsid w:val="00531385"/>
    <w:rsid w:val="00531791"/>
    <w:rsid w:val="00531815"/>
    <w:rsid w:val="00531952"/>
    <w:rsid w:val="00532930"/>
    <w:rsid w:val="00532984"/>
    <w:rsid w:val="00534BFA"/>
    <w:rsid w:val="00534D2A"/>
    <w:rsid w:val="005356ED"/>
    <w:rsid w:val="00536AE4"/>
    <w:rsid w:val="0053761C"/>
    <w:rsid w:val="005378B0"/>
    <w:rsid w:val="00537EFC"/>
    <w:rsid w:val="005402D7"/>
    <w:rsid w:val="00540573"/>
    <w:rsid w:val="00540ACD"/>
    <w:rsid w:val="00540E91"/>
    <w:rsid w:val="00541CD8"/>
    <w:rsid w:val="005420B3"/>
    <w:rsid w:val="00542554"/>
    <w:rsid w:val="00542591"/>
    <w:rsid w:val="00542D05"/>
    <w:rsid w:val="0054426A"/>
    <w:rsid w:val="005446DE"/>
    <w:rsid w:val="00544726"/>
    <w:rsid w:val="00544765"/>
    <w:rsid w:val="0054518A"/>
    <w:rsid w:val="0054597B"/>
    <w:rsid w:val="00545EFB"/>
    <w:rsid w:val="0054695B"/>
    <w:rsid w:val="00546F15"/>
    <w:rsid w:val="005476C6"/>
    <w:rsid w:val="00550320"/>
    <w:rsid w:val="005504A5"/>
    <w:rsid w:val="00551243"/>
    <w:rsid w:val="0055159E"/>
    <w:rsid w:val="005519B7"/>
    <w:rsid w:val="00551C9A"/>
    <w:rsid w:val="00552302"/>
    <w:rsid w:val="0055235B"/>
    <w:rsid w:val="00553974"/>
    <w:rsid w:val="00554650"/>
    <w:rsid w:val="0055560D"/>
    <w:rsid w:val="005559E9"/>
    <w:rsid w:val="00555DFA"/>
    <w:rsid w:val="0055694C"/>
    <w:rsid w:val="00556D75"/>
    <w:rsid w:val="00557D62"/>
    <w:rsid w:val="005605DD"/>
    <w:rsid w:val="0056105B"/>
    <w:rsid w:val="00561D09"/>
    <w:rsid w:val="00562D96"/>
    <w:rsid w:val="005630ED"/>
    <w:rsid w:val="00563410"/>
    <w:rsid w:val="00563A4A"/>
    <w:rsid w:val="00563BDC"/>
    <w:rsid w:val="005642F4"/>
    <w:rsid w:val="00564978"/>
    <w:rsid w:val="0056497B"/>
    <w:rsid w:val="00564A3B"/>
    <w:rsid w:val="00565D6A"/>
    <w:rsid w:val="005664B5"/>
    <w:rsid w:val="005668C9"/>
    <w:rsid w:val="00566A8C"/>
    <w:rsid w:val="00566C7E"/>
    <w:rsid w:val="0056717F"/>
    <w:rsid w:val="00570B82"/>
    <w:rsid w:val="00570E53"/>
    <w:rsid w:val="00571812"/>
    <w:rsid w:val="005720E6"/>
    <w:rsid w:val="005721B5"/>
    <w:rsid w:val="00572E82"/>
    <w:rsid w:val="00572F77"/>
    <w:rsid w:val="0057353C"/>
    <w:rsid w:val="00573A2B"/>
    <w:rsid w:val="00574BB8"/>
    <w:rsid w:val="00574E80"/>
    <w:rsid w:val="005752E5"/>
    <w:rsid w:val="005753A1"/>
    <w:rsid w:val="005754E6"/>
    <w:rsid w:val="00575590"/>
    <w:rsid w:val="005760AF"/>
    <w:rsid w:val="00576DDA"/>
    <w:rsid w:val="005774CE"/>
    <w:rsid w:val="00577659"/>
    <w:rsid w:val="005779A8"/>
    <w:rsid w:val="00577A7B"/>
    <w:rsid w:val="0058145C"/>
    <w:rsid w:val="00583329"/>
    <w:rsid w:val="005838B7"/>
    <w:rsid w:val="00583A41"/>
    <w:rsid w:val="00585028"/>
    <w:rsid w:val="00587679"/>
    <w:rsid w:val="0059015E"/>
    <w:rsid w:val="00590661"/>
    <w:rsid w:val="005911A5"/>
    <w:rsid w:val="005919CC"/>
    <w:rsid w:val="00591BD2"/>
    <w:rsid w:val="00591F37"/>
    <w:rsid w:val="005927B6"/>
    <w:rsid w:val="00592FDE"/>
    <w:rsid w:val="00592FE6"/>
    <w:rsid w:val="00593A13"/>
    <w:rsid w:val="005942AC"/>
    <w:rsid w:val="00594977"/>
    <w:rsid w:val="00594A1C"/>
    <w:rsid w:val="00596199"/>
    <w:rsid w:val="00596AD6"/>
    <w:rsid w:val="005972F4"/>
    <w:rsid w:val="005A0007"/>
    <w:rsid w:val="005A21F2"/>
    <w:rsid w:val="005A2D77"/>
    <w:rsid w:val="005A38A2"/>
    <w:rsid w:val="005A3D43"/>
    <w:rsid w:val="005A4963"/>
    <w:rsid w:val="005A564F"/>
    <w:rsid w:val="005A7722"/>
    <w:rsid w:val="005A7E30"/>
    <w:rsid w:val="005B1BC4"/>
    <w:rsid w:val="005B2F76"/>
    <w:rsid w:val="005B2FC6"/>
    <w:rsid w:val="005B37CC"/>
    <w:rsid w:val="005B3E46"/>
    <w:rsid w:val="005B4E81"/>
    <w:rsid w:val="005B56E2"/>
    <w:rsid w:val="005B6E9D"/>
    <w:rsid w:val="005B7352"/>
    <w:rsid w:val="005B75CA"/>
    <w:rsid w:val="005C0E37"/>
    <w:rsid w:val="005C105E"/>
    <w:rsid w:val="005C1082"/>
    <w:rsid w:val="005C1A66"/>
    <w:rsid w:val="005C1BA2"/>
    <w:rsid w:val="005C2A50"/>
    <w:rsid w:val="005C3BDA"/>
    <w:rsid w:val="005C4738"/>
    <w:rsid w:val="005C4F27"/>
    <w:rsid w:val="005C560C"/>
    <w:rsid w:val="005C5697"/>
    <w:rsid w:val="005C6208"/>
    <w:rsid w:val="005C7158"/>
    <w:rsid w:val="005C75C9"/>
    <w:rsid w:val="005D013C"/>
    <w:rsid w:val="005D0527"/>
    <w:rsid w:val="005D09F2"/>
    <w:rsid w:val="005D0D84"/>
    <w:rsid w:val="005D0F61"/>
    <w:rsid w:val="005D1A73"/>
    <w:rsid w:val="005D35A5"/>
    <w:rsid w:val="005D6267"/>
    <w:rsid w:val="005D7091"/>
    <w:rsid w:val="005D7196"/>
    <w:rsid w:val="005E0230"/>
    <w:rsid w:val="005E05E5"/>
    <w:rsid w:val="005E0A06"/>
    <w:rsid w:val="005E199B"/>
    <w:rsid w:val="005E1EAB"/>
    <w:rsid w:val="005E273B"/>
    <w:rsid w:val="005E30C8"/>
    <w:rsid w:val="005E44FA"/>
    <w:rsid w:val="005E4BCB"/>
    <w:rsid w:val="005E510B"/>
    <w:rsid w:val="005E58B1"/>
    <w:rsid w:val="005E5966"/>
    <w:rsid w:val="005E72DD"/>
    <w:rsid w:val="005E7C04"/>
    <w:rsid w:val="005F00F2"/>
    <w:rsid w:val="005F061D"/>
    <w:rsid w:val="005F0CDE"/>
    <w:rsid w:val="005F0FFB"/>
    <w:rsid w:val="005F2181"/>
    <w:rsid w:val="005F2A54"/>
    <w:rsid w:val="005F2BB1"/>
    <w:rsid w:val="005F3299"/>
    <w:rsid w:val="005F37A5"/>
    <w:rsid w:val="005F3AE6"/>
    <w:rsid w:val="005F4C42"/>
    <w:rsid w:val="005F4CA5"/>
    <w:rsid w:val="005F4D95"/>
    <w:rsid w:val="005F5618"/>
    <w:rsid w:val="005F5DDC"/>
    <w:rsid w:val="005F5E17"/>
    <w:rsid w:val="005F63B8"/>
    <w:rsid w:val="005F6C7F"/>
    <w:rsid w:val="005F7203"/>
    <w:rsid w:val="00600463"/>
    <w:rsid w:val="00601777"/>
    <w:rsid w:val="00601E41"/>
    <w:rsid w:val="00602510"/>
    <w:rsid w:val="006038CA"/>
    <w:rsid w:val="006045F7"/>
    <w:rsid w:val="00604C13"/>
    <w:rsid w:val="00604ED5"/>
    <w:rsid w:val="0060510F"/>
    <w:rsid w:val="00605650"/>
    <w:rsid w:val="006063A9"/>
    <w:rsid w:val="00607473"/>
    <w:rsid w:val="00607D7B"/>
    <w:rsid w:val="006116BC"/>
    <w:rsid w:val="00611CF5"/>
    <w:rsid w:val="00612F76"/>
    <w:rsid w:val="00613CC4"/>
    <w:rsid w:val="0061444E"/>
    <w:rsid w:val="00614EF9"/>
    <w:rsid w:val="006151C6"/>
    <w:rsid w:val="006169A0"/>
    <w:rsid w:val="00617CCB"/>
    <w:rsid w:val="00617E48"/>
    <w:rsid w:val="006203C9"/>
    <w:rsid w:val="0062143E"/>
    <w:rsid w:val="00621FE9"/>
    <w:rsid w:val="006229AA"/>
    <w:rsid w:val="00622ABD"/>
    <w:rsid w:val="00623A07"/>
    <w:rsid w:val="00624315"/>
    <w:rsid w:val="00624D07"/>
    <w:rsid w:val="006259B5"/>
    <w:rsid w:val="00625B88"/>
    <w:rsid w:val="0062622A"/>
    <w:rsid w:val="0063021F"/>
    <w:rsid w:val="00630BDC"/>
    <w:rsid w:val="00630EAA"/>
    <w:rsid w:val="0063110C"/>
    <w:rsid w:val="006312D5"/>
    <w:rsid w:val="0063143B"/>
    <w:rsid w:val="00631481"/>
    <w:rsid w:val="0063224C"/>
    <w:rsid w:val="00632C84"/>
    <w:rsid w:val="00632F91"/>
    <w:rsid w:val="006331A0"/>
    <w:rsid w:val="00633B8C"/>
    <w:rsid w:val="00633E0D"/>
    <w:rsid w:val="0063422C"/>
    <w:rsid w:val="0063452E"/>
    <w:rsid w:val="006348B6"/>
    <w:rsid w:val="00635241"/>
    <w:rsid w:val="006358AE"/>
    <w:rsid w:val="00635A2D"/>
    <w:rsid w:val="0063668C"/>
    <w:rsid w:val="006368F7"/>
    <w:rsid w:val="00636B55"/>
    <w:rsid w:val="00637967"/>
    <w:rsid w:val="00637E06"/>
    <w:rsid w:val="00637E14"/>
    <w:rsid w:val="00642517"/>
    <w:rsid w:val="00642731"/>
    <w:rsid w:val="00642870"/>
    <w:rsid w:val="00643891"/>
    <w:rsid w:val="006439CA"/>
    <w:rsid w:val="00643A2A"/>
    <w:rsid w:val="006446A2"/>
    <w:rsid w:val="00645026"/>
    <w:rsid w:val="00645941"/>
    <w:rsid w:val="006459B8"/>
    <w:rsid w:val="00646BD6"/>
    <w:rsid w:val="00650EAA"/>
    <w:rsid w:val="00650FA8"/>
    <w:rsid w:val="006512A6"/>
    <w:rsid w:val="00651C20"/>
    <w:rsid w:val="00651DC0"/>
    <w:rsid w:val="006526E1"/>
    <w:rsid w:val="0065276A"/>
    <w:rsid w:val="00652998"/>
    <w:rsid w:val="00652AAF"/>
    <w:rsid w:val="00654441"/>
    <w:rsid w:val="00655A73"/>
    <w:rsid w:val="00655C7B"/>
    <w:rsid w:val="00655EA0"/>
    <w:rsid w:val="006569B3"/>
    <w:rsid w:val="0066146A"/>
    <w:rsid w:val="0066204A"/>
    <w:rsid w:val="0066205D"/>
    <w:rsid w:val="00662281"/>
    <w:rsid w:val="00663026"/>
    <w:rsid w:val="00663112"/>
    <w:rsid w:val="0066402C"/>
    <w:rsid w:val="00664453"/>
    <w:rsid w:val="006655F7"/>
    <w:rsid w:val="006656B4"/>
    <w:rsid w:val="00665C19"/>
    <w:rsid w:val="006660AE"/>
    <w:rsid w:val="00666AF2"/>
    <w:rsid w:val="00666EC5"/>
    <w:rsid w:val="00666F3C"/>
    <w:rsid w:val="006673EA"/>
    <w:rsid w:val="00667772"/>
    <w:rsid w:val="00670CA2"/>
    <w:rsid w:val="00671655"/>
    <w:rsid w:val="006719F0"/>
    <w:rsid w:val="0067256F"/>
    <w:rsid w:val="006734B0"/>
    <w:rsid w:val="0067366E"/>
    <w:rsid w:val="00674D58"/>
    <w:rsid w:val="0067564A"/>
    <w:rsid w:val="00675E97"/>
    <w:rsid w:val="0067644F"/>
    <w:rsid w:val="006764CC"/>
    <w:rsid w:val="00676869"/>
    <w:rsid w:val="0067766C"/>
    <w:rsid w:val="006776DC"/>
    <w:rsid w:val="00677F37"/>
    <w:rsid w:val="00680086"/>
    <w:rsid w:val="00680A9F"/>
    <w:rsid w:val="00681165"/>
    <w:rsid w:val="0068148F"/>
    <w:rsid w:val="0068158B"/>
    <w:rsid w:val="00681B0D"/>
    <w:rsid w:val="006823EA"/>
    <w:rsid w:val="006828F9"/>
    <w:rsid w:val="00682A8B"/>
    <w:rsid w:val="00682AAD"/>
    <w:rsid w:val="00682D13"/>
    <w:rsid w:val="006832E6"/>
    <w:rsid w:val="0068424C"/>
    <w:rsid w:val="00684D59"/>
    <w:rsid w:val="006854B8"/>
    <w:rsid w:val="006854E7"/>
    <w:rsid w:val="00686B62"/>
    <w:rsid w:val="00686E48"/>
    <w:rsid w:val="00686E78"/>
    <w:rsid w:val="00687035"/>
    <w:rsid w:val="00687738"/>
    <w:rsid w:val="00687815"/>
    <w:rsid w:val="0069058A"/>
    <w:rsid w:val="00691301"/>
    <w:rsid w:val="00691AF7"/>
    <w:rsid w:val="00693917"/>
    <w:rsid w:val="00693C56"/>
    <w:rsid w:val="00694496"/>
    <w:rsid w:val="00694B7F"/>
    <w:rsid w:val="00695257"/>
    <w:rsid w:val="00695DC0"/>
    <w:rsid w:val="00697D2C"/>
    <w:rsid w:val="006A190C"/>
    <w:rsid w:val="006A1E4B"/>
    <w:rsid w:val="006A2FFC"/>
    <w:rsid w:val="006A3862"/>
    <w:rsid w:val="006A3DA3"/>
    <w:rsid w:val="006A4050"/>
    <w:rsid w:val="006A4744"/>
    <w:rsid w:val="006A4F47"/>
    <w:rsid w:val="006A6CF0"/>
    <w:rsid w:val="006A7430"/>
    <w:rsid w:val="006B0092"/>
    <w:rsid w:val="006B0709"/>
    <w:rsid w:val="006B1019"/>
    <w:rsid w:val="006B123D"/>
    <w:rsid w:val="006B1452"/>
    <w:rsid w:val="006B1790"/>
    <w:rsid w:val="006B1791"/>
    <w:rsid w:val="006B1946"/>
    <w:rsid w:val="006B3797"/>
    <w:rsid w:val="006B475E"/>
    <w:rsid w:val="006B4A0D"/>
    <w:rsid w:val="006B4BB0"/>
    <w:rsid w:val="006B545C"/>
    <w:rsid w:val="006B5CC1"/>
    <w:rsid w:val="006B5DE6"/>
    <w:rsid w:val="006B6A3E"/>
    <w:rsid w:val="006B6E06"/>
    <w:rsid w:val="006B6F29"/>
    <w:rsid w:val="006B7388"/>
    <w:rsid w:val="006B787F"/>
    <w:rsid w:val="006C0A55"/>
    <w:rsid w:val="006C107E"/>
    <w:rsid w:val="006C1436"/>
    <w:rsid w:val="006C155E"/>
    <w:rsid w:val="006C2094"/>
    <w:rsid w:val="006C2365"/>
    <w:rsid w:val="006C2486"/>
    <w:rsid w:val="006C2F3A"/>
    <w:rsid w:val="006C3398"/>
    <w:rsid w:val="006C4B12"/>
    <w:rsid w:val="006C51FE"/>
    <w:rsid w:val="006C5943"/>
    <w:rsid w:val="006C5B48"/>
    <w:rsid w:val="006C5F34"/>
    <w:rsid w:val="006C664B"/>
    <w:rsid w:val="006C6DF3"/>
    <w:rsid w:val="006C7E76"/>
    <w:rsid w:val="006D024A"/>
    <w:rsid w:val="006D07EA"/>
    <w:rsid w:val="006D0A26"/>
    <w:rsid w:val="006D0E1E"/>
    <w:rsid w:val="006D17D9"/>
    <w:rsid w:val="006D1DA2"/>
    <w:rsid w:val="006D265A"/>
    <w:rsid w:val="006D460E"/>
    <w:rsid w:val="006D47C3"/>
    <w:rsid w:val="006D700C"/>
    <w:rsid w:val="006E0102"/>
    <w:rsid w:val="006E18E3"/>
    <w:rsid w:val="006E21E6"/>
    <w:rsid w:val="006E318F"/>
    <w:rsid w:val="006E3703"/>
    <w:rsid w:val="006E3D1E"/>
    <w:rsid w:val="006E512A"/>
    <w:rsid w:val="006E52AF"/>
    <w:rsid w:val="006E5D2E"/>
    <w:rsid w:val="006E6023"/>
    <w:rsid w:val="006E6A72"/>
    <w:rsid w:val="006E6B7E"/>
    <w:rsid w:val="006E77F8"/>
    <w:rsid w:val="006F055A"/>
    <w:rsid w:val="006F0A85"/>
    <w:rsid w:val="006F1468"/>
    <w:rsid w:val="006F1605"/>
    <w:rsid w:val="006F2FFF"/>
    <w:rsid w:val="006F4786"/>
    <w:rsid w:val="006F4ACE"/>
    <w:rsid w:val="006F5F31"/>
    <w:rsid w:val="006F77E2"/>
    <w:rsid w:val="00700475"/>
    <w:rsid w:val="00700EC9"/>
    <w:rsid w:val="00701076"/>
    <w:rsid w:val="00701135"/>
    <w:rsid w:val="00701AF0"/>
    <w:rsid w:val="007021F1"/>
    <w:rsid w:val="00702B25"/>
    <w:rsid w:val="00703B76"/>
    <w:rsid w:val="00704509"/>
    <w:rsid w:val="00706B0D"/>
    <w:rsid w:val="00706EDD"/>
    <w:rsid w:val="0071026F"/>
    <w:rsid w:val="0071110D"/>
    <w:rsid w:val="00711F82"/>
    <w:rsid w:val="0071216B"/>
    <w:rsid w:val="00714812"/>
    <w:rsid w:val="00714EE0"/>
    <w:rsid w:val="00716166"/>
    <w:rsid w:val="007164A8"/>
    <w:rsid w:val="007164FB"/>
    <w:rsid w:val="00717B5E"/>
    <w:rsid w:val="00717B81"/>
    <w:rsid w:val="00720389"/>
    <w:rsid w:val="00720C60"/>
    <w:rsid w:val="00720E75"/>
    <w:rsid w:val="0072127D"/>
    <w:rsid w:val="00722439"/>
    <w:rsid w:val="00722DE9"/>
    <w:rsid w:val="00723983"/>
    <w:rsid w:val="007249AC"/>
    <w:rsid w:val="00725AB5"/>
    <w:rsid w:val="00726BAF"/>
    <w:rsid w:val="00727E4A"/>
    <w:rsid w:val="00730891"/>
    <w:rsid w:val="00730CF4"/>
    <w:rsid w:val="0073131D"/>
    <w:rsid w:val="0073196A"/>
    <w:rsid w:val="00731B0C"/>
    <w:rsid w:val="0073317A"/>
    <w:rsid w:val="00733B11"/>
    <w:rsid w:val="00734C2E"/>
    <w:rsid w:val="00736A41"/>
    <w:rsid w:val="0074053E"/>
    <w:rsid w:val="00740A31"/>
    <w:rsid w:val="007414A8"/>
    <w:rsid w:val="00741516"/>
    <w:rsid w:val="00741A23"/>
    <w:rsid w:val="00741DF1"/>
    <w:rsid w:val="007427F6"/>
    <w:rsid w:val="0074297F"/>
    <w:rsid w:val="00743007"/>
    <w:rsid w:val="00743A44"/>
    <w:rsid w:val="00743CCB"/>
    <w:rsid w:val="00744A21"/>
    <w:rsid w:val="00744F00"/>
    <w:rsid w:val="00746002"/>
    <w:rsid w:val="0074618B"/>
    <w:rsid w:val="00746908"/>
    <w:rsid w:val="00746DF4"/>
    <w:rsid w:val="007477ED"/>
    <w:rsid w:val="007506FC"/>
    <w:rsid w:val="007508EA"/>
    <w:rsid w:val="00750CE3"/>
    <w:rsid w:val="007527B9"/>
    <w:rsid w:val="007530C6"/>
    <w:rsid w:val="0075538F"/>
    <w:rsid w:val="007558B2"/>
    <w:rsid w:val="007564D1"/>
    <w:rsid w:val="00756562"/>
    <w:rsid w:val="00757034"/>
    <w:rsid w:val="007607FE"/>
    <w:rsid w:val="00760CDC"/>
    <w:rsid w:val="0076172D"/>
    <w:rsid w:val="00762DF4"/>
    <w:rsid w:val="007633F2"/>
    <w:rsid w:val="007637EC"/>
    <w:rsid w:val="007640A4"/>
    <w:rsid w:val="007645C4"/>
    <w:rsid w:val="00764685"/>
    <w:rsid w:val="00764A74"/>
    <w:rsid w:val="00765C74"/>
    <w:rsid w:val="007668F3"/>
    <w:rsid w:val="00766C04"/>
    <w:rsid w:val="00767971"/>
    <w:rsid w:val="00771C0F"/>
    <w:rsid w:val="00771D81"/>
    <w:rsid w:val="0077397B"/>
    <w:rsid w:val="00775205"/>
    <w:rsid w:val="00775A4B"/>
    <w:rsid w:val="00776040"/>
    <w:rsid w:val="00776E5B"/>
    <w:rsid w:val="00777806"/>
    <w:rsid w:val="00777E3B"/>
    <w:rsid w:val="00780745"/>
    <w:rsid w:val="00781014"/>
    <w:rsid w:val="007813AA"/>
    <w:rsid w:val="007816A1"/>
    <w:rsid w:val="0078175A"/>
    <w:rsid w:val="00781AD5"/>
    <w:rsid w:val="00781D65"/>
    <w:rsid w:val="00783509"/>
    <w:rsid w:val="007847A7"/>
    <w:rsid w:val="007856E6"/>
    <w:rsid w:val="00785E9B"/>
    <w:rsid w:val="00787542"/>
    <w:rsid w:val="00790285"/>
    <w:rsid w:val="00790DA6"/>
    <w:rsid w:val="00790F3E"/>
    <w:rsid w:val="0079165D"/>
    <w:rsid w:val="0079312A"/>
    <w:rsid w:val="0079344E"/>
    <w:rsid w:val="007939F2"/>
    <w:rsid w:val="007956E7"/>
    <w:rsid w:val="00795A3F"/>
    <w:rsid w:val="007964C2"/>
    <w:rsid w:val="0079674C"/>
    <w:rsid w:val="00797103"/>
    <w:rsid w:val="007979E0"/>
    <w:rsid w:val="007A1650"/>
    <w:rsid w:val="007A2612"/>
    <w:rsid w:val="007A28B7"/>
    <w:rsid w:val="007A2E60"/>
    <w:rsid w:val="007A46B6"/>
    <w:rsid w:val="007A5108"/>
    <w:rsid w:val="007A5196"/>
    <w:rsid w:val="007A57ED"/>
    <w:rsid w:val="007A5CE0"/>
    <w:rsid w:val="007A656E"/>
    <w:rsid w:val="007A6634"/>
    <w:rsid w:val="007A67F8"/>
    <w:rsid w:val="007A78F7"/>
    <w:rsid w:val="007A7F4A"/>
    <w:rsid w:val="007B05B5"/>
    <w:rsid w:val="007B14D0"/>
    <w:rsid w:val="007B1BA3"/>
    <w:rsid w:val="007B1F9D"/>
    <w:rsid w:val="007B2294"/>
    <w:rsid w:val="007B2554"/>
    <w:rsid w:val="007B3D05"/>
    <w:rsid w:val="007B3F84"/>
    <w:rsid w:val="007B468E"/>
    <w:rsid w:val="007B498A"/>
    <w:rsid w:val="007B4CC6"/>
    <w:rsid w:val="007B601D"/>
    <w:rsid w:val="007B68CC"/>
    <w:rsid w:val="007B6CC8"/>
    <w:rsid w:val="007B7031"/>
    <w:rsid w:val="007B78BD"/>
    <w:rsid w:val="007C0203"/>
    <w:rsid w:val="007C23FF"/>
    <w:rsid w:val="007C2A01"/>
    <w:rsid w:val="007C3291"/>
    <w:rsid w:val="007C4325"/>
    <w:rsid w:val="007C5AF5"/>
    <w:rsid w:val="007D00E0"/>
    <w:rsid w:val="007D10FE"/>
    <w:rsid w:val="007D24DA"/>
    <w:rsid w:val="007D309B"/>
    <w:rsid w:val="007D427E"/>
    <w:rsid w:val="007D562A"/>
    <w:rsid w:val="007D62A3"/>
    <w:rsid w:val="007D6A4A"/>
    <w:rsid w:val="007D7508"/>
    <w:rsid w:val="007D7C50"/>
    <w:rsid w:val="007E01CF"/>
    <w:rsid w:val="007E0756"/>
    <w:rsid w:val="007E0FDA"/>
    <w:rsid w:val="007E1976"/>
    <w:rsid w:val="007E3210"/>
    <w:rsid w:val="007E39B9"/>
    <w:rsid w:val="007E4515"/>
    <w:rsid w:val="007E681F"/>
    <w:rsid w:val="007E7695"/>
    <w:rsid w:val="007F0283"/>
    <w:rsid w:val="007F08E3"/>
    <w:rsid w:val="007F1C82"/>
    <w:rsid w:val="007F1ED9"/>
    <w:rsid w:val="007F28C0"/>
    <w:rsid w:val="007F4252"/>
    <w:rsid w:val="007F47F5"/>
    <w:rsid w:val="007F4EFE"/>
    <w:rsid w:val="007F6110"/>
    <w:rsid w:val="007F7A8C"/>
    <w:rsid w:val="007F7E38"/>
    <w:rsid w:val="00800380"/>
    <w:rsid w:val="0080248B"/>
    <w:rsid w:val="00803A70"/>
    <w:rsid w:val="00803C2E"/>
    <w:rsid w:val="0080487E"/>
    <w:rsid w:val="0080513F"/>
    <w:rsid w:val="00806E1B"/>
    <w:rsid w:val="008100EE"/>
    <w:rsid w:val="00810B1D"/>
    <w:rsid w:val="00810B35"/>
    <w:rsid w:val="00810B43"/>
    <w:rsid w:val="00810C83"/>
    <w:rsid w:val="008110F7"/>
    <w:rsid w:val="00811182"/>
    <w:rsid w:val="008117AB"/>
    <w:rsid w:val="00811833"/>
    <w:rsid w:val="0081188F"/>
    <w:rsid w:val="0081222A"/>
    <w:rsid w:val="00813330"/>
    <w:rsid w:val="00813F25"/>
    <w:rsid w:val="00813F6F"/>
    <w:rsid w:val="0081614C"/>
    <w:rsid w:val="00816933"/>
    <w:rsid w:val="00817542"/>
    <w:rsid w:val="00817AE6"/>
    <w:rsid w:val="00820060"/>
    <w:rsid w:val="008207B5"/>
    <w:rsid w:val="00820F12"/>
    <w:rsid w:val="0082126D"/>
    <w:rsid w:val="00822A97"/>
    <w:rsid w:val="00822BB3"/>
    <w:rsid w:val="0082462A"/>
    <w:rsid w:val="00824C79"/>
    <w:rsid w:val="00824EE4"/>
    <w:rsid w:val="00825727"/>
    <w:rsid w:val="00825D60"/>
    <w:rsid w:val="00825F29"/>
    <w:rsid w:val="00825FFE"/>
    <w:rsid w:val="00827934"/>
    <w:rsid w:val="0083072F"/>
    <w:rsid w:val="00830CA0"/>
    <w:rsid w:val="00831B70"/>
    <w:rsid w:val="008354D8"/>
    <w:rsid w:val="0083582D"/>
    <w:rsid w:val="00835B1F"/>
    <w:rsid w:val="00836298"/>
    <w:rsid w:val="00837499"/>
    <w:rsid w:val="0083753F"/>
    <w:rsid w:val="00837D4C"/>
    <w:rsid w:val="00840771"/>
    <w:rsid w:val="0084142C"/>
    <w:rsid w:val="008425D8"/>
    <w:rsid w:val="008437A8"/>
    <w:rsid w:val="00843ADC"/>
    <w:rsid w:val="008441E4"/>
    <w:rsid w:val="00844463"/>
    <w:rsid w:val="00844C99"/>
    <w:rsid w:val="0084566E"/>
    <w:rsid w:val="00845EEE"/>
    <w:rsid w:val="008501F9"/>
    <w:rsid w:val="008508DD"/>
    <w:rsid w:val="00851217"/>
    <w:rsid w:val="008520C9"/>
    <w:rsid w:val="00852643"/>
    <w:rsid w:val="00852A46"/>
    <w:rsid w:val="008534E4"/>
    <w:rsid w:val="0085415B"/>
    <w:rsid w:val="0085517C"/>
    <w:rsid w:val="00856D75"/>
    <w:rsid w:val="008578CD"/>
    <w:rsid w:val="00862C17"/>
    <w:rsid w:val="00862EDE"/>
    <w:rsid w:val="00863711"/>
    <w:rsid w:val="008638C3"/>
    <w:rsid w:val="00863B7A"/>
    <w:rsid w:val="00863FFE"/>
    <w:rsid w:val="008648DA"/>
    <w:rsid w:val="00864B39"/>
    <w:rsid w:val="00864DC3"/>
    <w:rsid w:val="008712C1"/>
    <w:rsid w:val="00871A62"/>
    <w:rsid w:val="008720B2"/>
    <w:rsid w:val="00873399"/>
    <w:rsid w:val="0087444C"/>
    <w:rsid w:val="00874C86"/>
    <w:rsid w:val="00875327"/>
    <w:rsid w:val="008753ED"/>
    <w:rsid w:val="00875432"/>
    <w:rsid w:val="00875F44"/>
    <w:rsid w:val="00876278"/>
    <w:rsid w:val="0087692D"/>
    <w:rsid w:val="00876B7B"/>
    <w:rsid w:val="00876DED"/>
    <w:rsid w:val="0087783C"/>
    <w:rsid w:val="00877DA1"/>
    <w:rsid w:val="00881899"/>
    <w:rsid w:val="00881AF1"/>
    <w:rsid w:val="00881F1D"/>
    <w:rsid w:val="00882518"/>
    <w:rsid w:val="008836D9"/>
    <w:rsid w:val="0088403B"/>
    <w:rsid w:val="0088486D"/>
    <w:rsid w:val="00885045"/>
    <w:rsid w:val="00885946"/>
    <w:rsid w:val="00885E36"/>
    <w:rsid w:val="00886699"/>
    <w:rsid w:val="00886EE9"/>
    <w:rsid w:val="0088709D"/>
    <w:rsid w:val="00887962"/>
    <w:rsid w:val="00890076"/>
    <w:rsid w:val="008905E0"/>
    <w:rsid w:val="008911E4"/>
    <w:rsid w:val="008926EE"/>
    <w:rsid w:val="00892967"/>
    <w:rsid w:val="00893184"/>
    <w:rsid w:val="00893535"/>
    <w:rsid w:val="00894886"/>
    <w:rsid w:val="0089568E"/>
    <w:rsid w:val="0089650D"/>
    <w:rsid w:val="00897E99"/>
    <w:rsid w:val="008A0110"/>
    <w:rsid w:val="008A049C"/>
    <w:rsid w:val="008A0CC1"/>
    <w:rsid w:val="008A1059"/>
    <w:rsid w:val="008A1E94"/>
    <w:rsid w:val="008A2427"/>
    <w:rsid w:val="008A318B"/>
    <w:rsid w:val="008A3269"/>
    <w:rsid w:val="008A4B99"/>
    <w:rsid w:val="008A51EE"/>
    <w:rsid w:val="008A5B8E"/>
    <w:rsid w:val="008A644E"/>
    <w:rsid w:val="008A6D36"/>
    <w:rsid w:val="008A702A"/>
    <w:rsid w:val="008B085A"/>
    <w:rsid w:val="008B25E0"/>
    <w:rsid w:val="008B2BEB"/>
    <w:rsid w:val="008B2F36"/>
    <w:rsid w:val="008B3266"/>
    <w:rsid w:val="008B35D4"/>
    <w:rsid w:val="008B38F0"/>
    <w:rsid w:val="008B391E"/>
    <w:rsid w:val="008B40C0"/>
    <w:rsid w:val="008B4684"/>
    <w:rsid w:val="008B5262"/>
    <w:rsid w:val="008B611E"/>
    <w:rsid w:val="008B7205"/>
    <w:rsid w:val="008B72CB"/>
    <w:rsid w:val="008C0580"/>
    <w:rsid w:val="008C0685"/>
    <w:rsid w:val="008C1077"/>
    <w:rsid w:val="008C11F0"/>
    <w:rsid w:val="008C1D9F"/>
    <w:rsid w:val="008C2D52"/>
    <w:rsid w:val="008C38B5"/>
    <w:rsid w:val="008C3DB8"/>
    <w:rsid w:val="008C4E4E"/>
    <w:rsid w:val="008C4F45"/>
    <w:rsid w:val="008C4FA8"/>
    <w:rsid w:val="008C55E2"/>
    <w:rsid w:val="008C5B03"/>
    <w:rsid w:val="008C6332"/>
    <w:rsid w:val="008C6733"/>
    <w:rsid w:val="008C6B91"/>
    <w:rsid w:val="008C71A2"/>
    <w:rsid w:val="008C76D1"/>
    <w:rsid w:val="008D06D2"/>
    <w:rsid w:val="008D1889"/>
    <w:rsid w:val="008D2E31"/>
    <w:rsid w:val="008D2E5B"/>
    <w:rsid w:val="008D39DF"/>
    <w:rsid w:val="008D3C28"/>
    <w:rsid w:val="008D4821"/>
    <w:rsid w:val="008D484B"/>
    <w:rsid w:val="008D505D"/>
    <w:rsid w:val="008D568F"/>
    <w:rsid w:val="008D5B84"/>
    <w:rsid w:val="008E02E9"/>
    <w:rsid w:val="008E1EE5"/>
    <w:rsid w:val="008E2949"/>
    <w:rsid w:val="008E2BC9"/>
    <w:rsid w:val="008E4341"/>
    <w:rsid w:val="008E4541"/>
    <w:rsid w:val="008E5422"/>
    <w:rsid w:val="008E6536"/>
    <w:rsid w:val="008F0017"/>
    <w:rsid w:val="008F2981"/>
    <w:rsid w:val="008F298B"/>
    <w:rsid w:val="008F2B10"/>
    <w:rsid w:val="008F2DEC"/>
    <w:rsid w:val="008F3212"/>
    <w:rsid w:val="008F3676"/>
    <w:rsid w:val="008F3757"/>
    <w:rsid w:val="008F3794"/>
    <w:rsid w:val="008F3D14"/>
    <w:rsid w:val="008F4A87"/>
    <w:rsid w:val="008F6B69"/>
    <w:rsid w:val="008F7DC4"/>
    <w:rsid w:val="009004DB"/>
    <w:rsid w:val="0090093C"/>
    <w:rsid w:val="00900FA8"/>
    <w:rsid w:val="00901164"/>
    <w:rsid w:val="009013C1"/>
    <w:rsid w:val="00902843"/>
    <w:rsid w:val="00903D12"/>
    <w:rsid w:val="00905B1E"/>
    <w:rsid w:val="00905D9C"/>
    <w:rsid w:val="00906E55"/>
    <w:rsid w:val="0090746C"/>
    <w:rsid w:val="00907C47"/>
    <w:rsid w:val="00910FED"/>
    <w:rsid w:val="00911B42"/>
    <w:rsid w:val="00913104"/>
    <w:rsid w:val="009136EF"/>
    <w:rsid w:val="00913DA4"/>
    <w:rsid w:val="00914A08"/>
    <w:rsid w:val="00914B56"/>
    <w:rsid w:val="00914BF8"/>
    <w:rsid w:val="009151CF"/>
    <w:rsid w:val="00915F86"/>
    <w:rsid w:val="0091678E"/>
    <w:rsid w:val="00917E99"/>
    <w:rsid w:val="00920574"/>
    <w:rsid w:val="0092090D"/>
    <w:rsid w:val="00920C5D"/>
    <w:rsid w:val="00920C9E"/>
    <w:rsid w:val="009216AB"/>
    <w:rsid w:val="00922431"/>
    <w:rsid w:val="00922983"/>
    <w:rsid w:val="00923283"/>
    <w:rsid w:val="0092344D"/>
    <w:rsid w:val="00924C13"/>
    <w:rsid w:val="00924EAF"/>
    <w:rsid w:val="00925B4B"/>
    <w:rsid w:val="009267D1"/>
    <w:rsid w:val="00926FBE"/>
    <w:rsid w:val="00927403"/>
    <w:rsid w:val="00927DD9"/>
    <w:rsid w:val="00930613"/>
    <w:rsid w:val="0093095E"/>
    <w:rsid w:val="009319C5"/>
    <w:rsid w:val="00931D11"/>
    <w:rsid w:val="00932D51"/>
    <w:rsid w:val="00933520"/>
    <w:rsid w:val="0093472F"/>
    <w:rsid w:val="00934DE4"/>
    <w:rsid w:val="00934FB4"/>
    <w:rsid w:val="0093515B"/>
    <w:rsid w:val="00935502"/>
    <w:rsid w:val="009355AD"/>
    <w:rsid w:val="00935952"/>
    <w:rsid w:val="009362B5"/>
    <w:rsid w:val="00936A2C"/>
    <w:rsid w:val="00936E8A"/>
    <w:rsid w:val="009376FD"/>
    <w:rsid w:val="009416ED"/>
    <w:rsid w:val="00941819"/>
    <w:rsid w:val="00941895"/>
    <w:rsid w:val="00942077"/>
    <w:rsid w:val="0094307C"/>
    <w:rsid w:val="009432B8"/>
    <w:rsid w:val="00944ECF"/>
    <w:rsid w:val="00945AB1"/>
    <w:rsid w:val="00947143"/>
    <w:rsid w:val="0094716A"/>
    <w:rsid w:val="0095213B"/>
    <w:rsid w:val="009527A5"/>
    <w:rsid w:val="009535BF"/>
    <w:rsid w:val="00953D0A"/>
    <w:rsid w:val="00953E42"/>
    <w:rsid w:val="0095401D"/>
    <w:rsid w:val="009540B0"/>
    <w:rsid w:val="009544A1"/>
    <w:rsid w:val="00955AC3"/>
    <w:rsid w:val="00956402"/>
    <w:rsid w:val="009569A7"/>
    <w:rsid w:val="0095777D"/>
    <w:rsid w:val="00960242"/>
    <w:rsid w:val="0096043E"/>
    <w:rsid w:val="0096182C"/>
    <w:rsid w:val="00961E8D"/>
    <w:rsid w:val="00962057"/>
    <w:rsid w:val="009623B6"/>
    <w:rsid w:val="00962E60"/>
    <w:rsid w:val="009632C5"/>
    <w:rsid w:val="009633AA"/>
    <w:rsid w:val="00964512"/>
    <w:rsid w:val="0096484B"/>
    <w:rsid w:val="00964FA6"/>
    <w:rsid w:val="00965E3A"/>
    <w:rsid w:val="009663D1"/>
    <w:rsid w:val="009670AB"/>
    <w:rsid w:val="00967548"/>
    <w:rsid w:val="00970F28"/>
    <w:rsid w:val="00971964"/>
    <w:rsid w:val="00971AF8"/>
    <w:rsid w:val="00972E84"/>
    <w:rsid w:val="00973081"/>
    <w:rsid w:val="00974D0A"/>
    <w:rsid w:val="0097745E"/>
    <w:rsid w:val="00977EDB"/>
    <w:rsid w:val="00977EE4"/>
    <w:rsid w:val="00980615"/>
    <w:rsid w:val="009808CA"/>
    <w:rsid w:val="009832E5"/>
    <w:rsid w:val="009847DC"/>
    <w:rsid w:val="009849F5"/>
    <w:rsid w:val="00984AC1"/>
    <w:rsid w:val="00986728"/>
    <w:rsid w:val="0098792A"/>
    <w:rsid w:val="009910C0"/>
    <w:rsid w:val="009928A3"/>
    <w:rsid w:val="00992A4D"/>
    <w:rsid w:val="00993962"/>
    <w:rsid w:val="0099546D"/>
    <w:rsid w:val="009959D3"/>
    <w:rsid w:val="00995E6A"/>
    <w:rsid w:val="00995F6C"/>
    <w:rsid w:val="00996F13"/>
    <w:rsid w:val="009976CE"/>
    <w:rsid w:val="00997866"/>
    <w:rsid w:val="009A00DD"/>
    <w:rsid w:val="009A06F7"/>
    <w:rsid w:val="009A11D0"/>
    <w:rsid w:val="009A3C1F"/>
    <w:rsid w:val="009A4A40"/>
    <w:rsid w:val="009A50A5"/>
    <w:rsid w:val="009A5106"/>
    <w:rsid w:val="009A54F1"/>
    <w:rsid w:val="009A557B"/>
    <w:rsid w:val="009B029C"/>
    <w:rsid w:val="009B2541"/>
    <w:rsid w:val="009B2A5D"/>
    <w:rsid w:val="009B39E4"/>
    <w:rsid w:val="009B5407"/>
    <w:rsid w:val="009B64DC"/>
    <w:rsid w:val="009B69D1"/>
    <w:rsid w:val="009B6DF3"/>
    <w:rsid w:val="009C0062"/>
    <w:rsid w:val="009C00AA"/>
    <w:rsid w:val="009C02D8"/>
    <w:rsid w:val="009C0DAD"/>
    <w:rsid w:val="009C0E66"/>
    <w:rsid w:val="009C0FEE"/>
    <w:rsid w:val="009C1134"/>
    <w:rsid w:val="009C1291"/>
    <w:rsid w:val="009C1D01"/>
    <w:rsid w:val="009C1EFC"/>
    <w:rsid w:val="009C2BEC"/>
    <w:rsid w:val="009C368F"/>
    <w:rsid w:val="009C3A28"/>
    <w:rsid w:val="009C3E12"/>
    <w:rsid w:val="009C4D72"/>
    <w:rsid w:val="009C4EE5"/>
    <w:rsid w:val="009C5448"/>
    <w:rsid w:val="009C65D3"/>
    <w:rsid w:val="009C6725"/>
    <w:rsid w:val="009C680D"/>
    <w:rsid w:val="009C6FF3"/>
    <w:rsid w:val="009C7D11"/>
    <w:rsid w:val="009D0382"/>
    <w:rsid w:val="009D0503"/>
    <w:rsid w:val="009D0B05"/>
    <w:rsid w:val="009D0F4C"/>
    <w:rsid w:val="009D13E9"/>
    <w:rsid w:val="009D14BC"/>
    <w:rsid w:val="009D17D3"/>
    <w:rsid w:val="009D23CF"/>
    <w:rsid w:val="009D292A"/>
    <w:rsid w:val="009D3793"/>
    <w:rsid w:val="009D43AB"/>
    <w:rsid w:val="009D4E80"/>
    <w:rsid w:val="009D578A"/>
    <w:rsid w:val="009D57D5"/>
    <w:rsid w:val="009D596E"/>
    <w:rsid w:val="009D63E2"/>
    <w:rsid w:val="009D657E"/>
    <w:rsid w:val="009D68FB"/>
    <w:rsid w:val="009D732B"/>
    <w:rsid w:val="009D7411"/>
    <w:rsid w:val="009E1C69"/>
    <w:rsid w:val="009E1CB2"/>
    <w:rsid w:val="009E1F16"/>
    <w:rsid w:val="009E2096"/>
    <w:rsid w:val="009E2450"/>
    <w:rsid w:val="009E3186"/>
    <w:rsid w:val="009E3FE5"/>
    <w:rsid w:val="009E412D"/>
    <w:rsid w:val="009E61EE"/>
    <w:rsid w:val="009E71FE"/>
    <w:rsid w:val="009F04BC"/>
    <w:rsid w:val="009F0BE1"/>
    <w:rsid w:val="009F32E6"/>
    <w:rsid w:val="009F356F"/>
    <w:rsid w:val="009F36AD"/>
    <w:rsid w:val="009F3FFB"/>
    <w:rsid w:val="009F62D9"/>
    <w:rsid w:val="009F669E"/>
    <w:rsid w:val="009F6942"/>
    <w:rsid w:val="009F7777"/>
    <w:rsid w:val="00A00905"/>
    <w:rsid w:val="00A01013"/>
    <w:rsid w:val="00A010FB"/>
    <w:rsid w:val="00A01293"/>
    <w:rsid w:val="00A01409"/>
    <w:rsid w:val="00A01CC1"/>
    <w:rsid w:val="00A036D9"/>
    <w:rsid w:val="00A03D23"/>
    <w:rsid w:val="00A03DB5"/>
    <w:rsid w:val="00A04EA5"/>
    <w:rsid w:val="00A051A6"/>
    <w:rsid w:val="00A064EF"/>
    <w:rsid w:val="00A10C16"/>
    <w:rsid w:val="00A11731"/>
    <w:rsid w:val="00A11898"/>
    <w:rsid w:val="00A13C71"/>
    <w:rsid w:val="00A142D1"/>
    <w:rsid w:val="00A148A0"/>
    <w:rsid w:val="00A14A48"/>
    <w:rsid w:val="00A14D9D"/>
    <w:rsid w:val="00A155BA"/>
    <w:rsid w:val="00A158CC"/>
    <w:rsid w:val="00A1592C"/>
    <w:rsid w:val="00A159C0"/>
    <w:rsid w:val="00A15A27"/>
    <w:rsid w:val="00A16242"/>
    <w:rsid w:val="00A1675E"/>
    <w:rsid w:val="00A16920"/>
    <w:rsid w:val="00A17321"/>
    <w:rsid w:val="00A17F05"/>
    <w:rsid w:val="00A201CB"/>
    <w:rsid w:val="00A204D8"/>
    <w:rsid w:val="00A20E96"/>
    <w:rsid w:val="00A20FAA"/>
    <w:rsid w:val="00A2223B"/>
    <w:rsid w:val="00A22242"/>
    <w:rsid w:val="00A22264"/>
    <w:rsid w:val="00A22E51"/>
    <w:rsid w:val="00A23E36"/>
    <w:rsid w:val="00A23F99"/>
    <w:rsid w:val="00A24948"/>
    <w:rsid w:val="00A24C93"/>
    <w:rsid w:val="00A24D56"/>
    <w:rsid w:val="00A24DD4"/>
    <w:rsid w:val="00A25751"/>
    <w:rsid w:val="00A25E02"/>
    <w:rsid w:val="00A27E2E"/>
    <w:rsid w:val="00A3050D"/>
    <w:rsid w:val="00A30D12"/>
    <w:rsid w:val="00A30E44"/>
    <w:rsid w:val="00A32050"/>
    <w:rsid w:val="00A32209"/>
    <w:rsid w:val="00A3265F"/>
    <w:rsid w:val="00A33034"/>
    <w:rsid w:val="00A33E1E"/>
    <w:rsid w:val="00A34E2C"/>
    <w:rsid w:val="00A34F96"/>
    <w:rsid w:val="00A3616A"/>
    <w:rsid w:val="00A3741A"/>
    <w:rsid w:val="00A37A25"/>
    <w:rsid w:val="00A37CAF"/>
    <w:rsid w:val="00A400CD"/>
    <w:rsid w:val="00A410FB"/>
    <w:rsid w:val="00A411FB"/>
    <w:rsid w:val="00A413DE"/>
    <w:rsid w:val="00A41A09"/>
    <w:rsid w:val="00A427F9"/>
    <w:rsid w:val="00A42EFA"/>
    <w:rsid w:val="00A4301B"/>
    <w:rsid w:val="00A43855"/>
    <w:rsid w:val="00A43D61"/>
    <w:rsid w:val="00A4573E"/>
    <w:rsid w:val="00A45F66"/>
    <w:rsid w:val="00A46921"/>
    <w:rsid w:val="00A47E15"/>
    <w:rsid w:val="00A47EBA"/>
    <w:rsid w:val="00A47F89"/>
    <w:rsid w:val="00A47FFA"/>
    <w:rsid w:val="00A5135A"/>
    <w:rsid w:val="00A513B5"/>
    <w:rsid w:val="00A51932"/>
    <w:rsid w:val="00A51EBD"/>
    <w:rsid w:val="00A524C8"/>
    <w:rsid w:val="00A52CD2"/>
    <w:rsid w:val="00A53583"/>
    <w:rsid w:val="00A53BD6"/>
    <w:rsid w:val="00A53D94"/>
    <w:rsid w:val="00A5428B"/>
    <w:rsid w:val="00A551AC"/>
    <w:rsid w:val="00A552E4"/>
    <w:rsid w:val="00A5590D"/>
    <w:rsid w:val="00A55A29"/>
    <w:rsid w:val="00A561CE"/>
    <w:rsid w:val="00A5633F"/>
    <w:rsid w:val="00A5641B"/>
    <w:rsid w:val="00A56468"/>
    <w:rsid w:val="00A56775"/>
    <w:rsid w:val="00A56A18"/>
    <w:rsid w:val="00A6023B"/>
    <w:rsid w:val="00A61A4F"/>
    <w:rsid w:val="00A61A50"/>
    <w:rsid w:val="00A63536"/>
    <w:rsid w:val="00A6388A"/>
    <w:rsid w:val="00A6456A"/>
    <w:rsid w:val="00A64DA5"/>
    <w:rsid w:val="00A65689"/>
    <w:rsid w:val="00A662A3"/>
    <w:rsid w:val="00A66842"/>
    <w:rsid w:val="00A67910"/>
    <w:rsid w:val="00A67EAE"/>
    <w:rsid w:val="00A7024A"/>
    <w:rsid w:val="00A7204C"/>
    <w:rsid w:val="00A7209C"/>
    <w:rsid w:val="00A729AF"/>
    <w:rsid w:val="00A729F7"/>
    <w:rsid w:val="00A73FCE"/>
    <w:rsid w:val="00A74027"/>
    <w:rsid w:val="00A7403F"/>
    <w:rsid w:val="00A741F2"/>
    <w:rsid w:val="00A7430D"/>
    <w:rsid w:val="00A74B17"/>
    <w:rsid w:val="00A753FF"/>
    <w:rsid w:val="00A7607E"/>
    <w:rsid w:val="00A76602"/>
    <w:rsid w:val="00A80ED8"/>
    <w:rsid w:val="00A81B3A"/>
    <w:rsid w:val="00A81D98"/>
    <w:rsid w:val="00A82174"/>
    <w:rsid w:val="00A829DC"/>
    <w:rsid w:val="00A82A76"/>
    <w:rsid w:val="00A82D0F"/>
    <w:rsid w:val="00A836DB"/>
    <w:rsid w:val="00A83B15"/>
    <w:rsid w:val="00A83DF8"/>
    <w:rsid w:val="00A842B7"/>
    <w:rsid w:val="00A84BC1"/>
    <w:rsid w:val="00A85157"/>
    <w:rsid w:val="00A853AB"/>
    <w:rsid w:val="00A861EC"/>
    <w:rsid w:val="00A86DF7"/>
    <w:rsid w:val="00A87AF6"/>
    <w:rsid w:val="00A9032C"/>
    <w:rsid w:val="00A90AA9"/>
    <w:rsid w:val="00A90B95"/>
    <w:rsid w:val="00A9126B"/>
    <w:rsid w:val="00A91550"/>
    <w:rsid w:val="00A91873"/>
    <w:rsid w:val="00A91BB7"/>
    <w:rsid w:val="00A92204"/>
    <w:rsid w:val="00A927F1"/>
    <w:rsid w:val="00A9375B"/>
    <w:rsid w:val="00A95018"/>
    <w:rsid w:val="00A9515E"/>
    <w:rsid w:val="00A95A75"/>
    <w:rsid w:val="00AA00CB"/>
    <w:rsid w:val="00AA023A"/>
    <w:rsid w:val="00AA0639"/>
    <w:rsid w:val="00AA0D62"/>
    <w:rsid w:val="00AA12FB"/>
    <w:rsid w:val="00AA26D8"/>
    <w:rsid w:val="00AA2F67"/>
    <w:rsid w:val="00AA367F"/>
    <w:rsid w:val="00AA3695"/>
    <w:rsid w:val="00AA3A1A"/>
    <w:rsid w:val="00AA3B5D"/>
    <w:rsid w:val="00AA3E2F"/>
    <w:rsid w:val="00AA4033"/>
    <w:rsid w:val="00AA4402"/>
    <w:rsid w:val="00AA48DE"/>
    <w:rsid w:val="00AA5329"/>
    <w:rsid w:val="00AA5530"/>
    <w:rsid w:val="00AA5697"/>
    <w:rsid w:val="00AA5CC6"/>
    <w:rsid w:val="00AA7044"/>
    <w:rsid w:val="00AA7239"/>
    <w:rsid w:val="00AA7F82"/>
    <w:rsid w:val="00AB146A"/>
    <w:rsid w:val="00AB15C7"/>
    <w:rsid w:val="00AB1B88"/>
    <w:rsid w:val="00AB25D0"/>
    <w:rsid w:val="00AB379F"/>
    <w:rsid w:val="00AB3ECD"/>
    <w:rsid w:val="00AB4D59"/>
    <w:rsid w:val="00AB5257"/>
    <w:rsid w:val="00AB6614"/>
    <w:rsid w:val="00AB662B"/>
    <w:rsid w:val="00AB7D51"/>
    <w:rsid w:val="00AB7D98"/>
    <w:rsid w:val="00AC1136"/>
    <w:rsid w:val="00AC1281"/>
    <w:rsid w:val="00AC210A"/>
    <w:rsid w:val="00AC2BC3"/>
    <w:rsid w:val="00AC3133"/>
    <w:rsid w:val="00AC3338"/>
    <w:rsid w:val="00AC33D2"/>
    <w:rsid w:val="00AC3842"/>
    <w:rsid w:val="00AC47F7"/>
    <w:rsid w:val="00AC52BB"/>
    <w:rsid w:val="00AC5C27"/>
    <w:rsid w:val="00AC602B"/>
    <w:rsid w:val="00AC7AE9"/>
    <w:rsid w:val="00AC7CB6"/>
    <w:rsid w:val="00AD0E3D"/>
    <w:rsid w:val="00AD4391"/>
    <w:rsid w:val="00AD47DD"/>
    <w:rsid w:val="00AD4B4E"/>
    <w:rsid w:val="00AD4B83"/>
    <w:rsid w:val="00AD5C37"/>
    <w:rsid w:val="00AD6E24"/>
    <w:rsid w:val="00AD7D89"/>
    <w:rsid w:val="00AE19E9"/>
    <w:rsid w:val="00AE1A97"/>
    <w:rsid w:val="00AE2095"/>
    <w:rsid w:val="00AE26A2"/>
    <w:rsid w:val="00AE28B1"/>
    <w:rsid w:val="00AE28EB"/>
    <w:rsid w:val="00AE2B16"/>
    <w:rsid w:val="00AE2F24"/>
    <w:rsid w:val="00AE31D1"/>
    <w:rsid w:val="00AE3C96"/>
    <w:rsid w:val="00AE45FC"/>
    <w:rsid w:val="00AE6432"/>
    <w:rsid w:val="00AE6818"/>
    <w:rsid w:val="00AE69DE"/>
    <w:rsid w:val="00AE7192"/>
    <w:rsid w:val="00AE756A"/>
    <w:rsid w:val="00AE789A"/>
    <w:rsid w:val="00AF040E"/>
    <w:rsid w:val="00AF1325"/>
    <w:rsid w:val="00AF1B7F"/>
    <w:rsid w:val="00AF22E3"/>
    <w:rsid w:val="00AF258E"/>
    <w:rsid w:val="00AF3280"/>
    <w:rsid w:val="00AF3B03"/>
    <w:rsid w:val="00AF40A8"/>
    <w:rsid w:val="00AF4B8B"/>
    <w:rsid w:val="00AF4E6F"/>
    <w:rsid w:val="00AF5D3E"/>
    <w:rsid w:val="00AF623D"/>
    <w:rsid w:val="00AF69C0"/>
    <w:rsid w:val="00AF6CB6"/>
    <w:rsid w:val="00AF6CF7"/>
    <w:rsid w:val="00AF7087"/>
    <w:rsid w:val="00B00891"/>
    <w:rsid w:val="00B00949"/>
    <w:rsid w:val="00B0169E"/>
    <w:rsid w:val="00B01889"/>
    <w:rsid w:val="00B02275"/>
    <w:rsid w:val="00B03FD1"/>
    <w:rsid w:val="00B0484E"/>
    <w:rsid w:val="00B06288"/>
    <w:rsid w:val="00B06538"/>
    <w:rsid w:val="00B07A42"/>
    <w:rsid w:val="00B104F1"/>
    <w:rsid w:val="00B10E04"/>
    <w:rsid w:val="00B116F9"/>
    <w:rsid w:val="00B119DA"/>
    <w:rsid w:val="00B12444"/>
    <w:rsid w:val="00B13230"/>
    <w:rsid w:val="00B1476B"/>
    <w:rsid w:val="00B14E69"/>
    <w:rsid w:val="00B15542"/>
    <w:rsid w:val="00B15C49"/>
    <w:rsid w:val="00B160C9"/>
    <w:rsid w:val="00B1646B"/>
    <w:rsid w:val="00B166AE"/>
    <w:rsid w:val="00B1694C"/>
    <w:rsid w:val="00B16D15"/>
    <w:rsid w:val="00B1705E"/>
    <w:rsid w:val="00B17DD0"/>
    <w:rsid w:val="00B20265"/>
    <w:rsid w:val="00B20B8A"/>
    <w:rsid w:val="00B21368"/>
    <w:rsid w:val="00B21ED4"/>
    <w:rsid w:val="00B22532"/>
    <w:rsid w:val="00B24337"/>
    <w:rsid w:val="00B24BDD"/>
    <w:rsid w:val="00B25757"/>
    <w:rsid w:val="00B25853"/>
    <w:rsid w:val="00B260BF"/>
    <w:rsid w:val="00B26AC2"/>
    <w:rsid w:val="00B273A2"/>
    <w:rsid w:val="00B27432"/>
    <w:rsid w:val="00B278AA"/>
    <w:rsid w:val="00B27B29"/>
    <w:rsid w:val="00B27B2D"/>
    <w:rsid w:val="00B27E77"/>
    <w:rsid w:val="00B3011F"/>
    <w:rsid w:val="00B3037B"/>
    <w:rsid w:val="00B30CAC"/>
    <w:rsid w:val="00B315AF"/>
    <w:rsid w:val="00B332A6"/>
    <w:rsid w:val="00B34112"/>
    <w:rsid w:val="00B356C1"/>
    <w:rsid w:val="00B35884"/>
    <w:rsid w:val="00B3649D"/>
    <w:rsid w:val="00B36517"/>
    <w:rsid w:val="00B36868"/>
    <w:rsid w:val="00B36F71"/>
    <w:rsid w:val="00B372E5"/>
    <w:rsid w:val="00B374DF"/>
    <w:rsid w:val="00B3766B"/>
    <w:rsid w:val="00B402D2"/>
    <w:rsid w:val="00B404FF"/>
    <w:rsid w:val="00B40A1E"/>
    <w:rsid w:val="00B40CBB"/>
    <w:rsid w:val="00B4203E"/>
    <w:rsid w:val="00B42083"/>
    <w:rsid w:val="00B42FFA"/>
    <w:rsid w:val="00B43C85"/>
    <w:rsid w:val="00B442FD"/>
    <w:rsid w:val="00B44791"/>
    <w:rsid w:val="00B44B4E"/>
    <w:rsid w:val="00B44C6B"/>
    <w:rsid w:val="00B44F8C"/>
    <w:rsid w:val="00B450C6"/>
    <w:rsid w:val="00B460AE"/>
    <w:rsid w:val="00B46D2B"/>
    <w:rsid w:val="00B50A3B"/>
    <w:rsid w:val="00B516B6"/>
    <w:rsid w:val="00B51814"/>
    <w:rsid w:val="00B5222D"/>
    <w:rsid w:val="00B52C78"/>
    <w:rsid w:val="00B547E8"/>
    <w:rsid w:val="00B555D6"/>
    <w:rsid w:val="00B56798"/>
    <w:rsid w:val="00B5686B"/>
    <w:rsid w:val="00B56E90"/>
    <w:rsid w:val="00B57351"/>
    <w:rsid w:val="00B57E47"/>
    <w:rsid w:val="00B57F3E"/>
    <w:rsid w:val="00B6033F"/>
    <w:rsid w:val="00B60B57"/>
    <w:rsid w:val="00B614E8"/>
    <w:rsid w:val="00B62253"/>
    <w:rsid w:val="00B6268E"/>
    <w:rsid w:val="00B62D4B"/>
    <w:rsid w:val="00B639E6"/>
    <w:rsid w:val="00B63C59"/>
    <w:rsid w:val="00B6413C"/>
    <w:rsid w:val="00B64FF6"/>
    <w:rsid w:val="00B6517F"/>
    <w:rsid w:val="00B65500"/>
    <w:rsid w:val="00B666B6"/>
    <w:rsid w:val="00B667E8"/>
    <w:rsid w:val="00B71185"/>
    <w:rsid w:val="00B7209F"/>
    <w:rsid w:val="00B72645"/>
    <w:rsid w:val="00B72D73"/>
    <w:rsid w:val="00B73132"/>
    <w:rsid w:val="00B740A4"/>
    <w:rsid w:val="00B74221"/>
    <w:rsid w:val="00B74D55"/>
    <w:rsid w:val="00B751FA"/>
    <w:rsid w:val="00B753F5"/>
    <w:rsid w:val="00B7569D"/>
    <w:rsid w:val="00B77CB9"/>
    <w:rsid w:val="00B81DEB"/>
    <w:rsid w:val="00B82C95"/>
    <w:rsid w:val="00B83339"/>
    <w:rsid w:val="00B83A62"/>
    <w:rsid w:val="00B85246"/>
    <w:rsid w:val="00B85321"/>
    <w:rsid w:val="00B85BEA"/>
    <w:rsid w:val="00B867F7"/>
    <w:rsid w:val="00B86C4B"/>
    <w:rsid w:val="00B873D2"/>
    <w:rsid w:val="00B87CBD"/>
    <w:rsid w:val="00B90DB2"/>
    <w:rsid w:val="00B93671"/>
    <w:rsid w:val="00B940D2"/>
    <w:rsid w:val="00B94668"/>
    <w:rsid w:val="00B962AB"/>
    <w:rsid w:val="00B96307"/>
    <w:rsid w:val="00B965AE"/>
    <w:rsid w:val="00B96FC3"/>
    <w:rsid w:val="00B9714F"/>
    <w:rsid w:val="00B97828"/>
    <w:rsid w:val="00B97CFC"/>
    <w:rsid w:val="00B97EC5"/>
    <w:rsid w:val="00BA1E84"/>
    <w:rsid w:val="00BA2038"/>
    <w:rsid w:val="00BA2CC3"/>
    <w:rsid w:val="00BA30CE"/>
    <w:rsid w:val="00BA30F1"/>
    <w:rsid w:val="00BA4119"/>
    <w:rsid w:val="00BA709C"/>
    <w:rsid w:val="00BA7418"/>
    <w:rsid w:val="00BA762F"/>
    <w:rsid w:val="00BA7818"/>
    <w:rsid w:val="00BA7A53"/>
    <w:rsid w:val="00BA7A55"/>
    <w:rsid w:val="00BB006E"/>
    <w:rsid w:val="00BB0353"/>
    <w:rsid w:val="00BB054A"/>
    <w:rsid w:val="00BB0DB8"/>
    <w:rsid w:val="00BB16CF"/>
    <w:rsid w:val="00BB1E3C"/>
    <w:rsid w:val="00BB2811"/>
    <w:rsid w:val="00BB2E72"/>
    <w:rsid w:val="00BB3056"/>
    <w:rsid w:val="00BB423A"/>
    <w:rsid w:val="00BB4257"/>
    <w:rsid w:val="00BB44B9"/>
    <w:rsid w:val="00BB4FCB"/>
    <w:rsid w:val="00BB674A"/>
    <w:rsid w:val="00BB6CE9"/>
    <w:rsid w:val="00BB6DBE"/>
    <w:rsid w:val="00BB70ED"/>
    <w:rsid w:val="00BB72D2"/>
    <w:rsid w:val="00BB789F"/>
    <w:rsid w:val="00BC08D3"/>
    <w:rsid w:val="00BC19AF"/>
    <w:rsid w:val="00BC1E7B"/>
    <w:rsid w:val="00BC296A"/>
    <w:rsid w:val="00BC3CD5"/>
    <w:rsid w:val="00BC3FB1"/>
    <w:rsid w:val="00BC49D1"/>
    <w:rsid w:val="00BC4D84"/>
    <w:rsid w:val="00BC585A"/>
    <w:rsid w:val="00BC5B22"/>
    <w:rsid w:val="00BC5BBB"/>
    <w:rsid w:val="00BC6E7B"/>
    <w:rsid w:val="00BC7805"/>
    <w:rsid w:val="00BC7EB0"/>
    <w:rsid w:val="00BD0DBD"/>
    <w:rsid w:val="00BD1315"/>
    <w:rsid w:val="00BD1470"/>
    <w:rsid w:val="00BD3289"/>
    <w:rsid w:val="00BD3C9A"/>
    <w:rsid w:val="00BD3F2E"/>
    <w:rsid w:val="00BD45CA"/>
    <w:rsid w:val="00BD46E5"/>
    <w:rsid w:val="00BD4C23"/>
    <w:rsid w:val="00BD55CB"/>
    <w:rsid w:val="00BD5BDC"/>
    <w:rsid w:val="00BD5D56"/>
    <w:rsid w:val="00BD630D"/>
    <w:rsid w:val="00BD736B"/>
    <w:rsid w:val="00BD737D"/>
    <w:rsid w:val="00BD743C"/>
    <w:rsid w:val="00BE015B"/>
    <w:rsid w:val="00BE046B"/>
    <w:rsid w:val="00BE0E92"/>
    <w:rsid w:val="00BE0EF2"/>
    <w:rsid w:val="00BE195D"/>
    <w:rsid w:val="00BE217C"/>
    <w:rsid w:val="00BE23FF"/>
    <w:rsid w:val="00BE2612"/>
    <w:rsid w:val="00BE2AA4"/>
    <w:rsid w:val="00BE429E"/>
    <w:rsid w:val="00BE55C5"/>
    <w:rsid w:val="00BE67AB"/>
    <w:rsid w:val="00BE7C52"/>
    <w:rsid w:val="00BF031B"/>
    <w:rsid w:val="00BF05F3"/>
    <w:rsid w:val="00BF164F"/>
    <w:rsid w:val="00BF2130"/>
    <w:rsid w:val="00BF2FE2"/>
    <w:rsid w:val="00BF32F1"/>
    <w:rsid w:val="00BF3DB8"/>
    <w:rsid w:val="00BF4175"/>
    <w:rsid w:val="00BF42B7"/>
    <w:rsid w:val="00BF4808"/>
    <w:rsid w:val="00BF4996"/>
    <w:rsid w:val="00C00388"/>
    <w:rsid w:val="00C00405"/>
    <w:rsid w:val="00C01EA4"/>
    <w:rsid w:val="00C03BB8"/>
    <w:rsid w:val="00C03D84"/>
    <w:rsid w:val="00C04CD3"/>
    <w:rsid w:val="00C0546A"/>
    <w:rsid w:val="00C066D8"/>
    <w:rsid w:val="00C10ECE"/>
    <w:rsid w:val="00C10F5D"/>
    <w:rsid w:val="00C11055"/>
    <w:rsid w:val="00C1134F"/>
    <w:rsid w:val="00C1294E"/>
    <w:rsid w:val="00C12CB7"/>
    <w:rsid w:val="00C1364F"/>
    <w:rsid w:val="00C13F75"/>
    <w:rsid w:val="00C1477D"/>
    <w:rsid w:val="00C14FAF"/>
    <w:rsid w:val="00C151B7"/>
    <w:rsid w:val="00C152B8"/>
    <w:rsid w:val="00C21781"/>
    <w:rsid w:val="00C226BF"/>
    <w:rsid w:val="00C226D7"/>
    <w:rsid w:val="00C22AC8"/>
    <w:rsid w:val="00C2362E"/>
    <w:rsid w:val="00C23E01"/>
    <w:rsid w:val="00C25482"/>
    <w:rsid w:val="00C25A52"/>
    <w:rsid w:val="00C26537"/>
    <w:rsid w:val="00C26F99"/>
    <w:rsid w:val="00C27078"/>
    <w:rsid w:val="00C270C6"/>
    <w:rsid w:val="00C2790C"/>
    <w:rsid w:val="00C302C6"/>
    <w:rsid w:val="00C30B75"/>
    <w:rsid w:val="00C31006"/>
    <w:rsid w:val="00C310F9"/>
    <w:rsid w:val="00C31283"/>
    <w:rsid w:val="00C32EC5"/>
    <w:rsid w:val="00C3323F"/>
    <w:rsid w:val="00C34A52"/>
    <w:rsid w:val="00C3522D"/>
    <w:rsid w:val="00C35D93"/>
    <w:rsid w:val="00C36336"/>
    <w:rsid w:val="00C37AAF"/>
    <w:rsid w:val="00C37B67"/>
    <w:rsid w:val="00C40399"/>
    <w:rsid w:val="00C40486"/>
    <w:rsid w:val="00C40A3F"/>
    <w:rsid w:val="00C417AA"/>
    <w:rsid w:val="00C41D2F"/>
    <w:rsid w:val="00C420B7"/>
    <w:rsid w:val="00C4244C"/>
    <w:rsid w:val="00C42A5D"/>
    <w:rsid w:val="00C42C95"/>
    <w:rsid w:val="00C430C9"/>
    <w:rsid w:val="00C43D2B"/>
    <w:rsid w:val="00C446B0"/>
    <w:rsid w:val="00C44978"/>
    <w:rsid w:val="00C45C9F"/>
    <w:rsid w:val="00C465F9"/>
    <w:rsid w:val="00C466ED"/>
    <w:rsid w:val="00C47091"/>
    <w:rsid w:val="00C470F0"/>
    <w:rsid w:val="00C4774E"/>
    <w:rsid w:val="00C478A4"/>
    <w:rsid w:val="00C478D7"/>
    <w:rsid w:val="00C479A3"/>
    <w:rsid w:val="00C504D7"/>
    <w:rsid w:val="00C52231"/>
    <w:rsid w:val="00C52898"/>
    <w:rsid w:val="00C52F0D"/>
    <w:rsid w:val="00C54342"/>
    <w:rsid w:val="00C5505E"/>
    <w:rsid w:val="00C5575D"/>
    <w:rsid w:val="00C5592C"/>
    <w:rsid w:val="00C55E70"/>
    <w:rsid w:val="00C57425"/>
    <w:rsid w:val="00C57B19"/>
    <w:rsid w:val="00C57ECB"/>
    <w:rsid w:val="00C601E1"/>
    <w:rsid w:val="00C602FB"/>
    <w:rsid w:val="00C61166"/>
    <w:rsid w:val="00C62235"/>
    <w:rsid w:val="00C63352"/>
    <w:rsid w:val="00C63A97"/>
    <w:rsid w:val="00C63CA7"/>
    <w:rsid w:val="00C642E9"/>
    <w:rsid w:val="00C64CB6"/>
    <w:rsid w:val="00C6513C"/>
    <w:rsid w:val="00C654ED"/>
    <w:rsid w:val="00C66F1F"/>
    <w:rsid w:val="00C66F6B"/>
    <w:rsid w:val="00C67484"/>
    <w:rsid w:val="00C67A91"/>
    <w:rsid w:val="00C67BE1"/>
    <w:rsid w:val="00C70B3A"/>
    <w:rsid w:val="00C71265"/>
    <w:rsid w:val="00C71723"/>
    <w:rsid w:val="00C71CD7"/>
    <w:rsid w:val="00C7201B"/>
    <w:rsid w:val="00C730C6"/>
    <w:rsid w:val="00C738F8"/>
    <w:rsid w:val="00C73F00"/>
    <w:rsid w:val="00C740B1"/>
    <w:rsid w:val="00C75C46"/>
    <w:rsid w:val="00C76256"/>
    <w:rsid w:val="00C76537"/>
    <w:rsid w:val="00C7778D"/>
    <w:rsid w:val="00C77B0D"/>
    <w:rsid w:val="00C80F06"/>
    <w:rsid w:val="00C82621"/>
    <w:rsid w:val="00C831B6"/>
    <w:rsid w:val="00C83966"/>
    <w:rsid w:val="00C83F96"/>
    <w:rsid w:val="00C845F3"/>
    <w:rsid w:val="00C84E9A"/>
    <w:rsid w:val="00C85146"/>
    <w:rsid w:val="00C85617"/>
    <w:rsid w:val="00C85ABF"/>
    <w:rsid w:val="00C85FF3"/>
    <w:rsid w:val="00C8672F"/>
    <w:rsid w:val="00C86BF4"/>
    <w:rsid w:val="00C8708B"/>
    <w:rsid w:val="00C91216"/>
    <w:rsid w:val="00C915EE"/>
    <w:rsid w:val="00C91705"/>
    <w:rsid w:val="00C93533"/>
    <w:rsid w:val="00C93CE7"/>
    <w:rsid w:val="00C9525E"/>
    <w:rsid w:val="00C96A43"/>
    <w:rsid w:val="00C96BDC"/>
    <w:rsid w:val="00C979D8"/>
    <w:rsid w:val="00C97A24"/>
    <w:rsid w:val="00CA131D"/>
    <w:rsid w:val="00CA18AC"/>
    <w:rsid w:val="00CA2AA1"/>
    <w:rsid w:val="00CA2D27"/>
    <w:rsid w:val="00CA30D6"/>
    <w:rsid w:val="00CA36D3"/>
    <w:rsid w:val="00CA3746"/>
    <w:rsid w:val="00CA49E3"/>
    <w:rsid w:val="00CA5E93"/>
    <w:rsid w:val="00CA6518"/>
    <w:rsid w:val="00CA6DB2"/>
    <w:rsid w:val="00CA7451"/>
    <w:rsid w:val="00CA787B"/>
    <w:rsid w:val="00CA7FE9"/>
    <w:rsid w:val="00CB04B2"/>
    <w:rsid w:val="00CB061C"/>
    <w:rsid w:val="00CB1BA1"/>
    <w:rsid w:val="00CB1DFC"/>
    <w:rsid w:val="00CB25DF"/>
    <w:rsid w:val="00CB2D83"/>
    <w:rsid w:val="00CB38CF"/>
    <w:rsid w:val="00CB3FA4"/>
    <w:rsid w:val="00CB4450"/>
    <w:rsid w:val="00CB54EF"/>
    <w:rsid w:val="00CB602C"/>
    <w:rsid w:val="00CB625C"/>
    <w:rsid w:val="00CB6902"/>
    <w:rsid w:val="00CB6F14"/>
    <w:rsid w:val="00CC17AE"/>
    <w:rsid w:val="00CC1D97"/>
    <w:rsid w:val="00CC2562"/>
    <w:rsid w:val="00CC392D"/>
    <w:rsid w:val="00CC45FB"/>
    <w:rsid w:val="00CC4753"/>
    <w:rsid w:val="00CC5678"/>
    <w:rsid w:val="00CC6969"/>
    <w:rsid w:val="00CC6C2B"/>
    <w:rsid w:val="00CC76A9"/>
    <w:rsid w:val="00CC7A76"/>
    <w:rsid w:val="00CC7EEA"/>
    <w:rsid w:val="00CD0075"/>
    <w:rsid w:val="00CD0FDF"/>
    <w:rsid w:val="00CD1357"/>
    <w:rsid w:val="00CD17F8"/>
    <w:rsid w:val="00CD2295"/>
    <w:rsid w:val="00CD330C"/>
    <w:rsid w:val="00CD33F6"/>
    <w:rsid w:val="00CD38D3"/>
    <w:rsid w:val="00CD3938"/>
    <w:rsid w:val="00CD45CE"/>
    <w:rsid w:val="00CD4DB8"/>
    <w:rsid w:val="00CD4F2A"/>
    <w:rsid w:val="00CD5388"/>
    <w:rsid w:val="00CD60B5"/>
    <w:rsid w:val="00CD6735"/>
    <w:rsid w:val="00CD787B"/>
    <w:rsid w:val="00CD7F4A"/>
    <w:rsid w:val="00CE026A"/>
    <w:rsid w:val="00CE1192"/>
    <w:rsid w:val="00CE2900"/>
    <w:rsid w:val="00CE3288"/>
    <w:rsid w:val="00CE3568"/>
    <w:rsid w:val="00CE4175"/>
    <w:rsid w:val="00CE4955"/>
    <w:rsid w:val="00CE4E1F"/>
    <w:rsid w:val="00CE6695"/>
    <w:rsid w:val="00CE764E"/>
    <w:rsid w:val="00CF0EE2"/>
    <w:rsid w:val="00CF1041"/>
    <w:rsid w:val="00CF1053"/>
    <w:rsid w:val="00CF1289"/>
    <w:rsid w:val="00CF1ACA"/>
    <w:rsid w:val="00CF1D57"/>
    <w:rsid w:val="00CF4560"/>
    <w:rsid w:val="00CF4930"/>
    <w:rsid w:val="00CF4DA2"/>
    <w:rsid w:val="00CF54EC"/>
    <w:rsid w:val="00CF78BD"/>
    <w:rsid w:val="00CF7B56"/>
    <w:rsid w:val="00D00317"/>
    <w:rsid w:val="00D0132F"/>
    <w:rsid w:val="00D01FE3"/>
    <w:rsid w:val="00D039F9"/>
    <w:rsid w:val="00D0582E"/>
    <w:rsid w:val="00D07B9A"/>
    <w:rsid w:val="00D10AAD"/>
    <w:rsid w:val="00D10BDA"/>
    <w:rsid w:val="00D11351"/>
    <w:rsid w:val="00D1139F"/>
    <w:rsid w:val="00D115EB"/>
    <w:rsid w:val="00D124AF"/>
    <w:rsid w:val="00D12ECA"/>
    <w:rsid w:val="00D14196"/>
    <w:rsid w:val="00D14FB8"/>
    <w:rsid w:val="00D16452"/>
    <w:rsid w:val="00D16A5D"/>
    <w:rsid w:val="00D175FA"/>
    <w:rsid w:val="00D200A9"/>
    <w:rsid w:val="00D20CCC"/>
    <w:rsid w:val="00D23606"/>
    <w:rsid w:val="00D24480"/>
    <w:rsid w:val="00D24938"/>
    <w:rsid w:val="00D24CDC"/>
    <w:rsid w:val="00D25968"/>
    <w:rsid w:val="00D2616A"/>
    <w:rsid w:val="00D2691C"/>
    <w:rsid w:val="00D2697F"/>
    <w:rsid w:val="00D26C0E"/>
    <w:rsid w:val="00D270EC"/>
    <w:rsid w:val="00D30A1A"/>
    <w:rsid w:val="00D3109E"/>
    <w:rsid w:val="00D31312"/>
    <w:rsid w:val="00D3152F"/>
    <w:rsid w:val="00D327E3"/>
    <w:rsid w:val="00D32ECF"/>
    <w:rsid w:val="00D332CC"/>
    <w:rsid w:val="00D33F7F"/>
    <w:rsid w:val="00D344B2"/>
    <w:rsid w:val="00D35484"/>
    <w:rsid w:val="00D35AF7"/>
    <w:rsid w:val="00D35F35"/>
    <w:rsid w:val="00D364C8"/>
    <w:rsid w:val="00D36547"/>
    <w:rsid w:val="00D37606"/>
    <w:rsid w:val="00D37C79"/>
    <w:rsid w:val="00D418E1"/>
    <w:rsid w:val="00D41E85"/>
    <w:rsid w:val="00D4214E"/>
    <w:rsid w:val="00D422B0"/>
    <w:rsid w:val="00D425B9"/>
    <w:rsid w:val="00D42DDB"/>
    <w:rsid w:val="00D449FD"/>
    <w:rsid w:val="00D453C4"/>
    <w:rsid w:val="00D4548B"/>
    <w:rsid w:val="00D45997"/>
    <w:rsid w:val="00D465AA"/>
    <w:rsid w:val="00D50408"/>
    <w:rsid w:val="00D50902"/>
    <w:rsid w:val="00D51334"/>
    <w:rsid w:val="00D51952"/>
    <w:rsid w:val="00D52251"/>
    <w:rsid w:val="00D52D18"/>
    <w:rsid w:val="00D52F55"/>
    <w:rsid w:val="00D52FA1"/>
    <w:rsid w:val="00D535DB"/>
    <w:rsid w:val="00D5361E"/>
    <w:rsid w:val="00D53A27"/>
    <w:rsid w:val="00D6046F"/>
    <w:rsid w:val="00D629EA"/>
    <w:rsid w:val="00D62B1F"/>
    <w:rsid w:val="00D6352C"/>
    <w:rsid w:val="00D64ECB"/>
    <w:rsid w:val="00D65EF1"/>
    <w:rsid w:val="00D660E8"/>
    <w:rsid w:val="00D66304"/>
    <w:rsid w:val="00D711D8"/>
    <w:rsid w:val="00D7173B"/>
    <w:rsid w:val="00D71984"/>
    <w:rsid w:val="00D7204E"/>
    <w:rsid w:val="00D720EF"/>
    <w:rsid w:val="00D722A4"/>
    <w:rsid w:val="00D72485"/>
    <w:rsid w:val="00D728B8"/>
    <w:rsid w:val="00D729D5"/>
    <w:rsid w:val="00D73B0D"/>
    <w:rsid w:val="00D73F03"/>
    <w:rsid w:val="00D741C2"/>
    <w:rsid w:val="00D74B4A"/>
    <w:rsid w:val="00D75022"/>
    <w:rsid w:val="00D7520A"/>
    <w:rsid w:val="00D761EE"/>
    <w:rsid w:val="00D76B4E"/>
    <w:rsid w:val="00D76CB2"/>
    <w:rsid w:val="00D81EC8"/>
    <w:rsid w:val="00D84E21"/>
    <w:rsid w:val="00D86971"/>
    <w:rsid w:val="00D86C17"/>
    <w:rsid w:val="00D86D38"/>
    <w:rsid w:val="00D872D2"/>
    <w:rsid w:val="00D87B29"/>
    <w:rsid w:val="00D90608"/>
    <w:rsid w:val="00D90875"/>
    <w:rsid w:val="00D90A53"/>
    <w:rsid w:val="00D9248A"/>
    <w:rsid w:val="00D9375D"/>
    <w:rsid w:val="00D939F2"/>
    <w:rsid w:val="00D94131"/>
    <w:rsid w:val="00D95CF6"/>
    <w:rsid w:val="00D9629F"/>
    <w:rsid w:val="00D97542"/>
    <w:rsid w:val="00DA0443"/>
    <w:rsid w:val="00DA05B3"/>
    <w:rsid w:val="00DA0BC8"/>
    <w:rsid w:val="00DA1819"/>
    <w:rsid w:val="00DA23FC"/>
    <w:rsid w:val="00DA2589"/>
    <w:rsid w:val="00DA2BEF"/>
    <w:rsid w:val="00DA401C"/>
    <w:rsid w:val="00DA427E"/>
    <w:rsid w:val="00DA42A9"/>
    <w:rsid w:val="00DA51D8"/>
    <w:rsid w:val="00DA52EA"/>
    <w:rsid w:val="00DA5E7B"/>
    <w:rsid w:val="00DA6A05"/>
    <w:rsid w:val="00DA718E"/>
    <w:rsid w:val="00DA7998"/>
    <w:rsid w:val="00DA7AF8"/>
    <w:rsid w:val="00DA7B97"/>
    <w:rsid w:val="00DB0142"/>
    <w:rsid w:val="00DB01EC"/>
    <w:rsid w:val="00DB020F"/>
    <w:rsid w:val="00DB063F"/>
    <w:rsid w:val="00DB08B2"/>
    <w:rsid w:val="00DB0A89"/>
    <w:rsid w:val="00DB0BBB"/>
    <w:rsid w:val="00DB1AD5"/>
    <w:rsid w:val="00DB1D18"/>
    <w:rsid w:val="00DB1DB6"/>
    <w:rsid w:val="00DB23ED"/>
    <w:rsid w:val="00DB2515"/>
    <w:rsid w:val="00DB35FB"/>
    <w:rsid w:val="00DB3727"/>
    <w:rsid w:val="00DB3FB9"/>
    <w:rsid w:val="00DB44A6"/>
    <w:rsid w:val="00DB528D"/>
    <w:rsid w:val="00DB5B26"/>
    <w:rsid w:val="00DB67BB"/>
    <w:rsid w:val="00DC0769"/>
    <w:rsid w:val="00DC1775"/>
    <w:rsid w:val="00DC1C54"/>
    <w:rsid w:val="00DC272B"/>
    <w:rsid w:val="00DC33A4"/>
    <w:rsid w:val="00DC3B4E"/>
    <w:rsid w:val="00DC47C7"/>
    <w:rsid w:val="00DC4F13"/>
    <w:rsid w:val="00DC53AC"/>
    <w:rsid w:val="00DC5D44"/>
    <w:rsid w:val="00DC7DF7"/>
    <w:rsid w:val="00DD18C9"/>
    <w:rsid w:val="00DD1F0E"/>
    <w:rsid w:val="00DD22F0"/>
    <w:rsid w:val="00DD2BE6"/>
    <w:rsid w:val="00DD31A7"/>
    <w:rsid w:val="00DD4C0D"/>
    <w:rsid w:val="00DD4C9B"/>
    <w:rsid w:val="00DD4D18"/>
    <w:rsid w:val="00DD563E"/>
    <w:rsid w:val="00DD5C29"/>
    <w:rsid w:val="00DE0AE6"/>
    <w:rsid w:val="00DE1471"/>
    <w:rsid w:val="00DE1753"/>
    <w:rsid w:val="00DE189A"/>
    <w:rsid w:val="00DE2194"/>
    <w:rsid w:val="00DE2251"/>
    <w:rsid w:val="00DE2AB6"/>
    <w:rsid w:val="00DE44F7"/>
    <w:rsid w:val="00DE4962"/>
    <w:rsid w:val="00DE5B80"/>
    <w:rsid w:val="00DE774A"/>
    <w:rsid w:val="00DF0E3D"/>
    <w:rsid w:val="00DF0F9F"/>
    <w:rsid w:val="00DF1A4B"/>
    <w:rsid w:val="00DF21A4"/>
    <w:rsid w:val="00DF2381"/>
    <w:rsid w:val="00DF2922"/>
    <w:rsid w:val="00DF2A6F"/>
    <w:rsid w:val="00DF2D06"/>
    <w:rsid w:val="00DF3B01"/>
    <w:rsid w:val="00DF3DC8"/>
    <w:rsid w:val="00DF458D"/>
    <w:rsid w:val="00DF4A4A"/>
    <w:rsid w:val="00DF519A"/>
    <w:rsid w:val="00DF5FBE"/>
    <w:rsid w:val="00DF61D0"/>
    <w:rsid w:val="00DF6A97"/>
    <w:rsid w:val="00DF715D"/>
    <w:rsid w:val="00DF7DCC"/>
    <w:rsid w:val="00E0012D"/>
    <w:rsid w:val="00E00532"/>
    <w:rsid w:val="00E00B9C"/>
    <w:rsid w:val="00E00DF0"/>
    <w:rsid w:val="00E014C0"/>
    <w:rsid w:val="00E0152A"/>
    <w:rsid w:val="00E0192D"/>
    <w:rsid w:val="00E03637"/>
    <w:rsid w:val="00E03FB5"/>
    <w:rsid w:val="00E0496B"/>
    <w:rsid w:val="00E05016"/>
    <w:rsid w:val="00E06505"/>
    <w:rsid w:val="00E0680E"/>
    <w:rsid w:val="00E06933"/>
    <w:rsid w:val="00E10EB5"/>
    <w:rsid w:val="00E11BE2"/>
    <w:rsid w:val="00E11CB3"/>
    <w:rsid w:val="00E1223C"/>
    <w:rsid w:val="00E13A45"/>
    <w:rsid w:val="00E14B66"/>
    <w:rsid w:val="00E14C79"/>
    <w:rsid w:val="00E1563F"/>
    <w:rsid w:val="00E16245"/>
    <w:rsid w:val="00E16312"/>
    <w:rsid w:val="00E16B59"/>
    <w:rsid w:val="00E16FEC"/>
    <w:rsid w:val="00E17066"/>
    <w:rsid w:val="00E205DF"/>
    <w:rsid w:val="00E20656"/>
    <w:rsid w:val="00E20780"/>
    <w:rsid w:val="00E21A9E"/>
    <w:rsid w:val="00E21DBE"/>
    <w:rsid w:val="00E21FC3"/>
    <w:rsid w:val="00E232AE"/>
    <w:rsid w:val="00E23372"/>
    <w:rsid w:val="00E23A03"/>
    <w:rsid w:val="00E23A2D"/>
    <w:rsid w:val="00E24014"/>
    <w:rsid w:val="00E24A16"/>
    <w:rsid w:val="00E252F0"/>
    <w:rsid w:val="00E2588C"/>
    <w:rsid w:val="00E2664B"/>
    <w:rsid w:val="00E3003E"/>
    <w:rsid w:val="00E3022B"/>
    <w:rsid w:val="00E306DA"/>
    <w:rsid w:val="00E316D9"/>
    <w:rsid w:val="00E32E67"/>
    <w:rsid w:val="00E330C5"/>
    <w:rsid w:val="00E33AC9"/>
    <w:rsid w:val="00E3413B"/>
    <w:rsid w:val="00E353E9"/>
    <w:rsid w:val="00E35BEF"/>
    <w:rsid w:val="00E363E9"/>
    <w:rsid w:val="00E36EA9"/>
    <w:rsid w:val="00E373ED"/>
    <w:rsid w:val="00E3763F"/>
    <w:rsid w:val="00E414E2"/>
    <w:rsid w:val="00E4168B"/>
    <w:rsid w:val="00E435BC"/>
    <w:rsid w:val="00E43879"/>
    <w:rsid w:val="00E44044"/>
    <w:rsid w:val="00E441BF"/>
    <w:rsid w:val="00E4592C"/>
    <w:rsid w:val="00E46222"/>
    <w:rsid w:val="00E46705"/>
    <w:rsid w:val="00E467DF"/>
    <w:rsid w:val="00E47864"/>
    <w:rsid w:val="00E47BD0"/>
    <w:rsid w:val="00E47DAC"/>
    <w:rsid w:val="00E501A6"/>
    <w:rsid w:val="00E501EB"/>
    <w:rsid w:val="00E503F5"/>
    <w:rsid w:val="00E5076A"/>
    <w:rsid w:val="00E50DBB"/>
    <w:rsid w:val="00E51657"/>
    <w:rsid w:val="00E5165A"/>
    <w:rsid w:val="00E51968"/>
    <w:rsid w:val="00E52403"/>
    <w:rsid w:val="00E53E39"/>
    <w:rsid w:val="00E55777"/>
    <w:rsid w:val="00E56196"/>
    <w:rsid w:val="00E565F0"/>
    <w:rsid w:val="00E56B33"/>
    <w:rsid w:val="00E56C37"/>
    <w:rsid w:val="00E60643"/>
    <w:rsid w:val="00E625B9"/>
    <w:rsid w:val="00E626D9"/>
    <w:rsid w:val="00E636AB"/>
    <w:rsid w:val="00E640B9"/>
    <w:rsid w:val="00E64C3E"/>
    <w:rsid w:val="00E65652"/>
    <w:rsid w:val="00E6576C"/>
    <w:rsid w:val="00E65B69"/>
    <w:rsid w:val="00E70C20"/>
    <w:rsid w:val="00E70D73"/>
    <w:rsid w:val="00E711F0"/>
    <w:rsid w:val="00E733C4"/>
    <w:rsid w:val="00E73606"/>
    <w:rsid w:val="00E7374D"/>
    <w:rsid w:val="00E73A7F"/>
    <w:rsid w:val="00E73D04"/>
    <w:rsid w:val="00E7461B"/>
    <w:rsid w:val="00E7484B"/>
    <w:rsid w:val="00E750A5"/>
    <w:rsid w:val="00E750AF"/>
    <w:rsid w:val="00E761A1"/>
    <w:rsid w:val="00E76BCC"/>
    <w:rsid w:val="00E7793F"/>
    <w:rsid w:val="00E80B14"/>
    <w:rsid w:val="00E826FF"/>
    <w:rsid w:val="00E82BD9"/>
    <w:rsid w:val="00E83F55"/>
    <w:rsid w:val="00E84760"/>
    <w:rsid w:val="00E8476C"/>
    <w:rsid w:val="00E856C5"/>
    <w:rsid w:val="00E85934"/>
    <w:rsid w:val="00E8613D"/>
    <w:rsid w:val="00E86509"/>
    <w:rsid w:val="00E86DD1"/>
    <w:rsid w:val="00E87AD4"/>
    <w:rsid w:val="00E91207"/>
    <w:rsid w:val="00E939C7"/>
    <w:rsid w:val="00E943CA"/>
    <w:rsid w:val="00E95A51"/>
    <w:rsid w:val="00E96D01"/>
    <w:rsid w:val="00E973CA"/>
    <w:rsid w:val="00EA04E4"/>
    <w:rsid w:val="00EA0C40"/>
    <w:rsid w:val="00EA0FC6"/>
    <w:rsid w:val="00EA1C34"/>
    <w:rsid w:val="00EA2978"/>
    <w:rsid w:val="00EA2F88"/>
    <w:rsid w:val="00EA3450"/>
    <w:rsid w:val="00EA437D"/>
    <w:rsid w:val="00EA5879"/>
    <w:rsid w:val="00EA5C4C"/>
    <w:rsid w:val="00EA6ABD"/>
    <w:rsid w:val="00EA7A80"/>
    <w:rsid w:val="00EB06C3"/>
    <w:rsid w:val="00EB24C1"/>
    <w:rsid w:val="00EB29FE"/>
    <w:rsid w:val="00EB2A29"/>
    <w:rsid w:val="00EB3012"/>
    <w:rsid w:val="00EB3E72"/>
    <w:rsid w:val="00EB4193"/>
    <w:rsid w:val="00EB54FC"/>
    <w:rsid w:val="00EB5BFB"/>
    <w:rsid w:val="00EB718C"/>
    <w:rsid w:val="00EB7472"/>
    <w:rsid w:val="00EB7667"/>
    <w:rsid w:val="00EB7B44"/>
    <w:rsid w:val="00EC03AB"/>
    <w:rsid w:val="00EC0BF9"/>
    <w:rsid w:val="00EC0C20"/>
    <w:rsid w:val="00EC0C63"/>
    <w:rsid w:val="00EC0DD1"/>
    <w:rsid w:val="00EC21E4"/>
    <w:rsid w:val="00EC3531"/>
    <w:rsid w:val="00EC438F"/>
    <w:rsid w:val="00EC4623"/>
    <w:rsid w:val="00EC4F8B"/>
    <w:rsid w:val="00EC5A39"/>
    <w:rsid w:val="00EC60E0"/>
    <w:rsid w:val="00EC6B08"/>
    <w:rsid w:val="00EC6D5D"/>
    <w:rsid w:val="00EC71E5"/>
    <w:rsid w:val="00EC7ECE"/>
    <w:rsid w:val="00ED00EB"/>
    <w:rsid w:val="00ED0A9A"/>
    <w:rsid w:val="00ED13C7"/>
    <w:rsid w:val="00ED1A4B"/>
    <w:rsid w:val="00ED1C10"/>
    <w:rsid w:val="00ED1DAC"/>
    <w:rsid w:val="00ED2717"/>
    <w:rsid w:val="00ED2DAA"/>
    <w:rsid w:val="00ED32B8"/>
    <w:rsid w:val="00ED3581"/>
    <w:rsid w:val="00ED3718"/>
    <w:rsid w:val="00ED3A9B"/>
    <w:rsid w:val="00ED6065"/>
    <w:rsid w:val="00ED63EC"/>
    <w:rsid w:val="00ED701C"/>
    <w:rsid w:val="00ED7815"/>
    <w:rsid w:val="00ED7E10"/>
    <w:rsid w:val="00EE05C0"/>
    <w:rsid w:val="00EE0737"/>
    <w:rsid w:val="00EE0CAD"/>
    <w:rsid w:val="00EE206D"/>
    <w:rsid w:val="00EE22DD"/>
    <w:rsid w:val="00EE28AB"/>
    <w:rsid w:val="00EE4080"/>
    <w:rsid w:val="00EE58F2"/>
    <w:rsid w:val="00EE5923"/>
    <w:rsid w:val="00EE5EFB"/>
    <w:rsid w:val="00EE62E5"/>
    <w:rsid w:val="00EE7633"/>
    <w:rsid w:val="00EF0149"/>
    <w:rsid w:val="00EF0507"/>
    <w:rsid w:val="00EF0741"/>
    <w:rsid w:val="00EF22F0"/>
    <w:rsid w:val="00EF3064"/>
    <w:rsid w:val="00EF3356"/>
    <w:rsid w:val="00EF33BE"/>
    <w:rsid w:val="00EF34BD"/>
    <w:rsid w:val="00EF37FB"/>
    <w:rsid w:val="00EF3C4E"/>
    <w:rsid w:val="00EF3FDC"/>
    <w:rsid w:val="00EF40A5"/>
    <w:rsid w:val="00EF4214"/>
    <w:rsid w:val="00EF57CE"/>
    <w:rsid w:val="00EF5AB2"/>
    <w:rsid w:val="00EF5F58"/>
    <w:rsid w:val="00EF658A"/>
    <w:rsid w:val="00EF73D4"/>
    <w:rsid w:val="00EF791F"/>
    <w:rsid w:val="00EF7998"/>
    <w:rsid w:val="00EF7A22"/>
    <w:rsid w:val="00EF7A6F"/>
    <w:rsid w:val="00EF7CC1"/>
    <w:rsid w:val="00F00870"/>
    <w:rsid w:val="00F01E16"/>
    <w:rsid w:val="00F0307C"/>
    <w:rsid w:val="00F037E7"/>
    <w:rsid w:val="00F03B1F"/>
    <w:rsid w:val="00F03BD3"/>
    <w:rsid w:val="00F03E4D"/>
    <w:rsid w:val="00F0404B"/>
    <w:rsid w:val="00F045AD"/>
    <w:rsid w:val="00F04602"/>
    <w:rsid w:val="00F05BAB"/>
    <w:rsid w:val="00F060B8"/>
    <w:rsid w:val="00F062AB"/>
    <w:rsid w:val="00F0674E"/>
    <w:rsid w:val="00F07528"/>
    <w:rsid w:val="00F07E79"/>
    <w:rsid w:val="00F107C8"/>
    <w:rsid w:val="00F108B2"/>
    <w:rsid w:val="00F10B18"/>
    <w:rsid w:val="00F10C36"/>
    <w:rsid w:val="00F11CB2"/>
    <w:rsid w:val="00F126A3"/>
    <w:rsid w:val="00F1397A"/>
    <w:rsid w:val="00F13B49"/>
    <w:rsid w:val="00F13EB3"/>
    <w:rsid w:val="00F1402D"/>
    <w:rsid w:val="00F14678"/>
    <w:rsid w:val="00F148CC"/>
    <w:rsid w:val="00F14CF1"/>
    <w:rsid w:val="00F14F12"/>
    <w:rsid w:val="00F1578B"/>
    <w:rsid w:val="00F163B8"/>
    <w:rsid w:val="00F16D44"/>
    <w:rsid w:val="00F1721B"/>
    <w:rsid w:val="00F17389"/>
    <w:rsid w:val="00F1755B"/>
    <w:rsid w:val="00F176B1"/>
    <w:rsid w:val="00F20438"/>
    <w:rsid w:val="00F205AF"/>
    <w:rsid w:val="00F20FEC"/>
    <w:rsid w:val="00F2334B"/>
    <w:rsid w:val="00F23E85"/>
    <w:rsid w:val="00F251A9"/>
    <w:rsid w:val="00F2523C"/>
    <w:rsid w:val="00F26123"/>
    <w:rsid w:val="00F26336"/>
    <w:rsid w:val="00F26767"/>
    <w:rsid w:val="00F2698F"/>
    <w:rsid w:val="00F270F4"/>
    <w:rsid w:val="00F27232"/>
    <w:rsid w:val="00F27730"/>
    <w:rsid w:val="00F31384"/>
    <w:rsid w:val="00F3147B"/>
    <w:rsid w:val="00F326E3"/>
    <w:rsid w:val="00F32DA9"/>
    <w:rsid w:val="00F32FC5"/>
    <w:rsid w:val="00F33277"/>
    <w:rsid w:val="00F345CE"/>
    <w:rsid w:val="00F34C97"/>
    <w:rsid w:val="00F36260"/>
    <w:rsid w:val="00F365CD"/>
    <w:rsid w:val="00F36743"/>
    <w:rsid w:val="00F37CF5"/>
    <w:rsid w:val="00F4058F"/>
    <w:rsid w:val="00F4099A"/>
    <w:rsid w:val="00F41268"/>
    <w:rsid w:val="00F4133E"/>
    <w:rsid w:val="00F41923"/>
    <w:rsid w:val="00F41A88"/>
    <w:rsid w:val="00F42070"/>
    <w:rsid w:val="00F43763"/>
    <w:rsid w:val="00F4399E"/>
    <w:rsid w:val="00F446FC"/>
    <w:rsid w:val="00F4481E"/>
    <w:rsid w:val="00F45925"/>
    <w:rsid w:val="00F469B4"/>
    <w:rsid w:val="00F46B84"/>
    <w:rsid w:val="00F46B9A"/>
    <w:rsid w:val="00F47B42"/>
    <w:rsid w:val="00F47C42"/>
    <w:rsid w:val="00F50043"/>
    <w:rsid w:val="00F50573"/>
    <w:rsid w:val="00F52A59"/>
    <w:rsid w:val="00F52D8B"/>
    <w:rsid w:val="00F53749"/>
    <w:rsid w:val="00F54B05"/>
    <w:rsid w:val="00F557C3"/>
    <w:rsid w:val="00F559D1"/>
    <w:rsid w:val="00F5630D"/>
    <w:rsid w:val="00F56708"/>
    <w:rsid w:val="00F56712"/>
    <w:rsid w:val="00F56F50"/>
    <w:rsid w:val="00F6029F"/>
    <w:rsid w:val="00F609B8"/>
    <w:rsid w:val="00F61259"/>
    <w:rsid w:val="00F618C5"/>
    <w:rsid w:val="00F624AD"/>
    <w:rsid w:val="00F63232"/>
    <w:rsid w:val="00F641BE"/>
    <w:rsid w:val="00F64799"/>
    <w:rsid w:val="00F65031"/>
    <w:rsid w:val="00F6615F"/>
    <w:rsid w:val="00F665A5"/>
    <w:rsid w:val="00F67157"/>
    <w:rsid w:val="00F673DA"/>
    <w:rsid w:val="00F67B77"/>
    <w:rsid w:val="00F71021"/>
    <w:rsid w:val="00F71757"/>
    <w:rsid w:val="00F72024"/>
    <w:rsid w:val="00F72A16"/>
    <w:rsid w:val="00F72B96"/>
    <w:rsid w:val="00F72E25"/>
    <w:rsid w:val="00F734B3"/>
    <w:rsid w:val="00F737AD"/>
    <w:rsid w:val="00F738AA"/>
    <w:rsid w:val="00F74494"/>
    <w:rsid w:val="00F745B5"/>
    <w:rsid w:val="00F750CE"/>
    <w:rsid w:val="00F762FA"/>
    <w:rsid w:val="00F768AD"/>
    <w:rsid w:val="00F771D5"/>
    <w:rsid w:val="00F7725C"/>
    <w:rsid w:val="00F77D60"/>
    <w:rsid w:val="00F803C0"/>
    <w:rsid w:val="00F82C47"/>
    <w:rsid w:val="00F83456"/>
    <w:rsid w:val="00F83628"/>
    <w:rsid w:val="00F83875"/>
    <w:rsid w:val="00F83BDA"/>
    <w:rsid w:val="00F847A5"/>
    <w:rsid w:val="00F84D77"/>
    <w:rsid w:val="00F866AD"/>
    <w:rsid w:val="00F87171"/>
    <w:rsid w:val="00F87621"/>
    <w:rsid w:val="00F87DAF"/>
    <w:rsid w:val="00F87E05"/>
    <w:rsid w:val="00F87EDB"/>
    <w:rsid w:val="00F92547"/>
    <w:rsid w:val="00F9384D"/>
    <w:rsid w:val="00F9493B"/>
    <w:rsid w:val="00F96874"/>
    <w:rsid w:val="00F9704E"/>
    <w:rsid w:val="00F975DA"/>
    <w:rsid w:val="00F97A9B"/>
    <w:rsid w:val="00F97CD4"/>
    <w:rsid w:val="00FA023A"/>
    <w:rsid w:val="00FA07F3"/>
    <w:rsid w:val="00FA0DE0"/>
    <w:rsid w:val="00FA15FD"/>
    <w:rsid w:val="00FA1C9A"/>
    <w:rsid w:val="00FA34D5"/>
    <w:rsid w:val="00FA3896"/>
    <w:rsid w:val="00FA4994"/>
    <w:rsid w:val="00FA5199"/>
    <w:rsid w:val="00FA6BB1"/>
    <w:rsid w:val="00FA71D3"/>
    <w:rsid w:val="00FA7508"/>
    <w:rsid w:val="00FB0075"/>
    <w:rsid w:val="00FB12F4"/>
    <w:rsid w:val="00FB1D47"/>
    <w:rsid w:val="00FB3456"/>
    <w:rsid w:val="00FB50FD"/>
    <w:rsid w:val="00FB5316"/>
    <w:rsid w:val="00FB6B8B"/>
    <w:rsid w:val="00FB6C55"/>
    <w:rsid w:val="00FB706D"/>
    <w:rsid w:val="00FB70B5"/>
    <w:rsid w:val="00FB74D5"/>
    <w:rsid w:val="00FC250E"/>
    <w:rsid w:val="00FC370D"/>
    <w:rsid w:val="00FC3EDF"/>
    <w:rsid w:val="00FC4453"/>
    <w:rsid w:val="00FC590B"/>
    <w:rsid w:val="00FC79EF"/>
    <w:rsid w:val="00FC7FEB"/>
    <w:rsid w:val="00FD008B"/>
    <w:rsid w:val="00FD06AA"/>
    <w:rsid w:val="00FD1110"/>
    <w:rsid w:val="00FD140C"/>
    <w:rsid w:val="00FD3769"/>
    <w:rsid w:val="00FD39BE"/>
    <w:rsid w:val="00FD3D98"/>
    <w:rsid w:val="00FD50A4"/>
    <w:rsid w:val="00FD64B1"/>
    <w:rsid w:val="00FD6D5F"/>
    <w:rsid w:val="00FD74A7"/>
    <w:rsid w:val="00FD7D58"/>
    <w:rsid w:val="00FE015D"/>
    <w:rsid w:val="00FE0E7A"/>
    <w:rsid w:val="00FE190B"/>
    <w:rsid w:val="00FE2DDD"/>
    <w:rsid w:val="00FE3C3F"/>
    <w:rsid w:val="00FE4629"/>
    <w:rsid w:val="00FE490F"/>
    <w:rsid w:val="00FE5B3B"/>
    <w:rsid w:val="00FE60B7"/>
    <w:rsid w:val="00FE6A6E"/>
    <w:rsid w:val="00FF0422"/>
    <w:rsid w:val="00FF0B51"/>
    <w:rsid w:val="00FF2988"/>
    <w:rsid w:val="00FF340F"/>
    <w:rsid w:val="00FF554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1"/>
    <w:uiPriority w:val="99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1"/>
    <w:uiPriority w:val="99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DA71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DA71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DA718E"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DA718E"/>
    <w:rPr>
      <w:rFonts w:ascii="Calibri" w:hAnsi="Calibri" w:cs="Times New Roman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9"/>
    <w:semiHidden/>
    <w:locked/>
    <w:rsid w:val="00DA71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1">
    <w:name w:val="Nadpis 9 Char1"/>
    <w:basedOn w:val="Standardnpsmoodstavce"/>
    <w:link w:val="Nadpis9"/>
    <w:uiPriority w:val="99"/>
    <w:semiHidden/>
    <w:locked/>
    <w:rsid w:val="00DA718E"/>
    <w:rPr>
      <w:rFonts w:ascii="Cambria" w:hAnsi="Cambria" w:cs="Times New Roman"/>
    </w:rPr>
  </w:style>
  <w:style w:type="character" w:customStyle="1" w:styleId="Nadpis1Char">
    <w:name w:val="Nadpis 1 Char"/>
    <w:basedOn w:val="Standardnpsmoodstavce"/>
    <w:uiPriority w:val="99"/>
    <w:rsid w:val="00074A01"/>
    <w:rPr>
      <w:rFonts w:ascii="Arial Narrow" w:hAnsi="Arial Narrow" w:cs="Times New Roman"/>
      <w:b/>
      <w:kern w:val="36"/>
      <w:sz w:val="36"/>
    </w:rPr>
  </w:style>
  <w:style w:type="character" w:customStyle="1" w:styleId="Nadpis2Char">
    <w:name w:val="Nadpis 2 Char"/>
    <w:basedOn w:val="Standardnpsmoodstavce"/>
    <w:uiPriority w:val="99"/>
    <w:rsid w:val="00074A01"/>
    <w:rPr>
      <w:rFonts w:ascii="Cambria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DA718E"/>
    <w:rPr>
      <w:rFonts w:ascii="Arial" w:hAnsi="Arial" w:cs="Times New Roman"/>
      <w:b/>
      <w:bCs/>
      <w:i/>
      <w:iCs/>
      <w:color w:val="4F81BD"/>
      <w:sz w:val="24"/>
      <w:szCs w:val="24"/>
    </w:rPr>
  </w:style>
  <w:style w:type="character" w:customStyle="1" w:styleId="CitaceintenzivnChar">
    <w:name w:val="Citace – intenzivní Char"/>
    <w:basedOn w:val="Standardnpsmoodstavce"/>
    <w:uiPriority w:val="99"/>
    <w:rsid w:val="00074A01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074A01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074A01"/>
    <w:pPr>
      <w:spacing w:before="40" w:line="276" w:lineRule="auto"/>
      <w:ind w:firstLine="284"/>
      <w:jc w:val="both"/>
    </w:pPr>
    <w:rPr>
      <w:rFonts w:ascii="Palatino Linotype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9"/>
    <w:rsid w:val="00074A01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link w:val="Zkladntext3Char1"/>
    <w:uiPriority w:val="99"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locked/>
    <w:rsid w:val="00DA718E"/>
    <w:rPr>
      <w:rFonts w:ascii="Arial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rsid w:val="00074A01"/>
    <w:rPr>
      <w:rFonts w:cs="Times New Roman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uiPriority w:val="99"/>
    <w:rsid w:val="00074A0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semiHidden/>
    <w:rsid w:val="00074A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uiPriority w:val="99"/>
    <w:semiHidden/>
    <w:rsid w:val="00074A01"/>
    <w:rPr>
      <w:rFonts w:ascii="Cambria" w:hAnsi="Cambria" w:cs="Times New Roman"/>
      <w:sz w:val="22"/>
      <w:szCs w:val="22"/>
    </w:rPr>
  </w:style>
  <w:style w:type="paragraph" w:styleId="Zkladntextodsazen">
    <w:name w:val="Body Text Indent"/>
    <w:basedOn w:val="Normln"/>
    <w:link w:val="ZkladntextodsazenChar1"/>
    <w:uiPriority w:val="99"/>
    <w:rsid w:val="00074A0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074A01"/>
    <w:rPr>
      <w:rFonts w:cs="Times New Roman"/>
      <w:sz w:val="24"/>
      <w:szCs w:val="24"/>
    </w:rPr>
  </w:style>
  <w:style w:type="paragraph" w:customStyle="1" w:styleId="Zkladn">
    <w:name w:val="Základní"/>
    <w:basedOn w:val="Normln"/>
    <w:uiPriority w:val="99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"/>
    <w:basedOn w:val="Normln"/>
    <w:link w:val="TextpoznpodarouChar1"/>
    <w:uiPriority w:val="99"/>
    <w:rsid w:val="00074A01"/>
    <w:rPr>
      <w:sz w:val="20"/>
      <w:szCs w:val="20"/>
    </w:rPr>
  </w:style>
  <w:style w:type="character" w:customStyle="1" w:styleId="TextpoznpodarouChar1">
    <w:name w:val="Text pozn. pod čarou Char1"/>
    <w:aliases w:val="fn Char"/>
    <w:basedOn w:val="Standardnpsmoodstavce"/>
    <w:link w:val="Textpoznpodarou"/>
    <w:uiPriority w:val="99"/>
    <w:semiHidden/>
    <w:locked/>
    <w:rsid w:val="00DA718E"/>
    <w:rPr>
      <w:rFonts w:ascii="Arial" w:hAnsi="Arial" w:cs="Times New Roman"/>
      <w:sz w:val="20"/>
      <w:szCs w:val="20"/>
    </w:rPr>
  </w:style>
  <w:style w:type="character" w:customStyle="1" w:styleId="TextpoznpodarouChar">
    <w:name w:val="Text pozn. pod čarou Char"/>
    <w:aliases w:val="fn Char1"/>
    <w:basedOn w:val="Standardnpsmoodstavce"/>
    <w:uiPriority w:val="99"/>
    <w:rsid w:val="00074A01"/>
    <w:rPr>
      <w:rFonts w:cs="Times New Roman"/>
    </w:rPr>
  </w:style>
  <w:style w:type="character" w:styleId="Znakapoznpodarou">
    <w:name w:val="footnote reference"/>
    <w:aliases w:val="Footnote"/>
    <w:basedOn w:val="Standardnpsmoodstavce"/>
    <w:uiPriority w:val="99"/>
    <w:semiHidden/>
    <w:rsid w:val="00074A01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B667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67E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67E8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03A70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1D2F"/>
    <w:rPr>
      <w:rFonts w:ascii="Arial" w:hAnsi="Arial" w:cs="Arial"/>
      <w:i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43027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30278"/>
    <w:rPr>
      <w:rFonts w:ascii="Consolas" w:hAnsi="Consolas" w:cs="Times New Roman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95DC0"/>
    <w:rPr>
      <w:rFonts w:ascii="Arial" w:hAnsi="Arial" w:cs="Times New Roman"/>
      <w:sz w:val="16"/>
      <w:szCs w:val="16"/>
    </w:rPr>
  </w:style>
  <w:style w:type="paragraph" w:customStyle="1" w:styleId="NadpisKZ">
    <w:name w:val="Nadpis KZ"/>
    <w:basedOn w:val="Zkladntext2"/>
    <w:uiPriority w:val="99"/>
    <w:rsid w:val="004827C3"/>
  </w:style>
  <w:style w:type="paragraph" w:styleId="Zkladntext2">
    <w:name w:val="Body Text 2"/>
    <w:basedOn w:val="Normln"/>
    <w:link w:val="Zkladntext2Char"/>
    <w:uiPriority w:val="99"/>
    <w:semiHidden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27C3"/>
    <w:rPr>
      <w:rFonts w:ascii="Arial" w:hAnsi="Arial" w:cs="Times New Roman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175F2C"/>
    <w:pPr>
      <w:numPr>
        <w:numId w:val="2"/>
      </w:numPr>
      <w:spacing w:before="120" w:after="120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99"/>
    <w:qFormat/>
    <w:rsid w:val="007856E6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1E1682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F673DA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paragraph" w:customStyle="1" w:styleId="Default">
    <w:name w:val="Default"/>
    <w:uiPriority w:val="99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zojazycne">
    <w:name w:val="cizojazycne"/>
    <w:basedOn w:val="Standardnpsmoodstavce"/>
    <w:uiPriority w:val="99"/>
    <w:rsid w:val="008B38F0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E7360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E73606"/>
    <w:rPr>
      <w:rFonts w:ascii="Arial" w:hAnsi="Arial" w:cs="Times New Roman"/>
      <w:sz w:val="24"/>
      <w:szCs w:val="24"/>
    </w:rPr>
  </w:style>
  <w:style w:type="paragraph" w:customStyle="1" w:styleId="Odstavecseseznamem2">
    <w:name w:val="Odstavec se seznamem2"/>
    <w:basedOn w:val="Normln"/>
    <w:uiPriority w:val="99"/>
    <w:rsid w:val="00B86C4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znmkapodarou">
    <w:name w:val="poznámka pod čarou"/>
    <w:basedOn w:val="Normln"/>
    <w:uiPriority w:val="99"/>
    <w:rsid w:val="00C04CD3"/>
    <w:pPr>
      <w:ind w:left="284" w:hanging="284"/>
      <w:contextualSpacing/>
      <w:jc w:val="both"/>
    </w:pPr>
    <w:rPr>
      <w:rFonts w:cs="Arial"/>
      <w:sz w:val="20"/>
      <w:szCs w:val="20"/>
      <w:lang w:eastAsia="en-US"/>
    </w:rPr>
  </w:style>
  <w:style w:type="numbering" w:customStyle="1" w:styleId="Styl1">
    <w:name w:val="Styl1"/>
    <w:rsid w:val="00312056"/>
    <w:pPr>
      <w:numPr>
        <w:numId w:val="8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4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4C1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EB24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1"/>
    <w:uiPriority w:val="99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1"/>
    <w:uiPriority w:val="99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DA71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DA71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DA718E"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DA718E"/>
    <w:rPr>
      <w:rFonts w:ascii="Calibri" w:hAnsi="Calibri" w:cs="Times New Roman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9"/>
    <w:semiHidden/>
    <w:locked/>
    <w:rsid w:val="00DA71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1">
    <w:name w:val="Nadpis 9 Char1"/>
    <w:basedOn w:val="Standardnpsmoodstavce"/>
    <w:link w:val="Nadpis9"/>
    <w:uiPriority w:val="99"/>
    <w:semiHidden/>
    <w:locked/>
    <w:rsid w:val="00DA718E"/>
    <w:rPr>
      <w:rFonts w:ascii="Cambria" w:hAnsi="Cambria" w:cs="Times New Roman"/>
    </w:rPr>
  </w:style>
  <w:style w:type="character" w:customStyle="1" w:styleId="Nadpis1Char">
    <w:name w:val="Nadpis 1 Char"/>
    <w:basedOn w:val="Standardnpsmoodstavce"/>
    <w:uiPriority w:val="99"/>
    <w:rsid w:val="00074A01"/>
    <w:rPr>
      <w:rFonts w:ascii="Arial Narrow" w:hAnsi="Arial Narrow" w:cs="Times New Roman"/>
      <w:b/>
      <w:kern w:val="36"/>
      <w:sz w:val="36"/>
    </w:rPr>
  </w:style>
  <w:style w:type="character" w:customStyle="1" w:styleId="Nadpis2Char">
    <w:name w:val="Nadpis 2 Char"/>
    <w:basedOn w:val="Standardnpsmoodstavce"/>
    <w:uiPriority w:val="99"/>
    <w:rsid w:val="00074A01"/>
    <w:rPr>
      <w:rFonts w:ascii="Cambria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DA718E"/>
    <w:rPr>
      <w:rFonts w:ascii="Arial" w:hAnsi="Arial" w:cs="Times New Roman"/>
      <w:b/>
      <w:bCs/>
      <w:i/>
      <w:iCs/>
      <w:color w:val="4F81BD"/>
      <w:sz w:val="24"/>
      <w:szCs w:val="24"/>
    </w:rPr>
  </w:style>
  <w:style w:type="character" w:customStyle="1" w:styleId="CitaceintenzivnChar">
    <w:name w:val="Citace – intenzivní Char"/>
    <w:basedOn w:val="Standardnpsmoodstavce"/>
    <w:uiPriority w:val="99"/>
    <w:rsid w:val="00074A01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074A01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074A01"/>
    <w:pPr>
      <w:spacing w:before="40" w:line="276" w:lineRule="auto"/>
      <w:ind w:firstLine="284"/>
      <w:jc w:val="both"/>
    </w:pPr>
    <w:rPr>
      <w:rFonts w:ascii="Palatino Linotype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9"/>
    <w:rsid w:val="00074A01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link w:val="Zkladntext3Char1"/>
    <w:uiPriority w:val="99"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locked/>
    <w:rsid w:val="00DA718E"/>
    <w:rPr>
      <w:rFonts w:ascii="Arial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rsid w:val="00074A01"/>
    <w:rPr>
      <w:rFonts w:cs="Times New Roman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uiPriority w:val="99"/>
    <w:rsid w:val="00074A0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semiHidden/>
    <w:rsid w:val="00074A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uiPriority w:val="99"/>
    <w:semiHidden/>
    <w:rsid w:val="00074A01"/>
    <w:rPr>
      <w:rFonts w:ascii="Cambria" w:hAnsi="Cambria" w:cs="Times New Roman"/>
      <w:sz w:val="22"/>
      <w:szCs w:val="22"/>
    </w:rPr>
  </w:style>
  <w:style w:type="paragraph" w:styleId="Zkladntextodsazen">
    <w:name w:val="Body Text Indent"/>
    <w:basedOn w:val="Normln"/>
    <w:link w:val="ZkladntextodsazenChar1"/>
    <w:uiPriority w:val="99"/>
    <w:rsid w:val="00074A0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074A01"/>
    <w:rPr>
      <w:rFonts w:cs="Times New Roman"/>
      <w:sz w:val="24"/>
      <w:szCs w:val="24"/>
    </w:rPr>
  </w:style>
  <w:style w:type="paragraph" w:customStyle="1" w:styleId="Zkladn">
    <w:name w:val="Základní"/>
    <w:basedOn w:val="Normln"/>
    <w:uiPriority w:val="99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"/>
    <w:basedOn w:val="Normln"/>
    <w:link w:val="TextpoznpodarouChar1"/>
    <w:uiPriority w:val="99"/>
    <w:rsid w:val="00074A01"/>
    <w:rPr>
      <w:sz w:val="20"/>
      <w:szCs w:val="20"/>
    </w:rPr>
  </w:style>
  <w:style w:type="character" w:customStyle="1" w:styleId="TextpoznpodarouChar1">
    <w:name w:val="Text pozn. pod čarou Char1"/>
    <w:aliases w:val="fn Char"/>
    <w:basedOn w:val="Standardnpsmoodstavce"/>
    <w:link w:val="Textpoznpodarou"/>
    <w:uiPriority w:val="99"/>
    <w:semiHidden/>
    <w:locked/>
    <w:rsid w:val="00DA718E"/>
    <w:rPr>
      <w:rFonts w:ascii="Arial" w:hAnsi="Arial" w:cs="Times New Roman"/>
      <w:sz w:val="20"/>
      <w:szCs w:val="20"/>
    </w:rPr>
  </w:style>
  <w:style w:type="character" w:customStyle="1" w:styleId="TextpoznpodarouChar">
    <w:name w:val="Text pozn. pod čarou Char"/>
    <w:aliases w:val="fn Char1"/>
    <w:basedOn w:val="Standardnpsmoodstavce"/>
    <w:uiPriority w:val="99"/>
    <w:rsid w:val="00074A01"/>
    <w:rPr>
      <w:rFonts w:cs="Times New Roman"/>
    </w:rPr>
  </w:style>
  <w:style w:type="character" w:styleId="Znakapoznpodarou">
    <w:name w:val="footnote reference"/>
    <w:aliases w:val="Footnote"/>
    <w:basedOn w:val="Standardnpsmoodstavce"/>
    <w:uiPriority w:val="99"/>
    <w:semiHidden/>
    <w:rsid w:val="00074A01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B667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67E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67E8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03A70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1D2F"/>
    <w:rPr>
      <w:rFonts w:ascii="Arial" w:hAnsi="Arial" w:cs="Arial"/>
      <w:i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43027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30278"/>
    <w:rPr>
      <w:rFonts w:ascii="Consolas" w:hAnsi="Consolas" w:cs="Times New Roman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95DC0"/>
    <w:rPr>
      <w:rFonts w:ascii="Arial" w:hAnsi="Arial" w:cs="Times New Roman"/>
      <w:sz w:val="16"/>
      <w:szCs w:val="16"/>
    </w:rPr>
  </w:style>
  <w:style w:type="paragraph" w:customStyle="1" w:styleId="NadpisKZ">
    <w:name w:val="Nadpis KZ"/>
    <w:basedOn w:val="Zkladntext2"/>
    <w:uiPriority w:val="99"/>
    <w:rsid w:val="004827C3"/>
  </w:style>
  <w:style w:type="paragraph" w:styleId="Zkladntext2">
    <w:name w:val="Body Text 2"/>
    <w:basedOn w:val="Normln"/>
    <w:link w:val="Zkladntext2Char"/>
    <w:uiPriority w:val="99"/>
    <w:semiHidden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27C3"/>
    <w:rPr>
      <w:rFonts w:ascii="Arial" w:hAnsi="Arial" w:cs="Times New Roman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175F2C"/>
    <w:pPr>
      <w:numPr>
        <w:numId w:val="2"/>
      </w:numPr>
      <w:spacing w:before="120" w:after="120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99"/>
    <w:qFormat/>
    <w:rsid w:val="007856E6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1E1682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F673DA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paragraph" w:customStyle="1" w:styleId="Default">
    <w:name w:val="Default"/>
    <w:uiPriority w:val="99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zojazycne">
    <w:name w:val="cizojazycne"/>
    <w:basedOn w:val="Standardnpsmoodstavce"/>
    <w:uiPriority w:val="99"/>
    <w:rsid w:val="008B38F0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E7360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E73606"/>
    <w:rPr>
      <w:rFonts w:ascii="Arial" w:hAnsi="Arial" w:cs="Times New Roman"/>
      <w:sz w:val="24"/>
      <w:szCs w:val="24"/>
    </w:rPr>
  </w:style>
  <w:style w:type="paragraph" w:customStyle="1" w:styleId="Odstavecseseznamem2">
    <w:name w:val="Odstavec se seznamem2"/>
    <w:basedOn w:val="Normln"/>
    <w:uiPriority w:val="99"/>
    <w:rsid w:val="00B86C4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znmkapodarou">
    <w:name w:val="poznámka pod čarou"/>
    <w:basedOn w:val="Normln"/>
    <w:uiPriority w:val="99"/>
    <w:rsid w:val="00C04CD3"/>
    <w:pPr>
      <w:ind w:left="284" w:hanging="284"/>
      <w:contextualSpacing/>
      <w:jc w:val="both"/>
    </w:pPr>
    <w:rPr>
      <w:rFonts w:cs="Arial"/>
      <w:sz w:val="20"/>
      <w:szCs w:val="20"/>
      <w:lang w:eastAsia="en-US"/>
    </w:rPr>
  </w:style>
  <w:style w:type="numbering" w:customStyle="1" w:styleId="Styl1">
    <w:name w:val="Styl1"/>
    <w:rsid w:val="00312056"/>
    <w:pPr>
      <w:numPr>
        <w:numId w:val="8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4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4C1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EB2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3253C-4642-42C7-8B5C-F8E873789A18}"/>
</file>

<file path=customXml/itemProps2.xml><?xml version="1.0" encoding="utf-8"?>
<ds:datastoreItem xmlns:ds="http://schemas.openxmlformats.org/officeDocument/2006/customXml" ds:itemID="{36793756-B75D-4BB0-8BAA-6C7C4FD02269}"/>
</file>

<file path=customXml/itemProps3.xml><?xml version="1.0" encoding="utf-8"?>
<ds:datastoreItem xmlns:ds="http://schemas.openxmlformats.org/officeDocument/2006/customXml" ds:itemID="{065C4B09-E99A-4D56-A2C5-518EC4C7A9F5}"/>
</file>

<file path=customXml/itemProps4.xml><?xml version="1.0" encoding="utf-8"?>
<ds:datastoreItem xmlns:ds="http://schemas.openxmlformats.org/officeDocument/2006/customXml" ds:itemID="{165333ED-4EF7-464C-99DF-BFDCD03197A1}"/>
</file>

<file path=docProps/app.xml><?xml version="1.0" encoding="utf-8"?>
<Properties xmlns="http://schemas.openxmlformats.org/officeDocument/2006/extended-properties" xmlns:vt="http://schemas.openxmlformats.org/officeDocument/2006/docPropsVTypes">
  <Template>1DB4F262</Template>
  <TotalTime>52</TotalTime>
  <Pages>15</Pages>
  <Words>6511</Words>
  <Characters>38416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kontrolní úřad</Company>
  <LinksUpToDate>false</LinksUpToDate>
  <CharactersWithSpaces>44838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14/03</dc:title>
  <dc:creator>HLUSICKOVA</dc:creator>
  <cp:lastModifiedBy>POKORNÁ Jana</cp:lastModifiedBy>
  <cp:revision>18</cp:revision>
  <cp:lastPrinted>2014-10-07T06:13:00Z</cp:lastPrinted>
  <dcterms:created xsi:type="dcterms:W3CDTF">2014-10-14T11:21:00Z</dcterms:created>
  <dcterms:modified xsi:type="dcterms:W3CDTF">2014-10-16T10:42:00Z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11/14-NKU30/170/12</vt:lpwstr>
  </property>
  <property fmtid="{D5CDD505-2E9C-101B-9397-08002B2CF9AE}" pid="3" name="SZ_Spis_Pisemnost">
    <vt:lpwstr>11/14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*B000149129*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12-2570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/>
  </property>
  <property fmtid="{D5CDD505-2E9C-101B-9397-08002B2CF9AE}" pid="18" name="Vec_Pisemnost">
    <vt:lpwstr>Usnesení č. 11/14/1, schvalující KZ 11/14, vč. KZ </vt:lpwstr>
  </property>
  <property fmtid="{D5CDD505-2E9C-101B-9397-08002B2CF9AE}" pid="19" name="DatumPoriz_Pisemnost">
    <vt:lpwstr>21.2.2012</vt:lpwstr>
  </property>
  <property fmtid="{D5CDD505-2E9C-101B-9397-08002B2CF9AE}" pid="20" name="Contact_PostaOdes_All">
    <vt:lpwstr/>
  </property>
</Properties>
</file>