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6" w:rsidRPr="00EE19DD" w:rsidRDefault="008A377A" w:rsidP="00906C1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32AC5">
        <w:rPr>
          <w:rFonts w:ascii="Calibri" w:hAnsi="Calibri" w:cs="Calibri"/>
          <w:b/>
          <w:noProof/>
          <w:color w:val="000000"/>
          <w:sz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-1905</wp:posOffset>
            </wp:positionV>
            <wp:extent cx="800100" cy="57150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276" w:rsidRPr="00EE19DD" w:rsidRDefault="008A0276" w:rsidP="00906C1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617536" w:rsidRPr="00EE19DD" w:rsidRDefault="00617536" w:rsidP="00906C1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8A0276" w:rsidRPr="00172092" w:rsidRDefault="008A0276" w:rsidP="00906C1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172092">
        <w:rPr>
          <w:rFonts w:eastAsia="Times New Roman" w:cstheme="minorHAnsi"/>
          <w:b/>
          <w:sz w:val="28"/>
          <w:szCs w:val="28"/>
        </w:rPr>
        <w:t xml:space="preserve">Kontrolní závěr z kontrolní akce </w:t>
      </w:r>
    </w:p>
    <w:p w:rsidR="008A0276" w:rsidRPr="00172092" w:rsidRDefault="008A0276" w:rsidP="00906C14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:rsidR="008A0276" w:rsidRPr="00172092" w:rsidRDefault="006B1BAF" w:rsidP="00906C1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172092">
        <w:rPr>
          <w:rFonts w:eastAsia="Times New Roman" w:cstheme="minorHAnsi"/>
          <w:b/>
          <w:sz w:val="28"/>
          <w:szCs w:val="28"/>
        </w:rPr>
        <w:t>14/12</w:t>
      </w:r>
    </w:p>
    <w:p w:rsidR="008A0276" w:rsidRPr="00172092" w:rsidRDefault="008A0276" w:rsidP="00906C14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:rsidR="003F5A76" w:rsidRPr="00183FDF" w:rsidRDefault="00C22368" w:rsidP="00183FDF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183FDF">
        <w:rPr>
          <w:rFonts w:ascii="Calibri" w:hAnsi="Calibri" w:cs="Calibri"/>
          <w:b/>
          <w:sz w:val="28"/>
          <w:szCs w:val="28"/>
        </w:rPr>
        <w:t>Hospodaření s majetkem a peněžními prostředky státu při realizaci projektů v oblasti informačních a komunikačních technologií v kapitole</w:t>
      </w:r>
      <w:r w:rsidR="00183FDF">
        <w:rPr>
          <w:rFonts w:ascii="Calibri" w:hAnsi="Calibri" w:cs="Calibri"/>
          <w:b/>
          <w:sz w:val="28"/>
          <w:szCs w:val="28"/>
        </w:rPr>
        <w:t xml:space="preserve"> </w:t>
      </w:r>
      <w:r w:rsidR="00183FDF">
        <w:rPr>
          <w:rFonts w:ascii="Calibri" w:hAnsi="Calibri" w:cs="Calibri"/>
          <w:b/>
          <w:sz w:val="28"/>
          <w:szCs w:val="28"/>
        </w:rPr>
        <w:br/>
      </w:r>
      <w:r w:rsidRPr="00702F91">
        <w:rPr>
          <w:rFonts w:ascii="Calibri" w:hAnsi="Calibri" w:cs="Calibri"/>
          <w:b/>
          <w:i/>
          <w:sz w:val="28"/>
          <w:szCs w:val="28"/>
        </w:rPr>
        <w:t>Ministerstvo životního prostředí</w:t>
      </w:r>
    </w:p>
    <w:p w:rsidR="00C22368" w:rsidRPr="00EE19DD" w:rsidRDefault="00C22368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BE698C" w:rsidRPr="00EE19DD" w:rsidRDefault="00BE698C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3F5A76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E19DD">
        <w:rPr>
          <w:rFonts w:ascii="Calibri" w:eastAsia="Times New Roman" w:hAnsi="Calibri" w:cs="Calibri"/>
          <w:sz w:val="24"/>
          <w:szCs w:val="24"/>
        </w:rPr>
        <w:t xml:space="preserve">Kontrolní akce byla zařazena do plánu kontrolní činnosti Nejvyššího kontrolního úřadu (dále jen „NKÚ“) na rok 2014 pod číslem </w:t>
      </w:r>
      <w:r w:rsidR="00091976" w:rsidRPr="00EE19DD">
        <w:rPr>
          <w:rFonts w:ascii="Calibri" w:eastAsia="Times New Roman" w:hAnsi="Calibri" w:cs="Calibri"/>
          <w:sz w:val="24"/>
          <w:szCs w:val="24"/>
        </w:rPr>
        <w:t>14/12</w:t>
      </w:r>
      <w:r w:rsidRPr="00EE19DD">
        <w:rPr>
          <w:rFonts w:ascii="Calibri" w:eastAsia="Times New Roman" w:hAnsi="Calibri" w:cs="Calibri"/>
          <w:sz w:val="24"/>
          <w:szCs w:val="24"/>
        </w:rPr>
        <w:t xml:space="preserve">. Kontrolní akci řídil a kontrolní závěr vypracoval člen NKÚ </w:t>
      </w:r>
      <w:r w:rsidR="00091976" w:rsidRPr="00EE19DD">
        <w:rPr>
          <w:rFonts w:ascii="Calibri" w:eastAsia="Times New Roman" w:hAnsi="Calibri" w:cs="Calibri"/>
          <w:sz w:val="24"/>
          <w:szCs w:val="24"/>
        </w:rPr>
        <w:t>Ing. Jan Vedral</w:t>
      </w:r>
      <w:r w:rsidRPr="00EE19DD">
        <w:rPr>
          <w:rFonts w:ascii="Calibri" w:eastAsia="Times New Roman" w:hAnsi="Calibri" w:cs="Calibri"/>
          <w:sz w:val="24"/>
          <w:szCs w:val="24"/>
        </w:rPr>
        <w:t>.</w:t>
      </w:r>
    </w:p>
    <w:p w:rsidR="003F5A76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3F5A76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E19DD">
        <w:rPr>
          <w:rFonts w:ascii="Calibri" w:eastAsia="Times New Roman" w:hAnsi="Calibri" w:cs="Calibri"/>
          <w:sz w:val="24"/>
          <w:szCs w:val="24"/>
        </w:rPr>
        <w:t xml:space="preserve">Cílem kontroly bylo prověřit </w:t>
      </w:r>
      <w:r w:rsidR="001F2E7F" w:rsidRPr="00EE19DD">
        <w:rPr>
          <w:rFonts w:ascii="Calibri" w:eastAsia="Times New Roman" w:hAnsi="Calibri" w:cs="Calibri"/>
          <w:sz w:val="24"/>
          <w:szCs w:val="24"/>
        </w:rPr>
        <w:t>hospodaření s majetkem a peněžními prostředky státu při realizaci projektů v oblasti informačních a komunikačních technologií</w:t>
      </w:r>
      <w:r w:rsidR="007F2405" w:rsidRPr="00EE19DD">
        <w:rPr>
          <w:rFonts w:ascii="Calibri" w:eastAsia="Times New Roman" w:hAnsi="Calibri" w:cs="Calibri"/>
          <w:sz w:val="24"/>
          <w:szCs w:val="24"/>
        </w:rPr>
        <w:t xml:space="preserve"> (dále také „ICT“) v </w:t>
      </w:r>
      <w:r w:rsidR="001F2E7F" w:rsidRPr="00EE19DD">
        <w:rPr>
          <w:rFonts w:ascii="Calibri" w:eastAsia="Times New Roman" w:hAnsi="Calibri" w:cs="Calibri"/>
          <w:sz w:val="24"/>
          <w:szCs w:val="24"/>
        </w:rPr>
        <w:t xml:space="preserve">kapitole </w:t>
      </w:r>
      <w:r w:rsidR="001F2E7F" w:rsidRPr="00702F91">
        <w:rPr>
          <w:rFonts w:ascii="Calibri" w:eastAsia="Times New Roman" w:hAnsi="Calibri" w:cs="Calibri"/>
          <w:i/>
          <w:sz w:val="24"/>
          <w:szCs w:val="24"/>
        </w:rPr>
        <w:t>Ministerstvo životního prostředí</w:t>
      </w:r>
      <w:r w:rsidR="001F2E7F" w:rsidRPr="00EE19DD">
        <w:rPr>
          <w:rFonts w:ascii="Calibri" w:eastAsia="Times New Roman" w:hAnsi="Calibri" w:cs="Calibri"/>
          <w:sz w:val="24"/>
          <w:szCs w:val="24"/>
        </w:rPr>
        <w:t>.</w:t>
      </w:r>
    </w:p>
    <w:p w:rsidR="003F5A76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3F5A76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E19DD">
        <w:rPr>
          <w:rFonts w:ascii="Calibri" w:eastAsia="Times New Roman" w:hAnsi="Calibri" w:cs="Calibri"/>
          <w:sz w:val="24"/>
          <w:szCs w:val="24"/>
        </w:rPr>
        <w:t xml:space="preserve">Kontrola byla prováděna od </w:t>
      </w:r>
      <w:r w:rsidR="007C693F" w:rsidRPr="00EE19DD">
        <w:rPr>
          <w:rFonts w:ascii="Calibri" w:eastAsia="Times New Roman" w:hAnsi="Calibri" w:cs="Calibri"/>
          <w:sz w:val="24"/>
          <w:szCs w:val="24"/>
        </w:rPr>
        <w:t>dubna</w:t>
      </w:r>
      <w:r w:rsidRPr="00EE19DD">
        <w:rPr>
          <w:rFonts w:ascii="Calibri" w:eastAsia="Times New Roman" w:hAnsi="Calibri" w:cs="Calibri"/>
          <w:sz w:val="24"/>
          <w:szCs w:val="24"/>
        </w:rPr>
        <w:t xml:space="preserve"> do </w:t>
      </w:r>
      <w:r w:rsidR="007C693F" w:rsidRPr="00EE19DD">
        <w:rPr>
          <w:rFonts w:ascii="Calibri" w:eastAsia="Times New Roman" w:hAnsi="Calibri" w:cs="Calibri"/>
          <w:sz w:val="24"/>
          <w:szCs w:val="24"/>
        </w:rPr>
        <w:t>října</w:t>
      </w:r>
      <w:r w:rsidR="009E4B85" w:rsidRPr="00EE19DD">
        <w:rPr>
          <w:rFonts w:ascii="Calibri" w:eastAsia="Times New Roman" w:hAnsi="Calibri" w:cs="Calibri"/>
          <w:sz w:val="24"/>
          <w:szCs w:val="24"/>
        </w:rPr>
        <w:t xml:space="preserve"> 2014</w:t>
      </w:r>
      <w:r w:rsidRPr="00EE19DD">
        <w:rPr>
          <w:rFonts w:ascii="Calibri" w:eastAsia="Times New Roman" w:hAnsi="Calibri" w:cs="Calibri"/>
          <w:sz w:val="24"/>
          <w:szCs w:val="24"/>
        </w:rPr>
        <w:t>.</w:t>
      </w:r>
    </w:p>
    <w:p w:rsidR="003F5A76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3F5A76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E19DD">
        <w:rPr>
          <w:rFonts w:ascii="Calibri" w:eastAsia="Times New Roman" w:hAnsi="Calibri" w:cs="Calibri"/>
          <w:sz w:val="24"/>
          <w:szCs w:val="24"/>
        </w:rPr>
        <w:t xml:space="preserve">Kontrolováno bylo období let </w:t>
      </w:r>
      <w:r w:rsidR="007C693F" w:rsidRPr="00EE19DD">
        <w:rPr>
          <w:rFonts w:ascii="Calibri" w:eastAsia="Times New Roman" w:hAnsi="Calibri" w:cs="Calibri"/>
          <w:sz w:val="24"/>
          <w:szCs w:val="24"/>
        </w:rPr>
        <w:t>2010</w:t>
      </w:r>
      <w:r w:rsidRPr="00EE19DD">
        <w:rPr>
          <w:rFonts w:ascii="Calibri" w:eastAsia="Times New Roman" w:hAnsi="Calibri" w:cs="Calibri"/>
          <w:sz w:val="24"/>
          <w:szCs w:val="24"/>
        </w:rPr>
        <w:t xml:space="preserve"> až </w:t>
      </w:r>
      <w:r w:rsidR="00E26121" w:rsidRPr="00EE19DD">
        <w:rPr>
          <w:rFonts w:ascii="Calibri" w:eastAsia="Times New Roman" w:hAnsi="Calibri" w:cs="Calibri"/>
          <w:sz w:val="24"/>
          <w:szCs w:val="24"/>
        </w:rPr>
        <w:t>2013</w:t>
      </w:r>
      <w:r w:rsidRPr="00EE19DD">
        <w:rPr>
          <w:rFonts w:ascii="Calibri" w:eastAsia="Times New Roman" w:hAnsi="Calibri" w:cs="Calibri"/>
          <w:sz w:val="24"/>
          <w:szCs w:val="24"/>
        </w:rPr>
        <w:t>, v případě věcných souvislostí i období předcházející a následující.</w:t>
      </w:r>
    </w:p>
    <w:p w:rsidR="003F5A76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7C693F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E19DD">
        <w:rPr>
          <w:rFonts w:ascii="Calibri" w:eastAsia="Times New Roman" w:hAnsi="Calibri" w:cs="Calibri"/>
          <w:b/>
          <w:sz w:val="24"/>
          <w:szCs w:val="24"/>
        </w:rPr>
        <w:t>Kontrolované osoby:</w:t>
      </w:r>
      <w:r w:rsidRPr="00EE19DD">
        <w:rPr>
          <w:rFonts w:ascii="Calibri" w:eastAsia="Times New Roman" w:hAnsi="Calibri" w:cs="Calibri"/>
          <w:b/>
          <w:sz w:val="24"/>
          <w:szCs w:val="24"/>
        </w:rPr>
        <w:cr/>
      </w:r>
      <w:r w:rsidR="00323D0F" w:rsidRPr="00EE19DD">
        <w:rPr>
          <w:rFonts w:ascii="Calibri" w:eastAsia="Times New Roman" w:hAnsi="Calibri" w:cs="Calibri"/>
          <w:sz w:val="24"/>
          <w:szCs w:val="24"/>
        </w:rPr>
        <w:t xml:space="preserve">Ministerstvo </w:t>
      </w:r>
      <w:r w:rsidR="007C693F" w:rsidRPr="00EE19DD">
        <w:rPr>
          <w:rFonts w:ascii="Calibri" w:eastAsia="Times New Roman" w:hAnsi="Calibri" w:cs="Calibri"/>
          <w:sz w:val="24"/>
          <w:szCs w:val="24"/>
        </w:rPr>
        <w:t>životního prostředí;</w:t>
      </w:r>
    </w:p>
    <w:p w:rsidR="007C693F" w:rsidRPr="00EE19DD" w:rsidRDefault="007C693F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E19DD">
        <w:rPr>
          <w:rFonts w:ascii="Calibri" w:eastAsia="Times New Roman" w:hAnsi="Calibri" w:cs="Calibri"/>
          <w:sz w:val="24"/>
          <w:szCs w:val="24"/>
        </w:rPr>
        <w:t>CENIA, česká informační agentura životního prostředí;</w:t>
      </w:r>
    </w:p>
    <w:p w:rsidR="007C693F" w:rsidRPr="00EE19DD" w:rsidRDefault="007C693F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E19DD">
        <w:rPr>
          <w:rFonts w:ascii="Calibri" w:eastAsia="Times New Roman" w:hAnsi="Calibri" w:cs="Calibri"/>
          <w:sz w:val="24"/>
          <w:szCs w:val="24"/>
        </w:rPr>
        <w:t>Český hydrometeorologický ústav.</w:t>
      </w:r>
    </w:p>
    <w:p w:rsidR="00655423" w:rsidRPr="00EE19DD" w:rsidRDefault="00655423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3F5A76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E19DD">
        <w:rPr>
          <w:rFonts w:ascii="Calibri" w:eastAsia="Times New Roman" w:hAnsi="Calibri" w:cs="Calibri"/>
          <w:sz w:val="24"/>
          <w:szCs w:val="24"/>
        </w:rPr>
        <w:t xml:space="preserve">Námitky, které proti kontrolním protokolům podaly Ministerstvo </w:t>
      </w:r>
      <w:r w:rsidR="00702CC0" w:rsidRPr="00EE19DD">
        <w:rPr>
          <w:rFonts w:ascii="Calibri" w:eastAsia="Times New Roman" w:hAnsi="Calibri" w:cs="Calibri"/>
          <w:sz w:val="24"/>
          <w:szCs w:val="24"/>
        </w:rPr>
        <w:t>životního prostředí a </w:t>
      </w:r>
      <w:r w:rsidR="00BF5018" w:rsidRPr="00EE19DD">
        <w:rPr>
          <w:rFonts w:ascii="Calibri" w:eastAsia="Times New Roman" w:hAnsi="Calibri" w:cs="Calibri"/>
          <w:sz w:val="24"/>
          <w:szCs w:val="24"/>
        </w:rPr>
        <w:t>CENIA, česká informační agentura životního prostředí</w:t>
      </w:r>
      <w:r w:rsidR="00172092" w:rsidRPr="00EE19DD">
        <w:rPr>
          <w:rFonts w:ascii="Calibri" w:eastAsia="Times New Roman" w:hAnsi="Calibri" w:cs="Calibri"/>
          <w:sz w:val="24"/>
          <w:szCs w:val="24"/>
        </w:rPr>
        <w:t>,</w:t>
      </w:r>
      <w:r w:rsidR="00BF5018" w:rsidRPr="00EE19DD">
        <w:rPr>
          <w:rFonts w:ascii="Calibri" w:eastAsia="Times New Roman" w:hAnsi="Calibri" w:cs="Calibri"/>
          <w:sz w:val="24"/>
          <w:szCs w:val="24"/>
        </w:rPr>
        <w:t xml:space="preserve"> </w:t>
      </w:r>
      <w:r w:rsidR="00996976" w:rsidRPr="00EE19DD">
        <w:rPr>
          <w:rFonts w:ascii="Calibri" w:eastAsia="Times New Roman" w:hAnsi="Calibri" w:cs="Calibri"/>
          <w:sz w:val="24"/>
          <w:szCs w:val="24"/>
        </w:rPr>
        <w:t>byly vypořádány vedoucím</w:t>
      </w:r>
      <w:r w:rsidRPr="00EE19DD">
        <w:rPr>
          <w:rFonts w:ascii="Calibri" w:eastAsia="Times New Roman" w:hAnsi="Calibri" w:cs="Calibri"/>
          <w:sz w:val="24"/>
          <w:szCs w:val="24"/>
        </w:rPr>
        <w:t xml:space="preserve"> skupin</w:t>
      </w:r>
      <w:r w:rsidR="00996976" w:rsidRPr="00EE19DD">
        <w:rPr>
          <w:rFonts w:ascii="Calibri" w:eastAsia="Times New Roman" w:hAnsi="Calibri" w:cs="Calibri"/>
          <w:sz w:val="24"/>
          <w:szCs w:val="24"/>
        </w:rPr>
        <w:t>y</w:t>
      </w:r>
      <w:r w:rsidRPr="00EE19DD">
        <w:rPr>
          <w:rFonts w:ascii="Calibri" w:eastAsia="Times New Roman" w:hAnsi="Calibri" w:cs="Calibri"/>
          <w:sz w:val="24"/>
          <w:szCs w:val="24"/>
        </w:rPr>
        <w:t xml:space="preserve"> kontroluj</w:t>
      </w:r>
      <w:r w:rsidR="0090724F" w:rsidRPr="00EE19DD">
        <w:rPr>
          <w:rFonts w:ascii="Calibri" w:eastAsia="Times New Roman" w:hAnsi="Calibri" w:cs="Calibri"/>
          <w:sz w:val="24"/>
          <w:szCs w:val="24"/>
        </w:rPr>
        <w:t>ících rozhodnutími o námitkách.</w:t>
      </w:r>
      <w:r w:rsidR="00172092" w:rsidRPr="00EE19DD">
        <w:rPr>
          <w:rFonts w:ascii="Calibri" w:eastAsia="Times New Roman" w:hAnsi="Calibri" w:cs="Calibri"/>
          <w:sz w:val="24"/>
          <w:szCs w:val="24"/>
        </w:rPr>
        <w:t xml:space="preserve"> Odvolání podáno nebylo.</w:t>
      </w:r>
    </w:p>
    <w:p w:rsidR="003F5A76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3F5A76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3F5A76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1E731E">
        <w:rPr>
          <w:rFonts w:ascii="Calibri" w:eastAsia="Times New Roman" w:hAnsi="Calibri" w:cs="Calibri"/>
          <w:b/>
          <w:i/>
          <w:sz w:val="24"/>
          <w:szCs w:val="24"/>
        </w:rPr>
        <w:t>Kolegium   NKÚ</w:t>
      </w:r>
      <w:proofErr w:type="gramEnd"/>
      <w:r w:rsidRPr="00EE19DD">
        <w:rPr>
          <w:rFonts w:ascii="Calibri" w:eastAsia="Times New Roman" w:hAnsi="Calibri" w:cs="Calibri"/>
          <w:sz w:val="24"/>
          <w:szCs w:val="24"/>
        </w:rPr>
        <w:t xml:space="preserve">   </w:t>
      </w:r>
      <w:r w:rsidR="00996976" w:rsidRPr="00EE19DD">
        <w:rPr>
          <w:rFonts w:ascii="Calibri" w:eastAsia="Times New Roman" w:hAnsi="Calibri" w:cs="Calibri"/>
          <w:sz w:val="24"/>
          <w:szCs w:val="24"/>
        </w:rPr>
        <w:t xml:space="preserve">na svém </w:t>
      </w:r>
      <w:r w:rsidR="0011125A" w:rsidRPr="00EE19DD">
        <w:rPr>
          <w:rFonts w:ascii="Calibri" w:eastAsia="Times New Roman" w:hAnsi="Calibri" w:cs="Calibri"/>
          <w:sz w:val="24"/>
          <w:szCs w:val="24"/>
        </w:rPr>
        <w:t>I. jednání</w:t>
      </w:r>
      <w:r w:rsidRPr="00EE19DD">
        <w:rPr>
          <w:rFonts w:ascii="Calibri" w:eastAsia="Times New Roman" w:hAnsi="Calibri" w:cs="Calibri"/>
          <w:sz w:val="24"/>
          <w:szCs w:val="24"/>
        </w:rPr>
        <w:t xml:space="preserve">, </w:t>
      </w:r>
      <w:r w:rsidR="00BF281F">
        <w:rPr>
          <w:rFonts w:ascii="Calibri" w:eastAsia="Times New Roman" w:hAnsi="Calibri" w:cs="Calibri"/>
          <w:sz w:val="24"/>
          <w:szCs w:val="24"/>
        </w:rPr>
        <w:t>které se konalo</w:t>
      </w:r>
      <w:r w:rsidRPr="00EE19DD">
        <w:rPr>
          <w:rFonts w:ascii="Calibri" w:eastAsia="Times New Roman" w:hAnsi="Calibri" w:cs="Calibri"/>
          <w:sz w:val="24"/>
          <w:szCs w:val="24"/>
        </w:rPr>
        <w:t xml:space="preserve"> dne</w:t>
      </w:r>
      <w:r w:rsidR="00172092" w:rsidRPr="00EE19DD">
        <w:rPr>
          <w:rFonts w:ascii="Calibri" w:eastAsia="Times New Roman" w:hAnsi="Calibri" w:cs="Calibri"/>
          <w:sz w:val="24"/>
          <w:szCs w:val="24"/>
        </w:rPr>
        <w:t xml:space="preserve"> </w:t>
      </w:r>
      <w:r w:rsidR="00BF281F">
        <w:rPr>
          <w:rFonts w:ascii="Calibri" w:eastAsia="Times New Roman" w:hAnsi="Calibri" w:cs="Calibri"/>
          <w:sz w:val="24"/>
          <w:szCs w:val="24"/>
        </w:rPr>
        <w:t>19. ledna 2015,</w:t>
      </w:r>
    </w:p>
    <w:p w:rsidR="003F5A76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1E731E">
        <w:rPr>
          <w:rFonts w:ascii="Calibri" w:eastAsia="Times New Roman" w:hAnsi="Calibri" w:cs="Calibri"/>
          <w:b/>
          <w:i/>
          <w:sz w:val="24"/>
          <w:szCs w:val="24"/>
        </w:rPr>
        <w:t>schválilo</w:t>
      </w:r>
      <w:r w:rsidRPr="00EE19D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E19DD">
        <w:rPr>
          <w:rFonts w:ascii="Calibri" w:eastAsia="Times New Roman" w:hAnsi="Calibri" w:cs="Calibri"/>
          <w:sz w:val="24"/>
          <w:szCs w:val="24"/>
        </w:rPr>
        <w:t xml:space="preserve">  </w:t>
      </w:r>
      <w:r w:rsidR="00996976" w:rsidRPr="00EE19DD">
        <w:rPr>
          <w:rFonts w:ascii="Calibri" w:eastAsia="Times New Roman" w:hAnsi="Calibri" w:cs="Calibri"/>
          <w:sz w:val="24"/>
          <w:szCs w:val="24"/>
        </w:rPr>
        <w:t>usnesením</w:t>
      </w:r>
      <w:proofErr w:type="gramEnd"/>
      <w:r w:rsidR="00996976" w:rsidRPr="00EE19DD">
        <w:rPr>
          <w:rFonts w:ascii="Calibri" w:eastAsia="Times New Roman" w:hAnsi="Calibri" w:cs="Calibri"/>
          <w:sz w:val="24"/>
          <w:szCs w:val="24"/>
        </w:rPr>
        <w:t xml:space="preserve"> č. </w:t>
      </w:r>
      <w:r w:rsidR="0056138C" w:rsidRPr="00EE19DD">
        <w:rPr>
          <w:rFonts w:ascii="Calibri" w:eastAsia="Times New Roman" w:hAnsi="Calibri" w:cs="Calibri"/>
          <w:sz w:val="24"/>
          <w:szCs w:val="24"/>
        </w:rPr>
        <w:t>11</w:t>
      </w:r>
      <w:r w:rsidR="0011125A" w:rsidRPr="00EE19DD">
        <w:rPr>
          <w:rFonts w:ascii="Calibri" w:eastAsia="Times New Roman" w:hAnsi="Calibri" w:cs="Calibri"/>
          <w:sz w:val="24"/>
          <w:szCs w:val="24"/>
        </w:rPr>
        <w:t>/I/2015</w:t>
      </w:r>
    </w:p>
    <w:p w:rsidR="003F5A76" w:rsidRPr="00EE19DD" w:rsidRDefault="003F5A76" w:rsidP="00EE19D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1E731E">
        <w:rPr>
          <w:rFonts w:ascii="Calibri" w:eastAsia="Times New Roman" w:hAnsi="Calibri" w:cs="Calibri"/>
          <w:b/>
          <w:i/>
          <w:sz w:val="24"/>
          <w:szCs w:val="24"/>
        </w:rPr>
        <w:t>kontrolní   závěr</w:t>
      </w:r>
      <w:proofErr w:type="gramEnd"/>
      <w:r w:rsidRPr="00EE19DD">
        <w:rPr>
          <w:rFonts w:ascii="Calibri" w:eastAsia="Times New Roman" w:hAnsi="Calibri" w:cs="Calibri"/>
          <w:sz w:val="24"/>
          <w:szCs w:val="24"/>
        </w:rPr>
        <w:t xml:space="preserve">   v tomto znění:</w:t>
      </w:r>
    </w:p>
    <w:p w:rsidR="00D146B3" w:rsidRPr="00EE19DD" w:rsidRDefault="00D146B3" w:rsidP="00EE19DD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EE19DD">
        <w:rPr>
          <w:rFonts w:ascii="Calibri" w:eastAsia="Times New Roman" w:hAnsi="Calibri" w:cs="Calibri"/>
          <w:i/>
          <w:sz w:val="24"/>
          <w:szCs w:val="24"/>
        </w:rPr>
        <w:br w:type="page"/>
      </w:r>
    </w:p>
    <w:p w:rsidR="00F77893" w:rsidRPr="001E731E" w:rsidRDefault="001E731E" w:rsidP="001E731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1E731E">
        <w:rPr>
          <w:rFonts w:ascii="Calibri" w:hAnsi="Calibri" w:cs="Calibri"/>
          <w:b/>
          <w:sz w:val="28"/>
          <w:szCs w:val="28"/>
        </w:rPr>
        <w:lastRenderedPageBreak/>
        <w:t xml:space="preserve">I. </w:t>
      </w:r>
      <w:r w:rsidR="00F77893" w:rsidRPr="001E731E">
        <w:rPr>
          <w:rFonts w:ascii="Calibri" w:hAnsi="Calibri" w:cs="Calibri"/>
          <w:b/>
          <w:sz w:val="28"/>
          <w:szCs w:val="28"/>
        </w:rPr>
        <w:t>Úvod</w:t>
      </w:r>
    </w:p>
    <w:p w:rsidR="002D73D6" w:rsidRPr="001E731E" w:rsidRDefault="002D73D6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D05FF" w:rsidRPr="001E731E" w:rsidRDefault="001D05FF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b/>
          <w:sz w:val="24"/>
          <w:szCs w:val="24"/>
        </w:rPr>
        <w:t>Ministerstvo životního prostředí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(dále také „MŽP“) podle zákona č. 2/1969 Sb.</w:t>
      </w:r>
      <w:r w:rsidR="00144F85">
        <w:rPr>
          <w:rStyle w:val="Znakapoznpodarou"/>
          <w:rFonts w:ascii="Calibri" w:eastAsia="Times New Roman" w:hAnsi="Calibri" w:cs="Calibri"/>
          <w:sz w:val="24"/>
          <w:szCs w:val="24"/>
        </w:rPr>
        <w:footnoteReference w:id="1"/>
      </w:r>
      <w:r w:rsidRPr="001E731E">
        <w:rPr>
          <w:rFonts w:ascii="Calibri" w:eastAsia="Times New Roman" w:hAnsi="Calibri" w:cs="Calibri"/>
          <w:sz w:val="24"/>
          <w:szCs w:val="24"/>
        </w:rPr>
        <w:t xml:space="preserve"> zabezpečuje a řídí </w:t>
      </w:r>
      <w:r w:rsidR="00114BC5">
        <w:rPr>
          <w:rFonts w:ascii="Calibri" w:eastAsia="Times New Roman" w:hAnsi="Calibri" w:cs="Calibri"/>
          <w:sz w:val="24"/>
          <w:szCs w:val="24"/>
        </w:rPr>
        <w:t>j</w:t>
      </w:r>
      <w:r w:rsidRPr="001E731E">
        <w:rPr>
          <w:rFonts w:ascii="Calibri" w:eastAsia="Times New Roman" w:hAnsi="Calibri" w:cs="Calibri"/>
          <w:sz w:val="24"/>
          <w:szCs w:val="24"/>
        </w:rPr>
        <w:t>ednotný informační systém o životním prostředí</w:t>
      </w:r>
      <w:r w:rsidR="00114BC5">
        <w:rPr>
          <w:rFonts w:ascii="Calibri" w:eastAsia="Times New Roman" w:hAnsi="Calibri" w:cs="Calibri"/>
          <w:sz w:val="24"/>
          <w:szCs w:val="24"/>
        </w:rPr>
        <w:t xml:space="preserve"> </w:t>
      </w:r>
      <w:r w:rsidR="00114BC5" w:rsidRPr="001E731E">
        <w:rPr>
          <w:rFonts w:ascii="Calibri" w:eastAsia="Times New Roman" w:hAnsi="Calibri" w:cs="Calibri"/>
          <w:sz w:val="24"/>
          <w:szCs w:val="24"/>
        </w:rPr>
        <w:t>(dále také „JISŽP“)</w:t>
      </w:r>
      <w:r w:rsidR="00E5712B" w:rsidRPr="001E731E">
        <w:rPr>
          <w:rFonts w:ascii="Calibri" w:eastAsia="Times New Roman" w:hAnsi="Calibri" w:cs="Calibri"/>
          <w:sz w:val="24"/>
          <w:szCs w:val="24"/>
        </w:rPr>
        <w:t>, včetně plošného monitoringu na celém území České republiky, a to i v návaznosti na mezinárodní dohody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. MŽP </w:t>
      </w:r>
      <w:r w:rsidR="00553828" w:rsidRPr="001E731E">
        <w:rPr>
          <w:rFonts w:ascii="Calibri" w:eastAsia="Times New Roman" w:hAnsi="Calibri" w:cs="Calibri"/>
          <w:sz w:val="24"/>
          <w:szCs w:val="24"/>
        </w:rPr>
        <w:t>dohodou o 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delegování </w:t>
      </w:r>
      <w:r w:rsidR="00BF281F" w:rsidRPr="001E731E">
        <w:rPr>
          <w:rFonts w:ascii="Calibri" w:eastAsia="Times New Roman" w:hAnsi="Calibri" w:cs="Calibri"/>
          <w:sz w:val="24"/>
          <w:szCs w:val="24"/>
        </w:rPr>
        <w:t xml:space="preserve">převedlo </w:t>
      </w:r>
      <w:r w:rsidRPr="001E731E">
        <w:rPr>
          <w:rFonts w:ascii="Calibri" w:eastAsia="Times New Roman" w:hAnsi="Calibri" w:cs="Calibri"/>
          <w:sz w:val="24"/>
          <w:szCs w:val="24"/>
        </w:rPr>
        <w:t>od roku 2010 vybrané činnosti a kompetence MŽP v souvislosti s JISŽP na CENIA</w:t>
      </w:r>
      <w:r w:rsidR="005F0E92" w:rsidRPr="001E731E">
        <w:rPr>
          <w:rFonts w:ascii="Calibri" w:eastAsia="Times New Roman" w:hAnsi="Calibri" w:cs="Calibri"/>
          <w:sz w:val="24"/>
          <w:szCs w:val="24"/>
        </w:rPr>
        <w:t>, česk</w:t>
      </w:r>
      <w:r w:rsidR="00F81863" w:rsidRPr="001E731E">
        <w:rPr>
          <w:rFonts w:ascii="Calibri" w:eastAsia="Times New Roman" w:hAnsi="Calibri" w:cs="Calibri"/>
          <w:sz w:val="24"/>
          <w:szCs w:val="24"/>
        </w:rPr>
        <w:t>ou informační agenturu</w:t>
      </w:r>
      <w:r w:rsidR="005F0E92" w:rsidRPr="001E731E">
        <w:rPr>
          <w:rFonts w:ascii="Calibri" w:eastAsia="Times New Roman" w:hAnsi="Calibri" w:cs="Calibri"/>
          <w:sz w:val="24"/>
          <w:szCs w:val="24"/>
        </w:rPr>
        <w:t xml:space="preserve"> životního prostředí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B4077" w:rsidRPr="001E731E" w:rsidRDefault="004B4077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D05FF" w:rsidRPr="001E731E" w:rsidRDefault="001D05FF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b/>
          <w:sz w:val="24"/>
          <w:szCs w:val="24"/>
        </w:rPr>
        <w:t>CENIA,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Pr="001E731E">
        <w:rPr>
          <w:rFonts w:ascii="Calibri" w:eastAsia="Times New Roman" w:hAnsi="Calibri" w:cs="Calibri"/>
          <w:b/>
          <w:sz w:val="24"/>
          <w:szCs w:val="24"/>
        </w:rPr>
        <w:t>česká informační agentura životního prostředí</w:t>
      </w:r>
      <w:r w:rsidR="00640A7B">
        <w:rPr>
          <w:rFonts w:ascii="Calibri" w:eastAsia="Times New Roman" w:hAnsi="Calibri" w:cs="Calibri"/>
          <w:b/>
          <w:sz w:val="24"/>
          <w:szCs w:val="24"/>
        </w:rPr>
        <w:t>,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(dále </w:t>
      </w:r>
      <w:r w:rsidR="007C17AB">
        <w:rPr>
          <w:rFonts w:ascii="Calibri" w:eastAsia="Times New Roman" w:hAnsi="Calibri" w:cs="Calibri"/>
          <w:sz w:val="24"/>
          <w:szCs w:val="24"/>
        </w:rPr>
        <w:t>jen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„CENIA“) je příspěvkovou organizací MŽP. Podle zřizovací listiny je CENIA mimo jiné pověřena provozováním a</w:t>
      </w:r>
      <w:r w:rsidR="00172092" w:rsidRPr="001E731E">
        <w:rPr>
          <w:rFonts w:ascii="Calibri" w:eastAsia="Times New Roman" w:hAnsi="Calibri" w:cs="Calibri"/>
          <w:sz w:val="24"/>
          <w:szCs w:val="24"/>
        </w:rPr>
        <w:t> 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dotvářením </w:t>
      </w:r>
      <w:r w:rsidR="00640A7B">
        <w:rPr>
          <w:rFonts w:ascii="Calibri" w:eastAsia="Times New Roman" w:hAnsi="Calibri" w:cs="Calibri"/>
          <w:sz w:val="24"/>
          <w:szCs w:val="24"/>
        </w:rPr>
        <w:t>j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ednotného informačního systému o životním prostředí včetně validování primárních dat a sestavování informačních syntéz. </w:t>
      </w:r>
    </w:p>
    <w:p w:rsidR="004B4077" w:rsidRPr="001E731E" w:rsidRDefault="004B4077" w:rsidP="001E731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1D05FF" w:rsidRPr="001E731E" w:rsidRDefault="001D05FF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b/>
          <w:sz w:val="24"/>
          <w:szCs w:val="24"/>
        </w:rPr>
        <w:t>Český hydrometeorologický ústav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(dále také „ČHMÚ“) je příspěvkovou organizací MŽP, jejímž základním účelem je vykonávat funkci ústředního státního ústavu České republiky pro obory čistota ovzduší, hydrolog</w:t>
      </w:r>
      <w:r w:rsidR="00CA7D77" w:rsidRPr="001E731E">
        <w:rPr>
          <w:rFonts w:ascii="Calibri" w:eastAsia="Times New Roman" w:hAnsi="Calibri" w:cs="Calibri"/>
          <w:sz w:val="24"/>
          <w:szCs w:val="24"/>
        </w:rPr>
        <w:t>ie, jakost vody, klimatologie a</w:t>
      </w:r>
      <w:r w:rsidR="00266A98" w:rsidRPr="001E731E">
        <w:rPr>
          <w:rFonts w:ascii="Calibri" w:eastAsia="Times New Roman" w:hAnsi="Calibri" w:cs="Calibri"/>
          <w:sz w:val="24"/>
          <w:szCs w:val="24"/>
        </w:rPr>
        <w:t> </w:t>
      </w:r>
      <w:r w:rsidRPr="001E731E">
        <w:rPr>
          <w:rFonts w:ascii="Calibri" w:eastAsia="Times New Roman" w:hAnsi="Calibri" w:cs="Calibri"/>
          <w:sz w:val="24"/>
          <w:szCs w:val="24"/>
        </w:rPr>
        <w:t>meteorologie jako</w:t>
      </w:r>
      <w:r w:rsidR="00114BC5">
        <w:rPr>
          <w:rFonts w:ascii="Calibri" w:eastAsia="Times New Roman" w:hAnsi="Calibri" w:cs="Calibri"/>
          <w:sz w:val="24"/>
          <w:szCs w:val="24"/>
        </w:rPr>
        <w:t>žto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objektivní odborné služby poskytované přednostně pro státní správu. </w:t>
      </w:r>
    </w:p>
    <w:p w:rsidR="000C799E" w:rsidRDefault="000C799E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640A7B" w:rsidRDefault="00F24FF1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>Kontrolované osoby vedly k 31. </w:t>
      </w:r>
      <w:r w:rsidR="000C799E" w:rsidRPr="001E731E">
        <w:rPr>
          <w:rFonts w:ascii="Calibri" w:eastAsia="Times New Roman" w:hAnsi="Calibri" w:cs="Calibri"/>
          <w:sz w:val="24"/>
          <w:szCs w:val="24"/>
        </w:rPr>
        <w:t>12.</w:t>
      </w:r>
      <w:r w:rsidRPr="001E731E">
        <w:rPr>
          <w:rFonts w:ascii="Calibri" w:eastAsia="Times New Roman" w:hAnsi="Calibri" w:cs="Calibri"/>
          <w:sz w:val="24"/>
          <w:szCs w:val="24"/>
        </w:rPr>
        <w:t> </w:t>
      </w:r>
      <w:r w:rsidR="000C799E" w:rsidRPr="001E731E">
        <w:rPr>
          <w:rFonts w:ascii="Calibri" w:eastAsia="Times New Roman" w:hAnsi="Calibri" w:cs="Calibri"/>
          <w:sz w:val="24"/>
          <w:szCs w:val="24"/>
        </w:rPr>
        <w:t>2010 na vybraných syntetických účtech</w:t>
      </w:r>
      <w:r w:rsidR="001E2CD7" w:rsidRPr="001E731E">
        <w:rPr>
          <w:rStyle w:val="Znakapoznpodarou"/>
          <w:rFonts w:ascii="Calibri" w:eastAsia="Times New Roman" w:hAnsi="Calibri" w:cs="Calibri"/>
          <w:sz w:val="24"/>
          <w:szCs w:val="24"/>
        </w:rPr>
        <w:footnoteReference w:id="2"/>
      </w:r>
      <w:r w:rsidR="000C799E" w:rsidRPr="001E731E">
        <w:rPr>
          <w:rFonts w:ascii="Calibri" w:eastAsia="Times New Roman" w:hAnsi="Calibri" w:cs="Calibri"/>
          <w:sz w:val="24"/>
          <w:szCs w:val="24"/>
        </w:rPr>
        <w:t xml:space="preserve"> dlouhodobý nehmotný majetek</w:t>
      </w:r>
      <w:r w:rsidR="004D4775" w:rsidRPr="001E731E">
        <w:rPr>
          <w:rFonts w:ascii="Calibri" w:eastAsia="Times New Roman" w:hAnsi="Calibri" w:cs="Calibri"/>
          <w:sz w:val="24"/>
          <w:szCs w:val="24"/>
        </w:rPr>
        <w:t xml:space="preserve"> (dále také „DNM“)</w:t>
      </w:r>
      <w:r w:rsidR="000C799E" w:rsidRPr="001E731E">
        <w:rPr>
          <w:rFonts w:ascii="Calibri" w:eastAsia="Times New Roman" w:hAnsi="Calibri" w:cs="Calibri"/>
          <w:sz w:val="24"/>
          <w:szCs w:val="24"/>
        </w:rPr>
        <w:t xml:space="preserve"> v celkové výši</w:t>
      </w:r>
      <w:r w:rsidR="001B55BF" w:rsidRPr="001E731E">
        <w:rPr>
          <w:rStyle w:val="Znakapoznpodarou"/>
          <w:rFonts w:ascii="Calibri" w:eastAsia="Times New Roman" w:hAnsi="Calibri" w:cs="Calibri"/>
          <w:sz w:val="24"/>
          <w:szCs w:val="24"/>
        </w:rPr>
        <w:footnoteReference w:id="3"/>
      </w:r>
      <w:r w:rsidR="000C799E"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1B55BF" w:rsidRPr="001E731E">
        <w:rPr>
          <w:rFonts w:ascii="Calibri" w:eastAsia="Times New Roman" w:hAnsi="Calibri" w:cs="Calibri"/>
          <w:sz w:val="24"/>
          <w:szCs w:val="24"/>
        </w:rPr>
        <w:t>570 980</w:t>
      </w:r>
      <w:r w:rsidR="00172092" w:rsidRPr="001E731E">
        <w:rPr>
          <w:rFonts w:ascii="Calibri" w:eastAsia="Times New Roman" w:hAnsi="Calibri" w:cs="Calibri"/>
          <w:sz w:val="24"/>
          <w:szCs w:val="24"/>
        </w:rPr>
        <w:t> </w:t>
      </w:r>
      <w:r w:rsidR="001B55BF" w:rsidRPr="001E731E">
        <w:rPr>
          <w:rFonts w:ascii="Calibri" w:eastAsia="Times New Roman" w:hAnsi="Calibri" w:cs="Calibri"/>
          <w:sz w:val="24"/>
          <w:szCs w:val="24"/>
        </w:rPr>
        <w:t>709</w:t>
      </w:r>
      <w:r w:rsidR="00172092"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5942C7" w:rsidRPr="001E731E">
        <w:rPr>
          <w:rFonts w:ascii="Calibri" w:eastAsia="Times New Roman" w:hAnsi="Calibri" w:cs="Calibri"/>
          <w:sz w:val="24"/>
          <w:szCs w:val="24"/>
        </w:rPr>
        <w:t xml:space="preserve">Kč </w:t>
      </w:r>
      <w:r w:rsidR="000C799E" w:rsidRPr="001E731E">
        <w:rPr>
          <w:rFonts w:ascii="Calibri" w:eastAsia="Times New Roman" w:hAnsi="Calibri" w:cs="Calibri"/>
          <w:sz w:val="24"/>
          <w:szCs w:val="24"/>
        </w:rPr>
        <w:t>a k</w:t>
      </w:r>
      <w:r w:rsidR="00B74F25" w:rsidRPr="001E731E">
        <w:rPr>
          <w:rFonts w:ascii="Calibri" w:eastAsia="Times New Roman" w:hAnsi="Calibri" w:cs="Calibri"/>
          <w:sz w:val="24"/>
          <w:szCs w:val="24"/>
        </w:rPr>
        <w:t> </w:t>
      </w:r>
      <w:r w:rsidR="000C799E" w:rsidRPr="001E731E">
        <w:rPr>
          <w:rFonts w:ascii="Calibri" w:eastAsia="Times New Roman" w:hAnsi="Calibri" w:cs="Calibri"/>
          <w:sz w:val="24"/>
          <w:szCs w:val="24"/>
        </w:rPr>
        <w:t>31</w:t>
      </w:r>
      <w:r w:rsidR="00B74F25" w:rsidRPr="001E731E">
        <w:rPr>
          <w:rFonts w:ascii="Calibri" w:eastAsia="Times New Roman" w:hAnsi="Calibri" w:cs="Calibri"/>
          <w:sz w:val="24"/>
          <w:szCs w:val="24"/>
        </w:rPr>
        <w:t>. </w:t>
      </w:r>
      <w:r w:rsidR="000C799E" w:rsidRPr="001E731E">
        <w:rPr>
          <w:rFonts w:ascii="Calibri" w:eastAsia="Times New Roman" w:hAnsi="Calibri" w:cs="Calibri"/>
          <w:sz w:val="24"/>
          <w:szCs w:val="24"/>
        </w:rPr>
        <w:t>12.</w:t>
      </w:r>
      <w:r w:rsidR="00B74F25" w:rsidRPr="001E731E">
        <w:rPr>
          <w:rFonts w:ascii="Calibri" w:eastAsia="Times New Roman" w:hAnsi="Calibri" w:cs="Calibri"/>
          <w:sz w:val="24"/>
          <w:szCs w:val="24"/>
        </w:rPr>
        <w:t> </w:t>
      </w:r>
      <w:r w:rsidR="000C799E" w:rsidRPr="001E731E">
        <w:rPr>
          <w:rFonts w:ascii="Calibri" w:eastAsia="Times New Roman" w:hAnsi="Calibri" w:cs="Calibri"/>
          <w:sz w:val="24"/>
          <w:szCs w:val="24"/>
        </w:rPr>
        <w:t xml:space="preserve">2013 v celkové výši </w:t>
      </w:r>
      <w:r w:rsidR="001B55BF" w:rsidRPr="001E731E">
        <w:rPr>
          <w:rFonts w:ascii="Calibri" w:eastAsia="Times New Roman" w:hAnsi="Calibri" w:cs="Calibri"/>
          <w:sz w:val="24"/>
          <w:szCs w:val="24"/>
        </w:rPr>
        <w:t xml:space="preserve">733 855 225 </w:t>
      </w:r>
      <w:r w:rsidR="005942C7" w:rsidRPr="001E731E">
        <w:rPr>
          <w:rFonts w:ascii="Calibri" w:eastAsia="Times New Roman" w:hAnsi="Calibri" w:cs="Calibri"/>
          <w:sz w:val="24"/>
          <w:szCs w:val="24"/>
        </w:rPr>
        <w:t>Kč</w:t>
      </w:r>
      <w:r w:rsidR="00640A7B">
        <w:rPr>
          <w:rFonts w:ascii="Calibri" w:eastAsia="Times New Roman" w:hAnsi="Calibri" w:cs="Calibri"/>
          <w:sz w:val="24"/>
          <w:szCs w:val="24"/>
        </w:rPr>
        <w:t xml:space="preserve">. </w:t>
      </w:r>
      <w:r w:rsidR="00A91624" w:rsidRPr="001E731E">
        <w:rPr>
          <w:rFonts w:ascii="Calibri" w:eastAsia="Times New Roman" w:hAnsi="Calibri" w:cs="Calibri"/>
          <w:sz w:val="24"/>
          <w:szCs w:val="24"/>
        </w:rPr>
        <w:t>V příloze č. 1 je u</w:t>
      </w:r>
      <w:r w:rsidR="00A40DD2" w:rsidRPr="001E731E">
        <w:rPr>
          <w:rFonts w:ascii="Calibri" w:eastAsia="Times New Roman" w:hAnsi="Calibri" w:cs="Calibri"/>
          <w:sz w:val="24"/>
          <w:szCs w:val="24"/>
        </w:rPr>
        <w:t xml:space="preserve">veden DNM dle jednotlivých kontrolovaných </w:t>
      </w:r>
      <w:r w:rsidR="008B2E50" w:rsidRPr="001E731E">
        <w:rPr>
          <w:rFonts w:ascii="Calibri" w:eastAsia="Times New Roman" w:hAnsi="Calibri" w:cs="Calibri"/>
          <w:sz w:val="24"/>
          <w:szCs w:val="24"/>
        </w:rPr>
        <w:t>osob za roky 2010 až 2013</w:t>
      </w:r>
      <w:r w:rsidR="00A40DD2" w:rsidRPr="001E731E">
        <w:rPr>
          <w:rFonts w:ascii="Calibri" w:eastAsia="Times New Roman" w:hAnsi="Calibri" w:cs="Calibri"/>
          <w:sz w:val="24"/>
          <w:szCs w:val="24"/>
        </w:rPr>
        <w:t>.</w:t>
      </w:r>
      <w:r w:rsidR="00F071B7" w:rsidRPr="001E731E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40A7B" w:rsidRDefault="00640A7B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F071B7" w:rsidRPr="001E731E" w:rsidRDefault="00535F45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>Kontrolovaný objem peněžních prostředků za období 2010–2013 tvořily v</w:t>
      </w:r>
      <w:r w:rsidR="00F071B7" w:rsidRPr="001E731E">
        <w:rPr>
          <w:rFonts w:ascii="Calibri" w:eastAsia="Times New Roman" w:hAnsi="Calibri" w:cs="Calibri"/>
          <w:sz w:val="24"/>
          <w:szCs w:val="24"/>
        </w:rPr>
        <w:t xml:space="preserve">ýdaje </w:t>
      </w:r>
      <w:r w:rsidR="005E4E68" w:rsidRPr="001E731E">
        <w:rPr>
          <w:rFonts w:ascii="Calibri" w:eastAsia="Times New Roman" w:hAnsi="Calibri" w:cs="Calibri"/>
          <w:sz w:val="24"/>
          <w:szCs w:val="24"/>
        </w:rPr>
        <w:t>vynaložené</w:t>
      </w:r>
      <w:r w:rsidR="00F071B7"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5E4E68" w:rsidRPr="001E731E">
        <w:rPr>
          <w:rFonts w:ascii="Calibri" w:eastAsia="Times New Roman" w:hAnsi="Calibri" w:cs="Calibri"/>
          <w:sz w:val="24"/>
          <w:szCs w:val="24"/>
        </w:rPr>
        <w:t xml:space="preserve">na </w:t>
      </w:r>
      <w:r w:rsidR="00F071B7" w:rsidRPr="001E731E">
        <w:rPr>
          <w:rFonts w:ascii="Calibri" w:eastAsia="Times New Roman" w:hAnsi="Calibri" w:cs="Calibri"/>
          <w:sz w:val="24"/>
          <w:szCs w:val="24"/>
        </w:rPr>
        <w:t>kontrolované informační systémy</w:t>
      </w:r>
      <w:r w:rsidR="00AA1116" w:rsidRPr="001E731E">
        <w:rPr>
          <w:rFonts w:ascii="Calibri" w:eastAsia="Times New Roman" w:hAnsi="Calibri" w:cs="Calibri"/>
          <w:sz w:val="24"/>
          <w:szCs w:val="24"/>
        </w:rPr>
        <w:t xml:space="preserve"> (dále také „IS“)</w:t>
      </w:r>
      <w:r w:rsidR="00F071B7" w:rsidRPr="001E731E">
        <w:rPr>
          <w:rFonts w:ascii="Calibri" w:eastAsia="Times New Roman" w:hAnsi="Calibri" w:cs="Calibri"/>
          <w:sz w:val="24"/>
          <w:szCs w:val="24"/>
        </w:rPr>
        <w:t xml:space="preserve"> u MŽP celkem</w:t>
      </w:r>
      <w:r w:rsidR="005E4E68" w:rsidRPr="001E731E">
        <w:rPr>
          <w:rFonts w:ascii="Calibri" w:eastAsia="Times New Roman" w:hAnsi="Calibri" w:cs="Calibri"/>
          <w:sz w:val="24"/>
          <w:szCs w:val="24"/>
        </w:rPr>
        <w:t xml:space="preserve"> v částce</w:t>
      </w:r>
      <w:r w:rsidR="00F071B7" w:rsidRPr="001E731E">
        <w:rPr>
          <w:rFonts w:ascii="Calibri" w:eastAsia="Times New Roman" w:hAnsi="Calibri" w:cs="Calibri"/>
          <w:sz w:val="24"/>
          <w:szCs w:val="24"/>
        </w:rPr>
        <w:t xml:space="preserve"> 112 007 403 Kč, u</w:t>
      </w:r>
      <w:r w:rsidR="00BF281F">
        <w:rPr>
          <w:rFonts w:ascii="Calibri" w:eastAsia="Times New Roman" w:hAnsi="Calibri" w:cs="Calibri"/>
          <w:sz w:val="24"/>
          <w:szCs w:val="24"/>
        </w:rPr>
        <w:t> agentury</w:t>
      </w:r>
      <w:r w:rsidR="00F071B7" w:rsidRPr="001E731E">
        <w:rPr>
          <w:rFonts w:ascii="Calibri" w:eastAsia="Times New Roman" w:hAnsi="Calibri" w:cs="Calibri"/>
          <w:sz w:val="24"/>
          <w:szCs w:val="24"/>
        </w:rPr>
        <w:t xml:space="preserve"> CENIA celkem 80 623 596 Kč a u ČHMÚ celkem 42 332 019 Kč.</w:t>
      </w:r>
    </w:p>
    <w:p w:rsidR="00D22719" w:rsidRPr="001E731E" w:rsidRDefault="00D22719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BC764D" w:rsidRDefault="00BC764D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>Účelem JISŽP je pořizování, správa, hodnocení dat a poskytování informací v oblasti životního prostředí. JISŽP spravuje data, která jsou jednak přebírána od externích subjektů</w:t>
      </w:r>
      <w:r w:rsidR="00114BC5">
        <w:rPr>
          <w:rFonts w:ascii="Calibri" w:eastAsia="Times New Roman" w:hAnsi="Calibri" w:cs="Calibri"/>
          <w:sz w:val="24"/>
          <w:szCs w:val="24"/>
        </w:rPr>
        <w:t>,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jednak jsou pořizována i vlastní činností provozovatele IS. </w:t>
      </w:r>
    </w:p>
    <w:p w:rsidR="00144F85" w:rsidRPr="001E731E" w:rsidRDefault="00144F85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915197" w:rsidRDefault="00277D80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 xml:space="preserve">MŽP </w:t>
      </w:r>
      <w:r w:rsidR="00164B2E" w:rsidRPr="001E731E">
        <w:rPr>
          <w:rFonts w:ascii="Calibri" w:eastAsia="Times New Roman" w:hAnsi="Calibri" w:cs="Calibri"/>
          <w:sz w:val="24"/>
          <w:szCs w:val="24"/>
        </w:rPr>
        <w:t xml:space="preserve">mělo </w:t>
      </w:r>
      <w:r w:rsidRPr="001E731E">
        <w:rPr>
          <w:rFonts w:ascii="Calibri" w:eastAsia="Times New Roman" w:hAnsi="Calibri" w:cs="Calibri"/>
          <w:sz w:val="24"/>
          <w:szCs w:val="24"/>
        </w:rPr>
        <w:t>k 31. 12. 2013 celke</w:t>
      </w:r>
      <w:r w:rsidR="00B44635" w:rsidRPr="001E731E">
        <w:rPr>
          <w:rFonts w:ascii="Calibri" w:eastAsia="Times New Roman" w:hAnsi="Calibri" w:cs="Calibri"/>
          <w:sz w:val="24"/>
          <w:szCs w:val="24"/>
        </w:rPr>
        <w:t>m 125 informačních systémů v res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ortu životního prostředí zařazených pod JISŽP. </w:t>
      </w:r>
      <w:r w:rsidR="005E4E68" w:rsidRPr="001E731E">
        <w:rPr>
          <w:rFonts w:ascii="Calibri" w:eastAsia="Times New Roman" w:hAnsi="Calibri" w:cs="Calibri"/>
          <w:sz w:val="24"/>
          <w:szCs w:val="24"/>
        </w:rPr>
        <w:t>Tyto systémy jsou architekton</w:t>
      </w:r>
      <w:r w:rsidR="00553828" w:rsidRPr="001E731E">
        <w:rPr>
          <w:rFonts w:ascii="Calibri" w:eastAsia="Times New Roman" w:hAnsi="Calibri" w:cs="Calibri"/>
          <w:sz w:val="24"/>
          <w:szCs w:val="24"/>
        </w:rPr>
        <w:t>icky navrženy, implementovány a </w:t>
      </w:r>
      <w:r w:rsidR="005E4E68" w:rsidRPr="001E731E">
        <w:rPr>
          <w:rFonts w:ascii="Calibri" w:eastAsia="Times New Roman" w:hAnsi="Calibri" w:cs="Calibri"/>
          <w:sz w:val="24"/>
          <w:szCs w:val="24"/>
        </w:rPr>
        <w:t>provozovány jako samostat</w:t>
      </w:r>
      <w:r w:rsidR="00BB3EC3">
        <w:rPr>
          <w:rFonts w:ascii="Calibri" w:eastAsia="Times New Roman" w:hAnsi="Calibri" w:cs="Calibri"/>
          <w:sz w:val="24"/>
          <w:szCs w:val="24"/>
        </w:rPr>
        <w:t xml:space="preserve">né dílčí informační systémy bez </w:t>
      </w:r>
      <w:r w:rsidR="005E4E68" w:rsidRPr="001E731E">
        <w:rPr>
          <w:rFonts w:ascii="Calibri" w:eastAsia="Times New Roman" w:hAnsi="Calibri" w:cs="Calibri"/>
          <w:sz w:val="24"/>
          <w:szCs w:val="24"/>
        </w:rPr>
        <w:t xml:space="preserve">přímé integrace na společné referenční prostředí. </w:t>
      </w:r>
      <w:r w:rsidRPr="001E731E">
        <w:rPr>
          <w:rFonts w:ascii="Calibri" w:eastAsia="Times New Roman" w:hAnsi="Calibri" w:cs="Calibri"/>
          <w:sz w:val="24"/>
          <w:szCs w:val="24"/>
        </w:rPr>
        <w:t>V příloze č. 2 jsou popsány kontrolované IS</w:t>
      </w:r>
      <w:r w:rsidR="0072546C" w:rsidRPr="001E731E">
        <w:rPr>
          <w:rFonts w:ascii="Calibri" w:eastAsia="Times New Roman" w:hAnsi="Calibri" w:cs="Calibri"/>
          <w:sz w:val="24"/>
          <w:szCs w:val="24"/>
        </w:rPr>
        <w:t>.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BC764D" w:rsidRPr="001E731E">
        <w:rPr>
          <w:rFonts w:ascii="Calibri" w:eastAsia="Times New Roman" w:hAnsi="Calibri" w:cs="Calibri"/>
          <w:sz w:val="24"/>
          <w:szCs w:val="24"/>
        </w:rPr>
        <w:t xml:space="preserve">Odbornou podporu rozvoje a provozu JISŽP </w:t>
      </w:r>
      <w:r w:rsidRPr="001E731E">
        <w:rPr>
          <w:rFonts w:ascii="Calibri" w:eastAsia="Times New Roman" w:hAnsi="Calibri" w:cs="Calibri"/>
          <w:sz w:val="24"/>
          <w:szCs w:val="24"/>
        </w:rPr>
        <w:t>měla</w:t>
      </w:r>
      <w:r w:rsidR="00BC764D" w:rsidRPr="001E731E">
        <w:rPr>
          <w:rFonts w:ascii="Calibri" w:eastAsia="Times New Roman" w:hAnsi="Calibri" w:cs="Calibri"/>
          <w:sz w:val="24"/>
          <w:szCs w:val="24"/>
        </w:rPr>
        <w:t xml:space="preserve"> zajišťovat Rada pro rozvoj JISŽP (dále také „Rada“).</w:t>
      </w:r>
    </w:p>
    <w:p w:rsidR="00114BC5" w:rsidRPr="001E731E" w:rsidRDefault="00114BC5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915197" w:rsidRDefault="0099450E" w:rsidP="001E73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 xml:space="preserve">Rada se měla odborně vyjádřit zejména ke </w:t>
      </w:r>
      <w:r w:rsidR="002458E5">
        <w:rPr>
          <w:rFonts w:ascii="Calibri" w:eastAsia="Times New Roman" w:hAnsi="Calibri" w:cs="Calibri"/>
          <w:sz w:val="24"/>
          <w:szCs w:val="24"/>
        </w:rPr>
        <w:t>s</w:t>
      </w:r>
      <w:r w:rsidRPr="002458E5">
        <w:rPr>
          <w:rFonts w:ascii="Calibri" w:eastAsia="Times New Roman" w:hAnsi="Calibri" w:cs="Calibri"/>
          <w:sz w:val="24"/>
          <w:szCs w:val="24"/>
        </w:rPr>
        <w:t>tátní politice životního prostředí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, </w:t>
      </w:r>
      <w:r w:rsidR="00114BC5">
        <w:rPr>
          <w:rFonts w:ascii="Calibri" w:eastAsia="Times New Roman" w:hAnsi="Calibri" w:cs="Calibri"/>
          <w:sz w:val="24"/>
          <w:szCs w:val="24"/>
        </w:rPr>
        <w:t>i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nformační strategii, </w:t>
      </w:r>
      <w:r w:rsidR="00114BC5">
        <w:rPr>
          <w:rFonts w:ascii="Calibri" w:eastAsia="Times New Roman" w:hAnsi="Calibri" w:cs="Calibri"/>
          <w:sz w:val="24"/>
          <w:szCs w:val="24"/>
        </w:rPr>
        <w:t>a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kčnímu plánu, </w:t>
      </w:r>
      <w:r w:rsidR="00114BC5">
        <w:rPr>
          <w:rFonts w:ascii="Calibri" w:eastAsia="Times New Roman" w:hAnsi="Calibri" w:cs="Calibri"/>
          <w:sz w:val="24"/>
          <w:szCs w:val="24"/>
        </w:rPr>
        <w:t>i</w:t>
      </w:r>
      <w:r w:rsidRPr="001E731E">
        <w:rPr>
          <w:rFonts w:ascii="Calibri" w:eastAsia="Times New Roman" w:hAnsi="Calibri" w:cs="Calibri"/>
          <w:sz w:val="24"/>
          <w:szCs w:val="24"/>
        </w:rPr>
        <w:t>nformační koncepci a aktivitám, které mají horizontální</w:t>
      </w:r>
      <w:r w:rsidR="00553828" w:rsidRPr="001E731E">
        <w:rPr>
          <w:rFonts w:ascii="Calibri" w:eastAsia="Times New Roman" w:hAnsi="Calibri" w:cs="Calibri"/>
          <w:sz w:val="24"/>
          <w:szCs w:val="24"/>
        </w:rPr>
        <w:t xml:space="preserve"> vliv</w:t>
      </w:r>
      <w:r w:rsidR="002E591B" w:rsidRPr="001E731E">
        <w:rPr>
          <w:rStyle w:val="Znakapoznpodarou"/>
          <w:rFonts w:ascii="Calibri" w:eastAsia="Times New Roman" w:hAnsi="Calibri" w:cs="Calibri"/>
          <w:sz w:val="24"/>
          <w:szCs w:val="24"/>
        </w:rPr>
        <w:footnoteReference w:id="4"/>
      </w:r>
      <w:r w:rsidR="00553828" w:rsidRPr="001E731E">
        <w:rPr>
          <w:rFonts w:ascii="Calibri" w:eastAsia="Times New Roman" w:hAnsi="Calibri" w:cs="Calibri"/>
          <w:sz w:val="24"/>
          <w:szCs w:val="24"/>
        </w:rPr>
        <w:t xml:space="preserve"> na 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JISŽP. </w:t>
      </w:r>
      <w:r w:rsidR="00915197" w:rsidRPr="001E731E">
        <w:rPr>
          <w:rFonts w:ascii="Calibri" w:eastAsia="Times New Roman" w:hAnsi="Calibri" w:cs="Calibri"/>
          <w:sz w:val="24"/>
          <w:szCs w:val="24"/>
        </w:rPr>
        <w:t xml:space="preserve">Rada byla zřízena </w:t>
      </w:r>
      <w:r w:rsidR="00114BC5">
        <w:rPr>
          <w:rFonts w:ascii="Calibri" w:eastAsia="Times New Roman" w:hAnsi="Calibri" w:cs="Calibri"/>
          <w:sz w:val="24"/>
          <w:szCs w:val="24"/>
        </w:rPr>
        <w:t>p</w:t>
      </w:r>
      <w:r w:rsidR="00915197" w:rsidRPr="001E731E">
        <w:rPr>
          <w:rFonts w:ascii="Calibri" w:eastAsia="Times New Roman" w:hAnsi="Calibri" w:cs="Calibri"/>
          <w:sz w:val="24"/>
          <w:szCs w:val="24"/>
        </w:rPr>
        <w:t>říkazem ministra životního prostředí</w:t>
      </w:r>
      <w:r w:rsidR="00FF6D36" w:rsidRPr="001E731E">
        <w:rPr>
          <w:rFonts w:ascii="Calibri" w:eastAsia="Times New Roman" w:hAnsi="Calibri" w:cs="Calibri"/>
          <w:sz w:val="24"/>
          <w:szCs w:val="24"/>
        </w:rPr>
        <w:t xml:space="preserve"> v roce 2009</w:t>
      </w:r>
      <w:r w:rsidR="00915197" w:rsidRPr="001E731E">
        <w:rPr>
          <w:rFonts w:ascii="Calibri" w:eastAsia="Times New Roman" w:hAnsi="Calibri" w:cs="Calibri"/>
          <w:sz w:val="24"/>
          <w:szCs w:val="24"/>
          <w:vertAlign w:val="superscript"/>
        </w:rPr>
        <w:footnoteReference w:id="5"/>
      </w:r>
      <w:r w:rsidR="002E311E" w:rsidRPr="001E731E">
        <w:rPr>
          <w:rFonts w:ascii="Calibri" w:eastAsia="Times New Roman" w:hAnsi="Calibri" w:cs="Calibri"/>
          <w:sz w:val="24"/>
          <w:szCs w:val="24"/>
        </w:rPr>
        <w:t xml:space="preserve">. Součástí </w:t>
      </w:r>
      <w:r w:rsidR="002E311E" w:rsidRPr="001E731E">
        <w:rPr>
          <w:rFonts w:ascii="Calibri" w:eastAsia="Times New Roman" w:hAnsi="Calibri" w:cs="Calibri"/>
          <w:sz w:val="24"/>
          <w:szCs w:val="24"/>
        </w:rPr>
        <w:lastRenderedPageBreak/>
        <w:t xml:space="preserve">příkazu </w:t>
      </w:r>
      <w:r w:rsidR="00915197" w:rsidRPr="001E731E">
        <w:rPr>
          <w:rFonts w:ascii="Calibri" w:eastAsia="Times New Roman" w:hAnsi="Calibri" w:cs="Calibri"/>
          <w:sz w:val="24"/>
          <w:szCs w:val="24"/>
        </w:rPr>
        <w:t xml:space="preserve">byl </w:t>
      </w:r>
      <w:r w:rsidR="00114BC5">
        <w:rPr>
          <w:rFonts w:ascii="Calibri" w:eastAsia="Times New Roman" w:hAnsi="Calibri" w:cs="Calibri"/>
          <w:sz w:val="24"/>
          <w:szCs w:val="24"/>
        </w:rPr>
        <w:t>s</w:t>
      </w:r>
      <w:r w:rsidR="00915197" w:rsidRPr="001E731E">
        <w:rPr>
          <w:rFonts w:ascii="Calibri" w:eastAsia="Times New Roman" w:hAnsi="Calibri" w:cs="Calibri"/>
          <w:sz w:val="24"/>
          <w:szCs w:val="24"/>
        </w:rPr>
        <w:t xml:space="preserve">tatut Rady, který upravoval působnost, složení a práva a povinnosti členů Rady. </w:t>
      </w:r>
      <w:r w:rsidR="00B1358E" w:rsidRPr="001E731E">
        <w:rPr>
          <w:rFonts w:ascii="Calibri" w:eastAsia="Times New Roman" w:hAnsi="Calibri" w:cs="Calibri"/>
          <w:sz w:val="24"/>
          <w:szCs w:val="24"/>
        </w:rPr>
        <w:t>Rada stojí mimo organizační strukturu aparátu ministerstva</w:t>
      </w:r>
      <w:r w:rsidR="00765029" w:rsidRPr="001E731E">
        <w:rPr>
          <w:rFonts w:ascii="Calibri" w:eastAsia="Times New Roman" w:hAnsi="Calibri" w:cs="Calibri"/>
          <w:sz w:val="24"/>
          <w:szCs w:val="24"/>
        </w:rPr>
        <w:t>, skládá se ze zástupců MŽP a</w:t>
      </w:r>
      <w:r w:rsidR="00172092" w:rsidRPr="001E731E">
        <w:rPr>
          <w:rFonts w:ascii="Calibri" w:eastAsia="Times New Roman" w:hAnsi="Calibri" w:cs="Calibri"/>
          <w:sz w:val="24"/>
          <w:szCs w:val="24"/>
        </w:rPr>
        <w:t> </w:t>
      </w:r>
      <w:r w:rsidR="00765029" w:rsidRPr="001E731E">
        <w:rPr>
          <w:rFonts w:ascii="Calibri" w:eastAsia="Times New Roman" w:hAnsi="Calibri" w:cs="Calibri"/>
          <w:sz w:val="24"/>
          <w:szCs w:val="24"/>
        </w:rPr>
        <w:t>resortních organizací</w:t>
      </w:r>
      <w:r w:rsidR="00B1358E" w:rsidRPr="001E731E">
        <w:rPr>
          <w:rFonts w:ascii="Calibri" w:eastAsia="Times New Roman" w:hAnsi="Calibri" w:cs="Calibri"/>
          <w:sz w:val="24"/>
          <w:szCs w:val="24"/>
        </w:rPr>
        <w:t xml:space="preserve"> a má významn</w:t>
      </w:r>
      <w:r w:rsidR="00C0609C" w:rsidRPr="001E731E">
        <w:rPr>
          <w:rFonts w:ascii="Calibri" w:eastAsia="Times New Roman" w:hAnsi="Calibri" w:cs="Calibri"/>
          <w:sz w:val="24"/>
          <w:szCs w:val="24"/>
        </w:rPr>
        <w:t>é</w:t>
      </w:r>
      <w:r w:rsidR="00B1358E" w:rsidRPr="001E731E">
        <w:rPr>
          <w:rFonts w:ascii="Calibri" w:eastAsia="Times New Roman" w:hAnsi="Calibri" w:cs="Calibri"/>
          <w:sz w:val="24"/>
          <w:szCs w:val="24"/>
        </w:rPr>
        <w:t xml:space="preserve"> kompetence v koordinaci JISŽP.</w:t>
      </w:r>
    </w:p>
    <w:p w:rsidR="00BF281F" w:rsidRPr="001E731E" w:rsidRDefault="00BF281F" w:rsidP="001E73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56138C" w:rsidRPr="00632AC5" w:rsidRDefault="0056138C" w:rsidP="00EB4B92">
      <w:pPr>
        <w:spacing w:after="0" w:line="240" w:lineRule="auto"/>
        <w:ind w:left="567" w:hanging="567"/>
        <w:rPr>
          <w:rFonts w:ascii="Calibri" w:hAnsi="Calibri" w:cs="Calibri"/>
          <w:color w:val="000000"/>
          <w:sz w:val="20"/>
          <w:szCs w:val="20"/>
        </w:rPr>
      </w:pPr>
      <w:r w:rsidRPr="00F80CB2">
        <w:rPr>
          <w:rFonts w:ascii="Calibri" w:hAnsi="Calibri" w:cs="Calibri"/>
          <w:b/>
          <w:color w:val="000000"/>
          <w:sz w:val="20"/>
          <w:szCs w:val="20"/>
        </w:rPr>
        <w:t>Pozn.: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632AC5">
        <w:rPr>
          <w:rFonts w:ascii="Calibri" w:hAnsi="Calibri" w:cs="Calibri"/>
          <w:color w:val="000000"/>
          <w:sz w:val="20"/>
          <w:szCs w:val="20"/>
        </w:rPr>
        <w:t>Všechny právní předpisy uvedené v tomto kontrolním závěru jsou aplikovány ve znění účinném pro kontrolované období.</w:t>
      </w:r>
    </w:p>
    <w:p w:rsidR="0056138C" w:rsidRDefault="0056138C" w:rsidP="009151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B4B92" w:rsidRPr="00172092" w:rsidRDefault="00EB4B92" w:rsidP="009151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061C8" w:rsidRDefault="001E731E" w:rsidP="001E731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II. </w:t>
      </w:r>
      <w:r w:rsidR="000E471C" w:rsidRPr="001E731E">
        <w:rPr>
          <w:rFonts w:ascii="Calibri" w:hAnsi="Calibri" w:cs="Calibri"/>
          <w:b/>
          <w:sz w:val="28"/>
          <w:szCs w:val="28"/>
        </w:rPr>
        <w:t>Shrnutí hlavních skutečností zjištěných</w:t>
      </w:r>
      <w:r w:rsidR="00065DF6" w:rsidRPr="001E731E">
        <w:rPr>
          <w:rFonts w:ascii="Calibri" w:hAnsi="Calibri" w:cs="Calibri"/>
          <w:b/>
          <w:sz w:val="28"/>
          <w:szCs w:val="28"/>
        </w:rPr>
        <w:t xml:space="preserve"> při kontrole</w:t>
      </w:r>
    </w:p>
    <w:p w:rsidR="001E731E" w:rsidRPr="001E731E" w:rsidRDefault="001E731E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A6E0E" w:rsidRPr="001E731E" w:rsidRDefault="001A3787" w:rsidP="001E731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 xml:space="preserve">JISŽP je stále teoretickým konceptem, nikoliv </w:t>
      </w:r>
      <w:r w:rsidR="003078F0" w:rsidRPr="001E731E">
        <w:rPr>
          <w:rFonts w:ascii="Calibri" w:eastAsia="Times New Roman" w:hAnsi="Calibri" w:cs="Calibri"/>
          <w:sz w:val="24"/>
          <w:szCs w:val="24"/>
        </w:rPr>
        <w:t xml:space="preserve">však </w:t>
      </w:r>
      <w:r w:rsidR="00DC54DF" w:rsidRPr="001E731E">
        <w:rPr>
          <w:rFonts w:ascii="Calibri" w:eastAsia="Times New Roman" w:hAnsi="Calibri" w:cs="Calibri"/>
          <w:sz w:val="24"/>
          <w:szCs w:val="24"/>
        </w:rPr>
        <w:t xml:space="preserve">jednotným </w:t>
      </w:r>
      <w:r w:rsidRPr="001E731E">
        <w:rPr>
          <w:rFonts w:ascii="Calibri" w:eastAsia="Times New Roman" w:hAnsi="Calibri" w:cs="Calibri"/>
          <w:sz w:val="24"/>
          <w:szCs w:val="24"/>
        </w:rPr>
        <w:t>informačním systémem</w:t>
      </w:r>
      <w:r w:rsidR="00C457EC" w:rsidRPr="001E731E">
        <w:rPr>
          <w:rFonts w:ascii="Calibri" w:eastAsia="Times New Roman" w:hAnsi="Calibri" w:cs="Calibri"/>
          <w:sz w:val="24"/>
          <w:szCs w:val="24"/>
        </w:rPr>
        <w:t>.</w:t>
      </w:r>
      <w:r w:rsidR="00FA6E0E"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3078F0" w:rsidRPr="001E731E">
        <w:rPr>
          <w:rFonts w:ascii="Calibri" w:eastAsia="Times New Roman" w:hAnsi="Calibri" w:cs="Calibri"/>
          <w:sz w:val="24"/>
          <w:szCs w:val="24"/>
        </w:rPr>
        <w:t>MŽP tak</w:t>
      </w:r>
      <w:r w:rsidR="00FA6E0E" w:rsidRPr="001E731E">
        <w:rPr>
          <w:rFonts w:ascii="Calibri" w:eastAsia="Times New Roman" w:hAnsi="Calibri" w:cs="Calibri"/>
          <w:sz w:val="24"/>
          <w:szCs w:val="24"/>
        </w:rPr>
        <w:t xml:space="preserve"> neplnilo povinnost </w:t>
      </w:r>
      <w:r w:rsidR="003078F0" w:rsidRPr="001E731E">
        <w:rPr>
          <w:rFonts w:ascii="Calibri" w:eastAsia="Times New Roman" w:hAnsi="Calibri" w:cs="Calibri"/>
          <w:sz w:val="24"/>
          <w:szCs w:val="24"/>
        </w:rPr>
        <w:t xml:space="preserve">zabezpečovat a řídit JISŽP </w:t>
      </w:r>
      <w:r w:rsidR="001522B6" w:rsidRPr="001E731E">
        <w:rPr>
          <w:rFonts w:ascii="Calibri" w:eastAsia="Times New Roman" w:hAnsi="Calibri" w:cs="Calibri"/>
          <w:sz w:val="24"/>
          <w:szCs w:val="24"/>
        </w:rPr>
        <w:t xml:space="preserve">dle </w:t>
      </w:r>
      <w:r w:rsidR="003078F0" w:rsidRPr="001E731E">
        <w:rPr>
          <w:rFonts w:ascii="Calibri" w:eastAsia="Times New Roman" w:hAnsi="Calibri" w:cs="Calibri"/>
          <w:sz w:val="24"/>
          <w:szCs w:val="24"/>
        </w:rPr>
        <w:t xml:space="preserve">zákona </w:t>
      </w:r>
      <w:r w:rsidR="00FA6E0E" w:rsidRPr="001E731E">
        <w:rPr>
          <w:rFonts w:ascii="Calibri" w:eastAsia="Times New Roman" w:hAnsi="Calibri" w:cs="Calibri"/>
          <w:sz w:val="24"/>
          <w:szCs w:val="24"/>
        </w:rPr>
        <w:t xml:space="preserve">č. 2/1969 Sb. </w:t>
      </w:r>
      <w:r w:rsidR="0018213A" w:rsidRPr="001E731E">
        <w:rPr>
          <w:rFonts w:ascii="Calibri" w:eastAsia="Times New Roman" w:hAnsi="Calibri" w:cs="Calibri"/>
          <w:sz w:val="24"/>
          <w:szCs w:val="24"/>
        </w:rPr>
        <w:t xml:space="preserve">V současné době </w:t>
      </w:r>
      <w:r w:rsidR="00B44635" w:rsidRPr="001E731E">
        <w:rPr>
          <w:rFonts w:ascii="Calibri" w:eastAsia="Times New Roman" w:hAnsi="Calibri" w:cs="Calibri"/>
          <w:sz w:val="24"/>
          <w:szCs w:val="24"/>
        </w:rPr>
        <w:t>res</w:t>
      </w:r>
      <w:r w:rsidR="00F061C8" w:rsidRPr="001E731E">
        <w:rPr>
          <w:rFonts w:ascii="Calibri" w:eastAsia="Times New Roman" w:hAnsi="Calibri" w:cs="Calibri"/>
          <w:sz w:val="24"/>
          <w:szCs w:val="24"/>
        </w:rPr>
        <w:t xml:space="preserve">ort </w:t>
      </w:r>
      <w:r w:rsidR="00E83D2D" w:rsidRPr="001E731E">
        <w:rPr>
          <w:rFonts w:ascii="Calibri" w:eastAsia="Times New Roman" w:hAnsi="Calibri" w:cs="Calibri"/>
          <w:sz w:val="24"/>
          <w:szCs w:val="24"/>
        </w:rPr>
        <w:t xml:space="preserve">životního prostředí </w:t>
      </w:r>
      <w:r w:rsidR="0018213A" w:rsidRPr="001E731E">
        <w:rPr>
          <w:rFonts w:ascii="Calibri" w:eastAsia="Times New Roman" w:hAnsi="Calibri" w:cs="Calibri"/>
          <w:sz w:val="24"/>
          <w:szCs w:val="24"/>
        </w:rPr>
        <w:t>využívá 125 samostatných informačních systémů a databází.</w:t>
      </w:r>
    </w:p>
    <w:p w:rsidR="001A3787" w:rsidRPr="001E731E" w:rsidRDefault="001A3787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A3787" w:rsidRPr="001E731E" w:rsidRDefault="00A63B63" w:rsidP="001E731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 xml:space="preserve">MŽP nezajistilo, aby </w:t>
      </w:r>
      <w:r w:rsidR="001A3787" w:rsidRPr="001E731E">
        <w:rPr>
          <w:rFonts w:ascii="Calibri" w:eastAsia="Times New Roman" w:hAnsi="Calibri" w:cs="Calibri"/>
          <w:sz w:val="24"/>
          <w:szCs w:val="24"/>
        </w:rPr>
        <w:t>Rada</w:t>
      </w:r>
      <w:r w:rsidR="00FA30FF" w:rsidRPr="001E731E">
        <w:rPr>
          <w:rFonts w:ascii="Calibri" w:eastAsia="Times New Roman" w:hAnsi="Calibri" w:cs="Calibri"/>
          <w:sz w:val="24"/>
          <w:szCs w:val="24"/>
        </w:rPr>
        <w:t xml:space="preserve"> pro rozvoj JI</w:t>
      </w:r>
      <w:r w:rsidR="002F156B" w:rsidRPr="001E731E">
        <w:rPr>
          <w:rFonts w:ascii="Calibri" w:eastAsia="Times New Roman" w:hAnsi="Calibri" w:cs="Calibri"/>
          <w:sz w:val="24"/>
          <w:szCs w:val="24"/>
        </w:rPr>
        <w:t>S</w:t>
      </w:r>
      <w:r w:rsidR="00FA30FF" w:rsidRPr="001E731E">
        <w:rPr>
          <w:rFonts w:ascii="Calibri" w:eastAsia="Times New Roman" w:hAnsi="Calibri" w:cs="Calibri"/>
          <w:sz w:val="24"/>
          <w:szCs w:val="24"/>
        </w:rPr>
        <w:t>ŽP</w:t>
      </w:r>
      <w:r w:rsidR="00684E3D" w:rsidRPr="001E731E">
        <w:rPr>
          <w:rFonts w:ascii="Calibri" w:eastAsia="Times New Roman" w:hAnsi="Calibri" w:cs="Calibri"/>
          <w:sz w:val="24"/>
          <w:szCs w:val="24"/>
        </w:rPr>
        <w:t xml:space="preserve"> jako hlavní odborný koordinační orgán </w:t>
      </w:r>
      <w:r w:rsidR="001A3787" w:rsidRPr="001E731E">
        <w:rPr>
          <w:rFonts w:ascii="Calibri" w:eastAsia="Times New Roman" w:hAnsi="Calibri" w:cs="Calibri"/>
          <w:sz w:val="24"/>
          <w:szCs w:val="24"/>
        </w:rPr>
        <w:t xml:space="preserve">naplnila své povinnosti dané jejím </w:t>
      </w:r>
      <w:r w:rsidR="00BB3EC3">
        <w:rPr>
          <w:rFonts w:ascii="Calibri" w:eastAsia="Times New Roman" w:hAnsi="Calibri" w:cs="Calibri"/>
          <w:sz w:val="24"/>
          <w:szCs w:val="24"/>
        </w:rPr>
        <w:t>s</w:t>
      </w:r>
      <w:r w:rsidR="001A3787" w:rsidRPr="001E731E">
        <w:rPr>
          <w:rFonts w:ascii="Calibri" w:eastAsia="Times New Roman" w:hAnsi="Calibri" w:cs="Calibri"/>
          <w:sz w:val="24"/>
          <w:szCs w:val="24"/>
        </w:rPr>
        <w:t>tatutem</w:t>
      </w:r>
      <w:r w:rsidR="00536AB3" w:rsidRPr="001E731E">
        <w:rPr>
          <w:rFonts w:ascii="Calibri" w:eastAsia="Times New Roman" w:hAnsi="Calibri" w:cs="Calibri"/>
          <w:sz w:val="24"/>
          <w:szCs w:val="24"/>
        </w:rPr>
        <w:t>.</w:t>
      </w:r>
      <w:r w:rsidR="001A3787"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536AB3" w:rsidRPr="001E731E">
        <w:rPr>
          <w:rFonts w:ascii="Calibri" w:eastAsia="Times New Roman" w:hAnsi="Calibri" w:cs="Calibri"/>
          <w:sz w:val="24"/>
          <w:szCs w:val="24"/>
        </w:rPr>
        <w:t>V</w:t>
      </w:r>
      <w:r w:rsidR="00684E3D" w:rsidRPr="001E731E">
        <w:rPr>
          <w:rFonts w:ascii="Calibri" w:eastAsia="Times New Roman" w:hAnsi="Calibri" w:cs="Calibri"/>
          <w:sz w:val="24"/>
          <w:szCs w:val="24"/>
        </w:rPr>
        <w:t xml:space="preserve"> období let 2010 až 2012 </w:t>
      </w:r>
      <w:r w:rsidR="00536AB3" w:rsidRPr="001E731E">
        <w:rPr>
          <w:rFonts w:ascii="Calibri" w:eastAsia="Times New Roman" w:hAnsi="Calibri" w:cs="Calibri"/>
          <w:sz w:val="24"/>
          <w:szCs w:val="24"/>
        </w:rPr>
        <w:t xml:space="preserve">se Rada </w:t>
      </w:r>
      <w:r w:rsidR="00684E3D" w:rsidRPr="001E731E">
        <w:rPr>
          <w:rFonts w:ascii="Calibri" w:eastAsia="Times New Roman" w:hAnsi="Calibri" w:cs="Calibri"/>
          <w:sz w:val="24"/>
          <w:szCs w:val="24"/>
        </w:rPr>
        <w:t xml:space="preserve">vůbec </w:t>
      </w:r>
      <w:r w:rsidR="00711926" w:rsidRPr="001E731E">
        <w:rPr>
          <w:rFonts w:ascii="Calibri" w:eastAsia="Times New Roman" w:hAnsi="Calibri" w:cs="Calibri"/>
          <w:sz w:val="24"/>
          <w:szCs w:val="24"/>
        </w:rPr>
        <w:t>nescházela a ke </w:t>
      </w:r>
      <w:r w:rsidR="00B44635" w:rsidRPr="001E731E">
        <w:rPr>
          <w:rFonts w:ascii="Calibri" w:eastAsia="Times New Roman" w:hAnsi="Calibri" w:cs="Calibri"/>
          <w:sz w:val="24"/>
          <w:szCs w:val="24"/>
        </w:rPr>
        <w:t>strategickým aktivitám res</w:t>
      </w:r>
      <w:r w:rsidR="001A3787" w:rsidRPr="001E731E">
        <w:rPr>
          <w:rFonts w:ascii="Calibri" w:eastAsia="Times New Roman" w:hAnsi="Calibri" w:cs="Calibri"/>
          <w:sz w:val="24"/>
          <w:szCs w:val="24"/>
        </w:rPr>
        <w:t>ortu životního prostředí nezaujímala příslušná odborná stanoviska.</w:t>
      </w:r>
    </w:p>
    <w:p w:rsidR="004B4077" w:rsidRPr="001E731E" w:rsidRDefault="004B4077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7E70C0" w:rsidRPr="001E731E" w:rsidRDefault="007E70C0" w:rsidP="001E731E">
      <w:pPr>
        <w:pStyle w:val="Odstavecseseznamem"/>
        <w:numPr>
          <w:ilvl w:val="0"/>
          <w:numId w:val="13"/>
        </w:num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  <w:bookmarkStart w:id="0" w:name="_Toc401142126"/>
      <w:r w:rsidRPr="001E731E">
        <w:rPr>
          <w:rFonts w:ascii="Calibri" w:eastAsia="Times New Roman" w:hAnsi="Calibri" w:cs="Calibri"/>
          <w:sz w:val="24"/>
          <w:szCs w:val="24"/>
        </w:rPr>
        <w:t>Základní projektové dokumenty v oblasti řízení projektů neobsahovaly povinnost zpracovat studii proveditelnosti s rozborem možných variant řešení, v důsledku čehož nemělo MŽP jistotu, zda realizovalo nejvýhodnější a nejhospodárnější variantu.</w:t>
      </w:r>
    </w:p>
    <w:p w:rsidR="00A542FB" w:rsidRPr="001E731E" w:rsidRDefault="00A542FB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bookmarkEnd w:id="0"/>
    <w:p w:rsidR="003E798A" w:rsidRPr="001E731E" w:rsidRDefault="002D58A5" w:rsidP="001E731E">
      <w:pPr>
        <w:pStyle w:val="Odstavecseseznamem"/>
        <w:numPr>
          <w:ilvl w:val="0"/>
          <w:numId w:val="13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Data byla vícenásobně ukládána</w:t>
      </w:r>
      <w:r w:rsidR="003E798A" w:rsidRPr="001E731E">
        <w:rPr>
          <w:rFonts w:ascii="Calibri" w:hAnsi="Calibri" w:cs="Calibri"/>
          <w:sz w:val="24"/>
          <w:szCs w:val="24"/>
        </w:rPr>
        <w:t xml:space="preserve"> v různých informačn</w:t>
      </w:r>
      <w:r w:rsidR="00AA2233" w:rsidRPr="001E731E">
        <w:rPr>
          <w:rFonts w:ascii="Calibri" w:hAnsi="Calibri" w:cs="Calibri"/>
          <w:sz w:val="24"/>
          <w:szCs w:val="24"/>
        </w:rPr>
        <w:t>ích systémech, což mělo vliv na </w:t>
      </w:r>
      <w:r w:rsidR="00BB3EC3" w:rsidRPr="001E731E">
        <w:rPr>
          <w:rFonts w:ascii="Calibri" w:hAnsi="Calibri" w:cs="Calibri"/>
          <w:sz w:val="24"/>
          <w:szCs w:val="24"/>
        </w:rPr>
        <w:t xml:space="preserve">vyšší </w:t>
      </w:r>
      <w:r w:rsidR="003E798A" w:rsidRPr="001E731E">
        <w:rPr>
          <w:rFonts w:ascii="Calibri" w:hAnsi="Calibri" w:cs="Calibri"/>
          <w:sz w:val="24"/>
          <w:szCs w:val="24"/>
        </w:rPr>
        <w:t xml:space="preserve">potřebu úložné kapacity </w:t>
      </w:r>
      <w:r w:rsidR="00BF281F">
        <w:rPr>
          <w:rFonts w:ascii="Calibri" w:hAnsi="Calibri" w:cs="Calibri"/>
          <w:sz w:val="24"/>
          <w:szCs w:val="24"/>
        </w:rPr>
        <w:t xml:space="preserve">pro </w:t>
      </w:r>
      <w:r w:rsidR="003E798A" w:rsidRPr="001E731E">
        <w:rPr>
          <w:rFonts w:ascii="Calibri" w:hAnsi="Calibri" w:cs="Calibri"/>
          <w:sz w:val="24"/>
          <w:szCs w:val="24"/>
        </w:rPr>
        <w:t>ukládan</w:t>
      </w:r>
      <w:r w:rsidR="00BF281F">
        <w:rPr>
          <w:rFonts w:ascii="Calibri" w:hAnsi="Calibri" w:cs="Calibri"/>
          <w:sz w:val="24"/>
          <w:szCs w:val="24"/>
        </w:rPr>
        <w:t>á</w:t>
      </w:r>
      <w:r w:rsidR="003E798A" w:rsidRPr="001E731E">
        <w:rPr>
          <w:rFonts w:ascii="Calibri" w:hAnsi="Calibri" w:cs="Calibri"/>
          <w:sz w:val="24"/>
          <w:szCs w:val="24"/>
        </w:rPr>
        <w:t xml:space="preserve"> dat</w:t>
      </w:r>
      <w:r w:rsidR="00BF281F">
        <w:rPr>
          <w:rFonts w:ascii="Calibri" w:hAnsi="Calibri" w:cs="Calibri"/>
          <w:sz w:val="24"/>
          <w:szCs w:val="24"/>
        </w:rPr>
        <w:t>a</w:t>
      </w:r>
      <w:r w:rsidR="003E798A" w:rsidRPr="001E731E">
        <w:rPr>
          <w:rFonts w:ascii="Calibri" w:hAnsi="Calibri" w:cs="Calibri"/>
          <w:sz w:val="24"/>
          <w:szCs w:val="24"/>
        </w:rPr>
        <w:t xml:space="preserve"> a z toho plynoucí vyšší provozní náklady.</w:t>
      </w:r>
    </w:p>
    <w:p w:rsidR="006717BF" w:rsidRPr="001E731E" w:rsidRDefault="006717BF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C3CAF" w:rsidRPr="001E731E" w:rsidRDefault="006C3CAF" w:rsidP="001E731E">
      <w:pPr>
        <w:pStyle w:val="Odstavecseseznamem"/>
        <w:numPr>
          <w:ilvl w:val="0"/>
          <w:numId w:val="13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Kontrolou bylo zjištěno</w:t>
      </w:r>
      <w:r w:rsidR="00647010" w:rsidRPr="001E731E">
        <w:rPr>
          <w:rFonts w:ascii="Calibri" w:hAnsi="Calibri" w:cs="Calibri"/>
          <w:sz w:val="24"/>
          <w:szCs w:val="24"/>
        </w:rPr>
        <w:t>,</w:t>
      </w:r>
      <w:r w:rsidRPr="001E731E">
        <w:rPr>
          <w:rFonts w:ascii="Calibri" w:hAnsi="Calibri" w:cs="Calibri"/>
          <w:sz w:val="24"/>
          <w:szCs w:val="24"/>
        </w:rPr>
        <w:t xml:space="preserve"> že jediný projekt</w:t>
      </w:r>
      <w:r w:rsidR="005975E0" w:rsidRPr="001E731E">
        <w:rPr>
          <w:rFonts w:ascii="Calibri" w:hAnsi="Calibri" w:cs="Calibri"/>
          <w:sz w:val="24"/>
          <w:szCs w:val="24"/>
        </w:rPr>
        <w:t xml:space="preserve"> (SIRIUS)</w:t>
      </w:r>
      <w:r w:rsidR="00647010" w:rsidRPr="001E731E">
        <w:rPr>
          <w:rFonts w:ascii="Calibri" w:hAnsi="Calibri" w:cs="Calibri"/>
          <w:sz w:val="24"/>
          <w:szCs w:val="24"/>
        </w:rPr>
        <w:t>,</w:t>
      </w:r>
      <w:r w:rsidRPr="001E731E">
        <w:rPr>
          <w:rFonts w:ascii="Calibri" w:hAnsi="Calibri" w:cs="Calibri"/>
          <w:sz w:val="24"/>
          <w:szCs w:val="24"/>
        </w:rPr>
        <w:t xml:space="preserve"> kterým MŽP směřovalo k naplnění JISŽP</w:t>
      </w:r>
      <w:r w:rsidR="00647010" w:rsidRPr="001E731E">
        <w:rPr>
          <w:rFonts w:ascii="Calibri" w:hAnsi="Calibri" w:cs="Calibri"/>
          <w:sz w:val="24"/>
          <w:szCs w:val="24"/>
        </w:rPr>
        <w:t>,</w:t>
      </w:r>
      <w:r w:rsidR="00630223" w:rsidRPr="001E731E">
        <w:rPr>
          <w:rFonts w:ascii="Calibri" w:hAnsi="Calibri" w:cs="Calibri"/>
          <w:sz w:val="24"/>
          <w:szCs w:val="24"/>
        </w:rPr>
        <w:t xml:space="preserve"> byl zrušen b</w:t>
      </w:r>
      <w:r w:rsidR="005975E0" w:rsidRPr="001E731E">
        <w:rPr>
          <w:rFonts w:ascii="Calibri" w:hAnsi="Calibri" w:cs="Calibri"/>
          <w:sz w:val="24"/>
          <w:szCs w:val="24"/>
        </w:rPr>
        <w:t>ez náhrady</w:t>
      </w:r>
      <w:r w:rsidR="00BB3EC3">
        <w:rPr>
          <w:rFonts w:ascii="Calibri" w:hAnsi="Calibri" w:cs="Calibri"/>
          <w:sz w:val="24"/>
          <w:szCs w:val="24"/>
        </w:rPr>
        <w:t>,</w:t>
      </w:r>
      <w:r w:rsidR="005975E0" w:rsidRPr="001E731E">
        <w:rPr>
          <w:rFonts w:ascii="Calibri" w:hAnsi="Calibri" w:cs="Calibri"/>
          <w:sz w:val="24"/>
          <w:szCs w:val="24"/>
        </w:rPr>
        <w:t xml:space="preserve"> a byl</w:t>
      </w:r>
      <w:r w:rsidR="002F156B" w:rsidRPr="001E731E">
        <w:rPr>
          <w:rFonts w:ascii="Calibri" w:hAnsi="Calibri" w:cs="Calibri"/>
          <w:sz w:val="24"/>
          <w:szCs w:val="24"/>
        </w:rPr>
        <w:t>a</w:t>
      </w:r>
      <w:r w:rsidR="005975E0" w:rsidRPr="001E731E">
        <w:rPr>
          <w:rFonts w:ascii="Calibri" w:hAnsi="Calibri" w:cs="Calibri"/>
          <w:sz w:val="24"/>
          <w:szCs w:val="24"/>
        </w:rPr>
        <w:t xml:space="preserve"> tak nehospodárně a neúčelně vy</w:t>
      </w:r>
      <w:r w:rsidR="00A81C53" w:rsidRPr="001E731E">
        <w:rPr>
          <w:rFonts w:ascii="Calibri" w:hAnsi="Calibri" w:cs="Calibri"/>
          <w:sz w:val="24"/>
          <w:szCs w:val="24"/>
        </w:rPr>
        <w:t>naložena částka ve </w:t>
      </w:r>
      <w:r w:rsidR="005975E0" w:rsidRPr="001E731E">
        <w:rPr>
          <w:rFonts w:ascii="Calibri" w:hAnsi="Calibri" w:cs="Calibri"/>
          <w:sz w:val="24"/>
          <w:szCs w:val="24"/>
        </w:rPr>
        <w:t xml:space="preserve">výši 21 mil. Kč. </w:t>
      </w:r>
    </w:p>
    <w:p w:rsidR="006717BF" w:rsidRPr="001E731E" w:rsidRDefault="006717BF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E4C7F" w:rsidRPr="001E731E" w:rsidRDefault="005763A8" w:rsidP="001E731E">
      <w:pPr>
        <w:pStyle w:val="Odstavecseseznamem"/>
        <w:numPr>
          <w:ilvl w:val="0"/>
          <w:numId w:val="13"/>
        </w:num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U </w:t>
      </w:r>
      <w:r w:rsidR="0098437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vybraných 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spolu </w:t>
      </w:r>
      <w:r w:rsidR="0098437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věcně 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souvisejících informačních systémů b</w:t>
      </w:r>
      <w:r w:rsidR="001E4C7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yla potvrzena datová nekompatibilita. </w:t>
      </w:r>
      <w:r w:rsidR="00894267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Náprava tohoto stavu </w:t>
      </w:r>
      <w:r w:rsidR="001E4C7F" w:rsidRPr="001E731E">
        <w:rPr>
          <w:rFonts w:ascii="Calibri" w:eastAsia="Times New Roman" w:hAnsi="Calibri" w:cs="Calibri"/>
          <w:sz w:val="24"/>
          <w:szCs w:val="24"/>
          <w:lang w:eastAsia="cs-CZ"/>
        </w:rPr>
        <w:t>vyžaduje vynaložení dalších peněžních prostředků.</w:t>
      </w:r>
    </w:p>
    <w:p w:rsidR="00410A6B" w:rsidRPr="001E731E" w:rsidRDefault="00410A6B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772DF" w:rsidRPr="001E731E" w:rsidRDefault="00306839" w:rsidP="001E731E">
      <w:pPr>
        <w:pStyle w:val="Odstavecseseznamem"/>
        <w:numPr>
          <w:ilvl w:val="0"/>
          <w:numId w:val="13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Kontrola </w:t>
      </w:r>
      <w:r w:rsidR="0098437F" w:rsidRPr="001E731E">
        <w:rPr>
          <w:rFonts w:ascii="Calibri" w:hAnsi="Calibri" w:cs="Calibri"/>
          <w:sz w:val="24"/>
          <w:szCs w:val="24"/>
        </w:rPr>
        <w:t xml:space="preserve">potvrdila, že v případě některých informačních systémů přetrvává smluvní </w:t>
      </w:r>
      <w:r w:rsidR="00F13BDD" w:rsidRPr="001E731E">
        <w:rPr>
          <w:rFonts w:ascii="Calibri" w:hAnsi="Calibri" w:cs="Calibri"/>
          <w:sz w:val="24"/>
          <w:szCs w:val="24"/>
        </w:rPr>
        <w:t>závislost na jediném dodavateli, což vede k riziku, že veřejná zakázka nebude realizována nejhospodárnějším způsobem.</w:t>
      </w:r>
    </w:p>
    <w:p w:rsidR="002A6BA1" w:rsidRPr="001E731E" w:rsidRDefault="002A6BA1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22F60" w:rsidRPr="001E731E" w:rsidRDefault="00C22F60" w:rsidP="001E731E">
      <w:pPr>
        <w:pStyle w:val="Odstavecseseznamem"/>
        <w:numPr>
          <w:ilvl w:val="0"/>
          <w:numId w:val="13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MŽP nesleduje přístupy k jednotlivým informačním systémům. Nemůže </w:t>
      </w:r>
      <w:r w:rsidR="00BB3EC3">
        <w:rPr>
          <w:rFonts w:ascii="Calibri" w:hAnsi="Calibri" w:cs="Calibri"/>
          <w:sz w:val="24"/>
          <w:szCs w:val="24"/>
        </w:rPr>
        <w:t>proto</w:t>
      </w:r>
      <w:r w:rsidRPr="001E731E">
        <w:rPr>
          <w:rFonts w:ascii="Calibri" w:hAnsi="Calibri" w:cs="Calibri"/>
          <w:sz w:val="24"/>
          <w:szCs w:val="24"/>
        </w:rPr>
        <w:t xml:space="preserve"> vyhodnocovat efektiv</w:t>
      </w:r>
      <w:r w:rsidR="00152F1D" w:rsidRPr="001E731E">
        <w:rPr>
          <w:rFonts w:ascii="Calibri" w:hAnsi="Calibri" w:cs="Calibri"/>
          <w:sz w:val="24"/>
          <w:szCs w:val="24"/>
        </w:rPr>
        <w:t>nost</w:t>
      </w:r>
      <w:r w:rsidRPr="001E731E">
        <w:rPr>
          <w:rFonts w:ascii="Calibri" w:hAnsi="Calibri" w:cs="Calibri"/>
          <w:sz w:val="24"/>
          <w:szCs w:val="24"/>
        </w:rPr>
        <w:t>, hospodárnost a</w:t>
      </w:r>
      <w:r w:rsidR="00BF281F">
        <w:rPr>
          <w:rFonts w:ascii="Calibri" w:hAnsi="Calibri" w:cs="Calibri"/>
          <w:sz w:val="24"/>
          <w:szCs w:val="24"/>
        </w:rPr>
        <w:t>ni</w:t>
      </w:r>
      <w:r w:rsidRPr="001E731E">
        <w:rPr>
          <w:rFonts w:ascii="Calibri" w:hAnsi="Calibri" w:cs="Calibri"/>
          <w:sz w:val="24"/>
          <w:szCs w:val="24"/>
        </w:rPr>
        <w:t xml:space="preserve"> účelnost </w:t>
      </w:r>
      <w:r w:rsidR="00BB3EC3">
        <w:rPr>
          <w:rFonts w:ascii="Calibri" w:hAnsi="Calibri" w:cs="Calibri"/>
          <w:sz w:val="24"/>
          <w:szCs w:val="24"/>
        </w:rPr>
        <w:t>vynakládání</w:t>
      </w:r>
      <w:r w:rsidR="00AA2233" w:rsidRPr="001E731E">
        <w:rPr>
          <w:rFonts w:ascii="Calibri" w:hAnsi="Calibri" w:cs="Calibri"/>
          <w:sz w:val="24"/>
          <w:szCs w:val="24"/>
        </w:rPr>
        <w:t xml:space="preserve"> prostředků ve vazbě k </w:t>
      </w:r>
      <w:r w:rsidRPr="001E731E">
        <w:rPr>
          <w:rFonts w:ascii="Calibri" w:hAnsi="Calibri" w:cs="Calibri"/>
          <w:sz w:val="24"/>
          <w:szCs w:val="24"/>
        </w:rPr>
        <w:t>využívání IS.</w:t>
      </w:r>
    </w:p>
    <w:p w:rsidR="00A542FB" w:rsidRPr="001E731E" w:rsidRDefault="00A542FB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32C0" w:rsidRPr="001E731E" w:rsidRDefault="000F32C0" w:rsidP="001E731E">
      <w:pPr>
        <w:pStyle w:val="Odstavecseseznamem"/>
        <w:numPr>
          <w:ilvl w:val="0"/>
          <w:numId w:val="13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Kontrolovaná oblast </w:t>
      </w:r>
      <w:r w:rsidR="00FC1F7A" w:rsidRPr="001E731E">
        <w:rPr>
          <w:rFonts w:ascii="Calibri" w:hAnsi="Calibri" w:cs="Calibri"/>
          <w:sz w:val="24"/>
          <w:szCs w:val="24"/>
        </w:rPr>
        <w:t xml:space="preserve">již </w:t>
      </w:r>
      <w:r w:rsidRPr="001E731E">
        <w:rPr>
          <w:rFonts w:ascii="Calibri" w:hAnsi="Calibri" w:cs="Calibri"/>
          <w:sz w:val="24"/>
          <w:szCs w:val="24"/>
        </w:rPr>
        <w:t xml:space="preserve">byla předmětem </w:t>
      </w:r>
      <w:r w:rsidR="00BF281F">
        <w:rPr>
          <w:rFonts w:ascii="Calibri" w:hAnsi="Calibri" w:cs="Calibri"/>
          <w:sz w:val="24"/>
          <w:szCs w:val="24"/>
        </w:rPr>
        <w:t>kontrolní akce</w:t>
      </w:r>
      <w:r w:rsidRPr="001E731E">
        <w:rPr>
          <w:rFonts w:ascii="Calibri" w:hAnsi="Calibri" w:cs="Calibri"/>
          <w:sz w:val="24"/>
          <w:szCs w:val="24"/>
        </w:rPr>
        <w:t xml:space="preserve"> NKÚ č. 07/16</w:t>
      </w:r>
      <w:r w:rsidR="00FC1F7A" w:rsidRPr="001E731E">
        <w:rPr>
          <w:rFonts w:ascii="Calibri" w:hAnsi="Calibri" w:cs="Calibri"/>
          <w:sz w:val="24"/>
          <w:szCs w:val="24"/>
        </w:rPr>
        <w:t>.</w:t>
      </w:r>
      <w:r w:rsidR="00197070" w:rsidRPr="001E731E">
        <w:rPr>
          <w:rFonts w:ascii="Calibri" w:hAnsi="Calibri" w:cs="Calibri"/>
          <w:sz w:val="24"/>
          <w:szCs w:val="24"/>
        </w:rPr>
        <w:t xml:space="preserve"> P</w:t>
      </w:r>
      <w:r w:rsidRPr="001E731E">
        <w:rPr>
          <w:rFonts w:ascii="Calibri" w:hAnsi="Calibri" w:cs="Calibri"/>
          <w:sz w:val="24"/>
          <w:szCs w:val="24"/>
        </w:rPr>
        <w:t xml:space="preserve">řestože MŽP </w:t>
      </w:r>
      <w:r w:rsidR="00FC1F7A" w:rsidRPr="001E731E">
        <w:rPr>
          <w:rFonts w:ascii="Calibri" w:hAnsi="Calibri" w:cs="Calibri"/>
          <w:sz w:val="24"/>
          <w:szCs w:val="24"/>
        </w:rPr>
        <w:t xml:space="preserve">následně </w:t>
      </w:r>
      <w:r w:rsidRPr="001E731E">
        <w:rPr>
          <w:rFonts w:ascii="Calibri" w:hAnsi="Calibri" w:cs="Calibri"/>
          <w:sz w:val="24"/>
          <w:szCs w:val="24"/>
        </w:rPr>
        <w:t>při</w:t>
      </w:r>
      <w:r w:rsidR="00A02599" w:rsidRPr="001E731E">
        <w:rPr>
          <w:rFonts w:ascii="Calibri" w:hAnsi="Calibri" w:cs="Calibri"/>
          <w:sz w:val="24"/>
          <w:szCs w:val="24"/>
        </w:rPr>
        <w:t>jalo</w:t>
      </w:r>
      <w:r w:rsidRPr="001E731E">
        <w:rPr>
          <w:rFonts w:ascii="Calibri" w:hAnsi="Calibri" w:cs="Calibri"/>
          <w:sz w:val="24"/>
          <w:szCs w:val="24"/>
        </w:rPr>
        <w:t xml:space="preserve"> nápravná opatření, značná část nedostatků stále přetrvává.</w:t>
      </w:r>
    </w:p>
    <w:p w:rsidR="0002207F" w:rsidRPr="00BB3EC3" w:rsidRDefault="0002207F" w:rsidP="001E73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4666" w:rsidRPr="00BB3EC3" w:rsidRDefault="00D24666" w:rsidP="001E73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2207F" w:rsidRPr="001E731E" w:rsidRDefault="001E731E" w:rsidP="001E731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III. </w:t>
      </w:r>
      <w:r w:rsidR="0002207F" w:rsidRPr="001E731E">
        <w:rPr>
          <w:rFonts w:ascii="Calibri" w:hAnsi="Calibri" w:cs="Calibri"/>
          <w:b/>
          <w:sz w:val="28"/>
          <w:szCs w:val="28"/>
        </w:rPr>
        <w:t>Podrobná info</w:t>
      </w:r>
      <w:r w:rsidR="00242BD8" w:rsidRPr="001E731E">
        <w:rPr>
          <w:rFonts w:ascii="Calibri" w:hAnsi="Calibri" w:cs="Calibri"/>
          <w:b/>
          <w:sz w:val="28"/>
          <w:szCs w:val="28"/>
        </w:rPr>
        <w:t>r</w:t>
      </w:r>
      <w:r w:rsidR="0002207F" w:rsidRPr="001E731E">
        <w:rPr>
          <w:rFonts w:ascii="Calibri" w:hAnsi="Calibri" w:cs="Calibri"/>
          <w:b/>
          <w:sz w:val="28"/>
          <w:szCs w:val="28"/>
        </w:rPr>
        <w:t>mace k</w:t>
      </w:r>
      <w:r w:rsidR="00A955AE" w:rsidRPr="001E731E">
        <w:rPr>
          <w:rFonts w:ascii="Calibri" w:hAnsi="Calibri" w:cs="Calibri"/>
          <w:b/>
          <w:sz w:val="28"/>
          <w:szCs w:val="28"/>
        </w:rPr>
        <w:t xml:space="preserve"> hlavním </w:t>
      </w:r>
      <w:r w:rsidR="0002207F" w:rsidRPr="001E731E">
        <w:rPr>
          <w:rFonts w:ascii="Calibri" w:hAnsi="Calibri" w:cs="Calibri"/>
          <w:b/>
          <w:sz w:val="28"/>
          <w:szCs w:val="28"/>
        </w:rPr>
        <w:t>zjištěným skutečnostem</w:t>
      </w:r>
    </w:p>
    <w:p w:rsidR="00242BD8" w:rsidRPr="001E731E" w:rsidRDefault="00242BD8" w:rsidP="001E731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51D16" w:rsidRDefault="00151D16" w:rsidP="001E731E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</w:rPr>
      </w:pPr>
      <w:r w:rsidRPr="001E731E">
        <w:rPr>
          <w:rFonts w:ascii="Calibri" w:eastAsia="Times New Roman" w:hAnsi="Calibri" w:cs="Calibri"/>
          <w:iCs/>
          <w:sz w:val="24"/>
          <w:szCs w:val="24"/>
        </w:rPr>
        <w:t>Práva a povinnosti, které souvisejí s vytvářením, užíváním a rozvojem informačních systémů veřejné správy</w:t>
      </w:r>
      <w:r w:rsidR="00BF281F">
        <w:rPr>
          <w:rFonts w:ascii="Calibri" w:eastAsia="Times New Roman" w:hAnsi="Calibri" w:cs="Calibri"/>
          <w:iCs/>
          <w:sz w:val="24"/>
          <w:szCs w:val="24"/>
        </w:rPr>
        <w:t>,</w:t>
      </w:r>
      <w:r w:rsidRPr="001E731E">
        <w:rPr>
          <w:rFonts w:ascii="Calibri" w:eastAsia="Times New Roman" w:hAnsi="Calibri" w:cs="Calibri"/>
          <w:iCs/>
          <w:sz w:val="24"/>
          <w:szCs w:val="24"/>
        </w:rPr>
        <w:t xml:space="preserve"> stanovuje zákon č. 365/2000 Sb.</w:t>
      </w:r>
      <w:r w:rsidRPr="001E731E">
        <w:rPr>
          <w:rFonts w:ascii="Calibri" w:eastAsia="Times New Roman" w:hAnsi="Calibri" w:cs="Calibri"/>
          <w:sz w:val="24"/>
          <w:szCs w:val="24"/>
          <w:vertAlign w:val="superscript"/>
        </w:rPr>
        <w:footnoteReference w:id="6"/>
      </w:r>
      <w:r w:rsidRPr="001E731E">
        <w:rPr>
          <w:rFonts w:ascii="Calibri" w:eastAsia="Times New Roman" w:hAnsi="Calibri" w:cs="Calibri"/>
          <w:iCs/>
          <w:sz w:val="24"/>
          <w:szCs w:val="24"/>
        </w:rPr>
        <w:t xml:space="preserve"> Zákon uvádí základní kritérium hodnocení, který informační systém je informačním systémem veřejné správy (dále také „ISVS“). Současně je základním právním předpisem, který zavádí pojem </w:t>
      </w:r>
      <w:r w:rsidR="00BF281F">
        <w:rPr>
          <w:rFonts w:ascii="Calibri" w:eastAsia="Times New Roman" w:hAnsi="Calibri" w:cs="Calibri"/>
          <w:iCs/>
          <w:sz w:val="24"/>
          <w:szCs w:val="24"/>
        </w:rPr>
        <w:t>„</w:t>
      </w:r>
      <w:r w:rsidR="00AE5999">
        <w:rPr>
          <w:rFonts w:ascii="Calibri" w:eastAsia="Times New Roman" w:hAnsi="Calibri" w:cs="Calibri"/>
          <w:iCs/>
          <w:sz w:val="24"/>
          <w:szCs w:val="24"/>
        </w:rPr>
        <w:t>i</w:t>
      </w:r>
      <w:r w:rsidRPr="001E731E">
        <w:rPr>
          <w:rFonts w:ascii="Calibri" w:eastAsia="Times New Roman" w:hAnsi="Calibri" w:cs="Calibri"/>
          <w:iCs/>
          <w:sz w:val="24"/>
          <w:szCs w:val="24"/>
        </w:rPr>
        <w:t>nformační koncepce</w:t>
      </w:r>
      <w:r w:rsidR="00BF281F">
        <w:rPr>
          <w:rFonts w:ascii="Calibri" w:eastAsia="Times New Roman" w:hAnsi="Calibri" w:cs="Calibri"/>
          <w:iCs/>
          <w:sz w:val="24"/>
          <w:szCs w:val="24"/>
        </w:rPr>
        <w:t>“</w:t>
      </w:r>
      <w:r w:rsidRPr="001E731E">
        <w:rPr>
          <w:rFonts w:ascii="Calibri" w:eastAsia="Times New Roman" w:hAnsi="Calibri" w:cs="Calibri"/>
          <w:iCs/>
          <w:sz w:val="24"/>
          <w:szCs w:val="24"/>
        </w:rPr>
        <w:t>.</w:t>
      </w:r>
    </w:p>
    <w:p w:rsidR="00EB4B92" w:rsidRPr="001E731E" w:rsidRDefault="00EB4B92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51D16" w:rsidRDefault="00151D16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>Ministerstvo životního prostředí disponuje několika strategickými dokumenty, které rozpracovávají cíle a záměry resortu životního prostředí na jednotlivé úrovně řízení.</w:t>
      </w:r>
      <w:r w:rsidR="00AE5999">
        <w:rPr>
          <w:rFonts w:ascii="Calibri" w:eastAsia="Times New Roman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sz w:val="24"/>
          <w:szCs w:val="24"/>
        </w:rPr>
        <w:t xml:space="preserve">Na vrcholové úrovni řízení se činnost resortu životního prostředí odvíjí od schválené </w:t>
      </w:r>
      <w:r w:rsidR="002458E5">
        <w:rPr>
          <w:rFonts w:ascii="Calibri" w:hAnsi="Calibri" w:cs="Calibri"/>
          <w:sz w:val="24"/>
          <w:szCs w:val="24"/>
        </w:rPr>
        <w:t>s</w:t>
      </w:r>
      <w:r w:rsidRPr="00702F91">
        <w:rPr>
          <w:rFonts w:ascii="Calibri" w:hAnsi="Calibri" w:cs="Calibri"/>
          <w:sz w:val="24"/>
          <w:szCs w:val="24"/>
        </w:rPr>
        <w:t>tátní politiky životního prostředí</w:t>
      </w:r>
      <w:r w:rsidRPr="002458E5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sz w:val="24"/>
          <w:szCs w:val="24"/>
        </w:rPr>
        <w:t xml:space="preserve">(dále také „SPŽP“). Součástí tohoto </w:t>
      </w:r>
      <w:r w:rsidR="00BF281F">
        <w:rPr>
          <w:rFonts w:ascii="Calibri" w:hAnsi="Calibri" w:cs="Calibri"/>
          <w:sz w:val="24"/>
          <w:szCs w:val="24"/>
        </w:rPr>
        <w:t xml:space="preserve">periodicky aktualizovaného </w:t>
      </w:r>
      <w:r w:rsidRPr="001E731E">
        <w:rPr>
          <w:rFonts w:ascii="Calibri" w:hAnsi="Calibri" w:cs="Calibri"/>
          <w:sz w:val="24"/>
          <w:szCs w:val="24"/>
        </w:rPr>
        <w:t xml:space="preserve">materiálu je vždy kapitola </w:t>
      </w:r>
      <w:r w:rsidRPr="00702F91">
        <w:rPr>
          <w:rFonts w:ascii="Calibri" w:hAnsi="Calibri" w:cs="Calibri"/>
          <w:i/>
          <w:sz w:val="24"/>
          <w:szCs w:val="24"/>
        </w:rPr>
        <w:t>Nástroje realizace politiky životního prostředí</w:t>
      </w:r>
      <w:r w:rsidRPr="001E731E">
        <w:rPr>
          <w:rFonts w:ascii="Calibri" w:hAnsi="Calibri" w:cs="Calibri"/>
          <w:sz w:val="24"/>
          <w:szCs w:val="24"/>
        </w:rPr>
        <w:t xml:space="preserve">, která obsahuje oddíl </w:t>
      </w:r>
      <w:r w:rsidRPr="00702F91">
        <w:rPr>
          <w:rFonts w:ascii="Calibri" w:hAnsi="Calibri" w:cs="Calibri"/>
          <w:i/>
          <w:sz w:val="24"/>
          <w:szCs w:val="24"/>
        </w:rPr>
        <w:t>Informační nástroje</w:t>
      </w:r>
      <w:r w:rsidRPr="001E731E">
        <w:rPr>
          <w:rFonts w:ascii="Calibri" w:hAnsi="Calibri" w:cs="Calibri"/>
          <w:sz w:val="24"/>
          <w:szCs w:val="24"/>
        </w:rPr>
        <w:t>.</w:t>
      </w:r>
    </w:p>
    <w:p w:rsidR="00EB4B92" w:rsidRPr="001E731E" w:rsidRDefault="00EB4B9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1D16" w:rsidRPr="001E731E" w:rsidRDefault="00151D16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Dalšími strategickými dokumenty jsou například: </w:t>
      </w:r>
    </w:p>
    <w:p w:rsidR="00151D16" w:rsidRPr="00702F91" w:rsidRDefault="00AE5999" w:rsidP="00702F91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02F91">
        <w:rPr>
          <w:rFonts w:ascii="Calibri" w:hAnsi="Calibri" w:cs="Calibri"/>
          <w:sz w:val="24"/>
          <w:szCs w:val="24"/>
        </w:rPr>
        <w:t>i</w:t>
      </w:r>
      <w:r w:rsidR="00151D16" w:rsidRPr="00702F91">
        <w:rPr>
          <w:rFonts w:ascii="Calibri" w:hAnsi="Calibri" w:cs="Calibri"/>
          <w:sz w:val="24"/>
          <w:szCs w:val="24"/>
        </w:rPr>
        <w:t xml:space="preserve">nformační strategie (dále také „IST“) </w:t>
      </w:r>
      <w:r w:rsidR="0076767B" w:rsidRPr="00702F91">
        <w:rPr>
          <w:rFonts w:ascii="Calibri" w:hAnsi="Calibri" w:cs="Calibri"/>
          <w:sz w:val="24"/>
          <w:szCs w:val="24"/>
        </w:rPr>
        <w:t>–</w:t>
      </w:r>
      <w:r w:rsidR="00151D16" w:rsidRPr="00702F91">
        <w:rPr>
          <w:rFonts w:ascii="Calibri" w:hAnsi="Calibri" w:cs="Calibri"/>
          <w:sz w:val="24"/>
          <w:szCs w:val="24"/>
        </w:rPr>
        <w:t xml:space="preserve"> představují strategické plány dlouhodobé orientace resortu </w:t>
      </w:r>
      <w:r w:rsidR="00B820F9" w:rsidRPr="00702F91">
        <w:rPr>
          <w:rFonts w:ascii="Calibri" w:hAnsi="Calibri" w:cs="Calibri"/>
          <w:sz w:val="24"/>
          <w:szCs w:val="24"/>
        </w:rPr>
        <w:t>životního prostředí</w:t>
      </w:r>
      <w:r w:rsidR="00151D16" w:rsidRPr="00702F91">
        <w:rPr>
          <w:rFonts w:ascii="Calibri" w:hAnsi="Calibri" w:cs="Calibri"/>
          <w:sz w:val="24"/>
          <w:szCs w:val="24"/>
        </w:rPr>
        <w:t xml:space="preserve"> v oblasti poskytování informační podpory, informačních zdrojů, služeb a technologií. Úkolem strategi</w:t>
      </w:r>
      <w:r w:rsidRPr="00702F91">
        <w:rPr>
          <w:rFonts w:ascii="Calibri" w:hAnsi="Calibri" w:cs="Calibri"/>
          <w:sz w:val="24"/>
          <w:szCs w:val="24"/>
        </w:rPr>
        <w:t>í</w:t>
      </w:r>
      <w:r w:rsidR="00151D16" w:rsidRPr="00702F91">
        <w:rPr>
          <w:rFonts w:ascii="Calibri" w:hAnsi="Calibri" w:cs="Calibri"/>
          <w:sz w:val="24"/>
          <w:szCs w:val="24"/>
        </w:rPr>
        <w:t xml:space="preserve"> je optimální podpora činnosti </w:t>
      </w:r>
      <w:r w:rsidR="00023156" w:rsidRPr="00702F91">
        <w:rPr>
          <w:rFonts w:ascii="Calibri" w:hAnsi="Calibri" w:cs="Calibri"/>
          <w:sz w:val="24"/>
          <w:szCs w:val="24"/>
        </w:rPr>
        <w:t>MŽP</w:t>
      </w:r>
      <w:r w:rsidR="00151D16" w:rsidRPr="00702F91">
        <w:rPr>
          <w:rFonts w:ascii="Calibri" w:hAnsi="Calibri" w:cs="Calibri"/>
          <w:sz w:val="24"/>
          <w:szCs w:val="24"/>
        </w:rPr>
        <w:t> a jeho podnikových procesů pomocí vhodně nasazených nástrojů informačních technologií</w:t>
      </w:r>
      <w:r w:rsidRPr="00702F91">
        <w:rPr>
          <w:rFonts w:ascii="Calibri" w:hAnsi="Calibri" w:cs="Calibri"/>
          <w:sz w:val="24"/>
          <w:szCs w:val="24"/>
        </w:rPr>
        <w:t>;</w:t>
      </w:r>
    </w:p>
    <w:p w:rsidR="00151D16" w:rsidRPr="00702F91" w:rsidRDefault="00151D16" w:rsidP="00702F91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02F91">
        <w:rPr>
          <w:rFonts w:ascii="Calibri" w:hAnsi="Calibri" w:cs="Calibri"/>
          <w:i/>
          <w:sz w:val="24"/>
          <w:szCs w:val="24"/>
        </w:rPr>
        <w:t xml:space="preserve">Koncepce </w:t>
      </w:r>
      <w:r w:rsidR="00AE5999" w:rsidRPr="00702F91">
        <w:rPr>
          <w:rFonts w:ascii="Calibri" w:hAnsi="Calibri" w:cs="Calibri"/>
          <w:i/>
          <w:sz w:val="24"/>
          <w:szCs w:val="24"/>
        </w:rPr>
        <w:t>j</w:t>
      </w:r>
      <w:r w:rsidRPr="00702F91">
        <w:rPr>
          <w:rFonts w:ascii="Calibri" w:hAnsi="Calibri" w:cs="Calibri"/>
          <w:i/>
          <w:sz w:val="24"/>
          <w:szCs w:val="24"/>
        </w:rPr>
        <w:t xml:space="preserve">ednotného informačního systému životního prostředí </w:t>
      </w:r>
      <w:r w:rsidR="004077AD" w:rsidRPr="00702F91">
        <w:rPr>
          <w:rFonts w:ascii="Calibri" w:hAnsi="Calibri" w:cs="Calibri"/>
          <w:sz w:val="24"/>
          <w:szCs w:val="24"/>
        </w:rPr>
        <w:t xml:space="preserve">(dále </w:t>
      </w:r>
      <w:r w:rsidR="00BF281F">
        <w:rPr>
          <w:rFonts w:ascii="Calibri" w:hAnsi="Calibri" w:cs="Calibri"/>
          <w:sz w:val="24"/>
          <w:szCs w:val="24"/>
        </w:rPr>
        <w:t>jen</w:t>
      </w:r>
      <w:r w:rsidR="004077AD" w:rsidRPr="00702F91">
        <w:rPr>
          <w:rFonts w:ascii="Calibri" w:hAnsi="Calibri" w:cs="Calibri"/>
          <w:sz w:val="24"/>
          <w:szCs w:val="24"/>
        </w:rPr>
        <w:t xml:space="preserve"> „Koncepce JISŽP“) </w:t>
      </w:r>
      <w:r w:rsidR="0076767B" w:rsidRPr="00702F91">
        <w:rPr>
          <w:rFonts w:ascii="Calibri" w:hAnsi="Calibri" w:cs="Calibri"/>
          <w:sz w:val="24"/>
          <w:szCs w:val="24"/>
        </w:rPr>
        <w:t>–</w:t>
      </w:r>
      <w:r w:rsidRPr="00702F91">
        <w:rPr>
          <w:rFonts w:ascii="Calibri" w:hAnsi="Calibri" w:cs="Calibri"/>
          <w:sz w:val="24"/>
          <w:szCs w:val="24"/>
        </w:rPr>
        <w:t xml:space="preserve"> představuje pojetí rozvoje a provozu JISŽP, který je zastřešující „platformou“ informačních systémů prov</w:t>
      </w:r>
      <w:r w:rsidR="00B820F9" w:rsidRPr="00702F91">
        <w:rPr>
          <w:rFonts w:ascii="Calibri" w:hAnsi="Calibri" w:cs="Calibri"/>
          <w:sz w:val="24"/>
          <w:szCs w:val="24"/>
        </w:rPr>
        <w:t>ozovaných v resortu</w:t>
      </w:r>
      <w:r w:rsidRPr="00702F91">
        <w:rPr>
          <w:rFonts w:ascii="Calibri" w:hAnsi="Calibri" w:cs="Calibri"/>
          <w:sz w:val="24"/>
          <w:szCs w:val="24"/>
        </w:rPr>
        <w:t xml:space="preserve"> životního prostředí za účelem sběru a hodnocení dat o životním prostředí</w:t>
      </w:r>
      <w:r w:rsidR="00AE5999" w:rsidRPr="00702F91">
        <w:rPr>
          <w:rFonts w:ascii="Calibri" w:hAnsi="Calibri" w:cs="Calibri"/>
          <w:sz w:val="24"/>
          <w:szCs w:val="24"/>
        </w:rPr>
        <w:t>;</w:t>
      </w:r>
    </w:p>
    <w:p w:rsidR="00151D16" w:rsidRPr="00BF281F" w:rsidRDefault="00AE5999" w:rsidP="00702F91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2F91">
        <w:rPr>
          <w:rFonts w:ascii="Calibri" w:eastAsia="Times New Roman" w:hAnsi="Calibri" w:cs="Calibri"/>
          <w:sz w:val="24"/>
          <w:szCs w:val="24"/>
          <w:lang w:eastAsia="cs-CZ"/>
        </w:rPr>
        <w:t>i</w:t>
      </w:r>
      <w:r w:rsidR="00151D16" w:rsidRPr="00702F91">
        <w:rPr>
          <w:rFonts w:ascii="Calibri" w:eastAsia="Times New Roman" w:hAnsi="Calibri" w:cs="Calibri"/>
          <w:sz w:val="24"/>
          <w:szCs w:val="24"/>
          <w:lang w:eastAsia="cs-CZ"/>
        </w:rPr>
        <w:t xml:space="preserve">nformační koncepce (dále </w:t>
      </w:r>
      <w:r w:rsidR="00BF281F" w:rsidRPr="00BF281F">
        <w:rPr>
          <w:rFonts w:ascii="Calibri" w:eastAsia="Times New Roman" w:hAnsi="Calibri" w:cs="Calibri"/>
          <w:sz w:val="24"/>
          <w:szCs w:val="24"/>
          <w:lang w:eastAsia="cs-CZ"/>
        </w:rPr>
        <w:t>jen</w:t>
      </w:r>
      <w:r w:rsidR="00151D16" w:rsidRPr="00702F91">
        <w:rPr>
          <w:rFonts w:ascii="Calibri" w:eastAsia="Times New Roman" w:hAnsi="Calibri" w:cs="Calibri"/>
          <w:sz w:val="24"/>
          <w:szCs w:val="24"/>
          <w:lang w:eastAsia="cs-CZ"/>
        </w:rPr>
        <w:t xml:space="preserve"> „IK“) – popisuje architekturu</w:t>
      </w:r>
      <w:r w:rsidR="00B44635" w:rsidRPr="00702F91">
        <w:rPr>
          <w:rFonts w:ascii="Calibri" w:eastAsia="Times New Roman" w:hAnsi="Calibri" w:cs="Calibri"/>
          <w:sz w:val="24"/>
          <w:szCs w:val="24"/>
          <w:lang w:eastAsia="cs-CZ"/>
        </w:rPr>
        <w:t xml:space="preserve"> informačních systémů v resortu životního prostředí</w:t>
      </w:r>
      <w:r w:rsidR="00151D16" w:rsidRPr="00702F91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="00151D16" w:rsidRPr="00BF281F">
        <w:rPr>
          <w:rFonts w:ascii="Calibri" w:eastAsia="Times New Roman" w:hAnsi="Calibri" w:cs="Calibri"/>
          <w:sz w:val="24"/>
          <w:szCs w:val="24"/>
          <w:lang w:eastAsia="cs-CZ"/>
        </w:rPr>
        <w:t xml:space="preserve">V první vrstvě </w:t>
      </w:r>
      <w:proofErr w:type="gramStart"/>
      <w:r w:rsidR="00151D16" w:rsidRPr="00BF281F">
        <w:rPr>
          <w:rFonts w:ascii="Calibri" w:eastAsia="Times New Roman" w:hAnsi="Calibri" w:cs="Calibri"/>
          <w:sz w:val="24"/>
          <w:szCs w:val="24"/>
          <w:lang w:eastAsia="cs-CZ"/>
        </w:rPr>
        <w:t>jsou</w:t>
      </w:r>
      <w:proofErr w:type="gramEnd"/>
      <w:r w:rsidR="00151D16" w:rsidRPr="00BF281F">
        <w:rPr>
          <w:rFonts w:ascii="Calibri" w:eastAsia="Times New Roman" w:hAnsi="Calibri" w:cs="Calibri"/>
          <w:sz w:val="24"/>
          <w:szCs w:val="24"/>
          <w:lang w:eastAsia="cs-CZ"/>
        </w:rPr>
        <w:t xml:space="preserve"> uvedeny </w:t>
      </w:r>
      <w:proofErr w:type="gramStart"/>
      <w:r w:rsidR="00151D16" w:rsidRPr="00BF281F">
        <w:rPr>
          <w:rFonts w:ascii="Calibri" w:eastAsia="Times New Roman" w:hAnsi="Calibri" w:cs="Calibri"/>
          <w:sz w:val="24"/>
          <w:szCs w:val="24"/>
          <w:lang w:eastAsia="cs-CZ"/>
        </w:rPr>
        <w:t>IS</w:t>
      </w:r>
      <w:proofErr w:type="gramEnd"/>
      <w:r w:rsidR="00151D16" w:rsidRPr="00BF281F">
        <w:rPr>
          <w:rFonts w:ascii="Calibri" w:eastAsia="Times New Roman" w:hAnsi="Calibri" w:cs="Calibri"/>
          <w:sz w:val="24"/>
          <w:szCs w:val="24"/>
          <w:lang w:eastAsia="cs-CZ"/>
        </w:rPr>
        <w:t xml:space="preserve">, které spadají do JISŽP a jsou tvořeny informačními systémy veřejné správy a odbornými IS, které do ISVS nespadají. Další vrstva obsahuje IS, které </w:t>
      </w:r>
      <w:r w:rsidRPr="00BF281F">
        <w:rPr>
          <w:rFonts w:ascii="Calibri" w:eastAsia="Times New Roman" w:hAnsi="Calibri" w:cs="Calibri"/>
          <w:sz w:val="24"/>
          <w:szCs w:val="24"/>
          <w:lang w:eastAsia="cs-CZ"/>
        </w:rPr>
        <w:t xml:space="preserve">jsou </w:t>
      </w:r>
      <w:r w:rsidR="00151D16" w:rsidRPr="00BF281F">
        <w:rPr>
          <w:rFonts w:ascii="Calibri" w:eastAsia="Times New Roman" w:hAnsi="Calibri" w:cs="Calibri"/>
          <w:sz w:val="24"/>
          <w:szCs w:val="24"/>
          <w:lang w:eastAsia="cs-CZ"/>
        </w:rPr>
        <w:t>na základě svého účelu charakterizovány jako ISVS dle zákona č. 365/2000 Sb., nicméně data zpracovávaná v těchto ISVS nenaplňují</w:t>
      </w:r>
      <w:r w:rsidR="00E61229" w:rsidRPr="00BF281F">
        <w:rPr>
          <w:rFonts w:ascii="Calibri" w:eastAsia="Times New Roman" w:hAnsi="Calibri" w:cs="Calibri"/>
          <w:sz w:val="24"/>
          <w:szCs w:val="24"/>
          <w:lang w:eastAsia="cs-CZ"/>
        </w:rPr>
        <w:t xml:space="preserve"> kritéria JISŽP (nevztahují se </w:t>
      </w:r>
      <w:r w:rsidR="00151D16" w:rsidRPr="00BF281F">
        <w:rPr>
          <w:rFonts w:ascii="Calibri" w:eastAsia="Times New Roman" w:hAnsi="Calibri" w:cs="Calibri"/>
          <w:sz w:val="24"/>
          <w:szCs w:val="24"/>
          <w:lang w:eastAsia="cs-CZ"/>
        </w:rPr>
        <w:t>k problematice životního prostředí). Poslední vrstva (provozní informační systémy) představuje podpůrnou informační základnu dané organizace. Vrstva je tvořena IS</w:t>
      </w:r>
      <w:r w:rsidRPr="00BF281F">
        <w:rPr>
          <w:rFonts w:ascii="Calibri" w:eastAsia="Times New Roman" w:hAnsi="Calibri" w:cs="Calibri"/>
          <w:sz w:val="24"/>
          <w:szCs w:val="24"/>
          <w:lang w:eastAsia="cs-CZ"/>
        </w:rPr>
        <w:t>, které</w:t>
      </w:r>
      <w:r w:rsidR="00151D16" w:rsidRPr="00BF281F">
        <w:rPr>
          <w:rFonts w:ascii="Calibri" w:eastAsia="Times New Roman" w:hAnsi="Calibri" w:cs="Calibri"/>
          <w:sz w:val="24"/>
          <w:szCs w:val="24"/>
          <w:lang w:eastAsia="cs-CZ"/>
        </w:rPr>
        <w:t xml:space="preserve"> zajišťují vnitřní provoz příslušné organizace a nesouvisí bezprostředně s výkonem veřejné správy.</w:t>
      </w:r>
    </w:p>
    <w:p w:rsidR="00EB4B92" w:rsidRPr="001E731E" w:rsidRDefault="00EB4B92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A4B77" w:rsidRPr="001E731E" w:rsidRDefault="00DA4B77" w:rsidP="001E731E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  <w:r w:rsidRPr="001E731E">
        <w:rPr>
          <w:rFonts w:ascii="Calibri" w:eastAsia="Times New Roman" w:hAnsi="Calibri" w:cs="Calibri"/>
          <w:b/>
          <w:i/>
          <w:sz w:val="24"/>
          <w:szCs w:val="24"/>
        </w:rPr>
        <w:t>Jednotný informační systém o životním prostředí</w:t>
      </w:r>
    </w:p>
    <w:p w:rsidR="00EB4B92" w:rsidRPr="00BF281F" w:rsidRDefault="00EB4B92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6E170E" w:rsidRPr="001E731E" w:rsidRDefault="00296697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b/>
          <w:sz w:val="24"/>
          <w:szCs w:val="24"/>
        </w:rPr>
        <w:t>JISŽP je stále teoretickým konceptem, nikoliv však jednotným informačním systémem. MŽP tak neplnilo povinnost zabezpečovat a řídit JISŽP dle zákona č</w:t>
      </w:r>
      <w:r w:rsidR="00B44635" w:rsidRPr="001E731E">
        <w:rPr>
          <w:rFonts w:ascii="Calibri" w:eastAsia="Times New Roman" w:hAnsi="Calibri" w:cs="Calibri"/>
          <w:b/>
          <w:sz w:val="24"/>
          <w:szCs w:val="24"/>
        </w:rPr>
        <w:t>. 2/1969 Sb. V současné době res</w:t>
      </w:r>
      <w:r w:rsidRPr="001E731E">
        <w:rPr>
          <w:rFonts w:ascii="Calibri" w:eastAsia="Times New Roman" w:hAnsi="Calibri" w:cs="Calibri"/>
          <w:b/>
          <w:sz w:val="24"/>
          <w:szCs w:val="24"/>
        </w:rPr>
        <w:t xml:space="preserve">ort </w:t>
      </w:r>
      <w:r w:rsidR="00B44635" w:rsidRPr="001E731E">
        <w:rPr>
          <w:rFonts w:ascii="Calibri" w:eastAsia="Times New Roman" w:hAnsi="Calibri" w:cs="Calibri"/>
          <w:b/>
          <w:sz w:val="24"/>
          <w:szCs w:val="24"/>
        </w:rPr>
        <w:t>životního prostředí</w:t>
      </w:r>
      <w:r w:rsidRPr="001E731E">
        <w:rPr>
          <w:rFonts w:ascii="Calibri" w:eastAsia="Times New Roman" w:hAnsi="Calibri" w:cs="Calibri"/>
          <w:b/>
          <w:sz w:val="24"/>
          <w:szCs w:val="24"/>
        </w:rPr>
        <w:t xml:space="preserve"> využívá 125 samo</w:t>
      </w:r>
      <w:r w:rsidR="00B44635" w:rsidRPr="001E731E">
        <w:rPr>
          <w:rFonts w:ascii="Calibri" w:eastAsia="Times New Roman" w:hAnsi="Calibri" w:cs="Calibri"/>
          <w:b/>
          <w:sz w:val="24"/>
          <w:szCs w:val="24"/>
        </w:rPr>
        <w:t>statných informačních systémů a </w:t>
      </w:r>
      <w:r w:rsidRPr="001E731E">
        <w:rPr>
          <w:rFonts w:ascii="Calibri" w:eastAsia="Times New Roman" w:hAnsi="Calibri" w:cs="Calibri"/>
          <w:b/>
          <w:sz w:val="24"/>
          <w:szCs w:val="24"/>
        </w:rPr>
        <w:t>databází.</w:t>
      </w:r>
    </w:p>
    <w:p w:rsidR="00EB4B92" w:rsidRDefault="00EB4B9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A68D6" w:rsidRDefault="00016DA1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lastRenderedPageBreak/>
        <w:t>MŽP si v žádném strategickém dokumentu nestanovilo kritéria posuzování „jednotnosti“ informačního systému životního prostředí, kterým by se inf</w:t>
      </w:r>
      <w:r w:rsidR="00553828" w:rsidRPr="001E731E">
        <w:rPr>
          <w:rFonts w:ascii="Calibri" w:hAnsi="Calibri" w:cs="Calibri"/>
          <w:sz w:val="24"/>
          <w:szCs w:val="24"/>
        </w:rPr>
        <w:t>ormační systémy začleňované do </w:t>
      </w:r>
      <w:r w:rsidRPr="001E731E">
        <w:rPr>
          <w:rFonts w:ascii="Calibri" w:hAnsi="Calibri" w:cs="Calibri"/>
          <w:sz w:val="24"/>
          <w:szCs w:val="24"/>
        </w:rPr>
        <w:t xml:space="preserve">JISŽP musely přizpůsobit, aby </w:t>
      </w:r>
      <w:r w:rsidR="00BF281F" w:rsidRPr="001E731E">
        <w:rPr>
          <w:rFonts w:ascii="Calibri" w:hAnsi="Calibri" w:cs="Calibri"/>
          <w:sz w:val="24"/>
          <w:szCs w:val="24"/>
        </w:rPr>
        <w:t xml:space="preserve">byl </w:t>
      </w:r>
      <w:r w:rsidRPr="001E731E">
        <w:rPr>
          <w:rFonts w:ascii="Calibri" w:hAnsi="Calibri" w:cs="Calibri"/>
          <w:sz w:val="24"/>
          <w:szCs w:val="24"/>
        </w:rPr>
        <w:t>JISŽP skutečně budován.</w:t>
      </w:r>
      <w:r w:rsidR="00A2294B" w:rsidRPr="001E731E">
        <w:rPr>
          <w:rFonts w:ascii="Calibri" w:eastAsia="Times New Roman" w:hAnsi="Calibri" w:cs="Calibri"/>
          <w:sz w:val="24"/>
          <w:szCs w:val="24"/>
        </w:rPr>
        <w:t xml:space="preserve"> V</w:t>
      </w:r>
      <w:r w:rsidR="00CD1BCF" w:rsidRPr="001E731E">
        <w:rPr>
          <w:rFonts w:ascii="Calibri" w:eastAsia="Times New Roman" w:hAnsi="Calibri" w:cs="Calibri"/>
          <w:sz w:val="24"/>
          <w:szCs w:val="24"/>
        </w:rPr>
        <w:t xml:space="preserve"> hlavním strategickém dokumentu </w:t>
      </w:r>
      <w:r w:rsidR="00CD1BCF" w:rsidRPr="00702F91">
        <w:rPr>
          <w:rFonts w:ascii="Calibri" w:eastAsia="Times New Roman" w:hAnsi="Calibri" w:cs="Calibri"/>
          <w:i/>
          <w:sz w:val="24"/>
          <w:szCs w:val="24"/>
        </w:rPr>
        <w:t xml:space="preserve">Statní politika životního prostředí na období let </w:t>
      </w:r>
      <w:r w:rsidR="00A2294B" w:rsidRPr="00702F91">
        <w:rPr>
          <w:rFonts w:ascii="Calibri" w:eastAsia="Times New Roman" w:hAnsi="Calibri" w:cs="Calibri"/>
          <w:i/>
          <w:sz w:val="24"/>
          <w:szCs w:val="24"/>
        </w:rPr>
        <w:t>2012</w:t>
      </w:r>
      <w:r w:rsidR="00172092" w:rsidRPr="00702F91">
        <w:rPr>
          <w:rFonts w:ascii="Calibri" w:eastAsia="Times New Roman" w:hAnsi="Calibri" w:cs="Calibri"/>
          <w:i/>
          <w:sz w:val="24"/>
          <w:szCs w:val="24"/>
        </w:rPr>
        <w:t>–</w:t>
      </w:r>
      <w:r w:rsidR="00A2294B" w:rsidRPr="00702F91">
        <w:rPr>
          <w:rFonts w:ascii="Calibri" w:eastAsia="Times New Roman" w:hAnsi="Calibri" w:cs="Calibri"/>
          <w:i/>
          <w:sz w:val="24"/>
          <w:szCs w:val="24"/>
        </w:rPr>
        <w:t>2020</w:t>
      </w:r>
      <w:r w:rsidR="00A2294B" w:rsidRPr="001E731E">
        <w:rPr>
          <w:rFonts w:ascii="Calibri" w:eastAsia="Times New Roman" w:hAnsi="Calibri" w:cs="Calibri"/>
          <w:sz w:val="24"/>
          <w:szCs w:val="24"/>
        </w:rPr>
        <w:t xml:space="preserve"> se </w:t>
      </w:r>
      <w:r w:rsidR="00AF3E9E" w:rsidRPr="001E731E">
        <w:rPr>
          <w:rFonts w:ascii="Calibri" w:eastAsia="Times New Roman" w:hAnsi="Calibri" w:cs="Calibri"/>
          <w:sz w:val="24"/>
          <w:szCs w:val="24"/>
        </w:rPr>
        <w:t xml:space="preserve">termín JISŽP vyskytl </w:t>
      </w:r>
      <w:r w:rsidR="008903FB" w:rsidRPr="001E731E">
        <w:rPr>
          <w:rFonts w:ascii="Calibri" w:eastAsia="Times New Roman" w:hAnsi="Calibri" w:cs="Calibri"/>
          <w:sz w:val="24"/>
          <w:szCs w:val="24"/>
        </w:rPr>
        <w:t>minimálně</w:t>
      </w:r>
      <w:r w:rsidR="00CD1BCF"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A2294B" w:rsidRPr="001E731E">
        <w:rPr>
          <w:rFonts w:ascii="Calibri" w:eastAsia="Times New Roman" w:hAnsi="Calibri" w:cs="Calibri"/>
          <w:sz w:val="24"/>
          <w:szCs w:val="24"/>
        </w:rPr>
        <w:t xml:space="preserve">a ani </w:t>
      </w:r>
      <w:r w:rsidR="00CD1BCF" w:rsidRPr="001E731E">
        <w:rPr>
          <w:rFonts w:ascii="Calibri" w:eastAsia="Times New Roman" w:hAnsi="Calibri" w:cs="Calibri"/>
          <w:sz w:val="24"/>
          <w:szCs w:val="24"/>
        </w:rPr>
        <w:t>nebyl</w:t>
      </w:r>
      <w:r w:rsidR="00A2294B" w:rsidRPr="001E731E">
        <w:rPr>
          <w:rFonts w:ascii="Calibri" w:eastAsia="Times New Roman" w:hAnsi="Calibri" w:cs="Calibri"/>
          <w:sz w:val="24"/>
          <w:szCs w:val="24"/>
        </w:rPr>
        <w:t xml:space="preserve"> v kontextu</w:t>
      </w:r>
      <w:r w:rsidR="00AF3E9E" w:rsidRPr="001E731E">
        <w:rPr>
          <w:rFonts w:ascii="Calibri" w:eastAsia="Times New Roman" w:hAnsi="Calibri" w:cs="Calibri"/>
          <w:sz w:val="24"/>
          <w:szCs w:val="24"/>
        </w:rPr>
        <w:t xml:space="preserve">, který </w:t>
      </w:r>
      <w:r w:rsidR="00A2294B" w:rsidRPr="001E731E">
        <w:rPr>
          <w:rFonts w:ascii="Calibri" w:eastAsia="Times New Roman" w:hAnsi="Calibri" w:cs="Calibri"/>
          <w:sz w:val="24"/>
          <w:szCs w:val="24"/>
        </w:rPr>
        <w:t xml:space="preserve">by </w:t>
      </w:r>
      <w:r w:rsidR="00AF3E9E" w:rsidRPr="001E731E">
        <w:rPr>
          <w:rFonts w:ascii="Calibri" w:eastAsia="Times New Roman" w:hAnsi="Calibri" w:cs="Calibri"/>
          <w:sz w:val="24"/>
          <w:szCs w:val="24"/>
        </w:rPr>
        <w:t xml:space="preserve">se </w:t>
      </w:r>
      <w:r w:rsidR="00A2294B" w:rsidRPr="001E731E">
        <w:rPr>
          <w:rFonts w:ascii="Calibri" w:eastAsia="Times New Roman" w:hAnsi="Calibri" w:cs="Calibri"/>
          <w:sz w:val="24"/>
          <w:szCs w:val="24"/>
        </w:rPr>
        <w:t>jakkoliv vyjadřoval ke směrům rozvoje JISŽP jako celku v rámci cílů a priorit SPŽP</w:t>
      </w:r>
      <w:r w:rsidR="00CD1BCF" w:rsidRPr="001E731E">
        <w:rPr>
          <w:rFonts w:ascii="Calibri" w:eastAsia="Times New Roman" w:hAnsi="Calibri" w:cs="Calibri"/>
          <w:sz w:val="24"/>
          <w:szCs w:val="24"/>
        </w:rPr>
        <w:t>.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Jednotnost informačního systému by měla vycházet především z jednotné datové základny. JISŽP </w:t>
      </w:r>
      <w:r w:rsidR="00A2294B" w:rsidRPr="001E731E">
        <w:rPr>
          <w:rFonts w:ascii="Calibri" w:eastAsia="Times New Roman" w:hAnsi="Calibri" w:cs="Calibri"/>
          <w:sz w:val="24"/>
          <w:szCs w:val="24"/>
        </w:rPr>
        <w:t xml:space="preserve">byl 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od svého </w:t>
      </w:r>
      <w:r w:rsidR="00483122">
        <w:rPr>
          <w:rFonts w:ascii="Calibri" w:eastAsia="Times New Roman" w:hAnsi="Calibri" w:cs="Calibri"/>
          <w:sz w:val="24"/>
          <w:szCs w:val="24"/>
        </w:rPr>
        <w:t>ustavení</w:t>
      </w:r>
      <w:r w:rsidR="001931E4">
        <w:rPr>
          <w:rFonts w:ascii="Calibri" w:eastAsia="Times New Roman" w:hAnsi="Calibri" w:cs="Calibri"/>
          <w:sz w:val="24"/>
          <w:szCs w:val="24"/>
        </w:rPr>
        <w:t xml:space="preserve"> </w:t>
      </w:r>
      <w:r w:rsidR="001931E4" w:rsidRPr="001E731E">
        <w:rPr>
          <w:rFonts w:ascii="Calibri" w:eastAsia="Times New Roman" w:hAnsi="Calibri" w:cs="Calibri"/>
          <w:sz w:val="24"/>
          <w:szCs w:val="24"/>
        </w:rPr>
        <w:t>v kompetenčním zákoně</w:t>
      </w:r>
      <w:r w:rsidR="00F51966" w:rsidRPr="001E731E">
        <w:rPr>
          <w:rStyle w:val="Znakapoznpodarou"/>
          <w:rFonts w:ascii="Calibri" w:eastAsia="Times New Roman" w:hAnsi="Calibri" w:cs="Calibri"/>
          <w:sz w:val="24"/>
          <w:szCs w:val="24"/>
        </w:rPr>
        <w:footnoteReference w:id="7"/>
      </w:r>
      <w:r w:rsidRPr="001E731E">
        <w:rPr>
          <w:rFonts w:ascii="Calibri" w:eastAsia="Times New Roman" w:hAnsi="Calibri" w:cs="Calibri"/>
          <w:sz w:val="24"/>
          <w:szCs w:val="24"/>
        </w:rPr>
        <w:t xml:space="preserve"> budován bez vztahu k </w:t>
      </w:r>
      <w:r w:rsidR="00A10102" w:rsidRPr="001E731E">
        <w:rPr>
          <w:rFonts w:ascii="Calibri" w:eastAsia="Times New Roman" w:hAnsi="Calibri" w:cs="Calibri"/>
          <w:sz w:val="24"/>
          <w:szCs w:val="24"/>
        </w:rPr>
        <w:t>jednotné datové základně</w:t>
      </w:r>
      <w:r w:rsidR="00DA3F89" w:rsidRPr="001E731E">
        <w:rPr>
          <w:rFonts w:ascii="Calibri" w:eastAsia="Times New Roman" w:hAnsi="Calibri" w:cs="Calibri"/>
          <w:sz w:val="24"/>
          <w:szCs w:val="24"/>
        </w:rPr>
        <w:t>.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DA3F89" w:rsidRPr="001E731E">
        <w:rPr>
          <w:rFonts w:ascii="Calibri" w:eastAsia="Times New Roman" w:hAnsi="Calibri" w:cs="Calibri"/>
          <w:sz w:val="24"/>
          <w:szCs w:val="24"/>
        </w:rPr>
        <w:t>D</w:t>
      </w:r>
      <w:r w:rsidRPr="001E731E">
        <w:rPr>
          <w:rFonts w:ascii="Calibri" w:eastAsia="Times New Roman" w:hAnsi="Calibri" w:cs="Calibri"/>
          <w:sz w:val="24"/>
          <w:szCs w:val="24"/>
        </w:rPr>
        <w:t>ůsledkem byl nárůst počtu informačních systémů</w:t>
      </w:r>
      <w:r w:rsidR="002F5641"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Pr="001E731E">
        <w:rPr>
          <w:rFonts w:ascii="Calibri" w:eastAsia="Times New Roman" w:hAnsi="Calibri" w:cs="Calibri"/>
          <w:sz w:val="24"/>
          <w:szCs w:val="24"/>
        </w:rPr>
        <w:t>až do současného čísla 125</w:t>
      </w:r>
      <w:r w:rsidR="005E5C82" w:rsidRPr="001E731E">
        <w:rPr>
          <w:rFonts w:ascii="Calibri" w:eastAsia="Times New Roman" w:hAnsi="Calibri" w:cs="Calibri"/>
          <w:sz w:val="24"/>
          <w:szCs w:val="24"/>
        </w:rPr>
        <w:t>.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5E5C82" w:rsidRPr="001E731E">
        <w:rPr>
          <w:rFonts w:ascii="Calibri" w:eastAsia="Times New Roman" w:hAnsi="Calibri" w:cs="Calibri"/>
          <w:sz w:val="24"/>
          <w:szCs w:val="24"/>
        </w:rPr>
        <w:t>D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atově je </w:t>
      </w:r>
      <w:r w:rsidR="00A2294B" w:rsidRPr="001E731E">
        <w:rPr>
          <w:rFonts w:ascii="Calibri" w:eastAsia="Times New Roman" w:hAnsi="Calibri" w:cs="Calibri"/>
          <w:sz w:val="24"/>
          <w:szCs w:val="24"/>
        </w:rPr>
        <w:t xml:space="preserve">systém nekompatibilní a </w:t>
      </w:r>
      <w:r w:rsidR="00A2294B" w:rsidRPr="001E731E">
        <w:rPr>
          <w:rFonts w:ascii="Calibri" w:hAnsi="Calibri" w:cs="Calibri"/>
          <w:sz w:val="24"/>
          <w:szCs w:val="24"/>
        </w:rPr>
        <w:t xml:space="preserve">dochází k multiplicitnímu ukládání dat ve více různých informačních systémech a odlišných databázích. </w:t>
      </w:r>
      <w:r w:rsidR="00113092" w:rsidRPr="001E731E">
        <w:rPr>
          <w:rFonts w:ascii="Calibri" w:hAnsi="Calibri" w:cs="Calibri"/>
          <w:sz w:val="24"/>
          <w:szCs w:val="24"/>
        </w:rPr>
        <w:t xml:space="preserve">MŽP </w:t>
      </w:r>
      <w:r w:rsidR="002E107B" w:rsidRPr="001E731E">
        <w:rPr>
          <w:rFonts w:ascii="Calibri" w:hAnsi="Calibri" w:cs="Calibri"/>
          <w:sz w:val="24"/>
          <w:szCs w:val="24"/>
        </w:rPr>
        <w:t xml:space="preserve">nedostatečně </w:t>
      </w:r>
      <w:r w:rsidR="00113092" w:rsidRPr="001E731E">
        <w:rPr>
          <w:rFonts w:ascii="Calibri" w:hAnsi="Calibri" w:cs="Calibri"/>
          <w:sz w:val="24"/>
          <w:szCs w:val="24"/>
        </w:rPr>
        <w:t>zabezpečovalo a řídilo JISŽP</w:t>
      </w:r>
      <w:r w:rsidR="00D06A9B" w:rsidRPr="001E731E">
        <w:rPr>
          <w:rFonts w:ascii="Calibri" w:hAnsi="Calibri" w:cs="Calibri"/>
          <w:sz w:val="24"/>
          <w:szCs w:val="24"/>
        </w:rPr>
        <w:t>.</w:t>
      </w:r>
    </w:p>
    <w:p w:rsidR="00EB4B92" w:rsidRPr="001E731E" w:rsidRDefault="00EB4B92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4005AE" w:rsidRPr="001E731E" w:rsidRDefault="004005AE" w:rsidP="001E731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</w:rPr>
      </w:pPr>
      <w:r w:rsidRPr="001E731E">
        <w:rPr>
          <w:rFonts w:ascii="Calibri" w:eastAsia="Times New Roman" w:hAnsi="Calibri" w:cs="Calibri"/>
          <w:b/>
          <w:i/>
          <w:sz w:val="24"/>
          <w:szCs w:val="24"/>
        </w:rPr>
        <w:t>Rada pro rozvoj JISŽP</w:t>
      </w:r>
    </w:p>
    <w:p w:rsidR="00EB4B92" w:rsidRDefault="00EB4B92" w:rsidP="001E731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5D3002" w:rsidRPr="001E731E" w:rsidRDefault="0049222A" w:rsidP="001E731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E731E">
        <w:rPr>
          <w:rFonts w:ascii="Calibri" w:eastAsia="Times New Roman" w:hAnsi="Calibri" w:cs="Calibri"/>
          <w:b/>
          <w:sz w:val="24"/>
          <w:szCs w:val="24"/>
        </w:rPr>
        <w:t xml:space="preserve">MŽP nezajistilo, aby </w:t>
      </w:r>
      <w:r w:rsidR="005D3002" w:rsidRPr="001E731E">
        <w:rPr>
          <w:rFonts w:ascii="Calibri" w:eastAsia="Times New Roman" w:hAnsi="Calibri" w:cs="Calibri"/>
          <w:b/>
          <w:sz w:val="24"/>
          <w:szCs w:val="24"/>
        </w:rPr>
        <w:t>Rada</w:t>
      </w:r>
      <w:r w:rsidR="000D0D4F" w:rsidRPr="001E731E">
        <w:rPr>
          <w:rFonts w:ascii="Calibri" w:eastAsia="Times New Roman" w:hAnsi="Calibri" w:cs="Calibri"/>
          <w:b/>
          <w:sz w:val="24"/>
          <w:szCs w:val="24"/>
        </w:rPr>
        <w:t xml:space="preserve"> pro rozvoj JISŽP</w:t>
      </w:r>
      <w:r w:rsidR="005D3002" w:rsidRPr="001E731E">
        <w:rPr>
          <w:rFonts w:ascii="Calibri" w:eastAsia="Times New Roman" w:hAnsi="Calibri" w:cs="Calibri"/>
          <w:b/>
          <w:sz w:val="24"/>
          <w:szCs w:val="24"/>
        </w:rPr>
        <w:t xml:space="preserve"> jako hlavní odborný koordinační orgán, naplnila své povinnosti dané jejím </w:t>
      </w:r>
      <w:r w:rsidR="00BB3EC3">
        <w:rPr>
          <w:rFonts w:ascii="Calibri" w:eastAsia="Times New Roman" w:hAnsi="Calibri" w:cs="Calibri"/>
          <w:b/>
          <w:sz w:val="24"/>
          <w:szCs w:val="24"/>
        </w:rPr>
        <w:t>s</w:t>
      </w:r>
      <w:r w:rsidR="005D3002" w:rsidRPr="001E731E">
        <w:rPr>
          <w:rFonts w:ascii="Calibri" w:eastAsia="Times New Roman" w:hAnsi="Calibri" w:cs="Calibri"/>
          <w:b/>
          <w:sz w:val="24"/>
          <w:szCs w:val="24"/>
        </w:rPr>
        <w:t>tatutem</w:t>
      </w:r>
      <w:r w:rsidR="00792732" w:rsidRPr="001E731E">
        <w:rPr>
          <w:rFonts w:ascii="Calibri" w:eastAsia="Times New Roman" w:hAnsi="Calibri" w:cs="Calibri"/>
          <w:b/>
          <w:sz w:val="24"/>
          <w:szCs w:val="24"/>
        </w:rPr>
        <w:t>.</w:t>
      </w:r>
      <w:r w:rsidR="005D3002" w:rsidRPr="001E731E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792732" w:rsidRPr="001E731E">
        <w:rPr>
          <w:rFonts w:ascii="Calibri" w:eastAsia="Times New Roman" w:hAnsi="Calibri" w:cs="Calibri"/>
          <w:b/>
          <w:sz w:val="24"/>
          <w:szCs w:val="24"/>
        </w:rPr>
        <w:t>V</w:t>
      </w:r>
      <w:r w:rsidR="005D3002" w:rsidRPr="001E731E">
        <w:rPr>
          <w:rFonts w:ascii="Calibri" w:eastAsia="Times New Roman" w:hAnsi="Calibri" w:cs="Calibri"/>
          <w:b/>
          <w:sz w:val="24"/>
          <w:szCs w:val="24"/>
        </w:rPr>
        <w:t> období let 2010 až 2012</w:t>
      </w:r>
      <w:r w:rsidR="00792732" w:rsidRPr="001E731E">
        <w:rPr>
          <w:rFonts w:ascii="Calibri" w:eastAsia="Times New Roman" w:hAnsi="Calibri" w:cs="Calibri"/>
          <w:b/>
          <w:sz w:val="24"/>
          <w:szCs w:val="24"/>
        </w:rPr>
        <w:t xml:space="preserve"> se Rada</w:t>
      </w:r>
      <w:r w:rsidR="005D3002" w:rsidRPr="001E731E">
        <w:rPr>
          <w:rFonts w:ascii="Calibri" w:eastAsia="Times New Roman" w:hAnsi="Calibri" w:cs="Calibri"/>
          <w:b/>
          <w:sz w:val="24"/>
          <w:szCs w:val="24"/>
        </w:rPr>
        <w:t xml:space="preserve"> vůbec nescházela a ke strategickým aktivitám re</w:t>
      </w:r>
      <w:r w:rsidR="00B44635" w:rsidRPr="001E731E">
        <w:rPr>
          <w:rFonts w:ascii="Calibri" w:eastAsia="Times New Roman" w:hAnsi="Calibri" w:cs="Calibri"/>
          <w:b/>
          <w:sz w:val="24"/>
          <w:szCs w:val="24"/>
        </w:rPr>
        <w:t>s</w:t>
      </w:r>
      <w:r w:rsidR="005D3002" w:rsidRPr="001E731E">
        <w:rPr>
          <w:rFonts w:ascii="Calibri" w:eastAsia="Times New Roman" w:hAnsi="Calibri" w:cs="Calibri"/>
          <w:b/>
          <w:sz w:val="24"/>
          <w:szCs w:val="24"/>
        </w:rPr>
        <w:t>ortu životního prostředí nezaujímala příslušná odborná stanoviska.</w:t>
      </w:r>
    </w:p>
    <w:p w:rsidR="00EB4B92" w:rsidRDefault="00EB4B92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0090E" w:rsidRPr="001E731E" w:rsidRDefault="005772DF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>Odbornou podporu rozvoje a provozu JISŽP m</w:t>
      </w:r>
      <w:r w:rsidR="00E06C3D" w:rsidRPr="001E731E">
        <w:rPr>
          <w:rFonts w:ascii="Calibri" w:eastAsia="Times New Roman" w:hAnsi="Calibri" w:cs="Calibri"/>
          <w:sz w:val="24"/>
          <w:szCs w:val="24"/>
        </w:rPr>
        <w:t>ěla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zajišťovat Rada pro rozvoj JISŽP</w:t>
      </w:r>
      <w:r w:rsidR="00E06C3D" w:rsidRPr="001E731E">
        <w:rPr>
          <w:rFonts w:ascii="Calibri" w:eastAsia="Times New Roman" w:hAnsi="Calibri" w:cs="Calibri"/>
          <w:sz w:val="24"/>
          <w:szCs w:val="24"/>
        </w:rPr>
        <w:t>.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Ko</w:t>
      </w:r>
      <w:r w:rsidR="0010090E" w:rsidRPr="001E731E">
        <w:rPr>
          <w:rFonts w:ascii="Calibri" w:eastAsia="Times New Roman" w:hAnsi="Calibri" w:cs="Calibri"/>
          <w:sz w:val="24"/>
          <w:szCs w:val="24"/>
        </w:rPr>
        <w:t xml:space="preserve">ntrolou však bylo zjištěno, </w:t>
      </w:r>
      <w:r w:rsidR="009F63E3" w:rsidRPr="001E731E">
        <w:rPr>
          <w:rFonts w:ascii="Calibri" w:eastAsia="Times New Roman" w:hAnsi="Calibri" w:cs="Calibri"/>
          <w:sz w:val="24"/>
          <w:szCs w:val="24"/>
        </w:rPr>
        <w:t xml:space="preserve">že nejednala v souladu se svým </w:t>
      </w:r>
      <w:r w:rsidR="00BB3EC3">
        <w:rPr>
          <w:rFonts w:ascii="Calibri" w:eastAsia="Times New Roman" w:hAnsi="Calibri" w:cs="Calibri"/>
          <w:sz w:val="24"/>
          <w:szCs w:val="24"/>
        </w:rPr>
        <w:t>s</w:t>
      </w:r>
      <w:r w:rsidR="0010090E" w:rsidRPr="001E731E">
        <w:rPr>
          <w:rFonts w:ascii="Calibri" w:eastAsia="Times New Roman" w:hAnsi="Calibri" w:cs="Calibri"/>
          <w:sz w:val="24"/>
          <w:szCs w:val="24"/>
        </w:rPr>
        <w:t>tatutem</w:t>
      </w:r>
      <w:r w:rsidR="008B5512">
        <w:rPr>
          <w:rFonts w:ascii="Calibri" w:eastAsia="Times New Roman" w:hAnsi="Calibri" w:cs="Calibri"/>
          <w:sz w:val="24"/>
          <w:szCs w:val="24"/>
        </w:rPr>
        <w:t>,</w:t>
      </w:r>
      <w:r w:rsidR="0010090E" w:rsidRPr="001E731E">
        <w:rPr>
          <w:rFonts w:ascii="Calibri" w:eastAsia="Times New Roman" w:hAnsi="Calibri" w:cs="Calibri"/>
          <w:sz w:val="24"/>
          <w:szCs w:val="24"/>
        </w:rPr>
        <w:t xml:space="preserve"> a</w:t>
      </w:r>
      <w:r w:rsidR="008B5512">
        <w:rPr>
          <w:rFonts w:ascii="Calibri" w:eastAsia="Times New Roman" w:hAnsi="Calibri" w:cs="Calibri"/>
          <w:sz w:val="24"/>
          <w:szCs w:val="24"/>
        </w:rPr>
        <w:t> proto</w:t>
      </w:r>
      <w:r w:rsidR="0010090E"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Pr="001E731E">
        <w:rPr>
          <w:rFonts w:ascii="Calibri" w:eastAsia="Times New Roman" w:hAnsi="Calibri" w:cs="Calibri"/>
          <w:sz w:val="24"/>
          <w:szCs w:val="24"/>
        </w:rPr>
        <w:t>ne</w:t>
      </w:r>
      <w:r w:rsidR="0010090E" w:rsidRPr="001E731E">
        <w:rPr>
          <w:rFonts w:ascii="Calibri" w:eastAsia="Times New Roman" w:hAnsi="Calibri" w:cs="Calibri"/>
          <w:sz w:val="24"/>
          <w:szCs w:val="24"/>
        </w:rPr>
        <w:t>mohla</w:t>
      </w:r>
      <w:r w:rsidR="0080447C"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10090E" w:rsidRPr="001E731E">
        <w:rPr>
          <w:rFonts w:ascii="Calibri" w:eastAsia="Times New Roman" w:hAnsi="Calibri" w:cs="Calibri"/>
          <w:sz w:val="24"/>
          <w:szCs w:val="24"/>
        </w:rPr>
        <w:t>ovlivnit směřování JISŽP.</w:t>
      </w:r>
    </w:p>
    <w:p w:rsidR="0007234A" w:rsidRPr="001E731E" w:rsidRDefault="0007234A" w:rsidP="001E731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>Rada</w:t>
      </w:r>
      <w:r w:rsidR="008C1B1D"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neprojednávala SPŽP </w:t>
      </w:r>
      <w:r w:rsidR="008C1B1D" w:rsidRPr="001E731E">
        <w:rPr>
          <w:rFonts w:ascii="Calibri" w:eastAsia="Times New Roman" w:hAnsi="Calibri" w:cs="Calibri"/>
          <w:sz w:val="24"/>
          <w:szCs w:val="24"/>
        </w:rPr>
        <w:t xml:space="preserve">na období let </w:t>
      </w:r>
      <w:r w:rsidRPr="001E731E">
        <w:rPr>
          <w:rFonts w:ascii="Calibri" w:eastAsia="Times New Roman" w:hAnsi="Calibri" w:cs="Calibri"/>
          <w:sz w:val="24"/>
          <w:szCs w:val="24"/>
        </w:rPr>
        <w:t>2012</w:t>
      </w:r>
      <w:r w:rsidR="00172092" w:rsidRPr="001E731E">
        <w:rPr>
          <w:rFonts w:ascii="Calibri" w:eastAsia="Times New Roman" w:hAnsi="Calibri" w:cs="Calibri"/>
          <w:sz w:val="24"/>
          <w:szCs w:val="24"/>
        </w:rPr>
        <w:t>–</w:t>
      </w:r>
      <w:r w:rsidRPr="001E731E">
        <w:rPr>
          <w:rFonts w:ascii="Calibri" w:eastAsia="Times New Roman" w:hAnsi="Calibri" w:cs="Calibri"/>
          <w:sz w:val="24"/>
          <w:szCs w:val="24"/>
        </w:rPr>
        <w:t>2020</w:t>
      </w:r>
      <w:r w:rsidR="008C1B1D" w:rsidRPr="001E731E">
        <w:rPr>
          <w:rFonts w:ascii="Calibri" w:eastAsia="Times New Roman" w:hAnsi="Calibri" w:cs="Calibri"/>
          <w:sz w:val="24"/>
          <w:szCs w:val="24"/>
        </w:rPr>
        <w:t xml:space="preserve">, </w:t>
      </w:r>
      <w:r w:rsidR="00117CC9" w:rsidRPr="001E731E">
        <w:rPr>
          <w:rFonts w:ascii="Calibri" w:eastAsia="Times New Roman" w:hAnsi="Calibri" w:cs="Calibri"/>
          <w:sz w:val="24"/>
          <w:szCs w:val="24"/>
        </w:rPr>
        <w:t xml:space="preserve">proto nemohla podat námitku, že do tohoto dokumentu nebyl zařazen klíčový projekt </w:t>
      </w:r>
      <w:r w:rsidR="00117CC9" w:rsidRPr="00702F91">
        <w:rPr>
          <w:rFonts w:ascii="Calibri" w:eastAsia="Times New Roman" w:hAnsi="Calibri" w:cs="Calibri"/>
          <w:i/>
          <w:sz w:val="24"/>
          <w:szCs w:val="24"/>
        </w:rPr>
        <w:t xml:space="preserve">SIRIUS </w:t>
      </w:r>
      <w:r w:rsidR="00172092" w:rsidRPr="00702F91">
        <w:rPr>
          <w:rFonts w:ascii="Calibri" w:eastAsia="Times New Roman" w:hAnsi="Calibri" w:cs="Calibri"/>
          <w:i/>
          <w:sz w:val="24"/>
          <w:szCs w:val="24"/>
        </w:rPr>
        <w:t>–</w:t>
      </w:r>
      <w:r w:rsidR="005E4048" w:rsidRPr="00702F91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="00F0076D" w:rsidRPr="00702F91">
        <w:rPr>
          <w:rFonts w:ascii="Calibri" w:eastAsia="Times New Roman" w:hAnsi="Calibri" w:cs="Calibri"/>
          <w:i/>
          <w:sz w:val="24"/>
          <w:szCs w:val="24"/>
        </w:rPr>
        <w:t>Systém integrace a</w:t>
      </w:r>
      <w:r w:rsidR="00172092" w:rsidRPr="00702F91">
        <w:rPr>
          <w:rFonts w:ascii="Calibri" w:eastAsia="Times New Roman" w:hAnsi="Calibri" w:cs="Calibri"/>
          <w:i/>
          <w:sz w:val="24"/>
          <w:szCs w:val="24"/>
        </w:rPr>
        <w:t> </w:t>
      </w:r>
      <w:r w:rsidR="00F0076D" w:rsidRPr="00702F91">
        <w:rPr>
          <w:rFonts w:ascii="Calibri" w:eastAsia="Times New Roman" w:hAnsi="Calibri" w:cs="Calibri"/>
          <w:i/>
          <w:sz w:val="24"/>
          <w:szCs w:val="24"/>
        </w:rPr>
        <w:t>řízení informací v oblasti technické ochrany životního prostředí</w:t>
      </w:r>
      <w:r w:rsidR="002949E0" w:rsidRPr="001E731E">
        <w:rPr>
          <w:rFonts w:ascii="Calibri" w:eastAsia="Times New Roman" w:hAnsi="Calibri" w:cs="Calibri"/>
          <w:sz w:val="24"/>
          <w:szCs w:val="24"/>
        </w:rPr>
        <w:t xml:space="preserve"> (viz dále)</w:t>
      </w:r>
      <w:r w:rsidR="008C1B1D" w:rsidRPr="001E731E">
        <w:rPr>
          <w:rFonts w:ascii="Calibri" w:eastAsia="Times New Roman" w:hAnsi="Calibri" w:cs="Calibri"/>
          <w:sz w:val="24"/>
          <w:szCs w:val="24"/>
        </w:rPr>
        <w:t xml:space="preserve"> s horizontálním vlivem na JISŽP</w:t>
      </w:r>
      <w:r w:rsidR="007E0B8E" w:rsidRPr="001E731E">
        <w:rPr>
          <w:rFonts w:ascii="Calibri" w:eastAsia="Times New Roman" w:hAnsi="Calibri" w:cs="Calibri"/>
          <w:sz w:val="24"/>
          <w:szCs w:val="24"/>
        </w:rPr>
        <w:t>.</w:t>
      </w:r>
    </w:p>
    <w:p w:rsidR="00C97AE2" w:rsidRPr="001E731E" w:rsidRDefault="00D20486" w:rsidP="001E731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 xml:space="preserve">Rada </w:t>
      </w:r>
      <w:r w:rsidR="00730353" w:rsidRPr="001E731E">
        <w:rPr>
          <w:rFonts w:ascii="Calibri" w:eastAsia="Times New Roman" w:hAnsi="Calibri" w:cs="Calibri"/>
          <w:sz w:val="24"/>
          <w:szCs w:val="24"/>
        </w:rPr>
        <w:t xml:space="preserve">byla zodpovědná 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za dodržování </w:t>
      </w:r>
      <w:r w:rsidR="00493EC5">
        <w:rPr>
          <w:rFonts w:ascii="Calibri" w:eastAsia="Times New Roman" w:hAnsi="Calibri" w:cs="Calibri"/>
          <w:sz w:val="24"/>
          <w:szCs w:val="24"/>
        </w:rPr>
        <w:t>i</w:t>
      </w:r>
      <w:r w:rsidRPr="001E731E">
        <w:rPr>
          <w:rFonts w:ascii="Calibri" w:eastAsia="Times New Roman" w:hAnsi="Calibri" w:cs="Calibri"/>
          <w:sz w:val="24"/>
          <w:szCs w:val="24"/>
        </w:rPr>
        <w:t>nformační</w:t>
      </w:r>
      <w:r w:rsidR="00493EC5">
        <w:rPr>
          <w:rFonts w:ascii="Calibri" w:eastAsia="Times New Roman" w:hAnsi="Calibri" w:cs="Calibri"/>
          <w:sz w:val="24"/>
          <w:szCs w:val="24"/>
        </w:rPr>
        <w:t>ch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strategi</w:t>
      </w:r>
      <w:r w:rsidR="00493EC5">
        <w:rPr>
          <w:rFonts w:ascii="Calibri" w:eastAsia="Times New Roman" w:hAnsi="Calibri" w:cs="Calibri"/>
          <w:sz w:val="24"/>
          <w:szCs w:val="24"/>
        </w:rPr>
        <w:t>í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a plnění </w:t>
      </w:r>
      <w:r w:rsidR="00493EC5">
        <w:rPr>
          <w:rFonts w:ascii="Calibri" w:eastAsia="Times New Roman" w:hAnsi="Calibri" w:cs="Calibri"/>
          <w:sz w:val="24"/>
          <w:szCs w:val="24"/>
        </w:rPr>
        <w:t xml:space="preserve">jejich </w:t>
      </w:r>
      <w:r w:rsidR="00730353" w:rsidRPr="001E731E">
        <w:rPr>
          <w:rFonts w:ascii="Calibri" w:eastAsia="Times New Roman" w:hAnsi="Calibri" w:cs="Calibri"/>
          <w:sz w:val="24"/>
          <w:szCs w:val="24"/>
        </w:rPr>
        <w:t>c</w:t>
      </w:r>
      <w:r w:rsidRPr="001E731E">
        <w:rPr>
          <w:rFonts w:ascii="Calibri" w:eastAsia="Times New Roman" w:hAnsi="Calibri" w:cs="Calibri"/>
          <w:sz w:val="24"/>
          <w:szCs w:val="24"/>
        </w:rPr>
        <w:t>ílů. Součástí IST 2011</w:t>
      </w:r>
      <w:r w:rsidR="00172092" w:rsidRPr="001E731E">
        <w:rPr>
          <w:rFonts w:ascii="Calibri" w:eastAsia="Times New Roman" w:hAnsi="Calibri" w:cs="Calibri"/>
          <w:sz w:val="24"/>
          <w:szCs w:val="24"/>
        </w:rPr>
        <w:t>–</w:t>
      </w:r>
      <w:r w:rsidRPr="001E731E">
        <w:rPr>
          <w:rFonts w:ascii="Calibri" w:eastAsia="Times New Roman" w:hAnsi="Calibri" w:cs="Calibri"/>
          <w:sz w:val="24"/>
          <w:szCs w:val="24"/>
        </w:rPr>
        <w:t>2014 byl i projekt SIRIUS. Ze zápisů Rady je zřejmé, že při svých jednáních</w:t>
      </w:r>
      <w:r w:rsidR="00C97AE2" w:rsidRPr="001E731E">
        <w:rPr>
          <w:rFonts w:ascii="Calibri" w:eastAsia="Times New Roman" w:hAnsi="Calibri" w:cs="Calibri"/>
          <w:sz w:val="24"/>
          <w:szCs w:val="24"/>
        </w:rPr>
        <w:t xml:space="preserve"> od svého zřízení v roce 2009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C97AE2" w:rsidRPr="001E731E">
        <w:rPr>
          <w:rFonts w:ascii="Calibri" w:eastAsia="Times New Roman" w:hAnsi="Calibri" w:cs="Calibri"/>
          <w:sz w:val="24"/>
          <w:szCs w:val="24"/>
        </w:rPr>
        <w:t xml:space="preserve">do července 2010 </w:t>
      </w:r>
      <w:r w:rsidRPr="001E731E">
        <w:rPr>
          <w:rFonts w:ascii="Calibri" w:eastAsia="Times New Roman" w:hAnsi="Calibri" w:cs="Calibri"/>
          <w:sz w:val="24"/>
          <w:szCs w:val="24"/>
        </w:rPr>
        <w:t>neprojednávala problémy,</w:t>
      </w:r>
      <w:r w:rsidR="00C97AE2" w:rsidRPr="001E731E">
        <w:rPr>
          <w:rFonts w:ascii="Calibri" w:eastAsia="Times New Roman" w:hAnsi="Calibri" w:cs="Calibri"/>
          <w:sz w:val="24"/>
          <w:szCs w:val="24"/>
        </w:rPr>
        <w:t xml:space="preserve"> které projekt SIRIUS provázely, ani se nevyjádřila k jeho předčasnému ukončení. Od července 2010 do června 2012 se Rada nescházela</w:t>
      </w:r>
      <w:r w:rsidR="005E5C82" w:rsidRPr="001E731E">
        <w:rPr>
          <w:rFonts w:ascii="Calibri" w:eastAsia="Times New Roman" w:hAnsi="Calibri" w:cs="Calibri"/>
          <w:sz w:val="24"/>
          <w:szCs w:val="24"/>
        </w:rPr>
        <w:t xml:space="preserve"> vůbec</w:t>
      </w:r>
      <w:r w:rsidR="00C97AE2" w:rsidRPr="001E731E">
        <w:rPr>
          <w:rFonts w:ascii="Calibri" w:eastAsia="Times New Roman" w:hAnsi="Calibri" w:cs="Calibri"/>
          <w:sz w:val="24"/>
          <w:szCs w:val="24"/>
        </w:rPr>
        <w:t>.</w:t>
      </w:r>
    </w:p>
    <w:p w:rsidR="000353FA" w:rsidRPr="001E731E" w:rsidRDefault="000353FA" w:rsidP="001E731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 xml:space="preserve">Rada se na svých zasedáních několikrát zabývala otázkou </w:t>
      </w:r>
      <w:r w:rsidR="00D56AD4" w:rsidRPr="001E731E">
        <w:rPr>
          <w:rFonts w:ascii="Calibri" w:eastAsia="Times New Roman" w:hAnsi="Calibri" w:cs="Calibri"/>
          <w:sz w:val="24"/>
          <w:szCs w:val="24"/>
        </w:rPr>
        <w:t xml:space="preserve">definice JISŽP, </w:t>
      </w:r>
      <w:r w:rsidR="00493EC5">
        <w:rPr>
          <w:rFonts w:ascii="Calibri" w:eastAsia="Times New Roman" w:hAnsi="Calibri" w:cs="Calibri"/>
          <w:sz w:val="24"/>
          <w:szCs w:val="24"/>
        </w:rPr>
        <w:t>jeho</w:t>
      </w:r>
      <w:r w:rsidR="00D56AD4" w:rsidRPr="001E731E">
        <w:rPr>
          <w:rFonts w:ascii="Calibri" w:eastAsia="Times New Roman" w:hAnsi="Calibri" w:cs="Calibri"/>
          <w:sz w:val="24"/>
          <w:szCs w:val="24"/>
        </w:rPr>
        <w:t xml:space="preserve"> obsahu a </w:t>
      </w:r>
      <w:r w:rsidRPr="001E731E">
        <w:rPr>
          <w:rFonts w:ascii="Calibri" w:eastAsia="Times New Roman" w:hAnsi="Calibri" w:cs="Calibri"/>
          <w:sz w:val="24"/>
          <w:szCs w:val="24"/>
        </w:rPr>
        <w:t>směřování, nikd</w:t>
      </w:r>
      <w:r w:rsidR="00D56AD4" w:rsidRPr="001E731E">
        <w:rPr>
          <w:rFonts w:ascii="Calibri" w:eastAsia="Times New Roman" w:hAnsi="Calibri" w:cs="Calibri"/>
          <w:sz w:val="24"/>
          <w:szCs w:val="24"/>
        </w:rPr>
        <w:t>y ale nevznesla zásadní potřebu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definov</w:t>
      </w:r>
      <w:r w:rsidR="00D56AD4" w:rsidRPr="001E731E">
        <w:rPr>
          <w:rFonts w:ascii="Calibri" w:eastAsia="Times New Roman" w:hAnsi="Calibri" w:cs="Calibri"/>
          <w:sz w:val="24"/>
          <w:szCs w:val="24"/>
        </w:rPr>
        <w:t>at kritéria JISŽP s ohledem na </w:t>
      </w:r>
      <w:r w:rsidRPr="001E731E">
        <w:rPr>
          <w:rFonts w:ascii="Calibri" w:eastAsia="Times New Roman" w:hAnsi="Calibri" w:cs="Calibri"/>
          <w:sz w:val="24"/>
          <w:szCs w:val="24"/>
        </w:rPr>
        <w:t>jednotu dat v resortu životního prostředí a upravit v tomto směru dokument Koncepce JISŽP.</w:t>
      </w:r>
    </w:p>
    <w:p w:rsidR="00EE1CD0" w:rsidRPr="001E731E" w:rsidRDefault="008A17FA" w:rsidP="001E731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 xml:space="preserve">Rada se nevyjadřovala k duplicitě ukládání dat v různých </w:t>
      </w:r>
      <w:proofErr w:type="gramStart"/>
      <w:r w:rsidRPr="001E731E">
        <w:rPr>
          <w:rFonts w:ascii="Calibri" w:eastAsia="Times New Roman" w:hAnsi="Calibri" w:cs="Calibri"/>
          <w:sz w:val="24"/>
          <w:szCs w:val="24"/>
        </w:rPr>
        <w:t>IS</w:t>
      </w:r>
      <w:proofErr w:type="gramEnd"/>
      <w:r w:rsidRPr="001E731E">
        <w:rPr>
          <w:rFonts w:ascii="Calibri" w:eastAsia="Times New Roman" w:hAnsi="Calibri" w:cs="Calibri"/>
          <w:sz w:val="24"/>
          <w:szCs w:val="24"/>
        </w:rPr>
        <w:t xml:space="preserve"> (vi</w:t>
      </w:r>
      <w:r w:rsidR="00A63B63" w:rsidRPr="001E731E">
        <w:rPr>
          <w:rFonts w:ascii="Calibri" w:eastAsia="Times New Roman" w:hAnsi="Calibri" w:cs="Calibri"/>
          <w:sz w:val="24"/>
          <w:szCs w:val="24"/>
        </w:rPr>
        <w:t>z dále). Jde o data vstupující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do resortu životního prostředí přes </w:t>
      </w:r>
      <w:r w:rsidR="003861C6" w:rsidRPr="00702F91">
        <w:rPr>
          <w:rFonts w:ascii="Calibri" w:eastAsia="Times New Roman" w:hAnsi="Calibri" w:cs="Calibri"/>
          <w:i/>
          <w:sz w:val="24"/>
          <w:szCs w:val="24"/>
        </w:rPr>
        <w:t>Integrovaný systém plnění ohlašovacích povinností</w:t>
      </w:r>
      <w:r w:rsidR="003861C6" w:rsidRPr="001E731E">
        <w:rPr>
          <w:rFonts w:ascii="Calibri" w:eastAsia="Times New Roman" w:hAnsi="Calibri" w:cs="Calibri"/>
          <w:sz w:val="24"/>
          <w:szCs w:val="24"/>
        </w:rPr>
        <w:t xml:space="preserve"> (dále </w:t>
      </w:r>
      <w:r w:rsidR="00CA15C9">
        <w:rPr>
          <w:rFonts w:ascii="Calibri" w:eastAsia="Times New Roman" w:hAnsi="Calibri" w:cs="Calibri"/>
          <w:sz w:val="24"/>
          <w:szCs w:val="24"/>
        </w:rPr>
        <w:t>jen</w:t>
      </w:r>
      <w:r w:rsidR="003861C6" w:rsidRPr="001E731E">
        <w:rPr>
          <w:rFonts w:ascii="Calibri" w:eastAsia="Times New Roman" w:hAnsi="Calibri" w:cs="Calibri"/>
          <w:sz w:val="24"/>
          <w:szCs w:val="24"/>
        </w:rPr>
        <w:t xml:space="preserve"> „ISPOP“) </w:t>
      </w:r>
      <w:r w:rsidRPr="001E731E">
        <w:rPr>
          <w:rFonts w:ascii="Calibri" w:eastAsia="Times New Roman" w:hAnsi="Calibri" w:cs="Calibri"/>
          <w:sz w:val="24"/>
          <w:szCs w:val="24"/>
        </w:rPr>
        <w:t>a ukládaných rovněž v</w:t>
      </w:r>
      <w:r w:rsidR="00C92A21" w:rsidRPr="001E731E">
        <w:rPr>
          <w:rFonts w:ascii="Calibri" w:eastAsia="Times New Roman" w:hAnsi="Calibri" w:cs="Calibri"/>
          <w:sz w:val="24"/>
          <w:szCs w:val="24"/>
        </w:rPr>
        <w:t> </w:t>
      </w:r>
      <w:r w:rsidR="00C92A21" w:rsidRPr="00702F91">
        <w:rPr>
          <w:rFonts w:ascii="Calibri" w:eastAsia="Times New Roman" w:hAnsi="Calibri" w:cs="Calibri"/>
          <w:i/>
          <w:sz w:val="24"/>
          <w:szCs w:val="24"/>
        </w:rPr>
        <w:t>Integrovaném systému odpadového hospodářství</w:t>
      </w:r>
      <w:r w:rsidR="00C92A21" w:rsidRPr="001E731E">
        <w:rPr>
          <w:rFonts w:ascii="Calibri" w:eastAsia="Times New Roman" w:hAnsi="Calibri" w:cs="Calibri"/>
          <w:sz w:val="24"/>
          <w:szCs w:val="24"/>
        </w:rPr>
        <w:t xml:space="preserve"> (dále </w:t>
      </w:r>
      <w:r w:rsidR="00CA15C9">
        <w:rPr>
          <w:rFonts w:ascii="Calibri" w:eastAsia="Times New Roman" w:hAnsi="Calibri" w:cs="Calibri"/>
          <w:sz w:val="24"/>
          <w:szCs w:val="24"/>
        </w:rPr>
        <w:t>jen</w:t>
      </w:r>
      <w:r w:rsidR="00C92A21" w:rsidRPr="001E731E">
        <w:rPr>
          <w:rFonts w:ascii="Calibri" w:eastAsia="Times New Roman" w:hAnsi="Calibri" w:cs="Calibri"/>
          <w:sz w:val="24"/>
          <w:szCs w:val="24"/>
        </w:rPr>
        <w:t xml:space="preserve"> „</w:t>
      </w:r>
      <w:r w:rsidRPr="001E731E">
        <w:rPr>
          <w:rFonts w:ascii="Calibri" w:eastAsia="Times New Roman" w:hAnsi="Calibri" w:cs="Calibri"/>
          <w:sz w:val="24"/>
          <w:szCs w:val="24"/>
        </w:rPr>
        <w:t>ISOH</w:t>
      </w:r>
      <w:r w:rsidR="00C92A21" w:rsidRPr="001E731E">
        <w:rPr>
          <w:rFonts w:ascii="Calibri" w:eastAsia="Times New Roman" w:hAnsi="Calibri" w:cs="Calibri"/>
          <w:sz w:val="24"/>
          <w:szCs w:val="24"/>
        </w:rPr>
        <w:t>“)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, </w:t>
      </w:r>
      <w:r w:rsidR="00C92A21" w:rsidRPr="00702F91">
        <w:rPr>
          <w:rFonts w:ascii="Calibri" w:eastAsia="Times New Roman" w:hAnsi="Calibri" w:cs="Calibri"/>
          <w:i/>
          <w:sz w:val="24"/>
          <w:szCs w:val="24"/>
        </w:rPr>
        <w:t>Registru emisí a zdrojů znečišťování ovzduší</w:t>
      </w:r>
      <w:r w:rsidR="00C92A21" w:rsidRPr="001E731E">
        <w:rPr>
          <w:rFonts w:ascii="Calibri" w:eastAsia="Times New Roman" w:hAnsi="Calibri" w:cs="Calibri"/>
          <w:sz w:val="24"/>
          <w:szCs w:val="24"/>
        </w:rPr>
        <w:t xml:space="preserve"> (dále také „</w:t>
      </w:r>
      <w:r w:rsidRPr="001E731E">
        <w:rPr>
          <w:rFonts w:ascii="Calibri" w:eastAsia="Times New Roman" w:hAnsi="Calibri" w:cs="Calibri"/>
          <w:sz w:val="24"/>
          <w:szCs w:val="24"/>
        </w:rPr>
        <w:t>REZZO</w:t>
      </w:r>
      <w:r w:rsidR="00C92A21" w:rsidRPr="001E731E">
        <w:rPr>
          <w:rFonts w:ascii="Calibri" w:eastAsia="Times New Roman" w:hAnsi="Calibri" w:cs="Calibri"/>
          <w:sz w:val="24"/>
          <w:szCs w:val="24"/>
        </w:rPr>
        <w:t>“) a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C92A21" w:rsidRPr="00702F91">
        <w:rPr>
          <w:rFonts w:ascii="Calibri" w:eastAsia="Times New Roman" w:hAnsi="Calibri" w:cs="Calibri"/>
          <w:i/>
          <w:sz w:val="24"/>
          <w:szCs w:val="24"/>
        </w:rPr>
        <w:t>Integrovaném registru znečištění</w:t>
      </w:r>
      <w:r w:rsidR="00C92A21" w:rsidRPr="001E731E">
        <w:rPr>
          <w:rFonts w:ascii="Calibri" w:eastAsia="Times New Roman" w:hAnsi="Calibri" w:cs="Calibri"/>
          <w:sz w:val="24"/>
          <w:szCs w:val="24"/>
        </w:rPr>
        <w:t xml:space="preserve"> (dále také „</w:t>
      </w:r>
      <w:r w:rsidRPr="001E731E">
        <w:rPr>
          <w:rFonts w:ascii="Calibri" w:eastAsia="Times New Roman" w:hAnsi="Calibri" w:cs="Calibri"/>
          <w:sz w:val="24"/>
          <w:szCs w:val="24"/>
        </w:rPr>
        <w:t>IRZ</w:t>
      </w:r>
      <w:r w:rsidR="00C92A21" w:rsidRPr="001E731E">
        <w:rPr>
          <w:rFonts w:ascii="Calibri" w:eastAsia="Times New Roman" w:hAnsi="Calibri" w:cs="Calibri"/>
          <w:sz w:val="24"/>
          <w:szCs w:val="24"/>
        </w:rPr>
        <w:t>“)</w:t>
      </w:r>
      <w:r w:rsidRPr="001E731E">
        <w:rPr>
          <w:rFonts w:ascii="Calibri" w:eastAsia="Times New Roman" w:hAnsi="Calibri" w:cs="Calibri"/>
          <w:sz w:val="24"/>
          <w:szCs w:val="24"/>
        </w:rPr>
        <w:t>.</w:t>
      </w:r>
    </w:p>
    <w:p w:rsidR="00271C49" w:rsidRPr="001E731E" w:rsidRDefault="00271C49" w:rsidP="001E731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>Rada neprojednávala problematiku změny databázové struktury v </w:t>
      </w:r>
      <w:r w:rsidRPr="00702F91">
        <w:rPr>
          <w:rFonts w:ascii="Calibri" w:eastAsia="Times New Roman" w:hAnsi="Calibri" w:cs="Calibri"/>
          <w:i/>
          <w:sz w:val="24"/>
          <w:szCs w:val="24"/>
        </w:rPr>
        <w:t>Systému evidence kontaminovaných míst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(dále </w:t>
      </w:r>
      <w:r w:rsidR="00CA15C9">
        <w:rPr>
          <w:rFonts w:ascii="Calibri" w:eastAsia="Times New Roman" w:hAnsi="Calibri" w:cs="Calibri"/>
          <w:sz w:val="24"/>
          <w:szCs w:val="24"/>
        </w:rPr>
        <w:t>jen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„SEKM“), </w:t>
      </w:r>
      <w:r w:rsidR="00603DF8" w:rsidRPr="001E731E">
        <w:rPr>
          <w:rFonts w:ascii="Calibri" w:eastAsia="Times New Roman" w:hAnsi="Calibri" w:cs="Calibri"/>
          <w:sz w:val="24"/>
          <w:szCs w:val="24"/>
        </w:rPr>
        <w:t>což byl jeden z důvodů, kter</w:t>
      </w:r>
      <w:r w:rsidR="00CA15C9">
        <w:rPr>
          <w:rFonts w:ascii="Calibri" w:eastAsia="Times New Roman" w:hAnsi="Calibri" w:cs="Calibri"/>
          <w:sz w:val="24"/>
          <w:szCs w:val="24"/>
        </w:rPr>
        <w:t>é</w:t>
      </w:r>
      <w:r w:rsidR="00603DF8" w:rsidRPr="001E731E">
        <w:rPr>
          <w:rFonts w:ascii="Calibri" w:eastAsia="Times New Roman" w:hAnsi="Calibri" w:cs="Calibri"/>
          <w:sz w:val="24"/>
          <w:szCs w:val="24"/>
        </w:rPr>
        <w:t xml:space="preserve"> vedl</w:t>
      </w:r>
      <w:r w:rsidR="00CA15C9">
        <w:rPr>
          <w:rFonts w:ascii="Calibri" w:eastAsia="Times New Roman" w:hAnsi="Calibri" w:cs="Calibri"/>
          <w:sz w:val="24"/>
          <w:szCs w:val="24"/>
        </w:rPr>
        <w:t>y</w:t>
      </w:r>
      <w:r w:rsidR="00603DF8" w:rsidRPr="001E731E">
        <w:rPr>
          <w:rFonts w:ascii="Calibri" w:eastAsia="Times New Roman" w:hAnsi="Calibri" w:cs="Calibri"/>
          <w:sz w:val="24"/>
          <w:szCs w:val="24"/>
        </w:rPr>
        <w:t xml:space="preserve"> k</w:t>
      </w:r>
      <w:r w:rsidR="001931E4">
        <w:rPr>
          <w:rFonts w:ascii="Calibri" w:eastAsia="Times New Roman" w:hAnsi="Calibri" w:cs="Calibri"/>
          <w:sz w:val="24"/>
          <w:szCs w:val="24"/>
        </w:rPr>
        <w:t> </w:t>
      </w:r>
      <w:r w:rsidR="00603DF8" w:rsidRPr="001E731E">
        <w:rPr>
          <w:rFonts w:ascii="Calibri" w:eastAsia="Times New Roman" w:hAnsi="Calibri" w:cs="Calibri"/>
          <w:sz w:val="24"/>
          <w:szCs w:val="24"/>
        </w:rPr>
        <w:t>databázové nekompatibilitě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s databázovou strukturou </w:t>
      </w:r>
      <w:r w:rsidRPr="00702F91">
        <w:rPr>
          <w:rFonts w:ascii="Calibri" w:eastAsia="Times New Roman" w:hAnsi="Calibri" w:cs="Calibri"/>
          <w:i/>
          <w:sz w:val="24"/>
          <w:szCs w:val="24"/>
        </w:rPr>
        <w:t>Národní inventarizace kontaminovaných míst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(dále </w:t>
      </w:r>
      <w:r w:rsidR="00CA15C9">
        <w:rPr>
          <w:rFonts w:ascii="Calibri" w:eastAsia="Times New Roman" w:hAnsi="Calibri" w:cs="Calibri"/>
          <w:sz w:val="24"/>
          <w:szCs w:val="24"/>
        </w:rPr>
        <w:t>jen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„NIKM“)</w:t>
      </w:r>
      <w:r w:rsidR="00DA3F89" w:rsidRPr="001E731E">
        <w:rPr>
          <w:rFonts w:ascii="Calibri" w:eastAsia="Times New Roman" w:hAnsi="Calibri" w:cs="Calibri"/>
          <w:sz w:val="24"/>
          <w:szCs w:val="24"/>
        </w:rPr>
        <w:t>.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DA3F89" w:rsidRPr="001E731E">
        <w:rPr>
          <w:rFonts w:ascii="Calibri" w:eastAsia="Times New Roman" w:hAnsi="Calibri" w:cs="Calibri"/>
          <w:sz w:val="24"/>
          <w:szCs w:val="24"/>
        </w:rPr>
        <w:t>V</w:t>
      </w:r>
      <w:r w:rsidRPr="001E731E">
        <w:rPr>
          <w:rFonts w:ascii="Calibri" w:eastAsia="Times New Roman" w:hAnsi="Calibri" w:cs="Calibri"/>
          <w:sz w:val="24"/>
          <w:szCs w:val="24"/>
        </w:rPr>
        <w:t> případě spuštění projektu NIKM bude nut</w:t>
      </w:r>
      <w:r w:rsidR="003C7915" w:rsidRPr="001E731E">
        <w:rPr>
          <w:rFonts w:ascii="Calibri" w:eastAsia="Times New Roman" w:hAnsi="Calibri" w:cs="Calibri"/>
          <w:sz w:val="24"/>
          <w:szCs w:val="24"/>
        </w:rPr>
        <w:t xml:space="preserve">né </w:t>
      </w:r>
      <w:r w:rsidR="00381A7C" w:rsidRPr="001E731E">
        <w:rPr>
          <w:rFonts w:ascii="Calibri" w:eastAsia="Times New Roman" w:hAnsi="Calibri" w:cs="Calibri"/>
          <w:sz w:val="24"/>
          <w:szCs w:val="24"/>
        </w:rPr>
        <w:t xml:space="preserve">vynaložit </w:t>
      </w:r>
      <w:r w:rsidR="003C7915" w:rsidRPr="001E731E">
        <w:rPr>
          <w:rFonts w:ascii="Calibri" w:eastAsia="Times New Roman" w:hAnsi="Calibri" w:cs="Calibri"/>
          <w:sz w:val="24"/>
          <w:szCs w:val="24"/>
        </w:rPr>
        <w:t>náklady na jejich sjednocení (viz dále)</w:t>
      </w:r>
      <w:r w:rsidR="00D56AD4" w:rsidRPr="001E731E">
        <w:rPr>
          <w:rFonts w:ascii="Calibri" w:eastAsia="Times New Roman" w:hAnsi="Calibri" w:cs="Calibri"/>
          <w:sz w:val="24"/>
          <w:szCs w:val="24"/>
        </w:rPr>
        <w:t>.</w:t>
      </w:r>
    </w:p>
    <w:p w:rsidR="004130C1" w:rsidRPr="001E731E" w:rsidRDefault="004130C1" w:rsidP="001E731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lastRenderedPageBreak/>
        <w:t xml:space="preserve">Rada projednávala formalizaci šablon pro projektové záměry i </w:t>
      </w:r>
      <w:r w:rsidR="001931E4">
        <w:rPr>
          <w:rFonts w:ascii="Calibri" w:eastAsia="Times New Roman" w:hAnsi="Calibri" w:cs="Calibri"/>
          <w:sz w:val="24"/>
          <w:szCs w:val="24"/>
        </w:rPr>
        <w:t>i</w:t>
      </w:r>
      <w:r w:rsidRPr="001E731E">
        <w:rPr>
          <w:rFonts w:ascii="Calibri" w:eastAsia="Times New Roman" w:hAnsi="Calibri" w:cs="Calibri"/>
          <w:sz w:val="24"/>
          <w:szCs w:val="24"/>
        </w:rPr>
        <w:t>nvestiční záměry rozvoje ICT (např. studie proveditelnosti). Nijak však nepřipomínkovala, že zásadně chybí procesy, kterými budou analyzovány varianty možných ř</w:t>
      </w:r>
      <w:r w:rsidR="007E0B8E" w:rsidRPr="001E731E">
        <w:rPr>
          <w:rFonts w:ascii="Calibri" w:eastAsia="Times New Roman" w:hAnsi="Calibri" w:cs="Calibri"/>
          <w:sz w:val="24"/>
          <w:szCs w:val="24"/>
        </w:rPr>
        <w:t>ešení z hlediska nákladovosti a </w:t>
      </w:r>
      <w:r w:rsidRPr="001E731E">
        <w:rPr>
          <w:rFonts w:ascii="Calibri" w:eastAsia="Times New Roman" w:hAnsi="Calibri" w:cs="Calibri"/>
          <w:sz w:val="24"/>
          <w:szCs w:val="24"/>
        </w:rPr>
        <w:t>kvality naplnění cílů, včetně existence dokumentu, který by možné varianty vyhodnocoval.</w:t>
      </w:r>
    </w:p>
    <w:p w:rsidR="0041481F" w:rsidRPr="001E731E" w:rsidRDefault="00B53547" w:rsidP="001E731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 xml:space="preserve">Rada se </w:t>
      </w:r>
      <w:r w:rsidR="00A539E8" w:rsidRPr="001E731E">
        <w:rPr>
          <w:rFonts w:ascii="Calibri" w:eastAsia="Times New Roman" w:hAnsi="Calibri" w:cs="Calibri"/>
          <w:sz w:val="24"/>
          <w:szCs w:val="24"/>
        </w:rPr>
        <w:t xml:space="preserve">rovněž nevyjádřila 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ke </w:t>
      </w:r>
      <w:r w:rsidR="00172092" w:rsidRPr="001E731E">
        <w:rPr>
          <w:rFonts w:ascii="Calibri" w:eastAsia="Times New Roman" w:hAnsi="Calibri" w:cs="Calibri"/>
          <w:sz w:val="24"/>
          <w:szCs w:val="24"/>
        </w:rPr>
        <w:t>směrnicím vztahujícím</w:t>
      </w:r>
      <w:r w:rsidR="00A539E8"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172092" w:rsidRPr="001E731E">
        <w:rPr>
          <w:rFonts w:ascii="Calibri" w:eastAsia="Times New Roman" w:hAnsi="Calibri" w:cs="Calibri"/>
          <w:sz w:val="24"/>
          <w:szCs w:val="24"/>
        </w:rPr>
        <w:t>se k řízení</w:t>
      </w:r>
      <w:r w:rsidR="0041481F" w:rsidRPr="001E731E">
        <w:rPr>
          <w:rFonts w:ascii="Calibri" w:eastAsia="Times New Roman" w:hAnsi="Calibri" w:cs="Calibri"/>
          <w:sz w:val="24"/>
          <w:szCs w:val="24"/>
        </w:rPr>
        <w:t xml:space="preserve"> projektů v resortu životního prostředí </w:t>
      </w:r>
      <w:r w:rsidR="00CA15C9">
        <w:rPr>
          <w:rFonts w:ascii="Calibri" w:eastAsia="Times New Roman" w:hAnsi="Calibri" w:cs="Calibri"/>
          <w:sz w:val="24"/>
          <w:szCs w:val="24"/>
        </w:rPr>
        <w:t>ani k</w:t>
      </w:r>
      <w:r w:rsidR="0041481F"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="001931E4">
        <w:rPr>
          <w:rFonts w:ascii="Calibri" w:eastAsia="Times New Roman" w:hAnsi="Calibri" w:cs="Calibri"/>
          <w:sz w:val="24"/>
          <w:szCs w:val="24"/>
        </w:rPr>
        <w:t>m</w:t>
      </w:r>
      <w:r w:rsidR="0041481F" w:rsidRPr="001E731E">
        <w:rPr>
          <w:rFonts w:ascii="Calibri" w:eastAsia="Times New Roman" w:hAnsi="Calibri" w:cs="Calibri"/>
          <w:sz w:val="24"/>
          <w:szCs w:val="24"/>
        </w:rPr>
        <w:t>etodi</w:t>
      </w:r>
      <w:r w:rsidR="00CA15C9">
        <w:rPr>
          <w:rFonts w:ascii="Calibri" w:eastAsia="Times New Roman" w:hAnsi="Calibri" w:cs="Calibri"/>
          <w:sz w:val="24"/>
          <w:szCs w:val="24"/>
        </w:rPr>
        <w:t>ce</w:t>
      </w:r>
      <w:r w:rsidR="0041481F" w:rsidRPr="001E731E">
        <w:rPr>
          <w:rFonts w:ascii="Calibri" w:eastAsia="Times New Roman" w:hAnsi="Calibri" w:cs="Calibri"/>
          <w:sz w:val="24"/>
          <w:szCs w:val="24"/>
        </w:rPr>
        <w:t xml:space="preserve"> řízení projektů.</w:t>
      </w:r>
      <w:r w:rsidR="00290F86" w:rsidRPr="001E731E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9B5812" w:rsidRPr="009B5812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005AE" w:rsidRPr="001E731E" w:rsidRDefault="004005AE" w:rsidP="001E731E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1E731E">
        <w:rPr>
          <w:rFonts w:ascii="Calibri" w:hAnsi="Calibri" w:cs="Calibri"/>
          <w:b/>
          <w:i/>
          <w:sz w:val="24"/>
          <w:szCs w:val="24"/>
        </w:rPr>
        <w:t xml:space="preserve">Řízení projektů – </w:t>
      </w:r>
      <w:r w:rsidR="001931E4">
        <w:rPr>
          <w:rFonts w:ascii="Calibri" w:hAnsi="Calibri" w:cs="Calibri"/>
          <w:b/>
          <w:i/>
          <w:sz w:val="24"/>
          <w:szCs w:val="24"/>
        </w:rPr>
        <w:t>s</w:t>
      </w:r>
      <w:r w:rsidRPr="001E731E">
        <w:rPr>
          <w:rFonts w:ascii="Calibri" w:hAnsi="Calibri" w:cs="Calibri"/>
          <w:b/>
          <w:i/>
          <w:sz w:val="24"/>
          <w:szCs w:val="24"/>
        </w:rPr>
        <w:t>tudie proveditelnosti</w:t>
      </w:r>
    </w:p>
    <w:p w:rsidR="009B5812" w:rsidRPr="009B5812" w:rsidRDefault="009B5812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820B7C" w:rsidRPr="001E731E" w:rsidRDefault="005772DF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b/>
          <w:sz w:val="24"/>
          <w:szCs w:val="24"/>
        </w:rPr>
        <w:t>Základní projektové dokumenty v oblasti řízení projektů neobsahovaly povinnost zpracovat studii proveditelnosti s rozborem možných variant řešení, v důsledku čehož nemělo MŽP jistotu, zda realizovalo nejvýhodnější a nejhospodárnější variantu</w:t>
      </w:r>
      <w:r w:rsidRPr="001E731E">
        <w:rPr>
          <w:rFonts w:ascii="Calibri" w:eastAsia="Times New Roman" w:hAnsi="Calibri" w:cs="Calibri"/>
          <w:sz w:val="24"/>
          <w:szCs w:val="24"/>
        </w:rPr>
        <w:t>.</w:t>
      </w:r>
    </w:p>
    <w:p w:rsidR="009B5812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A28D3" w:rsidRDefault="00962F65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Pr="001E731E">
        <w:rPr>
          <w:rFonts w:ascii="Calibri" w:hAnsi="Calibri" w:cs="Calibri"/>
          <w:sz w:val="24"/>
          <w:szCs w:val="24"/>
        </w:rPr>
        <w:t xml:space="preserve"> kontrolovaném období </w:t>
      </w:r>
      <w:r>
        <w:rPr>
          <w:rFonts w:ascii="Calibri" w:hAnsi="Calibri" w:cs="Calibri"/>
          <w:sz w:val="24"/>
          <w:szCs w:val="24"/>
        </w:rPr>
        <w:t xml:space="preserve">let </w:t>
      </w:r>
      <w:r w:rsidRPr="001E731E">
        <w:rPr>
          <w:rFonts w:ascii="Calibri" w:hAnsi="Calibri" w:cs="Calibri"/>
          <w:sz w:val="24"/>
          <w:szCs w:val="24"/>
        </w:rPr>
        <w:t xml:space="preserve">2010–2013 </w:t>
      </w:r>
      <w:r w:rsidR="005772DF" w:rsidRPr="001E731E">
        <w:rPr>
          <w:rFonts w:ascii="Calibri" w:hAnsi="Calibri" w:cs="Calibri"/>
          <w:sz w:val="24"/>
          <w:szCs w:val="24"/>
        </w:rPr>
        <w:t>disponovalo</w:t>
      </w:r>
      <w:r w:rsidRPr="00962F65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sz w:val="24"/>
          <w:szCs w:val="24"/>
        </w:rPr>
        <w:t>MŽP</w:t>
      </w:r>
      <w:r w:rsidR="005772DF" w:rsidRPr="001E731E">
        <w:rPr>
          <w:rFonts w:ascii="Calibri" w:hAnsi="Calibri" w:cs="Calibri"/>
          <w:sz w:val="24"/>
          <w:szCs w:val="24"/>
        </w:rPr>
        <w:t xml:space="preserve"> několika základními projektovými dokumenty (</w:t>
      </w:r>
      <w:r w:rsidR="003A1326">
        <w:rPr>
          <w:rFonts w:ascii="Calibri" w:hAnsi="Calibri" w:cs="Calibri"/>
          <w:sz w:val="24"/>
          <w:szCs w:val="24"/>
        </w:rPr>
        <w:t>s</w:t>
      </w:r>
      <w:r w:rsidR="005772DF" w:rsidRPr="001E731E">
        <w:rPr>
          <w:rFonts w:ascii="Calibri" w:hAnsi="Calibri" w:cs="Calibri"/>
          <w:sz w:val="24"/>
          <w:szCs w:val="24"/>
        </w:rPr>
        <w:t>měrnice, metodiky projektového řízení apod.)</w:t>
      </w:r>
      <w:r w:rsidR="00DF4F09" w:rsidRPr="001E731E">
        <w:rPr>
          <w:rFonts w:ascii="Calibri" w:hAnsi="Calibri" w:cs="Calibri"/>
          <w:sz w:val="24"/>
          <w:szCs w:val="24"/>
        </w:rPr>
        <w:t xml:space="preserve"> vztahující</w:t>
      </w:r>
      <w:r w:rsidR="003A1326">
        <w:rPr>
          <w:rFonts w:ascii="Calibri" w:hAnsi="Calibri" w:cs="Calibri"/>
          <w:sz w:val="24"/>
          <w:szCs w:val="24"/>
        </w:rPr>
        <w:t>mi</w:t>
      </w:r>
      <w:r w:rsidR="00DF4F09" w:rsidRPr="001E731E">
        <w:rPr>
          <w:rFonts w:ascii="Calibri" w:hAnsi="Calibri" w:cs="Calibri"/>
          <w:sz w:val="24"/>
          <w:szCs w:val="24"/>
        </w:rPr>
        <w:t xml:space="preserve"> </w:t>
      </w:r>
      <w:r w:rsidR="009A6D99" w:rsidRPr="001E731E">
        <w:rPr>
          <w:rFonts w:ascii="Calibri" w:hAnsi="Calibri" w:cs="Calibri"/>
          <w:sz w:val="24"/>
          <w:szCs w:val="24"/>
        </w:rPr>
        <w:t xml:space="preserve">se i </w:t>
      </w:r>
      <w:r w:rsidR="00DF4F09" w:rsidRPr="001E731E">
        <w:rPr>
          <w:rFonts w:ascii="Calibri" w:hAnsi="Calibri" w:cs="Calibri"/>
          <w:sz w:val="24"/>
          <w:szCs w:val="24"/>
        </w:rPr>
        <w:t>na projekty</w:t>
      </w:r>
      <w:r w:rsidR="009A6D99" w:rsidRPr="001E731E">
        <w:rPr>
          <w:rFonts w:ascii="Calibri" w:hAnsi="Calibri" w:cs="Calibri"/>
          <w:sz w:val="24"/>
          <w:szCs w:val="24"/>
        </w:rPr>
        <w:t xml:space="preserve"> z oblasti ICT</w:t>
      </w:r>
      <w:r w:rsidR="005772DF" w:rsidRPr="001E731E">
        <w:rPr>
          <w:rFonts w:ascii="Calibri" w:hAnsi="Calibri" w:cs="Calibri"/>
          <w:sz w:val="24"/>
          <w:szCs w:val="24"/>
        </w:rPr>
        <w:t xml:space="preserve">, které však neobsahují povinnost zpracovat </w:t>
      </w:r>
      <w:r w:rsidR="003A1326">
        <w:rPr>
          <w:rFonts w:ascii="Calibri" w:hAnsi="Calibri" w:cs="Calibri"/>
          <w:sz w:val="24"/>
          <w:szCs w:val="24"/>
        </w:rPr>
        <w:t>s</w:t>
      </w:r>
      <w:r w:rsidR="005772DF" w:rsidRPr="001E731E">
        <w:rPr>
          <w:rFonts w:ascii="Calibri" w:hAnsi="Calibri" w:cs="Calibri"/>
          <w:sz w:val="24"/>
          <w:szCs w:val="24"/>
        </w:rPr>
        <w:t xml:space="preserve">tudii proveditelnosti, která je podkladem pro rozhodnutí, jaká varianta řešení bude přijata z hlediska času, finančních prostředků a dalších hledisek. </w:t>
      </w:r>
      <w:r w:rsidR="003A1326">
        <w:rPr>
          <w:rFonts w:ascii="Calibri" w:hAnsi="Calibri" w:cs="Calibri"/>
          <w:sz w:val="24"/>
          <w:szCs w:val="24"/>
        </w:rPr>
        <w:t xml:space="preserve">Kvůli absenci </w:t>
      </w:r>
      <w:r w:rsidR="005772DF" w:rsidRPr="001E731E">
        <w:rPr>
          <w:rFonts w:ascii="Calibri" w:hAnsi="Calibri" w:cs="Calibri"/>
          <w:sz w:val="24"/>
          <w:szCs w:val="24"/>
        </w:rPr>
        <w:t xml:space="preserve">variantních </w:t>
      </w:r>
      <w:r w:rsidR="003A1326">
        <w:rPr>
          <w:rFonts w:ascii="Calibri" w:hAnsi="Calibri" w:cs="Calibri"/>
          <w:sz w:val="24"/>
          <w:szCs w:val="24"/>
        </w:rPr>
        <w:t>s</w:t>
      </w:r>
      <w:r w:rsidR="005772DF" w:rsidRPr="001E731E">
        <w:rPr>
          <w:rFonts w:ascii="Calibri" w:hAnsi="Calibri" w:cs="Calibri"/>
          <w:sz w:val="24"/>
          <w:szCs w:val="24"/>
        </w:rPr>
        <w:t xml:space="preserve">tudií proveditelnosti nemá MŽP jistotu, zda realizuje nejvýhodnější variantu nejhospodárnějším způsobem. </w:t>
      </w:r>
      <w:r w:rsidR="00DA77E2" w:rsidRPr="001E731E">
        <w:rPr>
          <w:rFonts w:ascii="Calibri" w:hAnsi="Calibri" w:cs="Calibri"/>
          <w:sz w:val="24"/>
          <w:szCs w:val="24"/>
        </w:rPr>
        <w:t>Projektové dokumenty r</w:t>
      </w:r>
      <w:r w:rsidR="00DA28D3" w:rsidRPr="001E731E">
        <w:rPr>
          <w:rFonts w:ascii="Calibri" w:hAnsi="Calibri" w:cs="Calibri"/>
          <w:sz w:val="24"/>
          <w:szCs w:val="24"/>
        </w:rPr>
        <w:t>ovněž neobsahovaly vazbu na Radu pro roz</w:t>
      </w:r>
      <w:r w:rsidR="003A1326">
        <w:rPr>
          <w:rFonts w:ascii="Calibri" w:hAnsi="Calibri" w:cs="Calibri"/>
          <w:sz w:val="24"/>
          <w:szCs w:val="24"/>
        </w:rPr>
        <w:t xml:space="preserve">voj JISŽP při </w:t>
      </w:r>
      <w:r w:rsidR="00DA28D3" w:rsidRPr="001E731E">
        <w:rPr>
          <w:rFonts w:ascii="Calibri" w:hAnsi="Calibri" w:cs="Calibri"/>
          <w:sz w:val="24"/>
          <w:szCs w:val="24"/>
        </w:rPr>
        <w:t>posuzování projektových záměrů</w:t>
      </w:r>
      <w:r w:rsidR="00A4153C" w:rsidRPr="001E731E">
        <w:rPr>
          <w:rFonts w:ascii="Calibri" w:hAnsi="Calibri" w:cs="Calibri"/>
          <w:sz w:val="24"/>
          <w:szCs w:val="24"/>
        </w:rPr>
        <w:t xml:space="preserve">, </w:t>
      </w:r>
      <w:r w:rsidR="00DA28D3" w:rsidRPr="001E731E">
        <w:rPr>
          <w:rFonts w:ascii="Calibri" w:hAnsi="Calibri" w:cs="Calibri"/>
          <w:sz w:val="24"/>
          <w:szCs w:val="24"/>
        </w:rPr>
        <w:t>minimálně s horizontálním vlivem na JISŽP. Tím byla Ra</w:t>
      </w:r>
      <w:r w:rsidR="002C3692" w:rsidRPr="001E731E">
        <w:rPr>
          <w:rFonts w:ascii="Calibri" w:hAnsi="Calibri" w:cs="Calibri"/>
          <w:sz w:val="24"/>
          <w:szCs w:val="24"/>
        </w:rPr>
        <w:t>da pro rozvoj JISŽP vyloučena z </w:t>
      </w:r>
      <w:r w:rsidR="00DA28D3" w:rsidRPr="001E731E">
        <w:rPr>
          <w:rFonts w:ascii="Calibri" w:hAnsi="Calibri" w:cs="Calibri"/>
          <w:sz w:val="24"/>
          <w:szCs w:val="24"/>
        </w:rPr>
        <w:t>možnosti poskytovat odbornou podporu rozvoji JISŽP</w:t>
      </w:r>
      <w:r w:rsidR="009A6D99" w:rsidRPr="001E731E">
        <w:rPr>
          <w:rFonts w:ascii="Calibri" w:hAnsi="Calibri" w:cs="Calibri"/>
          <w:sz w:val="24"/>
          <w:szCs w:val="24"/>
        </w:rPr>
        <w:t xml:space="preserve"> při výběru v</w:t>
      </w:r>
      <w:r w:rsidR="00B91887" w:rsidRPr="001E731E">
        <w:rPr>
          <w:rFonts w:ascii="Calibri" w:hAnsi="Calibri" w:cs="Calibri"/>
          <w:sz w:val="24"/>
          <w:szCs w:val="24"/>
        </w:rPr>
        <w:t>arianty řešení a její realizac</w:t>
      </w:r>
      <w:r>
        <w:rPr>
          <w:rFonts w:ascii="Calibri" w:hAnsi="Calibri" w:cs="Calibri"/>
          <w:sz w:val="24"/>
          <w:szCs w:val="24"/>
        </w:rPr>
        <w:t>i</w:t>
      </w:r>
      <w:r w:rsidR="003A1326">
        <w:rPr>
          <w:rFonts w:ascii="Calibri" w:hAnsi="Calibri" w:cs="Calibri"/>
          <w:sz w:val="24"/>
          <w:szCs w:val="24"/>
        </w:rPr>
        <w:t>.</w:t>
      </w:r>
    </w:p>
    <w:p w:rsidR="009B5812" w:rsidRPr="001E731E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144F" w:rsidRDefault="005772DF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E731E">
        <w:rPr>
          <w:rFonts w:ascii="Calibri" w:hAnsi="Calibri" w:cs="Calibri"/>
          <w:sz w:val="24"/>
          <w:szCs w:val="24"/>
        </w:rPr>
        <w:t xml:space="preserve">Například při přechodu z IS </w:t>
      </w:r>
      <w:r w:rsidRPr="002A6423">
        <w:rPr>
          <w:rFonts w:ascii="Calibri" w:hAnsi="Calibri" w:cs="Calibri"/>
          <w:i/>
          <w:sz w:val="24"/>
          <w:szCs w:val="24"/>
        </w:rPr>
        <w:t>Centrální ohlašovna</w:t>
      </w:r>
      <w:r w:rsidRPr="001E731E">
        <w:rPr>
          <w:rFonts w:ascii="Calibri" w:hAnsi="Calibri" w:cs="Calibri"/>
          <w:sz w:val="24"/>
          <w:szCs w:val="24"/>
        </w:rPr>
        <w:t xml:space="preserve"> na </w:t>
      </w:r>
      <w:r w:rsidR="003861C6" w:rsidRPr="001E731E">
        <w:rPr>
          <w:rFonts w:ascii="Calibri" w:hAnsi="Calibri" w:cs="Calibri"/>
          <w:sz w:val="24"/>
          <w:szCs w:val="24"/>
        </w:rPr>
        <w:t xml:space="preserve">ISPOP </w:t>
      </w:r>
      <w:r w:rsidRPr="001E731E">
        <w:rPr>
          <w:rFonts w:ascii="Calibri" w:hAnsi="Calibri" w:cs="Calibri"/>
          <w:sz w:val="24"/>
          <w:szCs w:val="24"/>
        </w:rPr>
        <w:t xml:space="preserve">byla sice zpracována </w:t>
      </w:r>
      <w:r w:rsidR="003A1326">
        <w:rPr>
          <w:rFonts w:ascii="Calibri" w:hAnsi="Calibri" w:cs="Calibri"/>
          <w:sz w:val="24"/>
          <w:szCs w:val="24"/>
        </w:rPr>
        <w:t>s</w:t>
      </w:r>
      <w:r w:rsidRPr="001E731E">
        <w:rPr>
          <w:rFonts w:ascii="Calibri" w:hAnsi="Calibri" w:cs="Calibri"/>
          <w:sz w:val="24"/>
          <w:szCs w:val="24"/>
        </w:rPr>
        <w:t xml:space="preserve">tudie proveditelnosti externí poradenskou společností, </w:t>
      </w:r>
      <w:r w:rsidR="00962F65">
        <w:rPr>
          <w:rFonts w:ascii="Calibri" w:hAnsi="Calibri" w:cs="Calibri"/>
          <w:sz w:val="24"/>
          <w:szCs w:val="24"/>
        </w:rPr>
        <w:t>avšak tato studie</w:t>
      </w:r>
      <w:r w:rsidRPr="001E731E">
        <w:rPr>
          <w:rFonts w:ascii="Calibri" w:hAnsi="Calibri" w:cs="Calibri"/>
          <w:sz w:val="24"/>
          <w:szCs w:val="24"/>
        </w:rPr>
        <w:t xml:space="preserve"> porovnání variant neobsahovala. 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Studie proveditelnosti týkající se informačních systémů, které měly sloužit k výběru nejvýhodnější varianty, včetně zhodnocení jejich finanční náročnosti, obsahovaly pouze jednu variantu, která byla následně realizována. </w:t>
      </w:r>
    </w:p>
    <w:p w:rsidR="009B5812" w:rsidRPr="001E731E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1368F" w:rsidRPr="009B5812" w:rsidRDefault="00C1368F" w:rsidP="009B5812">
      <w:pPr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  <w:r w:rsidRPr="009B5812">
        <w:rPr>
          <w:rFonts w:ascii="Calibri" w:hAnsi="Calibri" w:cs="Calibri"/>
          <w:b/>
          <w:i/>
          <w:sz w:val="24"/>
          <w:szCs w:val="24"/>
        </w:rPr>
        <w:t>Problematika datových překryvů v informačních systémech</w:t>
      </w:r>
    </w:p>
    <w:p w:rsidR="009B5812" w:rsidRDefault="009B5812" w:rsidP="001E731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772DF" w:rsidRPr="001E731E" w:rsidRDefault="005772DF" w:rsidP="001E731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E731E">
        <w:rPr>
          <w:rFonts w:ascii="Calibri" w:hAnsi="Calibri" w:cs="Calibri"/>
          <w:b/>
          <w:sz w:val="24"/>
          <w:szCs w:val="24"/>
        </w:rPr>
        <w:t>Data byla vícenásobně ukládána v různých informačn</w:t>
      </w:r>
      <w:r w:rsidR="00553828" w:rsidRPr="001E731E">
        <w:rPr>
          <w:rFonts w:ascii="Calibri" w:hAnsi="Calibri" w:cs="Calibri"/>
          <w:b/>
          <w:sz w:val="24"/>
          <w:szCs w:val="24"/>
        </w:rPr>
        <w:t>ích systémech, což mělo vliv na </w:t>
      </w:r>
      <w:r w:rsidR="003A1326">
        <w:rPr>
          <w:rFonts w:ascii="Calibri" w:hAnsi="Calibri" w:cs="Calibri"/>
          <w:b/>
          <w:sz w:val="24"/>
          <w:szCs w:val="24"/>
        </w:rPr>
        <w:t xml:space="preserve">vyšší </w:t>
      </w:r>
      <w:r w:rsidRPr="001E731E">
        <w:rPr>
          <w:rFonts w:ascii="Calibri" w:hAnsi="Calibri" w:cs="Calibri"/>
          <w:b/>
          <w:sz w:val="24"/>
          <w:szCs w:val="24"/>
        </w:rPr>
        <w:t xml:space="preserve">potřebu úložné kapacity </w:t>
      </w:r>
      <w:r w:rsidR="003A1326">
        <w:rPr>
          <w:rFonts w:ascii="Calibri" w:hAnsi="Calibri" w:cs="Calibri"/>
          <w:b/>
          <w:sz w:val="24"/>
          <w:szCs w:val="24"/>
        </w:rPr>
        <w:t xml:space="preserve">pro </w:t>
      </w:r>
      <w:r w:rsidRPr="001E731E">
        <w:rPr>
          <w:rFonts w:ascii="Calibri" w:hAnsi="Calibri" w:cs="Calibri"/>
          <w:b/>
          <w:sz w:val="24"/>
          <w:szCs w:val="24"/>
        </w:rPr>
        <w:t>ukládan</w:t>
      </w:r>
      <w:r w:rsidR="003A1326">
        <w:rPr>
          <w:rFonts w:ascii="Calibri" w:hAnsi="Calibri" w:cs="Calibri"/>
          <w:b/>
          <w:sz w:val="24"/>
          <w:szCs w:val="24"/>
        </w:rPr>
        <w:t>á</w:t>
      </w:r>
      <w:r w:rsidRPr="001E731E">
        <w:rPr>
          <w:rFonts w:ascii="Calibri" w:hAnsi="Calibri" w:cs="Calibri"/>
          <w:b/>
          <w:sz w:val="24"/>
          <w:szCs w:val="24"/>
        </w:rPr>
        <w:t xml:space="preserve"> dat</w:t>
      </w:r>
      <w:r w:rsidR="003A1326">
        <w:rPr>
          <w:rFonts w:ascii="Calibri" w:hAnsi="Calibri" w:cs="Calibri"/>
          <w:b/>
          <w:sz w:val="24"/>
          <w:szCs w:val="24"/>
        </w:rPr>
        <w:t>a</w:t>
      </w:r>
      <w:r w:rsidRPr="001E731E">
        <w:rPr>
          <w:rFonts w:ascii="Calibri" w:hAnsi="Calibri" w:cs="Calibri"/>
          <w:b/>
          <w:sz w:val="24"/>
          <w:szCs w:val="24"/>
        </w:rPr>
        <w:t xml:space="preserve"> a z toho plynoucí vyšší provozní náklady.</w:t>
      </w:r>
    </w:p>
    <w:p w:rsidR="009B5812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772DF" w:rsidRDefault="005772DF" w:rsidP="001E731E">
      <w:p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Data</w:t>
      </w:r>
      <w:r w:rsidR="00881F07" w:rsidRPr="001E731E">
        <w:rPr>
          <w:rFonts w:ascii="Calibri" w:hAnsi="Calibri" w:cs="Calibri"/>
          <w:sz w:val="24"/>
          <w:szCs w:val="24"/>
        </w:rPr>
        <w:t>, která jsou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="00881F07" w:rsidRPr="001E731E">
        <w:rPr>
          <w:rFonts w:ascii="Calibri" w:hAnsi="Calibri" w:cs="Calibri"/>
          <w:sz w:val="24"/>
          <w:szCs w:val="24"/>
        </w:rPr>
        <w:t xml:space="preserve">od ohlašovatelů </w:t>
      </w:r>
      <w:r w:rsidRPr="001E731E">
        <w:rPr>
          <w:rFonts w:ascii="Calibri" w:hAnsi="Calibri" w:cs="Calibri"/>
          <w:sz w:val="24"/>
          <w:szCs w:val="24"/>
        </w:rPr>
        <w:t>získávána prvotním hlášením</w:t>
      </w:r>
      <w:r w:rsidR="003A1326">
        <w:rPr>
          <w:rFonts w:ascii="Calibri" w:hAnsi="Calibri" w:cs="Calibri"/>
          <w:sz w:val="24"/>
          <w:szCs w:val="24"/>
        </w:rPr>
        <w:t>,</w:t>
      </w:r>
      <w:r w:rsidRPr="001E731E">
        <w:rPr>
          <w:rFonts w:ascii="Calibri" w:hAnsi="Calibri" w:cs="Calibri"/>
          <w:sz w:val="24"/>
          <w:szCs w:val="24"/>
        </w:rPr>
        <w:t xml:space="preserve"> jso</w:t>
      </w:r>
      <w:r w:rsidR="00540C7B" w:rsidRPr="001E731E">
        <w:rPr>
          <w:rFonts w:ascii="Calibri" w:hAnsi="Calibri" w:cs="Calibri"/>
          <w:sz w:val="24"/>
          <w:szCs w:val="24"/>
        </w:rPr>
        <w:t>u uchováv</w:t>
      </w:r>
      <w:r w:rsidR="00962F65">
        <w:rPr>
          <w:rFonts w:ascii="Calibri" w:hAnsi="Calibri" w:cs="Calibri"/>
          <w:sz w:val="24"/>
          <w:szCs w:val="24"/>
        </w:rPr>
        <w:t>á</w:t>
      </w:r>
      <w:r w:rsidR="00540C7B" w:rsidRPr="001E731E">
        <w:rPr>
          <w:rFonts w:ascii="Calibri" w:hAnsi="Calibri" w:cs="Calibri"/>
          <w:sz w:val="24"/>
          <w:szCs w:val="24"/>
        </w:rPr>
        <w:t>n</w:t>
      </w:r>
      <w:r w:rsidR="00962F65">
        <w:rPr>
          <w:rFonts w:ascii="Calibri" w:hAnsi="Calibri" w:cs="Calibri"/>
          <w:sz w:val="24"/>
          <w:szCs w:val="24"/>
        </w:rPr>
        <w:t>a jak v </w:t>
      </w:r>
      <w:r w:rsidR="00540C7B" w:rsidRPr="001E731E">
        <w:rPr>
          <w:rFonts w:ascii="Calibri" w:hAnsi="Calibri" w:cs="Calibri"/>
          <w:sz w:val="24"/>
          <w:szCs w:val="24"/>
        </w:rPr>
        <w:t>ISPOP, tak v </w:t>
      </w:r>
      <w:r w:rsidRPr="001E731E">
        <w:rPr>
          <w:rFonts w:ascii="Calibri" w:hAnsi="Calibri" w:cs="Calibri"/>
          <w:sz w:val="24"/>
          <w:szCs w:val="24"/>
        </w:rPr>
        <w:t xml:space="preserve">informačních systémech na něj napojených. </w:t>
      </w:r>
      <w:r w:rsidR="00A26D7C" w:rsidRPr="001E731E">
        <w:rPr>
          <w:rFonts w:ascii="Calibri" w:hAnsi="Calibri" w:cs="Calibri"/>
          <w:sz w:val="24"/>
          <w:szCs w:val="24"/>
        </w:rPr>
        <w:t>Investiční náklady na ISPOP v</w:t>
      </w:r>
      <w:r w:rsidR="005A242A" w:rsidRPr="001E731E">
        <w:rPr>
          <w:rFonts w:ascii="Calibri" w:hAnsi="Calibri" w:cs="Calibri"/>
          <w:sz w:val="24"/>
          <w:szCs w:val="24"/>
        </w:rPr>
        <w:t> letech 2010 až 2013 činily 76 681 611 Kč a neinvestiční náklady</w:t>
      </w:r>
      <w:r w:rsidR="00A26D7C" w:rsidRPr="001E731E">
        <w:rPr>
          <w:rFonts w:ascii="Calibri" w:hAnsi="Calibri" w:cs="Calibri"/>
          <w:sz w:val="24"/>
          <w:szCs w:val="24"/>
        </w:rPr>
        <w:t xml:space="preserve"> </w:t>
      </w:r>
      <w:r w:rsidR="005A242A" w:rsidRPr="001E731E">
        <w:rPr>
          <w:rFonts w:ascii="Calibri" w:hAnsi="Calibri" w:cs="Calibri"/>
          <w:sz w:val="24"/>
          <w:szCs w:val="24"/>
        </w:rPr>
        <w:t xml:space="preserve">9 487 866 Kč. </w:t>
      </w:r>
      <w:r w:rsidR="003A1326">
        <w:rPr>
          <w:rFonts w:ascii="Calibri" w:hAnsi="Calibri" w:cs="Calibri"/>
          <w:sz w:val="24"/>
          <w:szCs w:val="24"/>
        </w:rPr>
        <w:t>Pokud</w:t>
      </w:r>
      <w:r w:rsidRPr="001E731E">
        <w:rPr>
          <w:rFonts w:ascii="Calibri" w:hAnsi="Calibri" w:cs="Calibri"/>
          <w:sz w:val="24"/>
          <w:szCs w:val="24"/>
        </w:rPr>
        <w:t xml:space="preserve"> je třeba data opravit</w:t>
      </w:r>
      <w:r w:rsidR="00553828" w:rsidRPr="001E731E">
        <w:rPr>
          <w:rFonts w:ascii="Calibri" w:hAnsi="Calibri" w:cs="Calibri"/>
          <w:sz w:val="24"/>
          <w:szCs w:val="24"/>
        </w:rPr>
        <w:t>,</w:t>
      </w:r>
      <w:r w:rsidRPr="001E731E">
        <w:rPr>
          <w:rFonts w:ascii="Calibri" w:hAnsi="Calibri" w:cs="Calibri"/>
          <w:sz w:val="24"/>
          <w:szCs w:val="24"/>
        </w:rPr>
        <w:t xml:space="preserve"> jsou opravná hlášení ukládána tolikrát, kolik</w:t>
      </w:r>
      <w:r w:rsidR="00553828" w:rsidRPr="001E731E">
        <w:rPr>
          <w:rFonts w:ascii="Calibri" w:hAnsi="Calibri" w:cs="Calibri"/>
          <w:sz w:val="24"/>
          <w:szCs w:val="24"/>
        </w:rPr>
        <w:t>rát byla oprava provedena. Tato</w:t>
      </w:r>
      <w:r w:rsidR="003A1326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sz w:val="24"/>
          <w:szCs w:val="24"/>
        </w:rPr>
        <w:t>skutečnost znamená vícenásobné ukládání stejných dat v různých informačních systémech, což má vliv na</w:t>
      </w:r>
      <w:r w:rsidR="003A1326">
        <w:rPr>
          <w:rFonts w:ascii="Calibri" w:hAnsi="Calibri" w:cs="Calibri"/>
          <w:sz w:val="24"/>
          <w:szCs w:val="24"/>
        </w:rPr>
        <w:t xml:space="preserve"> vyšší</w:t>
      </w:r>
      <w:r w:rsidRPr="001E731E">
        <w:rPr>
          <w:rFonts w:ascii="Calibri" w:hAnsi="Calibri" w:cs="Calibri"/>
          <w:sz w:val="24"/>
          <w:szCs w:val="24"/>
        </w:rPr>
        <w:t xml:space="preserve"> potřebu úložné kapacity </w:t>
      </w:r>
      <w:r w:rsidR="003A1326">
        <w:rPr>
          <w:rFonts w:ascii="Calibri" w:hAnsi="Calibri" w:cs="Calibri"/>
          <w:sz w:val="24"/>
          <w:szCs w:val="24"/>
        </w:rPr>
        <w:t xml:space="preserve">pro </w:t>
      </w:r>
      <w:r w:rsidRPr="001E731E">
        <w:rPr>
          <w:rFonts w:ascii="Calibri" w:hAnsi="Calibri" w:cs="Calibri"/>
          <w:sz w:val="24"/>
          <w:szCs w:val="24"/>
        </w:rPr>
        <w:t>ukládan</w:t>
      </w:r>
      <w:r w:rsidR="003A1326">
        <w:rPr>
          <w:rFonts w:ascii="Calibri" w:hAnsi="Calibri" w:cs="Calibri"/>
          <w:sz w:val="24"/>
          <w:szCs w:val="24"/>
        </w:rPr>
        <w:t>á</w:t>
      </w:r>
      <w:r w:rsidRPr="001E731E">
        <w:rPr>
          <w:rFonts w:ascii="Calibri" w:hAnsi="Calibri" w:cs="Calibri"/>
          <w:sz w:val="24"/>
          <w:szCs w:val="24"/>
        </w:rPr>
        <w:t xml:space="preserve"> dat</w:t>
      </w:r>
      <w:r w:rsidR="003A1326">
        <w:rPr>
          <w:rFonts w:ascii="Calibri" w:hAnsi="Calibri" w:cs="Calibri"/>
          <w:sz w:val="24"/>
          <w:szCs w:val="24"/>
        </w:rPr>
        <w:t>a</w:t>
      </w:r>
      <w:r w:rsidRPr="001E731E">
        <w:rPr>
          <w:rFonts w:ascii="Calibri" w:hAnsi="Calibri" w:cs="Calibri"/>
          <w:sz w:val="24"/>
          <w:szCs w:val="24"/>
        </w:rPr>
        <w:t xml:space="preserve"> a z toho plynoucí vyšší provozní náklady.</w:t>
      </w:r>
      <w:r w:rsidRPr="001E731E">
        <w:rPr>
          <w:rFonts w:ascii="Calibri" w:hAnsi="Calibri" w:cs="Calibri"/>
          <w:iCs/>
          <w:sz w:val="24"/>
          <w:szCs w:val="24"/>
        </w:rPr>
        <w:t xml:space="preserve"> </w:t>
      </w:r>
      <w:r w:rsidR="0035060C" w:rsidRPr="001E731E">
        <w:rPr>
          <w:rFonts w:ascii="Calibri" w:hAnsi="Calibri" w:cs="Calibri"/>
          <w:iCs/>
          <w:sz w:val="24"/>
          <w:szCs w:val="24"/>
        </w:rPr>
        <w:t xml:space="preserve">Z uvedeného je zřejmé, že Rada nesplnila svoji úlohu odborného poradního orgánu, </w:t>
      </w:r>
      <w:r w:rsidR="00704BDB">
        <w:rPr>
          <w:rFonts w:ascii="Calibri" w:hAnsi="Calibri" w:cs="Calibri"/>
          <w:iCs/>
          <w:sz w:val="24"/>
          <w:szCs w:val="24"/>
        </w:rPr>
        <w:t>a že tedy</w:t>
      </w:r>
      <w:r w:rsidR="0035060C" w:rsidRPr="001E731E">
        <w:rPr>
          <w:rFonts w:ascii="Calibri" w:hAnsi="Calibri" w:cs="Calibri"/>
          <w:iCs/>
          <w:sz w:val="24"/>
          <w:szCs w:val="24"/>
        </w:rPr>
        <w:t xml:space="preserve"> MŽP připustilo, aby v resortu životního prostředí vznikla multiplicita ukládaných dat.</w:t>
      </w:r>
    </w:p>
    <w:p w:rsidR="009B5812" w:rsidRPr="001E731E" w:rsidRDefault="009B5812" w:rsidP="001E731E">
      <w:p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</w:p>
    <w:p w:rsidR="00690689" w:rsidRPr="001E731E" w:rsidRDefault="00DE48A4" w:rsidP="001E731E">
      <w:p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  <w:r w:rsidRPr="001E731E">
        <w:rPr>
          <w:rFonts w:ascii="Calibri" w:hAnsi="Calibri" w:cs="Calibri"/>
          <w:iCs/>
          <w:sz w:val="24"/>
          <w:szCs w:val="24"/>
        </w:rPr>
        <w:t>Například h</w:t>
      </w:r>
      <w:r w:rsidR="00690689" w:rsidRPr="001E731E">
        <w:rPr>
          <w:rFonts w:ascii="Calibri" w:hAnsi="Calibri" w:cs="Calibri"/>
          <w:iCs/>
          <w:sz w:val="24"/>
          <w:szCs w:val="24"/>
        </w:rPr>
        <w:t xml:space="preserve">lášení o znečištění předávaná do informačních systémů prostřednictvím ISPOP jsou v ISPOP ukládána a jde o informace o znečišťování ovzduší, vod, půdy, ale i o produkci </w:t>
      </w:r>
      <w:r w:rsidR="00690689" w:rsidRPr="001E731E">
        <w:rPr>
          <w:rFonts w:ascii="Calibri" w:hAnsi="Calibri" w:cs="Calibri"/>
          <w:iCs/>
          <w:sz w:val="24"/>
          <w:szCs w:val="24"/>
        </w:rPr>
        <w:lastRenderedPageBreak/>
        <w:t>odpadů, likvidaci elektrozařízení nebo evidenci autovraků v příslušných zařízeních.</w:t>
      </w:r>
      <w:r w:rsidR="003A1326">
        <w:rPr>
          <w:rFonts w:ascii="Calibri" w:hAnsi="Calibri" w:cs="Calibri"/>
          <w:iCs/>
          <w:sz w:val="24"/>
          <w:szCs w:val="24"/>
        </w:rPr>
        <w:t xml:space="preserve"> </w:t>
      </w:r>
      <w:r w:rsidR="00FC7E26" w:rsidRPr="001E731E">
        <w:rPr>
          <w:rFonts w:ascii="Calibri" w:hAnsi="Calibri" w:cs="Calibri"/>
          <w:iCs/>
          <w:sz w:val="24"/>
          <w:szCs w:val="24"/>
        </w:rPr>
        <w:t>Tato hlášení</w:t>
      </w:r>
      <w:r w:rsidR="00690689" w:rsidRPr="001E731E">
        <w:rPr>
          <w:rFonts w:ascii="Calibri" w:hAnsi="Calibri" w:cs="Calibri"/>
          <w:iCs/>
          <w:sz w:val="24"/>
          <w:szCs w:val="24"/>
        </w:rPr>
        <w:t xml:space="preserve"> jsou dále validována a v případě zjištění nedostatků v podaných hlášeních jsou ohlašovatelem podána opětovně s již opravenými údaji</w:t>
      </w:r>
      <w:r w:rsidR="00FC7E26" w:rsidRPr="001E731E">
        <w:rPr>
          <w:rFonts w:ascii="Calibri" w:hAnsi="Calibri" w:cs="Calibri"/>
          <w:iCs/>
          <w:sz w:val="24"/>
          <w:szCs w:val="24"/>
        </w:rPr>
        <w:t>.</w:t>
      </w:r>
      <w:r w:rsidR="00690689" w:rsidRPr="001E731E">
        <w:rPr>
          <w:rFonts w:ascii="Calibri" w:hAnsi="Calibri" w:cs="Calibri"/>
          <w:iCs/>
          <w:sz w:val="24"/>
          <w:szCs w:val="24"/>
        </w:rPr>
        <w:t xml:space="preserve"> Dat</w:t>
      </w:r>
      <w:r w:rsidR="00225788" w:rsidRPr="001E731E">
        <w:rPr>
          <w:rFonts w:ascii="Calibri" w:hAnsi="Calibri" w:cs="Calibri"/>
          <w:iCs/>
          <w:sz w:val="24"/>
          <w:szCs w:val="24"/>
        </w:rPr>
        <w:t>a jsou validována při vstupu do</w:t>
      </w:r>
      <w:r w:rsidR="003A1326">
        <w:rPr>
          <w:rFonts w:ascii="Calibri" w:hAnsi="Calibri" w:cs="Calibri"/>
          <w:iCs/>
          <w:sz w:val="24"/>
          <w:szCs w:val="24"/>
        </w:rPr>
        <w:t xml:space="preserve"> </w:t>
      </w:r>
      <w:r w:rsidR="00690689" w:rsidRPr="001E731E">
        <w:rPr>
          <w:rFonts w:ascii="Calibri" w:hAnsi="Calibri" w:cs="Calibri"/>
          <w:iCs/>
          <w:sz w:val="24"/>
          <w:szCs w:val="24"/>
        </w:rPr>
        <w:t>systému ISPOP formou validačních kontrol na serveru,</w:t>
      </w:r>
      <w:r w:rsidR="00225788" w:rsidRPr="001E731E">
        <w:rPr>
          <w:rFonts w:ascii="Calibri" w:hAnsi="Calibri" w:cs="Calibri"/>
          <w:iCs/>
          <w:sz w:val="24"/>
          <w:szCs w:val="24"/>
        </w:rPr>
        <w:t xml:space="preserve"> případně ještě před vstupem do</w:t>
      </w:r>
      <w:r w:rsidR="003A1326">
        <w:rPr>
          <w:rFonts w:ascii="Calibri" w:hAnsi="Calibri" w:cs="Calibri"/>
          <w:iCs/>
          <w:sz w:val="24"/>
          <w:szCs w:val="24"/>
        </w:rPr>
        <w:t xml:space="preserve"> </w:t>
      </w:r>
      <w:r w:rsidR="00690689" w:rsidRPr="001E731E">
        <w:rPr>
          <w:rFonts w:ascii="Calibri" w:hAnsi="Calibri" w:cs="Calibri"/>
          <w:iCs/>
          <w:sz w:val="24"/>
          <w:szCs w:val="24"/>
        </w:rPr>
        <w:t>systému ISPOP validačními kontrolami přímo ve formuláři; oprava hlášení může být provedena iniciací ohlašovatele, kdy si uvědomí chybu v zas</w:t>
      </w:r>
      <w:r w:rsidR="00BF3461" w:rsidRPr="001E731E">
        <w:rPr>
          <w:rFonts w:ascii="Calibri" w:hAnsi="Calibri" w:cs="Calibri"/>
          <w:iCs/>
          <w:sz w:val="24"/>
          <w:szCs w:val="24"/>
        </w:rPr>
        <w:t>laných údajích sám, případně je</w:t>
      </w:r>
      <w:r w:rsidR="003A1326">
        <w:rPr>
          <w:rFonts w:ascii="Calibri" w:hAnsi="Calibri" w:cs="Calibri"/>
          <w:iCs/>
          <w:sz w:val="24"/>
          <w:szCs w:val="24"/>
        </w:rPr>
        <w:t xml:space="preserve"> </w:t>
      </w:r>
      <w:r w:rsidR="00690689" w:rsidRPr="001E731E">
        <w:rPr>
          <w:rFonts w:ascii="Calibri" w:hAnsi="Calibri" w:cs="Calibri"/>
          <w:iCs/>
          <w:sz w:val="24"/>
          <w:szCs w:val="24"/>
        </w:rPr>
        <w:t>na chybu upozorněn ze strany ověřovatele (který si opravu údajů v</w:t>
      </w:r>
      <w:r w:rsidR="00860CFC" w:rsidRPr="001E731E">
        <w:rPr>
          <w:rFonts w:ascii="Calibri" w:hAnsi="Calibri" w:cs="Calibri"/>
          <w:iCs/>
          <w:sz w:val="24"/>
          <w:szCs w:val="24"/>
        </w:rPr>
        <w:t>yžádá):</w:t>
      </w:r>
    </w:p>
    <w:p w:rsidR="00690689" w:rsidRPr="001E731E" w:rsidRDefault="00690689" w:rsidP="001E731E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Takto opravená hlášení opětovně zaslaná do informačních systémů prostřednictvím ISPOP jsou v ISPOP rovněž ukládána.</w:t>
      </w:r>
    </w:p>
    <w:p w:rsidR="00690689" w:rsidRPr="001E731E" w:rsidRDefault="00690689" w:rsidP="001E731E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ISPOP tedy uchovává jak prvotní, tak případně všechna následná opravená hlášení. </w:t>
      </w:r>
    </w:p>
    <w:p w:rsidR="00690689" w:rsidRPr="001E731E" w:rsidRDefault="00704BDB" w:rsidP="001E731E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Všechna</w:t>
      </w:r>
      <w:r w:rsidR="00690689" w:rsidRPr="001E731E">
        <w:rPr>
          <w:rFonts w:ascii="Calibri" w:hAnsi="Calibri" w:cs="Calibri"/>
          <w:sz w:val="24"/>
          <w:szCs w:val="24"/>
        </w:rPr>
        <w:t xml:space="preserve"> hlášení </w:t>
      </w:r>
      <w:r>
        <w:rPr>
          <w:rFonts w:ascii="Calibri" w:hAnsi="Calibri" w:cs="Calibri"/>
          <w:sz w:val="24"/>
          <w:szCs w:val="24"/>
        </w:rPr>
        <w:t>(</w:t>
      </w:r>
      <w:r w:rsidR="00690689" w:rsidRPr="001E731E">
        <w:rPr>
          <w:rFonts w:ascii="Calibri" w:hAnsi="Calibri" w:cs="Calibri"/>
          <w:sz w:val="24"/>
          <w:szCs w:val="24"/>
        </w:rPr>
        <w:t xml:space="preserve">jak prvotní, tak </w:t>
      </w:r>
      <w:r>
        <w:rPr>
          <w:rFonts w:ascii="Calibri" w:hAnsi="Calibri" w:cs="Calibri"/>
          <w:sz w:val="24"/>
          <w:szCs w:val="24"/>
        </w:rPr>
        <w:t>i </w:t>
      </w:r>
      <w:r w:rsidR="00690689" w:rsidRPr="001E731E">
        <w:rPr>
          <w:rFonts w:ascii="Calibri" w:hAnsi="Calibri" w:cs="Calibri"/>
          <w:sz w:val="24"/>
          <w:szCs w:val="24"/>
        </w:rPr>
        <w:t>opravená</w:t>
      </w:r>
      <w:r>
        <w:rPr>
          <w:rFonts w:ascii="Calibri" w:hAnsi="Calibri" w:cs="Calibri"/>
          <w:sz w:val="24"/>
          <w:szCs w:val="24"/>
        </w:rPr>
        <w:t>)</w:t>
      </w:r>
      <w:r w:rsidR="00690689" w:rsidRPr="001E731E">
        <w:rPr>
          <w:rFonts w:ascii="Calibri" w:hAnsi="Calibri" w:cs="Calibri"/>
          <w:sz w:val="24"/>
          <w:szCs w:val="24"/>
        </w:rPr>
        <w:t xml:space="preserve"> jsou informač</w:t>
      </w:r>
      <w:r w:rsidR="005E7FF9" w:rsidRPr="001E731E">
        <w:rPr>
          <w:rFonts w:ascii="Calibri" w:hAnsi="Calibri" w:cs="Calibri"/>
          <w:sz w:val="24"/>
          <w:szCs w:val="24"/>
        </w:rPr>
        <w:t xml:space="preserve">ními systémy (IRZ, REZZO, ISOH) </w:t>
      </w:r>
      <w:r w:rsidR="00690689" w:rsidRPr="001E731E">
        <w:rPr>
          <w:rFonts w:ascii="Calibri" w:hAnsi="Calibri" w:cs="Calibri"/>
          <w:sz w:val="24"/>
          <w:szCs w:val="24"/>
        </w:rPr>
        <w:t>stahována.</w:t>
      </w:r>
    </w:p>
    <w:p w:rsidR="00690689" w:rsidRPr="001E731E" w:rsidRDefault="00690689" w:rsidP="001E731E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V důsledku toho jsou v ISPOP </w:t>
      </w:r>
      <w:r w:rsidR="00704BDB">
        <w:rPr>
          <w:rFonts w:ascii="Calibri" w:hAnsi="Calibri" w:cs="Calibri"/>
          <w:sz w:val="24"/>
          <w:szCs w:val="24"/>
        </w:rPr>
        <w:t>i </w:t>
      </w:r>
      <w:r w:rsidRPr="001E731E">
        <w:rPr>
          <w:rFonts w:ascii="Calibri" w:hAnsi="Calibri" w:cs="Calibri"/>
          <w:sz w:val="24"/>
          <w:szCs w:val="24"/>
        </w:rPr>
        <w:t>v informačních systémech (IRZ, REZZO, ISOH) uložena výsledná opravená data včetně předchozích, nevalidních verzí.</w:t>
      </w:r>
    </w:p>
    <w:p w:rsidR="001668F1" w:rsidRPr="001E731E" w:rsidRDefault="00690689" w:rsidP="001E731E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Hlášení pro zveřejnění v IRZ jsou uchovávána v ISPOP a</w:t>
      </w:r>
      <w:r w:rsidR="00225788" w:rsidRPr="001E731E">
        <w:rPr>
          <w:rFonts w:ascii="Calibri" w:hAnsi="Calibri" w:cs="Calibri"/>
          <w:sz w:val="24"/>
          <w:szCs w:val="24"/>
        </w:rPr>
        <w:t xml:space="preserve"> po následné validaci jsou při</w:t>
      </w:r>
      <w:r w:rsidR="003A1326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sz w:val="24"/>
          <w:szCs w:val="24"/>
        </w:rPr>
        <w:t xml:space="preserve">zveřejnění na webu IRZ rovněž uložena v databázi IRZ.  </w:t>
      </w:r>
    </w:p>
    <w:p w:rsidR="009B5812" w:rsidRDefault="009B5812" w:rsidP="001E731E">
      <w:pPr>
        <w:shd w:val="clear" w:color="auto" w:fill="FFFFFF"/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</w:p>
    <w:p w:rsidR="00690689" w:rsidRDefault="001668F1" w:rsidP="001E731E">
      <w:pPr>
        <w:shd w:val="clear" w:color="auto" w:fill="FFFFFF"/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  <w:r w:rsidRPr="001E731E">
        <w:rPr>
          <w:rFonts w:ascii="Calibri" w:hAnsi="Calibri" w:cs="Calibri"/>
          <w:iCs/>
          <w:sz w:val="24"/>
          <w:szCs w:val="24"/>
        </w:rPr>
        <w:t>Vícenásobné ukládání dat měl u vybraných informačních systémů odstranit projekt SIRIUS.</w:t>
      </w:r>
    </w:p>
    <w:p w:rsidR="009B5812" w:rsidRPr="001E731E" w:rsidRDefault="009B5812" w:rsidP="001E73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Cs/>
          <w:sz w:val="24"/>
          <w:szCs w:val="24"/>
          <w:highlight w:val="yellow"/>
        </w:rPr>
      </w:pPr>
    </w:p>
    <w:p w:rsidR="00C1368F" w:rsidRPr="001E731E" w:rsidRDefault="00870F63" w:rsidP="001E731E">
      <w:pPr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  <w:r w:rsidRPr="001E731E">
        <w:rPr>
          <w:rFonts w:ascii="Calibri" w:hAnsi="Calibri" w:cs="Calibri"/>
          <w:b/>
          <w:i/>
          <w:sz w:val="24"/>
          <w:szCs w:val="24"/>
        </w:rPr>
        <w:t>S</w:t>
      </w:r>
      <w:r w:rsidR="00C1368F" w:rsidRPr="001E731E">
        <w:rPr>
          <w:rFonts w:ascii="Calibri" w:hAnsi="Calibri" w:cs="Calibri"/>
          <w:b/>
          <w:i/>
          <w:sz w:val="24"/>
          <w:szCs w:val="24"/>
        </w:rPr>
        <w:t>IRIUS – zrušený projekt</w:t>
      </w:r>
    </w:p>
    <w:p w:rsidR="009B5812" w:rsidRDefault="009B5812" w:rsidP="001E731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564A7" w:rsidRPr="001E731E" w:rsidRDefault="005564A7" w:rsidP="001E731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E731E">
        <w:rPr>
          <w:rFonts w:ascii="Calibri" w:hAnsi="Calibri" w:cs="Calibri"/>
          <w:b/>
          <w:sz w:val="24"/>
          <w:szCs w:val="24"/>
        </w:rPr>
        <w:t>Kontrolou bylo zjištěno, že jediný projekt (SIRIUS), kterým MŽP směřovalo k naplnění JISŽP, byl zrušen bez náhrady</w:t>
      </w:r>
      <w:r w:rsidR="003A1326">
        <w:rPr>
          <w:rFonts w:ascii="Calibri" w:hAnsi="Calibri" w:cs="Calibri"/>
          <w:b/>
          <w:sz w:val="24"/>
          <w:szCs w:val="24"/>
        </w:rPr>
        <w:t>,</w:t>
      </w:r>
      <w:r w:rsidRPr="001E731E">
        <w:rPr>
          <w:rFonts w:ascii="Calibri" w:hAnsi="Calibri" w:cs="Calibri"/>
          <w:b/>
          <w:sz w:val="24"/>
          <w:szCs w:val="24"/>
        </w:rPr>
        <w:t xml:space="preserve"> a byl</w:t>
      </w:r>
      <w:r w:rsidR="005A2CF0" w:rsidRPr="001E731E">
        <w:rPr>
          <w:rFonts w:ascii="Calibri" w:hAnsi="Calibri" w:cs="Calibri"/>
          <w:b/>
          <w:sz w:val="24"/>
          <w:szCs w:val="24"/>
        </w:rPr>
        <w:t>a</w:t>
      </w:r>
      <w:r w:rsidRPr="001E731E">
        <w:rPr>
          <w:rFonts w:ascii="Calibri" w:hAnsi="Calibri" w:cs="Calibri"/>
          <w:b/>
          <w:sz w:val="24"/>
          <w:szCs w:val="24"/>
        </w:rPr>
        <w:t xml:space="preserve"> </w:t>
      </w:r>
      <w:r w:rsidR="003A1326">
        <w:rPr>
          <w:rFonts w:ascii="Calibri" w:hAnsi="Calibri" w:cs="Calibri"/>
          <w:b/>
          <w:sz w:val="24"/>
          <w:szCs w:val="24"/>
        </w:rPr>
        <w:t>tudíž</w:t>
      </w:r>
      <w:r w:rsidRPr="001E731E">
        <w:rPr>
          <w:rFonts w:ascii="Calibri" w:hAnsi="Calibri" w:cs="Calibri"/>
          <w:b/>
          <w:sz w:val="24"/>
          <w:szCs w:val="24"/>
        </w:rPr>
        <w:t xml:space="preserve"> nehospodárně a neúčelně vynaložena částka ve</w:t>
      </w:r>
      <w:r w:rsidR="003A1326">
        <w:rPr>
          <w:rFonts w:ascii="Calibri" w:hAnsi="Calibri" w:cs="Calibri"/>
          <w:b/>
          <w:sz w:val="24"/>
          <w:szCs w:val="24"/>
        </w:rPr>
        <w:t xml:space="preserve"> </w:t>
      </w:r>
      <w:r w:rsidRPr="001E731E">
        <w:rPr>
          <w:rFonts w:ascii="Calibri" w:hAnsi="Calibri" w:cs="Calibri"/>
          <w:b/>
          <w:sz w:val="24"/>
          <w:szCs w:val="24"/>
        </w:rPr>
        <w:t xml:space="preserve">výši 21 mil. Kč. </w:t>
      </w:r>
    </w:p>
    <w:p w:rsidR="009B5812" w:rsidRDefault="009B5812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E7CD1" w:rsidRDefault="00825D41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Cílem projektu</w:t>
      </w:r>
      <w:r w:rsidR="009D0ABC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SIRIUS</w:t>
      </w:r>
      <w:r w:rsidR="005019CB" w:rsidRPr="001E731E">
        <w:rPr>
          <w:rFonts w:ascii="Calibri" w:eastAsia="Times New Roman" w:hAnsi="Calibri" w:cs="Calibri"/>
          <w:sz w:val="24"/>
          <w:szCs w:val="24"/>
          <w:lang w:eastAsia="cs-CZ"/>
        </w:rPr>
        <w:t>, který realizovala CENIA,</w:t>
      </w:r>
      <w:r w:rsidR="005772D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bylo vytvořit nejen jediné přístupové místo pro vstup dat, ale také jediné místo pro přístup k těmto datům </w:t>
      </w:r>
      <w:r w:rsidR="00E9457F" w:rsidRPr="001E731E">
        <w:rPr>
          <w:rFonts w:ascii="Calibri" w:eastAsia="Times New Roman" w:hAnsi="Calibri" w:cs="Calibri"/>
          <w:sz w:val="24"/>
          <w:szCs w:val="24"/>
          <w:lang w:eastAsia="cs-CZ"/>
        </w:rPr>
        <w:t>pro potřeby různých subjektů státní správy. Zainteresované subjekty měl</w:t>
      </w:r>
      <w:r w:rsidR="003A1326">
        <w:rPr>
          <w:rFonts w:ascii="Calibri" w:eastAsia="Times New Roman" w:hAnsi="Calibri" w:cs="Calibri"/>
          <w:sz w:val="24"/>
          <w:szCs w:val="24"/>
          <w:lang w:eastAsia="cs-CZ"/>
        </w:rPr>
        <w:t>y</w:t>
      </w:r>
      <w:r w:rsidR="00E9457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mít k dispozici nejenom včasná a přesná data, publikovaná v geografických i věcných souvislostech, ale také soubor profesionálních nástrojů pro další analytickou práci s těmito daty. </w:t>
      </w:r>
      <w:r w:rsidR="0009402D" w:rsidRPr="001E731E">
        <w:rPr>
          <w:rFonts w:ascii="Calibri" w:eastAsia="Times New Roman" w:hAnsi="Calibri" w:cs="Calibri"/>
          <w:sz w:val="24"/>
          <w:szCs w:val="24"/>
          <w:lang w:eastAsia="cs-CZ"/>
        </w:rPr>
        <w:t>Navrhovaný projekt měl nahradit několik dílčích informačních systémů a databází, které fungují jak</w:t>
      </w:r>
      <w:r w:rsidR="00130D99" w:rsidRPr="001E731E">
        <w:rPr>
          <w:rFonts w:ascii="Calibri" w:eastAsia="Times New Roman" w:hAnsi="Calibri" w:cs="Calibri"/>
          <w:sz w:val="24"/>
          <w:szCs w:val="24"/>
          <w:lang w:eastAsia="cs-CZ"/>
        </w:rPr>
        <w:t>o nástroje pro zpracování dat z </w:t>
      </w:r>
      <w:r w:rsidR="0009402D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oblasti technické ochrany životního prostředí, případně souvisejících dat. Tyto systémy dnes fungují většinou zcela samostatně a jejich vzájemná kompatibilita není zajištěna. Projekt SIRIUS měl </w:t>
      </w:r>
      <w:r w:rsidR="00E9457F" w:rsidRPr="001E731E">
        <w:rPr>
          <w:rFonts w:ascii="Calibri" w:eastAsia="Times New Roman" w:hAnsi="Calibri" w:cs="Calibri"/>
          <w:sz w:val="24"/>
          <w:szCs w:val="24"/>
          <w:lang w:eastAsia="cs-CZ"/>
        </w:rPr>
        <w:t>zefektivn</w:t>
      </w:r>
      <w:r w:rsidR="0009402D" w:rsidRPr="001E731E">
        <w:rPr>
          <w:rFonts w:ascii="Calibri" w:eastAsia="Times New Roman" w:hAnsi="Calibri" w:cs="Calibri"/>
          <w:sz w:val="24"/>
          <w:szCs w:val="24"/>
          <w:lang w:eastAsia="cs-CZ"/>
        </w:rPr>
        <w:t>it</w:t>
      </w:r>
      <w:r w:rsidR="00E9457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zpracování dat pro </w:t>
      </w:r>
      <w:r w:rsidR="003B0106" w:rsidRPr="001E731E">
        <w:rPr>
          <w:rFonts w:ascii="Calibri" w:eastAsia="Times New Roman" w:hAnsi="Calibri" w:cs="Calibri"/>
          <w:sz w:val="24"/>
          <w:szCs w:val="24"/>
          <w:lang w:eastAsia="cs-CZ"/>
        </w:rPr>
        <w:t>potřeby rozhodovacích procesů a </w:t>
      </w:r>
      <w:r w:rsidR="00E9457F" w:rsidRPr="001E731E">
        <w:rPr>
          <w:rFonts w:ascii="Calibri" w:eastAsia="Times New Roman" w:hAnsi="Calibri" w:cs="Calibri"/>
          <w:sz w:val="24"/>
          <w:szCs w:val="24"/>
          <w:lang w:eastAsia="cs-CZ"/>
        </w:rPr>
        <w:t>národního i mezinárodního reportingu.</w:t>
      </w:r>
      <w:r w:rsidR="00203B45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5772D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Tím by došlo k odstranění multiplikace ukládaných stejných dat ve více informačních systémech. </w:t>
      </w:r>
    </w:p>
    <w:p w:rsidR="009B5812" w:rsidRPr="001E731E" w:rsidRDefault="009B5812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9B5812" w:rsidRDefault="00F93BBB" w:rsidP="001E73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Od samého počátku v roce 2010 začal projekt SIRIUS nabírat časové zpoždění, které bylo způsobeno většinou ze strany MŽP pomalým schvalováním zadávacích dokumentací </w:t>
      </w:r>
      <w:r w:rsidR="00AD257E" w:rsidRPr="001E731E">
        <w:rPr>
          <w:rFonts w:ascii="Calibri" w:eastAsia="Times New Roman" w:hAnsi="Calibri" w:cs="Calibri"/>
          <w:sz w:val="24"/>
          <w:szCs w:val="24"/>
          <w:lang w:eastAsia="cs-CZ"/>
        </w:rPr>
        <w:t>veřejných zakázek (dále také „VZ“)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="00AE0A77" w:rsidRPr="001E731E">
        <w:rPr>
          <w:rFonts w:ascii="Calibri" w:eastAsia="Times New Roman" w:hAnsi="Calibri" w:cs="Calibri"/>
          <w:sz w:val="24"/>
          <w:szCs w:val="24"/>
          <w:lang w:eastAsia="cs-CZ"/>
        </w:rPr>
        <w:t>Další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časový posun vznikl n</w:t>
      </w:r>
      <w:r w:rsidR="000601B4" w:rsidRPr="001E731E">
        <w:rPr>
          <w:rFonts w:ascii="Calibri" w:eastAsia="Times New Roman" w:hAnsi="Calibri" w:cs="Calibri"/>
          <w:sz w:val="24"/>
          <w:szCs w:val="24"/>
          <w:lang w:eastAsia="cs-CZ"/>
        </w:rPr>
        <w:t>evhodně vypracovanými nabídkami</w:t>
      </w:r>
      <w:r w:rsidR="00AE0A77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uchazečů</w:t>
      </w:r>
      <w:r w:rsidR="000601B4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, které CENIA obdržela. U některých nabídek 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bylo nutné dotazovat </w:t>
      </w:r>
      <w:r w:rsidR="003A1326">
        <w:rPr>
          <w:rFonts w:ascii="Calibri" w:eastAsia="Times New Roman" w:hAnsi="Calibri" w:cs="Calibri"/>
          <w:sz w:val="24"/>
          <w:szCs w:val="24"/>
          <w:lang w:eastAsia="cs-CZ"/>
        </w:rPr>
        <w:t xml:space="preserve">se 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>na chybějící informace, případně neb</w:t>
      </w:r>
      <w:r w:rsidR="000601B4" w:rsidRPr="001E731E">
        <w:rPr>
          <w:rFonts w:ascii="Calibri" w:eastAsia="Times New Roman" w:hAnsi="Calibri" w:cs="Calibri"/>
          <w:sz w:val="24"/>
          <w:szCs w:val="24"/>
          <w:lang w:eastAsia="cs-CZ"/>
        </w:rPr>
        <w:t>yly dodány požadované dokumenty.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Postupně byly </w:t>
      </w:r>
      <w:proofErr w:type="spellStart"/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>vysoutěženy</w:t>
      </w:r>
      <w:proofErr w:type="spellEnd"/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čtyři menší VZ a podepsány smlouvy s vybranými uchazeči. Problém nastal u největší a nejdůležitější zamýšl</w:t>
      </w:r>
      <w:r w:rsidR="000552BA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ené veřejné zakázky </w:t>
      </w:r>
      <w:r w:rsidR="00695871" w:rsidRPr="002A6423">
        <w:rPr>
          <w:rFonts w:ascii="Calibri" w:eastAsia="Times New Roman" w:hAnsi="Calibri" w:cs="Calibri"/>
          <w:i/>
          <w:sz w:val="24"/>
          <w:szCs w:val="24"/>
          <w:lang w:eastAsia="cs-CZ"/>
        </w:rPr>
        <w:t>VZ-04 – Návrh, implementace a</w:t>
      </w:r>
      <w:r w:rsidR="00172092" w:rsidRPr="002A6423">
        <w:rPr>
          <w:rFonts w:ascii="Calibri" w:eastAsia="Times New Roman" w:hAnsi="Calibri" w:cs="Calibri"/>
          <w:i/>
          <w:sz w:val="24"/>
          <w:szCs w:val="24"/>
          <w:lang w:eastAsia="cs-CZ"/>
        </w:rPr>
        <w:t> </w:t>
      </w:r>
      <w:r w:rsidR="00695871" w:rsidRPr="002A6423">
        <w:rPr>
          <w:rFonts w:ascii="Calibri" w:eastAsia="Times New Roman" w:hAnsi="Calibri" w:cs="Calibri"/>
          <w:i/>
          <w:sz w:val="24"/>
          <w:szCs w:val="24"/>
          <w:lang w:eastAsia="cs-CZ"/>
        </w:rPr>
        <w:t>podpora udržitelnosti informačního systému SIRIUS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="003A1326">
        <w:rPr>
          <w:rFonts w:ascii="Calibri" w:eastAsia="Times New Roman" w:hAnsi="Calibri" w:cs="Calibri"/>
          <w:sz w:val="24"/>
          <w:szCs w:val="24"/>
          <w:lang w:eastAsia="cs-CZ"/>
        </w:rPr>
        <w:t>u níž bylo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3A1326">
        <w:rPr>
          <w:rFonts w:ascii="Calibri" w:eastAsia="Times New Roman" w:hAnsi="Calibri" w:cs="Calibri"/>
          <w:sz w:val="24"/>
          <w:szCs w:val="24"/>
          <w:lang w:eastAsia="cs-CZ"/>
        </w:rPr>
        <w:t>nejprve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EA3CA6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provedeno zadávací 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>řízení, následně došlo k jeho zrušení z důvod</w:t>
      </w:r>
      <w:r w:rsidR="00704BDB">
        <w:rPr>
          <w:rFonts w:ascii="Calibri" w:eastAsia="Times New Roman" w:hAnsi="Calibri" w:cs="Calibri"/>
          <w:sz w:val="24"/>
          <w:szCs w:val="24"/>
          <w:lang w:eastAsia="cs-CZ"/>
        </w:rPr>
        <w:t>u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plánovaných organizačních změn v resortu 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životního prostředí (sloučení CENIA a ČHMÚ,</w:t>
      </w:r>
      <w:r w:rsidR="003B0106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ke kterému však nedošlo) a po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přepracování zadávací dokumentace bylo znovu </w:t>
      </w:r>
      <w:r w:rsidR="008C5B99" w:rsidRPr="001E731E">
        <w:rPr>
          <w:rFonts w:ascii="Calibri" w:eastAsia="Times New Roman" w:hAnsi="Calibri" w:cs="Calibri"/>
          <w:sz w:val="24"/>
          <w:szCs w:val="24"/>
          <w:lang w:eastAsia="cs-CZ"/>
        </w:rPr>
        <w:t>provedeno zadávací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řízení</w:t>
      </w:r>
      <w:r w:rsidR="000552BA" w:rsidRPr="001E731E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C1212B" w:rsidRPr="001E731E" w:rsidRDefault="00C1212B" w:rsidP="001E73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962A8" w:rsidRDefault="00483BBC" w:rsidP="001E73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CENIA v harmonogramu projektu stanovila termín 22. 7. 2013, do kterého měla být uzavřena smlouva s vybraným </w:t>
      </w:r>
      <w:r w:rsidR="00B81B8A" w:rsidRPr="001E731E">
        <w:rPr>
          <w:rFonts w:ascii="Calibri" w:eastAsia="Times New Roman" w:hAnsi="Calibri" w:cs="Calibri"/>
          <w:sz w:val="24"/>
          <w:szCs w:val="24"/>
          <w:lang w:eastAsia="cs-CZ"/>
        </w:rPr>
        <w:t>uchazečem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B81B8A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o 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veřejn</w:t>
      </w:r>
      <w:r w:rsidR="00B81B8A" w:rsidRPr="001E731E">
        <w:rPr>
          <w:rFonts w:ascii="Calibri" w:eastAsia="Times New Roman" w:hAnsi="Calibri" w:cs="Calibri"/>
          <w:sz w:val="24"/>
          <w:szCs w:val="24"/>
          <w:lang w:eastAsia="cs-CZ"/>
        </w:rPr>
        <w:t>ou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zakázk</w:t>
      </w:r>
      <w:r w:rsidR="00B81B8A" w:rsidRPr="001E731E">
        <w:rPr>
          <w:rFonts w:ascii="Calibri" w:eastAsia="Times New Roman" w:hAnsi="Calibri" w:cs="Calibri"/>
          <w:sz w:val="24"/>
          <w:szCs w:val="24"/>
          <w:lang w:eastAsia="cs-CZ"/>
        </w:rPr>
        <w:t>u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VZ-04 projektu SIRIUS tak</w:t>
      </w:r>
      <w:r w:rsidR="00B81B8A" w:rsidRPr="001E731E"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aby byly splněny podmínky pro čerpání peněžních prostředků z </w:t>
      </w:r>
      <w:r w:rsidRPr="002A6423">
        <w:rPr>
          <w:rFonts w:ascii="Calibri" w:eastAsia="Times New Roman" w:hAnsi="Calibri" w:cs="Calibri"/>
          <w:i/>
          <w:sz w:val="24"/>
          <w:szCs w:val="24"/>
          <w:lang w:eastAsia="cs-CZ"/>
        </w:rPr>
        <w:t>Evropského fondu pro regionální rozvoj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Při </w:t>
      </w:r>
      <w:r w:rsidR="001D67A6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zadávacím 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>řízení na VZ</w:t>
      </w:r>
      <w:r w:rsidR="001E4203" w:rsidRPr="001E731E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>04 byly přijaty tři nabídky, avšak z důvodu nutnosti vyžá</w:t>
      </w:r>
      <w:r w:rsidR="003B0106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dání 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>dodatečných informací existovalo reálné riziko vyloučení až dvou uchazečů a</w:t>
      </w:r>
      <w:r w:rsidR="00172092" w:rsidRPr="001E731E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>následné</w:t>
      </w:r>
      <w:r w:rsidR="003A1326">
        <w:rPr>
          <w:rFonts w:ascii="Calibri" w:eastAsia="Times New Roman" w:hAnsi="Calibri" w:cs="Calibri"/>
          <w:sz w:val="24"/>
          <w:szCs w:val="24"/>
          <w:lang w:eastAsia="cs-CZ"/>
        </w:rPr>
        <w:t>ho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zrušení </w:t>
      </w:r>
      <w:r w:rsidR="00371EBE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zadávacího 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>řízení. Tím by došlo k nedodržení stanoveného termínu 22.</w:t>
      </w:r>
      <w:r w:rsidR="00022564" w:rsidRPr="001E731E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>7. 2013</w:t>
      </w:r>
      <w:r w:rsidR="003A1326"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a proto se CENIA rozhodla od projektu sama odstoupit. Projekt byl předčasně ukončen rozhodnutím porady vedení MŽP k 31. 7. 2013 </w:t>
      </w:r>
      <w:r w:rsidR="003A1326">
        <w:rPr>
          <w:rFonts w:ascii="Calibri" w:eastAsia="Times New Roman" w:hAnsi="Calibri" w:cs="Calibri"/>
          <w:sz w:val="24"/>
          <w:szCs w:val="24"/>
          <w:lang w:eastAsia="cs-CZ"/>
        </w:rPr>
        <w:t>se zdůvodněním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>, že nebyly naplněny cíle projektu</w:t>
      </w:r>
      <w:r w:rsidR="00A5465B" w:rsidRPr="001E731E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9B5812" w:rsidRPr="001E731E" w:rsidRDefault="009B5812" w:rsidP="001E73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695871" w:rsidRDefault="00695871" w:rsidP="001E73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CENIA vynaložila od roku 2010 do roku 2013 na projekt SIRIU</w:t>
      </w:r>
      <w:r w:rsidR="003D3F0B" w:rsidRPr="001E731E">
        <w:rPr>
          <w:rFonts w:ascii="Calibri" w:eastAsia="Times New Roman" w:hAnsi="Calibri" w:cs="Calibri"/>
          <w:sz w:val="24"/>
          <w:szCs w:val="24"/>
          <w:lang w:eastAsia="cs-CZ"/>
        </w:rPr>
        <w:t>S prostředky ve výši 21 007 748 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Kč, z čehož bylo 12 269 872 Kč z </w:t>
      </w:r>
      <w:r w:rsidRPr="002A6423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Evropského fondu </w:t>
      </w:r>
      <w:r w:rsidR="00483BBC" w:rsidRPr="002A6423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pro </w:t>
      </w:r>
      <w:r w:rsidRPr="002A6423">
        <w:rPr>
          <w:rFonts w:ascii="Calibri" w:eastAsia="Times New Roman" w:hAnsi="Calibri" w:cs="Calibri"/>
          <w:i/>
          <w:sz w:val="24"/>
          <w:szCs w:val="24"/>
          <w:lang w:eastAsia="cs-CZ"/>
        </w:rPr>
        <w:t>regionální rozvoj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, 2 165 282 Kč z prostředků </w:t>
      </w:r>
      <w:r w:rsidR="00795BAD" w:rsidRPr="001E731E">
        <w:rPr>
          <w:rFonts w:ascii="Calibri" w:eastAsia="Times New Roman" w:hAnsi="Calibri" w:cs="Calibri"/>
          <w:sz w:val="24"/>
          <w:szCs w:val="24"/>
          <w:lang w:eastAsia="cs-CZ"/>
        </w:rPr>
        <w:t>kapitoly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MŽP. Zbývající část ve výši 6 572 594 Kč hradila </w:t>
      </w:r>
      <w:r w:rsidR="00704BDB">
        <w:rPr>
          <w:rFonts w:ascii="Calibri" w:eastAsia="Times New Roman" w:hAnsi="Calibri" w:cs="Calibri"/>
          <w:sz w:val="24"/>
          <w:szCs w:val="24"/>
          <w:lang w:eastAsia="cs-CZ"/>
        </w:rPr>
        <w:t xml:space="preserve">agentura 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CENIA ze svých prostředků.</w:t>
      </w:r>
      <w:r w:rsidR="008175CC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3A1326">
        <w:rPr>
          <w:rFonts w:ascii="Calibri" w:eastAsia="Times New Roman" w:hAnsi="Calibri" w:cs="Calibri"/>
          <w:sz w:val="24"/>
          <w:szCs w:val="24"/>
          <w:lang w:eastAsia="cs-CZ"/>
        </w:rPr>
        <w:t>Po zrušení projektu</w:t>
      </w:r>
      <w:r w:rsidR="00AE2508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bylo povinností CENIA navrátit </w:t>
      </w:r>
      <w:r w:rsidR="00AF314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peněžní </w:t>
      </w:r>
      <w:r w:rsidR="00AE2508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prostředky ve výši 12 269 872 Kč, které byly na tento projekt využity </w:t>
      </w:r>
      <w:r w:rsidR="006A45BB" w:rsidRPr="001E731E">
        <w:rPr>
          <w:rFonts w:ascii="Calibri" w:eastAsia="Times New Roman" w:hAnsi="Calibri" w:cs="Calibri"/>
          <w:sz w:val="24"/>
          <w:szCs w:val="24"/>
          <w:lang w:eastAsia="cs-CZ"/>
        </w:rPr>
        <w:t>z </w:t>
      </w:r>
      <w:r w:rsidR="00AE2508" w:rsidRPr="002A6423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Evropského fondu </w:t>
      </w:r>
      <w:r w:rsidR="008F6DF3" w:rsidRPr="002A6423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pro </w:t>
      </w:r>
      <w:r w:rsidR="00AE2508" w:rsidRPr="002A6423">
        <w:rPr>
          <w:rFonts w:ascii="Calibri" w:eastAsia="Times New Roman" w:hAnsi="Calibri" w:cs="Calibri"/>
          <w:i/>
          <w:sz w:val="24"/>
          <w:szCs w:val="24"/>
          <w:lang w:eastAsia="cs-CZ"/>
        </w:rPr>
        <w:t>regionální rozvoj</w:t>
      </w:r>
      <w:r w:rsidR="00AE2508" w:rsidRPr="001E731E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3D3F0B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AF314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Povinnost </w:t>
      </w:r>
      <w:r w:rsidR="007C17AB">
        <w:rPr>
          <w:rFonts w:ascii="Calibri" w:eastAsia="Times New Roman" w:hAnsi="Calibri" w:cs="Calibri"/>
          <w:sz w:val="24"/>
          <w:szCs w:val="24"/>
          <w:lang w:eastAsia="cs-CZ"/>
        </w:rPr>
        <w:t>vrátit peněžní prostředky</w:t>
      </w:r>
      <w:r w:rsidR="00AF314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potvrdila i daňová kontrola </w:t>
      </w:r>
      <w:r w:rsidR="007C17AB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provedená </w:t>
      </w:r>
      <w:r w:rsidR="00AF314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na </w:t>
      </w:r>
      <w:r w:rsidR="007962A8" w:rsidRPr="001E731E">
        <w:rPr>
          <w:rFonts w:ascii="Calibri" w:eastAsia="Times New Roman" w:hAnsi="Calibri" w:cs="Calibri"/>
          <w:sz w:val="24"/>
          <w:szCs w:val="24"/>
          <w:lang w:eastAsia="cs-CZ"/>
        </w:rPr>
        <w:t>základě p</w:t>
      </w:r>
      <w:r w:rsidR="003A1326">
        <w:rPr>
          <w:rFonts w:ascii="Calibri" w:eastAsia="Times New Roman" w:hAnsi="Calibri" w:cs="Calibri"/>
          <w:sz w:val="24"/>
          <w:szCs w:val="24"/>
          <w:lang w:eastAsia="cs-CZ"/>
        </w:rPr>
        <w:t>odnětů od Ministerstva vnitra a </w:t>
      </w:r>
      <w:r w:rsidR="007962A8" w:rsidRPr="001E731E">
        <w:rPr>
          <w:rFonts w:ascii="Calibri" w:eastAsia="Times New Roman" w:hAnsi="Calibri" w:cs="Calibri"/>
          <w:sz w:val="24"/>
          <w:szCs w:val="24"/>
          <w:lang w:eastAsia="cs-CZ"/>
        </w:rPr>
        <w:t>M</w:t>
      </w:r>
      <w:r w:rsidR="00AF314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inisterstva pro místní rozvoj. </w:t>
      </w:r>
      <w:r w:rsidR="001474CD" w:rsidRPr="001E731E">
        <w:rPr>
          <w:rFonts w:ascii="Calibri" w:eastAsia="Times New Roman" w:hAnsi="Calibri" w:cs="Calibri"/>
          <w:sz w:val="24"/>
          <w:szCs w:val="24"/>
          <w:lang w:eastAsia="cs-CZ"/>
        </w:rPr>
        <w:t>T</w:t>
      </w:r>
      <w:r w:rsidR="00282592" w:rsidRPr="001E731E">
        <w:rPr>
          <w:rFonts w:ascii="Calibri" w:eastAsia="Times New Roman" w:hAnsi="Calibri" w:cs="Calibri"/>
          <w:sz w:val="24"/>
          <w:szCs w:val="24"/>
          <w:lang w:eastAsia="cs-CZ"/>
        </w:rPr>
        <w:t>yto peněžní prostředky</w:t>
      </w:r>
      <w:r w:rsidR="00613374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1474CD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byly </w:t>
      </w:r>
      <w:r w:rsidR="00613374" w:rsidRPr="001E731E">
        <w:rPr>
          <w:rFonts w:ascii="Calibri" w:eastAsia="Times New Roman" w:hAnsi="Calibri" w:cs="Calibri"/>
          <w:sz w:val="24"/>
          <w:szCs w:val="24"/>
          <w:lang w:eastAsia="cs-CZ"/>
        </w:rPr>
        <w:t>na základě výzvy správce programu</w:t>
      </w:r>
      <w:r w:rsidR="00FF6574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1474CD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vráceny </w:t>
      </w:r>
      <w:r w:rsidR="006A45BB" w:rsidRPr="001E731E">
        <w:rPr>
          <w:rFonts w:ascii="Calibri" w:eastAsia="Times New Roman" w:hAnsi="Calibri" w:cs="Calibri"/>
          <w:sz w:val="24"/>
          <w:szCs w:val="24"/>
          <w:lang w:eastAsia="cs-CZ"/>
        </w:rPr>
        <w:t>dne 18. 10. 2013</w:t>
      </w:r>
      <w:r w:rsidR="00282592" w:rsidRPr="001E731E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9B5812" w:rsidRPr="001E731E" w:rsidRDefault="009B5812" w:rsidP="001E73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64E25" w:rsidRPr="001E731E" w:rsidRDefault="00076143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V důsledku z</w:t>
      </w:r>
      <w:r w:rsidR="00570CD3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rušení projektu SIRIUS nedošlo k odstranění multiplicit ukládaných dat </w:t>
      </w:r>
      <w:r w:rsidR="007C17AB">
        <w:rPr>
          <w:rFonts w:ascii="Calibri" w:eastAsia="Times New Roman" w:hAnsi="Calibri" w:cs="Calibri"/>
          <w:sz w:val="24"/>
          <w:szCs w:val="24"/>
          <w:lang w:eastAsia="cs-CZ"/>
        </w:rPr>
        <w:t>ani k vytvoření</w:t>
      </w:r>
      <w:r w:rsidR="00570CD3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datové jednotnosti IS v resortu životního prostředí. </w:t>
      </w:r>
      <w:r w:rsidR="003B0106" w:rsidRPr="001E731E">
        <w:rPr>
          <w:rFonts w:ascii="Calibri" w:eastAsia="Times New Roman" w:hAnsi="Calibri" w:cs="Calibri"/>
          <w:sz w:val="24"/>
          <w:szCs w:val="24"/>
          <w:lang w:eastAsia="cs-CZ"/>
        </w:rPr>
        <w:t>V současnosti se nepředpokládá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>, že by</w:t>
      </w:r>
      <w:r w:rsidR="007C17AB">
        <w:rPr>
          <w:rFonts w:ascii="Calibri" w:eastAsia="Times New Roman" w:hAnsi="Calibri" w:cs="Calibri"/>
          <w:sz w:val="24"/>
          <w:szCs w:val="24"/>
          <w:lang w:eastAsia="cs-CZ"/>
        </w:rPr>
        <w:t xml:space="preserve"> byl</w:t>
      </w:r>
      <w:r w:rsidR="00695871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v dohledné </w:t>
      </w:r>
      <w:r w:rsidR="00570CD3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budoucnosti projekt </w:t>
      </w:r>
      <w:r w:rsidR="00064E25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SIRIUS </w:t>
      </w:r>
      <w:r w:rsidR="00570CD3" w:rsidRPr="001E731E">
        <w:rPr>
          <w:rFonts w:ascii="Calibri" w:eastAsia="Times New Roman" w:hAnsi="Calibri" w:cs="Calibri"/>
          <w:sz w:val="24"/>
          <w:szCs w:val="24"/>
          <w:lang w:eastAsia="cs-CZ"/>
        </w:rPr>
        <w:t>obnoven</w:t>
      </w:r>
      <w:r w:rsidR="00064E25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. Ze </w:t>
      </w:r>
      <w:r w:rsidR="00570CD3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strany </w:t>
      </w:r>
      <w:r w:rsidR="007C17AB">
        <w:rPr>
          <w:rFonts w:ascii="Calibri" w:eastAsia="Times New Roman" w:hAnsi="Calibri" w:cs="Calibri"/>
          <w:sz w:val="24"/>
          <w:szCs w:val="24"/>
          <w:lang w:eastAsia="cs-CZ"/>
        </w:rPr>
        <w:t xml:space="preserve">agentury </w:t>
      </w:r>
      <w:r w:rsidR="00570CD3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CENIA </w:t>
      </w:r>
      <w:r w:rsidR="007C17AB">
        <w:rPr>
          <w:rFonts w:ascii="Calibri" w:eastAsia="Times New Roman" w:hAnsi="Calibri" w:cs="Calibri"/>
          <w:sz w:val="24"/>
          <w:szCs w:val="24"/>
          <w:lang w:eastAsia="cs-CZ"/>
        </w:rPr>
        <w:t>nejsou zachovány dílčí výstupy</w:t>
      </w:r>
      <w:r w:rsidR="00274484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570CD3" w:rsidRPr="001E731E">
        <w:rPr>
          <w:rFonts w:ascii="Calibri" w:eastAsia="Times New Roman" w:hAnsi="Calibri" w:cs="Calibri"/>
          <w:sz w:val="24"/>
          <w:szCs w:val="24"/>
          <w:lang w:eastAsia="cs-CZ"/>
        </w:rPr>
        <w:t>projektu SIRIUS</w:t>
      </w:r>
      <w:r w:rsidR="00A337B2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="000C4C47" w:rsidRPr="001E731E">
        <w:rPr>
          <w:rFonts w:ascii="Calibri" w:eastAsia="Times New Roman" w:hAnsi="Calibri" w:cs="Calibri"/>
          <w:sz w:val="24"/>
          <w:szCs w:val="24"/>
          <w:lang w:eastAsia="cs-CZ"/>
        </w:rPr>
        <w:t>a</w:t>
      </w:r>
      <w:r w:rsidR="00064E25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7C17AB">
        <w:rPr>
          <w:rFonts w:ascii="Calibri" w:eastAsia="Times New Roman" w:hAnsi="Calibri" w:cs="Calibri"/>
          <w:sz w:val="24"/>
          <w:szCs w:val="24"/>
          <w:lang w:eastAsia="cs-CZ"/>
        </w:rPr>
        <w:t>tudíž</w:t>
      </w:r>
      <w:r w:rsidR="009F1AC4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C4C47" w:rsidRPr="001E731E">
        <w:rPr>
          <w:rFonts w:ascii="Calibri" w:eastAsia="Times New Roman" w:hAnsi="Calibri" w:cs="Calibri"/>
          <w:sz w:val="24"/>
          <w:szCs w:val="24"/>
          <w:lang w:eastAsia="cs-CZ"/>
        </w:rPr>
        <w:t>je n</w:t>
      </w:r>
      <w:r w:rsidR="008D6B62" w:rsidRPr="001E731E">
        <w:rPr>
          <w:rFonts w:ascii="Calibri" w:eastAsia="Times New Roman" w:hAnsi="Calibri" w:cs="Calibri"/>
          <w:sz w:val="24"/>
          <w:szCs w:val="24"/>
          <w:lang w:eastAsia="cs-CZ"/>
        </w:rPr>
        <w:t>e</w:t>
      </w:r>
      <w:r w:rsidR="000C4C47" w:rsidRPr="001E731E">
        <w:rPr>
          <w:rFonts w:ascii="Calibri" w:eastAsia="Times New Roman" w:hAnsi="Calibri" w:cs="Calibri"/>
          <w:sz w:val="24"/>
          <w:szCs w:val="24"/>
          <w:lang w:eastAsia="cs-CZ"/>
        </w:rPr>
        <w:t>lze využít pro případnou realizaci obdobného projektu</w:t>
      </w:r>
      <w:r w:rsidR="0039360B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v následujících letech</w:t>
      </w:r>
      <w:r w:rsidR="000C4C47" w:rsidRPr="001E731E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570CD3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64E25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Z těchto důvodů vynaložila CENIA peněžní prostředky čerpané na realizovanou část projektu neúčelně a nehospodárně. </w:t>
      </w:r>
    </w:p>
    <w:p w:rsidR="00485B42" w:rsidRPr="001E731E" w:rsidRDefault="00485B42" w:rsidP="001E731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C1368F" w:rsidRPr="001E731E" w:rsidRDefault="00C1368F" w:rsidP="001E731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</w:rPr>
      </w:pPr>
      <w:r w:rsidRPr="001E731E">
        <w:rPr>
          <w:rFonts w:ascii="Calibri" w:eastAsia="Times New Roman" w:hAnsi="Calibri" w:cs="Calibri"/>
          <w:b/>
          <w:i/>
          <w:sz w:val="24"/>
          <w:szCs w:val="24"/>
        </w:rPr>
        <w:t xml:space="preserve">Databázová nekompatibilita </w:t>
      </w:r>
    </w:p>
    <w:p w:rsidR="009B5812" w:rsidRDefault="009B5812" w:rsidP="001E731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5772DF" w:rsidRPr="001E731E" w:rsidRDefault="005772DF" w:rsidP="001E731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1E731E">
        <w:rPr>
          <w:rFonts w:ascii="Calibri" w:eastAsia="Times New Roman" w:hAnsi="Calibri" w:cs="Calibri"/>
          <w:b/>
          <w:sz w:val="24"/>
          <w:szCs w:val="24"/>
          <w:lang w:eastAsia="cs-CZ"/>
        </w:rPr>
        <w:t>U vybraných spolu věcně souvisejících informačních systémů byla potvrzena datová nekompatibilita. Náprava tohoto stavu vyžaduje vynaložení dalších peněžních prostředků.</w:t>
      </w:r>
    </w:p>
    <w:p w:rsidR="009B5812" w:rsidRDefault="009B5812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9B5812" w:rsidRDefault="00F95715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Databázová nekompatibilita byla zjištěna mezi databází SEKM</w:t>
      </w:r>
      <w:r w:rsidR="00D531D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7C17AB">
        <w:rPr>
          <w:rFonts w:ascii="Calibri" w:eastAsia="Times New Roman" w:hAnsi="Calibri" w:cs="Calibri"/>
          <w:sz w:val="24"/>
          <w:szCs w:val="24"/>
          <w:lang w:eastAsia="cs-CZ"/>
        </w:rPr>
        <w:t>u </w:t>
      </w:r>
      <w:r w:rsidR="00D531DF" w:rsidRPr="001E731E">
        <w:rPr>
          <w:rFonts w:ascii="Calibri" w:eastAsia="Times New Roman" w:hAnsi="Calibri" w:cs="Calibri"/>
          <w:sz w:val="24"/>
          <w:szCs w:val="24"/>
          <w:lang w:eastAsia="cs-CZ"/>
        </w:rPr>
        <w:t>MŽP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a nově vznikající databází NIKM</w:t>
      </w:r>
      <w:r w:rsidR="00D531D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7C17AB">
        <w:rPr>
          <w:rFonts w:ascii="Calibri" w:eastAsia="Times New Roman" w:hAnsi="Calibri" w:cs="Calibri"/>
          <w:sz w:val="24"/>
          <w:szCs w:val="24"/>
          <w:lang w:eastAsia="cs-CZ"/>
        </w:rPr>
        <w:t>u agentury</w:t>
      </w:r>
      <w:r w:rsidR="00D531D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CENIA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. NIKM měla představovat </w:t>
      </w:r>
      <w:r w:rsidR="00CE518A" w:rsidRPr="001E731E">
        <w:rPr>
          <w:rFonts w:ascii="Calibri" w:eastAsia="Times New Roman" w:hAnsi="Calibri" w:cs="Calibri"/>
          <w:sz w:val="24"/>
          <w:szCs w:val="24"/>
          <w:lang w:eastAsia="cs-CZ"/>
        </w:rPr>
        <w:t>kompletní databázi</w:t>
      </w:r>
      <w:r w:rsidR="00FF386E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informací o</w:t>
      </w:r>
      <w:r w:rsidR="00172092" w:rsidRPr="001E731E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FF386E" w:rsidRPr="001E731E">
        <w:rPr>
          <w:rFonts w:ascii="Calibri" w:eastAsia="Times New Roman" w:hAnsi="Calibri" w:cs="Calibri"/>
          <w:sz w:val="24"/>
          <w:szCs w:val="24"/>
          <w:lang w:eastAsia="cs-CZ"/>
        </w:rPr>
        <w:t>kontaminovaných a 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potenciálně kontaminovaných místech.</w:t>
      </w:r>
      <w:r w:rsidR="00C20DAE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Základním zdrojem dat NIKM byla databáze SEKM.</w:t>
      </w:r>
      <w:r w:rsidR="00030C65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Při transformaci dílčích datových zdrojů do centrální databáze NIKM byla využita především data evidence kontaminovaných míst SEKM, a to </w:t>
      </w:r>
      <w:r w:rsidR="007C17AB">
        <w:rPr>
          <w:rFonts w:ascii="Calibri" w:eastAsia="Times New Roman" w:hAnsi="Calibri" w:cs="Calibri"/>
          <w:sz w:val="24"/>
          <w:szCs w:val="24"/>
          <w:lang w:eastAsia="cs-CZ"/>
        </w:rPr>
        <w:t>ve stavu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k 6. 11. 2009. Transformace dat byla dle dokumentace projektu dokončena k 30. 6. 2010</w:t>
      </w:r>
      <w:r w:rsidR="006026E2" w:rsidRPr="001E731E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2B0BE7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Test byl proveden </w:t>
      </w:r>
      <w:r w:rsidR="008D0608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v rámci oponentury v srpnu 2010 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>srovnáním dat původní databáze SEKM předložené MŽP k 6. 11. 2009 s </w:t>
      </w:r>
      <w:bookmarkStart w:id="1" w:name="_GoBack"/>
      <w:bookmarkEnd w:id="1"/>
      <w:r w:rsidR="005065A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transformovanými daty </w:t>
      </w:r>
      <w:r w:rsidR="007C17AB">
        <w:rPr>
          <w:rFonts w:ascii="Calibri" w:eastAsia="Times New Roman" w:hAnsi="Calibri" w:cs="Calibri"/>
          <w:sz w:val="24"/>
          <w:szCs w:val="24"/>
          <w:lang w:eastAsia="cs-CZ"/>
        </w:rPr>
        <w:t>v 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>centrální dat</w:t>
      </w:r>
      <w:r w:rsidR="00D4316D" w:rsidRPr="001E731E">
        <w:rPr>
          <w:rFonts w:ascii="Calibri" w:eastAsia="Times New Roman" w:hAnsi="Calibri" w:cs="Calibri"/>
          <w:sz w:val="24"/>
          <w:szCs w:val="24"/>
          <w:lang w:eastAsia="cs-CZ"/>
        </w:rPr>
        <w:t>abáz</w:t>
      </w:r>
      <w:r w:rsidR="007C17AB">
        <w:rPr>
          <w:rFonts w:ascii="Calibri" w:eastAsia="Times New Roman" w:hAnsi="Calibri" w:cs="Calibri"/>
          <w:sz w:val="24"/>
          <w:szCs w:val="24"/>
          <w:lang w:eastAsia="cs-CZ"/>
        </w:rPr>
        <w:t>i</w:t>
      </w:r>
      <w:r w:rsidR="00D4316D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NIKM. Provedeným testem byla zjištěna 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>kompatibilita srovnávaných dat.</w:t>
      </w:r>
      <w:r w:rsidR="008D0608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C1212B" w:rsidRPr="001E731E" w:rsidRDefault="00C1212B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9B5812" w:rsidRDefault="00291D2F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V průběhu transformace dat do NIKM docházelo k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romě aktualizace </w:t>
      </w:r>
      <w:r w:rsidR="008D0608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dat v databázi 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SEKM </w:t>
      </w:r>
      <w:r w:rsidR="002B0BE7" w:rsidRPr="001E731E">
        <w:rPr>
          <w:rFonts w:ascii="Calibri" w:eastAsia="Times New Roman" w:hAnsi="Calibri" w:cs="Calibri"/>
          <w:sz w:val="24"/>
          <w:szCs w:val="24"/>
          <w:lang w:eastAsia="cs-CZ"/>
        </w:rPr>
        <w:t>v p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odobě k 6. </w:t>
      </w:r>
      <w:r w:rsidR="002B0BE7" w:rsidRPr="001E731E">
        <w:rPr>
          <w:rFonts w:ascii="Calibri" w:eastAsia="Times New Roman" w:hAnsi="Calibri" w:cs="Calibri"/>
          <w:sz w:val="24"/>
          <w:szCs w:val="24"/>
          <w:lang w:eastAsia="cs-CZ"/>
        </w:rPr>
        <w:t>11. 2009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8D0608" w:rsidRPr="001E731E">
        <w:rPr>
          <w:rFonts w:ascii="Calibri" w:eastAsia="Times New Roman" w:hAnsi="Calibri" w:cs="Calibri"/>
          <w:sz w:val="24"/>
          <w:szCs w:val="24"/>
          <w:lang w:eastAsia="cs-CZ"/>
        </w:rPr>
        <w:t>i ke 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změnám </w:t>
      </w:r>
      <w:r w:rsidR="008D0608" w:rsidRPr="001E731E">
        <w:rPr>
          <w:rFonts w:ascii="Calibri" w:eastAsia="Times New Roman" w:hAnsi="Calibri" w:cs="Calibri"/>
          <w:sz w:val="24"/>
          <w:szCs w:val="24"/>
          <w:lang w:eastAsia="cs-CZ"/>
        </w:rPr>
        <w:t>její struktury</w:t>
      </w:r>
      <w:r w:rsidR="002B0BE7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="007C17AB">
        <w:rPr>
          <w:rFonts w:ascii="Calibri" w:eastAsia="Times New Roman" w:hAnsi="Calibri" w:cs="Calibri"/>
          <w:sz w:val="24"/>
          <w:szCs w:val="24"/>
          <w:lang w:eastAsia="cs-CZ"/>
        </w:rPr>
        <w:t>což zapříčinilo nekompatibilitu</w:t>
      </w:r>
      <w:r w:rsidR="002B0BE7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databází SEKM a NIKM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. O této změně informovalo MŽP dodavatelskou společnost I. etapy </w:t>
      </w:r>
      <w:r w:rsidR="00CF3E9D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projektu 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NIKM v průběhu roku 2011. V té době však již došlo k transformaci dat původní evidence SEKM do datového skladu NIKM</w:t>
      </w:r>
      <w:r w:rsidR="00A337B2"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a nebylo </w:t>
      </w:r>
      <w:r w:rsidR="00A337B2">
        <w:rPr>
          <w:rFonts w:ascii="Calibri" w:eastAsia="Times New Roman" w:hAnsi="Calibri" w:cs="Calibri"/>
          <w:sz w:val="24"/>
          <w:szCs w:val="24"/>
          <w:lang w:eastAsia="cs-CZ"/>
        </w:rPr>
        <w:t>tedy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možné bez změny projektu </w:t>
      </w:r>
      <w:r w:rsidR="00CB2936" w:rsidRPr="001E731E">
        <w:rPr>
          <w:rFonts w:ascii="Calibri" w:eastAsia="Times New Roman" w:hAnsi="Calibri" w:cs="Calibri"/>
          <w:sz w:val="24"/>
          <w:szCs w:val="24"/>
          <w:lang w:eastAsia="cs-CZ"/>
        </w:rPr>
        <w:t>I</w:t>
      </w:r>
      <w:r w:rsidR="00FF386E" w:rsidRPr="001E731E">
        <w:rPr>
          <w:rFonts w:ascii="Calibri" w:eastAsia="Times New Roman" w:hAnsi="Calibri" w:cs="Calibri"/>
          <w:sz w:val="24"/>
          <w:szCs w:val="24"/>
          <w:lang w:eastAsia="cs-CZ"/>
        </w:rPr>
        <w:t>I. 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>etapy NIKM a</w:t>
      </w:r>
      <w:r w:rsidR="007C17AB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6805D0" w:rsidRPr="001E731E">
        <w:rPr>
          <w:rFonts w:ascii="Calibri" w:eastAsia="Times New Roman" w:hAnsi="Calibri" w:cs="Calibri"/>
          <w:sz w:val="24"/>
          <w:szCs w:val="24"/>
          <w:lang w:eastAsia="cs-CZ"/>
        </w:rPr>
        <w:t>vynaložení dalších finančních prostředků na tuto změnu reagovat.</w:t>
      </w:r>
      <w:r w:rsidR="001A09BD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3D6654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V rozpočtu zatím nerealizované II. etapy projektu NIKM byla na odstranění této nekompatibility </w:t>
      </w:r>
      <w:r w:rsidR="007C17AB">
        <w:rPr>
          <w:rFonts w:ascii="Calibri" w:eastAsia="Times New Roman" w:hAnsi="Calibri" w:cs="Calibri"/>
          <w:sz w:val="24"/>
          <w:szCs w:val="24"/>
          <w:lang w:eastAsia="cs-CZ"/>
        </w:rPr>
        <w:t>vyčleněna</w:t>
      </w:r>
      <w:r w:rsidR="003D6654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částka ve výši 1 294 560 Kč. </w:t>
      </w:r>
    </w:p>
    <w:p w:rsidR="00C1212B" w:rsidRPr="001E731E" w:rsidRDefault="00C1212B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772DF" w:rsidRDefault="005772DF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Projekt NIKM byl projektem horizontálním, tedy </w:t>
      </w:r>
      <w:r w:rsidR="00B44635" w:rsidRPr="001E731E">
        <w:rPr>
          <w:rFonts w:ascii="Calibri" w:eastAsia="Times New Roman" w:hAnsi="Calibri" w:cs="Calibri"/>
          <w:sz w:val="24"/>
          <w:szCs w:val="24"/>
          <w:lang w:eastAsia="cs-CZ"/>
        </w:rPr>
        <w:t>jdoucím napříč res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ortem životního prostředí. Z toho důvodu bylo chybou, </w:t>
      </w:r>
      <w:r w:rsidR="005E5C82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že 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jeho řešení a případné komplikace nebyly projednávány Radou. V případě vzniklé situace databázové nekompatibility jde nejen o</w:t>
      </w:r>
      <w:r w:rsidR="00172092" w:rsidRPr="001E731E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pochybení v přístupu Rady, ale </w:t>
      </w:r>
      <w:r w:rsidR="002F1633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především </w:t>
      </w:r>
      <w:r w:rsidR="00A337B2">
        <w:rPr>
          <w:rFonts w:ascii="Calibri" w:eastAsia="Times New Roman" w:hAnsi="Calibri" w:cs="Calibri"/>
          <w:sz w:val="24"/>
          <w:szCs w:val="24"/>
          <w:lang w:eastAsia="cs-CZ"/>
        </w:rPr>
        <w:t>na</w:t>
      </w:r>
      <w:r w:rsidR="00B44635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úrovni řízení projektů v res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ortu životního prostředí a zpracování předávaných informací na straně </w:t>
      </w:r>
      <w:r w:rsidR="00E33B5B">
        <w:rPr>
          <w:rFonts w:ascii="Calibri" w:eastAsia="Times New Roman" w:hAnsi="Calibri" w:cs="Calibri"/>
          <w:sz w:val="24"/>
          <w:szCs w:val="24"/>
          <w:lang w:eastAsia="cs-CZ"/>
        </w:rPr>
        <w:t xml:space="preserve">agentury 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CENIA. Celá situace souvisí i s tím, že financování projektu SEKM bylo realizováno správcem dílčího rozpočtu odboru environmentálních rizik a ekologických škod</w:t>
      </w:r>
      <w:r w:rsidR="005E7616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MŽP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namísto</w:t>
      </w:r>
      <w:r w:rsidR="00E33B5B">
        <w:rPr>
          <w:rFonts w:ascii="Calibri" w:eastAsia="Times New Roman" w:hAnsi="Calibri" w:cs="Calibri"/>
          <w:sz w:val="24"/>
          <w:szCs w:val="24"/>
          <w:lang w:eastAsia="cs-CZ"/>
        </w:rPr>
        <w:t xml:space="preserve"> použití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centrálního rozhodování o</w:t>
      </w:r>
      <w:r w:rsidR="00E33B5B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rozvoji JISŽP v rámci rozpočtu odboru informatiky</w:t>
      </w:r>
      <w:r w:rsidR="00332D7F" w:rsidRPr="001E731E">
        <w:rPr>
          <w:rFonts w:ascii="Calibri" w:eastAsia="Times New Roman" w:hAnsi="Calibri" w:cs="Calibri"/>
          <w:sz w:val="24"/>
          <w:szCs w:val="24"/>
          <w:lang w:eastAsia="cs-CZ"/>
        </w:rPr>
        <w:t xml:space="preserve"> MŽP</w:t>
      </w:r>
      <w:r w:rsidRPr="001E731E">
        <w:rPr>
          <w:rFonts w:ascii="Calibri" w:eastAsia="Times New Roman" w:hAnsi="Calibri" w:cs="Calibri"/>
          <w:sz w:val="24"/>
          <w:szCs w:val="24"/>
          <w:lang w:eastAsia="cs-CZ"/>
        </w:rPr>
        <w:t>, jak je stanoveno směrnicemi MŽP.</w:t>
      </w:r>
    </w:p>
    <w:p w:rsidR="009B5812" w:rsidRPr="001E731E" w:rsidRDefault="009B5812" w:rsidP="001E731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1368F" w:rsidRPr="001E731E" w:rsidRDefault="00C1368F" w:rsidP="001E731E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1E731E">
        <w:rPr>
          <w:rFonts w:ascii="Calibri" w:hAnsi="Calibri" w:cs="Calibri"/>
          <w:b/>
          <w:i/>
          <w:sz w:val="24"/>
          <w:szCs w:val="24"/>
        </w:rPr>
        <w:t>Faktická závislost na jediném dodavateli</w:t>
      </w:r>
    </w:p>
    <w:p w:rsidR="009B5812" w:rsidRDefault="009B5812" w:rsidP="001E731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FF386E" w:rsidRPr="001E731E" w:rsidRDefault="00FF386E" w:rsidP="001E731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E731E">
        <w:rPr>
          <w:rFonts w:ascii="Calibri" w:hAnsi="Calibri" w:cs="Calibri"/>
          <w:b/>
          <w:sz w:val="24"/>
          <w:szCs w:val="24"/>
        </w:rPr>
        <w:t>Kontrola potvrdila, že v případě některých informačních systémů přetrvává smluvní závislost na jediném dodavateli, což vede k riziku, že veřejná zakázka nebude realizována nejhospodárnějším způsobem.</w:t>
      </w:r>
    </w:p>
    <w:p w:rsidR="009B5812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A3718" w:rsidRDefault="006E170E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U kontrolovaných veřejných zakázek MŽP a ČHMÚ</w:t>
      </w:r>
      <w:r w:rsidR="00BE052A">
        <w:rPr>
          <w:rFonts w:ascii="Calibri" w:hAnsi="Calibri" w:cs="Calibri"/>
          <w:sz w:val="24"/>
          <w:szCs w:val="24"/>
        </w:rPr>
        <w:t>,</w:t>
      </w:r>
      <w:r w:rsidRPr="001E731E">
        <w:rPr>
          <w:rFonts w:ascii="Calibri" w:hAnsi="Calibri" w:cs="Calibri"/>
          <w:sz w:val="24"/>
          <w:szCs w:val="24"/>
        </w:rPr>
        <w:t xml:space="preserve"> týkajících se informačních systémů</w:t>
      </w:r>
      <w:r w:rsidR="00BE052A">
        <w:rPr>
          <w:rFonts w:ascii="Calibri" w:hAnsi="Calibri" w:cs="Calibri"/>
          <w:sz w:val="24"/>
          <w:szCs w:val="24"/>
        </w:rPr>
        <w:t>,</w:t>
      </w:r>
      <w:r w:rsidRPr="001E731E">
        <w:rPr>
          <w:rFonts w:ascii="Calibri" w:hAnsi="Calibri" w:cs="Calibri"/>
          <w:sz w:val="24"/>
          <w:szCs w:val="24"/>
        </w:rPr>
        <w:t xml:space="preserve"> lze identifikovat prvky efektu „</w:t>
      </w:r>
      <w:proofErr w:type="spellStart"/>
      <w:r w:rsidRPr="001E731E">
        <w:rPr>
          <w:rFonts w:ascii="Calibri" w:hAnsi="Calibri" w:cs="Calibri"/>
          <w:sz w:val="24"/>
          <w:szCs w:val="24"/>
        </w:rPr>
        <w:t>vendor</w:t>
      </w:r>
      <w:proofErr w:type="spellEnd"/>
      <w:r w:rsidRPr="001E731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731E">
        <w:rPr>
          <w:rFonts w:ascii="Calibri" w:hAnsi="Calibri" w:cs="Calibri"/>
          <w:sz w:val="24"/>
          <w:szCs w:val="24"/>
        </w:rPr>
        <w:t>lock</w:t>
      </w:r>
      <w:proofErr w:type="spellEnd"/>
      <w:r w:rsidRPr="001E731E">
        <w:rPr>
          <w:rFonts w:ascii="Calibri" w:hAnsi="Calibri" w:cs="Calibri"/>
          <w:sz w:val="24"/>
          <w:szCs w:val="24"/>
        </w:rPr>
        <w:t xml:space="preserve">-in“, tj. </w:t>
      </w:r>
      <w:r w:rsidR="00E33B5B">
        <w:rPr>
          <w:rFonts w:ascii="Calibri" w:hAnsi="Calibri" w:cs="Calibri"/>
          <w:sz w:val="24"/>
          <w:szCs w:val="24"/>
        </w:rPr>
        <w:t>důsledky</w:t>
      </w:r>
      <w:r w:rsidRPr="001E731E">
        <w:rPr>
          <w:rFonts w:ascii="Calibri" w:hAnsi="Calibri" w:cs="Calibri"/>
          <w:sz w:val="24"/>
          <w:szCs w:val="24"/>
        </w:rPr>
        <w:t xml:space="preserve"> faktické závislosti na jediném dodavateli. </w:t>
      </w:r>
    </w:p>
    <w:p w:rsidR="009B5812" w:rsidRPr="001E731E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B5812" w:rsidRDefault="008A3718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Informační systém</w:t>
      </w:r>
      <w:r w:rsidR="00E33B5B">
        <w:rPr>
          <w:rFonts w:ascii="Calibri" w:hAnsi="Calibri" w:cs="Calibri"/>
          <w:sz w:val="24"/>
          <w:szCs w:val="24"/>
        </w:rPr>
        <w:t>y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Pr="004930C5">
        <w:rPr>
          <w:rFonts w:ascii="Calibri" w:hAnsi="Calibri" w:cs="Calibri"/>
          <w:i/>
          <w:sz w:val="24"/>
          <w:szCs w:val="24"/>
        </w:rPr>
        <w:t>Integrovaný registr znečišťování</w:t>
      </w:r>
      <w:r w:rsidR="004D109C" w:rsidRPr="001E731E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sz w:val="24"/>
          <w:szCs w:val="24"/>
        </w:rPr>
        <w:t>a </w:t>
      </w:r>
      <w:r w:rsidRPr="004930C5">
        <w:rPr>
          <w:rFonts w:ascii="Calibri" w:hAnsi="Calibri" w:cs="Calibri"/>
          <w:i/>
          <w:sz w:val="24"/>
          <w:szCs w:val="24"/>
        </w:rPr>
        <w:t>Centrální ohlašovna</w:t>
      </w:r>
      <w:r w:rsidR="00D44185" w:rsidRPr="001E731E">
        <w:rPr>
          <w:rFonts w:ascii="Calibri" w:hAnsi="Calibri" w:cs="Calibri"/>
          <w:sz w:val="24"/>
          <w:szCs w:val="24"/>
        </w:rPr>
        <w:t xml:space="preserve"> (dále také „CO“) </w:t>
      </w:r>
      <w:r w:rsidR="0018763B" w:rsidRPr="001E731E">
        <w:rPr>
          <w:rFonts w:ascii="Calibri" w:hAnsi="Calibri" w:cs="Calibri"/>
          <w:sz w:val="24"/>
          <w:szCs w:val="24"/>
        </w:rPr>
        <w:t>a </w:t>
      </w:r>
      <w:r w:rsidR="0056027C" w:rsidRPr="001E731E">
        <w:rPr>
          <w:rFonts w:ascii="Calibri" w:hAnsi="Calibri" w:cs="Calibri"/>
          <w:sz w:val="24"/>
          <w:szCs w:val="24"/>
        </w:rPr>
        <w:t xml:space="preserve">jejich subsystémy </w:t>
      </w:r>
      <w:r w:rsidRPr="001E731E">
        <w:rPr>
          <w:rFonts w:ascii="Calibri" w:hAnsi="Calibri" w:cs="Calibri"/>
          <w:sz w:val="24"/>
          <w:szCs w:val="24"/>
        </w:rPr>
        <w:t>vytvoř</w:t>
      </w:r>
      <w:r w:rsidR="0056027C" w:rsidRPr="001E731E">
        <w:rPr>
          <w:rFonts w:ascii="Calibri" w:hAnsi="Calibri" w:cs="Calibri"/>
          <w:sz w:val="24"/>
          <w:szCs w:val="24"/>
        </w:rPr>
        <w:t xml:space="preserve">il </w:t>
      </w:r>
      <w:r w:rsidR="00704AE4" w:rsidRPr="001E731E">
        <w:rPr>
          <w:rFonts w:ascii="Calibri" w:hAnsi="Calibri" w:cs="Calibri"/>
          <w:sz w:val="24"/>
          <w:szCs w:val="24"/>
        </w:rPr>
        <w:t>stejný</w:t>
      </w:r>
      <w:r w:rsidR="0056027C" w:rsidRPr="001E731E">
        <w:rPr>
          <w:rFonts w:ascii="Calibri" w:hAnsi="Calibri" w:cs="Calibri"/>
          <w:sz w:val="24"/>
          <w:szCs w:val="24"/>
        </w:rPr>
        <w:t xml:space="preserve"> </w:t>
      </w:r>
      <w:r w:rsidR="00704AE4" w:rsidRPr="001E731E">
        <w:rPr>
          <w:rFonts w:ascii="Calibri" w:hAnsi="Calibri" w:cs="Calibri"/>
          <w:sz w:val="24"/>
          <w:szCs w:val="24"/>
        </w:rPr>
        <w:t>dodavatel</w:t>
      </w:r>
      <w:r w:rsidR="008F3BDC" w:rsidRPr="001E731E">
        <w:rPr>
          <w:rFonts w:ascii="Calibri" w:hAnsi="Calibri" w:cs="Calibri"/>
          <w:sz w:val="24"/>
          <w:szCs w:val="24"/>
        </w:rPr>
        <w:t>,</w:t>
      </w:r>
      <w:r w:rsidR="0056027C" w:rsidRPr="001E731E">
        <w:rPr>
          <w:rFonts w:ascii="Calibri" w:hAnsi="Calibri" w:cs="Calibri"/>
          <w:sz w:val="24"/>
          <w:szCs w:val="24"/>
        </w:rPr>
        <w:t xml:space="preserve"> který</w:t>
      </w:r>
      <w:r w:rsidRPr="001E731E">
        <w:rPr>
          <w:rFonts w:ascii="Calibri" w:hAnsi="Calibri" w:cs="Calibri"/>
          <w:sz w:val="24"/>
          <w:szCs w:val="24"/>
        </w:rPr>
        <w:t xml:space="preserve"> jako jejich výhradní autor je výhradním vlastníkem autorských práv k nim se vážících. </w:t>
      </w:r>
      <w:r w:rsidR="0056027C" w:rsidRPr="001E731E">
        <w:rPr>
          <w:rFonts w:ascii="Calibri" w:hAnsi="Calibri" w:cs="Calibri"/>
          <w:sz w:val="24"/>
          <w:szCs w:val="24"/>
        </w:rPr>
        <w:t>MŽP vyhlásilo veřejnou zakázku</w:t>
      </w:r>
      <w:r w:rsidRPr="001E731E">
        <w:rPr>
          <w:rFonts w:ascii="Calibri" w:hAnsi="Calibri" w:cs="Calibri"/>
          <w:sz w:val="24"/>
          <w:szCs w:val="24"/>
        </w:rPr>
        <w:t xml:space="preserve"> na sjednocení ohlašovaných údajů o znečiš</w:t>
      </w:r>
      <w:r w:rsidR="0056027C" w:rsidRPr="001E731E">
        <w:rPr>
          <w:rFonts w:ascii="Calibri" w:hAnsi="Calibri" w:cs="Calibri"/>
          <w:sz w:val="24"/>
          <w:szCs w:val="24"/>
        </w:rPr>
        <w:t xml:space="preserve">ťování životního prostředí. </w:t>
      </w:r>
      <w:r w:rsidR="00FF386E" w:rsidRPr="001E731E">
        <w:rPr>
          <w:rFonts w:ascii="Calibri" w:hAnsi="Calibri" w:cs="Calibri"/>
          <w:sz w:val="24"/>
          <w:szCs w:val="24"/>
        </w:rPr>
        <w:t>Jednalo se o </w:t>
      </w:r>
      <w:r w:rsidRPr="001E731E">
        <w:rPr>
          <w:rFonts w:ascii="Calibri" w:hAnsi="Calibri" w:cs="Calibri"/>
          <w:sz w:val="24"/>
          <w:szCs w:val="24"/>
        </w:rPr>
        <w:t>rozšíření aktualizace da</w:t>
      </w:r>
      <w:r w:rsidR="0056027C" w:rsidRPr="001E731E">
        <w:rPr>
          <w:rFonts w:ascii="Calibri" w:hAnsi="Calibri" w:cs="Calibri"/>
          <w:sz w:val="24"/>
          <w:szCs w:val="24"/>
        </w:rPr>
        <w:t xml:space="preserve">t a funkcionalit </w:t>
      </w:r>
      <w:r w:rsidR="00E33B5B">
        <w:rPr>
          <w:rFonts w:ascii="Calibri" w:hAnsi="Calibri" w:cs="Calibri"/>
          <w:sz w:val="24"/>
          <w:szCs w:val="24"/>
        </w:rPr>
        <w:t>stávajících systémů</w:t>
      </w:r>
      <w:r w:rsidR="0056027C" w:rsidRPr="001E731E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sz w:val="24"/>
          <w:szCs w:val="24"/>
        </w:rPr>
        <w:t>IRZ a</w:t>
      </w:r>
      <w:r w:rsidR="0056027C" w:rsidRPr="001E731E">
        <w:rPr>
          <w:rFonts w:ascii="Calibri" w:hAnsi="Calibri" w:cs="Calibri"/>
          <w:sz w:val="24"/>
          <w:szCs w:val="24"/>
        </w:rPr>
        <w:t xml:space="preserve"> CO a jejich</w:t>
      </w:r>
      <w:r w:rsidR="00983146" w:rsidRPr="001E731E">
        <w:rPr>
          <w:rFonts w:ascii="Calibri" w:hAnsi="Calibri" w:cs="Calibri"/>
          <w:sz w:val="24"/>
          <w:szCs w:val="24"/>
        </w:rPr>
        <w:t xml:space="preserve"> subsystémů. Zásah do </w:t>
      </w:r>
      <w:r w:rsidRPr="001E731E">
        <w:rPr>
          <w:rFonts w:ascii="Calibri" w:hAnsi="Calibri" w:cs="Calibri"/>
          <w:sz w:val="24"/>
          <w:szCs w:val="24"/>
        </w:rPr>
        <w:t xml:space="preserve">IRZ a CO a </w:t>
      </w:r>
      <w:r w:rsidR="00983146" w:rsidRPr="001E731E">
        <w:rPr>
          <w:rFonts w:ascii="Calibri" w:hAnsi="Calibri" w:cs="Calibri"/>
          <w:sz w:val="24"/>
          <w:szCs w:val="24"/>
        </w:rPr>
        <w:t>jejich</w:t>
      </w:r>
      <w:r w:rsidRPr="001E731E">
        <w:rPr>
          <w:rFonts w:ascii="Calibri" w:hAnsi="Calibri" w:cs="Calibri"/>
          <w:sz w:val="24"/>
          <w:szCs w:val="24"/>
        </w:rPr>
        <w:t xml:space="preserve"> subsystémů jiným subjektem by znamenal porušení autorských práv. </w:t>
      </w:r>
      <w:r w:rsidR="00983146" w:rsidRPr="001E731E">
        <w:rPr>
          <w:rFonts w:ascii="Calibri" w:hAnsi="Calibri" w:cs="Calibri"/>
          <w:sz w:val="24"/>
          <w:szCs w:val="24"/>
        </w:rPr>
        <w:t>MŽP</w:t>
      </w:r>
      <w:r w:rsidRPr="001E731E">
        <w:rPr>
          <w:rFonts w:ascii="Calibri" w:hAnsi="Calibri" w:cs="Calibri"/>
          <w:sz w:val="24"/>
          <w:szCs w:val="24"/>
        </w:rPr>
        <w:t xml:space="preserve"> na základě ustanovení § 34 zákona č. 137/2006 Sb.</w:t>
      </w:r>
      <w:r w:rsidR="00932DEC" w:rsidRPr="001E731E">
        <w:rPr>
          <w:rStyle w:val="Znakapoznpodarou"/>
          <w:rFonts w:ascii="Calibri" w:hAnsi="Calibri" w:cs="Calibri"/>
          <w:sz w:val="24"/>
          <w:szCs w:val="24"/>
        </w:rPr>
        <w:footnoteReference w:id="8"/>
      </w:r>
      <w:r w:rsidRPr="001E731E">
        <w:rPr>
          <w:rFonts w:ascii="Calibri" w:hAnsi="Calibri" w:cs="Calibri"/>
          <w:sz w:val="24"/>
          <w:szCs w:val="24"/>
        </w:rPr>
        <w:t xml:space="preserve"> vyzval</w:t>
      </w:r>
      <w:r w:rsidR="00983146" w:rsidRPr="001E731E">
        <w:rPr>
          <w:rFonts w:ascii="Calibri" w:hAnsi="Calibri" w:cs="Calibri"/>
          <w:sz w:val="24"/>
          <w:szCs w:val="24"/>
        </w:rPr>
        <w:t>o</w:t>
      </w:r>
      <w:r w:rsidRPr="001E731E">
        <w:rPr>
          <w:rFonts w:ascii="Calibri" w:hAnsi="Calibri" w:cs="Calibri"/>
          <w:sz w:val="24"/>
          <w:szCs w:val="24"/>
        </w:rPr>
        <w:t xml:space="preserve"> dne 31. 7. 2006 </w:t>
      </w:r>
      <w:r w:rsidR="00983146" w:rsidRPr="001E731E">
        <w:rPr>
          <w:rFonts w:ascii="Calibri" w:hAnsi="Calibri" w:cs="Calibri"/>
          <w:sz w:val="24"/>
          <w:szCs w:val="24"/>
        </w:rPr>
        <w:t xml:space="preserve">původního </w:t>
      </w:r>
      <w:r w:rsidR="00704AE4" w:rsidRPr="001E731E">
        <w:rPr>
          <w:rFonts w:ascii="Calibri" w:hAnsi="Calibri" w:cs="Calibri"/>
          <w:sz w:val="24"/>
          <w:szCs w:val="24"/>
        </w:rPr>
        <w:t>dodavatele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="00983146" w:rsidRPr="001E731E">
        <w:rPr>
          <w:rFonts w:ascii="Calibri" w:hAnsi="Calibri" w:cs="Calibri"/>
          <w:sz w:val="24"/>
          <w:szCs w:val="24"/>
        </w:rPr>
        <w:t xml:space="preserve">k jednání </w:t>
      </w:r>
      <w:r w:rsidRPr="001E731E">
        <w:rPr>
          <w:rFonts w:ascii="Calibri" w:hAnsi="Calibri" w:cs="Calibri"/>
          <w:sz w:val="24"/>
          <w:szCs w:val="24"/>
        </w:rPr>
        <w:t>v jednacím řízení bez uveřejnění.</w:t>
      </w:r>
      <w:r w:rsidR="00B04CAE" w:rsidRPr="001E731E">
        <w:rPr>
          <w:rFonts w:ascii="Calibri" w:hAnsi="Calibri" w:cs="Calibri"/>
          <w:sz w:val="24"/>
          <w:szCs w:val="24"/>
        </w:rPr>
        <w:t xml:space="preserve"> Smluvní cena díla činila 8 324 050 Kč včetně DPH.</w:t>
      </w:r>
    </w:p>
    <w:p w:rsidR="00C1212B" w:rsidRPr="001E731E" w:rsidRDefault="00C1212B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503D0" w:rsidRDefault="00484C3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Jednací řízení bez uveřejnění</w:t>
      </w:r>
      <w:r w:rsidR="00EB5B16" w:rsidRPr="001E731E">
        <w:rPr>
          <w:rFonts w:ascii="Calibri" w:hAnsi="Calibri" w:cs="Calibri"/>
          <w:sz w:val="24"/>
          <w:szCs w:val="24"/>
        </w:rPr>
        <w:t xml:space="preserve"> vyhlášené MŽP</w:t>
      </w:r>
      <w:r w:rsidRPr="001E731E">
        <w:rPr>
          <w:rFonts w:ascii="Calibri" w:hAnsi="Calibri" w:cs="Calibri"/>
          <w:sz w:val="24"/>
          <w:szCs w:val="24"/>
        </w:rPr>
        <w:t xml:space="preserve"> také předcházelo uzavření smlouvy o dílo</w:t>
      </w:r>
      <w:r w:rsidR="00E52F62" w:rsidRPr="001E731E">
        <w:rPr>
          <w:rFonts w:ascii="Calibri" w:hAnsi="Calibri" w:cs="Calibri"/>
          <w:sz w:val="24"/>
          <w:szCs w:val="24"/>
        </w:rPr>
        <w:t xml:space="preserve"> v hodnotě 229 719 Kč včetně DPH</w:t>
      </w:r>
      <w:r w:rsidRPr="001E731E">
        <w:rPr>
          <w:rFonts w:ascii="Calibri" w:hAnsi="Calibri" w:cs="Calibri"/>
          <w:sz w:val="24"/>
          <w:szCs w:val="24"/>
        </w:rPr>
        <w:t xml:space="preserve">, jejímž předmětem bylo </w:t>
      </w:r>
      <w:r w:rsidR="00D23BCA" w:rsidRPr="001E731E">
        <w:rPr>
          <w:rFonts w:ascii="Calibri" w:hAnsi="Calibri" w:cs="Calibri"/>
          <w:sz w:val="24"/>
          <w:szCs w:val="24"/>
        </w:rPr>
        <w:t xml:space="preserve">mimo jiné </w:t>
      </w:r>
      <w:r w:rsidRPr="001E731E">
        <w:rPr>
          <w:rFonts w:ascii="Calibri" w:hAnsi="Calibri" w:cs="Calibri"/>
          <w:sz w:val="24"/>
          <w:szCs w:val="24"/>
        </w:rPr>
        <w:t xml:space="preserve">provedení služby vyexportování </w:t>
      </w:r>
      <w:r w:rsidR="00D23BCA" w:rsidRPr="001E731E">
        <w:rPr>
          <w:rFonts w:ascii="Calibri" w:hAnsi="Calibri" w:cs="Calibri"/>
          <w:sz w:val="24"/>
          <w:szCs w:val="24"/>
        </w:rPr>
        <w:t>dat</w:t>
      </w:r>
      <w:r w:rsidR="00F36C20" w:rsidRPr="001E731E">
        <w:rPr>
          <w:rFonts w:ascii="Calibri" w:hAnsi="Calibri" w:cs="Calibri"/>
          <w:sz w:val="24"/>
          <w:szCs w:val="24"/>
        </w:rPr>
        <w:t xml:space="preserve"> z CO nezbytných pro</w:t>
      </w:r>
      <w:r w:rsidR="00E33B5B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sz w:val="24"/>
          <w:szCs w:val="24"/>
        </w:rPr>
        <w:t>zachování kontinuity informací v navazujícím systému.</w:t>
      </w:r>
    </w:p>
    <w:p w:rsidR="009B5812" w:rsidRPr="001E731E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A2D15" w:rsidRDefault="00855D2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Od pořízení informačních systém</w:t>
      </w:r>
      <w:r w:rsidR="00C40131" w:rsidRPr="001E731E">
        <w:rPr>
          <w:rFonts w:ascii="Calibri" w:hAnsi="Calibri" w:cs="Calibri"/>
          <w:sz w:val="24"/>
          <w:szCs w:val="24"/>
        </w:rPr>
        <w:t xml:space="preserve">ů CO a IRZ v letech 2004 a 2005 </w:t>
      </w:r>
      <w:r w:rsidR="003A2D15" w:rsidRPr="001E731E">
        <w:rPr>
          <w:rFonts w:ascii="Calibri" w:hAnsi="Calibri" w:cs="Calibri"/>
          <w:sz w:val="24"/>
          <w:szCs w:val="24"/>
        </w:rPr>
        <w:t>využívalo</w:t>
      </w:r>
      <w:r w:rsidR="00C40131" w:rsidRPr="001E731E">
        <w:rPr>
          <w:rFonts w:ascii="Calibri" w:hAnsi="Calibri" w:cs="Calibri"/>
          <w:sz w:val="24"/>
          <w:szCs w:val="24"/>
        </w:rPr>
        <w:t xml:space="preserve"> MŽP</w:t>
      </w:r>
      <w:r w:rsidR="003A2D15" w:rsidRPr="001E731E">
        <w:rPr>
          <w:rFonts w:ascii="Calibri" w:hAnsi="Calibri" w:cs="Calibri"/>
          <w:sz w:val="24"/>
          <w:szCs w:val="24"/>
        </w:rPr>
        <w:t xml:space="preserve"> k uzavírání smluvních vztahů týkajících se informačních systémů jednací řízení bez uveřejnění s</w:t>
      </w:r>
      <w:r w:rsidR="00C40131" w:rsidRPr="001E731E">
        <w:rPr>
          <w:rFonts w:ascii="Calibri" w:hAnsi="Calibri" w:cs="Calibri"/>
          <w:sz w:val="24"/>
          <w:szCs w:val="24"/>
        </w:rPr>
        <w:t> </w:t>
      </w:r>
      <w:r w:rsidR="003A2D15" w:rsidRPr="001E731E">
        <w:rPr>
          <w:rFonts w:ascii="Calibri" w:hAnsi="Calibri" w:cs="Calibri"/>
          <w:sz w:val="24"/>
          <w:szCs w:val="24"/>
        </w:rPr>
        <w:t>odvol</w:t>
      </w:r>
      <w:r w:rsidRPr="001E731E">
        <w:rPr>
          <w:rFonts w:ascii="Calibri" w:hAnsi="Calibri" w:cs="Calibri"/>
          <w:sz w:val="24"/>
          <w:szCs w:val="24"/>
        </w:rPr>
        <w:t>áním na ochranu výhradních práv</w:t>
      </w:r>
      <w:r w:rsidR="00827576" w:rsidRPr="001E731E">
        <w:rPr>
          <w:rStyle w:val="Znakapoznpodarou"/>
          <w:rFonts w:ascii="Calibri" w:hAnsi="Calibri" w:cs="Calibri"/>
          <w:sz w:val="24"/>
          <w:szCs w:val="24"/>
        </w:rPr>
        <w:footnoteReference w:id="9"/>
      </w:r>
      <w:r w:rsidRPr="001E731E">
        <w:rPr>
          <w:rFonts w:ascii="Calibri" w:hAnsi="Calibri" w:cs="Calibri"/>
          <w:sz w:val="24"/>
          <w:szCs w:val="24"/>
        </w:rPr>
        <w:t xml:space="preserve">. </w:t>
      </w:r>
      <w:r w:rsidR="00B92200" w:rsidRPr="001E731E">
        <w:rPr>
          <w:rFonts w:ascii="Calibri" w:hAnsi="Calibri" w:cs="Calibri"/>
          <w:sz w:val="24"/>
          <w:szCs w:val="24"/>
        </w:rPr>
        <w:t xml:space="preserve">MŽP </w:t>
      </w:r>
      <w:r w:rsidRPr="001E731E">
        <w:rPr>
          <w:rFonts w:ascii="Calibri" w:hAnsi="Calibri" w:cs="Calibri"/>
          <w:sz w:val="24"/>
          <w:szCs w:val="24"/>
        </w:rPr>
        <w:t>si ochranu výhradních práv ve smlouvách neošetřilo</w:t>
      </w:r>
      <w:r w:rsidR="00BE052A">
        <w:rPr>
          <w:rFonts w:ascii="Calibri" w:hAnsi="Calibri" w:cs="Calibri"/>
          <w:sz w:val="24"/>
          <w:szCs w:val="24"/>
        </w:rPr>
        <w:t>,</w:t>
      </w:r>
      <w:r w:rsidRPr="001E731E">
        <w:rPr>
          <w:rFonts w:ascii="Calibri" w:hAnsi="Calibri" w:cs="Calibri"/>
          <w:sz w:val="24"/>
          <w:szCs w:val="24"/>
        </w:rPr>
        <w:t xml:space="preserve"> a</w:t>
      </w:r>
      <w:r w:rsidR="00B92200" w:rsidRPr="001E731E">
        <w:rPr>
          <w:rFonts w:ascii="Calibri" w:hAnsi="Calibri" w:cs="Calibri"/>
          <w:sz w:val="24"/>
          <w:szCs w:val="24"/>
        </w:rPr>
        <w:t xml:space="preserve"> </w:t>
      </w:r>
      <w:r w:rsidR="00BE052A">
        <w:rPr>
          <w:rFonts w:ascii="Calibri" w:hAnsi="Calibri" w:cs="Calibri"/>
          <w:sz w:val="24"/>
          <w:szCs w:val="24"/>
        </w:rPr>
        <w:t>tudíž</w:t>
      </w:r>
      <w:r w:rsidR="00B92200" w:rsidRPr="001E731E">
        <w:rPr>
          <w:rFonts w:ascii="Calibri" w:hAnsi="Calibri" w:cs="Calibri"/>
          <w:sz w:val="24"/>
          <w:szCs w:val="24"/>
        </w:rPr>
        <w:t xml:space="preserve"> nezískalo jistotu, že realizovalo</w:t>
      </w:r>
      <w:r w:rsidR="003A2D15" w:rsidRPr="001E731E">
        <w:rPr>
          <w:rFonts w:ascii="Calibri" w:hAnsi="Calibri" w:cs="Calibri"/>
          <w:sz w:val="24"/>
          <w:szCs w:val="24"/>
        </w:rPr>
        <w:t xml:space="preserve"> veřejné zakázky nejhospodárnějším způsobem. </w:t>
      </w:r>
      <w:r w:rsidRPr="001E731E">
        <w:rPr>
          <w:rFonts w:ascii="Calibri" w:hAnsi="Calibri" w:cs="Calibri"/>
          <w:sz w:val="24"/>
          <w:szCs w:val="24"/>
        </w:rPr>
        <w:t>V roce 2010 byla spolupráce s</w:t>
      </w:r>
      <w:r w:rsidR="002E3E0D" w:rsidRPr="001E731E">
        <w:rPr>
          <w:rFonts w:ascii="Calibri" w:hAnsi="Calibri" w:cs="Calibri"/>
          <w:sz w:val="24"/>
          <w:szCs w:val="24"/>
        </w:rPr>
        <w:t> tímto dodavatelem</w:t>
      </w:r>
      <w:r w:rsidRPr="001E731E">
        <w:rPr>
          <w:rFonts w:ascii="Calibri" w:hAnsi="Calibri" w:cs="Calibri"/>
          <w:sz w:val="24"/>
          <w:szCs w:val="24"/>
        </w:rPr>
        <w:t xml:space="preserve"> ukončena</w:t>
      </w:r>
      <w:r w:rsidR="00BE052A">
        <w:rPr>
          <w:rFonts w:ascii="Calibri" w:hAnsi="Calibri" w:cs="Calibri"/>
          <w:sz w:val="24"/>
          <w:szCs w:val="24"/>
        </w:rPr>
        <w:t>.</w:t>
      </w:r>
      <w:r w:rsidR="009B5812">
        <w:rPr>
          <w:rFonts w:ascii="Calibri" w:hAnsi="Calibri" w:cs="Calibri"/>
          <w:sz w:val="24"/>
          <w:szCs w:val="24"/>
        </w:rPr>
        <w:t xml:space="preserve"> </w:t>
      </w:r>
    </w:p>
    <w:p w:rsidR="009B5812" w:rsidRPr="001E731E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503D0" w:rsidRDefault="00C479BA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lastRenderedPageBreak/>
        <w:t>ČHMÚ si ve smlouvě o dílo</w:t>
      </w:r>
      <w:r w:rsidR="00881F07" w:rsidRPr="001E731E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sz w:val="24"/>
          <w:szCs w:val="24"/>
        </w:rPr>
        <w:t xml:space="preserve">na tvorbu programového vybavení určeného pro primární zpracování dat </w:t>
      </w:r>
      <w:r w:rsidR="00BE052A">
        <w:rPr>
          <w:rFonts w:ascii="Calibri" w:hAnsi="Calibri" w:cs="Calibri"/>
          <w:sz w:val="24"/>
          <w:szCs w:val="24"/>
        </w:rPr>
        <w:t>o </w:t>
      </w:r>
      <w:r w:rsidRPr="001E731E">
        <w:rPr>
          <w:rFonts w:ascii="Calibri" w:hAnsi="Calibri" w:cs="Calibri"/>
          <w:sz w:val="24"/>
          <w:szCs w:val="24"/>
        </w:rPr>
        <w:t>povrchových vod</w:t>
      </w:r>
      <w:r w:rsidR="00BE052A">
        <w:rPr>
          <w:rFonts w:ascii="Calibri" w:hAnsi="Calibri" w:cs="Calibri"/>
          <w:sz w:val="24"/>
          <w:szCs w:val="24"/>
        </w:rPr>
        <w:t>ách</w:t>
      </w:r>
      <w:r w:rsidRPr="001E731E">
        <w:rPr>
          <w:rFonts w:ascii="Calibri" w:hAnsi="Calibri" w:cs="Calibri"/>
          <w:sz w:val="24"/>
          <w:szCs w:val="24"/>
        </w:rPr>
        <w:t>, jejíž plnění naplňuje znaky díla ve smyslu zákona č. 121/2000 Sb., autorský zákon, smluvně neošetřil poskytnutí práv souvisejících s ochranou duševního vlastnictví vztahující</w:t>
      </w:r>
      <w:r w:rsidR="00E33B5B">
        <w:rPr>
          <w:rFonts w:ascii="Calibri" w:hAnsi="Calibri" w:cs="Calibri"/>
          <w:sz w:val="24"/>
          <w:szCs w:val="24"/>
        </w:rPr>
        <w:t>ch</w:t>
      </w:r>
      <w:r w:rsidRPr="001E731E">
        <w:rPr>
          <w:rFonts w:ascii="Calibri" w:hAnsi="Calibri" w:cs="Calibri"/>
          <w:sz w:val="24"/>
          <w:szCs w:val="24"/>
        </w:rPr>
        <w:t xml:space="preserve"> se k </w:t>
      </w:r>
      <w:r w:rsidR="00E33B5B">
        <w:rPr>
          <w:rFonts w:ascii="Calibri" w:hAnsi="Calibri" w:cs="Calibri"/>
          <w:sz w:val="24"/>
          <w:szCs w:val="24"/>
        </w:rPr>
        <w:t>předmětnému</w:t>
      </w:r>
      <w:r w:rsidRPr="001E731E">
        <w:rPr>
          <w:rFonts w:ascii="Calibri" w:hAnsi="Calibri" w:cs="Calibri"/>
          <w:sz w:val="24"/>
          <w:szCs w:val="24"/>
        </w:rPr>
        <w:t xml:space="preserve"> dílu</w:t>
      </w:r>
      <w:r w:rsidR="00172092" w:rsidRPr="001E731E">
        <w:rPr>
          <w:rFonts w:ascii="Calibri" w:hAnsi="Calibri" w:cs="Calibri"/>
          <w:sz w:val="24"/>
          <w:szCs w:val="24"/>
        </w:rPr>
        <w:t>.</w:t>
      </w:r>
      <w:r w:rsidR="00E646B3" w:rsidRPr="001E731E">
        <w:rPr>
          <w:rFonts w:ascii="Calibri" w:hAnsi="Calibri" w:cs="Calibri"/>
          <w:sz w:val="24"/>
          <w:szCs w:val="24"/>
        </w:rPr>
        <w:t xml:space="preserve"> </w:t>
      </w:r>
      <w:r w:rsidR="00B525DE" w:rsidRPr="001E731E">
        <w:rPr>
          <w:rFonts w:ascii="Calibri" w:hAnsi="Calibri" w:cs="Calibri"/>
          <w:sz w:val="24"/>
          <w:szCs w:val="24"/>
        </w:rPr>
        <w:t>Smluvní c</w:t>
      </w:r>
      <w:r w:rsidR="00E646B3" w:rsidRPr="001E731E">
        <w:rPr>
          <w:rFonts w:ascii="Calibri" w:hAnsi="Calibri" w:cs="Calibri"/>
          <w:sz w:val="24"/>
          <w:szCs w:val="24"/>
        </w:rPr>
        <w:t>ena díla činila 420 000</w:t>
      </w:r>
      <w:r w:rsidR="00E33B5B">
        <w:rPr>
          <w:rFonts w:ascii="Calibri" w:hAnsi="Calibri" w:cs="Calibri"/>
          <w:sz w:val="24"/>
          <w:szCs w:val="24"/>
        </w:rPr>
        <w:t> Kč</w:t>
      </w:r>
      <w:r w:rsidR="00E646B3" w:rsidRPr="001E731E">
        <w:rPr>
          <w:rFonts w:ascii="Calibri" w:hAnsi="Calibri" w:cs="Calibri"/>
          <w:sz w:val="24"/>
          <w:szCs w:val="24"/>
        </w:rPr>
        <w:t xml:space="preserve"> včetně DPH.</w:t>
      </w:r>
      <w:r w:rsidRPr="001E731E">
        <w:rPr>
          <w:rFonts w:ascii="Calibri" w:hAnsi="Calibri" w:cs="Calibri"/>
          <w:sz w:val="24"/>
          <w:szCs w:val="24"/>
        </w:rPr>
        <w:t xml:space="preserve"> Jedná se zejména o oprávnění výsledky vývoje aplikačního programového vybavení rozmnožovat, zveřejňovat, upravovat, zpracovávat, překládat a spojit toto dílo s dílem jiným a zařadit je</w:t>
      </w:r>
      <w:r w:rsidR="00704AE4" w:rsidRPr="001E731E">
        <w:rPr>
          <w:rFonts w:ascii="Calibri" w:hAnsi="Calibri" w:cs="Calibri"/>
          <w:sz w:val="24"/>
          <w:szCs w:val="24"/>
        </w:rPr>
        <w:t xml:space="preserve"> do díla souborného. ČHMÚ dále dodavatele</w:t>
      </w:r>
      <w:r w:rsidRPr="001E731E">
        <w:rPr>
          <w:rFonts w:ascii="Calibri" w:hAnsi="Calibri" w:cs="Calibri"/>
          <w:sz w:val="24"/>
          <w:szCs w:val="24"/>
        </w:rPr>
        <w:t xml:space="preserve"> nezavázal k tomu, že na základě úpravy práv duševního vlastnictví dává ČHMÚ oprávnění, aby mohl výsledky vývoje aktualizo</w:t>
      </w:r>
      <w:r w:rsidR="00FF386E" w:rsidRPr="001E731E">
        <w:rPr>
          <w:rFonts w:ascii="Calibri" w:hAnsi="Calibri" w:cs="Calibri"/>
          <w:sz w:val="24"/>
          <w:szCs w:val="24"/>
        </w:rPr>
        <w:t>vat, upravovat a modifikovat na </w:t>
      </w:r>
      <w:r w:rsidRPr="001E731E">
        <w:rPr>
          <w:rFonts w:ascii="Calibri" w:hAnsi="Calibri" w:cs="Calibri"/>
          <w:sz w:val="24"/>
          <w:szCs w:val="24"/>
        </w:rPr>
        <w:t xml:space="preserve">základě otevřeného </w:t>
      </w:r>
      <w:r w:rsidR="00F919D9" w:rsidRPr="001E731E">
        <w:rPr>
          <w:rFonts w:ascii="Calibri" w:hAnsi="Calibri" w:cs="Calibri"/>
          <w:sz w:val="24"/>
          <w:szCs w:val="24"/>
        </w:rPr>
        <w:t xml:space="preserve">zadávacího </w:t>
      </w:r>
      <w:r w:rsidRPr="001E731E">
        <w:rPr>
          <w:rFonts w:ascii="Calibri" w:hAnsi="Calibri" w:cs="Calibri"/>
          <w:sz w:val="24"/>
          <w:szCs w:val="24"/>
        </w:rPr>
        <w:t xml:space="preserve">řízení dle </w:t>
      </w:r>
      <w:r w:rsidR="00886268" w:rsidRPr="001E731E">
        <w:rPr>
          <w:rFonts w:ascii="Calibri" w:hAnsi="Calibri" w:cs="Calibri"/>
          <w:sz w:val="24"/>
          <w:szCs w:val="24"/>
        </w:rPr>
        <w:t>zákona č.</w:t>
      </w:r>
      <w:r w:rsidR="00172092" w:rsidRPr="001E731E">
        <w:rPr>
          <w:rFonts w:ascii="Calibri" w:hAnsi="Calibri" w:cs="Calibri"/>
          <w:sz w:val="24"/>
          <w:szCs w:val="24"/>
        </w:rPr>
        <w:t> </w:t>
      </w:r>
      <w:r w:rsidR="00886268" w:rsidRPr="001E731E">
        <w:rPr>
          <w:rFonts w:ascii="Calibri" w:hAnsi="Calibri" w:cs="Calibri"/>
          <w:sz w:val="24"/>
          <w:szCs w:val="24"/>
        </w:rPr>
        <w:t>137/2006 Sb.</w:t>
      </w:r>
      <w:r w:rsidRPr="001E731E">
        <w:rPr>
          <w:rFonts w:ascii="Calibri" w:hAnsi="Calibri" w:cs="Calibri"/>
          <w:sz w:val="24"/>
          <w:szCs w:val="24"/>
        </w:rPr>
        <w:t xml:space="preserve"> </w:t>
      </w:r>
    </w:p>
    <w:p w:rsidR="009B5812" w:rsidRPr="001E731E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8668F" w:rsidRDefault="00B8668F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V případě ztráty schopnosti vybraného dodavatele dodávat </w:t>
      </w:r>
      <w:r w:rsidR="00E33B5B">
        <w:rPr>
          <w:rFonts w:ascii="Calibri" w:hAnsi="Calibri" w:cs="Calibri"/>
          <w:sz w:val="24"/>
          <w:szCs w:val="24"/>
        </w:rPr>
        <w:t>požadované</w:t>
      </w:r>
      <w:r w:rsidRPr="001E731E">
        <w:rPr>
          <w:rFonts w:ascii="Calibri" w:hAnsi="Calibri" w:cs="Calibri"/>
          <w:sz w:val="24"/>
          <w:szCs w:val="24"/>
        </w:rPr>
        <w:t xml:space="preserve"> služby hrozí</w:t>
      </w:r>
      <w:r w:rsidR="0079108A" w:rsidRPr="001E731E">
        <w:rPr>
          <w:rFonts w:ascii="Calibri" w:hAnsi="Calibri" w:cs="Calibri"/>
          <w:sz w:val="24"/>
          <w:szCs w:val="24"/>
        </w:rPr>
        <w:t xml:space="preserve"> u</w:t>
      </w:r>
      <w:r w:rsidR="00E33B5B">
        <w:rPr>
          <w:rFonts w:ascii="Calibri" w:hAnsi="Calibri" w:cs="Calibri"/>
          <w:sz w:val="24"/>
          <w:szCs w:val="24"/>
        </w:rPr>
        <w:t> </w:t>
      </w:r>
      <w:r w:rsidR="0079108A" w:rsidRPr="001E731E">
        <w:rPr>
          <w:rFonts w:ascii="Calibri" w:hAnsi="Calibri" w:cs="Calibri"/>
          <w:sz w:val="24"/>
          <w:szCs w:val="24"/>
        </w:rPr>
        <w:t xml:space="preserve">obou kontrolovaných osob </w:t>
      </w:r>
      <w:r w:rsidRPr="001E731E">
        <w:rPr>
          <w:rFonts w:ascii="Calibri" w:hAnsi="Calibri" w:cs="Calibri"/>
          <w:sz w:val="24"/>
          <w:szCs w:val="24"/>
        </w:rPr>
        <w:t xml:space="preserve">riziko </w:t>
      </w:r>
      <w:r w:rsidR="00BE052A">
        <w:rPr>
          <w:rFonts w:ascii="Calibri" w:hAnsi="Calibri" w:cs="Calibri"/>
          <w:sz w:val="24"/>
          <w:szCs w:val="24"/>
        </w:rPr>
        <w:t xml:space="preserve">nutnosti vystavět nový informační systém </w:t>
      </w:r>
      <w:r w:rsidRPr="001E731E">
        <w:rPr>
          <w:rFonts w:ascii="Calibri" w:hAnsi="Calibri" w:cs="Calibri"/>
          <w:sz w:val="24"/>
          <w:szCs w:val="24"/>
        </w:rPr>
        <w:t>od počátku.</w:t>
      </w:r>
    </w:p>
    <w:p w:rsidR="009B5812" w:rsidRPr="001E731E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1368F" w:rsidRPr="009B5812" w:rsidRDefault="00C1368F" w:rsidP="009B5812">
      <w:pPr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  <w:r w:rsidRPr="009B5812">
        <w:rPr>
          <w:rFonts w:ascii="Calibri" w:hAnsi="Calibri" w:cs="Calibri"/>
          <w:b/>
          <w:i/>
          <w:sz w:val="24"/>
          <w:szCs w:val="24"/>
        </w:rPr>
        <w:t>Využívanost informačních systémů</w:t>
      </w:r>
    </w:p>
    <w:p w:rsidR="009B5812" w:rsidRDefault="009B5812" w:rsidP="001E731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772DF" w:rsidRPr="001E731E" w:rsidRDefault="005772DF" w:rsidP="001E731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E731E">
        <w:rPr>
          <w:rFonts w:ascii="Calibri" w:hAnsi="Calibri" w:cs="Calibri"/>
          <w:b/>
          <w:sz w:val="24"/>
          <w:szCs w:val="24"/>
        </w:rPr>
        <w:t xml:space="preserve">MŽP nesleduje přístupy k jednotlivým informačním systémům. Nemůže </w:t>
      </w:r>
      <w:r w:rsidR="00E33B5B">
        <w:rPr>
          <w:rFonts w:ascii="Calibri" w:hAnsi="Calibri" w:cs="Calibri"/>
          <w:b/>
          <w:sz w:val="24"/>
          <w:szCs w:val="24"/>
        </w:rPr>
        <w:t>tedy</w:t>
      </w:r>
      <w:r w:rsidRPr="001E731E">
        <w:rPr>
          <w:rFonts w:ascii="Calibri" w:hAnsi="Calibri" w:cs="Calibri"/>
          <w:b/>
          <w:sz w:val="24"/>
          <w:szCs w:val="24"/>
        </w:rPr>
        <w:t xml:space="preserve"> vyhodnocovat efektiv</w:t>
      </w:r>
      <w:r w:rsidR="00E87E9C" w:rsidRPr="001E731E">
        <w:rPr>
          <w:rFonts w:ascii="Calibri" w:hAnsi="Calibri" w:cs="Calibri"/>
          <w:b/>
          <w:sz w:val="24"/>
          <w:szCs w:val="24"/>
        </w:rPr>
        <w:t>nost</w:t>
      </w:r>
      <w:r w:rsidRPr="001E731E">
        <w:rPr>
          <w:rFonts w:ascii="Calibri" w:hAnsi="Calibri" w:cs="Calibri"/>
          <w:b/>
          <w:sz w:val="24"/>
          <w:szCs w:val="24"/>
        </w:rPr>
        <w:t>, hospodárnost a</w:t>
      </w:r>
      <w:r w:rsidR="00E33B5B">
        <w:rPr>
          <w:rFonts w:ascii="Calibri" w:hAnsi="Calibri" w:cs="Calibri"/>
          <w:b/>
          <w:sz w:val="24"/>
          <w:szCs w:val="24"/>
        </w:rPr>
        <w:t>ni</w:t>
      </w:r>
      <w:r w:rsidRPr="001E731E">
        <w:rPr>
          <w:rFonts w:ascii="Calibri" w:hAnsi="Calibri" w:cs="Calibri"/>
          <w:b/>
          <w:sz w:val="24"/>
          <w:szCs w:val="24"/>
        </w:rPr>
        <w:t xml:space="preserve"> účelnost </w:t>
      </w:r>
      <w:r w:rsidR="00BE052A">
        <w:rPr>
          <w:rFonts w:ascii="Calibri" w:hAnsi="Calibri" w:cs="Calibri"/>
          <w:b/>
          <w:sz w:val="24"/>
          <w:szCs w:val="24"/>
        </w:rPr>
        <w:t>vynakládání</w:t>
      </w:r>
      <w:r w:rsidRPr="001E731E">
        <w:rPr>
          <w:rFonts w:ascii="Calibri" w:hAnsi="Calibri" w:cs="Calibri"/>
          <w:b/>
          <w:sz w:val="24"/>
          <w:szCs w:val="24"/>
        </w:rPr>
        <w:t xml:space="preserve"> prostředků ve vazbě </w:t>
      </w:r>
      <w:r w:rsidR="00BE052A">
        <w:rPr>
          <w:rFonts w:ascii="Calibri" w:hAnsi="Calibri" w:cs="Calibri"/>
          <w:b/>
          <w:sz w:val="24"/>
          <w:szCs w:val="24"/>
        </w:rPr>
        <w:t xml:space="preserve">na </w:t>
      </w:r>
      <w:r w:rsidRPr="001E731E">
        <w:rPr>
          <w:rFonts w:ascii="Calibri" w:hAnsi="Calibri" w:cs="Calibri"/>
          <w:b/>
          <w:sz w:val="24"/>
          <w:szCs w:val="24"/>
        </w:rPr>
        <w:t>využívání IS.</w:t>
      </w:r>
    </w:p>
    <w:p w:rsidR="009B5812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772DF" w:rsidRPr="001E731E" w:rsidRDefault="007838C8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Sledování využívanosti IS patří k doplňkovým metodám, jak zjistit míru reálného využívání vybudovaných IS</w:t>
      </w:r>
      <w:r w:rsidR="00BE052A">
        <w:rPr>
          <w:rFonts w:ascii="Calibri" w:hAnsi="Calibri" w:cs="Calibri"/>
          <w:sz w:val="24"/>
          <w:szCs w:val="24"/>
        </w:rPr>
        <w:t>,</w:t>
      </w:r>
      <w:r w:rsidRPr="001E731E">
        <w:rPr>
          <w:rFonts w:ascii="Calibri" w:hAnsi="Calibri" w:cs="Calibri"/>
          <w:sz w:val="24"/>
          <w:szCs w:val="24"/>
        </w:rPr>
        <w:t xml:space="preserve"> a tak </w:t>
      </w:r>
      <w:r w:rsidR="00BE052A">
        <w:rPr>
          <w:rFonts w:ascii="Calibri" w:hAnsi="Calibri" w:cs="Calibri"/>
          <w:sz w:val="24"/>
          <w:szCs w:val="24"/>
        </w:rPr>
        <w:t>posuzovat</w:t>
      </w:r>
      <w:r w:rsidRPr="001E731E">
        <w:rPr>
          <w:rFonts w:ascii="Calibri" w:hAnsi="Calibri" w:cs="Calibri"/>
          <w:sz w:val="24"/>
          <w:szCs w:val="24"/>
        </w:rPr>
        <w:t xml:space="preserve"> efektiv</w:t>
      </w:r>
      <w:r w:rsidR="00E87E9C" w:rsidRPr="001E731E">
        <w:rPr>
          <w:rFonts w:ascii="Calibri" w:hAnsi="Calibri" w:cs="Calibri"/>
          <w:sz w:val="24"/>
          <w:szCs w:val="24"/>
        </w:rPr>
        <w:t>nost</w:t>
      </w:r>
      <w:r w:rsidRPr="001E731E">
        <w:rPr>
          <w:rFonts w:ascii="Calibri" w:hAnsi="Calibri" w:cs="Calibri"/>
          <w:sz w:val="24"/>
          <w:szCs w:val="24"/>
        </w:rPr>
        <w:t xml:space="preserve">, hospodárnost a účelnost </w:t>
      </w:r>
      <w:r w:rsidR="00BE052A">
        <w:rPr>
          <w:rFonts w:ascii="Calibri" w:hAnsi="Calibri" w:cs="Calibri"/>
          <w:sz w:val="24"/>
          <w:szCs w:val="24"/>
        </w:rPr>
        <w:t>vynakládání</w:t>
      </w:r>
      <w:r w:rsidRPr="001E731E">
        <w:rPr>
          <w:rFonts w:ascii="Calibri" w:hAnsi="Calibri" w:cs="Calibri"/>
          <w:sz w:val="24"/>
          <w:szCs w:val="24"/>
        </w:rPr>
        <w:t xml:space="preserve"> finančních prostředků. </w:t>
      </w:r>
      <w:r w:rsidR="005772DF" w:rsidRPr="001E731E">
        <w:rPr>
          <w:rFonts w:ascii="Calibri" w:hAnsi="Calibri" w:cs="Calibri"/>
          <w:sz w:val="24"/>
          <w:szCs w:val="24"/>
        </w:rPr>
        <w:t>Kontrolou bylo zjištěno, že požadavky na sledování přístupů k informačním systémům buď nejsou vůbec, nebo jsou, ale nerealiz</w:t>
      </w:r>
      <w:r w:rsidR="00DF40E4" w:rsidRPr="001E731E">
        <w:rPr>
          <w:rFonts w:ascii="Calibri" w:hAnsi="Calibri" w:cs="Calibri"/>
          <w:sz w:val="24"/>
          <w:szCs w:val="24"/>
        </w:rPr>
        <w:t>ují se, případně se </w:t>
      </w:r>
      <w:r w:rsidR="005772DF" w:rsidRPr="001E731E">
        <w:rPr>
          <w:rFonts w:ascii="Calibri" w:hAnsi="Calibri" w:cs="Calibri"/>
          <w:sz w:val="24"/>
          <w:szCs w:val="24"/>
        </w:rPr>
        <w:t xml:space="preserve">realizují, ale výsledky se neevidují. Souhrnně lze tedy konstatovat, že ve většině případů záznamy o využívanosti IS </w:t>
      </w:r>
      <w:r w:rsidR="000609E5" w:rsidRPr="001E731E">
        <w:rPr>
          <w:rFonts w:ascii="Calibri" w:hAnsi="Calibri" w:cs="Calibri"/>
          <w:sz w:val="24"/>
          <w:szCs w:val="24"/>
        </w:rPr>
        <w:t xml:space="preserve">na MŽP </w:t>
      </w:r>
      <w:r w:rsidR="005772DF" w:rsidRPr="001E731E">
        <w:rPr>
          <w:rFonts w:ascii="Calibri" w:hAnsi="Calibri" w:cs="Calibri"/>
          <w:sz w:val="24"/>
          <w:szCs w:val="24"/>
        </w:rPr>
        <w:t xml:space="preserve">neexistují. </w:t>
      </w:r>
      <w:r w:rsidRPr="001E731E">
        <w:rPr>
          <w:rFonts w:ascii="Calibri" w:hAnsi="Calibri" w:cs="Calibri"/>
          <w:sz w:val="24"/>
          <w:szCs w:val="24"/>
        </w:rPr>
        <w:t>MŽP v tomto směru nedokáže sledovat a</w:t>
      </w:r>
      <w:r w:rsidR="00E33B5B">
        <w:rPr>
          <w:rFonts w:ascii="Calibri" w:hAnsi="Calibri" w:cs="Calibri"/>
          <w:sz w:val="24"/>
          <w:szCs w:val="24"/>
        </w:rPr>
        <w:t>ni</w:t>
      </w:r>
      <w:r w:rsidRPr="001E731E">
        <w:rPr>
          <w:rFonts w:ascii="Calibri" w:hAnsi="Calibri" w:cs="Calibri"/>
          <w:sz w:val="24"/>
          <w:szCs w:val="24"/>
        </w:rPr>
        <w:t xml:space="preserve"> touto metodou vyhodnocovat efektiv</w:t>
      </w:r>
      <w:r w:rsidR="00E87E9C" w:rsidRPr="001E731E">
        <w:rPr>
          <w:rFonts w:ascii="Calibri" w:hAnsi="Calibri" w:cs="Calibri"/>
          <w:sz w:val="24"/>
          <w:szCs w:val="24"/>
        </w:rPr>
        <w:t>nost</w:t>
      </w:r>
      <w:r w:rsidRPr="001E731E">
        <w:rPr>
          <w:rFonts w:ascii="Calibri" w:hAnsi="Calibri" w:cs="Calibri"/>
          <w:sz w:val="24"/>
          <w:szCs w:val="24"/>
        </w:rPr>
        <w:t>, hospodárnost a účelnost</w:t>
      </w:r>
      <w:r w:rsidR="00DF40E4" w:rsidRPr="001E731E">
        <w:rPr>
          <w:rFonts w:ascii="Calibri" w:hAnsi="Calibri" w:cs="Calibri"/>
          <w:sz w:val="24"/>
          <w:szCs w:val="24"/>
        </w:rPr>
        <w:t xml:space="preserve"> vynaložených prostředků ve </w:t>
      </w:r>
      <w:r w:rsidRPr="001E731E">
        <w:rPr>
          <w:rFonts w:ascii="Calibri" w:hAnsi="Calibri" w:cs="Calibri"/>
          <w:sz w:val="24"/>
          <w:szCs w:val="24"/>
        </w:rPr>
        <w:t xml:space="preserve">vazbě </w:t>
      </w:r>
      <w:r w:rsidR="00BE052A">
        <w:rPr>
          <w:rFonts w:ascii="Calibri" w:hAnsi="Calibri" w:cs="Calibri"/>
          <w:sz w:val="24"/>
          <w:szCs w:val="24"/>
        </w:rPr>
        <w:t>na</w:t>
      </w:r>
      <w:r w:rsidRPr="001E731E">
        <w:rPr>
          <w:rFonts w:ascii="Calibri" w:hAnsi="Calibri" w:cs="Calibri"/>
          <w:sz w:val="24"/>
          <w:szCs w:val="24"/>
        </w:rPr>
        <w:t xml:space="preserve"> využívání IS.</w:t>
      </w:r>
    </w:p>
    <w:p w:rsidR="0076767B" w:rsidRPr="001E731E" w:rsidRDefault="0076767B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1368F" w:rsidRPr="001E731E" w:rsidRDefault="00C1368F" w:rsidP="001E731E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1E731E">
        <w:rPr>
          <w:rFonts w:ascii="Calibri" w:hAnsi="Calibri" w:cs="Calibri"/>
          <w:b/>
          <w:i/>
          <w:sz w:val="24"/>
          <w:szCs w:val="24"/>
        </w:rPr>
        <w:t xml:space="preserve">Plnění nápravných opatření </w:t>
      </w:r>
      <w:r w:rsidR="00640A7B">
        <w:rPr>
          <w:rFonts w:ascii="Calibri" w:hAnsi="Calibri" w:cs="Calibri"/>
          <w:b/>
          <w:i/>
          <w:sz w:val="24"/>
          <w:szCs w:val="24"/>
        </w:rPr>
        <w:t xml:space="preserve">v návaznosti na </w:t>
      </w:r>
      <w:r w:rsidRPr="001E731E">
        <w:rPr>
          <w:rFonts w:ascii="Calibri" w:hAnsi="Calibri" w:cs="Calibri"/>
          <w:b/>
          <w:i/>
          <w:sz w:val="24"/>
          <w:szCs w:val="24"/>
        </w:rPr>
        <w:t>kontrolní akc</w:t>
      </w:r>
      <w:r w:rsidR="00640A7B">
        <w:rPr>
          <w:rFonts w:ascii="Calibri" w:hAnsi="Calibri" w:cs="Calibri"/>
          <w:b/>
          <w:i/>
          <w:sz w:val="24"/>
          <w:szCs w:val="24"/>
        </w:rPr>
        <w:t>i</w:t>
      </w:r>
      <w:r w:rsidRPr="001E731E">
        <w:rPr>
          <w:rFonts w:ascii="Calibri" w:hAnsi="Calibri" w:cs="Calibri"/>
          <w:b/>
          <w:i/>
          <w:sz w:val="24"/>
          <w:szCs w:val="24"/>
        </w:rPr>
        <w:t xml:space="preserve"> č. 07/16</w:t>
      </w:r>
    </w:p>
    <w:p w:rsidR="009B5812" w:rsidRDefault="009B5812" w:rsidP="001E731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772DF" w:rsidRPr="001E731E" w:rsidRDefault="005772DF" w:rsidP="001E731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E731E">
        <w:rPr>
          <w:rFonts w:ascii="Calibri" w:hAnsi="Calibri" w:cs="Calibri"/>
          <w:b/>
          <w:sz w:val="24"/>
          <w:szCs w:val="24"/>
        </w:rPr>
        <w:t xml:space="preserve">Kontrolovaná oblast již byla předmětem </w:t>
      </w:r>
      <w:r w:rsidR="00E33B5B">
        <w:rPr>
          <w:rFonts w:ascii="Calibri" w:hAnsi="Calibri" w:cs="Calibri"/>
          <w:b/>
          <w:sz w:val="24"/>
          <w:szCs w:val="24"/>
        </w:rPr>
        <w:t>kontrolní akce</w:t>
      </w:r>
      <w:r w:rsidRPr="001E731E">
        <w:rPr>
          <w:rFonts w:ascii="Calibri" w:hAnsi="Calibri" w:cs="Calibri"/>
          <w:b/>
          <w:sz w:val="24"/>
          <w:szCs w:val="24"/>
        </w:rPr>
        <w:t xml:space="preserve"> NKÚ č. 07/16. Přestože MŽP následně přijalo nápravná opatření, značná část nedostatků stále přetrvává.</w:t>
      </w:r>
    </w:p>
    <w:p w:rsidR="009B5812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F5B5A" w:rsidRPr="001E731E" w:rsidRDefault="006F5B5A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Kontrol</w:t>
      </w:r>
      <w:r w:rsidR="00E33B5B">
        <w:rPr>
          <w:rFonts w:ascii="Calibri" w:hAnsi="Calibri" w:cs="Calibri"/>
          <w:sz w:val="24"/>
          <w:szCs w:val="24"/>
        </w:rPr>
        <w:t>ní akcí</w:t>
      </w:r>
      <w:r w:rsidRPr="001E731E">
        <w:rPr>
          <w:rFonts w:ascii="Calibri" w:hAnsi="Calibri" w:cs="Calibri"/>
          <w:sz w:val="24"/>
          <w:szCs w:val="24"/>
        </w:rPr>
        <w:t xml:space="preserve"> NKÚ č. 07/16 bylo v souvislosti s JISŽP zjištěno:</w:t>
      </w:r>
    </w:p>
    <w:p w:rsidR="006F5B5A" w:rsidRPr="001E731E" w:rsidRDefault="006F5B5A" w:rsidP="001E731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JISŽP není </w:t>
      </w:r>
      <w:r w:rsidR="00B87D1A" w:rsidRPr="001E731E">
        <w:rPr>
          <w:rFonts w:ascii="Calibri" w:hAnsi="Calibri" w:cs="Calibri"/>
          <w:sz w:val="24"/>
          <w:szCs w:val="24"/>
        </w:rPr>
        <w:t>jednotný</w:t>
      </w:r>
      <w:r w:rsidR="00640A7B">
        <w:rPr>
          <w:rFonts w:ascii="Calibri" w:hAnsi="Calibri" w:cs="Calibri"/>
          <w:sz w:val="24"/>
          <w:szCs w:val="24"/>
        </w:rPr>
        <w:t>m</w:t>
      </w:r>
      <w:r w:rsidR="00B87D1A" w:rsidRPr="001E731E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sz w:val="24"/>
          <w:szCs w:val="24"/>
        </w:rPr>
        <w:t xml:space="preserve">informačním systémem, ale spíše teoretickým konceptem. </w:t>
      </w:r>
    </w:p>
    <w:p w:rsidR="006F5B5A" w:rsidRPr="001E731E" w:rsidRDefault="006F5B5A" w:rsidP="001E731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JISŽP je „virtuálním“ souborem dat, informací, infrastruktury a řízení, který v sobě zahrnuje všechny neprovozní informační systémy, které provozuje MŽP a jeho podřízené organizace. </w:t>
      </w:r>
    </w:p>
    <w:p w:rsidR="006F5B5A" w:rsidRPr="001E731E" w:rsidRDefault="006F5B5A" w:rsidP="001E731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Některé z informačních systémů JISŽP jsou spolu propojeny, ale JISŽP jako celek propojen není.</w:t>
      </w:r>
    </w:p>
    <w:p w:rsidR="006F5B5A" w:rsidRPr="001E731E" w:rsidRDefault="006F5B5A" w:rsidP="001E731E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JISŽP je souborem relativně samostatných informačních systémů a data</w:t>
      </w:r>
      <w:r w:rsidR="00325945" w:rsidRPr="001E731E">
        <w:rPr>
          <w:rFonts w:ascii="Calibri" w:hAnsi="Calibri" w:cs="Calibri"/>
          <w:sz w:val="24"/>
          <w:szCs w:val="24"/>
        </w:rPr>
        <w:t>bází. Tyto </w:t>
      </w:r>
      <w:r w:rsidRPr="001E731E">
        <w:rPr>
          <w:rFonts w:ascii="Calibri" w:hAnsi="Calibri" w:cs="Calibri"/>
          <w:sz w:val="24"/>
          <w:szCs w:val="24"/>
        </w:rPr>
        <w:t>systémy nejsou provázané.</w:t>
      </w:r>
    </w:p>
    <w:p w:rsidR="00BD07ED" w:rsidRPr="001E731E" w:rsidRDefault="00BD07ED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F5B5A" w:rsidRPr="001E731E" w:rsidRDefault="00C47B64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MŽP v návaznosti na kontrolní akci</w:t>
      </w:r>
      <w:r w:rsidR="006F5B5A" w:rsidRPr="001E731E">
        <w:rPr>
          <w:rFonts w:ascii="Calibri" w:hAnsi="Calibri" w:cs="Calibri"/>
          <w:sz w:val="24"/>
          <w:szCs w:val="24"/>
        </w:rPr>
        <w:t xml:space="preserve"> NKÚ č. 07/16 </w:t>
      </w:r>
      <w:r w:rsidR="00073A55" w:rsidRPr="001E731E">
        <w:rPr>
          <w:rFonts w:ascii="Calibri" w:hAnsi="Calibri" w:cs="Calibri"/>
          <w:sz w:val="24"/>
          <w:szCs w:val="24"/>
        </w:rPr>
        <w:t xml:space="preserve">přijalo </w:t>
      </w:r>
      <w:r w:rsidR="006F5B5A" w:rsidRPr="001E731E">
        <w:rPr>
          <w:rFonts w:ascii="Calibri" w:hAnsi="Calibri" w:cs="Calibri"/>
          <w:sz w:val="24"/>
          <w:szCs w:val="24"/>
        </w:rPr>
        <w:t>opatření</w:t>
      </w:r>
      <w:r w:rsidR="00073A55" w:rsidRPr="001E731E">
        <w:rPr>
          <w:rFonts w:ascii="Calibri" w:hAnsi="Calibri" w:cs="Calibri"/>
          <w:sz w:val="24"/>
          <w:szCs w:val="24"/>
        </w:rPr>
        <w:t xml:space="preserve"> k odstranění zjištěných nedostatků</w:t>
      </w:r>
      <w:r w:rsidR="00BD07ED" w:rsidRPr="001E731E">
        <w:rPr>
          <w:rFonts w:ascii="Calibri" w:hAnsi="Calibri" w:cs="Calibri"/>
          <w:sz w:val="24"/>
          <w:szCs w:val="24"/>
        </w:rPr>
        <w:t>, aby rozvoj JISŽP byl řízen jednotně a centrálně</w:t>
      </w:r>
      <w:r w:rsidR="006F5B5A" w:rsidRPr="001E731E">
        <w:rPr>
          <w:rFonts w:ascii="Calibri" w:hAnsi="Calibri" w:cs="Calibri"/>
          <w:sz w:val="24"/>
          <w:szCs w:val="24"/>
        </w:rPr>
        <w:t>:</w:t>
      </w:r>
    </w:p>
    <w:p w:rsidR="006F5B5A" w:rsidRPr="001E731E" w:rsidRDefault="00BD07ED" w:rsidP="001E731E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lastRenderedPageBreak/>
        <w:t>U</w:t>
      </w:r>
      <w:r w:rsidR="006F5B5A" w:rsidRPr="001E731E">
        <w:rPr>
          <w:rFonts w:ascii="Calibri" w:hAnsi="Calibri" w:cs="Calibri"/>
          <w:sz w:val="24"/>
          <w:szCs w:val="24"/>
        </w:rPr>
        <w:t>stavilo Radu pro rozvoj JISŽP jako poradní orgán, který měl poskytovat odborná stanoviska ke strategickým materiálům, koncepcím JISŽP a horizontálním projektům JISŽP</w:t>
      </w:r>
      <w:r w:rsidRPr="001E731E">
        <w:rPr>
          <w:rFonts w:ascii="Calibri" w:hAnsi="Calibri" w:cs="Calibri"/>
          <w:sz w:val="24"/>
          <w:szCs w:val="24"/>
        </w:rPr>
        <w:t>.</w:t>
      </w:r>
    </w:p>
    <w:p w:rsidR="006F5B5A" w:rsidRPr="001E731E" w:rsidRDefault="00BE052A" w:rsidP="001E731E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Začalo</w:t>
      </w:r>
      <w:proofErr w:type="gramEnd"/>
      <w:r w:rsidR="00A70924" w:rsidRPr="001E731E">
        <w:rPr>
          <w:rFonts w:ascii="Calibri" w:hAnsi="Calibri" w:cs="Calibri"/>
          <w:sz w:val="24"/>
          <w:szCs w:val="24"/>
        </w:rPr>
        <w:t xml:space="preserve"> realizovat</w:t>
      </w:r>
      <w:r w:rsidR="006E7142" w:rsidRPr="001E731E">
        <w:rPr>
          <w:rFonts w:ascii="Calibri" w:hAnsi="Calibri" w:cs="Calibri"/>
          <w:sz w:val="24"/>
          <w:szCs w:val="24"/>
        </w:rPr>
        <w:t xml:space="preserve"> </w:t>
      </w:r>
      <w:r w:rsidR="006F5B5A" w:rsidRPr="001E731E">
        <w:rPr>
          <w:rFonts w:ascii="Calibri" w:hAnsi="Calibri" w:cs="Calibri"/>
          <w:sz w:val="24"/>
          <w:szCs w:val="24"/>
        </w:rPr>
        <w:t xml:space="preserve">integrační projekt SIRIUS, který měl nejen integrovat některé významné IS, ale </w:t>
      </w:r>
      <w:r w:rsidR="00640A7B">
        <w:rPr>
          <w:rFonts w:ascii="Calibri" w:hAnsi="Calibri" w:cs="Calibri"/>
          <w:sz w:val="24"/>
          <w:szCs w:val="24"/>
        </w:rPr>
        <w:t>jeho cílem</w:t>
      </w:r>
      <w:r w:rsidR="006F5B5A" w:rsidRPr="001E731E">
        <w:rPr>
          <w:rFonts w:ascii="Calibri" w:hAnsi="Calibri" w:cs="Calibri"/>
          <w:sz w:val="24"/>
          <w:szCs w:val="24"/>
        </w:rPr>
        <w:t xml:space="preserve"> byla zejména možnost sdílení dat</w:t>
      </w:r>
      <w:r w:rsidR="00BD07ED" w:rsidRPr="001E731E">
        <w:rPr>
          <w:rFonts w:ascii="Calibri" w:hAnsi="Calibri" w:cs="Calibri"/>
          <w:sz w:val="24"/>
          <w:szCs w:val="24"/>
        </w:rPr>
        <w:t>.</w:t>
      </w:r>
    </w:p>
    <w:p w:rsidR="006F5B5A" w:rsidRPr="001E731E" w:rsidRDefault="00BD07ED" w:rsidP="001E731E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V</w:t>
      </w:r>
      <w:r w:rsidR="006F5B5A" w:rsidRPr="001E731E">
        <w:rPr>
          <w:rFonts w:ascii="Calibri" w:hAnsi="Calibri" w:cs="Calibri"/>
          <w:sz w:val="24"/>
          <w:szCs w:val="24"/>
        </w:rPr>
        <w:t xml:space="preserve">ydalo směrnice pro řízení projektů, včetně </w:t>
      </w:r>
      <w:r w:rsidR="00640A7B">
        <w:rPr>
          <w:rFonts w:ascii="Calibri" w:hAnsi="Calibri" w:cs="Calibri"/>
          <w:sz w:val="24"/>
          <w:szCs w:val="24"/>
        </w:rPr>
        <w:t>m</w:t>
      </w:r>
      <w:r w:rsidR="006F5B5A" w:rsidRPr="001E731E">
        <w:rPr>
          <w:rFonts w:ascii="Calibri" w:hAnsi="Calibri" w:cs="Calibri"/>
          <w:sz w:val="24"/>
          <w:szCs w:val="24"/>
        </w:rPr>
        <w:t>etodiky řízení projektů</w:t>
      </w:r>
      <w:r w:rsidRPr="001E731E">
        <w:rPr>
          <w:rFonts w:ascii="Calibri" w:hAnsi="Calibri" w:cs="Calibri"/>
          <w:sz w:val="24"/>
          <w:szCs w:val="24"/>
        </w:rPr>
        <w:t>.</w:t>
      </w:r>
    </w:p>
    <w:p w:rsidR="00BD07ED" w:rsidRPr="001E731E" w:rsidRDefault="006F5B5A" w:rsidP="001E731E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MŽP směrnicemi stanovilo, že financování oblasti</w:t>
      </w:r>
      <w:r w:rsidR="00E33B5B" w:rsidRPr="00E33B5B">
        <w:rPr>
          <w:rFonts w:ascii="Calibri" w:hAnsi="Calibri" w:cs="Calibri"/>
          <w:sz w:val="24"/>
          <w:szCs w:val="24"/>
        </w:rPr>
        <w:t xml:space="preserve"> </w:t>
      </w:r>
      <w:r w:rsidR="00E33B5B" w:rsidRPr="001E731E">
        <w:rPr>
          <w:rFonts w:ascii="Calibri" w:hAnsi="Calibri" w:cs="Calibri"/>
          <w:sz w:val="24"/>
          <w:szCs w:val="24"/>
        </w:rPr>
        <w:t>ICT</w:t>
      </w:r>
      <w:r w:rsidRPr="001E731E">
        <w:rPr>
          <w:rFonts w:ascii="Calibri" w:hAnsi="Calibri" w:cs="Calibri"/>
          <w:sz w:val="24"/>
          <w:szCs w:val="24"/>
        </w:rPr>
        <w:t xml:space="preserve"> bude plně v kompetenci odboru informatiky.</w:t>
      </w:r>
    </w:p>
    <w:p w:rsidR="009B5812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772DF" w:rsidRPr="001E731E" w:rsidRDefault="005772DF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Tato opatření však </w:t>
      </w:r>
      <w:r w:rsidR="00C22489" w:rsidRPr="001E731E">
        <w:rPr>
          <w:rFonts w:ascii="Calibri" w:hAnsi="Calibri" w:cs="Calibri"/>
          <w:sz w:val="24"/>
          <w:szCs w:val="24"/>
        </w:rPr>
        <w:t xml:space="preserve">fakticky </w:t>
      </w:r>
      <w:r w:rsidRPr="001E731E">
        <w:rPr>
          <w:rFonts w:ascii="Calibri" w:hAnsi="Calibri" w:cs="Calibri"/>
          <w:sz w:val="24"/>
          <w:szCs w:val="24"/>
        </w:rPr>
        <w:t>nebyla v řadě případů realizována a</w:t>
      </w:r>
      <w:r w:rsidR="00640A7B">
        <w:rPr>
          <w:rFonts w:ascii="Calibri" w:hAnsi="Calibri" w:cs="Calibri"/>
          <w:sz w:val="24"/>
          <w:szCs w:val="24"/>
        </w:rPr>
        <w:t xml:space="preserve">ni </w:t>
      </w:r>
      <w:r w:rsidRPr="001E731E">
        <w:rPr>
          <w:rFonts w:ascii="Calibri" w:hAnsi="Calibri" w:cs="Calibri"/>
          <w:sz w:val="24"/>
          <w:szCs w:val="24"/>
        </w:rPr>
        <w:t>dodržována tak, aby skutečně naplnila</w:t>
      </w:r>
      <w:r w:rsidR="00BD07ED" w:rsidRPr="001E731E">
        <w:rPr>
          <w:rFonts w:ascii="Calibri" w:hAnsi="Calibri" w:cs="Calibri"/>
          <w:sz w:val="24"/>
          <w:szCs w:val="24"/>
        </w:rPr>
        <w:t xml:space="preserve"> </w:t>
      </w:r>
      <w:r w:rsidR="00E33B5B">
        <w:rPr>
          <w:rFonts w:ascii="Calibri" w:hAnsi="Calibri" w:cs="Calibri"/>
          <w:sz w:val="24"/>
          <w:szCs w:val="24"/>
        </w:rPr>
        <w:t>svůj</w:t>
      </w:r>
      <w:r w:rsidR="00BD07ED" w:rsidRPr="001E731E">
        <w:rPr>
          <w:rFonts w:ascii="Calibri" w:hAnsi="Calibri" w:cs="Calibri"/>
          <w:sz w:val="24"/>
          <w:szCs w:val="24"/>
        </w:rPr>
        <w:t xml:space="preserve"> původně zamýšlený účel</w:t>
      </w:r>
      <w:r w:rsidRPr="001E731E">
        <w:rPr>
          <w:rFonts w:ascii="Calibri" w:hAnsi="Calibri" w:cs="Calibri"/>
          <w:sz w:val="24"/>
          <w:szCs w:val="24"/>
        </w:rPr>
        <w:t>:</w:t>
      </w:r>
    </w:p>
    <w:p w:rsidR="002A7792" w:rsidRPr="001E731E" w:rsidRDefault="002A7792" w:rsidP="001E731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Rada se </w:t>
      </w:r>
      <w:r w:rsidR="00E21CF1" w:rsidRPr="001E731E">
        <w:rPr>
          <w:rFonts w:ascii="Calibri" w:eastAsia="Times New Roman" w:hAnsi="Calibri" w:cs="Calibri"/>
          <w:sz w:val="24"/>
          <w:szCs w:val="24"/>
        </w:rPr>
        <w:t>od července 2010 do června 2012</w:t>
      </w:r>
      <w:r w:rsidR="0076767B" w:rsidRPr="001E731E">
        <w:rPr>
          <w:rFonts w:ascii="Calibri" w:eastAsia="Times New Roman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sz w:val="24"/>
          <w:szCs w:val="24"/>
        </w:rPr>
        <w:t xml:space="preserve">nescházela, </w:t>
      </w:r>
      <w:r w:rsidR="00BE052A">
        <w:rPr>
          <w:rFonts w:ascii="Calibri" w:eastAsia="Times New Roman" w:hAnsi="Calibri" w:cs="Calibri"/>
          <w:sz w:val="24"/>
          <w:szCs w:val="24"/>
        </w:rPr>
        <w:t>tudíž</w:t>
      </w:r>
      <w:r w:rsidR="004F7596" w:rsidRPr="001E731E">
        <w:rPr>
          <w:rFonts w:ascii="Calibri" w:eastAsia="Times New Roman" w:hAnsi="Calibri" w:cs="Calibri"/>
          <w:sz w:val="24"/>
          <w:szCs w:val="24"/>
        </w:rPr>
        <w:t xml:space="preserve"> bylo narušeno organizační zastřešení rozvoje JISŽP a možnost supervize nad horizontálními projekty</w:t>
      </w:r>
      <w:r w:rsidR="004F7596" w:rsidRPr="001E731E">
        <w:rPr>
          <w:rFonts w:ascii="Calibri" w:hAnsi="Calibri" w:cs="Calibri"/>
          <w:sz w:val="24"/>
          <w:szCs w:val="24"/>
        </w:rPr>
        <w:t xml:space="preserve">. </w:t>
      </w:r>
      <w:r w:rsidRPr="001E731E">
        <w:rPr>
          <w:rFonts w:ascii="Calibri" w:hAnsi="Calibri" w:cs="Calibri"/>
          <w:sz w:val="24"/>
          <w:szCs w:val="24"/>
        </w:rPr>
        <w:t>V důsledku toho pak nebyly včas projednávány na této úrovni problémy, které nakonec vedly k ukončení integračního projektu SIRIUS.</w:t>
      </w:r>
    </w:p>
    <w:p w:rsidR="002A7792" w:rsidRPr="001E731E" w:rsidRDefault="002A7792" w:rsidP="001E731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Rada neprojednala </w:t>
      </w:r>
      <w:r w:rsidR="00640A7B">
        <w:rPr>
          <w:rFonts w:ascii="Calibri" w:hAnsi="Calibri" w:cs="Calibri"/>
          <w:sz w:val="24"/>
          <w:szCs w:val="24"/>
        </w:rPr>
        <w:t>s</w:t>
      </w:r>
      <w:r w:rsidRPr="001E731E">
        <w:rPr>
          <w:rFonts w:ascii="Calibri" w:hAnsi="Calibri" w:cs="Calibri"/>
          <w:sz w:val="24"/>
          <w:szCs w:val="24"/>
        </w:rPr>
        <w:t>měrnici o řízení projektů a</w:t>
      </w:r>
      <w:r w:rsidR="00640A7B">
        <w:rPr>
          <w:rFonts w:ascii="Calibri" w:hAnsi="Calibri" w:cs="Calibri"/>
          <w:sz w:val="24"/>
          <w:szCs w:val="24"/>
        </w:rPr>
        <w:t>ni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="00640A7B">
        <w:rPr>
          <w:rFonts w:ascii="Calibri" w:hAnsi="Calibri" w:cs="Calibri"/>
          <w:sz w:val="24"/>
          <w:szCs w:val="24"/>
        </w:rPr>
        <w:t>m</w:t>
      </w:r>
      <w:r w:rsidRPr="001E731E">
        <w:rPr>
          <w:rFonts w:ascii="Calibri" w:hAnsi="Calibri" w:cs="Calibri"/>
          <w:sz w:val="24"/>
          <w:szCs w:val="24"/>
        </w:rPr>
        <w:t>etodiku řízení projektů</w:t>
      </w:r>
      <w:r w:rsidR="00640A7B">
        <w:rPr>
          <w:rFonts w:ascii="Calibri" w:hAnsi="Calibri" w:cs="Calibri"/>
          <w:sz w:val="24"/>
          <w:szCs w:val="24"/>
        </w:rPr>
        <w:t>,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="00640A7B">
        <w:rPr>
          <w:rFonts w:ascii="Calibri" w:hAnsi="Calibri" w:cs="Calibri"/>
          <w:sz w:val="24"/>
          <w:szCs w:val="24"/>
        </w:rPr>
        <w:t>a proto</w:t>
      </w:r>
      <w:r w:rsidRPr="001E731E">
        <w:rPr>
          <w:rFonts w:ascii="Calibri" w:hAnsi="Calibri" w:cs="Calibri"/>
          <w:sz w:val="24"/>
          <w:szCs w:val="24"/>
        </w:rPr>
        <w:t xml:space="preserve"> nemohla upozornit na absenci procesů i dokumentů, kterými by byly posuzovány varianty řešení z důvodu hospodárného vynakládání peněžních prostředků.</w:t>
      </w:r>
    </w:p>
    <w:p w:rsidR="002A7792" w:rsidRPr="001E731E" w:rsidRDefault="002A7792" w:rsidP="001E731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MŽP </w:t>
      </w:r>
      <w:r w:rsidR="00B62B40" w:rsidRPr="001E731E">
        <w:rPr>
          <w:rFonts w:ascii="Calibri" w:hAnsi="Calibri" w:cs="Calibri"/>
          <w:sz w:val="24"/>
          <w:szCs w:val="24"/>
        </w:rPr>
        <w:t xml:space="preserve">prostřednictvím </w:t>
      </w:r>
      <w:r w:rsidR="00E33B5B">
        <w:rPr>
          <w:rFonts w:ascii="Calibri" w:hAnsi="Calibri" w:cs="Calibri"/>
          <w:sz w:val="24"/>
          <w:szCs w:val="24"/>
        </w:rPr>
        <w:t xml:space="preserve">agentury </w:t>
      </w:r>
      <w:r w:rsidR="00EC1238" w:rsidRPr="001E731E">
        <w:rPr>
          <w:rFonts w:ascii="Calibri" w:hAnsi="Calibri" w:cs="Calibri"/>
          <w:sz w:val="24"/>
          <w:szCs w:val="24"/>
        </w:rPr>
        <w:t xml:space="preserve">CENIA </w:t>
      </w:r>
      <w:r w:rsidR="00887CDB" w:rsidRPr="001E731E">
        <w:rPr>
          <w:rFonts w:ascii="Calibri" w:hAnsi="Calibri" w:cs="Calibri"/>
          <w:sz w:val="24"/>
          <w:szCs w:val="24"/>
        </w:rPr>
        <w:t>částečně realizovalo</w:t>
      </w:r>
      <w:r w:rsidRPr="001E731E">
        <w:rPr>
          <w:rFonts w:ascii="Calibri" w:hAnsi="Calibri" w:cs="Calibri"/>
          <w:sz w:val="24"/>
          <w:szCs w:val="24"/>
        </w:rPr>
        <w:t xml:space="preserve"> integrační projekt SIRIUS, kterým by se řešila </w:t>
      </w:r>
      <w:r w:rsidR="00E33B5B" w:rsidRPr="001E731E">
        <w:rPr>
          <w:rFonts w:ascii="Calibri" w:hAnsi="Calibri" w:cs="Calibri"/>
          <w:sz w:val="24"/>
          <w:szCs w:val="24"/>
        </w:rPr>
        <w:t xml:space="preserve">nejen </w:t>
      </w:r>
      <w:r w:rsidRPr="001E731E">
        <w:rPr>
          <w:rFonts w:ascii="Calibri" w:hAnsi="Calibri" w:cs="Calibri"/>
          <w:sz w:val="24"/>
          <w:szCs w:val="24"/>
        </w:rPr>
        <w:t>redukce IS, ale rovněž možnost sdílení dat vstupujících do re</w:t>
      </w:r>
      <w:r w:rsidR="00B44635" w:rsidRPr="001E731E">
        <w:rPr>
          <w:rFonts w:ascii="Calibri" w:hAnsi="Calibri" w:cs="Calibri"/>
          <w:sz w:val="24"/>
          <w:szCs w:val="24"/>
        </w:rPr>
        <w:t>s</w:t>
      </w:r>
      <w:r w:rsidRPr="001E731E">
        <w:rPr>
          <w:rFonts w:ascii="Calibri" w:hAnsi="Calibri" w:cs="Calibri"/>
          <w:sz w:val="24"/>
          <w:szCs w:val="24"/>
        </w:rPr>
        <w:t xml:space="preserve">ortu životního prostředí. Tento </w:t>
      </w:r>
      <w:r w:rsidR="00640A7B">
        <w:rPr>
          <w:rFonts w:ascii="Calibri" w:hAnsi="Calibri" w:cs="Calibri"/>
          <w:sz w:val="24"/>
          <w:szCs w:val="24"/>
        </w:rPr>
        <w:t>projekt</w:t>
      </w:r>
      <w:r w:rsidRPr="001E731E">
        <w:rPr>
          <w:rFonts w:ascii="Calibri" w:hAnsi="Calibri" w:cs="Calibri"/>
          <w:sz w:val="24"/>
          <w:szCs w:val="24"/>
        </w:rPr>
        <w:t xml:space="preserve"> měl významným způsobem posunout JISŽP na cestě k jednotnosti datové základny. Nedokončením tohoto projektu se však MŽP vrátilo zpět k roztříštěnosti informačních systémů jak z hlediska aplikací, tak i dat.</w:t>
      </w:r>
    </w:p>
    <w:p w:rsidR="002A7792" w:rsidRPr="001E731E" w:rsidRDefault="001E004B" w:rsidP="001E731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MŽP vydávalo</w:t>
      </w:r>
      <w:r w:rsidR="002A7792" w:rsidRPr="001E731E">
        <w:rPr>
          <w:rFonts w:ascii="Calibri" w:hAnsi="Calibri" w:cs="Calibri"/>
          <w:sz w:val="24"/>
          <w:szCs w:val="24"/>
        </w:rPr>
        <w:t xml:space="preserve"> směrnic</w:t>
      </w:r>
      <w:r w:rsidRPr="001E731E">
        <w:rPr>
          <w:rFonts w:ascii="Calibri" w:hAnsi="Calibri" w:cs="Calibri"/>
          <w:sz w:val="24"/>
          <w:szCs w:val="24"/>
        </w:rPr>
        <w:t>e</w:t>
      </w:r>
      <w:r w:rsidR="002A7792" w:rsidRPr="001E731E">
        <w:rPr>
          <w:rFonts w:ascii="Calibri" w:hAnsi="Calibri" w:cs="Calibri"/>
          <w:sz w:val="24"/>
          <w:szCs w:val="24"/>
        </w:rPr>
        <w:t xml:space="preserve"> pro </w:t>
      </w:r>
      <w:r w:rsidRPr="001E731E">
        <w:rPr>
          <w:rFonts w:ascii="Calibri" w:hAnsi="Calibri" w:cs="Calibri"/>
          <w:sz w:val="24"/>
          <w:szCs w:val="24"/>
        </w:rPr>
        <w:t>řízení projektů včetně metodik. Dále</w:t>
      </w:r>
      <w:r w:rsidR="002A7792" w:rsidRPr="001E731E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sz w:val="24"/>
          <w:szCs w:val="24"/>
        </w:rPr>
        <w:t>vytvořilo</w:t>
      </w:r>
      <w:r w:rsidR="002A7792" w:rsidRPr="001E731E">
        <w:rPr>
          <w:rFonts w:ascii="Calibri" w:hAnsi="Calibri" w:cs="Calibri"/>
          <w:sz w:val="24"/>
          <w:szCs w:val="24"/>
        </w:rPr>
        <w:t xml:space="preserve"> jedno centrální míst</w:t>
      </w:r>
      <w:r w:rsidRPr="001E731E">
        <w:rPr>
          <w:rFonts w:ascii="Calibri" w:hAnsi="Calibri" w:cs="Calibri"/>
          <w:sz w:val="24"/>
          <w:szCs w:val="24"/>
        </w:rPr>
        <w:t>o</w:t>
      </w:r>
      <w:r w:rsidR="002A7792" w:rsidRPr="001E731E">
        <w:rPr>
          <w:rFonts w:ascii="Calibri" w:hAnsi="Calibri" w:cs="Calibri"/>
          <w:sz w:val="24"/>
          <w:szCs w:val="24"/>
        </w:rPr>
        <w:t xml:space="preserve"> ke sběru projektových záměrů</w:t>
      </w:r>
      <w:r w:rsidRPr="001E731E">
        <w:rPr>
          <w:rFonts w:ascii="Calibri" w:hAnsi="Calibri" w:cs="Calibri"/>
          <w:sz w:val="24"/>
          <w:szCs w:val="24"/>
        </w:rPr>
        <w:t>.</w:t>
      </w:r>
      <w:r w:rsidR="002A7792" w:rsidRPr="001E731E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sz w:val="24"/>
          <w:szCs w:val="24"/>
        </w:rPr>
        <w:t>Ve studiích</w:t>
      </w:r>
      <w:r w:rsidR="002A7792" w:rsidRPr="001E731E">
        <w:rPr>
          <w:rFonts w:ascii="Calibri" w:hAnsi="Calibri" w:cs="Calibri"/>
          <w:sz w:val="24"/>
          <w:szCs w:val="24"/>
        </w:rPr>
        <w:t xml:space="preserve"> proveditelno</w:t>
      </w:r>
      <w:r w:rsidR="005E5D7B" w:rsidRPr="001E731E">
        <w:rPr>
          <w:rFonts w:ascii="Calibri" w:hAnsi="Calibri" w:cs="Calibri"/>
          <w:sz w:val="24"/>
          <w:szCs w:val="24"/>
        </w:rPr>
        <w:t>s</w:t>
      </w:r>
      <w:r w:rsidR="002A7792" w:rsidRPr="001E731E">
        <w:rPr>
          <w:rFonts w:ascii="Calibri" w:hAnsi="Calibri" w:cs="Calibri"/>
          <w:sz w:val="24"/>
          <w:szCs w:val="24"/>
        </w:rPr>
        <w:t>ti</w:t>
      </w:r>
      <w:r w:rsidRPr="001E731E">
        <w:rPr>
          <w:rFonts w:ascii="Calibri" w:hAnsi="Calibri" w:cs="Calibri"/>
          <w:sz w:val="24"/>
          <w:szCs w:val="24"/>
        </w:rPr>
        <w:t xml:space="preserve"> však</w:t>
      </w:r>
      <w:r w:rsidR="002A7792" w:rsidRPr="001E731E">
        <w:rPr>
          <w:rFonts w:ascii="Calibri" w:hAnsi="Calibri" w:cs="Calibri"/>
          <w:sz w:val="24"/>
          <w:szCs w:val="24"/>
        </w:rPr>
        <w:t xml:space="preserve"> byla zcela opom</w:t>
      </w:r>
      <w:r w:rsidR="00E33B5B">
        <w:rPr>
          <w:rFonts w:ascii="Calibri" w:hAnsi="Calibri" w:cs="Calibri"/>
          <w:sz w:val="24"/>
          <w:szCs w:val="24"/>
        </w:rPr>
        <w:t>e</w:t>
      </w:r>
      <w:r w:rsidR="002A7792" w:rsidRPr="001E731E">
        <w:rPr>
          <w:rFonts w:ascii="Calibri" w:hAnsi="Calibri" w:cs="Calibri"/>
          <w:sz w:val="24"/>
          <w:szCs w:val="24"/>
        </w:rPr>
        <w:t xml:space="preserve">nuta nutnost </w:t>
      </w:r>
      <w:r w:rsidR="005E5D7B" w:rsidRPr="001E731E">
        <w:rPr>
          <w:rFonts w:ascii="Calibri" w:hAnsi="Calibri" w:cs="Calibri"/>
          <w:sz w:val="24"/>
          <w:szCs w:val="24"/>
        </w:rPr>
        <w:t xml:space="preserve">zpracovat </w:t>
      </w:r>
      <w:r w:rsidR="00640A7B">
        <w:rPr>
          <w:rFonts w:ascii="Calibri" w:hAnsi="Calibri" w:cs="Calibri"/>
          <w:sz w:val="24"/>
          <w:szCs w:val="24"/>
        </w:rPr>
        <w:t>analýzu různých variant</w:t>
      </w:r>
      <w:r w:rsidR="002A7792" w:rsidRPr="001E731E">
        <w:rPr>
          <w:rFonts w:ascii="Calibri" w:hAnsi="Calibri" w:cs="Calibri"/>
          <w:sz w:val="24"/>
          <w:szCs w:val="24"/>
        </w:rPr>
        <w:t xml:space="preserve"> řešení a tím vytvořit podmínky mimo jiné i pro hospodárné vynakládání peněžních prostředků na realizaci projektů. </w:t>
      </w:r>
    </w:p>
    <w:p w:rsidR="002A7792" w:rsidRPr="001E731E" w:rsidRDefault="00640A7B" w:rsidP="001E731E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Rozhodnutím financovat projekty</w:t>
      </w:r>
      <w:r w:rsidR="002A7792" w:rsidRPr="001E731E">
        <w:rPr>
          <w:rFonts w:ascii="Calibri" w:hAnsi="Calibri" w:cs="Calibri"/>
          <w:sz w:val="24"/>
          <w:szCs w:val="24"/>
        </w:rPr>
        <w:t xml:space="preserve"> v oblasti ICT z dílčího rozpočtu odboru informatiky byl vytvořen předpoklad, že bude </w:t>
      </w:r>
      <w:r>
        <w:rPr>
          <w:rFonts w:ascii="Calibri" w:hAnsi="Calibri" w:cs="Calibri"/>
          <w:sz w:val="24"/>
          <w:szCs w:val="24"/>
        </w:rPr>
        <w:t xml:space="preserve">existovat </w:t>
      </w:r>
      <w:r w:rsidR="002A7792" w:rsidRPr="001E731E">
        <w:rPr>
          <w:rFonts w:ascii="Calibri" w:hAnsi="Calibri" w:cs="Calibri"/>
          <w:sz w:val="24"/>
          <w:szCs w:val="24"/>
        </w:rPr>
        <w:t>dohled nad rozvojem JISŽP s možností jeho usměrňování. Bylo však zjištěno, že tento postup nebyl vždy dodržován</w:t>
      </w:r>
      <w:r>
        <w:rPr>
          <w:rFonts w:ascii="Calibri" w:hAnsi="Calibri" w:cs="Calibri"/>
          <w:sz w:val="24"/>
          <w:szCs w:val="24"/>
        </w:rPr>
        <w:t>,</w:t>
      </w:r>
      <w:r w:rsidR="002A7792" w:rsidRPr="001E731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 důsledku čehož</w:t>
      </w:r>
      <w:r w:rsidR="002A7792" w:rsidRPr="001E731E">
        <w:rPr>
          <w:rFonts w:ascii="Calibri" w:hAnsi="Calibri" w:cs="Calibri"/>
          <w:sz w:val="24"/>
          <w:szCs w:val="24"/>
        </w:rPr>
        <w:t xml:space="preserve"> byl narušen rozvoj JISŽP z hlediska aplikační i datové kompatibility takto vznikajících informačních systémů. </w:t>
      </w:r>
    </w:p>
    <w:p w:rsidR="009B5812" w:rsidRDefault="009B5812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F6A55" w:rsidRPr="001E731E" w:rsidRDefault="00EF6A55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MŽP </w:t>
      </w:r>
      <w:r w:rsidR="005E5C82" w:rsidRPr="001E731E">
        <w:rPr>
          <w:rFonts w:ascii="Calibri" w:hAnsi="Calibri" w:cs="Calibri"/>
          <w:sz w:val="24"/>
          <w:szCs w:val="24"/>
        </w:rPr>
        <w:t xml:space="preserve">deklarovalo </w:t>
      </w:r>
      <w:r w:rsidRPr="001E731E">
        <w:rPr>
          <w:rFonts w:ascii="Calibri" w:hAnsi="Calibri" w:cs="Calibri"/>
          <w:sz w:val="24"/>
          <w:szCs w:val="24"/>
        </w:rPr>
        <w:t>přijetí některých nápravných opatření, aby rozvoj JISŽP byl řízen jednotně a</w:t>
      </w:r>
      <w:r w:rsidR="00FF3325">
        <w:rPr>
          <w:rFonts w:ascii="Calibri" w:hAnsi="Calibri" w:cs="Calibri"/>
          <w:sz w:val="24"/>
          <w:szCs w:val="24"/>
        </w:rPr>
        <w:t> </w:t>
      </w:r>
      <w:r w:rsidRPr="001E731E">
        <w:rPr>
          <w:rFonts w:ascii="Calibri" w:hAnsi="Calibri" w:cs="Calibri"/>
          <w:sz w:val="24"/>
          <w:szCs w:val="24"/>
        </w:rPr>
        <w:t>centrálně. Tato opatření však nebyla v řadě případů realizována a</w:t>
      </w:r>
      <w:r w:rsidR="00640A7B">
        <w:rPr>
          <w:rFonts w:ascii="Calibri" w:hAnsi="Calibri" w:cs="Calibri"/>
          <w:sz w:val="24"/>
          <w:szCs w:val="24"/>
        </w:rPr>
        <w:t>ni</w:t>
      </w:r>
      <w:r w:rsidRPr="001E731E">
        <w:rPr>
          <w:rFonts w:ascii="Calibri" w:hAnsi="Calibri" w:cs="Calibri"/>
          <w:sz w:val="24"/>
          <w:szCs w:val="24"/>
        </w:rPr>
        <w:t xml:space="preserve"> dodržována tak, aby skutečně plnila </w:t>
      </w:r>
      <w:r w:rsidR="002458E5">
        <w:rPr>
          <w:rFonts w:ascii="Calibri" w:hAnsi="Calibri" w:cs="Calibri"/>
          <w:sz w:val="24"/>
          <w:szCs w:val="24"/>
        </w:rPr>
        <w:t>svůj</w:t>
      </w:r>
      <w:r w:rsidRPr="001E731E">
        <w:rPr>
          <w:rFonts w:ascii="Calibri" w:hAnsi="Calibri" w:cs="Calibri"/>
          <w:sz w:val="24"/>
          <w:szCs w:val="24"/>
        </w:rPr>
        <w:t xml:space="preserve"> původně zamýšlený účel.</w:t>
      </w:r>
    </w:p>
    <w:p w:rsidR="00495A1F" w:rsidRPr="001E731E" w:rsidRDefault="00495A1F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1125A" w:rsidRPr="001E731E" w:rsidRDefault="0011125A" w:rsidP="001E731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br w:type="page"/>
      </w:r>
    </w:p>
    <w:p w:rsidR="00A96F74" w:rsidRDefault="00325945" w:rsidP="001E731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B5812">
        <w:rPr>
          <w:rFonts w:ascii="Calibri" w:hAnsi="Calibri" w:cs="Calibri"/>
          <w:b/>
          <w:sz w:val="24"/>
          <w:szCs w:val="24"/>
        </w:rPr>
        <w:lastRenderedPageBreak/>
        <w:t>Seznam zkratek:</w:t>
      </w:r>
    </w:p>
    <w:p w:rsidR="009B5812" w:rsidRPr="009B5812" w:rsidRDefault="009B5812" w:rsidP="001E731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CENIA</w:t>
      </w:r>
      <w:r w:rsidRPr="001E731E">
        <w:rPr>
          <w:rFonts w:ascii="Calibri" w:hAnsi="Calibri" w:cs="Calibri"/>
          <w:sz w:val="24"/>
          <w:szCs w:val="24"/>
        </w:rPr>
        <w:tab/>
      </w:r>
      <w:proofErr w:type="spellStart"/>
      <w:r w:rsidRPr="001E731E">
        <w:rPr>
          <w:rFonts w:ascii="Calibri" w:eastAsia="Times New Roman" w:hAnsi="Calibri" w:cs="Calibri"/>
          <w:sz w:val="24"/>
          <w:szCs w:val="24"/>
        </w:rPr>
        <w:t>CENIA</w:t>
      </w:r>
      <w:proofErr w:type="spellEnd"/>
      <w:r w:rsidRPr="001E731E">
        <w:rPr>
          <w:rFonts w:ascii="Calibri" w:eastAsia="Times New Roman" w:hAnsi="Calibri" w:cs="Calibri"/>
          <w:sz w:val="24"/>
          <w:szCs w:val="24"/>
        </w:rPr>
        <w:t>, česká informační agentura životního prostředí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CO</w:t>
      </w:r>
      <w:r w:rsidRPr="001E731E">
        <w:rPr>
          <w:rFonts w:ascii="Calibri" w:hAnsi="Calibri" w:cs="Calibri"/>
          <w:sz w:val="24"/>
          <w:szCs w:val="24"/>
        </w:rPr>
        <w:tab/>
      </w:r>
      <w:r w:rsidRPr="004930C5">
        <w:rPr>
          <w:rFonts w:ascii="Calibri" w:hAnsi="Calibri" w:cs="Calibri"/>
          <w:i/>
          <w:sz w:val="24"/>
          <w:szCs w:val="24"/>
        </w:rPr>
        <w:t>Centrální ohlašovna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>ČHMÚ</w:t>
      </w:r>
      <w:r w:rsidRPr="001E731E">
        <w:rPr>
          <w:rFonts w:ascii="Calibri" w:eastAsia="Times New Roman" w:hAnsi="Calibri" w:cs="Calibri"/>
          <w:sz w:val="24"/>
          <w:szCs w:val="24"/>
        </w:rPr>
        <w:tab/>
        <w:t xml:space="preserve">Český hydrometeorologický ústav 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>DNM</w:t>
      </w:r>
      <w:r w:rsidRPr="001E731E">
        <w:rPr>
          <w:rFonts w:ascii="Calibri" w:eastAsia="Times New Roman" w:hAnsi="Calibri" w:cs="Calibri"/>
          <w:sz w:val="24"/>
          <w:szCs w:val="24"/>
        </w:rPr>
        <w:tab/>
        <w:t>dlouhodobý nehmotný majetek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ICT</w:t>
      </w:r>
      <w:r w:rsidRPr="001E731E">
        <w:rPr>
          <w:rFonts w:ascii="Calibri" w:hAnsi="Calibri" w:cs="Calibri"/>
          <w:sz w:val="24"/>
          <w:szCs w:val="24"/>
        </w:rPr>
        <w:tab/>
        <w:t>informační a komunikační technologie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IK</w:t>
      </w:r>
      <w:r w:rsidRPr="001E731E">
        <w:rPr>
          <w:rFonts w:ascii="Calibri" w:hAnsi="Calibri" w:cs="Calibri"/>
          <w:sz w:val="24"/>
          <w:szCs w:val="24"/>
        </w:rPr>
        <w:tab/>
      </w:r>
      <w:r w:rsidR="00383A6B">
        <w:rPr>
          <w:rFonts w:ascii="Calibri" w:hAnsi="Calibri" w:cs="Calibri"/>
          <w:sz w:val="24"/>
          <w:szCs w:val="24"/>
        </w:rPr>
        <w:t>i</w:t>
      </w:r>
      <w:r w:rsidRPr="001E731E">
        <w:rPr>
          <w:rFonts w:ascii="Calibri" w:hAnsi="Calibri" w:cs="Calibri"/>
          <w:sz w:val="24"/>
          <w:szCs w:val="24"/>
        </w:rPr>
        <w:t>nformační koncepce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IRZ</w:t>
      </w:r>
      <w:r w:rsidRPr="001E731E">
        <w:rPr>
          <w:rFonts w:ascii="Calibri" w:hAnsi="Calibri" w:cs="Calibri"/>
          <w:sz w:val="24"/>
          <w:szCs w:val="24"/>
        </w:rPr>
        <w:tab/>
      </w:r>
      <w:r w:rsidRPr="004930C5">
        <w:rPr>
          <w:rFonts w:ascii="Calibri" w:hAnsi="Calibri" w:cs="Calibri"/>
          <w:i/>
          <w:sz w:val="24"/>
          <w:szCs w:val="24"/>
        </w:rPr>
        <w:t>Integrovaný registr znečiš</w:t>
      </w:r>
      <w:r w:rsidR="002458E5">
        <w:rPr>
          <w:rFonts w:ascii="Calibri" w:hAnsi="Calibri" w:cs="Calibri"/>
          <w:i/>
          <w:sz w:val="24"/>
          <w:szCs w:val="24"/>
        </w:rPr>
        <w:t>ťování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IS</w:t>
      </w:r>
      <w:r w:rsidRPr="001E731E">
        <w:rPr>
          <w:rFonts w:ascii="Calibri" w:hAnsi="Calibri" w:cs="Calibri"/>
          <w:sz w:val="24"/>
          <w:szCs w:val="24"/>
        </w:rPr>
        <w:tab/>
        <w:t>informační systém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ISOH</w:t>
      </w:r>
      <w:r w:rsidRPr="001E731E">
        <w:rPr>
          <w:rFonts w:ascii="Calibri" w:hAnsi="Calibri" w:cs="Calibri"/>
          <w:sz w:val="24"/>
          <w:szCs w:val="24"/>
        </w:rPr>
        <w:tab/>
      </w:r>
      <w:r w:rsidRPr="004930C5">
        <w:rPr>
          <w:rFonts w:ascii="Calibri" w:hAnsi="Calibri" w:cs="Calibri"/>
          <w:i/>
          <w:sz w:val="24"/>
          <w:szCs w:val="24"/>
        </w:rPr>
        <w:t>Info</w:t>
      </w:r>
      <w:r w:rsidR="002458E5">
        <w:rPr>
          <w:rFonts w:ascii="Calibri" w:hAnsi="Calibri" w:cs="Calibri"/>
          <w:i/>
          <w:sz w:val="24"/>
          <w:szCs w:val="24"/>
        </w:rPr>
        <w:t>r</w:t>
      </w:r>
      <w:r w:rsidRPr="004930C5">
        <w:rPr>
          <w:rFonts w:ascii="Calibri" w:hAnsi="Calibri" w:cs="Calibri"/>
          <w:i/>
          <w:sz w:val="24"/>
          <w:szCs w:val="24"/>
        </w:rPr>
        <w:t>mační systém odpadového hospodářství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ISPOP</w:t>
      </w:r>
      <w:r w:rsidRPr="001E731E">
        <w:rPr>
          <w:rFonts w:ascii="Calibri" w:hAnsi="Calibri" w:cs="Calibri"/>
          <w:sz w:val="24"/>
          <w:szCs w:val="24"/>
        </w:rPr>
        <w:tab/>
      </w:r>
      <w:r w:rsidRPr="004930C5">
        <w:rPr>
          <w:rFonts w:ascii="Calibri" w:hAnsi="Calibri" w:cs="Calibri"/>
          <w:i/>
          <w:sz w:val="24"/>
          <w:szCs w:val="24"/>
        </w:rPr>
        <w:t>Integrovaný systém plnění ohlašovacích povinností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IST</w:t>
      </w:r>
      <w:r w:rsidRPr="001E731E">
        <w:rPr>
          <w:rFonts w:ascii="Calibri" w:hAnsi="Calibri" w:cs="Calibri"/>
          <w:sz w:val="24"/>
          <w:szCs w:val="24"/>
        </w:rPr>
        <w:tab/>
      </w:r>
      <w:r w:rsidR="00383A6B">
        <w:rPr>
          <w:rFonts w:ascii="Calibri" w:hAnsi="Calibri" w:cs="Calibri"/>
          <w:sz w:val="24"/>
          <w:szCs w:val="24"/>
        </w:rPr>
        <w:t>i</w:t>
      </w:r>
      <w:r w:rsidRPr="001E731E">
        <w:rPr>
          <w:rFonts w:ascii="Calibri" w:hAnsi="Calibri" w:cs="Calibri"/>
          <w:sz w:val="24"/>
          <w:szCs w:val="24"/>
        </w:rPr>
        <w:t>nformační strategie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ISVS</w:t>
      </w:r>
      <w:r w:rsidRPr="001E731E">
        <w:rPr>
          <w:rFonts w:ascii="Calibri" w:hAnsi="Calibri" w:cs="Calibri"/>
          <w:sz w:val="24"/>
          <w:szCs w:val="24"/>
        </w:rPr>
        <w:tab/>
        <w:t>informační systém veřejné správy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 xml:space="preserve">JISŽP </w:t>
      </w:r>
      <w:r w:rsidRPr="001E731E">
        <w:rPr>
          <w:rFonts w:ascii="Calibri" w:hAnsi="Calibri" w:cs="Calibri"/>
          <w:sz w:val="24"/>
          <w:szCs w:val="24"/>
        </w:rPr>
        <w:tab/>
      </w:r>
      <w:r w:rsidR="00383A6B">
        <w:rPr>
          <w:rFonts w:ascii="Calibri" w:hAnsi="Calibri" w:cs="Calibri"/>
          <w:sz w:val="24"/>
          <w:szCs w:val="24"/>
        </w:rPr>
        <w:t>j</w:t>
      </w:r>
      <w:r w:rsidRPr="001E731E">
        <w:rPr>
          <w:rFonts w:ascii="Calibri" w:hAnsi="Calibri" w:cs="Calibri"/>
          <w:sz w:val="24"/>
          <w:szCs w:val="24"/>
        </w:rPr>
        <w:t>ednotný informační systém o životním prostředí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Koncepce JISŽP</w:t>
      </w:r>
      <w:r w:rsidRPr="001E731E">
        <w:rPr>
          <w:rFonts w:ascii="Calibri" w:hAnsi="Calibri" w:cs="Calibri"/>
          <w:sz w:val="24"/>
          <w:szCs w:val="24"/>
        </w:rPr>
        <w:tab/>
      </w:r>
      <w:r w:rsidRPr="004930C5">
        <w:rPr>
          <w:rFonts w:ascii="Calibri" w:hAnsi="Calibri" w:cs="Calibri"/>
          <w:i/>
          <w:sz w:val="24"/>
          <w:szCs w:val="24"/>
        </w:rPr>
        <w:t>Koncepce jednotného informačního systému životního prostředí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MŽP</w:t>
      </w:r>
      <w:r w:rsidRPr="001E731E">
        <w:rPr>
          <w:rFonts w:ascii="Calibri" w:hAnsi="Calibri" w:cs="Calibri"/>
          <w:sz w:val="24"/>
          <w:szCs w:val="24"/>
        </w:rPr>
        <w:tab/>
        <w:t>Ministerstvo životního prostředí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NIKM</w:t>
      </w:r>
      <w:r w:rsidRPr="001E731E">
        <w:rPr>
          <w:rFonts w:ascii="Calibri" w:hAnsi="Calibri" w:cs="Calibri"/>
          <w:sz w:val="24"/>
          <w:szCs w:val="24"/>
        </w:rPr>
        <w:tab/>
      </w:r>
      <w:r w:rsidRPr="004930C5">
        <w:rPr>
          <w:rFonts w:ascii="Calibri" w:hAnsi="Calibri" w:cs="Calibri"/>
          <w:i/>
          <w:sz w:val="24"/>
          <w:szCs w:val="24"/>
        </w:rPr>
        <w:t>Národní inventarizace kontaminovaných míst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NKÚ</w:t>
      </w:r>
      <w:r w:rsidRPr="001E731E">
        <w:rPr>
          <w:rFonts w:ascii="Calibri" w:hAnsi="Calibri" w:cs="Calibri"/>
          <w:sz w:val="24"/>
          <w:szCs w:val="24"/>
        </w:rPr>
        <w:tab/>
        <w:t>Nejvyšší kontrolní úřad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sz w:val="24"/>
          <w:szCs w:val="24"/>
        </w:rPr>
        <w:t>Rada</w:t>
      </w:r>
      <w:r w:rsidRPr="001E731E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1E731E">
        <w:rPr>
          <w:rFonts w:ascii="Calibri" w:eastAsia="Times New Roman" w:hAnsi="Calibri" w:cs="Calibri"/>
          <w:sz w:val="24"/>
          <w:szCs w:val="24"/>
        </w:rPr>
        <w:t>Rada</w:t>
      </w:r>
      <w:proofErr w:type="spellEnd"/>
      <w:r w:rsidRPr="001E731E">
        <w:rPr>
          <w:rFonts w:ascii="Calibri" w:eastAsia="Times New Roman" w:hAnsi="Calibri" w:cs="Calibri"/>
          <w:sz w:val="24"/>
          <w:szCs w:val="24"/>
        </w:rPr>
        <w:t xml:space="preserve"> pro rozvoj JISŽP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REZZO</w:t>
      </w:r>
      <w:r w:rsidRPr="001E731E">
        <w:rPr>
          <w:rFonts w:ascii="Calibri" w:hAnsi="Calibri" w:cs="Calibri"/>
          <w:sz w:val="24"/>
          <w:szCs w:val="24"/>
        </w:rPr>
        <w:tab/>
      </w:r>
      <w:r w:rsidRPr="004930C5">
        <w:rPr>
          <w:rFonts w:ascii="Calibri" w:hAnsi="Calibri" w:cs="Calibri"/>
          <w:i/>
          <w:sz w:val="24"/>
          <w:szCs w:val="24"/>
        </w:rPr>
        <w:t>Registr emisí a zdrojů znečišťování ovzduší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SEKM</w:t>
      </w:r>
      <w:r w:rsidRPr="001E731E">
        <w:rPr>
          <w:rFonts w:ascii="Calibri" w:hAnsi="Calibri" w:cs="Calibri"/>
          <w:sz w:val="24"/>
          <w:szCs w:val="24"/>
        </w:rPr>
        <w:tab/>
      </w:r>
      <w:r w:rsidRPr="004930C5">
        <w:rPr>
          <w:rFonts w:ascii="Calibri" w:hAnsi="Calibri" w:cs="Calibri"/>
          <w:i/>
          <w:sz w:val="24"/>
          <w:szCs w:val="24"/>
        </w:rPr>
        <w:t>Systém evidence kontaminovaných míst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eastAsia="Times New Roman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SIRIUS</w:t>
      </w:r>
      <w:r w:rsidRPr="001E731E">
        <w:rPr>
          <w:rFonts w:ascii="Calibri" w:hAnsi="Calibri" w:cs="Calibri"/>
          <w:sz w:val="24"/>
          <w:szCs w:val="24"/>
        </w:rPr>
        <w:tab/>
      </w:r>
      <w:r w:rsidR="00962F65">
        <w:rPr>
          <w:rFonts w:ascii="Calibri" w:hAnsi="Calibri" w:cs="Calibri"/>
          <w:sz w:val="24"/>
          <w:szCs w:val="24"/>
        </w:rPr>
        <w:t xml:space="preserve">projekt výstavby </w:t>
      </w:r>
      <w:r w:rsidR="00383A6B">
        <w:rPr>
          <w:rFonts w:ascii="Calibri" w:hAnsi="Calibri" w:cs="Calibri"/>
          <w:sz w:val="24"/>
          <w:szCs w:val="24"/>
        </w:rPr>
        <w:t>s</w:t>
      </w:r>
      <w:r w:rsidRPr="001E731E">
        <w:rPr>
          <w:rFonts w:ascii="Calibri" w:eastAsia="Times New Roman" w:hAnsi="Calibri" w:cs="Calibri"/>
          <w:sz w:val="24"/>
          <w:szCs w:val="24"/>
        </w:rPr>
        <w:t>ystém</w:t>
      </w:r>
      <w:r w:rsidR="00962F65">
        <w:rPr>
          <w:rFonts w:ascii="Calibri" w:eastAsia="Times New Roman" w:hAnsi="Calibri" w:cs="Calibri"/>
          <w:sz w:val="24"/>
          <w:szCs w:val="24"/>
        </w:rPr>
        <w:t>u</w:t>
      </w:r>
      <w:r w:rsidRPr="001E731E">
        <w:rPr>
          <w:rFonts w:ascii="Calibri" w:eastAsia="Times New Roman" w:hAnsi="Calibri" w:cs="Calibri"/>
          <w:sz w:val="24"/>
          <w:szCs w:val="24"/>
        </w:rPr>
        <w:t xml:space="preserve"> integrace a řízení informací v oblasti technické ochrany životního prostředí</w:t>
      </w:r>
      <w:r w:rsidR="00962F65">
        <w:rPr>
          <w:rFonts w:ascii="Calibri" w:eastAsia="Times New Roman" w:hAnsi="Calibri" w:cs="Calibri"/>
          <w:sz w:val="24"/>
          <w:szCs w:val="24"/>
        </w:rPr>
        <w:t xml:space="preserve"> (</w:t>
      </w:r>
      <w:r w:rsidR="00704BDB">
        <w:rPr>
          <w:rFonts w:ascii="Calibri" w:eastAsia="Times New Roman" w:hAnsi="Calibri" w:cs="Calibri"/>
          <w:sz w:val="24"/>
          <w:szCs w:val="24"/>
        </w:rPr>
        <w:t>zrušen</w:t>
      </w:r>
      <w:r w:rsidR="00962F65">
        <w:rPr>
          <w:rFonts w:ascii="Calibri" w:eastAsia="Times New Roman" w:hAnsi="Calibri" w:cs="Calibri"/>
          <w:sz w:val="24"/>
          <w:szCs w:val="24"/>
        </w:rPr>
        <w:t>)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SPŽP</w:t>
      </w:r>
      <w:r w:rsidRPr="001E731E">
        <w:rPr>
          <w:rFonts w:ascii="Calibri" w:hAnsi="Calibri" w:cs="Calibri"/>
          <w:sz w:val="24"/>
          <w:szCs w:val="24"/>
        </w:rPr>
        <w:tab/>
      </w:r>
      <w:r w:rsidR="002458E5">
        <w:rPr>
          <w:rFonts w:ascii="Calibri" w:hAnsi="Calibri" w:cs="Calibri"/>
          <w:sz w:val="24"/>
          <w:szCs w:val="24"/>
        </w:rPr>
        <w:t>s</w:t>
      </w:r>
      <w:r w:rsidRPr="002458E5">
        <w:rPr>
          <w:rFonts w:ascii="Calibri" w:hAnsi="Calibri" w:cs="Calibri"/>
          <w:sz w:val="24"/>
          <w:szCs w:val="24"/>
        </w:rPr>
        <w:t>tátní politika životního prostředí</w:t>
      </w:r>
    </w:p>
    <w:p w:rsidR="003F026D" w:rsidRPr="001E731E" w:rsidRDefault="003F026D" w:rsidP="002458E5">
      <w:pPr>
        <w:tabs>
          <w:tab w:val="left" w:pos="2127"/>
        </w:tabs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t>VZ</w:t>
      </w:r>
      <w:r w:rsidRPr="001E731E">
        <w:rPr>
          <w:rFonts w:ascii="Calibri" w:hAnsi="Calibri" w:cs="Calibri"/>
          <w:sz w:val="24"/>
          <w:szCs w:val="24"/>
        </w:rPr>
        <w:tab/>
        <w:t>veřejná zakázka</w:t>
      </w:r>
    </w:p>
    <w:p w:rsidR="0018763B" w:rsidRPr="001E731E" w:rsidRDefault="0018763B" w:rsidP="001E731E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Calibri" w:hAnsi="Calibri" w:cs="Calibri"/>
          <w:sz w:val="24"/>
          <w:szCs w:val="24"/>
        </w:rPr>
      </w:pPr>
    </w:p>
    <w:p w:rsidR="0011125A" w:rsidRPr="001E731E" w:rsidRDefault="0011125A" w:rsidP="001E731E">
      <w:pPr>
        <w:tabs>
          <w:tab w:val="left" w:pos="2127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sz w:val="24"/>
          <w:szCs w:val="24"/>
        </w:rPr>
        <w:br w:type="page"/>
      </w:r>
    </w:p>
    <w:p w:rsidR="0011125A" w:rsidRPr="001E731E" w:rsidRDefault="0011125A" w:rsidP="001E731E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b/>
          <w:sz w:val="24"/>
          <w:szCs w:val="24"/>
        </w:rPr>
        <w:lastRenderedPageBreak/>
        <w:t>Příloha č. 1</w:t>
      </w:r>
    </w:p>
    <w:p w:rsidR="0011125A" w:rsidRPr="001E731E" w:rsidRDefault="0011125A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1125A" w:rsidRDefault="0011125A" w:rsidP="00383A6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930C5">
        <w:rPr>
          <w:rFonts w:ascii="Calibri" w:hAnsi="Calibri" w:cs="Calibri"/>
          <w:b/>
          <w:sz w:val="24"/>
          <w:szCs w:val="24"/>
        </w:rPr>
        <w:t>Přehled dlouhodobého nehmotného majetku na vybraných syntetických účtech kontrolovaných osob v jednotlivých kontrolovaných letech</w:t>
      </w:r>
    </w:p>
    <w:p w:rsidR="001E731E" w:rsidRPr="001E731E" w:rsidRDefault="001E731E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1125A" w:rsidRPr="001E731E" w:rsidRDefault="001E731E" w:rsidP="001E731E">
      <w:pPr>
        <w:tabs>
          <w:tab w:val="left" w:pos="8505"/>
        </w:tabs>
        <w:spacing w:after="4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Tabulka č. 1 – Vybrané účty dlouhodobého nehmotného majetku</w:t>
      </w:r>
      <w:r w:rsidR="00881F07" w:rsidRPr="001E731E">
        <w:rPr>
          <w:rFonts w:ascii="Calibri" w:hAnsi="Calibri" w:cs="Calibri"/>
          <w:sz w:val="24"/>
          <w:szCs w:val="24"/>
        </w:rPr>
        <w:tab/>
      </w:r>
      <w:r w:rsidR="00383A6B" w:rsidRPr="004930C5">
        <w:rPr>
          <w:rFonts w:ascii="Calibri" w:hAnsi="Calibri" w:cs="Calibri"/>
          <w:b/>
          <w:sz w:val="24"/>
          <w:szCs w:val="24"/>
        </w:rPr>
        <w:t>(</w:t>
      </w:r>
      <w:r w:rsidR="00881F07" w:rsidRPr="004930C5">
        <w:rPr>
          <w:rFonts w:ascii="Calibri" w:hAnsi="Calibri" w:cs="Calibri"/>
          <w:b/>
          <w:sz w:val="24"/>
          <w:szCs w:val="24"/>
        </w:rPr>
        <w:t>v Kč</w:t>
      </w:r>
      <w:r w:rsidR="00383A6B" w:rsidRPr="004930C5">
        <w:rPr>
          <w:rFonts w:ascii="Calibri" w:hAnsi="Calibri" w:cs="Calibri"/>
          <w:b/>
          <w:sz w:val="24"/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2109"/>
        <w:gridCol w:w="2110"/>
        <w:gridCol w:w="2110"/>
        <w:gridCol w:w="2110"/>
      </w:tblGrid>
      <w:tr w:rsidR="0011125A" w:rsidRPr="001E731E" w:rsidTr="0011125A">
        <w:trPr>
          <w:trHeight w:val="264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Stav brutto k 31.</w:t>
            </w:r>
            <w:r w:rsidR="0076767B"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12.</w:t>
            </w:r>
            <w:r w:rsidR="0076767B"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Stav brutto k 31.</w:t>
            </w:r>
            <w:r w:rsidR="0076767B"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12.</w:t>
            </w:r>
            <w:r w:rsidR="0076767B"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Stav brutto k 31.</w:t>
            </w:r>
            <w:r w:rsidR="0076767B"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12.</w:t>
            </w:r>
            <w:r w:rsidR="0076767B"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Stav brutto k 31.</w:t>
            </w:r>
            <w:r w:rsidR="0076767B"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12.</w:t>
            </w:r>
            <w:r w:rsidR="0076767B"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</w:tr>
      <w:tr w:rsidR="0011125A" w:rsidRPr="001E731E" w:rsidTr="0011125A">
        <w:trPr>
          <w:trHeight w:val="284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1125A" w:rsidRPr="001E731E" w:rsidTr="0011125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left="28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013 </w:t>
            </w:r>
            <w:r w:rsidR="0076767B"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–</w:t>
            </w: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4930C5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cs-CZ"/>
              </w:rPr>
              <w:t>Software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MŽP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97 616 415,60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82 288 146,20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84 328 530,00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91 977 680,10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CENIA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10 092 748,27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9 732 797,77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9 732 797,77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111 409 254,23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ČHMÚ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153 252 425,30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156 071 601,30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173 000 938,30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167 496 604,06</w:t>
            </w:r>
          </w:p>
        </w:tc>
      </w:tr>
      <w:tr w:rsidR="0011125A" w:rsidRPr="001E731E" w:rsidTr="0011125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left="28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014 </w:t>
            </w:r>
            <w:r w:rsidR="0076767B"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–</w:t>
            </w: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4930C5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cs-CZ"/>
              </w:rPr>
              <w:t>Ocenitelná práva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MŽP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38 445 514,83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42 367 644,29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43 603 644,29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45 226 549,29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CENIA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3 473 417,50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3 473 417,50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3 473 417,50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3 473 417,50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ČHMÚ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</w:tr>
      <w:tr w:rsidR="0011125A" w:rsidRPr="001E731E" w:rsidTr="0011125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left="28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018 </w:t>
            </w:r>
            <w:r w:rsidR="0076767B"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–</w:t>
            </w: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4930C5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cs-CZ"/>
              </w:rPr>
              <w:t>Drobný dlouhodobý nehmotný majetek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MŽP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11 223 127,78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11 878 245,95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12 621 207,36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10 541 826,43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CENIA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1 683 465,07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1 661 779,54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1 711 247,54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1 744 271,85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ČHMÚ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34 971 441,46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34 777 757,87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34 960 589,91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35 494 332,83</w:t>
            </w:r>
          </w:p>
        </w:tc>
      </w:tr>
      <w:tr w:rsidR="0011125A" w:rsidRPr="001E731E" w:rsidTr="0011125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left="28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019 </w:t>
            </w:r>
            <w:r w:rsidR="0076767B"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–</w:t>
            </w: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4930C5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cs-CZ"/>
              </w:rPr>
              <w:t>Ostatní dlouhodobý nehmotný majetek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MŽP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50 302 326,70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62 129 318,70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68 093 742,70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69 331 442,70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CENIA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ČHMÚ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</w:tr>
      <w:tr w:rsidR="0011125A" w:rsidRPr="001E731E" w:rsidTr="0011125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left="28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041 </w:t>
            </w:r>
            <w:r w:rsidR="0076767B"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–</w:t>
            </w:r>
            <w:r w:rsidRPr="001E73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4930C5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cs-CZ"/>
              </w:rPr>
              <w:t>Nedokončený dlouhodobý nehmotný majetek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MŽP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0,00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CENIA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165 840 509,31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244 953 623,76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291 096 797,70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194 508 368,23</w:t>
            </w:r>
          </w:p>
        </w:tc>
      </w:tr>
      <w:tr w:rsidR="0011125A" w:rsidRPr="001E731E" w:rsidTr="0011125A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25A" w:rsidRPr="001E731E" w:rsidRDefault="0011125A" w:rsidP="001E731E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ČHMÚ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4 079 317,00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12 367 068,00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5 412 082,00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5A" w:rsidRPr="001E731E" w:rsidRDefault="0011125A" w:rsidP="001E731E">
            <w:pPr>
              <w:spacing w:before="20" w:after="20" w:line="240" w:lineRule="auto"/>
              <w:ind w:right="48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E731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2 651 477,65</w:t>
            </w:r>
          </w:p>
        </w:tc>
      </w:tr>
    </w:tbl>
    <w:p w:rsidR="001E731E" w:rsidRDefault="001E731E" w:rsidP="001E731E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cs-CZ"/>
        </w:rPr>
      </w:pPr>
      <w:r w:rsidRPr="004930C5">
        <w:rPr>
          <w:rFonts w:ascii="Calibri" w:eastAsia="Times New Roman" w:hAnsi="Calibri" w:cs="Calibri"/>
          <w:b/>
          <w:iCs/>
          <w:sz w:val="20"/>
          <w:szCs w:val="20"/>
          <w:lang w:eastAsia="cs-CZ"/>
        </w:rPr>
        <w:t>Zdroj:</w:t>
      </w:r>
      <w:r w:rsidRPr="001E731E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účetní evidence kontrolovaných osob</w:t>
      </w:r>
      <w:r w:rsidR="00383A6B">
        <w:rPr>
          <w:rFonts w:ascii="Calibri" w:eastAsia="Times New Roman" w:hAnsi="Calibri" w:cs="Calibri"/>
          <w:iCs/>
          <w:sz w:val="20"/>
          <w:szCs w:val="20"/>
          <w:lang w:eastAsia="cs-CZ"/>
        </w:rPr>
        <w:t>.</w:t>
      </w:r>
    </w:p>
    <w:p w:rsidR="002458E5" w:rsidRPr="001E731E" w:rsidRDefault="002458E5" w:rsidP="004930C5">
      <w:pPr>
        <w:spacing w:before="40" w:after="0" w:line="240" w:lineRule="auto"/>
      </w:pPr>
      <w:r w:rsidRPr="00E929BB">
        <w:rPr>
          <w:rFonts w:ascii="Calibri" w:eastAsia="Times New Roman" w:hAnsi="Calibri" w:cs="Calibri"/>
          <w:b/>
          <w:iCs/>
          <w:sz w:val="20"/>
          <w:szCs w:val="20"/>
          <w:lang w:eastAsia="cs-CZ"/>
        </w:rPr>
        <w:t>Pozn.:</w:t>
      </w:r>
      <w:r w:rsidRPr="001E731E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KO – kontrolovaná osoba</w:t>
      </w:r>
      <w:r>
        <w:rPr>
          <w:rFonts w:ascii="Calibri" w:eastAsia="Times New Roman" w:hAnsi="Calibri" w:cs="Calibri"/>
          <w:iCs/>
          <w:sz w:val="20"/>
          <w:szCs w:val="20"/>
          <w:lang w:eastAsia="cs-CZ"/>
        </w:rPr>
        <w:t>.</w:t>
      </w:r>
    </w:p>
    <w:p w:rsidR="0011125A" w:rsidRPr="00172092" w:rsidRDefault="0011125A">
      <w:pPr>
        <w:rPr>
          <w:rFonts w:cstheme="minorHAnsi"/>
          <w:sz w:val="24"/>
          <w:szCs w:val="24"/>
        </w:rPr>
      </w:pPr>
      <w:r w:rsidRPr="00172092">
        <w:rPr>
          <w:rFonts w:cstheme="minorHAnsi"/>
          <w:sz w:val="24"/>
          <w:szCs w:val="24"/>
        </w:rPr>
        <w:br w:type="page"/>
      </w:r>
    </w:p>
    <w:p w:rsidR="0011125A" w:rsidRPr="001E731E" w:rsidRDefault="0011125A" w:rsidP="001E731E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1E731E">
        <w:rPr>
          <w:rFonts w:ascii="Calibri" w:hAnsi="Calibri" w:cs="Calibri"/>
          <w:b/>
          <w:sz w:val="24"/>
          <w:szCs w:val="24"/>
        </w:rPr>
        <w:lastRenderedPageBreak/>
        <w:t>Příloha č. 2</w:t>
      </w:r>
    </w:p>
    <w:p w:rsidR="0011125A" w:rsidRPr="001E731E" w:rsidRDefault="0011125A" w:rsidP="001E731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1125A" w:rsidRPr="001E731E" w:rsidRDefault="0011125A" w:rsidP="001E73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1E731E">
        <w:rPr>
          <w:rFonts w:ascii="Calibri" w:hAnsi="Calibri" w:cs="Calibri"/>
          <w:b/>
          <w:sz w:val="24"/>
          <w:szCs w:val="24"/>
        </w:rPr>
        <w:t xml:space="preserve">Popis kontrolovaných informačních systémů uvedených v kontrolním závěru </w:t>
      </w:r>
      <w:r w:rsidR="00383A6B">
        <w:rPr>
          <w:rFonts w:ascii="Calibri" w:hAnsi="Calibri" w:cs="Calibri"/>
          <w:b/>
          <w:sz w:val="24"/>
          <w:szCs w:val="24"/>
        </w:rPr>
        <w:t>z </w:t>
      </w:r>
      <w:r w:rsidRPr="001E731E">
        <w:rPr>
          <w:rFonts w:ascii="Calibri" w:hAnsi="Calibri" w:cs="Calibri"/>
          <w:b/>
          <w:sz w:val="24"/>
          <w:szCs w:val="24"/>
        </w:rPr>
        <w:t>kontrolní akce č. 14/12</w:t>
      </w:r>
    </w:p>
    <w:p w:rsidR="0011125A" w:rsidRPr="001E731E" w:rsidRDefault="0011125A" w:rsidP="001E731E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1125A" w:rsidRDefault="0011125A" w:rsidP="001E731E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b/>
          <w:sz w:val="24"/>
          <w:szCs w:val="24"/>
        </w:rPr>
        <w:t>CO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="0076767B" w:rsidRPr="001E731E">
        <w:rPr>
          <w:rFonts w:ascii="Calibri" w:hAnsi="Calibri" w:cs="Calibri"/>
          <w:i/>
          <w:sz w:val="24"/>
          <w:szCs w:val="24"/>
        </w:rPr>
        <w:t>–</w:t>
      </w:r>
      <w:r w:rsidRPr="001E731E">
        <w:rPr>
          <w:rFonts w:ascii="Calibri" w:hAnsi="Calibri" w:cs="Calibri"/>
          <w:i/>
          <w:sz w:val="24"/>
          <w:szCs w:val="24"/>
        </w:rPr>
        <w:t xml:space="preserve"> Centrální ohlašovna</w:t>
      </w:r>
      <w:r w:rsidRPr="001E731E">
        <w:rPr>
          <w:rFonts w:ascii="Calibri" w:hAnsi="Calibri" w:cs="Calibri"/>
          <w:sz w:val="24"/>
          <w:szCs w:val="24"/>
        </w:rPr>
        <w:t xml:space="preserve"> byla komunikačním rozhraním mezi ohlašovateli a orgány státní správy, případně dalšími dotčenými subjekty. Jednalo se o informační systém shromažďující ohlašované údaje z oblasti životního prostředí. CO byla navržena jako vstupní kanál informací pro celý resort životního prostředí.</w:t>
      </w:r>
    </w:p>
    <w:p w:rsidR="001E731E" w:rsidRPr="001E731E" w:rsidRDefault="001E731E" w:rsidP="001E731E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1125A" w:rsidRDefault="0011125A" w:rsidP="001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cs-CZ"/>
        </w:rPr>
      </w:pPr>
      <w:r w:rsidRPr="001E731E">
        <w:rPr>
          <w:rFonts w:ascii="Calibri" w:hAnsi="Calibri" w:cs="Calibri"/>
          <w:b/>
          <w:sz w:val="24"/>
          <w:szCs w:val="24"/>
        </w:rPr>
        <w:t>IRZ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="0076767B" w:rsidRPr="001E731E">
        <w:rPr>
          <w:rFonts w:ascii="Calibri" w:hAnsi="Calibri" w:cs="Calibri"/>
          <w:sz w:val="24"/>
          <w:szCs w:val="24"/>
        </w:rPr>
        <w:t>–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eastAsia="MyriadPro-Regular" w:hAnsi="Calibri" w:cs="Calibri"/>
          <w:i/>
          <w:sz w:val="24"/>
          <w:szCs w:val="24"/>
        </w:rPr>
        <w:t>Integrovaný registr znečišťování</w:t>
      </w:r>
      <w:r w:rsidRPr="001E731E">
        <w:rPr>
          <w:rFonts w:ascii="Calibri" w:eastAsia="MyriadPro-Regular" w:hAnsi="Calibri" w:cs="Calibri"/>
          <w:sz w:val="24"/>
          <w:szCs w:val="24"/>
        </w:rPr>
        <w:t xml:space="preserve"> je</w:t>
      </w:r>
      <w:r w:rsidRPr="001E731E">
        <w:rPr>
          <w:rFonts w:ascii="Calibri" w:hAnsi="Calibri" w:cs="Calibri"/>
          <w:sz w:val="24"/>
          <w:szCs w:val="24"/>
        </w:rPr>
        <w:t xml:space="preserve"> veřejně přístupný informační systém veřejné správy. V tomto registru je stanoven seznam látek, jejichž emise a přenosy</w:t>
      </w:r>
      <w:r w:rsidRPr="001E731E">
        <w:rPr>
          <w:rFonts w:ascii="Calibri" w:eastAsia="MyriadPro-Regular" w:hAnsi="Calibri" w:cs="Calibri"/>
          <w:sz w:val="24"/>
          <w:szCs w:val="24"/>
        </w:rPr>
        <w:t xml:space="preserve"> je uživatel registrované látky povinen zjišťovat, vyhodnocovat a ohlašovat MŽP. 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 xml:space="preserve">Ohlašovací povinnost ekonomických subjektů je uložena v právních normách </w:t>
      </w:r>
      <w:r w:rsidR="002458E5">
        <w:rPr>
          <w:rFonts w:ascii="Calibri" w:hAnsi="Calibri" w:cs="Calibri"/>
          <w:bCs/>
          <w:sz w:val="24"/>
          <w:szCs w:val="24"/>
          <w:lang w:eastAsia="cs-CZ"/>
        </w:rPr>
        <w:t xml:space="preserve">pro 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>oblast životního prostředí.</w:t>
      </w:r>
    </w:p>
    <w:p w:rsidR="001E731E" w:rsidRPr="001E731E" w:rsidRDefault="001E731E" w:rsidP="001E731E">
      <w:pPr>
        <w:spacing w:after="0" w:line="240" w:lineRule="auto"/>
        <w:jc w:val="both"/>
        <w:rPr>
          <w:rFonts w:ascii="Calibri" w:eastAsia="MyriadPro-Regular" w:hAnsi="Calibri" w:cs="Calibri"/>
          <w:sz w:val="24"/>
          <w:szCs w:val="24"/>
        </w:rPr>
      </w:pPr>
    </w:p>
    <w:p w:rsidR="0011125A" w:rsidRDefault="0011125A" w:rsidP="001E73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b/>
          <w:sz w:val="24"/>
          <w:szCs w:val="24"/>
        </w:rPr>
        <w:t>ISOH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="0076767B" w:rsidRPr="001E731E">
        <w:rPr>
          <w:rFonts w:ascii="Calibri" w:hAnsi="Calibri" w:cs="Calibri"/>
          <w:sz w:val="24"/>
          <w:szCs w:val="24"/>
        </w:rPr>
        <w:t>–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Pr="004930C5">
        <w:rPr>
          <w:rFonts w:ascii="Calibri" w:hAnsi="Calibri" w:cs="Calibri"/>
          <w:i/>
          <w:sz w:val="24"/>
          <w:szCs w:val="24"/>
        </w:rPr>
        <w:t>I</w:t>
      </w:r>
      <w:r w:rsidRPr="001E731E">
        <w:rPr>
          <w:rFonts w:ascii="Calibri" w:hAnsi="Calibri" w:cs="Calibri"/>
          <w:i/>
          <w:sz w:val="24"/>
          <w:szCs w:val="24"/>
        </w:rPr>
        <w:t>nformační systém odpadového hospodářství</w:t>
      </w:r>
      <w:r w:rsidRPr="001E731E">
        <w:rPr>
          <w:rFonts w:ascii="Calibri" w:hAnsi="Calibri" w:cs="Calibri"/>
          <w:sz w:val="24"/>
          <w:szCs w:val="24"/>
        </w:rPr>
        <w:t xml:space="preserve"> je celostátní databázový informační systém obsahující data o produkci a nakládání s odpady a údaje o zařízeních pro úpravu, využívání a odstraňování odpadů. 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 xml:space="preserve">Ohlašovací povinnost ekonomických subjektů je uložena v právních normách </w:t>
      </w:r>
      <w:r w:rsidR="002458E5">
        <w:rPr>
          <w:rFonts w:ascii="Calibri" w:hAnsi="Calibri" w:cs="Calibri"/>
          <w:bCs/>
          <w:sz w:val="24"/>
          <w:szCs w:val="24"/>
          <w:lang w:eastAsia="cs-CZ"/>
        </w:rPr>
        <w:t xml:space="preserve">pro 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 xml:space="preserve">oblast životního prostředí. </w:t>
      </w:r>
      <w:r w:rsidRPr="001E731E">
        <w:rPr>
          <w:rFonts w:ascii="Calibri" w:hAnsi="Calibri" w:cs="Calibri"/>
          <w:sz w:val="24"/>
          <w:szCs w:val="24"/>
        </w:rPr>
        <w:t>Data shromažďovaná v ISOH nejsou veřejně přístupná, jsou určen</w:t>
      </w:r>
      <w:r w:rsidR="00383A6B">
        <w:rPr>
          <w:rFonts w:ascii="Calibri" w:hAnsi="Calibri" w:cs="Calibri"/>
          <w:sz w:val="24"/>
          <w:szCs w:val="24"/>
        </w:rPr>
        <w:t>a</w:t>
      </w:r>
      <w:r w:rsidRPr="001E731E">
        <w:rPr>
          <w:rFonts w:ascii="Calibri" w:hAnsi="Calibri" w:cs="Calibri"/>
          <w:sz w:val="24"/>
          <w:szCs w:val="24"/>
        </w:rPr>
        <w:t xml:space="preserve"> především pro odbornou veřejnost se znalostí platné legislativy </w:t>
      </w:r>
      <w:r w:rsidR="002458E5">
        <w:rPr>
          <w:rFonts w:ascii="Calibri" w:hAnsi="Calibri" w:cs="Calibri"/>
          <w:sz w:val="24"/>
          <w:szCs w:val="24"/>
        </w:rPr>
        <w:t xml:space="preserve">pro </w:t>
      </w:r>
      <w:r w:rsidRPr="001E731E">
        <w:rPr>
          <w:rFonts w:ascii="Calibri" w:hAnsi="Calibri" w:cs="Calibri"/>
          <w:sz w:val="24"/>
          <w:szCs w:val="24"/>
        </w:rPr>
        <w:t>odpadové hospodářství.</w:t>
      </w:r>
    </w:p>
    <w:p w:rsidR="001E731E" w:rsidRPr="001E731E" w:rsidRDefault="001E731E" w:rsidP="001E73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1125A" w:rsidRDefault="0011125A" w:rsidP="001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cs-CZ"/>
        </w:rPr>
      </w:pPr>
      <w:r w:rsidRPr="001E731E">
        <w:rPr>
          <w:rFonts w:ascii="Calibri" w:hAnsi="Calibri" w:cs="Calibri"/>
          <w:b/>
          <w:sz w:val="24"/>
          <w:szCs w:val="24"/>
        </w:rPr>
        <w:t>ISPOP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="0076767B" w:rsidRPr="001E731E">
        <w:rPr>
          <w:rFonts w:ascii="Calibri" w:hAnsi="Calibri" w:cs="Calibri"/>
          <w:sz w:val="24"/>
          <w:szCs w:val="24"/>
        </w:rPr>
        <w:t>–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bCs/>
          <w:i/>
          <w:sz w:val="24"/>
          <w:szCs w:val="24"/>
          <w:lang w:eastAsia="cs-CZ"/>
        </w:rPr>
        <w:t>Integrovaný systém plnění ohlašovacích povinností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 xml:space="preserve"> je nástupnický systém CO. ISPOP je informační systém veřejné správy, který zajišťuje příjem a zpracování </w:t>
      </w:r>
      <w:r w:rsidR="002458E5">
        <w:rPr>
          <w:rFonts w:ascii="Calibri" w:hAnsi="Calibri" w:cs="Calibri"/>
          <w:bCs/>
          <w:sz w:val="24"/>
          <w:szCs w:val="24"/>
          <w:lang w:eastAsia="cs-CZ"/>
        </w:rPr>
        <w:t>povinně ohlašovaných dat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 xml:space="preserve"> (informace o znečišťování ovzduší, vod, půdy, evidence odpadů</w:t>
      </w:r>
      <w:r w:rsidR="00383A6B">
        <w:rPr>
          <w:rFonts w:ascii="Calibri" w:hAnsi="Calibri" w:cs="Calibri"/>
          <w:bCs/>
          <w:sz w:val="24"/>
          <w:szCs w:val="24"/>
          <w:lang w:eastAsia="cs-CZ"/>
        </w:rPr>
        <w:t>,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 xml:space="preserve"> či např. likvidace elektrozařízení nebo evidence autovraků v příslušných zařízeních) z oblasti životního prostředí v elektronické podobě a další distribuci hlášení příslušným institucím veřejné správy. Účelem sběru těchto informací je ochrana a zlepšování kvality životního prostředí. Ohlašovací povinnost ekonomických subjektů je uložena </w:t>
      </w:r>
      <w:r w:rsidR="002458E5">
        <w:rPr>
          <w:rFonts w:ascii="Calibri" w:hAnsi="Calibri" w:cs="Calibri"/>
          <w:bCs/>
          <w:sz w:val="24"/>
          <w:szCs w:val="24"/>
          <w:lang w:eastAsia="cs-CZ"/>
        </w:rPr>
        <w:t>právními normami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 xml:space="preserve"> </w:t>
      </w:r>
      <w:r w:rsidR="002458E5">
        <w:rPr>
          <w:rFonts w:ascii="Calibri" w:hAnsi="Calibri" w:cs="Calibri"/>
          <w:bCs/>
          <w:sz w:val="24"/>
          <w:szCs w:val="24"/>
          <w:lang w:eastAsia="cs-CZ"/>
        </w:rPr>
        <w:t xml:space="preserve">pro 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 xml:space="preserve">oblast životního prostředí. </w:t>
      </w:r>
    </w:p>
    <w:p w:rsidR="001E731E" w:rsidRPr="001E731E" w:rsidRDefault="001E731E" w:rsidP="001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cs-CZ"/>
        </w:rPr>
      </w:pPr>
    </w:p>
    <w:p w:rsidR="0011125A" w:rsidRDefault="0011125A" w:rsidP="001E731E">
      <w:p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E731E">
        <w:rPr>
          <w:rFonts w:ascii="Calibri" w:hAnsi="Calibri" w:cs="Calibri"/>
          <w:b/>
          <w:sz w:val="24"/>
          <w:szCs w:val="24"/>
        </w:rPr>
        <w:t>NIKM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="0076767B" w:rsidRPr="001E731E">
        <w:rPr>
          <w:rFonts w:ascii="Calibri" w:hAnsi="Calibri" w:cs="Calibri"/>
          <w:sz w:val="24"/>
          <w:szCs w:val="24"/>
        </w:rPr>
        <w:t>–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Pr="00D00408">
        <w:rPr>
          <w:rFonts w:ascii="Calibri" w:hAnsi="Calibri" w:cs="Calibri"/>
          <w:i/>
          <w:sz w:val="24"/>
          <w:szCs w:val="24"/>
        </w:rPr>
        <w:t>Národní inventarizace kontaminovaných míst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sz w:val="24"/>
          <w:szCs w:val="24"/>
          <w:lang w:eastAsia="ar-SA"/>
        </w:rPr>
        <w:t xml:space="preserve">měla vzniknout za účelem shromažďování a vyhodnocování informací o starých ekologických zátěžích, zejména informací z ekologických auditů k privatizačním projektům a ze sanačních projektů hrazených v rámci garancí státu za tyto zátěže vzniklé před privatizací. </w:t>
      </w:r>
    </w:p>
    <w:p w:rsidR="001E731E" w:rsidRPr="001E731E" w:rsidRDefault="001E731E" w:rsidP="001E731E">
      <w:p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11125A" w:rsidRDefault="0011125A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b/>
          <w:sz w:val="24"/>
          <w:szCs w:val="24"/>
        </w:rPr>
        <w:t>REZZO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="0076767B" w:rsidRPr="001E731E">
        <w:rPr>
          <w:rFonts w:ascii="Calibri" w:hAnsi="Calibri" w:cs="Calibri"/>
          <w:sz w:val="24"/>
          <w:szCs w:val="24"/>
        </w:rPr>
        <w:t>–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i/>
          <w:sz w:val="24"/>
          <w:szCs w:val="24"/>
        </w:rPr>
        <w:t>Registr emisí a zdrojů znečišťování ovzduší</w:t>
      </w:r>
      <w:r w:rsidRPr="001E731E">
        <w:rPr>
          <w:rFonts w:ascii="Calibri" w:hAnsi="Calibri" w:cs="Calibri"/>
          <w:sz w:val="24"/>
          <w:szCs w:val="24"/>
        </w:rPr>
        <w:t xml:space="preserve"> slouží k vedení údajů o stacionárních </w:t>
      </w:r>
      <w:r w:rsidR="00D00408">
        <w:rPr>
          <w:rFonts w:ascii="Calibri" w:hAnsi="Calibri" w:cs="Calibri"/>
          <w:sz w:val="24"/>
          <w:szCs w:val="24"/>
        </w:rPr>
        <w:t xml:space="preserve">a mobilních </w:t>
      </w:r>
      <w:r w:rsidRPr="001E731E">
        <w:rPr>
          <w:rFonts w:ascii="Calibri" w:hAnsi="Calibri" w:cs="Calibri"/>
          <w:sz w:val="24"/>
          <w:szCs w:val="24"/>
        </w:rPr>
        <w:t xml:space="preserve">zdrojích </w:t>
      </w:r>
      <w:r w:rsidR="00D00408">
        <w:rPr>
          <w:rFonts w:ascii="Calibri" w:hAnsi="Calibri" w:cs="Calibri"/>
          <w:sz w:val="24"/>
          <w:szCs w:val="24"/>
        </w:rPr>
        <w:t>znečišťování</w:t>
      </w:r>
      <w:r w:rsidRPr="001E731E">
        <w:rPr>
          <w:rFonts w:ascii="Calibri" w:hAnsi="Calibri" w:cs="Calibri"/>
          <w:sz w:val="24"/>
          <w:szCs w:val="24"/>
        </w:rPr>
        <w:t xml:space="preserve"> ovzduší. Jedná se o databázi, která zajišťuje zpracování, kontrolu a archivaci údajů </w:t>
      </w:r>
      <w:r w:rsidR="00D00408">
        <w:rPr>
          <w:rFonts w:ascii="Calibri" w:hAnsi="Calibri" w:cs="Calibri"/>
          <w:sz w:val="24"/>
          <w:szCs w:val="24"/>
        </w:rPr>
        <w:t>o </w:t>
      </w:r>
      <w:r w:rsidRPr="001E731E">
        <w:rPr>
          <w:rFonts w:ascii="Calibri" w:hAnsi="Calibri" w:cs="Calibri"/>
          <w:sz w:val="24"/>
          <w:szCs w:val="24"/>
        </w:rPr>
        <w:t>samostatně evidovaných stacionárních zdroj</w:t>
      </w:r>
      <w:r w:rsidR="00D00408">
        <w:rPr>
          <w:rFonts w:ascii="Calibri" w:hAnsi="Calibri" w:cs="Calibri"/>
          <w:sz w:val="24"/>
          <w:szCs w:val="24"/>
        </w:rPr>
        <w:t>ích</w:t>
      </w:r>
      <w:r w:rsidRPr="001E731E">
        <w:rPr>
          <w:rFonts w:ascii="Calibri" w:hAnsi="Calibri" w:cs="Calibri"/>
          <w:sz w:val="24"/>
          <w:szCs w:val="24"/>
        </w:rPr>
        <w:t xml:space="preserve"> znečištění, jejich emisních parametrů a údajů o emisích hromadně sledovaných zdrojů, mezi něž patří např. vytápění domácností, silniční doprava apod.</w:t>
      </w:r>
    </w:p>
    <w:p w:rsidR="001E731E" w:rsidRPr="001E731E" w:rsidRDefault="001E731E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1125A" w:rsidRDefault="0011125A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b/>
          <w:sz w:val="24"/>
          <w:szCs w:val="24"/>
        </w:rPr>
        <w:t>SEKM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="0076767B" w:rsidRPr="001E731E">
        <w:rPr>
          <w:rFonts w:ascii="Calibri" w:hAnsi="Calibri" w:cs="Calibri"/>
          <w:sz w:val="24"/>
          <w:szCs w:val="24"/>
        </w:rPr>
        <w:t>–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Pr="001E731E">
        <w:rPr>
          <w:rFonts w:ascii="Calibri" w:hAnsi="Calibri" w:cs="Calibri"/>
          <w:i/>
          <w:sz w:val="24"/>
          <w:szCs w:val="24"/>
        </w:rPr>
        <w:t xml:space="preserve">Systém evidence kontaminovaných míst 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>zajištuje správu dat pro poskytování a </w:t>
      </w:r>
      <w:r w:rsidR="00D00408">
        <w:rPr>
          <w:rFonts w:ascii="Calibri" w:hAnsi="Calibri" w:cs="Calibri"/>
          <w:bCs/>
          <w:sz w:val="24"/>
          <w:szCs w:val="24"/>
          <w:lang w:eastAsia="cs-CZ"/>
        </w:rPr>
        <w:t xml:space="preserve">pro 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 xml:space="preserve">aktualizaci </w:t>
      </w:r>
      <w:r w:rsidR="00383A6B">
        <w:rPr>
          <w:rFonts w:ascii="Calibri" w:hAnsi="Calibri" w:cs="Calibri"/>
          <w:bCs/>
          <w:sz w:val="24"/>
          <w:szCs w:val="24"/>
          <w:lang w:eastAsia="cs-CZ"/>
        </w:rPr>
        <w:t>ú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>zemně analytických podkladů, zajišťuje evidenci lokalit, kde probíhá odstraňování starých ekologických zátěží vzniklých před privatizací</w:t>
      </w:r>
      <w:r w:rsidR="00383A6B">
        <w:rPr>
          <w:rFonts w:ascii="Calibri" w:hAnsi="Calibri" w:cs="Calibri"/>
          <w:bCs/>
          <w:sz w:val="24"/>
          <w:szCs w:val="24"/>
          <w:lang w:eastAsia="cs-CZ"/>
        </w:rPr>
        <w:t>,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 xml:space="preserve"> a lokalit, u kterých byly nebo budou poskytnuty dotace z </w:t>
      </w:r>
      <w:r w:rsidR="00383A6B">
        <w:rPr>
          <w:rFonts w:ascii="Calibri" w:hAnsi="Calibri" w:cs="Calibri"/>
          <w:bCs/>
          <w:sz w:val="24"/>
          <w:szCs w:val="24"/>
          <w:lang w:eastAsia="cs-CZ"/>
        </w:rPr>
        <w:t>o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 xml:space="preserve">peračního programu </w:t>
      </w:r>
      <w:r w:rsidR="00383A6B" w:rsidRPr="004930C5">
        <w:rPr>
          <w:rFonts w:ascii="Calibri" w:hAnsi="Calibri" w:cs="Calibri"/>
          <w:bCs/>
          <w:i/>
          <w:sz w:val="24"/>
          <w:szCs w:val="24"/>
          <w:lang w:eastAsia="cs-CZ"/>
        </w:rPr>
        <w:t>Ž</w:t>
      </w:r>
      <w:r w:rsidRPr="004930C5">
        <w:rPr>
          <w:rFonts w:ascii="Calibri" w:hAnsi="Calibri" w:cs="Calibri"/>
          <w:bCs/>
          <w:i/>
          <w:sz w:val="24"/>
          <w:szCs w:val="24"/>
          <w:lang w:eastAsia="cs-CZ"/>
        </w:rPr>
        <w:t>ivotní prostředí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>. V databázi je vedena evidence lokalit kontaminovaných perzistentními organickými znečišťujícími látkami</w:t>
      </w:r>
      <w:r w:rsidR="00D00408">
        <w:rPr>
          <w:rFonts w:ascii="Calibri" w:hAnsi="Calibri" w:cs="Calibri"/>
          <w:bCs/>
          <w:sz w:val="24"/>
          <w:szCs w:val="24"/>
          <w:lang w:eastAsia="cs-CZ"/>
        </w:rPr>
        <w:t>,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t xml:space="preserve"> </w:t>
      </w:r>
      <w:r w:rsidRPr="001E731E">
        <w:rPr>
          <w:rFonts w:ascii="Calibri" w:hAnsi="Calibri" w:cs="Calibri"/>
          <w:bCs/>
          <w:sz w:val="24"/>
          <w:szCs w:val="24"/>
          <w:lang w:eastAsia="cs-CZ"/>
        </w:rPr>
        <w:lastRenderedPageBreak/>
        <w:t xml:space="preserve">tzv. </w:t>
      </w:r>
      <w:proofErr w:type="spellStart"/>
      <w:r w:rsidRPr="001E731E">
        <w:rPr>
          <w:rFonts w:ascii="Calibri" w:hAnsi="Calibri" w:cs="Calibri"/>
          <w:bCs/>
          <w:sz w:val="24"/>
          <w:szCs w:val="24"/>
          <w:lang w:eastAsia="cs-CZ"/>
        </w:rPr>
        <w:t>POPs</w:t>
      </w:r>
      <w:proofErr w:type="spellEnd"/>
      <w:r w:rsidRPr="001E731E">
        <w:rPr>
          <w:rFonts w:ascii="Calibri" w:hAnsi="Calibri" w:cs="Calibri"/>
          <w:bCs/>
          <w:sz w:val="24"/>
          <w:szCs w:val="24"/>
          <w:lang w:eastAsia="cs-CZ"/>
        </w:rPr>
        <w:t xml:space="preserve">. Plnění a aktualizace databáze je součástí </w:t>
      </w:r>
      <w:r w:rsidRPr="004930C5">
        <w:rPr>
          <w:rFonts w:ascii="Calibri" w:hAnsi="Calibri" w:cs="Calibri"/>
          <w:bCs/>
          <w:i/>
          <w:sz w:val="24"/>
          <w:szCs w:val="24"/>
          <w:lang w:eastAsia="cs-CZ"/>
        </w:rPr>
        <w:t xml:space="preserve">Národního implementačního plánu Stockholmské úmluvy o </w:t>
      </w:r>
      <w:proofErr w:type="spellStart"/>
      <w:r w:rsidRPr="004930C5">
        <w:rPr>
          <w:rFonts w:ascii="Calibri" w:hAnsi="Calibri" w:cs="Calibri"/>
          <w:bCs/>
          <w:i/>
          <w:sz w:val="24"/>
          <w:szCs w:val="24"/>
          <w:lang w:eastAsia="cs-CZ"/>
        </w:rPr>
        <w:t>POPs</w:t>
      </w:r>
      <w:proofErr w:type="spellEnd"/>
      <w:r w:rsidRPr="001E731E">
        <w:rPr>
          <w:rFonts w:ascii="Calibri" w:hAnsi="Calibri" w:cs="Calibri"/>
          <w:bCs/>
          <w:sz w:val="24"/>
          <w:szCs w:val="24"/>
          <w:lang w:eastAsia="cs-CZ"/>
        </w:rPr>
        <w:t>. Systém evidence</w:t>
      </w:r>
      <w:r w:rsidRPr="001E731E">
        <w:rPr>
          <w:rFonts w:ascii="Calibri" w:hAnsi="Calibri" w:cs="Calibri"/>
          <w:sz w:val="24"/>
          <w:szCs w:val="24"/>
        </w:rPr>
        <w:t xml:space="preserve"> kontaminovaných míst slouží také k vyhodnocování kategorií priorit pro odstraňování starých ekologických zátěží.</w:t>
      </w:r>
    </w:p>
    <w:p w:rsidR="001E731E" w:rsidRPr="001E731E" w:rsidRDefault="001E731E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1016" w:rsidRPr="001E731E" w:rsidRDefault="0011125A" w:rsidP="001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731E">
        <w:rPr>
          <w:rFonts w:ascii="Calibri" w:hAnsi="Calibri" w:cs="Calibri"/>
          <w:b/>
          <w:sz w:val="24"/>
          <w:szCs w:val="24"/>
        </w:rPr>
        <w:t>SIRIUS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="0076767B" w:rsidRPr="001E731E">
        <w:rPr>
          <w:rFonts w:ascii="Calibri" w:hAnsi="Calibri" w:cs="Calibri"/>
          <w:sz w:val="24"/>
          <w:szCs w:val="24"/>
        </w:rPr>
        <w:t>–</w:t>
      </w:r>
      <w:r w:rsidRPr="001E731E">
        <w:rPr>
          <w:rFonts w:ascii="Calibri" w:hAnsi="Calibri" w:cs="Calibri"/>
          <w:sz w:val="24"/>
          <w:szCs w:val="24"/>
        </w:rPr>
        <w:t xml:space="preserve"> </w:t>
      </w:r>
      <w:r w:rsidR="00383A6B" w:rsidRPr="004930C5">
        <w:rPr>
          <w:rFonts w:ascii="Calibri" w:hAnsi="Calibri" w:cs="Calibri"/>
          <w:sz w:val="24"/>
          <w:szCs w:val="24"/>
        </w:rPr>
        <w:t>s</w:t>
      </w:r>
      <w:r w:rsidRPr="004930C5">
        <w:rPr>
          <w:rFonts w:ascii="Calibri" w:hAnsi="Calibri" w:cs="Calibri"/>
          <w:sz w:val="24"/>
          <w:szCs w:val="24"/>
        </w:rPr>
        <w:t>ystém integrace a řízení informací v oblasti technické ochrany životního prostředí</w:t>
      </w:r>
      <w:r w:rsidRPr="001E731E">
        <w:rPr>
          <w:rFonts w:ascii="Calibri" w:hAnsi="Calibri" w:cs="Calibri"/>
          <w:sz w:val="24"/>
          <w:szCs w:val="24"/>
        </w:rPr>
        <w:t xml:space="preserve"> měl nahradit několik dílčích informačních systémů a databází, které fungují jako nástroje pro zpracování dat z oblasti technické ochrany životního prostředí. Cílem bylo vybudování jednotného komplexního info</w:t>
      </w:r>
      <w:r w:rsidR="00D00408">
        <w:rPr>
          <w:rFonts w:ascii="Calibri" w:hAnsi="Calibri" w:cs="Calibri"/>
          <w:sz w:val="24"/>
          <w:szCs w:val="24"/>
        </w:rPr>
        <w:t>r</w:t>
      </w:r>
      <w:r w:rsidRPr="001E731E">
        <w:rPr>
          <w:rFonts w:ascii="Calibri" w:hAnsi="Calibri" w:cs="Calibri"/>
          <w:sz w:val="24"/>
          <w:szCs w:val="24"/>
        </w:rPr>
        <w:t>mačního systému napojeného na základní registry veřejné správy, propojení tohoto IS s dalšími relevantními zdroji, vytvoření rozhraní pro řízení sdílení a pro komunikaci a vytvoření souboru analytických nástrojů pro vyhodnocování dat. Měl být využíván všemi dotčenými subjekty – veřejn</w:t>
      </w:r>
      <w:r w:rsidR="00D00408">
        <w:rPr>
          <w:rFonts w:ascii="Calibri" w:hAnsi="Calibri" w:cs="Calibri"/>
          <w:sz w:val="24"/>
          <w:szCs w:val="24"/>
        </w:rPr>
        <w:t>ou</w:t>
      </w:r>
      <w:r w:rsidRPr="001E731E">
        <w:rPr>
          <w:rFonts w:ascii="Calibri" w:hAnsi="Calibri" w:cs="Calibri"/>
          <w:sz w:val="24"/>
          <w:szCs w:val="24"/>
        </w:rPr>
        <w:t xml:space="preserve"> správ</w:t>
      </w:r>
      <w:r w:rsidR="00D00408">
        <w:rPr>
          <w:rFonts w:ascii="Calibri" w:hAnsi="Calibri" w:cs="Calibri"/>
          <w:sz w:val="24"/>
          <w:szCs w:val="24"/>
        </w:rPr>
        <w:t>u</w:t>
      </w:r>
      <w:r w:rsidRPr="001E731E">
        <w:rPr>
          <w:rFonts w:ascii="Calibri" w:hAnsi="Calibri" w:cs="Calibri"/>
          <w:sz w:val="24"/>
          <w:szCs w:val="24"/>
        </w:rPr>
        <w:t>, samospráv</w:t>
      </w:r>
      <w:r w:rsidR="00D00408">
        <w:rPr>
          <w:rFonts w:ascii="Calibri" w:hAnsi="Calibri" w:cs="Calibri"/>
          <w:sz w:val="24"/>
          <w:szCs w:val="24"/>
        </w:rPr>
        <w:t>ou</w:t>
      </w:r>
      <w:r w:rsidRPr="001E731E">
        <w:rPr>
          <w:rFonts w:ascii="Calibri" w:hAnsi="Calibri" w:cs="Calibri"/>
          <w:sz w:val="24"/>
          <w:szCs w:val="24"/>
        </w:rPr>
        <w:t>, podnikatel</w:t>
      </w:r>
      <w:r w:rsidR="00D00408">
        <w:rPr>
          <w:rFonts w:ascii="Calibri" w:hAnsi="Calibri" w:cs="Calibri"/>
          <w:sz w:val="24"/>
          <w:szCs w:val="24"/>
        </w:rPr>
        <w:t>i</w:t>
      </w:r>
      <w:r w:rsidRPr="001E731E">
        <w:rPr>
          <w:rFonts w:ascii="Calibri" w:hAnsi="Calibri" w:cs="Calibri"/>
          <w:sz w:val="24"/>
          <w:szCs w:val="24"/>
        </w:rPr>
        <w:t>, občan</w:t>
      </w:r>
      <w:r w:rsidR="00D00408">
        <w:rPr>
          <w:rFonts w:ascii="Calibri" w:hAnsi="Calibri" w:cs="Calibri"/>
          <w:sz w:val="24"/>
          <w:szCs w:val="24"/>
        </w:rPr>
        <w:t>y</w:t>
      </w:r>
      <w:r w:rsidRPr="001E731E">
        <w:rPr>
          <w:rFonts w:ascii="Calibri" w:hAnsi="Calibri" w:cs="Calibri"/>
          <w:sz w:val="24"/>
          <w:szCs w:val="24"/>
        </w:rPr>
        <w:t xml:space="preserve"> a další</w:t>
      </w:r>
      <w:r w:rsidR="00D00408">
        <w:rPr>
          <w:rFonts w:ascii="Calibri" w:hAnsi="Calibri" w:cs="Calibri"/>
          <w:sz w:val="24"/>
          <w:szCs w:val="24"/>
        </w:rPr>
        <w:t>mi</w:t>
      </w:r>
      <w:r w:rsidRPr="001E731E">
        <w:rPr>
          <w:rFonts w:ascii="Calibri" w:hAnsi="Calibri" w:cs="Calibri"/>
          <w:sz w:val="24"/>
          <w:szCs w:val="24"/>
        </w:rPr>
        <w:t>.</w:t>
      </w:r>
    </w:p>
    <w:sectPr w:rsidR="00EA1016" w:rsidRPr="001E731E" w:rsidSect="0076767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A5" w:rsidRDefault="00E31FA5" w:rsidP="00D90060">
      <w:pPr>
        <w:spacing w:after="0" w:line="240" w:lineRule="auto"/>
      </w:pPr>
      <w:r>
        <w:separator/>
      </w:r>
    </w:p>
  </w:endnote>
  <w:endnote w:type="continuationSeparator" w:id="0">
    <w:p w:rsidR="00E31FA5" w:rsidRDefault="00E31FA5" w:rsidP="00D9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A5" w:rsidRPr="001E731E" w:rsidRDefault="00E31FA5" w:rsidP="0011125A">
    <w:pPr>
      <w:pStyle w:val="Zpat"/>
      <w:jc w:val="center"/>
      <w:rPr>
        <w:color w:val="000000" w:themeColor="text1"/>
      </w:rPr>
    </w:pPr>
    <w:r w:rsidRPr="001E731E">
      <w:rPr>
        <w:rStyle w:val="slostrnky"/>
        <w:rFonts w:ascii="Calibri" w:hAnsi="Calibri" w:cs="Calibri"/>
        <w:color w:val="000000" w:themeColor="text1"/>
        <w:sz w:val="24"/>
        <w:szCs w:val="24"/>
      </w:rPr>
      <w:fldChar w:fldCharType="begin"/>
    </w:r>
    <w:r w:rsidRPr="001E731E">
      <w:rPr>
        <w:rStyle w:val="slostrnky"/>
        <w:rFonts w:ascii="Calibri" w:hAnsi="Calibri" w:cs="Calibri"/>
        <w:color w:val="000000" w:themeColor="text1"/>
        <w:sz w:val="24"/>
        <w:szCs w:val="24"/>
      </w:rPr>
      <w:instrText xml:space="preserve"> PAGE </w:instrText>
    </w:r>
    <w:r w:rsidRPr="001E731E">
      <w:rPr>
        <w:rStyle w:val="slostrnky"/>
        <w:rFonts w:ascii="Calibri" w:hAnsi="Calibri" w:cs="Calibri"/>
        <w:color w:val="000000" w:themeColor="text1"/>
        <w:sz w:val="24"/>
        <w:szCs w:val="24"/>
      </w:rPr>
      <w:fldChar w:fldCharType="separate"/>
    </w:r>
    <w:r w:rsidR="005065A5">
      <w:rPr>
        <w:rStyle w:val="slostrnky"/>
        <w:rFonts w:ascii="Calibri" w:hAnsi="Calibri" w:cs="Calibri"/>
        <w:noProof/>
        <w:color w:val="000000" w:themeColor="text1"/>
        <w:sz w:val="24"/>
        <w:szCs w:val="24"/>
      </w:rPr>
      <w:t>8</w:t>
    </w:r>
    <w:r w:rsidRPr="001E731E">
      <w:rPr>
        <w:rStyle w:val="slostrnky"/>
        <w:rFonts w:ascii="Calibri" w:hAnsi="Calibri" w:cs="Calibri"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A5" w:rsidRDefault="00E31FA5" w:rsidP="00D90060">
      <w:pPr>
        <w:spacing w:after="0" w:line="240" w:lineRule="auto"/>
      </w:pPr>
      <w:r>
        <w:separator/>
      </w:r>
    </w:p>
  </w:footnote>
  <w:footnote w:type="continuationSeparator" w:id="0">
    <w:p w:rsidR="00E31FA5" w:rsidRDefault="00E31FA5" w:rsidP="00D90060">
      <w:pPr>
        <w:spacing w:after="0" w:line="240" w:lineRule="auto"/>
      </w:pPr>
      <w:r>
        <w:continuationSeparator/>
      </w:r>
    </w:p>
  </w:footnote>
  <w:footnote w:id="1">
    <w:p w:rsidR="00E31FA5" w:rsidRDefault="00E31FA5" w:rsidP="00144F8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 2/1969 Sb., o zřízení ministerstev a jiných ústředních orgánů státní správy České republiky, ve znění pozdějších předpisů.</w:t>
      </w:r>
    </w:p>
  </w:footnote>
  <w:footnote w:id="2">
    <w:p w:rsidR="00E31FA5" w:rsidRPr="001E731E" w:rsidRDefault="00E31FA5" w:rsidP="0011125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E731E">
        <w:rPr>
          <w:rStyle w:val="Znakapoznpodarou"/>
          <w:rFonts w:ascii="Calibri" w:hAnsi="Calibri" w:cs="Calibri"/>
        </w:rPr>
        <w:footnoteRef/>
      </w:r>
      <w:r w:rsidRPr="001E731E">
        <w:rPr>
          <w:rFonts w:ascii="Calibri" w:hAnsi="Calibri" w:cs="Calibri"/>
        </w:rPr>
        <w:t xml:space="preserve"> </w:t>
      </w:r>
      <w:r w:rsidRPr="001E731E">
        <w:rPr>
          <w:rFonts w:ascii="Calibri" w:hAnsi="Calibri" w:cs="Calibri"/>
        </w:rPr>
        <w:tab/>
        <w:t xml:space="preserve">013 – </w:t>
      </w:r>
      <w:r w:rsidRPr="00702F91">
        <w:rPr>
          <w:rFonts w:ascii="Calibri" w:hAnsi="Calibri" w:cs="Calibri"/>
          <w:i/>
        </w:rPr>
        <w:t>Software</w:t>
      </w:r>
      <w:r w:rsidRPr="001E731E">
        <w:rPr>
          <w:rFonts w:ascii="Calibri" w:hAnsi="Calibri" w:cs="Calibri"/>
        </w:rPr>
        <w:t xml:space="preserve">, 014 – </w:t>
      </w:r>
      <w:r w:rsidRPr="00702F91">
        <w:rPr>
          <w:rFonts w:ascii="Calibri" w:hAnsi="Calibri" w:cs="Calibri"/>
          <w:i/>
        </w:rPr>
        <w:t>Ocenitelná práva</w:t>
      </w:r>
      <w:r w:rsidRPr="001E731E">
        <w:rPr>
          <w:rFonts w:ascii="Calibri" w:hAnsi="Calibri" w:cs="Calibri"/>
        </w:rPr>
        <w:t xml:space="preserve">, 018 – </w:t>
      </w:r>
      <w:r w:rsidRPr="00702F91">
        <w:rPr>
          <w:rFonts w:ascii="Calibri" w:hAnsi="Calibri" w:cs="Calibri"/>
          <w:i/>
        </w:rPr>
        <w:t>Drobný dlouhodobý nehmotný majetek</w:t>
      </w:r>
      <w:r w:rsidRPr="00BF281F">
        <w:rPr>
          <w:rFonts w:ascii="Calibri" w:hAnsi="Calibri" w:cs="Calibri"/>
        </w:rPr>
        <w:t>,</w:t>
      </w:r>
      <w:r w:rsidRPr="001E731E">
        <w:rPr>
          <w:rFonts w:ascii="Calibri" w:hAnsi="Calibri" w:cs="Calibri"/>
        </w:rPr>
        <w:t xml:space="preserve"> 019 – </w:t>
      </w:r>
      <w:r w:rsidRPr="00702F91">
        <w:rPr>
          <w:rFonts w:ascii="Calibri" w:hAnsi="Calibri" w:cs="Calibri"/>
          <w:i/>
        </w:rPr>
        <w:t>Ostatní dlouhodobý nehmotný majetek</w:t>
      </w:r>
      <w:r w:rsidRPr="001E731E">
        <w:rPr>
          <w:rFonts w:ascii="Calibri" w:hAnsi="Calibri" w:cs="Calibri"/>
        </w:rPr>
        <w:t xml:space="preserve">, 041 – </w:t>
      </w:r>
      <w:r w:rsidRPr="00702F91">
        <w:rPr>
          <w:rFonts w:ascii="Calibri" w:hAnsi="Calibri" w:cs="Calibri"/>
          <w:i/>
        </w:rPr>
        <w:t>Nedokončený dlouhodobý nehmotný majetek</w:t>
      </w:r>
      <w:r w:rsidRPr="001E731E">
        <w:rPr>
          <w:rFonts w:ascii="Calibri" w:hAnsi="Calibri" w:cs="Calibri"/>
        </w:rPr>
        <w:t>.</w:t>
      </w:r>
    </w:p>
  </w:footnote>
  <w:footnote w:id="3">
    <w:p w:rsidR="00E31FA5" w:rsidRPr="001E731E" w:rsidRDefault="00E31FA5" w:rsidP="0011125A">
      <w:pPr>
        <w:pStyle w:val="Textpoznpodarou"/>
        <w:ind w:left="284" w:hanging="284"/>
        <w:rPr>
          <w:rFonts w:ascii="Calibri" w:hAnsi="Calibri" w:cs="Calibri"/>
        </w:rPr>
      </w:pPr>
      <w:r w:rsidRPr="001E731E">
        <w:rPr>
          <w:rFonts w:ascii="Calibri" w:hAnsi="Calibri" w:cs="Calibri"/>
          <w:vertAlign w:val="superscript"/>
        </w:rPr>
        <w:footnoteRef/>
      </w:r>
      <w:r w:rsidRPr="001E731E">
        <w:rPr>
          <w:rFonts w:ascii="Calibri" w:hAnsi="Calibri" w:cs="Calibri"/>
          <w:vertAlign w:val="superscript"/>
        </w:rPr>
        <w:t xml:space="preserve"> </w:t>
      </w:r>
      <w:r w:rsidRPr="001E731E">
        <w:rPr>
          <w:rFonts w:ascii="Calibri" w:hAnsi="Calibri" w:cs="Calibri"/>
        </w:rPr>
        <w:tab/>
      </w:r>
      <w:r>
        <w:rPr>
          <w:rFonts w:ascii="Calibri" w:hAnsi="Calibri" w:cs="Calibri"/>
        </w:rPr>
        <w:t>S</w:t>
      </w:r>
      <w:r w:rsidRPr="001E731E">
        <w:rPr>
          <w:rFonts w:ascii="Calibri" w:hAnsi="Calibri" w:cs="Calibri"/>
        </w:rPr>
        <w:t>tav brutto.</w:t>
      </w:r>
    </w:p>
  </w:footnote>
  <w:footnote w:id="4">
    <w:p w:rsidR="00E31FA5" w:rsidRPr="001E731E" w:rsidRDefault="00E31FA5" w:rsidP="0011125A">
      <w:pPr>
        <w:pStyle w:val="Textpoznpodarou"/>
        <w:ind w:left="284" w:hanging="284"/>
        <w:rPr>
          <w:rFonts w:ascii="Calibri" w:hAnsi="Calibri" w:cs="Calibri"/>
        </w:rPr>
      </w:pPr>
      <w:r w:rsidRPr="001E731E">
        <w:rPr>
          <w:rStyle w:val="Znakapoznpodarou"/>
          <w:rFonts w:ascii="Calibri" w:hAnsi="Calibri" w:cs="Calibri"/>
        </w:rPr>
        <w:footnoteRef/>
      </w:r>
      <w:r w:rsidRPr="001E731E">
        <w:rPr>
          <w:rFonts w:ascii="Calibri" w:hAnsi="Calibri" w:cs="Calibri"/>
        </w:rPr>
        <w:t xml:space="preserve"> </w:t>
      </w:r>
      <w:r w:rsidRPr="001E731E">
        <w:rPr>
          <w:rFonts w:ascii="Calibri" w:hAnsi="Calibri" w:cs="Calibri"/>
        </w:rPr>
        <w:tab/>
      </w:r>
      <w:r>
        <w:rPr>
          <w:rFonts w:ascii="Calibri" w:hAnsi="Calibri" w:cs="Calibri"/>
        </w:rPr>
        <w:t>H</w:t>
      </w:r>
      <w:r w:rsidRPr="001E731E">
        <w:rPr>
          <w:rFonts w:ascii="Calibri" w:hAnsi="Calibri" w:cs="Calibri"/>
        </w:rPr>
        <w:t>orizontální vliv – jdoucí napříč resortem životního prostředí.</w:t>
      </w:r>
    </w:p>
  </w:footnote>
  <w:footnote w:id="5">
    <w:p w:rsidR="00E31FA5" w:rsidRPr="001E731E" w:rsidRDefault="00E31FA5" w:rsidP="0011125A">
      <w:pPr>
        <w:pStyle w:val="Textpoznpodarou"/>
        <w:ind w:left="284" w:hanging="284"/>
        <w:rPr>
          <w:rFonts w:ascii="Calibri" w:hAnsi="Calibri" w:cs="Calibri"/>
        </w:rPr>
      </w:pPr>
      <w:r w:rsidRPr="001E731E">
        <w:rPr>
          <w:rFonts w:ascii="Calibri" w:hAnsi="Calibri" w:cs="Calibri"/>
          <w:vertAlign w:val="superscript"/>
        </w:rPr>
        <w:footnoteRef/>
      </w:r>
      <w:r w:rsidRPr="001E731E">
        <w:rPr>
          <w:rFonts w:ascii="Calibri" w:hAnsi="Calibri" w:cs="Calibri"/>
        </w:rPr>
        <w:t xml:space="preserve"> </w:t>
      </w:r>
      <w:r w:rsidRPr="001E731E">
        <w:rPr>
          <w:rFonts w:ascii="Calibri" w:hAnsi="Calibri" w:cs="Calibri"/>
        </w:rPr>
        <w:tab/>
        <w:t>Příkaz ministra č. 26/2009</w:t>
      </w:r>
      <w:r w:rsidRPr="00114BC5">
        <w:rPr>
          <w:rFonts w:ascii="Calibri" w:hAnsi="Calibri" w:cs="Calibri"/>
        </w:rPr>
        <w:t xml:space="preserve"> </w:t>
      </w:r>
      <w:r w:rsidRPr="001E731E">
        <w:rPr>
          <w:rFonts w:ascii="Calibri" w:hAnsi="Calibri" w:cs="Calibri"/>
        </w:rPr>
        <w:t>ze dne 30. 10. 2009, č. j. 4729/M/09 85872/ENV/09.</w:t>
      </w:r>
    </w:p>
  </w:footnote>
  <w:footnote w:id="6">
    <w:p w:rsidR="00E31FA5" w:rsidRPr="00AE5999" w:rsidRDefault="00E31FA5" w:rsidP="00AE599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AE5999">
        <w:rPr>
          <w:rStyle w:val="Znakapoznpodarou"/>
          <w:rFonts w:ascii="Calibri" w:hAnsi="Calibri" w:cs="Calibri"/>
        </w:rPr>
        <w:footnoteRef/>
      </w:r>
      <w:r w:rsidRPr="00AE5999">
        <w:rPr>
          <w:rFonts w:ascii="Calibri" w:hAnsi="Calibri" w:cs="Calibri"/>
        </w:rPr>
        <w:t xml:space="preserve"> </w:t>
      </w:r>
      <w:r w:rsidRPr="00AE5999">
        <w:rPr>
          <w:rFonts w:ascii="Calibri" w:hAnsi="Calibri" w:cs="Calibri"/>
        </w:rPr>
        <w:tab/>
        <w:t>Z</w:t>
      </w:r>
      <w:r w:rsidRPr="00AE5999">
        <w:rPr>
          <w:rFonts w:ascii="Calibri" w:hAnsi="Calibri" w:cs="Calibri"/>
          <w:iCs/>
          <w:color w:val="333333"/>
        </w:rPr>
        <w:t>ákon č. 365/2000 Sb., o informačních systémech veřejné správy a o změně některých dalších zákonů, ve znění pozdějších předpisů.</w:t>
      </w:r>
    </w:p>
  </w:footnote>
  <w:footnote w:id="7">
    <w:p w:rsidR="00E31FA5" w:rsidRDefault="00E31FA5" w:rsidP="0011125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51966">
        <w:rPr>
          <w:i/>
        </w:rPr>
        <w:t>JIS</w:t>
      </w:r>
      <w:r>
        <w:rPr>
          <w:i/>
        </w:rPr>
        <w:t>ŽP byl</w:t>
      </w:r>
      <w:r w:rsidRPr="00F51966">
        <w:rPr>
          <w:i/>
        </w:rPr>
        <w:t xml:space="preserve"> </w:t>
      </w:r>
      <w:r>
        <w:rPr>
          <w:i/>
        </w:rPr>
        <w:t>zmíněn již</w:t>
      </w:r>
      <w:r w:rsidRPr="00F51966">
        <w:rPr>
          <w:i/>
        </w:rPr>
        <w:t xml:space="preserve"> v</w:t>
      </w:r>
      <w:r>
        <w:rPr>
          <w:i/>
        </w:rPr>
        <w:t> zákoně č. 2/1969 Sb., o </w:t>
      </w:r>
      <w:r w:rsidRPr="001931E4">
        <w:rPr>
          <w:i/>
        </w:rPr>
        <w:t>zřízení ministerstev a jiných ústředních orgánů státní správy České republiky</w:t>
      </w:r>
      <w:r>
        <w:rPr>
          <w:i/>
        </w:rPr>
        <w:t>.</w:t>
      </w:r>
    </w:p>
  </w:footnote>
  <w:footnote w:id="8">
    <w:p w:rsidR="00E31FA5" w:rsidRPr="00C1212B" w:rsidRDefault="00E31FA5" w:rsidP="00C1212B">
      <w:p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C1212B">
        <w:rPr>
          <w:rStyle w:val="Znakapoznpodarou"/>
          <w:rFonts w:ascii="Calibri" w:hAnsi="Calibri" w:cs="Calibri"/>
          <w:sz w:val="20"/>
          <w:szCs w:val="20"/>
        </w:rPr>
        <w:footnoteRef/>
      </w:r>
      <w:r w:rsidRPr="00C1212B">
        <w:rPr>
          <w:rFonts w:ascii="Calibri" w:hAnsi="Calibri" w:cs="Calibri"/>
          <w:sz w:val="20"/>
          <w:szCs w:val="20"/>
        </w:rPr>
        <w:t xml:space="preserve"> </w:t>
      </w:r>
      <w:r w:rsidRPr="00C1212B">
        <w:rPr>
          <w:rFonts w:ascii="Calibri" w:hAnsi="Calibri" w:cs="Calibri"/>
          <w:sz w:val="20"/>
          <w:szCs w:val="20"/>
        </w:rPr>
        <w:tab/>
        <w:t>Zákon č. 137/2006 Sb., o veřejných zakázkách</w:t>
      </w:r>
      <w:r>
        <w:rPr>
          <w:rFonts w:ascii="Calibri" w:hAnsi="Calibri" w:cs="Calibri"/>
          <w:sz w:val="20"/>
          <w:szCs w:val="20"/>
        </w:rPr>
        <w:t>.</w:t>
      </w:r>
    </w:p>
  </w:footnote>
  <w:footnote w:id="9">
    <w:p w:rsidR="00E31FA5" w:rsidRPr="00C1212B" w:rsidRDefault="00E31FA5" w:rsidP="00C1212B">
      <w:p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C1212B">
        <w:rPr>
          <w:rStyle w:val="Znakapoznpodarou"/>
          <w:rFonts w:ascii="Calibri" w:hAnsi="Calibri" w:cs="Calibri"/>
          <w:sz w:val="20"/>
          <w:szCs w:val="20"/>
        </w:rPr>
        <w:footnoteRef/>
      </w:r>
      <w:r w:rsidRPr="00C1212B">
        <w:rPr>
          <w:rFonts w:ascii="Calibri" w:hAnsi="Calibri" w:cs="Calibri"/>
          <w:sz w:val="20"/>
          <w:szCs w:val="20"/>
        </w:rPr>
        <w:t xml:space="preserve"> </w:t>
      </w:r>
      <w:r w:rsidRPr="00C1212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Ustanovení</w:t>
      </w:r>
      <w:r w:rsidRPr="00C1212B">
        <w:rPr>
          <w:rFonts w:ascii="Calibri" w:hAnsi="Calibri" w:cs="Calibri"/>
          <w:sz w:val="20"/>
          <w:szCs w:val="20"/>
        </w:rPr>
        <w:t xml:space="preserve"> § 23 odst. 4 písm. a)</w:t>
      </w:r>
      <w:r>
        <w:rPr>
          <w:rFonts w:ascii="Calibri" w:hAnsi="Calibri" w:cs="Calibri"/>
          <w:sz w:val="20"/>
          <w:szCs w:val="20"/>
        </w:rPr>
        <w:t xml:space="preserve"> z</w:t>
      </w:r>
      <w:r w:rsidRPr="00C1212B">
        <w:rPr>
          <w:rFonts w:ascii="Calibri" w:hAnsi="Calibri" w:cs="Calibri"/>
          <w:sz w:val="20"/>
          <w:szCs w:val="20"/>
        </w:rPr>
        <w:t>ákon</w:t>
      </w:r>
      <w:r>
        <w:rPr>
          <w:rFonts w:ascii="Calibri" w:hAnsi="Calibri" w:cs="Calibri"/>
          <w:sz w:val="20"/>
          <w:szCs w:val="20"/>
        </w:rPr>
        <w:t>a č. 137/2006 Sb.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04"/>
    <w:multiLevelType w:val="hybridMultilevel"/>
    <w:tmpl w:val="9CECA5E8"/>
    <w:lvl w:ilvl="0" w:tplc="5354149A">
      <w:start w:val="1"/>
      <w:numFmt w:val="decimal"/>
      <w:pStyle w:val="pracovn2"/>
      <w:lvlText w:val="2. %1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D6C1683"/>
    <w:multiLevelType w:val="hybridMultilevel"/>
    <w:tmpl w:val="CAC8F796"/>
    <w:lvl w:ilvl="0" w:tplc="5D448C90">
      <w:start w:val="1"/>
      <w:numFmt w:val="decimal"/>
      <w:pStyle w:val="graf"/>
      <w:lvlText w:val="Graf č. %1:  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E58D0"/>
    <w:multiLevelType w:val="hybridMultilevel"/>
    <w:tmpl w:val="CF7C682C"/>
    <w:lvl w:ilvl="0" w:tplc="32AA1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0779A"/>
    <w:multiLevelType w:val="hybridMultilevel"/>
    <w:tmpl w:val="F6D4DEBA"/>
    <w:lvl w:ilvl="0" w:tplc="0152F5C6">
      <w:start w:val="1"/>
      <w:numFmt w:val="upperRoman"/>
      <w:pStyle w:val="Nadpis1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2521"/>
    <w:multiLevelType w:val="hybridMultilevel"/>
    <w:tmpl w:val="22E89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E154D"/>
    <w:multiLevelType w:val="hybridMultilevel"/>
    <w:tmpl w:val="BBAC2B5C"/>
    <w:lvl w:ilvl="0" w:tplc="32AA1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10BC6"/>
    <w:multiLevelType w:val="hybridMultilevel"/>
    <w:tmpl w:val="CCA442A8"/>
    <w:lvl w:ilvl="0" w:tplc="32AA1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B85973"/>
    <w:multiLevelType w:val="hybridMultilevel"/>
    <w:tmpl w:val="C41AD0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E8573A"/>
    <w:multiLevelType w:val="hybridMultilevel"/>
    <w:tmpl w:val="12CC753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6A0CDC"/>
    <w:multiLevelType w:val="hybridMultilevel"/>
    <w:tmpl w:val="0CFC9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8833BC"/>
    <w:multiLevelType w:val="hybridMultilevel"/>
    <w:tmpl w:val="CD78EE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C26631"/>
    <w:multiLevelType w:val="hybridMultilevel"/>
    <w:tmpl w:val="72685912"/>
    <w:lvl w:ilvl="0" w:tplc="32AA1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15F3F"/>
    <w:multiLevelType w:val="hybridMultilevel"/>
    <w:tmpl w:val="769EEA62"/>
    <w:lvl w:ilvl="0" w:tplc="3B6AC490">
      <w:start w:val="1"/>
      <w:numFmt w:val="decimal"/>
      <w:pStyle w:val="tabulka"/>
      <w:lvlText w:val="Tabulka č. %1:  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75D003A7"/>
    <w:multiLevelType w:val="multilevel"/>
    <w:tmpl w:val="1ED07F92"/>
    <w:lvl w:ilvl="0">
      <w:start w:val="2"/>
      <w:numFmt w:val="decimal"/>
      <w:pStyle w:val="pracovn1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DD"/>
    <w:rsid w:val="000026D7"/>
    <w:rsid w:val="0001027F"/>
    <w:rsid w:val="0001057B"/>
    <w:rsid w:val="00010EF1"/>
    <w:rsid w:val="000111A4"/>
    <w:rsid w:val="000112B5"/>
    <w:rsid w:val="00013BF8"/>
    <w:rsid w:val="0001649D"/>
    <w:rsid w:val="00016DA1"/>
    <w:rsid w:val="00020F5C"/>
    <w:rsid w:val="0002207F"/>
    <w:rsid w:val="00022564"/>
    <w:rsid w:val="00023156"/>
    <w:rsid w:val="00024957"/>
    <w:rsid w:val="00030C65"/>
    <w:rsid w:val="000332F9"/>
    <w:rsid w:val="000353FA"/>
    <w:rsid w:val="00037544"/>
    <w:rsid w:val="00037F10"/>
    <w:rsid w:val="0004128B"/>
    <w:rsid w:val="000420FD"/>
    <w:rsid w:val="00042402"/>
    <w:rsid w:val="00044796"/>
    <w:rsid w:val="00047045"/>
    <w:rsid w:val="0005194C"/>
    <w:rsid w:val="00053557"/>
    <w:rsid w:val="00053FA5"/>
    <w:rsid w:val="000552BA"/>
    <w:rsid w:val="00056DE5"/>
    <w:rsid w:val="000601B4"/>
    <w:rsid w:val="000609E5"/>
    <w:rsid w:val="00063AE6"/>
    <w:rsid w:val="00064484"/>
    <w:rsid w:val="00064E25"/>
    <w:rsid w:val="00065192"/>
    <w:rsid w:val="000653E9"/>
    <w:rsid w:val="000655DF"/>
    <w:rsid w:val="00065B6C"/>
    <w:rsid w:val="00065DF6"/>
    <w:rsid w:val="00067109"/>
    <w:rsid w:val="00067962"/>
    <w:rsid w:val="00071093"/>
    <w:rsid w:val="0007234A"/>
    <w:rsid w:val="00072CC7"/>
    <w:rsid w:val="00073A55"/>
    <w:rsid w:val="0007560C"/>
    <w:rsid w:val="00076143"/>
    <w:rsid w:val="000768A4"/>
    <w:rsid w:val="00084166"/>
    <w:rsid w:val="00084B3C"/>
    <w:rsid w:val="0008538E"/>
    <w:rsid w:val="00087E0A"/>
    <w:rsid w:val="00091976"/>
    <w:rsid w:val="00092F04"/>
    <w:rsid w:val="0009402D"/>
    <w:rsid w:val="000961B1"/>
    <w:rsid w:val="00096B8C"/>
    <w:rsid w:val="00097A87"/>
    <w:rsid w:val="000A07D6"/>
    <w:rsid w:val="000A28D0"/>
    <w:rsid w:val="000A328F"/>
    <w:rsid w:val="000A32A0"/>
    <w:rsid w:val="000A4526"/>
    <w:rsid w:val="000A69D8"/>
    <w:rsid w:val="000A6F49"/>
    <w:rsid w:val="000B33C8"/>
    <w:rsid w:val="000B41D2"/>
    <w:rsid w:val="000B5BC5"/>
    <w:rsid w:val="000B6139"/>
    <w:rsid w:val="000B74BB"/>
    <w:rsid w:val="000C1792"/>
    <w:rsid w:val="000C290E"/>
    <w:rsid w:val="000C2B91"/>
    <w:rsid w:val="000C3A17"/>
    <w:rsid w:val="000C4C47"/>
    <w:rsid w:val="000C57DB"/>
    <w:rsid w:val="000C60A1"/>
    <w:rsid w:val="000C7070"/>
    <w:rsid w:val="000C799E"/>
    <w:rsid w:val="000C7F8E"/>
    <w:rsid w:val="000D0D4F"/>
    <w:rsid w:val="000D0D55"/>
    <w:rsid w:val="000D1D50"/>
    <w:rsid w:val="000D28AC"/>
    <w:rsid w:val="000D3BDD"/>
    <w:rsid w:val="000D55A9"/>
    <w:rsid w:val="000D71B3"/>
    <w:rsid w:val="000E009C"/>
    <w:rsid w:val="000E213D"/>
    <w:rsid w:val="000E3BEF"/>
    <w:rsid w:val="000E471C"/>
    <w:rsid w:val="000E574D"/>
    <w:rsid w:val="000F00DF"/>
    <w:rsid w:val="000F098D"/>
    <w:rsid w:val="000F1BB0"/>
    <w:rsid w:val="000F2A75"/>
    <w:rsid w:val="000F3023"/>
    <w:rsid w:val="000F32C0"/>
    <w:rsid w:val="000F3523"/>
    <w:rsid w:val="000F461E"/>
    <w:rsid w:val="000F692F"/>
    <w:rsid w:val="000F7A03"/>
    <w:rsid w:val="0010090E"/>
    <w:rsid w:val="00106CC3"/>
    <w:rsid w:val="00110F3E"/>
    <w:rsid w:val="0011125A"/>
    <w:rsid w:val="00113092"/>
    <w:rsid w:val="00113128"/>
    <w:rsid w:val="00114BC5"/>
    <w:rsid w:val="00116354"/>
    <w:rsid w:val="00117490"/>
    <w:rsid w:val="00117CC9"/>
    <w:rsid w:val="00117E89"/>
    <w:rsid w:val="00120A6D"/>
    <w:rsid w:val="00120A79"/>
    <w:rsid w:val="001217E7"/>
    <w:rsid w:val="00121D7C"/>
    <w:rsid w:val="00122734"/>
    <w:rsid w:val="00124CE1"/>
    <w:rsid w:val="00124F18"/>
    <w:rsid w:val="00127EDC"/>
    <w:rsid w:val="00127F1D"/>
    <w:rsid w:val="00130116"/>
    <w:rsid w:val="00130426"/>
    <w:rsid w:val="001306E0"/>
    <w:rsid w:val="00130D99"/>
    <w:rsid w:val="00131BF0"/>
    <w:rsid w:val="001337B6"/>
    <w:rsid w:val="00135DC1"/>
    <w:rsid w:val="00137013"/>
    <w:rsid w:val="001375DF"/>
    <w:rsid w:val="001404F0"/>
    <w:rsid w:val="001417ED"/>
    <w:rsid w:val="00142CC6"/>
    <w:rsid w:val="001441AA"/>
    <w:rsid w:val="001449AB"/>
    <w:rsid w:val="00144F85"/>
    <w:rsid w:val="00145C1D"/>
    <w:rsid w:val="00145EF0"/>
    <w:rsid w:val="0014636C"/>
    <w:rsid w:val="0014717F"/>
    <w:rsid w:val="001474CD"/>
    <w:rsid w:val="00147577"/>
    <w:rsid w:val="00151D16"/>
    <w:rsid w:val="001522B6"/>
    <w:rsid w:val="001522E6"/>
    <w:rsid w:val="0015273D"/>
    <w:rsid w:val="00152F0C"/>
    <w:rsid w:val="00152F1D"/>
    <w:rsid w:val="001536E2"/>
    <w:rsid w:val="00153B0D"/>
    <w:rsid w:val="00154299"/>
    <w:rsid w:val="00155C36"/>
    <w:rsid w:val="00156485"/>
    <w:rsid w:val="00156BBC"/>
    <w:rsid w:val="00156D23"/>
    <w:rsid w:val="001608EE"/>
    <w:rsid w:val="00162014"/>
    <w:rsid w:val="00163F4A"/>
    <w:rsid w:val="00164B2E"/>
    <w:rsid w:val="001650C3"/>
    <w:rsid w:val="001668F1"/>
    <w:rsid w:val="001711BD"/>
    <w:rsid w:val="00171763"/>
    <w:rsid w:val="00172092"/>
    <w:rsid w:val="0017399A"/>
    <w:rsid w:val="00180774"/>
    <w:rsid w:val="0018213A"/>
    <w:rsid w:val="00183FDF"/>
    <w:rsid w:val="00185A18"/>
    <w:rsid w:val="00185D5D"/>
    <w:rsid w:val="00186571"/>
    <w:rsid w:val="0018763B"/>
    <w:rsid w:val="0019042B"/>
    <w:rsid w:val="001931E4"/>
    <w:rsid w:val="00195063"/>
    <w:rsid w:val="001954AF"/>
    <w:rsid w:val="0019638B"/>
    <w:rsid w:val="00197070"/>
    <w:rsid w:val="00197866"/>
    <w:rsid w:val="001A09BD"/>
    <w:rsid w:val="001A0FEC"/>
    <w:rsid w:val="001A10B7"/>
    <w:rsid w:val="001A1C01"/>
    <w:rsid w:val="001A2463"/>
    <w:rsid w:val="001A3787"/>
    <w:rsid w:val="001A5839"/>
    <w:rsid w:val="001A5B67"/>
    <w:rsid w:val="001B042E"/>
    <w:rsid w:val="001B2A7B"/>
    <w:rsid w:val="001B36C6"/>
    <w:rsid w:val="001B51BB"/>
    <w:rsid w:val="001B55BF"/>
    <w:rsid w:val="001C0CB6"/>
    <w:rsid w:val="001C0EAB"/>
    <w:rsid w:val="001D05FF"/>
    <w:rsid w:val="001D44E1"/>
    <w:rsid w:val="001D4539"/>
    <w:rsid w:val="001D5D1F"/>
    <w:rsid w:val="001D67A6"/>
    <w:rsid w:val="001D71D9"/>
    <w:rsid w:val="001E004B"/>
    <w:rsid w:val="001E050A"/>
    <w:rsid w:val="001E13AA"/>
    <w:rsid w:val="001E2CD7"/>
    <w:rsid w:val="001E3787"/>
    <w:rsid w:val="001E4203"/>
    <w:rsid w:val="001E4AA5"/>
    <w:rsid w:val="001E4C7F"/>
    <w:rsid w:val="001E720C"/>
    <w:rsid w:val="001E731E"/>
    <w:rsid w:val="001F16EC"/>
    <w:rsid w:val="001F21DD"/>
    <w:rsid w:val="001F2E7F"/>
    <w:rsid w:val="001F50DA"/>
    <w:rsid w:val="001F601D"/>
    <w:rsid w:val="001F6E93"/>
    <w:rsid w:val="001F7540"/>
    <w:rsid w:val="001F7726"/>
    <w:rsid w:val="00200720"/>
    <w:rsid w:val="002031B6"/>
    <w:rsid w:val="00203B45"/>
    <w:rsid w:val="00205320"/>
    <w:rsid w:val="0020734F"/>
    <w:rsid w:val="00214868"/>
    <w:rsid w:val="00214D1B"/>
    <w:rsid w:val="002164E8"/>
    <w:rsid w:val="002168B1"/>
    <w:rsid w:val="00217DE1"/>
    <w:rsid w:val="0022078B"/>
    <w:rsid w:val="00221581"/>
    <w:rsid w:val="00222A0C"/>
    <w:rsid w:val="002231F3"/>
    <w:rsid w:val="00225788"/>
    <w:rsid w:val="0022631E"/>
    <w:rsid w:val="00227F2B"/>
    <w:rsid w:val="00230068"/>
    <w:rsid w:val="0023039B"/>
    <w:rsid w:val="00234177"/>
    <w:rsid w:val="00235EB7"/>
    <w:rsid w:val="00236748"/>
    <w:rsid w:val="0023676B"/>
    <w:rsid w:val="00240036"/>
    <w:rsid w:val="00242BD8"/>
    <w:rsid w:val="002455AC"/>
    <w:rsid w:val="002458E5"/>
    <w:rsid w:val="00250549"/>
    <w:rsid w:val="00252218"/>
    <w:rsid w:val="002536ED"/>
    <w:rsid w:val="002562F8"/>
    <w:rsid w:val="00257BFB"/>
    <w:rsid w:val="002635BF"/>
    <w:rsid w:val="00265221"/>
    <w:rsid w:val="00265968"/>
    <w:rsid w:val="002666E6"/>
    <w:rsid w:val="00266A98"/>
    <w:rsid w:val="002672C7"/>
    <w:rsid w:val="00270029"/>
    <w:rsid w:val="0027045A"/>
    <w:rsid w:val="00270E1C"/>
    <w:rsid w:val="00271B60"/>
    <w:rsid w:val="00271C49"/>
    <w:rsid w:val="00271C87"/>
    <w:rsid w:val="002738BE"/>
    <w:rsid w:val="00274484"/>
    <w:rsid w:val="002754FB"/>
    <w:rsid w:val="00275B16"/>
    <w:rsid w:val="00276FE7"/>
    <w:rsid w:val="00277D80"/>
    <w:rsid w:val="00277EB1"/>
    <w:rsid w:val="00281252"/>
    <w:rsid w:val="00282592"/>
    <w:rsid w:val="00285AD4"/>
    <w:rsid w:val="00285DA4"/>
    <w:rsid w:val="00286E46"/>
    <w:rsid w:val="00290A34"/>
    <w:rsid w:val="00290F86"/>
    <w:rsid w:val="00291D2F"/>
    <w:rsid w:val="00293791"/>
    <w:rsid w:val="002949E0"/>
    <w:rsid w:val="00295A79"/>
    <w:rsid w:val="00296697"/>
    <w:rsid w:val="00296BBF"/>
    <w:rsid w:val="002A305E"/>
    <w:rsid w:val="002A36CB"/>
    <w:rsid w:val="002A3FD5"/>
    <w:rsid w:val="002A4C7A"/>
    <w:rsid w:val="002A6423"/>
    <w:rsid w:val="002A6BA1"/>
    <w:rsid w:val="002A7792"/>
    <w:rsid w:val="002B0BE7"/>
    <w:rsid w:val="002B4108"/>
    <w:rsid w:val="002B4252"/>
    <w:rsid w:val="002B6F6D"/>
    <w:rsid w:val="002C08A1"/>
    <w:rsid w:val="002C2436"/>
    <w:rsid w:val="002C3692"/>
    <w:rsid w:val="002C3E66"/>
    <w:rsid w:val="002C5599"/>
    <w:rsid w:val="002C6319"/>
    <w:rsid w:val="002C6385"/>
    <w:rsid w:val="002C6946"/>
    <w:rsid w:val="002C7EC6"/>
    <w:rsid w:val="002D0D4B"/>
    <w:rsid w:val="002D1129"/>
    <w:rsid w:val="002D3C57"/>
    <w:rsid w:val="002D58A5"/>
    <w:rsid w:val="002D5CCB"/>
    <w:rsid w:val="002D5D04"/>
    <w:rsid w:val="002D73D6"/>
    <w:rsid w:val="002E0AF4"/>
    <w:rsid w:val="002E107B"/>
    <w:rsid w:val="002E311E"/>
    <w:rsid w:val="002E3E0D"/>
    <w:rsid w:val="002E562C"/>
    <w:rsid w:val="002E591B"/>
    <w:rsid w:val="002E71BD"/>
    <w:rsid w:val="002F081B"/>
    <w:rsid w:val="002F156B"/>
    <w:rsid w:val="002F1633"/>
    <w:rsid w:val="002F21E1"/>
    <w:rsid w:val="002F303E"/>
    <w:rsid w:val="002F32B8"/>
    <w:rsid w:val="002F5641"/>
    <w:rsid w:val="002F6879"/>
    <w:rsid w:val="002F6AFA"/>
    <w:rsid w:val="003004C5"/>
    <w:rsid w:val="003026EB"/>
    <w:rsid w:val="0030383E"/>
    <w:rsid w:val="0030440A"/>
    <w:rsid w:val="00305008"/>
    <w:rsid w:val="00305080"/>
    <w:rsid w:val="00305B28"/>
    <w:rsid w:val="0030658C"/>
    <w:rsid w:val="00306839"/>
    <w:rsid w:val="003078F0"/>
    <w:rsid w:val="00307E3A"/>
    <w:rsid w:val="00310CE5"/>
    <w:rsid w:val="00312DCB"/>
    <w:rsid w:val="00315E40"/>
    <w:rsid w:val="00320467"/>
    <w:rsid w:val="0032115B"/>
    <w:rsid w:val="00323B30"/>
    <w:rsid w:val="00323D0F"/>
    <w:rsid w:val="00325152"/>
    <w:rsid w:val="00325945"/>
    <w:rsid w:val="0032598A"/>
    <w:rsid w:val="003264CA"/>
    <w:rsid w:val="00330EC4"/>
    <w:rsid w:val="00332D63"/>
    <w:rsid w:val="00332D7F"/>
    <w:rsid w:val="00334071"/>
    <w:rsid w:val="0033574B"/>
    <w:rsid w:val="00335E60"/>
    <w:rsid w:val="003376C0"/>
    <w:rsid w:val="003420F8"/>
    <w:rsid w:val="003431BE"/>
    <w:rsid w:val="003473BF"/>
    <w:rsid w:val="0034783C"/>
    <w:rsid w:val="0035060C"/>
    <w:rsid w:val="00353793"/>
    <w:rsid w:val="003542EB"/>
    <w:rsid w:val="00355144"/>
    <w:rsid w:val="0035517C"/>
    <w:rsid w:val="003553F1"/>
    <w:rsid w:val="00360E5E"/>
    <w:rsid w:val="003627C6"/>
    <w:rsid w:val="003641B1"/>
    <w:rsid w:val="003674CF"/>
    <w:rsid w:val="00370821"/>
    <w:rsid w:val="00371EBE"/>
    <w:rsid w:val="0037676C"/>
    <w:rsid w:val="003768B4"/>
    <w:rsid w:val="00380A2E"/>
    <w:rsid w:val="00381A7C"/>
    <w:rsid w:val="00382980"/>
    <w:rsid w:val="00382D24"/>
    <w:rsid w:val="00383218"/>
    <w:rsid w:val="00383A6B"/>
    <w:rsid w:val="00384BB4"/>
    <w:rsid w:val="003861C6"/>
    <w:rsid w:val="003874CD"/>
    <w:rsid w:val="0038755C"/>
    <w:rsid w:val="00387E42"/>
    <w:rsid w:val="00387E64"/>
    <w:rsid w:val="00391130"/>
    <w:rsid w:val="00392E1E"/>
    <w:rsid w:val="003933C5"/>
    <w:rsid w:val="0039360B"/>
    <w:rsid w:val="003938EA"/>
    <w:rsid w:val="00395BB1"/>
    <w:rsid w:val="003A1326"/>
    <w:rsid w:val="003A192A"/>
    <w:rsid w:val="003A1AD5"/>
    <w:rsid w:val="003A2D15"/>
    <w:rsid w:val="003A4E30"/>
    <w:rsid w:val="003A5158"/>
    <w:rsid w:val="003B0106"/>
    <w:rsid w:val="003B04C4"/>
    <w:rsid w:val="003B30C7"/>
    <w:rsid w:val="003B5354"/>
    <w:rsid w:val="003B672C"/>
    <w:rsid w:val="003B67D6"/>
    <w:rsid w:val="003B6B3D"/>
    <w:rsid w:val="003B7442"/>
    <w:rsid w:val="003B77E3"/>
    <w:rsid w:val="003C1591"/>
    <w:rsid w:val="003C2142"/>
    <w:rsid w:val="003C7915"/>
    <w:rsid w:val="003D17FB"/>
    <w:rsid w:val="003D1C1E"/>
    <w:rsid w:val="003D3E19"/>
    <w:rsid w:val="003D3F0B"/>
    <w:rsid w:val="003D41C4"/>
    <w:rsid w:val="003D4594"/>
    <w:rsid w:val="003D6654"/>
    <w:rsid w:val="003D7663"/>
    <w:rsid w:val="003E1D74"/>
    <w:rsid w:val="003E2269"/>
    <w:rsid w:val="003E3B0E"/>
    <w:rsid w:val="003E43C0"/>
    <w:rsid w:val="003E4A0C"/>
    <w:rsid w:val="003E68E2"/>
    <w:rsid w:val="003E76CC"/>
    <w:rsid w:val="003E798A"/>
    <w:rsid w:val="003E7FB0"/>
    <w:rsid w:val="003F026D"/>
    <w:rsid w:val="003F0F61"/>
    <w:rsid w:val="003F2808"/>
    <w:rsid w:val="003F3738"/>
    <w:rsid w:val="003F5A76"/>
    <w:rsid w:val="003F7064"/>
    <w:rsid w:val="004005AE"/>
    <w:rsid w:val="00401524"/>
    <w:rsid w:val="00404857"/>
    <w:rsid w:val="00406488"/>
    <w:rsid w:val="004077AD"/>
    <w:rsid w:val="00407C06"/>
    <w:rsid w:val="00410A6B"/>
    <w:rsid w:val="004111E5"/>
    <w:rsid w:val="004130C1"/>
    <w:rsid w:val="0041481F"/>
    <w:rsid w:val="004159C7"/>
    <w:rsid w:val="00416100"/>
    <w:rsid w:val="00422522"/>
    <w:rsid w:val="00425F14"/>
    <w:rsid w:val="00437004"/>
    <w:rsid w:val="004378CB"/>
    <w:rsid w:val="00442E56"/>
    <w:rsid w:val="004441DF"/>
    <w:rsid w:val="00444B23"/>
    <w:rsid w:val="00454A6A"/>
    <w:rsid w:val="00455DCE"/>
    <w:rsid w:val="0046171C"/>
    <w:rsid w:val="0046187A"/>
    <w:rsid w:val="00461926"/>
    <w:rsid w:val="00464C30"/>
    <w:rsid w:val="004659C3"/>
    <w:rsid w:val="0046642F"/>
    <w:rsid w:val="00472FC2"/>
    <w:rsid w:val="004730F2"/>
    <w:rsid w:val="00477DA1"/>
    <w:rsid w:val="00483122"/>
    <w:rsid w:val="0048374E"/>
    <w:rsid w:val="00483BBC"/>
    <w:rsid w:val="00484C32"/>
    <w:rsid w:val="00485B42"/>
    <w:rsid w:val="0048610C"/>
    <w:rsid w:val="00491962"/>
    <w:rsid w:val="0049200F"/>
    <w:rsid w:val="0049222A"/>
    <w:rsid w:val="0049264E"/>
    <w:rsid w:val="004927AA"/>
    <w:rsid w:val="004930C5"/>
    <w:rsid w:val="00493213"/>
    <w:rsid w:val="00493430"/>
    <w:rsid w:val="004939CA"/>
    <w:rsid w:val="00493EC5"/>
    <w:rsid w:val="00495781"/>
    <w:rsid w:val="00495A1F"/>
    <w:rsid w:val="00495CFF"/>
    <w:rsid w:val="00496807"/>
    <w:rsid w:val="004972F8"/>
    <w:rsid w:val="004A1761"/>
    <w:rsid w:val="004A4FD5"/>
    <w:rsid w:val="004A5487"/>
    <w:rsid w:val="004A7627"/>
    <w:rsid w:val="004A766F"/>
    <w:rsid w:val="004B4077"/>
    <w:rsid w:val="004B4967"/>
    <w:rsid w:val="004B5026"/>
    <w:rsid w:val="004B6B71"/>
    <w:rsid w:val="004B6D34"/>
    <w:rsid w:val="004C0170"/>
    <w:rsid w:val="004C0D6E"/>
    <w:rsid w:val="004C24D1"/>
    <w:rsid w:val="004C3333"/>
    <w:rsid w:val="004C4B50"/>
    <w:rsid w:val="004C585F"/>
    <w:rsid w:val="004C5E09"/>
    <w:rsid w:val="004C67B4"/>
    <w:rsid w:val="004C7B61"/>
    <w:rsid w:val="004D084C"/>
    <w:rsid w:val="004D109C"/>
    <w:rsid w:val="004D2801"/>
    <w:rsid w:val="004D2B7B"/>
    <w:rsid w:val="004D3299"/>
    <w:rsid w:val="004D4775"/>
    <w:rsid w:val="004D7BDE"/>
    <w:rsid w:val="004E144F"/>
    <w:rsid w:val="004E16CE"/>
    <w:rsid w:val="004E3425"/>
    <w:rsid w:val="004E52F8"/>
    <w:rsid w:val="004E6386"/>
    <w:rsid w:val="004E783B"/>
    <w:rsid w:val="004F1A39"/>
    <w:rsid w:val="004F35C4"/>
    <w:rsid w:val="004F7596"/>
    <w:rsid w:val="004F77D3"/>
    <w:rsid w:val="005019CB"/>
    <w:rsid w:val="00503AEE"/>
    <w:rsid w:val="0050449E"/>
    <w:rsid w:val="00505C8E"/>
    <w:rsid w:val="005065A5"/>
    <w:rsid w:val="00513FCE"/>
    <w:rsid w:val="00514006"/>
    <w:rsid w:val="005161A0"/>
    <w:rsid w:val="005177FC"/>
    <w:rsid w:val="00521D70"/>
    <w:rsid w:val="00522208"/>
    <w:rsid w:val="005234E8"/>
    <w:rsid w:val="00524D16"/>
    <w:rsid w:val="00531F61"/>
    <w:rsid w:val="005333C9"/>
    <w:rsid w:val="00535A62"/>
    <w:rsid w:val="00535F45"/>
    <w:rsid w:val="00536AB3"/>
    <w:rsid w:val="00537A4E"/>
    <w:rsid w:val="00540C7B"/>
    <w:rsid w:val="00543C8B"/>
    <w:rsid w:val="00547EF6"/>
    <w:rsid w:val="00551D7B"/>
    <w:rsid w:val="00552EFC"/>
    <w:rsid w:val="00553828"/>
    <w:rsid w:val="00553E66"/>
    <w:rsid w:val="00554165"/>
    <w:rsid w:val="005561AC"/>
    <w:rsid w:val="005564A7"/>
    <w:rsid w:val="00556CC5"/>
    <w:rsid w:val="00556D0A"/>
    <w:rsid w:val="0056027C"/>
    <w:rsid w:val="00560CA4"/>
    <w:rsid w:val="0056138C"/>
    <w:rsid w:val="00561ABB"/>
    <w:rsid w:val="00562A3E"/>
    <w:rsid w:val="00562AAD"/>
    <w:rsid w:val="00565DD3"/>
    <w:rsid w:val="00570862"/>
    <w:rsid w:val="00570CD3"/>
    <w:rsid w:val="00572B83"/>
    <w:rsid w:val="005763A8"/>
    <w:rsid w:val="005772DF"/>
    <w:rsid w:val="00577D72"/>
    <w:rsid w:val="005833E2"/>
    <w:rsid w:val="00586B5C"/>
    <w:rsid w:val="00591821"/>
    <w:rsid w:val="005942C7"/>
    <w:rsid w:val="005947EE"/>
    <w:rsid w:val="00594A65"/>
    <w:rsid w:val="00594B9B"/>
    <w:rsid w:val="00596BFA"/>
    <w:rsid w:val="005975E0"/>
    <w:rsid w:val="00597875"/>
    <w:rsid w:val="005A242A"/>
    <w:rsid w:val="005A2CF0"/>
    <w:rsid w:val="005A4B6F"/>
    <w:rsid w:val="005A6021"/>
    <w:rsid w:val="005A64E9"/>
    <w:rsid w:val="005A6BC2"/>
    <w:rsid w:val="005B0615"/>
    <w:rsid w:val="005B1BD1"/>
    <w:rsid w:val="005B2FF5"/>
    <w:rsid w:val="005B535A"/>
    <w:rsid w:val="005C0920"/>
    <w:rsid w:val="005C1C8F"/>
    <w:rsid w:val="005C2356"/>
    <w:rsid w:val="005C5558"/>
    <w:rsid w:val="005C78CA"/>
    <w:rsid w:val="005D0F45"/>
    <w:rsid w:val="005D13FA"/>
    <w:rsid w:val="005D1B89"/>
    <w:rsid w:val="005D3002"/>
    <w:rsid w:val="005D30CB"/>
    <w:rsid w:val="005D41D3"/>
    <w:rsid w:val="005D433D"/>
    <w:rsid w:val="005D4E04"/>
    <w:rsid w:val="005D548A"/>
    <w:rsid w:val="005E00E3"/>
    <w:rsid w:val="005E2EA2"/>
    <w:rsid w:val="005E3AD2"/>
    <w:rsid w:val="005E4048"/>
    <w:rsid w:val="005E4E68"/>
    <w:rsid w:val="005E58BB"/>
    <w:rsid w:val="005E5C82"/>
    <w:rsid w:val="005E5D7B"/>
    <w:rsid w:val="005E6DA5"/>
    <w:rsid w:val="005E7616"/>
    <w:rsid w:val="005E7FF9"/>
    <w:rsid w:val="005F09C5"/>
    <w:rsid w:val="005F0D73"/>
    <w:rsid w:val="005F0E92"/>
    <w:rsid w:val="005F1FBB"/>
    <w:rsid w:val="005F2416"/>
    <w:rsid w:val="005F2ED2"/>
    <w:rsid w:val="005F3601"/>
    <w:rsid w:val="005F512C"/>
    <w:rsid w:val="005F556E"/>
    <w:rsid w:val="005F7197"/>
    <w:rsid w:val="006014F8"/>
    <w:rsid w:val="006026E2"/>
    <w:rsid w:val="00603DF8"/>
    <w:rsid w:val="0060431B"/>
    <w:rsid w:val="00604706"/>
    <w:rsid w:val="00605CA9"/>
    <w:rsid w:val="006067D5"/>
    <w:rsid w:val="006103E3"/>
    <w:rsid w:val="006117F9"/>
    <w:rsid w:val="00612B4B"/>
    <w:rsid w:val="00612E7B"/>
    <w:rsid w:val="00613374"/>
    <w:rsid w:val="00614508"/>
    <w:rsid w:val="00616F17"/>
    <w:rsid w:val="00617536"/>
    <w:rsid w:val="00620467"/>
    <w:rsid w:val="00620946"/>
    <w:rsid w:val="00620A8A"/>
    <w:rsid w:val="00621199"/>
    <w:rsid w:val="0062169C"/>
    <w:rsid w:val="00623C68"/>
    <w:rsid w:val="00623EE3"/>
    <w:rsid w:val="00630223"/>
    <w:rsid w:val="0063301F"/>
    <w:rsid w:val="006346EF"/>
    <w:rsid w:val="00636BB0"/>
    <w:rsid w:val="00637881"/>
    <w:rsid w:val="00640A7B"/>
    <w:rsid w:val="00642969"/>
    <w:rsid w:val="0064493D"/>
    <w:rsid w:val="0064651C"/>
    <w:rsid w:val="00646D3D"/>
    <w:rsid w:val="00647010"/>
    <w:rsid w:val="00647822"/>
    <w:rsid w:val="00650EF4"/>
    <w:rsid w:val="00650F52"/>
    <w:rsid w:val="00652D5A"/>
    <w:rsid w:val="00654AD1"/>
    <w:rsid w:val="00655423"/>
    <w:rsid w:val="0065638D"/>
    <w:rsid w:val="00656968"/>
    <w:rsid w:val="00656E56"/>
    <w:rsid w:val="00662014"/>
    <w:rsid w:val="00664577"/>
    <w:rsid w:val="00665E1C"/>
    <w:rsid w:val="00667B7A"/>
    <w:rsid w:val="006717BF"/>
    <w:rsid w:val="006805D0"/>
    <w:rsid w:val="00680F91"/>
    <w:rsid w:val="00681FBB"/>
    <w:rsid w:val="0068246B"/>
    <w:rsid w:val="00682C77"/>
    <w:rsid w:val="00684454"/>
    <w:rsid w:val="00684E3D"/>
    <w:rsid w:val="00686F5A"/>
    <w:rsid w:val="00690689"/>
    <w:rsid w:val="006911BF"/>
    <w:rsid w:val="00693E52"/>
    <w:rsid w:val="00694186"/>
    <w:rsid w:val="00695871"/>
    <w:rsid w:val="006A45BB"/>
    <w:rsid w:val="006A6249"/>
    <w:rsid w:val="006A72A5"/>
    <w:rsid w:val="006B1BAF"/>
    <w:rsid w:val="006B1ED7"/>
    <w:rsid w:val="006B23DC"/>
    <w:rsid w:val="006C07C8"/>
    <w:rsid w:val="006C0CCB"/>
    <w:rsid w:val="006C197D"/>
    <w:rsid w:val="006C3CAF"/>
    <w:rsid w:val="006C4EC6"/>
    <w:rsid w:val="006C73AA"/>
    <w:rsid w:val="006D0427"/>
    <w:rsid w:val="006D1BF3"/>
    <w:rsid w:val="006D387C"/>
    <w:rsid w:val="006D6762"/>
    <w:rsid w:val="006E170E"/>
    <w:rsid w:val="006E439F"/>
    <w:rsid w:val="006E450C"/>
    <w:rsid w:val="006E4D23"/>
    <w:rsid w:val="006E7142"/>
    <w:rsid w:val="006F20B9"/>
    <w:rsid w:val="006F22AA"/>
    <w:rsid w:val="006F3F2E"/>
    <w:rsid w:val="006F499E"/>
    <w:rsid w:val="006F4B60"/>
    <w:rsid w:val="006F558F"/>
    <w:rsid w:val="006F5B5A"/>
    <w:rsid w:val="006F7980"/>
    <w:rsid w:val="007004B2"/>
    <w:rsid w:val="007004F6"/>
    <w:rsid w:val="0070174A"/>
    <w:rsid w:val="00702CC0"/>
    <w:rsid w:val="00702F91"/>
    <w:rsid w:val="00704AE4"/>
    <w:rsid w:val="00704BDB"/>
    <w:rsid w:val="00711926"/>
    <w:rsid w:val="00711C10"/>
    <w:rsid w:val="0071359A"/>
    <w:rsid w:val="00714592"/>
    <w:rsid w:val="00714E06"/>
    <w:rsid w:val="0071640B"/>
    <w:rsid w:val="00716DC9"/>
    <w:rsid w:val="007235EA"/>
    <w:rsid w:val="007236C4"/>
    <w:rsid w:val="00724024"/>
    <w:rsid w:val="0072546C"/>
    <w:rsid w:val="0072600B"/>
    <w:rsid w:val="007264CE"/>
    <w:rsid w:val="00730353"/>
    <w:rsid w:val="00732127"/>
    <w:rsid w:val="0073224F"/>
    <w:rsid w:val="0073242E"/>
    <w:rsid w:val="007356BF"/>
    <w:rsid w:val="00740A2F"/>
    <w:rsid w:val="00743258"/>
    <w:rsid w:val="00746808"/>
    <w:rsid w:val="007546A0"/>
    <w:rsid w:val="007554D8"/>
    <w:rsid w:val="00756D5C"/>
    <w:rsid w:val="007577DB"/>
    <w:rsid w:val="00760F01"/>
    <w:rsid w:val="00762C13"/>
    <w:rsid w:val="00763956"/>
    <w:rsid w:val="00765029"/>
    <w:rsid w:val="00766319"/>
    <w:rsid w:val="0076631C"/>
    <w:rsid w:val="0076767B"/>
    <w:rsid w:val="00767A92"/>
    <w:rsid w:val="00771CDC"/>
    <w:rsid w:val="00773D1B"/>
    <w:rsid w:val="00774E40"/>
    <w:rsid w:val="007777E7"/>
    <w:rsid w:val="007838C8"/>
    <w:rsid w:val="00787506"/>
    <w:rsid w:val="0079108A"/>
    <w:rsid w:val="0079120A"/>
    <w:rsid w:val="00792732"/>
    <w:rsid w:val="00793951"/>
    <w:rsid w:val="00794462"/>
    <w:rsid w:val="007947C2"/>
    <w:rsid w:val="00794A9F"/>
    <w:rsid w:val="00795561"/>
    <w:rsid w:val="00795BAD"/>
    <w:rsid w:val="00795D7E"/>
    <w:rsid w:val="007962A8"/>
    <w:rsid w:val="00796DBC"/>
    <w:rsid w:val="00797B92"/>
    <w:rsid w:val="007A42A9"/>
    <w:rsid w:val="007A4550"/>
    <w:rsid w:val="007A4DB1"/>
    <w:rsid w:val="007A524D"/>
    <w:rsid w:val="007A61CD"/>
    <w:rsid w:val="007A6307"/>
    <w:rsid w:val="007A72B5"/>
    <w:rsid w:val="007A7BBE"/>
    <w:rsid w:val="007B29E1"/>
    <w:rsid w:val="007B5C9F"/>
    <w:rsid w:val="007B6B3E"/>
    <w:rsid w:val="007B6DCA"/>
    <w:rsid w:val="007B72D7"/>
    <w:rsid w:val="007C03CF"/>
    <w:rsid w:val="007C0722"/>
    <w:rsid w:val="007C1063"/>
    <w:rsid w:val="007C17AB"/>
    <w:rsid w:val="007C1AD0"/>
    <w:rsid w:val="007C4A88"/>
    <w:rsid w:val="007C693F"/>
    <w:rsid w:val="007D0243"/>
    <w:rsid w:val="007D4AA0"/>
    <w:rsid w:val="007D69C1"/>
    <w:rsid w:val="007D7010"/>
    <w:rsid w:val="007D76EF"/>
    <w:rsid w:val="007E0158"/>
    <w:rsid w:val="007E0B8E"/>
    <w:rsid w:val="007E4D6C"/>
    <w:rsid w:val="007E5531"/>
    <w:rsid w:val="007E70C0"/>
    <w:rsid w:val="007F0C32"/>
    <w:rsid w:val="007F2405"/>
    <w:rsid w:val="007F31D5"/>
    <w:rsid w:val="007F661D"/>
    <w:rsid w:val="007F7E9E"/>
    <w:rsid w:val="008018CE"/>
    <w:rsid w:val="00803A7C"/>
    <w:rsid w:val="0080447C"/>
    <w:rsid w:val="00806AC1"/>
    <w:rsid w:val="00810484"/>
    <w:rsid w:val="00811969"/>
    <w:rsid w:val="00815F38"/>
    <w:rsid w:val="008175CC"/>
    <w:rsid w:val="00817728"/>
    <w:rsid w:val="00820B7C"/>
    <w:rsid w:val="00821C07"/>
    <w:rsid w:val="00823132"/>
    <w:rsid w:val="00823F63"/>
    <w:rsid w:val="008247B5"/>
    <w:rsid w:val="00825D41"/>
    <w:rsid w:val="00827576"/>
    <w:rsid w:val="00830826"/>
    <w:rsid w:val="00832CC2"/>
    <w:rsid w:val="008335FB"/>
    <w:rsid w:val="008357F0"/>
    <w:rsid w:val="00836C71"/>
    <w:rsid w:val="008370AB"/>
    <w:rsid w:val="00840120"/>
    <w:rsid w:val="00841181"/>
    <w:rsid w:val="008411B1"/>
    <w:rsid w:val="00842BEB"/>
    <w:rsid w:val="008438C1"/>
    <w:rsid w:val="00843B70"/>
    <w:rsid w:val="00846F51"/>
    <w:rsid w:val="00847A79"/>
    <w:rsid w:val="008503D0"/>
    <w:rsid w:val="0085098B"/>
    <w:rsid w:val="00850B22"/>
    <w:rsid w:val="0085118B"/>
    <w:rsid w:val="008534E8"/>
    <w:rsid w:val="00854105"/>
    <w:rsid w:val="00855D22"/>
    <w:rsid w:val="00855F05"/>
    <w:rsid w:val="008568BB"/>
    <w:rsid w:val="00860CFC"/>
    <w:rsid w:val="00861971"/>
    <w:rsid w:val="00862DB8"/>
    <w:rsid w:val="008649BC"/>
    <w:rsid w:val="00866531"/>
    <w:rsid w:val="00866E88"/>
    <w:rsid w:val="00870F63"/>
    <w:rsid w:val="00872DC6"/>
    <w:rsid w:val="00877BBF"/>
    <w:rsid w:val="0088175D"/>
    <w:rsid w:val="00881F07"/>
    <w:rsid w:val="00884345"/>
    <w:rsid w:val="00884818"/>
    <w:rsid w:val="00885004"/>
    <w:rsid w:val="00885139"/>
    <w:rsid w:val="00886268"/>
    <w:rsid w:val="00887CDB"/>
    <w:rsid w:val="008903FB"/>
    <w:rsid w:val="00894267"/>
    <w:rsid w:val="00894DA0"/>
    <w:rsid w:val="008960F4"/>
    <w:rsid w:val="00897084"/>
    <w:rsid w:val="008A0276"/>
    <w:rsid w:val="008A0A7E"/>
    <w:rsid w:val="008A14B4"/>
    <w:rsid w:val="008A17FA"/>
    <w:rsid w:val="008A2028"/>
    <w:rsid w:val="008A3718"/>
    <w:rsid w:val="008A377A"/>
    <w:rsid w:val="008A730F"/>
    <w:rsid w:val="008B0435"/>
    <w:rsid w:val="008B1032"/>
    <w:rsid w:val="008B16CB"/>
    <w:rsid w:val="008B18D0"/>
    <w:rsid w:val="008B2E50"/>
    <w:rsid w:val="008B5512"/>
    <w:rsid w:val="008B5DF0"/>
    <w:rsid w:val="008B778D"/>
    <w:rsid w:val="008C0387"/>
    <w:rsid w:val="008C0AAA"/>
    <w:rsid w:val="008C1B1D"/>
    <w:rsid w:val="008C2922"/>
    <w:rsid w:val="008C481F"/>
    <w:rsid w:val="008C533A"/>
    <w:rsid w:val="008C5B99"/>
    <w:rsid w:val="008D0608"/>
    <w:rsid w:val="008D186B"/>
    <w:rsid w:val="008D4128"/>
    <w:rsid w:val="008D62D3"/>
    <w:rsid w:val="008D6B62"/>
    <w:rsid w:val="008D6C1B"/>
    <w:rsid w:val="008D6FCD"/>
    <w:rsid w:val="008D73CA"/>
    <w:rsid w:val="008D7EC5"/>
    <w:rsid w:val="008E007A"/>
    <w:rsid w:val="008E0D33"/>
    <w:rsid w:val="008E14DE"/>
    <w:rsid w:val="008E22E0"/>
    <w:rsid w:val="008E290B"/>
    <w:rsid w:val="008E2D3C"/>
    <w:rsid w:val="008E2E04"/>
    <w:rsid w:val="008E508F"/>
    <w:rsid w:val="008E6177"/>
    <w:rsid w:val="008E6A11"/>
    <w:rsid w:val="008E7CD1"/>
    <w:rsid w:val="008F29ED"/>
    <w:rsid w:val="008F3BDC"/>
    <w:rsid w:val="008F6CD9"/>
    <w:rsid w:val="008F6DF3"/>
    <w:rsid w:val="008F7AB3"/>
    <w:rsid w:val="00906C14"/>
    <w:rsid w:val="0090724F"/>
    <w:rsid w:val="00913C09"/>
    <w:rsid w:val="00914A0D"/>
    <w:rsid w:val="0091505D"/>
    <w:rsid w:val="00915197"/>
    <w:rsid w:val="009159FC"/>
    <w:rsid w:val="00916194"/>
    <w:rsid w:val="00916A9E"/>
    <w:rsid w:val="00916E4D"/>
    <w:rsid w:val="00917317"/>
    <w:rsid w:val="00921AC9"/>
    <w:rsid w:val="00921C58"/>
    <w:rsid w:val="009234BD"/>
    <w:rsid w:val="00923702"/>
    <w:rsid w:val="009238F1"/>
    <w:rsid w:val="00924247"/>
    <w:rsid w:val="009256AF"/>
    <w:rsid w:val="00926993"/>
    <w:rsid w:val="00930739"/>
    <w:rsid w:val="0093075A"/>
    <w:rsid w:val="009325AD"/>
    <w:rsid w:val="00932C06"/>
    <w:rsid w:val="00932DEC"/>
    <w:rsid w:val="00936E35"/>
    <w:rsid w:val="00937B58"/>
    <w:rsid w:val="00940376"/>
    <w:rsid w:val="009411DE"/>
    <w:rsid w:val="0094138C"/>
    <w:rsid w:val="009415B1"/>
    <w:rsid w:val="00944F24"/>
    <w:rsid w:val="00951CBB"/>
    <w:rsid w:val="00952550"/>
    <w:rsid w:val="0095568B"/>
    <w:rsid w:val="00960169"/>
    <w:rsid w:val="00960993"/>
    <w:rsid w:val="00961514"/>
    <w:rsid w:val="00961EF0"/>
    <w:rsid w:val="00962F65"/>
    <w:rsid w:val="00965E47"/>
    <w:rsid w:val="009676EF"/>
    <w:rsid w:val="00967FB6"/>
    <w:rsid w:val="009717BB"/>
    <w:rsid w:val="00971DC8"/>
    <w:rsid w:val="009727BD"/>
    <w:rsid w:val="00973D57"/>
    <w:rsid w:val="009745B5"/>
    <w:rsid w:val="009756BB"/>
    <w:rsid w:val="0097759F"/>
    <w:rsid w:val="00981F44"/>
    <w:rsid w:val="00982EC9"/>
    <w:rsid w:val="00983146"/>
    <w:rsid w:val="00983D69"/>
    <w:rsid w:val="0098437F"/>
    <w:rsid w:val="0098700A"/>
    <w:rsid w:val="00990037"/>
    <w:rsid w:val="0099004A"/>
    <w:rsid w:val="00992A04"/>
    <w:rsid w:val="00994403"/>
    <w:rsid w:val="0099450E"/>
    <w:rsid w:val="00994A65"/>
    <w:rsid w:val="00995298"/>
    <w:rsid w:val="009966E2"/>
    <w:rsid w:val="00996976"/>
    <w:rsid w:val="009A327A"/>
    <w:rsid w:val="009A3297"/>
    <w:rsid w:val="009A3337"/>
    <w:rsid w:val="009A34D1"/>
    <w:rsid w:val="009A5161"/>
    <w:rsid w:val="009A6D99"/>
    <w:rsid w:val="009A7E4E"/>
    <w:rsid w:val="009B1DE8"/>
    <w:rsid w:val="009B2DFC"/>
    <w:rsid w:val="009B5812"/>
    <w:rsid w:val="009B5AA0"/>
    <w:rsid w:val="009B639A"/>
    <w:rsid w:val="009C1813"/>
    <w:rsid w:val="009C6AA4"/>
    <w:rsid w:val="009D0ABC"/>
    <w:rsid w:val="009D148E"/>
    <w:rsid w:val="009D15E2"/>
    <w:rsid w:val="009D1C1B"/>
    <w:rsid w:val="009D27DE"/>
    <w:rsid w:val="009D32EA"/>
    <w:rsid w:val="009D5D33"/>
    <w:rsid w:val="009D716F"/>
    <w:rsid w:val="009D722F"/>
    <w:rsid w:val="009D7E91"/>
    <w:rsid w:val="009E04CE"/>
    <w:rsid w:val="009E284D"/>
    <w:rsid w:val="009E4B85"/>
    <w:rsid w:val="009E4EC8"/>
    <w:rsid w:val="009E501B"/>
    <w:rsid w:val="009F09B8"/>
    <w:rsid w:val="009F1AC4"/>
    <w:rsid w:val="009F3667"/>
    <w:rsid w:val="009F63E3"/>
    <w:rsid w:val="00A02599"/>
    <w:rsid w:val="00A035FB"/>
    <w:rsid w:val="00A05310"/>
    <w:rsid w:val="00A054A9"/>
    <w:rsid w:val="00A067D7"/>
    <w:rsid w:val="00A0711D"/>
    <w:rsid w:val="00A10102"/>
    <w:rsid w:val="00A1087C"/>
    <w:rsid w:val="00A10B55"/>
    <w:rsid w:val="00A11915"/>
    <w:rsid w:val="00A12147"/>
    <w:rsid w:val="00A13433"/>
    <w:rsid w:val="00A152BF"/>
    <w:rsid w:val="00A2294B"/>
    <w:rsid w:val="00A25635"/>
    <w:rsid w:val="00A26D7C"/>
    <w:rsid w:val="00A337B2"/>
    <w:rsid w:val="00A40DD2"/>
    <w:rsid w:val="00A4153C"/>
    <w:rsid w:val="00A425EE"/>
    <w:rsid w:val="00A42D4E"/>
    <w:rsid w:val="00A430E7"/>
    <w:rsid w:val="00A45945"/>
    <w:rsid w:val="00A460B3"/>
    <w:rsid w:val="00A46A7C"/>
    <w:rsid w:val="00A474C5"/>
    <w:rsid w:val="00A478CB"/>
    <w:rsid w:val="00A51C24"/>
    <w:rsid w:val="00A539E8"/>
    <w:rsid w:val="00A542FB"/>
    <w:rsid w:val="00A5465B"/>
    <w:rsid w:val="00A549E0"/>
    <w:rsid w:val="00A55157"/>
    <w:rsid w:val="00A55B61"/>
    <w:rsid w:val="00A60C3C"/>
    <w:rsid w:val="00A6101E"/>
    <w:rsid w:val="00A6392D"/>
    <w:rsid w:val="00A63B63"/>
    <w:rsid w:val="00A63DAD"/>
    <w:rsid w:val="00A6489B"/>
    <w:rsid w:val="00A67443"/>
    <w:rsid w:val="00A703C7"/>
    <w:rsid w:val="00A70924"/>
    <w:rsid w:val="00A70AFA"/>
    <w:rsid w:val="00A71AA8"/>
    <w:rsid w:val="00A751F8"/>
    <w:rsid w:val="00A75AD7"/>
    <w:rsid w:val="00A769F1"/>
    <w:rsid w:val="00A80C34"/>
    <w:rsid w:val="00A811BC"/>
    <w:rsid w:val="00A81549"/>
    <w:rsid w:val="00A81C53"/>
    <w:rsid w:val="00A83230"/>
    <w:rsid w:val="00A842E2"/>
    <w:rsid w:val="00A8439E"/>
    <w:rsid w:val="00A85385"/>
    <w:rsid w:val="00A86D59"/>
    <w:rsid w:val="00A91624"/>
    <w:rsid w:val="00A955AE"/>
    <w:rsid w:val="00A95972"/>
    <w:rsid w:val="00A96970"/>
    <w:rsid w:val="00A96F74"/>
    <w:rsid w:val="00A97853"/>
    <w:rsid w:val="00AA1116"/>
    <w:rsid w:val="00AA2233"/>
    <w:rsid w:val="00AA3B8E"/>
    <w:rsid w:val="00AA513A"/>
    <w:rsid w:val="00AA69B5"/>
    <w:rsid w:val="00AA6D21"/>
    <w:rsid w:val="00AA71FB"/>
    <w:rsid w:val="00AA760A"/>
    <w:rsid w:val="00AA778D"/>
    <w:rsid w:val="00AB05FF"/>
    <w:rsid w:val="00AB2433"/>
    <w:rsid w:val="00AB32E9"/>
    <w:rsid w:val="00AB5852"/>
    <w:rsid w:val="00AC0644"/>
    <w:rsid w:val="00AC1001"/>
    <w:rsid w:val="00AC2E36"/>
    <w:rsid w:val="00AC7F32"/>
    <w:rsid w:val="00AD0A96"/>
    <w:rsid w:val="00AD257E"/>
    <w:rsid w:val="00AD3919"/>
    <w:rsid w:val="00AD50C3"/>
    <w:rsid w:val="00AD55DB"/>
    <w:rsid w:val="00AD6CDF"/>
    <w:rsid w:val="00AD76AD"/>
    <w:rsid w:val="00AE082A"/>
    <w:rsid w:val="00AE0A77"/>
    <w:rsid w:val="00AE0C74"/>
    <w:rsid w:val="00AE1E7E"/>
    <w:rsid w:val="00AE1FF2"/>
    <w:rsid w:val="00AE2508"/>
    <w:rsid w:val="00AE3C5F"/>
    <w:rsid w:val="00AE3F58"/>
    <w:rsid w:val="00AE4089"/>
    <w:rsid w:val="00AE41ED"/>
    <w:rsid w:val="00AE5594"/>
    <w:rsid w:val="00AE5999"/>
    <w:rsid w:val="00AE6131"/>
    <w:rsid w:val="00AE6A74"/>
    <w:rsid w:val="00AE6AB3"/>
    <w:rsid w:val="00AF0E21"/>
    <w:rsid w:val="00AF1361"/>
    <w:rsid w:val="00AF1461"/>
    <w:rsid w:val="00AF14E5"/>
    <w:rsid w:val="00AF1D89"/>
    <w:rsid w:val="00AF200A"/>
    <w:rsid w:val="00AF314F"/>
    <w:rsid w:val="00AF374A"/>
    <w:rsid w:val="00AF3E9E"/>
    <w:rsid w:val="00AF4250"/>
    <w:rsid w:val="00AF4679"/>
    <w:rsid w:val="00AF4E36"/>
    <w:rsid w:val="00B02120"/>
    <w:rsid w:val="00B02856"/>
    <w:rsid w:val="00B035FD"/>
    <w:rsid w:val="00B044D2"/>
    <w:rsid w:val="00B04999"/>
    <w:rsid w:val="00B04CAE"/>
    <w:rsid w:val="00B06006"/>
    <w:rsid w:val="00B06BC9"/>
    <w:rsid w:val="00B0757F"/>
    <w:rsid w:val="00B1185D"/>
    <w:rsid w:val="00B126FF"/>
    <w:rsid w:val="00B1334A"/>
    <w:rsid w:val="00B1358E"/>
    <w:rsid w:val="00B20B16"/>
    <w:rsid w:val="00B20DB6"/>
    <w:rsid w:val="00B22F37"/>
    <w:rsid w:val="00B23B2A"/>
    <w:rsid w:val="00B25052"/>
    <w:rsid w:val="00B25994"/>
    <w:rsid w:val="00B31A43"/>
    <w:rsid w:val="00B31EC0"/>
    <w:rsid w:val="00B341BC"/>
    <w:rsid w:val="00B34CB1"/>
    <w:rsid w:val="00B3585E"/>
    <w:rsid w:val="00B358C3"/>
    <w:rsid w:val="00B42046"/>
    <w:rsid w:val="00B42FCD"/>
    <w:rsid w:val="00B44635"/>
    <w:rsid w:val="00B451BE"/>
    <w:rsid w:val="00B46D0A"/>
    <w:rsid w:val="00B5039A"/>
    <w:rsid w:val="00B50BFF"/>
    <w:rsid w:val="00B51EDD"/>
    <w:rsid w:val="00B525DE"/>
    <w:rsid w:val="00B53018"/>
    <w:rsid w:val="00B53547"/>
    <w:rsid w:val="00B550A0"/>
    <w:rsid w:val="00B55839"/>
    <w:rsid w:val="00B55D56"/>
    <w:rsid w:val="00B56020"/>
    <w:rsid w:val="00B561C2"/>
    <w:rsid w:val="00B61746"/>
    <w:rsid w:val="00B61EBA"/>
    <w:rsid w:val="00B62B40"/>
    <w:rsid w:val="00B62E79"/>
    <w:rsid w:val="00B64826"/>
    <w:rsid w:val="00B648D5"/>
    <w:rsid w:val="00B6586C"/>
    <w:rsid w:val="00B67043"/>
    <w:rsid w:val="00B67121"/>
    <w:rsid w:val="00B731EF"/>
    <w:rsid w:val="00B735BF"/>
    <w:rsid w:val="00B74F25"/>
    <w:rsid w:val="00B763E7"/>
    <w:rsid w:val="00B76B18"/>
    <w:rsid w:val="00B76B49"/>
    <w:rsid w:val="00B77208"/>
    <w:rsid w:val="00B8069D"/>
    <w:rsid w:val="00B81B8A"/>
    <w:rsid w:val="00B820F9"/>
    <w:rsid w:val="00B85DEB"/>
    <w:rsid w:val="00B8668F"/>
    <w:rsid w:val="00B86C1B"/>
    <w:rsid w:val="00B872BB"/>
    <w:rsid w:val="00B87D1A"/>
    <w:rsid w:val="00B912E7"/>
    <w:rsid w:val="00B915EC"/>
    <w:rsid w:val="00B91887"/>
    <w:rsid w:val="00B92200"/>
    <w:rsid w:val="00B9487A"/>
    <w:rsid w:val="00B9677B"/>
    <w:rsid w:val="00BA1D45"/>
    <w:rsid w:val="00BA3A0A"/>
    <w:rsid w:val="00BA3FE2"/>
    <w:rsid w:val="00BA487B"/>
    <w:rsid w:val="00BB1310"/>
    <w:rsid w:val="00BB33FD"/>
    <w:rsid w:val="00BB3EC3"/>
    <w:rsid w:val="00BB4CA8"/>
    <w:rsid w:val="00BC4FF8"/>
    <w:rsid w:val="00BC764D"/>
    <w:rsid w:val="00BD07ED"/>
    <w:rsid w:val="00BD36A2"/>
    <w:rsid w:val="00BD5DD0"/>
    <w:rsid w:val="00BD61E0"/>
    <w:rsid w:val="00BD7B76"/>
    <w:rsid w:val="00BE052A"/>
    <w:rsid w:val="00BE322D"/>
    <w:rsid w:val="00BE64AE"/>
    <w:rsid w:val="00BE698C"/>
    <w:rsid w:val="00BF02D8"/>
    <w:rsid w:val="00BF04A6"/>
    <w:rsid w:val="00BF2237"/>
    <w:rsid w:val="00BF25A8"/>
    <w:rsid w:val="00BF281F"/>
    <w:rsid w:val="00BF2841"/>
    <w:rsid w:val="00BF3461"/>
    <w:rsid w:val="00BF5018"/>
    <w:rsid w:val="00BF79FA"/>
    <w:rsid w:val="00C005B5"/>
    <w:rsid w:val="00C03CA0"/>
    <w:rsid w:val="00C04397"/>
    <w:rsid w:val="00C04416"/>
    <w:rsid w:val="00C0458B"/>
    <w:rsid w:val="00C04920"/>
    <w:rsid w:val="00C059AD"/>
    <w:rsid w:val="00C0609C"/>
    <w:rsid w:val="00C067E9"/>
    <w:rsid w:val="00C11879"/>
    <w:rsid w:val="00C1212B"/>
    <w:rsid w:val="00C1368F"/>
    <w:rsid w:val="00C16DB3"/>
    <w:rsid w:val="00C17F28"/>
    <w:rsid w:val="00C20DAE"/>
    <w:rsid w:val="00C21062"/>
    <w:rsid w:val="00C21643"/>
    <w:rsid w:val="00C22368"/>
    <w:rsid w:val="00C22489"/>
    <w:rsid w:val="00C22B5C"/>
    <w:rsid w:val="00C22F60"/>
    <w:rsid w:val="00C23840"/>
    <w:rsid w:val="00C25BAE"/>
    <w:rsid w:val="00C25FB8"/>
    <w:rsid w:val="00C26C10"/>
    <w:rsid w:val="00C27B97"/>
    <w:rsid w:val="00C30342"/>
    <w:rsid w:val="00C33C36"/>
    <w:rsid w:val="00C341FE"/>
    <w:rsid w:val="00C34774"/>
    <w:rsid w:val="00C34C08"/>
    <w:rsid w:val="00C35B6B"/>
    <w:rsid w:val="00C370F4"/>
    <w:rsid w:val="00C40131"/>
    <w:rsid w:val="00C41905"/>
    <w:rsid w:val="00C41A44"/>
    <w:rsid w:val="00C42502"/>
    <w:rsid w:val="00C4503B"/>
    <w:rsid w:val="00C457EC"/>
    <w:rsid w:val="00C479BA"/>
    <w:rsid w:val="00C47B64"/>
    <w:rsid w:val="00C50954"/>
    <w:rsid w:val="00C51D44"/>
    <w:rsid w:val="00C60179"/>
    <w:rsid w:val="00C62C85"/>
    <w:rsid w:val="00C63C01"/>
    <w:rsid w:val="00C7099A"/>
    <w:rsid w:val="00C731C0"/>
    <w:rsid w:val="00C75587"/>
    <w:rsid w:val="00C76418"/>
    <w:rsid w:val="00C81E5D"/>
    <w:rsid w:val="00C83406"/>
    <w:rsid w:val="00C83BDA"/>
    <w:rsid w:val="00C8550D"/>
    <w:rsid w:val="00C914F7"/>
    <w:rsid w:val="00C92A21"/>
    <w:rsid w:val="00C92BB8"/>
    <w:rsid w:val="00C92C47"/>
    <w:rsid w:val="00C94288"/>
    <w:rsid w:val="00C94D58"/>
    <w:rsid w:val="00C97AE2"/>
    <w:rsid w:val="00CA14A9"/>
    <w:rsid w:val="00CA15C9"/>
    <w:rsid w:val="00CA3663"/>
    <w:rsid w:val="00CA3AB6"/>
    <w:rsid w:val="00CA5D0D"/>
    <w:rsid w:val="00CA7B31"/>
    <w:rsid w:val="00CA7D77"/>
    <w:rsid w:val="00CB1B9C"/>
    <w:rsid w:val="00CB1F2E"/>
    <w:rsid w:val="00CB2936"/>
    <w:rsid w:val="00CB2EAA"/>
    <w:rsid w:val="00CB31FC"/>
    <w:rsid w:val="00CB4723"/>
    <w:rsid w:val="00CB6109"/>
    <w:rsid w:val="00CB6E36"/>
    <w:rsid w:val="00CC1A03"/>
    <w:rsid w:val="00CC3955"/>
    <w:rsid w:val="00CC40B7"/>
    <w:rsid w:val="00CC6F33"/>
    <w:rsid w:val="00CD1692"/>
    <w:rsid w:val="00CD1BCF"/>
    <w:rsid w:val="00CD288B"/>
    <w:rsid w:val="00CD38EB"/>
    <w:rsid w:val="00CD3CBB"/>
    <w:rsid w:val="00CD4476"/>
    <w:rsid w:val="00CD716B"/>
    <w:rsid w:val="00CD7ADD"/>
    <w:rsid w:val="00CD7B6D"/>
    <w:rsid w:val="00CE08EC"/>
    <w:rsid w:val="00CE2CD9"/>
    <w:rsid w:val="00CE3639"/>
    <w:rsid w:val="00CE3AB0"/>
    <w:rsid w:val="00CE518A"/>
    <w:rsid w:val="00CE563F"/>
    <w:rsid w:val="00CE5E62"/>
    <w:rsid w:val="00CE6558"/>
    <w:rsid w:val="00CE6B9F"/>
    <w:rsid w:val="00CF0138"/>
    <w:rsid w:val="00CF068A"/>
    <w:rsid w:val="00CF1445"/>
    <w:rsid w:val="00CF2906"/>
    <w:rsid w:val="00CF3E9D"/>
    <w:rsid w:val="00CF5474"/>
    <w:rsid w:val="00CF7AC8"/>
    <w:rsid w:val="00D00408"/>
    <w:rsid w:val="00D01A92"/>
    <w:rsid w:val="00D033A3"/>
    <w:rsid w:val="00D03C6F"/>
    <w:rsid w:val="00D04871"/>
    <w:rsid w:val="00D06A9B"/>
    <w:rsid w:val="00D06DD5"/>
    <w:rsid w:val="00D146B3"/>
    <w:rsid w:val="00D14D01"/>
    <w:rsid w:val="00D159BC"/>
    <w:rsid w:val="00D20486"/>
    <w:rsid w:val="00D222DA"/>
    <w:rsid w:val="00D22719"/>
    <w:rsid w:val="00D22EBA"/>
    <w:rsid w:val="00D23BCA"/>
    <w:rsid w:val="00D2437A"/>
    <w:rsid w:val="00D24666"/>
    <w:rsid w:val="00D24EF3"/>
    <w:rsid w:val="00D30222"/>
    <w:rsid w:val="00D32415"/>
    <w:rsid w:val="00D3299E"/>
    <w:rsid w:val="00D3303A"/>
    <w:rsid w:val="00D346E8"/>
    <w:rsid w:val="00D35299"/>
    <w:rsid w:val="00D37450"/>
    <w:rsid w:val="00D37539"/>
    <w:rsid w:val="00D4047D"/>
    <w:rsid w:val="00D41241"/>
    <w:rsid w:val="00D42BBE"/>
    <w:rsid w:val="00D4316D"/>
    <w:rsid w:val="00D43BE7"/>
    <w:rsid w:val="00D44185"/>
    <w:rsid w:val="00D449F5"/>
    <w:rsid w:val="00D45063"/>
    <w:rsid w:val="00D456C3"/>
    <w:rsid w:val="00D51A5A"/>
    <w:rsid w:val="00D531DF"/>
    <w:rsid w:val="00D553D2"/>
    <w:rsid w:val="00D56AD4"/>
    <w:rsid w:val="00D575D8"/>
    <w:rsid w:val="00D57B02"/>
    <w:rsid w:val="00D57D32"/>
    <w:rsid w:val="00D63CC0"/>
    <w:rsid w:val="00D6491B"/>
    <w:rsid w:val="00D65276"/>
    <w:rsid w:val="00D667EA"/>
    <w:rsid w:val="00D66E65"/>
    <w:rsid w:val="00D671E1"/>
    <w:rsid w:val="00D6752B"/>
    <w:rsid w:val="00D67DF7"/>
    <w:rsid w:val="00D70AD6"/>
    <w:rsid w:val="00D72CFB"/>
    <w:rsid w:val="00D7504A"/>
    <w:rsid w:val="00D7622C"/>
    <w:rsid w:val="00D762C9"/>
    <w:rsid w:val="00D812D5"/>
    <w:rsid w:val="00D843FC"/>
    <w:rsid w:val="00D85B52"/>
    <w:rsid w:val="00D85BEA"/>
    <w:rsid w:val="00D90060"/>
    <w:rsid w:val="00D92E96"/>
    <w:rsid w:val="00D93227"/>
    <w:rsid w:val="00D94D28"/>
    <w:rsid w:val="00D95441"/>
    <w:rsid w:val="00D963B6"/>
    <w:rsid w:val="00D967D2"/>
    <w:rsid w:val="00D968CF"/>
    <w:rsid w:val="00D969BA"/>
    <w:rsid w:val="00D96C1C"/>
    <w:rsid w:val="00DA122B"/>
    <w:rsid w:val="00DA1857"/>
    <w:rsid w:val="00DA28D3"/>
    <w:rsid w:val="00DA3F89"/>
    <w:rsid w:val="00DA450F"/>
    <w:rsid w:val="00DA4B77"/>
    <w:rsid w:val="00DA5857"/>
    <w:rsid w:val="00DA59DA"/>
    <w:rsid w:val="00DA68D6"/>
    <w:rsid w:val="00DA7742"/>
    <w:rsid w:val="00DA77E2"/>
    <w:rsid w:val="00DA7BFB"/>
    <w:rsid w:val="00DB4794"/>
    <w:rsid w:val="00DB66F4"/>
    <w:rsid w:val="00DB70D0"/>
    <w:rsid w:val="00DB79A4"/>
    <w:rsid w:val="00DC0560"/>
    <w:rsid w:val="00DC12BE"/>
    <w:rsid w:val="00DC3371"/>
    <w:rsid w:val="00DC393A"/>
    <w:rsid w:val="00DC39AD"/>
    <w:rsid w:val="00DC3E8D"/>
    <w:rsid w:val="00DC54DF"/>
    <w:rsid w:val="00DD01F8"/>
    <w:rsid w:val="00DD1386"/>
    <w:rsid w:val="00DD37C4"/>
    <w:rsid w:val="00DD5425"/>
    <w:rsid w:val="00DD72A7"/>
    <w:rsid w:val="00DE0734"/>
    <w:rsid w:val="00DE1106"/>
    <w:rsid w:val="00DE1531"/>
    <w:rsid w:val="00DE18FD"/>
    <w:rsid w:val="00DE3E85"/>
    <w:rsid w:val="00DE3EE6"/>
    <w:rsid w:val="00DE48A4"/>
    <w:rsid w:val="00DE7239"/>
    <w:rsid w:val="00DF0855"/>
    <w:rsid w:val="00DF1A0A"/>
    <w:rsid w:val="00DF385F"/>
    <w:rsid w:val="00DF40E4"/>
    <w:rsid w:val="00DF4F09"/>
    <w:rsid w:val="00E03DA9"/>
    <w:rsid w:val="00E054E3"/>
    <w:rsid w:val="00E06429"/>
    <w:rsid w:val="00E06C3D"/>
    <w:rsid w:val="00E07A5F"/>
    <w:rsid w:val="00E1052E"/>
    <w:rsid w:val="00E10AA0"/>
    <w:rsid w:val="00E11BC4"/>
    <w:rsid w:val="00E15AFA"/>
    <w:rsid w:val="00E17CBC"/>
    <w:rsid w:val="00E20033"/>
    <w:rsid w:val="00E217FE"/>
    <w:rsid w:val="00E21CF1"/>
    <w:rsid w:val="00E21DB0"/>
    <w:rsid w:val="00E24D70"/>
    <w:rsid w:val="00E25F98"/>
    <w:rsid w:val="00E26121"/>
    <w:rsid w:val="00E269B0"/>
    <w:rsid w:val="00E27CF8"/>
    <w:rsid w:val="00E30557"/>
    <w:rsid w:val="00E3076E"/>
    <w:rsid w:val="00E31FA5"/>
    <w:rsid w:val="00E33B5B"/>
    <w:rsid w:val="00E34E81"/>
    <w:rsid w:val="00E37582"/>
    <w:rsid w:val="00E377CF"/>
    <w:rsid w:val="00E37B24"/>
    <w:rsid w:val="00E4039B"/>
    <w:rsid w:val="00E4361B"/>
    <w:rsid w:val="00E438EA"/>
    <w:rsid w:val="00E4688F"/>
    <w:rsid w:val="00E47114"/>
    <w:rsid w:val="00E517D6"/>
    <w:rsid w:val="00E5272E"/>
    <w:rsid w:val="00E52F62"/>
    <w:rsid w:val="00E53D6F"/>
    <w:rsid w:val="00E5712B"/>
    <w:rsid w:val="00E57589"/>
    <w:rsid w:val="00E60022"/>
    <w:rsid w:val="00E61229"/>
    <w:rsid w:val="00E646B3"/>
    <w:rsid w:val="00E64939"/>
    <w:rsid w:val="00E663CB"/>
    <w:rsid w:val="00E666E7"/>
    <w:rsid w:val="00E66D0D"/>
    <w:rsid w:val="00E6751B"/>
    <w:rsid w:val="00E70362"/>
    <w:rsid w:val="00E71CAF"/>
    <w:rsid w:val="00E722C1"/>
    <w:rsid w:val="00E72300"/>
    <w:rsid w:val="00E73BEF"/>
    <w:rsid w:val="00E73D92"/>
    <w:rsid w:val="00E7510D"/>
    <w:rsid w:val="00E800F3"/>
    <w:rsid w:val="00E8108C"/>
    <w:rsid w:val="00E820FE"/>
    <w:rsid w:val="00E82269"/>
    <w:rsid w:val="00E83D2D"/>
    <w:rsid w:val="00E83DC5"/>
    <w:rsid w:val="00E849FF"/>
    <w:rsid w:val="00E867C7"/>
    <w:rsid w:val="00E87E9C"/>
    <w:rsid w:val="00E92545"/>
    <w:rsid w:val="00E9325F"/>
    <w:rsid w:val="00E9457F"/>
    <w:rsid w:val="00E94EE4"/>
    <w:rsid w:val="00E96F8B"/>
    <w:rsid w:val="00E979C4"/>
    <w:rsid w:val="00EA1016"/>
    <w:rsid w:val="00EA1BE6"/>
    <w:rsid w:val="00EA283B"/>
    <w:rsid w:val="00EA3CA6"/>
    <w:rsid w:val="00EA4FD0"/>
    <w:rsid w:val="00EA73CD"/>
    <w:rsid w:val="00EB040B"/>
    <w:rsid w:val="00EB269E"/>
    <w:rsid w:val="00EB2FE5"/>
    <w:rsid w:val="00EB364D"/>
    <w:rsid w:val="00EB495A"/>
    <w:rsid w:val="00EB4B92"/>
    <w:rsid w:val="00EB4DA4"/>
    <w:rsid w:val="00EB5B16"/>
    <w:rsid w:val="00EC1238"/>
    <w:rsid w:val="00EC604A"/>
    <w:rsid w:val="00ED063F"/>
    <w:rsid w:val="00ED0837"/>
    <w:rsid w:val="00ED0F36"/>
    <w:rsid w:val="00ED5614"/>
    <w:rsid w:val="00ED5C7F"/>
    <w:rsid w:val="00EE19DD"/>
    <w:rsid w:val="00EE1A87"/>
    <w:rsid w:val="00EE1CD0"/>
    <w:rsid w:val="00EE2FA8"/>
    <w:rsid w:val="00EE3FD2"/>
    <w:rsid w:val="00EF0431"/>
    <w:rsid w:val="00EF3256"/>
    <w:rsid w:val="00EF41D2"/>
    <w:rsid w:val="00EF5EFC"/>
    <w:rsid w:val="00EF6A55"/>
    <w:rsid w:val="00EF75D9"/>
    <w:rsid w:val="00F0076D"/>
    <w:rsid w:val="00F00A0C"/>
    <w:rsid w:val="00F01D1A"/>
    <w:rsid w:val="00F02F7B"/>
    <w:rsid w:val="00F040DA"/>
    <w:rsid w:val="00F061C8"/>
    <w:rsid w:val="00F06B6D"/>
    <w:rsid w:val="00F071B7"/>
    <w:rsid w:val="00F103DF"/>
    <w:rsid w:val="00F13BDD"/>
    <w:rsid w:val="00F15F2F"/>
    <w:rsid w:val="00F17921"/>
    <w:rsid w:val="00F24FF1"/>
    <w:rsid w:val="00F25D35"/>
    <w:rsid w:val="00F30393"/>
    <w:rsid w:val="00F3046D"/>
    <w:rsid w:val="00F30F4D"/>
    <w:rsid w:val="00F34582"/>
    <w:rsid w:val="00F3465D"/>
    <w:rsid w:val="00F347DC"/>
    <w:rsid w:val="00F36C20"/>
    <w:rsid w:val="00F36CFA"/>
    <w:rsid w:val="00F36EE9"/>
    <w:rsid w:val="00F40DC1"/>
    <w:rsid w:val="00F435D6"/>
    <w:rsid w:val="00F44154"/>
    <w:rsid w:val="00F46962"/>
    <w:rsid w:val="00F4755D"/>
    <w:rsid w:val="00F51966"/>
    <w:rsid w:val="00F51C34"/>
    <w:rsid w:val="00F52A62"/>
    <w:rsid w:val="00F536B9"/>
    <w:rsid w:val="00F5698F"/>
    <w:rsid w:val="00F57E0E"/>
    <w:rsid w:val="00F6082A"/>
    <w:rsid w:val="00F6154D"/>
    <w:rsid w:val="00F625FF"/>
    <w:rsid w:val="00F658C7"/>
    <w:rsid w:val="00F7166B"/>
    <w:rsid w:val="00F75346"/>
    <w:rsid w:val="00F76F11"/>
    <w:rsid w:val="00F77893"/>
    <w:rsid w:val="00F809D0"/>
    <w:rsid w:val="00F80D5D"/>
    <w:rsid w:val="00F81863"/>
    <w:rsid w:val="00F833BF"/>
    <w:rsid w:val="00F8415E"/>
    <w:rsid w:val="00F847E9"/>
    <w:rsid w:val="00F857D3"/>
    <w:rsid w:val="00F86412"/>
    <w:rsid w:val="00F919D9"/>
    <w:rsid w:val="00F91EF1"/>
    <w:rsid w:val="00F91F47"/>
    <w:rsid w:val="00F9252C"/>
    <w:rsid w:val="00F93BBB"/>
    <w:rsid w:val="00F95715"/>
    <w:rsid w:val="00F95CEC"/>
    <w:rsid w:val="00F97C44"/>
    <w:rsid w:val="00FA01EF"/>
    <w:rsid w:val="00FA1D79"/>
    <w:rsid w:val="00FA2502"/>
    <w:rsid w:val="00FA30FF"/>
    <w:rsid w:val="00FA3315"/>
    <w:rsid w:val="00FA35C1"/>
    <w:rsid w:val="00FA4B9E"/>
    <w:rsid w:val="00FA5704"/>
    <w:rsid w:val="00FA595D"/>
    <w:rsid w:val="00FA5CF6"/>
    <w:rsid w:val="00FA6E0E"/>
    <w:rsid w:val="00FA7926"/>
    <w:rsid w:val="00FA7D49"/>
    <w:rsid w:val="00FB03D2"/>
    <w:rsid w:val="00FB0A2D"/>
    <w:rsid w:val="00FB1730"/>
    <w:rsid w:val="00FB20C7"/>
    <w:rsid w:val="00FB406A"/>
    <w:rsid w:val="00FC1688"/>
    <w:rsid w:val="00FC1F7A"/>
    <w:rsid w:val="00FC2955"/>
    <w:rsid w:val="00FC2A99"/>
    <w:rsid w:val="00FC2D54"/>
    <w:rsid w:val="00FC36D3"/>
    <w:rsid w:val="00FC7E26"/>
    <w:rsid w:val="00FD0D45"/>
    <w:rsid w:val="00FE0314"/>
    <w:rsid w:val="00FE657F"/>
    <w:rsid w:val="00FE7E53"/>
    <w:rsid w:val="00FF147A"/>
    <w:rsid w:val="00FF3325"/>
    <w:rsid w:val="00FF386E"/>
    <w:rsid w:val="00FF5E9B"/>
    <w:rsid w:val="00FF6574"/>
    <w:rsid w:val="00FF6D3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qFormat/>
    <w:rsid w:val="00370821"/>
    <w:pPr>
      <w:numPr>
        <w:numId w:val="6"/>
      </w:numPr>
      <w:spacing w:after="0" w:line="240" w:lineRule="auto"/>
      <w:ind w:left="426" w:hanging="142"/>
      <w:jc w:val="center"/>
      <w:outlineLvl w:val="0"/>
    </w:pPr>
    <w:rPr>
      <w:rFonts w:cstheme="minorHAnsi"/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1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uiPriority w:val="34"/>
    <w:qFormat/>
    <w:rsid w:val="00E517D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D900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900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006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D542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307"/>
  </w:style>
  <w:style w:type="paragraph" w:styleId="Zpat">
    <w:name w:val="footer"/>
    <w:basedOn w:val="Normln"/>
    <w:link w:val="ZpatChar"/>
    <w:unhideWhenUsed/>
    <w:rsid w:val="007A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307"/>
  </w:style>
  <w:style w:type="character" w:styleId="slostrnky">
    <w:name w:val="page number"/>
    <w:basedOn w:val="Standardnpsmoodstavce"/>
    <w:semiHidden/>
    <w:rsid w:val="007A6307"/>
  </w:style>
  <w:style w:type="paragraph" w:customStyle="1" w:styleId="Default">
    <w:name w:val="Default"/>
    <w:rsid w:val="005D4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7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070"/>
    <w:rPr>
      <w:rFonts w:ascii="Tahoma" w:hAnsi="Tahoma" w:cs="Tahoma"/>
      <w:sz w:val="16"/>
      <w:szCs w:val="16"/>
    </w:rPr>
  </w:style>
  <w:style w:type="paragraph" w:customStyle="1" w:styleId="pracovn1">
    <w:name w:val="pracovní 1"/>
    <w:basedOn w:val="Normln"/>
    <w:qFormat/>
    <w:rsid w:val="001D4539"/>
    <w:pPr>
      <w:numPr>
        <w:numId w:val="1"/>
      </w:numPr>
      <w:spacing w:before="120" w:after="120"/>
      <w:jc w:val="both"/>
    </w:pPr>
    <w:rPr>
      <w:rFonts w:ascii="Arial" w:eastAsia="Times New Roman" w:hAnsi="Arial" w:cs="Arial"/>
      <w:b/>
    </w:rPr>
  </w:style>
  <w:style w:type="paragraph" w:customStyle="1" w:styleId="pracovn2">
    <w:name w:val="pracovní 2"/>
    <w:basedOn w:val="pracovn1"/>
    <w:qFormat/>
    <w:rsid w:val="001D4539"/>
    <w:pPr>
      <w:numPr>
        <w:numId w:val="2"/>
      </w:numPr>
    </w:pPr>
  </w:style>
  <w:style w:type="paragraph" w:customStyle="1" w:styleId="graf">
    <w:name w:val="graf"/>
    <w:basedOn w:val="Normln"/>
    <w:qFormat/>
    <w:rsid w:val="001D4539"/>
    <w:pPr>
      <w:numPr>
        <w:numId w:val="3"/>
      </w:numPr>
      <w:spacing w:after="0" w:line="240" w:lineRule="auto"/>
      <w:jc w:val="both"/>
    </w:pPr>
    <w:rPr>
      <w:rFonts w:ascii="Arial" w:hAnsi="Arial" w:cs="Arial"/>
    </w:rPr>
  </w:style>
  <w:style w:type="paragraph" w:customStyle="1" w:styleId="Textodstavce">
    <w:name w:val="Text odstavce"/>
    <w:basedOn w:val="Normln"/>
    <w:rsid w:val="00FD0D45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Arial" w:eastAsia="Times New Roman" w:hAnsi="Arial" w:cs="Times New Roman"/>
      <w:szCs w:val="20"/>
      <w:lang w:eastAsia="cs-CZ"/>
    </w:rPr>
  </w:style>
  <w:style w:type="paragraph" w:customStyle="1" w:styleId="Textbodu">
    <w:name w:val="Text bodu"/>
    <w:basedOn w:val="Normln"/>
    <w:rsid w:val="00FD0D45"/>
    <w:pPr>
      <w:numPr>
        <w:ilvl w:val="2"/>
        <w:numId w:val="4"/>
      </w:numPr>
      <w:spacing w:after="0" w:line="240" w:lineRule="auto"/>
      <w:jc w:val="both"/>
      <w:outlineLvl w:val="8"/>
    </w:pPr>
    <w:rPr>
      <w:rFonts w:ascii="Arial" w:eastAsia="Times New Roman" w:hAnsi="Arial" w:cs="Times New Roman"/>
      <w:szCs w:val="20"/>
      <w:lang w:eastAsia="cs-CZ"/>
    </w:rPr>
  </w:style>
  <w:style w:type="paragraph" w:customStyle="1" w:styleId="Textpsmene">
    <w:name w:val="Text písmene"/>
    <w:basedOn w:val="Normln"/>
    <w:rsid w:val="00FD0D45"/>
    <w:pPr>
      <w:numPr>
        <w:ilvl w:val="1"/>
        <w:numId w:val="4"/>
      </w:numPr>
      <w:spacing w:after="0" w:line="240" w:lineRule="auto"/>
      <w:jc w:val="both"/>
      <w:outlineLvl w:val="7"/>
    </w:pPr>
    <w:rPr>
      <w:rFonts w:ascii="Arial" w:eastAsia="Times New Roman" w:hAnsi="Arial" w:cs="Times New Roman"/>
      <w:szCs w:val="20"/>
      <w:lang w:eastAsia="cs-CZ"/>
    </w:rPr>
  </w:style>
  <w:style w:type="paragraph" w:customStyle="1" w:styleId="tabulka">
    <w:name w:val="tabulka"/>
    <w:basedOn w:val="Normln"/>
    <w:qFormat/>
    <w:rsid w:val="002F6AFA"/>
    <w:pPr>
      <w:numPr>
        <w:numId w:val="5"/>
      </w:numPr>
      <w:spacing w:after="0" w:line="240" w:lineRule="auto"/>
      <w:jc w:val="both"/>
    </w:pPr>
    <w:rPr>
      <w:rFonts w:ascii="Arial" w:hAnsi="Arial" w:cs="Arial"/>
    </w:rPr>
  </w:style>
  <w:style w:type="paragraph" w:customStyle="1" w:styleId="pracovn3">
    <w:name w:val="pracovní 3"/>
    <w:basedOn w:val="Normln"/>
    <w:qFormat/>
    <w:rsid w:val="002F6AFA"/>
    <w:pPr>
      <w:spacing w:after="0" w:line="240" w:lineRule="auto"/>
      <w:jc w:val="both"/>
    </w:pPr>
    <w:rPr>
      <w:rFonts w:ascii="Arial" w:eastAsia="Times New Roman" w:hAnsi="Arial" w:cs="Arial"/>
      <w:b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rsid w:val="00370821"/>
    <w:rPr>
      <w:rFonts w:cstheme="minorHAnsi"/>
      <w:b/>
      <w:sz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D73D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D73D6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1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qFormat/>
    <w:rsid w:val="00370821"/>
    <w:pPr>
      <w:numPr>
        <w:numId w:val="6"/>
      </w:numPr>
      <w:spacing w:after="0" w:line="240" w:lineRule="auto"/>
      <w:ind w:left="426" w:hanging="142"/>
      <w:jc w:val="center"/>
      <w:outlineLvl w:val="0"/>
    </w:pPr>
    <w:rPr>
      <w:rFonts w:cstheme="minorHAnsi"/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1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uiPriority w:val="34"/>
    <w:qFormat/>
    <w:rsid w:val="00E517D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D900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900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006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D542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307"/>
  </w:style>
  <w:style w:type="paragraph" w:styleId="Zpat">
    <w:name w:val="footer"/>
    <w:basedOn w:val="Normln"/>
    <w:link w:val="ZpatChar"/>
    <w:unhideWhenUsed/>
    <w:rsid w:val="007A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307"/>
  </w:style>
  <w:style w:type="character" w:styleId="slostrnky">
    <w:name w:val="page number"/>
    <w:basedOn w:val="Standardnpsmoodstavce"/>
    <w:semiHidden/>
    <w:rsid w:val="007A6307"/>
  </w:style>
  <w:style w:type="paragraph" w:customStyle="1" w:styleId="Default">
    <w:name w:val="Default"/>
    <w:rsid w:val="005D4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7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070"/>
    <w:rPr>
      <w:rFonts w:ascii="Tahoma" w:hAnsi="Tahoma" w:cs="Tahoma"/>
      <w:sz w:val="16"/>
      <w:szCs w:val="16"/>
    </w:rPr>
  </w:style>
  <w:style w:type="paragraph" w:customStyle="1" w:styleId="pracovn1">
    <w:name w:val="pracovní 1"/>
    <w:basedOn w:val="Normln"/>
    <w:qFormat/>
    <w:rsid w:val="001D4539"/>
    <w:pPr>
      <w:numPr>
        <w:numId w:val="1"/>
      </w:numPr>
      <w:spacing w:before="120" w:after="120"/>
      <w:jc w:val="both"/>
    </w:pPr>
    <w:rPr>
      <w:rFonts w:ascii="Arial" w:eastAsia="Times New Roman" w:hAnsi="Arial" w:cs="Arial"/>
      <w:b/>
    </w:rPr>
  </w:style>
  <w:style w:type="paragraph" w:customStyle="1" w:styleId="pracovn2">
    <w:name w:val="pracovní 2"/>
    <w:basedOn w:val="pracovn1"/>
    <w:qFormat/>
    <w:rsid w:val="001D4539"/>
    <w:pPr>
      <w:numPr>
        <w:numId w:val="2"/>
      </w:numPr>
    </w:pPr>
  </w:style>
  <w:style w:type="paragraph" w:customStyle="1" w:styleId="graf">
    <w:name w:val="graf"/>
    <w:basedOn w:val="Normln"/>
    <w:qFormat/>
    <w:rsid w:val="001D4539"/>
    <w:pPr>
      <w:numPr>
        <w:numId w:val="3"/>
      </w:numPr>
      <w:spacing w:after="0" w:line="240" w:lineRule="auto"/>
      <w:jc w:val="both"/>
    </w:pPr>
    <w:rPr>
      <w:rFonts w:ascii="Arial" w:hAnsi="Arial" w:cs="Arial"/>
    </w:rPr>
  </w:style>
  <w:style w:type="paragraph" w:customStyle="1" w:styleId="Textodstavce">
    <w:name w:val="Text odstavce"/>
    <w:basedOn w:val="Normln"/>
    <w:rsid w:val="00FD0D45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Arial" w:eastAsia="Times New Roman" w:hAnsi="Arial" w:cs="Times New Roman"/>
      <w:szCs w:val="20"/>
      <w:lang w:eastAsia="cs-CZ"/>
    </w:rPr>
  </w:style>
  <w:style w:type="paragraph" w:customStyle="1" w:styleId="Textbodu">
    <w:name w:val="Text bodu"/>
    <w:basedOn w:val="Normln"/>
    <w:rsid w:val="00FD0D45"/>
    <w:pPr>
      <w:numPr>
        <w:ilvl w:val="2"/>
        <w:numId w:val="4"/>
      </w:numPr>
      <w:spacing w:after="0" w:line="240" w:lineRule="auto"/>
      <w:jc w:val="both"/>
      <w:outlineLvl w:val="8"/>
    </w:pPr>
    <w:rPr>
      <w:rFonts w:ascii="Arial" w:eastAsia="Times New Roman" w:hAnsi="Arial" w:cs="Times New Roman"/>
      <w:szCs w:val="20"/>
      <w:lang w:eastAsia="cs-CZ"/>
    </w:rPr>
  </w:style>
  <w:style w:type="paragraph" w:customStyle="1" w:styleId="Textpsmene">
    <w:name w:val="Text písmene"/>
    <w:basedOn w:val="Normln"/>
    <w:rsid w:val="00FD0D45"/>
    <w:pPr>
      <w:numPr>
        <w:ilvl w:val="1"/>
        <w:numId w:val="4"/>
      </w:numPr>
      <w:spacing w:after="0" w:line="240" w:lineRule="auto"/>
      <w:jc w:val="both"/>
      <w:outlineLvl w:val="7"/>
    </w:pPr>
    <w:rPr>
      <w:rFonts w:ascii="Arial" w:eastAsia="Times New Roman" w:hAnsi="Arial" w:cs="Times New Roman"/>
      <w:szCs w:val="20"/>
      <w:lang w:eastAsia="cs-CZ"/>
    </w:rPr>
  </w:style>
  <w:style w:type="paragraph" w:customStyle="1" w:styleId="tabulka">
    <w:name w:val="tabulka"/>
    <w:basedOn w:val="Normln"/>
    <w:qFormat/>
    <w:rsid w:val="002F6AFA"/>
    <w:pPr>
      <w:numPr>
        <w:numId w:val="5"/>
      </w:numPr>
      <w:spacing w:after="0" w:line="240" w:lineRule="auto"/>
      <w:jc w:val="both"/>
    </w:pPr>
    <w:rPr>
      <w:rFonts w:ascii="Arial" w:hAnsi="Arial" w:cs="Arial"/>
    </w:rPr>
  </w:style>
  <w:style w:type="paragraph" w:customStyle="1" w:styleId="pracovn3">
    <w:name w:val="pracovní 3"/>
    <w:basedOn w:val="Normln"/>
    <w:qFormat/>
    <w:rsid w:val="002F6AFA"/>
    <w:pPr>
      <w:spacing w:after="0" w:line="240" w:lineRule="auto"/>
      <w:jc w:val="both"/>
    </w:pPr>
    <w:rPr>
      <w:rFonts w:ascii="Arial" w:eastAsia="Times New Roman" w:hAnsi="Arial" w:cs="Arial"/>
      <w:b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rsid w:val="00370821"/>
    <w:rPr>
      <w:rFonts w:cstheme="minorHAnsi"/>
      <w:b/>
      <w:sz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D73D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D73D6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1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998DE-594A-4B05-BD27-518A0546E9AE}"/>
</file>

<file path=customXml/itemProps2.xml><?xml version="1.0" encoding="utf-8"?>
<ds:datastoreItem xmlns:ds="http://schemas.openxmlformats.org/officeDocument/2006/customXml" ds:itemID="{E4C404B6-7022-4C51-9D45-795CC7A483C3}"/>
</file>

<file path=customXml/itemProps3.xml><?xml version="1.0" encoding="utf-8"?>
<ds:datastoreItem xmlns:ds="http://schemas.openxmlformats.org/officeDocument/2006/customXml" ds:itemID="{F1D3F91F-13D3-40CF-9728-CE325C3F1941}"/>
</file>

<file path=customXml/itemProps4.xml><?xml version="1.0" encoding="utf-8"?>
<ds:datastoreItem xmlns:ds="http://schemas.openxmlformats.org/officeDocument/2006/customXml" ds:itemID="{D7058858-CF66-4459-A07B-BE16BB1BAEA2}"/>
</file>

<file path=docProps/app.xml><?xml version="1.0" encoding="utf-8"?>
<Properties xmlns="http://schemas.openxmlformats.org/officeDocument/2006/extended-properties" xmlns:vt="http://schemas.openxmlformats.org/officeDocument/2006/docPropsVTypes">
  <Template>3563D96A</Template>
  <TotalTime>29</TotalTime>
  <Pages>15</Pages>
  <Words>5188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14/12</dc:title>
  <dc:creator>VEDRAL Jan</dc:creator>
  <cp:lastModifiedBy>POKORNÁ Jana</cp:lastModifiedBy>
  <cp:revision>5</cp:revision>
  <cp:lastPrinted>2015-01-19T14:19:00Z</cp:lastPrinted>
  <dcterms:created xsi:type="dcterms:W3CDTF">2015-01-22T12:01:00Z</dcterms:created>
  <dcterms:modified xsi:type="dcterms:W3CDTF">2015-01-26T07:26:00Z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