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58" w:rsidRPr="00A55DEF" w:rsidRDefault="00A30E58" w:rsidP="00A30E58">
      <w:pPr>
        <w:spacing w:before="0" w:after="0"/>
        <w:jc w:val="center"/>
        <w:rPr>
          <w:rFonts w:cs="Arial"/>
          <w:b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14605</wp:posOffset>
            </wp:positionV>
            <wp:extent cx="790575" cy="55880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E58" w:rsidRPr="00A55DEF" w:rsidRDefault="00A30E58" w:rsidP="00A30E58">
      <w:pPr>
        <w:spacing w:before="0" w:after="0"/>
        <w:jc w:val="center"/>
        <w:rPr>
          <w:rFonts w:cs="Arial"/>
          <w:b/>
        </w:rPr>
      </w:pPr>
    </w:p>
    <w:p w:rsidR="00A30E58" w:rsidRPr="00A55DEF" w:rsidRDefault="00A30E58" w:rsidP="00A30E58">
      <w:pPr>
        <w:spacing w:before="0" w:after="0"/>
        <w:jc w:val="center"/>
        <w:rPr>
          <w:rFonts w:cs="Arial"/>
          <w:b/>
        </w:rPr>
      </w:pPr>
    </w:p>
    <w:p w:rsidR="00A30E58" w:rsidRPr="00484DB0" w:rsidRDefault="00A30E58" w:rsidP="00A30E58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1E54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:rsidR="00A30E58" w:rsidRPr="00AB1E54" w:rsidRDefault="00A30E58" w:rsidP="00A30E58">
      <w:pPr>
        <w:spacing w:before="0" w:after="0"/>
        <w:jc w:val="center"/>
        <w:rPr>
          <w:rFonts w:asciiTheme="minorHAnsi" w:hAnsiTheme="minorHAnsi" w:cstheme="minorHAnsi"/>
          <w:b/>
        </w:rPr>
      </w:pPr>
    </w:p>
    <w:p w:rsidR="00A30E58" w:rsidRPr="00AB1E54" w:rsidRDefault="00A30E58" w:rsidP="00A30E58">
      <w:pPr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B1E54">
        <w:rPr>
          <w:rFonts w:asciiTheme="minorHAnsi" w:hAnsiTheme="minorHAnsi" w:cstheme="minorHAnsi"/>
          <w:b/>
          <w:sz w:val="28"/>
          <w:szCs w:val="28"/>
        </w:rPr>
        <w:t>14/16</w:t>
      </w:r>
    </w:p>
    <w:p w:rsidR="00A30E58" w:rsidRPr="00AB1E54" w:rsidRDefault="00A30E58" w:rsidP="00A30E58">
      <w:pPr>
        <w:spacing w:before="0" w:after="0"/>
        <w:jc w:val="center"/>
        <w:rPr>
          <w:rFonts w:asciiTheme="minorHAnsi" w:hAnsiTheme="minorHAnsi" w:cstheme="minorHAnsi"/>
          <w:b/>
        </w:rPr>
      </w:pPr>
    </w:p>
    <w:p w:rsidR="00A30E58" w:rsidRPr="00AB1E54" w:rsidRDefault="00A30E58" w:rsidP="00A30E58">
      <w:pPr>
        <w:autoSpaceDE w:val="0"/>
        <w:autoSpaceDN w:val="0"/>
        <w:adjustRightInd w:val="0"/>
        <w:spacing w:after="8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B1E54">
        <w:rPr>
          <w:rFonts w:asciiTheme="minorHAnsi" w:hAnsiTheme="minorHAnsi" w:cstheme="minorHAnsi"/>
          <w:b/>
          <w:sz w:val="28"/>
          <w:szCs w:val="28"/>
        </w:rPr>
        <w:t xml:space="preserve">Peněžní prostředky určené v rámci </w:t>
      </w:r>
      <w:r w:rsidRPr="00A741C4">
        <w:rPr>
          <w:rFonts w:asciiTheme="minorHAnsi" w:hAnsiTheme="minorHAnsi" w:cstheme="minorHAnsi"/>
          <w:b/>
          <w:i/>
          <w:sz w:val="28"/>
          <w:szCs w:val="28"/>
        </w:rPr>
        <w:t>Regionálního operačního programu regionu soudrž</w:t>
      </w:r>
      <w:r w:rsidR="00AB1E54" w:rsidRPr="00A741C4">
        <w:rPr>
          <w:rFonts w:asciiTheme="minorHAnsi" w:hAnsiTheme="minorHAnsi" w:cstheme="minorHAnsi"/>
          <w:b/>
          <w:i/>
          <w:sz w:val="28"/>
          <w:szCs w:val="28"/>
        </w:rPr>
        <w:t>nosti Jihozápad pro období 2007–</w:t>
      </w:r>
      <w:r w:rsidRPr="00A741C4">
        <w:rPr>
          <w:rFonts w:asciiTheme="minorHAnsi" w:hAnsiTheme="minorHAnsi" w:cstheme="minorHAnsi"/>
          <w:b/>
          <w:i/>
          <w:sz w:val="28"/>
          <w:szCs w:val="28"/>
        </w:rPr>
        <w:t>2013</w:t>
      </w:r>
      <w:r w:rsidRPr="00AB1E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1E54" w:rsidRPr="00AB1E54">
        <w:rPr>
          <w:rFonts w:asciiTheme="minorHAnsi" w:hAnsiTheme="minorHAnsi" w:cstheme="minorHAnsi"/>
          <w:b/>
          <w:sz w:val="28"/>
          <w:szCs w:val="28"/>
        </w:rPr>
        <w:br/>
      </w:r>
      <w:r w:rsidRPr="00AB1E54">
        <w:rPr>
          <w:rFonts w:asciiTheme="minorHAnsi" w:hAnsiTheme="minorHAnsi" w:cstheme="minorHAnsi"/>
          <w:b/>
          <w:sz w:val="28"/>
          <w:szCs w:val="28"/>
        </w:rPr>
        <w:t>na rozvoj a obnovu regionálních zdravotnických zařízení</w:t>
      </w:r>
    </w:p>
    <w:p w:rsidR="00A30E58" w:rsidRPr="00A55DEF" w:rsidRDefault="00A30E58" w:rsidP="00A30E58">
      <w:pPr>
        <w:spacing w:before="0" w:after="0"/>
        <w:rPr>
          <w:rFonts w:cs="Arial"/>
        </w:rPr>
      </w:pPr>
    </w:p>
    <w:p w:rsidR="00A30E58" w:rsidRPr="00A55DEF" w:rsidRDefault="00A30E58" w:rsidP="00A30E58">
      <w:pPr>
        <w:spacing w:before="0" w:after="0"/>
        <w:rPr>
          <w:rFonts w:cs="Arial"/>
        </w:rPr>
      </w:pPr>
    </w:p>
    <w:p w:rsidR="00A30E58" w:rsidRDefault="00A30E58" w:rsidP="00A30E58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B1E54">
        <w:rPr>
          <w:rFonts w:asciiTheme="minorHAnsi" w:hAnsiTheme="minorHAnsi" w:cstheme="minorHAnsi"/>
          <w:spacing w:val="-2"/>
          <w:sz w:val="24"/>
          <w:szCs w:val="24"/>
        </w:rPr>
        <w:t xml:space="preserve">Kontrolní akce byla zařazena do plánu kontrolní činnosti Nejvyššího kontrolního úřadu </w:t>
      </w:r>
      <w:r w:rsidRPr="00AB1E54">
        <w:rPr>
          <w:rFonts w:asciiTheme="minorHAnsi" w:hAnsiTheme="minorHAnsi" w:cstheme="minorHAnsi"/>
          <w:sz w:val="24"/>
          <w:szCs w:val="24"/>
        </w:rPr>
        <w:t xml:space="preserve">(dále </w:t>
      </w:r>
      <w:r w:rsidR="009C0280" w:rsidRPr="00AB1E54">
        <w:rPr>
          <w:rFonts w:asciiTheme="minorHAnsi" w:hAnsiTheme="minorHAnsi" w:cstheme="minorHAnsi"/>
          <w:sz w:val="24"/>
          <w:szCs w:val="24"/>
        </w:rPr>
        <w:t>také</w:t>
      </w:r>
      <w:r w:rsidRPr="00AB1E54">
        <w:rPr>
          <w:rFonts w:asciiTheme="minorHAnsi" w:hAnsiTheme="minorHAnsi" w:cstheme="minorHAnsi"/>
          <w:sz w:val="24"/>
          <w:szCs w:val="24"/>
        </w:rPr>
        <w:t xml:space="preserve"> „NKÚ“) na rok 2014 pod číslem 14/16. Kontrolní akci řídil a kontrolní závěr vypracoval člen NKÚ </w:t>
      </w:r>
      <w:r w:rsidR="00A3496C" w:rsidRPr="00AB1E54">
        <w:rPr>
          <w:rFonts w:asciiTheme="minorHAnsi" w:hAnsiTheme="minorHAnsi" w:cstheme="minorHAnsi"/>
          <w:sz w:val="24"/>
          <w:szCs w:val="24"/>
        </w:rPr>
        <w:t xml:space="preserve">RNDr. Petr </w:t>
      </w:r>
      <w:proofErr w:type="spellStart"/>
      <w:r w:rsidR="00A3496C" w:rsidRPr="00AB1E54">
        <w:rPr>
          <w:rFonts w:asciiTheme="minorHAnsi" w:hAnsiTheme="minorHAnsi" w:cstheme="minorHAnsi"/>
          <w:sz w:val="24"/>
          <w:szCs w:val="24"/>
        </w:rPr>
        <w:t>Neuvirt</w:t>
      </w:r>
      <w:proofErr w:type="spellEnd"/>
      <w:r w:rsidRPr="00AB1E54">
        <w:rPr>
          <w:rFonts w:asciiTheme="minorHAnsi" w:hAnsiTheme="minorHAnsi" w:cstheme="minorHAnsi"/>
          <w:sz w:val="24"/>
          <w:szCs w:val="24"/>
        </w:rPr>
        <w:t>.</w:t>
      </w:r>
    </w:p>
    <w:p w:rsidR="003D5196" w:rsidRPr="00AB1E54" w:rsidRDefault="003D5196" w:rsidP="00A30E58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A3496C" w:rsidRDefault="00A3496C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B1E54">
        <w:rPr>
          <w:rFonts w:asciiTheme="minorHAnsi" w:hAnsiTheme="minorHAnsi" w:cstheme="minorHAnsi"/>
          <w:iCs/>
          <w:sz w:val="24"/>
          <w:szCs w:val="24"/>
        </w:rPr>
        <w:t>Cílem kontroly bylo p</w:t>
      </w:r>
      <w:r w:rsidRPr="00AB1E54">
        <w:rPr>
          <w:rFonts w:asciiTheme="minorHAnsi" w:hAnsiTheme="minorHAnsi" w:cstheme="minorHAnsi"/>
          <w:sz w:val="24"/>
          <w:szCs w:val="24"/>
        </w:rPr>
        <w:t xml:space="preserve">rověřit, zda kontrolované osoby poskytují a čerpají peněžní prostředky určené na rozvoj a obnovu regionálních zdravotnických zařízení </w:t>
      </w:r>
      <w:r w:rsidR="004C76CF">
        <w:rPr>
          <w:rFonts w:asciiTheme="minorHAnsi" w:hAnsiTheme="minorHAnsi" w:cstheme="minorHAnsi"/>
          <w:sz w:val="24"/>
          <w:szCs w:val="24"/>
        </w:rPr>
        <w:t>v </w:t>
      </w:r>
      <w:r w:rsidRPr="00AB1E54">
        <w:rPr>
          <w:rFonts w:asciiTheme="minorHAnsi" w:hAnsiTheme="minorHAnsi" w:cstheme="minorHAnsi"/>
          <w:sz w:val="24"/>
          <w:szCs w:val="24"/>
        </w:rPr>
        <w:t xml:space="preserve">rámci prioritní osy 2 </w:t>
      </w:r>
      <w:r w:rsidRPr="00A741C4">
        <w:rPr>
          <w:rFonts w:asciiTheme="minorHAnsi" w:hAnsiTheme="minorHAnsi" w:cstheme="minorHAnsi"/>
          <w:i/>
          <w:sz w:val="24"/>
          <w:szCs w:val="24"/>
        </w:rPr>
        <w:t>Regionálního operačního programu regionu soudržnosti Jihozápad</w:t>
      </w:r>
      <w:r w:rsidRPr="00AB1E54">
        <w:rPr>
          <w:rFonts w:asciiTheme="minorHAnsi" w:hAnsiTheme="minorHAnsi" w:cstheme="minorHAnsi"/>
          <w:sz w:val="24"/>
          <w:szCs w:val="24"/>
        </w:rPr>
        <w:t xml:space="preserve"> </w:t>
      </w:r>
      <w:r w:rsidR="004C76CF">
        <w:rPr>
          <w:rFonts w:asciiTheme="minorHAnsi" w:hAnsiTheme="minorHAnsi" w:cstheme="minorHAnsi"/>
          <w:sz w:val="24"/>
          <w:szCs w:val="24"/>
        </w:rPr>
        <w:t>v </w:t>
      </w:r>
      <w:r w:rsidRPr="00AB1E54">
        <w:rPr>
          <w:rFonts w:asciiTheme="minorHAnsi" w:hAnsiTheme="minorHAnsi" w:cstheme="minorHAnsi"/>
          <w:sz w:val="24"/>
          <w:szCs w:val="24"/>
        </w:rPr>
        <w:t xml:space="preserve">souladu </w:t>
      </w:r>
      <w:r w:rsidR="004C76CF">
        <w:rPr>
          <w:rFonts w:asciiTheme="minorHAnsi" w:hAnsiTheme="minorHAnsi" w:cstheme="minorHAnsi"/>
          <w:sz w:val="24"/>
          <w:szCs w:val="24"/>
        </w:rPr>
        <w:t>s </w:t>
      </w:r>
      <w:r w:rsidRPr="00AB1E54">
        <w:rPr>
          <w:rFonts w:asciiTheme="minorHAnsi" w:hAnsiTheme="minorHAnsi" w:cstheme="minorHAnsi"/>
          <w:sz w:val="24"/>
          <w:szCs w:val="24"/>
        </w:rPr>
        <w:t>právními předpisy a stanovenými podmínkami; ověřit rozsah a plnění opatření přijatých na základě předchozích kontrolních akcí.</w:t>
      </w:r>
    </w:p>
    <w:p w:rsidR="003D5196" w:rsidRPr="00AB1E54" w:rsidRDefault="003D5196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0C33EE" w:rsidRPr="00AB1E54" w:rsidRDefault="000C33EE" w:rsidP="000C33EE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B1E54">
        <w:rPr>
          <w:rFonts w:asciiTheme="minorHAnsi" w:hAnsiTheme="minorHAnsi" w:cstheme="minorHAnsi"/>
          <w:sz w:val="24"/>
          <w:szCs w:val="24"/>
        </w:rPr>
        <w:t>Kontrolované osoby:</w:t>
      </w:r>
    </w:p>
    <w:p w:rsidR="000C33EE" w:rsidRPr="00AB1E54" w:rsidRDefault="000C33EE" w:rsidP="00A741C4">
      <w:pPr>
        <w:numPr>
          <w:ilvl w:val="0"/>
          <w:numId w:val="32"/>
        </w:numPr>
        <w:tabs>
          <w:tab w:val="clear" w:pos="1068"/>
        </w:tabs>
        <w:spacing w:before="0" w:after="0" w:line="240" w:lineRule="atLeast"/>
        <w:ind w:left="567" w:hanging="425"/>
        <w:rPr>
          <w:rFonts w:asciiTheme="minorHAnsi" w:hAnsiTheme="minorHAnsi" w:cstheme="minorHAnsi"/>
          <w:bCs/>
          <w:sz w:val="24"/>
          <w:szCs w:val="24"/>
        </w:rPr>
      </w:pPr>
      <w:r w:rsidRPr="00AB1E54">
        <w:rPr>
          <w:rFonts w:asciiTheme="minorHAnsi" w:hAnsiTheme="minorHAnsi" w:cstheme="minorHAnsi"/>
          <w:bCs/>
          <w:sz w:val="24"/>
          <w:szCs w:val="24"/>
        </w:rPr>
        <w:t>Regionální rada regionu soudržnosti Jihozápad, České Budějovice;</w:t>
      </w:r>
    </w:p>
    <w:p w:rsidR="000C33EE" w:rsidRPr="00AB1E54" w:rsidRDefault="000C33EE" w:rsidP="00A741C4">
      <w:pPr>
        <w:numPr>
          <w:ilvl w:val="0"/>
          <w:numId w:val="32"/>
        </w:numPr>
        <w:tabs>
          <w:tab w:val="clear" w:pos="1068"/>
        </w:tabs>
        <w:spacing w:before="0" w:after="0" w:line="240" w:lineRule="atLeast"/>
        <w:ind w:left="567" w:hanging="425"/>
        <w:rPr>
          <w:rFonts w:asciiTheme="minorHAnsi" w:hAnsiTheme="minorHAnsi" w:cstheme="minorHAnsi"/>
          <w:bCs/>
          <w:sz w:val="24"/>
          <w:szCs w:val="24"/>
        </w:rPr>
      </w:pPr>
      <w:r w:rsidRPr="00AB1E54">
        <w:rPr>
          <w:rFonts w:asciiTheme="minorHAnsi" w:hAnsiTheme="minorHAnsi" w:cstheme="minorHAnsi"/>
          <w:bCs/>
          <w:sz w:val="24"/>
          <w:szCs w:val="24"/>
        </w:rPr>
        <w:t>Nemocnice České Budějovice, a. s.;</w:t>
      </w:r>
    </w:p>
    <w:p w:rsidR="000C33EE" w:rsidRPr="00AB1E54" w:rsidRDefault="000C33EE" w:rsidP="00A741C4">
      <w:pPr>
        <w:pStyle w:val="Odstavecseseznamem"/>
        <w:numPr>
          <w:ilvl w:val="0"/>
          <w:numId w:val="32"/>
        </w:numPr>
        <w:tabs>
          <w:tab w:val="clear" w:pos="1068"/>
        </w:tabs>
        <w:spacing w:before="0" w:after="0"/>
        <w:ind w:left="567" w:hanging="425"/>
        <w:rPr>
          <w:rFonts w:asciiTheme="minorHAnsi" w:eastAsia="Times New Roman" w:hAnsiTheme="minorHAnsi" w:cstheme="minorHAnsi"/>
          <w:sz w:val="24"/>
          <w:szCs w:val="24"/>
        </w:rPr>
      </w:pPr>
      <w:r w:rsidRPr="00AB1E54">
        <w:rPr>
          <w:rFonts w:asciiTheme="minorHAnsi" w:hAnsiTheme="minorHAnsi" w:cstheme="minorHAnsi"/>
          <w:sz w:val="24"/>
          <w:szCs w:val="24"/>
        </w:rPr>
        <w:t>Nemocnice Tábor, a. s.</w:t>
      </w:r>
      <w:r w:rsidRPr="00AB1E54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0C33EE" w:rsidRPr="00AB1E54" w:rsidRDefault="000C33EE" w:rsidP="00A741C4">
      <w:pPr>
        <w:pStyle w:val="Odstavecseseznamem"/>
        <w:numPr>
          <w:ilvl w:val="0"/>
          <w:numId w:val="32"/>
        </w:numPr>
        <w:tabs>
          <w:tab w:val="clear" w:pos="1068"/>
        </w:tabs>
        <w:spacing w:before="0" w:after="0"/>
        <w:ind w:left="567" w:hanging="425"/>
        <w:rPr>
          <w:rFonts w:asciiTheme="minorHAnsi" w:eastAsia="Times New Roman" w:hAnsiTheme="minorHAnsi" w:cstheme="minorHAnsi"/>
          <w:sz w:val="24"/>
          <w:szCs w:val="24"/>
        </w:rPr>
      </w:pPr>
      <w:r w:rsidRPr="00AB1E54">
        <w:rPr>
          <w:rFonts w:asciiTheme="minorHAnsi" w:eastAsia="Times New Roman" w:hAnsiTheme="minorHAnsi" w:cstheme="minorHAnsi"/>
          <w:sz w:val="24"/>
          <w:szCs w:val="24"/>
        </w:rPr>
        <w:t>PRIVAMED a. s., Plzeň;</w:t>
      </w:r>
    </w:p>
    <w:p w:rsidR="000C33EE" w:rsidRPr="00AB1E54" w:rsidRDefault="000C33EE" w:rsidP="00A741C4">
      <w:pPr>
        <w:pStyle w:val="Odstavecseseznamem"/>
        <w:numPr>
          <w:ilvl w:val="0"/>
          <w:numId w:val="32"/>
        </w:numPr>
        <w:tabs>
          <w:tab w:val="clear" w:pos="1068"/>
        </w:tabs>
        <w:spacing w:before="0" w:after="0"/>
        <w:ind w:left="567" w:hanging="425"/>
        <w:rPr>
          <w:rFonts w:asciiTheme="minorHAnsi" w:hAnsiTheme="minorHAnsi" w:cstheme="minorHAnsi"/>
          <w:sz w:val="24"/>
          <w:szCs w:val="24"/>
        </w:rPr>
      </w:pPr>
      <w:r w:rsidRPr="00AB1E54">
        <w:rPr>
          <w:rFonts w:asciiTheme="minorHAnsi" w:eastAsia="Times New Roman" w:hAnsiTheme="minorHAnsi" w:cstheme="minorHAnsi"/>
          <w:sz w:val="24"/>
          <w:szCs w:val="24"/>
        </w:rPr>
        <w:t>Zdravotnická záchranná služba Plzeňského kraje, příspěvková organizace.</w:t>
      </w:r>
    </w:p>
    <w:p w:rsidR="000C33EE" w:rsidRPr="00AB1E54" w:rsidRDefault="000C33EE" w:rsidP="000C33EE">
      <w:pPr>
        <w:tabs>
          <w:tab w:val="num" w:pos="1276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0C33EE" w:rsidRPr="00AB1E54" w:rsidRDefault="000C33EE" w:rsidP="000C33EE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B1E54">
        <w:rPr>
          <w:rFonts w:asciiTheme="minorHAnsi" w:hAnsiTheme="minorHAnsi" w:cstheme="minorHAnsi"/>
          <w:sz w:val="24"/>
          <w:szCs w:val="24"/>
        </w:rPr>
        <w:t xml:space="preserve">Kontrola byla prováděna od </w:t>
      </w:r>
      <w:r w:rsidR="00A741C4">
        <w:rPr>
          <w:rFonts w:asciiTheme="minorHAnsi" w:hAnsiTheme="minorHAnsi" w:cstheme="minorHAnsi"/>
          <w:sz w:val="24"/>
          <w:szCs w:val="24"/>
        </w:rPr>
        <w:t xml:space="preserve">dubna </w:t>
      </w:r>
      <w:r w:rsidRPr="00AB1E54">
        <w:rPr>
          <w:rFonts w:asciiTheme="minorHAnsi" w:hAnsiTheme="minorHAnsi" w:cstheme="minorHAnsi"/>
          <w:sz w:val="24"/>
          <w:szCs w:val="24"/>
        </w:rPr>
        <w:t xml:space="preserve">2014 do listopadu 2014. </w:t>
      </w:r>
      <w:r w:rsidRPr="00AB1E54">
        <w:rPr>
          <w:rFonts w:asciiTheme="minorHAnsi" w:hAnsiTheme="minorHAnsi" w:cstheme="minorHAnsi"/>
          <w:spacing w:val="-2"/>
          <w:sz w:val="24"/>
          <w:szCs w:val="24"/>
        </w:rPr>
        <w:t xml:space="preserve">Kontrolováno bylo období let 2007 až 2013, </w:t>
      </w:r>
      <w:r w:rsidR="004C76CF">
        <w:rPr>
          <w:rFonts w:asciiTheme="minorHAnsi" w:hAnsiTheme="minorHAnsi" w:cstheme="minorHAnsi"/>
          <w:spacing w:val="-2"/>
          <w:sz w:val="24"/>
          <w:szCs w:val="24"/>
        </w:rPr>
        <w:t>v </w:t>
      </w:r>
      <w:r w:rsidRPr="00AB1E54">
        <w:rPr>
          <w:rFonts w:asciiTheme="minorHAnsi" w:hAnsiTheme="minorHAnsi" w:cstheme="minorHAnsi"/>
          <w:spacing w:val="-2"/>
          <w:sz w:val="24"/>
          <w:szCs w:val="24"/>
        </w:rPr>
        <w:t xml:space="preserve">případě věcných </w:t>
      </w:r>
      <w:r w:rsidRPr="00AB1E54">
        <w:rPr>
          <w:rFonts w:asciiTheme="minorHAnsi" w:hAnsiTheme="minorHAnsi" w:cstheme="minorHAnsi"/>
          <w:sz w:val="24"/>
          <w:szCs w:val="24"/>
        </w:rPr>
        <w:t>souvislostí i období předcházející nebo následující.</w:t>
      </w:r>
    </w:p>
    <w:p w:rsidR="000C33EE" w:rsidRPr="00AB1E54" w:rsidRDefault="000C33EE" w:rsidP="000C33EE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0C33EE" w:rsidRPr="00AB1E54" w:rsidRDefault="000C33EE" w:rsidP="000C33EE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B1E54">
        <w:rPr>
          <w:rFonts w:asciiTheme="minorHAnsi" w:hAnsiTheme="minorHAnsi" w:cstheme="minorHAnsi"/>
          <w:sz w:val="24"/>
          <w:szCs w:val="24"/>
        </w:rPr>
        <w:t>Námitky proti kontrolnímu protokolu, které podaly Nemocnice České Budějov</w:t>
      </w:r>
      <w:r w:rsidR="00EB558C">
        <w:rPr>
          <w:rFonts w:asciiTheme="minorHAnsi" w:hAnsiTheme="minorHAnsi" w:cstheme="minorHAnsi"/>
          <w:sz w:val="24"/>
          <w:szCs w:val="24"/>
        </w:rPr>
        <w:t>ice, a. s.</w:t>
      </w:r>
      <w:r w:rsidR="00DF27F3">
        <w:rPr>
          <w:rFonts w:asciiTheme="minorHAnsi" w:hAnsiTheme="minorHAnsi" w:cstheme="minorHAnsi"/>
          <w:sz w:val="24"/>
          <w:szCs w:val="24"/>
        </w:rPr>
        <w:t>,</w:t>
      </w:r>
      <w:r w:rsidR="00EB558C">
        <w:rPr>
          <w:rFonts w:asciiTheme="minorHAnsi" w:hAnsiTheme="minorHAnsi" w:cstheme="minorHAnsi"/>
          <w:sz w:val="24"/>
          <w:szCs w:val="24"/>
        </w:rPr>
        <w:t xml:space="preserve"> Nemocnice Tábor, a. s.</w:t>
      </w:r>
      <w:r w:rsidR="00DF27F3">
        <w:rPr>
          <w:rFonts w:asciiTheme="minorHAnsi" w:hAnsiTheme="minorHAnsi" w:cstheme="minorHAnsi"/>
          <w:sz w:val="24"/>
          <w:szCs w:val="24"/>
        </w:rPr>
        <w:t>,</w:t>
      </w:r>
      <w:r w:rsidR="00EB558C">
        <w:rPr>
          <w:rFonts w:asciiTheme="minorHAnsi" w:hAnsiTheme="minorHAnsi" w:cstheme="minorHAnsi"/>
          <w:sz w:val="24"/>
          <w:szCs w:val="24"/>
        </w:rPr>
        <w:t xml:space="preserve"> PRIVAMED a. </w:t>
      </w:r>
      <w:r w:rsidRPr="00AB1E54">
        <w:rPr>
          <w:rFonts w:asciiTheme="minorHAnsi" w:hAnsiTheme="minorHAnsi" w:cstheme="minorHAnsi"/>
          <w:sz w:val="24"/>
          <w:szCs w:val="24"/>
        </w:rPr>
        <w:t>s. a Regionální rada regionu soudržnosti Jihozápad</w:t>
      </w:r>
      <w:r w:rsidR="00DF27F3">
        <w:rPr>
          <w:rFonts w:asciiTheme="minorHAnsi" w:hAnsiTheme="minorHAnsi" w:cstheme="minorHAnsi"/>
          <w:sz w:val="24"/>
          <w:szCs w:val="24"/>
        </w:rPr>
        <w:t>,</w:t>
      </w:r>
      <w:r w:rsidRPr="00AB1E54">
        <w:rPr>
          <w:rFonts w:asciiTheme="minorHAnsi" w:hAnsiTheme="minorHAnsi" w:cstheme="minorHAnsi"/>
          <w:sz w:val="24"/>
          <w:szCs w:val="24"/>
        </w:rPr>
        <w:t xml:space="preserve"> byly vypořádány vedoucími skupin kontrolujících rozhodnutími o námitkách. Odvolání</w:t>
      </w:r>
      <w:r w:rsidR="00DF27F3">
        <w:rPr>
          <w:rFonts w:asciiTheme="minorHAnsi" w:hAnsiTheme="minorHAnsi" w:cstheme="minorHAnsi"/>
          <w:sz w:val="24"/>
          <w:szCs w:val="24"/>
        </w:rPr>
        <w:t>, která</w:t>
      </w:r>
      <w:r w:rsidRPr="00AB1E54">
        <w:rPr>
          <w:rFonts w:asciiTheme="minorHAnsi" w:hAnsiTheme="minorHAnsi" w:cstheme="minorHAnsi"/>
          <w:sz w:val="24"/>
          <w:szCs w:val="24"/>
        </w:rPr>
        <w:t xml:space="preserve"> proti rozhodnutí</w:t>
      </w:r>
      <w:r w:rsidR="00DF27F3">
        <w:rPr>
          <w:rFonts w:asciiTheme="minorHAnsi" w:hAnsiTheme="minorHAnsi" w:cstheme="minorHAnsi"/>
          <w:sz w:val="24"/>
          <w:szCs w:val="24"/>
        </w:rPr>
        <w:t>m</w:t>
      </w:r>
      <w:r w:rsidRPr="00AB1E54">
        <w:rPr>
          <w:rFonts w:asciiTheme="minorHAnsi" w:hAnsiTheme="minorHAnsi" w:cstheme="minorHAnsi"/>
          <w:sz w:val="24"/>
          <w:szCs w:val="24"/>
        </w:rPr>
        <w:t xml:space="preserve"> </w:t>
      </w:r>
      <w:r w:rsidR="005F65D2" w:rsidRPr="00AB1E54">
        <w:rPr>
          <w:rFonts w:asciiTheme="minorHAnsi" w:hAnsiTheme="minorHAnsi" w:cstheme="minorHAnsi"/>
          <w:sz w:val="24"/>
          <w:szCs w:val="24"/>
        </w:rPr>
        <w:t>o námitkách</w:t>
      </w:r>
      <w:r w:rsidRPr="00AB1E54">
        <w:rPr>
          <w:rFonts w:asciiTheme="minorHAnsi" w:hAnsiTheme="minorHAnsi" w:cstheme="minorHAnsi"/>
          <w:sz w:val="24"/>
          <w:szCs w:val="24"/>
        </w:rPr>
        <w:t xml:space="preserve"> podaly</w:t>
      </w:r>
      <w:r w:rsidR="00EB558C">
        <w:rPr>
          <w:rFonts w:asciiTheme="minorHAnsi" w:hAnsiTheme="minorHAnsi" w:cstheme="minorHAnsi"/>
          <w:sz w:val="24"/>
          <w:szCs w:val="24"/>
        </w:rPr>
        <w:t xml:space="preserve"> Nemocnice České Budějovice, a. </w:t>
      </w:r>
      <w:r w:rsidRPr="00AB1E54">
        <w:rPr>
          <w:rFonts w:asciiTheme="minorHAnsi" w:hAnsiTheme="minorHAnsi" w:cstheme="minorHAnsi"/>
          <w:sz w:val="24"/>
          <w:szCs w:val="24"/>
        </w:rPr>
        <w:t>s.</w:t>
      </w:r>
      <w:r w:rsidR="00DF27F3">
        <w:rPr>
          <w:rFonts w:asciiTheme="minorHAnsi" w:hAnsiTheme="minorHAnsi" w:cstheme="minorHAnsi"/>
          <w:sz w:val="24"/>
          <w:szCs w:val="24"/>
        </w:rPr>
        <w:t>,</w:t>
      </w:r>
      <w:r w:rsidRPr="00AB1E54">
        <w:rPr>
          <w:rFonts w:asciiTheme="minorHAnsi" w:hAnsiTheme="minorHAnsi" w:cstheme="minorHAnsi"/>
          <w:sz w:val="24"/>
          <w:szCs w:val="24"/>
        </w:rPr>
        <w:t xml:space="preserve"> </w:t>
      </w:r>
      <w:r w:rsidR="00DF27F3">
        <w:rPr>
          <w:rFonts w:asciiTheme="minorHAnsi" w:hAnsiTheme="minorHAnsi" w:cstheme="minorHAnsi"/>
          <w:sz w:val="24"/>
          <w:szCs w:val="24"/>
        </w:rPr>
        <w:t xml:space="preserve">a </w:t>
      </w:r>
      <w:r w:rsidRPr="00AB1E54">
        <w:rPr>
          <w:rFonts w:asciiTheme="minorHAnsi" w:hAnsiTheme="minorHAnsi" w:cstheme="minorHAnsi"/>
          <w:sz w:val="24"/>
          <w:szCs w:val="24"/>
        </w:rPr>
        <w:t>PRIVAMED a.</w:t>
      </w:r>
      <w:r w:rsidR="00DF27F3">
        <w:rPr>
          <w:rFonts w:asciiTheme="minorHAnsi" w:hAnsiTheme="minorHAnsi" w:cstheme="minorHAnsi"/>
          <w:sz w:val="24"/>
          <w:szCs w:val="24"/>
        </w:rPr>
        <w:t> </w:t>
      </w:r>
      <w:r w:rsidRPr="00AB1E54">
        <w:rPr>
          <w:rFonts w:asciiTheme="minorHAnsi" w:hAnsiTheme="minorHAnsi" w:cstheme="minorHAnsi"/>
          <w:sz w:val="24"/>
          <w:szCs w:val="24"/>
        </w:rPr>
        <w:t>s., byla vypořádána usneseními Kolegia NKÚ.</w:t>
      </w:r>
    </w:p>
    <w:p w:rsidR="00A30E58" w:rsidRPr="00AB1E54" w:rsidRDefault="00A30E58" w:rsidP="00A30E58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A30E58" w:rsidRPr="00AB1E54" w:rsidRDefault="00A30E58" w:rsidP="00A30E58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44406D" w:rsidRPr="009C62AC" w:rsidRDefault="0044406D" w:rsidP="0044406D">
      <w:p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C62AC">
        <w:rPr>
          <w:rFonts w:ascii="Calibri" w:eastAsia="Times New Roman" w:hAnsi="Calibri" w:cs="Calibri"/>
          <w:b/>
          <w:i/>
          <w:color w:val="000000" w:themeColor="text1"/>
          <w:spacing w:val="40"/>
          <w:sz w:val="24"/>
          <w:szCs w:val="24"/>
        </w:rPr>
        <w:t>Kolegium</w:t>
      </w:r>
      <w:r w:rsidRPr="009C62A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  </w:t>
      </w:r>
      <w:r w:rsidRPr="009C62AC">
        <w:rPr>
          <w:rFonts w:ascii="Calibri" w:eastAsia="Times New Roman" w:hAnsi="Calibri" w:cs="Calibri"/>
          <w:b/>
          <w:i/>
          <w:color w:val="000000" w:themeColor="text1"/>
          <w:spacing w:val="40"/>
          <w:sz w:val="24"/>
          <w:szCs w:val="24"/>
        </w:rPr>
        <w:t>NKÚ</w:t>
      </w:r>
      <w:r w:rsidRPr="009C62A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  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>na svém X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X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jednání, 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které se 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>kona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lo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dne 1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5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="00780E54">
        <w:rPr>
          <w:rFonts w:ascii="Calibri" w:eastAsia="Times New Roman" w:hAnsi="Calibri" w:cs="Calibri"/>
          <w:color w:val="000000" w:themeColor="text1"/>
          <w:sz w:val="24"/>
          <w:szCs w:val="24"/>
        </w:rPr>
        <w:t>prosince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2014,</w:t>
      </w:r>
    </w:p>
    <w:p w:rsidR="0044406D" w:rsidRPr="009C62AC" w:rsidRDefault="0044406D" w:rsidP="0044406D">
      <w:p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C62AC">
        <w:rPr>
          <w:rFonts w:ascii="Calibri" w:eastAsia="Times New Roman" w:hAnsi="Calibri" w:cs="Calibri"/>
          <w:b/>
          <w:i/>
          <w:color w:val="000000" w:themeColor="text1"/>
          <w:spacing w:val="40"/>
          <w:sz w:val="24"/>
          <w:szCs w:val="24"/>
        </w:rPr>
        <w:t>schválilo</w:t>
      </w:r>
      <w:r w:rsidRPr="009C62A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  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usnesením č. </w:t>
      </w:r>
      <w:r w:rsidR="005B1755">
        <w:rPr>
          <w:rFonts w:ascii="Calibri" w:eastAsia="Times New Roman" w:hAnsi="Calibri" w:cs="Calibri"/>
          <w:color w:val="000000" w:themeColor="text1"/>
          <w:sz w:val="24"/>
          <w:szCs w:val="24"/>
        </w:rPr>
        <w:t>11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>/X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X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>/2014</w:t>
      </w:r>
    </w:p>
    <w:p w:rsidR="0044406D" w:rsidRPr="009C62AC" w:rsidRDefault="0044406D" w:rsidP="0044406D">
      <w:pPr>
        <w:spacing w:after="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C62AC">
        <w:rPr>
          <w:rFonts w:ascii="Calibri" w:eastAsia="Times New Roman" w:hAnsi="Calibri" w:cs="Calibri"/>
          <w:b/>
          <w:i/>
          <w:color w:val="000000" w:themeColor="text1"/>
          <w:spacing w:val="40"/>
          <w:sz w:val="24"/>
          <w:szCs w:val="24"/>
        </w:rPr>
        <w:t>kontrolní</w:t>
      </w:r>
      <w:r w:rsidRPr="009C62A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  </w:t>
      </w:r>
      <w:r w:rsidRPr="009C62AC">
        <w:rPr>
          <w:rFonts w:ascii="Calibri" w:eastAsia="Times New Roman" w:hAnsi="Calibri" w:cs="Calibri"/>
          <w:b/>
          <w:i/>
          <w:color w:val="000000" w:themeColor="text1"/>
          <w:spacing w:val="40"/>
          <w:sz w:val="24"/>
          <w:szCs w:val="24"/>
        </w:rPr>
        <w:t>závěr</w:t>
      </w:r>
      <w:r w:rsidRPr="009C62A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  </w:t>
      </w:r>
      <w:r w:rsidR="004C76CF">
        <w:rPr>
          <w:rFonts w:ascii="Calibri" w:eastAsia="Times New Roman" w:hAnsi="Calibri" w:cs="Calibri"/>
          <w:color w:val="000000" w:themeColor="text1"/>
          <w:sz w:val="24"/>
          <w:szCs w:val="24"/>
        </w:rPr>
        <w:t>v </w:t>
      </w:r>
      <w:r w:rsidRPr="009C62AC">
        <w:rPr>
          <w:rFonts w:ascii="Calibri" w:eastAsia="Times New Roman" w:hAnsi="Calibri" w:cs="Calibri"/>
          <w:color w:val="000000" w:themeColor="text1"/>
          <w:sz w:val="24"/>
          <w:szCs w:val="24"/>
        </w:rPr>
        <w:t>tomto znění:</w:t>
      </w:r>
    </w:p>
    <w:p w:rsidR="00A30E58" w:rsidRPr="00B319C9" w:rsidRDefault="00A30E58" w:rsidP="00A30E58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319C9">
        <w:rPr>
          <w:rFonts w:asciiTheme="minorHAnsi" w:hAnsiTheme="minorHAnsi" w:cstheme="minorHAnsi"/>
          <w:b/>
          <w:sz w:val="26"/>
          <w:szCs w:val="26"/>
        </w:rPr>
        <w:lastRenderedPageBreak/>
        <w:t xml:space="preserve">I. Úvod </w:t>
      </w:r>
    </w:p>
    <w:p w:rsidR="00A30E58" w:rsidRPr="00AB1E54" w:rsidRDefault="00A30E58" w:rsidP="00A30E58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816A0" w:rsidRDefault="003816A0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A741C4">
        <w:rPr>
          <w:rFonts w:asciiTheme="minorHAnsi" w:hAnsiTheme="minorHAnsi" w:cstheme="minorHAnsi"/>
          <w:i/>
          <w:sz w:val="24"/>
          <w:szCs w:val="24"/>
        </w:rPr>
        <w:t>Regionální operační program NUTS II Jihozápad</w:t>
      </w:r>
      <w:r w:rsidRPr="00AB1E54">
        <w:rPr>
          <w:rFonts w:asciiTheme="minorHAnsi" w:hAnsiTheme="minorHAnsi" w:cstheme="minorHAnsi"/>
          <w:sz w:val="24"/>
          <w:szCs w:val="24"/>
        </w:rPr>
        <w:t xml:space="preserve"> (dále také „ROP JZ“) je jedním ze sedmi regionálních operačních programů, které jsou realizovány pro cíl </w:t>
      </w:r>
      <w:r w:rsidRPr="00A741C4">
        <w:rPr>
          <w:rFonts w:asciiTheme="minorHAnsi" w:hAnsiTheme="minorHAnsi" w:cstheme="minorHAnsi"/>
          <w:i/>
          <w:sz w:val="24"/>
          <w:szCs w:val="24"/>
        </w:rPr>
        <w:t>Konvergence</w:t>
      </w:r>
      <w:r w:rsidRPr="00AB1E54">
        <w:rPr>
          <w:rFonts w:asciiTheme="minorHAnsi" w:hAnsiTheme="minorHAnsi" w:cstheme="minorHAnsi"/>
          <w:sz w:val="24"/>
          <w:szCs w:val="24"/>
        </w:rPr>
        <w:t xml:space="preserve"> dle </w:t>
      </w:r>
      <w:r w:rsidR="00DF27F3">
        <w:rPr>
          <w:rFonts w:asciiTheme="minorHAnsi" w:hAnsiTheme="minorHAnsi" w:cstheme="minorHAnsi"/>
          <w:sz w:val="24"/>
          <w:szCs w:val="24"/>
        </w:rPr>
        <w:t>n</w:t>
      </w:r>
      <w:r w:rsidRPr="00AB1E54">
        <w:rPr>
          <w:rFonts w:asciiTheme="minorHAnsi" w:hAnsiTheme="minorHAnsi" w:cstheme="minorHAnsi"/>
          <w:sz w:val="24"/>
          <w:szCs w:val="24"/>
        </w:rPr>
        <w:t>ařízení Rady (ES) 1083/2006 ze dne 11. července 2006</w:t>
      </w:r>
      <w:r w:rsidR="00DF27F3">
        <w:rPr>
          <w:rFonts w:asciiTheme="minorHAnsi" w:hAnsiTheme="minorHAnsi" w:cstheme="minorHAnsi"/>
          <w:sz w:val="24"/>
          <w:szCs w:val="24"/>
        </w:rPr>
        <w:t>,</w:t>
      </w:r>
      <w:r w:rsidRPr="00AB1E54">
        <w:rPr>
          <w:rFonts w:asciiTheme="minorHAnsi" w:hAnsiTheme="minorHAnsi" w:cstheme="minorHAnsi"/>
          <w:sz w:val="24"/>
          <w:szCs w:val="24"/>
        </w:rPr>
        <w:t xml:space="preserve"> </w:t>
      </w:r>
      <w:r w:rsidRPr="00AB1E54">
        <w:rPr>
          <w:rFonts w:asciiTheme="minorHAnsi" w:hAnsiTheme="minorHAnsi" w:cstheme="minorHAnsi"/>
          <w:color w:val="000000"/>
          <w:sz w:val="24"/>
          <w:szCs w:val="24"/>
        </w:rPr>
        <w:t>o obecných ustanoveních o Evropském fondu pro regionální rozvoj, Evropském sociálním fondu a Fondu soudržnosti a o zrušení nařízení (ES) č. 1260/1999</w:t>
      </w:r>
      <w:r w:rsidR="00926C8D" w:rsidRPr="00AB1E5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B1E5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AB1E54">
        <w:rPr>
          <w:rFonts w:asciiTheme="minorHAnsi" w:hAnsiTheme="minorHAnsi" w:cstheme="minorHAnsi"/>
          <w:bCs/>
          <w:sz w:val="24"/>
          <w:szCs w:val="24"/>
        </w:rPr>
        <w:t xml:space="preserve">Program ROP JZ podporuje dotacemi </w:t>
      </w:r>
      <w:r w:rsidR="004C76CF">
        <w:rPr>
          <w:rFonts w:asciiTheme="minorHAnsi" w:hAnsiTheme="minorHAnsi" w:cstheme="minorHAnsi"/>
          <w:bCs/>
          <w:sz w:val="24"/>
          <w:szCs w:val="24"/>
        </w:rPr>
        <w:t>z </w:t>
      </w:r>
      <w:r w:rsidRPr="00A741C4">
        <w:rPr>
          <w:rFonts w:asciiTheme="minorHAnsi" w:hAnsiTheme="minorHAnsi" w:cstheme="minorHAnsi"/>
          <w:bCs/>
          <w:i/>
          <w:sz w:val="24"/>
          <w:szCs w:val="24"/>
        </w:rPr>
        <w:t>Evropského fondu pro regionální rozvoj</w:t>
      </w:r>
      <w:r w:rsidRPr="00AB1E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B1E54">
        <w:rPr>
          <w:rFonts w:asciiTheme="minorHAnsi" w:hAnsiTheme="minorHAnsi" w:cstheme="minorHAnsi"/>
          <w:sz w:val="24"/>
          <w:szCs w:val="24"/>
        </w:rPr>
        <w:t xml:space="preserve">(dále </w:t>
      </w:r>
      <w:r w:rsidR="00DF27F3">
        <w:rPr>
          <w:rFonts w:asciiTheme="minorHAnsi" w:hAnsiTheme="minorHAnsi" w:cstheme="minorHAnsi"/>
          <w:sz w:val="24"/>
          <w:szCs w:val="24"/>
        </w:rPr>
        <w:t>jen</w:t>
      </w:r>
      <w:r w:rsidRPr="00AB1E54">
        <w:rPr>
          <w:rFonts w:asciiTheme="minorHAnsi" w:hAnsiTheme="minorHAnsi" w:cstheme="minorHAnsi"/>
          <w:sz w:val="24"/>
          <w:szCs w:val="24"/>
        </w:rPr>
        <w:t xml:space="preserve"> „ERDF“</w:t>
      </w:r>
      <w:r w:rsidRPr="00AB1E54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AB1E54">
        <w:rPr>
          <w:rFonts w:asciiTheme="minorHAnsi" w:hAnsiTheme="minorHAnsi" w:cstheme="minorHAnsi"/>
          <w:sz w:val="24"/>
          <w:szCs w:val="24"/>
        </w:rPr>
        <w:t xml:space="preserve">) </w:t>
      </w:r>
      <w:r w:rsidRPr="00AB1E54">
        <w:rPr>
          <w:rFonts w:asciiTheme="minorHAnsi" w:hAnsiTheme="minorHAnsi" w:cstheme="minorHAnsi"/>
          <w:bCs/>
          <w:sz w:val="24"/>
          <w:szCs w:val="24"/>
        </w:rPr>
        <w:t>projekty realizované na území Jihočeského a Plzeňského kraje. Hlavním cílem ROP JZ je zvýšení konkurencesch</w:t>
      </w:r>
      <w:r w:rsidR="00AB1E54">
        <w:rPr>
          <w:rFonts w:asciiTheme="minorHAnsi" w:hAnsiTheme="minorHAnsi" w:cstheme="minorHAnsi"/>
          <w:bCs/>
          <w:sz w:val="24"/>
          <w:szCs w:val="24"/>
        </w:rPr>
        <w:t>opnosti a atraktivity regionu v </w:t>
      </w:r>
      <w:r w:rsidRPr="00AB1E54">
        <w:rPr>
          <w:rFonts w:asciiTheme="minorHAnsi" w:hAnsiTheme="minorHAnsi" w:cstheme="minorHAnsi"/>
          <w:bCs/>
          <w:sz w:val="24"/>
          <w:szCs w:val="24"/>
        </w:rPr>
        <w:t>zájmu zvyšování kvality života jeho obyvatel. Říd</w:t>
      </w:r>
      <w:r w:rsidR="00DF27F3">
        <w:rPr>
          <w:rFonts w:asciiTheme="minorHAnsi" w:hAnsiTheme="minorHAnsi" w:cstheme="minorHAnsi"/>
          <w:bCs/>
          <w:sz w:val="24"/>
          <w:szCs w:val="24"/>
        </w:rPr>
        <w:t>i</w:t>
      </w:r>
      <w:r w:rsidRPr="00AB1E54">
        <w:rPr>
          <w:rFonts w:asciiTheme="minorHAnsi" w:hAnsiTheme="minorHAnsi" w:cstheme="minorHAnsi"/>
          <w:bCs/>
          <w:sz w:val="24"/>
          <w:szCs w:val="24"/>
        </w:rPr>
        <w:t>cím orgánem ROP JZ je Regionální rada regionu soudržnosti Jihozápad (dále také „RR</w:t>
      </w:r>
      <w:r w:rsidR="0078401D">
        <w:rPr>
          <w:rFonts w:asciiTheme="minorHAnsi" w:hAnsiTheme="minorHAnsi" w:cstheme="minorHAnsi"/>
          <w:bCs/>
          <w:sz w:val="24"/>
          <w:szCs w:val="24"/>
        </w:rPr>
        <w:t> </w:t>
      </w:r>
      <w:r w:rsidRPr="00AB1E54">
        <w:rPr>
          <w:rFonts w:asciiTheme="minorHAnsi" w:hAnsiTheme="minorHAnsi" w:cstheme="minorHAnsi"/>
          <w:bCs/>
          <w:sz w:val="24"/>
          <w:szCs w:val="24"/>
        </w:rPr>
        <w:t>JZ“), která má celkovou odpovědnost za realizaci programu.</w:t>
      </w:r>
    </w:p>
    <w:p w:rsidR="003D5196" w:rsidRPr="00AB1E54" w:rsidRDefault="003D5196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Cs/>
          <w:sz w:val="24"/>
          <w:szCs w:val="24"/>
        </w:rPr>
      </w:pPr>
    </w:p>
    <w:p w:rsidR="0025616D" w:rsidRPr="00EE5377" w:rsidRDefault="006D7EF5" w:rsidP="00DF27F3">
      <w:pPr>
        <w:pStyle w:val="Nadpis2"/>
      </w:pPr>
      <w:bookmarkStart w:id="0" w:name="_Toc305406992"/>
      <w:bookmarkStart w:id="1" w:name="_Toc388939847"/>
      <w:r w:rsidRPr="00DF27F3">
        <w:t xml:space="preserve">ROP JZ obsahuje čtyři </w:t>
      </w:r>
      <w:r w:rsidRPr="00DF27F3">
        <w:rPr>
          <w:rStyle w:val="Siln"/>
          <w:b w:val="0"/>
        </w:rPr>
        <w:t>prioritní osy</w:t>
      </w:r>
      <w:r w:rsidRPr="00DF27F3">
        <w:t xml:space="preserve"> rozdělující operační program na logické celky, ty jsou dále konkretizovány prostřednictvím tzv. </w:t>
      </w:r>
      <w:r w:rsidRPr="00EE5377">
        <w:rPr>
          <w:rStyle w:val="Siln"/>
          <w:b w:val="0"/>
        </w:rPr>
        <w:t>oblastí podpory</w:t>
      </w:r>
      <w:r w:rsidRPr="00EE5377">
        <w:t xml:space="preserve">, které vymezují typy projektů, které mohou být </w:t>
      </w:r>
      <w:r w:rsidR="004C76CF" w:rsidRPr="00EE5377">
        <w:t>v </w:t>
      </w:r>
      <w:r w:rsidRPr="00EE5377">
        <w:t>rámci příslušné prioritní osy podpořeny. Systém finančních toků prostředků z</w:t>
      </w:r>
      <w:r w:rsidR="00B56AE1" w:rsidRPr="00EE5377">
        <w:t> </w:t>
      </w:r>
      <w:r w:rsidRPr="00EE5377">
        <w:t xml:space="preserve">rozpočtu EU </w:t>
      </w:r>
      <w:r w:rsidR="00DF27F3" w:rsidRPr="00DF27F3">
        <w:t xml:space="preserve">je </w:t>
      </w:r>
      <w:r w:rsidRPr="00DF27F3">
        <w:t>u ROP JZ založen na principu financování žádostí o platbu z prostředků RR</w:t>
      </w:r>
      <w:r w:rsidR="00DF27F3" w:rsidRPr="00DF27F3">
        <w:t> </w:t>
      </w:r>
      <w:r w:rsidRPr="00DF27F3">
        <w:t xml:space="preserve">JZ, které </w:t>
      </w:r>
      <w:r w:rsidR="00DF27F3" w:rsidRPr="003B5D6A">
        <w:t xml:space="preserve">regionální rada </w:t>
      </w:r>
      <w:r w:rsidRPr="00DF27F3">
        <w:t xml:space="preserve">získává </w:t>
      </w:r>
      <w:r w:rsidR="004C76CF" w:rsidRPr="00EE5377">
        <w:t>z </w:t>
      </w:r>
      <w:r w:rsidRPr="00EE5377">
        <w:t xml:space="preserve">rozpočtu EU a ze státního rozpočtu prostřednictvím kapitoly 317 – </w:t>
      </w:r>
      <w:r w:rsidRPr="00EE5377">
        <w:rPr>
          <w:i/>
        </w:rPr>
        <w:t>Ministerstvo pro místní rozvoj</w:t>
      </w:r>
      <w:r w:rsidRPr="00EE5377">
        <w:t>, popř. z rozpočtů krajů.</w:t>
      </w:r>
      <w:r w:rsidR="00926C8D" w:rsidRPr="00EE5377">
        <w:t xml:space="preserve"> Dle článku 53 </w:t>
      </w:r>
      <w:r w:rsidR="00EE5377">
        <w:t>n</w:t>
      </w:r>
      <w:r w:rsidR="00926C8D" w:rsidRPr="00EE5377">
        <w:t>ařízení Rady (ES) č.</w:t>
      </w:r>
      <w:r w:rsidR="00C27254" w:rsidRPr="00EE5377">
        <w:t> </w:t>
      </w:r>
      <w:r w:rsidR="00926C8D" w:rsidRPr="00EE5377">
        <w:t xml:space="preserve">1083/2006 byl pro ČR stanoven podíl příspěvku z ERDF vzhledem ke způsobilým výdajům nejvýše 85 %. Dalších 7,5 % způsobilých výdajů tvoří spolufinancování ze státního rozpočtu (dále </w:t>
      </w:r>
      <w:r w:rsidR="00EE5377">
        <w:t>jen</w:t>
      </w:r>
      <w:r w:rsidR="00926C8D" w:rsidRPr="00EE5377">
        <w:t xml:space="preserve"> „SR“) prostřednictvím kapitoly Ministerstva pro místní rozvoj (dále také „MMR“). Dalšími finančními prostředky </w:t>
      </w:r>
      <w:r w:rsidR="00295A63" w:rsidRPr="00EE5377">
        <w:t xml:space="preserve">ve výši 7,5 % </w:t>
      </w:r>
      <w:r w:rsidR="00926C8D" w:rsidRPr="00EE5377">
        <w:t>se na financování jednotlivých projektů mohou podílet kraje, obce či příjemce.</w:t>
      </w:r>
    </w:p>
    <w:p w:rsidR="003D5196" w:rsidRPr="00E03839" w:rsidRDefault="003D5196" w:rsidP="00A741C4">
      <w:pPr>
        <w:spacing w:before="0" w:after="0"/>
      </w:pPr>
    </w:p>
    <w:bookmarkEnd w:id="0"/>
    <w:bookmarkEnd w:id="1"/>
    <w:p w:rsidR="003816A0" w:rsidRDefault="003816A0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AB1E54">
        <w:rPr>
          <w:rFonts w:asciiTheme="minorHAnsi" w:hAnsiTheme="minorHAnsi" w:cstheme="minorHAnsi"/>
          <w:sz w:val="24"/>
          <w:szCs w:val="24"/>
        </w:rPr>
        <w:t>Celková alokace peněžních prostředků ERDF určená na ROP JZ činila 633,6 mil.</w:t>
      </w:r>
      <w:r w:rsidR="00EE5377">
        <w:rPr>
          <w:rFonts w:asciiTheme="minorHAnsi" w:hAnsiTheme="minorHAnsi" w:cstheme="minorHAnsi"/>
          <w:sz w:val="24"/>
          <w:szCs w:val="24"/>
        </w:rPr>
        <w:t> €</w:t>
      </w:r>
      <w:r w:rsidRPr="00AB1E54">
        <w:rPr>
          <w:rFonts w:asciiTheme="minorHAnsi" w:hAnsiTheme="minorHAnsi" w:cstheme="minorHAnsi"/>
          <w:sz w:val="24"/>
          <w:szCs w:val="24"/>
        </w:rPr>
        <w:t xml:space="preserve">. Prioritní osa 2 – </w:t>
      </w:r>
      <w:r w:rsidRPr="00A741C4">
        <w:rPr>
          <w:rFonts w:asciiTheme="minorHAnsi" w:hAnsiTheme="minorHAnsi" w:cstheme="minorHAnsi"/>
          <w:i/>
          <w:sz w:val="24"/>
          <w:szCs w:val="24"/>
        </w:rPr>
        <w:t>Stabilizace a rozvoj měst</w:t>
      </w:r>
      <w:r w:rsidRPr="00AB1E54">
        <w:rPr>
          <w:rFonts w:asciiTheme="minorHAnsi" w:hAnsiTheme="minorHAnsi" w:cstheme="minorHAnsi"/>
          <w:sz w:val="24"/>
          <w:szCs w:val="24"/>
        </w:rPr>
        <w:t xml:space="preserve"> </w:t>
      </w:r>
      <w:r w:rsidR="00EE5377" w:rsidRPr="00AB1E54">
        <w:rPr>
          <w:rFonts w:asciiTheme="minorHAnsi" w:hAnsiTheme="minorHAnsi" w:cstheme="minorHAnsi"/>
          <w:sz w:val="24"/>
          <w:szCs w:val="24"/>
        </w:rPr>
        <w:t xml:space="preserve">(dále také „PO 2“) </w:t>
      </w:r>
      <w:r w:rsidRPr="00AB1E54">
        <w:rPr>
          <w:rFonts w:asciiTheme="minorHAnsi" w:hAnsiTheme="minorHAnsi" w:cstheme="minorHAnsi"/>
          <w:sz w:val="24"/>
          <w:szCs w:val="24"/>
        </w:rPr>
        <w:t>se na této alokaci podílela 32,36</w:t>
      </w:r>
      <w:r w:rsidR="00C27254" w:rsidRPr="00AB1E54">
        <w:rPr>
          <w:rFonts w:asciiTheme="minorHAnsi" w:hAnsiTheme="minorHAnsi" w:cstheme="minorHAnsi"/>
          <w:sz w:val="24"/>
          <w:szCs w:val="24"/>
        </w:rPr>
        <w:t> </w:t>
      </w:r>
      <w:r w:rsidRPr="00AB1E54">
        <w:rPr>
          <w:rFonts w:asciiTheme="minorHAnsi" w:hAnsiTheme="minorHAnsi" w:cstheme="minorHAnsi"/>
          <w:sz w:val="24"/>
          <w:szCs w:val="24"/>
        </w:rPr>
        <w:t xml:space="preserve">%. Na prioritní ose 2 se pak oblast podpory (dále také „OP“) 2.6 – </w:t>
      </w:r>
      <w:r w:rsidRPr="00A741C4">
        <w:rPr>
          <w:rFonts w:asciiTheme="minorHAnsi" w:hAnsiTheme="minorHAnsi" w:cstheme="minorHAnsi"/>
          <w:i/>
          <w:sz w:val="24"/>
          <w:szCs w:val="24"/>
        </w:rPr>
        <w:t>Rozvoj zd</w:t>
      </w:r>
      <w:r w:rsidR="00317BC8" w:rsidRPr="00A741C4">
        <w:rPr>
          <w:rFonts w:asciiTheme="minorHAnsi" w:hAnsiTheme="minorHAnsi" w:cstheme="minorHAnsi"/>
          <w:i/>
          <w:sz w:val="24"/>
          <w:szCs w:val="24"/>
        </w:rPr>
        <w:t>ravotnické péče</w:t>
      </w:r>
      <w:r w:rsidR="00317BC8" w:rsidRPr="00AB1E54">
        <w:rPr>
          <w:rFonts w:asciiTheme="minorHAnsi" w:hAnsiTheme="minorHAnsi" w:cstheme="minorHAnsi"/>
          <w:sz w:val="24"/>
          <w:szCs w:val="24"/>
        </w:rPr>
        <w:t xml:space="preserve"> podílela 22,8</w:t>
      </w:r>
      <w:r w:rsidR="00EE5377">
        <w:rPr>
          <w:rFonts w:asciiTheme="minorHAnsi" w:hAnsiTheme="minorHAnsi" w:cstheme="minorHAnsi"/>
          <w:sz w:val="24"/>
          <w:szCs w:val="24"/>
        </w:rPr>
        <w:t> </w:t>
      </w:r>
      <w:r w:rsidR="00317BC8" w:rsidRPr="00AB1E54">
        <w:rPr>
          <w:rFonts w:asciiTheme="minorHAnsi" w:hAnsiTheme="minorHAnsi" w:cstheme="minorHAnsi"/>
          <w:sz w:val="24"/>
          <w:szCs w:val="24"/>
        </w:rPr>
        <w:t>%.</w:t>
      </w:r>
      <w:r w:rsidR="00185E43" w:rsidRPr="00AB1E5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D5196" w:rsidRPr="00AB1E54" w:rsidRDefault="003D5196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225FCD" w:rsidRDefault="00C27254" w:rsidP="00A741C4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  <w:r w:rsidRPr="00AB1E54">
        <w:rPr>
          <w:rFonts w:asciiTheme="minorHAnsi" w:hAnsiTheme="minorHAnsi" w:cstheme="minorHAnsi"/>
          <w:sz w:val="24"/>
          <w:szCs w:val="24"/>
          <w:lang w:eastAsia="cs-CZ"/>
        </w:rPr>
        <w:t>A</w:t>
      </w:r>
      <w:r w:rsidR="00225FCD" w:rsidRPr="00AB1E54">
        <w:rPr>
          <w:rFonts w:asciiTheme="minorHAnsi" w:hAnsiTheme="minorHAnsi" w:cstheme="minorHAnsi"/>
          <w:sz w:val="24"/>
          <w:szCs w:val="24"/>
          <w:lang w:eastAsia="cs-CZ"/>
        </w:rPr>
        <w:t xml:space="preserve">lokace finančních prostředků ke dni 2. 5. 2014 je </w:t>
      </w:r>
      <w:r w:rsidR="00B56AE1" w:rsidRPr="00AB1E54">
        <w:rPr>
          <w:rFonts w:asciiTheme="minorHAnsi" w:hAnsiTheme="minorHAnsi" w:cstheme="minorHAnsi"/>
          <w:sz w:val="24"/>
          <w:szCs w:val="24"/>
          <w:lang w:eastAsia="cs-CZ"/>
        </w:rPr>
        <w:t>uvedena</w:t>
      </w:r>
      <w:r w:rsidR="00225FCD" w:rsidRPr="00AB1E54">
        <w:rPr>
          <w:rFonts w:asciiTheme="minorHAnsi" w:hAnsiTheme="minorHAnsi" w:cstheme="minorHAnsi"/>
          <w:sz w:val="24"/>
          <w:szCs w:val="24"/>
          <w:lang w:eastAsia="cs-CZ"/>
        </w:rPr>
        <w:t xml:space="preserve"> v tabulce č. </w:t>
      </w:r>
      <w:r w:rsidR="00317BC8" w:rsidRPr="00AB1E54">
        <w:rPr>
          <w:rFonts w:asciiTheme="minorHAnsi" w:hAnsiTheme="minorHAnsi" w:cstheme="minorHAnsi"/>
          <w:sz w:val="24"/>
          <w:szCs w:val="24"/>
          <w:lang w:eastAsia="cs-CZ"/>
        </w:rPr>
        <w:t>1</w:t>
      </w:r>
      <w:r w:rsidR="00EB558C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:rsidR="003D5196" w:rsidRPr="00AB1E54" w:rsidRDefault="003D5196" w:rsidP="00A741C4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:rsidR="00225FCD" w:rsidRPr="00380014" w:rsidRDefault="00225FCD" w:rsidP="00A741C4">
      <w:pPr>
        <w:tabs>
          <w:tab w:val="left" w:pos="1701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380014">
        <w:rPr>
          <w:rFonts w:asciiTheme="minorHAnsi" w:hAnsiTheme="minorHAnsi" w:cstheme="minorHAnsi"/>
          <w:b/>
          <w:sz w:val="24"/>
          <w:szCs w:val="24"/>
        </w:rPr>
        <w:t xml:space="preserve">Tabulka č. </w:t>
      </w:r>
      <w:r w:rsidR="00317BC8" w:rsidRPr="00380014">
        <w:rPr>
          <w:rFonts w:asciiTheme="minorHAnsi" w:hAnsiTheme="minorHAnsi" w:cstheme="minorHAnsi"/>
          <w:b/>
          <w:sz w:val="24"/>
          <w:szCs w:val="24"/>
        </w:rPr>
        <w:t>1</w:t>
      </w:r>
      <w:r w:rsidR="00F82A32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="00317BC8" w:rsidRPr="003800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0014">
        <w:rPr>
          <w:rFonts w:asciiTheme="minorHAnsi" w:hAnsiTheme="minorHAnsi" w:cstheme="minorHAnsi"/>
          <w:b/>
          <w:sz w:val="24"/>
          <w:szCs w:val="24"/>
        </w:rPr>
        <w:t>Alokace prostředků ERDF pro ROP JZ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504"/>
        <w:gridCol w:w="2552"/>
        <w:gridCol w:w="2551"/>
      </w:tblGrid>
      <w:tr w:rsidR="00225FCD" w:rsidRPr="006F70ED" w:rsidTr="00DD69FC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25FCD" w:rsidRPr="00380014" w:rsidRDefault="00225FCD" w:rsidP="004F0F4F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Podíl ERDF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25FCD" w:rsidRPr="00380014" w:rsidRDefault="00225FCD" w:rsidP="004F0F4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Alokace ROP JZ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25FCD" w:rsidRPr="00380014" w:rsidRDefault="00EE5377" w:rsidP="00EE53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– z</w:t>
            </w:r>
            <w:r w:rsidR="004C76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225FCD" w:rsidRPr="003800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toho alokace PO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25FCD" w:rsidRPr="00380014" w:rsidRDefault="00EE5377" w:rsidP="00EE53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– z</w:t>
            </w:r>
            <w:r w:rsidR="004C76C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225FCD" w:rsidRPr="003800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toho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225FCD" w:rsidRPr="003800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lokace OP 2.6</w:t>
            </w:r>
          </w:p>
        </w:tc>
      </w:tr>
      <w:tr w:rsidR="00225FCD" w:rsidRPr="006F70ED" w:rsidTr="00DD69F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4C76CF" w:rsidP="004F0F4F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 </w:t>
            </w:r>
            <w:r w:rsidR="00225FCD" w:rsidRPr="003800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225FCD" w:rsidP="004F0F4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16 591 521 638,87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225FCD" w:rsidP="004F0F4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5 321 920 253,22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225FCD" w:rsidP="004F0F4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1 205 674 871,07</w:t>
            </w:r>
          </w:p>
        </w:tc>
      </w:tr>
      <w:tr w:rsidR="00225FCD" w:rsidRPr="006F70ED" w:rsidTr="00DD69FC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4C76CF" w:rsidP="00EE5377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v </w:t>
            </w:r>
            <w:r w:rsidR="00EE53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€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225FCD" w:rsidP="004F0F4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633 653 121,00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225FCD" w:rsidP="004F0F4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205 076 012,00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FCD" w:rsidRPr="00380014" w:rsidRDefault="00225FCD" w:rsidP="004F0F4F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3800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cs-CZ"/>
              </w:rPr>
              <w:t>46 752 886,00</w:t>
            </w:r>
          </w:p>
        </w:tc>
      </w:tr>
    </w:tbl>
    <w:p w:rsidR="00225FCD" w:rsidRPr="00A741C4" w:rsidRDefault="00225FCD" w:rsidP="00A741C4">
      <w:pPr>
        <w:spacing w:before="0" w:after="0"/>
        <w:rPr>
          <w:rFonts w:asciiTheme="minorHAnsi" w:hAnsiTheme="minorHAnsi" w:cstheme="minorHAnsi"/>
          <w:sz w:val="20"/>
          <w:szCs w:val="20"/>
        </w:rPr>
      </w:pPr>
      <w:r w:rsidRPr="00A741C4">
        <w:rPr>
          <w:rFonts w:asciiTheme="minorHAnsi" w:hAnsiTheme="minorHAnsi" w:cstheme="minorHAnsi"/>
          <w:b/>
          <w:sz w:val="20"/>
          <w:szCs w:val="20"/>
        </w:rPr>
        <w:t>Zdroj:</w:t>
      </w:r>
      <w:r w:rsidRPr="00A741C4">
        <w:rPr>
          <w:rFonts w:asciiTheme="minorHAnsi" w:hAnsiTheme="minorHAnsi" w:cstheme="minorHAnsi"/>
          <w:sz w:val="20"/>
          <w:szCs w:val="20"/>
        </w:rPr>
        <w:t xml:space="preserve"> </w:t>
      </w:r>
      <w:r w:rsidR="00EE5377">
        <w:rPr>
          <w:rFonts w:asciiTheme="minorHAnsi" w:hAnsiTheme="minorHAnsi" w:cstheme="minorHAnsi"/>
          <w:sz w:val="20"/>
          <w:szCs w:val="20"/>
        </w:rPr>
        <w:t>s</w:t>
      </w:r>
      <w:r w:rsidRPr="00A741C4">
        <w:rPr>
          <w:rFonts w:asciiTheme="minorHAnsi" w:hAnsiTheme="minorHAnsi" w:cstheme="minorHAnsi"/>
          <w:sz w:val="20"/>
          <w:szCs w:val="20"/>
        </w:rPr>
        <w:t>estava MSC210 poskytnutá RR JZ ke dni 2. 5. 2014</w:t>
      </w:r>
      <w:r w:rsidR="00380014" w:rsidRPr="00A741C4">
        <w:rPr>
          <w:rFonts w:asciiTheme="minorHAnsi" w:hAnsiTheme="minorHAnsi" w:cstheme="minorHAnsi"/>
          <w:sz w:val="20"/>
          <w:szCs w:val="20"/>
        </w:rPr>
        <w:t>.</w:t>
      </w:r>
    </w:p>
    <w:p w:rsidR="003D5196" w:rsidRDefault="003D5196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41623" w:rsidRDefault="00341623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380014">
        <w:rPr>
          <w:rFonts w:asciiTheme="minorHAnsi" w:hAnsiTheme="minorHAnsi" w:cstheme="minorHAnsi"/>
          <w:sz w:val="24"/>
          <w:szCs w:val="24"/>
        </w:rPr>
        <w:t>Předmětem kontrol</w:t>
      </w:r>
      <w:r w:rsidR="00EE5377">
        <w:rPr>
          <w:rFonts w:asciiTheme="minorHAnsi" w:hAnsiTheme="minorHAnsi" w:cstheme="minorHAnsi"/>
          <w:sz w:val="24"/>
          <w:szCs w:val="24"/>
        </w:rPr>
        <w:t>ní akce</w:t>
      </w:r>
      <w:r w:rsidRPr="00380014">
        <w:rPr>
          <w:rFonts w:asciiTheme="minorHAnsi" w:hAnsiTheme="minorHAnsi" w:cstheme="minorHAnsi"/>
          <w:sz w:val="24"/>
          <w:szCs w:val="24"/>
        </w:rPr>
        <w:t xml:space="preserve"> NKÚ byly projekty předložené v rámci prioritní osy 2, </w:t>
      </w:r>
      <w:r w:rsidR="00EE5377">
        <w:rPr>
          <w:rFonts w:asciiTheme="minorHAnsi" w:hAnsiTheme="minorHAnsi" w:cstheme="minorHAnsi"/>
          <w:sz w:val="24"/>
          <w:szCs w:val="24"/>
        </w:rPr>
        <w:t xml:space="preserve">konkrétně </w:t>
      </w:r>
      <w:r w:rsidRPr="00380014">
        <w:rPr>
          <w:rFonts w:asciiTheme="minorHAnsi" w:hAnsiTheme="minorHAnsi" w:cstheme="minorHAnsi"/>
          <w:sz w:val="24"/>
          <w:szCs w:val="24"/>
        </w:rPr>
        <w:t xml:space="preserve">oblasti podpory 2.6 </w:t>
      </w:r>
      <w:r w:rsidR="00380014">
        <w:rPr>
          <w:rFonts w:asciiTheme="minorHAnsi" w:hAnsiTheme="minorHAnsi" w:cstheme="minorHAnsi"/>
          <w:sz w:val="24"/>
          <w:szCs w:val="24"/>
        </w:rPr>
        <w:t>–</w:t>
      </w:r>
      <w:r w:rsidRPr="00380014">
        <w:rPr>
          <w:rFonts w:asciiTheme="minorHAnsi" w:hAnsiTheme="minorHAnsi" w:cstheme="minorHAnsi"/>
          <w:sz w:val="24"/>
          <w:szCs w:val="24"/>
        </w:rPr>
        <w:t xml:space="preserve"> </w:t>
      </w:r>
      <w:r w:rsidRPr="00A741C4">
        <w:rPr>
          <w:rFonts w:asciiTheme="minorHAnsi" w:hAnsiTheme="minorHAnsi" w:cstheme="minorHAnsi"/>
          <w:i/>
          <w:sz w:val="24"/>
          <w:szCs w:val="24"/>
        </w:rPr>
        <w:t>Rozvoj zdravotnické péče</w:t>
      </w:r>
      <w:r w:rsidRPr="00380014">
        <w:rPr>
          <w:rFonts w:asciiTheme="minorHAnsi" w:hAnsiTheme="minorHAnsi" w:cstheme="minorHAnsi"/>
          <w:sz w:val="24"/>
          <w:szCs w:val="24"/>
        </w:rPr>
        <w:t>, přičemž kritériem pro výběr kontrolovaných osob byla finanční významnost projektu, zastoupení projektů v</w:t>
      </w:r>
      <w:r w:rsidR="00B319C9">
        <w:rPr>
          <w:rFonts w:asciiTheme="minorHAnsi" w:hAnsiTheme="minorHAnsi" w:cstheme="minorHAnsi"/>
          <w:sz w:val="24"/>
          <w:szCs w:val="24"/>
        </w:rPr>
        <w:t> Jihočeském a Plzeňském kraji a </w:t>
      </w:r>
      <w:r w:rsidRPr="00380014">
        <w:rPr>
          <w:rFonts w:asciiTheme="minorHAnsi" w:hAnsiTheme="minorHAnsi" w:cstheme="minorHAnsi"/>
          <w:sz w:val="24"/>
          <w:szCs w:val="24"/>
        </w:rPr>
        <w:t>proplacení závěrečné platby projektu.</w:t>
      </w:r>
    </w:p>
    <w:p w:rsidR="003D5196" w:rsidRPr="00380014" w:rsidRDefault="003D5196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225FCD" w:rsidRDefault="00CA7011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</w:rPr>
      </w:pPr>
      <w:r w:rsidRPr="00380014">
        <w:rPr>
          <w:rFonts w:asciiTheme="minorHAnsi" w:hAnsiTheme="minorHAnsi" w:cstheme="minorHAnsi"/>
          <w:sz w:val="24"/>
          <w:szCs w:val="24"/>
        </w:rPr>
        <w:lastRenderedPageBreak/>
        <w:t>Proplácení výdajů projektů</w:t>
      </w:r>
      <w:r w:rsidR="006D7EF5" w:rsidRPr="00380014">
        <w:rPr>
          <w:rFonts w:asciiTheme="minorHAnsi" w:hAnsiTheme="minorHAnsi" w:cstheme="minorHAnsi"/>
          <w:sz w:val="24"/>
          <w:szCs w:val="24"/>
        </w:rPr>
        <w:t xml:space="preserve"> příjemcům byl</w:t>
      </w:r>
      <w:r w:rsidRPr="00380014">
        <w:rPr>
          <w:rFonts w:asciiTheme="minorHAnsi" w:hAnsiTheme="minorHAnsi" w:cstheme="minorHAnsi"/>
          <w:sz w:val="24"/>
          <w:szCs w:val="24"/>
        </w:rPr>
        <w:t>o</w:t>
      </w:r>
      <w:r w:rsidR="006D7EF5" w:rsidRPr="00380014">
        <w:rPr>
          <w:rFonts w:asciiTheme="minorHAnsi" w:hAnsiTheme="minorHAnsi" w:cstheme="minorHAnsi"/>
          <w:sz w:val="24"/>
          <w:szCs w:val="24"/>
        </w:rPr>
        <w:t xml:space="preserve"> realizován</w:t>
      </w:r>
      <w:r w:rsidRPr="00380014">
        <w:rPr>
          <w:rFonts w:asciiTheme="minorHAnsi" w:hAnsiTheme="minorHAnsi" w:cstheme="minorHAnsi"/>
          <w:sz w:val="24"/>
          <w:szCs w:val="24"/>
        </w:rPr>
        <w:t>o</w:t>
      </w:r>
      <w:r w:rsidR="006D7EF5" w:rsidRPr="00380014">
        <w:rPr>
          <w:rFonts w:asciiTheme="minorHAnsi" w:hAnsiTheme="minorHAnsi" w:cstheme="minorHAnsi"/>
          <w:sz w:val="24"/>
          <w:szCs w:val="24"/>
        </w:rPr>
        <w:t xml:space="preserve"> formou ex-post plateb. Příjemce na základě uskutečněných výdajů podal žádost o proplacení prostředků </w:t>
      </w:r>
      <w:r w:rsidR="004C76CF">
        <w:rPr>
          <w:rFonts w:asciiTheme="minorHAnsi" w:hAnsiTheme="minorHAnsi" w:cstheme="minorHAnsi"/>
          <w:sz w:val="24"/>
          <w:szCs w:val="24"/>
        </w:rPr>
        <w:t>z </w:t>
      </w:r>
      <w:r w:rsidR="006D7EF5" w:rsidRPr="00380014">
        <w:rPr>
          <w:rFonts w:asciiTheme="minorHAnsi" w:hAnsiTheme="minorHAnsi" w:cstheme="minorHAnsi"/>
          <w:sz w:val="24"/>
          <w:szCs w:val="24"/>
        </w:rPr>
        <w:t>rozpočtu RR</w:t>
      </w:r>
      <w:r w:rsidR="0078401D">
        <w:rPr>
          <w:rFonts w:asciiTheme="minorHAnsi" w:hAnsiTheme="minorHAnsi" w:cstheme="minorHAnsi"/>
          <w:sz w:val="24"/>
          <w:szCs w:val="24"/>
        </w:rPr>
        <w:t> </w:t>
      </w:r>
      <w:r w:rsidR="006D7EF5" w:rsidRPr="00380014">
        <w:rPr>
          <w:rFonts w:asciiTheme="minorHAnsi" w:hAnsiTheme="minorHAnsi" w:cstheme="minorHAnsi"/>
          <w:sz w:val="24"/>
          <w:szCs w:val="24"/>
        </w:rPr>
        <w:t>JZ</w:t>
      </w:r>
      <w:r w:rsidRPr="00380014">
        <w:rPr>
          <w:rFonts w:asciiTheme="minorHAnsi" w:hAnsiTheme="minorHAnsi" w:cstheme="minorHAnsi"/>
          <w:sz w:val="24"/>
          <w:szCs w:val="24"/>
        </w:rPr>
        <w:t>, a to</w:t>
      </w:r>
      <w:r w:rsidR="006D7EF5" w:rsidRPr="00380014">
        <w:rPr>
          <w:rFonts w:asciiTheme="minorHAnsi" w:hAnsiTheme="minorHAnsi" w:cstheme="minorHAnsi"/>
          <w:sz w:val="24"/>
          <w:szCs w:val="24"/>
        </w:rPr>
        <w:t xml:space="preserve"> evropské</w:t>
      </w:r>
      <w:r w:rsidRPr="00380014">
        <w:rPr>
          <w:rFonts w:asciiTheme="minorHAnsi" w:hAnsiTheme="minorHAnsi" w:cstheme="minorHAnsi"/>
          <w:sz w:val="24"/>
          <w:szCs w:val="24"/>
        </w:rPr>
        <w:t>ho</w:t>
      </w:r>
      <w:r w:rsidR="006D7EF5" w:rsidRPr="00380014">
        <w:rPr>
          <w:rFonts w:asciiTheme="minorHAnsi" w:hAnsiTheme="minorHAnsi" w:cstheme="minorHAnsi"/>
          <w:sz w:val="24"/>
          <w:szCs w:val="24"/>
        </w:rPr>
        <w:t xml:space="preserve"> i národní</w:t>
      </w:r>
      <w:r w:rsidRPr="00380014">
        <w:rPr>
          <w:rFonts w:asciiTheme="minorHAnsi" w:hAnsiTheme="minorHAnsi" w:cstheme="minorHAnsi"/>
          <w:sz w:val="24"/>
          <w:szCs w:val="24"/>
        </w:rPr>
        <w:t>ho</w:t>
      </w:r>
      <w:r w:rsidR="006D7EF5" w:rsidRPr="00380014">
        <w:rPr>
          <w:rFonts w:asciiTheme="minorHAnsi" w:hAnsiTheme="minorHAnsi" w:cstheme="minorHAnsi"/>
          <w:sz w:val="24"/>
          <w:szCs w:val="24"/>
        </w:rPr>
        <w:t xml:space="preserve"> podílu.</w:t>
      </w:r>
    </w:p>
    <w:p w:rsidR="003D5196" w:rsidRPr="00380014" w:rsidRDefault="003D5196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184585" w:rsidRDefault="00926C8D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</w:rPr>
      </w:pPr>
      <w:r w:rsidRPr="00380014">
        <w:rPr>
          <w:rFonts w:asciiTheme="minorHAnsi" w:hAnsiTheme="minorHAnsi" w:cstheme="minorHAnsi"/>
          <w:sz w:val="24"/>
          <w:szCs w:val="24"/>
        </w:rPr>
        <w:t>Kontrol</w:t>
      </w:r>
      <w:r w:rsidR="00EE5377">
        <w:rPr>
          <w:rFonts w:asciiTheme="minorHAnsi" w:hAnsiTheme="minorHAnsi" w:cstheme="minorHAnsi"/>
          <w:sz w:val="24"/>
          <w:szCs w:val="24"/>
        </w:rPr>
        <w:t>ní</w:t>
      </w:r>
      <w:r w:rsidRPr="00380014">
        <w:rPr>
          <w:rFonts w:asciiTheme="minorHAnsi" w:hAnsiTheme="minorHAnsi" w:cstheme="minorHAnsi"/>
          <w:sz w:val="24"/>
          <w:szCs w:val="24"/>
        </w:rPr>
        <w:t xml:space="preserve"> </w:t>
      </w:r>
      <w:r w:rsidR="00EE5377">
        <w:rPr>
          <w:rFonts w:asciiTheme="minorHAnsi" w:hAnsiTheme="minorHAnsi" w:cstheme="minorHAnsi"/>
          <w:sz w:val="24"/>
          <w:szCs w:val="24"/>
        </w:rPr>
        <w:t xml:space="preserve">akce </w:t>
      </w:r>
      <w:r w:rsidRPr="00380014">
        <w:rPr>
          <w:rFonts w:asciiTheme="minorHAnsi" w:hAnsiTheme="minorHAnsi" w:cstheme="minorHAnsi"/>
          <w:sz w:val="24"/>
          <w:szCs w:val="24"/>
        </w:rPr>
        <w:t>NKÚ</w:t>
      </w:r>
      <w:r w:rsidR="005A4C38" w:rsidRPr="00380014">
        <w:rPr>
          <w:rFonts w:asciiTheme="minorHAnsi" w:hAnsiTheme="minorHAnsi" w:cstheme="minorHAnsi"/>
          <w:sz w:val="24"/>
          <w:szCs w:val="24"/>
        </w:rPr>
        <w:t xml:space="preserve"> prověřila vzorek sedmi projektů</w:t>
      </w:r>
      <w:r w:rsidR="004F31A5" w:rsidRPr="00380014">
        <w:rPr>
          <w:rFonts w:asciiTheme="minorHAnsi" w:hAnsiTheme="minorHAnsi" w:cstheme="minorHAnsi"/>
          <w:sz w:val="24"/>
          <w:szCs w:val="24"/>
        </w:rPr>
        <w:t xml:space="preserve"> uvedených v tabulce č. 2.</w:t>
      </w:r>
    </w:p>
    <w:p w:rsidR="003D5196" w:rsidRPr="00FF1191" w:rsidRDefault="003D5196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4F31A5" w:rsidRPr="00FF1191" w:rsidRDefault="004F31A5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FF1191">
        <w:rPr>
          <w:rFonts w:asciiTheme="minorHAnsi" w:hAnsiTheme="minorHAnsi" w:cstheme="minorHAnsi"/>
          <w:b/>
          <w:sz w:val="24"/>
          <w:szCs w:val="24"/>
        </w:rPr>
        <w:t>Tabulka č. 2</w:t>
      </w:r>
      <w:r w:rsidR="00F82A32"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Pr="00FF1191">
        <w:rPr>
          <w:rFonts w:asciiTheme="minorHAnsi" w:hAnsiTheme="minorHAnsi" w:cstheme="minorHAnsi"/>
          <w:b/>
          <w:sz w:val="24"/>
          <w:szCs w:val="24"/>
        </w:rPr>
        <w:t xml:space="preserve"> Kontrolované projekty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6"/>
        <w:gridCol w:w="4068"/>
        <w:gridCol w:w="1559"/>
      </w:tblGrid>
      <w:tr w:rsidR="005A4C38" w:rsidTr="00DD69FC">
        <w:trPr>
          <w:trHeight w:val="510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A4C38" w:rsidRPr="00FF1191" w:rsidRDefault="005A4C38" w:rsidP="00EE53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Žadatel</w:t>
            </w:r>
            <w:r w:rsidR="00EE5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F1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EE5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</w:t>
            </w:r>
            <w:r w:rsidRPr="00FF1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egistrační číslo projektu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A4C38" w:rsidRPr="00FF1191" w:rsidRDefault="005A4C3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5A4C38" w:rsidRPr="00FF1191" w:rsidRDefault="005A4C38" w:rsidP="003416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Příspěvek </w:t>
            </w:r>
            <w:r w:rsidR="00341623" w:rsidRPr="00FF1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ERDF </w:t>
            </w:r>
            <w:r w:rsidR="00EE5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FF11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Kč</w:t>
            </w:r>
            <w:r w:rsidR="00EE5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Nemocnice České Budějovice, a.</w:t>
            </w:r>
            <w:r w:rsidR="00492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s.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CZ.1.14/2.6.00/03.01210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Pavilon dětského oddělení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218 760 640,16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CZ.1.14/2.6.00/05.01757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Modernizace vybavení Centrální laboratoře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42 383 328,56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PRIVAMED a.</w:t>
            </w:r>
            <w:r w:rsidR="00492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s.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5A4C38" w:rsidRPr="005A4C38" w:rsidTr="00DD69FC">
        <w:trPr>
          <w:trHeight w:val="51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CZ.1.14/2.6.00/02.00521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Výstavba pavilonu jednodenní chirurgie městské nemocnice PRIVAMED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54 501 394,23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Nemocnice Tábor, a.</w:t>
            </w:r>
            <w:r w:rsidR="00EE537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 </w:t>
            </w: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s.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CZ.1.14/2.6.00/02.00262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Přístavba pavilonu akutní medicíny a porodnice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61 879 935,76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CZ.1.14/2.6.00/03.01217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Vybavení pavilonu akutní medicíny a porodnice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37 662 836,45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CZ.1.14/2.6.00/05.01800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Modernizace vybavení intenzivní péče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18 839 650,21</w:t>
            </w:r>
          </w:p>
        </w:tc>
      </w:tr>
      <w:tr w:rsidR="005A4C38" w:rsidRPr="005A4C38" w:rsidTr="00DD69FC">
        <w:trPr>
          <w:trHeight w:val="510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A4C38" w:rsidRPr="00FF1191" w:rsidRDefault="005A4C38" w:rsidP="00492427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 xml:space="preserve">Zdravotnická záchranná služba Plzeňského kraje, </w:t>
            </w:r>
            <w:r w:rsidR="0049242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p. o.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</w:p>
        </w:tc>
      </w:tr>
      <w:tr w:rsidR="005A4C38" w:rsidRPr="005A4C38" w:rsidTr="00DD69FC">
        <w:trPr>
          <w:trHeight w:val="255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CZ.1.14/2.6.00/03.00673</w:t>
            </w:r>
          </w:p>
        </w:tc>
        <w:tc>
          <w:tcPr>
            <w:tcW w:w="4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C38" w:rsidRPr="00FF1191" w:rsidRDefault="005A4C38" w:rsidP="005A4C38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Moderní ZZS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C38" w:rsidRPr="00FF1191" w:rsidRDefault="005A4C38" w:rsidP="00A741C4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FF1191">
              <w:rPr>
                <w:rFonts w:asciiTheme="minorHAnsi" w:eastAsia="Arial" w:hAnsiTheme="minorHAnsi" w:cstheme="minorHAnsi"/>
                <w:sz w:val="20"/>
                <w:szCs w:val="20"/>
                <w:lang w:eastAsia="cs-CZ"/>
              </w:rPr>
              <w:t>12 335 671,15</w:t>
            </w:r>
          </w:p>
        </w:tc>
      </w:tr>
    </w:tbl>
    <w:p w:rsidR="004F31A5" w:rsidRPr="00FF1191" w:rsidRDefault="004F31A5" w:rsidP="00A741C4">
      <w:pPr>
        <w:spacing w:before="0" w:after="0"/>
        <w:ind w:left="284" w:hanging="28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FF1191">
        <w:rPr>
          <w:rFonts w:asciiTheme="minorHAnsi" w:hAnsiTheme="minorHAnsi" w:cstheme="minorHAnsi"/>
          <w:b/>
          <w:bCs/>
          <w:sz w:val="20"/>
          <w:szCs w:val="20"/>
        </w:rPr>
        <w:t>Zdroj:</w:t>
      </w:r>
      <w:r w:rsidRPr="00FF119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92427">
        <w:rPr>
          <w:rFonts w:asciiTheme="minorHAnsi" w:hAnsiTheme="minorHAnsi" w:cstheme="minorHAnsi"/>
          <w:bCs/>
          <w:sz w:val="20"/>
          <w:szCs w:val="20"/>
        </w:rPr>
        <w:t>z</w:t>
      </w:r>
      <w:r w:rsidRPr="00FF1191">
        <w:rPr>
          <w:rFonts w:asciiTheme="minorHAnsi" w:hAnsiTheme="minorHAnsi" w:cstheme="minorHAnsi"/>
          <w:bCs/>
          <w:sz w:val="20"/>
          <w:szCs w:val="20"/>
        </w:rPr>
        <w:t>ávěrečné monitorovací zprávy, žádosti o platbu</w:t>
      </w:r>
      <w:r w:rsidR="00FF1191">
        <w:rPr>
          <w:rFonts w:asciiTheme="minorHAnsi" w:hAnsiTheme="minorHAnsi" w:cstheme="minorHAnsi"/>
          <w:bCs/>
          <w:sz w:val="20"/>
          <w:szCs w:val="20"/>
        </w:rPr>
        <w:t>.</w:t>
      </w:r>
    </w:p>
    <w:p w:rsidR="00A906B2" w:rsidRDefault="00A906B2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CA7011" w:rsidRPr="00FF1191" w:rsidRDefault="00CA7011" w:rsidP="00A741C4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  <w:r w:rsidRPr="00FF1191">
        <w:rPr>
          <w:rFonts w:asciiTheme="minorHAnsi" w:hAnsiTheme="minorHAnsi" w:cstheme="minorHAnsi"/>
          <w:sz w:val="24"/>
          <w:szCs w:val="24"/>
        </w:rPr>
        <w:t xml:space="preserve">Finanční objem prostředků poskytnutých z ERDF na realizaci </w:t>
      </w:r>
      <w:r w:rsidR="00492427" w:rsidRPr="00FF1191">
        <w:rPr>
          <w:rFonts w:asciiTheme="minorHAnsi" w:hAnsiTheme="minorHAnsi" w:cstheme="minorHAnsi"/>
          <w:sz w:val="24"/>
          <w:szCs w:val="24"/>
        </w:rPr>
        <w:t xml:space="preserve">projektů </w:t>
      </w:r>
      <w:r w:rsidRPr="00FF1191">
        <w:rPr>
          <w:rFonts w:asciiTheme="minorHAnsi" w:hAnsiTheme="minorHAnsi" w:cstheme="minorHAnsi"/>
          <w:sz w:val="24"/>
          <w:szCs w:val="24"/>
        </w:rPr>
        <w:t xml:space="preserve">vybraných ke kontrole činil </w:t>
      </w:r>
      <w:r w:rsidRPr="00FF1191">
        <w:rPr>
          <w:rFonts w:asciiTheme="minorHAnsi" w:hAnsiTheme="minorHAnsi" w:cstheme="minorHAnsi"/>
          <w:sz w:val="24"/>
          <w:szCs w:val="24"/>
          <w:lang w:eastAsia="cs-CZ"/>
        </w:rPr>
        <w:t>44</w:t>
      </w:r>
      <w:r w:rsidR="00FD5136" w:rsidRPr="00FF1191">
        <w:rPr>
          <w:rFonts w:asciiTheme="minorHAnsi" w:hAnsiTheme="minorHAnsi" w:cstheme="minorHAnsi"/>
          <w:sz w:val="24"/>
          <w:szCs w:val="24"/>
          <w:lang w:eastAsia="cs-CZ"/>
        </w:rPr>
        <w:t>6</w:t>
      </w:r>
      <w:r w:rsidRPr="00FF1191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FD5136" w:rsidRPr="00FF1191">
        <w:rPr>
          <w:rFonts w:asciiTheme="minorHAnsi" w:hAnsiTheme="minorHAnsi" w:cstheme="minorHAnsi"/>
          <w:sz w:val="24"/>
          <w:szCs w:val="24"/>
          <w:lang w:eastAsia="cs-CZ"/>
        </w:rPr>
        <w:t>363</w:t>
      </w:r>
      <w:r w:rsidRPr="00FF1191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FD5136" w:rsidRPr="00FF1191">
        <w:rPr>
          <w:rFonts w:asciiTheme="minorHAnsi" w:hAnsiTheme="minorHAnsi" w:cstheme="minorHAnsi"/>
          <w:sz w:val="24"/>
          <w:szCs w:val="24"/>
          <w:lang w:eastAsia="cs-CZ"/>
        </w:rPr>
        <w:t>456</w:t>
      </w:r>
      <w:r w:rsidRPr="00FF1191">
        <w:rPr>
          <w:rFonts w:asciiTheme="minorHAnsi" w:hAnsiTheme="minorHAnsi" w:cstheme="minorHAnsi"/>
          <w:sz w:val="24"/>
          <w:szCs w:val="24"/>
          <w:lang w:eastAsia="cs-CZ"/>
        </w:rPr>
        <w:t>,</w:t>
      </w:r>
      <w:r w:rsidR="00FD5136" w:rsidRPr="00FF1191">
        <w:rPr>
          <w:rFonts w:asciiTheme="minorHAnsi" w:hAnsiTheme="minorHAnsi" w:cstheme="minorHAnsi"/>
          <w:sz w:val="24"/>
          <w:szCs w:val="24"/>
          <w:lang w:eastAsia="cs-CZ"/>
        </w:rPr>
        <w:t>5</w:t>
      </w:r>
      <w:r w:rsidRPr="00FF1191">
        <w:rPr>
          <w:rFonts w:asciiTheme="minorHAnsi" w:hAnsiTheme="minorHAnsi" w:cstheme="minorHAnsi"/>
          <w:sz w:val="24"/>
          <w:szCs w:val="24"/>
          <w:lang w:eastAsia="cs-CZ"/>
        </w:rPr>
        <w:t xml:space="preserve">0 Kč, tj. </w:t>
      </w:r>
      <w:r w:rsidR="00FD5136" w:rsidRPr="00FF1191">
        <w:rPr>
          <w:rFonts w:asciiTheme="minorHAnsi" w:hAnsiTheme="minorHAnsi" w:cstheme="minorHAnsi"/>
          <w:sz w:val="24"/>
          <w:szCs w:val="24"/>
          <w:lang w:eastAsia="cs-CZ"/>
        </w:rPr>
        <w:t xml:space="preserve">cca </w:t>
      </w:r>
      <w:r w:rsidRPr="00FF1191">
        <w:rPr>
          <w:rFonts w:asciiTheme="minorHAnsi" w:hAnsiTheme="minorHAnsi" w:cstheme="minorHAnsi"/>
          <w:sz w:val="24"/>
          <w:szCs w:val="24"/>
          <w:lang w:eastAsia="cs-CZ"/>
        </w:rPr>
        <w:t xml:space="preserve">37 % z celkem alokovaných peněžních prostředků </w:t>
      </w:r>
      <w:r w:rsidR="00926C8D" w:rsidRPr="00FF1191">
        <w:rPr>
          <w:rFonts w:asciiTheme="minorHAnsi" w:hAnsiTheme="minorHAnsi" w:cstheme="minorHAnsi"/>
          <w:sz w:val="24"/>
          <w:szCs w:val="24"/>
          <w:lang w:eastAsia="cs-CZ"/>
        </w:rPr>
        <w:t xml:space="preserve">pro oblast podpory </w:t>
      </w:r>
      <w:r w:rsidR="00926C8D" w:rsidRPr="00FF1191">
        <w:rPr>
          <w:rFonts w:asciiTheme="minorHAnsi" w:hAnsiTheme="minorHAnsi" w:cstheme="minorHAnsi"/>
          <w:sz w:val="24"/>
          <w:szCs w:val="24"/>
        </w:rPr>
        <w:t xml:space="preserve">2.6 </w:t>
      </w:r>
      <w:r w:rsidR="00492427">
        <w:rPr>
          <w:rFonts w:asciiTheme="minorHAnsi" w:hAnsiTheme="minorHAnsi" w:cstheme="minorHAnsi"/>
          <w:sz w:val="24"/>
          <w:szCs w:val="24"/>
        </w:rPr>
        <w:t>–</w:t>
      </w:r>
      <w:r w:rsidR="00926C8D" w:rsidRPr="00FF1191">
        <w:rPr>
          <w:rFonts w:asciiTheme="minorHAnsi" w:hAnsiTheme="minorHAnsi" w:cstheme="minorHAnsi"/>
          <w:sz w:val="24"/>
          <w:szCs w:val="24"/>
        </w:rPr>
        <w:t xml:space="preserve"> </w:t>
      </w:r>
      <w:r w:rsidR="00926C8D" w:rsidRPr="00A741C4">
        <w:rPr>
          <w:rFonts w:asciiTheme="minorHAnsi" w:hAnsiTheme="minorHAnsi" w:cstheme="minorHAnsi"/>
          <w:i/>
          <w:sz w:val="24"/>
          <w:szCs w:val="24"/>
        </w:rPr>
        <w:t>Rozvoj zdravotnické péče</w:t>
      </w:r>
      <w:r w:rsidRPr="00FF1191">
        <w:rPr>
          <w:rFonts w:asciiTheme="minorHAnsi" w:hAnsiTheme="minorHAnsi" w:cstheme="minorHAnsi"/>
          <w:sz w:val="24"/>
          <w:szCs w:val="24"/>
          <w:lang w:eastAsia="cs-CZ"/>
        </w:rPr>
        <w:t>.</w:t>
      </w:r>
    </w:p>
    <w:p w:rsidR="00A906B2" w:rsidRDefault="00A906B2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DD69FC" w:rsidRDefault="00DD69FC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FF1191">
        <w:rPr>
          <w:rFonts w:asciiTheme="minorHAnsi" w:hAnsiTheme="minorHAnsi" w:cstheme="minorHAnsi"/>
          <w:sz w:val="24"/>
          <w:szCs w:val="24"/>
        </w:rPr>
        <w:t>Kontrolou byla prověřena činnost RR</w:t>
      </w:r>
      <w:r w:rsidR="0078401D">
        <w:rPr>
          <w:rFonts w:asciiTheme="minorHAnsi" w:hAnsiTheme="minorHAnsi" w:cstheme="minorHAnsi"/>
          <w:sz w:val="24"/>
          <w:szCs w:val="24"/>
        </w:rPr>
        <w:t> </w:t>
      </w:r>
      <w:r w:rsidRPr="00FF1191">
        <w:rPr>
          <w:rFonts w:asciiTheme="minorHAnsi" w:hAnsiTheme="minorHAnsi" w:cstheme="minorHAnsi"/>
          <w:sz w:val="24"/>
          <w:szCs w:val="24"/>
        </w:rPr>
        <w:t>JZ jako správce programu a říd</w:t>
      </w:r>
      <w:r w:rsidR="00492427">
        <w:rPr>
          <w:rFonts w:asciiTheme="minorHAnsi" w:hAnsiTheme="minorHAnsi" w:cstheme="minorHAnsi"/>
          <w:sz w:val="24"/>
          <w:szCs w:val="24"/>
        </w:rPr>
        <w:t>i</w:t>
      </w:r>
      <w:r w:rsidRPr="00FF1191">
        <w:rPr>
          <w:rFonts w:asciiTheme="minorHAnsi" w:hAnsiTheme="minorHAnsi" w:cstheme="minorHAnsi"/>
          <w:sz w:val="24"/>
          <w:szCs w:val="24"/>
        </w:rPr>
        <w:t>cího orgánu. Kontrola byla zaměřena zejména na posuzování, hodnocení a schvalování projektů, kontrolní činnost, financování projektů, stanovení monitorovacích indikátorů a monitoring, evidování a šetření nesrovnalostí.</w:t>
      </w:r>
    </w:p>
    <w:p w:rsidR="00A906B2" w:rsidRPr="00FF1191" w:rsidRDefault="00A906B2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41623" w:rsidRDefault="00DD69FC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FF1191">
        <w:rPr>
          <w:rFonts w:asciiTheme="minorHAnsi" w:hAnsiTheme="minorHAnsi" w:cstheme="minorHAnsi"/>
          <w:sz w:val="24"/>
          <w:szCs w:val="24"/>
        </w:rPr>
        <w:t>U příjemců byl</w:t>
      </w:r>
      <w:r w:rsidR="0068646B" w:rsidRPr="00FF1191">
        <w:rPr>
          <w:rFonts w:asciiTheme="minorHAnsi" w:hAnsiTheme="minorHAnsi" w:cstheme="minorHAnsi"/>
          <w:sz w:val="24"/>
          <w:szCs w:val="24"/>
        </w:rPr>
        <w:t>y</w:t>
      </w:r>
      <w:r w:rsidRPr="00FF1191">
        <w:rPr>
          <w:rFonts w:asciiTheme="minorHAnsi" w:hAnsiTheme="minorHAnsi" w:cstheme="minorHAnsi"/>
          <w:sz w:val="24"/>
          <w:szCs w:val="24"/>
        </w:rPr>
        <w:t xml:space="preserve"> kontrolou ověřen</w:t>
      </w:r>
      <w:r w:rsidR="0068646B" w:rsidRPr="00FF1191">
        <w:rPr>
          <w:rFonts w:asciiTheme="minorHAnsi" w:hAnsiTheme="minorHAnsi" w:cstheme="minorHAnsi"/>
          <w:sz w:val="24"/>
          <w:szCs w:val="24"/>
        </w:rPr>
        <w:t>y</w:t>
      </w:r>
      <w:r w:rsidRPr="00FF1191">
        <w:rPr>
          <w:rFonts w:asciiTheme="minorHAnsi" w:hAnsiTheme="minorHAnsi" w:cstheme="minorHAnsi"/>
          <w:sz w:val="24"/>
          <w:szCs w:val="24"/>
        </w:rPr>
        <w:t xml:space="preserve"> činnosti související s realizací projekt</w:t>
      </w:r>
      <w:r w:rsidR="0068646B" w:rsidRPr="00FF1191">
        <w:rPr>
          <w:rFonts w:asciiTheme="minorHAnsi" w:hAnsiTheme="minorHAnsi" w:cstheme="minorHAnsi"/>
          <w:sz w:val="24"/>
          <w:szCs w:val="24"/>
        </w:rPr>
        <w:t>ů</w:t>
      </w:r>
      <w:r w:rsidRPr="00FF1191">
        <w:rPr>
          <w:rFonts w:asciiTheme="minorHAnsi" w:hAnsiTheme="minorHAnsi" w:cstheme="minorHAnsi"/>
          <w:sz w:val="24"/>
          <w:szCs w:val="24"/>
        </w:rPr>
        <w:t>,</w:t>
      </w:r>
      <w:r w:rsidR="0068646B" w:rsidRPr="00FF1191">
        <w:rPr>
          <w:rFonts w:asciiTheme="minorHAnsi" w:hAnsiTheme="minorHAnsi" w:cstheme="minorHAnsi"/>
          <w:sz w:val="24"/>
          <w:szCs w:val="24"/>
        </w:rPr>
        <w:t xml:space="preserve"> naplňování </w:t>
      </w:r>
      <w:r w:rsidRPr="00FF1191">
        <w:rPr>
          <w:rFonts w:asciiTheme="minorHAnsi" w:hAnsiTheme="minorHAnsi" w:cstheme="minorHAnsi"/>
          <w:sz w:val="24"/>
          <w:szCs w:val="24"/>
        </w:rPr>
        <w:t>cílů</w:t>
      </w:r>
      <w:r w:rsidR="0068646B" w:rsidRPr="00FF1191">
        <w:rPr>
          <w:rFonts w:asciiTheme="minorHAnsi" w:hAnsiTheme="minorHAnsi" w:cstheme="minorHAnsi"/>
          <w:sz w:val="24"/>
          <w:szCs w:val="24"/>
        </w:rPr>
        <w:t xml:space="preserve"> projektů, postupy při výběru dodavatelů projektu</w:t>
      </w:r>
      <w:r w:rsidR="00492427">
        <w:rPr>
          <w:rFonts w:asciiTheme="minorHAnsi" w:hAnsiTheme="minorHAnsi" w:cstheme="minorHAnsi"/>
          <w:sz w:val="24"/>
          <w:szCs w:val="24"/>
        </w:rPr>
        <w:t xml:space="preserve"> a dále též</w:t>
      </w:r>
      <w:r w:rsidRPr="00FF1191">
        <w:rPr>
          <w:rFonts w:asciiTheme="minorHAnsi" w:hAnsiTheme="minorHAnsi" w:cstheme="minorHAnsi"/>
          <w:sz w:val="24"/>
          <w:szCs w:val="24"/>
        </w:rPr>
        <w:t xml:space="preserve"> výkaznictví</w:t>
      </w:r>
      <w:r w:rsidR="00492427">
        <w:rPr>
          <w:rFonts w:asciiTheme="minorHAnsi" w:hAnsiTheme="minorHAnsi" w:cstheme="minorHAnsi"/>
          <w:sz w:val="24"/>
          <w:szCs w:val="24"/>
        </w:rPr>
        <w:t>,</w:t>
      </w:r>
      <w:r w:rsidRPr="00FF1191">
        <w:rPr>
          <w:rFonts w:asciiTheme="minorHAnsi" w:hAnsiTheme="minorHAnsi" w:cstheme="minorHAnsi"/>
          <w:sz w:val="24"/>
          <w:szCs w:val="24"/>
        </w:rPr>
        <w:t xml:space="preserve"> účetnictví a publicita projekt</w:t>
      </w:r>
      <w:r w:rsidR="0068646B" w:rsidRPr="00FF1191">
        <w:rPr>
          <w:rFonts w:asciiTheme="minorHAnsi" w:hAnsiTheme="minorHAnsi" w:cstheme="minorHAnsi"/>
          <w:sz w:val="24"/>
          <w:szCs w:val="24"/>
        </w:rPr>
        <w:t>ů</w:t>
      </w:r>
      <w:r w:rsidRPr="00FF119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A906B2" w:rsidRPr="00FF1191" w:rsidRDefault="00A906B2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5479AB" w:rsidRPr="00FF1191" w:rsidRDefault="00341623" w:rsidP="00A741C4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FF1191">
        <w:rPr>
          <w:rFonts w:asciiTheme="minorHAnsi" w:hAnsiTheme="minorHAnsi" w:cstheme="minorHAnsi"/>
          <w:sz w:val="24"/>
          <w:szCs w:val="24"/>
        </w:rPr>
        <w:t>Přehled právních předpisů, jejichž ustanovení byla při kontrole porovnávána se zjištěným stavem, je uveden v příloze tohoto kontrolního závěru.</w:t>
      </w:r>
      <w:r w:rsidR="005479AB" w:rsidRPr="00FF1191">
        <w:rPr>
          <w:rFonts w:asciiTheme="minorHAnsi" w:hAnsiTheme="minorHAnsi" w:cstheme="minorHAnsi"/>
          <w:sz w:val="24"/>
          <w:szCs w:val="24"/>
        </w:rPr>
        <w:t xml:space="preserve"> Uváděné obecně závazné právní předpisy jsou aplikovány ve znění účinném pro kontrolované období.</w:t>
      </w:r>
    </w:p>
    <w:p w:rsidR="00341623" w:rsidRPr="00341623" w:rsidRDefault="00341623" w:rsidP="00A741C4">
      <w:pPr>
        <w:spacing w:before="0" w:after="0"/>
      </w:pPr>
    </w:p>
    <w:p w:rsidR="00E97406" w:rsidRDefault="00E97406" w:rsidP="00A30E58">
      <w:pPr>
        <w:pStyle w:val="Standard"/>
        <w:spacing w:after="0" w:line="240" w:lineRule="auto"/>
        <w:rPr>
          <w:rFonts w:cs="Arial"/>
          <w:szCs w:val="22"/>
        </w:rPr>
      </w:pPr>
    </w:p>
    <w:p w:rsidR="00A906B2" w:rsidRDefault="00A906B2">
      <w:pPr>
        <w:spacing w:before="0" w:after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E97406" w:rsidRPr="00B319C9" w:rsidRDefault="00E97406" w:rsidP="00341623">
      <w:pPr>
        <w:spacing w:befor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319C9">
        <w:rPr>
          <w:rFonts w:asciiTheme="minorHAnsi" w:hAnsiTheme="minorHAnsi" w:cstheme="minorHAnsi"/>
          <w:b/>
          <w:sz w:val="26"/>
          <w:szCs w:val="26"/>
        </w:rPr>
        <w:lastRenderedPageBreak/>
        <w:t xml:space="preserve">II. Vyhodnocení </w:t>
      </w:r>
    </w:p>
    <w:p w:rsidR="00E97406" w:rsidRPr="004F5529" w:rsidRDefault="00E97406" w:rsidP="00A74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after="0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4F5529">
        <w:rPr>
          <w:rFonts w:asciiTheme="minorHAnsi" w:hAnsiTheme="minorHAnsi" w:cstheme="minorHAnsi"/>
          <w:b/>
          <w:bCs/>
          <w:sz w:val="24"/>
          <w:szCs w:val="24"/>
        </w:rPr>
        <w:t xml:space="preserve">NKÚ kontrolou zjistil, že indikátory </w:t>
      </w:r>
      <w:r w:rsidR="007E36D5" w:rsidRPr="004F5529">
        <w:rPr>
          <w:rFonts w:asciiTheme="minorHAnsi" w:hAnsiTheme="minorHAnsi" w:cstheme="minorHAnsi"/>
          <w:b/>
          <w:bCs/>
          <w:sz w:val="24"/>
          <w:szCs w:val="24"/>
        </w:rPr>
        <w:t>oblasti podpory 2.6</w:t>
      </w:r>
      <w:r w:rsidR="00766A7F" w:rsidRPr="004F5529">
        <w:rPr>
          <w:rFonts w:asciiTheme="minorHAnsi" w:hAnsiTheme="minorHAnsi" w:cstheme="minorHAnsi"/>
          <w:b/>
          <w:bCs/>
          <w:sz w:val="24"/>
          <w:szCs w:val="24"/>
        </w:rPr>
        <w:t xml:space="preserve">, které patří mezi </w:t>
      </w:r>
      <w:r w:rsidR="00341623" w:rsidRPr="004F5529">
        <w:rPr>
          <w:rFonts w:asciiTheme="minorHAnsi" w:hAnsiTheme="minorHAnsi" w:cstheme="minorHAnsi"/>
          <w:b/>
          <w:bCs/>
          <w:sz w:val="24"/>
          <w:szCs w:val="24"/>
        </w:rPr>
        <w:t>monitorovací ukazatele</w:t>
      </w:r>
      <w:r w:rsidR="00766A7F" w:rsidRPr="004F552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341623" w:rsidRPr="004F552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B08CB" w:rsidRPr="004F5529">
        <w:rPr>
          <w:rFonts w:asciiTheme="minorHAnsi" w:hAnsiTheme="minorHAnsi" w:cstheme="minorHAnsi"/>
          <w:b/>
          <w:bCs/>
          <w:sz w:val="24"/>
          <w:szCs w:val="24"/>
        </w:rPr>
        <w:t>RR</w:t>
      </w:r>
      <w:r w:rsidR="0078401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EB08CB" w:rsidRPr="004F5529">
        <w:rPr>
          <w:rFonts w:asciiTheme="minorHAnsi" w:hAnsiTheme="minorHAnsi" w:cstheme="minorHAnsi"/>
          <w:b/>
          <w:bCs/>
          <w:sz w:val="24"/>
          <w:szCs w:val="24"/>
        </w:rPr>
        <w:t xml:space="preserve">JZ nestanovila </w:t>
      </w:r>
      <w:r w:rsidRPr="004F5529">
        <w:rPr>
          <w:rFonts w:asciiTheme="minorHAnsi" w:hAnsiTheme="minorHAnsi" w:cstheme="minorHAnsi"/>
          <w:b/>
          <w:sz w:val="24"/>
          <w:szCs w:val="24"/>
        </w:rPr>
        <w:t>na základě reálných hodnot</w:t>
      </w:r>
      <w:r w:rsidR="00EB08CB" w:rsidRPr="004F5529">
        <w:rPr>
          <w:rFonts w:asciiTheme="minorHAnsi" w:hAnsiTheme="minorHAnsi" w:cstheme="minorHAnsi"/>
          <w:b/>
          <w:sz w:val="24"/>
          <w:szCs w:val="24"/>
        </w:rPr>
        <w:t>. Indikátory tak</w:t>
      </w:r>
      <w:r w:rsidRPr="004F5529">
        <w:rPr>
          <w:rFonts w:asciiTheme="minorHAnsi" w:hAnsiTheme="minorHAnsi" w:cstheme="minorHAnsi"/>
          <w:b/>
          <w:sz w:val="24"/>
          <w:szCs w:val="24"/>
        </w:rPr>
        <w:t xml:space="preserve"> neměly žádnou vypovídací schopnost ve vztahu k</w:t>
      </w:r>
      <w:r w:rsidRPr="004F5529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e sledování naplňování ROP JZ, k hodnocení projektů, stanovení optimálních rozpočtů a </w:t>
      </w:r>
      <w:r w:rsidR="004C76CF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k </w:t>
      </w:r>
      <w:r w:rsidRPr="004F5529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případnému vyhodnocení nákladovosti či efektivity vynaložených investic.</w:t>
      </w:r>
    </w:p>
    <w:p w:rsidR="00A906B2" w:rsidRDefault="00A906B2" w:rsidP="00341623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41623" w:rsidRPr="004F5529" w:rsidRDefault="00341623" w:rsidP="00341623">
      <w:p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4F5529">
        <w:rPr>
          <w:rFonts w:asciiTheme="minorHAnsi" w:hAnsiTheme="minorHAnsi" w:cstheme="minorHAnsi"/>
          <w:sz w:val="24"/>
          <w:szCs w:val="24"/>
        </w:rPr>
        <w:t>RR</w:t>
      </w:r>
      <w:r w:rsidR="0078401D">
        <w:rPr>
          <w:rFonts w:asciiTheme="minorHAnsi" w:hAnsiTheme="minorHAnsi" w:cstheme="minorHAnsi"/>
          <w:sz w:val="24"/>
          <w:szCs w:val="24"/>
        </w:rPr>
        <w:t> </w:t>
      </w:r>
      <w:r w:rsidRPr="004F5529">
        <w:rPr>
          <w:rFonts w:asciiTheme="minorHAnsi" w:hAnsiTheme="minorHAnsi" w:cstheme="minorHAnsi"/>
          <w:sz w:val="24"/>
          <w:szCs w:val="24"/>
        </w:rPr>
        <w:t xml:space="preserve">JZ ke </w:t>
      </w:r>
      <w:r w:rsidRPr="004F552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sledování naplňování </w:t>
      </w:r>
      <w:r w:rsidRPr="00A741C4"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 xml:space="preserve">Regionálního operačního programu </w:t>
      </w:r>
      <w:r w:rsidR="00492427" w:rsidRPr="00A741C4"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 xml:space="preserve">NUTS II </w:t>
      </w:r>
      <w:r w:rsidRPr="00A741C4"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>Jihozápad</w:t>
      </w:r>
      <w:r w:rsidRPr="004F5529">
        <w:rPr>
          <w:rFonts w:asciiTheme="minorHAnsi" w:eastAsiaTheme="minorHAnsi" w:hAnsiTheme="minorHAnsi" w:cstheme="minorHAnsi"/>
          <w:color w:val="000000"/>
          <w:sz w:val="24"/>
          <w:szCs w:val="24"/>
        </w:rPr>
        <w:t>, k hodnocení projektů, stanovení optimálních rozpočtů projektů, ke</w:t>
      </w:r>
      <w:r w:rsidRPr="004F5529">
        <w:rPr>
          <w:rFonts w:asciiTheme="minorHAnsi" w:hAnsiTheme="minorHAnsi" w:cstheme="minorHAnsi"/>
          <w:sz w:val="24"/>
          <w:szCs w:val="24"/>
        </w:rPr>
        <w:t xml:space="preserve"> zjištěn</w:t>
      </w:r>
      <w:r w:rsidR="00B319C9">
        <w:rPr>
          <w:rFonts w:asciiTheme="minorHAnsi" w:hAnsiTheme="minorHAnsi" w:cstheme="minorHAnsi"/>
          <w:sz w:val="24"/>
          <w:szCs w:val="24"/>
        </w:rPr>
        <w:t>í výsledku realizace projektů a </w:t>
      </w:r>
      <w:r w:rsidRPr="004F5529">
        <w:rPr>
          <w:rFonts w:asciiTheme="minorHAnsi" w:hAnsiTheme="minorHAnsi" w:cstheme="minorHAnsi"/>
          <w:sz w:val="24"/>
          <w:szCs w:val="24"/>
        </w:rPr>
        <w:t xml:space="preserve">naplnění jejich cílů i cílů ROP JZ stanovila indikátory </w:t>
      </w:r>
      <w:r w:rsidR="007E36D5" w:rsidRPr="004F5529">
        <w:rPr>
          <w:rFonts w:asciiTheme="minorHAnsi" w:hAnsiTheme="minorHAnsi" w:cstheme="minorHAnsi"/>
          <w:sz w:val="24"/>
          <w:szCs w:val="24"/>
        </w:rPr>
        <w:t>vztahující se k oblasti podpor</w:t>
      </w:r>
      <w:r w:rsidRPr="004F5529">
        <w:rPr>
          <w:rFonts w:asciiTheme="minorHAnsi" w:hAnsiTheme="minorHAnsi" w:cstheme="minorHAnsi"/>
          <w:sz w:val="24"/>
          <w:szCs w:val="24"/>
        </w:rPr>
        <w:t>y</w:t>
      </w:r>
      <w:r w:rsidR="007E36D5" w:rsidRPr="004F5529">
        <w:rPr>
          <w:rFonts w:asciiTheme="minorHAnsi" w:hAnsiTheme="minorHAnsi" w:cstheme="minorHAnsi"/>
          <w:sz w:val="24"/>
          <w:szCs w:val="24"/>
        </w:rPr>
        <w:t xml:space="preserve"> 2.6</w:t>
      </w:r>
      <w:r w:rsidRPr="004F5529">
        <w:rPr>
          <w:rFonts w:asciiTheme="minorHAnsi" w:hAnsiTheme="minorHAnsi" w:cstheme="minorHAnsi"/>
          <w:sz w:val="24"/>
          <w:szCs w:val="24"/>
        </w:rPr>
        <w:t xml:space="preserve">, </w:t>
      </w:r>
      <w:r w:rsidR="00766A7F" w:rsidRPr="004F5529">
        <w:rPr>
          <w:rFonts w:asciiTheme="minorHAnsi" w:hAnsiTheme="minorHAnsi" w:cstheme="minorHAnsi"/>
          <w:sz w:val="24"/>
          <w:szCs w:val="24"/>
        </w:rPr>
        <w:t>které jsou součástí</w:t>
      </w:r>
      <w:r w:rsidRPr="004F5529">
        <w:rPr>
          <w:rFonts w:asciiTheme="minorHAnsi" w:hAnsiTheme="minorHAnsi" w:cstheme="minorHAnsi"/>
          <w:sz w:val="24"/>
          <w:szCs w:val="24"/>
        </w:rPr>
        <w:t xml:space="preserve"> monitorovací</w:t>
      </w:r>
      <w:r w:rsidR="00766A7F" w:rsidRPr="004F5529">
        <w:rPr>
          <w:rFonts w:asciiTheme="minorHAnsi" w:hAnsiTheme="minorHAnsi" w:cstheme="minorHAnsi"/>
          <w:sz w:val="24"/>
          <w:szCs w:val="24"/>
        </w:rPr>
        <w:t>ch</w:t>
      </w:r>
      <w:r w:rsidRPr="004F5529">
        <w:rPr>
          <w:rFonts w:asciiTheme="minorHAnsi" w:hAnsiTheme="minorHAnsi" w:cstheme="minorHAnsi"/>
          <w:sz w:val="24"/>
          <w:szCs w:val="24"/>
        </w:rPr>
        <w:t xml:space="preserve"> ukazatel</w:t>
      </w:r>
      <w:r w:rsidR="00766A7F" w:rsidRPr="004F5529">
        <w:rPr>
          <w:rFonts w:asciiTheme="minorHAnsi" w:hAnsiTheme="minorHAnsi" w:cstheme="minorHAnsi"/>
          <w:sz w:val="24"/>
          <w:szCs w:val="24"/>
        </w:rPr>
        <w:t>ů</w:t>
      </w:r>
      <w:r w:rsidRPr="004F5529">
        <w:rPr>
          <w:rFonts w:asciiTheme="minorHAnsi" w:hAnsiTheme="minorHAnsi" w:cstheme="minorHAnsi"/>
          <w:sz w:val="24"/>
          <w:szCs w:val="24"/>
        </w:rPr>
        <w:t xml:space="preserve">. Kontrolovaných projektů se týkaly indikátory </w:t>
      </w:r>
      <w:r w:rsidR="00492427">
        <w:rPr>
          <w:rFonts w:asciiTheme="minorHAnsi" w:hAnsiTheme="minorHAnsi" w:cstheme="minorHAnsi"/>
          <w:sz w:val="24"/>
          <w:szCs w:val="24"/>
        </w:rPr>
        <w:t>„</w:t>
      </w:r>
      <w:r w:rsidR="00492427">
        <w:rPr>
          <w:rFonts w:asciiTheme="minorHAnsi" w:hAnsiTheme="minorHAnsi" w:cstheme="minorHAnsi"/>
          <w:i/>
          <w:sz w:val="24"/>
          <w:szCs w:val="24"/>
        </w:rPr>
        <w:t>p</w:t>
      </w:r>
      <w:r w:rsidRPr="004F5529">
        <w:rPr>
          <w:rFonts w:asciiTheme="minorHAnsi" w:hAnsiTheme="minorHAnsi" w:cstheme="minorHAnsi"/>
          <w:i/>
          <w:sz w:val="24"/>
          <w:szCs w:val="24"/>
        </w:rPr>
        <w:t>očet pořízeného zdravotnického vybavení</w:t>
      </w:r>
      <w:r w:rsidR="00492427" w:rsidRPr="00A741C4">
        <w:rPr>
          <w:rFonts w:asciiTheme="minorHAnsi" w:hAnsiTheme="minorHAnsi" w:cstheme="minorHAnsi"/>
          <w:sz w:val="24"/>
          <w:szCs w:val="24"/>
        </w:rPr>
        <w:t>“</w:t>
      </w:r>
      <w:r w:rsidRPr="00A741C4">
        <w:rPr>
          <w:rFonts w:asciiTheme="minorHAnsi" w:hAnsiTheme="minorHAnsi" w:cstheme="minorHAnsi"/>
          <w:sz w:val="24"/>
          <w:szCs w:val="24"/>
        </w:rPr>
        <w:t>,</w:t>
      </w:r>
      <w:r w:rsidRPr="004F552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F5529">
        <w:rPr>
          <w:rFonts w:asciiTheme="minorHAnsi" w:hAnsiTheme="minorHAnsi" w:cstheme="minorHAnsi"/>
          <w:sz w:val="24"/>
          <w:szCs w:val="24"/>
        </w:rPr>
        <w:t xml:space="preserve">resp. </w:t>
      </w:r>
      <w:r w:rsidR="00492427">
        <w:rPr>
          <w:rFonts w:asciiTheme="minorHAnsi" w:hAnsiTheme="minorHAnsi" w:cstheme="minorHAnsi"/>
          <w:sz w:val="24"/>
          <w:szCs w:val="24"/>
        </w:rPr>
        <w:t>„</w:t>
      </w:r>
      <w:r w:rsidR="00492427">
        <w:rPr>
          <w:rFonts w:asciiTheme="minorHAnsi" w:hAnsiTheme="minorHAnsi" w:cstheme="minorHAnsi"/>
          <w:i/>
          <w:sz w:val="24"/>
          <w:szCs w:val="24"/>
          <w:lang w:eastAsia="cs-CZ"/>
        </w:rPr>
        <w:t>p</w:t>
      </w:r>
      <w:r w:rsidRPr="004F5529">
        <w:rPr>
          <w:rFonts w:asciiTheme="minorHAnsi" w:hAnsiTheme="minorHAnsi" w:cstheme="minorHAnsi"/>
          <w:i/>
          <w:sz w:val="24"/>
          <w:szCs w:val="24"/>
          <w:lang w:eastAsia="cs-CZ"/>
        </w:rPr>
        <w:t>očet zdravotnických zařízení</w:t>
      </w:r>
      <w:r w:rsidR="002821E1">
        <w:rPr>
          <w:rFonts w:asciiTheme="minorHAnsi" w:hAnsiTheme="minorHAnsi" w:cstheme="minorHAnsi"/>
          <w:i/>
          <w:sz w:val="24"/>
          <w:szCs w:val="24"/>
          <w:lang w:eastAsia="cs-CZ"/>
        </w:rPr>
        <w:t> </w:t>
      </w:r>
      <w:r w:rsidRPr="004F5529">
        <w:rPr>
          <w:rFonts w:asciiTheme="minorHAnsi" w:hAnsiTheme="minorHAnsi" w:cstheme="minorHAnsi"/>
          <w:i/>
          <w:sz w:val="24"/>
          <w:szCs w:val="24"/>
          <w:lang w:eastAsia="cs-CZ"/>
        </w:rPr>
        <w:t>– přístrojové vybavení</w:t>
      </w:r>
      <w:r w:rsidR="00492427">
        <w:rPr>
          <w:rFonts w:asciiTheme="minorHAnsi" w:hAnsiTheme="minorHAnsi" w:cstheme="minorHAnsi"/>
          <w:sz w:val="24"/>
          <w:szCs w:val="24"/>
          <w:lang w:eastAsia="cs-CZ"/>
        </w:rPr>
        <w:t>“,</w:t>
      </w:r>
      <w:r w:rsidRPr="004F5529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</w:t>
      </w:r>
      <w:r w:rsidRPr="004F5529">
        <w:rPr>
          <w:rFonts w:asciiTheme="minorHAnsi" w:hAnsiTheme="minorHAnsi" w:cstheme="minorHAnsi"/>
          <w:sz w:val="24"/>
          <w:szCs w:val="24"/>
          <w:lang w:eastAsia="cs-CZ"/>
        </w:rPr>
        <w:t xml:space="preserve">a </w:t>
      </w:r>
      <w:r w:rsidR="00492427">
        <w:rPr>
          <w:rFonts w:asciiTheme="minorHAnsi" w:hAnsiTheme="minorHAnsi" w:cstheme="minorHAnsi"/>
          <w:sz w:val="24"/>
          <w:szCs w:val="24"/>
          <w:lang w:eastAsia="cs-CZ"/>
        </w:rPr>
        <w:t>„</w:t>
      </w:r>
      <w:r w:rsidR="00492427">
        <w:rPr>
          <w:rFonts w:asciiTheme="minorHAnsi" w:hAnsiTheme="minorHAnsi" w:cstheme="minorHAnsi"/>
          <w:bCs/>
          <w:i/>
          <w:sz w:val="24"/>
          <w:szCs w:val="24"/>
        </w:rPr>
        <w:t>p</w:t>
      </w:r>
      <w:r w:rsidRPr="004F5529">
        <w:rPr>
          <w:rFonts w:asciiTheme="minorHAnsi" w:hAnsiTheme="minorHAnsi" w:cstheme="minorHAnsi"/>
          <w:bCs/>
          <w:i/>
          <w:sz w:val="24"/>
          <w:szCs w:val="24"/>
        </w:rPr>
        <w:t>locha nově vybudovaných objektů – zdravotnictví</w:t>
      </w:r>
      <w:r w:rsidR="00492427" w:rsidRPr="00A741C4">
        <w:rPr>
          <w:rFonts w:asciiTheme="minorHAnsi" w:hAnsiTheme="minorHAnsi" w:cstheme="minorHAnsi"/>
          <w:bCs/>
          <w:sz w:val="24"/>
          <w:szCs w:val="24"/>
        </w:rPr>
        <w:t>“</w:t>
      </w:r>
      <w:r w:rsidRPr="004F5529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C27254" w:rsidRDefault="00C27254" w:rsidP="00A741C4">
      <w:pPr>
        <w:autoSpaceDE w:val="0"/>
        <w:autoSpaceDN w:val="0"/>
        <w:adjustRightInd w:val="0"/>
        <w:spacing w:before="0" w:after="0"/>
        <w:rPr>
          <w:rFonts w:cs="Arial"/>
          <w:b/>
          <w:lang w:eastAsia="cs-CZ"/>
        </w:rPr>
      </w:pPr>
    </w:p>
    <w:p w:rsidR="00E97406" w:rsidRPr="00B319C9" w:rsidRDefault="0042614F" w:rsidP="00E97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B319C9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NKÚ </w:t>
      </w:r>
      <w:r w:rsidRPr="00C243B5">
        <w:rPr>
          <w:rFonts w:asciiTheme="minorHAnsi" w:hAnsiTheme="minorHAnsi" w:cstheme="minorHAnsi"/>
          <w:b/>
          <w:sz w:val="24"/>
          <w:szCs w:val="24"/>
          <w:lang w:eastAsia="cs-CZ"/>
        </w:rPr>
        <w:t>z</w:t>
      </w:r>
      <w:r w:rsidR="00F263DB" w:rsidRPr="00C243B5">
        <w:rPr>
          <w:rFonts w:asciiTheme="minorHAnsi" w:hAnsiTheme="minorHAnsi" w:cstheme="minorHAnsi"/>
          <w:b/>
          <w:sz w:val="24"/>
          <w:szCs w:val="24"/>
          <w:lang w:eastAsia="cs-CZ"/>
        </w:rPr>
        <w:t>ji</w:t>
      </w:r>
      <w:r w:rsidR="002B0D45" w:rsidRPr="00C243B5">
        <w:rPr>
          <w:rFonts w:asciiTheme="minorHAnsi" w:hAnsiTheme="minorHAnsi" w:cstheme="minorHAnsi"/>
          <w:b/>
          <w:sz w:val="24"/>
          <w:szCs w:val="24"/>
          <w:lang w:eastAsia="cs-CZ"/>
        </w:rPr>
        <w:t>stil</w:t>
      </w:r>
      <w:r w:rsidR="00E97406" w:rsidRPr="00C243B5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skutečnosti svědčí</w:t>
      </w:r>
      <w:r w:rsidR="002B0D45" w:rsidRPr="00C243B5">
        <w:rPr>
          <w:rFonts w:asciiTheme="minorHAnsi" w:hAnsiTheme="minorHAnsi" w:cstheme="minorHAnsi"/>
          <w:b/>
          <w:sz w:val="24"/>
          <w:szCs w:val="24"/>
          <w:lang w:eastAsia="cs-CZ"/>
        </w:rPr>
        <w:t>cí</w:t>
      </w:r>
      <w:r w:rsidR="00E97406" w:rsidRPr="00B319C9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o tom, že význam stanovených indikátorů byl pouze formální.</w:t>
      </w:r>
    </w:p>
    <w:p w:rsidR="00A906B2" w:rsidRDefault="00A906B2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:rsidR="0042614F" w:rsidRPr="00B319C9" w:rsidRDefault="0042614F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</w:rPr>
      </w:pPr>
      <w:r w:rsidRPr="00B319C9">
        <w:rPr>
          <w:rFonts w:asciiTheme="minorHAnsi" w:hAnsiTheme="minorHAnsi" w:cstheme="minorHAnsi"/>
          <w:sz w:val="24"/>
          <w:szCs w:val="24"/>
          <w:lang w:eastAsia="cs-CZ"/>
        </w:rPr>
        <w:t>Někteří příjemci dotace ve svých projektech zásadně změnil</w:t>
      </w:r>
      <w:r w:rsidR="00492427">
        <w:rPr>
          <w:rFonts w:asciiTheme="minorHAnsi" w:hAnsiTheme="minorHAnsi" w:cstheme="minorHAnsi"/>
          <w:sz w:val="24"/>
          <w:szCs w:val="24"/>
          <w:lang w:eastAsia="cs-CZ"/>
        </w:rPr>
        <w:t>i</w:t>
      </w:r>
      <w:r w:rsidRPr="00B319C9">
        <w:rPr>
          <w:rFonts w:asciiTheme="minorHAnsi" w:hAnsiTheme="minorHAnsi" w:cstheme="minorHAnsi"/>
          <w:sz w:val="24"/>
          <w:szCs w:val="24"/>
          <w:lang w:eastAsia="cs-CZ"/>
        </w:rPr>
        <w:t xml:space="preserve"> množstevní hodnoty indikátoru</w:t>
      </w:r>
      <w:r w:rsidRPr="00B319C9">
        <w:rPr>
          <w:rFonts w:asciiTheme="minorHAnsi" w:hAnsiTheme="minorHAnsi" w:cstheme="minorHAnsi"/>
          <w:sz w:val="24"/>
          <w:szCs w:val="24"/>
        </w:rPr>
        <w:t xml:space="preserve"> </w:t>
      </w:r>
      <w:r w:rsidR="00492427">
        <w:rPr>
          <w:rFonts w:asciiTheme="minorHAnsi" w:hAnsiTheme="minorHAnsi" w:cstheme="minorHAnsi"/>
          <w:sz w:val="24"/>
          <w:szCs w:val="24"/>
        </w:rPr>
        <w:t>„</w:t>
      </w:r>
      <w:r w:rsidR="00492427">
        <w:rPr>
          <w:rFonts w:asciiTheme="minorHAnsi" w:hAnsiTheme="minorHAnsi" w:cstheme="minorHAnsi"/>
          <w:i/>
          <w:sz w:val="24"/>
          <w:szCs w:val="24"/>
        </w:rPr>
        <w:t>p</w:t>
      </w:r>
      <w:r w:rsidRPr="00B319C9">
        <w:rPr>
          <w:rFonts w:asciiTheme="minorHAnsi" w:hAnsiTheme="minorHAnsi" w:cstheme="minorHAnsi"/>
          <w:i/>
          <w:sz w:val="24"/>
          <w:szCs w:val="24"/>
        </w:rPr>
        <w:t>očet pořízeného zdravotnického vybavení</w:t>
      </w:r>
      <w:r w:rsidR="00492427" w:rsidRPr="00A741C4">
        <w:rPr>
          <w:rFonts w:asciiTheme="minorHAnsi" w:hAnsiTheme="minorHAnsi" w:cstheme="minorHAnsi"/>
          <w:sz w:val="24"/>
          <w:szCs w:val="24"/>
        </w:rPr>
        <w:t>“</w:t>
      </w:r>
      <w:r w:rsidRPr="00492427">
        <w:rPr>
          <w:rFonts w:asciiTheme="minorHAnsi" w:hAnsiTheme="minorHAnsi" w:cstheme="minorHAnsi"/>
          <w:sz w:val="24"/>
          <w:szCs w:val="24"/>
        </w:rPr>
        <w:t>,</w:t>
      </w:r>
      <w:r w:rsidRPr="00B319C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319C9">
        <w:rPr>
          <w:rFonts w:asciiTheme="minorHAnsi" w:hAnsiTheme="minorHAnsi" w:cstheme="minorHAnsi"/>
          <w:sz w:val="24"/>
          <w:szCs w:val="24"/>
        </w:rPr>
        <w:t>resp.</w:t>
      </w:r>
      <w:r w:rsidRPr="00B319C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92427" w:rsidRPr="00A741C4">
        <w:rPr>
          <w:rFonts w:asciiTheme="minorHAnsi" w:hAnsiTheme="minorHAnsi" w:cstheme="minorHAnsi"/>
          <w:sz w:val="24"/>
          <w:szCs w:val="24"/>
        </w:rPr>
        <w:t>„</w:t>
      </w:r>
      <w:r w:rsidR="00492427">
        <w:rPr>
          <w:rFonts w:asciiTheme="minorHAnsi" w:hAnsiTheme="minorHAnsi" w:cstheme="minorHAnsi"/>
          <w:i/>
          <w:sz w:val="24"/>
          <w:szCs w:val="24"/>
          <w:lang w:eastAsia="cs-CZ"/>
        </w:rPr>
        <w:t>p</w:t>
      </w:r>
      <w:r w:rsidRPr="00B319C9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očet zdravotnických zařízení </w:t>
      </w:r>
      <w:r w:rsidR="00F82A32">
        <w:rPr>
          <w:rFonts w:asciiTheme="minorHAnsi" w:hAnsiTheme="minorHAnsi" w:cstheme="minorHAnsi"/>
          <w:i/>
          <w:sz w:val="24"/>
          <w:szCs w:val="24"/>
          <w:lang w:eastAsia="cs-CZ"/>
        </w:rPr>
        <w:t>–</w:t>
      </w:r>
      <w:r w:rsidR="00EB558C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</w:t>
      </w:r>
      <w:r w:rsidRPr="00B319C9">
        <w:rPr>
          <w:rFonts w:asciiTheme="minorHAnsi" w:hAnsiTheme="minorHAnsi" w:cstheme="minorHAnsi"/>
          <w:i/>
          <w:sz w:val="24"/>
          <w:szCs w:val="24"/>
          <w:lang w:eastAsia="cs-CZ"/>
        </w:rPr>
        <w:t>přístrojové vybavení</w:t>
      </w:r>
      <w:r w:rsidR="00492427" w:rsidRPr="00A741C4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Pr="00B319C9">
        <w:rPr>
          <w:rFonts w:asciiTheme="minorHAnsi" w:hAnsiTheme="minorHAnsi" w:cstheme="minorHAnsi"/>
          <w:sz w:val="24"/>
          <w:szCs w:val="24"/>
          <w:lang w:eastAsia="cs-CZ"/>
        </w:rPr>
        <w:t>,</w:t>
      </w:r>
      <w:r w:rsidRPr="00B319C9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</w:t>
      </w:r>
      <w:r w:rsidRPr="00B319C9">
        <w:rPr>
          <w:rFonts w:asciiTheme="minorHAnsi" w:hAnsiTheme="minorHAnsi" w:cstheme="minorHAnsi"/>
          <w:sz w:val="24"/>
          <w:szCs w:val="24"/>
          <w:lang w:eastAsia="cs-CZ"/>
        </w:rPr>
        <w:t xml:space="preserve">a to </w:t>
      </w:r>
      <w:r w:rsidRPr="00B319C9">
        <w:rPr>
          <w:rFonts w:asciiTheme="minorHAnsi" w:hAnsiTheme="minorHAnsi" w:cstheme="minorHAnsi"/>
          <w:sz w:val="24"/>
          <w:szCs w:val="24"/>
        </w:rPr>
        <w:t>při zachování plánovaných rozpočtů projektů i při zachování původního množství pořízeného zdravotnického vybavení.</w:t>
      </w:r>
    </w:p>
    <w:p w:rsidR="00766A7F" w:rsidRPr="00B319C9" w:rsidRDefault="00766A7F" w:rsidP="00A741C4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:rsidR="00E97406" w:rsidRPr="00B319C9" w:rsidRDefault="00DB316A" w:rsidP="00A74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B319C9">
        <w:rPr>
          <w:rFonts w:asciiTheme="minorHAnsi" w:hAnsiTheme="minorHAnsi" w:cstheme="minorHAnsi"/>
          <w:b/>
          <w:bCs/>
          <w:sz w:val="24"/>
          <w:szCs w:val="24"/>
        </w:rPr>
        <w:t>RR</w:t>
      </w:r>
      <w:r w:rsidR="0078401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B319C9">
        <w:rPr>
          <w:rFonts w:asciiTheme="minorHAnsi" w:hAnsiTheme="minorHAnsi" w:cstheme="minorHAnsi"/>
          <w:b/>
          <w:bCs/>
          <w:sz w:val="24"/>
          <w:szCs w:val="24"/>
        </w:rPr>
        <w:t xml:space="preserve">JZ neporovnávala a nevyhodnocovala náklady na výstavbu objektů ani náklady na pořizování techniky pro zdravotnické účely. </w:t>
      </w:r>
      <w:r w:rsidR="0042614F" w:rsidRPr="00B319C9">
        <w:rPr>
          <w:rFonts w:asciiTheme="minorHAnsi" w:hAnsiTheme="minorHAnsi" w:cstheme="minorHAnsi"/>
          <w:b/>
          <w:bCs/>
          <w:sz w:val="24"/>
          <w:szCs w:val="24"/>
        </w:rPr>
        <w:t xml:space="preserve">NKÚ zjistil u jednotlivých příjemců dotací rozdíly v cenách </w:t>
      </w:r>
      <w:r w:rsidR="009466ED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42614F" w:rsidRPr="00B319C9">
        <w:rPr>
          <w:rFonts w:asciiTheme="minorHAnsi" w:hAnsiTheme="minorHAnsi" w:cstheme="minorHAnsi"/>
          <w:b/>
          <w:bCs/>
          <w:sz w:val="24"/>
          <w:szCs w:val="24"/>
        </w:rPr>
        <w:t xml:space="preserve">a pořízení zdravotnických přístrojů i v cenách </w:t>
      </w:r>
      <w:r w:rsidR="009466ED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42614F" w:rsidRPr="00B319C9">
        <w:rPr>
          <w:rFonts w:asciiTheme="minorHAnsi" w:hAnsiTheme="minorHAnsi" w:cstheme="minorHAnsi"/>
          <w:b/>
          <w:bCs/>
          <w:sz w:val="24"/>
          <w:szCs w:val="24"/>
        </w:rPr>
        <w:t xml:space="preserve">a výstavbu zdravotnických zařízení. </w:t>
      </w:r>
    </w:p>
    <w:p w:rsidR="00A906B2" w:rsidRDefault="00A906B2" w:rsidP="00191D70">
      <w:pPr>
        <w:spacing w:before="0" w:after="0"/>
        <w:rPr>
          <w:rFonts w:asciiTheme="minorHAnsi" w:hAnsiTheme="minorHAnsi" w:cstheme="minorHAnsi"/>
          <w:bCs/>
          <w:sz w:val="24"/>
          <w:szCs w:val="24"/>
        </w:rPr>
      </w:pPr>
    </w:p>
    <w:p w:rsidR="0042614F" w:rsidRPr="00B319C9" w:rsidRDefault="0042614F" w:rsidP="00191D70">
      <w:p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B319C9">
        <w:rPr>
          <w:rFonts w:asciiTheme="minorHAnsi" w:hAnsiTheme="minorHAnsi" w:cstheme="minorHAnsi"/>
          <w:bCs/>
          <w:sz w:val="24"/>
          <w:szCs w:val="24"/>
        </w:rPr>
        <w:t>RR</w:t>
      </w:r>
      <w:r w:rsidR="0078401D">
        <w:rPr>
          <w:rFonts w:asciiTheme="minorHAnsi" w:hAnsiTheme="minorHAnsi" w:cstheme="minorHAnsi"/>
          <w:bCs/>
          <w:sz w:val="24"/>
          <w:szCs w:val="24"/>
        </w:rPr>
        <w:t> </w:t>
      </w:r>
      <w:r w:rsidRPr="00B319C9">
        <w:rPr>
          <w:rFonts w:asciiTheme="minorHAnsi" w:hAnsiTheme="minorHAnsi" w:cstheme="minorHAnsi"/>
          <w:bCs/>
          <w:sz w:val="24"/>
          <w:szCs w:val="24"/>
        </w:rPr>
        <w:t xml:space="preserve">JZ u projektů, jejichž předmětem byla výstavba nových objektů či pořízení zdravotnické techniky, nevyhodnocovala nákladovost </w:t>
      </w:r>
      <w:r w:rsidR="009466ED">
        <w:rPr>
          <w:rFonts w:asciiTheme="minorHAnsi" w:hAnsiTheme="minorHAnsi" w:cstheme="minorHAnsi"/>
          <w:bCs/>
          <w:sz w:val="24"/>
          <w:szCs w:val="24"/>
        </w:rPr>
        <w:t xml:space="preserve">ani </w:t>
      </w:r>
      <w:r w:rsidRPr="00B319C9">
        <w:rPr>
          <w:rFonts w:asciiTheme="minorHAnsi" w:hAnsiTheme="minorHAnsi" w:cstheme="minorHAnsi"/>
          <w:bCs/>
          <w:sz w:val="24"/>
          <w:szCs w:val="24"/>
        </w:rPr>
        <w:t>efektivitu vynaložených investic. Tyto informace přitom mohly sloužit jako porovnávací kritérium př</w:t>
      </w:r>
      <w:r w:rsidR="002E3AB9" w:rsidRPr="00B319C9">
        <w:rPr>
          <w:rFonts w:asciiTheme="minorHAnsi" w:hAnsiTheme="minorHAnsi" w:cstheme="minorHAnsi"/>
          <w:bCs/>
          <w:sz w:val="24"/>
          <w:szCs w:val="24"/>
        </w:rPr>
        <w:t>i hodnocení obdobných projektů a</w:t>
      </w:r>
      <w:r w:rsidR="002821E1">
        <w:rPr>
          <w:rFonts w:asciiTheme="minorHAnsi" w:hAnsiTheme="minorHAnsi" w:cstheme="minorHAnsi"/>
          <w:bCs/>
          <w:sz w:val="24"/>
          <w:szCs w:val="24"/>
        </w:rPr>
        <w:t> </w:t>
      </w:r>
      <w:r w:rsidR="002E3AB9" w:rsidRPr="00B319C9">
        <w:rPr>
          <w:rFonts w:asciiTheme="minorHAnsi" w:hAnsiTheme="minorHAnsi" w:cstheme="minorHAnsi"/>
          <w:bCs/>
          <w:sz w:val="24"/>
          <w:szCs w:val="24"/>
        </w:rPr>
        <w:t>současně mohly eliminovat zjištěné rozdíly v pořizovacích nákladech.</w:t>
      </w:r>
    </w:p>
    <w:p w:rsidR="00C27254" w:rsidRPr="00B319C9" w:rsidRDefault="00C27254" w:rsidP="00191D70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:rsidR="00E97406" w:rsidRPr="00B319C9" w:rsidRDefault="00E97406" w:rsidP="00191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1D1E85">
        <w:rPr>
          <w:rFonts w:asciiTheme="minorHAnsi" w:hAnsiTheme="minorHAnsi" w:cstheme="minorHAnsi"/>
          <w:b/>
          <w:sz w:val="24"/>
          <w:szCs w:val="24"/>
        </w:rPr>
        <w:t xml:space="preserve">NKÚ </w:t>
      </w:r>
      <w:r w:rsidR="002E3AB9" w:rsidRPr="001D1E85">
        <w:rPr>
          <w:rFonts w:asciiTheme="minorHAnsi" w:hAnsiTheme="minorHAnsi" w:cstheme="minorHAnsi"/>
          <w:b/>
          <w:sz w:val="24"/>
          <w:szCs w:val="24"/>
        </w:rPr>
        <w:t xml:space="preserve">zjistil </w:t>
      </w:r>
      <w:r w:rsidR="002B0D45" w:rsidRPr="001D1E85">
        <w:rPr>
          <w:rFonts w:asciiTheme="minorHAnsi" w:hAnsiTheme="minorHAnsi" w:cstheme="minorHAnsi"/>
          <w:b/>
          <w:sz w:val="24"/>
          <w:szCs w:val="24"/>
        </w:rPr>
        <w:t xml:space="preserve">neoprávněné čerpání peněžních prostředků a </w:t>
      </w:r>
      <w:r w:rsidR="002E3AB9" w:rsidRPr="001D1E85">
        <w:rPr>
          <w:rFonts w:asciiTheme="minorHAnsi" w:hAnsiTheme="minorHAnsi" w:cstheme="minorHAnsi"/>
          <w:b/>
          <w:sz w:val="24"/>
          <w:szCs w:val="24"/>
        </w:rPr>
        <w:t>skutečnosti nasvědčující</w:t>
      </w:r>
      <w:r w:rsidRPr="001D1E85">
        <w:rPr>
          <w:rFonts w:asciiTheme="minorHAnsi" w:hAnsiTheme="minorHAnsi" w:cstheme="minorHAnsi"/>
          <w:b/>
          <w:sz w:val="24"/>
          <w:szCs w:val="24"/>
        </w:rPr>
        <w:t xml:space="preserve"> porušení rozpočtové kázně ve smyslu zákona č.</w:t>
      </w:r>
      <w:r w:rsidR="00F82A32" w:rsidRPr="001D1E85">
        <w:rPr>
          <w:rFonts w:asciiTheme="minorHAnsi" w:hAnsiTheme="minorHAnsi" w:cstheme="minorHAnsi"/>
          <w:b/>
          <w:sz w:val="24"/>
          <w:szCs w:val="24"/>
        </w:rPr>
        <w:t> </w:t>
      </w:r>
      <w:r w:rsidRPr="001D1E85">
        <w:rPr>
          <w:rFonts w:asciiTheme="minorHAnsi" w:hAnsiTheme="minorHAnsi" w:cstheme="minorHAnsi"/>
          <w:b/>
          <w:sz w:val="24"/>
          <w:szCs w:val="24"/>
        </w:rPr>
        <w:t>250/2000 Sb.</w:t>
      </w:r>
      <w:r w:rsidR="002E3AB9" w:rsidRPr="001D1E85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  <w:r w:rsidRPr="001D1E85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  <w:r w:rsidRPr="001D1E85">
        <w:rPr>
          <w:rFonts w:asciiTheme="minorHAnsi" w:hAnsiTheme="minorHAnsi" w:cstheme="minorHAnsi"/>
          <w:b/>
          <w:sz w:val="24"/>
          <w:szCs w:val="24"/>
        </w:rPr>
        <w:t>v souhrnné výši 8 736 739 Kč oznámil příslušnému správci daně.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NKÚ zároveň </w:t>
      </w:r>
      <w:r w:rsidR="00184585" w:rsidRPr="00B319C9">
        <w:rPr>
          <w:rFonts w:asciiTheme="minorHAnsi" w:hAnsiTheme="minorHAnsi" w:cstheme="minorHAnsi"/>
          <w:b/>
          <w:sz w:val="24"/>
          <w:szCs w:val="24"/>
        </w:rPr>
        <w:t xml:space="preserve">konstatoval 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podezření na </w:t>
      </w:r>
      <w:r w:rsidR="009466ED">
        <w:rPr>
          <w:rFonts w:asciiTheme="minorHAnsi" w:hAnsiTheme="minorHAnsi" w:cstheme="minorHAnsi"/>
          <w:b/>
          <w:sz w:val="24"/>
          <w:szCs w:val="24"/>
        </w:rPr>
        <w:t>vznik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nesrovnalosti ve smyslu předpisů EU, částka nesrovnalost</w:t>
      </w:r>
      <w:r w:rsidR="009466ED">
        <w:rPr>
          <w:rFonts w:asciiTheme="minorHAnsi" w:hAnsiTheme="minorHAnsi" w:cstheme="minorHAnsi"/>
          <w:b/>
          <w:sz w:val="24"/>
          <w:szCs w:val="24"/>
        </w:rPr>
        <w:t>í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může činit v souhrnné výši až 7 980 425 Kč.</w:t>
      </w:r>
    </w:p>
    <w:p w:rsidR="00A906B2" w:rsidRDefault="00A906B2" w:rsidP="00191D70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2E3AB9" w:rsidRPr="00B319C9" w:rsidRDefault="002E3AB9" w:rsidP="00191D70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B319C9">
        <w:rPr>
          <w:rFonts w:asciiTheme="minorHAnsi" w:hAnsiTheme="minorHAnsi" w:cstheme="minorHAnsi"/>
          <w:sz w:val="24"/>
          <w:szCs w:val="24"/>
        </w:rPr>
        <w:t xml:space="preserve">NKÚ </w:t>
      </w:r>
      <w:r w:rsidR="009466ED">
        <w:rPr>
          <w:rFonts w:asciiTheme="minorHAnsi" w:hAnsiTheme="minorHAnsi" w:cstheme="minorHAnsi"/>
          <w:sz w:val="24"/>
          <w:szCs w:val="24"/>
        </w:rPr>
        <w:t>k</w:t>
      </w:r>
      <w:r w:rsidR="009466ED" w:rsidRPr="00B319C9">
        <w:rPr>
          <w:rFonts w:asciiTheme="minorHAnsi" w:hAnsiTheme="minorHAnsi" w:cstheme="minorHAnsi"/>
          <w:sz w:val="24"/>
          <w:szCs w:val="24"/>
        </w:rPr>
        <w:t>ontrol</w:t>
      </w:r>
      <w:r w:rsidR="009466ED">
        <w:rPr>
          <w:rFonts w:asciiTheme="minorHAnsi" w:hAnsiTheme="minorHAnsi" w:cstheme="minorHAnsi"/>
          <w:sz w:val="24"/>
          <w:szCs w:val="24"/>
        </w:rPr>
        <w:t>ou</w:t>
      </w:r>
      <w:r w:rsidR="009466ED" w:rsidRPr="00B319C9">
        <w:rPr>
          <w:rFonts w:asciiTheme="minorHAnsi" w:hAnsiTheme="minorHAnsi" w:cstheme="minorHAnsi"/>
          <w:sz w:val="24"/>
          <w:szCs w:val="24"/>
        </w:rPr>
        <w:t xml:space="preserve"> </w:t>
      </w:r>
      <w:r w:rsidRPr="00B319C9">
        <w:rPr>
          <w:rFonts w:asciiTheme="minorHAnsi" w:hAnsiTheme="minorHAnsi" w:cstheme="minorHAnsi"/>
          <w:sz w:val="24"/>
          <w:szCs w:val="24"/>
        </w:rPr>
        <w:t>zjistil, že Nemocnice České Budějovice, a.</w:t>
      </w:r>
      <w:r w:rsidR="009466ED" w:rsidRPr="00191D70">
        <w:rPr>
          <w:rFonts w:asciiTheme="minorHAnsi" w:hAnsiTheme="minorHAnsi" w:cstheme="minorHAnsi"/>
          <w:sz w:val="24"/>
          <w:szCs w:val="24"/>
          <w:vertAlign w:val="superscript"/>
        </w:rPr>
        <w:t> </w:t>
      </w:r>
      <w:r w:rsidRPr="00B319C9">
        <w:rPr>
          <w:rFonts w:asciiTheme="minorHAnsi" w:hAnsiTheme="minorHAnsi" w:cstheme="minorHAnsi"/>
          <w:sz w:val="24"/>
          <w:szCs w:val="24"/>
        </w:rPr>
        <w:t>s.</w:t>
      </w:r>
      <w:r w:rsidR="009466ED">
        <w:rPr>
          <w:rFonts w:asciiTheme="minorHAnsi" w:hAnsiTheme="minorHAnsi" w:cstheme="minorHAnsi"/>
          <w:sz w:val="24"/>
          <w:szCs w:val="24"/>
        </w:rPr>
        <w:t>,</w:t>
      </w:r>
      <w:r w:rsidRPr="00B319C9">
        <w:rPr>
          <w:rFonts w:asciiTheme="minorHAnsi" w:hAnsiTheme="minorHAnsi" w:cstheme="minorHAnsi"/>
          <w:sz w:val="24"/>
          <w:szCs w:val="24"/>
        </w:rPr>
        <w:t xml:space="preserve"> (dále také „Nemocnice ČB“), PRIVAMED </w:t>
      </w:r>
      <w:r w:rsidR="009466ED">
        <w:rPr>
          <w:rFonts w:asciiTheme="minorHAnsi" w:hAnsiTheme="minorHAnsi" w:cstheme="minorHAnsi"/>
          <w:sz w:val="24"/>
          <w:szCs w:val="24"/>
        </w:rPr>
        <w:t>a.</w:t>
      </w:r>
      <w:r w:rsidR="009466ED" w:rsidRPr="00191D70">
        <w:rPr>
          <w:rFonts w:asciiTheme="minorHAnsi" w:hAnsiTheme="minorHAnsi" w:cstheme="minorHAnsi"/>
          <w:sz w:val="24"/>
          <w:szCs w:val="24"/>
          <w:vertAlign w:val="superscript"/>
        </w:rPr>
        <w:t> </w:t>
      </w:r>
      <w:r w:rsidR="009466ED">
        <w:rPr>
          <w:rFonts w:asciiTheme="minorHAnsi" w:hAnsiTheme="minorHAnsi" w:cstheme="minorHAnsi"/>
          <w:sz w:val="24"/>
          <w:szCs w:val="24"/>
        </w:rPr>
        <w:t xml:space="preserve">s. </w:t>
      </w:r>
      <w:r w:rsidRPr="00B319C9">
        <w:rPr>
          <w:rFonts w:asciiTheme="minorHAnsi" w:hAnsiTheme="minorHAnsi" w:cstheme="minorHAnsi"/>
          <w:sz w:val="24"/>
          <w:szCs w:val="24"/>
        </w:rPr>
        <w:t>a Nemocnice Tábor</w:t>
      </w:r>
      <w:r w:rsidR="009466ED">
        <w:rPr>
          <w:rFonts w:asciiTheme="minorHAnsi" w:hAnsiTheme="minorHAnsi" w:cstheme="minorHAnsi"/>
          <w:sz w:val="24"/>
          <w:szCs w:val="24"/>
        </w:rPr>
        <w:t>, a.</w:t>
      </w:r>
      <w:r w:rsidR="009466ED" w:rsidRPr="00191D70">
        <w:rPr>
          <w:rFonts w:asciiTheme="minorHAnsi" w:hAnsiTheme="minorHAnsi" w:cstheme="minorHAnsi"/>
          <w:sz w:val="24"/>
          <w:szCs w:val="24"/>
          <w:vertAlign w:val="superscript"/>
        </w:rPr>
        <w:t> </w:t>
      </w:r>
      <w:r w:rsidR="009466ED">
        <w:rPr>
          <w:rFonts w:asciiTheme="minorHAnsi" w:hAnsiTheme="minorHAnsi" w:cstheme="minorHAnsi"/>
          <w:sz w:val="24"/>
          <w:szCs w:val="24"/>
        </w:rPr>
        <w:t>s.,</w:t>
      </w:r>
      <w:r w:rsidRPr="00B319C9">
        <w:rPr>
          <w:rFonts w:asciiTheme="minorHAnsi" w:hAnsiTheme="minorHAnsi" w:cstheme="minorHAnsi"/>
          <w:sz w:val="24"/>
          <w:szCs w:val="24"/>
        </w:rPr>
        <w:t xml:space="preserve"> použil</w:t>
      </w:r>
      <w:r w:rsidR="009466ED">
        <w:rPr>
          <w:rFonts w:asciiTheme="minorHAnsi" w:hAnsiTheme="minorHAnsi" w:cstheme="minorHAnsi"/>
          <w:sz w:val="24"/>
          <w:szCs w:val="24"/>
        </w:rPr>
        <w:t>y</w:t>
      </w:r>
      <w:r w:rsidRPr="00B319C9">
        <w:rPr>
          <w:rFonts w:asciiTheme="minorHAnsi" w:hAnsiTheme="minorHAnsi" w:cstheme="minorHAnsi"/>
          <w:sz w:val="24"/>
          <w:szCs w:val="24"/>
        </w:rPr>
        <w:t xml:space="preserve"> peněžní prostředky </w:t>
      </w:r>
      <w:r w:rsidR="009466ED">
        <w:rPr>
          <w:rFonts w:asciiTheme="minorHAnsi" w:hAnsiTheme="minorHAnsi" w:cstheme="minorHAnsi"/>
          <w:sz w:val="24"/>
          <w:szCs w:val="24"/>
        </w:rPr>
        <w:t>z </w:t>
      </w:r>
      <w:r w:rsidR="009466ED" w:rsidRPr="00B319C9">
        <w:rPr>
          <w:rFonts w:asciiTheme="minorHAnsi" w:hAnsiTheme="minorHAnsi" w:cstheme="minorHAnsi"/>
          <w:sz w:val="24"/>
          <w:szCs w:val="24"/>
        </w:rPr>
        <w:t>dota</w:t>
      </w:r>
      <w:r w:rsidR="009466ED">
        <w:rPr>
          <w:rFonts w:asciiTheme="minorHAnsi" w:hAnsiTheme="minorHAnsi" w:cstheme="minorHAnsi"/>
          <w:sz w:val="24"/>
          <w:szCs w:val="24"/>
        </w:rPr>
        <w:t>cí</w:t>
      </w:r>
      <w:r w:rsidR="009466ED" w:rsidRPr="00B319C9">
        <w:rPr>
          <w:rFonts w:asciiTheme="minorHAnsi" w:hAnsiTheme="minorHAnsi" w:cstheme="minorHAnsi"/>
          <w:sz w:val="24"/>
          <w:szCs w:val="24"/>
        </w:rPr>
        <w:t xml:space="preserve"> neoprávněně </w:t>
      </w:r>
      <w:r w:rsidRPr="00B319C9">
        <w:rPr>
          <w:rFonts w:asciiTheme="minorHAnsi" w:hAnsiTheme="minorHAnsi" w:cstheme="minorHAnsi"/>
          <w:sz w:val="24"/>
          <w:szCs w:val="24"/>
        </w:rPr>
        <w:t xml:space="preserve">na úhradu nezpůsobilých výdajů projektu. Jednalo se o pořízení drobného hmotného majetku, který nebyl podle schválených podmínek podporován. Neoprávněně vykázané výdaje </w:t>
      </w:r>
      <w:r w:rsidR="009466ED" w:rsidRPr="00B319C9">
        <w:rPr>
          <w:rFonts w:asciiTheme="minorHAnsi" w:hAnsiTheme="minorHAnsi" w:cstheme="minorHAnsi"/>
          <w:sz w:val="24"/>
          <w:szCs w:val="24"/>
        </w:rPr>
        <w:t xml:space="preserve">schválila </w:t>
      </w:r>
      <w:r w:rsidRPr="00B319C9">
        <w:rPr>
          <w:rFonts w:asciiTheme="minorHAnsi" w:hAnsiTheme="minorHAnsi" w:cstheme="minorHAnsi"/>
          <w:sz w:val="24"/>
          <w:szCs w:val="24"/>
        </w:rPr>
        <w:t>RR</w:t>
      </w:r>
      <w:r w:rsidR="009466ED">
        <w:rPr>
          <w:rFonts w:asciiTheme="minorHAnsi" w:hAnsiTheme="minorHAnsi" w:cstheme="minorHAnsi"/>
          <w:sz w:val="24"/>
          <w:szCs w:val="24"/>
        </w:rPr>
        <w:t> </w:t>
      </w:r>
      <w:r w:rsidRPr="00B319C9">
        <w:rPr>
          <w:rFonts w:asciiTheme="minorHAnsi" w:hAnsiTheme="minorHAnsi" w:cstheme="minorHAnsi"/>
          <w:sz w:val="24"/>
          <w:szCs w:val="24"/>
        </w:rPr>
        <w:t xml:space="preserve">JZ k proplacení. </w:t>
      </w:r>
    </w:p>
    <w:p w:rsidR="00DB316A" w:rsidRPr="00B319C9" w:rsidRDefault="00DB316A" w:rsidP="000B7E80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:rsidR="00E97406" w:rsidRPr="00B319C9" w:rsidRDefault="00E97406" w:rsidP="000B7E80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B319C9">
        <w:rPr>
          <w:rFonts w:asciiTheme="minorHAnsi" w:hAnsiTheme="minorHAnsi" w:cstheme="minorHAnsi"/>
          <w:b/>
          <w:sz w:val="24"/>
          <w:szCs w:val="24"/>
        </w:rPr>
        <w:lastRenderedPageBreak/>
        <w:t>RR</w:t>
      </w:r>
      <w:r w:rsidR="0078401D">
        <w:rPr>
          <w:rFonts w:asciiTheme="minorHAnsi" w:hAnsiTheme="minorHAnsi" w:cstheme="minorHAnsi"/>
          <w:b/>
          <w:sz w:val="24"/>
          <w:szCs w:val="24"/>
        </w:rPr>
        <w:t> 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JZ prováděla administrativní kontroly ex-post </w:t>
      </w:r>
      <w:r w:rsidR="004A0D6D" w:rsidRPr="00B319C9">
        <w:rPr>
          <w:rFonts w:asciiTheme="minorHAnsi" w:hAnsiTheme="minorHAnsi" w:cstheme="minorHAnsi"/>
          <w:b/>
          <w:sz w:val="24"/>
          <w:szCs w:val="24"/>
        </w:rPr>
        <w:t xml:space="preserve">na základě předložených </w:t>
      </w:r>
      <w:r w:rsidR="00D03ECF" w:rsidRPr="00191D70">
        <w:rPr>
          <w:rFonts w:asciiTheme="minorHAnsi" w:hAnsiTheme="minorHAnsi" w:cstheme="minorHAnsi"/>
          <w:b/>
          <w:i/>
          <w:sz w:val="24"/>
          <w:szCs w:val="24"/>
        </w:rPr>
        <w:t>m</w:t>
      </w:r>
      <w:r w:rsidR="004A0D6D" w:rsidRPr="00191D70">
        <w:rPr>
          <w:rFonts w:asciiTheme="minorHAnsi" w:hAnsiTheme="minorHAnsi" w:cstheme="minorHAnsi"/>
          <w:b/>
          <w:i/>
          <w:sz w:val="24"/>
          <w:szCs w:val="24"/>
        </w:rPr>
        <w:t>onitorovacích zpráv o zajištění udržitelnosti projekt</w:t>
      </w:r>
      <w:r w:rsidR="00D03ECF" w:rsidRPr="00191D70">
        <w:rPr>
          <w:rFonts w:asciiTheme="minorHAnsi" w:hAnsiTheme="minorHAnsi" w:cstheme="minorHAnsi"/>
          <w:b/>
          <w:i/>
          <w:sz w:val="24"/>
          <w:szCs w:val="24"/>
        </w:rPr>
        <w:t>u</w:t>
      </w:r>
      <w:r w:rsidR="004A0D6D" w:rsidRPr="00B319C9">
        <w:rPr>
          <w:rFonts w:asciiTheme="minorHAnsi" w:hAnsiTheme="minorHAnsi" w:cstheme="minorHAnsi"/>
          <w:b/>
          <w:sz w:val="24"/>
          <w:szCs w:val="24"/>
        </w:rPr>
        <w:t xml:space="preserve"> (dále také „MZZU“) </w:t>
      </w:r>
      <w:r w:rsidRPr="00B319C9">
        <w:rPr>
          <w:rFonts w:asciiTheme="minorHAnsi" w:hAnsiTheme="minorHAnsi" w:cstheme="minorHAnsi"/>
          <w:b/>
          <w:sz w:val="24"/>
          <w:szCs w:val="24"/>
        </w:rPr>
        <w:t>se značn</w:t>
      </w:r>
      <w:r w:rsidR="008D0EDA" w:rsidRPr="00B319C9">
        <w:rPr>
          <w:rFonts w:asciiTheme="minorHAnsi" w:hAnsiTheme="minorHAnsi" w:cstheme="minorHAnsi"/>
          <w:b/>
          <w:sz w:val="24"/>
          <w:szCs w:val="24"/>
        </w:rPr>
        <w:t>ou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časov</w:t>
      </w:r>
      <w:r w:rsidR="008D0EDA" w:rsidRPr="00B319C9">
        <w:rPr>
          <w:rFonts w:asciiTheme="minorHAnsi" w:hAnsiTheme="minorHAnsi" w:cstheme="minorHAnsi"/>
          <w:b/>
          <w:sz w:val="24"/>
          <w:szCs w:val="24"/>
        </w:rPr>
        <w:t>ou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prodle</w:t>
      </w:r>
      <w:r w:rsidR="008D0EDA" w:rsidRPr="00B319C9">
        <w:rPr>
          <w:rFonts w:asciiTheme="minorHAnsi" w:hAnsiTheme="minorHAnsi" w:cstheme="minorHAnsi"/>
          <w:b/>
          <w:sz w:val="24"/>
          <w:szCs w:val="24"/>
        </w:rPr>
        <w:t>vou</w:t>
      </w:r>
      <w:r w:rsidR="004A0D6D" w:rsidRPr="00B319C9">
        <w:rPr>
          <w:rFonts w:asciiTheme="minorHAnsi" w:hAnsiTheme="minorHAnsi" w:cstheme="minorHAnsi"/>
          <w:b/>
          <w:sz w:val="24"/>
          <w:szCs w:val="24"/>
        </w:rPr>
        <w:t>,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7114" w:rsidRPr="00B319C9">
        <w:rPr>
          <w:rFonts w:asciiTheme="minorHAnsi" w:hAnsiTheme="minorHAnsi" w:cstheme="minorHAnsi"/>
          <w:b/>
          <w:sz w:val="24"/>
          <w:szCs w:val="24"/>
        </w:rPr>
        <w:t>čímž došlo ke zpoždění ve vyhodnocování plnění stanovených cílů projektů, oblastí podpory, prioritních os a programů</w:t>
      </w:r>
      <w:r w:rsidRPr="00B319C9">
        <w:rPr>
          <w:rFonts w:asciiTheme="minorHAnsi" w:hAnsiTheme="minorHAnsi" w:cstheme="minorHAnsi"/>
          <w:b/>
          <w:sz w:val="24"/>
          <w:szCs w:val="24"/>
        </w:rPr>
        <w:t>.</w:t>
      </w:r>
      <w:r w:rsidR="00067114" w:rsidRPr="00B319C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C27254" w:rsidRPr="00B319C9" w:rsidRDefault="00C27254" w:rsidP="00E97406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:rsidR="00EB08CB" w:rsidRPr="006815B5" w:rsidRDefault="00E97406" w:rsidP="00E97406">
      <w:pPr>
        <w:spacing w:before="0" w:after="0"/>
        <w:rPr>
          <w:rFonts w:asciiTheme="minorHAnsi" w:hAnsiTheme="minorHAnsi" w:cstheme="minorHAnsi"/>
          <w:b/>
          <w:strike/>
          <w:sz w:val="24"/>
          <w:szCs w:val="24"/>
        </w:rPr>
      </w:pPr>
      <w:r w:rsidRPr="00B319C9">
        <w:rPr>
          <w:rFonts w:asciiTheme="minorHAnsi" w:hAnsiTheme="minorHAnsi" w:cstheme="minorHAnsi"/>
          <w:b/>
          <w:sz w:val="24"/>
          <w:szCs w:val="24"/>
        </w:rPr>
        <w:t>Kontrol</w:t>
      </w:r>
      <w:r w:rsidR="00D03ECF">
        <w:rPr>
          <w:rFonts w:asciiTheme="minorHAnsi" w:hAnsiTheme="minorHAnsi" w:cstheme="minorHAnsi"/>
          <w:b/>
          <w:sz w:val="24"/>
          <w:szCs w:val="24"/>
        </w:rPr>
        <w:t>ní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3ECF">
        <w:rPr>
          <w:rFonts w:asciiTheme="minorHAnsi" w:hAnsiTheme="minorHAnsi" w:cstheme="minorHAnsi"/>
          <w:b/>
          <w:sz w:val="24"/>
          <w:szCs w:val="24"/>
        </w:rPr>
        <w:t xml:space="preserve">akce 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NKÚ zjistila některá jednotlivá pochybení příjemců dotací, která nepřispívala k řádnému čerpání dotačních prostředků. Jednalo se </w:t>
      </w:r>
      <w:r w:rsidR="00DB316A" w:rsidRPr="00B319C9">
        <w:rPr>
          <w:rFonts w:asciiTheme="minorHAnsi" w:hAnsiTheme="minorHAnsi" w:cstheme="minorHAnsi"/>
          <w:b/>
          <w:sz w:val="24"/>
          <w:szCs w:val="24"/>
        </w:rPr>
        <w:t xml:space="preserve">např. </w:t>
      </w:r>
      <w:r w:rsidRPr="00B319C9">
        <w:rPr>
          <w:rFonts w:asciiTheme="minorHAnsi" w:hAnsiTheme="minorHAnsi" w:cstheme="minorHAnsi"/>
          <w:b/>
          <w:sz w:val="24"/>
          <w:szCs w:val="24"/>
        </w:rPr>
        <w:t>o pozdní oznamování změn projekt</w:t>
      </w:r>
      <w:r w:rsidR="006815B5">
        <w:rPr>
          <w:rFonts w:asciiTheme="minorHAnsi" w:hAnsiTheme="minorHAnsi" w:cstheme="minorHAnsi"/>
          <w:b/>
          <w:sz w:val="24"/>
          <w:szCs w:val="24"/>
        </w:rPr>
        <w:t>ů.</w:t>
      </w:r>
      <w:r w:rsidR="002E3AB9" w:rsidRPr="00B319C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66A7F" w:rsidRPr="00B319C9" w:rsidRDefault="00766A7F" w:rsidP="000B7E80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:rsidR="00C27254" w:rsidRPr="00B319C9" w:rsidRDefault="007E613A" w:rsidP="00191D70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B319C9">
        <w:rPr>
          <w:rFonts w:asciiTheme="minorHAnsi" w:hAnsiTheme="minorHAnsi" w:cstheme="minorHAnsi"/>
          <w:b/>
          <w:sz w:val="24"/>
          <w:szCs w:val="24"/>
        </w:rPr>
        <w:t xml:space="preserve">NKÚ </w:t>
      </w:r>
      <w:r w:rsidR="00D03ECF">
        <w:rPr>
          <w:rFonts w:asciiTheme="minorHAnsi" w:hAnsiTheme="minorHAnsi" w:cstheme="minorHAnsi"/>
          <w:b/>
          <w:sz w:val="24"/>
          <w:szCs w:val="24"/>
        </w:rPr>
        <w:t>v rámci kontroly také prověřil,</w:t>
      </w:r>
      <w:r w:rsidRPr="00B319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3ECF">
        <w:rPr>
          <w:rFonts w:asciiTheme="minorHAnsi" w:hAnsiTheme="minorHAnsi" w:cstheme="minorHAnsi"/>
          <w:b/>
          <w:sz w:val="24"/>
          <w:szCs w:val="24"/>
        </w:rPr>
        <w:t xml:space="preserve">zda došlo </w:t>
      </w:r>
      <w:r w:rsidR="00D03ECF" w:rsidRPr="00D03ECF">
        <w:rPr>
          <w:rFonts w:asciiTheme="minorHAnsi" w:hAnsiTheme="minorHAnsi" w:cstheme="minorHAnsi"/>
          <w:b/>
          <w:sz w:val="24"/>
          <w:szCs w:val="24"/>
        </w:rPr>
        <w:t>k</w:t>
      </w:r>
      <w:r w:rsidR="00056DEB">
        <w:rPr>
          <w:rFonts w:asciiTheme="minorHAnsi" w:hAnsiTheme="minorHAnsi" w:cstheme="minorHAnsi"/>
          <w:b/>
          <w:sz w:val="24"/>
          <w:szCs w:val="24"/>
        </w:rPr>
        <w:t xml:space="preserve"> odstranění </w:t>
      </w:r>
      <w:r w:rsidRPr="00B319C9">
        <w:rPr>
          <w:rFonts w:asciiTheme="minorHAnsi" w:hAnsiTheme="minorHAnsi" w:cstheme="minorHAnsi"/>
          <w:b/>
          <w:sz w:val="24"/>
          <w:szCs w:val="24"/>
        </w:rPr>
        <w:t>nedostatků zjištěných pře</w:t>
      </w:r>
      <w:r w:rsidR="00D03ECF">
        <w:rPr>
          <w:rFonts w:asciiTheme="minorHAnsi" w:hAnsiTheme="minorHAnsi" w:cstheme="minorHAnsi"/>
          <w:b/>
          <w:sz w:val="24"/>
          <w:szCs w:val="24"/>
        </w:rPr>
        <w:t>d</w:t>
      </w:r>
      <w:r w:rsidRPr="00B319C9">
        <w:rPr>
          <w:rFonts w:asciiTheme="minorHAnsi" w:hAnsiTheme="minorHAnsi" w:cstheme="minorHAnsi"/>
          <w:b/>
          <w:sz w:val="24"/>
          <w:szCs w:val="24"/>
        </w:rPr>
        <w:t>chozí kontrolní akcí</w:t>
      </w:r>
      <w:r w:rsidR="00E92C13" w:rsidRPr="00B319C9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3"/>
      </w:r>
      <w:r w:rsidR="00D03ECF">
        <w:rPr>
          <w:rFonts w:asciiTheme="minorHAnsi" w:hAnsiTheme="minorHAnsi" w:cstheme="minorHAnsi"/>
          <w:b/>
          <w:sz w:val="24"/>
          <w:szCs w:val="24"/>
        </w:rPr>
        <w:t>,</w:t>
      </w:r>
      <w:r w:rsidR="00EB08CB" w:rsidRPr="00B319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3ECF">
        <w:rPr>
          <w:rFonts w:asciiTheme="minorHAnsi" w:hAnsiTheme="minorHAnsi" w:cstheme="minorHAnsi"/>
          <w:b/>
          <w:sz w:val="24"/>
          <w:szCs w:val="24"/>
        </w:rPr>
        <w:t xml:space="preserve">přičemž </w:t>
      </w:r>
      <w:r w:rsidRPr="00B319C9">
        <w:rPr>
          <w:rFonts w:asciiTheme="minorHAnsi" w:hAnsiTheme="minorHAnsi" w:cstheme="minorHAnsi"/>
          <w:b/>
          <w:sz w:val="24"/>
          <w:szCs w:val="24"/>
        </w:rPr>
        <w:t>zji</w:t>
      </w:r>
      <w:r w:rsidR="00D03ECF">
        <w:rPr>
          <w:rFonts w:asciiTheme="minorHAnsi" w:hAnsiTheme="minorHAnsi" w:cstheme="minorHAnsi"/>
          <w:b/>
          <w:sz w:val="24"/>
          <w:szCs w:val="24"/>
        </w:rPr>
        <w:t>stil</w:t>
      </w:r>
      <w:r w:rsidRPr="00B319C9">
        <w:rPr>
          <w:rFonts w:asciiTheme="minorHAnsi" w:hAnsiTheme="minorHAnsi" w:cstheme="minorHAnsi"/>
          <w:b/>
          <w:sz w:val="24"/>
          <w:szCs w:val="24"/>
        </w:rPr>
        <w:t>, že přetrvávají nedostatky v kontrolní činnosti RR</w:t>
      </w:r>
      <w:r w:rsidR="00D03ECF">
        <w:rPr>
          <w:rFonts w:asciiTheme="minorHAnsi" w:hAnsiTheme="minorHAnsi" w:cstheme="minorHAnsi"/>
          <w:b/>
          <w:sz w:val="24"/>
          <w:szCs w:val="24"/>
        </w:rPr>
        <w:t> </w:t>
      </w:r>
      <w:r w:rsidRPr="00B319C9">
        <w:rPr>
          <w:rFonts w:asciiTheme="minorHAnsi" w:hAnsiTheme="minorHAnsi" w:cstheme="minorHAnsi"/>
          <w:b/>
          <w:sz w:val="24"/>
          <w:szCs w:val="24"/>
        </w:rPr>
        <w:t>JZ.</w:t>
      </w:r>
    </w:p>
    <w:p w:rsidR="00E9085C" w:rsidRPr="00B319C9" w:rsidRDefault="00E9085C" w:rsidP="00E97406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E92C13" w:rsidRPr="000B7E80" w:rsidRDefault="00E97406" w:rsidP="00F82A32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B319C9">
        <w:rPr>
          <w:rFonts w:asciiTheme="minorHAnsi" w:hAnsiTheme="minorHAnsi" w:cstheme="minorHAnsi"/>
          <w:sz w:val="24"/>
          <w:szCs w:val="24"/>
        </w:rPr>
        <w:t>Kontrolou zjištěné skutečnosti, které dokumentují a doplňují výše uvedené vyhodnocení, jsou uvedeny v části III. tohoto kontrolního závěru.</w:t>
      </w:r>
    </w:p>
    <w:p w:rsidR="001D1E85" w:rsidRDefault="001D1E85" w:rsidP="00315E13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906B2" w:rsidRDefault="00A906B2" w:rsidP="00315E13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15E13" w:rsidRPr="00F82A32" w:rsidRDefault="00D3429A" w:rsidP="00315E13">
      <w:pPr>
        <w:spacing w:before="0"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2A32">
        <w:rPr>
          <w:rFonts w:asciiTheme="minorHAnsi" w:hAnsiTheme="minorHAnsi" w:cstheme="minorHAnsi"/>
          <w:b/>
          <w:sz w:val="26"/>
          <w:szCs w:val="26"/>
        </w:rPr>
        <w:t>I</w:t>
      </w:r>
      <w:r w:rsidR="00315E13" w:rsidRPr="00F82A32">
        <w:rPr>
          <w:rFonts w:asciiTheme="minorHAnsi" w:hAnsiTheme="minorHAnsi" w:cstheme="minorHAnsi"/>
          <w:b/>
          <w:sz w:val="26"/>
          <w:szCs w:val="26"/>
        </w:rPr>
        <w:t>I</w:t>
      </w:r>
      <w:r w:rsidR="00E97406" w:rsidRPr="00F82A32">
        <w:rPr>
          <w:rFonts w:asciiTheme="minorHAnsi" w:hAnsiTheme="minorHAnsi" w:cstheme="minorHAnsi"/>
          <w:b/>
          <w:sz w:val="26"/>
          <w:szCs w:val="26"/>
        </w:rPr>
        <w:t>I</w:t>
      </w:r>
      <w:r w:rsidR="00315E13" w:rsidRPr="00F82A32">
        <w:rPr>
          <w:rFonts w:asciiTheme="minorHAnsi" w:hAnsiTheme="minorHAnsi" w:cstheme="minorHAnsi"/>
          <w:b/>
          <w:sz w:val="26"/>
          <w:szCs w:val="26"/>
        </w:rPr>
        <w:t>. Skutečnosti zjištěné při kontrole</w:t>
      </w:r>
    </w:p>
    <w:p w:rsidR="00FC2330" w:rsidRDefault="00FC2330" w:rsidP="00FC2330">
      <w:pPr>
        <w:spacing w:before="0" w:after="0"/>
        <w:jc w:val="center"/>
        <w:rPr>
          <w:rFonts w:cs="Arial"/>
          <w:b/>
        </w:rPr>
      </w:pPr>
    </w:p>
    <w:p w:rsidR="00FC2330" w:rsidRPr="00F82A32" w:rsidRDefault="00FC2330" w:rsidP="00FC2330">
      <w:pPr>
        <w:spacing w:before="0"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82A32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Aktualizace metodiky </w:t>
      </w:r>
      <w:r w:rsidR="006C6546">
        <w:rPr>
          <w:rFonts w:asciiTheme="minorHAnsi" w:hAnsiTheme="minorHAnsi" w:cstheme="minorHAnsi"/>
          <w:b/>
          <w:sz w:val="24"/>
          <w:szCs w:val="24"/>
          <w:highlight w:val="lightGray"/>
        </w:rPr>
        <w:t>i</w:t>
      </w:r>
      <w:r w:rsidRPr="00F82A32">
        <w:rPr>
          <w:rFonts w:asciiTheme="minorHAnsi" w:hAnsiTheme="minorHAnsi" w:cstheme="minorHAnsi"/>
          <w:b/>
          <w:sz w:val="24"/>
          <w:szCs w:val="24"/>
          <w:highlight w:val="lightGray"/>
        </w:rPr>
        <w:t>ndikátorové soustavy</w:t>
      </w:r>
    </w:p>
    <w:p w:rsidR="00FC2330" w:rsidRPr="00F82A32" w:rsidRDefault="00FC2330" w:rsidP="00FC233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FC2330" w:rsidRPr="00F82A32" w:rsidRDefault="00FC2330" w:rsidP="00FC233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</w:pP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Ke sledování naplňování ROP JZ a </w:t>
      </w:r>
      <w:r w:rsidR="004C76CF">
        <w:rPr>
          <w:rFonts w:asciiTheme="minorHAnsi" w:eastAsiaTheme="minorHAnsi" w:hAnsiTheme="minorHAnsi" w:cstheme="minorHAnsi"/>
          <w:color w:val="000000"/>
          <w:sz w:val="24"/>
          <w:szCs w:val="24"/>
        </w:rPr>
        <w:t>k </w:t>
      </w: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>hodnocení projektů včetně stanovení jejich optimálních rozpočtů vypracovala RR</w:t>
      </w:r>
      <w:r w:rsidR="0078401D">
        <w:rPr>
          <w:rFonts w:asciiTheme="minorHAnsi" w:eastAsiaTheme="minorHAnsi" w:hAnsiTheme="minorHAnsi" w:cstheme="minorHAnsi"/>
          <w:color w:val="000000"/>
          <w:sz w:val="24"/>
          <w:szCs w:val="24"/>
        </w:rPr>
        <w:t> </w:t>
      </w: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JZ metodický pokyn </w:t>
      </w:r>
      <w:r w:rsidRPr="00F82A32"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>Indikátorová soustava</w:t>
      </w:r>
      <w:r w:rsidRPr="006C6546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který obsahoval ucelený přehled indikátorů </w:t>
      </w:r>
      <w:r w:rsidR="007E613A"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(monitorovacích ukazatelů) </w:t>
      </w: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vztažených </w:t>
      </w:r>
      <w:r w:rsidR="004C76CF">
        <w:rPr>
          <w:rFonts w:asciiTheme="minorHAnsi" w:eastAsiaTheme="minorHAnsi" w:hAnsiTheme="minorHAnsi" w:cstheme="minorHAnsi"/>
          <w:color w:val="000000"/>
          <w:sz w:val="24"/>
          <w:szCs w:val="24"/>
        </w:rPr>
        <w:t>k </w:t>
      </w: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ROP JZ, jejich definice, množstevní hodnoty a jednotkové ceny. </w:t>
      </w:r>
    </w:p>
    <w:p w:rsidR="00A906B2" w:rsidRDefault="00A906B2" w:rsidP="00191D7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FC2330" w:rsidRPr="00F82A32" w:rsidRDefault="00FC2330" w:rsidP="00191D7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Indikátory pro každou oblast podpory byly ve výše uvedeném metodickém pokynu sestaveny </w:t>
      </w:r>
      <w:r w:rsidR="004C76CF">
        <w:rPr>
          <w:rFonts w:asciiTheme="minorHAnsi" w:eastAsiaTheme="minorHAnsi" w:hAnsiTheme="minorHAnsi" w:cstheme="minorHAnsi"/>
          <w:color w:val="000000"/>
          <w:sz w:val="24"/>
          <w:szCs w:val="24"/>
        </w:rPr>
        <w:t>v </w:t>
      </w:r>
      <w:r w:rsidRPr="00F82A32">
        <w:rPr>
          <w:rFonts w:asciiTheme="minorHAnsi" w:eastAsiaTheme="minorHAnsi" w:hAnsiTheme="minorHAnsi" w:cstheme="minorHAnsi"/>
          <w:color w:val="000000"/>
          <w:sz w:val="24"/>
          <w:szCs w:val="24"/>
        </w:rPr>
        <w:t>tabulce, která mj. obsahovala název indikátoru, jednotky, počáteční hodnotu (množstevní), konečnou hodnotu (množstevní), cenu za jednotku a cenu celkem za počet jednotek. Pro kontrolované projekty byly významnými indikátory:</w:t>
      </w:r>
    </w:p>
    <w:p w:rsidR="006C6546" w:rsidRPr="00191D70" w:rsidRDefault="006C6546" w:rsidP="00191D7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91D70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i/>
          <w:sz w:val="24"/>
          <w:szCs w:val="24"/>
        </w:rPr>
        <w:t>p</w:t>
      </w:r>
      <w:r w:rsidR="00FC2330" w:rsidRPr="00F82A32">
        <w:rPr>
          <w:rFonts w:asciiTheme="minorHAnsi" w:hAnsiTheme="minorHAnsi" w:cstheme="minorHAnsi"/>
          <w:i/>
          <w:sz w:val="24"/>
          <w:szCs w:val="24"/>
        </w:rPr>
        <w:t>očet pořízeného zdravotnického vybavení</w:t>
      </w:r>
      <w:r w:rsidRPr="00191D70">
        <w:rPr>
          <w:rFonts w:asciiTheme="minorHAnsi" w:hAnsiTheme="minorHAnsi" w:cstheme="minorHAnsi"/>
          <w:sz w:val="24"/>
          <w:szCs w:val="24"/>
        </w:rPr>
        <w:t>“</w:t>
      </w:r>
      <w:r w:rsidR="00FC2330" w:rsidRPr="00191D70">
        <w:rPr>
          <w:rFonts w:asciiTheme="minorHAnsi" w:hAnsiTheme="minorHAnsi" w:cstheme="minorHAnsi"/>
          <w:sz w:val="24"/>
          <w:szCs w:val="24"/>
        </w:rPr>
        <w:t>,</w:t>
      </w:r>
      <w:r w:rsidR="00FC2330" w:rsidRPr="00F82A3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C2330" w:rsidRPr="00F82A32">
        <w:rPr>
          <w:rFonts w:asciiTheme="minorHAnsi" w:hAnsiTheme="minorHAnsi" w:cstheme="minorHAnsi"/>
          <w:sz w:val="24"/>
          <w:szCs w:val="24"/>
        </w:rPr>
        <w:t xml:space="preserve">resp. </w:t>
      </w:r>
      <w:r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i/>
          <w:sz w:val="24"/>
          <w:szCs w:val="24"/>
          <w:lang w:eastAsia="cs-CZ"/>
        </w:rPr>
        <w:t>p</w:t>
      </w:r>
      <w:r w:rsidR="00FC2330"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očet zdravotnických </w:t>
      </w:r>
    </w:p>
    <w:p w:rsidR="00FC2330" w:rsidRPr="00F82A32" w:rsidRDefault="00FC2330" w:rsidP="00191D70">
      <w:pPr>
        <w:pStyle w:val="Odstavecseseznamem"/>
        <w:autoSpaceDE w:val="0"/>
        <w:autoSpaceDN w:val="0"/>
        <w:adjustRightInd w:val="0"/>
        <w:spacing w:before="0" w:after="0"/>
        <w:ind w:left="822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zařízení </w:t>
      </w:r>
      <w:r w:rsidR="00CA50C5">
        <w:rPr>
          <w:rFonts w:asciiTheme="minorHAnsi" w:hAnsiTheme="minorHAnsi" w:cstheme="minorHAnsi"/>
          <w:i/>
          <w:sz w:val="24"/>
          <w:szCs w:val="24"/>
          <w:lang w:eastAsia="cs-CZ"/>
        </w:rPr>
        <w:t>–</w:t>
      </w:r>
      <w:r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přístrojové vybavení</w:t>
      </w:r>
      <w:r w:rsidR="006C6546" w:rsidRPr="00191D70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="006C6546">
        <w:rPr>
          <w:rFonts w:asciiTheme="minorHAnsi" w:hAnsiTheme="minorHAnsi" w:cstheme="minorHAnsi"/>
          <w:sz w:val="24"/>
          <w:szCs w:val="24"/>
          <w:lang w:eastAsia="cs-CZ"/>
        </w:rPr>
        <w:t>,</w:t>
      </w:r>
    </w:p>
    <w:p w:rsidR="00FC2330" w:rsidRPr="00191D70" w:rsidRDefault="006C6546" w:rsidP="00191D70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 w:after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91D70">
        <w:rPr>
          <w:rFonts w:asciiTheme="minorHAnsi" w:hAnsiTheme="minorHAnsi" w:cstheme="minorHAnsi"/>
          <w:bCs/>
          <w:sz w:val="24"/>
          <w:szCs w:val="24"/>
        </w:rPr>
        <w:t>„</w:t>
      </w:r>
      <w:r>
        <w:rPr>
          <w:rFonts w:asciiTheme="minorHAnsi" w:hAnsiTheme="minorHAnsi" w:cstheme="minorHAnsi"/>
          <w:bCs/>
          <w:i/>
          <w:sz w:val="24"/>
          <w:szCs w:val="24"/>
        </w:rPr>
        <w:t>p</w:t>
      </w:r>
      <w:r w:rsidR="00FC2330" w:rsidRPr="00F82A32">
        <w:rPr>
          <w:rFonts w:asciiTheme="minorHAnsi" w:hAnsiTheme="minorHAnsi" w:cstheme="minorHAnsi"/>
          <w:bCs/>
          <w:i/>
          <w:sz w:val="24"/>
          <w:szCs w:val="24"/>
        </w:rPr>
        <w:t>locha nově vybudovaných objektů – zdravotnictví</w:t>
      </w:r>
      <w:r>
        <w:rPr>
          <w:rFonts w:asciiTheme="minorHAnsi" w:hAnsiTheme="minorHAnsi" w:cstheme="minorHAnsi"/>
          <w:bCs/>
          <w:sz w:val="24"/>
          <w:szCs w:val="24"/>
        </w:rPr>
        <w:t>“.</w:t>
      </w:r>
    </w:p>
    <w:p w:rsidR="00A906B2" w:rsidRDefault="00A906B2" w:rsidP="00191D70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:rsidR="00FC2330" w:rsidRDefault="006C6546" w:rsidP="00191D70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V</w:t>
      </w:r>
      <w:r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erze 2.0 </w:t>
      </w:r>
      <w:r w:rsidR="00FC2330"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>Indikátorov</w:t>
      </w:r>
      <w:r>
        <w:rPr>
          <w:rFonts w:asciiTheme="minorHAnsi" w:hAnsiTheme="minorHAnsi" w:cstheme="minorHAnsi"/>
          <w:i/>
          <w:sz w:val="24"/>
          <w:szCs w:val="24"/>
          <w:lang w:eastAsia="cs-CZ"/>
        </w:rPr>
        <w:t>é</w:t>
      </w:r>
      <w:r w:rsidR="00FC2330"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soustav</w:t>
      </w:r>
      <w:r>
        <w:rPr>
          <w:rFonts w:asciiTheme="minorHAnsi" w:hAnsiTheme="minorHAnsi" w:cstheme="minorHAnsi"/>
          <w:i/>
          <w:sz w:val="24"/>
          <w:szCs w:val="24"/>
          <w:lang w:eastAsia="cs-CZ"/>
        </w:rPr>
        <w:t>y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platná 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>ke dni 1. 8. 2008 stanovil</w:t>
      </w:r>
      <w:r>
        <w:rPr>
          <w:rFonts w:asciiTheme="minorHAnsi" w:hAnsiTheme="minorHAnsi" w:cstheme="minorHAnsi"/>
          <w:sz w:val="24"/>
          <w:szCs w:val="24"/>
          <w:lang w:eastAsia="cs-CZ"/>
        </w:rPr>
        <w:t>a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 pro potřeby výpočtu optimálního rozpočtu, který RR</w:t>
      </w:r>
      <w:r w:rsidR="0078401D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JZ využívala pro věcné hodnocení projektů, jednotkovou cenu indikátoru </w:t>
      </w:r>
      <w:r>
        <w:rPr>
          <w:rFonts w:asciiTheme="minorHAnsi" w:hAnsiTheme="minorHAnsi" w:cstheme="minorHAnsi"/>
          <w:sz w:val="24"/>
          <w:szCs w:val="24"/>
          <w:lang w:eastAsia="cs-CZ"/>
        </w:rPr>
        <w:t>„</w:t>
      </w:r>
      <w:r>
        <w:rPr>
          <w:rFonts w:asciiTheme="minorHAnsi" w:hAnsiTheme="minorHAnsi" w:cstheme="minorHAnsi"/>
          <w:i/>
          <w:sz w:val="24"/>
          <w:szCs w:val="24"/>
          <w:lang w:eastAsia="cs-CZ"/>
        </w:rPr>
        <w:t>p</w:t>
      </w:r>
      <w:r w:rsidR="00FC2330"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>očet zdravotnických zařízení – přístrojové vybavení</w:t>
      </w:r>
      <w:r w:rsidRPr="00191D70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7E613A" w:rsidRPr="00F82A32">
        <w:rPr>
          <w:rFonts w:asciiTheme="minorHAnsi" w:hAnsiTheme="minorHAnsi" w:cstheme="minorHAnsi"/>
          <w:sz w:val="24"/>
          <w:szCs w:val="24"/>
          <w:lang w:eastAsia="cs-CZ"/>
        </w:rPr>
        <w:t>ve výši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FC2330" w:rsidRPr="00F82A32">
        <w:rPr>
          <w:rFonts w:asciiTheme="minorHAnsi" w:hAnsiTheme="minorHAnsi" w:cstheme="minorHAnsi"/>
          <w:b/>
          <w:sz w:val="24"/>
          <w:szCs w:val="24"/>
          <w:lang w:eastAsia="cs-CZ"/>
        </w:rPr>
        <w:t>328 000 Kč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</w:p>
    <w:p w:rsidR="00A906B2" w:rsidRPr="00F82A32" w:rsidRDefault="00A906B2" w:rsidP="00191D70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:rsidR="00FC2330" w:rsidRDefault="007E613A" w:rsidP="00191D70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F82A32">
        <w:rPr>
          <w:rFonts w:asciiTheme="minorHAnsi" w:hAnsiTheme="minorHAnsi" w:cstheme="minorHAnsi"/>
          <w:sz w:val="24"/>
          <w:szCs w:val="24"/>
          <w:lang w:eastAsia="cs-CZ"/>
        </w:rPr>
        <w:t>P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odle verze 4.0 </w:t>
      </w:r>
      <w:r w:rsidR="006C6546"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>Indikátorov</w:t>
      </w:r>
      <w:r w:rsidR="006C6546">
        <w:rPr>
          <w:rFonts w:asciiTheme="minorHAnsi" w:hAnsiTheme="minorHAnsi" w:cstheme="minorHAnsi"/>
          <w:i/>
          <w:sz w:val="24"/>
          <w:szCs w:val="24"/>
          <w:lang w:eastAsia="cs-CZ"/>
        </w:rPr>
        <w:t>é</w:t>
      </w:r>
      <w:r w:rsidR="006C6546"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soustav</w:t>
      </w:r>
      <w:r w:rsidR="006C6546">
        <w:rPr>
          <w:rFonts w:asciiTheme="minorHAnsi" w:hAnsiTheme="minorHAnsi" w:cstheme="minorHAnsi"/>
          <w:i/>
          <w:sz w:val="24"/>
          <w:szCs w:val="24"/>
          <w:lang w:eastAsia="cs-CZ"/>
        </w:rPr>
        <w:t>y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 platné ke dni 1. 7. 2009 </w:t>
      </w:r>
      <w:r w:rsidRPr="00F82A32">
        <w:rPr>
          <w:rFonts w:asciiTheme="minorHAnsi" w:hAnsiTheme="minorHAnsi" w:cstheme="minorHAnsi"/>
          <w:sz w:val="24"/>
          <w:szCs w:val="24"/>
          <w:lang w:eastAsia="cs-CZ"/>
        </w:rPr>
        <w:t xml:space="preserve">činila jednotková cena indikátoru </w:t>
      </w:r>
      <w:r w:rsidR="006C6546">
        <w:rPr>
          <w:rFonts w:asciiTheme="minorHAnsi" w:hAnsiTheme="minorHAnsi" w:cstheme="minorHAnsi"/>
          <w:sz w:val="24"/>
          <w:szCs w:val="24"/>
          <w:lang w:eastAsia="cs-CZ"/>
        </w:rPr>
        <w:t>„</w:t>
      </w:r>
      <w:r w:rsidR="006C6546">
        <w:rPr>
          <w:rFonts w:asciiTheme="minorHAnsi" w:hAnsiTheme="minorHAnsi" w:cstheme="minorHAnsi"/>
          <w:i/>
          <w:sz w:val="24"/>
          <w:szCs w:val="24"/>
          <w:lang w:eastAsia="cs-CZ"/>
        </w:rPr>
        <w:t>p</w:t>
      </w:r>
      <w:r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>očet zdravotnických zařízení – přístrojové vybavení</w:t>
      </w:r>
      <w:r w:rsidR="006C6546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</w:t>
      </w:r>
      <w:r w:rsidRPr="00F82A32">
        <w:rPr>
          <w:rFonts w:asciiTheme="minorHAnsi" w:hAnsiTheme="minorHAnsi" w:cstheme="minorHAnsi"/>
          <w:sz w:val="24"/>
          <w:szCs w:val="24"/>
          <w:lang w:eastAsia="cs-CZ"/>
        </w:rPr>
        <w:t>již</w:t>
      </w:r>
      <w:r w:rsidR="00FC2330" w:rsidRPr="00F82A32">
        <w:rPr>
          <w:rFonts w:asciiTheme="minorHAnsi" w:hAnsiTheme="minorHAnsi" w:cstheme="minorHAnsi"/>
          <w:sz w:val="24"/>
          <w:szCs w:val="24"/>
        </w:rPr>
        <w:t xml:space="preserve"> </w:t>
      </w:r>
      <w:r w:rsidR="00FC2330" w:rsidRPr="00F82A32">
        <w:rPr>
          <w:rFonts w:asciiTheme="minorHAnsi" w:hAnsiTheme="minorHAnsi" w:cstheme="minorHAnsi"/>
          <w:b/>
          <w:sz w:val="24"/>
          <w:szCs w:val="24"/>
        </w:rPr>
        <w:t>2</w:t>
      </w:r>
      <w:r w:rsidR="005479AB" w:rsidRPr="00F82A32">
        <w:rPr>
          <w:rFonts w:asciiTheme="minorHAnsi" w:hAnsiTheme="minorHAnsi" w:cstheme="minorHAnsi"/>
          <w:b/>
          <w:sz w:val="24"/>
          <w:szCs w:val="24"/>
        </w:rPr>
        <w:t> </w:t>
      </w:r>
      <w:r w:rsidR="00FC2330" w:rsidRPr="00F82A32">
        <w:rPr>
          <w:rFonts w:asciiTheme="minorHAnsi" w:hAnsiTheme="minorHAnsi" w:cstheme="minorHAnsi"/>
          <w:b/>
          <w:sz w:val="24"/>
          <w:szCs w:val="24"/>
        </w:rPr>
        <w:t>128</w:t>
      </w:r>
      <w:r w:rsidR="005479AB" w:rsidRPr="00F82A32">
        <w:rPr>
          <w:rFonts w:asciiTheme="minorHAnsi" w:hAnsiTheme="minorHAnsi" w:cstheme="minorHAnsi"/>
          <w:b/>
          <w:sz w:val="24"/>
          <w:szCs w:val="24"/>
        </w:rPr>
        <w:t> </w:t>
      </w:r>
      <w:r w:rsidR="00FC2330" w:rsidRPr="00F82A32">
        <w:rPr>
          <w:rFonts w:asciiTheme="minorHAnsi" w:hAnsiTheme="minorHAnsi" w:cstheme="minorHAnsi"/>
          <w:b/>
          <w:sz w:val="24"/>
          <w:szCs w:val="24"/>
        </w:rPr>
        <w:t>000 Kč</w:t>
      </w:r>
      <w:r w:rsidR="00FC2330" w:rsidRPr="00F82A32">
        <w:rPr>
          <w:rFonts w:asciiTheme="minorHAnsi" w:hAnsiTheme="minorHAnsi" w:cstheme="minorHAnsi"/>
          <w:sz w:val="24"/>
          <w:szCs w:val="24"/>
        </w:rPr>
        <w:t>.</w:t>
      </w:r>
    </w:p>
    <w:p w:rsidR="00A906B2" w:rsidRPr="00F82A32" w:rsidRDefault="00A906B2" w:rsidP="00191D70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FC2330" w:rsidRDefault="005479AB" w:rsidP="00191D70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  <w:r w:rsidRPr="00F82A32">
        <w:rPr>
          <w:rFonts w:asciiTheme="minorHAnsi" w:hAnsiTheme="minorHAnsi" w:cstheme="minorHAnsi"/>
          <w:sz w:val="24"/>
          <w:szCs w:val="24"/>
          <w:lang w:eastAsia="cs-CZ"/>
        </w:rPr>
        <w:t>J</w:t>
      </w:r>
      <w:r w:rsidR="00FC2330" w:rsidRPr="00F82A32">
        <w:rPr>
          <w:rFonts w:asciiTheme="minorHAnsi" w:hAnsiTheme="minorHAnsi" w:cstheme="minorHAnsi"/>
          <w:sz w:val="24"/>
          <w:szCs w:val="24"/>
          <w:lang w:eastAsia="cs-CZ"/>
        </w:rPr>
        <w:t>ednotková cena indikátoru tak zaznamenala téměř sedminásobný nárůst v průběhu jednoho roku.</w:t>
      </w:r>
    </w:p>
    <w:p w:rsidR="00A906B2" w:rsidRPr="00F82A32" w:rsidRDefault="00A906B2" w:rsidP="00191D70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:rsidR="00DB316A" w:rsidRPr="00F82A32" w:rsidRDefault="00DB316A" w:rsidP="00191D70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F82A32">
        <w:rPr>
          <w:rFonts w:asciiTheme="minorHAnsi" w:hAnsiTheme="minorHAnsi" w:cstheme="minorHAnsi"/>
          <w:sz w:val="24"/>
          <w:szCs w:val="24"/>
        </w:rPr>
        <w:t xml:space="preserve">NKÚ </w:t>
      </w:r>
      <w:r w:rsidR="00067114" w:rsidRPr="00F82A32">
        <w:rPr>
          <w:rFonts w:asciiTheme="minorHAnsi" w:hAnsiTheme="minorHAnsi" w:cstheme="minorHAnsi"/>
          <w:sz w:val="24"/>
          <w:szCs w:val="24"/>
        </w:rPr>
        <w:t xml:space="preserve">dále </w:t>
      </w:r>
      <w:r w:rsidRPr="00F82A32">
        <w:rPr>
          <w:rFonts w:asciiTheme="minorHAnsi" w:hAnsiTheme="minorHAnsi" w:cstheme="minorHAnsi"/>
          <w:sz w:val="24"/>
          <w:szCs w:val="24"/>
        </w:rPr>
        <w:t xml:space="preserve">zjistil, že jednotková cena indikátoru </w:t>
      </w:r>
      <w:r w:rsidR="003E4111">
        <w:rPr>
          <w:rFonts w:asciiTheme="minorHAnsi" w:hAnsiTheme="minorHAnsi" w:cstheme="minorHAnsi"/>
          <w:sz w:val="24"/>
          <w:szCs w:val="24"/>
        </w:rPr>
        <w:t>„</w:t>
      </w:r>
      <w:r w:rsidR="003E4111">
        <w:rPr>
          <w:rFonts w:asciiTheme="minorHAnsi" w:hAnsiTheme="minorHAnsi" w:cstheme="minorHAnsi"/>
          <w:i/>
          <w:sz w:val="24"/>
          <w:szCs w:val="24"/>
        </w:rPr>
        <w:t>p</w:t>
      </w:r>
      <w:r w:rsidRPr="00F82A32">
        <w:rPr>
          <w:rFonts w:asciiTheme="minorHAnsi" w:hAnsiTheme="minorHAnsi" w:cstheme="minorHAnsi"/>
          <w:i/>
          <w:sz w:val="24"/>
          <w:szCs w:val="24"/>
        </w:rPr>
        <w:t>očet zdravotnických zařízení – přístrojové vybavení</w:t>
      </w:r>
      <w:r w:rsidR="003E4111" w:rsidRPr="00A10175">
        <w:rPr>
          <w:rFonts w:asciiTheme="minorHAnsi" w:hAnsiTheme="minorHAnsi" w:cstheme="minorHAnsi"/>
          <w:sz w:val="24"/>
          <w:szCs w:val="24"/>
        </w:rPr>
        <w:t>“</w:t>
      </w:r>
      <w:r w:rsidRPr="00F82A3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F82A32">
        <w:rPr>
          <w:rFonts w:asciiTheme="minorHAnsi" w:hAnsiTheme="minorHAnsi" w:cstheme="minorHAnsi"/>
          <w:sz w:val="24"/>
          <w:szCs w:val="24"/>
        </w:rPr>
        <w:t>byla stanovena nereálně.</w:t>
      </w:r>
    </w:p>
    <w:p w:rsidR="00A906B2" w:rsidRDefault="00A906B2" w:rsidP="00191D70">
      <w:pPr>
        <w:pStyle w:val="Odstavecseseznamem"/>
        <w:spacing w:before="0" w:after="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360DC5" w:rsidRPr="00B33859" w:rsidRDefault="00FC2330" w:rsidP="00191D70">
      <w:pPr>
        <w:pStyle w:val="Odstavecseseznamem"/>
        <w:spacing w:before="0" w:after="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F82A32">
        <w:rPr>
          <w:rFonts w:asciiTheme="minorHAnsi" w:hAnsiTheme="minorHAnsi" w:cstheme="minorHAnsi"/>
          <w:sz w:val="24"/>
          <w:szCs w:val="24"/>
        </w:rPr>
        <w:t xml:space="preserve">Tabulka č. 3 zobrazuje vývoj množstevní a cenové hladiny indikátoru </w:t>
      </w:r>
      <w:r w:rsidR="003E4111">
        <w:rPr>
          <w:rFonts w:asciiTheme="minorHAnsi" w:hAnsiTheme="minorHAnsi" w:cstheme="minorHAnsi"/>
          <w:sz w:val="24"/>
          <w:szCs w:val="24"/>
        </w:rPr>
        <w:t>„</w:t>
      </w:r>
      <w:r w:rsidR="003E4111">
        <w:rPr>
          <w:rFonts w:asciiTheme="minorHAnsi" w:hAnsiTheme="minorHAnsi" w:cstheme="minorHAnsi"/>
          <w:i/>
          <w:sz w:val="24"/>
          <w:szCs w:val="24"/>
          <w:lang w:eastAsia="cs-CZ"/>
        </w:rPr>
        <w:t>p</w:t>
      </w:r>
      <w:r w:rsidRPr="00F82A32">
        <w:rPr>
          <w:rFonts w:asciiTheme="minorHAnsi" w:hAnsiTheme="minorHAnsi" w:cstheme="minorHAnsi"/>
          <w:i/>
          <w:sz w:val="24"/>
          <w:szCs w:val="24"/>
          <w:lang w:eastAsia="cs-CZ"/>
        </w:rPr>
        <w:t>očet zdravotnických zařízení – přístrojové vybavení</w:t>
      </w:r>
      <w:r w:rsidR="003E4111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Pr="00F82A32">
        <w:rPr>
          <w:rFonts w:asciiTheme="minorHAnsi" w:hAnsiTheme="minorHAnsi" w:cstheme="minorHAnsi"/>
          <w:sz w:val="24"/>
          <w:szCs w:val="24"/>
        </w:rPr>
        <w:t xml:space="preserve"> u</w:t>
      </w:r>
      <w:r w:rsidR="003E4111">
        <w:rPr>
          <w:rFonts w:asciiTheme="minorHAnsi" w:hAnsiTheme="minorHAnsi" w:cstheme="minorHAnsi"/>
          <w:sz w:val="24"/>
          <w:szCs w:val="24"/>
        </w:rPr>
        <w:t xml:space="preserve"> </w:t>
      </w:r>
      <w:r w:rsidRPr="00F82A32">
        <w:rPr>
          <w:rFonts w:asciiTheme="minorHAnsi" w:hAnsiTheme="minorHAnsi" w:cstheme="minorHAnsi"/>
          <w:sz w:val="24"/>
          <w:szCs w:val="24"/>
        </w:rPr>
        <w:t xml:space="preserve">vybraných projektů podle jednotlivých znění metodického pokynu </w:t>
      </w:r>
      <w:r w:rsidRPr="00A10175">
        <w:rPr>
          <w:rFonts w:asciiTheme="minorHAnsi" w:hAnsiTheme="minorHAnsi" w:cstheme="minorHAnsi"/>
          <w:i/>
          <w:sz w:val="24"/>
          <w:szCs w:val="24"/>
        </w:rPr>
        <w:t>Indikátorová soustava</w:t>
      </w:r>
      <w:r w:rsidRPr="00F82A32">
        <w:rPr>
          <w:rFonts w:asciiTheme="minorHAnsi" w:hAnsiTheme="minorHAnsi" w:cstheme="minorHAnsi"/>
          <w:sz w:val="24"/>
          <w:szCs w:val="24"/>
        </w:rPr>
        <w:t xml:space="preserve"> a srovnání se</w:t>
      </w:r>
      <w:r w:rsidR="00B33859">
        <w:rPr>
          <w:rFonts w:asciiTheme="minorHAnsi" w:hAnsiTheme="minorHAnsi" w:cstheme="minorHAnsi"/>
          <w:sz w:val="24"/>
          <w:szCs w:val="24"/>
        </w:rPr>
        <w:t xml:space="preserve"> skutečně vynaloženými náklady.</w:t>
      </w:r>
    </w:p>
    <w:p w:rsidR="00B33859" w:rsidRDefault="00B33859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</w:p>
    <w:p w:rsidR="00FC2330" w:rsidRPr="00F82A32" w:rsidRDefault="00FC2330" w:rsidP="00A10175">
      <w:pPr>
        <w:pStyle w:val="Odstavecseseznamem"/>
        <w:spacing w:before="0" w:after="0"/>
        <w:ind w:left="0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F82A32">
        <w:rPr>
          <w:rFonts w:asciiTheme="minorHAnsi" w:hAnsiTheme="minorHAnsi" w:cstheme="minorHAnsi"/>
          <w:b/>
          <w:sz w:val="24"/>
          <w:szCs w:val="24"/>
        </w:rPr>
        <w:t>Tabulka č. 3 – Porovnání indikátorů se skutečně vynaloženými náklady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1"/>
        <w:gridCol w:w="1831"/>
        <w:gridCol w:w="1832"/>
        <w:gridCol w:w="1831"/>
        <w:gridCol w:w="1832"/>
      </w:tblGrid>
      <w:tr w:rsidR="00136B9B" w:rsidRPr="003D04CD" w:rsidTr="00136B9B">
        <w:trPr>
          <w:trHeight w:val="131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C2330" w:rsidRPr="005A1843" w:rsidRDefault="00FC2330" w:rsidP="00136B9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Příjemce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2330" w:rsidRPr="005A1843" w:rsidRDefault="00FC2330" w:rsidP="00136B9B">
            <w:pPr>
              <w:spacing w:befor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Počet </w:t>
            </w:r>
            <w:r w:rsidR="005479AB"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jednotek 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indikátor</w:t>
            </w:r>
            <w:r w:rsidR="005479AB"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u</w:t>
            </w:r>
            <w:r w:rsidR="00603058" w:rsidRPr="00A1017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  <w:lang w:eastAsia="cs-CZ"/>
              </w:rPr>
              <w:t xml:space="preserve"> 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603058" w:rsidRPr="00A1017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  <w:lang w:eastAsia="cs-CZ"/>
              </w:rPr>
              <w:t xml:space="preserve"> 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2330" w:rsidRPr="005A1843" w:rsidRDefault="00FC2330" w:rsidP="00A10175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Cena</w:t>
            </w:r>
            <w:r w:rsidR="005479AB"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 pořízeného majetku při jednotkové ceně indikátoru 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328</w:t>
            </w:r>
            <w:r w:rsidR="0060305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000 Kč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2330" w:rsidRPr="005A1843" w:rsidRDefault="00FC2330" w:rsidP="00A10175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Cena </w:t>
            </w:r>
            <w:r w:rsidR="005479AB"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pořízeného majetku při jednotkové ceně indikátoru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 2</w:t>
            </w:r>
            <w:r w:rsidR="0060305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128</w:t>
            </w:r>
            <w:r w:rsidR="0060305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000</w:t>
            </w:r>
            <w:r w:rsidR="0060305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 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C2330" w:rsidRPr="005A1843" w:rsidRDefault="00FC2330" w:rsidP="00136B9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Skutečná cena za pořízené </w:t>
            </w:r>
            <w:r w:rsidR="00136B9B"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zdravotnické vybavení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0305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(</w:t>
            </w:r>
            <w:r w:rsidR="004C76CF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v </w:t>
            </w:r>
            <w:r w:rsidRPr="005A184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Kč</w:t>
            </w:r>
            <w:r w:rsidR="0060305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C2330" w:rsidRPr="003D04CD" w:rsidTr="00136B9B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PRIVAMED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256/žádost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83 968 000,00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2330" w:rsidRPr="003D04CD" w:rsidTr="00136B9B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33/smlouva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70 224 000,00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20 800 000,00</w:t>
            </w:r>
          </w:p>
        </w:tc>
      </w:tr>
      <w:tr w:rsidR="00FC2330" w:rsidRPr="003D04CD" w:rsidTr="00136B9B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 (porodnice)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129/smlouva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42 312 000,00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2330" w:rsidRPr="003D04CD" w:rsidTr="00136B9B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181/dodatek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59 368 000,00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46 214 000,00</w:t>
            </w:r>
          </w:p>
        </w:tc>
      </w:tr>
      <w:tr w:rsidR="00FC2330" w:rsidRPr="003D04CD" w:rsidTr="00136B9B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8B64E6">
            <w:pPr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Tábor (</w:t>
            </w:r>
            <w:proofErr w:type="spellStart"/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intenz</w:t>
            </w:r>
            <w:proofErr w:type="spellEnd"/>
            <w:r w:rsidR="008B64E6"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.</w:t>
            </w: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 péče)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124/smlouva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263 872 000,00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2330" w:rsidRPr="003D04CD" w:rsidTr="00136B9B">
        <w:trPr>
          <w:trHeight w:val="30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122/dodatek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259 616 000,00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330" w:rsidRPr="005A1843" w:rsidRDefault="00FC2330" w:rsidP="00FF1191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A18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22 151 000,00</w:t>
            </w:r>
          </w:p>
        </w:tc>
      </w:tr>
    </w:tbl>
    <w:p w:rsidR="00FC2330" w:rsidRPr="005A1843" w:rsidRDefault="00FC2330" w:rsidP="00A10175">
      <w:pPr>
        <w:spacing w:before="0" w:after="0"/>
        <w:rPr>
          <w:rFonts w:asciiTheme="minorHAnsi" w:hAnsiTheme="minorHAnsi" w:cstheme="minorHAnsi"/>
          <w:sz w:val="20"/>
          <w:szCs w:val="20"/>
        </w:rPr>
      </w:pPr>
      <w:r w:rsidRPr="005A1843">
        <w:rPr>
          <w:rFonts w:asciiTheme="minorHAnsi" w:hAnsiTheme="minorHAnsi" w:cstheme="minorHAnsi"/>
          <w:b/>
          <w:sz w:val="20"/>
          <w:szCs w:val="20"/>
        </w:rPr>
        <w:t>Zdroj:</w:t>
      </w:r>
      <w:r w:rsidRPr="005A1843">
        <w:rPr>
          <w:rFonts w:asciiTheme="minorHAnsi" w:hAnsiTheme="minorHAnsi" w:cstheme="minorHAnsi"/>
          <w:sz w:val="20"/>
          <w:szCs w:val="20"/>
        </w:rPr>
        <w:t xml:space="preserve"> </w:t>
      </w:r>
      <w:r w:rsidR="00603058">
        <w:rPr>
          <w:rFonts w:asciiTheme="minorHAnsi" w:hAnsiTheme="minorHAnsi" w:cstheme="minorHAnsi"/>
          <w:sz w:val="20"/>
          <w:szCs w:val="20"/>
        </w:rPr>
        <w:t>m</w:t>
      </w:r>
      <w:r w:rsidRPr="005A1843">
        <w:rPr>
          <w:rFonts w:asciiTheme="minorHAnsi" w:hAnsiTheme="minorHAnsi" w:cstheme="minorHAnsi"/>
          <w:sz w:val="20"/>
          <w:szCs w:val="20"/>
        </w:rPr>
        <w:t>etodické pokyny, žádosti o poskytnutí dotace, smlouvy o poskytnutí dotace</w:t>
      </w:r>
      <w:r w:rsidR="005A1843">
        <w:rPr>
          <w:rFonts w:asciiTheme="minorHAnsi" w:hAnsiTheme="minorHAnsi" w:cstheme="minorHAnsi"/>
          <w:sz w:val="20"/>
          <w:szCs w:val="20"/>
        </w:rPr>
        <w:t>.</w:t>
      </w:r>
    </w:p>
    <w:p w:rsidR="00A906B2" w:rsidRDefault="00A906B2" w:rsidP="00A10175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FC2330" w:rsidRDefault="004C76CF" w:rsidP="00A10175">
      <w:p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 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uvedené tabulky vyplývá, že např. v době </w:t>
      </w:r>
      <w:r w:rsidR="00766A7F" w:rsidRPr="005A1843">
        <w:rPr>
          <w:rFonts w:asciiTheme="minorHAnsi" w:hAnsiTheme="minorHAnsi" w:cstheme="minorHAnsi"/>
          <w:sz w:val="24"/>
          <w:szCs w:val="24"/>
        </w:rPr>
        <w:t xml:space="preserve">předložení 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žádosti o poskytnutí dotace společností PRIVAMED v roce 2008 při počtu 256 jednotek indikátoru byla optimální cena 83 968 000 Kč, po změně počtu jednotek na 33 </w:t>
      </w:r>
      <w:r w:rsidR="00DB316A" w:rsidRPr="005A1843">
        <w:rPr>
          <w:rFonts w:asciiTheme="minorHAnsi" w:hAnsiTheme="minorHAnsi" w:cstheme="minorHAnsi"/>
          <w:sz w:val="24"/>
          <w:szCs w:val="24"/>
        </w:rPr>
        <w:t>stanovených ve smlouvě</w:t>
      </w:r>
      <w:r w:rsidR="00A95D75" w:rsidRPr="005A1843">
        <w:rPr>
          <w:rFonts w:asciiTheme="minorHAnsi" w:hAnsiTheme="minorHAnsi" w:cstheme="minorHAnsi"/>
          <w:sz w:val="24"/>
          <w:szCs w:val="24"/>
        </w:rPr>
        <w:t xml:space="preserve"> o podmínkách poskytnutí dotace 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a změně </w:t>
      </w:r>
      <w:r w:rsidR="00766A7F" w:rsidRPr="005A1843">
        <w:rPr>
          <w:rFonts w:asciiTheme="minorHAnsi" w:hAnsiTheme="minorHAnsi" w:cstheme="minorHAnsi"/>
          <w:sz w:val="24"/>
          <w:szCs w:val="24"/>
        </w:rPr>
        <w:t>jednotkové ceny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 indikátor</w:t>
      </w:r>
      <w:r w:rsidR="00EB08CB" w:rsidRPr="005A1843">
        <w:rPr>
          <w:rFonts w:asciiTheme="minorHAnsi" w:hAnsiTheme="minorHAnsi" w:cstheme="minorHAnsi"/>
          <w:sz w:val="24"/>
          <w:szCs w:val="24"/>
        </w:rPr>
        <w:t>u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 v roce 2009 by optimální cena činila 70 224 000 Kč. Skutečná výše výdajů na pořízení </w:t>
      </w:r>
      <w:r w:rsidR="00136B9B" w:rsidRPr="005A1843">
        <w:rPr>
          <w:rFonts w:asciiTheme="minorHAnsi" w:hAnsiTheme="minorHAnsi" w:cstheme="minorHAnsi"/>
          <w:sz w:val="24"/>
          <w:szCs w:val="24"/>
        </w:rPr>
        <w:t xml:space="preserve">zdravotnického </w:t>
      </w:r>
      <w:r w:rsidR="00766A7F" w:rsidRPr="005A1843">
        <w:rPr>
          <w:rFonts w:asciiTheme="minorHAnsi" w:hAnsiTheme="minorHAnsi" w:cstheme="minorHAnsi"/>
          <w:sz w:val="24"/>
          <w:szCs w:val="24"/>
        </w:rPr>
        <w:t>vybavení</w:t>
      </w:r>
      <w:r w:rsidR="00233F85" w:rsidRPr="005A1843">
        <w:rPr>
          <w:rFonts w:asciiTheme="minorHAnsi" w:hAnsiTheme="minorHAnsi" w:cstheme="minorHAnsi"/>
          <w:sz w:val="24"/>
          <w:szCs w:val="24"/>
        </w:rPr>
        <w:t xml:space="preserve"> 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však činila v tomto případě pouze 20 800 000 Kč (tj. 29,6 % tzv. optimální ceny indikátoru). </w:t>
      </w:r>
    </w:p>
    <w:p w:rsidR="00A906B2" w:rsidRPr="005A1843" w:rsidRDefault="00A906B2" w:rsidP="00A10175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FC2330" w:rsidRDefault="00FC2330" w:rsidP="00A10175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5A1843">
        <w:rPr>
          <w:rFonts w:asciiTheme="minorHAnsi" w:hAnsiTheme="minorHAnsi" w:cstheme="minorHAnsi"/>
          <w:sz w:val="24"/>
          <w:szCs w:val="24"/>
        </w:rPr>
        <w:t>V případě</w:t>
      </w:r>
      <w:r w:rsidR="00A95D75" w:rsidRPr="005A1843">
        <w:rPr>
          <w:rFonts w:asciiTheme="minorHAnsi" w:hAnsiTheme="minorHAnsi" w:cstheme="minorHAnsi"/>
          <w:sz w:val="24"/>
          <w:szCs w:val="24"/>
        </w:rPr>
        <w:t xml:space="preserve"> projektu </w:t>
      </w:r>
      <w:r w:rsidR="00A95D75" w:rsidRPr="00A10175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t>Modernizace vybavení intenzivní péče</w:t>
      </w:r>
      <w:r w:rsidRPr="005A1843">
        <w:rPr>
          <w:rFonts w:asciiTheme="minorHAnsi" w:hAnsiTheme="minorHAnsi" w:cstheme="minorHAnsi"/>
          <w:sz w:val="24"/>
          <w:szCs w:val="24"/>
        </w:rPr>
        <w:t xml:space="preserve"> Nemocnice Tábor by v roce 2011, kdy byl uzavřen dodatek č. 2 ke smlouvě o poskytnutí dotace, činila optimální hodnota </w:t>
      </w:r>
      <w:r w:rsidR="00A95D75" w:rsidRPr="005A1843">
        <w:rPr>
          <w:rFonts w:asciiTheme="minorHAnsi" w:hAnsiTheme="minorHAnsi" w:cstheme="minorHAnsi"/>
          <w:sz w:val="24"/>
          <w:szCs w:val="24"/>
        </w:rPr>
        <w:t>122</w:t>
      </w:r>
      <w:r w:rsidR="002821E1">
        <w:rPr>
          <w:rFonts w:asciiTheme="minorHAnsi" w:hAnsiTheme="minorHAnsi" w:cstheme="minorHAnsi"/>
          <w:sz w:val="24"/>
          <w:szCs w:val="24"/>
        </w:rPr>
        <w:t> </w:t>
      </w:r>
      <w:r w:rsidR="00A95D75" w:rsidRPr="005A1843">
        <w:rPr>
          <w:rFonts w:asciiTheme="minorHAnsi" w:hAnsiTheme="minorHAnsi" w:cstheme="minorHAnsi"/>
          <w:sz w:val="24"/>
          <w:szCs w:val="24"/>
        </w:rPr>
        <w:t xml:space="preserve">jednotek </w:t>
      </w:r>
      <w:r w:rsidRPr="005A1843">
        <w:rPr>
          <w:rFonts w:asciiTheme="minorHAnsi" w:hAnsiTheme="minorHAnsi" w:cstheme="minorHAnsi"/>
          <w:sz w:val="24"/>
          <w:szCs w:val="24"/>
        </w:rPr>
        <w:t>indikátoru vypočtená dle metodiky 259 616 000 Kč, přičemž skutečná cena pořízeného vybavení činila 22 151 000 Kč (tj. 8,5 %</w:t>
      </w:r>
      <w:r w:rsidR="00067114" w:rsidRPr="005A1843">
        <w:rPr>
          <w:rFonts w:asciiTheme="minorHAnsi" w:hAnsiTheme="minorHAnsi" w:cstheme="minorHAnsi"/>
          <w:sz w:val="24"/>
          <w:szCs w:val="24"/>
        </w:rPr>
        <w:t xml:space="preserve"> tzv. optimální ceny indikátoru</w:t>
      </w:r>
      <w:r w:rsidRPr="005A1843">
        <w:rPr>
          <w:rFonts w:asciiTheme="minorHAnsi" w:hAnsiTheme="minorHAnsi" w:cstheme="minorHAnsi"/>
          <w:sz w:val="24"/>
          <w:szCs w:val="24"/>
        </w:rPr>
        <w:t>).</w:t>
      </w:r>
    </w:p>
    <w:p w:rsidR="00A906B2" w:rsidRPr="005A1843" w:rsidRDefault="00A906B2" w:rsidP="00A10175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25A1C" w:rsidRDefault="00325A1C" w:rsidP="00325A1C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5A1843">
        <w:rPr>
          <w:rFonts w:asciiTheme="minorHAnsi" w:eastAsiaTheme="minorHAnsi" w:hAnsiTheme="minorHAnsi" w:cstheme="minorHAnsi"/>
          <w:sz w:val="24"/>
          <w:szCs w:val="24"/>
        </w:rPr>
        <w:t xml:space="preserve">Přestože metodický pokyn </w:t>
      </w:r>
      <w:r w:rsidRPr="00A10175">
        <w:rPr>
          <w:rFonts w:asciiTheme="minorHAnsi" w:eastAsiaTheme="minorHAnsi" w:hAnsiTheme="minorHAnsi" w:cstheme="minorHAnsi"/>
          <w:i/>
          <w:sz w:val="24"/>
          <w:szCs w:val="24"/>
        </w:rPr>
        <w:t>Indikátorová soustava</w:t>
      </w:r>
      <w:r w:rsidRPr="005A1843">
        <w:rPr>
          <w:rFonts w:asciiTheme="minorHAnsi" w:eastAsiaTheme="minorHAnsi" w:hAnsiTheme="minorHAnsi" w:cstheme="minorHAnsi"/>
          <w:sz w:val="24"/>
          <w:szCs w:val="24"/>
        </w:rPr>
        <w:t xml:space="preserve"> měl sloužit ke sledování naplňování ROP</w:t>
      </w:r>
      <w:r w:rsidR="00603058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5A1843">
        <w:rPr>
          <w:rFonts w:asciiTheme="minorHAnsi" w:eastAsiaTheme="minorHAnsi" w:hAnsiTheme="minorHAnsi" w:cstheme="minorHAnsi"/>
          <w:sz w:val="24"/>
          <w:szCs w:val="24"/>
        </w:rPr>
        <w:t xml:space="preserve">JZ a </w:t>
      </w:r>
      <w:r w:rsidR="004C76CF">
        <w:rPr>
          <w:rFonts w:asciiTheme="minorHAnsi" w:eastAsiaTheme="minorHAnsi" w:hAnsiTheme="minorHAnsi" w:cstheme="minorHAnsi"/>
          <w:sz w:val="24"/>
          <w:szCs w:val="24"/>
        </w:rPr>
        <w:t>k </w:t>
      </w:r>
      <w:r w:rsidRPr="005A1843">
        <w:rPr>
          <w:rFonts w:asciiTheme="minorHAnsi" w:eastAsiaTheme="minorHAnsi" w:hAnsiTheme="minorHAnsi" w:cstheme="minorHAnsi"/>
          <w:sz w:val="24"/>
          <w:szCs w:val="24"/>
        </w:rPr>
        <w:t>hodnocení projektů, RR</w:t>
      </w:r>
      <w:r w:rsidR="0078401D"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5A1843">
        <w:rPr>
          <w:rFonts w:asciiTheme="minorHAnsi" w:eastAsiaTheme="minorHAnsi" w:hAnsiTheme="minorHAnsi" w:cstheme="minorHAnsi"/>
          <w:sz w:val="24"/>
          <w:szCs w:val="24"/>
        </w:rPr>
        <w:t xml:space="preserve">JZ </w:t>
      </w:r>
      <w:r w:rsidR="00603058" w:rsidRPr="005A1843">
        <w:rPr>
          <w:rFonts w:asciiTheme="minorHAnsi" w:eastAsiaTheme="minorHAnsi" w:hAnsiTheme="minorHAnsi" w:cstheme="minorHAnsi"/>
          <w:sz w:val="24"/>
          <w:szCs w:val="24"/>
        </w:rPr>
        <w:t>nevyhodnocovala</w:t>
      </w:r>
      <w:r w:rsidR="00603058" w:rsidRPr="005A184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1843">
        <w:rPr>
          <w:rFonts w:asciiTheme="minorHAnsi" w:eastAsiaTheme="minorHAnsi" w:hAnsiTheme="minorHAnsi" w:cstheme="minorHAnsi"/>
          <w:sz w:val="24"/>
          <w:szCs w:val="24"/>
        </w:rPr>
        <w:t>pomoc</w:t>
      </w:r>
      <w:r w:rsidR="00603058">
        <w:rPr>
          <w:rFonts w:asciiTheme="minorHAnsi" w:eastAsiaTheme="minorHAnsi" w:hAnsiTheme="minorHAnsi" w:cstheme="minorHAnsi"/>
          <w:sz w:val="24"/>
          <w:szCs w:val="24"/>
        </w:rPr>
        <w:t>í</w:t>
      </w:r>
      <w:r w:rsidRPr="005A1843">
        <w:rPr>
          <w:rFonts w:asciiTheme="minorHAnsi" w:eastAsiaTheme="minorHAnsi" w:hAnsiTheme="minorHAnsi" w:cstheme="minorHAnsi"/>
          <w:sz w:val="24"/>
          <w:szCs w:val="24"/>
        </w:rPr>
        <w:t xml:space="preserve"> jednotkových cen indikátorů </w:t>
      </w:r>
      <w:r w:rsidRPr="005A1843">
        <w:rPr>
          <w:rFonts w:asciiTheme="minorHAnsi" w:hAnsiTheme="minorHAnsi" w:cstheme="minorHAnsi"/>
          <w:bCs/>
          <w:sz w:val="24"/>
          <w:szCs w:val="24"/>
        </w:rPr>
        <w:t>nákladovost</w:t>
      </w:r>
      <w:r w:rsidR="00603058">
        <w:rPr>
          <w:rFonts w:asciiTheme="minorHAnsi" w:hAnsiTheme="minorHAnsi" w:cstheme="minorHAnsi"/>
          <w:bCs/>
          <w:sz w:val="24"/>
          <w:szCs w:val="24"/>
        </w:rPr>
        <w:t xml:space="preserve"> ani</w:t>
      </w:r>
      <w:r w:rsidRPr="005A1843">
        <w:rPr>
          <w:rFonts w:asciiTheme="minorHAnsi" w:hAnsiTheme="minorHAnsi" w:cstheme="minorHAnsi"/>
          <w:bCs/>
          <w:sz w:val="24"/>
          <w:szCs w:val="24"/>
        </w:rPr>
        <w:t xml:space="preserve"> efektivitu vynaložených investic. </w:t>
      </w:r>
    </w:p>
    <w:p w:rsidR="00A906B2" w:rsidRPr="005A1843" w:rsidRDefault="00A906B2" w:rsidP="00325A1C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bCs/>
          <w:sz w:val="24"/>
          <w:szCs w:val="24"/>
        </w:rPr>
      </w:pPr>
    </w:p>
    <w:p w:rsidR="00FC2330" w:rsidRPr="005A1843" w:rsidRDefault="00325A1C" w:rsidP="00B33859">
      <w:pPr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  <w:r w:rsidRPr="005A1843">
        <w:rPr>
          <w:rFonts w:asciiTheme="minorHAnsi" w:hAnsiTheme="minorHAnsi" w:cstheme="minorHAnsi"/>
          <w:sz w:val="24"/>
          <w:szCs w:val="24"/>
        </w:rPr>
        <w:t>V</w:t>
      </w:r>
      <w:r w:rsidR="00FC2330" w:rsidRPr="005A1843">
        <w:rPr>
          <w:rFonts w:asciiTheme="minorHAnsi" w:hAnsiTheme="minorHAnsi" w:cstheme="minorHAnsi"/>
          <w:sz w:val="24"/>
          <w:szCs w:val="24"/>
        </w:rPr>
        <w:t> </w:t>
      </w:r>
      <w:r w:rsidR="00FC2330" w:rsidRPr="00A10175">
        <w:rPr>
          <w:rFonts w:asciiTheme="minorHAnsi" w:hAnsiTheme="minorHAnsi" w:cstheme="minorHAnsi"/>
          <w:i/>
          <w:sz w:val="24"/>
          <w:szCs w:val="24"/>
          <w:lang w:eastAsia="cs-CZ"/>
        </w:rPr>
        <w:t>Indikátorov</w:t>
      </w:r>
      <w:r w:rsidR="00603058" w:rsidRPr="00A10175">
        <w:rPr>
          <w:rFonts w:asciiTheme="minorHAnsi" w:hAnsiTheme="minorHAnsi" w:cstheme="minorHAnsi"/>
          <w:i/>
          <w:sz w:val="24"/>
          <w:szCs w:val="24"/>
          <w:lang w:eastAsia="cs-CZ"/>
        </w:rPr>
        <w:t>é</w:t>
      </w:r>
      <w:r w:rsidR="00FC2330" w:rsidRPr="00A10175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soustav</w:t>
      </w:r>
      <w:r w:rsidR="00603058" w:rsidRPr="00A10175">
        <w:rPr>
          <w:rFonts w:asciiTheme="minorHAnsi" w:hAnsiTheme="minorHAnsi" w:cstheme="minorHAnsi"/>
          <w:i/>
          <w:sz w:val="24"/>
          <w:szCs w:val="24"/>
          <w:lang w:eastAsia="cs-CZ"/>
        </w:rPr>
        <w:t>ě</w:t>
      </w:r>
      <w:r w:rsidR="00603058">
        <w:rPr>
          <w:rFonts w:asciiTheme="minorHAnsi" w:hAnsiTheme="minorHAnsi" w:cstheme="minorHAnsi"/>
          <w:sz w:val="24"/>
          <w:szCs w:val="24"/>
          <w:lang w:eastAsia="cs-CZ"/>
        </w:rPr>
        <w:t xml:space="preserve"> ve</w:t>
      </w:r>
      <w:r w:rsidR="00FC2330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verzi 4.0 platné ke dni 1. 7. 2009 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byl </w:t>
      </w:r>
      <w:r w:rsidR="00FC2330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uveden </w:t>
      </w:r>
      <w:r w:rsidR="00E92C13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množstevní </w:t>
      </w:r>
      <w:r w:rsidR="00FC2330" w:rsidRPr="005A1843">
        <w:rPr>
          <w:rFonts w:asciiTheme="minorHAnsi" w:hAnsiTheme="minorHAnsi" w:cstheme="minorHAnsi"/>
          <w:sz w:val="24"/>
          <w:szCs w:val="24"/>
          <w:lang w:eastAsia="cs-CZ"/>
        </w:rPr>
        <w:t>cílový stav indikátoru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 </w:t>
      </w:r>
      <w:r w:rsidR="00603058">
        <w:rPr>
          <w:rFonts w:asciiTheme="minorHAnsi" w:hAnsiTheme="minorHAnsi" w:cstheme="minorHAnsi"/>
          <w:sz w:val="24"/>
          <w:szCs w:val="24"/>
        </w:rPr>
        <w:t>„</w:t>
      </w:r>
      <w:r w:rsidR="00603058">
        <w:rPr>
          <w:rFonts w:asciiTheme="minorHAnsi" w:hAnsiTheme="minorHAnsi" w:cstheme="minorHAnsi"/>
          <w:i/>
          <w:sz w:val="24"/>
          <w:szCs w:val="24"/>
        </w:rPr>
        <w:t>p</w:t>
      </w:r>
      <w:r w:rsidR="00FC2330" w:rsidRPr="005A1843">
        <w:rPr>
          <w:rFonts w:asciiTheme="minorHAnsi" w:hAnsiTheme="minorHAnsi" w:cstheme="minorHAnsi"/>
          <w:i/>
          <w:sz w:val="24"/>
          <w:szCs w:val="24"/>
        </w:rPr>
        <w:t>očet zdravotnických zařízení – přístrojové vybavení</w:t>
      </w:r>
      <w:r w:rsidR="00603058" w:rsidRPr="00A10175">
        <w:rPr>
          <w:rFonts w:asciiTheme="minorHAnsi" w:hAnsiTheme="minorHAnsi" w:cstheme="minorHAnsi"/>
          <w:sz w:val="24"/>
          <w:szCs w:val="24"/>
        </w:rPr>
        <w:t>“</w:t>
      </w:r>
      <w:r w:rsidR="00FC2330" w:rsidRPr="005A1843">
        <w:rPr>
          <w:rFonts w:asciiTheme="minorHAnsi" w:hAnsiTheme="minorHAnsi" w:cstheme="minorHAnsi"/>
          <w:sz w:val="24"/>
          <w:szCs w:val="24"/>
        </w:rPr>
        <w:t xml:space="preserve"> v rozsahu </w:t>
      </w:r>
      <w:r w:rsidR="00E92C13" w:rsidRPr="005A1843">
        <w:rPr>
          <w:rFonts w:asciiTheme="minorHAnsi" w:hAnsiTheme="minorHAnsi" w:cstheme="minorHAnsi"/>
          <w:sz w:val="24"/>
          <w:szCs w:val="24"/>
        </w:rPr>
        <w:t xml:space="preserve">plánovaných </w:t>
      </w:r>
      <w:r w:rsidR="00FC2330" w:rsidRPr="005A1843">
        <w:rPr>
          <w:rFonts w:asciiTheme="minorHAnsi" w:hAnsiTheme="minorHAnsi" w:cstheme="minorHAnsi"/>
          <w:sz w:val="24"/>
          <w:szCs w:val="24"/>
        </w:rPr>
        <w:t>55 jednotek.</w:t>
      </w:r>
      <w:r w:rsidR="00FC2330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E92C13" w:rsidRPr="005A1843">
        <w:rPr>
          <w:rFonts w:asciiTheme="minorHAnsi" w:hAnsiTheme="minorHAnsi" w:cstheme="minorHAnsi"/>
          <w:sz w:val="24"/>
          <w:szCs w:val="24"/>
          <w:lang w:eastAsia="cs-CZ"/>
        </w:rPr>
        <w:t>Průběžné plnění</w:t>
      </w:r>
      <w:r w:rsidR="00FC2330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tohoto indikátoru za předchozí výzvy však činilo již 344</w:t>
      </w:r>
      <w:r w:rsidR="00603058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FC2330" w:rsidRPr="005A1843">
        <w:rPr>
          <w:rFonts w:asciiTheme="minorHAnsi" w:hAnsiTheme="minorHAnsi" w:cstheme="minorHAnsi"/>
          <w:sz w:val="24"/>
          <w:szCs w:val="24"/>
          <w:lang w:eastAsia="cs-CZ"/>
        </w:rPr>
        <w:t>jednotek a v</w:t>
      </w:r>
      <w:r w:rsidR="00FC2330" w:rsidRPr="005A1843">
        <w:rPr>
          <w:rFonts w:asciiTheme="minorHAnsi" w:hAnsiTheme="minorHAnsi" w:cstheme="minorHAnsi"/>
          <w:sz w:val="24"/>
          <w:szCs w:val="24"/>
        </w:rPr>
        <w:t>e verzi 8.0 platné ke dni 11. 7. 2014 dokonce již 389 jednotek</w:t>
      </w:r>
      <w:r w:rsidR="00FC2330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  <w:r w:rsidR="00E92C13" w:rsidRPr="005A1843">
        <w:rPr>
          <w:rFonts w:asciiTheme="minorHAnsi" w:hAnsiTheme="minorHAnsi" w:cstheme="minorHAnsi"/>
          <w:sz w:val="24"/>
          <w:szCs w:val="24"/>
          <w:lang w:eastAsia="cs-CZ"/>
        </w:rPr>
        <w:t>RR</w:t>
      </w:r>
      <w:r w:rsidR="00603058">
        <w:rPr>
          <w:rFonts w:asciiTheme="minorHAnsi" w:hAnsiTheme="minorHAnsi" w:cstheme="minorHAnsi"/>
          <w:sz w:val="24"/>
          <w:szCs w:val="24"/>
          <w:lang w:eastAsia="cs-CZ"/>
        </w:rPr>
        <w:t> </w:t>
      </w:r>
      <w:r w:rsidR="00E92C13" w:rsidRPr="005A1843">
        <w:rPr>
          <w:rFonts w:asciiTheme="minorHAnsi" w:hAnsiTheme="minorHAnsi" w:cstheme="minorHAnsi"/>
          <w:sz w:val="24"/>
          <w:szCs w:val="24"/>
          <w:lang w:eastAsia="cs-CZ"/>
        </w:rPr>
        <w:t>JZ na tento stav nijak nereagovala a cílový počet zdravotnického vybavení nijak neaktualizovala s přihlédnutím ke skutečnému plnění indikátoru.</w:t>
      </w:r>
    </w:p>
    <w:p w:rsidR="00FC2330" w:rsidRDefault="00FC2330" w:rsidP="006B2F4E">
      <w:pPr>
        <w:spacing w:before="0" w:after="0"/>
        <w:rPr>
          <w:b/>
          <w:sz w:val="24"/>
          <w:szCs w:val="24"/>
        </w:rPr>
      </w:pPr>
    </w:p>
    <w:p w:rsidR="00CE58FD" w:rsidRDefault="00CE58FD">
      <w:pPr>
        <w:spacing w:before="0" w:after="0"/>
        <w:rPr>
          <w:rFonts w:asciiTheme="minorHAnsi" w:hAnsiTheme="minorHAnsi" w:cstheme="minorHAnsi"/>
          <w:b/>
          <w:sz w:val="24"/>
          <w:szCs w:val="24"/>
          <w:highlight w:val="lightGray"/>
        </w:rPr>
      </w:pPr>
      <w:r>
        <w:rPr>
          <w:rFonts w:asciiTheme="minorHAnsi" w:hAnsiTheme="minorHAnsi" w:cstheme="minorHAnsi"/>
          <w:b/>
          <w:sz w:val="24"/>
          <w:szCs w:val="24"/>
          <w:highlight w:val="lightGray"/>
        </w:rPr>
        <w:br w:type="page"/>
      </w:r>
    </w:p>
    <w:p w:rsidR="00E9085C" w:rsidRPr="005A1843" w:rsidRDefault="00E9085C" w:rsidP="00E9085C">
      <w:pPr>
        <w:spacing w:before="0"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A1843">
        <w:rPr>
          <w:rFonts w:asciiTheme="minorHAnsi" w:hAnsiTheme="minorHAnsi" w:cstheme="minorHAnsi"/>
          <w:b/>
          <w:sz w:val="24"/>
          <w:szCs w:val="24"/>
          <w:highlight w:val="lightGray"/>
        </w:rPr>
        <w:lastRenderedPageBreak/>
        <w:t>Změny hodnot indikátorů</w:t>
      </w:r>
    </w:p>
    <w:p w:rsidR="00E9085C" w:rsidRPr="005A1843" w:rsidRDefault="001F2237" w:rsidP="00A10175">
      <w:pPr>
        <w:shd w:val="clear" w:color="auto" w:fill="FFFFFF" w:themeFill="background1"/>
        <w:spacing w:after="0"/>
        <w:rPr>
          <w:rFonts w:asciiTheme="minorHAnsi" w:hAnsiTheme="minorHAnsi" w:cstheme="minorHAnsi"/>
          <w:sz w:val="24"/>
          <w:szCs w:val="24"/>
        </w:rPr>
      </w:pPr>
      <w:r w:rsidRPr="008962EA">
        <w:rPr>
          <w:rFonts w:asciiTheme="minorHAnsi" w:hAnsiTheme="minorHAnsi" w:cstheme="minorHAnsi"/>
          <w:sz w:val="24"/>
          <w:szCs w:val="24"/>
        </w:rPr>
        <w:t xml:space="preserve">Dle </w:t>
      </w:r>
      <w:r w:rsidR="008962EA" w:rsidRPr="00823BEF">
        <w:rPr>
          <w:rFonts w:asciiTheme="minorHAnsi" w:hAnsiTheme="minorHAnsi" w:cstheme="minorHAnsi"/>
          <w:sz w:val="24"/>
          <w:szCs w:val="24"/>
        </w:rPr>
        <w:t>o</w:t>
      </w:r>
      <w:r w:rsidRPr="00823BEF">
        <w:rPr>
          <w:rFonts w:asciiTheme="minorHAnsi" w:hAnsiTheme="minorHAnsi" w:cstheme="minorHAnsi"/>
          <w:sz w:val="24"/>
          <w:szCs w:val="24"/>
        </w:rPr>
        <w:t xml:space="preserve">peračního manuálu ROP JZ </w:t>
      </w:r>
      <w:r w:rsidR="008962EA" w:rsidRPr="00823BEF">
        <w:rPr>
          <w:rFonts w:asciiTheme="minorHAnsi" w:hAnsiTheme="minorHAnsi" w:cstheme="minorHAnsi"/>
          <w:sz w:val="24"/>
          <w:szCs w:val="24"/>
        </w:rPr>
        <w:t>patří</w:t>
      </w:r>
      <w:r w:rsidRPr="00823BEF">
        <w:rPr>
          <w:rFonts w:asciiTheme="minorHAnsi" w:hAnsiTheme="minorHAnsi" w:cstheme="minorHAnsi"/>
          <w:sz w:val="24"/>
          <w:szCs w:val="24"/>
        </w:rPr>
        <w:t xml:space="preserve"> tzv. indikátory </w:t>
      </w:r>
      <w:r w:rsidR="008962EA" w:rsidRPr="00823BEF">
        <w:rPr>
          <w:rFonts w:asciiTheme="minorHAnsi" w:hAnsiTheme="minorHAnsi" w:cstheme="minorHAnsi"/>
          <w:sz w:val="24"/>
          <w:szCs w:val="24"/>
        </w:rPr>
        <w:t xml:space="preserve">mezi </w:t>
      </w:r>
      <w:r w:rsidR="00AE1F2E" w:rsidRPr="00823BEF">
        <w:rPr>
          <w:rFonts w:asciiTheme="minorHAnsi" w:hAnsiTheme="minorHAnsi" w:cstheme="minorHAnsi"/>
          <w:sz w:val="24"/>
          <w:szCs w:val="24"/>
        </w:rPr>
        <w:t>hlavní monitorovací ukazatel</w:t>
      </w:r>
      <w:r w:rsidR="008962EA" w:rsidRPr="00823BEF">
        <w:rPr>
          <w:rFonts w:asciiTheme="minorHAnsi" w:hAnsiTheme="minorHAnsi" w:cstheme="minorHAnsi"/>
          <w:sz w:val="24"/>
          <w:szCs w:val="24"/>
        </w:rPr>
        <w:t>e</w:t>
      </w:r>
      <w:r w:rsidRPr="00823BEF">
        <w:rPr>
          <w:rFonts w:asciiTheme="minorHAnsi" w:hAnsiTheme="minorHAnsi" w:cstheme="minorHAnsi"/>
          <w:sz w:val="24"/>
          <w:szCs w:val="24"/>
        </w:rPr>
        <w:t xml:space="preserve"> a</w:t>
      </w:r>
      <w:r w:rsidR="008962EA" w:rsidRPr="00A10175">
        <w:rPr>
          <w:rFonts w:asciiTheme="minorHAnsi" w:hAnsiTheme="minorHAnsi" w:cstheme="minorHAnsi"/>
          <w:sz w:val="24"/>
          <w:szCs w:val="24"/>
        </w:rPr>
        <w:t> </w:t>
      </w:r>
      <w:r w:rsidR="00AE1F2E" w:rsidRPr="008962EA">
        <w:rPr>
          <w:rFonts w:asciiTheme="minorHAnsi" w:hAnsiTheme="minorHAnsi" w:cstheme="minorHAnsi"/>
          <w:sz w:val="24"/>
          <w:szCs w:val="24"/>
        </w:rPr>
        <w:t>slouží</w:t>
      </w:r>
      <w:r w:rsidR="00F263DB" w:rsidRPr="00823BEF">
        <w:rPr>
          <w:rFonts w:asciiTheme="minorHAnsi" w:hAnsiTheme="minorHAnsi" w:cstheme="minorHAnsi"/>
          <w:sz w:val="24"/>
          <w:szCs w:val="24"/>
        </w:rPr>
        <w:t xml:space="preserve"> </w:t>
      </w:r>
      <w:r w:rsidR="008962EA" w:rsidRPr="00823BEF">
        <w:rPr>
          <w:rFonts w:asciiTheme="minorHAnsi" w:hAnsiTheme="minorHAnsi" w:cstheme="minorHAnsi"/>
          <w:sz w:val="24"/>
          <w:szCs w:val="24"/>
        </w:rPr>
        <w:t>k </w:t>
      </w:r>
      <w:r w:rsidR="00295A63" w:rsidRPr="00823BEF">
        <w:rPr>
          <w:rFonts w:asciiTheme="minorHAnsi" w:hAnsiTheme="minorHAnsi" w:cstheme="minorHAnsi"/>
          <w:sz w:val="24"/>
          <w:szCs w:val="24"/>
        </w:rPr>
        <w:t>hodnocení</w:t>
      </w:r>
      <w:r w:rsidR="00E9085C" w:rsidRPr="00823BEF">
        <w:rPr>
          <w:rFonts w:asciiTheme="minorHAnsi" w:hAnsiTheme="minorHAnsi" w:cstheme="minorHAnsi"/>
          <w:sz w:val="24"/>
          <w:szCs w:val="24"/>
        </w:rPr>
        <w:t xml:space="preserve"> průběhu a výsledku realizace projektů, oblastí podpory, prioritních os a programů vzhledem ke stanoveným cílům. Seznam sledovaných indikátorů je součástí programové dokumentace. Každý žadatel o finanční podporu je povinen </w:t>
      </w:r>
      <w:r w:rsidR="004C76CF" w:rsidRPr="008962EA">
        <w:rPr>
          <w:rFonts w:asciiTheme="minorHAnsi" w:hAnsiTheme="minorHAnsi" w:cstheme="minorHAnsi"/>
          <w:sz w:val="24"/>
          <w:szCs w:val="24"/>
        </w:rPr>
        <w:t>v </w:t>
      </w:r>
      <w:r w:rsidR="00E9085C" w:rsidRPr="008962EA">
        <w:rPr>
          <w:rFonts w:asciiTheme="minorHAnsi" w:hAnsiTheme="minorHAnsi" w:cstheme="minorHAnsi"/>
          <w:sz w:val="24"/>
          <w:szCs w:val="24"/>
        </w:rPr>
        <w:t>rámci žádosti o</w:t>
      </w:r>
      <w:r w:rsidR="008962EA" w:rsidRPr="008962EA">
        <w:rPr>
          <w:rFonts w:asciiTheme="minorHAnsi" w:hAnsiTheme="minorHAnsi" w:cstheme="minorHAnsi"/>
          <w:sz w:val="24"/>
          <w:szCs w:val="24"/>
        </w:rPr>
        <w:t> </w:t>
      </w:r>
      <w:r w:rsidR="00E9085C" w:rsidRPr="008962EA">
        <w:rPr>
          <w:rFonts w:asciiTheme="minorHAnsi" w:hAnsiTheme="minorHAnsi" w:cstheme="minorHAnsi"/>
          <w:sz w:val="24"/>
          <w:szCs w:val="24"/>
        </w:rPr>
        <w:t xml:space="preserve">podporu doložit monitorovací ukazatele projektu a zejména uvést kvantifikaci vybraných indikátorů, které mají vazbu na indikátory stanovené </w:t>
      </w:r>
      <w:r w:rsidR="004C76CF" w:rsidRPr="008962EA">
        <w:rPr>
          <w:rFonts w:asciiTheme="minorHAnsi" w:hAnsiTheme="minorHAnsi" w:cstheme="minorHAnsi"/>
          <w:sz w:val="24"/>
          <w:szCs w:val="24"/>
        </w:rPr>
        <w:t>v </w:t>
      </w:r>
      <w:r w:rsidR="00E9085C" w:rsidRPr="008962EA">
        <w:rPr>
          <w:rFonts w:asciiTheme="minorHAnsi" w:hAnsiTheme="minorHAnsi" w:cstheme="minorHAnsi"/>
          <w:sz w:val="24"/>
          <w:szCs w:val="24"/>
        </w:rPr>
        <w:t xml:space="preserve">rámci dané oblasti podpory </w:t>
      </w:r>
      <w:r w:rsidR="004C76CF" w:rsidRPr="008962EA">
        <w:rPr>
          <w:rFonts w:asciiTheme="minorHAnsi" w:hAnsiTheme="minorHAnsi" w:cstheme="minorHAnsi"/>
          <w:sz w:val="24"/>
          <w:szCs w:val="24"/>
        </w:rPr>
        <w:t>v </w:t>
      </w:r>
      <w:r w:rsidR="00E9085C" w:rsidRPr="008962EA">
        <w:rPr>
          <w:rFonts w:asciiTheme="minorHAnsi" w:hAnsiTheme="minorHAnsi" w:cstheme="minorHAnsi"/>
          <w:sz w:val="24"/>
          <w:szCs w:val="24"/>
        </w:rPr>
        <w:t>prováděcím dokumentu. Indikátory projektu mají klíčový význam při bodovém hodnocení projektu a následně při kontrole realizace projektu</w:t>
      </w:r>
      <w:r w:rsidR="00E9085C" w:rsidRPr="005A1843">
        <w:rPr>
          <w:rFonts w:asciiTheme="minorHAnsi" w:hAnsiTheme="minorHAnsi" w:cstheme="minorHAnsi"/>
          <w:sz w:val="24"/>
          <w:szCs w:val="24"/>
        </w:rPr>
        <w:t>.</w:t>
      </w:r>
    </w:p>
    <w:p w:rsidR="00A906B2" w:rsidRDefault="00A906B2" w:rsidP="00A10175">
      <w:pPr>
        <w:shd w:val="clear" w:color="auto" w:fill="FFFFFF" w:themeFill="background1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E9085C" w:rsidRDefault="00E9085C" w:rsidP="00A10175">
      <w:pPr>
        <w:shd w:val="clear" w:color="auto" w:fill="FFFFFF" w:themeFill="background1"/>
        <w:spacing w:before="0" w:after="0"/>
        <w:rPr>
          <w:rFonts w:asciiTheme="minorHAnsi" w:hAnsiTheme="minorHAnsi" w:cstheme="minorHAnsi"/>
          <w:sz w:val="24"/>
          <w:szCs w:val="24"/>
        </w:rPr>
      </w:pPr>
      <w:r w:rsidRPr="005A1843">
        <w:rPr>
          <w:rFonts w:asciiTheme="minorHAnsi" w:hAnsiTheme="minorHAnsi" w:cstheme="minorHAnsi"/>
          <w:sz w:val="24"/>
          <w:szCs w:val="24"/>
        </w:rPr>
        <w:t xml:space="preserve">NKÚ </w:t>
      </w:r>
      <w:r w:rsidR="00823BEF">
        <w:rPr>
          <w:rFonts w:asciiTheme="minorHAnsi" w:hAnsiTheme="minorHAnsi" w:cstheme="minorHAnsi"/>
          <w:sz w:val="24"/>
          <w:szCs w:val="24"/>
        </w:rPr>
        <w:t>k</w:t>
      </w:r>
      <w:r w:rsidR="00823BEF" w:rsidRPr="005A1843">
        <w:rPr>
          <w:rFonts w:asciiTheme="minorHAnsi" w:hAnsiTheme="minorHAnsi" w:cstheme="minorHAnsi"/>
          <w:sz w:val="24"/>
          <w:szCs w:val="24"/>
        </w:rPr>
        <w:t>ontrol</w:t>
      </w:r>
      <w:r w:rsidR="00823BEF">
        <w:rPr>
          <w:rFonts w:asciiTheme="minorHAnsi" w:hAnsiTheme="minorHAnsi" w:cstheme="minorHAnsi"/>
          <w:sz w:val="24"/>
          <w:szCs w:val="24"/>
        </w:rPr>
        <w:t>ou</w:t>
      </w:r>
      <w:r w:rsidR="00823BEF" w:rsidRPr="005A1843">
        <w:rPr>
          <w:rFonts w:asciiTheme="minorHAnsi" w:hAnsiTheme="minorHAnsi" w:cstheme="minorHAnsi"/>
          <w:sz w:val="24"/>
          <w:szCs w:val="24"/>
        </w:rPr>
        <w:t xml:space="preserve"> </w:t>
      </w:r>
      <w:r w:rsidRPr="005A1843">
        <w:rPr>
          <w:rFonts w:asciiTheme="minorHAnsi" w:hAnsiTheme="minorHAnsi" w:cstheme="minorHAnsi"/>
          <w:sz w:val="24"/>
          <w:szCs w:val="24"/>
        </w:rPr>
        <w:t xml:space="preserve">zjistil, že </w:t>
      </w:r>
      <w:r w:rsidR="00823BEF">
        <w:rPr>
          <w:rFonts w:asciiTheme="minorHAnsi" w:hAnsiTheme="minorHAnsi" w:cstheme="minorHAnsi"/>
          <w:sz w:val="24"/>
          <w:szCs w:val="24"/>
        </w:rPr>
        <w:t xml:space="preserve">společnost </w:t>
      </w:r>
      <w:r w:rsidRPr="005A1843">
        <w:rPr>
          <w:rFonts w:asciiTheme="minorHAnsi" w:hAnsiTheme="minorHAnsi" w:cstheme="minorHAnsi"/>
          <w:sz w:val="24"/>
          <w:szCs w:val="24"/>
        </w:rPr>
        <w:t>PRIVAMED a Nemocnice Tábor p</w:t>
      </w:r>
      <w:r w:rsidR="005A1843">
        <w:rPr>
          <w:rFonts w:asciiTheme="minorHAnsi" w:hAnsiTheme="minorHAnsi" w:cstheme="minorHAnsi"/>
          <w:sz w:val="24"/>
          <w:szCs w:val="24"/>
        </w:rPr>
        <w:t>rovedly po předložení žádosti o </w:t>
      </w:r>
      <w:r w:rsidRPr="005A1843">
        <w:rPr>
          <w:rFonts w:asciiTheme="minorHAnsi" w:hAnsiTheme="minorHAnsi" w:cstheme="minorHAnsi"/>
          <w:sz w:val="24"/>
          <w:szCs w:val="24"/>
        </w:rPr>
        <w:t xml:space="preserve">poskytnutí dotace korekci </w:t>
      </w:r>
      <w:r w:rsidR="00AE1F2E" w:rsidRPr="005A1843">
        <w:rPr>
          <w:rFonts w:asciiTheme="minorHAnsi" w:hAnsiTheme="minorHAnsi" w:cstheme="minorHAnsi"/>
          <w:sz w:val="24"/>
          <w:szCs w:val="24"/>
        </w:rPr>
        <w:t>počtu jednotek</w:t>
      </w:r>
      <w:r w:rsidRPr="005A1843">
        <w:rPr>
          <w:rFonts w:asciiTheme="minorHAnsi" w:hAnsiTheme="minorHAnsi" w:cstheme="minorHAnsi"/>
          <w:sz w:val="24"/>
          <w:szCs w:val="24"/>
        </w:rPr>
        <w:t xml:space="preserve"> indikátor</w:t>
      </w:r>
      <w:r w:rsidR="00823BEF">
        <w:rPr>
          <w:rFonts w:asciiTheme="minorHAnsi" w:hAnsiTheme="minorHAnsi" w:cstheme="minorHAnsi"/>
          <w:sz w:val="24"/>
          <w:szCs w:val="24"/>
        </w:rPr>
        <w:t>u</w:t>
      </w:r>
      <w:r w:rsidRPr="005A1843">
        <w:rPr>
          <w:rFonts w:asciiTheme="minorHAnsi" w:hAnsiTheme="minorHAnsi" w:cstheme="minorHAnsi"/>
          <w:sz w:val="24"/>
          <w:szCs w:val="24"/>
        </w:rPr>
        <w:t xml:space="preserve"> </w:t>
      </w:r>
      <w:r w:rsidR="00823BEF">
        <w:rPr>
          <w:rFonts w:asciiTheme="minorHAnsi" w:hAnsiTheme="minorHAnsi" w:cstheme="minorHAnsi"/>
          <w:sz w:val="24"/>
          <w:szCs w:val="24"/>
        </w:rPr>
        <w:t>„</w:t>
      </w:r>
      <w:r w:rsidR="00823BEF">
        <w:rPr>
          <w:rFonts w:asciiTheme="minorHAnsi" w:hAnsiTheme="minorHAnsi" w:cstheme="minorHAnsi"/>
          <w:i/>
          <w:sz w:val="24"/>
          <w:szCs w:val="24"/>
        </w:rPr>
        <w:t>p</w:t>
      </w:r>
      <w:r w:rsidRPr="005A1843">
        <w:rPr>
          <w:rFonts w:asciiTheme="minorHAnsi" w:hAnsiTheme="minorHAnsi" w:cstheme="minorHAnsi"/>
          <w:i/>
          <w:sz w:val="24"/>
          <w:szCs w:val="24"/>
        </w:rPr>
        <w:t>očet pořízeného zdravotnického vybavení</w:t>
      </w:r>
      <w:r w:rsidR="00823BEF">
        <w:rPr>
          <w:rFonts w:asciiTheme="minorHAnsi" w:hAnsiTheme="minorHAnsi" w:cstheme="minorHAnsi"/>
          <w:sz w:val="24"/>
          <w:szCs w:val="24"/>
        </w:rPr>
        <w:t>“</w:t>
      </w:r>
      <w:r w:rsidRPr="005A1843">
        <w:rPr>
          <w:rFonts w:asciiTheme="minorHAnsi" w:hAnsiTheme="minorHAnsi" w:cstheme="minorHAnsi"/>
          <w:sz w:val="24"/>
          <w:szCs w:val="24"/>
        </w:rPr>
        <w:t xml:space="preserve"> (resp. </w:t>
      </w:r>
      <w:r w:rsidR="00823BEF">
        <w:rPr>
          <w:rFonts w:asciiTheme="minorHAnsi" w:hAnsiTheme="minorHAnsi" w:cstheme="minorHAnsi"/>
          <w:sz w:val="24"/>
          <w:szCs w:val="24"/>
        </w:rPr>
        <w:t>„</w:t>
      </w:r>
      <w:r w:rsidR="00823BEF">
        <w:rPr>
          <w:rFonts w:asciiTheme="minorHAnsi" w:hAnsiTheme="minorHAnsi" w:cstheme="minorHAnsi"/>
          <w:i/>
          <w:sz w:val="24"/>
          <w:szCs w:val="24"/>
          <w:lang w:eastAsia="cs-CZ"/>
        </w:rPr>
        <w:t>p</w:t>
      </w:r>
      <w:r w:rsidRPr="005A1843">
        <w:rPr>
          <w:rFonts w:asciiTheme="minorHAnsi" w:hAnsiTheme="minorHAnsi" w:cstheme="minorHAnsi"/>
          <w:i/>
          <w:sz w:val="24"/>
          <w:szCs w:val="24"/>
          <w:lang w:eastAsia="cs-CZ"/>
        </w:rPr>
        <w:t>očet zdravotnických zařízení – přístrojové vybavení</w:t>
      </w:r>
      <w:r w:rsidR="00823BEF">
        <w:rPr>
          <w:rFonts w:asciiTheme="minorHAnsi" w:hAnsiTheme="minorHAnsi" w:cstheme="minorHAnsi"/>
          <w:sz w:val="24"/>
          <w:szCs w:val="24"/>
          <w:lang w:eastAsia="cs-CZ"/>
        </w:rPr>
        <w:t>“</w:t>
      </w:r>
      <w:r w:rsidRPr="005A1843">
        <w:rPr>
          <w:rFonts w:asciiTheme="minorHAnsi" w:hAnsiTheme="minorHAnsi" w:cstheme="minorHAnsi"/>
          <w:i/>
          <w:sz w:val="24"/>
          <w:szCs w:val="24"/>
          <w:lang w:eastAsia="cs-CZ"/>
        </w:rPr>
        <w:t xml:space="preserve"> – 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>název indikátor</w:t>
      </w:r>
      <w:r w:rsidR="00823BEF">
        <w:rPr>
          <w:rFonts w:asciiTheme="minorHAnsi" w:hAnsiTheme="minorHAnsi" w:cstheme="minorHAnsi"/>
          <w:sz w:val="24"/>
          <w:szCs w:val="24"/>
          <w:lang w:eastAsia="cs-CZ"/>
        </w:rPr>
        <w:t>u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se v průběhu </w:t>
      </w:r>
      <w:r w:rsidR="00823BEF">
        <w:rPr>
          <w:rFonts w:asciiTheme="minorHAnsi" w:hAnsiTheme="minorHAnsi" w:cstheme="minorHAnsi"/>
          <w:sz w:val="24"/>
          <w:szCs w:val="24"/>
          <w:lang w:eastAsia="cs-CZ"/>
        </w:rPr>
        <w:t>programového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období měnil)</w:t>
      </w:r>
      <w:r w:rsidRPr="005A1843">
        <w:rPr>
          <w:rFonts w:asciiTheme="minorHAnsi" w:hAnsiTheme="minorHAnsi" w:cstheme="minorHAnsi"/>
          <w:sz w:val="24"/>
          <w:szCs w:val="24"/>
        </w:rPr>
        <w:t xml:space="preserve">, a to bez vlivu na výši rozpočtů projektů. </w:t>
      </w:r>
      <w:r w:rsidR="00AE1F2E" w:rsidRPr="005A1843">
        <w:rPr>
          <w:rFonts w:asciiTheme="minorHAnsi" w:hAnsiTheme="minorHAnsi" w:cstheme="minorHAnsi"/>
          <w:sz w:val="24"/>
          <w:szCs w:val="24"/>
        </w:rPr>
        <w:t>Vzhledem ke skutečnosti, že</w:t>
      </w:r>
      <w:r w:rsidRPr="005A1843">
        <w:rPr>
          <w:rFonts w:asciiTheme="minorHAnsi" w:hAnsiTheme="minorHAnsi" w:cstheme="minorHAnsi"/>
          <w:sz w:val="24"/>
          <w:szCs w:val="24"/>
        </w:rPr>
        <w:t xml:space="preserve"> </w:t>
      </w:r>
      <w:r w:rsidR="00AE1F2E" w:rsidRPr="005A1843">
        <w:rPr>
          <w:rFonts w:asciiTheme="minorHAnsi" w:hAnsiTheme="minorHAnsi" w:cstheme="minorHAnsi"/>
          <w:sz w:val="24"/>
          <w:szCs w:val="24"/>
        </w:rPr>
        <w:t>n</w:t>
      </w:r>
      <w:r w:rsidRPr="005A1843">
        <w:rPr>
          <w:rFonts w:asciiTheme="minorHAnsi" w:hAnsiTheme="minorHAnsi" w:cstheme="minorHAnsi"/>
          <w:sz w:val="24"/>
          <w:szCs w:val="24"/>
        </w:rPr>
        <w:t>ěkteré pořizované předměty byly drobným hmotným majetkem, jehož pořízení nebylo možné vykázat jako způsobilé výdaje</w:t>
      </w:r>
      <w:r w:rsidR="00AE1F2E" w:rsidRPr="005A1843">
        <w:rPr>
          <w:rFonts w:asciiTheme="minorHAnsi" w:hAnsiTheme="minorHAnsi" w:cstheme="minorHAnsi"/>
          <w:sz w:val="24"/>
          <w:szCs w:val="24"/>
        </w:rPr>
        <w:t>, přistoupili u</w:t>
      </w:r>
      <w:r w:rsidRPr="005A1843">
        <w:rPr>
          <w:rFonts w:asciiTheme="minorHAnsi" w:hAnsiTheme="minorHAnsi" w:cstheme="minorHAnsi"/>
          <w:sz w:val="24"/>
          <w:szCs w:val="24"/>
        </w:rPr>
        <w:t>vedení příjemci dotace k úpravě množstevních hodnot indikátor</w:t>
      </w:r>
      <w:r w:rsidR="00AE1F2E" w:rsidRPr="005A1843">
        <w:rPr>
          <w:rFonts w:asciiTheme="minorHAnsi" w:hAnsiTheme="minorHAnsi" w:cstheme="minorHAnsi"/>
          <w:sz w:val="24"/>
          <w:szCs w:val="24"/>
        </w:rPr>
        <w:t>ů</w:t>
      </w:r>
      <w:r w:rsidRPr="005A1843">
        <w:rPr>
          <w:rFonts w:asciiTheme="minorHAnsi" w:hAnsiTheme="minorHAnsi" w:cstheme="minorHAnsi"/>
          <w:sz w:val="24"/>
          <w:szCs w:val="24"/>
        </w:rPr>
        <w:t xml:space="preserve"> a seskupil</w:t>
      </w:r>
      <w:r w:rsidR="00823BEF">
        <w:rPr>
          <w:rFonts w:asciiTheme="minorHAnsi" w:hAnsiTheme="minorHAnsi" w:cstheme="minorHAnsi"/>
          <w:sz w:val="24"/>
          <w:szCs w:val="24"/>
        </w:rPr>
        <w:t>i</w:t>
      </w:r>
      <w:r w:rsidRPr="005A1843">
        <w:rPr>
          <w:rFonts w:asciiTheme="minorHAnsi" w:hAnsiTheme="minorHAnsi" w:cstheme="minorHAnsi"/>
          <w:sz w:val="24"/>
          <w:szCs w:val="24"/>
        </w:rPr>
        <w:t xml:space="preserve"> pořizovaný majetek do různých souborů movitých věcí. V případě společnosti PRIVAMED byla původní hodnota indikátoru ve výši 256 jednotek upravena na 33 jednotek, v případě Nemocnice Tábor byla původní hodnota indikátoru ve výši 129 jednotek změněna na 181 jednotek. </w:t>
      </w:r>
    </w:p>
    <w:p w:rsidR="00A906B2" w:rsidRPr="005A1843" w:rsidRDefault="00A906B2" w:rsidP="00A10175">
      <w:pPr>
        <w:shd w:val="clear" w:color="auto" w:fill="FFFFFF" w:themeFill="background1"/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AE1F2E" w:rsidRDefault="00E9085C" w:rsidP="00A10175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Přestože </w:t>
      </w:r>
      <w:r w:rsidR="004C76CF">
        <w:rPr>
          <w:rFonts w:asciiTheme="minorHAnsi" w:hAnsiTheme="minorHAnsi" w:cstheme="minorHAnsi"/>
          <w:sz w:val="24"/>
          <w:szCs w:val="24"/>
          <w:lang w:eastAsia="cs-CZ"/>
        </w:rPr>
        <w:t>v 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obou případech došlo </w:t>
      </w:r>
      <w:r w:rsidR="004C76CF">
        <w:rPr>
          <w:rFonts w:asciiTheme="minorHAnsi" w:hAnsiTheme="minorHAnsi" w:cstheme="minorHAnsi"/>
          <w:sz w:val="24"/>
          <w:szCs w:val="24"/>
          <w:lang w:eastAsia="cs-CZ"/>
        </w:rPr>
        <w:t>k 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poměrně zásadní změně </w:t>
      </w:r>
      <w:r w:rsidR="00AE1F2E" w:rsidRPr="005A1843">
        <w:rPr>
          <w:rFonts w:asciiTheme="minorHAnsi" w:hAnsiTheme="minorHAnsi" w:cstheme="minorHAnsi"/>
          <w:sz w:val="24"/>
          <w:szCs w:val="24"/>
          <w:lang w:eastAsia="cs-CZ"/>
        </w:rPr>
        <w:t>počtu jednotek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indikátoru, neměly tyto změny vliv na bodové hodnocení projektů. </w:t>
      </w:r>
      <w:r w:rsidR="00A70D56" w:rsidRPr="005A1843">
        <w:rPr>
          <w:rFonts w:asciiTheme="minorHAnsi" w:hAnsiTheme="minorHAnsi" w:cstheme="minorHAnsi"/>
          <w:sz w:val="24"/>
          <w:szCs w:val="24"/>
          <w:lang w:eastAsia="cs-CZ"/>
        </w:rPr>
        <w:t>Původní rozsah a struktura pořízeného zdravotnického vybavení totiž zůstaly nezměněny, došlo pouze k agregaci jednotlivých položek majetku do tzv. souborů movitých věcí, jejichž počet představoval hodnotu změněných indikátorů.</w:t>
      </w:r>
    </w:p>
    <w:p w:rsidR="00A906B2" w:rsidRPr="005A1843" w:rsidRDefault="00A906B2" w:rsidP="00A10175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</w:p>
    <w:p w:rsidR="00E9085C" w:rsidRPr="005A1843" w:rsidRDefault="00A70D56" w:rsidP="00B33859">
      <w:pPr>
        <w:spacing w:before="0" w:after="0"/>
        <w:rPr>
          <w:rFonts w:asciiTheme="minorHAnsi" w:hAnsiTheme="minorHAnsi" w:cstheme="minorHAnsi"/>
          <w:sz w:val="24"/>
          <w:szCs w:val="24"/>
          <w:lang w:eastAsia="cs-CZ"/>
        </w:rPr>
      </w:pPr>
      <w:r w:rsidRPr="005A1843">
        <w:rPr>
          <w:rFonts w:asciiTheme="minorHAnsi" w:hAnsiTheme="minorHAnsi" w:cstheme="minorHAnsi"/>
          <w:sz w:val="24"/>
          <w:szCs w:val="24"/>
          <w:lang w:eastAsia="cs-CZ"/>
        </w:rPr>
        <w:t>Z</w:t>
      </w:r>
      <w:r w:rsidR="00E9085C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a stejné množství finančních prostředků 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tak </w:t>
      </w:r>
      <w:r w:rsidR="00E9085C" w:rsidRPr="005A1843">
        <w:rPr>
          <w:rFonts w:asciiTheme="minorHAnsi" w:hAnsiTheme="minorHAnsi" w:cstheme="minorHAnsi"/>
          <w:sz w:val="24"/>
          <w:szCs w:val="24"/>
          <w:lang w:eastAsia="cs-CZ"/>
        </w:rPr>
        <w:t>bylo možn</w:t>
      </w:r>
      <w:r w:rsidR="00823BEF">
        <w:rPr>
          <w:rFonts w:asciiTheme="minorHAnsi" w:hAnsiTheme="minorHAnsi" w:cstheme="minorHAnsi"/>
          <w:sz w:val="24"/>
          <w:szCs w:val="24"/>
          <w:lang w:eastAsia="cs-CZ"/>
        </w:rPr>
        <w:t>é</w:t>
      </w:r>
      <w:r w:rsidR="00E9085C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pořídit 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majetek vyjádřený </w:t>
      </w:r>
      <w:r w:rsidR="00E9085C" w:rsidRPr="005A1843">
        <w:rPr>
          <w:rFonts w:asciiTheme="minorHAnsi" w:hAnsiTheme="minorHAnsi" w:cstheme="minorHAnsi"/>
          <w:sz w:val="24"/>
          <w:szCs w:val="24"/>
          <w:lang w:eastAsia="cs-CZ"/>
        </w:rPr>
        <w:t>různý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>m</w:t>
      </w:r>
      <w:r w:rsidR="00E9085C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 poč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tem </w:t>
      </w:r>
      <w:r w:rsidR="00823BEF">
        <w:rPr>
          <w:rFonts w:asciiTheme="minorHAnsi" w:hAnsiTheme="minorHAnsi" w:cstheme="minorHAnsi"/>
          <w:sz w:val="24"/>
          <w:szCs w:val="24"/>
          <w:lang w:eastAsia="cs-CZ"/>
        </w:rPr>
        <w:t xml:space="preserve">jednotek </w:t>
      </w:r>
      <w:r w:rsidR="00E9085C" w:rsidRPr="005A1843">
        <w:rPr>
          <w:rFonts w:asciiTheme="minorHAnsi" w:hAnsiTheme="minorHAnsi" w:cstheme="minorHAnsi"/>
          <w:sz w:val="24"/>
          <w:szCs w:val="24"/>
          <w:lang w:eastAsia="cs-CZ"/>
        </w:rPr>
        <w:t>indikátor</w:t>
      </w:r>
      <w:r w:rsidR="00823BEF">
        <w:rPr>
          <w:rFonts w:asciiTheme="minorHAnsi" w:hAnsiTheme="minorHAnsi" w:cstheme="minorHAnsi"/>
          <w:sz w:val="24"/>
          <w:szCs w:val="24"/>
          <w:lang w:eastAsia="cs-CZ"/>
        </w:rPr>
        <w:t>u</w:t>
      </w:r>
      <w:r w:rsidRPr="005A1843">
        <w:rPr>
          <w:rFonts w:asciiTheme="minorHAnsi" w:hAnsiTheme="minorHAnsi" w:cstheme="minorHAnsi"/>
          <w:sz w:val="24"/>
          <w:szCs w:val="24"/>
          <w:lang w:eastAsia="cs-CZ"/>
        </w:rPr>
        <w:t>, přestože se ve skutečnosti jednalo o stále stejné množství zdravotnického vybavení</w:t>
      </w:r>
      <w:r w:rsidR="00E9085C" w:rsidRPr="005A1843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</w:p>
    <w:p w:rsidR="00325A1C" w:rsidRDefault="00325A1C" w:rsidP="00E9085C">
      <w:pPr>
        <w:spacing w:before="0" w:after="0"/>
        <w:jc w:val="left"/>
        <w:rPr>
          <w:rFonts w:cs="Arial"/>
          <w:b/>
        </w:rPr>
      </w:pPr>
    </w:p>
    <w:p w:rsidR="00E9085C" w:rsidRDefault="00E9085C" w:rsidP="00E9085C">
      <w:pPr>
        <w:spacing w:before="0"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A1843">
        <w:rPr>
          <w:rFonts w:asciiTheme="minorHAnsi" w:hAnsiTheme="minorHAnsi" w:cstheme="minorHAnsi"/>
          <w:b/>
          <w:sz w:val="24"/>
          <w:szCs w:val="24"/>
          <w:highlight w:val="lightGray"/>
        </w:rPr>
        <w:t>Porovnání vybraných cenových parametrů</w:t>
      </w:r>
    </w:p>
    <w:p w:rsidR="00A906B2" w:rsidRPr="005A1843" w:rsidRDefault="00A906B2" w:rsidP="00E9085C">
      <w:pPr>
        <w:spacing w:before="0" w:after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FD1EDB" w:rsidRPr="00A10175" w:rsidRDefault="00FD1EDB" w:rsidP="00A10175">
      <w:pPr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A10175">
        <w:rPr>
          <w:rFonts w:asciiTheme="minorHAnsi" w:hAnsiTheme="minorHAnsi" w:cstheme="minorHAnsi"/>
          <w:b/>
          <w:sz w:val="24"/>
          <w:szCs w:val="24"/>
        </w:rPr>
        <w:t>Přístrojové vybavení</w:t>
      </w:r>
    </w:p>
    <w:p w:rsidR="006B2F4E" w:rsidRDefault="00823BEF" w:rsidP="00A1017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4C76CF">
        <w:rPr>
          <w:rFonts w:asciiTheme="minorHAnsi" w:hAnsiTheme="minorHAnsi" w:cstheme="minorHAnsi"/>
          <w:sz w:val="24"/>
          <w:szCs w:val="24"/>
        </w:rPr>
        <w:t> </w:t>
      </w:r>
      <w:r w:rsidR="00E9085C" w:rsidRPr="005A1843">
        <w:rPr>
          <w:rFonts w:asciiTheme="minorHAnsi" w:hAnsiTheme="minorHAnsi" w:cstheme="minorHAnsi"/>
          <w:sz w:val="24"/>
          <w:szCs w:val="24"/>
        </w:rPr>
        <w:t xml:space="preserve">porovnání pořizovacích cen zdravotnické techniky </w:t>
      </w:r>
      <w:r>
        <w:rPr>
          <w:rFonts w:asciiTheme="minorHAnsi" w:hAnsiTheme="minorHAnsi" w:cstheme="minorHAnsi"/>
          <w:sz w:val="24"/>
          <w:szCs w:val="24"/>
        </w:rPr>
        <w:t xml:space="preserve">byly vybrány </w:t>
      </w:r>
      <w:r w:rsidR="00E9085C" w:rsidRPr="005A1843">
        <w:rPr>
          <w:rFonts w:asciiTheme="minorHAnsi" w:hAnsiTheme="minorHAnsi" w:cstheme="minorHAnsi"/>
          <w:sz w:val="24"/>
          <w:szCs w:val="24"/>
        </w:rPr>
        <w:t xml:space="preserve">typově obdobné přístroje pořízené z dotací ROP JZ. </w:t>
      </w:r>
      <w:r w:rsidR="002B6945" w:rsidRPr="005A1843">
        <w:rPr>
          <w:rFonts w:asciiTheme="minorHAnsi" w:hAnsiTheme="minorHAnsi" w:cstheme="minorHAnsi"/>
          <w:sz w:val="24"/>
          <w:szCs w:val="24"/>
        </w:rPr>
        <w:t>Přestože technická specifikace poř</w:t>
      </w:r>
      <w:r>
        <w:rPr>
          <w:rFonts w:asciiTheme="minorHAnsi" w:hAnsiTheme="minorHAnsi" w:cstheme="minorHAnsi"/>
          <w:sz w:val="24"/>
          <w:szCs w:val="24"/>
        </w:rPr>
        <w:t>ízených</w:t>
      </w:r>
      <w:r w:rsidR="002B6945" w:rsidRPr="005A1843">
        <w:rPr>
          <w:rFonts w:asciiTheme="minorHAnsi" w:hAnsiTheme="minorHAnsi" w:cstheme="minorHAnsi"/>
          <w:sz w:val="24"/>
          <w:szCs w:val="24"/>
        </w:rPr>
        <w:t xml:space="preserve"> zdravotnických přístrojů nebyla zcela identická, </w:t>
      </w:r>
      <w:r>
        <w:rPr>
          <w:rFonts w:asciiTheme="minorHAnsi" w:hAnsiTheme="minorHAnsi" w:cstheme="minorHAnsi"/>
          <w:sz w:val="24"/>
          <w:szCs w:val="24"/>
        </w:rPr>
        <w:t>vybral</w:t>
      </w:r>
      <w:r w:rsidRPr="005A1843">
        <w:rPr>
          <w:rFonts w:asciiTheme="minorHAnsi" w:hAnsiTheme="minorHAnsi" w:cstheme="minorHAnsi"/>
          <w:sz w:val="24"/>
          <w:szCs w:val="24"/>
        </w:rPr>
        <w:t xml:space="preserve"> </w:t>
      </w:r>
      <w:r w:rsidR="002B6945" w:rsidRPr="005A1843">
        <w:rPr>
          <w:rFonts w:asciiTheme="minorHAnsi" w:hAnsiTheme="minorHAnsi" w:cstheme="minorHAnsi"/>
          <w:sz w:val="24"/>
          <w:szCs w:val="24"/>
        </w:rPr>
        <w:t>NKÚ k porovnání parametricky obdobné přístroje, přičemž byly v některých případech zjištěny značné cenové rozdíly.</w:t>
      </w:r>
      <w:r w:rsidR="002B6945" w:rsidRPr="005A1843">
        <w:rPr>
          <w:rFonts w:asciiTheme="minorHAnsi" w:hAnsiTheme="minorHAnsi" w:cstheme="minorHAnsi"/>
          <w:color w:val="FFFF00"/>
          <w:sz w:val="24"/>
          <w:szCs w:val="24"/>
        </w:rPr>
        <w:t xml:space="preserve"> </w:t>
      </w:r>
      <w:r w:rsidR="002B6945" w:rsidRPr="005A1843">
        <w:rPr>
          <w:rFonts w:asciiTheme="minorHAnsi" w:hAnsiTheme="minorHAnsi" w:cstheme="minorHAnsi"/>
          <w:sz w:val="24"/>
          <w:szCs w:val="24"/>
        </w:rPr>
        <w:t xml:space="preserve">Vzhledem k tomu, že </w:t>
      </w:r>
      <w:r w:rsidR="00971A97" w:rsidRPr="005A1843">
        <w:rPr>
          <w:rFonts w:asciiTheme="minorHAnsi" w:hAnsiTheme="minorHAnsi" w:cstheme="minorHAnsi"/>
          <w:sz w:val="24"/>
          <w:szCs w:val="24"/>
        </w:rPr>
        <w:t xml:space="preserve">nastavené </w:t>
      </w:r>
      <w:r w:rsidR="0052524D" w:rsidRPr="005A1843">
        <w:rPr>
          <w:rFonts w:asciiTheme="minorHAnsi" w:hAnsiTheme="minorHAnsi" w:cstheme="minorHAnsi"/>
          <w:sz w:val="24"/>
          <w:szCs w:val="24"/>
        </w:rPr>
        <w:t xml:space="preserve">jednotkové ceny </w:t>
      </w:r>
      <w:r w:rsidR="002B6945" w:rsidRPr="005A1843">
        <w:rPr>
          <w:rFonts w:asciiTheme="minorHAnsi" w:hAnsiTheme="minorHAnsi" w:cstheme="minorHAnsi"/>
          <w:sz w:val="24"/>
          <w:szCs w:val="24"/>
        </w:rPr>
        <w:t>indikátor</w:t>
      </w:r>
      <w:r w:rsidR="0052524D" w:rsidRPr="005A1843">
        <w:rPr>
          <w:rFonts w:asciiTheme="minorHAnsi" w:hAnsiTheme="minorHAnsi" w:cstheme="minorHAnsi"/>
          <w:sz w:val="24"/>
          <w:szCs w:val="24"/>
        </w:rPr>
        <w:t xml:space="preserve">ů </w:t>
      </w:r>
      <w:r w:rsidR="00971A97" w:rsidRPr="005A1843">
        <w:rPr>
          <w:rFonts w:asciiTheme="minorHAnsi" w:hAnsiTheme="minorHAnsi" w:cstheme="minorHAnsi"/>
          <w:sz w:val="24"/>
          <w:szCs w:val="24"/>
        </w:rPr>
        <w:t>neodpovídaly reálným cenám</w:t>
      </w:r>
      <w:r w:rsidR="002B6945" w:rsidRPr="005A1843">
        <w:rPr>
          <w:rFonts w:asciiTheme="minorHAnsi" w:hAnsiTheme="minorHAnsi" w:cstheme="minorHAnsi"/>
          <w:sz w:val="24"/>
          <w:szCs w:val="24"/>
        </w:rPr>
        <w:t>, nemohly sloužit k eliminaci cenových výkyvů.</w:t>
      </w:r>
    </w:p>
    <w:p w:rsidR="00A906B2" w:rsidRPr="00B33859" w:rsidRDefault="00A906B2" w:rsidP="00A10175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B42CE0" w:rsidRDefault="00B42CE0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137158" w:rsidRPr="00137158" w:rsidRDefault="00137158" w:rsidP="009A0E05">
      <w:pPr>
        <w:spacing w:before="0" w:after="0"/>
        <w:ind w:left="1418" w:hanging="1418"/>
        <w:jc w:val="left"/>
        <w:rPr>
          <w:rFonts w:asciiTheme="minorHAnsi" w:hAnsiTheme="minorHAnsi" w:cstheme="minorHAnsi"/>
          <w:b/>
          <w:sz w:val="24"/>
          <w:szCs w:val="24"/>
        </w:rPr>
      </w:pPr>
      <w:r w:rsidRPr="00137158">
        <w:rPr>
          <w:rFonts w:asciiTheme="minorHAnsi" w:hAnsiTheme="minorHAnsi" w:cstheme="minorHAnsi"/>
          <w:b/>
          <w:sz w:val="24"/>
          <w:szCs w:val="24"/>
        </w:rPr>
        <w:lastRenderedPageBreak/>
        <w:t>Tabulka č. 4 – Porovnání cen poř</w:t>
      </w:r>
      <w:r w:rsidR="00823BEF">
        <w:rPr>
          <w:rFonts w:asciiTheme="minorHAnsi" w:hAnsiTheme="minorHAnsi" w:cstheme="minorHAnsi"/>
          <w:b/>
          <w:sz w:val="24"/>
          <w:szCs w:val="24"/>
        </w:rPr>
        <w:t>ízené</w:t>
      </w:r>
      <w:r w:rsidRPr="00137158">
        <w:rPr>
          <w:rFonts w:asciiTheme="minorHAnsi" w:hAnsiTheme="minorHAnsi" w:cstheme="minorHAnsi"/>
          <w:b/>
          <w:sz w:val="24"/>
          <w:szCs w:val="24"/>
        </w:rPr>
        <w:t xml:space="preserve"> zdravotnické techniky mezi společností </w:t>
      </w:r>
      <w:r w:rsidR="00B42CE0">
        <w:rPr>
          <w:rFonts w:asciiTheme="minorHAnsi" w:hAnsiTheme="minorHAnsi" w:cstheme="minorHAnsi"/>
          <w:b/>
          <w:sz w:val="24"/>
          <w:szCs w:val="24"/>
        </w:rPr>
        <w:br/>
      </w:r>
      <w:r w:rsidRPr="00137158">
        <w:rPr>
          <w:rFonts w:asciiTheme="minorHAnsi" w:hAnsiTheme="minorHAnsi" w:cstheme="minorHAnsi"/>
          <w:b/>
          <w:sz w:val="24"/>
          <w:szCs w:val="24"/>
        </w:rPr>
        <w:t>PRIVAMED Plzeň a Nemocnicí Tábor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2720"/>
        <w:gridCol w:w="2900"/>
      </w:tblGrid>
      <w:tr w:rsidR="00137158" w:rsidRPr="0000769C" w:rsidTr="0077656B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37158" w:rsidRPr="00137158" w:rsidRDefault="00137158" w:rsidP="0077656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 přístroje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2CE0" w:rsidRDefault="00137158" w:rsidP="0077656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PRIVAMED Plzeň </w:t>
            </w:r>
          </w:p>
          <w:p w:rsidR="00F20FB1" w:rsidRDefault="00137158" w:rsidP="0077656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(cena</w:t>
            </w:r>
            <w:r w:rsidR="00B42C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jednoho přístroje </w:t>
            </w:r>
          </w:p>
          <w:p w:rsidR="00137158" w:rsidRPr="00137158" w:rsidRDefault="00137158" w:rsidP="0077656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včetně DPH)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42CE0" w:rsidRDefault="00137158" w:rsidP="0077656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Nemocnice Tábor </w:t>
            </w:r>
          </w:p>
          <w:p w:rsidR="00F20FB1" w:rsidRDefault="00137158" w:rsidP="0077656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(cena</w:t>
            </w:r>
            <w:r w:rsidR="00B42CE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jednoho přístroje </w:t>
            </w:r>
          </w:p>
          <w:p w:rsidR="00137158" w:rsidRPr="00137158" w:rsidRDefault="00137158" w:rsidP="0077656B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včetně DPH)</w:t>
            </w:r>
          </w:p>
        </w:tc>
      </w:tr>
      <w:tr w:rsidR="00137158" w:rsidRPr="0000769C" w:rsidTr="009A0E05">
        <w:trPr>
          <w:trHeight w:val="53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58" w:rsidRPr="00137158" w:rsidRDefault="00137158" w:rsidP="0077656B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Lůžkový monitor vitálních funkcí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58" w:rsidRPr="00137158" w:rsidRDefault="00137158" w:rsidP="009A0E05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174 999,00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58" w:rsidRPr="00137158" w:rsidRDefault="00137158" w:rsidP="009A0E05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541 394,00</w:t>
            </w:r>
          </w:p>
        </w:tc>
      </w:tr>
      <w:tr w:rsidR="00137158" w:rsidRPr="0000769C" w:rsidTr="009A0E05">
        <w:trPr>
          <w:trHeight w:val="85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58" w:rsidRPr="00137158" w:rsidRDefault="00137158" w:rsidP="0077656B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Anesteziologický přístroj, včetně ventilátoru a monitorovací jednotky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58" w:rsidRPr="00137158" w:rsidRDefault="00137158" w:rsidP="009A0E05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757 955,00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58" w:rsidRPr="00137158" w:rsidRDefault="00137158" w:rsidP="009A0E05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1 162 795,00</w:t>
            </w:r>
          </w:p>
        </w:tc>
      </w:tr>
      <w:tr w:rsidR="00137158" w:rsidRPr="0000769C" w:rsidTr="009A0E05">
        <w:trPr>
          <w:trHeight w:val="546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158" w:rsidRPr="00137158" w:rsidRDefault="00137158" w:rsidP="0077656B">
            <w:pPr>
              <w:spacing w:before="0"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Defibrilátor, monitor, pacemaker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58" w:rsidRPr="00137158" w:rsidRDefault="00137158" w:rsidP="009A0E05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157 300,00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158" w:rsidRPr="00137158" w:rsidRDefault="00137158" w:rsidP="009A0E05">
            <w:pPr>
              <w:spacing w:before="0" w:after="0"/>
              <w:ind w:right="57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13715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286 698,00</w:t>
            </w:r>
          </w:p>
        </w:tc>
      </w:tr>
    </w:tbl>
    <w:p w:rsidR="00137158" w:rsidRPr="0097139E" w:rsidRDefault="00137158" w:rsidP="00137158">
      <w:pPr>
        <w:spacing w:before="0" w:after="0"/>
        <w:rPr>
          <w:sz w:val="18"/>
          <w:szCs w:val="18"/>
        </w:rPr>
      </w:pPr>
      <w:r w:rsidRPr="00137158">
        <w:rPr>
          <w:rFonts w:asciiTheme="minorHAnsi" w:hAnsiTheme="minorHAnsi" w:cstheme="minorHAnsi"/>
          <w:b/>
          <w:sz w:val="20"/>
          <w:szCs w:val="20"/>
        </w:rPr>
        <w:t>Zdroj:</w:t>
      </w:r>
      <w:r w:rsidRPr="00137158">
        <w:rPr>
          <w:rFonts w:asciiTheme="minorHAnsi" w:hAnsiTheme="minorHAnsi" w:cstheme="minorHAnsi"/>
          <w:sz w:val="20"/>
          <w:szCs w:val="20"/>
        </w:rPr>
        <w:t xml:space="preserve"> </w:t>
      </w:r>
      <w:r w:rsidR="00B42CE0">
        <w:rPr>
          <w:rFonts w:asciiTheme="minorHAnsi" w:hAnsiTheme="minorHAnsi" w:cstheme="minorHAnsi"/>
          <w:sz w:val="20"/>
          <w:szCs w:val="20"/>
        </w:rPr>
        <w:t>f</w:t>
      </w:r>
      <w:r w:rsidRPr="00137158">
        <w:rPr>
          <w:rFonts w:asciiTheme="minorHAnsi" w:hAnsiTheme="minorHAnsi" w:cstheme="minorHAnsi"/>
          <w:sz w:val="20"/>
          <w:szCs w:val="20"/>
        </w:rPr>
        <w:t>akturace za dodané přístroje</w:t>
      </w:r>
      <w:r>
        <w:rPr>
          <w:sz w:val="18"/>
          <w:szCs w:val="18"/>
        </w:rPr>
        <w:t>.</w:t>
      </w:r>
    </w:p>
    <w:p w:rsidR="006B2F4E" w:rsidRDefault="006B2F4E" w:rsidP="009A0E05">
      <w:pPr>
        <w:spacing w:before="0" w:after="0"/>
        <w:rPr>
          <w:rFonts w:cs="Arial"/>
        </w:rPr>
      </w:pPr>
    </w:p>
    <w:p w:rsidR="00FD1EDB" w:rsidRPr="009A0E05" w:rsidRDefault="00FD1EDB" w:rsidP="009A0E05">
      <w:pPr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9A0E05">
        <w:rPr>
          <w:rFonts w:asciiTheme="minorHAnsi" w:hAnsiTheme="minorHAnsi" w:cstheme="minorHAnsi"/>
          <w:b/>
          <w:sz w:val="24"/>
          <w:szCs w:val="24"/>
        </w:rPr>
        <w:t>Výstavba nových objektů</w:t>
      </w:r>
    </w:p>
    <w:p w:rsidR="008E1CD5" w:rsidRDefault="008E1CD5" w:rsidP="009A0E05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5A1843">
        <w:rPr>
          <w:rFonts w:asciiTheme="minorHAnsi" w:hAnsiTheme="minorHAnsi" w:cstheme="minorHAnsi"/>
          <w:sz w:val="24"/>
          <w:szCs w:val="24"/>
        </w:rPr>
        <w:t xml:space="preserve">V rámci projektů, jejichž předmětem byla výstavba nových objektů (budov pro zdravotnictví), provedl NKÚ porovnání nákladů vynaložených na realizaci staveb. </w:t>
      </w:r>
    </w:p>
    <w:p w:rsidR="00A906B2" w:rsidRPr="005A1843" w:rsidRDefault="00A906B2" w:rsidP="009A0E05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2B6945" w:rsidRDefault="00FD1EDB" w:rsidP="009A0E05">
      <w:p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5A1843">
        <w:rPr>
          <w:rFonts w:asciiTheme="minorHAnsi" w:hAnsiTheme="minorHAnsi" w:cstheme="minorHAnsi"/>
          <w:bCs/>
          <w:sz w:val="24"/>
          <w:szCs w:val="24"/>
        </w:rPr>
        <w:t>RR</w:t>
      </w:r>
      <w:r w:rsidR="0078401D">
        <w:rPr>
          <w:rFonts w:asciiTheme="minorHAnsi" w:hAnsiTheme="minorHAnsi" w:cstheme="minorHAnsi"/>
          <w:bCs/>
          <w:sz w:val="24"/>
          <w:szCs w:val="24"/>
        </w:rPr>
        <w:t> </w:t>
      </w:r>
      <w:r w:rsidRPr="005A1843">
        <w:rPr>
          <w:rFonts w:asciiTheme="minorHAnsi" w:hAnsiTheme="minorHAnsi" w:cstheme="minorHAnsi"/>
          <w:bCs/>
          <w:sz w:val="24"/>
          <w:szCs w:val="24"/>
        </w:rPr>
        <w:t>JZ stanovila v </w:t>
      </w:r>
      <w:r w:rsidR="00B42CE0">
        <w:rPr>
          <w:rFonts w:asciiTheme="minorHAnsi" w:hAnsiTheme="minorHAnsi" w:cstheme="minorHAnsi"/>
          <w:bCs/>
          <w:sz w:val="24"/>
          <w:szCs w:val="24"/>
        </w:rPr>
        <w:t>m</w:t>
      </w:r>
      <w:r w:rsidRPr="005A1843">
        <w:rPr>
          <w:rFonts w:asciiTheme="minorHAnsi" w:hAnsiTheme="minorHAnsi" w:cstheme="minorHAnsi"/>
          <w:bCs/>
          <w:sz w:val="24"/>
          <w:szCs w:val="24"/>
        </w:rPr>
        <w:t xml:space="preserve">etodickém pokynu </w:t>
      </w:r>
      <w:r w:rsidRPr="009A0E05">
        <w:rPr>
          <w:rFonts w:asciiTheme="minorHAnsi" w:hAnsiTheme="minorHAnsi" w:cstheme="minorHAnsi"/>
          <w:bCs/>
          <w:i/>
          <w:sz w:val="24"/>
          <w:szCs w:val="24"/>
        </w:rPr>
        <w:t>Indikátorová soustava</w:t>
      </w:r>
      <w:r w:rsidRPr="005A1843">
        <w:rPr>
          <w:rFonts w:asciiTheme="minorHAnsi" w:hAnsiTheme="minorHAnsi" w:cstheme="minorHAnsi"/>
          <w:bCs/>
          <w:sz w:val="24"/>
          <w:szCs w:val="24"/>
        </w:rPr>
        <w:t xml:space="preserve"> h</w:t>
      </w:r>
      <w:r w:rsidR="002B6945" w:rsidRPr="005A1843">
        <w:rPr>
          <w:rFonts w:asciiTheme="minorHAnsi" w:hAnsiTheme="minorHAnsi" w:cstheme="minorHAnsi"/>
          <w:bCs/>
          <w:sz w:val="24"/>
          <w:szCs w:val="24"/>
        </w:rPr>
        <w:t xml:space="preserve">odnotu indikátoru </w:t>
      </w:r>
      <w:r w:rsidR="00B42CE0">
        <w:rPr>
          <w:rFonts w:asciiTheme="minorHAnsi" w:hAnsiTheme="minorHAnsi" w:cstheme="minorHAnsi"/>
          <w:bCs/>
          <w:sz w:val="24"/>
          <w:szCs w:val="24"/>
        </w:rPr>
        <w:t>„</w:t>
      </w:r>
      <w:r w:rsidR="00B42CE0">
        <w:rPr>
          <w:rFonts w:asciiTheme="minorHAnsi" w:hAnsiTheme="minorHAnsi" w:cstheme="minorHAnsi"/>
          <w:bCs/>
          <w:i/>
          <w:sz w:val="24"/>
          <w:szCs w:val="24"/>
        </w:rPr>
        <w:t>p</w:t>
      </w:r>
      <w:r w:rsidR="002B6945" w:rsidRPr="005A1843">
        <w:rPr>
          <w:rFonts w:asciiTheme="minorHAnsi" w:hAnsiTheme="minorHAnsi" w:cstheme="minorHAnsi"/>
          <w:bCs/>
          <w:i/>
          <w:sz w:val="24"/>
          <w:szCs w:val="24"/>
        </w:rPr>
        <w:t>locha nově vybudovaných objektů – zdravotnictví</w:t>
      </w:r>
      <w:r w:rsidR="00B42CE0" w:rsidRPr="009A0E05">
        <w:rPr>
          <w:rFonts w:asciiTheme="minorHAnsi" w:hAnsiTheme="minorHAnsi" w:cstheme="minorHAnsi"/>
          <w:bCs/>
          <w:sz w:val="24"/>
          <w:szCs w:val="24"/>
        </w:rPr>
        <w:t>“</w:t>
      </w:r>
      <w:r w:rsidR="002B6945" w:rsidRPr="005A1843">
        <w:rPr>
          <w:rFonts w:asciiTheme="minorHAnsi" w:hAnsiTheme="minorHAnsi" w:cstheme="minorHAnsi"/>
          <w:bCs/>
          <w:sz w:val="24"/>
          <w:szCs w:val="24"/>
        </w:rPr>
        <w:t xml:space="preserve"> ve výši 100 000 Kč/m</w:t>
      </w:r>
      <w:r w:rsidR="002B6945" w:rsidRPr="005A1843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="002B6945" w:rsidRPr="005A1843">
        <w:rPr>
          <w:rFonts w:asciiTheme="minorHAnsi" w:hAnsiTheme="minorHAnsi" w:cstheme="minorHAnsi"/>
          <w:bCs/>
          <w:sz w:val="24"/>
          <w:szCs w:val="24"/>
        </w:rPr>
        <w:t xml:space="preserve">. Uvedená hodnota nebyla v průběhu realizace programu změněna. </w:t>
      </w:r>
    </w:p>
    <w:p w:rsidR="00A906B2" w:rsidRPr="005A1843" w:rsidRDefault="00A906B2" w:rsidP="009A0E05">
      <w:pPr>
        <w:spacing w:before="0" w:after="0"/>
        <w:rPr>
          <w:rFonts w:asciiTheme="minorHAnsi" w:hAnsiTheme="minorHAnsi" w:cstheme="minorHAnsi"/>
          <w:bCs/>
          <w:sz w:val="24"/>
          <w:szCs w:val="24"/>
        </w:rPr>
      </w:pPr>
    </w:p>
    <w:p w:rsidR="008E1CD5" w:rsidRDefault="008E1CD5" w:rsidP="009A0E05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5A1843">
        <w:rPr>
          <w:rFonts w:asciiTheme="minorHAnsi" w:hAnsiTheme="minorHAnsi" w:cstheme="minorHAnsi"/>
          <w:sz w:val="24"/>
          <w:szCs w:val="24"/>
        </w:rPr>
        <w:t xml:space="preserve">NKÚ zjistil pro orientační porovnání nákladů průměrnou cenu </w:t>
      </w:r>
      <w:r w:rsidR="00E7073F">
        <w:rPr>
          <w:rFonts w:asciiTheme="minorHAnsi" w:hAnsiTheme="minorHAnsi" w:cstheme="minorHAnsi"/>
          <w:sz w:val="24"/>
          <w:szCs w:val="24"/>
        </w:rPr>
        <w:t xml:space="preserve">stavby </w:t>
      </w:r>
      <w:r w:rsidRPr="005A1843">
        <w:rPr>
          <w:rFonts w:asciiTheme="minorHAnsi" w:hAnsiTheme="minorHAnsi" w:cstheme="minorHAnsi"/>
          <w:sz w:val="24"/>
          <w:szCs w:val="24"/>
        </w:rPr>
        <w:t>podle vyhlášky č.</w:t>
      </w:r>
      <w:r w:rsidR="00E7073F">
        <w:rPr>
          <w:rFonts w:asciiTheme="minorHAnsi" w:hAnsiTheme="minorHAnsi" w:cstheme="minorHAnsi"/>
          <w:sz w:val="24"/>
          <w:szCs w:val="24"/>
        </w:rPr>
        <w:t> </w:t>
      </w:r>
      <w:r w:rsidRPr="005A1843">
        <w:rPr>
          <w:rFonts w:asciiTheme="minorHAnsi" w:hAnsiTheme="minorHAnsi" w:cstheme="minorHAnsi"/>
          <w:sz w:val="24"/>
          <w:szCs w:val="24"/>
        </w:rPr>
        <w:t>3/</w:t>
      </w:r>
      <w:r w:rsidR="005A1843">
        <w:rPr>
          <w:rFonts w:asciiTheme="minorHAnsi" w:hAnsiTheme="minorHAnsi" w:cstheme="minorHAnsi"/>
          <w:sz w:val="24"/>
          <w:szCs w:val="24"/>
        </w:rPr>
        <w:t>2008 Sb., o </w:t>
      </w:r>
      <w:r w:rsidRPr="005A1843">
        <w:rPr>
          <w:rFonts w:asciiTheme="minorHAnsi" w:hAnsiTheme="minorHAnsi" w:cstheme="minorHAnsi"/>
          <w:sz w:val="24"/>
          <w:szCs w:val="24"/>
        </w:rPr>
        <w:t>provedení některých ustanovení zákona č. 151/1997 Sb., o oceňování majetku a o změně některých zákonů, ve znění pozdějších předpisů</w:t>
      </w:r>
      <w:r w:rsidR="00B42CE0">
        <w:rPr>
          <w:rFonts w:asciiTheme="minorHAnsi" w:hAnsiTheme="minorHAnsi" w:cstheme="minorHAnsi"/>
          <w:sz w:val="24"/>
          <w:szCs w:val="24"/>
        </w:rPr>
        <w:t>,</w:t>
      </w:r>
      <w:r w:rsidRPr="005A1843">
        <w:rPr>
          <w:rFonts w:asciiTheme="minorHAnsi" w:hAnsiTheme="minorHAnsi" w:cstheme="minorHAnsi"/>
          <w:sz w:val="24"/>
          <w:szCs w:val="24"/>
        </w:rPr>
        <w:t xml:space="preserve"> (oceňovací vyhláška)</w:t>
      </w:r>
      <w:r w:rsidR="00B42CE0">
        <w:rPr>
          <w:rFonts w:asciiTheme="minorHAnsi" w:hAnsiTheme="minorHAnsi" w:cstheme="minorHAnsi"/>
          <w:sz w:val="24"/>
          <w:szCs w:val="24"/>
        </w:rPr>
        <w:t>.</w:t>
      </w:r>
      <w:r w:rsidRPr="005A1843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  <w:r w:rsidRPr="005A1843">
        <w:rPr>
          <w:rFonts w:asciiTheme="minorHAnsi" w:hAnsiTheme="minorHAnsi" w:cstheme="minorHAnsi"/>
          <w:sz w:val="24"/>
          <w:szCs w:val="24"/>
        </w:rPr>
        <w:t xml:space="preserve"> Podle </w:t>
      </w:r>
      <w:r w:rsidR="00B42CE0">
        <w:rPr>
          <w:rFonts w:asciiTheme="minorHAnsi" w:hAnsiTheme="minorHAnsi" w:cstheme="minorHAnsi"/>
          <w:sz w:val="24"/>
          <w:szCs w:val="24"/>
        </w:rPr>
        <w:t>zmíněné</w:t>
      </w:r>
      <w:r w:rsidRPr="005A1843">
        <w:rPr>
          <w:rFonts w:asciiTheme="minorHAnsi" w:hAnsiTheme="minorHAnsi" w:cstheme="minorHAnsi"/>
          <w:sz w:val="24"/>
          <w:szCs w:val="24"/>
        </w:rPr>
        <w:t xml:space="preserve"> vyhlášky lze zjistit průměrnou cenu za 1 m</w:t>
      </w:r>
      <w:r w:rsidRPr="005A184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5A1843">
        <w:rPr>
          <w:rFonts w:asciiTheme="minorHAnsi" w:hAnsiTheme="minorHAnsi" w:cstheme="minorHAnsi"/>
          <w:sz w:val="24"/>
          <w:szCs w:val="24"/>
        </w:rPr>
        <w:t xml:space="preserve"> obestavěného prostoru budov pro zdravotnictví. Vzhledem k tomu, že jednotková cena indikátoru </w:t>
      </w:r>
      <w:r w:rsidR="00B42CE0">
        <w:rPr>
          <w:rFonts w:asciiTheme="minorHAnsi" w:hAnsiTheme="minorHAnsi" w:cstheme="minorHAnsi"/>
          <w:sz w:val="24"/>
          <w:szCs w:val="24"/>
        </w:rPr>
        <w:t>„</w:t>
      </w:r>
      <w:r w:rsidR="00B42CE0">
        <w:rPr>
          <w:rFonts w:asciiTheme="minorHAnsi" w:hAnsiTheme="minorHAnsi" w:cstheme="minorHAnsi"/>
          <w:i/>
          <w:sz w:val="24"/>
          <w:szCs w:val="24"/>
        </w:rPr>
        <w:t>p</w:t>
      </w:r>
      <w:r w:rsidRPr="005A1843">
        <w:rPr>
          <w:rFonts w:asciiTheme="minorHAnsi" w:hAnsiTheme="minorHAnsi" w:cstheme="minorHAnsi"/>
          <w:i/>
          <w:sz w:val="24"/>
          <w:szCs w:val="24"/>
        </w:rPr>
        <w:t xml:space="preserve">locha nově vybudovaných objektů </w:t>
      </w:r>
      <w:r w:rsidR="005A1843">
        <w:rPr>
          <w:rFonts w:asciiTheme="minorHAnsi" w:hAnsiTheme="minorHAnsi" w:cstheme="minorHAnsi"/>
          <w:i/>
          <w:sz w:val="24"/>
          <w:szCs w:val="24"/>
        </w:rPr>
        <w:t>–</w:t>
      </w:r>
      <w:r w:rsidRPr="005A1843">
        <w:rPr>
          <w:rFonts w:asciiTheme="minorHAnsi" w:hAnsiTheme="minorHAnsi" w:cstheme="minorHAnsi"/>
          <w:i/>
          <w:sz w:val="24"/>
          <w:szCs w:val="24"/>
        </w:rPr>
        <w:t xml:space="preserve"> zdravotnictví</w:t>
      </w:r>
      <w:r w:rsidR="00B42CE0" w:rsidRPr="009A0E05">
        <w:rPr>
          <w:rFonts w:asciiTheme="minorHAnsi" w:hAnsiTheme="minorHAnsi" w:cstheme="minorHAnsi"/>
          <w:sz w:val="24"/>
          <w:szCs w:val="24"/>
        </w:rPr>
        <w:t>“</w:t>
      </w:r>
      <w:r w:rsidRPr="005A1843">
        <w:rPr>
          <w:rFonts w:asciiTheme="minorHAnsi" w:hAnsiTheme="minorHAnsi" w:cstheme="minorHAnsi"/>
          <w:sz w:val="24"/>
          <w:szCs w:val="24"/>
        </w:rPr>
        <w:t xml:space="preserve"> byla stanovena na 1 m</w:t>
      </w:r>
      <w:r w:rsidRPr="005A184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5A1843">
        <w:rPr>
          <w:rFonts w:asciiTheme="minorHAnsi" w:hAnsiTheme="minorHAnsi" w:cstheme="minorHAnsi"/>
          <w:sz w:val="24"/>
          <w:szCs w:val="24"/>
        </w:rPr>
        <w:t xml:space="preserve"> plochy nově vybudovaných objektů (indikátor projektu), provedl NKÚ příslušný přepočet jak na m</w:t>
      </w:r>
      <w:r w:rsidRPr="005A184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5A1843">
        <w:rPr>
          <w:rFonts w:asciiTheme="minorHAnsi" w:hAnsiTheme="minorHAnsi" w:cstheme="minorHAnsi"/>
          <w:sz w:val="24"/>
          <w:szCs w:val="24"/>
        </w:rPr>
        <w:t>, tak na m</w:t>
      </w:r>
      <w:r w:rsidRPr="005A184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5A1843">
        <w:rPr>
          <w:rFonts w:asciiTheme="minorHAnsi" w:hAnsiTheme="minorHAnsi" w:cstheme="minorHAnsi"/>
          <w:sz w:val="24"/>
          <w:szCs w:val="24"/>
        </w:rPr>
        <w:t>.</w:t>
      </w:r>
    </w:p>
    <w:p w:rsidR="00A906B2" w:rsidRPr="005A1843" w:rsidRDefault="00A906B2" w:rsidP="009A0E05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6B2F4E" w:rsidRDefault="00E7073F" w:rsidP="009A0E05">
      <w:pPr>
        <w:spacing w:before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</w:t>
      </w:r>
      <w:r w:rsidRPr="005A1843"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sz w:val="24"/>
          <w:szCs w:val="24"/>
        </w:rPr>
        <w:t>z</w:t>
      </w:r>
      <w:r w:rsidR="00E9085C" w:rsidRPr="005A1843">
        <w:rPr>
          <w:rFonts w:asciiTheme="minorHAnsi" w:hAnsiTheme="minorHAnsi" w:cstheme="minorHAnsi"/>
          <w:sz w:val="24"/>
          <w:szCs w:val="24"/>
        </w:rPr>
        <w:t xml:space="preserve">jištěné </w:t>
      </w:r>
      <w:r>
        <w:rPr>
          <w:rFonts w:asciiTheme="minorHAnsi" w:hAnsiTheme="minorHAnsi" w:cstheme="minorHAnsi"/>
          <w:sz w:val="24"/>
          <w:szCs w:val="24"/>
        </w:rPr>
        <w:t>pro</w:t>
      </w:r>
      <w:r w:rsidR="00E9085C" w:rsidRPr="005A1843">
        <w:rPr>
          <w:rFonts w:asciiTheme="minorHAnsi" w:hAnsiTheme="minorHAnsi" w:cstheme="minorHAnsi"/>
          <w:sz w:val="24"/>
          <w:szCs w:val="24"/>
        </w:rPr>
        <w:t xml:space="preserve"> cenové porovnání nákladů na vybudování nových objektů pro zdravotnictví uvádí tabulka č. 5</w:t>
      </w:r>
      <w:r w:rsidR="006B2F4E">
        <w:rPr>
          <w:rFonts w:asciiTheme="minorHAnsi" w:hAnsiTheme="minorHAnsi" w:cstheme="minorHAnsi"/>
          <w:sz w:val="24"/>
          <w:szCs w:val="24"/>
        </w:rPr>
        <w:t>.</w:t>
      </w:r>
    </w:p>
    <w:p w:rsidR="00A906B2" w:rsidRPr="007E4557" w:rsidRDefault="00A906B2" w:rsidP="009A0E05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E7073F" w:rsidRDefault="00E7073F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E9085C" w:rsidRPr="005A1843" w:rsidRDefault="00E9085C" w:rsidP="00F5293F">
      <w:pPr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5A1843">
        <w:rPr>
          <w:rFonts w:asciiTheme="minorHAnsi" w:hAnsiTheme="minorHAnsi" w:cstheme="minorHAnsi"/>
          <w:b/>
          <w:sz w:val="24"/>
          <w:szCs w:val="24"/>
        </w:rPr>
        <w:lastRenderedPageBreak/>
        <w:t>Tabulka č. 5 – Porovnání nákladů na vybudování nových objektů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1732"/>
        <w:gridCol w:w="1701"/>
        <w:gridCol w:w="1559"/>
        <w:gridCol w:w="1559"/>
      </w:tblGrid>
      <w:tr w:rsidR="009869BB" w:rsidTr="00F5293F">
        <w:tc>
          <w:tcPr>
            <w:tcW w:w="2521" w:type="dxa"/>
            <w:shd w:val="clear" w:color="auto" w:fill="BFBFBF" w:themeFill="background1" w:themeFillShade="BF"/>
            <w:vAlign w:val="center"/>
          </w:tcPr>
          <w:p w:rsidR="009869BB" w:rsidRPr="005A1843" w:rsidRDefault="009869BB" w:rsidP="00FF11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843">
              <w:rPr>
                <w:rFonts w:cstheme="minorHAnsi"/>
                <w:b/>
                <w:sz w:val="20"/>
                <w:szCs w:val="20"/>
              </w:rPr>
              <w:t>Objekt (stavba)</w:t>
            </w:r>
          </w:p>
        </w:tc>
        <w:tc>
          <w:tcPr>
            <w:tcW w:w="1732" w:type="dxa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869BB" w:rsidRPr="005A1843" w:rsidRDefault="009869BB" w:rsidP="00FF11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843">
              <w:rPr>
                <w:rFonts w:cstheme="minorHAnsi"/>
                <w:b/>
                <w:sz w:val="20"/>
                <w:szCs w:val="20"/>
              </w:rPr>
              <w:t>Skutečné náklady na 1 m</w:t>
            </w:r>
            <w:r w:rsidRPr="005A1843">
              <w:rPr>
                <w:rFonts w:cstheme="minorHAnsi"/>
                <w:b/>
                <w:sz w:val="20"/>
                <w:szCs w:val="20"/>
                <w:vertAlign w:val="superscript"/>
              </w:rPr>
              <w:t>2</w:t>
            </w:r>
            <w:r w:rsidRPr="00F5293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A1843">
              <w:rPr>
                <w:rFonts w:cstheme="minorHAnsi"/>
                <w:b/>
                <w:sz w:val="20"/>
                <w:szCs w:val="20"/>
              </w:rPr>
              <w:t>plochy nově vybudovaných objektů</w:t>
            </w:r>
            <w:r w:rsidRPr="005A1843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869BB" w:rsidRPr="005A1843" w:rsidRDefault="009869BB" w:rsidP="00B56D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843">
              <w:rPr>
                <w:rFonts w:cstheme="minorHAnsi"/>
                <w:b/>
                <w:sz w:val="20"/>
                <w:szCs w:val="20"/>
              </w:rPr>
              <w:t>Skutečné náklady na 1</w:t>
            </w:r>
            <w:r w:rsidR="00B56D68">
              <w:rPr>
                <w:rFonts w:cstheme="minorHAnsi"/>
                <w:b/>
                <w:sz w:val="20"/>
                <w:szCs w:val="20"/>
              </w:rPr>
              <w:t> </w:t>
            </w:r>
            <w:r w:rsidRPr="005A1843">
              <w:rPr>
                <w:rFonts w:cstheme="minorHAnsi"/>
                <w:b/>
                <w:sz w:val="20"/>
                <w:szCs w:val="20"/>
              </w:rPr>
              <w:t>m</w:t>
            </w:r>
            <w:r w:rsidRPr="005A1843">
              <w:rPr>
                <w:rFonts w:cstheme="minorHAnsi"/>
                <w:b/>
                <w:sz w:val="20"/>
                <w:szCs w:val="20"/>
                <w:vertAlign w:val="superscript"/>
              </w:rPr>
              <w:t>3</w:t>
            </w:r>
            <w:r w:rsidRPr="00F5293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A1843">
              <w:rPr>
                <w:rFonts w:cstheme="minorHAnsi"/>
                <w:b/>
                <w:sz w:val="20"/>
                <w:szCs w:val="20"/>
              </w:rPr>
              <w:t>obestavěného prostoru nových objektů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869BB" w:rsidRPr="005A1843" w:rsidRDefault="009869BB" w:rsidP="00B56D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843">
              <w:rPr>
                <w:rFonts w:cstheme="minorHAnsi"/>
                <w:b/>
                <w:sz w:val="20"/>
                <w:szCs w:val="20"/>
              </w:rPr>
              <w:t>Náklady na 1</w:t>
            </w:r>
            <w:r w:rsidR="00B56D68">
              <w:rPr>
                <w:rFonts w:cstheme="minorHAnsi"/>
                <w:b/>
                <w:sz w:val="20"/>
                <w:szCs w:val="20"/>
              </w:rPr>
              <w:t> </w:t>
            </w:r>
            <w:r w:rsidRPr="005A1843">
              <w:rPr>
                <w:rFonts w:cstheme="minorHAnsi"/>
                <w:b/>
                <w:sz w:val="20"/>
                <w:szCs w:val="20"/>
              </w:rPr>
              <w:t>m</w:t>
            </w:r>
            <w:r w:rsidRPr="005A1843">
              <w:rPr>
                <w:rFonts w:cstheme="minorHAnsi"/>
                <w:b/>
                <w:sz w:val="20"/>
                <w:szCs w:val="20"/>
                <w:vertAlign w:val="superscript"/>
              </w:rPr>
              <w:t>3</w:t>
            </w:r>
            <w:r w:rsidRPr="00F5293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A1843">
              <w:rPr>
                <w:rFonts w:cstheme="minorHAnsi"/>
                <w:b/>
                <w:sz w:val="20"/>
                <w:szCs w:val="20"/>
              </w:rPr>
              <w:t>podle oceňovací vyhlášky</w:t>
            </w:r>
            <w:r w:rsidR="00441895" w:rsidRPr="005A1843">
              <w:rPr>
                <w:rFonts w:cstheme="minorHAnsi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869BB" w:rsidRPr="005A1843" w:rsidRDefault="009869BB" w:rsidP="00B56D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843">
              <w:rPr>
                <w:rFonts w:cstheme="minorHAnsi"/>
                <w:b/>
                <w:sz w:val="20"/>
                <w:szCs w:val="20"/>
              </w:rPr>
              <w:t>Náklady na 1</w:t>
            </w:r>
            <w:r w:rsidR="00B56D68">
              <w:rPr>
                <w:rFonts w:cstheme="minorHAnsi"/>
                <w:b/>
                <w:sz w:val="20"/>
                <w:szCs w:val="20"/>
              </w:rPr>
              <w:t> </w:t>
            </w:r>
            <w:r w:rsidRPr="005A1843">
              <w:rPr>
                <w:rFonts w:cstheme="minorHAnsi"/>
                <w:b/>
                <w:sz w:val="20"/>
                <w:szCs w:val="20"/>
              </w:rPr>
              <w:t>m</w:t>
            </w:r>
            <w:r w:rsidRPr="005A1843">
              <w:rPr>
                <w:rFonts w:cstheme="minorHAnsi"/>
                <w:b/>
                <w:sz w:val="20"/>
                <w:szCs w:val="20"/>
                <w:vertAlign w:val="superscript"/>
              </w:rPr>
              <w:t>3</w:t>
            </w:r>
            <w:r w:rsidRPr="00F5293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A1843">
              <w:rPr>
                <w:rFonts w:cstheme="minorHAnsi"/>
                <w:b/>
                <w:sz w:val="20"/>
                <w:szCs w:val="20"/>
              </w:rPr>
              <w:t>podle oceňovací vyhlášky zvýšené o</w:t>
            </w:r>
            <w:r w:rsidR="00B56D68">
              <w:rPr>
                <w:rFonts w:cstheme="minorHAnsi"/>
                <w:b/>
                <w:sz w:val="20"/>
                <w:szCs w:val="20"/>
              </w:rPr>
              <w:t> </w:t>
            </w:r>
            <w:r w:rsidRPr="005A1843">
              <w:rPr>
                <w:rFonts w:cstheme="minorHAnsi"/>
                <w:b/>
                <w:sz w:val="20"/>
                <w:szCs w:val="20"/>
              </w:rPr>
              <w:t>1</w:t>
            </w:r>
            <w:r w:rsidR="0057358E" w:rsidRPr="005A1843">
              <w:rPr>
                <w:rFonts w:cstheme="minorHAnsi"/>
                <w:b/>
                <w:sz w:val="20"/>
                <w:szCs w:val="20"/>
              </w:rPr>
              <w:t>0</w:t>
            </w:r>
            <w:r w:rsidRPr="005A1843">
              <w:rPr>
                <w:rFonts w:cstheme="minorHAnsi"/>
                <w:b/>
                <w:sz w:val="20"/>
                <w:szCs w:val="20"/>
              </w:rPr>
              <w:t xml:space="preserve"> %</w:t>
            </w:r>
          </w:p>
        </w:tc>
      </w:tr>
      <w:tr w:rsidR="009869BB" w:rsidTr="00F5293F">
        <w:trPr>
          <w:trHeight w:val="629"/>
        </w:trPr>
        <w:tc>
          <w:tcPr>
            <w:tcW w:w="2521" w:type="dxa"/>
            <w:vAlign w:val="center"/>
          </w:tcPr>
          <w:p w:rsidR="009869BB" w:rsidRPr="005A1843" w:rsidRDefault="009869BB" w:rsidP="00FF11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Pavilon dětského oddělení – Nemocnice ČB</w:t>
            </w:r>
          </w:p>
        </w:tc>
        <w:tc>
          <w:tcPr>
            <w:tcW w:w="1732" w:type="dxa"/>
            <w:tcBorders>
              <w:right w:val="double" w:sz="4" w:space="0" w:color="auto"/>
            </w:tcBorders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44 213,61 Kč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8 727,15 Kč</w:t>
            </w:r>
          </w:p>
        </w:tc>
        <w:tc>
          <w:tcPr>
            <w:tcW w:w="1559" w:type="dxa"/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6 267,14 Kč</w:t>
            </w:r>
          </w:p>
        </w:tc>
        <w:tc>
          <w:tcPr>
            <w:tcW w:w="1559" w:type="dxa"/>
            <w:vAlign w:val="center"/>
          </w:tcPr>
          <w:p w:rsidR="009869BB" w:rsidRPr="005A1843" w:rsidRDefault="0057358E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6 893,85 Kč</w:t>
            </w:r>
          </w:p>
        </w:tc>
      </w:tr>
      <w:tr w:rsidR="009869BB" w:rsidTr="00F5293F">
        <w:trPr>
          <w:trHeight w:val="629"/>
        </w:trPr>
        <w:tc>
          <w:tcPr>
            <w:tcW w:w="2521" w:type="dxa"/>
            <w:vAlign w:val="center"/>
          </w:tcPr>
          <w:p w:rsidR="009869BB" w:rsidRPr="005A1843" w:rsidRDefault="009869BB" w:rsidP="00E70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 xml:space="preserve">Pavilon jednodenní chirurgie </w:t>
            </w:r>
            <w:r w:rsidR="00E7073F">
              <w:rPr>
                <w:rFonts w:cstheme="minorHAnsi"/>
                <w:sz w:val="20"/>
                <w:szCs w:val="20"/>
              </w:rPr>
              <w:t>–</w:t>
            </w:r>
            <w:r w:rsidRPr="005A1843">
              <w:rPr>
                <w:rFonts w:cstheme="minorHAnsi"/>
                <w:sz w:val="20"/>
                <w:szCs w:val="20"/>
              </w:rPr>
              <w:t xml:space="preserve"> PRIVAMED</w:t>
            </w:r>
          </w:p>
        </w:tc>
        <w:tc>
          <w:tcPr>
            <w:tcW w:w="1732" w:type="dxa"/>
            <w:tcBorders>
              <w:right w:val="double" w:sz="4" w:space="0" w:color="auto"/>
            </w:tcBorders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43 934,47 Kč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9 744,24 Kč</w:t>
            </w:r>
          </w:p>
        </w:tc>
        <w:tc>
          <w:tcPr>
            <w:tcW w:w="1559" w:type="dxa"/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7 308,50 Kč</w:t>
            </w:r>
          </w:p>
        </w:tc>
        <w:tc>
          <w:tcPr>
            <w:tcW w:w="1559" w:type="dxa"/>
            <w:vAlign w:val="center"/>
          </w:tcPr>
          <w:p w:rsidR="009869BB" w:rsidRPr="005A1843" w:rsidRDefault="0057358E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8 039,35</w:t>
            </w:r>
            <w:r w:rsidR="00E7073F">
              <w:rPr>
                <w:rFonts w:cstheme="minorHAnsi"/>
                <w:sz w:val="20"/>
                <w:szCs w:val="20"/>
              </w:rPr>
              <w:t xml:space="preserve"> </w:t>
            </w:r>
            <w:r w:rsidRPr="005A1843">
              <w:rPr>
                <w:rFonts w:cstheme="minorHAnsi"/>
                <w:sz w:val="20"/>
                <w:szCs w:val="20"/>
              </w:rPr>
              <w:t>Kč</w:t>
            </w:r>
          </w:p>
        </w:tc>
      </w:tr>
      <w:tr w:rsidR="009869BB" w:rsidTr="00F5293F">
        <w:trPr>
          <w:trHeight w:val="629"/>
        </w:trPr>
        <w:tc>
          <w:tcPr>
            <w:tcW w:w="2521" w:type="dxa"/>
            <w:vAlign w:val="center"/>
          </w:tcPr>
          <w:p w:rsidR="009869BB" w:rsidRPr="005A1843" w:rsidRDefault="009869BB" w:rsidP="00E707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Pavilon akutní medicíny a</w:t>
            </w:r>
            <w:r w:rsidR="00E7073F">
              <w:rPr>
                <w:rFonts w:cstheme="minorHAnsi"/>
                <w:sz w:val="20"/>
                <w:szCs w:val="20"/>
              </w:rPr>
              <w:t> </w:t>
            </w:r>
            <w:r w:rsidRPr="005A1843">
              <w:rPr>
                <w:rFonts w:cstheme="minorHAnsi"/>
                <w:sz w:val="20"/>
                <w:szCs w:val="20"/>
              </w:rPr>
              <w:t>porodnice – Nemocnice Tábor</w:t>
            </w:r>
          </w:p>
        </w:tc>
        <w:tc>
          <w:tcPr>
            <w:tcW w:w="1732" w:type="dxa"/>
            <w:tcBorders>
              <w:right w:val="double" w:sz="4" w:space="0" w:color="auto"/>
            </w:tcBorders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48 495,65 Kč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9 968,92 Kč</w:t>
            </w:r>
          </w:p>
        </w:tc>
        <w:tc>
          <w:tcPr>
            <w:tcW w:w="1559" w:type="dxa"/>
            <w:vAlign w:val="center"/>
          </w:tcPr>
          <w:p w:rsidR="009869BB" w:rsidRPr="005A1843" w:rsidRDefault="009869BB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5 907,99 Kč</w:t>
            </w:r>
          </w:p>
        </w:tc>
        <w:tc>
          <w:tcPr>
            <w:tcW w:w="1559" w:type="dxa"/>
            <w:vAlign w:val="center"/>
          </w:tcPr>
          <w:p w:rsidR="009869BB" w:rsidRPr="005A1843" w:rsidRDefault="0057358E" w:rsidP="00F5293F">
            <w:pPr>
              <w:ind w:right="57"/>
              <w:jc w:val="right"/>
              <w:rPr>
                <w:rFonts w:ascii="Arial" w:hAnsi="Arial" w:cstheme="minorHAnsi"/>
                <w:sz w:val="20"/>
                <w:szCs w:val="20"/>
              </w:rPr>
            </w:pPr>
            <w:r w:rsidRPr="005A1843">
              <w:rPr>
                <w:rFonts w:cstheme="minorHAnsi"/>
                <w:sz w:val="20"/>
                <w:szCs w:val="20"/>
              </w:rPr>
              <w:t>6 498,79 Kč</w:t>
            </w:r>
          </w:p>
        </w:tc>
      </w:tr>
    </w:tbl>
    <w:p w:rsidR="00E9085C" w:rsidRPr="005A1843" w:rsidRDefault="00E9085C" w:rsidP="00F5293F">
      <w:pPr>
        <w:spacing w:before="0"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5A1843">
        <w:rPr>
          <w:rFonts w:asciiTheme="minorHAnsi" w:hAnsiTheme="minorHAnsi" w:cstheme="minorHAnsi"/>
          <w:b/>
          <w:sz w:val="20"/>
          <w:szCs w:val="20"/>
        </w:rPr>
        <w:t>Zdroj:</w:t>
      </w:r>
      <w:r w:rsidRPr="005A1843">
        <w:rPr>
          <w:rFonts w:asciiTheme="minorHAnsi" w:hAnsiTheme="minorHAnsi" w:cstheme="minorHAnsi"/>
          <w:sz w:val="20"/>
          <w:szCs w:val="20"/>
        </w:rPr>
        <w:t xml:space="preserve"> </w:t>
      </w:r>
      <w:r w:rsidR="00255DD4">
        <w:rPr>
          <w:rFonts w:asciiTheme="minorHAnsi" w:hAnsiTheme="minorHAnsi" w:cstheme="minorHAnsi"/>
          <w:sz w:val="20"/>
          <w:szCs w:val="20"/>
        </w:rPr>
        <w:tab/>
      </w:r>
      <w:r w:rsidR="00E7073F">
        <w:rPr>
          <w:rFonts w:asciiTheme="minorHAnsi" w:hAnsiTheme="minorHAnsi" w:cstheme="minorHAnsi"/>
          <w:sz w:val="20"/>
          <w:szCs w:val="20"/>
        </w:rPr>
        <w:t>p</w:t>
      </w:r>
      <w:r w:rsidRPr="005A1843">
        <w:rPr>
          <w:rFonts w:asciiTheme="minorHAnsi" w:hAnsiTheme="minorHAnsi" w:cstheme="minorHAnsi"/>
          <w:sz w:val="20"/>
          <w:szCs w:val="20"/>
        </w:rPr>
        <w:t>rojektová dokumentace, účetnictví.</w:t>
      </w:r>
    </w:p>
    <w:p w:rsidR="00D462B1" w:rsidRDefault="00E9085C" w:rsidP="00F5293F">
      <w:pPr>
        <w:spacing w:before="0" w:after="0"/>
        <w:ind w:left="567" w:hanging="567"/>
        <w:rPr>
          <w:rFonts w:asciiTheme="minorHAnsi" w:hAnsiTheme="minorHAnsi" w:cstheme="minorHAnsi"/>
          <w:sz w:val="20"/>
          <w:szCs w:val="20"/>
          <w:lang w:eastAsia="cs-CZ"/>
        </w:rPr>
      </w:pPr>
      <w:r w:rsidRPr="005A1843">
        <w:rPr>
          <w:rFonts w:asciiTheme="minorHAnsi" w:hAnsiTheme="minorHAnsi" w:cstheme="minorHAnsi"/>
          <w:b/>
          <w:sz w:val="20"/>
          <w:szCs w:val="20"/>
        </w:rPr>
        <w:t>Pozn</w:t>
      </w:r>
      <w:r w:rsidR="00255DD4">
        <w:rPr>
          <w:rFonts w:asciiTheme="minorHAnsi" w:hAnsiTheme="minorHAnsi" w:cstheme="minorHAnsi"/>
          <w:b/>
          <w:sz w:val="20"/>
          <w:szCs w:val="20"/>
        </w:rPr>
        <w:t>.</w:t>
      </w:r>
      <w:r w:rsidRPr="005A1843">
        <w:rPr>
          <w:rFonts w:asciiTheme="minorHAnsi" w:hAnsiTheme="minorHAnsi" w:cstheme="minorHAnsi"/>
          <w:b/>
          <w:sz w:val="20"/>
          <w:szCs w:val="20"/>
        </w:rPr>
        <w:t>:</w:t>
      </w:r>
      <w:r w:rsidRPr="005A1843">
        <w:rPr>
          <w:rFonts w:asciiTheme="minorHAnsi" w:hAnsiTheme="minorHAnsi" w:cstheme="minorHAnsi"/>
          <w:sz w:val="20"/>
          <w:szCs w:val="20"/>
        </w:rPr>
        <w:t xml:space="preserve"> </w:t>
      </w:r>
      <w:r w:rsidR="00255DD4">
        <w:rPr>
          <w:rFonts w:asciiTheme="minorHAnsi" w:hAnsiTheme="minorHAnsi" w:cstheme="minorHAnsi"/>
          <w:sz w:val="20"/>
          <w:szCs w:val="20"/>
        </w:rPr>
        <w:tab/>
      </w:r>
      <w:r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V ceně zjištěné podle oceňovací vyhlášky </w:t>
      </w:r>
      <w:r w:rsidR="00441895"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(čtvrtý sloupec) </w:t>
      </w:r>
      <w:r w:rsidRPr="005A1843">
        <w:rPr>
          <w:rFonts w:asciiTheme="minorHAnsi" w:hAnsiTheme="minorHAnsi" w:cstheme="minorHAnsi"/>
          <w:sz w:val="20"/>
          <w:szCs w:val="20"/>
          <w:lang w:eastAsia="cs-CZ"/>
        </w:rPr>
        <w:t>nejsou zahrnuta</w:t>
      </w:r>
      <w:r w:rsidR="0013745B"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 speciální</w:t>
      </w:r>
      <w:r w:rsidR="002D00C0"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5A1843">
        <w:rPr>
          <w:rFonts w:asciiTheme="minorHAnsi" w:hAnsiTheme="minorHAnsi" w:cstheme="minorHAnsi"/>
          <w:sz w:val="20"/>
          <w:szCs w:val="20"/>
          <w:lang w:eastAsia="cs-CZ"/>
        </w:rPr>
        <w:t>technologi</w:t>
      </w:r>
      <w:r w:rsidR="006B2BC9" w:rsidRPr="005A1843">
        <w:rPr>
          <w:rFonts w:asciiTheme="minorHAnsi" w:hAnsiTheme="minorHAnsi" w:cstheme="minorHAnsi"/>
          <w:sz w:val="20"/>
          <w:szCs w:val="20"/>
          <w:lang w:eastAsia="cs-CZ"/>
        </w:rPr>
        <w:t>cká zařízení specifická pro oblast zdravotnictví</w:t>
      </w:r>
      <w:r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 (např. kyslíkové stanice, </w:t>
      </w:r>
      <w:r w:rsidR="0013745B"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rozvody medicinálních plynů </w:t>
      </w:r>
      <w:r w:rsidRPr="005A1843">
        <w:rPr>
          <w:rFonts w:asciiTheme="minorHAnsi" w:hAnsiTheme="minorHAnsi" w:cstheme="minorHAnsi"/>
          <w:sz w:val="20"/>
          <w:szCs w:val="20"/>
          <w:lang w:eastAsia="cs-CZ"/>
        </w:rPr>
        <w:t>apod.).</w:t>
      </w:r>
      <w:r w:rsidR="009869BB"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D462B1" w:rsidRPr="005A1843">
        <w:rPr>
          <w:rFonts w:asciiTheme="minorHAnsi" w:hAnsiTheme="minorHAnsi" w:cstheme="minorHAnsi"/>
          <w:sz w:val="20"/>
          <w:szCs w:val="20"/>
          <w:lang w:eastAsia="cs-CZ"/>
        </w:rPr>
        <w:t xml:space="preserve">Pátý sloupec uvádí cenu zjištěnou podle oceňovací vyhlášky </w:t>
      </w:r>
      <w:r w:rsidR="00E7073F">
        <w:rPr>
          <w:rFonts w:asciiTheme="minorHAnsi" w:hAnsiTheme="minorHAnsi" w:cstheme="minorHAnsi"/>
          <w:sz w:val="20"/>
          <w:szCs w:val="20"/>
          <w:lang w:eastAsia="cs-CZ"/>
        </w:rPr>
        <w:t xml:space="preserve">a </w:t>
      </w:r>
      <w:r w:rsidR="00D462B1" w:rsidRPr="005A1843">
        <w:rPr>
          <w:rFonts w:asciiTheme="minorHAnsi" w:hAnsiTheme="minorHAnsi" w:cstheme="minorHAnsi"/>
          <w:sz w:val="20"/>
          <w:szCs w:val="20"/>
          <w:lang w:eastAsia="cs-CZ"/>
        </w:rPr>
        <w:t>zvýšenou o 10 %. Navýšení představuje uvažovaný odhad nákladů na pořízení speciálních zdravotnických technologií a případné provedení některých konstrukcí v nadstandardní kvalitě.</w:t>
      </w:r>
    </w:p>
    <w:p w:rsidR="00B56D68" w:rsidRPr="005A1843" w:rsidRDefault="00B56D68" w:rsidP="00F5293F">
      <w:pPr>
        <w:spacing w:before="0" w:after="0"/>
        <w:rPr>
          <w:rFonts w:asciiTheme="minorHAnsi" w:hAnsiTheme="minorHAnsi" w:cstheme="minorHAnsi"/>
          <w:sz w:val="20"/>
          <w:szCs w:val="20"/>
          <w:lang w:eastAsia="cs-CZ"/>
        </w:rPr>
      </w:pPr>
    </w:p>
    <w:p w:rsidR="00E9085C" w:rsidRPr="00EB558C" w:rsidRDefault="00E9085C" w:rsidP="007E4557">
      <w:pPr>
        <w:spacing w:before="0"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Z</w:t>
      </w:r>
      <w:r w:rsidR="00971A97" w:rsidRPr="00EB558C">
        <w:rPr>
          <w:rFonts w:asciiTheme="minorHAnsi" w:hAnsiTheme="minorHAnsi" w:cstheme="minorHAnsi"/>
          <w:sz w:val="24"/>
          <w:szCs w:val="24"/>
        </w:rPr>
        <w:t xml:space="preserve"> výše </w:t>
      </w:r>
      <w:r w:rsidR="00D33154">
        <w:rPr>
          <w:rFonts w:asciiTheme="minorHAnsi" w:hAnsiTheme="minorHAnsi" w:cstheme="minorHAnsi"/>
          <w:sz w:val="24"/>
          <w:szCs w:val="24"/>
        </w:rPr>
        <w:t>uvedených údajů týkajících se</w:t>
      </w:r>
      <w:r w:rsidR="00971A97" w:rsidRPr="00EB558C">
        <w:rPr>
          <w:rFonts w:asciiTheme="minorHAnsi" w:hAnsiTheme="minorHAnsi" w:cstheme="minorHAnsi"/>
          <w:sz w:val="24"/>
          <w:szCs w:val="24"/>
        </w:rPr>
        <w:t xml:space="preserve"> indikátor</w:t>
      </w:r>
      <w:r w:rsidR="00D33154">
        <w:rPr>
          <w:rFonts w:asciiTheme="minorHAnsi" w:hAnsiTheme="minorHAnsi" w:cstheme="minorHAnsi"/>
          <w:sz w:val="24"/>
          <w:szCs w:val="24"/>
        </w:rPr>
        <w:t>ů</w:t>
      </w:r>
      <w:r w:rsidR="00FD1EDB"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="00D33154">
        <w:rPr>
          <w:rFonts w:asciiTheme="minorHAnsi" w:hAnsiTheme="minorHAnsi" w:cstheme="minorHAnsi"/>
          <w:sz w:val="24"/>
          <w:szCs w:val="24"/>
        </w:rPr>
        <w:t>„</w:t>
      </w:r>
      <w:r w:rsidR="00D33154">
        <w:rPr>
          <w:rFonts w:asciiTheme="minorHAnsi" w:hAnsiTheme="minorHAnsi" w:cstheme="minorHAnsi"/>
          <w:i/>
          <w:sz w:val="24"/>
          <w:szCs w:val="24"/>
        </w:rPr>
        <w:t>p</w:t>
      </w:r>
      <w:r w:rsidR="00971A97" w:rsidRPr="00EB558C">
        <w:rPr>
          <w:rFonts w:asciiTheme="minorHAnsi" w:hAnsiTheme="minorHAnsi" w:cstheme="minorHAnsi"/>
          <w:i/>
          <w:sz w:val="24"/>
          <w:szCs w:val="24"/>
        </w:rPr>
        <w:t>očet zdravotnických zařízení – přístrojové vybavení</w:t>
      </w:r>
      <w:r w:rsidR="00D33154" w:rsidRPr="00F5293F">
        <w:rPr>
          <w:rFonts w:asciiTheme="minorHAnsi" w:hAnsiTheme="minorHAnsi" w:cstheme="minorHAnsi"/>
          <w:sz w:val="24"/>
          <w:szCs w:val="24"/>
        </w:rPr>
        <w:t>“</w:t>
      </w:r>
      <w:r w:rsidR="00971A97" w:rsidRPr="00EB558C">
        <w:rPr>
          <w:rFonts w:asciiTheme="minorHAnsi" w:hAnsiTheme="minorHAnsi" w:cstheme="minorHAnsi"/>
          <w:sz w:val="24"/>
          <w:szCs w:val="24"/>
        </w:rPr>
        <w:t xml:space="preserve"> a </w:t>
      </w:r>
      <w:r w:rsidR="00D33154">
        <w:rPr>
          <w:rFonts w:asciiTheme="minorHAnsi" w:hAnsiTheme="minorHAnsi" w:cstheme="minorHAnsi"/>
          <w:sz w:val="24"/>
          <w:szCs w:val="24"/>
        </w:rPr>
        <w:t>„</w:t>
      </w:r>
      <w:r w:rsidR="00D33154">
        <w:rPr>
          <w:rFonts w:asciiTheme="minorHAnsi" w:hAnsiTheme="minorHAnsi" w:cstheme="minorHAnsi"/>
          <w:i/>
          <w:sz w:val="24"/>
          <w:szCs w:val="24"/>
        </w:rPr>
        <w:t>p</w:t>
      </w:r>
      <w:r w:rsidR="00971A97" w:rsidRPr="00EB558C">
        <w:rPr>
          <w:rFonts w:asciiTheme="minorHAnsi" w:hAnsiTheme="minorHAnsi" w:cstheme="minorHAnsi"/>
          <w:i/>
          <w:sz w:val="24"/>
          <w:szCs w:val="24"/>
        </w:rPr>
        <w:t xml:space="preserve">locha nově vybudovaných objektů </w:t>
      </w:r>
      <w:r w:rsidR="00D33154">
        <w:rPr>
          <w:rFonts w:asciiTheme="minorHAnsi" w:hAnsiTheme="minorHAnsi" w:cstheme="minorHAnsi"/>
          <w:i/>
          <w:sz w:val="24"/>
          <w:szCs w:val="24"/>
        </w:rPr>
        <w:t>–</w:t>
      </w:r>
      <w:r w:rsidR="00971A97" w:rsidRPr="00EB558C">
        <w:rPr>
          <w:rFonts w:asciiTheme="minorHAnsi" w:hAnsiTheme="minorHAnsi" w:cstheme="minorHAnsi"/>
          <w:i/>
          <w:sz w:val="24"/>
          <w:szCs w:val="24"/>
        </w:rPr>
        <w:t xml:space="preserve"> zdravotnictví</w:t>
      </w:r>
      <w:r w:rsidR="00D33154" w:rsidRPr="00F5293F">
        <w:rPr>
          <w:rFonts w:asciiTheme="minorHAnsi" w:hAnsiTheme="minorHAnsi" w:cstheme="minorHAnsi"/>
          <w:sz w:val="24"/>
          <w:szCs w:val="24"/>
        </w:rPr>
        <w:t>“</w:t>
      </w:r>
      <w:r w:rsidR="00971A97"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Pr="00EB558C">
        <w:rPr>
          <w:rFonts w:asciiTheme="minorHAnsi" w:hAnsiTheme="minorHAnsi" w:cstheme="minorHAnsi"/>
          <w:sz w:val="24"/>
          <w:szCs w:val="24"/>
        </w:rPr>
        <w:t>vyplývá, že tzv. jednotkov</w:t>
      </w:r>
      <w:r w:rsidR="00602C47" w:rsidRPr="00EB558C">
        <w:rPr>
          <w:rFonts w:asciiTheme="minorHAnsi" w:hAnsiTheme="minorHAnsi" w:cstheme="minorHAnsi"/>
          <w:sz w:val="24"/>
          <w:szCs w:val="24"/>
        </w:rPr>
        <w:t>é</w:t>
      </w:r>
      <w:r w:rsidRPr="00EB558C">
        <w:rPr>
          <w:rFonts w:asciiTheme="minorHAnsi" w:hAnsiTheme="minorHAnsi" w:cstheme="minorHAnsi"/>
          <w:sz w:val="24"/>
          <w:szCs w:val="24"/>
        </w:rPr>
        <w:t xml:space="preserve"> cen</w:t>
      </w:r>
      <w:r w:rsidR="00602C47" w:rsidRPr="00EB558C">
        <w:rPr>
          <w:rFonts w:asciiTheme="minorHAnsi" w:hAnsiTheme="minorHAnsi" w:cstheme="minorHAnsi"/>
          <w:sz w:val="24"/>
          <w:szCs w:val="24"/>
        </w:rPr>
        <w:t>y</w:t>
      </w:r>
      <w:r w:rsidRPr="00EB558C">
        <w:rPr>
          <w:rFonts w:asciiTheme="minorHAnsi" w:hAnsiTheme="minorHAnsi" w:cstheme="minorHAnsi"/>
          <w:sz w:val="24"/>
          <w:szCs w:val="24"/>
        </w:rPr>
        <w:t xml:space="preserve"> indikátor</w:t>
      </w:r>
      <w:r w:rsidR="006A1756" w:rsidRPr="00EB558C">
        <w:rPr>
          <w:rFonts w:asciiTheme="minorHAnsi" w:hAnsiTheme="minorHAnsi" w:cstheme="minorHAnsi"/>
          <w:sz w:val="24"/>
          <w:szCs w:val="24"/>
        </w:rPr>
        <w:t>ů</w:t>
      </w:r>
      <w:r w:rsidRPr="00EB558C">
        <w:rPr>
          <w:rFonts w:asciiTheme="minorHAnsi" w:hAnsiTheme="minorHAnsi" w:cstheme="minorHAnsi"/>
          <w:sz w:val="24"/>
          <w:szCs w:val="24"/>
        </w:rPr>
        <w:t>, množs</w:t>
      </w:r>
      <w:r w:rsidR="006A1756" w:rsidRPr="00EB558C">
        <w:rPr>
          <w:rFonts w:asciiTheme="minorHAnsi" w:hAnsiTheme="minorHAnsi" w:cstheme="minorHAnsi"/>
          <w:sz w:val="24"/>
          <w:szCs w:val="24"/>
        </w:rPr>
        <w:t xml:space="preserve">tevní vyjádření cílového stavu </w:t>
      </w:r>
      <w:r w:rsidRPr="00EB558C">
        <w:rPr>
          <w:rFonts w:asciiTheme="minorHAnsi" w:hAnsiTheme="minorHAnsi" w:cstheme="minorHAnsi"/>
          <w:sz w:val="24"/>
          <w:szCs w:val="24"/>
        </w:rPr>
        <w:t>indikátor</w:t>
      </w:r>
      <w:r w:rsidR="006A1756" w:rsidRPr="00EB558C">
        <w:rPr>
          <w:rFonts w:asciiTheme="minorHAnsi" w:hAnsiTheme="minorHAnsi" w:cstheme="minorHAnsi"/>
          <w:sz w:val="24"/>
          <w:szCs w:val="24"/>
        </w:rPr>
        <w:t>ů</w:t>
      </w:r>
      <w:r w:rsidR="00602C47" w:rsidRPr="00EB558C">
        <w:rPr>
          <w:rFonts w:asciiTheme="minorHAnsi" w:hAnsiTheme="minorHAnsi" w:cstheme="minorHAnsi"/>
          <w:sz w:val="24"/>
          <w:szCs w:val="24"/>
        </w:rPr>
        <w:t xml:space="preserve"> i </w:t>
      </w:r>
      <w:r w:rsidR="006A1756" w:rsidRPr="00EB558C">
        <w:rPr>
          <w:rFonts w:asciiTheme="minorHAnsi" w:hAnsiTheme="minorHAnsi" w:cstheme="minorHAnsi"/>
          <w:sz w:val="24"/>
          <w:szCs w:val="24"/>
        </w:rPr>
        <w:t xml:space="preserve">celková </w:t>
      </w:r>
      <w:r w:rsidRPr="00EB558C">
        <w:rPr>
          <w:rFonts w:asciiTheme="minorHAnsi" w:hAnsiTheme="minorHAnsi" w:cstheme="minorHAnsi"/>
          <w:sz w:val="24"/>
          <w:szCs w:val="24"/>
        </w:rPr>
        <w:t>hodnota indikátor</w:t>
      </w:r>
      <w:r w:rsidR="006A1756" w:rsidRPr="00EB558C">
        <w:rPr>
          <w:rFonts w:asciiTheme="minorHAnsi" w:hAnsiTheme="minorHAnsi" w:cstheme="minorHAnsi"/>
          <w:sz w:val="24"/>
          <w:szCs w:val="24"/>
        </w:rPr>
        <w:t>ů</w:t>
      </w:r>
      <w:r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="00602C47" w:rsidRPr="00EB558C">
        <w:rPr>
          <w:rFonts w:asciiTheme="minorHAnsi" w:hAnsiTheme="minorHAnsi" w:cstheme="minorHAnsi"/>
          <w:sz w:val="24"/>
          <w:szCs w:val="24"/>
        </w:rPr>
        <w:t>byly stanoveny zcela mimo zjištěnou skutečnost</w:t>
      </w:r>
      <w:r w:rsidR="00D33154">
        <w:rPr>
          <w:rFonts w:asciiTheme="minorHAnsi" w:hAnsiTheme="minorHAnsi" w:cstheme="minorHAnsi"/>
          <w:sz w:val="24"/>
          <w:szCs w:val="24"/>
        </w:rPr>
        <w:t>,</w:t>
      </w:r>
      <w:r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="00D33154">
        <w:rPr>
          <w:rFonts w:asciiTheme="minorHAnsi" w:hAnsiTheme="minorHAnsi" w:cstheme="minorHAnsi"/>
          <w:sz w:val="24"/>
          <w:szCs w:val="24"/>
        </w:rPr>
        <w:t xml:space="preserve">proto </w:t>
      </w:r>
      <w:r w:rsidRPr="00EB558C">
        <w:rPr>
          <w:rFonts w:asciiTheme="minorHAnsi" w:hAnsiTheme="minorHAnsi" w:cstheme="minorHAnsi"/>
          <w:sz w:val="24"/>
          <w:szCs w:val="24"/>
        </w:rPr>
        <w:t>neměly</w:t>
      </w:r>
      <w:r w:rsidR="00602C47"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Pr="00EB558C">
        <w:rPr>
          <w:rFonts w:asciiTheme="minorHAnsi" w:hAnsiTheme="minorHAnsi" w:cstheme="minorHAnsi"/>
          <w:sz w:val="24"/>
          <w:szCs w:val="24"/>
        </w:rPr>
        <w:t>žádnou vypovídací schopnost ve vztahu k</w:t>
      </w:r>
      <w:r w:rsidRPr="00EB558C">
        <w:rPr>
          <w:rFonts w:asciiTheme="minorHAnsi" w:eastAsiaTheme="minorHAnsi" w:hAnsiTheme="minorHAnsi" w:cstheme="minorHAnsi"/>
          <w:color w:val="000000"/>
          <w:sz w:val="24"/>
          <w:szCs w:val="24"/>
        </w:rPr>
        <w:t>e sledování naplňování ROP JZ, k hodnocení projektů, stanovení optimálních rozpočtů a</w:t>
      </w:r>
      <w:r w:rsidR="00D33154">
        <w:rPr>
          <w:rFonts w:asciiTheme="minorHAnsi" w:eastAsiaTheme="minorHAnsi" w:hAnsiTheme="minorHAnsi" w:cstheme="minorHAnsi"/>
          <w:color w:val="000000"/>
          <w:sz w:val="24"/>
          <w:szCs w:val="24"/>
        </w:rPr>
        <w:t>ni</w:t>
      </w:r>
      <w:r w:rsidRPr="00EB558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případnému vyhodnoc</w:t>
      </w:r>
      <w:r w:rsidR="00D33154">
        <w:rPr>
          <w:rFonts w:asciiTheme="minorHAnsi" w:eastAsiaTheme="minorHAnsi" w:hAnsiTheme="minorHAnsi" w:cstheme="minorHAnsi"/>
          <w:color w:val="000000"/>
          <w:sz w:val="24"/>
          <w:szCs w:val="24"/>
        </w:rPr>
        <w:t>ování</w:t>
      </w:r>
      <w:r w:rsidRPr="00EB558C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nákladovosti či efektivity vynaložených investic.</w:t>
      </w:r>
    </w:p>
    <w:p w:rsidR="00E9085C" w:rsidRPr="00EB558C" w:rsidRDefault="00E9085C" w:rsidP="00E9085C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E9085C" w:rsidRPr="00EB558C" w:rsidRDefault="00E9085C" w:rsidP="00E9085C">
      <w:pPr>
        <w:spacing w:before="0"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558C">
        <w:rPr>
          <w:rFonts w:asciiTheme="minorHAnsi" w:hAnsiTheme="minorHAnsi" w:cstheme="minorHAnsi"/>
          <w:b/>
          <w:sz w:val="24"/>
          <w:szCs w:val="24"/>
          <w:highlight w:val="lightGray"/>
        </w:rPr>
        <w:t>Použití prostředků dotace na úhradu nezpůsobilých výdajů</w:t>
      </w:r>
    </w:p>
    <w:p w:rsidR="00E9085C" w:rsidRDefault="00131EA6" w:rsidP="00F5293F">
      <w:pPr>
        <w:spacing w:after="0"/>
        <w:rPr>
          <w:rFonts w:asciiTheme="minorHAnsi" w:hAnsiTheme="minorHAnsi" w:cstheme="minorHAnsi"/>
          <w:bCs/>
          <w:noProof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 xml:space="preserve">NKÚ </w:t>
      </w:r>
      <w:r>
        <w:rPr>
          <w:rFonts w:asciiTheme="minorHAnsi" w:hAnsiTheme="minorHAnsi" w:cstheme="minorHAnsi"/>
          <w:sz w:val="24"/>
          <w:szCs w:val="24"/>
        </w:rPr>
        <w:t>při k</w:t>
      </w:r>
      <w:r w:rsidR="00E9085C" w:rsidRPr="00EB558C">
        <w:rPr>
          <w:rFonts w:asciiTheme="minorHAnsi" w:hAnsiTheme="minorHAnsi" w:cstheme="minorHAnsi"/>
          <w:sz w:val="24"/>
          <w:szCs w:val="24"/>
        </w:rPr>
        <w:t>ontrol</w:t>
      </w:r>
      <w:r>
        <w:rPr>
          <w:rFonts w:asciiTheme="minorHAnsi" w:hAnsiTheme="minorHAnsi" w:cstheme="minorHAnsi"/>
          <w:sz w:val="24"/>
          <w:szCs w:val="24"/>
        </w:rPr>
        <w:t>e</w:t>
      </w:r>
      <w:r w:rsidR="00E9085C" w:rsidRPr="00EB558C">
        <w:rPr>
          <w:rFonts w:asciiTheme="minorHAnsi" w:hAnsiTheme="minorHAnsi" w:cstheme="minorHAnsi"/>
          <w:sz w:val="24"/>
          <w:szCs w:val="24"/>
        </w:rPr>
        <w:t xml:space="preserve"> zjistil, že tři příjemci dotace použili neoprávněně peněžní prostředky </w:t>
      </w:r>
      <w:r w:rsidR="00EB6FAF" w:rsidRPr="00EB558C">
        <w:rPr>
          <w:rFonts w:asciiTheme="minorHAnsi" w:hAnsiTheme="minorHAnsi" w:cstheme="minorHAnsi"/>
          <w:sz w:val="24"/>
          <w:szCs w:val="24"/>
        </w:rPr>
        <w:t xml:space="preserve">dotace </w:t>
      </w:r>
      <w:r w:rsidR="00E9085C" w:rsidRPr="00EB558C">
        <w:rPr>
          <w:rFonts w:asciiTheme="minorHAnsi" w:hAnsiTheme="minorHAnsi" w:cstheme="minorHAnsi"/>
          <w:sz w:val="24"/>
          <w:szCs w:val="24"/>
        </w:rPr>
        <w:t xml:space="preserve">na úhradu nezpůsobilých výdajů projektu. Nemocnice ČB, PRIVAMED a Nemocnice Tábor vytvořily soubory movitých věcí z jednotlivých položek drobného hmotného majetku tak, aby tyto soubory </w:t>
      </w:r>
      <w:r>
        <w:rPr>
          <w:rFonts w:asciiTheme="minorHAnsi" w:hAnsiTheme="minorHAnsi" w:cstheme="minorHAnsi"/>
          <w:sz w:val="24"/>
          <w:szCs w:val="24"/>
        </w:rPr>
        <w:t>s</w:t>
      </w:r>
      <w:r w:rsidR="00E9085C" w:rsidRPr="00EB558C">
        <w:rPr>
          <w:rFonts w:asciiTheme="minorHAnsi" w:hAnsiTheme="minorHAnsi" w:cstheme="minorHAnsi"/>
          <w:sz w:val="24"/>
          <w:szCs w:val="24"/>
        </w:rPr>
        <w:t xml:space="preserve">plňovaly podmínku pořizovací ceny ve výši minimálně 40 000 Kč a mohly být vykázány jako způsobilé výdaje projektu. Příjemci dotace vytvořili soubory movitých věcí zejména z jednotlivých kusů nábytku (lůžka, židle, kartotéky, lavice, poličky apod.), počítačů a zdravotnického vybavení (např. </w:t>
      </w:r>
      <w:r w:rsidRPr="00EB558C">
        <w:rPr>
          <w:rFonts w:asciiTheme="minorHAnsi" w:hAnsiTheme="minorHAnsi" w:cstheme="minorHAnsi"/>
          <w:sz w:val="24"/>
          <w:szCs w:val="24"/>
        </w:rPr>
        <w:t>elektrické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9085C" w:rsidRPr="00EB558C">
        <w:rPr>
          <w:rFonts w:asciiTheme="minorHAnsi" w:hAnsiTheme="minorHAnsi" w:cstheme="minorHAnsi"/>
          <w:sz w:val="24"/>
          <w:szCs w:val="24"/>
        </w:rPr>
        <w:t xml:space="preserve">odsávačky). Nemocnice ČB vytvořila jeden soubor movitých věcí z veškerého nábytku </w:t>
      </w:r>
      <w:r>
        <w:rPr>
          <w:rFonts w:asciiTheme="minorHAnsi" w:hAnsiTheme="minorHAnsi" w:cstheme="minorHAnsi"/>
          <w:sz w:val="24"/>
          <w:szCs w:val="24"/>
        </w:rPr>
        <w:t>p</w:t>
      </w:r>
      <w:r w:rsidR="00E9085C" w:rsidRPr="00EB558C">
        <w:rPr>
          <w:rFonts w:asciiTheme="minorHAnsi" w:hAnsiTheme="minorHAnsi" w:cstheme="minorHAnsi"/>
          <w:sz w:val="24"/>
          <w:szCs w:val="24"/>
        </w:rPr>
        <w:t xml:space="preserve">avilonu dětského oddělení v hodnotě </w:t>
      </w:r>
      <w:r w:rsidR="00E9085C" w:rsidRPr="00EB558C">
        <w:rPr>
          <w:rFonts w:asciiTheme="minorHAnsi" w:hAnsiTheme="minorHAnsi" w:cstheme="minorHAnsi"/>
          <w:bCs/>
          <w:noProof/>
          <w:sz w:val="24"/>
          <w:szCs w:val="24"/>
        </w:rPr>
        <w:t>5 965 133 Kč, PRIVAMED vytvořil jeden soubor movitých věcí například z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e </w:t>
      </w:r>
      <w:r w:rsidR="00E9085C" w:rsidRPr="00EB558C">
        <w:rPr>
          <w:rFonts w:asciiTheme="minorHAnsi" w:hAnsiTheme="minorHAnsi" w:cstheme="minorHAnsi"/>
          <w:bCs/>
          <w:noProof/>
          <w:sz w:val="24"/>
          <w:szCs w:val="24"/>
        </w:rPr>
        <w:t>16 lůžek, kter</w:t>
      </w:r>
      <w:r>
        <w:rPr>
          <w:rFonts w:asciiTheme="minorHAnsi" w:hAnsiTheme="minorHAnsi" w:cstheme="minorHAnsi"/>
          <w:bCs/>
          <w:noProof/>
          <w:sz w:val="24"/>
          <w:szCs w:val="24"/>
        </w:rPr>
        <w:t>á</w:t>
      </w:r>
      <w:r w:rsidR="00E9085C" w:rsidRPr="00EB558C">
        <w:rPr>
          <w:rFonts w:asciiTheme="minorHAnsi" w:hAnsiTheme="minorHAnsi" w:cstheme="minorHAnsi"/>
          <w:bCs/>
          <w:noProof/>
          <w:sz w:val="24"/>
          <w:szCs w:val="24"/>
        </w:rPr>
        <w:t xml:space="preserve"> byl</w:t>
      </w:r>
      <w:r>
        <w:rPr>
          <w:rFonts w:asciiTheme="minorHAnsi" w:hAnsiTheme="minorHAnsi" w:cstheme="minorHAnsi"/>
          <w:bCs/>
          <w:noProof/>
          <w:sz w:val="24"/>
          <w:szCs w:val="24"/>
        </w:rPr>
        <w:t>a</w:t>
      </w:r>
      <w:r w:rsidR="00E9085C" w:rsidRPr="00EB558C">
        <w:rPr>
          <w:rFonts w:asciiTheme="minorHAnsi" w:hAnsiTheme="minorHAnsi" w:cstheme="minorHAnsi"/>
          <w:bCs/>
          <w:noProof/>
          <w:sz w:val="24"/>
          <w:szCs w:val="24"/>
        </w:rPr>
        <w:t xml:space="preserve"> umístěn</w:t>
      </w:r>
      <w:r>
        <w:rPr>
          <w:rFonts w:asciiTheme="minorHAnsi" w:hAnsiTheme="minorHAnsi" w:cstheme="minorHAnsi"/>
          <w:bCs/>
          <w:noProof/>
          <w:sz w:val="24"/>
          <w:szCs w:val="24"/>
        </w:rPr>
        <w:t>a</w:t>
      </w:r>
      <w:r w:rsidR="00E9085C" w:rsidRPr="00EB558C">
        <w:rPr>
          <w:rFonts w:asciiTheme="minorHAnsi" w:hAnsiTheme="minorHAnsi" w:cstheme="minorHAnsi"/>
          <w:bCs/>
          <w:noProof/>
          <w:sz w:val="24"/>
          <w:szCs w:val="24"/>
        </w:rPr>
        <w:t xml:space="preserve"> v různých pacientských pokojích. Nemocnice Tábor vytvořila jeden soubor movitých věcí například z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e </w:t>
      </w:r>
      <w:r w:rsidR="00E9085C" w:rsidRPr="00EB558C">
        <w:rPr>
          <w:rFonts w:asciiTheme="minorHAnsi" w:hAnsiTheme="minorHAnsi" w:cstheme="minorHAnsi"/>
          <w:bCs/>
          <w:noProof/>
          <w:sz w:val="24"/>
          <w:szCs w:val="24"/>
        </w:rPr>
        <w:t>14 kusů šatních skříní a jednoho zrcadla.</w:t>
      </w:r>
    </w:p>
    <w:p w:rsidR="00B56D68" w:rsidRPr="00EB558C" w:rsidRDefault="00B56D68" w:rsidP="00F5293F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E9085C" w:rsidRDefault="00E9085C" w:rsidP="00F5293F">
      <w:pPr>
        <w:spacing w:before="0" w:after="0"/>
        <w:rPr>
          <w:rFonts w:asciiTheme="minorHAnsi" w:hAnsiTheme="minorHAnsi" w:cstheme="minorHAnsi"/>
          <w:bCs/>
          <w:noProof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 xml:space="preserve">Vytvořené soubory movitých věcí nesplňovaly zákonnou podmínku samostatného </w:t>
      </w:r>
      <w:r w:rsidR="00131EA6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EB558C">
        <w:rPr>
          <w:rFonts w:asciiTheme="minorHAnsi" w:hAnsiTheme="minorHAnsi" w:cstheme="minorHAnsi"/>
          <w:sz w:val="24"/>
          <w:szCs w:val="24"/>
        </w:rPr>
        <w:t>technicko-ekonomického</w:t>
      </w:r>
      <w:proofErr w:type="spellEnd"/>
      <w:r w:rsidRPr="00EB558C">
        <w:rPr>
          <w:rFonts w:asciiTheme="minorHAnsi" w:hAnsiTheme="minorHAnsi" w:cstheme="minorHAnsi"/>
          <w:sz w:val="24"/>
          <w:szCs w:val="24"/>
        </w:rPr>
        <w:t xml:space="preserve"> určení. Tato podmínka může být </w:t>
      </w:r>
      <w:r w:rsidR="00131EA6">
        <w:rPr>
          <w:rFonts w:asciiTheme="minorHAnsi" w:hAnsiTheme="minorHAnsi" w:cstheme="minorHAnsi"/>
          <w:sz w:val="24"/>
          <w:szCs w:val="24"/>
        </w:rPr>
        <w:t>s</w:t>
      </w:r>
      <w:r w:rsidRPr="00EB558C">
        <w:rPr>
          <w:rFonts w:asciiTheme="minorHAnsi" w:hAnsiTheme="minorHAnsi" w:cstheme="minorHAnsi"/>
          <w:sz w:val="24"/>
          <w:szCs w:val="24"/>
        </w:rPr>
        <w:t xml:space="preserve">plněna jen tehdy, pokud soubor movitých věcí funguje jako </w:t>
      </w:r>
      <w:r w:rsidRPr="00EB558C">
        <w:rPr>
          <w:rFonts w:asciiTheme="minorHAnsi" w:hAnsiTheme="minorHAnsi" w:cstheme="minorHAnsi"/>
          <w:bCs/>
          <w:noProof/>
          <w:sz w:val="24"/>
          <w:szCs w:val="24"/>
        </w:rPr>
        <w:t xml:space="preserve">jednotný celek. Soubory movitých věcí vytvořené příjemci dotace </w:t>
      </w:r>
      <w:r w:rsidR="00131EA6">
        <w:rPr>
          <w:rFonts w:asciiTheme="minorHAnsi" w:hAnsiTheme="minorHAnsi" w:cstheme="minorHAnsi"/>
          <w:bCs/>
          <w:noProof/>
          <w:sz w:val="24"/>
          <w:szCs w:val="24"/>
        </w:rPr>
        <w:t xml:space="preserve">však </w:t>
      </w:r>
      <w:r w:rsidR="00131EA6" w:rsidRPr="00EB558C">
        <w:rPr>
          <w:rFonts w:asciiTheme="minorHAnsi" w:hAnsiTheme="minorHAnsi" w:cstheme="minorHAnsi"/>
          <w:bCs/>
          <w:noProof/>
          <w:sz w:val="24"/>
          <w:szCs w:val="24"/>
        </w:rPr>
        <w:t>nefungovaly</w:t>
      </w:r>
      <w:r w:rsidR="00131EA6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r w:rsidRPr="00EB558C">
        <w:rPr>
          <w:rFonts w:asciiTheme="minorHAnsi" w:hAnsiTheme="minorHAnsi" w:cstheme="minorHAnsi"/>
          <w:bCs/>
          <w:noProof/>
          <w:sz w:val="24"/>
          <w:szCs w:val="24"/>
        </w:rPr>
        <w:t>jako jednotné celky, neboť jednotlivé části so</w:t>
      </w:r>
      <w:r w:rsidR="00EB6FAF" w:rsidRPr="00EB558C">
        <w:rPr>
          <w:rFonts w:asciiTheme="minorHAnsi" w:hAnsiTheme="minorHAnsi" w:cstheme="minorHAnsi"/>
          <w:bCs/>
          <w:noProof/>
          <w:sz w:val="24"/>
          <w:szCs w:val="24"/>
        </w:rPr>
        <w:t>u</w:t>
      </w:r>
      <w:r w:rsidRPr="00EB558C">
        <w:rPr>
          <w:rFonts w:asciiTheme="minorHAnsi" w:hAnsiTheme="minorHAnsi" w:cstheme="minorHAnsi"/>
          <w:bCs/>
          <w:noProof/>
          <w:sz w:val="24"/>
          <w:szCs w:val="24"/>
        </w:rPr>
        <w:t xml:space="preserve">borů (např. jednotlivé kusy </w:t>
      </w:r>
      <w:r w:rsidRPr="00EB558C">
        <w:rPr>
          <w:rFonts w:asciiTheme="minorHAnsi" w:hAnsiTheme="minorHAnsi" w:cstheme="minorHAnsi"/>
          <w:bCs/>
          <w:noProof/>
          <w:sz w:val="24"/>
          <w:szCs w:val="24"/>
        </w:rPr>
        <w:lastRenderedPageBreak/>
        <w:t>nábytku) bylo možné libovolně přemisťovat, odstraňovat či nahrazovat, aniž by tím utrpěla funkce celků jako takových.</w:t>
      </w:r>
    </w:p>
    <w:p w:rsidR="00B56D68" w:rsidRPr="00EB558C" w:rsidRDefault="00B56D68" w:rsidP="00F5293F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E9085C" w:rsidRPr="00EB558C" w:rsidRDefault="00E9085C" w:rsidP="00F5293F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 xml:space="preserve">Vzhledem ke skutečnosti, že </w:t>
      </w:r>
      <w:r w:rsidR="006B2BC9" w:rsidRPr="00EB558C">
        <w:rPr>
          <w:rFonts w:asciiTheme="minorHAnsi" w:hAnsiTheme="minorHAnsi" w:cstheme="minorHAnsi"/>
          <w:sz w:val="24"/>
          <w:szCs w:val="24"/>
        </w:rPr>
        <w:t>příjemci vykázali výše uvedené výdaje jako způsobilé a RR</w:t>
      </w:r>
      <w:r w:rsidR="000F2C27">
        <w:rPr>
          <w:rFonts w:asciiTheme="minorHAnsi" w:hAnsiTheme="minorHAnsi" w:cstheme="minorHAnsi"/>
          <w:sz w:val="24"/>
          <w:szCs w:val="24"/>
        </w:rPr>
        <w:t> </w:t>
      </w:r>
      <w:r w:rsidR="006B2BC9" w:rsidRPr="00EB558C">
        <w:rPr>
          <w:rFonts w:asciiTheme="minorHAnsi" w:hAnsiTheme="minorHAnsi" w:cstheme="minorHAnsi"/>
          <w:sz w:val="24"/>
          <w:szCs w:val="24"/>
        </w:rPr>
        <w:t xml:space="preserve">JZ tyto výdaje proplatila, ačkoliv </w:t>
      </w:r>
      <w:r w:rsidRPr="00EB558C">
        <w:rPr>
          <w:rFonts w:asciiTheme="minorHAnsi" w:hAnsiTheme="minorHAnsi" w:cstheme="minorHAnsi"/>
          <w:sz w:val="24"/>
          <w:szCs w:val="24"/>
        </w:rPr>
        <w:t xml:space="preserve">v rámci OP 2.6 </w:t>
      </w:r>
      <w:r w:rsidR="00131EA6">
        <w:rPr>
          <w:rFonts w:asciiTheme="minorHAnsi" w:hAnsiTheme="minorHAnsi" w:cstheme="minorHAnsi"/>
          <w:sz w:val="24"/>
          <w:szCs w:val="24"/>
        </w:rPr>
        <w:t>–</w:t>
      </w:r>
      <w:r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Pr="00F5293F">
        <w:rPr>
          <w:rFonts w:asciiTheme="minorHAnsi" w:hAnsiTheme="minorHAnsi" w:cstheme="minorHAnsi"/>
          <w:i/>
          <w:sz w:val="24"/>
          <w:szCs w:val="24"/>
        </w:rPr>
        <w:t>Rozvoj zdravotnické péče</w:t>
      </w:r>
      <w:r w:rsidRPr="00EB558C">
        <w:rPr>
          <w:rFonts w:asciiTheme="minorHAnsi" w:hAnsiTheme="minorHAnsi" w:cstheme="minorHAnsi"/>
          <w:sz w:val="24"/>
          <w:szCs w:val="24"/>
        </w:rPr>
        <w:t xml:space="preserve"> nebylo podporováno pořizování drobného hmotného majetku do výše pořizovací ceny 40 000 Kč, konstatoval NKÚ porušení podmínek poskytnutí dotace a příslušným finančním úřadům oznámil podezření na porušení rozpočtové kázně ve smyslu zákona č. 250/2000 Sb.,</w:t>
      </w:r>
      <w:r w:rsidRPr="00EB558C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 o rozpočtových pravidlech územních rozpočtů. </w:t>
      </w:r>
      <w:r w:rsidRPr="00EB558C">
        <w:rPr>
          <w:rFonts w:asciiTheme="minorHAnsi" w:hAnsiTheme="minorHAnsi" w:cstheme="minorHAnsi"/>
          <w:sz w:val="24"/>
          <w:szCs w:val="24"/>
        </w:rPr>
        <w:t>Porušení rozpočtové kázně se mohlo týkat částek:</w:t>
      </w:r>
    </w:p>
    <w:p w:rsidR="00E9085C" w:rsidRPr="00EB558C" w:rsidRDefault="00E9085C" w:rsidP="004E3587">
      <w:pPr>
        <w:pStyle w:val="Odstavecseseznamem"/>
        <w:numPr>
          <w:ilvl w:val="0"/>
          <w:numId w:val="27"/>
        </w:numPr>
        <w:tabs>
          <w:tab w:val="right" w:pos="7938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v případě Nemocnice ČB</w:t>
      </w:r>
      <w:r w:rsidRPr="00EB558C">
        <w:rPr>
          <w:rFonts w:asciiTheme="minorHAnsi" w:hAnsiTheme="minorHAnsi" w:cstheme="minorHAnsi"/>
          <w:sz w:val="24"/>
          <w:szCs w:val="24"/>
        </w:rPr>
        <w:tab/>
        <w:t>5 276 798 Kč</w:t>
      </w:r>
      <w:r w:rsidR="000F2C27">
        <w:rPr>
          <w:rFonts w:asciiTheme="minorHAnsi" w:hAnsiTheme="minorHAnsi" w:cstheme="minorHAnsi"/>
          <w:sz w:val="24"/>
          <w:szCs w:val="24"/>
        </w:rPr>
        <w:t>,</w:t>
      </w:r>
    </w:p>
    <w:p w:rsidR="00E9085C" w:rsidRPr="00EB558C" w:rsidRDefault="00E9085C" w:rsidP="004E3587">
      <w:pPr>
        <w:pStyle w:val="Odstavecseseznamem"/>
        <w:numPr>
          <w:ilvl w:val="0"/>
          <w:numId w:val="27"/>
        </w:numPr>
        <w:tabs>
          <w:tab w:val="right" w:pos="7938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v případě PRIVAMED</w:t>
      </w:r>
      <w:r w:rsidRPr="00EB558C">
        <w:rPr>
          <w:rFonts w:asciiTheme="minorHAnsi" w:hAnsiTheme="minorHAnsi" w:cstheme="minorHAnsi"/>
          <w:sz w:val="24"/>
          <w:szCs w:val="24"/>
        </w:rPr>
        <w:tab/>
        <w:t>2</w:t>
      </w:r>
      <w:r w:rsidRPr="00EB558C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 519 489 Kč</w:t>
      </w:r>
      <w:r w:rsidR="000F2C27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,</w:t>
      </w:r>
    </w:p>
    <w:p w:rsidR="00E9085C" w:rsidRPr="00EB558C" w:rsidRDefault="00E9085C" w:rsidP="004E3587">
      <w:pPr>
        <w:pStyle w:val="Odstavecseseznamem"/>
        <w:numPr>
          <w:ilvl w:val="0"/>
          <w:numId w:val="27"/>
        </w:numPr>
        <w:tabs>
          <w:tab w:val="right" w:pos="7938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v případě Nemocnice Tábor</w:t>
      </w:r>
      <w:r w:rsidRPr="00EB558C">
        <w:rPr>
          <w:rFonts w:asciiTheme="minorHAnsi" w:hAnsiTheme="minorHAnsi" w:cstheme="minorHAnsi"/>
          <w:sz w:val="24"/>
          <w:szCs w:val="24"/>
        </w:rPr>
        <w:tab/>
        <w:t>940 452 Kč</w:t>
      </w:r>
      <w:r w:rsidR="000F2C27">
        <w:rPr>
          <w:rFonts w:asciiTheme="minorHAnsi" w:hAnsiTheme="minorHAnsi" w:cstheme="minorHAnsi"/>
          <w:sz w:val="24"/>
          <w:szCs w:val="24"/>
        </w:rPr>
        <w:t>.</w:t>
      </w:r>
    </w:p>
    <w:p w:rsidR="00B56D68" w:rsidRDefault="00B56D68" w:rsidP="004E3587">
      <w:pPr>
        <w:tabs>
          <w:tab w:val="right" w:pos="9072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E9085C" w:rsidRPr="00EB558C" w:rsidRDefault="00C763C1" w:rsidP="004E3587">
      <w:pPr>
        <w:tabs>
          <w:tab w:val="right" w:pos="9072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 xml:space="preserve">NKÚ zároveň vyhodnotil uvedené nedostatky jako nesrovnalost ve smyslu </w:t>
      </w:r>
      <w:r w:rsidR="00E9085C" w:rsidRPr="00EB558C">
        <w:rPr>
          <w:rFonts w:asciiTheme="minorHAnsi" w:hAnsiTheme="minorHAnsi" w:cstheme="minorHAnsi"/>
          <w:sz w:val="24"/>
          <w:szCs w:val="24"/>
        </w:rPr>
        <w:t xml:space="preserve">předpisů EU, neboť uvedená zjištění představovala </w:t>
      </w:r>
      <w:r w:rsidR="00E9085C" w:rsidRPr="00EB558C">
        <w:rPr>
          <w:rFonts w:asciiTheme="minorHAnsi" w:hAnsiTheme="minorHAnsi" w:cstheme="minorHAnsi"/>
          <w:bCs/>
          <w:sz w:val="24"/>
          <w:szCs w:val="24"/>
        </w:rPr>
        <w:t xml:space="preserve">porušení právních předpisů </w:t>
      </w:r>
      <w:r w:rsidR="004C76CF">
        <w:rPr>
          <w:rFonts w:asciiTheme="minorHAnsi" w:hAnsiTheme="minorHAnsi" w:cstheme="minorHAnsi"/>
          <w:bCs/>
          <w:sz w:val="24"/>
          <w:szCs w:val="24"/>
        </w:rPr>
        <w:t>v </w:t>
      </w:r>
      <w:r w:rsidR="00E9085C" w:rsidRPr="00EB558C">
        <w:rPr>
          <w:rFonts w:asciiTheme="minorHAnsi" w:hAnsiTheme="minorHAnsi" w:cstheme="minorHAnsi"/>
          <w:bCs/>
          <w:sz w:val="24"/>
          <w:szCs w:val="24"/>
        </w:rPr>
        <w:t xml:space="preserve">důsledku jednání hospodářského subjektu, které vede ke ztrátě </w:t>
      </w:r>
      <w:r w:rsidR="004C76CF">
        <w:rPr>
          <w:rFonts w:asciiTheme="minorHAnsi" w:hAnsiTheme="minorHAnsi" w:cstheme="minorHAnsi"/>
          <w:bCs/>
          <w:sz w:val="24"/>
          <w:szCs w:val="24"/>
        </w:rPr>
        <w:t>v </w:t>
      </w:r>
      <w:r w:rsidR="00E9085C" w:rsidRPr="00EB558C">
        <w:rPr>
          <w:rFonts w:asciiTheme="minorHAnsi" w:hAnsiTheme="minorHAnsi" w:cstheme="minorHAnsi"/>
          <w:bCs/>
          <w:sz w:val="24"/>
          <w:szCs w:val="24"/>
        </w:rPr>
        <w:t>souhrnném rozpočtu EU, a to započtením neoprávněného výdaje do souhrnného rozpočtu. Výše nesrovnalosti může činit až:</w:t>
      </w:r>
    </w:p>
    <w:p w:rsidR="00E9085C" w:rsidRPr="00EB558C" w:rsidRDefault="00E9085C" w:rsidP="004E3587">
      <w:pPr>
        <w:pStyle w:val="Odstavecseseznamem"/>
        <w:numPr>
          <w:ilvl w:val="0"/>
          <w:numId w:val="27"/>
        </w:numPr>
        <w:tabs>
          <w:tab w:val="right" w:pos="7938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v případě Nemocnice ČB</w:t>
      </w:r>
      <w:r w:rsidRPr="00EB558C">
        <w:rPr>
          <w:rFonts w:asciiTheme="minorHAnsi" w:hAnsiTheme="minorHAnsi" w:cstheme="minorHAnsi"/>
          <w:sz w:val="24"/>
          <w:szCs w:val="24"/>
        </w:rPr>
        <w:tab/>
      </w:r>
      <w:r w:rsidRPr="00EB558C">
        <w:rPr>
          <w:rFonts w:asciiTheme="minorHAnsi" w:hAnsiTheme="minorHAnsi" w:cstheme="minorHAnsi"/>
          <w:color w:val="000000"/>
          <w:sz w:val="24"/>
          <w:szCs w:val="24"/>
        </w:rPr>
        <w:t>4 848 950 Kč</w:t>
      </w:r>
      <w:r w:rsidR="000F2C2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9085C" w:rsidRPr="00EB558C" w:rsidRDefault="00E9085C" w:rsidP="004E3587">
      <w:pPr>
        <w:pStyle w:val="Odstavecseseznamem"/>
        <w:numPr>
          <w:ilvl w:val="0"/>
          <w:numId w:val="27"/>
        </w:numPr>
        <w:tabs>
          <w:tab w:val="right" w:pos="7938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v případě PRIVAMED</w:t>
      </w:r>
      <w:r w:rsidRPr="00EB558C">
        <w:rPr>
          <w:rFonts w:asciiTheme="minorHAnsi" w:hAnsiTheme="minorHAnsi" w:cstheme="minorHAnsi"/>
          <w:sz w:val="24"/>
          <w:szCs w:val="24"/>
        </w:rPr>
        <w:tab/>
      </w:r>
      <w:r w:rsidRPr="00EB558C">
        <w:rPr>
          <w:rFonts w:asciiTheme="minorHAnsi" w:hAnsiTheme="minorHAnsi" w:cstheme="minorHAnsi"/>
          <w:color w:val="000000"/>
          <w:sz w:val="24"/>
          <w:szCs w:val="24"/>
        </w:rPr>
        <w:t>2 267 276 Kč</w:t>
      </w:r>
      <w:r w:rsidR="000F2C2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E9085C" w:rsidRPr="00EB558C" w:rsidRDefault="00E9085C" w:rsidP="004E3587">
      <w:pPr>
        <w:pStyle w:val="Odstavecseseznamem"/>
        <w:numPr>
          <w:ilvl w:val="0"/>
          <w:numId w:val="27"/>
        </w:numPr>
        <w:tabs>
          <w:tab w:val="right" w:pos="7938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v případě Nemocnice Tábor</w:t>
      </w:r>
      <w:r w:rsidRPr="00EB558C">
        <w:rPr>
          <w:rFonts w:asciiTheme="minorHAnsi" w:hAnsiTheme="minorHAnsi" w:cstheme="minorHAnsi"/>
          <w:sz w:val="24"/>
          <w:szCs w:val="24"/>
        </w:rPr>
        <w:tab/>
        <w:t>864 199 Kč</w:t>
      </w:r>
      <w:r w:rsidR="000F2C27">
        <w:rPr>
          <w:rFonts w:asciiTheme="minorHAnsi" w:hAnsiTheme="minorHAnsi" w:cstheme="minorHAnsi"/>
          <w:sz w:val="24"/>
          <w:szCs w:val="24"/>
        </w:rPr>
        <w:t>.</w:t>
      </w:r>
    </w:p>
    <w:p w:rsidR="00B56D68" w:rsidRDefault="00B56D68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15E13" w:rsidRDefault="00E9085C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Výše finančních prostředků vyhodnocených jako možné porušení rozpočtové kázně či možné nesrovnalosti byla vyčíslena ze vzorku prověřeného kontrol</w:t>
      </w:r>
      <w:r w:rsidR="000F2C27">
        <w:rPr>
          <w:rFonts w:asciiTheme="minorHAnsi" w:hAnsiTheme="minorHAnsi" w:cstheme="minorHAnsi"/>
          <w:sz w:val="24"/>
          <w:szCs w:val="24"/>
        </w:rPr>
        <w:t>ní akcí</w:t>
      </w:r>
      <w:r w:rsidRPr="00EB558C">
        <w:rPr>
          <w:rFonts w:asciiTheme="minorHAnsi" w:hAnsiTheme="minorHAnsi" w:cstheme="minorHAnsi"/>
          <w:sz w:val="24"/>
          <w:szCs w:val="24"/>
        </w:rPr>
        <w:t xml:space="preserve"> NKÚ.</w:t>
      </w:r>
    </w:p>
    <w:p w:rsidR="00B56D68" w:rsidRPr="007E4557" w:rsidRDefault="00B56D68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15E13" w:rsidRPr="00EB558C" w:rsidRDefault="00325A1C" w:rsidP="00E9085C">
      <w:pPr>
        <w:spacing w:before="0" w:after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558C">
        <w:rPr>
          <w:rFonts w:asciiTheme="minorHAnsi" w:hAnsiTheme="minorHAnsi" w:cstheme="minorHAnsi"/>
          <w:b/>
          <w:sz w:val="24"/>
          <w:szCs w:val="24"/>
          <w:highlight w:val="lightGray"/>
        </w:rPr>
        <w:t>Kontrolní činnost RR JZ</w:t>
      </w:r>
    </w:p>
    <w:p w:rsidR="008A2119" w:rsidRDefault="004F31A5" w:rsidP="004E358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Kontrol</w:t>
      </w:r>
      <w:r w:rsidR="00E03839">
        <w:rPr>
          <w:rFonts w:asciiTheme="minorHAnsi" w:hAnsiTheme="minorHAnsi" w:cstheme="minorHAnsi"/>
          <w:sz w:val="24"/>
          <w:szCs w:val="24"/>
        </w:rPr>
        <w:t>ní akce</w:t>
      </w:r>
      <w:r w:rsidRPr="00EB558C">
        <w:rPr>
          <w:rFonts w:asciiTheme="minorHAnsi" w:hAnsiTheme="minorHAnsi" w:cstheme="minorHAnsi"/>
          <w:sz w:val="24"/>
          <w:szCs w:val="24"/>
        </w:rPr>
        <w:t xml:space="preserve"> NKÚ se zaměřila zejména na provádění kontrolní činnosti </w:t>
      </w:r>
      <w:r w:rsidR="00E03839">
        <w:rPr>
          <w:rFonts w:asciiTheme="minorHAnsi" w:hAnsiTheme="minorHAnsi" w:cstheme="minorHAnsi"/>
          <w:sz w:val="24"/>
          <w:szCs w:val="24"/>
        </w:rPr>
        <w:t xml:space="preserve">ze strany </w:t>
      </w:r>
      <w:r w:rsidRPr="00EB558C">
        <w:rPr>
          <w:rFonts w:asciiTheme="minorHAnsi" w:hAnsiTheme="minorHAnsi" w:cstheme="minorHAnsi"/>
          <w:sz w:val="24"/>
          <w:szCs w:val="24"/>
        </w:rPr>
        <w:t>RR</w:t>
      </w:r>
      <w:r w:rsidR="0078401D">
        <w:rPr>
          <w:rFonts w:asciiTheme="minorHAnsi" w:hAnsiTheme="minorHAnsi" w:cstheme="minorHAnsi"/>
          <w:sz w:val="24"/>
          <w:szCs w:val="24"/>
        </w:rPr>
        <w:t> </w:t>
      </w:r>
      <w:r w:rsidRPr="00EB558C">
        <w:rPr>
          <w:rFonts w:asciiTheme="minorHAnsi" w:hAnsiTheme="minorHAnsi" w:cstheme="minorHAnsi"/>
          <w:sz w:val="24"/>
          <w:szCs w:val="24"/>
        </w:rPr>
        <w:t>JZ, a to ve fázi schvalování jednotlivých projektů, ve fázi jejich realizace i ve fázi období udržitelnosti projektů.</w:t>
      </w:r>
    </w:p>
    <w:p w:rsidR="00B56D68" w:rsidRPr="00EB558C" w:rsidRDefault="00B56D68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15E13" w:rsidRDefault="00315E13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 xml:space="preserve">NKÚ </w:t>
      </w:r>
      <w:r w:rsidR="00E03839">
        <w:rPr>
          <w:rFonts w:asciiTheme="minorHAnsi" w:hAnsiTheme="minorHAnsi" w:cstheme="minorHAnsi"/>
          <w:sz w:val="24"/>
          <w:szCs w:val="24"/>
        </w:rPr>
        <w:t>při k</w:t>
      </w:r>
      <w:r w:rsidR="00E03839" w:rsidRPr="00EB558C">
        <w:rPr>
          <w:rFonts w:asciiTheme="minorHAnsi" w:hAnsiTheme="minorHAnsi" w:cstheme="minorHAnsi"/>
          <w:sz w:val="24"/>
          <w:szCs w:val="24"/>
        </w:rPr>
        <w:t>ontrol</w:t>
      </w:r>
      <w:r w:rsidR="00E03839">
        <w:rPr>
          <w:rFonts w:asciiTheme="minorHAnsi" w:hAnsiTheme="minorHAnsi" w:cstheme="minorHAnsi"/>
          <w:sz w:val="24"/>
          <w:szCs w:val="24"/>
        </w:rPr>
        <w:t>e zjistil</w:t>
      </w:r>
      <w:r w:rsidR="00602C47" w:rsidRPr="00EB558C">
        <w:rPr>
          <w:rFonts w:asciiTheme="minorHAnsi" w:hAnsiTheme="minorHAnsi" w:cstheme="minorHAnsi"/>
          <w:sz w:val="24"/>
          <w:szCs w:val="24"/>
        </w:rPr>
        <w:t xml:space="preserve"> nedostatky jak ve fázi realizace projektů (viz použití prostředků dotace na úhradu nezpůsobilých výdajů), tak i ve fázi období udržitelnosti</w:t>
      </w:r>
      <w:r w:rsidR="004F7881" w:rsidRPr="00EB558C">
        <w:rPr>
          <w:rFonts w:asciiTheme="minorHAnsi" w:hAnsiTheme="minorHAnsi" w:cstheme="minorHAnsi"/>
          <w:sz w:val="24"/>
          <w:szCs w:val="24"/>
        </w:rPr>
        <w:t xml:space="preserve"> projektů</w:t>
      </w:r>
      <w:r w:rsidR="00E03839">
        <w:rPr>
          <w:rFonts w:asciiTheme="minorHAnsi" w:hAnsiTheme="minorHAnsi" w:cstheme="minorHAnsi"/>
          <w:sz w:val="24"/>
          <w:szCs w:val="24"/>
        </w:rPr>
        <w:t xml:space="preserve"> –</w:t>
      </w:r>
      <w:r w:rsidR="004F7881"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="00E03839">
        <w:rPr>
          <w:rFonts w:asciiTheme="minorHAnsi" w:hAnsiTheme="minorHAnsi" w:cstheme="minorHAnsi"/>
          <w:sz w:val="24"/>
          <w:szCs w:val="24"/>
        </w:rPr>
        <w:t>jednalo se o</w:t>
      </w:r>
      <w:r w:rsidRPr="00EB558C">
        <w:rPr>
          <w:rFonts w:asciiTheme="minorHAnsi" w:hAnsiTheme="minorHAnsi" w:cstheme="minorHAnsi"/>
          <w:sz w:val="24"/>
          <w:szCs w:val="24"/>
        </w:rPr>
        <w:t xml:space="preserve"> značn</w:t>
      </w:r>
      <w:r w:rsidR="00EB6FAF" w:rsidRPr="00EB558C">
        <w:rPr>
          <w:rFonts w:asciiTheme="minorHAnsi" w:hAnsiTheme="minorHAnsi" w:cstheme="minorHAnsi"/>
          <w:sz w:val="24"/>
          <w:szCs w:val="24"/>
        </w:rPr>
        <w:t>ou</w:t>
      </w:r>
      <w:r w:rsidRPr="00EB558C">
        <w:rPr>
          <w:rFonts w:asciiTheme="minorHAnsi" w:hAnsiTheme="minorHAnsi" w:cstheme="minorHAnsi"/>
          <w:sz w:val="24"/>
          <w:szCs w:val="24"/>
        </w:rPr>
        <w:t xml:space="preserve"> časov</w:t>
      </w:r>
      <w:r w:rsidR="00EB6FAF" w:rsidRPr="00EB558C">
        <w:rPr>
          <w:rFonts w:asciiTheme="minorHAnsi" w:hAnsiTheme="minorHAnsi" w:cstheme="minorHAnsi"/>
          <w:sz w:val="24"/>
          <w:szCs w:val="24"/>
        </w:rPr>
        <w:t>ou</w:t>
      </w:r>
      <w:r w:rsidRPr="00EB558C">
        <w:rPr>
          <w:rFonts w:asciiTheme="minorHAnsi" w:hAnsiTheme="minorHAnsi" w:cstheme="minorHAnsi"/>
          <w:sz w:val="24"/>
          <w:szCs w:val="24"/>
        </w:rPr>
        <w:t xml:space="preserve"> prodle</w:t>
      </w:r>
      <w:r w:rsidR="00EB6FAF" w:rsidRPr="00EB558C">
        <w:rPr>
          <w:rFonts w:asciiTheme="minorHAnsi" w:hAnsiTheme="minorHAnsi" w:cstheme="minorHAnsi"/>
          <w:sz w:val="24"/>
          <w:szCs w:val="24"/>
        </w:rPr>
        <w:t>vu</w:t>
      </w:r>
      <w:r w:rsidRPr="00EB558C">
        <w:rPr>
          <w:rFonts w:asciiTheme="minorHAnsi" w:hAnsiTheme="minorHAnsi" w:cstheme="minorHAnsi"/>
          <w:sz w:val="24"/>
          <w:szCs w:val="24"/>
        </w:rPr>
        <w:t xml:space="preserve"> mezi předložením </w:t>
      </w:r>
      <w:r w:rsidR="00E03839" w:rsidRPr="004E3587">
        <w:rPr>
          <w:rFonts w:asciiTheme="minorHAnsi" w:hAnsiTheme="minorHAnsi" w:cstheme="minorHAnsi"/>
          <w:i/>
          <w:sz w:val="24"/>
          <w:szCs w:val="24"/>
        </w:rPr>
        <w:t>m</w:t>
      </w:r>
      <w:r w:rsidRPr="004E3587">
        <w:rPr>
          <w:rFonts w:asciiTheme="minorHAnsi" w:hAnsiTheme="minorHAnsi" w:cstheme="minorHAnsi"/>
          <w:i/>
          <w:sz w:val="24"/>
          <w:szCs w:val="24"/>
        </w:rPr>
        <w:t xml:space="preserve">onitorovacích zpráv o zajištění udržitelnosti </w:t>
      </w:r>
      <w:r w:rsidR="004F31A5" w:rsidRPr="004E3587">
        <w:rPr>
          <w:rFonts w:asciiTheme="minorHAnsi" w:hAnsiTheme="minorHAnsi" w:cstheme="minorHAnsi"/>
          <w:i/>
          <w:sz w:val="24"/>
          <w:szCs w:val="24"/>
        </w:rPr>
        <w:t>projektu</w:t>
      </w:r>
      <w:r w:rsidR="004F31A5"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Pr="00EB558C">
        <w:rPr>
          <w:rFonts w:asciiTheme="minorHAnsi" w:hAnsiTheme="minorHAnsi" w:cstheme="minorHAnsi"/>
          <w:sz w:val="24"/>
          <w:szCs w:val="24"/>
        </w:rPr>
        <w:t>jednotlivými příjemci dotací a dokončením jejich administrativních kontrol ex-post ze strany RR</w:t>
      </w:r>
      <w:r w:rsidR="0078401D">
        <w:rPr>
          <w:rFonts w:asciiTheme="minorHAnsi" w:hAnsiTheme="minorHAnsi" w:cstheme="minorHAnsi"/>
          <w:sz w:val="24"/>
          <w:szCs w:val="24"/>
        </w:rPr>
        <w:t> </w:t>
      </w:r>
      <w:r w:rsidRPr="00EB558C">
        <w:rPr>
          <w:rFonts w:asciiTheme="minorHAnsi" w:hAnsiTheme="minorHAnsi" w:cstheme="minorHAnsi"/>
          <w:sz w:val="24"/>
          <w:szCs w:val="24"/>
        </w:rPr>
        <w:t>JZ.</w:t>
      </w:r>
    </w:p>
    <w:p w:rsidR="00B56D68" w:rsidRPr="00EB558C" w:rsidRDefault="00B56D68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315E13" w:rsidRPr="00EB558C" w:rsidRDefault="004F7881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Metodické pokyny pro provádění administrativních kontrol sice stanovily termíny zahájení těchto kontrol, avšak nestanovily délku jejich trvání.</w:t>
      </w:r>
      <w:r w:rsidR="002B6945"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Pr="00EB558C">
        <w:rPr>
          <w:rFonts w:asciiTheme="minorHAnsi" w:hAnsiTheme="minorHAnsi" w:cstheme="minorHAnsi"/>
          <w:sz w:val="24"/>
          <w:szCs w:val="24"/>
        </w:rPr>
        <w:t xml:space="preserve">NKÚ zjistil, že kontroly některých </w:t>
      </w:r>
      <w:r w:rsidR="00E03839" w:rsidRPr="004E3587">
        <w:rPr>
          <w:rFonts w:asciiTheme="minorHAnsi" w:hAnsiTheme="minorHAnsi" w:cstheme="minorHAnsi"/>
          <w:i/>
          <w:sz w:val="24"/>
          <w:szCs w:val="24"/>
        </w:rPr>
        <w:t>m</w:t>
      </w:r>
      <w:r w:rsidRPr="004E3587">
        <w:rPr>
          <w:rFonts w:asciiTheme="minorHAnsi" w:hAnsiTheme="minorHAnsi" w:cstheme="minorHAnsi"/>
          <w:i/>
          <w:sz w:val="24"/>
          <w:szCs w:val="24"/>
        </w:rPr>
        <w:t>onitorovacích zpráv o zajištění udržitelnosti</w:t>
      </w:r>
      <w:r w:rsidRPr="00EB558C">
        <w:rPr>
          <w:rFonts w:asciiTheme="minorHAnsi" w:hAnsiTheme="minorHAnsi" w:cstheme="minorHAnsi"/>
          <w:sz w:val="24"/>
          <w:szCs w:val="24"/>
        </w:rPr>
        <w:t xml:space="preserve"> předložených v roce 2013 </w:t>
      </w:r>
      <w:r w:rsidR="00681924" w:rsidRPr="00EB558C">
        <w:rPr>
          <w:rFonts w:asciiTheme="minorHAnsi" w:hAnsiTheme="minorHAnsi" w:cstheme="minorHAnsi"/>
          <w:sz w:val="24"/>
          <w:szCs w:val="24"/>
        </w:rPr>
        <w:t>prováděné RR</w:t>
      </w:r>
      <w:r w:rsidR="0078401D">
        <w:rPr>
          <w:rFonts w:asciiTheme="minorHAnsi" w:hAnsiTheme="minorHAnsi" w:cstheme="minorHAnsi"/>
          <w:sz w:val="24"/>
          <w:szCs w:val="24"/>
        </w:rPr>
        <w:t> </w:t>
      </w:r>
      <w:r w:rsidR="00681924" w:rsidRPr="00EB558C">
        <w:rPr>
          <w:rFonts w:asciiTheme="minorHAnsi" w:hAnsiTheme="minorHAnsi" w:cstheme="minorHAnsi"/>
          <w:sz w:val="24"/>
          <w:szCs w:val="24"/>
        </w:rPr>
        <w:t xml:space="preserve">JZ </w:t>
      </w:r>
      <w:r w:rsidRPr="00EB558C">
        <w:rPr>
          <w:rFonts w:asciiTheme="minorHAnsi" w:hAnsiTheme="minorHAnsi" w:cstheme="minorHAnsi"/>
          <w:sz w:val="24"/>
          <w:szCs w:val="24"/>
        </w:rPr>
        <w:t>nebyly do doby ukončení kontrol</w:t>
      </w:r>
      <w:r w:rsidR="0078401D">
        <w:rPr>
          <w:rFonts w:asciiTheme="minorHAnsi" w:hAnsiTheme="minorHAnsi" w:cstheme="minorHAnsi"/>
          <w:sz w:val="24"/>
          <w:szCs w:val="24"/>
        </w:rPr>
        <w:t>ní akce</w:t>
      </w:r>
      <w:r w:rsidRPr="00EB558C">
        <w:rPr>
          <w:rFonts w:asciiTheme="minorHAnsi" w:hAnsiTheme="minorHAnsi" w:cstheme="minorHAnsi"/>
          <w:sz w:val="24"/>
          <w:szCs w:val="24"/>
        </w:rPr>
        <w:t xml:space="preserve"> NKÚ uzavřeny.</w:t>
      </w:r>
      <w:r w:rsidR="002B6945" w:rsidRPr="00EB558C">
        <w:rPr>
          <w:rFonts w:asciiTheme="minorHAnsi" w:hAnsiTheme="minorHAnsi" w:cstheme="minorHAnsi"/>
          <w:sz w:val="24"/>
          <w:szCs w:val="24"/>
        </w:rPr>
        <w:t xml:space="preserve"> </w:t>
      </w:r>
      <w:r w:rsidR="00315E13" w:rsidRPr="00EB558C">
        <w:rPr>
          <w:rFonts w:asciiTheme="minorHAnsi" w:hAnsiTheme="minorHAnsi" w:cstheme="minorHAnsi"/>
          <w:sz w:val="24"/>
          <w:szCs w:val="24"/>
        </w:rPr>
        <w:t xml:space="preserve">Uvedené skutečnosti </w:t>
      </w:r>
      <w:r w:rsidR="00764305" w:rsidRPr="00EB558C">
        <w:rPr>
          <w:rFonts w:asciiTheme="minorHAnsi" w:hAnsiTheme="minorHAnsi" w:cstheme="minorHAnsi"/>
          <w:sz w:val="24"/>
          <w:szCs w:val="24"/>
        </w:rPr>
        <w:t xml:space="preserve">týkající se provádění kontrol ex-post měly za následek značnou </w:t>
      </w:r>
      <w:r w:rsidR="00315E13" w:rsidRPr="00EB558C">
        <w:rPr>
          <w:rFonts w:asciiTheme="minorHAnsi" w:hAnsiTheme="minorHAnsi" w:cstheme="minorHAnsi"/>
          <w:sz w:val="24"/>
          <w:szCs w:val="24"/>
        </w:rPr>
        <w:t>prodlevu ve vyhodnocování plnění stanovených cílů projektů</w:t>
      </w:r>
      <w:r w:rsidR="004A0D6D" w:rsidRPr="00EB558C">
        <w:rPr>
          <w:rFonts w:asciiTheme="minorHAnsi" w:hAnsiTheme="minorHAnsi" w:cstheme="minorHAnsi"/>
          <w:sz w:val="24"/>
          <w:szCs w:val="24"/>
        </w:rPr>
        <w:t>,</w:t>
      </w:r>
      <w:r w:rsidR="00681924" w:rsidRPr="00EB558C">
        <w:rPr>
          <w:rFonts w:asciiTheme="minorHAnsi" w:hAnsiTheme="minorHAnsi" w:cstheme="minorHAnsi"/>
          <w:sz w:val="24"/>
          <w:szCs w:val="24"/>
        </w:rPr>
        <w:t xml:space="preserve"> oblastí podpory, prioritních os </w:t>
      </w:r>
      <w:r w:rsidR="00E03839">
        <w:rPr>
          <w:rFonts w:asciiTheme="minorHAnsi" w:hAnsiTheme="minorHAnsi" w:cstheme="minorHAnsi"/>
          <w:sz w:val="24"/>
          <w:szCs w:val="24"/>
        </w:rPr>
        <w:t>i</w:t>
      </w:r>
      <w:r w:rsidR="00681924" w:rsidRPr="00EB558C">
        <w:rPr>
          <w:rFonts w:asciiTheme="minorHAnsi" w:hAnsiTheme="minorHAnsi" w:cstheme="minorHAnsi"/>
          <w:sz w:val="24"/>
          <w:szCs w:val="24"/>
        </w:rPr>
        <w:t> program</w:t>
      </w:r>
      <w:r w:rsidR="00E03839">
        <w:rPr>
          <w:rFonts w:asciiTheme="minorHAnsi" w:hAnsiTheme="minorHAnsi" w:cstheme="minorHAnsi"/>
          <w:sz w:val="24"/>
          <w:szCs w:val="24"/>
        </w:rPr>
        <w:t>u</w:t>
      </w:r>
      <w:r w:rsidR="00315E13" w:rsidRPr="00EB558C">
        <w:rPr>
          <w:rFonts w:asciiTheme="minorHAnsi" w:hAnsiTheme="minorHAnsi" w:cstheme="minorHAnsi"/>
          <w:sz w:val="24"/>
          <w:szCs w:val="24"/>
        </w:rPr>
        <w:t>.</w:t>
      </w:r>
    </w:p>
    <w:p w:rsidR="000B7E80" w:rsidRDefault="000B7E80">
      <w:pPr>
        <w:spacing w:before="0" w:after="0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:rsidR="0078401D" w:rsidRDefault="0078401D">
      <w:pPr>
        <w:spacing w:before="0" w:after="0"/>
        <w:rPr>
          <w:rFonts w:asciiTheme="minorHAnsi" w:hAnsiTheme="minorHAnsi" w:cstheme="minorHAnsi"/>
          <w:b/>
          <w:sz w:val="24"/>
          <w:szCs w:val="24"/>
          <w:highlight w:val="lightGray"/>
        </w:rPr>
      </w:pPr>
      <w:r>
        <w:rPr>
          <w:rFonts w:asciiTheme="minorHAnsi" w:hAnsiTheme="minorHAnsi" w:cstheme="minorHAnsi"/>
          <w:b/>
          <w:sz w:val="24"/>
          <w:szCs w:val="24"/>
          <w:highlight w:val="lightGray"/>
        </w:rPr>
        <w:br w:type="page"/>
      </w:r>
    </w:p>
    <w:p w:rsidR="00325A1C" w:rsidRPr="00EB558C" w:rsidRDefault="00325A1C" w:rsidP="004E3587">
      <w:pPr>
        <w:spacing w:before="0"/>
        <w:rPr>
          <w:rFonts w:asciiTheme="minorHAnsi" w:hAnsiTheme="minorHAnsi" w:cstheme="minorHAnsi"/>
          <w:b/>
          <w:sz w:val="24"/>
          <w:szCs w:val="24"/>
        </w:rPr>
      </w:pPr>
      <w:r w:rsidRPr="00EB558C">
        <w:rPr>
          <w:rFonts w:asciiTheme="minorHAnsi" w:hAnsiTheme="minorHAnsi" w:cstheme="minorHAnsi"/>
          <w:b/>
          <w:sz w:val="24"/>
          <w:szCs w:val="24"/>
          <w:highlight w:val="lightGray"/>
        </w:rPr>
        <w:lastRenderedPageBreak/>
        <w:t>Další zjištěn</w:t>
      </w:r>
      <w:r w:rsidR="00067114" w:rsidRPr="00EB558C">
        <w:rPr>
          <w:rFonts w:asciiTheme="minorHAnsi" w:hAnsiTheme="minorHAnsi" w:cstheme="minorHAnsi"/>
          <w:b/>
          <w:sz w:val="24"/>
          <w:szCs w:val="24"/>
          <w:highlight w:val="lightGray"/>
        </w:rPr>
        <w:t>é skutečnosti</w:t>
      </w:r>
    </w:p>
    <w:p w:rsidR="004F31A5" w:rsidRDefault="004F31A5" w:rsidP="004E3587">
      <w:pPr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 xml:space="preserve">Společnost PRIVAMED nedodržela ustanovení </w:t>
      </w:r>
      <w:r w:rsidR="00E03839">
        <w:rPr>
          <w:rFonts w:asciiTheme="minorHAnsi" w:hAnsiTheme="minorHAnsi" w:cstheme="minorHAnsi"/>
          <w:bCs/>
          <w:sz w:val="24"/>
          <w:szCs w:val="24"/>
        </w:rPr>
        <w:t>p</w:t>
      </w:r>
      <w:r w:rsidRPr="00EB558C">
        <w:rPr>
          <w:rFonts w:asciiTheme="minorHAnsi" w:hAnsiTheme="minorHAnsi" w:cstheme="minorHAnsi"/>
          <w:bCs/>
          <w:sz w:val="24"/>
          <w:szCs w:val="24"/>
        </w:rPr>
        <w:t xml:space="preserve">říručky pro příjemce tím, že nenahlásila změnu rozpočtu ve stanoveném termínu pěti pracovních dní, ale až tři měsíce po zjištění této změny. </w:t>
      </w:r>
    </w:p>
    <w:p w:rsidR="00B56D68" w:rsidRPr="00EB558C" w:rsidRDefault="00B56D68" w:rsidP="004E3587">
      <w:pPr>
        <w:spacing w:before="0" w:after="0"/>
        <w:rPr>
          <w:rFonts w:asciiTheme="minorHAnsi" w:hAnsiTheme="minorHAnsi" w:cstheme="minorHAnsi"/>
          <w:bCs/>
          <w:sz w:val="24"/>
          <w:szCs w:val="24"/>
        </w:rPr>
      </w:pPr>
    </w:p>
    <w:p w:rsidR="004F0F4F" w:rsidRDefault="004F0F4F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ZZS PK </w:t>
      </w:r>
      <w:r w:rsidR="00325A1C" w:rsidRPr="00EB558C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rovněž </w:t>
      </w:r>
      <w:r w:rsidRPr="00EB558C">
        <w:rPr>
          <w:rFonts w:asciiTheme="minorHAnsi" w:hAnsiTheme="minorHAnsi" w:cstheme="minorHAnsi"/>
          <w:bCs/>
          <w:sz w:val="24"/>
          <w:szCs w:val="24"/>
          <w:lang w:eastAsia="cs-CZ"/>
        </w:rPr>
        <w:t>nedodržela stanovenou lhůtu pro oznámení změn projektu</w:t>
      </w:r>
      <w:r w:rsidR="0078401D">
        <w:rPr>
          <w:rFonts w:asciiTheme="minorHAnsi" w:hAnsiTheme="minorHAnsi" w:cstheme="minorHAnsi"/>
          <w:bCs/>
          <w:sz w:val="24"/>
          <w:szCs w:val="24"/>
          <w:lang w:eastAsia="cs-CZ"/>
        </w:rPr>
        <w:t>, neboť</w:t>
      </w:r>
      <w:r w:rsidRPr="00EB558C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 neoznámila </w:t>
      </w:r>
      <w:r w:rsidRPr="00EB558C">
        <w:rPr>
          <w:rFonts w:asciiTheme="minorHAnsi" w:hAnsiTheme="minorHAnsi" w:cstheme="minorHAnsi"/>
          <w:sz w:val="24"/>
          <w:szCs w:val="24"/>
        </w:rPr>
        <w:t>změnu statutárního zástupce, změnu svého sídla a</w:t>
      </w:r>
      <w:r w:rsidR="0078401D">
        <w:rPr>
          <w:rFonts w:asciiTheme="minorHAnsi" w:hAnsiTheme="minorHAnsi" w:cstheme="minorHAnsi"/>
          <w:sz w:val="24"/>
          <w:szCs w:val="24"/>
        </w:rPr>
        <w:t>ni</w:t>
      </w:r>
      <w:r w:rsidRPr="00EB558C">
        <w:rPr>
          <w:rFonts w:asciiTheme="minorHAnsi" w:hAnsiTheme="minorHAnsi" w:cstheme="minorHAnsi"/>
          <w:sz w:val="24"/>
          <w:szCs w:val="24"/>
        </w:rPr>
        <w:t xml:space="preserve"> skutečnost, že se stala plátcem DPH. </w:t>
      </w:r>
      <w:r w:rsidRPr="00EB558C">
        <w:rPr>
          <w:rFonts w:asciiTheme="minorHAnsi" w:hAnsiTheme="minorHAnsi" w:cstheme="minorHAnsi"/>
          <w:bCs/>
          <w:sz w:val="24"/>
          <w:szCs w:val="24"/>
          <w:lang w:eastAsia="cs-CZ"/>
        </w:rPr>
        <w:t>ZZS</w:t>
      </w:r>
      <w:r w:rsidR="0078401D">
        <w:rPr>
          <w:rFonts w:asciiTheme="minorHAnsi" w:hAnsiTheme="minorHAnsi" w:cstheme="minorHAnsi"/>
          <w:bCs/>
          <w:sz w:val="24"/>
          <w:szCs w:val="24"/>
          <w:lang w:eastAsia="cs-CZ"/>
        </w:rPr>
        <w:t> </w:t>
      </w:r>
      <w:r w:rsidRPr="00EB558C">
        <w:rPr>
          <w:rFonts w:asciiTheme="minorHAnsi" w:hAnsiTheme="minorHAnsi" w:cstheme="minorHAnsi"/>
          <w:bCs/>
          <w:sz w:val="24"/>
          <w:szCs w:val="24"/>
          <w:lang w:eastAsia="cs-CZ"/>
        </w:rPr>
        <w:t xml:space="preserve">PK oznámila změny </w:t>
      </w:r>
      <w:r w:rsidRPr="00EB558C">
        <w:rPr>
          <w:rFonts w:asciiTheme="minorHAnsi" w:hAnsiTheme="minorHAnsi" w:cstheme="minorHAnsi"/>
          <w:sz w:val="24"/>
          <w:szCs w:val="24"/>
        </w:rPr>
        <w:t>až 6 měsíců (změna sídla, plátce DPH), resp. 3 roky (změna statutárního zástupce) po jejich vzniku.</w:t>
      </w:r>
    </w:p>
    <w:p w:rsidR="00B56D68" w:rsidRPr="00EB558C" w:rsidRDefault="00B56D68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:rsidR="001448FB" w:rsidRPr="00EB558C" w:rsidRDefault="005C7B19" w:rsidP="004E3587">
      <w:p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Přestože ve výše uvedených případech příjemci dotace nedodržel</w:t>
      </w:r>
      <w:r w:rsidR="0078401D">
        <w:rPr>
          <w:rFonts w:asciiTheme="minorHAnsi" w:hAnsiTheme="minorHAnsi" w:cstheme="minorHAnsi"/>
          <w:sz w:val="24"/>
          <w:szCs w:val="24"/>
        </w:rPr>
        <w:t>i</w:t>
      </w:r>
      <w:r w:rsidRPr="00EB558C">
        <w:rPr>
          <w:rFonts w:asciiTheme="minorHAnsi" w:hAnsiTheme="minorHAnsi" w:cstheme="minorHAnsi"/>
          <w:sz w:val="24"/>
          <w:szCs w:val="24"/>
        </w:rPr>
        <w:t xml:space="preserve"> ustanovení </w:t>
      </w:r>
      <w:r w:rsidR="0078401D">
        <w:rPr>
          <w:rFonts w:asciiTheme="minorHAnsi" w:hAnsiTheme="minorHAnsi" w:cstheme="minorHAnsi"/>
          <w:sz w:val="24"/>
          <w:szCs w:val="24"/>
        </w:rPr>
        <w:t>p</w:t>
      </w:r>
      <w:r w:rsidRPr="00EB558C">
        <w:rPr>
          <w:rFonts w:asciiTheme="minorHAnsi" w:hAnsiTheme="minorHAnsi" w:cstheme="minorHAnsi"/>
          <w:sz w:val="24"/>
          <w:szCs w:val="24"/>
        </w:rPr>
        <w:t xml:space="preserve">říručky pro příjemce, </w:t>
      </w:r>
      <w:r w:rsidR="00325A1C" w:rsidRPr="00EB558C">
        <w:rPr>
          <w:rFonts w:asciiTheme="minorHAnsi" w:hAnsiTheme="minorHAnsi" w:cstheme="minorHAnsi"/>
          <w:sz w:val="24"/>
          <w:szCs w:val="24"/>
        </w:rPr>
        <w:t>RR</w:t>
      </w:r>
      <w:r w:rsidR="0078401D">
        <w:rPr>
          <w:rFonts w:asciiTheme="minorHAnsi" w:hAnsiTheme="minorHAnsi" w:cstheme="minorHAnsi"/>
          <w:sz w:val="24"/>
          <w:szCs w:val="24"/>
        </w:rPr>
        <w:t> </w:t>
      </w:r>
      <w:r w:rsidR="00325A1C" w:rsidRPr="00EB558C">
        <w:rPr>
          <w:rFonts w:asciiTheme="minorHAnsi" w:hAnsiTheme="minorHAnsi" w:cstheme="minorHAnsi"/>
          <w:sz w:val="24"/>
          <w:szCs w:val="24"/>
        </w:rPr>
        <w:t xml:space="preserve">JZ </w:t>
      </w:r>
      <w:r w:rsidR="001448FB" w:rsidRPr="00EB558C">
        <w:rPr>
          <w:rFonts w:asciiTheme="minorHAnsi" w:hAnsiTheme="minorHAnsi" w:cstheme="minorHAnsi"/>
          <w:sz w:val="24"/>
          <w:szCs w:val="24"/>
        </w:rPr>
        <w:t>pozdní oznamování změn akceptovala.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</w:p>
    <w:p w:rsidR="0078401D" w:rsidRDefault="0078401D">
      <w:pPr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8E1CD5" w:rsidRPr="00EB558C" w:rsidRDefault="008E1CD5" w:rsidP="004E3587">
      <w:pPr>
        <w:spacing w:before="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EB558C">
        <w:rPr>
          <w:rFonts w:asciiTheme="minorHAnsi" w:hAnsiTheme="minorHAnsi" w:cstheme="minorHAnsi"/>
          <w:b/>
          <w:bCs/>
          <w:sz w:val="24"/>
          <w:szCs w:val="24"/>
        </w:rPr>
        <w:lastRenderedPageBreak/>
        <w:t>Seznam zkratek:</w:t>
      </w:r>
    </w:p>
    <w:p w:rsidR="008E1CD5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</w:p>
    <w:p w:rsidR="0039278B" w:rsidRDefault="0039278B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ČR</w:t>
      </w:r>
      <w:r>
        <w:rPr>
          <w:rFonts w:asciiTheme="minorHAnsi" w:hAnsiTheme="minorHAnsi" w:cstheme="minorHAnsi"/>
          <w:bCs/>
          <w:sz w:val="24"/>
          <w:szCs w:val="24"/>
        </w:rPr>
        <w:tab/>
        <w:t>Česká republika</w:t>
      </w:r>
    </w:p>
    <w:p w:rsidR="0039278B" w:rsidRPr="00EB558C" w:rsidRDefault="0039278B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DPH</w:t>
      </w:r>
      <w:r>
        <w:rPr>
          <w:rFonts w:asciiTheme="minorHAnsi" w:hAnsiTheme="minorHAnsi" w:cstheme="minorHAnsi"/>
          <w:bCs/>
          <w:sz w:val="24"/>
          <w:szCs w:val="24"/>
        </w:rPr>
        <w:tab/>
        <w:t>daň z přidané hodnoty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ERDF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</w:r>
      <w:r w:rsidRPr="004E3587">
        <w:rPr>
          <w:rFonts w:asciiTheme="minorHAnsi" w:hAnsiTheme="minorHAnsi" w:cstheme="minorHAnsi"/>
          <w:bCs/>
          <w:i/>
          <w:sz w:val="24"/>
          <w:szCs w:val="24"/>
        </w:rPr>
        <w:t>Evropský fond pro regionální rozvoj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ES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Evropské společenství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EU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Evropská unie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MMR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Ministerstvo pro místní rozvoj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MZZU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monitorovací zpráva o zajištění udržitelnosti projektu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Nemocnice ČB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Nemocnice České Budějovice, a. s.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Nemocnice Tábor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Nemocnice Tábor, a. s.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NKÚ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Nejvyšší kontrolní úřad</w:t>
      </w:r>
    </w:p>
    <w:p w:rsidR="008E1CD5" w:rsidRPr="00EB558C" w:rsidRDefault="008E1CD5" w:rsidP="004E3587">
      <w:pPr>
        <w:tabs>
          <w:tab w:val="left" w:pos="2410"/>
        </w:tabs>
        <w:spacing w:before="0" w:after="0"/>
        <w:ind w:left="2410" w:hanging="241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NUTS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4E3587">
        <w:rPr>
          <w:rFonts w:asciiTheme="minorHAnsi" w:hAnsiTheme="minorHAnsi" w:cstheme="minorHAnsi"/>
          <w:i/>
          <w:color w:val="000000"/>
          <w:sz w:val="24"/>
          <w:szCs w:val="24"/>
          <w:lang w:eastAsia="cs-CZ"/>
        </w:rPr>
        <w:t>Nomenclature</w:t>
      </w:r>
      <w:proofErr w:type="spellEnd"/>
      <w:r w:rsidRPr="004E3587">
        <w:rPr>
          <w:rFonts w:asciiTheme="minorHAnsi" w:hAnsiTheme="minorHAnsi" w:cstheme="minorHAnsi"/>
          <w:i/>
          <w:color w:val="000000"/>
          <w:sz w:val="24"/>
          <w:szCs w:val="24"/>
          <w:lang w:eastAsia="cs-CZ"/>
        </w:rPr>
        <w:t xml:space="preserve"> des </w:t>
      </w:r>
      <w:proofErr w:type="spellStart"/>
      <w:r w:rsidRPr="004E3587">
        <w:rPr>
          <w:rFonts w:asciiTheme="minorHAnsi" w:hAnsiTheme="minorHAnsi" w:cstheme="minorHAnsi"/>
          <w:i/>
          <w:color w:val="000000"/>
          <w:sz w:val="24"/>
          <w:szCs w:val="24"/>
          <w:lang w:eastAsia="cs-CZ"/>
        </w:rPr>
        <w:t>Unites</w:t>
      </w:r>
      <w:proofErr w:type="spellEnd"/>
      <w:r w:rsidRPr="004E3587">
        <w:rPr>
          <w:rFonts w:asciiTheme="minorHAnsi" w:hAnsiTheme="minorHAnsi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4E3587">
        <w:rPr>
          <w:rFonts w:asciiTheme="minorHAnsi" w:hAnsiTheme="minorHAnsi" w:cstheme="minorHAnsi"/>
          <w:i/>
          <w:color w:val="000000"/>
          <w:sz w:val="24"/>
          <w:szCs w:val="24"/>
          <w:lang w:eastAsia="cs-CZ"/>
        </w:rPr>
        <w:t>Territoriales</w:t>
      </w:r>
      <w:proofErr w:type="spellEnd"/>
      <w:r w:rsidRPr="004E3587">
        <w:rPr>
          <w:rFonts w:asciiTheme="minorHAnsi" w:hAnsiTheme="minorHAnsi" w:cstheme="minorHAnsi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4E3587">
        <w:rPr>
          <w:rFonts w:asciiTheme="minorHAnsi" w:hAnsiTheme="minorHAnsi" w:cstheme="minorHAnsi"/>
          <w:i/>
          <w:color w:val="000000"/>
          <w:sz w:val="24"/>
          <w:szCs w:val="24"/>
          <w:lang w:eastAsia="cs-CZ"/>
        </w:rPr>
        <w:t>Statistiques</w:t>
      </w:r>
      <w:proofErr w:type="spellEnd"/>
      <w:r w:rsidRPr="00EB558C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</w:t>
      </w:r>
      <w:r w:rsidR="0039278B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>–</w:t>
      </w:r>
      <w:r w:rsidRPr="00EB558C">
        <w:rPr>
          <w:rFonts w:asciiTheme="minorHAnsi" w:hAnsiTheme="minorHAnsi" w:cstheme="minorHAnsi"/>
          <w:color w:val="000000"/>
          <w:sz w:val="24"/>
          <w:szCs w:val="24"/>
          <w:lang w:eastAsia="cs-CZ"/>
        </w:rPr>
        <w:t xml:space="preserve"> </w:t>
      </w:r>
      <w:r w:rsidRPr="00EB558C">
        <w:rPr>
          <w:rFonts w:asciiTheme="minorHAnsi" w:hAnsiTheme="minorHAnsi" w:cstheme="minorHAnsi"/>
          <w:bCs/>
          <w:sz w:val="24"/>
          <w:szCs w:val="24"/>
        </w:rPr>
        <w:t>klasifikace územních statistických jednotek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OP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oblast podpory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PO</w:t>
      </w:r>
      <w:r w:rsidR="00E92C13" w:rsidRPr="00EB558C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prioritní osa</w:t>
      </w:r>
      <w:r w:rsidR="00E92C13" w:rsidRPr="00EB558C">
        <w:rPr>
          <w:rFonts w:asciiTheme="minorHAnsi" w:hAnsiTheme="minorHAnsi" w:cstheme="minorHAnsi"/>
          <w:bCs/>
          <w:sz w:val="24"/>
          <w:szCs w:val="24"/>
        </w:rPr>
        <w:t xml:space="preserve"> 2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PRIVAMED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Pr="00EB558C">
        <w:rPr>
          <w:rFonts w:asciiTheme="minorHAnsi" w:hAnsiTheme="minorHAnsi" w:cstheme="minorHAnsi"/>
          <w:bCs/>
          <w:sz w:val="24"/>
          <w:szCs w:val="24"/>
        </w:rPr>
        <w:t>PRIVAMED</w:t>
      </w:r>
      <w:proofErr w:type="spellEnd"/>
      <w:r w:rsidRPr="00EB558C">
        <w:rPr>
          <w:rFonts w:asciiTheme="minorHAnsi" w:hAnsiTheme="minorHAnsi" w:cstheme="minorHAnsi"/>
          <w:bCs/>
          <w:sz w:val="24"/>
          <w:szCs w:val="24"/>
        </w:rPr>
        <w:t xml:space="preserve"> a. s., Plzeň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ROP JZ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</w:r>
      <w:r w:rsidRPr="004E3587">
        <w:rPr>
          <w:rFonts w:asciiTheme="minorHAnsi" w:hAnsiTheme="minorHAnsi" w:cstheme="minorHAnsi"/>
          <w:i/>
          <w:sz w:val="24"/>
          <w:szCs w:val="24"/>
        </w:rPr>
        <w:t>Regionální operační program NUTS II Jihozápad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RR JZ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Regionální rada regionu soudržnosti Jihozápad</w:t>
      </w:r>
    </w:p>
    <w:p w:rsidR="008E1CD5" w:rsidRPr="00EB558C" w:rsidRDefault="008E1CD5" w:rsidP="008E1CD5">
      <w:pPr>
        <w:tabs>
          <w:tab w:val="left" w:pos="2410"/>
        </w:tabs>
        <w:spacing w:before="0" w:after="0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SR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státní rozpočet</w:t>
      </w:r>
    </w:p>
    <w:p w:rsidR="008E1CD5" w:rsidRPr="00EB558C" w:rsidRDefault="008E1CD5" w:rsidP="004E3587">
      <w:pPr>
        <w:tabs>
          <w:tab w:val="left" w:pos="2410"/>
        </w:tabs>
        <w:spacing w:before="0" w:after="0"/>
        <w:ind w:left="2410" w:hanging="241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EB558C">
        <w:rPr>
          <w:rFonts w:asciiTheme="minorHAnsi" w:hAnsiTheme="minorHAnsi" w:cstheme="minorHAnsi"/>
          <w:bCs/>
          <w:sz w:val="24"/>
          <w:szCs w:val="24"/>
        </w:rPr>
        <w:t>ZZS PK</w:t>
      </w:r>
      <w:r w:rsidRPr="00EB558C">
        <w:rPr>
          <w:rFonts w:asciiTheme="minorHAnsi" w:hAnsiTheme="minorHAnsi" w:cstheme="minorHAnsi"/>
          <w:bCs/>
          <w:sz w:val="24"/>
          <w:szCs w:val="24"/>
        </w:rPr>
        <w:tab/>
        <w:t>Zdravotnická záchranná služba Plzeňského kraje, příspěvková organizace</w:t>
      </w:r>
    </w:p>
    <w:p w:rsidR="008E1CD5" w:rsidRDefault="008E1CD5" w:rsidP="008E1CD5">
      <w:bookmarkStart w:id="2" w:name="_Toc197145242"/>
      <w:bookmarkStart w:id="3" w:name="_Toc388939880"/>
    </w:p>
    <w:p w:rsidR="008E1CD5" w:rsidRPr="008E1CD5" w:rsidRDefault="008E1CD5" w:rsidP="008E1CD5"/>
    <w:p w:rsidR="000B7E80" w:rsidRDefault="000B7E80">
      <w:pPr>
        <w:spacing w:before="0" w:after="0"/>
        <w:rPr>
          <w:rFonts w:asciiTheme="minorHAnsi" w:eastAsiaTheme="majorEastAsia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 w:type="page"/>
      </w:r>
    </w:p>
    <w:p w:rsidR="00295A63" w:rsidRPr="00EB558C" w:rsidRDefault="008E1CD5" w:rsidP="00AF39D9">
      <w:pPr>
        <w:pStyle w:val="Nadpis1"/>
        <w:keepLines w:val="0"/>
        <w:spacing w:before="120" w:after="120" w:line="200" w:lineRule="atLeast"/>
        <w:ind w:left="1015" w:hanging="1009"/>
        <w:jc w:val="left"/>
        <w:rPr>
          <w:rFonts w:asciiTheme="minorHAnsi" w:hAnsiTheme="minorHAnsi" w:cstheme="minorHAnsi"/>
          <w:sz w:val="26"/>
          <w:szCs w:val="26"/>
        </w:rPr>
      </w:pPr>
      <w:r w:rsidRPr="00EB558C">
        <w:rPr>
          <w:rFonts w:asciiTheme="minorHAnsi" w:hAnsiTheme="minorHAnsi" w:cstheme="minorHAnsi"/>
          <w:sz w:val="26"/>
          <w:szCs w:val="26"/>
        </w:rPr>
        <w:lastRenderedPageBreak/>
        <w:t xml:space="preserve">Příloha </w:t>
      </w:r>
      <w:r w:rsidR="00EB7949">
        <w:rPr>
          <w:rFonts w:asciiTheme="minorHAnsi" w:hAnsiTheme="minorHAnsi" w:cstheme="minorHAnsi"/>
          <w:sz w:val="26"/>
          <w:szCs w:val="26"/>
        </w:rPr>
        <w:t>–</w:t>
      </w:r>
      <w:r w:rsidRPr="00EB558C">
        <w:rPr>
          <w:rFonts w:asciiTheme="minorHAnsi" w:hAnsiTheme="minorHAnsi" w:cstheme="minorHAnsi"/>
          <w:sz w:val="26"/>
          <w:szCs w:val="26"/>
        </w:rPr>
        <w:t xml:space="preserve"> </w:t>
      </w:r>
      <w:r w:rsidR="00295A63" w:rsidRPr="00EB558C">
        <w:rPr>
          <w:rFonts w:asciiTheme="minorHAnsi" w:hAnsiTheme="minorHAnsi" w:cstheme="minorHAnsi"/>
          <w:sz w:val="26"/>
          <w:szCs w:val="26"/>
        </w:rPr>
        <w:t>Přehled právních předpisů</w:t>
      </w:r>
      <w:bookmarkEnd w:id="2"/>
      <w:bookmarkEnd w:id="3"/>
      <w:r w:rsidR="0039278B">
        <w:rPr>
          <w:rFonts w:asciiTheme="minorHAnsi" w:hAnsiTheme="minorHAnsi" w:cstheme="minorHAnsi"/>
          <w:sz w:val="26"/>
          <w:szCs w:val="26"/>
        </w:rPr>
        <w:t>,</w:t>
      </w:r>
      <w:r w:rsidR="00295A63" w:rsidRPr="00EB558C">
        <w:rPr>
          <w:rFonts w:asciiTheme="minorHAnsi" w:hAnsiTheme="minorHAnsi" w:cstheme="minorHAnsi"/>
          <w:sz w:val="26"/>
          <w:szCs w:val="26"/>
        </w:rPr>
        <w:t xml:space="preserve"> jejichž ustanovení byla při kontrole porovnávána se zjištěným stavem</w:t>
      </w:r>
    </w:p>
    <w:p w:rsidR="00295A63" w:rsidRPr="00EB558C" w:rsidRDefault="00295A63" w:rsidP="00295A63">
      <w:pPr>
        <w:keepLines/>
        <w:numPr>
          <w:ilvl w:val="2"/>
          <w:numId w:val="2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Nařízení Rady (ES) č. 1083/2006 ze dne 11. 7. 2006</w:t>
      </w:r>
      <w:r w:rsidR="0039278B">
        <w:rPr>
          <w:rFonts w:asciiTheme="minorHAnsi" w:hAnsiTheme="minorHAnsi" w:cstheme="minorHAnsi"/>
          <w:sz w:val="24"/>
          <w:szCs w:val="24"/>
        </w:rPr>
        <w:t>,</w:t>
      </w:r>
      <w:r w:rsidRPr="00EB558C">
        <w:rPr>
          <w:rFonts w:asciiTheme="minorHAnsi" w:hAnsiTheme="minorHAnsi" w:cstheme="minorHAnsi"/>
          <w:sz w:val="24"/>
          <w:szCs w:val="24"/>
        </w:rPr>
        <w:t xml:space="preserve"> o obecných ustanoveních o Evropském fondu pro regionální rozvoj, Evropském sociálním fondu a Fondu soudržnosti a o zrušení nařízení (ES) č. 1260/1999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558C" w:rsidRDefault="00295A63" w:rsidP="00295A63">
      <w:pPr>
        <w:keepLines/>
        <w:numPr>
          <w:ilvl w:val="2"/>
          <w:numId w:val="2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Nařízení Komise (ES) č. 1828/2006 ze dne 8. 12. 2006</w:t>
      </w:r>
      <w:r w:rsidR="0039278B">
        <w:rPr>
          <w:rFonts w:asciiTheme="minorHAnsi" w:hAnsiTheme="minorHAnsi" w:cstheme="minorHAnsi"/>
          <w:sz w:val="24"/>
          <w:szCs w:val="24"/>
        </w:rPr>
        <w:t>,</w:t>
      </w:r>
      <w:r w:rsidRPr="00EB558C">
        <w:rPr>
          <w:rFonts w:asciiTheme="minorHAnsi" w:hAnsiTheme="minorHAnsi" w:cstheme="minorHAnsi"/>
          <w:sz w:val="24"/>
          <w:szCs w:val="24"/>
        </w:rPr>
        <w:t xml:space="preserve"> stanovující prováděcí pravidla pro aplikaci </w:t>
      </w:r>
      <w:r w:rsidR="0039278B">
        <w:rPr>
          <w:rFonts w:asciiTheme="minorHAnsi" w:hAnsiTheme="minorHAnsi" w:cstheme="minorHAnsi"/>
          <w:sz w:val="24"/>
          <w:szCs w:val="24"/>
        </w:rPr>
        <w:t>n</w:t>
      </w:r>
      <w:r w:rsidRPr="00EB558C">
        <w:rPr>
          <w:rFonts w:asciiTheme="minorHAnsi" w:hAnsiTheme="minorHAnsi" w:cstheme="minorHAnsi"/>
          <w:sz w:val="24"/>
          <w:szCs w:val="24"/>
        </w:rPr>
        <w:t>ařízení Rady (ES) č. 1083/2006</w:t>
      </w:r>
      <w:r w:rsidR="0039278B">
        <w:rPr>
          <w:rFonts w:asciiTheme="minorHAnsi" w:hAnsiTheme="minorHAnsi" w:cstheme="minorHAnsi"/>
          <w:sz w:val="24"/>
          <w:szCs w:val="24"/>
        </w:rPr>
        <w:t>,</w:t>
      </w:r>
      <w:r w:rsidRPr="00EB558C">
        <w:rPr>
          <w:rFonts w:asciiTheme="minorHAnsi" w:hAnsiTheme="minorHAnsi" w:cstheme="minorHAnsi"/>
          <w:sz w:val="24"/>
          <w:szCs w:val="24"/>
        </w:rPr>
        <w:t xml:space="preserve"> o obecných ustanoveních o</w:t>
      </w:r>
      <w:r w:rsidR="0039278B">
        <w:rPr>
          <w:rFonts w:asciiTheme="minorHAnsi" w:hAnsiTheme="minorHAnsi" w:cstheme="minorHAnsi"/>
          <w:sz w:val="24"/>
          <w:szCs w:val="24"/>
        </w:rPr>
        <w:t> </w:t>
      </w:r>
      <w:r w:rsidRPr="00EB558C">
        <w:rPr>
          <w:rFonts w:asciiTheme="minorHAnsi" w:hAnsiTheme="minorHAnsi" w:cstheme="minorHAnsi"/>
          <w:sz w:val="24"/>
          <w:szCs w:val="24"/>
        </w:rPr>
        <w:t>Evropském fondu pro</w:t>
      </w:r>
      <w:r w:rsidR="00E16E02">
        <w:rPr>
          <w:rFonts w:asciiTheme="minorHAnsi" w:hAnsiTheme="minorHAnsi" w:cstheme="minorHAnsi"/>
          <w:sz w:val="24"/>
          <w:szCs w:val="24"/>
        </w:rPr>
        <w:t xml:space="preserve"> </w:t>
      </w:r>
      <w:r w:rsidRPr="00EB558C">
        <w:rPr>
          <w:rFonts w:asciiTheme="minorHAnsi" w:hAnsiTheme="minorHAnsi" w:cstheme="minorHAnsi"/>
          <w:sz w:val="24"/>
          <w:szCs w:val="24"/>
        </w:rPr>
        <w:t>regionální rozvoj, Evropském sociálním fondu a Fondu soudržnosti</w:t>
      </w:r>
      <w:r w:rsidR="0039278B">
        <w:rPr>
          <w:rFonts w:asciiTheme="minorHAnsi" w:hAnsiTheme="minorHAnsi" w:cstheme="minorHAnsi"/>
          <w:sz w:val="24"/>
          <w:szCs w:val="24"/>
        </w:rPr>
        <w:t>,</w:t>
      </w:r>
      <w:r w:rsidRPr="00EB558C">
        <w:rPr>
          <w:rFonts w:asciiTheme="minorHAnsi" w:hAnsiTheme="minorHAnsi" w:cstheme="minorHAnsi"/>
          <w:sz w:val="24"/>
          <w:szCs w:val="24"/>
        </w:rPr>
        <w:t xml:space="preserve"> a </w:t>
      </w:r>
      <w:r w:rsidR="0039278B">
        <w:rPr>
          <w:rFonts w:asciiTheme="minorHAnsi" w:hAnsiTheme="minorHAnsi" w:cstheme="minorHAnsi"/>
          <w:sz w:val="24"/>
          <w:szCs w:val="24"/>
        </w:rPr>
        <w:t>n</w:t>
      </w:r>
      <w:r w:rsidRPr="00EB558C">
        <w:rPr>
          <w:rFonts w:asciiTheme="minorHAnsi" w:hAnsiTheme="minorHAnsi" w:cstheme="minorHAnsi"/>
          <w:sz w:val="24"/>
          <w:szCs w:val="24"/>
        </w:rPr>
        <w:t>ařízení Evropského parlamentu a Rady (ES) č. 1080/2006</w:t>
      </w:r>
      <w:r w:rsidR="0039278B">
        <w:rPr>
          <w:rFonts w:asciiTheme="minorHAnsi" w:hAnsiTheme="minorHAnsi" w:cstheme="minorHAnsi"/>
          <w:sz w:val="24"/>
          <w:szCs w:val="24"/>
        </w:rPr>
        <w:t>,</w:t>
      </w:r>
      <w:r w:rsidRPr="00EB558C">
        <w:rPr>
          <w:rFonts w:asciiTheme="minorHAnsi" w:hAnsiTheme="minorHAnsi" w:cstheme="minorHAnsi"/>
          <w:sz w:val="24"/>
          <w:szCs w:val="24"/>
        </w:rPr>
        <w:t xml:space="preserve"> o</w:t>
      </w:r>
      <w:r w:rsidR="0039278B">
        <w:rPr>
          <w:rFonts w:asciiTheme="minorHAnsi" w:hAnsiTheme="minorHAnsi" w:cstheme="minorHAnsi"/>
          <w:sz w:val="24"/>
          <w:szCs w:val="24"/>
        </w:rPr>
        <w:t> </w:t>
      </w:r>
      <w:r w:rsidRPr="00EB558C">
        <w:rPr>
          <w:rFonts w:asciiTheme="minorHAnsi" w:hAnsiTheme="minorHAnsi" w:cstheme="minorHAnsi"/>
          <w:sz w:val="24"/>
          <w:szCs w:val="24"/>
        </w:rPr>
        <w:t>Evropském fondu pro regionální rozvoj</w:t>
      </w:r>
      <w:r w:rsidR="0039278B">
        <w:rPr>
          <w:rFonts w:asciiTheme="minorHAnsi" w:hAnsiTheme="minorHAnsi" w:cstheme="minorHAnsi"/>
          <w:sz w:val="24"/>
          <w:szCs w:val="24"/>
        </w:rPr>
        <w:t>.</w:t>
      </w:r>
      <w:r w:rsidRPr="00EB558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5A63" w:rsidRPr="00EB558C" w:rsidRDefault="00295A63" w:rsidP="00295A63">
      <w:pPr>
        <w:keepLines/>
        <w:numPr>
          <w:ilvl w:val="2"/>
          <w:numId w:val="22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Nařízení Evropského parlamentu a Rady (ES) č. 1080/2006 ze dne 5. 7. 2006</w:t>
      </w:r>
      <w:r w:rsidR="0039278B">
        <w:rPr>
          <w:rFonts w:asciiTheme="minorHAnsi" w:hAnsiTheme="minorHAnsi" w:cstheme="minorHAnsi"/>
          <w:sz w:val="24"/>
          <w:szCs w:val="24"/>
        </w:rPr>
        <w:t>,</w:t>
      </w:r>
      <w:r w:rsidRPr="00EB558C">
        <w:rPr>
          <w:rFonts w:asciiTheme="minorHAnsi" w:hAnsiTheme="minorHAnsi" w:cstheme="minorHAnsi"/>
          <w:sz w:val="24"/>
          <w:szCs w:val="24"/>
        </w:rPr>
        <w:t xml:space="preserve"> o Evropském fondu pro regionální rozvoj a o zrušení nařízení (ES) č. 1783/1999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558C" w:rsidRDefault="00295A63" w:rsidP="00295A63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218/2000 Sb., o rozpočtových pravidlech a o změně některých souvisejících zákonů (rozpočtová pravidla)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558C" w:rsidRDefault="00295A63" w:rsidP="00295A63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250/2000 Sb., o rozpočtových pravidlech územních rozpočtů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558C" w:rsidRDefault="00295A63" w:rsidP="00295A63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248/2000 Sb., o</w:t>
      </w:r>
      <w:r w:rsidR="00E16E02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GoBack"/>
      <w:bookmarkEnd w:id="4"/>
      <w:r w:rsidRPr="00EB558C">
        <w:rPr>
          <w:rFonts w:asciiTheme="minorHAnsi" w:hAnsiTheme="minorHAnsi" w:cstheme="minorHAnsi"/>
          <w:sz w:val="24"/>
          <w:szCs w:val="24"/>
        </w:rPr>
        <w:t>podpoře regionálního rozvoje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558C" w:rsidRDefault="00295A63" w:rsidP="00295A63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552/1991 Sb., o státní kontrole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558C" w:rsidRDefault="00295A63" w:rsidP="00295A63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137/2006 Sb., o veřejných zakázkách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558C" w:rsidRDefault="00295A63" w:rsidP="00295A63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586/1992 Sb., o daních z</w:t>
      </w:r>
      <w:r w:rsidR="0039278B">
        <w:rPr>
          <w:rFonts w:asciiTheme="minorHAnsi" w:hAnsiTheme="minorHAnsi" w:cstheme="minorHAnsi"/>
          <w:sz w:val="24"/>
          <w:szCs w:val="24"/>
        </w:rPr>
        <w:t> </w:t>
      </w:r>
      <w:r w:rsidRPr="00EB558C">
        <w:rPr>
          <w:rFonts w:asciiTheme="minorHAnsi" w:hAnsiTheme="minorHAnsi" w:cstheme="minorHAnsi"/>
          <w:sz w:val="24"/>
          <w:szCs w:val="24"/>
        </w:rPr>
        <w:t>příjmů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EB7949" w:rsidRDefault="00295A63" w:rsidP="00295A63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563/1991 Sb., o účetnictví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8904DB" w:rsidRPr="00EB558C" w:rsidRDefault="008904DB" w:rsidP="008904DB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EB558C">
        <w:rPr>
          <w:rFonts w:asciiTheme="minorHAnsi" w:hAnsiTheme="minorHAnsi" w:cstheme="minorHAnsi"/>
          <w:sz w:val="24"/>
          <w:szCs w:val="24"/>
        </w:rPr>
        <w:t>Zákon č. 320/2001 Sb., o finanční kontrole ve veřejné správě a o změně některých zákonů (zákon o finanční kontrole)</w:t>
      </w:r>
      <w:r w:rsidR="0039278B">
        <w:rPr>
          <w:rFonts w:asciiTheme="minorHAnsi" w:hAnsiTheme="minorHAnsi" w:cstheme="minorHAnsi"/>
          <w:sz w:val="24"/>
          <w:szCs w:val="24"/>
        </w:rPr>
        <w:t>.</w:t>
      </w:r>
    </w:p>
    <w:p w:rsidR="00295A63" w:rsidRPr="008904DB" w:rsidRDefault="00295A63" w:rsidP="008904DB">
      <w:pPr>
        <w:numPr>
          <w:ilvl w:val="2"/>
          <w:numId w:val="20"/>
        </w:numPr>
        <w:spacing w:before="0" w:after="0"/>
        <w:rPr>
          <w:rFonts w:asciiTheme="minorHAnsi" w:hAnsiTheme="minorHAnsi" w:cstheme="minorHAnsi"/>
          <w:sz w:val="24"/>
          <w:szCs w:val="24"/>
          <w:u w:val="single"/>
        </w:rPr>
      </w:pPr>
      <w:r w:rsidRPr="008904DB">
        <w:rPr>
          <w:rFonts w:asciiTheme="minorHAnsi" w:hAnsiTheme="minorHAnsi" w:cstheme="minorHAnsi"/>
          <w:sz w:val="24"/>
          <w:szCs w:val="24"/>
        </w:rPr>
        <w:t>Vyhláška č. 416/2004 Sb., kterou se provádí zákon č. 320/2001 Sb., o finanční kontrole ve veřejné správě a o změně některých zákonů (zákon o finanční kontrole), ve znění zákona č. 309/2002 Sb., zákona č. 320/2002 Sb. a zákona č. 123/2003 Sb.</w:t>
      </w:r>
    </w:p>
    <w:p w:rsidR="000C7712" w:rsidRDefault="000C7712" w:rsidP="00A30E58">
      <w:pPr>
        <w:spacing w:before="0" w:after="0"/>
        <w:rPr>
          <w:rFonts w:cs="Arial"/>
          <w:b/>
          <w:highlight w:val="yellow"/>
        </w:rPr>
      </w:pPr>
    </w:p>
    <w:p w:rsidR="000C7712" w:rsidRDefault="000C7712" w:rsidP="00A30E58">
      <w:pPr>
        <w:spacing w:before="0" w:after="0"/>
        <w:rPr>
          <w:rFonts w:cs="Arial"/>
          <w:b/>
          <w:highlight w:val="yellow"/>
        </w:rPr>
      </w:pPr>
    </w:p>
    <w:sectPr w:rsidR="000C7712" w:rsidSect="005A4C38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E1" w:rsidRDefault="002821E1" w:rsidP="00A30E58">
      <w:pPr>
        <w:spacing w:before="0" w:after="0"/>
      </w:pPr>
      <w:r>
        <w:separator/>
      </w:r>
    </w:p>
  </w:endnote>
  <w:endnote w:type="continuationSeparator" w:id="0">
    <w:p w:rsidR="002821E1" w:rsidRDefault="002821E1" w:rsidP="00A30E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E1" w:rsidRPr="00A741C4" w:rsidRDefault="002821E1">
    <w:pPr>
      <w:pStyle w:val="Zpat"/>
      <w:jc w:val="center"/>
      <w:rPr>
        <w:rFonts w:asciiTheme="minorHAnsi" w:hAnsiTheme="minorHAnsi" w:cstheme="minorHAnsi"/>
        <w:sz w:val="24"/>
        <w:szCs w:val="24"/>
      </w:rPr>
    </w:pPr>
    <w:r w:rsidRPr="00A741C4">
      <w:rPr>
        <w:rFonts w:asciiTheme="minorHAnsi" w:hAnsiTheme="minorHAnsi" w:cstheme="minorHAnsi"/>
        <w:sz w:val="24"/>
        <w:szCs w:val="24"/>
      </w:rPr>
      <w:fldChar w:fldCharType="begin"/>
    </w:r>
    <w:r w:rsidRPr="00A741C4">
      <w:rPr>
        <w:rFonts w:asciiTheme="minorHAnsi" w:hAnsiTheme="minorHAnsi" w:cstheme="minorHAnsi"/>
        <w:sz w:val="24"/>
        <w:szCs w:val="24"/>
      </w:rPr>
      <w:instrText>PAGE   \* MERGEFORMAT</w:instrText>
    </w:r>
    <w:r w:rsidRPr="00A741C4">
      <w:rPr>
        <w:rFonts w:asciiTheme="minorHAnsi" w:hAnsiTheme="minorHAnsi" w:cstheme="minorHAnsi"/>
        <w:sz w:val="24"/>
        <w:szCs w:val="24"/>
      </w:rPr>
      <w:fldChar w:fldCharType="separate"/>
    </w:r>
    <w:r w:rsidR="00E16E02">
      <w:rPr>
        <w:rFonts w:asciiTheme="minorHAnsi" w:hAnsiTheme="minorHAnsi" w:cstheme="minorHAnsi"/>
        <w:noProof/>
        <w:sz w:val="24"/>
        <w:szCs w:val="24"/>
      </w:rPr>
      <w:t>13</w:t>
    </w:r>
    <w:r w:rsidRPr="00A741C4">
      <w:rPr>
        <w:rFonts w:asciiTheme="minorHAnsi" w:hAnsiTheme="minorHAnsi" w:cs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E1" w:rsidRDefault="002821E1" w:rsidP="00A30E58">
      <w:pPr>
        <w:spacing w:before="0" w:after="0"/>
      </w:pPr>
      <w:r>
        <w:separator/>
      </w:r>
    </w:p>
  </w:footnote>
  <w:footnote w:type="continuationSeparator" w:id="0">
    <w:p w:rsidR="002821E1" w:rsidRDefault="002821E1" w:rsidP="00A30E58">
      <w:pPr>
        <w:spacing w:before="0" w:after="0"/>
      </w:pPr>
      <w:r>
        <w:continuationSeparator/>
      </w:r>
    </w:p>
  </w:footnote>
  <w:footnote w:id="1">
    <w:p w:rsidR="002821E1" w:rsidRPr="00FF1191" w:rsidRDefault="002821E1" w:rsidP="003816A0">
      <w:pPr>
        <w:pStyle w:val="poznmkapodarou"/>
        <w:rPr>
          <w:rFonts w:asciiTheme="minorHAnsi" w:hAnsiTheme="minorHAnsi" w:cstheme="minorHAnsi"/>
          <w:sz w:val="20"/>
        </w:rPr>
      </w:pPr>
      <w:r w:rsidRPr="00FF1191">
        <w:rPr>
          <w:rStyle w:val="Znakapoznpodarou"/>
          <w:rFonts w:asciiTheme="minorHAnsi" w:hAnsiTheme="minorHAnsi" w:cstheme="minorHAnsi"/>
          <w:sz w:val="20"/>
        </w:rPr>
        <w:footnoteRef/>
      </w:r>
      <w:r w:rsidRPr="00FF1191">
        <w:rPr>
          <w:rFonts w:asciiTheme="minorHAnsi" w:hAnsiTheme="minorHAnsi" w:cstheme="minorHAnsi"/>
          <w:sz w:val="20"/>
        </w:rPr>
        <w:t xml:space="preserve"> </w:t>
      </w:r>
      <w:r w:rsidRPr="00FF1191">
        <w:rPr>
          <w:rFonts w:asciiTheme="minorHAnsi" w:hAnsiTheme="minorHAnsi" w:cstheme="minorHAnsi"/>
          <w:sz w:val="20"/>
        </w:rPr>
        <w:tab/>
      </w:r>
      <w:r w:rsidRPr="00FF1191">
        <w:rPr>
          <w:rStyle w:val="poznmkapodarouChar"/>
          <w:rFonts w:asciiTheme="minorHAnsi" w:hAnsiTheme="minorHAnsi" w:cstheme="minorHAnsi"/>
          <w:sz w:val="20"/>
        </w:rPr>
        <w:t xml:space="preserve">ERDF – z anglického </w:t>
      </w:r>
      <w:r w:rsidRPr="00A741C4">
        <w:rPr>
          <w:rStyle w:val="poznmkapodarouChar"/>
          <w:rFonts w:asciiTheme="minorHAnsi" w:hAnsiTheme="minorHAnsi" w:cstheme="minorHAnsi"/>
          <w:i/>
          <w:sz w:val="20"/>
          <w:lang w:val="en-GB"/>
        </w:rPr>
        <w:t>European Regional Development Fund</w:t>
      </w:r>
      <w:r w:rsidRPr="00FF1191">
        <w:rPr>
          <w:rStyle w:val="poznmkapodarouChar"/>
          <w:rFonts w:asciiTheme="minorHAnsi" w:hAnsiTheme="minorHAnsi" w:cstheme="minorHAnsi"/>
          <w:sz w:val="20"/>
        </w:rPr>
        <w:t>.</w:t>
      </w:r>
    </w:p>
  </w:footnote>
  <w:footnote w:id="2">
    <w:p w:rsidR="002821E1" w:rsidRPr="00EB558C" w:rsidRDefault="002821E1" w:rsidP="00191D70">
      <w:pPr>
        <w:pStyle w:val="Textpoznpodarou"/>
        <w:spacing w:before="0" w:after="0"/>
        <w:ind w:left="284" w:hanging="284"/>
        <w:rPr>
          <w:rFonts w:asciiTheme="minorHAnsi" w:hAnsiTheme="minorHAnsi" w:cstheme="minorHAnsi"/>
          <w:sz w:val="20"/>
        </w:rPr>
      </w:pPr>
      <w:r w:rsidRPr="00B319C9">
        <w:rPr>
          <w:rStyle w:val="Znakapoznpodarou"/>
          <w:rFonts w:asciiTheme="minorHAnsi" w:hAnsiTheme="minorHAnsi" w:cstheme="minorHAnsi"/>
          <w:sz w:val="20"/>
        </w:rPr>
        <w:footnoteRef/>
      </w:r>
      <w:r w:rsidRPr="00B319C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B319C9">
        <w:rPr>
          <w:rFonts w:asciiTheme="minorHAnsi" w:hAnsiTheme="minorHAnsi" w:cstheme="minorHAnsi"/>
          <w:sz w:val="20"/>
        </w:rPr>
        <w:t>Zákon č. 250/2000 Sb., o rozpočtových pravidlech územních rozpočtů, ve znění pozdějších předpisů</w:t>
      </w:r>
      <w:r>
        <w:rPr>
          <w:rFonts w:asciiTheme="minorHAnsi" w:hAnsiTheme="minorHAnsi" w:cstheme="minorHAnsi"/>
          <w:sz w:val="20"/>
        </w:rPr>
        <w:t>.</w:t>
      </w:r>
    </w:p>
  </w:footnote>
  <w:footnote w:id="3">
    <w:p w:rsidR="002821E1" w:rsidRPr="00F82A32" w:rsidRDefault="002821E1" w:rsidP="00191D70">
      <w:pPr>
        <w:pStyle w:val="Textpoznpodarou"/>
        <w:spacing w:before="0" w:after="0"/>
        <w:ind w:left="284" w:hanging="284"/>
        <w:rPr>
          <w:rFonts w:asciiTheme="minorHAnsi" w:hAnsiTheme="minorHAnsi" w:cstheme="minorHAnsi"/>
          <w:sz w:val="20"/>
        </w:rPr>
      </w:pPr>
      <w:r w:rsidRPr="00F82A32">
        <w:rPr>
          <w:rStyle w:val="Znakapoznpodarou"/>
          <w:rFonts w:asciiTheme="minorHAnsi" w:hAnsiTheme="minorHAnsi" w:cstheme="minorHAnsi"/>
          <w:sz w:val="20"/>
        </w:rPr>
        <w:footnoteRef/>
      </w:r>
      <w:r w:rsidRPr="00F82A3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F82A32">
        <w:rPr>
          <w:rFonts w:asciiTheme="minorHAnsi" w:hAnsiTheme="minorHAnsi" w:cstheme="minorHAnsi"/>
          <w:sz w:val="20"/>
        </w:rPr>
        <w:t xml:space="preserve">Kontrolní akce </w:t>
      </w:r>
      <w:r w:rsidR="00557B59">
        <w:rPr>
          <w:rFonts w:asciiTheme="minorHAnsi" w:hAnsiTheme="minorHAnsi" w:cstheme="minorHAnsi"/>
          <w:sz w:val="20"/>
        </w:rPr>
        <w:t xml:space="preserve">NKÚ </w:t>
      </w:r>
      <w:r w:rsidRPr="00F82A32">
        <w:rPr>
          <w:rFonts w:asciiTheme="minorHAnsi" w:hAnsiTheme="minorHAnsi" w:cstheme="minorHAnsi"/>
          <w:sz w:val="20"/>
        </w:rPr>
        <w:t>č. 11/19</w:t>
      </w:r>
      <w:r>
        <w:rPr>
          <w:rFonts w:asciiTheme="minorHAnsi" w:hAnsiTheme="minorHAnsi" w:cstheme="minorHAnsi"/>
          <w:sz w:val="20"/>
        </w:rPr>
        <w:t xml:space="preserve"> – </w:t>
      </w:r>
      <w:r w:rsidRPr="001E6649">
        <w:rPr>
          <w:rFonts w:asciiTheme="minorHAnsi" w:eastAsia="Times New Roman" w:hAnsiTheme="minorHAnsi" w:cstheme="minorHAnsi"/>
          <w:bCs/>
          <w:color w:val="000000"/>
          <w:sz w:val="20"/>
        </w:rPr>
        <w:t xml:space="preserve">Peněžní prostředky určené v rámci </w:t>
      </w:r>
      <w:r w:rsidRPr="001E6649">
        <w:rPr>
          <w:rFonts w:asciiTheme="minorHAnsi" w:eastAsia="Times New Roman" w:hAnsiTheme="minorHAnsi" w:cstheme="minorHAnsi"/>
          <w:bCs/>
          <w:i/>
          <w:color w:val="000000"/>
          <w:sz w:val="20"/>
        </w:rPr>
        <w:t>Regionálního operačního programu regionu soudržnosti Jihozápad pro období 2007–2013</w:t>
      </w:r>
      <w:r w:rsidRPr="001E6649">
        <w:rPr>
          <w:rFonts w:asciiTheme="minorHAnsi" w:eastAsia="Times New Roman" w:hAnsiTheme="minorHAnsi" w:cstheme="minorHAnsi"/>
          <w:bCs/>
          <w:color w:val="000000"/>
          <w:sz w:val="20"/>
        </w:rPr>
        <w:t xml:space="preserve"> na s</w:t>
      </w:r>
      <w:r>
        <w:rPr>
          <w:rFonts w:asciiTheme="minorHAnsi" w:eastAsia="Times New Roman" w:hAnsiTheme="minorHAnsi" w:cstheme="minorHAnsi"/>
          <w:bCs/>
          <w:color w:val="000000"/>
          <w:sz w:val="20"/>
        </w:rPr>
        <w:t>tabilizaci a rozvoj měst a obcí</w:t>
      </w:r>
      <w:r>
        <w:rPr>
          <w:rFonts w:asciiTheme="minorHAnsi" w:hAnsiTheme="minorHAnsi" w:cstheme="minorHAnsi"/>
          <w:sz w:val="20"/>
        </w:rPr>
        <w:t>.</w:t>
      </w:r>
    </w:p>
  </w:footnote>
  <w:footnote w:id="4">
    <w:p w:rsidR="002821E1" w:rsidRPr="00991EF4" w:rsidRDefault="002821E1" w:rsidP="009A0E05">
      <w:pPr>
        <w:spacing w:before="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9A0E0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9A0E0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991EF4">
        <w:rPr>
          <w:rFonts w:asciiTheme="minorHAnsi" w:hAnsiTheme="minorHAnsi" w:cstheme="minorHAnsi"/>
          <w:sz w:val="20"/>
          <w:szCs w:val="20"/>
        </w:rPr>
        <w:t xml:space="preserve">NKÚ zjistil průměrnou základní cenu budovy pro zdravotnictví (ZC) 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991EF4">
        <w:rPr>
          <w:rFonts w:asciiTheme="minorHAnsi" w:hAnsiTheme="minorHAnsi" w:cstheme="minorHAnsi"/>
          <w:sz w:val="20"/>
          <w:szCs w:val="20"/>
        </w:rPr>
        <w:t>uprav</w:t>
      </w:r>
      <w:r>
        <w:rPr>
          <w:rFonts w:asciiTheme="minorHAnsi" w:hAnsiTheme="minorHAnsi" w:cstheme="minorHAnsi"/>
          <w:sz w:val="20"/>
          <w:szCs w:val="20"/>
        </w:rPr>
        <w:t>il ji</w:t>
      </w:r>
      <w:r w:rsidRPr="00991EF4">
        <w:rPr>
          <w:rFonts w:asciiTheme="minorHAnsi" w:hAnsiTheme="minorHAnsi" w:cstheme="minorHAnsi"/>
          <w:sz w:val="20"/>
          <w:szCs w:val="20"/>
        </w:rPr>
        <w:t xml:space="preserve"> koeficientem změn cen staveb (</w:t>
      </w:r>
      <w:proofErr w:type="spellStart"/>
      <w:r w:rsidRPr="00991EF4">
        <w:rPr>
          <w:rFonts w:asciiTheme="minorHAnsi" w:hAnsiTheme="minorHAnsi" w:cstheme="minorHAnsi"/>
          <w:sz w:val="20"/>
          <w:szCs w:val="20"/>
        </w:rPr>
        <w:t>K</w:t>
      </w:r>
      <w:r w:rsidRPr="00991EF4">
        <w:rPr>
          <w:rFonts w:asciiTheme="minorHAnsi" w:hAnsiTheme="minorHAnsi" w:cstheme="minorHAnsi"/>
          <w:sz w:val="20"/>
          <w:szCs w:val="20"/>
          <w:vertAlign w:val="subscript"/>
        </w:rPr>
        <w:t>i</w:t>
      </w:r>
      <w:proofErr w:type="spellEnd"/>
      <w:r w:rsidRPr="00991EF4">
        <w:rPr>
          <w:rFonts w:asciiTheme="minorHAnsi" w:hAnsiTheme="minorHAnsi" w:cstheme="minorHAnsi"/>
          <w:sz w:val="20"/>
          <w:szCs w:val="20"/>
        </w:rPr>
        <w:t>) – úprava ceny pro cenovou úroveň k datu kolaudace příslušné stavby. Cena byla dále upravena koeficientem přepočtu podle druhu konstrukce (K</w:t>
      </w:r>
      <w:r w:rsidRPr="00991EF4">
        <w:rPr>
          <w:rFonts w:asciiTheme="minorHAnsi" w:hAnsiTheme="minorHAnsi" w:cstheme="minorHAnsi"/>
          <w:sz w:val="20"/>
          <w:szCs w:val="20"/>
          <w:vertAlign w:val="subscript"/>
        </w:rPr>
        <w:t>1</w:t>
      </w:r>
      <w:r w:rsidRPr="00991EF4">
        <w:rPr>
          <w:rFonts w:asciiTheme="minorHAnsi" w:hAnsiTheme="minorHAnsi" w:cstheme="minorHAnsi"/>
          <w:sz w:val="20"/>
          <w:szCs w:val="20"/>
        </w:rPr>
        <w:t>) a polohovým koeficientem (K</w:t>
      </w:r>
      <w:r w:rsidRPr="00991EF4">
        <w:rPr>
          <w:rFonts w:asciiTheme="minorHAnsi" w:hAnsiTheme="minorHAnsi" w:cstheme="minorHAnsi"/>
          <w:sz w:val="20"/>
          <w:szCs w:val="20"/>
          <w:vertAlign w:val="subscript"/>
        </w:rPr>
        <w:t>5</w:t>
      </w:r>
      <w:r w:rsidRPr="00991EF4">
        <w:rPr>
          <w:rFonts w:asciiTheme="minorHAnsi" w:hAnsiTheme="minorHAnsi" w:cstheme="minorHAnsi"/>
          <w:sz w:val="20"/>
          <w:szCs w:val="20"/>
        </w:rPr>
        <w:t>). Koeficienty přepočtu podle velikosti průměrné zastavěné plochy podlaží (K</w:t>
      </w:r>
      <w:r w:rsidRPr="00991EF4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991EF4">
        <w:rPr>
          <w:rFonts w:asciiTheme="minorHAnsi" w:hAnsiTheme="minorHAnsi" w:cstheme="minorHAnsi"/>
          <w:sz w:val="20"/>
          <w:szCs w:val="20"/>
        </w:rPr>
        <w:t>), průměrné výšky podlaží (K</w:t>
      </w:r>
      <w:r w:rsidRPr="00991EF4">
        <w:rPr>
          <w:rFonts w:asciiTheme="minorHAnsi" w:hAnsiTheme="minorHAnsi" w:cstheme="minorHAnsi"/>
          <w:sz w:val="20"/>
          <w:szCs w:val="20"/>
          <w:vertAlign w:val="subscript"/>
        </w:rPr>
        <w:t>3</w:t>
      </w:r>
      <w:r w:rsidRPr="00991EF4">
        <w:rPr>
          <w:rFonts w:asciiTheme="minorHAnsi" w:hAnsiTheme="minorHAnsi" w:cstheme="minorHAnsi"/>
          <w:sz w:val="20"/>
          <w:szCs w:val="20"/>
        </w:rPr>
        <w:t>) a vybavení (K</w:t>
      </w:r>
      <w:r w:rsidRPr="00991EF4">
        <w:rPr>
          <w:rFonts w:asciiTheme="minorHAnsi" w:hAnsiTheme="minorHAnsi" w:cstheme="minorHAnsi"/>
          <w:sz w:val="20"/>
          <w:szCs w:val="20"/>
          <w:vertAlign w:val="subscript"/>
        </w:rPr>
        <w:t>4</w:t>
      </w:r>
      <w:r w:rsidRPr="00991EF4">
        <w:rPr>
          <w:rFonts w:asciiTheme="minorHAnsi" w:hAnsiTheme="minorHAnsi" w:cstheme="minorHAnsi"/>
          <w:sz w:val="20"/>
          <w:szCs w:val="20"/>
        </w:rPr>
        <w:t>) nebyly zohledňovány, resp. byla uvažována hodnota standardu (1). Koeficient prodejnosti (</w:t>
      </w:r>
      <w:proofErr w:type="spellStart"/>
      <w:r w:rsidRPr="00991EF4">
        <w:rPr>
          <w:rFonts w:asciiTheme="minorHAnsi" w:hAnsiTheme="minorHAnsi" w:cstheme="minorHAnsi"/>
          <w:sz w:val="20"/>
          <w:szCs w:val="20"/>
        </w:rPr>
        <w:t>K</w:t>
      </w:r>
      <w:r w:rsidRPr="00991EF4">
        <w:rPr>
          <w:rFonts w:asciiTheme="minorHAnsi" w:hAnsiTheme="minorHAnsi" w:cstheme="minorHAnsi"/>
          <w:sz w:val="20"/>
          <w:szCs w:val="20"/>
          <w:vertAlign w:val="subscript"/>
        </w:rPr>
        <w:t>p</w:t>
      </w:r>
      <w:proofErr w:type="spellEnd"/>
      <w:r w:rsidRPr="00991EF4">
        <w:rPr>
          <w:rFonts w:asciiTheme="minorHAnsi" w:hAnsiTheme="minorHAnsi" w:cstheme="minorHAnsi"/>
          <w:sz w:val="20"/>
          <w:szCs w:val="20"/>
        </w:rPr>
        <w:t>) jakožto tržní faktor nebyl zohledněn. Orientační jednotková cena pro porovnání byla zjištěna zjednodušeným způsobem podle vzorce:</w:t>
      </w:r>
      <w:r w:rsidRPr="00991EF4">
        <w:rPr>
          <w:rFonts w:asciiTheme="minorHAnsi" w:hAnsiTheme="minorHAnsi" w:cstheme="minorHAnsi"/>
          <w:sz w:val="20"/>
          <w:szCs w:val="20"/>
          <w:lang w:eastAsia="cs-CZ"/>
        </w:rPr>
        <w:t xml:space="preserve"> ZC </w:t>
      </w:r>
      <w:r w:rsidRPr="009A0E05">
        <w:rPr>
          <w:rFonts w:asciiTheme="minorHAnsi" w:hAnsiTheme="minorHAnsi" w:cstheme="minorHAnsi"/>
          <w:position w:val="2"/>
          <w:sz w:val="16"/>
          <w:szCs w:val="16"/>
          <w:lang w:eastAsia="cs-CZ"/>
        </w:rPr>
        <w:t>x</w:t>
      </w:r>
      <w:r w:rsidRPr="00991EF4">
        <w:rPr>
          <w:rFonts w:asciiTheme="minorHAnsi" w:hAnsiTheme="minorHAnsi" w:cstheme="minorHAnsi"/>
          <w:sz w:val="20"/>
          <w:szCs w:val="20"/>
          <w:lang w:eastAsia="cs-CZ"/>
        </w:rPr>
        <w:t xml:space="preserve"> K</w:t>
      </w:r>
      <w:r w:rsidRPr="00991EF4">
        <w:rPr>
          <w:rFonts w:asciiTheme="minorHAnsi" w:hAnsiTheme="minorHAnsi" w:cstheme="minorHAnsi"/>
          <w:sz w:val="20"/>
          <w:szCs w:val="20"/>
          <w:vertAlign w:val="subscript"/>
          <w:lang w:eastAsia="cs-CZ"/>
        </w:rPr>
        <w:t>1</w:t>
      </w:r>
      <w:r w:rsidRPr="00991EF4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9A0E05">
        <w:rPr>
          <w:rFonts w:asciiTheme="minorHAnsi" w:hAnsiTheme="minorHAnsi" w:cstheme="minorHAnsi"/>
          <w:position w:val="2"/>
          <w:sz w:val="16"/>
          <w:szCs w:val="16"/>
          <w:lang w:eastAsia="cs-CZ"/>
        </w:rPr>
        <w:t>x</w:t>
      </w:r>
      <w:r w:rsidRPr="00991EF4">
        <w:rPr>
          <w:rFonts w:asciiTheme="minorHAnsi" w:hAnsiTheme="minorHAnsi" w:cstheme="minorHAnsi"/>
          <w:sz w:val="20"/>
          <w:szCs w:val="20"/>
          <w:lang w:eastAsia="cs-CZ"/>
        </w:rPr>
        <w:t xml:space="preserve"> K</w:t>
      </w:r>
      <w:r w:rsidRPr="00991EF4">
        <w:rPr>
          <w:rFonts w:asciiTheme="minorHAnsi" w:hAnsiTheme="minorHAnsi" w:cstheme="minorHAnsi"/>
          <w:sz w:val="20"/>
          <w:szCs w:val="20"/>
          <w:vertAlign w:val="subscript"/>
          <w:lang w:eastAsia="cs-CZ"/>
        </w:rPr>
        <w:t>5</w:t>
      </w:r>
      <w:r w:rsidRPr="009A0E05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436BF4">
        <w:rPr>
          <w:rFonts w:asciiTheme="minorHAnsi" w:hAnsiTheme="minorHAnsi" w:cstheme="minorHAnsi"/>
          <w:position w:val="2"/>
          <w:sz w:val="16"/>
          <w:szCs w:val="16"/>
          <w:lang w:eastAsia="cs-CZ"/>
        </w:rPr>
        <w:t>x</w:t>
      </w:r>
      <w:r w:rsidRPr="00991EF4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proofErr w:type="spellStart"/>
      <w:r w:rsidRPr="00991EF4">
        <w:rPr>
          <w:rFonts w:asciiTheme="minorHAnsi" w:hAnsiTheme="minorHAnsi" w:cstheme="minorHAnsi"/>
          <w:sz w:val="20"/>
          <w:szCs w:val="20"/>
          <w:lang w:eastAsia="cs-CZ"/>
        </w:rPr>
        <w:t>K</w:t>
      </w:r>
      <w:r w:rsidRPr="00991EF4">
        <w:rPr>
          <w:rFonts w:asciiTheme="minorHAnsi" w:hAnsiTheme="minorHAnsi" w:cstheme="minorHAnsi"/>
          <w:sz w:val="20"/>
          <w:szCs w:val="20"/>
          <w:vertAlign w:val="subscript"/>
          <w:lang w:eastAsia="cs-CZ"/>
        </w:rPr>
        <w:t>i</w:t>
      </w:r>
      <w:proofErr w:type="spellEnd"/>
      <w:r w:rsidRPr="00991EF4">
        <w:rPr>
          <w:rFonts w:asciiTheme="minorHAnsi" w:hAnsiTheme="minorHAnsi" w:cstheme="minorHAnsi"/>
          <w:sz w:val="20"/>
          <w:szCs w:val="20"/>
          <w:lang w:eastAsia="cs-CZ"/>
        </w:rPr>
        <w:t>.</w:t>
      </w:r>
    </w:p>
  </w:footnote>
  <w:footnote w:id="5">
    <w:p w:rsidR="002821E1" w:rsidRPr="00991EF4" w:rsidRDefault="002821E1" w:rsidP="00F5293F">
      <w:pPr>
        <w:pStyle w:val="Textpoznpodarou"/>
        <w:spacing w:before="0" w:after="0"/>
        <w:ind w:left="284" w:hanging="284"/>
        <w:rPr>
          <w:rFonts w:asciiTheme="minorHAnsi" w:hAnsiTheme="minorHAnsi" w:cstheme="minorHAnsi"/>
          <w:sz w:val="20"/>
        </w:rPr>
      </w:pPr>
      <w:r w:rsidRPr="00991EF4">
        <w:rPr>
          <w:rStyle w:val="Znakapoznpodarou"/>
          <w:rFonts w:asciiTheme="minorHAnsi" w:hAnsiTheme="minorHAnsi" w:cstheme="minorHAnsi"/>
          <w:sz w:val="20"/>
        </w:rPr>
        <w:footnoteRef/>
      </w:r>
      <w:r w:rsidRPr="00991EF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991EF4">
        <w:rPr>
          <w:rFonts w:asciiTheme="minorHAnsi" w:hAnsiTheme="minorHAnsi" w:cstheme="minorHAnsi"/>
          <w:sz w:val="20"/>
        </w:rPr>
        <w:t xml:space="preserve">Metodický pokyn </w:t>
      </w:r>
      <w:r w:rsidRPr="00F5293F">
        <w:rPr>
          <w:rFonts w:asciiTheme="minorHAnsi" w:hAnsiTheme="minorHAnsi" w:cstheme="minorHAnsi"/>
          <w:i/>
          <w:sz w:val="20"/>
        </w:rPr>
        <w:t>Indikátorová soustava</w:t>
      </w:r>
      <w:r w:rsidRPr="00991EF4">
        <w:rPr>
          <w:rFonts w:asciiTheme="minorHAnsi" w:hAnsiTheme="minorHAnsi" w:cstheme="minorHAnsi"/>
          <w:bCs/>
          <w:sz w:val="20"/>
        </w:rPr>
        <w:t xml:space="preserve"> stanovil hodnotu indikátoru </w:t>
      </w:r>
      <w:r>
        <w:rPr>
          <w:rFonts w:asciiTheme="minorHAnsi" w:hAnsiTheme="minorHAnsi" w:cstheme="minorHAnsi"/>
          <w:bCs/>
          <w:sz w:val="20"/>
        </w:rPr>
        <w:t>„</w:t>
      </w:r>
      <w:r>
        <w:rPr>
          <w:rFonts w:asciiTheme="minorHAnsi" w:hAnsiTheme="minorHAnsi" w:cstheme="minorHAnsi"/>
          <w:bCs/>
          <w:i/>
          <w:sz w:val="20"/>
        </w:rPr>
        <w:t>p</w:t>
      </w:r>
      <w:r w:rsidRPr="00991EF4">
        <w:rPr>
          <w:rFonts w:asciiTheme="minorHAnsi" w:hAnsiTheme="minorHAnsi" w:cstheme="minorHAnsi"/>
          <w:bCs/>
          <w:i/>
          <w:sz w:val="20"/>
        </w:rPr>
        <w:t>locha nově vybudovaných objektů – zdravotnictví</w:t>
      </w:r>
      <w:r w:rsidRPr="00F5293F">
        <w:rPr>
          <w:rFonts w:asciiTheme="minorHAnsi" w:hAnsiTheme="minorHAnsi" w:cstheme="minorHAnsi"/>
          <w:bCs/>
          <w:sz w:val="20"/>
        </w:rPr>
        <w:t>“</w:t>
      </w:r>
      <w:r w:rsidRPr="00991EF4">
        <w:rPr>
          <w:rFonts w:asciiTheme="minorHAnsi" w:hAnsiTheme="minorHAnsi" w:cstheme="minorHAnsi"/>
          <w:bCs/>
          <w:sz w:val="20"/>
        </w:rPr>
        <w:t xml:space="preserve"> ve výši 100 000 Kč/m</w:t>
      </w:r>
      <w:r w:rsidRPr="00991EF4">
        <w:rPr>
          <w:rFonts w:asciiTheme="minorHAnsi" w:hAnsiTheme="minorHAnsi" w:cstheme="minorHAnsi"/>
          <w:bCs/>
          <w:sz w:val="20"/>
          <w:vertAlign w:val="superscript"/>
        </w:rPr>
        <w:t>2</w:t>
      </w:r>
      <w:r w:rsidRPr="00991EF4">
        <w:rPr>
          <w:rFonts w:asciiTheme="minorHAnsi" w:hAnsiTheme="minorHAnsi" w:cstheme="minorHAnsi"/>
          <w:bCs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E1" w:rsidRPr="00A55DEF" w:rsidRDefault="002821E1" w:rsidP="005A4C38">
    <w:pPr>
      <w:pStyle w:val="Zhlav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40F5A4C"/>
    <w:multiLevelType w:val="multilevel"/>
    <w:tmpl w:val="D93ECB5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8B11457"/>
    <w:multiLevelType w:val="hybridMultilevel"/>
    <w:tmpl w:val="25B29FB0"/>
    <w:lvl w:ilvl="0" w:tplc="D52209CE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0970"/>
    <w:multiLevelType w:val="hybridMultilevel"/>
    <w:tmpl w:val="6F8CB22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91405"/>
    <w:multiLevelType w:val="multilevel"/>
    <w:tmpl w:val="5B8C6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5">
    <w:nsid w:val="0D565B7B"/>
    <w:multiLevelType w:val="hybridMultilevel"/>
    <w:tmpl w:val="A7168456"/>
    <w:lvl w:ilvl="0" w:tplc="95F2DA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E2C1D"/>
    <w:multiLevelType w:val="hybridMultilevel"/>
    <w:tmpl w:val="7E0864C6"/>
    <w:lvl w:ilvl="0" w:tplc="361E8EF2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28CF2"/>
    <w:multiLevelType w:val="hybridMultilevel"/>
    <w:tmpl w:val="BF8E06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E4B4E6B"/>
    <w:multiLevelType w:val="hybridMultilevel"/>
    <w:tmpl w:val="446E7C9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BF0B92"/>
    <w:multiLevelType w:val="hybridMultilevel"/>
    <w:tmpl w:val="138EA18C"/>
    <w:lvl w:ilvl="0" w:tplc="D52209CE">
      <w:start w:val="3"/>
      <w:numFmt w:val="bullet"/>
      <w:lvlText w:val="−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C877DF"/>
    <w:multiLevelType w:val="hybridMultilevel"/>
    <w:tmpl w:val="C5C22A2C"/>
    <w:lvl w:ilvl="0" w:tplc="7D86255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91DFC"/>
    <w:multiLevelType w:val="multilevel"/>
    <w:tmpl w:val="142075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7C01C64"/>
    <w:multiLevelType w:val="hybridMultilevel"/>
    <w:tmpl w:val="DF069F02"/>
    <w:lvl w:ilvl="0" w:tplc="040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>
    <w:nsid w:val="2DB11B28"/>
    <w:multiLevelType w:val="hybridMultilevel"/>
    <w:tmpl w:val="C832DDB2"/>
    <w:lvl w:ilvl="0" w:tplc="B644D5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9F5AA4"/>
    <w:multiLevelType w:val="hybridMultilevel"/>
    <w:tmpl w:val="32B4A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B1126"/>
    <w:multiLevelType w:val="hybridMultilevel"/>
    <w:tmpl w:val="1D12959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7BF2EE3"/>
    <w:multiLevelType w:val="hybridMultilevel"/>
    <w:tmpl w:val="D4C87F5E"/>
    <w:lvl w:ilvl="0" w:tplc="95F2DA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50869"/>
    <w:multiLevelType w:val="hybridMultilevel"/>
    <w:tmpl w:val="92288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D5C7D"/>
    <w:multiLevelType w:val="hybridMultilevel"/>
    <w:tmpl w:val="06E8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00D2A"/>
    <w:multiLevelType w:val="hybridMultilevel"/>
    <w:tmpl w:val="E75C616A"/>
    <w:lvl w:ilvl="0" w:tplc="7D3AB1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D5474E"/>
    <w:multiLevelType w:val="hybridMultilevel"/>
    <w:tmpl w:val="EBBAE762"/>
    <w:lvl w:ilvl="0" w:tplc="79E8570C">
      <w:numFmt w:val="bullet"/>
      <w:lvlText w:val="–"/>
      <w:lvlJc w:val="left"/>
      <w:pPr>
        <w:ind w:left="4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5DC1162"/>
    <w:multiLevelType w:val="multilevel"/>
    <w:tmpl w:val="315C04C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947518A"/>
    <w:multiLevelType w:val="hybridMultilevel"/>
    <w:tmpl w:val="311EAF58"/>
    <w:lvl w:ilvl="0" w:tplc="54FCC9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B7EA0"/>
    <w:multiLevelType w:val="hybridMultilevel"/>
    <w:tmpl w:val="5900DB00"/>
    <w:lvl w:ilvl="0" w:tplc="E0B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00DA1"/>
    <w:multiLevelType w:val="hybridMultilevel"/>
    <w:tmpl w:val="34EE1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921AB"/>
    <w:multiLevelType w:val="hybridMultilevel"/>
    <w:tmpl w:val="921251C8"/>
    <w:lvl w:ilvl="0" w:tplc="7ED89D5E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19">
      <w:numFmt w:val="bullet"/>
      <w:lvlText w:val="-"/>
      <w:lvlJc w:val="left"/>
      <w:pPr>
        <w:tabs>
          <w:tab w:val="num" w:pos="2163"/>
        </w:tabs>
        <w:ind w:left="2163" w:hanging="735"/>
      </w:pPr>
      <w:rPr>
        <w:rFonts w:ascii="Times New Roman" w:eastAsia="SimSu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3E6507"/>
    <w:multiLevelType w:val="hybridMultilevel"/>
    <w:tmpl w:val="77D80E86"/>
    <w:lvl w:ilvl="0" w:tplc="FEEADD2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A4951"/>
    <w:multiLevelType w:val="hybridMultilevel"/>
    <w:tmpl w:val="D9BEF3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CB7F1C"/>
    <w:multiLevelType w:val="hybridMultilevel"/>
    <w:tmpl w:val="D15C66E8"/>
    <w:lvl w:ilvl="0" w:tplc="0405001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2163"/>
        </w:tabs>
        <w:ind w:left="2163" w:hanging="735"/>
      </w:pPr>
      <w:rPr>
        <w:rFonts w:ascii="Times New Roman" w:eastAsia="SimSu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12"/>
  </w:num>
  <w:num w:numId="5">
    <w:abstractNumId w:val="13"/>
  </w:num>
  <w:num w:numId="6">
    <w:abstractNumId w:val="27"/>
  </w:num>
  <w:num w:numId="7">
    <w:abstractNumId w:val="27"/>
    <w:lvlOverride w:ilvl="0">
      <w:startOverride w:val="1"/>
    </w:lvlOverride>
  </w:num>
  <w:num w:numId="8">
    <w:abstractNumId w:val="20"/>
  </w:num>
  <w:num w:numId="9">
    <w:abstractNumId w:val="19"/>
  </w:num>
  <w:num w:numId="10">
    <w:abstractNumId w:val="19"/>
    <w:lvlOverride w:ilvl="0">
      <w:startOverride w:val="1"/>
    </w:lvlOverride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9"/>
  </w:num>
  <w:num w:numId="16">
    <w:abstractNumId w:val="2"/>
  </w:num>
  <w:num w:numId="17">
    <w:abstractNumId w:val="18"/>
  </w:num>
  <w:num w:numId="18">
    <w:abstractNumId w:val="15"/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11"/>
  </w:num>
  <w:num w:numId="23">
    <w:abstractNumId w:val="10"/>
  </w:num>
  <w:num w:numId="24">
    <w:abstractNumId w:val="23"/>
  </w:num>
  <w:num w:numId="25">
    <w:abstractNumId w:val="24"/>
  </w:num>
  <w:num w:numId="26">
    <w:abstractNumId w:val="17"/>
  </w:num>
  <w:num w:numId="27">
    <w:abstractNumId w:val="6"/>
  </w:num>
  <w:num w:numId="28">
    <w:abstractNumId w:val="28"/>
  </w:num>
  <w:num w:numId="29">
    <w:abstractNumId w:val="4"/>
  </w:num>
  <w:num w:numId="30">
    <w:abstractNumId w:val="7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58"/>
    <w:rsid w:val="00001A79"/>
    <w:rsid w:val="000541F8"/>
    <w:rsid w:val="00055303"/>
    <w:rsid w:val="00056DEB"/>
    <w:rsid w:val="00061DC4"/>
    <w:rsid w:val="00066943"/>
    <w:rsid w:val="00067114"/>
    <w:rsid w:val="000B3024"/>
    <w:rsid w:val="000B7E80"/>
    <w:rsid w:val="000C33EE"/>
    <w:rsid w:val="000C7712"/>
    <w:rsid w:val="000D12BD"/>
    <w:rsid w:val="000E7BB2"/>
    <w:rsid w:val="000F2C27"/>
    <w:rsid w:val="00104094"/>
    <w:rsid w:val="00131EA6"/>
    <w:rsid w:val="0013438B"/>
    <w:rsid w:val="00136B9B"/>
    <w:rsid w:val="00137158"/>
    <w:rsid w:val="0013745B"/>
    <w:rsid w:val="001417A7"/>
    <w:rsid w:val="001448FB"/>
    <w:rsid w:val="001528F7"/>
    <w:rsid w:val="00184585"/>
    <w:rsid w:val="00185E43"/>
    <w:rsid w:val="00191D70"/>
    <w:rsid w:val="001A4716"/>
    <w:rsid w:val="001B46B1"/>
    <w:rsid w:val="001D1E85"/>
    <w:rsid w:val="001F0081"/>
    <w:rsid w:val="001F2237"/>
    <w:rsid w:val="001F4072"/>
    <w:rsid w:val="0021603E"/>
    <w:rsid w:val="00225FCD"/>
    <w:rsid w:val="00233F85"/>
    <w:rsid w:val="0024765B"/>
    <w:rsid w:val="00255DD4"/>
    <w:rsid w:val="0025616D"/>
    <w:rsid w:val="002821E1"/>
    <w:rsid w:val="00295A63"/>
    <w:rsid w:val="002B0D45"/>
    <w:rsid w:val="002B6945"/>
    <w:rsid w:val="002D00C0"/>
    <w:rsid w:val="002E3AB9"/>
    <w:rsid w:val="00305C12"/>
    <w:rsid w:val="00313E07"/>
    <w:rsid w:val="00315E13"/>
    <w:rsid w:val="00317BC8"/>
    <w:rsid w:val="003205C2"/>
    <w:rsid w:val="00325A1C"/>
    <w:rsid w:val="00337BB3"/>
    <w:rsid w:val="00341623"/>
    <w:rsid w:val="003451AE"/>
    <w:rsid w:val="00347581"/>
    <w:rsid w:val="00360DC5"/>
    <w:rsid w:val="003627C9"/>
    <w:rsid w:val="00363D86"/>
    <w:rsid w:val="00380014"/>
    <w:rsid w:val="003816A0"/>
    <w:rsid w:val="003850B8"/>
    <w:rsid w:val="0039278B"/>
    <w:rsid w:val="003C49E2"/>
    <w:rsid w:val="003D5196"/>
    <w:rsid w:val="003E02EA"/>
    <w:rsid w:val="003E4111"/>
    <w:rsid w:val="003F64AA"/>
    <w:rsid w:val="00410C72"/>
    <w:rsid w:val="00423A1F"/>
    <w:rsid w:val="0042614F"/>
    <w:rsid w:val="00426BF9"/>
    <w:rsid w:val="00427101"/>
    <w:rsid w:val="004272A4"/>
    <w:rsid w:val="004321A8"/>
    <w:rsid w:val="00436BF4"/>
    <w:rsid w:val="00441895"/>
    <w:rsid w:val="0044406D"/>
    <w:rsid w:val="00464B66"/>
    <w:rsid w:val="00484DB0"/>
    <w:rsid w:val="00492427"/>
    <w:rsid w:val="0049271D"/>
    <w:rsid w:val="004A0D6D"/>
    <w:rsid w:val="004B1480"/>
    <w:rsid w:val="004B351B"/>
    <w:rsid w:val="004B5074"/>
    <w:rsid w:val="004C0EB8"/>
    <w:rsid w:val="004C76CF"/>
    <w:rsid w:val="004E3587"/>
    <w:rsid w:val="004F0F4F"/>
    <w:rsid w:val="004F31A5"/>
    <w:rsid w:val="004F5529"/>
    <w:rsid w:val="004F7881"/>
    <w:rsid w:val="0051036B"/>
    <w:rsid w:val="0052524D"/>
    <w:rsid w:val="00540CBF"/>
    <w:rsid w:val="005479AB"/>
    <w:rsid w:val="005525D9"/>
    <w:rsid w:val="00552FD6"/>
    <w:rsid w:val="00557B59"/>
    <w:rsid w:val="0057358E"/>
    <w:rsid w:val="005904FE"/>
    <w:rsid w:val="005A1843"/>
    <w:rsid w:val="005A4C38"/>
    <w:rsid w:val="005A68E2"/>
    <w:rsid w:val="005A7EB8"/>
    <w:rsid w:val="005B1755"/>
    <w:rsid w:val="005C7B19"/>
    <w:rsid w:val="005D7D37"/>
    <w:rsid w:val="005F65D2"/>
    <w:rsid w:val="00602C47"/>
    <w:rsid w:val="00603058"/>
    <w:rsid w:val="00605E49"/>
    <w:rsid w:val="00611318"/>
    <w:rsid w:val="00632031"/>
    <w:rsid w:val="00632A5F"/>
    <w:rsid w:val="00637EFE"/>
    <w:rsid w:val="006479A2"/>
    <w:rsid w:val="00651BB7"/>
    <w:rsid w:val="006815B5"/>
    <w:rsid w:val="00681924"/>
    <w:rsid w:val="006829B5"/>
    <w:rsid w:val="0068646B"/>
    <w:rsid w:val="006878B6"/>
    <w:rsid w:val="006A1756"/>
    <w:rsid w:val="006B2AB9"/>
    <w:rsid w:val="006B2BC9"/>
    <w:rsid w:val="006B2F4E"/>
    <w:rsid w:val="006B7E15"/>
    <w:rsid w:val="006C6546"/>
    <w:rsid w:val="006D7EF5"/>
    <w:rsid w:val="007054A1"/>
    <w:rsid w:val="0071268F"/>
    <w:rsid w:val="0073444D"/>
    <w:rsid w:val="00740305"/>
    <w:rsid w:val="00744383"/>
    <w:rsid w:val="0074785F"/>
    <w:rsid w:val="007613B3"/>
    <w:rsid w:val="00764305"/>
    <w:rsid w:val="00764707"/>
    <w:rsid w:val="0076592D"/>
    <w:rsid w:val="00766A7F"/>
    <w:rsid w:val="0077656B"/>
    <w:rsid w:val="00780E54"/>
    <w:rsid w:val="0078401D"/>
    <w:rsid w:val="00786B0F"/>
    <w:rsid w:val="007E36D5"/>
    <w:rsid w:val="007E4557"/>
    <w:rsid w:val="007E613A"/>
    <w:rsid w:val="007F1D18"/>
    <w:rsid w:val="00813CE9"/>
    <w:rsid w:val="00814042"/>
    <w:rsid w:val="00814D9D"/>
    <w:rsid w:val="00823BEF"/>
    <w:rsid w:val="00883D30"/>
    <w:rsid w:val="008904DB"/>
    <w:rsid w:val="008962EA"/>
    <w:rsid w:val="008A2119"/>
    <w:rsid w:val="008B1638"/>
    <w:rsid w:val="008B64E6"/>
    <w:rsid w:val="008D0EDA"/>
    <w:rsid w:val="008E1CD5"/>
    <w:rsid w:val="008E3975"/>
    <w:rsid w:val="008E7515"/>
    <w:rsid w:val="008F14C6"/>
    <w:rsid w:val="009007C5"/>
    <w:rsid w:val="00926C8D"/>
    <w:rsid w:val="00942950"/>
    <w:rsid w:val="009466ED"/>
    <w:rsid w:val="00952101"/>
    <w:rsid w:val="00964634"/>
    <w:rsid w:val="00967BDD"/>
    <w:rsid w:val="0097139E"/>
    <w:rsid w:val="00971A97"/>
    <w:rsid w:val="009869BB"/>
    <w:rsid w:val="00991EF4"/>
    <w:rsid w:val="00996D8B"/>
    <w:rsid w:val="009A09CC"/>
    <w:rsid w:val="009A0E05"/>
    <w:rsid w:val="009C0280"/>
    <w:rsid w:val="009E0953"/>
    <w:rsid w:val="009E2A04"/>
    <w:rsid w:val="00A10175"/>
    <w:rsid w:val="00A135DD"/>
    <w:rsid w:val="00A30E58"/>
    <w:rsid w:val="00A3496C"/>
    <w:rsid w:val="00A43F2D"/>
    <w:rsid w:val="00A70D56"/>
    <w:rsid w:val="00A7308B"/>
    <w:rsid w:val="00A741C4"/>
    <w:rsid w:val="00A906B2"/>
    <w:rsid w:val="00A95D75"/>
    <w:rsid w:val="00AA3C33"/>
    <w:rsid w:val="00AB1E54"/>
    <w:rsid w:val="00AC7A81"/>
    <w:rsid w:val="00AE1F2E"/>
    <w:rsid w:val="00AF39D9"/>
    <w:rsid w:val="00B319C9"/>
    <w:rsid w:val="00B32150"/>
    <w:rsid w:val="00B33859"/>
    <w:rsid w:val="00B34266"/>
    <w:rsid w:val="00B42CE0"/>
    <w:rsid w:val="00B44B2F"/>
    <w:rsid w:val="00B478A9"/>
    <w:rsid w:val="00B56AE1"/>
    <w:rsid w:val="00B56D68"/>
    <w:rsid w:val="00B56DDF"/>
    <w:rsid w:val="00B91167"/>
    <w:rsid w:val="00BF7614"/>
    <w:rsid w:val="00C243B5"/>
    <w:rsid w:val="00C27254"/>
    <w:rsid w:val="00C27EF1"/>
    <w:rsid w:val="00C37953"/>
    <w:rsid w:val="00C405F1"/>
    <w:rsid w:val="00C73157"/>
    <w:rsid w:val="00C75030"/>
    <w:rsid w:val="00C763C1"/>
    <w:rsid w:val="00C7766A"/>
    <w:rsid w:val="00C91656"/>
    <w:rsid w:val="00CA50C5"/>
    <w:rsid w:val="00CA7011"/>
    <w:rsid w:val="00CA7533"/>
    <w:rsid w:val="00CB4702"/>
    <w:rsid w:val="00CC3C16"/>
    <w:rsid w:val="00CC7417"/>
    <w:rsid w:val="00CE58FD"/>
    <w:rsid w:val="00CF7117"/>
    <w:rsid w:val="00D03E08"/>
    <w:rsid w:val="00D03ECF"/>
    <w:rsid w:val="00D12A55"/>
    <w:rsid w:val="00D22565"/>
    <w:rsid w:val="00D33154"/>
    <w:rsid w:val="00D3429A"/>
    <w:rsid w:val="00D34ED8"/>
    <w:rsid w:val="00D462B1"/>
    <w:rsid w:val="00D6631C"/>
    <w:rsid w:val="00D81FE5"/>
    <w:rsid w:val="00D9404E"/>
    <w:rsid w:val="00DB316A"/>
    <w:rsid w:val="00DD0823"/>
    <w:rsid w:val="00DD69FC"/>
    <w:rsid w:val="00DF27F3"/>
    <w:rsid w:val="00E03839"/>
    <w:rsid w:val="00E11515"/>
    <w:rsid w:val="00E16E02"/>
    <w:rsid w:val="00E228E0"/>
    <w:rsid w:val="00E41BD7"/>
    <w:rsid w:val="00E42E3F"/>
    <w:rsid w:val="00E64B01"/>
    <w:rsid w:val="00E7073F"/>
    <w:rsid w:val="00E859D6"/>
    <w:rsid w:val="00E9085C"/>
    <w:rsid w:val="00E92C13"/>
    <w:rsid w:val="00E97406"/>
    <w:rsid w:val="00EB08CB"/>
    <w:rsid w:val="00EB558C"/>
    <w:rsid w:val="00EB6FAF"/>
    <w:rsid w:val="00EB7949"/>
    <w:rsid w:val="00EC18B5"/>
    <w:rsid w:val="00EC1DDF"/>
    <w:rsid w:val="00EC452B"/>
    <w:rsid w:val="00EE2C6D"/>
    <w:rsid w:val="00EE5377"/>
    <w:rsid w:val="00EE640A"/>
    <w:rsid w:val="00EF7CD4"/>
    <w:rsid w:val="00F20FB1"/>
    <w:rsid w:val="00F263DB"/>
    <w:rsid w:val="00F5293F"/>
    <w:rsid w:val="00F572E8"/>
    <w:rsid w:val="00F755EB"/>
    <w:rsid w:val="00F82A32"/>
    <w:rsid w:val="00F94C24"/>
    <w:rsid w:val="00F952ED"/>
    <w:rsid w:val="00FA2129"/>
    <w:rsid w:val="00FC2330"/>
    <w:rsid w:val="00FC3F3F"/>
    <w:rsid w:val="00FD1EDB"/>
    <w:rsid w:val="00FD5136"/>
    <w:rsid w:val="00FF1191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F4F"/>
    <w:pPr>
      <w:spacing w:before="120" w:after="120"/>
    </w:pPr>
    <w:rPr>
      <w:rFonts w:eastAsiaTheme="minorEastAsia" w:cs="Times New Roman"/>
    </w:rPr>
  </w:style>
  <w:style w:type="paragraph" w:styleId="Nadpis1">
    <w:name w:val="heading 1"/>
    <w:basedOn w:val="Normln"/>
    <w:next w:val="Normln"/>
    <w:link w:val="Nadpis1Char"/>
    <w:qFormat/>
    <w:rsid w:val="00A30E58"/>
    <w:pPr>
      <w:keepNext/>
      <w:keepLines/>
      <w:spacing w:before="480" w:after="0"/>
      <w:jc w:val="center"/>
      <w:outlineLvl w:val="0"/>
    </w:pPr>
    <w:rPr>
      <w:rFonts w:eastAsiaTheme="majorEastAsia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F27F3"/>
    <w:pPr>
      <w:keepNext/>
      <w:keepLines/>
      <w:spacing w:before="0" w:after="0"/>
      <w:outlineLvl w:val="1"/>
    </w:pPr>
    <w:rPr>
      <w:rFonts w:asciiTheme="minorHAnsi" w:eastAsiaTheme="majorEastAsia" w:hAnsiTheme="minorHAnsi" w:cstheme="minorHAnsi"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A30E58"/>
    <w:pPr>
      <w:keepNext/>
      <w:keepLines/>
      <w:spacing w:before="200" w:after="0"/>
      <w:outlineLvl w:val="2"/>
    </w:pPr>
    <w:rPr>
      <w:rFonts w:eastAsiaTheme="majorEastAsia"/>
      <w:b/>
      <w:b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30E58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E58"/>
    <w:rPr>
      <w:rFonts w:eastAsiaTheme="majorEastAsia" w:cs="Times New Roman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27F3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0E58"/>
    <w:rPr>
      <w:rFonts w:eastAsiaTheme="majorEastAsia"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"/>
    <w:rsid w:val="00A30E58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A30E58"/>
    <w:pPr>
      <w:suppressAutoHyphens/>
      <w:spacing w:after="120" w:line="276" w:lineRule="auto"/>
    </w:pPr>
    <w:rPr>
      <w:rFonts w:eastAsia="Times New Roman" w:cs="Calibri"/>
      <w:szCs w:val="24"/>
      <w:lang w:eastAsia="ar-SA"/>
    </w:rPr>
  </w:style>
  <w:style w:type="paragraph" w:customStyle="1" w:styleId="Textbody">
    <w:name w:val="Text body"/>
    <w:rsid w:val="00A30E58"/>
    <w:pPr>
      <w:suppressAutoHyphens/>
      <w:spacing w:after="200" w:line="360" w:lineRule="auto"/>
      <w:jc w:val="left"/>
    </w:pPr>
    <w:rPr>
      <w:rFonts w:asciiTheme="minorHAnsi" w:eastAsiaTheme="minorEastAsia" w:hAnsiTheme="minorHAns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A30E58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/>
      <w:color w:val="17365D" w:themeColor="text2" w:themeShade="BF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0E5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28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A30E58"/>
    <w:pPr>
      <w:ind w:left="720"/>
      <w:contextualSpacing/>
    </w:pPr>
  </w:style>
  <w:style w:type="paragraph" w:styleId="Textpoznpodarou">
    <w:name w:val="footnote text"/>
    <w:aliases w:val="Text pozn. pod čarou times"/>
    <w:basedOn w:val="Normln"/>
    <w:link w:val="TextpoznpodarouChar"/>
    <w:uiPriority w:val="99"/>
    <w:unhideWhenUsed/>
    <w:qFormat/>
    <w:rsid w:val="00A30E58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Text pozn. pod čarou times Char"/>
    <w:basedOn w:val="Standardnpsmoodstavce"/>
    <w:link w:val="Textpoznpodarou"/>
    <w:uiPriority w:val="99"/>
    <w:rsid w:val="00A30E58"/>
    <w:rPr>
      <w:rFonts w:ascii="Times New Roman" w:eastAsiaTheme="minorEastAsia" w:hAnsi="Times New Roman" w:cs="Times New Roman"/>
      <w:sz w:val="18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30E58"/>
    <w:rPr>
      <w:position w:val="0"/>
      <w:vertAlign w:val="superscript"/>
    </w:rPr>
  </w:style>
  <w:style w:type="paragraph" w:styleId="Normlnweb">
    <w:name w:val="Normal (Web)"/>
    <w:basedOn w:val="Normln"/>
    <w:uiPriority w:val="99"/>
    <w:rsid w:val="00A30E58"/>
    <w:pPr>
      <w:spacing w:before="0" w:after="0"/>
      <w:jc w:val="left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0E5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30E58"/>
    <w:rPr>
      <w:rFonts w:eastAsiaTheme="minorEastAsia" w:cs="Times New Roman"/>
    </w:rPr>
  </w:style>
  <w:style w:type="paragraph" w:styleId="Zpat">
    <w:name w:val="footer"/>
    <w:basedOn w:val="Normln"/>
    <w:link w:val="ZpatChar"/>
    <w:uiPriority w:val="99"/>
    <w:unhideWhenUsed/>
    <w:rsid w:val="00A30E5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30E58"/>
    <w:rPr>
      <w:rFonts w:eastAsiaTheme="minorEastAsia" w:cs="Times New Roman"/>
    </w:rPr>
  </w:style>
  <w:style w:type="character" w:customStyle="1" w:styleId="Znakypropoznmkupodarou">
    <w:name w:val="Znaky pro poznámku pod čarou"/>
    <w:basedOn w:val="Standardnpsmoodstavce"/>
    <w:rsid w:val="00A30E58"/>
    <w:rPr>
      <w:rFonts w:ascii="Times New Roman" w:hAnsi="Times New Roman"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E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E58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0E5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E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E58"/>
    <w:rPr>
      <w:rFonts w:eastAsiaTheme="minorEastAs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E58"/>
    <w:rPr>
      <w:rFonts w:eastAsiaTheme="minorEastAsia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30E58"/>
    <w:pPr>
      <w:jc w:val="left"/>
    </w:pPr>
    <w:rPr>
      <w:rFonts w:asciiTheme="minorHAnsi" w:eastAsia="Times New Roman" w:hAnsiTheme="minorHAns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nmkapodarou">
    <w:name w:val="poznámka pod čarou"/>
    <w:basedOn w:val="Textpoznpodarou"/>
    <w:link w:val="poznmkapodarouChar"/>
    <w:qFormat/>
    <w:rsid w:val="003816A0"/>
    <w:pPr>
      <w:widowControl/>
      <w:tabs>
        <w:tab w:val="left" w:pos="284"/>
      </w:tabs>
      <w:autoSpaceDE/>
      <w:autoSpaceDN/>
      <w:adjustRightInd/>
      <w:spacing w:before="0" w:after="0"/>
      <w:ind w:left="284" w:hanging="284"/>
    </w:pPr>
    <w:rPr>
      <w:rFonts w:ascii="Calibri" w:eastAsia="Times New Roman" w:hAnsi="Calibri"/>
    </w:rPr>
  </w:style>
  <w:style w:type="character" w:customStyle="1" w:styleId="poznmkapodarouChar">
    <w:name w:val="poznámka pod čarou Char"/>
    <w:basedOn w:val="TextpoznpodarouChar"/>
    <w:link w:val="poznmkapodarou"/>
    <w:rsid w:val="003816A0"/>
    <w:rPr>
      <w:rFonts w:ascii="Calibri" w:eastAsia="Times New Roman" w:hAnsi="Calibri" w:cs="Times New Roman"/>
      <w:sz w:val="18"/>
      <w:szCs w:val="20"/>
      <w:lang w:eastAsia="cs-CZ"/>
    </w:rPr>
  </w:style>
  <w:style w:type="paragraph" w:customStyle="1" w:styleId="Default">
    <w:name w:val="Default"/>
    <w:rsid w:val="00AA3C3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zera">
    <w:name w:val="mezera"/>
    <w:basedOn w:val="Normln"/>
    <w:next w:val="Normln"/>
    <w:rsid w:val="00066943"/>
    <w:pPr>
      <w:spacing w:before="0" w:after="0"/>
    </w:pPr>
    <w:rPr>
      <w:rFonts w:eastAsia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A4C38"/>
    <w:rPr>
      <w:rFonts w:eastAsiaTheme="minorEastAsia" w:cs="Times New Roman"/>
    </w:rPr>
  </w:style>
  <w:style w:type="paragraph" w:styleId="Zkladntextodsazen">
    <w:name w:val="Body Text Indent"/>
    <w:basedOn w:val="Normln"/>
    <w:link w:val="ZkladntextodsazenChar"/>
    <w:semiHidden/>
    <w:rsid w:val="00225FCD"/>
    <w:pPr>
      <w:spacing w:before="0" w:after="0"/>
      <w:ind w:firstLine="708"/>
    </w:pPr>
    <w:rPr>
      <w:rFonts w:eastAsia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5FCD"/>
    <w:rPr>
      <w:rFonts w:eastAsia="Times New Roman" w:cs="Times New Roman"/>
      <w:szCs w:val="24"/>
      <w:lang w:eastAsia="cs-CZ"/>
    </w:rPr>
  </w:style>
  <w:style w:type="character" w:styleId="Siln">
    <w:name w:val="Strong"/>
    <w:uiPriority w:val="22"/>
    <w:qFormat/>
    <w:rsid w:val="006D7EF5"/>
    <w:rPr>
      <w:b/>
      <w:bCs/>
    </w:rPr>
  </w:style>
  <w:style w:type="paragraph" w:customStyle="1" w:styleId="Oddlen-nadpis">
    <w:name w:val="Oddělení-nadpis"/>
    <w:basedOn w:val="Nadpis1"/>
    <w:rsid w:val="00CA7011"/>
    <w:pPr>
      <w:keepLines w:val="0"/>
      <w:tabs>
        <w:tab w:val="num" w:pos="360"/>
        <w:tab w:val="left" w:pos="720"/>
      </w:tabs>
      <w:spacing w:before="120" w:after="120"/>
      <w:ind w:left="360" w:hanging="360"/>
      <w:jc w:val="both"/>
    </w:pPr>
    <w:rPr>
      <w:rFonts w:eastAsia="Times New Roman" w:cs="Arial"/>
      <w:bCs w:val="0"/>
      <w:sz w:val="22"/>
      <w:szCs w:val="24"/>
    </w:rPr>
  </w:style>
  <w:style w:type="paragraph" w:customStyle="1" w:styleId="Pa10">
    <w:name w:val="Pa10"/>
    <w:basedOn w:val="Default"/>
    <w:next w:val="Default"/>
    <w:rsid w:val="00926C8D"/>
    <w:pPr>
      <w:spacing w:before="360" w:after="100" w:line="281" w:lineRule="atLeast"/>
    </w:pPr>
    <w:rPr>
      <w:rFonts w:ascii="Arial" w:eastAsia="Times New Roman" w:hAnsi="Arial"/>
      <w:color w:val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F4F"/>
    <w:pPr>
      <w:spacing w:before="120" w:after="120"/>
    </w:pPr>
    <w:rPr>
      <w:rFonts w:eastAsiaTheme="minorEastAsia" w:cs="Times New Roman"/>
    </w:rPr>
  </w:style>
  <w:style w:type="paragraph" w:styleId="Nadpis1">
    <w:name w:val="heading 1"/>
    <w:basedOn w:val="Normln"/>
    <w:next w:val="Normln"/>
    <w:link w:val="Nadpis1Char"/>
    <w:qFormat/>
    <w:rsid w:val="00A30E58"/>
    <w:pPr>
      <w:keepNext/>
      <w:keepLines/>
      <w:spacing w:before="480" w:after="0"/>
      <w:jc w:val="center"/>
      <w:outlineLvl w:val="0"/>
    </w:pPr>
    <w:rPr>
      <w:rFonts w:eastAsiaTheme="majorEastAsia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F27F3"/>
    <w:pPr>
      <w:keepNext/>
      <w:keepLines/>
      <w:spacing w:before="0" w:after="0"/>
      <w:outlineLvl w:val="1"/>
    </w:pPr>
    <w:rPr>
      <w:rFonts w:asciiTheme="minorHAnsi" w:eastAsiaTheme="majorEastAsia" w:hAnsiTheme="minorHAnsi" w:cstheme="minorHAnsi"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A30E58"/>
    <w:pPr>
      <w:keepNext/>
      <w:keepLines/>
      <w:spacing w:before="200" w:after="0"/>
      <w:outlineLvl w:val="2"/>
    </w:pPr>
    <w:rPr>
      <w:rFonts w:eastAsiaTheme="majorEastAsia"/>
      <w:b/>
      <w:b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30E58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0E58"/>
    <w:rPr>
      <w:rFonts w:eastAsiaTheme="majorEastAsia" w:cs="Times New Roman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27F3"/>
    <w:rPr>
      <w:rFonts w:asciiTheme="minorHAnsi" w:eastAsiaTheme="majorEastAsia" w:hAnsiTheme="minorHAnsi" w:cstheme="minorHAnsi"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0E58"/>
    <w:rPr>
      <w:rFonts w:eastAsiaTheme="majorEastAsia"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"/>
    <w:rsid w:val="00A30E58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A30E58"/>
    <w:pPr>
      <w:suppressAutoHyphens/>
      <w:spacing w:after="120" w:line="276" w:lineRule="auto"/>
    </w:pPr>
    <w:rPr>
      <w:rFonts w:eastAsia="Times New Roman" w:cs="Calibri"/>
      <w:szCs w:val="24"/>
      <w:lang w:eastAsia="ar-SA"/>
    </w:rPr>
  </w:style>
  <w:style w:type="paragraph" w:customStyle="1" w:styleId="Textbody">
    <w:name w:val="Text body"/>
    <w:rsid w:val="00A30E58"/>
    <w:pPr>
      <w:suppressAutoHyphens/>
      <w:spacing w:after="200" w:line="360" w:lineRule="auto"/>
      <w:jc w:val="left"/>
    </w:pPr>
    <w:rPr>
      <w:rFonts w:asciiTheme="minorHAnsi" w:eastAsiaTheme="minorEastAsia" w:hAnsiTheme="minorHAns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A30E58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/>
      <w:color w:val="17365D" w:themeColor="text2" w:themeShade="BF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0E5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28"/>
      <w:szCs w:val="52"/>
    </w:rPr>
  </w:style>
  <w:style w:type="paragraph" w:styleId="Odstavecseseznamem">
    <w:name w:val="List Paragraph"/>
    <w:basedOn w:val="Normln"/>
    <w:link w:val="OdstavecseseznamemChar"/>
    <w:uiPriority w:val="34"/>
    <w:qFormat/>
    <w:rsid w:val="00A30E58"/>
    <w:pPr>
      <w:ind w:left="720"/>
      <w:contextualSpacing/>
    </w:pPr>
  </w:style>
  <w:style w:type="paragraph" w:styleId="Textpoznpodarou">
    <w:name w:val="footnote text"/>
    <w:aliases w:val="Text pozn. pod čarou times"/>
    <w:basedOn w:val="Normln"/>
    <w:link w:val="TextpoznpodarouChar"/>
    <w:uiPriority w:val="99"/>
    <w:unhideWhenUsed/>
    <w:qFormat/>
    <w:rsid w:val="00A30E58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20"/>
      <w:lang w:eastAsia="cs-CZ"/>
    </w:rPr>
  </w:style>
  <w:style w:type="character" w:customStyle="1" w:styleId="TextpoznpodarouChar">
    <w:name w:val="Text pozn. pod čarou Char"/>
    <w:aliases w:val="Text pozn. pod čarou times Char"/>
    <w:basedOn w:val="Standardnpsmoodstavce"/>
    <w:link w:val="Textpoznpodarou"/>
    <w:uiPriority w:val="99"/>
    <w:rsid w:val="00A30E58"/>
    <w:rPr>
      <w:rFonts w:ascii="Times New Roman" w:eastAsiaTheme="minorEastAsia" w:hAnsi="Times New Roman" w:cs="Times New Roman"/>
      <w:sz w:val="18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30E58"/>
    <w:rPr>
      <w:position w:val="0"/>
      <w:vertAlign w:val="superscript"/>
    </w:rPr>
  </w:style>
  <w:style w:type="paragraph" w:styleId="Normlnweb">
    <w:name w:val="Normal (Web)"/>
    <w:basedOn w:val="Normln"/>
    <w:uiPriority w:val="99"/>
    <w:rsid w:val="00A30E58"/>
    <w:pPr>
      <w:spacing w:before="0" w:after="0"/>
      <w:jc w:val="left"/>
    </w:pPr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30E5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30E58"/>
    <w:rPr>
      <w:rFonts w:eastAsiaTheme="minorEastAsia" w:cs="Times New Roman"/>
    </w:rPr>
  </w:style>
  <w:style w:type="paragraph" w:styleId="Zpat">
    <w:name w:val="footer"/>
    <w:basedOn w:val="Normln"/>
    <w:link w:val="ZpatChar"/>
    <w:uiPriority w:val="99"/>
    <w:unhideWhenUsed/>
    <w:rsid w:val="00A30E5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30E58"/>
    <w:rPr>
      <w:rFonts w:eastAsiaTheme="minorEastAsia" w:cs="Times New Roman"/>
    </w:rPr>
  </w:style>
  <w:style w:type="character" w:customStyle="1" w:styleId="Znakypropoznmkupodarou">
    <w:name w:val="Znaky pro poznámku pod čarou"/>
    <w:basedOn w:val="Standardnpsmoodstavce"/>
    <w:rsid w:val="00A30E58"/>
    <w:rPr>
      <w:rFonts w:ascii="Times New Roman" w:hAnsi="Times New Roman"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E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E58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30E5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0E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0E58"/>
    <w:rPr>
      <w:rFonts w:eastAsiaTheme="minorEastAs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E58"/>
    <w:rPr>
      <w:rFonts w:eastAsiaTheme="minorEastAsia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A30E58"/>
    <w:pPr>
      <w:jc w:val="left"/>
    </w:pPr>
    <w:rPr>
      <w:rFonts w:asciiTheme="minorHAnsi" w:eastAsia="Times New Roman" w:hAnsiTheme="minorHAns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znmkapodarou">
    <w:name w:val="poznámka pod čarou"/>
    <w:basedOn w:val="Textpoznpodarou"/>
    <w:link w:val="poznmkapodarouChar"/>
    <w:qFormat/>
    <w:rsid w:val="003816A0"/>
    <w:pPr>
      <w:widowControl/>
      <w:tabs>
        <w:tab w:val="left" w:pos="284"/>
      </w:tabs>
      <w:autoSpaceDE/>
      <w:autoSpaceDN/>
      <w:adjustRightInd/>
      <w:spacing w:before="0" w:after="0"/>
      <w:ind w:left="284" w:hanging="284"/>
    </w:pPr>
    <w:rPr>
      <w:rFonts w:ascii="Calibri" w:eastAsia="Times New Roman" w:hAnsi="Calibri"/>
    </w:rPr>
  </w:style>
  <w:style w:type="character" w:customStyle="1" w:styleId="poznmkapodarouChar">
    <w:name w:val="poznámka pod čarou Char"/>
    <w:basedOn w:val="TextpoznpodarouChar"/>
    <w:link w:val="poznmkapodarou"/>
    <w:rsid w:val="003816A0"/>
    <w:rPr>
      <w:rFonts w:ascii="Calibri" w:eastAsia="Times New Roman" w:hAnsi="Calibri" w:cs="Times New Roman"/>
      <w:sz w:val="18"/>
      <w:szCs w:val="20"/>
      <w:lang w:eastAsia="cs-CZ"/>
    </w:rPr>
  </w:style>
  <w:style w:type="paragraph" w:customStyle="1" w:styleId="Default">
    <w:name w:val="Default"/>
    <w:rsid w:val="00AA3C3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zera">
    <w:name w:val="mezera"/>
    <w:basedOn w:val="Normln"/>
    <w:next w:val="Normln"/>
    <w:rsid w:val="00066943"/>
    <w:pPr>
      <w:spacing w:before="0" w:after="0"/>
    </w:pPr>
    <w:rPr>
      <w:rFonts w:eastAsia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5A4C38"/>
    <w:rPr>
      <w:rFonts w:eastAsiaTheme="minorEastAsia" w:cs="Times New Roman"/>
    </w:rPr>
  </w:style>
  <w:style w:type="paragraph" w:styleId="Zkladntextodsazen">
    <w:name w:val="Body Text Indent"/>
    <w:basedOn w:val="Normln"/>
    <w:link w:val="ZkladntextodsazenChar"/>
    <w:semiHidden/>
    <w:rsid w:val="00225FCD"/>
    <w:pPr>
      <w:spacing w:before="0" w:after="0"/>
      <w:ind w:firstLine="708"/>
    </w:pPr>
    <w:rPr>
      <w:rFonts w:eastAsia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5FCD"/>
    <w:rPr>
      <w:rFonts w:eastAsia="Times New Roman" w:cs="Times New Roman"/>
      <w:szCs w:val="24"/>
      <w:lang w:eastAsia="cs-CZ"/>
    </w:rPr>
  </w:style>
  <w:style w:type="character" w:styleId="Siln">
    <w:name w:val="Strong"/>
    <w:uiPriority w:val="22"/>
    <w:qFormat/>
    <w:rsid w:val="006D7EF5"/>
    <w:rPr>
      <w:b/>
      <w:bCs/>
    </w:rPr>
  </w:style>
  <w:style w:type="paragraph" w:customStyle="1" w:styleId="Oddlen-nadpis">
    <w:name w:val="Oddělení-nadpis"/>
    <w:basedOn w:val="Nadpis1"/>
    <w:rsid w:val="00CA7011"/>
    <w:pPr>
      <w:keepLines w:val="0"/>
      <w:tabs>
        <w:tab w:val="num" w:pos="360"/>
        <w:tab w:val="left" w:pos="720"/>
      </w:tabs>
      <w:spacing w:before="120" w:after="120"/>
      <w:ind w:left="360" w:hanging="360"/>
      <w:jc w:val="both"/>
    </w:pPr>
    <w:rPr>
      <w:rFonts w:eastAsia="Times New Roman" w:cs="Arial"/>
      <w:bCs w:val="0"/>
      <w:sz w:val="22"/>
      <w:szCs w:val="24"/>
    </w:rPr>
  </w:style>
  <w:style w:type="paragraph" w:customStyle="1" w:styleId="Pa10">
    <w:name w:val="Pa10"/>
    <w:basedOn w:val="Default"/>
    <w:next w:val="Default"/>
    <w:rsid w:val="00926C8D"/>
    <w:pPr>
      <w:spacing w:before="360" w:after="100" w:line="281" w:lineRule="atLeast"/>
    </w:pPr>
    <w:rPr>
      <w:rFonts w:ascii="Arial" w:eastAsia="Times New Roman" w:hAnsi="Arial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A68638-6EA8-44F5-964A-0BB9AE86A50E}"/>
</file>

<file path=customXml/itemProps2.xml><?xml version="1.0" encoding="utf-8"?>
<ds:datastoreItem xmlns:ds="http://schemas.openxmlformats.org/officeDocument/2006/customXml" ds:itemID="{1F579596-27EA-4B01-936C-477D7F20727C}"/>
</file>

<file path=customXml/itemProps3.xml><?xml version="1.0" encoding="utf-8"?>
<ds:datastoreItem xmlns:ds="http://schemas.openxmlformats.org/officeDocument/2006/customXml" ds:itemID="{B4BA45FD-AAB7-41C2-92F0-38F1548774E9}"/>
</file>

<file path=customXml/itemProps4.xml><?xml version="1.0" encoding="utf-8"?>
<ds:datastoreItem xmlns:ds="http://schemas.openxmlformats.org/officeDocument/2006/customXml" ds:itemID="{CE3960FF-D35C-44B1-9439-FFF04CF07904}"/>
</file>

<file path=docProps/app.xml><?xml version="1.0" encoding="utf-8"?>
<Properties xmlns="http://schemas.openxmlformats.org/officeDocument/2006/extended-properties" xmlns:vt="http://schemas.openxmlformats.org/officeDocument/2006/docPropsVTypes">
  <Template>917635D7</Template>
  <TotalTime>690</TotalTime>
  <Pages>13</Pages>
  <Words>3867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14/16</dc:title>
  <dc:creator>LEDVINA Josef</dc:creator>
  <cp:lastModifiedBy>POKORNÁ Jana</cp:lastModifiedBy>
  <cp:revision>43</cp:revision>
  <cp:lastPrinted>2014-12-19T09:11:00Z</cp:lastPrinted>
  <dcterms:created xsi:type="dcterms:W3CDTF">2014-12-15T13:50:00Z</dcterms:created>
  <dcterms:modified xsi:type="dcterms:W3CDTF">2015-01-06T09:57:00Z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