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2193D" w14:textId="2C878B70" w:rsidR="00B467B3" w:rsidRPr="007A2187" w:rsidRDefault="00767C35" w:rsidP="00C433E8">
      <w:pPr>
        <w:jc w:val="center"/>
        <w:rPr>
          <w:rFonts w:cstheme="minorHAnsi"/>
        </w:rPr>
      </w:pPr>
      <w:r w:rsidRPr="007A2187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1521A85" wp14:editId="21521A86">
            <wp:simplePos x="0" y="0"/>
            <wp:positionH relativeFrom="column">
              <wp:posOffset>2490470</wp:posOffset>
            </wp:positionH>
            <wp:positionV relativeFrom="paragraph">
              <wp:posOffset>5080</wp:posOffset>
            </wp:positionV>
            <wp:extent cx="790575" cy="552450"/>
            <wp:effectExtent l="0" t="0" r="9525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2193E" w14:textId="77777777" w:rsidR="00E9506F" w:rsidRPr="007A2187" w:rsidRDefault="00E9506F" w:rsidP="00C433E8">
      <w:pPr>
        <w:jc w:val="center"/>
        <w:rPr>
          <w:rFonts w:cstheme="minorHAnsi"/>
        </w:rPr>
      </w:pPr>
    </w:p>
    <w:p w14:paraId="2152193F" w14:textId="77777777" w:rsidR="00D6092F" w:rsidRPr="007A2187" w:rsidRDefault="00D6092F" w:rsidP="00C433E8">
      <w:pPr>
        <w:jc w:val="center"/>
        <w:rPr>
          <w:rFonts w:cstheme="minorHAnsi"/>
        </w:rPr>
      </w:pPr>
    </w:p>
    <w:p w14:paraId="21521940" w14:textId="77777777" w:rsidR="003A2F07" w:rsidRPr="007A2187" w:rsidRDefault="003A2F07" w:rsidP="00C433E8">
      <w:pPr>
        <w:jc w:val="center"/>
        <w:rPr>
          <w:rFonts w:eastAsia="Times New Roman" w:cstheme="minorHAnsi"/>
          <w:b/>
          <w:sz w:val="28"/>
          <w:szCs w:val="28"/>
        </w:rPr>
      </w:pPr>
      <w:bookmarkStart w:id="0" w:name="_GoBack"/>
      <w:r w:rsidRPr="007A2187">
        <w:rPr>
          <w:rFonts w:eastAsia="Times New Roman" w:cstheme="minorHAnsi"/>
          <w:b/>
          <w:sz w:val="28"/>
          <w:szCs w:val="28"/>
        </w:rPr>
        <w:t>Kontrolní závěr z</w:t>
      </w:r>
      <w:r w:rsidR="00B47313" w:rsidRPr="007A2187">
        <w:rPr>
          <w:rFonts w:eastAsia="Times New Roman" w:cstheme="minorHAnsi"/>
          <w:b/>
          <w:sz w:val="28"/>
          <w:szCs w:val="28"/>
        </w:rPr>
        <w:t xml:space="preserve"> </w:t>
      </w:r>
      <w:r w:rsidRPr="007A2187">
        <w:rPr>
          <w:rFonts w:eastAsia="Times New Roman" w:cstheme="minorHAnsi"/>
          <w:b/>
          <w:sz w:val="28"/>
          <w:szCs w:val="28"/>
        </w:rPr>
        <w:t>kontrolní akce</w:t>
      </w:r>
    </w:p>
    <w:p w14:paraId="21521941" w14:textId="77777777" w:rsidR="00D6092F" w:rsidRPr="007A2187" w:rsidRDefault="00D6092F" w:rsidP="00C433E8">
      <w:pPr>
        <w:jc w:val="center"/>
        <w:rPr>
          <w:rFonts w:eastAsia="Times New Roman" w:cstheme="minorHAnsi"/>
          <w:b/>
          <w:szCs w:val="24"/>
        </w:rPr>
      </w:pPr>
    </w:p>
    <w:p w14:paraId="21521942" w14:textId="524C6EE3" w:rsidR="003A2F07" w:rsidRPr="007A2187" w:rsidRDefault="003A2F07" w:rsidP="00C433E8">
      <w:pPr>
        <w:jc w:val="center"/>
        <w:rPr>
          <w:rFonts w:eastAsia="Times New Roman" w:cstheme="minorHAnsi"/>
          <w:b/>
          <w:sz w:val="28"/>
          <w:szCs w:val="28"/>
        </w:rPr>
      </w:pPr>
      <w:r w:rsidRPr="007A2187">
        <w:rPr>
          <w:rFonts w:eastAsia="Times New Roman" w:cstheme="minorHAnsi"/>
          <w:b/>
          <w:sz w:val="28"/>
          <w:szCs w:val="28"/>
        </w:rPr>
        <w:t>1</w:t>
      </w:r>
      <w:r w:rsidR="00ED1966" w:rsidRPr="007A2187">
        <w:rPr>
          <w:rFonts w:eastAsia="Times New Roman" w:cstheme="minorHAnsi"/>
          <w:b/>
          <w:sz w:val="28"/>
          <w:szCs w:val="28"/>
        </w:rPr>
        <w:t>4</w:t>
      </w:r>
      <w:r w:rsidRPr="007A2187">
        <w:rPr>
          <w:rFonts w:eastAsia="Times New Roman" w:cstheme="minorHAnsi"/>
          <w:b/>
          <w:sz w:val="28"/>
          <w:szCs w:val="28"/>
        </w:rPr>
        <w:t>/</w:t>
      </w:r>
      <w:r w:rsidR="0033380B" w:rsidRPr="007A2187">
        <w:rPr>
          <w:rFonts w:eastAsia="Times New Roman" w:cstheme="minorHAnsi"/>
          <w:b/>
          <w:sz w:val="28"/>
          <w:szCs w:val="28"/>
        </w:rPr>
        <w:t>33</w:t>
      </w:r>
    </w:p>
    <w:p w14:paraId="21521943" w14:textId="77777777" w:rsidR="00D6092F" w:rsidRPr="007A2187" w:rsidRDefault="00D6092F" w:rsidP="00C433E8">
      <w:pPr>
        <w:jc w:val="center"/>
        <w:rPr>
          <w:rFonts w:eastAsia="Times New Roman" w:cstheme="minorHAnsi"/>
          <w:b/>
          <w:szCs w:val="24"/>
        </w:rPr>
      </w:pPr>
    </w:p>
    <w:p w14:paraId="21521944" w14:textId="02D021C1" w:rsidR="00321BF3" w:rsidRPr="007A2187" w:rsidRDefault="0033380B" w:rsidP="00C433E8">
      <w:pPr>
        <w:jc w:val="center"/>
        <w:rPr>
          <w:rFonts w:cstheme="minorHAnsi"/>
          <w:b/>
          <w:sz w:val="28"/>
          <w:szCs w:val="28"/>
        </w:rPr>
      </w:pPr>
      <w:r w:rsidRPr="007A2187">
        <w:rPr>
          <w:rFonts w:cstheme="minorHAnsi"/>
          <w:b/>
          <w:color w:val="000000"/>
          <w:sz w:val="28"/>
          <w:szCs w:val="28"/>
        </w:rPr>
        <w:t>Prostředky vybírané na základě zákona ve prospěch Zdravotní pojišťovny ministerstva vnitra České republiky</w:t>
      </w:r>
    </w:p>
    <w:bookmarkEnd w:id="0"/>
    <w:p w14:paraId="21521945" w14:textId="77777777" w:rsidR="00D67953" w:rsidRPr="007A2187" w:rsidRDefault="00D67953" w:rsidP="00C433E8">
      <w:pPr>
        <w:rPr>
          <w:rFonts w:cstheme="minorHAnsi"/>
        </w:rPr>
      </w:pPr>
    </w:p>
    <w:p w14:paraId="21521946" w14:textId="77777777" w:rsidR="00E9506F" w:rsidRPr="007A2187" w:rsidRDefault="00E9506F" w:rsidP="003A1F9F"/>
    <w:p w14:paraId="21521947" w14:textId="216FF19C" w:rsidR="008B05EF" w:rsidRPr="007A2187" w:rsidRDefault="0090334D" w:rsidP="003A1F9F">
      <w:r w:rsidRPr="007A2187">
        <w:rPr>
          <w:rFonts w:eastAsia="Times New Roman"/>
        </w:rPr>
        <w:t>Kontrolní akce byla zařazena do plánu kontrolní činnosti Nejvyššího kontrolního úřadu (dále jen „NKÚ“) na rok 201</w:t>
      </w:r>
      <w:r w:rsidR="002F0D98" w:rsidRPr="007A2187">
        <w:rPr>
          <w:rFonts w:eastAsia="Times New Roman"/>
        </w:rPr>
        <w:t>4</w:t>
      </w:r>
      <w:r w:rsidRPr="007A2187">
        <w:rPr>
          <w:rFonts w:eastAsia="Times New Roman"/>
        </w:rPr>
        <w:t xml:space="preserve"> pod číslem 1</w:t>
      </w:r>
      <w:r w:rsidR="002F0D98" w:rsidRPr="007A2187">
        <w:rPr>
          <w:rFonts w:eastAsia="Times New Roman"/>
        </w:rPr>
        <w:t>4</w:t>
      </w:r>
      <w:r w:rsidRPr="007A2187">
        <w:rPr>
          <w:rFonts w:eastAsia="Times New Roman"/>
        </w:rPr>
        <w:t>/</w:t>
      </w:r>
      <w:r w:rsidR="0033380B" w:rsidRPr="007A2187">
        <w:rPr>
          <w:rFonts w:eastAsia="Times New Roman"/>
        </w:rPr>
        <w:t>33</w:t>
      </w:r>
      <w:r w:rsidRPr="007A2187">
        <w:rPr>
          <w:rFonts w:eastAsia="Times New Roman"/>
        </w:rPr>
        <w:t xml:space="preserve">. Kontrolní akci řídil a kontrolní závěr vypracoval člen NKÚ </w:t>
      </w:r>
      <w:r w:rsidR="0033380B" w:rsidRPr="007A2187">
        <w:rPr>
          <w:rFonts w:eastAsia="Times New Roman"/>
        </w:rPr>
        <w:t>JUDr. </w:t>
      </w:r>
      <w:r w:rsidR="002F0D98" w:rsidRPr="007A2187">
        <w:rPr>
          <w:rFonts w:eastAsia="Times New Roman"/>
        </w:rPr>
        <w:t xml:space="preserve">Ing. </w:t>
      </w:r>
      <w:r w:rsidR="0033380B" w:rsidRPr="007A2187">
        <w:rPr>
          <w:rFonts w:eastAsia="Times New Roman"/>
        </w:rPr>
        <w:t>Jiří Kalivoda</w:t>
      </w:r>
      <w:r w:rsidR="00FC3CFF" w:rsidRPr="007A2187">
        <w:rPr>
          <w:rFonts w:eastAsia="Times New Roman"/>
        </w:rPr>
        <w:t>.</w:t>
      </w:r>
    </w:p>
    <w:p w14:paraId="21521948" w14:textId="77777777" w:rsidR="008B05EF" w:rsidRPr="007A2187" w:rsidRDefault="008B05EF" w:rsidP="003A1F9F"/>
    <w:p w14:paraId="1BE14DAE" w14:textId="50145C40" w:rsidR="002F0D98" w:rsidRPr="007A2187" w:rsidRDefault="002F0D98" w:rsidP="003A1F9F">
      <w:pPr>
        <w:rPr>
          <w:color w:val="000000"/>
        </w:rPr>
      </w:pPr>
      <w:r w:rsidRPr="007A2187">
        <w:rPr>
          <w:rFonts w:eastAsia="Times New Roman"/>
        </w:rPr>
        <w:t xml:space="preserve">Cílem kontroly bylo </w:t>
      </w:r>
      <w:r w:rsidRPr="007A2187">
        <w:rPr>
          <w:color w:val="000000"/>
        </w:rPr>
        <w:t>prověřit</w:t>
      </w:r>
      <w:r w:rsidRPr="007A2187">
        <w:t xml:space="preserve"> </w:t>
      </w:r>
      <w:r w:rsidR="0033380B" w:rsidRPr="007A2187">
        <w:t>hospodaření s prostředky vybíranými na základě zákona ve prospěch Zdravotní pojišťovny ministerstva vnitra České republiky.</w:t>
      </w:r>
    </w:p>
    <w:p w14:paraId="2152194A" w14:textId="77777777" w:rsidR="00FC3CFF" w:rsidRPr="007A2187" w:rsidRDefault="00FC3CFF" w:rsidP="003A1F9F"/>
    <w:p w14:paraId="3CD331F9" w14:textId="773EBA19" w:rsidR="002F0D98" w:rsidRPr="007A2187" w:rsidRDefault="00E51AF3" w:rsidP="003A1F9F">
      <w:pPr>
        <w:rPr>
          <w:rFonts w:eastAsia="Times New Roman"/>
        </w:rPr>
      </w:pPr>
      <w:r w:rsidRPr="007A2187">
        <w:t xml:space="preserve">Kontrola byla prováděna </w:t>
      </w:r>
      <w:r w:rsidR="00A65083">
        <w:t xml:space="preserve">u kontrolované osoby </w:t>
      </w:r>
      <w:r w:rsidRPr="007A2187">
        <w:t xml:space="preserve">v období od </w:t>
      </w:r>
      <w:r>
        <w:t>listopadu 2014 do června 2015</w:t>
      </w:r>
      <w:r w:rsidRPr="007A2187">
        <w:t>.</w:t>
      </w:r>
      <w:r>
        <w:t xml:space="preserve"> </w:t>
      </w:r>
      <w:r w:rsidR="002F0D98" w:rsidRPr="007A2187">
        <w:t>Kontrolováno bylo období let 201</w:t>
      </w:r>
      <w:r w:rsidR="0033380B" w:rsidRPr="007A2187">
        <w:t>2</w:t>
      </w:r>
      <w:r w:rsidR="002F0D98" w:rsidRPr="007A2187">
        <w:t xml:space="preserve"> a 2013 a v případě věcných souvislostí i předchozí období a období</w:t>
      </w:r>
      <w:r w:rsidR="00A00460">
        <w:t xml:space="preserve"> do ukončení kontroly</w:t>
      </w:r>
      <w:r w:rsidR="002F0D98" w:rsidRPr="007A2187">
        <w:t xml:space="preserve">. </w:t>
      </w:r>
    </w:p>
    <w:p w14:paraId="2152194C" w14:textId="77777777" w:rsidR="0090334D" w:rsidRPr="007A2187" w:rsidRDefault="0090334D" w:rsidP="003A1F9F"/>
    <w:p w14:paraId="2152194D" w14:textId="64FF0DAB" w:rsidR="008B05EF" w:rsidRPr="007A2187" w:rsidRDefault="008B05EF" w:rsidP="003A1F9F">
      <w:pPr>
        <w:rPr>
          <w:b/>
        </w:rPr>
      </w:pPr>
      <w:r w:rsidRPr="007A2187">
        <w:rPr>
          <w:b/>
        </w:rPr>
        <w:t>Kontrolovan</w:t>
      </w:r>
      <w:r w:rsidR="00A00460">
        <w:rPr>
          <w:b/>
        </w:rPr>
        <w:t>á</w:t>
      </w:r>
      <w:r w:rsidRPr="007A2187">
        <w:rPr>
          <w:b/>
        </w:rPr>
        <w:t xml:space="preserve"> osob</w:t>
      </w:r>
      <w:r w:rsidR="00A00460">
        <w:rPr>
          <w:b/>
        </w:rPr>
        <w:t>a</w:t>
      </w:r>
      <w:r w:rsidRPr="007A2187">
        <w:rPr>
          <w:b/>
        </w:rPr>
        <w:t>:</w:t>
      </w:r>
    </w:p>
    <w:p w14:paraId="2152194E" w14:textId="3C69E2D5" w:rsidR="007B48EC" w:rsidRPr="007A2187" w:rsidRDefault="0033380B" w:rsidP="003A1F9F">
      <w:r w:rsidRPr="007A2187">
        <w:t>Zdravotní pojišťovna ministerstva vnitra České republiky</w:t>
      </w:r>
      <w:r w:rsidR="00C02385">
        <w:t>, Praha</w:t>
      </w:r>
      <w:r w:rsidR="003D373A">
        <w:t>,</w:t>
      </w:r>
      <w:r w:rsidR="002F0D98" w:rsidRPr="007A2187">
        <w:t xml:space="preserve"> </w:t>
      </w:r>
      <w:r w:rsidR="007B48EC" w:rsidRPr="007A2187">
        <w:t>(dále také „</w:t>
      </w:r>
      <w:r w:rsidRPr="007A2187">
        <w:t>ZP MV ČR</w:t>
      </w:r>
      <w:r w:rsidR="007B48EC" w:rsidRPr="007A2187">
        <w:t>“)</w:t>
      </w:r>
      <w:r w:rsidR="003D373A">
        <w:t>.</w:t>
      </w:r>
    </w:p>
    <w:p w14:paraId="4D84E418" w14:textId="77777777" w:rsidR="0098764E" w:rsidRPr="007A2187" w:rsidRDefault="0098764E" w:rsidP="003A1F9F"/>
    <w:p w14:paraId="7E2F5A8F" w14:textId="6D892467" w:rsidR="0098764E" w:rsidRPr="007A2187" w:rsidRDefault="0098764E" w:rsidP="003A1F9F">
      <w:r w:rsidRPr="007A2187">
        <w:t>Námitky, které proti kontrolnímu protokolu podal</w:t>
      </w:r>
      <w:r w:rsidR="003A1F9F" w:rsidRPr="007A2187">
        <w:t>a</w:t>
      </w:r>
      <w:r w:rsidRPr="007A2187">
        <w:t xml:space="preserve"> </w:t>
      </w:r>
      <w:r w:rsidR="00E51AF3">
        <w:t>ZP MV ČR</w:t>
      </w:r>
      <w:r w:rsidRPr="007A2187">
        <w:t>, byly vypořádány vedoucím skupin</w:t>
      </w:r>
      <w:r w:rsidR="00D25992">
        <w:t>y</w:t>
      </w:r>
      <w:r w:rsidR="006429FD" w:rsidRPr="007A2187">
        <w:t xml:space="preserve"> kontrolujících rozhodnutím</w:t>
      </w:r>
      <w:r w:rsidRPr="007A2187">
        <w:t xml:space="preserve"> o námit</w:t>
      </w:r>
      <w:r w:rsidR="00404646" w:rsidRPr="007A2187">
        <w:t>kách. Odvolání proti rozhodnutí</w:t>
      </w:r>
      <w:r w:rsidRPr="007A2187">
        <w:t xml:space="preserve"> o námitkách pod</w:t>
      </w:r>
      <w:r w:rsidR="00DD0988" w:rsidRPr="007A2187">
        <w:t>a</w:t>
      </w:r>
      <w:r w:rsidR="00195784" w:rsidRPr="007A2187">
        <w:t>n</w:t>
      </w:r>
      <w:r w:rsidR="00DD0988" w:rsidRPr="007A2187">
        <w:t>é</w:t>
      </w:r>
      <w:r w:rsidRPr="007A2187">
        <w:t xml:space="preserve"> </w:t>
      </w:r>
      <w:r w:rsidR="00E51AF3">
        <w:t>kontrolovanou osobou</w:t>
      </w:r>
      <w:r w:rsidR="003A1F9F" w:rsidRPr="007A2187">
        <w:t xml:space="preserve"> </w:t>
      </w:r>
      <w:r w:rsidR="004D111F" w:rsidRPr="007A2187">
        <w:t>byl</w:t>
      </w:r>
      <w:r w:rsidR="00E51AF3">
        <w:t>o</w:t>
      </w:r>
      <w:r w:rsidR="004D111F" w:rsidRPr="007A2187">
        <w:t xml:space="preserve"> vypořádán</w:t>
      </w:r>
      <w:r w:rsidR="00E51AF3">
        <w:t>o</w:t>
      </w:r>
      <w:r w:rsidR="004D111F" w:rsidRPr="007A2187">
        <w:t xml:space="preserve"> usnesením</w:t>
      </w:r>
      <w:r w:rsidRPr="007A2187">
        <w:t xml:space="preserve"> Kolegia NKÚ.</w:t>
      </w:r>
    </w:p>
    <w:p w14:paraId="21521955" w14:textId="77777777" w:rsidR="008B05EF" w:rsidRPr="007A2187" w:rsidRDefault="008B05EF" w:rsidP="00C433E8">
      <w:pPr>
        <w:rPr>
          <w:rFonts w:cstheme="minorHAnsi"/>
        </w:rPr>
      </w:pPr>
    </w:p>
    <w:p w14:paraId="21521956" w14:textId="35B90576" w:rsidR="006E47C5" w:rsidRPr="007A2187" w:rsidRDefault="008B05EF" w:rsidP="00C433E8">
      <w:pPr>
        <w:rPr>
          <w:rFonts w:cstheme="minorHAnsi"/>
        </w:rPr>
      </w:pPr>
      <w:r w:rsidRPr="007A2187">
        <w:rPr>
          <w:rFonts w:cstheme="minorHAnsi"/>
          <w:b/>
          <w:bCs/>
          <w:i/>
          <w:iCs/>
        </w:rPr>
        <w:t>K o l e g i u m</w:t>
      </w:r>
      <w:r w:rsidRPr="007A2187">
        <w:rPr>
          <w:rFonts w:cstheme="minorHAnsi"/>
          <w:bCs/>
          <w:iCs/>
        </w:rPr>
        <w:t xml:space="preserve">  </w:t>
      </w:r>
      <w:r w:rsidR="009100E6" w:rsidRPr="007A2187">
        <w:rPr>
          <w:rFonts w:cstheme="minorHAnsi"/>
          <w:bCs/>
          <w:iCs/>
        </w:rPr>
        <w:t xml:space="preserve"> </w:t>
      </w:r>
      <w:r w:rsidRPr="007A2187">
        <w:rPr>
          <w:rFonts w:cstheme="minorHAnsi"/>
          <w:b/>
          <w:bCs/>
          <w:i/>
          <w:iCs/>
        </w:rPr>
        <w:t>N</w:t>
      </w:r>
      <w:r w:rsidR="00D87FBF" w:rsidRPr="007A2187">
        <w:rPr>
          <w:rFonts w:cstheme="minorHAnsi"/>
          <w:b/>
          <w:bCs/>
          <w:i/>
          <w:iCs/>
        </w:rPr>
        <w:t xml:space="preserve"> </w:t>
      </w:r>
      <w:r w:rsidRPr="007A2187">
        <w:rPr>
          <w:rFonts w:cstheme="minorHAnsi"/>
          <w:b/>
          <w:bCs/>
          <w:i/>
          <w:iCs/>
        </w:rPr>
        <w:t>K</w:t>
      </w:r>
      <w:r w:rsidR="00D87FBF" w:rsidRPr="007A2187">
        <w:rPr>
          <w:rFonts w:cstheme="minorHAnsi"/>
          <w:b/>
          <w:bCs/>
          <w:i/>
          <w:iCs/>
        </w:rPr>
        <w:t xml:space="preserve"> </w:t>
      </w:r>
      <w:r w:rsidRPr="007A2187">
        <w:rPr>
          <w:rFonts w:cstheme="minorHAnsi"/>
          <w:b/>
          <w:bCs/>
          <w:i/>
          <w:iCs/>
        </w:rPr>
        <w:t>Ú</w:t>
      </w:r>
      <w:r w:rsidRPr="007A2187">
        <w:rPr>
          <w:rFonts w:cstheme="minorHAnsi"/>
          <w:bCs/>
        </w:rPr>
        <w:t xml:space="preserve"> </w:t>
      </w:r>
      <w:r w:rsidRPr="007A2187">
        <w:rPr>
          <w:rFonts w:cstheme="minorHAnsi"/>
        </w:rPr>
        <w:t xml:space="preserve"> </w:t>
      </w:r>
      <w:r w:rsidR="009100E6" w:rsidRPr="007A2187">
        <w:rPr>
          <w:rFonts w:cstheme="minorHAnsi"/>
        </w:rPr>
        <w:t xml:space="preserve"> </w:t>
      </w:r>
      <w:r w:rsidR="006E47C5" w:rsidRPr="007A2187">
        <w:rPr>
          <w:rFonts w:cstheme="minorHAnsi"/>
        </w:rPr>
        <w:t xml:space="preserve">na svém </w:t>
      </w:r>
      <w:r w:rsidR="00BD2D82">
        <w:rPr>
          <w:rFonts w:cstheme="minorHAnsi"/>
        </w:rPr>
        <w:t>XVI</w:t>
      </w:r>
      <w:r w:rsidR="004D6C7C" w:rsidRPr="007A2187">
        <w:rPr>
          <w:rFonts w:cstheme="minorHAnsi"/>
        </w:rPr>
        <w:t>.</w:t>
      </w:r>
      <w:r w:rsidR="00B47313" w:rsidRPr="007A2187">
        <w:rPr>
          <w:rFonts w:cstheme="minorHAnsi"/>
        </w:rPr>
        <w:t xml:space="preserve"> </w:t>
      </w:r>
      <w:r w:rsidR="0051578D">
        <w:rPr>
          <w:rFonts w:cstheme="minorHAnsi"/>
        </w:rPr>
        <w:t>je</w:t>
      </w:r>
      <w:r w:rsidR="006E47C5" w:rsidRPr="007A2187">
        <w:rPr>
          <w:rFonts w:cstheme="minorHAnsi"/>
        </w:rPr>
        <w:t>d</w:t>
      </w:r>
      <w:r w:rsidR="0051578D">
        <w:rPr>
          <w:rFonts w:cstheme="minorHAnsi"/>
        </w:rPr>
        <w:t>n</w:t>
      </w:r>
      <w:r w:rsidR="006E47C5" w:rsidRPr="007A2187">
        <w:rPr>
          <w:rFonts w:cstheme="minorHAnsi"/>
        </w:rPr>
        <w:t>ání, k</w:t>
      </w:r>
      <w:r w:rsidR="0051578D">
        <w:rPr>
          <w:rFonts w:cstheme="minorHAnsi"/>
        </w:rPr>
        <w:t>teré se konalo d</w:t>
      </w:r>
      <w:r w:rsidR="006E47C5" w:rsidRPr="007A2187">
        <w:rPr>
          <w:rFonts w:cstheme="minorHAnsi"/>
        </w:rPr>
        <w:t xml:space="preserve">ne </w:t>
      </w:r>
      <w:r w:rsidR="00BD2D82">
        <w:rPr>
          <w:rFonts w:cstheme="minorHAnsi"/>
        </w:rPr>
        <w:t>30</w:t>
      </w:r>
      <w:r w:rsidR="005B2019" w:rsidRPr="007A2187">
        <w:rPr>
          <w:rFonts w:cstheme="minorHAnsi"/>
        </w:rPr>
        <w:t xml:space="preserve">. </w:t>
      </w:r>
      <w:r w:rsidR="00404646" w:rsidRPr="007A2187">
        <w:rPr>
          <w:rFonts w:cstheme="minorHAnsi"/>
        </w:rPr>
        <w:t>l</w:t>
      </w:r>
      <w:r w:rsidR="003A1F9F" w:rsidRPr="007A2187">
        <w:rPr>
          <w:rFonts w:cstheme="minorHAnsi"/>
        </w:rPr>
        <w:t>istopadu</w:t>
      </w:r>
      <w:r w:rsidR="00521D98" w:rsidRPr="007A2187">
        <w:rPr>
          <w:rFonts w:cstheme="minorHAnsi"/>
        </w:rPr>
        <w:t xml:space="preserve"> 201</w:t>
      </w:r>
      <w:r w:rsidR="003A1F9F" w:rsidRPr="007A2187">
        <w:rPr>
          <w:rFonts w:cstheme="minorHAnsi"/>
        </w:rPr>
        <w:t>5</w:t>
      </w:r>
      <w:r w:rsidR="006E47C5" w:rsidRPr="007A2187">
        <w:rPr>
          <w:rFonts w:cstheme="minorHAnsi"/>
        </w:rPr>
        <w:t>,</w:t>
      </w:r>
    </w:p>
    <w:p w14:paraId="21521957" w14:textId="3005D1FA" w:rsidR="008B05EF" w:rsidRPr="007A2187" w:rsidRDefault="008B05EF" w:rsidP="00C433E8">
      <w:pPr>
        <w:rPr>
          <w:rFonts w:cstheme="minorHAnsi"/>
        </w:rPr>
      </w:pPr>
      <w:r w:rsidRPr="007A2187">
        <w:rPr>
          <w:rFonts w:cstheme="minorHAnsi"/>
          <w:b/>
          <w:bCs/>
          <w:i/>
          <w:iCs/>
        </w:rPr>
        <w:t>s c h v</w:t>
      </w:r>
      <w:r w:rsidR="009100E6" w:rsidRPr="007A2187">
        <w:rPr>
          <w:rFonts w:cstheme="minorHAnsi"/>
          <w:b/>
          <w:bCs/>
          <w:i/>
          <w:iCs/>
        </w:rPr>
        <w:t xml:space="preserve"> </w:t>
      </w:r>
      <w:r w:rsidRPr="007A2187">
        <w:rPr>
          <w:rFonts w:cstheme="minorHAnsi"/>
          <w:b/>
          <w:bCs/>
          <w:i/>
          <w:iCs/>
        </w:rPr>
        <w:t>á l i l o</w:t>
      </w:r>
      <w:r w:rsidR="006E47C5" w:rsidRPr="007A2187">
        <w:rPr>
          <w:rFonts w:cstheme="minorHAnsi"/>
          <w:bCs/>
          <w:iCs/>
        </w:rPr>
        <w:t xml:space="preserve">   usnesením č. </w:t>
      </w:r>
      <w:r w:rsidR="00BA5156">
        <w:rPr>
          <w:rFonts w:cstheme="minorHAnsi"/>
          <w:bCs/>
          <w:iCs/>
        </w:rPr>
        <w:t>7</w:t>
      </w:r>
      <w:r w:rsidR="006E47C5" w:rsidRPr="0051578D">
        <w:rPr>
          <w:rFonts w:cstheme="minorHAnsi"/>
          <w:bCs/>
          <w:iCs/>
        </w:rPr>
        <w:t>/</w:t>
      </w:r>
      <w:r w:rsidR="00BD2D82">
        <w:rPr>
          <w:rFonts w:cstheme="minorHAnsi"/>
          <w:bCs/>
          <w:iCs/>
        </w:rPr>
        <w:t>XVI</w:t>
      </w:r>
      <w:r w:rsidR="004D6C7C" w:rsidRPr="0051578D">
        <w:rPr>
          <w:rFonts w:cstheme="minorHAnsi"/>
          <w:bCs/>
          <w:iCs/>
        </w:rPr>
        <w:t>/201</w:t>
      </w:r>
      <w:r w:rsidR="0051578D" w:rsidRPr="0051578D">
        <w:rPr>
          <w:rFonts w:cstheme="minorHAnsi"/>
          <w:bCs/>
          <w:iCs/>
        </w:rPr>
        <w:t>5</w:t>
      </w:r>
    </w:p>
    <w:p w14:paraId="21521958" w14:textId="77777777" w:rsidR="00BA2281" w:rsidRPr="007A2187" w:rsidRDefault="008B05EF" w:rsidP="00C433E8">
      <w:pPr>
        <w:rPr>
          <w:rFonts w:cstheme="minorHAnsi"/>
        </w:rPr>
      </w:pPr>
      <w:r w:rsidRPr="007A2187">
        <w:rPr>
          <w:rFonts w:cstheme="minorHAnsi"/>
          <w:b/>
          <w:bCs/>
          <w:i/>
          <w:iCs/>
        </w:rPr>
        <w:t>k o n t r o l n í</w:t>
      </w:r>
      <w:r w:rsidRPr="007A2187">
        <w:rPr>
          <w:rFonts w:cstheme="minorHAnsi"/>
          <w:bCs/>
          <w:iCs/>
        </w:rPr>
        <w:t xml:space="preserve">   </w:t>
      </w:r>
      <w:r w:rsidRPr="007A2187">
        <w:rPr>
          <w:rFonts w:cstheme="minorHAnsi"/>
          <w:b/>
          <w:bCs/>
          <w:i/>
          <w:iCs/>
        </w:rPr>
        <w:t>z</w:t>
      </w:r>
      <w:r w:rsidR="009100E6" w:rsidRPr="007A2187">
        <w:rPr>
          <w:rFonts w:cstheme="minorHAnsi"/>
          <w:b/>
          <w:bCs/>
          <w:i/>
          <w:iCs/>
        </w:rPr>
        <w:t xml:space="preserve"> </w:t>
      </w:r>
      <w:r w:rsidRPr="007A2187">
        <w:rPr>
          <w:rFonts w:cstheme="minorHAnsi"/>
          <w:b/>
          <w:bCs/>
          <w:i/>
          <w:iCs/>
        </w:rPr>
        <w:t>á v</w:t>
      </w:r>
      <w:r w:rsidR="009100E6" w:rsidRPr="007A2187">
        <w:rPr>
          <w:rFonts w:cstheme="minorHAnsi"/>
          <w:b/>
          <w:bCs/>
          <w:i/>
          <w:iCs/>
        </w:rPr>
        <w:t xml:space="preserve"> </w:t>
      </w:r>
      <w:r w:rsidRPr="007A2187">
        <w:rPr>
          <w:rFonts w:cstheme="minorHAnsi"/>
          <w:b/>
          <w:bCs/>
          <w:i/>
          <w:iCs/>
        </w:rPr>
        <w:t>ě r</w:t>
      </w:r>
      <w:r w:rsidRPr="007A2187">
        <w:rPr>
          <w:rFonts w:cstheme="minorHAnsi"/>
        </w:rPr>
        <w:t xml:space="preserve">   v</w:t>
      </w:r>
      <w:r w:rsidR="009100E6" w:rsidRPr="007A2187">
        <w:rPr>
          <w:rFonts w:cstheme="minorHAnsi"/>
        </w:rPr>
        <w:t xml:space="preserve"> </w:t>
      </w:r>
      <w:r w:rsidRPr="007A2187">
        <w:rPr>
          <w:rFonts w:cstheme="minorHAnsi"/>
        </w:rPr>
        <w:t>tomto znění:</w:t>
      </w:r>
    </w:p>
    <w:p w14:paraId="21521959" w14:textId="77777777" w:rsidR="00021CA5" w:rsidRPr="007A2187" w:rsidRDefault="00021CA5" w:rsidP="00C433E8">
      <w:pPr>
        <w:rPr>
          <w:rFonts w:cstheme="minorHAnsi"/>
          <w:bCs/>
        </w:rPr>
      </w:pPr>
    </w:p>
    <w:p w14:paraId="2152195A" w14:textId="77777777" w:rsidR="00154CB6" w:rsidRPr="007A2187" w:rsidRDefault="00154CB6" w:rsidP="00C433E8">
      <w:pPr>
        <w:rPr>
          <w:rFonts w:cstheme="minorHAnsi"/>
          <w:bCs/>
        </w:rPr>
      </w:pPr>
    </w:p>
    <w:p w14:paraId="2152195B" w14:textId="77777777" w:rsidR="008B05EF" w:rsidRPr="007A2187" w:rsidRDefault="00EF1883" w:rsidP="00C433E8">
      <w:pPr>
        <w:jc w:val="center"/>
        <w:rPr>
          <w:rFonts w:cstheme="minorHAnsi"/>
          <w:b/>
          <w:bCs/>
          <w:sz w:val="28"/>
          <w:szCs w:val="28"/>
        </w:rPr>
      </w:pPr>
      <w:r w:rsidRPr="007A2187">
        <w:rPr>
          <w:rFonts w:cstheme="minorHAnsi"/>
          <w:b/>
          <w:bCs/>
          <w:sz w:val="28"/>
          <w:szCs w:val="28"/>
        </w:rPr>
        <w:t xml:space="preserve">I. </w:t>
      </w:r>
      <w:r w:rsidR="008B05EF" w:rsidRPr="007A2187">
        <w:rPr>
          <w:rFonts w:cstheme="minorHAnsi"/>
          <w:b/>
          <w:bCs/>
          <w:sz w:val="28"/>
          <w:szCs w:val="28"/>
        </w:rPr>
        <w:t>Úvod</w:t>
      </w:r>
    </w:p>
    <w:p w14:paraId="2152195C" w14:textId="77777777" w:rsidR="006921EB" w:rsidRPr="007A2187" w:rsidRDefault="006921EB" w:rsidP="00C433E8">
      <w:pPr>
        <w:rPr>
          <w:rFonts w:cstheme="minorHAnsi"/>
          <w:bCs/>
        </w:rPr>
      </w:pPr>
    </w:p>
    <w:p w14:paraId="6D216C03" w14:textId="750DEE6E" w:rsidR="003A1F9F" w:rsidRPr="007A2187" w:rsidRDefault="003A1F9F" w:rsidP="003A1F9F">
      <w:pPr>
        <w:rPr>
          <w:rFonts w:eastAsia="Times New Roman" w:cs="Times New Roman"/>
          <w:szCs w:val="24"/>
          <w:lang w:eastAsia="cs-CZ"/>
        </w:rPr>
      </w:pPr>
      <w:r w:rsidRPr="007A2187">
        <w:rPr>
          <w:rFonts w:eastAsia="Times New Roman" w:cs="Times New Roman"/>
          <w:b/>
          <w:szCs w:val="24"/>
          <w:lang w:eastAsia="cs-CZ"/>
        </w:rPr>
        <w:t>Zdravotní pojišťovna ministerstva vnitra České republiky</w:t>
      </w:r>
      <w:r w:rsidRPr="007A2187">
        <w:rPr>
          <w:rFonts w:eastAsia="Times New Roman" w:cs="Times New Roman"/>
          <w:szCs w:val="24"/>
          <w:lang w:eastAsia="cs-CZ"/>
        </w:rPr>
        <w:t xml:space="preserve"> byla zřízena ke dni 1. 10. 1992 rozhodnutím Ministerstva práce a sociálních věcí České republiky. </w:t>
      </w:r>
      <w:r w:rsidR="009C1AAC">
        <w:rPr>
          <w:rFonts w:eastAsia="Times New Roman" w:cs="Times New Roman"/>
          <w:szCs w:val="24"/>
          <w:lang w:eastAsia="cs-CZ"/>
        </w:rPr>
        <w:t xml:space="preserve">ZP MV ČR je právnickou osobou. </w:t>
      </w:r>
      <w:r w:rsidRPr="007A2187">
        <w:rPr>
          <w:rFonts w:eastAsia="Times New Roman" w:cs="Times New Roman"/>
          <w:szCs w:val="24"/>
          <w:lang w:eastAsia="cs-CZ"/>
        </w:rPr>
        <w:t xml:space="preserve">Právní základ pro vznik, činnost a zánik </w:t>
      </w:r>
      <w:r w:rsidR="009C1AAC">
        <w:rPr>
          <w:rFonts w:eastAsia="Times New Roman" w:cs="Times New Roman"/>
          <w:szCs w:val="24"/>
          <w:lang w:eastAsia="cs-CZ"/>
        </w:rPr>
        <w:t xml:space="preserve">zaměstnaneckých </w:t>
      </w:r>
      <w:r w:rsidRPr="007A2187">
        <w:rPr>
          <w:rFonts w:eastAsia="Times New Roman" w:cs="Times New Roman"/>
          <w:szCs w:val="24"/>
          <w:lang w:eastAsia="cs-CZ"/>
        </w:rPr>
        <w:t>pojišťoven</w:t>
      </w:r>
      <w:r w:rsidR="009C1AAC">
        <w:rPr>
          <w:rFonts w:eastAsia="Times New Roman" w:cs="Times New Roman"/>
          <w:szCs w:val="24"/>
          <w:lang w:eastAsia="cs-CZ"/>
        </w:rPr>
        <w:t xml:space="preserve"> </w:t>
      </w:r>
      <w:r w:rsidRPr="007A2187">
        <w:rPr>
          <w:rFonts w:eastAsia="Times New Roman" w:cs="Times New Roman"/>
          <w:szCs w:val="24"/>
          <w:lang w:eastAsia="cs-CZ"/>
        </w:rPr>
        <w:t xml:space="preserve">je dán </w:t>
      </w:r>
      <w:r w:rsidR="00F2181A" w:rsidRPr="007A2187">
        <w:rPr>
          <w:rFonts w:eastAsia="Times New Roman" w:cs="Times New Roman"/>
          <w:szCs w:val="24"/>
          <w:lang w:eastAsia="cs-CZ"/>
        </w:rPr>
        <w:t>zákonem č. 280/1992 Sb.</w:t>
      </w:r>
      <w:r w:rsidR="00F2181A" w:rsidRPr="007A2187">
        <w:rPr>
          <w:rFonts w:eastAsia="Times New Roman" w:cs="Times New Roman"/>
          <w:szCs w:val="24"/>
          <w:vertAlign w:val="superscript"/>
          <w:lang w:eastAsia="cs-CZ"/>
        </w:rPr>
        <w:footnoteReference w:id="2"/>
      </w:r>
      <w:r w:rsidRPr="007A2187">
        <w:rPr>
          <w:rFonts w:eastAsia="Times New Roman" w:cs="Times New Roman"/>
          <w:szCs w:val="24"/>
          <w:lang w:eastAsia="cs-CZ"/>
        </w:rPr>
        <w:t xml:space="preserve"> ZP MV ČR je </w:t>
      </w:r>
      <w:r w:rsidR="009C1AAC">
        <w:rPr>
          <w:rFonts w:eastAsia="Times New Roman" w:cs="Times New Roman"/>
          <w:szCs w:val="24"/>
          <w:lang w:eastAsia="cs-CZ"/>
        </w:rPr>
        <w:t>zaměstnaneckou pojišťovnou</w:t>
      </w:r>
      <w:r w:rsidRPr="007A2187">
        <w:rPr>
          <w:rFonts w:eastAsia="Times New Roman" w:cs="Times New Roman"/>
          <w:szCs w:val="24"/>
          <w:lang w:eastAsia="cs-CZ"/>
        </w:rPr>
        <w:t xml:space="preserve"> pro pojištěnce, kteří jsou u ní zaregistrováni. </w:t>
      </w:r>
      <w:r w:rsidR="0092148E">
        <w:rPr>
          <w:rFonts w:eastAsia="Times New Roman" w:cs="Times New Roman"/>
          <w:szCs w:val="24"/>
          <w:lang w:eastAsia="cs-CZ"/>
        </w:rPr>
        <w:t>ZP MV ČR</w:t>
      </w:r>
      <w:r w:rsidR="0092148E" w:rsidRPr="007A2187">
        <w:rPr>
          <w:rFonts w:eastAsia="Times New Roman" w:cs="Times New Roman"/>
          <w:szCs w:val="24"/>
          <w:lang w:eastAsia="cs-CZ"/>
        </w:rPr>
        <w:t xml:space="preserve"> </w:t>
      </w:r>
      <w:r w:rsidRPr="007A2187">
        <w:rPr>
          <w:rFonts w:eastAsia="Times New Roman" w:cs="Times New Roman"/>
          <w:szCs w:val="24"/>
          <w:lang w:eastAsia="cs-CZ"/>
        </w:rPr>
        <w:t xml:space="preserve">zejména provádí </w:t>
      </w:r>
      <w:r w:rsidR="009C1AAC">
        <w:rPr>
          <w:rFonts w:eastAsia="Times New Roman" w:cs="Times New Roman"/>
          <w:szCs w:val="24"/>
          <w:lang w:eastAsia="cs-CZ"/>
        </w:rPr>
        <w:t>a</w:t>
      </w:r>
      <w:r w:rsidR="00745367">
        <w:rPr>
          <w:rFonts w:eastAsia="Times New Roman" w:cs="Times New Roman"/>
          <w:szCs w:val="24"/>
          <w:lang w:eastAsia="cs-CZ"/>
        </w:rPr>
        <w:t xml:space="preserve"> </w:t>
      </w:r>
      <w:r w:rsidR="009C1AAC">
        <w:rPr>
          <w:rFonts w:eastAsia="Times New Roman" w:cs="Times New Roman"/>
          <w:szCs w:val="24"/>
          <w:lang w:eastAsia="cs-CZ"/>
        </w:rPr>
        <w:t xml:space="preserve">kontroluje </w:t>
      </w:r>
      <w:r w:rsidRPr="007A2187">
        <w:rPr>
          <w:rFonts w:eastAsia="Times New Roman" w:cs="Times New Roman"/>
          <w:szCs w:val="24"/>
          <w:lang w:eastAsia="cs-CZ"/>
        </w:rPr>
        <w:t xml:space="preserve">výběr pojistného na </w:t>
      </w:r>
      <w:r w:rsidR="00A00460">
        <w:rPr>
          <w:rFonts w:eastAsia="Times New Roman" w:cs="Times New Roman"/>
          <w:szCs w:val="24"/>
          <w:lang w:eastAsia="cs-CZ"/>
        </w:rPr>
        <w:t xml:space="preserve">veřejné </w:t>
      </w:r>
      <w:r w:rsidR="009C1AAC">
        <w:rPr>
          <w:rFonts w:eastAsia="Times New Roman" w:cs="Times New Roman"/>
          <w:szCs w:val="24"/>
          <w:lang w:eastAsia="cs-CZ"/>
        </w:rPr>
        <w:lastRenderedPageBreak/>
        <w:t xml:space="preserve">zdravotní pojištění </w:t>
      </w:r>
      <w:r w:rsidRPr="007A2187">
        <w:rPr>
          <w:rFonts w:eastAsia="Times New Roman" w:cs="Times New Roman"/>
          <w:szCs w:val="24"/>
          <w:lang w:eastAsia="cs-CZ"/>
        </w:rPr>
        <w:t>a zprostředkovává úhradu nákladů za poskytnuté zdravotní služby hrazené z prostředků veřejného zdravotního pojištění v souladu s právními předpisy</w:t>
      </w:r>
      <w:r w:rsidR="00BE0FA5">
        <w:rPr>
          <w:rFonts w:eastAsia="Times New Roman" w:cs="Times New Roman"/>
          <w:szCs w:val="24"/>
          <w:lang w:eastAsia="cs-CZ"/>
        </w:rPr>
        <w:t xml:space="preserve"> ČR</w:t>
      </w:r>
      <w:r w:rsidRPr="007A2187">
        <w:rPr>
          <w:rFonts w:eastAsia="Times New Roman" w:cs="Times New Roman"/>
          <w:szCs w:val="24"/>
          <w:lang w:eastAsia="cs-CZ"/>
        </w:rPr>
        <w:t xml:space="preserve"> a na základě uzavřených mezi</w:t>
      </w:r>
      <w:r w:rsidR="00BE0FA5">
        <w:rPr>
          <w:rFonts w:eastAsia="Times New Roman" w:cs="Times New Roman"/>
          <w:szCs w:val="24"/>
          <w:lang w:eastAsia="cs-CZ"/>
        </w:rPr>
        <w:t>národních</w:t>
      </w:r>
      <w:r w:rsidRPr="007A2187">
        <w:rPr>
          <w:rFonts w:eastAsia="Times New Roman" w:cs="Times New Roman"/>
          <w:szCs w:val="24"/>
          <w:lang w:eastAsia="cs-CZ"/>
        </w:rPr>
        <w:t xml:space="preserve"> smluv</w:t>
      </w:r>
      <w:r w:rsidR="00BE0FA5">
        <w:rPr>
          <w:rFonts w:eastAsia="Times New Roman" w:cs="Times New Roman"/>
          <w:szCs w:val="24"/>
          <w:lang w:eastAsia="cs-CZ"/>
        </w:rPr>
        <w:t>, jimiž je ČR vázána, mající</w:t>
      </w:r>
      <w:r w:rsidR="00745367">
        <w:rPr>
          <w:rFonts w:eastAsia="Times New Roman" w:cs="Times New Roman"/>
          <w:szCs w:val="24"/>
          <w:lang w:eastAsia="cs-CZ"/>
        </w:rPr>
        <w:t>ch</w:t>
      </w:r>
      <w:r w:rsidR="00BE0FA5">
        <w:rPr>
          <w:rFonts w:eastAsia="Times New Roman" w:cs="Times New Roman"/>
          <w:szCs w:val="24"/>
          <w:lang w:eastAsia="cs-CZ"/>
        </w:rPr>
        <w:t xml:space="preserve"> vztah ke zdravotnímu pojištění</w:t>
      </w:r>
      <w:r w:rsidRPr="007A2187">
        <w:rPr>
          <w:rFonts w:eastAsia="Times New Roman" w:cs="Times New Roman"/>
          <w:szCs w:val="24"/>
          <w:lang w:eastAsia="cs-CZ"/>
        </w:rPr>
        <w:t>.</w:t>
      </w:r>
    </w:p>
    <w:p w14:paraId="3639AC25" w14:textId="77777777" w:rsidR="003A1F9F" w:rsidRPr="007A2187" w:rsidRDefault="003A1F9F" w:rsidP="003A1F9F">
      <w:pPr>
        <w:rPr>
          <w:rFonts w:eastAsia="Times New Roman" w:cs="Times New Roman"/>
          <w:szCs w:val="24"/>
          <w:lang w:eastAsia="cs-CZ"/>
        </w:rPr>
      </w:pPr>
    </w:p>
    <w:p w14:paraId="3FCB5B81" w14:textId="6E88F120" w:rsidR="009B178B" w:rsidRDefault="009B178B" w:rsidP="003A1F9F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ZP MV ČR je veřejnoprávní subjekt, který hospodaří s finančními prostředky vybíranými na základě zákona</w:t>
      </w:r>
      <w:r>
        <w:rPr>
          <w:rStyle w:val="Znakapoznpodarou"/>
          <w:rFonts w:eastAsia="Times New Roman" w:cs="Times New Roman"/>
          <w:szCs w:val="24"/>
          <w:lang w:eastAsia="cs-CZ"/>
        </w:rPr>
        <w:footnoteReference w:id="3"/>
      </w:r>
      <w:r>
        <w:rPr>
          <w:rFonts w:eastAsia="Times New Roman" w:cs="Times New Roman"/>
          <w:szCs w:val="24"/>
          <w:lang w:eastAsia="cs-CZ"/>
        </w:rPr>
        <w:t>.</w:t>
      </w:r>
    </w:p>
    <w:p w14:paraId="57E27274" w14:textId="77777777" w:rsidR="009B178B" w:rsidRDefault="009B178B" w:rsidP="003A1F9F">
      <w:pPr>
        <w:rPr>
          <w:rFonts w:eastAsia="Times New Roman" w:cs="Times New Roman"/>
          <w:szCs w:val="24"/>
          <w:lang w:eastAsia="cs-CZ"/>
        </w:rPr>
      </w:pPr>
    </w:p>
    <w:p w14:paraId="5D8DE76C" w14:textId="22A1E8A4" w:rsidR="003A1F9F" w:rsidRPr="007A2187" w:rsidRDefault="003A1F9F" w:rsidP="003A1F9F">
      <w:pPr>
        <w:rPr>
          <w:rFonts w:eastAsia="Times New Roman" w:cs="Times New Roman"/>
          <w:szCs w:val="24"/>
          <w:lang w:eastAsia="cs-CZ"/>
        </w:rPr>
      </w:pPr>
      <w:r w:rsidRPr="007A2187">
        <w:rPr>
          <w:rFonts w:eastAsia="Times New Roman" w:cs="Times New Roman"/>
          <w:szCs w:val="24"/>
          <w:lang w:eastAsia="cs-CZ"/>
        </w:rPr>
        <w:t>Organizační struktur</w:t>
      </w:r>
      <w:r w:rsidR="009C1AAC">
        <w:rPr>
          <w:rFonts w:eastAsia="Times New Roman" w:cs="Times New Roman"/>
          <w:szCs w:val="24"/>
          <w:lang w:eastAsia="cs-CZ"/>
        </w:rPr>
        <w:t>u t</w:t>
      </w:r>
      <w:r w:rsidRPr="007A2187">
        <w:rPr>
          <w:rFonts w:eastAsia="Times New Roman" w:cs="Times New Roman"/>
          <w:szCs w:val="24"/>
          <w:lang w:eastAsia="cs-CZ"/>
        </w:rPr>
        <w:t xml:space="preserve">voří ředitelství </w:t>
      </w:r>
      <w:r w:rsidR="003C329B">
        <w:rPr>
          <w:rFonts w:eastAsia="Times New Roman" w:cs="Times New Roman"/>
          <w:szCs w:val="24"/>
          <w:lang w:eastAsia="cs-CZ"/>
        </w:rPr>
        <w:t>a jím řízené</w:t>
      </w:r>
      <w:r w:rsidRPr="007A2187">
        <w:rPr>
          <w:rFonts w:eastAsia="Times New Roman" w:cs="Times New Roman"/>
          <w:szCs w:val="24"/>
          <w:lang w:eastAsia="cs-CZ"/>
        </w:rPr>
        <w:t xml:space="preserve"> poboč</w:t>
      </w:r>
      <w:r w:rsidR="003C329B">
        <w:rPr>
          <w:rFonts w:eastAsia="Times New Roman" w:cs="Times New Roman"/>
          <w:szCs w:val="24"/>
          <w:lang w:eastAsia="cs-CZ"/>
        </w:rPr>
        <w:t>ky</w:t>
      </w:r>
      <w:r w:rsidRPr="007A2187">
        <w:rPr>
          <w:rFonts w:eastAsia="Times New Roman" w:cs="Times New Roman"/>
          <w:szCs w:val="24"/>
          <w:lang w:eastAsia="cs-CZ"/>
        </w:rPr>
        <w:t xml:space="preserve"> umístěn</w:t>
      </w:r>
      <w:r w:rsidR="003C329B">
        <w:rPr>
          <w:rFonts w:eastAsia="Times New Roman" w:cs="Times New Roman"/>
          <w:szCs w:val="24"/>
          <w:lang w:eastAsia="cs-CZ"/>
        </w:rPr>
        <w:t>é</w:t>
      </w:r>
      <w:r w:rsidRPr="007A2187">
        <w:rPr>
          <w:rFonts w:eastAsia="Times New Roman" w:cs="Times New Roman"/>
          <w:szCs w:val="24"/>
          <w:lang w:eastAsia="cs-CZ"/>
        </w:rPr>
        <w:t xml:space="preserve"> v</w:t>
      </w:r>
      <w:r w:rsidR="003C329B">
        <w:rPr>
          <w:rFonts w:eastAsia="Times New Roman" w:cs="Times New Roman"/>
          <w:szCs w:val="24"/>
          <w:lang w:eastAsia="cs-CZ"/>
        </w:rPr>
        <w:t> </w:t>
      </w:r>
      <w:r w:rsidRPr="007A2187">
        <w:rPr>
          <w:rFonts w:eastAsia="Times New Roman" w:cs="Times New Roman"/>
          <w:szCs w:val="24"/>
          <w:lang w:eastAsia="cs-CZ"/>
        </w:rPr>
        <w:t xml:space="preserve">jednotlivých regionech. Pobočky jsou organizačními složkami </w:t>
      </w:r>
      <w:r w:rsidR="003C329B">
        <w:rPr>
          <w:rFonts w:eastAsia="Times New Roman" w:cs="Times New Roman"/>
          <w:szCs w:val="24"/>
          <w:lang w:eastAsia="cs-CZ"/>
        </w:rPr>
        <w:t xml:space="preserve">pojišťovny </w:t>
      </w:r>
      <w:r w:rsidRPr="007A2187">
        <w:rPr>
          <w:rFonts w:eastAsia="Times New Roman" w:cs="Times New Roman"/>
          <w:szCs w:val="24"/>
          <w:lang w:eastAsia="cs-CZ"/>
        </w:rPr>
        <w:t>(nemaj</w:t>
      </w:r>
      <w:r w:rsidR="0051578D">
        <w:rPr>
          <w:rFonts w:eastAsia="Times New Roman" w:cs="Times New Roman"/>
          <w:szCs w:val="24"/>
          <w:lang w:eastAsia="cs-CZ"/>
        </w:rPr>
        <w:t xml:space="preserve">í právní </w:t>
      </w:r>
      <w:r w:rsidR="008E3617">
        <w:rPr>
          <w:rFonts w:eastAsia="Times New Roman" w:cs="Times New Roman"/>
          <w:szCs w:val="24"/>
          <w:lang w:eastAsia="cs-CZ"/>
        </w:rPr>
        <w:t>osobnost</w:t>
      </w:r>
      <w:r w:rsidR="0051578D">
        <w:rPr>
          <w:rFonts w:eastAsia="Times New Roman" w:cs="Times New Roman"/>
          <w:szCs w:val="24"/>
          <w:lang w:eastAsia="cs-CZ"/>
        </w:rPr>
        <w:t xml:space="preserve"> a </w:t>
      </w:r>
      <w:r w:rsidRPr="007A2187">
        <w:rPr>
          <w:rFonts w:eastAsia="Times New Roman" w:cs="Times New Roman"/>
          <w:szCs w:val="24"/>
          <w:lang w:eastAsia="cs-CZ"/>
        </w:rPr>
        <w:t>vykonávají činnost jménem pojišťovny). ZP MV ČR má pobočky v Praze, v Brně a dále sloučené pobočky Ústí nad Labem a Hradec Králové, České Budějov</w:t>
      </w:r>
      <w:r w:rsidR="0051578D">
        <w:rPr>
          <w:rFonts w:eastAsia="Times New Roman" w:cs="Times New Roman"/>
          <w:szCs w:val="24"/>
          <w:lang w:eastAsia="cs-CZ"/>
        </w:rPr>
        <w:t>ice a Plzeň, Olomouc a </w:t>
      </w:r>
      <w:r w:rsidR="007F14DF" w:rsidRPr="007A2187">
        <w:rPr>
          <w:rFonts w:eastAsia="Times New Roman" w:cs="Times New Roman"/>
          <w:szCs w:val="24"/>
          <w:lang w:eastAsia="cs-CZ"/>
        </w:rPr>
        <w:t>Ostrava.</w:t>
      </w:r>
    </w:p>
    <w:p w14:paraId="1C8FF506" w14:textId="77777777" w:rsidR="007F14DF" w:rsidRPr="007A2187" w:rsidRDefault="007F14DF" w:rsidP="003A1F9F">
      <w:pPr>
        <w:rPr>
          <w:rFonts w:eastAsia="Times New Roman" w:cs="Times New Roman"/>
          <w:szCs w:val="24"/>
          <w:lang w:eastAsia="cs-CZ"/>
        </w:rPr>
      </w:pPr>
    </w:p>
    <w:p w14:paraId="1403996C" w14:textId="19A88750" w:rsidR="007F14DF" w:rsidRPr="00FE60C5" w:rsidRDefault="00C7382F" w:rsidP="00C7382F">
      <w:pPr>
        <w:pStyle w:val="Nzevtabulky"/>
        <w:numPr>
          <w:ilvl w:val="0"/>
          <w:numId w:val="0"/>
        </w:numPr>
        <w:rPr>
          <w:b/>
        </w:rPr>
      </w:pPr>
      <w:r w:rsidRPr="00FE60C5">
        <w:rPr>
          <w:b/>
        </w:rPr>
        <w:t xml:space="preserve">Tabulka č. 1 – </w:t>
      </w:r>
      <w:r w:rsidR="007F14DF" w:rsidRPr="00FE60C5">
        <w:rPr>
          <w:b/>
        </w:rPr>
        <w:t>Základní informace o ZP MV ČR</w:t>
      </w:r>
    </w:p>
    <w:tbl>
      <w:tblPr>
        <w:tblStyle w:val="Mkatabulky1"/>
        <w:tblW w:w="4912" w:type="pct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992"/>
        <w:gridCol w:w="993"/>
        <w:gridCol w:w="993"/>
        <w:gridCol w:w="993"/>
      </w:tblGrid>
      <w:tr w:rsidR="003A1F9F" w:rsidRPr="007A2187" w14:paraId="5223CE20" w14:textId="77777777" w:rsidTr="00FE60C5">
        <w:tc>
          <w:tcPr>
            <w:tcW w:w="28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EBC92A3" w14:textId="77777777" w:rsidR="003A1F9F" w:rsidRPr="007A2187" w:rsidRDefault="003A1F9F" w:rsidP="003A1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3522EBD" w14:textId="77777777" w:rsidR="003A1F9F" w:rsidRPr="007A2187" w:rsidRDefault="003A1F9F" w:rsidP="003A1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2011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2D7D2FD" w14:textId="77777777" w:rsidR="003A1F9F" w:rsidRPr="007A2187" w:rsidRDefault="003A1F9F" w:rsidP="003A1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2012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CC614F1" w14:textId="77777777" w:rsidR="003A1F9F" w:rsidRPr="007A2187" w:rsidRDefault="003A1F9F" w:rsidP="003A1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2013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061E4403" w14:textId="77777777" w:rsidR="003A1F9F" w:rsidRPr="007A2187" w:rsidRDefault="003A1F9F" w:rsidP="003A1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2014</w:t>
            </w:r>
          </w:p>
        </w:tc>
      </w:tr>
      <w:tr w:rsidR="003A1F9F" w:rsidRPr="007A2187" w14:paraId="1CC996C5" w14:textId="77777777" w:rsidTr="007F14DF">
        <w:tc>
          <w:tcPr>
            <w:tcW w:w="2824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A793D1" w14:textId="77777777" w:rsidR="003A1F9F" w:rsidRPr="007A2187" w:rsidRDefault="003A1F9F" w:rsidP="003A1F9F">
            <w:pPr>
              <w:jc w:val="lef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Průměrný počet pojištěnců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DE8BDF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1 145 460</w:t>
            </w:r>
          </w:p>
        </w:tc>
        <w:tc>
          <w:tcPr>
            <w:tcW w:w="544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1A8C6C6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1 186 766</w:t>
            </w:r>
          </w:p>
        </w:tc>
        <w:tc>
          <w:tcPr>
            <w:tcW w:w="544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2DE6ED4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1 205 627</w:t>
            </w:r>
          </w:p>
        </w:tc>
        <w:tc>
          <w:tcPr>
            <w:tcW w:w="544" w:type="pct"/>
            <w:tcBorders>
              <w:top w:val="single" w:sz="12" w:space="0" w:color="auto"/>
              <w:bottom w:val="dotted" w:sz="4" w:space="0" w:color="auto"/>
            </w:tcBorders>
          </w:tcPr>
          <w:p w14:paraId="2A4E66C7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color w:val="000000"/>
                <w:sz w:val="16"/>
                <w:szCs w:val="16"/>
              </w:rPr>
              <w:t>1 239 890</w:t>
            </w:r>
          </w:p>
        </w:tc>
      </w:tr>
      <w:tr w:rsidR="003A1F9F" w:rsidRPr="007A2187" w14:paraId="12CBC8F1" w14:textId="77777777" w:rsidTr="007F14DF">
        <w:tc>
          <w:tcPr>
            <w:tcW w:w="282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A9D011" w14:textId="38669C65" w:rsidR="003A1F9F" w:rsidRPr="007A2187" w:rsidRDefault="00C7382F" w:rsidP="003A1F9F">
            <w:pPr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3A1F9F" w:rsidRPr="007A2187">
              <w:rPr>
                <w:rFonts w:cstheme="minorHAnsi"/>
                <w:sz w:val="16"/>
                <w:szCs w:val="16"/>
              </w:rPr>
              <w:t xml:space="preserve"> toho: státní pojištěnci</w:t>
            </w:r>
          </w:p>
        </w:tc>
        <w:tc>
          <w:tcPr>
            <w:tcW w:w="5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9A0077A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631 985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B8AFE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655 744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00A8B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668 340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</w:tcPr>
          <w:p w14:paraId="444128EC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color w:val="000000"/>
                <w:sz w:val="16"/>
                <w:szCs w:val="16"/>
              </w:rPr>
              <w:t>685 844</w:t>
            </w:r>
          </w:p>
        </w:tc>
      </w:tr>
      <w:tr w:rsidR="003A1F9F" w:rsidRPr="007A2187" w14:paraId="51E100E8" w14:textId="77777777" w:rsidTr="007F14DF">
        <w:tc>
          <w:tcPr>
            <w:tcW w:w="282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E88BE9" w14:textId="77777777" w:rsidR="003A1F9F" w:rsidRPr="007A2187" w:rsidRDefault="003A1F9F" w:rsidP="003A1F9F">
            <w:pPr>
              <w:jc w:val="lef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Počet pojištěnců k 31. 12.</w:t>
            </w:r>
          </w:p>
        </w:tc>
        <w:tc>
          <w:tcPr>
            <w:tcW w:w="5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4C32A0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1 157 355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EFAD1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1 186 964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903D6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1 207 918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</w:tcPr>
          <w:p w14:paraId="4784EF66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color w:val="000000"/>
                <w:sz w:val="16"/>
                <w:szCs w:val="16"/>
              </w:rPr>
              <w:t>1 242 194</w:t>
            </w:r>
          </w:p>
        </w:tc>
      </w:tr>
      <w:tr w:rsidR="003A1F9F" w:rsidRPr="007A2187" w14:paraId="49C1BC26" w14:textId="77777777" w:rsidTr="007F14DF">
        <w:tc>
          <w:tcPr>
            <w:tcW w:w="2824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CB0DA" w14:textId="538A923D" w:rsidR="003A1F9F" w:rsidRPr="007A2187" w:rsidRDefault="00C7382F" w:rsidP="003A1F9F">
            <w:pPr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3A1F9F" w:rsidRPr="007A2187">
              <w:rPr>
                <w:rFonts w:cstheme="minorHAnsi"/>
                <w:sz w:val="16"/>
                <w:szCs w:val="16"/>
              </w:rPr>
              <w:t xml:space="preserve"> toho: státní pojištěnci</w:t>
            </w:r>
          </w:p>
        </w:tc>
        <w:tc>
          <w:tcPr>
            <w:tcW w:w="54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497C99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638 085</w:t>
            </w:r>
          </w:p>
        </w:tc>
        <w:tc>
          <w:tcPr>
            <w:tcW w:w="544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3DFEE0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657 230</w:t>
            </w:r>
          </w:p>
        </w:tc>
        <w:tc>
          <w:tcPr>
            <w:tcW w:w="544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167DCF8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667 710</w:t>
            </w:r>
          </w:p>
        </w:tc>
        <w:tc>
          <w:tcPr>
            <w:tcW w:w="544" w:type="pct"/>
            <w:tcBorders>
              <w:top w:val="dotted" w:sz="4" w:space="0" w:color="auto"/>
              <w:bottom w:val="single" w:sz="12" w:space="0" w:color="auto"/>
            </w:tcBorders>
          </w:tcPr>
          <w:p w14:paraId="38951134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color w:val="000000"/>
                <w:sz w:val="16"/>
                <w:szCs w:val="16"/>
              </w:rPr>
              <w:t>683 989</w:t>
            </w:r>
          </w:p>
        </w:tc>
      </w:tr>
      <w:tr w:rsidR="003A1F9F" w:rsidRPr="007A2187" w14:paraId="3F7AC477" w14:textId="77777777" w:rsidTr="009B178B">
        <w:tc>
          <w:tcPr>
            <w:tcW w:w="2824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C8CE5" w14:textId="38235886" w:rsidR="003A1F9F" w:rsidRPr="007A2187" w:rsidRDefault="003A1F9F" w:rsidP="009B178B">
            <w:pPr>
              <w:jc w:val="lef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 xml:space="preserve">Průměrný přepočtený </w:t>
            </w:r>
            <w:r w:rsidR="00EB68B7">
              <w:rPr>
                <w:rFonts w:cstheme="minorHAnsi"/>
                <w:sz w:val="16"/>
                <w:szCs w:val="16"/>
              </w:rPr>
              <w:t>počet</w:t>
            </w:r>
            <w:r w:rsidR="006652ED">
              <w:rPr>
                <w:rFonts w:cstheme="minorHAnsi"/>
                <w:sz w:val="16"/>
                <w:szCs w:val="16"/>
              </w:rPr>
              <w:t xml:space="preserve"> zaměstnanců</w:t>
            </w:r>
          </w:p>
        </w:tc>
        <w:tc>
          <w:tcPr>
            <w:tcW w:w="54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65ED42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616</w:t>
            </w:r>
          </w:p>
        </w:tc>
        <w:tc>
          <w:tcPr>
            <w:tcW w:w="544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4BBC11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598</w:t>
            </w:r>
          </w:p>
        </w:tc>
        <w:tc>
          <w:tcPr>
            <w:tcW w:w="544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7AAFC5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585</w:t>
            </w:r>
          </w:p>
        </w:tc>
        <w:tc>
          <w:tcPr>
            <w:tcW w:w="544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B5E764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579</w:t>
            </w:r>
          </w:p>
        </w:tc>
      </w:tr>
      <w:tr w:rsidR="003A1F9F" w:rsidRPr="007A2187" w14:paraId="460B625D" w14:textId="77777777" w:rsidTr="00FE60C5">
        <w:tc>
          <w:tcPr>
            <w:tcW w:w="28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3CFDA9A" w14:textId="77777777" w:rsidR="003A1F9F" w:rsidRPr="007A2187" w:rsidRDefault="003A1F9F" w:rsidP="003A1F9F">
            <w:pPr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80229D3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v tis. Kč</w:t>
            </w:r>
          </w:p>
        </w:tc>
      </w:tr>
      <w:tr w:rsidR="003A1F9F" w:rsidRPr="007A2187" w14:paraId="67E6BD7B" w14:textId="77777777" w:rsidTr="007F14DF">
        <w:tc>
          <w:tcPr>
            <w:tcW w:w="2824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C9540A" w14:textId="6AB0DC3D" w:rsidR="003A1F9F" w:rsidRPr="007A2187" w:rsidRDefault="003A1F9F" w:rsidP="003A1F9F">
            <w:pPr>
              <w:jc w:val="lef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Pojistné z veř. zdrav. pojištění po přerozdělo</w:t>
            </w:r>
            <w:r w:rsidR="00C4172C">
              <w:rPr>
                <w:rFonts w:cstheme="minorHAnsi"/>
                <w:sz w:val="16"/>
                <w:szCs w:val="16"/>
              </w:rPr>
              <w:t xml:space="preserve">vání podle § 20 a </w:t>
            </w:r>
            <w:r w:rsidR="00C7382F">
              <w:rPr>
                <w:rFonts w:cstheme="minorHAnsi"/>
                <w:sz w:val="16"/>
                <w:szCs w:val="16"/>
              </w:rPr>
              <w:t xml:space="preserve">§ </w:t>
            </w:r>
            <w:r w:rsidR="00C4172C">
              <w:rPr>
                <w:rFonts w:cstheme="minorHAnsi"/>
                <w:sz w:val="16"/>
                <w:szCs w:val="16"/>
              </w:rPr>
              <w:t>21a zákona č. </w:t>
            </w:r>
            <w:r w:rsidRPr="007A2187">
              <w:rPr>
                <w:rFonts w:cstheme="minorHAnsi"/>
                <w:sz w:val="16"/>
                <w:szCs w:val="16"/>
              </w:rPr>
              <w:t>592/1992 Sb. (tvorba)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FA9DDB2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21 929 706</w:t>
            </w:r>
          </w:p>
        </w:tc>
        <w:tc>
          <w:tcPr>
            <w:tcW w:w="544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2AADC3D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23 501 641</w:t>
            </w:r>
          </w:p>
        </w:tc>
        <w:tc>
          <w:tcPr>
            <w:tcW w:w="544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FD003A0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24 205 563</w:t>
            </w:r>
          </w:p>
        </w:tc>
        <w:tc>
          <w:tcPr>
            <w:tcW w:w="544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A27E770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26 405 589</w:t>
            </w:r>
          </w:p>
        </w:tc>
      </w:tr>
      <w:tr w:rsidR="003A1F9F" w:rsidRPr="007A2187" w14:paraId="3BBE3030" w14:textId="77777777" w:rsidTr="007F14DF">
        <w:tc>
          <w:tcPr>
            <w:tcW w:w="282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FFF306" w14:textId="087B9139" w:rsidR="003A1F9F" w:rsidRPr="007A2187" w:rsidRDefault="003A1F9F" w:rsidP="00510402">
            <w:pPr>
              <w:jc w:val="lef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 xml:space="preserve">Celkové náklady na zdravotní služby hrazené ze </w:t>
            </w:r>
            <w:r w:rsidR="00510402">
              <w:rPr>
                <w:rFonts w:cstheme="minorHAnsi"/>
                <w:sz w:val="16"/>
                <w:szCs w:val="16"/>
              </w:rPr>
              <w:t>základního fondu</w:t>
            </w:r>
          </w:p>
        </w:tc>
        <w:tc>
          <w:tcPr>
            <w:tcW w:w="5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B1AF0C5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21 271 655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362E6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22 532 135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5E745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23 520 992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</w:tcPr>
          <w:p w14:paraId="5CC63A7A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26 118 875</w:t>
            </w:r>
          </w:p>
        </w:tc>
      </w:tr>
      <w:tr w:rsidR="003A1F9F" w:rsidRPr="007A2187" w14:paraId="55C8A823" w14:textId="77777777" w:rsidTr="007F14DF">
        <w:tc>
          <w:tcPr>
            <w:tcW w:w="282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4B816D" w14:textId="1DFDF1B8" w:rsidR="003A1F9F" w:rsidRPr="007A2187" w:rsidRDefault="003A1F9F" w:rsidP="000F3E91">
            <w:pPr>
              <w:jc w:val="lef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Konečný zůstatek základního fondu k 31.</w:t>
            </w:r>
            <w:r w:rsidR="00C7382F">
              <w:rPr>
                <w:rFonts w:cstheme="minorHAnsi"/>
                <w:sz w:val="16"/>
                <w:szCs w:val="16"/>
              </w:rPr>
              <w:t> </w:t>
            </w:r>
            <w:r w:rsidRPr="007A2187">
              <w:rPr>
                <w:rFonts w:cstheme="minorHAnsi"/>
                <w:sz w:val="16"/>
                <w:szCs w:val="16"/>
              </w:rPr>
              <w:t>12</w:t>
            </w:r>
            <w:r w:rsidR="00C9111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B0D9DD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3 371 893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2ADA7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3 497 715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CCC9C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3 192 378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</w:tcPr>
          <w:p w14:paraId="3A7280EC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2 576 432</w:t>
            </w:r>
          </w:p>
        </w:tc>
      </w:tr>
      <w:tr w:rsidR="003A1F9F" w:rsidRPr="007A2187" w14:paraId="1A40C5C9" w14:textId="77777777" w:rsidTr="007F14DF">
        <w:tc>
          <w:tcPr>
            <w:tcW w:w="2824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72EB8" w14:textId="77777777" w:rsidR="003A1F9F" w:rsidRPr="007A2187" w:rsidRDefault="003A1F9F" w:rsidP="003A1F9F">
            <w:pPr>
              <w:jc w:val="lef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Závazky vůči poskytovatelům zdravotních služeb po lhůtě splatnosti</w:t>
            </w:r>
          </w:p>
        </w:tc>
        <w:tc>
          <w:tcPr>
            <w:tcW w:w="54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00D0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4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D441FB3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4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8104B3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4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9E055F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3A1F9F" w:rsidRPr="007A2187" w14:paraId="7D947AD6" w14:textId="77777777" w:rsidTr="007F14DF">
        <w:tc>
          <w:tcPr>
            <w:tcW w:w="2824" w:type="pct"/>
            <w:tcBorders>
              <w:right w:val="single" w:sz="12" w:space="0" w:color="auto"/>
            </w:tcBorders>
            <w:vAlign w:val="center"/>
          </w:tcPr>
          <w:p w14:paraId="41F0734E" w14:textId="06191185" w:rsidR="003A1F9F" w:rsidRPr="007A2187" w:rsidRDefault="003A1F9F" w:rsidP="00C7382F">
            <w:pPr>
              <w:jc w:val="lef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Stav dlouhodobého majetku včetně poskytovaných záloh k 31. 12.</w:t>
            </w:r>
          </w:p>
        </w:tc>
        <w:tc>
          <w:tcPr>
            <w:tcW w:w="544" w:type="pct"/>
            <w:tcBorders>
              <w:left w:val="single" w:sz="12" w:space="0" w:color="auto"/>
            </w:tcBorders>
            <w:vAlign w:val="center"/>
          </w:tcPr>
          <w:p w14:paraId="40845585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460 643</w:t>
            </w:r>
          </w:p>
        </w:tc>
        <w:tc>
          <w:tcPr>
            <w:tcW w:w="544" w:type="pct"/>
            <w:vAlign w:val="center"/>
          </w:tcPr>
          <w:p w14:paraId="2FD1B585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422 474</w:t>
            </w:r>
          </w:p>
        </w:tc>
        <w:tc>
          <w:tcPr>
            <w:tcW w:w="544" w:type="pct"/>
            <w:vAlign w:val="center"/>
          </w:tcPr>
          <w:p w14:paraId="1B2D7FDE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348 963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B8F253D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266 918</w:t>
            </w:r>
          </w:p>
        </w:tc>
      </w:tr>
      <w:tr w:rsidR="003A1F9F" w:rsidRPr="007A2187" w14:paraId="2B5077A7" w14:textId="77777777" w:rsidTr="007F14DF">
        <w:tc>
          <w:tcPr>
            <w:tcW w:w="2824" w:type="pct"/>
            <w:tcBorders>
              <w:right w:val="single" w:sz="12" w:space="0" w:color="auto"/>
            </w:tcBorders>
            <w:vAlign w:val="center"/>
          </w:tcPr>
          <w:p w14:paraId="4439503D" w14:textId="18677718" w:rsidR="003A1F9F" w:rsidRPr="007A2187" w:rsidRDefault="003A1F9F" w:rsidP="003A1F9F">
            <w:pPr>
              <w:jc w:val="lef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Dlouhodobý nehmotný majetek</w:t>
            </w:r>
          </w:p>
        </w:tc>
        <w:tc>
          <w:tcPr>
            <w:tcW w:w="544" w:type="pct"/>
            <w:tcBorders>
              <w:left w:val="single" w:sz="12" w:space="0" w:color="auto"/>
            </w:tcBorders>
            <w:vAlign w:val="center"/>
          </w:tcPr>
          <w:p w14:paraId="65C80E99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21 753</w:t>
            </w:r>
          </w:p>
        </w:tc>
        <w:tc>
          <w:tcPr>
            <w:tcW w:w="544" w:type="pct"/>
            <w:vAlign w:val="center"/>
          </w:tcPr>
          <w:p w14:paraId="46E4E6A3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28 997</w:t>
            </w:r>
          </w:p>
        </w:tc>
        <w:tc>
          <w:tcPr>
            <w:tcW w:w="544" w:type="pct"/>
            <w:vAlign w:val="center"/>
          </w:tcPr>
          <w:p w14:paraId="5670DA00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23 751</w:t>
            </w:r>
          </w:p>
        </w:tc>
        <w:tc>
          <w:tcPr>
            <w:tcW w:w="544" w:type="pct"/>
          </w:tcPr>
          <w:p w14:paraId="42680339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24 980</w:t>
            </w:r>
          </w:p>
        </w:tc>
      </w:tr>
      <w:tr w:rsidR="003A1F9F" w:rsidRPr="007A2187" w14:paraId="0A95D0E4" w14:textId="77777777" w:rsidTr="007F14DF">
        <w:tc>
          <w:tcPr>
            <w:tcW w:w="2824" w:type="pct"/>
            <w:tcBorders>
              <w:right w:val="single" w:sz="12" w:space="0" w:color="auto"/>
            </w:tcBorders>
            <w:vAlign w:val="center"/>
          </w:tcPr>
          <w:p w14:paraId="490B0242" w14:textId="1FA2837C" w:rsidR="003A1F9F" w:rsidRPr="007A2187" w:rsidRDefault="003A1F9F" w:rsidP="003A1F9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Dlouhodobý hmotný majetek</w:t>
            </w:r>
          </w:p>
        </w:tc>
        <w:tc>
          <w:tcPr>
            <w:tcW w:w="544" w:type="pct"/>
            <w:tcBorders>
              <w:left w:val="single" w:sz="12" w:space="0" w:color="auto"/>
            </w:tcBorders>
            <w:vAlign w:val="center"/>
          </w:tcPr>
          <w:p w14:paraId="4662677B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438 890</w:t>
            </w:r>
          </w:p>
        </w:tc>
        <w:tc>
          <w:tcPr>
            <w:tcW w:w="544" w:type="pct"/>
            <w:vAlign w:val="center"/>
          </w:tcPr>
          <w:p w14:paraId="4828BACA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383 140</w:t>
            </w:r>
          </w:p>
        </w:tc>
        <w:tc>
          <w:tcPr>
            <w:tcW w:w="544" w:type="pct"/>
            <w:vAlign w:val="center"/>
          </w:tcPr>
          <w:p w14:paraId="5D92C0CE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318 596</w:t>
            </w:r>
          </w:p>
        </w:tc>
        <w:tc>
          <w:tcPr>
            <w:tcW w:w="544" w:type="pct"/>
          </w:tcPr>
          <w:p w14:paraId="61FB8E7A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261 301</w:t>
            </w:r>
          </w:p>
        </w:tc>
      </w:tr>
      <w:tr w:rsidR="003A1F9F" w:rsidRPr="007A2187" w14:paraId="5C22E72A" w14:textId="77777777" w:rsidTr="007F14DF">
        <w:tc>
          <w:tcPr>
            <w:tcW w:w="2824" w:type="pct"/>
            <w:tcBorders>
              <w:right w:val="single" w:sz="12" w:space="0" w:color="auto"/>
            </w:tcBorders>
            <w:vAlign w:val="center"/>
          </w:tcPr>
          <w:p w14:paraId="307B63E4" w14:textId="0AC1C940" w:rsidR="003A1F9F" w:rsidRPr="007A2187" w:rsidRDefault="00C7382F" w:rsidP="00DF05F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DF05F7">
              <w:rPr>
                <w:rFonts w:cstheme="minorHAnsi"/>
                <w:sz w:val="16"/>
                <w:szCs w:val="16"/>
              </w:rPr>
              <w:t xml:space="preserve"> toho - p</w:t>
            </w:r>
            <w:r w:rsidR="003A1F9F" w:rsidRPr="007A2187">
              <w:rPr>
                <w:rFonts w:cstheme="minorHAnsi"/>
                <w:sz w:val="16"/>
                <w:szCs w:val="16"/>
              </w:rPr>
              <w:t>ozemky</w:t>
            </w:r>
          </w:p>
        </w:tc>
        <w:tc>
          <w:tcPr>
            <w:tcW w:w="544" w:type="pct"/>
            <w:tcBorders>
              <w:left w:val="single" w:sz="12" w:space="0" w:color="auto"/>
            </w:tcBorders>
            <w:vAlign w:val="center"/>
          </w:tcPr>
          <w:p w14:paraId="08B3E9FD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36 587</w:t>
            </w:r>
          </w:p>
        </w:tc>
        <w:tc>
          <w:tcPr>
            <w:tcW w:w="544" w:type="pct"/>
            <w:vAlign w:val="center"/>
          </w:tcPr>
          <w:p w14:paraId="79243F50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35 240</w:t>
            </w:r>
          </w:p>
        </w:tc>
        <w:tc>
          <w:tcPr>
            <w:tcW w:w="544" w:type="pct"/>
            <w:vAlign w:val="center"/>
          </w:tcPr>
          <w:p w14:paraId="7E9DC6F0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31 926</w:t>
            </w:r>
          </w:p>
        </w:tc>
        <w:tc>
          <w:tcPr>
            <w:tcW w:w="544" w:type="pct"/>
          </w:tcPr>
          <w:p w14:paraId="05E5CE2A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31 089</w:t>
            </w:r>
          </w:p>
        </w:tc>
      </w:tr>
      <w:tr w:rsidR="003A1F9F" w:rsidRPr="007A2187" w14:paraId="13AF349B" w14:textId="77777777" w:rsidTr="007F14DF">
        <w:tc>
          <w:tcPr>
            <w:tcW w:w="2824" w:type="pct"/>
            <w:tcBorders>
              <w:right w:val="single" w:sz="12" w:space="0" w:color="auto"/>
            </w:tcBorders>
            <w:vAlign w:val="center"/>
          </w:tcPr>
          <w:p w14:paraId="420B2228" w14:textId="00F9BBF4" w:rsidR="003A1F9F" w:rsidRPr="007A2187" w:rsidRDefault="00C7382F" w:rsidP="00FE60C5">
            <w:pPr>
              <w:autoSpaceDE w:val="0"/>
              <w:autoSpaceDN w:val="0"/>
              <w:adjustRightInd w:val="0"/>
              <w:ind w:left="442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DF05F7">
              <w:rPr>
                <w:rFonts w:cstheme="minorHAnsi"/>
                <w:sz w:val="16"/>
                <w:szCs w:val="16"/>
              </w:rPr>
              <w:t>s</w:t>
            </w:r>
            <w:r w:rsidR="003A1F9F" w:rsidRPr="007A2187">
              <w:rPr>
                <w:rFonts w:cstheme="minorHAnsi"/>
                <w:sz w:val="16"/>
                <w:szCs w:val="16"/>
              </w:rPr>
              <w:t>tavby</w:t>
            </w:r>
          </w:p>
        </w:tc>
        <w:tc>
          <w:tcPr>
            <w:tcW w:w="544" w:type="pct"/>
            <w:tcBorders>
              <w:left w:val="single" w:sz="12" w:space="0" w:color="auto"/>
            </w:tcBorders>
            <w:vAlign w:val="center"/>
          </w:tcPr>
          <w:p w14:paraId="402A2196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367 120</w:t>
            </w:r>
          </w:p>
        </w:tc>
        <w:tc>
          <w:tcPr>
            <w:tcW w:w="544" w:type="pct"/>
            <w:vAlign w:val="center"/>
          </w:tcPr>
          <w:p w14:paraId="2B575527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319 276</w:t>
            </w:r>
          </w:p>
        </w:tc>
        <w:tc>
          <w:tcPr>
            <w:tcW w:w="544" w:type="pct"/>
            <w:vAlign w:val="center"/>
          </w:tcPr>
          <w:p w14:paraId="506A94F4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262 129</w:t>
            </w:r>
          </w:p>
        </w:tc>
        <w:tc>
          <w:tcPr>
            <w:tcW w:w="544" w:type="pct"/>
          </w:tcPr>
          <w:p w14:paraId="23E1420A" w14:textId="77777777" w:rsidR="003A1F9F" w:rsidRPr="007A2187" w:rsidRDefault="003A1F9F" w:rsidP="003A1F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7A2187">
              <w:rPr>
                <w:rFonts w:cstheme="minorHAnsi"/>
                <w:sz w:val="16"/>
                <w:szCs w:val="16"/>
              </w:rPr>
              <w:t>201 044</w:t>
            </w:r>
          </w:p>
        </w:tc>
      </w:tr>
      <w:tr w:rsidR="003A1F9F" w:rsidRPr="00671DC8" w14:paraId="403C3F6D" w14:textId="77777777" w:rsidTr="007F14DF">
        <w:tc>
          <w:tcPr>
            <w:tcW w:w="2824" w:type="pct"/>
            <w:tcBorders>
              <w:right w:val="single" w:sz="12" w:space="0" w:color="auto"/>
            </w:tcBorders>
            <w:vAlign w:val="center"/>
          </w:tcPr>
          <w:p w14:paraId="4381CFE9" w14:textId="07AC2EB3" w:rsidR="003A1F9F" w:rsidRPr="00671DC8" w:rsidRDefault="00C7382F" w:rsidP="00FE60C5">
            <w:pPr>
              <w:autoSpaceDE w:val="0"/>
              <w:autoSpaceDN w:val="0"/>
              <w:adjustRightInd w:val="0"/>
              <w:ind w:left="442"/>
              <w:jc w:val="left"/>
              <w:rPr>
                <w:rFonts w:cstheme="minorHAnsi"/>
                <w:b/>
                <w:sz w:val="16"/>
                <w:szCs w:val="16"/>
              </w:rPr>
            </w:pPr>
            <w:r w:rsidRPr="00FE60C5">
              <w:rPr>
                <w:rFonts w:cstheme="minorHAnsi"/>
                <w:sz w:val="16"/>
                <w:szCs w:val="16"/>
              </w:rPr>
              <w:t xml:space="preserve">- </w:t>
            </w:r>
            <w:r w:rsidR="009B178B" w:rsidRPr="00671DC8">
              <w:rPr>
                <w:rFonts w:cstheme="minorHAnsi"/>
                <w:b/>
                <w:sz w:val="16"/>
                <w:szCs w:val="16"/>
              </w:rPr>
              <w:t>m</w:t>
            </w:r>
            <w:r w:rsidR="003A1F9F" w:rsidRPr="00671DC8">
              <w:rPr>
                <w:rFonts w:cstheme="minorHAnsi"/>
                <w:b/>
                <w:sz w:val="16"/>
                <w:szCs w:val="16"/>
              </w:rPr>
              <w:t>ovitý majetek</w:t>
            </w:r>
          </w:p>
        </w:tc>
        <w:tc>
          <w:tcPr>
            <w:tcW w:w="544" w:type="pct"/>
            <w:tcBorders>
              <w:left w:val="single" w:sz="12" w:space="0" w:color="auto"/>
            </w:tcBorders>
            <w:vAlign w:val="center"/>
          </w:tcPr>
          <w:p w14:paraId="661200EC" w14:textId="77777777" w:rsidR="003A1F9F" w:rsidRPr="00671DC8" w:rsidRDefault="003A1F9F" w:rsidP="003A1F9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71DC8">
              <w:rPr>
                <w:rFonts w:cstheme="minorHAnsi"/>
                <w:b/>
                <w:sz w:val="16"/>
                <w:szCs w:val="16"/>
              </w:rPr>
              <w:t>34 441</w:t>
            </w:r>
          </w:p>
        </w:tc>
        <w:tc>
          <w:tcPr>
            <w:tcW w:w="544" w:type="pct"/>
            <w:vAlign w:val="center"/>
          </w:tcPr>
          <w:p w14:paraId="5BBA516C" w14:textId="77777777" w:rsidR="003A1F9F" w:rsidRPr="00671DC8" w:rsidRDefault="003A1F9F" w:rsidP="003A1F9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71DC8">
              <w:rPr>
                <w:rFonts w:cstheme="minorHAnsi"/>
                <w:b/>
                <w:sz w:val="16"/>
                <w:szCs w:val="16"/>
              </w:rPr>
              <w:t>28 624</w:t>
            </w:r>
          </w:p>
        </w:tc>
        <w:tc>
          <w:tcPr>
            <w:tcW w:w="544" w:type="pct"/>
            <w:vAlign w:val="center"/>
          </w:tcPr>
          <w:p w14:paraId="15D28776" w14:textId="77777777" w:rsidR="003A1F9F" w:rsidRPr="00671DC8" w:rsidRDefault="003A1F9F" w:rsidP="003A1F9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71DC8">
              <w:rPr>
                <w:rFonts w:cstheme="minorHAnsi"/>
                <w:b/>
                <w:sz w:val="16"/>
                <w:szCs w:val="16"/>
              </w:rPr>
              <w:t>24 541</w:t>
            </w:r>
          </w:p>
        </w:tc>
        <w:tc>
          <w:tcPr>
            <w:tcW w:w="544" w:type="pct"/>
          </w:tcPr>
          <w:p w14:paraId="48A36A92" w14:textId="77777777" w:rsidR="003A1F9F" w:rsidRPr="00671DC8" w:rsidRDefault="003A1F9F" w:rsidP="003A1F9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71DC8">
              <w:rPr>
                <w:rFonts w:cstheme="minorHAnsi"/>
                <w:b/>
                <w:sz w:val="16"/>
                <w:szCs w:val="16"/>
              </w:rPr>
              <w:t>29 139</w:t>
            </w:r>
          </w:p>
        </w:tc>
      </w:tr>
    </w:tbl>
    <w:p w14:paraId="625A1103" w14:textId="47525CFD" w:rsidR="003A1F9F" w:rsidRPr="00671DC8" w:rsidRDefault="003A1F9F" w:rsidP="003764C4">
      <w:pPr>
        <w:pStyle w:val="Poznmka"/>
      </w:pPr>
      <w:r w:rsidRPr="00FE60C5">
        <w:rPr>
          <w:b/>
        </w:rPr>
        <w:t>Zdroj:</w:t>
      </w:r>
      <w:r w:rsidRPr="00671DC8">
        <w:t xml:space="preserve"> </w:t>
      </w:r>
      <w:r w:rsidR="00C7382F">
        <w:t>v</w:t>
      </w:r>
      <w:r w:rsidRPr="00671DC8">
        <w:t>ýroční zprávy ZP MV ČR za roky 2011, 2012, 2013, 2014</w:t>
      </w:r>
      <w:r w:rsidR="0051578D" w:rsidRPr="00671DC8">
        <w:t>.</w:t>
      </w:r>
    </w:p>
    <w:p w14:paraId="21521964" w14:textId="77777777" w:rsidR="00EE6971" w:rsidRDefault="00EE6971" w:rsidP="00C433E8">
      <w:pPr>
        <w:ind w:left="1134" w:hanging="1134"/>
        <w:rPr>
          <w:rFonts w:cstheme="minorHAnsi"/>
        </w:rPr>
      </w:pPr>
    </w:p>
    <w:p w14:paraId="5D0BCA4A" w14:textId="521023F0" w:rsidR="00BE0FA5" w:rsidRPr="00BE0FA5" w:rsidRDefault="00C71D32" w:rsidP="00C71D32">
      <w:pPr>
        <w:rPr>
          <w:rFonts w:cstheme="minorHAnsi"/>
        </w:rPr>
      </w:pPr>
      <w:r w:rsidRPr="00BE0FA5">
        <w:rPr>
          <w:rFonts w:cstheme="minorHAnsi"/>
        </w:rPr>
        <w:t xml:space="preserve">Kontrola byla zaměřena </w:t>
      </w:r>
      <w:r w:rsidR="00BE0FA5" w:rsidRPr="00BE0FA5">
        <w:rPr>
          <w:rFonts w:cstheme="minorHAnsi"/>
        </w:rPr>
        <w:t xml:space="preserve">zejména </w:t>
      </w:r>
      <w:r w:rsidRPr="00BE0FA5">
        <w:rPr>
          <w:rFonts w:cstheme="minorHAnsi"/>
        </w:rPr>
        <w:t xml:space="preserve">na oblast řízení zdravotní pojišťovny, </w:t>
      </w:r>
      <w:r w:rsidR="00BE0FA5" w:rsidRPr="00BE0FA5">
        <w:rPr>
          <w:rFonts w:cstheme="minorHAnsi"/>
        </w:rPr>
        <w:t xml:space="preserve">zdravotně pojistný plán, </w:t>
      </w:r>
      <w:r w:rsidRPr="00BE0FA5">
        <w:rPr>
          <w:rFonts w:cstheme="minorHAnsi"/>
        </w:rPr>
        <w:t xml:space="preserve">výběr pojistného na veřejné zdravotní pojištění, </w:t>
      </w:r>
      <w:r w:rsidR="00BE0FA5" w:rsidRPr="00BE0FA5">
        <w:rPr>
          <w:rFonts w:cstheme="minorHAnsi"/>
        </w:rPr>
        <w:t>úhrady</w:t>
      </w:r>
      <w:r w:rsidRPr="00BE0FA5">
        <w:rPr>
          <w:rFonts w:cstheme="minorHAnsi"/>
        </w:rPr>
        <w:t xml:space="preserve"> zdravotních služeb, </w:t>
      </w:r>
      <w:r w:rsidR="00BE0FA5" w:rsidRPr="00BE0FA5">
        <w:rPr>
          <w:rFonts w:cstheme="minorHAnsi"/>
        </w:rPr>
        <w:t>fondy ZP</w:t>
      </w:r>
      <w:r w:rsidR="0029362A">
        <w:rPr>
          <w:rFonts w:cstheme="minorHAnsi"/>
        </w:rPr>
        <w:t> </w:t>
      </w:r>
      <w:r w:rsidR="00BE0FA5" w:rsidRPr="00BE0FA5">
        <w:rPr>
          <w:rFonts w:cstheme="minorHAnsi"/>
        </w:rPr>
        <w:t xml:space="preserve">MV ČR </w:t>
      </w:r>
      <w:r w:rsidR="00C7382F">
        <w:rPr>
          <w:rFonts w:cstheme="minorHAnsi"/>
        </w:rPr>
        <w:t>a na</w:t>
      </w:r>
      <w:r w:rsidR="00BE0FA5" w:rsidRPr="00BE0FA5">
        <w:rPr>
          <w:rFonts w:cstheme="minorHAnsi"/>
        </w:rPr>
        <w:t xml:space="preserve"> nákup</w:t>
      </w:r>
      <w:r w:rsidR="00C7382F">
        <w:rPr>
          <w:rFonts w:cstheme="minorHAnsi"/>
        </w:rPr>
        <w:t>y</w:t>
      </w:r>
      <w:r w:rsidR="00BE0FA5" w:rsidRPr="00BE0FA5">
        <w:rPr>
          <w:rFonts w:cstheme="minorHAnsi"/>
        </w:rPr>
        <w:t xml:space="preserve"> a prodej majetku.</w:t>
      </w:r>
    </w:p>
    <w:p w14:paraId="21521966" w14:textId="77777777" w:rsidR="007402EF" w:rsidRDefault="007402EF" w:rsidP="0042055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20A6F8" w14:textId="77777777" w:rsidR="00420554" w:rsidRPr="00420554" w:rsidRDefault="00420554" w:rsidP="00420554">
      <w:pPr>
        <w:ind w:left="624" w:hanging="624"/>
        <w:rPr>
          <w:rFonts w:cstheme="minorHAnsi"/>
          <w:sz w:val="20"/>
          <w:szCs w:val="20"/>
        </w:rPr>
      </w:pPr>
      <w:r w:rsidRPr="00420554">
        <w:rPr>
          <w:rFonts w:cstheme="minorHAnsi"/>
          <w:b/>
          <w:sz w:val="20"/>
          <w:szCs w:val="20"/>
        </w:rPr>
        <w:t>Pozn.:</w:t>
      </w:r>
      <w:r w:rsidRPr="00420554">
        <w:rPr>
          <w:rFonts w:cstheme="minorHAnsi"/>
          <w:sz w:val="20"/>
          <w:szCs w:val="20"/>
        </w:rPr>
        <w:t xml:space="preserve"> Všechny právní předpisy uváděné v tomto kontrolním závěru jsou aplikovány ve znění účinném pro kontrolované období.</w:t>
      </w:r>
    </w:p>
    <w:p w14:paraId="697ABA1C" w14:textId="77777777" w:rsidR="009C1AAC" w:rsidRDefault="009C1AAC" w:rsidP="00C433E8">
      <w:pPr>
        <w:pStyle w:val="Default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06B95" w14:textId="77777777" w:rsidR="00386986" w:rsidRPr="007A2187" w:rsidRDefault="00386986" w:rsidP="00C433E8">
      <w:pPr>
        <w:pStyle w:val="Default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521969" w14:textId="0E1E3881" w:rsidR="006921EB" w:rsidRPr="00FE60C5" w:rsidRDefault="00EF1883" w:rsidP="009C1AAC">
      <w:pPr>
        <w:jc w:val="center"/>
        <w:rPr>
          <w:rFonts w:cstheme="minorHAnsi"/>
          <w:b/>
          <w:bCs/>
          <w:sz w:val="28"/>
          <w:szCs w:val="28"/>
        </w:rPr>
      </w:pPr>
      <w:r w:rsidRPr="00FE60C5">
        <w:rPr>
          <w:rFonts w:cstheme="minorHAnsi"/>
          <w:b/>
          <w:bCs/>
          <w:sz w:val="28"/>
          <w:szCs w:val="28"/>
        </w:rPr>
        <w:t xml:space="preserve">II. </w:t>
      </w:r>
      <w:r w:rsidR="008B05EF" w:rsidRPr="00FE60C5">
        <w:rPr>
          <w:rFonts w:cstheme="minorHAnsi"/>
          <w:b/>
          <w:bCs/>
          <w:sz w:val="28"/>
          <w:szCs w:val="28"/>
        </w:rPr>
        <w:t xml:space="preserve">Skutečnosti zjištěné </w:t>
      </w:r>
      <w:r w:rsidR="00C7382F">
        <w:rPr>
          <w:rFonts w:cstheme="minorHAnsi"/>
          <w:b/>
          <w:bCs/>
          <w:sz w:val="28"/>
          <w:szCs w:val="28"/>
        </w:rPr>
        <w:t xml:space="preserve">při </w:t>
      </w:r>
      <w:r w:rsidR="007F14DF" w:rsidRPr="00FE60C5">
        <w:rPr>
          <w:rFonts w:cstheme="minorHAnsi"/>
          <w:b/>
          <w:bCs/>
          <w:sz w:val="28"/>
          <w:szCs w:val="28"/>
        </w:rPr>
        <w:t>kontrol</w:t>
      </w:r>
      <w:r w:rsidR="00C7382F">
        <w:rPr>
          <w:rFonts w:cstheme="minorHAnsi"/>
          <w:b/>
          <w:bCs/>
          <w:sz w:val="28"/>
          <w:szCs w:val="28"/>
        </w:rPr>
        <w:t>e</w:t>
      </w:r>
    </w:p>
    <w:p w14:paraId="6E92BE0A" w14:textId="77777777" w:rsidR="00A13081" w:rsidRPr="007A2187" w:rsidRDefault="00A13081" w:rsidP="007F14DF"/>
    <w:p w14:paraId="1F57D098" w14:textId="30DDBDF2" w:rsidR="007F14DF" w:rsidRPr="00FE60C5" w:rsidRDefault="007F14DF" w:rsidP="00894F92">
      <w:pPr>
        <w:pStyle w:val="Nadpis1"/>
        <w:ind w:left="284" w:hanging="284"/>
        <w:rPr>
          <w:sz w:val="28"/>
          <w:szCs w:val="28"/>
        </w:rPr>
      </w:pPr>
      <w:bookmarkStart w:id="1" w:name="_Toc431818652"/>
      <w:r w:rsidRPr="00FE60C5">
        <w:rPr>
          <w:sz w:val="28"/>
          <w:szCs w:val="28"/>
        </w:rPr>
        <w:t>O</w:t>
      </w:r>
      <w:r w:rsidR="00032A20" w:rsidRPr="00FE60C5">
        <w:rPr>
          <w:sz w:val="28"/>
          <w:szCs w:val="28"/>
        </w:rPr>
        <w:t xml:space="preserve">rgány </w:t>
      </w:r>
      <w:r w:rsidRPr="00FE60C5">
        <w:rPr>
          <w:sz w:val="28"/>
          <w:szCs w:val="28"/>
        </w:rPr>
        <w:t>ZP MV ČR</w:t>
      </w:r>
      <w:bookmarkEnd w:id="1"/>
    </w:p>
    <w:p w14:paraId="5C7DD6C4" w14:textId="386A77B8" w:rsidR="007F14DF" w:rsidRPr="007A2187" w:rsidRDefault="007F14DF" w:rsidP="007F14DF">
      <w:r w:rsidRPr="007A2187">
        <w:t>Orgány zaměstnanecké pojišťovny upravuje zákon č. 280/1992 Sb. a dále její statut</w:t>
      </w:r>
      <w:r w:rsidR="00FF43B9">
        <w:t>, který schvaluje Ministerstvo zdravotnictví (dále také „MZd“)</w:t>
      </w:r>
      <w:r w:rsidR="00B80B0B">
        <w:rPr>
          <w:rStyle w:val="Znakapoznpodarou"/>
        </w:rPr>
        <w:footnoteReference w:id="4"/>
      </w:r>
      <w:r w:rsidRPr="007A2187">
        <w:t>.</w:t>
      </w:r>
    </w:p>
    <w:p w14:paraId="62A4F88A" w14:textId="77777777" w:rsidR="007F14DF" w:rsidRPr="007A2187" w:rsidRDefault="007F14DF" w:rsidP="007F14DF"/>
    <w:p w14:paraId="157FE6C4" w14:textId="556EAD66" w:rsidR="007F14DF" w:rsidRDefault="00A00460" w:rsidP="007F14DF">
      <w:r>
        <w:t>O</w:t>
      </w:r>
      <w:r w:rsidR="007F14DF" w:rsidRPr="007A2187">
        <w:t>rgány ZP MV ČR jsou správní rada</w:t>
      </w:r>
      <w:r w:rsidR="00B80B0B">
        <w:t>,</w:t>
      </w:r>
      <w:r w:rsidR="007F14DF" w:rsidRPr="007A2187">
        <w:t xml:space="preserve"> dozorčí rada</w:t>
      </w:r>
      <w:r w:rsidR="00B80B0B">
        <w:t xml:space="preserve"> a generální ředitel</w:t>
      </w:r>
      <w:r w:rsidR="007F14DF" w:rsidRPr="007A2187">
        <w:t xml:space="preserve">. </w:t>
      </w:r>
      <w:r w:rsidR="00FF43B9">
        <w:t xml:space="preserve">ZP MV ČR </w:t>
      </w:r>
      <w:r w:rsidR="00BE7B02">
        <w:t xml:space="preserve">má </w:t>
      </w:r>
      <w:r w:rsidR="00FF43B9">
        <w:t>v</w:t>
      </w:r>
      <w:r w:rsidR="00FF43B9" w:rsidRPr="00FF43B9">
        <w:t xml:space="preserve"> souladu se zákonem </w:t>
      </w:r>
      <w:r w:rsidR="000D542C">
        <w:t>o auditorech</w:t>
      </w:r>
      <w:r w:rsidR="00FF43B9" w:rsidRPr="00FF43B9">
        <w:t xml:space="preserve"> </w:t>
      </w:r>
      <w:r w:rsidR="00902E24">
        <w:t>zřízen</w:t>
      </w:r>
      <w:r w:rsidR="00FF43B9">
        <w:t xml:space="preserve"> výbor pro audit</w:t>
      </w:r>
      <w:r w:rsidR="00B80B0B">
        <w:rPr>
          <w:rStyle w:val="Znakapoznpodarou"/>
        </w:rPr>
        <w:footnoteReference w:id="5"/>
      </w:r>
      <w:r w:rsidR="00FF43B9">
        <w:t xml:space="preserve"> a v</w:t>
      </w:r>
      <w:r w:rsidR="00FF43B9" w:rsidRPr="00FF43B9">
        <w:t xml:space="preserve"> souladu s</w:t>
      </w:r>
      <w:r w:rsidR="00FF43B9">
        <w:t xml:space="preserve">e </w:t>
      </w:r>
      <w:r w:rsidR="00FF43B9" w:rsidRPr="00FF43B9">
        <w:t>zákon</w:t>
      </w:r>
      <w:r w:rsidR="00BE7B02">
        <w:t>em</w:t>
      </w:r>
      <w:r w:rsidR="00FF43B9" w:rsidRPr="00FF43B9">
        <w:t xml:space="preserve"> </w:t>
      </w:r>
      <w:r w:rsidR="000D542C">
        <w:t xml:space="preserve">o veřejném </w:t>
      </w:r>
      <w:r w:rsidR="000D542C" w:rsidRPr="000D542C">
        <w:t>zdravotním pojištění</w:t>
      </w:r>
      <w:r w:rsidR="00BE7B02" w:rsidRPr="000D542C">
        <w:t xml:space="preserve"> ustanoven rozhodčí orgán</w:t>
      </w:r>
      <w:r w:rsidR="00D63300" w:rsidRPr="000D542C">
        <w:rPr>
          <w:rStyle w:val="Znakapoznpodarou"/>
        </w:rPr>
        <w:footnoteReference w:id="6"/>
      </w:r>
      <w:r w:rsidR="00BE7B02" w:rsidRPr="000D542C">
        <w:t xml:space="preserve">. </w:t>
      </w:r>
    </w:p>
    <w:p w14:paraId="6B7AB774" w14:textId="77777777" w:rsidR="00B80B0B" w:rsidRPr="007A2187" w:rsidRDefault="00B80B0B" w:rsidP="007F14DF"/>
    <w:p w14:paraId="414C6169" w14:textId="65A1167D" w:rsidR="006E240D" w:rsidRPr="007A2187" w:rsidRDefault="00B80B0B" w:rsidP="006E240D">
      <w:pPr>
        <w:rPr>
          <w:rFonts w:eastAsia="Times New Roman" w:cs="Times New Roman"/>
          <w:bCs/>
          <w:szCs w:val="24"/>
        </w:rPr>
      </w:pPr>
      <w:r w:rsidRPr="007A2187">
        <w:t>Nejvyšším orgánem pojišťovny j</w:t>
      </w:r>
      <w:r>
        <w:t>e</w:t>
      </w:r>
      <w:r w:rsidRPr="007A2187">
        <w:t xml:space="preserve"> </w:t>
      </w:r>
      <w:r>
        <w:t>s</w:t>
      </w:r>
      <w:r w:rsidRPr="007A2187">
        <w:t>právní rada ZP MV ČR (dál</w:t>
      </w:r>
      <w:r w:rsidR="0051578D">
        <w:t>e také „SR“), která rozhoduje o </w:t>
      </w:r>
      <w:r w:rsidRPr="007A2187">
        <w:t>zásadních otázkách činnosti ZP MV ČR</w:t>
      </w:r>
      <w:r w:rsidRPr="004D2728">
        <w:t xml:space="preserve">. </w:t>
      </w:r>
      <w:r w:rsidR="006E240D" w:rsidRPr="004D2728">
        <w:rPr>
          <w:rFonts w:eastAsia="Times New Roman" w:cs="Times New Roman"/>
          <w:bCs/>
          <w:szCs w:val="24"/>
        </w:rPr>
        <w:t>Správní rada má patnáct</w:t>
      </w:r>
      <w:r w:rsidR="006E240D" w:rsidRPr="007A2187">
        <w:rPr>
          <w:rFonts w:eastAsia="Times New Roman" w:cs="Times New Roman"/>
          <w:bCs/>
          <w:szCs w:val="24"/>
        </w:rPr>
        <w:t xml:space="preserve"> členů,</w:t>
      </w:r>
      <w:r w:rsidR="00DD3FDB">
        <w:rPr>
          <w:rFonts w:eastAsia="Times New Roman" w:cs="Times New Roman"/>
          <w:bCs/>
          <w:szCs w:val="24"/>
        </w:rPr>
        <w:t xml:space="preserve"> přičemž pět z nich je jmenovaných vládou, pět zvolených</w:t>
      </w:r>
      <w:r w:rsidR="006E240D" w:rsidRPr="007A2187">
        <w:rPr>
          <w:rFonts w:eastAsia="Times New Roman" w:cs="Times New Roman"/>
          <w:bCs/>
          <w:szCs w:val="24"/>
        </w:rPr>
        <w:t xml:space="preserve"> na návrh reprezentativních odborových organizací a pět na návrh reprezentativních organizací zaměstnavatelů. </w:t>
      </w:r>
      <w:r w:rsidR="00A17B63">
        <w:rPr>
          <w:rFonts w:eastAsia="Times New Roman" w:cs="Times New Roman"/>
          <w:bCs/>
          <w:szCs w:val="24"/>
        </w:rPr>
        <w:t>SR</w:t>
      </w:r>
      <w:r w:rsidR="00A17B63" w:rsidRPr="007A2187">
        <w:rPr>
          <w:rFonts w:eastAsia="Times New Roman" w:cs="Times New Roman"/>
          <w:bCs/>
          <w:szCs w:val="24"/>
        </w:rPr>
        <w:t xml:space="preserve"> </w:t>
      </w:r>
      <w:r w:rsidR="00A17B63">
        <w:rPr>
          <w:rFonts w:eastAsia="Times New Roman" w:cs="Times New Roman"/>
          <w:bCs/>
          <w:szCs w:val="24"/>
        </w:rPr>
        <w:t>d</w:t>
      </w:r>
      <w:r w:rsidR="006E240D" w:rsidRPr="007A2187">
        <w:rPr>
          <w:rFonts w:eastAsia="Times New Roman" w:cs="Times New Roman"/>
          <w:bCs/>
          <w:szCs w:val="24"/>
        </w:rPr>
        <w:t xml:space="preserve">le </w:t>
      </w:r>
      <w:r w:rsidR="00BF732B" w:rsidRPr="007A2187">
        <w:rPr>
          <w:rFonts w:eastAsia="Times New Roman" w:cs="Times New Roman"/>
          <w:bCs/>
          <w:szCs w:val="24"/>
        </w:rPr>
        <w:t>zákona č. 280/1992 Sb.</w:t>
      </w:r>
      <w:r w:rsidR="0051578D">
        <w:rPr>
          <w:rFonts w:eastAsia="Times New Roman" w:cs="Times New Roman"/>
          <w:bCs/>
          <w:szCs w:val="24"/>
        </w:rPr>
        <w:t xml:space="preserve"> a </w:t>
      </w:r>
      <w:r w:rsidR="006E240D" w:rsidRPr="007A2187">
        <w:rPr>
          <w:rFonts w:eastAsia="Times New Roman" w:cs="Times New Roman"/>
          <w:bCs/>
          <w:szCs w:val="24"/>
        </w:rPr>
        <w:t xml:space="preserve">statutu ZP MV ČR </w:t>
      </w:r>
      <w:r w:rsidR="00BF732B">
        <w:rPr>
          <w:rFonts w:eastAsia="Times New Roman" w:cs="Times New Roman"/>
          <w:bCs/>
          <w:szCs w:val="24"/>
        </w:rPr>
        <w:t>zejména</w:t>
      </w:r>
      <w:r w:rsidR="006E240D" w:rsidRPr="007A2187">
        <w:rPr>
          <w:rFonts w:eastAsia="Times New Roman" w:cs="Times New Roman"/>
          <w:bCs/>
          <w:szCs w:val="24"/>
        </w:rPr>
        <w:t>:</w:t>
      </w:r>
    </w:p>
    <w:p w14:paraId="5879A5F1" w14:textId="59652924" w:rsidR="006E240D" w:rsidRPr="007A2187" w:rsidRDefault="006E240D" w:rsidP="00331FB1">
      <w:pPr>
        <w:numPr>
          <w:ilvl w:val="0"/>
          <w:numId w:val="12"/>
        </w:numPr>
        <w:contextualSpacing/>
        <w:rPr>
          <w:rFonts w:eastAsia="Times New Roman" w:cs="Times New Roman"/>
          <w:szCs w:val="24"/>
        </w:rPr>
      </w:pPr>
      <w:r w:rsidRPr="007A2187">
        <w:rPr>
          <w:rFonts w:eastAsia="Times New Roman" w:cs="Times New Roman"/>
          <w:szCs w:val="24"/>
        </w:rPr>
        <w:t>rozhoduje ve věcech přesahujících rámec běžného hospodaření, kterými jsou prodej nemovitost</w:t>
      </w:r>
      <w:r w:rsidR="00032A20">
        <w:rPr>
          <w:rFonts w:eastAsia="Times New Roman" w:cs="Times New Roman"/>
          <w:szCs w:val="24"/>
        </w:rPr>
        <w:t>í</w:t>
      </w:r>
      <w:r w:rsidRPr="007A2187">
        <w:rPr>
          <w:rFonts w:eastAsia="Times New Roman" w:cs="Times New Roman"/>
          <w:szCs w:val="24"/>
        </w:rPr>
        <w:t>, zastavení vlastního majetku a případná jiná omezení práv;</w:t>
      </w:r>
    </w:p>
    <w:p w14:paraId="7B7B9C74" w14:textId="77777777" w:rsidR="00BF732B" w:rsidRPr="007A2187" w:rsidRDefault="00BF732B" w:rsidP="00331FB1">
      <w:pPr>
        <w:numPr>
          <w:ilvl w:val="0"/>
          <w:numId w:val="12"/>
        </w:numPr>
        <w:contextualSpacing/>
        <w:rPr>
          <w:rFonts w:eastAsia="Times New Roman" w:cs="Times New Roman"/>
          <w:szCs w:val="24"/>
        </w:rPr>
      </w:pPr>
      <w:r w:rsidRPr="007A2187">
        <w:rPr>
          <w:rFonts w:eastAsia="Times New Roman" w:cs="Times New Roman"/>
          <w:bCs/>
          <w:szCs w:val="24"/>
        </w:rPr>
        <w:t>rozhoduje o</w:t>
      </w:r>
      <w:r w:rsidRPr="007A2187">
        <w:rPr>
          <w:rFonts w:eastAsia="Times New Roman" w:cs="Times New Roman"/>
          <w:szCs w:val="24"/>
        </w:rPr>
        <w:t xml:space="preserve"> nákupu nemovitostí a hmotného a nehmotného majetku v pořizovací ceně vyšší než 1 000 000 Kč; </w:t>
      </w:r>
    </w:p>
    <w:p w14:paraId="4DDFE23F" w14:textId="77777777" w:rsidR="006E240D" w:rsidRPr="007A2187" w:rsidRDefault="006E240D" w:rsidP="00331FB1">
      <w:pPr>
        <w:numPr>
          <w:ilvl w:val="0"/>
          <w:numId w:val="12"/>
        </w:numPr>
        <w:contextualSpacing/>
        <w:rPr>
          <w:rFonts w:eastAsia="Times New Roman" w:cs="Times New Roman"/>
          <w:szCs w:val="24"/>
        </w:rPr>
      </w:pPr>
      <w:r w:rsidRPr="007A2187">
        <w:rPr>
          <w:rFonts w:eastAsia="Times New Roman" w:cs="Times New Roman"/>
          <w:szCs w:val="24"/>
        </w:rPr>
        <w:t>jmenuje a odvolává generálního ředitele a rozhoduje o všech náležitostech jeho pracovněprávního vztahu;</w:t>
      </w:r>
    </w:p>
    <w:p w14:paraId="13945B3C" w14:textId="2437E147" w:rsidR="006E240D" w:rsidRPr="00BF732B" w:rsidRDefault="006E240D" w:rsidP="00331FB1">
      <w:pPr>
        <w:numPr>
          <w:ilvl w:val="0"/>
          <w:numId w:val="12"/>
        </w:numPr>
        <w:contextualSpacing/>
        <w:rPr>
          <w:rFonts w:eastAsia="Times New Roman" w:cs="Times New Roman"/>
          <w:szCs w:val="24"/>
        </w:rPr>
      </w:pPr>
      <w:r w:rsidRPr="00BF732B">
        <w:rPr>
          <w:rFonts w:eastAsia="Times New Roman" w:cs="Times New Roman"/>
          <w:szCs w:val="24"/>
        </w:rPr>
        <w:t>schvaluje návrh změny statutu</w:t>
      </w:r>
      <w:r w:rsidR="00BF732B" w:rsidRPr="00BF732B">
        <w:rPr>
          <w:rFonts w:eastAsia="Times New Roman" w:cs="Times New Roman"/>
          <w:szCs w:val="24"/>
        </w:rPr>
        <w:t xml:space="preserve"> a </w:t>
      </w:r>
      <w:r w:rsidRPr="00BF732B">
        <w:rPr>
          <w:rFonts w:eastAsia="Times New Roman" w:cs="Times New Roman"/>
          <w:szCs w:val="24"/>
        </w:rPr>
        <w:t>návrh zdravotně pojistnéh</w:t>
      </w:r>
      <w:r w:rsidR="00A17B63">
        <w:rPr>
          <w:rFonts w:eastAsia="Times New Roman" w:cs="Times New Roman"/>
          <w:szCs w:val="24"/>
        </w:rPr>
        <w:t>o plánu, návrh</w:t>
      </w:r>
      <w:r w:rsidR="00A17B63" w:rsidRPr="00BF732B">
        <w:rPr>
          <w:rFonts w:eastAsia="Times New Roman" w:cs="Times New Roman"/>
          <w:szCs w:val="24"/>
        </w:rPr>
        <w:t xml:space="preserve"> výroční zprávy</w:t>
      </w:r>
      <w:r w:rsidR="00A17B63">
        <w:rPr>
          <w:rFonts w:eastAsia="Times New Roman" w:cs="Times New Roman"/>
          <w:szCs w:val="24"/>
        </w:rPr>
        <w:t xml:space="preserve"> a účetní závěrku</w:t>
      </w:r>
      <w:r w:rsidRPr="00BF732B">
        <w:rPr>
          <w:rFonts w:eastAsia="Times New Roman" w:cs="Times New Roman"/>
          <w:szCs w:val="24"/>
        </w:rPr>
        <w:t>;</w:t>
      </w:r>
    </w:p>
    <w:p w14:paraId="5715B0B2" w14:textId="3ACEBA39" w:rsidR="006E240D" w:rsidRPr="00BF732B" w:rsidRDefault="006E240D" w:rsidP="00331FB1">
      <w:pPr>
        <w:numPr>
          <w:ilvl w:val="0"/>
          <w:numId w:val="12"/>
        </w:numPr>
        <w:contextualSpacing/>
        <w:rPr>
          <w:rFonts w:eastAsia="Times New Roman" w:cs="Times New Roman"/>
          <w:szCs w:val="24"/>
        </w:rPr>
      </w:pPr>
      <w:r w:rsidRPr="007A2187">
        <w:rPr>
          <w:rFonts w:eastAsia="Times New Roman" w:cs="Times New Roman"/>
          <w:szCs w:val="24"/>
        </w:rPr>
        <w:t>schv</w:t>
      </w:r>
      <w:r w:rsidR="00BF732B">
        <w:rPr>
          <w:rFonts w:eastAsia="Times New Roman" w:cs="Times New Roman"/>
          <w:szCs w:val="24"/>
        </w:rPr>
        <w:t>a</w:t>
      </w:r>
      <w:r w:rsidRPr="007A2187">
        <w:rPr>
          <w:rFonts w:eastAsia="Times New Roman" w:cs="Times New Roman"/>
          <w:szCs w:val="24"/>
        </w:rPr>
        <w:t>l</w:t>
      </w:r>
      <w:r w:rsidR="00BF732B">
        <w:rPr>
          <w:rFonts w:eastAsia="Times New Roman" w:cs="Times New Roman"/>
          <w:szCs w:val="24"/>
        </w:rPr>
        <w:t>uje</w:t>
      </w:r>
      <w:r w:rsidRPr="007A2187">
        <w:rPr>
          <w:rFonts w:eastAsia="Times New Roman" w:cs="Times New Roman"/>
          <w:szCs w:val="24"/>
        </w:rPr>
        <w:t xml:space="preserve"> zásad</w:t>
      </w:r>
      <w:r w:rsidR="00BF732B">
        <w:rPr>
          <w:rFonts w:eastAsia="Times New Roman" w:cs="Times New Roman"/>
          <w:szCs w:val="24"/>
        </w:rPr>
        <w:t>y smluvní politiky.</w:t>
      </w:r>
    </w:p>
    <w:p w14:paraId="0EBE7FEE" w14:textId="77777777" w:rsidR="006E240D" w:rsidRPr="007A2187" w:rsidRDefault="006E240D" w:rsidP="006E240D">
      <w:pPr>
        <w:rPr>
          <w:b/>
        </w:rPr>
      </w:pPr>
    </w:p>
    <w:p w14:paraId="6120CCBB" w14:textId="7EFA5114" w:rsidR="006E240D" w:rsidRPr="007A2187" w:rsidRDefault="00B80B0B" w:rsidP="006E240D">
      <w:r w:rsidRPr="007A2187">
        <w:t xml:space="preserve">Kontrolním orgánem je </w:t>
      </w:r>
      <w:r>
        <w:t>d</w:t>
      </w:r>
      <w:r w:rsidRPr="007A2187">
        <w:t>ozorčí rada ZP MV ČR (dále také „DR</w:t>
      </w:r>
      <w:r w:rsidRPr="004D2728">
        <w:t xml:space="preserve">“). </w:t>
      </w:r>
      <w:r w:rsidR="006E240D" w:rsidRPr="004D2728">
        <w:t>Dozorčí rada má</w:t>
      </w:r>
      <w:r w:rsidR="006E240D" w:rsidRPr="007A2187">
        <w:t xml:space="preserve"> </w:t>
      </w:r>
      <w:r w:rsidR="008C1BED">
        <w:br/>
      </w:r>
      <w:r w:rsidR="006E240D" w:rsidRPr="007A2187">
        <w:t xml:space="preserve">devět členů, z nichž tři </w:t>
      </w:r>
      <w:r w:rsidR="00A17B63">
        <w:t xml:space="preserve">jsou </w:t>
      </w:r>
      <w:r w:rsidR="006E240D" w:rsidRPr="007A2187">
        <w:t>jmenováni vládou, tři zvoleni na návrh reprezentativních odborových organizací a tři na návrh reprezentativních organizací zaměstnavatelů. Zákonem č.</w:t>
      </w:r>
      <w:r w:rsidR="008C1BED">
        <w:t> </w:t>
      </w:r>
      <w:r w:rsidR="006E240D" w:rsidRPr="007A2187">
        <w:t>280/1992</w:t>
      </w:r>
      <w:r w:rsidR="008C1BED">
        <w:t> </w:t>
      </w:r>
      <w:r w:rsidR="006E240D" w:rsidRPr="007A2187">
        <w:t xml:space="preserve">Sb. není její činnost blíže specifikována. </w:t>
      </w:r>
      <w:r w:rsidR="009B178B">
        <w:t>DR d</w:t>
      </w:r>
      <w:r w:rsidR="006E240D" w:rsidRPr="007A2187">
        <w:t xml:space="preserve">le statutu </w:t>
      </w:r>
      <w:r w:rsidR="00BF732B">
        <w:t>zejména</w:t>
      </w:r>
      <w:r w:rsidR="006E240D" w:rsidRPr="007A2187">
        <w:t>:</w:t>
      </w:r>
    </w:p>
    <w:p w14:paraId="007DB3BA" w14:textId="3F3EA7FE" w:rsidR="006E240D" w:rsidRPr="007A2187" w:rsidRDefault="006E240D" w:rsidP="00331FB1">
      <w:pPr>
        <w:numPr>
          <w:ilvl w:val="0"/>
          <w:numId w:val="13"/>
        </w:numPr>
        <w:contextualSpacing/>
        <w:rPr>
          <w:rFonts w:eastAsia="Times New Roman" w:cs="Times New Roman"/>
          <w:szCs w:val="24"/>
        </w:rPr>
      </w:pPr>
      <w:r w:rsidRPr="007A2187">
        <w:rPr>
          <w:rFonts w:eastAsia="Times New Roman" w:cs="Times New Roman"/>
          <w:szCs w:val="24"/>
        </w:rPr>
        <w:t>projednává návrh</w:t>
      </w:r>
      <w:r w:rsidR="00BF732B">
        <w:rPr>
          <w:rFonts w:eastAsia="Times New Roman" w:cs="Times New Roman"/>
          <w:szCs w:val="24"/>
        </w:rPr>
        <w:t>y</w:t>
      </w:r>
      <w:r w:rsidRPr="007A2187">
        <w:rPr>
          <w:rFonts w:eastAsia="Times New Roman" w:cs="Times New Roman"/>
          <w:szCs w:val="24"/>
        </w:rPr>
        <w:t xml:space="preserve"> zdravotně pojistného plánu</w:t>
      </w:r>
      <w:r w:rsidR="00BF732B">
        <w:rPr>
          <w:rFonts w:eastAsia="Times New Roman" w:cs="Times New Roman"/>
          <w:szCs w:val="24"/>
        </w:rPr>
        <w:t xml:space="preserve">, </w:t>
      </w:r>
      <w:r w:rsidR="00BF732B" w:rsidRPr="00BF732B">
        <w:rPr>
          <w:rFonts w:eastAsia="Times New Roman" w:cs="Times New Roman"/>
          <w:szCs w:val="24"/>
        </w:rPr>
        <w:t>výroční zprávy a účetní závěrky</w:t>
      </w:r>
      <w:r w:rsidRPr="007A2187">
        <w:rPr>
          <w:rFonts w:eastAsia="Times New Roman" w:cs="Times New Roman"/>
          <w:szCs w:val="24"/>
        </w:rPr>
        <w:t xml:space="preserve"> a sv</w:t>
      </w:r>
      <w:r w:rsidR="008C1BED">
        <w:rPr>
          <w:rFonts w:eastAsia="Times New Roman" w:cs="Times New Roman"/>
          <w:szCs w:val="24"/>
        </w:rPr>
        <w:t>á</w:t>
      </w:r>
      <w:r w:rsidRPr="007A2187">
        <w:rPr>
          <w:rFonts w:eastAsia="Times New Roman" w:cs="Times New Roman"/>
          <w:szCs w:val="24"/>
        </w:rPr>
        <w:t xml:space="preserve"> stanovisk</w:t>
      </w:r>
      <w:r w:rsidR="008C1BED">
        <w:rPr>
          <w:rFonts w:eastAsia="Times New Roman" w:cs="Times New Roman"/>
          <w:szCs w:val="24"/>
        </w:rPr>
        <w:t>a</w:t>
      </w:r>
      <w:r w:rsidRPr="007A2187">
        <w:rPr>
          <w:rFonts w:eastAsia="Times New Roman" w:cs="Times New Roman"/>
          <w:szCs w:val="24"/>
        </w:rPr>
        <w:t xml:space="preserve"> předkládá správní radě;</w:t>
      </w:r>
    </w:p>
    <w:p w14:paraId="71649C37" w14:textId="3690A8F4" w:rsidR="006E240D" w:rsidRPr="007A2187" w:rsidRDefault="006E240D" w:rsidP="00331FB1">
      <w:pPr>
        <w:numPr>
          <w:ilvl w:val="0"/>
          <w:numId w:val="13"/>
        </w:numPr>
        <w:contextualSpacing/>
        <w:rPr>
          <w:rFonts w:eastAsia="Times New Roman" w:cs="Times New Roman"/>
          <w:szCs w:val="24"/>
        </w:rPr>
      </w:pPr>
      <w:r w:rsidRPr="007A2187">
        <w:rPr>
          <w:rFonts w:eastAsia="Times New Roman" w:cs="Times New Roman"/>
          <w:szCs w:val="24"/>
        </w:rPr>
        <w:t>kontroluje pl</w:t>
      </w:r>
      <w:r w:rsidR="00BF732B">
        <w:rPr>
          <w:rFonts w:eastAsia="Times New Roman" w:cs="Times New Roman"/>
          <w:szCs w:val="24"/>
        </w:rPr>
        <w:t>nění zdravotně pojistného plánu.</w:t>
      </w:r>
    </w:p>
    <w:p w14:paraId="41C2A420" w14:textId="77777777" w:rsidR="006E240D" w:rsidRPr="007A2187" w:rsidRDefault="006E240D" w:rsidP="006E240D">
      <w:pPr>
        <w:contextualSpacing/>
        <w:rPr>
          <w:rFonts w:eastAsia="Times New Roman" w:cs="Times New Roman"/>
          <w:szCs w:val="24"/>
        </w:rPr>
      </w:pPr>
    </w:p>
    <w:p w14:paraId="631F40F4" w14:textId="4B4E4E6D" w:rsidR="006E240D" w:rsidRPr="007A2187" w:rsidRDefault="00B80B0B" w:rsidP="006E240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Pr="007A2187">
        <w:rPr>
          <w:rFonts w:eastAsia="Times New Roman" w:cs="Times New Roman"/>
          <w:szCs w:val="24"/>
        </w:rPr>
        <w:t>tatutárním</w:t>
      </w:r>
      <w:r>
        <w:rPr>
          <w:rFonts w:eastAsia="Times New Roman" w:cs="Times New Roman"/>
          <w:szCs w:val="24"/>
        </w:rPr>
        <w:t xml:space="preserve"> a </w:t>
      </w:r>
      <w:r w:rsidRPr="007A2187">
        <w:rPr>
          <w:rFonts w:eastAsia="Times New Roman" w:cs="Times New Roman"/>
          <w:szCs w:val="24"/>
        </w:rPr>
        <w:t>výkonným</w:t>
      </w:r>
      <w:r>
        <w:rPr>
          <w:rFonts w:eastAsia="Times New Roman" w:cs="Times New Roman"/>
          <w:szCs w:val="24"/>
        </w:rPr>
        <w:t xml:space="preserve"> orgánem ZP MV ČR </w:t>
      </w:r>
      <w:r w:rsidRPr="004D2728">
        <w:rPr>
          <w:rFonts w:eastAsia="Times New Roman" w:cs="Times New Roman"/>
          <w:szCs w:val="24"/>
        </w:rPr>
        <w:t>je g</w:t>
      </w:r>
      <w:r w:rsidR="006E240D" w:rsidRPr="004D2728">
        <w:rPr>
          <w:rFonts w:eastAsia="Times New Roman" w:cs="Times New Roman"/>
          <w:szCs w:val="24"/>
        </w:rPr>
        <w:t>enerální ředitel</w:t>
      </w:r>
      <w:r w:rsidR="006E240D" w:rsidRPr="007A218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(dále také „GŘ“)</w:t>
      </w:r>
      <w:r w:rsidR="00DD6321">
        <w:rPr>
          <w:rFonts w:eastAsia="Times New Roman" w:cs="Times New Roman"/>
          <w:szCs w:val="24"/>
        </w:rPr>
        <w:t>.</w:t>
      </w:r>
      <w:r w:rsidR="006E240D" w:rsidRPr="007A2187">
        <w:rPr>
          <w:rFonts w:eastAsia="Times New Roman" w:cs="Times New Roman"/>
          <w:szCs w:val="24"/>
        </w:rPr>
        <w:t xml:space="preserve"> Jeho činnost </w:t>
      </w:r>
      <w:r w:rsidR="00BF732B">
        <w:rPr>
          <w:rFonts w:eastAsia="Times New Roman" w:cs="Times New Roman"/>
          <w:szCs w:val="24"/>
        </w:rPr>
        <w:t xml:space="preserve">spočívá zejména v </w:t>
      </w:r>
      <w:r w:rsidR="006E240D" w:rsidRPr="007A2187">
        <w:rPr>
          <w:rFonts w:eastAsia="Times New Roman" w:cs="Times New Roman"/>
          <w:szCs w:val="24"/>
        </w:rPr>
        <w:t>řízení pojišťovny v souladu s právními předp</w:t>
      </w:r>
      <w:r w:rsidR="00BF732B">
        <w:rPr>
          <w:rFonts w:eastAsia="Times New Roman" w:cs="Times New Roman"/>
          <w:szCs w:val="24"/>
        </w:rPr>
        <w:t xml:space="preserve">isy a rozhodnutími správní rady. </w:t>
      </w:r>
      <w:r w:rsidR="006E240D" w:rsidRPr="007A2187">
        <w:rPr>
          <w:rFonts w:eastAsia="Times New Roman" w:cs="Times New Roman"/>
          <w:szCs w:val="24"/>
        </w:rPr>
        <w:t>Generální</w:t>
      </w:r>
      <w:r w:rsidR="00BF732B">
        <w:rPr>
          <w:rFonts w:eastAsia="Times New Roman" w:cs="Times New Roman"/>
          <w:szCs w:val="24"/>
        </w:rPr>
        <w:t>ho</w:t>
      </w:r>
      <w:r w:rsidR="006E240D" w:rsidRPr="007A2187">
        <w:rPr>
          <w:rFonts w:eastAsia="Times New Roman" w:cs="Times New Roman"/>
          <w:szCs w:val="24"/>
        </w:rPr>
        <w:t xml:space="preserve"> ředitel</w:t>
      </w:r>
      <w:r w:rsidR="00BF732B">
        <w:rPr>
          <w:rFonts w:eastAsia="Times New Roman" w:cs="Times New Roman"/>
          <w:szCs w:val="24"/>
        </w:rPr>
        <w:t>e</w:t>
      </w:r>
      <w:r w:rsidR="006E240D" w:rsidRPr="007A2187">
        <w:rPr>
          <w:rFonts w:eastAsia="Times New Roman" w:cs="Times New Roman"/>
          <w:szCs w:val="24"/>
        </w:rPr>
        <w:t xml:space="preserve"> jmen</w:t>
      </w:r>
      <w:r w:rsidR="00BF732B">
        <w:rPr>
          <w:rFonts w:eastAsia="Times New Roman" w:cs="Times New Roman"/>
          <w:szCs w:val="24"/>
        </w:rPr>
        <w:t>uje SR</w:t>
      </w:r>
      <w:r w:rsidR="006E240D" w:rsidRPr="007A2187">
        <w:rPr>
          <w:rFonts w:eastAsia="Times New Roman" w:cs="Times New Roman"/>
          <w:szCs w:val="24"/>
        </w:rPr>
        <w:t xml:space="preserve"> na dobu čtyř let</w:t>
      </w:r>
      <w:r w:rsidR="00DF05F7">
        <w:rPr>
          <w:rFonts w:eastAsia="Times New Roman" w:cs="Times New Roman"/>
          <w:szCs w:val="24"/>
        </w:rPr>
        <w:t>;</w:t>
      </w:r>
      <w:r w:rsidR="001B3AED">
        <w:rPr>
          <w:rFonts w:eastAsia="Times New Roman" w:cs="Times New Roman"/>
          <w:szCs w:val="24"/>
        </w:rPr>
        <w:t xml:space="preserve"> ta ho může také</w:t>
      </w:r>
      <w:r w:rsidR="0051578D">
        <w:rPr>
          <w:rFonts w:eastAsia="Times New Roman" w:cs="Times New Roman"/>
          <w:szCs w:val="24"/>
        </w:rPr>
        <w:t xml:space="preserve"> odvolat i </w:t>
      </w:r>
      <w:r w:rsidR="006E240D" w:rsidRPr="007A2187">
        <w:rPr>
          <w:rFonts w:eastAsia="Times New Roman" w:cs="Times New Roman"/>
          <w:szCs w:val="24"/>
        </w:rPr>
        <w:t>před uplynutím funkčního období, na které byl jmenován.</w:t>
      </w:r>
    </w:p>
    <w:p w14:paraId="1F4039B3" w14:textId="77777777" w:rsidR="00334A99" w:rsidRPr="007A2187" w:rsidRDefault="00334A99" w:rsidP="006E240D">
      <w:pPr>
        <w:contextualSpacing/>
        <w:rPr>
          <w:rFonts w:eastAsia="Times New Roman" w:cs="Times New Roman"/>
          <w:szCs w:val="24"/>
        </w:rPr>
      </w:pPr>
    </w:p>
    <w:p w14:paraId="7DF25127" w14:textId="5EB109B6" w:rsidR="00334A99" w:rsidRPr="007A2187" w:rsidRDefault="000D542C" w:rsidP="006E240D">
      <w:pPr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SR</w:t>
      </w:r>
      <w:r w:rsidR="00334A99" w:rsidRPr="007A2187">
        <w:rPr>
          <w:rFonts w:eastAsia="Times New Roman" w:cs="Times New Roman"/>
          <w:szCs w:val="24"/>
        </w:rPr>
        <w:t xml:space="preserve"> a </w:t>
      </w:r>
      <w:r>
        <w:rPr>
          <w:rFonts w:eastAsia="Times New Roman" w:cs="Times New Roman"/>
          <w:szCs w:val="24"/>
        </w:rPr>
        <w:t>DR</w:t>
      </w:r>
      <w:r w:rsidR="00334A99" w:rsidRPr="007A2187">
        <w:rPr>
          <w:rFonts w:eastAsia="Times New Roman" w:cs="Times New Roman"/>
          <w:szCs w:val="24"/>
        </w:rPr>
        <w:t xml:space="preserve"> zasedaly v roce 2012 šestkrát a v roce 2013 sedmkrát. </w:t>
      </w:r>
      <w:r w:rsidR="00BF732B">
        <w:rPr>
          <w:rFonts w:eastAsia="Times New Roman" w:cs="Times New Roman"/>
          <w:szCs w:val="24"/>
        </w:rPr>
        <w:t>V zápisech</w:t>
      </w:r>
      <w:r w:rsidR="0051578D">
        <w:rPr>
          <w:rFonts w:eastAsia="Times New Roman" w:cs="Times New Roman"/>
          <w:szCs w:val="24"/>
        </w:rPr>
        <w:t xml:space="preserve"> z jednání SR a DR v </w:t>
      </w:r>
      <w:r w:rsidR="00334A99" w:rsidRPr="007A2187">
        <w:rPr>
          <w:rFonts w:eastAsia="Times New Roman" w:cs="Times New Roman"/>
          <w:szCs w:val="24"/>
        </w:rPr>
        <w:t xml:space="preserve">letech 2012 a 2013 </w:t>
      </w:r>
      <w:r w:rsidR="00A360AC">
        <w:rPr>
          <w:rFonts w:eastAsia="Times New Roman" w:cs="Times New Roman"/>
          <w:szCs w:val="24"/>
        </w:rPr>
        <w:t>bylo</w:t>
      </w:r>
      <w:r w:rsidR="00BF732B">
        <w:rPr>
          <w:rFonts w:eastAsia="Times New Roman" w:cs="Times New Roman"/>
          <w:szCs w:val="24"/>
        </w:rPr>
        <w:t xml:space="preserve"> uvedeno</w:t>
      </w:r>
      <w:r w:rsidR="00334A99" w:rsidRPr="007A2187">
        <w:rPr>
          <w:rFonts w:eastAsia="Times New Roman" w:cs="Times New Roman"/>
          <w:szCs w:val="24"/>
        </w:rPr>
        <w:t xml:space="preserve">, </w:t>
      </w:r>
      <w:r w:rsidR="00BF732B">
        <w:rPr>
          <w:rFonts w:eastAsia="Times New Roman" w:cs="Times New Roman"/>
          <w:szCs w:val="24"/>
        </w:rPr>
        <w:t xml:space="preserve">že </w:t>
      </w:r>
      <w:r w:rsidR="00334A99" w:rsidRPr="007A2187">
        <w:rPr>
          <w:rFonts w:eastAsia="Times New Roman" w:cs="Times New Roman"/>
          <w:szCs w:val="24"/>
        </w:rPr>
        <w:t xml:space="preserve">GŘ informoval členy </w:t>
      </w:r>
      <w:r>
        <w:rPr>
          <w:rFonts w:eastAsia="Times New Roman" w:cs="Times New Roman"/>
          <w:szCs w:val="24"/>
        </w:rPr>
        <w:t>SR a DR</w:t>
      </w:r>
      <w:r w:rsidR="00334A99" w:rsidRPr="007A2187">
        <w:rPr>
          <w:rFonts w:eastAsia="Times New Roman" w:cs="Times New Roman"/>
          <w:szCs w:val="24"/>
        </w:rPr>
        <w:t xml:space="preserve"> o činnosti ZP MV ČR od posledního zasedání, o hospodaření ZP MV ČR, o veřejných zakázkách, o personálních změnách, o prodeji nemovitého majetku, o čerpání fondu prevence, o projektu </w:t>
      </w:r>
      <w:r w:rsidR="00334A99" w:rsidRPr="003B6E55">
        <w:rPr>
          <w:rFonts w:eastAsia="Times New Roman" w:cs="Times New Roman"/>
          <w:i/>
          <w:szCs w:val="24"/>
        </w:rPr>
        <w:t>Zdraví jako vá</w:t>
      </w:r>
      <w:r w:rsidR="00F2181A" w:rsidRPr="003B6E55">
        <w:rPr>
          <w:rFonts w:eastAsia="Times New Roman" w:cs="Times New Roman"/>
          <w:i/>
          <w:szCs w:val="24"/>
        </w:rPr>
        <w:t>šeň</w:t>
      </w:r>
      <w:r w:rsidR="00F2181A" w:rsidRPr="007A2187">
        <w:rPr>
          <w:rFonts w:eastAsia="Times New Roman" w:cs="Times New Roman"/>
          <w:szCs w:val="24"/>
        </w:rPr>
        <w:t xml:space="preserve">, o projektu </w:t>
      </w:r>
      <w:r w:rsidR="00F2181A" w:rsidRPr="003B6E55">
        <w:rPr>
          <w:rFonts w:eastAsia="Times New Roman" w:cs="Times New Roman"/>
          <w:i/>
          <w:szCs w:val="24"/>
        </w:rPr>
        <w:t>Karta života</w:t>
      </w:r>
      <w:r w:rsidR="00334A99" w:rsidRPr="007A2187">
        <w:rPr>
          <w:rFonts w:eastAsia="Times New Roman" w:cs="Times New Roman"/>
          <w:szCs w:val="24"/>
        </w:rPr>
        <w:t>, o probíhajících soudních sporech</w:t>
      </w:r>
      <w:r w:rsidR="00BF732B">
        <w:rPr>
          <w:rFonts w:eastAsia="Times New Roman" w:cs="Times New Roman"/>
          <w:szCs w:val="24"/>
        </w:rPr>
        <w:t>,</w:t>
      </w:r>
      <w:r w:rsidR="00334A99" w:rsidRPr="007A2187">
        <w:rPr>
          <w:rFonts w:eastAsia="Times New Roman" w:cs="Times New Roman"/>
          <w:szCs w:val="24"/>
        </w:rPr>
        <w:t xml:space="preserve"> trestních řízeních apod. </w:t>
      </w:r>
      <w:r w:rsidR="00BF732B">
        <w:rPr>
          <w:rFonts w:eastAsia="Times New Roman" w:cs="Times New Roman"/>
          <w:szCs w:val="24"/>
        </w:rPr>
        <w:t>Z</w:t>
      </w:r>
      <w:r w:rsidR="000A324C">
        <w:rPr>
          <w:rFonts w:eastAsia="Times New Roman" w:cs="Times New Roman"/>
          <w:szCs w:val="24"/>
        </w:rPr>
        <w:t> </w:t>
      </w:r>
      <w:r w:rsidR="00334A99" w:rsidRPr="007A2187">
        <w:rPr>
          <w:rFonts w:eastAsia="Times New Roman" w:cs="Times New Roman"/>
          <w:szCs w:val="24"/>
        </w:rPr>
        <w:t xml:space="preserve">uvedených zápisů </w:t>
      </w:r>
      <w:r w:rsidR="00BF732B">
        <w:rPr>
          <w:rFonts w:eastAsia="Times New Roman" w:cs="Times New Roman"/>
          <w:szCs w:val="24"/>
        </w:rPr>
        <w:t>je zřejmé</w:t>
      </w:r>
      <w:r w:rsidR="00334A99" w:rsidRPr="007A2187">
        <w:rPr>
          <w:rFonts w:eastAsia="Times New Roman" w:cs="Times New Roman"/>
          <w:szCs w:val="24"/>
        </w:rPr>
        <w:t xml:space="preserve">, že jednání SR a DR se vždy účastnila převážná většina jejich členů a </w:t>
      </w:r>
      <w:r w:rsidR="00DF05F7">
        <w:rPr>
          <w:rFonts w:eastAsia="Times New Roman" w:cs="Times New Roman"/>
          <w:szCs w:val="24"/>
        </w:rPr>
        <w:t>výsledek hlasování byl v převážné většině</w:t>
      </w:r>
      <w:r w:rsidR="00334A99" w:rsidRPr="007A2187">
        <w:rPr>
          <w:rFonts w:eastAsia="Times New Roman" w:cs="Times New Roman"/>
          <w:szCs w:val="24"/>
        </w:rPr>
        <w:t xml:space="preserve"> jednohlasně pro.</w:t>
      </w:r>
    </w:p>
    <w:p w14:paraId="5AA7DF19" w14:textId="77777777" w:rsidR="00B80B0B" w:rsidRDefault="00B80B0B" w:rsidP="008656BA"/>
    <w:p w14:paraId="75FC4140" w14:textId="337F2019" w:rsidR="008656BA" w:rsidRPr="007A2187" w:rsidRDefault="00BF732B" w:rsidP="008656BA">
      <w:r>
        <w:lastRenderedPageBreak/>
        <w:t>Ze</w:t>
      </w:r>
      <w:r w:rsidR="008656BA" w:rsidRPr="007A2187">
        <w:t xml:space="preserve"> zápisů ze zasedání správní rady v letech 2012 a 2013 vyplývá, že členové </w:t>
      </w:r>
      <w:r w:rsidR="00B8637D">
        <w:t>SR a DR</w:t>
      </w:r>
      <w:r w:rsidR="008656BA" w:rsidRPr="007A2187">
        <w:t xml:space="preserve"> byli odměňováni na základě správní radou schváleného dokumentu </w:t>
      </w:r>
      <w:r w:rsidR="008656BA" w:rsidRPr="003B6E55">
        <w:rPr>
          <w:i/>
        </w:rPr>
        <w:t>Zásady pro poskytování odměn členům Správní rady, Dozorčí rady, Rozhodčího orgánu a Výboru pro audit Zdravotní pojišťovny ministerstva vnitra České republiky</w:t>
      </w:r>
      <w:r w:rsidR="008656BA" w:rsidRPr="007A2187">
        <w:t>. Za úspěšné plnění hospodářských</w:t>
      </w:r>
      <w:r w:rsidR="0051578D">
        <w:t xml:space="preserve"> výsledků a </w:t>
      </w:r>
      <w:r w:rsidR="008656BA" w:rsidRPr="007A2187">
        <w:t>úspěšné splnění mimořádných úkolů mohly být přiznány další odměny. V následující tabulce jsou uvedeny průměrné roční úhrnné odměny člena správní a dozorčí rady.</w:t>
      </w:r>
    </w:p>
    <w:p w14:paraId="2CAF32C8" w14:textId="77777777" w:rsidR="0004183A" w:rsidRPr="007A2187" w:rsidRDefault="0004183A" w:rsidP="006E240D">
      <w:pPr>
        <w:contextualSpacing/>
        <w:rPr>
          <w:rFonts w:eastAsia="Times New Roman" w:cs="Times New Roman"/>
          <w:szCs w:val="24"/>
        </w:rPr>
      </w:pPr>
    </w:p>
    <w:p w14:paraId="581D428E" w14:textId="2EFF1C13" w:rsidR="008656BA" w:rsidRPr="006234BA" w:rsidRDefault="006234BA" w:rsidP="006234BA">
      <w:pPr>
        <w:pStyle w:val="Nzevtabulky"/>
        <w:numPr>
          <w:ilvl w:val="0"/>
          <w:numId w:val="0"/>
        </w:numPr>
        <w:tabs>
          <w:tab w:val="right" w:pos="9070"/>
        </w:tabs>
        <w:rPr>
          <w:b/>
        </w:rPr>
      </w:pPr>
      <w:r w:rsidRPr="006234BA">
        <w:rPr>
          <w:b/>
        </w:rPr>
        <w:t xml:space="preserve">Tabulka </w:t>
      </w:r>
      <w:r>
        <w:rPr>
          <w:b/>
        </w:rPr>
        <w:t xml:space="preserve">č. </w:t>
      </w:r>
      <w:r w:rsidRPr="006234BA">
        <w:rPr>
          <w:b/>
        </w:rPr>
        <w:t>2</w:t>
      </w:r>
      <w:r>
        <w:rPr>
          <w:b/>
        </w:rPr>
        <w:t xml:space="preserve"> –</w:t>
      </w:r>
      <w:r w:rsidRPr="006234BA">
        <w:rPr>
          <w:b/>
        </w:rPr>
        <w:t xml:space="preserve"> </w:t>
      </w:r>
      <w:r w:rsidR="008656BA" w:rsidRPr="006234BA">
        <w:rPr>
          <w:b/>
        </w:rPr>
        <w:t xml:space="preserve">Odměňování členů </w:t>
      </w:r>
      <w:r w:rsidR="00FA4881" w:rsidRPr="006234BA">
        <w:rPr>
          <w:b/>
        </w:rPr>
        <w:t>správní a dozorčí rady</w:t>
      </w:r>
      <w:r w:rsidR="005B738A" w:rsidRPr="006234BA">
        <w:rPr>
          <w:b/>
        </w:rPr>
        <w:t xml:space="preserve"> ZP MV ČR</w:t>
      </w:r>
      <w:r w:rsidR="00DE30E2" w:rsidRPr="006234BA">
        <w:rPr>
          <w:b/>
        </w:rPr>
        <w:t xml:space="preserve"> </w:t>
      </w:r>
      <w:r w:rsidRPr="006234BA">
        <w:rPr>
          <w:b/>
        </w:rPr>
        <w:tab/>
      </w:r>
      <w:r w:rsidR="00DE30E2" w:rsidRPr="006234BA">
        <w:rPr>
          <w:b/>
        </w:rPr>
        <w:t>(v Kč)</w:t>
      </w:r>
    </w:p>
    <w:tbl>
      <w:tblPr>
        <w:tblStyle w:val="Mkatabulky2"/>
        <w:tblW w:w="4912" w:type="pct"/>
        <w:tblInd w:w="57" w:type="dxa"/>
        <w:tblLook w:val="04A0" w:firstRow="1" w:lastRow="0" w:firstColumn="1" w:lastColumn="0" w:noHBand="0" w:noVBand="1"/>
      </w:tblPr>
      <w:tblGrid>
        <w:gridCol w:w="5437"/>
        <w:gridCol w:w="1228"/>
        <w:gridCol w:w="1228"/>
        <w:gridCol w:w="1230"/>
      </w:tblGrid>
      <w:tr w:rsidR="008656BA" w:rsidRPr="007A2187" w14:paraId="378A0416" w14:textId="77777777" w:rsidTr="003B6E55">
        <w:tc>
          <w:tcPr>
            <w:tcW w:w="2980" w:type="pct"/>
            <w:shd w:val="clear" w:color="auto" w:fill="C6D9F1" w:themeFill="text2" w:themeFillTint="33"/>
            <w:vAlign w:val="center"/>
          </w:tcPr>
          <w:p w14:paraId="758F2610" w14:textId="77777777" w:rsidR="008656BA" w:rsidRPr="007A2187" w:rsidRDefault="008656BA" w:rsidP="008656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C6D9F1" w:themeFill="text2" w:themeFillTint="33"/>
            <w:vAlign w:val="center"/>
          </w:tcPr>
          <w:p w14:paraId="0FB423E9" w14:textId="77777777" w:rsidR="008656BA" w:rsidRPr="003B6E55" w:rsidRDefault="008656BA" w:rsidP="006234B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55">
              <w:rPr>
                <w:rFonts w:cstheme="minorHAnsi"/>
                <w:b/>
                <w:sz w:val="16"/>
                <w:szCs w:val="16"/>
              </w:rPr>
              <w:t>2012</w:t>
            </w:r>
          </w:p>
        </w:tc>
        <w:tc>
          <w:tcPr>
            <w:tcW w:w="673" w:type="pct"/>
            <w:shd w:val="clear" w:color="auto" w:fill="C6D9F1" w:themeFill="text2" w:themeFillTint="33"/>
            <w:vAlign w:val="center"/>
          </w:tcPr>
          <w:p w14:paraId="0CD24AEF" w14:textId="77777777" w:rsidR="008656BA" w:rsidRPr="003B6E55" w:rsidRDefault="008656BA" w:rsidP="006234B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55">
              <w:rPr>
                <w:rFonts w:cstheme="minorHAnsi"/>
                <w:b/>
                <w:sz w:val="16"/>
                <w:szCs w:val="16"/>
              </w:rPr>
              <w:t>2013</w:t>
            </w:r>
          </w:p>
        </w:tc>
        <w:tc>
          <w:tcPr>
            <w:tcW w:w="674" w:type="pct"/>
            <w:shd w:val="clear" w:color="auto" w:fill="C6D9F1" w:themeFill="text2" w:themeFillTint="33"/>
            <w:vAlign w:val="center"/>
          </w:tcPr>
          <w:p w14:paraId="7A916985" w14:textId="77777777" w:rsidR="008656BA" w:rsidRPr="003B6E55" w:rsidRDefault="008656BA" w:rsidP="006234B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55">
              <w:rPr>
                <w:rFonts w:cstheme="minorHAnsi"/>
                <w:b/>
                <w:sz w:val="16"/>
                <w:szCs w:val="16"/>
              </w:rPr>
              <w:t>2014</w:t>
            </w:r>
          </w:p>
        </w:tc>
      </w:tr>
      <w:tr w:rsidR="008656BA" w:rsidRPr="007A2187" w14:paraId="70E505A3" w14:textId="77777777" w:rsidTr="007748A7">
        <w:tc>
          <w:tcPr>
            <w:tcW w:w="2980" w:type="pct"/>
            <w:vAlign w:val="center"/>
          </w:tcPr>
          <w:p w14:paraId="5EE7C378" w14:textId="039D1867" w:rsidR="008656BA" w:rsidRPr="00671DC8" w:rsidRDefault="008656BA" w:rsidP="008656BA">
            <w:pPr>
              <w:jc w:val="left"/>
              <w:rPr>
                <w:rFonts w:cstheme="minorHAnsi"/>
                <w:sz w:val="16"/>
                <w:szCs w:val="16"/>
              </w:rPr>
            </w:pPr>
            <w:r w:rsidRPr="00671DC8">
              <w:rPr>
                <w:rFonts w:cstheme="minorHAnsi"/>
                <w:sz w:val="16"/>
                <w:szCs w:val="16"/>
              </w:rPr>
              <w:t>Průměrn</w:t>
            </w:r>
            <w:r w:rsidR="005B738A" w:rsidRPr="00671DC8">
              <w:rPr>
                <w:rFonts w:cstheme="minorHAnsi"/>
                <w:sz w:val="16"/>
                <w:szCs w:val="16"/>
              </w:rPr>
              <w:t>á roční odměna člena SR</w:t>
            </w:r>
          </w:p>
        </w:tc>
        <w:tc>
          <w:tcPr>
            <w:tcW w:w="673" w:type="pct"/>
            <w:vAlign w:val="center"/>
          </w:tcPr>
          <w:p w14:paraId="7C42B3C6" w14:textId="77777777" w:rsidR="008656BA" w:rsidRPr="00671DC8" w:rsidRDefault="008656BA" w:rsidP="008656BA">
            <w:pPr>
              <w:jc w:val="right"/>
              <w:rPr>
                <w:rFonts w:cstheme="minorHAnsi"/>
                <w:sz w:val="16"/>
                <w:szCs w:val="16"/>
              </w:rPr>
            </w:pPr>
            <w:r w:rsidRPr="00671DC8">
              <w:rPr>
                <w:rFonts w:cstheme="minorHAnsi"/>
                <w:sz w:val="16"/>
                <w:szCs w:val="16"/>
              </w:rPr>
              <w:t>121 900</w:t>
            </w:r>
          </w:p>
        </w:tc>
        <w:tc>
          <w:tcPr>
            <w:tcW w:w="673" w:type="pct"/>
            <w:vAlign w:val="center"/>
          </w:tcPr>
          <w:p w14:paraId="25F7A353" w14:textId="77777777" w:rsidR="008656BA" w:rsidRPr="00671DC8" w:rsidRDefault="008656BA" w:rsidP="008656BA">
            <w:pPr>
              <w:jc w:val="right"/>
              <w:rPr>
                <w:rFonts w:cstheme="minorHAnsi"/>
                <w:sz w:val="16"/>
                <w:szCs w:val="16"/>
              </w:rPr>
            </w:pPr>
            <w:r w:rsidRPr="00671DC8">
              <w:rPr>
                <w:rFonts w:cstheme="minorHAnsi"/>
                <w:sz w:val="16"/>
                <w:szCs w:val="16"/>
              </w:rPr>
              <w:t>124 405</w:t>
            </w:r>
          </w:p>
        </w:tc>
        <w:tc>
          <w:tcPr>
            <w:tcW w:w="674" w:type="pct"/>
          </w:tcPr>
          <w:p w14:paraId="28416C50" w14:textId="77777777" w:rsidR="008656BA" w:rsidRPr="00671DC8" w:rsidRDefault="008656BA" w:rsidP="008656BA">
            <w:pPr>
              <w:jc w:val="right"/>
              <w:rPr>
                <w:rFonts w:cstheme="minorHAnsi"/>
                <w:sz w:val="16"/>
                <w:szCs w:val="16"/>
              </w:rPr>
            </w:pPr>
            <w:r w:rsidRPr="00671DC8">
              <w:rPr>
                <w:rFonts w:cstheme="minorHAnsi"/>
                <w:sz w:val="16"/>
                <w:szCs w:val="16"/>
              </w:rPr>
              <w:t>250 290</w:t>
            </w:r>
          </w:p>
        </w:tc>
      </w:tr>
      <w:tr w:rsidR="008656BA" w:rsidRPr="007A2187" w14:paraId="0FEA26A0" w14:textId="77777777" w:rsidTr="007748A7">
        <w:tc>
          <w:tcPr>
            <w:tcW w:w="2980" w:type="pct"/>
            <w:vAlign w:val="center"/>
          </w:tcPr>
          <w:p w14:paraId="1D16307C" w14:textId="3AF09C50" w:rsidR="008656BA" w:rsidRPr="00671DC8" w:rsidRDefault="008656BA" w:rsidP="008656BA">
            <w:pPr>
              <w:jc w:val="left"/>
              <w:rPr>
                <w:rFonts w:cstheme="minorHAnsi"/>
                <w:sz w:val="16"/>
                <w:szCs w:val="16"/>
                <w:vertAlign w:val="superscript"/>
              </w:rPr>
            </w:pPr>
            <w:r w:rsidRPr="00671DC8">
              <w:rPr>
                <w:rFonts w:cstheme="minorHAnsi"/>
                <w:sz w:val="16"/>
                <w:szCs w:val="16"/>
              </w:rPr>
              <w:t>Průměrn</w:t>
            </w:r>
            <w:r w:rsidR="005B738A" w:rsidRPr="00671DC8">
              <w:rPr>
                <w:rFonts w:cstheme="minorHAnsi"/>
                <w:sz w:val="16"/>
                <w:szCs w:val="16"/>
              </w:rPr>
              <w:t>á roční odměna člena DR</w:t>
            </w:r>
          </w:p>
        </w:tc>
        <w:tc>
          <w:tcPr>
            <w:tcW w:w="673" w:type="pct"/>
            <w:vAlign w:val="center"/>
          </w:tcPr>
          <w:p w14:paraId="774EB8AB" w14:textId="77777777" w:rsidR="008656BA" w:rsidRPr="00671DC8" w:rsidRDefault="008656BA" w:rsidP="008656BA">
            <w:pPr>
              <w:jc w:val="right"/>
              <w:rPr>
                <w:rFonts w:cstheme="minorHAnsi"/>
                <w:sz w:val="16"/>
                <w:szCs w:val="16"/>
              </w:rPr>
            </w:pPr>
            <w:r w:rsidRPr="00671DC8">
              <w:rPr>
                <w:rFonts w:cstheme="minorHAnsi"/>
                <w:sz w:val="16"/>
                <w:szCs w:val="16"/>
              </w:rPr>
              <w:t>126 025</w:t>
            </w:r>
          </w:p>
        </w:tc>
        <w:tc>
          <w:tcPr>
            <w:tcW w:w="673" w:type="pct"/>
            <w:vAlign w:val="center"/>
          </w:tcPr>
          <w:p w14:paraId="220F7E18" w14:textId="77777777" w:rsidR="008656BA" w:rsidRPr="00671DC8" w:rsidRDefault="008656BA" w:rsidP="008656BA">
            <w:pPr>
              <w:jc w:val="right"/>
              <w:rPr>
                <w:rFonts w:cstheme="minorHAnsi"/>
                <w:sz w:val="16"/>
                <w:szCs w:val="16"/>
              </w:rPr>
            </w:pPr>
            <w:r w:rsidRPr="00671DC8">
              <w:rPr>
                <w:rFonts w:cstheme="minorHAnsi"/>
                <w:sz w:val="16"/>
                <w:szCs w:val="16"/>
              </w:rPr>
              <w:t>127 033</w:t>
            </w:r>
          </w:p>
        </w:tc>
        <w:tc>
          <w:tcPr>
            <w:tcW w:w="674" w:type="pct"/>
          </w:tcPr>
          <w:p w14:paraId="47652FDE" w14:textId="77777777" w:rsidR="008656BA" w:rsidRPr="00671DC8" w:rsidRDefault="008656BA" w:rsidP="008656BA">
            <w:pPr>
              <w:jc w:val="right"/>
              <w:rPr>
                <w:rFonts w:cstheme="minorHAnsi"/>
                <w:sz w:val="16"/>
                <w:szCs w:val="16"/>
              </w:rPr>
            </w:pPr>
            <w:r w:rsidRPr="00671DC8">
              <w:rPr>
                <w:rFonts w:cstheme="minorHAnsi"/>
                <w:sz w:val="16"/>
                <w:szCs w:val="16"/>
              </w:rPr>
              <w:t>256 072</w:t>
            </w:r>
          </w:p>
        </w:tc>
      </w:tr>
    </w:tbl>
    <w:p w14:paraId="24D88CD6" w14:textId="0DF5AAF0" w:rsidR="008656BA" w:rsidRPr="00300E8F" w:rsidRDefault="008656BA" w:rsidP="003764C4">
      <w:pPr>
        <w:pStyle w:val="Poznmka"/>
      </w:pPr>
      <w:r w:rsidRPr="003B6E55">
        <w:rPr>
          <w:b/>
        </w:rPr>
        <w:t>Zdroj:</w:t>
      </w:r>
      <w:r w:rsidRPr="00300E8F">
        <w:t xml:space="preserve"> ZP MV ČR</w:t>
      </w:r>
      <w:r w:rsidR="0051578D">
        <w:t>.</w:t>
      </w:r>
    </w:p>
    <w:p w14:paraId="752696F9" w14:textId="77777777" w:rsidR="00B80B0B" w:rsidRDefault="00B80B0B" w:rsidP="008656BA">
      <w:pPr>
        <w:rPr>
          <w:rFonts w:eastAsia="Times New Roman" w:cs="Times New Roman"/>
          <w:szCs w:val="24"/>
        </w:rPr>
      </w:pPr>
    </w:p>
    <w:p w14:paraId="3FD7B012" w14:textId="0BE4D933" w:rsidR="00EC0149" w:rsidRDefault="00EB68B7" w:rsidP="00EC0149">
      <w:r w:rsidRPr="000D542C">
        <w:rPr>
          <w:rFonts w:eastAsia="Times New Roman" w:cs="Times New Roman"/>
          <w:szCs w:val="24"/>
        </w:rPr>
        <w:t xml:space="preserve">Generální ředitel ZP MV ČR pobíral mzdu. Mzdové podmínky </w:t>
      </w:r>
      <w:r w:rsidR="00C945B7" w:rsidRPr="000D542C">
        <w:rPr>
          <w:rFonts w:eastAsia="Times New Roman" w:cs="Times New Roman"/>
          <w:szCs w:val="24"/>
        </w:rPr>
        <w:t xml:space="preserve">GŘ </w:t>
      </w:r>
      <w:r w:rsidRPr="000D542C">
        <w:rPr>
          <w:rFonts w:eastAsia="Times New Roman" w:cs="Times New Roman"/>
          <w:szCs w:val="24"/>
        </w:rPr>
        <w:t>jsou stanoveny v mzdovém</w:t>
      </w:r>
      <w:r w:rsidRPr="007A2187">
        <w:rPr>
          <w:rFonts w:eastAsia="Times New Roman" w:cs="Times New Roman"/>
          <w:szCs w:val="24"/>
        </w:rPr>
        <w:t xml:space="preserve"> výměru, který schvaluje </w:t>
      </w:r>
      <w:r w:rsidR="009B178B">
        <w:rPr>
          <w:rFonts w:eastAsia="Times New Roman" w:cs="Times New Roman"/>
          <w:szCs w:val="24"/>
        </w:rPr>
        <w:t>SR</w:t>
      </w:r>
      <w:r w:rsidRPr="007A2187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M</w:t>
      </w:r>
      <w:r w:rsidRPr="007A2187">
        <w:rPr>
          <w:rFonts w:eastAsia="Times New Roman" w:cs="Times New Roman"/>
          <w:szCs w:val="24"/>
        </w:rPr>
        <w:t>zdový výměr stanoví za</w:t>
      </w:r>
      <w:r w:rsidR="0051578D">
        <w:rPr>
          <w:rFonts w:eastAsia="Times New Roman" w:cs="Times New Roman"/>
          <w:szCs w:val="24"/>
        </w:rPr>
        <w:t xml:space="preserve"> výkon práce při plnění úkolů a </w:t>
      </w:r>
      <w:r w:rsidRPr="007A2187">
        <w:rPr>
          <w:rFonts w:eastAsia="Times New Roman" w:cs="Times New Roman"/>
          <w:szCs w:val="24"/>
        </w:rPr>
        <w:t xml:space="preserve">povinností souvisejících s pracovním místem generálního ředitele </w:t>
      </w:r>
      <w:r w:rsidRPr="007A2187">
        <w:rPr>
          <w:rFonts w:eastAsia="Times New Roman" w:cs="Times New Roman"/>
          <w:b/>
          <w:szCs w:val="24"/>
        </w:rPr>
        <w:t>měsíční mzdu</w:t>
      </w:r>
      <w:r w:rsidRPr="007A2187">
        <w:rPr>
          <w:rFonts w:eastAsia="Times New Roman" w:cs="Times New Roman"/>
          <w:szCs w:val="24"/>
        </w:rPr>
        <w:t xml:space="preserve"> a za předpokladu splnění v</w:t>
      </w:r>
      <w:r w:rsidR="00AC5FB2">
        <w:rPr>
          <w:rFonts w:eastAsia="Times New Roman" w:cs="Times New Roman"/>
          <w:szCs w:val="24"/>
        </w:rPr>
        <w:t>e</w:t>
      </w:r>
      <w:r w:rsidR="0029362A">
        <w:rPr>
          <w:rFonts w:eastAsia="Times New Roman" w:cs="Times New Roman"/>
          <w:szCs w:val="24"/>
        </w:rPr>
        <w:t xml:space="preserve"> </w:t>
      </w:r>
      <w:r w:rsidRPr="007A2187">
        <w:rPr>
          <w:rFonts w:eastAsia="Times New Roman" w:cs="Times New Roman"/>
          <w:szCs w:val="24"/>
        </w:rPr>
        <w:t xml:space="preserve">mzdovém výměru stanovených kritérií i </w:t>
      </w:r>
      <w:r w:rsidRPr="007A2187">
        <w:rPr>
          <w:rFonts w:eastAsia="Times New Roman" w:cs="Times New Roman"/>
          <w:b/>
          <w:szCs w:val="24"/>
        </w:rPr>
        <w:t>odměnu</w:t>
      </w:r>
      <w:r w:rsidRPr="003B6E55">
        <w:rPr>
          <w:rFonts w:eastAsia="Times New Roman" w:cs="Times New Roman"/>
          <w:b/>
          <w:szCs w:val="24"/>
        </w:rPr>
        <w:t>,</w:t>
      </w:r>
      <w:r w:rsidRPr="007A2187">
        <w:rPr>
          <w:rFonts w:eastAsia="Times New Roman" w:cs="Times New Roman"/>
          <w:szCs w:val="24"/>
        </w:rPr>
        <w:t xml:space="preserve"> která podléh</w:t>
      </w:r>
      <w:r w:rsidR="000D542C">
        <w:rPr>
          <w:rFonts w:eastAsia="Times New Roman" w:cs="Times New Roman"/>
          <w:szCs w:val="24"/>
        </w:rPr>
        <w:t>ala</w:t>
      </w:r>
      <w:r w:rsidRPr="007A2187">
        <w:rPr>
          <w:rFonts w:eastAsia="Times New Roman" w:cs="Times New Roman"/>
          <w:szCs w:val="24"/>
        </w:rPr>
        <w:t xml:space="preserve"> předchozímu </w:t>
      </w:r>
      <w:r w:rsidR="00440738">
        <w:rPr>
          <w:rFonts w:eastAsia="Times New Roman" w:cs="Times New Roman"/>
          <w:szCs w:val="24"/>
        </w:rPr>
        <w:t>schválení</w:t>
      </w:r>
      <w:r w:rsidR="00440738" w:rsidRPr="007A2187">
        <w:rPr>
          <w:rFonts w:eastAsia="Times New Roman" w:cs="Times New Roman"/>
          <w:szCs w:val="24"/>
        </w:rPr>
        <w:t xml:space="preserve"> </w:t>
      </w:r>
      <w:r w:rsidR="009B178B">
        <w:rPr>
          <w:rFonts w:eastAsia="Times New Roman" w:cs="Times New Roman"/>
          <w:szCs w:val="24"/>
        </w:rPr>
        <w:t>SR</w:t>
      </w:r>
      <w:r w:rsidRPr="007A2187">
        <w:rPr>
          <w:rFonts w:eastAsia="Times New Roman" w:cs="Times New Roman"/>
          <w:szCs w:val="24"/>
        </w:rPr>
        <w:t xml:space="preserve"> po konzultaci s předsedou </w:t>
      </w:r>
      <w:r w:rsidR="009B178B">
        <w:rPr>
          <w:rFonts w:eastAsia="Times New Roman" w:cs="Times New Roman"/>
          <w:szCs w:val="24"/>
        </w:rPr>
        <w:t>DR</w:t>
      </w:r>
      <w:r w:rsidRPr="007A2187">
        <w:rPr>
          <w:rFonts w:eastAsia="Times New Roman" w:cs="Times New Roman"/>
          <w:szCs w:val="24"/>
        </w:rPr>
        <w:t>.</w:t>
      </w:r>
      <w:r w:rsidRPr="007A2187">
        <w:t xml:space="preserve"> </w:t>
      </w:r>
      <w:r w:rsidR="00EC0149">
        <w:t>Uveden</w:t>
      </w:r>
      <w:r w:rsidR="009B178B">
        <w:t>é</w:t>
      </w:r>
      <w:r w:rsidR="00EC0149">
        <w:t xml:space="preserve"> odměny SR schvál</w:t>
      </w:r>
      <w:r w:rsidR="009B178B">
        <w:t>ila</w:t>
      </w:r>
      <w:r w:rsidR="00EC0149">
        <w:t xml:space="preserve"> tak, že </w:t>
      </w:r>
      <w:r w:rsidR="00EC0149" w:rsidRPr="00EC0149">
        <w:t xml:space="preserve">v letech 2012 a 2013 </w:t>
      </w:r>
      <w:r w:rsidR="00EC0149">
        <w:t>mohl</w:t>
      </w:r>
      <w:r w:rsidR="009B178B">
        <w:t>y</w:t>
      </w:r>
      <w:r w:rsidR="00EC0149">
        <w:t xml:space="preserve"> </w:t>
      </w:r>
      <w:r w:rsidR="00EC0149" w:rsidRPr="00EC0149">
        <w:t>čini</w:t>
      </w:r>
      <w:r w:rsidR="00EC0149">
        <w:t>t</w:t>
      </w:r>
      <w:r w:rsidR="00EC0149" w:rsidRPr="00EC0149">
        <w:t xml:space="preserve"> </w:t>
      </w:r>
      <w:r w:rsidR="009B178B">
        <w:t>maximálně</w:t>
      </w:r>
      <w:r w:rsidR="009B178B" w:rsidRPr="00EC0149">
        <w:t xml:space="preserve"> </w:t>
      </w:r>
      <w:r w:rsidR="00EC0149" w:rsidRPr="00EC0149">
        <w:t xml:space="preserve">dvanáctinásobek </w:t>
      </w:r>
      <w:r w:rsidR="009B178B" w:rsidRPr="00EC0149">
        <w:t xml:space="preserve">měsíční mzdy v každém roce </w:t>
      </w:r>
      <w:r w:rsidR="00EC0149" w:rsidRPr="00EC0149">
        <w:t xml:space="preserve">a v roce 2014 </w:t>
      </w:r>
      <w:r w:rsidR="009B178B">
        <w:t>maximálně</w:t>
      </w:r>
      <w:r w:rsidR="009B178B" w:rsidRPr="00EC0149">
        <w:t xml:space="preserve"> </w:t>
      </w:r>
      <w:r w:rsidR="00EC0149" w:rsidRPr="00EC0149">
        <w:t>osmnáctinásobek měsíční mzdy</w:t>
      </w:r>
      <w:r w:rsidR="00EC0149">
        <w:t xml:space="preserve">. </w:t>
      </w:r>
      <w:r w:rsidR="00EC0149" w:rsidRPr="000D542C">
        <w:t>Kontrolou NKÚ bylo zjištěno, že</w:t>
      </w:r>
      <w:r w:rsidR="00EC0149" w:rsidRPr="00EC0149">
        <w:rPr>
          <w:b/>
        </w:rPr>
        <w:t xml:space="preserve"> uvedené odměny byly v letech 2012, 2013 a 2014 vyplaceny vždy v </w:t>
      </w:r>
      <w:r w:rsidR="00440738">
        <w:rPr>
          <w:b/>
        </w:rPr>
        <w:t>maximální</w:t>
      </w:r>
      <w:r w:rsidR="00440738" w:rsidRPr="00EC0149">
        <w:rPr>
          <w:b/>
        </w:rPr>
        <w:t xml:space="preserve"> </w:t>
      </w:r>
      <w:r w:rsidR="00EC0149" w:rsidRPr="00EC0149">
        <w:rPr>
          <w:b/>
        </w:rPr>
        <w:t>výši.</w:t>
      </w:r>
    </w:p>
    <w:p w14:paraId="6ABB9374" w14:textId="77777777" w:rsidR="00EC0149" w:rsidRDefault="00EC0149" w:rsidP="00EC0149"/>
    <w:p w14:paraId="7FF60DE0" w14:textId="295DD8FF" w:rsidR="00EC0149" w:rsidRDefault="00EC0149" w:rsidP="00EC0149">
      <w:pPr>
        <w:rPr>
          <w:rFonts w:eastAsia="Times New Roman" w:cs="Times New Roman"/>
          <w:b/>
          <w:szCs w:val="24"/>
        </w:rPr>
      </w:pPr>
      <w:r w:rsidRPr="000D542C">
        <w:rPr>
          <w:rFonts w:eastAsia="Times New Roman" w:cs="Times New Roman"/>
          <w:szCs w:val="24"/>
        </w:rPr>
        <w:t>Dále SR stanovovala GŘ konkrétní tematické úkoly a na základě jejich splnění a vyhodnocení</w:t>
      </w:r>
      <w:r w:rsidRPr="007A2187">
        <w:rPr>
          <w:rFonts w:eastAsia="Times New Roman" w:cs="Times New Roman"/>
          <w:szCs w:val="24"/>
        </w:rPr>
        <w:t xml:space="preserve"> SR </w:t>
      </w:r>
      <w:r>
        <w:rPr>
          <w:rFonts w:eastAsia="Times New Roman" w:cs="Times New Roman"/>
          <w:szCs w:val="24"/>
        </w:rPr>
        <w:t>byly</w:t>
      </w:r>
      <w:r w:rsidRPr="007A2187">
        <w:rPr>
          <w:rFonts w:eastAsia="Times New Roman" w:cs="Times New Roman"/>
          <w:szCs w:val="24"/>
        </w:rPr>
        <w:t xml:space="preserve"> GŘ </w:t>
      </w:r>
      <w:r w:rsidR="00895986" w:rsidRPr="007A2187">
        <w:rPr>
          <w:rFonts w:eastAsia="Times New Roman" w:cs="Times New Roman"/>
          <w:szCs w:val="24"/>
        </w:rPr>
        <w:t xml:space="preserve">vypláceny nad rámec mzdového výměru </w:t>
      </w:r>
      <w:r w:rsidRPr="000D542C">
        <w:rPr>
          <w:rFonts w:eastAsia="Times New Roman" w:cs="Times New Roman"/>
          <w:b/>
          <w:szCs w:val="24"/>
        </w:rPr>
        <w:t>další odměny</w:t>
      </w:r>
      <w:r w:rsidRPr="003B6E55">
        <w:rPr>
          <w:rFonts w:eastAsia="Times New Roman" w:cs="Times New Roman"/>
          <w:b/>
          <w:szCs w:val="24"/>
        </w:rPr>
        <w:t>,</w:t>
      </w:r>
      <w:r w:rsidRPr="007A2187">
        <w:rPr>
          <w:rFonts w:eastAsia="Times New Roman" w:cs="Times New Roman"/>
          <w:szCs w:val="24"/>
        </w:rPr>
        <w:t xml:space="preserve"> které podléha</w:t>
      </w:r>
      <w:r>
        <w:rPr>
          <w:rFonts w:eastAsia="Times New Roman" w:cs="Times New Roman"/>
          <w:szCs w:val="24"/>
        </w:rPr>
        <w:t>ly</w:t>
      </w:r>
      <w:r w:rsidRPr="007A2187">
        <w:rPr>
          <w:rFonts w:eastAsia="Times New Roman" w:cs="Times New Roman"/>
          <w:szCs w:val="24"/>
        </w:rPr>
        <w:t xml:space="preserve"> předchozímu </w:t>
      </w:r>
      <w:r w:rsidR="00440738">
        <w:rPr>
          <w:rFonts w:eastAsia="Times New Roman" w:cs="Times New Roman"/>
          <w:szCs w:val="24"/>
        </w:rPr>
        <w:t>schválení</w:t>
      </w:r>
      <w:r w:rsidR="00440738" w:rsidRPr="007A2187">
        <w:rPr>
          <w:rFonts w:eastAsia="Times New Roman" w:cs="Times New Roman"/>
          <w:szCs w:val="24"/>
        </w:rPr>
        <w:t xml:space="preserve"> </w:t>
      </w:r>
      <w:r w:rsidRPr="007A2187">
        <w:rPr>
          <w:rFonts w:eastAsia="Times New Roman" w:cs="Times New Roman"/>
          <w:szCs w:val="24"/>
        </w:rPr>
        <w:t xml:space="preserve">SR. </w:t>
      </w:r>
      <w:r w:rsidRPr="000D542C">
        <w:rPr>
          <w:rFonts w:eastAsia="Times New Roman" w:cs="Times New Roman"/>
          <w:szCs w:val="24"/>
        </w:rPr>
        <w:t>Kontrolou NKÚ bylo zjištěno, že</w:t>
      </w:r>
      <w:r w:rsidRPr="007A2187">
        <w:rPr>
          <w:rFonts w:eastAsia="Times New Roman" w:cs="Times New Roman"/>
          <w:b/>
          <w:szCs w:val="24"/>
        </w:rPr>
        <w:t xml:space="preserve"> v letech 2012 a 2013 SR schvál</w:t>
      </w:r>
      <w:r w:rsidR="00895986">
        <w:rPr>
          <w:rFonts w:eastAsia="Times New Roman" w:cs="Times New Roman"/>
          <w:b/>
          <w:szCs w:val="24"/>
        </w:rPr>
        <w:t>ila</w:t>
      </w:r>
      <w:r w:rsidRPr="007A2187">
        <w:rPr>
          <w:rFonts w:eastAsia="Times New Roman" w:cs="Times New Roman"/>
          <w:b/>
          <w:szCs w:val="24"/>
        </w:rPr>
        <w:t xml:space="preserve"> vyplacení odměn za plnění konkrétních tematických úkolů v úhrnné výši </w:t>
      </w:r>
      <w:r w:rsidRPr="00EC0149">
        <w:rPr>
          <w:rFonts w:eastAsia="Times New Roman" w:cs="Times New Roman"/>
          <w:b/>
          <w:szCs w:val="24"/>
        </w:rPr>
        <w:t>devíti měsíčních mezd.</w:t>
      </w:r>
    </w:p>
    <w:p w14:paraId="08715EB0" w14:textId="77777777" w:rsidR="003F05BC" w:rsidRPr="007A2187" w:rsidRDefault="003F05BC" w:rsidP="00EC0149">
      <w:pPr>
        <w:rPr>
          <w:rFonts w:eastAsia="Times New Roman" w:cs="Times New Roman"/>
          <w:szCs w:val="24"/>
        </w:rPr>
      </w:pPr>
    </w:p>
    <w:p w14:paraId="08528106" w14:textId="691AB75F" w:rsidR="00EC0149" w:rsidRDefault="00EC0149" w:rsidP="00EC0149">
      <w:pPr>
        <w:contextualSpacing/>
        <w:rPr>
          <w:b/>
        </w:rPr>
      </w:pPr>
      <w:r w:rsidRPr="00EC0149">
        <w:rPr>
          <w:rFonts w:eastAsia="Times New Roman" w:cs="Times New Roman"/>
          <w:szCs w:val="24"/>
        </w:rPr>
        <w:t xml:space="preserve">Kromě uvedeného ještě SR schvalovala GŘ za dosažené mimořádné hospodářské výsledky </w:t>
      </w:r>
      <w:r w:rsidR="00895986" w:rsidRPr="000D542C">
        <w:rPr>
          <w:rFonts w:eastAsia="Times New Roman" w:cs="Times New Roman"/>
          <w:szCs w:val="24"/>
        </w:rPr>
        <w:t>nad rámec mzdového výměru</w:t>
      </w:r>
      <w:r w:rsidR="00895986" w:rsidRPr="00EC0149">
        <w:rPr>
          <w:rFonts w:eastAsia="Times New Roman" w:cs="Times New Roman"/>
          <w:b/>
          <w:szCs w:val="24"/>
        </w:rPr>
        <w:t xml:space="preserve"> </w:t>
      </w:r>
      <w:r w:rsidRPr="00EC0149">
        <w:rPr>
          <w:rFonts w:eastAsia="Times New Roman" w:cs="Times New Roman"/>
          <w:b/>
          <w:szCs w:val="24"/>
        </w:rPr>
        <w:t>další mimořádné odměny</w:t>
      </w:r>
      <w:r w:rsidRPr="003B6E55">
        <w:rPr>
          <w:rFonts w:eastAsia="Times New Roman" w:cs="Times New Roman"/>
          <w:b/>
          <w:szCs w:val="24"/>
        </w:rPr>
        <w:t>.</w:t>
      </w:r>
      <w:r w:rsidRPr="00EC0149">
        <w:rPr>
          <w:rFonts w:eastAsia="Times New Roman" w:cs="Times New Roman"/>
          <w:szCs w:val="24"/>
        </w:rPr>
        <w:t xml:space="preserve"> </w:t>
      </w:r>
      <w:r w:rsidRPr="000D542C">
        <w:rPr>
          <w:rFonts w:eastAsia="Times New Roman" w:cs="Times New Roman"/>
          <w:szCs w:val="24"/>
        </w:rPr>
        <w:t>Kontrolou NKÚ bylo zjištěno, že</w:t>
      </w:r>
      <w:r w:rsidR="0051578D">
        <w:rPr>
          <w:rFonts w:eastAsia="Times New Roman" w:cs="Times New Roman"/>
          <w:b/>
          <w:szCs w:val="24"/>
        </w:rPr>
        <w:t xml:space="preserve"> v </w:t>
      </w:r>
      <w:r w:rsidRPr="00EC0149">
        <w:rPr>
          <w:rFonts w:eastAsia="Times New Roman" w:cs="Times New Roman"/>
          <w:b/>
          <w:szCs w:val="24"/>
        </w:rPr>
        <w:t>letech 2012 a 2013 SR schvál</w:t>
      </w:r>
      <w:r w:rsidR="00895986">
        <w:rPr>
          <w:rFonts w:eastAsia="Times New Roman" w:cs="Times New Roman"/>
          <w:b/>
          <w:szCs w:val="24"/>
        </w:rPr>
        <w:t>ila</w:t>
      </w:r>
      <w:r w:rsidRPr="00EC0149">
        <w:rPr>
          <w:rFonts w:eastAsia="Times New Roman" w:cs="Times New Roman"/>
          <w:b/>
          <w:szCs w:val="24"/>
        </w:rPr>
        <w:t xml:space="preserve"> vyplacení mimořádných </w:t>
      </w:r>
      <w:r w:rsidRPr="00EC0149">
        <w:rPr>
          <w:b/>
        </w:rPr>
        <w:t>odměn v úhrnné výši deseti měsíčních mezd.</w:t>
      </w:r>
    </w:p>
    <w:p w14:paraId="36EC6022" w14:textId="77777777" w:rsidR="00455570" w:rsidRPr="003B6E55" w:rsidRDefault="00455570" w:rsidP="00894F92">
      <w:pPr>
        <w:pStyle w:val="Nadpis1"/>
        <w:ind w:left="284" w:hanging="284"/>
        <w:rPr>
          <w:sz w:val="28"/>
          <w:szCs w:val="28"/>
        </w:rPr>
      </w:pPr>
      <w:bookmarkStart w:id="2" w:name="_Toc431818660"/>
      <w:r w:rsidRPr="003B6E55">
        <w:rPr>
          <w:sz w:val="28"/>
          <w:szCs w:val="28"/>
        </w:rPr>
        <w:t>Zdravotně pojistný plán</w:t>
      </w:r>
      <w:bookmarkEnd w:id="2"/>
    </w:p>
    <w:p w14:paraId="7A7BC229" w14:textId="6843D01A" w:rsidR="001306B3" w:rsidRPr="00987BE5" w:rsidRDefault="00697B2B" w:rsidP="001306B3">
      <w:pPr>
        <w:rPr>
          <w:rFonts w:cs="Calibri"/>
        </w:rPr>
      </w:pPr>
      <w:bookmarkStart w:id="3" w:name="_Toc422409575"/>
      <w:bookmarkStart w:id="4" w:name="_Toc431818656"/>
      <w:r>
        <w:rPr>
          <w:rFonts w:cs="Calibri"/>
        </w:rPr>
        <w:t xml:space="preserve">Zdravotně pojistný plán (dále také „ZPP“) obsahuje </w:t>
      </w:r>
      <w:r w:rsidR="000F3E91">
        <w:rPr>
          <w:rFonts w:cs="Calibri"/>
        </w:rPr>
        <w:t xml:space="preserve">zejména </w:t>
      </w:r>
      <w:r>
        <w:rPr>
          <w:rFonts w:cs="Calibri"/>
        </w:rPr>
        <w:t xml:space="preserve">plán příjmů a výdajů zaměstnanecké pojišťovny. </w:t>
      </w:r>
      <w:r w:rsidR="006806AA">
        <w:rPr>
          <w:rFonts w:cs="Calibri"/>
        </w:rPr>
        <w:t xml:space="preserve">Návrh </w:t>
      </w:r>
      <w:r>
        <w:rPr>
          <w:rFonts w:cs="Calibri"/>
        </w:rPr>
        <w:t>ZPP</w:t>
      </w:r>
      <w:r w:rsidR="001306B3" w:rsidRPr="00540221">
        <w:rPr>
          <w:rFonts w:cs="Calibri"/>
        </w:rPr>
        <w:t xml:space="preserve"> je z</w:t>
      </w:r>
      <w:r w:rsidR="009D6755">
        <w:rPr>
          <w:rFonts w:cs="Calibri"/>
        </w:rPr>
        <w:t>aměstnanecká pojišťovna povinna</w:t>
      </w:r>
      <w:r w:rsidR="001306B3" w:rsidRPr="003969FE">
        <w:rPr>
          <w:rFonts w:cs="Calibri"/>
        </w:rPr>
        <w:t xml:space="preserve"> v návaznosti na termíny stanovené Ministerstvem financí</w:t>
      </w:r>
      <w:r w:rsidR="001306B3">
        <w:rPr>
          <w:rFonts w:cs="Calibri"/>
        </w:rPr>
        <w:t xml:space="preserve"> (dále také </w:t>
      </w:r>
      <w:r w:rsidR="001306B3" w:rsidRPr="0039387E">
        <w:rPr>
          <w:rFonts w:cs="Calibri"/>
        </w:rPr>
        <w:t>„MF“)</w:t>
      </w:r>
      <w:r w:rsidR="001306B3">
        <w:rPr>
          <w:rFonts w:cs="Calibri"/>
        </w:rPr>
        <w:t xml:space="preserve"> pro předkládání návrhu státního rozpočtu </w:t>
      </w:r>
      <w:r w:rsidR="001306B3" w:rsidRPr="00F75CF4">
        <w:rPr>
          <w:rFonts w:cs="Calibri"/>
        </w:rPr>
        <w:t xml:space="preserve">předložit </w:t>
      </w:r>
      <w:r w:rsidR="001306B3">
        <w:rPr>
          <w:rFonts w:cs="Calibri"/>
        </w:rPr>
        <w:t xml:space="preserve">MZd </w:t>
      </w:r>
      <w:r w:rsidR="001306B3" w:rsidRPr="00F75CF4">
        <w:rPr>
          <w:rFonts w:cs="Calibri"/>
        </w:rPr>
        <w:t xml:space="preserve">a </w:t>
      </w:r>
      <w:r w:rsidR="001306B3">
        <w:rPr>
          <w:rFonts w:cs="Calibri"/>
        </w:rPr>
        <w:t xml:space="preserve">MF, </w:t>
      </w:r>
      <w:r w:rsidR="006234BA">
        <w:rPr>
          <w:rFonts w:cs="Calibri"/>
        </w:rPr>
        <w:t xml:space="preserve">tato ministerstva </w:t>
      </w:r>
      <w:r w:rsidR="001306B3">
        <w:rPr>
          <w:rFonts w:cs="Calibri"/>
        </w:rPr>
        <w:t xml:space="preserve">jej </w:t>
      </w:r>
      <w:r w:rsidR="006234BA">
        <w:rPr>
          <w:rFonts w:cs="Calibri"/>
        </w:rPr>
        <w:t xml:space="preserve">pak </w:t>
      </w:r>
      <w:r w:rsidR="001306B3">
        <w:rPr>
          <w:rFonts w:cs="Calibri"/>
        </w:rPr>
        <w:t>posoudí z hledisk</w:t>
      </w:r>
      <w:r w:rsidR="00BE1933">
        <w:rPr>
          <w:rFonts w:cs="Calibri"/>
        </w:rPr>
        <w:t>a souladu s právními předpisy a</w:t>
      </w:r>
      <w:r w:rsidR="006234BA">
        <w:rPr>
          <w:rFonts w:cs="Calibri"/>
        </w:rPr>
        <w:t xml:space="preserve"> </w:t>
      </w:r>
      <w:r w:rsidR="001306B3">
        <w:rPr>
          <w:rFonts w:cs="Calibri"/>
        </w:rPr>
        <w:t xml:space="preserve">souladu s veřejným zájmem. </w:t>
      </w:r>
      <w:r w:rsidR="001306B3" w:rsidRPr="0053669A">
        <w:rPr>
          <w:rFonts w:cs="Calibri"/>
        </w:rPr>
        <w:t xml:space="preserve">Není-li </w:t>
      </w:r>
      <w:r w:rsidR="00CD63D0">
        <w:rPr>
          <w:rFonts w:cs="Calibri"/>
        </w:rPr>
        <w:t xml:space="preserve">návrh </w:t>
      </w:r>
      <w:r w:rsidR="001306B3" w:rsidRPr="0053669A">
        <w:rPr>
          <w:rFonts w:cs="Calibri"/>
        </w:rPr>
        <w:t xml:space="preserve">ZPP </w:t>
      </w:r>
      <w:r w:rsidR="001306B3">
        <w:rPr>
          <w:rFonts w:cs="Calibri"/>
        </w:rPr>
        <w:t xml:space="preserve">s těmito hledisky v rozporu, předloží </w:t>
      </w:r>
      <w:r w:rsidR="006234BA">
        <w:rPr>
          <w:rFonts w:cs="Calibri"/>
        </w:rPr>
        <w:t xml:space="preserve">zdravotní pojišťovna </w:t>
      </w:r>
      <w:r w:rsidR="001306B3" w:rsidRPr="00E12ED3">
        <w:rPr>
          <w:rFonts w:cs="Calibri"/>
        </w:rPr>
        <w:t xml:space="preserve">návrh ZPP </w:t>
      </w:r>
      <w:r w:rsidR="001306B3">
        <w:rPr>
          <w:rFonts w:cs="Calibri"/>
        </w:rPr>
        <w:t>v</w:t>
      </w:r>
      <w:r w:rsidR="001306B3" w:rsidRPr="00E12ED3">
        <w:rPr>
          <w:rFonts w:cs="Calibri"/>
        </w:rPr>
        <w:t>ládě</w:t>
      </w:r>
      <w:r w:rsidR="001306B3">
        <w:rPr>
          <w:rFonts w:cs="Calibri"/>
        </w:rPr>
        <w:t xml:space="preserve"> ČR. </w:t>
      </w:r>
      <w:r w:rsidR="001306B3" w:rsidRPr="00987BE5">
        <w:rPr>
          <w:rFonts w:cs="Calibri"/>
        </w:rPr>
        <w:t xml:space="preserve">ZPP schvaluje </w:t>
      </w:r>
      <w:r w:rsidR="001306B3">
        <w:rPr>
          <w:rFonts w:cs="Calibri"/>
        </w:rPr>
        <w:t>n</w:t>
      </w:r>
      <w:r w:rsidR="001306B3" w:rsidRPr="00987BE5">
        <w:rPr>
          <w:rFonts w:cs="Calibri"/>
        </w:rPr>
        <w:t>a návrh vlády ČR Poslanecká sněmovna Parlamentu ČR</w:t>
      </w:r>
      <w:r w:rsidR="00BD619D">
        <w:rPr>
          <w:rFonts w:cs="Calibri"/>
        </w:rPr>
        <w:t xml:space="preserve"> (dále také „PS“)</w:t>
      </w:r>
      <w:r w:rsidR="001306B3" w:rsidRPr="00987BE5">
        <w:rPr>
          <w:rStyle w:val="Znakapoznpodarou"/>
          <w:rFonts w:cs="Calibri"/>
        </w:rPr>
        <w:footnoteReference w:id="7"/>
      </w:r>
      <w:r w:rsidR="001306B3" w:rsidRPr="00987BE5">
        <w:rPr>
          <w:rFonts w:cs="Calibri"/>
        </w:rPr>
        <w:t>.</w:t>
      </w:r>
    </w:p>
    <w:p w14:paraId="78D485D8" w14:textId="77777777" w:rsidR="001306B3" w:rsidRDefault="001306B3" w:rsidP="001306B3">
      <w:pPr>
        <w:rPr>
          <w:rFonts w:cs="Calibri"/>
          <w:b/>
        </w:rPr>
      </w:pPr>
    </w:p>
    <w:p w14:paraId="4189887C" w14:textId="54A4DB3B" w:rsidR="00377250" w:rsidRDefault="00280BC7" w:rsidP="002E62C6">
      <w:pPr>
        <w:rPr>
          <w:rFonts w:cs="Calibri"/>
        </w:rPr>
      </w:pPr>
      <w:r>
        <w:rPr>
          <w:rFonts w:cs="Calibri"/>
        </w:rPr>
        <w:t>Kontrolou NKÚ bylo zjištěno, že ZP MV ČR předložila ve sledovaném období návrh ZPP vždy MZd ve stanoveném termínu</w:t>
      </w:r>
      <w:r w:rsidR="00B73180">
        <w:rPr>
          <w:rFonts w:cs="Calibri"/>
        </w:rPr>
        <w:t>.</w:t>
      </w:r>
      <w:r>
        <w:rPr>
          <w:rFonts w:cs="Calibri"/>
        </w:rPr>
        <w:t xml:space="preserve"> </w:t>
      </w:r>
      <w:r w:rsidR="006415A5">
        <w:rPr>
          <w:rFonts w:cs="Calibri"/>
        </w:rPr>
        <w:t>Ná</w:t>
      </w:r>
      <w:r w:rsidR="006806AA">
        <w:rPr>
          <w:rFonts w:cs="Calibri"/>
        </w:rPr>
        <w:t xml:space="preserve">vrh ZPP </w:t>
      </w:r>
      <w:r w:rsidR="00377250">
        <w:rPr>
          <w:rFonts w:cs="Calibri"/>
        </w:rPr>
        <w:t xml:space="preserve">však </w:t>
      </w:r>
      <w:r w:rsidR="006806AA">
        <w:rPr>
          <w:rFonts w:cs="Calibri"/>
        </w:rPr>
        <w:t xml:space="preserve">nebyl projednán vládou ČR do 31. 12. daného roku, PS </w:t>
      </w:r>
      <w:r w:rsidR="006415A5">
        <w:rPr>
          <w:rFonts w:cs="Calibri"/>
        </w:rPr>
        <w:t>tudíž nem</w:t>
      </w:r>
      <w:r w:rsidR="006806AA">
        <w:rPr>
          <w:rFonts w:cs="Calibri"/>
        </w:rPr>
        <w:t xml:space="preserve">ohla ani v jednom </w:t>
      </w:r>
      <w:r w:rsidR="00793CE7">
        <w:rPr>
          <w:rFonts w:cs="Calibri"/>
        </w:rPr>
        <w:t xml:space="preserve">z kontrolovaných </w:t>
      </w:r>
      <w:r w:rsidR="006806AA">
        <w:rPr>
          <w:rFonts w:cs="Calibri"/>
        </w:rPr>
        <w:t>ro</w:t>
      </w:r>
      <w:r w:rsidR="00793CE7">
        <w:rPr>
          <w:rFonts w:cs="Calibri"/>
        </w:rPr>
        <w:t>ků</w:t>
      </w:r>
      <w:r w:rsidR="006806AA">
        <w:rPr>
          <w:rFonts w:cs="Calibri"/>
        </w:rPr>
        <w:t xml:space="preserve"> návrh ZPP schválit před </w:t>
      </w:r>
      <w:r w:rsidR="006806AA">
        <w:rPr>
          <w:rFonts w:cs="Calibri"/>
        </w:rPr>
        <w:lastRenderedPageBreak/>
        <w:t>1.</w:t>
      </w:r>
      <w:r w:rsidR="00793CE7">
        <w:rPr>
          <w:rFonts w:cs="Calibri"/>
        </w:rPr>
        <w:t> </w:t>
      </w:r>
      <w:r w:rsidR="006806AA">
        <w:rPr>
          <w:rFonts w:cs="Calibri"/>
        </w:rPr>
        <w:t xml:space="preserve">lednem příslušného kalendářního roku, na který byl sestavován a určen. </w:t>
      </w:r>
      <w:r w:rsidR="00B73180">
        <w:rPr>
          <w:rFonts w:cs="Calibri"/>
        </w:rPr>
        <w:t>ZP MV ČR ve sledovaném období hospodařila v provizoriu stanoveném MZd v dohodě s</w:t>
      </w:r>
      <w:r w:rsidR="00C45BBD">
        <w:rPr>
          <w:rFonts w:cs="Calibri"/>
        </w:rPr>
        <w:t> </w:t>
      </w:r>
      <w:r w:rsidR="00B73180">
        <w:rPr>
          <w:rFonts w:cs="Calibri"/>
        </w:rPr>
        <w:t>MF</w:t>
      </w:r>
      <w:r w:rsidR="00C45BBD">
        <w:rPr>
          <w:rFonts w:cs="Calibri"/>
        </w:rPr>
        <w:t>.</w:t>
      </w:r>
      <w:r w:rsidR="00B73180">
        <w:rPr>
          <w:rFonts w:cs="Calibri"/>
        </w:rPr>
        <w:t xml:space="preserve"> </w:t>
      </w:r>
      <w:r w:rsidR="00C45BBD">
        <w:rPr>
          <w:rFonts w:cs="Calibri"/>
        </w:rPr>
        <w:t xml:space="preserve">Jednotlivá provizoria </w:t>
      </w:r>
      <w:r w:rsidR="00B73180">
        <w:rPr>
          <w:rFonts w:cs="Calibri"/>
        </w:rPr>
        <w:t>korespondoval</w:t>
      </w:r>
      <w:r w:rsidR="00C45BBD">
        <w:rPr>
          <w:rFonts w:cs="Calibri"/>
        </w:rPr>
        <w:t>a</w:t>
      </w:r>
      <w:r w:rsidR="00B73180">
        <w:rPr>
          <w:rFonts w:cs="Calibri"/>
        </w:rPr>
        <w:t xml:space="preserve"> s příslušným</w:t>
      </w:r>
      <w:r w:rsidR="00C45BBD">
        <w:rPr>
          <w:rFonts w:cs="Calibri"/>
        </w:rPr>
        <w:t>i</w:t>
      </w:r>
      <w:r w:rsidR="00B73180">
        <w:rPr>
          <w:rFonts w:cs="Calibri"/>
        </w:rPr>
        <w:t xml:space="preserve"> návrh</w:t>
      </w:r>
      <w:r w:rsidR="00C45BBD">
        <w:rPr>
          <w:rFonts w:cs="Calibri"/>
        </w:rPr>
        <w:t>y</w:t>
      </w:r>
      <w:r w:rsidR="00B73180">
        <w:rPr>
          <w:rFonts w:cs="Calibri"/>
        </w:rPr>
        <w:t xml:space="preserve"> ZPP.</w:t>
      </w:r>
      <w:r w:rsidR="00B73180" w:rsidRPr="00B73180">
        <w:rPr>
          <w:rFonts w:cs="Calibri"/>
        </w:rPr>
        <w:t xml:space="preserve"> </w:t>
      </w:r>
    </w:p>
    <w:p w14:paraId="16C48EF7" w14:textId="77777777" w:rsidR="00377250" w:rsidRDefault="00377250" w:rsidP="002E62C6">
      <w:pPr>
        <w:rPr>
          <w:rFonts w:cs="Calibri"/>
        </w:rPr>
      </w:pPr>
    </w:p>
    <w:p w14:paraId="550B3457" w14:textId="5EFF1828" w:rsidR="00CC0150" w:rsidRDefault="00377250" w:rsidP="002E62C6">
      <w:pPr>
        <w:rPr>
          <w:rFonts w:cs="Calibri"/>
        </w:rPr>
      </w:pPr>
      <w:r>
        <w:rPr>
          <w:rFonts w:cs="Calibri"/>
        </w:rPr>
        <w:t>Bylo zjištěno, že pro období let 2011, 2012</w:t>
      </w:r>
      <w:r w:rsidR="00C45BBD">
        <w:rPr>
          <w:rFonts w:cs="Calibri"/>
        </w:rPr>
        <w:t>,</w:t>
      </w:r>
      <w:r>
        <w:rPr>
          <w:rFonts w:cs="Calibri"/>
        </w:rPr>
        <w:t xml:space="preserve"> 2014 a 2015 byl zdravotně pojistný plán ZP</w:t>
      </w:r>
      <w:r w:rsidR="00C45BBD">
        <w:rPr>
          <w:rFonts w:cs="Calibri"/>
        </w:rPr>
        <w:t> </w:t>
      </w:r>
      <w:r>
        <w:rPr>
          <w:rFonts w:cs="Calibri"/>
        </w:rPr>
        <w:t>MV</w:t>
      </w:r>
      <w:r w:rsidR="00C45BBD">
        <w:rPr>
          <w:rFonts w:cs="Calibri"/>
        </w:rPr>
        <w:t> </w:t>
      </w:r>
      <w:r>
        <w:rPr>
          <w:rFonts w:cs="Calibri"/>
        </w:rPr>
        <w:t>ČR schválen až v průběhu těchto let a p</w:t>
      </w:r>
      <w:r w:rsidR="00B73180">
        <w:rPr>
          <w:rFonts w:cs="Calibri"/>
        </w:rPr>
        <w:t>ro roky 2009, 2010 a 2013 nebyl</w:t>
      </w:r>
      <w:r w:rsidR="00F61526">
        <w:rPr>
          <w:rFonts w:cs="Calibri"/>
        </w:rPr>
        <w:t xml:space="preserve"> schválen</w:t>
      </w:r>
      <w:r w:rsidR="00B73180">
        <w:rPr>
          <w:rFonts w:cs="Calibri"/>
        </w:rPr>
        <w:t xml:space="preserve"> vůbec.</w:t>
      </w:r>
    </w:p>
    <w:p w14:paraId="5EF9E4A0" w14:textId="77777777" w:rsidR="001A162F" w:rsidRPr="004870BC" w:rsidRDefault="001A162F" w:rsidP="002E62C6">
      <w:pPr>
        <w:rPr>
          <w:rFonts w:cs="Calibri"/>
        </w:rPr>
      </w:pPr>
    </w:p>
    <w:p w14:paraId="0D14C626" w14:textId="7B4EAB6B" w:rsidR="001306B3" w:rsidRPr="00554868" w:rsidRDefault="00C45BBD" w:rsidP="00C45BBD">
      <w:pPr>
        <w:pStyle w:val="Nzevtabulky"/>
        <w:numPr>
          <w:ilvl w:val="0"/>
          <w:numId w:val="0"/>
        </w:numPr>
        <w:rPr>
          <w:b/>
        </w:rPr>
      </w:pPr>
      <w:r w:rsidRPr="00554868">
        <w:rPr>
          <w:b/>
        </w:rPr>
        <w:t>Tabulka č. 3</w:t>
      </w:r>
      <w:r w:rsidR="006A4D1C" w:rsidRPr="00554868">
        <w:rPr>
          <w:b/>
        </w:rPr>
        <w:t xml:space="preserve"> –</w:t>
      </w:r>
      <w:r w:rsidRPr="00554868">
        <w:rPr>
          <w:b/>
        </w:rPr>
        <w:t xml:space="preserve"> </w:t>
      </w:r>
      <w:r w:rsidR="001306B3" w:rsidRPr="00554868">
        <w:rPr>
          <w:b/>
        </w:rPr>
        <w:t>Proces schvalování návrhu zdravotně pojistného plánu</w:t>
      </w:r>
      <w:r w:rsidR="009D6755" w:rsidRPr="00554868">
        <w:rPr>
          <w:b/>
        </w:rPr>
        <w:t xml:space="preserve"> ZP MV ČR</w:t>
      </w:r>
    </w:p>
    <w:tbl>
      <w:tblPr>
        <w:tblStyle w:val="Mkatabulky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606"/>
        <w:gridCol w:w="1606"/>
        <w:gridCol w:w="1607"/>
        <w:gridCol w:w="2126"/>
      </w:tblGrid>
      <w:tr w:rsidR="001306B3" w:rsidRPr="00300A75" w14:paraId="4A3DDA85" w14:textId="77777777" w:rsidTr="00554868">
        <w:tc>
          <w:tcPr>
            <w:tcW w:w="993" w:type="dxa"/>
            <w:shd w:val="clear" w:color="auto" w:fill="C6D9F1" w:themeFill="text2" w:themeFillTint="33"/>
            <w:vAlign w:val="center"/>
          </w:tcPr>
          <w:p w14:paraId="7102565A" w14:textId="3BDC47B8" w:rsidR="001306B3" w:rsidRPr="005B4B56" w:rsidRDefault="001306B3" w:rsidP="004A160E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5B4B56">
              <w:rPr>
                <w:rFonts w:cs="Calibri"/>
                <w:b/>
                <w:sz w:val="16"/>
                <w:szCs w:val="16"/>
              </w:rPr>
              <w:t>ZPP na rok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1B79D88" w14:textId="1D465937" w:rsidR="001306B3" w:rsidRPr="005B4B56" w:rsidRDefault="00BD619D" w:rsidP="004A160E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Schválen</w:t>
            </w:r>
            <w:r w:rsidR="001306B3" w:rsidRPr="005B4B56">
              <w:rPr>
                <w:rFonts w:cs="Calibri"/>
                <w:b/>
                <w:sz w:val="16"/>
                <w:szCs w:val="16"/>
              </w:rPr>
              <w:t xml:space="preserve"> SR</w:t>
            </w:r>
          </w:p>
        </w:tc>
        <w:tc>
          <w:tcPr>
            <w:tcW w:w="1606" w:type="dxa"/>
            <w:shd w:val="clear" w:color="auto" w:fill="C6D9F1" w:themeFill="text2" w:themeFillTint="33"/>
            <w:vAlign w:val="center"/>
          </w:tcPr>
          <w:p w14:paraId="7C230DFE" w14:textId="782F0403" w:rsidR="001306B3" w:rsidRPr="005B4B56" w:rsidRDefault="00BD619D" w:rsidP="002E6F2F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Předložen</w:t>
            </w:r>
            <w:r w:rsidR="001306B3" w:rsidRPr="005B4B56">
              <w:rPr>
                <w:rFonts w:cs="Calibri"/>
                <w:b/>
                <w:sz w:val="16"/>
                <w:szCs w:val="16"/>
              </w:rPr>
              <w:t xml:space="preserve"> </w:t>
            </w:r>
            <w:r w:rsidR="006415A5">
              <w:rPr>
                <w:rFonts w:cs="Calibri"/>
                <w:b/>
                <w:sz w:val="16"/>
                <w:szCs w:val="16"/>
              </w:rPr>
              <w:t xml:space="preserve">k posouzení </w:t>
            </w:r>
            <w:r w:rsidR="001306B3" w:rsidRPr="005B4B56">
              <w:rPr>
                <w:rFonts w:cs="Calibri"/>
                <w:b/>
                <w:sz w:val="16"/>
                <w:szCs w:val="16"/>
              </w:rPr>
              <w:t>MZd</w:t>
            </w:r>
            <w:r w:rsidR="00485F7A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6" w:type="dxa"/>
            <w:shd w:val="clear" w:color="auto" w:fill="C6D9F1" w:themeFill="text2" w:themeFillTint="33"/>
            <w:vAlign w:val="center"/>
          </w:tcPr>
          <w:p w14:paraId="67DCD431" w14:textId="374D34A4" w:rsidR="001306B3" w:rsidRPr="005B4B56" w:rsidRDefault="00186209" w:rsidP="004A160E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Projednán</w:t>
            </w:r>
            <w:r w:rsidR="001306B3" w:rsidRPr="005B4B56">
              <w:rPr>
                <w:rFonts w:cs="Calibri"/>
                <w:b/>
                <w:sz w:val="16"/>
                <w:szCs w:val="16"/>
              </w:rPr>
              <w:t xml:space="preserve"> vládou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14:paraId="1DC5436E" w14:textId="61D7D99A" w:rsidR="001306B3" w:rsidRPr="005B4B56" w:rsidRDefault="00186209" w:rsidP="004A160E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Projednán</w:t>
            </w:r>
            <w:r w:rsidR="001306B3" w:rsidRPr="005B4B56">
              <w:rPr>
                <w:rFonts w:cs="Calibri"/>
                <w:b/>
                <w:sz w:val="16"/>
                <w:szCs w:val="16"/>
              </w:rPr>
              <w:t xml:space="preserve"> ve výboru</w:t>
            </w:r>
            <w:r>
              <w:rPr>
                <w:rFonts w:cs="Calibri"/>
                <w:b/>
                <w:sz w:val="16"/>
                <w:szCs w:val="16"/>
              </w:rPr>
              <w:t xml:space="preserve"> pro zdravotnictví</w:t>
            </w:r>
            <w:r w:rsidR="001306B3" w:rsidRPr="005B4B56">
              <w:rPr>
                <w:rFonts w:cs="Calibri"/>
                <w:b/>
                <w:sz w:val="16"/>
                <w:szCs w:val="16"/>
              </w:rPr>
              <w:t xml:space="preserve"> PS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33B88E75" w14:textId="77777777" w:rsidR="001306B3" w:rsidRPr="005B4B56" w:rsidRDefault="001306B3" w:rsidP="004A160E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5B4B56">
              <w:rPr>
                <w:rFonts w:cs="Calibri"/>
                <w:b/>
                <w:sz w:val="16"/>
                <w:szCs w:val="16"/>
              </w:rPr>
              <w:t>Stav dokumentu (ZPP)</w:t>
            </w:r>
          </w:p>
        </w:tc>
      </w:tr>
      <w:tr w:rsidR="001306B3" w:rsidRPr="00540221" w14:paraId="2249DD3B" w14:textId="77777777" w:rsidTr="00554868">
        <w:tc>
          <w:tcPr>
            <w:tcW w:w="993" w:type="dxa"/>
          </w:tcPr>
          <w:p w14:paraId="41F50D1D" w14:textId="77777777" w:rsidR="001306B3" w:rsidRPr="005B4B56" w:rsidRDefault="001306B3" w:rsidP="00EE6B0D">
            <w:pPr>
              <w:jc w:val="center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2012</w:t>
            </w:r>
          </w:p>
        </w:tc>
        <w:tc>
          <w:tcPr>
            <w:tcW w:w="1134" w:type="dxa"/>
          </w:tcPr>
          <w:p w14:paraId="7104E17B" w14:textId="77777777" w:rsidR="001306B3" w:rsidRPr="005B4B56" w:rsidRDefault="001306B3" w:rsidP="00EE6B0D">
            <w:pPr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12. 10. 2011</w:t>
            </w:r>
          </w:p>
        </w:tc>
        <w:tc>
          <w:tcPr>
            <w:tcW w:w="1606" w:type="dxa"/>
          </w:tcPr>
          <w:p w14:paraId="634B249E" w14:textId="77777777" w:rsidR="001306B3" w:rsidRPr="005B4B56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31. 10. 2011</w:t>
            </w:r>
          </w:p>
        </w:tc>
        <w:tc>
          <w:tcPr>
            <w:tcW w:w="1606" w:type="dxa"/>
          </w:tcPr>
          <w:p w14:paraId="54C8A1AE" w14:textId="77777777" w:rsidR="001306B3" w:rsidRPr="005B4B56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1. 2. 2012</w:t>
            </w:r>
          </w:p>
        </w:tc>
        <w:tc>
          <w:tcPr>
            <w:tcW w:w="1607" w:type="dxa"/>
          </w:tcPr>
          <w:p w14:paraId="2FEF79B6" w14:textId="77777777" w:rsidR="001306B3" w:rsidRPr="005B4B56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3. 5. 2012</w:t>
            </w:r>
          </w:p>
        </w:tc>
        <w:tc>
          <w:tcPr>
            <w:tcW w:w="2126" w:type="dxa"/>
            <w:vAlign w:val="center"/>
          </w:tcPr>
          <w:p w14:paraId="111D0B5E" w14:textId="14130F80" w:rsidR="001306B3" w:rsidRPr="005B4B56" w:rsidRDefault="006A4D1C" w:rsidP="00554868">
            <w:pPr>
              <w:ind w:right="-108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</w:t>
            </w:r>
            <w:r w:rsidR="001306B3" w:rsidRPr="005B4B56">
              <w:rPr>
                <w:rFonts w:cs="Calibri"/>
                <w:sz w:val="16"/>
                <w:szCs w:val="16"/>
              </w:rPr>
              <w:t>chválen PS dne 3. 5. 2012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</w:tr>
      <w:tr w:rsidR="001306B3" w:rsidRPr="00540221" w14:paraId="040A1497" w14:textId="77777777" w:rsidTr="00554868">
        <w:tc>
          <w:tcPr>
            <w:tcW w:w="993" w:type="dxa"/>
          </w:tcPr>
          <w:p w14:paraId="06B8F03C" w14:textId="77777777" w:rsidR="001306B3" w:rsidRPr="005B4B56" w:rsidRDefault="001306B3" w:rsidP="00EE6B0D">
            <w:pPr>
              <w:jc w:val="center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2013</w:t>
            </w:r>
          </w:p>
        </w:tc>
        <w:tc>
          <w:tcPr>
            <w:tcW w:w="1134" w:type="dxa"/>
          </w:tcPr>
          <w:p w14:paraId="7FE4F26D" w14:textId="7FF88BBD" w:rsidR="001306B3" w:rsidRPr="00654EBF" w:rsidRDefault="001306B3" w:rsidP="00EE6B0D">
            <w:pPr>
              <w:jc w:val="right"/>
              <w:rPr>
                <w:rFonts w:cs="Calibri"/>
                <w:sz w:val="16"/>
                <w:szCs w:val="16"/>
              </w:rPr>
            </w:pPr>
            <w:r w:rsidRPr="00654EBF">
              <w:rPr>
                <w:rFonts w:cs="Calibri"/>
                <w:sz w:val="16"/>
                <w:szCs w:val="16"/>
              </w:rPr>
              <w:t>25.</w:t>
            </w:r>
            <w:r w:rsidR="00BD619D">
              <w:rPr>
                <w:rFonts w:cs="Calibri"/>
                <w:sz w:val="16"/>
                <w:szCs w:val="16"/>
              </w:rPr>
              <w:t xml:space="preserve"> </w:t>
            </w:r>
            <w:r w:rsidRPr="00654EBF">
              <w:rPr>
                <w:rFonts w:cs="Calibri"/>
                <w:sz w:val="16"/>
                <w:szCs w:val="16"/>
              </w:rPr>
              <w:t>10</w:t>
            </w:r>
            <w:r>
              <w:rPr>
                <w:rFonts w:cs="Calibri"/>
                <w:sz w:val="16"/>
                <w:szCs w:val="16"/>
              </w:rPr>
              <w:t xml:space="preserve">. </w:t>
            </w:r>
            <w:r w:rsidRPr="00654EBF">
              <w:rPr>
                <w:rFonts w:cs="Calibri"/>
                <w:sz w:val="16"/>
                <w:szCs w:val="16"/>
              </w:rPr>
              <w:t>2012</w:t>
            </w:r>
          </w:p>
        </w:tc>
        <w:tc>
          <w:tcPr>
            <w:tcW w:w="1606" w:type="dxa"/>
          </w:tcPr>
          <w:p w14:paraId="0D354E7D" w14:textId="77777777" w:rsidR="001306B3" w:rsidRPr="00D90223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  <w:highlight w:val="yellow"/>
              </w:rPr>
            </w:pPr>
            <w:r w:rsidRPr="00D90223">
              <w:rPr>
                <w:rFonts w:cs="Calibri"/>
                <w:sz w:val="16"/>
                <w:szCs w:val="16"/>
              </w:rPr>
              <w:t>31. 10. 2012</w:t>
            </w:r>
          </w:p>
        </w:tc>
        <w:tc>
          <w:tcPr>
            <w:tcW w:w="1606" w:type="dxa"/>
          </w:tcPr>
          <w:p w14:paraId="5110D3DF" w14:textId="77777777" w:rsidR="001306B3" w:rsidRPr="005B4B56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6. 2. 2013</w:t>
            </w:r>
          </w:p>
        </w:tc>
        <w:tc>
          <w:tcPr>
            <w:tcW w:w="1607" w:type="dxa"/>
          </w:tcPr>
          <w:p w14:paraId="0D9CF046" w14:textId="77777777" w:rsidR="001306B3" w:rsidRPr="005B4B56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2. 5. 2013</w:t>
            </w:r>
          </w:p>
        </w:tc>
        <w:tc>
          <w:tcPr>
            <w:tcW w:w="2126" w:type="dxa"/>
            <w:vAlign w:val="center"/>
          </w:tcPr>
          <w:p w14:paraId="58BA743C" w14:textId="3A465D12" w:rsidR="001306B3" w:rsidRPr="005B4B56" w:rsidRDefault="006A4D1C" w:rsidP="00554868">
            <w:pPr>
              <w:ind w:right="-108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</w:t>
            </w:r>
            <w:r w:rsidR="001306B3" w:rsidRPr="005B4B56">
              <w:rPr>
                <w:rFonts w:cs="Calibri"/>
                <w:sz w:val="16"/>
                <w:szCs w:val="16"/>
              </w:rPr>
              <w:t>eprojednán PS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</w:tr>
      <w:tr w:rsidR="001306B3" w:rsidRPr="00540221" w14:paraId="534D0E2B" w14:textId="77777777" w:rsidTr="00554868">
        <w:tc>
          <w:tcPr>
            <w:tcW w:w="993" w:type="dxa"/>
          </w:tcPr>
          <w:p w14:paraId="11C4A2D3" w14:textId="77777777" w:rsidR="001306B3" w:rsidRPr="005B4B56" w:rsidRDefault="001306B3" w:rsidP="00EE6B0D">
            <w:pPr>
              <w:jc w:val="center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2014</w:t>
            </w:r>
          </w:p>
        </w:tc>
        <w:tc>
          <w:tcPr>
            <w:tcW w:w="1134" w:type="dxa"/>
          </w:tcPr>
          <w:p w14:paraId="3FA73472" w14:textId="77777777" w:rsidR="001306B3" w:rsidRPr="005B4B56" w:rsidRDefault="001306B3" w:rsidP="00EE6B0D">
            <w:pPr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28. 11. 2013</w:t>
            </w:r>
          </w:p>
        </w:tc>
        <w:tc>
          <w:tcPr>
            <w:tcW w:w="1606" w:type="dxa"/>
          </w:tcPr>
          <w:p w14:paraId="0C93D14F" w14:textId="77777777" w:rsidR="001306B3" w:rsidRPr="005B4B56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6. 12. 2013</w:t>
            </w:r>
          </w:p>
        </w:tc>
        <w:tc>
          <w:tcPr>
            <w:tcW w:w="1606" w:type="dxa"/>
          </w:tcPr>
          <w:p w14:paraId="1DD179A6" w14:textId="77777777" w:rsidR="001306B3" w:rsidRPr="005B4B56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21. 5. 2014</w:t>
            </w:r>
          </w:p>
        </w:tc>
        <w:tc>
          <w:tcPr>
            <w:tcW w:w="1607" w:type="dxa"/>
          </w:tcPr>
          <w:p w14:paraId="0834A6C1" w14:textId="77777777" w:rsidR="001306B3" w:rsidRPr="005B4B56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4. 9. 2014</w:t>
            </w:r>
          </w:p>
        </w:tc>
        <w:tc>
          <w:tcPr>
            <w:tcW w:w="2126" w:type="dxa"/>
            <w:vAlign w:val="center"/>
          </w:tcPr>
          <w:p w14:paraId="66EDFE98" w14:textId="386D3E87" w:rsidR="001306B3" w:rsidRPr="005B4B56" w:rsidRDefault="006A4D1C" w:rsidP="00554868">
            <w:pPr>
              <w:ind w:right="-108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</w:t>
            </w:r>
            <w:r w:rsidR="001306B3" w:rsidRPr="005B4B56">
              <w:rPr>
                <w:rFonts w:cs="Calibri"/>
                <w:sz w:val="16"/>
                <w:szCs w:val="16"/>
              </w:rPr>
              <w:t>chválen PS dne 21. 10. 2014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</w:tr>
      <w:tr w:rsidR="001306B3" w:rsidRPr="00540221" w14:paraId="67035C92" w14:textId="77777777" w:rsidTr="00554868">
        <w:tc>
          <w:tcPr>
            <w:tcW w:w="993" w:type="dxa"/>
          </w:tcPr>
          <w:p w14:paraId="4E25789D" w14:textId="77777777" w:rsidR="001306B3" w:rsidRPr="005B4B56" w:rsidRDefault="001306B3" w:rsidP="00EE6B0D">
            <w:pPr>
              <w:jc w:val="center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14:paraId="0E90F595" w14:textId="77777777" w:rsidR="001306B3" w:rsidRPr="005B4B56" w:rsidRDefault="001306B3" w:rsidP="00EE6B0D">
            <w:pPr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19. 11. 2014</w:t>
            </w:r>
          </w:p>
        </w:tc>
        <w:tc>
          <w:tcPr>
            <w:tcW w:w="1606" w:type="dxa"/>
          </w:tcPr>
          <w:p w14:paraId="6A2A00BC" w14:textId="77777777" w:rsidR="001306B3" w:rsidRPr="005B4B56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30. 11. 2014</w:t>
            </w:r>
          </w:p>
        </w:tc>
        <w:tc>
          <w:tcPr>
            <w:tcW w:w="1606" w:type="dxa"/>
          </w:tcPr>
          <w:p w14:paraId="686B218F" w14:textId="04F5DA1C" w:rsidR="001306B3" w:rsidRPr="005B4B56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</w:rPr>
            </w:pPr>
            <w:r w:rsidRPr="005B4B56">
              <w:rPr>
                <w:rFonts w:cs="Calibri"/>
                <w:sz w:val="16"/>
                <w:szCs w:val="16"/>
              </w:rPr>
              <w:t>23. 2.</w:t>
            </w:r>
            <w:r w:rsidR="006A4D1C">
              <w:rPr>
                <w:rFonts w:cs="Calibri"/>
                <w:sz w:val="16"/>
                <w:szCs w:val="16"/>
              </w:rPr>
              <w:t xml:space="preserve"> </w:t>
            </w:r>
            <w:r w:rsidRPr="005B4B56">
              <w:rPr>
                <w:rFonts w:cs="Calibri"/>
                <w:sz w:val="16"/>
                <w:szCs w:val="16"/>
              </w:rPr>
              <w:t>2015</w:t>
            </w:r>
          </w:p>
        </w:tc>
        <w:tc>
          <w:tcPr>
            <w:tcW w:w="1607" w:type="dxa"/>
          </w:tcPr>
          <w:p w14:paraId="70F34F0D" w14:textId="66BD2655" w:rsidR="001306B3" w:rsidRPr="00554868" w:rsidRDefault="001306B3" w:rsidP="00554868">
            <w:pPr>
              <w:ind w:right="57"/>
              <w:jc w:val="right"/>
              <w:rPr>
                <w:rFonts w:cs="Calibri"/>
                <w:sz w:val="16"/>
                <w:szCs w:val="16"/>
                <w:highlight w:val="yellow"/>
              </w:rPr>
            </w:pPr>
            <w:r w:rsidRPr="00F7173E">
              <w:rPr>
                <w:rFonts w:cs="Calibri"/>
                <w:sz w:val="16"/>
                <w:szCs w:val="16"/>
              </w:rPr>
              <w:t>6. 5.</w:t>
            </w:r>
            <w:r w:rsidR="006A4D1C" w:rsidRPr="00F7173E">
              <w:rPr>
                <w:rFonts w:cs="Calibri"/>
                <w:sz w:val="16"/>
                <w:szCs w:val="16"/>
              </w:rPr>
              <w:t xml:space="preserve"> </w:t>
            </w:r>
            <w:r w:rsidRPr="00F7173E">
              <w:rPr>
                <w:rFonts w:cs="Calibri"/>
                <w:sz w:val="16"/>
                <w:szCs w:val="16"/>
              </w:rPr>
              <w:t>2015</w:t>
            </w:r>
          </w:p>
        </w:tc>
        <w:tc>
          <w:tcPr>
            <w:tcW w:w="2126" w:type="dxa"/>
            <w:vAlign w:val="center"/>
          </w:tcPr>
          <w:p w14:paraId="412C9956" w14:textId="5204835B" w:rsidR="001306B3" w:rsidRPr="00554868" w:rsidRDefault="006A4D1C" w:rsidP="00554868">
            <w:pPr>
              <w:ind w:right="-108"/>
              <w:jc w:val="left"/>
              <w:rPr>
                <w:rFonts w:cs="Calibri"/>
                <w:sz w:val="16"/>
                <w:szCs w:val="16"/>
                <w:highlight w:val="yellow"/>
              </w:rPr>
            </w:pPr>
            <w:r w:rsidRPr="00F7173E">
              <w:rPr>
                <w:rFonts w:cs="Calibri"/>
                <w:sz w:val="16"/>
                <w:szCs w:val="16"/>
              </w:rPr>
              <w:t>S</w:t>
            </w:r>
            <w:r w:rsidR="00485F7A" w:rsidRPr="00F7173E">
              <w:rPr>
                <w:rFonts w:cs="Calibri"/>
                <w:sz w:val="16"/>
                <w:szCs w:val="16"/>
              </w:rPr>
              <w:t xml:space="preserve">chválen PS dne </w:t>
            </w:r>
            <w:r w:rsidR="00186209" w:rsidRPr="00F7173E">
              <w:rPr>
                <w:rFonts w:cs="Calibri"/>
                <w:sz w:val="16"/>
                <w:szCs w:val="16"/>
              </w:rPr>
              <w:t>9. 7. 2015</w:t>
            </w:r>
            <w:r w:rsidRPr="00F7173E">
              <w:rPr>
                <w:rFonts w:cs="Calibri"/>
                <w:sz w:val="16"/>
                <w:szCs w:val="16"/>
              </w:rPr>
              <w:t>.</w:t>
            </w:r>
          </w:p>
        </w:tc>
      </w:tr>
    </w:tbl>
    <w:p w14:paraId="07032F33" w14:textId="3FAD53B3" w:rsidR="001306B3" w:rsidRPr="00386F75" w:rsidRDefault="001306B3" w:rsidP="003764C4">
      <w:pPr>
        <w:pStyle w:val="Poznmka"/>
      </w:pPr>
      <w:r w:rsidRPr="00554868">
        <w:rPr>
          <w:b/>
        </w:rPr>
        <w:t>Zdroj:</w:t>
      </w:r>
      <w:r w:rsidRPr="00BE1933">
        <w:t xml:space="preserve"> </w:t>
      </w:r>
      <w:hyperlink r:id="rId15" w:history="1">
        <w:r w:rsidRPr="00970E76">
          <w:rPr>
            <w:rStyle w:val="Hypertextovodkaz"/>
            <w:color w:val="auto"/>
            <w:u w:val="none"/>
          </w:rPr>
          <w:t>www.psp.cz</w:t>
        </w:r>
      </w:hyperlink>
      <w:r w:rsidRPr="00970E76">
        <w:rPr>
          <w:color w:val="auto"/>
        </w:rPr>
        <w:t>, ww</w:t>
      </w:r>
      <w:r>
        <w:t>w.vlada.cz</w:t>
      </w:r>
      <w:r w:rsidRPr="00386F75">
        <w:t>, písemné sdělení ZP MV ČR</w:t>
      </w:r>
      <w:r>
        <w:t>.</w:t>
      </w:r>
    </w:p>
    <w:p w14:paraId="62691A65" w14:textId="77777777" w:rsidR="001306B3" w:rsidRDefault="001306B3" w:rsidP="001306B3"/>
    <w:p w14:paraId="2CAA1281" w14:textId="12300A63" w:rsidR="002E62C6" w:rsidRDefault="00EB5B3E" w:rsidP="001306B3">
      <w:r>
        <w:t>Z</w:t>
      </w:r>
      <w:r w:rsidR="001306B3">
        <w:t> této i předchozích</w:t>
      </w:r>
      <w:r w:rsidR="001306B3" w:rsidRPr="003969FE">
        <w:t xml:space="preserve"> kontrolních</w:t>
      </w:r>
      <w:r w:rsidR="001306B3">
        <w:t xml:space="preserve"> akcí NKÚ</w:t>
      </w:r>
      <w:r w:rsidR="001306B3" w:rsidRPr="003969FE">
        <w:rPr>
          <w:rStyle w:val="Znakapoznpodarou"/>
        </w:rPr>
        <w:footnoteReference w:id="8"/>
      </w:r>
      <w:r w:rsidR="001306B3">
        <w:t xml:space="preserve"> </w:t>
      </w:r>
      <w:r>
        <w:t xml:space="preserve">vyplývá, </w:t>
      </w:r>
      <w:r w:rsidR="005F265C">
        <w:t>že proces vedoucí ke schválení ZPP Poslaneckou sněmovnou Parlamentu ČR je zdlouhavý a neprobíhá tak, aby ZPP mohl být</w:t>
      </w:r>
      <w:r w:rsidR="001306B3">
        <w:t xml:space="preserve"> schválen k 1. lednu příslušného roku. </w:t>
      </w:r>
      <w:r w:rsidR="00F17FB2">
        <w:t>N</w:t>
      </w:r>
      <w:r w:rsidR="002E6F2F">
        <w:t>KÚ doporučuje</w:t>
      </w:r>
      <w:r w:rsidR="00F17FB2">
        <w:t xml:space="preserve"> změnu stávající právní úpravy </w:t>
      </w:r>
      <w:r w:rsidR="00DB55CD">
        <w:t>v této oblasti, neboť</w:t>
      </w:r>
      <w:r w:rsidR="00F17FB2">
        <w:t xml:space="preserve"> schvalování ZPP</w:t>
      </w:r>
      <w:r w:rsidR="005F265C">
        <w:t xml:space="preserve"> </w:t>
      </w:r>
      <w:r w:rsidR="00DB55CD">
        <w:t>Poslaneckou sněmovnou až v průběhu roku, pro který je určen, ztrácí na významu.</w:t>
      </w:r>
    </w:p>
    <w:p w14:paraId="1B5C78EC" w14:textId="761C2B99" w:rsidR="00CC683C" w:rsidRPr="00554868" w:rsidRDefault="00CC683C" w:rsidP="00401F31">
      <w:pPr>
        <w:pStyle w:val="Nadpis1"/>
        <w:ind w:left="284" w:hanging="284"/>
        <w:rPr>
          <w:sz w:val="28"/>
          <w:szCs w:val="28"/>
        </w:rPr>
      </w:pPr>
      <w:r w:rsidRPr="00554868">
        <w:rPr>
          <w:sz w:val="28"/>
          <w:szCs w:val="28"/>
        </w:rPr>
        <w:t>Pojistné na veřejné zdravotní pojištění</w:t>
      </w:r>
      <w:bookmarkEnd w:id="3"/>
      <w:bookmarkEnd w:id="4"/>
    </w:p>
    <w:p w14:paraId="02D80DC7" w14:textId="3B56880D" w:rsidR="00334A99" w:rsidRPr="00554868" w:rsidRDefault="00940BAC" w:rsidP="00401F31">
      <w:pPr>
        <w:pStyle w:val="Nadpis2"/>
        <w:ind w:left="426" w:hanging="426"/>
        <w:contextualSpacing/>
        <w:rPr>
          <w:sz w:val="24"/>
          <w:szCs w:val="24"/>
        </w:rPr>
      </w:pPr>
      <w:bookmarkStart w:id="5" w:name="_Toc431818657"/>
      <w:r w:rsidRPr="00554868">
        <w:rPr>
          <w:sz w:val="24"/>
          <w:szCs w:val="24"/>
        </w:rPr>
        <w:t>Pravděpodobná výše pojistného</w:t>
      </w:r>
      <w:bookmarkEnd w:id="5"/>
    </w:p>
    <w:p w14:paraId="1EAD7619" w14:textId="01B60031" w:rsidR="00940BAC" w:rsidRPr="007A2187" w:rsidRDefault="00940BAC" w:rsidP="00940BAC">
      <w:pPr>
        <w:rPr>
          <w:rFonts w:cstheme="minorHAnsi"/>
          <w:szCs w:val="24"/>
        </w:rPr>
      </w:pPr>
      <w:r w:rsidRPr="007A2187">
        <w:rPr>
          <w:rFonts w:cstheme="minorHAnsi"/>
          <w:szCs w:val="24"/>
        </w:rPr>
        <w:t>Jestliže plátce pojistného</w:t>
      </w:r>
      <w:r w:rsidR="004C0A1B">
        <w:rPr>
          <w:rFonts w:cstheme="minorHAnsi"/>
          <w:szCs w:val="24"/>
        </w:rPr>
        <w:t xml:space="preserve">, kterým je </w:t>
      </w:r>
      <w:r w:rsidRPr="007A2187">
        <w:rPr>
          <w:rFonts w:cstheme="minorHAnsi"/>
          <w:szCs w:val="24"/>
        </w:rPr>
        <w:t>zaměstnavatel nebo osoba samostatně výd</w:t>
      </w:r>
      <w:r w:rsidR="00DA5991">
        <w:rPr>
          <w:rFonts w:cstheme="minorHAnsi"/>
          <w:szCs w:val="24"/>
        </w:rPr>
        <w:t>ělečně činná</w:t>
      </w:r>
      <w:r w:rsidR="009D6755">
        <w:rPr>
          <w:rFonts w:cstheme="minorHAnsi"/>
          <w:szCs w:val="24"/>
        </w:rPr>
        <w:t xml:space="preserve">, </w:t>
      </w:r>
      <w:r w:rsidRPr="007A2187">
        <w:rPr>
          <w:rFonts w:cstheme="minorHAnsi"/>
          <w:szCs w:val="24"/>
        </w:rPr>
        <w:t>nesplní povinnost podat přehled o platbách pojistného, resp</w:t>
      </w:r>
      <w:r w:rsidR="004C0A1B">
        <w:rPr>
          <w:rFonts w:cstheme="minorHAnsi"/>
          <w:szCs w:val="24"/>
        </w:rPr>
        <w:t>.</w:t>
      </w:r>
      <w:r w:rsidR="003268C4">
        <w:rPr>
          <w:rFonts w:cstheme="minorHAnsi"/>
          <w:szCs w:val="24"/>
        </w:rPr>
        <w:t xml:space="preserve"> o svých příjmech a výdajích, a </w:t>
      </w:r>
      <w:r w:rsidRPr="007A2187">
        <w:rPr>
          <w:rFonts w:cstheme="minorHAnsi"/>
          <w:szCs w:val="24"/>
        </w:rPr>
        <w:t>tato povinnost není splněna ani v</w:t>
      </w:r>
      <w:r w:rsidR="00EA758D">
        <w:rPr>
          <w:rFonts w:cstheme="minorHAnsi"/>
          <w:szCs w:val="24"/>
        </w:rPr>
        <w:t>e</w:t>
      </w:r>
      <w:r w:rsidR="00936F70">
        <w:rPr>
          <w:rFonts w:cstheme="minorHAnsi"/>
          <w:szCs w:val="24"/>
        </w:rPr>
        <w:t xml:space="preserve"> </w:t>
      </w:r>
      <w:r w:rsidR="00EA758D">
        <w:rPr>
          <w:rFonts w:cstheme="minorHAnsi"/>
          <w:szCs w:val="24"/>
        </w:rPr>
        <w:t xml:space="preserve">zdravotní </w:t>
      </w:r>
      <w:r w:rsidRPr="007A2187">
        <w:rPr>
          <w:rFonts w:cstheme="minorHAnsi"/>
          <w:szCs w:val="24"/>
        </w:rPr>
        <w:t xml:space="preserve">pojišťovnou určené lhůtě, má zdravotní pojišťovna dle </w:t>
      </w:r>
      <w:r w:rsidR="00F2181A" w:rsidRPr="007A2187">
        <w:rPr>
          <w:rFonts w:cstheme="minorHAnsi"/>
          <w:szCs w:val="24"/>
        </w:rPr>
        <w:t xml:space="preserve">zákona </w:t>
      </w:r>
      <w:r w:rsidR="009D6755">
        <w:rPr>
          <w:rFonts w:cstheme="minorHAnsi"/>
          <w:szCs w:val="24"/>
        </w:rPr>
        <w:t xml:space="preserve">o pojistném na veřejné zdravotní pojištění </w:t>
      </w:r>
      <w:r w:rsidR="009D6755" w:rsidRPr="007A2187">
        <w:rPr>
          <w:rFonts w:cstheme="minorHAnsi"/>
          <w:szCs w:val="24"/>
        </w:rPr>
        <w:t xml:space="preserve">možnost </w:t>
      </w:r>
      <w:r w:rsidRPr="007A2187">
        <w:rPr>
          <w:rFonts w:cstheme="minorHAnsi"/>
          <w:szCs w:val="24"/>
        </w:rPr>
        <w:t>stanovit rozhodnutím pravděpodobnou výši pojistného, byl-li plátce ve vý</w:t>
      </w:r>
      <w:r w:rsidR="00F52F21" w:rsidRPr="007A2187">
        <w:rPr>
          <w:rFonts w:cstheme="minorHAnsi"/>
          <w:szCs w:val="24"/>
        </w:rPr>
        <w:t>zvě na tento následek upozorněn</w:t>
      </w:r>
      <w:r w:rsidR="00902E24" w:rsidRPr="007A2187">
        <w:rPr>
          <w:rFonts w:cstheme="minorHAnsi"/>
          <w:szCs w:val="24"/>
          <w:vertAlign w:val="superscript"/>
        </w:rPr>
        <w:footnoteReference w:id="9"/>
      </w:r>
      <w:r w:rsidR="004C0A1B">
        <w:rPr>
          <w:rFonts w:cstheme="minorHAnsi"/>
          <w:szCs w:val="24"/>
        </w:rPr>
        <w:t>, a</w:t>
      </w:r>
      <w:r w:rsidR="00F52F21" w:rsidRPr="007A2187">
        <w:rPr>
          <w:rFonts w:cstheme="minorHAnsi"/>
          <w:szCs w:val="24"/>
        </w:rPr>
        <w:t xml:space="preserve"> následně takto stanovenou pravděpodobnou výši pojistného vymáhat.</w:t>
      </w:r>
    </w:p>
    <w:p w14:paraId="7BAF4218" w14:textId="77777777" w:rsidR="009E081D" w:rsidRPr="007A2187" w:rsidRDefault="009E081D" w:rsidP="00940BAC">
      <w:pPr>
        <w:rPr>
          <w:rFonts w:cstheme="minorHAnsi"/>
          <w:szCs w:val="24"/>
        </w:rPr>
      </w:pPr>
    </w:p>
    <w:p w14:paraId="359543A4" w14:textId="3E320941" w:rsidR="00334A99" w:rsidRDefault="00892920" w:rsidP="006E240D">
      <w:pPr>
        <w:contextualSpacing/>
        <w:rPr>
          <w:rFonts w:eastAsia="Times New Roman" w:cs="Times New Roman"/>
          <w:szCs w:val="24"/>
        </w:rPr>
      </w:pPr>
      <w:r w:rsidRPr="007A2187">
        <w:rPr>
          <w:rFonts w:eastAsia="Times New Roman" w:cs="Times New Roman"/>
          <w:szCs w:val="24"/>
        </w:rPr>
        <w:t>Kontrolou NKÚ bylo zjištěno, že ZP</w:t>
      </w:r>
      <w:r w:rsidR="002203A9">
        <w:rPr>
          <w:rFonts w:eastAsia="Times New Roman" w:cs="Times New Roman"/>
          <w:szCs w:val="24"/>
        </w:rPr>
        <w:t xml:space="preserve"> MV ČR využila možnost danou</w:t>
      </w:r>
      <w:r w:rsidRPr="007A2187">
        <w:rPr>
          <w:rFonts w:eastAsia="Times New Roman" w:cs="Times New Roman"/>
          <w:szCs w:val="24"/>
        </w:rPr>
        <w:t xml:space="preserve"> </w:t>
      </w:r>
      <w:r w:rsidR="009846EF">
        <w:rPr>
          <w:rFonts w:eastAsia="Times New Roman" w:cs="Times New Roman"/>
          <w:szCs w:val="24"/>
        </w:rPr>
        <w:t>jí</w:t>
      </w:r>
      <w:r w:rsidR="009846EF" w:rsidRPr="007A2187">
        <w:rPr>
          <w:rFonts w:eastAsia="Times New Roman" w:cs="Times New Roman"/>
          <w:szCs w:val="24"/>
        </w:rPr>
        <w:t xml:space="preserve"> </w:t>
      </w:r>
      <w:r w:rsidRPr="007A2187">
        <w:rPr>
          <w:rFonts w:eastAsia="Times New Roman" w:cs="Times New Roman"/>
          <w:szCs w:val="24"/>
        </w:rPr>
        <w:t>zákonem</w:t>
      </w:r>
      <w:r w:rsidR="00F7173E">
        <w:rPr>
          <w:rFonts w:eastAsia="Times New Roman" w:cs="Times New Roman"/>
          <w:szCs w:val="24"/>
        </w:rPr>
        <w:t xml:space="preserve"> o</w:t>
      </w:r>
      <w:r w:rsidR="009D6755">
        <w:rPr>
          <w:rFonts w:eastAsia="Times New Roman" w:cs="Times New Roman"/>
          <w:szCs w:val="24"/>
        </w:rPr>
        <w:t xml:space="preserve"> </w:t>
      </w:r>
      <w:r w:rsidR="009D6755" w:rsidRPr="009D6755">
        <w:rPr>
          <w:rFonts w:eastAsia="Times New Roman" w:cs="Times New Roman"/>
          <w:szCs w:val="24"/>
        </w:rPr>
        <w:t>pojistném na veřejné zdravotní poji</w:t>
      </w:r>
      <w:r w:rsidR="009D6755">
        <w:rPr>
          <w:rFonts w:eastAsia="Times New Roman" w:cs="Times New Roman"/>
          <w:szCs w:val="24"/>
        </w:rPr>
        <w:t>štění</w:t>
      </w:r>
      <w:r w:rsidRPr="007A2187">
        <w:rPr>
          <w:rFonts w:eastAsia="Times New Roman" w:cs="Times New Roman"/>
          <w:szCs w:val="24"/>
        </w:rPr>
        <w:t>, ale vlastní postup nebyl</w:t>
      </w:r>
      <w:r w:rsidR="00940BAC" w:rsidRPr="007A2187">
        <w:rPr>
          <w:rFonts w:eastAsia="Times New Roman" w:cs="Times New Roman"/>
          <w:szCs w:val="24"/>
        </w:rPr>
        <w:t xml:space="preserve"> v souladu s</w:t>
      </w:r>
      <w:r w:rsidR="009D6755">
        <w:rPr>
          <w:rFonts w:eastAsia="Times New Roman" w:cs="Times New Roman"/>
          <w:szCs w:val="24"/>
        </w:rPr>
        <w:t xml:space="preserve"> tímto </w:t>
      </w:r>
      <w:r w:rsidR="00940BAC" w:rsidRPr="007A2187">
        <w:rPr>
          <w:rFonts w:eastAsia="Times New Roman" w:cs="Times New Roman"/>
          <w:szCs w:val="24"/>
        </w:rPr>
        <w:t>zákon</w:t>
      </w:r>
      <w:r w:rsidR="00617F93">
        <w:rPr>
          <w:rFonts w:eastAsia="Times New Roman" w:cs="Times New Roman"/>
          <w:szCs w:val="24"/>
        </w:rPr>
        <w:t>em</w:t>
      </w:r>
      <w:r w:rsidR="004C0A1B">
        <w:rPr>
          <w:rStyle w:val="Znakapoznpodarou"/>
          <w:rFonts w:eastAsia="Times New Roman" w:cs="Times New Roman"/>
          <w:szCs w:val="24"/>
        </w:rPr>
        <w:footnoteReference w:id="10"/>
      </w:r>
      <w:r w:rsidR="00940BAC" w:rsidRPr="007A2187">
        <w:rPr>
          <w:rFonts w:eastAsia="Times New Roman" w:cs="Times New Roman"/>
          <w:szCs w:val="24"/>
        </w:rPr>
        <w:t>, neboť nezahájila správní řízení</w:t>
      </w:r>
      <w:r w:rsidR="005351BE" w:rsidRPr="007A2187">
        <w:rPr>
          <w:rStyle w:val="Znakapoznpodarou"/>
          <w:rFonts w:eastAsia="Times New Roman" w:cs="Times New Roman"/>
          <w:szCs w:val="24"/>
        </w:rPr>
        <w:footnoteReference w:id="11"/>
      </w:r>
      <w:r w:rsidR="007825BB">
        <w:rPr>
          <w:rFonts w:eastAsia="Times New Roman" w:cs="Times New Roman"/>
          <w:szCs w:val="24"/>
        </w:rPr>
        <w:t xml:space="preserve"> </w:t>
      </w:r>
      <w:r w:rsidR="003268C4">
        <w:rPr>
          <w:rFonts w:eastAsia="Times New Roman" w:cs="Times New Roman"/>
          <w:szCs w:val="24"/>
        </w:rPr>
        <w:t>a</w:t>
      </w:r>
      <w:r w:rsidR="00F7173E">
        <w:rPr>
          <w:rFonts w:eastAsia="Times New Roman" w:cs="Times New Roman"/>
          <w:szCs w:val="24"/>
        </w:rPr>
        <w:t xml:space="preserve"> </w:t>
      </w:r>
      <w:r w:rsidR="00940BAC" w:rsidRPr="007A2187">
        <w:rPr>
          <w:rFonts w:eastAsia="Times New Roman" w:cs="Times New Roman"/>
          <w:szCs w:val="24"/>
        </w:rPr>
        <w:t>nevydala rozhodnutí v souladu s</w:t>
      </w:r>
      <w:r w:rsidR="00617F93">
        <w:rPr>
          <w:rFonts w:eastAsia="Times New Roman" w:cs="Times New Roman"/>
          <w:szCs w:val="24"/>
        </w:rPr>
        <w:t xml:space="preserve">e </w:t>
      </w:r>
      <w:r w:rsidR="00520DC9">
        <w:rPr>
          <w:rFonts w:eastAsia="Times New Roman" w:cs="Times New Roman"/>
          <w:szCs w:val="24"/>
        </w:rPr>
        <w:t>správním řádem</w:t>
      </w:r>
      <w:r w:rsidR="00B465CE">
        <w:rPr>
          <w:rStyle w:val="Znakapoznpodarou"/>
          <w:rFonts w:eastAsia="Times New Roman" w:cs="Times New Roman"/>
          <w:szCs w:val="24"/>
        </w:rPr>
        <w:footnoteReference w:id="12"/>
      </w:r>
      <w:r w:rsidR="00940BAC" w:rsidRPr="007A2187">
        <w:rPr>
          <w:rFonts w:eastAsia="Times New Roman" w:cs="Times New Roman"/>
          <w:szCs w:val="24"/>
        </w:rPr>
        <w:t xml:space="preserve">, ačkoliv ve výzvě na tento následek plátce </w:t>
      </w:r>
      <w:r w:rsidR="002203A9">
        <w:rPr>
          <w:rFonts w:eastAsia="Times New Roman" w:cs="Times New Roman"/>
          <w:szCs w:val="24"/>
        </w:rPr>
        <w:t xml:space="preserve">pojistného </w:t>
      </w:r>
      <w:r w:rsidR="00940BAC" w:rsidRPr="007A2187">
        <w:rPr>
          <w:rFonts w:eastAsia="Times New Roman" w:cs="Times New Roman"/>
          <w:szCs w:val="24"/>
        </w:rPr>
        <w:t>upozornila.</w:t>
      </w:r>
    </w:p>
    <w:p w14:paraId="26D2F62D" w14:textId="77777777" w:rsidR="00096D98" w:rsidRDefault="00096D98" w:rsidP="006E240D">
      <w:pPr>
        <w:contextualSpacing/>
        <w:rPr>
          <w:rFonts w:eastAsia="Times New Roman" w:cs="Times New Roman"/>
          <w:szCs w:val="24"/>
        </w:rPr>
      </w:pPr>
    </w:p>
    <w:p w14:paraId="064A0D73" w14:textId="2099D7F6" w:rsidR="0017655A" w:rsidRDefault="00772AC5" w:rsidP="006E240D">
      <w:pPr>
        <w:contextualSpacing/>
        <w:rPr>
          <w:rFonts w:eastAsia="Times New Roman" w:cs="Times New Roman"/>
          <w:szCs w:val="24"/>
        </w:rPr>
      </w:pPr>
      <w:r w:rsidRPr="00DB425A">
        <w:rPr>
          <w:rFonts w:eastAsia="Times New Roman" w:cs="Times New Roman"/>
          <w:szCs w:val="24"/>
        </w:rPr>
        <w:t xml:space="preserve">NKÚ doporučuje změnu právní úpravy </w:t>
      </w:r>
      <w:r w:rsidR="00F00681" w:rsidRPr="00DB425A">
        <w:rPr>
          <w:rFonts w:eastAsia="Times New Roman" w:cs="Times New Roman"/>
          <w:szCs w:val="24"/>
        </w:rPr>
        <w:t>tak, aby byla jednoznačně stanovena povinnost</w:t>
      </w:r>
      <w:r w:rsidR="006C2E8D">
        <w:rPr>
          <w:rFonts w:eastAsia="Times New Roman" w:cs="Times New Roman"/>
          <w:szCs w:val="24"/>
        </w:rPr>
        <w:t>, nikoliv možnost</w:t>
      </w:r>
      <w:r w:rsidR="00F00681" w:rsidRPr="00DB425A">
        <w:rPr>
          <w:rFonts w:eastAsia="Times New Roman" w:cs="Times New Roman"/>
          <w:szCs w:val="24"/>
        </w:rPr>
        <w:t xml:space="preserve"> zdravotní pojišťovny stanovit rozhodnutím pravděpodobnou výši pojistného</w:t>
      </w:r>
      <w:r w:rsidR="00F7173E">
        <w:rPr>
          <w:rFonts w:eastAsia="Times New Roman" w:cs="Times New Roman"/>
          <w:szCs w:val="24"/>
        </w:rPr>
        <w:t>,</w:t>
      </w:r>
      <w:r w:rsidR="003D7D67" w:rsidRPr="00DB425A">
        <w:rPr>
          <w:rFonts w:eastAsia="Times New Roman" w:cs="Times New Roman"/>
          <w:szCs w:val="24"/>
        </w:rPr>
        <w:t xml:space="preserve"> vč. závazného postupu</w:t>
      </w:r>
      <w:r w:rsidR="00B465CE" w:rsidRPr="00DB425A">
        <w:rPr>
          <w:rFonts w:eastAsia="Times New Roman" w:cs="Times New Roman"/>
          <w:szCs w:val="24"/>
        </w:rPr>
        <w:t>.</w:t>
      </w:r>
    </w:p>
    <w:p w14:paraId="48B6C31B" w14:textId="77777777" w:rsidR="00671DC8" w:rsidRDefault="00671DC8">
      <w:pPr>
        <w:jc w:val="left"/>
        <w:rPr>
          <w:b/>
          <w:color w:val="000000"/>
          <w:sz w:val="28"/>
        </w:rPr>
      </w:pPr>
      <w:bookmarkStart w:id="6" w:name="_Toc431818658"/>
      <w:r>
        <w:br w:type="page"/>
      </w:r>
    </w:p>
    <w:p w14:paraId="704A2532" w14:textId="26A2A593" w:rsidR="00C439CD" w:rsidRPr="00560D2F" w:rsidRDefault="00DE2292" w:rsidP="00560D2F">
      <w:pPr>
        <w:pStyle w:val="Nadpis2"/>
        <w:spacing w:before="0"/>
        <w:ind w:left="426" w:hanging="426"/>
        <w:rPr>
          <w:sz w:val="24"/>
          <w:szCs w:val="24"/>
        </w:rPr>
      </w:pPr>
      <w:r w:rsidRPr="00560D2F">
        <w:rPr>
          <w:sz w:val="24"/>
          <w:szCs w:val="24"/>
        </w:rPr>
        <w:lastRenderedPageBreak/>
        <w:t>Pohledávky za plátci pojistného</w:t>
      </w:r>
      <w:r w:rsidR="00596005" w:rsidRPr="00560D2F">
        <w:rPr>
          <w:sz w:val="24"/>
          <w:szCs w:val="24"/>
        </w:rPr>
        <w:t>, u kterých došlo k výmazu</w:t>
      </w:r>
      <w:r w:rsidRPr="00560D2F">
        <w:rPr>
          <w:sz w:val="24"/>
          <w:szCs w:val="24"/>
        </w:rPr>
        <w:t xml:space="preserve"> </w:t>
      </w:r>
      <w:r w:rsidR="00C439CD" w:rsidRPr="00560D2F">
        <w:rPr>
          <w:sz w:val="24"/>
          <w:szCs w:val="24"/>
        </w:rPr>
        <w:t>z obchodního rejstříku</w:t>
      </w:r>
      <w:bookmarkEnd w:id="6"/>
    </w:p>
    <w:p w14:paraId="22FAA45D" w14:textId="19539828" w:rsidR="00C439CD" w:rsidRPr="007A2187" w:rsidRDefault="00C439CD" w:rsidP="00C439CD">
      <w:r w:rsidRPr="007A2187">
        <w:t>Za nedobytný se považuje též dluh na pojistném a penále u plátce pojistného</w:t>
      </w:r>
      <w:r w:rsidR="0029362A">
        <w:t> </w:t>
      </w:r>
      <w:r w:rsidR="003268C4">
        <w:t>–</w:t>
      </w:r>
      <w:r w:rsidRPr="007A2187">
        <w:t xml:space="preserve"> zaměstnavatele, u něhož došlo k výmazu z obchodního rejstříku, pokud dluh nepřešel na jeho právního nástupce</w:t>
      </w:r>
      <w:r w:rsidR="00782CFF">
        <w:rPr>
          <w:rStyle w:val="Znakapoznpodarou"/>
        </w:rPr>
        <w:footnoteReference w:id="13"/>
      </w:r>
      <w:r w:rsidRPr="007A2187">
        <w:t>.</w:t>
      </w:r>
    </w:p>
    <w:p w14:paraId="04804580" w14:textId="77777777" w:rsidR="00C439CD" w:rsidRPr="007A2187" w:rsidRDefault="00C439CD" w:rsidP="00C439CD"/>
    <w:p w14:paraId="47F6FE71" w14:textId="325A1B6E" w:rsidR="00C439CD" w:rsidRPr="007A2187" w:rsidRDefault="00F618EA" w:rsidP="00C439CD">
      <w:r>
        <w:t>P</w:t>
      </w:r>
      <w:r w:rsidR="00C439CD" w:rsidRPr="007A2187">
        <w:t xml:space="preserve">orovnáním údajů z dokladové inventury pohledávek z pojistného a z penále za plátci </w:t>
      </w:r>
      <w:r w:rsidR="00C439CD" w:rsidRPr="00DE30E2">
        <w:t xml:space="preserve">pojistného </w:t>
      </w:r>
      <w:r w:rsidR="00DF4102">
        <w:t>–</w:t>
      </w:r>
      <w:r w:rsidR="00C439CD" w:rsidRPr="00DE30E2">
        <w:t xml:space="preserve"> zaměstna</w:t>
      </w:r>
      <w:r w:rsidR="00EE061D" w:rsidRPr="00DE30E2">
        <w:t>vateli</w:t>
      </w:r>
      <w:r w:rsidR="00C439CD" w:rsidRPr="00DE30E2">
        <w:t xml:space="preserve"> k</w:t>
      </w:r>
      <w:r w:rsidR="00E774CC" w:rsidRPr="00DE30E2">
        <w:t>e dni</w:t>
      </w:r>
      <w:r w:rsidR="0029362A">
        <w:t xml:space="preserve"> </w:t>
      </w:r>
      <w:r w:rsidR="00E774CC" w:rsidRPr="00DE30E2">
        <w:t>31. 12. 2012 a ke dni</w:t>
      </w:r>
      <w:r w:rsidR="00C439CD" w:rsidRPr="00DE30E2">
        <w:t xml:space="preserve"> 31. 12. 2013 s údaji vedenými </w:t>
      </w:r>
      <w:r w:rsidR="00C439CD" w:rsidRPr="007A2187">
        <w:t xml:space="preserve">v obchodním rejstříku </w:t>
      </w:r>
      <w:r>
        <w:t>bylo zjištěno</w:t>
      </w:r>
      <w:r w:rsidR="00C439CD" w:rsidRPr="007A2187">
        <w:t xml:space="preserve">, že ZP MV ČR evidovala pohledávky za plátci pojistného, </w:t>
      </w:r>
      <w:r w:rsidR="00596005">
        <w:t>u kterých došlo k výmazu z obchodního rejstříku.</w:t>
      </w:r>
    </w:p>
    <w:p w14:paraId="3A50B4D6" w14:textId="77777777" w:rsidR="00334A99" w:rsidRPr="007A2187" w:rsidRDefault="00334A99" w:rsidP="006E240D">
      <w:pPr>
        <w:contextualSpacing/>
        <w:rPr>
          <w:rFonts w:eastAsia="Times New Roman" w:cs="Times New Roman"/>
          <w:szCs w:val="24"/>
        </w:rPr>
      </w:pPr>
    </w:p>
    <w:p w14:paraId="1C029BE1" w14:textId="01033676" w:rsidR="00C439CD" w:rsidRPr="000D542C" w:rsidRDefault="00C439CD" w:rsidP="00C439CD">
      <w:pPr>
        <w:contextualSpacing/>
        <w:rPr>
          <w:rFonts w:eastAsia="Times New Roman" w:cs="Times New Roman"/>
          <w:szCs w:val="24"/>
        </w:rPr>
      </w:pPr>
      <w:r w:rsidRPr="000D542C">
        <w:rPr>
          <w:rFonts w:eastAsia="Times New Roman" w:cs="Times New Roman"/>
          <w:b/>
          <w:szCs w:val="24"/>
        </w:rPr>
        <w:t>ZP MV ČR nepostupovala v souladu s</w:t>
      </w:r>
      <w:r w:rsidR="00E774CC" w:rsidRPr="000D542C">
        <w:rPr>
          <w:rFonts w:eastAsia="Times New Roman" w:cs="Times New Roman"/>
          <w:b/>
          <w:szCs w:val="24"/>
        </w:rPr>
        <w:t>e</w:t>
      </w:r>
      <w:r w:rsidRPr="000D542C">
        <w:rPr>
          <w:rFonts w:eastAsia="Times New Roman" w:cs="Times New Roman"/>
          <w:b/>
          <w:szCs w:val="24"/>
        </w:rPr>
        <w:t xml:space="preserve"> </w:t>
      </w:r>
      <w:r w:rsidR="00742873" w:rsidRPr="000D542C">
        <w:rPr>
          <w:rFonts w:eastAsia="Times New Roman" w:cs="Times New Roman"/>
          <w:b/>
          <w:szCs w:val="24"/>
        </w:rPr>
        <w:t>zákon</w:t>
      </w:r>
      <w:r w:rsidR="00E774CC" w:rsidRPr="000D542C">
        <w:rPr>
          <w:rFonts w:eastAsia="Times New Roman" w:cs="Times New Roman"/>
          <w:b/>
          <w:szCs w:val="24"/>
        </w:rPr>
        <w:t>em</w:t>
      </w:r>
      <w:r w:rsidR="000D542C" w:rsidRPr="000D542C">
        <w:rPr>
          <w:rFonts w:eastAsia="Times New Roman" w:cs="Times New Roman"/>
          <w:b/>
          <w:szCs w:val="24"/>
        </w:rPr>
        <w:t xml:space="preserve"> o účetnictví</w:t>
      </w:r>
      <w:r w:rsidR="00742873" w:rsidRPr="007A2187">
        <w:rPr>
          <w:rFonts w:eastAsia="Times New Roman" w:cs="Times New Roman"/>
          <w:szCs w:val="24"/>
          <w:vertAlign w:val="superscript"/>
        </w:rPr>
        <w:footnoteReference w:id="14"/>
      </w:r>
      <w:r w:rsidRPr="007A2187">
        <w:rPr>
          <w:rFonts w:eastAsia="Times New Roman" w:cs="Times New Roman"/>
          <w:szCs w:val="24"/>
        </w:rPr>
        <w:t xml:space="preserve"> tím, že neúčtovala o vyřazení </w:t>
      </w:r>
      <w:r w:rsidRPr="000D542C">
        <w:rPr>
          <w:rFonts w:eastAsia="Times New Roman" w:cs="Times New Roman"/>
          <w:szCs w:val="24"/>
        </w:rPr>
        <w:t xml:space="preserve">pohledávek minimálně ve výši 57 584 648,87 Kč za zaniklými plátci </w:t>
      </w:r>
      <w:r w:rsidR="00215861" w:rsidRPr="000D542C">
        <w:rPr>
          <w:rFonts w:eastAsia="Times New Roman" w:cs="Times New Roman"/>
          <w:szCs w:val="24"/>
        </w:rPr>
        <w:t xml:space="preserve">pojistného </w:t>
      </w:r>
      <w:r w:rsidRPr="000D542C">
        <w:rPr>
          <w:rFonts w:eastAsia="Times New Roman" w:cs="Times New Roman"/>
          <w:szCs w:val="24"/>
        </w:rPr>
        <w:t>v účetních obdobích, kdy došlo k výmazu těchto plátců z</w:t>
      </w:r>
      <w:r w:rsidR="00E774CC" w:rsidRPr="000D542C">
        <w:rPr>
          <w:rFonts w:eastAsia="Times New Roman" w:cs="Times New Roman"/>
          <w:szCs w:val="24"/>
        </w:rPr>
        <w:t> obchodního rejstříku</w:t>
      </w:r>
      <w:r w:rsidRPr="000D542C">
        <w:rPr>
          <w:rFonts w:eastAsia="Times New Roman" w:cs="Times New Roman"/>
          <w:szCs w:val="24"/>
        </w:rPr>
        <w:t xml:space="preserve">. O vyřazení pohledávek </w:t>
      </w:r>
      <w:r w:rsidR="00BC574B" w:rsidRPr="000D542C">
        <w:rPr>
          <w:rFonts w:eastAsia="Times New Roman" w:cs="Times New Roman"/>
          <w:szCs w:val="24"/>
        </w:rPr>
        <w:t xml:space="preserve">tedy </w:t>
      </w:r>
      <w:r w:rsidRPr="000D542C">
        <w:rPr>
          <w:rFonts w:eastAsia="Times New Roman" w:cs="Times New Roman"/>
          <w:szCs w:val="24"/>
        </w:rPr>
        <w:t>ZP MV ČR neúčtovala do období, s nímž tyto skutečnosti věcně a časově souvisely. ZP</w:t>
      </w:r>
      <w:r w:rsidR="00BC574B">
        <w:rPr>
          <w:rFonts w:eastAsia="Times New Roman" w:cs="Times New Roman"/>
          <w:szCs w:val="24"/>
        </w:rPr>
        <w:t> </w:t>
      </w:r>
      <w:r w:rsidRPr="000D542C">
        <w:rPr>
          <w:rFonts w:eastAsia="Times New Roman" w:cs="Times New Roman"/>
          <w:szCs w:val="24"/>
        </w:rPr>
        <w:t xml:space="preserve">MV ČR současně nepostupovala v souladu </w:t>
      </w:r>
      <w:r w:rsidR="00617F93" w:rsidRPr="000D542C">
        <w:rPr>
          <w:rFonts w:eastAsia="Times New Roman" w:cs="Times New Roman"/>
          <w:szCs w:val="24"/>
        </w:rPr>
        <w:t xml:space="preserve">se </w:t>
      </w:r>
      <w:r w:rsidR="00742873" w:rsidRPr="000D542C">
        <w:rPr>
          <w:rFonts w:eastAsia="Times New Roman" w:cs="Times New Roman"/>
          <w:szCs w:val="24"/>
        </w:rPr>
        <w:t>zákon</w:t>
      </w:r>
      <w:r w:rsidR="00617F93" w:rsidRPr="000D542C">
        <w:rPr>
          <w:rFonts w:eastAsia="Times New Roman" w:cs="Times New Roman"/>
          <w:szCs w:val="24"/>
        </w:rPr>
        <w:t>em</w:t>
      </w:r>
      <w:r w:rsidR="000D542C" w:rsidRPr="000D542C">
        <w:rPr>
          <w:rFonts w:eastAsia="Times New Roman" w:cs="Times New Roman"/>
          <w:szCs w:val="24"/>
        </w:rPr>
        <w:t xml:space="preserve"> o účetnictví</w:t>
      </w:r>
      <w:r w:rsidR="00617F93" w:rsidRPr="000D542C">
        <w:rPr>
          <w:rStyle w:val="Znakapoznpodarou"/>
          <w:rFonts w:eastAsia="Times New Roman" w:cs="Times New Roman"/>
          <w:szCs w:val="24"/>
        </w:rPr>
        <w:footnoteReference w:id="15"/>
      </w:r>
      <w:r w:rsidRPr="000D542C">
        <w:rPr>
          <w:rFonts w:eastAsia="Times New Roman" w:cs="Times New Roman"/>
          <w:szCs w:val="24"/>
        </w:rPr>
        <w:t xml:space="preserve"> tím, že při dokladové inventuře pohledávek nezjisti</w:t>
      </w:r>
      <w:r w:rsidR="00777F7E" w:rsidRPr="000D542C">
        <w:rPr>
          <w:rFonts w:eastAsia="Times New Roman" w:cs="Times New Roman"/>
          <w:szCs w:val="24"/>
        </w:rPr>
        <w:t>la skutečný stav majetku, neboť</w:t>
      </w:r>
      <w:r w:rsidRPr="000D542C">
        <w:rPr>
          <w:rFonts w:eastAsia="Times New Roman" w:cs="Times New Roman"/>
          <w:szCs w:val="24"/>
        </w:rPr>
        <w:t>:</w:t>
      </w:r>
    </w:p>
    <w:p w14:paraId="5BD385CA" w14:textId="5F3B1C89" w:rsidR="00C439CD" w:rsidRPr="000D542C" w:rsidRDefault="001B3822" w:rsidP="00331FB1">
      <w:pPr>
        <w:numPr>
          <w:ilvl w:val="0"/>
          <w:numId w:val="14"/>
        </w:numPr>
        <w:contextualSpacing/>
        <w:rPr>
          <w:rFonts w:eastAsia="Times New Roman" w:cs="Times New Roman"/>
          <w:szCs w:val="24"/>
        </w:rPr>
      </w:pPr>
      <w:r w:rsidRPr="000D542C">
        <w:rPr>
          <w:rFonts w:eastAsia="Times New Roman" w:cs="Times New Roman"/>
          <w:szCs w:val="24"/>
        </w:rPr>
        <w:t xml:space="preserve">k 31. 12. 2012 </w:t>
      </w:r>
      <w:r w:rsidR="00AB0BA7" w:rsidRPr="000D542C">
        <w:rPr>
          <w:rFonts w:eastAsia="Times New Roman" w:cs="Times New Roman"/>
          <w:szCs w:val="24"/>
        </w:rPr>
        <w:t xml:space="preserve">vedla pohledávky za zaniklými plátci </w:t>
      </w:r>
      <w:r w:rsidRPr="000D542C">
        <w:rPr>
          <w:rFonts w:eastAsia="Times New Roman" w:cs="Times New Roman"/>
          <w:szCs w:val="24"/>
        </w:rPr>
        <w:t xml:space="preserve">na účtu </w:t>
      </w:r>
      <w:r w:rsidR="00C439CD" w:rsidRPr="00560D2F">
        <w:rPr>
          <w:rFonts w:eastAsia="Times New Roman" w:cs="Times New Roman"/>
          <w:i/>
          <w:szCs w:val="24"/>
        </w:rPr>
        <w:t>Pojistné zaměstnavatelé</w:t>
      </w:r>
      <w:r w:rsidR="00C439CD" w:rsidRPr="000D542C">
        <w:rPr>
          <w:rFonts w:eastAsia="Times New Roman" w:cs="Times New Roman"/>
          <w:szCs w:val="24"/>
        </w:rPr>
        <w:t xml:space="preserve"> minimálně ve výši 20 081 856,09 Kč a na účtu </w:t>
      </w:r>
      <w:r w:rsidR="00C439CD" w:rsidRPr="00560D2F">
        <w:rPr>
          <w:rFonts w:eastAsia="Times New Roman" w:cs="Times New Roman"/>
          <w:i/>
          <w:szCs w:val="24"/>
        </w:rPr>
        <w:t>Penále k platbám pojistného</w:t>
      </w:r>
      <w:r w:rsidR="00C439CD" w:rsidRPr="000D542C">
        <w:rPr>
          <w:rFonts w:eastAsia="Times New Roman" w:cs="Times New Roman"/>
          <w:szCs w:val="24"/>
        </w:rPr>
        <w:t xml:space="preserve"> minimálně ve výši 9 611 483,55 Kč;</w:t>
      </w:r>
    </w:p>
    <w:p w14:paraId="466C9E18" w14:textId="7E03FE75" w:rsidR="00C439CD" w:rsidRPr="000D542C" w:rsidRDefault="00C439CD" w:rsidP="00331FB1">
      <w:pPr>
        <w:numPr>
          <w:ilvl w:val="0"/>
          <w:numId w:val="14"/>
        </w:numPr>
        <w:contextualSpacing/>
        <w:rPr>
          <w:rFonts w:eastAsia="Times New Roman" w:cs="Times New Roman"/>
          <w:szCs w:val="24"/>
        </w:rPr>
      </w:pPr>
      <w:r w:rsidRPr="000D542C">
        <w:rPr>
          <w:rFonts w:eastAsia="Times New Roman" w:cs="Times New Roman"/>
          <w:szCs w:val="24"/>
        </w:rPr>
        <w:t xml:space="preserve">k 31. 12. 2013 vedla </w:t>
      </w:r>
      <w:r w:rsidR="00AB0BA7" w:rsidRPr="000D542C">
        <w:rPr>
          <w:rFonts w:eastAsia="Times New Roman" w:cs="Times New Roman"/>
          <w:szCs w:val="24"/>
        </w:rPr>
        <w:t xml:space="preserve">pohledávky za zaniklými plátci </w:t>
      </w:r>
      <w:r w:rsidRPr="000D542C">
        <w:rPr>
          <w:rFonts w:eastAsia="Times New Roman" w:cs="Times New Roman"/>
          <w:szCs w:val="24"/>
        </w:rPr>
        <w:t xml:space="preserve">na účtu </w:t>
      </w:r>
      <w:r w:rsidRPr="00560D2F">
        <w:rPr>
          <w:rFonts w:eastAsia="Times New Roman" w:cs="Times New Roman"/>
          <w:i/>
          <w:szCs w:val="24"/>
        </w:rPr>
        <w:t>Pojistné zaměstnavatelé</w:t>
      </w:r>
      <w:r w:rsidRPr="000D542C">
        <w:rPr>
          <w:rFonts w:eastAsia="Times New Roman" w:cs="Times New Roman"/>
          <w:szCs w:val="24"/>
        </w:rPr>
        <w:t xml:space="preserve">“ minimálně ve výši 19 140 316,04 Kč a na účtu </w:t>
      </w:r>
      <w:r w:rsidRPr="00560D2F">
        <w:rPr>
          <w:rFonts w:eastAsia="Times New Roman" w:cs="Times New Roman"/>
          <w:i/>
          <w:szCs w:val="24"/>
        </w:rPr>
        <w:t>Penále k platbám pojistného</w:t>
      </w:r>
      <w:r w:rsidRPr="000D542C">
        <w:rPr>
          <w:rFonts w:eastAsia="Times New Roman" w:cs="Times New Roman"/>
          <w:szCs w:val="24"/>
        </w:rPr>
        <w:t xml:space="preserve"> minimálně ve výši 8 750 993,19 Kč.</w:t>
      </w:r>
    </w:p>
    <w:p w14:paraId="45CFD069" w14:textId="507B144D" w:rsidR="00A91E6C" w:rsidRPr="00560D2F" w:rsidRDefault="00A91E6C" w:rsidP="00802497">
      <w:pPr>
        <w:pStyle w:val="Nadpis1"/>
        <w:ind w:left="284" w:hanging="284"/>
        <w:rPr>
          <w:sz w:val="28"/>
          <w:szCs w:val="28"/>
        </w:rPr>
      </w:pPr>
      <w:bookmarkStart w:id="7" w:name="_Toc431818659"/>
      <w:r w:rsidRPr="00560D2F">
        <w:rPr>
          <w:sz w:val="28"/>
          <w:szCs w:val="28"/>
        </w:rPr>
        <w:t>Zdravotní služby</w:t>
      </w:r>
      <w:bookmarkEnd w:id="7"/>
    </w:p>
    <w:p w14:paraId="6CA18ED3" w14:textId="6DC95E32" w:rsidR="00097838" w:rsidRPr="00097838" w:rsidRDefault="00097838" w:rsidP="00097838">
      <w:bookmarkStart w:id="8" w:name="_Toc431818661"/>
      <w:bookmarkStart w:id="9" w:name="_Toc431818669"/>
      <w:r w:rsidRPr="00097838">
        <w:t>Zdravotní pojišťovny jsou povinny podle zákona</w:t>
      </w:r>
      <w:r w:rsidR="000D542C">
        <w:t xml:space="preserve"> o veřejném zdravotním pojištění</w:t>
      </w:r>
      <w:r w:rsidRPr="00097838">
        <w:rPr>
          <w:vertAlign w:val="superscript"/>
        </w:rPr>
        <w:footnoteReference w:id="16"/>
      </w:r>
      <w:r w:rsidRPr="00097838">
        <w:t xml:space="preserve"> zajistit poskytování zdravotních služeb svým pojištěncům, včetně jejich místní a časové dostupnosti. Tuto povinnost plní prostřednictvím smluvních poskytovatelů zdravotních služeb, kteří tvoří síť smluvních poskytovatelů zdravotní pojišťovny.</w:t>
      </w:r>
    </w:p>
    <w:bookmarkEnd w:id="8"/>
    <w:p w14:paraId="0CF13083" w14:textId="77777777" w:rsidR="00097838" w:rsidRPr="00097838" w:rsidRDefault="00097838" w:rsidP="00097838">
      <w:pPr>
        <w:rPr>
          <w:rFonts w:eastAsia="Times New Roman"/>
        </w:rPr>
      </w:pPr>
    </w:p>
    <w:p w14:paraId="1BDECECF" w14:textId="0030C349" w:rsidR="00097838" w:rsidRPr="00097838" w:rsidRDefault="00097838" w:rsidP="00097838">
      <w:pPr>
        <w:rPr>
          <w:rFonts w:eastAsia="Times New Roman"/>
        </w:rPr>
      </w:pPr>
      <w:r w:rsidRPr="00097838">
        <w:rPr>
          <w:rFonts w:eastAsia="Times New Roman"/>
        </w:rPr>
        <w:t>Ze zdravotního pojištění se hradí zdravotní služby</w:t>
      </w:r>
      <w:r w:rsidR="0008588E">
        <w:rPr>
          <w:rFonts w:eastAsia="Times New Roman"/>
        </w:rPr>
        <w:t xml:space="preserve"> </w:t>
      </w:r>
      <w:r w:rsidRPr="00097838">
        <w:rPr>
          <w:rFonts w:eastAsia="Times New Roman"/>
        </w:rPr>
        <w:t xml:space="preserve">poskytnuté pojištěnci s cílem zlepšit nebo zachovat jeho zdravotní stav. Zdravotními službami </w:t>
      </w:r>
      <w:r w:rsidR="0008588E" w:rsidRPr="0008588E">
        <w:rPr>
          <w:rFonts w:eastAsia="Times New Roman"/>
        </w:rPr>
        <w:t>(dále také „ZS“)</w:t>
      </w:r>
      <w:r w:rsidR="0008588E">
        <w:rPr>
          <w:rFonts w:eastAsia="Times New Roman"/>
        </w:rPr>
        <w:t xml:space="preserve"> </w:t>
      </w:r>
      <w:r w:rsidRPr="00097838">
        <w:rPr>
          <w:rFonts w:eastAsia="Times New Roman"/>
        </w:rPr>
        <w:t xml:space="preserve">jsou v rozsahu a </w:t>
      </w:r>
      <w:r w:rsidR="00EE6B0D">
        <w:rPr>
          <w:rFonts w:eastAsia="Times New Roman"/>
        </w:rPr>
        <w:t>za podmínek stanovených zákonem</w:t>
      </w:r>
      <w:r w:rsidRPr="00097838">
        <w:rPr>
          <w:rFonts w:eastAsia="Times New Roman"/>
          <w:vertAlign w:val="superscript"/>
        </w:rPr>
        <w:footnoteReference w:id="17"/>
      </w:r>
      <w:r w:rsidRPr="00097838">
        <w:rPr>
          <w:rFonts w:eastAsia="Times New Roman"/>
        </w:rPr>
        <w:t xml:space="preserve"> např. zdravotní péče preventivní, diagnostická, léčebná, lázeňská léčebně rehabilitační</w:t>
      </w:r>
      <w:r w:rsidR="00BC574B">
        <w:rPr>
          <w:rFonts w:eastAsia="Times New Roman"/>
        </w:rPr>
        <w:t xml:space="preserve"> péče</w:t>
      </w:r>
      <w:r w:rsidRPr="00097838">
        <w:rPr>
          <w:rFonts w:eastAsia="Times New Roman"/>
        </w:rPr>
        <w:t>, ale i poskytování léčivých přípravků, zdravotnických prostředků, stomatologických výrobků nebo přeprava pojištěnců.</w:t>
      </w:r>
    </w:p>
    <w:p w14:paraId="4DB09E09" w14:textId="77777777" w:rsidR="00097838" w:rsidRPr="00097838" w:rsidRDefault="00097838" w:rsidP="00097838">
      <w:pPr>
        <w:rPr>
          <w:rFonts w:eastAsia="Times New Roman" w:cs="Calibri"/>
          <w:lang w:eastAsia="cs-CZ"/>
        </w:rPr>
      </w:pPr>
    </w:p>
    <w:p w14:paraId="0BAB9A03" w14:textId="7D9900CC" w:rsidR="00097838" w:rsidRDefault="00097838" w:rsidP="00097838">
      <w:pPr>
        <w:rPr>
          <w:rFonts w:eastAsia="Times New Roman" w:cs="Calibri"/>
          <w:lang w:eastAsia="cs-CZ"/>
        </w:rPr>
      </w:pPr>
      <w:r w:rsidRPr="00097838">
        <w:rPr>
          <w:rFonts w:eastAsia="Times New Roman" w:cs="Calibri"/>
          <w:lang w:eastAsia="cs-CZ"/>
        </w:rPr>
        <w:t>Vztahy mezi zdravotními pojišťovnami a poskytovateli ZS se řídí písemnými smlouvami uzavřenými podle vyhlášky</w:t>
      </w:r>
      <w:r w:rsidRPr="00097838">
        <w:rPr>
          <w:rFonts w:eastAsia="Times New Roman" w:cs="Calibri"/>
          <w:vertAlign w:val="superscript"/>
          <w:lang w:eastAsia="cs-CZ"/>
        </w:rPr>
        <w:footnoteReference w:id="18"/>
      </w:r>
      <w:r w:rsidRPr="00097838">
        <w:rPr>
          <w:rFonts w:eastAsia="Times New Roman" w:cs="Calibri"/>
          <w:lang w:eastAsia="cs-CZ"/>
        </w:rPr>
        <w:t>.</w:t>
      </w:r>
      <w:r w:rsidR="0008588E">
        <w:rPr>
          <w:rFonts w:eastAsia="Times New Roman" w:cs="Calibri"/>
          <w:lang w:eastAsia="cs-CZ"/>
        </w:rPr>
        <w:t xml:space="preserve"> </w:t>
      </w:r>
      <w:r w:rsidR="00FD21CF">
        <w:rPr>
          <w:rFonts w:eastAsia="Times New Roman" w:cs="Calibri"/>
          <w:lang w:eastAsia="cs-CZ"/>
        </w:rPr>
        <w:t>V n</w:t>
      </w:r>
      <w:r w:rsidR="0008588E">
        <w:rPr>
          <w:rFonts w:eastAsia="Times New Roman" w:cs="Calibri"/>
          <w:lang w:eastAsia="cs-CZ"/>
        </w:rPr>
        <w:t>ásledující tabul</w:t>
      </w:r>
      <w:r w:rsidR="00FD21CF">
        <w:rPr>
          <w:rFonts w:eastAsia="Times New Roman" w:cs="Calibri"/>
          <w:lang w:eastAsia="cs-CZ"/>
        </w:rPr>
        <w:t>ce</w:t>
      </w:r>
      <w:r w:rsidR="0008588E">
        <w:rPr>
          <w:rFonts w:eastAsia="Times New Roman" w:cs="Calibri"/>
          <w:lang w:eastAsia="cs-CZ"/>
        </w:rPr>
        <w:t xml:space="preserve"> jsou uveden</w:t>
      </w:r>
      <w:r w:rsidR="00FD21CF">
        <w:rPr>
          <w:rFonts w:eastAsia="Times New Roman" w:cs="Calibri"/>
          <w:lang w:eastAsia="cs-CZ"/>
        </w:rPr>
        <w:t>y celkové počty</w:t>
      </w:r>
      <w:r w:rsidR="0008588E">
        <w:rPr>
          <w:rFonts w:eastAsia="Times New Roman" w:cs="Calibri"/>
          <w:lang w:eastAsia="cs-CZ"/>
        </w:rPr>
        <w:t xml:space="preserve"> smluvní</w:t>
      </w:r>
      <w:r w:rsidR="00FD21CF">
        <w:rPr>
          <w:rFonts w:eastAsia="Times New Roman" w:cs="Calibri"/>
          <w:lang w:eastAsia="cs-CZ"/>
        </w:rPr>
        <w:t>ch</w:t>
      </w:r>
      <w:r w:rsidR="0008588E">
        <w:rPr>
          <w:rFonts w:eastAsia="Times New Roman" w:cs="Calibri"/>
          <w:lang w:eastAsia="cs-CZ"/>
        </w:rPr>
        <w:t xml:space="preserve"> poskytovatel</w:t>
      </w:r>
      <w:r w:rsidR="00FD21CF">
        <w:rPr>
          <w:rFonts w:eastAsia="Times New Roman" w:cs="Calibri"/>
          <w:lang w:eastAsia="cs-CZ"/>
        </w:rPr>
        <w:t>ů</w:t>
      </w:r>
      <w:r w:rsidR="0008588E">
        <w:rPr>
          <w:rFonts w:eastAsia="Times New Roman" w:cs="Calibri"/>
          <w:lang w:eastAsia="cs-CZ"/>
        </w:rPr>
        <w:t xml:space="preserve"> ZS dle </w:t>
      </w:r>
      <w:r w:rsidR="00FD21CF">
        <w:rPr>
          <w:rFonts w:eastAsia="Times New Roman" w:cs="Calibri"/>
          <w:lang w:eastAsia="cs-CZ"/>
        </w:rPr>
        <w:t xml:space="preserve">kontrolovaných </w:t>
      </w:r>
      <w:r w:rsidR="0008588E">
        <w:rPr>
          <w:rFonts w:eastAsia="Times New Roman" w:cs="Calibri"/>
          <w:lang w:eastAsia="cs-CZ"/>
        </w:rPr>
        <w:t>segmentů.</w:t>
      </w:r>
    </w:p>
    <w:p w14:paraId="53191104" w14:textId="77777777" w:rsidR="00802497" w:rsidRDefault="00802497" w:rsidP="00097838">
      <w:pPr>
        <w:rPr>
          <w:rFonts w:eastAsia="Times New Roman" w:cs="Calibri"/>
          <w:lang w:eastAsia="cs-CZ"/>
        </w:rPr>
      </w:pPr>
    </w:p>
    <w:p w14:paraId="22CA668C" w14:textId="78BCE3F5" w:rsidR="00097838" w:rsidRPr="00392887" w:rsidRDefault="00C45BBD" w:rsidP="00C45BBD">
      <w:pPr>
        <w:pStyle w:val="Nzevtabulky"/>
        <w:numPr>
          <w:ilvl w:val="0"/>
          <w:numId w:val="0"/>
        </w:numPr>
        <w:rPr>
          <w:b/>
        </w:rPr>
      </w:pPr>
      <w:r w:rsidRPr="00392887">
        <w:rPr>
          <w:b/>
        </w:rPr>
        <w:lastRenderedPageBreak/>
        <w:t>Tabulka č. 4</w:t>
      </w:r>
      <w:r w:rsidR="00FE0841" w:rsidRPr="00392887">
        <w:rPr>
          <w:b/>
        </w:rPr>
        <w:t xml:space="preserve"> –</w:t>
      </w:r>
      <w:r w:rsidRPr="00392887">
        <w:rPr>
          <w:b/>
        </w:rPr>
        <w:t xml:space="preserve"> </w:t>
      </w:r>
      <w:r w:rsidR="00EE6B0D" w:rsidRPr="00392887">
        <w:rPr>
          <w:b/>
        </w:rPr>
        <w:t>S</w:t>
      </w:r>
      <w:r w:rsidR="00097838" w:rsidRPr="00392887">
        <w:rPr>
          <w:b/>
        </w:rPr>
        <w:t>mluvní poskytovatel</w:t>
      </w:r>
      <w:r w:rsidR="00EE6B0D" w:rsidRPr="00392887">
        <w:rPr>
          <w:b/>
        </w:rPr>
        <w:t>é</w:t>
      </w:r>
      <w:r w:rsidR="00097838" w:rsidRPr="00392887">
        <w:rPr>
          <w:b/>
        </w:rPr>
        <w:t xml:space="preserve"> zdravotních služeb </w:t>
      </w:r>
      <w:r w:rsidR="00EE6B0D" w:rsidRPr="00392887">
        <w:rPr>
          <w:b/>
        </w:rPr>
        <w:t xml:space="preserve">ZP MV ČR </w:t>
      </w:r>
      <w:r w:rsidR="00097838" w:rsidRPr="00392887">
        <w:rPr>
          <w:b/>
        </w:rPr>
        <w:t>v letech 2012 až 2014</w:t>
      </w:r>
    </w:p>
    <w:tbl>
      <w:tblPr>
        <w:tblW w:w="894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370"/>
        <w:gridCol w:w="1370"/>
        <w:gridCol w:w="1371"/>
      </w:tblGrid>
      <w:tr w:rsidR="00F15444" w:rsidRPr="00097838" w14:paraId="244F4F18" w14:textId="77777777" w:rsidTr="00392887">
        <w:trPr>
          <w:trHeight w:val="20"/>
        </w:trPr>
        <w:tc>
          <w:tcPr>
            <w:tcW w:w="4835" w:type="dxa"/>
            <w:tcBorders>
              <w:top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14:paraId="5F1C3DFC" w14:textId="77777777" w:rsidR="00F15444" w:rsidRPr="009E3B3A" w:rsidRDefault="00F15444" w:rsidP="00EE6B0D">
            <w:pPr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5982CAA8" w14:textId="119A0E8F" w:rsidR="00F15444" w:rsidRPr="009E3B3A" w:rsidRDefault="00F15444" w:rsidP="00F15444">
            <w:pPr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2012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09A56E45" w14:textId="5E2D3853" w:rsidR="00F15444" w:rsidRPr="009E3B3A" w:rsidRDefault="00F15444" w:rsidP="00F15444">
            <w:pPr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2013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A83FB60" w14:textId="07D6A0B9" w:rsidR="00F15444" w:rsidRPr="009E3B3A" w:rsidRDefault="00F15444" w:rsidP="00F15444">
            <w:pPr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2014</w:t>
            </w:r>
          </w:p>
        </w:tc>
      </w:tr>
      <w:tr w:rsidR="0008588E" w:rsidRPr="00097838" w14:paraId="0CFCC316" w14:textId="77777777" w:rsidTr="009D6755">
        <w:trPr>
          <w:trHeight w:val="20"/>
        </w:trPr>
        <w:tc>
          <w:tcPr>
            <w:tcW w:w="4835" w:type="dxa"/>
            <w:tcBorders>
              <w:top w:val="single" w:sz="12" w:space="0" w:color="auto"/>
            </w:tcBorders>
            <w:noWrap/>
            <w:vAlign w:val="center"/>
          </w:tcPr>
          <w:p w14:paraId="17524D0E" w14:textId="0E62BA02" w:rsidR="0008588E" w:rsidRPr="009E3B3A" w:rsidRDefault="0008588E" w:rsidP="00EE6B0D">
            <w:pPr>
              <w:rPr>
                <w:rFonts w:eastAsia="Times New Roman" w:cstheme="minorHAnsi"/>
                <w:b/>
                <w:sz w:val="16"/>
                <w:szCs w:val="16"/>
              </w:rPr>
            </w:pPr>
            <w:r w:rsidRPr="009E3B3A">
              <w:rPr>
                <w:rFonts w:eastAsia="Times New Roman" w:cstheme="minorHAnsi"/>
                <w:b/>
                <w:sz w:val="16"/>
                <w:szCs w:val="16"/>
              </w:rPr>
              <w:t>Smluvní poskytovatelé zdravotních služeb celkem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14:paraId="4B62D765" w14:textId="77777777" w:rsidR="0008588E" w:rsidRPr="009E3B3A" w:rsidRDefault="0008588E" w:rsidP="00097838">
            <w:pPr>
              <w:jc w:val="right"/>
              <w:rPr>
                <w:rFonts w:eastAsia="Times New Roman" w:cstheme="minorHAnsi"/>
                <w:b/>
                <w:sz w:val="16"/>
                <w:szCs w:val="16"/>
              </w:rPr>
            </w:pPr>
            <w:r w:rsidRPr="009E3B3A">
              <w:rPr>
                <w:rFonts w:eastAsia="Times New Roman" w:cstheme="minorHAnsi"/>
                <w:b/>
                <w:sz w:val="16"/>
                <w:szCs w:val="16"/>
              </w:rPr>
              <w:t>25 915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14:paraId="29EE1835" w14:textId="77777777" w:rsidR="0008588E" w:rsidRPr="009E3B3A" w:rsidRDefault="0008588E" w:rsidP="00097838">
            <w:pPr>
              <w:jc w:val="right"/>
              <w:rPr>
                <w:rFonts w:eastAsia="Times New Roman" w:cstheme="minorHAnsi"/>
                <w:b/>
                <w:sz w:val="16"/>
                <w:szCs w:val="16"/>
              </w:rPr>
            </w:pPr>
            <w:r w:rsidRPr="009E3B3A">
              <w:rPr>
                <w:rFonts w:eastAsia="Times New Roman" w:cstheme="minorHAnsi"/>
                <w:b/>
                <w:sz w:val="16"/>
                <w:szCs w:val="16"/>
              </w:rPr>
              <w:t>26 146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vAlign w:val="center"/>
          </w:tcPr>
          <w:p w14:paraId="2E236CEA" w14:textId="77777777" w:rsidR="0008588E" w:rsidRPr="009E3B3A" w:rsidRDefault="0008588E" w:rsidP="00097838">
            <w:pPr>
              <w:jc w:val="right"/>
              <w:rPr>
                <w:rFonts w:eastAsia="Times New Roman" w:cstheme="minorHAnsi"/>
                <w:b/>
                <w:sz w:val="16"/>
                <w:szCs w:val="16"/>
              </w:rPr>
            </w:pPr>
            <w:r w:rsidRPr="009E3B3A">
              <w:rPr>
                <w:rFonts w:eastAsia="Times New Roman" w:cstheme="minorHAnsi"/>
                <w:b/>
                <w:sz w:val="16"/>
                <w:szCs w:val="16"/>
              </w:rPr>
              <w:t>25 825</w:t>
            </w:r>
          </w:p>
        </w:tc>
      </w:tr>
      <w:tr w:rsidR="00FD21CF" w:rsidRPr="00097838" w14:paraId="359CE84C" w14:textId="77777777" w:rsidTr="009D6755">
        <w:trPr>
          <w:trHeight w:val="20"/>
        </w:trPr>
        <w:tc>
          <w:tcPr>
            <w:tcW w:w="4835" w:type="dxa"/>
            <w:shd w:val="clear" w:color="auto" w:fill="auto"/>
            <w:noWrap/>
            <w:vAlign w:val="center"/>
          </w:tcPr>
          <w:p w14:paraId="4B33864E" w14:textId="01821539" w:rsidR="00FD21CF" w:rsidRPr="001D02A3" w:rsidRDefault="00FE0841" w:rsidP="00097838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</w:t>
            </w:r>
            <w:r w:rsidR="00FD21CF" w:rsidRPr="001D02A3">
              <w:rPr>
                <w:rFonts w:eastAsia="Times New Roman" w:cstheme="minorHAnsi"/>
                <w:sz w:val="16"/>
                <w:szCs w:val="16"/>
              </w:rPr>
              <w:t xml:space="preserve"> toho:</w:t>
            </w:r>
          </w:p>
        </w:tc>
        <w:tc>
          <w:tcPr>
            <w:tcW w:w="1370" w:type="dxa"/>
            <w:vAlign w:val="center"/>
          </w:tcPr>
          <w:p w14:paraId="12B44E48" w14:textId="77777777" w:rsidR="00FD21CF" w:rsidRPr="00097838" w:rsidRDefault="00FD21CF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14:paraId="2A2BE1DF" w14:textId="77777777" w:rsidR="00FD21CF" w:rsidRPr="00097838" w:rsidRDefault="00FD21CF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7084E6F3" w14:textId="77777777" w:rsidR="00FD21CF" w:rsidRPr="00097838" w:rsidRDefault="00FD21CF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08588E" w:rsidRPr="00097838" w14:paraId="38EAC25D" w14:textId="77777777" w:rsidTr="009D6755">
        <w:trPr>
          <w:trHeight w:val="20"/>
        </w:trPr>
        <w:tc>
          <w:tcPr>
            <w:tcW w:w="4835" w:type="dxa"/>
            <w:shd w:val="clear" w:color="auto" w:fill="auto"/>
            <w:noWrap/>
            <w:vAlign w:val="center"/>
          </w:tcPr>
          <w:p w14:paraId="57D4CF0D" w14:textId="6A594163" w:rsidR="0008588E" w:rsidRPr="009E3B3A" w:rsidRDefault="00FE0841" w:rsidP="00FE0841">
            <w:pPr>
              <w:ind w:left="229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- </w:t>
            </w:r>
            <w:r w:rsidR="0008588E" w:rsidRPr="009E3B3A">
              <w:rPr>
                <w:rFonts w:eastAsia="Times New Roman" w:cstheme="minorHAnsi"/>
                <w:sz w:val="16"/>
                <w:szCs w:val="16"/>
              </w:rPr>
              <w:t>lůžkoví poskytovatelé ZS</w:t>
            </w:r>
          </w:p>
        </w:tc>
        <w:tc>
          <w:tcPr>
            <w:tcW w:w="1370" w:type="dxa"/>
            <w:vAlign w:val="center"/>
          </w:tcPr>
          <w:p w14:paraId="1A17F812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285</w:t>
            </w:r>
          </w:p>
        </w:tc>
        <w:tc>
          <w:tcPr>
            <w:tcW w:w="1370" w:type="dxa"/>
            <w:vAlign w:val="center"/>
          </w:tcPr>
          <w:p w14:paraId="249495EB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289</w:t>
            </w:r>
          </w:p>
        </w:tc>
        <w:tc>
          <w:tcPr>
            <w:tcW w:w="1371" w:type="dxa"/>
            <w:vAlign w:val="center"/>
          </w:tcPr>
          <w:p w14:paraId="734827DE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289</w:t>
            </w:r>
          </w:p>
        </w:tc>
      </w:tr>
      <w:tr w:rsidR="0008588E" w:rsidRPr="00097838" w14:paraId="0B7A89A5" w14:textId="77777777" w:rsidTr="009D6755">
        <w:trPr>
          <w:trHeight w:val="20"/>
        </w:trPr>
        <w:tc>
          <w:tcPr>
            <w:tcW w:w="4835" w:type="dxa"/>
            <w:shd w:val="clear" w:color="auto" w:fill="auto"/>
            <w:noWrap/>
            <w:vAlign w:val="center"/>
          </w:tcPr>
          <w:p w14:paraId="46CB1954" w14:textId="7674D417" w:rsidR="0008588E" w:rsidRPr="009E3B3A" w:rsidRDefault="00FE0841" w:rsidP="00FE0841">
            <w:pPr>
              <w:ind w:left="229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- </w:t>
            </w:r>
            <w:r w:rsidR="0008588E" w:rsidRPr="009E3B3A">
              <w:rPr>
                <w:rFonts w:eastAsia="Times New Roman" w:cstheme="minorHAnsi"/>
                <w:sz w:val="16"/>
                <w:szCs w:val="16"/>
              </w:rPr>
              <w:t>ambulantní poskytovatel</w:t>
            </w:r>
            <w:r>
              <w:rPr>
                <w:rFonts w:eastAsia="Times New Roman" w:cstheme="minorHAnsi"/>
                <w:sz w:val="16"/>
                <w:szCs w:val="16"/>
              </w:rPr>
              <w:t>é</w:t>
            </w:r>
            <w:r w:rsidR="0008588E" w:rsidRPr="009E3B3A">
              <w:rPr>
                <w:rFonts w:eastAsia="Times New Roman" w:cstheme="minorHAnsi"/>
                <w:sz w:val="16"/>
                <w:szCs w:val="16"/>
              </w:rPr>
              <w:t xml:space="preserve"> ZS</w:t>
            </w:r>
          </w:p>
        </w:tc>
        <w:tc>
          <w:tcPr>
            <w:tcW w:w="1370" w:type="dxa"/>
            <w:vAlign w:val="center"/>
          </w:tcPr>
          <w:p w14:paraId="78977A56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22 480</w:t>
            </w:r>
          </w:p>
        </w:tc>
        <w:tc>
          <w:tcPr>
            <w:tcW w:w="1370" w:type="dxa"/>
            <w:vAlign w:val="center"/>
          </w:tcPr>
          <w:p w14:paraId="663D38BD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22 493</w:t>
            </w:r>
          </w:p>
        </w:tc>
        <w:tc>
          <w:tcPr>
            <w:tcW w:w="1371" w:type="dxa"/>
            <w:vAlign w:val="center"/>
          </w:tcPr>
          <w:p w14:paraId="55B6A278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22 408</w:t>
            </w:r>
          </w:p>
        </w:tc>
      </w:tr>
      <w:tr w:rsidR="0008588E" w:rsidRPr="00097838" w14:paraId="7A937855" w14:textId="77777777" w:rsidTr="009D6755">
        <w:trPr>
          <w:trHeight w:val="20"/>
        </w:trPr>
        <w:tc>
          <w:tcPr>
            <w:tcW w:w="4835" w:type="dxa"/>
            <w:shd w:val="clear" w:color="auto" w:fill="auto"/>
            <w:noWrap/>
            <w:vAlign w:val="center"/>
          </w:tcPr>
          <w:p w14:paraId="76FF2334" w14:textId="7A1B6870" w:rsidR="0008588E" w:rsidRPr="009E3B3A" w:rsidRDefault="0008588E" w:rsidP="00FE0841">
            <w:pPr>
              <w:ind w:left="512"/>
              <w:rPr>
                <w:rFonts w:eastAsia="Times New Roman" w:cstheme="minorHAnsi"/>
                <w:sz w:val="16"/>
                <w:szCs w:val="16"/>
              </w:rPr>
            </w:pPr>
            <w:r w:rsidRPr="009E3B3A">
              <w:rPr>
                <w:rFonts w:eastAsia="Times New Roman" w:cstheme="minorHAnsi"/>
                <w:sz w:val="16"/>
                <w:szCs w:val="16"/>
              </w:rPr>
              <w:t xml:space="preserve">z  toho: </w:t>
            </w:r>
            <w:r w:rsidR="00FE0841">
              <w:rPr>
                <w:rFonts w:eastAsia="Times New Roman" w:cstheme="minorHAnsi"/>
                <w:sz w:val="16"/>
                <w:szCs w:val="16"/>
              </w:rPr>
              <w:t xml:space="preserve">- </w:t>
            </w:r>
            <w:r w:rsidRPr="009E3B3A">
              <w:rPr>
                <w:rFonts w:eastAsia="Times New Roman" w:cstheme="minorHAnsi"/>
                <w:sz w:val="16"/>
                <w:szCs w:val="16"/>
              </w:rPr>
              <w:t>praktičtí lékaři</w:t>
            </w:r>
            <w:r w:rsidR="009E3B3A" w:rsidRPr="009E3B3A">
              <w:rPr>
                <w:rStyle w:val="Znakapoznpodarou"/>
                <w:rFonts w:eastAsia="Times New Roman" w:cstheme="minorHAnsi"/>
                <w:sz w:val="16"/>
                <w:szCs w:val="16"/>
              </w:rPr>
              <w:footnoteReference w:id="19"/>
            </w:r>
          </w:p>
        </w:tc>
        <w:tc>
          <w:tcPr>
            <w:tcW w:w="1370" w:type="dxa"/>
            <w:vAlign w:val="center"/>
          </w:tcPr>
          <w:p w14:paraId="34F67ECC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6 610</w:t>
            </w:r>
          </w:p>
        </w:tc>
        <w:tc>
          <w:tcPr>
            <w:tcW w:w="1370" w:type="dxa"/>
            <w:vAlign w:val="center"/>
          </w:tcPr>
          <w:p w14:paraId="6F6B2A27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6 614</w:t>
            </w:r>
          </w:p>
        </w:tc>
        <w:tc>
          <w:tcPr>
            <w:tcW w:w="1371" w:type="dxa"/>
            <w:vAlign w:val="center"/>
          </w:tcPr>
          <w:p w14:paraId="7D3D1665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6 581</w:t>
            </w:r>
          </w:p>
        </w:tc>
      </w:tr>
      <w:tr w:rsidR="0008588E" w:rsidRPr="00097838" w14:paraId="5B98AF0A" w14:textId="77777777" w:rsidTr="009D6755">
        <w:trPr>
          <w:trHeight w:val="20"/>
        </w:trPr>
        <w:tc>
          <w:tcPr>
            <w:tcW w:w="4835" w:type="dxa"/>
            <w:shd w:val="clear" w:color="auto" w:fill="auto"/>
            <w:noWrap/>
            <w:vAlign w:val="center"/>
          </w:tcPr>
          <w:p w14:paraId="067C3C95" w14:textId="480B53B8" w:rsidR="0008588E" w:rsidRPr="009E3B3A" w:rsidRDefault="00FE0841" w:rsidP="00FE0841">
            <w:pPr>
              <w:ind w:left="1038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- </w:t>
            </w:r>
            <w:r w:rsidR="0008588E" w:rsidRPr="009E3B3A">
              <w:rPr>
                <w:rFonts w:eastAsia="Times New Roman" w:cstheme="minorHAnsi"/>
                <w:sz w:val="16"/>
                <w:szCs w:val="16"/>
              </w:rPr>
              <w:t>poskytovatelé lázeňské péče</w:t>
            </w:r>
          </w:p>
        </w:tc>
        <w:tc>
          <w:tcPr>
            <w:tcW w:w="1370" w:type="dxa"/>
            <w:vAlign w:val="center"/>
          </w:tcPr>
          <w:p w14:paraId="672CE297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53</w:t>
            </w:r>
          </w:p>
        </w:tc>
        <w:tc>
          <w:tcPr>
            <w:tcW w:w="1370" w:type="dxa"/>
            <w:vAlign w:val="center"/>
          </w:tcPr>
          <w:p w14:paraId="3FFD991E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53</w:t>
            </w:r>
          </w:p>
        </w:tc>
        <w:tc>
          <w:tcPr>
            <w:tcW w:w="1371" w:type="dxa"/>
            <w:vAlign w:val="center"/>
          </w:tcPr>
          <w:p w14:paraId="7EE7DAB4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48</w:t>
            </w:r>
          </w:p>
        </w:tc>
      </w:tr>
      <w:tr w:rsidR="0008588E" w:rsidRPr="00097838" w14:paraId="4C07BFA4" w14:textId="77777777" w:rsidTr="009D6755">
        <w:trPr>
          <w:trHeight w:val="20"/>
        </w:trPr>
        <w:tc>
          <w:tcPr>
            <w:tcW w:w="4835" w:type="dxa"/>
            <w:shd w:val="clear" w:color="auto" w:fill="auto"/>
            <w:noWrap/>
            <w:vAlign w:val="center"/>
          </w:tcPr>
          <w:p w14:paraId="0B7FF4CB" w14:textId="0F0F8BA6" w:rsidR="0008588E" w:rsidRPr="009E3B3A" w:rsidRDefault="00FE0841" w:rsidP="00FE0841">
            <w:pPr>
              <w:ind w:left="1038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-</w:t>
            </w:r>
            <w:r w:rsidR="0008588E" w:rsidRPr="009E3B3A">
              <w:rPr>
                <w:rFonts w:eastAsia="Times New Roman" w:cstheme="minorHAnsi"/>
                <w:sz w:val="16"/>
                <w:szCs w:val="16"/>
              </w:rPr>
              <w:t xml:space="preserve"> lékárny a výdejny zdravotnických prostředků</w:t>
            </w:r>
          </w:p>
        </w:tc>
        <w:tc>
          <w:tcPr>
            <w:tcW w:w="1370" w:type="dxa"/>
            <w:vAlign w:val="center"/>
          </w:tcPr>
          <w:p w14:paraId="46DEC146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2 840</w:t>
            </w:r>
          </w:p>
        </w:tc>
        <w:tc>
          <w:tcPr>
            <w:tcW w:w="1370" w:type="dxa"/>
            <w:vAlign w:val="center"/>
          </w:tcPr>
          <w:p w14:paraId="6AA976BD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3 058</w:t>
            </w:r>
          </w:p>
        </w:tc>
        <w:tc>
          <w:tcPr>
            <w:tcW w:w="1371" w:type="dxa"/>
            <w:vAlign w:val="center"/>
          </w:tcPr>
          <w:p w14:paraId="023D2879" w14:textId="77777777" w:rsidR="0008588E" w:rsidRPr="00097838" w:rsidRDefault="0008588E" w:rsidP="00097838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097838">
              <w:rPr>
                <w:rFonts w:eastAsia="Times New Roman" w:cstheme="minorHAnsi"/>
                <w:sz w:val="16"/>
                <w:szCs w:val="16"/>
              </w:rPr>
              <w:t>2 840</w:t>
            </w:r>
          </w:p>
        </w:tc>
      </w:tr>
    </w:tbl>
    <w:p w14:paraId="2F32B5E6" w14:textId="70E88C25" w:rsidR="00097838" w:rsidRPr="00FA4D01" w:rsidRDefault="00097838" w:rsidP="003764C4">
      <w:pPr>
        <w:pStyle w:val="Poznmka"/>
      </w:pPr>
      <w:r w:rsidRPr="00392887">
        <w:rPr>
          <w:b/>
        </w:rPr>
        <w:t>Zdroj:</w:t>
      </w:r>
      <w:r w:rsidRPr="0008588E">
        <w:t xml:space="preserve"> výroční zprávy ZP</w:t>
      </w:r>
      <w:r w:rsidR="009E3B3A">
        <w:t xml:space="preserve"> </w:t>
      </w:r>
      <w:r w:rsidRPr="0008588E">
        <w:t>MV ČR za roky 2012, 2</w:t>
      </w:r>
      <w:r w:rsidR="009E3B3A">
        <w:t>013 a 2014.</w:t>
      </w:r>
    </w:p>
    <w:p w14:paraId="751D8560" w14:textId="77777777" w:rsidR="00802497" w:rsidRPr="00FA4D01" w:rsidRDefault="00802497" w:rsidP="005748AA">
      <w:pPr>
        <w:pStyle w:val="Poznmka"/>
      </w:pPr>
    </w:p>
    <w:p w14:paraId="32D53356" w14:textId="77777777" w:rsidR="00097838" w:rsidRPr="00392887" w:rsidRDefault="00097838" w:rsidP="00392887">
      <w:pPr>
        <w:pStyle w:val="Nadpis2"/>
        <w:spacing w:before="0"/>
        <w:ind w:left="426" w:hanging="426"/>
        <w:rPr>
          <w:sz w:val="24"/>
          <w:szCs w:val="24"/>
        </w:rPr>
      </w:pPr>
      <w:bookmarkStart w:id="10" w:name="_Toc419370954"/>
      <w:bookmarkStart w:id="11" w:name="_Toc419655327"/>
      <w:bookmarkStart w:id="12" w:name="_Toc431818666"/>
      <w:bookmarkStart w:id="13" w:name="_Toc431818663"/>
      <w:r w:rsidRPr="00392887">
        <w:rPr>
          <w:sz w:val="24"/>
          <w:szCs w:val="24"/>
        </w:rPr>
        <w:t xml:space="preserve">Náklady na zdravotní služby </w:t>
      </w:r>
    </w:p>
    <w:bookmarkEnd w:id="10"/>
    <w:bookmarkEnd w:id="11"/>
    <w:bookmarkEnd w:id="12"/>
    <w:p w14:paraId="381F28CF" w14:textId="4EB94F7F" w:rsidR="00097838" w:rsidRPr="00097838" w:rsidRDefault="00097838" w:rsidP="00097838">
      <w:r w:rsidRPr="00097838">
        <w:t xml:space="preserve">Předpokládané náklady na zdravotní služby </w:t>
      </w:r>
      <w:r w:rsidR="009D6755" w:rsidRPr="00097838">
        <w:t xml:space="preserve">stanoví </w:t>
      </w:r>
      <w:r w:rsidR="009D6755">
        <w:t>ZP MV ČR</w:t>
      </w:r>
      <w:r w:rsidRPr="00097838">
        <w:t xml:space="preserve"> ve svém ZPP na daný kalendářní rok v členění dle jednotlivých segmentů. Skutečné náklady ve sledovaném období jsou uvedeny v  tabulce č. </w:t>
      </w:r>
      <w:r w:rsidR="00B7081D">
        <w:t>5</w:t>
      </w:r>
      <w:r w:rsidRPr="00097838">
        <w:t xml:space="preserve">. </w:t>
      </w:r>
    </w:p>
    <w:p w14:paraId="1E6D5A61" w14:textId="77777777" w:rsidR="00097838" w:rsidRPr="00097838" w:rsidRDefault="00097838" w:rsidP="00097838"/>
    <w:p w14:paraId="6430F229" w14:textId="179E5178" w:rsidR="00097838" w:rsidRPr="0076720B" w:rsidRDefault="00C45BBD" w:rsidP="00FE0841">
      <w:pPr>
        <w:tabs>
          <w:tab w:val="right" w:pos="9070"/>
        </w:tabs>
        <w:rPr>
          <w:rFonts w:ascii="Calibri" w:eastAsia="Times New Roman" w:hAnsi="Calibri" w:cs="Calibri"/>
          <w:b/>
          <w:szCs w:val="24"/>
          <w:lang w:eastAsia="cs-CZ"/>
        </w:rPr>
      </w:pPr>
      <w:r w:rsidRPr="0076720B">
        <w:rPr>
          <w:b/>
        </w:rPr>
        <w:t>Tabulka č. 5</w:t>
      </w:r>
      <w:r w:rsidR="00FE0841" w:rsidRPr="0076720B">
        <w:rPr>
          <w:b/>
        </w:rPr>
        <w:t xml:space="preserve"> –</w:t>
      </w:r>
      <w:r w:rsidRPr="0076720B">
        <w:rPr>
          <w:b/>
        </w:rPr>
        <w:t xml:space="preserve"> </w:t>
      </w:r>
      <w:r w:rsidR="00097838" w:rsidRPr="0076720B">
        <w:rPr>
          <w:rFonts w:ascii="Calibri" w:eastAsia="Times New Roman" w:hAnsi="Calibri" w:cs="Times New Roman"/>
          <w:b/>
          <w:szCs w:val="24"/>
          <w:lang w:eastAsia="cs-CZ"/>
        </w:rPr>
        <w:t xml:space="preserve">Náklady </w:t>
      </w:r>
      <w:r w:rsidR="00FE0841" w:rsidRPr="008629B8">
        <w:rPr>
          <w:rFonts w:ascii="Calibri" w:eastAsia="Times New Roman" w:hAnsi="Calibri" w:cs="Times New Roman"/>
          <w:b/>
          <w:szCs w:val="24"/>
          <w:lang w:eastAsia="cs-CZ"/>
        </w:rPr>
        <w:t xml:space="preserve">ZP MV ČR </w:t>
      </w:r>
      <w:r w:rsidR="00097838" w:rsidRPr="0076720B">
        <w:rPr>
          <w:rFonts w:ascii="Calibri" w:eastAsia="Times New Roman" w:hAnsi="Calibri" w:cs="Times New Roman"/>
          <w:b/>
          <w:szCs w:val="24"/>
          <w:lang w:eastAsia="cs-CZ"/>
        </w:rPr>
        <w:t xml:space="preserve">na </w:t>
      </w:r>
      <w:r w:rsidR="00FE0841">
        <w:rPr>
          <w:rFonts w:ascii="Calibri" w:eastAsia="Times New Roman" w:hAnsi="Calibri" w:cs="Times New Roman"/>
          <w:b/>
          <w:szCs w:val="24"/>
          <w:lang w:eastAsia="cs-CZ"/>
        </w:rPr>
        <w:t xml:space="preserve">vybrané </w:t>
      </w:r>
      <w:r w:rsidR="00097838" w:rsidRPr="0076720B">
        <w:rPr>
          <w:rFonts w:ascii="Calibri" w:eastAsia="Times New Roman" w:hAnsi="Calibri" w:cs="Times New Roman"/>
          <w:b/>
          <w:szCs w:val="24"/>
          <w:lang w:eastAsia="cs-CZ"/>
        </w:rPr>
        <w:t>zdravotní služby</w:t>
      </w:r>
      <w:r w:rsidR="00FE0841" w:rsidRPr="0076720B">
        <w:rPr>
          <w:rFonts w:ascii="Calibri" w:eastAsia="Times New Roman" w:hAnsi="Calibri" w:cs="Times New Roman"/>
          <w:b/>
          <w:szCs w:val="24"/>
          <w:lang w:eastAsia="cs-CZ"/>
        </w:rPr>
        <w:tab/>
      </w:r>
      <w:r w:rsidR="00097838" w:rsidRPr="0076720B">
        <w:rPr>
          <w:rFonts w:ascii="Calibri" w:eastAsia="Times New Roman" w:hAnsi="Calibri" w:cs="Times New Roman"/>
          <w:b/>
          <w:szCs w:val="24"/>
          <w:lang w:eastAsia="cs-CZ"/>
        </w:rPr>
        <w:t>(v tis. Kč)</w:t>
      </w:r>
    </w:p>
    <w:tbl>
      <w:tblPr>
        <w:tblW w:w="4927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86"/>
        <w:gridCol w:w="1582"/>
        <w:gridCol w:w="1582"/>
        <w:gridCol w:w="1519"/>
      </w:tblGrid>
      <w:tr w:rsidR="00097838" w:rsidRPr="00097838" w14:paraId="47B95E32" w14:textId="77777777" w:rsidTr="0076720B">
        <w:trPr>
          <w:trHeight w:val="252"/>
        </w:trPr>
        <w:tc>
          <w:tcPr>
            <w:tcW w:w="240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6EE34" w14:textId="7B7DFA1E" w:rsidR="00097838" w:rsidRPr="00097838" w:rsidRDefault="00097838" w:rsidP="00FA4D01">
            <w:pPr>
              <w:ind w:left="17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D1C88" w14:textId="0059C383" w:rsidR="00097838" w:rsidRPr="00097838" w:rsidRDefault="009E3B3A" w:rsidP="0067056D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K</w:t>
            </w:r>
            <w:r w:rsidR="00097838" w:rsidRPr="00097838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31. 12. 2012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C4680" w14:textId="6D3A3927" w:rsidR="00097838" w:rsidRPr="00097838" w:rsidRDefault="009E3B3A" w:rsidP="0067056D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K</w:t>
            </w:r>
            <w:r w:rsidR="00097838" w:rsidRPr="00097838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31. 12. 2013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98613" w14:textId="77777777" w:rsidR="00097838" w:rsidRPr="00097838" w:rsidRDefault="00097838" w:rsidP="0067056D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097838">
              <w:rPr>
                <w:rFonts w:eastAsia="Times New Roman" w:cs="Calibri"/>
                <w:b/>
                <w:bCs/>
                <w:sz w:val="16"/>
                <w:szCs w:val="16"/>
              </w:rPr>
              <w:t>K 31. 12. 2014</w:t>
            </w:r>
          </w:p>
        </w:tc>
      </w:tr>
      <w:tr w:rsidR="00097838" w:rsidRPr="00097838" w14:paraId="48952A15" w14:textId="77777777" w:rsidTr="0076720B">
        <w:trPr>
          <w:trHeight w:val="20"/>
        </w:trPr>
        <w:tc>
          <w:tcPr>
            <w:tcW w:w="2404" w:type="pct"/>
            <w:gridSpan w:val="2"/>
            <w:tcBorders>
              <w:top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F6F18" w14:textId="77777777" w:rsidR="00097838" w:rsidRPr="00097838" w:rsidRDefault="00097838" w:rsidP="00097838">
            <w:pPr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097838">
              <w:rPr>
                <w:rFonts w:eastAsia="Times New Roman" w:cs="Calibri"/>
                <w:b/>
                <w:bCs/>
                <w:sz w:val="16"/>
                <w:szCs w:val="16"/>
              </w:rPr>
              <w:t>Náklady na zdravotní služby celkem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5B7C5" w14:textId="77777777" w:rsidR="00097838" w:rsidRPr="00097838" w:rsidRDefault="00097838" w:rsidP="00097838">
            <w:pPr>
              <w:jc w:val="righ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097838">
              <w:rPr>
                <w:rFonts w:eastAsia="Times New Roman" w:cs="Calibri"/>
                <w:b/>
                <w:bCs/>
                <w:sz w:val="16"/>
                <w:szCs w:val="16"/>
              </w:rPr>
              <w:t>22 532 135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7E86B" w14:textId="77777777" w:rsidR="00097838" w:rsidRPr="00097838" w:rsidRDefault="00097838" w:rsidP="00097838">
            <w:pPr>
              <w:jc w:val="righ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097838">
              <w:rPr>
                <w:rFonts w:eastAsia="Times New Roman" w:cs="Calibri"/>
                <w:b/>
                <w:bCs/>
                <w:sz w:val="16"/>
                <w:szCs w:val="16"/>
              </w:rPr>
              <w:t>23 520 992</w:t>
            </w:r>
          </w:p>
        </w:tc>
        <w:tc>
          <w:tcPr>
            <w:tcW w:w="842" w:type="pct"/>
            <w:tcBorders>
              <w:top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C2145" w14:textId="77777777" w:rsidR="00097838" w:rsidRPr="0076720B" w:rsidRDefault="00097838" w:rsidP="00097838">
            <w:pPr>
              <w:jc w:val="right"/>
              <w:rPr>
                <w:rFonts w:eastAsia="Times New Roman" w:cs="Calibri"/>
                <w:b/>
                <w:sz w:val="16"/>
                <w:szCs w:val="16"/>
              </w:rPr>
            </w:pPr>
            <w:r w:rsidRPr="0076720B">
              <w:rPr>
                <w:rFonts w:eastAsia="Times New Roman" w:cs="Calibri"/>
                <w:b/>
                <w:sz w:val="16"/>
                <w:szCs w:val="16"/>
              </w:rPr>
              <w:t>26 118 875</w:t>
            </w:r>
          </w:p>
        </w:tc>
      </w:tr>
      <w:tr w:rsidR="00097838" w:rsidRPr="00097838" w14:paraId="2C16BC07" w14:textId="77777777" w:rsidTr="0076720B">
        <w:trPr>
          <w:trHeight w:val="20"/>
        </w:trPr>
        <w:tc>
          <w:tcPr>
            <w:tcW w:w="472" w:type="pct"/>
            <w:vMerge w:val="restar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C558D" w14:textId="77777777" w:rsidR="00097838" w:rsidRPr="00097838" w:rsidRDefault="00097838" w:rsidP="00097838">
            <w:pPr>
              <w:jc w:val="lef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z toho</w:t>
            </w:r>
          </w:p>
        </w:tc>
        <w:tc>
          <w:tcPr>
            <w:tcW w:w="193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AC79B" w14:textId="2FA8225D" w:rsidR="00097838" w:rsidRPr="00097838" w:rsidRDefault="00FE0841" w:rsidP="00097838">
            <w:pPr>
              <w:jc w:val="left"/>
              <w:rPr>
                <w:rFonts w:eastAsia="Times New Roman" w:cs="Calibri"/>
                <w:bCs/>
                <w:sz w:val="16"/>
                <w:szCs w:val="16"/>
              </w:rPr>
            </w:pPr>
            <w:r>
              <w:rPr>
                <w:rFonts w:eastAsia="Times New Roman" w:cs="Calibri"/>
                <w:bCs/>
                <w:sz w:val="16"/>
                <w:szCs w:val="16"/>
              </w:rPr>
              <w:t>a</w:t>
            </w:r>
            <w:r w:rsidR="00097838" w:rsidRPr="00097838">
              <w:rPr>
                <w:rFonts w:eastAsia="Times New Roman" w:cs="Calibri"/>
                <w:bCs/>
                <w:sz w:val="16"/>
                <w:szCs w:val="16"/>
              </w:rPr>
              <w:t>mbulantní poskytovatelé ZS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866CA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6 716 029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8C394A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7 019 684</w:t>
            </w:r>
          </w:p>
        </w:tc>
        <w:tc>
          <w:tcPr>
            <w:tcW w:w="84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7E808F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7 581 543</w:t>
            </w:r>
          </w:p>
        </w:tc>
      </w:tr>
      <w:tr w:rsidR="00097838" w:rsidRPr="00097838" w14:paraId="4498D2B9" w14:textId="77777777" w:rsidTr="0076720B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F38165B" w14:textId="77777777" w:rsidR="00097838" w:rsidRPr="00097838" w:rsidRDefault="00097838" w:rsidP="00097838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E9BA5" w14:textId="603B2559" w:rsidR="00097838" w:rsidRPr="00097838" w:rsidRDefault="00FE0841" w:rsidP="00FE0841">
            <w:pPr>
              <w:ind w:left="684"/>
              <w:jc w:val="lef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z</w:t>
            </w:r>
            <w:r w:rsidR="00097838" w:rsidRPr="00097838">
              <w:rPr>
                <w:rFonts w:eastAsia="Times New Roman" w:cs="Calibri"/>
                <w:sz w:val="16"/>
                <w:szCs w:val="16"/>
              </w:rPr>
              <w:t xml:space="preserve"> toho: </w:t>
            </w:r>
            <w:r w:rsidR="00B7081D">
              <w:rPr>
                <w:rFonts w:eastAsia="Times New Roman" w:cs="Calibri"/>
                <w:sz w:val="16"/>
                <w:szCs w:val="16"/>
              </w:rPr>
              <w:t>praktičtí lékaři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5C2B7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1 424 415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B9BAF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1 476 249</w:t>
            </w:r>
          </w:p>
        </w:tc>
        <w:tc>
          <w:tcPr>
            <w:tcW w:w="84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03AB4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1 550 390</w:t>
            </w:r>
          </w:p>
        </w:tc>
      </w:tr>
      <w:tr w:rsidR="00097838" w:rsidRPr="00097838" w14:paraId="73A2F4DB" w14:textId="77777777" w:rsidTr="0076720B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5D8DA0D" w14:textId="77777777" w:rsidR="00097838" w:rsidRPr="00097838" w:rsidRDefault="00097838" w:rsidP="00097838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1EC34" w14:textId="58149FD2" w:rsidR="00097838" w:rsidRPr="00097838" w:rsidRDefault="00FE0841" w:rsidP="00097838">
            <w:pPr>
              <w:jc w:val="left"/>
              <w:rPr>
                <w:rFonts w:eastAsia="Times New Roman" w:cs="Calibri"/>
                <w:bCs/>
                <w:sz w:val="16"/>
                <w:szCs w:val="16"/>
              </w:rPr>
            </w:pPr>
            <w:r>
              <w:rPr>
                <w:rFonts w:eastAsia="Times New Roman" w:cs="Calibri"/>
                <w:bCs/>
                <w:sz w:val="16"/>
                <w:szCs w:val="16"/>
              </w:rPr>
              <w:t>l</w:t>
            </w:r>
            <w:r w:rsidR="00097838" w:rsidRPr="00097838">
              <w:rPr>
                <w:rFonts w:eastAsia="Times New Roman" w:cs="Calibri"/>
                <w:bCs/>
                <w:sz w:val="16"/>
                <w:szCs w:val="16"/>
              </w:rPr>
              <w:t>ůžková zdravotní péče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F6BAC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10 417 865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264BA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11 300 817</w:t>
            </w:r>
          </w:p>
        </w:tc>
        <w:tc>
          <w:tcPr>
            <w:tcW w:w="84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EF2BD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13 014 133</w:t>
            </w:r>
          </w:p>
        </w:tc>
      </w:tr>
      <w:tr w:rsidR="00097838" w:rsidRPr="00097838" w14:paraId="50C40CC3" w14:textId="77777777" w:rsidTr="0076720B">
        <w:trPr>
          <w:trHeight w:val="239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D98583D" w14:textId="77777777" w:rsidR="00097838" w:rsidRPr="00097838" w:rsidRDefault="00097838" w:rsidP="00097838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DFE8A" w14:textId="2A4428FC" w:rsidR="00097838" w:rsidRPr="00097838" w:rsidRDefault="00FE0841" w:rsidP="00097838">
            <w:pPr>
              <w:jc w:val="lef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l</w:t>
            </w:r>
            <w:r w:rsidR="00097838" w:rsidRPr="00097838">
              <w:rPr>
                <w:rFonts w:eastAsia="Times New Roman" w:cs="Calibri"/>
                <w:sz w:val="16"/>
                <w:szCs w:val="16"/>
              </w:rPr>
              <w:t>ázeňská léčebně rehabilitační péče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AE0EE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382 450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3DA6A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241 938</w:t>
            </w:r>
          </w:p>
        </w:tc>
        <w:tc>
          <w:tcPr>
            <w:tcW w:w="84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EC0B8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378 365</w:t>
            </w:r>
          </w:p>
        </w:tc>
      </w:tr>
      <w:tr w:rsidR="00097838" w:rsidRPr="00097838" w14:paraId="40993535" w14:textId="77777777" w:rsidTr="0076720B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BEBBA70" w14:textId="77777777" w:rsidR="00097838" w:rsidRPr="00097838" w:rsidRDefault="00097838" w:rsidP="00097838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C3CB1" w14:textId="13E52264" w:rsidR="00097838" w:rsidRPr="00097838" w:rsidRDefault="00FE0841" w:rsidP="00097838">
            <w:pPr>
              <w:jc w:val="lef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l</w:t>
            </w:r>
            <w:r w:rsidR="00097838" w:rsidRPr="00097838">
              <w:rPr>
                <w:rFonts w:eastAsia="Times New Roman" w:cs="Calibri"/>
                <w:sz w:val="16"/>
                <w:szCs w:val="16"/>
              </w:rPr>
              <w:t>éky vydané na recepty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1429F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3 875 178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58BF3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3 830 625</w:t>
            </w:r>
          </w:p>
        </w:tc>
        <w:tc>
          <w:tcPr>
            <w:tcW w:w="84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6E057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3 877 348</w:t>
            </w:r>
          </w:p>
        </w:tc>
      </w:tr>
      <w:tr w:rsidR="00097838" w:rsidRPr="00097838" w14:paraId="15C3C46E" w14:textId="77777777" w:rsidTr="0076720B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7B08C5E" w14:textId="77777777" w:rsidR="00097838" w:rsidRPr="00097838" w:rsidRDefault="00097838" w:rsidP="00097838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5D189" w14:textId="58651DCF" w:rsidR="00097838" w:rsidRPr="00097838" w:rsidRDefault="00FE0841" w:rsidP="00097838">
            <w:pPr>
              <w:jc w:val="lef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z</w:t>
            </w:r>
            <w:r w:rsidR="00097838" w:rsidRPr="00097838">
              <w:rPr>
                <w:rFonts w:eastAsia="Times New Roman" w:cs="Calibri"/>
                <w:sz w:val="16"/>
                <w:szCs w:val="16"/>
              </w:rPr>
              <w:t>dravotnické prostředky vydané na poukaz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43102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599 561</w:t>
            </w:r>
          </w:p>
        </w:tc>
        <w:tc>
          <w:tcPr>
            <w:tcW w:w="87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91B6D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600 713</w:t>
            </w:r>
          </w:p>
        </w:tc>
        <w:tc>
          <w:tcPr>
            <w:tcW w:w="84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E0EA0" w14:textId="77777777" w:rsidR="00097838" w:rsidRPr="00097838" w:rsidRDefault="00097838" w:rsidP="00097838">
            <w:pPr>
              <w:jc w:val="right"/>
              <w:rPr>
                <w:rFonts w:eastAsia="Times New Roman" w:cs="Calibri"/>
                <w:sz w:val="16"/>
                <w:szCs w:val="16"/>
              </w:rPr>
            </w:pPr>
            <w:r w:rsidRPr="00097838">
              <w:rPr>
                <w:rFonts w:eastAsia="Times New Roman" w:cs="Calibri"/>
                <w:sz w:val="16"/>
                <w:szCs w:val="16"/>
              </w:rPr>
              <w:t>675 035</w:t>
            </w:r>
          </w:p>
        </w:tc>
      </w:tr>
    </w:tbl>
    <w:p w14:paraId="768713C0" w14:textId="3A3572FA" w:rsidR="00097838" w:rsidRPr="00182125" w:rsidRDefault="00097838" w:rsidP="003764C4">
      <w:pPr>
        <w:pStyle w:val="Poznmka"/>
      </w:pPr>
      <w:r w:rsidRPr="0076720B">
        <w:rPr>
          <w:b/>
        </w:rPr>
        <w:t>Zdroj:</w:t>
      </w:r>
      <w:r w:rsidRPr="00FA4D01">
        <w:t xml:space="preserve"> </w:t>
      </w:r>
      <w:r w:rsidR="00FE0841" w:rsidRPr="00FA4D01">
        <w:t>v</w:t>
      </w:r>
      <w:r w:rsidRPr="00FA4D01">
        <w:t>ýroční zprávy ZP MV ČR za rok</w:t>
      </w:r>
      <w:r w:rsidR="00FE0841" w:rsidRPr="00FA4D01">
        <w:t>y</w:t>
      </w:r>
      <w:r w:rsidRPr="00FA4D01">
        <w:t xml:space="preserve"> 2012, 2013, 2014, </w:t>
      </w:r>
      <w:r w:rsidR="009E3B3A" w:rsidRPr="00FA4D01">
        <w:t>ú</w:t>
      </w:r>
      <w:r w:rsidRPr="00FA4D01">
        <w:t>četnictví ZP MV ČR</w:t>
      </w:r>
      <w:r w:rsidR="003268C4" w:rsidRPr="00FA4D01">
        <w:t>.</w:t>
      </w:r>
    </w:p>
    <w:p w14:paraId="21F8FD98" w14:textId="77777777" w:rsidR="00097838" w:rsidRPr="00097838" w:rsidRDefault="00097838" w:rsidP="00097838">
      <w:pPr>
        <w:rPr>
          <w:rFonts w:eastAsia="Times New Roman"/>
        </w:rPr>
      </w:pPr>
    </w:p>
    <w:p w14:paraId="68257BBF" w14:textId="4C43D166" w:rsidR="00097838" w:rsidRPr="00097838" w:rsidRDefault="00097838" w:rsidP="00097838">
      <w:pPr>
        <w:rPr>
          <w:rFonts w:eastAsia="Times New Roman"/>
        </w:rPr>
      </w:pPr>
      <w:r w:rsidRPr="00097838">
        <w:rPr>
          <w:rFonts w:eastAsia="Times New Roman"/>
        </w:rPr>
        <w:t xml:space="preserve">Z údajů v tabulce č. </w:t>
      </w:r>
      <w:r w:rsidR="00B7081D">
        <w:rPr>
          <w:rFonts w:eastAsia="Times New Roman"/>
        </w:rPr>
        <w:t>5</w:t>
      </w:r>
      <w:r w:rsidRPr="00097838">
        <w:rPr>
          <w:rFonts w:eastAsia="Times New Roman"/>
        </w:rPr>
        <w:t xml:space="preserve"> vyplývá meziroční nárůst celkových nákladů na zdravotní služby mezi lety 2013 a 2014</w:t>
      </w:r>
      <w:r w:rsidR="00B7081D">
        <w:rPr>
          <w:rFonts w:eastAsia="Times New Roman"/>
        </w:rPr>
        <w:t xml:space="preserve"> ve výši </w:t>
      </w:r>
      <w:r w:rsidR="00B7081D" w:rsidRPr="00097838">
        <w:rPr>
          <w:rFonts w:eastAsia="Times New Roman"/>
        </w:rPr>
        <w:t>11</w:t>
      </w:r>
      <w:r w:rsidR="00692BE1">
        <w:rPr>
          <w:rFonts w:eastAsia="Times New Roman"/>
        </w:rPr>
        <w:t xml:space="preserve"> </w:t>
      </w:r>
      <w:r w:rsidR="00B7081D" w:rsidRPr="00097838">
        <w:rPr>
          <w:rFonts w:eastAsia="Times New Roman"/>
        </w:rPr>
        <w:t>%</w:t>
      </w:r>
      <w:r w:rsidRPr="00097838">
        <w:rPr>
          <w:rFonts w:eastAsia="Times New Roman"/>
        </w:rPr>
        <w:t xml:space="preserve">. </w:t>
      </w:r>
      <w:r w:rsidR="00C77BF9">
        <w:rPr>
          <w:rFonts w:eastAsia="Times New Roman"/>
        </w:rPr>
        <w:t xml:space="preserve">K </w:t>
      </w:r>
      <w:r w:rsidRPr="00097838">
        <w:rPr>
          <w:rFonts w:eastAsia="Times New Roman"/>
        </w:rPr>
        <w:t>nejv</w:t>
      </w:r>
      <w:r w:rsidR="00C77BF9">
        <w:rPr>
          <w:rFonts w:eastAsia="Times New Roman"/>
        </w:rPr>
        <w:t>yššímu</w:t>
      </w:r>
      <w:r w:rsidRPr="00097838">
        <w:rPr>
          <w:rFonts w:eastAsia="Times New Roman"/>
        </w:rPr>
        <w:t xml:space="preserve"> </w:t>
      </w:r>
      <w:r w:rsidR="00C77BF9">
        <w:rPr>
          <w:rFonts w:eastAsia="Times New Roman"/>
        </w:rPr>
        <w:t xml:space="preserve">meziročnímu </w:t>
      </w:r>
      <w:r w:rsidRPr="00097838">
        <w:rPr>
          <w:rFonts w:eastAsia="Times New Roman"/>
        </w:rPr>
        <w:t xml:space="preserve">nárůstu </w:t>
      </w:r>
      <w:r w:rsidR="00C77BF9">
        <w:rPr>
          <w:rFonts w:eastAsia="Times New Roman"/>
        </w:rPr>
        <w:t xml:space="preserve">(o </w:t>
      </w:r>
      <w:r w:rsidR="00C77BF9" w:rsidRPr="00097838">
        <w:rPr>
          <w:rFonts w:eastAsia="Times New Roman"/>
        </w:rPr>
        <w:t>1</w:t>
      </w:r>
      <w:r w:rsidR="00C77BF9">
        <w:rPr>
          <w:rFonts w:eastAsia="Times New Roman"/>
        </w:rPr>
        <w:t xml:space="preserve"> </w:t>
      </w:r>
      <w:r w:rsidR="00C77BF9" w:rsidRPr="00097838">
        <w:rPr>
          <w:rFonts w:eastAsia="Times New Roman"/>
        </w:rPr>
        <w:t>713 mil. Kč</w:t>
      </w:r>
      <w:r w:rsidR="00C77BF9">
        <w:rPr>
          <w:rFonts w:eastAsia="Times New Roman"/>
        </w:rPr>
        <w:t>)</w:t>
      </w:r>
      <w:r w:rsidR="00C77BF9" w:rsidRPr="00097838">
        <w:rPr>
          <w:rFonts w:eastAsia="Times New Roman"/>
        </w:rPr>
        <w:t xml:space="preserve"> </w:t>
      </w:r>
      <w:r w:rsidRPr="00097838">
        <w:rPr>
          <w:rFonts w:eastAsia="Times New Roman"/>
        </w:rPr>
        <w:t>došlo u</w:t>
      </w:r>
      <w:r w:rsidR="00DF4102">
        <w:rPr>
          <w:rFonts w:eastAsia="Times New Roman"/>
        </w:rPr>
        <w:t> </w:t>
      </w:r>
      <w:r w:rsidRPr="00097838">
        <w:rPr>
          <w:rFonts w:eastAsia="Times New Roman"/>
        </w:rPr>
        <w:t>lůžkové zdravotní péče</w:t>
      </w:r>
      <w:r w:rsidR="00C77BF9">
        <w:rPr>
          <w:rFonts w:eastAsia="Times New Roman"/>
        </w:rPr>
        <w:t xml:space="preserve">. Zvýšené čerpání ovlivnila </w:t>
      </w:r>
      <w:r w:rsidR="009D6755">
        <w:rPr>
          <w:rFonts w:eastAsia="Times New Roman"/>
        </w:rPr>
        <w:t xml:space="preserve">jednak </w:t>
      </w:r>
      <w:r w:rsidR="00C77BF9">
        <w:rPr>
          <w:rFonts w:eastAsia="Times New Roman"/>
        </w:rPr>
        <w:t>úhrada zálohové platby</w:t>
      </w:r>
      <w:r w:rsidR="009E0DDD" w:rsidRPr="009E0DDD">
        <w:rPr>
          <w:rFonts w:eastAsia="Times New Roman"/>
        </w:rPr>
        <w:t xml:space="preserve"> </w:t>
      </w:r>
      <w:r w:rsidR="009E0DDD">
        <w:rPr>
          <w:rFonts w:eastAsia="Times New Roman"/>
        </w:rPr>
        <w:t>všem smluvním poskytovatelům ZS (</w:t>
      </w:r>
      <w:r w:rsidR="00C77BF9">
        <w:rPr>
          <w:rFonts w:eastAsia="Times New Roman"/>
        </w:rPr>
        <w:t>kompenzace za zrušené regulační poplatky</w:t>
      </w:r>
      <w:r w:rsidR="009E0DDD">
        <w:rPr>
          <w:rFonts w:eastAsia="Times New Roman"/>
        </w:rPr>
        <w:t>)</w:t>
      </w:r>
      <w:r w:rsidR="00C77BF9">
        <w:rPr>
          <w:rFonts w:eastAsia="Times New Roman"/>
        </w:rPr>
        <w:t>, ale také nárůst počtu ošetřovacích dnů.</w:t>
      </w:r>
    </w:p>
    <w:p w14:paraId="01092BD4" w14:textId="77777777" w:rsidR="00097838" w:rsidRPr="00097838" w:rsidRDefault="00097838" w:rsidP="00097838">
      <w:pPr>
        <w:rPr>
          <w:rFonts w:eastAsia="Times New Roman"/>
        </w:rPr>
      </w:pPr>
    </w:p>
    <w:p w14:paraId="57E30489" w14:textId="7699E7C5" w:rsidR="00097838" w:rsidRPr="00097838" w:rsidRDefault="00097838" w:rsidP="00097838">
      <w:pPr>
        <w:rPr>
          <w:rFonts w:eastAsia="Times New Roman"/>
        </w:rPr>
      </w:pPr>
      <w:r w:rsidRPr="00692BE1">
        <w:rPr>
          <w:rFonts w:eastAsia="Times New Roman"/>
        </w:rPr>
        <w:t>Mezi zdravotní služby hrazené ze zdravotního pojištění patří i poskytování zdravotnických prostředků (dále také „ZPr“)</w:t>
      </w:r>
      <w:r w:rsidR="00962C18">
        <w:rPr>
          <w:rFonts w:eastAsia="Times New Roman"/>
        </w:rPr>
        <w:t>, kterými jsou např. invalidní vozíky, polohovací postele, ortopedické pomůcky apod.</w:t>
      </w:r>
      <w:r w:rsidRPr="00692BE1">
        <w:rPr>
          <w:rFonts w:eastAsia="Times New Roman"/>
        </w:rPr>
        <w:t xml:space="preserve"> Všeobecná zdravotní pojišťovna ČR vydává </w:t>
      </w:r>
      <w:r w:rsidR="0029362A" w:rsidRPr="0076720B">
        <w:rPr>
          <w:rFonts w:eastAsia="Times New Roman"/>
          <w:i/>
        </w:rPr>
        <w:t>č</w:t>
      </w:r>
      <w:r w:rsidRPr="0076720B">
        <w:rPr>
          <w:rFonts w:eastAsia="Times New Roman"/>
          <w:i/>
        </w:rPr>
        <w:t>íselník zdravotnických prostředků</w:t>
      </w:r>
      <w:r w:rsidRPr="00097838">
        <w:rPr>
          <w:rFonts w:eastAsia="Times New Roman"/>
        </w:rPr>
        <w:t>, který obsahuje seznam ZPr hrazených ze zdravotního pojištění, včetně maximální výše jejich úhrady</w:t>
      </w:r>
      <w:r w:rsidRPr="00097838">
        <w:rPr>
          <w:rFonts w:eastAsia="Times New Roman"/>
          <w:vertAlign w:val="superscript"/>
        </w:rPr>
        <w:footnoteReference w:id="20"/>
      </w:r>
      <w:r w:rsidRPr="00097838">
        <w:rPr>
          <w:rFonts w:eastAsia="Times New Roman"/>
        </w:rPr>
        <w:t>.</w:t>
      </w:r>
    </w:p>
    <w:p w14:paraId="37ED59EA" w14:textId="77777777" w:rsidR="00DF0222" w:rsidRPr="0076720B" w:rsidRDefault="00DF0222" w:rsidP="00097838">
      <w:pPr>
        <w:rPr>
          <w:rFonts w:eastAsia="Times New Roman" w:cs="Calibri"/>
          <w:szCs w:val="24"/>
        </w:rPr>
      </w:pPr>
    </w:p>
    <w:p w14:paraId="00E569EF" w14:textId="12120B9F" w:rsidR="00097838" w:rsidRPr="0076720B" w:rsidRDefault="00C45BBD" w:rsidP="005C5CD7">
      <w:pPr>
        <w:tabs>
          <w:tab w:val="right" w:pos="9070"/>
        </w:tabs>
        <w:rPr>
          <w:rFonts w:ascii="Calibri" w:eastAsia="Times New Roman" w:hAnsi="Calibri" w:cs="Times New Roman"/>
          <w:b/>
          <w:szCs w:val="24"/>
          <w:lang w:eastAsia="cs-CZ"/>
        </w:rPr>
      </w:pPr>
      <w:r w:rsidRPr="0076720B">
        <w:rPr>
          <w:b/>
        </w:rPr>
        <w:t xml:space="preserve">Tabulka č. 6 </w:t>
      </w:r>
      <w:r w:rsidR="005C5CD7" w:rsidRPr="0076720B">
        <w:rPr>
          <w:b/>
        </w:rPr>
        <w:t xml:space="preserve">– </w:t>
      </w:r>
      <w:r w:rsidR="00097838" w:rsidRPr="0076720B">
        <w:rPr>
          <w:rFonts w:ascii="Calibri" w:eastAsia="Times New Roman" w:hAnsi="Calibri" w:cs="Times New Roman"/>
          <w:b/>
          <w:szCs w:val="24"/>
          <w:lang w:eastAsia="cs-CZ"/>
        </w:rPr>
        <w:t xml:space="preserve">Náklady </w:t>
      </w:r>
      <w:r w:rsidR="005C5CD7" w:rsidRPr="00177554">
        <w:rPr>
          <w:rFonts w:ascii="Calibri" w:eastAsia="Times New Roman" w:hAnsi="Calibri" w:cs="Times New Roman"/>
          <w:b/>
          <w:szCs w:val="24"/>
          <w:lang w:eastAsia="cs-CZ"/>
        </w:rPr>
        <w:t xml:space="preserve">ZP MV ČR </w:t>
      </w:r>
      <w:r w:rsidR="00097838" w:rsidRPr="0076720B">
        <w:rPr>
          <w:rFonts w:ascii="Calibri" w:eastAsia="Times New Roman" w:hAnsi="Calibri" w:cs="Times New Roman"/>
          <w:b/>
          <w:szCs w:val="24"/>
          <w:lang w:eastAsia="cs-CZ"/>
        </w:rPr>
        <w:t>na zdravotnické prostředky</w:t>
      </w:r>
      <w:r w:rsidR="009D6755" w:rsidRPr="0076720B">
        <w:rPr>
          <w:rFonts w:ascii="Calibri" w:eastAsia="Times New Roman" w:hAnsi="Calibri" w:cs="Times New Roman"/>
          <w:b/>
          <w:szCs w:val="24"/>
          <w:lang w:eastAsia="cs-CZ"/>
        </w:rPr>
        <w:t xml:space="preserve"> </w:t>
      </w:r>
      <w:r w:rsidR="00671DC8" w:rsidRPr="0076720B">
        <w:rPr>
          <w:rFonts w:ascii="Calibri" w:eastAsia="Times New Roman" w:hAnsi="Calibri" w:cs="Times New Roman"/>
          <w:b/>
          <w:szCs w:val="24"/>
          <w:lang w:eastAsia="cs-CZ"/>
        </w:rPr>
        <w:t xml:space="preserve">v letech 2012 a 2013 </w:t>
      </w:r>
      <w:r w:rsidR="005C5CD7" w:rsidRPr="0076720B">
        <w:rPr>
          <w:rFonts w:ascii="Calibri" w:eastAsia="Times New Roman" w:hAnsi="Calibri" w:cs="Times New Roman"/>
          <w:b/>
          <w:szCs w:val="24"/>
          <w:lang w:eastAsia="cs-CZ"/>
        </w:rPr>
        <w:tab/>
      </w:r>
      <w:r w:rsidR="00097838" w:rsidRPr="0076720B">
        <w:rPr>
          <w:rFonts w:ascii="Calibri" w:eastAsia="Times New Roman" w:hAnsi="Calibri" w:cs="Times New Roman"/>
          <w:b/>
          <w:szCs w:val="24"/>
          <w:lang w:eastAsia="cs-CZ"/>
        </w:rPr>
        <w:t>(v tis. Kč)</w:t>
      </w:r>
    </w:p>
    <w:tbl>
      <w:tblPr>
        <w:tblStyle w:val="Mkatabulky3111"/>
        <w:tblW w:w="0" w:type="auto"/>
        <w:tblInd w:w="108" w:type="dxa"/>
        <w:tblLook w:val="04A0" w:firstRow="1" w:lastRow="0" w:firstColumn="1" w:lastColumn="0" w:noHBand="0" w:noVBand="1"/>
      </w:tblPr>
      <w:tblGrid>
        <w:gridCol w:w="619"/>
        <w:gridCol w:w="1224"/>
        <w:gridCol w:w="2552"/>
        <w:gridCol w:w="2693"/>
        <w:gridCol w:w="1984"/>
      </w:tblGrid>
      <w:tr w:rsidR="00B7081D" w:rsidRPr="00DF0222" w14:paraId="30B08679" w14:textId="77777777" w:rsidTr="0076720B">
        <w:tc>
          <w:tcPr>
            <w:tcW w:w="619" w:type="dxa"/>
            <w:shd w:val="clear" w:color="auto" w:fill="C6D9F1" w:themeFill="text2" w:themeFillTint="33"/>
            <w:vAlign w:val="center"/>
          </w:tcPr>
          <w:p w14:paraId="7C1DA9F9" w14:textId="03BA8313" w:rsidR="00097838" w:rsidRPr="00671DC8" w:rsidRDefault="00097838" w:rsidP="00DF0222">
            <w:pPr>
              <w:jc w:val="center"/>
              <w:rPr>
                <w:rFonts w:cs="Calibri"/>
                <w:sz w:val="16"/>
                <w:szCs w:val="16"/>
              </w:rPr>
            </w:pPr>
            <w:r w:rsidRPr="00671DC8">
              <w:rPr>
                <w:rFonts w:cs="Calibri"/>
                <w:sz w:val="16"/>
                <w:szCs w:val="16"/>
              </w:rPr>
              <w:t>Rok</w:t>
            </w:r>
          </w:p>
        </w:tc>
        <w:tc>
          <w:tcPr>
            <w:tcW w:w="1224" w:type="dxa"/>
            <w:shd w:val="clear" w:color="auto" w:fill="C6D9F1" w:themeFill="text2" w:themeFillTint="33"/>
            <w:vAlign w:val="center"/>
          </w:tcPr>
          <w:p w14:paraId="190E9F7C" w14:textId="37C8EF38" w:rsidR="00097838" w:rsidRPr="00671DC8" w:rsidRDefault="00347FCC" w:rsidP="00DF022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Náklady na </w:t>
            </w:r>
            <w:r w:rsidR="00B7081D" w:rsidRPr="00671DC8">
              <w:rPr>
                <w:rFonts w:cs="Calibri"/>
                <w:sz w:val="16"/>
                <w:szCs w:val="16"/>
              </w:rPr>
              <w:t>ZPr</w:t>
            </w:r>
            <w:r w:rsidR="00097838" w:rsidRPr="00671DC8">
              <w:rPr>
                <w:rFonts w:cs="Calibri"/>
                <w:sz w:val="16"/>
                <w:szCs w:val="16"/>
              </w:rPr>
              <w:t xml:space="preserve"> celkem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10917CF" w14:textId="36B5359C" w:rsidR="00097838" w:rsidRPr="00671DC8" w:rsidRDefault="00347FCC" w:rsidP="00DF022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Náklady na </w:t>
            </w:r>
            <w:r w:rsidR="00097838" w:rsidRPr="00671DC8">
              <w:rPr>
                <w:rFonts w:cs="Calibri"/>
                <w:sz w:val="16"/>
                <w:szCs w:val="16"/>
              </w:rPr>
              <w:t>ZPr předepsané lůžkovými poskytovateli ZS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34E35025" w14:textId="60D66C60" w:rsidR="00097838" w:rsidRPr="00671DC8" w:rsidRDefault="00347FCC" w:rsidP="00DF022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Náklady na </w:t>
            </w:r>
            <w:r w:rsidR="00097838" w:rsidRPr="00671DC8">
              <w:rPr>
                <w:rFonts w:cs="Calibri"/>
                <w:sz w:val="16"/>
                <w:szCs w:val="16"/>
              </w:rPr>
              <w:t>ZPr předepsané ambulantními poskytovateli ZS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0F865D28" w14:textId="59547B99" w:rsidR="00097838" w:rsidRPr="00671DC8" w:rsidRDefault="00347FCC" w:rsidP="009D3A1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 celkových nákladů činily náklady na </w:t>
            </w:r>
            <w:r w:rsidR="00B7081D" w:rsidRPr="00671DC8">
              <w:rPr>
                <w:rFonts w:cs="Calibri"/>
                <w:sz w:val="16"/>
                <w:szCs w:val="16"/>
              </w:rPr>
              <w:t>zapůjčené ZPr</w:t>
            </w:r>
          </w:p>
        </w:tc>
      </w:tr>
      <w:tr w:rsidR="00B7081D" w:rsidRPr="00DF0222" w14:paraId="60718312" w14:textId="77777777" w:rsidTr="002A5C49">
        <w:tc>
          <w:tcPr>
            <w:tcW w:w="619" w:type="dxa"/>
            <w:shd w:val="clear" w:color="auto" w:fill="auto"/>
          </w:tcPr>
          <w:p w14:paraId="7F23999C" w14:textId="77777777" w:rsidR="00097838" w:rsidRPr="00671DC8" w:rsidRDefault="00097838" w:rsidP="00097838">
            <w:pPr>
              <w:rPr>
                <w:rFonts w:cs="Calibri"/>
                <w:sz w:val="16"/>
                <w:szCs w:val="16"/>
              </w:rPr>
            </w:pPr>
            <w:r w:rsidRPr="00671DC8">
              <w:rPr>
                <w:rFonts w:cs="Calibri"/>
                <w:sz w:val="16"/>
                <w:szCs w:val="16"/>
              </w:rPr>
              <w:t>2012</w:t>
            </w:r>
          </w:p>
        </w:tc>
        <w:tc>
          <w:tcPr>
            <w:tcW w:w="1224" w:type="dxa"/>
          </w:tcPr>
          <w:p w14:paraId="13C8E4B8" w14:textId="77777777" w:rsidR="00097838" w:rsidRPr="00671DC8" w:rsidRDefault="00097838" w:rsidP="00097838">
            <w:pPr>
              <w:jc w:val="center"/>
              <w:rPr>
                <w:sz w:val="16"/>
                <w:szCs w:val="16"/>
              </w:rPr>
            </w:pPr>
            <w:r w:rsidRPr="00671DC8">
              <w:rPr>
                <w:sz w:val="16"/>
                <w:szCs w:val="16"/>
              </w:rPr>
              <w:t>599 561</w:t>
            </w:r>
          </w:p>
        </w:tc>
        <w:tc>
          <w:tcPr>
            <w:tcW w:w="2552" w:type="dxa"/>
          </w:tcPr>
          <w:p w14:paraId="1CFB21AA" w14:textId="77777777" w:rsidR="00097838" w:rsidRPr="00671DC8" w:rsidRDefault="00097838" w:rsidP="00097838">
            <w:pPr>
              <w:jc w:val="center"/>
              <w:rPr>
                <w:rFonts w:cs="Calibri"/>
                <w:sz w:val="16"/>
                <w:szCs w:val="16"/>
              </w:rPr>
            </w:pPr>
            <w:r w:rsidRPr="00671DC8">
              <w:rPr>
                <w:rFonts w:cs="Calibri"/>
                <w:sz w:val="16"/>
                <w:szCs w:val="16"/>
              </w:rPr>
              <w:t>411 331</w:t>
            </w:r>
          </w:p>
        </w:tc>
        <w:tc>
          <w:tcPr>
            <w:tcW w:w="2693" w:type="dxa"/>
          </w:tcPr>
          <w:p w14:paraId="694740C9" w14:textId="77777777" w:rsidR="00097838" w:rsidRPr="00671DC8" w:rsidRDefault="00097838" w:rsidP="00097838">
            <w:pPr>
              <w:jc w:val="center"/>
              <w:rPr>
                <w:rFonts w:cs="Calibri"/>
                <w:sz w:val="16"/>
                <w:szCs w:val="16"/>
              </w:rPr>
            </w:pPr>
            <w:r w:rsidRPr="00671DC8">
              <w:rPr>
                <w:rFonts w:cs="Calibri"/>
                <w:sz w:val="16"/>
                <w:szCs w:val="16"/>
              </w:rPr>
              <w:t>188 230</w:t>
            </w:r>
          </w:p>
        </w:tc>
        <w:tc>
          <w:tcPr>
            <w:tcW w:w="1984" w:type="dxa"/>
            <w:vAlign w:val="center"/>
          </w:tcPr>
          <w:p w14:paraId="6D8D4A8A" w14:textId="77777777" w:rsidR="00097838" w:rsidRPr="00671DC8" w:rsidRDefault="00097838" w:rsidP="00097838">
            <w:pPr>
              <w:jc w:val="right"/>
              <w:rPr>
                <w:sz w:val="16"/>
                <w:szCs w:val="16"/>
              </w:rPr>
            </w:pPr>
            <w:r w:rsidRPr="00671DC8">
              <w:rPr>
                <w:sz w:val="16"/>
                <w:szCs w:val="16"/>
              </w:rPr>
              <w:t>39 779 </w:t>
            </w:r>
          </w:p>
        </w:tc>
      </w:tr>
      <w:tr w:rsidR="00B7081D" w:rsidRPr="00DF0222" w14:paraId="4785254E" w14:textId="77777777" w:rsidTr="002A5C49">
        <w:tc>
          <w:tcPr>
            <w:tcW w:w="619" w:type="dxa"/>
            <w:shd w:val="clear" w:color="auto" w:fill="auto"/>
          </w:tcPr>
          <w:p w14:paraId="7DBE3BCD" w14:textId="77777777" w:rsidR="00097838" w:rsidRPr="00671DC8" w:rsidRDefault="00097838" w:rsidP="00097838">
            <w:pPr>
              <w:rPr>
                <w:rFonts w:cs="Calibri"/>
                <w:sz w:val="16"/>
                <w:szCs w:val="16"/>
              </w:rPr>
            </w:pPr>
            <w:r w:rsidRPr="00671DC8">
              <w:rPr>
                <w:rFonts w:cs="Calibri"/>
                <w:sz w:val="16"/>
                <w:szCs w:val="16"/>
              </w:rPr>
              <w:t>2013</w:t>
            </w:r>
          </w:p>
        </w:tc>
        <w:tc>
          <w:tcPr>
            <w:tcW w:w="1224" w:type="dxa"/>
          </w:tcPr>
          <w:p w14:paraId="060927C1" w14:textId="77777777" w:rsidR="00097838" w:rsidRPr="00671DC8" w:rsidRDefault="00097838" w:rsidP="00097838">
            <w:pPr>
              <w:jc w:val="center"/>
              <w:rPr>
                <w:sz w:val="16"/>
                <w:szCs w:val="16"/>
              </w:rPr>
            </w:pPr>
            <w:r w:rsidRPr="00671DC8">
              <w:rPr>
                <w:sz w:val="16"/>
                <w:szCs w:val="16"/>
              </w:rPr>
              <w:t>600 713</w:t>
            </w:r>
          </w:p>
        </w:tc>
        <w:tc>
          <w:tcPr>
            <w:tcW w:w="2552" w:type="dxa"/>
          </w:tcPr>
          <w:p w14:paraId="2846C964" w14:textId="77777777" w:rsidR="00097838" w:rsidRPr="00671DC8" w:rsidRDefault="00097838" w:rsidP="00097838">
            <w:pPr>
              <w:jc w:val="center"/>
              <w:rPr>
                <w:rFonts w:cs="Calibri"/>
                <w:sz w:val="16"/>
                <w:szCs w:val="16"/>
              </w:rPr>
            </w:pPr>
            <w:r w:rsidRPr="00671DC8">
              <w:rPr>
                <w:rFonts w:cs="Calibri"/>
                <w:sz w:val="16"/>
                <w:szCs w:val="16"/>
              </w:rPr>
              <w:t>404 725</w:t>
            </w:r>
          </w:p>
        </w:tc>
        <w:tc>
          <w:tcPr>
            <w:tcW w:w="2693" w:type="dxa"/>
          </w:tcPr>
          <w:p w14:paraId="3EA8D699" w14:textId="77777777" w:rsidR="00097838" w:rsidRPr="00671DC8" w:rsidRDefault="00097838" w:rsidP="00097838">
            <w:pPr>
              <w:jc w:val="center"/>
              <w:rPr>
                <w:rFonts w:cs="Calibri"/>
                <w:sz w:val="16"/>
                <w:szCs w:val="16"/>
              </w:rPr>
            </w:pPr>
            <w:r w:rsidRPr="00671DC8">
              <w:rPr>
                <w:rFonts w:cs="Calibri"/>
                <w:sz w:val="16"/>
                <w:szCs w:val="16"/>
              </w:rPr>
              <w:t>195 988</w:t>
            </w:r>
          </w:p>
        </w:tc>
        <w:tc>
          <w:tcPr>
            <w:tcW w:w="1984" w:type="dxa"/>
            <w:vAlign w:val="center"/>
          </w:tcPr>
          <w:p w14:paraId="6E3D7A2E" w14:textId="77777777" w:rsidR="00097838" w:rsidRPr="00671DC8" w:rsidRDefault="00097838" w:rsidP="00097838">
            <w:pPr>
              <w:jc w:val="right"/>
              <w:rPr>
                <w:sz w:val="16"/>
                <w:szCs w:val="16"/>
              </w:rPr>
            </w:pPr>
            <w:r w:rsidRPr="00671DC8">
              <w:rPr>
                <w:sz w:val="16"/>
                <w:szCs w:val="16"/>
              </w:rPr>
              <w:t>40 754 </w:t>
            </w:r>
          </w:p>
        </w:tc>
      </w:tr>
    </w:tbl>
    <w:p w14:paraId="26EA384C" w14:textId="60747B80" w:rsidR="00097838" w:rsidRDefault="007E4B84" w:rsidP="003764C4">
      <w:pPr>
        <w:pStyle w:val="Poznmka"/>
      </w:pPr>
      <w:r w:rsidRPr="0076720B">
        <w:rPr>
          <w:b/>
        </w:rPr>
        <w:t>Zdroj:</w:t>
      </w:r>
      <w:r>
        <w:t xml:space="preserve"> výroční zprávy ZP MV ČR za roky 2012 a 2013.</w:t>
      </w:r>
    </w:p>
    <w:p w14:paraId="46EE1AB9" w14:textId="77777777" w:rsidR="007E4B84" w:rsidRPr="00B7081D" w:rsidRDefault="007E4B84" w:rsidP="00097838">
      <w:pPr>
        <w:rPr>
          <w:rFonts w:eastAsia="Times New Roman" w:cs="Calibri"/>
          <w:szCs w:val="24"/>
        </w:rPr>
      </w:pPr>
    </w:p>
    <w:p w14:paraId="027E7E86" w14:textId="26541E46" w:rsidR="00097838" w:rsidRPr="00097838" w:rsidRDefault="00097838" w:rsidP="00097838">
      <w:pPr>
        <w:rPr>
          <w:rFonts w:eastAsia="Times New Roman" w:cs="Calibri"/>
        </w:rPr>
      </w:pPr>
      <w:r w:rsidRPr="00097838">
        <w:rPr>
          <w:rFonts w:eastAsia="Times New Roman" w:cs="Calibri"/>
        </w:rPr>
        <w:t>ZP MV ČR uhradila v letech 2012 a 2013 za zdravotnické prostředky celkem 1 200 274 tis. Kč, z toho 80 533 tis. Kč, tj. 6,7 %</w:t>
      </w:r>
      <w:r w:rsidR="00B7081D">
        <w:rPr>
          <w:rFonts w:eastAsia="Times New Roman" w:cs="Calibri"/>
        </w:rPr>
        <w:t>,</w:t>
      </w:r>
      <w:r w:rsidRPr="00097838">
        <w:rPr>
          <w:rFonts w:eastAsia="Times New Roman" w:cs="Calibri"/>
        </w:rPr>
        <w:t xml:space="preserve"> uhradila 55 dodavatelům za nově vyda</w:t>
      </w:r>
      <w:r w:rsidR="006A2197">
        <w:rPr>
          <w:rFonts w:eastAsia="Times New Roman" w:cs="Calibri"/>
        </w:rPr>
        <w:t xml:space="preserve">né zapůjčené ZPr. </w:t>
      </w:r>
      <w:r w:rsidRPr="00097838">
        <w:rPr>
          <w:rFonts w:eastAsia="Times New Roman" w:cs="Calibri"/>
        </w:rPr>
        <w:lastRenderedPageBreak/>
        <w:t>ZP</w:t>
      </w:r>
      <w:r w:rsidR="005C5CD7">
        <w:rPr>
          <w:rFonts w:eastAsia="Times New Roman" w:cs="Calibri"/>
        </w:rPr>
        <w:t> </w:t>
      </w:r>
      <w:r w:rsidRPr="00097838">
        <w:rPr>
          <w:rFonts w:eastAsia="Times New Roman" w:cs="Calibri"/>
        </w:rPr>
        <w:t xml:space="preserve">MV ČR vedla evidenci </w:t>
      </w:r>
      <w:r w:rsidR="0009351C" w:rsidRPr="00097838">
        <w:rPr>
          <w:rFonts w:eastAsia="Times New Roman" w:cs="Calibri"/>
        </w:rPr>
        <w:t xml:space="preserve">o zapůjčených ZPr </w:t>
      </w:r>
      <w:r w:rsidRPr="00097838">
        <w:rPr>
          <w:rFonts w:eastAsia="Times New Roman" w:cs="Calibri"/>
        </w:rPr>
        <w:t xml:space="preserve">a účtovala </w:t>
      </w:r>
      <w:r w:rsidR="0009351C">
        <w:rPr>
          <w:rFonts w:eastAsia="Times New Roman" w:cs="Calibri"/>
        </w:rPr>
        <w:t xml:space="preserve">o nich </w:t>
      </w:r>
      <w:r w:rsidRPr="00097838">
        <w:rPr>
          <w:rFonts w:eastAsia="Times New Roman" w:cs="Calibri"/>
        </w:rPr>
        <w:t>na účtech podrozvahové evidence</w:t>
      </w:r>
      <w:r w:rsidR="0009351C" w:rsidRPr="00097838">
        <w:rPr>
          <w:rFonts w:eastAsia="Times New Roman" w:cs="Calibri"/>
          <w:vertAlign w:val="superscript"/>
        </w:rPr>
        <w:footnoteReference w:id="21"/>
      </w:r>
      <w:r w:rsidRPr="00097838">
        <w:rPr>
          <w:rFonts w:eastAsia="Times New Roman" w:cs="Calibri"/>
        </w:rPr>
        <w:t>.</w:t>
      </w:r>
    </w:p>
    <w:p w14:paraId="49C89606" w14:textId="77777777" w:rsidR="00097838" w:rsidRPr="00097838" w:rsidRDefault="00097838" w:rsidP="00097838">
      <w:pPr>
        <w:rPr>
          <w:rFonts w:eastAsia="Times New Roman"/>
        </w:rPr>
      </w:pPr>
    </w:p>
    <w:p w14:paraId="2F3038A1" w14:textId="041A23D6" w:rsidR="00097838" w:rsidRPr="00097838" w:rsidRDefault="00097838" w:rsidP="00097838">
      <w:pPr>
        <w:rPr>
          <w:rFonts w:eastAsia="Times New Roman"/>
        </w:rPr>
      </w:pPr>
      <w:r w:rsidRPr="00097838">
        <w:rPr>
          <w:rFonts w:eastAsia="Times New Roman"/>
        </w:rPr>
        <w:t xml:space="preserve">ZP MV ČR uzavírala </w:t>
      </w:r>
      <w:r w:rsidR="00EA2121">
        <w:rPr>
          <w:rFonts w:eastAsia="Times New Roman"/>
        </w:rPr>
        <w:t>s</w:t>
      </w:r>
      <w:r w:rsidRPr="00097838">
        <w:rPr>
          <w:rFonts w:eastAsia="Times New Roman"/>
        </w:rPr>
        <w:t>mlouvy o poskytování, servisu a úhr</w:t>
      </w:r>
      <w:r w:rsidR="00854B43">
        <w:rPr>
          <w:rFonts w:eastAsia="Times New Roman"/>
        </w:rPr>
        <w:t>adě zdravotnických prostředků s </w:t>
      </w:r>
      <w:r w:rsidRPr="00097838">
        <w:rPr>
          <w:rFonts w:eastAsia="Times New Roman"/>
        </w:rPr>
        <w:t xml:space="preserve">dodavateli podle zákona </w:t>
      </w:r>
      <w:r w:rsidR="0009351C">
        <w:rPr>
          <w:rFonts w:eastAsia="Times New Roman"/>
        </w:rPr>
        <w:t xml:space="preserve">o veřejném zdravotním pojištění. Postup podle tohoto zákona nemotivuje dodavatele snižovat ceny ZPr. </w:t>
      </w:r>
      <w:r w:rsidRPr="00097838">
        <w:rPr>
          <w:rFonts w:eastAsia="Times New Roman"/>
        </w:rPr>
        <w:t xml:space="preserve">ZP MV ČR v cenových ujednáních s dodavateli ZPr sjednala </w:t>
      </w:r>
      <w:r w:rsidR="00EA2121">
        <w:rPr>
          <w:rFonts w:eastAsia="Times New Roman"/>
        </w:rPr>
        <w:t>vždy maximální úhradu dle</w:t>
      </w:r>
      <w:r w:rsidRPr="00097838">
        <w:rPr>
          <w:rFonts w:eastAsia="Times New Roman"/>
        </w:rPr>
        <w:t xml:space="preserve"> </w:t>
      </w:r>
      <w:r w:rsidR="009D3A16">
        <w:rPr>
          <w:rFonts w:eastAsia="Times New Roman"/>
        </w:rPr>
        <w:t>č</w:t>
      </w:r>
      <w:r w:rsidRPr="00097838">
        <w:rPr>
          <w:rFonts w:eastAsia="Times New Roman"/>
        </w:rPr>
        <w:t>íselníku ZPr.</w:t>
      </w:r>
    </w:p>
    <w:p w14:paraId="67F937CD" w14:textId="77777777" w:rsidR="00097838" w:rsidRPr="00097838" w:rsidRDefault="00097838" w:rsidP="00097838">
      <w:pPr>
        <w:rPr>
          <w:rFonts w:eastAsia="Times New Roman"/>
        </w:rPr>
      </w:pPr>
    </w:p>
    <w:p w14:paraId="5EDE9FF8" w14:textId="350A3B99" w:rsidR="00097838" w:rsidRDefault="00097838" w:rsidP="00097838">
      <w:r w:rsidRPr="00692BE1">
        <w:rPr>
          <w:rFonts w:eastAsia="Times New Roman"/>
        </w:rPr>
        <w:t>NKÚ opakovaně upozorňuje na skutečnost</w:t>
      </w:r>
      <w:r w:rsidRPr="00097838">
        <w:rPr>
          <w:rFonts w:eastAsia="Times New Roman"/>
        </w:rPr>
        <w:t xml:space="preserve">, že </w:t>
      </w:r>
      <w:r w:rsidRPr="00692BE1">
        <w:rPr>
          <w:rFonts w:eastAsia="Times New Roman"/>
        </w:rPr>
        <w:t>stávající</w:t>
      </w:r>
      <w:r w:rsidRPr="00097838">
        <w:rPr>
          <w:rFonts w:eastAsia="Times New Roman"/>
          <w:b/>
        </w:rPr>
        <w:t xml:space="preserve"> postup zdravotních pojišťoven </w:t>
      </w:r>
      <w:r w:rsidRPr="00692BE1">
        <w:rPr>
          <w:rFonts w:eastAsia="Times New Roman"/>
          <w:b/>
        </w:rPr>
        <w:t>nevede k úspoře finančních prostředků základního fondu vynakládaných na nákup zdravotnických prostředků</w:t>
      </w:r>
      <w:r w:rsidRPr="00097838">
        <w:rPr>
          <w:rFonts w:eastAsia="Times New Roman"/>
          <w:vertAlign w:val="superscript"/>
        </w:rPr>
        <w:footnoteReference w:id="22"/>
      </w:r>
      <w:r w:rsidRPr="00097838">
        <w:rPr>
          <w:rFonts w:eastAsia="Times New Roman"/>
        </w:rPr>
        <w:t>.</w:t>
      </w:r>
      <w:r w:rsidR="005127A9">
        <w:t xml:space="preserve"> </w:t>
      </w:r>
    </w:p>
    <w:p w14:paraId="43BB15A9" w14:textId="77777777" w:rsidR="00A64D88" w:rsidRPr="00097838" w:rsidRDefault="00A64D88" w:rsidP="00097838"/>
    <w:p w14:paraId="635257E3" w14:textId="77777777" w:rsidR="00097838" w:rsidRPr="004034ED" w:rsidRDefault="00097838" w:rsidP="004034ED">
      <w:pPr>
        <w:pStyle w:val="Nadpis2"/>
        <w:spacing w:before="0"/>
        <w:ind w:left="426" w:hanging="426"/>
        <w:rPr>
          <w:sz w:val="24"/>
          <w:szCs w:val="24"/>
        </w:rPr>
      </w:pPr>
      <w:r w:rsidRPr="004034ED">
        <w:rPr>
          <w:sz w:val="24"/>
          <w:szCs w:val="24"/>
        </w:rPr>
        <w:t>Úhrady zdravotních služeb</w:t>
      </w:r>
    </w:p>
    <w:p w14:paraId="69029BC5" w14:textId="3CA567A6" w:rsidR="00097838" w:rsidRDefault="00097838" w:rsidP="00097838">
      <w:pPr>
        <w:rPr>
          <w:rFonts w:eastAsia="Times New Roman"/>
        </w:rPr>
      </w:pPr>
      <w:r w:rsidRPr="00097838">
        <w:rPr>
          <w:rFonts w:eastAsia="MS Mincho"/>
          <w:color w:val="000000"/>
        </w:rPr>
        <w:t xml:space="preserve">Formy a výše úhrad </w:t>
      </w:r>
      <w:r w:rsidR="00C524B7">
        <w:rPr>
          <w:rFonts w:eastAsia="MS Mincho"/>
          <w:color w:val="000000"/>
        </w:rPr>
        <w:t xml:space="preserve">zdravotních služeb </w:t>
      </w:r>
      <w:r w:rsidRPr="00097838">
        <w:rPr>
          <w:rFonts w:eastAsia="MS Mincho"/>
          <w:color w:val="000000"/>
        </w:rPr>
        <w:t>se řídily tzv. úhradovými vyhláškami</w:t>
      </w:r>
      <w:r w:rsidRPr="00097838">
        <w:rPr>
          <w:rFonts w:eastAsia="MS Mincho"/>
          <w:color w:val="000000"/>
          <w:vertAlign w:val="superscript"/>
        </w:rPr>
        <w:footnoteReference w:id="23"/>
      </w:r>
      <w:r w:rsidRPr="00097838">
        <w:rPr>
          <w:rFonts w:eastAsia="MS Mincho"/>
          <w:color w:val="000000"/>
        </w:rPr>
        <w:t xml:space="preserve"> vydávanými každoročně MZd ke konci kalendářního roku s účinností pro</w:t>
      </w:r>
      <w:r w:rsidRPr="00097838">
        <w:rPr>
          <w:rFonts w:eastAsia="Times New Roman"/>
        </w:rPr>
        <w:t xml:space="preserve"> následující rok. Úhradovou vyhlášku zdravotní pojišťovna použije, pokud se </w:t>
      </w:r>
      <w:r w:rsidR="009D3A16">
        <w:rPr>
          <w:rFonts w:eastAsia="Times New Roman"/>
        </w:rPr>
        <w:t>na</w:t>
      </w:r>
      <w:r w:rsidRPr="00097838">
        <w:rPr>
          <w:rFonts w:eastAsia="Times New Roman"/>
        </w:rPr>
        <w:t xml:space="preserve"> způsobu úhrady, výši úhrady a</w:t>
      </w:r>
      <w:r w:rsidR="0051555E">
        <w:rPr>
          <w:rFonts w:eastAsia="Times New Roman"/>
        </w:rPr>
        <w:t> </w:t>
      </w:r>
      <w:r w:rsidRPr="00097838">
        <w:rPr>
          <w:rFonts w:eastAsia="Times New Roman"/>
        </w:rPr>
        <w:t xml:space="preserve">regulačních omezeních </w:t>
      </w:r>
      <w:r w:rsidR="009D3A16" w:rsidRPr="00097838">
        <w:rPr>
          <w:rFonts w:eastAsia="Times New Roman"/>
        </w:rPr>
        <w:t>nedohodn</w:t>
      </w:r>
      <w:r w:rsidR="009D3A16">
        <w:rPr>
          <w:rFonts w:eastAsia="Times New Roman"/>
        </w:rPr>
        <w:t>e</w:t>
      </w:r>
      <w:r w:rsidR="009D3A16" w:rsidRPr="00097838">
        <w:rPr>
          <w:rFonts w:eastAsia="Times New Roman"/>
        </w:rPr>
        <w:t xml:space="preserve"> s poskytovatelem ZS </w:t>
      </w:r>
      <w:r w:rsidRPr="00097838">
        <w:rPr>
          <w:rFonts w:eastAsia="Times New Roman"/>
        </w:rPr>
        <w:t xml:space="preserve">jinak. Takovýto postup zákon </w:t>
      </w:r>
      <w:r w:rsidR="00692BE1">
        <w:rPr>
          <w:rFonts w:eastAsia="Times New Roman"/>
        </w:rPr>
        <w:t>o</w:t>
      </w:r>
      <w:r w:rsidR="0051555E">
        <w:rPr>
          <w:rFonts w:eastAsia="Times New Roman"/>
        </w:rPr>
        <w:t> </w:t>
      </w:r>
      <w:r w:rsidR="00692BE1">
        <w:rPr>
          <w:rFonts w:eastAsia="Times New Roman"/>
        </w:rPr>
        <w:t>veřejném zdravotním pojištění</w:t>
      </w:r>
      <w:r w:rsidR="00C33976">
        <w:rPr>
          <w:rFonts w:eastAsia="Times New Roman"/>
        </w:rPr>
        <w:t xml:space="preserve"> umožňuje jen</w:t>
      </w:r>
      <w:r w:rsidRPr="00097838">
        <w:rPr>
          <w:rFonts w:eastAsia="Times New Roman"/>
        </w:rPr>
        <w:t xml:space="preserve"> při splnění podmínky dodržení </w:t>
      </w:r>
      <w:r w:rsidR="00C33976">
        <w:rPr>
          <w:rFonts w:eastAsia="Times New Roman"/>
        </w:rPr>
        <w:t>ZPP</w:t>
      </w:r>
      <w:r w:rsidRPr="00097838">
        <w:rPr>
          <w:rFonts w:eastAsia="Times New Roman"/>
        </w:rPr>
        <w:t>.</w:t>
      </w:r>
    </w:p>
    <w:p w14:paraId="747656B8" w14:textId="77777777" w:rsidR="00A64D88" w:rsidRPr="00097838" w:rsidRDefault="00A64D88" w:rsidP="00097838">
      <w:pPr>
        <w:rPr>
          <w:rFonts w:eastAsia="Times New Roman"/>
        </w:rPr>
      </w:pPr>
    </w:p>
    <w:p w14:paraId="241EBB85" w14:textId="25464A5D" w:rsidR="00097838" w:rsidRPr="00097838" w:rsidRDefault="00F53882" w:rsidP="004034ED">
      <w:pPr>
        <w:pStyle w:val="Nadpis3"/>
        <w:spacing w:before="0"/>
        <w:ind w:left="567" w:hanging="567"/>
      </w:pPr>
      <w:r>
        <w:t>D</w:t>
      </w:r>
      <w:r w:rsidR="00097838" w:rsidRPr="00097838">
        <w:t>odatky ke smlouvám</w:t>
      </w:r>
    </w:p>
    <w:p w14:paraId="4A0CA6D2" w14:textId="74D2A6D3" w:rsidR="00097838" w:rsidRPr="00097838" w:rsidRDefault="00097838" w:rsidP="00097838">
      <w:r w:rsidRPr="00097838">
        <w:rPr>
          <w:rFonts w:ascii="Calibri" w:eastAsia="MS Mincho" w:hAnsi="Calibri" w:cs="Calibri"/>
        </w:rPr>
        <w:t xml:space="preserve">Kontrolou NKÚ bylo zjištěno, že ZP MV ČR </w:t>
      </w:r>
      <w:r w:rsidR="00692BE1">
        <w:rPr>
          <w:rFonts w:ascii="Calibri" w:eastAsia="MS Mincho" w:hAnsi="Calibri" w:cs="Calibri"/>
        </w:rPr>
        <w:t xml:space="preserve">se </w:t>
      </w:r>
      <w:r w:rsidR="00195A9B">
        <w:rPr>
          <w:rFonts w:ascii="Calibri" w:eastAsia="MS Mincho" w:hAnsi="Calibri" w:cs="Calibri"/>
        </w:rPr>
        <w:t>ve</w:t>
      </w:r>
      <w:r w:rsidRPr="00097838">
        <w:rPr>
          <w:rFonts w:ascii="Calibri" w:eastAsia="MS Mincho" w:hAnsi="Calibri" w:cs="Calibri"/>
        </w:rPr>
        <w:t xml:space="preserve"> sledovaném období </w:t>
      </w:r>
      <w:r w:rsidRPr="00097838">
        <w:t>minimálně v 82</w:t>
      </w:r>
      <w:r w:rsidR="00C30C6C">
        <w:t> </w:t>
      </w:r>
      <w:r w:rsidRPr="00097838">
        <w:t xml:space="preserve">% </w:t>
      </w:r>
      <w:r w:rsidR="008061BB" w:rsidRPr="00097838">
        <w:t>případů</w:t>
      </w:r>
      <w:r w:rsidR="008061BB">
        <w:t xml:space="preserve"> </w:t>
      </w:r>
      <w:r w:rsidR="00692BE1">
        <w:t xml:space="preserve">neřídila úhradovými vyhláškami a </w:t>
      </w:r>
      <w:r w:rsidR="008061BB">
        <w:t>uzavřela</w:t>
      </w:r>
      <w:r w:rsidR="00F53882">
        <w:t xml:space="preserve"> </w:t>
      </w:r>
      <w:r w:rsidR="009D3A16">
        <w:t xml:space="preserve">ke smlouvám </w:t>
      </w:r>
      <w:r w:rsidR="00F53882">
        <w:t>úhradové dodatky, kterými</w:t>
      </w:r>
      <w:r w:rsidR="00C30C6C">
        <w:t> </w:t>
      </w:r>
      <w:r w:rsidR="00F53882">
        <w:t xml:space="preserve">se </w:t>
      </w:r>
      <w:r w:rsidRPr="00097838">
        <w:t xml:space="preserve">dohodla s poskytovateli ZS </w:t>
      </w:r>
      <w:r w:rsidR="009D3A16">
        <w:t>na</w:t>
      </w:r>
      <w:r w:rsidRPr="00097838">
        <w:t xml:space="preserve"> výši a způsobu úhrady jinak</w:t>
      </w:r>
      <w:r w:rsidR="00692BE1">
        <w:t>.</w:t>
      </w:r>
      <w:r w:rsidRPr="00097838">
        <w:t xml:space="preserve"> </w:t>
      </w:r>
      <w:r w:rsidRPr="00692BE1">
        <w:rPr>
          <w:b/>
        </w:rPr>
        <w:t>V</w:t>
      </w:r>
      <w:r w:rsidR="00C30C6C">
        <w:rPr>
          <w:b/>
        </w:rPr>
        <w:t> </w:t>
      </w:r>
      <w:r w:rsidRPr="00692BE1">
        <w:rPr>
          <w:b/>
        </w:rPr>
        <w:t>letech</w:t>
      </w:r>
      <w:r w:rsidR="00C30C6C">
        <w:rPr>
          <w:b/>
        </w:rPr>
        <w:t xml:space="preserve"> </w:t>
      </w:r>
      <w:r w:rsidRPr="00692BE1">
        <w:rPr>
          <w:b/>
        </w:rPr>
        <w:t xml:space="preserve">2012 a 2014 </w:t>
      </w:r>
      <w:r w:rsidR="00195A9B" w:rsidRPr="00692BE1">
        <w:t>však</w:t>
      </w:r>
      <w:r w:rsidRPr="00692BE1">
        <w:rPr>
          <w:b/>
        </w:rPr>
        <w:t xml:space="preserve"> </w:t>
      </w:r>
      <w:r w:rsidR="00692BE1">
        <w:rPr>
          <w:b/>
        </w:rPr>
        <w:t>ZP</w:t>
      </w:r>
      <w:r w:rsidR="009D3A16">
        <w:rPr>
          <w:b/>
        </w:rPr>
        <w:t> </w:t>
      </w:r>
      <w:r w:rsidR="00692BE1">
        <w:rPr>
          <w:b/>
        </w:rPr>
        <w:t>MV</w:t>
      </w:r>
      <w:r w:rsidR="009D3A16">
        <w:rPr>
          <w:b/>
        </w:rPr>
        <w:t> </w:t>
      </w:r>
      <w:r w:rsidR="00692BE1">
        <w:rPr>
          <w:b/>
        </w:rPr>
        <w:t xml:space="preserve">ČR </w:t>
      </w:r>
      <w:r w:rsidR="00195A9B" w:rsidRPr="00692BE1">
        <w:rPr>
          <w:b/>
        </w:rPr>
        <w:t>nesplnila zákonem</w:t>
      </w:r>
      <w:r w:rsidRPr="00692BE1">
        <w:rPr>
          <w:b/>
        </w:rPr>
        <w:t xml:space="preserve"> stanovenou podmínku</w:t>
      </w:r>
      <w:r w:rsidR="009D3A16">
        <w:rPr>
          <w:rStyle w:val="Znakapoznpodarou"/>
        </w:rPr>
        <w:footnoteReference w:id="24"/>
      </w:r>
      <w:r w:rsidRPr="00692BE1">
        <w:rPr>
          <w:b/>
        </w:rPr>
        <w:t xml:space="preserve"> dodrže</w:t>
      </w:r>
      <w:r w:rsidR="009D3A16">
        <w:rPr>
          <w:b/>
        </w:rPr>
        <w:t>t</w:t>
      </w:r>
      <w:r w:rsidRPr="00692BE1">
        <w:rPr>
          <w:b/>
        </w:rPr>
        <w:t xml:space="preserve"> ZPP</w:t>
      </w:r>
      <w:r w:rsidRPr="00097838">
        <w:t>.</w:t>
      </w:r>
      <w:r w:rsidRPr="00097838">
        <w:rPr>
          <w:b/>
        </w:rPr>
        <w:t xml:space="preserve"> </w:t>
      </w:r>
      <w:r w:rsidRPr="00692BE1">
        <w:t xml:space="preserve">V roce 2012 překročila </w:t>
      </w:r>
      <w:r w:rsidR="009D3A16">
        <w:t>zdravotně pojistný plán</w:t>
      </w:r>
      <w:r w:rsidRPr="00692BE1">
        <w:t xml:space="preserve"> o 3,2</w:t>
      </w:r>
      <w:r w:rsidR="00692BE1">
        <w:t xml:space="preserve"> </w:t>
      </w:r>
      <w:r w:rsidRPr="00692BE1">
        <w:t>%, tj. o 706 114 tis. Kč, a v roce 2014 o 4</w:t>
      </w:r>
      <w:r w:rsidR="00692BE1">
        <w:t xml:space="preserve"> </w:t>
      </w:r>
      <w:r w:rsidRPr="00692BE1">
        <w:t>%, tj.</w:t>
      </w:r>
      <w:r w:rsidR="00C30C6C">
        <w:t> </w:t>
      </w:r>
      <w:r w:rsidRPr="00692BE1">
        <w:t>o</w:t>
      </w:r>
      <w:r w:rsidR="00C30C6C">
        <w:t> </w:t>
      </w:r>
      <w:r w:rsidRPr="00692BE1">
        <w:t>1</w:t>
      </w:r>
      <w:r w:rsidR="00C30C6C">
        <w:t> </w:t>
      </w:r>
      <w:r w:rsidRPr="00692BE1">
        <w:t>006</w:t>
      </w:r>
      <w:r w:rsidR="00C30C6C">
        <w:t> </w:t>
      </w:r>
      <w:r w:rsidRPr="00692BE1">
        <w:t>875</w:t>
      </w:r>
      <w:r w:rsidR="00C30C6C">
        <w:t> </w:t>
      </w:r>
      <w:r w:rsidRPr="00692BE1">
        <w:t>tis.</w:t>
      </w:r>
      <w:r w:rsidR="00C30C6C">
        <w:t> </w:t>
      </w:r>
      <w:r w:rsidRPr="00692BE1">
        <w:t>Kč.</w:t>
      </w:r>
      <w:r w:rsidRPr="00097838">
        <w:rPr>
          <w:b/>
        </w:rPr>
        <w:t xml:space="preserve"> </w:t>
      </w:r>
    </w:p>
    <w:p w14:paraId="63EAB71D" w14:textId="77777777" w:rsidR="00097838" w:rsidRPr="00097838" w:rsidRDefault="00097838" w:rsidP="00097838"/>
    <w:p w14:paraId="3FBDEB6F" w14:textId="75A08BBD" w:rsidR="00097838" w:rsidRPr="00097838" w:rsidRDefault="00097838" w:rsidP="00097838">
      <w:pPr>
        <w:rPr>
          <w:rFonts w:eastAsia="Times New Roman"/>
        </w:rPr>
      </w:pPr>
      <w:r w:rsidRPr="00097838">
        <w:t xml:space="preserve">Kontrolou NKÚ bylo zjištěno, že </w:t>
      </w:r>
      <w:r w:rsidRPr="00F53882">
        <w:rPr>
          <w:b/>
        </w:rPr>
        <w:t>ZP MV ČR v roce 2014</w:t>
      </w:r>
      <w:r w:rsidRPr="00097838">
        <w:t xml:space="preserve"> sjednala </w:t>
      </w:r>
      <w:r w:rsidR="000B3AA0">
        <w:t xml:space="preserve">ke smlouvám </w:t>
      </w:r>
      <w:r w:rsidR="00F53882">
        <w:t>další</w:t>
      </w:r>
      <w:r w:rsidRPr="00097838">
        <w:t xml:space="preserve"> dodatky, na základě kterých </w:t>
      </w:r>
      <w:r w:rsidRPr="00097838">
        <w:rPr>
          <w:b/>
        </w:rPr>
        <w:t xml:space="preserve">hradila srovnatelným typům lůžkových poskytovatelů </w:t>
      </w:r>
      <w:r w:rsidRPr="00F53882">
        <w:rPr>
          <w:b/>
        </w:rPr>
        <w:t>ZS za shodné</w:t>
      </w:r>
      <w:r w:rsidRPr="00097838">
        <w:rPr>
          <w:b/>
        </w:rPr>
        <w:t xml:space="preserve"> speciální výkony</w:t>
      </w:r>
      <w:r w:rsidRPr="00097838">
        <w:t xml:space="preserve"> </w:t>
      </w:r>
      <w:r w:rsidR="00F53882">
        <w:t>(</w:t>
      </w:r>
      <w:r w:rsidRPr="00097838">
        <w:t>totální endoprotézy velkých kloubů</w:t>
      </w:r>
      <w:r w:rsidRPr="00097838">
        <w:rPr>
          <w:i/>
        </w:rPr>
        <w:t>,</w:t>
      </w:r>
      <w:r w:rsidRPr="00097838">
        <w:t xml:space="preserve"> implantace kardioverterů a</w:t>
      </w:r>
      <w:r w:rsidR="000B3AA0">
        <w:t> </w:t>
      </w:r>
      <w:r w:rsidRPr="00FE4425">
        <w:t>kardiostimulátorů</w:t>
      </w:r>
      <w:r w:rsidR="00F53882">
        <w:t>)</w:t>
      </w:r>
      <w:r w:rsidRPr="00FE4425">
        <w:t xml:space="preserve"> </w:t>
      </w:r>
      <w:r w:rsidRPr="00F53882">
        <w:rPr>
          <w:b/>
        </w:rPr>
        <w:t>rozdílné ceny</w:t>
      </w:r>
      <w:r w:rsidRPr="004034ED">
        <w:rPr>
          <w:b/>
        </w:rPr>
        <w:t>.</w:t>
      </w:r>
      <w:r w:rsidRPr="00FE4425">
        <w:t xml:space="preserve"> </w:t>
      </w:r>
      <w:r w:rsidRPr="00097838">
        <w:rPr>
          <w:rFonts w:eastAsia="Times New Roman"/>
          <w:szCs w:val="24"/>
        </w:rPr>
        <w:t>Výše sjednan</w:t>
      </w:r>
      <w:r w:rsidR="000B3AA0">
        <w:rPr>
          <w:rFonts w:eastAsia="Times New Roman"/>
          <w:szCs w:val="24"/>
        </w:rPr>
        <w:t>ých</w:t>
      </w:r>
      <w:r w:rsidRPr="00097838">
        <w:rPr>
          <w:rFonts w:eastAsia="Times New Roman"/>
          <w:szCs w:val="24"/>
        </w:rPr>
        <w:t xml:space="preserve"> cen vycházel</w:t>
      </w:r>
      <w:r w:rsidR="000B3AA0">
        <w:rPr>
          <w:rFonts w:eastAsia="Times New Roman"/>
          <w:szCs w:val="24"/>
        </w:rPr>
        <w:t>y</w:t>
      </w:r>
      <w:r w:rsidRPr="00097838">
        <w:rPr>
          <w:rFonts w:eastAsia="Times New Roman"/>
          <w:szCs w:val="24"/>
        </w:rPr>
        <w:t xml:space="preserve"> z individuálních jednání s poskytovateli ZS. Kritéria pro sjednání ceny speciálních výkonů s jednotlivými poskytovateli zdravotních služeb ZP MV ČR nestanovila. Jediným limitem byla interní maximální cena za výkon</w:t>
      </w:r>
      <w:r w:rsidR="000B3AA0">
        <w:rPr>
          <w:rFonts w:eastAsia="Times New Roman"/>
          <w:szCs w:val="24"/>
        </w:rPr>
        <w:t xml:space="preserve">, </w:t>
      </w:r>
      <w:r w:rsidR="004F3284">
        <w:rPr>
          <w:rFonts w:eastAsia="Times New Roman"/>
          <w:szCs w:val="24"/>
        </w:rPr>
        <w:t xml:space="preserve">resp. </w:t>
      </w:r>
      <w:r w:rsidR="000B3AA0">
        <w:rPr>
          <w:rFonts w:eastAsia="Times New Roman"/>
          <w:szCs w:val="24"/>
        </w:rPr>
        <w:t>za tzv. balíček</w:t>
      </w:r>
      <w:r w:rsidRPr="00097838">
        <w:rPr>
          <w:rFonts w:eastAsia="Times New Roman"/>
          <w:szCs w:val="24"/>
        </w:rPr>
        <w:t>.</w:t>
      </w:r>
      <w:r w:rsidR="00FE4425">
        <w:rPr>
          <w:rFonts w:eastAsia="Times New Roman"/>
          <w:szCs w:val="24"/>
        </w:rPr>
        <w:t xml:space="preserve"> </w:t>
      </w:r>
      <w:r w:rsidRPr="00097838">
        <w:rPr>
          <w:rFonts w:eastAsia="Times New Roman"/>
        </w:rPr>
        <w:t xml:space="preserve">Rozdíly mezi nejvyššími a nejnižšími </w:t>
      </w:r>
      <w:r w:rsidR="000B3AA0" w:rsidRPr="00097838">
        <w:rPr>
          <w:rFonts w:eastAsia="Times New Roman"/>
        </w:rPr>
        <w:t xml:space="preserve">sjednanými </w:t>
      </w:r>
      <w:r w:rsidRPr="00097838">
        <w:rPr>
          <w:rFonts w:eastAsia="Times New Roman"/>
        </w:rPr>
        <w:t>cenami za speciální výkony</w:t>
      </w:r>
      <w:r w:rsidR="000B3AA0">
        <w:rPr>
          <w:rFonts w:eastAsia="Times New Roman"/>
        </w:rPr>
        <w:t xml:space="preserve"> (balíčky)</w:t>
      </w:r>
      <w:r w:rsidRPr="00097838">
        <w:rPr>
          <w:rFonts w:eastAsia="Times New Roman"/>
        </w:rPr>
        <w:t xml:space="preserve"> jsou uvedeny v tabulkách č. 7 a č. 8.</w:t>
      </w:r>
    </w:p>
    <w:p w14:paraId="3F51492E" w14:textId="565612E6" w:rsidR="00097838" w:rsidRPr="00097838" w:rsidRDefault="005E27A0" w:rsidP="001871E6">
      <w:p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6A274A73" w14:textId="33F5D22B" w:rsidR="00097838" w:rsidRPr="004034ED" w:rsidRDefault="00C45BBD" w:rsidP="00C45BBD">
      <w:pPr>
        <w:pStyle w:val="Nzevtabulky"/>
        <w:numPr>
          <w:ilvl w:val="0"/>
          <w:numId w:val="0"/>
        </w:numPr>
        <w:tabs>
          <w:tab w:val="right" w:pos="9070"/>
        </w:tabs>
        <w:rPr>
          <w:b/>
        </w:rPr>
      </w:pPr>
      <w:r w:rsidRPr="004034ED">
        <w:rPr>
          <w:b/>
        </w:rPr>
        <w:lastRenderedPageBreak/>
        <w:t>Tabulka č. 7</w:t>
      </w:r>
      <w:r w:rsidR="004F3284">
        <w:rPr>
          <w:b/>
        </w:rPr>
        <w:t xml:space="preserve"> –</w:t>
      </w:r>
      <w:r w:rsidRPr="004034ED">
        <w:rPr>
          <w:b/>
        </w:rPr>
        <w:t xml:space="preserve"> </w:t>
      </w:r>
      <w:r w:rsidR="00097838" w:rsidRPr="004034ED">
        <w:rPr>
          <w:b/>
        </w:rPr>
        <w:t xml:space="preserve">Rozdíly mezi cenami speciálních </w:t>
      </w:r>
      <w:r w:rsidR="009315FA" w:rsidRPr="004034ED">
        <w:rPr>
          <w:b/>
        </w:rPr>
        <w:t>výkonů</w:t>
      </w:r>
      <w:r w:rsidR="00097838" w:rsidRPr="004034ED">
        <w:rPr>
          <w:b/>
        </w:rPr>
        <w:t xml:space="preserve"> </w:t>
      </w:r>
      <w:r w:rsidR="005E2321" w:rsidRPr="004034ED">
        <w:rPr>
          <w:b/>
        </w:rPr>
        <w:t>–</w:t>
      </w:r>
      <w:r w:rsidR="00097838" w:rsidRPr="004034ED">
        <w:rPr>
          <w:b/>
        </w:rPr>
        <w:t xml:space="preserve"> totální endoprotézy</w:t>
      </w:r>
      <w:r w:rsidR="00874687" w:rsidRPr="004034ED">
        <w:rPr>
          <w:b/>
        </w:rPr>
        <w:t xml:space="preserve"> </w:t>
      </w:r>
      <w:r w:rsidRPr="004034ED">
        <w:rPr>
          <w:b/>
        </w:rPr>
        <w:tab/>
      </w:r>
      <w:r w:rsidR="00874687" w:rsidRPr="004034ED">
        <w:rPr>
          <w:b/>
        </w:rPr>
        <w:t>(v Kč)</w:t>
      </w:r>
    </w:p>
    <w:tbl>
      <w:tblPr>
        <w:tblStyle w:val="Mkatabulky112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0"/>
        <w:gridCol w:w="1560"/>
        <w:gridCol w:w="1937"/>
        <w:gridCol w:w="1937"/>
        <w:gridCol w:w="1938"/>
      </w:tblGrid>
      <w:tr w:rsidR="00097838" w:rsidRPr="00097838" w14:paraId="177AB51E" w14:textId="77777777" w:rsidTr="004034ED">
        <w:trPr>
          <w:trHeight w:val="200"/>
        </w:trPr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06004A8" w14:textId="788C8652" w:rsidR="00097838" w:rsidRPr="00097838" w:rsidRDefault="004F3284" w:rsidP="004F3284">
            <w:pPr>
              <w:ind w:left="720" w:hanging="7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Výkon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7E9F6390" w14:textId="77777777" w:rsidR="00097838" w:rsidRPr="00097838" w:rsidRDefault="00097838" w:rsidP="0009783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97838">
              <w:rPr>
                <w:rFonts w:eastAsia="Calibri" w:cstheme="minorHAnsi"/>
                <w:b/>
                <w:sz w:val="16"/>
                <w:szCs w:val="16"/>
              </w:rPr>
              <w:t>Název balíčku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3BB96E8" w14:textId="77777777" w:rsidR="00097838" w:rsidRPr="00097838" w:rsidRDefault="00097838" w:rsidP="0009783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97838">
              <w:rPr>
                <w:rFonts w:eastAsia="Calibri" w:cstheme="minorHAnsi"/>
                <w:b/>
                <w:sz w:val="16"/>
                <w:szCs w:val="16"/>
              </w:rPr>
              <w:t>Nejvyšší sjednaná cena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0E991348" w14:textId="77777777" w:rsidR="00097838" w:rsidRPr="00097838" w:rsidRDefault="00097838" w:rsidP="0009783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97838">
              <w:rPr>
                <w:rFonts w:eastAsia="Calibri" w:cstheme="minorHAnsi"/>
                <w:b/>
                <w:sz w:val="16"/>
                <w:szCs w:val="16"/>
              </w:rPr>
              <w:t xml:space="preserve">Nejnižší sjednaná cena 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21857232" w14:textId="77777777" w:rsidR="00097838" w:rsidRPr="00097838" w:rsidRDefault="00097838" w:rsidP="0009783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97838">
              <w:rPr>
                <w:rFonts w:eastAsia="Calibri" w:cstheme="minorHAnsi"/>
                <w:b/>
                <w:sz w:val="16"/>
                <w:szCs w:val="16"/>
              </w:rPr>
              <w:t>Rozdíl v ceně balíčků  </w:t>
            </w:r>
          </w:p>
        </w:tc>
      </w:tr>
      <w:tr w:rsidR="00097838" w:rsidRPr="00097838" w14:paraId="5DA2462C" w14:textId="77777777" w:rsidTr="004034ED">
        <w:trPr>
          <w:trHeight w:val="206"/>
        </w:trPr>
        <w:tc>
          <w:tcPr>
            <w:tcW w:w="1700" w:type="dxa"/>
            <w:vMerge w:val="restart"/>
            <w:tcBorders>
              <w:top w:val="single" w:sz="12" w:space="0" w:color="auto"/>
            </w:tcBorders>
            <w:vAlign w:val="center"/>
          </w:tcPr>
          <w:p w14:paraId="39735819" w14:textId="595025A1" w:rsidR="00097838" w:rsidRPr="00097838" w:rsidRDefault="004F3284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Totální endoprotéza </w:t>
            </w:r>
            <w:r w:rsidR="00097838" w:rsidRPr="00097838">
              <w:rPr>
                <w:rFonts w:eastAsia="Calibri" w:cstheme="minorHAnsi"/>
                <w:sz w:val="16"/>
                <w:szCs w:val="16"/>
              </w:rPr>
              <w:t>kyčelního kloubu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19078FA6" w14:textId="4209FBAA" w:rsidR="00097838" w:rsidRPr="00097838" w:rsidRDefault="004F3284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K</w:t>
            </w:r>
            <w:r w:rsidR="00097838" w:rsidRPr="00097838">
              <w:rPr>
                <w:rFonts w:eastAsia="Calibri" w:cstheme="minorHAnsi"/>
                <w:sz w:val="16"/>
                <w:szCs w:val="16"/>
              </w:rPr>
              <w:t>yčel cement</w:t>
            </w:r>
          </w:p>
        </w:tc>
        <w:tc>
          <w:tcPr>
            <w:tcW w:w="1937" w:type="dxa"/>
            <w:tcBorders>
              <w:top w:val="single" w:sz="12" w:space="0" w:color="auto"/>
            </w:tcBorders>
            <w:vAlign w:val="center"/>
          </w:tcPr>
          <w:p w14:paraId="521EA19B" w14:textId="1408769C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75 000</w:t>
            </w:r>
          </w:p>
        </w:tc>
        <w:tc>
          <w:tcPr>
            <w:tcW w:w="1937" w:type="dxa"/>
            <w:tcBorders>
              <w:top w:val="single" w:sz="12" w:space="0" w:color="auto"/>
            </w:tcBorders>
            <w:vAlign w:val="center"/>
          </w:tcPr>
          <w:p w14:paraId="7C2A8A07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54 198</w:t>
            </w:r>
          </w:p>
        </w:tc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14:paraId="06FE1CC4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20 802</w:t>
            </w:r>
          </w:p>
        </w:tc>
      </w:tr>
      <w:tr w:rsidR="00097838" w:rsidRPr="00097838" w14:paraId="701996AE" w14:textId="77777777" w:rsidTr="004034ED">
        <w:trPr>
          <w:trHeight w:val="138"/>
        </w:trPr>
        <w:tc>
          <w:tcPr>
            <w:tcW w:w="1700" w:type="dxa"/>
            <w:vMerge/>
            <w:vAlign w:val="center"/>
          </w:tcPr>
          <w:p w14:paraId="356ADDF3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FD1968E" w14:textId="23BB0DF3" w:rsidR="00097838" w:rsidRPr="00097838" w:rsidRDefault="004F3284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K</w:t>
            </w:r>
            <w:r w:rsidR="00097838" w:rsidRPr="00097838">
              <w:rPr>
                <w:rFonts w:eastAsia="Calibri" w:cstheme="minorHAnsi"/>
                <w:sz w:val="16"/>
                <w:szCs w:val="16"/>
              </w:rPr>
              <w:t>yčel necement</w:t>
            </w:r>
          </w:p>
        </w:tc>
        <w:tc>
          <w:tcPr>
            <w:tcW w:w="1937" w:type="dxa"/>
            <w:vAlign w:val="center"/>
          </w:tcPr>
          <w:p w14:paraId="0689B947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105 000</w:t>
            </w:r>
          </w:p>
        </w:tc>
        <w:tc>
          <w:tcPr>
            <w:tcW w:w="1937" w:type="dxa"/>
            <w:vAlign w:val="center"/>
          </w:tcPr>
          <w:p w14:paraId="6C959DA6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82 400</w:t>
            </w:r>
          </w:p>
        </w:tc>
        <w:tc>
          <w:tcPr>
            <w:tcW w:w="1938" w:type="dxa"/>
            <w:vAlign w:val="center"/>
          </w:tcPr>
          <w:p w14:paraId="42CDE6BC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22 600</w:t>
            </w:r>
          </w:p>
        </w:tc>
      </w:tr>
      <w:tr w:rsidR="00097838" w:rsidRPr="00097838" w14:paraId="199F74EB" w14:textId="77777777" w:rsidTr="004034ED">
        <w:trPr>
          <w:trHeight w:val="70"/>
        </w:trPr>
        <w:tc>
          <w:tcPr>
            <w:tcW w:w="1700" w:type="dxa"/>
            <w:vMerge/>
            <w:vAlign w:val="center"/>
          </w:tcPr>
          <w:p w14:paraId="20B68FFE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6BEC3A4" w14:textId="5A12DD7F" w:rsidR="00097838" w:rsidRPr="00097838" w:rsidRDefault="004F3284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K</w:t>
            </w:r>
            <w:r w:rsidR="00097838" w:rsidRPr="00097838">
              <w:rPr>
                <w:rFonts w:eastAsia="Calibri" w:cstheme="minorHAnsi"/>
                <w:sz w:val="16"/>
                <w:szCs w:val="16"/>
              </w:rPr>
              <w:t>yčel hybrid</w:t>
            </w:r>
          </w:p>
        </w:tc>
        <w:tc>
          <w:tcPr>
            <w:tcW w:w="1937" w:type="dxa"/>
            <w:vAlign w:val="center"/>
          </w:tcPr>
          <w:p w14:paraId="2F641F2E" w14:textId="20C83026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88 000</w:t>
            </w:r>
          </w:p>
        </w:tc>
        <w:tc>
          <w:tcPr>
            <w:tcW w:w="1937" w:type="dxa"/>
            <w:vAlign w:val="center"/>
          </w:tcPr>
          <w:p w14:paraId="2F0CEED2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70 000</w:t>
            </w:r>
          </w:p>
        </w:tc>
        <w:tc>
          <w:tcPr>
            <w:tcW w:w="1938" w:type="dxa"/>
            <w:vAlign w:val="center"/>
          </w:tcPr>
          <w:p w14:paraId="1E32B03A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18 000</w:t>
            </w:r>
          </w:p>
        </w:tc>
      </w:tr>
      <w:tr w:rsidR="00097838" w:rsidRPr="00097838" w14:paraId="50D44CA4" w14:textId="77777777" w:rsidTr="004034ED">
        <w:trPr>
          <w:trHeight w:val="144"/>
        </w:trPr>
        <w:tc>
          <w:tcPr>
            <w:tcW w:w="1700" w:type="dxa"/>
            <w:vMerge w:val="restart"/>
            <w:vAlign w:val="center"/>
          </w:tcPr>
          <w:p w14:paraId="155518AA" w14:textId="72C07FEE" w:rsidR="00097838" w:rsidRPr="00097838" w:rsidRDefault="004F3284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Totální endoprotéza </w:t>
            </w:r>
            <w:r w:rsidR="00097838" w:rsidRPr="00097838">
              <w:rPr>
                <w:rFonts w:eastAsia="Calibri" w:cstheme="minorHAnsi"/>
                <w:sz w:val="16"/>
                <w:szCs w:val="16"/>
              </w:rPr>
              <w:t>kolenního kloubu</w:t>
            </w:r>
          </w:p>
        </w:tc>
        <w:tc>
          <w:tcPr>
            <w:tcW w:w="1560" w:type="dxa"/>
            <w:vAlign w:val="center"/>
          </w:tcPr>
          <w:p w14:paraId="7C9FFB8F" w14:textId="3AEBE192" w:rsidR="00097838" w:rsidRPr="00097838" w:rsidRDefault="004F3284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K</w:t>
            </w:r>
            <w:r w:rsidR="00097838" w:rsidRPr="00097838">
              <w:rPr>
                <w:rFonts w:eastAsia="Calibri" w:cstheme="minorHAnsi"/>
                <w:sz w:val="16"/>
                <w:szCs w:val="16"/>
              </w:rPr>
              <w:t>oleno</w:t>
            </w:r>
          </w:p>
        </w:tc>
        <w:tc>
          <w:tcPr>
            <w:tcW w:w="1937" w:type="dxa"/>
            <w:vAlign w:val="center"/>
          </w:tcPr>
          <w:p w14:paraId="208299EF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105 500</w:t>
            </w:r>
          </w:p>
        </w:tc>
        <w:tc>
          <w:tcPr>
            <w:tcW w:w="1937" w:type="dxa"/>
            <w:vAlign w:val="center"/>
          </w:tcPr>
          <w:p w14:paraId="4D581866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78 204</w:t>
            </w:r>
          </w:p>
        </w:tc>
        <w:tc>
          <w:tcPr>
            <w:tcW w:w="1938" w:type="dxa"/>
            <w:vAlign w:val="center"/>
          </w:tcPr>
          <w:p w14:paraId="47ACF232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27 296</w:t>
            </w:r>
          </w:p>
        </w:tc>
      </w:tr>
      <w:tr w:rsidR="00097838" w:rsidRPr="00097838" w14:paraId="53C89A5E" w14:textId="77777777" w:rsidTr="004034ED">
        <w:trPr>
          <w:trHeight w:val="90"/>
        </w:trPr>
        <w:tc>
          <w:tcPr>
            <w:tcW w:w="1700" w:type="dxa"/>
            <w:vMerge/>
            <w:vAlign w:val="center"/>
          </w:tcPr>
          <w:p w14:paraId="7B8D1FAB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004D921" w14:textId="0639679F" w:rsidR="00097838" w:rsidRPr="00097838" w:rsidRDefault="004F3284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K</w:t>
            </w:r>
            <w:r w:rsidR="00097838" w:rsidRPr="00097838">
              <w:rPr>
                <w:rFonts w:eastAsia="Calibri" w:cstheme="minorHAnsi"/>
                <w:sz w:val="16"/>
                <w:szCs w:val="16"/>
              </w:rPr>
              <w:t>oleno rotační</w:t>
            </w:r>
          </w:p>
        </w:tc>
        <w:tc>
          <w:tcPr>
            <w:tcW w:w="1937" w:type="dxa"/>
            <w:vAlign w:val="center"/>
          </w:tcPr>
          <w:p w14:paraId="050ACA7E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105 000</w:t>
            </w:r>
          </w:p>
        </w:tc>
        <w:tc>
          <w:tcPr>
            <w:tcW w:w="1937" w:type="dxa"/>
            <w:vAlign w:val="center"/>
          </w:tcPr>
          <w:p w14:paraId="0A06EEDC" w14:textId="77777777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98 652</w:t>
            </w:r>
          </w:p>
        </w:tc>
        <w:tc>
          <w:tcPr>
            <w:tcW w:w="1938" w:type="dxa"/>
            <w:vAlign w:val="center"/>
          </w:tcPr>
          <w:p w14:paraId="47063268" w14:textId="63490079" w:rsidR="00097838" w:rsidRPr="00097838" w:rsidRDefault="00097838" w:rsidP="004034ED">
            <w:pPr>
              <w:ind w:right="55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6 348</w:t>
            </w:r>
          </w:p>
        </w:tc>
      </w:tr>
    </w:tbl>
    <w:p w14:paraId="51D6F924" w14:textId="660738BD" w:rsidR="00097838" w:rsidRPr="00097838" w:rsidRDefault="00097838" w:rsidP="003764C4">
      <w:pPr>
        <w:pStyle w:val="Poznmka"/>
      </w:pPr>
      <w:r w:rsidRPr="004034ED">
        <w:rPr>
          <w:b/>
        </w:rPr>
        <w:t>Zdroj:</w:t>
      </w:r>
      <w:r w:rsidRPr="00097838">
        <w:t xml:space="preserve"> ZP MV ČR</w:t>
      </w:r>
      <w:r w:rsidR="005E2321">
        <w:t>.</w:t>
      </w:r>
    </w:p>
    <w:p w14:paraId="3F20B09F" w14:textId="77777777" w:rsidR="00097838" w:rsidRPr="00097838" w:rsidRDefault="00097838" w:rsidP="00097838">
      <w:pPr>
        <w:rPr>
          <w:rFonts w:eastAsia="Times New Roman" w:cs="Times New Roman"/>
          <w:szCs w:val="24"/>
          <w:lang w:eastAsia="cs-CZ"/>
        </w:rPr>
      </w:pPr>
    </w:p>
    <w:p w14:paraId="642495BB" w14:textId="02A40744" w:rsidR="00097838" w:rsidRPr="00097838" w:rsidRDefault="00C45BBD" w:rsidP="004F3284">
      <w:pPr>
        <w:pStyle w:val="Nzevtabulky"/>
        <w:numPr>
          <w:ilvl w:val="0"/>
          <w:numId w:val="0"/>
        </w:numPr>
        <w:tabs>
          <w:tab w:val="right" w:pos="9070"/>
        </w:tabs>
        <w:ind w:left="1418" w:hanging="1418"/>
        <w:jc w:val="left"/>
      </w:pPr>
      <w:r w:rsidRPr="004034ED">
        <w:rPr>
          <w:b/>
        </w:rPr>
        <w:t>Tabulka č. 8</w:t>
      </w:r>
      <w:r w:rsidR="004F3284" w:rsidRPr="004034ED">
        <w:rPr>
          <w:b/>
        </w:rPr>
        <w:t xml:space="preserve"> –</w:t>
      </w:r>
      <w:r w:rsidRPr="004034ED">
        <w:rPr>
          <w:b/>
        </w:rPr>
        <w:t xml:space="preserve"> </w:t>
      </w:r>
      <w:r w:rsidR="00097838" w:rsidRPr="004034ED">
        <w:rPr>
          <w:b/>
        </w:rPr>
        <w:t xml:space="preserve">Rozdíly mezi cenami speciálních </w:t>
      </w:r>
      <w:r w:rsidR="009315FA" w:rsidRPr="004034ED">
        <w:rPr>
          <w:b/>
        </w:rPr>
        <w:t>výkonů</w:t>
      </w:r>
      <w:r w:rsidR="00097838" w:rsidRPr="004034ED">
        <w:rPr>
          <w:b/>
        </w:rPr>
        <w:t xml:space="preserve"> </w:t>
      </w:r>
      <w:r w:rsidR="005E2321" w:rsidRPr="004034ED">
        <w:rPr>
          <w:b/>
        </w:rPr>
        <w:t>–</w:t>
      </w:r>
      <w:r w:rsidR="00097838" w:rsidRPr="004034ED">
        <w:rPr>
          <w:b/>
        </w:rPr>
        <w:t xml:space="preserve"> implantace kardioverterů a kardiostimulátorů</w:t>
      </w:r>
      <w:r w:rsidR="00097838" w:rsidRPr="00097838">
        <w:t xml:space="preserve"> </w:t>
      </w:r>
      <w:r>
        <w:tab/>
      </w:r>
      <w:r w:rsidR="007368F5" w:rsidRPr="004034ED">
        <w:rPr>
          <w:b/>
        </w:rPr>
        <w:t>(v Kč)</w:t>
      </w:r>
    </w:p>
    <w:tbl>
      <w:tblPr>
        <w:tblStyle w:val="Mkatabulky212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1947"/>
        <w:gridCol w:w="1904"/>
        <w:gridCol w:w="1904"/>
        <w:gridCol w:w="1904"/>
      </w:tblGrid>
      <w:tr w:rsidR="00097838" w:rsidRPr="00097838" w14:paraId="50F2BC11" w14:textId="77777777" w:rsidTr="004034ED">
        <w:trPr>
          <w:trHeight w:val="20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6A911C32" w14:textId="77777777" w:rsidR="00097838" w:rsidRPr="00097838" w:rsidRDefault="00097838" w:rsidP="00097838">
            <w:pPr>
              <w:ind w:left="720" w:hanging="7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97838">
              <w:rPr>
                <w:rFonts w:eastAsia="Calibri" w:cstheme="minorHAnsi"/>
                <w:b/>
                <w:sz w:val="16"/>
                <w:szCs w:val="16"/>
              </w:rPr>
              <w:t>Typ implantátu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BF38E44" w14:textId="77777777" w:rsidR="00097838" w:rsidRPr="00097838" w:rsidRDefault="00097838" w:rsidP="0009783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97838">
              <w:rPr>
                <w:rFonts w:eastAsia="Calibri" w:cstheme="minorHAnsi"/>
                <w:b/>
                <w:sz w:val="16"/>
                <w:szCs w:val="16"/>
              </w:rPr>
              <w:t>Název balíčku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29A5BA52" w14:textId="77777777" w:rsidR="00097838" w:rsidRPr="00097838" w:rsidRDefault="00097838" w:rsidP="0009783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97838">
              <w:rPr>
                <w:rFonts w:eastAsia="Calibri" w:cstheme="minorHAnsi"/>
                <w:b/>
                <w:sz w:val="16"/>
                <w:szCs w:val="16"/>
              </w:rPr>
              <w:t>Nejvyšší sjednaná cena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5E999AE" w14:textId="77777777" w:rsidR="00097838" w:rsidRPr="00097838" w:rsidRDefault="00097838" w:rsidP="0009783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97838">
              <w:rPr>
                <w:rFonts w:eastAsia="Calibri" w:cstheme="minorHAnsi"/>
                <w:b/>
                <w:sz w:val="16"/>
                <w:szCs w:val="16"/>
              </w:rPr>
              <w:t>Nejnižší sjednaná cena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DB98365" w14:textId="77777777" w:rsidR="00097838" w:rsidRPr="00097838" w:rsidRDefault="00097838" w:rsidP="0009783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97838">
              <w:rPr>
                <w:rFonts w:eastAsia="Calibri" w:cstheme="minorHAnsi"/>
                <w:b/>
                <w:sz w:val="16"/>
                <w:szCs w:val="16"/>
              </w:rPr>
              <w:t xml:space="preserve">Rozdíl v ceně balíčků </w:t>
            </w:r>
          </w:p>
        </w:tc>
      </w:tr>
      <w:tr w:rsidR="00097838" w:rsidRPr="00097838" w14:paraId="7A6EFDF0" w14:textId="77777777" w:rsidTr="004034ED">
        <w:trPr>
          <w:trHeight w:val="20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40D1CE4C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Kardiostimulátor</w:t>
            </w:r>
          </w:p>
        </w:tc>
        <w:tc>
          <w:tcPr>
            <w:tcW w:w="1947" w:type="dxa"/>
            <w:tcBorders>
              <w:top w:val="single" w:sz="12" w:space="0" w:color="auto"/>
            </w:tcBorders>
            <w:vAlign w:val="center"/>
          </w:tcPr>
          <w:p w14:paraId="4BE40416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Kardio-biventrikulární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7DAEF7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200 000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ADED95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106 725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vAlign w:val="center"/>
          </w:tcPr>
          <w:p w14:paraId="48803B47" w14:textId="4FE779EB" w:rsidR="00097838" w:rsidRPr="00097838" w:rsidRDefault="000B2106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93</w:t>
            </w:r>
            <w:r w:rsidRPr="00097838">
              <w:rPr>
                <w:rFonts w:eastAsia="Calibri" w:cstheme="minorHAnsi"/>
                <w:sz w:val="16"/>
                <w:szCs w:val="16"/>
              </w:rPr>
              <w:t> </w:t>
            </w:r>
            <w:r w:rsidR="00097838" w:rsidRPr="00097838">
              <w:rPr>
                <w:rFonts w:eastAsia="Calibri" w:cstheme="minorHAnsi"/>
                <w:sz w:val="16"/>
                <w:szCs w:val="16"/>
              </w:rPr>
              <w:t>275</w:t>
            </w:r>
          </w:p>
        </w:tc>
      </w:tr>
      <w:tr w:rsidR="00097838" w:rsidRPr="00097838" w14:paraId="5F72DEFC" w14:textId="77777777" w:rsidTr="004034ED">
        <w:trPr>
          <w:trHeight w:val="20"/>
        </w:trPr>
        <w:tc>
          <w:tcPr>
            <w:tcW w:w="1413" w:type="dxa"/>
            <w:vMerge/>
            <w:vAlign w:val="center"/>
          </w:tcPr>
          <w:p w14:paraId="0F10D6A7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14:paraId="14077EE4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Kardio-1dutinový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E9BA978" w14:textId="69B75EFE" w:rsidR="00097838" w:rsidRPr="00097838" w:rsidRDefault="00CD00F0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63 </w:t>
            </w:r>
            <w:r w:rsidR="00097838" w:rsidRPr="00097838">
              <w:rPr>
                <w:rFonts w:eastAsia="Calibri" w:cstheme="minorHAnsi"/>
                <w:sz w:val="16"/>
                <w:szCs w:val="16"/>
              </w:rPr>
              <w:t>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4C16D16" w14:textId="3AC42552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34 030</w:t>
            </w:r>
          </w:p>
        </w:tc>
        <w:tc>
          <w:tcPr>
            <w:tcW w:w="1904" w:type="dxa"/>
            <w:vAlign w:val="center"/>
          </w:tcPr>
          <w:p w14:paraId="7B82AEA5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28 970</w:t>
            </w:r>
          </w:p>
        </w:tc>
      </w:tr>
      <w:tr w:rsidR="00097838" w:rsidRPr="00097838" w14:paraId="06D3A891" w14:textId="77777777" w:rsidTr="004034ED">
        <w:trPr>
          <w:trHeight w:val="20"/>
        </w:trPr>
        <w:tc>
          <w:tcPr>
            <w:tcW w:w="1413" w:type="dxa"/>
            <w:vMerge/>
            <w:vAlign w:val="center"/>
          </w:tcPr>
          <w:p w14:paraId="54E14ABA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14:paraId="61FCB1F6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Kardio-2dutinový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64415E4" w14:textId="77777777" w:rsidR="00097838" w:rsidRPr="00097838" w:rsidRDefault="00097838" w:rsidP="004034ED">
            <w:pPr>
              <w:tabs>
                <w:tab w:val="right" w:pos="1068"/>
              </w:tabs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114 000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D089867" w14:textId="11D88C9D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78 540</w:t>
            </w:r>
          </w:p>
        </w:tc>
        <w:tc>
          <w:tcPr>
            <w:tcW w:w="1904" w:type="dxa"/>
            <w:vAlign w:val="center"/>
          </w:tcPr>
          <w:p w14:paraId="7DCB99AE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35 460</w:t>
            </w:r>
          </w:p>
        </w:tc>
      </w:tr>
      <w:tr w:rsidR="00097838" w:rsidRPr="00097838" w14:paraId="242EDC08" w14:textId="77777777" w:rsidTr="004034ED">
        <w:trPr>
          <w:trHeight w:val="20"/>
        </w:trPr>
        <w:tc>
          <w:tcPr>
            <w:tcW w:w="1413" w:type="dxa"/>
            <w:vMerge/>
            <w:vAlign w:val="center"/>
          </w:tcPr>
          <w:p w14:paraId="00F67C00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14:paraId="0AFFBDC2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Kardio-reimplantace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01F5FF9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97  000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EB17DAE" w14:textId="3B972400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60 530</w:t>
            </w:r>
          </w:p>
        </w:tc>
        <w:tc>
          <w:tcPr>
            <w:tcW w:w="1904" w:type="dxa"/>
            <w:vAlign w:val="center"/>
          </w:tcPr>
          <w:p w14:paraId="1A2F5078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36 470</w:t>
            </w:r>
          </w:p>
        </w:tc>
      </w:tr>
      <w:tr w:rsidR="00097838" w:rsidRPr="00097838" w14:paraId="1ED06CB4" w14:textId="77777777" w:rsidTr="004034ED">
        <w:trPr>
          <w:trHeight w:val="20"/>
        </w:trPr>
        <w:tc>
          <w:tcPr>
            <w:tcW w:w="1413" w:type="dxa"/>
            <w:vMerge w:val="restart"/>
            <w:vAlign w:val="center"/>
          </w:tcPr>
          <w:p w14:paraId="34BBE53A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Kardioverter</w:t>
            </w:r>
          </w:p>
        </w:tc>
        <w:tc>
          <w:tcPr>
            <w:tcW w:w="1947" w:type="dxa"/>
            <w:vAlign w:val="center"/>
          </w:tcPr>
          <w:p w14:paraId="2755BAC0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Defibril1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EEA1D53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465 000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673B283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360 000</w:t>
            </w:r>
          </w:p>
        </w:tc>
        <w:tc>
          <w:tcPr>
            <w:tcW w:w="1904" w:type="dxa"/>
            <w:vAlign w:val="center"/>
          </w:tcPr>
          <w:p w14:paraId="6F941401" w14:textId="304CD9FC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105 000</w:t>
            </w:r>
          </w:p>
        </w:tc>
      </w:tr>
      <w:tr w:rsidR="00097838" w:rsidRPr="00097838" w14:paraId="461AC643" w14:textId="77777777" w:rsidTr="004034ED">
        <w:trPr>
          <w:trHeight w:val="20"/>
        </w:trPr>
        <w:tc>
          <w:tcPr>
            <w:tcW w:w="1413" w:type="dxa"/>
            <w:vMerge/>
            <w:vAlign w:val="center"/>
          </w:tcPr>
          <w:p w14:paraId="3CE6FAB3" w14:textId="77777777" w:rsidR="00097838" w:rsidRPr="00097838" w:rsidRDefault="00097838" w:rsidP="0009783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14:paraId="042C7F8B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Defibril2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A25BB28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422 000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489C832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375 000</w:t>
            </w:r>
          </w:p>
        </w:tc>
        <w:tc>
          <w:tcPr>
            <w:tcW w:w="1904" w:type="dxa"/>
            <w:vAlign w:val="center"/>
          </w:tcPr>
          <w:p w14:paraId="44D1F7C3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47 000</w:t>
            </w:r>
          </w:p>
        </w:tc>
      </w:tr>
      <w:tr w:rsidR="00097838" w:rsidRPr="00097838" w14:paraId="35EE2F06" w14:textId="77777777" w:rsidTr="004034ED">
        <w:trPr>
          <w:trHeight w:val="20"/>
        </w:trPr>
        <w:tc>
          <w:tcPr>
            <w:tcW w:w="1413" w:type="dxa"/>
            <w:vMerge/>
            <w:vAlign w:val="center"/>
          </w:tcPr>
          <w:p w14:paraId="0C34CAB1" w14:textId="77777777" w:rsidR="00097838" w:rsidRPr="00097838" w:rsidRDefault="00097838" w:rsidP="00097838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14:paraId="60508D50" w14:textId="77777777" w:rsidR="00097838" w:rsidRPr="00097838" w:rsidRDefault="00097838" w:rsidP="00097838">
            <w:pPr>
              <w:jc w:val="lef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Defibril-biventrikulární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D4A2BEE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558 000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183F238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395 000</w:t>
            </w:r>
          </w:p>
        </w:tc>
        <w:tc>
          <w:tcPr>
            <w:tcW w:w="1904" w:type="dxa"/>
            <w:vAlign w:val="center"/>
          </w:tcPr>
          <w:p w14:paraId="6DF0475A" w14:textId="77777777" w:rsidR="00097838" w:rsidRPr="00097838" w:rsidRDefault="00097838" w:rsidP="004034ED">
            <w:pPr>
              <w:ind w:right="620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097838">
              <w:rPr>
                <w:rFonts w:eastAsia="Calibri" w:cstheme="minorHAnsi"/>
                <w:sz w:val="16"/>
                <w:szCs w:val="16"/>
              </w:rPr>
              <w:t>163 000</w:t>
            </w:r>
          </w:p>
        </w:tc>
      </w:tr>
    </w:tbl>
    <w:p w14:paraId="0D8EBF3E" w14:textId="3E1893B6" w:rsidR="00097838" w:rsidRPr="00097838" w:rsidRDefault="00097838" w:rsidP="003764C4">
      <w:pPr>
        <w:pStyle w:val="Poznmka"/>
      </w:pPr>
      <w:r w:rsidRPr="004034ED">
        <w:rPr>
          <w:b/>
        </w:rPr>
        <w:t>Zdroj:</w:t>
      </w:r>
      <w:r w:rsidRPr="00097838">
        <w:t xml:space="preserve"> ZP MV ČR</w:t>
      </w:r>
      <w:r w:rsidR="005E2321">
        <w:t>.</w:t>
      </w:r>
    </w:p>
    <w:bookmarkEnd w:id="13"/>
    <w:p w14:paraId="384B5AA2" w14:textId="77777777" w:rsidR="00097838" w:rsidRPr="00097838" w:rsidRDefault="00097838" w:rsidP="00097838">
      <w:pPr>
        <w:rPr>
          <w:rFonts w:ascii="Calibri" w:eastAsia="MS Mincho" w:hAnsi="Calibri" w:cs="Calibri"/>
        </w:rPr>
      </w:pPr>
    </w:p>
    <w:p w14:paraId="3DE0B9AA" w14:textId="36195FC3" w:rsidR="00097838" w:rsidRPr="00097838" w:rsidRDefault="00097838" w:rsidP="00097838">
      <w:pPr>
        <w:rPr>
          <w:rFonts w:ascii="Calibri" w:eastAsia="MS Mincho" w:hAnsi="Calibri" w:cs="Calibri"/>
        </w:rPr>
      </w:pPr>
      <w:r w:rsidRPr="00097838">
        <w:rPr>
          <w:rFonts w:ascii="Calibri" w:eastAsia="MS Mincho" w:hAnsi="Calibri" w:cs="Calibri"/>
        </w:rPr>
        <w:t xml:space="preserve">Z údajů uvedených v tabulkách č. </w:t>
      </w:r>
      <w:r w:rsidR="00986922">
        <w:rPr>
          <w:rFonts w:ascii="Calibri" w:eastAsia="MS Mincho" w:hAnsi="Calibri" w:cs="Calibri"/>
        </w:rPr>
        <w:t>7</w:t>
      </w:r>
      <w:r w:rsidRPr="00097838">
        <w:rPr>
          <w:rFonts w:ascii="Calibri" w:eastAsia="MS Mincho" w:hAnsi="Calibri" w:cs="Calibri"/>
        </w:rPr>
        <w:t xml:space="preserve"> a č. </w:t>
      </w:r>
      <w:r w:rsidR="00986922">
        <w:rPr>
          <w:rFonts w:ascii="Calibri" w:eastAsia="MS Mincho" w:hAnsi="Calibri" w:cs="Calibri"/>
        </w:rPr>
        <w:t>8</w:t>
      </w:r>
      <w:r w:rsidRPr="00097838">
        <w:rPr>
          <w:rFonts w:ascii="Calibri" w:eastAsia="MS Mincho" w:hAnsi="Calibri" w:cs="Calibri"/>
        </w:rPr>
        <w:t xml:space="preserve"> vyplývá, že cenové rozdíly za jednotlivé speciální výkony se pohybovaly </w:t>
      </w:r>
      <w:r w:rsidR="00CF1C18">
        <w:rPr>
          <w:rFonts w:ascii="Calibri" w:eastAsia="MS Mincho" w:hAnsi="Calibri" w:cs="Calibri"/>
        </w:rPr>
        <w:t xml:space="preserve">v rozmezí </w:t>
      </w:r>
      <w:r w:rsidRPr="00097838">
        <w:rPr>
          <w:rFonts w:ascii="Calibri" w:eastAsia="MS Mincho" w:hAnsi="Calibri" w:cs="Calibri"/>
        </w:rPr>
        <w:t>od 6 % do 46 %.</w:t>
      </w:r>
    </w:p>
    <w:p w14:paraId="713F8D2A" w14:textId="77777777" w:rsidR="00097838" w:rsidRPr="00097838" w:rsidRDefault="00097838" w:rsidP="00097838">
      <w:pPr>
        <w:rPr>
          <w:rFonts w:ascii="Calibri" w:eastAsia="MS Mincho" w:hAnsi="Calibri" w:cs="Calibri"/>
        </w:rPr>
      </w:pPr>
    </w:p>
    <w:p w14:paraId="2E177F5E" w14:textId="0FB2E5B6" w:rsidR="00097838" w:rsidRPr="00097838" w:rsidRDefault="00097838" w:rsidP="00097838">
      <w:pPr>
        <w:rPr>
          <w:rFonts w:ascii="Calibri" w:eastAsia="MS Mincho" w:hAnsi="Calibri" w:cs="Calibri"/>
        </w:rPr>
      </w:pPr>
      <w:r w:rsidRPr="00097838">
        <w:rPr>
          <w:rFonts w:ascii="Calibri" w:eastAsia="MS Mincho" w:hAnsi="Calibri" w:cs="Calibri"/>
        </w:rPr>
        <w:t xml:space="preserve">Kontrolou NKÚ bylo zjištěno, že </w:t>
      </w:r>
      <w:r w:rsidRPr="00097838">
        <w:rPr>
          <w:rFonts w:eastAsia="MS Mincho"/>
        </w:rPr>
        <w:t>se sedmi</w:t>
      </w:r>
      <w:r w:rsidRPr="00097838">
        <w:rPr>
          <w:rFonts w:eastAsia="Times New Roman"/>
        </w:rPr>
        <w:t xml:space="preserve"> poskytovateli</w:t>
      </w:r>
      <w:r w:rsidR="00E068D6">
        <w:rPr>
          <w:rFonts w:eastAsia="Times New Roman"/>
        </w:rPr>
        <w:t xml:space="preserve"> </w:t>
      </w:r>
      <w:r w:rsidRPr="00097838">
        <w:rPr>
          <w:rFonts w:eastAsia="Times New Roman"/>
        </w:rPr>
        <w:t xml:space="preserve">lázeňských léčebně rehabilitačních služeb ZP MV ČR </w:t>
      </w:r>
      <w:r w:rsidRPr="00097838">
        <w:rPr>
          <w:rFonts w:eastAsia="MS Mincho"/>
        </w:rPr>
        <w:t>sjednala v dodatcích ke smlouvám u 16 shodných indikací rozdíln</w:t>
      </w:r>
      <w:r w:rsidR="008061BB">
        <w:rPr>
          <w:rFonts w:eastAsia="MS Mincho"/>
        </w:rPr>
        <w:t>é</w:t>
      </w:r>
      <w:r w:rsidRPr="00097838">
        <w:rPr>
          <w:rFonts w:eastAsia="MS Mincho"/>
        </w:rPr>
        <w:t xml:space="preserve"> cen</w:t>
      </w:r>
      <w:r w:rsidR="008061BB">
        <w:rPr>
          <w:rFonts w:eastAsia="MS Mincho"/>
        </w:rPr>
        <w:t>y</w:t>
      </w:r>
      <w:r w:rsidRPr="00097838">
        <w:rPr>
          <w:rFonts w:eastAsia="MS Mincho"/>
        </w:rPr>
        <w:t xml:space="preserve"> za léčení </w:t>
      </w:r>
      <w:r w:rsidR="008061BB">
        <w:rPr>
          <w:rFonts w:eastAsia="MS Mincho"/>
        </w:rPr>
        <w:t>(</w:t>
      </w:r>
      <w:r w:rsidR="008061BB" w:rsidRPr="008061BB">
        <w:rPr>
          <w:rFonts w:eastAsia="MS Mincho"/>
        </w:rPr>
        <w:t>v rozmezí od 428 Kč do 704 Kč na osobu a den</w:t>
      </w:r>
      <w:r w:rsidR="008061BB">
        <w:rPr>
          <w:rFonts w:eastAsia="MS Mincho"/>
        </w:rPr>
        <w:t xml:space="preserve">). </w:t>
      </w:r>
      <w:r w:rsidRPr="00097838">
        <w:rPr>
          <w:rFonts w:eastAsia="MS Mincho"/>
        </w:rPr>
        <w:t>Se čtyřmi poskytovateli sjednala odlišné ceny za stejnou kategorii ubytování</w:t>
      </w:r>
      <w:r w:rsidR="008061BB">
        <w:rPr>
          <w:rFonts w:eastAsia="MS Mincho"/>
        </w:rPr>
        <w:t xml:space="preserve"> (</w:t>
      </w:r>
      <w:r w:rsidR="008061BB" w:rsidRPr="008061BB">
        <w:rPr>
          <w:rFonts w:eastAsia="MS Mincho"/>
        </w:rPr>
        <w:t>v rozmezí od 321 Kč do 453 Kč na osobu a den</w:t>
      </w:r>
      <w:r w:rsidR="008061BB">
        <w:rPr>
          <w:rFonts w:eastAsia="MS Mincho"/>
        </w:rPr>
        <w:t>).</w:t>
      </w:r>
      <w:r w:rsidRPr="00097838">
        <w:rPr>
          <w:rFonts w:ascii="Calibri" w:eastAsia="MS Mincho" w:hAnsi="Calibri" w:cs="Calibri"/>
        </w:rPr>
        <w:t xml:space="preserve"> </w:t>
      </w:r>
      <w:r w:rsidRPr="00097838">
        <w:rPr>
          <w:rFonts w:eastAsia="Times New Roman"/>
        </w:rPr>
        <w:t>Kritéria ani důvody pro takto rozdílně stanovené ceny léčení a ubytování ZP MV ČR ne</w:t>
      </w:r>
      <w:r w:rsidR="000F562C">
        <w:rPr>
          <w:rFonts w:eastAsia="Times New Roman"/>
        </w:rPr>
        <w:t>uvedla</w:t>
      </w:r>
      <w:r w:rsidRPr="00097838">
        <w:rPr>
          <w:rFonts w:eastAsia="Times New Roman"/>
        </w:rPr>
        <w:t>.</w:t>
      </w:r>
    </w:p>
    <w:p w14:paraId="567DFD68" w14:textId="77777777" w:rsidR="00097838" w:rsidRPr="00097838" w:rsidRDefault="00097838" w:rsidP="00097838">
      <w:pPr>
        <w:rPr>
          <w:rFonts w:eastAsia="Times New Roman"/>
        </w:rPr>
      </w:pPr>
    </w:p>
    <w:p w14:paraId="3A6F6AD4" w14:textId="1A7D289B" w:rsidR="00097838" w:rsidRDefault="00097838" w:rsidP="00097838">
      <w:pPr>
        <w:rPr>
          <w:rFonts w:eastAsia="Times New Roman"/>
        </w:rPr>
      </w:pPr>
      <w:r w:rsidRPr="00097838">
        <w:rPr>
          <w:rFonts w:eastAsia="Times New Roman"/>
        </w:rPr>
        <w:t>NKÚ opakovaně upozorňuje na značná rizika v možnosti uzavírat v rámci veřejného zdravotního pojištění dodatky</w:t>
      </w:r>
      <w:r w:rsidR="00BD6A7F">
        <w:rPr>
          <w:rFonts w:eastAsia="Times New Roman"/>
        </w:rPr>
        <w:t xml:space="preserve"> ke smlouvám</w:t>
      </w:r>
      <w:r w:rsidRPr="00097838">
        <w:rPr>
          <w:rFonts w:eastAsia="Times New Roman"/>
        </w:rPr>
        <w:t xml:space="preserve"> bez omezujících podmínek. Tento postup, který platné právní předpisy připouštějí, umožňuje subjektivní a nerovný přístup zdravotních pojišťoven vůči poskytovatelům zdravotních i lázeňských služeb.</w:t>
      </w:r>
    </w:p>
    <w:p w14:paraId="290CA237" w14:textId="77777777" w:rsidR="00A64D88" w:rsidRDefault="00A64D88" w:rsidP="00097838">
      <w:pPr>
        <w:rPr>
          <w:rFonts w:eastAsia="Times New Roman"/>
        </w:rPr>
      </w:pPr>
    </w:p>
    <w:p w14:paraId="37F0102C" w14:textId="34A62CBC" w:rsidR="00097838" w:rsidRPr="00097838" w:rsidRDefault="00D9451E" w:rsidP="004034ED">
      <w:pPr>
        <w:pStyle w:val="Nadpis3"/>
        <w:spacing w:before="0"/>
        <w:ind w:left="567" w:hanging="567"/>
      </w:pPr>
      <w:r>
        <w:t>S</w:t>
      </w:r>
      <w:r w:rsidR="00097838" w:rsidRPr="00097838">
        <w:t xml:space="preserve">ystémové nedostatky </w:t>
      </w:r>
      <w:r w:rsidR="00A32F40">
        <w:t xml:space="preserve">zjištěné </w:t>
      </w:r>
      <w:r w:rsidR="00097838" w:rsidRPr="00097838">
        <w:t xml:space="preserve">v oblasti </w:t>
      </w:r>
      <w:r w:rsidR="008061BB">
        <w:t xml:space="preserve">úhrad </w:t>
      </w:r>
      <w:r w:rsidR="00097838" w:rsidRPr="00097838">
        <w:t xml:space="preserve">zdravotních služeb </w:t>
      </w:r>
    </w:p>
    <w:p w14:paraId="0FA94679" w14:textId="2A95AD0B" w:rsidR="00097838" w:rsidRPr="00C524B7" w:rsidRDefault="00097838" w:rsidP="004034ED">
      <w:pPr>
        <w:pStyle w:val="Nadpis4"/>
        <w:spacing w:before="120"/>
        <w:rPr>
          <w:b/>
        </w:rPr>
      </w:pPr>
      <w:r w:rsidRPr="00C524B7">
        <w:rPr>
          <w:b/>
        </w:rPr>
        <w:t>Formy a výše úhrad</w:t>
      </w:r>
      <w:r w:rsidR="004D031A" w:rsidRPr="00C524B7">
        <w:rPr>
          <w:b/>
        </w:rPr>
        <w:t xml:space="preserve"> praktickým lékařům</w:t>
      </w:r>
    </w:p>
    <w:p w14:paraId="6C01454E" w14:textId="05C8F7FE" w:rsidR="00097838" w:rsidRPr="000E7E8D" w:rsidRDefault="008606BA" w:rsidP="00097838">
      <w:pPr>
        <w:rPr>
          <w:rFonts w:eastAsia="Times New Roman"/>
        </w:rPr>
      </w:pPr>
      <w:r>
        <w:rPr>
          <w:rFonts w:eastAsia="Times New Roman"/>
        </w:rPr>
        <w:t xml:space="preserve">ZP MV ČR praktickým lékařům </w:t>
      </w:r>
      <w:r w:rsidR="00330A33">
        <w:rPr>
          <w:rFonts w:eastAsia="Times New Roman"/>
        </w:rPr>
        <w:t>platila</w:t>
      </w:r>
      <w:r>
        <w:rPr>
          <w:rFonts w:eastAsia="Times New Roman"/>
        </w:rPr>
        <w:t xml:space="preserve"> formou kombinované kapitačně výkonové platby nebo výkonovým způsobem. </w:t>
      </w:r>
      <w:r w:rsidR="00097838" w:rsidRPr="00097838">
        <w:rPr>
          <w:rFonts w:eastAsia="Times New Roman"/>
        </w:rPr>
        <w:t>V přílohách k úhradovým vyhláškám</w:t>
      </w:r>
      <w:r w:rsidR="005C13F7">
        <w:rPr>
          <w:rStyle w:val="Znakapoznpodarou"/>
          <w:rFonts w:eastAsia="Times New Roman"/>
        </w:rPr>
        <w:footnoteReference w:id="25"/>
      </w:r>
      <w:r w:rsidR="00097838" w:rsidRPr="00097838">
        <w:rPr>
          <w:rFonts w:eastAsia="Times New Roman"/>
        </w:rPr>
        <w:t xml:space="preserve"> jsou uvedeny formy a výše úhrad dle jednotlivých segmentů. Příloha č. 2 úhradových vyhlášek jako jednu z forem </w:t>
      </w:r>
      <w:r w:rsidR="00097838" w:rsidRPr="00D9451E">
        <w:rPr>
          <w:rFonts w:eastAsia="Times New Roman"/>
        </w:rPr>
        <w:t>úhrady všeobecný</w:t>
      </w:r>
      <w:r w:rsidR="00330A33">
        <w:rPr>
          <w:rFonts w:eastAsia="Times New Roman"/>
        </w:rPr>
        <w:t>m</w:t>
      </w:r>
      <w:r w:rsidR="00097838" w:rsidRPr="00D9451E">
        <w:rPr>
          <w:rFonts w:eastAsia="Times New Roman"/>
        </w:rPr>
        <w:t xml:space="preserve"> praktický</w:t>
      </w:r>
      <w:r w:rsidR="00330A33">
        <w:rPr>
          <w:rFonts w:eastAsia="Times New Roman"/>
        </w:rPr>
        <w:t>m</w:t>
      </w:r>
      <w:r w:rsidR="00097838" w:rsidRPr="00D9451E">
        <w:rPr>
          <w:rFonts w:eastAsia="Times New Roman"/>
        </w:rPr>
        <w:t xml:space="preserve"> lékařů</w:t>
      </w:r>
      <w:r w:rsidR="00330A33">
        <w:rPr>
          <w:rFonts w:eastAsia="Times New Roman"/>
        </w:rPr>
        <w:t>m</w:t>
      </w:r>
      <w:r w:rsidR="00097838" w:rsidRPr="00D9451E">
        <w:rPr>
          <w:rFonts w:eastAsia="Times New Roman"/>
        </w:rPr>
        <w:t xml:space="preserve"> </w:t>
      </w:r>
      <w:r w:rsidR="00097838" w:rsidRPr="00097838">
        <w:rPr>
          <w:rFonts w:eastAsia="Times New Roman"/>
        </w:rPr>
        <w:t>pro dospělé a praktický</w:t>
      </w:r>
      <w:r w:rsidR="00330A33">
        <w:rPr>
          <w:rFonts w:eastAsia="Times New Roman"/>
        </w:rPr>
        <w:t>m</w:t>
      </w:r>
      <w:r w:rsidR="00097838" w:rsidRPr="00097838">
        <w:rPr>
          <w:rFonts w:eastAsia="Times New Roman"/>
        </w:rPr>
        <w:t xml:space="preserve"> lékařů</w:t>
      </w:r>
      <w:r w:rsidR="00330A33">
        <w:rPr>
          <w:rFonts w:eastAsia="Times New Roman"/>
        </w:rPr>
        <w:t>m</w:t>
      </w:r>
      <w:r w:rsidR="00097838" w:rsidRPr="00097838">
        <w:rPr>
          <w:rFonts w:eastAsia="Times New Roman"/>
        </w:rPr>
        <w:t xml:space="preserve"> pro děti a dorost uvád</w:t>
      </w:r>
      <w:r w:rsidR="00330A33">
        <w:rPr>
          <w:rFonts w:eastAsia="Times New Roman"/>
        </w:rPr>
        <w:t>í</w:t>
      </w:r>
      <w:r w:rsidR="00097838" w:rsidRPr="00097838">
        <w:rPr>
          <w:rFonts w:eastAsia="Times New Roman"/>
        </w:rPr>
        <w:t xml:space="preserve"> „kombinovanou kapitačně výkonovou platbu“</w:t>
      </w:r>
      <w:r w:rsidR="00097838" w:rsidRPr="00097838">
        <w:rPr>
          <w:rFonts w:eastAsia="Times New Roman"/>
          <w:vertAlign w:val="superscript"/>
        </w:rPr>
        <w:footnoteReference w:id="26"/>
      </w:r>
      <w:r w:rsidR="00097838" w:rsidRPr="00097838">
        <w:rPr>
          <w:rFonts w:eastAsia="Times New Roman"/>
        </w:rPr>
        <w:t xml:space="preserve">. </w:t>
      </w:r>
      <w:r w:rsidR="00097838" w:rsidRPr="00097838">
        <w:rPr>
          <w:rFonts w:eastAsia="Times New Roman"/>
          <w:b/>
        </w:rPr>
        <w:t xml:space="preserve">Měsíční kapitační platba </w:t>
      </w:r>
      <w:r w:rsidR="00D9451E">
        <w:rPr>
          <w:rFonts w:eastAsia="Times New Roman"/>
          <w:b/>
        </w:rPr>
        <w:t xml:space="preserve">hrazená praktickým lékařům </w:t>
      </w:r>
      <w:r w:rsidR="00097838" w:rsidRPr="00097838">
        <w:rPr>
          <w:rFonts w:eastAsia="Times New Roman"/>
          <w:b/>
        </w:rPr>
        <w:t>není závislá na poskytnutí zdravotní služby</w:t>
      </w:r>
      <w:r w:rsidR="00097838" w:rsidRPr="004034ED">
        <w:rPr>
          <w:rFonts w:eastAsia="Times New Roman"/>
          <w:b/>
        </w:rPr>
        <w:t>,</w:t>
      </w:r>
      <w:r w:rsidR="00097838" w:rsidRPr="00097838">
        <w:rPr>
          <w:rFonts w:eastAsia="Times New Roman"/>
        </w:rPr>
        <w:t xml:space="preserve"> přestože zákon </w:t>
      </w:r>
      <w:r w:rsidR="008061BB">
        <w:rPr>
          <w:rFonts w:eastAsia="Times New Roman"/>
        </w:rPr>
        <w:t xml:space="preserve">o veřejném </w:t>
      </w:r>
      <w:r w:rsidR="008061BB">
        <w:rPr>
          <w:rFonts w:eastAsia="Times New Roman"/>
        </w:rPr>
        <w:lastRenderedPageBreak/>
        <w:t>zdravotním pojištění</w:t>
      </w:r>
      <w:r w:rsidR="000E7E8D">
        <w:rPr>
          <w:rFonts w:eastAsia="Times New Roman"/>
        </w:rPr>
        <w:t xml:space="preserve"> mj. stanoví, </w:t>
      </w:r>
      <w:r w:rsidR="000E7E8D" w:rsidRPr="000E7E8D">
        <w:rPr>
          <w:rFonts w:eastAsia="Times New Roman"/>
        </w:rPr>
        <w:t>že z</w:t>
      </w:r>
      <w:r w:rsidR="00097838" w:rsidRPr="000E7E8D">
        <w:rPr>
          <w:rFonts w:eastAsia="Times New Roman"/>
        </w:rPr>
        <w:t>e zdravotního pojištění se hradí zdravotní služby poskytnuté pojištěnci s cílem zlepšit nebo zachovat jeho zdravotní stav</w:t>
      </w:r>
      <w:r w:rsidR="000E7E8D" w:rsidRPr="00097838">
        <w:rPr>
          <w:vertAlign w:val="superscript"/>
        </w:rPr>
        <w:footnoteReference w:id="27"/>
      </w:r>
      <w:r w:rsidR="000E7E8D">
        <w:rPr>
          <w:rFonts w:eastAsia="Times New Roman"/>
        </w:rPr>
        <w:t>.</w:t>
      </w:r>
      <w:r w:rsidR="00097838" w:rsidRPr="000E7E8D">
        <w:rPr>
          <w:rFonts w:eastAsia="Times New Roman"/>
        </w:rPr>
        <w:t xml:space="preserve"> </w:t>
      </w:r>
    </w:p>
    <w:p w14:paraId="07CCA7C4" w14:textId="6EFF4556" w:rsidR="00097838" w:rsidRPr="00C524B7" w:rsidRDefault="004D031A" w:rsidP="00D720C1">
      <w:pPr>
        <w:pStyle w:val="Nadpis4"/>
        <w:rPr>
          <w:b/>
        </w:rPr>
      </w:pPr>
      <w:r w:rsidRPr="00C524B7">
        <w:rPr>
          <w:b/>
        </w:rPr>
        <w:t>Zdravotní výkony nezařazené do s</w:t>
      </w:r>
      <w:r w:rsidR="00097838" w:rsidRPr="00C524B7">
        <w:rPr>
          <w:b/>
        </w:rPr>
        <w:t>eznam</w:t>
      </w:r>
      <w:r w:rsidRPr="00C524B7">
        <w:rPr>
          <w:b/>
        </w:rPr>
        <w:t>u</w:t>
      </w:r>
      <w:r w:rsidR="00097838" w:rsidRPr="00C524B7">
        <w:rPr>
          <w:b/>
        </w:rPr>
        <w:t xml:space="preserve"> zdravotních výkonů s bodovými hodnotami</w:t>
      </w:r>
    </w:p>
    <w:p w14:paraId="514CC95E" w14:textId="4E3310D8" w:rsidR="00097838" w:rsidRPr="00097838" w:rsidRDefault="008606BA" w:rsidP="00097838">
      <w:pPr>
        <w:spacing w:before="120" w:after="120"/>
        <w:outlineLvl w:val="2"/>
        <w:rPr>
          <w:rFonts w:eastAsia="Times New Roman"/>
        </w:rPr>
      </w:pPr>
      <w:r>
        <w:rPr>
          <w:rFonts w:eastAsia="Times New Roman"/>
        </w:rPr>
        <w:t xml:space="preserve">ZP MV ČR hradila převážně výkony uvedené v </w:t>
      </w:r>
      <w:r w:rsidR="00330A33" w:rsidRPr="004034ED">
        <w:rPr>
          <w:rFonts w:eastAsia="Times New Roman"/>
          <w:i/>
        </w:rPr>
        <w:t>s</w:t>
      </w:r>
      <w:r w:rsidR="00097838" w:rsidRPr="004034ED">
        <w:rPr>
          <w:rFonts w:eastAsia="Times New Roman"/>
          <w:i/>
        </w:rPr>
        <w:t>eznam</w:t>
      </w:r>
      <w:r w:rsidRPr="004034ED">
        <w:rPr>
          <w:rFonts w:eastAsia="Times New Roman"/>
          <w:i/>
        </w:rPr>
        <w:t>u</w:t>
      </w:r>
      <w:r w:rsidR="00097838" w:rsidRPr="004034ED">
        <w:rPr>
          <w:rFonts w:eastAsia="Times New Roman"/>
          <w:i/>
        </w:rPr>
        <w:t xml:space="preserve"> zdravotn</w:t>
      </w:r>
      <w:r w:rsidR="00EF042A" w:rsidRPr="004034ED">
        <w:rPr>
          <w:rFonts w:eastAsia="Times New Roman"/>
          <w:i/>
        </w:rPr>
        <w:t>ích výkonů s bodovými hodnotami</w:t>
      </w:r>
      <w:r>
        <w:rPr>
          <w:rFonts w:eastAsia="Times New Roman"/>
        </w:rPr>
        <w:t>, který</w:t>
      </w:r>
      <w:r w:rsidR="00097838" w:rsidRPr="00097838">
        <w:rPr>
          <w:rFonts w:eastAsia="Times New Roman"/>
        </w:rPr>
        <w:t xml:space="preserve"> </w:t>
      </w:r>
      <w:r w:rsidR="008E3617">
        <w:rPr>
          <w:rFonts w:eastAsia="Times New Roman"/>
        </w:rPr>
        <w:t>stanovuje</w:t>
      </w:r>
      <w:r w:rsidR="00097838" w:rsidRPr="00097838">
        <w:rPr>
          <w:rFonts w:eastAsia="Times New Roman"/>
        </w:rPr>
        <w:t xml:space="preserve"> MZd vyhlášk</w:t>
      </w:r>
      <w:r w:rsidR="00EF042A">
        <w:rPr>
          <w:rFonts w:eastAsia="Times New Roman"/>
        </w:rPr>
        <w:t>ou</w:t>
      </w:r>
      <w:r w:rsidR="00097838" w:rsidRPr="00097838">
        <w:rPr>
          <w:vertAlign w:val="superscript"/>
        </w:rPr>
        <w:footnoteReference w:id="28"/>
      </w:r>
      <w:r w:rsidR="008061BB">
        <w:rPr>
          <w:rFonts w:eastAsia="Times New Roman"/>
        </w:rPr>
        <w:t>.</w:t>
      </w:r>
      <w:r w:rsidR="00097838" w:rsidRPr="00097838">
        <w:rPr>
          <w:rFonts w:eastAsia="Times New Roman"/>
        </w:rPr>
        <w:t xml:space="preserve"> Seznam zdravotních výkonů mj. rozděluje výkony do kategorií (na plně hrazené a na hrazené za určitých podmínek) a stanoví obecná pravidla pro vykazování výkonů (např. nositele výkonů, omezení místem provedení, čas, frekvenci). Ve výjimečných případech může zdravotní pojišťovna hradit zdravotní služby neuvedené v seznamu výkonů, je-li jejich poskytnutí jedinou možností z hlediska zdravotního stavu pojištěnce.</w:t>
      </w:r>
    </w:p>
    <w:p w14:paraId="09D5F9B6" w14:textId="32EF0968" w:rsidR="00097838" w:rsidRPr="000F081F" w:rsidRDefault="00097838" w:rsidP="00097838">
      <w:pPr>
        <w:outlineLvl w:val="2"/>
        <w:rPr>
          <w:rFonts w:eastAsia="MS Mincho"/>
          <w:b/>
          <w:color w:val="000000"/>
        </w:rPr>
      </w:pPr>
      <w:r w:rsidRPr="00097838">
        <w:rPr>
          <w:rFonts w:eastAsia="Times New Roman"/>
        </w:rPr>
        <w:t>ZP MV ČR v letech 2012 až 2014 uhradila za výkony neuvedené v seznamu zdravotních výkonů</w:t>
      </w:r>
      <w:r w:rsidR="00B30C98">
        <w:rPr>
          <w:rFonts w:eastAsia="Times New Roman"/>
        </w:rPr>
        <w:t xml:space="preserve"> </w:t>
      </w:r>
      <w:r w:rsidRPr="00097838">
        <w:rPr>
          <w:rFonts w:eastAsia="Times New Roman"/>
        </w:rPr>
        <w:t>celkem 629 278 859 Kč (mimo stomatologi</w:t>
      </w:r>
      <w:r w:rsidR="00FB7F31">
        <w:rPr>
          <w:rFonts w:eastAsia="Times New Roman"/>
        </w:rPr>
        <w:t>ckých výkonů</w:t>
      </w:r>
      <w:r w:rsidRPr="00097838">
        <w:rPr>
          <w:rFonts w:eastAsia="Times New Roman"/>
        </w:rPr>
        <w:t xml:space="preserve">). </w:t>
      </w:r>
      <w:r w:rsidR="008606BA">
        <w:rPr>
          <w:rFonts w:eastAsia="Times New Roman"/>
        </w:rPr>
        <w:t xml:space="preserve">Mezi nejčetnější </w:t>
      </w:r>
      <w:r w:rsidR="00330A33">
        <w:rPr>
          <w:rFonts w:eastAsia="Times New Roman"/>
        </w:rPr>
        <w:t xml:space="preserve">výkony neuvedené </w:t>
      </w:r>
      <w:r w:rsidR="008606BA">
        <w:rPr>
          <w:rFonts w:eastAsia="Times New Roman"/>
        </w:rPr>
        <w:t xml:space="preserve">ve vyhlášce patřila dlouhodobá intenzivní </w:t>
      </w:r>
      <w:r w:rsidR="00330A33">
        <w:rPr>
          <w:rFonts w:eastAsia="Times New Roman"/>
        </w:rPr>
        <w:t xml:space="preserve">péče </w:t>
      </w:r>
      <w:r w:rsidR="008606BA">
        <w:rPr>
          <w:rFonts w:eastAsia="Times New Roman"/>
        </w:rPr>
        <w:t xml:space="preserve">a dlouhodobá intenzivní ošetřovatelská péče. </w:t>
      </w:r>
      <w:r w:rsidR="000F081F" w:rsidRPr="000F081F">
        <w:rPr>
          <w:rFonts w:eastAsia="Times New Roman"/>
          <w:b/>
        </w:rPr>
        <w:t>Podmínk</w:t>
      </w:r>
      <w:r w:rsidR="000F081F">
        <w:rPr>
          <w:rFonts w:eastAsia="Times New Roman"/>
          <w:b/>
        </w:rPr>
        <w:t>y</w:t>
      </w:r>
      <w:r w:rsidR="000F081F" w:rsidRPr="000F081F">
        <w:rPr>
          <w:rFonts w:eastAsia="Times New Roman"/>
          <w:b/>
        </w:rPr>
        <w:t xml:space="preserve"> a výše úhrad </w:t>
      </w:r>
      <w:r w:rsidR="00413803">
        <w:rPr>
          <w:rFonts w:eastAsia="Times New Roman"/>
          <w:b/>
        </w:rPr>
        <w:t xml:space="preserve">v těchto oblastech </w:t>
      </w:r>
      <w:r w:rsidR="000F081F">
        <w:rPr>
          <w:rFonts w:eastAsia="Times New Roman"/>
          <w:b/>
        </w:rPr>
        <w:t xml:space="preserve">vyhláška nestanoví, přestože </w:t>
      </w:r>
      <w:r w:rsidR="008606BA">
        <w:rPr>
          <w:rFonts w:eastAsia="Times New Roman"/>
          <w:b/>
        </w:rPr>
        <w:t xml:space="preserve">dle sdělení ZP MV ČR </w:t>
      </w:r>
      <w:r w:rsidR="000F081F">
        <w:rPr>
          <w:rFonts w:eastAsia="Times New Roman"/>
          <w:b/>
        </w:rPr>
        <w:t xml:space="preserve">se MZd zařazením těchto výkonů do vyhlášky </w:t>
      </w:r>
      <w:r w:rsidRPr="000F081F">
        <w:rPr>
          <w:rFonts w:eastAsia="Times New Roman"/>
          <w:b/>
        </w:rPr>
        <w:t>zabýv</w:t>
      </w:r>
      <w:r w:rsidR="000F081F">
        <w:rPr>
          <w:rFonts w:eastAsia="Times New Roman"/>
          <w:b/>
        </w:rPr>
        <w:t>á</w:t>
      </w:r>
      <w:r w:rsidRPr="000F081F">
        <w:rPr>
          <w:rFonts w:eastAsia="Times New Roman"/>
          <w:b/>
        </w:rPr>
        <w:t xml:space="preserve"> více n</w:t>
      </w:r>
      <w:r w:rsidR="000F081F">
        <w:rPr>
          <w:rFonts w:eastAsia="Times New Roman"/>
          <w:b/>
        </w:rPr>
        <w:t xml:space="preserve">ež </w:t>
      </w:r>
      <w:r w:rsidR="008061BB">
        <w:rPr>
          <w:rFonts w:eastAsia="Times New Roman"/>
          <w:b/>
        </w:rPr>
        <w:t>10</w:t>
      </w:r>
      <w:r w:rsidR="000F081F">
        <w:rPr>
          <w:rFonts w:eastAsia="Times New Roman"/>
          <w:b/>
        </w:rPr>
        <w:t xml:space="preserve"> let.</w:t>
      </w:r>
    </w:p>
    <w:p w14:paraId="70D9776F" w14:textId="77777777" w:rsidR="00097838" w:rsidRPr="00097838" w:rsidRDefault="00097838" w:rsidP="00097838">
      <w:pPr>
        <w:rPr>
          <w:rFonts w:eastAsia="Times New Roman"/>
        </w:rPr>
      </w:pPr>
    </w:p>
    <w:p w14:paraId="64B7EF7F" w14:textId="2A51C982" w:rsidR="00A64D88" w:rsidRDefault="00097838" w:rsidP="00097838">
      <w:pPr>
        <w:widowControl w:val="0"/>
        <w:rPr>
          <w:rFonts w:eastAsia="Times New Roman"/>
        </w:rPr>
      </w:pPr>
      <w:r w:rsidRPr="00097838">
        <w:rPr>
          <w:rFonts w:eastAsia="Times New Roman"/>
        </w:rPr>
        <w:t xml:space="preserve">Novela zákona </w:t>
      </w:r>
      <w:r w:rsidR="008061BB">
        <w:rPr>
          <w:rFonts w:eastAsia="Times New Roman"/>
        </w:rPr>
        <w:t>o veřejném zdravotním pojištění</w:t>
      </w:r>
      <w:r w:rsidRPr="00097838">
        <w:rPr>
          <w:rFonts w:eastAsia="Times New Roman"/>
          <w:vertAlign w:val="superscript"/>
        </w:rPr>
        <w:footnoteReference w:id="29"/>
      </w:r>
      <w:r w:rsidRPr="00097838">
        <w:rPr>
          <w:rFonts w:eastAsia="Times New Roman"/>
        </w:rPr>
        <w:t xml:space="preserve"> účinná od 1. 9. 2015 </w:t>
      </w:r>
      <w:r w:rsidR="003D3D71">
        <w:rPr>
          <w:rFonts w:eastAsia="Times New Roman"/>
        </w:rPr>
        <w:t xml:space="preserve">nově </w:t>
      </w:r>
      <w:r w:rsidRPr="00097838">
        <w:rPr>
          <w:rFonts w:eastAsia="Times New Roman"/>
        </w:rPr>
        <w:t>upravuje postup MZd při zařazování, změně</w:t>
      </w:r>
      <w:r w:rsidR="003D3D71">
        <w:rPr>
          <w:rFonts w:eastAsia="Times New Roman"/>
        </w:rPr>
        <w:t xml:space="preserve"> a </w:t>
      </w:r>
      <w:r w:rsidRPr="00097838">
        <w:rPr>
          <w:rFonts w:eastAsia="Times New Roman"/>
        </w:rPr>
        <w:t xml:space="preserve">vyřazení výkonu ze seznamu </w:t>
      </w:r>
      <w:r w:rsidR="003D3D71">
        <w:rPr>
          <w:rFonts w:eastAsia="Times New Roman"/>
        </w:rPr>
        <w:t xml:space="preserve">zdravotních </w:t>
      </w:r>
      <w:r w:rsidRPr="00097838">
        <w:rPr>
          <w:rFonts w:eastAsia="Times New Roman"/>
        </w:rPr>
        <w:t>výkonů</w:t>
      </w:r>
      <w:r w:rsidR="003D3D71">
        <w:rPr>
          <w:rFonts w:eastAsia="Times New Roman"/>
        </w:rPr>
        <w:t xml:space="preserve"> s bodovými hodnotami. MZd zveřejní veškeré </w:t>
      </w:r>
      <w:r w:rsidRPr="00097838">
        <w:rPr>
          <w:rFonts w:eastAsia="Times New Roman"/>
        </w:rPr>
        <w:t>návrh</w:t>
      </w:r>
      <w:r w:rsidR="003D3D71">
        <w:rPr>
          <w:rFonts w:eastAsia="Times New Roman"/>
        </w:rPr>
        <w:t>y</w:t>
      </w:r>
      <w:r w:rsidRPr="00097838">
        <w:rPr>
          <w:rFonts w:eastAsia="Times New Roman"/>
        </w:rPr>
        <w:t xml:space="preserve"> </w:t>
      </w:r>
      <w:r w:rsidR="003D3D71">
        <w:rPr>
          <w:rFonts w:eastAsia="Times New Roman"/>
        </w:rPr>
        <w:t xml:space="preserve">na zařazení výkonů do seznamu </w:t>
      </w:r>
      <w:r w:rsidRPr="00097838">
        <w:rPr>
          <w:rFonts w:eastAsia="Times New Roman"/>
        </w:rPr>
        <w:t xml:space="preserve">na svých internetových stránkách. </w:t>
      </w:r>
      <w:r w:rsidR="003D3D71">
        <w:rPr>
          <w:rFonts w:eastAsia="Times New Roman"/>
        </w:rPr>
        <w:t>Novela však n</w:t>
      </w:r>
      <w:r w:rsidRPr="00097838">
        <w:rPr>
          <w:rFonts w:eastAsia="Times New Roman"/>
        </w:rPr>
        <w:t xml:space="preserve">estanoví termíny pro projednání </w:t>
      </w:r>
      <w:r w:rsidR="003D3D71">
        <w:rPr>
          <w:rFonts w:eastAsia="Times New Roman"/>
        </w:rPr>
        <w:t xml:space="preserve">těchto </w:t>
      </w:r>
      <w:r w:rsidRPr="00097838">
        <w:rPr>
          <w:rFonts w:eastAsia="Times New Roman"/>
        </w:rPr>
        <w:t>návrhů.</w:t>
      </w:r>
    </w:p>
    <w:p w14:paraId="1EAC36B4" w14:textId="77777777" w:rsidR="00485942" w:rsidRPr="00097838" w:rsidRDefault="00485942" w:rsidP="00097838">
      <w:pPr>
        <w:widowControl w:val="0"/>
        <w:rPr>
          <w:rFonts w:eastAsia="Times New Roman"/>
        </w:rPr>
      </w:pPr>
    </w:p>
    <w:p w14:paraId="470F6951" w14:textId="77777777" w:rsidR="00097838" w:rsidRPr="00485942" w:rsidRDefault="00097838" w:rsidP="00372D59">
      <w:pPr>
        <w:pStyle w:val="Nadpis2"/>
        <w:spacing w:before="0"/>
        <w:ind w:left="426" w:hanging="426"/>
        <w:rPr>
          <w:sz w:val="24"/>
          <w:szCs w:val="24"/>
        </w:rPr>
      </w:pPr>
      <w:r w:rsidRPr="00485942">
        <w:rPr>
          <w:sz w:val="24"/>
          <w:szCs w:val="24"/>
        </w:rPr>
        <w:t>Kontrolní činnost v oblasti zdravotních služeb</w:t>
      </w:r>
    </w:p>
    <w:p w14:paraId="1ECAC925" w14:textId="5EB16386" w:rsidR="001F759C" w:rsidRDefault="00097838" w:rsidP="00097838">
      <w:pPr>
        <w:rPr>
          <w:rFonts w:eastAsia="Times New Roman"/>
        </w:rPr>
      </w:pPr>
      <w:r w:rsidRPr="00097838">
        <w:rPr>
          <w:rFonts w:eastAsia="Times New Roman"/>
        </w:rPr>
        <w:t>ZP MV ČR v letech 2012 až 2014 ke kontrole vykázaných zdravotních služeb využívala především vlastní informační systém</w:t>
      </w:r>
      <w:r w:rsidR="00625507">
        <w:rPr>
          <w:rFonts w:eastAsia="Times New Roman"/>
        </w:rPr>
        <w:t xml:space="preserve">, který odhalil mj. </w:t>
      </w:r>
      <w:r w:rsidR="00625507" w:rsidRPr="00097838">
        <w:rPr>
          <w:rFonts w:eastAsia="Times New Roman"/>
        </w:rPr>
        <w:t>vysokou míru chybovosti ve vykazování poskytnutých zdravotních služeb poskytovateli ZS.</w:t>
      </w:r>
      <w:r w:rsidRPr="00097838">
        <w:rPr>
          <w:rFonts w:eastAsia="Times New Roman"/>
        </w:rPr>
        <w:t xml:space="preserve"> </w:t>
      </w:r>
    </w:p>
    <w:p w14:paraId="3BA50587" w14:textId="77777777" w:rsidR="008061BB" w:rsidRDefault="008061BB" w:rsidP="00097838">
      <w:pPr>
        <w:rPr>
          <w:rFonts w:eastAsia="Times New Roman"/>
        </w:rPr>
      </w:pPr>
    </w:p>
    <w:p w14:paraId="3EAC533F" w14:textId="51A536F0" w:rsidR="00576EBE" w:rsidRDefault="00097838" w:rsidP="00097838">
      <w:pPr>
        <w:rPr>
          <w:rFonts w:eastAsia="Times New Roman"/>
        </w:rPr>
      </w:pPr>
      <w:r w:rsidRPr="00097838">
        <w:rPr>
          <w:rFonts w:eastAsia="Times New Roman"/>
        </w:rPr>
        <w:t>Fyzické kontroly ZP MV ČR provedla u 1,3 % poskytovatelů ZS; zjištěné nedostatky činily v letech 2012 až 2013 celkem 30 101 tis. Kč. U dod</w:t>
      </w:r>
      <w:r w:rsidR="002E4CA1">
        <w:rPr>
          <w:rFonts w:eastAsia="Times New Roman"/>
        </w:rPr>
        <w:t>avatelů ZPr provedla ZP MV ČR v </w:t>
      </w:r>
      <w:r w:rsidRPr="00097838">
        <w:rPr>
          <w:rFonts w:eastAsia="Times New Roman"/>
        </w:rPr>
        <w:t>kontrolovaném období dvě kontroly a zjistila nedostatky ve výši 296 tis. Kč.</w:t>
      </w:r>
      <w:r w:rsidR="00576EBE">
        <w:rPr>
          <w:rFonts w:eastAsia="Times New Roman"/>
        </w:rPr>
        <w:t xml:space="preserve"> </w:t>
      </w:r>
    </w:p>
    <w:p w14:paraId="5D578B55" w14:textId="77777777" w:rsidR="00A64D88" w:rsidRDefault="00A64D88" w:rsidP="00097838">
      <w:pPr>
        <w:rPr>
          <w:rFonts w:eastAsia="Times New Roman"/>
        </w:rPr>
      </w:pPr>
    </w:p>
    <w:p w14:paraId="4DA80F74" w14:textId="5A56E3D7" w:rsidR="0027151E" w:rsidRPr="00372D59" w:rsidRDefault="0027151E" w:rsidP="00372D59">
      <w:pPr>
        <w:pStyle w:val="Nadpis1"/>
        <w:spacing w:before="0"/>
        <w:ind w:left="284" w:hanging="284"/>
        <w:rPr>
          <w:sz w:val="28"/>
          <w:szCs w:val="28"/>
          <w:shd w:val="clear" w:color="auto" w:fill="DBE5F1" w:themeFill="accent1" w:themeFillTint="33"/>
        </w:rPr>
      </w:pPr>
      <w:r w:rsidRPr="00372D59">
        <w:rPr>
          <w:sz w:val="28"/>
          <w:szCs w:val="28"/>
        </w:rPr>
        <w:t>Fondy ZP MV ČR</w:t>
      </w:r>
      <w:bookmarkEnd w:id="9"/>
    </w:p>
    <w:p w14:paraId="4365AEAE" w14:textId="66D64D16" w:rsidR="0027151E" w:rsidRPr="0027151E" w:rsidRDefault="0027151E" w:rsidP="00322DD5">
      <w:pPr>
        <w:widowControl w:val="0"/>
        <w:rPr>
          <w:rFonts w:eastAsia="Times New Roman" w:cstheme="minorHAnsi"/>
          <w:szCs w:val="24"/>
          <w:shd w:val="clear" w:color="auto" w:fill="DBE5F1" w:themeFill="accent1" w:themeFillTint="33"/>
        </w:rPr>
      </w:pPr>
      <w:r w:rsidRPr="0027151E">
        <w:rPr>
          <w:rFonts w:eastAsia="Times New Roman" w:cstheme="minorHAnsi"/>
          <w:szCs w:val="24"/>
        </w:rPr>
        <w:t>Druhy, tvorbu, čerpání a správu fondů ZP MV ČR upravuje zákon č. 280/1992 Sb. a prováděcí vyhláška k tomuto zákonu</w:t>
      </w:r>
      <w:r w:rsidR="0005312D">
        <w:rPr>
          <w:rStyle w:val="Znakapoznpodarou"/>
          <w:rFonts w:eastAsia="Times New Roman" w:cstheme="minorHAnsi"/>
          <w:szCs w:val="24"/>
        </w:rPr>
        <w:footnoteReference w:id="30"/>
      </w:r>
      <w:r w:rsidRPr="0027151E">
        <w:rPr>
          <w:rFonts w:eastAsia="Times New Roman" w:cstheme="minorHAnsi"/>
          <w:szCs w:val="24"/>
        </w:rPr>
        <w:t xml:space="preserve">. Tato kontrolní akce byla zaměřena na fondy ZP MV ČR uvedené </w:t>
      </w:r>
      <w:r w:rsidRPr="008061BB">
        <w:rPr>
          <w:rFonts w:eastAsia="Times New Roman" w:cstheme="minorHAnsi"/>
          <w:szCs w:val="24"/>
        </w:rPr>
        <w:t>v</w:t>
      </w:r>
      <w:r w:rsidR="00620A48">
        <w:rPr>
          <w:rFonts w:eastAsia="Times New Roman" w:cstheme="minorHAnsi"/>
          <w:szCs w:val="24"/>
        </w:rPr>
        <w:t> </w:t>
      </w:r>
      <w:r w:rsidRPr="008061BB">
        <w:rPr>
          <w:rFonts w:eastAsia="Times New Roman" w:cstheme="minorHAnsi"/>
          <w:szCs w:val="24"/>
        </w:rPr>
        <w:t xml:space="preserve"> tabulce č. </w:t>
      </w:r>
      <w:r w:rsidR="007652C1" w:rsidRPr="008061BB">
        <w:rPr>
          <w:rFonts w:eastAsia="Times New Roman" w:cstheme="minorHAnsi"/>
          <w:szCs w:val="24"/>
        </w:rPr>
        <w:t>9</w:t>
      </w:r>
      <w:r w:rsidRPr="008061BB">
        <w:rPr>
          <w:rFonts w:eastAsia="Times New Roman" w:cstheme="minorHAnsi"/>
          <w:szCs w:val="24"/>
        </w:rPr>
        <w:t xml:space="preserve"> a na vybrané prodeje majetku evidovaného</w:t>
      </w:r>
      <w:r w:rsidR="00A505B6" w:rsidRPr="008061BB">
        <w:rPr>
          <w:rFonts w:eastAsia="Times New Roman" w:cstheme="minorHAnsi"/>
          <w:szCs w:val="24"/>
        </w:rPr>
        <w:t xml:space="preserve"> ve fondu investičního</w:t>
      </w:r>
      <w:r w:rsidR="00A505B6">
        <w:rPr>
          <w:rFonts w:eastAsia="Times New Roman" w:cstheme="minorHAnsi"/>
          <w:szCs w:val="24"/>
        </w:rPr>
        <w:t xml:space="preserve"> majetku.</w:t>
      </w:r>
    </w:p>
    <w:p w14:paraId="481076F0" w14:textId="77CA996F" w:rsidR="00E82917" w:rsidRPr="00B929F6" w:rsidRDefault="00E82917" w:rsidP="00492E1B">
      <w:pPr>
        <w:jc w:val="left"/>
        <w:rPr>
          <w:rFonts w:eastAsia="Times New Roman" w:cstheme="minorHAnsi"/>
          <w:szCs w:val="24"/>
        </w:rPr>
      </w:pPr>
      <w:bookmarkStart w:id="14" w:name="_Toc431818670"/>
    </w:p>
    <w:p w14:paraId="4ACE5EA7" w14:textId="77777777" w:rsidR="00372D59" w:rsidRDefault="00372D59">
      <w:pPr>
        <w:jc w:val="left"/>
        <w:rPr>
          <w:rFonts w:ascii="Calibri" w:eastAsia="Times New Roman" w:hAnsi="Calibri" w:cs="Times New Roman"/>
          <w:b/>
          <w:szCs w:val="24"/>
          <w:lang w:eastAsia="cs-CZ"/>
        </w:rPr>
      </w:pPr>
      <w:r>
        <w:rPr>
          <w:b/>
        </w:rPr>
        <w:br w:type="page"/>
      </w:r>
    </w:p>
    <w:p w14:paraId="3002D886" w14:textId="4885A9C2" w:rsidR="00E82917" w:rsidRPr="00372D59" w:rsidRDefault="00C45BBD" w:rsidP="00C45BBD">
      <w:pPr>
        <w:pStyle w:val="Nzevtabulky"/>
        <w:numPr>
          <w:ilvl w:val="0"/>
          <w:numId w:val="0"/>
        </w:numPr>
        <w:tabs>
          <w:tab w:val="right" w:pos="9070"/>
        </w:tabs>
        <w:rPr>
          <w:b/>
        </w:rPr>
      </w:pPr>
      <w:r w:rsidRPr="00372D59">
        <w:rPr>
          <w:b/>
        </w:rPr>
        <w:lastRenderedPageBreak/>
        <w:t>Tabulka č. 9</w:t>
      </w:r>
      <w:r w:rsidR="00B929F6">
        <w:rPr>
          <w:b/>
        </w:rPr>
        <w:t xml:space="preserve"> –</w:t>
      </w:r>
      <w:r w:rsidRPr="00372D59">
        <w:rPr>
          <w:b/>
        </w:rPr>
        <w:t xml:space="preserve"> </w:t>
      </w:r>
      <w:r w:rsidR="00E82917" w:rsidRPr="00372D59">
        <w:rPr>
          <w:b/>
        </w:rPr>
        <w:t>Tvorba, čerpání a zůstatky kontrolovaných fondů ZP MV ČR</w:t>
      </w:r>
      <w:r w:rsidR="00E82917" w:rsidRPr="00372D59">
        <w:rPr>
          <w:b/>
        </w:rPr>
        <w:tab/>
        <w:t>(v tis. Kč)</w:t>
      </w: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89"/>
        <w:gridCol w:w="1830"/>
        <w:gridCol w:w="1789"/>
      </w:tblGrid>
      <w:tr w:rsidR="00E82917" w:rsidRPr="007A2187" w14:paraId="772ACF67" w14:textId="77777777" w:rsidTr="00372D59">
        <w:trPr>
          <w:cantSplit/>
          <w:trHeight w:val="227"/>
        </w:trPr>
        <w:tc>
          <w:tcPr>
            <w:tcW w:w="3005" w:type="pct"/>
            <w:gridSpan w:val="2"/>
            <w:shd w:val="clear" w:color="auto" w:fill="C6D9F1" w:themeFill="text2" w:themeFillTint="33"/>
            <w:vAlign w:val="center"/>
          </w:tcPr>
          <w:p w14:paraId="783964CB" w14:textId="77777777" w:rsidR="00E82917" w:rsidRPr="00372D59" w:rsidRDefault="00E82917" w:rsidP="00455570">
            <w:pPr>
              <w:pStyle w:val="tabulka"/>
              <w:rPr>
                <w:b/>
                <w:sz w:val="16"/>
                <w:szCs w:val="16"/>
              </w:rPr>
            </w:pPr>
            <w:r w:rsidRPr="00372D59">
              <w:rPr>
                <w:b/>
                <w:sz w:val="16"/>
                <w:szCs w:val="16"/>
              </w:rPr>
              <w:t>Fond</w:t>
            </w:r>
          </w:p>
        </w:tc>
        <w:tc>
          <w:tcPr>
            <w:tcW w:w="1009" w:type="pct"/>
            <w:shd w:val="clear" w:color="auto" w:fill="C6D9F1" w:themeFill="text2" w:themeFillTint="33"/>
            <w:vAlign w:val="center"/>
          </w:tcPr>
          <w:p w14:paraId="4CDCB0F6" w14:textId="77777777" w:rsidR="00E82917" w:rsidRPr="00372D59" w:rsidRDefault="00E82917" w:rsidP="00455570">
            <w:pPr>
              <w:pStyle w:val="tabulka"/>
              <w:jc w:val="center"/>
              <w:rPr>
                <w:b/>
                <w:sz w:val="16"/>
                <w:szCs w:val="16"/>
              </w:rPr>
            </w:pPr>
            <w:r w:rsidRPr="00372D59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86" w:type="pct"/>
            <w:shd w:val="clear" w:color="auto" w:fill="C6D9F1" w:themeFill="text2" w:themeFillTint="33"/>
            <w:vAlign w:val="center"/>
          </w:tcPr>
          <w:p w14:paraId="497DB8E4" w14:textId="77777777" w:rsidR="00E82917" w:rsidRPr="00372D59" w:rsidRDefault="00E82917" w:rsidP="00455570">
            <w:pPr>
              <w:pStyle w:val="tabulka"/>
              <w:jc w:val="center"/>
              <w:rPr>
                <w:b/>
                <w:sz w:val="16"/>
                <w:szCs w:val="16"/>
              </w:rPr>
            </w:pPr>
            <w:r w:rsidRPr="00372D59">
              <w:rPr>
                <w:b/>
                <w:sz w:val="16"/>
                <w:szCs w:val="16"/>
              </w:rPr>
              <w:t>2013</w:t>
            </w:r>
          </w:p>
        </w:tc>
      </w:tr>
      <w:tr w:rsidR="00E82917" w:rsidRPr="000E34D4" w14:paraId="05E9E114" w14:textId="77777777" w:rsidTr="00455570">
        <w:trPr>
          <w:trHeight w:val="227"/>
        </w:trPr>
        <w:tc>
          <w:tcPr>
            <w:tcW w:w="1798" w:type="pct"/>
            <w:vMerge w:val="restart"/>
            <w:shd w:val="clear" w:color="auto" w:fill="auto"/>
            <w:vAlign w:val="center"/>
          </w:tcPr>
          <w:p w14:paraId="406394AF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Základní fond zdravotního pojištění</w:t>
            </w:r>
          </w:p>
        </w:tc>
        <w:tc>
          <w:tcPr>
            <w:tcW w:w="1207" w:type="pct"/>
            <w:vAlign w:val="center"/>
          </w:tcPr>
          <w:p w14:paraId="474BD790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Tvorba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3998EEC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25 008 602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50CC4E1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24 554 850</w:t>
            </w:r>
          </w:p>
        </w:tc>
      </w:tr>
      <w:tr w:rsidR="00E82917" w:rsidRPr="000E34D4" w14:paraId="16E3DC27" w14:textId="77777777" w:rsidTr="00455570">
        <w:trPr>
          <w:trHeight w:val="227"/>
        </w:trPr>
        <w:tc>
          <w:tcPr>
            <w:tcW w:w="1798" w:type="pct"/>
            <w:vMerge/>
            <w:shd w:val="clear" w:color="auto" w:fill="auto"/>
            <w:vAlign w:val="center"/>
          </w:tcPr>
          <w:p w14:paraId="786C811F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7" w:type="pct"/>
            <w:vAlign w:val="center"/>
          </w:tcPr>
          <w:p w14:paraId="75A27FB0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Čerpání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760985D6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24 882 780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660492B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24 860 187</w:t>
            </w:r>
          </w:p>
        </w:tc>
      </w:tr>
      <w:tr w:rsidR="00E82917" w:rsidRPr="000E34D4" w14:paraId="1FDF5FA7" w14:textId="77777777" w:rsidTr="00455570">
        <w:trPr>
          <w:trHeight w:val="227"/>
        </w:trPr>
        <w:tc>
          <w:tcPr>
            <w:tcW w:w="1798" w:type="pct"/>
            <w:vMerge/>
            <w:shd w:val="clear" w:color="auto" w:fill="auto"/>
            <w:vAlign w:val="center"/>
          </w:tcPr>
          <w:p w14:paraId="3E817C5D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7" w:type="pct"/>
            <w:vAlign w:val="center"/>
          </w:tcPr>
          <w:p w14:paraId="088CDE78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 xml:space="preserve">Zůstatek k 31. 12. 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F3F5D8A" w14:textId="77777777" w:rsidR="00E82917" w:rsidRPr="00671DC8" w:rsidDel="0052351E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3 497 715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CF43698" w14:textId="77777777" w:rsidR="00E82917" w:rsidRPr="00671DC8" w:rsidDel="0052351E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3 192 378</w:t>
            </w:r>
          </w:p>
        </w:tc>
      </w:tr>
      <w:tr w:rsidR="00E82917" w:rsidRPr="000E34D4" w14:paraId="024E0A32" w14:textId="77777777" w:rsidTr="00455570">
        <w:trPr>
          <w:trHeight w:val="227"/>
        </w:trPr>
        <w:tc>
          <w:tcPr>
            <w:tcW w:w="1798" w:type="pct"/>
            <w:vMerge w:val="restart"/>
            <w:shd w:val="clear" w:color="auto" w:fill="auto"/>
            <w:vAlign w:val="center"/>
          </w:tcPr>
          <w:p w14:paraId="57655BDD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Provozní fond</w:t>
            </w:r>
          </w:p>
        </w:tc>
        <w:tc>
          <w:tcPr>
            <w:tcW w:w="1207" w:type="pct"/>
            <w:vAlign w:val="center"/>
          </w:tcPr>
          <w:p w14:paraId="66821116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Tvorba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6D67719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724 879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CA3C876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828 185</w:t>
            </w:r>
          </w:p>
        </w:tc>
      </w:tr>
      <w:tr w:rsidR="00E82917" w:rsidRPr="000E34D4" w14:paraId="4EDEBDE8" w14:textId="77777777" w:rsidTr="00455570">
        <w:trPr>
          <w:trHeight w:val="227"/>
        </w:trPr>
        <w:tc>
          <w:tcPr>
            <w:tcW w:w="1798" w:type="pct"/>
            <w:vMerge/>
            <w:shd w:val="clear" w:color="auto" w:fill="auto"/>
            <w:vAlign w:val="center"/>
          </w:tcPr>
          <w:p w14:paraId="06E9E3E7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7" w:type="pct"/>
            <w:vAlign w:val="center"/>
          </w:tcPr>
          <w:p w14:paraId="55D8D030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Čerpání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79B7A5E7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635 845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5649617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685 834</w:t>
            </w:r>
          </w:p>
        </w:tc>
      </w:tr>
      <w:tr w:rsidR="00E82917" w:rsidRPr="000E34D4" w14:paraId="3C9300A3" w14:textId="77777777" w:rsidTr="00455570">
        <w:trPr>
          <w:trHeight w:val="227"/>
        </w:trPr>
        <w:tc>
          <w:tcPr>
            <w:tcW w:w="1798" w:type="pct"/>
            <w:vMerge/>
            <w:shd w:val="clear" w:color="auto" w:fill="auto"/>
            <w:vAlign w:val="center"/>
          </w:tcPr>
          <w:p w14:paraId="5228470B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7" w:type="pct"/>
            <w:vAlign w:val="center"/>
          </w:tcPr>
          <w:p w14:paraId="6E3A620F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 xml:space="preserve">Zůstatek k 31. 12. 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0D0DD53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1 005 486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7C78700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1 147 837</w:t>
            </w:r>
          </w:p>
        </w:tc>
      </w:tr>
      <w:tr w:rsidR="00E82917" w:rsidRPr="000E34D4" w14:paraId="488B2CDB" w14:textId="77777777" w:rsidTr="00455570">
        <w:trPr>
          <w:trHeight w:val="227"/>
        </w:trPr>
        <w:tc>
          <w:tcPr>
            <w:tcW w:w="1798" w:type="pct"/>
            <w:vMerge w:val="restart"/>
            <w:shd w:val="clear" w:color="auto" w:fill="auto"/>
            <w:vAlign w:val="center"/>
          </w:tcPr>
          <w:p w14:paraId="6E8C4DF2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Fond prevence</w:t>
            </w:r>
          </w:p>
        </w:tc>
        <w:tc>
          <w:tcPr>
            <w:tcW w:w="1207" w:type="pct"/>
            <w:vAlign w:val="center"/>
          </w:tcPr>
          <w:p w14:paraId="179729DD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Tvorba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D2DBAF6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148 461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E6A2144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135 311</w:t>
            </w:r>
          </w:p>
        </w:tc>
      </w:tr>
      <w:tr w:rsidR="00E82917" w:rsidRPr="000E34D4" w14:paraId="68A5039D" w14:textId="77777777" w:rsidTr="00455570">
        <w:trPr>
          <w:trHeight w:val="227"/>
        </w:trPr>
        <w:tc>
          <w:tcPr>
            <w:tcW w:w="1798" w:type="pct"/>
            <w:vMerge/>
            <w:shd w:val="clear" w:color="auto" w:fill="auto"/>
            <w:vAlign w:val="center"/>
          </w:tcPr>
          <w:p w14:paraId="1E44B0D7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7" w:type="pct"/>
            <w:vAlign w:val="center"/>
          </w:tcPr>
          <w:p w14:paraId="4C40F56E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Čerpání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7314682E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96 456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0EDAA23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97 548</w:t>
            </w:r>
          </w:p>
        </w:tc>
      </w:tr>
      <w:tr w:rsidR="00E82917" w:rsidRPr="000E34D4" w14:paraId="6A86A290" w14:textId="77777777" w:rsidTr="00455570">
        <w:trPr>
          <w:trHeight w:val="227"/>
        </w:trPr>
        <w:tc>
          <w:tcPr>
            <w:tcW w:w="1798" w:type="pct"/>
            <w:vMerge/>
            <w:shd w:val="clear" w:color="auto" w:fill="auto"/>
            <w:vAlign w:val="center"/>
          </w:tcPr>
          <w:p w14:paraId="1D888477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7" w:type="pct"/>
            <w:vAlign w:val="center"/>
          </w:tcPr>
          <w:p w14:paraId="194E8853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 xml:space="preserve">Zůstatek k 31. 12. 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74D08961" w14:textId="77777777" w:rsidR="00E82917" w:rsidRPr="00671DC8" w:rsidDel="0052351E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102 127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F333509" w14:textId="77777777" w:rsidR="00E82917" w:rsidRPr="00671DC8" w:rsidDel="0052351E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139 890</w:t>
            </w:r>
          </w:p>
        </w:tc>
      </w:tr>
      <w:tr w:rsidR="00E82917" w:rsidRPr="000E34D4" w14:paraId="1E6FC429" w14:textId="77777777" w:rsidTr="00455570">
        <w:trPr>
          <w:trHeight w:val="227"/>
        </w:trPr>
        <w:tc>
          <w:tcPr>
            <w:tcW w:w="1798" w:type="pct"/>
            <w:vMerge w:val="restart"/>
            <w:shd w:val="clear" w:color="auto" w:fill="auto"/>
            <w:vAlign w:val="center"/>
          </w:tcPr>
          <w:p w14:paraId="4A1757BC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Fond reprodukce investičního majetku</w:t>
            </w:r>
          </w:p>
        </w:tc>
        <w:tc>
          <w:tcPr>
            <w:tcW w:w="1207" w:type="pct"/>
            <w:vAlign w:val="center"/>
          </w:tcPr>
          <w:p w14:paraId="7C8DB6F0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Tvorba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3B007C0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73 542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326469C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94 184</w:t>
            </w:r>
          </w:p>
        </w:tc>
      </w:tr>
      <w:tr w:rsidR="00E82917" w:rsidRPr="000E34D4" w14:paraId="31EB9AC3" w14:textId="77777777" w:rsidTr="00455570">
        <w:trPr>
          <w:trHeight w:val="227"/>
        </w:trPr>
        <w:tc>
          <w:tcPr>
            <w:tcW w:w="1798" w:type="pct"/>
            <w:vMerge/>
            <w:shd w:val="clear" w:color="auto" w:fill="auto"/>
            <w:vAlign w:val="center"/>
          </w:tcPr>
          <w:p w14:paraId="40C52B8A" w14:textId="77777777" w:rsidR="00E82917" w:rsidRPr="000E34D4" w:rsidRDefault="00E82917" w:rsidP="00455570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14:paraId="67243462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Čerpání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72FA78FA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27 740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E0005CF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16 008</w:t>
            </w:r>
          </w:p>
        </w:tc>
      </w:tr>
      <w:tr w:rsidR="00E82917" w:rsidRPr="000E34D4" w14:paraId="092F0CD6" w14:textId="77777777" w:rsidTr="00455570">
        <w:trPr>
          <w:trHeight w:val="227"/>
        </w:trPr>
        <w:tc>
          <w:tcPr>
            <w:tcW w:w="1798" w:type="pct"/>
            <w:vMerge/>
            <w:shd w:val="clear" w:color="auto" w:fill="auto"/>
            <w:vAlign w:val="center"/>
          </w:tcPr>
          <w:p w14:paraId="369CE609" w14:textId="77777777" w:rsidR="00E82917" w:rsidRPr="000E34D4" w:rsidRDefault="00E82917" w:rsidP="00455570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14:paraId="3C31ADC7" w14:textId="77777777" w:rsidR="00E82917" w:rsidRPr="00671DC8" w:rsidRDefault="00E82917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 xml:space="preserve">Zůstatek k 31. 12. 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8E48235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539 706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1642011" w14:textId="77777777" w:rsidR="00E82917" w:rsidRPr="00671DC8" w:rsidRDefault="00E82917" w:rsidP="00455570">
            <w:pPr>
              <w:ind w:right="5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71DC8">
              <w:rPr>
                <w:rFonts w:ascii="Calibri" w:eastAsia="Times New Roman" w:hAnsi="Calibri" w:cs="Calibri"/>
                <w:sz w:val="16"/>
                <w:szCs w:val="16"/>
              </w:rPr>
              <w:t>617 882</w:t>
            </w:r>
          </w:p>
        </w:tc>
      </w:tr>
    </w:tbl>
    <w:p w14:paraId="6D0C2D5B" w14:textId="77777777" w:rsidR="00E82917" w:rsidRDefault="00E82917" w:rsidP="003764C4">
      <w:pPr>
        <w:pStyle w:val="Poznmka"/>
      </w:pPr>
      <w:r w:rsidRPr="00372D59">
        <w:rPr>
          <w:b/>
        </w:rPr>
        <w:t>Zdroj:</w:t>
      </w:r>
      <w:r w:rsidRPr="007A2187">
        <w:t xml:space="preserve"> výroční zprávy ZP MV ČR za roky 2012 a 2013.</w:t>
      </w:r>
    </w:p>
    <w:p w14:paraId="6934A06E" w14:textId="77777777" w:rsidR="00A64D88" w:rsidRPr="007A2187" w:rsidRDefault="00A64D88" w:rsidP="005748AA">
      <w:pPr>
        <w:pStyle w:val="Poznmka"/>
      </w:pPr>
    </w:p>
    <w:p w14:paraId="0F472626" w14:textId="0BE22211" w:rsidR="0027151E" w:rsidRPr="00456931" w:rsidRDefault="0027151E" w:rsidP="00372D59">
      <w:pPr>
        <w:pStyle w:val="Nadpis2"/>
        <w:spacing w:before="0"/>
        <w:ind w:left="426" w:hanging="426"/>
        <w:rPr>
          <w:b w:val="0"/>
          <w:szCs w:val="24"/>
        </w:rPr>
      </w:pPr>
      <w:r w:rsidRPr="00372D59">
        <w:rPr>
          <w:sz w:val="24"/>
          <w:szCs w:val="24"/>
        </w:rPr>
        <w:t>Základní fond zdravotního pojištění</w:t>
      </w:r>
      <w:bookmarkEnd w:id="14"/>
    </w:p>
    <w:p w14:paraId="7EC37D1E" w14:textId="2E6ABB0B" w:rsidR="00222A78" w:rsidRDefault="008061BB" w:rsidP="00222A78">
      <w:pPr>
        <w:contextualSpacing/>
        <w:rPr>
          <w:rFonts w:cs="Times New Roman"/>
          <w:szCs w:val="24"/>
        </w:rPr>
      </w:pPr>
      <w:bookmarkStart w:id="15" w:name="_Toc431818672"/>
      <w:r w:rsidRPr="00222A78">
        <w:rPr>
          <w:rFonts w:cs="Times New Roman"/>
          <w:szCs w:val="24"/>
        </w:rPr>
        <w:t xml:space="preserve">Základní fond </w:t>
      </w:r>
      <w:r w:rsidR="00413B11" w:rsidRPr="00222A78">
        <w:rPr>
          <w:rFonts w:cs="Times New Roman"/>
          <w:szCs w:val="24"/>
        </w:rPr>
        <w:t>zdravotního pojištění (dále také „základní fond“)</w:t>
      </w:r>
      <w:r w:rsidR="00413B11">
        <w:rPr>
          <w:rStyle w:val="Znakapoznpodarou"/>
          <w:rFonts w:cs="Times New Roman"/>
          <w:szCs w:val="24"/>
        </w:rPr>
        <w:footnoteReference w:id="31"/>
      </w:r>
      <w:r w:rsidR="00413B11">
        <w:rPr>
          <w:rFonts w:cs="Times New Roman"/>
          <w:szCs w:val="24"/>
        </w:rPr>
        <w:t xml:space="preserve"> </w:t>
      </w:r>
      <w:r w:rsidRPr="00222A78">
        <w:rPr>
          <w:rFonts w:cs="Times New Roman"/>
          <w:szCs w:val="24"/>
        </w:rPr>
        <w:t>slouží k úhradě poskytnutých hrazených služeb, k přídělům do vyjmeno</w:t>
      </w:r>
      <w:r w:rsidR="002E4CA1">
        <w:rPr>
          <w:rFonts w:cs="Times New Roman"/>
          <w:szCs w:val="24"/>
        </w:rPr>
        <w:t xml:space="preserve">vaných fondů a </w:t>
      </w:r>
      <w:r w:rsidR="00FA4D01">
        <w:rPr>
          <w:rFonts w:cs="Times New Roman"/>
          <w:szCs w:val="24"/>
        </w:rPr>
        <w:t>k </w:t>
      </w:r>
      <w:r w:rsidR="002E4CA1">
        <w:rPr>
          <w:rFonts w:cs="Times New Roman"/>
          <w:szCs w:val="24"/>
        </w:rPr>
        <w:t>dalším platbám v </w:t>
      </w:r>
      <w:r w:rsidRPr="00222A78">
        <w:rPr>
          <w:rFonts w:cs="Times New Roman"/>
          <w:szCs w:val="24"/>
        </w:rPr>
        <w:t xml:space="preserve">rozsahu stanoveném </w:t>
      </w:r>
      <w:r>
        <w:rPr>
          <w:rFonts w:cs="Times New Roman"/>
          <w:szCs w:val="24"/>
        </w:rPr>
        <w:t xml:space="preserve">zákonem o veřejném zdravotním pojištění nebo prováděcím právním předpisem. </w:t>
      </w:r>
      <w:r w:rsidR="00222A78" w:rsidRPr="00222A78">
        <w:rPr>
          <w:rFonts w:cs="Times New Roman"/>
          <w:szCs w:val="24"/>
        </w:rPr>
        <w:t>Zdrojem základního fondu jsou především platby pojistného na veřejné zdravotní pojištění</w:t>
      </w:r>
      <w:r w:rsidR="00413B11">
        <w:rPr>
          <w:rFonts w:cs="Times New Roman"/>
          <w:szCs w:val="24"/>
        </w:rPr>
        <w:t xml:space="preserve"> a další příjmy v rozsahu stanoveném prováděcím právním předpisem</w:t>
      </w:r>
      <w:r w:rsidR="00413B11">
        <w:rPr>
          <w:rStyle w:val="Znakapoznpodarou"/>
          <w:rFonts w:cs="Times New Roman"/>
          <w:szCs w:val="24"/>
        </w:rPr>
        <w:footnoteReference w:id="32"/>
      </w:r>
      <w:r w:rsidR="00222A78" w:rsidRPr="00222A78">
        <w:rPr>
          <w:rFonts w:cs="Times New Roman"/>
          <w:szCs w:val="24"/>
        </w:rPr>
        <w:t xml:space="preserve">. </w:t>
      </w:r>
    </w:p>
    <w:p w14:paraId="371AEE97" w14:textId="77777777" w:rsidR="009D77F5" w:rsidRPr="00222A78" w:rsidRDefault="009D77F5" w:rsidP="00222A78">
      <w:pPr>
        <w:contextualSpacing/>
        <w:rPr>
          <w:rFonts w:cs="Times New Roman"/>
          <w:szCs w:val="24"/>
        </w:rPr>
      </w:pPr>
    </w:p>
    <w:p w14:paraId="2CA3E5A1" w14:textId="7805920E" w:rsidR="00222A78" w:rsidRPr="00222A78" w:rsidRDefault="00222A78" w:rsidP="009D77F5">
      <w:bookmarkStart w:id="16" w:name="_Toc431818671"/>
      <w:r w:rsidRPr="00222A78">
        <w:rPr>
          <w:rFonts w:eastAsia="MS Mincho"/>
          <w:color w:val="000000"/>
        </w:rPr>
        <w:t xml:space="preserve">Kontrolou NKÚ bylo zjištěno, že SR schválila v roce 2008 </w:t>
      </w:r>
      <w:bookmarkEnd w:id="16"/>
      <w:r w:rsidRPr="00222A78">
        <w:rPr>
          <w:rFonts w:eastAsia="MS Mincho"/>
          <w:color w:val="000000"/>
        </w:rPr>
        <w:t xml:space="preserve">projekty </w:t>
      </w:r>
      <w:r w:rsidRPr="00372D59">
        <w:rPr>
          <w:i/>
        </w:rPr>
        <w:t>Systém integrované zdravotní péče</w:t>
      </w:r>
      <w:r w:rsidRPr="00222A78">
        <w:t xml:space="preserve"> (dále také „SIP“), </w:t>
      </w:r>
      <w:r w:rsidRPr="00372D59">
        <w:rPr>
          <w:i/>
        </w:rPr>
        <w:t>Karta života</w:t>
      </w:r>
      <w:r w:rsidRPr="00222A78">
        <w:t xml:space="preserve"> a </w:t>
      </w:r>
      <w:r w:rsidRPr="00372D59">
        <w:rPr>
          <w:i/>
        </w:rPr>
        <w:t>Léče</w:t>
      </w:r>
      <w:r w:rsidR="002E4CA1" w:rsidRPr="00372D59">
        <w:rPr>
          <w:i/>
        </w:rPr>
        <w:t>bné plány</w:t>
      </w:r>
      <w:r w:rsidR="00FA4D01" w:rsidRPr="00FA4D01">
        <w:rPr>
          <w:rStyle w:val="Znakapoznpodarou"/>
        </w:rPr>
        <w:t xml:space="preserve"> </w:t>
      </w:r>
      <w:r w:rsidR="00FA4D01" w:rsidRPr="00222A78">
        <w:rPr>
          <w:rStyle w:val="Znakapoznpodarou"/>
        </w:rPr>
        <w:footnoteReference w:id="33"/>
      </w:r>
      <w:r w:rsidR="002E4CA1">
        <w:t xml:space="preserve"> </w:t>
      </w:r>
      <w:r w:rsidR="00182125">
        <w:t xml:space="preserve">a že </w:t>
      </w:r>
      <w:r w:rsidR="002E4CA1">
        <w:t xml:space="preserve">ZP MV ČR </w:t>
      </w:r>
      <w:r w:rsidR="00FA4D01">
        <w:t xml:space="preserve">za tyto projekty </w:t>
      </w:r>
      <w:r w:rsidR="002E4CA1">
        <w:t>v </w:t>
      </w:r>
      <w:r w:rsidRPr="00222A78">
        <w:t>letech 2008 až 2014 uhradila ze základního fondu 13 044 506 Kč.</w:t>
      </w:r>
    </w:p>
    <w:p w14:paraId="1F3FDD37" w14:textId="77777777" w:rsidR="009D77F5" w:rsidRDefault="009D77F5" w:rsidP="00FF1ECC">
      <w:pPr>
        <w:rPr>
          <w:b/>
        </w:rPr>
      </w:pPr>
    </w:p>
    <w:p w14:paraId="4DAA92A3" w14:textId="576F363B" w:rsidR="00FF1ECC" w:rsidRDefault="00FF1ECC" w:rsidP="00FF1ECC">
      <w:r w:rsidRPr="00FF1ECC">
        <w:t>Za zapojení (registraci) do projektu SIP a hodnocení jiných poskytovatelů ZS nabídla ZP</w:t>
      </w:r>
      <w:r w:rsidR="003764C4">
        <w:t> </w:t>
      </w:r>
      <w:r w:rsidRPr="00FF1ECC">
        <w:t>MV</w:t>
      </w:r>
      <w:r w:rsidR="003764C4">
        <w:t> </w:t>
      </w:r>
      <w:r w:rsidRPr="00FF1ECC">
        <w:t>ČR praktickým lékařům finanční bonus ve formě zvýšené kapitační platby o 2 Kč</w:t>
      </w:r>
      <w:r w:rsidR="00C524B7">
        <w:t xml:space="preserve"> za každého </w:t>
      </w:r>
      <w:r w:rsidRPr="00FF1ECC">
        <w:t>zaregistrovaného pojištěnce</w:t>
      </w:r>
      <w:r>
        <w:t>.</w:t>
      </w:r>
    </w:p>
    <w:p w14:paraId="3FB11BC8" w14:textId="77777777" w:rsidR="00FF1ECC" w:rsidRDefault="00FF1ECC" w:rsidP="009D77F5"/>
    <w:p w14:paraId="56E1B711" w14:textId="063AC06A" w:rsidR="00FF1ECC" w:rsidRDefault="00FF1ECC" w:rsidP="00CA234C">
      <w:r>
        <w:t xml:space="preserve">Projekt </w:t>
      </w:r>
      <w:r w:rsidRPr="00372D59">
        <w:rPr>
          <w:i/>
        </w:rPr>
        <w:t>Karta života</w:t>
      </w:r>
      <w:r>
        <w:t xml:space="preserve"> (dále také „KŽ“) je součástí projektu SIP. V rámci tohoto projektu byli praktičtí lékaři finančně bonifikováni (ve výši 5 Kč měsíčně a 10 Kč pololetně a až 12 Kč ročně za </w:t>
      </w:r>
      <w:r w:rsidR="00C524B7">
        <w:t xml:space="preserve">každého </w:t>
      </w:r>
      <w:r>
        <w:t>registrovaného pojištěnce) za administrati</w:t>
      </w:r>
      <w:r w:rsidR="004D6EDD">
        <w:t xml:space="preserve">vní úkony spojené </w:t>
      </w:r>
      <w:r w:rsidR="003764C4">
        <w:t>s </w:t>
      </w:r>
      <w:r w:rsidR="004D6EDD">
        <w:t>aktualizací a </w:t>
      </w:r>
      <w:r>
        <w:t xml:space="preserve">verifikací dat na </w:t>
      </w:r>
      <w:r w:rsidR="003764C4">
        <w:t>„kartách života“</w:t>
      </w:r>
      <w:r>
        <w:t xml:space="preserve">; výši jednorázových bonusů stanovila ZP MV ČR na základě podílu bonifikovaných </w:t>
      </w:r>
      <w:r w:rsidR="003764C4">
        <w:t>„k</w:t>
      </w:r>
      <w:r>
        <w:t>aret života</w:t>
      </w:r>
      <w:r w:rsidR="003764C4">
        <w:t>“</w:t>
      </w:r>
      <w:r>
        <w:t xml:space="preserve"> k celkovému počtu svých pojištěnců.</w:t>
      </w:r>
    </w:p>
    <w:p w14:paraId="2BCAD024" w14:textId="77777777" w:rsidR="00EE3E79" w:rsidRDefault="00EE3E79" w:rsidP="00EE3E79">
      <w:pPr>
        <w:rPr>
          <w:b/>
        </w:rPr>
      </w:pPr>
    </w:p>
    <w:p w14:paraId="65A0D159" w14:textId="2AACF6D2" w:rsidR="00EE3E79" w:rsidRDefault="00EE3E79" w:rsidP="00EE3E79">
      <w:pPr>
        <w:rPr>
          <w:b/>
        </w:rPr>
      </w:pPr>
      <w:r w:rsidRPr="00222A78">
        <w:rPr>
          <w:b/>
        </w:rPr>
        <w:t xml:space="preserve">V letech 2009 až 2013 ZP MV ČR </w:t>
      </w:r>
      <w:r>
        <w:rPr>
          <w:b/>
        </w:rPr>
        <w:t>uhradila praktickým lékařům</w:t>
      </w:r>
      <w:r w:rsidRPr="00222A78">
        <w:rPr>
          <w:b/>
        </w:rPr>
        <w:t xml:space="preserve"> v rámci projektů SIP a K</w:t>
      </w:r>
      <w:r w:rsidR="003764C4">
        <w:rPr>
          <w:b/>
        </w:rPr>
        <w:t>Ž</w:t>
      </w:r>
      <w:r w:rsidRPr="00222A78">
        <w:rPr>
          <w:b/>
        </w:rPr>
        <w:t xml:space="preserve"> </w:t>
      </w:r>
      <w:r w:rsidR="003764C4">
        <w:rPr>
          <w:b/>
        </w:rPr>
        <w:t>z </w:t>
      </w:r>
      <w:r w:rsidRPr="00222A78">
        <w:rPr>
          <w:b/>
        </w:rPr>
        <w:t>prostředk</w:t>
      </w:r>
      <w:r w:rsidR="003764C4">
        <w:rPr>
          <w:b/>
        </w:rPr>
        <w:t>ů</w:t>
      </w:r>
      <w:r w:rsidRPr="00222A78">
        <w:rPr>
          <w:b/>
        </w:rPr>
        <w:t xml:space="preserve"> základního fondu </w:t>
      </w:r>
      <w:r w:rsidR="003764C4">
        <w:rPr>
          <w:b/>
        </w:rPr>
        <w:t>celkem</w:t>
      </w:r>
      <w:r w:rsidRPr="00222A78">
        <w:rPr>
          <w:b/>
        </w:rPr>
        <w:t xml:space="preserve"> 12 949 754 Kč</w:t>
      </w:r>
      <w:r>
        <w:rPr>
          <w:b/>
        </w:rPr>
        <w:t>,</w:t>
      </w:r>
      <w:r w:rsidRPr="00EE3E79">
        <w:rPr>
          <w:b/>
        </w:rPr>
        <w:t xml:space="preserve"> </w:t>
      </w:r>
      <w:r>
        <w:rPr>
          <w:b/>
        </w:rPr>
        <w:t xml:space="preserve">přestože za tyto prostředky nebyly poskytnuty pojištěncům zdravotní služby. Tento postup ZP MV ČR byl </w:t>
      </w:r>
      <w:r w:rsidR="004D6EDD">
        <w:rPr>
          <w:b/>
        </w:rPr>
        <w:t>v </w:t>
      </w:r>
      <w:r w:rsidRPr="00222A78">
        <w:rPr>
          <w:b/>
        </w:rPr>
        <w:t xml:space="preserve">rozporu </w:t>
      </w:r>
      <w:r>
        <w:rPr>
          <w:b/>
        </w:rPr>
        <w:t>se</w:t>
      </w:r>
      <w:r w:rsidRPr="00222A78">
        <w:rPr>
          <w:b/>
        </w:rPr>
        <w:t xml:space="preserve"> zákon</w:t>
      </w:r>
      <w:r>
        <w:rPr>
          <w:b/>
        </w:rPr>
        <w:t>em</w:t>
      </w:r>
      <w:r w:rsidRPr="00222A78">
        <w:rPr>
          <w:b/>
        </w:rPr>
        <w:t xml:space="preserve"> </w:t>
      </w:r>
      <w:r w:rsidR="00FF1ECC">
        <w:rPr>
          <w:b/>
        </w:rPr>
        <w:t>o veřejném zdravotním pojištění</w:t>
      </w:r>
      <w:r>
        <w:rPr>
          <w:rStyle w:val="Znakapoznpodarou"/>
          <w:b/>
        </w:rPr>
        <w:footnoteReference w:id="34"/>
      </w:r>
      <w:r w:rsidR="00FF1ECC">
        <w:rPr>
          <w:b/>
        </w:rPr>
        <w:t>.</w:t>
      </w:r>
    </w:p>
    <w:p w14:paraId="4BF18B07" w14:textId="77777777" w:rsidR="00EE3E79" w:rsidRDefault="00EE3E79" w:rsidP="00EE3E79">
      <w:pPr>
        <w:rPr>
          <w:b/>
        </w:rPr>
      </w:pPr>
    </w:p>
    <w:p w14:paraId="09B3FA05" w14:textId="0BB544AC" w:rsidR="00222A78" w:rsidRPr="00222A78" w:rsidRDefault="00222A78" w:rsidP="009D77F5">
      <w:r w:rsidRPr="00FF1ECC">
        <w:lastRenderedPageBreak/>
        <w:t xml:space="preserve">V rámci projektu </w:t>
      </w:r>
      <w:r w:rsidRPr="008E3BF1">
        <w:rPr>
          <w:i/>
        </w:rPr>
        <w:t>Léčebné plány</w:t>
      </w:r>
      <w:r w:rsidR="00EE3E79" w:rsidRPr="00FF1ECC">
        <w:t xml:space="preserve"> (dále také „LP“)</w:t>
      </w:r>
      <w:r w:rsidRPr="00FF1ECC">
        <w:t xml:space="preserve"> </w:t>
      </w:r>
      <w:r w:rsidR="003764C4" w:rsidRPr="00FF1ECC">
        <w:t xml:space="preserve">realizovala </w:t>
      </w:r>
      <w:r w:rsidRPr="00FF1ECC">
        <w:t>ZP MV ČR tři typy plánů</w:t>
      </w:r>
      <w:r w:rsidRPr="00222A78">
        <w:t xml:space="preserve"> zaměřující</w:t>
      </w:r>
      <w:r w:rsidR="003764C4">
        <w:t>ch</w:t>
      </w:r>
      <w:r w:rsidRPr="00222A78">
        <w:t xml:space="preserve"> se na </w:t>
      </w:r>
      <w:r w:rsidR="00D720C1">
        <w:t xml:space="preserve">léčbu </w:t>
      </w:r>
      <w:r w:rsidRPr="00222A78">
        <w:t>nejčastější</w:t>
      </w:r>
      <w:r w:rsidR="00D720C1">
        <w:t>ch</w:t>
      </w:r>
      <w:r w:rsidRPr="00222A78">
        <w:t xml:space="preserve"> chronick</w:t>
      </w:r>
      <w:r w:rsidR="00D720C1">
        <w:t>ých</w:t>
      </w:r>
      <w:r w:rsidRPr="00222A78">
        <w:t xml:space="preserve"> onemocnění</w:t>
      </w:r>
      <w:r w:rsidRPr="00222A78">
        <w:rPr>
          <w:rStyle w:val="Znakapoznpodarou"/>
        </w:rPr>
        <w:footnoteReference w:id="35"/>
      </w:r>
      <w:r w:rsidR="003764C4">
        <w:t>.</w:t>
      </w:r>
      <w:r w:rsidRPr="00222A78">
        <w:t xml:space="preserve"> Náklady na tento projekt za období let 2011 až 2013 činily 94 761 Kč a byly vázány na poskytnutí zdravotní služby.</w:t>
      </w:r>
    </w:p>
    <w:p w14:paraId="1432C374" w14:textId="77777777" w:rsidR="00222A78" w:rsidRPr="00222A78" w:rsidRDefault="00222A78" w:rsidP="00222A78"/>
    <w:p w14:paraId="7A80FD8C" w14:textId="5614BFA3" w:rsidR="00222A78" w:rsidRPr="008E3BF1" w:rsidRDefault="00C45BBD" w:rsidP="008E3BF1">
      <w:pPr>
        <w:pStyle w:val="Nzevtabulky"/>
        <w:numPr>
          <w:ilvl w:val="0"/>
          <w:numId w:val="0"/>
        </w:numPr>
        <w:ind w:left="1560" w:right="-2" w:hanging="1560"/>
        <w:jc w:val="left"/>
        <w:rPr>
          <w:b/>
        </w:rPr>
      </w:pPr>
      <w:r w:rsidRPr="008E3BF1">
        <w:rPr>
          <w:b/>
        </w:rPr>
        <w:t>Tabulka č. 10</w:t>
      </w:r>
      <w:r w:rsidR="003764C4">
        <w:rPr>
          <w:b/>
        </w:rPr>
        <w:t xml:space="preserve"> –</w:t>
      </w:r>
      <w:r w:rsidRPr="008E3BF1">
        <w:rPr>
          <w:b/>
        </w:rPr>
        <w:t xml:space="preserve"> </w:t>
      </w:r>
      <w:r w:rsidR="00222A78" w:rsidRPr="008E3BF1">
        <w:rPr>
          <w:b/>
        </w:rPr>
        <w:t xml:space="preserve">Vývoj </w:t>
      </w:r>
      <w:r w:rsidR="00D46EC9">
        <w:rPr>
          <w:b/>
        </w:rPr>
        <w:t>počtu</w:t>
      </w:r>
      <w:r w:rsidR="00222A78" w:rsidRPr="008E3BF1">
        <w:rPr>
          <w:b/>
        </w:rPr>
        <w:t xml:space="preserve"> poskytovatelů ZS a pojištěnců ZP MV ČR </w:t>
      </w:r>
      <w:r w:rsidR="00D46EC9">
        <w:rPr>
          <w:b/>
        </w:rPr>
        <w:t xml:space="preserve">zapojených do </w:t>
      </w:r>
      <w:r w:rsidR="00222A78" w:rsidRPr="008E3BF1">
        <w:rPr>
          <w:b/>
        </w:rPr>
        <w:t>projekt</w:t>
      </w:r>
      <w:r w:rsidR="00D46EC9">
        <w:rPr>
          <w:b/>
        </w:rPr>
        <w:t>ů</w:t>
      </w:r>
      <w:r w:rsidR="00222A78" w:rsidRPr="008E3BF1">
        <w:rPr>
          <w:b/>
        </w:rPr>
        <w:t xml:space="preserve"> </w:t>
      </w:r>
    </w:p>
    <w:tbl>
      <w:tblPr>
        <w:tblW w:w="4933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90"/>
        <w:gridCol w:w="1564"/>
        <w:gridCol w:w="1418"/>
        <w:gridCol w:w="1134"/>
        <w:gridCol w:w="1559"/>
        <w:gridCol w:w="1559"/>
      </w:tblGrid>
      <w:tr w:rsidR="00222A78" w:rsidRPr="00222A78" w14:paraId="0F872F16" w14:textId="77777777" w:rsidTr="008E3BF1">
        <w:trPr>
          <w:trHeight w:val="170"/>
        </w:trPr>
        <w:tc>
          <w:tcPr>
            <w:tcW w:w="863" w:type="dxa"/>
            <w:shd w:val="clear" w:color="auto" w:fill="C6D9F1" w:themeFill="text2" w:themeFillTint="33"/>
          </w:tcPr>
          <w:p w14:paraId="418BDDD8" w14:textId="77777777" w:rsidR="00222A78" w:rsidRPr="008E3BF1" w:rsidRDefault="00222A78" w:rsidP="00EE6B0D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8E3BF1">
              <w:rPr>
                <w:rFonts w:cs="Calibri"/>
                <w:b/>
                <w:sz w:val="16"/>
                <w:szCs w:val="16"/>
              </w:rPr>
              <w:t>Rok</w:t>
            </w:r>
          </w:p>
        </w:tc>
        <w:tc>
          <w:tcPr>
            <w:tcW w:w="3972" w:type="dxa"/>
            <w:gridSpan w:val="3"/>
            <w:shd w:val="clear" w:color="auto" w:fill="C6D9F1" w:themeFill="text2" w:themeFillTint="33"/>
          </w:tcPr>
          <w:p w14:paraId="2DCA7638" w14:textId="4E5C98AB" w:rsidR="00222A78" w:rsidRPr="008E3BF1" w:rsidRDefault="00222A78" w:rsidP="00D720C1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8E3BF1">
              <w:rPr>
                <w:rFonts w:cs="Calibri"/>
                <w:b/>
                <w:sz w:val="16"/>
                <w:szCs w:val="16"/>
              </w:rPr>
              <w:t xml:space="preserve">Počet </w:t>
            </w:r>
            <w:r w:rsidR="00D720C1" w:rsidRPr="008E3BF1">
              <w:rPr>
                <w:rFonts w:cs="Calibri"/>
                <w:b/>
                <w:sz w:val="16"/>
                <w:szCs w:val="16"/>
              </w:rPr>
              <w:t>praktických lékařů</w:t>
            </w:r>
          </w:p>
        </w:tc>
        <w:tc>
          <w:tcPr>
            <w:tcW w:w="4252" w:type="dxa"/>
            <w:gridSpan w:val="3"/>
            <w:shd w:val="clear" w:color="auto" w:fill="C6D9F1" w:themeFill="text2" w:themeFillTint="33"/>
          </w:tcPr>
          <w:p w14:paraId="4B261883" w14:textId="77777777" w:rsidR="00222A78" w:rsidRPr="008E3BF1" w:rsidRDefault="00222A78" w:rsidP="00EE6B0D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8E3BF1">
              <w:rPr>
                <w:rFonts w:cs="Calibri"/>
                <w:b/>
                <w:sz w:val="16"/>
                <w:szCs w:val="16"/>
              </w:rPr>
              <w:t>Počet pojištěnců</w:t>
            </w:r>
          </w:p>
        </w:tc>
      </w:tr>
      <w:tr w:rsidR="00222A78" w:rsidRPr="00222A78" w14:paraId="73A8F352" w14:textId="77777777" w:rsidTr="00EE6B0D">
        <w:trPr>
          <w:trHeight w:val="170"/>
        </w:trPr>
        <w:tc>
          <w:tcPr>
            <w:tcW w:w="863" w:type="dxa"/>
          </w:tcPr>
          <w:p w14:paraId="50261C22" w14:textId="77777777" w:rsidR="00222A78" w:rsidRPr="001A4892" w:rsidRDefault="00222A78" w:rsidP="00EE6B0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1122695" w14:textId="7508A5EE" w:rsidR="00222A78" w:rsidRPr="001A4892" w:rsidRDefault="003764C4" w:rsidP="00EE6B0D">
            <w:pPr>
              <w:pStyle w:val="tabulk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  <w:r w:rsidR="00222A78" w:rsidRPr="001A4892">
              <w:rPr>
                <w:rFonts w:cs="Calibri"/>
                <w:sz w:val="16"/>
                <w:szCs w:val="16"/>
              </w:rPr>
              <w:t>elkem</w:t>
            </w:r>
          </w:p>
        </w:tc>
        <w:tc>
          <w:tcPr>
            <w:tcW w:w="1564" w:type="dxa"/>
            <w:vAlign w:val="center"/>
          </w:tcPr>
          <w:p w14:paraId="105F00FE" w14:textId="67D293DE" w:rsidR="00222A78" w:rsidRPr="001A4892" w:rsidRDefault="003764C4" w:rsidP="003764C4">
            <w:pPr>
              <w:pStyle w:val="tabulk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z</w:t>
            </w:r>
            <w:r w:rsidR="00222A78" w:rsidRPr="001A4892">
              <w:rPr>
                <w:rFonts w:cs="Calibri"/>
                <w:sz w:val="16"/>
                <w:szCs w:val="16"/>
              </w:rPr>
              <w:t xml:space="preserve"> toho v SIP+KŽ</w:t>
            </w:r>
          </w:p>
        </w:tc>
        <w:tc>
          <w:tcPr>
            <w:tcW w:w="1418" w:type="dxa"/>
            <w:vAlign w:val="center"/>
          </w:tcPr>
          <w:p w14:paraId="27B5C21A" w14:textId="147FA7F5" w:rsidR="00222A78" w:rsidRPr="001A4892" w:rsidRDefault="003764C4" w:rsidP="003764C4">
            <w:pPr>
              <w:pStyle w:val="tabulk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z</w:t>
            </w:r>
            <w:r w:rsidR="00222A78" w:rsidRPr="001A4892">
              <w:rPr>
                <w:rFonts w:cs="Calibri"/>
                <w:sz w:val="16"/>
                <w:szCs w:val="16"/>
              </w:rPr>
              <w:t> toho v LP</w:t>
            </w:r>
          </w:p>
        </w:tc>
        <w:tc>
          <w:tcPr>
            <w:tcW w:w="1134" w:type="dxa"/>
            <w:vAlign w:val="center"/>
          </w:tcPr>
          <w:p w14:paraId="02E43145" w14:textId="77777777" w:rsidR="00222A78" w:rsidRPr="001A4892" w:rsidRDefault="00222A78" w:rsidP="00EE6B0D">
            <w:pPr>
              <w:pStyle w:val="tabulka"/>
              <w:jc w:val="center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celkem</w:t>
            </w:r>
          </w:p>
        </w:tc>
        <w:tc>
          <w:tcPr>
            <w:tcW w:w="1559" w:type="dxa"/>
            <w:vAlign w:val="center"/>
          </w:tcPr>
          <w:p w14:paraId="0742E508" w14:textId="005B2299" w:rsidR="00222A78" w:rsidRPr="001A4892" w:rsidRDefault="003764C4" w:rsidP="00EE6B0D">
            <w:pPr>
              <w:pStyle w:val="tabulk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  <w:r w:rsidR="00222A78" w:rsidRPr="001A4892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z </w:t>
            </w:r>
            <w:r w:rsidR="00222A78" w:rsidRPr="001A4892">
              <w:rPr>
                <w:rFonts w:cs="Calibri"/>
                <w:sz w:val="16"/>
                <w:szCs w:val="16"/>
              </w:rPr>
              <w:t>toho v SIP+KŽ</w:t>
            </w:r>
          </w:p>
        </w:tc>
        <w:tc>
          <w:tcPr>
            <w:tcW w:w="1559" w:type="dxa"/>
            <w:vAlign w:val="center"/>
          </w:tcPr>
          <w:p w14:paraId="2C5929E5" w14:textId="434AEAB9" w:rsidR="00222A78" w:rsidRPr="001A4892" w:rsidRDefault="003764C4" w:rsidP="00EE6B0D">
            <w:pPr>
              <w:pStyle w:val="tabulk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  <w:r w:rsidR="00222A78" w:rsidRPr="001A4892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z </w:t>
            </w:r>
            <w:r w:rsidR="00222A78" w:rsidRPr="001A4892">
              <w:rPr>
                <w:rFonts w:cs="Calibri"/>
                <w:sz w:val="16"/>
                <w:szCs w:val="16"/>
              </w:rPr>
              <w:t>toho v LP</w:t>
            </w:r>
          </w:p>
        </w:tc>
      </w:tr>
      <w:tr w:rsidR="00222A78" w:rsidRPr="00222A78" w14:paraId="7C9185DA" w14:textId="77777777" w:rsidTr="008E3BF1">
        <w:trPr>
          <w:trHeight w:val="170"/>
        </w:trPr>
        <w:tc>
          <w:tcPr>
            <w:tcW w:w="863" w:type="dxa"/>
          </w:tcPr>
          <w:p w14:paraId="338B8A23" w14:textId="77777777" w:rsidR="00222A78" w:rsidRPr="001A4892" w:rsidRDefault="00222A78" w:rsidP="00EE6B0D">
            <w:pPr>
              <w:jc w:val="center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2011</w:t>
            </w:r>
          </w:p>
        </w:tc>
        <w:tc>
          <w:tcPr>
            <w:tcW w:w="990" w:type="dxa"/>
            <w:vAlign w:val="center"/>
          </w:tcPr>
          <w:p w14:paraId="0B3F2DD2" w14:textId="3FA745D0" w:rsidR="00222A78" w:rsidRPr="001A4892" w:rsidRDefault="00222A78" w:rsidP="00EE6B0D">
            <w:pPr>
              <w:pStyle w:val="tabulka"/>
              <w:jc w:val="center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6</w:t>
            </w:r>
            <w:r w:rsidR="003764C4">
              <w:rPr>
                <w:rFonts w:cs="Calibri"/>
                <w:sz w:val="16"/>
                <w:szCs w:val="16"/>
              </w:rPr>
              <w:t xml:space="preserve"> </w:t>
            </w:r>
            <w:r w:rsidRPr="001A4892">
              <w:rPr>
                <w:rFonts w:cs="Calibri"/>
                <w:sz w:val="16"/>
                <w:szCs w:val="16"/>
              </w:rPr>
              <w:t>626</w:t>
            </w:r>
          </w:p>
        </w:tc>
        <w:tc>
          <w:tcPr>
            <w:tcW w:w="1564" w:type="dxa"/>
            <w:vAlign w:val="center"/>
          </w:tcPr>
          <w:p w14:paraId="11CD813F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1 705</w:t>
            </w:r>
          </w:p>
        </w:tc>
        <w:tc>
          <w:tcPr>
            <w:tcW w:w="1418" w:type="dxa"/>
            <w:vAlign w:val="center"/>
          </w:tcPr>
          <w:p w14:paraId="13E40AF5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2E850DE8" w14:textId="77777777" w:rsidR="00222A78" w:rsidRPr="001A4892" w:rsidRDefault="00222A78" w:rsidP="008E3BF1">
            <w:pPr>
              <w:pStyle w:val="tabulka"/>
              <w:ind w:right="214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1 145 460</w:t>
            </w:r>
          </w:p>
        </w:tc>
        <w:tc>
          <w:tcPr>
            <w:tcW w:w="1559" w:type="dxa"/>
            <w:vAlign w:val="center"/>
          </w:tcPr>
          <w:p w14:paraId="417339E6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124 283</w:t>
            </w:r>
          </w:p>
        </w:tc>
        <w:tc>
          <w:tcPr>
            <w:tcW w:w="1559" w:type="dxa"/>
            <w:vAlign w:val="center"/>
          </w:tcPr>
          <w:p w14:paraId="7C81045E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180</w:t>
            </w:r>
          </w:p>
        </w:tc>
      </w:tr>
      <w:tr w:rsidR="00222A78" w:rsidRPr="00222A78" w14:paraId="6A5D8B23" w14:textId="77777777" w:rsidTr="008E3BF1">
        <w:trPr>
          <w:trHeight w:val="170"/>
        </w:trPr>
        <w:tc>
          <w:tcPr>
            <w:tcW w:w="863" w:type="dxa"/>
          </w:tcPr>
          <w:p w14:paraId="75C8F833" w14:textId="77777777" w:rsidR="00222A78" w:rsidRPr="001A4892" w:rsidRDefault="00222A78" w:rsidP="00EE6B0D">
            <w:pPr>
              <w:jc w:val="center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2012</w:t>
            </w:r>
          </w:p>
        </w:tc>
        <w:tc>
          <w:tcPr>
            <w:tcW w:w="990" w:type="dxa"/>
            <w:vAlign w:val="center"/>
          </w:tcPr>
          <w:p w14:paraId="39E6AE0B" w14:textId="0F2E2192" w:rsidR="00222A78" w:rsidRPr="001A4892" w:rsidRDefault="00222A78" w:rsidP="00EE6B0D">
            <w:pPr>
              <w:pStyle w:val="tabulka"/>
              <w:jc w:val="center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6</w:t>
            </w:r>
            <w:r w:rsidR="003764C4">
              <w:rPr>
                <w:rFonts w:cs="Calibri"/>
                <w:sz w:val="16"/>
                <w:szCs w:val="16"/>
              </w:rPr>
              <w:t xml:space="preserve"> </w:t>
            </w:r>
            <w:r w:rsidRPr="001A4892">
              <w:rPr>
                <w:rFonts w:cs="Calibri"/>
                <w:sz w:val="16"/>
                <w:szCs w:val="16"/>
              </w:rPr>
              <w:t>610</w:t>
            </w:r>
          </w:p>
        </w:tc>
        <w:tc>
          <w:tcPr>
            <w:tcW w:w="1564" w:type="dxa"/>
            <w:vAlign w:val="center"/>
          </w:tcPr>
          <w:p w14:paraId="61AFBD07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1 989</w:t>
            </w:r>
          </w:p>
        </w:tc>
        <w:tc>
          <w:tcPr>
            <w:tcW w:w="1418" w:type="dxa"/>
            <w:vAlign w:val="center"/>
          </w:tcPr>
          <w:p w14:paraId="2DF39800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1134" w:type="dxa"/>
            <w:vAlign w:val="center"/>
          </w:tcPr>
          <w:p w14:paraId="751B0566" w14:textId="77777777" w:rsidR="00222A78" w:rsidRPr="001A4892" w:rsidRDefault="00222A78" w:rsidP="008E3BF1">
            <w:pPr>
              <w:pStyle w:val="tabulka"/>
              <w:ind w:right="214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1 186 766</w:t>
            </w:r>
          </w:p>
        </w:tc>
        <w:tc>
          <w:tcPr>
            <w:tcW w:w="1559" w:type="dxa"/>
            <w:vAlign w:val="center"/>
          </w:tcPr>
          <w:p w14:paraId="28AB0C3F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207 398</w:t>
            </w:r>
          </w:p>
        </w:tc>
        <w:tc>
          <w:tcPr>
            <w:tcW w:w="1559" w:type="dxa"/>
            <w:vAlign w:val="center"/>
          </w:tcPr>
          <w:p w14:paraId="45019FD5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967</w:t>
            </w:r>
          </w:p>
        </w:tc>
      </w:tr>
      <w:tr w:rsidR="00222A78" w:rsidRPr="00222A78" w14:paraId="1E0C8921" w14:textId="77777777" w:rsidTr="008E3BF1">
        <w:trPr>
          <w:trHeight w:val="170"/>
        </w:trPr>
        <w:tc>
          <w:tcPr>
            <w:tcW w:w="863" w:type="dxa"/>
          </w:tcPr>
          <w:p w14:paraId="21AFB8F9" w14:textId="77777777" w:rsidR="00222A78" w:rsidRPr="001A4892" w:rsidRDefault="00222A78" w:rsidP="00EE6B0D">
            <w:pPr>
              <w:jc w:val="center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2013</w:t>
            </w:r>
          </w:p>
        </w:tc>
        <w:tc>
          <w:tcPr>
            <w:tcW w:w="990" w:type="dxa"/>
            <w:vAlign w:val="center"/>
          </w:tcPr>
          <w:p w14:paraId="6D57FA93" w14:textId="77CA8BD1" w:rsidR="00222A78" w:rsidRPr="001A4892" w:rsidRDefault="00222A78" w:rsidP="00EE6B0D">
            <w:pPr>
              <w:pStyle w:val="tabulka"/>
              <w:jc w:val="center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6</w:t>
            </w:r>
            <w:r w:rsidR="003764C4">
              <w:rPr>
                <w:rFonts w:cs="Calibri"/>
                <w:sz w:val="16"/>
                <w:szCs w:val="16"/>
              </w:rPr>
              <w:t xml:space="preserve"> </w:t>
            </w:r>
            <w:r w:rsidRPr="001A4892">
              <w:rPr>
                <w:rFonts w:cs="Calibri"/>
                <w:sz w:val="16"/>
                <w:szCs w:val="16"/>
              </w:rPr>
              <w:t>614</w:t>
            </w:r>
          </w:p>
        </w:tc>
        <w:tc>
          <w:tcPr>
            <w:tcW w:w="1564" w:type="dxa"/>
            <w:vAlign w:val="center"/>
          </w:tcPr>
          <w:p w14:paraId="6334DC9A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2 178</w:t>
            </w:r>
          </w:p>
        </w:tc>
        <w:tc>
          <w:tcPr>
            <w:tcW w:w="1418" w:type="dxa"/>
            <w:vAlign w:val="center"/>
          </w:tcPr>
          <w:p w14:paraId="7DFFDBE1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144</w:t>
            </w:r>
          </w:p>
        </w:tc>
        <w:tc>
          <w:tcPr>
            <w:tcW w:w="1134" w:type="dxa"/>
            <w:vAlign w:val="center"/>
          </w:tcPr>
          <w:p w14:paraId="5BA34212" w14:textId="77777777" w:rsidR="00222A78" w:rsidRPr="001A4892" w:rsidRDefault="00222A78" w:rsidP="008E3BF1">
            <w:pPr>
              <w:pStyle w:val="tabulka"/>
              <w:ind w:right="214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1 205 627</w:t>
            </w:r>
          </w:p>
        </w:tc>
        <w:tc>
          <w:tcPr>
            <w:tcW w:w="1559" w:type="dxa"/>
            <w:vAlign w:val="center"/>
          </w:tcPr>
          <w:p w14:paraId="212A85A2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289 811</w:t>
            </w:r>
          </w:p>
        </w:tc>
        <w:tc>
          <w:tcPr>
            <w:tcW w:w="1559" w:type="dxa"/>
            <w:vAlign w:val="center"/>
          </w:tcPr>
          <w:p w14:paraId="77554A33" w14:textId="77777777" w:rsidR="00222A78" w:rsidRPr="001A4892" w:rsidRDefault="00222A78" w:rsidP="008E3BF1">
            <w:pPr>
              <w:pStyle w:val="tabulka"/>
              <w:ind w:right="497"/>
              <w:jc w:val="right"/>
              <w:rPr>
                <w:rFonts w:cs="Calibri"/>
                <w:sz w:val="16"/>
                <w:szCs w:val="16"/>
              </w:rPr>
            </w:pPr>
            <w:r w:rsidRPr="001A4892">
              <w:rPr>
                <w:rFonts w:cs="Calibri"/>
                <w:sz w:val="16"/>
                <w:szCs w:val="16"/>
              </w:rPr>
              <w:t>1 461</w:t>
            </w:r>
          </w:p>
        </w:tc>
      </w:tr>
    </w:tbl>
    <w:p w14:paraId="61F5818A" w14:textId="733CA849" w:rsidR="00222A78" w:rsidRPr="003764C4" w:rsidRDefault="00222A78" w:rsidP="003764C4">
      <w:pPr>
        <w:pStyle w:val="Poznmka"/>
      </w:pPr>
      <w:r w:rsidRPr="008E3BF1">
        <w:rPr>
          <w:b/>
        </w:rPr>
        <w:t>Zdroj:</w:t>
      </w:r>
      <w:r w:rsidRPr="003764C4">
        <w:t xml:space="preserve"> ZP MV ČR</w:t>
      </w:r>
      <w:r w:rsidR="004D6EDD" w:rsidRPr="003764C4">
        <w:t>.</w:t>
      </w:r>
    </w:p>
    <w:p w14:paraId="5D9F65A1" w14:textId="77777777" w:rsidR="00222A78" w:rsidRPr="008E3BF1" w:rsidRDefault="00222A78" w:rsidP="00222A78">
      <w:pPr>
        <w:rPr>
          <w:szCs w:val="24"/>
        </w:rPr>
      </w:pPr>
    </w:p>
    <w:p w14:paraId="1861F7C6" w14:textId="3A48A0E0" w:rsidR="00AF27DC" w:rsidRDefault="00AF27DC" w:rsidP="00222A78">
      <w:pPr>
        <w:rPr>
          <w:szCs w:val="24"/>
        </w:rPr>
      </w:pPr>
      <w:r>
        <w:rPr>
          <w:szCs w:val="24"/>
        </w:rPr>
        <w:t>Z tabulky č. 10 vyplývá, že do projektu LP</w:t>
      </w:r>
      <w:r w:rsidR="005748AA">
        <w:rPr>
          <w:szCs w:val="24"/>
        </w:rPr>
        <w:t>,</w:t>
      </w:r>
      <w:r>
        <w:rPr>
          <w:szCs w:val="24"/>
        </w:rPr>
        <w:t xml:space="preserve"> zaměřeného na léčbu chronicky nemocných pojištěnců</w:t>
      </w:r>
      <w:r w:rsidR="005748AA">
        <w:rPr>
          <w:szCs w:val="24"/>
        </w:rPr>
        <w:t>,</w:t>
      </w:r>
      <w:r>
        <w:rPr>
          <w:szCs w:val="24"/>
        </w:rPr>
        <w:t xml:space="preserve"> se zapojil nízký počet praktických lékařů, přestože bonus za zařazení </w:t>
      </w:r>
      <w:r w:rsidR="005748AA">
        <w:rPr>
          <w:szCs w:val="24"/>
        </w:rPr>
        <w:t xml:space="preserve">pojištěnců </w:t>
      </w:r>
      <w:r>
        <w:rPr>
          <w:szCs w:val="24"/>
        </w:rPr>
        <w:t>do LP a za monitorování je</w:t>
      </w:r>
      <w:r w:rsidR="005748AA">
        <w:rPr>
          <w:szCs w:val="24"/>
        </w:rPr>
        <w:t>jich</w:t>
      </w:r>
      <w:r>
        <w:rPr>
          <w:szCs w:val="24"/>
        </w:rPr>
        <w:t xml:space="preserve"> zdravotního stavu činil až 28 Kč za měsíc</w:t>
      </w:r>
      <w:r w:rsidR="00C524B7">
        <w:rPr>
          <w:szCs w:val="24"/>
        </w:rPr>
        <w:t xml:space="preserve"> za každého zaregistrovaného pojištěnce</w:t>
      </w:r>
      <w:r>
        <w:rPr>
          <w:szCs w:val="24"/>
        </w:rPr>
        <w:t>. Do tzv. administrativních projektů (SIP a KŽ) se zapojil větší počet praktických lékařů.</w:t>
      </w:r>
    </w:p>
    <w:p w14:paraId="1B3FD8AE" w14:textId="77777777" w:rsidR="00A64D88" w:rsidRDefault="00A64D88" w:rsidP="00222A78">
      <w:pPr>
        <w:rPr>
          <w:szCs w:val="24"/>
        </w:rPr>
      </w:pPr>
    </w:p>
    <w:p w14:paraId="040826D4" w14:textId="04170A04" w:rsidR="0027151E" w:rsidRPr="00A84E44" w:rsidRDefault="0027151E" w:rsidP="008E3BF1">
      <w:pPr>
        <w:pStyle w:val="Nadpis2"/>
        <w:spacing w:before="0"/>
        <w:ind w:left="426" w:hanging="426"/>
        <w:rPr>
          <w:b w:val="0"/>
          <w:szCs w:val="24"/>
        </w:rPr>
      </w:pPr>
      <w:r w:rsidRPr="008E3BF1">
        <w:rPr>
          <w:sz w:val="24"/>
          <w:szCs w:val="24"/>
        </w:rPr>
        <w:t>Provozní fond</w:t>
      </w:r>
      <w:bookmarkEnd w:id="15"/>
    </w:p>
    <w:p w14:paraId="3FA6946E" w14:textId="1CC65383" w:rsidR="004738E0" w:rsidRDefault="004738E0" w:rsidP="004738E0">
      <w:pPr>
        <w:contextualSpacing/>
        <w:rPr>
          <w:rFonts w:eastAsia="Times New Roman" w:cs="Times New Roman"/>
          <w:szCs w:val="24"/>
        </w:rPr>
      </w:pPr>
      <w:r w:rsidRPr="007A2187">
        <w:rPr>
          <w:rFonts w:eastAsia="Times New Roman" w:cs="Times New Roman"/>
          <w:szCs w:val="24"/>
        </w:rPr>
        <w:t xml:space="preserve">Provozní fond slouží k úhradě nákladů na činnost zdravotní pojišťovny. </w:t>
      </w:r>
      <w:r w:rsidR="006F16EE">
        <w:rPr>
          <w:rFonts w:eastAsia="Times New Roman" w:cs="Times New Roman"/>
          <w:szCs w:val="24"/>
        </w:rPr>
        <w:t>Jeho z</w:t>
      </w:r>
      <w:r w:rsidRPr="007A2187">
        <w:rPr>
          <w:rFonts w:eastAsia="Times New Roman" w:cs="Times New Roman"/>
          <w:szCs w:val="24"/>
        </w:rPr>
        <w:t>drojem jsou především příděly ze základního fondu maximálně do výše ročního limitu nákladů na činnost zdravotní pojišťovny stanoveného dle vyhlášky</w:t>
      </w:r>
      <w:r w:rsidR="006F16EE">
        <w:rPr>
          <w:rStyle w:val="Znakapoznpodarou"/>
          <w:rFonts w:eastAsia="Times New Roman" w:cs="Times New Roman"/>
          <w:szCs w:val="24"/>
        </w:rPr>
        <w:footnoteReference w:id="36"/>
      </w:r>
      <w:r w:rsidRPr="007A2187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Procentuální výše přídělu do provozního fondu ze základního fondu</w:t>
      </w:r>
      <w:r w:rsidR="00B404A0">
        <w:rPr>
          <w:rStyle w:val="Znakapoznpodarou"/>
          <w:rFonts w:eastAsia="Times New Roman" w:cs="Times New Roman"/>
          <w:szCs w:val="24"/>
        </w:rPr>
        <w:footnoteReference w:id="37"/>
      </w:r>
      <w:r>
        <w:rPr>
          <w:rFonts w:eastAsia="Times New Roman" w:cs="Times New Roman"/>
          <w:szCs w:val="24"/>
        </w:rPr>
        <w:t xml:space="preserve"> činila v případě ZP MV ČR 3,65 </w:t>
      </w:r>
      <w:r w:rsidR="004D6EDD">
        <w:rPr>
          <w:rFonts w:eastAsia="Times New Roman" w:cs="Times New Roman"/>
          <w:szCs w:val="24"/>
        </w:rPr>
        <w:t>% pro rok 2012 a 3,38 % pro rok </w:t>
      </w:r>
      <w:r>
        <w:rPr>
          <w:rFonts w:eastAsia="Times New Roman" w:cs="Times New Roman"/>
          <w:szCs w:val="24"/>
        </w:rPr>
        <w:t xml:space="preserve">2013. Roční limit nákladů na činnost </w:t>
      </w:r>
      <w:r w:rsidR="00D46EC9">
        <w:rPr>
          <w:rFonts w:eastAsia="Times New Roman" w:cs="Times New Roman"/>
          <w:szCs w:val="24"/>
        </w:rPr>
        <w:t xml:space="preserve">vypočetla </w:t>
      </w:r>
      <w:r>
        <w:rPr>
          <w:rFonts w:eastAsia="Times New Roman" w:cs="Times New Roman"/>
          <w:szCs w:val="24"/>
        </w:rPr>
        <w:t>ZP MV ČR jako procentní podíl z příjmů z pojistného na veřejné zdravotní pojištění po přerozdělení, z výnosu penále, pokut a náhrad škod.</w:t>
      </w:r>
    </w:p>
    <w:p w14:paraId="749913A7" w14:textId="77777777" w:rsidR="004738E0" w:rsidRPr="007A2187" w:rsidRDefault="004738E0" w:rsidP="004738E0">
      <w:pPr>
        <w:contextualSpacing/>
        <w:rPr>
          <w:rFonts w:eastAsia="Times New Roman" w:cs="Times New Roman"/>
          <w:szCs w:val="24"/>
        </w:rPr>
      </w:pPr>
    </w:p>
    <w:p w14:paraId="2F93E9C0" w14:textId="2DB59E76" w:rsidR="004738E0" w:rsidRDefault="004738E0" w:rsidP="004738E0">
      <w:pPr>
        <w:contextualSpacing/>
        <w:rPr>
          <w:rFonts w:eastAsia="Times New Roman" w:cs="Times New Roman"/>
          <w:szCs w:val="24"/>
        </w:rPr>
      </w:pPr>
      <w:r w:rsidRPr="007A2187">
        <w:rPr>
          <w:rFonts w:eastAsia="Times New Roman" w:cs="Times New Roman"/>
          <w:szCs w:val="24"/>
        </w:rPr>
        <w:t>Provozní fond ZP MV ČR vykazoval v</w:t>
      </w:r>
      <w:r>
        <w:rPr>
          <w:rFonts w:eastAsia="Times New Roman" w:cs="Times New Roman"/>
          <w:szCs w:val="24"/>
        </w:rPr>
        <w:t>e sledovaném období</w:t>
      </w:r>
      <w:r w:rsidRPr="007A2187">
        <w:rPr>
          <w:rFonts w:eastAsia="Times New Roman" w:cs="Times New Roman"/>
          <w:szCs w:val="24"/>
        </w:rPr>
        <w:t xml:space="preserve"> poměrně vysoké zůstatky</w:t>
      </w:r>
      <w:r>
        <w:rPr>
          <w:rFonts w:eastAsia="Times New Roman" w:cs="Times New Roman"/>
          <w:szCs w:val="24"/>
        </w:rPr>
        <w:t>.</w:t>
      </w:r>
      <w:r w:rsidRPr="007A218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</w:t>
      </w:r>
      <w:r w:rsidRPr="006B1917">
        <w:rPr>
          <w:rFonts w:eastAsia="Times New Roman" w:cs="Times New Roman"/>
          <w:szCs w:val="24"/>
        </w:rPr>
        <w:t>evyčerpané finanční prostředky</w:t>
      </w:r>
      <w:r>
        <w:rPr>
          <w:rFonts w:eastAsia="Times New Roman" w:cs="Times New Roman"/>
          <w:szCs w:val="24"/>
        </w:rPr>
        <w:t xml:space="preserve"> </w:t>
      </w:r>
      <w:r w:rsidR="00D46EC9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tj. konečný zůstatek</w:t>
      </w:r>
      <w:r w:rsidR="00D46EC9">
        <w:rPr>
          <w:rFonts w:eastAsia="Times New Roman" w:cs="Times New Roman"/>
          <w:szCs w:val="24"/>
        </w:rPr>
        <w:t>)</w:t>
      </w:r>
      <w:r w:rsidRPr="006B191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ke konci roku 2014 </w:t>
      </w:r>
      <w:r w:rsidRPr="006B1917">
        <w:rPr>
          <w:rFonts w:eastAsia="Times New Roman" w:cs="Times New Roman"/>
          <w:szCs w:val="24"/>
        </w:rPr>
        <w:t>dosáhl</w:t>
      </w:r>
      <w:r w:rsidR="00D46EC9">
        <w:rPr>
          <w:rFonts w:eastAsia="Times New Roman" w:cs="Times New Roman"/>
          <w:szCs w:val="24"/>
        </w:rPr>
        <w:t>y</w:t>
      </w:r>
      <w:r w:rsidRPr="006B191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částky 1 156 283</w:t>
      </w:r>
      <w:r w:rsidR="00D46EC9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>tis.</w:t>
      </w:r>
      <w:r w:rsidR="00D46EC9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>Kč.</w:t>
      </w:r>
    </w:p>
    <w:p w14:paraId="7BC2923A" w14:textId="77777777" w:rsidR="00BF7697" w:rsidRDefault="00BF7697" w:rsidP="004738E0">
      <w:pPr>
        <w:contextualSpacing/>
        <w:rPr>
          <w:rFonts w:eastAsia="Times New Roman" w:cs="Times New Roman"/>
          <w:szCs w:val="24"/>
        </w:rPr>
      </w:pPr>
    </w:p>
    <w:p w14:paraId="0AD833FB" w14:textId="2B8CCE7D" w:rsidR="004738E0" w:rsidRPr="008E3BF1" w:rsidRDefault="00C45BBD" w:rsidP="00123B2F">
      <w:pPr>
        <w:pStyle w:val="Nzevtabulky"/>
        <w:numPr>
          <w:ilvl w:val="0"/>
          <w:numId w:val="0"/>
        </w:numPr>
        <w:tabs>
          <w:tab w:val="right" w:pos="9070"/>
        </w:tabs>
        <w:rPr>
          <w:b/>
        </w:rPr>
      </w:pPr>
      <w:r w:rsidRPr="008E3BF1">
        <w:rPr>
          <w:b/>
        </w:rPr>
        <w:t xml:space="preserve">Tabulka č. 11 </w:t>
      </w:r>
      <w:r w:rsidR="00B27577">
        <w:rPr>
          <w:b/>
        </w:rPr>
        <w:t xml:space="preserve">– </w:t>
      </w:r>
      <w:r w:rsidR="004738E0" w:rsidRPr="008E3BF1">
        <w:rPr>
          <w:b/>
        </w:rPr>
        <w:t>Vývoj zůstatků provozního fondu</w:t>
      </w:r>
      <w:r w:rsidR="00C524B7" w:rsidRPr="008E3BF1">
        <w:rPr>
          <w:b/>
        </w:rPr>
        <w:t xml:space="preserve"> ZP MV ČR</w:t>
      </w:r>
      <w:r w:rsidR="004738E0" w:rsidRPr="008E3BF1">
        <w:rPr>
          <w:b/>
        </w:rPr>
        <w:t xml:space="preserve"> v letech 2007 až 2010</w:t>
      </w:r>
      <w:r w:rsidR="00B27577">
        <w:rPr>
          <w:b/>
        </w:rPr>
        <w:tab/>
      </w:r>
      <w:r w:rsidR="004738E0" w:rsidRPr="008E3BF1">
        <w:rPr>
          <w:b/>
        </w:rPr>
        <w:t>(v tis. Kč)</w:t>
      </w:r>
    </w:p>
    <w:tbl>
      <w:tblPr>
        <w:tblW w:w="4925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1079"/>
        <w:gridCol w:w="1080"/>
        <w:gridCol w:w="1080"/>
        <w:gridCol w:w="1011"/>
      </w:tblGrid>
      <w:tr w:rsidR="004738E0" w:rsidRPr="000E34D4" w14:paraId="225926CB" w14:textId="77777777" w:rsidTr="008E3BF1">
        <w:trPr>
          <w:trHeight w:val="20"/>
        </w:trPr>
        <w:tc>
          <w:tcPr>
            <w:tcW w:w="26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34EDDCE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14:paraId="239FF577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2007</w:t>
            </w: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A989099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2008</w:t>
            </w: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9F02A87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2009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D9C5AED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2010</w:t>
            </w:r>
          </w:p>
        </w:tc>
      </w:tr>
      <w:tr w:rsidR="004738E0" w:rsidRPr="000E34D4" w14:paraId="0EE185CC" w14:textId="77777777" w:rsidTr="00D17A65">
        <w:trPr>
          <w:trHeight w:val="20"/>
        </w:trPr>
        <w:tc>
          <w:tcPr>
            <w:tcW w:w="265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131F46A" w14:textId="77777777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 xml:space="preserve">Tvorba 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47A68F8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655 770 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vAlign w:val="bottom"/>
          </w:tcPr>
          <w:p w14:paraId="67199921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705 240 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vAlign w:val="bottom"/>
          </w:tcPr>
          <w:p w14:paraId="5C14792D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762 088 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879ACA9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645 544 </w:t>
            </w:r>
          </w:p>
        </w:tc>
      </w:tr>
      <w:tr w:rsidR="004738E0" w:rsidRPr="000E34D4" w14:paraId="4C32460C" w14:textId="77777777" w:rsidTr="00D17A65">
        <w:trPr>
          <w:trHeight w:val="20"/>
        </w:trPr>
        <w:tc>
          <w:tcPr>
            <w:tcW w:w="2658" w:type="pct"/>
            <w:shd w:val="clear" w:color="auto" w:fill="auto"/>
            <w:noWrap/>
            <w:vAlign w:val="center"/>
          </w:tcPr>
          <w:p w14:paraId="7CD691A3" w14:textId="77777777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Čerpání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4E9E12B3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509 959 </w:t>
            </w:r>
          </w:p>
        </w:tc>
        <w:tc>
          <w:tcPr>
            <w:tcW w:w="595" w:type="pct"/>
            <w:vAlign w:val="bottom"/>
          </w:tcPr>
          <w:p w14:paraId="214039DE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544 115 </w:t>
            </w:r>
          </w:p>
        </w:tc>
        <w:tc>
          <w:tcPr>
            <w:tcW w:w="595" w:type="pct"/>
            <w:vAlign w:val="bottom"/>
          </w:tcPr>
          <w:p w14:paraId="37F8AF26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650 670 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5A6412CE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588 236 </w:t>
            </w:r>
          </w:p>
        </w:tc>
      </w:tr>
      <w:tr w:rsidR="004738E0" w:rsidRPr="000E34D4" w14:paraId="156EE218" w14:textId="77777777" w:rsidTr="00D17A65">
        <w:trPr>
          <w:trHeight w:val="20"/>
        </w:trPr>
        <w:tc>
          <w:tcPr>
            <w:tcW w:w="2658" w:type="pct"/>
            <w:shd w:val="clear" w:color="auto" w:fill="auto"/>
            <w:noWrap/>
            <w:vAlign w:val="center"/>
          </w:tcPr>
          <w:p w14:paraId="3FB612B3" w14:textId="77777777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Konečný zůstatek k 31. 12. 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46F83CC9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570 289 </w:t>
            </w:r>
          </w:p>
        </w:tc>
        <w:tc>
          <w:tcPr>
            <w:tcW w:w="595" w:type="pct"/>
            <w:vAlign w:val="bottom"/>
          </w:tcPr>
          <w:p w14:paraId="3C40CA1B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731 414 </w:t>
            </w:r>
          </w:p>
        </w:tc>
        <w:tc>
          <w:tcPr>
            <w:tcW w:w="595" w:type="pct"/>
            <w:vAlign w:val="bottom"/>
          </w:tcPr>
          <w:p w14:paraId="1C96348B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842 832 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496A7DF4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900 140 </w:t>
            </w:r>
          </w:p>
        </w:tc>
      </w:tr>
      <w:tr w:rsidR="004738E0" w:rsidRPr="000E34D4" w14:paraId="7334BD31" w14:textId="77777777" w:rsidTr="00D17A65">
        <w:trPr>
          <w:trHeight w:val="20"/>
        </w:trPr>
        <w:tc>
          <w:tcPr>
            <w:tcW w:w="2658" w:type="pct"/>
            <w:shd w:val="clear" w:color="auto" w:fill="auto"/>
            <w:noWrap/>
            <w:vAlign w:val="center"/>
          </w:tcPr>
          <w:p w14:paraId="59E46E23" w14:textId="61A8CB1E" w:rsidR="004738E0" w:rsidRPr="001A4892" w:rsidRDefault="004738E0" w:rsidP="00EB7041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 xml:space="preserve">Procentuální výše přídělu ze základního fondu 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2B621021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3,65 %</w:t>
            </w:r>
          </w:p>
        </w:tc>
        <w:tc>
          <w:tcPr>
            <w:tcW w:w="595" w:type="pct"/>
            <w:vAlign w:val="bottom"/>
          </w:tcPr>
          <w:p w14:paraId="6C118C8A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3,65 %</w:t>
            </w:r>
          </w:p>
        </w:tc>
        <w:tc>
          <w:tcPr>
            <w:tcW w:w="595" w:type="pct"/>
            <w:vAlign w:val="bottom"/>
          </w:tcPr>
          <w:p w14:paraId="78498011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3,40 %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36C308C8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3,15 %</w:t>
            </w:r>
          </w:p>
        </w:tc>
      </w:tr>
      <w:tr w:rsidR="004738E0" w:rsidRPr="000E34D4" w14:paraId="37A822F2" w14:textId="77777777" w:rsidTr="00D17A65">
        <w:trPr>
          <w:trHeight w:val="20"/>
        </w:trPr>
        <w:tc>
          <w:tcPr>
            <w:tcW w:w="2658" w:type="pct"/>
            <w:shd w:val="clear" w:color="auto" w:fill="auto"/>
            <w:noWrap/>
            <w:vAlign w:val="center"/>
          </w:tcPr>
          <w:p w14:paraId="494AE727" w14:textId="77777777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Roční limit nákladů na činnost (dle § 7 vyhlášky č. 418/2003 Sb.)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5992A1CD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662 815 </w:t>
            </w:r>
          </w:p>
        </w:tc>
        <w:tc>
          <w:tcPr>
            <w:tcW w:w="595" w:type="pct"/>
            <w:vAlign w:val="bottom"/>
          </w:tcPr>
          <w:p w14:paraId="69561F1F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709 121 </w:t>
            </w:r>
          </w:p>
        </w:tc>
        <w:tc>
          <w:tcPr>
            <w:tcW w:w="595" w:type="pct"/>
            <w:vAlign w:val="bottom"/>
          </w:tcPr>
          <w:p w14:paraId="27F4C673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681 196 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746DE99D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662 427 </w:t>
            </w:r>
          </w:p>
        </w:tc>
      </w:tr>
      <w:tr w:rsidR="004738E0" w:rsidRPr="000E34D4" w14:paraId="6F8463B7" w14:textId="77777777" w:rsidTr="00D17A65">
        <w:trPr>
          <w:trHeight w:val="20"/>
        </w:trPr>
        <w:tc>
          <w:tcPr>
            <w:tcW w:w="265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85181F1" w14:textId="77777777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Skutečná výše přídělu ze základního fondu za rok</w:t>
            </w:r>
          </w:p>
        </w:tc>
        <w:tc>
          <w:tcPr>
            <w:tcW w:w="595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9F2E732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610 000 </w:t>
            </w:r>
          </w:p>
        </w:tc>
        <w:tc>
          <w:tcPr>
            <w:tcW w:w="595" w:type="pct"/>
            <w:tcBorders>
              <w:bottom w:val="single" w:sz="12" w:space="0" w:color="auto"/>
            </w:tcBorders>
            <w:vAlign w:val="bottom"/>
          </w:tcPr>
          <w:p w14:paraId="769C5189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679 000 </w:t>
            </w:r>
          </w:p>
        </w:tc>
        <w:tc>
          <w:tcPr>
            <w:tcW w:w="595" w:type="pct"/>
            <w:tcBorders>
              <w:bottom w:val="single" w:sz="12" w:space="0" w:color="auto"/>
            </w:tcBorders>
            <w:vAlign w:val="bottom"/>
          </w:tcPr>
          <w:p w14:paraId="65F0F605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672 750 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81B0464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630 000 </w:t>
            </w:r>
          </w:p>
        </w:tc>
      </w:tr>
      <w:tr w:rsidR="004738E0" w:rsidRPr="00D17A65" w14:paraId="519D027C" w14:textId="77777777" w:rsidTr="00D17A65">
        <w:trPr>
          <w:trHeight w:val="20"/>
        </w:trPr>
        <w:tc>
          <w:tcPr>
            <w:tcW w:w="26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F25931" w14:textId="218DAD41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Průměrný</w:t>
            </w:r>
            <w:r w:rsidR="00D17A65" w:rsidRPr="001A4892">
              <w:rPr>
                <w:rFonts w:ascii="Calibri" w:eastAsia="Times New Roman" w:hAnsi="Calibri" w:cs="Calibri"/>
                <w:sz w:val="16"/>
                <w:szCs w:val="16"/>
              </w:rPr>
              <w:t xml:space="preserve"> počet pojištěnců za rok</w:t>
            </w: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054946E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  <w:t xml:space="preserve">1 051 782 </w:t>
            </w: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7CEFB74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  <w:t xml:space="preserve">1 088 710 </w:t>
            </w: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A917386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  <w:t xml:space="preserve">1 113 019 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909A21E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  <w:t xml:space="preserve">1 132 178 </w:t>
            </w:r>
          </w:p>
        </w:tc>
      </w:tr>
    </w:tbl>
    <w:p w14:paraId="0F75219F" w14:textId="53DA5F09" w:rsidR="004738E0" w:rsidRPr="00A64D88" w:rsidRDefault="004738E0" w:rsidP="003764C4">
      <w:pPr>
        <w:pStyle w:val="Poznmka"/>
      </w:pPr>
      <w:r w:rsidRPr="008E3BF1">
        <w:rPr>
          <w:b/>
        </w:rPr>
        <w:t>Zdroj:</w:t>
      </w:r>
      <w:r w:rsidRPr="00A64D88">
        <w:t xml:space="preserve"> výroční zprávy ZP MV ČR za roky 2007 až 2010.</w:t>
      </w:r>
    </w:p>
    <w:p w14:paraId="0DA9D8C0" w14:textId="47ED060E" w:rsidR="004738E0" w:rsidRPr="000E34D4" w:rsidRDefault="00A253CA" w:rsidP="00A253CA">
      <w:pPr>
        <w:jc w:val="left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br w:type="page"/>
      </w:r>
    </w:p>
    <w:p w14:paraId="1FB01EB6" w14:textId="7B7CBD00" w:rsidR="004738E0" w:rsidRPr="008E3BF1" w:rsidRDefault="00C45BBD" w:rsidP="00C45BBD">
      <w:pPr>
        <w:pStyle w:val="Nzevtabulky"/>
        <w:numPr>
          <w:ilvl w:val="0"/>
          <w:numId w:val="0"/>
        </w:numPr>
        <w:tabs>
          <w:tab w:val="right" w:pos="9070"/>
        </w:tabs>
        <w:rPr>
          <w:b/>
        </w:rPr>
      </w:pPr>
      <w:r w:rsidRPr="008E3BF1">
        <w:rPr>
          <w:b/>
        </w:rPr>
        <w:lastRenderedPageBreak/>
        <w:t xml:space="preserve">Tabulka č. 12 </w:t>
      </w:r>
      <w:r w:rsidR="00B27577">
        <w:rPr>
          <w:b/>
        </w:rPr>
        <w:t xml:space="preserve">– </w:t>
      </w:r>
      <w:r w:rsidR="004738E0" w:rsidRPr="008E3BF1">
        <w:rPr>
          <w:b/>
        </w:rPr>
        <w:t>Vývoj zůstatků provozního fondu</w:t>
      </w:r>
      <w:r w:rsidR="00C524B7" w:rsidRPr="008E3BF1">
        <w:rPr>
          <w:b/>
        </w:rPr>
        <w:t xml:space="preserve"> ZP MV ČR</w:t>
      </w:r>
      <w:r w:rsidR="004738E0" w:rsidRPr="008E3BF1">
        <w:rPr>
          <w:b/>
        </w:rPr>
        <w:t xml:space="preserve"> v letech 2011 až 2014</w:t>
      </w:r>
      <w:r w:rsidR="004738E0" w:rsidRPr="008E3BF1">
        <w:rPr>
          <w:b/>
        </w:rPr>
        <w:tab/>
        <w:t>(v tis. Kč)</w:t>
      </w:r>
    </w:p>
    <w:tbl>
      <w:tblPr>
        <w:tblW w:w="4925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1079"/>
        <w:gridCol w:w="1080"/>
        <w:gridCol w:w="1080"/>
        <w:gridCol w:w="1011"/>
      </w:tblGrid>
      <w:tr w:rsidR="004738E0" w:rsidRPr="000E34D4" w14:paraId="79F0F0CB" w14:textId="77777777" w:rsidTr="008E3BF1">
        <w:trPr>
          <w:trHeight w:val="20"/>
        </w:trPr>
        <w:tc>
          <w:tcPr>
            <w:tcW w:w="26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296FC5E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14:paraId="355C6A3B" w14:textId="77777777" w:rsidR="004738E0" w:rsidRPr="008E3BF1" w:rsidRDefault="004738E0" w:rsidP="00FA4155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2011</w:t>
            </w: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564293C" w14:textId="77777777" w:rsidR="004738E0" w:rsidRPr="008E3BF1" w:rsidRDefault="004738E0" w:rsidP="00095D03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2012</w:t>
            </w: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E8EA76E" w14:textId="77777777" w:rsidR="004738E0" w:rsidRPr="008E3BF1" w:rsidRDefault="004738E0" w:rsidP="00CC6C1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2013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21BA0F7D" w14:textId="77777777" w:rsidR="004738E0" w:rsidRPr="008E3BF1" w:rsidRDefault="004738E0" w:rsidP="005E1371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2014</w:t>
            </w:r>
          </w:p>
        </w:tc>
      </w:tr>
      <w:tr w:rsidR="004738E0" w:rsidRPr="000E34D4" w14:paraId="3E92BD85" w14:textId="77777777" w:rsidTr="00D17A65">
        <w:trPr>
          <w:trHeight w:val="20"/>
        </w:trPr>
        <w:tc>
          <w:tcPr>
            <w:tcW w:w="265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B529967" w14:textId="77777777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 xml:space="preserve">Tvorba 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AD3CF6C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622 515 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vAlign w:val="bottom"/>
          </w:tcPr>
          <w:p w14:paraId="4AC93541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724 879 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vAlign w:val="bottom"/>
          </w:tcPr>
          <w:p w14:paraId="240CE258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828 185 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D541ABE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703 209</w:t>
            </w:r>
          </w:p>
        </w:tc>
      </w:tr>
      <w:tr w:rsidR="004738E0" w:rsidRPr="000E34D4" w14:paraId="4CFB42B1" w14:textId="77777777" w:rsidTr="00D17A65">
        <w:trPr>
          <w:trHeight w:val="20"/>
        </w:trPr>
        <w:tc>
          <w:tcPr>
            <w:tcW w:w="2658" w:type="pct"/>
            <w:shd w:val="clear" w:color="auto" w:fill="auto"/>
            <w:noWrap/>
            <w:vAlign w:val="center"/>
          </w:tcPr>
          <w:p w14:paraId="1E7D70A2" w14:textId="77777777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Čerpání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4D56BE1C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606 203 </w:t>
            </w:r>
          </w:p>
        </w:tc>
        <w:tc>
          <w:tcPr>
            <w:tcW w:w="595" w:type="pct"/>
            <w:vAlign w:val="bottom"/>
          </w:tcPr>
          <w:p w14:paraId="13C8080C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635 845 </w:t>
            </w:r>
          </w:p>
        </w:tc>
        <w:tc>
          <w:tcPr>
            <w:tcW w:w="595" w:type="pct"/>
            <w:vAlign w:val="bottom"/>
          </w:tcPr>
          <w:p w14:paraId="7BE97FF5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685 834 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47DEE4C5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694 763</w:t>
            </w:r>
          </w:p>
        </w:tc>
      </w:tr>
      <w:tr w:rsidR="004738E0" w:rsidRPr="000E34D4" w14:paraId="73B38CC7" w14:textId="77777777" w:rsidTr="00D17A65">
        <w:trPr>
          <w:trHeight w:val="20"/>
        </w:trPr>
        <w:tc>
          <w:tcPr>
            <w:tcW w:w="2658" w:type="pct"/>
            <w:shd w:val="clear" w:color="auto" w:fill="auto"/>
            <w:noWrap/>
            <w:vAlign w:val="center"/>
          </w:tcPr>
          <w:p w14:paraId="5E3A5412" w14:textId="77777777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Konečný zůstatek k 31. 12. 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7EB81339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916 452 </w:t>
            </w:r>
          </w:p>
        </w:tc>
        <w:tc>
          <w:tcPr>
            <w:tcW w:w="595" w:type="pct"/>
            <w:vAlign w:val="bottom"/>
          </w:tcPr>
          <w:p w14:paraId="76C665FE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1 005 486 </w:t>
            </w:r>
          </w:p>
        </w:tc>
        <w:tc>
          <w:tcPr>
            <w:tcW w:w="595" w:type="pct"/>
            <w:vAlign w:val="bottom"/>
          </w:tcPr>
          <w:p w14:paraId="3443BDE1" w14:textId="77777777" w:rsidR="004738E0" w:rsidRPr="00095D03" w:rsidRDefault="004738E0" w:rsidP="004555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95D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1 147 837 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25D83D47" w14:textId="77777777" w:rsidR="004738E0" w:rsidRPr="00CC6C10" w:rsidRDefault="004738E0" w:rsidP="004555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C6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1 156 283</w:t>
            </w:r>
          </w:p>
        </w:tc>
      </w:tr>
      <w:tr w:rsidR="004738E0" w:rsidRPr="000E34D4" w14:paraId="4198B005" w14:textId="77777777" w:rsidTr="00D17A65">
        <w:trPr>
          <w:trHeight w:val="20"/>
        </w:trPr>
        <w:tc>
          <w:tcPr>
            <w:tcW w:w="2658" w:type="pct"/>
            <w:shd w:val="clear" w:color="auto" w:fill="auto"/>
            <w:noWrap/>
            <w:vAlign w:val="center"/>
          </w:tcPr>
          <w:p w14:paraId="4A2CB324" w14:textId="727A82A6" w:rsidR="004738E0" w:rsidRPr="001A4892" w:rsidRDefault="004738E0" w:rsidP="00EB7041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 xml:space="preserve">Procentuální výše přídělu ze základního fondu 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2FE147DE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3,65 %</w:t>
            </w:r>
          </w:p>
        </w:tc>
        <w:tc>
          <w:tcPr>
            <w:tcW w:w="595" w:type="pct"/>
            <w:vAlign w:val="bottom"/>
          </w:tcPr>
          <w:p w14:paraId="708ED6AE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3,65 %</w:t>
            </w:r>
          </w:p>
        </w:tc>
        <w:tc>
          <w:tcPr>
            <w:tcW w:w="595" w:type="pct"/>
            <w:vAlign w:val="bottom"/>
          </w:tcPr>
          <w:p w14:paraId="32CEB28B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3,38 %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3EA4568A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3,38 %</w:t>
            </w:r>
          </w:p>
        </w:tc>
      </w:tr>
      <w:tr w:rsidR="004738E0" w:rsidRPr="000E34D4" w14:paraId="0A7C2A33" w14:textId="77777777" w:rsidTr="00D17A65">
        <w:trPr>
          <w:trHeight w:val="20"/>
        </w:trPr>
        <w:tc>
          <w:tcPr>
            <w:tcW w:w="2658" w:type="pct"/>
            <w:shd w:val="clear" w:color="auto" w:fill="auto"/>
            <w:noWrap/>
            <w:vAlign w:val="center"/>
          </w:tcPr>
          <w:p w14:paraId="19A57906" w14:textId="77777777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Roční limit nákladů na činnost (dle § 7 vyhlášky č. 418/2003 Sb.)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7C20A069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793 517 </w:t>
            </w:r>
          </w:p>
        </w:tc>
        <w:tc>
          <w:tcPr>
            <w:tcW w:w="595" w:type="pct"/>
            <w:vAlign w:val="bottom"/>
          </w:tcPr>
          <w:p w14:paraId="0AB6D60E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852 408 </w:t>
            </w:r>
          </w:p>
        </w:tc>
        <w:tc>
          <w:tcPr>
            <w:tcW w:w="595" w:type="pct"/>
            <w:vAlign w:val="bottom"/>
          </w:tcPr>
          <w:p w14:paraId="233E9EF2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809 402 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346464CF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884 281</w:t>
            </w:r>
          </w:p>
        </w:tc>
      </w:tr>
      <w:tr w:rsidR="004738E0" w:rsidRPr="000E34D4" w14:paraId="5C0D91FF" w14:textId="77777777" w:rsidTr="00D17A65">
        <w:trPr>
          <w:trHeight w:val="20"/>
        </w:trPr>
        <w:tc>
          <w:tcPr>
            <w:tcW w:w="265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6BA790" w14:textId="77777777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Skutečná výše přídělu ze základního fondu za rok</w:t>
            </w:r>
          </w:p>
        </w:tc>
        <w:tc>
          <w:tcPr>
            <w:tcW w:w="595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50832A1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608 300 </w:t>
            </w:r>
          </w:p>
        </w:tc>
        <w:tc>
          <w:tcPr>
            <w:tcW w:w="595" w:type="pct"/>
            <w:tcBorders>
              <w:bottom w:val="single" w:sz="12" w:space="0" w:color="auto"/>
            </w:tcBorders>
            <w:vAlign w:val="bottom"/>
          </w:tcPr>
          <w:p w14:paraId="168B12DF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697 000 </w:t>
            </w:r>
          </w:p>
        </w:tc>
        <w:tc>
          <w:tcPr>
            <w:tcW w:w="595" w:type="pct"/>
            <w:tcBorders>
              <w:bottom w:val="single" w:sz="12" w:space="0" w:color="auto"/>
            </w:tcBorders>
            <w:vAlign w:val="bottom"/>
          </w:tcPr>
          <w:p w14:paraId="705FBA51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784 000 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37BB64E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660 400</w:t>
            </w:r>
          </w:p>
        </w:tc>
      </w:tr>
      <w:tr w:rsidR="004738E0" w:rsidRPr="00D17A65" w14:paraId="2D2FD712" w14:textId="77777777" w:rsidTr="00D17A65">
        <w:trPr>
          <w:trHeight w:val="20"/>
        </w:trPr>
        <w:tc>
          <w:tcPr>
            <w:tcW w:w="26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A6BE4E" w14:textId="56B8F7D3" w:rsidR="004738E0" w:rsidRPr="001A4892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Průměrný</w:t>
            </w:r>
            <w:r w:rsidR="00D17A65" w:rsidRPr="001A4892">
              <w:rPr>
                <w:rFonts w:ascii="Calibri" w:eastAsia="Times New Roman" w:hAnsi="Calibri" w:cs="Calibri"/>
                <w:sz w:val="16"/>
                <w:szCs w:val="16"/>
              </w:rPr>
              <w:t xml:space="preserve"> počet pojištěnců za rok</w:t>
            </w: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ADF6193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  <w:t xml:space="preserve">1 145 460 </w:t>
            </w: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6AEF076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  <w:t xml:space="preserve">1 186 766 </w:t>
            </w:r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04BB136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  <w:t xml:space="preserve">1 205 627 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2DA565C" w14:textId="77777777" w:rsidR="004738E0" w:rsidRPr="001A4892" w:rsidRDefault="004738E0" w:rsidP="00455570">
            <w:pPr>
              <w:jc w:val="right"/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</w:rPr>
              <w:t>1 239 890</w:t>
            </w:r>
          </w:p>
        </w:tc>
      </w:tr>
    </w:tbl>
    <w:p w14:paraId="1F5AAA9A" w14:textId="77777777" w:rsidR="004738E0" w:rsidRPr="007A2187" w:rsidRDefault="004738E0" w:rsidP="003764C4">
      <w:pPr>
        <w:pStyle w:val="Poznmka"/>
      </w:pPr>
      <w:r w:rsidRPr="008E3BF1">
        <w:rPr>
          <w:b/>
        </w:rPr>
        <w:t>Zdroj:</w:t>
      </w:r>
      <w:r w:rsidRPr="007A2187">
        <w:t xml:space="preserve"> výroční zprávy ZP MV ČR za roky 2011 až 2014. </w:t>
      </w:r>
    </w:p>
    <w:p w14:paraId="744FA059" w14:textId="77777777" w:rsidR="004738E0" w:rsidRPr="007A2187" w:rsidRDefault="004738E0" w:rsidP="004738E0">
      <w:pPr>
        <w:jc w:val="left"/>
        <w:rPr>
          <w:rFonts w:eastAsia="Times New Roman" w:cs="Times New Roman"/>
          <w:szCs w:val="24"/>
        </w:rPr>
      </w:pPr>
    </w:p>
    <w:p w14:paraId="2DC75E55" w14:textId="126D43D0" w:rsidR="004738E0" w:rsidRPr="007A2187" w:rsidRDefault="004738E0" w:rsidP="004738E0">
      <w:pPr>
        <w:contextualSpacing/>
      </w:pPr>
      <w:r w:rsidRPr="007A2187">
        <w:t>V </w:t>
      </w:r>
      <w:r w:rsidRPr="00197C55">
        <w:t>tabulkách č. 1</w:t>
      </w:r>
      <w:r w:rsidR="00104A7B" w:rsidRPr="00197C55">
        <w:t>1</w:t>
      </w:r>
      <w:r w:rsidRPr="00197C55">
        <w:t xml:space="preserve"> a č. 1</w:t>
      </w:r>
      <w:r w:rsidR="00104A7B" w:rsidRPr="00197C55">
        <w:t>2</w:t>
      </w:r>
      <w:r w:rsidRPr="00197C55">
        <w:t xml:space="preserve"> jsou uvedeny podrobnější</w:t>
      </w:r>
      <w:r w:rsidRPr="007A2187">
        <w:t xml:space="preserve"> údaje </w:t>
      </w:r>
      <w:r w:rsidR="005F4317">
        <w:t>o</w:t>
      </w:r>
      <w:r w:rsidRPr="007A2187">
        <w:t xml:space="preserve"> vývoj</w:t>
      </w:r>
      <w:r w:rsidR="005F4317">
        <w:t>i</w:t>
      </w:r>
      <w:r w:rsidRPr="007A2187">
        <w:t xml:space="preserve"> konečných zůstatků provozního fondu za období let 2007 až 2014. Z těchto údajů vyplývá, že </w:t>
      </w:r>
      <w:r w:rsidR="00EB7041">
        <w:t xml:space="preserve">se </w:t>
      </w:r>
      <w:r>
        <w:t>v</w:t>
      </w:r>
      <w:r w:rsidR="00EB7041">
        <w:t xml:space="preserve"> průběhu </w:t>
      </w:r>
      <w:r w:rsidR="005F4317">
        <w:t>zmíněného</w:t>
      </w:r>
      <w:r w:rsidR="00EB7041">
        <w:t xml:space="preserve"> </w:t>
      </w:r>
      <w:r>
        <w:t xml:space="preserve">období </w:t>
      </w:r>
      <w:r w:rsidR="00C524B7">
        <w:t xml:space="preserve">konečný </w:t>
      </w:r>
      <w:r w:rsidRPr="007A2187">
        <w:t xml:space="preserve">zůstatek </w:t>
      </w:r>
      <w:r>
        <w:t>z</w:t>
      </w:r>
      <w:r w:rsidRPr="007A2187">
        <w:t xml:space="preserve">dvojnásobil. </w:t>
      </w:r>
      <w:r w:rsidRPr="00350822">
        <w:rPr>
          <w:rFonts w:eastAsia="Times New Roman" w:cs="Times New Roman"/>
          <w:szCs w:val="24"/>
        </w:rPr>
        <w:t>Nevyčerpané prostředky provozního fondu např. k 31. 12. 201</w:t>
      </w:r>
      <w:r>
        <w:rPr>
          <w:rFonts w:eastAsia="Times New Roman" w:cs="Times New Roman"/>
          <w:szCs w:val="24"/>
        </w:rPr>
        <w:t>3</w:t>
      </w:r>
      <w:r w:rsidRPr="00350822">
        <w:rPr>
          <w:rFonts w:eastAsia="Times New Roman" w:cs="Times New Roman"/>
          <w:szCs w:val="24"/>
        </w:rPr>
        <w:t xml:space="preserve"> by pokryly 1,</w:t>
      </w:r>
      <w:r>
        <w:rPr>
          <w:rFonts w:eastAsia="Times New Roman" w:cs="Times New Roman"/>
          <w:szCs w:val="24"/>
        </w:rPr>
        <w:t>7</w:t>
      </w:r>
      <w:r w:rsidRPr="00350822">
        <w:rPr>
          <w:rFonts w:eastAsia="Times New Roman" w:cs="Times New Roman"/>
          <w:szCs w:val="24"/>
        </w:rPr>
        <w:t xml:space="preserve">násobek čerpání </w:t>
      </w:r>
      <w:r w:rsidR="0041125A">
        <w:rPr>
          <w:rFonts w:eastAsia="Times New Roman" w:cs="Times New Roman"/>
          <w:szCs w:val="24"/>
        </w:rPr>
        <w:t>tohoto</w:t>
      </w:r>
      <w:r w:rsidR="00A253CA">
        <w:rPr>
          <w:rFonts w:eastAsia="Times New Roman" w:cs="Times New Roman"/>
          <w:szCs w:val="24"/>
        </w:rPr>
        <w:t xml:space="preserve"> fondu v </w:t>
      </w:r>
      <w:r w:rsidRPr="00350822">
        <w:rPr>
          <w:rFonts w:eastAsia="Times New Roman" w:cs="Times New Roman"/>
          <w:szCs w:val="24"/>
        </w:rPr>
        <w:t>následujícím roce 201</w:t>
      </w:r>
      <w:r>
        <w:rPr>
          <w:rFonts w:eastAsia="Times New Roman" w:cs="Times New Roman"/>
          <w:szCs w:val="24"/>
        </w:rPr>
        <w:t>4</w:t>
      </w:r>
      <w:r w:rsidRPr="00350822">
        <w:rPr>
          <w:rFonts w:eastAsia="Times New Roman" w:cs="Times New Roman"/>
          <w:szCs w:val="24"/>
        </w:rPr>
        <w:t xml:space="preserve"> bez nutnosti realizovat příděl do provozního fondu ze základního fondu.</w:t>
      </w:r>
      <w:r>
        <w:rPr>
          <w:rFonts w:eastAsia="Times New Roman" w:cs="Times New Roman"/>
          <w:szCs w:val="24"/>
        </w:rPr>
        <w:t xml:space="preserve"> K</w:t>
      </w:r>
      <w:r w:rsidRPr="007A2187">
        <w:t xml:space="preserve">umulace zůstatků provozního fondu vychází mj. z vyhlášky, podle které </w:t>
      </w:r>
      <w:r w:rsidR="00FA4155">
        <w:t xml:space="preserve">se </w:t>
      </w:r>
      <w:r w:rsidRPr="007A2187">
        <w:t xml:space="preserve">zůstatky </w:t>
      </w:r>
      <w:r w:rsidR="00BB03DE">
        <w:t>tohoto</w:t>
      </w:r>
      <w:r w:rsidRPr="007A2187">
        <w:t xml:space="preserve"> fondu a</w:t>
      </w:r>
      <w:r w:rsidR="0051555E">
        <w:t> </w:t>
      </w:r>
      <w:r w:rsidRPr="007A2187">
        <w:t>rovněž finanční zůstatky vedené na samostatném bankovním účtu převád</w:t>
      </w:r>
      <w:r w:rsidR="00FA4155">
        <w:t>ěj</w:t>
      </w:r>
      <w:r w:rsidRPr="007A2187">
        <w:t>í do následujícího účetního období</w:t>
      </w:r>
      <w:r w:rsidR="00EB7041">
        <w:rPr>
          <w:rStyle w:val="Znakapoznpodarou"/>
        </w:rPr>
        <w:footnoteReference w:id="38"/>
      </w:r>
      <w:r w:rsidRPr="007A2187">
        <w:t>.</w:t>
      </w:r>
    </w:p>
    <w:p w14:paraId="547AC136" w14:textId="77777777" w:rsidR="004738E0" w:rsidRDefault="004738E0" w:rsidP="004738E0"/>
    <w:p w14:paraId="64EFF2C3" w14:textId="50070A6D" w:rsidR="006C05A9" w:rsidRDefault="004738E0" w:rsidP="006C05A9">
      <w:r w:rsidRPr="00CA3D4A">
        <w:t>NKÚ doporučuje změnu právní úpravy</w:t>
      </w:r>
      <w:r w:rsidR="00D17A65">
        <w:t xml:space="preserve"> tak,</w:t>
      </w:r>
      <w:r w:rsidRPr="00CA3D4A">
        <w:t xml:space="preserve"> aby došlo k</w:t>
      </w:r>
      <w:r w:rsidR="00745746" w:rsidRPr="00CA3D4A">
        <w:t xml:space="preserve"> eliminaci nepřiměřeně </w:t>
      </w:r>
      <w:r w:rsidRPr="00CA3D4A">
        <w:t>vysokých zůstatků provozního fondu</w:t>
      </w:r>
      <w:r w:rsidR="00696D88" w:rsidRPr="00C26974">
        <w:t>.</w:t>
      </w:r>
      <w:r w:rsidR="00390118" w:rsidRPr="00C26974">
        <w:t xml:space="preserve"> </w:t>
      </w:r>
      <w:r w:rsidR="00C26974" w:rsidRPr="00C26974">
        <w:t>Dle názoru NKÚ by v</w:t>
      </w:r>
      <w:r w:rsidR="006C05A9" w:rsidRPr="00C26974">
        <w:t xml:space="preserve">ýše prostředků tohoto fondu měla korespondovat se skutečnou potřebou zdravotní pojišťovny hradit provozní náklady. </w:t>
      </w:r>
      <w:r w:rsidR="006C05A9" w:rsidRPr="00771CF6">
        <w:t>V případě nadměrných rezerv není zajištěn dostatečný tlak na hospodárné a účelné využívání finančních prostředků.</w:t>
      </w:r>
    </w:p>
    <w:p w14:paraId="054F62C9" w14:textId="77777777" w:rsidR="004738E0" w:rsidRPr="007A2187" w:rsidRDefault="004738E0" w:rsidP="004738E0"/>
    <w:p w14:paraId="518D775C" w14:textId="47564598" w:rsidR="004738E0" w:rsidRDefault="004738E0" w:rsidP="004738E0">
      <w:r w:rsidRPr="007A2187">
        <w:t xml:space="preserve">V  </w:t>
      </w:r>
      <w:r w:rsidRPr="00197C55">
        <w:t xml:space="preserve">tabulce č. </w:t>
      </w:r>
      <w:r w:rsidR="00390118" w:rsidRPr="00197C55">
        <w:t>13</w:t>
      </w:r>
      <w:r w:rsidRPr="00197C55">
        <w:t xml:space="preserve"> je uveden</w:t>
      </w:r>
      <w:r w:rsidRPr="007A2187">
        <w:t xml:space="preserve"> přehled </w:t>
      </w:r>
      <w:r w:rsidR="00EB7041">
        <w:t xml:space="preserve">položek </w:t>
      </w:r>
      <w:r w:rsidRPr="007A2187">
        <w:t>provozn</w:t>
      </w:r>
      <w:r w:rsidR="004D6EDD">
        <w:t>ích nákladů přesahujících 1 % z </w:t>
      </w:r>
      <w:r w:rsidRPr="007A2187">
        <w:t>celkových provozních nákladů ZP MV ČR v letech 2012 a 2013.</w:t>
      </w:r>
    </w:p>
    <w:p w14:paraId="52218DF5" w14:textId="6C4FE33E" w:rsidR="00D720C1" w:rsidRDefault="00A253CA" w:rsidP="00A253CA">
      <w:pPr>
        <w:jc w:val="left"/>
      </w:pPr>
      <w:r>
        <w:br w:type="page"/>
      </w:r>
    </w:p>
    <w:p w14:paraId="2A9B79BD" w14:textId="70B04E51" w:rsidR="004738E0" w:rsidRPr="008E3BF1" w:rsidRDefault="00C45BBD" w:rsidP="008E3BF1">
      <w:pPr>
        <w:pStyle w:val="Nzevtabulky"/>
        <w:numPr>
          <w:ilvl w:val="0"/>
          <w:numId w:val="0"/>
        </w:numPr>
        <w:ind w:left="1588" w:hanging="1588"/>
        <w:rPr>
          <w:b/>
        </w:rPr>
      </w:pPr>
      <w:r w:rsidRPr="008E3BF1">
        <w:rPr>
          <w:b/>
        </w:rPr>
        <w:lastRenderedPageBreak/>
        <w:t>Tabulka č. 13</w:t>
      </w:r>
      <w:r w:rsidR="005E1371" w:rsidRPr="008E3BF1">
        <w:rPr>
          <w:b/>
        </w:rPr>
        <w:t xml:space="preserve"> –</w:t>
      </w:r>
      <w:r w:rsidRPr="008E3BF1">
        <w:rPr>
          <w:b/>
        </w:rPr>
        <w:t xml:space="preserve"> </w:t>
      </w:r>
      <w:r w:rsidR="004738E0" w:rsidRPr="008E3BF1">
        <w:rPr>
          <w:b/>
        </w:rPr>
        <w:t>Přehled čerpání provozního fondu</w:t>
      </w:r>
      <w:r w:rsidR="00C524B7" w:rsidRPr="008E3BF1">
        <w:rPr>
          <w:b/>
        </w:rPr>
        <w:t xml:space="preserve"> ZP MV ČR</w:t>
      </w:r>
      <w:r w:rsidR="004738E0" w:rsidRPr="008E3BF1">
        <w:rPr>
          <w:b/>
        </w:rPr>
        <w:t xml:space="preserve"> – vybrané položky přesahující 1</w:t>
      </w:r>
      <w:r w:rsidR="005E1371">
        <w:rPr>
          <w:b/>
        </w:rPr>
        <w:t> </w:t>
      </w:r>
      <w:r w:rsidR="004738E0" w:rsidRPr="008E3BF1">
        <w:rPr>
          <w:b/>
        </w:rPr>
        <w:t xml:space="preserve">% 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283"/>
        <w:gridCol w:w="847"/>
        <w:gridCol w:w="1560"/>
        <w:gridCol w:w="846"/>
      </w:tblGrid>
      <w:tr w:rsidR="004738E0" w:rsidRPr="002304AC" w14:paraId="496636AC" w14:textId="77777777" w:rsidTr="008E3BF1">
        <w:trPr>
          <w:trHeight w:val="20"/>
        </w:trPr>
        <w:tc>
          <w:tcPr>
            <w:tcW w:w="1875" w:type="pct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2999FF7C" w14:textId="77777777" w:rsidR="004738E0" w:rsidRPr="008E3BF1" w:rsidRDefault="004738E0" w:rsidP="00455570">
            <w:pP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Název analytického účtu</w:t>
            </w:r>
          </w:p>
        </w:tc>
        <w:tc>
          <w:tcPr>
            <w:tcW w:w="625" w:type="pct"/>
            <w:vMerge w:val="restart"/>
            <w:shd w:val="clear" w:color="auto" w:fill="C6D9F1" w:themeFill="text2" w:themeFillTint="33"/>
            <w:noWrap/>
            <w:vAlign w:val="center"/>
          </w:tcPr>
          <w:p w14:paraId="13EAF7E4" w14:textId="00C471F9" w:rsidR="004738E0" w:rsidRPr="008E3BF1" w:rsidRDefault="00D720C1" w:rsidP="00CC6C1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A</w:t>
            </w:r>
            <w:r w:rsidR="004738E0"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nalytické účt</w:t>
            </w: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y</w:t>
            </w:r>
            <w:r w:rsidR="004738E0"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k účtu </w:t>
            </w:r>
            <w:r w:rsidR="004738E0" w:rsidRPr="005E1371">
              <w:rPr>
                <w:rFonts w:ascii="Calibri" w:eastAsia="Times New Roman" w:hAnsi="Calibri" w:cs="Calibri"/>
                <w:b/>
                <w:sz w:val="16"/>
                <w:szCs w:val="16"/>
              </w:rPr>
              <w:br/>
            </w:r>
            <w:r w:rsidR="004738E0"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406 – </w:t>
            </w:r>
            <w:r w:rsidR="00CC6C10" w:rsidRPr="008E3BF1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Provozní f</w:t>
            </w:r>
            <w:r w:rsidR="004738E0" w:rsidRPr="008E3BF1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 xml:space="preserve">ond </w:t>
            </w:r>
          </w:p>
        </w:tc>
        <w:tc>
          <w:tcPr>
            <w:tcW w:w="1174" w:type="pct"/>
            <w:gridSpan w:val="2"/>
            <w:shd w:val="clear" w:color="auto" w:fill="C6D9F1" w:themeFill="text2" w:themeFillTint="33"/>
          </w:tcPr>
          <w:p w14:paraId="38349003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2012</w:t>
            </w:r>
          </w:p>
        </w:tc>
        <w:tc>
          <w:tcPr>
            <w:tcW w:w="1326" w:type="pct"/>
            <w:gridSpan w:val="2"/>
            <w:shd w:val="clear" w:color="auto" w:fill="C6D9F1" w:themeFill="text2" w:themeFillTint="33"/>
          </w:tcPr>
          <w:p w14:paraId="5385A70B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2013</w:t>
            </w:r>
          </w:p>
        </w:tc>
      </w:tr>
      <w:tr w:rsidR="007912BA" w:rsidRPr="002304AC" w14:paraId="4E641FF6" w14:textId="77777777" w:rsidTr="008E3BF1">
        <w:trPr>
          <w:trHeight w:val="20"/>
        </w:trPr>
        <w:tc>
          <w:tcPr>
            <w:tcW w:w="1875" w:type="pct"/>
            <w:vMerge/>
            <w:shd w:val="clear" w:color="auto" w:fill="C6D9F1" w:themeFill="text2" w:themeFillTint="33"/>
            <w:vAlign w:val="center"/>
            <w:hideMark/>
          </w:tcPr>
          <w:p w14:paraId="714C50FA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625" w:type="pct"/>
            <w:vMerge/>
            <w:shd w:val="clear" w:color="auto" w:fill="C6D9F1" w:themeFill="text2" w:themeFillTint="33"/>
          </w:tcPr>
          <w:p w14:paraId="17CB87A0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C6D9F1" w:themeFill="text2" w:themeFillTint="33"/>
            <w:vAlign w:val="center"/>
          </w:tcPr>
          <w:p w14:paraId="761EC1E4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v Kč</w:t>
            </w:r>
          </w:p>
        </w:tc>
        <w:tc>
          <w:tcPr>
            <w:tcW w:w="467" w:type="pct"/>
            <w:shd w:val="clear" w:color="auto" w:fill="C6D9F1" w:themeFill="text2" w:themeFillTint="33"/>
            <w:vAlign w:val="center"/>
          </w:tcPr>
          <w:p w14:paraId="15012D95" w14:textId="4DD2C8D4" w:rsidR="004738E0" w:rsidRPr="008E3BF1" w:rsidRDefault="004738E0" w:rsidP="00851773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v % </w:t>
            </w:r>
          </w:p>
        </w:tc>
        <w:tc>
          <w:tcPr>
            <w:tcW w:w="860" w:type="pct"/>
            <w:shd w:val="clear" w:color="auto" w:fill="C6D9F1" w:themeFill="text2" w:themeFillTint="33"/>
            <w:noWrap/>
            <w:vAlign w:val="center"/>
          </w:tcPr>
          <w:p w14:paraId="693E7A61" w14:textId="77777777" w:rsidR="004738E0" w:rsidRPr="008E3BF1" w:rsidRDefault="004738E0" w:rsidP="0045557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v Kč</w:t>
            </w:r>
          </w:p>
        </w:tc>
        <w:tc>
          <w:tcPr>
            <w:tcW w:w="466" w:type="pct"/>
            <w:shd w:val="clear" w:color="auto" w:fill="C6D9F1" w:themeFill="text2" w:themeFillTint="33"/>
            <w:vAlign w:val="center"/>
          </w:tcPr>
          <w:p w14:paraId="1CE9BF7F" w14:textId="263887FC" w:rsidR="004738E0" w:rsidRPr="008E3BF1" w:rsidRDefault="00851773" w:rsidP="00851773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v %</w:t>
            </w:r>
          </w:p>
        </w:tc>
      </w:tr>
      <w:tr w:rsidR="007912BA" w:rsidRPr="002304AC" w14:paraId="61FABFCC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7620F12C" w14:textId="5E8D21AA" w:rsidR="004738E0" w:rsidRPr="002304AC" w:rsidRDefault="004738E0" w:rsidP="009763C7">
            <w:pP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Čerpání provozního fondu na provozní náklady </w:t>
            </w:r>
            <w:r w:rsidR="00D720C1">
              <w:rPr>
                <w:rFonts w:ascii="Calibri" w:eastAsia="Times New Roman" w:hAnsi="Calibri" w:cs="Calibri"/>
                <w:b/>
                <w:sz w:val="16"/>
                <w:szCs w:val="16"/>
              </w:rPr>
              <w:t>celkem</w:t>
            </w:r>
            <w:r w:rsidR="009763C7">
              <w:rPr>
                <w:rStyle w:val="Znakapoznpodarou"/>
                <w:rFonts w:ascii="Calibri" w:eastAsia="Times New Roman" w:hAnsi="Calibri" w:cs="Calibri"/>
                <w:b/>
                <w:sz w:val="16"/>
                <w:szCs w:val="16"/>
              </w:rPr>
              <w:footnoteReference w:id="39"/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8D12064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b/>
                <w:sz w:val="16"/>
                <w:szCs w:val="16"/>
              </w:rPr>
              <w:t>406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39D47C76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630 389 000,00    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27B7966E" w14:textId="089F61C7" w:rsidR="004738E0" w:rsidRPr="002304AC" w:rsidRDefault="00851773" w:rsidP="00455570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100 %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4912D273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b/>
                <w:sz w:val="16"/>
                <w:szCs w:val="16"/>
              </w:rPr>
              <w:t>678 907 000,00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2207378" w14:textId="16E45F35" w:rsidR="004738E0" w:rsidRPr="002304AC" w:rsidRDefault="00851773" w:rsidP="00455570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100 %</w:t>
            </w:r>
          </w:p>
        </w:tc>
      </w:tr>
      <w:tr w:rsidR="00D720C1" w:rsidRPr="002304AC" w14:paraId="642C5B4B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4BBFE721" w14:textId="0E1442B0" w:rsidR="00D720C1" w:rsidRPr="002304AC" w:rsidRDefault="00D720C1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Z toho: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C12C06C" w14:textId="77777777" w:rsidR="00D720C1" w:rsidRPr="002304AC" w:rsidRDefault="00D720C1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07" w:type="pct"/>
            <w:shd w:val="clear" w:color="000000" w:fill="FFFFFF"/>
            <w:vAlign w:val="center"/>
          </w:tcPr>
          <w:p w14:paraId="166CA423" w14:textId="77777777" w:rsidR="00D720C1" w:rsidRPr="002304AC" w:rsidRDefault="00D720C1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bottom"/>
          </w:tcPr>
          <w:p w14:paraId="60E18F55" w14:textId="77777777" w:rsidR="00D720C1" w:rsidRPr="002304AC" w:rsidRDefault="00D720C1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0" w:type="pct"/>
            <w:shd w:val="clear" w:color="000000" w:fill="FFFFFF"/>
            <w:vAlign w:val="center"/>
          </w:tcPr>
          <w:p w14:paraId="484487B2" w14:textId="77777777" w:rsidR="00D720C1" w:rsidRPr="002304AC" w:rsidRDefault="00D720C1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vAlign w:val="bottom"/>
          </w:tcPr>
          <w:p w14:paraId="08168D03" w14:textId="77777777" w:rsidR="00D720C1" w:rsidRPr="002304AC" w:rsidRDefault="00D720C1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12BA" w:rsidRPr="002304AC" w14:paraId="28CED663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6B9CE307" w14:textId="77777777" w:rsidR="004738E0" w:rsidRPr="002304AC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Jednorázová spotřeba materiálu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CBE6F49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406000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30C04B84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9 182 901,44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5C1DD481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7F6E32A0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6 692 395,90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41991531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1,0 %</w:t>
            </w:r>
          </w:p>
        </w:tc>
      </w:tr>
      <w:tr w:rsidR="007912BA" w:rsidRPr="002304AC" w14:paraId="4B96373C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220368C9" w14:textId="3D3C9126" w:rsidR="004738E0" w:rsidRPr="002304AC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Služby přenosu da</w:t>
            </w:r>
            <w:r w:rsidR="00851773">
              <w:rPr>
                <w:rFonts w:ascii="Calibri" w:eastAsia="Times New Roman" w:hAnsi="Calibri" w:cs="Calibri"/>
                <w:sz w:val="16"/>
                <w:szCs w:val="16"/>
              </w:rPr>
              <w:t>t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7D7B22B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406101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28DB22F1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11 280 147,00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79D8532F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7AFC37E5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10 456 041,00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38F935EA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1,5 %</w:t>
            </w:r>
          </w:p>
        </w:tc>
      </w:tr>
      <w:tr w:rsidR="007912BA" w:rsidRPr="002304AC" w14:paraId="239E2944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5CD1E1D8" w14:textId="46DAE8C0" w:rsidR="004738E0" w:rsidRPr="002304AC" w:rsidRDefault="00851773" w:rsidP="007912BA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Služby systémové </w:t>
            </w:r>
            <w:r w:rsidRPr="003F43B0">
              <w:rPr>
                <w:rFonts w:ascii="Calibri" w:eastAsia="Times New Roman" w:hAnsi="Calibri" w:cs="Calibri"/>
                <w:sz w:val="16"/>
                <w:szCs w:val="16"/>
              </w:rPr>
              <w:t>podpory inf</w:t>
            </w:r>
            <w:r w:rsidR="003F43B0" w:rsidRPr="003F43B0">
              <w:rPr>
                <w:rFonts w:ascii="Calibri" w:eastAsia="Times New Roman" w:hAnsi="Calibri" w:cs="Calibri"/>
                <w:sz w:val="16"/>
                <w:szCs w:val="16"/>
              </w:rPr>
              <w:t>orm</w:t>
            </w:r>
            <w:r w:rsidR="007912BA">
              <w:rPr>
                <w:rFonts w:ascii="Calibri" w:eastAsia="Times New Roman" w:hAnsi="Calibri" w:cs="Calibri"/>
                <w:sz w:val="16"/>
                <w:szCs w:val="16"/>
              </w:rPr>
              <w:t>ačního</w:t>
            </w:r>
            <w:r w:rsidR="003F43B0" w:rsidRPr="003F43B0">
              <w:rPr>
                <w:rFonts w:ascii="Calibri" w:eastAsia="Times New Roman" w:hAnsi="Calibri" w:cs="Calibri"/>
                <w:sz w:val="16"/>
                <w:szCs w:val="16"/>
              </w:rPr>
              <w:t xml:space="preserve"> systému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AD20EA1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406102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67883DA8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28 239 278,24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70B249F1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02CBA2AF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25 594 380,82    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592CB810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3,8 %</w:t>
            </w:r>
          </w:p>
        </w:tc>
      </w:tr>
      <w:tr w:rsidR="007912BA" w:rsidRPr="002304AC" w14:paraId="22FAD374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05A1CBF5" w14:textId="77777777" w:rsidR="004738E0" w:rsidRPr="002304AC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Nájemné placené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B1A1699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406103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22E1C5F3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33 187 724,60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4A73B100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535A2FE8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27 757 163,34    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45ECA821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4,1 %</w:t>
            </w:r>
          </w:p>
        </w:tc>
      </w:tr>
      <w:tr w:rsidR="007912BA" w:rsidRPr="002304AC" w14:paraId="334AFF82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0B8EDE56" w14:textId="77777777" w:rsidR="004738E0" w:rsidRPr="00C5421C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Ostatní služby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2F450E1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406114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71CF6DB9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 xml:space="preserve">20 083 249,42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3DB155EF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573A88D1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 xml:space="preserve">20 358 229,81    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7B9F8F57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3,0 %</w:t>
            </w:r>
          </w:p>
        </w:tc>
      </w:tr>
      <w:tr w:rsidR="007912BA" w:rsidRPr="002304AC" w14:paraId="4AE3DCC6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5F38DE4A" w14:textId="4E26D1F9" w:rsidR="004738E0" w:rsidRPr="00C5421C" w:rsidRDefault="001A5593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R</w:t>
            </w:r>
            <w:r w:rsidR="004738E0" w:rsidRPr="00C5421C">
              <w:rPr>
                <w:rFonts w:ascii="Calibri" w:eastAsia="Times New Roman" w:hAnsi="Calibri" w:cs="Calibri"/>
                <w:sz w:val="16"/>
                <w:szCs w:val="16"/>
              </w:rPr>
              <w:t>eklamní inzerce v tisku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3B4A256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406121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63C494D5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 xml:space="preserve">6 938 616,50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078E962F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042444A5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9 232 428,96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7E6A30EC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1,4 %</w:t>
            </w:r>
          </w:p>
        </w:tc>
      </w:tr>
      <w:tr w:rsidR="007912BA" w:rsidRPr="002304AC" w14:paraId="3FADF14D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22996854" w14:textId="6774A443" w:rsidR="004738E0" w:rsidRPr="00C5421C" w:rsidRDefault="001A5593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T</w:t>
            </w:r>
            <w:r w:rsidR="004738E0" w:rsidRPr="00C5421C">
              <w:rPr>
                <w:rFonts w:ascii="Calibri" w:eastAsia="Times New Roman" w:hAnsi="Calibri" w:cs="Calibri"/>
                <w:sz w:val="16"/>
                <w:szCs w:val="16"/>
              </w:rPr>
              <w:t>iskoviny – letáky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2443488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406122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3DA03354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 xml:space="preserve">6 499 519,04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45DDE2F9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6C5952E8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7 135 578,94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39CE7010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1,1 %</w:t>
            </w:r>
          </w:p>
        </w:tc>
      </w:tr>
      <w:tr w:rsidR="007912BA" w:rsidRPr="002304AC" w14:paraId="46023B6A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0F0EE87F" w14:textId="27B54BE5" w:rsidR="004738E0" w:rsidRPr="00C5421C" w:rsidRDefault="001A5593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M</w:t>
            </w:r>
            <w:r w:rsidR="004738E0" w:rsidRPr="00C5421C">
              <w:rPr>
                <w:rFonts w:ascii="Calibri" w:eastAsia="Times New Roman" w:hAnsi="Calibri" w:cs="Calibri"/>
                <w:sz w:val="16"/>
                <w:szCs w:val="16"/>
              </w:rPr>
              <w:t>arketingové služby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9FA1B97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406123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1B014653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 xml:space="preserve">29 047 211,69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1AF3A928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10AD368E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 xml:space="preserve">47 048 399,41    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6012A2F3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6,9 %</w:t>
            </w:r>
          </w:p>
        </w:tc>
      </w:tr>
      <w:tr w:rsidR="007912BA" w:rsidRPr="002304AC" w14:paraId="415904CD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5EAE2401" w14:textId="3951E8EE" w:rsidR="004738E0" w:rsidRPr="00C5421C" w:rsidRDefault="001A5593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D</w:t>
            </w:r>
            <w:r w:rsidR="004738E0" w:rsidRPr="00C5421C">
              <w:rPr>
                <w:rFonts w:ascii="Calibri" w:eastAsia="Times New Roman" w:hAnsi="Calibri" w:cs="Calibri"/>
                <w:sz w:val="16"/>
                <w:szCs w:val="16"/>
              </w:rPr>
              <w:t>árkové předměty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9A813AD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>406124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2007C178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 xml:space="preserve">7 744 065,00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6495E877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66040F32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sz w:val="16"/>
                <w:szCs w:val="16"/>
              </w:rPr>
              <w:t xml:space="preserve">5 454 878,00    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44C7D591" w14:textId="77777777" w:rsidR="004738E0" w:rsidRPr="00C5421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42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0,8 %</w:t>
            </w:r>
          </w:p>
        </w:tc>
      </w:tr>
      <w:tr w:rsidR="007912BA" w:rsidRPr="002304AC" w14:paraId="607DD98C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0F1A003F" w14:textId="77777777" w:rsidR="004738E0" w:rsidRPr="002304AC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Odpisy nehmotného majetku</w:t>
            </w: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br/>
              <w:t>Odpisy hmotného majetku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3882735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406200</w:t>
            </w: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br/>
              <w:t>406201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4955108B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40 436 700,00    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5F687ABD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4639811F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38 150 519,00    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71B61A6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5,6 %</w:t>
            </w:r>
          </w:p>
        </w:tc>
      </w:tr>
      <w:tr w:rsidR="007912BA" w:rsidRPr="002304AC" w14:paraId="51DA0DD0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570FAB32" w14:textId="7AAEF647" w:rsidR="004738E0" w:rsidRPr="002304AC" w:rsidRDefault="004738E0" w:rsidP="003F43B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F43B0">
              <w:rPr>
                <w:rFonts w:ascii="Calibri" w:eastAsia="Times New Roman" w:hAnsi="Calibri" w:cs="Calibri"/>
                <w:sz w:val="16"/>
                <w:szCs w:val="16"/>
              </w:rPr>
              <w:t>Z</w:t>
            </w:r>
            <w:r w:rsidR="003F43B0" w:rsidRPr="003F43B0">
              <w:rPr>
                <w:rFonts w:ascii="Calibri" w:eastAsia="Times New Roman" w:hAnsi="Calibri" w:cs="Calibri"/>
                <w:sz w:val="16"/>
                <w:szCs w:val="16"/>
              </w:rPr>
              <w:t>ůstatková cena</w:t>
            </w:r>
            <w:r w:rsidRPr="003F43B0">
              <w:rPr>
                <w:rFonts w:ascii="Calibri" w:eastAsia="Times New Roman" w:hAnsi="Calibri" w:cs="Calibri"/>
                <w:sz w:val="16"/>
                <w:szCs w:val="16"/>
              </w:rPr>
              <w:t xml:space="preserve"> prodaného</w:t>
            </w: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 majetku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F27871E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406203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7A77373A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15 902 553,00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4A8EA827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5DD5B237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46 052 146,00    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6A22BDD9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6,8 %</w:t>
            </w:r>
          </w:p>
        </w:tc>
      </w:tr>
      <w:tr w:rsidR="007912BA" w:rsidRPr="002304AC" w14:paraId="4CCEE69D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3550D88D" w14:textId="77777777" w:rsidR="004738E0" w:rsidRPr="002304AC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Mzdy zaměstnanců ZP MV ČR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99079F4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406300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36A37296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189 385 138,98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376FC287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55868D4F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194 274 574,00    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25E7E87E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28,6 %</w:t>
            </w:r>
          </w:p>
        </w:tc>
      </w:tr>
      <w:tr w:rsidR="007912BA" w:rsidRPr="002304AC" w14:paraId="03D6830C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387201C2" w14:textId="0B54FF7A" w:rsidR="004738E0" w:rsidRPr="002304AC" w:rsidRDefault="004738E0" w:rsidP="00CC6C1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Prémie </w:t>
            </w:r>
            <w:r w:rsidR="00CC6C10">
              <w:rPr>
                <w:rFonts w:ascii="Calibri" w:eastAsia="Times New Roman" w:hAnsi="Calibri" w:cs="Calibri"/>
                <w:sz w:val="16"/>
                <w:szCs w:val="16"/>
              </w:rPr>
              <w:t>–</w:t>
            </w: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 odměny zaměstnanců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8BA3876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406301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6B14B732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67 749 261,00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14C4D913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10,7 %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5EC8748F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69 071 849,00    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4B2C76CD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10,2 %</w:t>
            </w:r>
          </w:p>
        </w:tc>
      </w:tr>
      <w:tr w:rsidR="007912BA" w:rsidRPr="002304AC" w14:paraId="0AC55CA3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576E1E67" w14:textId="56D9B0A1" w:rsidR="004738E0" w:rsidRPr="002304AC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Dohody o pracovní činnosti</w:t>
            </w: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br/>
              <w:t>Dohody o provedení práce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691345A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406303</w:t>
            </w: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br/>
              <w:t>406304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7B923FDA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5 618 914,00    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14:paraId="34A88243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3F9A05C1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8 883 166,00    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2DB868C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1,3 %</w:t>
            </w:r>
          </w:p>
        </w:tc>
      </w:tr>
      <w:tr w:rsidR="007912BA" w:rsidRPr="002304AC" w14:paraId="2F246832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507FA065" w14:textId="77777777" w:rsidR="004738E0" w:rsidRPr="002304AC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Sociální pojištění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B3931F6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406306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6C3E7A17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 61 472 589,00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33DEA863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7FEEA452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61 936 762,00    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0122CD23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9,1 %</w:t>
            </w:r>
          </w:p>
        </w:tc>
      </w:tr>
      <w:tr w:rsidR="007912BA" w:rsidRPr="002304AC" w14:paraId="570558D1" w14:textId="77777777" w:rsidTr="008E3BF1">
        <w:trPr>
          <w:trHeight w:val="20"/>
        </w:trPr>
        <w:tc>
          <w:tcPr>
            <w:tcW w:w="1875" w:type="pct"/>
            <w:shd w:val="clear" w:color="auto" w:fill="auto"/>
            <w:noWrap/>
            <w:vAlign w:val="center"/>
          </w:tcPr>
          <w:p w14:paraId="22BE0DA6" w14:textId="77777777" w:rsidR="004738E0" w:rsidRPr="002304AC" w:rsidRDefault="004738E0" w:rsidP="00455570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Zdravotní pojištění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01E6338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>406307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14:paraId="58D14F98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22 962 395,00    </w:t>
            </w:r>
          </w:p>
        </w:tc>
        <w:tc>
          <w:tcPr>
            <w:tcW w:w="467" w:type="pct"/>
            <w:shd w:val="clear" w:color="000000" w:fill="FFFFFF"/>
            <w:vAlign w:val="bottom"/>
          </w:tcPr>
          <w:p w14:paraId="70E76032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3,6 %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14:paraId="7762402B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sz w:val="16"/>
                <w:szCs w:val="16"/>
              </w:rPr>
              <w:t xml:space="preserve">25 193 141,00    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0F44A1F1" w14:textId="77777777" w:rsidR="004738E0" w:rsidRPr="002304AC" w:rsidRDefault="004738E0" w:rsidP="0045557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04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3,7 %</w:t>
            </w:r>
          </w:p>
        </w:tc>
      </w:tr>
    </w:tbl>
    <w:p w14:paraId="032D2199" w14:textId="18701CA3" w:rsidR="004738E0" w:rsidRPr="007A2187" w:rsidRDefault="004738E0" w:rsidP="003764C4">
      <w:pPr>
        <w:pStyle w:val="Poznmka"/>
      </w:pPr>
      <w:r w:rsidRPr="008E3BF1">
        <w:rPr>
          <w:b/>
        </w:rPr>
        <w:t>Zdroj:</w:t>
      </w:r>
      <w:r w:rsidRPr="007A2187">
        <w:t xml:space="preserve"> obratové předvahy </w:t>
      </w:r>
      <w:r w:rsidR="009763C7">
        <w:t xml:space="preserve">a </w:t>
      </w:r>
      <w:r w:rsidR="009763C7" w:rsidRPr="007A2187">
        <w:t xml:space="preserve">výroční zprávy </w:t>
      </w:r>
      <w:r w:rsidRPr="007A2187">
        <w:t>ZP MV ČR za roky 2012 a 20</w:t>
      </w:r>
      <w:r w:rsidR="009763C7">
        <w:t>13</w:t>
      </w:r>
      <w:r w:rsidRPr="007A2187">
        <w:t>.</w:t>
      </w:r>
    </w:p>
    <w:p w14:paraId="74E70F9F" w14:textId="77777777" w:rsidR="004738E0" w:rsidRPr="007A2187" w:rsidRDefault="004738E0" w:rsidP="004738E0"/>
    <w:p w14:paraId="5F4F502E" w14:textId="38303A87" w:rsidR="004738E0" w:rsidRPr="007A2187" w:rsidRDefault="004738E0" w:rsidP="004738E0">
      <w:r w:rsidRPr="007A2187">
        <w:t>Nejvyšší podíl na čerpání provozního fondu ZP MV ČR měly mzdové náklady a související náklady na sociální a zdravotní pojištění. V roce 2012 tyto</w:t>
      </w:r>
      <w:r w:rsidR="004D6EDD">
        <w:t xml:space="preserve"> náklady představovaly 55 % a v </w:t>
      </w:r>
      <w:r w:rsidRPr="007A2187">
        <w:t xml:space="preserve">roce 2013 </w:t>
      </w:r>
      <w:r w:rsidR="00851773">
        <w:t>cca</w:t>
      </w:r>
      <w:r w:rsidRPr="007A2187">
        <w:t xml:space="preserve"> 5</w:t>
      </w:r>
      <w:r w:rsidR="00851773">
        <w:t>3</w:t>
      </w:r>
      <w:r w:rsidRPr="007A2187">
        <w:t xml:space="preserve"> % celkových provozních nákladů ZP MV ČR.  </w:t>
      </w:r>
    </w:p>
    <w:p w14:paraId="525BE15C" w14:textId="77777777" w:rsidR="00AA6FBD" w:rsidRDefault="00AA6FBD" w:rsidP="004738E0"/>
    <w:p w14:paraId="40C38ADA" w14:textId="2E528523" w:rsidR="00AA6FBD" w:rsidRDefault="00AA6FBD" w:rsidP="00AA6FBD">
      <w:r w:rsidRPr="007A2187">
        <w:t xml:space="preserve">V následující </w:t>
      </w:r>
      <w:r w:rsidRPr="00197C55">
        <w:t xml:space="preserve">tabulce </w:t>
      </w:r>
      <w:r w:rsidR="005E1371">
        <w:t>(</w:t>
      </w:r>
      <w:r w:rsidRPr="00197C55">
        <w:t>č. 1</w:t>
      </w:r>
      <w:r w:rsidR="00F62275" w:rsidRPr="00197C55">
        <w:t>4</w:t>
      </w:r>
      <w:r w:rsidR="005E1371">
        <w:t>)</w:t>
      </w:r>
      <w:r w:rsidRPr="00197C55">
        <w:t xml:space="preserve"> jsou uvedeny</w:t>
      </w:r>
      <w:r w:rsidRPr="007A2187">
        <w:t xml:space="preserve"> průměrné měsíční </w:t>
      </w:r>
      <w:r>
        <w:t>mzdy</w:t>
      </w:r>
      <w:r w:rsidRPr="007A2187">
        <w:t xml:space="preserve"> </w:t>
      </w:r>
      <w:r>
        <w:t>(</w:t>
      </w:r>
      <w:r w:rsidRPr="007A2187">
        <w:t>vč. odměn</w:t>
      </w:r>
      <w:r>
        <w:t>)</w:t>
      </w:r>
      <w:r w:rsidRPr="007A2187">
        <w:t xml:space="preserve"> zaměstnanců ZP MV ČR v letech 2012 a 2013</w:t>
      </w:r>
      <w:r w:rsidRPr="00E50C5A">
        <w:t xml:space="preserve">. Kromě údajů za všechny zaměstnance jsou uvedeny také mzdy </w:t>
      </w:r>
      <w:r w:rsidR="0066154D">
        <w:t>vrcholového managementu</w:t>
      </w:r>
      <w:r w:rsidRPr="00E50C5A">
        <w:t>, za kter</w:t>
      </w:r>
      <w:r w:rsidR="0066154D">
        <w:t>ý</w:t>
      </w:r>
      <w:r w:rsidRPr="00E50C5A">
        <w:t xml:space="preserve"> jsou považováni generální</w:t>
      </w:r>
      <w:r w:rsidRPr="007A2187">
        <w:t xml:space="preserve"> ředitel, ředitelé odborů, ředitelé poboček, vedoucí personálního</w:t>
      </w:r>
      <w:r w:rsidR="005E1371" w:rsidRPr="005E1371">
        <w:t xml:space="preserve"> </w:t>
      </w:r>
      <w:r w:rsidR="005E1371" w:rsidRPr="007A2187">
        <w:t>oddělení</w:t>
      </w:r>
      <w:r w:rsidRPr="007A2187">
        <w:t>, vedoucí právního</w:t>
      </w:r>
      <w:r w:rsidR="0066154D">
        <w:t xml:space="preserve"> </w:t>
      </w:r>
      <w:r w:rsidR="005E1371" w:rsidRPr="007A2187">
        <w:t xml:space="preserve">oddělení </w:t>
      </w:r>
      <w:r w:rsidR="0066154D">
        <w:t>a</w:t>
      </w:r>
      <w:r w:rsidR="00A253CA">
        <w:t> </w:t>
      </w:r>
      <w:r w:rsidRPr="007A2187">
        <w:t xml:space="preserve">vedoucí oddělení interního auditu a kontroly. Průměrný přepočtený počet zaměstnanců </w:t>
      </w:r>
      <w:r w:rsidR="0066154D">
        <w:t xml:space="preserve">vrcholového managementu </w:t>
      </w:r>
      <w:r w:rsidRPr="007A2187">
        <w:t>v roce 2012 byl 14,4 a v roce 2013 činil 12,8.</w:t>
      </w:r>
    </w:p>
    <w:p w14:paraId="28B2B486" w14:textId="77777777" w:rsidR="00AA6FBD" w:rsidRPr="007A2187" w:rsidRDefault="00AA6FBD" w:rsidP="00AA6FBD"/>
    <w:p w14:paraId="6AC43EA9" w14:textId="2ECA5447" w:rsidR="00AA6FBD" w:rsidRPr="008E3BF1" w:rsidRDefault="00C45BBD" w:rsidP="00C45BBD">
      <w:pPr>
        <w:pStyle w:val="Nzevtabulky"/>
        <w:numPr>
          <w:ilvl w:val="0"/>
          <w:numId w:val="0"/>
        </w:numPr>
        <w:rPr>
          <w:b/>
        </w:rPr>
      </w:pPr>
      <w:r w:rsidRPr="008E3BF1">
        <w:rPr>
          <w:b/>
        </w:rPr>
        <w:t>Tabulka č. 14</w:t>
      </w:r>
      <w:r w:rsidR="005E1371">
        <w:rPr>
          <w:b/>
        </w:rPr>
        <w:t xml:space="preserve"> –</w:t>
      </w:r>
      <w:r w:rsidRPr="008E3BF1">
        <w:rPr>
          <w:b/>
        </w:rPr>
        <w:t xml:space="preserve"> </w:t>
      </w:r>
      <w:r w:rsidR="00AA6FBD" w:rsidRPr="008E3BF1">
        <w:rPr>
          <w:b/>
        </w:rPr>
        <w:t xml:space="preserve">Průměrné měsíční mzdy (vč. odměn) zaměstnanců </w:t>
      </w:r>
      <w:r w:rsidR="00C524B7" w:rsidRPr="008E3BF1">
        <w:rPr>
          <w:b/>
        </w:rPr>
        <w:t>ZP MV ČR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2"/>
        <w:gridCol w:w="1657"/>
        <w:gridCol w:w="1657"/>
        <w:gridCol w:w="1586"/>
      </w:tblGrid>
      <w:tr w:rsidR="00AA6FBD" w:rsidRPr="002304AC" w14:paraId="4E8D1421" w14:textId="77777777" w:rsidTr="008E3BF1">
        <w:trPr>
          <w:trHeight w:val="20"/>
        </w:trPr>
        <w:tc>
          <w:tcPr>
            <w:tcW w:w="2299" w:type="pct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05A4CC43" w14:textId="4B3D19D6" w:rsidR="00AA6FBD" w:rsidRPr="002304AC" w:rsidRDefault="00AA6FBD" w:rsidP="002A6E54">
            <w:pPr>
              <w:jc w:val="lef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C6D9F1" w:themeFill="text2" w:themeFillTint="33"/>
            <w:noWrap/>
            <w:vAlign w:val="center"/>
          </w:tcPr>
          <w:p w14:paraId="1E3CEB5A" w14:textId="77777777" w:rsidR="00AA6FBD" w:rsidRPr="005E1371" w:rsidRDefault="00AA6FBD" w:rsidP="002A6E54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E1371">
              <w:rPr>
                <w:rFonts w:ascii="Calibri" w:eastAsia="Times New Roman" w:hAnsi="Calibri" w:cs="Calibri"/>
                <w:b/>
                <w:sz w:val="16"/>
                <w:szCs w:val="16"/>
              </w:rPr>
              <w:t>2012</w:t>
            </w:r>
          </w:p>
        </w:tc>
        <w:tc>
          <w:tcPr>
            <w:tcW w:w="913" w:type="pct"/>
            <w:shd w:val="clear" w:color="auto" w:fill="C6D9F1" w:themeFill="text2" w:themeFillTint="33"/>
            <w:vAlign w:val="center"/>
          </w:tcPr>
          <w:p w14:paraId="221D9A56" w14:textId="77777777" w:rsidR="00AA6FBD" w:rsidRPr="005E1371" w:rsidRDefault="00AA6FBD" w:rsidP="002A6E54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E1371">
              <w:rPr>
                <w:rFonts w:ascii="Calibri" w:eastAsia="Times New Roman" w:hAnsi="Calibri" w:cs="Calibri"/>
                <w:b/>
                <w:sz w:val="16"/>
                <w:szCs w:val="16"/>
              </w:rPr>
              <w:t>2013</w:t>
            </w:r>
          </w:p>
        </w:tc>
        <w:tc>
          <w:tcPr>
            <w:tcW w:w="874" w:type="pct"/>
            <w:shd w:val="clear" w:color="auto" w:fill="C6D9F1" w:themeFill="text2" w:themeFillTint="33"/>
          </w:tcPr>
          <w:p w14:paraId="64B6A962" w14:textId="77777777" w:rsidR="00AA6FBD" w:rsidRPr="005E1371" w:rsidRDefault="00AA6FBD" w:rsidP="002A6E54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E1371">
              <w:rPr>
                <w:rFonts w:ascii="Calibri" w:eastAsia="Times New Roman" w:hAnsi="Calibri" w:cs="Calibri"/>
                <w:b/>
                <w:sz w:val="16"/>
                <w:szCs w:val="16"/>
              </w:rPr>
              <w:t>Meziroční nárůst</w:t>
            </w:r>
          </w:p>
        </w:tc>
      </w:tr>
      <w:tr w:rsidR="00AA6FBD" w:rsidRPr="002304AC" w14:paraId="19F99A8F" w14:textId="77777777" w:rsidTr="008E3BF1">
        <w:trPr>
          <w:trHeight w:val="20"/>
        </w:trPr>
        <w:tc>
          <w:tcPr>
            <w:tcW w:w="2299" w:type="pct"/>
            <w:vMerge/>
            <w:shd w:val="clear" w:color="auto" w:fill="C6D9F1" w:themeFill="text2" w:themeFillTint="33"/>
            <w:vAlign w:val="center"/>
            <w:hideMark/>
          </w:tcPr>
          <w:p w14:paraId="154A15AD" w14:textId="77777777" w:rsidR="00AA6FBD" w:rsidRPr="002304AC" w:rsidRDefault="00AA6FBD" w:rsidP="002A6E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26" w:type="pct"/>
            <w:gridSpan w:val="2"/>
            <w:shd w:val="clear" w:color="auto" w:fill="C6D9F1" w:themeFill="text2" w:themeFillTint="33"/>
            <w:noWrap/>
            <w:vAlign w:val="center"/>
          </w:tcPr>
          <w:p w14:paraId="562E3F99" w14:textId="77777777" w:rsidR="00AA6FBD" w:rsidRPr="008E3BF1" w:rsidRDefault="00AA6FBD" w:rsidP="002A6E54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v Kč</w:t>
            </w:r>
          </w:p>
        </w:tc>
        <w:tc>
          <w:tcPr>
            <w:tcW w:w="874" w:type="pct"/>
            <w:shd w:val="clear" w:color="auto" w:fill="C6D9F1" w:themeFill="text2" w:themeFillTint="33"/>
          </w:tcPr>
          <w:p w14:paraId="474AC1CC" w14:textId="77777777" w:rsidR="00AA6FBD" w:rsidRPr="008E3BF1" w:rsidRDefault="00AA6FBD" w:rsidP="002A6E54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E3BF1">
              <w:rPr>
                <w:rFonts w:ascii="Calibri" w:eastAsia="Times New Roman" w:hAnsi="Calibri" w:cs="Calibri"/>
                <w:b/>
                <w:sz w:val="16"/>
                <w:szCs w:val="16"/>
              </w:rPr>
              <w:t>v %</w:t>
            </w:r>
          </w:p>
        </w:tc>
      </w:tr>
      <w:tr w:rsidR="00AA6FBD" w:rsidRPr="002304AC" w14:paraId="67FB9CFB" w14:textId="77777777" w:rsidTr="008E3BF1">
        <w:trPr>
          <w:trHeight w:val="20"/>
        </w:trPr>
        <w:tc>
          <w:tcPr>
            <w:tcW w:w="2299" w:type="pct"/>
            <w:shd w:val="clear" w:color="auto" w:fill="auto"/>
            <w:noWrap/>
            <w:vAlign w:val="center"/>
          </w:tcPr>
          <w:p w14:paraId="17AB258F" w14:textId="3A644297" w:rsidR="00AA6FBD" w:rsidRPr="001A4892" w:rsidRDefault="00851773" w:rsidP="002A6E54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Zaměstnanci celkem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BCCAEFA" w14:textId="77777777" w:rsidR="00AA6FBD" w:rsidRPr="001A4892" w:rsidRDefault="00AA6FBD" w:rsidP="002A6E54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36 048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6616000" w14:textId="77777777" w:rsidR="00AA6FBD" w:rsidRPr="001A4892" w:rsidRDefault="00AA6FBD" w:rsidP="002A6E54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37 787</w:t>
            </w:r>
          </w:p>
        </w:tc>
        <w:tc>
          <w:tcPr>
            <w:tcW w:w="874" w:type="pct"/>
            <w:vAlign w:val="center"/>
          </w:tcPr>
          <w:p w14:paraId="30AC95CD" w14:textId="77777777" w:rsidR="00AA6FBD" w:rsidRPr="001A4892" w:rsidRDefault="00AA6FBD" w:rsidP="008E3BF1">
            <w:pPr>
              <w:ind w:right="49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4,8 %</w:t>
            </w:r>
          </w:p>
        </w:tc>
      </w:tr>
      <w:tr w:rsidR="00AA6FBD" w:rsidRPr="002304AC" w14:paraId="6265D3F2" w14:textId="77777777" w:rsidTr="008E3BF1">
        <w:trPr>
          <w:trHeight w:val="20"/>
        </w:trPr>
        <w:tc>
          <w:tcPr>
            <w:tcW w:w="2299" w:type="pct"/>
            <w:shd w:val="clear" w:color="auto" w:fill="auto"/>
            <w:noWrap/>
            <w:vAlign w:val="center"/>
          </w:tcPr>
          <w:p w14:paraId="3AC23C46" w14:textId="3383CA6B" w:rsidR="00AA6FBD" w:rsidRPr="001A4892" w:rsidRDefault="005E1371" w:rsidP="005E1371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z</w:t>
            </w:r>
            <w:r w:rsidR="00851773" w:rsidRPr="001A4892">
              <w:rPr>
                <w:rFonts w:ascii="Calibri" w:eastAsia="Times New Roman" w:hAnsi="Calibri" w:cs="Calibri"/>
                <w:sz w:val="16"/>
                <w:szCs w:val="16"/>
              </w:rPr>
              <w:t xml:space="preserve"> toho: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- v</w:t>
            </w:r>
            <w:r w:rsidR="0066154D" w:rsidRPr="001A4892">
              <w:rPr>
                <w:rFonts w:ascii="Calibri" w:eastAsia="Times New Roman" w:hAnsi="Calibri" w:cs="Calibri"/>
                <w:sz w:val="16"/>
                <w:szCs w:val="16"/>
              </w:rPr>
              <w:t>rcholový management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488F2345" w14:textId="77777777" w:rsidR="00AA6FBD" w:rsidRPr="001A4892" w:rsidRDefault="00AA6FBD" w:rsidP="002A6E54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229 298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648DFBD" w14:textId="77777777" w:rsidR="00AA6FBD" w:rsidRPr="001A4892" w:rsidRDefault="00AA6FBD" w:rsidP="002A6E54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285 063</w:t>
            </w:r>
          </w:p>
        </w:tc>
        <w:tc>
          <w:tcPr>
            <w:tcW w:w="874" w:type="pct"/>
            <w:vAlign w:val="center"/>
          </w:tcPr>
          <w:p w14:paraId="24BC2F0D" w14:textId="77777777" w:rsidR="00AA6FBD" w:rsidRPr="001A4892" w:rsidRDefault="00AA6FBD" w:rsidP="008E3BF1">
            <w:pPr>
              <w:ind w:right="49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24,3 %</w:t>
            </w:r>
          </w:p>
        </w:tc>
      </w:tr>
      <w:tr w:rsidR="00AA6FBD" w:rsidRPr="002304AC" w14:paraId="505BFE99" w14:textId="77777777" w:rsidTr="008E3BF1">
        <w:trPr>
          <w:trHeight w:val="20"/>
        </w:trPr>
        <w:tc>
          <w:tcPr>
            <w:tcW w:w="2299" w:type="pct"/>
            <w:shd w:val="clear" w:color="auto" w:fill="auto"/>
            <w:noWrap/>
            <w:vAlign w:val="center"/>
          </w:tcPr>
          <w:p w14:paraId="7780DD07" w14:textId="61F941C9" w:rsidR="00AA6FBD" w:rsidRPr="001A4892" w:rsidRDefault="005E1371" w:rsidP="005E1371">
            <w:pPr>
              <w:ind w:left="497"/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- o</w:t>
            </w:r>
            <w:r w:rsidR="00851773" w:rsidRPr="001A4892">
              <w:rPr>
                <w:rFonts w:ascii="Calibri" w:eastAsia="Times New Roman" w:hAnsi="Calibri" w:cs="Calibri"/>
                <w:sz w:val="16"/>
                <w:szCs w:val="16"/>
              </w:rPr>
              <w:t>statní zaměstnanci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25AC47E3" w14:textId="77777777" w:rsidR="00AA6FBD" w:rsidRPr="001A4892" w:rsidRDefault="00AA6FBD" w:rsidP="002A6E54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31 277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D4E8A22" w14:textId="77777777" w:rsidR="00AA6FBD" w:rsidRPr="001A4892" w:rsidRDefault="00AA6FBD" w:rsidP="002A6E54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32 242</w:t>
            </w:r>
          </w:p>
        </w:tc>
        <w:tc>
          <w:tcPr>
            <w:tcW w:w="874" w:type="pct"/>
            <w:vAlign w:val="center"/>
          </w:tcPr>
          <w:p w14:paraId="29161CCF" w14:textId="77777777" w:rsidR="00AA6FBD" w:rsidRPr="001A4892" w:rsidRDefault="00AA6FBD" w:rsidP="008E3BF1">
            <w:pPr>
              <w:ind w:right="497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A4892">
              <w:rPr>
                <w:rFonts w:ascii="Calibri" w:eastAsia="Times New Roman" w:hAnsi="Calibri" w:cs="Calibri"/>
                <w:sz w:val="16"/>
                <w:szCs w:val="16"/>
              </w:rPr>
              <w:t>3,1 %</w:t>
            </w:r>
          </w:p>
        </w:tc>
      </w:tr>
    </w:tbl>
    <w:p w14:paraId="744325C5" w14:textId="3877AA72" w:rsidR="00AA6FBD" w:rsidRDefault="00AA6FBD" w:rsidP="003764C4">
      <w:pPr>
        <w:pStyle w:val="Poznmka"/>
      </w:pPr>
      <w:r w:rsidRPr="008E3BF1">
        <w:rPr>
          <w:b/>
        </w:rPr>
        <w:t>Zdroj:</w:t>
      </w:r>
      <w:r w:rsidRPr="007A2187">
        <w:t xml:space="preserve"> ZP MV ČR. </w:t>
      </w:r>
    </w:p>
    <w:p w14:paraId="4577CD64" w14:textId="77777777" w:rsidR="00AA6FBD" w:rsidRDefault="00AA6FBD" w:rsidP="00BD7994"/>
    <w:p w14:paraId="16071171" w14:textId="2D9EEE88" w:rsidR="00C65543" w:rsidRPr="003214E7" w:rsidRDefault="00C65543" w:rsidP="00BD7994">
      <w:pPr>
        <w:rPr>
          <w:szCs w:val="24"/>
        </w:rPr>
      </w:pPr>
      <w:r w:rsidRPr="00C65543">
        <w:t xml:space="preserve">Dle údajů uvedených v účetní závěrce ZP MV ČR za rok 2014 činily celkové </w:t>
      </w:r>
      <w:r w:rsidR="00C524B7">
        <w:t xml:space="preserve">náklady na </w:t>
      </w:r>
      <w:r w:rsidRPr="00C65543">
        <w:t>mzdy</w:t>
      </w:r>
      <w:r w:rsidR="00C66E10">
        <w:t xml:space="preserve"> vrcholov</w:t>
      </w:r>
      <w:r w:rsidR="005E1371">
        <w:t>ých</w:t>
      </w:r>
      <w:r w:rsidR="00C66E10">
        <w:t xml:space="preserve"> mana</w:t>
      </w:r>
      <w:r w:rsidR="00DE5F8D">
        <w:t>žerů</w:t>
      </w:r>
      <w:r w:rsidRPr="00C65543">
        <w:t xml:space="preserve"> 49 192 tis. Kč, což při jejich počtu </w:t>
      </w:r>
      <w:r w:rsidR="005E1371">
        <w:t>(</w:t>
      </w:r>
      <w:r w:rsidRPr="00C65543">
        <w:t>13</w:t>
      </w:r>
      <w:r w:rsidR="005E1371">
        <w:t>)</w:t>
      </w:r>
      <w:r w:rsidRPr="00C65543">
        <w:t xml:space="preserve"> představovalo průměrnou měsíční mzdu 315 333 Kč.</w:t>
      </w:r>
      <w:r w:rsidR="00DF5782">
        <w:t xml:space="preserve"> </w:t>
      </w:r>
      <w:r w:rsidRPr="00C65543">
        <w:rPr>
          <w:szCs w:val="24"/>
        </w:rPr>
        <w:t xml:space="preserve">Na mzdy zaměstnanců zdravotních pojišťoven se z hlediska </w:t>
      </w:r>
      <w:r w:rsidRPr="00C65543">
        <w:rPr>
          <w:szCs w:val="24"/>
        </w:rPr>
        <w:lastRenderedPageBreak/>
        <w:t>právních předpisů nevztahují pravidla platná pro odměňování zaměstnanců ve veřejném sektoru.</w:t>
      </w:r>
      <w:r w:rsidRPr="00C65543">
        <w:rPr>
          <w:rStyle w:val="Znakapoznpodarou"/>
          <w:szCs w:val="24"/>
        </w:rPr>
        <w:footnoteReference w:id="40"/>
      </w:r>
    </w:p>
    <w:p w14:paraId="1560028D" w14:textId="53651E19" w:rsidR="00C65543" w:rsidRDefault="00C65543" w:rsidP="00BD7994"/>
    <w:p w14:paraId="728EC82E" w14:textId="5B341C4B" w:rsidR="0006485F" w:rsidRDefault="0006485F" w:rsidP="0006485F">
      <w:r>
        <w:t>V rámci této kontrolní akce NKÚ prověřil čerpání provozního</w:t>
      </w:r>
      <w:r w:rsidR="004D6EDD">
        <w:t xml:space="preserve"> fondu ZP MV ČR v letech 2012 a </w:t>
      </w:r>
      <w:r>
        <w:t>2013 v celkové výši 55 554 457 Kč, což představuje 9,2 % z částky celkových provozních nákladů bez nákladů na mzdy a související sociální a zdravotní pojištění.</w:t>
      </w:r>
    </w:p>
    <w:p w14:paraId="06D9F4BE" w14:textId="77777777" w:rsidR="0006485F" w:rsidRDefault="0006485F" w:rsidP="004738E0"/>
    <w:p w14:paraId="739B4019" w14:textId="7DB310D7" w:rsidR="004738E0" w:rsidRDefault="00AA6FBD" w:rsidP="004738E0">
      <w:r w:rsidRPr="007A2187">
        <w:t xml:space="preserve">Na čerpání provozního fondu se v letech 2012 a 2013 významně podílely náklady na marketingové služby. Např. v roce 2013 se po mzdových nákladech (a s nimi souvisejících nákladech na sociální a zdravotní pojištění) jednalo o nejvýznamnější položku čerpání </w:t>
      </w:r>
      <w:r w:rsidR="007A4C36">
        <w:t>tohoto</w:t>
      </w:r>
      <w:r w:rsidRPr="007A2187">
        <w:t xml:space="preserve"> fondu</w:t>
      </w:r>
      <w:r w:rsidRPr="0006485F">
        <w:t xml:space="preserve">. </w:t>
      </w:r>
      <w:r w:rsidR="00A465C3">
        <w:t xml:space="preserve">Kromě marketingových služeb byly dále prověřeny </w:t>
      </w:r>
      <w:r w:rsidR="004F1DF5">
        <w:t>náklady na dárkové předměty</w:t>
      </w:r>
      <w:r w:rsidR="0042196B">
        <w:t xml:space="preserve"> a</w:t>
      </w:r>
      <w:r w:rsidR="004F1DF5">
        <w:t xml:space="preserve"> na </w:t>
      </w:r>
      <w:r w:rsidR="003D4791">
        <w:t>některé</w:t>
      </w:r>
      <w:r w:rsidR="0042196B">
        <w:t xml:space="preserve"> </w:t>
      </w:r>
      <w:r w:rsidR="004F1DF5">
        <w:t>ostatní služby.</w:t>
      </w:r>
    </w:p>
    <w:p w14:paraId="4DEF3825" w14:textId="77777777" w:rsidR="00A64D88" w:rsidRDefault="00A64D88" w:rsidP="004738E0"/>
    <w:p w14:paraId="0565BEF1" w14:textId="7415A147" w:rsidR="00576849" w:rsidRDefault="00576849" w:rsidP="00817328">
      <w:pPr>
        <w:pStyle w:val="Nadpis3"/>
        <w:spacing w:before="0"/>
        <w:ind w:left="567" w:hanging="567"/>
      </w:pPr>
      <w:r>
        <w:t>Marketingové služby</w:t>
      </w:r>
    </w:p>
    <w:p w14:paraId="68CA0977" w14:textId="168FA12F" w:rsidR="00A465C3" w:rsidRPr="00A465C3" w:rsidRDefault="00A465C3" w:rsidP="00A465C3">
      <w:r w:rsidRPr="00A465C3">
        <w:t>V oblasti marketingových služeb se kontrola NKÚ zaměřila na náklady na nábory nových pojištěnců, náklady spojené s využíváním služeb mediálně známých osobností k propagaci ZP</w:t>
      </w:r>
      <w:r w:rsidR="009033B1">
        <w:t> </w:t>
      </w:r>
      <w:r w:rsidRPr="00A465C3">
        <w:t>MV ČR, marketingové výzkumy a marketingové akce.</w:t>
      </w:r>
    </w:p>
    <w:p w14:paraId="01018F71" w14:textId="77777777" w:rsidR="002304AC" w:rsidRPr="003D4791" w:rsidRDefault="002304AC" w:rsidP="00D720C1">
      <w:pPr>
        <w:pStyle w:val="Nadpis4"/>
        <w:rPr>
          <w:b/>
        </w:rPr>
      </w:pPr>
      <w:bookmarkStart w:id="17" w:name="_Toc431818675"/>
      <w:r w:rsidRPr="003D4791">
        <w:rPr>
          <w:b/>
        </w:rPr>
        <w:t>Nábory nových pojištěnců</w:t>
      </w:r>
      <w:bookmarkEnd w:id="17"/>
    </w:p>
    <w:p w14:paraId="5288B0CB" w14:textId="24509595" w:rsidR="00D95056" w:rsidRDefault="00D95056" w:rsidP="00D95056">
      <w:pPr>
        <w:rPr>
          <w:rFonts w:ascii="Calibri" w:eastAsia="Times New Roman" w:hAnsi="Calibri" w:cs="Calibri"/>
          <w:szCs w:val="24"/>
        </w:rPr>
      </w:pPr>
      <w:bookmarkStart w:id="18" w:name="_Toc431818676"/>
      <w:r>
        <w:rPr>
          <w:rFonts w:ascii="Calibri" w:eastAsia="Times New Roman" w:hAnsi="Calibri" w:cs="Calibri"/>
          <w:szCs w:val="24"/>
        </w:rPr>
        <w:t>V </w:t>
      </w:r>
      <w:r w:rsidRPr="00197C55">
        <w:rPr>
          <w:rFonts w:ascii="Calibri" w:eastAsia="Times New Roman" w:hAnsi="Calibri" w:cs="Calibri"/>
          <w:szCs w:val="24"/>
        </w:rPr>
        <w:t>tabulce č. 1</w:t>
      </w:r>
      <w:r w:rsidR="009D1C42" w:rsidRPr="00197C55">
        <w:rPr>
          <w:rFonts w:ascii="Calibri" w:eastAsia="Times New Roman" w:hAnsi="Calibri" w:cs="Calibri"/>
          <w:szCs w:val="24"/>
        </w:rPr>
        <w:t>5</w:t>
      </w:r>
      <w:r w:rsidRPr="00197C55">
        <w:rPr>
          <w:rFonts w:ascii="Calibri" w:eastAsia="Times New Roman" w:hAnsi="Calibri" w:cs="Calibri"/>
          <w:szCs w:val="24"/>
        </w:rPr>
        <w:t xml:space="preserve"> jsou</w:t>
      </w:r>
      <w:r>
        <w:rPr>
          <w:rFonts w:ascii="Calibri" w:eastAsia="Times New Roman" w:hAnsi="Calibri" w:cs="Calibri"/>
          <w:szCs w:val="24"/>
        </w:rPr>
        <w:t xml:space="preserve"> uvedeny náklady na nábory nových pojištěnců, které pro ZP MV ČR realizovali dodavatelé a zaměstnanci na základě dohod o pracovní činnosti.</w:t>
      </w:r>
    </w:p>
    <w:p w14:paraId="60F34D7C" w14:textId="77777777" w:rsidR="00D95056" w:rsidRPr="002304AC" w:rsidRDefault="00D95056" w:rsidP="00D95056">
      <w:pPr>
        <w:rPr>
          <w:rFonts w:ascii="Calibri" w:eastAsia="Times New Roman" w:hAnsi="Calibri" w:cs="Calibri"/>
          <w:szCs w:val="24"/>
        </w:rPr>
      </w:pPr>
    </w:p>
    <w:p w14:paraId="70F083E8" w14:textId="1F273928" w:rsidR="00D95056" w:rsidRPr="00817328" w:rsidRDefault="00C45BBD" w:rsidP="00C45BBD">
      <w:pPr>
        <w:pStyle w:val="Nzevtabulky"/>
        <w:numPr>
          <w:ilvl w:val="0"/>
          <w:numId w:val="0"/>
        </w:numPr>
        <w:rPr>
          <w:b/>
        </w:rPr>
      </w:pPr>
      <w:r w:rsidRPr="00817328">
        <w:rPr>
          <w:b/>
        </w:rPr>
        <w:t>Tabulka č. 15</w:t>
      </w:r>
      <w:r w:rsidR="009033B1">
        <w:rPr>
          <w:b/>
        </w:rPr>
        <w:t xml:space="preserve"> –</w:t>
      </w:r>
      <w:r w:rsidRPr="00817328">
        <w:rPr>
          <w:b/>
        </w:rPr>
        <w:t xml:space="preserve"> </w:t>
      </w:r>
      <w:r w:rsidR="00D95056" w:rsidRPr="00817328">
        <w:rPr>
          <w:b/>
        </w:rPr>
        <w:t>Náklady</w:t>
      </w:r>
      <w:r w:rsidR="003D4791" w:rsidRPr="00817328">
        <w:rPr>
          <w:b/>
        </w:rPr>
        <w:t xml:space="preserve"> ZP MV ČR</w:t>
      </w:r>
      <w:r w:rsidR="00D95056" w:rsidRPr="00817328">
        <w:rPr>
          <w:b/>
        </w:rPr>
        <w:t xml:space="preserve"> na nábory nových pojištěnců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7"/>
        <w:gridCol w:w="1299"/>
        <w:gridCol w:w="1299"/>
        <w:gridCol w:w="1227"/>
      </w:tblGrid>
      <w:tr w:rsidR="00D95056" w:rsidRPr="002304AC" w14:paraId="7CE6953D" w14:textId="77777777" w:rsidTr="00817328">
        <w:trPr>
          <w:trHeight w:val="170"/>
        </w:trPr>
        <w:tc>
          <w:tcPr>
            <w:tcW w:w="2892" w:type="pct"/>
            <w:shd w:val="clear" w:color="auto" w:fill="C6D9F1" w:themeFill="text2" w:themeFillTint="33"/>
            <w:noWrap/>
            <w:vAlign w:val="center"/>
            <w:hideMark/>
          </w:tcPr>
          <w:p w14:paraId="560150C5" w14:textId="77777777" w:rsidR="00D95056" w:rsidRPr="00B46E74" w:rsidRDefault="00D95056" w:rsidP="00FA4AE8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Ukazatel</w:t>
            </w:r>
          </w:p>
        </w:tc>
        <w:tc>
          <w:tcPr>
            <w:tcW w:w="716" w:type="pct"/>
            <w:shd w:val="clear" w:color="auto" w:fill="C6D9F1" w:themeFill="text2" w:themeFillTint="33"/>
            <w:vAlign w:val="center"/>
          </w:tcPr>
          <w:p w14:paraId="0B846837" w14:textId="77777777" w:rsidR="00D95056" w:rsidRPr="00B46E74" w:rsidRDefault="00D95056" w:rsidP="00FA4AE8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2012</w:t>
            </w:r>
          </w:p>
        </w:tc>
        <w:tc>
          <w:tcPr>
            <w:tcW w:w="716" w:type="pct"/>
            <w:shd w:val="clear" w:color="auto" w:fill="C6D9F1" w:themeFill="text2" w:themeFillTint="33"/>
          </w:tcPr>
          <w:p w14:paraId="719EC6DE" w14:textId="77777777" w:rsidR="00D95056" w:rsidRPr="00B46E74" w:rsidRDefault="00D95056" w:rsidP="00FA4AE8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2013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14:paraId="73401806" w14:textId="77777777" w:rsidR="00D95056" w:rsidRPr="00B46E74" w:rsidRDefault="00D95056" w:rsidP="00FA4AE8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2014</w:t>
            </w:r>
          </w:p>
        </w:tc>
      </w:tr>
      <w:tr w:rsidR="00D95056" w:rsidRPr="002304AC" w14:paraId="6CF9D2CA" w14:textId="77777777" w:rsidTr="00FA4AE8">
        <w:trPr>
          <w:trHeight w:val="170"/>
        </w:trPr>
        <w:tc>
          <w:tcPr>
            <w:tcW w:w="2892" w:type="pct"/>
            <w:noWrap/>
            <w:vAlign w:val="center"/>
          </w:tcPr>
          <w:p w14:paraId="34F83721" w14:textId="475EF83E" w:rsidR="00D95056" w:rsidRPr="00B46E74" w:rsidRDefault="00D95056" w:rsidP="00FA4AE8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C</w:t>
            </w:r>
            <w:r w:rsidR="00A7407F"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elkové náklady na nábory (v Kč)</w:t>
            </w:r>
          </w:p>
        </w:tc>
        <w:tc>
          <w:tcPr>
            <w:tcW w:w="716" w:type="pct"/>
            <w:vAlign w:val="center"/>
          </w:tcPr>
          <w:p w14:paraId="3167AB1B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7 128 632,00</w:t>
            </w:r>
          </w:p>
        </w:tc>
        <w:tc>
          <w:tcPr>
            <w:tcW w:w="716" w:type="pct"/>
            <w:vAlign w:val="center"/>
          </w:tcPr>
          <w:p w14:paraId="711BF489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24 565 086,82</w:t>
            </w:r>
          </w:p>
        </w:tc>
        <w:tc>
          <w:tcPr>
            <w:tcW w:w="677" w:type="pct"/>
            <w:vAlign w:val="center"/>
          </w:tcPr>
          <w:p w14:paraId="588121C8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3 333 880,44</w:t>
            </w:r>
          </w:p>
        </w:tc>
      </w:tr>
      <w:tr w:rsidR="00A7407F" w:rsidRPr="002304AC" w14:paraId="67CAD46D" w14:textId="77777777" w:rsidTr="00FA4AE8">
        <w:trPr>
          <w:trHeight w:val="170"/>
        </w:trPr>
        <w:tc>
          <w:tcPr>
            <w:tcW w:w="2892" w:type="pct"/>
            <w:noWrap/>
            <w:vAlign w:val="center"/>
          </w:tcPr>
          <w:p w14:paraId="4740130B" w14:textId="3EC86609" w:rsidR="00A7407F" w:rsidRPr="00B46E74" w:rsidRDefault="009033B1" w:rsidP="00FA4AE8">
            <w:pPr>
              <w:jc w:val="lef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z</w:t>
            </w:r>
            <w:r w:rsidR="00A7407F" w:rsidRPr="00B46E74">
              <w:rPr>
                <w:rFonts w:ascii="Calibri" w:eastAsia="Times New Roman" w:hAnsi="Calibri" w:cs="Calibri"/>
                <w:sz w:val="16"/>
                <w:szCs w:val="16"/>
              </w:rPr>
              <w:t xml:space="preserve"> toho:</w:t>
            </w:r>
          </w:p>
        </w:tc>
        <w:tc>
          <w:tcPr>
            <w:tcW w:w="716" w:type="pct"/>
            <w:vAlign w:val="center"/>
          </w:tcPr>
          <w:p w14:paraId="00275E13" w14:textId="77777777" w:rsidR="00A7407F" w:rsidRPr="00B46E74" w:rsidRDefault="00A7407F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0150A08D" w14:textId="77777777" w:rsidR="00A7407F" w:rsidRPr="00B46E74" w:rsidRDefault="00A7407F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0D2BE3B2" w14:textId="77777777" w:rsidR="00A7407F" w:rsidRPr="00B46E74" w:rsidRDefault="00A7407F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D95056" w:rsidRPr="002304AC" w14:paraId="748071DD" w14:textId="77777777" w:rsidTr="00FA4AE8">
        <w:trPr>
          <w:trHeight w:val="170"/>
        </w:trPr>
        <w:tc>
          <w:tcPr>
            <w:tcW w:w="2892" w:type="pct"/>
            <w:noWrap/>
            <w:vAlign w:val="center"/>
          </w:tcPr>
          <w:p w14:paraId="4718871E" w14:textId="20269995" w:rsidR="00D95056" w:rsidRPr="00B46E74" w:rsidRDefault="003D4791" w:rsidP="00FA4AE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 xml:space="preserve">     </w:t>
            </w:r>
            <w:r w:rsidR="00D95056" w:rsidRPr="00B46E74">
              <w:rPr>
                <w:rFonts w:ascii="Calibri" w:eastAsia="Times New Roman" w:hAnsi="Calibri" w:cs="Calibri"/>
                <w:sz w:val="16"/>
                <w:szCs w:val="16"/>
              </w:rPr>
              <w:t>- náklady na nábory realizované dodavateli (v Kč)</w:t>
            </w:r>
          </w:p>
        </w:tc>
        <w:tc>
          <w:tcPr>
            <w:tcW w:w="716" w:type="pct"/>
            <w:vAlign w:val="center"/>
          </w:tcPr>
          <w:p w14:paraId="13046DEE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5 477 532,00</w:t>
            </w:r>
          </w:p>
        </w:tc>
        <w:tc>
          <w:tcPr>
            <w:tcW w:w="716" w:type="pct"/>
          </w:tcPr>
          <w:p w14:paraId="2BFA09BF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20 988 586,82</w:t>
            </w:r>
          </w:p>
        </w:tc>
        <w:tc>
          <w:tcPr>
            <w:tcW w:w="677" w:type="pct"/>
          </w:tcPr>
          <w:p w14:paraId="3254A666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219 880,44</w:t>
            </w:r>
          </w:p>
        </w:tc>
      </w:tr>
      <w:tr w:rsidR="00D95056" w:rsidRPr="002304AC" w14:paraId="0A99A4C3" w14:textId="77777777" w:rsidTr="00817328">
        <w:trPr>
          <w:trHeight w:val="170"/>
        </w:trPr>
        <w:tc>
          <w:tcPr>
            <w:tcW w:w="2892" w:type="pct"/>
            <w:tcBorders>
              <w:bottom w:val="double" w:sz="4" w:space="0" w:color="auto"/>
            </w:tcBorders>
            <w:noWrap/>
            <w:vAlign w:val="center"/>
          </w:tcPr>
          <w:p w14:paraId="7E9D312E" w14:textId="03DEB124" w:rsidR="00D95056" w:rsidRPr="00B46E74" w:rsidRDefault="003D4791" w:rsidP="00FA4AE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 xml:space="preserve">     </w:t>
            </w:r>
            <w:r w:rsidR="00D95056" w:rsidRPr="00B46E74">
              <w:rPr>
                <w:rFonts w:ascii="Calibri" w:eastAsia="Times New Roman" w:hAnsi="Calibri" w:cs="Calibri"/>
                <w:sz w:val="16"/>
                <w:szCs w:val="16"/>
              </w:rPr>
              <w:t>- mzdové náklady na nábory (v Kč)</w:t>
            </w:r>
          </w:p>
        </w:tc>
        <w:tc>
          <w:tcPr>
            <w:tcW w:w="716" w:type="pct"/>
            <w:tcBorders>
              <w:bottom w:val="double" w:sz="4" w:space="0" w:color="auto"/>
            </w:tcBorders>
            <w:vAlign w:val="center"/>
          </w:tcPr>
          <w:p w14:paraId="6F74A253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1 651 100,00</w:t>
            </w:r>
          </w:p>
        </w:tc>
        <w:tc>
          <w:tcPr>
            <w:tcW w:w="716" w:type="pct"/>
            <w:tcBorders>
              <w:bottom w:val="double" w:sz="4" w:space="0" w:color="auto"/>
            </w:tcBorders>
          </w:tcPr>
          <w:p w14:paraId="68844AA7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3 576 500,00</w:t>
            </w:r>
          </w:p>
        </w:tc>
        <w:tc>
          <w:tcPr>
            <w:tcW w:w="677" w:type="pct"/>
            <w:tcBorders>
              <w:bottom w:val="double" w:sz="4" w:space="0" w:color="auto"/>
            </w:tcBorders>
          </w:tcPr>
          <w:p w14:paraId="3630D64A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3 114 000,00</w:t>
            </w:r>
          </w:p>
        </w:tc>
      </w:tr>
      <w:tr w:rsidR="00D95056" w:rsidRPr="002304AC" w14:paraId="278FCFB8" w14:textId="77777777" w:rsidTr="00817328">
        <w:trPr>
          <w:trHeight w:val="170"/>
        </w:trPr>
        <w:tc>
          <w:tcPr>
            <w:tcW w:w="2892" w:type="pct"/>
            <w:tcBorders>
              <w:top w:val="double" w:sz="4" w:space="0" w:color="auto"/>
            </w:tcBorders>
            <w:noWrap/>
            <w:vAlign w:val="center"/>
          </w:tcPr>
          <w:p w14:paraId="43527214" w14:textId="4980D2B5" w:rsidR="00D95056" w:rsidRPr="00B46E74" w:rsidRDefault="00D95056" w:rsidP="00A7407F">
            <w:pP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Počet nově registrov</w:t>
            </w:r>
            <w:r w:rsidR="00A7407F"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aných pojištěnců celkem (osoby)</w:t>
            </w:r>
          </w:p>
        </w:tc>
        <w:tc>
          <w:tcPr>
            <w:tcW w:w="716" w:type="pct"/>
            <w:tcBorders>
              <w:top w:val="double" w:sz="4" w:space="0" w:color="auto"/>
            </w:tcBorders>
            <w:vAlign w:val="center"/>
          </w:tcPr>
          <w:p w14:paraId="4CEF4DAB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8 975</w:t>
            </w:r>
          </w:p>
        </w:tc>
        <w:tc>
          <w:tcPr>
            <w:tcW w:w="716" w:type="pct"/>
            <w:tcBorders>
              <w:top w:val="double" w:sz="4" w:space="0" w:color="auto"/>
            </w:tcBorders>
            <w:vAlign w:val="center"/>
          </w:tcPr>
          <w:p w14:paraId="13838240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25 280</w:t>
            </w: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14:paraId="37287EA8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3 380</w:t>
            </w:r>
          </w:p>
        </w:tc>
      </w:tr>
      <w:tr w:rsidR="00A7407F" w:rsidRPr="002304AC" w14:paraId="0934CC39" w14:textId="77777777" w:rsidTr="00FA4AE8">
        <w:trPr>
          <w:trHeight w:val="170"/>
        </w:trPr>
        <w:tc>
          <w:tcPr>
            <w:tcW w:w="2892" w:type="pct"/>
            <w:noWrap/>
            <w:vAlign w:val="center"/>
          </w:tcPr>
          <w:p w14:paraId="16392E7E" w14:textId="28FF2B15" w:rsidR="00A7407F" w:rsidRPr="00B46E74" w:rsidRDefault="009033B1" w:rsidP="00FA4AE8">
            <w:pP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z</w:t>
            </w:r>
            <w:r w:rsidR="00A7407F" w:rsidRPr="00B46E74">
              <w:rPr>
                <w:rFonts w:ascii="Calibri" w:eastAsia="Times New Roman" w:hAnsi="Calibri" w:cs="Calibri"/>
                <w:sz w:val="16"/>
                <w:szCs w:val="16"/>
              </w:rPr>
              <w:t xml:space="preserve"> toho:</w:t>
            </w:r>
          </w:p>
        </w:tc>
        <w:tc>
          <w:tcPr>
            <w:tcW w:w="716" w:type="pct"/>
            <w:vAlign w:val="center"/>
          </w:tcPr>
          <w:p w14:paraId="2AB96015" w14:textId="77777777" w:rsidR="00A7407F" w:rsidRPr="00B46E74" w:rsidRDefault="00A7407F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24A7C3F9" w14:textId="77777777" w:rsidR="00A7407F" w:rsidRPr="00B46E74" w:rsidRDefault="00A7407F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5315DFBA" w14:textId="77777777" w:rsidR="00A7407F" w:rsidRPr="00B46E74" w:rsidRDefault="00A7407F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D95056" w:rsidRPr="002304AC" w14:paraId="35B051E6" w14:textId="77777777" w:rsidTr="00FA4AE8">
        <w:trPr>
          <w:trHeight w:val="170"/>
        </w:trPr>
        <w:tc>
          <w:tcPr>
            <w:tcW w:w="2892" w:type="pct"/>
            <w:noWrap/>
            <w:vAlign w:val="center"/>
          </w:tcPr>
          <w:p w14:paraId="532093C5" w14:textId="113E548C" w:rsidR="00D95056" w:rsidRPr="00B46E74" w:rsidRDefault="003D4791" w:rsidP="00FA4AE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 xml:space="preserve">     </w:t>
            </w:r>
            <w:r w:rsidR="00D95056" w:rsidRPr="00B46E74">
              <w:rPr>
                <w:rFonts w:ascii="Calibri" w:eastAsia="Times New Roman" w:hAnsi="Calibri" w:cs="Calibri"/>
                <w:sz w:val="16"/>
                <w:szCs w:val="16"/>
              </w:rPr>
              <w:t>- nábory realizované dodavateli (osoby)</w:t>
            </w:r>
          </w:p>
        </w:tc>
        <w:tc>
          <w:tcPr>
            <w:tcW w:w="716" w:type="pct"/>
            <w:vAlign w:val="center"/>
          </w:tcPr>
          <w:p w14:paraId="23D1C2D0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7 278</w:t>
            </w:r>
          </w:p>
        </w:tc>
        <w:tc>
          <w:tcPr>
            <w:tcW w:w="716" w:type="pct"/>
          </w:tcPr>
          <w:p w14:paraId="412B5BA9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21 004</w:t>
            </w:r>
          </w:p>
        </w:tc>
        <w:tc>
          <w:tcPr>
            <w:tcW w:w="677" w:type="pct"/>
          </w:tcPr>
          <w:p w14:paraId="376841C7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220</w:t>
            </w:r>
          </w:p>
        </w:tc>
      </w:tr>
      <w:tr w:rsidR="00D95056" w:rsidRPr="002304AC" w14:paraId="751D3588" w14:textId="77777777" w:rsidTr="00FA4AE8">
        <w:trPr>
          <w:trHeight w:val="170"/>
        </w:trPr>
        <w:tc>
          <w:tcPr>
            <w:tcW w:w="2892" w:type="pct"/>
            <w:noWrap/>
            <w:vAlign w:val="center"/>
          </w:tcPr>
          <w:p w14:paraId="4842BFE4" w14:textId="1F3E479E" w:rsidR="00D95056" w:rsidRPr="00B46E74" w:rsidRDefault="003D4791" w:rsidP="00FA4AE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 xml:space="preserve">     </w:t>
            </w:r>
            <w:r w:rsidR="00D95056" w:rsidRPr="00B46E74">
              <w:rPr>
                <w:rFonts w:ascii="Calibri" w:eastAsia="Times New Roman" w:hAnsi="Calibri" w:cs="Calibri"/>
                <w:sz w:val="16"/>
                <w:szCs w:val="16"/>
              </w:rPr>
              <w:t>- nábory realizované zaměstnanci (osoby)</w:t>
            </w:r>
          </w:p>
        </w:tc>
        <w:tc>
          <w:tcPr>
            <w:tcW w:w="716" w:type="pct"/>
            <w:vAlign w:val="center"/>
          </w:tcPr>
          <w:p w14:paraId="43C877C7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1 697</w:t>
            </w:r>
          </w:p>
        </w:tc>
        <w:tc>
          <w:tcPr>
            <w:tcW w:w="716" w:type="pct"/>
          </w:tcPr>
          <w:p w14:paraId="7CA7E0FC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4 276</w:t>
            </w:r>
          </w:p>
        </w:tc>
        <w:tc>
          <w:tcPr>
            <w:tcW w:w="677" w:type="pct"/>
          </w:tcPr>
          <w:p w14:paraId="4F6F1FA1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sz w:val="16"/>
                <w:szCs w:val="16"/>
              </w:rPr>
              <w:t>3 160</w:t>
            </w:r>
          </w:p>
        </w:tc>
      </w:tr>
      <w:tr w:rsidR="00D95056" w:rsidRPr="002304AC" w14:paraId="50E627AB" w14:textId="77777777" w:rsidTr="00FA4AE8">
        <w:trPr>
          <w:trHeight w:val="170"/>
        </w:trPr>
        <w:tc>
          <w:tcPr>
            <w:tcW w:w="2892" w:type="pct"/>
            <w:noWrap/>
            <w:vAlign w:val="center"/>
          </w:tcPr>
          <w:p w14:paraId="7C9B9EA2" w14:textId="77777777" w:rsidR="00D95056" w:rsidRPr="00B46E74" w:rsidRDefault="00D95056" w:rsidP="00FA4AE8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Průměrné náklady na jednoho nově registrovaného pojištěnce (v Kč)</w:t>
            </w:r>
          </w:p>
        </w:tc>
        <w:tc>
          <w:tcPr>
            <w:tcW w:w="716" w:type="pct"/>
            <w:vAlign w:val="center"/>
          </w:tcPr>
          <w:p w14:paraId="7921B358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794,28</w:t>
            </w:r>
          </w:p>
        </w:tc>
        <w:tc>
          <w:tcPr>
            <w:tcW w:w="716" w:type="pct"/>
          </w:tcPr>
          <w:p w14:paraId="1CEA38F9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971,72</w:t>
            </w:r>
          </w:p>
        </w:tc>
        <w:tc>
          <w:tcPr>
            <w:tcW w:w="677" w:type="pct"/>
          </w:tcPr>
          <w:p w14:paraId="609861A0" w14:textId="77777777" w:rsidR="00D95056" w:rsidRPr="00B46E74" w:rsidRDefault="00D95056" w:rsidP="00FA4AE8">
            <w:pPr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B46E74">
              <w:rPr>
                <w:rFonts w:ascii="Calibri" w:eastAsia="Times New Roman" w:hAnsi="Calibri" w:cs="Calibri"/>
                <w:b/>
                <w:sz w:val="16"/>
                <w:szCs w:val="16"/>
              </w:rPr>
              <w:t>986,36</w:t>
            </w:r>
          </w:p>
        </w:tc>
      </w:tr>
    </w:tbl>
    <w:p w14:paraId="288C9E38" w14:textId="67649C7E" w:rsidR="00D95056" w:rsidRPr="007A2187" w:rsidRDefault="00D95056" w:rsidP="003764C4">
      <w:pPr>
        <w:pStyle w:val="Poznmka"/>
      </w:pPr>
      <w:r w:rsidRPr="00817328">
        <w:rPr>
          <w:b/>
        </w:rPr>
        <w:t>Zdroj:</w:t>
      </w:r>
      <w:r w:rsidRPr="007A2187">
        <w:t xml:space="preserve"> ZP MV ČR.</w:t>
      </w:r>
    </w:p>
    <w:p w14:paraId="359E8EAE" w14:textId="77777777" w:rsidR="00D95056" w:rsidRDefault="00D95056" w:rsidP="00D95056">
      <w:pPr>
        <w:jc w:val="left"/>
      </w:pPr>
    </w:p>
    <w:p w14:paraId="1B10A69C" w14:textId="4AA76D29" w:rsidR="0087135A" w:rsidRPr="00DF5782" w:rsidRDefault="0087135A" w:rsidP="0087135A">
      <w:r w:rsidRPr="00A7407F">
        <w:rPr>
          <w:b/>
        </w:rPr>
        <w:t>ZP MV ČR jako veřejný zadavatel nepostupovala při výběr</w:t>
      </w:r>
      <w:r w:rsidR="00F4697D">
        <w:rPr>
          <w:b/>
        </w:rPr>
        <w:t>u dodavatelů služeb spojených s </w:t>
      </w:r>
      <w:r w:rsidRPr="00A7407F">
        <w:rPr>
          <w:b/>
        </w:rPr>
        <w:t xml:space="preserve">nábory nových pojištěnců v souladu se zákonem </w:t>
      </w:r>
      <w:r w:rsidR="00D720C1" w:rsidRPr="00A7407F">
        <w:rPr>
          <w:b/>
        </w:rPr>
        <w:t>o veřejných zakázkách</w:t>
      </w:r>
      <w:r>
        <w:rPr>
          <w:rStyle w:val="Znakapoznpodarou"/>
        </w:rPr>
        <w:footnoteReference w:id="41"/>
      </w:r>
      <w:r w:rsidRPr="007A2187">
        <w:t xml:space="preserve">, neboť veřejné zakázky nezadala v žádném ze stanovených druhů zadávacích řízení dle tohoto zákona. Hodnota služeb spojených s nábory nových pojištěnců pořízených ZP MV ČR v roce 2012 ve </w:t>
      </w:r>
      <w:r w:rsidRPr="00DF5782">
        <w:t>výši 3 888 226,70 Kč bez DPH odpovídala podlimitní veřejné zaká</w:t>
      </w:r>
      <w:r w:rsidR="00F4697D">
        <w:t>zce na služby. V </w:t>
      </w:r>
      <w:r w:rsidRPr="00DF5782">
        <w:t xml:space="preserve">roce 2013 </w:t>
      </w:r>
      <w:r w:rsidR="009033B1">
        <w:t>měla být zadána</w:t>
      </w:r>
      <w:r w:rsidRPr="00DF5782">
        <w:t xml:space="preserve"> nadlimitní veřejn</w:t>
      </w:r>
      <w:r w:rsidR="009033B1">
        <w:t>á</w:t>
      </w:r>
      <w:r w:rsidRPr="00DF5782">
        <w:t xml:space="preserve"> zakázk</w:t>
      </w:r>
      <w:r w:rsidR="009033B1">
        <w:t>a</w:t>
      </w:r>
      <w:r w:rsidRPr="00DF5782">
        <w:t xml:space="preserve"> na služby v hodnotě 16 846 489,70 Kč bez DPH. ZP MV ČR rozdělila předmět těchto veřejných zakázek a zadala je formou veřejných zakázek malého rozsahu přímo vybraným dodavatelům.</w:t>
      </w:r>
    </w:p>
    <w:p w14:paraId="5ACA399A" w14:textId="77777777" w:rsidR="0087135A" w:rsidRPr="00DF5782" w:rsidRDefault="0087135A" w:rsidP="00D95056">
      <w:pPr>
        <w:jc w:val="left"/>
      </w:pPr>
    </w:p>
    <w:p w14:paraId="1ED475DD" w14:textId="73BD005D" w:rsidR="00D95056" w:rsidRPr="00545C2A" w:rsidRDefault="00D95056" w:rsidP="00D95056">
      <w:r w:rsidRPr="00DF5782">
        <w:t xml:space="preserve">Ministr zdravotnictví zaslal ZP MV ČR </w:t>
      </w:r>
      <w:r w:rsidR="003D4791" w:rsidRPr="00DF5782">
        <w:t>dne 25. 2. 2014</w:t>
      </w:r>
      <w:r w:rsidR="003D4791">
        <w:t xml:space="preserve"> </w:t>
      </w:r>
      <w:r w:rsidRPr="00DF5782">
        <w:t xml:space="preserve">dopis, ve kterém žádal o upuštění od </w:t>
      </w:r>
      <w:r w:rsidR="0087135A" w:rsidRPr="00DF5782">
        <w:t>náborů pojištěnců, neboť</w:t>
      </w:r>
      <w:r w:rsidRPr="00DF5782">
        <w:t xml:space="preserve"> považoval náklady </w:t>
      </w:r>
      <w:r w:rsidR="0087135A" w:rsidRPr="00DF5782">
        <w:t>s tím spojené</w:t>
      </w:r>
      <w:r w:rsidRPr="00DF5782">
        <w:t xml:space="preserve"> z hlediska systému veřejného </w:t>
      </w:r>
      <w:r w:rsidRPr="00DF5782">
        <w:lastRenderedPageBreak/>
        <w:t>zdravotního pojištění</w:t>
      </w:r>
      <w:r w:rsidR="0087135A" w:rsidRPr="00DF5782">
        <w:t xml:space="preserve"> za nadbytečné</w:t>
      </w:r>
      <w:r w:rsidRPr="00DF5782">
        <w:t xml:space="preserve">. Následně dne 6. 3. 2014 podepsali zástupci zaměstnaneckých pojišťoven sdružených ve Svazu zdravotních pojišťoven České republiky </w:t>
      </w:r>
      <w:r w:rsidRPr="00B062A2">
        <w:rPr>
          <w:i/>
        </w:rPr>
        <w:t>Prohlášení k problematice náboru nových pojištěnců prostře</w:t>
      </w:r>
      <w:r w:rsidR="00B11BEC" w:rsidRPr="00B062A2">
        <w:rPr>
          <w:i/>
        </w:rPr>
        <w:t>dnictvím externích partnerů</w:t>
      </w:r>
      <w:r w:rsidR="00B11BEC">
        <w:t>, v </w:t>
      </w:r>
      <w:r w:rsidRPr="00DF5782">
        <w:t>němž se dohodl</w:t>
      </w:r>
      <w:r w:rsidR="00F34C87">
        <w:t>i</w:t>
      </w:r>
      <w:r w:rsidRPr="00DF5782">
        <w:t xml:space="preserve"> na ukončení veškeré existující spolupráce s dealery a dealerskými společnostmi při náboru nových pojištěnců. V roce 2014 ZP MV ČR vynaložila na nábory nových pojištěnců realizované dodavateli již jen částku 219 880,44 Kč a tuto činnost ukončila.</w:t>
      </w:r>
      <w:r w:rsidR="008A6BBA">
        <w:t xml:space="preserve"> </w:t>
      </w:r>
    </w:p>
    <w:p w14:paraId="57BA7228" w14:textId="5967EAD9" w:rsidR="00D95056" w:rsidRDefault="006B08E9" w:rsidP="00D95056">
      <w:r w:rsidRPr="00545C2A">
        <w:t xml:space="preserve">S účinností od 1. 9. 2015 dle </w:t>
      </w:r>
      <w:r w:rsidR="00545C2A" w:rsidRPr="00545C2A">
        <w:t xml:space="preserve">novely </w:t>
      </w:r>
      <w:r w:rsidRPr="00545C2A">
        <w:t>zákona č. 280/1992 Sb.</w:t>
      </w:r>
      <w:r w:rsidR="00F34C87">
        <w:t>,</w:t>
      </w:r>
      <w:r w:rsidRPr="00545C2A">
        <w:t xml:space="preserve"> </w:t>
      </w:r>
      <w:r w:rsidR="00597910" w:rsidRPr="00545C2A">
        <w:t xml:space="preserve">nesmí </w:t>
      </w:r>
      <w:r w:rsidRPr="00545C2A">
        <w:t>zaměstnanecká</w:t>
      </w:r>
      <w:r>
        <w:t xml:space="preserve"> pojišťovna provádět nábor pojištěnců prostřednictvím třetí osoby</w:t>
      </w:r>
      <w:r w:rsidR="00545C2A">
        <w:rPr>
          <w:rStyle w:val="Znakapoznpodarou"/>
        </w:rPr>
        <w:footnoteReference w:id="42"/>
      </w:r>
      <w:r>
        <w:t>.</w:t>
      </w:r>
    </w:p>
    <w:p w14:paraId="009F4BBE" w14:textId="5F475924" w:rsidR="00B56E83" w:rsidRPr="003D4791" w:rsidRDefault="00204121" w:rsidP="00D720C1">
      <w:pPr>
        <w:pStyle w:val="Nadpis4"/>
        <w:rPr>
          <w:b/>
        </w:rPr>
      </w:pPr>
      <w:r w:rsidRPr="003D4791">
        <w:rPr>
          <w:b/>
        </w:rPr>
        <w:t>Využívání služeb mediálně známých osobností k propagaci</w:t>
      </w:r>
      <w:bookmarkEnd w:id="18"/>
      <w:r w:rsidRPr="003D4791">
        <w:rPr>
          <w:b/>
        </w:rPr>
        <w:t xml:space="preserve"> ZP MV ČR</w:t>
      </w:r>
    </w:p>
    <w:p w14:paraId="7A296DF8" w14:textId="4028F832" w:rsidR="00B56E83" w:rsidRDefault="00B56E83" w:rsidP="00B56E83">
      <w:r>
        <w:t xml:space="preserve">ZP MV ČR v rámci své propagace využívala </w:t>
      </w:r>
      <w:r w:rsidR="007C6E94">
        <w:t xml:space="preserve">i </w:t>
      </w:r>
      <w:r>
        <w:t xml:space="preserve">služeb mediálně známých osobností. </w:t>
      </w:r>
      <w:r w:rsidR="00707EAF" w:rsidRPr="00707EAF">
        <w:t xml:space="preserve">Kontrolované náklady na služby </w:t>
      </w:r>
      <w:r w:rsidR="00E118D2">
        <w:t>těchto osob</w:t>
      </w:r>
      <w:r w:rsidR="00707EAF" w:rsidRPr="00707EAF">
        <w:t xml:space="preserve"> činily celkem 4 118 274 Kč</w:t>
      </w:r>
      <w:r w:rsidR="00707EAF">
        <w:t>.</w:t>
      </w:r>
    </w:p>
    <w:p w14:paraId="404B2661" w14:textId="77777777" w:rsidR="00B56E83" w:rsidRDefault="00B56E83" w:rsidP="00B56E83"/>
    <w:p w14:paraId="3BAAD578" w14:textId="022F55CA" w:rsidR="00B56E83" w:rsidRDefault="00B56E83" w:rsidP="00B56E83">
      <w:r w:rsidRPr="00A7407F">
        <w:rPr>
          <w:b/>
        </w:rPr>
        <w:t xml:space="preserve">ZP MV ČR postupovala nehospodárně, když v letech 2012 </w:t>
      </w:r>
      <w:r w:rsidR="00204121" w:rsidRPr="00A7407F">
        <w:rPr>
          <w:b/>
        </w:rPr>
        <w:t>a</w:t>
      </w:r>
      <w:r w:rsidRPr="00A7407F">
        <w:rPr>
          <w:b/>
        </w:rPr>
        <w:t xml:space="preserve"> 2013 </w:t>
      </w:r>
      <w:r w:rsidR="00DC2D85" w:rsidRPr="00A7407F">
        <w:rPr>
          <w:b/>
        </w:rPr>
        <w:t>u</w:t>
      </w:r>
      <w:r w:rsidRPr="00A7407F">
        <w:rPr>
          <w:b/>
        </w:rPr>
        <w:t>hradila</w:t>
      </w:r>
      <w:r w:rsidR="00E118D2" w:rsidRPr="00A7407F">
        <w:rPr>
          <w:b/>
        </w:rPr>
        <w:t xml:space="preserve"> mediálně známým osobnostem</w:t>
      </w:r>
      <w:r w:rsidRPr="00A7407F">
        <w:rPr>
          <w:b/>
        </w:rPr>
        <w:t xml:space="preserve"> </w:t>
      </w:r>
      <w:r w:rsidR="00DC2D85" w:rsidRPr="00A7407F">
        <w:rPr>
          <w:b/>
        </w:rPr>
        <w:t xml:space="preserve">za </w:t>
      </w:r>
      <w:r w:rsidRPr="00A7407F">
        <w:rPr>
          <w:b/>
        </w:rPr>
        <w:t xml:space="preserve">některé vícepráce </w:t>
      </w:r>
      <w:r w:rsidR="00707EAF" w:rsidRPr="00A7407F">
        <w:rPr>
          <w:b/>
        </w:rPr>
        <w:t>nejméně</w:t>
      </w:r>
      <w:r w:rsidRPr="00A7407F">
        <w:rPr>
          <w:b/>
        </w:rPr>
        <w:t xml:space="preserve"> 287 000 Kč bez DPH</w:t>
      </w:r>
      <w:r w:rsidRPr="004E5580">
        <w:rPr>
          <w:b/>
        </w:rPr>
        <w:t>,</w:t>
      </w:r>
      <w:r>
        <w:t xml:space="preserve"> přestože </w:t>
      </w:r>
      <w:r w:rsidR="002345B9">
        <w:t xml:space="preserve">se </w:t>
      </w:r>
      <w:r>
        <w:t xml:space="preserve">předmět </w:t>
      </w:r>
      <w:r w:rsidR="002345B9">
        <w:t xml:space="preserve">víceprací </w:t>
      </w:r>
      <w:r>
        <w:t xml:space="preserve">shodoval s předmětem uzavřených smluv, na </w:t>
      </w:r>
      <w:r w:rsidR="002345B9">
        <w:t xml:space="preserve">jejichž </w:t>
      </w:r>
      <w:r>
        <w:t>základě jim ZP MV ČR hradila</w:t>
      </w:r>
      <w:r w:rsidR="003D3356">
        <w:t xml:space="preserve"> pravidelně </w:t>
      </w:r>
      <w:r>
        <w:t>paušální měsíční částky.</w:t>
      </w:r>
    </w:p>
    <w:p w14:paraId="09FD6079" w14:textId="77777777" w:rsidR="00A13081" w:rsidRDefault="00A13081" w:rsidP="00B56E83"/>
    <w:p w14:paraId="586AAF4A" w14:textId="41A6CB11" w:rsidR="00A13081" w:rsidRPr="00470C47" w:rsidRDefault="00470C47" w:rsidP="00B56E83">
      <w:r w:rsidRPr="00DC2D85">
        <w:t>ZP MV ČR k</w:t>
      </w:r>
      <w:r w:rsidR="00DC2D85" w:rsidRPr="00DC2D85">
        <w:t> </w:t>
      </w:r>
      <w:r w:rsidRPr="00DC2D85">
        <w:t>tomu</w:t>
      </w:r>
      <w:r w:rsidR="00DC2D85" w:rsidRPr="00DC2D85">
        <w:t>to zjištění NKÚ</w:t>
      </w:r>
      <w:r w:rsidRPr="00DC2D85">
        <w:t xml:space="preserve"> uvedla, že </w:t>
      </w:r>
      <w:r w:rsidR="00A13081" w:rsidRPr="00DC2D85">
        <w:t>se dohodla s poskytovateli výše uvedených služeb</w:t>
      </w:r>
      <w:r w:rsidR="00A13081" w:rsidRPr="00470C47">
        <w:t xml:space="preserve"> </w:t>
      </w:r>
      <w:r w:rsidRPr="00470C47">
        <w:t>a</w:t>
      </w:r>
      <w:r w:rsidR="00A13081" w:rsidRPr="00470C47">
        <w:t xml:space="preserve"> že </w:t>
      </w:r>
      <w:r w:rsidR="00DC2D85">
        <w:t xml:space="preserve">v této souvislosti </w:t>
      </w:r>
      <w:r w:rsidR="00A13081" w:rsidRPr="00470C47">
        <w:t>došlo z jejich strany k vrácení vyplacených finančních prostředků</w:t>
      </w:r>
      <w:r w:rsidRPr="00470C47">
        <w:t>.</w:t>
      </w:r>
    </w:p>
    <w:p w14:paraId="26FD8334" w14:textId="6E2052E0" w:rsidR="00B56E83" w:rsidRPr="003D4791" w:rsidRDefault="00B56E83" w:rsidP="00D720C1">
      <w:pPr>
        <w:pStyle w:val="Nadpis4"/>
        <w:rPr>
          <w:b/>
        </w:rPr>
      </w:pPr>
      <w:bookmarkStart w:id="19" w:name="_Toc431818677"/>
      <w:r w:rsidRPr="003D4791">
        <w:rPr>
          <w:b/>
        </w:rPr>
        <w:t>Marketingové výzkumy</w:t>
      </w:r>
      <w:bookmarkEnd w:id="19"/>
      <w:r w:rsidR="00A7407F" w:rsidRPr="003D4791">
        <w:rPr>
          <w:b/>
        </w:rPr>
        <w:t xml:space="preserve"> a marketingové akce</w:t>
      </w:r>
    </w:p>
    <w:p w14:paraId="33871AEC" w14:textId="6BCCFDE4" w:rsidR="00E57D57" w:rsidRDefault="00E57D57" w:rsidP="00E57D57">
      <w:r>
        <w:t xml:space="preserve">V oblasti marketingových výzkumů bylo zjištěno, že </w:t>
      </w:r>
      <w:r w:rsidR="00244451">
        <w:t xml:space="preserve">ZP MV ČR </w:t>
      </w:r>
      <w:r w:rsidR="00B56E83" w:rsidRPr="00244451">
        <w:t>v letech 2012 a</w:t>
      </w:r>
      <w:r w:rsidR="007C6E94" w:rsidRPr="00244451">
        <w:t xml:space="preserve"> </w:t>
      </w:r>
      <w:r w:rsidR="00B56E83" w:rsidRPr="00244451">
        <w:t>2013 objednala od jednoho dodavatele tři marketingové výzkumy</w:t>
      </w:r>
      <w:r w:rsidR="007C6E94" w:rsidRPr="00244451">
        <w:t xml:space="preserve"> </w:t>
      </w:r>
      <w:r w:rsidR="00D02C17" w:rsidRPr="00244451">
        <w:t xml:space="preserve">za </w:t>
      </w:r>
      <w:r w:rsidR="00DC2D85" w:rsidRPr="00244451">
        <w:t xml:space="preserve">celkem </w:t>
      </w:r>
      <w:r w:rsidR="007C6E94" w:rsidRPr="00244451">
        <w:t>652 400 Kč</w:t>
      </w:r>
      <w:r w:rsidR="00A253CA">
        <w:t>, aniž by s </w:t>
      </w:r>
      <w:r w:rsidR="00B56E83" w:rsidRPr="00244451">
        <w:t xml:space="preserve">žádostí o cenovou nabídku oslovila i jiné </w:t>
      </w:r>
      <w:r w:rsidR="00327561">
        <w:t>dodavatele</w:t>
      </w:r>
      <w:r w:rsidR="00244451">
        <w:t xml:space="preserve">. </w:t>
      </w:r>
      <w:r w:rsidR="00327561">
        <w:t>Vybraná s</w:t>
      </w:r>
      <w:r w:rsidR="00244451">
        <w:t xml:space="preserve">polečnost vznikla </w:t>
      </w:r>
      <w:r w:rsidR="00327561">
        <w:t>nedlouho před zadáním veřejné zakázky.</w:t>
      </w:r>
    </w:p>
    <w:p w14:paraId="3FEA825C" w14:textId="77777777" w:rsidR="00327561" w:rsidRDefault="00327561" w:rsidP="00E57D57"/>
    <w:p w14:paraId="6D49BF60" w14:textId="1955D036" w:rsidR="00A64D88" w:rsidRDefault="00327561" w:rsidP="00E57D57">
      <w:r w:rsidRPr="00327561">
        <w:t xml:space="preserve">V oblasti marketingových </w:t>
      </w:r>
      <w:r>
        <w:t>akcí</w:t>
      </w:r>
      <w:r w:rsidRPr="00327561">
        <w:t xml:space="preserve"> bylo </w:t>
      </w:r>
      <w:r>
        <w:t xml:space="preserve">například </w:t>
      </w:r>
      <w:r w:rsidRPr="00327561">
        <w:t>zjištěno</w:t>
      </w:r>
      <w:r>
        <w:t>, že ZP MV ČR v</w:t>
      </w:r>
      <w:r w:rsidR="00A7407F" w:rsidRPr="00327561">
        <w:t xml:space="preserve"> roce 2013 zadala veřejnou zakázku malého rozsahu, jejímž předmětem bylo zajištění služeb pro marketingovou akci </w:t>
      </w:r>
      <w:r w:rsidR="00A7407F" w:rsidRPr="004E5580">
        <w:rPr>
          <w:i/>
        </w:rPr>
        <w:t>Akce roku 2013 na podporu prevence</w:t>
      </w:r>
      <w:r w:rsidR="004E5580">
        <w:t>,</w:t>
      </w:r>
      <w:r w:rsidR="00A7407F" w:rsidRPr="00327561">
        <w:t xml:space="preserve"> v hodnotě 898 380 Kč bez DPH zájemci,</w:t>
      </w:r>
      <w:r>
        <w:t xml:space="preserve"> jehož nabídka nekorespondovala s požadavkem zadavatele.</w:t>
      </w:r>
    </w:p>
    <w:p w14:paraId="6E8EEA18" w14:textId="77777777" w:rsidR="004E5580" w:rsidRDefault="004E5580" w:rsidP="00E57D57"/>
    <w:p w14:paraId="3A799BE8" w14:textId="66FA57A7" w:rsidR="002304AC" w:rsidRPr="007A2187" w:rsidRDefault="003D3356" w:rsidP="004E5580">
      <w:pPr>
        <w:pStyle w:val="Nadpis3"/>
        <w:spacing w:before="0"/>
        <w:ind w:left="567" w:hanging="567"/>
      </w:pPr>
      <w:bookmarkStart w:id="20" w:name="_Toc431818679"/>
      <w:r>
        <w:t>Dárkové</w:t>
      </w:r>
      <w:r w:rsidR="002304AC" w:rsidRPr="007A2187">
        <w:t xml:space="preserve"> předměty</w:t>
      </w:r>
      <w:bookmarkEnd w:id="20"/>
    </w:p>
    <w:p w14:paraId="0DBD286F" w14:textId="009D8D3A" w:rsidR="00FA4AE8" w:rsidRDefault="00FA4AE8" w:rsidP="00D069A8">
      <w:bookmarkStart w:id="21" w:name="_Toc431818680"/>
      <w:r w:rsidRPr="007A2187">
        <w:t xml:space="preserve">V letech 2012 až 2014 ZP MV ČR vynaložila na nákup </w:t>
      </w:r>
      <w:r w:rsidR="003D3356">
        <w:t>dárkových</w:t>
      </w:r>
      <w:r w:rsidRPr="007A2187">
        <w:t xml:space="preserve"> předmětů </w:t>
      </w:r>
      <w:r>
        <w:t>celkem</w:t>
      </w:r>
      <w:r w:rsidR="00D069A8">
        <w:t xml:space="preserve"> 16 716 </w:t>
      </w:r>
      <w:r w:rsidRPr="007A2187">
        <w:t xml:space="preserve">875 Kč. Mezi nejdražší </w:t>
      </w:r>
      <w:r w:rsidR="003D3356">
        <w:t>dárkové</w:t>
      </w:r>
      <w:r w:rsidRPr="007A2187">
        <w:t xml:space="preserve"> předměty dle uvedených jednotkových cen vč. DPH patřily např. </w:t>
      </w:r>
      <w:r w:rsidR="008E012B">
        <w:t>dárkové</w:t>
      </w:r>
      <w:r w:rsidR="008E012B" w:rsidRPr="007A2187">
        <w:t xml:space="preserve"> balíčky (v cenách 1 600 Kč, 1 000 Kč, 700 Kč a 600 Kč)</w:t>
      </w:r>
      <w:r w:rsidR="008E012B">
        <w:t xml:space="preserve">, </w:t>
      </w:r>
      <w:r w:rsidR="008E012B" w:rsidRPr="007A2187">
        <w:t>cestovní tašky na kolečkách (594 Kč),</w:t>
      </w:r>
      <w:r w:rsidR="008E012B">
        <w:t xml:space="preserve"> </w:t>
      </w:r>
      <w:r w:rsidR="008E012B" w:rsidRPr="007A2187">
        <w:t xml:space="preserve">pamětní medaile (588 Kč), </w:t>
      </w:r>
      <w:r w:rsidR="00A377E9" w:rsidRPr="007A2187">
        <w:t>sady k</w:t>
      </w:r>
      <w:r w:rsidR="00A377E9">
        <w:t> osobnímu počítači</w:t>
      </w:r>
      <w:r w:rsidR="00A377E9" w:rsidRPr="007A2187">
        <w:t xml:space="preserve"> (55</w:t>
      </w:r>
      <w:r w:rsidR="00A377E9">
        <w:t>3</w:t>
      </w:r>
      <w:r w:rsidR="00A377E9" w:rsidRPr="007A2187">
        <w:t xml:space="preserve"> Kč),</w:t>
      </w:r>
      <w:r w:rsidR="00A377E9">
        <w:t xml:space="preserve"> </w:t>
      </w:r>
      <w:r w:rsidR="00A377E9" w:rsidRPr="007A2187">
        <w:t>mikiny (504 Kč), spací pytle (499 Kč)</w:t>
      </w:r>
      <w:r w:rsidR="00A377E9">
        <w:t xml:space="preserve">, </w:t>
      </w:r>
      <w:r w:rsidR="00A377E9" w:rsidRPr="007A2187">
        <w:t>webkamery (426 Kč),</w:t>
      </w:r>
      <w:r w:rsidR="00A377E9">
        <w:t xml:space="preserve"> </w:t>
      </w:r>
      <w:r w:rsidR="00A377E9" w:rsidRPr="007A2187">
        <w:t xml:space="preserve">dárková balení </w:t>
      </w:r>
      <w:r w:rsidR="00A377E9">
        <w:t>dvou kusů vín</w:t>
      </w:r>
      <w:r w:rsidR="00A377E9" w:rsidRPr="007A2187">
        <w:t xml:space="preserve"> (420 Kč)</w:t>
      </w:r>
      <w:r w:rsidR="00A377E9">
        <w:t>.</w:t>
      </w:r>
    </w:p>
    <w:p w14:paraId="2DC904F7" w14:textId="77777777" w:rsidR="00351AF5" w:rsidRDefault="00351AF5" w:rsidP="00FA4AE8"/>
    <w:p w14:paraId="61D46F91" w14:textId="5E53953B" w:rsidR="00A253CA" w:rsidRDefault="00351AF5" w:rsidP="00351AF5">
      <w:r w:rsidRPr="007A2187">
        <w:t>ZP MV ČR v</w:t>
      </w:r>
      <w:r>
        <w:t>e sledovaném</w:t>
      </w:r>
      <w:r w:rsidRPr="007A2187">
        <w:t xml:space="preserve"> období nevedla evidenci </w:t>
      </w:r>
      <w:r w:rsidR="004F1DF5">
        <w:t>pořízených</w:t>
      </w:r>
      <w:r w:rsidR="00167006">
        <w:t xml:space="preserve"> a </w:t>
      </w:r>
      <w:r w:rsidRPr="007A2187">
        <w:t>vyd</w:t>
      </w:r>
      <w:r w:rsidR="004F1DF5">
        <w:t>aných</w:t>
      </w:r>
      <w:r w:rsidRPr="007A2187">
        <w:t xml:space="preserve"> dárkových předmětů. </w:t>
      </w:r>
    </w:p>
    <w:p w14:paraId="70B802E2" w14:textId="5C8CE60D" w:rsidR="00351AF5" w:rsidRPr="007A2187" w:rsidRDefault="00351AF5" w:rsidP="00A253CA">
      <w:pPr>
        <w:jc w:val="left"/>
      </w:pPr>
    </w:p>
    <w:p w14:paraId="17ACFCB7" w14:textId="3F56C747" w:rsidR="007A19A0" w:rsidRDefault="007A19A0" w:rsidP="0053205D">
      <w:pPr>
        <w:pStyle w:val="Nadpis3"/>
        <w:keepNext/>
        <w:ind w:left="567" w:hanging="567"/>
      </w:pPr>
      <w:r>
        <w:lastRenderedPageBreak/>
        <w:t>Ostatní služby</w:t>
      </w:r>
    </w:p>
    <w:p w14:paraId="4150443E" w14:textId="36ECE412" w:rsidR="007A19A0" w:rsidRDefault="007A19A0" w:rsidP="00FA4AE8">
      <w:r>
        <w:t xml:space="preserve">V oblasti ostatních služeb se kontrola NKÚ zaměřila zejména na výdaje </w:t>
      </w:r>
      <w:r w:rsidR="00B43B98">
        <w:t xml:space="preserve">ZP MV ČR </w:t>
      </w:r>
      <w:r>
        <w:t xml:space="preserve">na externí </w:t>
      </w:r>
      <w:r w:rsidR="00AB1ABA">
        <w:t xml:space="preserve">poradenské </w:t>
      </w:r>
      <w:r>
        <w:t>služby.</w:t>
      </w:r>
    </w:p>
    <w:p w14:paraId="416BB03F" w14:textId="7792D684" w:rsidR="00CB1848" w:rsidRPr="003D4791" w:rsidRDefault="00CB1848" w:rsidP="00D720C1">
      <w:pPr>
        <w:pStyle w:val="Nadpis4"/>
        <w:rPr>
          <w:b/>
        </w:rPr>
      </w:pPr>
      <w:r w:rsidRPr="003D4791">
        <w:rPr>
          <w:b/>
        </w:rPr>
        <w:t>Smlouva o spolupráci na projektu</w:t>
      </w:r>
      <w:r w:rsidR="00384FAF" w:rsidRPr="003D4791">
        <w:rPr>
          <w:b/>
        </w:rPr>
        <w:t xml:space="preserve"> </w:t>
      </w:r>
      <w:r w:rsidR="00384FAF" w:rsidRPr="004E5580">
        <w:rPr>
          <w:b/>
          <w:i/>
        </w:rPr>
        <w:t>Zvýšení efektivity vnitropodnikových procesů</w:t>
      </w:r>
      <w:bookmarkEnd w:id="21"/>
    </w:p>
    <w:p w14:paraId="1B439C03" w14:textId="42906E2B" w:rsidR="005E6D15" w:rsidRDefault="00CB1848" w:rsidP="00CB1848">
      <w:r w:rsidRPr="007A2187">
        <w:t xml:space="preserve">ZP MV ČR v letech 2013 a 2014 </w:t>
      </w:r>
      <w:r w:rsidR="005F5C1D">
        <w:t>vynaložila</w:t>
      </w:r>
      <w:r w:rsidRPr="007A2187">
        <w:t xml:space="preserve"> finanční prostředky v celkové výši 1 161 600 Kč na </w:t>
      </w:r>
      <w:r w:rsidRPr="0042196B">
        <w:t xml:space="preserve">základě </w:t>
      </w:r>
      <w:r w:rsidR="0042196B">
        <w:t>s</w:t>
      </w:r>
      <w:r w:rsidRPr="0042196B">
        <w:t xml:space="preserve">mlouvy o odborné spolupráci na projektu </w:t>
      </w:r>
      <w:r w:rsidRPr="004E5580">
        <w:rPr>
          <w:i/>
        </w:rPr>
        <w:t>Zvýšení efektivity vnitropodnikových procesů</w:t>
      </w:r>
      <w:r w:rsidR="00167006" w:rsidRPr="0042196B">
        <w:t xml:space="preserve">. </w:t>
      </w:r>
      <w:r w:rsidRPr="0042196B">
        <w:t xml:space="preserve">Předmět </w:t>
      </w:r>
      <w:r w:rsidR="009D711A" w:rsidRPr="0042196B">
        <w:t xml:space="preserve">této smlouvy </w:t>
      </w:r>
      <w:r w:rsidRPr="0042196B">
        <w:t>a</w:t>
      </w:r>
      <w:r w:rsidR="00B43B98">
        <w:t>ni</w:t>
      </w:r>
      <w:r w:rsidRPr="0042196B">
        <w:t xml:space="preserve"> jeho rozsah nebyl</w:t>
      </w:r>
      <w:r w:rsidR="00B43B98">
        <w:t>y</w:t>
      </w:r>
      <w:r w:rsidRPr="0042196B">
        <w:t xml:space="preserve"> dostatečně konkrétně smluvně</w:t>
      </w:r>
      <w:r w:rsidRPr="007A2187">
        <w:t xml:space="preserve"> vymezen</w:t>
      </w:r>
      <w:r w:rsidR="00B43B98">
        <w:t>y</w:t>
      </w:r>
      <w:r w:rsidR="005F5C1D">
        <w:t>, chyběla</w:t>
      </w:r>
      <w:r w:rsidRPr="007A2187">
        <w:t xml:space="preserve"> podrobnější specifikac</w:t>
      </w:r>
      <w:r w:rsidR="005F5C1D">
        <w:t xml:space="preserve">e služeb poskytovaných dodavatelem </w:t>
      </w:r>
      <w:r w:rsidRPr="007A2187">
        <w:t>v rámci jednotlivých etap</w:t>
      </w:r>
      <w:r w:rsidR="005F5C1D">
        <w:t xml:space="preserve"> projektu a jejich rozsah</w:t>
      </w:r>
      <w:r w:rsidRPr="007A2187">
        <w:t xml:space="preserve"> (např. </w:t>
      </w:r>
      <w:r w:rsidR="005F5C1D">
        <w:t>počet</w:t>
      </w:r>
      <w:r w:rsidRPr="007A2187">
        <w:t xml:space="preserve"> hodin práce). </w:t>
      </w:r>
      <w:r w:rsidR="00F933A6">
        <w:t>Ceny za etapy projektu však byly sjednány pevnou částkou.</w:t>
      </w:r>
      <w:r w:rsidRPr="007A2187">
        <w:t xml:space="preserve"> </w:t>
      </w:r>
    </w:p>
    <w:p w14:paraId="1BD9D34E" w14:textId="77777777" w:rsidR="005E6D15" w:rsidRDefault="005E6D15" w:rsidP="00CB1848"/>
    <w:p w14:paraId="040641A7" w14:textId="54DF89A2" w:rsidR="00CB1848" w:rsidRPr="007A2187" w:rsidRDefault="00CB1848" w:rsidP="00CB1848">
      <w:r w:rsidRPr="007A2187">
        <w:t xml:space="preserve">Přestože </w:t>
      </w:r>
      <w:r w:rsidR="00B43B98">
        <w:t>po</w:t>
      </w:r>
      <w:r w:rsidR="00B43B98" w:rsidRPr="007A2187">
        <w:t xml:space="preserve">dle </w:t>
      </w:r>
      <w:r w:rsidR="00B43B98">
        <w:t>smlouvy</w:t>
      </w:r>
      <w:r w:rsidR="00B43B98" w:rsidRPr="007A2187">
        <w:t xml:space="preserve"> </w:t>
      </w:r>
      <w:r w:rsidRPr="007A2187">
        <w:t>měly být součástí faktur zprávy za jedn</w:t>
      </w:r>
      <w:r w:rsidR="00D069A8">
        <w:t>otlivé etapy, dodavatel u tří z </w:t>
      </w:r>
      <w:r w:rsidRPr="007A2187">
        <w:t xml:space="preserve">pěti etap projektu tyto zprávy ZP MV ČR nepředal. ZP MV ČR </w:t>
      </w:r>
      <w:r w:rsidR="007A19A0">
        <w:t>přes tento nedostatek</w:t>
      </w:r>
      <w:r w:rsidRPr="007A2187">
        <w:t xml:space="preserve"> uhradila dodavateli </w:t>
      </w:r>
      <w:r w:rsidR="005E6D15">
        <w:t>celkem 571 725 Kč.</w:t>
      </w:r>
      <w:r w:rsidR="00F933A6" w:rsidRPr="00F933A6">
        <w:t xml:space="preserve"> </w:t>
      </w:r>
      <w:r w:rsidR="003D4791" w:rsidRPr="009B361E">
        <w:rPr>
          <w:b/>
        </w:rPr>
        <w:t>ZP MV ČR neprovedla řádně říd</w:t>
      </w:r>
      <w:r w:rsidR="00B43B98">
        <w:rPr>
          <w:b/>
        </w:rPr>
        <w:t>i</w:t>
      </w:r>
      <w:r w:rsidR="003D4791" w:rsidRPr="009B361E">
        <w:rPr>
          <w:b/>
        </w:rPr>
        <w:t>cí kontrolu podle zákona o finanční kontrole</w:t>
      </w:r>
      <w:r w:rsidR="003D4791" w:rsidRPr="009B361E">
        <w:rPr>
          <w:rStyle w:val="Znakapoznpodarou"/>
          <w:b/>
        </w:rPr>
        <w:footnoteReference w:id="43"/>
      </w:r>
      <w:r w:rsidR="003D4791" w:rsidRPr="009B361E">
        <w:rPr>
          <w:b/>
        </w:rPr>
        <w:t>.</w:t>
      </w:r>
      <w:r w:rsidR="003D4791">
        <w:rPr>
          <w:b/>
        </w:rPr>
        <w:t xml:space="preserve"> </w:t>
      </w:r>
      <w:r w:rsidR="00F933A6" w:rsidRPr="003D4791">
        <w:rPr>
          <w:b/>
        </w:rPr>
        <w:t xml:space="preserve">Související účetní záznamy </w:t>
      </w:r>
      <w:r w:rsidR="008B4FE8" w:rsidRPr="003D4791">
        <w:rPr>
          <w:b/>
        </w:rPr>
        <w:t>nebyly průkazné</w:t>
      </w:r>
      <w:r w:rsidR="00167006" w:rsidRPr="003D4791">
        <w:rPr>
          <w:b/>
        </w:rPr>
        <w:t>,</w:t>
      </w:r>
      <w:r w:rsidR="008B4FE8" w:rsidRPr="003D4791">
        <w:rPr>
          <w:b/>
        </w:rPr>
        <w:t xml:space="preserve"> </w:t>
      </w:r>
      <w:r w:rsidR="00167006" w:rsidRPr="003D4791">
        <w:rPr>
          <w:b/>
        </w:rPr>
        <w:t>jak ukládá</w:t>
      </w:r>
      <w:r w:rsidR="00F933A6" w:rsidRPr="003D4791">
        <w:rPr>
          <w:b/>
        </w:rPr>
        <w:t xml:space="preserve"> zákon </w:t>
      </w:r>
      <w:r w:rsidR="00A465C3" w:rsidRPr="003D4791">
        <w:rPr>
          <w:b/>
        </w:rPr>
        <w:t>o účetnictví</w:t>
      </w:r>
      <w:r w:rsidR="0018116A" w:rsidRPr="004E5580">
        <w:rPr>
          <w:rStyle w:val="Znakapoznpodarou"/>
          <w:b/>
        </w:rPr>
        <w:footnoteReference w:id="44"/>
      </w:r>
      <w:r w:rsidR="00A465C3" w:rsidRPr="004E5580">
        <w:rPr>
          <w:b/>
        </w:rPr>
        <w:t>.</w:t>
      </w:r>
      <w:r w:rsidR="00A465C3">
        <w:t xml:space="preserve"> </w:t>
      </w:r>
      <w:r w:rsidR="00F933A6" w:rsidRPr="009B361E">
        <w:rPr>
          <w:b/>
        </w:rPr>
        <w:t>Z</w:t>
      </w:r>
      <w:r w:rsidR="00F933A6" w:rsidRPr="00C54851">
        <w:rPr>
          <w:b/>
        </w:rPr>
        <w:t xml:space="preserve">P MV ČR </w:t>
      </w:r>
      <w:r w:rsidR="00167006" w:rsidRPr="00C54851">
        <w:rPr>
          <w:b/>
        </w:rPr>
        <w:t>neprokázala, které</w:t>
      </w:r>
      <w:r w:rsidR="00F933A6" w:rsidRPr="00C54851">
        <w:rPr>
          <w:b/>
        </w:rPr>
        <w:t xml:space="preserve"> konkrétní činnosti dodavatel u tří etap realizoval</w:t>
      </w:r>
      <w:r w:rsidR="008B4FE8" w:rsidRPr="00C54851">
        <w:rPr>
          <w:b/>
        </w:rPr>
        <w:t>.</w:t>
      </w:r>
    </w:p>
    <w:p w14:paraId="2AD27CF2" w14:textId="0C823575" w:rsidR="00384FAF" w:rsidRPr="003D4791" w:rsidRDefault="00384FAF" w:rsidP="00D720C1">
      <w:pPr>
        <w:pStyle w:val="Nadpis4"/>
        <w:rPr>
          <w:b/>
        </w:rPr>
      </w:pPr>
      <w:bookmarkStart w:id="22" w:name="_Toc431818681"/>
      <w:r w:rsidRPr="003D4791">
        <w:rPr>
          <w:b/>
        </w:rPr>
        <w:t>Poradce generálního ředitele pro technické zabezpečení a správu majetku ZP MV ČR</w:t>
      </w:r>
      <w:bookmarkEnd w:id="22"/>
    </w:p>
    <w:p w14:paraId="68101E49" w14:textId="1EAFE984" w:rsidR="00384FAF" w:rsidRDefault="00384FAF" w:rsidP="00384FAF">
      <w:r>
        <w:t xml:space="preserve">ZP MV ČR hradila náklady na služby poradce generálního ředitele pro technické zabezpečení a správu majetku ZP MV ČR. Tento poradce byl vybrán na základě veřejné zakázky malého rozsahu, při jejímž zadávání </w:t>
      </w:r>
      <w:r w:rsidRPr="00327561">
        <w:rPr>
          <w:b/>
        </w:rPr>
        <w:t>ZP MV ČR</w:t>
      </w:r>
      <w:r>
        <w:t xml:space="preserve"> </w:t>
      </w:r>
      <w:r w:rsidRPr="00327561">
        <w:rPr>
          <w:b/>
        </w:rPr>
        <w:t xml:space="preserve">nepostupovala v </w:t>
      </w:r>
      <w:r w:rsidR="00A465C3" w:rsidRPr="00327561">
        <w:rPr>
          <w:b/>
        </w:rPr>
        <w:t>souladu se zákonem o veřejných zakázkách</w:t>
      </w:r>
      <w:r w:rsidR="0042196B">
        <w:rPr>
          <w:rStyle w:val="Znakapoznpodarou"/>
        </w:rPr>
        <w:footnoteReference w:id="45"/>
      </w:r>
      <w:r>
        <w:t xml:space="preserve">, když nedodržela zásady transparentnosti, rovného zacházení a zákazu diskriminace tím, že hodnotila nabídky, které neobsahovaly a nesplňovaly veškeré </w:t>
      </w:r>
      <w:r w:rsidRPr="00D0503F">
        <w:t>náležitosti, které ZP MV ČR požadovala</w:t>
      </w:r>
      <w:r w:rsidR="006062E5" w:rsidRPr="00D0503F">
        <w:t>. Lhůtu</w:t>
      </w:r>
      <w:r w:rsidRPr="00D0503F">
        <w:t xml:space="preserve"> pro předložení nabídek</w:t>
      </w:r>
      <w:r w:rsidR="006062E5" w:rsidRPr="00D0503F">
        <w:t xml:space="preserve"> stanovila ZP MV ČR </w:t>
      </w:r>
      <w:r w:rsidR="00FF5469" w:rsidRPr="00D0503F">
        <w:t>pouhý jeden den</w:t>
      </w:r>
      <w:r w:rsidRPr="00D0503F">
        <w:t>.</w:t>
      </w:r>
    </w:p>
    <w:p w14:paraId="7A496F1D" w14:textId="77777777" w:rsidR="00384FAF" w:rsidRDefault="00384FAF" w:rsidP="00384FAF"/>
    <w:p w14:paraId="199260A1" w14:textId="2354D9A0" w:rsidR="00384FAF" w:rsidRDefault="00384FAF" w:rsidP="00384FAF">
      <w:r>
        <w:t xml:space="preserve">ZP MV ČR postupovala nehospodárně tím, že za poradenskou činnost na základě uzavřené smlouvy </w:t>
      </w:r>
      <w:r w:rsidR="00F44723">
        <w:t>u</w:t>
      </w:r>
      <w:r>
        <w:t>hradila tomuto externímu poradci v</w:t>
      </w:r>
      <w:r w:rsidR="00617F93">
        <w:t> letech 2</w:t>
      </w:r>
      <w:r>
        <w:t>012</w:t>
      </w:r>
      <w:r w:rsidR="00617F93">
        <w:t xml:space="preserve"> a 2013 celkem </w:t>
      </w:r>
      <w:r w:rsidR="00707EAF">
        <w:t>867 600</w:t>
      </w:r>
      <w:r w:rsidR="00D3098C">
        <w:t xml:space="preserve"> Kč</w:t>
      </w:r>
      <w:r>
        <w:t xml:space="preserve">, </w:t>
      </w:r>
      <w:r w:rsidR="00F44723">
        <w:t>přestože</w:t>
      </w:r>
      <w:r>
        <w:t xml:space="preserve"> </w:t>
      </w:r>
      <w:r w:rsidRPr="00C54851">
        <w:rPr>
          <w:b/>
        </w:rPr>
        <w:t xml:space="preserve">předmětem smlouvy poradce byly </w:t>
      </w:r>
      <w:r w:rsidR="00F44723" w:rsidRPr="00C54851">
        <w:rPr>
          <w:b/>
        </w:rPr>
        <w:t>i</w:t>
      </w:r>
      <w:r w:rsidRPr="00C54851">
        <w:rPr>
          <w:b/>
        </w:rPr>
        <w:t xml:space="preserve"> činnosti, </w:t>
      </w:r>
      <w:r w:rsidR="00F44723" w:rsidRPr="00C54851">
        <w:rPr>
          <w:b/>
        </w:rPr>
        <w:t xml:space="preserve">na které ZP MV ČR měla </w:t>
      </w:r>
      <w:r w:rsidR="00747240" w:rsidRPr="00C54851">
        <w:rPr>
          <w:b/>
        </w:rPr>
        <w:t>vyčleněny</w:t>
      </w:r>
      <w:r w:rsidR="00F44723" w:rsidRPr="00C54851">
        <w:rPr>
          <w:b/>
        </w:rPr>
        <w:t xml:space="preserve"> vlastní zaměstnance</w:t>
      </w:r>
      <w:r w:rsidRPr="001F112D">
        <w:rPr>
          <w:b/>
        </w:rPr>
        <w:t>.</w:t>
      </w:r>
    </w:p>
    <w:p w14:paraId="498956DB" w14:textId="22CB15B8" w:rsidR="00384FAF" w:rsidRPr="003D4791" w:rsidRDefault="00C53598" w:rsidP="00D720C1">
      <w:pPr>
        <w:pStyle w:val="Nadpis4"/>
        <w:rPr>
          <w:b/>
        </w:rPr>
      </w:pPr>
      <w:bookmarkStart w:id="23" w:name="_Toc431818682"/>
      <w:r w:rsidRPr="003D4791">
        <w:rPr>
          <w:b/>
        </w:rPr>
        <w:t xml:space="preserve"> </w:t>
      </w:r>
      <w:r w:rsidR="00384FAF" w:rsidRPr="003D4791">
        <w:rPr>
          <w:b/>
        </w:rPr>
        <w:t>Poradce generálního ředitele v oblasti m</w:t>
      </w:r>
      <w:r w:rsidR="00B43B98">
        <w:rPr>
          <w:b/>
        </w:rPr>
        <w:t>é</w:t>
      </w:r>
      <w:r w:rsidR="00384FAF" w:rsidRPr="003D4791">
        <w:rPr>
          <w:b/>
        </w:rPr>
        <w:t>dií</w:t>
      </w:r>
      <w:bookmarkEnd w:id="23"/>
    </w:p>
    <w:p w14:paraId="4C8F562A" w14:textId="469408AD" w:rsidR="007F4DD6" w:rsidRDefault="00623566" w:rsidP="007F4DD6">
      <w:r w:rsidRPr="007F4DD6">
        <w:t>ZP MV ČR hradila za služby poradce generálního ředitele v oblasti m</w:t>
      </w:r>
      <w:r w:rsidR="00B43B98">
        <w:t>é</w:t>
      </w:r>
      <w:r w:rsidRPr="007F4DD6">
        <w:t>dií v letech 2012 a</w:t>
      </w:r>
      <w:r w:rsidR="007F4DD6" w:rsidRPr="007F4DD6">
        <w:t>ž</w:t>
      </w:r>
      <w:r w:rsidRPr="007F4DD6">
        <w:t xml:space="preserve"> 201</w:t>
      </w:r>
      <w:r w:rsidR="006847D1" w:rsidRPr="007F4DD6">
        <w:t>4</w:t>
      </w:r>
      <w:r w:rsidRPr="007F4DD6">
        <w:t xml:space="preserve"> </w:t>
      </w:r>
      <w:r w:rsidR="007F4DD6" w:rsidRPr="007F4DD6">
        <w:t>částky ve výši 60 000 Kč měsíčně (bez DPH)</w:t>
      </w:r>
      <w:r w:rsidRPr="007F4DD6">
        <w:t>.</w:t>
      </w:r>
      <w:r w:rsidR="007F4DD6" w:rsidRPr="007F4DD6">
        <w:t xml:space="preserve"> </w:t>
      </w:r>
      <w:r w:rsidR="007F4DD6" w:rsidRPr="00C54851">
        <w:rPr>
          <w:b/>
        </w:rPr>
        <w:t>ZP MV ČR při výběru</w:t>
      </w:r>
      <w:r w:rsidR="007F4DD6" w:rsidRPr="007F4DD6">
        <w:t xml:space="preserve"> tohoto </w:t>
      </w:r>
      <w:r w:rsidR="007F4DD6" w:rsidRPr="00C54851">
        <w:rPr>
          <w:b/>
        </w:rPr>
        <w:t>poradce postupovala v rozporu se zákonem o veřejných zakázkách</w:t>
      </w:r>
      <w:r w:rsidR="00B43B98">
        <w:rPr>
          <w:b/>
        </w:rPr>
        <w:t xml:space="preserve">, </w:t>
      </w:r>
      <w:r w:rsidR="00B43B98" w:rsidRPr="001F112D">
        <w:t>neboť</w:t>
      </w:r>
      <w:r w:rsidR="007F4DD6" w:rsidRPr="007F4DD6">
        <w:t xml:space="preserve"> dodavatele služby vyb</w:t>
      </w:r>
      <w:r w:rsidR="00B43B98">
        <w:t>í</w:t>
      </w:r>
      <w:r w:rsidR="007F4DD6" w:rsidRPr="007F4DD6">
        <w:t xml:space="preserve">rala </w:t>
      </w:r>
      <w:r w:rsidRPr="007F4DD6">
        <w:t xml:space="preserve">na základě veřejných zakázek malého rozsahu, </w:t>
      </w:r>
      <w:r w:rsidR="007F4DD6" w:rsidRPr="007F4DD6">
        <w:t>přestože se jednalo o podlimitní veřejn</w:t>
      </w:r>
      <w:r w:rsidR="00C54851">
        <w:t>é</w:t>
      </w:r>
      <w:r w:rsidR="007F4DD6" w:rsidRPr="007F4DD6">
        <w:t xml:space="preserve"> zakázk</w:t>
      </w:r>
      <w:r w:rsidR="00C54851">
        <w:t>y</w:t>
      </w:r>
      <w:r w:rsidR="00B43B98">
        <w:t>.</w:t>
      </w:r>
      <w:r w:rsidR="007F4DD6" w:rsidRPr="007F4DD6">
        <w:rPr>
          <w:rStyle w:val="Znakapoznpodarou"/>
        </w:rPr>
        <w:footnoteReference w:id="46"/>
      </w:r>
    </w:p>
    <w:p w14:paraId="5BFF583D" w14:textId="77777777" w:rsidR="007D70BB" w:rsidRDefault="007D70BB">
      <w:pPr>
        <w:jc w:val="left"/>
        <w:rPr>
          <w:rFonts w:eastAsia="MS Mincho"/>
          <w:b/>
          <w:color w:val="000000"/>
        </w:rPr>
      </w:pPr>
      <w:bookmarkStart w:id="24" w:name="_Toc431818674"/>
      <w:r>
        <w:br w:type="page"/>
      </w:r>
    </w:p>
    <w:p w14:paraId="5CBEC7AA" w14:textId="7353415C" w:rsidR="008B25E6" w:rsidRPr="00F55A7B" w:rsidRDefault="003B7985" w:rsidP="00A64D88">
      <w:pPr>
        <w:pStyle w:val="Nadpis3"/>
        <w:ind w:left="567" w:hanging="567"/>
      </w:pPr>
      <w:r>
        <w:lastRenderedPageBreak/>
        <w:t>Další zjištění</w:t>
      </w:r>
      <w:bookmarkEnd w:id="24"/>
    </w:p>
    <w:p w14:paraId="1DFEA27F" w14:textId="3B1BD0C9" w:rsidR="008B25E6" w:rsidRDefault="003B7985" w:rsidP="008B25E6">
      <w:r>
        <w:t>Dále bylo např. zjištěno, že g</w:t>
      </w:r>
      <w:r w:rsidR="00845DCB">
        <w:t>enerální ředitel</w:t>
      </w:r>
      <w:r w:rsidR="008B25E6" w:rsidRPr="00A13081">
        <w:t xml:space="preserve"> ZP MV ČR uskutečnil v </w:t>
      </w:r>
      <w:r w:rsidR="008B25E6">
        <w:t>roce</w:t>
      </w:r>
      <w:r w:rsidR="008B25E6" w:rsidRPr="00A13081">
        <w:t xml:space="preserve"> 2013 </w:t>
      </w:r>
      <w:r w:rsidR="008B25E6">
        <w:t xml:space="preserve">týdenní </w:t>
      </w:r>
      <w:r w:rsidR="008B25E6" w:rsidRPr="00A13081">
        <w:t xml:space="preserve">zahraniční služební cestu do New Yorku, jejíž celkové náklady </w:t>
      </w:r>
      <w:r w:rsidR="008B25E6">
        <w:t>činily</w:t>
      </w:r>
      <w:r w:rsidR="008B25E6" w:rsidRPr="00A13081">
        <w:t xml:space="preserve"> 96 925 Kč. </w:t>
      </w:r>
      <w:r>
        <w:t xml:space="preserve">Program zahrnoval </w:t>
      </w:r>
      <w:r w:rsidR="008E31F2">
        <w:t xml:space="preserve">účast na </w:t>
      </w:r>
      <w:r w:rsidRPr="003B7985">
        <w:t>Czech Street Festival</w:t>
      </w:r>
      <w:r w:rsidR="008E31F2">
        <w:t>u</w:t>
      </w:r>
      <w:r w:rsidR="00B43B98">
        <w:t> </w:t>
      </w:r>
      <w:r w:rsidRPr="003B7985">
        <w:t>/</w:t>
      </w:r>
      <w:r w:rsidR="00B43B98">
        <w:t> </w:t>
      </w:r>
      <w:r w:rsidRPr="003B7985">
        <w:t>Staropramen Party</w:t>
      </w:r>
      <w:r w:rsidR="008E31F2">
        <w:t xml:space="preserve"> a</w:t>
      </w:r>
      <w:r w:rsidRPr="003B7985">
        <w:t xml:space="preserve"> účast na přednášce o</w:t>
      </w:r>
      <w:r w:rsidR="00D069A8">
        <w:t> </w:t>
      </w:r>
      <w:r w:rsidRPr="003B7985">
        <w:t xml:space="preserve">problematice pojištění při cestách do zahraničí </w:t>
      </w:r>
      <w:r w:rsidR="00B43B98">
        <w:t xml:space="preserve">i na navazující </w:t>
      </w:r>
      <w:r w:rsidRPr="003B7985">
        <w:t>vernisáž</w:t>
      </w:r>
      <w:r w:rsidR="00B43B98">
        <w:t>i</w:t>
      </w:r>
      <w:r w:rsidRPr="003B7985">
        <w:t xml:space="preserve"> výstavy obrazů</w:t>
      </w:r>
      <w:r w:rsidR="008E31F2">
        <w:t xml:space="preserve">. </w:t>
      </w:r>
      <w:r w:rsidR="008B25E6" w:rsidRPr="00A13081">
        <w:rPr>
          <w:b/>
        </w:rPr>
        <w:t xml:space="preserve">NKÚ </w:t>
      </w:r>
      <w:r>
        <w:rPr>
          <w:b/>
        </w:rPr>
        <w:t>ne</w:t>
      </w:r>
      <w:r w:rsidR="008B25E6" w:rsidRPr="00A13081">
        <w:rPr>
          <w:b/>
        </w:rPr>
        <w:t>považuje</w:t>
      </w:r>
      <w:r w:rsidRPr="003B7985">
        <w:rPr>
          <w:b/>
        </w:rPr>
        <w:t xml:space="preserve"> </w:t>
      </w:r>
      <w:r w:rsidR="008E31F2" w:rsidRPr="00A13081">
        <w:rPr>
          <w:b/>
        </w:rPr>
        <w:t>vzhledem k programu služební cesty</w:t>
      </w:r>
      <w:r w:rsidR="008E31F2" w:rsidRPr="003B7985">
        <w:rPr>
          <w:b/>
        </w:rPr>
        <w:t xml:space="preserve"> </w:t>
      </w:r>
      <w:r w:rsidRPr="003B7985">
        <w:rPr>
          <w:b/>
        </w:rPr>
        <w:t>výdaje ZP MV ČR na</w:t>
      </w:r>
      <w:r>
        <w:rPr>
          <w:b/>
        </w:rPr>
        <w:t xml:space="preserve"> tuto </w:t>
      </w:r>
      <w:r w:rsidRPr="00DA5991">
        <w:rPr>
          <w:b/>
        </w:rPr>
        <w:t xml:space="preserve">zahraniční cestu </w:t>
      </w:r>
      <w:r w:rsidRPr="00A13081">
        <w:rPr>
          <w:b/>
        </w:rPr>
        <w:t>za účeln</w:t>
      </w:r>
      <w:r>
        <w:rPr>
          <w:b/>
        </w:rPr>
        <w:t>ě</w:t>
      </w:r>
      <w:r w:rsidRPr="00A13081">
        <w:rPr>
          <w:b/>
        </w:rPr>
        <w:t xml:space="preserve"> a hospodárn</w:t>
      </w:r>
      <w:r>
        <w:rPr>
          <w:b/>
        </w:rPr>
        <w:t>ě vynaložené</w:t>
      </w:r>
      <w:r w:rsidR="008E31F2">
        <w:rPr>
          <w:b/>
        </w:rPr>
        <w:t>.</w:t>
      </w:r>
    </w:p>
    <w:p w14:paraId="4CAC9E87" w14:textId="77777777" w:rsidR="008B25E6" w:rsidRDefault="008B25E6" w:rsidP="008B25E6"/>
    <w:p w14:paraId="154A8A52" w14:textId="5E50DB10" w:rsidR="008B25E6" w:rsidRDefault="008B25E6" w:rsidP="008B25E6">
      <w:r>
        <w:t xml:space="preserve">ZP MV ČR </w:t>
      </w:r>
      <w:r w:rsidR="003B7985">
        <w:t xml:space="preserve">k tomu </w:t>
      </w:r>
      <w:r>
        <w:t>mimo jiné uvedla: „</w:t>
      </w:r>
      <w:r w:rsidRPr="00A13081">
        <w:rPr>
          <w:i/>
        </w:rPr>
        <w:t>Uvedené celkové náklady cesty byly ZP MV ČR přeúčtovány zaměstnanci</w:t>
      </w:r>
      <w:r w:rsidR="00B43B98">
        <w:rPr>
          <w:i/>
        </w:rPr>
        <w:t>…</w:t>
      </w:r>
      <w:r>
        <w:rPr>
          <w:i/>
        </w:rPr>
        <w:t xml:space="preserve"> </w:t>
      </w:r>
      <w:r w:rsidRPr="00A13081">
        <w:rPr>
          <w:i/>
        </w:rPr>
        <w:t>Generální ředitel bude následně tyto náklady řešit se Svazem zdravotních pojišťoven.</w:t>
      </w:r>
      <w:r>
        <w:t>“</w:t>
      </w:r>
    </w:p>
    <w:p w14:paraId="4254925D" w14:textId="77777777" w:rsidR="00A64D88" w:rsidRPr="00A13081" w:rsidRDefault="00A64D88" w:rsidP="008B25E6"/>
    <w:p w14:paraId="3F624C10" w14:textId="56EDDF66" w:rsidR="00384FAF" w:rsidRPr="0070333B" w:rsidRDefault="00384FAF" w:rsidP="0070333B">
      <w:pPr>
        <w:pStyle w:val="Nadpis2"/>
        <w:spacing w:before="0"/>
        <w:ind w:left="426" w:hanging="426"/>
        <w:rPr>
          <w:sz w:val="24"/>
          <w:szCs w:val="24"/>
        </w:rPr>
      </w:pPr>
      <w:bookmarkStart w:id="25" w:name="_Toc431818683"/>
      <w:r w:rsidRPr="0070333B">
        <w:rPr>
          <w:sz w:val="24"/>
          <w:szCs w:val="24"/>
        </w:rPr>
        <w:t>Fond investičního majetku</w:t>
      </w:r>
      <w:bookmarkEnd w:id="25"/>
    </w:p>
    <w:p w14:paraId="2950D35F" w14:textId="5EF0E9ED" w:rsidR="00353AAA" w:rsidRDefault="00353AAA" w:rsidP="00CB1848">
      <w:r w:rsidRPr="00E55F47">
        <w:t>Fond investičního majetku se používá ke sledování zůstatkové hodnoty dlouhodobého hmotného a nehmotného majetku</w:t>
      </w:r>
      <w:r w:rsidR="00B43B98">
        <w:t>.</w:t>
      </w:r>
      <w:r w:rsidR="003428DA" w:rsidRPr="00E55F47">
        <w:rPr>
          <w:rStyle w:val="Znakapoznpodarou"/>
        </w:rPr>
        <w:footnoteReference w:id="47"/>
      </w:r>
    </w:p>
    <w:p w14:paraId="777A0714" w14:textId="77777777" w:rsidR="006C7E99" w:rsidRDefault="006C7E99" w:rsidP="00CB1848"/>
    <w:p w14:paraId="390CC7A5" w14:textId="4324705A" w:rsidR="00384FAF" w:rsidRDefault="00E46D26" w:rsidP="00CB1848">
      <w:r>
        <w:t>ZP MV ČR v letech 2012</w:t>
      </w:r>
      <w:r w:rsidR="00D069A8">
        <w:t>–</w:t>
      </w:r>
      <w:r>
        <w:t xml:space="preserve">2014 prodala tři nemovitosti – </w:t>
      </w:r>
      <w:r w:rsidR="00B43B98">
        <w:t>l</w:t>
      </w:r>
      <w:r w:rsidRPr="00E46D26">
        <w:t>ázeňský dům Jupiter</w:t>
      </w:r>
      <w:r>
        <w:t xml:space="preserve"> v Bechyni,</w:t>
      </w:r>
      <w:r w:rsidR="001A5CF6">
        <w:t xml:space="preserve"> </w:t>
      </w:r>
      <w:r w:rsidR="001A5CF6" w:rsidRPr="001A5CF6">
        <w:t>b</w:t>
      </w:r>
      <w:r w:rsidR="001A5CF6">
        <w:t>udovu</w:t>
      </w:r>
      <w:r w:rsidRPr="00E46D26">
        <w:t xml:space="preserve"> pobočky </w:t>
      </w:r>
      <w:r w:rsidR="00B43B98">
        <w:t>v </w:t>
      </w:r>
      <w:r w:rsidRPr="00E46D26">
        <w:t>Pra</w:t>
      </w:r>
      <w:r w:rsidR="00B43B98">
        <w:t>ze</w:t>
      </w:r>
      <w:r>
        <w:t xml:space="preserve"> Holešovicích a </w:t>
      </w:r>
      <w:r w:rsidR="00B43B98">
        <w:t>l</w:t>
      </w:r>
      <w:r w:rsidRPr="00E46D26">
        <w:t>ázeňský dům Orfeus</w:t>
      </w:r>
      <w:r>
        <w:t xml:space="preserve"> v Poděbradech.</w:t>
      </w:r>
    </w:p>
    <w:p w14:paraId="5FA1C41C" w14:textId="77777777" w:rsidR="00D40238" w:rsidRPr="00E46D26" w:rsidRDefault="00D40238" w:rsidP="00E46D26">
      <w:pPr>
        <w:rPr>
          <w:rFonts w:eastAsia="Times New Roman" w:cs="Times New Roman"/>
          <w:szCs w:val="24"/>
          <w:lang w:eastAsia="cs-CZ"/>
        </w:rPr>
      </w:pPr>
    </w:p>
    <w:p w14:paraId="35281762" w14:textId="67F70B8D" w:rsidR="00E46D26" w:rsidRPr="0070333B" w:rsidRDefault="00C45BBD" w:rsidP="00C45BBD">
      <w:pPr>
        <w:pStyle w:val="Nzevtabulky"/>
        <w:numPr>
          <w:ilvl w:val="0"/>
          <w:numId w:val="0"/>
        </w:numPr>
        <w:tabs>
          <w:tab w:val="right" w:pos="9070"/>
        </w:tabs>
        <w:rPr>
          <w:rFonts w:cstheme="minorHAnsi"/>
          <w:b/>
        </w:rPr>
      </w:pPr>
      <w:r w:rsidRPr="0070333B">
        <w:rPr>
          <w:b/>
        </w:rPr>
        <w:t>Tabulka č. 16</w:t>
      </w:r>
      <w:r w:rsidR="00BE160C">
        <w:rPr>
          <w:b/>
        </w:rPr>
        <w:t xml:space="preserve"> –</w:t>
      </w:r>
      <w:r w:rsidRPr="0070333B">
        <w:rPr>
          <w:b/>
        </w:rPr>
        <w:t xml:space="preserve"> </w:t>
      </w:r>
      <w:r w:rsidR="00E46D26" w:rsidRPr="0070333B">
        <w:rPr>
          <w:b/>
        </w:rPr>
        <w:t>Prodané nemovitosti</w:t>
      </w:r>
      <w:r w:rsidR="00746D0A" w:rsidRPr="0070333B">
        <w:rPr>
          <w:b/>
        </w:rPr>
        <w:t xml:space="preserve"> ZP MV ČR</w:t>
      </w:r>
      <w:r w:rsidR="00E46D26" w:rsidRPr="0070333B">
        <w:rPr>
          <w:b/>
        </w:rPr>
        <w:t xml:space="preserve"> </w:t>
      </w:r>
      <w:r w:rsidRPr="0070333B">
        <w:rPr>
          <w:b/>
        </w:rPr>
        <w:tab/>
      </w:r>
      <w:r w:rsidR="00E46D26" w:rsidRPr="0070333B">
        <w:rPr>
          <w:b/>
        </w:rPr>
        <w:t>(v Kč)</w:t>
      </w:r>
    </w:p>
    <w:tbl>
      <w:tblPr>
        <w:tblStyle w:val="Mkatabulky4"/>
        <w:tblW w:w="4912" w:type="pct"/>
        <w:tblInd w:w="57" w:type="dxa"/>
        <w:tblLook w:val="04A0" w:firstRow="1" w:lastRow="0" w:firstColumn="1" w:lastColumn="0" w:noHBand="0" w:noVBand="1"/>
      </w:tblPr>
      <w:tblGrid>
        <w:gridCol w:w="2035"/>
        <w:gridCol w:w="1135"/>
        <w:gridCol w:w="1701"/>
        <w:gridCol w:w="1210"/>
        <w:gridCol w:w="3042"/>
      </w:tblGrid>
      <w:tr w:rsidR="000C23FC" w:rsidRPr="00855B88" w14:paraId="00484DB1" w14:textId="77777777" w:rsidTr="0070333B">
        <w:tc>
          <w:tcPr>
            <w:tcW w:w="1115" w:type="pct"/>
            <w:shd w:val="clear" w:color="auto" w:fill="C6D9F1" w:themeFill="text2" w:themeFillTint="33"/>
            <w:vAlign w:val="center"/>
          </w:tcPr>
          <w:p w14:paraId="5E15DCDF" w14:textId="3B4E578B" w:rsidR="000C23FC" w:rsidRPr="0070333B" w:rsidRDefault="00D40238" w:rsidP="00FA4E7B">
            <w:pPr>
              <w:pStyle w:val="tabulka"/>
              <w:jc w:val="center"/>
              <w:rPr>
                <w:b/>
                <w:sz w:val="16"/>
                <w:szCs w:val="16"/>
              </w:rPr>
            </w:pPr>
            <w:r w:rsidRPr="0070333B">
              <w:rPr>
                <w:b/>
                <w:sz w:val="16"/>
                <w:szCs w:val="16"/>
              </w:rPr>
              <w:t>Nemovitost vč. pozemku</w:t>
            </w:r>
          </w:p>
        </w:tc>
        <w:tc>
          <w:tcPr>
            <w:tcW w:w="622" w:type="pct"/>
            <w:shd w:val="clear" w:color="auto" w:fill="C6D9F1" w:themeFill="text2" w:themeFillTint="33"/>
            <w:vAlign w:val="center"/>
          </w:tcPr>
          <w:p w14:paraId="4BBD3394" w14:textId="478146A3" w:rsidR="000C23FC" w:rsidRPr="0070333B" w:rsidRDefault="000C23FC">
            <w:pPr>
              <w:pStyle w:val="tabulka"/>
              <w:jc w:val="center"/>
              <w:rPr>
                <w:b/>
                <w:sz w:val="16"/>
                <w:szCs w:val="16"/>
              </w:rPr>
            </w:pPr>
            <w:r w:rsidRPr="0070333B">
              <w:rPr>
                <w:b/>
                <w:sz w:val="16"/>
                <w:szCs w:val="16"/>
              </w:rPr>
              <w:t>Pořizovací cena</w:t>
            </w:r>
            <w:r w:rsidR="00D40238" w:rsidRPr="0070333B">
              <w:rPr>
                <w:rStyle w:val="Znakapoznpodarou"/>
                <w:b/>
                <w:sz w:val="16"/>
                <w:szCs w:val="16"/>
              </w:rPr>
              <w:footnoteReference w:id="48"/>
            </w:r>
            <w:r w:rsidRPr="0070333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2" w:type="pct"/>
            <w:shd w:val="clear" w:color="auto" w:fill="C6D9F1" w:themeFill="text2" w:themeFillTint="33"/>
            <w:vAlign w:val="center"/>
          </w:tcPr>
          <w:p w14:paraId="36DDF532" w14:textId="0B831EC8" w:rsidR="000C23FC" w:rsidRPr="0070333B" w:rsidRDefault="000C23FC" w:rsidP="00BE160C">
            <w:pPr>
              <w:pStyle w:val="tabulka"/>
              <w:jc w:val="center"/>
              <w:rPr>
                <w:b/>
                <w:sz w:val="16"/>
                <w:szCs w:val="16"/>
              </w:rPr>
            </w:pPr>
            <w:r w:rsidRPr="0070333B">
              <w:rPr>
                <w:b/>
                <w:sz w:val="16"/>
                <w:szCs w:val="16"/>
              </w:rPr>
              <w:t>Účetní zůstatková cena</w:t>
            </w:r>
            <w:r w:rsidR="00D40238" w:rsidRPr="0070333B">
              <w:rPr>
                <w:b/>
                <w:sz w:val="16"/>
                <w:szCs w:val="16"/>
              </w:rPr>
              <w:t xml:space="preserve"> v</w:t>
            </w:r>
            <w:r w:rsidR="00BE160C">
              <w:rPr>
                <w:b/>
                <w:sz w:val="16"/>
                <w:szCs w:val="16"/>
              </w:rPr>
              <w:t> </w:t>
            </w:r>
            <w:r w:rsidR="00D40238" w:rsidRPr="0070333B">
              <w:rPr>
                <w:b/>
                <w:sz w:val="16"/>
                <w:szCs w:val="16"/>
              </w:rPr>
              <w:t>době prodeje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14:paraId="2BB91217" w14:textId="46FF3A45" w:rsidR="000C23FC" w:rsidRPr="0070333B" w:rsidRDefault="000C23FC" w:rsidP="00855B88">
            <w:pPr>
              <w:pStyle w:val="tabulka"/>
              <w:jc w:val="center"/>
              <w:rPr>
                <w:b/>
                <w:sz w:val="16"/>
                <w:szCs w:val="16"/>
              </w:rPr>
            </w:pPr>
            <w:r w:rsidRPr="0070333B">
              <w:rPr>
                <w:b/>
                <w:sz w:val="16"/>
                <w:szCs w:val="16"/>
              </w:rPr>
              <w:t>Prodejní cena</w:t>
            </w:r>
          </w:p>
        </w:tc>
        <w:tc>
          <w:tcPr>
            <w:tcW w:w="1667" w:type="pct"/>
            <w:shd w:val="clear" w:color="auto" w:fill="C6D9F1" w:themeFill="text2" w:themeFillTint="33"/>
            <w:vAlign w:val="center"/>
          </w:tcPr>
          <w:p w14:paraId="0F1A5555" w14:textId="4684032A" w:rsidR="000C23FC" w:rsidRPr="0070333B" w:rsidRDefault="000C23FC" w:rsidP="00E71857">
            <w:pPr>
              <w:pStyle w:val="tabulka"/>
              <w:jc w:val="center"/>
              <w:rPr>
                <w:b/>
                <w:sz w:val="16"/>
                <w:szCs w:val="16"/>
              </w:rPr>
            </w:pPr>
            <w:r w:rsidRPr="0070333B">
              <w:rPr>
                <w:b/>
                <w:sz w:val="16"/>
                <w:szCs w:val="16"/>
              </w:rPr>
              <w:t>Rozdíl</w:t>
            </w:r>
            <w:r w:rsidRPr="0070333B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70333B">
              <w:rPr>
                <w:b/>
                <w:sz w:val="16"/>
                <w:szCs w:val="16"/>
              </w:rPr>
              <w:t>prodejní a účetní zůstatkov</w:t>
            </w:r>
            <w:r w:rsidR="00E71857" w:rsidRPr="0070333B">
              <w:rPr>
                <w:b/>
                <w:sz w:val="16"/>
                <w:szCs w:val="16"/>
              </w:rPr>
              <w:t>é ceny</w:t>
            </w:r>
          </w:p>
        </w:tc>
      </w:tr>
      <w:tr w:rsidR="000C23FC" w:rsidRPr="00855B88" w14:paraId="00C0933D" w14:textId="77777777" w:rsidTr="0070333B">
        <w:tc>
          <w:tcPr>
            <w:tcW w:w="1115" w:type="pct"/>
            <w:vAlign w:val="center"/>
          </w:tcPr>
          <w:p w14:paraId="70D91F11" w14:textId="77777777" w:rsidR="000C23FC" w:rsidRPr="005315A7" w:rsidRDefault="000C23FC" w:rsidP="00855B88">
            <w:pPr>
              <w:pStyle w:val="tabulka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>Lázeňský dům Jupiter</w:t>
            </w:r>
          </w:p>
        </w:tc>
        <w:tc>
          <w:tcPr>
            <w:tcW w:w="622" w:type="pct"/>
            <w:vAlign w:val="center"/>
          </w:tcPr>
          <w:p w14:paraId="5B163942" w14:textId="78F1D960" w:rsidR="000C23FC" w:rsidRPr="005315A7" w:rsidRDefault="000C23F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>39 871 471</w:t>
            </w:r>
          </w:p>
        </w:tc>
        <w:tc>
          <w:tcPr>
            <w:tcW w:w="932" w:type="pct"/>
            <w:vAlign w:val="center"/>
          </w:tcPr>
          <w:p w14:paraId="0AC1C8B2" w14:textId="596A8611" w:rsidR="000C23FC" w:rsidRPr="005315A7" w:rsidRDefault="000C23F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>20 143 237</w:t>
            </w:r>
          </w:p>
        </w:tc>
        <w:tc>
          <w:tcPr>
            <w:tcW w:w="663" w:type="pct"/>
            <w:vAlign w:val="center"/>
          </w:tcPr>
          <w:p w14:paraId="3FF24D0F" w14:textId="486B3DF6" w:rsidR="000C23FC" w:rsidRPr="005315A7" w:rsidRDefault="000C23F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>14 550 000</w:t>
            </w:r>
          </w:p>
        </w:tc>
        <w:tc>
          <w:tcPr>
            <w:tcW w:w="1667" w:type="pct"/>
            <w:vAlign w:val="center"/>
          </w:tcPr>
          <w:p w14:paraId="06DA5376" w14:textId="40408A1D" w:rsidR="000C23FC" w:rsidRPr="005315A7" w:rsidRDefault="002C722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70333B">
              <w:rPr>
                <w:rFonts w:ascii="Calibri" w:hAnsi="Calibri" w:cs="Calibri"/>
                <w:sz w:val="16"/>
                <w:szCs w:val="16"/>
              </w:rPr>
              <w:t>−</w:t>
            </w:r>
            <w:r w:rsidR="000C23FC" w:rsidRPr="005315A7">
              <w:rPr>
                <w:sz w:val="16"/>
                <w:szCs w:val="16"/>
              </w:rPr>
              <w:t>5 593 237</w:t>
            </w:r>
          </w:p>
        </w:tc>
      </w:tr>
      <w:tr w:rsidR="000C23FC" w:rsidRPr="00855B88" w14:paraId="63178465" w14:textId="77777777" w:rsidTr="0070333B">
        <w:tc>
          <w:tcPr>
            <w:tcW w:w="1115" w:type="pct"/>
            <w:vAlign w:val="center"/>
          </w:tcPr>
          <w:p w14:paraId="76DD3591" w14:textId="06FF61DD" w:rsidR="000C23FC" w:rsidRPr="005315A7" w:rsidRDefault="000C23FC" w:rsidP="00BE160C">
            <w:pPr>
              <w:pStyle w:val="tabulka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 xml:space="preserve">Budova pobočky </w:t>
            </w:r>
            <w:r w:rsidR="00BE160C">
              <w:rPr>
                <w:sz w:val="16"/>
                <w:szCs w:val="16"/>
              </w:rPr>
              <w:t>v </w:t>
            </w:r>
            <w:r w:rsidRPr="005315A7">
              <w:rPr>
                <w:sz w:val="16"/>
                <w:szCs w:val="16"/>
              </w:rPr>
              <w:t>Pra</w:t>
            </w:r>
            <w:r w:rsidR="00BE160C">
              <w:rPr>
                <w:sz w:val="16"/>
                <w:szCs w:val="16"/>
              </w:rPr>
              <w:t>ze 7</w:t>
            </w:r>
          </w:p>
        </w:tc>
        <w:tc>
          <w:tcPr>
            <w:tcW w:w="622" w:type="pct"/>
            <w:vAlign w:val="center"/>
          </w:tcPr>
          <w:p w14:paraId="47E1B821" w14:textId="712D3647" w:rsidR="000C23FC" w:rsidRPr="005315A7" w:rsidRDefault="000C23F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>78 170 798</w:t>
            </w:r>
          </w:p>
        </w:tc>
        <w:tc>
          <w:tcPr>
            <w:tcW w:w="932" w:type="pct"/>
            <w:vAlign w:val="center"/>
          </w:tcPr>
          <w:p w14:paraId="0E1A3FF9" w14:textId="66A61030" w:rsidR="000C23FC" w:rsidRPr="005315A7" w:rsidRDefault="000C23F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>45 901 080</w:t>
            </w:r>
          </w:p>
        </w:tc>
        <w:tc>
          <w:tcPr>
            <w:tcW w:w="663" w:type="pct"/>
            <w:vAlign w:val="center"/>
          </w:tcPr>
          <w:p w14:paraId="3A5B5BCB" w14:textId="5534D87D" w:rsidR="000C23FC" w:rsidRPr="005315A7" w:rsidRDefault="000C23F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>38 600 000</w:t>
            </w:r>
          </w:p>
        </w:tc>
        <w:tc>
          <w:tcPr>
            <w:tcW w:w="1667" w:type="pct"/>
            <w:vAlign w:val="center"/>
          </w:tcPr>
          <w:p w14:paraId="386DB077" w14:textId="0E5A2146" w:rsidR="000C23FC" w:rsidRPr="005315A7" w:rsidRDefault="002C722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1B07B4">
              <w:rPr>
                <w:rFonts w:ascii="Calibri" w:hAnsi="Calibri" w:cs="Calibri"/>
                <w:sz w:val="16"/>
                <w:szCs w:val="16"/>
              </w:rPr>
              <w:t>−</w:t>
            </w:r>
            <w:r w:rsidR="000C23FC" w:rsidRPr="005315A7">
              <w:rPr>
                <w:sz w:val="16"/>
                <w:szCs w:val="16"/>
              </w:rPr>
              <w:t>7 301 080</w:t>
            </w:r>
          </w:p>
        </w:tc>
      </w:tr>
      <w:tr w:rsidR="000C23FC" w:rsidRPr="00855B88" w14:paraId="751265F9" w14:textId="77777777" w:rsidTr="0070333B">
        <w:tc>
          <w:tcPr>
            <w:tcW w:w="1115" w:type="pct"/>
            <w:vAlign w:val="center"/>
          </w:tcPr>
          <w:p w14:paraId="183EF541" w14:textId="77777777" w:rsidR="000C23FC" w:rsidRPr="005315A7" w:rsidRDefault="000C23FC" w:rsidP="00855B88">
            <w:pPr>
              <w:pStyle w:val="tabulka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>Lázeňský dům Orfeus</w:t>
            </w:r>
          </w:p>
        </w:tc>
        <w:tc>
          <w:tcPr>
            <w:tcW w:w="622" w:type="pct"/>
            <w:vAlign w:val="center"/>
          </w:tcPr>
          <w:p w14:paraId="72BCC357" w14:textId="6E882C1D" w:rsidR="000C23FC" w:rsidRPr="005315A7" w:rsidRDefault="000C23F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>91 317 417</w:t>
            </w:r>
          </w:p>
        </w:tc>
        <w:tc>
          <w:tcPr>
            <w:tcW w:w="932" w:type="pct"/>
            <w:vAlign w:val="center"/>
          </w:tcPr>
          <w:p w14:paraId="5F59148F" w14:textId="0BC7E7B8" w:rsidR="000C23FC" w:rsidRPr="005315A7" w:rsidRDefault="000C23F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>38 264 634</w:t>
            </w:r>
          </w:p>
        </w:tc>
        <w:tc>
          <w:tcPr>
            <w:tcW w:w="663" w:type="pct"/>
            <w:vAlign w:val="center"/>
          </w:tcPr>
          <w:p w14:paraId="0F7B8ABC" w14:textId="6762103F" w:rsidR="000C23FC" w:rsidRPr="005315A7" w:rsidRDefault="000C23F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5315A7">
              <w:rPr>
                <w:sz w:val="16"/>
                <w:szCs w:val="16"/>
              </w:rPr>
              <w:t>36 230 000</w:t>
            </w:r>
          </w:p>
        </w:tc>
        <w:tc>
          <w:tcPr>
            <w:tcW w:w="1667" w:type="pct"/>
            <w:vAlign w:val="center"/>
          </w:tcPr>
          <w:p w14:paraId="6B31EB07" w14:textId="32BB2092" w:rsidR="000C23FC" w:rsidRPr="005315A7" w:rsidRDefault="002C722C" w:rsidP="00855B88">
            <w:pPr>
              <w:pStyle w:val="tabulka"/>
              <w:jc w:val="right"/>
              <w:rPr>
                <w:sz w:val="16"/>
                <w:szCs w:val="16"/>
              </w:rPr>
            </w:pPr>
            <w:r w:rsidRPr="001B07B4">
              <w:rPr>
                <w:rFonts w:ascii="Calibri" w:hAnsi="Calibri" w:cs="Calibri"/>
                <w:sz w:val="16"/>
                <w:szCs w:val="16"/>
              </w:rPr>
              <w:t>−</w:t>
            </w:r>
            <w:r w:rsidR="000C23FC" w:rsidRPr="005315A7">
              <w:rPr>
                <w:sz w:val="16"/>
                <w:szCs w:val="16"/>
              </w:rPr>
              <w:t>2 034 634</w:t>
            </w:r>
          </w:p>
        </w:tc>
      </w:tr>
      <w:tr w:rsidR="000C23FC" w:rsidRPr="00855B88" w14:paraId="3DE6293C" w14:textId="77777777" w:rsidTr="0070333B">
        <w:tc>
          <w:tcPr>
            <w:tcW w:w="1115" w:type="pct"/>
            <w:vAlign w:val="center"/>
          </w:tcPr>
          <w:p w14:paraId="5DDEFA04" w14:textId="77777777" w:rsidR="000C23FC" w:rsidRPr="005315A7" w:rsidRDefault="000C23FC" w:rsidP="00855B88">
            <w:pPr>
              <w:pStyle w:val="tabulka"/>
              <w:rPr>
                <w:b/>
                <w:sz w:val="16"/>
                <w:szCs w:val="16"/>
              </w:rPr>
            </w:pPr>
            <w:r w:rsidRPr="005315A7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622" w:type="pct"/>
            <w:vAlign w:val="center"/>
          </w:tcPr>
          <w:p w14:paraId="3CA81F0A" w14:textId="79114B25" w:rsidR="000C23FC" w:rsidRPr="005315A7" w:rsidRDefault="000C23FC" w:rsidP="00BE160C">
            <w:pPr>
              <w:pStyle w:val="tabulka"/>
              <w:ind w:left="-107"/>
              <w:jc w:val="right"/>
              <w:rPr>
                <w:b/>
                <w:sz w:val="16"/>
                <w:szCs w:val="16"/>
              </w:rPr>
            </w:pPr>
            <w:r w:rsidRPr="005315A7">
              <w:rPr>
                <w:b/>
                <w:sz w:val="16"/>
                <w:szCs w:val="16"/>
              </w:rPr>
              <w:t>209 359 686</w:t>
            </w:r>
          </w:p>
        </w:tc>
        <w:tc>
          <w:tcPr>
            <w:tcW w:w="932" w:type="pct"/>
            <w:vAlign w:val="center"/>
          </w:tcPr>
          <w:p w14:paraId="1E612211" w14:textId="0F112F00" w:rsidR="000C23FC" w:rsidRPr="005315A7" w:rsidRDefault="000C23FC" w:rsidP="00855B88">
            <w:pPr>
              <w:pStyle w:val="tabulka"/>
              <w:jc w:val="right"/>
              <w:rPr>
                <w:b/>
                <w:sz w:val="16"/>
                <w:szCs w:val="16"/>
              </w:rPr>
            </w:pPr>
            <w:r w:rsidRPr="005315A7">
              <w:rPr>
                <w:b/>
                <w:sz w:val="16"/>
                <w:szCs w:val="16"/>
              </w:rPr>
              <w:t>104 308 951</w:t>
            </w:r>
          </w:p>
        </w:tc>
        <w:tc>
          <w:tcPr>
            <w:tcW w:w="663" w:type="pct"/>
            <w:vAlign w:val="center"/>
          </w:tcPr>
          <w:p w14:paraId="5FBC3B0B" w14:textId="38161CC0" w:rsidR="000C23FC" w:rsidRPr="005315A7" w:rsidRDefault="000C23FC" w:rsidP="00855B88">
            <w:pPr>
              <w:pStyle w:val="tabulka"/>
              <w:jc w:val="right"/>
              <w:rPr>
                <w:b/>
                <w:sz w:val="16"/>
                <w:szCs w:val="16"/>
              </w:rPr>
            </w:pPr>
            <w:r w:rsidRPr="005315A7">
              <w:rPr>
                <w:b/>
                <w:sz w:val="16"/>
                <w:szCs w:val="16"/>
              </w:rPr>
              <w:t>89 380 000</w:t>
            </w:r>
          </w:p>
        </w:tc>
        <w:tc>
          <w:tcPr>
            <w:tcW w:w="1667" w:type="pct"/>
            <w:vAlign w:val="center"/>
          </w:tcPr>
          <w:p w14:paraId="4CFDC11C" w14:textId="4FDD45F9" w:rsidR="000C23FC" w:rsidRPr="005315A7" w:rsidRDefault="002C722C" w:rsidP="00855B88">
            <w:pPr>
              <w:pStyle w:val="tabulka"/>
              <w:jc w:val="right"/>
              <w:rPr>
                <w:b/>
                <w:sz w:val="16"/>
                <w:szCs w:val="16"/>
              </w:rPr>
            </w:pPr>
            <w:r w:rsidRPr="001B07B4">
              <w:rPr>
                <w:rFonts w:ascii="Calibri" w:hAnsi="Calibri" w:cs="Calibri"/>
                <w:sz w:val="16"/>
                <w:szCs w:val="16"/>
              </w:rPr>
              <w:t>−</w:t>
            </w:r>
            <w:r w:rsidR="000C23FC" w:rsidRPr="005315A7">
              <w:rPr>
                <w:b/>
                <w:sz w:val="16"/>
                <w:szCs w:val="16"/>
              </w:rPr>
              <w:t>14 928 951</w:t>
            </w:r>
          </w:p>
        </w:tc>
      </w:tr>
    </w:tbl>
    <w:p w14:paraId="41C8C960" w14:textId="50BEBB55" w:rsidR="00E46D26" w:rsidRPr="00E46D26" w:rsidRDefault="00E46D26" w:rsidP="003764C4">
      <w:pPr>
        <w:pStyle w:val="Poznmka"/>
      </w:pPr>
      <w:r w:rsidRPr="0070333B">
        <w:rPr>
          <w:b/>
        </w:rPr>
        <w:t>Zdroj:</w:t>
      </w:r>
      <w:r w:rsidRPr="00E46D26">
        <w:t xml:space="preserve"> </w:t>
      </w:r>
      <w:r w:rsidR="00855B88">
        <w:t>ZP MV ČR</w:t>
      </w:r>
      <w:r w:rsidR="00D069A8">
        <w:t>.</w:t>
      </w:r>
    </w:p>
    <w:p w14:paraId="57145144" w14:textId="77777777" w:rsidR="00E46D26" w:rsidRPr="00E46D26" w:rsidRDefault="00E46D26" w:rsidP="00E46D26">
      <w:pPr>
        <w:rPr>
          <w:rFonts w:eastAsia="Times New Roman" w:cs="Times New Roman"/>
          <w:szCs w:val="24"/>
          <w:lang w:eastAsia="cs-CZ"/>
        </w:rPr>
      </w:pPr>
    </w:p>
    <w:p w14:paraId="417E8541" w14:textId="04B258DD" w:rsidR="00E46D26" w:rsidRDefault="00E46D26" w:rsidP="00875285">
      <w:pPr>
        <w:rPr>
          <w:lang w:eastAsia="cs-CZ"/>
        </w:rPr>
      </w:pPr>
      <w:r>
        <w:rPr>
          <w:lang w:eastAsia="cs-CZ"/>
        </w:rPr>
        <w:t>Z</w:t>
      </w:r>
      <w:r w:rsidR="008E31F2">
        <w:rPr>
          <w:lang w:eastAsia="cs-CZ"/>
        </w:rPr>
        <w:t> </w:t>
      </w:r>
      <w:r>
        <w:rPr>
          <w:lang w:eastAsia="cs-CZ"/>
        </w:rPr>
        <w:t>tabulky</w:t>
      </w:r>
      <w:r w:rsidR="008E31F2">
        <w:rPr>
          <w:lang w:eastAsia="cs-CZ"/>
        </w:rPr>
        <w:t xml:space="preserve"> č</w:t>
      </w:r>
      <w:r w:rsidR="008E31F2" w:rsidRPr="00D069A8">
        <w:rPr>
          <w:lang w:eastAsia="cs-CZ"/>
        </w:rPr>
        <w:t>. 16</w:t>
      </w:r>
      <w:r w:rsidR="008E31F2">
        <w:rPr>
          <w:lang w:eastAsia="cs-CZ"/>
        </w:rPr>
        <w:t xml:space="preserve"> je zřejmé</w:t>
      </w:r>
      <w:r>
        <w:rPr>
          <w:lang w:eastAsia="cs-CZ"/>
        </w:rPr>
        <w:t xml:space="preserve">, že </w:t>
      </w:r>
      <w:r w:rsidR="000C23FC">
        <w:rPr>
          <w:lang w:eastAsia="cs-CZ"/>
        </w:rPr>
        <w:t>p</w:t>
      </w:r>
      <w:r w:rsidR="00855B88" w:rsidRPr="00855B88">
        <w:rPr>
          <w:lang w:eastAsia="cs-CZ"/>
        </w:rPr>
        <w:t xml:space="preserve">rodejní ceny výše uvedených nemovitostí nedosahovaly v době prodeje </w:t>
      </w:r>
      <w:r w:rsidR="003E7B3D">
        <w:rPr>
          <w:lang w:eastAsia="cs-CZ"/>
        </w:rPr>
        <w:t>ani</w:t>
      </w:r>
      <w:r w:rsidR="000C23FC" w:rsidRPr="00855B88">
        <w:rPr>
          <w:lang w:eastAsia="cs-CZ"/>
        </w:rPr>
        <w:t xml:space="preserve"> </w:t>
      </w:r>
      <w:r w:rsidR="003E7B3D">
        <w:rPr>
          <w:lang w:eastAsia="cs-CZ"/>
        </w:rPr>
        <w:t>jejich</w:t>
      </w:r>
      <w:r w:rsidR="00855B88" w:rsidRPr="00855B88">
        <w:rPr>
          <w:lang w:eastAsia="cs-CZ"/>
        </w:rPr>
        <w:t xml:space="preserve"> účetní zůstatkové ceny.</w:t>
      </w:r>
      <w:r w:rsidR="00875285">
        <w:rPr>
          <w:lang w:eastAsia="cs-CZ"/>
        </w:rPr>
        <w:t xml:space="preserve"> </w:t>
      </w:r>
      <w:r w:rsidRPr="00E46D26">
        <w:rPr>
          <w:lang w:eastAsia="cs-CZ"/>
        </w:rPr>
        <w:t>Účetní ztráta z prodeje výše uvedených nemovitostí tak činila 14,93 mil. Kč</w:t>
      </w:r>
      <w:r w:rsidR="00D40238">
        <w:rPr>
          <w:lang w:eastAsia="cs-CZ"/>
        </w:rPr>
        <w:t xml:space="preserve">, čímž došlo ke snížení hodnoty </w:t>
      </w:r>
      <w:r w:rsidR="006C2E8D">
        <w:rPr>
          <w:lang w:eastAsia="cs-CZ"/>
        </w:rPr>
        <w:t>aktiv</w:t>
      </w:r>
      <w:r w:rsidR="00D40238">
        <w:rPr>
          <w:lang w:eastAsia="cs-CZ"/>
        </w:rPr>
        <w:t xml:space="preserve"> ZP MV ČR</w:t>
      </w:r>
      <w:r w:rsidRPr="00E46D26">
        <w:rPr>
          <w:lang w:eastAsia="cs-CZ"/>
        </w:rPr>
        <w:t>.</w:t>
      </w:r>
    </w:p>
    <w:p w14:paraId="5210C434" w14:textId="77777777" w:rsidR="00855B88" w:rsidRDefault="00855B88" w:rsidP="00E46D26">
      <w:pPr>
        <w:rPr>
          <w:rFonts w:eastAsia="Times New Roman" w:cs="Times New Roman"/>
          <w:szCs w:val="24"/>
          <w:lang w:eastAsia="cs-CZ"/>
        </w:rPr>
      </w:pPr>
    </w:p>
    <w:p w14:paraId="6843D4AE" w14:textId="76366F07" w:rsidR="00855B88" w:rsidRDefault="00855B88" w:rsidP="00E46D26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Kontrolou NKÚ bylo zjištěno, že </w:t>
      </w:r>
      <w:r w:rsidRPr="00855B88">
        <w:rPr>
          <w:rFonts w:eastAsia="Times New Roman" w:cs="Times New Roman"/>
          <w:szCs w:val="24"/>
          <w:lang w:eastAsia="cs-CZ"/>
        </w:rPr>
        <w:t xml:space="preserve">ZP MV ČR prodala Lázeňský dům Jupiter v Bechyni zájemci, který ji oslovil, aniž </w:t>
      </w:r>
      <w:r w:rsidR="008E31F2">
        <w:rPr>
          <w:rFonts w:eastAsia="Times New Roman" w:cs="Times New Roman"/>
          <w:szCs w:val="24"/>
          <w:lang w:eastAsia="cs-CZ"/>
        </w:rPr>
        <w:t xml:space="preserve">by </w:t>
      </w:r>
      <w:r w:rsidRPr="00855B88">
        <w:rPr>
          <w:rFonts w:eastAsia="Times New Roman" w:cs="Times New Roman"/>
          <w:szCs w:val="24"/>
          <w:lang w:eastAsia="cs-CZ"/>
        </w:rPr>
        <w:t>zjišťovala další zájemce o koupi</w:t>
      </w:r>
      <w:r w:rsidR="008E31F2">
        <w:rPr>
          <w:rFonts w:eastAsia="Times New Roman" w:cs="Times New Roman"/>
          <w:szCs w:val="24"/>
          <w:lang w:eastAsia="cs-CZ"/>
        </w:rPr>
        <w:t>. ZP MV ČR ne</w:t>
      </w:r>
      <w:r w:rsidRPr="00855B88">
        <w:rPr>
          <w:rFonts w:eastAsia="Times New Roman" w:cs="Times New Roman"/>
          <w:szCs w:val="24"/>
          <w:lang w:eastAsia="cs-CZ"/>
        </w:rPr>
        <w:t>prověřila možnosti případného výhodnějšího prodeje.</w:t>
      </w:r>
    </w:p>
    <w:p w14:paraId="692E828D" w14:textId="77777777" w:rsidR="00A64D88" w:rsidRDefault="00A64D88" w:rsidP="00E46D26">
      <w:pPr>
        <w:rPr>
          <w:rFonts w:eastAsia="Times New Roman" w:cs="Times New Roman"/>
          <w:szCs w:val="24"/>
          <w:lang w:eastAsia="cs-CZ"/>
        </w:rPr>
      </w:pPr>
    </w:p>
    <w:p w14:paraId="19646B32" w14:textId="3C712BEA" w:rsidR="00875285" w:rsidRPr="0070333B" w:rsidRDefault="00875285" w:rsidP="0070333B">
      <w:pPr>
        <w:pStyle w:val="Nadpis2"/>
        <w:spacing w:before="0"/>
        <w:ind w:left="426" w:hanging="426"/>
        <w:rPr>
          <w:sz w:val="24"/>
          <w:szCs w:val="24"/>
          <w:lang w:eastAsia="cs-CZ"/>
        </w:rPr>
      </w:pPr>
      <w:bookmarkStart w:id="26" w:name="_Toc431818684"/>
      <w:r w:rsidRPr="0070333B">
        <w:rPr>
          <w:sz w:val="24"/>
          <w:szCs w:val="24"/>
          <w:lang w:eastAsia="cs-CZ"/>
        </w:rPr>
        <w:t>Fond reprodukce investičního majetku</w:t>
      </w:r>
      <w:bookmarkEnd w:id="26"/>
    </w:p>
    <w:p w14:paraId="5A0FCD9D" w14:textId="76D23F7D" w:rsidR="00353AAA" w:rsidRDefault="00353AAA" w:rsidP="00875285">
      <w:pPr>
        <w:rPr>
          <w:lang w:eastAsia="cs-CZ"/>
        </w:rPr>
      </w:pPr>
      <w:r w:rsidRPr="00E55F47">
        <w:rPr>
          <w:lang w:eastAsia="cs-CZ"/>
        </w:rPr>
        <w:t>Fond reprodukce investičního majetku se používá k soustřeďování prostředků na pořizování dlouhodobého hmotného a nehmotného majetku</w:t>
      </w:r>
      <w:r w:rsidR="002C722C">
        <w:rPr>
          <w:lang w:eastAsia="cs-CZ"/>
        </w:rPr>
        <w:t>.</w:t>
      </w:r>
      <w:r w:rsidR="003428DA" w:rsidRPr="00E55F47">
        <w:rPr>
          <w:rStyle w:val="Znakapoznpodarou"/>
          <w:lang w:eastAsia="cs-CZ"/>
        </w:rPr>
        <w:footnoteReference w:id="49"/>
      </w:r>
    </w:p>
    <w:p w14:paraId="370EF613" w14:textId="77777777" w:rsidR="00353AAA" w:rsidRDefault="00353AAA" w:rsidP="00875285">
      <w:pPr>
        <w:rPr>
          <w:lang w:eastAsia="cs-CZ"/>
        </w:rPr>
      </w:pPr>
    </w:p>
    <w:p w14:paraId="5CAE862D" w14:textId="3E90E25B" w:rsidR="00875285" w:rsidRDefault="00875285" w:rsidP="00875285">
      <w:pPr>
        <w:rPr>
          <w:lang w:eastAsia="cs-CZ"/>
        </w:rPr>
      </w:pPr>
      <w:r>
        <w:rPr>
          <w:lang w:eastAsia="cs-CZ"/>
        </w:rPr>
        <w:t>Kontrole NKÚ byl</w:t>
      </w:r>
      <w:r w:rsidR="002C722C">
        <w:rPr>
          <w:lang w:eastAsia="cs-CZ"/>
        </w:rPr>
        <w:t>y</w:t>
      </w:r>
      <w:r>
        <w:rPr>
          <w:lang w:eastAsia="cs-CZ"/>
        </w:rPr>
        <w:t xml:space="preserve"> podroben</w:t>
      </w:r>
      <w:r w:rsidR="002C722C">
        <w:rPr>
          <w:lang w:eastAsia="cs-CZ"/>
        </w:rPr>
        <w:t>y</w:t>
      </w:r>
      <w:r>
        <w:rPr>
          <w:lang w:eastAsia="cs-CZ"/>
        </w:rPr>
        <w:t xml:space="preserve"> nákup</w:t>
      </w:r>
      <w:r w:rsidR="002C722C">
        <w:rPr>
          <w:lang w:eastAsia="cs-CZ"/>
        </w:rPr>
        <w:t>y</w:t>
      </w:r>
      <w:r>
        <w:rPr>
          <w:lang w:eastAsia="cs-CZ"/>
        </w:rPr>
        <w:t xml:space="preserve"> dopravních prostředků v letech 201</w:t>
      </w:r>
      <w:r w:rsidR="00655C66">
        <w:rPr>
          <w:lang w:eastAsia="cs-CZ"/>
        </w:rPr>
        <w:t>2</w:t>
      </w:r>
      <w:r w:rsidR="00D069A8">
        <w:rPr>
          <w:lang w:eastAsia="cs-CZ"/>
        </w:rPr>
        <w:t>–</w:t>
      </w:r>
      <w:r>
        <w:rPr>
          <w:lang w:eastAsia="cs-CZ"/>
        </w:rPr>
        <w:t>2014, kdy pro svůj provoz ZP MV ČR postupně pořídila 17 vozidel.</w:t>
      </w:r>
      <w:r w:rsidR="00655C66">
        <w:rPr>
          <w:lang w:eastAsia="cs-CZ"/>
        </w:rPr>
        <w:t xml:space="preserve"> </w:t>
      </w:r>
      <w:r w:rsidR="00655C66" w:rsidRPr="00655C66">
        <w:rPr>
          <w:lang w:eastAsia="cs-CZ"/>
        </w:rPr>
        <w:t xml:space="preserve">Výběr dodavatelů probíhal na základě </w:t>
      </w:r>
      <w:r w:rsidR="003C3B2A">
        <w:rPr>
          <w:lang w:eastAsia="cs-CZ"/>
        </w:rPr>
        <w:t xml:space="preserve">veřejných </w:t>
      </w:r>
      <w:r w:rsidR="00655C66" w:rsidRPr="00655C66">
        <w:rPr>
          <w:lang w:eastAsia="cs-CZ"/>
        </w:rPr>
        <w:t>zakázek zadávaných ve zjednodušeném podlimitním řízení</w:t>
      </w:r>
      <w:r w:rsidR="00655C66">
        <w:rPr>
          <w:lang w:eastAsia="cs-CZ"/>
        </w:rPr>
        <w:t>.</w:t>
      </w:r>
      <w:r w:rsidR="003C3B2A">
        <w:rPr>
          <w:lang w:eastAsia="cs-CZ"/>
        </w:rPr>
        <w:t xml:space="preserve"> Vozidla byla pořízena</w:t>
      </w:r>
      <w:r w:rsidR="00707EAF">
        <w:rPr>
          <w:lang w:eastAsia="cs-CZ"/>
        </w:rPr>
        <w:t xml:space="preserve"> na základě </w:t>
      </w:r>
      <w:r w:rsidR="003C3B2A">
        <w:rPr>
          <w:lang w:eastAsia="cs-CZ"/>
        </w:rPr>
        <w:t>pěti ve</w:t>
      </w:r>
      <w:r w:rsidR="00F55A7B">
        <w:rPr>
          <w:lang w:eastAsia="cs-CZ"/>
        </w:rPr>
        <w:t>řejný</w:t>
      </w:r>
      <w:r w:rsidR="00707EAF">
        <w:rPr>
          <w:lang w:eastAsia="cs-CZ"/>
        </w:rPr>
        <w:t>ch</w:t>
      </w:r>
      <w:r w:rsidR="00F55A7B">
        <w:rPr>
          <w:lang w:eastAsia="cs-CZ"/>
        </w:rPr>
        <w:t xml:space="preserve"> zakáz</w:t>
      </w:r>
      <w:r w:rsidR="00707EAF">
        <w:rPr>
          <w:lang w:eastAsia="cs-CZ"/>
        </w:rPr>
        <w:t>ek</w:t>
      </w:r>
      <w:r w:rsidR="00F55A7B">
        <w:rPr>
          <w:lang w:eastAsia="cs-CZ"/>
        </w:rPr>
        <w:t>.</w:t>
      </w:r>
    </w:p>
    <w:p w14:paraId="080FC4D2" w14:textId="77777777" w:rsidR="00F55A7B" w:rsidRDefault="00F55A7B" w:rsidP="00875285">
      <w:pPr>
        <w:rPr>
          <w:lang w:eastAsia="cs-CZ"/>
        </w:rPr>
      </w:pPr>
    </w:p>
    <w:p w14:paraId="610F8E1F" w14:textId="482DBCDB" w:rsidR="006C2E8D" w:rsidRDefault="00F55A7B" w:rsidP="00875285">
      <w:pPr>
        <w:rPr>
          <w:lang w:eastAsia="cs-CZ"/>
        </w:rPr>
      </w:pPr>
      <w:r w:rsidRPr="00F55A7B">
        <w:rPr>
          <w:lang w:eastAsia="cs-CZ"/>
        </w:rPr>
        <w:t>V zadávací dokumentaci všech pěti kontrolovaných zakázek na pořízení nových vozidel ZP</w:t>
      </w:r>
      <w:r w:rsidR="00F47200">
        <w:rPr>
          <w:lang w:eastAsia="cs-CZ"/>
        </w:rPr>
        <w:t> </w:t>
      </w:r>
      <w:r w:rsidRPr="00F55A7B">
        <w:rPr>
          <w:lang w:eastAsia="cs-CZ"/>
        </w:rPr>
        <w:t>MV</w:t>
      </w:r>
      <w:r w:rsidR="00F47200">
        <w:rPr>
          <w:lang w:eastAsia="cs-CZ"/>
        </w:rPr>
        <w:t> </w:t>
      </w:r>
      <w:r w:rsidRPr="00F55A7B">
        <w:rPr>
          <w:lang w:eastAsia="cs-CZ"/>
        </w:rPr>
        <w:t>ČR přesně udáv</w:t>
      </w:r>
      <w:r w:rsidR="001A5CF6">
        <w:rPr>
          <w:lang w:eastAsia="cs-CZ"/>
        </w:rPr>
        <w:t>ala</w:t>
      </w:r>
      <w:r w:rsidRPr="00F55A7B">
        <w:rPr>
          <w:lang w:eastAsia="cs-CZ"/>
        </w:rPr>
        <w:t xml:space="preserve"> jejich značku, model a případně i další konkrétní prvky výbavy s</w:t>
      </w:r>
      <w:r w:rsidR="00F47200">
        <w:rPr>
          <w:lang w:eastAsia="cs-CZ"/>
        </w:rPr>
        <w:t> </w:t>
      </w:r>
      <w:r w:rsidRPr="00F55A7B">
        <w:rPr>
          <w:lang w:eastAsia="cs-CZ"/>
        </w:rPr>
        <w:t xml:space="preserve">jejich kódy. Zároveň zde </w:t>
      </w:r>
      <w:r w:rsidR="002C722C">
        <w:rPr>
          <w:lang w:eastAsia="cs-CZ"/>
        </w:rPr>
        <w:t>ale</w:t>
      </w:r>
      <w:r w:rsidRPr="00F55A7B">
        <w:rPr>
          <w:lang w:eastAsia="cs-CZ"/>
        </w:rPr>
        <w:t xml:space="preserve"> </w:t>
      </w:r>
      <w:r w:rsidR="003F403E">
        <w:rPr>
          <w:lang w:eastAsia="cs-CZ"/>
        </w:rPr>
        <w:t>neuvedla</w:t>
      </w:r>
      <w:r w:rsidRPr="00F55A7B">
        <w:rPr>
          <w:lang w:eastAsia="cs-CZ"/>
        </w:rPr>
        <w:t>, zda je možné použití i jiných</w:t>
      </w:r>
      <w:r w:rsidR="002C722C">
        <w:rPr>
          <w:lang w:eastAsia="cs-CZ"/>
        </w:rPr>
        <w:t>,</w:t>
      </w:r>
      <w:r w:rsidRPr="00F55A7B">
        <w:rPr>
          <w:lang w:eastAsia="cs-CZ"/>
        </w:rPr>
        <w:t xml:space="preserve"> kvalitativně a</w:t>
      </w:r>
      <w:r w:rsidR="00F47200">
        <w:rPr>
          <w:lang w:eastAsia="cs-CZ"/>
        </w:rPr>
        <w:t> </w:t>
      </w:r>
      <w:r w:rsidRPr="00F55A7B">
        <w:rPr>
          <w:lang w:eastAsia="cs-CZ"/>
        </w:rPr>
        <w:t>technicky obdobných řešení.</w:t>
      </w:r>
      <w:r>
        <w:rPr>
          <w:lang w:eastAsia="cs-CZ"/>
        </w:rPr>
        <w:t xml:space="preserve"> </w:t>
      </w:r>
      <w:r w:rsidRPr="00F55A7B">
        <w:rPr>
          <w:b/>
          <w:lang w:eastAsia="cs-CZ"/>
        </w:rPr>
        <w:t xml:space="preserve">ZP MV ČR </w:t>
      </w:r>
      <w:r w:rsidRPr="00C54851">
        <w:rPr>
          <w:lang w:eastAsia="cs-CZ"/>
        </w:rPr>
        <w:t>t</w:t>
      </w:r>
      <w:r w:rsidR="002D7297" w:rsidRPr="00C54851">
        <w:rPr>
          <w:lang w:eastAsia="cs-CZ"/>
        </w:rPr>
        <w:t>ak</w:t>
      </w:r>
      <w:r w:rsidRPr="00F55A7B">
        <w:rPr>
          <w:b/>
          <w:lang w:eastAsia="cs-CZ"/>
        </w:rPr>
        <w:t xml:space="preserve"> nepostupovala při pořízení vozidel </w:t>
      </w:r>
      <w:r w:rsidR="002C722C" w:rsidRPr="00F55A7B">
        <w:rPr>
          <w:b/>
          <w:lang w:eastAsia="cs-CZ"/>
        </w:rPr>
        <w:t xml:space="preserve">za </w:t>
      </w:r>
      <w:r w:rsidRPr="00F55A7B">
        <w:rPr>
          <w:b/>
          <w:lang w:eastAsia="cs-CZ"/>
        </w:rPr>
        <w:t>celkem 12</w:t>
      </w:r>
      <w:r w:rsidR="00F47200">
        <w:rPr>
          <w:b/>
          <w:lang w:eastAsia="cs-CZ"/>
        </w:rPr>
        <w:t> </w:t>
      </w:r>
      <w:r w:rsidRPr="00F55A7B">
        <w:rPr>
          <w:b/>
          <w:lang w:eastAsia="cs-CZ"/>
        </w:rPr>
        <w:t>072</w:t>
      </w:r>
      <w:r w:rsidR="00F47200">
        <w:rPr>
          <w:b/>
          <w:lang w:eastAsia="cs-CZ"/>
        </w:rPr>
        <w:t> </w:t>
      </w:r>
      <w:r w:rsidRPr="00F55A7B">
        <w:rPr>
          <w:b/>
          <w:lang w:eastAsia="cs-CZ"/>
        </w:rPr>
        <w:t>846</w:t>
      </w:r>
      <w:r w:rsidR="00F47200">
        <w:rPr>
          <w:b/>
          <w:lang w:eastAsia="cs-CZ"/>
        </w:rPr>
        <w:t> </w:t>
      </w:r>
      <w:r w:rsidRPr="00F55A7B">
        <w:rPr>
          <w:b/>
          <w:lang w:eastAsia="cs-CZ"/>
        </w:rPr>
        <w:t xml:space="preserve">Kč vč. DPH v souladu </w:t>
      </w:r>
      <w:r w:rsidR="008E31F2">
        <w:rPr>
          <w:b/>
          <w:lang w:eastAsia="cs-CZ"/>
        </w:rPr>
        <w:t>se záko</w:t>
      </w:r>
      <w:r w:rsidR="002D7297">
        <w:rPr>
          <w:b/>
          <w:lang w:eastAsia="cs-CZ"/>
        </w:rPr>
        <w:t>n</w:t>
      </w:r>
      <w:r w:rsidR="008E31F2">
        <w:rPr>
          <w:b/>
          <w:lang w:eastAsia="cs-CZ"/>
        </w:rPr>
        <w:t>em</w:t>
      </w:r>
      <w:r w:rsidR="007F4DD6">
        <w:rPr>
          <w:b/>
          <w:lang w:eastAsia="cs-CZ"/>
        </w:rPr>
        <w:t xml:space="preserve"> o veřejných zakázkách</w:t>
      </w:r>
      <w:r w:rsidR="008E31F2">
        <w:rPr>
          <w:rStyle w:val="Znakapoznpodarou"/>
          <w:b/>
          <w:lang w:eastAsia="cs-CZ"/>
        </w:rPr>
        <w:footnoteReference w:id="50"/>
      </w:r>
      <w:r w:rsidR="007F4DD6">
        <w:rPr>
          <w:b/>
          <w:lang w:eastAsia="cs-CZ"/>
        </w:rPr>
        <w:t>.</w:t>
      </w:r>
      <w:r w:rsidRPr="00F55A7B">
        <w:rPr>
          <w:b/>
          <w:lang w:eastAsia="cs-CZ"/>
        </w:rPr>
        <w:t xml:space="preserve"> </w:t>
      </w:r>
      <w:r w:rsidRPr="00C54851">
        <w:rPr>
          <w:lang w:eastAsia="cs-CZ"/>
        </w:rPr>
        <w:t>Zároveň t</w:t>
      </w:r>
      <w:r w:rsidR="002D7297" w:rsidRPr="00C54851">
        <w:rPr>
          <w:lang w:eastAsia="cs-CZ"/>
        </w:rPr>
        <w:t>ím</w:t>
      </w:r>
      <w:r w:rsidRPr="00C54851">
        <w:rPr>
          <w:lang w:eastAsia="cs-CZ"/>
        </w:rPr>
        <w:t xml:space="preserve"> porušila zásadu zákazu diskriminace </w:t>
      </w:r>
      <w:r w:rsidR="002D7297" w:rsidRPr="00C54851">
        <w:rPr>
          <w:lang w:eastAsia="cs-CZ"/>
        </w:rPr>
        <w:t>stanovenou</w:t>
      </w:r>
      <w:r w:rsidRPr="00C54851">
        <w:rPr>
          <w:lang w:eastAsia="cs-CZ"/>
        </w:rPr>
        <w:t xml:space="preserve"> </w:t>
      </w:r>
      <w:r w:rsidR="002D7297" w:rsidRPr="00C54851">
        <w:rPr>
          <w:lang w:eastAsia="cs-CZ"/>
        </w:rPr>
        <w:t xml:space="preserve">tímto </w:t>
      </w:r>
      <w:r w:rsidRPr="00C54851">
        <w:rPr>
          <w:lang w:eastAsia="cs-CZ"/>
        </w:rPr>
        <w:t>zákon</w:t>
      </w:r>
      <w:r w:rsidR="002D7297" w:rsidRPr="00C54851">
        <w:rPr>
          <w:lang w:eastAsia="cs-CZ"/>
        </w:rPr>
        <w:t>em</w:t>
      </w:r>
      <w:r w:rsidR="008E31F2" w:rsidRPr="00C54851">
        <w:rPr>
          <w:rStyle w:val="Znakapoznpodarou"/>
          <w:lang w:eastAsia="cs-CZ"/>
        </w:rPr>
        <w:footnoteReference w:id="51"/>
      </w:r>
      <w:r w:rsidR="002D7297" w:rsidRPr="00C54851">
        <w:rPr>
          <w:lang w:eastAsia="cs-CZ"/>
        </w:rPr>
        <w:t>.</w:t>
      </w:r>
    </w:p>
    <w:p w14:paraId="41D06646" w14:textId="77777777" w:rsidR="00A64D88" w:rsidRDefault="00A64D88" w:rsidP="00875285">
      <w:pPr>
        <w:rPr>
          <w:lang w:eastAsia="cs-CZ"/>
        </w:rPr>
      </w:pPr>
    </w:p>
    <w:p w14:paraId="3E13C666" w14:textId="5E0EEA41" w:rsidR="007A2187" w:rsidRPr="00DD025E" w:rsidRDefault="00CB1848" w:rsidP="00DD025E">
      <w:pPr>
        <w:pStyle w:val="Nadpis2"/>
        <w:spacing w:before="0"/>
        <w:ind w:left="426" w:hanging="426"/>
        <w:rPr>
          <w:sz w:val="24"/>
          <w:szCs w:val="24"/>
        </w:rPr>
      </w:pPr>
      <w:bookmarkStart w:id="27" w:name="_Toc431818685"/>
      <w:r w:rsidRPr="00DD025E">
        <w:rPr>
          <w:sz w:val="24"/>
          <w:szCs w:val="24"/>
        </w:rPr>
        <w:t>Fond prevence</w:t>
      </w:r>
      <w:bookmarkEnd w:id="27"/>
    </w:p>
    <w:p w14:paraId="40BC3D95" w14:textId="7673393B" w:rsidR="00EE7ED6" w:rsidRDefault="00EE7ED6" w:rsidP="00EE7ED6">
      <w:r w:rsidRPr="00302BBB">
        <w:t xml:space="preserve">Z fondu prevence lze nad rámec hrazených služeb hradit zdravotní služby, u nichž je prokazatelný preventivní, diagnostický nebo léčebný efekt a které jsou poskytovány pojištěncům v souvislosti s jejich existujícím nebo hrozícím onemocněním. </w:t>
      </w:r>
      <w:r w:rsidR="002D7297" w:rsidRPr="00C70DB3">
        <w:rPr>
          <w:rFonts w:cstheme="minorHAnsi"/>
        </w:rPr>
        <w:t>Zdroji fondu prevence byly finanční prostředky dle zákona č. 280/1992 Sb.</w:t>
      </w:r>
      <w:r w:rsidR="002D7297" w:rsidRPr="00C70DB3">
        <w:rPr>
          <w:rStyle w:val="Znakapoznpodarou"/>
          <w:rFonts w:cstheme="minorHAnsi"/>
        </w:rPr>
        <w:footnoteReference w:id="52"/>
      </w:r>
      <w:r w:rsidR="002D7297" w:rsidRPr="00C70DB3">
        <w:rPr>
          <w:rFonts w:cstheme="minorHAnsi"/>
        </w:rPr>
        <w:t xml:space="preserve"> a příspěvky rodičů na </w:t>
      </w:r>
      <w:r w:rsidR="004D5E66">
        <w:rPr>
          <w:rFonts w:cstheme="minorHAnsi"/>
        </w:rPr>
        <w:t xml:space="preserve">léčebně </w:t>
      </w:r>
      <w:r w:rsidR="002D7297" w:rsidRPr="00C70DB3">
        <w:rPr>
          <w:rFonts w:cstheme="minorHAnsi"/>
        </w:rPr>
        <w:t>ozdravné pobyty</w:t>
      </w:r>
      <w:r w:rsidR="004D5E66">
        <w:rPr>
          <w:rFonts w:cstheme="minorHAnsi"/>
        </w:rPr>
        <w:t xml:space="preserve"> pro děti</w:t>
      </w:r>
      <w:r w:rsidR="002D7297" w:rsidRPr="00C70DB3">
        <w:rPr>
          <w:rFonts w:cstheme="minorHAnsi"/>
        </w:rPr>
        <w:t>.</w:t>
      </w:r>
      <w:r w:rsidR="002D7297">
        <w:rPr>
          <w:rFonts w:cstheme="minorHAnsi"/>
        </w:rPr>
        <w:t xml:space="preserve"> </w:t>
      </w:r>
      <w:r w:rsidRPr="00302BBB">
        <w:t>ZP MV ČR čerpala fond prevence mj</w:t>
      </w:r>
      <w:r w:rsidRPr="00C70DB3">
        <w:t>. na léčebně ozdravné pobyty pro děti a</w:t>
      </w:r>
      <w:r>
        <w:t xml:space="preserve"> </w:t>
      </w:r>
      <w:r w:rsidRPr="00302BBB">
        <w:t>pro specifické skupiny pojištěnců ohrožené charakterem vykonávané práce.</w:t>
      </w:r>
      <w:r>
        <w:t xml:space="preserve"> </w:t>
      </w:r>
    </w:p>
    <w:p w14:paraId="382E71EA" w14:textId="77777777" w:rsidR="00A64D88" w:rsidRPr="00302BBB" w:rsidRDefault="00A64D88" w:rsidP="00EE7ED6">
      <w:pPr>
        <w:rPr>
          <w:rFonts w:cstheme="minorHAnsi"/>
        </w:rPr>
      </w:pPr>
    </w:p>
    <w:p w14:paraId="109345D0" w14:textId="75F10FCD" w:rsidR="00EE7ED6" w:rsidRDefault="002D7297" w:rsidP="00DD025E">
      <w:pPr>
        <w:pStyle w:val="Nadpis3"/>
        <w:spacing w:before="0"/>
        <w:ind w:left="567" w:hanging="567"/>
      </w:pPr>
      <w:r>
        <w:t>Léčebně o</w:t>
      </w:r>
      <w:r w:rsidR="00EE7ED6" w:rsidRPr="00033A37">
        <w:t>zdravné pobyty</w:t>
      </w:r>
      <w:r>
        <w:t xml:space="preserve"> pro děti</w:t>
      </w:r>
    </w:p>
    <w:p w14:paraId="36C434A2" w14:textId="03DF1B96" w:rsidR="00EE7ED6" w:rsidRDefault="00EE7ED6" w:rsidP="00746D0A">
      <w:pPr>
        <w:rPr>
          <w:rFonts w:ascii="Calibri" w:eastAsia="MS Mincho" w:hAnsi="Calibri" w:cstheme="minorHAnsi"/>
        </w:rPr>
      </w:pPr>
      <w:r w:rsidRPr="00033A37">
        <w:rPr>
          <w:rFonts w:cstheme="minorHAnsi"/>
          <w:b/>
        </w:rPr>
        <w:t xml:space="preserve">ZP MV ČR nepostupovala </w:t>
      </w:r>
      <w:r w:rsidR="007F04D7">
        <w:rPr>
          <w:rFonts w:cstheme="minorHAnsi"/>
          <w:b/>
        </w:rPr>
        <w:t xml:space="preserve">u veřejných zakázek na léčebně ozdravné pobyty pro děti </w:t>
      </w:r>
      <w:r w:rsidR="007F4DD6">
        <w:rPr>
          <w:rFonts w:cstheme="minorHAnsi"/>
          <w:b/>
        </w:rPr>
        <w:t>v souladu se zákonem o veřejných zakázkách</w:t>
      </w:r>
      <w:r w:rsidRPr="00DD025E">
        <w:rPr>
          <w:rFonts w:cstheme="minorHAnsi"/>
          <w:b/>
        </w:rPr>
        <w:t>,</w:t>
      </w:r>
      <w:r w:rsidRPr="004D5E66">
        <w:rPr>
          <w:rFonts w:cstheme="minorHAnsi"/>
        </w:rPr>
        <w:t xml:space="preserve"> </w:t>
      </w:r>
      <w:r w:rsidR="002C722C">
        <w:rPr>
          <w:rFonts w:cstheme="minorHAnsi"/>
        </w:rPr>
        <w:t>neboť</w:t>
      </w:r>
      <w:r w:rsidR="00746D0A">
        <w:rPr>
          <w:rFonts w:cstheme="minorHAnsi"/>
        </w:rPr>
        <w:t xml:space="preserve"> </w:t>
      </w:r>
      <w:r w:rsidRPr="00302BBB">
        <w:rPr>
          <w:rFonts w:ascii="Calibri" w:eastAsia="MS Mincho" w:hAnsi="Calibri" w:cstheme="minorHAnsi"/>
        </w:rPr>
        <w:t>u dvou nadlimitních veřejných zakázek neuzavřela smlouvu</w:t>
      </w:r>
      <w:r w:rsidR="007F04D7">
        <w:rPr>
          <w:rFonts w:ascii="Calibri" w:eastAsia="MS Mincho" w:hAnsi="Calibri" w:cstheme="minorHAnsi"/>
        </w:rPr>
        <w:t xml:space="preserve"> </w:t>
      </w:r>
      <w:r w:rsidRPr="00302BBB">
        <w:rPr>
          <w:rFonts w:ascii="Calibri" w:eastAsia="MS Mincho" w:hAnsi="Calibri" w:cstheme="minorHAnsi"/>
        </w:rPr>
        <w:t>v souladu s</w:t>
      </w:r>
      <w:r w:rsidR="002C722C">
        <w:rPr>
          <w:rFonts w:ascii="Calibri" w:eastAsia="MS Mincho" w:hAnsi="Calibri" w:cstheme="minorHAnsi"/>
        </w:rPr>
        <w:t> </w:t>
      </w:r>
      <w:r w:rsidRPr="00302BBB">
        <w:rPr>
          <w:rFonts w:ascii="Calibri" w:eastAsia="MS Mincho" w:hAnsi="Calibri" w:cstheme="minorHAnsi"/>
        </w:rPr>
        <w:t>nabídkou</w:t>
      </w:r>
      <w:r w:rsidR="002C722C">
        <w:rPr>
          <w:rFonts w:ascii="Calibri" w:eastAsia="MS Mincho" w:hAnsi="Calibri" w:cstheme="minorHAnsi"/>
        </w:rPr>
        <w:t>.</w:t>
      </w:r>
      <w:r w:rsidR="00C16D2C">
        <w:rPr>
          <w:rStyle w:val="Znakapoznpodarou"/>
          <w:rFonts w:ascii="Calibri" w:eastAsia="MS Mincho" w:hAnsi="Calibri" w:cstheme="minorHAnsi"/>
        </w:rPr>
        <w:footnoteReference w:id="53"/>
      </w:r>
    </w:p>
    <w:p w14:paraId="1DBB6FAB" w14:textId="77777777" w:rsidR="00EE7ED6" w:rsidRPr="00302BBB" w:rsidRDefault="00EE7ED6" w:rsidP="00EE7ED6">
      <w:pPr>
        <w:rPr>
          <w:rFonts w:cstheme="minorHAnsi"/>
        </w:rPr>
      </w:pPr>
    </w:p>
    <w:p w14:paraId="3AB7BF06" w14:textId="1415DF0E" w:rsidR="00EE7ED6" w:rsidRPr="004D5E66" w:rsidRDefault="00EE7ED6" w:rsidP="00EE7ED6">
      <w:pPr>
        <w:rPr>
          <w:rFonts w:cstheme="minorHAnsi"/>
        </w:rPr>
      </w:pPr>
      <w:r w:rsidRPr="00565924">
        <w:rPr>
          <w:rFonts w:cstheme="minorHAnsi"/>
          <w:b/>
        </w:rPr>
        <w:t xml:space="preserve">Dále </w:t>
      </w:r>
      <w:r w:rsidR="00A07210">
        <w:rPr>
          <w:rFonts w:cstheme="minorHAnsi"/>
          <w:b/>
        </w:rPr>
        <w:t>NKÚ zjistil</w:t>
      </w:r>
      <w:r w:rsidRPr="00565924">
        <w:rPr>
          <w:rFonts w:cstheme="minorHAnsi"/>
          <w:b/>
        </w:rPr>
        <w:t xml:space="preserve"> nehospodárný </w:t>
      </w:r>
      <w:r w:rsidRPr="00B0351F">
        <w:rPr>
          <w:rFonts w:cstheme="minorHAnsi"/>
          <w:b/>
        </w:rPr>
        <w:t xml:space="preserve">postup </w:t>
      </w:r>
      <w:r w:rsidR="004D5E66">
        <w:rPr>
          <w:rFonts w:cstheme="minorHAnsi"/>
          <w:b/>
        </w:rPr>
        <w:t xml:space="preserve">ZP MV ČR </w:t>
      </w:r>
      <w:r w:rsidRPr="00B0351F">
        <w:rPr>
          <w:rFonts w:cstheme="minorHAnsi"/>
          <w:b/>
        </w:rPr>
        <w:t>při čerpání fondu prevence a ve věcných souvislostech také provozního fondu v</w:t>
      </w:r>
      <w:r w:rsidRPr="00565924">
        <w:rPr>
          <w:rFonts w:cstheme="minorHAnsi"/>
          <w:b/>
        </w:rPr>
        <w:t xml:space="preserve"> úhrnné výši </w:t>
      </w:r>
      <w:r w:rsidRPr="00B0351F">
        <w:rPr>
          <w:rFonts w:cstheme="minorHAnsi"/>
          <w:b/>
        </w:rPr>
        <w:t>635 125 Kč</w:t>
      </w:r>
      <w:r w:rsidRPr="00DD025E">
        <w:rPr>
          <w:rFonts w:cstheme="minorHAnsi"/>
          <w:b/>
        </w:rPr>
        <w:t>,</w:t>
      </w:r>
      <w:r w:rsidRPr="004D5E66">
        <w:rPr>
          <w:rFonts w:cstheme="minorHAnsi"/>
        </w:rPr>
        <w:t xml:space="preserve"> </w:t>
      </w:r>
      <w:r w:rsidR="00986093" w:rsidRPr="004D5E66">
        <w:rPr>
          <w:rFonts w:cstheme="minorHAnsi"/>
        </w:rPr>
        <w:t>např.</w:t>
      </w:r>
      <w:r w:rsidRPr="004D5E66">
        <w:rPr>
          <w:rFonts w:cstheme="minorHAnsi"/>
        </w:rPr>
        <w:t>:</w:t>
      </w:r>
    </w:p>
    <w:p w14:paraId="36282318" w14:textId="6E5D1030" w:rsidR="00EE7ED6" w:rsidRPr="00B0351F" w:rsidRDefault="002C722C" w:rsidP="00EE7ED6">
      <w:pPr>
        <w:numPr>
          <w:ilvl w:val="0"/>
          <w:numId w:val="18"/>
        </w:numPr>
        <w:rPr>
          <w:rFonts w:ascii="Calibri" w:eastAsia="MS Mincho" w:hAnsi="Calibri" w:cstheme="minorHAnsi"/>
          <w:b/>
        </w:rPr>
      </w:pPr>
      <w:r>
        <w:rPr>
          <w:rFonts w:ascii="Calibri" w:eastAsia="MS Mincho" w:hAnsi="Calibri" w:cstheme="minorHAnsi"/>
        </w:rPr>
        <w:t xml:space="preserve">ZP MV ČR </w:t>
      </w:r>
      <w:r w:rsidR="00EE7ED6" w:rsidRPr="00302BBB">
        <w:rPr>
          <w:rFonts w:ascii="Calibri" w:eastAsia="MS Mincho" w:hAnsi="Calibri" w:cstheme="minorHAnsi"/>
        </w:rPr>
        <w:t xml:space="preserve">v </w:t>
      </w:r>
      <w:r w:rsidR="00EE7ED6">
        <w:rPr>
          <w:rFonts w:ascii="Calibri" w:eastAsia="MS Mincho" w:hAnsi="Calibri" w:cstheme="minorHAnsi"/>
        </w:rPr>
        <w:t>roce</w:t>
      </w:r>
      <w:r w:rsidR="00EE7ED6" w:rsidRPr="00302BBB">
        <w:rPr>
          <w:rFonts w:ascii="Calibri" w:eastAsia="MS Mincho" w:hAnsi="Calibri" w:cstheme="minorHAnsi"/>
        </w:rPr>
        <w:t xml:space="preserve"> 2012 </w:t>
      </w:r>
      <w:r>
        <w:rPr>
          <w:rFonts w:ascii="Calibri" w:eastAsia="MS Mincho" w:hAnsi="Calibri" w:cstheme="minorHAnsi"/>
        </w:rPr>
        <w:t xml:space="preserve">uhradila </w:t>
      </w:r>
      <w:r w:rsidR="00EE7ED6" w:rsidRPr="00302BBB">
        <w:rPr>
          <w:rFonts w:ascii="Calibri" w:eastAsia="MS Mincho" w:hAnsi="Calibri" w:cstheme="minorHAnsi"/>
        </w:rPr>
        <w:t xml:space="preserve">z provozního fondu </w:t>
      </w:r>
      <w:r w:rsidR="00C67D99">
        <w:rPr>
          <w:rFonts w:ascii="Calibri" w:eastAsia="MS Mincho" w:hAnsi="Calibri" w:cstheme="minorHAnsi"/>
        </w:rPr>
        <w:t xml:space="preserve">ve prospěch </w:t>
      </w:r>
      <w:r w:rsidR="00EE7ED6" w:rsidRPr="00B0351F">
        <w:rPr>
          <w:rFonts w:ascii="Calibri" w:eastAsia="MS Mincho" w:hAnsi="Calibri" w:cstheme="minorHAnsi"/>
        </w:rPr>
        <w:t>obchodní společnosti</w:t>
      </w:r>
      <w:r w:rsidR="00EE7ED6" w:rsidRPr="00302BBB">
        <w:rPr>
          <w:rFonts w:ascii="Calibri" w:eastAsia="MS Mincho" w:hAnsi="Calibri" w:cstheme="minorHAnsi"/>
        </w:rPr>
        <w:t xml:space="preserve"> </w:t>
      </w:r>
      <w:r w:rsidR="00D069A8">
        <w:rPr>
          <w:rFonts w:ascii="Calibri" w:eastAsia="MS Mincho" w:hAnsi="Calibri" w:cstheme="minorHAnsi"/>
        </w:rPr>
        <w:t>částku 89 592</w:t>
      </w:r>
      <w:r w:rsidR="00C67D99">
        <w:rPr>
          <w:rFonts w:ascii="Calibri" w:eastAsia="MS Mincho" w:hAnsi="Calibri" w:cstheme="minorHAnsi"/>
        </w:rPr>
        <w:t> </w:t>
      </w:r>
      <w:r w:rsidR="00D069A8">
        <w:rPr>
          <w:rFonts w:ascii="Calibri" w:eastAsia="MS Mincho" w:hAnsi="Calibri" w:cstheme="minorHAnsi"/>
        </w:rPr>
        <w:t>Kč za sportovní a </w:t>
      </w:r>
      <w:r w:rsidR="00EE7ED6" w:rsidRPr="00302BBB">
        <w:rPr>
          <w:rFonts w:ascii="Calibri" w:eastAsia="MS Mincho" w:hAnsi="Calibri" w:cstheme="minorHAnsi"/>
        </w:rPr>
        <w:t xml:space="preserve">kulturní </w:t>
      </w:r>
      <w:r w:rsidR="00EE7ED6" w:rsidRPr="00B16A81">
        <w:rPr>
          <w:rFonts w:ascii="Calibri" w:eastAsia="MS Mincho" w:hAnsi="Calibri" w:cstheme="minorHAnsi"/>
        </w:rPr>
        <w:t>program</w:t>
      </w:r>
      <w:r w:rsidR="004D5E66">
        <w:rPr>
          <w:rFonts w:ascii="Calibri" w:eastAsia="MS Mincho" w:hAnsi="Calibri" w:cstheme="minorHAnsi"/>
        </w:rPr>
        <w:t xml:space="preserve">, který </w:t>
      </w:r>
      <w:r w:rsidR="00EE7ED6" w:rsidRPr="00B0351F">
        <w:rPr>
          <w:rFonts w:ascii="Calibri" w:eastAsia="MS Mincho" w:hAnsi="Calibri" w:cstheme="minorHAnsi"/>
        </w:rPr>
        <w:t xml:space="preserve">byl </w:t>
      </w:r>
      <w:r w:rsidR="004D5E66" w:rsidRPr="00B0351F">
        <w:rPr>
          <w:rFonts w:ascii="Calibri" w:eastAsia="MS Mincho" w:hAnsi="Calibri" w:cstheme="minorHAnsi"/>
        </w:rPr>
        <w:t xml:space="preserve">již </w:t>
      </w:r>
      <w:r w:rsidR="00EE7ED6" w:rsidRPr="00B0351F">
        <w:rPr>
          <w:rFonts w:ascii="Calibri" w:eastAsia="MS Mincho" w:hAnsi="Calibri" w:cstheme="minorHAnsi"/>
        </w:rPr>
        <w:t xml:space="preserve">součástí smluvní ceny </w:t>
      </w:r>
      <w:r w:rsidR="004D5E66">
        <w:rPr>
          <w:rFonts w:ascii="Calibri" w:eastAsia="MS Mincho" w:hAnsi="Calibri" w:cstheme="minorHAnsi"/>
        </w:rPr>
        <w:t>léčebně ozdravných</w:t>
      </w:r>
      <w:r w:rsidR="00986093" w:rsidRPr="00986093">
        <w:rPr>
          <w:rFonts w:ascii="Calibri" w:eastAsia="MS Mincho" w:hAnsi="Calibri" w:cstheme="minorHAnsi"/>
        </w:rPr>
        <w:t xml:space="preserve"> pobyt</w:t>
      </w:r>
      <w:r w:rsidR="004D5E66">
        <w:rPr>
          <w:rFonts w:ascii="Calibri" w:eastAsia="MS Mincho" w:hAnsi="Calibri" w:cstheme="minorHAnsi"/>
        </w:rPr>
        <w:t>ů</w:t>
      </w:r>
      <w:r w:rsidR="00986093" w:rsidRPr="00986093">
        <w:rPr>
          <w:rFonts w:ascii="Calibri" w:eastAsia="MS Mincho" w:hAnsi="Calibri" w:cstheme="minorHAnsi"/>
        </w:rPr>
        <w:t xml:space="preserve"> pro děti </w:t>
      </w:r>
      <w:r w:rsidR="007858D7">
        <w:rPr>
          <w:rFonts w:ascii="Calibri" w:eastAsia="MS Mincho" w:hAnsi="Calibri" w:cstheme="minorHAnsi"/>
        </w:rPr>
        <w:t>hrazen</w:t>
      </w:r>
      <w:r w:rsidR="004D5E66">
        <w:rPr>
          <w:rFonts w:ascii="Calibri" w:eastAsia="MS Mincho" w:hAnsi="Calibri" w:cstheme="minorHAnsi"/>
        </w:rPr>
        <w:t>ých</w:t>
      </w:r>
      <w:r w:rsidR="007858D7">
        <w:rPr>
          <w:rFonts w:ascii="Calibri" w:eastAsia="MS Mincho" w:hAnsi="Calibri" w:cstheme="minorHAnsi"/>
        </w:rPr>
        <w:t xml:space="preserve"> z fondu prevence</w:t>
      </w:r>
      <w:r>
        <w:rPr>
          <w:rFonts w:ascii="Calibri" w:eastAsia="MS Mincho" w:hAnsi="Calibri" w:cstheme="minorHAnsi"/>
        </w:rPr>
        <w:t>.</w:t>
      </w:r>
      <w:r w:rsidR="00EE7ED6" w:rsidRPr="00B0351F">
        <w:rPr>
          <w:rFonts w:ascii="Calibri" w:eastAsia="MS Mincho" w:hAnsi="Calibri" w:cstheme="minorHAnsi"/>
          <w:b/>
        </w:rPr>
        <w:t xml:space="preserve"> </w:t>
      </w:r>
    </w:p>
    <w:p w14:paraId="3CD7285C" w14:textId="7B28204F" w:rsidR="00EE7ED6" w:rsidRPr="00302BBB" w:rsidRDefault="002C722C" w:rsidP="00EE7ED6">
      <w:pPr>
        <w:numPr>
          <w:ilvl w:val="0"/>
          <w:numId w:val="18"/>
        </w:numPr>
        <w:rPr>
          <w:rFonts w:ascii="Calibri" w:eastAsia="MS Mincho" w:hAnsi="Calibri" w:cstheme="minorHAnsi"/>
        </w:rPr>
      </w:pPr>
      <w:r>
        <w:rPr>
          <w:rFonts w:ascii="Calibri" w:eastAsia="MS Mincho" w:hAnsi="Calibri" w:cstheme="minorHAnsi"/>
        </w:rPr>
        <w:t>V</w:t>
      </w:r>
      <w:r w:rsidR="00EE7ED6" w:rsidRPr="00302BBB">
        <w:rPr>
          <w:rFonts w:ascii="Calibri" w:eastAsia="MS Mincho" w:hAnsi="Calibri" w:cstheme="minorHAnsi"/>
        </w:rPr>
        <w:t xml:space="preserve"> letech 2012 a 2013 </w:t>
      </w:r>
      <w:r>
        <w:rPr>
          <w:rFonts w:ascii="Calibri" w:eastAsia="MS Mincho" w:hAnsi="Calibri" w:cstheme="minorHAnsi"/>
        </w:rPr>
        <w:t xml:space="preserve">ZP MV ČR vyplatila </w:t>
      </w:r>
      <w:r w:rsidR="00EE7ED6" w:rsidRPr="00302BBB">
        <w:rPr>
          <w:rFonts w:ascii="Calibri" w:eastAsia="MS Mincho" w:hAnsi="Calibri" w:cstheme="minorHAnsi"/>
        </w:rPr>
        <w:t xml:space="preserve">z provozního fondu za inspekční cesty na </w:t>
      </w:r>
      <w:r w:rsidR="00986093" w:rsidRPr="00986093">
        <w:rPr>
          <w:rFonts w:ascii="Calibri" w:eastAsia="MS Mincho" w:hAnsi="Calibri" w:cstheme="minorHAnsi"/>
        </w:rPr>
        <w:t xml:space="preserve">léčebně ozdravné pobyty pro děti </w:t>
      </w:r>
      <w:r w:rsidR="00EE7ED6" w:rsidRPr="00302BBB">
        <w:rPr>
          <w:rFonts w:ascii="Calibri" w:eastAsia="MS Mincho" w:hAnsi="Calibri" w:cstheme="minorHAnsi"/>
        </w:rPr>
        <w:t xml:space="preserve">a </w:t>
      </w:r>
      <w:r w:rsidR="00EE7ED6" w:rsidRPr="00B0351F">
        <w:rPr>
          <w:rFonts w:ascii="Calibri" w:eastAsia="MS Mincho" w:hAnsi="Calibri" w:cstheme="minorHAnsi"/>
        </w:rPr>
        <w:t>poplatky za storno účasti za</w:t>
      </w:r>
      <w:r w:rsidR="00EE7ED6" w:rsidRPr="00302BBB">
        <w:rPr>
          <w:rFonts w:ascii="Calibri" w:eastAsia="MS Mincho" w:hAnsi="Calibri" w:cstheme="minorHAnsi"/>
        </w:rPr>
        <w:t xml:space="preserve"> své zaměstnance celkem 91 133 Kč. Zaměstnanci byli vysláni na inspekční cestu </w:t>
      </w:r>
      <w:r>
        <w:rPr>
          <w:rFonts w:ascii="Calibri" w:eastAsia="MS Mincho" w:hAnsi="Calibri" w:cstheme="minorHAnsi"/>
        </w:rPr>
        <w:t>ve větším počtu, než bylo dohodnuto smlouvou a</w:t>
      </w:r>
      <w:r w:rsidR="00EE7ED6" w:rsidRPr="00302BBB">
        <w:rPr>
          <w:rFonts w:ascii="Calibri" w:eastAsia="MS Mincho" w:hAnsi="Calibri" w:cstheme="minorHAnsi"/>
        </w:rPr>
        <w:t xml:space="preserve"> </w:t>
      </w:r>
      <w:r w:rsidR="00EE7ED6">
        <w:rPr>
          <w:rFonts w:ascii="Calibri" w:eastAsia="MS Mincho" w:hAnsi="Calibri" w:cstheme="minorHAnsi"/>
        </w:rPr>
        <w:t>uhrazen</w:t>
      </w:r>
      <w:r>
        <w:rPr>
          <w:rFonts w:ascii="Calibri" w:eastAsia="MS Mincho" w:hAnsi="Calibri" w:cstheme="minorHAnsi"/>
        </w:rPr>
        <w:t>o</w:t>
      </w:r>
      <w:r w:rsidR="00EE7ED6">
        <w:rPr>
          <w:rFonts w:ascii="Calibri" w:eastAsia="MS Mincho" w:hAnsi="Calibri" w:cstheme="minorHAnsi"/>
        </w:rPr>
        <w:t xml:space="preserve"> z fondu prevence</w:t>
      </w:r>
      <w:r w:rsidR="00EE7ED6" w:rsidRPr="00302BBB">
        <w:rPr>
          <w:rFonts w:ascii="Calibri" w:eastAsia="MS Mincho" w:hAnsi="Calibri" w:cstheme="minorHAnsi"/>
        </w:rPr>
        <w:t>. Navýšení počtu vyslaných za</w:t>
      </w:r>
      <w:r w:rsidR="007858D7">
        <w:rPr>
          <w:rFonts w:ascii="Calibri" w:eastAsia="MS Mincho" w:hAnsi="Calibri" w:cstheme="minorHAnsi"/>
        </w:rPr>
        <w:t>městnanců ZP MV ČR neodůvodnila</w:t>
      </w:r>
      <w:r>
        <w:rPr>
          <w:rFonts w:ascii="Calibri" w:eastAsia="MS Mincho" w:hAnsi="Calibri" w:cstheme="minorHAnsi"/>
        </w:rPr>
        <w:t>.</w:t>
      </w:r>
    </w:p>
    <w:p w14:paraId="2A771A6B" w14:textId="5622C1C4" w:rsidR="00986093" w:rsidRPr="00986093" w:rsidRDefault="00D4691A" w:rsidP="00986093">
      <w:pPr>
        <w:numPr>
          <w:ilvl w:val="0"/>
          <w:numId w:val="18"/>
        </w:numPr>
        <w:rPr>
          <w:rFonts w:ascii="Calibri" w:eastAsia="MS Mincho" w:hAnsi="Calibri" w:cstheme="minorHAnsi"/>
        </w:rPr>
      </w:pPr>
      <w:r>
        <w:rPr>
          <w:rFonts w:ascii="Calibri" w:eastAsia="MS Mincho" w:hAnsi="Calibri" w:cstheme="minorHAnsi"/>
        </w:rPr>
        <w:t xml:space="preserve">ZP MV ČR </w:t>
      </w:r>
      <w:r w:rsidR="00EE7ED6" w:rsidRPr="00986093">
        <w:rPr>
          <w:rFonts w:ascii="Calibri" w:eastAsia="MS Mincho" w:hAnsi="Calibri" w:cstheme="minorHAnsi"/>
        </w:rPr>
        <w:t xml:space="preserve">v roce 2014 </w:t>
      </w:r>
      <w:r>
        <w:rPr>
          <w:rFonts w:ascii="Calibri" w:eastAsia="MS Mincho" w:hAnsi="Calibri" w:cstheme="minorHAnsi"/>
        </w:rPr>
        <w:t xml:space="preserve">uhradila </w:t>
      </w:r>
      <w:r w:rsidR="00EE7ED6" w:rsidRPr="00986093">
        <w:rPr>
          <w:rFonts w:ascii="Calibri" w:eastAsia="MS Mincho" w:hAnsi="Calibri" w:cstheme="minorHAnsi"/>
        </w:rPr>
        <w:t xml:space="preserve">z fondu prevence </w:t>
      </w:r>
      <w:r w:rsidR="00C67D99">
        <w:rPr>
          <w:rFonts w:ascii="Calibri" w:eastAsia="MS Mincho" w:hAnsi="Calibri" w:cstheme="minorHAnsi"/>
        </w:rPr>
        <w:t xml:space="preserve">ve prospěch </w:t>
      </w:r>
      <w:r w:rsidR="00EE7ED6" w:rsidRPr="00986093">
        <w:rPr>
          <w:rFonts w:ascii="Calibri" w:eastAsia="MS Mincho" w:hAnsi="Calibri" w:cstheme="minorHAnsi"/>
        </w:rPr>
        <w:t xml:space="preserve">obchodní společnosti smluvně sjednanou cenu za </w:t>
      </w:r>
      <w:r w:rsidR="00986093" w:rsidRPr="00986093">
        <w:rPr>
          <w:rFonts w:ascii="Calibri" w:eastAsia="MS Mincho" w:hAnsi="Calibri" w:cstheme="minorHAnsi"/>
        </w:rPr>
        <w:t>léčebně ozdravné pobyty pro děti</w:t>
      </w:r>
      <w:r w:rsidR="002C722C">
        <w:rPr>
          <w:rFonts w:ascii="Calibri" w:eastAsia="MS Mincho" w:hAnsi="Calibri" w:cstheme="minorHAnsi"/>
        </w:rPr>
        <w:t xml:space="preserve"> včetně</w:t>
      </w:r>
      <w:r w:rsidR="00EE7ED6" w:rsidRPr="00986093">
        <w:rPr>
          <w:rFonts w:ascii="Calibri" w:eastAsia="MS Mincho" w:hAnsi="Calibri" w:cstheme="minorHAnsi"/>
        </w:rPr>
        <w:t xml:space="preserve"> nákladů na využívání požadovaného vybavení hotelu (tělocvična, krytý bazén, samostatná jídelna atd.), kterým však hotel nedisponoval,</w:t>
      </w:r>
      <w:r w:rsidR="007858D7" w:rsidRPr="00986093">
        <w:rPr>
          <w:rFonts w:ascii="Calibri" w:eastAsia="MS Mincho" w:hAnsi="Calibri" w:cstheme="minorHAnsi"/>
        </w:rPr>
        <w:t xml:space="preserve"> aniž by jednala o snížení ceny</w:t>
      </w:r>
      <w:r>
        <w:rPr>
          <w:rFonts w:ascii="Calibri" w:eastAsia="MS Mincho" w:hAnsi="Calibri" w:cstheme="minorHAnsi"/>
        </w:rPr>
        <w:t>.</w:t>
      </w:r>
      <w:r w:rsidR="00986093" w:rsidRPr="00986093">
        <w:rPr>
          <w:rFonts w:ascii="Calibri" w:eastAsia="MS Mincho" w:hAnsi="Calibri" w:cstheme="minorHAnsi"/>
        </w:rPr>
        <w:t xml:space="preserve"> </w:t>
      </w:r>
    </w:p>
    <w:p w14:paraId="1C6156E0" w14:textId="084842A9" w:rsidR="00986093" w:rsidRDefault="00D4691A" w:rsidP="00986093">
      <w:pPr>
        <w:numPr>
          <w:ilvl w:val="0"/>
          <w:numId w:val="18"/>
        </w:numPr>
        <w:rPr>
          <w:rFonts w:ascii="Calibri" w:eastAsia="MS Mincho" w:hAnsi="Calibri" w:cstheme="minorHAnsi"/>
        </w:rPr>
      </w:pPr>
      <w:r>
        <w:rPr>
          <w:rFonts w:ascii="Calibri" w:eastAsia="MS Mincho" w:hAnsi="Calibri" w:cstheme="minorHAnsi"/>
        </w:rPr>
        <w:t>V</w:t>
      </w:r>
      <w:r w:rsidR="00986093" w:rsidRPr="007F4DD6">
        <w:rPr>
          <w:rFonts w:ascii="Calibri" w:eastAsia="MS Mincho" w:hAnsi="Calibri" w:cstheme="minorHAnsi"/>
        </w:rPr>
        <w:t xml:space="preserve"> roce 2014 </w:t>
      </w:r>
      <w:r>
        <w:rPr>
          <w:rFonts w:ascii="Calibri" w:eastAsia="MS Mincho" w:hAnsi="Calibri" w:cstheme="minorHAnsi"/>
        </w:rPr>
        <w:t xml:space="preserve">ZP MV ČR zaplatila </w:t>
      </w:r>
      <w:r w:rsidR="00986093" w:rsidRPr="007F4DD6">
        <w:rPr>
          <w:rFonts w:ascii="Calibri" w:eastAsia="MS Mincho" w:hAnsi="Calibri" w:cstheme="minorHAnsi"/>
        </w:rPr>
        <w:t xml:space="preserve">za léčebně ozdravné pobyty pro děti </w:t>
      </w:r>
      <w:r w:rsidR="0097059D" w:rsidRPr="007F4DD6">
        <w:rPr>
          <w:rFonts w:ascii="Calibri" w:eastAsia="MS Mincho" w:hAnsi="Calibri" w:cstheme="minorHAnsi"/>
        </w:rPr>
        <w:t xml:space="preserve">navíc </w:t>
      </w:r>
      <w:r w:rsidR="00986093" w:rsidRPr="007F4DD6">
        <w:rPr>
          <w:rFonts w:ascii="Calibri" w:eastAsia="MS Mincho" w:hAnsi="Calibri" w:cstheme="minorHAnsi"/>
        </w:rPr>
        <w:t>částku 454 400</w:t>
      </w:r>
      <w:r w:rsidR="00C67D99">
        <w:rPr>
          <w:rFonts w:ascii="Calibri" w:eastAsia="MS Mincho" w:hAnsi="Calibri" w:cstheme="minorHAnsi"/>
        </w:rPr>
        <w:t> </w:t>
      </w:r>
      <w:r w:rsidR="00986093" w:rsidRPr="007F4DD6">
        <w:rPr>
          <w:rFonts w:ascii="Calibri" w:eastAsia="MS Mincho" w:hAnsi="Calibri" w:cstheme="minorHAnsi"/>
        </w:rPr>
        <w:t xml:space="preserve">Kč, když </w:t>
      </w:r>
      <w:r w:rsidR="0097059D" w:rsidRPr="007F4DD6">
        <w:rPr>
          <w:rFonts w:ascii="Calibri" w:eastAsia="MS Mincho" w:hAnsi="Calibri" w:cstheme="minorHAnsi"/>
        </w:rPr>
        <w:t>akceptovala ve smlouvách uzavřených s obchodní spole</w:t>
      </w:r>
      <w:r w:rsidR="00A90EC4">
        <w:rPr>
          <w:rFonts w:ascii="Calibri" w:eastAsia="MS Mincho" w:hAnsi="Calibri" w:cstheme="minorHAnsi"/>
        </w:rPr>
        <w:t>čností navýšení ceny až o 6 490 </w:t>
      </w:r>
      <w:r w:rsidR="0097059D" w:rsidRPr="007F4DD6">
        <w:rPr>
          <w:rFonts w:ascii="Calibri" w:eastAsia="MS Mincho" w:hAnsi="Calibri" w:cstheme="minorHAnsi"/>
        </w:rPr>
        <w:t>Kč/osobu/pobyt oproti ceně pobytu původně nabízené poskytovatelem</w:t>
      </w:r>
      <w:r w:rsidR="007F4DD6" w:rsidRPr="007F4DD6">
        <w:rPr>
          <w:rFonts w:ascii="Calibri" w:eastAsia="MS Mincho" w:hAnsi="Calibri" w:cstheme="minorHAnsi"/>
        </w:rPr>
        <w:t>.</w:t>
      </w:r>
    </w:p>
    <w:p w14:paraId="3A47217C" w14:textId="77777777" w:rsidR="00BF7697" w:rsidRDefault="00BF7697" w:rsidP="00BF7697">
      <w:pPr>
        <w:ind w:left="360"/>
        <w:rPr>
          <w:rFonts w:ascii="Calibri" w:eastAsia="MS Mincho" w:hAnsi="Calibri" w:cstheme="minorHAnsi"/>
        </w:rPr>
      </w:pPr>
    </w:p>
    <w:p w14:paraId="4B560C90" w14:textId="7F55B605" w:rsidR="00746D0A" w:rsidRDefault="00746D0A" w:rsidP="00746D0A">
      <w:pPr>
        <w:rPr>
          <w:rFonts w:ascii="Calibri" w:eastAsia="MS Mincho" w:hAnsi="Calibri" w:cstheme="minorHAnsi"/>
        </w:rPr>
      </w:pPr>
      <w:r>
        <w:rPr>
          <w:rFonts w:ascii="Calibri" w:eastAsia="MS Mincho" w:hAnsi="Calibri" w:cstheme="minorHAnsi"/>
        </w:rPr>
        <w:lastRenderedPageBreak/>
        <w:t xml:space="preserve">Dále bylo zjištěno, že ZP MV ČR v případě </w:t>
      </w:r>
      <w:r w:rsidRPr="00746D0A">
        <w:rPr>
          <w:rFonts w:ascii="Calibri" w:eastAsia="MS Mincho" w:hAnsi="Calibri" w:cstheme="minorHAnsi"/>
        </w:rPr>
        <w:t xml:space="preserve">dvou veřejných zakázek malého rozsahu v celkové výši 1 800 tis. Kč oslovila pouze jediného uchazeče, </w:t>
      </w:r>
      <w:r w:rsidR="00112024">
        <w:rPr>
          <w:rFonts w:ascii="Calibri" w:eastAsia="MS Mincho" w:hAnsi="Calibri" w:cstheme="minorHAnsi"/>
        </w:rPr>
        <w:t>přitom</w:t>
      </w:r>
      <w:r w:rsidRPr="00746D0A">
        <w:rPr>
          <w:rFonts w:ascii="Calibri" w:eastAsia="MS Mincho" w:hAnsi="Calibri" w:cstheme="minorHAnsi"/>
        </w:rPr>
        <w:t xml:space="preserve"> z veřejně dostupných zdrojů</w:t>
      </w:r>
      <w:r w:rsidR="00112024" w:rsidRPr="00112024">
        <w:rPr>
          <w:rFonts w:ascii="Calibri" w:eastAsia="MS Mincho" w:hAnsi="Calibri" w:cstheme="minorHAnsi"/>
        </w:rPr>
        <w:t xml:space="preserve"> </w:t>
      </w:r>
      <w:r w:rsidR="00112024" w:rsidRPr="00746D0A">
        <w:rPr>
          <w:rFonts w:ascii="Calibri" w:eastAsia="MS Mincho" w:hAnsi="Calibri" w:cstheme="minorHAnsi"/>
        </w:rPr>
        <w:t>NKÚ</w:t>
      </w:r>
      <w:r w:rsidR="00112024" w:rsidRPr="00112024">
        <w:rPr>
          <w:rFonts w:ascii="Calibri" w:eastAsia="MS Mincho" w:hAnsi="Calibri" w:cstheme="minorHAnsi"/>
        </w:rPr>
        <w:t xml:space="preserve"> </w:t>
      </w:r>
      <w:r w:rsidR="00112024" w:rsidRPr="00746D0A">
        <w:rPr>
          <w:rFonts w:ascii="Calibri" w:eastAsia="MS Mincho" w:hAnsi="Calibri" w:cstheme="minorHAnsi"/>
        </w:rPr>
        <w:t>zjistil</w:t>
      </w:r>
      <w:r w:rsidRPr="00746D0A">
        <w:rPr>
          <w:rFonts w:ascii="Calibri" w:eastAsia="MS Mincho" w:hAnsi="Calibri" w:cstheme="minorHAnsi"/>
        </w:rPr>
        <w:t>, že obdobné pobyty zajišťoval jiný dodavatel za nižší cenu.</w:t>
      </w:r>
    </w:p>
    <w:p w14:paraId="3487B192" w14:textId="77777777" w:rsidR="00A64D88" w:rsidRDefault="00A64D88" w:rsidP="00746D0A">
      <w:pPr>
        <w:rPr>
          <w:rFonts w:ascii="Calibri" w:eastAsia="MS Mincho" w:hAnsi="Calibri" w:cstheme="minorHAnsi"/>
        </w:rPr>
      </w:pPr>
    </w:p>
    <w:p w14:paraId="5EF0C026" w14:textId="199669DF" w:rsidR="00EE7ED6" w:rsidRPr="00302BBB" w:rsidRDefault="002D7297" w:rsidP="00DD025E">
      <w:pPr>
        <w:pStyle w:val="Nadpis3"/>
        <w:spacing w:before="0"/>
        <w:ind w:left="567" w:hanging="567"/>
      </w:pPr>
      <w:bookmarkStart w:id="28" w:name="_Toc431818686"/>
      <w:r>
        <w:t>R</w:t>
      </w:r>
      <w:r w:rsidRPr="002D7297">
        <w:t>ehabilitační a léčebně preventivní pobyty pro specifické skupiny pojištěnců ohrožených charakterem vykonávané práce</w:t>
      </w:r>
      <w:bookmarkEnd w:id="28"/>
      <w:r w:rsidR="00EE7ED6" w:rsidRPr="00302BBB">
        <w:t xml:space="preserve"> </w:t>
      </w:r>
    </w:p>
    <w:p w14:paraId="588D7C20" w14:textId="77777777" w:rsidR="00746D0A" w:rsidRDefault="00EE7ED6" w:rsidP="00EE7ED6">
      <w:r w:rsidRPr="0052767D">
        <w:t>Z určeného preventivního programu poskytovala ZP MV ČR rehabilitační a léčebně preventivní pobyty pro specifické skupiny pojištěnců ohrožených charakterem vykonávané práce</w:t>
      </w:r>
      <w:r w:rsidR="007033AF">
        <w:t>, např. pro hasiče, policisty apod.</w:t>
      </w:r>
      <w:r w:rsidRPr="0052767D">
        <w:t xml:space="preserve"> </w:t>
      </w:r>
    </w:p>
    <w:p w14:paraId="11EC6E46" w14:textId="77777777" w:rsidR="00746D0A" w:rsidRDefault="00746D0A" w:rsidP="00EE7ED6"/>
    <w:p w14:paraId="08301ECC" w14:textId="77E2EA83" w:rsidR="00746D0A" w:rsidRDefault="00112024" w:rsidP="00EE7ED6">
      <w:r>
        <w:t xml:space="preserve">Mezi </w:t>
      </w:r>
      <w:r w:rsidR="00EE7ED6" w:rsidRPr="0052767D">
        <w:t>preventivní</w:t>
      </w:r>
      <w:r>
        <w:t>mi</w:t>
      </w:r>
      <w:r w:rsidR="00EE7ED6" w:rsidRPr="0052767D">
        <w:t xml:space="preserve"> program</w:t>
      </w:r>
      <w:r>
        <w:t>y</w:t>
      </w:r>
      <w:r w:rsidR="00EE7ED6" w:rsidRPr="0052767D">
        <w:t xml:space="preserve"> byla </w:t>
      </w:r>
      <w:r>
        <w:t>vedena</w:t>
      </w:r>
      <w:r w:rsidR="00EE7ED6" w:rsidRPr="0052767D">
        <w:t xml:space="preserve"> tzv. </w:t>
      </w:r>
      <w:r w:rsidRPr="00DD025E">
        <w:rPr>
          <w:i/>
        </w:rPr>
        <w:t>P</w:t>
      </w:r>
      <w:r w:rsidR="00EE7ED6" w:rsidRPr="00DD025E">
        <w:rPr>
          <w:i/>
        </w:rPr>
        <w:t>oložka generálního ředitele</w:t>
      </w:r>
      <w:r w:rsidR="00EE7ED6" w:rsidRPr="0052767D">
        <w:t xml:space="preserve">, ze které </w:t>
      </w:r>
      <w:r w:rsidR="00746D0A">
        <w:t>ZP</w:t>
      </w:r>
      <w:r>
        <w:t> </w:t>
      </w:r>
      <w:r w:rsidR="00746D0A">
        <w:t>MV</w:t>
      </w:r>
      <w:r>
        <w:t> </w:t>
      </w:r>
      <w:r w:rsidR="00746D0A">
        <w:t>ČR</w:t>
      </w:r>
      <w:r w:rsidR="00EE7ED6" w:rsidRPr="00302BBB">
        <w:t xml:space="preserve"> v letech 2012 až 2014 vyčerp</w:t>
      </w:r>
      <w:r w:rsidR="00746D0A">
        <w:t>ala</w:t>
      </w:r>
      <w:r w:rsidR="00EE7ED6" w:rsidRPr="00302BBB">
        <w:t xml:space="preserve"> minimálně 2 401 tis. Kč</w:t>
      </w:r>
      <w:r w:rsidR="00EE7ED6">
        <w:t xml:space="preserve"> na pobyty pro </w:t>
      </w:r>
      <w:r w:rsidR="00EF1E29" w:rsidRPr="00AC2EA4">
        <w:t>některé</w:t>
      </w:r>
      <w:r w:rsidR="00EE7ED6" w:rsidRPr="00AC2EA4">
        <w:t xml:space="preserve"> pojištěnce. </w:t>
      </w:r>
      <w:r>
        <w:t>O</w:t>
      </w:r>
      <w:r w:rsidR="0097059D" w:rsidRPr="0052767D">
        <w:t>bjem finančních prostředků určených na tuto položku</w:t>
      </w:r>
      <w:r>
        <w:t xml:space="preserve"> </w:t>
      </w:r>
      <w:r w:rsidRPr="0052767D">
        <w:t>schv</w:t>
      </w:r>
      <w:r>
        <w:t>alovala</w:t>
      </w:r>
      <w:r w:rsidRPr="00112024">
        <w:t xml:space="preserve"> </w:t>
      </w:r>
      <w:r>
        <w:t>s</w:t>
      </w:r>
      <w:r w:rsidRPr="00AC2EA4">
        <w:t>právní</w:t>
      </w:r>
      <w:r w:rsidRPr="0052767D">
        <w:t xml:space="preserve"> rada ZP MV ČR</w:t>
      </w:r>
      <w:r w:rsidR="0097059D" w:rsidRPr="0052767D">
        <w:t>.</w:t>
      </w:r>
      <w:r w:rsidR="0097059D">
        <w:t xml:space="preserve"> </w:t>
      </w:r>
      <w:r w:rsidR="00EE7ED6" w:rsidRPr="00302BBB">
        <w:t xml:space="preserve">Rozhodování o </w:t>
      </w:r>
      <w:r>
        <w:t xml:space="preserve">zařazení </w:t>
      </w:r>
      <w:r w:rsidR="00EE7ED6" w:rsidRPr="00302BBB">
        <w:t>osob</w:t>
      </w:r>
      <w:r>
        <w:t xml:space="preserve"> do pobytů</w:t>
      </w:r>
      <w:r w:rsidR="00EE7ED6" w:rsidRPr="00302BBB">
        <w:t xml:space="preserve">, </w:t>
      </w:r>
      <w:r>
        <w:t xml:space="preserve">o </w:t>
      </w:r>
      <w:r w:rsidR="00EE7ED6" w:rsidRPr="00302BBB">
        <w:t xml:space="preserve">účelu použití </w:t>
      </w:r>
      <w:r>
        <w:t>finančních prostředků i o </w:t>
      </w:r>
      <w:r w:rsidR="00EE7ED6" w:rsidRPr="00302BBB">
        <w:t xml:space="preserve">výši úhrady z </w:t>
      </w:r>
      <w:r w:rsidRPr="00DD025E">
        <w:rPr>
          <w:i/>
        </w:rPr>
        <w:t>P</w:t>
      </w:r>
      <w:r w:rsidR="00EE7ED6" w:rsidRPr="00DD025E">
        <w:rPr>
          <w:i/>
        </w:rPr>
        <w:t>oložky generálního ředitele</w:t>
      </w:r>
      <w:r w:rsidR="00EE7ED6" w:rsidRPr="00302BBB">
        <w:t xml:space="preserve"> bylo plně v kompetenci GŘ</w:t>
      </w:r>
      <w:r w:rsidR="00EE7ED6" w:rsidRPr="0052767D">
        <w:t xml:space="preserve">. </w:t>
      </w:r>
    </w:p>
    <w:p w14:paraId="39ED6359" w14:textId="77777777" w:rsidR="00746D0A" w:rsidRDefault="00746D0A" w:rsidP="00EE7ED6"/>
    <w:p w14:paraId="489944BD" w14:textId="4B846EE0" w:rsidR="00EE7ED6" w:rsidRDefault="00EE7ED6" w:rsidP="00EE7ED6">
      <w:r w:rsidRPr="00302BBB">
        <w:t xml:space="preserve">ZP MV ČR v letech 2012 až 2014 při čerpání finančních prostředků z </w:t>
      </w:r>
      <w:r w:rsidR="00112024" w:rsidRPr="00DD025E">
        <w:rPr>
          <w:i/>
        </w:rPr>
        <w:t>P</w:t>
      </w:r>
      <w:r w:rsidRPr="00DD025E">
        <w:rPr>
          <w:i/>
        </w:rPr>
        <w:t>oložky generálního ředitele</w:t>
      </w:r>
      <w:r w:rsidRPr="00302BBB">
        <w:t xml:space="preserve"> </w:t>
      </w:r>
      <w:r w:rsidRPr="0052767D">
        <w:t xml:space="preserve">nerespektovala </w:t>
      </w:r>
      <w:r>
        <w:t>pravidla</w:t>
      </w:r>
      <w:r w:rsidRPr="0052767D">
        <w:t xml:space="preserve"> schválen</w:t>
      </w:r>
      <w:r>
        <w:t>á</w:t>
      </w:r>
      <w:r w:rsidRPr="0052767D">
        <w:t xml:space="preserve"> správní radou, tj. neuplat</w:t>
      </w:r>
      <w:r w:rsidR="00082B61">
        <w:t>n</w:t>
      </w:r>
      <w:r w:rsidRPr="0052767D">
        <w:t>ila</w:t>
      </w:r>
      <w:r w:rsidRPr="00302BBB">
        <w:t xml:space="preserve"> vlastní stanovená omezení pro délku pobytu, jeho cenu, četnost čerpání v jednom roce a </w:t>
      </w:r>
      <w:r w:rsidR="00082B61">
        <w:t>neurčila ani</w:t>
      </w:r>
      <w:r w:rsidRPr="00302BBB">
        <w:t xml:space="preserve"> skupiny pojištěnců, kterým </w:t>
      </w:r>
      <w:r w:rsidR="00082B61">
        <w:t>může být pobyt poskytnut</w:t>
      </w:r>
      <w:r w:rsidRPr="00AC2EA4">
        <w:t xml:space="preserve">. </w:t>
      </w:r>
      <w:r w:rsidR="00EF1E29" w:rsidRPr="00AC2EA4">
        <w:t>Tím zvýhodňovala některé pojištěnce.</w:t>
      </w:r>
      <w:r w:rsidR="00746D0A">
        <w:t xml:space="preserve"> </w:t>
      </w:r>
      <w:r w:rsidR="00C16D2C">
        <w:t>ZP</w:t>
      </w:r>
      <w:r w:rsidR="001B36BC">
        <w:t> </w:t>
      </w:r>
      <w:r w:rsidR="00C16D2C">
        <w:t>MV</w:t>
      </w:r>
      <w:r w:rsidR="001B36BC">
        <w:t> </w:t>
      </w:r>
      <w:r w:rsidR="00C16D2C">
        <w:t xml:space="preserve">ČR např. </w:t>
      </w:r>
      <w:r w:rsidRPr="004D5C6B">
        <w:t>sjednala ve smlouvách ceny za týdenní pob</w:t>
      </w:r>
      <w:r w:rsidR="00A90EC4">
        <w:t xml:space="preserve">yty pro </w:t>
      </w:r>
      <w:r w:rsidR="00EF1E29">
        <w:t xml:space="preserve">některé </w:t>
      </w:r>
      <w:r w:rsidR="00A90EC4">
        <w:t>pojištěnce až o </w:t>
      </w:r>
      <w:r w:rsidRPr="004D5C6B">
        <w:t>10</w:t>
      </w:r>
      <w:r w:rsidR="001B36BC">
        <w:t> </w:t>
      </w:r>
      <w:r w:rsidRPr="004D5C6B">
        <w:t>676 Kč vyšší</w:t>
      </w:r>
      <w:r w:rsidR="00791E94">
        <w:t xml:space="preserve"> oproti cenám</w:t>
      </w:r>
      <w:r w:rsidRPr="004D5C6B">
        <w:t xml:space="preserve"> za pobyty pro </w:t>
      </w:r>
      <w:r w:rsidR="00746D0A">
        <w:t xml:space="preserve">specifické skupiny </w:t>
      </w:r>
      <w:r w:rsidRPr="004D5C6B">
        <w:t>pojištěnc</w:t>
      </w:r>
      <w:r w:rsidR="00746D0A">
        <w:t>ů</w:t>
      </w:r>
      <w:r>
        <w:t>.</w:t>
      </w:r>
    </w:p>
    <w:p w14:paraId="2639A21A" w14:textId="77777777" w:rsidR="0097059D" w:rsidRDefault="0097059D" w:rsidP="00EE7ED6"/>
    <w:p w14:paraId="3AEEE85E" w14:textId="20544246" w:rsidR="00EE7ED6" w:rsidRPr="00302BBB" w:rsidRDefault="00EE7ED6" w:rsidP="00EE7ED6">
      <w:r>
        <w:t>Dále</w:t>
      </w:r>
      <w:r w:rsidRPr="00302BBB">
        <w:t xml:space="preserve"> </w:t>
      </w:r>
      <w:r w:rsidR="00791E94">
        <w:t xml:space="preserve">ZP MV </w:t>
      </w:r>
      <w:r w:rsidR="007C7CB5">
        <w:t xml:space="preserve">ČR </w:t>
      </w:r>
      <w:r w:rsidR="00DD025E">
        <w:t>u</w:t>
      </w:r>
      <w:r w:rsidR="00DD025E" w:rsidRPr="004D5C6B">
        <w:t>hradila</w:t>
      </w:r>
      <w:r w:rsidR="00DD025E">
        <w:t xml:space="preserve"> </w:t>
      </w:r>
      <w:r w:rsidR="00791E94">
        <w:t xml:space="preserve">např. </w:t>
      </w:r>
      <w:r w:rsidR="003D38DC">
        <w:t>z </w:t>
      </w:r>
      <w:r w:rsidR="00082B61" w:rsidRPr="00DD025E">
        <w:rPr>
          <w:i/>
        </w:rPr>
        <w:t>P</w:t>
      </w:r>
      <w:r w:rsidR="003D38DC" w:rsidRPr="00DD025E">
        <w:rPr>
          <w:i/>
        </w:rPr>
        <w:t>oložky generálního ředitele</w:t>
      </w:r>
      <w:r w:rsidR="003D38DC">
        <w:t xml:space="preserve"> </w:t>
      </w:r>
      <w:r w:rsidR="00746D0A">
        <w:t>některým pojištěncům</w:t>
      </w:r>
      <w:r w:rsidRPr="004D5C6B">
        <w:t>:</w:t>
      </w:r>
    </w:p>
    <w:p w14:paraId="7A553297" w14:textId="0EEDF801" w:rsidR="00EE7ED6" w:rsidRPr="00302BBB" w:rsidRDefault="00EE7ED6" w:rsidP="00EE7ED6">
      <w:pPr>
        <w:numPr>
          <w:ilvl w:val="0"/>
          <w:numId w:val="19"/>
        </w:numPr>
        <w:rPr>
          <w:rFonts w:ascii="Calibri" w:eastAsia="MS Mincho" w:hAnsi="Calibri" w:cstheme="minorHAnsi"/>
        </w:rPr>
      </w:pPr>
      <w:r w:rsidRPr="00302BBB">
        <w:rPr>
          <w:rFonts w:ascii="Calibri" w:eastAsia="MS Mincho" w:hAnsi="Calibri" w:cstheme="minorHAnsi"/>
        </w:rPr>
        <w:t xml:space="preserve">víkendové pobyty v cenách týdenních pobytů pro </w:t>
      </w:r>
      <w:r w:rsidR="00DA369F" w:rsidRPr="00DA369F">
        <w:rPr>
          <w:rFonts w:ascii="Calibri" w:eastAsia="MS Mincho" w:hAnsi="Calibri" w:cstheme="minorHAnsi"/>
        </w:rPr>
        <w:t xml:space="preserve">specifické skupiny </w:t>
      </w:r>
      <w:r w:rsidRPr="00302BBB">
        <w:rPr>
          <w:rFonts w:ascii="Calibri" w:eastAsia="MS Mincho" w:hAnsi="Calibri" w:cstheme="minorHAnsi"/>
        </w:rPr>
        <w:t>pojištěnc</w:t>
      </w:r>
      <w:r w:rsidR="00DA369F">
        <w:rPr>
          <w:rFonts w:ascii="Calibri" w:eastAsia="MS Mincho" w:hAnsi="Calibri" w:cstheme="minorHAnsi"/>
        </w:rPr>
        <w:t>ů</w:t>
      </w:r>
      <w:r w:rsidRPr="00302BBB">
        <w:rPr>
          <w:rFonts w:ascii="Calibri" w:eastAsia="MS Mincho" w:hAnsi="Calibri" w:cstheme="minorHAnsi"/>
        </w:rPr>
        <w:t>;</w:t>
      </w:r>
    </w:p>
    <w:p w14:paraId="3182BFE5" w14:textId="2982049B" w:rsidR="00EE7ED6" w:rsidRPr="00302BBB" w:rsidRDefault="00EE7ED6" w:rsidP="00842969">
      <w:pPr>
        <w:numPr>
          <w:ilvl w:val="0"/>
          <w:numId w:val="19"/>
        </w:numPr>
        <w:rPr>
          <w:rFonts w:ascii="Calibri" w:eastAsia="MS Mincho" w:hAnsi="Calibri" w:cstheme="minorHAnsi"/>
        </w:rPr>
      </w:pPr>
      <w:r w:rsidRPr="00302BBB">
        <w:rPr>
          <w:rFonts w:ascii="Calibri" w:eastAsia="MS Mincho" w:hAnsi="Calibri" w:cstheme="minorHAnsi"/>
        </w:rPr>
        <w:t xml:space="preserve">pobyty dvakrát ročně, přestože u pobytů pro </w:t>
      </w:r>
      <w:r w:rsidR="00DA369F" w:rsidRPr="00DA369F">
        <w:rPr>
          <w:rFonts w:ascii="Calibri" w:eastAsia="MS Mincho" w:hAnsi="Calibri" w:cstheme="minorHAnsi"/>
        </w:rPr>
        <w:t xml:space="preserve">specifické skupiny </w:t>
      </w:r>
      <w:r w:rsidRPr="00302BBB">
        <w:rPr>
          <w:rFonts w:ascii="Calibri" w:eastAsia="MS Mincho" w:hAnsi="Calibri" w:cstheme="minorHAnsi"/>
        </w:rPr>
        <w:t>pojištěnc</w:t>
      </w:r>
      <w:r w:rsidR="00DA369F">
        <w:rPr>
          <w:rFonts w:ascii="Calibri" w:eastAsia="MS Mincho" w:hAnsi="Calibri" w:cstheme="minorHAnsi"/>
        </w:rPr>
        <w:t>ů</w:t>
      </w:r>
      <w:r w:rsidRPr="00302BBB">
        <w:rPr>
          <w:rFonts w:ascii="Calibri" w:eastAsia="MS Mincho" w:hAnsi="Calibri" w:cstheme="minorHAnsi"/>
        </w:rPr>
        <w:t xml:space="preserve"> bylo možné poskytnout jednomu pojištěnci pobyt maximálně jednou ročně</w:t>
      </w:r>
      <w:r w:rsidR="00082B61">
        <w:rPr>
          <w:rFonts w:ascii="Calibri" w:eastAsia="MS Mincho" w:hAnsi="Calibri" w:cstheme="minorHAnsi"/>
        </w:rPr>
        <w:t>.</w:t>
      </w:r>
      <w:r w:rsidRPr="00302BBB">
        <w:rPr>
          <w:rFonts w:ascii="Calibri" w:eastAsia="MS Mincho" w:hAnsi="Calibri" w:cstheme="minorHAnsi"/>
        </w:rPr>
        <w:t xml:space="preserve"> </w:t>
      </w:r>
      <w:r w:rsidR="00082B61">
        <w:rPr>
          <w:rFonts w:ascii="Calibri" w:eastAsia="MS Mincho" w:hAnsi="Calibri" w:cstheme="minorHAnsi"/>
        </w:rPr>
        <w:t>Z</w:t>
      </w:r>
      <w:r w:rsidRPr="00302BBB">
        <w:rPr>
          <w:rFonts w:ascii="Calibri" w:eastAsia="MS Mincho" w:hAnsi="Calibri" w:cstheme="minorHAnsi"/>
        </w:rPr>
        <w:t xml:space="preserve">a </w:t>
      </w:r>
      <w:r>
        <w:rPr>
          <w:rFonts w:ascii="Calibri" w:eastAsia="MS Mincho" w:hAnsi="Calibri" w:cstheme="minorHAnsi"/>
        </w:rPr>
        <w:t xml:space="preserve">tyto </w:t>
      </w:r>
      <w:r w:rsidRPr="00302BBB">
        <w:rPr>
          <w:rFonts w:ascii="Calibri" w:eastAsia="MS Mincho" w:hAnsi="Calibri" w:cstheme="minorHAnsi"/>
        </w:rPr>
        <w:t xml:space="preserve">pobyty ZP MV </w:t>
      </w:r>
      <w:r>
        <w:rPr>
          <w:rFonts w:ascii="Calibri" w:eastAsia="MS Mincho" w:hAnsi="Calibri" w:cstheme="minorHAnsi"/>
        </w:rPr>
        <w:t>Č</w:t>
      </w:r>
      <w:r w:rsidR="00B92776">
        <w:rPr>
          <w:rFonts w:ascii="Calibri" w:eastAsia="MS Mincho" w:hAnsi="Calibri" w:cstheme="minorHAnsi"/>
        </w:rPr>
        <w:t>R uhradila celkem 164 479 Kč;</w:t>
      </w:r>
    </w:p>
    <w:p w14:paraId="4FBB1C32" w14:textId="371573F6" w:rsidR="001B36BC" w:rsidRPr="00302BBB" w:rsidRDefault="00EE7ED6" w:rsidP="00842969">
      <w:pPr>
        <w:numPr>
          <w:ilvl w:val="0"/>
          <w:numId w:val="19"/>
        </w:numPr>
        <w:rPr>
          <w:rFonts w:ascii="Calibri" w:eastAsia="MS Mincho" w:hAnsi="Calibri" w:cstheme="minorHAnsi"/>
        </w:rPr>
      </w:pPr>
      <w:r w:rsidRPr="00302BBB">
        <w:rPr>
          <w:rFonts w:ascii="Calibri" w:eastAsia="MS Mincho" w:hAnsi="Calibri" w:cstheme="minorHAnsi"/>
        </w:rPr>
        <w:t xml:space="preserve">celkem 1 083 161 Kč za </w:t>
      </w:r>
      <w:r>
        <w:rPr>
          <w:rFonts w:ascii="Calibri" w:eastAsia="MS Mincho" w:hAnsi="Calibri" w:cstheme="minorHAnsi"/>
        </w:rPr>
        <w:t xml:space="preserve">pobyty </w:t>
      </w:r>
      <w:r w:rsidRPr="00302BBB">
        <w:rPr>
          <w:rFonts w:ascii="Calibri" w:eastAsia="MS Mincho" w:hAnsi="Calibri" w:cstheme="minorHAnsi"/>
        </w:rPr>
        <w:t>44 pojištěnců, kteří nespadali do skupiny</w:t>
      </w:r>
      <w:r>
        <w:rPr>
          <w:rFonts w:ascii="Calibri" w:eastAsia="MS Mincho" w:hAnsi="Calibri" w:cstheme="minorHAnsi"/>
        </w:rPr>
        <w:t xml:space="preserve"> pojištěnců ohrožených charakterem vykonávané práce</w:t>
      </w:r>
      <w:r w:rsidRPr="00302BBB">
        <w:rPr>
          <w:rFonts w:ascii="Calibri" w:eastAsia="MS Mincho" w:hAnsi="Calibri" w:cstheme="minorHAnsi"/>
        </w:rPr>
        <w:t xml:space="preserve">, </w:t>
      </w:r>
      <w:r>
        <w:rPr>
          <w:rFonts w:ascii="Calibri" w:eastAsia="MS Mincho" w:hAnsi="Calibri" w:cstheme="minorHAnsi"/>
        </w:rPr>
        <w:t xml:space="preserve">pro </w:t>
      </w:r>
      <w:r w:rsidRPr="00302BBB">
        <w:rPr>
          <w:rFonts w:ascii="Calibri" w:eastAsia="MS Mincho" w:hAnsi="Calibri" w:cstheme="minorHAnsi"/>
        </w:rPr>
        <w:t>kter</w:t>
      </w:r>
      <w:r>
        <w:rPr>
          <w:rFonts w:ascii="Calibri" w:eastAsia="MS Mincho" w:hAnsi="Calibri" w:cstheme="minorHAnsi"/>
        </w:rPr>
        <w:t>é</w:t>
      </w:r>
      <w:r w:rsidRPr="00302BBB">
        <w:rPr>
          <w:rFonts w:ascii="Calibri" w:eastAsia="MS Mincho" w:hAnsi="Calibri" w:cstheme="minorHAnsi"/>
        </w:rPr>
        <w:t xml:space="preserve"> byl program určen</w:t>
      </w:r>
      <w:r w:rsidR="00842969">
        <w:rPr>
          <w:rFonts w:ascii="Calibri" w:eastAsia="MS Mincho" w:hAnsi="Calibri" w:cstheme="minorHAnsi"/>
        </w:rPr>
        <w:t>;</w:t>
      </w:r>
      <w:r>
        <w:rPr>
          <w:rFonts w:ascii="Calibri" w:eastAsia="MS Mincho" w:hAnsi="Calibri" w:cstheme="minorHAnsi"/>
        </w:rPr>
        <w:t xml:space="preserve"> </w:t>
      </w:r>
      <w:r w:rsidR="00842969">
        <w:rPr>
          <w:rFonts w:ascii="Calibri" w:eastAsia="MS Mincho" w:hAnsi="Calibri" w:cstheme="minorHAnsi"/>
        </w:rPr>
        <w:t>j</w:t>
      </w:r>
      <w:r>
        <w:rPr>
          <w:rFonts w:ascii="Calibri" w:eastAsia="MS Mincho" w:hAnsi="Calibri" w:cstheme="minorHAnsi"/>
        </w:rPr>
        <w:t xml:space="preserve">ednalo se </w:t>
      </w:r>
      <w:r w:rsidR="00292A2E">
        <w:rPr>
          <w:rFonts w:ascii="Calibri" w:eastAsia="MS Mincho" w:hAnsi="Calibri" w:cstheme="minorHAnsi"/>
        </w:rPr>
        <w:t xml:space="preserve">např. o důchodce, </w:t>
      </w:r>
      <w:r>
        <w:rPr>
          <w:rFonts w:ascii="Calibri" w:eastAsia="MS Mincho" w:hAnsi="Calibri" w:cstheme="minorHAnsi"/>
        </w:rPr>
        <w:t>osoby bez zdanitelných příjmů</w:t>
      </w:r>
      <w:r w:rsidR="00A90EC4">
        <w:rPr>
          <w:rFonts w:ascii="Calibri" w:eastAsia="MS Mincho" w:hAnsi="Calibri" w:cstheme="minorHAnsi"/>
        </w:rPr>
        <w:t xml:space="preserve">, děti </w:t>
      </w:r>
      <w:r w:rsidR="00AC2EA4">
        <w:rPr>
          <w:rFonts w:ascii="Calibri" w:eastAsia="MS Mincho" w:hAnsi="Calibri" w:cstheme="minorHAnsi"/>
        </w:rPr>
        <w:t>a student</w:t>
      </w:r>
      <w:r w:rsidR="00DA369F">
        <w:rPr>
          <w:rFonts w:ascii="Calibri" w:eastAsia="MS Mincho" w:hAnsi="Calibri" w:cstheme="minorHAnsi"/>
        </w:rPr>
        <w:t>y</w:t>
      </w:r>
      <w:r w:rsidR="00AC2EA4">
        <w:rPr>
          <w:rFonts w:ascii="Calibri" w:eastAsia="MS Mincho" w:hAnsi="Calibri" w:cstheme="minorHAnsi"/>
        </w:rPr>
        <w:t xml:space="preserve"> </w:t>
      </w:r>
      <w:r w:rsidR="00A90EC4">
        <w:rPr>
          <w:rFonts w:ascii="Calibri" w:eastAsia="MS Mincho" w:hAnsi="Calibri" w:cstheme="minorHAnsi"/>
        </w:rPr>
        <w:t>do 26 let věku a </w:t>
      </w:r>
      <w:r w:rsidR="00292A2E">
        <w:rPr>
          <w:rFonts w:ascii="Calibri" w:eastAsia="MS Mincho" w:hAnsi="Calibri" w:cstheme="minorHAnsi"/>
        </w:rPr>
        <w:t>některé</w:t>
      </w:r>
      <w:r w:rsidRPr="00302BBB">
        <w:rPr>
          <w:rFonts w:ascii="Calibri" w:eastAsia="MS Mincho" w:hAnsi="Calibri" w:cstheme="minorHAnsi"/>
        </w:rPr>
        <w:t xml:space="preserve"> člen</w:t>
      </w:r>
      <w:r>
        <w:rPr>
          <w:rFonts w:ascii="Calibri" w:eastAsia="MS Mincho" w:hAnsi="Calibri" w:cstheme="minorHAnsi"/>
        </w:rPr>
        <w:t>y</w:t>
      </w:r>
      <w:r w:rsidRPr="00302BBB">
        <w:rPr>
          <w:rFonts w:ascii="Calibri" w:eastAsia="MS Mincho" w:hAnsi="Calibri" w:cstheme="minorHAnsi"/>
        </w:rPr>
        <w:t xml:space="preserve"> SR a DR</w:t>
      </w:r>
      <w:r w:rsidR="00B92776">
        <w:rPr>
          <w:rFonts w:ascii="Calibri" w:eastAsia="MS Mincho" w:hAnsi="Calibri" w:cstheme="minorHAnsi"/>
        </w:rPr>
        <w:t>;</w:t>
      </w:r>
    </w:p>
    <w:p w14:paraId="61AB2CAF" w14:textId="2C720DC3" w:rsidR="00EE7ED6" w:rsidRPr="00302BBB" w:rsidRDefault="00EE7ED6" w:rsidP="00842969">
      <w:pPr>
        <w:numPr>
          <w:ilvl w:val="0"/>
          <w:numId w:val="20"/>
        </w:numPr>
        <w:rPr>
          <w:rFonts w:ascii="Calibri" w:eastAsia="MS Mincho" w:hAnsi="Calibri" w:cstheme="minorHAnsi"/>
        </w:rPr>
      </w:pPr>
      <w:r w:rsidRPr="00302BBB">
        <w:rPr>
          <w:rFonts w:ascii="Calibri" w:eastAsia="MS Mincho" w:hAnsi="Calibri" w:cstheme="minorHAnsi"/>
        </w:rPr>
        <w:t>za šest pobytů pro dva pojištěnce celkem 132 800 Kč poskytovateli, se kterým neměla uzavřenou smlouvu</w:t>
      </w:r>
      <w:r>
        <w:rPr>
          <w:rFonts w:ascii="Calibri" w:eastAsia="MS Mincho" w:hAnsi="Calibri" w:cstheme="minorHAnsi"/>
        </w:rPr>
        <w:t xml:space="preserve"> a který </w:t>
      </w:r>
      <w:r w:rsidRPr="000B3964">
        <w:rPr>
          <w:rFonts w:ascii="Calibri" w:eastAsia="MS Mincho" w:hAnsi="Calibri" w:cstheme="minorHAnsi"/>
        </w:rPr>
        <w:t>nebyl schválen správní radou.</w:t>
      </w:r>
      <w:r w:rsidRPr="00302BBB">
        <w:rPr>
          <w:rFonts w:ascii="Calibri" w:eastAsia="MS Mincho" w:hAnsi="Calibri" w:cstheme="minorHAnsi"/>
        </w:rPr>
        <w:t xml:space="preserve"> Tuto výjimku povolil </w:t>
      </w:r>
      <w:r w:rsidR="0097059D">
        <w:rPr>
          <w:rFonts w:ascii="Calibri" w:eastAsia="MS Mincho" w:hAnsi="Calibri" w:cstheme="minorHAnsi"/>
        </w:rPr>
        <w:t>GŘ</w:t>
      </w:r>
      <w:r w:rsidRPr="000B3964">
        <w:rPr>
          <w:rFonts w:ascii="Calibri" w:eastAsia="MS Mincho" w:hAnsi="Calibri" w:cstheme="minorHAnsi"/>
        </w:rPr>
        <w:t xml:space="preserve"> na základě požadavku pojištěnců.</w:t>
      </w:r>
    </w:p>
    <w:p w14:paraId="5E8D194D" w14:textId="77777777" w:rsidR="002304AC" w:rsidRPr="007A2187" w:rsidRDefault="002304AC" w:rsidP="002304AC"/>
    <w:p w14:paraId="65886DAE" w14:textId="77777777" w:rsidR="00D10F66" w:rsidRDefault="00D10F66">
      <w:pPr>
        <w:jc w:val="left"/>
        <w:rPr>
          <w:rFonts w:cstheme="minorHAnsi"/>
          <w:b/>
          <w:bCs/>
          <w:sz w:val="32"/>
          <w:szCs w:val="28"/>
        </w:rPr>
      </w:pPr>
      <w:r>
        <w:rPr>
          <w:rFonts w:cstheme="minorHAnsi"/>
          <w:b/>
          <w:bCs/>
          <w:sz w:val="32"/>
          <w:szCs w:val="28"/>
        </w:rPr>
        <w:br w:type="page"/>
      </w:r>
    </w:p>
    <w:p w14:paraId="6FB5364C" w14:textId="5C37D8E3" w:rsidR="00625610" w:rsidRPr="00933714" w:rsidRDefault="00625610" w:rsidP="00625610">
      <w:pPr>
        <w:jc w:val="center"/>
        <w:rPr>
          <w:rFonts w:cstheme="minorHAnsi"/>
          <w:b/>
          <w:bCs/>
          <w:sz w:val="28"/>
          <w:szCs w:val="28"/>
        </w:rPr>
      </w:pPr>
      <w:r w:rsidRPr="00933714">
        <w:rPr>
          <w:rFonts w:cstheme="minorHAnsi"/>
          <w:b/>
          <w:bCs/>
          <w:sz w:val="28"/>
          <w:szCs w:val="28"/>
        </w:rPr>
        <w:lastRenderedPageBreak/>
        <w:t>III. Shrnutí a vyhodnocení</w:t>
      </w:r>
    </w:p>
    <w:p w14:paraId="6A73EE17" w14:textId="77777777" w:rsidR="00E74C86" w:rsidRDefault="00E74C86" w:rsidP="00EF6A76"/>
    <w:p w14:paraId="09EB5959" w14:textId="68D19672" w:rsidR="003A165C" w:rsidRDefault="003A165C" w:rsidP="004D2728">
      <w:pPr>
        <w:rPr>
          <w:rFonts w:eastAsia="Times New Roman" w:cs="Times New Roman"/>
          <w:szCs w:val="24"/>
          <w:lang w:eastAsia="cs-CZ"/>
        </w:rPr>
      </w:pPr>
      <w:r w:rsidRPr="003A165C">
        <w:rPr>
          <w:rFonts w:eastAsia="Times New Roman" w:cs="Times New Roman"/>
          <w:szCs w:val="24"/>
          <w:lang w:eastAsia="cs-CZ"/>
        </w:rPr>
        <w:t>ZP MV ČR je veřejnoprávní subjekt, který hospodaří s finančními prostředky vybíranými na základě zákona</w:t>
      </w:r>
      <w:r>
        <w:rPr>
          <w:rFonts w:eastAsia="Times New Roman" w:cs="Times New Roman"/>
          <w:szCs w:val="24"/>
          <w:lang w:eastAsia="cs-CZ"/>
        </w:rPr>
        <w:t>.</w:t>
      </w:r>
    </w:p>
    <w:p w14:paraId="43F90B6A" w14:textId="77777777" w:rsidR="003A165C" w:rsidRDefault="003A165C" w:rsidP="004D2728">
      <w:pPr>
        <w:rPr>
          <w:rFonts w:eastAsia="Times New Roman" w:cs="Times New Roman"/>
          <w:szCs w:val="24"/>
          <w:lang w:eastAsia="cs-CZ"/>
        </w:rPr>
      </w:pPr>
    </w:p>
    <w:p w14:paraId="2EFF4805" w14:textId="205DF548" w:rsidR="003A165C" w:rsidRDefault="004D2728" w:rsidP="003A165C">
      <w:pPr>
        <w:rPr>
          <w:rFonts w:eastAsia="Times New Roman" w:cs="Times New Roman"/>
          <w:szCs w:val="24"/>
          <w:lang w:eastAsia="cs-CZ"/>
        </w:rPr>
      </w:pPr>
      <w:r w:rsidRPr="004D2728">
        <w:rPr>
          <w:rFonts w:eastAsia="Times New Roman" w:cs="Times New Roman"/>
          <w:szCs w:val="24"/>
          <w:lang w:eastAsia="cs-CZ"/>
        </w:rPr>
        <w:t>ZP MV ČR je co do objemu peněžních prostředků</w:t>
      </w:r>
      <w:r w:rsidR="00DA369F">
        <w:rPr>
          <w:rFonts w:eastAsia="Times New Roman" w:cs="Times New Roman"/>
          <w:szCs w:val="24"/>
          <w:lang w:eastAsia="cs-CZ"/>
        </w:rPr>
        <w:t>,</w:t>
      </w:r>
      <w:r w:rsidRPr="004D2728">
        <w:rPr>
          <w:rFonts w:eastAsia="Times New Roman" w:cs="Times New Roman"/>
          <w:szCs w:val="24"/>
          <w:lang w:eastAsia="cs-CZ"/>
        </w:rPr>
        <w:t xml:space="preserve"> se kterými hospodaří</w:t>
      </w:r>
      <w:r w:rsidR="00DA369F">
        <w:rPr>
          <w:rFonts w:eastAsia="Times New Roman" w:cs="Times New Roman"/>
          <w:szCs w:val="24"/>
          <w:lang w:eastAsia="cs-CZ"/>
        </w:rPr>
        <w:t>,</w:t>
      </w:r>
      <w:r w:rsidRPr="004D2728">
        <w:rPr>
          <w:rFonts w:eastAsia="Times New Roman" w:cs="Times New Roman"/>
          <w:szCs w:val="24"/>
          <w:lang w:eastAsia="cs-CZ"/>
        </w:rPr>
        <w:t xml:space="preserve"> </w:t>
      </w:r>
      <w:r w:rsidR="00C5796E">
        <w:rPr>
          <w:rFonts w:eastAsia="Times New Roman" w:cs="Times New Roman"/>
          <w:szCs w:val="24"/>
          <w:lang w:eastAsia="cs-CZ"/>
        </w:rPr>
        <w:t xml:space="preserve">i co do </w:t>
      </w:r>
      <w:r w:rsidRPr="004D2728">
        <w:rPr>
          <w:rFonts w:eastAsia="Times New Roman" w:cs="Times New Roman"/>
          <w:szCs w:val="24"/>
          <w:lang w:eastAsia="cs-CZ"/>
        </w:rPr>
        <w:t>počtu pojištěnců druhou největší zdravotní pojišťovnou. V roce 2014 činil objem vybraného pojistného (včetně přerozdělení) více než 26,4 mld. Kč a náklady vynaložené na zdravotní služby hrazené ze základního fondu více než 26,1 mld. Kč. Počet pojištěnců ZP MV ČR k 31.</w:t>
      </w:r>
      <w:r w:rsidR="00F47200">
        <w:rPr>
          <w:rFonts w:eastAsia="Times New Roman" w:cs="Times New Roman"/>
          <w:szCs w:val="24"/>
          <w:lang w:eastAsia="cs-CZ"/>
        </w:rPr>
        <w:t> </w:t>
      </w:r>
      <w:r w:rsidRPr="004D2728">
        <w:rPr>
          <w:rFonts w:eastAsia="Times New Roman" w:cs="Times New Roman"/>
          <w:szCs w:val="24"/>
          <w:lang w:eastAsia="cs-CZ"/>
        </w:rPr>
        <w:t>12. 2014 činil více než 1,2 mil</w:t>
      </w:r>
      <w:r w:rsidR="00C5796E">
        <w:rPr>
          <w:rFonts w:eastAsia="Times New Roman" w:cs="Times New Roman"/>
          <w:szCs w:val="24"/>
          <w:lang w:eastAsia="cs-CZ"/>
        </w:rPr>
        <w:t>ionu</w:t>
      </w:r>
      <w:r w:rsidRPr="004D2728">
        <w:rPr>
          <w:rFonts w:eastAsia="Times New Roman" w:cs="Times New Roman"/>
          <w:szCs w:val="24"/>
          <w:lang w:eastAsia="cs-CZ"/>
        </w:rPr>
        <w:t>.</w:t>
      </w:r>
      <w:bookmarkStart w:id="29" w:name="_Toc431818690"/>
    </w:p>
    <w:p w14:paraId="07256115" w14:textId="77777777" w:rsidR="003A165C" w:rsidRDefault="003A165C" w:rsidP="003A165C">
      <w:pPr>
        <w:rPr>
          <w:rFonts w:eastAsia="Times New Roman" w:cs="Times New Roman"/>
          <w:szCs w:val="24"/>
          <w:lang w:eastAsia="cs-CZ"/>
        </w:rPr>
      </w:pPr>
    </w:p>
    <w:bookmarkEnd w:id="29"/>
    <w:p w14:paraId="28418AF9" w14:textId="0D8D8F56" w:rsidR="004D2728" w:rsidRDefault="00475BFC" w:rsidP="004D2728">
      <w:pPr>
        <w:rPr>
          <w:rFonts w:eastAsia="Times New Roman"/>
        </w:rPr>
      </w:pPr>
      <w:r w:rsidRPr="00475BFC">
        <w:rPr>
          <w:rFonts w:eastAsia="Times New Roman"/>
          <w:b/>
        </w:rPr>
        <w:t>V oblasti výběru pojistného na veřejné zdravotní pojištění</w:t>
      </w:r>
      <w:r>
        <w:rPr>
          <w:rFonts w:eastAsia="Times New Roman"/>
        </w:rPr>
        <w:t xml:space="preserve"> </w:t>
      </w:r>
      <w:r w:rsidR="004D2728" w:rsidRPr="004D2728">
        <w:rPr>
          <w:rFonts w:eastAsia="Times New Roman"/>
        </w:rPr>
        <w:t xml:space="preserve">ZP MV ČR využila možnost </w:t>
      </w:r>
      <w:r w:rsidR="008E2C23" w:rsidRPr="004D2728">
        <w:rPr>
          <w:rFonts w:eastAsia="Times New Roman"/>
        </w:rPr>
        <w:t xml:space="preserve">danou </w:t>
      </w:r>
      <w:r w:rsidR="004D2728" w:rsidRPr="004D2728">
        <w:rPr>
          <w:rFonts w:eastAsia="Times New Roman"/>
        </w:rPr>
        <w:t>jí zákonem stanovit pravděpodobnou výši pojistného, ale postup, který používala, nebyl v</w:t>
      </w:r>
      <w:r w:rsidR="00F47200">
        <w:rPr>
          <w:rFonts w:eastAsia="Times New Roman"/>
        </w:rPr>
        <w:t> </w:t>
      </w:r>
      <w:r w:rsidR="004D2728" w:rsidRPr="004D2728">
        <w:rPr>
          <w:rFonts w:eastAsia="Times New Roman"/>
        </w:rPr>
        <w:t xml:space="preserve">souladu se zákonem </w:t>
      </w:r>
      <w:r w:rsidR="008E2C23">
        <w:rPr>
          <w:rFonts w:eastAsia="Times New Roman"/>
        </w:rPr>
        <w:t>o pojistném na veřejné zdravotní pojištění</w:t>
      </w:r>
      <w:r w:rsidR="004D2728" w:rsidRPr="004D2728">
        <w:rPr>
          <w:rFonts w:eastAsia="Times New Roman"/>
        </w:rPr>
        <w:t>, neboť nezahájila správní řízení a nevydala rozhodnutí. NKÚ doporučuje změnu právní úpravy tak, aby byla jednoznačně stanovena povinnost,</w:t>
      </w:r>
      <w:r w:rsidR="006C2E8D">
        <w:rPr>
          <w:rFonts w:eastAsia="Times New Roman"/>
        </w:rPr>
        <w:t xml:space="preserve"> nikoliv možnost </w:t>
      </w:r>
      <w:r w:rsidR="004D2728" w:rsidRPr="004D2728">
        <w:rPr>
          <w:rFonts w:eastAsia="Times New Roman"/>
        </w:rPr>
        <w:t>zdravotní pojišťovny stanovit rozhodnutím pravděpodobnou výši pojistného</w:t>
      </w:r>
      <w:r w:rsidR="00C5796E">
        <w:rPr>
          <w:rFonts w:eastAsia="Times New Roman"/>
        </w:rPr>
        <w:t>,</w:t>
      </w:r>
      <w:r w:rsidR="004D2728" w:rsidRPr="004D2728">
        <w:rPr>
          <w:rFonts w:eastAsia="Times New Roman"/>
        </w:rPr>
        <w:t xml:space="preserve"> vč. závaz</w:t>
      </w:r>
      <w:r w:rsidR="00E55F47">
        <w:rPr>
          <w:rFonts w:eastAsia="Times New Roman"/>
        </w:rPr>
        <w:t>ného postupu.</w:t>
      </w:r>
    </w:p>
    <w:p w14:paraId="01DD35C9" w14:textId="77777777" w:rsidR="00DA369F" w:rsidRPr="006667AD" w:rsidRDefault="00DA369F" w:rsidP="004D2728">
      <w:pPr>
        <w:rPr>
          <w:rFonts w:eastAsia="Times New Roman"/>
          <w:strike/>
        </w:rPr>
      </w:pPr>
    </w:p>
    <w:p w14:paraId="757D3211" w14:textId="224AE2AC" w:rsidR="004D2728" w:rsidRDefault="00422BBA" w:rsidP="004D2728">
      <w:pPr>
        <w:rPr>
          <w:rFonts w:eastAsia="Times New Roman"/>
        </w:rPr>
      </w:pPr>
      <w:r>
        <w:rPr>
          <w:rFonts w:eastAsia="Times New Roman"/>
        </w:rPr>
        <w:t>ZP MV ČR neúčtovala o vyřazení pohledávek minimálně ve výši 57 584 648 Kč za zaniklými plátci pojistného v účetních obdobích, kdy došlo k výmazu těchto plátců z obchodního rejstříku.</w:t>
      </w:r>
    </w:p>
    <w:p w14:paraId="4C995847" w14:textId="77777777" w:rsidR="00422BBA" w:rsidRPr="004D2728" w:rsidRDefault="00422BBA" w:rsidP="004D2728">
      <w:pPr>
        <w:rPr>
          <w:rFonts w:eastAsia="Times New Roman"/>
        </w:rPr>
      </w:pPr>
    </w:p>
    <w:p w14:paraId="7ADA3122" w14:textId="102D6184" w:rsidR="008E2C23" w:rsidRPr="004F3F5F" w:rsidRDefault="00475BFC" w:rsidP="00994040">
      <w:bookmarkStart w:id="30" w:name="_Toc431818692"/>
      <w:r w:rsidRPr="00475BFC">
        <w:rPr>
          <w:b/>
        </w:rPr>
        <w:t>V oblasti zdravotních služeb</w:t>
      </w:r>
      <w:r w:rsidRPr="004F3F5F">
        <w:t xml:space="preserve"> </w:t>
      </w:r>
      <w:r w:rsidR="00751CAF">
        <w:t>byl v</w:t>
      </w:r>
      <w:r w:rsidR="009435AB">
        <w:t> souvislosti s kontrolou</w:t>
      </w:r>
      <w:r w:rsidR="008E2C23" w:rsidRPr="004F3F5F">
        <w:t xml:space="preserve"> NKÚ</w:t>
      </w:r>
      <w:r w:rsidR="00CF2AE5">
        <w:t xml:space="preserve"> </w:t>
      </w:r>
      <w:r w:rsidR="00D95D0F">
        <w:t xml:space="preserve">provedenou </w:t>
      </w:r>
      <w:r w:rsidR="008E2C23" w:rsidRPr="004F3F5F">
        <w:t xml:space="preserve">u ZP MV ČR </w:t>
      </w:r>
      <w:r w:rsidR="009435AB">
        <w:t>zjištěn</w:t>
      </w:r>
      <w:r w:rsidR="008E2C23" w:rsidRPr="004F3F5F">
        <w:t xml:space="preserve"> </w:t>
      </w:r>
      <w:r w:rsidRPr="004F3F5F">
        <w:t xml:space="preserve">nesoulad v právních předpisech </w:t>
      </w:r>
      <w:r>
        <w:t xml:space="preserve">a další nedostatky, </w:t>
      </w:r>
      <w:r w:rsidR="008E2C23" w:rsidRPr="004F3F5F">
        <w:t>z nichž vyplývají systémová rizika. NKÚ opakovaně upozorňuje například na</w:t>
      </w:r>
      <w:r>
        <w:t xml:space="preserve"> tyto skutečnosti</w:t>
      </w:r>
      <w:r w:rsidR="008E2C23" w:rsidRPr="004F3F5F">
        <w:t>:</w:t>
      </w:r>
    </w:p>
    <w:p w14:paraId="049193EF" w14:textId="0B39B985" w:rsidR="00994040" w:rsidRPr="00811B2C" w:rsidRDefault="00C5796E" w:rsidP="00222A78">
      <w:pPr>
        <w:numPr>
          <w:ilvl w:val="0"/>
          <w:numId w:val="25"/>
        </w:numPr>
      </w:pPr>
      <w:r>
        <w:t xml:space="preserve">Trvá </w:t>
      </w:r>
      <w:r w:rsidR="00994040" w:rsidRPr="00E24758">
        <w:t xml:space="preserve">nesoulad </w:t>
      </w:r>
      <w:r>
        <w:t xml:space="preserve">mezi </w:t>
      </w:r>
      <w:r w:rsidR="002B37C5">
        <w:t>úhradov</w:t>
      </w:r>
      <w:r>
        <w:t>ými</w:t>
      </w:r>
      <w:r w:rsidR="002B37C5">
        <w:t xml:space="preserve"> </w:t>
      </w:r>
      <w:r w:rsidR="002B37C5" w:rsidRPr="00E24758">
        <w:t>vyhlášk</w:t>
      </w:r>
      <w:r>
        <w:t>ami</w:t>
      </w:r>
      <w:r w:rsidR="002B37C5">
        <w:t xml:space="preserve"> </w:t>
      </w:r>
      <w:r>
        <w:t>a</w:t>
      </w:r>
      <w:r w:rsidR="002B37C5" w:rsidRPr="00E24758">
        <w:t xml:space="preserve"> </w:t>
      </w:r>
      <w:r w:rsidR="00994040" w:rsidRPr="00E24758">
        <w:t>zákon</w:t>
      </w:r>
      <w:r w:rsidR="002B37C5">
        <w:t>em</w:t>
      </w:r>
      <w:r w:rsidR="00994040" w:rsidRPr="00E24758">
        <w:t xml:space="preserve"> </w:t>
      </w:r>
      <w:r w:rsidR="008E2C23">
        <w:t>o veřejném zdravotním pojištění</w:t>
      </w:r>
      <w:r w:rsidR="00750B36">
        <w:t>;</w:t>
      </w:r>
      <w:r w:rsidR="00A90EC4">
        <w:t xml:space="preserve"> </w:t>
      </w:r>
      <w:r>
        <w:t>rozpor mezi těmito předpisy</w:t>
      </w:r>
      <w:r w:rsidR="00A90EC4">
        <w:t xml:space="preserve"> spočívá </w:t>
      </w:r>
      <w:r>
        <w:t xml:space="preserve">v různém pohledu na </w:t>
      </w:r>
      <w:r w:rsidR="00285397">
        <w:t>poskytování kapitační platby praktickým lékařům bez nutnosti poskytnout zdravotní službu</w:t>
      </w:r>
      <w:r>
        <w:t>.</w:t>
      </w:r>
    </w:p>
    <w:p w14:paraId="7E9E2E90" w14:textId="2CF93CA5" w:rsidR="00945F17" w:rsidRPr="00AB092A" w:rsidRDefault="00750B36" w:rsidP="00945F17">
      <w:pPr>
        <w:numPr>
          <w:ilvl w:val="0"/>
          <w:numId w:val="25"/>
        </w:numPr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P</w:t>
      </w:r>
      <w:r w:rsidR="00945F17" w:rsidRPr="00945F17">
        <w:rPr>
          <w:rFonts w:ascii="Calibri" w:eastAsia="MS Mincho" w:hAnsi="Calibri" w:cs="Calibri"/>
        </w:rPr>
        <w:t xml:space="preserve">roces vedoucí ke schválení </w:t>
      </w:r>
      <w:r w:rsidR="00945F17">
        <w:rPr>
          <w:rFonts w:ascii="Calibri" w:eastAsia="MS Mincho" w:hAnsi="Calibri" w:cs="Calibri"/>
        </w:rPr>
        <w:t>zdravotně pojistného</w:t>
      </w:r>
      <w:r w:rsidR="00945F17" w:rsidRPr="00945F17">
        <w:rPr>
          <w:rFonts w:ascii="Calibri" w:eastAsia="MS Mincho" w:hAnsi="Calibri" w:cs="Calibri"/>
        </w:rPr>
        <w:t xml:space="preserve"> plán</w:t>
      </w:r>
      <w:r w:rsidR="00945F17">
        <w:rPr>
          <w:rFonts w:ascii="Calibri" w:eastAsia="MS Mincho" w:hAnsi="Calibri" w:cs="Calibri"/>
        </w:rPr>
        <w:t>u</w:t>
      </w:r>
      <w:r w:rsidR="00945F17" w:rsidRPr="00945F17">
        <w:rPr>
          <w:rFonts w:ascii="Calibri" w:eastAsia="MS Mincho" w:hAnsi="Calibri" w:cs="Calibri"/>
        </w:rPr>
        <w:t xml:space="preserve"> </w:t>
      </w:r>
      <w:r w:rsidR="00DA369F">
        <w:rPr>
          <w:rFonts w:ascii="Calibri" w:eastAsia="MS Mincho" w:hAnsi="Calibri" w:cs="Calibri"/>
        </w:rPr>
        <w:t xml:space="preserve">je zdlouhavý a </w:t>
      </w:r>
      <w:r w:rsidR="00945F17" w:rsidRPr="00945F17">
        <w:rPr>
          <w:rFonts w:ascii="Calibri" w:eastAsia="MS Mincho" w:hAnsi="Calibri" w:cs="Calibri"/>
        </w:rPr>
        <w:t>neprobíhá tak, aby byl</w:t>
      </w:r>
      <w:r>
        <w:rPr>
          <w:rFonts w:ascii="Calibri" w:eastAsia="MS Mincho" w:hAnsi="Calibri" w:cs="Calibri"/>
        </w:rPr>
        <w:t xml:space="preserve"> ZPP</w:t>
      </w:r>
      <w:r w:rsidR="00945F17" w:rsidRPr="00945F17">
        <w:rPr>
          <w:rFonts w:ascii="Calibri" w:eastAsia="MS Mincho" w:hAnsi="Calibri" w:cs="Calibri"/>
        </w:rPr>
        <w:t xml:space="preserve"> schválen k 1. lednu příslušného roku. NKÚ nepovažuje schvalování zdravotně pojistných plánů zdravotních pojišťoven </w:t>
      </w:r>
      <w:r>
        <w:rPr>
          <w:rFonts w:ascii="Calibri" w:eastAsia="MS Mincho" w:hAnsi="Calibri" w:cs="Calibri"/>
        </w:rPr>
        <w:t>p</w:t>
      </w:r>
      <w:r w:rsidR="00945F17" w:rsidRPr="00945F17">
        <w:rPr>
          <w:rFonts w:ascii="Calibri" w:eastAsia="MS Mincho" w:hAnsi="Calibri" w:cs="Calibri"/>
        </w:rPr>
        <w:t>oslaneckou sněmovnou se zpětnou účinností za smysluplné.</w:t>
      </w:r>
      <w:r w:rsidR="00945F17">
        <w:rPr>
          <w:rFonts w:ascii="Calibri" w:eastAsia="MS Mincho" w:hAnsi="Calibri" w:cs="Calibri"/>
        </w:rPr>
        <w:t xml:space="preserve"> </w:t>
      </w:r>
      <w:r w:rsidR="00945F17" w:rsidRPr="00945F17">
        <w:rPr>
          <w:rFonts w:ascii="Calibri" w:eastAsia="MS Mincho" w:hAnsi="Calibri" w:cs="Calibri"/>
        </w:rPr>
        <w:t>NKÚ opakovaně upozorňuje na potřebu legislativní změny</w:t>
      </w:r>
      <w:r w:rsidR="00DA369F">
        <w:rPr>
          <w:rFonts w:ascii="Calibri" w:eastAsia="MS Mincho" w:hAnsi="Calibri" w:cs="Calibri"/>
        </w:rPr>
        <w:t xml:space="preserve"> tak, aby zdravotně pojistn</w:t>
      </w:r>
      <w:r>
        <w:rPr>
          <w:rFonts w:ascii="Calibri" w:eastAsia="MS Mincho" w:hAnsi="Calibri" w:cs="Calibri"/>
        </w:rPr>
        <w:t>é</w:t>
      </w:r>
      <w:r w:rsidR="00DA369F">
        <w:rPr>
          <w:rFonts w:ascii="Calibri" w:eastAsia="MS Mincho" w:hAnsi="Calibri" w:cs="Calibri"/>
        </w:rPr>
        <w:t xml:space="preserve"> plán</w:t>
      </w:r>
      <w:r>
        <w:rPr>
          <w:rFonts w:ascii="Calibri" w:eastAsia="MS Mincho" w:hAnsi="Calibri" w:cs="Calibri"/>
        </w:rPr>
        <w:t>y</w:t>
      </w:r>
      <w:r w:rsidR="00DA369F">
        <w:rPr>
          <w:rFonts w:ascii="Calibri" w:eastAsia="MS Mincho" w:hAnsi="Calibri" w:cs="Calibri"/>
        </w:rPr>
        <w:t xml:space="preserve"> mohl</w:t>
      </w:r>
      <w:r>
        <w:rPr>
          <w:rFonts w:ascii="Calibri" w:eastAsia="MS Mincho" w:hAnsi="Calibri" w:cs="Calibri"/>
        </w:rPr>
        <w:t>y</w:t>
      </w:r>
      <w:r w:rsidR="00DA369F">
        <w:rPr>
          <w:rFonts w:ascii="Calibri" w:eastAsia="MS Mincho" w:hAnsi="Calibri" w:cs="Calibri"/>
        </w:rPr>
        <w:t xml:space="preserve"> být včas schválen</w:t>
      </w:r>
      <w:r>
        <w:rPr>
          <w:rFonts w:ascii="Calibri" w:eastAsia="MS Mincho" w:hAnsi="Calibri" w:cs="Calibri"/>
        </w:rPr>
        <w:t>y.</w:t>
      </w:r>
    </w:p>
    <w:p w14:paraId="6C5F59A2" w14:textId="1EBC630F" w:rsidR="00994040" w:rsidRPr="00E22BDC" w:rsidRDefault="00750B36" w:rsidP="00E22BDC">
      <w:pPr>
        <w:numPr>
          <w:ilvl w:val="0"/>
          <w:numId w:val="25"/>
        </w:numPr>
      </w:pPr>
      <w:r>
        <w:t>V</w:t>
      </w:r>
      <w:r w:rsidR="00E22BDC">
        <w:t>yhláška Ministerstva zdravotnictví</w:t>
      </w:r>
      <w:r w:rsidR="0095381A">
        <w:t>, kterou se vydává seznam zdravotních výkonů,</w:t>
      </w:r>
      <w:r w:rsidR="00E22BDC">
        <w:t xml:space="preserve"> nestanoví p</w:t>
      </w:r>
      <w:r w:rsidR="00E22BDC" w:rsidRPr="00E22BDC">
        <w:t>odmínky a výše úhrad dlouhodobé intenzivní péče a dlouhodobé intenzivní ošetřovatelské péče, přestože se MZd zařazením těchto výkonů do vyhlášky zabývá více n</w:t>
      </w:r>
      <w:r w:rsidR="00E22BDC">
        <w:t>ež deset let</w:t>
      </w:r>
      <w:r>
        <w:t>.</w:t>
      </w:r>
    </w:p>
    <w:p w14:paraId="62AA1759" w14:textId="7BD4CE6E" w:rsidR="00994040" w:rsidRPr="00D43AF3" w:rsidRDefault="00750B36" w:rsidP="00BB0E45">
      <w:pPr>
        <w:numPr>
          <w:ilvl w:val="0"/>
          <w:numId w:val="25"/>
        </w:numPr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J</w:t>
      </w:r>
      <w:r w:rsidR="00994040" w:rsidRPr="00AB092A">
        <w:rPr>
          <w:rFonts w:ascii="Calibri" w:eastAsia="MS Mincho" w:hAnsi="Calibri" w:cs="Calibri"/>
        </w:rPr>
        <w:t>ednoroční účinnost úhradové vyhlášky</w:t>
      </w:r>
      <w:r>
        <w:rPr>
          <w:rFonts w:ascii="Calibri" w:eastAsia="MS Mincho" w:hAnsi="Calibri" w:cs="Calibri"/>
        </w:rPr>
        <w:t>,</w:t>
      </w:r>
      <w:r w:rsidR="00994040" w:rsidRPr="00AB092A">
        <w:rPr>
          <w:rFonts w:ascii="Calibri" w:eastAsia="MS Mincho" w:hAnsi="Calibri" w:cs="Calibri"/>
        </w:rPr>
        <w:t xml:space="preserve"> změny úhrad </w:t>
      </w:r>
      <w:r>
        <w:rPr>
          <w:rFonts w:ascii="Calibri" w:eastAsia="MS Mincho" w:hAnsi="Calibri" w:cs="Calibri"/>
        </w:rPr>
        <w:t xml:space="preserve">i </w:t>
      </w:r>
      <w:r w:rsidR="00994040" w:rsidRPr="00AB092A">
        <w:rPr>
          <w:rFonts w:ascii="Calibri" w:eastAsia="MS Mincho" w:hAnsi="Calibri" w:cs="Calibri"/>
        </w:rPr>
        <w:t>složitost</w:t>
      </w:r>
      <w:r w:rsidR="00BB0E45">
        <w:rPr>
          <w:rFonts w:ascii="Calibri" w:eastAsia="MS Mincho" w:hAnsi="Calibri" w:cs="Calibri"/>
        </w:rPr>
        <w:t xml:space="preserve"> úhradových mechanismů </w:t>
      </w:r>
      <w:r>
        <w:rPr>
          <w:rFonts w:ascii="Calibri" w:eastAsia="MS Mincho" w:hAnsi="Calibri" w:cs="Calibri"/>
        </w:rPr>
        <w:t>působí negativně na</w:t>
      </w:r>
      <w:r w:rsidR="00994040" w:rsidRPr="00AB092A">
        <w:rPr>
          <w:rFonts w:ascii="Calibri" w:eastAsia="MS Mincho" w:hAnsi="Calibri" w:cs="Calibri"/>
        </w:rPr>
        <w:t xml:space="preserve"> stabilit</w:t>
      </w:r>
      <w:r>
        <w:rPr>
          <w:rFonts w:ascii="Calibri" w:eastAsia="MS Mincho" w:hAnsi="Calibri" w:cs="Calibri"/>
        </w:rPr>
        <w:t>u</w:t>
      </w:r>
      <w:r w:rsidR="00994040" w:rsidRPr="00AB092A">
        <w:rPr>
          <w:rFonts w:ascii="Calibri" w:eastAsia="MS Mincho" w:hAnsi="Calibri" w:cs="Calibri"/>
        </w:rPr>
        <w:t xml:space="preserve"> systému financování zdravotních služeb</w:t>
      </w:r>
      <w:r w:rsidR="00BB0E45">
        <w:rPr>
          <w:rFonts w:ascii="Calibri" w:eastAsia="MS Mincho" w:hAnsi="Calibri" w:cs="Calibri"/>
        </w:rPr>
        <w:t xml:space="preserve">. Navíc dochází </w:t>
      </w:r>
      <w:r w:rsidR="00994040" w:rsidRPr="00AB092A">
        <w:rPr>
          <w:rFonts w:ascii="Calibri" w:eastAsia="MS Mincho" w:hAnsi="Calibri" w:cs="Calibri"/>
        </w:rPr>
        <w:t xml:space="preserve">i ke zvýšení přímých nákladů zdravotní pojišťovny i </w:t>
      </w:r>
      <w:r w:rsidR="00994040" w:rsidRPr="00D43AF3">
        <w:rPr>
          <w:rFonts w:ascii="Calibri" w:eastAsia="MS Mincho" w:hAnsi="Calibri" w:cs="Calibri"/>
        </w:rPr>
        <w:t xml:space="preserve">poskytovatelů </w:t>
      </w:r>
      <w:r w:rsidR="00BB0E45">
        <w:rPr>
          <w:rFonts w:ascii="Calibri" w:eastAsia="MS Mincho" w:hAnsi="Calibri" w:cs="Calibri"/>
        </w:rPr>
        <w:t>zdravotních služeb</w:t>
      </w:r>
      <w:r>
        <w:rPr>
          <w:rFonts w:ascii="Calibri" w:eastAsia="MS Mincho" w:hAnsi="Calibri" w:cs="Calibri"/>
        </w:rPr>
        <w:t>.</w:t>
      </w:r>
    </w:p>
    <w:p w14:paraId="324EA22D" w14:textId="5A7A2851" w:rsidR="00994040" w:rsidRPr="00DA369F" w:rsidRDefault="00750B36" w:rsidP="00BB0E45">
      <w:pPr>
        <w:numPr>
          <w:ilvl w:val="0"/>
          <w:numId w:val="25"/>
        </w:numPr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</w:t>
      </w:r>
      <w:r w:rsidR="00994040" w:rsidRPr="00BB0E45">
        <w:rPr>
          <w:rFonts w:ascii="Calibri" w:eastAsia="MS Mincho" w:hAnsi="Calibri" w:cs="Calibri"/>
        </w:rPr>
        <w:t xml:space="preserve">ožnost odchýlit se od </w:t>
      </w:r>
      <w:r w:rsidR="00BB0E45" w:rsidRPr="00BB0E45">
        <w:rPr>
          <w:rFonts w:ascii="Calibri" w:eastAsia="MS Mincho" w:hAnsi="Calibri" w:cs="Calibri"/>
        </w:rPr>
        <w:t>úhradové</w:t>
      </w:r>
      <w:r w:rsidR="00994040" w:rsidRPr="00BB0E45">
        <w:rPr>
          <w:rFonts w:ascii="Calibri" w:eastAsia="MS Mincho" w:hAnsi="Calibri" w:cs="Calibri"/>
        </w:rPr>
        <w:t xml:space="preserve"> vyhlášky a uzavírat bez dalších omezení individuální dodatky vnáší do celého komplikovaného systému financování zdravotních služeb riziko nerovného přístupu vůči poskytovatelům </w:t>
      </w:r>
      <w:r w:rsidR="00BB0E45" w:rsidRPr="00BB0E45">
        <w:rPr>
          <w:rFonts w:ascii="Calibri" w:eastAsia="MS Mincho" w:hAnsi="Calibri" w:cs="Calibri"/>
        </w:rPr>
        <w:t>zdravotních služeb.</w:t>
      </w:r>
      <w:r w:rsidR="00BB0E45">
        <w:rPr>
          <w:rFonts w:ascii="Calibri" w:eastAsia="MS Mincho" w:hAnsi="Calibri" w:cs="Calibri"/>
        </w:rPr>
        <w:t xml:space="preserve"> </w:t>
      </w:r>
      <w:r w:rsidR="00994040" w:rsidRPr="00D43AF3">
        <w:t>ZP MV ČR</w:t>
      </w:r>
      <w:r w:rsidR="00BB0E45">
        <w:t xml:space="preserve"> např.</w:t>
      </w:r>
      <w:r w:rsidR="00994040" w:rsidRPr="00D43AF3">
        <w:t xml:space="preserve"> v letech 2013 až 2014 hradila lůžkovým poskytovatelům </w:t>
      </w:r>
      <w:r w:rsidR="00BB0E45" w:rsidRPr="00BB0E45">
        <w:t xml:space="preserve">zdravotních služeb </w:t>
      </w:r>
      <w:r w:rsidR="00994040" w:rsidRPr="00D43AF3">
        <w:t>rozdíln</w:t>
      </w:r>
      <w:r w:rsidR="00BB0E45">
        <w:t>é ceny za</w:t>
      </w:r>
      <w:r w:rsidR="00994040" w:rsidRPr="00D43AF3">
        <w:t xml:space="preserve"> shodné speciální </w:t>
      </w:r>
      <w:r w:rsidR="00BB0E45">
        <w:t>zdravotní výkony</w:t>
      </w:r>
      <w:r>
        <w:t>.</w:t>
      </w:r>
    </w:p>
    <w:p w14:paraId="4989073D" w14:textId="1B6983B2" w:rsidR="003A165C" w:rsidRPr="00933714" w:rsidRDefault="00750B36" w:rsidP="00A64D88">
      <w:pPr>
        <w:numPr>
          <w:ilvl w:val="0"/>
          <w:numId w:val="25"/>
        </w:numPr>
        <w:rPr>
          <w:b/>
          <w:szCs w:val="24"/>
        </w:rPr>
      </w:pPr>
      <w:r>
        <w:rPr>
          <w:rFonts w:ascii="Calibri" w:eastAsia="MS Mincho" w:hAnsi="Calibri" w:cs="Calibri"/>
        </w:rPr>
        <w:t>S</w:t>
      </w:r>
      <w:r w:rsidR="00DA369F" w:rsidRPr="00C24046">
        <w:rPr>
          <w:rFonts w:ascii="Calibri" w:eastAsia="MS Mincho" w:hAnsi="Calibri" w:cs="Calibri"/>
        </w:rPr>
        <w:t>oučasná právní úprava nevede ke snížení dodavatelských cen zdravotnických prostředků</w:t>
      </w:r>
      <w:r w:rsidR="00C24046">
        <w:rPr>
          <w:rFonts w:ascii="Calibri" w:eastAsia="MS Mincho" w:hAnsi="Calibri" w:cs="Calibri"/>
        </w:rPr>
        <w:t>.</w:t>
      </w:r>
    </w:p>
    <w:bookmarkEnd w:id="30"/>
    <w:p w14:paraId="096A7DD9" w14:textId="77777777" w:rsidR="00750B36" w:rsidRDefault="00750B36" w:rsidP="004E25B4"/>
    <w:p w14:paraId="56516B69" w14:textId="44A8F2C1" w:rsidR="00285322" w:rsidRDefault="00475BFC" w:rsidP="004E25B4">
      <w:r>
        <w:t xml:space="preserve">Dále bylo v oblasti zdravotních služeb zjištěno, že </w:t>
      </w:r>
      <w:r w:rsidRPr="00243C52">
        <w:rPr>
          <w:b/>
        </w:rPr>
        <w:t>ZP MV ČR uhradila</w:t>
      </w:r>
      <w:r w:rsidRPr="005944D0">
        <w:t xml:space="preserve"> </w:t>
      </w:r>
      <w:r>
        <w:t>v</w:t>
      </w:r>
      <w:r w:rsidR="004E25B4" w:rsidRPr="005944D0">
        <w:t xml:space="preserve"> letech 2009 až 2013 </w:t>
      </w:r>
      <w:r w:rsidR="0095381A">
        <w:t>ze</w:t>
      </w:r>
      <w:r w:rsidR="0095381A" w:rsidRPr="005944D0">
        <w:t xml:space="preserve"> základního fondu </w:t>
      </w:r>
      <w:r w:rsidRPr="00243C52">
        <w:rPr>
          <w:b/>
        </w:rPr>
        <w:t>v rozporu se zákonem o veřejném zdravotním pojištění téměř 13</w:t>
      </w:r>
      <w:r w:rsidR="00CE1E71">
        <w:rPr>
          <w:b/>
        </w:rPr>
        <w:t> </w:t>
      </w:r>
      <w:r w:rsidRPr="00243C52">
        <w:rPr>
          <w:b/>
        </w:rPr>
        <w:t>mil.</w:t>
      </w:r>
      <w:r w:rsidR="00CE1E71">
        <w:rPr>
          <w:b/>
        </w:rPr>
        <w:t> </w:t>
      </w:r>
      <w:r w:rsidRPr="00243C52">
        <w:rPr>
          <w:b/>
        </w:rPr>
        <w:t>Kč</w:t>
      </w:r>
      <w:r w:rsidR="00285322">
        <w:t xml:space="preserve"> za projekty, </w:t>
      </w:r>
      <w:r w:rsidR="00CE1E71">
        <w:t>v jejichž rámci</w:t>
      </w:r>
      <w:r w:rsidR="00285322">
        <w:t xml:space="preserve"> nebyly pojištěncům poskytnuty </w:t>
      </w:r>
      <w:r w:rsidR="00CE1E71">
        <w:t xml:space="preserve">žádné </w:t>
      </w:r>
      <w:r w:rsidR="00285322">
        <w:t>zdravotní služby.</w:t>
      </w:r>
    </w:p>
    <w:p w14:paraId="151CE315" w14:textId="77777777" w:rsidR="008E2C23" w:rsidRDefault="008E2C23" w:rsidP="004D2728">
      <w:pPr>
        <w:rPr>
          <w:rFonts w:eastAsia="Times New Roman"/>
          <w:szCs w:val="24"/>
        </w:rPr>
      </w:pPr>
    </w:p>
    <w:p w14:paraId="6DE649E1" w14:textId="1D27969C" w:rsidR="00130229" w:rsidRDefault="004D2728" w:rsidP="004D2728">
      <w:pPr>
        <w:rPr>
          <w:rFonts w:eastAsia="Times New Roman"/>
          <w:szCs w:val="24"/>
        </w:rPr>
      </w:pPr>
      <w:r w:rsidRPr="00243C52">
        <w:rPr>
          <w:rFonts w:eastAsia="Times New Roman"/>
          <w:b/>
          <w:szCs w:val="24"/>
        </w:rPr>
        <w:t>Provozní fond ZP MV ČR vykazoval v</w:t>
      </w:r>
      <w:r w:rsidR="00297057" w:rsidRPr="00243C52">
        <w:rPr>
          <w:rFonts w:eastAsia="Times New Roman"/>
          <w:b/>
          <w:szCs w:val="24"/>
        </w:rPr>
        <w:t>e sledovaném období</w:t>
      </w:r>
      <w:r w:rsidRPr="00243C52">
        <w:rPr>
          <w:rFonts w:eastAsia="Times New Roman"/>
          <w:b/>
          <w:szCs w:val="24"/>
        </w:rPr>
        <w:t xml:space="preserve"> poměrně vysoké zůstatky.</w:t>
      </w:r>
      <w:r w:rsidRPr="004D2728">
        <w:rPr>
          <w:rFonts w:eastAsia="Times New Roman"/>
          <w:szCs w:val="24"/>
        </w:rPr>
        <w:t xml:space="preserve"> </w:t>
      </w:r>
      <w:r w:rsidR="00297057">
        <w:rPr>
          <w:rFonts w:eastAsia="Times New Roman"/>
          <w:szCs w:val="24"/>
        </w:rPr>
        <w:t>Nevyčerpané finanční prostředky ke konci roku 2014 dosáhly částky 1 156 283 tis. Kč.</w:t>
      </w:r>
      <w:r w:rsidR="00EB6060">
        <w:rPr>
          <w:rFonts w:eastAsia="Times New Roman"/>
          <w:szCs w:val="24"/>
        </w:rPr>
        <w:t xml:space="preserve"> </w:t>
      </w:r>
      <w:r w:rsidR="00130229" w:rsidRPr="00130229">
        <w:rPr>
          <w:rFonts w:eastAsia="Times New Roman"/>
          <w:szCs w:val="24"/>
        </w:rPr>
        <w:t>NKÚ doporučuje změnu právní úpravy tak, aby došlo k eliminaci nepřiměřeně vysokých zůstatků provozního fondu. Dle názoru NKÚ by výše prostředků tohoto fondu měla korespondovat se skutečnou potřebou zdravotní pojišťovny hradit provozní náklady. V případě nadměrných rezerv není zajištěn dostatečný tlak na hospodárné a účelné využívání finančních prostředků.</w:t>
      </w:r>
    </w:p>
    <w:p w14:paraId="36FEDB8D" w14:textId="77777777" w:rsidR="00297057" w:rsidRDefault="00297057" w:rsidP="004D2728">
      <w:pPr>
        <w:rPr>
          <w:rFonts w:eastAsia="Times New Roman"/>
          <w:szCs w:val="24"/>
        </w:rPr>
      </w:pPr>
    </w:p>
    <w:p w14:paraId="160A589B" w14:textId="5C0BEAE9" w:rsidR="004D2728" w:rsidRPr="004D2728" w:rsidRDefault="004D2728" w:rsidP="004D2728">
      <w:pPr>
        <w:rPr>
          <w:rFonts w:eastAsia="Times New Roman"/>
          <w:szCs w:val="24"/>
        </w:rPr>
      </w:pPr>
      <w:r w:rsidRPr="00243C52">
        <w:rPr>
          <w:rFonts w:eastAsia="Times New Roman"/>
          <w:b/>
          <w:szCs w:val="24"/>
        </w:rPr>
        <w:t xml:space="preserve">Kontrolou čerpání fondů bylo zjištěno, že ZP MV ČR nepostupovala v souladu se zákonem </w:t>
      </w:r>
      <w:r w:rsidR="00A90EC4">
        <w:rPr>
          <w:rFonts w:eastAsia="Times New Roman"/>
          <w:b/>
          <w:szCs w:val="24"/>
        </w:rPr>
        <w:t>o</w:t>
      </w:r>
      <w:r w:rsidR="00A9325E">
        <w:rPr>
          <w:rFonts w:eastAsia="Times New Roman"/>
          <w:b/>
          <w:szCs w:val="24"/>
        </w:rPr>
        <w:t> </w:t>
      </w:r>
      <w:r w:rsidR="007F04D7" w:rsidRPr="00243C52">
        <w:rPr>
          <w:rFonts w:eastAsia="Times New Roman"/>
          <w:b/>
          <w:szCs w:val="24"/>
        </w:rPr>
        <w:t>veřejných zakázkách</w:t>
      </w:r>
      <w:r w:rsidR="00CE1E71">
        <w:rPr>
          <w:rFonts w:eastAsia="Times New Roman"/>
          <w:b/>
          <w:szCs w:val="24"/>
        </w:rPr>
        <w:t>,</w:t>
      </w:r>
      <w:r w:rsidR="007F04D7">
        <w:rPr>
          <w:rFonts w:eastAsia="Times New Roman"/>
          <w:szCs w:val="24"/>
        </w:rPr>
        <w:t xml:space="preserve"> </w:t>
      </w:r>
      <w:r w:rsidR="00CE1E71">
        <w:rPr>
          <w:rFonts w:eastAsia="Times New Roman"/>
          <w:szCs w:val="24"/>
        </w:rPr>
        <w:t>n</w:t>
      </w:r>
      <w:r w:rsidR="007F04D7">
        <w:rPr>
          <w:rFonts w:eastAsia="Times New Roman"/>
          <w:szCs w:val="24"/>
        </w:rPr>
        <w:t>apř</w:t>
      </w:r>
      <w:r w:rsidR="00CE1E71">
        <w:rPr>
          <w:rFonts w:eastAsia="Times New Roman"/>
          <w:szCs w:val="24"/>
        </w:rPr>
        <w:t>.</w:t>
      </w:r>
      <w:r w:rsidRPr="004D2728">
        <w:rPr>
          <w:rFonts w:eastAsia="Times New Roman"/>
          <w:szCs w:val="24"/>
        </w:rPr>
        <w:t>:</w:t>
      </w:r>
    </w:p>
    <w:p w14:paraId="25F600D6" w14:textId="09CA1B3B" w:rsidR="004D2728" w:rsidRPr="004D2728" w:rsidRDefault="004D2728" w:rsidP="007C7CB5">
      <w:pPr>
        <w:numPr>
          <w:ilvl w:val="0"/>
          <w:numId w:val="24"/>
        </w:numPr>
        <w:rPr>
          <w:rFonts w:ascii="Calibri" w:eastAsia="MS Mincho" w:hAnsi="Calibri" w:cs="Calibri"/>
          <w:szCs w:val="24"/>
        </w:rPr>
      </w:pPr>
      <w:r w:rsidRPr="004D2728">
        <w:rPr>
          <w:rFonts w:ascii="Calibri" w:eastAsia="MS Mincho" w:hAnsi="Calibri" w:cs="Calibri"/>
          <w:szCs w:val="24"/>
        </w:rPr>
        <w:t>při výběru dodavatelů služeb spojených s nábory nových pojištěnců nezadala veřejné zakázky v žádném ze stanovených druhů zadávacích řízení;</w:t>
      </w:r>
    </w:p>
    <w:p w14:paraId="0DCDAF39" w14:textId="120FB90A" w:rsidR="004D2728" w:rsidRDefault="004D2728" w:rsidP="007C7CB5">
      <w:pPr>
        <w:numPr>
          <w:ilvl w:val="0"/>
          <w:numId w:val="24"/>
        </w:numPr>
        <w:rPr>
          <w:rFonts w:ascii="Calibri" w:eastAsia="MS Mincho" w:hAnsi="Calibri" w:cs="Calibri"/>
          <w:lang w:eastAsia="cs-CZ"/>
        </w:rPr>
      </w:pPr>
      <w:r w:rsidRPr="004D2728">
        <w:rPr>
          <w:rFonts w:ascii="Calibri" w:eastAsia="MS Mincho" w:hAnsi="Calibri" w:cs="Calibri"/>
          <w:lang w:eastAsia="cs-CZ"/>
        </w:rPr>
        <w:t xml:space="preserve">při nákupu dopravních prostředků </w:t>
      </w:r>
      <w:r w:rsidR="007F04D7">
        <w:rPr>
          <w:rFonts w:ascii="Calibri" w:eastAsia="MS Mincho" w:hAnsi="Calibri" w:cs="Calibri"/>
          <w:lang w:eastAsia="cs-CZ"/>
        </w:rPr>
        <w:t>porušila zásadu zákazu diskriminace</w:t>
      </w:r>
      <w:r w:rsidR="002C2E7B">
        <w:rPr>
          <w:rFonts w:ascii="Calibri" w:eastAsia="MS Mincho" w:hAnsi="Calibri" w:cs="Calibri"/>
          <w:lang w:eastAsia="cs-CZ"/>
        </w:rPr>
        <w:t>;</w:t>
      </w:r>
    </w:p>
    <w:p w14:paraId="101589C5" w14:textId="503FC3B6" w:rsidR="002C2E7B" w:rsidRDefault="002C2E7B" w:rsidP="002C2E7B">
      <w:pPr>
        <w:numPr>
          <w:ilvl w:val="0"/>
          <w:numId w:val="24"/>
        </w:numPr>
        <w:rPr>
          <w:rFonts w:ascii="Calibri" w:eastAsia="MS Mincho" w:hAnsi="Calibri" w:cs="Calibri"/>
          <w:lang w:eastAsia="cs-CZ"/>
        </w:rPr>
      </w:pPr>
      <w:r w:rsidRPr="002C2E7B">
        <w:rPr>
          <w:rFonts w:ascii="Calibri" w:eastAsia="MS Mincho" w:hAnsi="Calibri" w:cs="Calibri"/>
          <w:lang w:eastAsia="cs-CZ"/>
        </w:rPr>
        <w:t>poradce generálního ředitele v oblasti m</w:t>
      </w:r>
      <w:r w:rsidR="00CE1E71">
        <w:rPr>
          <w:rFonts w:ascii="Calibri" w:eastAsia="MS Mincho" w:hAnsi="Calibri" w:cs="Calibri"/>
          <w:lang w:eastAsia="cs-CZ"/>
        </w:rPr>
        <w:t>é</w:t>
      </w:r>
      <w:r w:rsidRPr="002C2E7B">
        <w:rPr>
          <w:rFonts w:ascii="Calibri" w:eastAsia="MS Mincho" w:hAnsi="Calibri" w:cs="Calibri"/>
          <w:lang w:eastAsia="cs-CZ"/>
        </w:rPr>
        <w:t xml:space="preserve">dií </w:t>
      </w:r>
      <w:r>
        <w:rPr>
          <w:rFonts w:ascii="Calibri" w:eastAsia="MS Mincho" w:hAnsi="Calibri" w:cs="Calibri"/>
          <w:lang w:eastAsia="cs-CZ"/>
        </w:rPr>
        <w:t>vyb</w:t>
      </w:r>
      <w:r w:rsidR="00CE1E71">
        <w:rPr>
          <w:rFonts w:ascii="Calibri" w:eastAsia="MS Mincho" w:hAnsi="Calibri" w:cs="Calibri"/>
          <w:lang w:eastAsia="cs-CZ"/>
        </w:rPr>
        <w:t>í</w:t>
      </w:r>
      <w:r>
        <w:rPr>
          <w:rFonts w:ascii="Calibri" w:eastAsia="MS Mincho" w:hAnsi="Calibri" w:cs="Calibri"/>
          <w:lang w:eastAsia="cs-CZ"/>
        </w:rPr>
        <w:t>rala</w:t>
      </w:r>
      <w:r w:rsidRPr="002C2E7B">
        <w:rPr>
          <w:rFonts w:ascii="Calibri" w:eastAsia="MS Mincho" w:hAnsi="Calibri" w:cs="Calibri"/>
          <w:lang w:eastAsia="cs-CZ"/>
        </w:rPr>
        <w:t xml:space="preserve"> na základě veřejných zakázek malého rozsahu, přestože </w:t>
      </w:r>
      <w:r w:rsidR="00657F12">
        <w:rPr>
          <w:rFonts w:ascii="Calibri" w:eastAsia="MS Mincho" w:hAnsi="Calibri" w:cs="Calibri"/>
          <w:lang w:eastAsia="cs-CZ"/>
        </w:rPr>
        <w:t>se jednalo o podlimitní veřejné</w:t>
      </w:r>
      <w:r w:rsidRPr="002C2E7B">
        <w:rPr>
          <w:rFonts w:ascii="Calibri" w:eastAsia="MS Mincho" w:hAnsi="Calibri" w:cs="Calibri"/>
          <w:lang w:eastAsia="cs-CZ"/>
        </w:rPr>
        <w:t xml:space="preserve"> zakázk</w:t>
      </w:r>
      <w:r w:rsidR="00657F12">
        <w:rPr>
          <w:rFonts w:ascii="Calibri" w:eastAsia="MS Mincho" w:hAnsi="Calibri" w:cs="Calibri"/>
          <w:lang w:eastAsia="cs-CZ"/>
        </w:rPr>
        <w:t>y</w:t>
      </w:r>
      <w:r w:rsidR="005315A7">
        <w:rPr>
          <w:rFonts w:ascii="Calibri" w:eastAsia="MS Mincho" w:hAnsi="Calibri" w:cs="Calibri"/>
          <w:lang w:eastAsia="cs-CZ"/>
        </w:rPr>
        <w:t>.</w:t>
      </w:r>
    </w:p>
    <w:p w14:paraId="065DC030" w14:textId="77777777" w:rsidR="002C2E7B" w:rsidRDefault="002C2E7B" w:rsidP="002C2E7B">
      <w:pPr>
        <w:rPr>
          <w:rFonts w:ascii="Calibri" w:eastAsia="MS Mincho" w:hAnsi="Calibri" w:cs="Calibri"/>
          <w:lang w:eastAsia="cs-CZ"/>
        </w:rPr>
      </w:pPr>
    </w:p>
    <w:p w14:paraId="6693A54F" w14:textId="7FC7A246" w:rsidR="004D2728" w:rsidRPr="004D2728" w:rsidRDefault="004D2728" w:rsidP="004D2728">
      <w:pPr>
        <w:rPr>
          <w:rFonts w:eastAsia="Times New Roman"/>
        </w:rPr>
      </w:pPr>
      <w:r w:rsidRPr="00BF22CC">
        <w:rPr>
          <w:rFonts w:eastAsia="Times New Roman"/>
          <w:b/>
        </w:rPr>
        <w:t xml:space="preserve">Kontrolou čerpání fondů bylo </w:t>
      </w:r>
      <w:r w:rsidR="00DA369F">
        <w:rPr>
          <w:rFonts w:eastAsia="Times New Roman"/>
          <w:b/>
        </w:rPr>
        <w:t xml:space="preserve">dále </w:t>
      </w:r>
      <w:r w:rsidRPr="00BF22CC">
        <w:rPr>
          <w:rFonts w:eastAsia="Times New Roman"/>
          <w:b/>
        </w:rPr>
        <w:t xml:space="preserve">zjištěno, že ZP MV ČR </w:t>
      </w:r>
      <w:r w:rsidR="00E55F47" w:rsidRPr="00BF22CC">
        <w:rPr>
          <w:rFonts w:eastAsia="Times New Roman"/>
          <w:b/>
        </w:rPr>
        <w:t xml:space="preserve">postupovala </w:t>
      </w:r>
      <w:r w:rsidR="001F490D" w:rsidRPr="00BF22CC">
        <w:rPr>
          <w:rFonts w:eastAsia="Times New Roman"/>
          <w:b/>
        </w:rPr>
        <w:t>ne</w:t>
      </w:r>
      <w:r w:rsidR="00E55F47" w:rsidRPr="00BF22CC">
        <w:rPr>
          <w:rFonts w:eastAsia="Times New Roman"/>
          <w:b/>
        </w:rPr>
        <w:t>hospodárně</w:t>
      </w:r>
      <w:r w:rsidR="001F490D" w:rsidRPr="00BF22CC">
        <w:rPr>
          <w:rFonts w:eastAsia="Times New Roman"/>
          <w:b/>
        </w:rPr>
        <w:t xml:space="preserve">. </w:t>
      </w:r>
      <w:r w:rsidR="00DA369F">
        <w:rPr>
          <w:rFonts w:eastAsia="Times New Roman"/>
          <w:b/>
        </w:rPr>
        <w:t>ZP</w:t>
      </w:r>
      <w:r w:rsidR="00CE1E71">
        <w:rPr>
          <w:rFonts w:eastAsia="Times New Roman"/>
          <w:b/>
        </w:rPr>
        <w:t> </w:t>
      </w:r>
      <w:r w:rsidR="00DA369F">
        <w:rPr>
          <w:rFonts w:eastAsia="Times New Roman"/>
          <w:b/>
        </w:rPr>
        <w:t>MV</w:t>
      </w:r>
      <w:r w:rsidR="00CE1E71">
        <w:rPr>
          <w:rFonts w:eastAsia="Times New Roman"/>
          <w:b/>
        </w:rPr>
        <w:t> </w:t>
      </w:r>
      <w:r w:rsidR="00DA369F">
        <w:rPr>
          <w:rFonts w:eastAsia="Times New Roman"/>
          <w:b/>
        </w:rPr>
        <w:t xml:space="preserve">ČR </w:t>
      </w:r>
      <w:r w:rsidR="00DA369F" w:rsidRPr="00933714">
        <w:rPr>
          <w:rFonts w:eastAsia="Times New Roman"/>
        </w:rPr>
        <w:t>n</w:t>
      </w:r>
      <w:r w:rsidRPr="00CE1E71">
        <w:rPr>
          <w:rFonts w:eastAsia="Times New Roman"/>
        </w:rPr>
        <w:t>apř</w:t>
      </w:r>
      <w:r w:rsidR="00DA369F">
        <w:rPr>
          <w:rFonts w:eastAsia="Times New Roman"/>
        </w:rPr>
        <w:t>. uhradila</w:t>
      </w:r>
      <w:r w:rsidRPr="004D2728">
        <w:rPr>
          <w:rFonts w:eastAsia="Times New Roman"/>
        </w:rPr>
        <w:t>:</w:t>
      </w:r>
    </w:p>
    <w:p w14:paraId="595E62EE" w14:textId="3B5EA3AD" w:rsidR="005B3023" w:rsidRDefault="00F3748E" w:rsidP="00E55F47">
      <w:pPr>
        <w:numPr>
          <w:ilvl w:val="0"/>
          <w:numId w:val="22"/>
        </w:numPr>
        <w:rPr>
          <w:rFonts w:ascii="Calibri" w:eastAsia="MS Mincho" w:hAnsi="Calibri" w:cs="Calibri"/>
          <w:szCs w:val="24"/>
        </w:rPr>
      </w:pPr>
      <w:r>
        <w:rPr>
          <w:rFonts w:ascii="Calibri" w:eastAsia="MS Mincho" w:hAnsi="Calibri" w:cs="Calibri"/>
          <w:szCs w:val="24"/>
        </w:rPr>
        <w:t>v souvislosti s</w:t>
      </w:r>
      <w:r w:rsidR="001F490D">
        <w:rPr>
          <w:rFonts w:ascii="Calibri" w:eastAsia="MS Mincho" w:hAnsi="Calibri" w:cs="Calibri"/>
          <w:szCs w:val="24"/>
        </w:rPr>
        <w:t xml:space="preserve"> léčebně </w:t>
      </w:r>
      <w:r>
        <w:rPr>
          <w:rFonts w:ascii="Calibri" w:eastAsia="MS Mincho" w:hAnsi="Calibri" w:cs="Calibri"/>
          <w:szCs w:val="24"/>
        </w:rPr>
        <w:t>ozdravnými pobyty</w:t>
      </w:r>
      <w:r w:rsidR="001F490D">
        <w:rPr>
          <w:rFonts w:ascii="Calibri" w:eastAsia="MS Mincho" w:hAnsi="Calibri" w:cs="Calibri"/>
          <w:szCs w:val="24"/>
        </w:rPr>
        <w:t xml:space="preserve"> pro děti</w:t>
      </w:r>
      <w:r>
        <w:rPr>
          <w:rFonts w:ascii="Calibri" w:eastAsia="MS Mincho" w:hAnsi="Calibri" w:cs="Calibri"/>
          <w:szCs w:val="24"/>
        </w:rPr>
        <w:t xml:space="preserve"> </w:t>
      </w:r>
      <w:r w:rsidR="00A94BEA">
        <w:rPr>
          <w:rFonts w:ascii="Calibri" w:eastAsia="MS Mincho" w:hAnsi="Calibri" w:cs="Calibri"/>
          <w:szCs w:val="24"/>
        </w:rPr>
        <w:t>navíc částku 635 125 Kč;</w:t>
      </w:r>
    </w:p>
    <w:p w14:paraId="5F9ECB79" w14:textId="28A96485" w:rsidR="002C2E7B" w:rsidRDefault="002C2E7B" w:rsidP="001F490D">
      <w:pPr>
        <w:numPr>
          <w:ilvl w:val="0"/>
          <w:numId w:val="22"/>
        </w:numPr>
        <w:rPr>
          <w:rFonts w:ascii="Calibri" w:eastAsia="MS Mincho" w:hAnsi="Calibri" w:cs="Calibri"/>
          <w:szCs w:val="24"/>
        </w:rPr>
      </w:pPr>
      <w:r w:rsidRPr="002C2E7B">
        <w:rPr>
          <w:rFonts w:ascii="Calibri" w:eastAsia="MS Mincho" w:hAnsi="Calibri" w:cs="Calibri"/>
          <w:szCs w:val="24"/>
        </w:rPr>
        <w:t>za poradenskou činnost externímu poradci</w:t>
      </w:r>
      <w:r w:rsidR="001F490D">
        <w:rPr>
          <w:rFonts w:ascii="Calibri" w:eastAsia="MS Mincho" w:hAnsi="Calibri" w:cs="Calibri"/>
          <w:szCs w:val="24"/>
        </w:rPr>
        <w:t xml:space="preserve"> generálního ředitele </w:t>
      </w:r>
      <w:r w:rsidR="00384FAF" w:rsidRPr="001F490D">
        <w:rPr>
          <w:rFonts w:ascii="Calibri" w:eastAsia="MS Mincho" w:hAnsi="Calibri" w:cs="Calibri"/>
          <w:szCs w:val="24"/>
        </w:rPr>
        <w:t>pro technické zabezpečení a správu majetku</w:t>
      </w:r>
      <w:r w:rsidRPr="002C2E7B">
        <w:rPr>
          <w:rFonts w:ascii="Calibri" w:eastAsia="MS Mincho" w:hAnsi="Calibri" w:cs="Calibri"/>
          <w:szCs w:val="24"/>
        </w:rPr>
        <w:t xml:space="preserve"> celkem 867 600 Kč, přestože předmětem smlouvy </w:t>
      </w:r>
      <w:r w:rsidR="00CE1E71">
        <w:rPr>
          <w:rFonts w:ascii="Calibri" w:eastAsia="MS Mincho" w:hAnsi="Calibri" w:cs="Calibri"/>
          <w:szCs w:val="24"/>
        </w:rPr>
        <w:t xml:space="preserve">s tímto </w:t>
      </w:r>
      <w:r w:rsidRPr="002C2E7B">
        <w:rPr>
          <w:rFonts w:ascii="Calibri" w:eastAsia="MS Mincho" w:hAnsi="Calibri" w:cs="Calibri"/>
          <w:szCs w:val="24"/>
        </w:rPr>
        <w:t>poradce</w:t>
      </w:r>
      <w:r w:rsidR="00CE1E71">
        <w:rPr>
          <w:rFonts w:ascii="Calibri" w:eastAsia="MS Mincho" w:hAnsi="Calibri" w:cs="Calibri"/>
          <w:szCs w:val="24"/>
        </w:rPr>
        <w:t>m</w:t>
      </w:r>
      <w:r w:rsidRPr="002C2E7B">
        <w:rPr>
          <w:rFonts w:ascii="Calibri" w:eastAsia="MS Mincho" w:hAnsi="Calibri" w:cs="Calibri"/>
          <w:szCs w:val="24"/>
        </w:rPr>
        <w:t xml:space="preserve"> byly i činnosti, na které ZP MV ČR měla vyčleněny vlastní zaměstnance</w:t>
      </w:r>
      <w:r w:rsidR="001F490D">
        <w:rPr>
          <w:rFonts w:ascii="Calibri" w:eastAsia="MS Mincho" w:hAnsi="Calibri" w:cs="Calibri"/>
          <w:szCs w:val="24"/>
        </w:rPr>
        <w:t>;</w:t>
      </w:r>
    </w:p>
    <w:p w14:paraId="59A25A85" w14:textId="6604CE87" w:rsidR="00B02591" w:rsidRPr="00B02591" w:rsidRDefault="00B02591" w:rsidP="00B02591">
      <w:pPr>
        <w:numPr>
          <w:ilvl w:val="0"/>
          <w:numId w:val="22"/>
        </w:numPr>
        <w:rPr>
          <w:rFonts w:ascii="Calibri" w:eastAsia="MS Mincho" w:hAnsi="Calibri" w:cs="Calibri"/>
          <w:szCs w:val="24"/>
        </w:rPr>
      </w:pPr>
      <w:r w:rsidRPr="00B02591">
        <w:rPr>
          <w:rFonts w:ascii="Calibri" w:eastAsia="MS Mincho" w:hAnsi="Calibri" w:cs="Calibri"/>
          <w:szCs w:val="24"/>
        </w:rPr>
        <w:t xml:space="preserve">mediálně známým osobnostem za některé vícepráce nejméně 287 000 Kč bez DPH, přestože </w:t>
      </w:r>
      <w:r w:rsidR="00CE1E71">
        <w:rPr>
          <w:rFonts w:ascii="Calibri" w:eastAsia="MS Mincho" w:hAnsi="Calibri" w:cs="Calibri"/>
          <w:szCs w:val="24"/>
        </w:rPr>
        <w:t>se</w:t>
      </w:r>
      <w:r w:rsidRPr="00B02591">
        <w:rPr>
          <w:rFonts w:ascii="Calibri" w:eastAsia="MS Mincho" w:hAnsi="Calibri" w:cs="Calibri"/>
          <w:szCs w:val="24"/>
        </w:rPr>
        <w:t xml:space="preserve"> předmět</w:t>
      </w:r>
      <w:r w:rsidR="00CE1E71">
        <w:rPr>
          <w:rFonts w:ascii="Calibri" w:eastAsia="MS Mincho" w:hAnsi="Calibri" w:cs="Calibri"/>
          <w:szCs w:val="24"/>
        </w:rPr>
        <w:t xml:space="preserve"> víceprací</w:t>
      </w:r>
      <w:r w:rsidRPr="00B02591">
        <w:rPr>
          <w:rFonts w:ascii="Calibri" w:eastAsia="MS Mincho" w:hAnsi="Calibri" w:cs="Calibri"/>
          <w:szCs w:val="24"/>
        </w:rPr>
        <w:t xml:space="preserve"> shodoval s předmětem uzavřených smluv, na základě nichž jim ZP MV ČR hradila pravidelně </w:t>
      </w:r>
      <w:r>
        <w:rPr>
          <w:rFonts w:ascii="Calibri" w:eastAsia="MS Mincho" w:hAnsi="Calibri" w:cs="Calibri"/>
          <w:szCs w:val="24"/>
        </w:rPr>
        <w:t>paušální měsíční částky</w:t>
      </w:r>
      <w:r w:rsidR="00CE1E71">
        <w:rPr>
          <w:rFonts w:ascii="Calibri" w:eastAsia="MS Mincho" w:hAnsi="Calibri" w:cs="Calibri"/>
          <w:szCs w:val="24"/>
        </w:rPr>
        <w:t>.</w:t>
      </w:r>
    </w:p>
    <w:p w14:paraId="1EDE11E5" w14:textId="77777777" w:rsidR="00AE627C" w:rsidRDefault="00AE627C" w:rsidP="00AD1245"/>
    <w:p w14:paraId="0E222220" w14:textId="27E87AD4" w:rsidR="007C7CB5" w:rsidRPr="00A634D7" w:rsidRDefault="00E55F47" w:rsidP="007C7CB5">
      <w:r w:rsidRPr="00DE218D">
        <w:rPr>
          <w:rFonts w:eastAsia="Times New Roman"/>
          <w:b/>
        </w:rPr>
        <w:t xml:space="preserve">Kontrolou čerpání </w:t>
      </w:r>
      <w:r w:rsidR="007C7CB5" w:rsidRPr="00DE218D">
        <w:rPr>
          <w:rFonts w:eastAsia="Times New Roman"/>
          <w:b/>
        </w:rPr>
        <w:t>fondu prevence</w:t>
      </w:r>
      <w:r w:rsidRPr="00DE218D">
        <w:rPr>
          <w:rFonts w:eastAsia="Times New Roman"/>
          <w:b/>
        </w:rPr>
        <w:t xml:space="preserve"> bylo zjištěno, že ZP MV ČR v </w:t>
      </w:r>
      <w:r w:rsidR="00B02591" w:rsidRPr="00DE218D">
        <w:rPr>
          <w:rFonts w:eastAsia="Times New Roman"/>
          <w:b/>
        </w:rPr>
        <w:t>některých</w:t>
      </w:r>
      <w:r w:rsidRPr="00DE218D">
        <w:rPr>
          <w:rFonts w:eastAsia="Times New Roman"/>
          <w:b/>
        </w:rPr>
        <w:t xml:space="preserve"> případech</w:t>
      </w:r>
      <w:r w:rsidRPr="00A634D7">
        <w:rPr>
          <w:rFonts w:eastAsia="Times New Roman"/>
        </w:rPr>
        <w:t xml:space="preserve"> </w:t>
      </w:r>
      <w:r w:rsidRPr="00A634D7">
        <w:t>nerespektovala pravidla schválená správní radou ZP MV ČR</w:t>
      </w:r>
      <w:r w:rsidR="00B02591" w:rsidRPr="00A634D7">
        <w:t xml:space="preserve"> při čerpání finančních prostředků z </w:t>
      </w:r>
      <w:r w:rsidR="00CE1E71" w:rsidRPr="00933714">
        <w:rPr>
          <w:i/>
        </w:rPr>
        <w:t>P</w:t>
      </w:r>
      <w:r w:rsidR="00B02591" w:rsidRPr="00933714">
        <w:rPr>
          <w:i/>
        </w:rPr>
        <w:t>oložky generálního ředitele</w:t>
      </w:r>
      <w:r w:rsidR="00A634D7" w:rsidRPr="00A634D7">
        <w:t xml:space="preserve"> a tím </w:t>
      </w:r>
      <w:r w:rsidR="00A634D7" w:rsidRPr="00DE218D">
        <w:rPr>
          <w:b/>
        </w:rPr>
        <w:t xml:space="preserve">zvýhodňovala </w:t>
      </w:r>
      <w:r w:rsidR="00EF1E29">
        <w:rPr>
          <w:b/>
        </w:rPr>
        <w:t>některé</w:t>
      </w:r>
      <w:r w:rsidR="00EF1E29" w:rsidRPr="00DE218D">
        <w:rPr>
          <w:b/>
        </w:rPr>
        <w:t xml:space="preserve"> </w:t>
      </w:r>
      <w:r w:rsidR="00A634D7" w:rsidRPr="00DE218D">
        <w:rPr>
          <w:b/>
        </w:rPr>
        <w:t>pojištěnce</w:t>
      </w:r>
      <w:r w:rsidR="007C7CB5" w:rsidRPr="00933714">
        <w:rPr>
          <w:b/>
        </w:rPr>
        <w:t>.</w:t>
      </w:r>
      <w:r w:rsidR="00A634D7" w:rsidRPr="00A634D7">
        <w:t xml:space="preserve"> </w:t>
      </w:r>
      <w:r w:rsidR="007C7CB5" w:rsidRPr="00A634D7">
        <w:t>ZP MV ČR např</w:t>
      </w:r>
      <w:r w:rsidR="00A634D7" w:rsidRPr="00A634D7">
        <w:t>.</w:t>
      </w:r>
      <w:r w:rsidR="009E4DB4">
        <w:t> </w:t>
      </w:r>
      <w:r w:rsidR="007C7CB5" w:rsidRPr="00A634D7">
        <w:t>uhradila:</w:t>
      </w:r>
    </w:p>
    <w:p w14:paraId="4D0DA3BC" w14:textId="3BA35802" w:rsidR="007C7CB5" w:rsidRPr="00A634D7" w:rsidRDefault="00CE1E71" w:rsidP="007C7CB5">
      <w:pPr>
        <w:numPr>
          <w:ilvl w:val="0"/>
          <w:numId w:val="19"/>
        </w:numPr>
        <w:rPr>
          <w:rFonts w:ascii="Calibri" w:eastAsia="MS Mincho" w:hAnsi="Calibri" w:cstheme="minorHAnsi"/>
        </w:rPr>
      </w:pPr>
      <w:r>
        <w:rPr>
          <w:rFonts w:ascii="Calibri" w:eastAsia="MS Mincho" w:hAnsi="Calibri" w:cstheme="minorHAnsi"/>
        </w:rPr>
        <w:t>některým</w:t>
      </w:r>
      <w:r w:rsidRPr="00A634D7">
        <w:rPr>
          <w:rFonts w:ascii="Calibri" w:eastAsia="MS Mincho" w:hAnsi="Calibri" w:cstheme="minorHAnsi"/>
        </w:rPr>
        <w:t xml:space="preserve"> pojištěncům </w:t>
      </w:r>
      <w:r w:rsidR="007C7CB5" w:rsidRPr="00A634D7">
        <w:rPr>
          <w:rFonts w:ascii="Calibri" w:eastAsia="MS Mincho" w:hAnsi="Calibri" w:cstheme="minorHAnsi"/>
        </w:rPr>
        <w:t>víkendové pobyty v cenách týdenních pobytů;</w:t>
      </w:r>
    </w:p>
    <w:p w14:paraId="1F4F398B" w14:textId="1D9255A9" w:rsidR="007C7CB5" w:rsidRPr="00A634D7" w:rsidRDefault="00CF2AE5" w:rsidP="007C7CB5">
      <w:pPr>
        <w:numPr>
          <w:ilvl w:val="0"/>
          <w:numId w:val="19"/>
        </w:numPr>
        <w:rPr>
          <w:rFonts w:ascii="Calibri" w:eastAsia="MS Mincho" w:hAnsi="Calibri" w:cstheme="minorHAnsi"/>
        </w:rPr>
      </w:pPr>
      <w:r>
        <w:rPr>
          <w:rFonts w:ascii="Calibri" w:eastAsia="MS Mincho" w:hAnsi="Calibri" w:cstheme="minorHAnsi"/>
        </w:rPr>
        <w:t>některým</w:t>
      </w:r>
      <w:r w:rsidRPr="00A634D7">
        <w:rPr>
          <w:rFonts w:ascii="Calibri" w:eastAsia="MS Mincho" w:hAnsi="Calibri" w:cstheme="minorHAnsi"/>
        </w:rPr>
        <w:t xml:space="preserve"> </w:t>
      </w:r>
      <w:r w:rsidR="007C7CB5" w:rsidRPr="00A634D7">
        <w:rPr>
          <w:rFonts w:ascii="Calibri" w:eastAsia="MS Mincho" w:hAnsi="Calibri" w:cstheme="minorHAnsi"/>
        </w:rPr>
        <w:t>pojištěncům pobyty dvakrát ročně, přestože bylo možné poskytnout jednomu pojištěnci pobyt maximálně jednou ročně</w:t>
      </w:r>
      <w:r w:rsidR="007C7CB5" w:rsidRPr="00A634D7">
        <w:rPr>
          <w:rFonts w:ascii="Calibri" w:eastAsia="MS Mincho" w:hAnsi="Calibri" w:cs="Calibri"/>
        </w:rPr>
        <w:t>;</w:t>
      </w:r>
    </w:p>
    <w:p w14:paraId="3D5F3F98" w14:textId="32F10395" w:rsidR="007C7CB5" w:rsidRPr="00A634D7" w:rsidRDefault="007C7CB5" w:rsidP="007C7CB5">
      <w:pPr>
        <w:numPr>
          <w:ilvl w:val="0"/>
          <w:numId w:val="19"/>
        </w:numPr>
        <w:rPr>
          <w:rFonts w:ascii="Calibri" w:eastAsia="MS Mincho" w:hAnsi="Calibri" w:cstheme="minorHAnsi"/>
        </w:rPr>
      </w:pPr>
      <w:r w:rsidRPr="00A634D7">
        <w:rPr>
          <w:rFonts w:ascii="Calibri" w:eastAsia="MS Mincho" w:hAnsi="Calibri" w:cstheme="minorHAnsi"/>
        </w:rPr>
        <w:t>celkem 1 083 161 Kč za pobyty 44 pojištěnců, kteří nespadali do skupiny pojištěnců</w:t>
      </w:r>
      <w:r w:rsidR="00CE1E71">
        <w:rPr>
          <w:rFonts w:ascii="Calibri" w:eastAsia="MS Mincho" w:hAnsi="Calibri" w:cstheme="minorHAnsi"/>
        </w:rPr>
        <w:t>,</w:t>
      </w:r>
      <w:r w:rsidRPr="00A634D7">
        <w:rPr>
          <w:rFonts w:ascii="Calibri" w:eastAsia="MS Mincho" w:hAnsi="Calibri" w:cstheme="minorHAnsi"/>
        </w:rPr>
        <w:t xml:space="preserve"> </w:t>
      </w:r>
      <w:r w:rsidR="00CE1E71" w:rsidRPr="00A634D7">
        <w:rPr>
          <w:rFonts w:ascii="Calibri" w:eastAsia="MS Mincho" w:hAnsi="Calibri" w:cstheme="minorHAnsi"/>
        </w:rPr>
        <w:t xml:space="preserve">pro které byl </w:t>
      </w:r>
      <w:r w:rsidR="00CE1E71">
        <w:rPr>
          <w:rFonts w:ascii="Calibri" w:eastAsia="MS Mincho" w:hAnsi="Calibri" w:cstheme="minorHAnsi"/>
        </w:rPr>
        <w:t xml:space="preserve">preventivní </w:t>
      </w:r>
      <w:r w:rsidR="00CE1E71" w:rsidRPr="00A634D7">
        <w:rPr>
          <w:rFonts w:ascii="Calibri" w:eastAsia="MS Mincho" w:hAnsi="Calibri" w:cstheme="minorHAnsi"/>
        </w:rPr>
        <w:t xml:space="preserve">program určen </w:t>
      </w:r>
      <w:r w:rsidR="00CE1E71">
        <w:rPr>
          <w:rFonts w:ascii="Calibri" w:eastAsia="MS Mincho" w:hAnsi="Calibri" w:cstheme="minorHAnsi"/>
        </w:rPr>
        <w:t xml:space="preserve">(nejednalo se o osoby </w:t>
      </w:r>
      <w:r w:rsidRPr="00A634D7">
        <w:rPr>
          <w:rFonts w:ascii="Calibri" w:eastAsia="MS Mincho" w:hAnsi="Calibri" w:cstheme="minorHAnsi"/>
        </w:rPr>
        <w:t>ohrožen</w:t>
      </w:r>
      <w:r w:rsidR="00CE1E71">
        <w:rPr>
          <w:rFonts w:ascii="Calibri" w:eastAsia="MS Mincho" w:hAnsi="Calibri" w:cstheme="minorHAnsi"/>
        </w:rPr>
        <w:t>é</w:t>
      </w:r>
      <w:r w:rsidRPr="00A634D7">
        <w:rPr>
          <w:rFonts w:ascii="Calibri" w:eastAsia="MS Mincho" w:hAnsi="Calibri" w:cstheme="minorHAnsi"/>
        </w:rPr>
        <w:t xml:space="preserve"> charakterem vykonávané práce</w:t>
      </w:r>
      <w:r w:rsidR="00CE1E71">
        <w:rPr>
          <w:rFonts w:ascii="Calibri" w:eastAsia="MS Mincho" w:hAnsi="Calibri" w:cstheme="minorHAnsi"/>
        </w:rPr>
        <w:t>)</w:t>
      </w:r>
      <w:r w:rsidRPr="00A634D7">
        <w:rPr>
          <w:rFonts w:ascii="Calibri" w:eastAsia="MS Mincho" w:hAnsi="Calibri" w:cstheme="minorHAnsi"/>
        </w:rPr>
        <w:t>.</w:t>
      </w:r>
    </w:p>
    <w:p w14:paraId="391C6694" w14:textId="77777777" w:rsidR="00A173F5" w:rsidRDefault="00A173F5" w:rsidP="00F04990">
      <w:pPr>
        <w:rPr>
          <w:rFonts w:ascii="Calibri" w:eastAsia="MS Mincho" w:hAnsi="Calibri" w:cstheme="minorHAnsi"/>
        </w:rPr>
      </w:pPr>
    </w:p>
    <w:p w14:paraId="59E9E356" w14:textId="09A0BC63" w:rsidR="00FA2849" w:rsidRDefault="00FA2849" w:rsidP="00FA2849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V oblasti prodeje majetku bylo zjištěno, že </w:t>
      </w:r>
      <w:r w:rsidRPr="00855B88">
        <w:rPr>
          <w:rFonts w:eastAsia="Times New Roman" w:cs="Times New Roman"/>
          <w:szCs w:val="24"/>
          <w:lang w:eastAsia="cs-CZ"/>
        </w:rPr>
        <w:t xml:space="preserve">ZP MV ČR prodala </w:t>
      </w:r>
      <w:r>
        <w:rPr>
          <w:rFonts w:eastAsia="Times New Roman" w:cs="Times New Roman"/>
          <w:szCs w:val="24"/>
          <w:lang w:eastAsia="cs-CZ"/>
        </w:rPr>
        <w:t>l</w:t>
      </w:r>
      <w:r w:rsidRPr="00855B88">
        <w:rPr>
          <w:rFonts w:eastAsia="Times New Roman" w:cs="Times New Roman"/>
          <w:szCs w:val="24"/>
          <w:lang w:eastAsia="cs-CZ"/>
        </w:rPr>
        <w:t xml:space="preserve">ázeňský dům zájemci, který ji oslovil, aniž </w:t>
      </w:r>
      <w:r>
        <w:rPr>
          <w:rFonts w:eastAsia="Times New Roman" w:cs="Times New Roman"/>
          <w:szCs w:val="24"/>
          <w:lang w:eastAsia="cs-CZ"/>
        </w:rPr>
        <w:t xml:space="preserve">by </w:t>
      </w:r>
      <w:r w:rsidRPr="00855B88">
        <w:rPr>
          <w:rFonts w:eastAsia="Times New Roman" w:cs="Times New Roman"/>
          <w:szCs w:val="24"/>
          <w:lang w:eastAsia="cs-CZ"/>
        </w:rPr>
        <w:t>zjišťovala další zájemce o koupi</w:t>
      </w:r>
      <w:r>
        <w:rPr>
          <w:rFonts w:eastAsia="Times New Roman" w:cs="Times New Roman"/>
          <w:szCs w:val="24"/>
          <w:lang w:eastAsia="cs-CZ"/>
        </w:rPr>
        <w:t>. ZP MV ČR ne</w:t>
      </w:r>
      <w:r w:rsidRPr="00855B88">
        <w:rPr>
          <w:rFonts w:eastAsia="Times New Roman" w:cs="Times New Roman"/>
          <w:szCs w:val="24"/>
          <w:lang w:eastAsia="cs-CZ"/>
        </w:rPr>
        <w:t>prověřila možnosti případného výhodnějšího prodeje.</w:t>
      </w:r>
    </w:p>
    <w:p w14:paraId="4936E487" w14:textId="77777777" w:rsidR="00FA2849" w:rsidRDefault="00FA2849" w:rsidP="00F04990">
      <w:pPr>
        <w:rPr>
          <w:rFonts w:ascii="Calibri" w:eastAsia="MS Mincho" w:hAnsi="Calibri" w:cstheme="minorHAnsi"/>
        </w:rPr>
      </w:pPr>
    </w:p>
    <w:p w14:paraId="49E6D7E8" w14:textId="77777777" w:rsidR="0033410C" w:rsidRPr="0033410C" w:rsidRDefault="001F5FF2" w:rsidP="00933714">
      <w:pPr>
        <w:keepNext/>
        <w:rPr>
          <w:rFonts w:ascii="Calibri" w:eastAsia="MS Mincho" w:hAnsi="Calibri" w:cstheme="minorHAnsi"/>
          <w:b/>
        </w:rPr>
      </w:pPr>
      <w:r w:rsidRPr="0033410C">
        <w:rPr>
          <w:rFonts w:ascii="Calibri" w:eastAsia="MS Mincho" w:hAnsi="Calibri" w:cstheme="minorHAnsi"/>
          <w:b/>
        </w:rPr>
        <w:lastRenderedPageBreak/>
        <w:t xml:space="preserve">Ze skutečností zjištěných NKÚ </w:t>
      </w:r>
      <w:r w:rsidR="0033410C" w:rsidRPr="0033410C">
        <w:rPr>
          <w:rFonts w:ascii="Calibri" w:eastAsia="MS Mincho" w:hAnsi="Calibri" w:cstheme="minorHAnsi"/>
          <w:b/>
        </w:rPr>
        <w:t>vyplývá, že:</w:t>
      </w:r>
    </w:p>
    <w:p w14:paraId="6263CC53" w14:textId="63327D0A" w:rsidR="0033410C" w:rsidRPr="0033410C" w:rsidRDefault="0033410C" w:rsidP="0033410C">
      <w:pPr>
        <w:numPr>
          <w:ilvl w:val="0"/>
          <w:numId w:val="19"/>
        </w:numPr>
        <w:rPr>
          <w:rFonts w:ascii="Calibri" w:eastAsia="MS Mincho" w:hAnsi="Calibri" w:cstheme="minorHAnsi"/>
          <w:b/>
        </w:rPr>
      </w:pPr>
      <w:r w:rsidRPr="0033410C">
        <w:rPr>
          <w:rFonts w:ascii="Calibri" w:eastAsia="MS Mincho" w:hAnsi="Calibri" w:cstheme="minorHAnsi"/>
          <w:b/>
        </w:rPr>
        <w:t>ZP MV ČR si nestanovila kritéria hospodárn</w:t>
      </w:r>
      <w:r w:rsidR="00A9325E">
        <w:rPr>
          <w:rFonts w:ascii="Calibri" w:eastAsia="MS Mincho" w:hAnsi="Calibri" w:cstheme="minorHAnsi"/>
          <w:b/>
        </w:rPr>
        <w:t>osti pro nakládání s majetkem a </w:t>
      </w:r>
      <w:r w:rsidRPr="0033410C">
        <w:rPr>
          <w:rFonts w:ascii="Calibri" w:eastAsia="MS Mincho" w:hAnsi="Calibri" w:cstheme="minorHAnsi"/>
          <w:b/>
        </w:rPr>
        <w:t>s finančními prostředky;</w:t>
      </w:r>
    </w:p>
    <w:p w14:paraId="100EF7C7" w14:textId="58341121" w:rsidR="0033410C" w:rsidRPr="0033410C" w:rsidRDefault="0033410C" w:rsidP="0033410C">
      <w:pPr>
        <w:numPr>
          <w:ilvl w:val="0"/>
          <w:numId w:val="19"/>
        </w:numPr>
        <w:rPr>
          <w:rFonts w:ascii="Calibri" w:eastAsia="MS Mincho" w:hAnsi="Calibri" w:cstheme="minorHAnsi"/>
          <w:b/>
        </w:rPr>
      </w:pPr>
      <w:r w:rsidRPr="0033410C">
        <w:rPr>
          <w:rFonts w:ascii="Calibri" w:eastAsia="MS Mincho" w:hAnsi="Calibri" w:cstheme="minorHAnsi"/>
          <w:b/>
        </w:rPr>
        <w:t>správní rada ZP MV ČR se podílela na rozhodování o hospodaření ZP MV ČR např. tím, že rozhodovala o prodej</w:t>
      </w:r>
      <w:r w:rsidR="002E1C1A">
        <w:rPr>
          <w:rFonts w:ascii="Calibri" w:eastAsia="MS Mincho" w:hAnsi="Calibri" w:cstheme="minorHAnsi"/>
          <w:b/>
        </w:rPr>
        <w:t>ích</w:t>
      </w:r>
      <w:r w:rsidRPr="0033410C">
        <w:rPr>
          <w:rFonts w:ascii="Calibri" w:eastAsia="MS Mincho" w:hAnsi="Calibri" w:cstheme="minorHAnsi"/>
          <w:b/>
        </w:rPr>
        <w:t xml:space="preserve"> nemovitostí a nákup</w:t>
      </w:r>
      <w:r w:rsidR="002E1C1A">
        <w:rPr>
          <w:rFonts w:ascii="Calibri" w:eastAsia="MS Mincho" w:hAnsi="Calibri" w:cstheme="minorHAnsi"/>
          <w:b/>
        </w:rPr>
        <w:t>ech</w:t>
      </w:r>
      <w:r w:rsidRPr="0033410C">
        <w:rPr>
          <w:rFonts w:ascii="Calibri" w:eastAsia="MS Mincho" w:hAnsi="Calibri" w:cstheme="minorHAnsi"/>
          <w:b/>
        </w:rPr>
        <w:t xml:space="preserve"> majetku nad 1 mil. Kč, u nichž NKÚ zjistil porušení právních předpisů či nehospodárnost;</w:t>
      </w:r>
    </w:p>
    <w:p w14:paraId="6DBC66B2" w14:textId="793E8021" w:rsidR="0033410C" w:rsidRPr="0033410C" w:rsidRDefault="0033410C" w:rsidP="0033410C">
      <w:pPr>
        <w:numPr>
          <w:ilvl w:val="0"/>
          <w:numId w:val="19"/>
        </w:numPr>
        <w:rPr>
          <w:rFonts w:ascii="Calibri" w:eastAsia="MS Mincho" w:hAnsi="Calibri" w:cstheme="minorHAnsi"/>
          <w:b/>
        </w:rPr>
      </w:pPr>
      <w:r w:rsidRPr="0033410C">
        <w:rPr>
          <w:rFonts w:ascii="Calibri" w:eastAsia="MS Mincho" w:hAnsi="Calibri" w:cstheme="minorHAnsi"/>
          <w:b/>
        </w:rPr>
        <w:t>dozorčí rada ZP MV ČR neprováděla dostatečný dohled nad dodržováním právních předpisů a vnitřních předpisů pojišťovny, jak j</w:t>
      </w:r>
      <w:r w:rsidR="002E1C1A">
        <w:rPr>
          <w:rFonts w:ascii="Calibri" w:eastAsia="MS Mincho" w:hAnsi="Calibri" w:cstheme="minorHAnsi"/>
          <w:b/>
        </w:rPr>
        <w:t>í</w:t>
      </w:r>
      <w:r w:rsidRPr="0033410C">
        <w:rPr>
          <w:rFonts w:ascii="Calibri" w:eastAsia="MS Mincho" w:hAnsi="Calibri" w:cstheme="minorHAnsi"/>
          <w:b/>
        </w:rPr>
        <w:t xml:space="preserve"> ukládá </w:t>
      </w:r>
      <w:r w:rsidR="002E1C1A">
        <w:rPr>
          <w:rFonts w:ascii="Calibri" w:eastAsia="MS Mincho" w:hAnsi="Calibri" w:cstheme="minorHAnsi"/>
          <w:b/>
        </w:rPr>
        <w:t>s</w:t>
      </w:r>
      <w:r w:rsidRPr="0033410C">
        <w:rPr>
          <w:rFonts w:ascii="Calibri" w:eastAsia="MS Mincho" w:hAnsi="Calibri" w:cstheme="minorHAnsi"/>
          <w:b/>
        </w:rPr>
        <w:t>tatut ZP MV ČR.</w:t>
      </w:r>
    </w:p>
    <w:p w14:paraId="707B4080" w14:textId="77777777" w:rsidR="00032A20" w:rsidRDefault="00032A20" w:rsidP="007B071C">
      <w:pPr>
        <w:rPr>
          <w:rFonts w:ascii="Calibri" w:eastAsia="MS Mincho" w:hAnsi="Calibri" w:cstheme="minorHAnsi"/>
        </w:rPr>
      </w:pPr>
    </w:p>
    <w:p w14:paraId="5E404A1E" w14:textId="77777777" w:rsidR="0033410C" w:rsidRDefault="0033410C" w:rsidP="007B071C">
      <w:pPr>
        <w:rPr>
          <w:rFonts w:ascii="Calibri" w:eastAsia="MS Mincho" w:hAnsi="Calibri" w:cstheme="minorHAnsi"/>
        </w:rPr>
      </w:pPr>
    </w:p>
    <w:p w14:paraId="00FED984" w14:textId="77777777" w:rsidR="00A9325E" w:rsidRDefault="00A9325E">
      <w:pPr>
        <w:jc w:val="left"/>
        <w:rPr>
          <w:rFonts w:cstheme="minorHAnsi"/>
          <w:b/>
          <w:bCs/>
          <w:sz w:val="32"/>
          <w:szCs w:val="28"/>
        </w:rPr>
      </w:pPr>
      <w:r>
        <w:rPr>
          <w:rFonts w:cstheme="minorHAnsi"/>
          <w:b/>
          <w:bCs/>
          <w:sz w:val="32"/>
          <w:szCs w:val="28"/>
        </w:rPr>
        <w:br w:type="page"/>
      </w:r>
    </w:p>
    <w:p w14:paraId="5EA02C26" w14:textId="22F3E0AC" w:rsidR="00F04990" w:rsidRPr="00933714" w:rsidRDefault="00F04990" w:rsidP="007B071C">
      <w:pPr>
        <w:jc w:val="left"/>
        <w:rPr>
          <w:rFonts w:cstheme="minorHAnsi"/>
          <w:b/>
          <w:bCs/>
          <w:sz w:val="28"/>
          <w:szCs w:val="28"/>
        </w:rPr>
      </w:pPr>
      <w:r w:rsidRPr="00933714">
        <w:rPr>
          <w:rFonts w:cstheme="minorHAnsi"/>
          <w:b/>
          <w:bCs/>
          <w:sz w:val="28"/>
          <w:szCs w:val="28"/>
        </w:rPr>
        <w:lastRenderedPageBreak/>
        <w:t>Seznam zkratek</w:t>
      </w:r>
    </w:p>
    <w:p w14:paraId="2CBF0041" w14:textId="77777777" w:rsidR="006634D4" w:rsidRDefault="006634D4" w:rsidP="00F04990"/>
    <w:p w14:paraId="744B0C9C" w14:textId="77777777" w:rsidR="00005362" w:rsidRDefault="00005362" w:rsidP="00005362">
      <w:pPr>
        <w:spacing w:line="360" w:lineRule="auto"/>
      </w:pPr>
      <w:r>
        <w:t>ČR</w:t>
      </w:r>
      <w:r>
        <w:tab/>
      </w:r>
      <w:r>
        <w:tab/>
        <w:t>Česká republika</w:t>
      </w:r>
    </w:p>
    <w:p w14:paraId="7E2FBEAB" w14:textId="6DC657F7" w:rsidR="00005362" w:rsidRPr="00F04990" w:rsidRDefault="00005362" w:rsidP="00005362">
      <w:pPr>
        <w:spacing w:line="360" w:lineRule="auto"/>
      </w:pPr>
      <w:r>
        <w:t>DPH</w:t>
      </w:r>
      <w:r>
        <w:tab/>
      </w:r>
      <w:r>
        <w:tab/>
        <w:t>daň z přidané hodnoty</w:t>
      </w:r>
    </w:p>
    <w:p w14:paraId="08B2AC06" w14:textId="77777777" w:rsidR="00005362" w:rsidRDefault="00005362" w:rsidP="00005362">
      <w:pPr>
        <w:spacing w:line="360" w:lineRule="auto"/>
      </w:pPr>
      <w:r>
        <w:t>DR</w:t>
      </w:r>
      <w:r>
        <w:tab/>
      </w:r>
      <w:r>
        <w:tab/>
        <w:t>dozorčí rada</w:t>
      </w:r>
    </w:p>
    <w:p w14:paraId="497E0612" w14:textId="77777777" w:rsidR="00005362" w:rsidRDefault="00005362" w:rsidP="00005362">
      <w:pPr>
        <w:spacing w:line="360" w:lineRule="auto"/>
      </w:pPr>
      <w:r>
        <w:t>GŘ</w:t>
      </w:r>
      <w:r>
        <w:tab/>
      </w:r>
      <w:r>
        <w:tab/>
        <w:t>generální ředitel</w:t>
      </w:r>
    </w:p>
    <w:p w14:paraId="02BBBA9B" w14:textId="4C338BDF" w:rsidR="00005362" w:rsidRDefault="00005362" w:rsidP="00005362">
      <w:pPr>
        <w:spacing w:line="360" w:lineRule="auto"/>
      </w:pPr>
      <w:r>
        <w:t>KŽ</w:t>
      </w:r>
      <w:r>
        <w:tab/>
      </w:r>
      <w:r>
        <w:tab/>
        <w:t xml:space="preserve">projekt </w:t>
      </w:r>
      <w:r w:rsidRPr="00933714">
        <w:rPr>
          <w:i/>
        </w:rPr>
        <w:t>Karta života</w:t>
      </w:r>
    </w:p>
    <w:p w14:paraId="76F28C85" w14:textId="5C8DF02F" w:rsidR="00005362" w:rsidRDefault="00005362" w:rsidP="00005362">
      <w:pPr>
        <w:spacing w:line="360" w:lineRule="auto"/>
      </w:pPr>
      <w:r>
        <w:t>LP</w:t>
      </w:r>
      <w:r>
        <w:tab/>
      </w:r>
      <w:r>
        <w:tab/>
        <w:t xml:space="preserve">projekt </w:t>
      </w:r>
      <w:r w:rsidRPr="00933714">
        <w:rPr>
          <w:i/>
        </w:rPr>
        <w:t>Léčebné plány</w:t>
      </w:r>
    </w:p>
    <w:p w14:paraId="5205BDB5" w14:textId="77777777" w:rsidR="00005362" w:rsidRDefault="00005362" w:rsidP="00005362">
      <w:pPr>
        <w:spacing w:line="360" w:lineRule="auto"/>
      </w:pPr>
      <w:r>
        <w:t>MF</w:t>
      </w:r>
      <w:r>
        <w:tab/>
      </w:r>
      <w:r>
        <w:tab/>
        <w:t>Ministerstvo financí</w:t>
      </w:r>
    </w:p>
    <w:p w14:paraId="414BAF2E" w14:textId="77777777" w:rsidR="00005362" w:rsidRDefault="00005362" w:rsidP="00005362">
      <w:pPr>
        <w:spacing w:line="360" w:lineRule="auto"/>
      </w:pPr>
      <w:r>
        <w:t>MZd</w:t>
      </w:r>
      <w:r>
        <w:tab/>
      </w:r>
      <w:r>
        <w:tab/>
        <w:t>Ministerstvo zdravotnictví</w:t>
      </w:r>
    </w:p>
    <w:p w14:paraId="0F8C5D2B" w14:textId="77777777" w:rsidR="00005362" w:rsidRDefault="00005362" w:rsidP="00005362">
      <w:pPr>
        <w:spacing w:line="360" w:lineRule="auto"/>
      </w:pPr>
      <w:r>
        <w:t>NKÚ</w:t>
      </w:r>
      <w:r>
        <w:tab/>
      </w:r>
      <w:r>
        <w:tab/>
        <w:t>Nejvyšší kontrolní úřad</w:t>
      </w:r>
    </w:p>
    <w:p w14:paraId="16DEEBDA" w14:textId="77777777" w:rsidR="00005362" w:rsidRDefault="00005362" w:rsidP="00005362">
      <w:pPr>
        <w:spacing w:line="360" w:lineRule="auto"/>
      </w:pPr>
      <w:r>
        <w:t>PS</w:t>
      </w:r>
      <w:r>
        <w:tab/>
      </w:r>
      <w:r>
        <w:tab/>
        <w:t>Poslanecká sněmovna Parlamentu ČR</w:t>
      </w:r>
    </w:p>
    <w:p w14:paraId="010ACAA3" w14:textId="4C442AB8" w:rsidR="00005362" w:rsidRDefault="00005362" w:rsidP="00005362">
      <w:pPr>
        <w:spacing w:line="360" w:lineRule="auto"/>
      </w:pPr>
      <w:r>
        <w:t>SIP</w:t>
      </w:r>
      <w:r>
        <w:tab/>
      </w:r>
      <w:r>
        <w:tab/>
        <w:t xml:space="preserve">projekt </w:t>
      </w:r>
      <w:r w:rsidRPr="00933714">
        <w:rPr>
          <w:i/>
        </w:rPr>
        <w:t>Systém integrované zdravotní péče</w:t>
      </w:r>
    </w:p>
    <w:p w14:paraId="160C8AC9" w14:textId="77777777" w:rsidR="00005362" w:rsidRDefault="00005362" w:rsidP="00005362">
      <w:pPr>
        <w:spacing w:line="360" w:lineRule="auto"/>
      </w:pPr>
      <w:r>
        <w:t>SR</w:t>
      </w:r>
      <w:r>
        <w:tab/>
      </w:r>
      <w:r>
        <w:tab/>
        <w:t>správní rada</w:t>
      </w:r>
    </w:p>
    <w:p w14:paraId="7A350401" w14:textId="77777777" w:rsidR="00005362" w:rsidRDefault="00005362" w:rsidP="00005362">
      <w:pPr>
        <w:spacing w:line="360" w:lineRule="auto"/>
      </w:pPr>
      <w:r>
        <w:t>ZP MV ČR</w:t>
      </w:r>
      <w:r>
        <w:tab/>
        <w:t>Zdravotní pojišťovna ministerstva vnitra České republiky</w:t>
      </w:r>
    </w:p>
    <w:p w14:paraId="5EE78E8A" w14:textId="77777777" w:rsidR="00005362" w:rsidRDefault="00005362" w:rsidP="00005362">
      <w:pPr>
        <w:spacing w:line="360" w:lineRule="auto"/>
      </w:pPr>
      <w:r>
        <w:t>ZPP</w:t>
      </w:r>
      <w:r>
        <w:tab/>
      </w:r>
      <w:r>
        <w:tab/>
        <w:t>zdravotně pojistný plán</w:t>
      </w:r>
    </w:p>
    <w:p w14:paraId="74542337" w14:textId="77777777" w:rsidR="00005362" w:rsidRDefault="00005362" w:rsidP="00005362">
      <w:pPr>
        <w:spacing w:line="360" w:lineRule="auto"/>
      </w:pPr>
      <w:r>
        <w:t>ZPr</w:t>
      </w:r>
      <w:r>
        <w:tab/>
      </w:r>
      <w:r>
        <w:tab/>
        <w:t>zdravotnické prostředky</w:t>
      </w:r>
    </w:p>
    <w:p w14:paraId="5AD7E213" w14:textId="77777777" w:rsidR="00005362" w:rsidRDefault="00005362" w:rsidP="00005362">
      <w:pPr>
        <w:spacing w:line="360" w:lineRule="auto"/>
      </w:pPr>
      <w:r>
        <w:t>ZS</w:t>
      </w:r>
      <w:r>
        <w:tab/>
      </w:r>
      <w:r>
        <w:tab/>
        <w:t>zdravotní služby</w:t>
      </w:r>
    </w:p>
    <w:sectPr w:rsidR="00005362" w:rsidSect="002810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382A6" w14:textId="77777777" w:rsidR="004034ED" w:rsidRDefault="004034ED" w:rsidP="004D72D0">
      <w:r>
        <w:separator/>
      </w:r>
    </w:p>
  </w:endnote>
  <w:endnote w:type="continuationSeparator" w:id="0">
    <w:p w14:paraId="3F1A900F" w14:textId="77777777" w:rsidR="004034ED" w:rsidRDefault="004034ED" w:rsidP="004D72D0">
      <w:r>
        <w:continuationSeparator/>
      </w:r>
    </w:p>
  </w:endnote>
  <w:endnote w:type="continuationNotice" w:id="1">
    <w:p w14:paraId="455B2EB8" w14:textId="77777777" w:rsidR="004034ED" w:rsidRDefault="00403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C7291" w14:textId="77777777" w:rsidR="004034ED" w:rsidRDefault="004034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1A90" w14:textId="77777777" w:rsidR="004034ED" w:rsidRDefault="004034ED" w:rsidP="003B6D9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EB0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88F7F" w14:textId="77777777" w:rsidR="004034ED" w:rsidRDefault="004034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EA5A0" w14:textId="77777777" w:rsidR="004034ED" w:rsidRDefault="004034ED" w:rsidP="004D72D0">
      <w:r>
        <w:separator/>
      </w:r>
    </w:p>
  </w:footnote>
  <w:footnote w:type="continuationSeparator" w:id="0">
    <w:p w14:paraId="4A07AD49" w14:textId="77777777" w:rsidR="004034ED" w:rsidRDefault="004034ED" w:rsidP="004D72D0">
      <w:r>
        <w:continuationSeparator/>
      </w:r>
    </w:p>
  </w:footnote>
  <w:footnote w:type="continuationNotice" w:id="1">
    <w:p w14:paraId="570DC284" w14:textId="77777777" w:rsidR="004034ED" w:rsidRDefault="004034ED"/>
  </w:footnote>
  <w:footnote w:id="2">
    <w:p w14:paraId="15BBA557" w14:textId="452FC6CB" w:rsidR="004034ED" w:rsidRPr="00005362" w:rsidRDefault="004034ED">
      <w:pPr>
        <w:pStyle w:val="Poznmka"/>
      </w:pPr>
      <w:r w:rsidRPr="003D373A">
        <w:rPr>
          <w:rStyle w:val="Znakapoznpodarou"/>
        </w:rPr>
        <w:footnoteRef/>
      </w:r>
      <w:r w:rsidRPr="003D373A">
        <w:t xml:space="preserve"> </w:t>
      </w:r>
      <w:r w:rsidRPr="003D373A">
        <w:tab/>
      </w:r>
      <w:r w:rsidRPr="00005362">
        <w:t>Zákon č. 280/1992 Sb., o resortních, oborových, podnikových a dalších zdravotních pojišťovnách.</w:t>
      </w:r>
    </w:p>
  </w:footnote>
  <w:footnote w:id="3">
    <w:p w14:paraId="1CE09DF2" w14:textId="6027A4B7" w:rsidR="004034ED" w:rsidRPr="004F7DD2" w:rsidRDefault="004034ED" w:rsidP="003D373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F7DD2">
        <w:t>Zákon č. 592/1992 Sb., o pojistném na veřejné zdravotní pojištění.</w:t>
      </w:r>
    </w:p>
  </w:footnote>
  <w:footnote w:id="4">
    <w:p w14:paraId="723A9C4F" w14:textId="6BE6E94E" w:rsidR="004034ED" w:rsidRPr="00FE60C5" w:rsidRDefault="004034ED" w:rsidP="003D373A">
      <w:pPr>
        <w:pStyle w:val="Textpoznpodarou"/>
        <w:ind w:left="284" w:hanging="284"/>
      </w:pPr>
      <w:r w:rsidRPr="004F7DD2">
        <w:rPr>
          <w:rStyle w:val="Znakapoznpodarou"/>
        </w:rPr>
        <w:footnoteRef/>
      </w:r>
      <w:r w:rsidRPr="004F7DD2">
        <w:t xml:space="preserve"> </w:t>
      </w:r>
      <w:r>
        <w:tab/>
      </w:r>
      <w:r w:rsidRPr="003D373A">
        <w:t>U</w:t>
      </w:r>
      <w:r w:rsidRPr="003D373A">
        <w:rPr>
          <w:rStyle w:val="PoznmkaChar"/>
        </w:rPr>
        <w:t>stanovení § 9, § 9a, § 10 zákona č. 280/1992 Sb.</w:t>
      </w:r>
    </w:p>
  </w:footnote>
  <w:footnote w:id="5">
    <w:p w14:paraId="3C128BE0" w14:textId="0BF68347" w:rsidR="004034ED" w:rsidRPr="003D373A" w:rsidRDefault="004034ED">
      <w:pPr>
        <w:pStyle w:val="Poznmka"/>
      </w:pPr>
      <w:r w:rsidRPr="00FA4D01">
        <w:rPr>
          <w:rStyle w:val="Znakapoznpodarou"/>
        </w:rPr>
        <w:footnoteRef/>
      </w:r>
      <w:r w:rsidRPr="003D373A">
        <w:t> </w:t>
      </w:r>
      <w:r>
        <w:tab/>
      </w:r>
      <w:r w:rsidRPr="003D373A">
        <w:t xml:space="preserve">Dle ustanovení § 44 a násl. zákona č. 93/2009 Sb., o auditorech a </w:t>
      </w:r>
      <w:r>
        <w:t xml:space="preserve">o </w:t>
      </w:r>
      <w:r w:rsidRPr="003D373A">
        <w:t>změně některých zákonů (zákon o auditorech).</w:t>
      </w:r>
    </w:p>
  </w:footnote>
  <w:footnote w:id="6">
    <w:p w14:paraId="17282424" w14:textId="2011ABCA" w:rsidR="004034ED" w:rsidRDefault="004034ED" w:rsidP="003D373A">
      <w:pPr>
        <w:pStyle w:val="Textpoznpodarou"/>
        <w:ind w:left="284" w:hanging="284"/>
      </w:pPr>
      <w:r w:rsidRPr="004F7DD2">
        <w:rPr>
          <w:rStyle w:val="Znakapoznpodarou"/>
        </w:rPr>
        <w:footnoteRef/>
      </w:r>
      <w:r w:rsidRPr="004F7DD2">
        <w:t xml:space="preserve"> </w:t>
      </w:r>
      <w:r>
        <w:tab/>
      </w:r>
      <w:r w:rsidRPr="004F7DD2">
        <w:t>Dle ustanovení § 53 zákona č. 48/1997 Sb., o veřejném zdravotním pojištění a o změně a doplnění některých souvisejících zákonů.</w:t>
      </w:r>
    </w:p>
  </w:footnote>
  <w:footnote w:id="7">
    <w:p w14:paraId="3430876D" w14:textId="04B7CCBE" w:rsidR="004034ED" w:rsidRDefault="004034ED" w:rsidP="003D373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Dle ustanovení § 15 zákona č. 280/1992 Sb.</w:t>
      </w:r>
    </w:p>
  </w:footnote>
  <w:footnote w:id="8">
    <w:p w14:paraId="62E8F559" w14:textId="669E7B4C" w:rsidR="004034ED" w:rsidRPr="004F7DD2" w:rsidRDefault="004034ED" w:rsidP="003D373A">
      <w:pPr>
        <w:pStyle w:val="Textpoznpodarou"/>
        <w:ind w:left="284" w:hanging="284"/>
      </w:pPr>
      <w:r w:rsidRPr="00332ED5">
        <w:rPr>
          <w:rStyle w:val="Znakapoznpodarou"/>
        </w:rPr>
        <w:footnoteRef/>
      </w:r>
      <w:r w:rsidRPr="00332ED5">
        <w:t xml:space="preserve"> </w:t>
      </w:r>
      <w:r>
        <w:tab/>
      </w:r>
      <w:r w:rsidRPr="004F7DD2">
        <w:t xml:space="preserve">Např. kontrolní akce č. 13/22 </w:t>
      </w:r>
      <w:r>
        <w:t xml:space="preserve">– </w:t>
      </w:r>
      <w:r w:rsidRPr="00554868">
        <w:rPr>
          <w:i/>
        </w:rPr>
        <w:t>Prostředky vybírané na základě zákona ve prospěch České průmyslové zdravotní pojišťovny</w:t>
      </w:r>
      <w:r w:rsidRPr="004F7DD2">
        <w:t>, kontrolní závěr</w:t>
      </w:r>
      <w:r>
        <w:t xml:space="preserve"> byl</w:t>
      </w:r>
      <w:r w:rsidRPr="004F7DD2">
        <w:t xml:space="preserve"> zveřejněn v částce 2/2014 </w:t>
      </w:r>
      <w:r w:rsidRPr="00554868">
        <w:rPr>
          <w:i/>
        </w:rPr>
        <w:t>Věstníku NKÚ</w:t>
      </w:r>
      <w:r w:rsidRPr="004F7DD2">
        <w:t>.</w:t>
      </w:r>
    </w:p>
  </w:footnote>
  <w:footnote w:id="9">
    <w:p w14:paraId="0AC99BCE" w14:textId="48FEBE93" w:rsidR="004034ED" w:rsidRPr="004F7DD2" w:rsidRDefault="004034ED" w:rsidP="003764C4">
      <w:pPr>
        <w:pStyle w:val="Poznmka"/>
      </w:pPr>
      <w:r w:rsidRPr="004F7DD2">
        <w:rPr>
          <w:rStyle w:val="Znakapoznpodarou"/>
        </w:rPr>
        <w:footnoteRef/>
      </w:r>
      <w:r w:rsidRPr="004F7DD2">
        <w:t xml:space="preserve"> </w:t>
      </w:r>
      <w:r>
        <w:tab/>
      </w:r>
      <w:r w:rsidRPr="004F7DD2">
        <w:t>Dle ustanovení § 25a odst. 1 zákona č. 592/1992 Sb., o pojistném na veřejné zdravotní pojištění.</w:t>
      </w:r>
    </w:p>
  </w:footnote>
  <w:footnote w:id="10">
    <w:p w14:paraId="7840C5A4" w14:textId="34F5A996" w:rsidR="004034ED" w:rsidRPr="004F7DD2" w:rsidRDefault="004034ED" w:rsidP="003D373A">
      <w:pPr>
        <w:pStyle w:val="Textpoznpodarou"/>
        <w:ind w:left="284" w:hanging="284"/>
      </w:pPr>
      <w:r w:rsidRPr="004F7DD2">
        <w:rPr>
          <w:rStyle w:val="Znakapoznpodarou"/>
        </w:rPr>
        <w:footnoteRef/>
      </w:r>
      <w:r w:rsidRPr="004F7DD2">
        <w:t xml:space="preserve"> </w:t>
      </w:r>
      <w:r>
        <w:tab/>
        <w:t>Nebylo dodrženo</w:t>
      </w:r>
      <w:r w:rsidRPr="004F7DD2">
        <w:t xml:space="preserve"> ustanovení § 25a odst. 1 zákona č. 592/1992 Sb.</w:t>
      </w:r>
    </w:p>
  </w:footnote>
  <w:footnote w:id="11">
    <w:p w14:paraId="42CA2F46" w14:textId="1DB92191" w:rsidR="004034ED" w:rsidRPr="004F7DD2" w:rsidRDefault="004034ED" w:rsidP="003764C4">
      <w:pPr>
        <w:pStyle w:val="Poznmka"/>
      </w:pPr>
      <w:r w:rsidRPr="004F7DD2">
        <w:rPr>
          <w:rStyle w:val="Znakapoznpodarou"/>
        </w:rPr>
        <w:footnoteRef/>
      </w:r>
      <w:r w:rsidRPr="004F7DD2">
        <w:t xml:space="preserve"> </w:t>
      </w:r>
      <w:r>
        <w:tab/>
      </w:r>
      <w:r w:rsidRPr="004F7DD2">
        <w:t>Dle ustanovení § 46 odst. 1 zákona č. 500/2004 Sb., správní řád.</w:t>
      </w:r>
    </w:p>
  </w:footnote>
  <w:footnote w:id="12">
    <w:p w14:paraId="1D3B95E6" w14:textId="624966F4" w:rsidR="004034ED" w:rsidRPr="004F7DD2" w:rsidRDefault="004034ED" w:rsidP="003D373A">
      <w:pPr>
        <w:pStyle w:val="Textpoznpodarou"/>
        <w:ind w:left="284" w:hanging="284"/>
      </w:pPr>
      <w:r w:rsidRPr="004F7DD2">
        <w:rPr>
          <w:rStyle w:val="Znakapoznpodarou"/>
        </w:rPr>
        <w:footnoteRef/>
      </w:r>
      <w:r w:rsidRPr="004F7DD2">
        <w:t xml:space="preserve"> </w:t>
      </w:r>
      <w:r>
        <w:tab/>
      </w:r>
      <w:r w:rsidRPr="004F7DD2">
        <w:t xml:space="preserve">Dle ustanovení </w:t>
      </w:r>
      <w:r w:rsidRPr="004F7DD2">
        <w:rPr>
          <w:rStyle w:val="PoznmkaChar"/>
        </w:rPr>
        <w:t>§ 71 odst. 1 a 3 zákona č. 500/2004 Sb.</w:t>
      </w:r>
    </w:p>
  </w:footnote>
  <w:footnote w:id="13">
    <w:p w14:paraId="4638D54F" w14:textId="174D4838" w:rsidR="004034ED" w:rsidRPr="00B07453" w:rsidRDefault="004034ED" w:rsidP="003D373A">
      <w:pPr>
        <w:pStyle w:val="Textpoznpodarou"/>
        <w:ind w:left="284" w:hanging="284"/>
      </w:pPr>
      <w:r w:rsidRPr="00B07453">
        <w:rPr>
          <w:rStyle w:val="Znakapoznpodarou"/>
        </w:rPr>
        <w:footnoteRef/>
      </w:r>
      <w:r w:rsidRPr="00B07453">
        <w:t xml:space="preserve"> </w:t>
      </w:r>
      <w:r>
        <w:tab/>
      </w:r>
      <w:r w:rsidRPr="00B07453">
        <w:t>Dle ustanovení § 26c odst. 1 zákona č. 592/1992 Sb.</w:t>
      </w:r>
    </w:p>
  </w:footnote>
  <w:footnote w:id="14">
    <w:p w14:paraId="5602C4E7" w14:textId="04A86E27" w:rsidR="004034ED" w:rsidRPr="00B07453" w:rsidRDefault="004034ED" w:rsidP="003764C4">
      <w:pPr>
        <w:pStyle w:val="Poznmka"/>
      </w:pPr>
      <w:r w:rsidRPr="00B07453">
        <w:rPr>
          <w:rStyle w:val="Znakapoznpodarou"/>
        </w:rPr>
        <w:footnoteRef/>
      </w:r>
      <w:r w:rsidRPr="00B07453">
        <w:t xml:space="preserve"> </w:t>
      </w:r>
      <w:r>
        <w:tab/>
        <w:t>Nebylo naplněno</w:t>
      </w:r>
      <w:r w:rsidRPr="00B07453">
        <w:t xml:space="preserve"> ustanovení § 3 odst. 1 zákona č. 563/1991 Sb., o účetnictví.</w:t>
      </w:r>
    </w:p>
  </w:footnote>
  <w:footnote w:id="15">
    <w:p w14:paraId="6F7FF54D" w14:textId="477C4BA5" w:rsidR="004034ED" w:rsidRPr="00B07453" w:rsidRDefault="004034ED" w:rsidP="003D373A">
      <w:pPr>
        <w:pStyle w:val="Textpoznpodarou"/>
        <w:ind w:left="284" w:hanging="284"/>
      </w:pPr>
      <w:r w:rsidRPr="00B07453">
        <w:rPr>
          <w:rStyle w:val="Znakapoznpodarou"/>
        </w:rPr>
        <w:footnoteRef/>
      </w:r>
      <w:r w:rsidRPr="00B07453">
        <w:t xml:space="preserve"> </w:t>
      </w:r>
      <w:r>
        <w:tab/>
        <w:t>Nebyla dodržena</w:t>
      </w:r>
      <w:r w:rsidRPr="00B07453">
        <w:t xml:space="preserve"> ustanovení </w:t>
      </w:r>
      <w:r w:rsidRPr="00B07453">
        <w:rPr>
          <w:rStyle w:val="PoznmkaChar"/>
        </w:rPr>
        <w:t>§ 29 odst. 1, § 30 odst. 1 písm. b) a odst. 7 písm. a) zákona č. 563/1991 Sb.</w:t>
      </w:r>
    </w:p>
  </w:footnote>
  <w:footnote w:id="16">
    <w:p w14:paraId="2B72E751" w14:textId="14B68518" w:rsidR="004034ED" w:rsidRPr="00B07453" w:rsidRDefault="004034ED" w:rsidP="003D373A">
      <w:pPr>
        <w:pStyle w:val="Textpoznpodarou"/>
        <w:ind w:left="284" w:hanging="284"/>
      </w:pPr>
      <w:r w:rsidRPr="00B07453">
        <w:rPr>
          <w:rStyle w:val="Znakapoznpodarou"/>
        </w:rPr>
        <w:footnoteRef/>
      </w:r>
      <w:r w:rsidRPr="00B07453">
        <w:t xml:space="preserve"> </w:t>
      </w:r>
      <w:r>
        <w:tab/>
      </w:r>
      <w:r w:rsidRPr="00B07453">
        <w:t>Dle ustanovení § 46 odst. 1 zákona č. 48/1997 Sb.</w:t>
      </w:r>
    </w:p>
  </w:footnote>
  <w:footnote w:id="17">
    <w:p w14:paraId="7220DCCC" w14:textId="391CB180" w:rsidR="004034ED" w:rsidRPr="00B07453" w:rsidRDefault="004034ED" w:rsidP="003D373A">
      <w:pPr>
        <w:pStyle w:val="Textpoznpodarou"/>
        <w:ind w:left="284" w:hanging="284"/>
      </w:pPr>
      <w:r w:rsidRPr="00B07453">
        <w:rPr>
          <w:rStyle w:val="Znakapoznpodarou"/>
        </w:rPr>
        <w:footnoteRef/>
      </w:r>
      <w:r w:rsidRPr="00B07453">
        <w:t xml:space="preserve"> </w:t>
      </w:r>
      <w:r>
        <w:tab/>
      </w:r>
      <w:r w:rsidRPr="00B07453">
        <w:t>Dle ustanovení § 13 zákona č. 48/1997 Sb.</w:t>
      </w:r>
    </w:p>
  </w:footnote>
  <w:footnote w:id="18">
    <w:p w14:paraId="71C37E29" w14:textId="1CD255CB" w:rsidR="004034ED" w:rsidRPr="00B07453" w:rsidRDefault="004034ED" w:rsidP="003D373A">
      <w:pPr>
        <w:pStyle w:val="Textpoznpodarou"/>
        <w:ind w:left="284" w:hanging="284"/>
      </w:pPr>
      <w:r w:rsidRPr="00B07453">
        <w:rPr>
          <w:rStyle w:val="Znakapoznpodarou"/>
        </w:rPr>
        <w:footnoteRef/>
      </w:r>
      <w:r w:rsidRPr="00B07453">
        <w:t xml:space="preserve"> </w:t>
      </w:r>
      <w:r>
        <w:tab/>
      </w:r>
      <w:r w:rsidRPr="00B07453">
        <w:t>Vyhláška č. 618/2006 Sb., kterou se vydávají rámcové smlouvy.</w:t>
      </w:r>
    </w:p>
  </w:footnote>
  <w:footnote w:id="19">
    <w:p w14:paraId="39F19E8A" w14:textId="1DC31006" w:rsidR="004034ED" w:rsidRPr="00513107" w:rsidRDefault="004034ED" w:rsidP="003D373A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Praktičtí lékaři jsou všeobecní praktičtí lékaři pro dospělé a praktičtí lékaři pro děti a dorost.</w:t>
      </w:r>
    </w:p>
  </w:footnote>
  <w:footnote w:id="20">
    <w:p w14:paraId="73CBD511" w14:textId="19167633" w:rsidR="004034ED" w:rsidRPr="00513107" w:rsidRDefault="004034ED" w:rsidP="003D373A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 xml:space="preserve">Vyhláška č. 618/2006 Sb., přílohy, článek 3 </w:t>
      </w:r>
      <w:r w:rsidRPr="0076720B">
        <w:rPr>
          <w:i/>
        </w:rPr>
        <w:t>Práva a povinnosti smluvních stran</w:t>
      </w:r>
      <w:r w:rsidRPr="00513107">
        <w:t>.</w:t>
      </w:r>
    </w:p>
  </w:footnote>
  <w:footnote w:id="21">
    <w:p w14:paraId="7E81B5CD" w14:textId="559AD330" w:rsidR="004034ED" w:rsidRPr="00513107" w:rsidRDefault="004034ED" w:rsidP="003D373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13107">
        <w:t>U</w:t>
      </w:r>
      <w:r w:rsidRPr="00513107">
        <w:rPr>
          <w:rFonts w:cs="Calibri"/>
        </w:rPr>
        <w:t>stanovení § 32 odst. 3 zákona č. 48/1997 Sb.</w:t>
      </w:r>
    </w:p>
  </w:footnote>
  <w:footnote w:id="22">
    <w:p w14:paraId="19753477" w14:textId="2B1DB71D" w:rsidR="004034ED" w:rsidRDefault="004034ED" w:rsidP="003D373A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>
        <w:t xml:space="preserve"> </w:t>
      </w:r>
      <w:r>
        <w:tab/>
      </w:r>
      <w:r w:rsidRPr="00513107">
        <w:t xml:space="preserve">Kontrolní akce </w:t>
      </w:r>
      <w:r w:rsidRPr="00513107">
        <w:rPr>
          <w:b/>
        </w:rPr>
        <w:t>č. 09/29</w:t>
      </w:r>
      <w:r w:rsidRPr="00513107">
        <w:t xml:space="preserve"> </w:t>
      </w:r>
      <w:r>
        <w:t xml:space="preserve">– </w:t>
      </w:r>
      <w:r w:rsidRPr="004034ED">
        <w:rPr>
          <w:i/>
        </w:rPr>
        <w:t>Prostředky vybírané na základě zákona ve prospěch Všeobecné zdravotní pojišťovny České republiky</w:t>
      </w:r>
      <w:r w:rsidRPr="00513107">
        <w:t xml:space="preserve">, </w:t>
      </w:r>
      <w:r>
        <w:t xml:space="preserve">kontrolní závěr byl </w:t>
      </w:r>
      <w:r w:rsidRPr="00513107">
        <w:t xml:space="preserve">zveřejněn v částce 1/2011 </w:t>
      </w:r>
      <w:r w:rsidRPr="004034ED">
        <w:rPr>
          <w:i/>
        </w:rPr>
        <w:t>Věstníku NKÚ</w:t>
      </w:r>
      <w:r>
        <w:t>;</w:t>
      </w:r>
      <w:r w:rsidRPr="00513107">
        <w:t xml:space="preserve"> </w:t>
      </w:r>
    </w:p>
    <w:p w14:paraId="7F14894F" w14:textId="2E06AB47" w:rsidR="004034ED" w:rsidRPr="00513107" w:rsidRDefault="004034ED" w:rsidP="00AD6D84">
      <w:pPr>
        <w:pStyle w:val="Textpoznpodarou"/>
        <w:ind w:left="284"/>
      </w:pPr>
      <w:r w:rsidRPr="00513107">
        <w:t xml:space="preserve">kontrolní akce </w:t>
      </w:r>
      <w:r w:rsidRPr="00513107">
        <w:rPr>
          <w:b/>
        </w:rPr>
        <w:t>č.</w:t>
      </w:r>
      <w:r>
        <w:rPr>
          <w:b/>
        </w:rPr>
        <w:t> </w:t>
      </w:r>
      <w:r w:rsidRPr="00513107">
        <w:rPr>
          <w:b/>
        </w:rPr>
        <w:t>13/22</w:t>
      </w:r>
      <w:r w:rsidRPr="00513107">
        <w:t xml:space="preserve"> </w:t>
      </w:r>
      <w:r>
        <w:t xml:space="preserve">– </w:t>
      </w:r>
      <w:r w:rsidRPr="004034ED">
        <w:rPr>
          <w:i/>
        </w:rPr>
        <w:t>Prostředky vybírané na základě zákona ve prospěch České průmyslové zdravotní pojišťovny</w:t>
      </w:r>
      <w:r w:rsidRPr="00513107">
        <w:t xml:space="preserve">, </w:t>
      </w:r>
      <w:r>
        <w:t xml:space="preserve">kontrolní závěr byl </w:t>
      </w:r>
      <w:r w:rsidRPr="00513107">
        <w:t xml:space="preserve">zveřejněn v částce 2/2014 </w:t>
      </w:r>
      <w:r w:rsidRPr="004034ED">
        <w:rPr>
          <w:i/>
        </w:rPr>
        <w:t>Věstníku NKÚ</w:t>
      </w:r>
      <w:r w:rsidRPr="00513107">
        <w:t>.</w:t>
      </w:r>
    </w:p>
  </w:footnote>
  <w:footnote w:id="23">
    <w:p w14:paraId="323D0AC2" w14:textId="05F1EBBF" w:rsidR="004034ED" w:rsidRPr="00513107" w:rsidRDefault="004034ED" w:rsidP="003D373A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>
        <w:t xml:space="preserve"> </w:t>
      </w:r>
      <w:r>
        <w:tab/>
      </w:r>
      <w:r w:rsidRPr="00513107">
        <w:t>Vyhlášk</w:t>
      </w:r>
      <w:r>
        <w:t>a</w:t>
      </w:r>
      <w:r w:rsidRPr="00513107">
        <w:t xml:space="preserve"> č. 425/2011 Sb. (ze dne 15. 12. 2011, platná od 23. 12. 2011), </w:t>
      </w:r>
      <w:r>
        <w:t xml:space="preserve">vyhláška </w:t>
      </w:r>
      <w:r w:rsidRPr="00513107">
        <w:t>č. 475/2012 Sb. (ze dne 20.</w:t>
      </w:r>
      <w:r>
        <w:t> </w:t>
      </w:r>
      <w:r w:rsidRPr="00513107">
        <w:t>12. 2012, platná od 31. 12. 2012) a</w:t>
      </w:r>
      <w:r>
        <w:t xml:space="preserve"> vyhláška</w:t>
      </w:r>
      <w:r w:rsidRPr="00513107">
        <w:t xml:space="preserve"> č. 428/2013 Sb. (ze dne 13. 12. 2013, platná od 23.</w:t>
      </w:r>
      <w:r>
        <w:t> </w:t>
      </w:r>
      <w:r w:rsidRPr="00513107">
        <w:t>12.</w:t>
      </w:r>
      <w:r>
        <w:t> </w:t>
      </w:r>
      <w:r w:rsidRPr="00513107">
        <w:t>2013).</w:t>
      </w:r>
    </w:p>
  </w:footnote>
  <w:footnote w:id="24">
    <w:p w14:paraId="02AFFC32" w14:textId="3830A46D" w:rsidR="004034ED" w:rsidRPr="00513107" w:rsidRDefault="004034ED" w:rsidP="009D3A16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>
        <w:t xml:space="preserve"> </w:t>
      </w:r>
      <w:r>
        <w:tab/>
        <w:t>U</w:t>
      </w:r>
      <w:r w:rsidRPr="00513107">
        <w:t>stanovení § 17 zákona č. 48/1997 Sb.</w:t>
      </w:r>
    </w:p>
  </w:footnote>
  <w:footnote w:id="25">
    <w:p w14:paraId="1557DF0A" w14:textId="09DE9216" w:rsidR="004034ED" w:rsidRPr="00513107" w:rsidRDefault="004034ED" w:rsidP="003D373A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Viz kapitola II.4.2 tohoto kontrolního závěru.</w:t>
      </w:r>
    </w:p>
  </w:footnote>
  <w:footnote w:id="26">
    <w:p w14:paraId="26327E92" w14:textId="42FBBA9E" w:rsidR="004034ED" w:rsidRPr="00513107" w:rsidRDefault="004034ED" w:rsidP="003D373A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Kombinovaná kapitačně výkonová platba se skládá z kapitační platby a platby za výkon. Kapitační platba se vypoč</w:t>
      </w:r>
      <w:r>
        <w:t>ítá</w:t>
      </w:r>
      <w:r w:rsidRPr="00513107">
        <w:t xml:space="preserve"> </w:t>
      </w:r>
      <w:r>
        <w:t>tak, že se</w:t>
      </w:r>
      <w:r w:rsidRPr="00513107">
        <w:t xml:space="preserve"> </w:t>
      </w:r>
      <w:r w:rsidRPr="00513107">
        <w:rPr>
          <w:rFonts w:eastAsia="Times New Roman"/>
        </w:rPr>
        <w:t>poč</w:t>
      </w:r>
      <w:r>
        <w:rPr>
          <w:rFonts w:eastAsia="Times New Roman"/>
        </w:rPr>
        <w:t>e</w:t>
      </w:r>
      <w:r w:rsidRPr="00513107">
        <w:rPr>
          <w:rFonts w:eastAsia="Times New Roman"/>
        </w:rPr>
        <w:t xml:space="preserve">t přepočtených pojištěnců příslušné zdravotní pojišťovny </w:t>
      </w:r>
      <w:r>
        <w:rPr>
          <w:rFonts w:eastAsia="Times New Roman"/>
        </w:rPr>
        <w:t>vy</w:t>
      </w:r>
      <w:r w:rsidRPr="00513107">
        <w:rPr>
          <w:rFonts w:eastAsia="Times New Roman"/>
        </w:rPr>
        <w:t>násob</w:t>
      </w:r>
      <w:r>
        <w:rPr>
          <w:rFonts w:eastAsia="Times New Roman"/>
        </w:rPr>
        <w:t>í</w:t>
      </w:r>
      <w:r w:rsidRPr="00513107">
        <w:rPr>
          <w:rFonts w:eastAsia="Times New Roman"/>
        </w:rPr>
        <w:t xml:space="preserve"> základní kapitační sazbou stanovenou na jednoho registrovaného pojištěnce příslušné zdravotní pojišťovny na kalendářní měsíc. Výše kapitační platby je také ovlivněna indexem vyjadřujícím poměr nákladů na pojištěnce v dané věkové skupině vůči nákladům na pojištěnce ve věkové skupině 15 až 19 let.</w:t>
      </w:r>
    </w:p>
  </w:footnote>
  <w:footnote w:id="27">
    <w:p w14:paraId="4E820A5B" w14:textId="30DA452F" w:rsidR="004034ED" w:rsidRPr="00513107" w:rsidRDefault="004034ED" w:rsidP="003D373A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>
        <w:t xml:space="preserve"> </w:t>
      </w:r>
      <w:r>
        <w:tab/>
      </w:r>
      <w:r w:rsidRPr="00513107">
        <w:t>Ustanovení § 13 odst. 1 zákona č. 48/1997 Sb.</w:t>
      </w:r>
    </w:p>
  </w:footnote>
  <w:footnote w:id="28">
    <w:p w14:paraId="63979A7B" w14:textId="5CAA90AF" w:rsidR="004034ED" w:rsidRPr="00513107" w:rsidRDefault="004034ED" w:rsidP="003D373A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Vyhláška č. 134/1998 Sb., kterou se vydává seznam zdravotních výkonů s bodovými hodnotami.</w:t>
      </w:r>
    </w:p>
  </w:footnote>
  <w:footnote w:id="29">
    <w:p w14:paraId="4A0E40F7" w14:textId="657DD29B" w:rsidR="004034ED" w:rsidRPr="00513107" w:rsidRDefault="004034ED" w:rsidP="003D373A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 xml:space="preserve">Ustanovení § 17b zákona č. 48/1997 Sb. ve znění zákona č. 200/2015 Sb. </w:t>
      </w:r>
    </w:p>
  </w:footnote>
  <w:footnote w:id="30">
    <w:p w14:paraId="2CC5D29F" w14:textId="174C8333" w:rsidR="004034ED" w:rsidRPr="00513107" w:rsidRDefault="004034ED" w:rsidP="003D373A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Vyhláška č. 418/2003 Sb., kterou se stanoví podrobnější vymezení okruhu a výše příjmů a výdajů fondů veřejného zdravotního pojištění zdravotních pojišťoven, podmínky jejich tvorby, užití, přípustnosti vzájemných převodů finančních prostředků a hospodaření s nimi, limit nákladů na činnost zdravotních pojišťoven krytých ze zdrojů základního fondu včetně postupu propočtu tohoto limitu.</w:t>
      </w:r>
    </w:p>
  </w:footnote>
  <w:footnote w:id="31">
    <w:p w14:paraId="497928F3" w14:textId="6D4514C8" w:rsidR="004034ED" w:rsidRDefault="004034ED" w:rsidP="003D373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17 zákona č. 280/1992 Sb.</w:t>
      </w:r>
    </w:p>
  </w:footnote>
  <w:footnote w:id="32">
    <w:p w14:paraId="2FB963B6" w14:textId="2428F300" w:rsidR="004034ED" w:rsidRDefault="004034ED" w:rsidP="003D373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13B11">
        <w:t>Ustanovení § 1 vyhlášky č. 418/2003 Sb.</w:t>
      </w:r>
    </w:p>
  </w:footnote>
  <w:footnote w:id="33">
    <w:p w14:paraId="15975423" w14:textId="77777777" w:rsidR="004034ED" w:rsidRDefault="004034ED" w:rsidP="00FA4D0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08339A">
        <w:t xml:space="preserve">Projekt SIP byl zahájen v roce 2008, </w:t>
      </w:r>
      <w:r w:rsidRPr="00372D59">
        <w:rPr>
          <w:i/>
        </w:rPr>
        <w:t>Karta života</w:t>
      </w:r>
      <w:r w:rsidRPr="0008339A">
        <w:t xml:space="preserve"> v roce 2009 a projekt </w:t>
      </w:r>
      <w:r w:rsidRPr="00372D59">
        <w:rPr>
          <w:i/>
        </w:rPr>
        <w:t>Léčebné plány</w:t>
      </w:r>
      <w:r w:rsidRPr="0008339A">
        <w:t xml:space="preserve"> v roce 2011.</w:t>
      </w:r>
    </w:p>
  </w:footnote>
  <w:footnote w:id="34">
    <w:p w14:paraId="499DF349" w14:textId="4236FA4B" w:rsidR="004034ED" w:rsidRDefault="004034ED" w:rsidP="003D373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 ustanovením</w:t>
      </w:r>
      <w:r w:rsidRPr="00EE3E79">
        <w:t xml:space="preserve"> § 13 zákona č. 48/1997 Sb.</w:t>
      </w:r>
    </w:p>
  </w:footnote>
  <w:footnote w:id="35">
    <w:p w14:paraId="03693881" w14:textId="7B7E8FC4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Jednalo se</w:t>
      </w:r>
      <w:r>
        <w:t xml:space="preserve"> o</w:t>
      </w:r>
      <w:r w:rsidRPr="00513107">
        <w:t xml:space="preserve"> chronická onemocnění: hypertenze, diabetes mellitus a dyslipidemie.</w:t>
      </w:r>
    </w:p>
  </w:footnote>
  <w:footnote w:id="36">
    <w:p w14:paraId="5E485E36" w14:textId="0D0949DD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Ustanovení § 7 vyhlášky č. 418/2003 Sb.</w:t>
      </w:r>
    </w:p>
  </w:footnote>
  <w:footnote w:id="37">
    <w:p w14:paraId="5B680E64" w14:textId="38635FC1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Jedná se o koeficient v procentech vypočtený dle ustanovení § 7 odst. 2 vyhlášky č. 418/2003 Sb.</w:t>
      </w:r>
    </w:p>
  </w:footnote>
  <w:footnote w:id="38">
    <w:p w14:paraId="04A277D0" w14:textId="4B2F950E" w:rsidR="004034ED" w:rsidRDefault="004034ED" w:rsidP="0000536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082DB3">
        <w:t>Dle ustanovení § 3 odst. 6 vyhlášky č. 418/2003 Sb.</w:t>
      </w:r>
    </w:p>
  </w:footnote>
  <w:footnote w:id="39">
    <w:p w14:paraId="67516E0B" w14:textId="66B9D1E4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Čerpání provozního fondu na provozní náklady odpovídá celkové částce závazků v oblasti provozní činnosti. Nezahrnuje předpis přídělu do sociálního fondu, předpis přídělu do fondu reprodukce investičního majetku ve výši kladného rozdílu mezi prodejní a zůstatkovou cenou, záporné rozdíly z ocenění cenných papírů reálnou hodnotou a</w:t>
      </w:r>
      <w:r>
        <w:t>ni</w:t>
      </w:r>
      <w:r w:rsidRPr="00513107">
        <w:t xml:space="preserve"> ztráty z prodeje cenných papírů.</w:t>
      </w:r>
    </w:p>
  </w:footnote>
  <w:footnote w:id="40">
    <w:p w14:paraId="2834C7F6" w14:textId="5135402D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Např. nařízení vlády č. 564/2006 Sb., o platových poměrech zaměstnanců ve veřejných službách a správě, a nařízení vlády č. 304/2014 Sb., o platových poměrech státních zaměstnanců.</w:t>
      </w:r>
    </w:p>
  </w:footnote>
  <w:footnote w:id="41">
    <w:p w14:paraId="68D46418" w14:textId="5034E782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  <w:t xml:space="preserve">Nebyla dodržena </w:t>
      </w:r>
      <w:r w:rsidRPr="00513107">
        <w:t>ustanovení § 13 odst. 3, 8 a § 21 zákona č. 137/2006 Sb., o veřejných zakázkách.</w:t>
      </w:r>
    </w:p>
  </w:footnote>
  <w:footnote w:id="42">
    <w:p w14:paraId="1FB7DB3D" w14:textId="32350426" w:rsidR="004034ED" w:rsidRDefault="004034ED" w:rsidP="0000536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5 odst. 4 zákona č. 280/1992 Sb. ve znění zákona č. 200/2015 Sb.</w:t>
      </w:r>
    </w:p>
  </w:footnote>
  <w:footnote w:id="43">
    <w:p w14:paraId="13C57760" w14:textId="381DA971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  <w:t>Nebylo naplněno</w:t>
      </w:r>
      <w:r w:rsidRPr="00513107">
        <w:t xml:space="preserve"> ustanovení § 26 a 27 zákona č. 320/2001 Sb., o finanční kontrole.</w:t>
      </w:r>
    </w:p>
  </w:footnote>
  <w:footnote w:id="44">
    <w:p w14:paraId="60A28399" w14:textId="0A41A3FD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Ustanovení § 8 odst. 1, 4 a § 33a odst. 1 zákona č. 563/1991 Sb., o účetnictví.</w:t>
      </w:r>
    </w:p>
  </w:footnote>
  <w:footnote w:id="45">
    <w:p w14:paraId="742078B4" w14:textId="6D29B0B6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  <w:t>Nebylo dodrženo</w:t>
      </w:r>
      <w:r w:rsidRPr="00513107">
        <w:t xml:space="preserve"> ustanovení § 6 odst. 1 zákona č. 137/2006 Sb.</w:t>
      </w:r>
    </w:p>
  </w:footnote>
  <w:footnote w:id="46">
    <w:p w14:paraId="739A87B8" w14:textId="3CCF624F" w:rsidR="004034ED" w:rsidRPr="00513107" w:rsidRDefault="004034ED" w:rsidP="00005362">
      <w:pPr>
        <w:pStyle w:val="Textpoznpodarou"/>
        <w:ind w:left="284" w:right="-14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  <w:t xml:space="preserve">Došlo k porušení </w:t>
      </w:r>
      <w:r w:rsidRPr="00513107">
        <w:t>ustanovení § 13 odst. 1, odst. 2, § 14 odst. 1 písm. b), odst. 3 písm. a), § 15 odst. 1 zákona č.</w:t>
      </w:r>
      <w:r>
        <w:t> </w:t>
      </w:r>
      <w:r w:rsidRPr="00513107">
        <w:t>137/2006 Sb.</w:t>
      </w:r>
    </w:p>
  </w:footnote>
  <w:footnote w:id="47">
    <w:p w14:paraId="7EE809A3" w14:textId="0EF70F42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  <w:t>U</w:t>
      </w:r>
      <w:r w:rsidRPr="00513107">
        <w:t>stanovení § 5 odst. 1 vyhlášky č. 418/2003 Sb.</w:t>
      </w:r>
    </w:p>
  </w:footnote>
  <w:footnote w:id="48">
    <w:p w14:paraId="779DCF9D" w14:textId="314B8FD1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</w:r>
      <w:r w:rsidRPr="00513107">
        <w:t>Pořizovací cena = kupní cena + technické zhodnocení.</w:t>
      </w:r>
    </w:p>
  </w:footnote>
  <w:footnote w:id="49">
    <w:p w14:paraId="69E84590" w14:textId="37111C10" w:rsidR="004034ED" w:rsidRPr="00513107" w:rsidRDefault="004034ED" w:rsidP="00005362">
      <w:pPr>
        <w:pStyle w:val="Textpoznpodarou"/>
        <w:ind w:left="284" w:hanging="284"/>
      </w:pPr>
      <w:r w:rsidRPr="00513107">
        <w:rPr>
          <w:rStyle w:val="Znakapoznpodarou"/>
        </w:rPr>
        <w:footnoteRef/>
      </w:r>
      <w:r w:rsidRPr="00513107">
        <w:t xml:space="preserve"> </w:t>
      </w:r>
      <w:r>
        <w:tab/>
        <w:t>U</w:t>
      </w:r>
      <w:r w:rsidRPr="00513107">
        <w:t>stanovení § 6 odst. 1 vyhlášky č. 418/2003 Sb.</w:t>
      </w:r>
    </w:p>
  </w:footnote>
  <w:footnote w:id="50">
    <w:p w14:paraId="35397005" w14:textId="357A8F9F" w:rsidR="004034ED" w:rsidRPr="00A00D33" w:rsidRDefault="004034ED" w:rsidP="00005362">
      <w:pPr>
        <w:pStyle w:val="Textpoznpodarou"/>
        <w:ind w:left="284" w:hanging="284"/>
      </w:pPr>
      <w:r w:rsidRPr="00A00D33">
        <w:rPr>
          <w:rStyle w:val="Znakapoznpodarou"/>
        </w:rPr>
        <w:footnoteRef/>
      </w:r>
      <w:r w:rsidRPr="00A00D33">
        <w:t xml:space="preserve"> </w:t>
      </w:r>
      <w:r>
        <w:tab/>
        <w:t>Nebylo dodrženo</w:t>
      </w:r>
      <w:r w:rsidRPr="00A00D33">
        <w:t xml:space="preserve"> ustanovení § 44 odst. 11 zákona č. 137/2006 Sb.</w:t>
      </w:r>
    </w:p>
  </w:footnote>
  <w:footnote w:id="51">
    <w:p w14:paraId="691157DF" w14:textId="33C0A794" w:rsidR="004034ED" w:rsidRPr="00A00D33" w:rsidRDefault="004034ED" w:rsidP="00005362">
      <w:pPr>
        <w:pStyle w:val="Textpoznpodarou"/>
        <w:ind w:left="284" w:hanging="284"/>
      </w:pPr>
      <w:r w:rsidRPr="00A00D33">
        <w:rPr>
          <w:rStyle w:val="Znakapoznpodarou"/>
        </w:rPr>
        <w:footnoteRef/>
      </w:r>
      <w:r w:rsidRPr="00A00D33">
        <w:t xml:space="preserve"> </w:t>
      </w:r>
      <w:r>
        <w:tab/>
      </w:r>
      <w:r w:rsidRPr="00A00D33">
        <w:t>Ustanovení § 6 odst. 1 zákona č. 137/2006 Sb.</w:t>
      </w:r>
    </w:p>
  </w:footnote>
  <w:footnote w:id="52">
    <w:p w14:paraId="3582C1E1" w14:textId="00E9AF3D" w:rsidR="004034ED" w:rsidRPr="00A00D33" w:rsidRDefault="004034ED" w:rsidP="00005362">
      <w:pPr>
        <w:pStyle w:val="Textpoznpodarou"/>
        <w:ind w:left="284" w:hanging="284"/>
      </w:pPr>
      <w:r w:rsidRPr="00A00D33">
        <w:rPr>
          <w:rStyle w:val="Znakapoznpodarou"/>
        </w:rPr>
        <w:footnoteRef/>
      </w:r>
      <w:r w:rsidRPr="00A00D33">
        <w:t xml:space="preserve"> </w:t>
      </w:r>
      <w:r>
        <w:tab/>
      </w:r>
      <w:r w:rsidRPr="00A00D33">
        <w:t>Dle ustanovení § 19 odst. 1 zákona č. 280/1992 Sb. se jedná o finanční prostředky vytvářené využíváním základního fondu (úroky z bankovních účtů) a příjmy plynoucí z pokut, přirážek k pojistnému a penále.</w:t>
      </w:r>
    </w:p>
  </w:footnote>
  <w:footnote w:id="53">
    <w:p w14:paraId="13740DAE" w14:textId="39E4A5EC" w:rsidR="004034ED" w:rsidRPr="00A00D33" w:rsidRDefault="004034ED" w:rsidP="00005362">
      <w:pPr>
        <w:pStyle w:val="Textpoznpodarou"/>
        <w:ind w:left="284" w:hanging="284"/>
      </w:pPr>
      <w:r w:rsidRPr="00A00D33">
        <w:rPr>
          <w:rStyle w:val="Znakapoznpodarou"/>
        </w:rPr>
        <w:footnoteRef/>
      </w:r>
      <w:r w:rsidRPr="00A00D33">
        <w:t xml:space="preserve"> </w:t>
      </w:r>
      <w:r>
        <w:tab/>
        <w:t>Nebylo dodrženo u</w:t>
      </w:r>
      <w:r w:rsidRPr="00A00D33">
        <w:t>stanovení § 82 odst. 2 zákona č. 137/2006 Sb.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058EF" w14:textId="77777777" w:rsidR="004034ED" w:rsidRDefault="004034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13C8" w14:textId="77777777" w:rsidR="004034ED" w:rsidRDefault="004034E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9358E" w14:textId="77777777" w:rsidR="004034ED" w:rsidRDefault="004034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B62"/>
    <w:multiLevelType w:val="multilevel"/>
    <w:tmpl w:val="79229032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6476EF3"/>
    <w:multiLevelType w:val="hybridMultilevel"/>
    <w:tmpl w:val="FF82B45E"/>
    <w:lvl w:ilvl="0" w:tplc="F4E8ED9E">
      <w:start w:val="1"/>
      <w:numFmt w:val="decimal"/>
      <w:pStyle w:val="Nzevtabulky"/>
      <w:lvlText w:val="Tabulka č. %1: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2093"/>
    <w:multiLevelType w:val="hybridMultilevel"/>
    <w:tmpl w:val="BF8AA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642946"/>
    <w:multiLevelType w:val="hybridMultilevel"/>
    <w:tmpl w:val="91FE4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307A8"/>
    <w:multiLevelType w:val="hybridMultilevel"/>
    <w:tmpl w:val="C2DCEC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CF1CC5"/>
    <w:multiLevelType w:val="hybridMultilevel"/>
    <w:tmpl w:val="E826BD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606638"/>
    <w:multiLevelType w:val="hybridMultilevel"/>
    <w:tmpl w:val="919A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72762"/>
    <w:multiLevelType w:val="hybridMultilevel"/>
    <w:tmpl w:val="223A8BA8"/>
    <w:lvl w:ilvl="0" w:tplc="3D8C7A60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3D8C7A60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083D0B"/>
    <w:multiLevelType w:val="hybridMultilevel"/>
    <w:tmpl w:val="A8B01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E6A30"/>
    <w:multiLevelType w:val="hybridMultilevel"/>
    <w:tmpl w:val="0256E3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121CD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AF0ABC"/>
    <w:multiLevelType w:val="hybridMultilevel"/>
    <w:tmpl w:val="E5B054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FF52D7"/>
    <w:multiLevelType w:val="hybridMultilevel"/>
    <w:tmpl w:val="BF4C71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D816BF"/>
    <w:multiLevelType w:val="hybridMultilevel"/>
    <w:tmpl w:val="76308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775EE1"/>
    <w:multiLevelType w:val="hybridMultilevel"/>
    <w:tmpl w:val="33362D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C90732"/>
    <w:multiLevelType w:val="multilevel"/>
    <w:tmpl w:val="F24E49F4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55322AEF"/>
    <w:multiLevelType w:val="hybridMultilevel"/>
    <w:tmpl w:val="B21E9C2E"/>
    <w:lvl w:ilvl="0" w:tplc="5D4A5976">
      <w:start w:val="1"/>
      <w:numFmt w:val="bullet"/>
      <w:pStyle w:val="Nadpis4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D8C7A60">
      <w:numFmt w:val="bullet"/>
      <w:lvlText w:val="-"/>
      <w:lvlJc w:val="left"/>
      <w:pPr>
        <w:ind w:left="2302" w:hanging="360"/>
      </w:pPr>
      <w:rPr>
        <w:rFonts w:ascii="Calibri" w:eastAsia="MS Mincho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>
    <w:nsid w:val="558936E9"/>
    <w:multiLevelType w:val="hybridMultilevel"/>
    <w:tmpl w:val="E5B054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8A35D3"/>
    <w:multiLevelType w:val="hybridMultilevel"/>
    <w:tmpl w:val="3730A59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9167670"/>
    <w:multiLevelType w:val="hybridMultilevel"/>
    <w:tmpl w:val="CD6C24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A67DC1"/>
    <w:multiLevelType w:val="hybridMultilevel"/>
    <w:tmpl w:val="4E92C2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DC6D3E"/>
    <w:multiLevelType w:val="hybridMultilevel"/>
    <w:tmpl w:val="FB9422DC"/>
    <w:lvl w:ilvl="0" w:tplc="B742E052">
      <w:start w:val="1"/>
      <w:numFmt w:val="decimal"/>
      <w:pStyle w:val="Kapitol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519D8"/>
    <w:multiLevelType w:val="hybridMultilevel"/>
    <w:tmpl w:val="0A246B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392F87"/>
    <w:multiLevelType w:val="hybridMultilevel"/>
    <w:tmpl w:val="F1B8CE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0B4485"/>
    <w:multiLevelType w:val="hybridMultilevel"/>
    <w:tmpl w:val="E5B054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BA043E"/>
    <w:multiLevelType w:val="hybridMultilevel"/>
    <w:tmpl w:val="F2E608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366183"/>
    <w:multiLevelType w:val="hybridMultilevel"/>
    <w:tmpl w:val="38D6C5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6B1AAD"/>
    <w:multiLevelType w:val="hybridMultilevel"/>
    <w:tmpl w:val="0A246B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1D22C2"/>
    <w:multiLevelType w:val="hybridMultilevel"/>
    <w:tmpl w:val="65A60B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FF0710"/>
    <w:multiLevelType w:val="hybridMultilevel"/>
    <w:tmpl w:val="1F6007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0"/>
  </w:num>
  <w:num w:numId="5">
    <w:abstractNumId w:val="23"/>
  </w:num>
  <w:num w:numId="6">
    <w:abstractNumId w:val="16"/>
  </w:num>
  <w:num w:numId="7">
    <w:abstractNumId w:val="10"/>
  </w:num>
  <w:num w:numId="8">
    <w:abstractNumId w:val="26"/>
  </w:num>
  <w:num w:numId="9">
    <w:abstractNumId w:val="21"/>
  </w:num>
  <w:num w:numId="10">
    <w:abstractNumId w:val="12"/>
  </w:num>
  <w:num w:numId="11">
    <w:abstractNumId w:val="4"/>
  </w:num>
  <w:num w:numId="12">
    <w:abstractNumId w:val="18"/>
  </w:num>
  <w:num w:numId="13">
    <w:abstractNumId w:val="2"/>
  </w:num>
  <w:num w:numId="14">
    <w:abstractNumId w:val="24"/>
  </w:num>
  <w:num w:numId="15">
    <w:abstractNumId w:val="8"/>
  </w:num>
  <w:num w:numId="16">
    <w:abstractNumId w:val="3"/>
  </w:num>
  <w:num w:numId="17">
    <w:abstractNumId w:val="28"/>
  </w:num>
  <w:num w:numId="18">
    <w:abstractNumId w:val="9"/>
  </w:num>
  <w:num w:numId="19">
    <w:abstractNumId w:val="27"/>
  </w:num>
  <w:num w:numId="20">
    <w:abstractNumId w:val="19"/>
  </w:num>
  <w:num w:numId="21">
    <w:abstractNumId w:val="13"/>
  </w:num>
  <w:num w:numId="22">
    <w:abstractNumId w:val="11"/>
  </w:num>
  <w:num w:numId="23">
    <w:abstractNumId w:val="5"/>
  </w:num>
  <w:num w:numId="24">
    <w:abstractNumId w:val="22"/>
  </w:num>
  <w:num w:numId="25">
    <w:abstractNumId w:val="25"/>
  </w:num>
  <w:num w:numId="26">
    <w:abstractNumId w:val="15"/>
  </w:num>
  <w:num w:numId="27">
    <w:abstractNumId w:val="0"/>
  </w:num>
  <w:num w:numId="28">
    <w:abstractNumId w:val="15"/>
  </w:num>
  <w:num w:numId="29">
    <w:abstractNumId w:val="6"/>
  </w:num>
  <w:num w:numId="30">
    <w:abstractNumId w:val="17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FC"/>
    <w:rsid w:val="0000048A"/>
    <w:rsid w:val="000004C3"/>
    <w:rsid w:val="0000062C"/>
    <w:rsid w:val="00000B3F"/>
    <w:rsid w:val="00000F72"/>
    <w:rsid w:val="00001062"/>
    <w:rsid w:val="000011D2"/>
    <w:rsid w:val="000011E3"/>
    <w:rsid w:val="00001238"/>
    <w:rsid w:val="00001C01"/>
    <w:rsid w:val="00001DF6"/>
    <w:rsid w:val="00001ED6"/>
    <w:rsid w:val="00002274"/>
    <w:rsid w:val="0000257B"/>
    <w:rsid w:val="0000271E"/>
    <w:rsid w:val="00002BDF"/>
    <w:rsid w:val="0000384A"/>
    <w:rsid w:val="00003B2A"/>
    <w:rsid w:val="00003EEB"/>
    <w:rsid w:val="00004145"/>
    <w:rsid w:val="00004164"/>
    <w:rsid w:val="00004199"/>
    <w:rsid w:val="000044BF"/>
    <w:rsid w:val="00004552"/>
    <w:rsid w:val="000046E2"/>
    <w:rsid w:val="0000506D"/>
    <w:rsid w:val="00005362"/>
    <w:rsid w:val="000054D9"/>
    <w:rsid w:val="000068D4"/>
    <w:rsid w:val="00006A1F"/>
    <w:rsid w:val="00006BE4"/>
    <w:rsid w:val="00006DF3"/>
    <w:rsid w:val="0000706B"/>
    <w:rsid w:val="00007321"/>
    <w:rsid w:val="000073BB"/>
    <w:rsid w:val="00007596"/>
    <w:rsid w:val="000078CB"/>
    <w:rsid w:val="00010526"/>
    <w:rsid w:val="00010D10"/>
    <w:rsid w:val="000114FC"/>
    <w:rsid w:val="00011656"/>
    <w:rsid w:val="00011AC3"/>
    <w:rsid w:val="00011AF9"/>
    <w:rsid w:val="00011FE5"/>
    <w:rsid w:val="000122BE"/>
    <w:rsid w:val="000128C0"/>
    <w:rsid w:val="00013568"/>
    <w:rsid w:val="000137ED"/>
    <w:rsid w:val="00013B61"/>
    <w:rsid w:val="00013C31"/>
    <w:rsid w:val="00014918"/>
    <w:rsid w:val="000149F9"/>
    <w:rsid w:val="00014CF3"/>
    <w:rsid w:val="00014F4B"/>
    <w:rsid w:val="000150A0"/>
    <w:rsid w:val="000153EF"/>
    <w:rsid w:val="0001543D"/>
    <w:rsid w:val="00015668"/>
    <w:rsid w:val="00015692"/>
    <w:rsid w:val="00015ADD"/>
    <w:rsid w:val="0001601B"/>
    <w:rsid w:val="0001660E"/>
    <w:rsid w:val="000169E5"/>
    <w:rsid w:val="000170D6"/>
    <w:rsid w:val="00017296"/>
    <w:rsid w:val="00017359"/>
    <w:rsid w:val="0002002B"/>
    <w:rsid w:val="0002034B"/>
    <w:rsid w:val="00020660"/>
    <w:rsid w:val="00020B7D"/>
    <w:rsid w:val="00020D58"/>
    <w:rsid w:val="00020F3D"/>
    <w:rsid w:val="000216A8"/>
    <w:rsid w:val="000217EB"/>
    <w:rsid w:val="00021B4D"/>
    <w:rsid w:val="00021CA5"/>
    <w:rsid w:val="000237DB"/>
    <w:rsid w:val="00023BDF"/>
    <w:rsid w:val="00024039"/>
    <w:rsid w:val="000242E8"/>
    <w:rsid w:val="000247E4"/>
    <w:rsid w:val="000248AC"/>
    <w:rsid w:val="00024B00"/>
    <w:rsid w:val="00024F4D"/>
    <w:rsid w:val="00024F7A"/>
    <w:rsid w:val="000259CF"/>
    <w:rsid w:val="00025DAB"/>
    <w:rsid w:val="00026411"/>
    <w:rsid w:val="0002674E"/>
    <w:rsid w:val="0002695B"/>
    <w:rsid w:val="00026B7A"/>
    <w:rsid w:val="00027A81"/>
    <w:rsid w:val="00031605"/>
    <w:rsid w:val="0003194E"/>
    <w:rsid w:val="00031C37"/>
    <w:rsid w:val="000328B9"/>
    <w:rsid w:val="00032908"/>
    <w:rsid w:val="00032A20"/>
    <w:rsid w:val="00032B05"/>
    <w:rsid w:val="00033481"/>
    <w:rsid w:val="000334E1"/>
    <w:rsid w:val="00033784"/>
    <w:rsid w:val="00034098"/>
    <w:rsid w:val="0003449F"/>
    <w:rsid w:val="000345BE"/>
    <w:rsid w:val="000347EB"/>
    <w:rsid w:val="000348C0"/>
    <w:rsid w:val="00034D9B"/>
    <w:rsid w:val="00035087"/>
    <w:rsid w:val="000353B2"/>
    <w:rsid w:val="00035F28"/>
    <w:rsid w:val="000360E7"/>
    <w:rsid w:val="0003662D"/>
    <w:rsid w:val="000377F4"/>
    <w:rsid w:val="0003783B"/>
    <w:rsid w:val="00037A4D"/>
    <w:rsid w:val="00040048"/>
    <w:rsid w:val="000403EB"/>
    <w:rsid w:val="000408C2"/>
    <w:rsid w:val="00040E8D"/>
    <w:rsid w:val="00040EE9"/>
    <w:rsid w:val="0004183A"/>
    <w:rsid w:val="000418FF"/>
    <w:rsid w:val="00041941"/>
    <w:rsid w:val="0004245C"/>
    <w:rsid w:val="00044806"/>
    <w:rsid w:val="00044A6B"/>
    <w:rsid w:val="00044AB0"/>
    <w:rsid w:val="00044DBC"/>
    <w:rsid w:val="0004585B"/>
    <w:rsid w:val="000459AF"/>
    <w:rsid w:val="000465BA"/>
    <w:rsid w:val="00046D5D"/>
    <w:rsid w:val="00046FE7"/>
    <w:rsid w:val="000503BD"/>
    <w:rsid w:val="000505E3"/>
    <w:rsid w:val="00050626"/>
    <w:rsid w:val="000509B0"/>
    <w:rsid w:val="00050BE6"/>
    <w:rsid w:val="00051850"/>
    <w:rsid w:val="000519CD"/>
    <w:rsid w:val="00051B1A"/>
    <w:rsid w:val="00051CAB"/>
    <w:rsid w:val="00052024"/>
    <w:rsid w:val="000521A8"/>
    <w:rsid w:val="000527A1"/>
    <w:rsid w:val="00052A40"/>
    <w:rsid w:val="00052EA7"/>
    <w:rsid w:val="00053019"/>
    <w:rsid w:val="0005312D"/>
    <w:rsid w:val="00053769"/>
    <w:rsid w:val="00053A93"/>
    <w:rsid w:val="00054701"/>
    <w:rsid w:val="0005514B"/>
    <w:rsid w:val="00055193"/>
    <w:rsid w:val="0005533D"/>
    <w:rsid w:val="000553BE"/>
    <w:rsid w:val="000558A7"/>
    <w:rsid w:val="00056FD9"/>
    <w:rsid w:val="00057085"/>
    <w:rsid w:val="00057DE8"/>
    <w:rsid w:val="00060145"/>
    <w:rsid w:val="00060585"/>
    <w:rsid w:val="00060D9F"/>
    <w:rsid w:val="00060EA0"/>
    <w:rsid w:val="000611B9"/>
    <w:rsid w:val="000614E6"/>
    <w:rsid w:val="00061CEF"/>
    <w:rsid w:val="00062AC2"/>
    <w:rsid w:val="00062BB2"/>
    <w:rsid w:val="00063832"/>
    <w:rsid w:val="000638EE"/>
    <w:rsid w:val="00063B3A"/>
    <w:rsid w:val="00063FAF"/>
    <w:rsid w:val="000642E0"/>
    <w:rsid w:val="00064472"/>
    <w:rsid w:val="00064697"/>
    <w:rsid w:val="0006485F"/>
    <w:rsid w:val="00064E4B"/>
    <w:rsid w:val="00065414"/>
    <w:rsid w:val="00065592"/>
    <w:rsid w:val="00065AEC"/>
    <w:rsid w:val="00065EC4"/>
    <w:rsid w:val="00066253"/>
    <w:rsid w:val="00066685"/>
    <w:rsid w:val="00066D14"/>
    <w:rsid w:val="00067054"/>
    <w:rsid w:val="000676B0"/>
    <w:rsid w:val="00067FA5"/>
    <w:rsid w:val="000703E7"/>
    <w:rsid w:val="00070E51"/>
    <w:rsid w:val="000712A1"/>
    <w:rsid w:val="00071484"/>
    <w:rsid w:val="00071526"/>
    <w:rsid w:val="00072158"/>
    <w:rsid w:val="00072E79"/>
    <w:rsid w:val="0007326A"/>
    <w:rsid w:val="00073873"/>
    <w:rsid w:val="00074480"/>
    <w:rsid w:val="000749C3"/>
    <w:rsid w:val="00075218"/>
    <w:rsid w:val="00075855"/>
    <w:rsid w:val="00076248"/>
    <w:rsid w:val="000763D9"/>
    <w:rsid w:val="000773A6"/>
    <w:rsid w:val="000773D5"/>
    <w:rsid w:val="000774EE"/>
    <w:rsid w:val="0007756D"/>
    <w:rsid w:val="000804E5"/>
    <w:rsid w:val="0008141D"/>
    <w:rsid w:val="00081A82"/>
    <w:rsid w:val="00081D94"/>
    <w:rsid w:val="00081E42"/>
    <w:rsid w:val="0008255B"/>
    <w:rsid w:val="0008259A"/>
    <w:rsid w:val="00082872"/>
    <w:rsid w:val="00082B61"/>
    <w:rsid w:val="00082C91"/>
    <w:rsid w:val="00082DB3"/>
    <w:rsid w:val="000832DC"/>
    <w:rsid w:val="000833BA"/>
    <w:rsid w:val="00083748"/>
    <w:rsid w:val="0008385D"/>
    <w:rsid w:val="00083CCD"/>
    <w:rsid w:val="00083EFE"/>
    <w:rsid w:val="000845C9"/>
    <w:rsid w:val="000846C6"/>
    <w:rsid w:val="000848C2"/>
    <w:rsid w:val="00085471"/>
    <w:rsid w:val="00085872"/>
    <w:rsid w:val="0008588E"/>
    <w:rsid w:val="00085A57"/>
    <w:rsid w:val="00086966"/>
    <w:rsid w:val="00086EEA"/>
    <w:rsid w:val="000872D2"/>
    <w:rsid w:val="0008753C"/>
    <w:rsid w:val="00087E9E"/>
    <w:rsid w:val="0009004B"/>
    <w:rsid w:val="000900F5"/>
    <w:rsid w:val="000903E8"/>
    <w:rsid w:val="00090416"/>
    <w:rsid w:val="000908C2"/>
    <w:rsid w:val="00090C6C"/>
    <w:rsid w:val="00092768"/>
    <w:rsid w:val="00092C85"/>
    <w:rsid w:val="00092D63"/>
    <w:rsid w:val="00093174"/>
    <w:rsid w:val="0009351C"/>
    <w:rsid w:val="00093654"/>
    <w:rsid w:val="00093FA2"/>
    <w:rsid w:val="000943AB"/>
    <w:rsid w:val="000947EC"/>
    <w:rsid w:val="00094DAD"/>
    <w:rsid w:val="000958B2"/>
    <w:rsid w:val="000958C8"/>
    <w:rsid w:val="00095AC6"/>
    <w:rsid w:val="00095D03"/>
    <w:rsid w:val="000962AC"/>
    <w:rsid w:val="00096340"/>
    <w:rsid w:val="00096D98"/>
    <w:rsid w:val="00096FF1"/>
    <w:rsid w:val="00097107"/>
    <w:rsid w:val="0009712B"/>
    <w:rsid w:val="00097838"/>
    <w:rsid w:val="00097B64"/>
    <w:rsid w:val="000A0243"/>
    <w:rsid w:val="000A07B2"/>
    <w:rsid w:val="000A0C5A"/>
    <w:rsid w:val="000A0CA5"/>
    <w:rsid w:val="000A118B"/>
    <w:rsid w:val="000A1201"/>
    <w:rsid w:val="000A1C4A"/>
    <w:rsid w:val="000A324C"/>
    <w:rsid w:val="000A3705"/>
    <w:rsid w:val="000A4088"/>
    <w:rsid w:val="000A4800"/>
    <w:rsid w:val="000A4D7E"/>
    <w:rsid w:val="000A5216"/>
    <w:rsid w:val="000A528E"/>
    <w:rsid w:val="000A559E"/>
    <w:rsid w:val="000A5F80"/>
    <w:rsid w:val="000A5F97"/>
    <w:rsid w:val="000A6738"/>
    <w:rsid w:val="000A6980"/>
    <w:rsid w:val="000A71C6"/>
    <w:rsid w:val="000A73DB"/>
    <w:rsid w:val="000A7569"/>
    <w:rsid w:val="000A76C6"/>
    <w:rsid w:val="000A7701"/>
    <w:rsid w:val="000A7B21"/>
    <w:rsid w:val="000A7DD9"/>
    <w:rsid w:val="000B04C1"/>
    <w:rsid w:val="000B0910"/>
    <w:rsid w:val="000B0DBF"/>
    <w:rsid w:val="000B2051"/>
    <w:rsid w:val="000B2106"/>
    <w:rsid w:val="000B219C"/>
    <w:rsid w:val="000B2891"/>
    <w:rsid w:val="000B2B82"/>
    <w:rsid w:val="000B389F"/>
    <w:rsid w:val="000B3AA0"/>
    <w:rsid w:val="000B3F08"/>
    <w:rsid w:val="000B40B6"/>
    <w:rsid w:val="000B44BF"/>
    <w:rsid w:val="000B58D1"/>
    <w:rsid w:val="000B5B90"/>
    <w:rsid w:val="000B5F69"/>
    <w:rsid w:val="000B6091"/>
    <w:rsid w:val="000B67E1"/>
    <w:rsid w:val="000B75FE"/>
    <w:rsid w:val="000B7FCF"/>
    <w:rsid w:val="000C0428"/>
    <w:rsid w:val="000C15D0"/>
    <w:rsid w:val="000C1773"/>
    <w:rsid w:val="000C1CA5"/>
    <w:rsid w:val="000C1E82"/>
    <w:rsid w:val="000C23FC"/>
    <w:rsid w:val="000C3288"/>
    <w:rsid w:val="000C3D59"/>
    <w:rsid w:val="000C3DD1"/>
    <w:rsid w:val="000C3E34"/>
    <w:rsid w:val="000C4049"/>
    <w:rsid w:val="000C4586"/>
    <w:rsid w:val="000C480E"/>
    <w:rsid w:val="000C4BB4"/>
    <w:rsid w:val="000C4D41"/>
    <w:rsid w:val="000C514A"/>
    <w:rsid w:val="000C58BA"/>
    <w:rsid w:val="000C659B"/>
    <w:rsid w:val="000C65EB"/>
    <w:rsid w:val="000C6999"/>
    <w:rsid w:val="000C70B6"/>
    <w:rsid w:val="000C72E5"/>
    <w:rsid w:val="000C76C3"/>
    <w:rsid w:val="000C7DA2"/>
    <w:rsid w:val="000C7FD9"/>
    <w:rsid w:val="000D0240"/>
    <w:rsid w:val="000D0D24"/>
    <w:rsid w:val="000D0D50"/>
    <w:rsid w:val="000D0E60"/>
    <w:rsid w:val="000D0F20"/>
    <w:rsid w:val="000D0FA6"/>
    <w:rsid w:val="000D1268"/>
    <w:rsid w:val="000D12C3"/>
    <w:rsid w:val="000D1619"/>
    <w:rsid w:val="000D22D1"/>
    <w:rsid w:val="000D2303"/>
    <w:rsid w:val="000D4802"/>
    <w:rsid w:val="000D4B0E"/>
    <w:rsid w:val="000D4C79"/>
    <w:rsid w:val="000D542C"/>
    <w:rsid w:val="000D5517"/>
    <w:rsid w:val="000D56B1"/>
    <w:rsid w:val="000D5CA8"/>
    <w:rsid w:val="000D606A"/>
    <w:rsid w:val="000D615C"/>
    <w:rsid w:val="000D6C03"/>
    <w:rsid w:val="000D7502"/>
    <w:rsid w:val="000D755A"/>
    <w:rsid w:val="000E050D"/>
    <w:rsid w:val="000E0D7C"/>
    <w:rsid w:val="000E0E87"/>
    <w:rsid w:val="000E17C6"/>
    <w:rsid w:val="000E249C"/>
    <w:rsid w:val="000E297E"/>
    <w:rsid w:val="000E29BF"/>
    <w:rsid w:val="000E2D2F"/>
    <w:rsid w:val="000E2E2E"/>
    <w:rsid w:val="000E2E82"/>
    <w:rsid w:val="000E34D4"/>
    <w:rsid w:val="000E3FBF"/>
    <w:rsid w:val="000E466E"/>
    <w:rsid w:val="000E4752"/>
    <w:rsid w:val="000E495E"/>
    <w:rsid w:val="000E511E"/>
    <w:rsid w:val="000E5160"/>
    <w:rsid w:val="000E5476"/>
    <w:rsid w:val="000E550D"/>
    <w:rsid w:val="000E58AE"/>
    <w:rsid w:val="000E62FE"/>
    <w:rsid w:val="000E635E"/>
    <w:rsid w:val="000E64B7"/>
    <w:rsid w:val="000E6D8F"/>
    <w:rsid w:val="000E6E1D"/>
    <w:rsid w:val="000E6F86"/>
    <w:rsid w:val="000E73F6"/>
    <w:rsid w:val="000E7E8D"/>
    <w:rsid w:val="000F0685"/>
    <w:rsid w:val="000F081F"/>
    <w:rsid w:val="000F0847"/>
    <w:rsid w:val="000F1332"/>
    <w:rsid w:val="000F1546"/>
    <w:rsid w:val="000F166B"/>
    <w:rsid w:val="000F1957"/>
    <w:rsid w:val="000F1A01"/>
    <w:rsid w:val="000F1A39"/>
    <w:rsid w:val="000F1A80"/>
    <w:rsid w:val="000F1D75"/>
    <w:rsid w:val="000F1E6F"/>
    <w:rsid w:val="000F1F55"/>
    <w:rsid w:val="000F2AA5"/>
    <w:rsid w:val="000F3342"/>
    <w:rsid w:val="000F3727"/>
    <w:rsid w:val="000F380A"/>
    <w:rsid w:val="000F3AF5"/>
    <w:rsid w:val="000F3E91"/>
    <w:rsid w:val="000F420C"/>
    <w:rsid w:val="000F48F0"/>
    <w:rsid w:val="000F50EB"/>
    <w:rsid w:val="000F562C"/>
    <w:rsid w:val="000F58EF"/>
    <w:rsid w:val="000F5C43"/>
    <w:rsid w:val="000F7676"/>
    <w:rsid w:val="000F7FBD"/>
    <w:rsid w:val="00100025"/>
    <w:rsid w:val="001001CA"/>
    <w:rsid w:val="00100F1C"/>
    <w:rsid w:val="0010174C"/>
    <w:rsid w:val="00102C73"/>
    <w:rsid w:val="00102DD7"/>
    <w:rsid w:val="00103350"/>
    <w:rsid w:val="001037AA"/>
    <w:rsid w:val="00104146"/>
    <w:rsid w:val="00104A7B"/>
    <w:rsid w:val="00104BE7"/>
    <w:rsid w:val="00104FC7"/>
    <w:rsid w:val="00106015"/>
    <w:rsid w:val="001068BE"/>
    <w:rsid w:val="001072B1"/>
    <w:rsid w:val="001077F6"/>
    <w:rsid w:val="00107DDF"/>
    <w:rsid w:val="00110051"/>
    <w:rsid w:val="001100FF"/>
    <w:rsid w:val="00110A8A"/>
    <w:rsid w:val="00111310"/>
    <w:rsid w:val="00111E9F"/>
    <w:rsid w:val="00112024"/>
    <w:rsid w:val="0011234B"/>
    <w:rsid w:val="00112615"/>
    <w:rsid w:val="00112787"/>
    <w:rsid w:val="001131C5"/>
    <w:rsid w:val="001138AA"/>
    <w:rsid w:val="00113FC5"/>
    <w:rsid w:val="00114FA2"/>
    <w:rsid w:val="001154BC"/>
    <w:rsid w:val="00115D76"/>
    <w:rsid w:val="0011610A"/>
    <w:rsid w:val="001161A5"/>
    <w:rsid w:val="0011634F"/>
    <w:rsid w:val="00116466"/>
    <w:rsid w:val="001164DF"/>
    <w:rsid w:val="001165B8"/>
    <w:rsid w:val="00116DC3"/>
    <w:rsid w:val="001179A6"/>
    <w:rsid w:val="0012080E"/>
    <w:rsid w:val="00120893"/>
    <w:rsid w:val="0012089B"/>
    <w:rsid w:val="00120952"/>
    <w:rsid w:val="00120E4D"/>
    <w:rsid w:val="00121630"/>
    <w:rsid w:val="001217F7"/>
    <w:rsid w:val="001218B8"/>
    <w:rsid w:val="00121C52"/>
    <w:rsid w:val="00122B53"/>
    <w:rsid w:val="00122D4F"/>
    <w:rsid w:val="0012338D"/>
    <w:rsid w:val="0012348E"/>
    <w:rsid w:val="001235E1"/>
    <w:rsid w:val="00123722"/>
    <w:rsid w:val="00123959"/>
    <w:rsid w:val="00123B2F"/>
    <w:rsid w:val="00123CF8"/>
    <w:rsid w:val="00123E41"/>
    <w:rsid w:val="0012429D"/>
    <w:rsid w:val="00124699"/>
    <w:rsid w:val="00124C5B"/>
    <w:rsid w:val="00124CF1"/>
    <w:rsid w:val="00124DB2"/>
    <w:rsid w:val="001253F9"/>
    <w:rsid w:val="00125605"/>
    <w:rsid w:val="001259FF"/>
    <w:rsid w:val="00125DDD"/>
    <w:rsid w:val="001264B9"/>
    <w:rsid w:val="001268F6"/>
    <w:rsid w:val="00126D3E"/>
    <w:rsid w:val="00127138"/>
    <w:rsid w:val="00127528"/>
    <w:rsid w:val="001276BE"/>
    <w:rsid w:val="001276C4"/>
    <w:rsid w:val="00127896"/>
    <w:rsid w:val="0012798C"/>
    <w:rsid w:val="00127F65"/>
    <w:rsid w:val="00130012"/>
    <w:rsid w:val="00130104"/>
    <w:rsid w:val="00130229"/>
    <w:rsid w:val="001306B3"/>
    <w:rsid w:val="0013153D"/>
    <w:rsid w:val="00132512"/>
    <w:rsid w:val="0013299E"/>
    <w:rsid w:val="00132A33"/>
    <w:rsid w:val="00133376"/>
    <w:rsid w:val="00133526"/>
    <w:rsid w:val="00133A72"/>
    <w:rsid w:val="00133F5C"/>
    <w:rsid w:val="00134961"/>
    <w:rsid w:val="00134984"/>
    <w:rsid w:val="00135107"/>
    <w:rsid w:val="00135499"/>
    <w:rsid w:val="0013579F"/>
    <w:rsid w:val="00136011"/>
    <w:rsid w:val="001360F2"/>
    <w:rsid w:val="00136171"/>
    <w:rsid w:val="00136433"/>
    <w:rsid w:val="00136458"/>
    <w:rsid w:val="00136D75"/>
    <w:rsid w:val="00136DA8"/>
    <w:rsid w:val="001371B7"/>
    <w:rsid w:val="00137328"/>
    <w:rsid w:val="001375E2"/>
    <w:rsid w:val="00140180"/>
    <w:rsid w:val="0014050F"/>
    <w:rsid w:val="001405FF"/>
    <w:rsid w:val="00140BC1"/>
    <w:rsid w:val="00141632"/>
    <w:rsid w:val="00141BB6"/>
    <w:rsid w:val="00141CD5"/>
    <w:rsid w:val="0014217D"/>
    <w:rsid w:val="00142188"/>
    <w:rsid w:val="0014238E"/>
    <w:rsid w:val="00142EA4"/>
    <w:rsid w:val="0014345A"/>
    <w:rsid w:val="00143808"/>
    <w:rsid w:val="001438D2"/>
    <w:rsid w:val="00143FE2"/>
    <w:rsid w:val="001448F6"/>
    <w:rsid w:val="00144B22"/>
    <w:rsid w:val="00144E3F"/>
    <w:rsid w:val="00146811"/>
    <w:rsid w:val="0014684F"/>
    <w:rsid w:val="001469D0"/>
    <w:rsid w:val="00146F2E"/>
    <w:rsid w:val="00147100"/>
    <w:rsid w:val="00147337"/>
    <w:rsid w:val="00147D80"/>
    <w:rsid w:val="0015015A"/>
    <w:rsid w:val="0015031C"/>
    <w:rsid w:val="0015047C"/>
    <w:rsid w:val="00150B6B"/>
    <w:rsid w:val="00152105"/>
    <w:rsid w:val="001523F3"/>
    <w:rsid w:val="001528F0"/>
    <w:rsid w:val="00152943"/>
    <w:rsid w:val="00152C41"/>
    <w:rsid w:val="00152C57"/>
    <w:rsid w:val="00152D97"/>
    <w:rsid w:val="00153472"/>
    <w:rsid w:val="001534A8"/>
    <w:rsid w:val="001537F3"/>
    <w:rsid w:val="00154915"/>
    <w:rsid w:val="00154CB6"/>
    <w:rsid w:val="00154F3F"/>
    <w:rsid w:val="00154F84"/>
    <w:rsid w:val="001554EB"/>
    <w:rsid w:val="00155551"/>
    <w:rsid w:val="00155FED"/>
    <w:rsid w:val="00156369"/>
    <w:rsid w:val="001565BC"/>
    <w:rsid w:val="00157E44"/>
    <w:rsid w:val="00160D1E"/>
    <w:rsid w:val="00161C0B"/>
    <w:rsid w:val="00161CBA"/>
    <w:rsid w:val="001633AB"/>
    <w:rsid w:val="00163BD5"/>
    <w:rsid w:val="00164730"/>
    <w:rsid w:val="0016497A"/>
    <w:rsid w:val="00164C9F"/>
    <w:rsid w:val="00164D53"/>
    <w:rsid w:val="00165443"/>
    <w:rsid w:val="00166D61"/>
    <w:rsid w:val="00166ECB"/>
    <w:rsid w:val="00167006"/>
    <w:rsid w:val="001671AE"/>
    <w:rsid w:val="00167962"/>
    <w:rsid w:val="00167EBB"/>
    <w:rsid w:val="00170174"/>
    <w:rsid w:val="00171230"/>
    <w:rsid w:val="0017157A"/>
    <w:rsid w:val="00172463"/>
    <w:rsid w:val="00172881"/>
    <w:rsid w:val="00172F9A"/>
    <w:rsid w:val="001730DC"/>
    <w:rsid w:val="00175272"/>
    <w:rsid w:val="00175A88"/>
    <w:rsid w:val="00175EDC"/>
    <w:rsid w:val="0017647A"/>
    <w:rsid w:val="0017655A"/>
    <w:rsid w:val="00176922"/>
    <w:rsid w:val="00176937"/>
    <w:rsid w:val="00176D27"/>
    <w:rsid w:val="00176D72"/>
    <w:rsid w:val="00176ED2"/>
    <w:rsid w:val="00177395"/>
    <w:rsid w:val="001775C7"/>
    <w:rsid w:val="0018018E"/>
    <w:rsid w:val="00180250"/>
    <w:rsid w:val="001804A9"/>
    <w:rsid w:val="0018077A"/>
    <w:rsid w:val="00180D3D"/>
    <w:rsid w:val="0018116A"/>
    <w:rsid w:val="001813C3"/>
    <w:rsid w:val="00182125"/>
    <w:rsid w:val="00182DBE"/>
    <w:rsid w:val="001830A0"/>
    <w:rsid w:val="00183392"/>
    <w:rsid w:val="00183884"/>
    <w:rsid w:val="00183B88"/>
    <w:rsid w:val="00183D7A"/>
    <w:rsid w:val="001845B3"/>
    <w:rsid w:val="0018491E"/>
    <w:rsid w:val="00184A16"/>
    <w:rsid w:val="00184A7C"/>
    <w:rsid w:val="00184B7A"/>
    <w:rsid w:val="001856E5"/>
    <w:rsid w:val="0018586D"/>
    <w:rsid w:val="0018589D"/>
    <w:rsid w:val="00185ADF"/>
    <w:rsid w:val="00185B40"/>
    <w:rsid w:val="00185F0E"/>
    <w:rsid w:val="001861D3"/>
    <w:rsid w:val="00186209"/>
    <w:rsid w:val="00186217"/>
    <w:rsid w:val="001866F7"/>
    <w:rsid w:val="00186C97"/>
    <w:rsid w:val="001871E6"/>
    <w:rsid w:val="00187204"/>
    <w:rsid w:val="001876B5"/>
    <w:rsid w:val="00187FA0"/>
    <w:rsid w:val="0019055C"/>
    <w:rsid w:val="00190A79"/>
    <w:rsid w:val="0019133C"/>
    <w:rsid w:val="00191429"/>
    <w:rsid w:val="001915CA"/>
    <w:rsid w:val="001916FA"/>
    <w:rsid w:val="00191E07"/>
    <w:rsid w:val="00192185"/>
    <w:rsid w:val="001927B5"/>
    <w:rsid w:val="00193BE6"/>
    <w:rsid w:val="00193F5B"/>
    <w:rsid w:val="00194141"/>
    <w:rsid w:val="00194373"/>
    <w:rsid w:val="001944DE"/>
    <w:rsid w:val="00194739"/>
    <w:rsid w:val="001947CB"/>
    <w:rsid w:val="00194CEB"/>
    <w:rsid w:val="0019508C"/>
    <w:rsid w:val="0019569B"/>
    <w:rsid w:val="00195784"/>
    <w:rsid w:val="001957E1"/>
    <w:rsid w:val="00195823"/>
    <w:rsid w:val="00195A9B"/>
    <w:rsid w:val="00195F1A"/>
    <w:rsid w:val="00196569"/>
    <w:rsid w:val="00196B49"/>
    <w:rsid w:val="001974AD"/>
    <w:rsid w:val="001974BD"/>
    <w:rsid w:val="0019751B"/>
    <w:rsid w:val="0019788C"/>
    <w:rsid w:val="00197C55"/>
    <w:rsid w:val="001A017B"/>
    <w:rsid w:val="001A1477"/>
    <w:rsid w:val="001A162F"/>
    <w:rsid w:val="001A18FC"/>
    <w:rsid w:val="001A1ADF"/>
    <w:rsid w:val="001A235B"/>
    <w:rsid w:val="001A3E5E"/>
    <w:rsid w:val="001A42B7"/>
    <w:rsid w:val="001A4892"/>
    <w:rsid w:val="001A495A"/>
    <w:rsid w:val="001A5593"/>
    <w:rsid w:val="001A565E"/>
    <w:rsid w:val="001A5B20"/>
    <w:rsid w:val="001A5CF6"/>
    <w:rsid w:val="001A5D7E"/>
    <w:rsid w:val="001A6A83"/>
    <w:rsid w:val="001A6F20"/>
    <w:rsid w:val="001A732B"/>
    <w:rsid w:val="001A7451"/>
    <w:rsid w:val="001A78F0"/>
    <w:rsid w:val="001A7AFD"/>
    <w:rsid w:val="001B0246"/>
    <w:rsid w:val="001B0E5C"/>
    <w:rsid w:val="001B0EA8"/>
    <w:rsid w:val="001B107E"/>
    <w:rsid w:val="001B1568"/>
    <w:rsid w:val="001B17B9"/>
    <w:rsid w:val="001B1865"/>
    <w:rsid w:val="001B1902"/>
    <w:rsid w:val="001B24A9"/>
    <w:rsid w:val="001B29F1"/>
    <w:rsid w:val="001B2F48"/>
    <w:rsid w:val="001B31C0"/>
    <w:rsid w:val="001B36BC"/>
    <w:rsid w:val="001B3822"/>
    <w:rsid w:val="001B385A"/>
    <w:rsid w:val="001B3AED"/>
    <w:rsid w:val="001B3FD5"/>
    <w:rsid w:val="001B40A3"/>
    <w:rsid w:val="001B43F0"/>
    <w:rsid w:val="001B5CB7"/>
    <w:rsid w:val="001B5DC4"/>
    <w:rsid w:val="001B5EC0"/>
    <w:rsid w:val="001B62BE"/>
    <w:rsid w:val="001B65F7"/>
    <w:rsid w:val="001B6820"/>
    <w:rsid w:val="001B694C"/>
    <w:rsid w:val="001B6BB7"/>
    <w:rsid w:val="001B6BD3"/>
    <w:rsid w:val="001B7049"/>
    <w:rsid w:val="001B76C1"/>
    <w:rsid w:val="001C1130"/>
    <w:rsid w:val="001C130D"/>
    <w:rsid w:val="001C1760"/>
    <w:rsid w:val="001C1BFD"/>
    <w:rsid w:val="001C1C28"/>
    <w:rsid w:val="001C1D48"/>
    <w:rsid w:val="001C1FC9"/>
    <w:rsid w:val="001C2279"/>
    <w:rsid w:val="001C26E0"/>
    <w:rsid w:val="001C4481"/>
    <w:rsid w:val="001C50B8"/>
    <w:rsid w:val="001C528C"/>
    <w:rsid w:val="001C5680"/>
    <w:rsid w:val="001C5FA0"/>
    <w:rsid w:val="001C67FE"/>
    <w:rsid w:val="001C6925"/>
    <w:rsid w:val="001C69F5"/>
    <w:rsid w:val="001C6E40"/>
    <w:rsid w:val="001C721B"/>
    <w:rsid w:val="001C79D6"/>
    <w:rsid w:val="001C7ABB"/>
    <w:rsid w:val="001C7B5C"/>
    <w:rsid w:val="001D02A3"/>
    <w:rsid w:val="001D0E73"/>
    <w:rsid w:val="001D10C3"/>
    <w:rsid w:val="001D1201"/>
    <w:rsid w:val="001D120B"/>
    <w:rsid w:val="001D1485"/>
    <w:rsid w:val="001D1B15"/>
    <w:rsid w:val="001D2265"/>
    <w:rsid w:val="001D257B"/>
    <w:rsid w:val="001D3461"/>
    <w:rsid w:val="001D493C"/>
    <w:rsid w:val="001D4F1F"/>
    <w:rsid w:val="001D539D"/>
    <w:rsid w:val="001D5877"/>
    <w:rsid w:val="001D602D"/>
    <w:rsid w:val="001D6BB2"/>
    <w:rsid w:val="001D7646"/>
    <w:rsid w:val="001D7B94"/>
    <w:rsid w:val="001D7DA1"/>
    <w:rsid w:val="001E0034"/>
    <w:rsid w:val="001E02D6"/>
    <w:rsid w:val="001E0A3F"/>
    <w:rsid w:val="001E14E6"/>
    <w:rsid w:val="001E1A26"/>
    <w:rsid w:val="001E2609"/>
    <w:rsid w:val="001E29E6"/>
    <w:rsid w:val="001E2F25"/>
    <w:rsid w:val="001E32A5"/>
    <w:rsid w:val="001E3393"/>
    <w:rsid w:val="001E35B5"/>
    <w:rsid w:val="001E40B5"/>
    <w:rsid w:val="001E4B09"/>
    <w:rsid w:val="001E4E59"/>
    <w:rsid w:val="001E4E65"/>
    <w:rsid w:val="001E541D"/>
    <w:rsid w:val="001E58ED"/>
    <w:rsid w:val="001E5D79"/>
    <w:rsid w:val="001E696B"/>
    <w:rsid w:val="001E6FF4"/>
    <w:rsid w:val="001E784F"/>
    <w:rsid w:val="001E78C8"/>
    <w:rsid w:val="001F03FE"/>
    <w:rsid w:val="001F055A"/>
    <w:rsid w:val="001F0689"/>
    <w:rsid w:val="001F074D"/>
    <w:rsid w:val="001F0A52"/>
    <w:rsid w:val="001F0BFD"/>
    <w:rsid w:val="001F0D0A"/>
    <w:rsid w:val="001F0EE8"/>
    <w:rsid w:val="001F1107"/>
    <w:rsid w:val="001F112D"/>
    <w:rsid w:val="001F12BF"/>
    <w:rsid w:val="001F15E2"/>
    <w:rsid w:val="001F1ECC"/>
    <w:rsid w:val="001F2658"/>
    <w:rsid w:val="001F3972"/>
    <w:rsid w:val="001F3A9B"/>
    <w:rsid w:val="001F4135"/>
    <w:rsid w:val="001F4365"/>
    <w:rsid w:val="001F4664"/>
    <w:rsid w:val="001F490D"/>
    <w:rsid w:val="001F4966"/>
    <w:rsid w:val="001F4A5A"/>
    <w:rsid w:val="001F503B"/>
    <w:rsid w:val="001F5E72"/>
    <w:rsid w:val="001F5FF2"/>
    <w:rsid w:val="001F6021"/>
    <w:rsid w:val="001F67A4"/>
    <w:rsid w:val="001F6B47"/>
    <w:rsid w:val="001F6F97"/>
    <w:rsid w:val="001F7472"/>
    <w:rsid w:val="001F759C"/>
    <w:rsid w:val="001F78BA"/>
    <w:rsid w:val="0020095E"/>
    <w:rsid w:val="00200FC3"/>
    <w:rsid w:val="002010C6"/>
    <w:rsid w:val="00201526"/>
    <w:rsid w:val="00201C16"/>
    <w:rsid w:val="002020AA"/>
    <w:rsid w:val="002020CE"/>
    <w:rsid w:val="0020216B"/>
    <w:rsid w:val="0020297B"/>
    <w:rsid w:val="00202D0F"/>
    <w:rsid w:val="00203273"/>
    <w:rsid w:val="0020357D"/>
    <w:rsid w:val="00203A32"/>
    <w:rsid w:val="00203AAD"/>
    <w:rsid w:val="00203DB4"/>
    <w:rsid w:val="00204121"/>
    <w:rsid w:val="002041EE"/>
    <w:rsid w:val="002047B2"/>
    <w:rsid w:val="00205C8F"/>
    <w:rsid w:val="00206B41"/>
    <w:rsid w:val="002070A4"/>
    <w:rsid w:val="0021030F"/>
    <w:rsid w:val="00210338"/>
    <w:rsid w:val="00210439"/>
    <w:rsid w:val="0021068F"/>
    <w:rsid w:val="00210E86"/>
    <w:rsid w:val="002112EB"/>
    <w:rsid w:val="00211CA4"/>
    <w:rsid w:val="00211F4D"/>
    <w:rsid w:val="00212192"/>
    <w:rsid w:val="0021242A"/>
    <w:rsid w:val="00212F7D"/>
    <w:rsid w:val="002136D5"/>
    <w:rsid w:val="00213910"/>
    <w:rsid w:val="002141BD"/>
    <w:rsid w:val="0021435F"/>
    <w:rsid w:val="00214695"/>
    <w:rsid w:val="00214891"/>
    <w:rsid w:val="00214ABE"/>
    <w:rsid w:val="00214C11"/>
    <w:rsid w:val="002152AF"/>
    <w:rsid w:val="00215788"/>
    <w:rsid w:val="00215861"/>
    <w:rsid w:val="00215A73"/>
    <w:rsid w:val="0021624B"/>
    <w:rsid w:val="00216883"/>
    <w:rsid w:val="002172F9"/>
    <w:rsid w:val="00217A8C"/>
    <w:rsid w:val="00217E4A"/>
    <w:rsid w:val="00217EE0"/>
    <w:rsid w:val="002203A9"/>
    <w:rsid w:val="00220AD3"/>
    <w:rsid w:val="00220CC1"/>
    <w:rsid w:val="00221360"/>
    <w:rsid w:val="00221573"/>
    <w:rsid w:val="0022162D"/>
    <w:rsid w:val="002221C3"/>
    <w:rsid w:val="002222D9"/>
    <w:rsid w:val="00222A78"/>
    <w:rsid w:val="00222E18"/>
    <w:rsid w:val="0022309C"/>
    <w:rsid w:val="00223B8F"/>
    <w:rsid w:val="002242ED"/>
    <w:rsid w:val="002243E6"/>
    <w:rsid w:val="00225524"/>
    <w:rsid w:val="00226C33"/>
    <w:rsid w:val="00226EF1"/>
    <w:rsid w:val="0023031C"/>
    <w:rsid w:val="002304AC"/>
    <w:rsid w:val="00230D2A"/>
    <w:rsid w:val="00231B9F"/>
    <w:rsid w:val="00231D1F"/>
    <w:rsid w:val="00232796"/>
    <w:rsid w:val="0023297E"/>
    <w:rsid w:val="002334B2"/>
    <w:rsid w:val="002336D5"/>
    <w:rsid w:val="002345B9"/>
    <w:rsid w:val="00234902"/>
    <w:rsid w:val="002350F3"/>
    <w:rsid w:val="0023536B"/>
    <w:rsid w:val="00235DCA"/>
    <w:rsid w:val="0023607E"/>
    <w:rsid w:val="0023662E"/>
    <w:rsid w:val="0023680C"/>
    <w:rsid w:val="00236AC1"/>
    <w:rsid w:val="00236FCA"/>
    <w:rsid w:val="0023740F"/>
    <w:rsid w:val="002378A5"/>
    <w:rsid w:val="00237F45"/>
    <w:rsid w:val="00240CCF"/>
    <w:rsid w:val="00240E42"/>
    <w:rsid w:val="0024105F"/>
    <w:rsid w:val="00242260"/>
    <w:rsid w:val="00242D5A"/>
    <w:rsid w:val="00242FC3"/>
    <w:rsid w:val="002435D0"/>
    <w:rsid w:val="002439D1"/>
    <w:rsid w:val="00243C52"/>
    <w:rsid w:val="00243F65"/>
    <w:rsid w:val="00243FD5"/>
    <w:rsid w:val="00244415"/>
    <w:rsid w:val="00244451"/>
    <w:rsid w:val="0024458A"/>
    <w:rsid w:val="0024503F"/>
    <w:rsid w:val="00245530"/>
    <w:rsid w:val="00245A88"/>
    <w:rsid w:val="00245BC4"/>
    <w:rsid w:val="00245FD3"/>
    <w:rsid w:val="00246880"/>
    <w:rsid w:val="00246B4E"/>
    <w:rsid w:val="00246D82"/>
    <w:rsid w:val="00246F2C"/>
    <w:rsid w:val="00247119"/>
    <w:rsid w:val="002477CC"/>
    <w:rsid w:val="00247805"/>
    <w:rsid w:val="00247B7A"/>
    <w:rsid w:val="00251D6D"/>
    <w:rsid w:val="00251EDF"/>
    <w:rsid w:val="00251F55"/>
    <w:rsid w:val="0025235A"/>
    <w:rsid w:val="002528D6"/>
    <w:rsid w:val="0025291B"/>
    <w:rsid w:val="00252FF7"/>
    <w:rsid w:val="00253790"/>
    <w:rsid w:val="002537DB"/>
    <w:rsid w:val="00253996"/>
    <w:rsid w:val="00253E6B"/>
    <w:rsid w:val="0025401E"/>
    <w:rsid w:val="00254108"/>
    <w:rsid w:val="002549AE"/>
    <w:rsid w:val="0025567C"/>
    <w:rsid w:val="00256473"/>
    <w:rsid w:val="0025662B"/>
    <w:rsid w:val="002567A6"/>
    <w:rsid w:val="00256B1C"/>
    <w:rsid w:val="00256B45"/>
    <w:rsid w:val="0025770E"/>
    <w:rsid w:val="0026003C"/>
    <w:rsid w:val="00260B2D"/>
    <w:rsid w:val="00260CB8"/>
    <w:rsid w:val="00260CF6"/>
    <w:rsid w:val="002612CD"/>
    <w:rsid w:val="0026137D"/>
    <w:rsid w:val="00261DB6"/>
    <w:rsid w:val="00262D0A"/>
    <w:rsid w:val="00262ED8"/>
    <w:rsid w:val="00263077"/>
    <w:rsid w:val="00263329"/>
    <w:rsid w:val="0026376D"/>
    <w:rsid w:val="002645BD"/>
    <w:rsid w:val="0026470D"/>
    <w:rsid w:val="00264822"/>
    <w:rsid w:val="00265122"/>
    <w:rsid w:val="002651C0"/>
    <w:rsid w:val="002652AD"/>
    <w:rsid w:val="00265338"/>
    <w:rsid w:val="00265C93"/>
    <w:rsid w:val="0026602F"/>
    <w:rsid w:val="00266579"/>
    <w:rsid w:val="00266CF6"/>
    <w:rsid w:val="00266D8A"/>
    <w:rsid w:val="00266E61"/>
    <w:rsid w:val="00267005"/>
    <w:rsid w:val="002671DA"/>
    <w:rsid w:val="00267C90"/>
    <w:rsid w:val="00267F25"/>
    <w:rsid w:val="0027085C"/>
    <w:rsid w:val="00270871"/>
    <w:rsid w:val="00270F58"/>
    <w:rsid w:val="002711CD"/>
    <w:rsid w:val="0027151E"/>
    <w:rsid w:val="0027162B"/>
    <w:rsid w:val="0027175F"/>
    <w:rsid w:val="00271982"/>
    <w:rsid w:val="00272E1B"/>
    <w:rsid w:val="00273297"/>
    <w:rsid w:val="00273EED"/>
    <w:rsid w:val="002742FC"/>
    <w:rsid w:val="002744BC"/>
    <w:rsid w:val="00274527"/>
    <w:rsid w:val="0027472E"/>
    <w:rsid w:val="00274C03"/>
    <w:rsid w:val="00274E20"/>
    <w:rsid w:val="0027557B"/>
    <w:rsid w:val="0027575E"/>
    <w:rsid w:val="00275D5D"/>
    <w:rsid w:val="00275FE6"/>
    <w:rsid w:val="00276924"/>
    <w:rsid w:val="00276952"/>
    <w:rsid w:val="00276C0B"/>
    <w:rsid w:val="002771A0"/>
    <w:rsid w:val="0027758B"/>
    <w:rsid w:val="0027793F"/>
    <w:rsid w:val="00280060"/>
    <w:rsid w:val="00280A49"/>
    <w:rsid w:val="00280BC7"/>
    <w:rsid w:val="0028103B"/>
    <w:rsid w:val="00281D37"/>
    <w:rsid w:val="00282777"/>
    <w:rsid w:val="00282FE1"/>
    <w:rsid w:val="0028344D"/>
    <w:rsid w:val="002836DB"/>
    <w:rsid w:val="002839AA"/>
    <w:rsid w:val="00283C49"/>
    <w:rsid w:val="00283D4D"/>
    <w:rsid w:val="002843E8"/>
    <w:rsid w:val="00284D39"/>
    <w:rsid w:val="0028515A"/>
    <w:rsid w:val="00285266"/>
    <w:rsid w:val="00285268"/>
    <w:rsid w:val="00285322"/>
    <w:rsid w:val="00285397"/>
    <w:rsid w:val="00285DC6"/>
    <w:rsid w:val="00285F45"/>
    <w:rsid w:val="00286051"/>
    <w:rsid w:val="00286392"/>
    <w:rsid w:val="00286C86"/>
    <w:rsid w:val="002874B7"/>
    <w:rsid w:val="0028756A"/>
    <w:rsid w:val="00287AF4"/>
    <w:rsid w:val="00287E4C"/>
    <w:rsid w:val="002901D9"/>
    <w:rsid w:val="002905A0"/>
    <w:rsid w:val="002905A1"/>
    <w:rsid w:val="00290981"/>
    <w:rsid w:val="002909B8"/>
    <w:rsid w:val="00290B1E"/>
    <w:rsid w:val="00290B6F"/>
    <w:rsid w:val="00290C02"/>
    <w:rsid w:val="002912C7"/>
    <w:rsid w:val="0029138A"/>
    <w:rsid w:val="0029199B"/>
    <w:rsid w:val="00291C12"/>
    <w:rsid w:val="0029255B"/>
    <w:rsid w:val="00292605"/>
    <w:rsid w:val="00292779"/>
    <w:rsid w:val="00292A2E"/>
    <w:rsid w:val="00292DEB"/>
    <w:rsid w:val="0029362A"/>
    <w:rsid w:val="002944A5"/>
    <w:rsid w:val="00294CCE"/>
    <w:rsid w:val="00294D16"/>
    <w:rsid w:val="002955C4"/>
    <w:rsid w:val="00295980"/>
    <w:rsid w:val="00295A1B"/>
    <w:rsid w:val="00295AAC"/>
    <w:rsid w:val="002961BE"/>
    <w:rsid w:val="0029628F"/>
    <w:rsid w:val="00296313"/>
    <w:rsid w:val="00296B5A"/>
    <w:rsid w:val="00296CE7"/>
    <w:rsid w:val="00297057"/>
    <w:rsid w:val="002972CB"/>
    <w:rsid w:val="0029734C"/>
    <w:rsid w:val="00297783"/>
    <w:rsid w:val="00297A65"/>
    <w:rsid w:val="002A02F2"/>
    <w:rsid w:val="002A041C"/>
    <w:rsid w:val="002A0EBA"/>
    <w:rsid w:val="002A1579"/>
    <w:rsid w:val="002A1AE0"/>
    <w:rsid w:val="002A1DEE"/>
    <w:rsid w:val="002A2B36"/>
    <w:rsid w:val="002A2C68"/>
    <w:rsid w:val="002A3370"/>
    <w:rsid w:val="002A37DF"/>
    <w:rsid w:val="002A3EE5"/>
    <w:rsid w:val="002A40C4"/>
    <w:rsid w:val="002A466E"/>
    <w:rsid w:val="002A47E8"/>
    <w:rsid w:val="002A4F62"/>
    <w:rsid w:val="002A5092"/>
    <w:rsid w:val="002A50DB"/>
    <w:rsid w:val="002A5662"/>
    <w:rsid w:val="002A5C49"/>
    <w:rsid w:val="002A5ECB"/>
    <w:rsid w:val="002A62D9"/>
    <w:rsid w:val="002A63A1"/>
    <w:rsid w:val="002A653F"/>
    <w:rsid w:val="002A6E54"/>
    <w:rsid w:val="002A7111"/>
    <w:rsid w:val="002A7177"/>
    <w:rsid w:val="002A74B2"/>
    <w:rsid w:val="002A7A77"/>
    <w:rsid w:val="002A7B2F"/>
    <w:rsid w:val="002A7B3C"/>
    <w:rsid w:val="002B0B65"/>
    <w:rsid w:val="002B0D11"/>
    <w:rsid w:val="002B0FF9"/>
    <w:rsid w:val="002B13CA"/>
    <w:rsid w:val="002B13E3"/>
    <w:rsid w:val="002B17B6"/>
    <w:rsid w:val="002B1D3E"/>
    <w:rsid w:val="002B1EF5"/>
    <w:rsid w:val="002B20B4"/>
    <w:rsid w:val="002B275B"/>
    <w:rsid w:val="002B28CD"/>
    <w:rsid w:val="002B2DC3"/>
    <w:rsid w:val="002B2E3F"/>
    <w:rsid w:val="002B35B1"/>
    <w:rsid w:val="002B36CC"/>
    <w:rsid w:val="002B37C5"/>
    <w:rsid w:val="002B3B78"/>
    <w:rsid w:val="002B3BCA"/>
    <w:rsid w:val="002B3E62"/>
    <w:rsid w:val="002B3E6F"/>
    <w:rsid w:val="002B43DA"/>
    <w:rsid w:val="002B4B25"/>
    <w:rsid w:val="002B4E3F"/>
    <w:rsid w:val="002B59FA"/>
    <w:rsid w:val="002B6516"/>
    <w:rsid w:val="002B6B5F"/>
    <w:rsid w:val="002B7A6A"/>
    <w:rsid w:val="002C0358"/>
    <w:rsid w:val="002C0538"/>
    <w:rsid w:val="002C06E3"/>
    <w:rsid w:val="002C0811"/>
    <w:rsid w:val="002C1E39"/>
    <w:rsid w:val="002C21C1"/>
    <w:rsid w:val="002C26DA"/>
    <w:rsid w:val="002C2E7B"/>
    <w:rsid w:val="002C316A"/>
    <w:rsid w:val="002C39C1"/>
    <w:rsid w:val="002C3EAD"/>
    <w:rsid w:val="002C4D92"/>
    <w:rsid w:val="002C53B9"/>
    <w:rsid w:val="002C5DC1"/>
    <w:rsid w:val="002C685B"/>
    <w:rsid w:val="002C6901"/>
    <w:rsid w:val="002C69BD"/>
    <w:rsid w:val="002C6A6C"/>
    <w:rsid w:val="002C6C59"/>
    <w:rsid w:val="002C7164"/>
    <w:rsid w:val="002C722C"/>
    <w:rsid w:val="002C722F"/>
    <w:rsid w:val="002C794C"/>
    <w:rsid w:val="002C7D42"/>
    <w:rsid w:val="002D13E4"/>
    <w:rsid w:val="002D141D"/>
    <w:rsid w:val="002D18DD"/>
    <w:rsid w:val="002D1D4C"/>
    <w:rsid w:val="002D3513"/>
    <w:rsid w:val="002D3A86"/>
    <w:rsid w:val="002D49F4"/>
    <w:rsid w:val="002D4E98"/>
    <w:rsid w:val="002D4EEB"/>
    <w:rsid w:val="002D5E4E"/>
    <w:rsid w:val="002D627E"/>
    <w:rsid w:val="002D7297"/>
    <w:rsid w:val="002D7703"/>
    <w:rsid w:val="002E000E"/>
    <w:rsid w:val="002E03A3"/>
    <w:rsid w:val="002E0B5F"/>
    <w:rsid w:val="002E0EE7"/>
    <w:rsid w:val="002E0FF8"/>
    <w:rsid w:val="002E114C"/>
    <w:rsid w:val="002E12D7"/>
    <w:rsid w:val="002E1476"/>
    <w:rsid w:val="002E16D6"/>
    <w:rsid w:val="002E1B91"/>
    <w:rsid w:val="002E1C1A"/>
    <w:rsid w:val="002E1F18"/>
    <w:rsid w:val="002E21F1"/>
    <w:rsid w:val="002E2692"/>
    <w:rsid w:val="002E2ABE"/>
    <w:rsid w:val="002E2E1F"/>
    <w:rsid w:val="002E301D"/>
    <w:rsid w:val="002E3C98"/>
    <w:rsid w:val="002E3EA2"/>
    <w:rsid w:val="002E3F48"/>
    <w:rsid w:val="002E4104"/>
    <w:rsid w:val="002E41B9"/>
    <w:rsid w:val="002E44CA"/>
    <w:rsid w:val="002E4CA1"/>
    <w:rsid w:val="002E4D31"/>
    <w:rsid w:val="002E52D1"/>
    <w:rsid w:val="002E52EB"/>
    <w:rsid w:val="002E5703"/>
    <w:rsid w:val="002E59EA"/>
    <w:rsid w:val="002E5BDB"/>
    <w:rsid w:val="002E62C6"/>
    <w:rsid w:val="002E6E82"/>
    <w:rsid w:val="002E6F2F"/>
    <w:rsid w:val="002E7DB3"/>
    <w:rsid w:val="002F0131"/>
    <w:rsid w:val="002F05BF"/>
    <w:rsid w:val="002F094D"/>
    <w:rsid w:val="002F0D98"/>
    <w:rsid w:val="002F14A7"/>
    <w:rsid w:val="002F1542"/>
    <w:rsid w:val="002F16E7"/>
    <w:rsid w:val="002F1D83"/>
    <w:rsid w:val="002F21C5"/>
    <w:rsid w:val="002F3092"/>
    <w:rsid w:val="002F41C4"/>
    <w:rsid w:val="002F43E1"/>
    <w:rsid w:val="002F4742"/>
    <w:rsid w:val="002F4C76"/>
    <w:rsid w:val="002F515B"/>
    <w:rsid w:val="002F542D"/>
    <w:rsid w:val="002F5A84"/>
    <w:rsid w:val="002F5BB4"/>
    <w:rsid w:val="002F6473"/>
    <w:rsid w:val="002F6AEC"/>
    <w:rsid w:val="002F70E5"/>
    <w:rsid w:val="002F7352"/>
    <w:rsid w:val="002F7379"/>
    <w:rsid w:val="002F7969"/>
    <w:rsid w:val="002F7A9B"/>
    <w:rsid w:val="002F7B29"/>
    <w:rsid w:val="002F7C21"/>
    <w:rsid w:val="002F7E37"/>
    <w:rsid w:val="003008EF"/>
    <w:rsid w:val="003009F3"/>
    <w:rsid w:val="00300E8F"/>
    <w:rsid w:val="00301349"/>
    <w:rsid w:val="0030143B"/>
    <w:rsid w:val="003015C3"/>
    <w:rsid w:val="00302211"/>
    <w:rsid w:val="00302BBB"/>
    <w:rsid w:val="00302F01"/>
    <w:rsid w:val="003033DE"/>
    <w:rsid w:val="00303C3E"/>
    <w:rsid w:val="00304325"/>
    <w:rsid w:val="003049A4"/>
    <w:rsid w:val="00304A37"/>
    <w:rsid w:val="00304DE3"/>
    <w:rsid w:val="00304F6A"/>
    <w:rsid w:val="00305C62"/>
    <w:rsid w:val="00305D62"/>
    <w:rsid w:val="00305F04"/>
    <w:rsid w:val="00306450"/>
    <w:rsid w:val="003064B0"/>
    <w:rsid w:val="00307063"/>
    <w:rsid w:val="003074C7"/>
    <w:rsid w:val="00307712"/>
    <w:rsid w:val="0030778D"/>
    <w:rsid w:val="00307ABE"/>
    <w:rsid w:val="0031033B"/>
    <w:rsid w:val="0031061B"/>
    <w:rsid w:val="00310D6D"/>
    <w:rsid w:val="003110EA"/>
    <w:rsid w:val="0031192E"/>
    <w:rsid w:val="00311B2A"/>
    <w:rsid w:val="00311B7E"/>
    <w:rsid w:val="003125C4"/>
    <w:rsid w:val="00312635"/>
    <w:rsid w:val="003128D1"/>
    <w:rsid w:val="00312BAC"/>
    <w:rsid w:val="00312F8F"/>
    <w:rsid w:val="003131AF"/>
    <w:rsid w:val="003132A0"/>
    <w:rsid w:val="00313420"/>
    <w:rsid w:val="003135DB"/>
    <w:rsid w:val="00313BD6"/>
    <w:rsid w:val="00313D56"/>
    <w:rsid w:val="00313DC5"/>
    <w:rsid w:val="00313F2C"/>
    <w:rsid w:val="003142FA"/>
    <w:rsid w:val="00314524"/>
    <w:rsid w:val="003147D7"/>
    <w:rsid w:val="003148B9"/>
    <w:rsid w:val="00314EF8"/>
    <w:rsid w:val="00314F6E"/>
    <w:rsid w:val="00315024"/>
    <w:rsid w:val="00315731"/>
    <w:rsid w:val="0031609B"/>
    <w:rsid w:val="00316B42"/>
    <w:rsid w:val="00316FE0"/>
    <w:rsid w:val="00317455"/>
    <w:rsid w:val="0031774A"/>
    <w:rsid w:val="00317FA5"/>
    <w:rsid w:val="003212F9"/>
    <w:rsid w:val="003214E7"/>
    <w:rsid w:val="00321631"/>
    <w:rsid w:val="00321BF3"/>
    <w:rsid w:val="0032204A"/>
    <w:rsid w:val="0032212A"/>
    <w:rsid w:val="003225EE"/>
    <w:rsid w:val="00322C5A"/>
    <w:rsid w:val="00322DD5"/>
    <w:rsid w:val="00323737"/>
    <w:rsid w:val="00323780"/>
    <w:rsid w:val="00323C93"/>
    <w:rsid w:val="003245A0"/>
    <w:rsid w:val="003246DB"/>
    <w:rsid w:val="00324AA1"/>
    <w:rsid w:val="00324FEE"/>
    <w:rsid w:val="00325083"/>
    <w:rsid w:val="003258C9"/>
    <w:rsid w:val="003258EE"/>
    <w:rsid w:val="003268C4"/>
    <w:rsid w:val="00326ACB"/>
    <w:rsid w:val="00326D5A"/>
    <w:rsid w:val="00326EC9"/>
    <w:rsid w:val="00327254"/>
    <w:rsid w:val="00327269"/>
    <w:rsid w:val="00327559"/>
    <w:rsid w:val="00327561"/>
    <w:rsid w:val="00327976"/>
    <w:rsid w:val="003307F7"/>
    <w:rsid w:val="00330A33"/>
    <w:rsid w:val="00330C59"/>
    <w:rsid w:val="00331796"/>
    <w:rsid w:val="00331AAC"/>
    <w:rsid w:val="00331B0A"/>
    <w:rsid w:val="00331C71"/>
    <w:rsid w:val="00331FB1"/>
    <w:rsid w:val="0033208E"/>
    <w:rsid w:val="003323CA"/>
    <w:rsid w:val="0033295F"/>
    <w:rsid w:val="00332E29"/>
    <w:rsid w:val="00332ED5"/>
    <w:rsid w:val="00332FBF"/>
    <w:rsid w:val="00333443"/>
    <w:rsid w:val="003337C1"/>
    <w:rsid w:val="003337EF"/>
    <w:rsid w:val="0033380B"/>
    <w:rsid w:val="00333A39"/>
    <w:rsid w:val="00333A3A"/>
    <w:rsid w:val="0033410C"/>
    <w:rsid w:val="003341FD"/>
    <w:rsid w:val="00334560"/>
    <w:rsid w:val="00334A99"/>
    <w:rsid w:val="00335BCD"/>
    <w:rsid w:val="00336CD6"/>
    <w:rsid w:val="00336D97"/>
    <w:rsid w:val="00336E48"/>
    <w:rsid w:val="00336F5A"/>
    <w:rsid w:val="003376BF"/>
    <w:rsid w:val="00340454"/>
    <w:rsid w:val="00340492"/>
    <w:rsid w:val="0034073A"/>
    <w:rsid w:val="00341064"/>
    <w:rsid w:val="00341C2D"/>
    <w:rsid w:val="003425F5"/>
    <w:rsid w:val="003425F7"/>
    <w:rsid w:val="003428DA"/>
    <w:rsid w:val="00342FE3"/>
    <w:rsid w:val="003435C3"/>
    <w:rsid w:val="00344214"/>
    <w:rsid w:val="003448C6"/>
    <w:rsid w:val="00344B6B"/>
    <w:rsid w:val="00344DAE"/>
    <w:rsid w:val="00344F12"/>
    <w:rsid w:val="003452D9"/>
    <w:rsid w:val="0034552D"/>
    <w:rsid w:val="003458B7"/>
    <w:rsid w:val="00345E9C"/>
    <w:rsid w:val="00346193"/>
    <w:rsid w:val="003468D8"/>
    <w:rsid w:val="003470DD"/>
    <w:rsid w:val="00347FCC"/>
    <w:rsid w:val="00347FD9"/>
    <w:rsid w:val="00350C30"/>
    <w:rsid w:val="00351AF5"/>
    <w:rsid w:val="00351CB5"/>
    <w:rsid w:val="00352454"/>
    <w:rsid w:val="00353171"/>
    <w:rsid w:val="00353643"/>
    <w:rsid w:val="00353AAA"/>
    <w:rsid w:val="0035425F"/>
    <w:rsid w:val="00355024"/>
    <w:rsid w:val="00355362"/>
    <w:rsid w:val="00355544"/>
    <w:rsid w:val="00355592"/>
    <w:rsid w:val="00355B66"/>
    <w:rsid w:val="00355CAA"/>
    <w:rsid w:val="003566FA"/>
    <w:rsid w:val="003567A0"/>
    <w:rsid w:val="00356B05"/>
    <w:rsid w:val="00357615"/>
    <w:rsid w:val="003578A3"/>
    <w:rsid w:val="00360769"/>
    <w:rsid w:val="003608B6"/>
    <w:rsid w:val="00360A1A"/>
    <w:rsid w:val="00362258"/>
    <w:rsid w:val="003627B9"/>
    <w:rsid w:val="00362A4C"/>
    <w:rsid w:val="00362DA9"/>
    <w:rsid w:val="00362E6C"/>
    <w:rsid w:val="00363BDE"/>
    <w:rsid w:val="003643CD"/>
    <w:rsid w:val="003644F7"/>
    <w:rsid w:val="00364576"/>
    <w:rsid w:val="003645DB"/>
    <w:rsid w:val="003646D6"/>
    <w:rsid w:val="00364945"/>
    <w:rsid w:val="00365491"/>
    <w:rsid w:val="00365BC8"/>
    <w:rsid w:val="0036642A"/>
    <w:rsid w:val="00366455"/>
    <w:rsid w:val="003664C5"/>
    <w:rsid w:val="0036669D"/>
    <w:rsid w:val="00367BB4"/>
    <w:rsid w:val="00367D19"/>
    <w:rsid w:val="00367DCA"/>
    <w:rsid w:val="003701BE"/>
    <w:rsid w:val="00370518"/>
    <w:rsid w:val="00370D6E"/>
    <w:rsid w:val="00370EDD"/>
    <w:rsid w:val="00371A47"/>
    <w:rsid w:val="00372099"/>
    <w:rsid w:val="00372131"/>
    <w:rsid w:val="00372B37"/>
    <w:rsid w:val="00372B6B"/>
    <w:rsid w:val="00372D59"/>
    <w:rsid w:val="0037346B"/>
    <w:rsid w:val="00373740"/>
    <w:rsid w:val="00373853"/>
    <w:rsid w:val="00373DBE"/>
    <w:rsid w:val="00375485"/>
    <w:rsid w:val="00375A8F"/>
    <w:rsid w:val="003760AB"/>
    <w:rsid w:val="0037624B"/>
    <w:rsid w:val="003764C4"/>
    <w:rsid w:val="00377250"/>
    <w:rsid w:val="00377ACA"/>
    <w:rsid w:val="00377C6F"/>
    <w:rsid w:val="00377D99"/>
    <w:rsid w:val="00380662"/>
    <w:rsid w:val="00380767"/>
    <w:rsid w:val="00380DD9"/>
    <w:rsid w:val="00380E88"/>
    <w:rsid w:val="00381104"/>
    <w:rsid w:val="00381111"/>
    <w:rsid w:val="0038121D"/>
    <w:rsid w:val="00381394"/>
    <w:rsid w:val="003814AB"/>
    <w:rsid w:val="00381503"/>
    <w:rsid w:val="0038183E"/>
    <w:rsid w:val="00381C68"/>
    <w:rsid w:val="00382863"/>
    <w:rsid w:val="00382927"/>
    <w:rsid w:val="003837F1"/>
    <w:rsid w:val="00383A7D"/>
    <w:rsid w:val="00383F78"/>
    <w:rsid w:val="00384030"/>
    <w:rsid w:val="00384041"/>
    <w:rsid w:val="00384FAF"/>
    <w:rsid w:val="003854BD"/>
    <w:rsid w:val="003857BA"/>
    <w:rsid w:val="0038592B"/>
    <w:rsid w:val="00386801"/>
    <w:rsid w:val="00386986"/>
    <w:rsid w:val="003869D6"/>
    <w:rsid w:val="00386A96"/>
    <w:rsid w:val="00386F27"/>
    <w:rsid w:val="00386F75"/>
    <w:rsid w:val="00390118"/>
    <w:rsid w:val="0039061D"/>
    <w:rsid w:val="00390CBD"/>
    <w:rsid w:val="003913A1"/>
    <w:rsid w:val="003915F3"/>
    <w:rsid w:val="0039177E"/>
    <w:rsid w:val="00391947"/>
    <w:rsid w:val="00392107"/>
    <w:rsid w:val="003925EB"/>
    <w:rsid w:val="003926F2"/>
    <w:rsid w:val="00392887"/>
    <w:rsid w:val="00392EB5"/>
    <w:rsid w:val="00395433"/>
    <w:rsid w:val="003959C9"/>
    <w:rsid w:val="00395C14"/>
    <w:rsid w:val="00396024"/>
    <w:rsid w:val="003960E5"/>
    <w:rsid w:val="00396169"/>
    <w:rsid w:val="003963C5"/>
    <w:rsid w:val="00396FB4"/>
    <w:rsid w:val="00397427"/>
    <w:rsid w:val="00397538"/>
    <w:rsid w:val="00397A5E"/>
    <w:rsid w:val="00397AE6"/>
    <w:rsid w:val="003A076A"/>
    <w:rsid w:val="003A1120"/>
    <w:rsid w:val="003A13CA"/>
    <w:rsid w:val="003A165C"/>
    <w:rsid w:val="003A1CED"/>
    <w:rsid w:val="003A1F9F"/>
    <w:rsid w:val="003A2404"/>
    <w:rsid w:val="003A2715"/>
    <w:rsid w:val="003A29A3"/>
    <w:rsid w:val="003A2EA8"/>
    <w:rsid w:val="003A2F07"/>
    <w:rsid w:val="003A2F8F"/>
    <w:rsid w:val="003A386A"/>
    <w:rsid w:val="003A3A27"/>
    <w:rsid w:val="003A3E02"/>
    <w:rsid w:val="003A44F0"/>
    <w:rsid w:val="003A480F"/>
    <w:rsid w:val="003A4BD3"/>
    <w:rsid w:val="003A4E6E"/>
    <w:rsid w:val="003A5C55"/>
    <w:rsid w:val="003A69D6"/>
    <w:rsid w:val="003A6E67"/>
    <w:rsid w:val="003A7181"/>
    <w:rsid w:val="003A7730"/>
    <w:rsid w:val="003A7B91"/>
    <w:rsid w:val="003A7C1F"/>
    <w:rsid w:val="003B036A"/>
    <w:rsid w:val="003B0DB4"/>
    <w:rsid w:val="003B0E77"/>
    <w:rsid w:val="003B1349"/>
    <w:rsid w:val="003B1442"/>
    <w:rsid w:val="003B14C7"/>
    <w:rsid w:val="003B1A08"/>
    <w:rsid w:val="003B1EC9"/>
    <w:rsid w:val="003B1EDB"/>
    <w:rsid w:val="003B245E"/>
    <w:rsid w:val="003B2AF3"/>
    <w:rsid w:val="003B2D33"/>
    <w:rsid w:val="003B3299"/>
    <w:rsid w:val="003B3999"/>
    <w:rsid w:val="003B4AE6"/>
    <w:rsid w:val="003B4FCD"/>
    <w:rsid w:val="003B5690"/>
    <w:rsid w:val="003B5774"/>
    <w:rsid w:val="003B594A"/>
    <w:rsid w:val="003B69BE"/>
    <w:rsid w:val="003B6CD8"/>
    <w:rsid w:val="003B6D92"/>
    <w:rsid w:val="003B6E55"/>
    <w:rsid w:val="003B735C"/>
    <w:rsid w:val="003B742D"/>
    <w:rsid w:val="003B7985"/>
    <w:rsid w:val="003B7F5B"/>
    <w:rsid w:val="003C056E"/>
    <w:rsid w:val="003C329B"/>
    <w:rsid w:val="003C3B2A"/>
    <w:rsid w:val="003C3D08"/>
    <w:rsid w:val="003C3EBE"/>
    <w:rsid w:val="003C4096"/>
    <w:rsid w:val="003C4206"/>
    <w:rsid w:val="003C424B"/>
    <w:rsid w:val="003C448B"/>
    <w:rsid w:val="003C4BD9"/>
    <w:rsid w:val="003C51AA"/>
    <w:rsid w:val="003C53B4"/>
    <w:rsid w:val="003C6815"/>
    <w:rsid w:val="003C6A92"/>
    <w:rsid w:val="003C7955"/>
    <w:rsid w:val="003C7BF0"/>
    <w:rsid w:val="003D1495"/>
    <w:rsid w:val="003D14ED"/>
    <w:rsid w:val="003D15AC"/>
    <w:rsid w:val="003D1C24"/>
    <w:rsid w:val="003D1DBC"/>
    <w:rsid w:val="003D20AC"/>
    <w:rsid w:val="003D2196"/>
    <w:rsid w:val="003D25F4"/>
    <w:rsid w:val="003D264A"/>
    <w:rsid w:val="003D26E8"/>
    <w:rsid w:val="003D2825"/>
    <w:rsid w:val="003D2AAC"/>
    <w:rsid w:val="003D2ABB"/>
    <w:rsid w:val="003D2C9E"/>
    <w:rsid w:val="003D2F11"/>
    <w:rsid w:val="003D3040"/>
    <w:rsid w:val="003D3356"/>
    <w:rsid w:val="003D3481"/>
    <w:rsid w:val="003D36A2"/>
    <w:rsid w:val="003D36D4"/>
    <w:rsid w:val="003D373A"/>
    <w:rsid w:val="003D38DC"/>
    <w:rsid w:val="003D3A79"/>
    <w:rsid w:val="003D3B5A"/>
    <w:rsid w:val="003D3D71"/>
    <w:rsid w:val="003D3E00"/>
    <w:rsid w:val="003D4791"/>
    <w:rsid w:val="003D4C94"/>
    <w:rsid w:val="003D4DA7"/>
    <w:rsid w:val="003D5144"/>
    <w:rsid w:val="003D582E"/>
    <w:rsid w:val="003D5A08"/>
    <w:rsid w:val="003D7D67"/>
    <w:rsid w:val="003D7FF5"/>
    <w:rsid w:val="003E0499"/>
    <w:rsid w:val="003E0838"/>
    <w:rsid w:val="003E0A34"/>
    <w:rsid w:val="003E1296"/>
    <w:rsid w:val="003E12BE"/>
    <w:rsid w:val="003E1443"/>
    <w:rsid w:val="003E1A09"/>
    <w:rsid w:val="003E212D"/>
    <w:rsid w:val="003E239F"/>
    <w:rsid w:val="003E27D6"/>
    <w:rsid w:val="003E2BCD"/>
    <w:rsid w:val="003E2FD3"/>
    <w:rsid w:val="003E318F"/>
    <w:rsid w:val="003E3DDA"/>
    <w:rsid w:val="003E3FF7"/>
    <w:rsid w:val="003E43F4"/>
    <w:rsid w:val="003E4625"/>
    <w:rsid w:val="003E47D0"/>
    <w:rsid w:val="003E4C26"/>
    <w:rsid w:val="003E51FD"/>
    <w:rsid w:val="003E5396"/>
    <w:rsid w:val="003E5496"/>
    <w:rsid w:val="003E6848"/>
    <w:rsid w:val="003E6951"/>
    <w:rsid w:val="003E6AAC"/>
    <w:rsid w:val="003E6D56"/>
    <w:rsid w:val="003E7181"/>
    <w:rsid w:val="003E72B9"/>
    <w:rsid w:val="003E760A"/>
    <w:rsid w:val="003E7B3D"/>
    <w:rsid w:val="003E7BC3"/>
    <w:rsid w:val="003E7CD5"/>
    <w:rsid w:val="003F04E9"/>
    <w:rsid w:val="003F05BC"/>
    <w:rsid w:val="003F08FF"/>
    <w:rsid w:val="003F0A57"/>
    <w:rsid w:val="003F10B8"/>
    <w:rsid w:val="003F1925"/>
    <w:rsid w:val="003F1BD1"/>
    <w:rsid w:val="003F20D7"/>
    <w:rsid w:val="003F22ED"/>
    <w:rsid w:val="003F278D"/>
    <w:rsid w:val="003F2A10"/>
    <w:rsid w:val="003F2BBF"/>
    <w:rsid w:val="003F3081"/>
    <w:rsid w:val="003F3106"/>
    <w:rsid w:val="003F317A"/>
    <w:rsid w:val="003F3AEC"/>
    <w:rsid w:val="003F3D3A"/>
    <w:rsid w:val="003F403E"/>
    <w:rsid w:val="003F43B0"/>
    <w:rsid w:val="003F462C"/>
    <w:rsid w:val="003F48F7"/>
    <w:rsid w:val="003F4EB2"/>
    <w:rsid w:val="003F5773"/>
    <w:rsid w:val="003F5DA4"/>
    <w:rsid w:val="003F6243"/>
    <w:rsid w:val="003F65BF"/>
    <w:rsid w:val="003F7895"/>
    <w:rsid w:val="0040096F"/>
    <w:rsid w:val="004009AA"/>
    <w:rsid w:val="00400D21"/>
    <w:rsid w:val="00400EE4"/>
    <w:rsid w:val="00401663"/>
    <w:rsid w:val="004018D1"/>
    <w:rsid w:val="00401F31"/>
    <w:rsid w:val="00402813"/>
    <w:rsid w:val="00402E1E"/>
    <w:rsid w:val="0040339B"/>
    <w:rsid w:val="004034ED"/>
    <w:rsid w:val="0040353B"/>
    <w:rsid w:val="00403926"/>
    <w:rsid w:val="004039E5"/>
    <w:rsid w:val="00404320"/>
    <w:rsid w:val="004043B5"/>
    <w:rsid w:val="00404646"/>
    <w:rsid w:val="00404867"/>
    <w:rsid w:val="0040489B"/>
    <w:rsid w:val="004048D9"/>
    <w:rsid w:val="00404A29"/>
    <w:rsid w:val="00404EFC"/>
    <w:rsid w:val="00405480"/>
    <w:rsid w:val="00405786"/>
    <w:rsid w:val="0040592C"/>
    <w:rsid w:val="00405EA8"/>
    <w:rsid w:val="00405ECA"/>
    <w:rsid w:val="00406419"/>
    <w:rsid w:val="00406AB3"/>
    <w:rsid w:val="00406B82"/>
    <w:rsid w:val="0040704E"/>
    <w:rsid w:val="00407126"/>
    <w:rsid w:val="0040725E"/>
    <w:rsid w:val="004079C8"/>
    <w:rsid w:val="00407A8B"/>
    <w:rsid w:val="00407D1E"/>
    <w:rsid w:val="0041005E"/>
    <w:rsid w:val="0041055B"/>
    <w:rsid w:val="00410BC9"/>
    <w:rsid w:val="00410C1E"/>
    <w:rsid w:val="00411088"/>
    <w:rsid w:val="0041125A"/>
    <w:rsid w:val="00411387"/>
    <w:rsid w:val="00411973"/>
    <w:rsid w:val="0041238B"/>
    <w:rsid w:val="00412477"/>
    <w:rsid w:val="00412886"/>
    <w:rsid w:val="00413039"/>
    <w:rsid w:val="004132BA"/>
    <w:rsid w:val="00413803"/>
    <w:rsid w:val="00413B11"/>
    <w:rsid w:val="00414029"/>
    <w:rsid w:val="00414A16"/>
    <w:rsid w:val="00414AB3"/>
    <w:rsid w:val="0041584E"/>
    <w:rsid w:val="0041653D"/>
    <w:rsid w:val="00416D64"/>
    <w:rsid w:val="004178FA"/>
    <w:rsid w:val="00417E01"/>
    <w:rsid w:val="00417EBC"/>
    <w:rsid w:val="00417F0D"/>
    <w:rsid w:val="00420554"/>
    <w:rsid w:val="00420C76"/>
    <w:rsid w:val="00420D03"/>
    <w:rsid w:val="00421283"/>
    <w:rsid w:val="0042196B"/>
    <w:rsid w:val="0042239C"/>
    <w:rsid w:val="00422BBA"/>
    <w:rsid w:val="00422F25"/>
    <w:rsid w:val="00423600"/>
    <w:rsid w:val="00423DCB"/>
    <w:rsid w:val="00423FA5"/>
    <w:rsid w:val="00424175"/>
    <w:rsid w:val="00424C37"/>
    <w:rsid w:val="00425019"/>
    <w:rsid w:val="004271A9"/>
    <w:rsid w:val="0042735D"/>
    <w:rsid w:val="004276D3"/>
    <w:rsid w:val="004279F7"/>
    <w:rsid w:val="00430285"/>
    <w:rsid w:val="00430EA9"/>
    <w:rsid w:val="00430F07"/>
    <w:rsid w:val="00432846"/>
    <w:rsid w:val="00432AFF"/>
    <w:rsid w:val="00432FCF"/>
    <w:rsid w:val="0043408C"/>
    <w:rsid w:val="004346C9"/>
    <w:rsid w:val="00434B73"/>
    <w:rsid w:val="00434F51"/>
    <w:rsid w:val="0043521D"/>
    <w:rsid w:val="00435488"/>
    <w:rsid w:val="0043632B"/>
    <w:rsid w:val="00436950"/>
    <w:rsid w:val="00436B42"/>
    <w:rsid w:val="00436D91"/>
    <w:rsid w:val="0043744D"/>
    <w:rsid w:val="00440347"/>
    <w:rsid w:val="00440738"/>
    <w:rsid w:val="0044075F"/>
    <w:rsid w:val="00440CAA"/>
    <w:rsid w:val="00441599"/>
    <w:rsid w:val="004418F6"/>
    <w:rsid w:val="00441ABD"/>
    <w:rsid w:val="00441AF8"/>
    <w:rsid w:val="00441E07"/>
    <w:rsid w:val="0044210E"/>
    <w:rsid w:val="0044250C"/>
    <w:rsid w:val="00442590"/>
    <w:rsid w:val="00442EA2"/>
    <w:rsid w:val="00443064"/>
    <w:rsid w:val="004430AF"/>
    <w:rsid w:val="00443106"/>
    <w:rsid w:val="004431C3"/>
    <w:rsid w:val="0044393B"/>
    <w:rsid w:val="00443A00"/>
    <w:rsid w:val="00443B87"/>
    <w:rsid w:val="00443BEB"/>
    <w:rsid w:val="004442CE"/>
    <w:rsid w:val="0044454E"/>
    <w:rsid w:val="0044514C"/>
    <w:rsid w:val="00445631"/>
    <w:rsid w:val="00445771"/>
    <w:rsid w:val="00445C6D"/>
    <w:rsid w:val="00445F5C"/>
    <w:rsid w:val="004462AC"/>
    <w:rsid w:val="00446320"/>
    <w:rsid w:val="00446457"/>
    <w:rsid w:val="00446545"/>
    <w:rsid w:val="004465E4"/>
    <w:rsid w:val="00446E9E"/>
    <w:rsid w:val="0044715B"/>
    <w:rsid w:val="00447884"/>
    <w:rsid w:val="0045044B"/>
    <w:rsid w:val="00450498"/>
    <w:rsid w:val="0045053E"/>
    <w:rsid w:val="00450817"/>
    <w:rsid w:val="00450A1C"/>
    <w:rsid w:val="004510C5"/>
    <w:rsid w:val="0045133B"/>
    <w:rsid w:val="00451BB5"/>
    <w:rsid w:val="00452F8F"/>
    <w:rsid w:val="0045349A"/>
    <w:rsid w:val="00453543"/>
    <w:rsid w:val="00454DA0"/>
    <w:rsid w:val="00454E6A"/>
    <w:rsid w:val="00454FE9"/>
    <w:rsid w:val="00455570"/>
    <w:rsid w:val="00455C0F"/>
    <w:rsid w:val="0045612F"/>
    <w:rsid w:val="004563CF"/>
    <w:rsid w:val="00456767"/>
    <w:rsid w:val="0045684B"/>
    <w:rsid w:val="00456931"/>
    <w:rsid w:val="004571C2"/>
    <w:rsid w:val="00457418"/>
    <w:rsid w:val="00457D0A"/>
    <w:rsid w:val="00457D85"/>
    <w:rsid w:val="00457E14"/>
    <w:rsid w:val="004600FD"/>
    <w:rsid w:val="0046014E"/>
    <w:rsid w:val="0046047E"/>
    <w:rsid w:val="0046100E"/>
    <w:rsid w:val="0046120E"/>
    <w:rsid w:val="00461252"/>
    <w:rsid w:val="00461363"/>
    <w:rsid w:val="004613DA"/>
    <w:rsid w:val="00461734"/>
    <w:rsid w:val="004619F3"/>
    <w:rsid w:val="00462354"/>
    <w:rsid w:val="00462F9C"/>
    <w:rsid w:val="00463289"/>
    <w:rsid w:val="00463665"/>
    <w:rsid w:val="00463C35"/>
    <w:rsid w:val="00464C6D"/>
    <w:rsid w:val="0046508F"/>
    <w:rsid w:val="00465289"/>
    <w:rsid w:val="00465941"/>
    <w:rsid w:val="00465988"/>
    <w:rsid w:val="00465AD1"/>
    <w:rsid w:val="0046688B"/>
    <w:rsid w:val="00466B59"/>
    <w:rsid w:val="00466F43"/>
    <w:rsid w:val="00466FE3"/>
    <w:rsid w:val="00467109"/>
    <w:rsid w:val="00467764"/>
    <w:rsid w:val="00467B54"/>
    <w:rsid w:val="00470C47"/>
    <w:rsid w:val="00470C86"/>
    <w:rsid w:val="00470D41"/>
    <w:rsid w:val="00470E81"/>
    <w:rsid w:val="00470F0B"/>
    <w:rsid w:val="00470FAB"/>
    <w:rsid w:val="00471172"/>
    <w:rsid w:val="0047125F"/>
    <w:rsid w:val="004712B4"/>
    <w:rsid w:val="004719ED"/>
    <w:rsid w:val="00471D4F"/>
    <w:rsid w:val="00472132"/>
    <w:rsid w:val="00472221"/>
    <w:rsid w:val="00472615"/>
    <w:rsid w:val="0047266C"/>
    <w:rsid w:val="00472B35"/>
    <w:rsid w:val="00472D34"/>
    <w:rsid w:val="00472DBC"/>
    <w:rsid w:val="00472FA4"/>
    <w:rsid w:val="004734EB"/>
    <w:rsid w:val="004738E0"/>
    <w:rsid w:val="00473A6D"/>
    <w:rsid w:val="00473CEF"/>
    <w:rsid w:val="00473ED8"/>
    <w:rsid w:val="0047411F"/>
    <w:rsid w:val="0047417E"/>
    <w:rsid w:val="004741F9"/>
    <w:rsid w:val="00474272"/>
    <w:rsid w:val="00474463"/>
    <w:rsid w:val="00474D51"/>
    <w:rsid w:val="00475BFC"/>
    <w:rsid w:val="00475EFD"/>
    <w:rsid w:val="0047694D"/>
    <w:rsid w:val="00476C23"/>
    <w:rsid w:val="00476F3A"/>
    <w:rsid w:val="004775FB"/>
    <w:rsid w:val="00477B60"/>
    <w:rsid w:val="004805E6"/>
    <w:rsid w:val="00480737"/>
    <w:rsid w:val="00481F67"/>
    <w:rsid w:val="00482127"/>
    <w:rsid w:val="00482DFF"/>
    <w:rsid w:val="0048409C"/>
    <w:rsid w:val="00484380"/>
    <w:rsid w:val="0048456D"/>
    <w:rsid w:val="0048463C"/>
    <w:rsid w:val="00485942"/>
    <w:rsid w:val="00485F7A"/>
    <w:rsid w:val="004864A6"/>
    <w:rsid w:val="004865C8"/>
    <w:rsid w:val="00486C9A"/>
    <w:rsid w:val="00486E05"/>
    <w:rsid w:val="00487125"/>
    <w:rsid w:val="004905BF"/>
    <w:rsid w:val="00490FA4"/>
    <w:rsid w:val="0049150E"/>
    <w:rsid w:val="0049164F"/>
    <w:rsid w:val="00491F37"/>
    <w:rsid w:val="00492E1B"/>
    <w:rsid w:val="004937D7"/>
    <w:rsid w:val="00493A9E"/>
    <w:rsid w:val="00493C91"/>
    <w:rsid w:val="0049408D"/>
    <w:rsid w:val="00494778"/>
    <w:rsid w:val="004949DE"/>
    <w:rsid w:val="00494BA2"/>
    <w:rsid w:val="00494EC4"/>
    <w:rsid w:val="00494F02"/>
    <w:rsid w:val="004950D4"/>
    <w:rsid w:val="00495274"/>
    <w:rsid w:val="004953BB"/>
    <w:rsid w:val="004953CE"/>
    <w:rsid w:val="00495839"/>
    <w:rsid w:val="004961BB"/>
    <w:rsid w:val="004964C5"/>
    <w:rsid w:val="00496FCB"/>
    <w:rsid w:val="004972C2"/>
    <w:rsid w:val="004977FB"/>
    <w:rsid w:val="00497E3B"/>
    <w:rsid w:val="00497EAA"/>
    <w:rsid w:val="004A0316"/>
    <w:rsid w:val="004A0907"/>
    <w:rsid w:val="004A0A2E"/>
    <w:rsid w:val="004A0E84"/>
    <w:rsid w:val="004A1350"/>
    <w:rsid w:val="004A13B8"/>
    <w:rsid w:val="004A154C"/>
    <w:rsid w:val="004A1584"/>
    <w:rsid w:val="004A160E"/>
    <w:rsid w:val="004A1DAC"/>
    <w:rsid w:val="004A1DE2"/>
    <w:rsid w:val="004A1EF9"/>
    <w:rsid w:val="004A2516"/>
    <w:rsid w:val="004A2AEB"/>
    <w:rsid w:val="004A2DBE"/>
    <w:rsid w:val="004A33A1"/>
    <w:rsid w:val="004A33E2"/>
    <w:rsid w:val="004A4564"/>
    <w:rsid w:val="004A468D"/>
    <w:rsid w:val="004A51AB"/>
    <w:rsid w:val="004A5EBD"/>
    <w:rsid w:val="004A6551"/>
    <w:rsid w:val="004A69AA"/>
    <w:rsid w:val="004A718E"/>
    <w:rsid w:val="004A7BDE"/>
    <w:rsid w:val="004B08B4"/>
    <w:rsid w:val="004B0BE6"/>
    <w:rsid w:val="004B0C72"/>
    <w:rsid w:val="004B0EC1"/>
    <w:rsid w:val="004B2258"/>
    <w:rsid w:val="004B22B9"/>
    <w:rsid w:val="004B25C6"/>
    <w:rsid w:val="004B37A7"/>
    <w:rsid w:val="004B38E7"/>
    <w:rsid w:val="004B3CD0"/>
    <w:rsid w:val="004B4462"/>
    <w:rsid w:val="004B4544"/>
    <w:rsid w:val="004B45CB"/>
    <w:rsid w:val="004B4D6E"/>
    <w:rsid w:val="004B4E34"/>
    <w:rsid w:val="004B58EE"/>
    <w:rsid w:val="004B59D6"/>
    <w:rsid w:val="004B6260"/>
    <w:rsid w:val="004B679D"/>
    <w:rsid w:val="004B6AD2"/>
    <w:rsid w:val="004B6DB2"/>
    <w:rsid w:val="004B780E"/>
    <w:rsid w:val="004B7D84"/>
    <w:rsid w:val="004C0572"/>
    <w:rsid w:val="004C07D9"/>
    <w:rsid w:val="004C0A1B"/>
    <w:rsid w:val="004C15CA"/>
    <w:rsid w:val="004C15FF"/>
    <w:rsid w:val="004C1925"/>
    <w:rsid w:val="004C1CBD"/>
    <w:rsid w:val="004C1D50"/>
    <w:rsid w:val="004C1F46"/>
    <w:rsid w:val="004C245F"/>
    <w:rsid w:val="004C25E3"/>
    <w:rsid w:val="004C2636"/>
    <w:rsid w:val="004C2A5A"/>
    <w:rsid w:val="004C2DBF"/>
    <w:rsid w:val="004C2F99"/>
    <w:rsid w:val="004C36B7"/>
    <w:rsid w:val="004C3A01"/>
    <w:rsid w:val="004C3A3F"/>
    <w:rsid w:val="004C4156"/>
    <w:rsid w:val="004C424F"/>
    <w:rsid w:val="004C4DE0"/>
    <w:rsid w:val="004C515F"/>
    <w:rsid w:val="004C5983"/>
    <w:rsid w:val="004C5A12"/>
    <w:rsid w:val="004C61AC"/>
    <w:rsid w:val="004C6200"/>
    <w:rsid w:val="004C6C11"/>
    <w:rsid w:val="004C6DAB"/>
    <w:rsid w:val="004C6DD1"/>
    <w:rsid w:val="004C70F4"/>
    <w:rsid w:val="004C7208"/>
    <w:rsid w:val="004C7334"/>
    <w:rsid w:val="004C7450"/>
    <w:rsid w:val="004C75B2"/>
    <w:rsid w:val="004C78E9"/>
    <w:rsid w:val="004C7AB7"/>
    <w:rsid w:val="004C7E80"/>
    <w:rsid w:val="004D031A"/>
    <w:rsid w:val="004D0622"/>
    <w:rsid w:val="004D0A85"/>
    <w:rsid w:val="004D0D64"/>
    <w:rsid w:val="004D111F"/>
    <w:rsid w:val="004D170D"/>
    <w:rsid w:val="004D1ABE"/>
    <w:rsid w:val="004D21C4"/>
    <w:rsid w:val="004D22D6"/>
    <w:rsid w:val="004D25E0"/>
    <w:rsid w:val="004D2728"/>
    <w:rsid w:val="004D3425"/>
    <w:rsid w:val="004D3899"/>
    <w:rsid w:val="004D39DF"/>
    <w:rsid w:val="004D3D69"/>
    <w:rsid w:val="004D4681"/>
    <w:rsid w:val="004D4764"/>
    <w:rsid w:val="004D4B9D"/>
    <w:rsid w:val="004D5440"/>
    <w:rsid w:val="004D55C6"/>
    <w:rsid w:val="004D5E66"/>
    <w:rsid w:val="004D64D0"/>
    <w:rsid w:val="004D6501"/>
    <w:rsid w:val="004D6543"/>
    <w:rsid w:val="004D6C7C"/>
    <w:rsid w:val="004D6EDD"/>
    <w:rsid w:val="004D72D0"/>
    <w:rsid w:val="004D74A1"/>
    <w:rsid w:val="004D7760"/>
    <w:rsid w:val="004D7F20"/>
    <w:rsid w:val="004E02DC"/>
    <w:rsid w:val="004E0A0D"/>
    <w:rsid w:val="004E1178"/>
    <w:rsid w:val="004E180D"/>
    <w:rsid w:val="004E22EF"/>
    <w:rsid w:val="004E25B4"/>
    <w:rsid w:val="004E2815"/>
    <w:rsid w:val="004E2C8A"/>
    <w:rsid w:val="004E3276"/>
    <w:rsid w:val="004E3DD4"/>
    <w:rsid w:val="004E4CF5"/>
    <w:rsid w:val="004E5069"/>
    <w:rsid w:val="004E541A"/>
    <w:rsid w:val="004E5580"/>
    <w:rsid w:val="004E56CA"/>
    <w:rsid w:val="004E58C6"/>
    <w:rsid w:val="004E5AE7"/>
    <w:rsid w:val="004E64DF"/>
    <w:rsid w:val="004E6E9E"/>
    <w:rsid w:val="004E7343"/>
    <w:rsid w:val="004E76FC"/>
    <w:rsid w:val="004F0007"/>
    <w:rsid w:val="004F09D1"/>
    <w:rsid w:val="004F0F98"/>
    <w:rsid w:val="004F11F6"/>
    <w:rsid w:val="004F1229"/>
    <w:rsid w:val="004F17E1"/>
    <w:rsid w:val="004F1825"/>
    <w:rsid w:val="004F1DF5"/>
    <w:rsid w:val="004F2AF0"/>
    <w:rsid w:val="004F2C1E"/>
    <w:rsid w:val="004F3284"/>
    <w:rsid w:val="004F3B76"/>
    <w:rsid w:val="004F3F5F"/>
    <w:rsid w:val="004F432E"/>
    <w:rsid w:val="004F4591"/>
    <w:rsid w:val="004F4BCF"/>
    <w:rsid w:val="004F55C3"/>
    <w:rsid w:val="004F5A0E"/>
    <w:rsid w:val="004F5B6A"/>
    <w:rsid w:val="004F5F9D"/>
    <w:rsid w:val="004F607C"/>
    <w:rsid w:val="004F6151"/>
    <w:rsid w:val="004F6612"/>
    <w:rsid w:val="004F6F63"/>
    <w:rsid w:val="004F6F78"/>
    <w:rsid w:val="004F715A"/>
    <w:rsid w:val="004F7DD2"/>
    <w:rsid w:val="0050000A"/>
    <w:rsid w:val="0050043B"/>
    <w:rsid w:val="005004BC"/>
    <w:rsid w:val="005005C6"/>
    <w:rsid w:val="00500965"/>
    <w:rsid w:val="00500C3C"/>
    <w:rsid w:val="00500F19"/>
    <w:rsid w:val="00501224"/>
    <w:rsid w:val="00501A22"/>
    <w:rsid w:val="00501A25"/>
    <w:rsid w:val="005023F4"/>
    <w:rsid w:val="005025A0"/>
    <w:rsid w:val="00502858"/>
    <w:rsid w:val="00502CB5"/>
    <w:rsid w:val="00502EDE"/>
    <w:rsid w:val="00503077"/>
    <w:rsid w:val="005033D0"/>
    <w:rsid w:val="00503696"/>
    <w:rsid w:val="005036A0"/>
    <w:rsid w:val="00503A0B"/>
    <w:rsid w:val="00503A9A"/>
    <w:rsid w:val="00503D6D"/>
    <w:rsid w:val="00503F8F"/>
    <w:rsid w:val="0050412E"/>
    <w:rsid w:val="005041DA"/>
    <w:rsid w:val="005047A0"/>
    <w:rsid w:val="005047C5"/>
    <w:rsid w:val="00504A98"/>
    <w:rsid w:val="00504E4B"/>
    <w:rsid w:val="00504E9C"/>
    <w:rsid w:val="00504F9D"/>
    <w:rsid w:val="00505172"/>
    <w:rsid w:val="00505457"/>
    <w:rsid w:val="00505472"/>
    <w:rsid w:val="0050571A"/>
    <w:rsid w:val="00505B62"/>
    <w:rsid w:val="00505EEB"/>
    <w:rsid w:val="00506016"/>
    <w:rsid w:val="005064E2"/>
    <w:rsid w:val="00506A18"/>
    <w:rsid w:val="00507283"/>
    <w:rsid w:val="00507C2A"/>
    <w:rsid w:val="00507C72"/>
    <w:rsid w:val="00510402"/>
    <w:rsid w:val="00510B77"/>
    <w:rsid w:val="00511E3F"/>
    <w:rsid w:val="00511FE3"/>
    <w:rsid w:val="00512352"/>
    <w:rsid w:val="005124DE"/>
    <w:rsid w:val="005127A9"/>
    <w:rsid w:val="00513107"/>
    <w:rsid w:val="00513764"/>
    <w:rsid w:val="00513ADF"/>
    <w:rsid w:val="00513F4F"/>
    <w:rsid w:val="0051438F"/>
    <w:rsid w:val="0051468D"/>
    <w:rsid w:val="005148BC"/>
    <w:rsid w:val="00514A58"/>
    <w:rsid w:val="00514C16"/>
    <w:rsid w:val="0051555E"/>
    <w:rsid w:val="005156E1"/>
    <w:rsid w:val="0051578D"/>
    <w:rsid w:val="0051592E"/>
    <w:rsid w:val="00515D39"/>
    <w:rsid w:val="00515D5E"/>
    <w:rsid w:val="005165E3"/>
    <w:rsid w:val="00517B1E"/>
    <w:rsid w:val="005201F1"/>
    <w:rsid w:val="00520634"/>
    <w:rsid w:val="00520DC9"/>
    <w:rsid w:val="00520E3D"/>
    <w:rsid w:val="00521D98"/>
    <w:rsid w:val="00521DCF"/>
    <w:rsid w:val="00521DD6"/>
    <w:rsid w:val="00521E54"/>
    <w:rsid w:val="00522116"/>
    <w:rsid w:val="00522314"/>
    <w:rsid w:val="00522580"/>
    <w:rsid w:val="005225DA"/>
    <w:rsid w:val="005230FD"/>
    <w:rsid w:val="005233A0"/>
    <w:rsid w:val="005238B9"/>
    <w:rsid w:val="005242D9"/>
    <w:rsid w:val="00524399"/>
    <w:rsid w:val="005244FE"/>
    <w:rsid w:val="00524C76"/>
    <w:rsid w:val="00524F07"/>
    <w:rsid w:val="0052504E"/>
    <w:rsid w:val="00526FCF"/>
    <w:rsid w:val="005272D9"/>
    <w:rsid w:val="005272EF"/>
    <w:rsid w:val="00527D2A"/>
    <w:rsid w:val="00530223"/>
    <w:rsid w:val="0053025B"/>
    <w:rsid w:val="00530441"/>
    <w:rsid w:val="00530637"/>
    <w:rsid w:val="005306A4"/>
    <w:rsid w:val="005309C5"/>
    <w:rsid w:val="00530D68"/>
    <w:rsid w:val="00531127"/>
    <w:rsid w:val="005314CE"/>
    <w:rsid w:val="005315A7"/>
    <w:rsid w:val="0053205D"/>
    <w:rsid w:val="005323C1"/>
    <w:rsid w:val="00532478"/>
    <w:rsid w:val="00532931"/>
    <w:rsid w:val="00532FC1"/>
    <w:rsid w:val="00533769"/>
    <w:rsid w:val="00533898"/>
    <w:rsid w:val="00533C24"/>
    <w:rsid w:val="00534255"/>
    <w:rsid w:val="005342B7"/>
    <w:rsid w:val="00534341"/>
    <w:rsid w:val="00534674"/>
    <w:rsid w:val="00534F86"/>
    <w:rsid w:val="005351BE"/>
    <w:rsid w:val="0053729D"/>
    <w:rsid w:val="00537DD3"/>
    <w:rsid w:val="00540070"/>
    <w:rsid w:val="00540221"/>
    <w:rsid w:val="00540827"/>
    <w:rsid w:val="00540BAB"/>
    <w:rsid w:val="00540F35"/>
    <w:rsid w:val="0054125F"/>
    <w:rsid w:val="00541627"/>
    <w:rsid w:val="00541CE2"/>
    <w:rsid w:val="00541D95"/>
    <w:rsid w:val="00541E2B"/>
    <w:rsid w:val="00542087"/>
    <w:rsid w:val="005420EF"/>
    <w:rsid w:val="005427E4"/>
    <w:rsid w:val="005429BF"/>
    <w:rsid w:val="00543365"/>
    <w:rsid w:val="005436A0"/>
    <w:rsid w:val="00543B0C"/>
    <w:rsid w:val="00543B2A"/>
    <w:rsid w:val="00544D98"/>
    <w:rsid w:val="005455E2"/>
    <w:rsid w:val="00545C2A"/>
    <w:rsid w:val="0054633D"/>
    <w:rsid w:val="00546CF9"/>
    <w:rsid w:val="0054700A"/>
    <w:rsid w:val="005470CA"/>
    <w:rsid w:val="005470D4"/>
    <w:rsid w:val="005472D5"/>
    <w:rsid w:val="0054744C"/>
    <w:rsid w:val="00547799"/>
    <w:rsid w:val="0054797E"/>
    <w:rsid w:val="00550F6F"/>
    <w:rsid w:val="005515BD"/>
    <w:rsid w:val="00551EB9"/>
    <w:rsid w:val="00552D82"/>
    <w:rsid w:val="00552F67"/>
    <w:rsid w:val="005530BC"/>
    <w:rsid w:val="0055348F"/>
    <w:rsid w:val="0055353F"/>
    <w:rsid w:val="00553833"/>
    <w:rsid w:val="00553EDF"/>
    <w:rsid w:val="00554439"/>
    <w:rsid w:val="00554779"/>
    <w:rsid w:val="00554868"/>
    <w:rsid w:val="00554D45"/>
    <w:rsid w:val="005551E8"/>
    <w:rsid w:val="00555DD0"/>
    <w:rsid w:val="00556345"/>
    <w:rsid w:val="0055653D"/>
    <w:rsid w:val="00556ACF"/>
    <w:rsid w:val="00556C98"/>
    <w:rsid w:val="0055741E"/>
    <w:rsid w:val="005578DF"/>
    <w:rsid w:val="00557B68"/>
    <w:rsid w:val="00557F91"/>
    <w:rsid w:val="00560365"/>
    <w:rsid w:val="00560B59"/>
    <w:rsid w:val="00560D2F"/>
    <w:rsid w:val="00560E25"/>
    <w:rsid w:val="00560F29"/>
    <w:rsid w:val="00560F82"/>
    <w:rsid w:val="00561092"/>
    <w:rsid w:val="0056131E"/>
    <w:rsid w:val="005615CB"/>
    <w:rsid w:val="00561E7D"/>
    <w:rsid w:val="00562476"/>
    <w:rsid w:val="00562483"/>
    <w:rsid w:val="00562EA3"/>
    <w:rsid w:val="005632DB"/>
    <w:rsid w:val="005634E0"/>
    <w:rsid w:val="005635E3"/>
    <w:rsid w:val="00563830"/>
    <w:rsid w:val="00563B35"/>
    <w:rsid w:val="0056434A"/>
    <w:rsid w:val="005644AF"/>
    <w:rsid w:val="00564600"/>
    <w:rsid w:val="005648D4"/>
    <w:rsid w:val="005649F1"/>
    <w:rsid w:val="00564E73"/>
    <w:rsid w:val="00565368"/>
    <w:rsid w:val="005655AB"/>
    <w:rsid w:val="00566E97"/>
    <w:rsid w:val="00567BA2"/>
    <w:rsid w:val="005702F4"/>
    <w:rsid w:val="005707B6"/>
    <w:rsid w:val="00571576"/>
    <w:rsid w:val="005717E2"/>
    <w:rsid w:val="005717E5"/>
    <w:rsid w:val="00571B7D"/>
    <w:rsid w:val="00571D37"/>
    <w:rsid w:val="005721C2"/>
    <w:rsid w:val="0057256D"/>
    <w:rsid w:val="00572AB1"/>
    <w:rsid w:val="0057335F"/>
    <w:rsid w:val="0057340D"/>
    <w:rsid w:val="00573453"/>
    <w:rsid w:val="00574828"/>
    <w:rsid w:val="005748AA"/>
    <w:rsid w:val="00575FC9"/>
    <w:rsid w:val="00576849"/>
    <w:rsid w:val="00576EBE"/>
    <w:rsid w:val="00576F53"/>
    <w:rsid w:val="0057722E"/>
    <w:rsid w:val="00577346"/>
    <w:rsid w:val="0057788E"/>
    <w:rsid w:val="005801E7"/>
    <w:rsid w:val="005810F7"/>
    <w:rsid w:val="005813B4"/>
    <w:rsid w:val="005813C8"/>
    <w:rsid w:val="00581E1C"/>
    <w:rsid w:val="00582328"/>
    <w:rsid w:val="00582559"/>
    <w:rsid w:val="005825F1"/>
    <w:rsid w:val="00583486"/>
    <w:rsid w:val="005835C1"/>
    <w:rsid w:val="005846A1"/>
    <w:rsid w:val="005848AC"/>
    <w:rsid w:val="00584B56"/>
    <w:rsid w:val="005850A6"/>
    <w:rsid w:val="005850C6"/>
    <w:rsid w:val="00585924"/>
    <w:rsid w:val="00585B44"/>
    <w:rsid w:val="00585E64"/>
    <w:rsid w:val="00586705"/>
    <w:rsid w:val="00586C2F"/>
    <w:rsid w:val="005871BD"/>
    <w:rsid w:val="0058794D"/>
    <w:rsid w:val="00587EAB"/>
    <w:rsid w:val="00587EDF"/>
    <w:rsid w:val="00587F1B"/>
    <w:rsid w:val="005901AF"/>
    <w:rsid w:val="00590265"/>
    <w:rsid w:val="005905A0"/>
    <w:rsid w:val="00590D94"/>
    <w:rsid w:val="00590F59"/>
    <w:rsid w:val="00591096"/>
    <w:rsid w:val="005915DA"/>
    <w:rsid w:val="005916A9"/>
    <w:rsid w:val="00591922"/>
    <w:rsid w:val="00591990"/>
    <w:rsid w:val="0059346A"/>
    <w:rsid w:val="00594055"/>
    <w:rsid w:val="00595540"/>
    <w:rsid w:val="00595B69"/>
    <w:rsid w:val="00596005"/>
    <w:rsid w:val="0059658C"/>
    <w:rsid w:val="0059696A"/>
    <w:rsid w:val="00596AD0"/>
    <w:rsid w:val="00596F33"/>
    <w:rsid w:val="00596F87"/>
    <w:rsid w:val="00596F8C"/>
    <w:rsid w:val="005971C9"/>
    <w:rsid w:val="005976A9"/>
    <w:rsid w:val="00597910"/>
    <w:rsid w:val="005A0040"/>
    <w:rsid w:val="005A0295"/>
    <w:rsid w:val="005A06FA"/>
    <w:rsid w:val="005A08B2"/>
    <w:rsid w:val="005A090A"/>
    <w:rsid w:val="005A09E5"/>
    <w:rsid w:val="005A09F3"/>
    <w:rsid w:val="005A0FCA"/>
    <w:rsid w:val="005A1143"/>
    <w:rsid w:val="005A1421"/>
    <w:rsid w:val="005A1497"/>
    <w:rsid w:val="005A158D"/>
    <w:rsid w:val="005A2557"/>
    <w:rsid w:val="005A29E8"/>
    <w:rsid w:val="005A2BE2"/>
    <w:rsid w:val="005A2D03"/>
    <w:rsid w:val="005A2E44"/>
    <w:rsid w:val="005A2EE3"/>
    <w:rsid w:val="005A4501"/>
    <w:rsid w:val="005A45A5"/>
    <w:rsid w:val="005A4B0C"/>
    <w:rsid w:val="005A55A5"/>
    <w:rsid w:val="005A7321"/>
    <w:rsid w:val="005A7341"/>
    <w:rsid w:val="005A76CB"/>
    <w:rsid w:val="005A7B0E"/>
    <w:rsid w:val="005A7BA3"/>
    <w:rsid w:val="005A7CAF"/>
    <w:rsid w:val="005B01E5"/>
    <w:rsid w:val="005B0846"/>
    <w:rsid w:val="005B0AC3"/>
    <w:rsid w:val="005B1107"/>
    <w:rsid w:val="005B129F"/>
    <w:rsid w:val="005B19D3"/>
    <w:rsid w:val="005B2019"/>
    <w:rsid w:val="005B2204"/>
    <w:rsid w:val="005B24B1"/>
    <w:rsid w:val="005B2E5B"/>
    <w:rsid w:val="005B3023"/>
    <w:rsid w:val="005B3F75"/>
    <w:rsid w:val="005B4B56"/>
    <w:rsid w:val="005B6225"/>
    <w:rsid w:val="005B738A"/>
    <w:rsid w:val="005C00F0"/>
    <w:rsid w:val="005C0189"/>
    <w:rsid w:val="005C0A1B"/>
    <w:rsid w:val="005C0D69"/>
    <w:rsid w:val="005C1225"/>
    <w:rsid w:val="005C13F7"/>
    <w:rsid w:val="005C1A94"/>
    <w:rsid w:val="005C1BA5"/>
    <w:rsid w:val="005C1ECF"/>
    <w:rsid w:val="005C309F"/>
    <w:rsid w:val="005C331D"/>
    <w:rsid w:val="005C3B04"/>
    <w:rsid w:val="005C3B8B"/>
    <w:rsid w:val="005C3F31"/>
    <w:rsid w:val="005C471C"/>
    <w:rsid w:val="005C4C28"/>
    <w:rsid w:val="005C4CE1"/>
    <w:rsid w:val="005C52D9"/>
    <w:rsid w:val="005C5CD7"/>
    <w:rsid w:val="005C6D27"/>
    <w:rsid w:val="005C7166"/>
    <w:rsid w:val="005C728F"/>
    <w:rsid w:val="005D00B4"/>
    <w:rsid w:val="005D07CA"/>
    <w:rsid w:val="005D09A0"/>
    <w:rsid w:val="005D0C44"/>
    <w:rsid w:val="005D1713"/>
    <w:rsid w:val="005D1730"/>
    <w:rsid w:val="005D2496"/>
    <w:rsid w:val="005D277B"/>
    <w:rsid w:val="005D28DF"/>
    <w:rsid w:val="005D29AA"/>
    <w:rsid w:val="005D31E7"/>
    <w:rsid w:val="005D32CE"/>
    <w:rsid w:val="005D340B"/>
    <w:rsid w:val="005D353D"/>
    <w:rsid w:val="005D368A"/>
    <w:rsid w:val="005D3B6C"/>
    <w:rsid w:val="005D3D76"/>
    <w:rsid w:val="005D4205"/>
    <w:rsid w:val="005D52B0"/>
    <w:rsid w:val="005D590B"/>
    <w:rsid w:val="005D5AC3"/>
    <w:rsid w:val="005D5D3A"/>
    <w:rsid w:val="005D5ED4"/>
    <w:rsid w:val="005D6079"/>
    <w:rsid w:val="005D6306"/>
    <w:rsid w:val="005D6466"/>
    <w:rsid w:val="005D6489"/>
    <w:rsid w:val="005D6B2F"/>
    <w:rsid w:val="005D7E16"/>
    <w:rsid w:val="005E0157"/>
    <w:rsid w:val="005E0333"/>
    <w:rsid w:val="005E035C"/>
    <w:rsid w:val="005E076D"/>
    <w:rsid w:val="005E0CB9"/>
    <w:rsid w:val="005E0DB0"/>
    <w:rsid w:val="005E0FC7"/>
    <w:rsid w:val="005E1300"/>
    <w:rsid w:val="005E1371"/>
    <w:rsid w:val="005E1A23"/>
    <w:rsid w:val="005E2120"/>
    <w:rsid w:val="005E2321"/>
    <w:rsid w:val="005E274B"/>
    <w:rsid w:val="005E27A0"/>
    <w:rsid w:val="005E2FAF"/>
    <w:rsid w:val="005E386E"/>
    <w:rsid w:val="005E3A1A"/>
    <w:rsid w:val="005E3B99"/>
    <w:rsid w:val="005E3C5A"/>
    <w:rsid w:val="005E4B58"/>
    <w:rsid w:val="005E50DE"/>
    <w:rsid w:val="005E50E0"/>
    <w:rsid w:val="005E55EF"/>
    <w:rsid w:val="005E5B68"/>
    <w:rsid w:val="005E6D15"/>
    <w:rsid w:val="005E6D76"/>
    <w:rsid w:val="005E6D7E"/>
    <w:rsid w:val="005E7452"/>
    <w:rsid w:val="005E748D"/>
    <w:rsid w:val="005E7863"/>
    <w:rsid w:val="005F0A0F"/>
    <w:rsid w:val="005F1713"/>
    <w:rsid w:val="005F19D4"/>
    <w:rsid w:val="005F20DD"/>
    <w:rsid w:val="005F265C"/>
    <w:rsid w:val="005F2908"/>
    <w:rsid w:val="005F2A23"/>
    <w:rsid w:val="005F32D7"/>
    <w:rsid w:val="005F33E3"/>
    <w:rsid w:val="005F346F"/>
    <w:rsid w:val="005F3961"/>
    <w:rsid w:val="005F3970"/>
    <w:rsid w:val="005F4317"/>
    <w:rsid w:val="005F529B"/>
    <w:rsid w:val="005F566F"/>
    <w:rsid w:val="005F5C0F"/>
    <w:rsid w:val="005F5C1D"/>
    <w:rsid w:val="005F5D63"/>
    <w:rsid w:val="005F6411"/>
    <w:rsid w:val="005F71EA"/>
    <w:rsid w:val="005F778B"/>
    <w:rsid w:val="005F7D27"/>
    <w:rsid w:val="005F7FF0"/>
    <w:rsid w:val="00600691"/>
    <w:rsid w:val="00600EAA"/>
    <w:rsid w:val="00601198"/>
    <w:rsid w:val="006013FC"/>
    <w:rsid w:val="00601572"/>
    <w:rsid w:val="00601869"/>
    <w:rsid w:val="00601974"/>
    <w:rsid w:val="00601B8C"/>
    <w:rsid w:val="00601E69"/>
    <w:rsid w:val="006020EB"/>
    <w:rsid w:val="0060250F"/>
    <w:rsid w:val="0060259E"/>
    <w:rsid w:val="006027ED"/>
    <w:rsid w:val="00603601"/>
    <w:rsid w:val="006038C0"/>
    <w:rsid w:val="00603C5E"/>
    <w:rsid w:val="0060470D"/>
    <w:rsid w:val="00604BFD"/>
    <w:rsid w:val="00604C7E"/>
    <w:rsid w:val="00604EF0"/>
    <w:rsid w:val="00605588"/>
    <w:rsid w:val="00605D30"/>
    <w:rsid w:val="006061CF"/>
    <w:rsid w:val="006061ED"/>
    <w:rsid w:val="006062E5"/>
    <w:rsid w:val="00606A94"/>
    <w:rsid w:val="00606B79"/>
    <w:rsid w:val="00607C34"/>
    <w:rsid w:val="00610186"/>
    <w:rsid w:val="00610301"/>
    <w:rsid w:val="0061055E"/>
    <w:rsid w:val="00610B81"/>
    <w:rsid w:val="00610BF5"/>
    <w:rsid w:val="0061114C"/>
    <w:rsid w:val="0061146E"/>
    <w:rsid w:val="006115C3"/>
    <w:rsid w:val="0061165A"/>
    <w:rsid w:val="006116CD"/>
    <w:rsid w:val="0061182C"/>
    <w:rsid w:val="00611A0B"/>
    <w:rsid w:val="006129B8"/>
    <w:rsid w:val="00612C7C"/>
    <w:rsid w:val="006133C8"/>
    <w:rsid w:val="006134D8"/>
    <w:rsid w:val="006136EF"/>
    <w:rsid w:val="006140D9"/>
    <w:rsid w:val="0061415C"/>
    <w:rsid w:val="00614893"/>
    <w:rsid w:val="0061492B"/>
    <w:rsid w:val="00614CC2"/>
    <w:rsid w:val="00614D76"/>
    <w:rsid w:val="0061507E"/>
    <w:rsid w:val="00615319"/>
    <w:rsid w:val="00615497"/>
    <w:rsid w:val="00615C2B"/>
    <w:rsid w:val="00616081"/>
    <w:rsid w:val="0061623E"/>
    <w:rsid w:val="0061654E"/>
    <w:rsid w:val="006168F4"/>
    <w:rsid w:val="00616F2A"/>
    <w:rsid w:val="006177DF"/>
    <w:rsid w:val="0061782B"/>
    <w:rsid w:val="00617C3F"/>
    <w:rsid w:val="00617CCB"/>
    <w:rsid w:val="00617F93"/>
    <w:rsid w:val="00620705"/>
    <w:rsid w:val="00620A48"/>
    <w:rsid w:val="00620F85"/>
    <w:rsid w:val="006218FB"/>
    <w:rsid w:val="00621F6F"/>
    <w:rsid w:val="00622B27"/>
    <w:rsid w:val="00622C02"/>
    <w:rsid w:val="00623285"/>
    <w:rsid w:val="006234BA"/>
    <w:rsid w:val="00623566"/>
    <w:rsid w:val="00623E25"/>
    <w:rsid w:val="00623F3D"/>
    <w:rsid w:val="00624524"/>
    <w:rsid w:val="00624588"/>
    <w:rsid w:val="006245FA"/>
    <w:rsid w:val="00624682"/>
    <w:rsid w:val="00624873"/>
    <w:rsid w:val="00625507"/>
    <w:rsid w:val="00625610"/>
    <w:rsid w:val="00625ADC"/>
    <w:rsid w:val="00625BC4"/>
    <w:rsid w:val="006261B3"/>
    <w:rsid w:val="0062654A"/>
    <w:rsid w:val="00626B8F"/>
    <w:rsid w:val="00626E8B"/>
    <w:rsid w:val="00627552"/>
    <w:rsid w:val="006275A2"/>
    <w:rsid w:val="00627637"/>
    <w:rsid w:val="00627857"/>
    <w:rsid w:val="00627D34"/>
    <w:rsid w:val="00627F68"/>
    <w:rsid w:val="006307C2"/>
    <w:rsid w:val="00630803"/>
    <w:rsid w:val="0063098C"/>
    <w:rsid w:val="00630DC7"/>
    <w:rsid w:val="00631400"/>
    <w:rsid w:val="00631711"/>
    <w:rsid w:val="00631793"/>
    <w:rsid w:val="006318B8"/>
    <w:rsid w:val="00631947"/>
    <w:rsid w:val="006326DC"/>
    <w:rsid w:val="00633494"/>
    <w:rsid w:val="006336E9"/>
    <w:rsid w:val="00633D99"/>
    <w:rsid w:val="0063444D"/>
    <w:rsid w:val="00634C56"/>
    <w:rsid w:val="00634C8C"/>
    <w:rsid w:val="00634E40"/>
    <w:rsid w:val="00634ED2"/>
    <w:rsid w:val="00634EDB"/>
    <w:rsid w:val="0063589A"/>
    <w:rsid w:val="00636EB1"/>
    <w:rsid w:val="006373DE"/>
    <w:rsid w:val="00637BD9"/>
    <w:rsid w:val="00637F3A"/>
    <w:rsid w:val="00637F55"/>
    <w:rsid w:val="00640234"/>
    <w:rsid w:val="00640737"/>
    <w:rsid w:val="0064122B"/>
    <w:rsid w:val="006412D2"/>
    <w:rsid w:val="00641337"/>
    <w:rsid w:val="0064144D"/>
    <w:rsid w:val="006415A5"/>
    <w:rsid w:val="00641A87"/>
    <w:rsid w:val="00641E32"/>
    <w:rsid w:val="00641E9C"/>
    <w:rsid w:val="006422E3"/>
    <w:rsid w:val="00642581"/>
    <w:rsid w:val="006429FD"/>
    <w:rsid w:val="00642F4E"/>
    <w:rsid w:val="00643129"/>
    <w:rsid w:val="006432EB"/>
    <w:rsid w:val="006435EE"/>
    <w:rsid w:val="00643D12"/>
    <w:rsid w:val="006452B1"/>
    <w:rsid w:val="00645A43"/>
    <w:rsid w:val="006467A1"/>
    <w:rsid w:val="00646892"/>
    <w:rsid w:val="00647766"/>
    <w:rsid w:val="00647FE4"/>
    <w:rsid w:val="00650DA3"/>
    <w:rsid w:val="0065133C"/>
    <w:rsid w:val="00651C2D"/>
    <w:rsid w:val="00652632"/>
    <w:rsid w:val="0065267D"/>
    <w:rsid w:val="00652902"/>
    <w:rsid w:val="00652C1D"/>
    <w:rsid w:val="00653440"/>
    <w:rsid w:val="00653B77"/>
    <w:rsid w:val="00654258"/>
    <w:rsid w:val="00654302"/>
    <w:rsid w:val="00654CD8"/>
    <w:rsid w:val="00655576"/>
    <w:rsid w:val="00655C66"/>
    <w:rsid w:val="00655D52"/>
    <w:rsid w:val="00655E85"/>
    <w:rsid w:val="0065632F"/>
    <w:rsid w:val="00656877"/>
    <w:rsid w:val="00656AE6"/>
    <w:rsid w:val="00656C9D"/>
    <w:rsid w:val="006571E7"/>
    <w:rsid w:val="006572CD"/>
    <w:rsid w:val="00657733"/>
    <w:rsid w:val="00657B8F"/>
    <w:rsid w:val="00657F12"/>
    <w:rsid w:val="00660062"/>
    <w:rsid w:val="00660A49"/>
    <w:rsid w:val="00660ED7"/>
    <w:rsid w:val="0066100A"/>
    <w:rsid w:val="0066147A"/>
    <w:rsid w:val="0066154D"/>
    <w:rsid w:val="00661BDA"/>
    <w:rsid w:val="006620C2"/>
    <w:rsid w:val="00662B2B"/>
    <w:rsid w:val="00662E6D"/>
    <w:rsid w:val="006634D4"/>
    <w:rsid w:val="00663561"/>
    <w:rsid w:val="00663EF8"/>
    <w:rsid w:val="0066486C"/>
    <w:rsid w:val="006652ED"/>
    <w:rsid w:val="00665775"/>
    <w:rsid w:val="00665A4E"/>
    <w:rsid w:val="00665A68"/>
    <w:rsid w:val="00665BA9"/>
    <w:rsid w:val="00665D8E"/>
    <w:rsid w:val="006660BF"/>
    <w:rsid w:val="00666200"/>
    <w:rsid w:val="006667AD"/>
    <w:rsid w:val="00670321"/>
    <w:rsid w:val="0067056D"/>
    <w:rsid w:val="0067084E"/>
    <w:rsid w:val="00670A3B"/>
    <w:rsid w:val="00670E78"/>
    <w:rsid w:val="006710EA"/>
    <w:rsid w:val="00671DC8"/>
    <w:rsid w:val="00671F0D"/>
    <w:rsid w:val="00672DD4"/>
    <w:rsid w:val="00672F0A"/>
    <w:rsid w:val="006732A3"/>
    <w:rsid w:val="00673CCB"/>
    <w:rsid w:val="006743E9"/>
    <w:rsid w:val="0067478D"/>
    <w:rsid w:val="0067489F"/>
    <w:rsid w:val="00675ED0"/>
    <w:rsid w:val="00675FEC"/>
    <w:rsid w:val="006767A5"/>
    <w:rsid w:val="00676BAE"/>
    <w:rsid w:val="00676D4E"/>
    <w:rsid w:val="00676E3B"/>
    <w:rsid w:val="00677096"/>
    <w:rsid w:val="0067742E"/>
    <w:rsid w:val="00677AAA"/>
    <w:rsid w:val="00677D55"/>
    <w:rsid w:val="00677DAC"/>
    <w:rsid w:val="006802B1"/>
    <w:rsid w:val="00680440"/>
    <w:rsid w:val="006806AA"/>
    <w:rsid w:val="00680800"/>
    <w:rsid w:val="0068099C"/>
    <w:rsid w:val="00680F22"/>
    <w:rsid w:val="006812D2"/>
    <w:rsid w:val="0068141F"/>
    <w:rsid w:val="00681BD6"/>
    <w:rsid w:val="00681CF8"/>
    <w:rsid w:val="00682460"/>
    <w:rsid w:val="006827A4"/>
    <w:rsid w:val="00682CAA"/>
    <w:rsid w:val="00683536"/>
    <w:rsid w:val="006838EC"/>
    <w:rsid w:val="00684386"/>
    <w:rsid w:val="006844B7"/>
    <w:rsid w:val="0068471D"/>
    <w:rsid w:val="006847D1"/>
    <w:rsid w:val="00684C04"/>
    <w:rsid w:val="00685144"/>
    <w:rsid w:val="006851B0"/>
    <w:rsid w:val="00685245"/>
    <w:rsid w:val="006860ED"/>
    <w:rsid w:val="0068664E"/>
    <w:rsid w:val="00686968"/>
    <w:rsid w:val="0068735A"/>
    <w:rsid w:val="00687C8A"/>
    <w:rsid w:val="0069027F"/>
    <w:rsid w:val="0069073B"/>
    <w:rsid w:val="00690941"/>
    <w:rsid w:val="00690A89"/>
    <w:rsid w:val="00690C80"/>
    <w:rsid w:val="00691358"/>
    <w:rsid w:val="0069173F"/>
    <w:rsid w:val="00692136"/>
    <w:rsid w:val="006921EB"/>
    <w:rsid w:val="0069230B"/>
    <w:rsid w:val="006924F6"/>
    <w:rsid w:val="006927EA"/>
    <w:rsid w:val="00692BE1"/>
    <w:rsid w:val="00692D40"/>
    <w:rsid w:val="00692E6D"/>
    <w:rsid w:val="00693E44"/>
    <w:rsid w:val="006940F2"/>
    <w:rsid w:val="0069461D"/>
    <w:rsid w:val="00694B30"/>
    <w:rsid w:val="00694DA3"/>
    <w:rsid w:val="00694F35"/>
    <w:rsid w:val="006957DC"/>
    <w:rsid w:val="006960D7"/>
    <w:rsid w:val="006965D3"/>
    <w:rsid w:val="00696D88"/>
    <w:rsid w:val="00697500"/>
    <w:rsid w:val="00697B2B"/>
    <w:rsid w:val="00697C60"/>
    <w:rsid w:val="006A0392"/>
    <w:rsid w:val="006A063C"/>
    <w:rsid w:val="006A0A24"/>
    <w:rsid w:val="006A0E5B"/>
    <w:rsid w:val="006A1211"/>
    <w:rsid w:val="006A1429"/>
    <w:rsid w:val="006A1639"/>
    <w:rsid w:val="006A1A77"/>
    <w:rsid w:val="006A1DB3"/>
    <w:rsid w:val="006A2197"/>
    <w:rsid w:val="006A2304"/>
    <w:rsid w:val="006A2475"/>
    <w:rsid w:val="006A2520"/>
    <w:rsid w:val="006A3A04"/>
    <w:rsid w:val="006A4670"/>
    <w:rsid w:val="006A4B0E"/>
    <w:rsid w:val="006A4D1C"/>
    <w:rsid w:val="006A4F69"/>
    <w:rsid w:val="006A590B"/>
    <w:rsid w:val="006A5F10"/>
    <w:rsid w:val="006A63D9"/>
    <w:rsid w:val="006A6931"/>
    <w:rsid w:val="006A6A33"/>
    <w:rsid w:val="006A7000"/>
    <w:rsid w:val="006A789D"/>
    <w:rsid w:val="006A7C3B"/>
    <w:rsid w:val="006B04AE"/>
    <w:rsid w:val="006B08E9"/>
    <w:rsid w:val="006B17B9"/>
    <w:rsid w:val="006B1CBE"/>
    <w:rsid w:val="006B23FC"/>
    <w:rsid w:val="006B31F7"/>
    <w:rsid w:val="006B3458"/>
    <w:rsid w:val="006B3527"/>
    <w:rsid w:val="006B37B3"/>
    <w:rsid w:val="006B48DD"/>
    <w:rsid w:val="006B4AAB"/>
    <w:rsid w:val="006B5331"/>
    <w:rsid w:val="006B544E"/>
    <w:rsid w:val="006B5640"/>
    <w:rsid w:val="006B6689"/>
    <w:rsid w:val="006B6C7A"/>
    <w:rsid w:val="006B6D02"/>
    <w:rsid w:val="006B7201"/>
    <w:rsid w:val="006B750C"/>
    <w:rsid w:val="006B751D"/>
    <w:rsid w:val="006C015A"/>
    <w:rsid w:val="006C01BD"/>
    <w:rsid w:val="006C05A9"/>
    <w:rsid w:val="006C10C5"/>
    <w:rsid w:val="006C1466"/>
    <w:rsid w:val="006C15F7"/>
    <w:rsid w:val="006C1D53"/>
    <w:rsid w:val="006C289D"/>
    <w:rsid w:val="006C2E3C"/>
    <w:rsid w:val="006C2E8D"/>
    <w:rsid w:val="006C3BCA"/>
    <w:rsid w:val="006C4161"/>
    <w:rsid w:val="006C435D"/>
    <w:rsid w:val="006C43A9"/>
    <w:rsid w:val="006C45DA"/>
    <w:rsid w:val="006C4F5F"/>
    <w:rsid w:val="006C5792"/>
    <w:rsid w:val="006C5F07"/>
    <w:rsid w:val="006C69E0"/>
    <w:rsid w:val="006C6B4E"/>
    <w:rsid w:val="006C6C73"/>
    <w:rsid w:val="006C73C5"/>
    <w:rsid w:val="006C7669"/>
    <w:rsid w:val="006C7C64"/>
    <w:rsid w:val="006C7E34"/>
    <w:rsid w:val="006C7E99"/>
    <w:rsid w:val="006D02B4"/>
    <w:rsid w:val="006D1195"/>
    <w:rsid w:val="006D1874"/>
    <w:rsid w:val="006D1B83"/>
    <w:rsid w:val="006D1D62"/>
    <w:rsid w:val="006D30BA"/>
    <w:rsid w:val="006D3118"/>
    <w:rsid w:val="006D3414"/>
    <w:rsid w:val="006D387C"/>
    <w:rsid w:val="006D419D"/>
    <w:rsid w:val="006D5455"/>
    <w:rsid w:val="006D5624"/>
    <w:rsid w:val="006D5AF9"/>
    <w:rsid w:val="006D5EAF"/>
    <w:rsid w:val="006D610F"/>
    <w:rsid w:val="006D670A"/>
    <w:rsid w:val="006D7376"/>
    <w:rsid w:val="006D7950"/>
    <w:rsid w:val="006E0AA4"/>
    <w:rsid w:val="006E10C6"/>
    <w:rsid w:val="006E11B6"/>
    <w:rsid w:val="006E1217"/>
    <w:rsid w:val="006E1280"/>
    <w:rsid w:val="006E12FD"/>
    <w:rsid w:val="006E1590"/>
    <w:rsid w:val="006E176D"/>
    <w:rsid w:val="006E1775"/>
    <w:rsid w:val="006E1D36"/>
    <w:rsid w:val="006E1D3E"/>
    <w:rsid w:val="006E240D"/>
    <w:rsid w:val="006E2AE0"/>
    <w:rsid w:val="006E3591"/>
    <w:rsid w:val="006E3FA6"/>
    <w:rsid w:val="006E446F"/>
    <w:rsid w:val="006E4753"/>
    <w:rsid w:val="006E47C5"/>
    <w:rsid w:val="006E4B34"/>
    <w:rsid w:val="006E5CDA"/>
    <w:rsid w:val="006E5F58"/>
    <w:rsid w:val="006E609D"/>
    <w:rsid w:val="006E6293"/>
    <w:rsid w:val="006E6647"/>
    <w:rsid w:val="006E6AF9"/>
    <w:rsid w:val="006E7052"/>
    <w:rsid w:val="006E771B"/>
    <w:rsid w:val="006E7AE2"/>
    <w:rsid w:val="006E7F57"/>
    <w:rsid w:val="006F003C"/>
    <w:rsid w:val="006F083E"/>
    <w:rsid w:val="006F0BDB"/>
    <w:rsid w:val="006F14CE"/>
    <w:rsid w:val="006F16EE"/>
    <w:rsid w:val="006F18A0"/>
    <w:rsid w:val="006F29F0"/>
    <w:rsid w:val="006F2A0F"/>
    <w:rsid w:val="006F36BA"/>
    <w:rsid w:val="006F4C61"/>
    <w:rsid w:val="006F550D"/>
    <w:rsid w:val="006F57F6"/>
    <w:rsid w:val="006F5B3E"/>
    <w:rsid w:val="006F6025"/>
    <w:rsid w:val="006F6329"/>
    <w:rsid w:val="006F6762"/>
    <w:rsid w:val="006F6E56"/>
    <w:rsid w:val="006F6F34"/>
    <w:rsid w:val="006F71C0"/>
    <w:rsid w:val="006F7286"/>
    <w:rsid w:val="0070017B"/>
    <w:rsid w:val="007006FD"/>
    <w:rsid w:val="00700FC6"/>
    <w:rsid w:val="00701059"/>
    <w:rsid w:val="00701FF6"/>
    <w:rsid w:val="00702593"/>
    <w:rsid w:val="00702806"/>
    <w:rsid w:val="00702E79"/>
    <w:rsid w:val="00702EBD"/>
    <w:rsid w:val="00703055"/>
    <w:rsid w:val="007030C2"/>
    <w:rsid w:val="0070313F"/>
    <w:rsid w:val="00703157"/>
    <w:rsid w:val="00703334"/>
    <w:rsid w:val="0070333B"/>
    <w:rsid w:val="007033AF"/>
    <w:rsid w:val="007036D4"/>
    <w:rsid w:val="00704338"/>
    <w:rsid w:val="00704743"/>
    <w:rsid w:val="00704E14"/>
    <w:rsid w:val="0070527D"/>
    <w:rsid w:val="007054A2"/>
    <w:rsid w:val="00705B9A"/>
    <w:rsid w:val="00705CED"/>
    <w:rsid w:val="00705D32"/>
    <w:rsid w:val="00706273"/>
    <w:rsid w:val="00706A6A"/>
    <w:rsid w:val="00707254"/>
    <w:rsid w:val="00707EAF"/>
    <w:rsid w:val="0071007D"/>
    <w:rsid w:val="00710198"/>
    <w:rsid w:val="007104CE"/>
    <w:rsid w:val="007104D3"/>
    <w:rsid w:val="0071052F"/>
    <w:rsid w:val="0071088F"/>
    <w:rsid w:val="00712750"/>
    <w:rsid w:val="007128B9"/>
    <w:rsid w:val="00712DE2"/>
    <w:rsid w:val="007143FE"/>
    <w:rsid w:val="007146FF"/>
    <w:rsid w:val="00714892"/>
    <w:rsid w:val="007153C4"/>
    <w:rsid w:val="00715420"/>
    <w:rsid w:val="0071610A"/>
    <w:rsid w:val="0071671D"/>
    <w:rsid w:val="00716860"/>
    <w:rsid w:val="00716900"/>
    <w:rsid w:val="00716B5A"/>
    <w:rsid w:val="00716BB2"/>
    <w:rsid w:val="0071726C"/>
    <w:rsid w:val="00717BD3"/>
    <w:rsid w:val="007207F1"/>
    <w:rsid w:val="00720934"/>
    <w:rsid w:val="00720FA1"/>
    <w:rsid w:val="00721165"/>
    <w:rsid w:val="007213A3"/>
    <w:rsid w:val="007214BA"/>
    <w:rsid w:val="0072181E"/>
    <w:rsid w:val="00721BA4"/>
    <w:rsid w:val="00721BFC"/>
    <w:rsid w:val="00722403"/>
    <w:rsid w:val="00722B38"/>
    <w:rsid w:val="00723414"/>
    <w:rsid w:val="00723712"/>
    <w:rsid w:val="00723815"/>
    <w:rsid w:val="007238A1"/>
    <w:rsid w:val="00723B49"/>
    <w:rsid w:val="00723F85"/>
    <w:rsid w:val="007246FB"/>
    <w:rsid w:val="00725619"/>
    <w:rsid w:val="00725704"/>
    <w:rsid w:val="0072587D"/>
    <w:rsid w:val="0072591F"/>
    <w:rsid w:val="00725D4B"/>
    <w:rsid w:val="00725E93"/>
    <w:rsid w:val="0072633E"/>
    <w:rsid w:val="007276C3"/>
    <w:rsid w:val="007301B6"/>
    <w:rsid w:val="00730A1D"/>
    <w:rsid w:val="00730B88"/>
    <w:rsid w:val="00730DA6"/>
    <w:rsid w:val="00730E00"/>
    <w:rsid w:val="00730E3D"/>
    <w:rsid w:val="00730F20"/>
    <w:rsid w:val="00731423"/>
    <w:rsid w:val="007316B4"/>
    <w:rsid w:val="007326C7"/>
    <w:rsid w:val="007326EC"/>
    <w:rsid w:val="00732BC7"/>
    <w:rsid w:val="00732DB6"/>
    <w:rsid w:val="0073390A"/>
    <w:rsid w:val="00733B8F"/>
    <w:rsid w:val="00734413"/>
    <w:rsid w:val="00734632"/>
    <w:rsid w:val="00734C57"/>
    <w:rsid w:val="00735253"/>
    <w:rsid w:val="0073535A"/>
    <w:rsid w:val="00735B05"/>
    <w:rsid w:val="007366C4"/>
    <w:rsid w:val="007368F5"/>
    <w:rsid w:val="0073692A"/>
    <w:rsid w:val="00736AAE"/>
    <w:rsid w:val="00736ADD"/>
    <w:rsid w:val="00736CAF"/>
    <w:rsid w:val="00737302"/>
    <w:rsid w:val="0073741E"/>
    <w:rsid w:val="0073753B"/>
    <w:rsid w:val="0073775A"/>
    <w:rsid w:val="0073780D"/>
    <w:rsid w:val="00737DA5"/>
    <w:rsid w:val="007402C3"/>
    <w:rsid w:val="007402EF"/>
    <w:rsid w:val="00740768"/>
    <w:rsid w:val="0074077F"/>
    <w:rsid w:val="007411CF"/>
    <w:rsid w:val="007413F0"/>
    <w:rsid w:val="00741A54"/>
    <w:rsid w:val="00741ADA"/>
    <w:rsid w:val="00741B7B"/>
    <w:rsid w:val="00741F17"/>
    <w:rsid w:val="007420DF"/>
    <w:rsid w:val="007423A3"/>
    <w:rsid w:val="00742563"/>
    <w:rsid w:val="00742873"/>
    <w:rsid w:val="007430B8"/>
    <w:rsid w:val="007432CF"/>
    <w:rsid w:val="00743B80"/>
    <w:rsid w:val="00744829"/>
    <w:rsid w:val="00744BD5"/>
    <w:rsid w:val="00745367"/>
    <w:rsid w:val="00745746"/>
    <w:rsid w:val="007460FE"/>
    <w:rsid w:val="00746426"/>
    <w:rsid w:val="0074661B"/>
    <w:rsid w:val="0074672B"/>
    <w:rsid w:val="00746BAF"/>
    <w:rsid w:val="00746D0A"/>
    <w:rsid w:val="00746EEC"/>
    <w:rsid w:val="00747240"/>
    <w:rsid w:val="00747442"/>
    <w:rsid w:val="00747590"/>
    <w:rsid w:val="0074795D"/>
    <w:rsid w:val="0075020C"/>
    <w:rsid w:val="0075024F"/>
    <w:rsid w:val="00750860"/>
    <w:rsid w:val="00750B36"/>
    <w:rsid w:val="0075108F"/>
    <w:rsid w:val="00751143"/>
    <w:rsid w:val="00751CAF"/>
    <w:rsid w:val="00751CD2"/>
    <w:rsid w:val="00751F5D"/>
    <w:rsid w:val="00752334"/>
    <w:rsid w:val="0075248A"/>
    <w:rsid w:val="00752C9E"/>
    <w:rsid w:val="00753F1A"/>
    <w:rsid w:val="00754095"/>
    <w:rsid w:val="00754611"/>
    <w:rsid w:val="007547CD"/>
    <w:rsid w:val="00754CA7"/>
    <w:rsid w:val="00754D71"/>
    <w:rsid w:val="007554CC"/>
    <w:rsid w:val="00755987"/>
    <w:rsid w:val="00755F94"/>
    <w:rsid w:val="0075650C"/>
    <w:rsid w:val="00756A4C"/>
    <w:rsid w:val="00756E4B"/>
    <w:rsid w:val="00757788"/>
    <w:rsid w:val="007579C3"/>
    <w:rsid w:val="00757FCD"/>
    <w:rsid w:val="007600B3"/>
    <w:rsid w:val="007602DE"/>
    <w:rsid w:val="0076050B"/>
    <w:rsid w:val="00760563"/>
    <w:rsid w:val="00760709"/>
    <w:rsid w:val="00760EF6"/>
    <w:rsid w:val="007613BB"/>
    <w:rsid w:val="00761B50"/>
    <w:rsid w:val="007620E6"/>
    <w:rsid w:val="0076396E"/>
    <w:rsid w:val="00764421"/>
    <w:rsid w:val="00764584"/>
    <w:rsid w:val="00764B63"/>
    <w:rsid w:val="00765163"/>
    <w:rsid w:val="007652C1"/>
    <w:rsid w:val="00765D9F"/>
    <w:rsid w:val="00766086"/>
    <w:rsid w:val="00766602"/>
    <w:rsid w:val="00766A28"/>
    <w:rsid w:val="00766CD1"/>
    <w:rsid w:val="00766FF2"/>
    <w:rsid w:val="007671C6"/>
    <w:rsid w:val="0076720B"/>
    <w:rsid w:val="007678A4"/>
    <w:rsid w:val="007679D8"/>
    <w:rsid w:val="00767C35"/>
    <w:rsid w:val="00767F24"/>
    <w:rsid w:val="007704AA"/>
    <w:rsid w:val="007705E6"/>
    <w:rsid w:val="00770864"/>
    <w:rsid w:val="00770B24"/>
    <w:rsid w:val="007710A2"/>
    <w:rsid w:val="00771466"/>
    <w:rsid w:val="00771CF6"/>
    <w:rsid w:val="0077227E"/>
    <w:rsid w:val="00772426"/>
    <w:rsid w:val="00772A4C"/>
    <w:rsid w:val="00772AC5"/>
    <w:rsid w:val="0077326D"/>
    <w:rsid w:val="0077388C"/>
    <w:rsid w:val="0077400C"/>
    <w:rsid w:val="00774165"/>
    <w:rsid w:val="0077430B"/>
    <w:rsid w:val="00774560"/>
    <w:rsid w:val="007746E8"/>
    <w:rsid w:val="0077480C"/>
    <w:rsid w:val="007748A7"/>
    <w:rsid w:val="00775529"/>
    <w:rsid w:val="007755CD"/>
    <w:rsid w:val="00775BC3"/>
    <w:rsid w:val="00775DED"/>
    <w:rsid w:val="0077626F"/>
    <w:rsid w:val="0077629C"/>
    <w:rsid w:val="0077640B"/>
    <w:rsid w:val="00776D51"/>
    <w:rsid w:val="0077714F"/>
    <w:rsid w:val="007775DE"/>
    <w:rsid w:val="007775ED"/>
    <w:rsid w:val="00777B01"/>
    <w:rsid w:val="00777CF9"/>
    <w:rsid w:val="00777F7E"/>
    <w:rsid w:val="007809C8"/>
    <w:rsid w:val="00780B12"/>
    <w:rsid w:val="00781629"/>
    <w:rsid w:val="00781672"/>
    <w:rsid w:val="00782390"/>
    <w:rsid w:val="007825BB"/>
    <w:rsid w:val="0078297B"/>
    <w:rsid w:val="00782C8C"/>
    <w:rsid w:val="00782CFF"/>
    <w:rsid w:val="00783013"/>
    <w:rsid w:val="00783640"/>
    <w:rsid w:val="00783839"/>
    <w:rsid w:val="00783ACD"/>
    <w:rsid w:val="00785013"/>
    <w:rsid w:val="007851A4"/>
    <w:rsid w:val="007853F5"/>
    <w:rsid w:val="007858D7"/>
    <w:rsid w:val="00785C84"/>
    <w:rsid w:val="00786040"/>
    <w:rsid w:val="00786251"/>
    <w:rsid w:val="00786282"/>
    <w:rsid w:val="007866C8"/>
    <w:rsid w:val="00786F5B"/>
    <w:rsid w:val="00787425"/>
    <w:rsid w:val="0078749D"/>
    <w:rsid w:val="007874F9"/>
    <w:rsid w:val="0078769C"/>
    <w:rsid w:val="007876B9"/>
    <w:rsid w:val="00790276"/>
    <w:rsid w:val="00790543"/>
    <w:rsid w:val="007906F8"/>
    <w:rsid w:val="007912BA"/>
    <w:rsid w:val="00791456"/>
    <w:rsid w:val="00791E94"/>
    <w:rsid w:val="00791EAA"/>
    <w:rsid w:val="00792CB9"/>
    <w:rsid w:val="00792E0B"/>
    <w:rsid w:val="00793169"/>
    <w:rsid w:val="0079384F"/>
    <w:rsid w:val="0079397A"/>
    <w:rsid w:val="00793CE7"/>
    <w:rsid w:val="00793D49"/>
    <w:rsid w:val="0079411E"/>
    <w:rsid w:val="00794731"/>
    <w:rsid w:val="00794867"/>
    <w:rsid w:val="00794DC0"/>
    <w:rsid w:val="00795403"/>
    <w:rsid w:val="007955BD"/>
    <w:rsid w:val="007957FA"/>
    <w:rsid w:val="00795DBC"/>
    <w:rsid w:val="00796B8F"/>
    <w:rsid w:val="00796D19"/>
    <w:rsid w:val="0079787A"/>
    <w:rsid w:val="00797F6B"/>
    <w:rsid w:val="007A0494"/>
    <w:rsid w:val="007A09F2"/>
    <w:rsid w:val="007A0AF6"/>
    <w:rsid w:val="007A0ECA"/>
    <w:rsid w:val="007A1155"/>
    <w:rsid w:val="007A19A0"/>
    <w:rsid w:val="007A1BFB"/>
    <w:rsid w:val="007A1F69"/>
    <w:rsid w:val="007A2187"/>
    <w:rsid w:val="007A21E2"/>
    <w:rsid w:val="007A238C"/>
    <w:rsid w:val="007A24C4"/>
    <w:rsid w:val="007A2BDD"/>
    <w:rsid w:val="007A2F02"/>
    <w:rsid w:val="007A3222"/>
    <w:rsid w:val="007A322A"/>
    <w:rsid w:val="007A35A2"/>
    <w:rsid w:val="007A37F6"/>
    <w:rsid w:val="007A3DD8"/>
    <w:rsid w:val="007A458F"/>
    <w:rsid w:val="007A4C36"/>
    <w:rsid w:val="007A4CC4"/>
    <w:rsid w:val="007A4DFF"/>
    <w:rsid w:val="007A5A68"/>
    <w:rsid w:val="007A5DC1"/>
    <w:rsid w:val="007A6096"/>
    <w:rsid w:val="007A63FF"/>
    <w:rsid w:val="007A65F4"/>
    <w:rsid w:val="007A6D8A"/>
    <w:rsid w:val="007B0013"/>
    <w:rsid w:val="007B008F"/>
    <w:rsid w:val="007B071C"/>
    <w:rsid w:val="007B0C28"/>
    <w:rsid w:val="007B14CC"/>
    <w:rsid w:val="007B1714"/>
    <w:rsid w:val="007B19ED"/>
    <w:rsid w:val="007B2E43"/>
    <w:rsid w:val="007B3610"/>
    <w:rsid w:val="007B3C6E"/>
    <w:rsid w:val="007B4373"/>
    <w:rsid w:val="007B43AE"/>
    <w:rsid w:val="007B442E"/>
    <w:rsid w:val="007B48EC"/>
    <w:rsid w:val="007B4A09"/>
    <w:rsid w:val="007B4CB0"/>
    <w:rsid w:val="007B56F8"/>
    <w:rsid w:val="007B5716"/>
    <w:rsid w:val="007B599C"/>
    <w:rsid w:val="007B5CAA"/>
    <w:rsid w:val="007B5DC1"/>
    <w:rsid w:val="007B616C"/>
    <w:rsid w:val="007B63FE"/>
    <w:rsid w:val="007B6EAB"/>
    <w:rsid w:val="007B6F8E"/>
    <w:rsid w:val="007B6FF8"/>
    <w:rsid w:val="007B71E6"/>
    <w:rsid w:val="007B7AC1"/>
    <w:rsid w:val="007B7B9C"/>
    <w:rsid w:val="007B7DF1"/>
    <w:rsid w:val="007C07C8"/>
    <w:rsid w:val="007C1413"/>
    <w:rsid w:val="007C1744"/>
    <w:rsid w:val="007C18D7"/>
    <w:rsid w:val="007C21D2"/>
    <w:rsid w:val="007C234D"/>
    <w:rsid w:val="007C2A1C"/>
    <w:rsid w:val="007C2A4F"/>
    <w:rsid w:val="007C2B0F"/>
    <w:rsid w:val="007C2BF1"/>
    <w:rsid w:val="007C30ED"/>
    <w:rsid w:val="007C3322"/>
    <w:rsid w:val="007C3847"/>
    <w:rsid w:val="007C38E6"/>
    <w:rsid w:val="007C4096"/>
    <w:rsid w:val="007C483C"/>
    <w:rsid w:val="007C4CFA"/>
    <w:rsid w:val="007C4EFA"/>
    <w:rsid w:val="007C5AC8"/>
    <w:rsid w:val="007C5F83"/>
    <w:rsid w:val="007C615E"/>
    <w:rsid w:val="007C6692"/>
    <w:rsid w:val="007C6E94"/>
    <w:rsid w:val="007C74E0"/>
    <w:rsid w:val="007C78C1"/>
    <w:rsid w:val="007C7CB5"/>
    <w:rsid w:val="007C7DD1"/>
    <w:rsid w:val="007D00F3"/>
    <w:rsid w:val="007D0100"/>
    <w:rsid w:val="007D0A11"/>
    <w:rsid w:val="007D0AB6"/>
    <w:rsid w:val="007D0EE9"/>
    <w:rsid w:val="007D197D"/>
    <w:rsid w:val="007D1CD8"/>
    <w:rsid w:val="007D268F"/>
    <w:rsid w:val="007D2761"/>
    <w:rsid w:val="007D2CED"/>
    <w:rsid w:val="007D361D"/>
    <w:rsid w:val="007D3817"/>
    <w:rsid w:val="007D3F91"/>
    <w:rsid w:val="007D401D"/>
    <w:rsid w:val="007D4B51"/>
    <w:rsid w:val="007D4BD3"/>
    <w:rsid w:val="007D51D2"/>
    <w:rsid w:val="007D55C8"/>
    <w:rsid w:val="007D5AF3"/>
    <w:rsid w:val="007D62A1"/>
    <w:rsid w:val="007D6FC5"/>
    <w:rsid w:val="007D7020"/>
    <w:rsid w:val="007D70BB"/>
    <w:rsid w:val="007D7B3B"/>
    <w:rsid w:val="007D7F51"/>
    <w:rsid w:val="007E037C"/>
    <w:rsid w:val="007E03E8"/>
    <w:rsid w:val="007E081E"/>
    <w:rsid w:val="007E0976"/>
    <w:rsid w:val="007E0997"/>
    <w:rsid w:val="007E178A"/>
    <w:rsid w:val="007E1D3B"/>
    <w:rsid w:val="007E283C"/>
    <w:rsid w:val="007E318C"/>
    <w:rsid w:val="007E323A"/>
    <w:rsid w:val="007E388C"/>
    <w:rsid w:val="007E3991"/>
    <w:rsid w:val="007E3C59"/>
    <w:rsid w:val="007E4232"/>
    <w:rsid w:val="007E4B84"/>
    <w:rsid w:val="007E5F03"/>
    <w:rsid w:val="007E62C7"/>
    <w:rsid w:val="007E6314"/>
    <w:rsid w:val="007E6507"/>
    <w:rsid w:val="007E65C1"/>
    <w:rsid w:val="007E6702"/>
    <w:rsid w:val="007E6776"/>
    <w:rsid w:val="007E70BE"/>
    <w:rsid w:val="007E713C"/>
    <w:rsid w:val="007E71AF"/>
    <w:rsid w:val="007E73C1"/>
    <w:rsid w:val="007E73FD"/>
    <w:rsid w:val="007E740C"/>
    <w:rsid w:val="007E7656"/>
    <w:rsid w:val="007E7EA8"/>
    <w:rsid w:val="007F00A1"/>
    <w:rsid w:val="007F031F"/>
    <w:rsid w:val="007F04D7"/>
    <w:rsid w:val="007F0624"/>
    <w:rsid w:val="007F09CD"/>
    <w:rsid w:val="007F0BC3"/>
    <w:rsid w:val="007F0EB7"/>
    <w:rsid w:val="007F14DF"/>
    <w:rsid w:val="007F167F"/>
    <w:rsid w:val="007F206A"/>
    <w:rsid w:val="007F21DA"/>
    <w:rsid w:val="007F38EA"/>
    <w:rsid w:val="007F3A23"/>
    <w:rsid w:val="007F3A5C"/>
    <w:rsid w:val="007F3BED"/>
    <w:rsid w:val="007F3E5B"/>
    <w:rsid w:val="007F435E"/>
    <w:rsid w:val="007F488F"/>
    <w:rsid w:val="007F4B67"/>
    <w:rsid w:val="007F4DD6"/>
    <w:rsid w:val="007F5197"/>
    <w:rsid w:val="007F534C"/>
    <w:rsid w:val="007F5EF7"/>
    <w:rsid w:val="007F5F7D"/>
    <w:rsid w:val="007F6583"/>
    <w:rsid w:val="007F699C"/>
    <w:rsid w:val="007F6D35"/>
    <w:rsid w:val="007F7057"/>
    <w:rsid w:val="007F73D2"/>
    <w:rsid w:val="007F7B63"/>
    <w:rsid w:val="0080007D"/>
    <w:rsid w:val="00800EB0"/>
    <w:rsid w:val="0080100C"/>
    <w:rsid w:val="0080117F"/>
    <w:rsid w:val="00801E9E"/>
    <w:rsid w:val="00802155"/>
    <w:rsid w:val="00802497"/>
    <w:rsid w:val="00802CAE"/>
    <w:rsid w:val="00802E3F"/>
    <w:rsid w:val="0080345B"/>
    <w:rsid w:val="00803998"/>
    <w:rsid w:val="008039CC"/>
    <w:rsid w:val="0080427D"/>
    <w:rsid w:val="008045CC"/>
    <w:rsid w:val="008048F9"/>
    <w:rsid w:val="00804CFE"/>
    <w:rsid w:val="00805068"/>
    <w:rsid w:val="008055BC"/>
    <w:rsid w:val="008056B0"/>
    <w:rsid w:val="008061BB"/>
    <w:rsid w:val="00806858"/>
    <w:rsid w:val="0080689C"/>
    <w:rsid w:val="00806C9D"/>
    <w:rsid w:val="00806E92"/>
    <w:rsid w:val="00806ECF"/>
    <w:rsid w:val="00807525"/>
    <w:rsid w:val="00807D07"/>
    <w:rsid w:val="0081018C"/>
    <w:rsid w:val="00810331"/>
    <w:rsid w:val="00811520"/>
    <w:rsid w:val="0081181C"/>
    <w:rsid w:val="00811DA0"/>
    <w:rsid w:val="00811F21"/>
    <w:rsid w:val="008123EA"/>
    <w:rsid w:val="008125BE"/>
    <w:rsid w:val="00812727"/>
    <w:rsid w:val="008127B9"/>
    <w:rsid w:val="00812B58"/>
    <w:rsid w:val="00812DAD"/>
    <w:rsid w:val="00812F93"/>
    <w:rsid w:val="00813AF3"/>
    <w:rsid w:val="00813D85"/>
    <w:rsid w:val="00814642"/>
    <w:rsid w:val="008149F0"/>
    <w:rsid w:val="00815295"/>
    <w:rsid w:val="00815D89"/>
    <w:rsid w:val="00815DD7"/>
    <w:rsid w:val="0081681F"/>
    <w:rsid w:val="00816A80"/>
    <w:rsid w:val="008172F4"/>
    <w:rsid w:val="00817328"/>
    <w:rsid w:val="0081753C"/>
    <w:rsid w:val="008178BB"/>
    <w:rsid w:val="00820231"/>
    <w:rsid w:val="00820681"/>
    <w:rsid w:val="0082087B"/>
    <w:rsid w:val="00820E2E"/>
    <w:rsid w:val="008210FB"/>
    <w:rsid w:val="0082155A"/>
    <w:rsid w:val="00821767"/>
    <w:rsid w:val="00821F2A"/>
    <w:rsid w:val="00822E6C"/>
    <w:rsid w:val="00822EF3"/>
    <w:rsid w:val="008233D9"/>
    <w:rsid w:val="008235EA"/>
    <w:rsid w:val="008243C4"/>
    <w:rsid w:val="00824DE7"/>
    <w:rsid w:val="00824F37"/>
    <w:rsid w:val="00825746"/>
    <w:rsid w:val="00825A0C"/>
    <w:rsid w:val="00825A42"/>
    <w:rsid w:val="00825BB6"/>
    <w:rsid w:val="00825D66"/>
    <w:rsid w:val="00825F6E"/>
    <w:rsid w:val="00826172"/>
    <w:rsid w:val="008261F8"/>
    <w:rsid w:val="00826765"/>
    <w:rsid w:val="00826F36"/>
    <w:rsid w:val="008270DD"/>
    <w:rsid w:val="00827584"/>
    <w:rsid w:val="00827CFC"/>
    <w:rsid w:val="00827F75"/>
    <w:rsid w:val="00830B9B"/>
    <w:rsid w:val="00830BC7"/>
    <w:rsid w:val="008315B2"/>
    <w:rsid w:val="008315CF"/>
    <w:rsid w:val="0083167A"/>
    <w:rsid w:val="00831C5B"/>
    <w:rsid w:val="00831D56"/>
    <w:rsid w:val="00831FA5"/>
    <w:rsid w:val="00832235"/>
    <w:rsid w:val="0083247A"/>
    <w:rsid w:val="0083311B"/>
    <w:rsid w:val="00833449"/>
    <w:rsid w:val="00833776"/>
    <w:rsid w:val="00833AFD"/>
    <w:rsid w:val="008340E7"/>
    <w:rsid w:val="00834B77"/>
    <w:rsid w:val="00835213"/>
    <w:rsid w:val="00835C55"/>
    <w:rsid w:val="00836776"/>
    <w:rsid w:val="008367B3"/>
    <w:rsid w:val="00836C9C"/>
    <w:rsid w:val="00837D07"/>
    <w:rsid w:val="0084035F"/>
    <w:rsid w:val="00840AA8"/>
    <w:rsid w:val="00840FA1"/>
    <w:rsid w:val="0084125E"/>
    <w:rsid w:val="00841A6D"/>
    <w:rsid w:val="00841BCA"/>
    <w:rsid w:val="00841F83"/>
    <w:rsid w:val="0084203B"/>
    <w:rsid w:val="008420E5"/>
    <w:rsid w:val="00842142"/>
    <w:rsid w:val="008423AA"/>
    <w:rsid w:val="00842546"/>
    <w:rsid w:val="008426C4"/>
    <w:rsid w:val="00842969"/>
    <w:rsid w:val="008429B5"/>
    <w:rsid w:val="00842FB4"/>
    <w:rsid w:val="0084332B"/>
    <w:rsid w:val="0084338E"/>
    <w:rsid w:val="00843A4F"/>
    <w:rsid w:val="00843CE7"/>
    <w:rsid w:val="00843DE9"/>
    <w:rsid w:val="00844EB0"/>
    <w:rsid w:val="008451FF"/>
    <w:rsid w:val="00845386"/>
    <w:rsid w:val="008455D5"/>
    <w:rsid w:val="00845892"/>
    <w:rsid w:val="00845DCB"/>
    <w:rsid w:val="00845E29"/>
    <w:rsid w:val="00846614"/>
    <w:rsid w:val="00846712"/>
    <w:rsid w:val="00846767"/>
    <w:rsid w:val="00846D98"/>
    <w:rsid w:val="00847497"/>
    <w:rsid w:val="00847620"/>
    <w:rsid w:val="00847AC8"/>
    <w:rsid w:val="00847B14"/>
    <w:rsid w:val="00847F38"/>
    <w:rsid w:val="008508A6"/>
    <w:rsid w:val="00850DA9"/>
    <w:rsid w:val="00850DB3"/>
    <w:rsid w:val="00850E65"/>
    <w:rsid w:val="0085142E"/>
    <w:rsid w:val="00851740"/>
    <w:rsid w:val="00851773"/>
    <w:rsid w:val="008517D0"/>
    <w:rsid w:val="008527DA"/>
    <w:rsid w:val="00852D67"/>
    <w:rsid w:val="0085302B"/>
    <w:rsid w:val="00853121"/>
    <w:rsid w:val="0085403A"/>
    <w:rsid w:val="0085407F"/>
    <w:rsid w:val="00854478"/>
    <w:rsid w:val="008549EA"/>
    <w:rsid w:val="00854A95"/>
    <w:rsid w:val="00854B43"/>
    <w:rsid w:val="00854BD0"/>
    <w:rsid w:val="00854C1E"/>
    <w:rsid w:val="00855A06"/>
    <w:rsid w:val="00855A19"/>
    <w:rsid w:val="00855B88"/>
    <w:rsid w:val="00855D56"/>
    <w:rsid w:val="00855EC6"/>
    <w:rsid w:val="0085620F"/>
    <w:rsid w:val="00856A98"/>
    <w:rsid w:val="008570E7"/>
    <w:rsid w:val="00857418"/>
    <w:rsid w:val="008577E0"/>
    <w:rsid w:val="008606BA"/>
    <w:rsid w:val="00860C4C"/>
    <w:rsid w:val="00860DBA"/>
    <w:rsid w:val="008613F0"/>
    <w:rsid w:val="0086270A"/>
    <w:rsid w:val="008627C0"/>
    <w:rsid w:val="00862A1B"/>
    <w:rsid w:val="00862AAD"/>
    <w:rsid w:val="00862E45"/>
    <w:rsid w:val="0086399A"/>
    <w:rsid w:val="00863A99"/>
    <w:rsid w:val="008640D2"/>
    <w:rsid w:val="0086452E"/>
    <w:rsid w:val="00864626"/>
    <w:rsid w:val="00864808"/>
    <w:rsid w:val="00864F82"/>
    <w:rsid w:val="00864F84"/>
    <w:rsid w:val="008651C0"/>
    <w:rsid w:val="008656BA"/>
    <w:rsid w:val="008657E0"/>
    <w:rsid w:val="00865A0E"/>
    <w:rsid w:val="00865C1B"/>
    <w:rsid w:val="00865C33"/>
    <w:rsid w:val="00866DA5"/>
    <w:rsid w:val="00866DC7"/>
    <w:rsid w:val="00867A4A"/>
    <w:rsid w:val="00867E64"/>
    <w:rsid w:val="00867F47"/>
    <w:rsid w:val="00870B21"/>
    <w:rsid w:val="00870E99"/>
    <w:rsid w:val="0087118E"/>
    <w:rsid w:val="0087135A"/>
    <w:rsid w:val="008714EC"/>
    <w:rsid w:val="00871A77"/>
    <w:rsid w:val="00871B6D"/>
    <w:rsid w:val="008729CE"/>
    <w:rsid w:val="008729E2"/>
    <w:rsid w:val="00872B2C"/>
    <w:rsid w:val="00872CEA"/>
    <w:rsid w:val="00872F32"/>
    <w:rsid w:val="00872F88"/>
    <w:rsid w:val="008730D7"/>
    <w:rsid w:val="008733D9"/>
    <w:rsid w:val="00873639"/>
    <w:rsid w:val="008739BD"/>
    <w:rsid w:val="00874687"/>
    <w:rsid w:val="008746BE"/>
    <w:rsid w:val="00874B84"/>
    <w:rsid w:val="00874CDB"/>
    <w:rsid w:val="00875285"/>
    <w:rsid w:val="00875322"/>
    <w:rsid w:val="00875910"/>
    <w:rsid w:val="00875D84"/>
    <w:rsid w:val="00876B57"/>
    <w:rsid w:val="008771C0"/>
    <w:rsid w:val="0087728A"/>
    <w:rsid w:val="0087795A"/>
    <w:rsid w:val="00877A33"/>
    <w:rsid w:val="00877D30"/>
    <w:rsid w:val="008804B8"/>
    <w:rsid w:val="008806FD"/>
    <w:rsid w:val="0088084D"/>
    <w:rsid w:val="0088170D"/>
    <w:rsid w:val="00881958"/>
    <w:rsid w:val="00881B96"/>
    <w:rsid w:val="0088286A"/>
    <w:rsid w:val="00882B37"/>
    <w:rsid w:val="00883478"/>
    <w:rsid w:val="00883A7C"/>
    <w:rsid w:val="00883AEE"/>
    <w:rsid w:val="0088433B"/>
    <w:rsid w:val="00884AB9"/>
    <w:rsid w:val="00884DAE"/>
    <w:rsid w:val="008851E7"/>
    <w:rsid w:val="00885306"/>
    <w:rsid w:val="00885ECB"/>
    <w:rsid w:val="008861E2"/>
    <w:rsid w:val="008867B6"/>
    <w:rsid w:val="008868DF"/>
    <w:rsid w:val="00886B8D"/>
    <w:rsid w:val="00886CBE"/>
    <w:rsid w:val="00886F93"/>
    <w:rsid w:val="0089038E"/>
    <w:rsid w:val="008918EC"/>
    <w:rsid w:val="008918F7"/>
    <w:rsid w:val="00891937"/>
    <w:rsid w:val="008919A7"/>
    <w:rsid w:val="00892143"/>
    <w:rsid w:val="00892334"/>
    <w:rsid w:val="008927C5"/>
    <w:rsid w:val="008927CB"/>
    <w:rsid w:val="00892920"/>
    <w:rsid w:val="00892A28"/>
    <w:rsid w:val="00892D91"/>
    <w:rsid w:val="0089320D"/>
    <w:rsid w:val="00893D65"/>
    <w:rsid w:val="00894787"/>
    <w:rsid w:val="00894B13"/>
    <w:rsid w:val="00894B1C"/>
    <w:rsid w:val="00894F92"/>
    <w:rsid w:val="008956BE"/>
    <w:rsid w:val="00895986"/>
    <w:rsid w:val="00895F89"/>
    <w:rsid w:val="008963CC"/>
    <w:rsid w:val="0089698F"/>
    <w:rsid w:val="00896C47"/>
    <w:rsid w:val="00896DBB"/>
    <w:rsid w:val="00897BE0"/>
    <w:rsid w:val="008A0B1A"/>
    <w:rsid w:val="008A201F"/>
    <w:rsid w:val="008A2738"/>
    <w:rsid w:val="008A2E81"/>
    <w:rsid w:val="008A318F"/>
    <w:rsid w:val="008A35DF"/>
    <w:rsid w:val="008A3F5C"/>
    <w:rsid w:val="008A4131"/>
    <w:rsid w:val="008A4197"/>
    <w:rsid w:val="008A4258"/>
    <w:rsid w:val="008A4EC9"/>
    <w:rsid w:val="008A5374"/>
    <w:rsid w:val="008A54A3"/>
    <w:rsid w:val="008A55E9"/>
    <w:rsid w:val="008A57AB"/>
    <w:rsid w:val="008A57B9"/>
    <w:rsid w:val="008A57C2"/>
    <w:rsid w:val="008A66AC"/>
    <w:rsid w:val="008A6BBA"/>
    <w:rsid w:val="008A765B"/>
    <w:rsid w:val="008A76DB"/>
    <w:rsid w:val="008A7A22"/>
    <w:rsid w:val="008A7CDE"/>
    <w:rsid w:val="008B0426"/>
    <w:rsid w:val="008B055D"/>
    <w:rsid w:val="008B05EF"/>
    <w:rsid w:val="008B098E"/>
    <w:rsid w:val="008B16D7"/>
    <w:rsid w:val="008B183D"/>
    <w:rsid w:val="008B1978"/>
    <w:rsid w:val="008B1B6D"/>
    <w:rsid w:val="008B1FB9"/>
    <w:rsid w:val="008B25E6"/>
    <w:rsid w:val="008B2953"/>
    <w:rsid w:val="008B32F7"/>
    <w:rsid w:val="008B36E0"/>
    <w:rsid w:val="008B38DD"/>
    <w:rsid w:val="008B4FE8"/>
    <w:rsid w:val="008B5082"/>
    <w:rsid w:val="008B510A"/>
    <w:rsid w:val="008B576E"/>
    <w:rsid w:val="008B5900"/>
    <w:rsid w:val="008B5D74"/>
    <w:rsid w:val="008B648B"/>
    <w:rsid w:val="008B64FA"/>
    <w:rsid w:val="008B6836"/>
    <w:rsid w:val="008B6BB1"/>
    <w:rsid w:val="008B70C6"/>
    <w:rsid w:val="008B7CFF"/>
    <w:rsid w:val="008C0796"/>
    <w:rsid w:val="008C19E7"/>
    <w:rsid w:val="008C1B4E"/>
    <w:rsid w:val="008C1BC9"/>
    <w:rsid w:val="008C1BED"/>
    <w:rsid w:val="008C227E"/>
    <w:rsid w:val="008C2DBE"/>
    <w:rsid w:val="008C2F90"/>
    <w:rsid w:val="008C367A"/>
    <w:rsid w:val="008C37F7"/>
    <w:rsid w:val="008C40CF"/>
    <w:rsid w:val="008C4C26"/>
    <w:rsid w:val="008C4D82"/>
    <w:rsid w:val="008C55C7"/>
    <w:rsid w:val="008C618E"/>
    <w:rsid w:val="008C68CF"/>
    <w:rsid w:val="008C7037"/>
    <w:rsid w:val="008C7FA8"/>
    <w:rsid w:val="008D1112"/>
    <w:rsid w:val="008D162C"/>
    <w:rsid w:val="008D1A94"/>
    <w:rsid w:val="008D3470"/>
    <w:rsid w:val="008D3B2A"/>
    <w:rsid w:val="008D3D3B"/>
    <w:rsid w:val="008D4101"/>
    <w:rsid w:val="008D4EB3"/>
    <w:rsid w:val="008D534C"/>
    <w:rsid w:val="008D5775"/>
    <w:rsid w:val="008D5A1B"/>
    <w:rsid w:val="008D5C13"/>
    <w:rsid w:val="008D5EC7"/>
    <w:rsid w:val="008D66A6"/>
    <w:rsid w:val="008D6D3A"/>
    <w:rsid w:val="008D7310"/>
    <w:rsid w:val="008D7BAD"/>
    <w:rsid w:val="008E012B"/>
    <w:rsid w:val="008E0133"/>
    <w:rsid w:val="008E038F"/>
    <w:rsid w:val="008E04F9"/>
    <w:rsid w:val="008E08D2"/>
    <w:rsid w:val="008E0F03"/>
    <w:rsid w:val="008E1009"/>
    <w:rsid w:val="008E15F5"/>
    <w:rsid w:val="008E1FCF"/>
    <w:rsid w:val="008E2361"/>
    <w:rsid w:val="008E2480"/>
    <w:rsid w:val="008E29EE"/>
    <w:rsid w:val="008E2C23"/>
    <w:rsid w:val="008E303F"/>
    <w:rsid w:val="008E3088"/>
    <w:rsid w:val="008E31F2"/>
    <w:rsid w:val="008E3364"/>
    <w:rsid w:val="008E3617"/>
    <w:rsid w:val="008E36B7"/>
    <w:rsid w:val="008E3BF1"/>
    <w:rsid w:val="008E404C"/>
    <w:rsid w:val="008E468E"/>
    <w:rsid w:val="008E4732"/>
    <w:rsid w:val="008E4F44"/>
    <w:rsid w:val="008E5964"/>
    <w:rsid w:val="008E632E"/>
    <w:rsid w:val="008E65C6"/>
    <w:rsid w:val="008E69D0"/>
    <w:rsid w:val="008E713C"/>
    <w:rsid w:val="008E7576"/>
    <w:rsid w:val="008E793B"/>
    <w:rsid w:val="008E7C58"/>
    <w:rsid w:val="008E7E71"/>
    <w:rsid w:val="008F0453"/>
    <w:rsid w:val="008F0C2B"/>
    <w:rsid w:val="008F0CB7"/>
    <w:rsid w:val="008F0F60"/>
    <w:rsid w:val="008F0FA7"/>
    <w:rsid w:val="008F1041"/>
    <w:rsid w:val="008F2301"/>
    <w:rsid w:val="008F244F"/>
    <w:rsid w:val="008F27EC"/>
    <w:rsid w:val="008F28D2"/>
    <w:rsid w:val="008F2AF7"/>
    <w:rsid w:val="008F3422"/>
    <w:rsid w:val="008F3496"/>
    <w:rsid w:val="008F3EE2"/>
    <w:rsid w:val="008F4214"/>
    <w:rsid w:val="008F4233"/>
    <w:rsid w:val="008F43A6"/>
    <w:rsid w:val="008F4716"/>
    <w:rsid w:val="008F4E2F"/>
    <w:rsid w:val="008F5242"/>
    <w:rsid w:val="008F5376"/>
    <w:rsid w:val="008F5AF1"/>
    <w:rsid w:val="008F5D89"/>
    <w:rsid w:val="008F611C"/>
    <w:rsid w:val="008F6168"/>
    <w:rsid w:val="008F621D"/>
    <w:rsid w:val="008F64B1"/>
    <w:rsid w:val="008F67D2"/>
    <w:rsid w:val="008F6B24"/>
    <w:rsid w:val="008F72BB"/>
    <w:rsid w:val="008F73DF"/>
    <w:rsid w:val="008F78C1"/>
    <w:rsid w:val="008F7922"/>
    <w:rsid w:val="0090038F"/>
    <w:rsid w:val="00900592"/>
    <w:rsid w:val="00900744"/>
    <w:rsid w:val="00900840"/>
    <w:rsid w:val="00900E14"/>
    <w:rsid w:val="00901DAE"/>
    <w:rsid w:val="00901EA0"/>
    <w:rsid w:val="00902089"/>
    <w:rsid w:val="0090211D"/>
    <w:rsid w:val="00902858"/>
    <w:rsid w:val="00902A36"/>
    <w:rsid w:val="00902AEC"/>
    <w:rsid w:val="00902E24"/>
    <w:rsid w:val="0090334D"/>
    <w:rsid w:val="009033B1"/>
    <w:rsid w:val="0090355F"/>
    <w:rsid w:val="0090367A"/>
    <w:rsid w:val="00903B4D"/>
    <w:rsid w:val="00903E5E"/>
    <w:rsid w:val="00904001"/>
    <w:rsid w:val="00904373"/>
    <w:rsid w:val="009048F1"/>
    <w:rsid w:val="009049AD"/>
    <w:rsid w:val="0090536B"/>
    <w:rsid w:val="00905A28"/>
    <w:rsid w:val="00905AF0"/>
    <w:rsid w:val="00905D67"/>
    <w:rsid w:val="00906B53"/>
    <w:rsid w:val="00906B64"/>
    <w:rsid w:val="0090746C"/>
    <w:rsid w:val="00907667"/>
    <w:rsid w:val="00907CE4"/>
    <w:rsid w:val="009100E6"/>
    <w:rsid w:val="009102EB"/>
    <w:rsid w:val="0091054E"/>
    <w:rsid w:val="00910818"/>
    <w:rsid w:val="0091085B"/>
    <w:rsid w:val="0091085E"/>
    <w:rsid w:val="0091086B"/>
    <w:rsid w:val="00910CFF"/>
    <w:rsid w:val="00910DCF"/>
    <w:rsid w:val="0091132D"/>
    <w:rsid w:val="0091179F"/>
    <w:rsid w:val="009118DD"/>
    <w:rsid w:val="00911C24"/>
    <w:rsid w:val="00911E67"/>
    <w:rsid w:val="00911F0A"/>
    <w:rsid w:val="009123D6"/>
    <w:rsid w:val="00912B68"/>
    <w:rsid w:val="00912DC6"/>
    <w:rsid w:val="00913257"/>
    <w:rsid w:val="009134F7"/>
    <w:rsid w:val="00913832"/>
    <w:rsid w:val="00913AA5"/>
    <w:rsid w:val="00913B24"/>
    <w:rsid w:val="00913C1C"/>
    <w:rsid w:val="0091408D"/>
    <w:rsid w:val="00914343"/>
    <w:rsid w:val="0091493D"/>
    <w:rsid w:val="0091524F"/>
    <w:rsid w:val="00915849"/>
    <w:rsid w:val="00916067"/>
    <w:rsid w:val="00916E3A"/>
    <w:rsid w:val="00917182"/>
    <w:rsid w:val="009179C0"/>
    <w:rsid w:val="00920087"/>
    <w:rsid w:val="0092020E"/>
    <w:rsid w:val="00920925"/>
    <w:rsid w:val="00920D67"/>
    <w:rsid w:val="00920DC6"/>
    <w:rsid w:val="0092148E"/>
    <w:rsid w:val="009214E2"/>
    <w:rsid w:val="00921859"/>
    <w:rsid w:val="0092196C"/>
    <w:rsid w:val="00921A19"/>
    <w:rsid w:val="00922088"/>
    <w:rsid w:val="009221D5"/>
    <w:rsid w:val="00922960"/>
    <w:rsid w:val="00923278"/>
    <w:rsid w:val="0092390E"/>
    <w:rsid w:val="00924217"/>
    <w:rsid w:val="00924A86"/>
    <w:rsid w:val="00924ADA"/>
    <w:rsid w:val="00924BDC"/>
    <w:rsid w:val="00925517"/>
    <w:rsid w:val="00925834"/>
    <w:rsid w:val="00925F14"/>
    <w:rsid w:val="009261B0"/>
    <w:rsid w:val="00926D08"/>
    <w:rsid w:val="00927209"/>
    <w:rsid w:val="009272BE"/>
    <w:rsid w:val="0092754D"/>
    <w:rsid w:val="0092771A"/>
    <w:rsid w:val="00927AD1"/>
    <w:rsid w:val="00927DED"/>
    <w:rsid w:val="00930BC2"/>
    <w:rsid w:val="00930E27"/>
    <w:rsid w:val="00931030"/>
    <w:rsid w:val="00931149"/>
    <w:rsid w:val="009315FA"/>
    <w:rsid w:val="009319A7"/>
    <w:rsid w:val="00931F45"/>
    <w:rsid w:val="00932EB6"/>
    <w:rsid w:val="00933714"/>
    <w:rsid w:val="00934075"/>
    <w:rsid w:val="00934540"/>
    <w:rsid w:val="00935253"/>
    <w:rsid w:val="009355BF"/>
    <w:rsid w:val="00935829"/>
    <w:rsid w:val="00935AB9"/>
    <w:rsid w:val="00936211"/>
    <w:rsid w:val="00936CF4"/>
    <w:rsid w:val="00936F70"/>
    <w:rsid w:val="00937950"/>
    <w:rsid w:val="00937A2A"/>
    <w:rsid w:val="009405A6"/>
    <w:rsid w:val="009405DB"/>
    <w:rsid w:val="00940A43"/>
    <w:rsid w:val="00940BAC"/>
    <w:rsid w:val="009412CA"/>
    <w:rsid w:val="0094187B"/>
    <w:rsid w:val="00941DC3"/>
    <w:rsid w:val="009435AB"/>
    <w:rsid w:val="00943B24"/>
    <w:rsid w:val="009441DF"/>
    <w:rsid w:val="0094446A"/>
    <w:rsid w:val="00944536"/>
    <w:rsid w:val="009449D6"/>
    <w:rsid w:val="00945718"/>
    <w:rsid w:val="00945912"/>
    <w:rsid w:val="00945F17"/>
    <w:rsid w:val="0094749F"/>
    <w:rsid w:val="0094775C"/>
    <w:rsid w:val="00947B65"/>
    <w:rsid w:val="00947BCC"/>
    <w:rsid w:val="00947C0C"/>
    <w:rsid w:val="00947E99"/>
    <w:rsid w:val="009500D1"/>
    <w:rsid w:val="009502AB"/>
    <w:rsid w:val="00950614"/>
    <w:rsid w:val="00950685"/>
    <w:rsid w:val="00950BE0"/>
    <w:rsid w:val="00950C84"/>
    <w:rsid w:val="00950DDD"/>
    <w:rsid w:val="00951689"/>
    <w:rsid w:val="00951E84"/>
    <w:rsid w:val="0095206E"/>
    <w:rsid w:val="009520F6"/>
    <w:rsid w:val="00952863"/>
    <w:rsid w:val="00953064"/>
    <w:rsid w:val="009530E7"/>
    <w:rsid w:val="0095381A"/>
    <w:rsid w:val="00953FFD"/>
    <w:rsid w:val="00954BD4"/>
    <w:rsid w:val="00954EFC"/>
    <w:rsid w:val="00954F90"/>
    <w:rsid w:val="0095514D"/>
    <w:rsid w:val="00955638"/>
    <w:rsid w:val="009556B3"/>
    <w:rsid w:val="009557C1"/>
    <w:rsid w:val="00955F87"/>
    <w:rsid w:val="0095615B"/>
    <w:rsid w:val="00956D66"/>
    <w:rsid w:val="00956DAC"/>
    <w:rsid w:val="009575B6"/>
    <w:rsid w:val="009579EE"/>
    <w:rsid w:val="00957E0A"/>
    <w:rsid w:val="00957E20"/>
    <w:rsid w:val="00960F11"/>
    <w:rsid w:val="00960F20"/>
    <w:rsid w:val="009616E0"/>
    <w:rsid w:val="00962914"/>
    <w:rsid w:val="00962C18"/>
    <w:rsid w:val="00962E45"/>
    <w:rsid w:val="0096324F"/>
    <w:rsid w:val="009634E0"/>
    <w:rsid w:val="00964642"/>
    <w:rsid w:val="009648A0"/>
    <w:rsid w:val="009650BE"/>
    <w:rsid w:val="00965894"/>
    <w:rsid w:val="00965AA5"/>
    <w:rsid w:val="00965B4C"/>
    <w:rsid w:val="00965D2A"/>
    <w:rsid w:val="00965D5F"/>
    <w:rsid w:val="0096648B"/>
    <w:rsid w:val="00966700"/>
    <w:rsid w:val="00966C68"/>
    <w:rsid w:val="00966DBD"/>
    <w:rsid w:val="00966E1B"/>
    <w:rsid w:val="00966FA3"/>
    <w:rsid w:val="00967179"/>
    <w:rsid w:val="009677C1"/>
    <w:rsid w:val="00967B1A"/>
    <w:rsid w:val="00970367"/>
    <w:rsid w:val="0097059D"/>
    <w:rsid w:val="00970E76"/>
    <w:rsid w:val="00970F07"/>
    <w:rsid w:val="0097176A"/>
    <w:rsid w:val="009718B3"/>
    <w:rsid w:val="00972960"/>
    <w:rsid w:val="0097297C"/>
    <w:rsid w:val="00972CBF"/>
    <w:rsid w:val="00972D43"/>
    <w:rsid w:val="009737C9"/>
    <w:rsid w:val="00973908"/>
    <w:rsid w:val="00973917"/>
    <w:rsid w:val="00973B4C"/>
    <w:rsid w:val="00974258"/>
    <w:rsid w:val="00974613"/>
    <w:rsid w:val="00974B48"/>
    <w:rsid w:val="00974D8D"/>
    <w:rsid w:val="00975293"/>
    <w:rsid w:val="009752FC"/>
    <w:rsid w:val="009753E5"/>
    <w:rsid w:val="00975578"/>
    <w:rsid w:val="00975596"/>
    <w:rsid w:val="00975652"/>
    <w:rsid w:val="009756FD"/>
    <w:rsid w:val="0097578F"/>
    <w:rsid w:val="00975916"/>
    <w:rsid w:val="00975B3A"/>
    <w:rsid w:val="00975C00"/>
    <w:rsid w:val="00975E1C"/>
    <w:rsid w:val="00975F25"/>
    <w:rsid w:val="009763C7"/>
    <w:rsid w:val="00976538"/>
    <w:rsid w:val="009765F4"/>
    <w:rsid w:val="00976E52"/>
    <w:rsid w:val="00977049"/>
    <w:rsid w:val="0097737D"/>
    <w:rsid w:val="00977F06"/>
    <w:rsid w:val="009802CC"/>
    <w:rsid w:val="00980583"/>
    <w:rsid w:val="00980749"/>
    <w:rsid w:val="00980789"/>
    <w:rsid w:val="00980ABF"/>
    <w:rsid w:val="00980C4A"/>
    <w:rsid w:val="00980C85"/>
    <w:rsid w:val="009811B1"/>
    <w:rsid w:val="009813A2"/>
    <w:rsid w:val="009813BF"/>
    <w:rsid w:val="00981494"/>
    <w:rsid w:val="009814C3"/>
    <w:rsid w:val="00982265"/>
    <w:rsid w:val="00982AC3"/>
    <w:rsid w:val="0098365D"/>
    <w:rsid w:val="00983B35"/>
    <w:rsid w:val="00983E0B"/>
    <w:rsid w:val="0098435B"/>
    <w:rsid w:val="009846EF"/>
    <w:rsid w:val="00984CB4"/>
    <w:rsid w:val="00984D2B"/>
    <w:rsid w:val="009856A2"/>
    <w:rsid w:val="00985717"/>
    <w:rsid w:val="00986093"/>
    <w:rsid w:val="00986242"/>
    <w:rsid w:val="00986922"/>
    <w:rsid w:val="0098764E"/>
    <w:rsid w:val="00987766"/>
    <w:rsid w:val="00987915"/>
    <w:rsid w:val="00987BE5"/>
    <w:rsid w:val="0099003F"/>
    <w:rsid w:val="009904C5"/>
    <w:rsid w:val="00990D1C"/>
    <w:rsid w:val="009912F0"/>
    <w:rsid w:val="009913B2"/>
    <w:rsid w:val="00991400"/>
    <w:rsid w:val="00991808"/>
    <w:rsid w:val="00991974"/>
    <w:rsid w:val="00992683"/>
    <w:rsid w:val="00992A9E"/>
    <w:rsid w:val="00992DA7"/>
    <w:rsid w:val="00993003"/>
    <w:rsid w:val="00993C3F"/>
    <w:rsid w:val="00993D7F"/>
    <w:rsid w:val="00993FBA"/>
    <w:rsid w:val="00994040"/>
    <w:rsid w:val="009949A9"/>
    <w:rsid w:val="009957A7"/>
    <w:rsid w:val="00995FBC"/>
    <w:rsid w:val="0099601D"/>
    <w:rsid w:val="00996520"/>
    <w:rsid w:val="00996E85"/>
    <w:rsid w:val="00996F97"/>
    <w:rsid w:val="009973FA"/>
    <w:rsid w:val="00997A92"/>
    <w:rsid w:val="009A0B45"/>
    <w:rsid w:val="009A1A96"/>
    <w:rsid w:val="009A1BA1"/>
    <w:rsid w:val="009A1D03"/>
    <w:rsid w:val="009A1D72"/>
    <w:rsid w:val="009A26FB"/>
    <w:rsid w:val="009A34BB"/>
    <w:rsid w:val="009A4549"/>
    <w:rsid w:val="009A46C2"/>
    <w:rsid w:val="009A48BA"/>
    <w:rsid w:val="009A4E5B"/>
    <w:rsid w:val="009A4EB9"/>
    <w:rsid w:val="009A539D"/>
    <w:rsid w:val="009A564B"/>
    <w:rsid w:val="009A56D3"/>
    <w:rsid w:val="009A5C14"/>
    <w:rsid w:val="009A5C57"/>
    <w:rsid w:val="009A6030"/>
    <w:rsid w:val="009A67EE"/>
    <w:rsid w:val="009A7A81"/>
    <w:rsid w:val="009A7A96"/>
    <w:rsid w:val="009A7AC6"/>
    <w:rsid w:val="009B00B6"/>
    <w:rsid w:val="009B048C"/>
    <w:rsid w:val="009B0B1B"/>
    <w:rsid w:val="009B12DF"/>
    <w:rsid w:val="009B15EC"/>
    <w:rsid w:val="009B178B"/>
    <w:rsid w:val="009B19A1"/>
    <w:rsid w:val="009B2056"/>
    <w:rsid w:val="009B222C"/>
    <w:rsid w:val="009B29FE"/>
    <w:rsid w:val="009B2BCB"/>
    <w:rsid w:val="009B3023"/>
    <w:rsid w:val="009B3409"/>
    <w:rsid w:val="009B3527"/>
    <w:rsid w:val="009B361E"/>
    <w:rsid w:val="009B3B18"/>
    <w:rsid w:val="009B43E3"/>
    <w:rsid w:val="009B4A3F"/>
    <w:rsid w:val="009B4FFE"/>
    <w:rsid w:val="009B526B"/>
    <w:rsid w:val="009B5983"/>
    <w:rsid w:val="009B59A8"/>
    <w:rsid w:val="009B5AED"/>
    <w:rsid w:val="009B5BEE"/>
    <w:rsid w:val="009B60A5"/>
    <w:rsid w:val="009B63A9"/>
    <w:rsid w:val="009B6458"/>
    <w:rsid w:val="009B65D1"/>
    <w:rsid w:val="009B673D"/>
    <w:rsid w:val="009B6E90"/>
    <w:rsid w:val="009B6FC7"/>
    <w:rsid w:val="009B76E9"/>
    <w:rsid w:val="009B7A88"/>
    <w:rsid w:val="009C0688"/>
    <w:rsid w:val="009C17A3"/>
    <w:rsid w:val="009C18E4"/>
    <w:rsid w:val="009C1AAC"/>
    <w:rsid w:val="009C1CF9"/>
    <w:rsid w:val="009C1ED7"/>
    <w:rsid w:val="009C1FB0"/>
    <w:rsid w:val="009C22C5"/>
    <w:rsid w:val="009C2302"/>
    <w:rsid w:val="009C3375"/>
    <w:rsid w:val="009C365A"/>
    <w:rsid w:val="009C3979"/>
    <w:rsid w:val="009C3BFB"/>
    <w:rsid w:val="009C466B"/>
    <w:rsid w:val="009C47D1"/>
    <w:rsid w:val="009C4910"/>
    <w:rsid w:val="009C4B76"/>
    <w:rsid w:val="009C5781"/>
    <w:rsid w:val="009C5A6E"/>
    <w:rsid w:val="009C641D"/>
    <w:rsid w:val="009C6589"/>
    <w:rsid w:val="009C6BE2"/>
    <w:rsid w:val="009C7619"/>
    <w:rsid w:val="009C799A"/>
    <w:rsid w:val="009D00A6"/>
    <w:rsid w:val="009D0200"/>
    <w:rsid w:val="009D0F71"/>
    <w:rsid w:val="009D0F87"/>
    <w:rsid w:val="009D133B"/>
    <w:rsid w:val="009D1C42"/>
    <w:rsid w:val="009D20C7"/>
    <w:rsid w:val="009D2245"/>
    <w:rsid w:val="009D22FA"/>
    <w:rsid w:val="009D2339"/>
    <w:rsid w:val="009D24D7"/>
    <w:rsid w:val="009D2DDD"/>
    <w:rsid w:val="009D33AA"/>
    <w:rsid w:val="009D37A9"/>
    <w:rsid w:val="009D3A16"/>
    <w:rsid w:val="009D3BE0"/>
    <w:rsid w:val="009D3D36"/>
    <w:rsid w:val="009D44C1"/>
    <w:rsid w:val="009D4511"/>
    <w:rsid w:val="009D4DA2"/>
    <w:rsid w:val="009D501F"/>
    <w:rsid w:val="009D551B"/>
    <w:rsid w:val="009D5A41"/>
    <w:rsid w:val="009D65F4"/>
    <w:rsid w:val="009D6755"/>
    <w:rsid w:val="009D67C3"/>
    <w:rsid w:val="009D6857"/>
    <w:rsid w:val="009D6919"/>
    <w:rsid w:val="009D69C6"/>
    <w:rsid w:val="009D6AE8"/>
    <w:rsid w:val="009D70CC"/>
    <w:rsid w:val="009D711A"/>
    <w:rsid w:val="009D714A"/>
    <w:rsid w:val="009D77F5"/>
    <w:rsid w:val="009D7DA4"/>
    <w:rsid w:val="009E081D"/>
    <w:rsid w:val="009E08E9"/>
    <w:rsid w:val="009E0DDD"/>
    <w:rsid w:val="009E14A4"/>
    <w:rsid w:val="009E16EF"/>
    <w:rsid w:val="009E1842"/>
    <w:rsid w:val="009E29A2"/>
    <w:rsid w:val="009E30A6"/>
    <w:rsid w:val="009E37CA"/>
    <w:rsid w:val="009E3AEB"/>
    <w:rsid w:val="009E3B3A"/>
    <w:rsid w:val="009E3B49"/>
    <w:rsid w:val="009E3D3D"/>
    <w:rsid w:val="009E441A"/>
    <w:rsid w:val="009E47BA"/>
    <w:rsid w:val="009E4894"/>
    <w:rsid w:val="009E4ADF"/>
    <w:rsid w:val="009E4DB2"/>
    <w:rsid w:val="009E4DB4"/>
    <w:rsid w:val="009E4F9C"/>
    <w:rsid w:val="009E50E6"/>
    <w:rsid w:val="009E53D9"/>
    <w:rsid w:val="009E6833"/>
    <w:rsid w:val="009E7961"/>
    <w:rsid w:val="009E7E07"/>
    <w:rsid w:val="009E7E4B"/>
    <w:rsid w:val="009F00FD"/>
    <w:rsid w:val="009F0639"/>
    <w:rsid w:val="009F0863"/>
    <w:rsid w:val="009F0B4A"/>
    <w:rsid w:val="009F10AD"/>
    <w:rsid w:val="009F15FC"/>
    <w:rsid w:val="009F168B"/>
    <w:rsid w:val="009F21E6"/>
    <w:rsid w:val="009F2AFE"/>
    <w:rsid w:val="009F2B4D"/>
    <w:rsid w:val="009F2D94"/>
    <w:rsid w:val="009F4239"/>
    <w:rsid w:val="009F4308"/>
    <w:rsid w:val="009F4436"/>
    <w:rsid w:val="009F4579"/>
    <w:rsid w:val="009F4651"/>
    <w:rsid w:val="009F494B"/>
    <w:rsid w:val="009F4981"/>
    <w:rsid w:val="009F4BA6"/>
    <w:rsid w:val="009F4E7F"/>
    <w:rsid w:val="009F4E9C"/>
    <w:rsid w:val="009F4F70"/>
    <w:rsid w:val="009F5263"/>
    <w:rsid w:val="009F5AE7"/>
    <w:rsid w:val="009F6079"/>
    <w:rsid w:val="009F6334"/>
    <w:rsid w:val="009F657A"/>
    <w:rsid w:val="009F6744"/>
    <w:rsid w:val="009F7CC3"/>
    <w:rsid w:val="009F7CD6"/>
    <w:rsid w:val="00A0009F"/>
    <w:rsid w:val="00A00460"/>
    <w:rsid w:val="00A00681"/>
    <w:rsid w:val="00A0083C"/>
    <w:rsid w:val="00A00D33"/>
    <w:rsid w:val="00A00DA2"/>
    <w:rsid w:val="00A011FE"/>
    <w:rsid w:val="00A01719"/>
    <w:rsid w:val="00A01F94"/>
    <w:rsid w:val="00A01FFA"/>
    <w:rsid w:val="00A020FE"/>
    <w:rsid w:val="00A02209"/>
    <w:rsid w:val="00A023DF"/>
    <w:rsid w:val="00A024BB"/>
    <w:rsid w:val="00A027D8"/>
    <w:rsid w:val="00A037F2"/>
    <w:rsid w:val="00A04D34"/>
    <w:rsid w:val="00A05614"/>
    <w:rsid w:val="00A05AB3"/>
    <w:rsid w:val="00A05CB9"/>
    <w:rsid w:val="00A05D4B"/>
    <w:rsid w:val="00A06339"/>
    <w:rsid w:val="00A06481"/>
    <w:rsid w:val="00A064BF"/>
    <w:rsid w:val="00A0668D"/>
    <w:rsid w:val="00A06EDF"/>
    <w:rsid w:val="00A07210"/>
    <w:rsid w:val="00A10935"/>
    <w:rsid w:val="00A10C3B"/>
    <w:rsid w:val="00A10CFF"/>
    <w:rsid w:val="00A11521"/>
    <w:rsid w:val="00A11684"/>
    <w:rsid w:val="00A12343"/>
    <w:rsid w:val="00A126A4"/>
    <w:rsid w:val="00A129C7"/>
    <w:rsid w:val="00A129D2"/>
    <w:rsid w:val="00A12AEB"/>
    <w:rsid w:val="00A1301F"/>
    <w:rsid w:val="00A13081"/>
    <w:rsid w:val="00A1339E"/>
    <w:rsid w:val="00A13419"/>
    <w:rsid w:val="00A13F3D"/>
    <w:rsid w:val="00A14067"/>
    <w:rsid w:val="00A140DD"/>
    <w:rsid w:val="00A14509"/>
    <w:rsid w:val="00A14538"/>
    <w:rsid w:val="00A14DA7"/>
    <w:rsid w:val="00A15C7D"/>
    <w:rsid w:val="00A163FA"/>
    <w:rsid w:val="00A1687D"/>
    <w:rsid w:val="00A172B5"/>
    <w:rsid w:val="00A173F5"/>
    <w:rsid w:val="00A178A0"/>
    <w:rsid w:val="00A17B63"/>
    <w:rsid w:val="00A17FF2"/>
    <w:rsid w:val="00A2010A"/>
    <w:rsid w:val="00A2047F"/>
    <w:rsid w:val="00A21126"/>
    <w:rsid w:val="00A2153C"/>
    <w:rsid w:val="00A2161C"/>
    <w:rsid w:val="00A216E7"/>
    <w:rsid w:val="00A21AF7"/>
    <w:rsid w:val="00A21EA3"/>
    <w:rsid w:val="00A223F6"/>
    <w:rsid w:val="00A224AF"/>
    <w:rsid w:val="00A22734"/>
    <w:rsid w:val="00A23395"/>
    <w:rsid w:val="00A238FC"/>
    <w:rsid w:val="00A2404A"/>
    <w:rsid w:val="00A2456D"/>
    <w:rsid w:val="00A251BA"/>
    <w:rsid w:val="00A253CA"/>
    <w:rsid w:val="00A25504"/>
    <w:rsid w:val="00A255BC"/>
    <w:rsid w:val="00A25D77"/>
    <w:rsid w:val="00A266C4"/>
    <w:rsid w:val="00A272DD"/>
    <w:rsid w:val="00A2731B"/>
    <w:rsid w:val="00A2764F"/>
    <w:rsid w:val="00A27E90"/>
    <w:rsid w:val="00A300E7"/>
    <w:rsid w:val="00A30117"/>
    <w:rsid w:val="00A30BF5"/>
    <w:rsid w:val="00A3193D"/>
    <w:rsid w:val="00A31A97"/>
    <w:rsid w:val="00A31F20"/>
    <w:rsid w:val="00A3226C"/>
    <w:rsid w:val="00A32F40"/>
    <w:rsid w:val="00A331C8"/>
    <w:rsid w:val="00A3385B"/>
    <w:rsid w:val="00A33B45"/>
    <w:rsid w:val="00A34767"/>
    <w:rsid w:val="00A34981"/>
    <w:rsid w:val="00A34C03"/>
    <w:rsid w:val="00A34E5B"/>
    <w:rsid w:val="00A3573E"/>
    <w:rsid w:val="00A357E4"/>
    <w:rsid w:val="00A35BCF"/>
    <w:rsid w:val="00A360AC"/>
    <w:rsid w:val="00A36163"/>
    <w:rsid w:val="00A3634F"/>
    <w:rsid w:val="00A3681E"/>
    <w:rsid w:val="00A36CCD"/>
    <w:rsid w:val="00A36D1F"/>
    <w:rsid w:val="00A36DED"/>
    <w:rsid w:val="00A37527"/>
    <w:rsid w:val="00A377E9"/>
    <w:rsid w:val="00A41885"/>
    <w:rsid w:val="00A41CBE"/>
    <w:rsid w:val="00A42335"/>
    <w:rsid w:val="00A425CB"/>
    <w:rsid w:val="00A42632"/>
    <w:rsid w:val="00A426A4"/>
    <w:rsid w:val="00A42DF5"/>
    <w:rsid w:val="00A42EBC"/>
    <w:rsid w:val="00A42F51"/>
    <w:rsid w:val="00A43385"/>
    <w:rsid w:val="00A43626"/>
    <w:rsid w:val="00A43FBA"/>
    <w:rsid w:val="00A4434F"/>
    <w:rsid w:val="00A4554A"/>
    <w:rsid w:val="00A4579C"/>
    <w:rsid w:val="00A45981"/>
    <w:rsid w:val="00A46210"/>
    <w:rsid w:val="00A465C3"/>
    <w:rsid w:val="00A46899"/>
    <w:rsid w:val="00A46F36"/>
    <w:rsid w:val="00A470A3"/>
    <w:rsid w:val="00A47479"/>
    <w:rsid w:val="00A47AAB"/>
    <w:rsid w:val="00A47C37"/>
    <w:rsid w:val="00A50064"/>
    <w:rsid w:val="00A505B6"/>
    <w:rsid w:val="00A50775"/>
    <w:rsid w:val="00A50E3F"/>
    <w:rsid w:val="00A511FC"/>
    <w:rsid w:val="00A51589"/>
    <w:rsid w:val="00A516D3"/>
    <w:rsid w:val="00A51808"/>
    <w:rsid w:val="00A51AA7"/>
    <w:rsid w:val="00A51EBE"/>
    <w:rsid w:val="00A51FF5"/>
    <w:rsid w:val="00A520AC"/>
    <w:rsid w:val="00A525EF"/>
    <w:rsid w:val="00A52757"/>
    <w:rsid w:val="00A5487A"/>
    <w:rsid w:val="00A55219"/>
    <w:rsid w:val="00A55AE0"/>
    <w:rsid w:val="00A55BF1"/>
    <w:rsid w:val="00A563F5"/>
    <w:rsid w:val="00A567AF"/>
    <w:rsid w:val="00A56C87"/>
    <w:rsid w:val="00A570F5"/>
    <w:rsid w:val="00A57A67"/>
    <w:rsid w:val="00A57B45"/>
    <w:rsid w:val="00A57CD4"/>
    <w:rsid w:val="00A60079"/>
    <w:rsid w:val="00A60953"/>
    <w:rsid w:val="00A60B8A"/>
    <w:rsid w:val="00A60EFE"/>
    <w:rsid w:val="00A610DC"/>
    <w:rsid w:val="00A612B9"/>
    <w:rsid w:val="00A61389"/>
    <w:rsid w:val="00A61407"/>
    <w:rsid w:val="00A61B6E"/>
    <w:rsid w:val="00A61D4A"/>
    <w:rsid w:val="00A62B09"/>
    <w:rsid w:val="00A6305C"/>
    <w:rsid w:val="00A634D7"/>
    <w:rsid w:val="00A639A8"/>
    <w:rsid w:val="00A63B4C"/>
    <w:rsid w:val="00A63E06"/>
    <w:rsid w:val="00A640E1"/>
    <w:rsid w:val="00A643C3"/>
    <w:rsid w:val="00A64D88"/>
    <w:rsid w:val="00A64F03"/>
    <w:rsid w:val="00A64F07"/>
    <w:rsid w:val="00A65083"/>
    <w:rsid w:val="00A65266"/>
    <w:rsid w:val="00A65BEA"/>
    <w:rsid w:val="00A672D6"/>
    <w:rsid w:val="00A679E0"/>
    <w:rsid w:val="00A67A62"/>
    <w:rsid w:val="00A67B79"/>
    <w:rsid w:val="00A70B7E"/>
    <w:rsid w:val="00A70F75"/>
    <w:rsid w:val="00A711E0"/>
    <w:rsid w:val="00A71212"/>
    <w:rsid w:val="00A71BED"/>
    <w:rsid w:val="00A71CDD"/>
    <w:rsid w:val="00A71D37"/>
    <w:rsid w:val="00A72206"/>
    <w:rsid w:val="00A72369"/>
    <w:rsid w:val="00A72751"/>
    <w:rsid w:val="00A72C3F"/>
    <w:rsid w:val="00A72D3C"/>
    <w:rsid w:val="00A73308"/>
    <w:rsid w:val="00A73393"/>
    <w:rsid w:val="00A734CF"/>
    <w:rsid w:val="00A739EE"/>
    <w:rsid w:val="00A7407F"/>
    <w:rsid w:val="00A74795"/>
    <w:rsid w:val="00A75D2D"/>
    <w:rsid w:val="00A75FC1"/>
    <w:rsid w:val="00A775DA"/>
    <w:rsid w:val="00A7778F"/>
    <w:rsid w:val="00A77B9C"/>
    <w:rsid w:val="00A77E3A"/>
    <w:rsid w:val="00A80865"/>
    <w:rsid w:val="00A80B07"/>
    <w:rsid w:val="00A8189A"/>
    <w:rsid w:val="00A81BBA"/>
    <w:rsid w:val="00A81DE6"/>
    <w:rsid w:val="00A83E91"/>
    <w:rsid w:val="00A83E9B"/>
    <w:rsid w:val="00A84092"/>
    <w:rsid w:val="00A84506"/>
    <w:rsid w:val="00A84A5C"/>
    <w:rsid w:val="00A84E44"/>
    <w:rsid w:val="00A84EED"/>
    <w:rsid w:val="00A84F1B"/>
    <w:rsid w:val="00A859DD"/>
    <w:rsid w:val="00A860B0"/>
    <w:rsid w:val="00A862EF"/>
    <w:rsid w:val="00A867A1"/>
    <w:rsid w:val="00A87399"/>
    <w:rsid w:val="00A8753F"/>
    <w:rsid w:val="00A87A86"/>
    <w:rsid w:val="00A90886"/>
    <w:rsid w:val="00A90EC4"/>
    <w:rsid w:val="00A91254"/>
    <w:rsid w:val="00A918CB"/>
    <w:rsid w:val="00A91A9A"/>
    <w:rsid w:val="00A91B47"/>
    <w:rsid w:val="00A91CCB"/>
    <w:rsid w:val="00A91E6C"/>
    <w:rsid w:val="00A9285E"/>
    <w:rsid w:val="00A92EE3"/>
    <w:rsid w:val="00A9303A"/>
    <w:rsid w:val="00A9325E"/>
    <w:rsid w:val="00A937EF"/>
    <w:rsid w:val="00A9383F"/>
    <w:rsid w:val="00A93A4D"/>
    <w:rsid w:val="00A93CAE"/>
    <w:rsid w:val="00A93FAC"/>
    <w:rsid w:val="00A94A0F"/>
    <w:rsid w:val="00A94BEA"/>
    <w:rsid w:val="00A95375"/>
    <w:rsid w:val="00A95425"/>
    <w:rsid w:val="00A95927"/>
    <w:rsid w:val="00A95EA2"/>
    <w:rsid w:val="00A96F8C"/>
    <w:rsid w:val="00A97084"/>
    <w:rsid w:val="00A97D98"/>
    <w:rsid w:val="00AA05EB"/>
    <w:rsid w:val="00AA1686"/>
    <w:rsid w:val="00AA1F25"/>
    <w:rsid w:val="00AA31B1"/>
    <w:rsid w:val="00AA370A"/>
    <w:rsid w:val="00AA372A"/>
    <w:rsid w:val="00AA3858"/>
    <w:rsid w:val="00AA3A5A"/>
    <w:rsid w:val="00AA3B69"/>
    <w:rsid w:val="00AA3DF0"/>
    <w:rsid w:val="00AA4BEC"/>
    <w:rsid w:val="00AA4E44"/>
    <w:rsid w:val="00AA5357"/>
    <w:rsid w:val="00AA5521"/>
    <w:rsid w:val="00AA6168"/>
    <w:rsid w:val="00AA6381"/>
    <w:rsid w:val="00AA68D2"/>
    <w:rsid w:val="00AA6F96"/>
    <w:rsid w:val="00AA6FBD"/>
    <w:rsid w:val="00AA74B5"/>
    <w:rsid w:val="00AA775D"/>
    <w:rsid w:val="00AA7A24"/>
    <w:rsid w:val="00AB0230"/>
    <w:rsid w:val="00AB0256"/>
    <w:rsid w:val="00AB078B"/>
    <w:rsid w:val="00AB07E4"/>
    <w:rsid w:val="00AB0BA7"/>
    <w:rsid w:val="00AB0BFE"/>
    <w:rsid w:val="00AB0E37"/>
    <w:rsid w:val="00AB12E7"/>
    <w:rsid w:val="00AB14B2"/>
    <w:rsid w:val="00AB19C1"/>
    <w:rsid w:val="00AB1ABA"/>
    <w:rsid w:val="00AB3214"/>
    <w:rsid w:val="00AB322D"/>
    <w:rsid w:val="00AB38FF"/>
    <w:rsid w:val="00AB3C68"/>
    <w:rsid w:val="00AB43F4"/>
    <w:rsid w:val="00AB4475"/>
    <w:rsid w:val="00AB4695"/>
    <w:rsid w:val="00AB4781"/>
    <w:rsid w:val="00AB47F5"/>
    <w:rsid w:val="00AB4D7A"/>
    <w:rsid w:val="00AB5072"/>
    <w:rsid w:val="00AB5355"/>
    <w:rsid w:val="00AB561D"/>
    <w:rsid w:val="00AB5A07"/>
    <w:rsid w:val="00AB6336"/>
    <w:rsid w:val="00AB6C3B"/>
    <w:rsid w:val="00AB748C"/>
    <w:rsid w:val="00AB7629"/>
    <w:rsid w:val="00AB7D97"/>
    <w:rsid w:val="00AC04D9"/>
    <w:rsid w:val="00AC0DDD"/>
    <w:rsid w:val="00AC10AC"/>
    <w:rsid w:val="00AC190C"/>
    <w:rsid w:val="00AC1C7B"/>
    <w:rsid w:val="00AC214D"/>
    <w:rsid w:val="00AC25F9"/>
    <w:rsid w:val="00AC2EA4"/>
    <w:rsid w:val="00AC3249"/>
    <w:rsid w:val="00AC3505"/>
    <w:rsid w:val="00AC3529"/>
    <w:rsid w:val="00AC36AE"/>
    <w:rsid w:val="00AC3D44"/>
    <w:rsid w:val="00AC3E4A"/>
    <w:rsid w:val="00AC3F7F"/>
    <w:rsid w:val="00AC479B"/>
    <w:rsid w:val="00AC4AF3"/>
    <w:rsid w:val="00AC4B3A"/>
    <w:rsid w:val="00AC516D"/>
    <w:rsid w:val="00AC56A0"/>
    <w:rsid w:val="00AC5FB2"/>
    <w:rsid w:val="00AC6076"/>
    <w:rsid w:val="00AC6204"/>
    <w:rsid w:val="00AC6626"/>
    <w:rsid w:val="00AC6705"/>
    <w:rsid w:val="00AC6925"/>
    <w:rsid w:val="00AC6A21"/>
    <w:rsid w:val="00AC6D90"/>
    <w:rsid w:val="00AC7475"/>
    <w:rsid w:val="00AC7799"/>
    <w:rsid w:val="00AC7CB8"/>
    <w:rsid w:val="00AD0602"/>
    <w:rsid w:val="00AD0C4C"/>
    <w:rsid w:val="00AD1245"/>
    <w:rsid w:val="00AD2595"/>
    <w:rsid w:val="00AD2F55"/>
    <w:rsid w:val="00AD3238"/>
    <w:rsid w:val="00AD4142"/>
    <w:rsid w:val="00AD4233"/>
    <w:rsid w:val="00AD42EF"/>
    <w:rsid w:val="00AD43C3"/>
    <w:rsid w:val="00AD46D8"/>
    <w:rsid w:val="00AD4A18"/>
    <w:rsid w:val="00AD4E27"/>
    <w:rsid w:val="00AD56FF"/>
    <w:rsid w:val="00AD5BC9"/>
    <w:rsid w:val="00AD5C82"/>
    <w:rsid w:val="00AD659F"/>
    <w:rsid w:val="00AD67C9"/>
    <w:rsid w:val="00AD6A35"/>
    <w:rsid w:val="00AD6B3B"/>
    <w:rsid w:val="00AD6C6A"/>
    <w:rsid w:val="00AD6D84"/>
    <w:rsid w:val="00AD6EAD"/>
    <w:rsid w:val="00AD7038"/>
    <w:rsid w:val="00AD7D51"/>
    <w:rsid w:val="00AE0097"/>
    <w:rsid w:val="00AE07FF"/>
    <w:rsid w:val="00AE0951"/>
    <w:rsid w:val="00AE0C60"/>
    <w:rsid w:val="00AE0CEB"/>
    <w:rsid w:val="00AE127E"/>
    <w:rsid w:val="00AE1546"/>
    <w:rsid w:val="00AE2408"/>
    <w:rsid w:val="00AE2AD0"/>
    <w:rsid w:val="00AE3EAC"/>
    <w:rsid w:val="00AE491A"/>
    <w:rsid w:val="00AE4939"/>
    <w:rsid w:val="00AE58CD"/>
    <w:rsid w:val="00AE5CC5"/>
    <w:rsid w:val="00AE627C"/>
    <w:rsid w:val="00AE77FA"/>
    <w:rsid w:val="00AF069D"/>
    <w:rsid w:val="00AF0B95"/>
    <w:rsid w:val="00AF0F32"/>
    <w:rsid w:val="00AF1426"/>
    <w:rsid w:val="00AF1E73"/>
    <w:rsid w:val="00AF1F44"/>
    <w:rsid w:val="00AF2453"/>
    <w:rsid w:val="00AF2569"/>
    <w:rsid w:val="00AF27DC"/>
    <w:rsid w:val="00AF334E"/>
    <w:rsid w:val="00AF414E"/>
    <w:rsid w:val="00AF415E"/>
    <w:rsid w:val="00AF423D"/>
    <w:rsid w:val="00AF44C5"/>
    <w:rsid w:val="00AF4B78"/>
    <w:rsid w:val="00AF4DA4"/>
    <w:rsid w:val="00AF529A"/>
    <w:rsid w:val="00AF57E1"/>
    <w:rsid w:val="00AF5E0D"/>
    <w:rsid w:val="00AF5F44"/>
    <w:rsid w:val="00AF62BB"/>
    <w:rsid w:val="00AF64F6"/>
    <w:rsid w:val="00AF68E4"/>
    <w:rsid w:val="00AF6E2C"/>
    <w:rsid w:val="00AF7050"/>
    <w:rsid w:val="00AF7233"/>
    <w:rsid w:val="00AF7AEE"/>
    <w:rsid w:val="00AF7EBD"/>
    <w:rsid w:val="00AF7FE9"/>
    <w:rsid w:val="00B00028"/>
    <w:rsid w:val="00B000A6"/>
    <w:rsid w:val="00B00173"/>
    <w:rsid w:val="00B0069D"/>
    <w:rsid w:val="00B00836"/>
    <w:rsid w:val="00B0095B"/>
    <w:rsid w:val="00B0130D"/>
    <w:rsid w:val="00B016B7"/>
    <w:rsid w:val="00B01BE8"/>
    <w:rsid w:val="00B02591"/>
    <w:rsid w:val="00B02C69"/>
    <w:rsid w:val="00B03BE9"/>
    <w:rsid w:val="00B03E69"/>
    <w:rsid w:val="00B051F5"/>
    <w:rsid w:val="00B062A2"/>
    <w:rsid w:val="00B06367"/>
    <w:rsid w:val="00B068D7"/>
    <w:rsid w:val="00B06C99"/>
    <w:rsid w:val="00B06F95"/>
    <w:rsid w:val="00B07453"/>
    <w:rsid w:val="00B075B4"/>
    <w:rsid w:val="00B10DA9"/>
    <w:rsid w:val="00B11061"/>
    <w:rsid w:val="00B112D4"/>
    <w:rsid w:val="00B113BF"/>
    <w:rsid w:val="00B11766"/>
    <w:rsid w:val="00B11BEC"/>
    <w:rsid w:val="00B11CE8"/>
    <w:rsid w:val="00B12077"/>
    <w:rsid w:val="00B123BD"/>
    <w:rsid w:val="00B1250B"/>
    <w:rsid w:val="00B125A4"/>
    <w:rsid w:val="00B12703"/>
    <w:rsid w:val="00B12F5B"/>
    <w:rsid w:val="00B13687"/>
    <w:rsid w:val="00B1387E"/>
    <w:rsid w:val="00B14262"/>
    <w:rsid w:val="00B1439C"/>
    <w:rsid w:val="00B145C7"/>
    <w:rsid w:val="00B146BC"/>
    <w:rsid w:val="00B15071"/>
    <w:rsid w:val="00B15461"/>
    <w:rsid w:val="00B157ED"/>
    <w:rsid w:val="00B15A43"/>
    <w:rsid w:val="00B15B61"/>
    <w:rsid w:val="00B160EC"/>
    <w:rsid w:val="00B167E5"/>
    <w:rsid w:val="00B16E98"/>
    <w:rsid w:val="00B17041"/>
    <w:rsid w:val="00B17059"/>
    <w:rsid w:val="00B17BEF"/>
    <w:rsid w:val="00B17FB5"/>
    <w:rsid w:val="00B201FE"/>
    <w:rsid w:val="00B20377"/>
    <w:rsid w:val="00B21568"/>
    <w:rsid w:val="00B21923"/>
    <w:rsid w:val="00B21B50"/>
    <w:rsid w:val="00B22296"/>
    <w:rsid w:val="00B2260A"/>
    <w:rsid w:val="00B22B0B"/>
    <w:rsid w:val="00B22F34"/>
    <w:rsid w:val="00B230AF"/>
    <w:rsid w:val="00B233E9"/>
    <w:rsid w:val="00B2340E"/>
    <w:rsid w:val="00B235C1"/>
    <w:rsid w:val="00B237CF"/>
    <w:rsid w:val="00B23AD9"/>
    <w:rsid w:val="00B23C15"/>
    <w:rsid w:val="00B2406A"/>
    <w:rsid w:val="00B24249"/>
    <w:rsid w:val="00B24429"/>
    <w:rsid w:val="00B24434"/>
    <w:rsid w:val="00B24949"/>
    <w:rsid w:val="00B24D8F"/>
    <w:rsid w:val="00B25054"/>
    <w:rsid w:val="00B251BB"/>
    <w:rsid w:val="00B256A6"/>
    <w:rsid w:val="00B25870"/>
    <w:rsid w:val="00B2657B"/>
    <w:rsid w:val="00B2741E"/>
    <w:rsid w:val="00B27437"/>
    <w:rsid w:val="00B27577"/>
    <w:rsid w:val="00B27964"/>
    <w:rsid w:val="00B300F8"/>
    <w:rsid w:val="00B303B1"/>
    <w:rsid w:val="00B305E7"/>
    <w:rsid w:val="00B30A94"/>
    <w:rsid w:val="00B30C98"/>
    <w:rsid w:val="00B31378"/>
    <w:rsid w:val="00B313B3"/>
    <w:rsid w:val="00B31906"/>
    <w:rsid w:val="00B31BBB"/>
    <w:rsid w:val="00B324DC"/>
    <w:rsid w:val="00B3254D"/>
    <w:rsid w:val="00B3279C"/>
    <w:rsid w:val="00B3299E"/>
    <w:rsid w:val="00B32C3C"/>
    <w:rsid w:val="00B332E7"/>
    <w:rsid w:val="00B33467"/>
    <w:rsid w:val="00B33C41"/>
    <w:rsid w:val="00B34236"/>
    <w:rsid w:val="00B34ADC"/>
    <w:rsid w:val="00B34B04"/>
    <w:rsid w:val="00B34B26"/>
    <w:rsid w:val="00B34CA7"/>
    <w:rsid w:val="00B35788"/>
    <w:rsid w:val="00B368C6"/>
    <w:rsid w:val="00B37345"/>
    <w:rsid w:val="00B3742A"/>
    <w:rsid w:val="00B37FFD"/>
    <w:rsid w:val="00B400FB"/>
    <w:rsid w:val="00B404A0"/>
    <w:rsid w:val="00B409DB"/>
    <w:rsid w:val="00B40A3D"/>
    <w:rsid w:val="00B40B5D"/>
    <w:rsid w:val="00B4125B"/>
    <w:rsid w:val="00B41992"/>
    <w:rsid w:val="00B41B94"/>
    <w:rsid w:val="00B42118"/>
    <w:rsid w:val="00B43B98"/>
    <w:rsid w:val="00B43CE3"/>
    <w:rsid w:val="00B43E73"/>
    <w:rsid w:val="00B44277"/>
    <w:rsid w:val="00B442F8"/>
    <w:rsid w:val="00B44749"/>
    <w:rsid w:val="00B44FBC"/>
    <w:rsid w:val="00B45206"/>
    <w:rsid w:val="00B45D01"/>
    <w:rsid w:val="00B45FC9"/>
    <w:rsid w:val="00B46539"/>
    <w:rsid w:val="00B465CE"/>
    <w:rsid w:val="00B46702"/>
    <w:rsid w:val="00B467B3"/>
    <w:rsid w:val="00B46B9F"/>
    <w:rsid w:val="00B46D1A"/>
    <w:rsid w:val="00B46E74"/>
    <w:rsid w:val="00B470E9"/>
    <w:rsid w:val="00B4713B"/>
    <w:rsid w:val="00B471FF"/>
    <w:rsid w:val="00B4725A"/>
    <w:rsid w:val="00B47313"/>
    <w:rsid w:val="00B47695"/>
    <w:rsid w:val="00B4797C"/>
    <w:rsid w:val="00B47CFF"/>
    <w:rsid w:val="00B50272"/>
    <w:rsid w:val="00B50E5C"/>
    <w:rsid w:val="00B511BD"/>
    <w:rsid w:val="00B5132B"/>
    <w:rsid w:val="00B5203A"/>
    <w:rsid w:val="00B5306F"/>
    <w:rsid w:val="00B53513"/>
    <w:rsid w:val="00B536D1"/>
    <w:rsid w:val="00B53B92"/>
    <w:rsid w:val="00B53C63"/>
    <w:rsid w:val="00B54A0A"/>
    <w:rsid w:val="00B54EF5"/>
    <w:rsid w:val="00B5518F"/>
    <w:rsid w:val="00B55314"/>
    <w:rsid w:val="00B5566C"/>
    <w:rsid w:val="00B55D79"/>
    <w:rsid w:val="00B56008"/>
    <w:rsid w:val="00B56117"/>
    <w:rsid w:val="00B568CA"/>
    <w:rsid w:val="00B56AB8"/>
    <w:rsid w:val="00B56AF7"/>
    <w:rsid w:val="00B56B90"/>
    <w:rsid w:val="00B56D12"/>
    <w:rsid w:val="00B56E83"/>
    <w:rsid w:val="00B57E82"/>
    <w:rsid w:val="00B605CF"/>
    <w:rsid w:val="00B6085F"/>
    <w:rsid w:val="00B61237"/>
    <w:rsid w:val="00B614D4"/>
    <w:rsid w:val="00B615A4"/>
    <w:rsid w:val="00B61FE1"/>
    <w:rsid w:val="00B622F6"/>
    <w:rsid w:val="00B62505"/>
    <w:rsid w:val="00B627BC"/>
    <w:rsid w:val="00B62CB8"/>
    <w:rsid w:val="00B62FB3"/>
    <w:rsid w:val="00B63166"/>
    <w:rsid w:val="00B63237"/>
    <w:rsid w:val="00B63890"/>
    <w:rsid w:val="00B63D21"/>
    <w:rsid w:val="00B63D84"/>
    <w:rsid w:val="00B63E05"/>
    <w:rsid w:val="00B64209"/>
    <w:rsid w:val="00B643A8"/>
    <w:rsid w:val="00B64829"/>
    <w:rsid w:val="00B64FFC"/>
    <w:rsid w:val="00B65526"/>
    <w:rsid w:val="00B65DE7"/>
    <w:rsid w:val="00B660B6"/>
    <w:rsid w:val="00B66308"/>
    <w:rsid w:val="00B6661B"/>
    <w:rsid w:val="00B66E2A"/>
    <w:rsid w:val="00B678CA"/>
    <w:rsid w:val="00B700D5"/>
    <w:rsid w:val="00B7046A"/>
    <w:rsid w:val="00B7081D"/>
    <w:rsid w:val="00B708EC"/>
    <w:rsid w:val="00B7141A"/>
    <w:rsid w:val="00B72268"/>
    <w:rsid w:val="00B7290B"/>
    <w:rsid w:val="00B72AF6"/>
    <w:rsid w:val="00B73180"/>
    <w:rsid w:val="00B73628"/>
    <w:rsid w:val="00B7378E"/>
    <w:rsid w:val="00B741F9"/>
    <w:rsid w:val="00B7483A"/>
    <w:rsid w:val="00B74D6C"/>
    <w:rsid w:val="00B74F30"/>
    <w:rsid w:val="00B75079"/>
    <w:rsid w:val="00B75226"/>
    <w:rsid w:val="00B7587A"/>
    <w:rsid w:val="00B76210"/>
    <w:rsid w:val="00B77041"/>
    <w:rsid w:val="00B77463"/>
    <w:rsid w:val="00B77EDC"/>
    <w:rsid w:val="00B8037B"/>
    <w:rsid w:val="00B80600"/>
    <w:rsid w:val="00B80B0B"/>
    <w:rsid w:val="00B811C8"/>
    <w:rsid w:val="00B812C1"/>
    <w:rsid w:val="00B82877"/>
    <w:rsid w:val="00B829A7"/>
    <w:rsid w:val="00B82BC6"/>
    <w:rsid w:val="00B83AE5"/>
    <w:rsid w:val="00B840DB"/>
    <w:rsid w:val="00B84E56"/>
    <w:rsid w:val="00B8540C"/>
    <w:rsid w:val="00B8551C"/>
    <w:rsid w:val="00B85606"/>
    <w:rsid w:val="00B8574D"/>
    <w:rsid w:val="00B8587B"/>
    <w:rsid w:val="00B85983"/>
    <w:rsid w:val="00B85AEF"/>
    <w:rsid w:val="00B85E38"/>
    <w:rsid w:val="00B8637D"/>
    <w:rsid w:val="00B86B0A"/>
    <w:rsid w:val="00B877A1"/>
    <w:rsid w:val="00B87C1F"/>
    <w:rsid w:val="00B87F63"/>
    <w:rsid w:val="00B900E1"/>
    <w:rsid w:val="00B902D9"/>
    <w:rsid w:val="00B90A95"/>
    <w:rsid w:val="00B91160"/>
    <w:rsid w:val="00B91E08"/>
    <w:rsid w:val="00B92255"/>
    <w:rsid w:val="00B925BE"/>
    <w:rsid w:val="00B92776"/>
    <w:rsid w:val="00B929F6"/>
    <w:rsid w:val="00B92F46"/>
    <w:rsid w:val="00B935C5"/>
    <w:rsid w:val="00B936DA"/>
    <w:rsid w:val="00B94CD8"/>
    <w:rsid w:val="00B959D4"/>
    <w:rsid w:val="00B9629B"/>
    <w:rsid w:val="00B9632D"/>
    <w:rsid w:val="00B96445"/>
    <w:rsid w:val="00B9651C"/>
    <w:rsid w:val="00B967DC"/>
    <w:rsid w:val="00B96A71"/>
    <w:rsid w:val="00B97815"/>
    <w:rsid w:val="00BA2281"/>
    <w:rsid w:val="00BA22E4"/>
    <w:rsid w:val="00BA2517"/>
    <w:rsid w:val="00BA2F3A"/>
    <w:rsid w:val="00BA3148"/>
    <w:rsid w:val="00BA359F"/>
    <w:rsid w:val="00BA3A2E"/>
    <w:rsid w:val="00BA4008"/>
    <w:rsid w:val="00BA4448"/>
    <w:rsid w:val="00BA4C8B"/>
    <w:rsid w:val="00BA5156"/>
    <w:rsid w:val="00BA575B"/>
    <w:rsid w:val="00BA587D"/>
    <w:rsid w:val="00BA5885"/>
    <w:rsid w:val="00BA58DB"/>
    <w:rsid w:val="00BA5A1D"/>
    <w:rsid w:val="00BA5A51"/>
    <w:rsid w:val="00BA6FD9"/>
    <w:rsid w:val="00BA737E"/>
    <w:rsid w:val="00BA7EF1"/>
    <w:rsid w:val="00BA7F7F"/>
    <w:rsid w:val="00BB005E"/>
    <w:rsid w:val="00BB023E"/>
    <w:rsid w:val="00BB03DE"/>
    <w:rsid w:val="00BB0C08"/>
    <w:rsid w:val="00BB0E45"/>
    <w:rsid w:val="00BB10CC"/>
    <w:rsid w:val="00BB153E"/>
    <w:rsid w:val="00BB1DC4"/>
    <w:rsid w:val="00BB2164"/>
    <w:rsid w:val="00BB25C7"/>
    <w:rsid w:val="00BB2ECC"/>
    <w:rsid w:val="00BB323D"/>
    <w:rsid w:val="00BB3C83"/>
    <w:rsid w:val="00BB3D9B"/>
    <w:rsid w:val="00BB3E6B"/>
    <w:rsid w:val="00BB3F40"/>
    <w:rsid w:val="00BB4069"/>
    <w:rsid w:val="00BB4111"/>
    <w:rsid w:val="00BB44C7"/>
    <w:rsid w:val="00BB5BC2"/>
    <w:rsid w:val="00BB6CD6"/>
    <w:rsid w:val="00BB6F73"/>
    <w:rsid w:val="00BB71E4"/>
    <w:rsid w:val="00BB73B1"/>
    <w:rsid w:val="00BC042A"/>
    <w:rsid w:val="00BC04A1"/>
    <w:rsid w:val="00BC0843"/>
    <w:rsid w:val="00BC0B81"/>
    <w:rsid w:val="00BC0BF8"/>
    <w:rsid w:val="00BC0E83"/>
    <w:rsid w:val="00BC17FA"/>
    <w:rsid w:val="00BC1F91"/>
    <w:rsid w:val="00BC25EB"/>
    <w:rsid w:val="00BC2891"/>
    <w:rsid w:val="00BC293D"/>
    <w:rsid w:val="00BC30F2"/>
    <w:rsid w:val="00BC33A8"/>
    <w:rsid w:val="00BC3A3F"/>
    <w:rsid w:val="00BC3CAE"/>
    <w:rsid w:val="00BC3F3F"/>
    <w:rsid w:val="00BC40A6"/>
    <w:rsid w:val="00BC429C"/>
    <w:rsid w:val="00BC485E"/>
    <w:rsid w:val="00BC50BD"/>
    <w:rsid w:val="00BC574B"/>
    <w:rsid w:val="00BC5E90"/>
    <w:rsid w:val="00BC64A0"/>
    <w:rsid w:val="00BC67E1"/>
    <w:rsid w:val="00BC6E81"/>
    <w:rsid w:val="00BC7AEE"/>
    <w:rsid w:val="00BC7F03"/>
    <w:rsid w:val="00BD01F1"/>
    <w:rsid w:val="00BD0A43"/>
    <w:rsid w:val="00BD1182"/>
    <w:rsid w:val="00BD11FA"/>
    <w:rsid w:val="00BD15B2"/>
    <w:rsid w:val="00BD1A45"/>
    <w:rsid w:val="00BD2A9C"/>
    <w:rsid w:val="00BD2D82"/>
    <w:rsid w:val="00BD3009"/>
    <w:rsid w:val="00BD3101"/>
    <w:rsid w:val="00BD3450"/>
    <w:rsid w:val="00BD35D9"/>
    <w:rsid w:val="00BD37A7"/>
    <w:rsid w:val="00BD3C34"/>
    <w:rsid w:val="00BD3F63"/>
    <w:rsid w:val="00BD4EAB"/>
    <w:rsid w:val="00BD5350"/>
    <w:rsid w:val="00BD5451"/>
    <w:rsid w:val="00BD56BA"/>
    <w:rsid w:val="00BD5DDE"/>
    <w:rsid w:val="00BD619D"/>
    <w:rsid w:val="00BD6714"/>
    <w:rsid w:val="00BD6A7F"/>
    <w:rsid w:val="00BD6CE8"/>
    <w:rsid w:val="00BD778B"/>
    <w:rsid w:val="00BD7994"/>
    <w:rsid w:val="00BD7C53"/>
    <w:rsid w:val="00BE0020"/>
    <w:rsid w:val="00BE011F"/>
    <w:rsid w:val="00BE0744"/>
    <w:rsid w:val="00BE0A5D"/>
    <w:rsid w:val="00BE0BB0"/>
    <w:rsid w:val="00BE0FA5"/>
    <w:rsid w:val="00BE160C"/>
    <w:rsid w:val="00BE1933"/>
    <w:rsid w:val="00BE23B4"/>
    <w:rsid w:val="00BE3AEA"/>
    <w:rsid w:val="00BE41EB"/>
    <w:rsid w:val="00BE47DD"/>
    <w:rsid w:val="00BE557C"/>
    <w:rsid w:val="00BE6C22"/>
    <w:rsid w:val="00BE7347"/>
    <w:rsid w:val="00BE7B02"/>
    <w:rsid w:val="00BE7D3E"/>
    <w:rsid w:val="00BF01FE"/>
    <w:rsid w:val="00BF04A6"/>
    <w:rsid w:val="00BF0579"/>
    <w:rsid w:val="00BF083A"/>
    <w:rsid w:val="00BF0E5A"/>
    <w:rsid w:val="00BF0EDB"/>
    <w:rsid w:val="00BF11AD"/>
    <w:rsid w:val="00BF15B7"/>
    <w:rsid w:val="00BF223C"/>
    <w:rsid w:val="00BF22CC"/>
    <w:rsid w:val="00BF247E"/>
    <w:rsid w:val="00BF2A86"/>
    <w:rsid w:val="00BF2B1D"/>
    <w:rsid w:val="00BF3066"/>
    <w:rsid w:val="00BF3593"/>
    <w:rsid w:val="00BF3963"/>
    <w:rsid w:val="00BF4EAC"/>
    <w:rsid w:val="00BF4ECC"/>
    <w:rsid w:val="00BF510D"/>
    <w:rsid w:val="00BF56D7"/>
    <w:rsid w:val="00BF5A01"/>
    <w:rsid w:val="00BF5A43"/>
    <w:rsid w:val="00BF5C6D"/>
    <w:rsid w:val="00BF5DDA"/>
    <w:rsid w:val="00BF6AC8"/>
    <w:rsid w:val="00BF6CBD"/>
    <w:rsid w:val="00BF732B"/>
    <w:rsid w:val="00BF7697"/>
    <w:rsid w:val="00BF7961"/>
    <w:rsid w:val="00C0048D"/>
    <w:rsid w:val="00C007DF"/>
    <w:rsid w:val="00C008A2"/>
    <w:rsid w:val="00C00E2E"/>
    <w:rsid w:val="00C00F0E"/>
    <w:rsid w:val="00C01AC7"/>
    <w:rsid w:val="00C01F56"/>
    <w:rsid w:val="00C022CA"/>
    <w:rsid w:val="00C02385"/>
    <w:rsid w:val="00C0301A"/>
    <w:rsid w:val="00C031BF"/>
    <w:rsid w:val="00C03953"/>
    <w:rsid w:val="00C03BA8"/>
    <w:rsid w:val="00C04294"/>
    <w:rsid w:val="00C043F8"/>
    <w:rsid w:val="00C0484E"/>
    <w:rsid w:val="00C04EAE"/>
    <w:rsid w:val="00C052C7"/>
    <w:rsid w:val="00C054B2"/>
    <w:rsid w:val="00C055AE"/>
    <w:rsid w:val="00C05DA0"/>
    <w:rsid w:val="00C06495"/>
    <w:rsid w:val="00C07907"/>
    <w:rsid w:val="00C079EF"/>
    <w:rsid w:val="00C07CB9"/>
    <w:rsid w:val="00C107DC"/>
    <w:rsid w:val="00C1090B"/>
    <w:rsid w:val="00C10941"/>
    <w:rsid w:val="00C11E07"/>
    <w:rsid w:val="00C12250"/>
    <w:rsid w:val="00C1239A"/>
    <w:rsid w:val="00C12AE8"/>
    <w:rsid w:val="00C12DDE"/>
    <w:rsid w:val="00C130C5"/>
    <w:rsid w:val="00C13808"/>
    <w:rsid w:val="00C151D5"/>
    <w:rsid w:val="00C1561F"/>
    <w:rsid w:val="00C15677"/>
    <w:rsid w:val="00C156FE"/>
    <w:rsid w:val="00C157A4"/>
    <w:rsid w:val="00C1623E"/>
    <w:rsid w:val="00C16D2C"/>
    <w:rsid w:val="00C172CB"/>
    <w:rsid w:val="00C17EB2"/>
    <w:rsid w:val="00C17FFA"/>
    <w:rsid w:val="00C20A08"/>
    <w:rsid w:val="00C2104D"/>
    <w:rsid w:val="00C21B2E"/>
    <w:rsid w:val="00C24046"/>
    <w:rsid w:val="00C24591"/>
    <w:rsid w:val="00C24960"/>
    <w:rsid w:val="00C25406"/>
    <w:rsid w:val="00C26387"/>
    <w:rsid w:val="00C26974"/>
    <w:rsid w:val="00C26A84"/>
    <w:rsid w:val="00C26E99"/>
    <w:rsid w:val="00C26F44"/>
    <w:rsid w:val="00C305F1"/>
    <w:rsid w:val="00C307E8"/>
    <w:rsid w:val="00C30830"/>
    <w:rsid w:val="00C30C6C"/>
    <w:rsid w:val="00C30E18"/>
    <w:rsid w:val="00C30FAF"/>
    <w:rsid w:val="00C319F2"/>
    <w:rsid w:val="00C31CF1"/>
    <w:rsid w:val="00C32057"/>
    <w:rsid w:val="00C3235F"/>
    <w:rsid w:val="00C32553"/>
    <w:rsid w:val="00C325C0"/>
    <w:rsid w:val="00C32A0D"/>
    <w:rsid w:val="00C330E0"/>
    <w:rsid w:val="00C3310E"/>
    <w:rsid w:val="00C33180"/>
    <w:rsid w:val="00C33328"/>
    <w:rsid w:val="00C33976"/>
    <w:rsid w:val="00C3451E"/>
    <w:rsid w:val="00C3464F"/>
    <w:rsid w:val="00C350F6"/>
    <w:rsid w:val="00C3528D"/>
    <w:rsid w:val="00C35438"/>
    <w:rsid w:val="00C35903"/>
    <w:rsid w:val="00C35A58"/>
    <w:rsid w:val="00C35BB8"/>
    <w:rsid w:val="00C36600"/>
    <w:rsid w:val="00C36ABA"/>
    <w:rsid w:val="00C37BFF"/>
    <w:rsid w:val="00C37C93"/>
    <w:rsid w:val="00C37E86"/>
    <w:rsid w:val="00C400F1"/>
    <w:rsid w:val="00C40588"/>
    <w:rsid w:val="00C40D22"/>
    <w:rsid w:val="00C4172C"/>
    <w:rsid w:val="00C41813"/>
    <w:rsid w:val="00C41D55"/>
    <w:rsid w:val="00C41EC4"/>
    <w:rsid w:val="00C433E8"/>
    <w:rsid w:val="00C4377C"/>
    <w:rsid w:val="00C439CD"/>
    <w:rsid w:val="00C45BBD"/>
    <w:rsid w:val="00C45C09"/>
    <w:rsid w:val="00C461B5"/>
    <w:rsid w:val="00C4622A"/>
    <w:rsid w:val="00C4625C"/>
    <w:rsid w:val="00C4655C"/>
    <w:rsid w:val="00C47DA8"/>
    <w:rsid w:val="00C47FB2"/>
    <w:rsid w:val="00C50298"/>
    <w:rsid w:val="00C505FC"/>
    <w:rsid w:val="00C514FB"/>
    <w:rsid w:val="00C517DB"/>
    <w:rsid w:val="00C519AB"/>
    <w:rsid w:val="00C51A5E"/>
    <w:rsid w:val="00C51E19"/>
    <w:rsid w:val="00C5219C"/>
    <w:rsid w:val="00C522F3"/>
    <w:rsid w:val="00C524B7"/>
    <w:rsid w:val="00C52984"/>
    <w:rsid w:val="00C52FF3"/>
    <w:rsid w:val="00C53187"/>
    <w:rsid w:val="00C53598"/>
    <w:rsid w:val="00C53E13"/>
    <w:rsid w:val="00C53EBC"/>
    <w:rsid w:val="00C54074"/>
    <w:rsid w:val="00C5421C"/>
    <w:rsid w:val="00C5467D"/>
    <w:rsid w:val="00C54851"/>
    <w:rsid w:val="00C549A0"/>
    <w:rsid w:val="00C54C77"/>
    <w:rsid w:val="00C54E4E"/>
    <w:rsid w:val="00C55305"/>
    <w:rsid w:val="00C55867"/>
    <w:rsid w:val="00C55931"/>
    <w:rsid w:val="00C564AC"/>
    <w:rsid w:val="00C5680C"/>
    <w:rsid w:val="00C56A74"/>
    <w:rsid w:val="00C56AC1"/>
    <w:rsid w:val="00C56E82"/>
    <w:rsid w:val="00C576AD"/>
    <w:rsid w:val="00C5796E"/>
    <w:rsid w:val="00C57B20"/>
    <w:rsid w:val="00C57B41"/>
    <w:rsid w:val="00C57E8E"/>
    <w:rsid w:val="00C6020C"/>
    <w:rsid w:val="00C603EB"/>
    <w:rsid w:val="00C60530"/>
    <w:rsid w:val="00C6070B"/>
    <w:rsid w:val="00C60B53"/>
    <w:rsid w:val="00C60BFC"/>
    <w:rsid w:val="00C60C5C"/>
    <w:rsid w:val="00C60F8C"/>
    <w:rsid w:val="00C62419"/>
    <w:rsid w:val="00C636BC"/>
    <w:rsid w:val="00C636F8"/>
    <w:rsid w:val="00C64A0F"/>
    <w:rsid w:val="00C64DB3"/>
    <w:rsid w:val="00C64FAD"/>
    <w:rsid w:val="00C65543"/>
    <w:rsid w:val="00C6566E"/>
    <w:rsid w:val="00C659A8"/>
    <w:rsid w:val="00C65C85"/>
    <w:rsid w:val="00C65D55"/>
    <w:rsid w:val="00C66501"/>
    <w:rsid w:val="00C66DC0"/>
    <w:rsid w:val="00C66E10"/>
    <w:rsid w:val="00C66E4F"/>
    <w:rsid w:val="00C67484"/>
    <w:rsid w:val="00C67962"/>
    <w:rsid w:val="00C67D99"/>
    <w:rsid w:val="00C70065"/>
    <w:rsid w:val="00C70377"/>
    <w:rsid w:val="00C70971"/>
    <w:rsid w:val="00C7128B"/>
    <w:rsid w:val="00C7146A"/>
    <w:rsid w:val="00C71500"/>
    <w:rsid w:val="00C71D32"/>
    <w:rsid w:val="00C72257"/>
    <w:rsid w:val="00C72611"/>
    <w:rsid w:val="00C726BC"/>
    <w:rsid w:val="00C72F9B"/>
    <w:rsid w:val="00C731AE"/>
    <w:rsid w:val="00C73246"/>
    <w:rsid w:val="00C73642"/>
    <w:rsid w:val="00C7382F"/>
    <w:rsid w:val="00C73B00"/>
    <w:rsid w:val="00C744FE"/>
    <w:rsid w:val="00C74A81"/>
    <w:rsid w:val="00C74C2F"/>
    <w:rsid w:val="00C74C64"/>
    <w:rsid w:val="00C74FD2"/>
    <w:rsid w:val="00C7510C"/>
    <w:rsid w:val="00C752B5"/>
    <w:rsid w:val="00C753A3"/>
    <w:rsid w:val="00C759AA"/>
    <w:rsid w:val="00C75D88"/>
    <w:rsid w:val="00C75E00"/>
    <w:rsid w:val="00C75FD1"/>
    <w:rsid w:val="00C765C8"/>
    <w:rsid w:val="00C76727"/>
    <w:rsid w:val="00C77261"/>
    <w:rsid w:val="00C77405"/>
    <w:rsid w:val="00C774B9"/>
    <w:rsid w:val="00C779D4"/>
    <w:rsid w:val="00C77A78"/>
    <w:rsid w:val="00C77BF9"/>
    <w:rsid w:val="00C77D23"/>
    <w:rsid w:val="00C805E2"/>
    <w:rsid w:val="00C80B72"/>
    <w:rsid w:val="00C810B9"/>
    <w:rsid w:val="00C8149B"/>
    <w:rsid w:val="00C814F9"/>
    <w:rsid w:val="00C815A3"/>
    <w:rsid w:val="00C81C84"/>
    <w:rsid w:val="00C81D4F"/>
    <w:rsid w:val="00C81E04"/>
    <w:rsid w:val="00C827E0"/>
    <w:rsid w:val="00C828BF"/>
    <w:rsid w:val="00C829B3"/>
    <w:rsid w:val="00C82E7E"/>
    <w:rsid w:val="00C82F5B"/>
    <w:rsid w:val="00C83559"/>
    <w:rsid w:val="00C835D2"/>
    <w:rsid w:val="00C83831"/>
    <w:rsid w:val="00C83F96"/>
    <w:rsid w:val="00C84297"/>
    <w:rsid w:val="00C84ABB"/>
    <w:rsid w:val="00C84CF4"/>
    <w:rsid w:val="00C8518C"/>
    <w:rsid w:val="00C851DF"/>
    <w:rsid w:val="00C85534"/>
    <w:rsid w:val="00C85A5F"/>
    <w:rsid w:val="00C85F28"/>
    <w:rsid w:val="00C86607"/>
    <w:rsid w:val="00C86918"/>
    <w:rsid w:val="00C86EA2"/>
    <w:rsid w:val="00C875BD"/>
    <w:rsid w:val="00C879F2"/>
    <w:rsid w:val="00C87BF1"/>
    <w:rsid w:val="00C87F5E"/>
    <w:rsid w:val="00C9006E"/>
    <w:rsid w:val="00C907D5"/>
    <w:rsid w:val="00C9087E"/>
    <w:rsid w:val="00C90CC4"/>
    <w:rsid w:val="00C90FBC"/>
    <w:rsid w:val="00C9111B"/>
    <w:rsid w:val="00C91324"/>
    <w:rsid w:val="00C918F7"/>
    <w:rsid w:val="00C91FAA"/>
    <w:rsid w:val="00C92102"/>
    <w:rsid w:val="00C9229F"/>
    <w:rsid w:val="00C92401"/>
    <w:rsid w:val="00C92F60"/>
    <w:rsid w:val="00C932D8"/>
    <w:rsid w:val="00C933F2"/>
    <w:rsid w:val="00C93A82"/>
    <w:rsid w:val="00C93D64"/>
    <w:rsid w:val="00C93EE8"/>
    <w:rsid w:val="00C9406A"/>
    <w:rsid w:val="00C944F6"/>
    <w:rsid w:val="00C945B7"/>
    <w:rsid w:val="00C945F7"/>
    <w:rsid w:val="00C94716"/>
    <w:rsid w:val="00C948C7"/>
    <w:rsid w:val="00C95434"/>
    <w:rsid w:val="00C95EF1"/>
    <w:rsid w:val="00C9605E"/>
    <w:rsid w:val="00C96B75"/>
    <w:rsid w:val="00C96BD6"/>
    <w:rsid w:val="00C97537"/>
    <w:rsid w:val="00C97D49"/>
    <w:rsid w:val="00C97EDD"/>
    <w:rsid w:val="00CA0A42"/>
    <w:rsid w:val="00CA1A11"/>
    <w:rsid w:val="00CA226F"/>
    <w:rsid w:val="00CA234C"/>
    <w:rsid w:val="00CA2830"/>
    <w:rsid w:val="00CA35CD"/>
    <w:rsid w:val="00CA3D4A"/>
    <w:rsid w:val="00CA439C"/>
    <w:rsid w:val="00CA4438"/>
    <w:rsid w:val="00CA503B"/>
    <w:rsid w:val="00CA74EE"/>
    <w:rsid w:val="00CB063D"/>
    <w:rsid w:val="00CB06D3"/>
    <w:rsid w:val="00CB1848"/>
    <w:rsid w:val="00CB27F8"/>
    <w:rsid w:val="00CB2C6A"/>
    <w:rsid w:val="00CB3142"/>
    <w:rsid w:val="00CB358B"/>
    <w:rsid w:val="00CB37C5"/>
    <w:rsid w:val="00CB41F0"/>
    <w:rsid w:val="00CB4564"/>
    <w:rsid w:val="00CB508B"/>
    <w:rsid w:val="00CB5676"/>
    <w:rsid w:val="00CB6461"/>
    <w:rsid w:val="00CB6584"/>
    <w:rsid w:val="00CB65C4"/>
    <w:rsid w:val="00CB6A51"/>
    <w:rsid w:val="00CB7093"/>
    <w:rsid w:val="00CB75DD"/>
    <w:rsid w:val="00CB7851"/>
    <w:rsid w:val="00CB795F"/>
    <w:rsid w:val="00CB7FD9"/>
    <w:rsid w:val="00CC0150"/>
    <w:rsid w:val="00CC0925"/>
    <w:rsid w:val="00CC0D11"/>
    <w:rsid w:val="00CC10EA"/>
    <w:rsid w:val="00CC124A"/>
    <w:rsid w:val="00CC1265"/>
    <w:rsid w:val="00CC12DD"/>
    <w:rsid w:val="00CC1331"/>
    <w:rsid w:val="00CC20D0"/>
    <w:rsid w:val="00CC2916"/>
    <w:rsid w:val="00CC2970"/>
    <w:rsid w:val="00CC2FC8"/>
    <w:rsid w:val="00CC3C1F"/>
    <w:rsid w:val="00CC436E"/>
    <w:rsid w:val="00CC4425"/>
    <w:rsid w:val="00CC5677"/>
    <w:rsid w:val="00CC64D0"/>
    <w:rsid w:val="00CC683C"/>
    <w:rsid w:val="00CC6844"/>
    <w:rsid w:val="00CC6C10"/>
    <w:rsid w:val="00CC6EC3"/>
    <w:rsid w:val="00CC7864"/>
    <w:rsid w:val="00CD0017"/>
    <w:rsid w:val="00CD00F0"/>
    <w:rsid w:val="00CD01FC"/>
    <w:rsid w:val="00CD07CE"/>
    <w:rsid w:val="00CD0EA5"/>
    <w:rsid w:val="00CD129D"/>
    <w:rsid w:val="00CD12B6"/>
    <w:rsid w:val="00CD1306"/>
    <w:rsid w:val="00CD1792"/>
    <w:rsid w:val="00CD1DC7"/>
    <w:rsid w:val="00CD21A7"/>
    <w:rsid w:val="00CD21FB"/>
    <w:rsid w:val="00CD2417"/>
    <w:rsid w:val="00CD2BB4"/>
    <w:rsid w:val="00CD2C63"/>
    <w:rsid w:val="00CD2D1A"/>
    <w:rsid w:val="00CD324E"/>
    <w:rsid w:val="00CD4065"/>
    <w:rsid w:val="00CD40E5"/>
    <w:rsid w:val="00CD4396"/>
    <w:rsid w:val="00CD45A6"/>
    <w:rsid w:val="00CD517F"/>
    <w:rsid w:val="00CD57D9"/>
    <w:rsid w:val="00CD5A15"/>
    <w:rsid w:val="00CD5D0D"/>
    <w:rsid w:val="00CD5D79"/>
    <w:rsid w:val="00CD63D0"/>
    <w:rsid w:val="00CD7CED"/>
    <w:rsid w:val="00CE0173"/>
    <w:rsid w:val="00CE0856"/>
    <w:rsid w:val="00CE0A0F"/>
    <w:rsid w:val="00CE1E71"/>
    <w:rsid w:val="00CE2121"/>
    <w:rsid w:val="00CE230D"/>
    <w:rsid w:val="00CE28B1"/>
    <w:rsid w:val="00CE31D0"/>
    <w:rsid w:val="00CE32D1"/>
    <w:rsid w:val="00CE3594"/>
    <w:rsid w:val="00CE36B6"/>
    <w:rsid w:val="00CE387A"/>
    <w:rsid w:val="00CE446E"/>
    <w:rsid w:val="00CE47C3"/>
    <w:rsid w:val="00CE4DA8"/>
    <w:rsid w:val="00CE53CE"/>
    <w:rsid w:val="00CE5842"/>
    <w:rsid w:val="00CE6347"/>
    <w:rsid w:val="00CE69F8"/>
    <w:rsid w:val="00CE6C8A"/>
    <w:rsid w:val="00CE7D09"/>
    <w:rsid w:val="00CE7E81"/>
    <w:rsid w:val="00CE7F06"/>
    <w:rsid w:val="00CF04F8"/>
    <w:rsid w:val="00CF0B12"/>
    <w:rsid w:val="00CF0D4C"/>
    <w:rsid w:val="00CF0E33"/>
    <w:rsid w:val="00CF15C4"/>
    <w:rsid w:val="00CF165A"/>
    <w:rsid w:val="00CF1C18"/>
    <w:rsid w:val="00CF1C60"/>
    <w:rsid w:val="00CF1FC9"/>
    <w:rsid w:val="00CF2909"/>
    <w:rsid w:val="00CF2AE5"/>
    <w:rsid w:val="00CF30A3"/>
    <w:rsid w:val="00CF3904"/>
    <w:rsid w:val="00CF3BD7"/>
    <w:rsid w:val="00CF4BD3"/>
    <w:rsid w:val="00CF4CA1"/>
    <w:rsid w:val="00CF4F3D"/>
    <w:rsid w:val="00CF51F7"/>
    <w:rsid w:val="00CF53A8"/>
    <w:rsid w:val="00CF5B47"/>
    <w:rsid w:val="00CF5D09"/>
    <w:rsid w:val="00CF5DAF"/>
    <w:rsid w:val="00CF6273"/>
    <w:rsid w:val="00CF6B0F"/>
    <w:rsid w:val="00CF74E5"/>
    <w:rsid w:val="00D000D7"/>
    <w:rsid w:val="00D01C66"/>
    <w:rsid w:val="00D02107"/>
    <w:rsid w:val="00D0268C"/>
    <w:rsid w:val="00D029E6"/>
    <w:rsid w:val="00D02C17"/>
    <w:rsid w:val="00D02F93"/>
    <w:rsid w:val="00D0373D"/>
    <w:rsid w:val="00D03EBC"/>
    <w:rsid w:val="00D04843"/>
    <w:rsid w:val="00D04A8F"/>
    <w:rsid w:val="00D0503F"/>
    <w:rsid w:val="00D0538F"/>
    <w:rsid w:val="00D058A2"/>
    <w:rsid w:val="00D05E8E"/>
    <w:rsid w:val="00D06352"/>
    <w:rsid w:val="00D06528"/>
    <w:rsid w:val="00D0695C"/>
    <w:rsid w:val="00D069A8"/>
    <w:rsid w:val="00D06F21"/>
    <w:rsid w:val="00D0752E"/>
    <w:rsid w:val="00D07919"/>
    <w:rsid w:val="00D07FDE"/>
    <w:rsid w:val="00D102C2"/>
    <w:rsid w:val="00D10571"/>
    <w:rsid w:val="00D10F43"/>
    <w:rsid w:val="00D10F66"/>
    <w:rsid w:val="00D11238"/>
    <w:rsid w:val="00D1137C"/>
    <w:rsid w:val="00D1146A"/>
    <w:rsid w:val="00D11893"/>
    <w:rsid w:val="00D11909"/>
    <w:rsid w:val="00D12319"/>
    <w:rsid w:val="00D12647"/>
    <w:rsid w:val="00D12847"/>
    <w:rsid w:val="00D12B71"/>
    <w:rsid w:val="00D12F42"/>
    <w:rsid w:val="00D13693"/>
    <w:rsid w:val="00D13F4F"/>
    <w:rsid w:val="00D1444B"/>
    <w:rsid w:val="00D14BD2"/>
    <w:rsid w:val="00D15368"/>
    <w:rsid w:val="00D153F4"/>
    <w:rsid w:val="00D16569"/>
    <w:rsid w:val="00D16C13"/>
    <w:rsid w:val="00D16CD4"/>
    <w:rsid w:val="00D16E78"/>
    <w:rsid w:val="00D17153"/>
    <w:rsid w:val="00D17A65"/>
    <w:rsid w:val="00D2032B"/>
    <w:rsid w:val="00D2046C"/>
    <w:rsid w:val="00D20606"/>
    <w:rsid w:val="00D20F9D"/>
    <w:rsid w:val="00D215D6"/>
    <w:rsid w:val="00D2176B"/>
    <w:rsid w:val="00D222B4"/>
    <w:rsid w:val="00D22A7F"/>
    <w:rsid w:val="00D23541"/>
    <w:rsid w:val="00D236CB"/>
    <w:rsid w:val="00D240C8"/>
    <w:rsid w:val="00D24F78"/>
    <w:rsid w:val="00D2552E"/>
    <w:rsid w:val="00D25992"/>
    <w:rsid w:val="00D260C8"/>
    <w:rsid w:val="00D264FD"/>
    <w:rsid w:val="00D3098C"/>
    <w:rsid w:val="00D30D9A"/>
    <w:rsid w:val="00D318C0"/>
    <w:rsid w:val="00D31AB3"/>
    <w:rsid w:val="00D31BC5"/>
    <w:rsid w:val="00D31CD8"/>
    <w:rsid w:val="00D31EA5"/>
    <w:rsid w:val="00D32249"/>
    <w:rsid w:val="00D32477"/>
    <w:rsid w:val="00D3270F"/>
    <w:rsid w:val="00D33708"/>
    <w:rsid w:val="00D3373E"/>
    <w:rsid w:val="00D34367"/>
    <w:rsid w:val="00D344DC"/>
    <w:rsid w:val="00D34BEB"/>
    <w:rsid w:val="00D351CC"/>
    <w:rsid w:val="00D358E4"/>
    <w:rsid w:val="00D364AD"/>
    <w:rsid w:val="00D37213"/>
    <w:rsid w:val="00D376F9"/>
    <w:rsid w:val="00D37DE1"/>
    <w:rsid w:val="00D40134"/>
    <w:rsid w:val="00D40238"/>
    <w:rsid w:val="00D403D1"/>
    <w:rsid w:val="00D4087F"/>
    <w:rsid w:val="00D40E4B"/>
    <w:rsid w:val="00D40FB1"/>
    <w:rsid w:val="00D4146D"/>
    <w:rsid w:val="00D41AA9"/>
    <w:rsid w:val="00D42929"/>
    <w:rsid w:val="00D429C3"/>
    <w:rsid w:val="00D42B52"/>
    <w:rsid w:val="00D42DDE"/>
    <w:rsid w:val="00D42F2E"/>
    <w:rsid w:val="00D4337A"/>
    <w:rsid w:val="00D43FEB"/>
    <w:rsid w:val="00D443ED"/>
    <w:rsid w:val="00D445B9"/>
    <w:rsid w:val="00D4487A"/>
    <w:rsid w:val="00D45336"/>
    <w:rsid w:val="00D45834"/>
    <w:rsid w:val="00D459DD"/>
    <w:rsid w:val="00D46142"/>
    <w:rsid w:val="00D467AB"/>
    <w:rsid w:val="00D468A7"/>
    <w:rsid w:val="00D4691A"/>
    <w:rsid w:val="00D46EC9"/>
    <w:rsid w:val="00D46FC6"/>
    <w:rsid w:val="00D477A1"/>
    <w:rsid w:val="00D47A84"/>
    <w:rsid w:val="00D47AD3"/>
    <w:rsid w:val="00D47F81"/>
    <w:rsid w:val="00D500EF"/>
    <w:rsid w:val="00D50889"/>
    <w:rsid w:val="00D50CAF"/>
    <w:rsid w:val="00D50D7D"/>
    <w:rsid w:val="00D50E75"/>
    <w:rsid w:val="00D5114A"/>
    <w:rsid w:val="00D513B6"/>
    <w:rsid w:val="00D51715"/>
    <w:rsid w:val="00D51F8D"/>
    <w:rsid w:val="00D530A1"/>
    <w:rsid w:val="00D53143"/>
    <w:rsid w:val="00D53807"/>
    <w:rsid w:val="00D53C39"/>
    <w:rsid w:val="00D53C6E"/>
    <w:rsid w:val="00D53D2A"/>
    <w:rsid w:val="00D53DF3"/>
    <w:rsid w:val="00D53EC8"/>
    <w:rsid w:val="00D541E6"/>
    <w:rsid w:val="00D5428B"/>
    <w:rsid w:val="00D543DD"/>
    <w:rsid w:val="00D550B9"/>
    <w:rsid w:val="00D553BD"/>
    <w:rsid w:val="00D56AAC"/>
    <w:rsid w:val="00D56F99"/>
    <w:rsid w:val="00D572D6"/>
    <w:rsid w:val="00D57512"/>
    <w:rsid w:val="00D576DD"/>
    <w:rsid w:val="00D57ADB"/>
    <w:rsid w:val="00D60668"/>
    <w:rsid w:val="00D6092F"/>
    <w:rsid w:val="00D60C0F"/>
    <w:rsid w:val="00D6104A"/>
    <w:rsid w:val="00D61182"/>
    <w:rsid w:val="00D61A1F"/>
    <w:rsid w:val="00D625B6"/>
    <w:rsid w:val="00D625BF"/>
    <w:rsid w:val="00D62A97"/>
    <w:rsid w:val="00D631BA"/>
    <w:rsid w:val="00D632D3"/>
    <w:rsid w:val="00D63300"/>
    <w:rsid w:val="00D63E3D"/>
    <w:rsid w:val="00D65360"/>
    <w:rsid w:val="00D65E7B"/>
    <w:rsid w:val="00D66709"/>
    <w:rsid w:val="00D672F6"/>
    <w:rsid w:val="00D67891"/>
    <w:rsid w:val="00D67953"/>
    <w:rsid w:val="00D705AC"/>
    <w:rsid w:val="00D70C0F"/>
    <w:rsid w:val="00D7172A"/>
    <w:rsid w:val="00D720C1"/>
    <w:rsid w:val="00D720F4"/>
    <w:rsid w:val="00D721A5"/>
    <w:rsid w:val="00D72548"/>
    <w:rsid w:val="00D73458"/>
    <w:rsid w:val="00D7346C"/>
    <w:rsid w:val="00D73857"/>
    <w:rsid w:val="00D73C33"/>
    <w:rsid w:val="00D749EB"/>
    <w:rsid w:val="00D754CA"/>
    <w:rsid w:val="00D75B91"/>
    <w:rsid w:val="00D769FA"/>
    <w:rsid w:val="00D76EC1"/>
    <w:rsid w:val="00D779D8"/>
    <w:rsid w:val="00D77AC2"/>
    <w:rsid w:val="00D77D92"/>
    <w:rsid w:val="00D77EAC"/>
    <w:rsid w:val="00D803A9"/>
    <w:rsid w:val="00D804D6"/>
    <w:rsid w:val="00D8093C"/>
    <w:rsid w:val="00D80AA9"/>
    <w:rsid w:val="00D80B20"/>
    <w:rsid w:val="00D80C97"/>
    <w:rsid w:val="00D8198C"/>
    <w:rsid w:val="00D820E9"/>
    <w:rsid w:val="00D825FB"/>
    <w:rsid w:val="00D831BE"/>
    <w:rsid w:val="00D8369B"/>
    <w:rsid w:val="00D83A8C"/>
    <w:rsid w:val="00D84067"/>
    <w:rsid w:val="00D84C29"/>
    <w:rsid w:val="00D84E3A"/>
    <w:rsid w:val="00D85132"/>
    <w:rsid w:val="00D85FD9"/>
    <w:rsid w:val="00D866BA"/>
    <w:rsid w:val="00D86A51"/>
    <w:rsid w:val="00D871C5"/>
    <w:rsid w:val="00D87FBF"/>
    <w:rsid w:val="00D9018E"/>
    <w:rsid w:val="00D90223"/>
    <w:rsid w:val="00D90F3E"/>
    <w:rsid w:val="00D91FBF"/>
    <w:rsid w:val="00D924BF"/>
    <w:rsid w:val="00D92504"/>
    <w:rsid w:val="00D928C1"/>
    <w:rsid w:val="00D929F3"/>
    <w:rsid w:val="00D9300F"/>
    <w:rsid w:val="00D938AC"/>
    <w:rsid w:val="00D9412B"/>
    <w:rsid w:val="00D9451E"/>
    <w:rsid w:val="00D94595"/>
    <w:rsid w:val="00D95056"/>
    <w:rsid w:val="00D95D0F"/>
    <w:rsid w:val="00D96161"/>
    <w:rsid w:val="00D967F7"/>
    <w:rsid w:val="00D9695A"/>
    <w:rsid w:val="00D9785C"/>
    <w:rsid w:val="00DA010B"/>
    <w:rsid w:val="00DA016D"/>
    <w:rsid w:val="00DA0620"/>
    <w:rsid w:val="00DA0880"/>
    <w:rsid w:val="00DA0885"/>
    <w:rsid w:val="00DA1AD4"/>
    <w:rsid w:val="00DA1D63"/>
    <w:rsid w:val="00DA1E36"/>
    <w:rsid w:val="00DA1EE1"/>
    <w:rsid w:val="00DA2018"/>
    <w:rsid w:val="00DA2090"/>
    <w:rsid w:val="00DA2D0F"/>
    <w:rsid w:val="00DA2E41"/>
    <w:rsid w:val="00DA3327"/>
    <w:rsid w:val="00DA3491"/>
    <w:rsid w:val="00DA369F"/>
    <w:rsid w:val="00DA4CC1"/>
    <w:rsid w:val="00DA565E"/>
    <w:rsid w:val="00DA5991"/>
    <w:rsid w:val="00DA5EE7"/>
    <w:rsid w:val="00DA6231"/>
    <w:rsid w:val="00DA6485"/>
    <w:rsid w:val="00DA67E8"/>
    <w:rsid w:val="00DA7670"/>
    <w:rsid w:val="00DA7885"/>
    <w:rsid w:val="00DA7A59"/>
    <w:rsid w:val="00DA7DB5"/>
    <w:rsid w:val="00DB08DA"/>
    <w:rsid w:val="00DB0B55"/>
    <w:rsid w:val="00DB1C1D"/>
    <w:rsid w:val="00DB1D82"/>
    <w:rsid w:val="00DB21F6"/>
    <w:rsid w:val="00DB220A"/>
    <w:rsid w:val="00DB22A0"/>
    <w:rsid w:val="00DB280E"/>
    <w:rsid w:val="00DB2B2E"/>
    <w:rsid w:val="00DB2B9B"/>
    <w:rsid w:val="00DB2BF2"/>
    <w:rsid w:val="00DB3233"/>
    <w:rsid w:val="00DB3601"/>
    <w:rsid w:val="00DB3C95"/>
    <w:rsid w:val="00DB3CCA"/>
    <w:rsid w:val="00DB3D71"/>
    <w:rsid w:val="00DB425A"/>
    <w:rsid w:val="00DB4834"/>
    <w:rsid w:val="00DB49E1"/>
    <w:rsid w:val="00DB4CB5"/>
    <w:rsid w:val="00DB4D58"/>
    <w:rsid w:val="00DB4F16"/>
    <w:rsid w:val="00DB504B"/>
    <w:rsid w:val="00DB532C"/>
    <w:rsid w:val="00DB53E5"/>
    <w:rsid w:val="00DB55CD"/>
    <w:rsid w:val="00DB5AE3"/>
    <w:rsid w:val="00DB5E42"/>
    <w:rsid w:val="00DB6201"/>
    <w:rsid w:val="00DB6983"/>
    <w:rsid w:val="00DB6B09"/>
    <w:rsid w:val="00DB6CF9"/>
    <w:rsid w:val="00DB6EA5"/>
    <w:rsid w:val="00DB793D"/>
    <w:rsid w:val="00DB7BFF"/>
    <w:rsid w:val="00DB7D9F"/>
    <w:rsid w:val="00DB7F02"/>
    <w:rsid w:val="00DC0162"/>
    <w:rsid w:val="00DC02F0"/>
    <w:rsid w:val="00DC0ACF"/>
    <w:rsid w:val="00DC0BC2"/>
    <w:rsid w:val="00DC1022"/>
    <w:rsid w:val="00DC2025"/>
    <w:rsid w:val="00DC24AB"/>
    <w:rsid w:val="00DC280B"/>
    <w:rsid w:val="00DC29E7"/>
    <w:rsid w:val="00DC2A39"/>
    <w:rsid w:val="00DC2D85"/>
    <w:rsid w:val="00DC2DEB"/>
    <w:rsid w:val="00DC3209"/>
    <w:rsid w:val="00DC34D5"/>
    <w:rsid w:val="00DC37B7"/>
    <w:rsid w:val="00DC39FA"/>
    <w:rsid w:val="00DC3B17"/>
    <w:rsid w:val="00DC3D34"/>
    <w:rsid w:val="00DC4951"/>
    <w:rsid w:val="00DC4A6F"/>
    <w:rsid w:val="00DC4EE9"/>
    <w:rsid w:val="00DC5067"/>
    <w:rsid w:val="00DC5205"/>
    <w:rsid w:val="00DC5D83"/>
    <w:rsid w:val="00DC5EEF"/>
    <w:rsid w:val="00DC642D"/>
    <w:rsid w:val="00DC6690"/>
    <w:rsid w:val="00DC68ED"/>
    <w:rsid w:val="00DC6F14"/>
    <w:rsid w:val="00DC6FB6"/>
    <w:rsid w:val="00DC75FD"/>
    <w:rsid w:val="00DC780A"/>
    <w:rsid w:val="00DC7D1C"/>
    <w:rsid w:val="00DC7E21"/>
    <w:rsid w:val="00DC7FB6"/>
    <w:rsid w:val="00DD0036"/>
    <w:rsid w:val="00DD025E"/>
    <w:rsid w:val="00DD0988"/>
    <w:rsid w:val="00DD220E"/>
    <w:rsid w:val="00DD302C"/>
    <w:rsid w:val="00DD3417"/>
    <w:rsid w:val="00DD3D03"/>
    <w:rsid w:val="00DD3F8F"/>
    <w:rsid w:val="00DD3FDB"/>
    <w:rsid w:val="00DD4419"/>
    <w:rsid w:val="00DD47F6"/>
    <w:rsid w:val="00DD4A5B"/>
    <w:rsid w:val="00DD4B09"/>
    <w:rsid w:val="00DD51EF"/>
    <w:rsid w:val="00DD6166"/>
    <w:rsid w:val="00DD6280"/>
    <w:rsid w:val="00DD6321"/>
    <w:rsid w:val="00DD6A43"/>
    <w:rsid w:val="00DD6C86"/>
    <w:rsid w:val="00DE0722"/>
    <w:rsid w:val="00DE0A2F"/>
    <w:rsid w:val="00DE1200"/>
    <w:rsid w:val="00DE1E95"/>
    <w:rsid w:val="00DE218D"/>
    <w:rsid w:val="00DE2292"/>
    <w:rsid w:val="00DE26FC"/>
    <w:rsid w:val="00DE2955"/>
    <w:rsid w:val="00DE2EDC"/>
    <w:rsid w:val="00DE30E2"/>
    <w:rsid w:val="00DE31D3"/>
    <w:rsid w:val="00DE3D19"/>
    <w:rsid w:val="00DE4501"/>
    <w:rsid w:val="00DE528C"/>
    <w:rsid w:val="00DE5878"/>
    <w:rsid w:val="00DE5B5F"/>
    <w:rsid w:val="00DE5EB3"/>
    <w:rsid w:val="00DE5F8D"/>
    <w:rsid w:val="00DE5FCB"/>
    <w:rsid w:val="00DE6A4A"/>
    <w:rsid w:val="00DE6E30"/>
    <w:rsid w:val="00DE76BF"/>
    <w:rsid w:val="00DE7D36"/>
    <w:rsid w:val="00DE7DA5"/>
    <w:rsid w:val="00DF0028"/>
    <w:rsid w:val="00DF0109"/>
    <w:rsid w:val="00DF0222"/>
    <w:rsid w:val="00DF05F7"/>
    <w:rsid w:val="00DF05FA"/>
    <w:rsid w:val="00DF082A"/>
    <w:rsid w:val="00DF0BE5"/>
    <w:rsid w:val="00DF1001"/>
    <w:rsid w:val="00DF185A"/>
    <w:rsid w:val="00DF1868"/>
    <w:rsid w:val="00DF1901"/>
    <w:rsid w:val="00DF19F8"/>
    <w:rsid w:val="00DF2466"/>
    <w:rsid w:val="00DF2643"/>
    <w:rsid w:val="00DF28FE"/>
    <w:rsid w:val="00DF29C4"/>
    <w:rsid w:val="00DF2D20"/>
    <w:rsid w:val="00DF2EC9"/>
    <w:rsid w:val="00DF30A9"/>
    <w:rsid w:val="00DF32F0"/>
    <w:rsid w:val="00DF3FB6"/>
    <w:rsid w:val="00DF4102"/>
    <w:rsid w:val="00DF4357"/>
    <w:rsid w:val="00DF45A1"/>
    <w:rsid w:val="00DF524F"/>
    <w:rsid w:val="00DF550F"/>
    <w:rsid w:val="00DF5782"/>
    <w:rsid w:val="00DF59A0"/>
    <w:rsid w:val="00DF5BAE"/>
    <w:rsid w:val="00DF5DB3"/>
    <w:rsid w:val="00DF61B2"/>
    <w:rsid w:val="00DF64ED"/>
    <w:rsid w:val="00DF6B64"/>
    <w:rsid w:val="00DF6B6D"/>
    <w:rsid w:val="00DF7AA7"/>
    <w:rsid w:val="00DF7E43"/>
    <w:rsid w:val="00DF7EF5"/>
    <w:rsid w:val="00E00CE8"/>
    <w:rsid w:val="00E00CFD"/>
    <w:rsid w:val="00E00EF8"/>
    <w:rsid w:val="00E0206B"/>
    <w:rsid w:val="00E02573"/>
    <w:rsid w:val="00E025E8"/>
    <w:rsid w:val="00E02905"/>
    <w:rsid w:val="00E0354E"/>
    <w:rsid w:val="00E03B0A"/>
    <w:rsid w:val="00E04099"/>
    <w:rsid w:val="00E04223"/>
    <w:rsid w:val="00E04305"/>
    <w:rsid w:val="00E044F5"/>
    <w:rsid w:val="00E04984"/>
    <w:rsid w:val="00E04B6D"/>
    <w:rsid w:val="00E04D96"/>
    <w:rsid w:val="00E05088"/>
    <w:rsid w:val="00E0523D"/>
    <w:rsid w:val="00E05480"/>
    <w:rsid w:val="00E05EB7"/>
    <w:rsid w:val="00E064C9"/>
    <w:rsid w:val="00E065FB"/>
    <w:rsid w:val="00E06819"/>
    <w:rsid w:val="00E068D6"/>
    <w:rsid w:val="00E06CA8"/>
    <w:rsid w:val="00E070CC"/>
    <w:rsid w:val="00E07597"/>
    <w:rsid w:val="00E078C3"/>
    <w:rsid w:val="00E10117"/>
    <w:rsid w:val="00E106DB"/>
    <w:rsid w:val="00E10901"/>
    <w:rsid w:val="00E1161B"/>
    <w:rsid w:val="00E118D2"/>
    <w:rsid w:val="00E11976"/>
    <w:rsid w:val="00E11D42"/>
    <w:rsid w:val="00E128BA"/>
    <w:rsid w:val="00E12C89"/>
    <w:rsid w:val="00E13361"/>
    <w:rsid w:val="00E1340E"/>
    <w:rsid w:val="00E1360D"/>
    <w:rsid w:val="00E13906"/>
    <w:rsid w:val="00E14E40"/>
    <w:rsid w:val="00E159AF"/>
    <w:rsid w:val="00E15BB3"/>
    <w:rsid w:val="00E15C4F"/>
    <w:rsid w:val="00E15C7D"/>
    <w:rsid w:val="00E17106"/>
    <w:rsid w:val="00E172BB"/>
    <w:rsid w:val="00E17F19"/>
    <w:rsid w:val="00E2024B"/>
    <w:rsid w:val="00E207CC"/>
    <w:rsid w:val="00E212E6"/>
    <w:rsid w:val="00E214A9"/>
    <w:rsid w:val="00E214DB"/>
    <w:rsid w:val="00E22762"/>
    <w:rsid w:val="00E22BDC"/>
    <w:rsid w:val="00E22D4F"/>
    <w:rsid w:val="00E236A4"/>
    <w:rsid w:val="00E24758"/>
    <w:rsid w:val="00E24B03"/>
    <w:rsid w:val="00E25003"/>
    <w:rsid w:val="00E257A3"/>
    <w:rsid w:val="00E266A3"/>
    <w:rsid w:val="00E26DF2"/>
    <w:rsid w:val="00E272EA"/>
    <w:rsid w:val="00E2743B"/>
    <w:rsid w:val="00E2750C"/>
    <w:rsid w:val="00E275A4"/>
    <w:rsid w:val="00E279C8"/>
    <w:rsid w:val="00E27B25"/>
    <w:rsid w:val="00E301C8"/>
    <w:rsid w:val="00E30DF8"/>
    <w:rsid w:val="00E31C92"/>
    <w:rsid w:val="00E32713"/>
    <w:rsid w:val="00E33301"/>
    <w:rsid w:val="00E33339"/>
    <w:rsid w:val="00E3334D"/>
    <w:rsid w:val="00E33D5A"/>
    <w:rsid w:val="00E341C3"/>
    <w:rsid w:val="00E346D9"/>
    <w:rsid w:val="00E34DD4"/>
    <w:rsid w:val="00E35082"/>
    <w:rsid w:val="00E3542C"/>
    <w:rsid w:val="00E35813"/>
    <w:rsid w:val="00E3666F"/>
    <w:rsid w:val="00E36BD1"/>
    <w:rsid w:val="00E37601"/>
    <w:rsid w:val="00E376BF"/>
    <w:rsid w:val="00E37B5B"/>
    <w:rsid w:val="00E37CA8"/>
    <w:rsid w:val="00E40199"/>
    <w:rsid w:val="00E40C09"/>
    <w:rsid w:val="00E40D41"/>
    <w:rsid w:val="00E4114B"/>
    <w:rsid w:val="00E412A3"/>
    <w:rsid w:val="00E4190A"/>
    <w:rsid w:val="00E41B1A"/>
    <w:rsid w:val="00E41E2E"/>
    <w:rsid w:val="00E426A7"/>
    <w:rsid w:val="00E42A12"/>
    <w:rsid w:val="00E43344"/>
    <w:rsid w:val="00E43515"/>
    <w:rsid w:val="00E4493B"/>
    <w:rsid w:val="00E44DFB"/>
    <w:rsid w:val="00E44E51"/>
    <w:rsid w:val="00E45493"/>
    <w:rsid w:val="00E4565E"/>
    <w:rsid w:val="00E45A59"/>
    <w:rsid w:val="00E45DA2"/>
    <w:rsid w:val="00E46051"/>
    <w:rsid w:val="00E4643D"/>
    <w:rsid w:val="00E4669A"/>
    <w:rsid w:val="00E46A77"/>
    <w:rsid w:val="00E46D26"/>
    <w:rsid w:val="00E46E15"/>
    <w:rsid w:val="00E4747F"/>
    <w:rsid w:val="00E47A23"/>
    <w:rsid w:val="00E47AB7"/>
    <w:rsid w:val="00E47B63"/>
    <w:rsid w:val="00E503FB"/>
    <w:rsid w:val="00E50669"/>
    <w:rsid w:val="00E506AB"/>
    <w:rsid w:val="00E50C5A"/>
    <w:rsid w:val="00E5121D"/>
    <w:rsid w:val="00E51AF3"/>
    <w:rsid w:val="00E51DED"/>
    <w:rsid w:val="00E51F1D"/>
    <w:rsid w:val="00E51F50"/>
    <w:rsid w:val="00E52A24"/>
    <w:rsid w:val="00E52F2C"/>
    <w:rsid w:val="00E53409"/>
    <w:rsid w:val="00E5352C"/>
    <w:rsid w:val="00E539DA"/>
    <w:rsid w:val="00E53A81"/>
    <w:rsid w:val="00E547C4"/>
    <w:rsid w:val="00E54A90"/>
    <w:rsid w:val="00E553C2"/>
    <w:rsid w:val="00E55632"/>
    <w:rsid w:val="00E556B7"/>
    <w:rsid w:val="00E55941"/>
    <w:rsid w:val="00E55F47"/>
    <w:rsid w:val="00E55FE8"/>
    <w:rsid w:val="00E56586"/>
    <w:rsid w:val="00E5664E"/>
    <w:rsid w:val="00E575BA"/>
    <w:rsid w:val="00E57B5B"/>
    <w:rsid w:val="00E57D57"/>
    <w:rsid w:val="00E60342"/>
    <w:rsid w:val="00E608E4"/>
    <w:rsid w:val="00E61A0F"/>
    <w:rsid w:val="00E632DA"/>
    <w:rsid w:val="00E63334"/>
    <w:rsid w:val="00E63680"/>
    <w:rsid w:val="00E63B02"/>
    <w:rsid w:val="00E63EE8"/>
    <w:rsid w:val="00E64008"/>
    <w:rsid w:val="00E64529"/>
    <w:rsid w:val="00E648A9"/>
    <w:rsid w:val="00E64AD8"/>
    <w:rsid w:val="00E660DD"/>
    <w:rsid w:val="00E66105"/>
    <w:rsid w:val="00E66349"/>
    <w:rsid w:val="00E664F0"/>
    <w:rsid w:val="00E665D3"/>
    <w:rsid w:val="00E6687C"/>
    <w:rsid w:val="00E66A62"/>
    <w:rsid w:val="00E7067D"/>
    <w:rsid w:val="00E70CC7"/>
    <w:rsid w:val="00E7105A"/>
    <w:rsid w:val="00E71270"/>
    <w:rsid w:val="00E71436"/>
    <w:rsid w:val="00E714BA"/>
    <w:rsid w:val="00E717CB"/>
    <w:rsid w:val="00E71857"/>
    <w:rsid w:val="00E71CBB"/>
    <w:rsid w:val="00E71FDF"/>
    <w:rsid w:val="00E727CE"/>
    <w:rsid w:val="00E73A86"/>
    <w:rsid w:val="00E73CB0"/>
    <w:rsid w:val="00E742A4"/>
    <w:rsid w:val="00E7483B"/>
    <w:rsid w:val="00E748B6"/>
    <w:rsid w:val="00E7496F"/>
    <w:rsid w:val="00E74977"/>
    <w:rsid w:val="00E74C86"/>
    <w:rsid w:val="00E75D71"/>
    <w:rsid w:val="00E75FC8"/>
    <w:rsid w:val="00E76346"/>
    <w:rsid w:val="00E76624"/>
    <w:rsid w:val="00E76767"/>
    <w:rsid w:val="00E774CC"/>
    <w:rsid w:val="00E80903"/>
    <w:rsid w:val="00E80E58"/>
    <w:rsid w:val="00E80EB7"/>
    <w:rsid w:val="00E81683"/>
    <w:rsid w:val="00E81D7E"/>
    <w:rsid w:val="00E81F3A"/>
    <w:rsid w:val="00E8223C"/>
    <w:rsid w:val="00E8274B"/>
    <w:rsid w:val="00E82917"/>
    <w:rsid w:val="00E82B64"/>
    <w:rsid w:val="00E833C1"/>
    <w:rsid w:val="00E837C3"/>
    <w:rsid w:val="00E83989"/>
    <w:rsid w:val="00E83A93"/>
    <w:rsid w:val="00E84A58"/>
    <w:rsid w:val="00E84A8C"/>
    <w:rsid w:val="00E84B27"/>
    <w:rsid w:val="00E84C4A"/>
    <w:rsid w:val="00E85222"/>
    <w:rsid w:val="00E85A0C"/>
    <w:rsid w:val="00E85C27"/>
    <w:rsid w:val="00E8603C"/>
    <w:rsid w:val="00E86A55"/>
    <w:rsid w:val="00E86F82"/>
    <w:rsid w:val="00E87ACA"/>
    <w:rsid w:val="00E87EC8"/>
    <w:rsid w:val="00E9110A"/>
    <w:rsid w:val="00E91596"/>
    <w:rsid w:val="00E91920"/>
    <w:rsid w:val="00E92151"/>
    <w:rsid w:val="00E9253E"/>
    <w:rsid w:val="00E92898"/>
    <w:rsid w:val="00E92FFD"/>
    <w:rsid w:val="00E9352F"/>
    <w:rsid w:val="00E936F1"/>
    <w:rsid w:val="00E93847"/>
    <w:rsid w:val="00E93AA0"/>
    <w:rsid w:val="00E942E8"/>
    <w:rsid w:val="00E94C72"/>
    <w:rsid w:val="00E9506F"/>
    <w:rsid w:val="00E95102"/>
    <w:rsid w:val="00E9532B"/>
    <w:rsid w:val="00E95999"/>
    <w:rsid w:val="00E97131"/>
    <w:rsid w:val="00E974E6"/>
    <w:rsid w:val="00E977AA"/>
    <w:rsid w:val="00E97953"/>
    <w:rsid w:val="00E97B3D"/>
    <w:rsid w:val="00EA02FE"/>
    <w:rsid w:val="00EA0314"/>
    <w:rsid w:val="00EA0521"/>
    <w:rsid w:val="00EA0800"/>
    <w:rsid w:val="00EA1747"/>
    <w:rsid w:val="00EA2121"/>
    <w:rsid w:val="00EA2B21"/>
    <w:rsid w:val="00EA2C7B"/>
    <w:rsid w:val="00EA2E54"/>
    <w:rsid w:val="00EA349A"/>
    <w:rsid w:val="00EA4002"/>
    <w:rsid w:val="00EA42FB"/>
    <w:rsid w:val="00EA4352"/>
    <w:rsid w:val="00EA5102"/>
    <w:rsid w:val="00EA5658"/>
    <w:rsid w:val="00EA57BB"/>
    <w:rsid w:val="00EA5882"/>
    <w:rsid w:val="00EA5D6C"/>
    <w:rsid w:val="00EA5D96"/>
    <w:rsid w:val="00EA5F7B"/>
    <w:rsid w:val="00EA663B"/>
    <w:rsid w:val="00EA66F0"/>
    <w:rsid w:val="00EA6C3A"/>
    <w:rsid w:val="00EA758D"/>
    <w:rsid w:val="00EA7A49"/>
    <w:rsid w:val="00EA7E5F"/>
    <w:rsid w:val="00EB034A"/>
    <w:rsid w:val="00EB0951"/>
    <w:rsid w:val="00EB0BFC"/>
    <w:rsid w:val="00EB0E04"/>
    <w:rsid w:val="00EB1631"/>
    <w:rsid w:val="00EB1787"/>
    <w:rsid w:val="00EB1B40"/>
    <w:rsid w:val="00EB26D8"/>
    <w:rsid w:val="00EB2C43"/>
    <w:rsid w:val="00EB2EA4"/>
    <w:rsid w:val="00EB31BB"/>
    <w:rsid w:val="00EB3B5C"/>
    <w:rsid w:val="00EB3D6F"/>
    <w:rsid w:val="00EB3EB0"/>
    <w:rsid w:val="00EB444C"/>
    <w:rsid w:val="00EB4756"/>
    <w:rsid w:val="00EB47ED"/>
    <w:rsid w:val="00EB4971"/>
    <w:rsid w:val="00EB4C03"/>
    <w:rsid w:val="00EB4FDF"/>
    <w:rsid w:val="00EB522F"/>
    <w:rsid w:val="00EB580B"/>
    <w:rsid w:val="00EB5AFD"/>
    <w:rsid w:val="00EB5B3E"/>
    <w:rsid w:val="00EB5E71"/>
    <w:rsid w:val="00EB6060"/>
    <w:rsid w:val="00EB63E9"/>
    <w:rsid w:val="00EB68B7"/>
    <w:rsid w:val="00EB7041"/>
    <w:rsid w:val="00EB74B9"/>
    <w:rsid w:val="00EB785A"/>
    <w:rsid w:val="00EB7D7E"/>
    <w:rsid w:val="00EC0149"/>
    <w:rsid w:val="00EC06F6"/>
    <w:rsid w:val="00EC0701"/>
    <w:rsid w:val="00EC076A"/>
    <w:rsid w:val="00EC0C3F"/>
    <w:rsid w:val="00EC0FCC"/>
    <w:rsid w:val="00EC1063"/>
    <w:rsid w:val="00EC11A9"/>
    <w:rsid w:val="00EC164E"/>
    <w:rsid w:val="00EC18C9"/>
    <w:rsid w:val="00EC26DB"/>
    <w:rsid w:val="00EC3525"/>
    <w:rsid w:val="00EC463B"/>
    <w:rsid w:val="00EC4A07"/>
    <w:rsid w:val="00EC5029"/>
    <w:rsid w:val="00EC52DB"/>
    <w:rsid w:val="00EC5412"/>
    <w:rsid w:val="00EC5944"/>
    <w:rsid w:val="00EC5D6A"/>
    <w:rsid w:val="00EC6040"/>
    <w:rsid w:val="00EC7E70"/>
    <w:rsid w:val="00ED0636"/>
    <w:rsid w:val="00ED144E"/>
    <w:rsid w:val="00ED189E"/>
    <w:rsid w:val="00ED1966"/>
    <w:rsid w:val="00ED2961"/>
    <w:rsid w:val="00ED29C2"/>
    <w:rsid w:val="00ED375F"/>
    <w:rsid w:val="00ED3961"/>
    <w:rsid w:val="00ED42FF"/>
    <w:rsid w:val="00ED4B8B"/>
    <w:rsid w:val="00ED4E18"/>
    <w:rsid w:val="00ED5CD5"/>
    <w:rsid w:val="00ED61C8"/>
    <w:rsid w:val="00ED640C"/>
    <w:rsid w:val="00ED6D34"/>
    <w:rsid w:val="00ED6DEC"/>
    <w:rsid w:val="00ED6EC3"/>
    <w:rsid w:val="00ED713D"/>
    <w:rsid w:val="00ED74D5"/>
    <w:rsid w:val="00ED778D"/>
    <w:rsid w:val="00ED7B42"/>
    <w:rsid w:val="00EE006F"/>
    <w:rsid w:val="00EE03B1"/>
    <w:rsid w:val="00EE061D"/>
    <w:rsid w:val="00EE067A"/>
    <w:rsid w:val="00EE0727"/>
    <w:rsid w:val="00EE0918"/>
    <w:rsid w:val="00EE0A09"/>
    <w:rsid w:val="00EE1686"/>
    <w:rsid w:val="00EE1DDF"/>
    <w:rsid w:val="00EE2353"/>
    <w:rsid w:val="00EE262E"/>
    <w:rsid w:val="00EE27B0"/>
    <w:rsid w:val="00EE2B54"/>
    <w:rsid w:val="00EE2DF5"/>
    <w:rsid w:val="00EE3E79"/>
    <w:rsid w:val="00EE4444"/>
    <w:rsid w:val="00EE47B7"/>
    <w:rsid w:val="00EE4B24"/>
    <w:rsid w:val="00EE4E1A"/>
    <w:rsid w:val="00EE5445"/>
    <w:rsid w:val="00EE546C"/>
    <w:rsid w:val="00EE54EF"/>
    <w:rsid w:val="00EE6971"/>
    <w:rsid w:val="00EE6B0D"/>
    <w:rsid w:val="00EE6D8F"/>
    <w:rsid w:val="00EE7EB1"/>
    <w:rsid w:val="00EE7ED6"/>
    <w:rsid w:val="00EF042A"/>
    <w:rsid w:val="00EF07A6"/>
    <w:rsid w:val="00EF0B19"/>
    <w:rsid w:val="00EF0D6A"/>
    <w:rsid w:val="00EF1883"/>
    <w:rsid w:val="00EF1C18"/>
    <w:rsid w:val="00EF1CC2"/>
    <w:rsid w:val="00EF1E29"/>
    <w:rsid w:val="00EF273E"/>
    <w:rsid w:val="00EF2803"/>
    <w:rsid w:val="00EF2A55"/>
    <w:rsid w:val="00EF2A72"/>
    <w:rsid w:val="00EF3B2A"/>
    <w:rsid w:val="00EF4882"/>
    <w:rsid w:val="00EF48AC"/>
    <w:rsid w:val="00EF56DD"/>
    <w:rsid w:val="00EF57B4"/>
    <w:rsid w:val="00EF5C8C"/>
    <w:rsid w:val="00EF6345"/>
    <w:rsid w:val="00EF6A76"/>
    <w:rsid w:val="00EF6FEC"/>
    <w:rsid w:val="00EF7091"/>
    <w:rsid w:val="00EF76EF"/>
    <w:rsid w:val="00EF7E2B"/>
    <w:rsid w:val="00F002D4"/>
    <w:rsid w:val="00F00396"/>
    <w:rsid w:val="00F00681"/>
    <w:rsid w:val="00F00931"/>
    <w:rsid w:val="00F009AF"/>
    <w:rsid w:val="00F02299"/>
    <w:rsid w:val="00F02ACD"/>
    <w:rsid w:val="00F02B9F"/>
    <w:rsid w:val="00F02DDE"/>
    <w:rsid w:val="00F03305"/>
    <w:rsid w:val="00F03373"/>
    <w:rsid w:val="00F0371E"/>
    <w:rsid w:val="00F03743"/>
    <w:rsid w:val="00F0399D"/>
    <w:rsid w:val="00F03AEE"/>
    <w:rsid w:val="00F03B24"/>
    <w:rsid w:val="00F03EDE"/>
    <w:rsid w:val="00F04832"/>
    <w:rsid w:val="00F04990"/>
    <w:rsid w:val="00F04B38"/>
    <w:rsid w:val="00F05571"/>
    <w:rsid w:val="00F05990"/>
    <w:rsid w:val="00F05F5F"/>
    <w:rsid w:val="00F06089"/>
    <w:rsid w:val="00F06ECD"/>
    <w:rsid w:val="00F1007C"/>
    <w:rsid w:val="00F10F22"/>
    <w:rsid w:val="00F113FD"/>
    <w:rsid w:val="00F113FE"/>
    <w:rsid w:val="00F1199F"/>
    <w:rsid w:val="00F11A5D"/>
    <w:rsid w:val="00F1273C"/>
    <w:rsid w:val="00F12B37"/>
    <w:rsid w:val="00F12C82"/>
    <w:rsid w:val="00F12CB5"/>
    <w:rsid w:val="00F13004"/>
    <w:rsid w:val="00F13016"/>
    <w:rsid w:val="00F13828"/>
    <w:rsid w:val="00F1413E"/>
    <w:rsid w:val="00F143D8"/>
    <w:rsid w:val="00F14470"/>
    <w:rsid w:val="00F14548"/>
    <w:rsid w:val="00F151F4"/>
    <w:rsid w:val="00F15444"/>
    <w:rsid w:val="00F156A2"/>
    <w:rsid w:val="00F15975"/>
    <w:rsid w:val="00F1680E"/>
    <w:rsid w:val="00F177F7"/>
    <w:rsid w:val="00F17AFF"/>
    <w:rsid w:val="00F17B7D"/>
    <w:rsid w:val="00F17FB2"/>
    <w:rsid w:val="00F206F4"/>
    <w:rsid w:val="00F20A4D"/>
    <w:rsid w:val="00F20D1C"/>
    <w:rsid w:val="00F21074"/>
    <w:rsid w:val="00F217F0"/>
    <w:rsid w:val="00F2181A"/>
    <w:rsid w:val="00F21CC1"/>
    <w:rsid w:val="00F21DB9"/>
    <w:rsid w:val="00F21E06"/>
    <w:rsid w:val="00F2218A"/>
    <w:rsid w:val="00F2293A"/>
    <w:rsid w:val="00F23631"/>
    <w:rsid w:val="00F237DC"/>
    <w:rsid w:val="00F237E9"/>
    <w:rsid w:val="00F2423F"/>
    <w:rsid w:val="00F2467E"/>
    <w:rsid w:val="00F246E5"/>
    <w:rsid w:val="00F2541B"/>
    <w:rsid w:val="00F25758"/>
    <w:rsid w:val="00F26105"/>
    <w:rsid w:val="00F26268"/>
    <w:rsid w:val="00F26393"/>
    <w:rsid w:val="00F26C28"/>
    <w:rsid w:val="00F26E66"/>
    <w:rsid w:val="00F26FBF"/>
    <w:rsid w:val="00F277B3"/>
    <w:rsid w:val="00F27F67"/>
    <w:rsid w:val="00F30E5D"/>
    <w:rsid w:val="00F31B75"/>
    <w:rsid w:val="00F31D7B"/>
    <w:rsid w:val="00F32011"/>
    <w:rsid w:val="00F32098"/>
    <w:rsid w:val="00F32512"/>
    <w:rsid w:val="00F32B3C"/>
    <w:rsid w:val="00F32CF3"/>
    <w:rsid w:val="00F32E44"/>
    <w:rsid w:val="00F33B4A"/>
    <w:rsid w:val="00F3400D"/>
    <w:rsid w:val="00F3436A"/>
    <w:rsid w:val="00F34C87"/>
    <w:rsid w:val="00F34D21"/>
    <w:rsid w:val="00F34F62"/>
    <w:rsid w:val="00F35024"/>
    <w:rsid w:val="00F351A2"/>
    <w:rsid w:val="00F35395"/>
    <w:rsid w:val="00F3545D"/>
    <w:rsid w:val="00F35786"/>
    <w:rsid w:val="00F368CC"/>
    <w:rsid w:val="00F36A50"/>
    <w:rsid w:val="00F36E17"/>
    <w:rsid w:val="00F36ECC"/>
    <w:rsid w:val="00F36FAE"/>
    <w:rsid w:val="00F3748E"/>
    <w:rsid w:val="00F37746"/>
    <w:rsid w:val="00F379C4"/>
    <w:rsid w:val="00F37A0A"/>
    <w:rsid w:val="00F37B6E"/>
    <w:rsid w:val="00F4028B"/>
    <w:rsid w:val="00F408DB"/>
    <w:rsid w:val="00F4096A"/>
    <w:rsid w:val="00F40A56"/>
    <w:rsid w:val="00F40ADA"/>
    <w:rsid w:val="00F40AF8"/>
    <w:rsid w:val="00F4198E"/>
    <w:rsid w:val="00F4376C"/>
    <w:rsid w:val="00F442D1"/>
    <w:rsid w:val="00F4465E"/>
    <w:rsid w:val="00F44723"/>
    <w:rsid w:val="00F4507E"/>
    <w:rsid w:val="00F454DE"/>
    <w:rsid w:val="00F458CE"/>
    <w:rsid w:val="00F45908"/>
    <w:rsid w:val="00F4697D"/>
    <w:rsid w:val="00F46F93"/>
    <w:rsid w:val="00F47200"/>
    <w:rsid w:val="00F47744"/>
    <w:rsid w:val="00F5007D"/>
    <w:rsid w:val="00F50175"/>
    <w:rsid w:val="00F507BE"/>
    <w:rsid w:val="00F52190"/>
    <w:rsid w:val="00F52400"/>
    <w:rsid w:val="00F52705"/>
    <w:rsid w:val="00F52846"/>
    <w:rsid w:val="00F529CB"/>
    <w:rsid w:val="00F52A1A"/>
    <w:rsid w:val="00F52F21"/>
    <w:rsid w:val="00F52F3F"/>
    <w:rsid w:val="00F53882"/>
    <w:rsid w:val="00F53B51"/>
    <w:rsid w:val="00F53EDA"/>
    <w:rsid w:val="00F54DDA"/>
    <w:rsid w:val="00F5535B"/>
    <w:rsid w:val="00F55A7B"/>
    <w:rsid w:val="00F55F6A"/>
    <w:rsid w:val="00F56240"/>
    <w:rsid w:val="00F564D3"/>
    <w:rsid w:val="00F567A8"/>
    <w:rsid w:val="00F56B3F"/>
    <w:rsid w:val="00F56D3E"/>
    <w:rsid w:val="00F570E2"/>
    <w:rsid w:val="00F57313"/>
    <w:rsid w:val="00F57379"/>
    <w:rsid w:val="00F574BF"/>
    <w:rsid w:val="00F57F97"/>
    <w:rsid w:val="00F60160"/>
    <w:rsid w:val="00F605C1"/>
    <w:rsid w:val="00F60B6E"/>
    <w:rsid w:val="00F612FC"/>
    <w:rsid w:val="00F61526"/>
    <w:rsid w:val="00F618EA"/>
    <w:rsid w:val="00F62082"/>
    <w:rsid w:val="00F62275"/>
    <w:rsid w:val="00F6276A"/>
    <w:rsid w:val="00F62D5B"/>
    <w:rsid w:val="00F63A74"/>
    <w:rsid w:val="00F64C97"/>
    <w:rsid w:val="00F65550"/>
    <w:rsid w:val="00F6561B"/>
    <w:rsid w:val="00F65884"/>
    <w:rsid w:val="00F667E4"/>
    <w:rsid w:val="00F66BE0"/>
    <w:rsid w:val="00F66BEB"/>
    <w:rsid w:val="00F67EF8"/>
    <w:rsid w:val="00F7011E"/>
    <w:rsid w:val="00F7034D"/>
    <w:rsid w:val="00F70493"/>
    <w:rsid w:val="00F7072A"/>
    <w:rsid w:val="00F71101"/>
    <w:rsid w:val="00F7133F"/>
    <w:rsid w:val="00F71543"/>
    <w:rsid w:val="00F715C2"/>
    <w:rsid w:val="00F715FB"/>
    <w:rsid w:val="00F7173E"/>
    <w:rsid w:val="00F71CDB"/>
    <w:rsid w:val="00F72091"/>
    <w:rsid w:val="00F72116"/>
    <w:rsid w:val="00F724B8"/>
    <w:rsid w:val="00F72788"/>
    <w:rsid w:val="00F72802"/>
    <w:rsid w:val="00F72A0E"/>
    <w:rsid w:val="00F72BF4"/>
    <w:rsid w:val="00F72C66"/>
    <w:rsid w:val="00F73DFF"/>
    <w:rsid w:val="00F7430A"/>
    <w:rsid w:val="00F748C5"/>
    <w:rsid w:val="00F749CE"/>
    <w:rsid w:val="00F74B72"/>
    <w:rsid w:val="00F74B9B"/>
    <w:rsid w:val="00F74F70"/>
    <w:rsid w:val="00F74FD9"/>
    <w:rsid w:val="00F75064"/>
    <w:rsid w:val="00F750CD"/>
    <w:rsid w:val="00F752C8"/>
    <w:rsid w:val="00F75642"/>
    <w:rsid w:val="00F75BE2"/>
    <w:rsid w:val="00F75FE4"/>
    <w:rsid w:val="00F7705A"/>
    <w:rsid w:val="00F7708E"/>
    <w:rsid w:val="00F77482"/>
    <w:rsid w:val="00F77546"/>
    <w:rsid w:val="00F77FC6"/>
    <w:rsid w:val="00F806F5"/>
    <w:rsid w:val="00F80EA9"/>
    <w:rsid w:val="00F81315"/>
    <w:rsid w:val="00F813EF"/>
    <w:rsid w:val="00F819CD"/>
    <w:rsid w:val="00F82625"/>
    <w:rsid w:val="00F82B2E"/>
    <w:rsid w:val="00F82CEA"/>
    <w:rsid w:val="00F838DA"/>
    <w:rsid w:val="00F84D64"/>
    <w:rsid w:val="00F85506"/>
    <w:rsid w:val="00F85633"/>
    <w:rsid w:val="00F8669C"/>
    <w:rsid w:val="00F86AD3"/>
    <w:rsid w:val="00F87412"/>
    <w:rsid w:val="00F87B22"/>
    <w:rsid w:val="00F87F4F"/>
    <w:rsid w:val="00F90796"/>
    <w:rsid w:val="00F907D5"/>
    <w:rsid w:val="00F90B24"/>
    <w:rsid w:val="00F90CC8"/>
    <w:rsid w:val="00F91F22"/>
    <w:rsid w:val="00F91FD7"/>
    <w:rsid w:val="00F9222C"/>
    <w:rsid w:val="00F925C6"/>
    <w:rsid w:val="00F9289D"/>
    <w:rsid w:val="00F92BF2"/>
    <w:rsid w:val="00F92C9A"/>
    <w:rsid w:val="00F933A6"/>
    <w:rsid w:val="00F934DF"/>
    <w:rsid w:val="00F93E69"/>
    <w:rsid w:val="00F945AE"/>
    <w:rsid w:val="00F947B4"/>
    <w:rsid w:val="00F94D29"/>
    <w:rsid w:val="00F9549D"/>
    <w:rsid w:val="00F955D0"/>
    <w:rsid w:val="00F9563C"/>
    <w:rsid w:val="00F95F3B"/>
    <w:rsid w:val="00F96569"/>
    <w:rsid w:val="00F97349"/>
    <w:rsid w:val="00F9735D"/>
    <w:rsid w:val="00F973E5"/>
    <w:rsid w:val="00F97CA9"/>
    <w:rsid w:val="00FA03F3"/>
    <w:rsid w:val="00FA07AF"/>
    <w:rsid w:val="00FA0EB7"/>
    <w:rsid w:val="00FA13E8"/>
    <w:rsid w:val="00FA1932"/>
    <w:rsid w:val="00FA1C94"/>
    <w:rsid w:val="00FA21FE"/>
    <w:rsid w:val="00FA2365"/>
    <w:rsid w:val="00FA2849"/>
    <w:rsid w:val="00FA2AF6"/>
    <w:rsid w:val="00FA3006"/>
    <w:rsid w:val="00FA326B"/>
    <w:rsid w:val="00FA4155"/>
    <w:rsid w:val="00FA4406"/>
    <w:rsid w:val="00FA4881"/>
    <w:rsid w:val="00FA494C"/>
    <w:rsid w:val="00FA4A4A"/>
    <w:rsid w:val="00FA4AE8"/>
    <w:rsid w:val="00FA4D01"/>
    <w:rsid w:val="00FA4E7B"/>
    <w:rsid w:val="00FA632E"/>
    <w:rsid w:val="00FA6705"/>
    <w:rsid w:val="00FA71BB"/>
    <w:rsid w:val="00FA752C"/>
    <w:rsid w:val="00FA77EA"/>
    <w:rsid w:val="00FA7BC6"/>
    <w:rsid w:val="00FA7CAA"/>
    <w:rsid w:val="00FB046C"/>
    <w:rsid w:val="00FB0B7B"/>
    <w:rsid w:val="00FB0E25"/>
    <w:rsid w:val="00FB1343"/>
    <w:rsid w:val="00FB15EB"/>
    <w:rsid w:val="00FB174B"/>
    <w:rsid w:val="00FB1797"/>
    <w:rsid w:val="00FB19FE"/>
    <w:rsid w:val="00FB2039"/>
    <w:rsid w:val="00FB24C2"/>
    <w:rsid w:val="00FB2945"/>
    <w:rsid w:val="00FB2D3F"/>
    <w:rsid w:val="00FB3487"/>
    <w:rsid w:val="00FB38BB"/>
    <w:rsid w:val="00FB38FE"/>
    <w:rsid w:val="00FB3C60"/>
    <w:rsid w:val="00FB40AB"/>
    <w:rsid w:val="00FB41BD"/>
    <w:rsid w:val="00FB6836"/>
    <w:rsid w:val="00FB7379"/>
    <w:rsid w:val="00FB7557"/>
    <w:rsid w:val="00FB7E5A"/>
    <w:rsid w:val="00FB7F31"/>
    <w:rsid w:val="00FC00D8"/>
    <w:rsid w:val="00FC0262"/>
    <w:rsid w:val="00FC05C1"/>
    <w:rsid w:val="00FC10DC"/>
    <w:rsid w:val="00FC1155"/>
    <w:rsid w:val="00FC201A"/>
    <w:rsid w:val="00FC27FC"/>
    <w:rsid w:val="00FC2963"/>
    <w:rsid w:val="00FC37C6"/>
    <w:rsid w:val="00FC3CFF"/>
    <w:rsid w:val="00FC49FD"/>
    <w:rsid w:val="00FC6427"/>
    <w:rsid w:val="00FC669C"/>
    <w:rsid w:val="00FC6F05"/>
    <w:rsid w:val="00FC6F8E"/>
    <w:rsid w:val="00FC7203"/>
    <w:rsid w:val="00FC7299"/>
    <w:rsid w:val="00FC7C29"/>
    <w:rsid w:val="00FD0471"/>
    <w:rsid w:val="00FD04E9"/>
    <w:rsid w:val="00FD0C74"/>
    <w:rsid w:val="00FD0D73"/>
    <w:rsid w:val="00FD0DAB"/>
    <w:rsid w:val="00FD1E37"/>
    <w:rsid w:val="00FD1F62"/>
    <w:rsid w:val="00FD21CF"/>
    <w:rsid w:val="00FD2422"/>
    <w:rsid w:val="00FD24C8"/>
    <w:rsid w:val="00FD2CDE"/>
    <w:rsid w:val="00FD2CE8"/>
    <w:rsid w:val="00FD3096"/>
    <w:rsid w:val="00FD3192"/>
    <w:rsid w:val="00FD319D"/>
    <w:rsid w:val="00FD34E4"/>
    <w:rsid w:val="00FD3DFE"/>
    <w:rsid w:val="00FD3F86"/>
    <w:rsid w:val="00FD423F"/>
    <w:rsid w:val="00FD4D69"/>
    <w:rsid w:val="00FD4E41"/>
    <w:rsid w:val="00FD56F2"/>
    <w:rsid w:val="00FD5ACD"/>
    <w:rsid w:val="00FD5D8C"/>
    <w:rsid w:val="00FD60AB"/>
    <w:rsid w:val="00FD6132"/>
    <w:rsid w:val="00FD63BA"/>
    <w:rsid w:val="00FD6A9B"/>
    <w:rsid w:val="00FD6DE3"/>
    <w:rsid w:val="00FD70AF"/>
    <w:rsid w:val="00FD70F8"/>
    <w:rsid w:val="00FD7769"/>
    <w:rsid w:val="00FD7791"/>
    <w:rsid w:val="00FD7C4E"/>
    <w:rsid w:val="00FE03DA"/>
    <w:rsid w:val="00FE0841"/>
    <w:rsid w:val="00FE092C"/>
    <w:rsid w:val="00FE1683"/>
    <w:rsid w:val="00FE251D"/>
    <w:rsid w:val="00FE2CAE"/>
    <w:rsid w:val="00FE3161"/>
    <w:rsid w:val="00FE31D4"/>
    <w:rsid w:val="00FE4425"/>
    <w:rsid w:val="00FE4A2C"/>
    <w:rsid w:val="00FE4EE6"/>
    <w:rsid w:val="00FE5ECC"/>
    <w:rsid w:val="00FE60C5"/>
    <w:rsid w:val="00FE6970"/>
    <w:rsid w:val="00FE6D8B"/>
    <w:rsid w:val="00FE6E03"/>
    <w:rsid w:val="00FE6F3E"/>
    <w:rsid w:val="00FE7C0A"/>
    <w:rsid w:val="00FE7D86"/>
    <w:rsid w:val="00FE7E7F"/>
    <w:rsid w:val="00FE7FB4"/>
    <w:rsid w:val="00FF0106"/>
    <w:rsid w:val="00FF0934"/>
    <w:rsid w:val="00FF09D9"/>
    <w:rsid w:val="00FF0C65"/>
    <w:rsid w:val="00FF0D47"/>
    <w:rsid w:val="00FF117E"/>
    <w:rsid w:val="00FF1613"/>
    <w:rsid w:val="00FF1EA3"/>
    <w:rsid w:val="00FF1ECC"/>
    <w:rsid w:val="00FF28EB"/>
    <w:rsid w:val="00FF2A85"/>
    <w:rsid w:val="00FF2B0F"/>
    <w:rsid w:val="00FF3183"/>
    <w:rsid w:val="00FF3740"/>
    <w:rsid w:val="00FF3752"/>
    <w:rsid w:val="00FF3DF8"/>
    <w:rsid w:val="00FF4357"/>
    <w:rsid w:val="00FF43B9"/>
    <w:rsid w:val="00FF4606"/>
    <w:rsid w:val="00FF4B98"/>
    <w:rsid w:val="00FF5469"/>
    <w:rsid w:val="00FF5A2C"/>
    <w:rsid w:val="00FF6D35"/>
    <w:rsid w:val="00FF6F15"/>
    <w:rsid w:val="00FF7E8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2193D"/>
  <w15:docId w15:val="{8BED16D4-336B-4730-A740-58A7BA48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F9F"/>
    <w:pPr>
      <w:jc w:val="both"/>
    </w:pPr>
    <w:rPr>
      <w:rFonts w:asciiTheme="minorHAnsi" w:hAnsiTheme="minorHAnsi" w:cs="Arial"/>
      <w:sz w:val="24"/>
      <w:szCs w:val="22"/>
      <w:lang w:eastAsia="en-US"/>
    </w:rPr>
  </w:style>
  <w:style w:type="paragraph" w:styleId="Nadpis1">
    <w:name w:val="heading 1"/>
    <w:basedOn w:val="Kapitoly"/>
    <w:next w:val="Normln"/>
    <w:link w:val="Nadpis1Char"/>
    <w:uiPriority w:val="9"/>
    <w:qFormat/>
    <w:rsid w:val="00032A20"/>
    <w:pPr>
      <w:numPr>
        <w:numId w:val="4"/>
      </w:numPr>
      <w:outlineLvl w:val="0"/>
    </w:pPr>
    <w:rPr>
      <w:sz w:val="32"/>
    </w:rPr>
  </w:style>
  <w:style w:type="paragraph" w:styleId="Nadpis2">
    <w:name w:val="heading 2"/>
    <w:basedOn w:val="Nadpis1"/>
    <w:next w:val="Normln"/>
    <w:link w:val="Nadpis2Char"/>
    <w:uiPriority w:val="9"/>
    <w:qFormat/>
    <w:rsid w:val="004F3F5F"/>
    <w:pPr>
      <w:numPr>
        <w:ilvl w:val="1"/>
      </w:numPr>
      <w:outlineLvl w:val="1"/>
    </w:pPr>
    <w:rPr>
      <w:sz w:val="28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222A78"/>
    <w:pPr>
      <w:numPr>
        <w:ilvl w:val="2"/>
        <w:numId w:val="4"/>
      </w:numPr>
      <w:spacing w:before="120" w:after="120"/>
      <w:outlineLvl w:val="2"/>
    </w:pPr>
    <w:rPr>
      <w:rFonts w:asciiTheme="minorHAnsi" w:hAnsiTheme="minorHAnsi" w:cs="Arial"/>
      <w:b/>
      <w:color w:val="00000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2BDC"/>
    <w:pPr>
      <w:keepNext/>
      <w:keepLines/>
      <w:numPr>
        <w:numId w:val="26"/>
      </w:numPr>
      <w:spacing w:before="200" w:after="60"/>
      <w:ind w:left="357" w:hanging="357"/>
      <w:outlineLvl w:val="3"/>
    </w:pPr>
    <w:rPr>
      <w:rFonts w:eastAsia="Times New Roman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0BAC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0BAC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BAC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BAC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0BAC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4F3F5F"/>
    <w:rPr>
      <w:rFonts w:asciiTheme="minorHAnsi" w:hAnsiTheme="minorHAnsi" w:cs="Arial"/>
      <w:b/>
      <w:color w:val="000000"/>
      <w:sz w:val="28"/>
      <w:szCs w:val="22"/>
      <w:lang w:eastAsia="en-US"/>
    </w:rPr>
  </w:style>
  <w:style w:type="paragraph" w:customStyle="1" w:styleId="Kapitoly">
    <w:name w:val="Kapitoly"/>
    <w:basedOn w:val="Normln"/>
    <w:next w:val="Normln"/>
    <w:rsid w:val="007146FF"/>
    <w:pPr>
      <w:numPr>
        <w:numId w:val="1"/>
      </w:numPr>
      <w:spacing w:before="240" w:after="120"/>
    </w:pPr>
    <w:rPr>
      <w:b/>
      <w:color w:val="000000"/>
    </w:rPr>
  </w:style>
  <w:style w:type="paragraph" w:customStyle="1" w:styleId="ploha">
    <w:name w:val="příloha"/>
    <w:basedOn w:val="Normln"/>
    <w:rsid w:val="004719ED"/>
    <w:rPr>
      <w:rFonts w:eastAsia="Times New Roman"/>
    </w:rPr>
  </w:style>
  <w:style w:type="paragraph" w:styleId="Zkladntext2">
    <w:name w:val="Body Text 2"/>
    <w:basedOn w:val="Normln"/>
    <w:link w:val="Zkladntext2Char"/>
    <w:uiPriority w:val="99"/>
    <w:rsid w:val="009B4FFE"/>
    <w:pPr>
      <w:spacing w:line="360" w:lineRule="auto"/>
    </w:pPr>
    <w:rPr>
      <w:rFonts w:eastAsia="Times New Roman"/>
      <w:i/>
      <w:iCs/>
    </w:rPr>
  </w:style>
  <w:style w:type="character" w:customStyle="1" w:styleId="Zkladntext2Char">
    <w:name w:val="Základní text 2 Char"/>
    <w:link w:val="Zkladntext2"/>
    <w:uiPriority w:val="99"/>
    <w:rsid w:val="009B4FFE"/>
    <w:rPr>
      <w:rFonts w:ascii="Arial" w:hAnsi="Arial" w:cs="Arial"/>
      <w:i/>
      <w:iCs/>
      <w:sz w:val="24"/>
      <w:szCs w:val="24"/>
    </w:r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4D72D0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4D72D0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uiPriority w:val="99"/>
    <w:rsid w:val="004D72D0"/>
    <w:rPr>
      <w:vertAlign w:val="superscript"/>
    </w:rPr>
  </w:style>
  <w:style w:type="paragraph" w:customStyle="1" w:styleId="Default">
    <w:name w:val="Default"/>
    <w:rsid w:val="008819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aliases w:val="odrážky"/>
    <w:basedOn w:val="Normln"/>
    <w:link w:val="OdstavecseseznamemChar"/>
    <w:uiPriority w:val="34"/>
    <w:rsid w:val="00A21126"/>
    <w:pPr>
      <w:ind w:left="720"/>
    </w:pPr>
    <w:rPr>
      <w:rFonts w:ascii="Calibri" w:eastAsia="MS Mincho" w:hAnsi="Calibri" w:cs="Calibri"/>
    </w:rPr>
  </w:style>
  <w:style w:type="paragraph" w:styleId="Zkladntext">
    <w:name w:val="Body Text"/>
    <w:basedOn w:val="Normln"/>
    <w:link w:val="ZkladntextChar"/>
    <w:uiPriority w:val="99"/>
    <w:rsid w:val="002F1D83"/>
    <w:pPr>
      <w:spacing w:after="120"/>
    </w:pPr>
  </w:style>
  <w:style w:type="character" w:customStyle="1" w:styleId="ZkladntextChar">
    <w:name w:val="Základní text Char"/>
    <w:link w:val="Zkladntext"/>
    <w:uiPriority w:val="99"/>
    <w:rsid w:val="002F1D83"/>
    <w:rPr>
      <w:rFonts w:ascii="Arial" w:hAnsi="Arial" w:cs="Arial"/>
    </w:rPr>
  </w:style>
  <w:style w:type="table" w:styleId="Mkatabulky">
    <w:name w:val="Table Grid"/>
    <w:basedOn w:val="Normlntabulka"/>
    <w:uiPriority w:val="59"/>
    <w:rsid w:val="00D42F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0A71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A71C6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0A71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71C6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rsid w:val="009A1D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1D7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6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18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1182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1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1182"/>
    <w:rPr>
      <w:rFonts w:ascii="Arial" w:hAnsi="Arial" w:cs="Arial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D61182"/>
    <w:rPr>
      <w:rFonts w:ascii="Arial" w:hAnsi="Arial" w:cs="Arial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90334D"/>
  </w:style>
  <w:style w:type="character" w:customStyle="1" w:styleId="Nadpis1Char">
    <w:name w:val="Nadpis 1 Char"/>
    <w:link w:val="Nadpis1"/>
    <w:uiPriority w:val="9"/>
    <w:rsid w:val="00032A20"/>
    <w:rPr>
      <w:rFonts w:asciiTheme="minorHAnsi" w:hAnsiTheme="minorHAnsi" w:cs="Arial"/>
      <w:b/>
      <w:color w:val="000000"/>
      <w:sz w:val="3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222A78"/>
    <w:rPr>
      <w:rFonts w:asciiTheme="minorHAnsi" w:eastAsia="MS Mincho" w:hAnsiTheme="minorHAnsi" w:cs="Arial"/>
      <w:b/>
      <w:color w:val="000000"/>
      <w:sz w:val="24"/>
      <w:szCs w:val="22"/>
      <w:lang w:eastAsia="en-US"/>
    </w:rPr>
  </w:style>
  <w:style w:type="paragraph" w:styleId="Normlnweb">
    <w:name w:val="Normal (Web)"/>
    <w:basedOn w:val="Normln"/>
    <w:rsid w:val="00742563"/>
    <w:rPr>
      <w:rFonts w:ascii="Times New Roman" w:eastAsia="Times New Roman" w:hAnsi="Times New Roman" w:cs="Times New Roman"/>
      <w:szCs w:val="24"/>
    </w:rPr>
  </w:style>
  <w:style w:type="character" w:styleId="Siln">
    <w:name w:val="Strong"/>
    <w:uiPriority w:val="22"/>
    <w:rsid w:val="00742563"/>
    <w:rPr>
      <w:b/>
      <w:bCs/>
    </w:rPr>
  </w:style>
  <w:style w:type="character" w:styleId="Hypertextovodkaz">
    <w:name w:val="Hyperlink"/>
    <w:uiPriority w:val="99"/>
    <w:rsid w:val="00D6536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3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403926"/>
    <w:rPr>
      <w:rFonts w:ascii="Courier New" w:eastAsia="Times New Roman" w:hAnsi="Courier New" w:cs="Courier New"/>
    </w:rPr>
  </w:style>
  <w:style w:type="paragraph" w:customStyle="1" w:styleId="odst1">
    <w:name w:val="odst 1"/>
    <w:basedOn w:val="Normln"/>
    <w:rsid w:val="00081E42"/>
  </w:style>
  <w:style w:type="character" w:customStyle="1" w:styleId="OdstavecseseznamemChar">
    <w:name w:val="Odstavec se seznamem Char"/>
    <w:aliases w:val="odrážky Char"/>
    <w:link w:val="Odstavecseseznamem"/>
    <w:uiPriority w:val="34"/>
    <w:rsid w:val="00C50298"/>
    <w:rPr>
      <w:rFonts w:eastAsia="MS Mincho" w:cs="Calibri"/>
      <w:sz w:val="22"/>
      <w:szCs w:val="22"/>
      <w:lang w:eastAsia="en-US"/>
    </w:rPr>
  </w:style>
  <w:style w:type="paragraph" w:styleId="Nzev">
    <w:name w:val="Title"/>
    <w:basedOn w:val="Normln"/>
    <w:link w:val="NzevChar"/>
    <w:rsid w:val="00C30FAF"/>
    <w:pPr>
      <w:jc w:val="center"/>
    </w:pPr>
    <w:rPr>
      <w:rFonts w:eastAsia="Times New Roman" w:cs="Times New Roman"/>
      <w:b/>
      <w:sz w:val="32"/>
      <w:szCs w:val="20"/>
      <w:lang w:val="x-none" w:eastAsia="x-none"/>
    </w:rPr>
  </w:style>
  <w:style w:type="character" w:customStyle="1" w:styleId="NzevChar">
    <w:name w:val="Název Char"/>
    <w:link w:val="Nzev"/>
    <w:rsid w:val="00C30FAF"/>
    <w:rPr>
      <w:rFonts w:ascii="Arial" w:eastAsia="Times New Roman" w:hAnsi="Arial"/>
      <w:b/>
      <w:sz w:val="32"/>
      <w:lang w:val="x-none" w:eastAsia="x-none"/>
    </w:rPr>
  </w:style>
  <w:style w:type="character" w:styleId="Zdraznn">
    <w:name w:val="Emphasis"/>
    <w:uiPriority w:val="20"/>
    <w:rsid w:val="00750860"/>
    <w:rPr>
      <w:b/>
      <w:bCs/>
      <w:i w:val="0"/>
      <w:iCs w:val="0"/>
    </w:rPr>
  </w:style>
  <w:style w:type="character" w:customStyle="1" w:styleId="st">
    <w:name w:val="st"/>
    <w:rsid w:val="00750860"/>
  </w:style>
  <w:style w:type="paragraph" w:customStyle="1" w:styleId="Zkladntext21">
    <w:name w:val="Základní text 21"/>
    <w:basedOn w:val="Normln"/>
    <w:rsid w:val="001A5B20"/>
    <w:pPr>
      <w:overflowPunct w:val="0"/>
      <w:autoSpaceDE w:val="0"/>
      <w:autoSpaceDN w:val="0"/>
      <w:adjustRightInd w:val="0"/>
      <w:spacing w:before="120"/>
      <w:ind w:firstLine="42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7">
    <w:name w:val="toc 7"/>
    <w:basedOn w:val="Normln"/>
    <w:next w:val="Normln"/>
    <w:autoRedefine/>
    <w:uiPriority w:val="39"/>
    <w:rsid w:val="006D7950"/>
    <w:pPr>
      <w:ind w:left="1440"/>
      <w:jc w:val="left"/>
    </w:pPr>
    <w:rPr>
      <w:rFonts w:cstheme="minorHAnsi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7A3222"/>
    <w:pPr>
      <w:ind w:left="240"/>
      <w:jc w:val="left"/>
    </w:pPr>
    <w:rPr>
      <w:rFonts w:cstheme="minorHAnsi"/>
      <w:smallCaps/>
      <w:sz w:val="20"/>
      <w:szCs w:val="20"/>
    </w:rPr>
  </w:style>
  <w:style w:type="paragraph" w:customStyle="1" w:styleId="tabulka">
    <w:name w:val="tabulka"/>
    <w:basedOn w:val="Normln"/>
    <w:link w:val="tabulkaChar"/>
    <w:qFormat/>
    <w:rsid w:val="002A47E8"/>
    <w:rPr>
      <w:rFonts w:eastAsia="Times New Roman"/>
      <w:sz w:val="18"/>
      <w:szCs w:val="18"/>
    </w:rPr>
  </w:style>
  <w:style w:type="character" w:customStyle="1" w:styleId="tabulkaChar">
    <w:name w:val="tabulka Char"/>
    <w:link w:val="tabulka"/>
    <w:rsid w:val="002A47E8"/>
    <w:rPr>
      <w:rFonts w:ascii="Arial" w:eastAsia="Times New Roman" w:hAnsi="Arial" w:cs="Arial"/>
      <w:sz w:val="18"/>
      <w:szCs w:val="18"/>
      <w:lang w:eastAsia="en-US"/>
    </w:rPr>
  </w:style>
  <w:style w:type="paragraph" w:customStyle="1" w:styleId="Poznmka">
    <w:name w:val="Poznámka"/>
    <w:basedOn w:val="Normln"/>
    <w:link w:val="PoznmkaChar"/>
    <w:autoRedefine/>
    <w:qFormat/>
    <w:rsid w:val="003764C4"/>
    <w:pPr>
      <w:widowControl w:val="0"/>
      <w:ind w:left="284" w:hanging="284"/>
    </w:pPr>
    <w:rPr>
      <w:rFonts w:eastAsia="MS Mincho"/>
      <w:color w:val="000000"/>
      <w:sz w:val="20"/>
      <w:szCs w:val="20"/>
      <w:lang w:eastAsia="cs-CZ"/>
    </w:rPr>
  </w:style>
  <w:style w:type="character" w:customStyle="1" w:styleId="PoznmkaChar">
    <w:name w:val="Poznámka Char"/>
    <w:link w:val="Poznmka"/>
    <w:rsid w:val="003764C4"/>
    <w:rPr>
      <w:rFonts w:asciiTheme="minorHAnsi" w:eastAsia="MS Mincho" w:hAnsiTheme="minorHAnsi" w:cs="Arial"/>
      <w:color w:val="000000"/>
    </w:rPr>
  </w:style>
  <w:style w:type="paragraph" w:styleId="Citt">
    <w:name w:val="Quote"/>
    <w:basedOn w:val="Normln"/>
    <w:next w:val="Normln"/>
    <w:link w:val="CittChar"/>
    <w:uiPriority w:val="29"/>
    <w:rsid w:val="002A47E8"/>
    <w:rPr>
      <w:i/>
      <w:iCs/>
      <w:color w:val="000000" w:themeColor="text1"/>
      <w:sz w:val="20"/>
    </w:rPr>
  </w:style>
  <w:style w:type="character" w:customStyle="1" w:styleId="CittChar">
    <w:name w:val="Citát Char"/>
    <w:basedOn w:val="Standardnpsmoodstavce"/>
    <w:link w:val="Citt"/>
    <w:uiPriority w:val="29"/>
    <w:rsid w:val="002A47E8"/>
    <w:rPr>
      <w:rFonts w:ascii="Arial" w:hAnsi="Arial" w:cs="Arial"/>
      <w:i/>
      <w:iCs/>
      <w:color w:val="000000" w:themeColor="text1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E22BDC"/>
    <w:rPr>
      <w:rFonts w:asciiTheme="minorHAnsi" w:eastAsia="Times New Roman" w:hAnsiTheme="minorHAnsi" w:cstheme="majorBidi"/>
      <w:bCs/>
      <w:iCs/>
      <w:sz w:val="24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3A1F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zevtabulky">
    <w:name w:val="Název tabulky"/>
    <w:basedOn w:val="Odstavecseseznamem"/>
    <w:qFormat/>
    <w:rsid w:val="007F14DF"/>
    <w:pPr>
      <w:numPr>
        <w:numId w:val="2"/>
      </w:numPr>
    </w:pPr>
    <w:rPr>
      <w:rFonts w:eastAsia="Times New Roman" w:cs="Times New Roman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8656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">
    <w:name w:val="Styl2"/>
    <w:rsid w:val="008656BA"/>
    <w:pPr>
      <w:numPr>
        <w:numId w:val="3"/>
      </w:numPr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40BAC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0B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B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BA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0B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Mkatabulky11">
    <w:name w:val="Mřížka tabulky11"/>
    <w:basedOn w:val="Normlntabulka"/>
    <w:next w:val="Mkatabulky"/>
    <w:uiPriority w:val="59"/>
    <w:rsid w:val="00CD129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1">
    <w:name w:val="Mřížka tabulky21"/>
    <w:basedOn w:val="Normlntabulka"/>
    <w:next w:val="Mkatabulky"/>
    <w:uiPriority w:val="59"/>
    <w:rsid w:val="00CD129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DC78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E46D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unhideWhenUsed/>
    <w:rsid w:val="00C72257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C72257"/>
    <w:pPr>
      <w:ind w:left="480"/>
      <w:jc w:val="left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C72257"/>
    <w:pPr>
      <w:ind w:left="720"/>
      <w:jc w:val="left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72257"/>
    <w:pPr>
      <w:ind w:left="960"/>
      <w:jc w:val="left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72257"/>
    <w:pPr>
      <w:ind w:left="1200"/>
      <w:jc w:val="left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72257"/>
    <w:pPr>
      <w:ind w:left="1680"/>
      <w:jc w:val="left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72257"/>
    <w:pPr>
      <w:ind w:left="1920"/>
      <w:jc w:val="left"/>
    </w:pPr>
    <w:rPr>
      <w:rFonts w:cstheme="minorHAnsi"/>
      <w:sz w:val="18"/>
      <w:szCs w:val="18"/>
    </w:rPr>
  </w:style>
  <w:style w:type="table" w:customStyle="1" w:styleId="Mkatabulky12">
    <w:name w:val="Mřížka tabulky12"/>
    <w:basedOn w:val="Normlntabulka"/>
    <w:next w:val="Mkatabulky"/>
    <w:uiPriority w:val="59"/>
    <w:rsid w:val="00B373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2">
    <w:name w:val="Mřížka tabulky22"/>
    <w:basedOn w:val="Normlntabulka"/>
    <w:next w:val="Mkatabulky"/>
    <w:uiPriority w:val="59"/>
    <w:rsid w:val="005E27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51376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">
    <w:name w:val="Mřížka tabulky31"/>
    <w:basedOn w:val="Normlntabulka"/>
    <w:next w:val="Mkatabulky"/>
    <w:uiPriority w:val="59"/>
    <w:rsid w:val="00B313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1">
    <w:name w:val="Mřížka tabulky111"/>
    <w:basedOn w:val="Normlntabulka"/>
    <w:next w:val="Mkatabulky"/>
    <w:uiPriority w:val="59"/>
    <w:rsid w:val="002A6E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11">
    <w:name w:val="Mřížka tabulky211"/>
    <w:basedOn w:val="Normlntabulka"/>
    <w:next w:val="Mkatabulky"/>
    <w:uiPriority w:val="59"/>
    <w:rsid w:val="002A6E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1">
    <w:name w:val="Mřížka tabulky311"/>
    <w:basedOn w:val="Normlntabulka"/>
    <w:next w:val="Mkatabulky"/>
    <w:uiPriority w:val="59"/>
    <w:rsid w:val="00266CF6"/>
    <w:rPr>
      <w:rFonts w:asciiTheme="minorHAnsi" w:eastAsia="Times New Roman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4A">
    <w:name w:val="Nadpis 4A"/>
    <w:basedOn w:val="Nadpis4"/>
    <w:link w:val="Nadpis4AChar"/>
    <w:rsid w:val="00576849"/>
  </w:style>
  <w:style w:type="character" w:customStyle="1" w:styleId="Nadpis4AChar">
    <w:name w:val="Nadpis 4A Char"/>
    <w:basedOn w:val="Nadpis4Char"/>
    <w:link w:val="Nadpis4A"/>
    <w:rsid w:val="00576849"/>
    <w:rPr>
      <w:rFonts w:asciiTheme="minorHAnsi" w:eastAsiaTheme="majorEastAsia" w:hAnsiTheme="minorHAnsi" w:cstheme="majorBidi"/>
      <w:bCs/>
      <w:iCs/>
      <w:sz w:val="24"/>
      <w:szCs w:val="22"/>
      <w:u w:val="single"/>
      <w:lang w:eastAsia="en-US"/>
    </w:rPr>
  </w:style>
  <w:style w:type="table" w:customStyle="1" w:styleId="Mkatabulky112">
    <w:name w:val="Mřížka tabulky112"/>
    <w:basedOn w:val="Normlntabulka"/>
    <w:next w:val="Mkatabulky"/>
    <w:uiPriority w:val="59"/>
    <w:rsid w:val="000978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12">
    <w:name w:val="Mřížka tabulky212"/>
    <w:basedOn w:val="Normlntabulka"/>
    <w:next w:val="Mkatabulky"/>
    <w:uiPriority w:val="59"/>
    <w:rsid w:val="000978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11">
    <w:name w:val="Mřížka tabulky3111"/>
    <w:basedOn w:val="Normlntabulka"/>
    <w:next w:val="Mkatabulky"/>
    <w:uiPriority w:val="59"/>
    <w:rsid w:val="00097838"/>
    <w:rPr>
      <w:rFonts w:asciiTheme="minorHAnsi" w:eastAsia="Times New Roman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951">
      <w:bodyDiv w:val="1"/>
      <w:marLeft w:val="88"/>
      <w:marRight w:val="88"/>
      <w:marTop w:val="88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psp.cz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361C-5B79-4DD9-A9FE-40B32B262696}"/>
</file>

<file path=customXml/itemProps2.xml><?xml version="1.0" encoding="utf-8"?>
<ds:datastoreItem xmlns:ds="http://schemas.openxmlformats.org/officeDocument/2006/customXml" ds:itemID="{52EE6B97-B6E8-4726-BEB7-66A6E5C2BB4A}"/>
</file>

<file path=customXml/itemProps3.xml><?xml version="1.0" encoding="utf-8"?>
<ds:datastoreItem xmlns:ds="http://schemas.openxmlformats.org/officeDocument/2006/customXml" ds:itemID="{AE51C268-9BBD-4642-BB1D-6C5EEF9DAD53}"/>
</file>

<file path=customXml/itemProps4.xml><?xml version="1.0" encoding="utf-8"?>
<ds:datastoreItem xmlns:ds="http://schemas.openxmlformats.org/officeDocument/2006/customXml" ds:itemID="{09F060A8-190A-4AAE-B5B4-46E42BAD0F18}"/>
</file>

<file path=customXml/itemProps5.xml><?xml version="1.0" encoding="utf-8"?>
<ds:datastoreItem xmlns:ds="http://schemas.openxmlformats.org/officeDocument/2006/customXml" ds:itemID="{4E3E51ED-5A6B-4185-AEEC-5173C8EF3A77}"/>
</file>

<file path=customXml/itemProps6.xml><?xml version="1.0" encoding="utf-8"?>
<ds:datastoreItem xmlns:ds="http://schemas.openxmlformats.org/officeDocument/2006/customXml" ds:itemID="{D3C8E881-554F-4045-A7CE-8A4D87D9C901}"/>
</file>

<file path=customXml/itemProps7.xml><?xml version="1.0" encoding="utf-8"?>
<ds:datastoreItem xmlns:ds="http://schemas.openxmlformats.org/officeDocument/2006/customXml" ds:itemID="{19071BE3-AD7D-4304-894A-F938EA916389}"/>
</file>

<file path=docProps/app.xml><?xml version="1.0" encoding="utf-8"?>
<Properties xmlns="http://schemas.openxmlformats.org/officeDocument/2006/extended-properties" xmlns:vt="http://schemas.openxmlformats.org/officeDocument/2006/docPropsVTypes">
  <Template>115AF452.dotm</Template>
  <TotalTime>0</TotalTime>
  <Pages>24</Pages>
  <Words>8038</Words>
  <Characters>47427</Characters>
  <Application>Microsoft Office Word</Application>
  <DocSecurity>4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12/03</vt:lpstr>
    </vt:vector>
  </TitlesOfParts>
  <Company>Nejvyšší kontrolní úřad</Company>
  <LinksUpToDate>false</LinksUpToDate>
  <CharactersWithSpaces>55355</CharactersWithSpaces>
  <SharedDoc>false</SharedDoc>
  <HLinks>
    <vt:vector size="24" baseType="variant"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http://www.fnusa.cz/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http://bulovka.cz/</vt:lpwstr>
      </vt:variant>
      <vt:variant>
        <vt:lpwstr/>
      </vt:variant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http://www.fnusa.cz/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http://www.fnmotol.cz/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14/33</dc:title>
  <dc:creator>Nejvyšší kontrolní úřad</dc:creator>
  <cp:keywords>ZP MV ČR, zdravotní pojišťovna, zdravotní pojištění</cp:keywords>
  <dc:description/>
  <cp:lastModifiedBy>KOKRDA Daniel</cp:lastModifiedBy>
  <cp:revision>2</cp:revision>
  <cp:lastPrinted>2015-10-20T10:54:00Z</cp:lastPrinted>
  <dcterms:created xsi:type="dcterms:W3CDTF">2015-12-28T09:15:00Z</dcterms:created>
  <dcterms:modified xsi:type="dcterms:W3CDTF">2015-12-28T09:15:00Z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759559351</vt:i4>
  </property>
  <property fmtid="{D5CDD505-2E9C-101B-9397-08002B2CF9AE}" pid="3" name="ContentTypeId">
    <vt:lpwstr>0x0101002F7A625AE9F5AB4A939F92BCAA7FEC02</vt:lpwstr>
  </property>
  <property fmtid="{D5CDD505-2E9C-101B-9397-08002B2CF9AE}" pid="4" name="CJ">
    <vt:lpwstr>114/15-NKU200/762/15</vt:lpwstr>
  </property>
  <property fmtid="{D5CDD505-2E9C-101B-9397-08002B2CF9AE}" pid="5" name="SZ_Spis_Pisemnost">
    <vt:lpwstr>114/15</vt:lpwstr>
  </property>
  <property fmtid="{D5CDD505-2E9C-101B-9397-08002B2CF9AE}" pid="6" name="DisplayName_SpisovyUzel_PoziceZodpo_Pisemnost">
    <vt:lpwstr>200</vt:lpwstr>
  </property>
  <property fmtid="{D5CDD505-2E9C-101B-9397-08002B2CF9AE}" pid="7" name="Zkratka_SpisovyUzel_PoziceZodpo_Pisemnost">
    <vt:lpwstr>200</vt:lpwstr>
  </property>
  <property fmtid="{D5CDD505-2E9C-101B-9397-08002B2CF9AE}" pid="8" name="Key_BarCode_Pisemnost">
    <vt:lpwstr>*B000249833*</vt:lpwstr>
  </property>
  <property fmtid="{D5CDD505-2E9C-101B-9397-08002B2CF9AE}" pid="9" name="EC_Pisemnost">
    <vt:lpwstr>15-18205/NKU</vt:lpwstr>
  </property>
  <property fmtid="{D5CDD505-2E9C-101B-9397-08002B2CF9AE}" pid="10" name="Odkaz">
    <vt:lpwstr>ODKAZ</vt:lpwstr>
  </property>
  <property fmtid="{D5CDD505-2E9C-101B-9397-08002B2CF9AE}" pid="11" name="SkartacniZnakLhuta_PisemnostZnak">
    <vt:lpwstr>?/?</vt:lpwstr>
  </property>
  <property fmtid="{D5CDD505-2E9C-101B-9397-08002B2CF9AE}" pid="12" name="CJ_Spis_Pisemnost">
    <vt:lpwstr>CJ/SPIS/ROK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</vt:lpwstr>
  </property>
  <property fmtid="{D5CDD505-2E9C-101B-9397-08002B2CF9AE}" pid="18" name="Contact_PostaOdes_All">
    <vt:lpwstr>ROZDĚLOVNÍK...</vt:lpwstr>
  </property>
  <property fmtid="{D5CDD505-2E9C-101B-9397-08002B2CF9AE}" pid="19" name="Vec_Pisemnost">
    <vt:lpwstr>KZ 14/33 - připomínkové řízení</vt:lpwstr>
  </property>
  <property fmtid="{D5CDD505-2E9C-101B-9397-08002B2CF9AE}" pid="20" name="DatumPoriz_Pisemnost">
    <vt:lpwstr>4.11.2015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Ivana Růžičková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