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68" w:rsidRPr="000546D5" w:rsidRDefault="003A4D68" w:rsidP="003A4D68">
      <w:pPr>
        <w:jc w:val="center"/>
        <w:rPr>
          <w:rFonts w:ascii="Calibri" w:hAnsi="Calibri" w:cs="Calibri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002A864" wp14:editId="6102E3C9">
            <wp:simplePos x="0" y="0"/>
            <wp:positionH relativeFrom="margin">
              <wp:posOffset>2520315</wp:posOffset>
            </wp:positionH>
            <wp:positionV relativeFrom="paragraph">
              <wp:posOffset>-263525</wp:posOffset>
            </wp:positionV>
            <wp:extent cx="713740" cy="504190"/>
            <wp:effectExtent l="0" t="0" r="0" b="0"/>
            <wp:wrapTopAndBottom/>
            <wp:docPr id="1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D68" w:rsidRPr="000546D5" w:rsidRDefault="003A4D68" w:rsidP="003A4D68">
      <w:pPr>
        <w:jc w:val="center"/>
        <w:rPr>
          <w:rFonts w:ascii="Calibri" w:hAnsi="Calibri" w:cs="Calibri"/>
          <w:lang w:val="cs-CZ"/>
        </w:rPr>
      </w:pPr>
    </w:p>
    <w:p w:rsidR="003A4D68" w:rsidRPr="000546D5" w:rsidRDefault="003A4D68" w:rsidP="003A4D68">
      <w:pPr>
        <w:jc w:val="center"/>
        <w:rPr>
          <w:rFonts w:ascii="Calibri" w:hAnsi="Calibri" w:cs="Calibri"/>
          <w:lang w:val="cs-CZ"/>
        </w:rPr>
      </w:pPr>
    </w:p>
    <w:p w:rsidR="003A4D68" w:rsidRPr="00CA57BE" w:rsidRDefault="003A4D68" w:rsidP="003A4D68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bookmarkStart w:id="0" w:name="_GoBack"/>
      <w:r w:rsidRPr="00CA57BE">
        <w:rPr>
          <w:rFonts w:ascii="Calibri" w:hAnsi="Calibri" w:cs="Calibri"/>
          <w:b/>
          <w:color w:val="000000"/>
          <w:sz w:val="28"/>
          <w:szCs w:val="28"/>
          <w:lang w:val="cs-CZ"/>
        </w:rPr>
        <w:t>Kontrolní závěr z</w:t>
      </w:r>
      <w:r w:rsidR="00D005DD">
        <w:rPr>
          <w:rFonts w:ascii="Calibri" w:hAnsi="Calibri" w:cs="Calibri"/>
          <w:b/>
          <w:color w:val="000000"/>
          <w:sz w:val="28"/>
          <w:szCs w:val="28"/>
          <w:lang w:val="cs-CZ"/>
        </w:rPr>
        <w:t xml:space="preserve"> </w:t>
      </w:r>
      <w:r w:rsidRPr="00CA57BE">
        <w:rPr>
          <w:rFonts w:ascii="Calibri" w:hAnsi="Calibri" w:cs="Calibri"/>
          <w:b/>
          <w:color w:val="000000"/>
          <w:sz w:val="28"/>
          <w:szCs w:val="28"/>
          <w:lang w:val="cs-CZ"/>
        </w:rPr>
        <w:t>kontrolní akce</w:t>
      </w:r>
    </w:p>
    <w:p w:rsidR="003A4D68" w:rsidRPr="00CA57BE" w:rsidRDefault="003A4D68" w:rsidP="003A4D68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3A4D68" w:rsidRPr="00CA57BE" w:rsidRDefault="003A4D68" w:rsidP="003A4D68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>
        <w:rPr>
          <w:rFonts w:ascii="Calibri" w:hAnsi="Calibri" w:cs="Calibri"/>
          <w:b/>
          <w:color w:val="000000"/>
          <w:sz w:val="28"/>
          <w:szCs w:val="28"/>
          <w:lang w:val="cs-CZ"/>
        </w:rPr>
        <w:t>14/35</w:t>
      </w:r>
    </w:p>
    <w:p w:rsidR="003A4D68" w:rsidRPr="00CA57BE" w:rsidRDefault="003A4D68" w:rsidP="003A4D68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3A4D68" w:rsidRPr="00CA57BE" w:rsidRDefault="003A4D68" w:rsidP="003A4D68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>
        <w:rPr>
          <w:rFonts w:ascii="Calibri" w:hAnsi="Calibri" w:cs="Calibri"/>
          <w:b/>
          <w:color w:val="000000"/>
          <w:sz w:val="28"/>
          <w:szCs w:val="28"/>
          <w:lang w:val="cs-CZ"/>
        </w:rPr>
        <w:t>Majetek a peněžní prostředky státu, se kterými jsou příslušná hospodařit vybraná krajská ředitelství Policie ČR</w:t>
      </w:r>
    </w:p>
    <w:bookmarkEnd w:id="0"/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 xml:space="preserve">Kontrolní akce byla zařazena do plánu kontrolní činnosti Nejvyššího kontrolního úřadu (dále jen „NKÚ“) na rok </w:t>
      </w:r>
      <w:r>
        <w:rPr>
          <w:rFonts w:ascii="Calibri" w:hAnsi="Calibri" w:cs="Calibri"/>
          <w:color w:val="000000"/>
          <w:lang w:val="cs-CZ"/>
        </w:rPr>
        <w:t>2014</w:t>
      </w:r>
      <w:r w:rsidRPr="000546D5">
        <w:rPr>
          <w:rFonts w:ascii="Calibri" w:hAnsi="Calibri" w:cs="Calibri"/>
          <w:color w:val="000000"/>
          <w:lang w:val="cs-CZ"/>
        </w:rPr>
        <w:t xml:space="preserve"> pod číslem </w:t>
      </w:r>
      <w:r>
        <w:rPr>
          <w:rFonts w:ascii="Calibri" w:hAnsi="Calibri" w:cs="Calibri"/>
          <w:color w:val="000000"/>
          <w:lang w:val="cs-CZ"/>
        </w:rPr>
        <w:t>14/35</w:t>
      </w:r>
      <w:r w:rsidRPr="000546D5">
        <w:rPr>
          <w:rFonts w:ascii="Calibri" w:hAnsi="Calibri" w:cs="Calibri"/>
          <w:color w:val="000000"/>
          <w:lang w:val="cs-CZ"/>
        </w:rPr>
        <w:t xml:space="preserve">. Kontrolní akci řídil a kontrolní závěr vypracoval člen NKÚ </w:t>
      </w:r>
      <w:r>
        <w:rPr>
          <w:rFonts w:ascii="Calibri" w:hAnsi="Calibri" w:cs="Calibri"/>
          <w:color w:val="000000"/>
          <w:lang w:val="cs-CZ"/>
        </w:rPr>
        <w:t>Ing. Rudolf Kufa.</w:t>
      </w:r>
    </w:p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Cílem kontroly bylo p</w:t>
      </w:r>
      <w:r w:rsidRPr="005A5371">
        <w:rPr>
          <w:rFonts w:ascii="Calibri" w:hAnsi="Calibri" w:cs="Calibri"/>
          <w:color w:val="000000"/>
          <w:lang w:val="cs-CZ"/>
        </w:rPr>
        <w:t>rověřit hospodaření s majetkem a</w:t>
      </w:r>
      <w:r w:rsidR="00F263DE">
        <w:rPr>
          <w:rFonts w:ascii="Calibri" w:hAnsi="Calibri" w:cs="Calibri"/>
          <w:color w:val="000000"/>
          <w:lang w:val="cs-CZ"/>
        </w:rPr>
        <w:t xml:space="preserve"> peněžními prostředky státu, se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5A5371">
        <w:rPr>
          <w:rFonts w:ascii="Calibri" w:hAnsi="Calibri" w:cs="Calibri"/>
          <w:color w:val="000000"/>
          <w:lang w:val="cs-CZ"/>
        </w:rPr>
        <w:t>kterými jsou příslušná hospodařit vybraná krajská ředitelství Policie ČR</w:t>
      </w:r>
      <w:r w:rsidRPr="000546D5">
        <w:rPr>
          <w:rFonts w:ascii="Calibri" w:hAnsi="Calibri" w:cs="Calibri"/>
          <w:color w:val="000000"/>
          <w:lang w:val="cs-CZ"/>
        </w:rPr>
        <w:t>.</w:t>
      </w:r>
    </w:p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925239" w:rsidRDefault="00645659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925239">
        <w:rPr>
          <w:rFonts w:ascii="Calibri" w:hAnsi="Calibri" w:cs="Calibri"/>
          <w:color w:val="000000"/>
          <w:lang w:val="cs-CZ"/>
        </w:rPr>
        <w:t>Kontrola byla prováděna u kontrolovaných osob od listopadu 2014 do července 2015.</w:t>
      </w:r>
    </w:p>
    <w:p w:rsidR="00645659" w:rsidRPr="000546D5" w:rsidRDefault="00645659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814054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>Kontrolovan</w:t>
      </w:r>
      <w:r>
        <w:rPr>
          <w:rFonts w:ascii="Calibri" w:hAnsi="Calibri" w:cs="Calibri"/>
          <w:color w:val="000000"/>
          <w:lang w:val="cs-CZ"/>
        </w:rPr>
        <w:t>ým</w:t>
      </w:r>
      <w:r w:rsidRPr="000546D5">
        <w:rPr>
          <w:rFonts w:ascii="Calibri" w:hAnsi="Calibri" w:cs="Calibri"/>
          <w:color w:val="000000"/>
          <w:lang w:val="cs-CZ"/>
        </w:rPr>
        <w:t xml:space="preserve"> období</w:t>
      </w:r>
      <w:r>
        <w:rPr>
          <w:rFonts w:ascii="Calibri" w:hAnsi="Calibri" w:cs="Calibri"/>
          <w:color w:val="000000"/>
          <w:lang w:val="cs-CZ"/>
        </w:rPr>
        <w:t>m</w:t>
      </w:r>
      <w:r w:rsidRPr="000546D5">
        <w:rPr>
          <w:rFonts w:ascii="Calibri" w:hAnsi="Calibri" w:cs="Calibri"/>
          <w:color w:val="000000"/>
          <w:lang w:val="cs-CZ"/>
        </w:rPr>
        <w:t xml:space="preserve"> byl</w:t>
      </w:r>
      <w:r>
        <w:rPr>
          <w:rFonts w:ascii="Calibri" w:hAnsi="Calibri" w:cs="Calibri"/>
          <w:color w:val="000000"/>
          <w:lang w:val="cs-CZ"/>
        </w:rPr>
        <w:t>y roky 2012, 2013 a 2014</w:t>
      </w:r>
      <w:r w:rsidR="001B2639"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lang w:val="cs-CZ"/>
        </w:rPr>
        <w:t xml:space="preserve"> </w:t>
      </w:r>
      <w:r w:rsidRPr="00814054">
        <w:rPr>
          <w:rFonts w:ascii="Calibri" w:hAnsi="Calibri" w:cs="Calibri"/>
          <w:color w:val="000000"/>
          <w:lang w:val="cs-CZ"/>
        </w:rPr>
        <w:t>v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14054">
        <w:rPr>
          <w:rFonts w:ascii="Calibri" w:hAnsi="Calibri" w:cs="Calibri"/>
          <w:color w:val="000000"/>
          <w:lang w:val="cs-CZ"/>
        </w:rPr>
        <w:t>případě věcných souvislostí i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14054">
        <w:rPr>
          <w:rFonts w:ascii="Calibri" w:hAnsi="Calibri" w:cs="Calibri"/>
          <w:color w:val="000000"/>
          <w:lang w:val="cs-CZ"/>
        </w:rPr>
        <w:t xml:space="preserve">období </w:t>
      </w:r>
      <w:r w:rsidR="00E16558">
        <w:rPr>
          <w:rFonts w:ascii="Calibri" w:hAnsi="Calibri" w:cs="Calibri"/>
          <w:color w:val="000000"/>
          <w:lang w:val="cs-CZ"/>
        </w:rPr>
        <w:t>předcházející nebo následující</w:t>
      </w:r>
      <w:r w:rsidRPr="00814054">
        <w:rPr>
          <w:rFonts w:ascii="Calibri" w:hAnsi="Calibri" w:cs="Calibri"/>
          <w:color w:val="000000"/>
          <w:lang w:val="cs-CZ"/>
        </w:rPr>
        <w:t>.</w:t>
      </w:r>
    </w:p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D005DD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>Kontrolované osoby:</w:t>
      </w:r>
      <w:r w:rsidRPr="000546D5">
        <w:rPr>
          <w:rFonts w:ascii="Calibri" w:hAnsi="Calibri" w:cs="Calibri"/>
          <w:color w:val="000000"/>
          <w:lang w:val="cs-CZ"/>
        </w:rPr>
        <w:cr/>
      </w:r>
      <w:r w:rsidRPr="00D005DD">
        <w:rPr>
          <w:rFonts w:ascii="Calibri" w:hAnsi="Calibri" w:cs="Calibri"/>
          <w:color w:val="000000"/>
          <w:lang w:val="cs-CZ"/>
        </w:rPr>
        <w:t>Krajské ředitelství policie hlavního města Prahy (dále také „KŘP Praha“)</w:t>
      </w:r>
      <w:r w:rsidR="001B2639">
        <w:rPr>
          <w:rFonts w:ascii="Calibri" w:hAnsi="Calibri" w:cs="Calibri"/>
          <w:color w:val="000000"/>
          <w:lang w:val="cs-CZ"/>
        </w:rPr>
        <w:t>,</w:t>
      </w:r>
    </w:p>
    <w:p w:rsidR="003A4D68" w:rsidRPr="00D005DD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D005DD">
        <w:rPr>
          <w:rFonts w:ascii="Calibri" w:hAnsi="Calibri" w:cs="Calibri"/>
          <w:color w:val="000000"/>
          <w:lang w:val="cs-CZ"/>
        </w:rPr>
        <w:t>Krajské ředitelství policie Moravskoslezského kraje (dále také „KŘP Ostrava“)</w:t>
      </w:r>
      <w:r w:rsidR="001B2639">
        <w:rPr>
          <w:rFonts w:ascii="Calibri" w:hAnsi="Calibri" w:cs="Calibri"/>
          <w:color w:val="000000"/>
          <w:lang w:val="cs-CZ"/>
        </w:rPr>
        <w:t>,</w:t>
      </w:r>
    </w:p>
    <w:p w:rsidR="003A4D68" w:rsidRPr="00D005DD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D005DD">
        <w:rPr>
          <w:rFonts w:ascii="Calibri" w:hAnsi="Calibri" w:cs="Calibri"/>
          <w:color w:val="000000"/>
          <w:lang w:val="cs-CZ"/>
        </w:rPr>
        <w:t>Krajské ředitelství policie Jihočeského kraje (dále také „KŘP Č. Budějovice“)</w:t>
      </w:r>
      <w:r w:rsidR="001B2639">
        <w:rPr>
          <w:rFonts w:ascii="Calibri" w:hAnsi="Calibri" w:cs="Calibri"/>
          <w:color w:val="000000"/>
          <w:lang w:val="cs-CZ"/>
        </w:rPr>
        <w:t>,</w:t>
      </w:r>
    </w:p>
    <w:p w:rsidR="003A4D68" w:rsidRPr="00D005DD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D005DD">
        <w:rPr>
          <w:rFonts w:ascii="Calibri" w:hAnsi="Calibri" w:cs="Calibri"/>
          <w:color w:val="000000"/>
          <w:lang w:val="cs-CZ"/>
        </w:rPr>
        <w:t>Krajské ředitelství policie Ústeckého kraje (dále také „KŘP Ústí n. L.“)</w:t>
      </w:r>
      <w:r w:rsidR="001B2639">
        <w:rPr>
          <w:rFonts w:ascii="Calibri" w:hAnsi="Calibri" w:cs="Calibri"/>
          <w:color w:val="000000"/>
          <w:lang w:val="cs-CZ"/>
        </w:rPr>
        <w:t>,</w:t>
      </w:r>
    </w:p>
    <w:p w:rsidR="003A4D68" w:rsidRPr="00D005DD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D005DD">
        <w:rPr>
          <w:rFonts w:ascii="Calibri" w:hAnsi="Calibri" w:cs="Calibri"/>
          <w:color w:val="000000"/>
          <w:lang w:val="cs-CZ"/>
        </w:rPr>
        <w:t>Krajské ředitelství policie Královéhradeckého kraje (dále také „KŘP H. Králové“).</w:t>
      </w:r>
    </w:p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C9498F" w:rsidRDefault="003A4D68" w:rsidP="007E446C">
      <w:pPr>
        <w:jc w:val="both"/>
        <w:rPr>
          <w:rFonts w:ascii="Calibri" w:hAnsi="Calibri" w:cs="Calibri"/>
          <w:lang w:val="cs-CZ"/>
        </w:rPr>
      </w:pPr>
      <w:r w:rsidRPr="000546D5">
        <w:rPr>
          <w:rFonts w:ascii="Calibri" w:hAnsi="Calibri" w:cs="Calibri"/>
          <w:color w:val="000000"/>
          <w:lang w:val="cs-CZ"/>
        </w:rPr>
        <w:t>Námitky proti kontrolnímu protokolu</w:t>
      </w:r>
      <w:r>
        <w:rPr>
          <w:rFonts w:ascii="Calibri" w:hAnsi="Calibri" w:cs="Calibri"/>
          <w:color w:val="000000"/>
          <w:lang w:val="cs-CZ"/>
        </w:rPr>
        <w:t xml:space="preserve">, které podalo Krajské ředitelství policie hlavního města Prahy, byly </w:t>
      </w:r>
      <w:r w:rsidRPr="00444FF1">
        <w:rPr>
          <w:rFonts w:ascii="Calibri" w:hAnsi="Calibri" w:cs="Calibri"/>
          <w:lang w:val="cs-CZ"/>
        </w:rPr>
        <w:t>vypořádány vedoucím skupin</w:t>
      </w:r>
      <w:r>
        <w:rPr>
          <w:rFonts w:ascii="Calibri" w:hAnsi="Calibri" w:cs="Calibri"/>
          <w:lang w:val="cs-CZ"/>
        </w:rPr>
        <w:t>y</w:t>
      </w:r>
      <w:r w:rsidRPr="00444FF1">
        <w:rPr>
          <w:rFonts w:ascii="Calibri" w:hAnsi="Calibri" w:cs="Calibri"/>
          <w:lang w:val="cs-CZ"/>
        </w:rPr>
        <w:t xml:space="preserve"> kontrolujících rozhodnutím o</w:t>
      </w:r>
      <w:r w:rsidR="00D005DD">
        <w:rPr>
          <w:rFonts w:ascii="Calibri" w:hAnsi="Calibri" w:cs="Calibri"/>
          <w:lang w:val="cs-CZ"/>
        </w:rPr>
        <w:t xml:space="preserve"> </w:t>
      </w:r>
      <w:r w:rsidRPr="00444FF1">
        <w:rPr>
          <w:rFonts w:ascii="Calibri" w:hAnsi="Calibri" w:cs="Calibri"/>
          <w:lang w:val="cs-CZ"/>
        </w:rPr>
        <w:t>námitkách.</w:t>
      </w:r>
      <w:r>
        <w:rPr>
          <w:rFonts w:ascii="Calibri" w:hAnsi="Calibri" w:cs="Calibri"/>
          <w:lang w:val="cs-CZ"/>
        </w:rPr>
        <w:t xml:space="preserve"> </w:t>
      </w:r>
      <w:r w:rsidRPr="00C9498F">
        <w:rPr>
          <w:rFonts w:ascii="Calibri" w:hAnsi="Calibri" w:cs="Calibri"/>
          <w:lang w:val="cs-CZ"/>
        </w:rPr>
        <w:t>Odvolání proti rozhodnutí o námitkách podáno nebylo.</w:t>
      </w:r>
    </w:p>
    <w:p w:rsidR="003A4D68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7E446C" w:rsidRPr="000546D5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Kolegium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NKÚ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0546D5">
        <w:rPr>
          <w:rFonts w:ascii="Calibri" w:hAnsi="Calibri" w:cs="Calibri"/>
          <w:color w:val="000000"/>
          <w:lang w:val="cs-CZ"/>
        </w:rPr>
        <w:t xml:space="preserve">na svém </w:t>
      </w:r>
      <w:r w:rsidR="009E043F">
        <w:rPr>
          <w:rFonts w:ascii="Calibri" w:hAnsi="Calibri" w:cs="Calibri"/>
          <w:color w:val="000000"/>
          <w:lang w:val="cs-CZ"/>
        </w:rPr>
        <w:t xml:space="preserve">XVII. </w:t>
      </w:r>
      <w:r w:rsidRPr="000546D5">
        <w:rPr>
          <w:rFonts w:ascii="Calibri" w:hAnsi="Calibri" w:cs="Calibri"/>
          <w:color w:val="000000"/>
          <w:lang w:val="cs-CZ"/>
        </w:rPr>
        <w:t xml:space="preserve">jednání, které se konalo dne </w:t>
      </w:r>
      <w:r w:rsidR="009E043F">
        <w:rPr>
          <w:rFonts w:ascii="Calibri" w:hAnsi="Calibri" w:cs="Calibri"/>
          <w:color w:val="000000"/>
          <w:lang w:val="cs-CZ"/>
        </w:rPr>
        <w:t>14. prosince 2015</w:t>
      </w:r>
      <w:r w:rsidRPr="000546D5">
        <w:rPr>
          <w:rFonts w:ascii="Calibri" w:hAnsi="Calibri" w:cs="Calibri"/>
          <w:color w:val="000000"/>
          <w:lang w:val="cs-CZ"/>
        </w:rPr>
        <w:t>,</w:t>
      </w:r>
    </w:p>
    <w:p w:rsidR="009E043F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schválilo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0546D5">
        <w:rPr>
          <w:rFonts w:ascii="Calibri" w:hAnsi="Calibri" w:cs="Calibri"/>
          <w:color w:val="000000"/>
          <w:lang w:val="cs-CZ"/>
        </w:rPr>
        <w:t xml:space="preserve">usnesením č. </w:t>
      </w:r>
      <w:r w:rsidR="00645659">
        <w:rPr>
          <w:rFonts w:ascii="Calibri" w:hAnsi="Calibri" w:cs="Calibri"/>
          <w:color w:val="000000"/>
          <w:lang w:val="cs-CZ"/>
        </w:rPr>
        <w:t>4</w:t>
      </w:r>
      <w:r w:rsidR="009E043F">
        <w:rPr>
          <w:rFonts w:ascii="Calibri" w:hAnsi="Calibri" w:cs="Calibri"/>
          <w:color w:val="000000"/>
          <w:lang w:val="cs-CZ"/>
        </w:rPr>
        <w:t>/XVII/2015</w:t>
      </w:r>
    </w:p>
    <w:p w:rsidR="003A4D68" w:rsidRPr="000546D5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kontrolní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0546D5">
        <w:rPr>
          <w:rFonts w:ascii="Calibri" w:hAnsi="Calibri" w:cs="Calibri"/>
          <w:b/>
          <w:i/>
          <w:color w:val="000000"/>
          <w:spacing w:val="40"/>
          <w:lang w:val="cs-CZ"/>
        </w:rPr>
        <w:t>závěr</w:t>
      </w:r>
      <w:r w:rsidRPr="000546D5">
        <w:rPr>
          <w:rFonts w:ascii="Calibri" w:hAnsi="Calibri" w:cs="Calibri"/>
          <w:b/>
          <w:i/>
          <w:color w:val="000000"/>
          <w:lang w:val="cs-CZ"/>
        </w:rPr>
        <w:t xml:space="preserve">   </w:t>
      </w:r>
      <w:r w:rsidRPr="000546D5">
        <w:rPr>
          <w:rFonts w:ascii="Calibri" w:hAnsi="Calibri" w:cs="Calibri"/>
          <w:color w:val="000000"/>
          <w:lang w:val="cs-CZ"/>
        </w:rPr>
        <w:t>v tomto znění:</w:t>
      </w:r>
    </w:p>
    <w:p w:rsidR="003A4D68" w:rsidRDefault="003A4D68" w:rsidP="007E446C">
      <w:pPr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3A4D68" w:rsidRDefault="003A4D68" w:rsidP="007E446C">
      <w:pPr>
        <w:rPr>
          <w:rFonts w:ascii="Calibri" w:hAnsi="Calibri" w:cs="Calibri"/>
          <w:b/>
          <w:color w:val="000000"/>
          <w:sz w:val="26"/>
          <w:szCs w:val="26"/>
          <w:lang w:val="cs-CZ"/>
        </w:rPr>
      </w:pPr>
      <w:r>
        <w:rPr>
          <w:rFonts w:ascii="Calibri" w:hAnsi="Calibri" w:cs="Calibri"/>
          <w:b/>
          <w:color w:val="000000"/>
          <w:sz w:val="26"/>
          <w:szCs w:val="26"/>
          <w:lang w:val="cs-CZ"/>
        </w:rPr>
        <w:br w:type="page"/>
      </w:r>
    </w:p>
    <w:p w:rsidR="003A4D68" w:rsidRPr="00DF6451" w:rsidRDefault="007E446C" w:rsidP="00DF6451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 w:rsidRPr="00DF6451">
        <w:rPr>
          <w:rFonts w:ascii="Calibri" w:hAnsi="Calibri" w:cs="Calibri"/>
          <w:b/>
          <w:sz w:val="28"/>
          <w:szCs w:val="28"/>
          <w:lang w:val="cs-CZ"/>
        </w:rPr>
        <w:lastRenderedPageBreak/>
        <w:t xml:space="preserve">I. </w:t>
      </w:r>
      <w:r w:rsidR="003A4D68" w:rsidRPr="00DF6451">
        <w:rPr>
          <w:rFonts w:ascii="Calibri" w:hAnsi="Calibri" w:cs="Calibri"/>
          <w:b/>
          <w:sz w:val="28"/>
          <w:szCs w:val="28"/>
          <w:lang w:val="cs-CZ"/>
        </w:rPr>
        <w:t>Úvod</w:t>
      </w:r>
    </w:p>
    <w:p w:rsidR="007E446C" w:rsidRPr="00814054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DF6451" w:rsidRDefault="007E446C" w:rsidP="00DF6451">
      <w:pPr>
        <w:rPr>
          <w:rFonts w:ascii="Calibr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t xml:space="preserve">1. </w:t>
      </w:r>
      <w:r w:rsidR="003A4D68" w:rsidRPr="00DF6451">
        <w:rPr>
          <w:rFonts w:ascii="Calibri" w:hAnsi="Calibri" w:cs="Calibri"/>
          <w:b/>
          <w:lang w:val="cs-CZ"/>
        </w:rPr>
        <w:t>Postavení a činnost krajských ředitelství policie</w:t>
      </w:r>
    </w:p>
    <w:p w:rsidR="007E446C" w:rsidRPr="00814054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E03860">
        <w:rPr>
          <w:rFonts w:ascii="Calibri" w:hAnsi="Calibri" w:cs="Calibri"/>
          <w:b/>
          <w:color w:val="000000"/>
          <w:lang w:val="cs-CZ"/>
        </w:rPr>
        <w:t>Krajská ředitelství policie</w:t>
      </w:r>
      <w:r w:rsidRPr="00814054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Pr="00814054">
        <w:rPr>
          <w:rFonts w:ascii="Calibri" w:hAnsi="Calibri" w:cs="Calibri"/>
          <w:color w:val="000000"/>
          <w:lang w:val="cs-CZ"/>
        </w:rPr>
        <w:t>jsou dle zákona o Policii České republiky</w:t>
      </w:r>
      <w:r w:rsidR="000A252C" w:rsidRPr="000A252C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1"/>
      </w:r>
      <w:r w:rsidRPr="00814054">
        <w:rPr>
          <w:rFonts w:ascii="Calibri" w:hAnsi="Calibri" w:cs="Calibri"/>
          <w:color w:val="000000"/>
          <w:lang w:val="cs-CZ"/>
        </w:rPr>
        <w:t xml:space="preserve"> útvary Policie České republiky. Územní obvody krajských ředitelství policie jsou shodné s územními obvody vyšších územních samosprávných celků.</w:t>
      </w:r>
    </w:p>
    <w:p w:rsidR="007E446C" w:rsidRPr="00814054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814054">
        <w:rPr>
          <w:rFonts w:ascii="Calibri" w:hAnsi="Calibri" w:cs="Calibri"/>
          <w:color w:val="000000"/>
          <w:lang w:val="cs-CZ"/>
        </w:rPr>
        <w:t>Krajská ředitelství policie jsou také na základě zákona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14054">
        <w:rPr>
          <w:rFonts w:ascii="Calibri" w:hAnsi="Calibri" w:cs="Calibri"/>
          <w:color w:val="000000"/>
          <w:lang w:val="cs-CZ"/>
        </w:rPr>
        <w:t xml:space="preserve">o Policii České republiky organizačními složkami státu a účetními jednotkami, jejichž příjmy a výdaje jsou součástí rozpočtové kapitoly Ministerstva vnitra. V čele každého krajského ředitelství policie </w:t>
      </w:r>
      <w:r w:rsidR="007A0AF0">
        <w:rPr>
          <w:rFonts w:ascii="Calibri" w:hAnsi="Calibri" w:cs="Calibri"/>
          <w:color w:val="000000"/>
          <w:lang w:val="cs-CZ"/>
        </w:rPr>
        <w:t>stojí</w:t>
      </w:r>
      <w:r w:rsidRPr="00814054">
        <w:rPr>
          <w:rFonts w:ascii="Calibri" w:hAnsi="Calibri" w:cs="Calibri"/>
          <w:color w:val="000000"/>
          <w:lang w:val="cs-CZ"/>
        </w:rPr>
        <w:t xml:space="preserve"> krajský ředitel, který je vedoucím organizační složky státu. </w:t>
      </w:r>
    </w:p>
    <w:p w:rsidR="007E446C" w:rsidRPr="00814054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814054">
        <w:rPr>
          <w:rFonts w:ascii="Calibri" w:hAnsi="Calibri" w:cs="Calibri"/>
          <w:color w:val="000000"/>
          <w:lang w:val="cs-CZ"/>
        </w:rPr>
        <w:t>Policie České republiky slouží veřejnosti. Jejím úkolem je chránit bezpečnost osob a majetku a veřejný pořádek, předcházet trestné činnosti, plnit úkoly na úseku vnitřního po</w:t>
      </w:r>
      <w:r w:rsidR="00FC2F79">
        <w:rPr>
          <w:rFonts w:ascii="Calibri" w:hAnsi="Calibri" w:cs="Calibri"/>
          <w:color w:val="000000"/>
          <w:lang w:val="cs-CZ"/>
        </w:rPr>
        <w:t>řádku a</w:t>
      </w:r>
      <w:r w:rsidR="00D005DD">
        <w:rPr>
          <w:rFonts w:ascii="Calibri" w:hAnsi="Calibri" w:cs="Calibri"/>
          <w:color w:val="000000"/>
          <w:lang w:val="cs-CZ"/>
        </w:rPr>
        <w:t> </w:t>
      </w:r>
      <w:r w:rsidRPr="00814054">
        <w:rPr>
          <w:rFonts w:ascii="Calibri" w:hAnsi="Calibri" w:cs="Calibri"/>
          <w:color w:val="000000"/>
          <w:lang w:val="cs-CZ"/>
        </w:rPr>
        <w:t xml:space="preserve">bezpečnosti </w:t>
      </w:r>
      <w:r w:rsidR="007A0AF0">
        <w:rPr>
          <w:rFonts w:ascii="Calibri" w:hAnsi="Calibri" w:cs="Calibri"/>
          <w:color w:val="000000"/>
          <w:lang w:val="cs-CZ"/>
        </w:rPr>
        <w:t>a plnit úkoly vyplývající ze</w:t>
      </w:r>
      <w:r w:rsidRPr="00814054">
        <w:rPr>
          <w:rFonts w:ascii="Calibri" w:hAnsi="Calibri" w:cs="Calibri"/>
          <w:color w:val="000000"/>
          <w:lang w:val="cs-CZ"/>
        </w:rPr>
        <w:t xml:space="preserve"> zákon</w:t>
      </w:r>
      <w:r w:rsidR="007A0AF0">
        <w:rPr>
          <w:rFonts w:ascii="Calibri" w:hAnsi="Calibri" w:cs="Calibri"/>
          <w:color w:val="000000"/>
          <w:lang w:val="cs-CZ"/>
        </w:rPr>
        <w:t>ů</w:t>
      </w:r>
      <w:r w:rsidRPr="00814054">
        <w:rPr>
          <w:rFonts w:ascii="Calibri" w:hAnsi="Calibri" w:cs="Calibri"/>
          <w:color w:val="000000"/>
          <w:lang w:val="cs-CZ"/>
        </w:rPr>
        <w:t xml:space="preserve">, přímo </w:t>
      </w:r>
      <w:r w:rsidR="007A0AF0">
        <w:rPr>
          <w:rFonts w:ascii="Calibri" w:hAnsi="Calibri" w:cs="Calibri"/>
          <w:color w:val="000000"/>
          <w:lang w:val="cs-CZ"/>
        </w:rPr>
        <w:t>aplikovatelných</w:t>
      </w:r>
      <w:r w:rsidRPr="00814054">
        <w:rPr>
          <w:rFonts w:ascii="Calibri" w:hAnsi="Calibri" w:cs="Calibri"/>
          <w:color w:val="000000"/>
          <w:lang w:val="cs-CZ"/>
        </w:rPr>
        <w:t xml:space="preserve"> předpis</w:t>
      </w:r>
      <w:r w:rsidR="007A0AF0">
        <w:rPr>
          <w:rFonts w:ascii="Calibri" w:hAnsi="Calibri" w:cs="Calibri"/>
          <w:color w:val="000000"/>
          <w:lang w:val="cs-CZ"/>
        </w:rPr>
        <w:t>ů</w:t>
      </w:r>
      <w:r w:rsidRPr="00814054">
        <w:rPr>
          <w:rFonts w:ascii="Calibri" w:hAnsi="Calibri" w:cs="Calibri"/>
          <w:color w:val="000000"/>
          <w:lang w:val="cs-CZ"/>
        </w:rPr>
        <w:t xml:space="preserve"> Evropské unie nebo </w:t>
      </w:r>
      <w:r w:rsidR="007A0AF0">
        <w:rPr>
          <w:rFonts w:ascii="Calibri" w:hAnsi="Calibri" w:cs="Calibri"/>
          <w:color w:val="000000"/>
          <w:lang w:val="cs-CZ"/>
        </w:rPr>
        <w:t>z </w:t>
      </w:r>
      <w:r w:rsidRPr="00814054">
        <w:rPr>
          <w:rFonts w:ascii="Calibri" w:hAnsi="Calibri" w:cs="Calibri"/>
          <w:color w:val="000000"/>
          <w:lang w:val="cs-CZ"/>
        </w:rPr>
        <w:t>mezinárodní</w:t>
      </w:r>
      <w:r w:rsidR="007A0AF0">
        <w:rPr>
          <w:rFonts w:ascii="Calibri" w:hAnsi="Calibri" w:cs="Calibri"/>
          <w:color w:val="000000"/>
          <w:lang w:val="cs-CZ"/>
        </w:rPr>
        <w:t>ch</w:t>
      </w:r>
      <w:r w:rsidRPr="00814054">
        <w:rPr>
          <w:rFonts w:ascii="Calibri" w:hAnsi="Calibri" w:cs="Calibri"/>
          <w:color w:val="000000"/>
          <w:lang w:val="cs-CZ"/>
        </w:rPr>
        <w:t xml:space="preserve"> smluv, které jsou součástí </w:t>
      </w:r>
      <w:r w:rsidR="007A0AF0">
        <w:rPr>
          <w:rFonts w:ascii="Calibri" w:hAnsi="Calibri" w:cs="Calibri"/>
          <w:color w:val="000000"/>
          <w:lang w:val="cs-CZ"/>
        </w:rPr>
        <w:t xml:space="preserve">národního </w:t>
      </w:r>
      <w:r w:rsidRPr="00814054">
        <w:rPr>
          <w:rFonts w:ascii="Calibri" w:hAnsi="Calibri" w:cs="Calibri"/>
          <w:color w:val="000000"/>
          <w:lang w:val="cs-CZ"/>
        </w:rPr>
        <w:t>právního řádu.</w:t>
      </w:r>
    </w:p>
    <w:p w:rsidR="007E446C" w:rsidRPr="00814054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 w:rsidRPr="0022235D">
        <w:rPr>
          <w:rFonts w:ascii="Calibri" w:hAnsi="Calibri" w:cs="Calibri"/>
          <w:color w:val="000000"/>
          <w:lang w:val="cs-CZ"/>
        </w:rPr>
        <w:t xml:space="preserve">Krajská </w:t>
      </w:r>
      <w:r w:rsidRPr="00925239">
        <w:rPr>
          <w:rFonts w:ascii="Calibri" w:hAnsi="Calibri" w:cs="Calibri"/>
          <w:color w:val="000000"/>
          <w:lang w:val="cs-CZ"/>
        </w:rPr>
        <w:t>ředitelství policie řídí</w:t>
      </w:r>
      <w:r w:rsidRPr="0022235D">
        <w:rPr>
          <w:rFonts w:ascii="Calibri" w:hAnsi="Calibri" w:cs="Calibri"/>
          <w:color w:val="000000"/>
          <w:lang w:val="cs-CZ"/>
        </w:rPr>
        <w:t xml:space="preserve"> a prová</w:t>
      </w:r>
      <w:r>
        <w:rPr>
          <w:rFonts w:ascii="Calibri" w:hAnsi="Calibri" w:cs="Calibri"/>
          <w:color w:val="000000"/>
          <w:lang w:val="cs-CZ"/>
        </w:rPr>
        <w:t>d</w:t>
      </w:r>
      <w:r w:rsidRPr="0022235D">
        <w:rPr>
          <w:rFonts w:ascii="Calibri" w:hAnsi="Calibri" w:cs="Calibri"/>
          <w:color w:val="000000"/>
          <w:lang w:val="cs-CZ"/>
        </w:rPr>
        <w:t>í výkon služby a plnění úkolů policie v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22235D">
        <w:rPr>
          <w:rFonts w:ascii="Calibri" w:hAnsi="Calibri" w:cs="Calibri"/>
          <w:color w:val="000000"/>
          <w:lang w:val="cs-CZ"/>
        </w:rPr>
        <w:t>oblasti služby pořádkové policie, služby dopravní policie, služby pro zbraně a bezpečnostní materiál, cizinecké policie, služby kriminální policie a vyšetřování, kriminalisticko</w:t>
      </w:r>
      <w:r>
        <w:rPr>
          <w:rFonts w:ascii="Calibri" w:hAnsi="Calibri" w:cs="Calibri"/>
          <w:color w:val="000000"/>
          <w:lang w:val="cs-CZ"/>
        </w:rPr>
        <w:t>-</w:t>
      </w:r>
      <w:r w:rsidRPr="0022235D">
        <w:rPr>
          <w:rFonts w:ascii="Calibri" w:hAnsi="Calibri" w:cs="Calibri"/>
          <w:color w:val="000000"/>
          <w:lang w:val="cs-CZ"/>
        </w:rPr>
        <w:t>technické a znalecké služby, nejde-li o věci v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22235D">
        <w:rPr>
          <w:rFonts w:ascii="Calibri" w:hAnsi="Calibri" w:cs="Calibri"/>
          <w:color w:val="000000"/>
          <w:lang w:val="cs-CZ"/>
        </w:rPr>
        <w:t>p</w:t>
      </w:r>
      <w:r>
        <w:rPr>
          <w:rFonts w:ascii="Calibri" w:hAnsi="Calibri" w:cs="Calibri"/>
          <w:color w:val="000000"/>
          <w:lang w:val="cs-CZ"/>
        </w:rPr>
        <w:t xml:space="preserve">ůsobnosti jiného útvaru policie. Dále </w:t>
      </w:r>
      <w:r w:rsidRPr="0022235D">
        <w:rPr>
          <w:rFonts w:ascii="Calibri" w:hAnsi="Calibri" w:cs="Calibri"/>
          <w:color w:val="000000"/>
          <w:lang w:val="cs-CZ"/>
        </w:rPr>
        <w:t>vyšetřuj</w:t>
      </w:r>
      <w:r>
        <w:rPr>
          <w:rFonts w:ascii="Calibri" w:hAnsi="Calibri" w:cs="Calibri"/>
          <w:color w:val="000000"/>
          <w:lang w:val="cs-CZ"/>
        </w:rPr>
        <w:t>í</w:t>
      </w:r>
      <w:r w:rsidRPr="0022235D">
        <w:rPr>
          <w:rFonts w:ascii="Calibri" w:hAnsi="Calibri" w:cs="Calibri"/>
          <w:color w:val="000000"/>
          <w:lang w:val="cs-CZ"/>
        </w:rPr>
        <w:t>, odhaluj</w:t>
      </w:r>
      <w:r>
        <w:rPr>
          <w:rFonts w:ascii="Calibri" w:hAnsi="Calibri" w:cs="Calibri"/>
          <w:color w:val="000000"/>
          <w:lang w:val="cs-CZ"/>
        </w:rPr>
        <w:t>í</w:t>
      </w:r>
      <w:r w:rsidRPr="0022235D">
        <w:rPr>
          <w:rFonts w:ascii="Calibri" w:hAnsi="Calibri" w:cs="Calibri"/>
          <w:color w:val="000000"/>
          <w:lang w:val="cs-CZ"/>
        </w:rPr>
        <w:t>, objasňuj</w:t>
      </w:r>
      <w:r>
        <w:rPr>
          <w:rFonts w:ascii="Calibri" w:hAnsi="Calibri" w:cs="Calibri"/>
          <w:color w:val="000000"/>
          <w:lang w:val="cs-CZ"/>
        </w:rPr>
        <w:t>í</w:t>
      </w:r>
      <w:r w:rsidR="00FC2F79">
        <w:rPr>
          <w:rFonts w:ascii="Calibri" w:hAnsi="Calibri" w:cs="Calibri"/>
          <w:color w:val="000000"/>
          <w:lang w:val="cs-CZ"/>
        </w:rPr>
        <w:t xml:space="preserve"> a</w:t>
      </w:r>
      <w:r w:rsidR="00D005DD">
        <w:rPr>
          <w:rFonts w:ascii="Calibri" w:hAnsi="Calibri" w:cs="Calibri"/>
          <w:color w:val="000000"/>
          <w:lang w:val="cs-CZ"/>
        </w:rPr>
        <w:t> </w:t>
      </w:r>
      <w:r w:rsidRPr="0022235D">
        <w:rPr>
          <w:rFonts w:ascii="Calibri" w:hAnsi="Calibri" w:cs="Calibri"/>
          <w:color w:val="000000"/>
          <w:lang w:val="cs-CZ"/>
        </w:rPr>
        <w:t>dokumentuj</w:t>
      </w:r>
      <w:r>
        <w:rPr>
          <w:rFonts w:ascii="Calibri" w:hAnsi="Calibri" w:cs="Calibri"/>
          <w:color w:val="000000"/>
          <w:lang w:val="cs-CZ"/>
        </w:rPr>
        <w:t>í</w:t>
      </w:r>
      <w:r w:rsidRPr="0022235D">
        <w:rPr>
          <w:rFonts w:ascii="Calibri" w:hAnsi="Calibri" w:cs="Calibri"/>
          <w:color w:val="000000"/>
          <w:lang w:val="cs-CZ"/>
        </w:rPr>
        <w:t xml:space="preserve"> ve vymezeném rozsahu trestnou činnost na úseku o</w:t>
      </w:r>
      <w:r>
        <w:rPr>
          <w:rFonts w:ascii="Calibri" w:hAnsi="Calibri" w:cs="Calibri"/>
          <w:color w:val="000000"/>
          <w:lang w:val="cs-CZ"/>
        </w:rPr>
        <w:t xml:space="preserve">becné a hospodářské kriminality. Zároveň </w:t>
      </w:r>
      <w:r w:rsidRPr="0022235D">
        <w:rPr>
          <w:rFonts w:ascii="Calibri" w:hAnsi="Calibri" w:cs="Calibri"/>
          <w:color w:val="000000"/>
          <w:lang w:val="cs-CZ"/>
        </w:rPr>
        <w:t>zabezpečuj</w:t>
      </w:r>
      <w:r>
        <w:rPr>
          <w:rFonts w:ascii="Calibri" w:hAnsi="Calibri" w:cs="Calibri"/>
          <w:color w:val="000000"/>
          <w:lang w:val="cs-CZ"/>
        </w:rPr>
        <w:t>í</w:t>
      </w:r>
      <w:r w:rsidRPr="0022235D">
        <w:rPr>
          <w:rFonts w:ascii="Calibri" w:hAnsi="Calibri" w:cs="Calibri"/>
          <w:color w:val="000000"/>
          <w:lang w:val="cs-CZ"/>
        </w:rPr>
        <w:t xml:space="preserve"> ochranu veřejného pořádk</w:t>
      </w:r>
      <w:r w:rsidR="00F263DE">
        <w:rPr>
          <w:rFonts w:ascii="Calibri" w:hAnsi="Calibri" w:cs="Calibri"/>
          <w:color w:val="000000"/>
          <w:lang w:val="cs-CZ"/>
        </w:rPr>
        <w:t>u, osob a majetku, bezpečnost a</w:t>
      </w:r>
      <w:r w:rsidR="00D005DD">
        <w:rPr>
          <w:rFonts w:ascii="Calibri" w:hAnsi="Calibri" w:cs="Calibri"/>
          <w:color w:val="000000"/>
          <w:lang w:val="cs-CZ"/>
        </w:rPr>
        <w:t> </w:t>
      </w:r>
      <w:r w:rsidRPr="0022235D">
        <w:rPr>
          <w:rFonts w:ascii="Calibri" w:hAnsi="Calibri" w:cs="Calibri"/>
          <w:color w:val="000000"/>
          <w:lang w:val="cs-CZ"/>
        </w:rPr>
        <w:t>plynulost silničního provozu a úkoly související se správním řízením a správními agendami.</w:t>
      </w:r>
    </w:p>
    <w:p w:rsidR="007E446C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DA08BF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Ke kontrole bylo vybráno </w:t>
      </w:r>
      <w:r w:rsidR="00925239">
        <w:rPr>
          <w:rFonts w:ascii="Calibri" w:hAnsi="Calibri" w:cs="Calibri"/>
          <w:color w:val="000000"/>
          <w:lang w:val="cs-CZ"/>
        </w:rPr>
        <w:t xml:space="preserve">pět </w:t>
      </w:r>
      <w:r w:rsidR="0019281F">
        <w:rPr>
          <w:rFonts w:ascii="Calibri" w:hAnsi="Calibri" w:cs="Calibri"/>
          <w:color w:val="000000"/>
          <w:lang w:val="cs-CZ"/>
        </w:rPr>
        <w:t>z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19281F">
        <w:rPr>
          <w:rFonts w:ascii="Calibri" w:hAnsi="Calibri" w:cs="Calibri"/>
          <w:color w:val="000000"/>
          <w:lang w:val="cs-CZ"/>
        </w:rPr>
        <w:t xml:space="preserve">celkových </w:t>
      </w:r>
      <w:r w:rsidR="00925239">
        <w:rPr>
          <w:rFonts w:ascii="Calibri" w:hAnsi="Calibri" w:cs="Calibri"/>
          <w:color w:val="000000"/>
          <w:lang w:val="cs-CZ"/>
        </w:rPr>
        <w:t xml:space="preserve">14 </w:t>
      </w:r>
      <w:r>
        <w:rPr>
          <w:rFonts w:ascii="Calibri" w:hAnsi="Calibri" w:cs="Calibri"/>
          <w:color w:val="000000"/>
          <w:lang w:val="cs-CZ"/>
        </w:rPr>
        <w:t>krajských policejních ředitelství. Vybraných pět krajských ředitelství policie působí na území, jehož rozloha tvoří přibližně 33</w:t>
      </w:r>
      <w:r w:rsidR="00925239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% z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celkové rozlohy České republiky a žije v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něm téměř 43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% obyvatel České republiky. V</w:t>
      </w:r>
      <w:r w:rsidR="00925239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 xml:space="preserve">kontrolovaném období let 2012 až 2014 pracovalo </w:t>
      </w:r>
      <w:r w:rsidR="007A0AF0">
        <w:rPr>
          <w:rFonts w:ascii="Calibri" w:hAnsi="Calibri" w:cs="Calibri"/>
          <w:color w:val="000000"/>
          <w:lang w:val="cs-CZ"/>
        </w:rPr>
        <w:t>v kontrolovaných</w:t>
      </w:r>
      <w:r>
        <w:rPr>
          <w:rFonts w:ascii="Calibri" w:hAnsi="Calibri" w:cs="Calibri"/>
          <w:color w:val="000000"/>
          <w:lang w:val="cs-CZ"/>
        </w:rPr>
        <w:t xml:space="preserve"> pěti krajských ředitelstvích v</w:t>
      </w:r>
      <w:r w:rsidR="00925239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průměru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21</w:t>
      </w:r>
      <w:r w:rsidR="00D005DD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0</w:t>
      </w:r>
      <w:r w:rsidR="00166452">
        <w:rPr>
          <w:rFonts w:ascii="Calibri" w:hAnsi="Calibri" w:cs="Calibri"/>
          <w:color w:val="000000"/>
          <w:lang w:val="cs-CZ"/>
        </w:rPr>
        <w:t>5</w:t>
      </w:r>
      <w:r w:rsidR="00031A8C">
        <w:rPr>
          <w:rFonts w:ascii="Calibri" w:hAnsi="Calibri" w:cs="Calibri"/>
          <w:color w:val="000000"/>
          <w:lang w:val="cs-CZ"/>
        </w:rPr>
        <w:t>8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zaměstnanců, z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čehož více než 81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925239">
        <w:rPr>
          <w:rFonts w:ascii="Calibri" w:hAnsi="Calibri" w:cs="Calibri"/>
          <w:color w:val="000000"/>
          <w:lang w:val="cs-CZ"/>
        </w:rPr>
        <w:t>% byli policisté. Přehled o </w:t>
      </w:r>
      <w:r>
        <w:rPr>
          <w:rFonts w:ascii="Calibri" w:hAnsi="Calibri" w:cs="Calibri"/>
          <w:color w:val="000000"/>
          <w:lang w:val="cs-CZ"/>
        </w:rPr>
        <w:t xml:space="preserve">průměrném přepočteném počtu zaměstnanců u vybraných krajských ředitelství </w:t>
      </w:r>
      <w:r w:rsidRPr="00D005DD">
        <w:rPr>
          <w:rFonts w:ascii="Calibri" w:hAnsi="Calibri" w:cs="Calibri"/>
          <w:color w:val="000000"/>
          <w:lang w:val="cs-CZ"/>
        </w:rPr>
        <w:t>(dále také „KŘP“) a</w:t>
      </w:r>
      <w:r>
        <w:rPr>
          <w:rFonts w:ascii="Calibri" w:hAnsi="Calibri" w:cs="Calibri"/>
          <w:color w:val="000000"/>
          <w:lang w:val="cs-CZ"/>
        </w:rPr>
        <w:t xml:space="preserve"> podíl policistů na počtu zaměstnanců </w:t>
      </w:r>
      <w:r w:rsidR="00CA1C13">
        <w:rPr>
          <w:rFonts w:ascii="Calibri" w:hAnsi="Calibri" w:cs="Calibri"/>
          <w:color w:val="000000"/>
          <w:lang w:val="cs-CZ"/>
        </w:rPr>
        <w:t>poskytuje</w:t>
      </w:r>
      <w:r>
        <w:rPr>
          <w:rFonts w:ascii="Calibri" w:hAnsi="Calibri" w:cs="Calibri"/>
          <w:color w:val="000000"/>
          <w:lang w:val="cs-CZ"/>
        </w:rPr>
        <w:t xml:space="preserve"> následující tabulka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č.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1.</w:t>
      </w:r>
      <w:r w:rsidR="00DA08BF" w:rsidRPr="00DA08BF">
        <w:rPr>
          <w:rFonts w:ascii="Calibri" w:hAnsi="Calibri" w:cs="Calibri"/>
          <w:color w:val="000000"/>
          <w:lang w:val="cs-CZ"/>
        </w:rPr>
        <w:t xml:space="preserve"> </w:t>
      </w:r>
      <w:r w:rsidR="00DA08BF">
        <w:rPr>
          <w:rFonts w:ascii="Calibri" w:hAnsi="Calibri" w:cs="Calibri"/>
          <w:color w:val="000000"/>
          <w:lang w:val="cs-CZ"/>
        </w:rPr>
        <w:t>Podrobnější přehled o</w:t>
      </w:r>
      <w:r w:rsidR="00D005DD">
        <w:rPr>
          <w:rFonts w:ascii="Calibri" w:hAnsi="Calibri" w:cs="Calibri"/>
          <w:color w:val="000000"/>
          <w:lang w:val="cs-CZ"/>
        </w:rPr>
        <w:t> </w:t>
      </w:r>
      <w:r w:rsidR="00DA08BF">
        <w:rPr>
          <w:rFonts w:ascii="Calibri" w:hAnsi="Calibri" w:cs="Calibri"/>
          <w:color w:val="000000"/>
          <w:lang w:val="cs-CZ"/>
        </w:rPr>
        <w:t>počtu zaměstnanců kontrolovaných krajských ředitelství policie podává tabulka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F2245E">
        <w:rPr>
          <w:rFonts w:ascii="Calibri" w:hAnsi="Calibri" w:cs="Calibri"/>
          <w:color w:val="000000"/>
          <w:lang w:val="cs-CZ"/>
        </w:rPr>
        <w:t>„</w:t>
      </w:r>
      <w:r w:rsidR="00DA08BF">
        <w:rPr>
          <w:rFonts w:ascii="Calibri" w:hAnsi="Calibri" w:cs="Calibri"/>
          <w:lang w:val="cs-CZ"/>
        </w:rPr>
        <w:t>C</w:t>
      </w:r>
      <w:r w:rsidR="00F2245E">
        <w:rPr>
          <w:rFonts w:ascii="Calibri" w:hAnsi="Calibri" w:cs="Calibri"/>
          <w:lang w:val="cs-CZ"/>
        </w:rPr>
        <w:t>“</w:t>
      </w:r>
      <w:r w:rsidR="00DA08BF">
        <w:rPr>
          <w:rFonts w:ascii="Calibri" w:hAnsi="Calibri" w:cs="Calibri"/>
          <w:color w:val="000000"/>
          <w:lang w:val="cs-CZ"/>
        </w:rPr>
        <w:t xml:space="preserve"> v</w:t>
      </w:r>
      <w:r w:rsidR="00925239">
        <w:rPr>
          <w:rFonts w:ascii="Calibri" w:hAnsi="Calibri" w:cs="Calibri"/>
          <w:color w:val="000000"/>
          <w:lang w:val="cs-CZ"/>
        </w:rPr>
        <w:t> </w:t>
      </w:r>
      <w:r w:rsidR="00DA08BF">
        <w:rPr>
          <w:rFonts w:ascii="Calibri" w:hAnsi="Calibri" w:cs="Calibri"/>
          <w:color w:val="000000"/>
          <w:lang w:val="cs-CZ"/>
        </w:rPr>
        <w:t xml:space="preserve">příloze </w:t>
      </w:r>
      <w:r w:rsidR="00F2245E">
        <w:rPr>
          <w:rFonts w:ascii="Calibri" w:hAnsi="Calibri" w:cs="Calibri"/>
          <w:color w:val="000000"/>
          <w:lang w:val="cs-CZ"/>
        </w:rPr>
        <w:t xml:space="preserve">tohoto </w:t>
      </w:r>
      <w:r w:rsidR="00DA08BF">
        <w:rPr>
          <w:rFonts w:ascii="Calibri" w:hAnsi="Calibri" w:cs="Calibri"/>
          <w:color w:val="000000"/>
          <w:lang w:val="cs-CZ"/>
        </w:rPr>
        <w:t>kontrolního závěru.</w:t>
      </w:r>
      <w:r w:rsidR="007E446C">
        <w:rPr>
          <w:rFonts w:ascii="Calibri" w:hAnsi="Calibri" w:cs="Calibri"/>
          <w:color w:val="000000"/>
          <w:lang w:val="cs-CZ"/>
        </w:rPr>
        <w:t xml:space="preserve"> </w:t>
      </w:r>
    </w:p>
    <w:p w:rsidR="007E446C" w:rsidRPr="008C742E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F2245E" w:rsidRDefault="003A4D68" w:rsidP="007E446C">
      <w:pPr>
        <w:spacing w:after="40"/>
        <w:rPr>
          <w:rFonts w:ascii="Calibri" w:hAnsi="Calibri" w:cs="Calibri"/>
          <w:b/>
          <w:lang w:val="cs-CZ"/>
        </w:rPr>
      </w:pPr>
      <w:r w:rsidRPr="007E446C">
        <w:rPr>
          <w:rFonts w:ascii="Calibri" w:hAnsi="Calibri" w:cs="Calibri"/>
          <w:b/>
          <w:lang w:val="cs-CZ"/>
        </w:rPr>
        <w:t>Tabulka</w:t>
      </w:r>
      <w:r w:rsidR="00D005DD" w:rsidRPr="007E446C">
        <w:rPr>
          <w:rFonts w:ascii="Calibri" w:hAnsi="Calibri" w:cs="Calibri"/>
          <w:b/>
          <w:lang w:val="cs-CZ"/>
        </w:rPr>
        <w:t xml:space="preserve"> </w:t>
      </w:r>
      <w:r w:rsidRPr="007E446C">
        <w:rPr>
          <w:rFonts w:ascii="Calibri" w:hAnsi="Calibri" w:cs="Calibri"/>
          <w:b/>
          <w:lang w:val="cs-CZ"/>
        </w:rPr>
        <w:t>č.</w:t>
      </w:r>
      <w:r w:rsidR="00D005DD" w:rsidRPr="007E446C">
        <w:rPr>
          <w:rFonts w:ascii="Calibri" w:hAnsi="Calibri" w:cs="Calibri"/>
          <w:b/>
          <w:lang w:val="cs-CZ"/>
        </w:rPr>
        <w:t xml:space="preserve"> </w:t>
      </w:r>
      <w:r w:rsidRPr="007E446C">
        <w:rPr>
          <w:rFonts w:ascii="Calibri" w:hAnsi="Calibri" w:cs="Calibri"/>
          <w:b/>
          <w:lang w:val="cs-CZ"/>
        </w:rPr>
        <w:t>1</w:t>
      </w:r>
      <w:r w:rsidR="00F2245E">
        <w:rPr>
          <w:rFonts w:ascii="Calibri" w:hAnsi="Calibri" w:cs="Calibri"/>
          <w:b/>
          <w:lang w:val="cs-CZ"/>
        </w:rPr>
        <w:t xml:space="preserve"> –</w:t>
      </w:r>
      <w:r w:rsidRPr="007E446C">
        <w:rPr>
          <w:rFonts w:ascii="Calibri" w:hAnsi="Calibri" w:cs="Calibri"/>
          <w:b/>
          <w:lang w:val="cs-CZ"/>
        </w:rPr>
        <w:t xml:space="preserve"> </w:t>
      </w:r>
      <w:r w:rsidRPr="00E03860">
        <w:rPr>
          <w:rFonts w:ascii="Calibri" w:hAnsi="Calibri" w:cs="Calibri"/>
          <w:b/>
          <w:lang w:val="cs-CZ"/>
        </w:rPr>
        <w:t>Poče</w:t>
      </w:r>
      <w:r w:rsidR="0019281F" w:rsidRPr="00E03860">
        <w:rPr>
          <w:rFonts w:ascii="Calibri" w:hAnsi="Calibri" w:cs="Calibri"/>
          <w:b/>
          <w:lang w:val="cs-CZ"/>
        </w:rPr>
        <w:t>t zaměstnanců a podíl policistů</w:t>
      </w:r>
    </w:p>
    <w:tbl>
      <w:tblPr>
        <w:tblStyle w:val="Mkatabulky"/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7"/>
        <w:gridCol w:w="1418"/>
        <w:gridCol w:w="1417"/>
        <w:gridCol w:w="1418"/>
      </w:tblGrid>
      <w:tr w:rsidR="003A4D68" w:rsidRPr="00F31A04" w:rsidTr="004D32FC">
        <w:trPr>
          <w:trHeight w:val="283"/>
        </w:trPr>
        <w:tc>
          <w:tcPr>
            <w:tcW w:w="1985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81637E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81637E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7087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81637E" w:rsidRDefault="003A4D68" w:rsidP="00013802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 xml:space="preserve">Roky </w:t>
            </w:r>
            <w:r w:rsidRPr="0081637E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2012</w:t>
            </w:r>
            <w:r w:rsidR="00013802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–</w:t>
            </w:r>
            <w:r w:rsidRPr="0081637E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2014</w:t>
            </w:r>
          </w:p>
        </w:tc>
      </w:tr>
      <w:tr w:rsidR="003A4D68" w:rsidRPr="00F31A04" w:rsidTr="004D32FC">
        <w:trPr>
          <w:trHeight w:val="283"/>
        </w:trPr>
        <w:tc>
          <w:tcPr>
            <w:tcW w:w="1985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A4D68" w:rsidRPr="00F31A04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Praha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Ostrava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Č. Budějovice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Ústí n. L.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H. Králové</w:t>
            </w:r>
          </w:p>
        </w:tc>
      </w:tr>
      <w:tr w:rsidR="00166452" w:rsidRPr="00F31A04" w:rsidTr="00166452">
        <w:trPr>
          <w:trHeight w:val="283"/>
        </w:trPr>
        <w:tc>
          <w:tcPr>
            <w:tcW w:w="1985" w:type="dxa"/>
            <w:tcBorders>
              <w:top w:val="single" w:sz="12" w:space="0" w:color="000000"/>
            </w:tcBorders>
            <w:noWrap/>
            <w:vAlign w:val="center"/>
            <w:hideMark/>
          </w:tcPr>
          <w:p w:rsidR="00166452" w:rsidRPr="00F31A04" w:rsidRDefault="00166452" w:rsidP="00432875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P</w:t>
            </w:r>
            <w:r w:rsidRPr="00F31A04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očet zaměstnanců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*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noWrap/>
            <w:vAlign w:val="center"/>
            <w:hideMark/>
          </w:tcPr>
          <w:p w:rsidR="00166452" w:rsidRPr="00E03860" w:rsidRDefault="00166452" w:rsidP="00166452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7 645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noWrap/>
            <w:vAlign w:val="center"/>
            <w:hideMark/>
          </w:tcPr>
          <w:p w:rsidR="00166452" w:rsidRPr="00E03860" w:rsidRDefault="00166452" w:rsidP="00166452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4 660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noWrap/>
            <w:vAlign w:val="center"/>
            <w:hideMark/>
          </w:tcPr>
          <w:p w:rsidR="00166452" w:rsidRPr="00E03860" w:rsidRDefault="00166452" w:rsidP="00166452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2 725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noWrap/>
            <w:vAlign w:val="center"/>
            <w:hideMark/>
          </w:tcPr>
          <w:p w:rsidR="00166452" w:rsidRPr="00E03860" w:rsidRDefault="00166452" w:rsidP="00166452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3 910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noWrap/>
            <w:vAlign w:val="center"/>
            <w:hideMark/>
          </w:tcPr>
          <w:p w:rsidR="00166452" w:rsidRPr="00E03860" w:rsidRDefault="00166452" w:rsidP="00166452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2 118</w:t>
            </w:r>
          </w:p>
        </w:tc>
      </w:tr>
      <w:tr w:rsidR="003A4D68" w:rsidRPr="00F31A04" w:rsidTr="004D32FC">
        <w:trPr>
          <w:trHeight w:val="283"/>
        </w:trPr>
        <w:tc>
          <w:tcPr>
            <w:tcW w:w="1985" w:type="dxa"/>
            <w:noWrap/>
            <w:vAlign w:val="center"/>
            <w:hideMark/>
          </w:tcPr>
          <w:p w:rsidR="003A4D68" w:rsidRPr="00E03860" w:rsidRDefault="003A4D68" w:rsidP="00432875">
            <w:pPr>
              <w:keepNext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 xml:space="preserve">Podíl policistů** </w:t>
            </w:r>
            <w:r w:rsidR="00602C52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(</w:t>
            </w:r>
            <w:r w:rsidR="004704EB"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v %</w:t>
            </w:r>
            <w:r w:rsidR="00602C52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)</w:t>
            </w:r>
          </w:p>
        </w:tc>
        <w:tc>
          <w:tcPr>
            <w:tcW w:w="1417" w:type="dxa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81</w:t>
            </w:r>
          </w:p>
        </w:tc>
        <w:tc>
          <w:tcPr>
            <w:tcW w:w="1417" w:type="dxa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83</w:t>
            </w:r>
          </w:p>
        </w:tc>
        <w:tc>
          <w:tcPr>
            <w:tcW w:w="1418" w:type="dxa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81</w:t>
            </w:r>
          </w:p>
        </w:tc>
        <w:tc>
          <w:tcPr>
            <w:tcW w:w="1417" w:type="dxa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81</w:t>
            </w:r>
          </w:p>
        </w:tc>
        <w:tc>
          <w:tcPr>
            <w:tcW w:w="1418" w:type="dxa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="Calibri" w:hAnsi="Calibri" w:cs="Calibri"/>
                <w:iCs/>
                <w:color w:val="000000"/>
                <w:sz w:val="16"/>
                <w:szCs w:val="16"/>
                <w:lang w:val="cs-CZ"/>
              </w:rPr>
              <w:t>81</w:t>
            </w:r>
          </w:p>
        </w:tc>
      </w:tr>
    </w:tbl>
    <w:p w:rsidR="003A4D68" w:rsidRPr="007E446C" w:rsidRDefault="003A4D68" w:rsidP="007E446C">
      <w:pPr>
        <w:tabs>
          <w:tab w:val="left" w:pos="567"/>
        </w:tabs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E03860">
        <w:rPr>
          <w:rFonts w:ascii="Calibri" w:hAnsi="Calibri" w:cs="Calibri"/>
          <w:b/>
          <w:sz w:val="20"/>
          <w:szCs w:val="20"/>
          <w:lang w:val="cs-CZ"/>
        </w:rPr>
        <w:t>Zdroj:</w:t>
      </w:r>
      <w:r w:rsidRPr="007E446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C51C7D">
        <w:rPr>
          <w:rFonts w:ascii="Calibri" w:hAnsi="Calibri" w:cs="Calibri"/>
          <w:sz w:val="20"/>
          <w:szCs w:val="20"/>
          <w:lang w:val="cs-CZ"/>
        </w:rPr>
        <w:t>ú</w:t>
      </w:r>
      <w:r w:rsidRPr="007E446C">
        <w:rPr>
          <w:rFonts w:ascii="Calibri" w:hAnsi="Calibri" w:cs="Calibri"/>
          <w:sz w:val="20"/>
          <w:szCs w:val="20"/>
          <w:lang w:val="cs-CZ"/>
        </w:rPr>
        <w:t>daje o počtu zaměstnanců poskytnuté kontrolovanými KŘP</w:t>
      </w:r>
      <w:r w:rsidR="00C9498F" w:rsidRPr="007E446C">
        <w:rPr>
          <w:rFonts w:ascii="Calibri" w:hAnsi="Calibri" w:cs="Calibri"/>
          <w:sz w:val="20"/>
          <w:szCs w:val="20"/>
          <w:lang w:val="cs-CZ"/>
        </w:rPr>
        <w:t>.</w:t>
      </w:r>
    </w:p>
    <w:p w:rsidR="003A4D68" w:rsidRPr="007E446C" w:rsidRDefault="003A4D68" w:rsidP="007E446C">
      <w:pPr>
        <w:tabs>
          <w:tab w:val="left" w:pos="284"/>
        </w:tabs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7E446C">
        <w:rPr>
          <w:rFonts w:ascii="Calibri" w:hAnsi="Calibri" w:cs="Calibri"/>
          <w:sz w:val="20"/>
          <w:szCs w:val="20"/>
          <w:lang w:val="cs-CZ"/>
        </w:rPr>
        <w:t xml:space="preserve">* </w:t>
      </w:r>
      <w:r w:rsidR="007E446C">
        <w:rPr>
          <w:rFonts w:ascii="Calibri" w:hAnsi="Calibri" w:cs="Calibri"/>
          <w:sz w:val="20"/>
          <w:szCs w:val="20"/>
          <w:lang w:val="cs-CZ"/>
        </w:rPr>
        <w:tab/>
      </w:r>
      <w:r w:rsidRPr="007E446C">
        <w:rPr>
          <w:rFonts w:ascii="Calibri" w:hAnsi="Calibri" w:cs="Calibri"/>
          <w:sz w:val="20"/>
          <w:szCs w:val="20"/>
          <w:lang w:val="cs-CZ"/>
        </w:rPr>
        <w:t xml:space="preserve">Průměrný přepočtený počet zaměstnanců </w:t>
      </w:r>
      <w:r w:rsidR="00592E89">
        <w:rPr>
          <w:rFonts w:ascii="Calibri" w:hAnsi="Calibri" w:cs="Calibri"/>
          <w:sz w:val="20"/>
          <w:szCs w:val="20"/>
          <w:lang w:val="cs-CZ"/>
        </w:rPr>
        <w:t>v letech</w:t>
      </w:r>
      <w:r w:rsidRPr="007E446C">
        <w:rPr>
          <w:rFonts w:ascii="Calibri" w:hAnsi="Calibri" w:cs="Calibri"/>
          <w:sz w:val="20"/>
          <w:szCs w:val="20"/>
          <w:lang w:val="cs-CZ"/>
        </w:rPr>
        <w:t xml:space="preserve"> 2012 až 2014</w:t>
      </w:r>
      <w:r w:rsidR="00C9498F" w:rsidRPr="007E446C">
        <w:rPr>
          <w:rFonts w:ascii="Calibri" w:hAnsi="Calibri" w:cs="Calibri"/>
          <w:sz w:val="20"/>
          <w:szCs w:val="20"/>
          <w:lang w:val="cs-CZ"/>
        </w:rPr>
        <w:t>.</w:t>
      </w:r>
    </w:p>
    <w:p w:rsidR="003A4D68" w:rsidRPr="007E446C" w:rsidRDefault="003A4D68" w:rsidP="007E446C">
      <w:pPr>
        <w:tabs>
          <w:tab w:val="left" w:pos="284"/>
        </w:tabs>
        <w:ind w:left="284" w:hanging="284"/>
        <w:rPr>
          <w:rFonts w:ascii="Calibri" w:hAnsi="Calibri" w:cs="Calibri"/>
          <w:sz w:val="20"/>
          <w:szCs w:val="20"/>
          <w:lang w:val="cs-CZ"/>
        </w:rPr>
      </w:pPr>
      <w:r w:rsidRPr="007E446C">
        <w:rPr>
          <w:rFonts w:ascii="Calibri" w:hAnsi="Calibri" w:cs="Calibri"/>
          <w:sz w:val="20"/>
          <w:szCs w:val="20"/>
          <w:lang w:val="cs-CZ"/>
        </w:rPr>
        <w:t xml:space="preserve">** </w:t>
      </w:r>
      <w:r w:rsidR="007E446C">
        <w:rPr>
          <w:rFonts w:ascii="Calibri" w:hAnsi="Calibri" w:cs="Calibri"/>
          <w:sz w:val="20"/>
          <w:szCs w:val="20"/>
          <w:lang w:val="cs-CZ"/>
        </w:rPr>
        <w:tab/>
      </w:r>
      <w:r w:rsidRPr="007E446C">
        <w:rPr>
          <w:rFonts w:ascii="Calibri" w:hAnsi="Calibri" w:cs="Calibri"/>
          <w:sz w:val="20"/>
          <w:szCs w:val="20"/>
          <w:lang w:val="cs-CZ"/>
        </w:rPr>
        <w:t xml:space="preserve">Průměrný podíl policistů na průměrném přepočteném počtu zaměstnanců </w:t>
      </w:r>
      <w:r w:rsidR="00592E89">
        <w:rPr>
          <w:rFonts w:ascii="Calibri" w:hAnsi="Calibri" w:cs="Calibri"/>
          <w:sz w:val="20"/>
          <w:szCs w:val="20"/>
          <w:lang w:val="cs-CZ"/>
        </w:rPr>
        <w:t>v letech</w:t>
      </w:r>
      <w:r w:rsidRPr="007E446C">
        <w:rPr>
          <w:rFonts w:ascii="Calibri" w:hAnsi="Calibri" w:cs="Calibri"/>
          <w:sz w:val="20"/>
          <w:szCs w:val="20"/>
          <w:lang w:val="cs-CZ"/>
        </w:rPr>
        <w:t xml:space="preserve"> 2012 až 2014</w:t>
      </w:r>
      <w:r w:rsidR="00C9498F" w:rsidRPr="007E446C">
        <w:rPr>
          <w:rFonts w:ascii="Calibri" w:hAnsi="Calibri" w:cs="Calibri"/>
          <w:sz w:val="20"/>
          <w:szCs w:val="20"/>
          <w:lang w:val="cs-CZ"/>
        </w:rPr>
        <w:t>.</w:t>
      </w:r>
    </w:p>
    <w:p w:rsidR="007E446C" w:rsidRPr="00814054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DF6451" w:rsidRDefault="007E446C" w:rsidP="00DF6451">
      <w:pPr>
        <w:rPr>
          <w:rFonts w:ascii="Calibr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lastRenderedPageBreak/>
        <w:t xml:space="preserve">2. </w:t>
      </w:r>
      <w:r w:rsidR="003A4D68" w:rsidRPr="00DF6451">
        <w:rPr>
          <w:rFonts w:ascii="Calibri" w:hAnsi="Calibri" w:cs="Calibri"/>
          <w:b/>
          <w:lang w:val="cs-CZ"/>
        </w:rPr>
        <w:t xml:space="preserve">Majetek </w:t>
      </w:r>
      <w:r w:rsidR="0022304C" w:rsidRPr="00DF6451">
        <w:rPr>
          <w:rFonts w:ascii="Calibri" w:hAnsi="Calibri" w:cs="Calibri"/>
          <w:b/>
          <w:lang w:val="cs-CZ"/>
        </w:rPr>
        <w:t>kontrolovan</w:t>
      </w:r>
      <w:r w:rsidR="003A4D68" w:rsidRPr="00DF6451">
        <w:rPr>
          <w:rFonts w:ascii="Calibri" w:hAnsi="Calibri" w:cs="Calibri"/>
          <w:b/>
          <w:lang w:val="cs-CZ"/>
        </w:rPr>
        <w:t>ých krajských ředitelství policie</w:t>
      </w:r>
    </w:p>
    <w:p w:rsidR="007E446C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Default="00D6573D" w:rsidP="007E446C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K</w:t>
      </w:r>
      <w:r w:rsidR="003A4D68">
        <w:rPr>
          <w:rFonts w:ascii="Calibri" w:hAnsi="Calibri" w:cs="Calibri"/>
          <w:color w:val="000000"/>
          <w:lang w:val="cs-CZ"/>
        </w:rPr>
        <w:t>ontrolovaná krajská ředitelství policie jsou příslušná hospodařit s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3A4D68">
        <w:rPr>
          <w:rFonts w:ascii="Calibri" w:hAnsi="Calibri" w:cs="Calibri"/>
          <w:color w:val="000000"/>
          <w:lang w:val="cs-CZ"/>
        </w:rPr>
        <w:t>majetkem státu, který z</w:t>
      </w:r>
      <w:r w:rsidR="00AC2364">
        <w:rPr>
          <w:rFonts w:ascii="Calibri" w:hAnsi="Calibri" w:cs="Calibri"/>
          <w:color w:val="000000"/>
          <w:lang w:val="cs-CZ"/>
        </w:rPr>
        <w:t> </w:t>
      </w:r>
      <w:r w:rsidR="003A4D68">
        <w:rPr>
          <w:rFonts w:ascii="Calibri" w:hAnsi="Calibri" w:cs="Calibri"/>
          <w:color w:val="000000"/>
          <w:lang w:val="cs-CZ"/>
        </w:rPr>
        <w:t xml:space="preserve">pohledu struktury aktiv </w:t>
      </w:r>
      <w:r w:rsidR="007A0AF0">
        <w:rPr>
          <w:rFonts w:ascii="Calibri" w:hAnsi="Calibri" w:cs="Calibri"/>
          <w:color w:val="000000"/>
          <w:lang w:val="cs-CZ"/>
        </w:rPr>
        <w:t>uvedených v rozvaze</w:t>
      </w:r>
      <w:r w:rsidR="003A4D68">
        <w:rPr>
          <w:rFonts w:ascii="Calibri" w:hAnsi="Calibri" w:cs="Calibri"/>
          <w:color w:val="000000"/>
          <w:lang w:val="cs-CZ"/>
        </w:rPr>
        <w:t xml:space="preserve"> tvoří převážně dlouhodobý hmotný majetek</w:t>
      </w:r>
      <w:r w:rsidR="007A0AF0">
        <w:rPr>
          <w:rFonts w:ascii="Calibri" w:hAnsi="Calibri" w:cs="Calibri"/>
          <w:color w:val="000000"/>
          <w:lang w:val="cs-CZ"/>
        </w:rPr>
        <w:t>,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3A4D68">
        <w:rPr>
          <w:rFonts w:ascii="Calibri" w:hAnsi="Calibri" w:cs="Calibri"/>
          <w:color w:val="000000"/>
          <w:lang w:val="cs-CZ"/>
        </w:rPr>
        <w:t>především stavb</w:t>
      </w:r>
      <w:r w:rsidR="007A0AF0">
        <w:rPr>
          <w:rFonts w:ascii="Calibri" w:hAnsi="Calibri" w:cs="Calibri"/>
          <w:color w:val="000000"/>
          <w:lang w:val="cs-CZ"/>
        </w:rPr>
        <w:t>y</w:t>
      </w:r>
      <w:r w:rsidR="003A4D68">
        <w:rPr>
          <w:rFonts w:ascii="Calibri" w:hAnsi="Calibri" w:cs="Calibri"/>
          <w:color w:val="000000"/>
          <w:lang w:val="cs-CZ"/>
        </w:rPr>
        <w:t xml:space="preserve"> a movit</w:t>
      </w:r>
      <w:r w:rsidR="007A0AF0">
        <w:rPr>
          <w:rFonts w:ascii="Calibri" w:hAnsi="Calibri" w:cs="Calibri"/>
          <w:color w:val="000000"/>
          <w:lang w:val="cs-CZ"/>
        </w:rPr>
        <w:t>é</w:t>
      </w:r>
      <w:r w:rsidR="003A4D68">
        <w:rPr>
          <w:rFonts w:ascii="Calibri" w:hAnsi="Calibri" w:cs="Calibri"/>
          <w:color w:val="000000"/>
          <w:lang w:val="cs-CZ"/>
        </w:rPr>
        <w:t xml:space="preserve"> věc</w:t>
      </w:r>
      <w:r w:rsidR="007A0AF0">
        <w:rPr>
          <w:rFonts w:ascii="Calibri" w:hAnsi="Calibri" w:cs="Calibri"/>
          <w:color w:val="000000"/>
          <w:lang w:val="cs-CZ"/>
        </w:rPr>
        <w:t>i</w:t>
      </w:r>
      <w:r w:rsidR="003A4D68">
        <w:rPr>
          <w:rFonts w:ascii="Calibri" w:hAnsi="Calibri" w:cs="Calibri"/>
          <w:color w:val="000000"/>
          <w:lang w:val="cs-CZ"/>
        </w:rPr>
        <w:t>.</w:t>
      </w:r>
    </w:p>
    <w:p w:rsidR="007E446C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Hodnota celkových aktiv </w:t>
      </w:r>
      <w:r w:rsidR="0019281F">
        <w:rPr>
          <w:rFonts w:ascii="Calibri" w:hAnsi="Calibri" w:cs="Calibri"/>
          <w:color w:val="000000"/>
          <w:lang w:val="cs-CZ"/>
        </w:rPr>
        <w:t>kontrolovan</w:t>
      </w:r>
      <w:r>
        <w:rPr>
          <w:rFonts w:ascii="Calibri" w:hAnsi="Calibri" w:cs="Calibri"/>
          <w:color w:val="000000"/>
          <w:lang w:val="cs-CZ"/>
        </w:rPr>
        <w:t>ých krajských ředitelství policie vyjádřená v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pořizovacích cenách</w:t>
      </w:r>
      <w:r w:rsidR="00741916">
        <w:rPr>
          <w:rFonts w:ascii="Calibri" w:hAnsi="Calibri" w:cs="Calibri"/>
          <w:color w:val="000000"/>
          <w:lang w:val="cs-CZ"/>
        </w:rPr>
        <w:t xml:space="preserve"> (brutto hodnota)</w:t>
      </w:r>
      <w:r>
        <w:rPr>
          <w:rFonts w:ascii="Calibri" w:hAnsi="Calibri" w:cs="Calibri"/>
          <w:color w:val="000000"/>
          <w:lang w:val="cs-CZ"/>
        </w:rPr>
        <w:t xml:space="preserve"> činila ke k</w:t>
      </w:r>
      <w:r w:rsidR="00FC2F79">
        <w:rPr>
          <w:rFonts w:ascii="Calibri" w:hAnsi="Calibri" w:cs="Calibri"/>
          <w:color w:val="000000"/>
          <w:lang w:val="cs-CZ"/>
        </w:rPr>
        <w:t>onci kontrolovaného období, tj.</w:t>
      </w:r>
      <w:r w:rsidR="000D5FF2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k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31.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12.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2014, celkem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C742E">
        <w:rPr>
          <w:rFonts w:ascii="Calibri" w:hAnsi="Calibri" w:cs="Calibri"/>
          <w:color w:val="000000"/>
          <w:lang w:val="cs-CZ"/>
        </w:rPr>
        <w:t>17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C742E">
        <w:rPr>
          <w:rFonts w:ascii="Calibri" w:hAnsi="Calibri" w:cs="Calibri"/>
          <w:color w:val="000000"/>
          <w:lang w:val="cs-CZ"/>
        </w:rPr>
        <w:t>727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C742E">
        <w:rPr>
          <w:rFonts w:ascii="Calibri" w:hAnsi="Calibri" w:cs="Calibri"/>
          <w:color w:val="000000"/>
          <w:lang w:val="cs-CZ"/>
        </w:rPr>
        <w:t>549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C742E">
        <w:rPr>
          <w:rFonts w:ascii="Calibri" w:hAnsi="Calibri" w:cs="Calibri"/>
          <w:color w:val="000000"/>
          <w:lang w:val="cs-CZ"/>
        </w:rPr>
        <w:t>tis.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C742E">
        <w:rPr>
          <w:rFonts w:ascii="Calibri" w:hAnsi="Calibri" w:cs="Calibri"/>
          <w:color w:val="000000"/>
          <w:lang w:val="cs-CZ"/>
        </w:rPr>
        <w:t>Kč</w:t>
      </w:r>
      <w:r>
        <w:rPr>
          <w:rFonts w:ascii="Calibri" w:hAnsi="Calibri" w:cs="Calibri"/>
          <w:color w:val="000000"/>
          <w:lang w:val="cs-CZ"/>
        </w:rPr>
        <w:t>. Hodnota dlouhodobého hmotného majetku v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pořizovacích cenách k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31.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12.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2014 činila celkem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C742E">
        <w:rPr>
          <w:rFonts w:ascii="Calibri" w:hAnsi="Calibri" w:cs="Calibri"/>
          <w:color w:val="000000"/>
          <w:lang w:val="cs-CZ"/>
        </w:rPr>
        <w:t>15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C742E">
        <w:rPr>
          <w:rFonts w:ascii="Calibri" w:hAnsi="Calibri" w:cs="Calibri"/>
          <w:color w:val="000000"/>
          <w:lang w:val="cs-CZ"/>
        </w:rPr>
        <w:t>437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C742E">
        <w:rPr>
          <w:rFonts w:ascii="Calibri" w:hAnsi="Calibri" w:cs="Calibri"/>
          <w:color w:val="000000"/>
          <w:lang w:val="cs-CZ"/>
        </w:rPr>
        <w:t>594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8C742E">
        <w:rPr>
          <w:rFonts w:ascii="Calibri" w:hAnsi="Calibri" w:cs="Calibri"/>
          <w:color w:val="000000"/>
          <w:lang w:val="cs-CZ"/>
        </w:rPr>
        <w:t>tis.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Kč</w:t>
      </w:r>
      <w:r w:rsidR="000D5FF2"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lang w:val="cs-CZ"/>
        </w:rPr>
        <w:t xml:space="preserve"> a tvořila tak přes 87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% z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celkových aktiv v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brutto hodnotě. Přehled o</w:t>
      </w:r>
      <w:r w:rsidR="007A0AF0">
        <w:rPr>
          <w:rFonts w:ascii="Calibri" w:hAnsi="Calibri" w:cs="Calibri"/>
          <w:color w:val="000000"/>
          <w:lang w:val="cs-CZ"/>
        </w:rPr>
        <w:t> celkové</w:t>
      </w:r>
      <w:r>
        <w:rPr>
          <w:rFonts w:ascii="Calibri" w:hAnsi="Calibri" w:cs="Calibri"/>
          <w:color w:val="000000"/>
          <w:lang w:val="cs-CZ"/>
        </w:rPr>
        <w:t xml:space="preserve"> hodnot</w:t>
      </w:r>
      <w:r w:rsidR="00FC2F79">
        <w:rPr>
          <w:rFonts w:ascii="Calibri" w:hAnsi="Calibri" w:cs="Calibri"/>
          <w:color w:val="000000"/>
          <w:lang w:val="cs-CZ"/>
        </w:rPr>
        <w:t xml:space="preserve">ě aktiv, </w:t>
      </w:r>
      <w:r w:rsidR="000D5FF2">
        <w:rPr>
          <w:rFonts w:ascii="Calibri" w:hAnsi="Calibri" w:cs="Calibri"/>
          <w:color w:val="000000"/>
          <w:lang w:val="cs-CZ"/>
        </w:rPr>
        <w:t xml:space="preserve">hodnotě </w:t>
      </w:r>
      <w:r w:rsidR="00FC2F79">
        <w:rPr>
          <w:rFonts w:ascii="Calibri" w:hAnsi="Calibri" w:cs="Calibri"/>
          <w:color w:val="000000"/>
          <w:lang w:val="cs-CZ"/>
        </w:rPr>
        <w:t>stálých aktiv a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 xml:space="preserve">dlouhodobého hmotného majetku </w:t>
      </w:r>
      <w:r w:rsidR="0019281F">
        <w:rPr>
          <w:rFonts w:ascii="Calibri" w:hAnsi="Calibri" w:cs="Calibri"/>
          <w:color w:val="000000"/>
          <w:lang w:val="cs-CZ"/>
        </w:rPr>
        <w:t>kontrolovan</w:t>
      </w:r>
      <w:r>
        <w:rPr>
          <w:rFonts w:ascii="Calibri" w:hAnsi="Calibri" w:cs="Calibri"/>
          <w:color w:val="000000"/>
          <w:lang w:val="cs-CZ"/>
        </w:rPr>
        <w:t>ých krajských ředitelství policie k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31.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12.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 xml:space="preserve">2014 </w:t>
      </w:r>
      <w:r w:rsidR="00D6573D">
        <w:rPr>
          <w:rFonts w:ascii="Calibri" w:hAnsi="Calibri" w:cs="Calibri"/>
          <w:color w:val="000000"/>
          <w:lang w:val="cs-CZ"/>
        </w:rPr>
        <w:t>poskytuje</w:t>
      </w:r>
      <w:r>
        <w:rPr>
          <w:rFonts w:ascii="Calibri" w:hAnsi="Calibri" w:cs="Calibri"/>
          <w:color w:val="000000"/>
          <w:lang w:val="cs-CZ"/>
        </w:rPr>
        <w:t xml:space="preserve"> tabu</w:t>
      </w:r>
      <w:r w:rsidR="00F263DE">
        <w:rPr>
          <w:rFonts w:ascii="Calibri" w:hAnsi="Calibri" w:cs="Calibri"/>
          <w:color w:val="000000"/>
          <w:lang w:val="cs-CZ"/>
        </w:rPr>
        <w:t>lka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F263DE">
        <w:rPr>
          <w:rFonts w:ascii="Calibri" w:hAnsi="Calibri" w:cs="Calibri"/>
          <w:color w:val="000000"/>
          <w:lang w:val="cs-CZ"/>
        </w:rPr>
        <w:t>č.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F263DE">
        <w:rPr>
          <w:rFonts w:ascii="Calibri" w:hAnsi="Calibri" w:cs="Calibri"/>
          <w:color w:val="000000"/>
          <w:lang w:val="cs-CZ"/>
        </w:rPr>
        <w:t>2. Podrobnější přehled o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hodnotách a struktuře aktiv </w:t>
      </w:r>
      <w:r w:rsidR="0019281F">
        <w:rPr>
          <w:rFonts w:ascii="Calibri" w:hAnsi="Calibri" w:cs="Calibri"/>
          <w:color w:val="000000"/>
          <w:lang w:val="cs-CZ"/>
        </w:rPr>
        <w:t>kontrolov</w:t>
      </w:r>
      <w:r>
        <w:rPr>
          <w:rFonts w:ascii="Calibri" w:hAnsi="Calibri" w:cs="Calibri"/>
          <w:color w:val="000000"/>
          <w:lang w:val="cs-CZ"/>
        </w:rPr>
        <w:t>aných krajských ředitelství policie podáv</w:t>
      </w:r>
      <w:r w:rsidR="007A0AF0">
        <w:rPr>
          <w:rFonts w:ascii="Calibri" w:hAnsi="Calibri" w:cs="Calibri"/>
          <w:color w:val="000000"/>
          <w:lang w:val="cs-CZ"/>
        </w:rPr>
        <w:t>ají</w:t>
      </w:r>
      <w:r>
        <w:rPr>
          <w:rFonts w:ascii="Calibri" w:hAnsi="Calibri" w:cs="Calibri"/>
          <w:color w:val="000000"/>
          <w:lang w:val="cs-CZ"/>
        </w:rPr>
        <w:t xml:space="preserve"> tabulk</w:t>
      </w:r>
      <w:r w:rsidR="007A0AF0">
        <w:rPr>
          <w:rFonts w:ascii="Calibri" w:hAnsi="Calibri" w:cs="Calibri"/>
          <w:color w:val="000000"/>
          <w:lang w:val="cs-CZ"/>
        </w:rPr>
        <w:t>y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062C39">
        <w:rPr>
          <w:rFonts w:ascii="Calibri" w:hAnsi="Calibri" w:cs="Calibri"/>
          <w:lang w:val="cs-CZ"/>
        </w:rPr>
        <w:t>A</w:t>
      </w:r>
      <w:r w:rsidR="00A26F23">
        <w:rPr>
          <w:rFonts w:ascii="Calibri" w:hAnsi="Calibri" w:cs="Calibri"/>
          <w:lang w:val="cs-CZ"/>
        </w:rPr>
        <w:t xml:space="preserve"> a B</w:t>
      </w:r>
      <w:r>
        <w:rPr>
          <w:rFonts w:ascii="Calibri" w:hAnsi="Calibri" w:cs="Calibri"/>
          <w:color w:val="000000"/>
          <w:lang w:val="cs-CZ"/>
        </w:rPr>
        <w:t xml:space="preserve"> v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příloze </w:t>
      </w:r>
      <w:r w:rsidR="007A0AF0">
        <w:rPr>
          <w:rFonts w:ascii="Calibri" w:hAnsi="Calibri" w:cs="Calibri"/>
          <w:color w:val="000000"/>
          <w:lang w:val="cs-CZ"/>
        </w:rPr>
        <w:t xml:space="preserve">tohoto </w:t>
      </w:r>
      <w:r>
        <w:rPr>
          <w:rFonts w:ascii="Calibri" w:hAnsi="Calibri" w:cs="Calibri"/>
          <w:color w:val="000000"/>
          <w:lang w:val="cs-CZ"/>
        </w:rPr>
        <w:t>kontrolního závěru.</w:t>
      </w:r>
    </w:p>
    <w:p w:rsidR="007E446C" w:rsidRPr="008C742E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7E446C" w:rsidRDefault="003A4D68" w:rsidP="007E446C">
      <w:pPr>
        <w:tabs>
          <w:tab w:val="right" w:pos="9072"/>
        </w:tabs>
        <w:spacing w:after="40"/>
        <w:rPr>
          <w:rFonts w:ascii="Calibri" w:hAnsi="Calibri" w:cs="Calibri"/>
          <w:b/>
          <w:u w:val="single"/>
          <w:lang w:val="cs-CZ"/>
        </w:rPr>
      </w:pPr>
      <w:r w:rsidRPr="007E446C">
        <w:rPr>
          <w:rFonts w:ascii="Calibri" w:hAnsi="Calibri" w:cs="Calibri"/>
          <w:b/>
          <w:lang w:val="cs-CZ"/>
        </w:rPr>
        <w:t>Tabulka</w:t>
      </w:r>
      <w:r w:rsidR="00D005DD" w:rsidRPr="007E446C">
        <w:rPr>
          <w:rFonts w:ascii="Calibri" w:hAnsi="Calibri" w:cs="Calibri"/>
          <w:b/>
          <w:lang w:val="cs-CZ"/>
        </w:rPr>
        <w:t xml:space="preserve"> </w:t>
      </w:r>
      <w:r w:rsidRPr="007E446C">
        <w:rPr>
          <w:rFonts w:ascii="Calibri" w:hAnsi="Calibri" w:cs="Calibri"/>
          <w:b/>
          <w:lang w:val="cs-CZ"/>
        </w:rPr>
        <w:t>č.</w:t>
      </w:r>
      <w:r w:rsidR="00D005DD" w:rsidRPr="007E446C">
        <w:rPr>
          <w:rFonts w:ascii="Calibri" w:hAnsi="Calibri" w:cs="Calibri"/>
          <w:b/>
          <w:lang w:val="cs-CZ"/>
        </w:rPr>
        <w:t xml:space="preserve"> </w:t>
      </w:r>
      <w:r w:rsidRPr="007E446C">
        <w:rPr>
          <w:rFonts w:ascii="Calibri" w:hAnsi="Calibri" w:cs="Calibri"/>
          <w:b/>
          <w:lang w:val="cs-CZ"/>
        </w:rPr>
        <w:t>2</w:t>
      </w:r>
      <w:r w:rsidR="000D5FF2">
        <w:rPr>
          <w:rFonts w:ascii="Calibri" w:hAnsi="Calibri" w:cs="Calibri"/>
          <w:b/>
          <w:lang w:val="cs-CZ"/>
        </w:rPr>
        <w:t xml:space="preserve"> –</w:t>
      </w:r>
      <w:r w:rsidRPr="007E446C">
        <w:rPr>
          <w:rFonts w:ascii="Calibri" w:hAnsi="Calibri" w:cs="Calibri"/>
          <w:b/>
          <w:lang w:val="cs-CZ"/>
        </w:rPr>
        <w:t xml:space="preserve"> </w:t>
      </w:r>
      <w:r w:rsidRPr="00E03860">
        <w:rPr>
          <w:rFonts w:ascii="Calibri" w:hAnsi="Calibri" w:cs="Calibri"/>
          <w:b/>
          <w:lang w:val="cs-CZ"/>
        </w:rPr>
        <w:t xml:space="preserve">Brutto hodnota aktiv </w:t>
      </w:r>
      <w:r w:rsidR="001C733A" w:rsidRPr="00E03860">
        <w:rPr>
          <w:rFonts w:ascii="Calibri" w:hAnsi="Calibri" w:cs="Calibri"/>
          <w:b/>
          <w:lang w:val="cs-CZ"/>
        </w:rPr>
        <w:t>kontrolova</w:t>
      </w:r>
      <w:r w:rsidRPr="00E03860">
        <w:rPr>
          <w:rFonts w:ascii="Calibri" w:hAnsi="Calibri" w:cs="Calibri"/>
          <w:b/>
          <w:lang w:val="cs-CZ"/>
        </w:rPr>
        <w:t>ných KŘP</w:t>
      </w:r>
      <w:r w:rsidR="00273F2B" w:rsidRPr="00E03860">
        <w:rPr>
          <w:rFonts w:ascii="Calibri" w:hAnsi="Calibri" w:cs="Calibri"/>
          <w:b/>
          <w:lang w:val="cs-CZ"/>
        </w:rPr>
        <w:t xml:space="preserve"> </w:t>
      </w:r>
      <w:r w:rsidR="00273F2B" w:rsidRPr="00E03860">
        <w:rPr>
          <w:rFonts w:ascii="Calibri" w:hAnsi="Calibri" w:cs="Calibri"/>
          <w:b/>
          <w:lang w:val="cs-CZ"/>
        </w:rPr>
        <w:tab/>
      </w:r>
      <w:r w:rsidR="00AC2364" w:rsidRPr="00E03860">
        <w:rPr>
          <w:rFonts w:ascii="Calibri" w:hAnsi="Calibri" w:cs="Calibri"/>
          <w:b/>
          <w:lang w:val="cs-CZ"/>
        </w:rPr>
        <w:t>(</w:t>
      </w:r>
      <w:r w:rsidRPr="00E03860">
        <w:rPr>
          <w:rFonts w:ascii="Calibri" w:hAnsi="Calibri" w:cs="Calibri"/>
          <w:b/>
          <w:lang w:val="cs-CZ"/>
        </w:rPr>
        <w:t>v Kč</w:t>
      </w:r>
      <w:r w:rsidR="00AC2364" w:rsidRPr="00E03860">
        <w:rPr>
          <w:rFonts w:ascii="Calibri" w:hAnsi="Calibri" w:cs="Calibri"/>
          <w:b/>
          <w:lang w:val="cs-CZ"/>
        </w:rPr>
        <w:t>)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1389"/>
        <w:gridCol w:w="1389"/>
        <w:gridCol w:w="1389"/>
        <w:gridCol w:w="1389"/>
        <w:gridCol w:w="1389"/>
      </w:tblGrid>
      <w:tr w:rsidR="003A4D68" w:rsidRPr="001A23E9" w:rsidTr="004D32FC">
        <w:trPr>
          <w:trHeight w:val="283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A4D68" w:rsidRPr="003F10C0" w:rsidRDefault="003A4D68" w:rsidP="00432875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CA1C13" w:rsidRDefault="003A4D68" w:rsidP="001A23E9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CA1C1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Stav </w:t>
            </w:r>
            <w:r w:rsidR="001A23E9" w:rsidRPr="00CA1C13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(b</w:t>
            </w:r>
            <w:r w:rsidRPr="00CA1C13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 xml:space="preserve">rutto) </w:t>
            </w:r>
            <w:r w:rsidR="001A23E9" w:rsidRPr="00CA1C13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>k</w:t>
            </w:r>
            <w:r w:rsidR="00D005D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  <w:r w:rsidR="001A23E9" w:rsidRPr="00CA1C13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>31.</w:t>
            </w:r>
            <w:r w:rsidR="00D005D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  <w:r w:rsidR="001A23E9" w:rsidRPr="00CA1C13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>12.</w:t>
            </w:r>
            <w:r w:rsidR="00D005D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  <w:r w:rsidR="001A23E9" w:rsidRPr="00CA1C13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>2014</w:t>
            </w:r>
          </w:p>
        </w:tc>
      </w:tr>
      <w:tr w:rsidR="003A4D68" w:rsidRPr="001A23E9" w:rsidTr="004D32FC">
        <w:trPr>
          <w:trHeight w:val="283"/>
        </w:trPr>
        <w:tc>
          <w:tcPr>
            <w:tcW w:w="213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A4D68" w:rsidRPr="003F10C0" w:rsidRDefault="003A4D68" w:rsidP="00432875">
            <w:pPr>
              <w:keepNext/>
              <w:keepLines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Praha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Ostrava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Č. Budějovice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Ústí n. L.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H. Králové</w:t>
            </w:r>
          </w:p>
        </w:tc>
      </w:tr>
      <w:tr w:rsidR="003A4D68" w:rsidRPr="003F10C0" w:rsidTr="004D32FC">
        <w:trPr>
          <w:trHeight w:val="283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D68" w:rsidRPr="003F10C0" w:rsidRDefault="003A4D68" w:rsidP="00432875">
            <w:pPr>
              <w:keepNext/>
              <w:keepLines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3F10C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AKTIVA CELKEM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3F10C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3F10C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4 766 570 002,08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3F10C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3F10C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3 541 186 813,81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3F10C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3F10C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3 463 806 417,40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3F10C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3F10C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3 307 412 952,05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D68" w:rsidRPr="003F10C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3F10C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2 648 572 987,47   </w:t>
            </w:r>
          </w:p>
        </w:tc>
      </w:tr>
      <w:tr w:rsidR="003A4D68" w:rsidRPr="003F10C0" w:rsidTr="004D32FC">
        <w:trPr>
          <w:trHeight w:val="283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D68" w:rsidRPr="00D410A9" w:rsidRDefault="003A4D68" w:rsidP="00432875">
            <w:pPr>
              <w:keepNext/>
              <w:keepLines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D410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Stálá aktiva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D410A9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D410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 xml:space="preserve">4 225 436 206,54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D410A9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D410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 xml:space="preserve">3 206 902 102,35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D410A9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D410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 xml:space="preserve">3 227 376 482,01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D410A9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D410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 xml:space="preserve">2 947 917 253,42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D68" w:rsidRPr="00D410A9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D410A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 xml:space="preserve">2 447 870 940,58   </w:t>
            </w:r>
          </w:p>
        </w:tc>
      </w:tr>
      <w:tr w:rsidR="003A4D68" w:rsidRPr="003F10C0" w:rsidTr="004D32FC">
        <w:trPr>
          <w:trHeight w:val="283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  <w:t>Dlouhodobý hmotný majetek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  <w:t xml:space="preserve">4 100 814 201,13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  <w:t xml:space="preserve">3 087 366 751,83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  <w:t xml:space="preserve">3 083 704 736,80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  <w:t xml:space="preserve">2 821 429 280,16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keepLines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cs-CZ"/>
              </w:rPr>
              <w:t xml:space="preserve">2 344 279 285,14   </w:t>
            </w:r>
          </w:p>
        </w:tc>
      </w:tr>
    </w:tbl>
    <w:p w:rsidR="003A4D68" w:rsidRPr="007E446C" w:rsidRDefault="007E446C" w:rsidP="007E446C">
      <w:pPr>
        <w:spacing w:before="40"/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E03860">
        <w:rPr>
          <w:rFonts w:ascii="Calibri" w:hAnsi="Calibri" w:cs="Calibri"/>
          <w:b/>
          <w:sz w:val="20"/>
          <w:szCs w:val="20"/>
          <w:lang w:val="cs-CZ"/>
        </w:rPr>
        <w:t>Zdroj:</w:t>
      </w:r>
      <w:r>
        <w:rPr>
          <w:rFonts w:ascii="Calibri" w:hAnsi="Calibri" w:cs="Calibri"/>
          <w:sz w:val="20"/>
          <w:szCs w:val="20"/>
          <w:lang w:val="cs-CZ"/>
        </w:rPr>
        <w:tab/>
      </w:r>
      <w:r w:rsidR="000D5FF2">
        <w:rPr>
          <w:rFonts w:ascii="Calibri" w:hAnsi="Calibri" w:cs="Calibri"/>
          <w:sz w:val="20"/>
          <w:szCs w:val="20"/>
          <w:lang w:val="cs-CZ"/>
        </w:rPr>
        <w:t>ú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 xml:space="preserve">četní závěrky </w:t>
      </w:r>
      <w:r w:rsidR="001C733A" w:rsidRPr="007E446C">
        <w:rPr>
          <w:rFonts w:ascii="Calibri" w:hAnsi="Calibri" w:cs="Calibri"/>
          <w:sz w:val="20"/>
          <w:szCs w:val="20"/>
          <w:lang w:val="cs-CZ"/>
        </w:rPr>
        <w:t>kontrolova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>ných KŘP sestavené k</w:t>
      </w:r>
      <w:r w:rsidR="00D005DD" w:rsidRPr="007E446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>31.</w:t>
      </w:r>
      <w:r w:rsidR="00D005DD" w:rsidRPr="007E446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>12.</w:t>
      </w:r>
      <w:r w:rsidR="00D005DD" w:rsidRPr="007E446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>2014.</w:t>
      </w:r>
    </w:p>
    <w:p w:rsidR="00A52042" w:rsidRPr="007E446C" w:rsidRDefault="007E446C" w:rsidP="007E446C">
      <w:pPr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E03860">
        <w:rPr>
          <w:rFonts w:ascii="Calibri" w:hAnsi="Calibri" w:cs="Calibri"/>
          <w:b/>
          <w:sz w:val="20"/>
          <w:szCs w:val="20"/>
          <w:lang w:val="cs-CZ"/>
        </w:rPr>
        <w:t>Pozn.:</w:t>
      </w:r>
      <w:r>
        <w:rPr>
          <w:rFonts w:ascii="Calibri" w:hAnsi="Calibri" w:cs="Calibri"/>
          <w:sz w:val="20"/>
          <w:szCs w:val="20"/>
          <w:lang w:val="cs-CZ"/>
        </w:rPr>
        <w:tab/>
      </w:r>
      <w:r w:rsidR="00C9498F" w:rsidRPr="007E446C">
        <w:rPr>
          <w:rFonts w:ascii="Calibri" w:hAnsi="Calibri" w:cs="Calibri"/>
          <w:sz w:val="20"/>
          <w:szCs w:val="20"/>
          <w:lang w:val="cs-CZ"/>
        </w:rPr>
        <w:t>Ú</w:t>
      </w:r>
      <w:r w:rsidR="00A52042" w:rsidRPr="007E446C">
        <w:rPr>
          <w:rFonts w:ascii="Calibri" w:hAnsi="Calibri" w:cs="Calibri"/>
          <w:sz w:val="20"/>
          <w:szCs w:val="20"/>
          <w:lang w:val="cs-CZ"/>
        </w:rPr>
        <w:t>četní hodnot</w:t>
      </w:r>
      <w:r w:rsidR="00C9498F" w:rsidRPr="007E446C">
        <w:rPr>
          <w:rFonts w:ascii="Calibri" w:hAnsi="Calibri" w:cs="Calibri"/>
          <w:sz w:val="20"/>
          <w:szCs w:val="20"/>
          <w:lang w:val="cs-CZ"/>
        </w:rPr>
        <w:t>a</w:t>
      </w:r>
      <w:r w:rsidR="00A52042" w:rsidRPr="007E446C">
        <w:rPr>
          <w:rFonts w:ascii="Calibri" w:hAnsi="Calibri" w:cs="Calibri"/>
          <w:sz w:val="20"/>
          <w:szCs w:val="20"/>
          <w:lang w:val="cs-CZ"/>
        </w:rPr>
        <w:t xml:space="preserve"> majetku </w:t>
      </w:r>
      <w:r w:rsidR="007A0AF0">
        <w:rPr>
          <w:rFonts w:ascii="Calibri" w:hAnsi="Calibri" w:cs="Calibri"/>
          <w:sz w:val="20"/>
          <w:szCs w:val="20"/>
          <w:lang w:val="cs-CZ"/>
        </w:rPr>
        <w:t>je vyjádřena</w:t>
      </w:r>
      <w:r w:rsidR="00A52042" w:rsidRPr="007E446C">
        <w:rPr>
          <w:rFonts w:ascii="Calibri" w:hAnsi="Calibri" w:cs="Calibri"/>
          <w:sz w:val="20"/>
          <w:szCs w:val="20"/>
          <w:lang w:val="cs-CZ"/>
        </w:rPr>
        <w:t xml:space="preserve"> v</w:t>
      </w:r>
      <w:r w:rsidR="00D005DD" w:rsidRPr="007E446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A52042" w:rsidRPr="007E446C">
        <w:rPr>
          <w:rFonts w:ascii="Calibri" w:hAnsi="Calibri" w:cs="Calibri"/>
          <w:sz w:val="20"/>
          <w:szCs w:val="20"/>
          <w:lang w:val="cs-CZ"/>
        </w:rPr>
        <w:t>pořizovacích cenách</w:t>
      </w:r>
      <w:r w:rsidR="007A0AF0">
        <w:rPr>
          <w:rFonts w:ascii="Calibri" w:hAnsi="Calibri" w:cs="Calibri"/>
          <w:sz w:val="20"/>
          <w:szCs w:val="20"/>
          <w:lang w:val="cs-CZ"/>
        </w:rPr>
        <w:t xml:space="preserve"> a</w:t>
      </w:r>
      <w:r w:rsidR="00A52042" w:rsidRPr="007E446C">
        <w:rPr>
          <w:rFonts w:ascii="Calibri" w:hAnsi="Calibri" w:cs="Calibri"/>
          <w:sz w:val="20"/>
          <w:szCs w:val="20"/>
          <w:lang w:val="cs-CZ"/>
        </w:rPr>
        <w:t xml:space="preserve"> je ovlivněn</w:t>
      </w:r>
      <w:r w:rsidR="007A0AF0">
        <w:rPr>
          <w:rFonts w:ascii="Calibri" w:hAnsi="Calibri" w:cs="Calibri"/>
          <w:sz w:val="20"/>
          <w:szCs w:val="20"/>
          <w:lang w:val="cs-CZ"/>
        </w:rPr>
        <w:t>a</w:t>
      </w:r>
      <w:r w:rsidR="00A52042" w:rsidRPr="007E446C">
        <w:rPr>
          <w:rFonts w:ascii="Calibri" w:hAnsi="Calibri" w:cs="Calibri"/>
          <w:sz w:val="20"/>
          <w:szCs w:val="20"/>
          <w:lang w:val="cs-CZ"/>
        </w:rPr>
        <w:t xml:space="preserve"> obdobím pořízení majetku.</w:t>
      </w:r>
    </w:p>
    <w:p w:rsidR="007E446C" w:rsidRPr="00814054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DF6451" w:rsidRDefault="003A4D68" w:rsidP="00DF6451">
      <w:pPr>
        <w:rPr>
          <w:rFonts w:ascii="Calibr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t>3.</w:t>
      </w:r>
      <w:r w:rsidR="007E446C" w:rsidRPr="00DF6451">
        <w:rPr>
          <w:rFonts w:ascii="Calibri" w:hAnsi="Calibri" w:cs="Calibri"/>
          <w:b/>
          <w:lang w:val="cs-CZ"/>
        </w:rPr>
        <w:t xml:space="preserve"> </w:t>
      </w:r>
      <w:r w:rsidRPr="00DF6451">
        <w:rPr>
          <w:rFonts w:ascii="Calibri" w:hAnsi="Calibri" w:cs="Calibri"/>
          <w:b/>
          <w:lang w:val="cs-CZ"/>
        </w:rPr>
        <w:t xml:space="preserve">Náklady a výnosy </w:t>
      </w:r>
      <w:r w:rsidR="0022304C" w:rsidRPr="00DF6451">
        <w:rPr>
          <w:rFonts w:ascii="Calibri" w:hAnsi="Calibri" w:cs="Calibri"/>
          <w:b/>
          <w:lang w:val="cs-CZ"/>
        </w:rPr>
        <w:t>kontrolova</w:t>
      </w:r>
      <w:r w:rsidRPr="00DF6451">
        <w:rPr>
          <w:rFonts w:ascii="Calibri" w:hAnsi="Calibri" w:cs="Calibri"/>
          <w:b/>
          <w:lang w:val="cs-CZ"/>
        </w:rPr>
        <w:t>ných krajských ředitelství policie</w:t>
      </w:r>
    </w:p>
    <w:p w:rsidR="007E446C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Default="003A4D68" w:rsidP="007E446C">
      <w:pPr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Celkové náklady </w:t>
      </w:r>
      <w:r w:rsidR="001C733A">
        <w:rPr>
          <w:rFonts w:ascii="Calibri" w:hAnsi="Calibri" w:cs="Calibri"/>
          <w:color w:val="000000"/>
          <w:lang w:val="cs-CZ"/>
        </w:rPr>
        <w:t>kontrolova</w:t>
      </w:r>
      <w:r>
        <w:rPr>
          <w:rFonts w:ascii="Calibri" w:hAnsi="Calibri" w:cs="Calibri"/>
          <w:color w:val="000000"/>
          <w:lang w:val="cs-CZ"/>
        </w:rPr>
        <w:t xml:space="preserve">ných krajských ředitelství policie </w:t>
      </w:r>
      <w:r w:rsidR="00592E89">
        <w:rPr>
          <w:rFonts w:ascii="Calibri" w:hAnsi="Calibri" w:cs="Calibri"/>
          <w:color w:val="000000"/>
          <w:lang w:val="cs-CZ"/>
        </w:rPr>
        <w:t>v letech</w:t>
      </w:r>
      <w:r>
        <w:rPr>
          <w:rFonts w:ascii="Calibri" w:hAnsi="Calibri" w:cs="Calibri"/>
          <w:color w:val="000000"/>
          <w:lang w:val="cs-CZ"/>
        </w:rPr>
        <w:t xml:space="preserve"> 2012 až 2014 dosáhly výše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37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498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887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tis.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Kč. Největší podíl na celkových nákladech </w:t>
      </w:r>
      <w:r w:rsidR="007A0AF0">
        <w:rPr>
          <w:rFonts w:ascii="Calibri" w:hAnsi="Calibri" w:cs="Calibri"/>
          <w:color w:val="000000"/>
          <w:lang w:val="cs-CZ"/>
        </w:rPr>
        <w:t>měly</w:t>
      </w:r>
      <w:r>
        <w:rPr>
          <w:rFonts w:ascii="Calibri" w:hAnsi="Calibri" w:cs="Calibri"/>
          <w:color w:val="000000"/>
          <w:lang w:val="cs-CZ"/>
        </w:rPr>
        <w:t xml:space="preserve"> v</w:t>
      </w:r>
      <w:r w:rsidR="00592E89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 xml:space="preserve">kontrolovaném období </w:t>
      </w:r>
      <w:r w:rsidRPr="00B70D8B">
        <w:rPr>
          <w:rFonts w:ascii="Calibri" w:hAnsi="Calibri" w:cs="Calibri"/>
          <w:color w:val="000000"/>
          <w:lang w:val="cs-CZ"/>
        </w:rPr>
        <w:t>mzdové</w:t>
      </w:r>
      <w:r w:rsidR="00B70D8B" w:rsidRPr="00B70D8B">
        <w:rPr>
          <w:rFonts w:ascii="Calibri" w:hAnsi="Calibri" w:cs="Calibri"/>
          <w:color w:val="000000"/>
          <w:lang w:val="cs-CZ"/>
        </w:rPr>
        <w:t xml:space="preserve"> náklady</w:t>
      </w:r>
      <w:r w:rsidR="000812E1">
        <w:rPr>
          <w:rFonts w:ascii="Calibri" w:hAnsi="Calibri" w:cs="Calibri"/>
          <w:color w:val="000000"/>
          <w:lang w:val="cs-CZ"/>
        </w:rPr>
        <w:t>,</w:t>
      </w:r>
      <w:r w:rsidRPr="00B70D8B">
        <w:rPr>
          <w:rFonts w:ascii="Calibri" w:hAnsi="Calibri" w:cs="Calibri"/>
          <w:color w:val="000000"/>
          <w:lang w:val="cs-CZ"/>
        </w:rPr>
        <w:t xml:space="preserve"> sociální náklady</w:t>
      </w:r>
      <w:r w:rsidR="00B70D8B" w:rsidRPr="00B70D8B">
        <w:rPr>
          <w:rFonts w:ascii="Calibri" w:hAnsi="Calibri" w:cs="Calibri"/>
          <w:color w:val="000000"/>
          <w:lang w:val="cs-CZ"/>
        </w:rPr>
        <w:t xml:space="preserve"> a pojištění</w:t>
      </w:r>
      <w:r>
        <w:rPr>
          <w:rFonts w:ascii="Calibri" w:hAnsi="Calibri" w:cs="Calibri"/>
          <w:color w:val="000000"/>
          <w:lang w:val="cs-CZ"/>
        </w:rPr>
        <w:t xml:space="preserve">, </w:t>
      </w:r>
      <w:r w:rsidR="007A0AF0">
        <w:rPr>
          <w:rFonts w:ascii="Calibri" w:hAnsi="Calibri" w:cs="Calibri"/>
          <w:color w:val="000000"/>
          <w:lang w:val="cs-CZ"/>
        </w:rPr>
        <w:t>dohromady</w:t>
      </w:r>
      <w:r w:rsidR="009C257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tvořily více než 80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% z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>celkových nákladů.</w:t>
      </w:r>
      <w:r w:rsidRPr="00262AAF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Celkové výnosy</w:t>
      </w:r>
      <w:r w:rsidRPr="00262AAF">
        <w:rPr>
          <w:rFonts w:ascii="Calibri" w:hAnsi="Calibri" w:cs="Calibri"/>
          <w:color w:val="000000"/>
          <w:lang w:val="cs-CZ"/>
        </w:rPr>
        <w:t xml:space="preserve"> </w:t>
      </w:r>
      <w:r w:rsidR="001C733A">
        <w:rPr>
          <w:rFonts w:ascii="Calibri" w:hAnsi="Calibri" w:cs="Calibri"/>
          <w:color w:val="000000"/>
          <w:lang w:val="cs-CZ"/>
        </w:rPr>
        <w:t>kontrolovan</w:t>
      </w:r>
      <w:r>
        <w:rPr>
          <w:rFonts w:ascii="Calibri" w:hAnsi="Calibri" w:cs="Calibri"/>
          <w:color w:val="000000"/>
          <w:lang w:val="cs-CZ"/>
        </w:rPr>
        <w:t>ých krajských ř</w:t>
      </w:r>
      <w:r w:rsidR="001C733A">
        <w:rPr>
          <w:rFonts w:ascii="Calibri" w:hAnsi="Calibri" w:cs="Calibri"/>
          <w:color w:val="000000"/>
          <w:lang w:val="cs-CZ"/>
        </w:rPr>
        <w:t xml:space="preserve">editelství policie </w:t>
      </w:r>
      <w:r w:rsidR="00592E89">
        <w:rPr>
          <w:rFonts w:ascii="Calibri" w:hAnsi="Calibri" w:cs="Calibri"/>
          <w:color w:val="000000"/>
          <w:lang w:val="cs-CZ"/>
        </w:rPr>
        <w:t>v letech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2012 až 2014 dosáhly výše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6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697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631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tis.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Kč. </w:t>
      </w:r>
      <w:r w:rsidR="00582137">
        <w:rPr>
          <w:rFonts w:ascii="Calibri" w:hAnsi="Calibri" w:cs="Calibri"/>
          <w:color w:val="000000"/>
          <w:lang w:val="cs-CZ"/>
        </w:rPr>
        <w:t>Téměř 90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582137">
        <w:rPr>
          <w:rFonts w:ascii="Calibri" w:hAnsi="Calibri" w:cs="Calibri"/>
          <w:color w:val="000000"/>
          <w:lang w:val="cs-CZ"/>
        </w:rPr>
        <w:t>% celkových výnosů v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582137">
        <w:rPr>
          <w:rFonts w:ascii="Calibri" w:hAnsi="Calibri" w:cs="Calibri"/>
          <w:color w:val="000000"/>
          <w:lang w:val="cs-CZ"/>
        </w:rPr>
        <w:t xml:space="preserve">kontrolovaném období tvořily výnosy ze sociálního pojištění. </w:t>
      </w:r>
      <w:r w:rsidR="00592E89">
        <w:rPr>
          <w:rFonts w:ascii="Calibri" w:hAnsi="Calibri" w:cs="Calibri"/>
          <w:color w:val="000000"/>
          <w:lang w:val="cs-CZ"/>
        </w:rPr>
        <w:t>Přehled o </w:t>
      </w:r>
      <w:r>
        <w:rPr>
          <w:rFonts w:ascii="Calibri" w:hAnsi="Calibri" w:cs="Calibri"/>
          <w:color w:val="000000"/>
          <w:lang w:val="cs-CZ"/>
        </w:rPr>
        <w:t xml:space="preserve">výši celkových nákladů, celkových výnosů a </w:t>
      </w:r>
      <w:r w:rsidR="007A0AF0">
        <w:rPr>
          <w:rFonts w:ascii="Calibri" w:hAnsi="Calibri" w:cs="Calibri"/>
          <w:color w:val="000000"/>
          <w:lang w:val="cs-CZ"/>
        </w:rPr>
        <w:t xml:space="preserve">přehled </w:t>
      </w:r>
      <w:r>
        <w:rPr>
          <w:rFonts w:ascii="Calibri" w:hAnsi="Calibri" w:cs="Calibri"/>
          <w:color w:val="000000"/>
          <w:lang w:val="cs-CZ"/>
        </w:rPr>
        <w:t xml:space="preserve">výsledků hospodaření </w:t>
      </w:r>
      <w:r w:rsidR="001C733A">
        <w:rPr>
          <w:rFonts w:ascii="Calibri" w:hAnsi="Calibri" w:cs="Calibri"/>
          <w:color w:val="000000"/>
          <w:lang w:val="cs-CZ"/>
        </w:rPr>
        <w:t>kontrolova</w:t>
      </w:r>
      <w:r>
        <w:rPr>
          <w:rFonts w:ascii="Calibri" w:hAnsi="Calibri" w:cs="Calibri"/>
          <w:color w:val="000000"/>
          <w:lang w:val="cs-CZ"/>
        </w:rPr>
        <w:t xml:space="preserve">ných krajských ředitelství policie za období 2012 až 2014 </w:t>
      </w:r>
      <w:r w:rsidR="00FC2F79">
        <w:rPr>
          <w:rFonts w:ascii="Calibri" w:hAnsi="Calibri" w:cs="Calibri"/>
          <w:color w:val="000000"/>
          <w:lang w:val="cs-CZ"/>
        </w:rPr>
        <w:t>poskytuje</w:t>
      </w:r>
      <w:r>
        <w:rPr>
          <w:rFonts w:ascii="Calibri" w:hAnsi="Calibri" w:cs="Calibri"/>
          <w:color w:val="000000"/>
          <w:lang w:val="cs-CZ"/>
        </w:rPr>
        <w:t xml:space="preserve"> tabu</w:t>
      </w:r>
      <w:r w:rsidR="00FC2F79">
        <w:rPr>
          <w:rFonts w:ascii="Calibri" w:hAnsi="Calibri" w:cs="Calibri"/>
          <w:color w:val="000000"/>
          <w:lang w:val="cs-CZ"/>
        </w:rPr>
        <w:t>lka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FC2F79">
        <w:rPr>
          <w:rFonts w:ascii="Calibri" w:hAnsi="Calibri" w:cs="Calibri"/>
          <w:color w:val="000000"/>
          <w:lang w:val="cs-CZ"/>
        </w:rPr>
        <w:t>č.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FC2F79">
        <w:rPr>
          <w:rFonts w:ascii="Calibri" w:hAnsi="Calibri" w:cs="Calibri"/>
          <w:color w:val="000000"/>
          <w:lang w:val="cs-CZ"/>
        </w:rPr>
        <w:t>3. Podrobnější přehled o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výši nákladů, výnosů a</w:t>
      </w:r>
      <w:r w:rsidR="00AC2364">
        <w:rPr>
          <w:rFonts w:ascii="Calibri" w:hAnsi="Calibri" w:cs="Calibri"/>
          <w:color w:val="000000"/>
          <w:lang w:val="cs-CZ"/>
        </w:rPr>
        <w:t> </w:t>
      </w:r>
      <w:r w:rsidR="007A0AF0">
        <w:rPr>
          <w:rFonts w:ascii="Calibri" w:hAnsi="Calibri" w:cs="Calibri"/>
          <w:color w:val="000000"/>
          <w:lang w:val="cs-CZ"/>
        </w:rPr>
        <w:t xml:space="preserve">přehled </w:t>
      </w:r>
      <w:r>
        <w:rPr>
          <w:rFonts w:ascii="Calibri" w:hAnsi="Calibri" w:cs="Calibri"/>
          <w:color w:val="000000"/>
          <w:lang w:val="cs-CZ"/>
        </w:rPr>
        <w:t xml:space="preserve">výsledků hospodaření </w:t>
      </w:r>
      <w:r w:rsidR="001C733A">
        <w:rPr>
          <w:rFonts w:ascii="Calibri" w:hAnsi="Calibri" w:cs="Calibri"/>
          <w:color w:val="000000"/>
          <w:lang w:val="cs-CZ"/>
        </w:rPr>
        <w:t>kontrolova</w:t>
      </w:r>
      <w:r>
        <w:rPr>
          <w:rFonts w:ascii="Calibri" w:hAnsi="Calibri" w:cs="Calibri"/>
          <w:color w:val="000000"/>
          <w:lang w:val="cs-CZ"/>
        </w:rPr>
        <w:t>ných krajských ředitelství policie podáv</w:t>
      </w:r>
      <w:r w:rsidR="007A0AF0">
        <w:rPr>
          <w:rFonts w:ascii="Calibri" w:hAnsi="Calibri" w:cs="Calibri"/>
          <w:color w:val="000000"/>
          <w:lang w:val="cs-CZ"/>
        </w:rPr>
        <w:t>ají</w:t>
      </w:r>
      <w:r>
        <w:rPr>
          <w:rFonts w:ascii="Calibri" w:hAnsi="Calibri" w:cs="Calibri"/>
          <w:color w:val="000000"/>
          <w:lang w:val="cs-CZ"/>
        </w:rPr>
        <w:t xml:space="preserve"> tabulk</w:t>
      </w:r>
      <w:r w:rsidR="007A0AF0">
        <w:rPr>
          <w:rFonts w:ascii="Calibri" w:hAnsi="Calibri" w:cs="Calibri"/>
          <w:color w:val="000000"/>
          <w:lang w:val="cs-CZ"/>
        </w:rPr>
        <w:t>y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="008D5502" w:rsidRPr="00741916">
        <w:rPr>
          <w:rFonts w:ascii="Calibri" w:hAnsi="Calibri" w:cs="Calibri"/>
          <w:lang w:val="cs-CZ"/>
        </w:rPr>
        <w:t>D</w:t>
      </w:r>
      <w:r w:rsidR="00A26F23">
        <w:rPr>
          <w:rFonts w:ascii="Calibri" w:hAnsi="Calibri" w:cs="Calibri"/>
          <w:lang w:val="cs-CZ"/>
        </w:rPr>
        <w:t xml:space="preserve">, E a F </w:t>
      </w:r>
      <w:r>
        <w:rPr>
          <w:rFonts w:ascii="Calibri" w:hAnsi="Calibri" w:cs="Calibri"/>
          <w:color w:val="000000"/>
          <w:lang w:val="cs-CZ"/>
        </w:rPr>
        <w:t>v</w:t>
      </w:r>
      <w:r w:rsidR="00AC2364">
        <w:rPr>
          <w:rFonts w:ascii="Calibri" w:hAnsi="Calibri" w:cs="Calibri"/>
          <w:color w:val="000000"/>
          <w:lang w:val="cs-CZ"/>
        </w:rPr>
        <w:t> </w:t>
      </w:r>
      <w:r>
        <w:rPr>
          <w:rFonts w:ascii="Calibri" w:hAnsi="Calibri" w:cs="Calibri"/>
          <w:color w:val="000000"/>
          <w:lang w:val="cs-CZ"/>
        </w:rPr>
        <w:t xml:space="preserve">příloze </w:t>
      </w:r>
      <w:r w:rsidR="007A0AF0">
        <w:rPr>
          <w:rFonts w:ascii="Calibri" w:hAnsi="Calibri" w:cs="Calibri"/>
          <w:color w:val="000000"/>
          <w:lang w:val="cs-CZ"/>
        </w:rPr>
        <w:t xml:space="preserve">tohoto </w:t>
      </w:r>
      <w:r>
        <w:rPr>
          <w:rFonts w:ascii="Calibri" w:hAnsi="Calibri" w:cs="Calibri"/>
          <w:color w:val="000000"/>
          <w:lang w:val="cs-CZ"/>
        </w:rPr>
        <w:t>kontrolního závěru.</w:t>
      </w:r>
    </w:p>
    <w:p w:rsidR="007E446C" w:rsidRPr="008C742E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E03860" w:rsidRDefault="003A4D68" w:rsidP="000D434D">
      <w:pPr>
        <w:tabs>
          <w:tab w:val="right" w:pos="9072"/>
        </w:tabs>
        <w:spacing w:after="40"/>
        <w:ind w:left="1446" w:hanging="1446"/>
        <w:rPr>
          <w:rFonts w:ascii="Calibri" w:hAnsi="Calibri" w:cs="Calibri"/>
          <w:b/>
          <w:lang w:val="cs-CZ"/>
        </w:rPr>
      </w:pPr>
      <w:r w:rsidRPr="007E446C">
        <w:rPr>
          <w:rFonts w:ascii="Calibri" w:hAnsi="Calibri" w:cs="Calibri"/>
          <w:b/>
          <w:lang w:val="cs-CZ"/>
        </w:rPr>
        <w:t>Tabulka</w:t>
      </w:r>
      <w:r w:rsidR="00D005DD" w:rsidRPr="007E446C">
        <w:rPr>
          <w:rFonts w:ascii="Calibri" w:hAnsi="Calibri" w:cs="Calibri"/>
          <w:b/>
          <w:lang w:val="cs-CZ"/>
        </w:rPr>
        <w:t xml:space="preserve"> </w:t>
      </w:r>
      <w:r w:rsidRPr="007E446C">
        <w:rPr>
          <w:rFonts w:ascii="Calibri" w:hAnsi="Calibri" w:cs="Calibri"/>
          <w:b/>
          <w:lang w:val="cs-CZ"/>
        </w:rPr>
        <w:t>č.</w:t>
      </w:r>
      <w:r w:rsidR="00D005DD" w:rsidRPr="007E446C">
        <w:rPr>
          <w:rFonts w:ascii="Calibri" w:hAnsi="Calibri" w:cs="Calibri"/>
          <w:b/>
          <w:lang w:val="cs-CZ"/>
        </w:rPr>
        <w:t xml:space="preserve"> </w:t>
      </w:r>
      <w:r w:rsidRPr="007E446C">
        <w:rPr>
          <w:rFonts w:ascii="Calibri" w:hAnsi="Calibri" w:cs="Calibri"/>
          <w:b/>
          <w:lang w:val="cs-CZ"/>
        </w:rPr>
        <w:t>3</w:t>
      </w:r>
      <w:r w:rsidR="000D434D">
        <w:rPr>
          <w:rFonts w:ascii="Calibri" w:hAnsi="Calibri" w:cs="Calibri"/>
          <w:b/>
          <w:lang w:val="cs-CZ"/>
        </w:rPr>
        <w:t xml:space="preserve"> –</w:t>
      </w:r>
      <w:r w:rsidRPr="007E446C">
        <w:rPr>
          <w:rFonts w:ascii="Calibri" w:hAnsi="Calibri" w:cs="Calibri"/>
          <w:b/>
          <w:lang w:val="cs-CZ"/>
        </w:rPr>
        <w:t xml:space="preserve"> </w:t>
      </w:r>
      <w:r w:rsidRPr="00E03860">
        <w:rPr>
          <w:rFonts w:ascii="Calibri" w:hAnsi="Calibri" w:cs="Calibri"/>
          <w:b/>
          <w:lang w:val="cs-CZ"/>
        </w:rPr>
        <w:t xml:space="preserve">Výše celkových nákladů, výnosů a výsledků hospodaření </w:t>
      </w:r>
      <w:r w:rsidR="00AB1165" w:rsidRPr="00E03860">
        <w:rPr>
          <w:rFonts w:ascii="Calibri" w:hAnsi="Calibri" w:cs="Calibri"/>
          <w:b/>
          <w:lang w:val="cs-CZ"/>
        </w:rPr>
        <w:t>kontrolova</w:t>
      </w:r>
      <w:r w:rsidR="00273F2B" w:rsidRPr="00E03860">
        <w:rPr>
          <w:rFonts w:ascii="Calibri" w:hAnsi="Calibri" w:cs="Calibri"/>
          <w:b/>
          <w:lang w:val="cs-CZ"/>
        </w:rPr>
        <w:t>ných KŘP</w:t>
      </w:r>
      <w:r w:rsidR="007E446C" w:rsidRPr="00E03860">
        <w:rPr>
          <w:rFonts w:ascii="Calibri" w:hAnsi="Calibri" w:cs="Calibri"/>
          <w:b/>
          <w:lang w:val="cs-CZ"/>
        </w:rPr>
        <w:tab/>
      </w:r>
      <w:r w:rsidR="009E043F" w:rsidRPr="00E03860">
        <w:rPr>
          <w:rFonts w:ascii="Calibri" w:hAnsi="Calibri" w:cs="Calibri"/>
          <w:b/>
          <w:lang w:val="cs-CZ"/>
        </w:rPr>
        <w:t>(</w:t>
      </w:r>
      <w:r w:rsidRPr="00E03860">
        <w:rPr>
          <w:rFonts w:ascii="Calibri" w:hAnsi="Calibri" w:cs="Calibri"/>
          <w:b/>
          <w:lang w:val="cs-CZ"/>
        </w:rPr>
        <w:t>v Kč</w:t>
      </w:r>
      <w:r w:rsidR="009E043F" w:rsidRPr="00E03860">
        <w:rPr>
          <w:rFonts w:ascii="Calibri" w:hAnsi="Calibri" w:cs="Calibri"/>
          <w:b/>
          <w:lang w:val="cs-CZ"/>
        </w:rPr>
        <w:t>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7"/>
        <w:gridCol w:w="1418"/>
        <w:gridCol w:w="1417"/>
        <w:gridCol w:w="1418"/>
      </w:tblGrid>
      <w:tr w:rsidR="003A4D68" w:rsidRPr="00996E72" w:rsidTr="004D32FC">
        <w:trPr>
          <w:trHeight w:val="283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996E72" w:rsidRDefault="003A4D68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7087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A4D68" w:rsidRPr="00996E72" w:rsidRDefault="003A4D68" w:rsidP="00013802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Roky </w:t>
            </w:r>
            <w:r w:rsidRPr="00996E7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2012</w:t>
            </w:r>
            <w:r w:rsidR="0001380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–</w:t>
            </w:r>
            <w:r w:rsidRPr="00996E7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2014</w:t>
            </w:r>
          </w:p>
        </w:tc>
      </w:tr>
      <w:tr w:rsidR="003A4D68" w:rsidRPr="00996E72" w:rsidTr="004D32FC">
        <w:trPr>
          <w:trHeight w:val="283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996E72" w:rsidRDefault="003A4D68" w:rsidP="00432875">
            <w:pPr>
              <w:keepNext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Praha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Ostrava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Č. Budějovice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Ústí n. 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H. Králové</w:t>
            </w:r>
          </w:p>
        </w:tc>
      </w:tr>
      <w:tr w:rsidR="003A4D68" w:rsidRPr="00996E72" w:rsidTr="004D32FC">
        <w:trPr>
          <w:trHeight w:val="283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68" w:rsidRPr="00BF0661" w:rsidRDefault="00273F2B" w:rsidP="00432875">
            <w:pPr>
              <w:keepNext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Náklady celkem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ind w:left="-7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13 927 306 087,33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8 010 388 016,02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4 970 971 790,28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6 767 021 401,96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3 823 199 351,13</w:t>
            </w:r>
          </w:p>
        </w:tc>
      </w:tr>
      <w:tr w:rsidR="003A4D68" w:rsidRPr="00996E72" w:rsidTr="004D32FC">
        <w:trPr>
          <w:trHeight w:val="283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D68" w:rsidRPr="00BF0661" w:rsidRDefault="00273F2B" w:rsidP="00432875">
            <w:pPr>
              <w:keepNext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Výnosy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ind w:left="-7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2 498 707 229,38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1 448 943 258,67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846 116 478,09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1 243 959 932,63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A4D68" w:rsidRPr="002B3380" w:rsidRDefault="003A4D68" w:rsidP="00602C52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 w:rsidRPr="002B338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659 903 895,21</w:t>
            </w:r>
          </w:p>
        </w:tc>
      </w:tr>
      <w:tr w:rsidR="00A613E4" w:rsidRPr="00996E72" w:rsidTr="004D32FC">
        <w:trPr>
          <w:trHeight w:val="283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13E4" w:rsidRPr="00996E72" w:rsidRDefault="00273F2B" w:rsidP="00432875">
            <w:pPr>
              <w:keepNext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Výsledek hospodaření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3E4" w:rsidRPr="002B3380" w:rsidRDefault="007C4A31" w:rsidP="00602C52">
            <w:pPr>
              <w:keepNext/>
              <w:ind w:left="-7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A613E4" w:rsidRPr="002B338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11 428 598 857,95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3E4" w:rsidRPr="002B3380" w:rsidRDefault="007C4A31" w:rsidP="007C4A31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A613E4" w:rsidRPr="002B338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6 561 444 757,35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3E4" w:rsidRPr="002B3380" w:rsidRDefault="007C4A31" w:rsidP="007C4A31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A613E4" w:rsidRPr="002B338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4 124 855 312,19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3E4" w:rsidRPr="002B3380" w:rsidRDefault="007C4A31" w:rsidP="007C4A31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A613E4" w:rsidRPr="002B338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5 523 061 469,33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613E4" w:rsidRPr="002B3380" w:rsidRDefault="007C4A31" w:rsidP="007C4A31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A613E4" w:rsidRPr="002B338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3 163 295 455,92</w:t>
            </w:r>
          </w:p>
        </w:tc>
      </w:tr>
      <w:tr w:rsidR="00A613E4" w:rsidRPr="00996E72" w:rsidTr="00A613E4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3E4" w:rsidRPr="00E03860" w:rsidRDefault="00A613E4" w:rsidP="00432875">
            <w:pPr>
              <w:keepNext/>
              <w:rPr>
                <w:rFonts w:asciiTheme="minorHAnsi" w:hAnsiTheme="minorHAnsi" w:cstheme="minorHAnsi"/>
                <w:bCs/>
                <w:sz w:val="14"/>
                <w:szCs w:val="14"/>
                <w:lang w:val="cs-CZ"/>
              </w:rPr>
            </w:pPr>
            <w:r w:rsidRPr="00E03860">
              <w:rPr>
                <w:rFonts w:asciiTheme="minorHAnsi" w:hAnsiTheme="minorHAnsi" w:cstheme="minorHAnsi"/>
                <w:bCs/>
                <w:sz w:val="14"/>
                <w:szCs w:val="14"/>
                <w:lang w:val="cs-CZ"/>
              </w:rPr>
              <w:t xml:space="preserve">Podíl výnosů na nákladech </w:t>
            </w:r>
            <w:r w:rsidR="00602C52">
              <w:rPr>
                <w:rFonts w:asciiTheme="minorHAnsi" w:hAnsiTheme="minorHAnsi" w:cstheme="minorHAnsi"/>
                <w:bCs/>
                <w:sz w:val="14"/>
                <w:szCs w:val="14"/>
                <w:lang w:val="cs-CZ"/>
              </w:rPr>
              <w:t>(</w:t>
            </w:r>
            <w:r w:rsidRPr="00E03860">
              <w:rPr>
                <w:rFonts w:asciiTheme="minorHAnsi" w:hAnsiTheme="minorHAnsi" w:cstheme="minorHAnsi"/>
                <w:bCs/>
                <w:sz w:val="14"/>
                <w:szCs w:val="14"/>
                <w:lang w:val="cs-CZ"/>
              </w:rPr>
              <w:t>v %</w:t>
            </w:r>
            <w:r w:rsidR="00602C52">
              <w:rPr>
                <w:rFonts w:asciiTheme="minorHAnsi" w:hAnsiTheme="minorHAnsi" w:cstheme="minorHAnsi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13E4" w:rsidRPr="00E03860" w:rsidRDefault="00A613E4" w:rsidP="00602C52">
            <w:pPr>
              <w:keepNext/>
              <w:ind w:left="-70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03860">
              <w:rPr>
                <w:rFonts w:asciiTheme="minorHAnsi" w:hAnsiTheme="minorHAnsi" w:cstheme="minorHAnsi"/>
                <w:bCs/>
                <w:sz w:val="16"/>
                <w:szCs w:val="16"/>
              </w:rPr>
              <w:t>17,94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13E4" w:rsidRPr="00E03860" w:rsidRDefault="00A613E4" w:rsidP="00602C52">
            <w:pPr>
              <w:keepNext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03860">
              <w:rPr>
                <w:rFonts w:asciiTheme="minorHAnsi" w:hAnsiTheme="minorHAnsi" w:cstheme="minorHAnsi"/>
                <w:bCs/>
                <w:sz w:val="16"/>
                <w:szCs w:val="16"/>
              </w:rPr>
              <w:t>18,09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13E4" w:rsidRPr="00E03860" w:rsidRDefault="00A613E4" w:rsidP="00602C52">
            <w:pPr>
              <w:keepNext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03860">
              <w:rPr>
                <w:rFonts w:asciiTheme="minorHAnsi" w:hAnsiTheme="minorHAnsi" w:cstheme="minorHAnsi"/>
                <w:bCs/>
                <w:sz w:val="16"/>
                <w:szCs w:val="16"/>
              </w:rPr>
              <w:t>17,02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13E4" w:rsidRPr="00E03860" w:rsidRDefault="00A613E4" w:rsidP="00602C52">
            <w:pPr>
              <w:keepNext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03860">
              <w:rPr>
                <w:rFonts w:asciiTheme="minorHAnsi" w:hAnsiTheme="minorHAnsi" w:cstheme="minorHAnsi"/>
                <w:bCs/>
                <w:sz w:val="16"/>
                <w:szCs w:val="16"/>
              </w:rPr>
              <w:t>18,38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613E4" w:rsidRPr="00E03860" w:rsidRDefault="00A613E4" w:rsidP="00602C52">
            <w:pPr>
              <w:keepNext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03860">
              <w:rPr>
                <w:rFonts w:asciiTheme="minorHAnsi" w:hAnsiTheme="minorHAnsi" w:cstheme="minorHAnsi"/>
                <w:bCs/>
                <w:sz w:val="16"/>
                <w:szCs w:val="16"/>
              </w:rPr>
              <w:t>17,26</w:t>
            </w:r>
          </w:p>
        </w:tc>
      </w:tr>
    </w:tbl>
    <w:p w:rsidR="003A4D68" w:rsidRPr="007E446C" w:rsidRDefault="007E446C" w:rsidP="007E446C">
      <w:pPr>
        <w:spacing w:before="40"/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E03860">
        <w:rPr>
          <w:rFonts w:ascii="Calibri" w:hAnsi="Calibri" w:cs="Calibri"/>
          <w:b/>
          <w:sz w:val="20"/>
          <w:szCs w:val="20"/>
          <w:lang w:val="cs-CZ"/>
        </w:rPr>
        <w:t>Zdroj:</w:t>
      </w:r>
      <w:r>
        <w:rPr>
          <w:rFonts w:ascii="Calibri" w:hAnsi="Calibri" w:cs="Calibri"/>
          <w:sz w:val="20"/>
          <w:szCs w:val="20"/>
          <w:lang w:val="cs-CZ"/>
        </w:rPr>
        <w:tab/>
      </w:r>
      <w:r w:rsidR="00592E89">
        <w:rPr>
          <w:rFonts w:ascii="Calibri" w:hAnsi="Calibri" w:cs="Calibri"/>
          <w:sz w:val="20"/>
          <w:szCs w:val="20"/>
          <w:lang w:val="cs-CZ"/>
        </w:rPr>
        <w:t>ú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 xml:space="preserve">četní závěrky </w:t>
      </w:r>
      <w:r w:rsidR="00AB1165" w:rsidRPr="007E446C">
        <w:rPr>
          <w:rFonts w:ascii="Calibri" w:hAnsi="Calibri" w:cs="Calibri"/>
          <w:sz w:val="20"/>
          <w:szCs w:val="20"/>
          <w:lang w:val="cs-CZ"/>
        </w:rPr>
        <w:t>kontrolova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>ných KŘP sestavené k</w:t>
      </w:r>
      <w:r w:rsidR="00D005DD" w:rsidRPr="007E446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>31.</w:t>
      </w:r>
      <w:r w:rsidR="00D005DD" w:rsidRPr="007E446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>12.</w:t>
      </w:r>
      <w:r w:rsidR="00D005DD" w:rsidRPr="007E446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3A4D68" w:rsidRPr="007E446C">
        <w:rPr>
          <w:rFonts w:ascii="Calibri" w:hAnsi="Calibri" w:cs="Calibri"/>
          <w:sz w:val="20"/>
          <w:szCs w:val="20"/>
          <w:lang w:val="cs-CZ"/>
        </w:rPr>
        <w:t>2012, 2013 a 2014.</w:t>
      </w:r>
    </w:p>
    <w:p w:rsidR="007E446C" w:rsidRPr="00814054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3A4D68" w:rsidRPr="00DF6451" w:rsidRDefault="003A4D68" w:rsidP="00DF6451">
      <w:pPr>
        <w:rPr>
          <w:rFonts w:ascii="Calibri" w:eastAsiaTheme="minorHAnsi" w:hAnsi="Calibri" w:cs="Calibri"/>
          <w:b/>
          <w:lang w:val="cs-CZ"/>
        </w:rPr>
      </w:pPr>
      <w:r w:rsidRPr="00DF6451">
        <w:rPr>
          <w:rFonts w:ascii="Calibri" w:eastAsiaTheme="minorHAnsi" w:hAnsi="Calibri" w:cs="Calibri"/>
          <w:b/>
          <w:lang w:val="cs-CZ"/>
        </w:rPr>
        <w:lastRenderedPageBreak/>
        <w:t>4.</w:t>
      </w:r>
      <w:r w:rsidR="007E446C" w:rsidRPr="00DF6451">
        <w:rPr>
          <w:rFonts w:ascii="Calibri" w:eastAsiaTheme="minorHAns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 xml:space="preserve">Některé </w:t>
      </w:r>
      <w:r w:rsidRPr="00DF6451">
        <w:rPr>
          <w:rFonts w:ascii="Calibri" w:hAnsi="Calibri" w:cs="Calibri"/>
          <w:b/>
          <w:lang w:val="cs-CZ"/>
        </w:rPr>
        <w:t>ukazatele</w:t>
      </w:r>
      <w:r w:rsidRPr="00DF6451">
        <w:rPr>
          <w:rFonts w:ascii="Calibri" w:eastAsiaTheme="minorHAnsi" w:hAnsi="Calibri" w:cs="Calibri"/>
          <w:b/>
          <w:lang w:val="cs-CZ"/>
        </w:rPr>
        <w:t xml:space="preserve"> vážící se k</w:t>
      </w:r>
      <w:r w:rsidR="00D005DD" w:rsidRPr="00DF6451">
        <w:rPr>
          <w:rFonts w:ascii="Calibri" w:eastAsiaTheme="minorHAns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 xml:space="preserve">činnosti </w:t>
      </w:r>
      <w:r w:rsidR="00EE5F05" w:rsidRPr="00DF6451">
        <w:rPr>
          <w:rFonts w:ascii="Calibri" w:eastAsiaTheme="minorHAnsi" w:hAnsi="Calibri" w:cs="Calibri"/>
          <w:b/>
          <w:lang w:val="cs-CZ"/>
        </w:rPr>
        <w:t>kontrolovan</w:t>
      </w:r>
      <w:r w:rsidRPr="00DF6451">
        <w:rPr>
          <w:rFonts w:ascii="Calibri" w:eastAsiaTheme="minorHAnsi" w:hAnsi="Calibri" w:cs="Calibri"/>
          <w:b/>
          <w:lang w:val="cs-CZ"/>
        </w:rPr>
        <w:t>ých krajských ředitelství policie</w:t>
      </w:r>
    </w:p>
    <w:p w:rsidR="007E446C" w:rsidRDefault="007E446C" w:rsidP="007E446C">
      <w:pPr>
        <w:jc w:val="both"/>
        <w:rPr>
          <w:rFonts w:asciiTheme="minorHAnsi" w:eastAsiaTheme="minorHAnsi" w:hAnsiTheme="minorHAnsi" w:cstheme="minorBidi"/>
          <w:lang w:val="cs-CZ"/>
        </w:rPr>
      </w:pPr>
    </w:p>
    <w:p w:rsidR="003A4D68" w:rsidRDefault="003A4D68" w:rsidP="007E446C">
      <w:pPr>
        <w:jc w:val="both"/>
        <w:rPr>
          <w:rFonts w:asciiTheme="minorHAnsi" w:eastAsiaTheme="minorHAnsi" w:hAnsiTheme="minorHAnsi" w:cstheme="minorBidi"/>
          <w:lang w:val="cs-CZ"/>
        </w:rPr>
      </w:pPr>
      <w:r w:rsidRPr="007E446C">
        <w:rPr>
          <w:rFonts w:asciiTheme="minorHAnsi" w:eastAsiaTheme="minorHAnsi" w:hAnsiTheme="minorHAnsi" w:cstheme="minorBidi"/>
          <w:lang w:val="cs-CZ"/>
        </w:rPr>
        <w:t>V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 xml:space="preserve">kontrolovaném období let 2012 až 2014 evidovala </w:t>
      </w:r>
      <w:r w:rsidR="001C733A" w:rsidRPr="007E446C">
        <w:rPr>
          <w:rFonts w:asciiTheme="minorHAnsi" w:eastAsiaTheme="minorHAnsi" w:hAnsiTheme="minorHAnsi" w:cstheme="minorBidi"/>
          <w:lang w:val="cs-CZ"/>
        </w:rPr>
        <w:t>kontrolova</w:t>
      </w:r>
      <w:r w:rsidRPr="007E446C">
        <w:rPr>
          <w:rFonts w:asciiTheme="minorHAnsi" w:eastAsiaTheme="minorHAnsi" w:hAnsiTheme="minorHAnsi" w:cstheme="minorBidi"/>
          <w:lang w:val="cs-CZ"/>
        </w:rPr>
        <w:t>ná kra</w:t>
      </w:r>
      <w:r w:rsidR="00C14087" w:rsidRPr="007E446C">
        <w:rPr>
          <w:rFonts w:asciiTheme="minorHAnsi" w:eastAsiaTheme="minorHAnsi" w:hAnsiTheme="minorHAnsi" w:cstheme="minorBidi"/>
          <w:lang w:val="cs-CZ"/>
        </w:rPr>
        <w:t>jská ředitelství policie celkem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>505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 xml:space="preserve">549 trestných činů, přičemž </w:t>
      </w:r>
      <w:r w:rsidR="000D0C4F" w:rsidRPr="007E446C">
        <w:rPr>
          <w:rFonts w:asciiTheme="minorHAnsi" w:eastAsiaTheme="minorHAnsi" w:hAnsiTheme="minorHAnsi" w:cstheme="minorBidi"/>
          <w:lang w:val="cs-CZ"/>
        </w:rPr>
        <w:t xml:space="preserve">objasněno </w:t>
      </w:r>
      <w:r w:rsidR="00EE5F05" w:rsidRPr="007E446C">
        <w:rPr>
          <w:rFonts w:asciiTheme="minorHAnsi" w:eastAsiaTheme="minorHAnsi" w:hAnsiTheme="minorHAnsi" w:cstheme="minorBidi"/>
          <w:lang w:val="cs-CZ"/>
        </w:rPr>
        <w:t xml:space="preserve">bylo </w:t>
      </w:r>
      <w:r w:rsidRPr="007E446C">
        <w:rPr>
          <w:rFonts w:asciiTheme="minorHAnsi" w:eastAsiaTheme="minorHAnsi" w:hAnsiTheme="minorHAnsi" w:cstheme="minorBidi"/>
          <w:lang w:val="cs-CZ"/>
        </w:rPr>
        <w:t>celkem</w:t>
      </w:r>
      <w:r w:rsidRPr="007E446C">
        <w:rPr>
          <w:rFonts w:ascii="Calibri" w:eastAsiaTheme="minorHAnsi" w:hAnsi="Calibri" w:cs="Calibri"/>
          <w:color w:val="000000"/>
          <w:lang w:val="cs-CZ"/>
        </w:rPr>
        <w:t xml:space="preserve"> </w:t>
      </w:r>
      <w:r w:rsidR="00C14087" w:rsidRPr="007E446C">
        <w:rPr>
          <w:rFonts w:asciiTheme="minorHAnsi" w:eastAsiaTheme="minorHAnsi" w:hAnsiTheme="minorHAnsi" w:cstheme="minorBidi"/>
          <w:lang w:val="cs-CZ"/>
        </w:rPr>
        <w:t>182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="00C14087" w:rsidRPr="007E446C">
        <w:rPr>
          <w:rFonts w:asciiTheme="minorHAnsi" w:eastAsiaTheme="minorHAnsi" w:hAnsiTheme="minorHAnsi" w:cstheme="minorBidi"/>
          <w:lang w:val="cs-CZ"/>
        </w:rPr>
        <w:t xml:space="preserve">196 trestných činů, </w:t>
      </w:r>
      <w:r w:rsidR="000D0C4F">
        <w:rPr>
          <w:rFonts w:asciiTheme="minorHAnsi" w:eastAsiaTheme="minorHAnsi" w:hAnsiTheme="minorHAnsi" w:cstheme="minorBidi"/>
          <w:lang w:val="cs-CZ"/>
        </w:rPr>
        <w:t xml:space="preserve">a tedy </w:t>
      </w:r>
      <w:r w:rsidRPr="007E446C">
        <w:rPr>
          <w:rFonts w:asciiTheme="minorHAnsi" w:eastAsiaTheme="minorHAnsi" w:hAnsiTheme="minorHAnsi" w:cstheme="minorBidi"/>
          <w:lang w:val="cs-CZ"/>
        </w:rPr>
        <w:t xml:space="preserve">objasněnost trestných činů činila </w:t>
      </w:r>
      <w:r w:rsidR="001C733A" w:rsidRPr="007E446C">
        <w:rPr>
          <w:rFonts w:asciiTheme="minorHAnsi" w:eastAsiaTheme="minorHAnsi" w:hAnsiTheme="minorHAnsi" w:cstheme="minorBidi"/>
          <w:lang w:val="cs-CZ"/>
        </w:rPr>
        <w:t>v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="001C733A" w:rsidRPr="007E446C">
        <w:rPr>
          <w:rFonts w:asciiTheme="minorHAnsi" w:eastAsiaTheme="minorHAnsi" w:hAnsiTheme="minorHAnsi" w:cstheme="minorBidi"/>
          <w:lang w:val="cs-CZ"/>
        </w:rPr>
        <w:t>průměru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="00EE5F05" w:rsidRPr="007E446C">
        <w:rPr>
          <w:rFonts w:asciiTheme="minorHAnsi" w:eastAsiaTheme="minorHAnsi" w:hAnsiTheme="minorHAnsi" w:cstheme="minorBidi"/>
          <w:lang w:val="cs-CZ"/>
        </w:rPr>
        <w:t>36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 xml:space="preserve">%. Počet dopravních nehod evidovaných </w:t>
      </w:r>
      <w:r w:rsidR="001C733A" w:rsidRPr="007E446C">
        <w:rPr>
          <w:rFonts w:asciiTheme="minorHAnsi" w:eastAsiaTheme="minorHAnsi" w:hAnsiTheme="minorHAnsi" w:cstheme="minorBidi"/>
          <w:lang w:val="cs-CZ"/>
        </w:rPr>
        <w:t>kontrolova</w:t>
      </w:r>
      <w:r w:rsidRPr="007E446C">
        <w:rPr>
          <w:rFonts w:asciiTheme="minorHAnsi" w:eastAsiaTheme="minorHAnsi" w:hAnsiTheme="minorHAnsi" w:cstheme="minorBidi"/>
          <w:lang w:val="cs-CZ"/>
        </w:rPr>
        <w:t xml:space="preserve">nými krajskými ředitelstvími policie </w:t>
      </w:r>
      <w:r w:rsidR="00592E89">
        <w:rPr>
          <w:rFonts w:asciiTheme="minorHAnsi" w:eastAsiaTheme="minorHAnsi" w:hAnsiTheme="minorHAnsi" w:cstheme="minorBidi"/>
          <w:lang w:val="cs-CZ"/>
        </w:rPr>
        <w:t>v letech</w:t>
      </w:r>
      <w:r w:rsidRPr="007E446C">
        <w:rPr>
          <w:rFonts w:asciiTheme="minorHAnsi" w:eastAsiaTheme="minorHAnsi" w:hAnsiTheme="minorHAnsi" w:cstheme="minorBidi"/>
          <w:lang w:val="cs-CZ"/>
        </w:rPr>
        <w:t xml:space="preserve"> 2012 až 2014 činil celkem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>127</w:t>
      </w:r>
      <w:r w:rsidR="00AC2364" w:rsidRPr="007E446C">
        <w:rPr>
          <w:rFonts w:asciiTheme="minorHAnsi" w:eastAsiaTheme="minorHAnsi" w:hAnsiTheme="minorHAnsi" w:cstheme="minorBidi"/>
          <w:lang w:val="cs-CZ"/>
        </w:rPr>
        <w:t> </w:t>
      </w:r>
      <w:r w:rsidRPr="007E446C">
        <w:rPr>
          <w:rFonts w:asciiTheme="minorHAnsi" w:eastAsiaTheme="minorHAnsi" w:hAnsiTheme="minorHAnsi" w:cstheme="minorBidi"/>
          <w:lang w:val="cs-CZ"/>
        </w:rPr>
        <w:t>813, počet evidovaných dopravních přestupků v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>uvedeném období činil celkem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>737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>640. Přehled o počtu trestných činů, objasněných tre</w:t>
      </w:r>
      <w:r w:rsidR="00C14087" w:rsidRPr="007E446C">
        <w:rPr>
          <w:rFonts w:asciiTheme="minorHAnsi" w:eastAsiaTheme="minorHAnsi" w:hAnsiTheme="minorHAnsi" w:cstheme="minorBidi"/>
          <w:lang w:val="cs-CZ"/>
        </w:rPr>
        <w:t>stných činů, dopravních nehod a</w:t>
      </w:r>
      <w:r w:rsidR="00D745F6">
        <w:rPr>
          <w:rFonts w:asciiTheme="minorHAnsi" w:eastAsiaTheme="minorHAnsi" w:hAnsiTheme="minorHAnsi" w:cstheme="minorBidi"/>
          <w:lang w:val="cs-CZ"/>
        </w:rPr>
        <w:t> </w:t>
      </w:r>
      <w:r w:rsidRPr="007E446C">
        <w:rPr>
          <w:rFonts w:asciiTheme="minorHAnsi" w:eastAsiaTheme="minorHAnsi" w:hAnsiTheme="minorHAnsi" w:cstheme="minorBidi"/>
          <w:lang w:val="cs-CZ"/>
        </w:rPr>
        <w:t xml:space="preserve">dopravních přestupků evidovaných </w:t>
      </w:r>
      <w:r w:rsidR="00592E89">
        <w:rPr>
          <w:rFonts w:asciiTheme="minorHAnsi" w:eastAsiaTheme="minorHAnsi" w:hAnsiTheme="minorHAnsi" w:cstheme="minorBidi"/>
          <w:lang w:val="cs-CZ"/>
        </w:rPr>
        <w:t>v letech</w:t>
      </w:r>
      <w:r w:rsidRPr="007E446C">
        <w:rPr>
          <w:rFonts w:asciiTheme="minorHAnsi" w:eastAsiaTheme="minorHAnsi" w:hAnsiTheme="minorHAnsi" w:cstheme="minorBidi"/>
          <w:lang w:val="cs-CZ"/>
        </w:rPr>
        <w:t xml:space="preserve"> 2012 až 2014 </w:t>
      </w:r>
      <w:r w:rsidR="001C733A" w:rsidRPr="007E446C">
        <w:rPr>
          <w:rFonts w:asciiTheme="minorHAnsi" w:eastAsiaTheme="minorHAnsi" w:hAnsiTheme="minorHAnsi" w:cstheme="minorBidi"/>
          <w:lang w:val="cs-CZ"/>
        </w:rPr>
        <w:t>kontrolova</w:t>
      </w:r>
      <w:r w:rsidRPr="007E446C">
        <w:rPr>
          <w:rFonts w:asciiTheme="minorHAnsi" w:eastAsiaTheme="minorHAnsi" w:hAnsiTheme="minorHAnsi" w:cstheme="minorBidi"/>
          <w:lang w:val="cs-CZ"/>
        </w:rPr>
        <w:t xml:space="preserve">nými krajskými ředitelstvími policie </w:t>
      </w:r>
      <w:r w:rsidR="00FC2F79" w:rsidRPr="007E446C">
        <w:rPr>
          <w:rFonts w:asciiTheme="minorHAnsi" w:eastAsiaTheme="minorHAnsi" w:hAnsiTheme="minorHAnsi" w:cstheme="minorBidi"/>
          <w:lang w:val="cs-CZ"/>
        </w:rPr>
        <w:t>poskytuje</w:t>
      </w:r>
      <w:r w:rsidRPr="007E446C">
        <w:rPr>
          <w:rFonts w:asciiTheme="minorHAnsi" w:eastAsiaTheme="minorHAnsi" w:hAnsiTheme="minorHAnsi" w:cstheme="minorBidi"/>
          <w:lang w:val="cs-CZ"/>
        </w:rPr>
        <w:t xml:space="preserve"> tabulka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>č.</w:t>
      </w:r>
      <w:r w:rsidR="00D005DD" w:rsidRPr="007E446C">
        <w:rPr>
          <w:rFonts w:asciiTheme="minorHAnsi" w:eastAsiaTheme="minorHAnsi" w:hAnsiTheme="minorHAnsi" w:cstheme="minorBidi"/>
          <w:lang w:val="cs-CZ"/>
        </w:rPr>
        <w:t xml:space="preserve"> </w:t>
      </w:r>
      <w:r w:rsidRPr="007E446C">
        <w:rPr>
          <w:rFonts w:asciiTheme="minorHAnsi" w:eastAsiaTheme="minorHAnsi" w:hAnsiTheme="minorHAnsi" w:cstheme="minorBidi"/>
          <w:lang w:val="cs-CZ"/>
        </w:rPr>
        <w:t>4.</w:t>
      </w:r>
    </w:p>
    <w:p w:rsidR="007E446C" w:rsidRPr="007E446C" w:rsidRDefault="007E446C" w:rsidP="007E446C">
      <w:pPr>
        <w:jc w:val="both"/>
        <w:rPr>
          <w:rFonts w:asciiTheme="minorHAnsi" w:eastAsiaTheme="minorHAnsi" w:hAnsiTheme="minorHAnsi" w:cstheme="minorBidi"/>
          <w:lang w:val="cs-CZ"/>
        </w:rPr>
      </w:pPr>
    </w:p>
    <w:p w:rsidR="003A4D68" w:rsidRPr="00592E89" w:rsidRDefault="003A4D68" w:rsidP="007E446C">
      <w:pPr>
        <w:spacing w:after="40"/>
        <w:rPr>
          <w:rFonts w:ascii="Calibri" w:eastAsiaTheme="minorHAnsi" w:hAnsi="Calibri" w:cs="Calibri"/>
          <w:b/>
          <w:lang w:val="cs-CZ"/>
        </w:rPr>
      </w:pPr>
      <w:r w:rsidRPr="007E446C">
        <w:rPr>
          <w:rFonts w:ascii="Calibri" w:eastAsiaTheme="minorHAnsi" w:hAnsi="Calibri" w:cs="Calibri"/>
          <w:b/>
          <w:lang w:val="cs-CZ"/>
        </w:rPr>
        <w:t>Tabulka</w:t>
      </w:r>
      <w:r w:rsidR="00D005DD" w:rsidRPr="007E446C">
        <w:rPr>
          <w:rFonts w:ascii="Calibri" w:eastAsiaTheme="minorHAnsi" w:hAnsi="Calibri" w:cs="Calibri"/>
          <w:b/>
          <w:lang w:val="cs-CZ"/>
        </w:rPr>
        <w:t xml:space="preserve"> </w:t>
      </w:r>
      <w:r w:rsidRPr="007E446C">
        <w:rPr>
          <w:rFonts w:ascii="Calibri" w:eastAsiaTheme="minorHAnsi" w:hAnsi="Calibri" w:cs="Calibri"/>
          <w:b/>
          <w:lang w:val="cs-CZ"/>
        </w:rPr>
        <w:t>č.</w:t>
      </w:r>
      <w:r w:rsidR="00D005DD" w:rsidRPr="007E446C">
        <w:rPr>
          <w:rFonts w:ascii="Calibri" w:eastAsiaTheme="minorHAnsi" w:hAnsi="Calibri" w:cs="Calibri"/>
          <w:b/>
          <w:lang w:val="cs-CZ"/>
        </w:rPr>
        <w:t xml:space="preserve"> </w:t>
      </w:r>
      <w:r w:rsidRPr="007E446C">
        <w:rPr>
          <w:rFonts w:ascii="Calibri" w:eastAsiaTheme="minorHAnsi" w:hAnsi="Calibri" w:cs="Calibri"/>
          <w:b/>
          <w:lang w:val="cs-CZ"/>
        </w:rPr>
        <w:t>4</w:t>
      </w:r>
      <w:r w:rsidR="00592E89">
        <w:rPr>
          <w:rFonts w:ascii="Calibri" w:eastAsiaTheme="minorHAnsi" w:hAnsi="Calibri" w:cs="Calibri"/>
          <w:b/>
          <w:lang w:val="cs-CZ"/>
        </w:rPr>
        <w:t xml:space="preserve"> –</w:t>
      </w:r>
      <w:r w:rsidRPr="007E446C">
        <w:rPr>
          <w:rFonts w:ascii="Calibri" w:eastAsiaTheme="minorHAnsi" w:hAnsi="Calibri" w:cs="Calibri"/>
          <w:b/>
          <w:lang w:val="cs-CZ"/>
        </w:rPr>
        <w:t xml:space="preserve"> </w:t>
      </w:r>
      <w:r w:rsidRPr="00E03860">
        <w:rPr>
          <w:rFonts w:ascii="Calibri" w:eastAsiaTheme="minorHAnsi" w:hAnsi="Calibri" w:cs="Calibri"/>
          <w:b/>
          <w:lang w:val="cs-CZ"/>
        </w:rPr>
        <w:t>Některé ukazatele vážící se k</w:t>
      </w:r>
      <w:r w:rsidR="00D005DD" w:rsidRPr="00E03860">
        <w:rPr>
          <w:rFonts w:ascii="Calibri" w:eastAsiaTheme="minorHAnsi" w:hAnsi="Calibri" w:cs="Calibri"/>
          <w:b/>
          <w:lang w:val="cs-CZ"/>
        </w:rPr>
        <w:t xml:space="preserve"> </w:t>
      </w:r>
      <w:r w:rsidRPr="00E03860">
        <w:rPr>
          <w:rFonts w:ascii="Calibri" w:eastAsiaTheme="minorHAnsi" w:hAnsi="Calibri" w:cs="Calibri"/>
          <w:b/>
          <w:lang w:val="cs-CZ"/>
        </w:rPr>
        <w:t xml:space="preserve">činnosti </w:t>
      </w:r>
      <w:r w:rsidR="001C733A" w:rsidRPr="00E03860">
        <w:rPr>
          <w:rFonts w:ascii="Calibri" w:eastAsiaTheme="minorHAnsi" w:hAnsi="Calibri" w:cs="Calibri"/>
          <w:b/>
          <w:lang w:val="cs-CZ"/>
        </w:rPr>
        <w:t>kontrolova</w:t>
      </w:r>
      <w:r w:rsidRPr="00E03860">
        <w:rPr>
          <w:rFonts w:ascii="Calibri" w:eastAsiaTheme="minorHAnsi" w:hAnsi="Calibri" w:cs="Calibri"/>
          <w:b/>
          <w:lang w:val="cs-CZ"/>
        </w:rPr>
        <w:t>ných KŘP</w:t>
      </w:r>
    </w:p>
    <w:tbl>
      <w:tblPr>
        <w:tblW w:w="907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332"/>
        <w:gridCol w:w="1332"/>
        <w:gridCol w:w="1447"/>
        <w:gridCol w:w="1218"/>
        <w:gridCol w:w="1333"/>
      </w:tblGrid>
      <w:tr w:rsidR="003A4D68" w:rsidRPr="000512BA" w:rsidTr="004D32FC">
        <w:trPr>
          <w:trHeight w:val="283"/>
        </w:trPr>
        <w:tc>
          <w:tcPr>
            <w:tcW w:w="2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Ukazatel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0512BA" w:rsidRDefault="003A4D68" w:rsidP="00013802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Roky 2012</w:t>
            </w:r>
            <w:r w:rsidR="00013802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–</w:t>
            </w:r>
            <w:r w:rsidRPr="000512BA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</w:tr>
      <w:tr w:rsidR="003A4D68" w:rsidRPr="000512BA" w:rsidTr="00592E89">
        <w:trPr>
          <w:trHeight w:val="283"/>
        </w:trPr>
        <w:tc>
          <w:tcPr>
            <w:tcW w:w="24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D68" w:rsidRPr="000512BA" w:rsidRDefault="003A4D68" w:rsidP="00432875">
            <w:pPr>
              <w:keepNext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Praha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Ostrava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Č. Budějovice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Ústí n. L.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H. Králové</w:t>
            </w:r>
          </w:p>
        </w:tc>
      </w:tr>
      <w:tr w:rsidR="003A4D68" w:rsidRPr="000512BA" w:rsidTr="00592E89">
        <w:trPr>
          <w:trHeight w:val="283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trestných činů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226 178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120 709</w:t>
            </w:r>
          </w:p>
        </w:tc>
        <w:tc>
          <w:tcPr>
            <w:tcW w:w="14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43 707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83 202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31 753</w:t>
            </w:r>
          </w:p>
        </w:tc>
      </w:tr>
      <w:tr w:rsidR="003A4D68" w:rsidRPr="000512BA" w:rsidTr="00592E89">
        <w:trPr>
          <w:trHeight w:val="283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objasněných trestných činů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51 338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48 349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23 844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42 303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16 362</w:t>
            </w:r>
          </w:p>
        </w:tc>
      </w:tr>
      <w:tr w:rsidR="003A4D68" w:rsidRPr="000512BA" w:rsidTr="00592E89">
        <w:trPr>
          <w:trHeight w:val="283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Objasněnost trestných činů 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(</w:t>
            </w:r>
            <w:r w:rsidRPr="00E03860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%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D68" w:rsidRPr="00E03860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</w:t>
            </w:r>
          </w:p>
        </w:tc>
      </w:tr>
      <w:tr w:rsidR="003A4D68" w:rsidRPr="000512BA" w:rsidTr="00592E89">
        <w:trPr>
          <w:trHeight w:val="283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dopravních nehod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55 694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24 750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10 517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24 153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12 699</w:t>
            </w:r>
          </w:p>
        </w:tc>
      </w:tr>
      <w:tr w:rsidR="003A4D68" w:rsidRPr="000512BA" w:rsidTr="00592E89">
        <w:trPr>
          <w:trHeight w:val="283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dopravních přestupků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132 912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236 746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114 526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171 078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4D68" w:rsidRPr="000512BA" w:rsidRDefault="003A4D68" w:rsidP="00432875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512B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82 378</w:t>
            </w:r>
          </w:p>
        </w:tc>
      </w:tr>
    </w:tbl>
    <w:p w:rsidR="003A4D68" w:rsidRPr="007E446C" w:rsidRDefault="003A4D68" w:rsidP="007E446C">
      <w:pPr>
        <w:spacing w:before="40"/>
        <w:rPr>
          <w:rFonts w:ascii="Calibri" w:eastAsiaTheme="minorHAnsi" w:hAnsi="Calibri" w:cs="Calibri"/>
          <w:sz w:val="20"/>
          <w:szCs w:val="20"/>
          <w:lang w:val="cs-CZ"/>
        </w:rPr>
      </w:pPr>
      <w:r w:rsidRPr="00E03860">
        <w:rPr>
          <w:rFonts w:ascii="Calibri" w:eastAsiaTheme="minorHAnsi" w:hAnsi="Calibri" w:cs="Calibri"/>
          <w:b/>
          <w:sz w:val="20"/>
          <w:szCs w:val="20"/>
          <w:lang w:val="cs-CZ"/>
        </w:rPr>
        <w:t>Zdroj:</w:t>
      </w:r>
      <w:r w:rsidRPr="007E446C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592E89">
        <w:rPr>
          <w:rFonts w:ascii="Calibri" w:eastAsiaTheme="minorHAnsi" w:hAnsi="Calibri" w:cs="Calibri"/>
          <w:sz w:val="20"/>
          <w:szCs w:val="20"/>
          <w:lang w:val="cs-CZ"/>
        </w:rPr>
        <w:t>s</w:t>
      </w:r>
      <w:r w:rsidRPr="007E446C">
        <w:rPr>
          <w:rFonts w:ascii="Calibri" w:eastAsiaTheme="minorHAnsi" w:hAnsi="Calibri" w:cs="Calibri"/>
          <w:sz w:val="20"/>
          <w:szCs w:val="20"/>
          <w:lang w:val="cs-CZ"/>
        </w:rPr>
        <w:t>tatistické údaje poskytnuté kontrolovanými KŘP.</w:t>
      </w:r>
    </w:p>
    <w:p w:rsidR="007E446C" w:rsidRDefault="007E446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AB655C" w:rsidRPr="007E446C" w:rsidRDefault="00AB655C" w:rsidP="007E446C">
      <w:pPr>
        <w:jc w:val="both"/>
        <w:rPr>
          <w:rFonts w:ascii="Calibri" w:hAnsi="Calibri" w:cs="Calibri"/>
          <w:color w:val="000000"/>
          <w:lang w:val="cs-CZ"/>
        </w:rPr>
      </w:pPr>
    </w:p>
    <w:p w:rsidR="00B83183" w:rsidRPr="00DF6451" w:rsidRDefault="00AB655C" w:rsidP="00DF6451">
      <w:pPr>
        <w:jc w:val="center"/>
        <w:rPr>
          <w:rFonts w:ascii="Calibri" w:hAnsi="Calibri" w:cs="Calibri"/>
          <w:b/>
          <w:bCs/>
          <w:iCs/>
          <w:sz w:val="28"/>
          <w:szCs w:val="28"/>
          <w:lang w:val="cs-CZ"/>
        </w:rPr>
      </w:pPr>
      <w:r w:rsidRPr="00DF6451">
        <w:rPr>
          <w:rFonts w:ascii="Calibri" w:hAnsi="Calibri" w:cs="Calibri"/>
          <w:b/>
          <w:sz w:val="28"/>
          <w:szCs w:val="28"/>
          <w:lang w:val="cs-CZ"/>
        </w:rPr>
        <w:t xml:space="preserve">II. </w:t>
      </w:r>
      <w:r w:rsidR="0018751C" w:rsidRPr="00DF6451">
        <w:rPr>
          <w:rFonts w:ascii="Calibri" w:hAnsi="Calibri" w:cs="Calibri"/>
          <w:b/>
          <w:sz w:val="28"/>
          <w:szCs w:val="28"/>
          <w:lang w:val="cs-CZ"/>
        </w:rPr>
        <w:t>Kontrolovaný m</w:t>
      </w:r>
      <w:r w:rsidR="002E1811" w:rsidRPr="00DF6451">
        <w:rPr>
          <w:rFonts w:ascii="Calibri" w:hAnsi="Calibri" w:cs="Calibri"/>
          <w:b/>
          <w:sz w:val="28"/>
          <w:szCs w:val="28"/>
          <w:lang w:val="cs-CZ"/>
        </w:rPr>
        <w:t>ajetek</w:t>
      </w:r>
      <w:r w:rsidR="0018751C" w:rsidRPr="00DF6451">
        <w:rPr>
          <w:rFonts w:ascii="Calibri" w:hAnsi="Calibri" w:cs="Calibri"/>
          <w:b/>
          <w:sz w:val="28"/>
          <w:szCs w:val="28"/>
          <w:lang w:val="cs-CZ"/>
        </w:rPr>
        <w:t xml:space="preserve"> a peněžní prostředky státu</w:t>
      </w:r>
    </w:p>
    <w:p w:rsidR="00AB655C" w:rsidRDefault="00AB655C" w:rsidP="00AB655C">
      <w:pPr>
        <w:jc w:val="both"/>
        <w:rPr>
          <w:rFonts w:asciiTheme="minorHAnsi" w:hAnsiTheme="minorHAnsi" w:cstheme="minorHAnsi"/>
          <w:bCs/>
          <w:iCs/>
          <w:lang w:val="cs-CZ"/>
        </w:rPr>
      </w:pPr>
    </w:p>
    <w:p w:rsidR="00B83183" w:rsidRDefault="00B83183" w:rsidP="00AB655C">
      <w:pPr>
        <w:jc w:val="both"/>
        <w:rPr>
          <w:rFonts w:asciiTheme="minorHAnsi" w:hAnsiTheme="minorHAnsi" w:cstheme="minorHAnsi"/>
          <w:bCs/>
          <w:iCs/>
          <w:lang w:val="cs-CZ"/>
        </w:rPr>
      </w:pPr>
      <w:r w:rsidRPr="00AB655C">
        <w:rPr>
          <w:rFonts w:asciiTheme="minorHAnsi" w:hAnsiTheme="minorHAnsi" w:cstheme="minorHAnsi"/>
          <w:bCs/>
          <w:iCs/>
          <w:lang w:val="cs-CZ"/>
        </w:rPr>
        <w:t>V rámci kontroly hospodaření s</w:t>
      </w:r>
      <w:r w:rsidR="00D005DD" w:rsidRPr="00AB655C">
        <w:rPr>
          <w:rFonts w:asciiTheme="minorHAnsi" w:hAnsiTheme="minorHAnsi" w:cstheme="minorHAnsi"/>
          <w:bCs/>
          <w:iCs/>
          <w:lang w:val="cs-CZ"/>
        </w:rPr>
        <w:t xml:space="preserve"> </w:t>
      </w:r>
      <w:r w:rsidRPr="00AB655C">
        <w:rPr>
          <w:rFonts w:asciiTheme="minorHAnsi" w:hAnsiTheme="minorHAnsi" w:cstheme="minorHAnsi"/>
          <w:bCs/>
          <w:iCs/>
          <w:lang w:val="cs-CZ"/>
        </w:rPr>
        <w:t xml:space="preserve">majetkem státu bylo </w:t>
      </w:r>
      <w:r w:rsidR="00CC4662" w:rsidRPr="00AB655C">
        <w:rPr>
          <w:rFonts w:asciiTheme="minorHAnsi" w:hAnsiTheme="minorHAnsi" w:cstheme="minorHAnsi"/>
          <w:bCs/>
          <w:iCs/>
          <w:lang w:val="cs-CZ"/>
        </w:rPr>
        <w:t>kontrolo</w:t>
      </w:r>
      <w:r w:rsidRPr="00AB655C">
        <w:rPr>
          <w:rFonts w:asciiTheme="minorHAnsi" w:hAnsiTheme="minorHAnsi" w:cstheme="minorHAnsi"/>
          <w:bCs/>
          <w:iCs/>
          <w:lang w:val="cs-CZ"/>
        </w:rPr>
        <w:t>váno hospodaření s</w:t>
      </w:r>
      <w:r w:rsidR="00D005DD" w:rsidRPr="00AB655C">
        <w:rPr>
          <w:rFonts w:asciiTheme="minorHAnsi" w:hAnsiTheme="minorHAnsi" w:cstheme="minorHAnsi"/>
          <w:bCs/>
          <w:iCs/>
          <w:lang w:val="cs-CZ"/>
        </w:rPr>
        <w:t xml:space="preserve"> </w:t>
      </w:r>
      <w:r w:rsidRPr="00AB655C">
        <w:rPr>
          <w:rFonts w:asciiTheme="minorHAnsi" w:hAnsiTheme="minorHAnsi" w:cstheme="minorHAnsi"/>
          <w:bCs/>
          <w:iCs/>
          <w:lang w:val="cs-CZ"/>
        </w:rPr>
        <w:t>pozemky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>, stavbami,</w:t>
      </w:r>
      <w:r w:rsidR="00D005DD" w:rsidRPr="00AB655C">
        <w:rPr>
          <w:rFonts w:asciiTheme="minorHAnsi" w:hAnsiTheme="minorHAnsi" w:cstheme="minorHAnsi"/>
          <w:bCs/>
          <w:iCs/>
          <w:lang w:val="cs-CZ"/>
        </w:rPr>
        <w:t xml:space="preserve"> 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>osobními motorovými vozidly do 3,5 tuny,</w:t>
      </w:r>
      <w:r w:rsidR="00D005DD" w:rsidRPr="00AB655C">
        <w:rPr>
          <w:rFonts w:asciiTheme="minorHAnsi" w:hAnsiTheme="minorHAnsi" w:cstheme="minorHAnsi"/>
          <w:bCs/>
          <w:iCs/>
          <w:lang w:val="cs-CZ"/>
        </w:rPr>
        <w:t xml:space="preserve"> 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>majetkem ICT,</w:t>
      </w:r>
      <w:r w:rsidR="00D005DD" w:rsidRPr="00AB655C">
        <w:rPr>
          <w:rFonts w:asciiTheme="minorHAnsi" w:hAnsiTheme="minorHAnsi" w:cstheme="minorHAnsi"/>
          <w:bCs/>
          <w:iCs/>
          <w:lang w:val="cs-CZ"/>
        </w:rPr>
        <w:t xml:space="preserve"> 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>služebními zvířaty, ostatními movitými věcmi a s</w:t>
      </w:r>
      <w:r w:rsidR="00D005DD" w:rsidRPr="00AB655C">
        <w:rPr>
          <w:rFonts w:asciiTheme="minorHAnsi" w:hAnsiTheme="minorHAnsi" w:cstheme="minorHAnsi"/>
          <w:bCs/>
          <w:iCs/>
          <w:lang w:val="cs-CZ"/>
        </w:rPr>
        <w:t xml:space="preserve"> 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>drobným dlouhodobým hmotným majetkem. Kontrolována byla evidence a inventarizace tohoto majetku</w:t>
      </w:r>
      <w:r w:rsidRPr="00AB655C">
        <w:rPr>
          <w:rFonts w:asciiTheme="minorHAnsi" w:hAnsiTheme="minorHAnsi" w:cstheme="minorHAnsi"/>
          <w:bCs/>
          <w:iCs/>
          <w:lang w:val="cs-CZ"/>
        </w:rPr>
        <w:t xml:space="preserve">, postup při pořizování a vyřazování 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>majetku</w:t>
      </w:r>
      <w:r w:rsidR="006E0558" w:rsidRPr="00AB655C">
        <w:rPr>
          <w:rFonts w:asciiTheme="minorHAnsi" w:hAnsiTheme="minorHAnsi" w:cstheme="minorHAnsi"/>
          <w:bCs/>
          <w:iCs/>
          <w:lang w:val="cs-CZ"/>
        </w:rPr>
        <w:t>,</w:t>
      </w:r>
      <w:r w:rsidRPr="00AB655C">
        <w:rPr>
          <w:rFonts w:asciiTheme="minorHAnsi" w:hAnsiTheme="minorHAnsi" w:cstheme="minorHAnsi"/>
          <w:bCs/>
          <w:iCs/>
          <w:lang w:val="cs-CZ"/>
        </w:rPr>
        <w:t xml:space="preserve"> nájmy a pronájmy 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>majetku</w:t>
      </w:r>
      <w:r w:rsidRPr="00AB655C">
        <w:rPr>
          <w:rFonts w:asciiTheme="minorHAnsi" w:hAnsiTheme="minorHAnsi" w:cstheme="minorHAnsi"/>
          <w:bCs/>
          <w:iCs/>
          <w:lang w:val="cs-CZ"/>
        </w:rPr>
        <w:t>.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 xml:space="preserve"> Kontrolovány byly i náklady spojené s</w:t>
      </w:r>
      <w:r w:rsidR="00D005DD" w:rsidRPr="00AB655C">
        <w:rPr>
          <w:rFonts w:asciiTheme="minorHAnsi" w:hAnsiTheme="minorHAnsi" w:cstheme="minorHAnsi"/>
          <w:bCs/>
          <w:iCs/>
          <w:lang w:val="cs-CZ"/>
        </w:rPr>
        <w:t xml:space="preserve"> 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>užíváním majetku, hospodárnost a</w:t>
      </w:r>
      <w:r w:rsidR="00D005DD" w:rsidRPr="00AB655C">
        <w:rPr>
          <w:rFonts w:asciiTheme="minorHAnsi" w:hAnsiTheme="minorHAnsi" w:cstheme="minorHAnsi"/>
          <w:bCs/>
          <w:iCs/>
          <w:lang w:val="cs-CZ"/>
        </w:rPr>
        <w:t xml:space="preserve"> </w:t>
      </w:r>
      <w:r w:rsidR="002E1811" w:rsidRPr="00AB655C">
        <w:rPr>
          <w:rFonts w:asciiTheme="minorHAnsi" w:hAnsiTheme="minorHAnsi" w:cstheme="minorHAnsi"/>
          <w:bCs/>
          <w:iCs/>
          <w:lang w:val="cs-CZ"/>
        </w:rPr>
        <w:t>účelnost vynaložení těchto nákladů.</w:t>
      </w:r>
    </w:p>
    <w:p w:rsidR="00AB655C" w:rsidRPr="00AB655C" w:rsidRDefault="00AB655C" w:rsidP="00AB655C">
      <w:pPr>
        <w:jc w:val="both"/>
        <w:rPr>
          <w:rFonts w:asciiTheme="minorHAnsi" w:hAnsiTheme="minorHAnsi" w:cstheme="minorHAnsi"/>
          <w:bCs/>
          <w:iCs/>
          <w:lang w:val="cs-CZ"/>
        </w:rPr>
      </w:pPr>
    </w:p>
    <w:p w:rsidR="002E1811" w:rsidRDefault="0018751C" w:rsidP="00AB655C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  <w:r w:rsidRPr="00AB655C">
        <w:rPr>
          <w:rFonts w:asciiTheme="minorHAnsi" w:eastAsiaTheme="minorHAnsi" w:hAnsiTheme="minorHAnsi" w:cstheme="minorHAnsi"/>
          <w:bCs/>
          <w:iCs/>
          <w:lang w:val="cs-CZ"/>
        </w:rPr>
        <w:t>Přehled o hodnotě kontrolovaného majetku krajských ředitelství policie poskytuje následující tabulka</w:t>
      </w:r>
      <w:r w:rsidR="00D005DD" w:rsidRPr="00AB655C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Pr="00AB655C">
        <w:rPr>
          <w:rFonts w:asciiTheme="minorHAnsi" w:eastAsiaTheme="minorHAnsi" w:hAnsiTheme="minorHAnsi" w:cstheme="minorHAnsi"/>
          <w:bCs/>
          <w:iCs/>
          <w:lang w:val="cs-CZ"/>
        </w:rPr>
        <w:t>č.</w:t>
      </w:r>
      <w:r w:rsidR="00D005DD" w:rsidRPr="00AB655C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Pr="00AB655C">
        <w:rPr>
          <w:rFonts w:asciiTheme="minorHAnsi" w:eastAsiaTheme="minorHAnsi" w:hAnsiTheme="minorHAnsi" w:cstheme="minorHAnsi"/>
          <w:bCs/>
          <w:iCs/>
          <w:lang w:val="cs-CZ"/>
        </w:rPr>
        <w:t>5.</w:t>
      </w:r>
    </w:p>
    <w:p w:rsidR="00DF6451" w:rsidRPr="00AB655C" w:rsidRDefault="00DF6451" w:rsidP="00AB655C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</w:p>
    <w:p w:rsidR="00B83183" w:rsidRPr="00E03860" w:rsidRDefault="00B83183" w:rsidP="00AB655C">
      <w:pPr>
        <w:tabs>
          <w:tab w:val="right" w:pos="9072"/>
        </w:tabs>
        <w:spacing w:after="40"/>
        <w:rPr>
          <w:rFonts w:ascii="Calibri" w:eastAsiaTheme="minorHAnsi" w:hAnsi="Calibri" w:cs="Calibri"/>
          <w:b/>
          <w:bCs/>
          <w:iCs/>
          <w:lang w:val="cs-CZ"/>
        </w:rPr>
      </w:pPr>
      <w:r w:rsidRPr="00AB655C">
        <w:rPr>
          <w:rFonts w:ascii="Calibri" w:eastAsiaTheme="minorHAnsi" w:hAnsi="Calibri" w:cs="Calibri"/>
          <w:b/>
          <w:lang w:val="cs-CZ"/>
        </w:rPr>
        <w:t>Tabulka</w:t>
      </w:r>
      <w:r w:rsidR="00D005DD" w:rsidRPr="00AB655C">
        <w:rPr>
          <w:rFonts w:ascii="Calibri" w:eastAsiaTheme="minorHAnsi" w:hAnsi="Calibri" w:cs="Calibri"/>
          <w:b/>
          <w:lang w:val="cs-CZ"/>
        </w:rPr>
        <w:t xml:space="preserve"> </w:t>
      </w:r>
      <w:r w:rsidRPr="00AB655C">
        <w:rPr>
          <w:rFonts w:ascii="Calibri" w:eastAsiaTheme="minorHAnsi" w:hAnsi="Calibri" w:cs="Calibri"/>
          <w:b/>
          <w:lang w:val="cs-CZ"/>
        </w:rPr>
        <w:t>č.</w:t>
      </w:r>
      <w:r w:rsidR="00D005DD" w:rsidRPr="00AB655C">
        <w:rPr>
          <w:rFonts w:ascii="Calibri" w:eastAsiaTheme="minorHAnsi" w:hAnsi="Calibri" w:cs="Calibri"/>
          <w:b/>
          <w:lang w:val="cs-CZ"/>
        </w:rPr>
        <w:t xml:space="preserve"> </w:t>
      </w:r>
      <w:r w:rsidR="00D73340" w:rsidRPr="00AB655C">
        <w:rPr>
          <w:rFonts w:ascii="Calibri" w:eastAsiaTheme="minorHAnsi" w:hAnsi="Calibri" w:cs="Calibri"/>
          <w:b/>
          <w:lang w:val="cs-CZ"/>
        </w:rPr>
        <w:t>5</w:t>
      </w:r>
      <w:r w:rsidR="00013802">
        <w:rPr>
          <w:rFonts w:ascii="Calibri" w:eastAsiaTheme="minorHAnsi" w:hAnsi="Calibri" w:cs="Calibri"/>
          <w:b/>
          <w:lang w:val="cs-CZ"/>
        </w:rPr>
        <w:t xml:space="preserve"> –</w:t>
      </w:r>
      <w:r w:rsidRPr="00AB655C">
        <w:rPr>
          <w:rFonts w:ascii="Calibri" w:eastAsiaTheme="minorHAnsi" w:hAnsi="Calibri" w:cs="Calibri"/>
          <w:b/>
          <w:lang w:val="cs-CZ"/>
        </w:rPr>
        <w:t xml:space="preserve"> </w:t>
      </w:r>
      <w:r w:rsidRPr="00E03860">
        <w:rPr>
          <w:rFonts w:ascii="Calibri" w:eastAsiaTheme="minorHAnsi" w:hAnsi="Calibri" w:cs="Calibri"/>
          <w:b/>
          <w:lang w:val="cs-CZ"/>
        </w:rPr>
        <w:t xml:space="preserve">Přehled o </w:t>
      </w:r>
      <w:r w:rsidR="0018751C" w:rsidRPr="00E03860">
        <w:rPr>
          <w:rFonts w:ascii="Calibri" w:eastAsiaTheme="minorHAnsi" w:hAnsi="Calibri" w:cs="Calibri"/>
          <w:b/>
          <w:lang w:val="cs-CZ"/>
        </w:rPr>
        <w:t xml:space="preserve">kontrolovaném majetku </w:t>
      </w:r>
      <w:r w:rsidR="00404CA5" w:rsidRPr="00E03860">
        <w:rPr>
          <w:rFonts w:ascii="Calibri" w:eastAsiaTheme="minorHAnsi" w:hAnsi="Calibri" w:cs="Calibri"/>
          <w:b/>
          <w:lang w:val="cs-CZ"/>
        </w:rPr>
        <w:tab/>
        <w:t>(</w:t>
      </w:r>
      <w:r w:rsidR="0018751C" w:rsidRPr="00E03860">
        <w:rPr>
          <w:rFonts w:ascii="Calibri" w:eastAsiaTheme="minorHAnsi" w:hAnsi="Calibri" w:cs="Calibri"/>
          <w:b/>
          <w:lang w:val="cs-CZ"/>
        </w:rPr>
        <w:t>v Kč</w:t>
      </w:r>
      <w:r w:rsidR="00404CA5" w:rsidRPr="00E03860">
        <w:rPr>
          <w:rFonts w:ascii="Calibri" w:eastAsiaTheme="minorHAnsi" w:hAnsi="Calibri" w:cs="Calibri"/>
          <w:b/>
          <w:lang w:val="cs-CZ"/>
        </w:rPr>
        <w:t>)</w:t>
      </w:r>
    </w:p>
    <w:tbl>
      <w:tblPr>
        <w:tblW w:w="916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417"/>
        <w:gridCol w:w="1276"/>
        <w:gridCol w:w="1304"/>
        <w:gridCol w:w="1304"/>
        <w:gridCol w:w="1304"/>
      </w:tblGrid>
      <w:tr w:rsidR="00B83183" w:rsidRPr="00E16558" w:rsidTr="005D4723">
        <w:trPr>
          <w:trHeight w:val="283"/>
        </w:trPr>
        <w:tc>
          <w:tcPr>
            <w:tcW w:w="2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3183" w:rsidRPr="00B83183" w:rsidRDefault="00B83183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B83183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Ukazatel</w:t>
            </w:r>
          </w:p>
        </w:tc>
        <w:tc>
          <w:tcPr>
            <w:tcW w:w="66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3183" w:rsidRPr="00B83183" w:rsidRDefault="00F6552F" w:rsidP="006E0558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CA1C1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Stav (brutto)</w:t>
            </w:r>
            <w:r w:rsidRPr="00CA1C1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 xml:space="preserve"> k</w:t>
            </w:r>
            <w:r w:rsidR="00D005D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CA1C1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>31.</w:t>
            </w:r>
            <w:r w:rsidR="00D005D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CA1C1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>12.</w:t>
            </w:r>
            <w:r w:rsidR="00D005D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CA1C13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</w:tr>
      <w:tr w:rsidR="00B83183" w:rsidRPr="006E0558" w:rsidTr="005D4723">
        <w:trPr>
          <w:trHeight w:val="283"/>
        </w:trPr>
        <w:tc>
          <w:tcPr>
            <w:tcW w:w="25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3183" w:rsidRPr="00B83183" w:rsidRDefault="00B83183" w:rsidP="00432875">
            <w:pPr>
              <w:keepNext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3183" w:rsidRPr="00E03860" w:rsidRDefault="00B83183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Praha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3183" w:rsidRPr="00E03860" w:rsidRDefault="00B83183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Ostrava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3183" w:rsidRPr="00E03860" w:rsidRDefault="00F6552F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5"/>
                <w:szCs w:val="15"/>
                <w:lang w:val="cs-CZ" w:eastAsia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5"/>
                <w:szCs w:val="15"/>
                <w:lang w:val="cs-CZ" w:eastAsia="cs-CZ"/>
              </w:rPr>
              <w:t xml:space="preserve">KŘP Č. </w:t>
            </w:r>
            <w:r w:rsidR="00B83183"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5"/>
                <w:szCs w:val="15"/>
                <w:lang w:val="cs-CZ" w:eastAsia="cs-CZ"/>
              </w:rPr>
              <w:t>Budějovice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3183" w:rsidRPr="00E03860" w:rsidRDefault="00B83183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Ústí n. L.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3183" w:rsidRPr="00E03860" w:rsidRDefault="00B83183" w:rsidP="00432875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H. Králové</w:t>
            </w:r>
          </w:p>
        </w:tc>
      </w:tr>
      <w:tr w:rsidR="00B83183" w:rsidRPr="00B83183" w:rsidTr="005D4723">
        <w:trPr>
          <w:trHeight w:val="283"/>
        </w:trPr>
        <w:tc>
          <w:tcPr>
            <w:tcW w:w="25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83" w:rsidRPr="00B83183" w:rsidRDefault="0018751C" w:rsidP="00432875">
            <w:pPr>
              <w:keepNext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Pozemky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83" w:rsidRPr="00B83183" w:rsidRDefault="00B83183" w:rsidP="005D4723">
            <w:pPr>
              <w:keepNext/>
              <w:ind w:left="-70" w:right="113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B8318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291 710 463,51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83" w:rsidRPr="00B83183" w:rsidRDefault="00B83183" w:rsidP="00432875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B8318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50 645 555,51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83" w:rsidRPr="00B83183" w:rsidRDefault="00B83183" w:rsidP="00432875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B8318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79 537 707,02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83" w:rsidRPr="00B83183" w:rsidRDefault="00B83183" w:rsidP="00432875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B8318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61 971 415,25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3183" w:rsidRPr="00B83183" w:rsidRDefault="00B83183" w:rsidP="00432875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B8318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48 656 301,00   </w:t>
            </w:r>
          </w:p>
        </w:tc>
      </w:tr>
      <w:tr w:rsidR="002E1811" w:rsidRPr="00B83183" w:rsidTr="005D4723">
        <w:trPr>
          <w:trHeight w:val="283"/>
        </w:trPr>
        <w:tc>
          <w:tcPr>
            <w:tcW w:w="2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811" w:rsidRPr="00B83183" w:rsidRDefault="0018751C" w:rsidP="002E1811">
            <w:pPr>
              <w:keepNext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Stavby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811" w:rsidRPr="00973696" w:rsidRDefault="002E1811" w:rsidP="005D4723">
            <w:pPr>
              <w:keepNext/>
              <w:ind w:left="-70" w:right="113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73696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1 468 864 736,66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811" w:rsidRPr="00973696" w:rsidRDefault="002E1811" w:rsidP="002E181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73696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1 339 362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690</w:t>
            </w:r>
            <w:r w:rsidRPr="00973696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77</w:t>
            </w:r>
            <w:r w:rsidRPr="00973696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811" w:rsidRPr="00973696" w:rsidRDefault="002E1811" w:rsidP="002E181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73696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1 582 518 042,97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811" w:rsidRPr="00973696" w:rsidRDefault="002E1811" w:rsidP="002E181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73696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1 151 661 023,10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1811" w:rsidRPr="00973696" w:rsidRDefault="002E1811" w:rsidP="002E181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73696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1 128 027 664,76   </w:t>
            </w:r>
          </w:p>
        </w:tc>
      </w:tr>
      <w:tr w:rsidR="00F6552F" w:rsidRPr="00B83183" w:rsidTr="005D4723">
        <w:trPr>
          <w:trHeight w:val="283"/>
        </w:trPr>
        <w:tc>
          <w:tcPr>
            <w:tcW w:w="2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B83183" w:rsidRDefault="0018751C" w:rsidP="0061079F">
            <w:pPr>
              <w:keepNext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Motorová vozidla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EE09DE" w:rsidRDefault="00F6552F" w:rsidP="005D4723">
            <w:pPr>
              <w:keepNext/>
              <w:ind w:left="-70" w:right="113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683 606 724,11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EE09DE" w:rsidRDefault="00F6552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514 443 894,91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EE09DE" w:rsidRDefault="00F6552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315 579 660,80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EE09DE" w:rsidRDefault="00F6552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404 506 063,84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2F" w:rsidRPr="00EE09DE" w:rsidRDefault="00F6552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199 748 990,72   </w:t>
            </w:r>
          </w:p>
        </w:tc>
      </w:tr>
      <w:tr w:rsidR="00F6552F" w:rsidRPr="00B83183" w:rsidTr="005D4723">
        <w:trPr>
          <w:trHeight w:val="283"/>
        </w:trPr>
        <w:tc>
          <w:tcPr>
            <w:tcW w:w="2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F24CC7" w:rsidRDefault="00F6552F" w:rsidP="0061079F">
            <w:pPr>
              <w:keepNext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Majetek </w:t>
            </w:r>
            <w:r w:rsidR="005D472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 oblasti </w:t>
            </w:r>
            <w:r w:rsidRPr="00F24CC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F24CC7" w:rsidRDefault="00F6552F" w:rsidP="005D4723">
            <w:pPr>
              <w:keepNext/>
              <w:ind w:left="-70" w:right="113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402 734 616,34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F24CC7" w:rsidRDefault="00F6552F" w:rsidP="0061079F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431 067 357,02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F24CC7" w:rsidRDefault="00F6552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407 674 508,74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2F" w:rsidRPr="00F24CC7" w:rsidRDefault="00F6552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426 967 731,49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2F" w:rsidRPr="00F24CC7" w:rsidRDefault="00F6552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341 798 174,69</w:t>
            </w:r>
          </w:p>
        </w:tc>
      </w:tr>
      <w:tr w:rsidR="0061079F" w:rsidRPr="00B83183" w:rsidTr="005D4723">
        <w:trPr>
          <w:trHeight w:val="283"/>
        </w:trPr>
        <w:tc>
          <w:tcPr>
            <w:tcW w:w="2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Zvířata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61079F" w:rsidRDefault="0061079F" w:rsidP="005D4723">
            <w:pPr>
              <w:keepNext/>
              <w:ind w:left="-7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107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2 112 323,00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8006E3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736 000,00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8006E3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406 500,00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8006E3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635 000,00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79F" w:rsidRPr="008006E3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314 000,00   </w:t>
            </w:r>
          </w:p>
        </w:tc>
      </w:tr>
      <w:tr w:rsidR="0061079F" w:rsidRPr="00B83183" w:rsidTr="005D4723">
        <w:trPr>
          <w:trHeight w:val="283"/>
        </w:trPr>
        <w:tc>
          <w:tcPr>
            <w:tcW w:w="2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Ostatní movité věci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5D4723">
            <w:pPr>
              <w:keepNext/>
              <w:ind w:left="-70" w:right="113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222 685 694,59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148 655 000,26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141 297 578,99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141 271 783,35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244 938 690,01   </w:t>
            </w:r>
          </w:p>
        </w:tc>
      </w:tr>
      <w:tr w:rsidR="0061079F" w:rsidRPr="00B83183" w:rsidTr="005D4723">
        <w:trPr>
          <w:trHeight w:val="283"/>
        </w:trPr>
        <w:tc>
          <w:tcPr>
            <w:tcW w:w="2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Drobný dlouhodobý hmotný majetek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5D4723">
            <w:pPr>
              <w:keepNext/>
              <w:ind w:left="-70" w:right="113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965 357 313,42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585 879 252,19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507 797 426,32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22"/>
                <w:lang w:val="cs-CZ" w:eastAsia="cs-CZ"/>
              </w:rPr>
              <w:t xml:space="preserve">535 862 158,56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79F" w:rsidRPr="00F84C9D" w:rsidRDefault="0061079F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359 544 200,52   </w:t>
            </w:r>
          </w:p>
        </w:tc>
      </w:tr>
    </w:tbl>
    <w:p w:rsidR="00B83183" w:rsidRPr="00AB655C" w:rsidRDefault="00AB655C" w:rsidP="00AB655C">
      <w:pPr>
        <w:spacing w:before="40"/>
        <w:ind w:left="567" w:hanging="567"/>
        <w:rPr>
          <w:rFonts w:ascii="Calibri" w:eastAsiaTheme="minorHAnsi" w:hAnsi="Calibri" w:cs="Calibri"/>
          <w:sz w:val="20"/>
          <w:szCs w:val="20"/>
          <w:lang w:val="cs-CZ"/>
        </w:rPr>
      </w:pPr>
      <w:r w:rsidRPr="00E03860">
        <w:rPr>
          <w:rFonts w:ascii="Calibri" w:eastAsiaTheme="minorHAnsi" w:hAnsi="Calibri" w:cs="Calibri"/>
          <w:b/>
          <w:sz w:val="20"/>
          <w:szCs w:val="20"/>
          <w:lang w:val="cs-CZ"/>
        </w:rPr>
        <w:t>Zdroj:</w:t>
      </w:r>
      <w:r>
        <w:rPr>
          <w:rFonts w:ascii="Calibri" w:eastAsiaTheme="minorHAnsi" w:hAnsi="Calibri" w:cs="Calibri"/>
          <w:sz w:val="20"/>
          <w:szCs w:val="20"/>
          <w:lang w:val="cs-CZ"/>
        </w:rPr>
        <w:tab/>
      </w:r>
      <w:r w:rsidR="00013802">
        <w:rPr>
          <w:rFonts w:ascii="Calibri" w:eastAsiaTheme="minorHAnsi" w:hAnsi="Calibri" w:cs="Calibri"/>
          <w:sz w:val="20"/>
          <w:szCs w:val="20"/>
          <w:lang w:val="cs-CZ"/>
        </w:rPr>
        <w:t>k</w:t>
      </w:r>
      <w:r w:rsidR="00E05B7E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nihy analytických účtů </w:t>
      </w:r>
      <w:r w:rsidR="00B83183" w:rsidRPr="00AB655C">
        <w:rPr>
          <w:rFonts w:ascii="Calibri" w:eastAsiaTheme="minorHAnsi" w:hAnsi="Calibri" w:cs="Calibri"/>
          <w:sz w:val="20"/>
          <w:szCs w:val="20"/>
          <w:lang w:val="cs-CZ"/>
        </w:rPr>
        <w:t>kontrolovaných K</w:t>
      </w:r>
      <w:r w:rsidR="00F263DE" w:rsidRPr="00AB655C">
        <w:rPr>
          <w:rFonts w:ascii="Calibri" w:eastAsiaTheme="minorHAnsi" w:hAnsi="Calibri" w:cs="Calibri"/>
          <w:sz w:val="20"/>
          <w:szCs w:val="20"/>
          <w:lang w:val="cs-CZ"/>
        </w:rPr>
        <w:t>ŘP</w:t>
      </w:r>
      <w:r w:rsidR="00E05B7E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 k</w:t>
      </w:r>
      <w:r w:rsidR="00D005DD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E05B7E" w:rsidRPr="00AB655C">
        <w:rPr>
          <w:rFonts w:ascii="Calibri" w:eastAsiaTheme="minorHAnsi" w:hAnsi="Calibri" w:cs="Calibri"/>
          <w:sz w:val="20"/>
          <w:szCs w:val="20"/>
          <w:lang w:val="cs-CZ"/>
        </w:rPr>
        <w:t>31. 12. 2014</w:t>
      </w:r>
      <w:r w:rsidR="00B83183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; </w:t>
      </w:r>
      <w:r w:rsidR="00013802">
        <w:rPr>
          <w:rFonts w:ascii="Calibri" w:eastAsiaTheme="minorHAnsi" w:hAnsi="Calibri" w:cs="Calibri"/>
          <w:sz w:val="20"/>
          <w:szCs w:val="20"/>
          <w:lang w:val="cs-CZ"/>
        </w:rPr>
        <w:t>i</w:t>
      </w:r>
      <w:r w:rsidR="00C9498F" w:rsidRPr="00AB655C">
        <w:rPr>
          <w:rFonts w:ascii="Calibri" w:eastAsiaTheme="minorHAnsi" w:hAnsi="Calibri" w:cs="Calibri"/>
          <w:sz w:val="20"/>
          <w:szCs w:val="20"/>
          <w:lang w:val="cs-CZ"/>
        </w:rPr>
        <w:t>nformační systém e</w:t>
      </w:r>
      <w:r w:rsidR="00B83183" w:rsidRPr="00AB655C">
        <w:rPr>
          <w:rFonts w:ascii="Calibri" w:eastAsiaTheme="minorHAnsi" w:hAnsi="Calibri" w:cs="Calibri"/>
          <w:sz w:val="20"/>
          <w:szCs w:val="20"/>
          <w:lang w:val="cs-CZ"/>
        </w:rPr>
        <w:t>vidence nemovitostí kontrolovaných KŘP.</w:t>
      </w:r>
    </w:p>
    <w:p w:rsidR="0061079F" w:rsidRPr="00AB655C" w:rsidRDefault="00B83183" w:rsidP="00AB655C">
      <w:pPr>
        <w:ind w:left="567" w:hanging="567"/>
        <w:rPr>
          <w:rFonts w:ascii="Calibri" w:eastAsiaTheme="minorHAnsi" w:hAnsi="Calibri" w:cs="Calibri"/>
          <w:sz w:val="20"/>
          <w:szCs w:val="20"/>
          <w:lang w:val="cs-CZ"/>
        </w:rPr>
      </w:pPr>
      <w:r w:rsidRPr="00E03860">
        <w:rPr>
          <w:rFonts w:ascii="Calibri" w:eastAsiaTheme="minorHAnsi" w:hAnsi="Calibri" w:cs="Calibri"/>
          <w:b/>
          <w:sz w:val="20"/>
          <w:szCs w:val="20"/>
          <w:lang w:val="cs-CZ"/>
        </w:rPr>
        <w:lastRenderedPageBreak/>
        <w:t>Pozn.:</w:t>
      </w:r>
      <w:r w:rsidR="00AB655C" w:rsidRPr="00E03860">
        <w:rPr>
          <w:rFonts w:ascii="Calibri" w:eastAsiaTheme="minorHAnsi" w:hAnsi="Calibri" w:cs="Calibri"/>
          <w:b/>
          <w:sz w:val="20"/>
          <w:szCs w:val="20"/>
          <w:lang w:val="cs-CZ"/>
        </w:rPr>
        <w:tab/>
      </w:r>
      <w:r w:rsidR="00C9498F" w:rsidRPr="00AB655C">
        <w:rPr>
          <w:rFonts w:ascii="Calibri" w:eastAsiaTheme="minorHAnsi" w:hAnsi="Calibri" w:cs="Calibri"/>
          <w:sz w:val="20"/>
          <w:szCs w:val="20"/>
          <w:lang w:val="cs-CZ"/>
        </w:rPr>
        <w:t>P</w:t>
      </w:r>
      <w:r w:rsidRPr="00AB655C">
        <w:rPr>
          <w:rFonts w:ascii="Calibri" w:eastAsiaTheme="minorHAnsi" w:hAnsi="Calibri" w:cs="Calibri"/>
          <w:sz w:val="20"/>
          <w:szCs w:val="20"/>
          <w:lang w:val="cs-CZ"/>
        </w:rPr>
        <w:t>oze</w:t>
      </w:r>
      <w:r w:rsidR="002E1811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mky vedené na účtu 031 – </w:t>
      </w:r>
      <w:r w:rsidR="002E1811" w:rsidRPr="00E03860">
        <w:rPr>
          <w:rFonts w:ascii="Calibri" w:eastAsiaTheme="minorHAnsi" w:hAnsi="Calibri" w:cs="Calibri"/>
          <w:i/>
          <w:sz w:val="20"/>
          <w:szCs w:val="20"/>
          <w:lang w:val="cs-CZ"/>
        </w:rPr>
        <w:t>Pozemky</w:t>
      </w:r>
      <w:r w:rsidR="002E1811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, </w:t>
      </w:r>
      <w:r w:rsidR="00F6552F" w:rsidRPr="00AB655C">
        <w:rPr>
          <w:rFonts w:ascii="Calibri" w:eastAsiaTheme="minorHAnsi" w:hAnsi="Calibri" w:cs="Calibri"/>
          <w:sz w:val="20"/>
          <w:szCs w:val="20"/>
          <w:lang w:val="cs-CZ"/>
        </w:rPr>
        <w:t>s</w:t>
      </w:r>
      <w:r w:rsidR="002E1811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tavby vedené na účtu 021 – </w:t>
      </w:r>
      <w:r w:rsidR="002E1811" w:rsidRPr="00E03860">
        <w:rPr>
          <w:rFonts w:ascii="Calibri" w:eastAsiaTheme="minorHAnsi" w:hAnsi="Calibri" w:cs="Calibri"/>
          <w:i/>
          <w:sz w:val="20"/>
          <w:szCs w:val="20"/>
          <w:lang w:val="cs-CZ"/>
        </w:rPr>
        <w:t>Stavb</w:t>
      </w:r>
      <w:r w:rsidR="00F6552F" w:rsidRPr="00E03860">
        <w:rPr>
          <w:rFonts w:ascii="Calibri" w:eastAsiaTheme="minorHAnsi" w:hAnsi="Calibri" w:cs="Calibri"/>
          <w:i/>
          <w:sz w:val="20"/>
          <w:szCs w:val="20"/>
          <w:lang w:val="cs-CZ"/>
        </w:rPr>
        <w:t>y</w:t>
      </w:r>
      <w:r w:rsidR="00F6552F" w:rsidRPr="00AB655C">
        <w:rPr>
          <w:rFonts w:ascii="Calibri" w:eastAsiaTheme="minorHAnsi" w:hAnsi="Calibri" w:cs="Calibri"/>
          <w:sz w:val="20"/>
          <w:szCs w:val="20"/>
          <w:lang w:val="cs-CZ"/>
        </w:rPr>
        <w:t>, v</w:t>
      </w:r>
      <w:r w:rsidR="002E1811" w:rsidRPr="00AB655C">
        <w:rPr>
          <w:rFonts w:ascii="Calibri" w:eastAsiaTheme="minorHAnsi" w:hAnsi="Calibri" w:cs="Calibri"/>
          <w:sz w:val="20"/>
          <w:szCs w:val="20"/>
          <w:lang w:val="cs-CZ"/>
        </w:rPr>
        <w:t>eškerá motorová vozidla (včetně souvisejícího majetku)</w:t>
      </w:r>
      <w:r w:rsidR="00F6552F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, majetek </w:t>
      </w:r>
      <w:r w:rsidR="005D4723">
        <w:rPr>
          <w:rFonts w:ascii="Calibri" w:eastAsiaTheme="minorHAnsi" w:hAnsi="Calibri" w:cs="Calibri"/>
          <w:sz w:val="20"/>
          <w:szCs w:val="20"/>
          <w:lang w:val="cs-CZ"/>
        </w:rPr>
        <w:t xml:space="preserve">z oblasti </w:t>
      </w:r>
      <w:r w:rsidR="00F6552F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ICT vedený na účtu 022 – </w:t>
      </w:r>
      <w:r w:rsidR="00F6552F" w:rsidRPr="00E03860">
        <w:rPr>
          <w:rFonts w:ascii="Calibri" w:eastAsiaTheme="minorHAnsi" w:hAnsi="Calibri" w:cs="Calibri"/>
          <w:i/>
          <w:sz w:val="20"/>
          <w:szCs w:val="20"/>
          <w:lang w:val="cs-CZ"/>
        </w:rPr>
        <w:t>Samostatné movi</w:t>
      </w:r>
      <w:r w:rsidR="0061079F" w:rsidRPr="00E03860">
        <w:rPr>
          <w:rFonts w:ascii="Calibri" w:eastAsiaTheme="minorHAnsi" w:hAnsi="Calibri" w:cs="Calibri"/>
          <w:i/>
          <w:sz w:val="20"/>
          <w:szCs w:val="20"/>
          <w:lang w:val="cs-CZ"/>
        </w:rPr>
        <w:t>té věci a</w:t>
      </w:r>
      <w:r w:rsidR="005D4723">
        <w:rPr>
          <w:rFonts w:ascii="Calibri" w:eastAsiaTheme="minorHAnsi" w:hAnsi="Calibri" w:cs="Calibri"/>
          <w:i/>
          <w:sz w:val="20"/>
          <w:szCs w:val="20"/>
          <w:lang w:val="cs-CZ"/>
        </w:rPr>
        <w:t> </w:t>
      </w:r>
      <w:r w:rsidR="0061079F" w:rsidRPr="00E03860">
        <w:rPr>
          <w:rFonts w:ascii="Calibri" w:eastAsiaTheme="minorHAnsi" w:hAnsi="Calibri" w:cs="Calibri"/>
          <w:i/>
          <w:sz w:val="20"/>
          <w:szCs w:val="20"/>
          <w:lang w:val="cs-CZ"/>
        </w:rPr>
        <w:t>soubory movitých věcí</w:t>
      </w:r>
      <w:r w:rsidR="0061079F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; zvířata vedená na účtu 139 – </w:t>
      </w:r>
      <w:r w:rsidR="0061079F" w:rsidRPr="00E03860">
        <w:rPr>
          <w:rFonts w:ascii="Calibri" w:eastAsiaTheme="minorHAnsi" w:hAnsi="Calibri" w:cs="Calibri"/>
          <w:i/>
          <w:sz w:val="20"/>
          <w:szCs w:val="20"/>
          <w:lang w:val="cs-CZ"/>
        </w:rPr>
        <w:t>Ostatní zásoby – zvířata</w:t>
      </w:r>
      <w:r w:rsidR="0061079F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 (* v případě KŘP Praha včetně účetní hodnoty koní ve výši 1</w:t>
      </w:r>
      <w:r w:rsidR="00D005DD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61079F" w:rsidRPr="00AB655C">
        <w:rPr>
          <w:rFonts w:ascii="Calibri" w:eastAsiaTheme="minorHAnsi" w:hAnsi="Calibri" w:cs="Calibri"/>
          <w:sz w:val="20"/>
          <w:szCs w:val="20"/>
          <w:lang w:val="cs-CZ"/>
        </w:rPr>
        <w:t>494</w:t>
      </w:r>
      <w:r w:rsidR="00D005DD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61079F" w:rsidRPr="00AB655C">
        <w:rPr>
          <w:rFonts w:ascii="Calibri" w:eastAsiaTheme="minorHAnsi" w:hAnsi="Calibri" w:cs="Calibri"/>
          <w:sz w:val="20"/>
          <w:szCs w:val="20"/>
          <w:lang w:val="cs-CZ"/>
        </w:rPr>
        <w:t>230</w:t>
      </w:r>
      <w:r w:rsidR="00D005DD"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61079F" w:rsidRPr="00AB655C">
        <w:rPr>
          <w:rFonts w:ascii="Calibri" w:eastAsiaTheme="minorHAnsi" w:hAnsi="Calibri" w:cs="Calibri"/>
          <w:sz w:val="20"/>
          <w:szCs w:val="20"/>
          <w:lang w:val="cs-CZ"/>
        </w:rPr>
        <w:t>Kč).</w:t>
      </w:r>
    </w:p>
    <w:p w:rsidR="00AB655C" w:rsidRPr="00814054" w:rsidRDefault="00AB655C" w:rsidP="00AB655C">
      <w:pPr>
        <w:jc w:val="both"/>
        <w:rPr>
          <w:rFonts w:ascii="Calibri" w:hAnsi="Calibri" w:cs="Calibri"/>
          <w:color w:val="000000"/>
          <w:lang w:val="cs-CZ"/>
        </w:rPr>
      </w:pPr>
    </w:p>
    <w:p w:rsidR="001F2AA4" w:rsidRDefault="005D4723" w:rsidP="00AB655C">
      <w:pPr>
        <w:jc w:val="both"/>
        <w:rPr>
          <w:rFonts w:asciiTheme="minorHAnsi" w:hAnsiTheme="minorHAnsi" w:cstheme="minorHAnsi"/>
          <w:bCs/>
          <w:iCs/>
          <w:lang w:val="cs-CZ"/>
        </w:rPr>
      </w:pPr>
      <w:r>
        <w:rPr>
          <w:rFonts w:asciiTheme="minorHAnsi" w:hAnsiTheme="minorHAnsi" w:cstheme="minorHAnsi"/>
          <w:bCs/>
          <w:iCs/>
          <w:lang w:val="cs-CZ"/>
        </w:rPr>
        <w:t>Bližší údaje</w:t>
      </w:r>
      <w:r w:rsidR="004628BF">
        <w:rPr>
          <w:rFonts w:asciiTheme="minorHAnsi" w:hAnsiTheme="minorHAnsi" w:cstheme="minorHAnsi"/>
          <w:bCs/>
          <w:iCs/>
          <w:lang w:val="cs-CZ"/>
        </w:rPr>
        <w:t xml:space="preserve"> o </w:t>
      </w:r>
      <w:r w:rsidR="001F2AA4">
        <w:rPr>
          <w:rFonts w:asciiTheme="minorHAnsi" w:hAnsiTheme="minorHAnsi" w:cstheme="minorHAnsi"/>
          <w:bCs/>
          <w:iCs/>
          <w:lang w:val="cs-CZ"/>
        </w:rPr>
        <w:t>osobních motorových vozidl</w:t>
      </w:r>
      <w:r>
        <w:rPr>
          <w:rFonts w:asciiTheme="minorHAnsi" w:hAnsiTheme="minorHAnsi" w:cstheme="minorHAnsi"/>
          <w:bCs/>
          <w:iCs/>
          <w:lang w:val="cs-CZ"/>
        </w:rPr>
        <w:t>ech</w:t>
      </w:r>
      <w:r w:rsidR="001F2AA4">
        <w:rPr>
          <w:rFonts w:asciiTheme="minorHAnsi" w:hAnsiTheme="minorHAnsi" w:cstheme="minorHAnsi"/>
          <w:bCs/>
          <w:iCs/>
          <w:lang w:val="cs-CZ"/>
        </w:rPr>
        <w:t xml:space="preserve"> do 3,5</w:t>
      </w:r>
      <w:r>
        <w:rPr>
          <w:rFonts w:asciiTheme="minorHAnsi" w:hAnsiTheme="minorHAnsi" w:cstheme="minorHAnsi"/>
          <w:bCs/>
          <w:iCs/>
          <w:lang w:val="cs-CZ"/>
        </w:rPr>
        <w:t> </w:t>
      </w:r>
      <w:r w:rsidR="001F2AA4">
        <w:rPr>
          <w:rFonts w:asciiTheme="minorHAnsi" w:hAnsiTheme="minorHAnsi" w:cstheme="minorHAnsi"/>
          <w:bCs/>
          <w:iCs/>
          <w:lang w:val="cs-CZ"/>
        </w:rPr>
        <w:t>tuny</w:t>
      </w:r>
      <w:r w:rsidR="004628BF">
        <w:rPr>
          <w:rFonts w:asciiTheme="minorHAnsi" w:hAnsiTheme="minorHAnsi" w:cstheme="minorHAnsi"/>
          <w:bCs/>
          <w:iCs/>
          <w:lang w:val="cs-CZ"/>
        </w:rPr>
        <w:t>,</w:t>
      </w:r>
      <w:r w:rsidR="004628BF" w:rsidRPr="004628BF">
        <w:rPr>
          <w:rFonts w:asciiTheme="minorHAnsi" w:hAnsiTheme="minorHAnsi" w:cstheme="minorHAnsi"/>
          <w:bCs/>
          <w:iCs/>
          <w:lang w:val="cs-CZ"/>
        </w:rPr>
        <w:t xml:space="preserve"> </w:t>
      </w:r>
      <w:r w:rsidR="004628BF" w:rsidRPr="00F24CC7">
        <w:rPr>
          <w:rFonts w:asciiTheme="minorHAnsi" w:hAnsiTheme="minorHAnsi" w:cstheme="minorHAnsi"/>
          <w:bCs/>
          <w:iCs/>
          <w:lang w:val="cs-CZ"/>
        </w:rPr>
        <w:t>o počtu a hodnotě veřejných zakázek na pořízení ICT</w:t>
      </w:r>
      <w:r w:rsidR="001F2AA4" w:rsidRPr="00F24CC7">
        <w:rPr>
          <w:rFonts w:asciiTheme="minorHAnsi" w:hAnsiTheme="minorHAnsi" w:cstheme="minorHAnsi"/>
          <w:bCs/>
          <w:iCs/>
          <w:lang w:val="cs-CZ"/>
        </w:rPr>
        <w:t xml:space="preserve"> u </w:t>
      </w:r>
      <w:r w:rsidR="001F2AA4">
        <w:rPr>
          <w:rFonts w:asciiTheme="minorHAnsi" w:hAnsiTheme="minorHAnsi" w:cstheme="minorHAnsi"/>
          <w:bCs/>
          <w:iCs/>
          <w:lang w:val="cs-CZ"/>
        </w:rPr>
        <w:t>kontrolovan</w:t>
      </w:r>
      <w:r w:rsidR="001F2AA4" w:rsidRPr="00F24CC7">
        <w:rPr>
          <w:rFonts w:asciiTheme="minorHAnsi" w:hAnsiTheme="minorHAnsi" w:cstheme="minorHAnsi"/>
          <w:bCs/>
          <w:iCs/>
          <w:lang w:val="cs-CZ"/>
        </w:rPr>
        <w:t xml:space="preserve">ých krajských ředitelství policie </w:t>
      </w:r>
      <w:r w:rsidR="001F2AA4">
        <w:rPr>
          <w:rFonts w:asciiTheme="minorHAnsi" w:hAnsiTheme="minorHAnsi" w:cstheme="minorHAnsi"/>
          <w:bCs/>
          <w:iCs/>
          <w:lang w:val="cs-CZ"/>
        </w:rPr>
        <w:t>poskytuj</w:t>
      </w:r>
      <w:r w:rsidR="004628BF">
        <w:rPr>
          <w:rFonts w:asciiTheme="minorHAnsi" w:hAnsiTheme="minorHAnsi" w:cstheme="minorHAnsi"/>
          <w:bCs/>
          <w:iCs/>
          <w:lang w:val="cs-CZ"/>
        </w:rPr>
        <w:t>í</w:t>
      </w:r>
      <w:r w:rsidR="001F2AA4" w:rsidRPr="00F24CC7">
        <w:rPr>
          <w:rFonts w:asciiTheme="minorHAnsi" w:hAnsiTheme="minorHAnsi" w:cstheme="minorHAnsi"/>
          <w:bCs/>
          <w:iCs/>
          <w:lang w:val="cs-CZ"/>
        </w:rPr>
        <w:t xml:space="preserve"> tabulk</w:t>
      </w:r>
      <w:r w:rsidR="004628BF">
        <w:rPr>
          <w:rFonts w:asciiTheme="minorHAnsi" w:hAnsiTheme="minorHAnsi" w:cstheme="minorHAnsi"/>
          <w:bCs/>
          <w:iCs/>
          <w:lang w:val="cs-CZ"/>
        </w:rPr>
        <w:t>y</w:t>
      </w:r>
      <w:r w:rsidR="00D005DD">
        <w:rPr>
          <w:rFonts w:asciiTheme="minorHAnsi" w:hAnsiTheme="minorHAnsi" w:cstheme="minorHAnsi"/>
          <w:bCs/>
          <w:iCs/>
          <w:lang w:val="cs-CZ"/>
        </w:rPr>
        <w:t xml:space="preserve"> </w:t>
      </w:r>
      <w:r w:rsidR="001F2AA4" w:rsidRPr="00F24CC7">
        <w:rPr>
          <w:rFonts w:asciiTheme="minorHAnsi" w:hAnsiTheme="minorHAnsi" w:cstheme="minorHAnsi"/>
          <w:bCs/>
          <w:iCs/>
          <w:lang w:val="cs-CZ"/>
        </w:rPr>
        <w:t>č.</w:t>
      </w:r>
      <w:r w:rsidR="00D745F6">
        <w:rPr>
          <w:rFonts w:asciiTheme="minorHAnsi" w:hAnsiTheme="minorHAnsi" w:cstheme="minorHAnsi"/>
          <w:bCs/>
          <w:iCs/>
          <w:lang w:val="cs-CZ"/>
        </w:rPr>
        <w:t> </w:t>
      </w:r>
      <w:r w:rsidR="001F2AA4">
        <w:rPr>
          <w:rFonts w:asciiTheme="minorHAnsi" w:hAnsiTheme="minorHAnsi" w:cstheme="minorHAnsi"/>
          <w:bCs/>
          <w:iCs/>
          <w:lang w:val="cs-CZ"/>
        </w:rPr>
        <w:t>6</w:t>
      </w:r>
      <w:r w:rsidR="004628BF">
        <w:rPr>
          <w:rFonts w:asciiTheme="minorHAnsi" w:hAnsiTheme="minorHAnsi" w:cstheme="minorHAnsi"/>
          <w:bCs/>
          <w:iCs/>
          <w:lang w:val="cs-CZ"/>
        </w:rPr>
        <w:t xml:space="preserve"> a</w:t>
      </w:r>
      <w:r w:rsidR="00D745F6">
        <w:rPr>
          <w:rFonts w:asciiTheme="minorHAnsi" w:hAnsiTheme="minorHAnsi" w:cstheme="minorHAnsi"/>
          <w:bCs/>
          <w:iCs/>
          <w:lang w:val="cs-CZ"/>
        </w:rPr>
        <w:t> </w:t>
      </w:r>
      <w:r w:rsidR="004628BF">
        <w:rPr>
          <w:rFonts w:asciiTheme="minorHAnsi" w:hAnsiTheme="minorHAnsi" w:cstheme="minorHAnsi"/>
          <w:bCs/>
          <w:iCs/>
          <w:lang w:val="cs-CZ"/>
        </w:rPr>
        <w:t>7</w:t>
      </w:r>
      <w:r w:rsidR="001F2AA4" w:rsidRPr="00F24CC7">
        <w:rPr>
          <w:rFonts w:asciiTheme="minorHAnsi" w:hAnsiTheme="minorHAnsi" w:cstheme="minorHAnsi"/>
          <w:bCs/>
          <w:iCs/>
          <w:lang w:val="cs-CZ"/>
        </w:rPr>
        <w:t>.</w:t>
      </w:r>
    </w:p>
    <w:p w:rsidR="00AB655C" w:rsidRDefault="00AB655C" w:rsidP="00AB655C">
      <w:pPr>
        <w:jc w:val="both"/>
        <w:rPr>
          <w:rFonts w:asciiTheme="minorHAnsi" w:hAnsiTheme="minorHAnsi" w:cstheme="minorHAnsi"/>
          <w:bCs/>
          <w:iCs/>
          <w:lang w:val="cs-CZ"/>
        </w:rPr>
      </w:pPr>
    </w:p>
    <w:p w:rsidR="001F2AA4" w:rsidRPr="00E03860" w:rsidRDefault="001F2AA4" w:rsidP="00AB655C">
      <w:pPr>
        <w:spacing w:after="40"/>
        <w:rPr>
          <w:rFonts w:ascii="Calibri" w:hAnsi="Calibri" w:cs="Calibri"/>
          <w:b/>
          <w:bCs/>
          <w:iCs/>
          <w:highlight w:val="yellow"/>
          <w:lang w:val="cs-CZ"/>
        </w:rPr>
      </w:pPr>
      <w:r w:rsidRPr="00AB655C">
        <w:rPr>
          <w:rFonts w:ascii="Calibri" w:eastAsiaTheme="minorHAnsi" w:hAnsi="Calibri" w:cs="Calibri"/>
          <w:b/>
          <w:lang w:val="cs-CZ"/>
        </w:rPr>
        <w:t>Tabulka</w:t>
      </w:r>
      <w:r w:rsidR="00D005DD" w:rsidRPr="00AB655C">
        <w:rPr>
          <w:rFonts w:ascii="Calibri" w:eastAsiaTheme="minorHAnsi" w:hAnsi="Calibri" w:cs="Calibri"/>
          <w:b/>
          <w:lang w:val="cs-CZ"/>
        </w:rPr>
        <w:t xml:space="preserve"> </w:t>
      </w:r>
      <w:r w:rsidRPr="00AB655C">
        <w:rPr>
          <w:rFonts w:ascii="Calibri" w:eastAsiaTheme="minorHAnsi" w:hAnsi="Calibri" w:cs="Calibri"/>
          <w:b/>
          <w:lang w:val="cs-CZ"/>
        </w:rPr>
        <w:t>č.</w:t>
      </w:r>
      <w:r w:rsidR="00D005DD" w:rsidRPr="00AB655C">
        <w:rPr>
          <w:rFonts w:ascii="Calibri" w:eastAsiaTheme="minorHAnsi" w:hAnsi="Calibri" w:cs="Calibri"/>
          <w:b/>
          <w:lang w:val="cs-CZ"/>
        </w:rPr>
        <w:t xml:space="preserve"> </w:t>
      </w:r>
      <w:r w:rsidRPr="00AB655C">
        <w:rPr>
          <w:rFonts w:ascii="Calibri" w:eastAsiaTheme="minorHAnsi" w:hAnsi="Calibri" w:cs="Calibri"/>
          <w:b/>
          <w:lang w:val="cs-CZ"/>
        </w:rPr>
        <w:t>6</w:t>
      </w:r>
      <w:r w:rsidR="00013802">
        <w:rPr>
          <w:rFonts w:ascii="Calibri" w:eastAsiaTheme="minorHAnsi" w:hAnsi="Calibri" w:cs="Calibri"/>
          <w:b/>
          <w:lang w:val="cs-CZ"/>
        </w:rPr>
        <w:t xml:space="preserve"> –</w:t>
      </w:r>
      <w:r w:rsidRPr="00AB655C">
        <w:rPr>
          <w:rFonts w:ascii="Calibri" w:eastAsiaTheme="minorHAnsi" w:hAnsi="Calibri" w:cs="Calibri"/>
          <w:b/>
          <w:lang w:val="cs-CZ"/>
        </w:rPr>
        <w:t xml:space="preserve"> </w:t>
      </w:r>
      <w:r w:rsidRPr="00E03860">
        <w:rPr>
          <w:rFonts w:ascii="Calibri" w:hAnsi="Calibri" w:cs="Calibri"/>
          <w:b/>
          <w:lang w:val="cs-CZ"/>
        </w:rPr>
        <w:t>Přehled o osobních motorových vozidlech do 3,5 t kontrolovaných KŘP</w:t>
      </w:r>
    </w:p>
    <w:tbl>
      <w:tblPr>
        <w:tblW w:w="907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247"/>
        <w:gridCol w:w="1247"/>
        <w:gridCol w:w="1334"/>
        <w:gridCol w:w="1161"/>
        <w:gridCol w:w="1248"/>
      </w:tblGrid>
      <w:tr w:rsidR="001F2AA4" w:rsidRPr="00E16558" w:rsidTr="0061079F">
        <w:trPr>
          <w:trHeight w:val="283"/>
        </w:trP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E09DE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Ukazatel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CA1C13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CA1C1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Stav</w:t>
            </w:r>
            <w:r w:rsidRPr="00CA1C1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 xml:space="preserve"> k</w:t>
            </w:r>
            <w:r w:rsidR="00D005D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CA1C1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>31.</w:t>
            </w:r>
            <w:r w:rsidR="00D005D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CA1C1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>12.</w:t>
            </w:r>
            <w:r w:rsidR="00D005D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CA1C13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</w:tr>
      <w:tr w:rsidR="001F2AA4" w:rsidRPr="00EE09DE" w:rsidTr="0061079F">
        <w:trPr>
          <w:trHeight w:val="283"/>
        </w:trPr>
        <w:tc>
          <w:tcPr>
            <w:tcW w:w="2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AA4" w:rsidRPr="00EE09DE" w:rsidRDefault="001F2AA4" w:rsidP="0061079F">
            <w:pPr>
              <w:keepNext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Praha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Ostrava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Č. Budějovice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Ústí n. L.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H. Králové</w:t>
            </w:r>
          </w:p>
        </w:tc>
      </w:tr>
      <w:tr w:rsidR="001F2AA4" w:rsidRPr="00EE09DE" w:rsidTr="00013802">
        <w:trPr>
          <w:trHeight w:val="283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osobních motorových vozidel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1 046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805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494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564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392</w:t>
            </w:r>
          </w:p>
        </w:tc>
      </w:tr>
      <w:tr w:rsidR="001F2AA4" w:rsidRPr="00EE09DE" w:rsidTr="00013802">
        <w:trPr>
          <w:trHeight w:val="283"/>
        </w:trPr>
        <w:tc>
          <w:tcPr>
            <w:tcW w:w="2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Průměrný počet zaměstnanců na vozidlo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7,3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5,66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7,13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5,45</w:t>
            </w:r>
          </w:p>
        </w:tc>
      </w:tr>
      <w:tr w:rsidR="001F2AA4" w:rsidRPr="00EE09DE" w:rsidTr="00013802">
        <w:trPr>
          <w:trHeight w:val="283"/>
        </w:trPr>
        <w:tc>
          <w:tcPr>
            <w:tcW w:w="2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Průměrné stáří vozidel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(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letech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6,93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7,40</w:t>
            </w:r>
          </w:p>
        </w:tc>
      </w:tr>
      <w:tr w:rsidR="001F2AA4" w:rsidRPr="00EE09DE" w:rsidTr="00013802">
        <w:trPr>
          <w:trHeight w:val="283"/>
        </w:trPr>
        <w:tc>
          <w:tcPr>
            <w:tcW w:w="2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Podíl vozidel mladších 5 let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(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%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22</w:t>
            </w:r>
          </w:p>
        </w:tc>
      </w:tr>
      <w:tr w:rsidR="001F2AA4" w:rsidRPr="00EE09DE" w:rsidTr="00013802">
        <w:trPr>
          <w:trHeight w:val="283"/>
        </w:trPr>
        <w:tc>
          <w:tcPr>
            <w:tcW w:w="2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Podíl vozidel starších 10 let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(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%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013802">
            <w:pPr>
              <w:keepNext/>
              <w:ind w:right="184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21</w:t>
            </w:r>
          </w:p>
        </w:tc>
      </w:tr>
      <w:tr w:rsidR="001F2AA4" w:rsidRPr="00EE09DE" w:rsidTr="0061079F">
        <w:trPr>
          <w:trHeight w:val="283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2AA4" w:rsidRPr="00EE09DE" w:rsidRDefault="001F2AA4" w:rsidP="0061079F">
            <w:pPr>
              <w:keepNext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Ukazatel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2AA4" w:rsidRPr="006C4177" w:rsidRDefault="001F2AA4" w:rsidP="0001380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</w:pPr>
            <w:r w:rsidRPr="006C4177"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  <w:t>Roky 2012</w:t>
            </w:r>
            <w:r w:rsidR="00013802"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  <w:t>–</w:t>
            </w:r>
            <w:r w:rsidRPr="006C4177"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  <w:t>2014</w:t>
            </w:r>
          </w:p>
        </w:tc>
      </w:tr>
      <w:tr w:rsidR="001F2AA4" w:rsidRPr="00EE09DE" w:rsidTr="0061079F">
        <w:trPr>
          <w:trHeight w:val="283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ujetých km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*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55 779 539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35 157 273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22 594 295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32 605 099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20 620 805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</w:tr>
      <w:tr w:rsidR="001F2AA4" w:rsidRPr="00EE09DE" w:rsidTr="0061079F">
        <w:trPr>
          <w:trHeight w:val="283"/>
        </w:trPr>
        <w:tc>
          <w:tcPr>
            <w:tcW w:w="2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E09DE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E09DE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Průměrný počet ujetých km na vozidlo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*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17 618,84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14 561,33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15 843,00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19 708,00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2AA4" w:rsidRDefault="001F2AA4" w:rsidP="00013802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17 336,33</w:t>
            </w:r>
          </w:p>
        </w:tc>
      </w:tr>
    </w:tbl>
    <w:p w:rsidR="001F2AA4" w:rsidRPr="00AB655C" w:rsidRDefault="001F2AA4" w:rsidP="00AB655C">
      <w:pPr>
        <w:spacing w:before="40"/>
        <w:ind w:left="567" w:hanging="567"/>
        <w:rPr>
          <w:rFonts w:ascii="Calibri" w:hAnsi="Calibri" w:cs="Calibri"/>
          <w:color w:val="000000"/>
          <w:sz w:val="20"/>
          <w:szCs w:val="20"/>
          <w:lang w:val="cs-CZ"/>
        </w:rPr>
      </w:pPr>
      <w:r w:rsidRPr="00E03860">
        <w:rPr>
          <w:rFonts w:ascii="Calibri" w:eastAsiaTheme="minorHAnsi" w:hAnsi="Calibri" w:cs="Calibri"/>
          <w:b/>
          <w:sz w:val="20"/>
          <w:szCs w:val="20"/>
          <w:lang w:val="cs-CZ"/>
        </w:rPr>
        <w:t>Zdroj:</w:t>
      </w:r>
      <w:r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AB655C">
        <w:rPr>
          <w:rFonts w:ascii="Calibri" w:eastAsiaTheme="minorHAnsi" w:hAnsi="Calibri" w:cs="Calibri"/>
          <w:sz w:val="20"/>
          <w:szCs w:val="20"/>
          <w:lang w:val="cs-CZ"/>
        </w:rPr>
        <w:tab/>
      </w:r>
      <w:r w:rsidR="00013802">
        <w:rPr>
          <w:rFonts w:ascii="Calibri" w:eastAsiaTheme="minorHAnsi" w:hAnsi="Calibri" w:cs="Calibri"/>
          <w:sz w:val="20"/>
          <w:szCs w:val="20"/>
          <w:lang w:val="cs-CZ"/>
        </w:rPr>
        <w:t>i</w:t>
      </w:r>
      <w:r w:rsidRPr="00AB655C">
        <w:rPr>
          <w:rFonts w:ascii="Calibri" w:eastAsiaTheme="minorHAnsi" w:hAnsi="Calibri" w:cs="Calibri"/>
          <w:sz w:val="20"/>
          <w:szCs w:val="20"/>
          <w:lang w:val="cs-CZ"/>
        </w:rPr>
        <w:t>nformační systém</w:t>
      </w:r>
      <w:r w:rsidR="00013802">
        <w:rPr>
          <w:rFonts w:ascii="Calibri" w:eastAsiaTheme="minorHAnsi" w:hAnsi="Calibri" w:cs="Calibri"/>
          <w:sz w:val="20"/>
          <w:szCs w:val="20"/>
          <w:lang w:val="cs-CZ"/>
        </w:rPr>
        <w:t>y</w:t>
      </w:r>
      <w:r w:rsidRPr="00AB655C">
        <w:rPr>
          <w:rFonts w:ascii="Calibri" w:eastAsiaTheme="minorHAnsi" w:hAnsi="Calibri" w:cs="Calibri"/>
          <w:sz w:val="20"/>
          <w:szCs w:val="20"/>
          <w:lang w:val="cs-CZ"/>
        </w:rPr>
        <w:t xml:space="preserve"> evidence motorových vozidel kontrolovaných KŘP; </w:t>
      </w:r>
      <w:r w:rsidR="00013802">
        <w:rPr>
          <w:rFonts w:ascii="Calibri" w:hAnsi="Calibri" w:cs="Calibri"/>
          <w:color w:val="000000"/>
          <w:sz w:val="20"/>
          <w:szCs w:val="20"/>
          <w:lang w:val="cs-CZ"/>
        </w:rPr>
        <w:t>ú</w:t>
      </w:r>
      <w:r w:rsidRPr="00AB655C">
        <w:rPr>
          <w:rFonts w:ascii="Calibri" w:hAnsi="Calibri" w:cs="Calibri"/>
          <w:color w:val="000000"/>
          <w:sz w:val="20"/>
          <w:szCs w:val="20"/>
          <w:lang w:val="cs-CZ"/>
        </w:rPr>
        <w:t>daje o počtu zaměstnanců poskytnuté kontrolovanými KŘP.</w:t>
      </w:r>
    </w:p>
    <w:p w:rsidR="001F2AA4" w:rsidRPr="00AB655C" w:rsidRDefault="001F2AA4" w:rsidP="00AB655C">
      <w:pPr>
        <w:ind w:left="567" w:hanging="567"/>
        <w:rPr>
          <w:rFonts w:ascii="Calibri" w:eastAsiaTheme="minorHAnsi" w:hAnsi="Calibri" w:cs="Calibri"/>
          <w:sz w:val="20"/>
          <w:szCs w:val="20"/>
          <w:lang w:val="cs-CZ"/>
        </w:rPr>
      </w:pPr>
      <w:r w:rsidRPr="00AB655C">
        <w:rPr>
          <w:rFonts w:ascii="Calibri" w:hAnsi="Calibri" w:cs="Calibri"/>
          <w:color w:val="000000"/>
          <w:sz w:val="20"/>
          <w:szCs w:val="20"/>
          <w:lang w:val="cs-CZ"/>
        </w:rPr>
        <w:t xml:space="preserve">* </w:t>
      </w:r>
      <w:r w:rsidR="00013802">
        <w:rPr>
          <w:rFonts w:ascii="Calibri" w:hAnsi="Calibri" w:cs="Calibri"/>
          <w:color w:val="000000"/>
          <w:sz w:val="20"/>
          <w:szCs w:val="20"/>
          <w:lang w:val="cs-CZ"/>
        </w:rPr>
        <w:tab/>
      </w:r>
      <w:r w:rsidRPr="00AB655C">
        <w:rPr>
          <w:rFonts w:ascii="Calibri" w:hAnsi="Calibri" w:cs="Calibri"/>
          <w:color w:val="000000"/>
          <w:sz w:val="20"/>
          <w:szCs w:val="20"/>
          <w:lang w:val="cs-CZ"/>
        </w:rPr>
        <w:t>Údaje za celé kontrolované období let 2012 až 2014.</w:t>
      </w:r>
    </w:p>
    <w:p w:rsidR="00AB655C" w:rsidRPr="00814054" w:rsidRDefault="00AB655C" w:rsidP="00AB655C">
      <w:pPr>
        <w:jc w:val="both"/>
        <w:rPr>
          <w:rFonts w:ascii="Calibri" w:hAnsi="Calibri" w:cs="Calibri"/>
          <w:color w:val="000000"/>
          <w:lang w:val="cs-CZ"/>
        </w:rPr>
      </w:pPr>
    </w:p>
    <w:p w:rsidR="001F2AA4" w:rsidRPr="00E03860" w:rsidRDefault="001F2AA4" w:rsidP="00AB655C">
      <w:pPr>
        <w:spacing w:after="40"/>
        <w:rPr>
          <w:rFonts w:ascii="Calibri" w:hAnsi="Calibri" w:cs="Calibri"/>
          <w:b/>
          <w:bCs/>
          <w:iCs/>
          <w:highlight w:val="yellow"/>
          <w:lang w:val="cs-CZ"/>
        </w:rPr>
      </w:pPr>
      <w:r w:rsidRPr="00AB655C">
        <w:rPr>
          <w:rFonts w:ascii="Calibri" w:eastAsiaTheme="minorHAnsi" w:hAnsi="Calibri" w:cs="Calibri"/>
          <w:b/>
          <w:lang w:val="cs-CZ"/>
        </w:rPr>
        <w:t>Tabulka</w:t>
      </w:r>
      <w:r w:rsidR="00D005DD" w:rsidRPr="00AB655C">
        <w:rPr>
          <w:rFonts w:ascii="Calibri" w:eastAsiaTheme="minorHAnsi" w:hAnsi="Calibri" w:cs="Calibri"/>
          <w:b/>
          <w:lang w:val="cs-CZ"/>
        </w:rPr>
        <w:t xml:space="preserve"> </w:t>
      </w:r>
      <w:r w:rsidRPr="00AB655C">
        <w:rPr>
          <w:rFonts w:ascii="Calibri" w:eastAsiaTheme="minorHAnsi" w:hAnsi="Calibri" w:cs="Calibri"/>
          <w:b/>
          <w:lang w:val="cs-CZ"/>
        </w:rPr>
        <w:t>č.</w:t>
      </w:r>
      <w:r w:rsidR="00D005DD" w:rsidRPr="00AB655C">
        <w:rPr>
          <w:rFonts w:ascii="Calibri" w:eastAsiaTheme="minorHAnsi" w:hAnsi="Calibri" w:cs="Calibri"/>
          <w:b/>
          <w:lang w:val="cs-CZ"/>
        </w:rPr>
        <w:t xml:space="preserve"> </w:t>
      </w:r>
      <w:r w:rsidRPr="00AB655C">
        <w:rPr>
          <w:rFonts w:ascii="Calibri" w:eastAsiaTheme="minorHAnsi" w:hAnsi="Calibri" w:cs="Calibri"/>
          <w:b/>
          <w:lang w:val="cs-CZ"/>
        </w:rPr>
        <w:t>7</w:t>
      </w:r>
      <w:r w:rsidR="00013802">
        <w:rPr>
          <w:rFonts w:ascii="Calibri" w:eastAsiaTheme="minorHAnsi" w:hAnsi="Calibri" w:cs="Calibri"/>
          <w:b/>
          <w:lang w:val="cs-CZ"/>
        </w:rPr>
        <w:t xml:space="preserve"> –</w:t>
      </w:r>
      <w:r w:rsidRPr="00AB655C">
        <w:rPr>
          <w:rFonts w:ascii="Calibri" w:eastAsiaTheme="minorHAnsi" w:hAnsi="Calibri" w:cs="Calibri"/>
          <w:b/>
          <w:lang w:val="cs-CZ"/>
        </w:rPr>
        <w:t xml:space="preserve"> </w:t>
      </w:r>
      <w:r w:rsidRPr="00E03860">
        <w:rPr>
          <w:rFonts w:ascii="Calibri" w:hAnsi="Calibri" w:cs="Calibri"/>
          <w:b/>
          <w:lang w:val="cs-CZ"/>
        </w:rPr>
        <w:t>Přehled o veřejných zakázkách na pořízení ICT kontrolovaných KŘP</w:t>
      </w:r>
    </w:p>
    <w:tbl>
      <w:tblPr>
        <w:tblW w:w="907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304"/>
        <w:gridCol w:w="1304"/>
        <w:gridCol w:w="1361"/>
        <w:gridCol w:w="1247"/>
        <w:gridCol w:w="1304"/>
      </w:tblGrid>
      <w:tr w:rsidR="001F2AA4" w:rsidRPr="00F24CC7" w:rsidTr="0061079F">
        <w:trPr>
          <w:trHeight w:val="300"/>
        </w:trPr>
        <w:tc>
          <w:tcPr>
            <w:tcW w:w="2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F24CC7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Ukazatel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Roky 2012</w:t>
            </w:r>
            <w:r w:rsidR="00F672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–</w:t>
            </w:r>
            <w:r w:rsidRPr="00F24C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</w:tr>
      <w:tr w:rsidR="001F2AA4" w:rsidRPr="00F24CC7" w:rsidTr="0061079F">
        <w:trPr>
          <w:trHeight w:val="283"/>
        </w:trPr>
        <w:tc>
          <w:tcPr>
            <w:tcW w:w="25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AA4" w:rsidRPr="00F24CC7" w:rsidRDefault="001F2AA4" w:rsidP="0061079F">
            <w:pPr>
              <w:keepNext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Praha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Ostrava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Č. Budějovice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Ústí n. L.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E03860" w:rsidRDefault="001F2AA4" w:rsidP="0061079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E03860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H. Králové</w:t>
            </w:r>
          </w:p>
        </w:tc>
      </w:tr>
      <w:tr w:rsidR="001F2AA4" w:rsidRPr="00F24CC7" w:rsidTr="0061079F">
        <w:trPr>
          <w:trHeight w:val="283"/>
        </w:trPr>
        <w:tc>
          <w:tcPr>
            <w:tcW w:w="2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Hodnota VZ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(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Kč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)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110 943 168,88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117 517 710,60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35 427 710,75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40 584 436,99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41 976 142,15</w:t>
            </w:r>
          </w:p>
        </w:tc>
      </w:tr>
      <w:tr w:rsidR="001F2AA4" w:rsidRPr="00F24CC7" w:rsidTr="0061079F">
        <w:trPr>
          <w:trHeight w:val="283"/>
        </w:trPr>
        <w:tc>
          <w:tcPr>
            <w:tcW w:w="25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VZ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194</w:t>
            </w:r>
            <w:r w:rsidR="00F672A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1 011</w:t>
            </w:r>
            <w:r w:rsidR="00F672A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468</w:t>
            </w:r>
            <w:r w:rsidR="00F672A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197</w:t>
            </w:r>
            <w:r w:rsidR="00F672A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215</w:t>
            </w:r>
            <w:r w:rsidR="00F672A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</w:tr>
      <w:tr w:rsidR="001F2AA4" w:rsidRPr="00F24CC7" w:rsidTr="0061079F">
        <w:trPr>
          <w:trHeight w:val="283"/>
        </w:trPr>
        <w:tc>
          <w:tcPr>
            <w:tcW w:w="25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VZ zadaných přes e-tržiště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161</w:t>
            </w:r>
            <w:r w:rsidR="00F672A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416</w:t>
            </w:r>
            <w:r w:rsidR="00F672A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194</w:t>
            </w:r>
            <w:r w:rsidR="00F672A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142</w:t>
            </w:r>
            <w:r w:rsidR="00F672A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</w:tr>
      <w:tr w:rsidR="001F2AA4" w:rsidRPr="00F24CC7" w:rsidTr="0061079F">
        <w:trPr>
          <w:trHeight w:val="283"/>
        </w:trPr>
        <w:tc>
          <w:tcPr>
            <w:tcW w:w="255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24CC7" w:rsidRDefault="001F2AA4" w:rsidP="0061079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Podíl VZ zadaných přes e-tržiště 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(</w:t>
            </w:r>
            <w:r w:rsidRPr="00F24CC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%</w:t>
            </w:r>
            <w:r w:rsidR="0001380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81C49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81C4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83,</w:t>
            </w:r>
            <w:r w:rsidR="00F672A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  <w:r w:rsidRPr="00E81C4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81C49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81C4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-*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81C49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81C4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88,</w:t>
            </w:r>
            <w:r w:rsidR="00F672A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  <w:r w:rsidRPr="00E81C4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E81C49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81C4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98,</w:t>
            </w:r>
            <w:r w:rsidR="00F672A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  <w:r w:rsidRPr="00E81C4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E81C49" w:rsidRDefault="001F2AA4" w:rsidP="00F672A1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E81C4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66,</w:t>
            </w:r>
            <w:r w:rsidR="00F672A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  <w:r w:rsidRPr="00E81C4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</w:tr>
    </w:tbl>
    <w:p w:rsidR="001F2AA4" w:rsidRPr="00375570" w:rsidRDefault="00375570" w:rsidP="00375570">
      <w:pPr>
        <w:spacing w:before="40"/>
        <w:ind w:left="567" w:hanging="567"/>
        <w:rPr>
          <w:rFonts w:ascii="Calibri" w:eastAsiaTheme="minorHAnsi" w:hAnsi="Calibri" w:cs="Calibri"/>
          <w:sz w:val="20"/>
          <w:szCs w:val="20"/>
          <w:lang w:val="cs-CZ"/>
        </w:rPr>
      </w:pPr>
      <w:r w:rsidRPr="00E03860">
        <w:rPr>
          <w:rFonts w:ascii="Calibri" w:eastAsiaTheme="minorHAnsi" w:hAnsi="Calibri" w:cs="Calibri"/>
          <w:b/>
          <w:sz w:val="20"/>
          <w:szCs w:val="20"/>
          <w:lang w:val="cs-CZ"/>
        </w:rPr>
        <w:t>Zdroj:</w:t>
      </w:r>
      <w:r>
        <w:rPr>
          <w:rFonts w:ascii="Calibri" w:eastAsiaTheme="minorHAnsi" w:hAnsi="Calibri" w:cs="Calibri"/>
          <w:sz w:val="20"/>
          <w:szCs w:val="20"/>
          <w:lang w:val="cs-CZ"/>
        </w:rPr>
        <w:tab/>
      </w:r>
      <w:r w:rsidR="00F672A1">
        <w:rPr>
          <w:rFonts w:ascii="Calibri" w:eastAsiaTheme="minorHAnsi" w:hAnsi="Calibri" w:cs="Calibri"/>
          <w:sz w:val="20"/>
          <w:szCs w:val="20"/>
          <w:lang w:val="cs-CZ"/>
        </w:rPr>
        <w:t>e</w:t>
      </w:r>
      <w:r w:rsidR="001F2AA4" w:rsidRPr="00375570">
        <w:rPr>
          <w:rFonts w:ascii="Calibri" w:eastAsiaTheme="minorHAnsi" w:hAnsi="Calibri" w:cs="Calibri"/>
          <w:sz w:val="20"/>
          <w:szCs w:val="20"/>
          <w:lang w:val="cs-CZ"/>
        </w:rPr>
        <w:t>vidence veřejných zakázek poskytnutá kontrolovanými KŘP.</w:t>
      </w:r>
    </w:p>
    <w:p w:rsidR="001F2AA4" w:rsidRPr="00375570" w:rsidRDefault="001F2AA4" w:rsidP="00375570">
      <w:pPr>
        <w:ind w:left="567" w:hanging="567"/>
        <w:rPr>
          <w:rFonts w:ascii="Calibri" w:eastAsiaTheme="minorHAnsi" w:hAnsi="Calibri" w:cs="Calibri"/>
          <w:sz w:val="20"/>
          <w:szCs w:val="20"/>
          <w:lang w:val="cs-CZ"/>
        </w:rPr>
      </w:pPr>
      <w:r w:rsidRPr="00E03860">
        <w:rPr>
          <w:rFonts w:ascii="Calibri" w:eastAsiaTheme="minorHAnsi" w:hAnsi="Calibri" w:cs="Calibri"/>
          <w:b/>
          <w:sz w:val="20"/>
          <w:szCs w:val="20"/>
          <w:lang w:val="cs-CZ"/>
        </w:rPr>
        <w:t>Pozn.:</w:t>
      </w:r>
      <w:r w:rsidRPr="00375570">
        <w:rPr>
          <w:rFonts w:ascii="Calibri" w:eastAsiaTheme="minorHAnsi" w:hAnsi="Calibri" w:cs="Calibri"/>
          <w:sz w:val="20"/>
          <w:szCs w:val="20"/>
          <w:lang w:val="cs-CZ"/>
        </w:rPr>
        <w:tab/>
        <w:t xml:space="preserve">VZ – veřejné zakázky; </w:t>
      </w:r>
    </w:p>
    <w:p w:rsidR="001F2AA4" w:rsidRPr="00375570" w:rsidRDefault="00375570" w:rsidP="00F672A1">
      <w:pPr>
        <w:ind w:left="284" w:hanging="284"/>
        <w:rPr>
          <w:rFonts w:ascii="Calibri" w:eastAsiaTheme="minorHAnsi" w:hAnsi="Calibri" w:cs="Calibri"/>
          <w:sz w:val="20"/>
          <w:szCs w:val="20"/>
          <w:lang w:val="cs-CZ"/>
        </w:rPr>
      </w:pPr>
      <w:r>
        <w:rPr>
          <w:rFonts w:ascii="Calibri" w:eastAsiaTheme="minorHAnsi" w:hAnsi="Calibri" w:cs="Calibri"/>
          <w:sz w:val="20"/>
          <w:szCs w:val="20"/>
          <w:lang w:val="cs-CZ"/>
        </w:rPr>
        <w:t>*</w:t>
      </w:r>
      <w:r>
        <w:rPr>
          <w:rFonts w:ascii="Calibri" w:eastAsiaTheme="minorHAnsi" w:hAnsi="Calibri" w:cs="Calibri"/>
          <w:sz w:val="20"/>
          <w:szCs w:val="20"/>
          <w:lang w:val="cs-CZ"/>
        </w:rPr>
        <w:tab/>
      </w:r>
      <w:r w:rsidR="001F2AA4" w:rsidRPr="00375570">
        <w:rPr>
          <w:rFonts w:ascii="Calibri" w:eastAsiaTheme="minorHAnsi" w:hAnsi="Calibri" w:cs="Calibri"/>
          <w:sz w:val="20"/>
          <w:szCs w:val="20"/>
          <w:lang w:val="cs-CZ"/>
        </w:rPr>
        <w:t>Z</w:t>
      </w:r>
      <w:r w:rsidR="00D005DD" w:rsidRPr="00375570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1F2AA4" w:rsidRPr="00375570">
        <w:rPr>
          <w:rFonts w:ascii="Calibri" w:eastAsiaTheme="minorHAnsi" w:hAnsi="Calibri" w:cs="Calibri"/>
          <w:sz w:val="20"/>
          <w:szCs w:val="20"/>
          <w:lang w:val="cs-CZ"/>
        </w:rPr>
        <w:t>důvodu změny poskytovatele elektronického tržiště nebyla elektronická archivace VZ k</w:t>
      </w:r>
      <w:r w:rsidR="00D005DD" w:rsidRPr="00375570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1F2AA4" w:rsidRPr="00375570">
        <w:rPr>
          <w:rFonts w:ascii="Calibri" w:eastAsiaTheme="minorHAnsi" w:hAnsi="Calibri" w:cs="Calibri"/>
          <w:sz w:val="20"/>
          <w:szCs w:val="20"/>
          <w:lang w:val="cs-CZ"/>
        </w:rPr>
        <w:t>dispozici.</w:t>
      </w:r>
    </w:p>
    <w:p w:rsidR="00375570" w:rsidRDefault="00375570" w:rsidP="00375570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</w:p>
    <w:p w:rsidR="006A63C5" w:rsidRDefault="006A63C5" w:rsidP="00375570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  <w:r>
        <w:rPr>
          <w:rFonts w:asciiTheme="minorHAnsi" w:eastAsiaTheme="minorHAnsi" w:hAnsiTheme="minorHAnsi" w:cstheme="minorHAnsi"/>
          <w:bCs/>
          <w:iCs/>
          <w:lang w:val="cs-CZ"/>
        </w:rPr>
        <w:t>Přehled o</w:t>
      </w:r>
      <w:r w:rsidR="00D005DD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>
        <w:rPr>
          <w:rFonts w:asciiTheme="minorHAnsi" w:eastAsiaTheme="minorHAnsi" w:hAnsiTheme="minorHAnsi" w:cstheme="minorHAnsi"/>
          <w:bCs/>
          <w:iCs/>
          <w:lang w:val="cs-CZ"/>
        </w:rPr>
        <w:t>výši nákladů na</w:t>
      </w:r>
      <w:r w:rsidR="00D005DD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Pr="008006E3">
        <w:rPr>
          <w:rFonts w:asciiTheme="minorHAnsi" w:eastAsiaTheme="minorHAnsi" w:hAnsiTheme="minorHAnsi" w:cstheme="minorHAnsi"/>
          <w:bCs/>
          <w:iCs/>
          <w:lang w:val="cs-CZ"/>
        </w:rPr>
        <w:t xml:space="preserve">služební psy </w:t>
      </w:r>
      <w:r w:rsidR="004628BF">
        <w:rPr>
          <w:rFonts w:asciiTheme="minorHAnsi" w:eastAsiaTheme="minorHAnsi" w:hAnsiTheme="minorHAnsi" w:cstheme="minorHAnsi"/>
          <w:bCs/>
          <w:iCs/>
          <w:lang w:val="cs-CZ"/>
        </w:rPr>
        <w:t xml:space="preserve">a služební koně </w:t>
      </w:r>
      <w:r w:rsidRPr="008006E3">
        <w:rPr>
          <w:rFonts w:asciiTheme="minorHAnsi" w:eastAsiaTheme="minorHAnsi" w:hAnsiTheme="minorHAnsi" w:cstheme="minorHAnsi"/>
          <w:bCs/>
          <w:iCs/>
          <w:lang w:val="cs-CZ"/>
        </w:rPr>
        <w:t xml:space="preserve">u </w:t>
      </w:r>
      <w:r>
        <w:rPr>
          <w:rFonts w:asciiTheme="minorHAnsi" w:eastAsiaTheme="minorHAnsi" w:hAnsiTheme="minorHAnsi" w:cstheme="minorHAnsi"/>
          <w:bCs/>
          <w:iCs/>
          <w:lang w:val="cs-CZ"/>
        </w:rPr>
        <w:t>kontrolovaných</w:t>
      </w:r>
      <w:r w:rsidRPr="008006E3">
        <w:rPr>
          <w:rFonts w:asciiTheme="minorHAnsi" w:eastAsiaTheme="minorHAnsi" w:hAnsiTheme="minorHAnsi" w:cstheme="minorHAnsi"/>
          <w:bCs/>
          <w:iCs/>
          <w:lang w:val="cs-CZ"/>
        </w:rPr>
        <w:t xml:space="preserve"> krajských ředitelství policie </w:t>
      </w:r>
      <w:r>
        <w:rPr>
          <w:rFonts w:asciiTheme="minorHAnsi" w:eastAsiaTheme="minorHAnsi" w:hAnsiTheme="minorHAnsi" w:cstheme="minorHAnsi"/>
          <w:bCs/>
          <w:iCs/>
          <w:lang w:val="cs-CZ"/>
        </w:rPr>
        <w:t>poskytuj</w:t>
      </w:r>
      <w:r w:rsidR="004628BF">
        <w:rPr>
          <w:rFonts w:asciiTheme="minorHAnsi" w:eastAsiaTheme="minorHAnsi" w:hAnsiTheme="minorHAnsi" w:cstheme="minorHAnsi"/>
          <w:bCs/>
          <w:iCs/>
          <w:lang w:val="cs-CZ"/>
        </w:rPr>
        <w:t>í</w:t>
      </w:r>
      <w:r w:rsidRPr="008006E3">
        <w:rPr>
          <w:rFonts w:asciiTheme="minorHAnsi" w:eastAsiaTheme="minorHAnsi" w:hAnsiTheme="minorHAnsi" w:cstheme="minorHAnsi"/>
          <w:bCs/>
          <w:iCs/>
          <w:lang w:val="cs-CZ"/>
        </w:rPr>
        <w:t xml:space="preserve"> tabulk</w:t>
      </w:r>
      <w:r w:rsidR="004628BF">
        <w:rPr>
          <w:rFonts w:asciiTheme="minorHAnsi" w:eastAsiaTheme="minorHAnsi" w:hAnsiTheme="minorHAnsi" w:cstheme="minorHAnsi"/>
          <w:bCs/>
          <w:iCs/>
          <w:lang w:val="cs-CZ"/>
        </w:rPr>
        <w:t>y</w:t>
      </w:r>
      <w:r w:rsidR="00D005DD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Pr="008006E3">
        <w:rPr>
          <w:rFonts w:asciiTheme="minorHAnsi" w:eastAsiaTheme="minorHAnsi" w:hAnsiTheme="minorHAnsi" w:cstheme="minorHAnsi"/>
          <w:bCs/>
          <w:iCs/>
          <w:lang w:val="cs-CZ"/>
        </w:rPr>
        <w:t>č.</w:t>
      </w:r>
      <w:r w:rsidR="00D005DD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>
        <w:rPr>
          <w:rFonts w:asciiTheme="minorHAnsi" w:eastAsiaTheme="minorHAnsi" w:hAnsiTheme="minorHAnsi" w:cstheme="minorHAnsi"/>
          <w:bCs/>
          <w:iCs/>
          <w:lang w:val="cs-CZ"/>
        </w:rPr>
        <w:t>8</w:t>
      </w:r>
      <w:r w:rsidR="004628BF">
        <w:rPr>
          <w:rFonts w:asciiTheme="minorHAnsi" w:eastAsiaTheme="minorHAnsi" w:hAnsiTheme="minorHAnsi" w:cstheme="minorHAnsi"/>
          <w:bCs/>
          <w:iCs/>
          <w:lang w:val="cs-CZ"/>
        </w:rPr>
        <w:t xml:space="preserve"> a 9</w:t>
      </w:r>
      <w:r w:rsidRPr="008006E3">
        <w:rPr>
          <w:rFonts w:asciiTheme="minorHAnsi" w:eastAsiaTheme="minorHAnsi" w:hAnsiTheme="minorHAnsi" w:cstheme="minorHAnsi"/>
          <w:bCs/>
          <w:iCs/>
          <w:lang w:val="cs-CZ"/>
        </w:rPr>
        <w:t>.</w:t>
      </w:r>
    </w:p>
    <w:p w:rsidR="00375570" w:rsidRPr="004A21AC" w:rsidRDefault="00375570" w:rsidP="00375570">
      <w:pPr>
        <w:jc w:val="both"/>
        <w:rPr>
          <w:rFonts w:asciiTheme="minorHAnsi" w:eastAsiaTheme="minorHAnsi" w:hAnsiTheme="minorHAnsi" w:cstheme="minorHAnsi"/>
          <w:bCs/>
          <w:iCs/>
          <w:highlight w:val="yellow"/>
          <w:lang w:val="cs-CZ"/>
        </w:rPr>
      </w:pPr>
    </w:p>
    <w:p w:rsidR="006A63C5" w:rsidRPr="00C65CFB" w:rsidRDefault="006A63C5" w:rsidP="00375570">
      <w:pPr>
        <w:tabs>
          <w:tab w:val="right" w:pos="9072"/>
        </w:tabs>
        <w:spacing w:after="40"/>
        <w:rPr>
          <w:rFonts w:ascii="Calibri" w:eastAsiaTheme="minorHAnsi" w:hAnsi="Calibri" w:cs="Calibri"/>
          <w:b/>
          <w:bCs/>
          <w:iCs/>
          <w:lang w:val="cs-CZ"/>
        </w:rPr>
      </w:pPr>
      <w:r w:rsidRPr="00375570">
        <w:rPr>
          <w:rFonts w:ascii="Calibri" w:eastAsiaTheme="minorHAnsi" w:hAnsi="Calibri" w:cs="Calibri"/>
          <w:b/>
          <w:lang w:val="cs-CZ"/>
        </w:rPr>
        <w:t>Tabulka</w:t>
      </w:r>
      <w:r w:rsidR="00D005DD" w:rsidRPr="00375570">
        <w:rPr>
          <w:rFonts w:ascii="Calibri" w:eastAsiaTheme="minorHAnsi" w:hAnsi="Calibri" w:cs="Calibri"/>
          <w:b/>
          <w:lang w:val="cs-CZ"/>
        </w:rPr>
        <w:t xml:space="preserve"> </w:t>
      </w:r>
      <w:r w:rsidRPr="00375570">
        <w:rPr>
          <w:rFonts w:ascii="Calibri" w:eastAsiaTheme="minorHAnsi" w:hAnsi="Calibri" w:cs="Calibri"/>
          <w:b/>
          <w:lang w:val="cs-CZ"/>
        </w:rPr>
        <w:t>č.</w:t>
      </w:r>
      <w:r w:rsidR="00D005DD" w:rsidRPr="00375570">
        <w:rPr>
          <w:rFonts w:ascii="Calibri" w:eastAsiaTheme="minorHAnsi" w:hAnsi="Calibri" w:cs="Calibri"/>
          <w:b/>
          <w:lang w:val="cs-CZ"/>
        </w:rPr>
        <w:t xml:space="preserve"> </w:t>
      </w:r>
      <w:r w:rsidRPr="00375570">
        <w:rPr>
          <w:rFonts w:ascii="Calibri" w:eastAsiaTheme="minorHAnsi" w:hAnsi="Calibri" w:cs="Calibri"/>
          <w:b/>
          <w:lang w:val="cs-CZ"/>
        </w:rPr>
        <w:t>8</w:t>
      </w:r>
      <w:r w:rsidR="00F672A1">
        <w:rPr>
          <w:rFonts w:ascii="Calibri" w:eastAsiaTheme="minorHAnsi" w:hAnsi="Calibri" w:cs="Calibri"/>
          <w:b/>
          <w:lang w:val="cs-CZ"/>
        </w:rPr>
        <w:t xml:space="preserve"> –</w:t>
      </w:r>
      <w:r w:rsidRPr="00375570">
        <w:rPr>
          <w:rFonts w:ascii="Calibri" w:eastAsiaTheme="minorHAnsi" w:hAnsi="Calibri" w:cs="Calibri"/>
          <w:b/>
          <w:lang w:val="cs-CZ"/>
        </w:rPr>
        <w:t xml:space="preserve"> </w:t>
      </w:r>
      <w:r w:rsidRPr="00C65CFB">
        <w:rPr>
          <w:rFonts w:ascii="Calibri" w:eastAsiaTheme="minorHAnsi" w:hAnsi="Calibri" w:cs="Calibri"/>
          <w:b/>
          <w:lang w:val="cs-CZ"/>
        </w:rPr>
        <w:t>Náklady na služební psy u kontrolovaných KŘP</w:t>
      </w:r>
      <w:r w:rsidRPr="00C65CFB">
        <w:rPr>
          <w:rFonts w:ascii="Calibri" w:eastAsiaTheme="minorHAnsi" w:hAnsi="Calibri" w:cs="Calibri"/>
          <w:b/>
          <w:lang w:val="cs-CZ"/>
        </w:rPr>
        <w:tab/>
      </w:r>
      <w:r w:rsidR="00404CA5" w:rsidRPr="00C65CFB">
        <w:rPr>
          <w:rFonts w:ascii="Calibri" w:eastAsiaTheme="minorHAnsi" w:hAnsi="Calibri" w:cs="Calibri"/>
          <w:b/>
          <w:lang w:val="cs-CZ"/>
        </w:rPr>
        <w:t>(</w:t>
      </w:r>
      <w:r w:rsidRPr="00C65CFB">
        <w:rPr>
          <w:rFonts w:ascii="Calibri" w:eastAsiaTheme="minorHAnsi" w:hAnsi="Calibri" w:cs="Calibri"/>
          <w:b/>
          <w:lang w:val="cs-CZ"/>
        </w:rPr>
        <w:t>v Kč</w:t>
      </w:r>
      <w:r w:rsidR="00404CA5" w:rsidRPr="00C65CFB">
        <w:rPr>
          <w:rFonts w:ascii="Calibri" w:eastAsiaTheme="minorHAnsi" w:hAnsi="Calibri" w:cs="Calibri"/>
          <w:b/>
          <w:lang w:val="cs-CZ"/>
        </w:rPr>
        <w:t>)</w:t>
      </w:r>
    </w:p>
    <w:tbl>
      <w:tblPr>
        <w:tblW w:w="913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276"/>
        <w:gridCol w:w="1332"/>
        <w:gridCol w:w="1447"/>
        <w:gridCol w:w="1332"/>
        <w:gridCol w:w="1333"/>
      </w:tblGrid>
      <w:tr w:rsidR="006A63C5" w:rsidRPr="008006E3" w:rsidTr="00F672A1">
        <w:trPr>
          <w:trHeight w:val="283"/>
        </w:trPr>
        <w:tc>
          <w:tcPr>
            <w:tcW w:w="2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8006E3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Ukazatel</w:t>
            </w:r>
          </w:p>
        </w:tc>
        <w:tc>
          <w:tcPr>
            <w:tcW w:w="67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8006E3" w:rsidRDefault="006A63C5" w:rsidP="00F672A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Roky 2012</w:t>
            </w:r>
            <w:r w:rsidR="00F672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–</w:t>
            </w:r>
            <w:r w:rsidRPr="008006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</w:tr>
      <w:tr w:rsidR="006A63C5" w:rsidRPr="008006E3" w:rsidTr="00F672A1">
        <w:trPr>
          <w:trHeight w:val="283"/>
        </w:trPr>
        <w:tc>
          <w:tcPr>
            <w:tcW w:w="24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63C5" w:rsidRPr="008006E3" w:rsidRDefault="006A63C5" w:rsidP="009E043F">
            <w:pPr>
              <w:keepNext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C65CFB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Praha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C65CFB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Ostrava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C65CFB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Č. Budějovice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C65CFB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Ústí n. L.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C65CFB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H. Králové</w:t>
            </w:r>
          </w:p>
        </w:tc>
      </w:tr>
      <w:tr w:rsidR="006A63C5" w:rsidRPr="008006E3" w:rsidTr="00F672A1">
        <w:trPr>
          <w:trHeight w:val="283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9E043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Náklady na psy celkem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5 096 746,52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5 682 949,00</w:t>
            </w:r>
          </w:p>
        </w:tc>
        <w:tc>
          <w:tcPr>
            <w:tcW w:w="14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4 279 120,00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6 178 025,00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5 265 637,00</w:t>
            </w:r>
          </w:p>
        </w:tc>
      </w:tr>
      <w:tr w:rsidR="006A63C5" w:rsidRPr="007764C2" w:rsidTr="00F672A1">
        <w:trPr>
          <w:trHeight w:val="283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Default="006A63C5" w:rsidP="009E043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psů v roce 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95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82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61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73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62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</w:tr>
      <w:tr w:rsidR="006A63C5" w:rsidRPr="007764C2" w:rsidTr="00F672A1">
        <w:trPr>
          <w:trHeight w:val="283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Default="006A63C5" w:rsidP="009E043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psů v roce 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87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84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62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68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61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</w:tr>
      <w:tr w:rsidR="006A63C5" w:rsidRPr="007764C2" w:rsidTr="00F672A1">
        <w:trPr>
          <w:trHeight w:val="283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8006E3" w:rsidRDefault="006A63C5" w:rsidP="009E043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psů v roce 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89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81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61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66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63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</w:p>
        </w:tc>
      </w:tr>
      <w:tr w:rsidR="006A63C5" w:rsidRPr="008006E3" w:rsidTr="00F672A1">
        <w:trPr>
          <w:trHeight w:val="283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9E043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Průměrné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roční náklady na</w:t>
            </w: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psa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472DF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18 807,18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472DF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23 007,89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472DF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23 256,09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472DF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29 845,53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63C5" w:rsidRPr="00472DFA" w:rsidRDefault="006A63C5" w:rsidP="00F672A1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472DF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28 309,88</w:t>
            </w:r>
          </w:p>
        </w:tc>
      </w:tr>
    </w:tbl>
    <w:p w:rsidR="006A63C5" w:rsidRPr="00375570" w:rsidRDefault="00375570" w:rsidP="00375570">
      <w:pPr>
        <w:spacing w:before="40"/>
        <w:ind w:left="567" w:hanging="567"/>
        <w:rPr>
          <w:rFonts w:ascii="Calibri" w:hAnsi="Calibri" w:cs="Calibri"/>
          <w:bCs/>
          <w:iCs/>
          <w:sz w:val="20"/>
          <w:szCs w:val="20"/>
          <w:highlight w:val="yellow"/>
          <w:lang w:val="cs-CZ"/>
        </w:rPr>
      </w:pPr>
      <w:r w:rsidRPr="00C65CFB">
        <w:rPr>
          <w:rFonts w:ascii="Calibri" w:eastAsiaTheme="minorHAnsi" w:hAnsi="Calibri" w:cs="Calibri"/>
          <w:b/>
          <w:sz w:val="20"/>
          <w:szCs w:val="20"/>
          <w:lang w:val="cs-CZ"/>
        </w:rPr>
        <w:t>Zdroj:</w:t>
      </w:r>
      <w:r>
        <w:rPr>
          <w:rFonts w:ascii="Calibri" w:eastAsiaTheme="minorHAnsi" w:hAnsi="Calibri" w:cs="Calibri"/>
          <w:sz w:val="20"/>
          <w:szCs w:val="20"/>
          <w:lang w:val="cs-CZ"/>
        </w:rPr>
        <w:tab/>
      </w:r>
      <w:r w:rsidR="00F672A1">
        <w:rPr>
          <w:rFonts w:ascii="Calibri" w:eastAsiaTheme="minorHAnsi" w:hAnsi="Calibri" w:cs="Calibri"/>
          <w:sz w:val="20"/>
          <w:szCs w:val="20"/>
          <w:lang w:val="cs-CZ"/>
        </w:rPr>
        <w:t>k</w:t>
      </w:r>
      <w:r w:rsidR="006A63C5" w:rsidRPr="00375570">
        <w:rPr>
          <w:rFonts w:ascii="Calibri" w:eastAsiaTheme="minorHAnsi" w:hAnsi="Calibri" w:cs="Calibri"/>
          <w:sz w:val="20"/>
          <w:szCs w:val="20"/>
          <w:lang w:val="cs-CZ"/>
        </w:rPr>
        <w:t>nihy analytických účtů kontrolovaných KŘP k</w:t>
      </w:r>
      <w:r w:rsidR="00D005DD" w:rsidRPr="00375570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6A63C5" w:rsidRPr="00375570">
        <w:rPr>
          <w:rFonts w:ascii="Calibri" w:eastAsiaTheme="minorHAnsi" w:hAnsi="Calibri" w:cs="Calibri"/>
          <w:sz w:val="20"/>
          <w:szCs w:val="20"/>
          <w:lang w:val="cs-CZ"/>
        </w:rPr>
        <w:t xml:space="preserve">31. 12. 2012, 2013 a 2014, </w:t>
      </w:r>
      <w:r w:rsidR="00F672A1">
        <w:rPr>
          <w:rFonts w:ascii="Calibri" w:eastAsiaTheme="minorHAnsi" w:hAnsi="Calibri" w:cs="Calibri"/>
          <w:sz w:val="20"/>
          <w:szCs w:val="20"/>
          <w:lang w:val="cs-CZ"/>
        </w:rPr>
        <w:t>i</w:t>
      </w:r>
      <w:r w:rsidR="006A63C5" w:rsidRPr="00375570">
        <w:rPr>
          <w:rFonts w:ascii="Calibri" w:eastAsiaTheme="minorHAnsi" w:hAnsi="Calibri" w:cs="Calibri"/>
          <w:sz w:val="20"/>
          <w:szCs w:val="20"/>
          <w:lang w:val="cs-CZ"/>
        </w:rPr>
        <w:t>nventurní soupisy služebních zvířat k</w:t>
      </w:r>
      <w:r w:rsidR="00D005DD" w:rsidRPr="00375570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6A63C5" w:rsidRPr="00375570">
        <w:rPr>
          <w:rFonts w:ascii="Calibri" w:eastAsiaTheme="minorHAnsi" w:hAnsi="Calibri" w:cs="Calibri"/>
          <w:sz w:val="20"/>
          <w:szCs w:val="20"/>
          <w:lang w:val="cs-CZ"/>
        </w:rPr>
        <w:t>31. 12. 2012, 2013 a</w:t>
      </w:r>
      <w:r w:rsidR="00D005DD" w:rsidRPr="00375570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6A63C5" w:rsidRPr="00375570">
        <w:rPr>
          <w:rFonts w:ascii="Calibri" w:eastAsiaTheme="minorHAnsi" w:hAnsi="Calibri" w:cs="Calibri"/>
          <w:sz w:val="20"/>
          <w:szCs w:val="20"/>
          <w:lang w:val="cs-CZ"/>
        </w:rPr>
        <w:t>2014.</w:t>
      </w:r>
    </w:p>
    <w:p w:rsidR="00375570" w:rsidRDefault="00375570" w:rsidP="00375570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</w:p>
    <w:p w:rsidR="00420572" w:rsidRDefault="006A63C5" w:rsidP="00375570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  <w:r w:rsidRPr="003E2D72">
        <w:rPr>
          <w:rFonts w:asciiTheme="minorHAnsi" w:eastAsiaTheme="minorHAnsi" w:hAnsiTheme="minorHAnsi" w:cstheme="minorHAnsi"/>
          <w:bCs/>
          <w:iCs/>
          <w:lang w:val="cs-CZ"/>
        </w:rPr>
        <w:t>Rozdíly v</w:t>
      </w:r>
      <w:r w:rsidR="00D005DD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Pr="003E2D72">
        <w:rPr>
          <w:rFonts w:asciiTheme="minorHAnsi" w:eastAsiaTheme="minorHAnsi" w:hAnsiTheme="minorHAnsi" w:cstheme="minorHAnsi"/>
          <w:bCs/>
          <w:iCs/>
          <w:lang w:val="cs-CZ"/>
        </w:rPr>
        <w:t>průměrných ročních nákladech na psa mezi kontrolovanými krajskými ředitelstvími policie jsou dány</w:t>
      </w:r>
      <w:r w:rsidR="00420572" w:rsidRPr="003E2D72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Pr="003E2D72">
        <w:rPr>
          <w:rFonts w:asciiTheme="minorHAnsi" w:eastAsiaTheme="minorHAnsi" w:hAnsiTheme="minorHAnsi" w:cstheme="minorHAnsi"/>
          <w:bCs/>
          <w:iCs/>
          <w:lang w:val="cs-CZ"/>
        </w:rPr>
        <w:t xml:space="preserve">odlišným způsobem </w:t>
      </w:r>
      <w:r w:rsidR="00420572" w:rsidRPr="003E2D72">
        <w:rPr>
          <w:rFonts w:asciiTheme="minorHAnsi" w:eastAsiaTheme="minorHAnsi" w:hAnsiTheme="minorHAnsi" w:cstheme="minorHAnsi"/>
          <w:bCs/>
          <w:iCs/>
          <w:lang w:val="cs-CZ"/>
        </w:rPr>
        <w:t>financování ustájení, krmení a veterinární péče o</w:t>
      </w:r>
      <w:r w:rsidR="00AC2364">
        <w:rPr>
          <w:rFonts w:asciiTheme="minorHAnsi" w:eastAsiaTheme="minorHAnsi" w:hAnsiTheme="minorHAnsi" w:cstheme="minorHAnsi"/>
          <w:bCs/>
          <w:iCs/>
          <w:lang w:val="cs-CZ"/>
        </w:rPr>
        <w:t> </w:t>
      </w:r>
      <w:r w:rsidR="00420572" w:rsidRPr="003E2D72">
        <w:rPr>
          <w:rFonts w:asciiTheme="minorHAnsi" w:eastAsiaTheme="minorHAnsi" w:hAnsiTheme="minorHAnsi" w:cstheme="minorHAnsi"/>
          <w:bCs/>
          <w:iCs/>
          <w:lang w:val="cs-CZ"/>
        </w:rPr>
        <w:t>služební psy.</w:t>
      </w:r>
      <w:r w:rsidR="003E2D72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="00322000">
        <w:rPr>
          <w:rFonts w:asciiTheme="minorHAnsi" w:eastAsiaTheme="minorHAnsi" w:hAnsiTheme="minorHAnsi" w:cstheme="minorHAnsi"/>
          <w:bCs/>
          <w:iCs/>
          <w:lang w:val="cs-CZ"/>
        </w:rPr>
        <w:t>U KŘP</w:t>
      </w:r>
      <w:r w:rsidR="00D005DD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="00322000">
        <w:rPr>
          <w:rFonts w:asciiTheme="minorHAnsi" w:eastAsiaTheme="minorHAnsi" w:hAnsiTheme="minorHAnsi" w:cstheme="minorHAnsi"/>
          <w:bCs/>
          <w:iCs/>
          <w:lang w:val="cs-CZ"/>
        </w:rPr>
        <w:t xml:space="preserve">Praha je ustájení psů </w:t>
      </w:r>
      <w:r w:rsidR="00A52552">
        <w:rPr>
          <w:rFonts w:asciiTheme="minorHAnsi" w:eastAsiaTheme="minorHAnsi" w:hAnsiTheme="minorHAnsi" w:cstheme="minorHAnsi"/>
          <w:bCs/>
          <w:iCs/>
          <w:lang w:val="cs-CZ"/>
        </w:rPr>
        <w:t xml:space="preserve">řešeno </w:t>
      </w:r>
      <w:r w:rsidR="00322000">
        <w:rPr>
          <w:rFonts w:asciiTheme="minorHAnsi" w:eastAsiaTheme="minorHAnsi" w:hAnsiTheme="minorHAnsi" w:cstheme="minorHAnsi"/>
          <w:bCs/>
          <w:iCs/>
          <w:lang w:val="cs-CZ"/>
        </w:rPr>
        <w:t>centráln</w:t>
      </w:r>
      <w:r w:rsidR="00A52552">
        <w:rPr>
          <w:rFonts w:asciiTheme="minorHAnsi" w:eastAsiaTheme="minorHAnsi" w:hAnsiTheme="minorHAnsi" w:cstheme="minorHAnsi"/>
          <w:bCs/>
          <w:iCs/>
          <w:lang w:val="cs-CZ"/>
        </w:rPr>
        <w:t>ě</w:t>
      </w:r>
      <w:r w:rsidR="00322000">
        <w:rPr>
          <w:rFonts w:asciiTheme="minorHAnsi" w:eastAsiaTheme="minorHAnsi" w:hAnsiTheme="minorHAnsi" w:cstheme="minorHAnsi"/>
          <w:bCs/>
          <w:iCs/>
          <w:lang w:val="cs-CZ"/>
        </w:rPr>
        <w:t xml:space="preserve"> a financování nákladů na ustájení a</w:t>
      </w:r>
      <w:r w:rsidR="00AC2364">
        <w:rPr>
          <w:rFonts w:asciiTheme="minorHAnsi" w:eastAsiaTheme="minorHAnsi" w:hAnsiTheme="minorHAnsi" w:cstheme="minorHAnsi"/>
          <w:bCs/>
          <w:iCs/>
          <w:lang w:val="cs-CZ"/>
        </w:rPr>
        <w:t> </w:t>
      </w:r>
      <w:r w:rsidR="00322000">
        <w:rPr>
          <w:rFonts w:asciiTheme="minorHAnsi" w:eastAsiaTheme="minorHAnsi" w:hAnsiTheme="minorHAnsi" w:cstheme="minorHAnsi"/>
          <w:bCs/>
          <w:iCs/>
          <w:lang w:val="cs-CZ"/>
        </w:rPr>
        <w:t>krmení probíhá prostřednictvím zakázek přes elektronické tržiště. V</w:t>
      </w:r>
      <w:r w:rsidR="00D005DD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="00322000">
        <w:rPr>
          <w:rFonts w:asciiTheme="minorHAnsi" w:eastAsiaTheme="minorHAnsi" w:hAnsiTheme="minorHAnsi" w:cstheme="minorHAnsi"/>
          <w:bCs/>
          <w:iCs/>
          <w:lang w:val="cs-CZ"/>
        </w:rPr>
        <w:t>případě ostatních kontrolovaných krajských ředitelství policie má us</w:t>
      </w:r>
      <w:r w:rsidR="00343887">
        <w:rPr>
          <w:rFonts w:asciiTheme="minorHAnsi" w:eastAsiaTheme="minorHAnsi" w:hAnsiTheme="minorHAnsi" w:cstheme="minorHAnsi"/>
          <w:bCs/>
          <w:iCs/>
          <w:lang w:val="cs-CZ"/>
        </w:rPr>
        <w:t>tájení psů individuální formu a </w:t>
      </w:r>
      <w:r w:rsidR="00322000">
        <w:rPr>
          <w:rFonts w:asciiTheme="minorHAnsi" w:eastAsiaTheme="minorHAnsi" w:hAnsiTheme="minorHAnsi" w:cstheme="minorHAnsi"/>
          <w:bCs/>
          <w:iCs/>
          <w:lang w:val="cs-CZ"/>
        </w:rPr>
        <w:t>financování nákladů na ustájení a krmení psů je zajiš</w:t>
      </w:r>
      <w:r w:rsidR="00A52552">
        <w:rPr>
          <w:rFonts w:asciiTheme="minorHAnsi" w:eastAsiaTheme="minorHAnsi" w:hAnsiTheme="minorHAnsi" w:cstheme="minorHAnsi"/>
          <w:bCs/>
          <w:iCs/>
          <w:lang w:val="cs-CZ"/>
        </w:rPr>
        <w:t>ť</w:t>
      </w:r>
      <w:r w:rsidR="00322000">
        <w:rPr>
          <w:rFonts w:asciiTheme="minorHAnsi" w:eastAsiaTheme="minorHAnsi" w:hAnsiTheme="minorHAnsi" w:cstheme="minorHAnsi"/>
          <w:bCs/>
          <w:iCs/>
          <w:lang w:val="cs-CZ"/>
        </w:rPr>
        <w:t>ováno podle nařízení Ministerstva vnitra</w:t>
      </w:r>
      <w:r w:rsidR="0058472A">
        <w:rPr>
          <w:rFonts w:asciiTheme="minorHAnsi" w:eastAsiaTheme="minorHAnsi" w:hAnsiTheme="minorHAnsi" w:cstheme="minorHAnsi"/>
          <w:bCs/>
          <w:iCs/>
          <w:lang w:val="cs-CZ"/>
        </w:rPr>
        <w:t xml:space="preserve"> o</w:t>
      </w:r>
      <w:r w:rsidR="00AC2364">
        <w:rPr>
          <w:rFonts w:asciiTheme="minorHAnsi" w:eastAsiaTheme="minorHAnsi" w:hAnsiTheme="minorHAnsi" w:cstheme="minorHAnsi"/>
          <w:bCs/>
          <w:iCs/>
          <w:lang w:val="cs-CZ"/>
        </w:rPr>
        <w:t> </w:t>
      </w:r>
      <w:r w:rsidR="0058472A">
        <w:rPr>
          <w:rFonts w:asciiTheme="minorHAnsi" w:eastAsiaTheme="minorHAnsi" w:hAnsiTheme="minorHAnsi" w:cstheme="minorHAnsi"/>
          <w:bCs/>
          <w:iCs/>
          <w:lang w:val="cs-CZ"/>
        </w:rPr>
        <w:t>zabezpečení výživy služebních psů a služebních koní.</w:t>
      </w:r>
      <w:r w:rsidR="00602D1F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="0047269A">
        <w:rPr>
          <w:rFonts w:asciiTheme="minorHAnsi" w:eastAsiaTheme="minorHAnsi" w:hAnsiTheme="minorHAnsi" w:cstheme="minorHAnsi"/>
          <w:bCs/>
          <w:iCs/>
          <w:lang w:val="cs-CZ"/>
        </w:rPr>
        <w:t>Veterinární péče o psy je podle dostupnosti poskytována buď bezúplatně resortní veterinární službou</w:t>
      </w:r>
      <w:r w:rsidR="00645659">
        <w:rPr>
          <w:rFonts w:asciiTheme="minorHAnsi" w:eastAsiaTheme="minorHAnsi" w:hAnsiTheme="minorHAnsi" w:cstheme="minorHAnsi"/>
          <w:bCs/>
          <w:iCs/>
          <w:lang w:val="cs-CZ"/>
        </w:rPr>
        <w:t>,</w:t>
      </w:r>
      <w:r w:rsidR="0047269A">
        <w:rPr>
          <w:rFonts w:asciiTheme="minorHAnsi" w:eastAsiaTheme="minorHAnsi" w:hAnsiTheme="minorHAnsi" w:cstheme="minorHAnsi"/>
          <w:bCs/>
          <w:iCs/>
          <w:lang w:val="cs-CZ"/>
        </w:rPr>
        <w:t xml:space="preserve"> případně veterinárním zařízením Armády České republiky</w:t>
      </w:r>
      <w:r w:rsidR="00DA08BF">
        <w:rPr>
          <w:rFonts w:asciiTheme="minorHAnsi" w:eastAsiaTheme="minorHAnsi" w:hAnsiTheme="minorHAnsi" w:cstheme="minorHAnsi"/>
          <w:bCs/>
          <w:iCs/>
          <w:lang w:val="cs-CZ"/>
        </w:rPr>
        <w:t xml:space="preserve"> (např. KŘP Ostrava)</w:t>
      </w:r>
      <w:r w:rsidR="0047269A">
        <w:rPr>
          <w:rFonts w:asciiTheme="minorHAnsi" w:eastAsiaTheme="minorHAnsi" w:hAnsiTheme="minorHAnsi" w:cstheme="minorHAnsi"/>
          <w:bCs/>
          <w:iCs/>
          <w:lang w:val="cs-CZ"/>
        </w:rPr>
        <w:t>, nebo úplatně soukromými veterinárními zařízeními</w:t>
      </w:r>
      <w:r w:rsidR="00DA08BF">
        <w:rPr>
          <w:rFonts w:asciiTheme="minorHAnsi" w:eastAsiaTheme="minorHAnsi" w:hAnsiTheme="minorHAnsi" w:cstheme="minorHAnsi"/>
          <w:bCs/>
          <w:iCs/>
          <w:lang w:val="cs-CZ"/>
        </w:rPr>
        <w:t xml:space="preserve"> (např. KŘP H. Králové)</w:t>
      </w:r>
      <w:r w:rsidR="0047269A">
        <w:rPr>
          <w:rFonts w:asciiTheme="minorHAnsi" w:eastAsiaTheme="minorHAnsi" w:hAnsiTheme="minorHAnsi" w:cstheme="minorHAnsi"/>
          <w:bCs/>
          <w:iCs/>
          <w:lang w:val="cs-CZ"/>
        </w:rPr>
        <w:t xml:space="preserve">. </w:t>
      </w:r>
    </w:p>
    <w:p w:rsidR="00375570" w:rsidRPr="003E2D72" w:rsidRDefault="00375570" w:rsidP="00375570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</w:p>
    <w:p w:rsidR="006A63C5" w:rsidRPr="00C65CFB" w:rsidRDefault="006A63C5" w:rsidP="00DF6451">
      <w:pPr>
        <w:tabs>
          <w:tab w:val="right" w:pos="9072"/>
        </w:tabs>
        <w:spacing w:after="40"/>
        <w:rPr>
          <w:rFonts w:ascii="Calibri" w:eastAsiaTheme="minorHAnsi" w:hAnsi="Calibri" w:cs="Calibri"/>
          <w:b/>
          <w:bCs/>
          <w:iCs/>
          <w:lang w:val="cs-CZ"/>
        </w:rPr>
      </w:pPr>
      <w:r w:rsidRPr="00DF6451">
        <w:rPr>
          <w:rFonts w:ascii="Calibri" w:eastAsiaTheme="minorHAnsi" w:hAnsi="Calibri" w:cs="Calibri"/>
          <w:b/>
          <w:lang w:val="cs-CZ"/>
        </w:rPr>
        <w:t>Tabulka</w:t>
      </w:r>
      <w:r w:rsidR="00D005DD" w:rsidRPr="00DF6451">
        <w:rPr>
          <w:rFonts w:ascii="Calibri" w:eastAsiaTheme="minorHAns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>č.</w:t>
      </w:r>
      <w:r w:rsidR="00D005DD" w:rsidRPr="00DF6451">
        <w:rPr>
          <w:rFonts w:ascii="Calibri" w:eastAsiaTheme="minorHAns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>9</w:t>
      </w:r>
      <w:r w:rsidR="00F672A1">
        <w:rPr>
          <w:rFonts w:ascii="Calibri" w:eastAsiaTheme="minorHAnsi" w:hAnsi="Calibri" w:cs="Calibri"/>
          <w:b/>
          <w:lang w:val="cs-CZ"/>
        </w:rPr>
        <w:t xml:space="preserve"> –</w:t>
      </w:r>
      <w:r w:rsidRPr="00DF6451">
        <w:rPr>
          <w:rFonts w:ascii="Calibri" w:eastAsiaTheme="minorHAnsi" w:hAnsi="Calibri" w:cs="Calibri"/>
          <w:b/>
          <w:lang w:val="cs-CZ"/>
        </w:rPr>
        <w:t xml:space="preserve"> </w:t>
      </w:r>
      <w:r w:rsidRPr="00C65CFB">
        <w:rPr>
          <w:rFonts w:ascii="Calibri" w:eastAsiaTheme="minorHAnsi" w:hAnsi="Calibri" w:cs="Calibri"/>
          <w:b/>
          <w:lang w:val="cs-CZ"/>
        </w:rPr>
        <w:t xml:space="preserve">Náklady na služební koně u KŘP Praha </w:t>
      </w:r>
      <w:r w:rsidRPr="00C65CFB">
        <w:rPr>
          <w:rFonts w:ascii="Calibri" w:eastAsiaTheme="minorHAnsi" w:hAnsi="Calibri" w:cs="Calibri"/>
          <w:b/>
          <w:lang w:val="cs-CZ"/>
        </w:rPr>
        <w:tab/>
      </w:r>
      <w:r w:rsidR="00404CA5" w:rsidRPr="00C65CFB">
        <w:rPr>
          <w:rFonts w:ascii="Calibri" w:eastAsiaTheme="minorHAnsi" w:hAnsi="Calibri" w:cs="Calibri"/>
          <w:b/>
          <w:lang w:val="cs-CZ"/>
        </w:rPr>
        <w:t>(</w:t>
      </w:r>
      <w:r w:rsidRPr="00C65CFB">
        <w:rPr>
          <w:rFonts w:ascii="Calibri" w:eastAsiaTheme="minorHAnsi" w:hAnsi="Calibri" w:cs="Calibri"/>
          <w:b/>
          <w:lang w:val="cs-CZ"/>
        </w:rPr>
        <w:t>v Kč</w:t>
      </w:r>
      <w:r w:rsidR="00404CA5" w:rsidRPr="00C65CFB">
        <w:rPr>
          <w:rFonts w:ascii="Calibri" w:eastAsiaTheme="minorHAnsi" w:hAnsi="Calibri" w:cs="Calibri"/>
          <w:b/>
          <w:lang w:val="cs-CZ"/>
        </w:rPr>
        <w:t>)</w:t>
      </w:r>
    </w:p>
    <w:tbl>
      <w:tblPr>
        <w:tblW w:w="907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1984"/>
        <w:gridCol w:w="1984"/>
        <w:gridCol w:w="1985"/>
      </w:tblGrid>
      <w:tr w:rsidR="006A63C5" w:rsidRPr="00DA08BF" w:rsidTr="009E043F">
        <w:trPr>
          <w:trHeight w:val="283"/>
        </w:trPr>
        <w:tc>
          <w:tcPr>
            <w:tcW w:w="3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8006E3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Ukazatel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8006E3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Stav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k</w:t>
            </w:r>
            <w:r w:rsidR="00D005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31.</w:t>
            </w:r>
            <w:r w:rsidR="00D005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12.</w:t>
            </w:r>
          </w:p>
        </w:tc>
      </w:tr>
      <w:tr w:rsidR="006A63C5" w:rsidRPr="00DA08BF" w:rsidTr="009E043F">
        <w:trPr>
          <w:trHeight w:val="283"/>
        </w:trPr>
        <w:tc>
          <w:tcPr>
            <w:tcW w:w="31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63C5" w:rsidRPr="008006E3" w:rsidRDefault="006A63C5" w:rsidP="009E043F">
            <w:pPr>
              <w:keepNext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8006E3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8006E3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63C5" w:rsidRPr="008006E3" w:rsidRDefault="006A63C5" w:rsidP="009E043F">
            <w:pPr>
              <w:keepNext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</w:tr>
      <w:tr w:rsidR="006A63C5" w:rsidRPr="005C46B3" w:rsidTr="009E043F">
        <w:trPr>
          <w:trHeight w:val="283"/>
        </w:trPr>
        <w:tc>
          <w:tcPr>
            <w:tcW w:w="31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8006E3" w:rsidRDefault="006A63C5" w:rsidP="009E043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Náklady na koně celkem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8006E3" w:rsidRDefault="006A63C5" w:rsidP="009E043F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793 021,50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8006E3" w:rsidRDefault="006A63C5" w:rsidP="009E043F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872 101,20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63C5" w:rsidRPr="008006E3" w:rsidRDefault="006A63C5" w:rsidP="009E043F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791 079,00   </w:t>
            </w:r>
          </w:p>
        </w:tc>
      </w:tr>
      <w:tr w:rsidR="006A63C5" w:rsidRPr="005C46B3" w:rsidTr="009E043F">
        <w:trPr>
          <w:trHeight w:val="283"/>
        </w:trPr>
        <w:tc>
          <w:tcPr>
            <w:tcW w:w="31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8006E3" w:rsidRDefault="006A63C5" w:rsidP="009E043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Počet koní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8006E3" w:rsidRDefault="006A63C5" w:rsidP="009E043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14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3C5" w:rsidRPr="008006E3" w:rsidRDefault="006A63C5" w:rsidP="009E043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17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63C5" w:rsidRPr="008006E3" w:rsidRDefault="006A63C5" w:rsidP="009E043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17</w:t>
            </w:r>
            <w:r w:rsidR="00F672A1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,00</w:t>
            </w:r>
            <w:r w:rsidRPr="008006E3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  </w:t>
            </w:r>
          </w:p>
        </w:tc>
      </w:tr>
      <w:tr w:rsidR="006A63C5" w:rsidRPr="008006E3" w:rsidTr="009E043F">
        <w:trPr>
          <w:trHeight w:val="283"/>
        </w:trPr>
        <w:tc>
          <w:tcPr>
            <w:tcW w:w="31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9E043F">
            <w:pPr>
              <w:keepNext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Průměrné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roční </w:t>
            </w: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náklady na jednoho koně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9E043F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56 644,3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</w:t>
            </w: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9E043F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51 300,07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63C5" w:rsidRPr="008006E3" w:rsidRDefault="006A63C5" w:rsidP="009E043F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8006E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46 534,06   </w:t>
            </w:r>
          </w:p>
        </w:tc>
      </w:tr>
    </w:tbl>
    <w:p w:rsidR="006A63C5" w:rsidRPr="00DF6451" w:rsidRDefault="00DF6451" w:rsidP="00DF6451">
      <w:pPr>
        <w:ind w:left="567" w:hanging="567"/>
        <w:rPr>
          <w:rFonts w:ascii="Calibri" w:eastAsiaTheme="minorHAnsi" w:hAnsi="Calibri" w:cs="Calibri"/>
          <w:sz w:val="20"/>
          <w:szCs w:val="20"/>
          <w:lang w:val="cs-CZ"/>
        </w:rPr>
      </w:pPr>
      <w:r w:rsidRPr="00C65CFB">
        <w:rPr>
          <w:rFonts w:ascii="Calibri" w:eastAsiaTheme="minorHAnsi" w:hAnsi="Calibri" w:cs="Calibri"/>
          <w:b/>
          <w:sz w:val="20"/>
          <w:szCs w:val="20"/>
          <w:lang w:val="cs-CZ"/>
        </w:rPr>
        <w:t>Zdroj:</w:t>
      </w:r>
      <w:r w:rsidRPr="00C65CFB">
        <w:rPr>
          <w:rFonts w:ascii="Calibri" w:eastAsiaTheme="minorHAnsi" w:hAnsi="Calibri" w:cs="Calibri"/>
          <w:b/>
          <w:sz w:val="20"/>
          <w:szCs w:val="20"/>
          <w:lang w:val="cs-CZ"/>
        </w:rPr>
        <w:tab/>
      </w:r>
      <w:r w:rsidR="00F672A1">
        <w:rPr>
          <w:rFonts w:ascii="Calibri" w:eastAsiaTheme="minorHAnsi" w:hAnsi="Calibri" w:cs="Calibri"/>
          <w:sz w:val="20"/>
          <w:szCs w:val="20"/>
          <w:lang w:val="cs-CZ"/>
        </w:rPr>
        <w:t>k</w:t>
      </w:r>
      <w:r w:rsidR="006A63C5" w:rsidRPr="00DF6451">
        <w:rPr>
          <w:rFonts w:ascii="Calibri" w:eastAsiaTheme="minorHAnsi" w:hAnsi="Calibri" w:cs="Calibri"/>
          <w:sz w:val="20"/>
          <w:szCs w:val="20"/>
          <w:lang w:val="cs-CZ"/>
        </w:rPr>
        <w:t>nihy analytických účtů KŘP Prah</w:t>
      </w:r>
      <w:r w:rsidR="00F672A1">
        <w:rPr>
          <w:rFonts w:ascii="Calibri" w:eastAsiaTheme="minorHAnsi" w:hAnsi="Calibri" w:cs="Calibri"/>
          <w:sz w:val="20"/>
          <w:szCs w:val="20"/>
          <w:lang w:val="cs-CZ"/>
        </w:rPr>
        <w:t>a</w:t>
      </w:r>
      <w:r w:rsidR="006A63C5" w:rsidRPr="00DF6451">
        <w:rPr>
          <w:rFonts w:ascii="Calibri" w:eastAsiaTheme="minorHAnsi" w:hAnsi="Calibri" w:cs="Calibri"/>
          <w:sz w:val="20"/>
          <w:szCs w:val="20"/>
          <w:lang w:val="cs-CZ"/>
        </w:rPr>
        <w:t xml:space="preserve"> k</w:t>
      </w:r>
      <w:r w:rsidR="00D005DD" w:rsidRPr="00DF6451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6A63C5" w:rsidRPr="00DF6451">
        <w:rPr>
          <w:rFonts w:ascii="Calibri" w:eastAsiaTheme="minorHAnsi" w:hAnsi="Calibri" w:cs="Calibri"/>
          <w:sz w:val="20"/>
          <w:szCs w:val="20"/>
          <w:lang w:val="cs-CZ"/>
        </w:rPr>
        <w:t>31. 12. 2012, 2013 a 2014</w:t>
      </w:r>
      <w:r w:rsidR="00A52552">
        <w:rPr>
          <w:rFonts w:ascii="Calibri" w:eastAsiaTheme="minorHAnsi" w:hAnsi="Calibri" w:cs="Calibri"/>
          <w:sz w:val="20"/>
          <w:szCs w:val="20"/>
          <w:lang w:val="cs-CZ"/>
        </w:rPr>
        <w:t>;</w:t>
      </w:r>
      <w:r w:rsidR="006A63C5" w:rsidRPr="00DF6451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F672A1">
        <w:rPr>
          <w:rFonts w:ascii="Calibri" w:eastAsiaTheme="minorHAnsi" w:hAnsi="Calibri" w:cs="Calibri"/>
          <w:sz w:val="20"/>
          <w:szCs w:val="20"/>
          <w:lang w:val="cs-CZ"/>
        </w:rPr>
        <w:t>i</w:t>
      </w:r>
      <w:r w:rsidR="006A63C5" w:rsidRPr="00DF6451">
        <w:rPr>
          <w:rFonts w:ascii="Calibri" w:eastAsiaTheme="minorHAnsi" w:hAnsi="Calibri" w:cs="Calibri"/>
          <w:sz w:val="20"/>
          <w:szCs w:val="20"/>
          <w:lang w:val="cs-CZ"/>
        </w:rPr>
        <w:t>nventurní soupisy služebních zvířat k</w:t>
      </w:r>
      <w:r>
        <w:rPr>
          <w:rFonts w:ascii="Calibri" w:eastAsiaTheme="minorHAnsi" w:hAnsi="Calibri" w:cs="Calibri"/>
          <w:sz w:val="20"/>
          <w:szCs w:val="20"/>
          <w:lang w:val="cs-CZ"/>
        </w:rPr>
        <w:t> </w:t>
      </w:r>
      <w:r w:rsidR="006A63C5" w:rsidRPr="00DF6451">
        <w:rPr>
          <w:rFonts w:ascii="Calibri" w:eastAsiaTheme="minorHAnsi" w:hAnsi="Calibri" w:cs="Calibri"/>
          <w:sz w:val="20"/>
          <w:szCs w:val="20"/>
          <w:lang w:val="cs-CZ"/>
        </w:rPr>
        <w:t>31.</w:t>
      </w:r>
      <w:r>
        <w:rPr>
          <w:rFonts w:ascii="Calibri" w:eastAsiaTheme="minorHAnsi" w:hAnsi="Calibri" w:cs="Calibri"/>
          <w:sz w:val="20"/>
          <w:szCs w:val="20"/>
          <w:lang w:val="cs-CZ"/>
        </w:rPr>
        <w:t> </w:t>
      </w:r>
      <w:r w:rsidR="006A63C5" w:rsidRPr="00DF6451">
        <w:rPr>
          <w:rFonts w:ascii="Calibri" w:eastAsiaTheme="minorHAnsi" w:hAnsi="Calibri" w:cs="Calibri"/>
          <w:sz w:val="20"/>
          <w:szCs w:val="20"/>
          <w:lang w:val="cs-CZ"/>
        </w:rPr>
        <w:t>12.</w:t>
      </w:r>
      <w:r>
        <w:rPr>
          <w:rFonts w:ascii="Calibri" w:eastAsiaTheme="minorHAnsi" w:hAnsi="Calibri" w:cs="Calibri"/>
          <w:sz w:val="20"/>
          <w:szCs w:val="20"/>
          <w:lang w:val="cs-CZ"/>
        </w:rPr>
        <w:t> </w:t>
      </w:r>
      <w:r w:rsidR="006A63C5" w:rsidRPr="00DF6451">
        <w:rPr>
          <w:rFonts w:ascii="Calibri" w:eastAsiaTheme="minorHAnsi" w:hAnsi="Calibri" w:cs="Calibri"/>
          <w:sz w:val="20"/>
          <w:szCs w:val="20"/>
          <w:lang w:val="cs-CZ"/>
        </w:rPr>
        <w:t>2012, 2013 a 2014.</w:t>
      </w:r>
    </w:p>
    <w:p w:rsidR="00DF6451" w:rsidRDefault="00DF6451" w:rsidP="00DF6451">
      <w:pPr>
        <w:jc w:val="both"/>
        <w:rPr>
          <w:rFonts w:asciiTheme="minorHAnsi" w:hAnsiTheme="minorHAnsi" w:cstheme="minorHAnsi"/>
          <w:bCs/>
          <w:iCs/>
          <w:lang w:val="cs-CZ"/>
        </w:rPr>
      </w:pPr>
    </w:p>
    <w:p w:rsidR="001F2AA4" w:rsidRDefault="001F2AA4" w:rsidP="00DF6451">
      <w:pPr>
        <w:jc w:val="both"/>
        <w:rPr>
          <w:rFonts w:ascii="Calibri" w:hAnsi="Calibri" w:cs="Calibri"/>
          <w:color w:val="000000"/>
          <w:lang w:val="cs-CZ"/>
        </w:rPr>
      </w:pPr>
      <w:r w:rsidRPr="00F84C9D">
        <w:rPr>
          <w:rFonts w:asciiTheme="minorHAnsi" w:hAnsiTheme="minorHAnsi" w:cstheme="minorHAnsi"/>
          <w:bCs/>
          <w:iCs/>
          <w:lang w:val="cs-CZ"/>
        </w:rPr>
        <w:t xml:space="preserve">V </w:t>
      </w:r>
      <w:r w:rsidRPr="00F84C9D">
        <w:rPr>
          <w:rFonts w:asciiTheme="minorHAnsi" w:eastAsiaTheme="minorHAnsi" w:hAnsiTheme="minorHAnsi" w:cstheme="minorBidi"/>
          <w:lang w:val="cs-CZ"/>
        </w:rPr>
        <w:t>rámci</w:t>
      </w:r>
      <w:r w:rsidRPr="00F84C9D">
        <w:rPr>
          <w:rFonts w:asciiTheme="minorHAnsi" w:hAnsiTheme="minorHAnsi" w:cstheme="minorHAnsi"/>
          <w:bCs/>
          <w:iCs/>
          <w:lang w:val="cs-CZ"/>
        </w:rPr>
        <w:t xml:space="preserve"> kontroly hospodaření s</w:t>
      </w:r>
      <w:r w:rsidR="00D005DD">
        <w:rPr>
          <w:rFonts w:asciiTheme="minorHAnsi" w:hAnsiTheme="minorHAnsi" w:cstheme="minorHAnsi"/>
          <w:bCs/>
          <w:iCs/>
          <w:lang w:val="cs-CZ"/>
        </w:rPr>
        <w:t xml:space="preserve"> </w:t>
      </w:r>
      <w:r w:rsidRPr="00F84C9D">
        <w:rPr>
          <w:rFonts w:asciiTheme="minorHAnsi" w:hAnsiTheme="minorHAnsi" w:cstheme="minorHAnsi"/>
          <w:bCs/>
          <w:iCs/>
          <w:lang w:val="cs-CZ"/>
        </w:rPr>
        <w:t>peněžními prostředky byly prověřovány náklady na vybrané služby. Kontrolována byla hospodárnost a účelnost vybraných nákladů.</w:t>
      </w:r>
      <w:r w:rsidR="00A52552">
        <w:rPr>
          <w:rFonts w:asciiTheme="minorHAnsi" w:hAnsiTheme="minorHAnsi" w:cstheme="minorHAnsi"/>
          <w:bCs/>
          <w:iCs/>
          <w:lang w:val="cs-CZ"/>
        </w:rPr>
        <w:t xml:space="preserve"> </w:t>
      </w:r>
      <w:r w:rsidRPr="00F84C9D">
        <w:rPr>
          <w:rFonts w:ascii="Calibri" w:hAnsi="Calibri" w:cs="Calibri"/>
          <w:color w:val="000000"/>
          <w:lang w:val="cs-CZ"/>
        </w:rPr>
        <w:t>Jednalo se o náklady na účastnické poplatky za hovorné v linkových a radiových systémech, provoz mobilních telefonů, nákup telefonních karet, převoz zemřelých k pitvě, odtahy vozidel, úhrady obhájcům v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F84C9D">
        <w:rPr>
          <w:rFonts w:ascii="Calibri" w:hAnsi="Calibri" w:cs="Calibri"/>
          <w:color w:val="000000"/>
          <w:lang w:val="cs-CZ"/>
        </w:rPr>
        <w:t>rámci trestního řízení, servis vzduchotechniky, servis výtahů, poskytnuté zdravotn</w:t>
      </w:r>
      <w:r w:rsidR="00A52552">
        <w:rPr>
          <w:rFonts w:ascii="Calibri" w:hAnsi="Calibri" w:cs="Calibri"/>
          <w:color w:val="000000"/>
          <w:lang w:val="cs-CZ"/>
        </w:rPr>
        <w:t>í</w:t>
      </w:r>
      <w:r w:rsidRPr="00F84C9D">
        <w:rPr>
          <w:rFonts w:ascii="Calibri" w:hAnsi="Calibri" w:cs="Calibri"/>
          <w:color w:val="000000"/>
          <w:lang w:val="cs-CZ"/>
        </w:rPr>
        <w:t xml:space="preserve"> služby, desinfekce, deratizac</w:t>
      </w:r>
      <w:r>
        <w:rPr>
          <w:rFonts w:ascii="Calibri" w:hAnsi="Calibri" w:cs="Calibri"/>
          <w:color w:val="000000"/>
          <w:lang w:val="cs-CZ"/>
        </w:rPr>
        <w:t>e, parkovací karty, poplatky za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 w:rsidRPr="00F84C9D">
        <w:rPr>
          <w:rFonts w:ascii="Calibri" w:hAnsi="Calibri" w:cs="Calibri"/>
          <w:color w:val="000000"/>
          <w:lang w:val="cs-CZ"/>
        </w:rPr>
        <w:t>elektronický podpis apod.</w:t>
      </w:r>
    </w:p>
    <w:p w:rsidR="00DF6451" w:rsidRPr="00F84C9D" w:rsidRDefault="00DF6451" w:rsidP="00DF6451">
      <w:pPr>
        <w:jc w:val="both"/>
        <w:rPr>
          <w:rFonts w:ascii="Calibri" w:hAnsi="Calibri" w:cs="Calibri"/>
          <w:color w:val="000000"/>
          <w:lang w:val="cs-CZ"/>
        </w:rPr>
      </w:pPr>
    </w:p>
    <w:p w:rsidR="001F2AA4" w:rsidRDefault="001F2AA4" w:rsidP="00DF6451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  <w:r w:rsidRPr="00F84C9D">
        <w:rPr>
          <w:rFonts w:ascii="Calibri" w:hAnsi="Calibri" w:cs="Calibri"/>
          <w:color w:val="000000"/>
          <w:lang w:val="cs-CZ"/>
        </w:rPr>
        <w:t>Pře</w:t>
      </w:r>
      <w:r>
        <w:rPr>
          <w:rFonts w:ascii="Calibri" w:hAnsi="Calibri" w:cs="Calibri"/>
          <w:color w:val="000000"/>
          <w:lang w:val="cs-CZ"/>
        </w:rPr>
        <w:t xml:space="preserve">hled o výši nákladů </w:t>
      </w:r>
      <w:r w:rsidR="00A52552">
        <w:rPr>
          <w:rFonts w:ascii="Calibri" w:hAnsi="Calibri" w:cs="Calibri"/>
          <w:color w:val="000000"/>
          <w:lang w:val="cs-CZ"/>
        </w:rPr>
        <w:t xml:space="preserve">na vybrané služby </w:t>
      </w:r>
      <w:r>
        <w:rPr>
          <w:rFonts w:ascii="Calibri" w:hAnsi="Calibri" w:cs="Calibri"/>
          <w:color w:val="000000"/>
          <w:lang w:val="cs-CZ"/>
        </w:rPr>
        <w:t>u</w:t>
      </w:r>
      <w:r w:rsidR="00D005DD"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kontrolovaných</w:t>
      </w:r>
      <w:r w:rsidRPr="00F84C9D">
        <w:rPr>
          <w:rFonts w:ascii="Calibri" w:hAnsi="Calibri" w:cs="Calibri"/>
          <w:color w:val="000000"/>
          <w:lang w:val="cs-CZ"/>
        </w:rPr>
        <w:t xml:space="preserve"> krajských</w:t>
      </w:r>
      <w:r w:rsidRPr="00F84C9D">
        <w:rPr>
          <w:rFonts w:asciiTheme="minorHAnsi" w:eastAsiaTheme="minorHAnsi" w:hAnsiTheme="minorHAnsi" w:cstheme="minorHAnsi"/>
          <w:bCs/>
          <w:iCs/>
          <w:lang w:val="cs-CZ"/>
        </w:rPr>
        <w:t xml:space="preserve"> ředitelství policie </w:t>
      </w:r>
      <w:r>
        <w:rPr>
          <w:rFonts w:asciiTheme="minorHAnsi" w:eastAsiaTheme="minorHAnsi" w:hAnsiTheme="minorHAnsi" w:cstheme="minorHAnsi"/>
          <w:bCs/>
          <w:iCs/>
          <w:lang w:val="cs-CZ"/>
        </w:rPr>
        <w:t>poskytuje</w:t>
      </w:r>
      <w:r w:rsidRPr="00F84C9D">
        <w:rPr>
          <w:rFonts w:asciiTheme="minorHAnsi" w:eastAsiaTheme="minorHAnsi" w:hAnsiTheme="minorHAnsi" w:cstheme="minorHAnsi"/>
          <w:bCs/>
          <w:iCs/>
          <w:lang w:val="cs-CZ"/>
        </w:rPr>
        <w:t xml:space="preserve"> následující tabulka</w:t>
      </w:r>
      <w:r w:rsidR="00D005DD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Pr="00F84C9D">
        <w:rPr>
          <w:rFonts w:asciiTheme="minorHAnsi" w:eastAsiaTheme="minorHAnsi" w:hAnsiTheme="minorHAnsi" w:cstheme="minorHAnsi"/>
          <w:bCs/>
          <w:iCs/>
          <w:lang w:val="cs-CZ"/>
        </w:rPr>
        <w:t>č.</w:t>
      </w:r>
      <w:r w:rsidR="00D005DD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="006A63C5">
        <w:rPr>
          <w:rFonts w:asciiTheme="minorHAnsi" w:eastAsiaTheme="minorHAnsi" w:hAnsiTheme="minorHAnsi" w:cstheme="minorHAnsi"/>
          <w:bCs/>
          <w:iCs/>
          <w:lang w:val="cs-CZ"/>
        </w:rPr>
        <w:t>10</w:t>
      </w:r>
      <w:r w:rsidRPr="00F84C9D">
        <w:rPr>
          <w:rFonts w:asciiTheme="minorHAnsi" w:eastAsiaTheme="minorHAnsi" w:hAnsiTheme="minorHAnsi" w:cstheme="minorHAnsi"/>
          <w:bCs/>
          <w:iCs/>
          <w:lang w:val="cs-CZ"/>
        </w:rPr>
        <w:t>.</w:t>
      </w:r>
    </w:p>
    <w:p w:rsidR="00DF6451" w:rsidRPr="00F84C9D" w:rsidRDefault="00DF6451" w:rsidP="00DF6451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</w:p>
    <w:p w:rsidR="001F2AA4" w:rsidRPr="00DF6451" w:rsidRDefault="001F2AA4" w:rsidP="00DF6451">
      <w:pPr>
        <w:spacing w:after="40"/>
        <w:rPr>
          <w:rFonts w:ascii="Calibri" w:eastAsiaTheme="minorHAnsi" w:hAnsi="Calibri" w:cs="Calibri"/>
          <w:b/>
          <w:lang w:val="cs-CZ"/>
        </w:rPr>
      </w:pPr>
      <w:r w:rsidRPr="00DF6451">
        <w:rPr>
          <w:rFonts w:ascii="Calibri" w:eastAsiaTheme="minorHAnsi" w:hAnsi="Calibri" w:cs="Calibri"/>
          <w:b/>
          <w:lang w:val="cs-CZ"/>
        </w:rPr>
        <w:t>Tabulka</w:t>
      </w:r>
      <w:r w:rsidR="00D005DD" w:rsidRPr="00DF6451">
        <w:rPr>
          <w:rFonts w:ascii="Calibri" w:eastAsiaTheme="minorHAns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>č.</w:t>
      </w:r>
      <w:r w:rsidR="00D005DD" w:rsidRPr="00DF6451">
        <w:rPr>
          <w:rFonts w:ascii="Calibri" w:eastAsiaTheme="minorHAnsi" w:hAnsi="Calibri" w:cs="Calibri"/>
          <w:b/>
          <w:lang w:val="cs-CZ"/>
        </w:rPr>
        <w:t xml:space="preserve"> </w:t>
      </w:r>
      <w:r w:rsidR="006A63C5" w:rsidRPr="00DF6451">
        <w:rPr>
          <w:rFonts w:ascii="Calibri" w:eastAsiaTheme="minorHAnsi" w:hAnsi="Calibri" w:cs="Calibri"/>
          <w:b/>
          <w:lang w:val="cs-CZ"/>
        </w:rPr>
        <w:t>10</w:t>
      </w:r>
      <w:r w:rsidR="00F672A1">
        <w:rPr>
          <w:rFonts w:ascii="Calibri" w:eastAsiaTheme="minorHAnsi" w:hAnsi="Calibri" w:cs="Calibri"/>
          <w:b/>
          <w:lang w:val="cs-CZ"/>
        </w:rPr>
        <w:t xml:space="preserve"> –</w:t>
      </w:r>
      <w:r w:rsidRPr="00DF6451">
        <w:rPr>
          <w:rFonts w:ascii="Calibri" w:eastAsiaTheme="minorHAnsi" w:hAnsi="Calibri" w:cs="Calibri"/>
          <w:b/>
          <w:lang w:val="cs-CZ"/>
        </w:rPr>
        <w:t xml:space="preserve"> </w:t>
      </w:r>
      <w:r w:rsidR="00A52552">
        <w:rPr>
          <w:rFonts w:ascii="Calibri" w:eastAsiaTheme="minorHAnsi" w:hAnsi="Calibri" w:cs="Calibri"/>
          <w:b/>
          <w:lang w:val="cs-CZ"/>
        </w:rPr>
        <w:t>N</w:t>
      </w:r>
      <w:r w:rsidRPr="00C65CFB">
        <w:rPr>
          <w:rFonts w:ascii="Calibri" w:eastAsiaTheme="minorHAnsi" w:hAnsi="Calibri" w:cs="Calibri"/>
          <w:b/>
          <w:lang w:val="cs-CZ"/>
        </w:rPr>
        <w:t>áklady na</w:t>
      </w:r>
      <w:r w:rsidR="00A52552">
        <w:rPr>
          <w:rFonts w:ascii="Calibri" w:eastAsiaTheme="minorHAnsi" w:hAnsi="Calibri" w:cs="Calibri"/>
          <w:b/>
          <w:lang w:val="cs-CZ"/>
        </w:rPr>
        <w:t xml:space="preserve"> vybrané</w:t>
      </w:r>
      <w:r w:rsidRPr="00C65CFB">
        <w:rPr>
          <w:rFonts w:ascii="Calibri" w:eastAsiaTheme="minorHAnsi" w:hAnsi="Calibri" w:cs="Calibri"/>
          <w:b/>
          <w:lang w:val="cs-CZ"/>
        </w:rPr>
        <w:t xml:space="preserve"> služby kontrolovaných KŘP</w:t>
      </w:r>
    </w:p>
    <w:tbl>
      <w:tblPr>
        <w:tblW w:w="914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1439"/>
        <w:gridCol w:w="1439"/>
        <w:gridCol w:w="1439"/>
        <w:gridCol w:w="1439"/>
        <w:gridCol w:w="1440"/>
      </w:tblGrid>
      <w:tr w:rsidR="001F2AA4" w:rsidRPr="00F84C9D" w:rsidTr="0061079F">
        <w:trPr>
          <w:trHeight w:val="283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F84C9D" w:rsidRDefault="001F2AA4" w:rsidP="0061079F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Ukazatel</w:t>
            </w:r>
          </w:p>
        </w:tc>
        <w:tc>
          <w:tcPr>
            <w:tcW w:w="719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F84C9D" w:rsidRDefault="001F2AA4" w:rsidP="00F672A1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Roky 2012</w:t>
            </w:r>
            <w:r w:rsidR="00F672A1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–</w:t>
            </w:r>
            <w:r w:rsidRPr="00F84C9D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</w:tr>
      <w:tr w:rsidR="001F2AA4" w:rsidRPr="00F84C9D" w:rsidTr="0061079F">
        <w:trPr>
          <w:trHeight w:val="283"/>
        </w:trPr>
        <w:tc>
          <w:tcPr>
            <w:tcW w:w="19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AA4" w:rsidRPr="00F84C9D" w:rsidRDefault="001F2AA4" w:rsidP="0061079F">
            <w:pPr>
              <w:keepNext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C65CFB" w:rsidRDefault="001F2AA4" w:rsidP="0061079F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Praha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C65CFB" w:rsidRDefault="001F2AA4" w:rsidP="0061079F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Ostrava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C65CFB" w:rsidRDefault="001F2AA4" w:rsidP="0061079F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Č. Budějovice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C65CFB" w:rsidRDefault="001F2AA4" w:rsidP="0061079F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Ústí n. 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AA4" w:rsidRPr="00C65CFB" w:rsidRDefault="001F2AA4" w:rsidP="0061079F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 w:eastAsia="cs-CZ"/>
              </w:rPr>
              <w:t>KŘP H. Králové</w:t>
            </w:r>
          </w:p>
        </w:tc>
      </w:tr>
      <w:tr w:rsidR="001F2AA4" w:rsidRPr="00F84C9D" w:rsidTr="0061079F">
        <w:trPr>
          <w:trHeight w:val="28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84C9D" w:rsidRDefault="00A52552" w:rsidP="00A52552">
            <w:pPr>
              <w:keepNext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</w:t>
            </w:r>
            <w:r w:rsidR="001F2AA4"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áklady na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vybrané </w:t>
            </w:r>
            <w:r w:rsidR="001F2AA4"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služby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84C9D" w:rsidRDefault="001F2AA4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85 166 959,07   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84C9D" w:rsidRDefault="001F2AA4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24 615 603,22   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84C9D" w:rsidRDefault="001F2AA4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9 371 899,56   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A4" w:rsidRPr="00F84C9D" w:rsidRDefault="001F2AA4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22 425 716,76  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2AA4" w:rsidRPr="00F84C9D" w:rsidRDefault="001F2AA4" w:rsidP="0061079F">
            <w:pPr>
              <w:keepNext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F84C9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11 559 585,43   </w:t>
            </w:r>
          </w:p>
        </w:tc>
      </w:tr>
    </w:tbl>
    <w:p w:rsidR="001F2AA4" w:rsidRPr="00DF6451" w:rsidRDefault="00DF6451" w:rsidP="00DF6451">
      <w:pPr>
        <w:spacing w:before="40"/>
        <w:ind w:left="567" w:hanging="567"/>
        <w:rPr>
          <w:rFonts w:ascii="Calibri" w:eastAsiaTheme="minorHAnsi" w:hAnsi="Calibri" w:cs="Calibri"/>
          <w:sz w:val="20"/>
          <w:szCs w:val="20"/>
          <w:lang w:val="cs-CZ"/>
        </w:rPr>
      </w:pPr>
      <w:r w:rsidRPr="00C65CFB">
        <w:rPr>
          <w:rFonts w:ascii="Calibri" w:eastAsiaTheme="minorHAnsi" w:hAnsi="Calibri" w:cs="Calibri"/>
          <w:b/>
          <w:sz w:val="20"/>
          <w:szCs w:val="20"/>
          <w:lang w:val="cs-CZ"/>
        </w:rPr>
        <w:t>Zdroj:</w:t>
      </w:r>
      <w:r>
        <w:rPr>
          <w:rFonts w:ascii="Calibri" w:eastAsiaTheme="minorHAnsi" w:hAnsi="Calibri" w:cs="Calibri"/>
          <w:sz w:val="20"/>
          <w:szCs w:val="20"/>
          <w:lang w:val="cs-CZ"/>
        </w:rPr>
        <w:tab/>
      </w:r>
      <w:r w:rsidR="00F672A1">
        <w:rPr>
          <w:rFonts w:ascii="Calibri" w:eastAsiaTheme="minorHAnsi" w:hAnsi="Calibri" w:cs="Calibri"/>
          <w:sz w:val="20"/>
          <w:szCs w:val="20"/>
          <w:lang w:val="cs-CZ"/>
        </w:rPr>
        <w:t>k</w:t>
      </w:r>
      <w:r w:rsidR="001F2AA4" w:rsidRPr="00DF6451">
        <w:rPr>
          <w:rFonts w:ascii="Calibri" w:eastAsiaTheme="minorHAnsi" w:hAnsi="Calibri" w:cs="Calibri"/>
          <w:sz w:val="20"/>
          <w:szCs w:val="20"/>
          <w:lang w:val="cs-CZ"/>
        </w:rPr>
        <w:t>nihy analytických účtů kontrolovaných KŘP k</w:t>
      </w:r>
      <w:r w:rsidR="00D005DD" w:rsidRPr="00DF6451">
        <w:rPr>
          <w:rFonts w:ascii="Calibri" w:eastAsiaTheme="minorHAnsi" w:hAnsi="Calibri" w:cs="Calibri"/>
          <w:sz w:val="20"/>
          <w:szCs w:val="20"/>
          <w:lang w:val="cs-CZ"/>
        </w:rPr>
        <w:t xml:space="preserve"> </w:t>
      </w:r>
      <w:r w:rsidR="001F2AA4" w:rsidRPr="00DF6451">
        <w:rPr>
          <w:rFonts w:ascii="Calibri" w:eastAsiaTheme="minorHAnsi" w:hAnsi="Calibri" w:cs="Calibri"/>
          <w:sz w:val="20"/>
          <w:szCs w:val="20"/>
          <w:lang w:val="cs-CZ"/>
        </w:rPr>
        <w:t>31. 12. 2012, 2013 a 2014.</w:t>
      </w:r>
    </w:p>
    <w:p w:rsidR="00DF6451" w:rsidRDefault="00DF6451" w:rsidP="00DF6451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</w:p>
    <w:p w:rsidR="001F2AA4" w:rsidRDefault="001F2AA4" w:rsidP="00DF6451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  <w:r w:rsidRPr="00DF6451">
        <w:rPr>
          <w:rFonts w:asciiTheme="minorHAnsi" w:eastAsiaTheme="minorHAnsi" w:hAnsiTheme="minorHAnsi" w:cstheme="minorHAnsi"/>
          <w:bCs/>
          <w:iCs/>
          <w:lang w:val="cs-CZ"/>
        </w:rPr>
        <w:t xml:space="preserve">Rozdíly ve výši </w:t>
      </w:r>
      <w:r w:rsidR="00A52552">
        <w:rPr>
          <w:rFonts w:asciiTheme="minorHAnsi" w:eastAsiaTheme="minorHAnsi" w:hAnsiTheme="minorHAnsi" w:cstheme="minorHAnsi"/>
          <w:bCs/>
          <w:iCs/>
          <w:lang w:val="cs-CZ"/>
        </w:rPr>
        <w:t>těchto</w:t>
      </w:r>
      <w:r w:rsidRPr="00DF6451">
        <w:rPr>
          <w:rFonts w:asciiTheme="minorHAnsi" w:eastAsiaTheme="minorHAnsi" w:hAnsiTheme="minorHAnsi" w:cstheme="minorHAnsi"/>
          <w:bCs/>
          <w:iCs/>
          <w:lang w:val="cs-CZ"/>
        </w:rPr>
        <w:t xml:space="preserve"> nákladů mezi kontrolovanými krajskými ředitelstvími policie odpovídají rozdílům v rozsahu činností</w:t>
      </w:r>
      <w:r w:rsidR="00A52552">
        <w:rPr>
          <w:rFonts w:asciiTheme="minorHAnsi" w:eastAsiaTheme="minorHAnsi" w:hAnsiTheme="minorHAnsi" w:cstheme="minorHAnsi"/>
          <w:bCs/>
          <w:iCs/>
          <w:lang w:val="cs-CZ"/>
        </w:rPr>
        <w:t xml:space="preserve"> KŘP</w:t>
      </w:r>
      <w:r w:rsidRPr="00DF6451">
        <w:rPr>
          <w:rFonts w:asciiTheme="minorHAnsi" w:eastAsiaTheme="minorHAnsi" w:hAnsiTheme="minorHAnsi" w:cstheme="minorHAnsi"/>
          <w:bCs/>
          <w:iCs/>
          <w:lang w:val="cs-CZ"/>
        </w:rPr>
        <w:t xml:space="preserve"> při plnění úkolů daných zákonem</w:t>
      </w:r>
      <w:r w:rsidRPr="00DF6451">
        <w:rPr>
          <w:rFonts w:asciiTheme="minorHAnsi" w:eastAsiaTheme="minorHAnsi" w:hAnsiTheme="minorHAnsi" w:cstheme="minorHAnsi"/>
          <w:bCs/>
          <w:iCs/>
          <w:vertAlign w:val="superscript"/>
          <w:lang w:val="cs-CZ"/>
        </w:rPr>
        <w:t>1</w:t>
      </w:r>
      <w:r w:rsidR="00CC305B" w:rsidRPr="00DF6451">
        <w:rPr>
          <w:rFonts w:asciiTheme="minorHAnsi" w:eastAsiaTheme="minorHAnsi" w:hAnsiTheme="minorHAnsi" w:cstheme="minorHAnsi"/>
          <w:bCs/>
          <w:iCs/>
          <w:lang w:val="cs-CZ"/>
        </w:rPr>
        <w:t>, jak vyplývá z</w:t>
      </w:r>
      <w:r w:rsidR="00AC2364" w:rsidRPr="00DF6451">
        <w:rPr>
          <w:rFonts w:asciiTheme="minorHAnsi" w:eastAsiaTheme="minorHAnsi" w:hAnsiTheme="minorHAnsi" w:cstheme="minorHAnsi"/>
          <w:bCs/>
          <w:iCs/>
          <w:lang w:val="cs-CZ"/>
        </w:rPr>
        <w:t> </w:t>
      </w:r>
      <w:r w:rsidR="00CC305B" w:rsidRPr="00DF6451">
        <w:rPr>
          <w:rFonts w:asciiTheme="minorHAnsi" w:eastAsiaTheme="minorHAnsi" w:hAnsiTheme="minorHAnsi" w:cstheme="minorHAnsi"/>
          <w:bCs/>
          <w:iCs/>
          <w:lang w:val="cs-CZ"/>
        </w:rPr>
        <w:t>tabulky</w:t>
      </w:r>
      <w:r w:rsidR="00D005DD" w:rsidRPr="00DF6451">
        <w:rPr>
          <w:rFonts w:asciiTheme="minorHAnsi" w:eastAsiaTheme="minorHAnsi" w:hAnsiTheme="minorHAnsi" w:cstheme="minorHAnsi"/>
          <w:bCs/>
          <w:iCs/>
          <w:lang w:val="cs-CZ"/>
        </w:rPr>
        <w:t xml:space="preserve"> </w:t>
      </w:r>
      <w:r w:rsidR="00AC2364" w:rsidRPr="00DF6451">
        <w:rPr>
          <w:rFonts w:asciiTheme="minorHAnsi" w:eastAsiaTheme="minorHAnsi" w:hAnsiTheme="minorHAnsi" w:cstheme="minorHAnsi"/>
          <w:bCs/>
          <w:iCs/>
          <w:lang w:val="cs-CZ"/>
        </w:rPr>
        <w:t>č. 1 a 4 (počet</w:t>
      </w:r>
      <w:r w:rsidR="00A26F23" w:rsidRPr="00DF6451">
        <w:rPr>
          <w:rFonts w:asciiTheme="minorHAnsi" w:eastAsiaTheme="minorHAnsi" w:hAnsiTheme="minorHAnsi" w:cstheme="minorHAnsi"/>
          <w:bCs/>
          <w:iCs/>
          <w:lang w:val="cs-CZ"/>
        </w:rPr>
        <w:t xml:space="preserve"> trestných činů, počet dopravních nehod a přestupků)</w:t>
      </w:r>
      <w:r w:rsidRPr="00DF6451">
        <w:rPr>
          <w:rFonts w:asciiTheme="minorHAnsi" w:eastAsiaTheme="minorHAnsi" w:hAnsiTheme="minorHAnsi" w:cstheme="minorHAnsi"/>
          <w:bCs/>
          <w:iCs/>
          <w:lang w:val="cs-CZ"/>
        </w:rPr>
        <w:t>.</w:t>
      </w:r>
    </w:p>
    <w:p w:rsidR="00DF6451" w:rsidRDefault="00DF6451" w:rsidP="00DF6451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</w:p>
    <w:p w:rsidR="00A52552" w:rsidRDefault="00A52552" w:rsidP="00DF6451">
      <w:pPr>
        <w:jc w:val="both"/>
        <w:rPr>
          <w:rFonts w:asciiTheme="minorHAnsi" w:eastAsiaTheme="minorHAnsi" w:hAnsiTheme="minorHAnsi" w:cstheme="minorHAnsi"/>
          <w:bCs/>
          <w:iCs/>
          <w:lang w:val="cs-CZ"/>
        </w:rPr>
      </w:pPr>
    </w:p>
    <w:p w:rsidR="00D745F6" w:rsidRDefault="00D745F6">
      <w:pPr>
        <w:spacing w:after="200" w:line="276" w:lineRule="auto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br w:type="page"/>
      </w:r>
    </w:p>
    <w:p w:rsidR="00086DDC" w:rsidRPr="00DF6451" w:rsidRDefault="00DF6451" w:rsidP="00DF6451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lastRenderedPageBreak/>
        <w:t xml:space="preserve">III. </w:t>
      </w:r>
      <w:r w:rsidR="00086DDC" w:rsidRPr="00DF6451">
        <w:rPr>
          <w:rFonts w:ascii="Calibri" w:hAnsi="Calibri" w:cs="Calibri"/>
          <w:b/>
          <w:sz w:val="28"/>
          <w:szCs w:val="28"/>
          <w:lang w:val="cs-CZ"/>
        </w:rPr>
        <w:t>Shrnutí a vyhodnocení</w:t>
      </w:r>
    </w:p>
    <w:p w:rsidR="00DF6451" w:rsidRPr="005A0E20" w:rsidRDefault="00DF6451" w:rsidP="00DF6451">
      <w:pPr>
        <w:jc w:val="both"/>
        <w:rPr>
          <w:rFonts w:asciiTheme="minorHAnsi" w:hAnsiTheme="minorHAnsi" w:cstheme="minorHAnsi"/>
          <w:lang w:val="cs-CZ"/>
        </w:rPr>
      </w:pPr>
    </w:p>
    <w:p w:rsidR="00086DDC" w:rsidRPr="00DF6451" w:rsidRDefault="00086DDC" w:rsidP="00DF6451">
      <w:pPr>
        <w:jc w:val="both"/>
        <w:rPr>
          <w:rFonts w:asciiTheme="minorHAnsi" w:hAnsiTheme="minorHAnsi" w:cstheme="minorHAnsi"/>
          <w:b/>
          <w:lang w:val="cs-CZ"/>
        </w:rPr>
      </w:pPr>
      <w:r w:rsidRPr="00DF6451">
        <w:rPr>
          <w:rFonts w:asciiTheme="minorHAnsi" w:hAnsiTheme="minorHAnsi" w:cstheme="minorHAnsi"/>
          <w:b/>
          <w:lang w:val="cs-CZ"/>
        </w:rPr>
        <w:t>Kontrolováno bylo hospodaření s</w:t>
      </w:r>
      <w:r w:rsidR="00D005DD" w:rsidRPr="00DF6451">
        <w:rPr>
          <w:rFonts w:asciiTheme="minorHAnsi" w:hAnsiTheme="minorHAnsi" w:cstheme="minorHAnsi"/>
          <w:b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lang w:val="cs-CZ"/>
        </w:rPr>
        <w:t>majetkem státu v</w:t>
      </w:r>
      <w:r w:rsidR="00D005DD" w:rsidRPr="00DF6451">
        <w:rPr>
          <w:rFonts w:asciiTheme="minorHAnsi" w:hAnsiTheme="minorHAnsi" w:cstheme="minorHAnsi"/>
          <w:b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lang w:val="cs-CZ"/>
        </w:rPr>
        <w:t xml:space="preserve">účetní hodnotě </w:t>
      </w:r>
      <w:r w:rsidRPr="00DF6451">
        <w:rPr>
          <w:rFonts w:asciiTheme="minorHAnsi" w:hAnsiTheme="minorHAnsi" w:cstheme="minorHAnsi"/>
          <w:b/>
          <w:bCs/>
          <w:lang w:val="cs-CZ"/>
        </w:rPr>
        <w:t>1</w:t>
      </w:r>
      <w:r w:rsidR="00D005DD" w:rsidRPr="00DF6451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bCs/>
          <w:lang w:val="cs-CZ"/>
        </w:rPr>
        <w:t>734</w:t>
      </w:r>
      <w:r w:rsidR="00D005DD" w:rsidRPr="00DF6451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bCs/>
          <w:lang w:val="cs-CZ"/>
        </w:rPr>
        <w:t>392</w:t>
      </w:r>
      <w:r w:rsidR="00D005DD" w:rsidRPr="00DF6451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bCs/>
          <w:lang w:val="cs-CZ"/>
        </w:rPr>
        <w:t>631</w:t>
      </w:r>
      <w:r w:rsidR="00D005DD" w:rsidRPr="00DF6451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bCs/>
          <w:lang w:val="cs-CZ"/>
        </w:rPr>
        <w:t xml:space="preserve">Kč </w:t>
      </w:r>
      <w:r w:rsidRPr="00DF6451">
        <w:rPr>
          <w:rFonts w:asciiTheme="minorHAnsi" w:hAnsiTheme="minorHAnsi" w:cstheme="minorHAnsi"/>
          <w:b/>
          <w:lang w:val="cs-CZ"/>
        </w:rPr>
        <w:t>a</w:t>
      </w:r>
      <w:r w:rsidR="00AC2364" w:rsidRPr="00DF6451">
        <w:rPr>
          <w:rFonts w:asciiTheme="minorHAnsi" w:hAnsiTheme="minorHAnsi" w:cstheme="minorHAnsi"/>
          <w:b/>
          <w:lang w:val="cs-CZ"/>
        </w:rPr>
        <w:t> </w:t>
      </w:r>
      <w:r w:rsidRPr="00DF6451">
        <w:rPr>
          <w:rFonts w:asciiTheme="minorHAnsi" w:hAnsiTheme="minorHAnsi" w:cstheme="minorHAnsi"/>
          <w:b/>
          <w:lang w:val="cs-CZ"/>
        </w:rPr>
        <w:t>s</w:t>
      </w:r>
      <w:r w:rsidR="00AC2364" w:rsidRPr="00DF6451">
        <w:rPr>
          <w:rFonts w:asciiTheme="minorHAnsi" w:hAnsiTheme="minorHAnsi" w:cstheme="minorHAnsi"/>
          <w:b/>
          <w:lang w:val="cs-CZ"/>
        </w:rPr>
        <w:t> </w:t>
      </w:r>
      <w:r w:rsidRPr="00DF6451">
        <w:rPr>
          <w:rFonts w:asciiTheme="minorHAnsi" w:hAnsiTheme="minorHAnsi" w:cstheme="minorHAnsi"/>
          <w:b/>
          <w:lang w:val="cs-CZ"/>
        </w:rPr>
        <w:t>peněžními prostředky ve výši</w:t>
      </w:r>
      <w:r w:rsidR="00D005DD" w:rsidRPr="00DF6451">
        <w:rPr>
          <w:rFonts w:asciiTheme="minorHAnsi" w:hAnsiTheme="minorHAnsi" w:cstheme="minorHAnsi"/>
          <w:b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bCs/>
          <w:lang w:val="cs-CZ"/>
        </w:rPr>
        <w:t>227</w:t>
      </w:r>
      <w:r w:rsidR="00D005DD" w:rsidRPr="00DF6451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bCs/>
          <w:lang w:val="cs-CZ"/>
        </w:rPr>
        <w:t>270</w:t>
      </w:r>
      <w:r w:rsidR="00D005DD" w:rsidRPr="00DF6451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bCs/>
          <w:lang w:val="cs-CZ"/>
        </w:rPr>
        <w:t>355</w:t>
      </w:r>
      <w:r w:rsidR="00D005DD" w:rsidRPr="00DF6451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bCs/>
          <w:lang w:val="cs-CZ"/>
        </w:rPr>
        <w:t>Kč</w:t>
      </w:r>
      <w:r w:rsidRPr="00DF6451">
        <w:rPr>
          <w:rFonts w:asciiTheme="minorHAnsi" w:hAnsiTheme="minorHAnsi" w:cstheme="minorHAnsi"/>
          <w:b/>
          <w:lang w:val="cs-CZ"/>
        </w:rPr>
        <w:t xml:space="preserve">, se kterými byla příslušná hospodařit pětice kontrolovaných krajských ředitelství policie. </w:t>
      </w:r>
    </w:p>
    <w:p w:rsidR="000A3438" w:rsidRPr="005A0E20" w:rsidRDefault="000A3438" w:rsidP="00DF6451">
      <w:pPr>
        <w:jc w:val="both"/>
        <w:rPr>
          <w:rFonts w:asciiTheme="minorHAnsi" w:hAnsiTheme="minorHAnsi" w:cstheme="minorHAnsi"/>
          <w:lang w:val="cs-CZ"/>
        </w:rPr>
      </w:pPr>
    </w:p>
    <w:p w:rsidR="00086DDC" w:rsidRPr="00DF6451" w:rsidRDefault="00086DDC" w:rsidP="00DF6451">
      <w:pPr>
        <w:jc w:val="both"/>
        <w:rPr>
          <w:rFonts w:asciiTheme="minorHAnsi" w:hAnsiTheme="minorHAnsi" w:cstheme="minorHAnsi"/>
          <w:b/>
          <w:lang w:val="cs-CZ"/>
        </w:rPr>
      </w:pPr>
      <w:r w:rsidRPr="00DF6451">
        <w:rPr>
          <w:rFonts w:asciiTheme="minorHAnsi" w:hAnsiTheme="minorHAnsi" w:cstheme="minorHAnsi"/>
          <w:b/>
          <w:lang w:val="cs-CZ"/>
        </w:rPr>
        <w:t>Kontrolou byly zjištěny nedostatky:</w:t>
      </w:r>
    </w:p>
    <w:p w:rsidR="00086DDC" w:rsidRPr="00DF6451" w:rsidRDefault="00086DDC" w:rsidP="00DF645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DF6451">
        <w:rPr>
          <w:rFonts w:asciiTheme="minorHAnsi" w:hAnsiTheme="minorHAnsi" w:cstheme="minorHAnsi"/>
          <w:b/>
          <w:lang w:val="cs-CZ"/>
        </w:rPr>
        <w:t>ve vedení</w:t>
      </w:r>
      <w:r w:rsidR="00D005DD" w:rsidRPr="00DF6451">
        <w:rPr>
          <w:rFonts w:asciiTheme="minorHAnsi" w:hAnsiTheme="minorHAnsi" w:cstheme="minorHAnsi"/>
          <w:b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lang w:val="cs-CZ"/>
        </w:rPr>
        <w:t>účetnictví</w:t>
      </w:r>
      <w:r w:rsidRPr="00DF6451">
        <w:rPr>
          <w:rStyle w:val="Znakapoznpodarou"/>
          <w:rFonts w:asciiTheme="minorHAnsi" w:hAnsiTheme="minorHAnsi" w:cstheme="minorHAnsi"/>
          <w:b/>
          <w:lang w:val="cs-CZ"/>
        </w:rPr>
        <w:footnoteReference w:id="2"/>
      </w:r>
      <w:r w:rsidRPr="00DF6451">
        <w:rPr>
          <w:rFonts w:asciiTheme="minorHAnsi" w:hAnsiTheme="minorHAnsi" w:cstheme="minorHAnsi"/>
          <w:b/>
          <w:lang w:val="cs-CZ"/>
        </w:rPr>
        <w:t>;</w:t>
      </w:r>
    </w:p>
    <w:p w:rsidR="00086DDC" w:rsidRPr="00DF6451" w:rsidRDefault="00086DDC" w:rsidP="00DF645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DF6451">
        <w:rPr>
          <w:rFonts w:asciiTheme="minorHAnsi" w:hAnsiTheme="minorHAnsi" w:cstheme="minorHAnsi"/>
          <w:b/>
          <w:lang w:val="cs-CZ"/>
        </w:rPr>
        <w:t xml:space="preserve">při zadávání </w:t>
      </w:r>
      <w:r w:rsidR="00D97B26" w:rsidRPr="00DF6451">
        <w:rPr>
          <w:rFonts w:asciiTheme="minorHAnsi" w:hAnsiTheme="minorHAnsi" w:cstheme="minorHAnsi"/>
          <w:b/>
          <w:lang w:val="cs-CZ"/>
        </w:rPr>
        <w:t>veřejných zakázek</w:t>
      </w:r>
      <w:r w:rsidRPr="00DF6451">
        <w:rPr>
          <w:rStyle w:val="Znakapoznpodarou"/>
          <w:rFonts w:asciiTheme="minorHAnsi" w:hAnsiTheme="minorHAnsi" w:cstheme="minorHAnsi"/>
          <w:b/>
          <w:lang w:val="cs-CZ"/>
        </w:rPr>
        <w:footnoteReference w:id="3"/>
      </w:r>
      <w:r w:rsidRPr="00DF6451">
        <w:rPr>
          <w:rFonts w:asciiTheme="minorHAnsi" w:hAnsiTheme="minorHAnsi" w:cstheme="minorHAnsi"/>
          <w:b/>
          <w:lang w:val="cs-CZ"/>
        </w:rPr>
        <w:t xml:space="preserve">; </w:t>
      </w:r>
    </w:p>
    <w:p w:rsidR="00086DDC" w:rsidRPr="00DF6451" w:rsidRDefault="00086DDC" w:rsidP="00DF645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DF6451">
        <w:rPr>
          <w:rFonts w:asciiTheme="minorHAnsi" w:hAnsiTheme="minorHAnsi" w:cstheme="minorHAnsi"/>
          <w:b/>
          <w:lang w:val="cs-CZ"/>
        </w:rPr>
        <w:t>při pořizování majetku</w:t>
      </w:r>
      <w:r w:rsidR="001577B8">
        <w:rPr>
          <w:rFonts w:asciiTheme="minorHAnsi" w:hAnsiTheme="minorHAnsi" w:cstheme="minorHAnsi"/>
          <w:b/>
          <w:lang w:val="cs-CZ"/>
        </w:rPr>
        <w:t>, kdy docházelo ke</w:t>
      </w:r>
      <w:r w:rsidRPr="00DF6451">
        <w:rPr>
          <w:rFonts w:asciiTheme="minorHAnsi" w:hAnsiTheme="minorHAnsi" w:cstheme="minorHAnsi"/>
          <w:b/>
          <w:lang w:val="cs-CZ"/>
        </w:rPr>
        <w:t xml:space="preserve"> zneužití institutu nepotřebnosti majetku</w:t>
      </w:r>
      <w:r w:rsidRPr="00DF6451">
        <w:rPr>
          <w:rStyle w:val="Znakapoznpodarou"/>
          <w:rFonts w:asciiTheme="minorHAnsi" w:hAnsiTheme="minorHAnsi" w:cstheme="minorHAnsi"/>
          <w:b/>
          <w:lang w:val="cs-CZ"/>
        </w:rPr>
        <w:footnoteReference w:id="4"/>
      </w:r>
      <w:r w:rsidRPr="00DF6451">
        <w:rPr>
          <w:rFonts w:asciiTheme="minorHAnsi" w:hAnsiTheme="minorHAnsi" w:cstheme="minorHAnsi"/>
          <w:b/>
          <w:lang w:val="cs-CZ"/>
        </w:rPr>
        <w:t xml:space="preserve">; </w:t>
      </w:r>
    </w:p>
    <w:p w:rsidR="00086DDC" w:rsidRPr="00DF6451" w:rsidRDefault="00086DDC" w:rsidP="00DF645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DF6451">
        <w:rPr>
          <w:rFonts w:asciiTheme="minorHAnsi" w:hAnsiTheme="minorHAnsi" w:cstheme="minorHAnsi"/>
          <w:b/>
          <w:lang w:val="cs-CZ"/>
        </w:rPr>
        <w:t>při nakládání s</w:t>
      </w:r>
      <w:r w:rsidR="00D005DD" w:rsidRPr="00DF6451">
        <w:rPr>
          <w:rFonts w:asciiTheme="minorHAnsi" w:hAnsiTheme="minorHAnsi" w:cstheme="minorHAnsi"/>
          <w:b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lang w:val="cs-CZ"/>
        </w:rPr>
        <w:t xml:space="preserve">majetkem státu </w:t>
      </w:r>
      <w:r w:rsidR="001577B8">
        <w:rPr>
          <w:rFonts w:asciiTheme="minorHAnsi" w:hAnsiTheme="minorHAnsi" w:cstheme="minorHAnsi"/>
          <w:b/>
          <w:lang w:val="cs-CZ"/>
        </w:rPr>
        <w:t xml:space="preserve">a při jeho převodech </w:t>
      </w:r>
      <w:r w:rsidRPr="00DF6451">
        <w:rPr>
          <w:rFonts w:asciiTheme="minorHAnsi" w:hAnsiTheme="minorHAnsi" w:cstheme="minorHAnsi"/>
          <w:b/>
          <w:lang w:val="cs-CZ"/>
        </w:rPr>
        <w:t>mezi krajskými ředitelstvími policie a</w:t>
      </w:r>
      <w:r w:rsidR="001577B8">
        <w:rPr>
          <w:rFonts w:asciiTheme="minorHAnsi" w:hAnsiTheme="minorHAnsi" w:cstheme="minorHAnsi"/>
          <w:b/>
          <w:lang w:val="cs-CZ"/>
        </w:rPr>
        <w:t> na</w:t>
      </w:r>
      <w:r w:rsidRPr="00DF6451">
        <w:rPr>
          <w:rFonts w:asciiTheme="minorHAnsi" w:hAnsiTheme="minorHAnsi" w:cstheme="minorHAnsi"/>
          <w:b/>
          <w:lang w:val="cs-CZ"/>
        </w:rPr>
        <w:t xml:space="preserve"> další organizační složk</w:t>
      </w:r>
      <w:r w:rsidR="001577B8">
        <w:rPr>
          <w:rFonts w:asciiTheme="minorHAnsi" w:hAnsiTheme="minorHAnsi" w:cstheme="minorHAnsi"/>
          <w:b/>
          <w:lang w:val="cs-CZ"/>
        </w:rPr>
        <w:t>y</w:t>
      </w:r>
      <w:r w:rsidRPr="00DF6451">
        <w:rPr>
          <w:rFonts w:asciiTheme="minorHAnsi" w:hAnsiTheme="minorHAnsi" w:cstheme="minorHAnsi"/>
          <w:b/>
          <w:lang w:val="cs-CZ"/>
        </w:rPr>
        <w:t xml:space="preserve"> státu v</w:t>
      </w:r>
      <w:r w:rsidR="00D005DD" w:rsidRPr="00DF6451">
        <w:rPr>
          <w:rFonts w:asciiTheme="minorHAnsi" w:hAnsiTheme="minorHAnsi" w:cstheme="minorHAnsi"/>
          <w:b/>
          <w:lang w:val="cs-CZ"/>
        </w:rPr>
        <w:t xml:space="preserve"> </w:t>
      </w:r>
      <w:r w:rsidRPr="00DF6451">
        <w:rPr>
          <w:rFonts w:asciiTheme="minorHAnsi" w:hAnsiTheme="minorHAnsi" w:cstheme="minorHAnsi"/>
          <w:b/>
          <w:lang w:val="cs-CZ"/>
        </w:rPr>
        <w:t>rámci Policie České republiky</w:t>
      </w:r>
      <w:r w:rsidRPr="00DF6451">
        <w:rPr>
          <w:rStyle w:val="Znakapoznpodarou"/>
          <w:rFonts w:asciiTheme="minorHAnsi" w:hAnsiTheme="minorHAnsi" w:cstheme="minorHAnsi"/>
          <w:b/>
          <w:lang w:val="cs-CZ"/>
        </w:rPr>
        <w:footnoteReference w:id="5"/>
      </w:r>
      <w:r w:rsidRPr="00DF6451">
        <w:rPr>
          <w:rFonts w:asciiTheme="minorHAnsi" w:hAnsiTheme="minorHAnsi" w:cstheme="minorHAnsi"/>
          <w:b/>
          <w:lang w:val="cs-CZ"/>
        </w:rPr>
        <w:t>.</w:t>
      </w:r>
    </w:p>
    <w:p w:rsidR="00DF6451" w:rsidRPr="00DF6451" w:rsidRDefault="00DF6451" w:rsidP="00DF6451">
      <w:pPr>
        <w:ind w:left="142" w:hanging="142"/>
        <w:jc w:val="both"/>
        <w:rPr>
          <w:rFonts w:asciiTheme="minorHAnsi" w:hAnsiTheme="minorHAnsi" w:cstheme="minorHAnsi"/>
          <w:lang w:val="cs-CZ"/>
        </w:rPr>
      </w:pPr>
    </w:p>
    <w:p w:rsidR="00DF6451" w:rsidRPr="00DF6451" w:rsidRDefault="00DF6451" w:rsidP="00DF6451">
      <w:pPr>
        <w:ind w:left="142" w:hanging="142"/>
        <w:jc w:val="both"/>
        <w:rPr>
          <w:rFonts w:asciiTheme="minorHAnsi" w:hAnsiTheme="minorHAnsi" w:cstheme="minorHAnsi"/>
          <w:lang w:val="cs-CZ"/>
        </w:rPr>
      </w:pPr>
    </w:p>
    <w:p w:rsidR="00F926FA" w:rsidRPr="00DF6451" w:rsidRDefault="00DF6451" w:rsidP="00DF6451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 xml:space="preserve">IV. </w:t>
      </w:r>
      <w:r w:rsidR="00F926FA" w:rsidRPr="00DF6451">
        <w:rPr>
          <w:rFonts w:ascii="Calibri" w:hAnsi="Calibri" w:cs="Calibri"/>
          <w:b/>
          <w:sz w:val="28"/>
          <w:szCs w:val="28"/>
          <w:lang w:val="cs-CZ"/>
        </w:rPr>
        <w:t>Podrobnosti ke zjištěným skutečnostem</w:t>
      </w:r>
    </w:p>
    <w:p w:rsidR="00DF6451" w:rsidRDefault="00DF6451" w:rsidP="00DF6451">
      <w:pPr>
        <w:rPr>
          <w:rFonts w:ascii="Calibri" w:hAnsi="Calibri" w:cs="Calibri"/>
          <w:b/>
          <w:lang w:val="cs-CZ"/>
        </w:rPr>
      </w:pPr>
    </w:p>
    <w:p w:rsidR="00F926FA" w:rsidRDefault="00F926FA" w:rsidP="00DF6451">
      <w:pPr>
        <w:rPr>
          <w:rFonts w:ascii="Calibr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t>1.</w:t>
      </w:r>
      <w:r w:rsidR="00052BD2">
        <w:rPr>
          <w:rFonts w:ascii="Calibri" w:hAnsi="Calibri" w:cs="Calibri"/>
          <w:b/>
          <w:lang w:val="cs-CZ"/>
        </w:rPr>
        <w:t xml:space="preserve"> </w:t>
      </w:r>
      <w:r w:rsidRPr="00DF6451">
        <w:rPr>
          <w:rFonts w:ascii="Calibri" w:hAnsi="Calibri" w:cs="Calibri"/>
          <w:b/>
          <w:lang w:val="cs-CZ"/>
        </w:rPr>
        <w:t>Pozemky</w:t>
      </w:r>
    </w:p>
    <w:p w:rsidR="00DF6451" w:rsidRPr="00DF6451" w:rsidRDefault="00DF6451" w:rsidP="00DF6451">
      <w:pPr>
        <w:rPr>
          <w:rFonts w:ascii="Calibri" w:hAnsi="Calibri" w:cs="Calibri"/>
          <w:lang w:val="cs-CZ"/>
        </w:rPr>
      </w:pP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Cs/>
          <w:spacing w:val="-4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spacing w:val="-4"/>
          <w:lang w:val="cs-CZ" w:eastAsia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Praha</w:t>
      </w:r>
      <w:r w:rsidRPr="00DF6451">
        <w:rPr>
          <w:rFonts w:asciiTheme="minorHAnsi" w:hAnsiTheme="minorHAnsi" w:cstheme="minorHAnsi"/>
          <w:bCs/>
          <w:spacing w:val="-4"/>
          <w:lang w:val="cs-CZ"/>
        </w:rPr>
        <w:t xml:space="preserve"> neúčtovalo o </w:t>
      </w:r>
      <w:r w:rsidR="00B52E98" w:rsidRPr="00DF6451">
        <w:rPr>
          <w:rFonts w:asciiTheme="minorHAnsi" w:hAnsiTheme="minorHAnsi" w:cstheme="minorHAnsi"/>
          <w:bCs/>
          <w:spacing w:val="-4"/>
          <w:lang w:val="cs-CZ"/>
        </w:rPr>
        <w:t>pořízení</w:t>
      </w:r>
      <w:r w:rsidRPr="00DF6451">
        <w:rPr>
          <w:rFonts w:asciiTheme="minorHAnsi" w:hAnsiTheme="minorHAnsi" w:cstheme="minorHAnsi"/>
          <w:bCs/>
          <w:spacing w:val="-4"/>
          <w:lang w:val="cs-CZ"/>
        </w:rPr>
        <w:t xml:space="preserve"> pozemku </w:t>
      </w:r>
      <w:r w:rsidRPr="00DF6451">
        <w:rPr>
          <w:rFonts w:asciiTheme="minorHAnsi" w:hAnsiTheme="minorHAnsi" w:cstheme="minorHAnsi"/>
          <w:spacing w:val="-4"/>
          <w:lang w:val="cs-CZ" w:eastAsia="cs-CZ"/>
        </w:rPr>
        <w:t xml:space="preserve">a </w:t>
      </w:r>
      <w:r w:rsidRPr="00DF6451">
        <w:rPr>
          <w:rFonts w:asciiTheme="minorHAnsi" w:hAnsiTheme="minorHAnsi" w:cstheme="minorHAnsi"/>
          <w:bCs/>
          <w:spacing w:val="-4"/>
          <w:lang w:val="cs-CZ"/>
        </w:rPr>
        <w:t>o</w:t>
      </w:r>
      <w:r w:rsidR="00D005DD" w:rsidRPr="00DF6451">
        <w:rPr>
          <w:rFonts w:asciiTheme="minorHAnsi" w:hAnsiTheme="minorHAnsi" w:cstheme="minorHAnsi"/>
          <w:bCs/>
          <w:spacing w:val="-4"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spacing w:val="-4"/>
          <w:lang w:val="cs-CZ"/>
        </w:rPr>
        <w:t xml:space="preserve">vyřazení </w:t>
      </w:r>
      <w:r w:rsidRPr="00DF6451">
        <w:rPr>
          <w:rFonts w:asciiTheme="minorHAnsi" w:hAnsiTheme="minorHAnsi" w:cstheme="minorHAnsi"/>
          <w:bCs/>
          <w:iCs/>
          <w:spacing w:val="-4"/>
          <w:lang w:val="cs-CZ"/>
        </w:rPr>
        <w:t>pozemku v</w:t>
      </w:r>
      <w:r w:rsidR="00D005DD" w:rsidRPr="00DF6451">
        <w:rPr>
          <w:rFonts w:asciiTheme="minorHAnsi" w:hAnsiTheme="minorHAnsi" w:cstheme="minorHAnsi"/>
          <w:bCs/>
          <w:iCs/>
          <w:spacing w:val="-4"/>
          <w:lang w:val="cs-CZ"/>
        </w:rPr>
        <w:t xml:space="preserve"> </w:t>
      </w:r>
      <w:r w:rsidR="00AD75A0" w:rsidRPr="00DF6451">
        <w:rPr>
          <w:rFonts w:asciiTheme="minorHAnsi" w:hAnsiTheme="minorHAnsi" w:cstheme="minorHAnsi"/>
          <w:bCs/>
          <w:iCs/>
          <w:spacing w:val="-4"/>
          <w:lang w:val="cs-CZ"/>
        </w:rPr>
        <w:t xml:space="preserve">celkové </w:t>
      </w:r>
      <w:r w:rsidRPr="00DF6451">
        <w:rPr>
          <w:rFonts w:asciiTheme="minorHAnsi" w:hAnsiTheme="minorHAnsi" w:cstheme="minorHAnsi"/>
          <w:bCs/>
          <w:iCs/>
          <w:spacing w:val="-4"/>
          <w:lang w:val="cs-CZ"/>
        </w:rPr>
        <w:t>hodnotě</w:t>
      </w:r>
      <w:r w:rsidR="00D005DD" w:rsidRPr="00DF6451">
        <w:rPr>
          <w:rFonts w:asciiTheme="minorHAnsi" w:hAnsiTheme="minorHAnsi" w:cstheme="minorHAnsi"/>
          <w:bCs/>
          <w:iCs/>
          <w:spacing w:val="-4"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iCs/>
          <w:spacing w:val="-4"/>
          <w:lang w:val="cs-CZ"/>
        </w:rPr>
        <w:t>30</w:t>
      </w:r>
      <w:r w:rsidR="00EC780C" w:rsidRPr="00DF6451">
        <w:rPr>
          <w:rFonts w:asciiTheme="minorHAnsi" w:hAnsiTheme="minorHAnsi" w:cstheme="minorHAnsi"/>
          <w:bCs/>
          <w:iCs/>
          <w:spacing w:val="-4"/>
          <w:lang w:val="cs-CZ"/>
        </w:rPr>
        <w:t> </w:t>
      </w:r>
      <w:r w:rsidR="00AD75A0" w:rsidRPr="00DF6451">
        <w:rPr>
          <w:rFonts w:asciiTheme="minorHAnsi" w:hAnsiTheme="minorHAnsi" w:cstheme="minorHAnsi"/>
          <w:bCs/>
          <w:iCs/>
          <w:spacing w:val="-4"/>
          <w:lang w:val="cs-CZ"/>
        </w:rPr>
        <w:t>975</w:t>
      </w:r>
      <w:r w:rsidR="00EC780C" w:rsidRPr="00DF6451">
        <w:rPr>
          <w:rFonts w:asciiTheme="minorHAnsi" w:hAnsiTheme="minorHAnsi" w:cstheme="minorHAnsi"/>
          <w:bCs/>
          <w:iCs/>
          <w:spacing w:val="-4"/>
          <w:lang w:val="cs-CZ"/>
        </w:rPr>
        <w:t> </w:t>
      </w:r>
      <w:r w:rsidRPr="00DF6451">
        <w:rPr>
          <w:rFonts w:asciiTheme="minorHAnsi" w:hAnsiTheme="minorHAnsi" w:cstheme="minorHAnsi"/>
          <w:bCs/>
          <w:iCs/>
          <w:spacing w:val="-4"/>
          <w:lang w:val="cs-CZ"/>
        </w:rPr>
        <w:t>Kč</w:t>
      </w:r>
      <w:r w:rsidRPr="00DF6451">
        <w:rPr>
          <w:rFonts w:asciiTheme="minorHAnsi" w:hAnsiTheme="minorHAnsi" w:cstheme="minorHAnsi"/>
          <w:bCs/>
          <w:spacing w:val="-4"/>
          <w:lang w:val="cs-CZ"/>
        </w:rPr>
        <w:t xml:space="preserve"> v</w:t>
      </w:r>
      <w:r w:rsidR="00D005DD" w:rsidRPr="00DF6451">
        <w:rPr>
          <w:rFonts w:asciiTheme="minorHAnsi" w:hAnsiTheme="minorHAnsi" w:cstheme="minorHAnsi"/>
          <w:bCs/>
          <w:spacing w:val="-4"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spacing w:val="-4"/>
          <w:lang w:val="cs-CZ"/>
        </w:rPr>
        <w:t xml:space="preserve">časově souvisejícím účetním období roku 2013. </w:t>
      </w:r>
      <w:r w:rsidRPr="00DF6451">
        <w:rPr>
          <w:rFonts w:asciiTheme="minorHAnsi" w:hAnsiTheme="minorHAnsi" w:cstheme="minorHAnsi"/>
          <w:spacing w:val="-4"/>
          <w:lang w:val="cs-CZ" w:eastAsia="cs-CZ"/>
        </w:rPr>
        <w:t>Zároveň KŘ</w:t>
      </w:r>
      <w:r w:rsidR="00A2261B">
        <w:rPr>
          <w:rFonts w:asciiTheme="minorHAnsi" w:hAnsiTheme="minorHAnsi" w:cstheme="minorHAnsi"/>
          <w:spacing w:val="-4"/>
          <w:lang w:val="cs-CZ" w:eastAsia="cs-CZ"/>
        </w:rPr>
        <w:t>P</w:t>
      </w:r>
      <w:r w:rsidRPr="00DF6451">
        <w:rPr>
          <w:rFonts w:asciiTheme="minorHAnsi" w:hAnsiTheme="minorHAnsi" w:cstheme="minorHAnsi"/>
          <w:spacing w:val="-4"/>
          <w:lang w:val="cs-CZ" w:eastAsia="cs-CZ"/>
        </w:rPr>
        <w:t xml:space="preserve"> Praha při inventarizacích pozemků k</w:t>
      </w:r>
      <w:r w:rsidR="00D005DD" w:rsidRPr="00DF6451">
        <w:rPr>
          <w:rFonts w:asciiTheme="minorHAnsi" w:hAnsiTheme="minorHAnsi" w:cstheme="minorHAnsi"/>
          <w:spacing w:val="-4"/>
          <w:lang w:val="cs-CZ" w:eastAsia="cs-CZ"/>
        </w:rPr>
        <w:t xml:space="preserve"> </w:t>
      </w:r>
      <w:r w:rsidRPr="00DF6451">
        <w:rPr>
          <w:rFonts w:asciiTheme="minorHAnsi" w:hAnsiTheme="minorHAnsi" w:cstheme="minorHAnsi"/>
          <w:spacing w:val="-4"/>
          <w:lang w:val="cs-CZ" w:eastAsia="cs-CZ"/>
        </w:rPr>
        <w:t>31.</w:t>
      </w:r>
      <w:r w:rsidR="00D005DD" w:rsidRPr="00DF6451">
        <w:rPr>
          <w:rFonts w:asciiTheme="minorHAnsi" w:hAnsiTheme="minorHAnsi" w:cstheme="minorHAnsi"/>
          <w:spacing w:val="-4"/>
          <w:lang w:val="cs-CZ" w:eastAsia="cs-CZ"/>
        </w:rPr>
        <w:t xml:space="preserve"> </w:t>
      </w:r>
      <w:r w:rsidRPr="00DF6451">
        <w:rPr>
          <w:rFonts w:asciiTheme="minorHAnsi" w:hAnsiTheme="minorHAnsi" w:cstheme="minorHAnsi"/>
          <w:spacing w:val="-4"/>
          <w:lang w:val="cs-CZ" w:eastAsia="cs-CZ"/>
        </w:rPr>
        <w:t>12.</w:t>
      </w:r>
      <w:r w:rsidR="00D005DD" w:rsidRPr="00DF6451">
        <w:rPr>
          <w:rFonts w:asciiTheme="minorHAnsi" w:hAnsiTheme="minorHAnsi" w:cstheme="minorHAnsi"/>
          <w:spacing w:val="-4"/>
          <w:lang w:val="cs-CZ" w:eastAsia="cs-CZ"/>
        </w:rPr>
        <w:t xml:space="preserve"> </w:t>
      </w:r>
      <w:r w:rsidRPr="00DF6451">
        <w:rPr>
          <w:rFonts w:asciiTheme="minorHAnsi" w:hAnsiTheme="minorHAnsi" w:cstheme="minorHAnsi"/>
          <w:spacing w:val="-4"/>
          <w:lang w:val="cs-CZ" w:eastAsia="cs-CZ"/>
        </w:rPr>
        <w:t xml:space="preserve">2013 a 2014 </w:t>
      </w:r>
      <w:r w:rsidRPr="00DF6451">
        <w:rPr>
          <w:rFonts w:asciiTheme="minorHAnsi" w:hAnsiTheme="minorHAnsi" w:cstheme="minorHAnsi"/>
          <w:lang w:val="cs-CZ"/>
        </w:rPr>
        <w:t>nezjistilo skutečný stav veškerých pozemků</w:t>
      </w:r>
      <w:r w:rsidR="00784B14">
        <w:rPr>
          <w:rFonts w:asciiTheme="minorHAnsi" w:hAnsiTheme="minorHAnsi" w:cstheme="minorHAnsi"/>
          <w:lang w:val="cs-CZ"/>
        </w:rPr>
        <w:t>,</w:t>
      </w:r>
      <w:r w:rsidRPr="00DF6451">
        <w:rPr>
          <w:rFonts w:asciiTheme="minorHAnsi" w:hAnsiTheme="minorHAnsi" w:cstheme="minorHAnsi"/>
          <w:lang w:val="cs-CZ"/>
        </w:rPr>
        <w:t xml:space="preserve"> a účetnictví </w:t>
      </w:r>
      <w:r w:rsidRPr="00DF6451">
        <w:rPr>
          <w:rFonts w:asciiTheme="minorHAnsi" w:hAnsiTheme="minorHAnsi" w:cstheme="minorHAnsi"/>
          <w:spacing w:val="-4"/>
          <w:lang w:val="cs-CZ" w:eastAsia="cs-CZ"/>
        </w:rPr>
        <w:t xml:space="preserve">KŘP Praha tak nebylo </w:t>
      </w:r>
      <w:r w:rsidRPr="00DF6451">
        <w:rPr>
          <w:rFonts w:asciiTheme="minorHAnsi" w:hAnsiTheme="minorHAnsi" w:cstheme="minorHAnsi"/>
          <w:bCs/>
          <w:lang w:val="cs-CZ"/>
        </w:rPr>
        <w:t>v</w:t>
      </w:r>
      <w:r w:rsidR="00D005DD" w:rsidRPr="00DF6451">
        <w:rPr>
          <w:rFonts w:asciiTheme="minorHAns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lang w:val="cs-CZ"/>
        </w:rPr>
        <w:t>účetním období let 2013 a 2014 úplné.</w:t>
      </w:r>
    </w:p>
    <w:p w:rsidR="00873F0E" w:rsidRPr="00DF6451" w:rsidRDefault="00507FE3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Praha</w:t>
      </w:r>
      <w:r w:rsidR="00F926FA" w:rsidRPr="00DF6451">
        <w:rPr>
          <w:rFonts w:asciiTheme="minorHAnsi" w:hAnsiTheme="minorHAnsi" w:cstheme="minorHAnsi"/>
          <w:lang w:val="cs-CZ"/>
        </w:rPr>
        <w:t xml:space="preserve"> a 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F926FA" w:rsidRPr="00DF6451">
        <w:rPr>
          <w:rFonts w:asciiTheme="minorHAnsi" w:hAnsiTheme="minorHAnsi" w:cstheme="minorHAnsi"/>
          <w:lang w:val="cs-CZ"/>
        </w:rPr>
        <w:t>Ústí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F926FA" w:rsidRPr="00DF6451">
        <w:rPr>
          <w:rFonts w:asciiTheme="minorHAnsi" w:hAnsiTheme="minorHAnsi" w:cstheme="minorHAnsi"/>
          <w:lang w:val="cs-CZ"/>
        </w:rPr>
        <w:t>n.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F926FA" w:rsidRPr="00DF6451">
        <w:rPr>
          <w:rFonts w:asciiTheme="minorHAnsi" w:hAnsiTheme="minorHAnsi" w:cstheme="minorHAnsi"/>
          <w:lang w:val="cs-CZ"/>
        </w:rPr>
        <w:t>L.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F926FA" w:rsidRPr="00DF6451">
        <w:rPr>
          <w:rFonts w:asciiTheme="minorHAnsi" w:hAnsiTheme="minorHAnsi" w:cstheme="minorHAnsi"/>
          <w:lang w:val="cs-CZ"/>
        </w:rPr>
        <w:t>rámci příloh účetní</w:t>
      </w:r>
      <w:r w:rsidR="00784B14">
        <w:rPr>
          <w:rFonts w:asciiTheme="minorHAnsi" w:hAnsiTheme="minorHAnsi" w:cstheme="minorHAnsi"/>
          <w:lang w:val="cs-CZ"/>
        </w:rPr>
        <w:t>ch</w:t>
      </w:r>
      <w:r w:rsidR="00F926FA" w:rsidRPr="00DF6451">
        <w:rPr>
          <w:rFonts w:asciiTheme="minorHAnsi" w:hAnsiTheme="minorHAnsi" w:cstheme="minorHAnsi"/>
          <w:lang w:val="cs-CZ"/>
        </w:rPr>
        <w:t xml:space="preserve"> závěr</w:t>
      </w:r>
      <w:r w:rsidR="00784B14">
        <w:rPr>
          <w:rFonts w:asciiTheme="minorHAnsi" w:hAnsiTheme="minorHAnsi" w:cstheme="minorHAnsi"/>
          <w:lang w:val="cs-CZ"/>
        </w:rPr>
        <w:t>e</w:t>
      </w:r>
      <w:r w:rsidR="00F926FA" w:rsidRPr="00DF6451">
        <w:rPr>
          <w:rFonts w:asciiTheme="minorHAnsi" w:hAnsiTheme="minorHAnsi" w:cstheme="minorHAnsi"/>
          <w:lang w:val="cs-CZ"/>
        </w:rPr>
        <w:t>k s</w:t>
      </w:r>
      <w:r w:rsidR="008465E3" w:rsidRPr="00DF6451">
        <w:rPr>
          <w:rFonts w:asciiTheme="minorHAnsi" w:hAnsiTheme="minorHAnsi" w:cstheme="minorHAnsi"/>
          <w:lang w:val="cs-CZ"/>
        </w:rPr>
        <w:t>estaven</w:t>
      </w:r>
      <w:r w:rsidR="00784B14">
        <w:rPr>
          <w:rFonts w:asciiTheme="minorHAnsi" w:hAnsiTheme="minorHAnsi" w:cstheme="minorHAnsi"/>
          <w:lang w:val="cs-CZ"/>
        </w:rPr>
        <w:t>ých</w:t>
      </w:r>
      <w:r w:rsidR="008465E3" w:rsidRPr="00DF6451">
        <w:rPr>
          <w:rFonts w:asciiTheme="minorHAnsi" w:hAnsiTheme="minorHAnsi" w:cstheme="minorHAnsi"/>
          <w:lang w:val="cs-CZ"/>
        </w:rPr>
        <w:t xml:space="preserve"> k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8465E3" w:rsidRPr="00DF6451">
        <w:rPr>
          <w:rFonts w:asciiTheme="minorHAnsi" w:hAnsiTheme="minorHAnsi" w:cstheme="minorHAnsi"/>
          <w:lang w:val="cs-CZ"/>
        </w:rPr>
        <w:t>31.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8465E3" w:rsidRPr="00DF6451">
        <w:rPr>
          <w:rFonts w:asciiTheme="minorHAnsi" w:hAnsiTheme="minorHAnsi" w:cstheme="minorHAnsi"/>
          <w:lang w:val="cs-CZ"/>
        </w:rPr>
        <w:t>12.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8465E3" w:rsidRPr="00DF6451">
        <w:rPr>
          <w:rFonts w:asciiTheme="minorHAnsi" w:hAnsiTheme="minorHAnsi" w:cstheme="minorHAnsi"/>
          <w:lang w:val="cs-CZ"/>
        </w:rPr>
        <w:t>2012, 2013 a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F926FA" w:rsidRPr="00DF6451">
        <w:rPr>
          <w:rFonts w:asciiTheme="minorHAnsi" w:hAnsiTheme="minorHAnsi" w:cstheme="minorHAnsi"/>
          <w:lang w:val="cs-CZ"/>
        </w:rPr>
        <w:t xml:space="preserve">2014 </w:t>
      </w:r>
      <w:r w:rsidR="00994FE4" w:rsidRPr="00DF6451">
        <w:rPr>
          <w:rFonts w:asciiTheme="minorHAnsi" w:hAnsiTheme="minorHAnsi" w:cstheme="minorHAnsi"/>
          <w:lang w:val="cs-CZ"/>
        </w:rPr>
        <w:t xml:space="preserve">a </w:t>
      </w:r>
      <w:r w:rsidRPr="00DF6451">
        <w:rPr>
          <w:rFonts w:asciiTheme="minorHAnsi" w:hAnsiTheme="minorHAnsi" w:cstheme="minorHAnsi"/>
          <w:lang w:val="cs-CZ"/>
        </w:rPr>
        <w:t xml:space="preserve">KŘP Ostrava </w:t>
      </w:r>
      <w:r w:rsidR="00994FE4" w:rsidRPr="00DF6451">
        <w:rPr>
          <w:rFonts w:asciiTheme="minorHAnsi" w:hAnsiTheme="minorHAnsi" w:cstheme="minorHAnsi"/>
          <w:lang w:val="cs-CZ"/>
        </w:rPr>
        <w:t>v</w:t>
      </w:r>
      <w:r w:rsidR="00A2261B">
        <w:rPr>
          <w:rFonts w:asciiTheme="minorHAnsi" w:hAnsiTheme="minorHAnsi" w:cstheme="minorHAnsi"/>
          <w:lang w:val="cs-CZ"/>
        </w:rPr>
        <w:t> </w:t>
      </w:r>
      <w:r w:rsidR="00994FE4" w:rsidRPr="00DF6451">
        <w:rPr>
          <w:rFonts w:asciiTheme="minorHAnsi" w:hAnsiTheme="minorHAnsi" w:cstheme="minorHAnsi"/>
          <w:lang w:val="cs-CZ"/>
        </w:rPr>
        <w:t>rámci</w:t>
      </w:r>
      <w:r w:rsidR="00A2261B">
        <w:rPr>
          <w:rFonts w:asciiTheme="minorHAnsi" w:hAnsiTheme="minorHAnsi" w:cstheme="minorHAnsi"/>
          <w:lang w:val="cs-CZ"/>
        </w:rPr>
        <w:t xml:space="preserve"> přílohy</w:t>
      </w:r>
      <w:r w:rsidR="00994FE4" w:rsidRPr="00DF6451">
        <w:rPr>
          <w:rFonts w:asciiTheme="minorHAnsi" w:hAnsiTheme="minorHAnsi" w:cstheme="minorHAnsi"/>
          <w:lang w:val="cs-CZ"/>
        </w:rPr>
        <w:t xml:space="preserve"> účetní závěrky sestavené k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994FE4" w:rsidRPr="00DF6451">
        <w:rPr>
          <w:rFonts w:asciiTheme="minorHAnsi" w:hAnsiTheme="minorHAnsi" w:cstheme="minorHAnsi"/>
          <w:lang w:val="cs-CZ"/>
        </w:rPr>
        <w:t>31.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994FE4" w:rsidRPr="00DF6451">
        <w:rPr>
          <w:rFonts w:asciiTheme="minorHAnsi" w:hAnsiTheme="minorHAnsi" w:cstheme="minorHAnsi"/>
          <w:lang w:val="cs-CZ"/>
        </w:rPr>
        <w:t>12.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994FE4" w:rsidRPr="00DF6451">
        <w:rPr>
          <w:rFonts w:asciiTheme="minorHAnsi" w:hAnsiTheme="minorHAnsi" w:cstheme="minorHAnsi"/>
          <w:lang w:val="cs-CZ"/>
        </w:rPr>
        <w:t xml:space="preserve">2013 </w:t>
      </w:r>
      <w:r w:rsidRPr="00DF6451">
        <w:rPr>
          <w:rFonts w:asciiTheme="minorHAnsi" w:hAnsiTheme="minorHAnsi" w:cstheme="minorHAnsi"/>
          <w:lang w:val="cs-CZ"/>
        </w:rPr>
        <w:t>poskytl</w:t>
      </w:r>
      <w:r w:rsidR="00784B14">
        <w:rPr>
          <w:rFonts w:asciiTheme="minorHAnsi" w:hAnsiTheme="minorHAnsi" w:cstheme="minorHAnsi"/>
          <w:lang w:val="cs-CZ"/>
        </w:rPr>
        <w:t>y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="00F926FA" w:rsidRPr="00DF6451">
        <w:rPr>
          <w:rFonts w:asciiTheme="minorHAnsi" w:hAnsiTheme="minorHAnsi" w:cstheme="minorHAnsi"/>
          <w:lang w:val="cs-CZ"/>
        </w:rPr>
        <w:t>doplňující informace o pozemcích, které nebyly spolehlivé.</w:t>
      </w:r>
      <w:r w:rsidR="00873F0E" w:rsidRPr="00C347F2">
        <w:rPr>
          <w:rFonts w:ascii="Calibri" w:hAnsi="Calibri" w:cs="Calibri"/>
          <w:lang w:val="cs-CZ"/>
        </w:rPr>
        <w:t xml:space="preserve"> </w:t>
      </w:r>
      <w:r w:rsidR="00873F0E" w:rsidRPr="00DF6451">
        <w:rPr>
          <w:rFonts w:asciiTheme="minorHAnsi" w:hAnsiTheme="minorHAnsi" w:cstheme="minorHAnsi"/>
          <w:lang w:val="cs-CZ"/>
        </w:rPr>
        <w:t>Uvedená KŘP nedoložila</w:t>
      </w:r>
      <w:r w:rsidR="00DF3BA0" w:rsidRPr="00DF6451">
        <w:rPr>
          <w:rFonts w:asciiTheme="minorHAnsi" w:hAnsiTheme="minorHAnsi" w:cstheme="minorHAnsi"/>
          <w:lang w:val="cs-CZ"/>
        </w:rPr>
        <w:t>,</w:t>
      </w:r>
      <w:r w:rsidR="00873F0E" w:rsidRPr="00DF6451">
        <w:rPr>
          <w:rFonts w:asciiTheme="minorHAnsi" w:hAnsiTheme="minorHAnsi" w:cstheme="minorHAnsi"/>
          <w:lang w:val="cs-CZ"/>
        </w:rPr>
        <w:t xml:space="preserve"> </w:t>
      </w:r>
      <w:r w:rsidR="00634586" w:rsidRPr="00DF6451">
        <w:rPr>
          <w:rFonts w:asciiTheme="minorHAnsi" w:hAnsiTheme="minorHAnsi" w:cstheme="minorHAnsi"/>
          <w:lang w:val="cs-CZ"/>
        </w:rPr>
        <w:t>které</w:t>
      </w:r>
      <w:r w:rsidR="00DF3BA0" w:rsidRPr="00DF6451">
        <w:rPr>
          <w:rFonts w:asciiTheme="minorHAnsi" w:hAnsiTheme="minorHAnsi" w:cstheme="minorHAnsi"/>
          <w:lang w:val="cs-CZ"/>
        </w:rPr>
        <w:t xml:space="preserve"> pozemky a</w:t>
      </w:r>
      <w:r w:rsidR="00873F0E" w:rsidRPr="00DF6451">
        <w:rPr>
          <w:rFonts w:asciiTheme="minorHAnsi" w:hAnsiTheme="minorHAnsi" w:cstheme="minorHAnsi"/>
          <w:lang w:val="cs-CZ"/>
        </w:rPr>
        <w:t xml:space="preserve">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DF3BA0" w:rsidRPr="00DF6451">
        <w:rPr>
          <w:rFonts w:asciiTheme="minorHAnsi" w:hAnsiTheme="minorHAnsi" w:cstheme="minorHAnsi"/>
          <w:lang w:val="cs-CZ"/>
        </w:rPr>
        <w:t>jakém ocenění</w:t>
      </w:r>
      <w:r w:rsidR="00873F0E" w:rsidRPr="00DF6451">
        <w:rPr>
          <w:rFonts w:asciiTheme="minorHAnsi" w:hAnsiTheme="minorHAnsi" w:cstheme="minorHAnsi"/>
          <w:lang w:val="cs-CZ"/>
        </w:rPr>
        <w:t xml:space="preserve"> jsou o</w:t>
      </w:r>
      <w:r w:rsidR="00A2261B">
        <w:rPr>
          <w:rFonts w:asciiTheme="minorHAnsi" w:hAnsiTheme="minorHAnsi" w:cstheme="minorHAnsi"/>
          <w:lang w:val="cs-CZ"/>
        </w:rPr>
        <w:t>bsahem doplňujících informací o </w:t>
      </w:r>
      <w:r w:rsidR="00873F0E" w:rsidRPr="00DF6451">
        <w:rPr>
          <w:rFonts w:asciiTheme="minorHAnsi" w:hAnsiTheme="minorHAnsi" w:cstheme="minorHAnsi"/>
          <w:lang w:val="cs-CZ"/>
        </w:rPr>
        <w:t>pozemcích. Spolehlivost informací tak nebylo možné ověřit</w:t>
      </w:r>
      <w:r w:rsidR="00994FE4" w:rsidRPr="00DF6451">
        <w:rPr>
          <w:rFonts w:asciiTheme="minorHAnsi" w:hAnsiTheme="minorHAnsi" w:cstheme="minorHAnsi"/>
          <w:lang w:val="cs-CZ"/>
        </w:rPr>
        <w:t>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Ostrava nepostupovalo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souladu s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ustanove</w:t>
      </w:r>
      <w:r w:rsidR="00973696" w:rsidRPr="00DF6451">
        <w:rPr>
          <w:rFonts w:asciiTheme="minorHAnsi" w:hAnsiTheme="minorHAnsi" w:cstheme="minorHAnsi"/>
          <w:lang w:val="cs-CZ"/>
        </w:rPr>
        <w:t>ním</w:t>
      </w:r>
      <w:r w:rsidR="002D68FD" w:rsidRPr="00DF6451">
        <w:rPr>
          <w:rFonts w:asciiTheme="minorHAnsi" w:hAnsiTheme="minorHAnsi" w:cstheme="minorHAnsi"/>
          <w:lang w:val="cs-CZ"/>
        </w:rPr>
        <w:t xml:space="preserve"> §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2D68FD" w:rsidRPr="00DF6451">
        <w:rPr>
          <w:rFonts w:asciiTheme="minorHAnsi" w:hAnsiTheme="minorHAnsi" w:cstheme="minorHAnsi"/>
          <w:lang w:val="cs-CZ"/>
        </w:rPr>
        <w:t>27 odst.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2D68FD" w:rsidRPr="00DF6451">
        <w:rPr>
          <w:rFonts w:asciiTheme="minorHAnsi" w:hAnsiTheme="minorHAnsi" w:cstheme="minorHAnsi"/>
          <w:lang w:val="cs-CZ"/>
        </w:rPr>
        <w:t xml:space="preserve">2 </w:t>
      </w:r>
      <w:r w:rsidR="00973696" w:rsidRPr="00DF6451">
        <w:rPr>
          <w:rFonts w:asciiTheme="minorHAnsi" w:hAnsiTheme="minorHAnsi" w:cstheme="minorHAnsi"/>
          <w:lang w:val="cs-CZ"/>
        </w:rPr>
        <w:t xml:space="preserve">zákona </w:t>
      </w:r>
      <w:r w:rsidR="00A2261B">
        <w:rPr>
          <w:rFonts w:asciiTheme="minorHAnsi" w:hAnsiTheme="minorHAnsi" w:cstheme="minorHAnsi"/>
          <w:lang w:val="cs-CZ"/>
        </w:rPr>
        <w:t>č.</w:t>
      </w:r>
      <w:r w:rsidR="00D745F6">
        <w:rPr>
          <w:rFonts w:asciiTheme="minorHAnsi" w:hAnsiTheme="minorHAnsi" w:cstheme="minorHAnsi"/>
          <w:lang w:val="cs-CZ"/>
        </w:rPr>
        <w:t> </w:t>
      </w:r>
      <w:r w:rsidR="00A2261B">
        <w:rPr>
          <w:rFonts w:asciiTheme="minorHAnsi" w:hAnsiTheme="minorHAnsi" w:cstheme="minorHAnsi"/>
          <w:lang w:val="cs-CZ"/>
        </w:rPr>
        <w:t>219/2000 Sb.</w:t>
      </w:r>
      <w:r w:rsidR="002D68FD" w:rsidRPr="00DF6451">
        <w:rPr>
          <w:rStyle w:val="Znakapoznpodarou"/>
          <w:rFonts w:asciiTheme="minorHAnsi" w:hAnsiTheme="minorHAnsi" w:cstheme="minorHAnsi"/>
          <w:lang w:val="cs-CZ"/>
        </w:rPr>
        <w:t>4</w:t>
      </w:r>
      <w:r w:rsidR="00973696" w:rsidRPr="00DF6451">
        <w:rPr>
          <w:rFonts w:asciiTheme="minorHAnsi" w:hAnsiTheme="minorHAnsi" w:cstheme="minorHAnsi"/>
          <w:lang w:val="cs-CZ"/>
        </w:rPr>
        <w:t xml:space="preserve"> tím, že ve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smlouvě o výpůjčce ze dne 9.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6.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2010 neuvedlo ujednání o</w:t>
      </w:r>
      <w:r w:rsidR="00D745F6">
        <w:rPr>
          <w:rFonts w:asciiTheme="minorHAnsi" w:hAnsiTheme="minorHAnsi" w:cstheme="minorHAnsi"/>
          <w:lang w:val="cs-CZ"/>
        </w:rPr>
        <w:t> </w:t>
      </w:r>
      <w:r w:rsidRPr="00DF6451">
        <w:rPr>
          <w:rFonts w:asciiTheme="minorHAnsi" w:hAnsiTheme="minorHAnsi" w:cstheme="minorHAnsi"/>
          <w:lang w:val="cs-CZ"/>
        </w:rPr>
        <w:t>možnosti ukončit užívací vztah výpovědí.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Č.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 xml:space="preserve">Budějovice </w:t>
      </w:r>
      <w:r w:rsidR="00A2261B">
        <w:rPr>
          <w:rFonts w:asciiTheme="minorHAnsi" w:hAnsiTheme="minorHAnsi" w:cstheme="minorHAnsi"/>
          <w:lang w:val="cs-CZ"/>
        </w:rPr>
        <w:t>o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="00B52E98" w:rsidRPr="00DF6451">
        <w:rPr>
          <w:rFonts w:asciiTheme="minorHAnsi" w:hAnsiTheme="minorHAnsi" w:cstheme="minorHAnsi"/>
          <w:lang w:val="cs-CZ"/>
        </w:rPr>
        <w:t>pořízení</w:t>
      </w:r>
      <w:r w:rsidRPr="00DF6451">
        <w:rPr>
          <w:rFonts w:asciiTheme="minorHAnsi" w:hAnsiTheme="minorHAnsi" w:cstheme="minorHAnsi"/>
          <w:lang w:val="cs-CZ"/>
        </w:rPr>
        <w:t xml:space="preserve"> pozemků v hodnotě 639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342,10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Kč neúčtovalo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 xml:space="preserve">časově souvisejícím účetním období roku 2011 a </w:t>
      </w:r>
      <w:r w:rsidR="00A2261B">
        <w:rPr>
          <w:rFonts w:asciiTheme="minorHAnsi" w:hAnsiTheme="minorHAnsi" w:cstheme="minorHAnsi"/>
          <w:bCs/>
          <w:lang w:val="cs-CZ"/>
        </w:rPr>
        <w:t>o</w:t>
      </w:r>
      <w:r w:rsidRPr="00DF6451">
        <w:rPr>
          <w:rFonts w:asciiTheme="minorHAnsi" w:hAnsiTheme="minorHAnsi" w:cstheme="minorHAnsi"/>
          <w:bCs/>
          <w:lang w:val="cs-CZ"/>
        </w:rPr>
        <w:t xml:space="preserve"> </w:t>
      </w:r>
      <w:r w:rsidR="00B52E98" w:rsidRPr="00DF6451">
        <w:rPr>
          <w:rFonts w:asciiTheme="minorHAnsi" w:hAnsiTheme="minorHAnsi" w:cstheme="minorHAnsi"/>
          <w:bCs/>
          <w:lang w:val="cs-CZ"/>
        </w:rPr>
        <w:t>vyřazení</w:t>
      </w:r>
      <w:r w:rsidRPr="00DF6451">
        <w:rPr>
          <w:rFonts w:asciiTheme="minorHAnsi" w:hAnsiTheme="minorHAnsi" w:cstheme="minorHAnsi"/>
          <w:bCs/>
          <w:lang w:val="cs-CZ"/>
        </w:rPr>
        <w:t xml:space="preserve"> pozemků v</w:t>
      </w:r>
      <w:r w:rsidR="00D005DD" w:rsidRPr="00DF6451">
        <w:rPr>
          <w:rFonts w:asciiTheme="minorHAns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lang w:val="cs-CZ"/>
        </w:rPr>
        <w:t>hodnotě</w:t>
      </w:r>
      <w:r w:rsidR="00D005DD" w:rsidRPr="00DF6451">
        <w:rPr>
          <w:rFonts w:asciiTheme="minorHAns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lang w:val="cs-CZ"/>
        </w:rPr>
        <w:t>1</w:t>
      </w:r>
      <w:r w:rsidR="00D005DD" w:rsidRPr="00DF6451">
        <w:rPr>
          <w:rFonts w:asciiTheme="minorHAns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lang w:val="cs-CZ"/>
        </w:rPr>
        <w:t>489</w:t>
      </w:r>
      <w:r w:rsidR="00D005DD" w:rsidRPr="00DF6451">
        <w:rPr>
          <w:rFonts w:asciiTheme="minorHAns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lang w:val="cs-CZ"/>
        </w:rPr>
        <w:t>310</w:t>
      </w:r>
      <w:r w:rsidR="00D005DD" w:rsidRPr="00DF6451">
        <w:rPr>
          <w:rFonts w:asciiTheme="minorHAns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lang w:val="cs-CZ"/>
        </w:rPr>
        <w:t>Kč neúčtovalo v</w:t>
      </w:r>
      <w:r w:rsidR="00D005DD" w:rsidRPr="00DF6451">
        <w:rPr>
          <w:rFonts w:asciiTheme="minorHAns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bCs/>
          <w:lang w:val="cs-CZ"/>
        </w:rPr>
        <w:t xml:space="preserve">časově souvisejícím účetním období roku 2012.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Účetnictví </w:t>
      </w: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Č.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Budějovice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účetní</w:t>
      </w:r>
      <w:r w:rsidR="00AA414C">
        <w:rPr>
          <w:rFonts w:asciiTheme="minorHAnsi" w:eastAsia="Calibri" w:hAnsiTheme="minorHAnsi" w:cstheme="minorHAnsi"/>
          <w:bCs/>
          <w:lang w:val="cs-CZ"/>
        </w:rPr>
        <w:t>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období</w:t>
      </w:r>
      <w:r w:rsidR="00AA414C">
        <w:rPr>
          <w:rFonts w:asciiTheme="minorHAnsi" w:eastAsia="Calibri" w:hAnsiTheme="minorHAnsi" w:cstheme="minorHAnsi"/>
          <w:bCs/>
          <w:lang w:val="cs-CZ"/>
        </w:rPr>
        <w:t>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let 2011 a 2012 tak nebylo správné a ú</w:t>
      </w:r>
      <w:r w:rsidRPr="00DF6451">
        <w:rPr>
          <w:rFonts w:asciiTheme="minorHAnsi" w:hAnsiTheme="minorHAnsi" w:cstheme="minorHAnsi"/>
          <w:bCs/>
          <w:lang w:val="cs-CZ"/>
        </w:rPr>
        <w:t>plné.</w:t>
      </w:r>
    </w:p>
    <w:p w:rsidR="00DF6451" w:rsidRPr="00DF6451" w:rsidRDefault="00DF6451" w:rsidP="00DF6451">
      <w:pPr>
        <w:rPr>
          <w:rFonts w:ascii="Calibri" w:hAnsi="Calibri" w:cs="Calibri"/>
          <w:lang w:val="cs-CZ"/>
        </w:rPr>
      </w:pPr>
    </w:p>
    <w:p w:rsidR="00F926FA" w:rsidRDefault="00F926FA" w:rsidP="00DF6451">
      <w:pPr>
        <w:rPr>
          <w:rFonts w:ascii="Calibr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t>2.</w:t>
      </w:r>
      <w:r w:rsidR="00052BD2">
        <w:rPr>
          <w:rFonts w:ascii="Calibri" w:hAnsi="Calibri" w:cs="Calibri"/>
          <w:b/>
          <w:lang w:val="cs-CZ"/>
        </w:rPr>
        <w:t xml:space="preserve"> </w:t>
      </w:r>
      <w:r w:rsidRPr="00DF6451">
        <w:rPr>
          <w:rFonts w:ascii="Calibri" w:hAnsi="Calibri" w:cs="Calibri"/>
          <w:b/>
          <w:lang w:val="cs-CZ"/>
        </w:rPr>
        <w:t>Stavby</w:t>
      </w:r>
    </w:p>
    <w:p w:rsidR="00DF6451" w:rsidRPr="00DF6451" w:rsidRDefault="00DF6451" w:rsidP="00DF6451">
      <w:pPr>
        <w:rPr>
          <w:rFonts w:ascii="Calibri" w:eastAsiaTheme="minorHAnsi" w:hAnsi="Calibri" w:cs="Calibri"/>
          <w:lang w:val="cs-CZ"/>
        </w:rPr>
      </w:pP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Praha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ve smlouvě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o nájmu nebytových prostor, nájmu a podnájmu parkovacích míst ze dne 23.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12.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2008 sjednalo dvouletou lhůtu u výpovědi bez udání důvod</w:t>
      </w:r>
      <w:r w:rsidR="00AA414C">
        <w:rPr>
          <w:rFonts w:asciiTheme="minorHAnsi" w:eastAsia="Calibri" w:hAnsiTheme="minorHAnsi" w:cstheme="minorHAnsi"/>
          <w:bCs/>
          <w:lang w:val="cs-CZ"/>
        </w:rPr>
        <w:t>u</w:t>
      </w:r>
      <w:r w:rsidRPr="00DF6451">
        <w:rPr>
          <w:rFonts w:asciiTheme="minorHAnsi" w:eastAsia="Calibri" w:hAnsiTheme="minorHAnsi" w:cstheme="minorHAnsi"/>
          <w:bCs/>
          <w:lang w:val="cs-CZ"/>
        </w:rPr>
        <w:t>. Taková délka výpovědní lhůty bude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případě nepotřebnosti před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>mětu nájmu či jiného důvodu pro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výpověď ze strany 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Praha znamenat riziko nehospodárného vynaložení peněžních </w:t>
      </w:r>
      <w:r w:rsidRPr="00DF6451">
        <w:rPr>
          <w:rFonts w:asciiTheme="minorHAnsi" w:eastAsia="Calibri" w:hAnsiTheme="minorHAnsi" w:cstheme="minorHAnsi"/>
          <w:bCs/>
          <w:lang w:val="cs-CZ"/>
        </w:rPr>
        <w:lastRenderedPageBreak/>
        <w:t>prostředků státu, neboť 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Praha bude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takovém případě povinno uhradit n</w:t>
      </w:r>
      <w:r w:rsidR="00973696" w:rsidRPr="00DF6451">
        <w:rPr>
          <w:rFonts w:asciiTheme="minorHAnsi" w:eastAsia="Calibri" w:hAnsiTheme="minorHAnsi" w:cstheme="minorHAnsi"/>
          <w:bCs/>
          <w:lang w:val="cs-CZ"/>
        </w:rPr>
        <w:t>ájemné za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4D32FC" w:rsidRPr="00DF6451">
        <w:rPr>
          <w:rFonts w:asciiTheme="minorHAnsi" w:eastAsia="Calibri" w:hAnsiTheme="minorHAnsi" w:cstheme="minorHAnsi"/>
          <w:bCs/>
          <w:lang w:val="cs-CZ"/>
        </w:rPr>
        <w:t>celou výpovědní lhůtu, pokud se s pronajímatelem nedohodne na nižší</w:t>
      </w:r>
      <w:r w:rsidR="005A3551" w:rsidRPr="005A35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A3551" w:rsidRPr="00DF6451">
        <w:rPr>
          <w:rFonts w:asciiTheme="minorHAnsi" w:eastAsia="Calibri" w:hAnsiTheme="minorHAnsi" w:cstheme="minorHAnsi"/>
          <w:bCs/>
          <w:lang w:val="cs-CZ"/>
        </w:rPr>
        <w:t>úhradě</w:t>
      </w:r>
      <w:r w:rsidR="004D32FC" w:rsidRPr="00DF6451">
        <w:rPr>
          <w:rFonts w:asciiTheme="minorHAnsi" w:eastAsia="Calibri" w:hAnsiTheme="minorHAnsi" w:cstheme="minorHAnsi"/>
          <w:bCs/>
          <w:lang w:val="cs-CZ"/>
        </w:rPr>
        <w:t>.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Roční výše nájemného činí 9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214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536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Kč.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Praha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účetním období roku 2012 účtovalo o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nákladech na nájemné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celkové výši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793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951,67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Kč</w:t>
      </w:r>
      <w:r w:rsidRPr="00DF6451">
        <w:rPr>
          <w:rFonts w:asciiTheme="minorHAnsi" w:eastAsia="Calibri" w:hAnsiTheme="minorHAnsi" w:cstheme="minorHAnsi"/>
          <w:bCs/>
          <w:lang w:val="cs-CZ"/>
        </w:rPr>
        <w:t>, které s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tímto obdobím časově nesouvisely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,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a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účetním období roku 2014 účtovalo o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nákladech na nájemné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celkové výši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2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368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163,67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Kč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, které </w:t>
      </w:r>
      <w:r w:rsidR="00AA414C">
        <w:rPr>
          <w:rFonts w:asciiTheme="minorHAnsi" w:eastAsia="Calibri" w:hAnsiTheme="minorHAnsi" w:cstheme="minorHAnsi"/>
          <w:bCs/>
          <w:lang w:val="cs-CZ"/>
        </w:rPr>
        <w:t xml:space="preserve">rovněž </w:t>
      </w:r>
      <w:r w:rsidRPr="00DF6451">
        <w:rPr>
          <w:rFonts w:asciiTheme="minorHAnsi" w:eastAsia="Calibri" w:hAnsiTheme="minorHAnsi" w:cstheme="minorHAnsi"/>
          <w:bCs/>
          <w:lang w:val="cs-CZ"/>
        </w:rPr>
        <w:t>s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t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>ímto obdobím časově nesouvisely</w:t>
      </w:r>
      <w:r w:rsidRPr="00DF6451">
        <w:rPr>
          <w:rFonts w:asciiTheme="minorHAnsi" w:eastAsia="Calibri" w:hAnsiTheme="minorHAnsi" w:cstheme="minorHAnsi"/>
          <w:bCs/>
          <w:lang w:val="cs-CZ"/>
        </w:rPr>
        <w:t>.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důsledku toho ve výkazu zisku a ztráty k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31.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12.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2012 nadhodnotilo náklady </w:t>
      </w:r>
      <w:r w:rsidR="00226C78" w:rsidRPr="00DF6451">
        <w:rPr>
          <w:rFonts w:asciiTheme="minorHAnsi" w:eastAsia="Calibri" w:hAnsiTheme="minorHAnsi" w:cstheme="minorHAnsi"/>
          <w:bCs/>
          <w:lang w:val="cs-CZ"/>
        </w:rPr>
        <w:t xml:space="preserve">za období roku 2012 </w:t>
      </w:r>
      <w:r w:rsidRPr="00DF6451">
        <w:rPr>
          <w:rFonts w:asciiTheme="minorHAnsi" w:eastAsia="Calibri" w:hAnsiTheme="minorHAnsi" w:cstheme="minorHAnsi"/>
          <w:bCs/>
          <w:lang w:val="cs-CZ"/>
        </w:rPr>
        <w:t>o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793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951,67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Kč a </w:t>
      </w:r>
      <w:r w:rsidR="00AA414C">
        <w:rPr>
          <w:rFonts w:asciiTheme="minorHAnsi" w:eastAsia="Calibri" w:hAnsiTheme="minorHAnsi" w:cstheme="minorHAnsi"/>
          <w:bCs/>
          <w:lang w:val="cs-CZ"/>
        </w:rPr>
        <w:t>ve výkazu zisku a </w:t>
      </w:r>
      <w:r w:rsidR="00390E0E" w:rsidRPr="00DF6451">
        <w:rPr>
          <w:rFonts w:asciiTheme="minorHAnsi" w:eastAsia="Calibri" w:hAnsiTheme="minorHAnsi" w:cstheme="minorHAnsi"/>
          <w:bCs/>
          <w:lang w:val="cs-CZ"/>
        </w:rPr>
        <w:t xml:space="preserve">ztráty </w:t>
      </w:r>
      <w:r w:rsidRPr="00DF6451">
        <w:rPr>
          <w:rFonts w:asciiTheme="minorHAnsi" w:eastAsia="Calibri" w:hAnsiTheme="minorHAnsi" w:cstheme="minorHAnsi"/>
          <w:bCs/>
          <w:lang w:val="cs-CZ"/>
        </w:rPr>
        <w:t>k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31.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12.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2014 nadh</w:t>
      </w:r>
      <w:r w:rsidR="00390E0E" w:rsidRPr="00DF6451">
        <w:rPr>
          <w:rFonts w:asciiTheme="minorHAnsi" w:eastAsia="Calibri" w:hAnsiTheme="minorHAnsi" w:cstheme="minorHAnsi"/>
          <w:bCs/>
          <w:lang w:val="cs-CZ"/>
        </w:rPr>
        <w:t>odnotilo náklady za období roku 2014 o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="00390E0E" w:rsidRPr="00DF6451">
        <w:rPr>
          <w:rFonts w:asciiTheme="minorHAnsi" w:eastAsia="Calibri" w:hAnsiTheme="minorHAnsi" w:cstheme="minorHAnsi"/>
          <w:bCs/>
          <w:lang w:val="cs-CZ"/>
        </w:rPr>
        <w:t>2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="00390E0E" w:rsidRPr="00DF6451">
        <w:rPr>
          <w:rFonts w:asciiTheme="minorHAnsi" w:eastAsia="Calibri" w:hAnsiTheme="minorHAnsi" w:cstheme="minorHAnsi"/>
          <w:bCs/>
          <w:lang w:val="cs-CZ"/>
        </w:rPr>
        <w:t>368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="00390E0E" w:rsidRPr="00DF6451">
        <w:rPr>
          <w:rFonts w:asciiTheme="minorHAnsi" w:eastAsia="Calibri" w:hAnsiTheme="minorHAnsi" w:cstheme="minorHAnsi"/>
          <w:bCs/>
          <w:lang w:val="cs-CZ"/>
        </w:rPr>
        <w:t>163,67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Kč. Účetnictví KŘ</w:t>
      </w:r>
      <w:r w:rsidR="00AA414C">
        <w:rPr>
          <w:rFonts w:asciiTheme="minorHAnsi" w:eastAsia="Calibri" w:hAnsiTheme="minorHAnsi" w:cstheme="minorHAnsi"/>
          <w:bCs/>
          <w:lang w:val="cs-CZ"/>
        </w:rPr>
        <w:t>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Praha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účetní</w:t>
      </w:r>
      <w:r w:rsidR="00AA414C">
        <w:rPr>
          <w:rFonts w:asciiTheme="minorHAnsi" w:eastAsia="Calibri" w:hAnsiTheme="minorHAnsi" w:cstheme="minorHAnsi"/>
          <w:bCs/>
          <w:lang w:val="cs-CZ"/>
        </w:rPr>
        <w:t>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období</w:t>
      </w:r>
      <w:r w:rsidR="00AA414C">
        <w:rPr>
          <w:rFonts w:asciiTheme="minorHAnsi" w:eastAsia="Calibri" w:hAnsiTheme="minorHAnsi" w:cstheme="minorHAnsi"/>
          <w:bCs/>
          <w:lang w:val="cs-CZ"/>
        </w:rPr>
        <w:t>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let 2012 a 2014 tak nebylo správné.</w:t>
      </w:r>
    </w:p>
    <w:p w:rsidR="0040483B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 xml:space="preserve">Ostrava </w:t>
      </w:r>
      <w:r w:rsidRPr="00DF6451">
        <w:rPr>
          <w:rFonts w:asciiTheme="minorHAnsi" w:eastAsia="Calibri" w:hAnsiTheme="minorHAnsi" w:cstheme="minorHAnsi"/>
          <w:bCs/>
          <w:lang w:val="cs-CZ"/>
        </w:rPr>
        <w:t>nedodrželo</w:t>
      </w:r>
      <w:r w:rsidRPr="00DF6451">
        <w:rPr>
          <w:rFonts w:asciiTheme="minorHAnsi" w:hAnsiTheme="minorHAnsi" w:cstheme="minorHAnsi"/>
          <w:lang w:val="cs-CZ"/>
        </w:rPr>
        <w:t xml:space="preserve"> obsahovou náplň položek účetní závěrky</w:t>
      </w:r>
      <w:r w:rsidR="00F045F3" w:rsidRPr="00DF6451">
        <w:rPr>
          <w:rFonts w:asciiTheme="minorHAnsi" w:hAnsiTheme="minorHAnsi" w:cstheme="minorHAnsi"/>
          <w:lang w:val="cs-CZ"/>
        </w:rPr>
        <w:t xml:space="preserve"> sestavené k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F045F3" w:rsidRPr="00DF6451">
        <w:rPr>
          <w:rFonts w:asciiTheme="minorHAnsi" w:hAnsiTheme="minorHAnsi" w:cstheme="minorHAnsi"/>
          <w:lang w:val="cs-CZ"/>
        </w:rPr>
        <w:t>31.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F045F3" w:rsidRPr="00DF6451">
        <w:rPr>
          <w:rFonts w:asciiTheme="minorHAnsi" w:hAnsiTheme="minorHAnsi" w:cstheme="minorHAnsi"/>
          <w:lang w:val="cs-CZ"/>
        </w:rPr>
        <w:t>12.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F045F3" w:rsidRPr="00DF6451">
        <w:rPr>
          <w:rFonts w:asciiTheme="minorHAnsi" w:hAnsiTheme="minorHAnsi" w:cstheme="minorHAnsi"/>
          <w:lang w:val="cs-CZ"/>
        </w:rPr>
        <w:t>2012</w:t>
      </w:r>
      <w:r w:rsidRPr="00DF6451">
        <w:rPr>
          <w:rFonts w:asciiTheme="minorHAnsi" w:hAnsiTheme="minorHAnsi" w:cstheme="minorHAnsi"/>
          <w:lang w:val="cs-CZ"/>
        </w:rPr>
        <w:t>, neboť částku ve výši minimálně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537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312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Kč nevykázalo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rozvaze jako technické zhodnocení majetku, ale ve výkazu zisk</w:t>
      </w:r>
      <w:r w:rsidR="00316958" w:rsidRPr="00DF6451">
        <w:rPr>
          <w:rFonts w:asciiTheme="minorHAnsi" w:hAnsiTheme="minorHAnsi" w:cstheme="minorHAnsi"/>
          <w:lang w:val="cs-CZ"/>
        </w:rPr>
        <w:t>u</w:t>
      </w:r>
      <w:r w:rsidRPr="00DF6451">
        <w:rPr>
          <w:rFonts w:asciiTheme="minorHAnsi" w:hAnsiTheme="minorHAnsi" w:cstheme="minorHAnsi"/>
          <w:lang w:val="cs-CZ"/>
        </w:rPr>
        <w:t xml:space="preserve"> a ztrát</w:t>
      </w:r>
      <w:r w:rsidR="00316958" w:rsidRPr="00DF6451">
        <w:rPr>
          <w:rFonts w:asciiTheme="minorHAnsi" w:hAnsiTheme="minorHAnsi" w:cstheme="minorHAnsi"/>
          <w:lang w:val="cs-CZ"/>
        </w:rPr>
        <w:t>y</w:t>
      </w:r>
      <w:r w:rsidRPr="00DF6451">
        <w:rPr>
          <w:rFonts w:asciiTheme="minorHAnsi" w:hAnsiTheme="minorHAnsi" w:cstheme="minorHAnsi"/>
          <w:lang w:val="cs-CZ"/>
        </w:rPr>
        <w:t xml:space="preserve"> jako náklady na opravu.</w:t>
      </w:r>
      <w:r w:rsidR="0040483B" w:rsidRPr="00DF6451">
        <w:rPr>
          <w:rFonts w:asciiTheme="minorHAnsi" w:eastAsiaTheme="minorHAnsi" w:hAnsiTheme="minorHAnsi" w:cstheme="minorHAnsi"/>
          <w:lang w:val="cs-CZ"/>
        </w:rPr>
        <w:t xml:space="preserve"> </w:t>
      </w:r>
      <w:r w:rsidR="0040483B" w:rsidRPr="00DF6451">
        <w:rPr>
          <w:rFonts w:asciiTheme="minorHAnsi" w:hAnsiTheme="minorHAnsi" w:cstheme="minorHAnsi"/>
          <w:lang w:val="cs-CZ"/>
        </w:rPr>
        <w:t>Kontrolou bylo zjištěno, že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0483B" w:rsidRPr="00DF6451">
        <w:rPr>
          <w:rFonts w:asciiTheme="minorHAnsi" w:hAnsiTheme="minorHAnsi" w:cstheme="minorHAnsi"/>
          <w:lang w:val="cs-CZ"/>
        </w:rPr>
        <w:t xml:space="preserve">budově KŘP Ostrava byla provedena oprava </w:t>
      </w:r>
      <w:r w:rsidR="00973696" w:rsidRPr="00DF6451">
        <w:rPr>
          <w:rFonts w:asciiTheme="minorHAnsi" w:hAnsiTheme="minorHAnsi" w:cstheme="minorHAnsi"/>
          <w:lang w:val="cs-CZ"/>
        </w:rPr>
        <w:t>fasády a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40483B" w:rsidRPr="00DF6451">
        <w:rPr>
          <w:rFonts w:asciiTheme="minorHAnsi" w:hAnsiTheme="minorHAnsi" w:cstheme="minorHAnsi"/>
          <w:lang w:val="cs-CZ"/>
        </w:rPr>
        <w:t xml:space="preserve">výměna oken, při níž byla původní zdvojená okna vyměněna za </w:t>
      </w:r>
      <w:r w:rsidR="006C5273" w:rsidRPr="00DF6451">
        <w:rPr>
          <w:rFonts w:asciiTheme="minorHAnsi" w:hAnsiTheme="minorHAnsi" w:cstheme="minorHAnsi"/>
          <w:lang w:val="cs-CZ"/>
        </w:rPr>
        <w:t>EURO</w:t>
      </w:r>
      <w:r w:rsidR="0040483B" w:rsidRPr="00DF6451">
        <w:rPr>
          <w:rFonts w:asciiTheme="minorHAnsi" w:hAnsiTheme="minorHAnsi" w:cstheme="minorHAnsi"/>
          <w:lang w:val="cs-CZ"/>
        </w:rPr>
        <w:t xml:space="preserve"> okna s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0483B" w:rsidRPr="00DF6451">
        <w:rPr>
          <w:rFonts w:asciiTheme="minorHAnsi" w:hAnsiTheme="minorHAnsi" w:cstheme="minorHAnsi"/>
          <w:lang w:val="cs-CZ"/>
        </w:rPr>
        <w:t>trojsklem, tzn. za okna s jinými tepelně izolačními vlastnostmi a s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0483B" w:rsidRPr="00DF6451">
        <w:rPr>
          <w:rFonts w:asciiTheme="minorHAnsi" w:hAnsiTheme="minorHAnsi" w:cstheme="minorHAnsi"/>
          <w:lang w:val="cs-CZ"/>
        </w:rPr>
        <w:t>jiným počtem vrstev skel</w:t>
      </w:r>
      <w:r w:rsidR="00AA269E">
        <w:rPr>
          <w:rFonts w:asciiTheme="minorHAnsi" w:hAnsiTheme="minorHAnsi" w:cstheme="minorHAnsi"/>
          <w:lang w:val="cs-CZ"/>
        </w:rPr>
        <w:t>,</w:t>
      </w:r>
      <w:r w:rsidR="0040483B" w:rsidRPr="00DF6451">
        <w:rPr>
          <w:rFonts w:asciiTheme="minorHAnsi" w:hAnsiTheme="minorHAnsi" w:cstheme="minorHAnsi"/>
          <w:lang w:val="cs-CZ"/>
        </w:rPr>
        <w:t xml:space="preserve"> a to v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40483B" w:rsidRPr="00DF6451">
        <w:rPr>
          <w:rFonts w:asciiTheme="minorHAnsi" w:hAnsiTheme="minorHAnsi" w:cstheme="minorHAnsi"/>
          <w:lang w:val="cs-CZ"/>
        </w:rPr>
        <w:t xml:space="preserve">minimální výši 537 312 Kč. KŘP Ostrava všechny náklady na opravu fasády a výměnu oken zaúčtovalo na nákladový účet </w:t>
      </w:r>
      <w:r w:rsidR="0040483B" w:rsidRPr="00C65CFB">
        <w:rPr>
          <w:rFonts w:asciiTheme="minorHAnsi" w:hAnsiTheme="minorHAnsi" w:cstheme="minorHAnsi"/>
          <w:i/>
          <w:lang w:val="cs-CZ"/>
        </w:rPr>
        <w:t>Opravy a udržování</w:t>
      </w:r>
      <w:r w:rsidR="0040483B" w:rsidRPr="00DF6451">
        <w:rPr>
          <w:rFonts w:asciiTheme="minorHAnsi" w:hAnsiTheme="minorHAnsi" w:cstheme="minorHAnsi"/>
          <w:lang w:val="cs-CZ"/>
        </w:rPr>
        <w:t>, ačkoliv se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0483B" w:rsidRPr="00DF6451">
        <w:rPr>
          <w:rFonts w:asciiTheme="minorHAnsi" w:hAnsiTheme="minorHAnsi" w:cstheme="minorHAnsi"/>
          <w:lang w:val="cs-CZ"/>
        </w:rPr>
        <w:t>případě výměny oken nejednalo o opravu</w:t>
      </w:r>
      <w:r w:rsidR="00AA414C">
        <w:rPr>
          <w:rFonts w:asciiTheme="minorHAnsi" w:hAnsiTheme="minorHAnsi" w:cstheme="minorHAnsi"/>
          <w:lang w:val="cs-CZ"/>
        </w:rPr>
        <w:t>,</w:t>
      </w:r>
      <w:r w:rsidR="0040483B" w:rsidRPr="00DF6451">
        <w:rPr>
          <w:rFonts w:asciiTheme="minorHAnsi" w:hAnsiTheme="minorHAnsi" w:cstheme="minorHAnsi"/>
          <w:lang w:val="cs-CZ"/>
        </w:rPr>
        <w:t xml:space="preserve"> ale </w:t>
      </w:r>
      <w:r w:rsidR="00AA414C">
        <w:rPr>
          <w:rFonts w:asciiTheme="minorHAnsi" w:hAnsiTheme="minorHAnsi" w:cstheme="minorHAnsi"/>
          <w:lang w:val="cs-CZ"/>
        </w:rPr>
        <w:t>o </w:t>
      </w:r>
      <w:r w:rsidR="0040483B" w:rsidRPr="00DF6451">
        <w:rPr>
          <w:rFonts w:asciiTheme="minorHAnsi" w:hAnsiTheme="minorHAnsi" w:cstheme="minorHAnsi"/>
          <w:lang w:val="cs-CZ"/>
        </w:rPr>
        <w:t>technické zhodnocení majetku.</w:t>
      </w:r>
    </w:p>
    <w:p w:rsidR="00226C78" w:rsidRPr="00DF6451" w:rsidRDefault="009F2008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Ústí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n.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L.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rámci příloh účetní</w:t>
      </w:r>
      <w:r w:rsidR="00AA269E">
        <w:rPr>
          <w:rFonts w:asciiTheme="minorHAnsi" w:hAnsiTheme="minorHAnsi" w:cstheme="minorHAnsi"/>
          <w:lang w:val="cs-CZ"/>
        </w:rPr>
        <w:t>ch</w:t>
      </w:r>
      <w:r w:rsidRPr="00DF6451">
        <w:rPr>
          <w:rFonts w:asciiTheme="minorHAnsi" w:hAnsiTheme="minorHAnsi" w:cstheme="minorHAnsi"/>
          <w:lang w:val="cs-CZ"/>
        </w:rPr>
        <w:t xml:space="preserve"> závěr</w:t>
      </w:r>
      <w:r w:rsidR="00AA269E">
        <w:rPr>
          <w:rFonts w:asciiTheme="minorHAnsi" w:hAnsiTheme="minorHAnsi" w:cstheme="minorHAnsi"/>
          <w:lang w:val="cs-CZ"/>
        </w:rPr>
        <w:t>e</w:t>
      </w:r>
      <w:r w:rsidRPr="00DF6451">
        <w:rPr>
          <w:rFonts w:asciiTheme="minorHAnsi" w:hAnsiTheme="minorHAnsi" w:cstheme="minorHAnsi"/>
          <w:lang w:val="cs-CZ"/>
        </w:rPr>
        <w:t>k sestaven</w:t>
      </w:r>
      <w:r w:rsidR="00AA269E">
        <w:rPr>
          <w:rFonts w:asciiTheme="minorHAnsi" w:hAnsiTheme="minorHAnsi" w:cstheme="minorHAnsi"/>
          <w:lang w:val="cs-CZ"/>
        </w:rPr>
        <w:t>ých</w:t>
      </w:r>
      <w:r w:rsidRPr="00DF6451">
        <w:rPr>
          <w:rFonts w:asciiTheme="minorHAnsi" w:hAnsiTheme="minorHAnsi" w:cstheme="minorHAnsi"/>
          <w:lang w:val="cs-CZ"/>
        </w:rPr>
        <w:t xml:space="preserve"> k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31.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12.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2012, 2013 a 2014 a</w:t>
      </w:r>
      <w:r w:rsidR="00D745F6">
        <w:rPr>
          <w:rFonts w:asciiTheme="minorHAnsi" w:hAnsiTheme="minorHAnsi" w:cstheme="minorHAnsi"/>
          <w:lang w:val="cs-CZ"/>
        </w:rPr>
        <w:t> </w:t>
      </w: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Ostrava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 xml:space="preserve">rámci </w:t>
      </w:r>
      <w:r w:rsidR="00AA414C">
        <w:rPr>
          <w:rFonts w:asciiTheme="minorHAnsi" w:hAnsiTheme="minorHAnsi" w:cstheme="minorHAnsi"/>
          <w:lang w:val="cs-CZ"/>
        </w:rPr>
        <w:t xml:space="preserve">přílohy </w:t>
      </w:r>
      <w:r w:rsidRPr="00DF6451">
        <w:rPr>
          <w:rFonts w:asciiTheme="minorHAnsi" w:hAnsiTheme="minorHAnsi" w:cstheme="minorHAnsi"/>
          <w:lang w:val="cs-CZ"/>
        </w:rPr>
        <w:t>účetní závěrky sestavené k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31.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12.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2013 poskytl</w:t>
      </w:r>
      <w:r w:rsidR="00AA269E">
        <w:rPr>
          <w:rFonts w:asciiTheme="minorHAnsi" w:hAnsiTheme="minorHAnsi" w:cstheme="minorHAnsi"/>
          <w:lang w:val="cs-CZ"/>
        </w:rPr>
        <w:t>y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="00226C78" w:rsidRPr="00DF6451">
        <w:rPr>
          <w:rFonts w:asciiTheme="minorHAnsi" w:hAnsiTheme="minorHAnsi" w:cstheme="minorHAnsi"/>
          <w:lang w:val="cs-CZ"/>
        </w:rPr>
        <w:t>doplňující informace o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226C78" w:rsidRPr="00DF6451">
        <w:rPr>
          <w:rFonts w:asciiTheme="minorHAnsi" w:hAnsiTheme="minorHAnsi" w:cstheme="minorHAnsi"/>
          <w:lang w:val="cs-CZ"/>
        </w:rPr>
        <w:t>stavbách, které nebyly spolehlivé.</w:t>
      </w:r>
      <w:r w:rsidR="00873F0E" w:rsidRPr="00DF6451">
        <w:rPr>
          <w:rFonts w:asciiTheme="minorHAnsi" w:hAnsiTheme="minorHAnsi" w:cstheme="minorHAnsi"/>
          <w:lang w:val="cs-CZ"/>
        </w:rPr>
        <w:t xml:space="preserve"> Uvedená KŘP nedoložila</w:t>
      </w:r>
      <w:r w:rsidR="0040318D" w:rsidRPr="00DF6451">
        <w:rPr>
          <w:rFonts w:asciiTheme="minorHAnsi" w:hAnsiTheme="minorHAnsi" w:cstheme="minorHAnsi"/>
          <w:lang w:val="cs-CZ"/>
        </w:rPr>
        <w:t>,</w:t>
      </w:r>
      <w:r w:rsidR="00873F0E" w:rsidRPr="00DF6451">
        <w:rPr>
          <w:rFonts w:asciiTheme="minorHAnsi" w:hAnsiTheme="minorHAnsi" w:cstheme="minorHAnsi"/>
          <w:lang w:val="cs-CZ"/>
        </w:rPr>
        <w:t xml:space="preserve"> </w:t>
      </w:r>
      <w:r w:rsidR="00C52A3A" w:rsidRPr="00DF6451">
        <w:rPr>
          <w:rFonts w:asciiTheme="minorHAnsi" w:hAnsiTheme="minorHAnsi" w:cstheme="minorHAnsi"/>
          <w:lang w:val="cs-CZ"/>
        </w:rPr>
        <w:t>které</w:t>
      </w:r>
      <w:r w:rsidR="0040318D" w:rsidRPr="00DF6451">
        <w:rPr>
          <w:rFonts w:asciiTheme="minorHAnsi" w:hAnsiTheme="minorHAnsi" w:cstheme="minorHAnsi"/>
          <w:lang w:val="cs-CZ"/>
        </w:rPr>
        <w:t xml:space="preserve"> stavby</w:t>
      </w:r>
      <w:r w:rsidR="008465E3" w:rsidRPr="00DF6451">
        <w:rPr>
          <w:rFonts w:asciiTheme="minorHAnsi" w:hAnsiTheme="minorHAnsi" w:cstheme="minorHAnsi"/>
          <w:lang w:val="cs-CZ"/>
        </w:rPr>
        <w:t xml:space="preserve"> a</w:t>
      </w:r>
      <w:r w:rsidR="00AA269E">
        <w:rPr>
          <w:rFonts w:asciiTheme="minorHAnsi" w:hAnsiTheme="minorHAnsi" w:cstheme="minorHAnsi"/>
          <w:lang w:val="cs-CZ"/>
        </w:rPr>
        <w:t> </w:t>
      </w:r>
      <w:r w:rsidR="00873F0E" w:rsidRPr="00DF6451">
        <w:rPr>
          <w:rFonts w:asciiTheme="minorHAnsi" w:hAnsiTheme="minorHAnsi" w:cstheme="minorHAnsi"/>
          <w:lang w:val="cs-CZ"/>
        </w:rPr>
        <w:t>v</w:t>
      </w:r>
      <w:r w:rsidR="00AA269E">
        <w:rPr>
          <w:rFonts w:asciiTheme="minorHAnsi" w:hAnsiTheme="minorHAnsi" w:cstheme="minorHAnsi"/>
          <w:lang w:val="cs-CZ"/>
        </w:rPr>
        <w:t> </w:t>
      </w:r>
      <w:r w:rsidR="00873F0E" w:rsidRPr="00DF6451">
        <w:rPr>
          <w:rFonts w:asciiTheme="minorHAnsi" w:hAnsiTheme="minorHAnsi" w:cstheme="minorHAnsi"/>
          <w:lang w:val="cs-CZ"/>
        </w:rPr>
        <w:t>jak</w:t>
      </w:r>
      <w:r w:rsidR="0040318D" w:rsidRPr="00DF6451">
        <w:rPr>
          <w:rFonts w:asciiTheme="minorHAnsi" w:hAnsiTheme="minorHAnsi" w:cstheme="minorHAnsi"/>
          <w:lang w:val="cs-CZ"/>
        </w:rPr>
        <w:t>ém ocenění</w:t>
      </w:r>
      <w:r w:rsidR="00873F0E" w:rsidRPr="00DF6451">
        <w:rPr>
          <w:rFonts w:asciiTheme="minorHAnsi" w:hAnsiTheme="minorHAnsi" w:cstheme="minorHAnsi"/>
          <w:lang w:val="cs-CZ"/>
        </w:rPr>
        <w:t xml:space="preserve"> jsou obsahem doplňujících informací o stavbách. Spolehlivost informací tak nebylo možné ověřit</w:t>
      </w:r>
      <w:r w:rsidRPr="00DF6451">
        <w:rPr>
          <w:rFonts w:asciiTheme="minorHAnsi" w:hAnsiTheme="minorHAnsi" w:cstheme="minorHAnsi"/>
          <w:lang w:val="cs-CZ"/>
        </w:rPr>
        <w:t>.</w:t>
      </w:r>
      <w:r w:rsidR="00873F0E" w:rsidRPr="00DF6451">
        <w:rPr>
          <w:rFonts w:asciiTheme="minorHAnsi" w:hAnsiTheme="minorHAnsi" w:cstheme="minorHAnsi"/>
          <w:b/>
          <w:lang w:val="cs-CZ"/>
        </w:rPr>
        <w:t xml:space="preserve"> 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Č.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Budějovice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účetním období roku 2011 a</w:t>
      </w:r>
      <w:r w:rsidR="00AA414C">
        <w:rPr>
          <w:rFonts w:asciiTheme="minorHAnsi" w:eastAsia="Calibri" w:hAnsiTheme="minorHAnsi" w:cstheme="minorHAnsi"/>
          <w:bCs/>
          <w:lang w:val="cs-CZ"/>
        </w:rPr>
        <w:t>ni roku 2013 neúčtovalo o </w:t>
      </w:r>
      <w:r w:rsidRPr="00DF6451">
        <w:rPr>
          <w:rFonts w:asciiTheme="minorHAnsi" w:eastAsia="Calibri" w:hAnsiTheme="minorHAnsi" w:cstheme="minorHAnsi"/>
          <w:bCs/>
          <w:lang w:val="cs-CZ"/>
        </w:rPr>
        <w:t>skutečnostech, které s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těmito </w:t>
      </w:r>
      <w:r w:rsidR="00AA414C">
        <w:rPr>
          <w:rFonts w:asciiTheme="minorHAnsi" w:eastAsia="Calibri" w:hAnsiTheme="minorHAnsi" w:cstheme="minorHAnsi"/>
          <w:bCs/>
          <w:lang w:val="cs-CZ"/>
        </w:rPr>
        <w:t xml:space="preserve">dvěma </w:t>
      </w:r>
      <w:r w:rsidRPr="00DF6451">
        <w:rPr>
          <w:rFonts w:asciiTheme="minorHAnsi" w:eastAsia="Calibri" w:hAnsiTheme="minorHAnsi" w:cstheme="minorHAnsi"/>
          <w:bCs/>
          <w:lang w:val="cs-CZ"/>
        </w:rPr>
        <w:t>obdobími časově souvisely.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roce 2011 neúčtovalo o </w:t>
      </w:r>
      <w:r w:rsidR="00B52E98" w:rsidRPr="00DF6451">
        <w:rPr>
          <w:rFonts w:asciiTheme="minorHAnsi" w:eastAsia="Calibri" w:hAnsiTheme="minorHAnsi" w:cstheme="minorHAnsi"/>
          <w:bCs/>
          <w:lang w:val="cs-CZ"/>
        </w:rPr>
        <w:t>vyřazení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staveb v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hodnotě 1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255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470 Kč a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roce 2013 o </w:t>
      </w:r>
      <w:r w:rsidR="00B52E98" w:rsidRPr="00DF6451">
        <w:rPr>
          <w:rFonts w:asciiTheme="minorHAnsi" w:eastAsia="Calibri" w:hAnsiTheme="minorHAnsi" w:cstheme="minorHAnsi"/>
          <w:bCs/>
          <w:lang w:val="cs-CZ"/>
        </w:rPr>
        <w:t>vyřazení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staveb v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hodnotě 2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478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940 Kč. Účetnictví 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Č.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Budějovice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účetní</w:t>
      </w:r>
      <w:r w:rsidR="00AA414C">
        <w:rPr>
          <w:rFonts w:asciiTheme="minorHAnsi" w:eastAsia="Calibri" w:hAnsiTheme="minorHAnsi" w:cstheme="minorHAnsi"/>
          <w:bCs/>
          <w:lang w:val="cs-CZ"/>
        </w:rPr>
        <w:t>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období</w:t>
      </w:r>
      <w:r w:rsidR="00AA414C">
        <w:rPr>
          <w:rFonts w:asciiTheme="minorHAnsi" w:eastAsia="Calibri" w:hAnsiTheme="minorHAnsi" w:cstheme="minorHAnsi"/>
          <w:bCs/>
          <w:lang w:val="cs-CZ"/>
        </w:rPr>
        <w:t>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let 2</w:t>
      </w:r>
      <w:r w:rsidR="00AA414C">
        <w:rPr>
          <w:rFonts w:asciiTheme="minorHAnsi" w:eastAsia="Calibri" w:hAnsiTheme="minorHAnsi" w:cstheme="minorHAnsi"/>
          <w:bCs/>
          <w:lang w:val="cs-CZ"/>
        </w:rPr>
        <w:t>011 a </w:t>
      </w:r>
      <w:r w:rsidR="00973696" w:rsidRPr="00DF6451">
        <w:rPr>
          <w:rFonts w:asciiTheme="minorHAnsi" w:eastAsia="Calibri" w:hAnsiTheme="minorHAnsi" w:cstheme="minorHAnsi"/>
          <w:bCs/>
          <w:lang w:val="cs-CZ"/>
        </w:rPr>
        <w:t>2013 tak nebylo správné a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úplné. 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Ústí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n.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L. </w:t>
      </w:r>
      <w:r w:rsidR="0040318D" w:rsidRPr="00DF6451">
        <w:rPr>
          <w:rFonts w:asciiTheme="minorHAnsi" w:eastAsia="Calibri" w:hAnsiTheme="minorHAnsi" w:cstheme="minorHAnsi"/>
          <w:bCs/>
          <w:lang w:val="cs-CZ"/>
        </w:rPr>
        <w:t xml:space="preserve">neúčtovalo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o zařazení majetku </w:t>
      </w:r>
      <w:r w:rsidR="0040318D" w:rsidRPr="00DF6451">
        <w:rPr>
          <w:rFonts w:asciiTheme="minorHAnsi" w:eastAsia="Calibri" w:hAnsiTheme="minorHAnsi" w:cstheme="minorHAnsi"/>
          <w:bCs/>
          <w:lang w:val="cs-CZ"/>
        </w:rPr>
        <w:t>stavebních úprav areálu Božtěšice v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="0040318D" w:rsidRPr="00DF6451">
        <w:rPr>
          <w:rFonts w:asciiTheme="minorHAnsi" w:eastAsia="Calibri" w:hAnsiTheme="minorHAnsi" w:cstheme="minorHAnsi"/>
          <w:bCs/>
          <w:lang w:val="cs-CZ"/>
        </w:rPr>
        <w:t>pořizovací ceně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2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430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514,95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Kč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účetním období </w:t>
      </w:r>
      <w:r w:rsidR="00AA269E">
        <w:rPr>
          <w:rFonts w:asciiTheme="minorHAnsi" w:eastAsia="Calibri" w:hAnsiTheme="minorHAnsi" w:cstheme="minorHAnsi"/>
          <w:bCs/>
          <w:lang w:val="cs-CZ"/>
        </w:rPr>
        <w:t xml:space="preserve">roku </w:t>
      </w:r>
      <w:r w:rsidRPr="00DF6451">
        <w:rPr>
          <w:rFonts w:asciiTheme="minorHAnsi" w:eastAsia="Calibri" w:hAnsiTheme="minorHAnsi" w:cstheme="minorHAnsi"/>
          <w:bCs/>
          <w:lang w:val="cs-CZ"/>
        </w:rPr>
        <w:t>2014, rekonstrukce elektroinstalace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pořizovací ceně 975 315,00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Kč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účetním období </w:t>
      </w:r>
      <w:r w:rsidR="00AA269E">
        <w:rPr>
          <w:rFonts w:asciiTheme="minorHAnsi" w:eastAsia="Calibri" w:hAnsiTheme="minorHAnsi" w:cstheme="minorHAnsi"/>
          <w:bCs/>
          <w:lang w:val="cs-CZ"/>
        </w:rPr>
        <w:t xml:space="preserve">roku </w:t>
      </w:r>
      <w:r w:rsidRPr="00DF6451">
        <w:rPr>
          <w:rFonts w:asciiTheme="minorHAnsi" w:eastAsia="Calibri" w:hAnsiTheme="minorHAnsi" w:cstheme="minorHAnsi"/>
          <w:bCs/>
          <w:lang w:val="cs-CZ"/>
        </w:rPr>
        <w:t>2014, „sklad MTZ“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pořizovací ceně 125 538,00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Kč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účetním období </w:t>
      </w:r>
      <w:r w:rsidR="00AA269E">
        <w:rPr>
          <w:rFonts w:asciiTheme="minorHAnsi" w:eastAsia="Calibri" w:hAnsiTheme="minorHAnsi" w:cstheme="minorHAnsi"/>
          <w:bCs/>
          <w:lang w:val="cs-CZ"/>
        </w:rPr>
        <w:t xml:space="preserve">roku </w:t>
      </w:r>
      <w:r w:rsidRPr="00DF6451">
        <w:rPr>
          <w:rFonts w:asciiTheme="minorHAnsi" w:eastAsia="Calibri" w:hAnsiTheme="minorHAnsi" w:cstheme="minorHAnsi"/>
          <w:bCs/>
          <w:lang w:val="cs-CZ"/>
        </w:rPr>
        <w:t>2014, úprava vstupu a</w:t>
      </w:r>
      <w:r w:rsidR="00AA269E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sociálních zařízení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pořizovací ceně 839 166,28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Kč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účetním období </w:t>
      </w:r>
      <w:r w:rsidR="00AA269E">
        <w:rPr>
          <w:rFonts w:asciiTheme="minorHAnsi" w:eastAsia="Calibri" w:hAnsiTheme="minorHAnsi" w:cstheme="minorHAnsi"/>
          <w:bCs/>
          <w:lang w:val="cs-CZ"/>
        </w:rPr>
        <w:t xml:space="preserve">roku </w:t>
      </w:r>
      <w:r w:rsidRPr="00DF6451">
        <w:rPr>
          <w:rFonts w:asciiTheme="minorHAnsi" w:eastAsia="Calibri" w:hAnsiTheme="minorHAnsi" w:cstheme="minorHAnsi"/>
          <w:bCs/>
          <w:lang w:val="cs-CZ"/>
        </w:rPr>
        <w:t>2015, úpravy veterinární stanice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pořizovací ceně 1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011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759,00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Kč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účetním období </w:t>
      </w:r>
      <w:r w:rsidR="00AA269E">
        <w:rPr>
          <w:rFonts w:asciiTheme="minorHAnsi" w:eastAsia="Calibri" w:hAnsiTheme="minorHAnsi" w:cstheme="minorHAnsi"/>
          <w:bCs/>
          <w:lang w:val="cs-CZ"/>
        </w:rPr>
        <w:t xml:space="preserve">roku </w:t>
      </w:r>
      <w:r w:rsidRPr="00DF6451">
        <w:rPr>
          <w:rFonts w:asciiTheme="minorHAnsi" w:eastAsia="Calibri" w:hAnsiTheme="minorHAnsi" w:cstheme="minorHAnsi"/>
          <w:bCs/>
          <w:lang w:val="cs-CZ"/>
        </w:rPr>
        <w:t>2015, rekonstrukce elektroinstalace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pořizovací ceně 575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12</w:t>
      </w:r>
      <w:r w:rsidR="00973696" w:rsidRPr="00DF6451">
        <w:rPr>
          <w:rFonts w:asciiTheme="minorHAnsi" w:eastAsia="Calibri" w:hAnsiTheme="minorHAnsi" w:cstheme="minorHAnsi"/>
          <w:bCs/>
          <w:lang w:val="cs-CZ"/>
        </w:rPr>
        <w:t>2,00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973696" w:rsidRPr="00DF6451">
        <w:rPr>
          <w:rFonts w:asciiTheme="minorHAnsi" w:eastAsia="Calibri" w:hAnsiTheme="minorHAnsi" w:cstheme="minorHAnsi"/>
          <w:bCs/>
          <w:lang w:val="cs-CZ"/>
        </w:rPr>
        <w:t>Kč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973696" w:rsidRPr="00DF6451">
        <w:rPr>
          <w:rFonts w:asciiTheme="minorHAnsi" w:eastAsia="Calibri" w:hAnsiTheme="minorHAnsi" w:cstheme="minorHAnsi"/>
          <w:bCs/>
          <w:lang w:val="cs-CZ"/>
        </w:rPr>
        <w:t xml:space="preserve">účetním období </w:t>
      </w:r>
      <w:r w:rsidR="00AA269E">
        <w:rPr>
          <w:rFonts w:asciiTheme="minorHAnsi" w:eastAsia="Calibri" w:hAnsiTheme="minorHAnsi" w:cstheme="minorHAnsi"/>
          <w:bCs/>
          <w:lang w:val="cs-CZ"/>
        </w:rPr>
        <w:t xml:space="preserve">roku </w:t>
      </w:r>
      <w:r w:rsidR="00973696" w:rsidRPr="00DF6451">
        <w:rPr>
          <w:rFonts w:asciiTheme="minorHAnsi" w:eastAsia="Calibri" w:hAnsiTheme="minorHAnsi" w:cstheme="minorHAnsi"/>
          <w:bCs/>
          <w:lang w:val="cs-CZ"/>
        </w:rPr>
        <w:t>2015 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rekonstrukce elektroinstalace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pořizovací ceně 863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339,44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Kč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účetním období </w:t>
      </w:r>
      <w:r w:rsidR="00AA269E">
        <w:rPr>
          <w:rFonts w:asciiTheme="minorHAnsi" w:eastAsia="Calibri" w:hAnsiTheme="minorHAnsi" w:cstheme="minorHAnsi"/>
          <w:bCs/>
          <w:lang w:val="cs-CZ"/>
        </w:rPr>
        <w:t xml:space="preserve">roku </w:t>
      </w:r>
      <w:r w:rsidRPr="00DF6451">
        <w:rPr>
          <w:rFonts w:asciiTheme="minorHAnsi" w:eastAsia="Calibri" w:hAnsiTheme="minorHAnsi" w:cstheme="minorHAnsi"/>
          <w:bCs/>
          <w:lang w:val="cs-CZ"/>
        </w:rPr>
        <w:t>2014 neúčtovalo do období, s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AA414C">
        <w:rPr>
          <w:rFonts w:asciiTheme="minorHAnsi" w:eastAsia="Calibri" w:hAnsiTheme="minorHAnsi" w:cstheme="minorHAnsi"/>
          <w:bCs/>
          <w:lang w:val="cs-CZ"/>
        </w:rPr>
        <w:t>nimiž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tyto skutečnosti časově 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věcně souvisely. </w:t>
      </w:r>
      <w:r w:rsidR="00AA414C">
        <w:rPr>
          <w:rFonts w:asciiTheme="minorHAnsi" w:eastAsia="Calibri" w:hAnsiTheme="minorHAnsi" w:cstheme="minorHAnsi"/>
          <w:bCs/>
          <w:lang w:val="cs-CZ"/>
        </w:rPr>
        <w:t>V důsledku toho došlo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vykázání účetního výsledku hospodaření v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nesprávné výši </w:t>
      </w:r>
      <w:r w:rsidR="00AA269E">
        <w:rPr>
          <w:rFonts w:asciiTheme="minorHAnsi" w:eastAsia="Calibri" w:hAnsiTheme="minorHAnsi" w:cstheme="minorHAnsi"/>
          <w:bCs/>
          <w:lang w:val="cs-CZ"/>
        </w:rPr>
        <w:t>v</w:t>
      </w:r>
      <w:r w:rsidR="00D745F6">
        <w:rPr>
          <w:rFonts w:asciiTheme="minorHAnsi" w:eastAsia="Calibri" w:hAnsiTheme="minorHAnsi" w:cstheme="minorHAnsi"/>
          <w:bCs/>
          <w:lang w:val="cs-CZ"/>
        </w:rPr>
        <w:t> </w:t>
      </w:r>
      <w:r w:rsidR="00AA269E">
        <w:rPr>
          <w:rFonts w:asciiTheme="minorHAnsi" w:eastAsia="Calibri" w:hAnsiTheme="minorHAnsi" w:cstheme="minorHAnsi"/>
          <w:bCs/>
          <w:lang w:val="cs-CZ"/>
        </w:rPr>
        <w:t>letech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2013 a 2014, hospodářský výsledek byl nadhodnocen. KŘP Ústí n.</w:t>
      </w:r>
      <w:r w:rsidR="00D745F6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L. </w:t>
      </w:r>
      <w:r w:rsidR="00AA269E">
        <w:rPr>
          <w:rFonts w:asciiTheme="minorHAnsi" w:eastAsia="Calibri" w:hAnsiTheme="minorHAnsi" w:cstheme="minorHAnsi"/>
          <w:bCs/>
          <w:lang w:val="cs-CZ"/>
        </w:rPr>
        <w:t xml:space="preserve">tedy </w:t>
      </w:r>
      <w:r w:rsidRPr="00DF6451">
        <w:rPr>
          <w:rFonts w:asciiTheme="minorHAnsi" w:eastAsia="Calibri" w:hAnsiTheme="minorHAnsi" w:cstheme="minorHAnsi"/>
          <w:bCs/>
          <w:lang w:val="cs-CZ"/>
        </w:rPr>
        <w:t>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letech 2013 a 2014 nevedlo správné a úplné účetnictví.</w:t>
      </w:r>
    </w:p>
    <w:p w:rsidR="007A43D2" w:rsidRPr="00DF6451" w:rsidRDefault="007A43D2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Ústí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n.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L.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účetním období roku 2014 účtovalo o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nákladech na vodu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celkové výši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1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161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074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Kč, </w:t>
      </w:r>
      <w:r w:rsidR="00AA414C">
        <w:rPr>
          <w:rFonts w:asciiTheme="minorHAnsi" w:eastAsia="Calibri" w:hAnsiTheme="minorHAnsi" w:cstheme="minorHAnsi"/>
          <w:bCs/>
          <w:lang w:val="cs-CZ"/>
        </w:rPr>
        <w:t>přestože tyto náklady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s</w:t>
      </w:r>
      <w:r w:rsidR="00AA414C">
        <w:rPr>
          <w:rFonts w:asciiTheme="minorHAnsi" w:eastAsia="Calibri" w:hAnsiTheme="minorHAnsi" w:cstheme="minorHAnsi"/>
          <w:bCs/>
          <w:lang w:val="cs-CZ"/>
        </w:rPr>
        <w:t> uvedeným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obdobím časově nesouvisely.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důsledku toho ve výkazu zisku a ztráty 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31.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12.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2014 nadhodnotilo náklady za období roku 2014 o</w:t>
      </w:r>
      <w:r w:rsidR="00D745F6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1</w:t>
      </w:r>
      <w:r w:rsidR="00D745F6">
        <w:rPr>
          <w:rFonts w:asciiTheme="minorHAnsi" w:eastAsia="Calibri" w:hAnsiTheme="minorHAnsi" w:cstheme="minorHAnsi"/>
          <w:bCs/>
          <w:lang w:val="cs-CZ"/>
        </w:rPr>
        <w:t> 1</w:t>
      </w:r>
      <w:r w:rsidRPr="00DF6451">
        <w:rPr>
          <w:rFonts w:asciiTheme="minorHAnsi" w:eastAsia="Calibri" w:hAnsiTheme="minorHAnsi" w:cstheme="minorHAnsi"/>
          <w:bCs/>
          <w:lang w:val="cs-CZ"/>
        </w:rPr>
        <w:t>61</w:t>
      </w:r>
      <w:r w:rsidR="00D745F6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074</w:t>
      </w:r>
      <w:r w:rsidR="00D745F6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Kč. Účetnictví </w:t>
      </w:r>
      <w:r w:rsidR="00C13F5D"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13F5D" w:rsidRPr="00DF6451">
        <w:rPr>
          <w:rFonts w:asciiTheme="minorHAnsi" w:eastAsia="Calibri" w:hAnsiTheme="minorHAnsi" w:cstheme="minorHAnsi"/>
          <w:bCs/>
          <w:lang w:val="cs-CZ"/>
        </w:rPr>
        <w:t>Ústí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13F5D" w:rsidRPr="00DF6451">
        <w:rPr>
          <w:rFonts w:asciiTheme="minorHAnsi" w:eastAsia="Calibri" w:hAnsiTheme="minorHAnsi" w:cstheme="minorHAnsi"/>
          <w:bCs/>
          <w:lang w:val="cs-CZ"/>
        </w:rPr>
        <w:t>n.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13F5D" w:rsidRPr="00DF6451">
        <w:rPr>
          <w:rFonts w:asciiTheme="minorHAnsi" w:eastAsia="Calibri" w:hAnsiTheme="minorHAnsi" w:cstheme="minorHAnsi"/>
          <w:bCs/>
          <w:lang w:val="cs-CZ"/>
        </w:rPr>
        <w:t xml:space="preserve">L. </w:t>
      </w:r>
      <w:r w:rsidRPr="00DF6451">
        <w:rPr>
          <w:rFonts w:asciiTheme="minorHAnsi" w:eastAsia="Calibri" w:hAnsiTheme="minorHAnsi" w:cstheme="minorHAnsi"/>
          <w:bCs/>
          <w:lang w:val="cs-CZ"/>
        </w:rPr>
        <w:t>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účetním období </w:t>
      </w:r>
      <w:r w:rsidR="00C13F5D" w:rsidRPr="00DF6451">
        <w:rPr>
          <w:rFonts w:asciiTheme="minorHAnsi" w:eastAsia="Calibri" w:hAnsiTheme="minorHAnsi" w:cstheme="minorHAnsi"/>
          <w:bCs/>
          <w:lang w:val="cs-CZ"/>
        </w:rPr>
        <w:t>roku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2014 tak nebylo správné.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lastRenderedPageBreak/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Ústí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n.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L. v případě nájemní smlouvy ze dne 14. 3. 2014 </w:t>
      </w:r>
      <w:r w:rsidR="00046B99" w:rsidRPr="00DF6451">
        <w:rPr>
          <w:rFonts w:asciiTheme="minorHAnsi" w:eastAsia="Calibri" w:hAnsiTheme="minorHAnsi" w:cstheme="minorHAnsi"/>
          <w:bCs/>
          <w:lang w:val="cs-CZ"/>
        </w:rPr>
        <w:t>nesplnilo svou povinnost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požadovat úroky z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prodlení a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nájemní smlouvě ze dne </w:t>
      </w:r>
      <w:r w:rsidR="00973696" w:rsidRPr="00DF6451">
        <w:rPr>
          <w:rFonts w:asciiTheme="minorHAnsi" w:eastAsia="Calibri" w:hAnsiTheme="minorHAnsi" w:cstheme="minorHAnsi"/>
          <w:bCs/>
          <w:lang w:val="cs-CZ"/>
        </w:rPr>
        <w:t>30. 5. 2014, kterou uzavřelo na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dobu určitou do 31. 5. 2022, nesjednalo inflační doložku.</w:t>
      </w:r>
    </w:p>
    <w:p w:rsidR="00DF6451" w:rsidRPr="00DF6451" w:rsidRDefault="00DF6451" w:rsidP="00DF6451">
      <w:pPr>
        <w:rPr>
          <w:rFonts w:ascii="Calibri" w:hAnsi="Calibri" w:cs="Calibri"/>
          <w:lang w:val="cs-CZ"/>
        </w:rPr>
      </w:pPr>
    </w:p>
    <w:p w:rsidR="00F926FA" w:rsidRDefault="00F926FA" w:rsidP="00DF6451">
      <w:pPr>
        <w:rPr>
          <w:rFonts w:ascii="Calibri" w:eastAsiaTheme="minorHAns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t>3.</w:t>
      </w:r>
      <w:r w:rsidR="00052BD2">
        <w:rPr>
          <w:rFonts w:ascii="Calibr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>Oso</w:t>
      </w:r>
      <w:r w:rsidR="00BA0150" w:rsidRPr="00DF6451">
        <w:rPr>
          <w:rFonts w:ascii="Calibri" w:eastAsiaTheme="minorHAnsi" w:hAnsi="Calibri" w:cs="Calibri"/>
          <w:b/>
          <w:lang w:val="cs-CZ"/>
        </w:rPr>
        <w:t>bní motorová vozidla</w:t>
      </w:r>
    </w:p>
    <w:p w:rsidR="00DF6451" w:rsidRPr="00DF6451" w:rsidRDefault="00DF6451" w:rsidP="00DF6451">
      <w:pPr>
        <w:rPr>
          <w:rFonts w:ascii="Calibri" w:eastAsiaTheme="minorHAnsi" w:hAnsi="Calibri" w:cs="Calibri"/>
          <w:lang w:val="cs-CZ"/>
        </w:rPr>
      </w:pP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</w:t>
      </w:r>
      <w:r w:rsidR="003A56F5" w:rsidRPr="00DF6451">
        <w:rPr>
          <w:rFonts w:asciiTheme="minorHAnsi" w:eastAsia="Calibri" w:hAnsiTheme="minorHAnsi" w:cstheme="minorHAnsi"/>
          <w:bCs/>
          <w:lang w:val="cs-CZ"/>
        </w:rPr>
        <w:t>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Praha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A3551" w:rsidRPr="00DF6451">
        <w:rPr>
          <w:rFonts w:asciiTheme="minorHAnsi" w:eastAsia="Calibri" w:hAnsiTheme="minorHAnsi" w:cstheme="minorHAnsi"/>
          <w:bCs/>
          <w:lang w:val="cs-CZ"/>
        </w:rPr>
        <w:t xml:space="preserve">se dopustilo </w:t>
      </w:r>
      <w:r w:rsidRPr="00DF6451">
        <w:rPr>
          <w:rFonts w:asciiTheme="minorHAnsi" w:eastAsia="Calibri" w:hAnsiTheme="minorHAnsi" w:cstheme="minorHAnsi"/>
          <w:bCs/>
          <w:lang w:val="cs-CZ"/>
        </w:rPr>
        <w:t>při výběru dodavatele pěti vozidel prostřednictvím dvou zakázek malého rozsahu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hodnotě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732 865 Kč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a 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1 930 849,59 Kč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A53E0" w:rsidRPr="00DF6451">
        <w:rPr>
          <w:rFonts w:asciiTheme="minorHAnsi" w:eastAsia="Calibri" w:hAnsiTheme="minorHAnsi" w:cstheme="minorHAnsi"/>
          <w:bCs/>
          <w:lang w:val="cs-CZ"/>
        </w:rPr>
        <w:t xml:space="preserve">diskriminačního jednání </w:t>
      </w:r>
      <w:r w:rsidRPr="00DF6451">
        <w:rPr>
          <w:rFonts w:asciiTheme="minorHAnsi" w:eastAsia="Calibri" w:hAnsiTheme="minorHAnsi" w:cstheme="minorHAnsi"/>
          <w:bCs/>
          <w:lang w:val="cs-CZ"/>
        </w:rPr>
        <w:t>tím, že oslovilo pouze jednoho dodavatele. Ve výzvách 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podání nabídky </w:t>
      </w:r>
      <w:r w:rsidR="00AA414C">
        <w:rPr>
          <w:rFonts w:asciiTheme="minorHAnsi" w:eastAsia="Calibri" w:hAnsiTheme="minorHAnsi" w:cstheme="minorHAnsi"/>
          <w:bCs/>
          <w:lang w:val="cs-CZ"/>
        </w:rPr>
        <w:t>zaslaných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tomuto dodavateli </w:t>
      </w:r>
      <w:r w:rsidR="00AA414C" w:rsidRPr="00DF6451">
        <w:rPr>
          <w:rFonts w:asciiTheme="minorHAnsi" w:eastAsia="Calibri" w:hAnsiTheme="minorHAnsi" w:cstheme="minorHAnsi"/>
          <w:bCs/>
          <w:lang w:val="cs-CZ"/>
        </w:rPr>
        <w:t xml:space="preserve">požadovalo </w:t>
      </w:r>
      <w:r w:rsidRPr="00DF6451">
        <w:rPr>
          <w:rFonts w:asciiTheme="minorHAnsi" w:eastAsia="Calibri" w:hAnsiTheme="minorHAnsi" w:cstheme="minorHAnsi"/>
          <w:bCs/>
          <w:lang w:val="cs-CZ"/>
        </w:rPr>
        <w:t>KŘ</w:t>
      </w:r>
      <w:r w:rsidR="003A56F5" w:rsidRPr="00DF6451">
        <w:rPr>
          <w:rFonts w:asciiTheme="minorHAnsi" w:eastAsia="Calibri" w:hAnsiTheme="minorHAnsi" w:cstheme="minorHAnsi"/>
          <w:bCs/>
          <w:lang w:val="cs-CZ"/>
        </w:rPr>
        <w:t>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Praha konkrétní osobní motorová vozidla </w:t>
      </w:r>
      <w:r w:rsidR="00AA414C">
        <w:rPr>
          <w:rFonts w:asciiTheme="minorHAnsi" w:eastAsia="Calibri" w:hAnsiTheme="minorHAnsi" w:cstheme="minorHAnsi"/>
          <w:bCs/>
          <w:lang w:val="cs-CZ"/>
        </w:rPr>
        <w:t> a uvedlo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označení obchodní značky vozidla, jeho typové označení a další parametr</w:t>
      </w:r>
      <w:r w:rsidR="00AA414C">
        <w:rPr>
          <w:rFonts w:asciiTheme="minorHAnsi" w:eastAsia="Calibri" w:hAnsiTheme="minorHAnsi" w:cstheme="minorHAnsi"/>
          <w:bCs/>
          <w:lang w:val="cs-CZ"/>
        </w:rPr>
        <w:t>y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včetně registračních značek vozidel a jejich VIN kódů. Uvedeným postupem KŘ</w:t>
      </w:r>
      <w:r w:rsidR="003A56F5" w:rsidRPr="00DF6451">
        <w:rPr>
          <w:rFonts w:asciiTheme="minorHAnsi" w:eastAsia="Calibri" w:hAnsiTheme="minorHAnsi" w:cstheme="minorHAnsi"/>
          <w:bCs/>
          <w:lang w:val="cs-CZ"/>
        </w:rPr>
        <w:t>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Praha nedodrželo při zadá</w:t>
      </w:r>
      <w:r w:rsidR="00EA1A26" w:rsidRPr="00DF6451">
        <w:rPr>
          <w:rFonts w:asciiTheme="minorHAnsi" w:eastAsia="Calibri" w:hAnsiTheme="minorHAnsi" w:cstheme="minorHAnsi"/>
          <w:bCs/>
          <w:lang w:val="cs-CZ"/>
        </w:rPr>
        <w:t>vá</w:t>
      </w:r>
      <w:r w:rsidRPr="00DF6451">
        <w:rPr>
          <w:rFonts w:asciiTheme="minorHAnsi" w:eastAsia="Calibri" w:hAnsiTheme="minorHAnsi" w:cstheme="minorHAnsi"/>
          <w:bCs/>
          <w:lang w:val="cs-CZ"/>
        </w:rPr>
        <w:t>ní uvedených zakázek zásadu zákazu diskriminace</w:t>
      </w:r>
      <w:r w:rsidR="005A3551">
        <w:rPr>
          <w:rFonts w:asciiTheme="minorHAnsi" w:eastAsia="Calibri" w:hAnsiTheme="minorHAnsi" w:cstheme="minorHAnsi"/>
          <w:bCs/>
          <w:lang w:val="cs-CZ"/>
        </w:rPr>
        <w:t>,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A3551">
        <w:rPr>
          <w:rFonts w:asciiTheme="minorHAnsi" w:eastAsia="Calibri" w:hAnsiTheme="minorHAnsi" w:cstheme="minorHAnsi"/>
          <w:bCs/>
          <w:lang w:val="cs-CZ"/>
        </w:rPr>
        <w:t xml:space="preserve">čímž 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 xml:space="preserve">porušilo povinnost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uloženou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 xml:space="preserve"> ustanovením §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>18 odst.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>5 zákona o</w:t>
      </w:r>
      <w:r w:rsidR="005A3551">
        <w:rPr>
          <w:rFonts w:asciiTheme="minorHAnsi" w:eastAsia="Calibri" w:hAnsiTheme="minorHAnsi" w:cstheme="minorHAnsi"/>
          <w:bCs/>
          <w:lang w:val="cs-CZ"/>
        </w:rPr>
        <w:t> 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>veřejných zakázkách</w:t>
      </w:r>
      <w:r w:rsidR="007677E4" w:rsidRPr="00DF6451">
        <w:rPr>
          <w:rFonts w:asciiTheme="minorHAnsi" w:eastAsia="Calibri" w:hAnsiTheme="minorHAnsi" w:cstheme="minorHAnsi"/>
          <w:bCs/>
          <w:vertAlign w:val="superscript"/>
          <w:lang w:val="cs-CZ"/>
        </w:rPr>
        <w:t>3</w:t>
      </w:r>
      <w:r w:rsidRPr="00DF6451">
        <w:rPr>
          <w:rFonts w:asciiTheme="minorHAnsi" w:eastAsia="Calibri" w:hAnsiTheme="minorHAnsi" w:cstheme="minorHAnsi"/>
          <w:bCs/>
          <w:lang w:val="cs-CZ"/>
        </w:rPr>
        <w:t>.</w:t>
      </w:r>
      <w:r w:rsidR="005A53E0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>Uvedená vozidla KŘ</w:t>
      </w:r>
      <w:r w:rsidR="00EA1A26" w:rsidRPr="00DF6451">
        <w:rPr>
          <w:rFonts w:asciiTheme="minorHAnsi" w:eastAsia="Calibri" w:hAnsiTheme="minorHAnsi" w:cstheme="minorHAnsi"/>
          <w:bCs/>
          <w:lang w:val="cs-CZ"/>
        </w:rPr>
        <w:t>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>Praha následně be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>z dalšího využití prohlásilo za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>nepotřebn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á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 xml:space="preserve"> 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 xml:space="preserve">bezúplatně </w:t>
      </w:r>
      <w:r w:rsidR="00AA414C">
        <w:rPr>
          <w:rFonts w:asciiTheme="minorHAnsi" w:eastAsia="Calibri" w:hAnsiTheme="minorHAnsi" w:cstheme="minorHAnsi"/>
          <w:bCs/>
          <w:lang w:val="cs-CZ"/>
        </w:rPr>
        <w:t xml:space="preserve">je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 xml:space="preserve">převedlo na jinou organizační složku státu. </w:t>
      </w: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Praha 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 xml:space="preserve">tak </w:t>
      </w:r>
      <w:r w:rsidR="00365C3D" w:rsidRPr="00DF6451">
        <w:rPr>
          <w:rFonts w:asciiTheme="minorHAnsi" w:eastAsia="Calibri" w:hAnsiTheme="minorHAnsi" w:cstheme="minorHAnsi"/>
          <w:bCs/>
          <w:lang w:val="cs-CZ"/>
        </w:rPr>
        <w:t>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5C3D" w:rsidRPr="00DF6451">
        <w:rPr>
          <w:rFonts w:asciiTheme="minorHAnsi" w:eastAsia="Calibri" w:hAnsiTheme="minorHAnsi" w:cstheme="minorHAnsi"/>
          <w:bCs/>
          <w:lang w:val="cs-CZ"/>
        </w:rPr>
        <w:t>rozporu s</w:t>
      </w:r>
      <w:r w:rsidR="00AA414C">
        <w:rPr>
          <w:rFonts w:asciiTheme="minorHAnsi" w:eastAsia="Calibri" w:hAnsiTheme="minorHAnsi" w:cstheme="minorHAnsi"/>
          <w:bCs/>
          <w:lang w:val="cs-CZ"/>
        </w:rPr>
        <w:t> </w:t>
      </w:r>
      <w:r w:rsidR="00365C3D" w:rsidRPr="00DF6451">
        <w:rPr>
          <w:rFonts w:asciiTheme="minorHAnsi" w:eastAsia="Calibri" w:hAnsiTheme="minorHAnsi" w:cstheme="minorHAnsi"/>
          <w:bCs/>
          <w:lang w:val="cs-CZ"/>
        </w:rPr>
        <w:t xml:space="preserve">povinností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danou</w:t>
      </w:r>
      <w:r w:rsidR="00365C3D" w:rsidRPr="00DF6451">
        <w:rPr>
          <w:rFonts w:asciiTheme="minorHAnsi" w:eastAsia="Calibri" w:hAnsiTheme="minorHAnsi" w:cstheme="minorHAnsi"/>
          <w:bCs/>
          <w:lang w:val="cs-CZ"/>
        </w:rPr>
        <w:t xml:space="preserve"> ustanovením §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5C3D" w:rsidRPr="00DF6451">
        <w:rPr>
          <w:rFonts w:asciiTheme="minorHAnsi" w:eastAsia="Calibri" w:hAnsiTheme="minorHAnsi" w:cstheme="minorHAnsi"/>
          <w:bCs/>
          <w:lang w:val="cs-CZ"/>
        </w:rPr>
        <w:t>45 odst.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5C3D" w:rsidRPr="00DF6451">
        <w:rPr>
          <w:rFonts w:asciiTheme="minorHAnsi" w:eastAsia="Calibri" w:hAnsiTheme="minorHAnsi" w:cstheme="minorHAnsi"/>
          <w:bCs/>
          <w:lang w:val="cs-CZ"/>
        </w:rPr>
        <w:t xml:space="preserve">2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rozpočtových pravidel</w:t>
      </w:r>
      <w:r w:rsidR="00154D31" w:rsidRPr="00DF6451">
        <w:rPr>
          <w:rFonts w:asciiTheme="minorHAnsi" w:eastAsia="Calibri" w:hAnsiTheme="minorHAnsi" w:cstheme="minorHAnsi"/>
          <w:bCs/>
          <w:vertAlign w:val="superscript"/>
          <w:lang w:val="cs-CZ"/>
        </w:rPr>
        <w:t>5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 xml:space="preserve">nepoužilo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prostředky, kterými disponovalo, </w:t>
      </w:r>
      <w:r w:rsidR="00990E7B">
        <w:rPr>
          <w:rFonts w:asciiTheme="minorHAnsi" w:eastAsia="Calibri" w:hAnsiTheme="minorHAnsi" w:cstheme="minorHAnsi"/>
          <w:bCs/>
          <w:lang w:val="cs-CZ"/>
        </w:rPr>
        <w:t>ke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>k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rytí nezbytných potřeb a pořídilo majetek, který nevyužilo 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výkonu své působnosti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rozporu s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ustanovením §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12 odst.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AA414C">
        <w:rPr>
          <w:rFonts w:asciiTheme="minorHAnsi" w:eastAsia="Calibri" w:hAnsiTheme="minorHAnsi" w:cstheme="minorHAnsi"/>
          <w:bCs/>
          <w:lang w:val="cs-CZ"/>
        </w:rPr>
        <w:t xml:space="preserve">3 zákona </w:t>
      </w:r>
      <w:r w:rsidR="00990E7B">
        <w:rPr>
          <w:rFonts w:asciiTheme="minorHAnsi" w:eastAsia="Calibri" w:hAnsiTheme="minorHAnsi" w:cstheme="minorHAnsi"/>
          <w:bCs/>
          <w:lang w:val="cs-CZ"/>
        </w:rPr>
        <w:t>č. 219/2000 Sb.</w:t>
      </w:r>
      <w:r w:rsidR="00154D31" w:rsidRPr="00DF6451">
        <w:rPr>
          <w:rFonts w:asciiTheme="minorHAnsi" w:eastAsia="Calibri" w:hAnsiTheme="minorHAnsi" w:cstheme="minorHAnsi"/>
          <w:bCs/>
          <w:vertAlign w:val="superscript"/>
          <w:lang w:val="cs-CZ"/>
        </w:rPr>
        <w:t>4</w:t>
      </w:r>
      <w:r w:rsidR="00990E7B">
        <w:rPr>
          <w:rFonts w:asciiTheme="minorHAnsi" w:eastAsia="Calibri" w:hAnsiTheme="minorHAnsi" w:cstheme="minorHAnsi"/>
          <w:bCs/>
          <w:lang w:val="cs-CZ"/>
        </w:rPr>
        <w:t>, zároveň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 xml:space="preserve"> se 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Praha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>dopustilo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porušení rozpočtové kázně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 xml:space="preserve"> ve smyslu ustanovení §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44 odst.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1 písm.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54D31" w:rsidRPr="00DF6451">
        <w:rPr>
          <w:rFonts w:asciiTheme="minorHAnsi" w:eastAsia="Calibri" w:hAnsiTheme="minorHAnsi" w:cstheme="minorHAnsi"/>
          <w:bCs/>
          <w:lang w:val="cs-CZ"/>
        </w:rPr>
        <w:t>f) rozpočtových pravidel</w:t>
      </w:r>
      <w:r w:rsidR="00154D31" w:rsidRPr="00DF6451">
        <w:rPr>
          <w:rFonts w:asciiTheme="minorHAnsi" w:eastAsia="Calibri" w:hAnsiTheme="minorHAnsi" w:cstheme="minorHAnsi"/>
          <w:bCs/>
          <w:vertAlign w:val="superscript"/>
          <w:lang w:val="cs-CZ"/>
        </w:rPr>
        <w:t>5</w:t>
      </w:r>
      <w:r w:rsidRPr="00DF6451">
        <w:rPr>
          <w:rFonts w:asciiTheme="minorHAnsi" w:eastAsia="Calibri" w:hAnsiTheme="minorHAnsi" w:cstheme="minorHAnsi"/>
          <w:bCs/>
          <w:lang w:val="cs-CZ"/>
        </w:rPr>
        <w:t>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Praha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>při změně příslušnosti hospodaření s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 xml:space="preserve">osobním motorovým vozidlem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>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 xml:space="preserve">roce 2014 </w:t>
      </w:r>
      <w:r w:rsidRPr="00DF6451">
        <w:rPr>
          <w:rFonts w:asciiTheme="minorHAnsi" w:eastAsia="Calibri" w:hAnsiTheme="minorHAnsi" w:cstheme="minorHAnsi"/>
          <w:bCs/>
          <w:lang w:val="cs-CZ"/>
        </w:rPr>
        <w:t>jako přebírající účetní jednotka nenavázalo na výši oprávek uvedených předávající účetní jednotkou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zápisu o převodu příslušnosti hospodař</w:t>
      </w:r>
      <w:r w:rsidR="0051502F" w:rsidRPr="00DF6451">
        <w:rPr>
          <w:rFonts w:asciiTheme="minorHAnsi" w:eastAsia="Calibri" w:hAnsiTheme="minorHAnsi" w:cstheme="minorHAnsi"/>
          <w:bCs/>
          <w:lang w:val="cs-CZ"/>
        </w:rPr>
        <w:t xml:space="preserve">ení. </w:t>
      </w:r>
      <w:r w:rsidRPr="00DF6451">
        <w:rPr>
          <w:rFonts w:asciiTheme="minorHAnsi" w:eastAsia="Calibri" w:hAnsiTheme="minorHAnsi" w:cstheme="minorHAnsi"/>
          <w:bCs/>
          <w:lang w:val="cs-CZ"/>
        </w:rPr>
        <w:t>Oprávky zúčtované předávající účetní jednotkou ve výši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216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615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Kč</w:t>
      </w:r>
      <w:r w:rsidR="00990E7B" w:rsidRPr="00990E7B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990E7B" w:rsidRPr="00DF6451">
        <w:rPr>
          <w:rFonts w:asciiTheme="minorHAnsi" w:eastAsia="Calibri" w:hAnsiTheme="minorHAnsi" w:cstheme="minorHAnsi"/>
          <w:bCs/>
          <w:lang w:val="cs-CZ"/>
        </w:rPr>
        <w:t>nezaznamenalo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do svého účetnictví při zařazení majetku. Tímto postupem </w:t>
      </w:r>
      <w:r w:rsidR="00F73ABE" w:rsidRPr="00DF6451">
        <w:rPr>
          <w:rFonts w:asciiTheme="minorHAnsi" w:eastAsia="Calibri" w:hAnsiTheme="minorHAnsi" w:cstheme="minorHAnsi"/>
          <w:bCs/>
          <w:lang w:val="cs-CZ"/>
        </w:rPr>
        <w:t xml:space="preserve">došlo ke zkreslení údajů obsažených </w:t>
      </w:r>
      <w:r w:rsidRPr="00DF6451">
        <w:rPr>
          <w:rFonts w:asciiTheme="minorHAnsi" w:eastAsia="Calibri" w:hAnsiTheme="minorHAnsi" w:cstheme="minorHAnsi"/>
          <w:bCs/>
          <w:lang w:val="cs-CZ"/>
        </w:rPr>
        <w:t>v</w:t>
      </w:r>
      <w:r w:rsidR="00990E7B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účetní závěrce sestavené ke dni 31. 12. 2014</w:t>
      </w:r>
      <w:r w:rsidR="00F73ABE" w:rsidRPr="00DF6451">
        <w:rPr>
          <w:rFonts w:asciiTheme="minorHAnsi" w:eastAsia="Calibri" w:hAnsiTheme="minorHAnsi" w:cstheme="minorHAnsi"/>
          <w:bCs/>
          <w:lang w:val="cs-CZ"/>
        </w:rPr>
        <w:t>.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</w:p>
    <w:p w:rsidR="00F926FA" w:rsidRPr="00DF6451" w:rsidRDefault="008043A2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</w:t>
      </w:r>
      <w:r w:rsidR="004A1921" w:rsidRPr="00DF6451">
        <w:rPr>
          <w:rFonts w:asciiTheme="minorHAnsi" w:eastAsia="Calibri" w:hAnsiTheme="minorHAnsi" w:cstheme="minorHAnsi"/>
          <w:bCs/>
          <w:lang w:val="cs-CZ"/>
        </w:rPr>
        <w:t>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Praha provádí opravy a udržování osobních motorových vozidel prostřednictvím příspěvkové organizace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 xml:space="preserve">, </w:t>
      </w:r>
      <w:r w:rsidRPr="00DF6451">
        <w:rPr>
          <w:rFonts w:asciiTheme="minorHAnsi" w:eastAsia="Calibri" w:hAnsiTheme="minorHAnsi" w:cstheme="minorHAnsi"/>
          <w:bCs/>
          <w:lang w:val="cs-CZ"/>
        </w:rPr>
        <w:t>je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jímž zřizovatelem je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Ministerstvo vnitra. </w:t>
      </w:r>
      <w:r w:rsidR="005E1BE3" w:rsidRPr="00DF6451">
        <w:rPr>
          <w:rFonts w:asciiTheme="minorHAnsi" w:eastAsia="Calibri" w:hAnsiTheme="minorHAnsi" w:cstheme="minorHAnsi"/>
          <w:bCs/>
          <w:lang w:val="cs-CZ"/>
        </w:rPr>
        <w:t xml:space="preserve">Tato organizace </w:t>
      </w:r>
      <w:r w:rsidR="005A3551" w:rsidRPr="00DF6451">
        <w:rPr>
          <w:rFonts w:asciiTheme="minorHAnsi" w:eastAsia="Calibri" w:hAnsiTheme="minorHAnsi" w:cstheme="minorHAnsi"/>
          <w:bCs/>
          <w:lang w:val="cs-CZ"/>
        </w:rPr>
        <w:t xml:space="preserve">bezúplatně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poskytuje služby a materiál </w:t>
      </w:r>
      <w:r w:rsidR="00990E7B">
        <w:rPr>
          <w:rFonts w:asciiTheme="minorHAnsi" w:eastAsia="Calibri" w:hAnsiTheme="minorHAnsi" w:cstheme="minorHAnsi"/>
          <w:bCs/>
          <w:lang w:val="cs-CZ"/>
        </w:rPr>
        <w:t>pro uvedené opravy a údržbu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motorových vozidel KŘ</w:t>
      </w:r>
      <w:r w:rsidR="004A1921" w:rsidRPr="00DF6451">
        <w:rPr>
          <w:rFonts w:asciiTheme="minorHAnsi" w:eastAsia="Calibri" w:hAnsiTheme="minorHAnsi" w:cstheme="minorHAnsi"/>
          <w:bCs/>
          <w:lang w:val="cs-CZ"/>
        </w:rPr>
        <w:t>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Praha. Při</w:t>
      </w:r>
      <w:r w:rsidR="00990E7B">
        <w:rPr>
          <w:rFonts w:asciiTheme="minorHAnsi" w:eastAsia="Calibri" w:hAnsiTheme="minorHAnsi" w:cstheme="minorHAnsi"/>
          <w:bCs/>
          <w:lang w:val="cs-CZ"/>
        </w:rPr>
        <w:t>tom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je-li příspěvková 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>organizace dodavatelem služeb a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odběratel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em služby je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organizační složka státu, která však není zřizovatelem této příspěvkové organizace, není bezúplatné poskytování takových služeb v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 xml:space="preserve"> právních předpisech upraveno a</w:t>
      </w:r>
      <w:r w:rsidR="00D745F6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dodavatelem služeb by mělo být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 xml:space="preserve"> provedení služeb fakturováno a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měla by být požadována úhrada provedených prací a použitého materiálu.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Ostrava</w:t>
      </w:r>
      <w:r w:rsidRPr="00DF6451">
        <w:rPr>
          <w:rFonts w:asciiTheme="minorHAnsi" w:hAnsiTheme="minorHAnsi" w:cstheme="minorHAnsi"/>
          <w:lang w:val="cs-CZ"/>
        </w:rPr>
        <w:t xml:space="preserve"> o </w:t>
      </w:r>
      <w:r w:rsidRPr="00DF6451">
        <w:rPr>
          <w:rFonts w:asciiTheme="minorHAnsi" w:eastAsia="Calibri" w:hAnsiTheme="minorHAnsi" w:cstheme="minorHAnsi"/>
          <w:bCs/>
          <w:lang w:val="cs-CZ"/>
        </w:rPr>
        <w:t>vozidle</w:t>
      </w:r>
      <w:r w:rsidRPr="00DF6451">
        <w:rPr>
          <w:rFonts w:asciiTheme="minorHAnsi" w:hAnsiTheme="minorHAnsi" w:cstheme="minorHAnsi"/>
          <w:lang w:val="cs-CZ"/>
        </w:rPr>
        <w:t xml:space="preserve"> oceněném na částku 280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000 Kč, k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 xml:space="preserve">němuž získalo příslušnost hospodařit </w:t>
      </w:r>
      <w:r w:rsidR="001E3B35" w:rsidRPr="00DF6451">
        <w:rPr>
          <w:rFonts w:asciiTheme="minorHAnsi" w:hAnsiTheme="minorHAnsi" w:cstheme="minorHAnsi"/>
          <w:lang w:val="cs-CZ"/>
        </w:rPr>
        <w:t xml:space="preserve">na základě </w:t>
      </w:r>
      <w:r w:rsidRPr="00DF6451">
        <w:rPr>
          <w:rFonts w:asciiTheme="minorHAnsi" w:hAnsiTheme="minorHAnsi" w:cstheme="minorHAnsi"/>
          <w:lang w:val="cs-CZ"/>
        </w:rPr>
        <w:t>právní moci rozhodnutí soudu dne 19. 3. 2013, účtoval</w:t>
      </w:r>
      <w:r w:rsidR="00F263DE" w:rsidRPr="00DF6451">
        <w:rPr>
          <w:rFonts w:asciiTheme="minorHAnsi" w:hAnsiTheme="minorHAnsi" w:cstheme="minorHAnsi"/>
          <w:lang w:val="cs-CZ"/>
        </w:rPr>
        <w:t>o až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1E3B35" w:rsidRPr="00DF6451">
        <w:rPr>
          <w:rFonts w:asciiTheme="minorHAnsi" w:hAnsiTheme="minorHAnsi" w:cstheme="minorHAnsi"/>
          <w:lang w:val="cs-CZ"/>
        </w:rPr>
        <w:t>v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1E3B35" w:rsidRPr="00DF6451">
        <w:rPr>
          <w:rFonts w:asciiTheme="minorHAnsi" w:hAnsiTheme="minorHAnsi" w:cstheme="minorHAnsi"/>
          <w:lang w:val="cs-CZ"/>
        </w:rPr>
        <w:t>účetním období roku 2014</w:t>
      </w:r>
      <w:r w:rsidRPr="00DF6451">
        <w:rPr>
          <w:rFonts w:asciiTheme="minorHAnsi" w:hAnsiTheme="minorHAnsi" w:cstheme="minorHAnsi"/>
          <w:lang w:val="cs-CZ"/>
        </w:rPr>
        <w:t>. Uvedené vozidlo přitom fyzicky převzalo dne 2. 5. 2013. Účetnictví KŘP Ostrava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účetní</w:t>
      </w:r>
      <w:r w:rsidR="00990E7B">
        <w:rPr>
          <w:rFonts w:asciiTheme="minorHAnsi" w:hAnsiTheme="minorHAnsi" w:cstheme="minorHAnsi"/>
          <w:lang w:val="cs-CZ"/>
        </w:rPr>
        <w:t>ch</w:t>
      </w:r>
      <w:r w:rsidRPr="00DF6451">
        <w:rPr>
          <w:rFonts w:asciiTheme="minorHAnsi" w:hAnsiTheme="minorHAnsi" w:cstheme="minorHAnsi"/>
          <w:lang w:val="cs-CZ"/>
        </w:rPr>
        <w:t xml:space="preserve"> období</w:t>
      </w:r>
      <w:r w:rsidR="00990E7B">
        <w:rPr>
          <w:rFonts w:asciiTheme="minorHAnsi" w:hAnsiTheme="minorHAnsi" w:cstheme="minorHAnsi"/>
          <w:lang w:val="cs-CZ"/>
        </w:rPr>
        <w:t>ch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="00990E7B">
        <w:rPr>
          <w:rFonts w:asciiTheme="minorHAnsi" w:hAnsiTheme="minorHAnsi" w:cstheme="minorHAnsi"/>
          <w:lang w:val="cs-CZ"/>
        </w:rPr>
        <w:t>let 2013 a 2014 nebylo správné a </w:t>
      </w:r>
      <w:r w:rsidRPr="00DF6451">
        <w:rPr>
          <w:rFonts w:asciiTheme="minorHAnsi" w:hAnsiTheme="minorHAnsi" w:cstheme="minorHAnsi"/>
          <w:lang w:val="cs-CZ"/>
        </w:rPr>
        <w:t>úplné.</w:t>
      </w:r>
    </w:p>
    <w:p w:rsidR="00C31659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Ostrava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 xml:space="preserve"> zažádalo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roce 2013 správce programu rep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>rodukce majetku o registraci na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financování akce na pořízení dvou speciálních mikrobusů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celkové hodnotě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2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500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000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Kč. 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žádosti předložilo investiční zá</w:t>
      </w:r>
      <w:r w:rsidR="00EA1A26" w:rsidRPr="00DF6451">
        <w:rPr>
          <w:rFonts w:asciiTheme="minorHAnsi" w:eastAsia="Calibri" w:hAnsiTheme="minorHAnsi" w:cstheme="minorHAnsi"/>
          <w:bCs/>
          <w:lang w:val="cs-CZ"/>
        </w:rPr>
        <w:t xml:space="preserve">měr na pořízení těchto vozidel, 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v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>e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kterém uvedlo skutečný stav t</w:t>
      </w:r>
      <w:r w:rsidR="00EA1A26" w:rsidRPr="00DF6451">
        <w:rPr>
          <w:rFonts w:asciiTheme="minorHAnsi" w:eastAsia="Calibri" w:hAnsiTheme="minorHAnsi" w:cstheme="minorHAnsi"/>
          <w:bCs/>
          <w:lang w:val="cs-CZ"/>
        </w:rPr>
        <w:t>ěchto vozidel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EA1A26" w:rsidRPr="00DF6451">
        <w:rPr>
          <w:rFonts w:asciiTheme="minorHAnsi" w:eastAsia="Calibri" w:hAnsiTheme="minorHAnsi" w:cstheme="minorHAnsi"/>
          <w:bCs/>
          <w:lang w:val="cs-CZ"/>
        </w:rPr>
        <w:t>počtu 23 kusů 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systematizované počty těchto služebních dopravních prostředků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627CC" w:rsidRPr="00DF6451">
        <w:rPr>
          <w:rFonts w:asciiTheme="minorHAnsi" w:eastAsia="Calibri" w:hAnsiTheme="minorHAnsi" w:cstheme="minorHAnsi"/>
          <w:bCs/>
          <w:lang w:val="cs-CZ"/>
        </w:rPr>
        <w:t>počtu 39 kusů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. Zároveň 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uzavřelo s centrálním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 zadavatelem </w:t>
      </w:r>
      <w:r w:rsidR="0031390C" w:rsidRPr="00DF6451">
        <w:rPr>
          <w:rFonts w:asciiTheme="minorHAnsi" w:eastAsia="Calibri" w:hAnsiTheme="minorHAnsi" w:cstheme="minorHAnsi"/>
          <w:bCs/>
          <w:lang w:val="cs-CZ"/>
        </w:rPr>
        <w:t>smlouvu o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centralizovaném zadávání 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>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>provedení zadávacího řízení a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k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uzavření smlouvy na plnění veřejné zakázky na nákup dvou kusů výše uvedených </w:t>
      </w:r>
      <w:r w:rsidR="008465E3" w:rsidRPr="00DF6451">
        <w:rPr>
          <w:rFonts w:asciiTheme="minorHAnsi" w:eastAsia="Calibri" w:hAnsiTheme="minorHAnsi" w:cstheme="minorHAnsi"/>
          <w:bCs/>
          <w:lang w:val="cs-CZ"/>
        </w:rPr>
        <w:t>mikrobusů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8465E3" w:rsidRPr="00DF6451">
        <w:rPr>
          <w:rFonts w:asciiTheme="minorHAnsi" w:eastAsia="Calibri" w:hAnsiTheme="minorHAnsi" w:cstheme="minorHAnsi"/>
          <w:bCs/>
          <w:lang w:val="cs-CZ"/>
        </w:rPr>
        <w:t>plánované částce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 2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500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000 Kč. </w:t>
      </w:r>
      <w:r w:rsidR="005E1BE3" w:rsidRPr="00DF6451">
        <w:rPr>
          <w:rFonts w:asciiTheme="minorHAnsi" w:eastAsia="Calibri" w:hAnsiTheme="minorHAnsi" w:cstheme="minorHAnsi"/>
          <w:bCs/>
          <w:lang w:val="cs-CZ"/>
        </w:rPr>
        <w:t xml:space="preserve">Nadřízený policejní útvar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následně oznámil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lastRenderedPageBreak/>
        <w:t>KŘP Ostrava, že rozhodl o navýšení počtu poři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>zovaných mikrobusů na 12 kusů a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vyčlenění peněžních prostředků na tyto mikrobusy. KŘP Ostrava na základě tohoto rozhodnutí podalo žá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dost o změnu registrace akce 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předložilo upravený investiční záměr, který zdůvodň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oval potřeb</w:t>
      </w:r>
      <w:r w:rsidR="00990E7B">
        <w:rPr>
          <w:rFonts w:asciiTheme="minorHAnsi" w:eastAsia="Calibri" w:hAnsiTheme="minorHAnsi" w:cstheme="minorHAnsi"/>
          <w:bCs/>
          <w:lang w:val="cs-CZ"/>
        </w:rPr>
        <w:t>u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 xml:space="preserve"> pořízení celkem 12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speciálních mikrobusů s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odkazem na nenaplnění systematizovaného počtu těchto služebních dopravních prostředků. 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>S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právce programu reprodukce majetku vydal změnu registrace akce</w:t>
      </w:r>
      <w:r w:rsidR="00990E7B">
        <w:rPr>
          <w:rFonts w:asciiTheme="minorHAnsi" w:eastAsia="Calibri" w:hAnsiTheme="minorHAnsi" w:cstheme="minorHAnsi"/>
          <w:bCs/>
          <w:lang w:val="cs-CZ"/>
        </w:rPr>
        <w:t xml:space="preserve"> a nově bylo jejím předmětem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 pořízení celkem 12 speciálních mikrobusů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celkové hodnotě 13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759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548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>Kč. KŘP Ostrava však s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="00C31659" w:rsidRPr="00DF6451">
        <w:rPr>
          <w:rFonts w:asciiTheme="minorHAnsi" w:eastAsia="Calibri" w:hAnsiTheme="minorHAnsi" w:cstheme="minorHAnsi"/>
          <w:bCs/>
          <w:lang w:val="cs-CZ"/>
        </w:rPr>
        <w:t xml:space="preserve">centrálním zadavatelem neuzavřelo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smlouvu</w:t>
      </w:r>
      <w:r w:rsidR="0031390C" w:rsidRPr="00DF6451">
        <w:rPr>
          <w:rFonts w:asciiTheme="minorHAnsi" w:eastAsia="Calibri" w:hAnsiTheme="minorHAnsi" w:cstheme="minorHAnsi"/>
          <w:bCs/>
          <w:lang w:val="cs-CZ"/>
        </w:rPr>
        <w:t xml:space="preserve"> o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centralizovaném zadávání 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provedení zadávacího řízení a 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uzavření smlouvy na plnění veřejné zakázky na nákup 12 kusů výše uvedených mikrobusů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plánované částce 13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759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548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 xml:space="preserve">Kč. Následně na základě pokynu </w:t>
      </w:r>
      <w:r w:rsidR="00E35AAA" w:rsidRPr="00DF6451">
        <w:rPr>
          <w:rFonts w:asciiTheme="minorHAnsi" w:eastAsia="Calibri" w:hAnsiTheme="minorHAnsi" w:cstheme="minorHAnsi"/>
          <w:bCs/>
          <w:lang w:val="cs-CZ"/>
        </w:rPr>
        <w:t xml:space="preserve">nadřízeného policejního útvaru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devět z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pořízených dvanácti vozidel prohlásilo</w:t>
      </w:r>
      <w:r w:rsidR="0031390C" w:rsidRPr="00DF6451">
        <w:rPr>
          <w:rFonts w:asciiTheme="minorHAnsi" w:eastAsia="Calibri" w:hAnsiTheme="minorHAnsi" w:cstheme="minorHAnsi"/>
          <w:bCs/>
          <w:lang w:val="cs-CZ"/>
        </w:rPr>
        <w:t xml:space="preserve"> 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1390C" w:rsidRPr="00DF6451">
        <w:rPr>
          <w:rFonts w:asciiTheme="minorHAnsi" w:eastAsia="Calibri" w:hAnsiTheme="minorHAnsi" w:cstheme="minorHAnsi"/>
          <w:bCs/>
          <w:lang w:val="cs-CZ"/>
        </w:rPr>
        <w:t>Ostrava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 xml:space="preserve"> za nepotřebn</w:t>
      </w:r>
      <w:r w:rsidR="00990E7B">
        <w:rPr>
          <w:rFonts w:asciiTheme="minorHAnsi" w:eastAsia="Calibri" w:hAnsiTheme="minorHAnsi" w:cstheme="minorHAnsi"/>
          <w:bCs/>
          <w:lang w:val="cs-CZ"/>
        </w:rPr>
        <w:t>ý majetek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 xml:space="preserve">, ačkoliv </w:t>
      </w:r>
      <w:r w:rsidR="00990E7B">
        <w:rPr>
          <w:rFonts w:asciiTheme="minorHAnsi" w:eastAsia="Calibri" w:hAnsiTheme="minorHAnsi" w:cstheme="minorHAnsi"/>
          <w:bCs/>
          <w:lang w:val="cs-CZ"/>
        </w:rPr>
        <w:t>pro tento krok nebyly splněny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 xml:space="preserve"> podmínky pro prohlášení o nepotřebnosti</w:t>
      </w:r>
      <w:r w:rsidR="00990E7B">
        <w:rPr>
          <w:rFonts w:asciiTheme="minorHAnsi" w:eastAsia="Calibri" w:hAnsiTheme="minorHAnsi" w:cstheme="minorHAnsi"/>
          <w:bCs/>
          <w:lang w:val="cs-CZ"/>
        </w:rPr>
        <w:t xml:space="preserve"> majetku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 xml:space="preserve"> stanovené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>ustanovení §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>14 odst.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 xml:space="preserve">4 zákona </w:t>
      </w:r>
      <w:r w:rsidR="00990E7B">
        <w:rPr>
          <w:rFonts w:asciiTheme="minorHAnsi" w:eastAsia="Calibri" w:hAnsiTheme="minorHAnsi" w:cstheme="minorHAnsi"/>
          <w:bCs/>
          <w:lang w:val="cs-CZ"/>
        </w:rPr>
        <w:t>č. 219/2000 Sb.</w:t>
      </w:r>
      <w:r w:rsidR="007677E4" w:rsidRPr="00DF6451">
        <w:rPr>
          <w:rFonts w:asciiTheme="minorHAnsi" w:eastAsia="Calibri" w:hAnsiTheme="minorHAnsi" w:cstheme="minorHAnsi"/>
          <w:bCs/>
          <w:vertAlign w:val="superscript"/>
          <w:lang w:val="cs-CZ"/>
        </w:rPr>
        <w:t>4</w:t>
      </w:r>
      <w:r w:rsidR="007677E4" w:rsidRPr="00DF6451">
        <w:rPr>
          <w:rFonts w:asciiTheme="minorHAnsi" w:eastAsia="Calibri" w:hAnsiTheme="minorHAnsi" w:cstheme="minorHAnsi"/>
          <w:bCs/>
          <w:lang w:val="cs-CZ"/>
        </w:rPr>
        <w:t xml:space="preserve">.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 xml:space="preserve">Uvedených devět vozidel pak podle pokynu </w:t>
      </w:r>
      <w:r w:rsidR="00E35AAA" w:rsidRPr="00DF6451">
        <w:rPr>
          <w:rFonts w:asciiTheme="minorHAnsi" w:eastAsia="Calibri" w:hAnsiTheme="minorHAnsi" w:cstheme="minorHAnsi"/>
          <w:bCs/>
          <w:lang w:val="cs-CZ"/>
        </w:rPr>
        <w:t xml:space="preserve">nadřízeného policejního útvaru </w:t>
      </w:r>
      <w:r w:rsidR="005233D4" w:rsidRPr="00DF6451">
        <w:rPr>
          <w:rFonts w:asciiTheme="minorHAnsi" w:eastAsia="Calibri" w:hAnsiTheme="minorHAnsi" w:cstheme="minorHAnsi"/>
          <w:bCs/>
          <w:lang w:val="cs-CZ"/>
        </w:rPr>
        <w:t>bezúplatně převedlo na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jiná krajská ředitelství polic</w:t>
      </w:r>
      <w:r w:rsidR="00990E7B">
        <w:rPr>
          <w:rFonts w:asciiTheme="minorHAnsi" w:eastAsia="Calibri" w:hAnsiTheme="minorHAnsi" w:cstheme="minorHAnsi"/>
          <w:bCs/>
          <w:lang w:val="cs-CZ"/>
        </w:rPr>
        <w:t>i</w:t>
      </w:r>
      <w:r w:rsidR="005813FC" w:rsidRPr="00DF6451">
        <w:rPr>
          <w:rFonts w:asciiTheme="minorHAnsi" w:eastAsia="Calibri" w:hAnsiTheme="minorHAnsi" w:cstheme="minorHAnsi"/>
          <w:bCs/>
          <w:lang w:val="cs-CZ"/>
        </w:rPr>
        <w:t>e.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Doba odpisování motorových vozidel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délce 20 let, kt</w:t>
      </w:r>
      <w:r w:rsidR="003A56F5" w:rsidRPr="00DF6451">
        <w:rPr>
          <w:rFonts w:asciiTheme="minorHAnsi" w:eastAsia="Calibri" w:hAnsiTheme="minorHAnsi" w:cstheme="minorHAnsi"/>
          <w:bCs/>
          <w:lang w:val="cs-CZ"/>
        </w:rPr>
        <w:t>erou stanovil</w:t>
      </w:r>
      <w:r w:rsidR="005A3551">
        <w:rPr>
          <w:rFonts w:asciiTheme="minorHAnsi" w:eastAsia="Calibri" w:hAnsiTheme="minorHAnsi" w:cstheme="minorHAnsi"/>
          <w:bCs/>
          <w:lang w:val="cs-CZ"/>
        </w:rPr>
        <w:t>y</w:t>
      </w:r>
      <w:r w:rsidR="003A56F5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 xml:space="preserve">Praha, </w:t>
      </w:r>
      <w:r w:rsidR="003A56F5"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3A56F5" w:rsidRPr="00DF6451">
        <w:rPr>
          <w:rFonts w:asciiTheme="minorHAnsi" w:eastAsia="Calibri" w:hAnsiTheme="minorHAnsi" w:cstheme="minorHAnsi"/>
          <w:bCs/>
          <w:lang w:val="cs-CZ"/>
        </w:rPr>
        <w:t xml:space="preserve">Ostrava,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>Č.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 xml:space="preserve">Budějovice, </w:t>
      </w:r>
      <w:r w:rsidR="003A56F5"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Ústí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n.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>L.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 xml:space="preserve">a </w:t>
      </w: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H.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Králové</w:t>
      </w:r>
      <w:r w:rsidR="005A3551">
        <w:rPr>
          <w:rFonts w:asciiTheme="minorHAnsi" w:eastAsia="Calibri" w:hAnsiTheme="minorHAnsi" w:cstheme="minorHAnsi"/>
          <w:bCs/>
          <w:lang w:val="cs-CZ"/>
        </w:rPr>
        <w:t>,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nevyjadř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>ovala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skutečnou dobu používání uvedených vozidel. </w:t>
      </w:r>
      <w:r w:rsidR="00873F0E" w:rsidRPr="00DF6451">
        <w:rPr>
          <w:rFonts w:asciiTheme="minorHAnsi" w:eastAsia="Calibri" w:hAnsiTheme="minorHAnsi" w:cstheme="minorHAnsi"/>
          <w:bCs/>
          <w:lang w:val="cs-CZ"/>
        </w:rPr>
        <w:t xml:space="preserve">Na vybraném vzorku 65 </w:t>
      </w:r>
      <w:r w:rsidR="00990E7B">
        <w:rPr>
          <w:rFonts w:asciiTheme="minorHAnsi" w:eastAsia="Calibri" w:hAnsiTheme="minorHAnsi" w:cstheme="minorHAnsi"/>
          <w:bCs/>
          <w:lang w:val="cs-CZ"/>
        </w:rPr>
        <w:t xml:space="preserve">vyřazených </w:t>
      </w:r>
      <w:r w:rsidR="00873F0E" w:rsidRPr="00DF6451">
        <w:rPr>
          <w:rFonts w:asciiTheme="minorHAnsi" w:eastAsia="Calibri" w:hAnsiTheme="minorHAnsi" w:cstheme="minorHAnsi"/>
          <w:bCs/>
          <w:lang w:val="cs-CZ"/>
        </w:rPr>
        <w:t xml:space="preserve">vozidel bylo zjištěno, že průměrná doba </w:t>
      </w:r>
      <w:r w:rsidR="00990E7B">
        <w:rPr>
          <w:rFonts w:asciiTheme="minorHAnsi" w:eastAsia="Calibri" w:hAnsiTheme="minorHAnsi" w:cstheme="minorHAnsi"/>
          <w:bCs/>
          <w:lang w:val="cs-CZ"/>
        </w:rPr>
        <w:t xml:space="preserve">jejich </w:t>
      </w:r>
      <w:r w:rsidR="00873F0E" w:rsidRPr="00DF6451">
        <w:rPr>
          <w:rFonts w:asciiTheme="minorHAnsi" w:eastAsia="Calibri" w:hAnsiTheme="minorHAnsi" w:cstheme="minorHAnsi"/>
          <w:bCs/>
          <w:lang w:val="cs-CZ"/>
        </w:rPr>
        <w:t xml:space="preserve">užívání vozidel činila 9 let.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Výše odpisů </w:t>
      </w:r>
      <w:r w:rsidR="00990E7B">
        <w:rPr>
          <w:rFonts w:asciiTheme="minorHAnsi" w:eastAsia="Calibri" w:hAnsiTheme="minorHAnsi" w:cstheme="minorHAnsi"/>
          <w:bCs/>
          <w:lang w:val="cs-CZ"/>
        </w:rPr>
        <w:t>těchto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vozidel tak nevyjadřovala jejich skutečné opotřebení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 xml:space="preserve"> a měla vliv na výši nákladů na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odpisy v</w:t>
      </w:r>
      <w:r w:rsidR="00D745F6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jednotlivých letech používání vozidel.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 H.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Králové při uzavírání smluv o bezúplatném převodu čtyř osobních </w:t>
      </w:r>
      <w:r w:rsidR="001E3B35" w:rsidRPr="00DF6451">
        <w:rPr>
          <w:rFonts w:asciiTheme="minorHAnsi" w:eastAsia="Calibri" w:hAnsiTheme="minorHAnsi" w:cstheme="minorHAnsi"/>
          <w:bCs/>
          <w:lang w:val="cs-CZ"/>
        </w:rPr>
        <w:t>motorových vozidel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pořizovací hodnotě 1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698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669,88 Kč na obce nesjednalo zajištění toho, aby byl naplněn veřejný zájem, který je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tomto případě požadován zákonem</w:t>
      </w:r>
      <w:r w:rsidR="005A3551">
        <w:rPr>
          <w:rFonts w:asciiTheme="minorHAnsi" w:eastAsia="Calibri" w:hAnsiTheme="minorHAnsi" w:cstheme="minorHAnsi"/>
          <w:bCs/>
          <w:lang w:val="cs-CZ"/>
        </w:rPr>
        <w:t>,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a to formou smluvního závazku ke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konkrétnímu způsobu užívání nabytého majetku.</w:t>
      </w:r>
    </w:p>
    <w:p w:rsidR="00DF6451" w:rsidRPr="00DF6451" w:rsidRDefault="00DF6451" w:rsidP="00DF6451">
      <w:pPr>
        <w:rPr>
          <w:rFonts w:ascii="Calibri" w:hAnsi="Calibri" w:cs="Calibri"/>
          <w:lang w:val="cs-CZ"/>
        </w:rPr>
      </w:pPr>
    </w:p>
    <w:p w:rsidR="00F926FA" w:rsidRDefault="00F926FA" w:rsidP="00DF6451">
      <w:pPr>
        <w:rPr>
          <w:rFonts w:ascii="Calibri" w:eastAsiaTheme="minorHAns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t>4.</w:t>
      </w:r>
      <w:r w:rsidR="00052BD2">
        <w:rPr>
          <w:rFonts w:ascii="Calibr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>Informační a komunikační technologie (ICT)</w:t>
      </w:r>
    </w:p>
    <w:p w:rsidR="00DF6451" w:rsidRPr="00DF6451" w:rsidRDefault="00DF6451" w:rsidP="00DF6451">
      <w:pPr>
        <w:rPr>
          <w:rFonts w:ascii="Calibri" w:eastAsiaTheme="minorHAnsi" w:hAnsi="Calibri" w:cs="Calibri"/>
          <w:lang w:val="cs-CZ"/>
        </w:rPr>
      </w:pPr>
    </w:p>
    <w:p w:rsidR="00CC2305" w:rsidRPr="00DF6451" w:rsidRDefault="00CC2305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 xml:space="preserve">Ostrava </w:t>
      </w:r>
      <w:r w:rsidR="00990E7B">
        <w:rPr>
          <w:rFonts w:asciiTheme="minorHAnsi" w:hAnsiTheme="minorHAnsi" w:cstheme="minorHAnsi"/>
          <w:lang w:val="cs-CZ"/>
        </w:rPr>
        <w:t>u </w:t>
      </w:r>
      <w:r w:rsidRPr="00DF6451">
        <w:rPr>
          <w:rFonts w:asciiTheme="minorHAnsi" w:hAnsiTheme="minorHAnsi" w:cstheme="minorHAnsi"/>
          <w:lang w:val="cs-CZ"/>
        </w:rPr>
        <w:t>veřejné zakázky</w:t>
      </w:r>
      <w:r w:rsidR="00432875" w:rsidRPr="00DF6451">
        <w:rPr>
          <w:rFonts w:asciiTheme="minorHAnsi" w:hAnsiTheme="minorHAnsi" w:cstheme="minorHAnsi"/>
          <w:lang w:val="cs-CZ"/>
        </w:rPr>
        <w:t xml:space="preserve"> malého rozsahu</w:t>
      </w:r>
      <w:r w:rsidRPr="00DF6451">
        <w:rPr>
          <w:rFonts w:asciiTheme="minorHAnsi" w:hAnsiTheme="minorHAnsi" w:cstheme="minorHAnsi"/>
          <w:lang w:val="cs-CZ"/>
        </w:rPr>
        <w:t xml:space="preserve"> na pořízení </w:t>
      </w:r>
      <w:r w:rsidR="00432875" w:rsidRPr="00DF6451">
        <w:rPr>
          <w:rFonts w:asciiTheme="minorHAnsi" w:hAnsiTheme="minorHAnsi" w:cstheme="minorHAnsi"/>
          <w:lang w:val="cs-CZ"/>
        </w:rPr>
        <w:t>celkem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32875" w:rsidRPr="00DF6451">
        <w:rPr>
          <w:rFonts w:asciiTheme="minorHAnsi" w:hAnsiTheme="minorHAnsi" w:cstheme="minorHAnsi"/>
          <w:lang w:val="cs-CZ"/>
        </w:rPr>
        <w:t>107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mobilních telefonů</w:t>
      </w:r>
      <w:r w:rsidR="00432875" w:rsidRPr="00DF6451">
        <w:rPr>
          <w:rFonts w:asciiTheme="minorHAnsi" w:hAnsiTheme="minorHAnsi" w:cstheme="minorHAnsi"/>
          <w:lang w:val="cs-CZ"/>
        </w:rPr>
        <w:t xml:space="preserve">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32875" w:rsidRPr="00DF6451">
        <w:rPr>
          <w:rFonts w:asciiTheme="minorHAnsi" w:hAnsiTheme="minorHAnsi" w:cstheme="minorHAnsi"/>
          <w:lang w:val="cs-CZ"/>
        </w:rPr>
        <w:t>předpokládané hodnotě 610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32875" w:rsidRPr="00DF6451">
        <w:rPr>
          <w:rFonts w:asciiTheme="minorHAnsi" w:hAnsiTheme="minorHAnsi" w:cstheme="minorHAnsi"/>
          <w:lang w:val="cs-CZ"/>
        </w:rPr>
        <w:t>294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32875" w:rsidRPr="00DF6451">
        <w:rPr>
          <w:rFonts w:asciiTheme="minorHAnsi" w:hAnsiTheme="minorHAnsi" w:cstheme="minorHAnsi"/>
          <w:lang w:val="cs-CZ"/>
        </w:rPr>
        <w:t>Kč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="00FC2F79" w:rsidRPr="00DF6451">
        <w:rPr>
          <w:rFonts w:asciiTheme="minorHAnsi" w:hAnsiTheme="minorHAnsi" w:cstheme="minorHAnsi"/>
          <w:lang w:val="cs-CZ"/>
        </w:rPr>
        <w:t xml:space="preserve">uvedlo </w:t>
      </w:r>
      <w:r w:rsidR="00990E7B" w:rsidRPr="00DF6451">
        <w:rPr>
          <w:rFonts w:asciiTheme="minorHAnsi" w:hAnsiTheme="minorHAnsi" w:cstheme="minorHAnsi"/>
          <w:lang w:val="cs-CZ"/>
        </w:rPr>
        <w:t xml:space="preserve">v technické specifikaci </w:t>
      </w:r>
      <w:r w:rsidR="00FC2F79" w:rsidRPr="00DF6451">
        <w:rPr>
          <w:rFonts w:asciiTheme="minorHAnsi" w:hAnsiTheme="minorHAnsi" w:cstheme="minorHAnsi"/>
          <w:lang w:val="cs-CZ"/>
        </w:rPr>
        <w:t>odkazy na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obchodní firmy, označení zboží,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řadě případů rovněž specifická označení jednotlivých součástí, které měl přístroj obsahovat</w:t>
      </w:r>
      <w:r w:rsidR="00990E7B">
        <w:rPr>
          <w:rFonts w:asciiTheme="minorHAnsi" w:hAnsiTheme="minorHAnsi" w:cstheme="minorHAnsi"/>
          <w:lang w:val="cs-CZ"/>
        </w:rPr>
        <w:t>,</w:t>
      </w:r>
      <w:r w:rsidRPr="00DF6451">
        <w:rPr>
          <w:rFonts w:asciiTheme="minorHAnsi" w:hAnsiTheme="minorHAnsi" w:cstheme="minorHAnsi"/>
          <w:lang w:val="cs-CZ"/>
        </w:rPr>
        <w:t xml:space="preserve"> a velmi přesné parametry, které muselo nabízené zboží splňovat. Předmět veřejné zakázky byl technickou specifikací </w:t>
      </w:r>
      <w:r w:rsidR="005A3551">
        <w:rPr>
          <w:rFonts w:asciiTheme="minorHAnsi" w:hAnsiTheme="minorHAnsi" w:cstheme="minorHAnsi"/>
          <w:lang w:val="cs-CZ"/>
        </w:rPr>
        <w:t>příliš</w:t>
      </w:r>
      <w:r w:rsidRPr="00DF6451">
        <w:rPr>
          <w:rFonts w:asciiTheme="minorHAnsi" w:hAnsiTheme="minorHAnsi" w:cstheme="minorHAnsi"/>
          <w:lang w:val="cs-CZ"/>
        </w:rPr>
        <w:t xml:space="preserve"> úzce vymezen, čímž zadavatel nedodržel zásadu zákazu diskriminace.</w:t>
      </w:r>
      <w:r w:rsidR="00562595" w:rsidRPr="00DF6451">
        <w:rPr>
          <w:rFonts w:asciiTheme="minorHAnsi" w:hAnsiTheme="minorHAnsi" w:cstheme="minorHAnsi"/>
          <w:lang w:val="cs-CZ"/>
        </w:rPr>
        <w:t xml:space="preserve"> KŘP Ostrava tak porušilo povinnost </w:t>
      </w:r>
      <w:r w:rsidR="00154D31" w:rsidRPr="00DF6451">
        <w:rPr>
          <w:rFonts w:asciiTheme="minorHAnsi" w:hAnsiTheme="minorHAnsi" w:cstheme="minorHAnsi"/>
          <w:lang w:val="cs-CZ"/>
        </w:rPr>
        <w:t>uloženou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562595" w:rsidRPr="00DF6451">
        <w:rPr>
          <w:rFonts w:asciiTheme="minorHAnsi" w:hAnsiTheme="minorHAnsi" w:cstheme="minorHAnsi"/>
          <w:lang w:val="cs-CZ"/>
        </w:rPr>
        <w:t>ustanovení</w:t>
      </w:r>
      <w:r w:rsidR="00154D31" w:rsidRPr="00DF6451">
        <w:rPr>
          <w:rFonts w:asciiTheme="minorHAnsi" w:hAnsiTheme="minorHAnsi" w:cstheme="minorHAnsi"/>
          <w:lang w:val="cs-CZ"/>
        </w:rPr>
        <w:t>m</w:t>
      </w:r>
      <w:r w:rsidR="00562595" w:rsidRPr="00DF6451">
        <w:rPr>
          <w:rFonts w:asciiTheme="minorHAnsi" w:hAnsiTheme="minorHAnsi" w:cstheme="minorHAnsi"/>
          <w:lang w:val="cs-CZ"/>
        </w:rPr>
        <w:t xml:space="preserve"> §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562595" w:rsidRPr="00DF6451">
        <w:rPr>
          <w:rFonts w:asciiTheme="minorHAnsi" w:hAnsiTheme="minorHAnsi" w:cstheme="minorHAnsi"/>
          <w:lang w:val="cs-CZ"/>
        </w:rPr>
        <w:t>18 odst.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562595" w:rsidRPr="00DF6451">
        <w:rPr>
          <w:rFonts w:asciiTheme="minorHAnsi" w:hAnsiTheme="minorHAnsi" w:cstheme="minorHAnsi"/>
          <w:lang w:val="cs-CZ"/>
        </w:rPr>
        <w:t>5 zákona o veřejných zakázkách</w:t>
      </w:r>
      <w:r w:rsidR="00562595" w:rsidRPr="00DF6451">
        <w:rPr>
          <w:rFonts w:asciiTheme="minorHAnsi" w:hAnsiTheme="minorHAnsi" w:cstheme="minorHAnsi"/>
          <w:vertAlign w:val="superscript"/>
          <w:lang w:val="cs-CZ"/>
        </w:rPr>
        <w:t>3</w:t>
      </w:r>
      <w:r w:rsidR="00562595" w:rsidRPr="00DF6451">
        <w:rPr>
          <w:rFonts w:asciiTheme="minorHAnsi" w:hAnsiTheme="minorHAnsi" w:cstheme="minorHAnsi"/>
          <w:lang w:val="cs-CZ"/>
        </w:rPr>
        <w:t>.</w:t>
      </w:r>
    </w:p>
    <w:p w:rsidR="005A53E0" w:rsidRPr="00DF6451" w:rsidRDefault="00E239DC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Ústí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n.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 xml:space="preserve">L. </w:t>
      </w:r>
      <w:r w:rsidR="005A53E0" w:rsidRPr="00DF6451">
        <w:rPr>
          <w:rFonts w:asciiTheme="minorHAnsi" w:hAnsiTheme="minorHAnsi" w:cstheme="minorHAnsi"/>
          <w:lang w:val="cs-CZ"/>
        </w:rPr>
        <w:t>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5A53E0" w:rsidRPr="00DF6451">
        <w:rPr>
          <w:rFonts w:asciiTheme="minorHAnsi" w:hAnsiTheme="minorHAnsi" w:cstheme="minorHAnsi"/>
          <w:lang w:val="cs-CZ"/>
        </w:rPr>
        <w:t>případě veřejné zakázky</w:t>
      </w:r>
      <w:r w:rsidR="00432875" w:rsidRPr="00DF6451">
        <w:rPr>
          <w:rFonts w:asciiTheme="minorHAnsi" w:hAnsiTheme="minorHAnsi" w:cstheme="minorHAnsi"/>
          <w:lang w:val="cs-CZ"/>
        </w:rPr>
        <w:t xml:space="preserve"> malého rozsahu</w:t>
      </w:r>
      <w:r w:rsidR="005A53E0" w:rsidRPr="00DF6451">
        <w:rPr>
          <w:rFonts w:asciiTheme="minorHAnsi" w:hAnsiTheme="minorHAnsi" w:cstheme="minorHAnsi"/>
          <w:lang w:val="cs-CZ"/>
        </w:rPr>
        <w:t xml:space="preserve"> na pořízení </w:t>
      </w:r>
      <w:r w:rsidR="009272D3" w:rsidRPr="00DF6451">
        <w:rPr>
          <w:rFonts w:asciiTheme="minorHAnsi" w:hAnsiTheme="minorHAnsi" w:cstheme="minorHAnsi"/>
          <w:lang w:val="cs-CZ"/>
        </w:rPr>
        <w:t>celkem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9272D3" w:rsidRPr="00DF6451">
        <w:rPr>
          <w:rFonts w:asciiTheme="minorHAnsi" w:hAnsiTheme="minorHAnsi" w:cstheme="minorHAnsi"/>
          <w:lang w:val="cs-CZ"/>
        </w:rPr>
        <w:t>18</w:t>
      </w:r>
      <w:r w:rsidR="008E3C8F" w:rsidRPr="00DF6451">
        <w:rPr>
          <w:rFonts w:asciiTheme="minorHAnsi" w:hAnsiTheme="minorHAnsi" w:cstheme="minorHAnsi"/>
          <w:lang w:val="cs-CZ"/>
        </w:rPr>
        <w:t>3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5A53E0" w:rsidRPr="00DF6451">
        <w:rPr>
          <w:rFonts w:asciiTheme="minorHAnsi" w:hAnsiTheme="minorHAnsi" w:cstheme="minorHAnsi"/>
          <w:lang w:val="cs-CZ"/>
        </w:rPr>
        <w:t>mobilních telefonů</w:t>
      </w:r>
      <w:r w:rsidR="00432875" w:rsidRPr="00DF6451">
        <w:rPr>
          <w:rFonts w:asciiTheme="minorHAnsi" w:hAnsiTheme="minorHAnsi" w:cstheme="minorHAnsi"/>
          <w:lang w:val="cs-CZ"/>
        </w:rPr>
        <w:t xml:space="preserve">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32875" w:rsidRPr="00DF6451">
        <w:rPr>
          <w:rFonts w:asciiTheme="minorHAnsi" w:hAnsiTheme="minorHAnsi" w:cstheme="minorHAnsi"/>
          <w:lang w:val="cs-CZ"/>
        </w:rPr>
        <w:t>předpokládané hodnotě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32875" w:rsidRPr="00DF6451">
        <w:rPr>
          <w:rFonts w:asciiTheme="minorHAnsi" w:hAnsiTheme="minorHAnsi" w:cstheme="minorHAnsi"/>
          <w:lang w:val="cs-CZ"/>
        </w:rPr>
        <w:t>1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32875" w:rsidRPr="00DF6451">
        <w:rPr>
          <w:rFonts w:asciiTheme="minorHAnsi" w:hAnsiTheme="minorHAnsi" w:cstheme="minorHAnsi"/>
          <w:lang w:val="cs-CZ"/>
        </w:rPr>
        <w:t>280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32875" w:rsidRPr="00DF6451">
        <w:rPr>
          <w:rFonts w:asciiTheme="minorHAnsi" w:hAnsiTheme="minorHAnsi" w:cstheme="minorHAnsi"/>
          <w:lang w:val="cs-CZ"/>
        </w:rPr>
        <w:t>016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432875" w:rsidRPr="00DF6451">
        <w:rPr>
          <w:rFonts w:asciiTheme="minorHAnsi" w:hAnsiTheme="minorHAnsi" w:cstheme="minorHAnsi"/>
          <w:lang w:val="cs-CZ"/>
        </w:rPr>
        <w:t>Kč</w:t>
      </w:r>
      <w:r w:rsidR="005A53E0" w:rsidRPr="00DF6451">
        <w:rPr>
          <w:rFonts w:asciiTheme="minorHAnsi" w:hAnsiTheme="minorHAnsi" w:cstheme="minorHAnsi"/>
          <w:lang w:val="cs-CZ"/>
        </w:rPr>
        <w:t xml:space="preserve"> </w:t>
      </w:r>
      <w:r w:rsidR="00F263DE" w:rsidRPr="00DF6451">
        <w:rPr>
          <w:rFonts w:asciiTheme="minorHAnsi" w:hAnsiTheme="minorHAnsi" w:cstheme="minorHAnsi"/>
          <w:lang w:val="cs-CZ"/>
        </w:rPr>
        <w:t xml:space="preserve">uvedlo </w:t>
      </w:r>
      <w:r w:rsidR="009272D3" w:rsidRPr="00DF6451">
        <w:rPr>
          <w:rFonts w:asciiTheme="minorHAnsi" w:hAnsiTheme="minorHAnsi" w:cstheme="minorHAnsi"/>
          <w:lang w:val="cs-CZ"/>
        </w:rPr>
        <w:t>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zadávací dokumentac</w:t>
      </w:r>
      <w:r w:rsidR="009272D3" w:rsidRPr="00DF6451">
        <w:rPr>
          <w:rFonts w:asciiTheme="minorHAnsi" w:hAnsiTheme="minorHAnsi" w:cstheme="minorHAnsi"/>
          <w:lang w:val="cs-CZ"/>
        </w:rPr>
        <w:t>i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="00990E7B">
        <w:rPr>
          <w:rFonts w:asciiTheme="minorHAnsi" w:hAnsiTheme="minorHAnsi" w:cstheme="minorHAnsi"/>
          <w:lang w:val="cs-CZ"/>
        </w:rPr>
        <w:t xml:space="preserve">takovou </w:t>
      </w:r>
      <w:r w:rsidRPr="00DF6451">
        <w:rPr>
          <w:rFonts w:asciiTheme="minorHAnsi" w:hAnsiTheme="minorHAnsi" w:cstheme="minorHAnsi"/>
          <w:lang w:val="cs-CZ"/>
        </w:rPr>
        <w:t>k</w:t>
      </w:r>
      <w:r w:rsidR="00F926FA" w:rsidRPr="00DF6451">
        <w:rPr>
          <w:rFonts w:asciiTheme="minorHAnsi" w:hAnsiTheme="minorHAnsi" w:cstheme="minorHAnsi"/>
          <w:lang w:val="cs-CZ"/>
        </w:rPr>
        <w:t>ombinac</w:t>
      </w:r>
      <w:r w:rsidRPr="00DF6451">
        <w:rPr>
          <w:rFonts w:asciiTheme="minorHAnsi" w:hAnsiTheme="minorHAnsi" w:cstheme="minorHAnsi"/>
          <w:lang w:val="cs-CZ"/>
        </w:rPr>
        <w:t>i</w:t>
      </w:r>
      <w:r w:rsidR="00F926FA" w:rsidRPr="00DF6451">
        <w:rPr>
          <w:rFonts w:asciiTheme="minorHAnsi" w:hAnsiTheme="minorHAnsi" w:cstheme="minorHAnsi"/>
          <w:lang w:val="cs-CZ"/>
        </w:rPr>
        <w:t xml:space="preserve"> technických podmínek, kter</w:t>
      </w:r>
      <w:r w:rsidR="005A53E0" w:rsidRPr="00DF6451">
        <w:rPr>
          <w:rFonts w:asciiTheme="minorHAnsi" w:hAnsiTheme="minorHAnsi" w:cstheme="minorHAnsi"/>
          <w:lang w:val="cs-CZ"/>
        </w:rPr>
        <w:t xml:space="preserve">á </w:t>
      </w:r>
      <w:r w:rsidR="00F926FA" w:rsidRPr="00DF6451">
        <w:rPr>
          <w:rFonts w:asciiTheme="minorHAnsi" w:hAnsiTheme="minorHAnsi" w:cstheme="minorHAnsi"/>
          <w:lang w:val="cs-CZ"/>
        </w:rPr>
        <w:t>znemožnil</w:t>
      </w:r>
      <w:r w:rsidR="005A53E0" w:rsidRPr="00DF6451">
        <w:rPr>
          <w:rFonts w:asciiTheme="minorHAnsi" w:hAnsiTheme="minorHAnsi" w:cstheme="minorHAnsi"/>
          <w:lang w:val="cs-CZ"/>
        </w:rPr>
        <w:t>a</w:t>
      </w:r>
      <w:r w:rsidR="00F926FA" w:rsidRPr="00DF6451">
        <w:rPr>
          <w:rFonts w:asciiTheme="minorHAnsi" w:hAnsiTheme="minorHAnsi" w:cstheme="minorHAnsi"/>
          <w:lang w:val="cs-CZ"/>
        </w:rPr>
        <w:t xml:space="preserve"> účast dodavatelů jiných mobilních telefonů</w:t>
      </w:r>
      <w:r w:rsidR="005A3551">
        <w:rPr>
          <w:rFonts w:asciiTheme="minorHAnsi" w:hAnsiTheme="minorHAnsi" w:cstheme="minorHAnsi"/>
          <w:lang w:val="cs-CZ"/>
        </w:rPr>
        <w:t>,</w:t>
      </w:r>
      <w:r w:rsidR="00F926FA" w:rsidRPr="00DF6451">
        <w:rPr>
          <w:rFonts w:asciiTheme="minorHAnsi" w:hAnsiTheme="minorHAnsi" w:cstheme="minorHAnsi"/>
          <w:lang w:val="cs-CZ"/>
        </w:rPr>
        <w:t xml:space="preserve"> než jaké </w:t>
      </w:r>
      <w:r w:rsidR="003A56F5"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3A56F5" w:rsidRPr="00DF6451">
        <w:rPr>
          <w:rFonts w:asciiTheme="minorHAnsi" w:hAnsiTheme="minorHAnsi" w:cstheme="minorHAnsi"/>
          <w:lang w:val="cs-CZ"/>
        </w:rPr>
        <w:t>Ústí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3A56F5" w:rsidRPr="00DF6451">
        <w:rPr>
          <w:rFonts w:asciiTheme="minorHAnsi" w:hAnsiTheme="minorHAnsi" w:cstheme="minorHAnsi"/>
          <w:lang w:val="cs-CZ"/>
        </w:rPr>
        <w:t>n.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3A56F5" w:rsidRPr="00DF6451">
        <w:rPr>
          <w:rFonts w:asciiTheme="minorHAnsi" w:hAnsiTheme="minorHAnsi" w:cstheme="minorHAnsi"/>
          <w:lang w:val="cs-CZ"/>
        </w:rPr>
        <w:t xml:space="preserve">L. </w:t>
      </w:r>
      <w:r w:rsidR="00F926FA" w:rsidRPr="00DF6451">
        <w:rPr>
          <w:rFonts w:asciiTheme="minorHAnsi" w:hAnsiTheme="minorHAnsi" w:cstheme="minorHAnsi"/>
          <w:lang w:val="cs-CZ"/>
        </w:rPr>
        <w:t xml:space="preserve">uvedlo jako referenční. </w:t>
      </w:r>
      <w:r w:rsidR="003A56F5"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3A56F5" w:rsidRPr="00DF6451">
        <w:rPr>
          <w:rFonts w:asciiTheme="minorHAnsi" w:hAnsiTheme="minorHAnsi" w:cstheme="minorHAnsi"/>
          <w:lang w:val="cs-CZ"/>
        </w:rPr>
        <w:t>Ústí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3A56F5" w:rsidRPr="00DF6451">
        <w:rPr>
          <w:rFonts w:asciiTheme="minorHAnsi" w:hAnsiTheme="minorHAnsi" w:cstheme="minorHAnsi"/>
          <w:lang w:val="cs-CZ"/>
        </w:rPr>
        <w:t>n.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3A56F5" w:rsidRPr="00DF6451">
        <w:rPr>
          <w:rFonts w:asciiTheme="minorHAnsi" w:hAnsiTheme="minorHAnsi" w:cstheme="minorHAnsi"/>
          <w:lang w:val="cs-CZ"/>
        </w:rPr>
        <w:t xml:space="preserve">L. </w:t>
      </w:r>
      <w:r w:rsidR="00F926FA" w:rsidRPr="00DF6451">
        <w:rPr>
          <w:rFonts w:asciiTheme="minorHAnsi" w:hAnsiTheme="minorHAnsi" w:cstheme="minorHAnsi"/>
          <w:lang w:val="cs-CZ"/>
        </w:rPr>
        <w:t>se tak dopustilo diskriminačního jednání.</w:t>
      </w:r>
      <w:r w:rsidR="005A53E0" w:rsidRPr="00DF6451">
        <w:rPr>
          <w:rFonts w:asciiTheme="minorHAnsi" w:hAnsiTheme="minorHAnsi" w:cstheme="minorHAnsi"/>
          <w:lang w:val="cs-CZ"/>
        </w:rPr>
        <w:t xml:space="preserve"> </w:t>
      </w:r>
      <w:r w:rsidR="00562595"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562595" w:rsidRPr="00DF6451">
        <w:rPr>
          <w:rFonts w:asciiTheme="minorHAnsi" w:eastAsia="Calibri" w:hAnsiTheme="minorHAnsi" w:cstheme="minorHAnsi"/>
          <w:bCs/>
          <w:lang w:val="cs-CZ"/>
        </w:rPr>
        <w:t>Ústí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562595" w:rsidRPr="00DF6451">
        <w:rPr>
          <w:rFonts w:asciiTheme="minorHAnsi" w:hAnsiTheme="minorHAnsi" w:cstheme="minorHAnsi"/>
          <w:lang w:val="cs-CZ"/>
        </w:rPr>
        <w:t>n.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562595" w:rsidRPr="00DF6451">
        <w:rPr>
          <w:rFonts w:asciiTheme="minorHAnsi" w:hAnsiTheme="minorHAnsi" w:cstheme="minorHAnsi"/>
          <w:lang w:val="cs-CZ"/>
        </w:rPr>
        <w:t xml:space="preserve">L. </w:t>
      </w:r>
      <w:r w:rsidR="00990E7B">
        <w:rPr>
          <w:rFonts w:asciiTheme="minorHAnsi" w:hAnsiTheme="minorHAnsi" w:cstheme="minorHAnsi"/>
          <w:lang w:val="cs-CZ"/>
        </w:rPr>
        <w:t>tím</w:t>
      </w:r>
      <w:r w:rsidR="00562595" w:rsidRPr="00DF6451">
        <w:rPr>
          <w:rFonts w:asciiTheme="minorHAnsi" w:hAnsiTheme="minorHAnsi" w:cstheme="minorHAnsi"/>
          <w:lang w:val="cs-CZ"/>
        </w:rPr>
        <w:t xml:space="preserve"> porušilo povinnost </w:t>
      </w:r>
      <w:r w:rsidR="00154D31" w:rsidRPr="00DF6451">
        <w:rPr>
          <w:rFonts w:asciiTheme="minorHAnsi" w:hAnsiTheme="minorHAnsi" w:cstheme="minorHAnsi"/>
          <w:lang w:val="cs-CZ"/>
        </w:rPr>
        <w:t xml:space="preserve">uloženou </w:t>
      </w:r>
      <w:r w:rsidR="00562595" w:rsidRPr="00DF6451">
        <w:rPr>
          <w:rFonts w:asciiTheme="minorHAnsi" w:hAnsiTheme="minorHAnsi" w:cstheme="minorHAnsi"/>
          <w:lang w:val="cs-CZ"/>
        </w:rPr>
        <w:t>ustanovení</w:t>
      </w:r>
      <w:r w:rsidR="00154D31" w:rsidRPr="00DF6451">
        <w:rPr>
          <w:rFonts w:asciiTheme="minorHAnsi" w:hAnsiTheme="minorHAnsi" w:cstheme="minorHAnsi"/>
          <w:lang w:val="cs-CZ"/>
        </w:rPr>
        <w:t>m</w:t>
      </w:r>
      <w:r w:rsidR="00562595" w:rsidRPr="00DF6451">
        <w:rPr>
          <w:rFonts w:asciiTheme="minorHAnsi" w:hAnsiTheme="minorHAnsi" w:cstheme="minorHAnsi"/>
          <w:lang w:val="cs-CZ"/>
        </w:rPr>
        <w:t xml:space="preserve"> §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562595" w:rsidRPr="00DF6451">
        <w:rPr>
          <w:rFonts w:asciiTheme="minorHAnsi" w:hAnsiTheme="minorHAnsi" w:cstheme="minorHAnsi"/>
          <w:lang w:val="cs-CZ"/>
        </w:rPr>
        <w:t>18 odst.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562595" w:rsidRPr="00DF6451">
        <w:rPr>
          <w:rFonts w:asciiTheme="minorHAnsi" w:hAnsiTheme="minorHAnsi" w:cstheme="minorHAnsi"/>
          <w:lang w:val="cs-CZ"/>
        </w:rPr>
        <w:t>5 zákona o veřejných zakázkách</w:t>
      </w:r>
      <w:r w:rsidR="00562595" w:rsidRPr="00DF6451">
        <w:rPr>
          <w:rFonts w:asciiTheme="minorHAnsi" w:hAnsiTheme="minorHAnsi" w:cstheme="minorHAnsi"/>
          <w:vertAlign w:val="superscript"/>
          <w:lang w:val="cs-CZ"/>
        </w:rPr>
        <w:t>3</w:t>
      </w:r>
      <w:r w:rsidR="00562595" w:rsidRPr="00DF6451">
        <w:rPr>
          <w:rFonts w:asciiTheme="minorHAnsi" w:hAnsiTheme="minorHAnsi" w:cstheme="minorHAnsi"/>
          <w:lang w:val="cs-CZ"/>
        </w:rPr>
        <w:t>.</w:t>
      </w:r>
    </w:p>
    <w:p w:rsidR="00DF6451" w:rsidRPr="00DF6451" w:rsidRDefault="00DF6451" w:rsidP="00DF6451">
      <w:pPr>
        <w:rPr>
          <w:rFonts w:ascii="Calibri" w:hAnsi="Calibri" w:cs="Calibri"/>
          <w:lang w:val="cs-CZ"/>
        </w:rPr>
      </w:pPr>
    </w:p>
    <w:p w:rsidR="00F926FA" w:rsidRDefault="00F926FA" w:rsidP="00DF6451">
      <w:pPr>
        <w:rPr>
          <w:rFonts w:ascii="Calibri" w:eastAsiaTheme="minorHAns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t>5.</w:t>
      </w:r>
      <w:r w:rsidR="00052BD2">
        <w:rPr>
          <w:rFonts w:ascii="Calibr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>Zvířata</w:t>
      </w:r>
    </w:p>
    <w:p w:rsidR="00DF6451" w:rsidRPr="00DF6451" w:rsidRDefault="00DF6451" w:rsidP="00DF6451">
      <w:pPr>
        <w:rPr>
          <w:rFonts w:ascii="Calibri" w:eastAsiaTheme="minorHAnsi" w:hAnsi="Calibri" w:cs="Calibri"/>
          <w:lang w:val="cs-CZ"/>
        </w:rPr>
      </w:pP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Praha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neúčtovalo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o </w:t>
      </w:r>
      <w:r w:rsidR="00B52E98" w:rsidRPr="00DF6451">
        <w:rPr>
          <w:rFonts w:asciiTheme="minorHAnsi" w:eastAsia="Calibri" w:hAnsiTheme="minorHAnsi" w:cstheme="minorHAnsi"/>
          <w:bCs/>
          <w:lang w:val="cs-CZ"/>
        </w:rPr>
        <w:t>pořízení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B17F5C" w:rsidRPr="00DF6451">
        <w:rPr>
          <w:rFonts w:asciiTheme="minorHAnsi" w:eastAsia="Calibri" w:hAnsiTheme="minorHAnsi" w:cstheme="minorHAnsi"/>
          <w:bCs/>
          <w:lang w:val="cs-CZ"/>
        </w:rPr>
        <w:t>dvou služebních psů a dvou služebních koní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účetním období</w:t>
      </w:r>
      <w:r w:rsidR="00B17F5C" w:rsidRPr="00DF6451">
        <w:rPr>
          <w:rFonts w:asciiTheme="minorHAnsi" w:eastAsia="Calibri" w:hAnsiTheme="minorHAnsi" w:cstheme="minorHAnsi"/>
          <w:bCs/>
          <w:lang w:val="cs-CZ"/>
        </w:rPr>
        <w:t xml:space="preserve"> roku 2012</w:t>
      </w:r>
      <w:r w:rsidRPr="00DF6451">
        <w:rPr>
          <w:rFonts w:asciiTheme="minorHAnsi" w:eastAsia="Calibri" w:hAnsiTheme="minorHAnsi" w:cstheme="minorHAnsi"/>
          <w:bCs/>
          <w:lang w:val="cs-CZ"/>
        </w:rPr>
        <w:t>, s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nímž toto </w:t>
      </w:r>
      <w:r w:rsidR="00B52E98" w:rsidRPr="00DF6451">
        <w:rPr>
          <w:rFonts w:asciiTheme="minorHAnsi" w:eastAsia="Calibri" w:hAnsiTheme="minorHAnsi" w:cstheme="minorHAnsi"/>
          <w:bCs/>
          <w:lang w:val="cs-CZ"/>
        </w:rPr>
        <w:t>pořízení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časově a věcně souviselo. Zároveň 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B16DC5" w:rsidRPr="00DF6451">
        <w:rPr>
          <w:rFonts w:asciiTheme="minorHAnsi" w:eastAsia="Calibri" w:hAnsiTheme="minorHAnsi" w:cstheme="minorHAnsi"/>
          <w:bCs/>
          <w:lang w:val="cs-CZ"/>
        </w:rPr>
        <w:t>Praha při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inventarizaci služebních zvířat 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31.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12.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2012 nezjistilo skutečný stav služebních zvířat. </w:t>
      </w:r>
      <w:r w:rsidRPr="00DF6451">
        <w:rPr>
          <w:rFonts w:asciiTheme="minorHAnsi" w:eastAsia="Calibri" w:hAnsiTheme="minorHAnsi" w:cstheme="minorHAnsi"/>
          <w:bCs/>
          <w:lang w:val="cs-CZ"/>
        </w:rPr>
        <w:lastRenderedPageBreak/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Praha mělo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době inventarizace příslušnost hospodařit k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uvedeným služebním zvířatům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celkové účetní hodnotě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220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001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Kč, a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však t</w:t>
      </w:r>
      <w:r w:rsidR="009272D3" w:rsidRPr="00DF6451">
        <w:rPr>
          <w:rFonts w:asciiTheme="minorHAnsi" w:eastAsia="Calibri" w:hAnsiTheme="minorHAnsi" w:cstheme="minorHAnsi"/>
          <w:bCs/>
          <w:lang w:val="cs-CZ"/>
        </w:rPr>
        <w:t>a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to zvířata nezahrnulo do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inventurních soupisů. Účetnictví KŘ</w:t>
      </w:r>
      <w:r w:rsidR="009272D3" w:rsidRPr="00DF6451">
        <w:rPr>
          <w:rFonts w:asciiTheme="minorHAnsi" w:eastAsia="Calibri" w:hAnsiTheme="minorHAnsi" w:cstheme="minorHAnsi"/>
          <w:bCs/>
          <w:lang w:val="cs-CZ"/>
        </w:rPr>
        <w:t>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Praha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účetním období </w:t>
      </w:r>
      <w:r w:rsidR="00520A85">
        <w:rPr>
          <w:rFonts w:asciiTheme="minorHAnsi" w:eastAsia="Calibri" w:hAnsiTheme="minorHAnsi" w:cstheme="minorHAnsi"/>
          <w:bCs/>
          <w:lang w:val="cs-CZ"/>
        </w:rPr>
        <w:t>roku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2012 </w:t>
      </w:r>
      <w:r w:rsidR="00B17F5C" w:rsidRPr="00DF6451">
        <w:rPr>
          <w:rFonts w:asciiTheme="minorHAnsi" w:eastAsia="Calibri" w:hAnsiTheme="minorHAnsi" w:cstheme="minorHAnsi"/>
          <w:bCs/>
          <w:lang w:val="cs-CZ"/>
        </w:rPr>
        <w:t xml:space="preserve">tak </w:t>
      </w:r>
      <w:r w:rsidRPr="00DF6451">
        <w:rPr>
          <w:rFonts w:asciiTheme="minorHAnsi" w:eastAsia="Calibri" w:hAnsiTheme="minorHAnsi" w:cstheme="minorHAnsi"/>
          <w:bCs/>
          <w:lang w:val="cs-CZ"/>
        </w:rPr>
        <w:t>nebylo úplné.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lang w:val="cs-CZ"/>
        </w:rPr>
      </w:pPr>
      <w:r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Ostrava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="00B17F5C" w:rsidRPr="00DF6451">
        <w:rPr>
          <w:rFonts w:asciiTheme="minorHAnsi" w:hAnsiTheme="minorHAnsi" w:cstheme="minorHAnsi"/>
          <w:lang w:val="cs-CZ"/>
        </w:rPr>
        <w:t xml:space="preserve">neúčtovalo </w:t>
      </w:r>
      <w:r w:rsidRPr="00DF6451">
        <w:rPr>
          <w:rFonts w:asciiTheme="minorHAnsi" w:hAnsiTheme="minorHAnsi" w:cstheme="minorHAnsi"/>
          <w:lang w:val="cs-CZ"/>
        </w:rPr>
        <w:t>o bezúplatném pořízení služebního psa</w:t>
      </w:r>
      <w:r w:rsidR="00B17F5C" w:rsidRPr="00DF6451">
        <w:rPr>
          <w:rFonts w:asciiTheme="minorHAnsi" w:hAnsiTheme="minorHAnsi" w:cstheme="minorHAnsi"/>
          <w:lang w:val="cs-CZ"/>
        </w:rPr>
        <w:t xml:space="preserve">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B17F5C" w:rsidRPr="00DF6451">
        <w:rPr>
          <w:rFonts w:asciiTheme="minorHAnsi" w:hAnsiTheme="minorHAnsi" w:cstheme="minorHAnsi"/>
          <w:lang w:val="cs-CZ"/>
        </w:rPr>
        <w:t>účetní hodnotě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B17F5C" w:rsidRPr="00DF6451">
        <w:rPr>
          <w:rFonts w:asciiTheme="minorHAnsi" w:hAnsiTheme="minorHAnsi" w:cstheme="minorHAnsi"/>
          <w:lang w:val="cs-CZ"/>
        </w:rPr>
        <w:t>8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B17F5C" w:rsidRPr="00DF6451">
        <w:rPr>
          <w:rFonts w:asciiTheme="minorHAnsi" w:hAnsiTheme="minorHAnsi" w:cstheme="minorHAnsi"/>
          <w:lang w:val="cs-CZ"/>
        </w:rPr>
        <w:t>000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Pr="00DF6451">
        <w:rPr>
          <w:rFonts w:asciiTheme="minorHAnsi" w:hAnsiTheme="minorHAnsi" w:cstheme="minorHAnsi"/>
          <w:lang w:val="cs-CZ"/>
        </w:rPr>
        <w:t>Kč do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účetního období roku 201</w:t>
      </w:r>
      <w:r w:rsidR="00E239DC" w:rsidRPr="00DF6451">
        <w:rPr>
          <w:rFonts w:asciiTheme="minorHAnsi" w:hAnsiTheme="minorHAnsi" w:cstheme="minorHAnsi"/>
          <w:lang w:val="cs-CZ"/>
        </w:rPr>
        <w:t>1</w:t>
      </w:r>
      <w:r w:rsidRPr="00DF6451">
        <w:rPr>
          <w:rFonts w:asciiTheme="minorHAnsi" w:hAnsiTheme="minorHAnsi" w:cstheme="minorHAnsi"/>
          <w:lang w:val="cs-CZ"/>
        </w:rPr>
        <w:t xml:space="preserve">, </w:t>
      </w:r>
      <w:r w:rsidR="00E239DC" w:rsidRPr="00DF6451">
        <w:rPr>
          <w:rFonts w:asciiTheme="minorHAnsi" w:eastAsia="Calibri" w:hAnsiTheme="minorHAnsi" w:cstheme="minorHAnsi"/>
          <w:bCs/>
          <w:lang w:val="cs-CZ"/>
        </w:rPr>
        <w:t>s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E239DC" w:rsidRPr="00DF6451">
        <w:rPr>
          <w:rFonts w:asciiTheme="minorHAnsi" w:eastAsia="Calibri" w:hAnsiTheme="minorHAnsi" w:cstheme="minorHAnsi"/>
          <w:bCs/>
          <w:lang w:val="cs-CZ"/>
        </w:rPr>
        <w:t xml:space="preserve">nímž toto </w:t>
      </w:r>
      <w:r w:rsidR="00B52E98" w:rsidRPr="00DF6451">
        <w:rPr>
          <w:rFonts w:asciiTheme="minorHAnsi" w:eastAsia="Calibri" w:hAnsiTheme="minorHAnsi" w:cstheme="minorHAnsi"/>
          <w:bCs/>
          <w:lang w:val="cs-CZ"/>
        </w:rPr>
        <w:t>pořízení</w:t>
      </w:r>
      <w:r w:rsidR="00E239DC" w:rsidRPr="00DF6451">
        <w:rPr>
          <w:rFonts w:asciiTheme="minorHAnsi" w:eastAsia="Calibri" w:hAnsiTheme="minorHAnsi" w:cstheme="minorHAnsi"/>
          <w:bCs/>
          <w:lang w:val="cs-CZ"/>
        </w:rPr>
        <w:t xml:space="preserve"> časově a věcně souviselo, ale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E239DC" w:rsidRPr="00DF6451">
        <w:rPr>
          <w:rFonts w:asciiTheme="minorHAnsi" w:eastAsia="Calibri" w:hAnsiTheme="minorHAnsi" w:cstheme="minorHAnsi"/>
          <w:bCs/>
          <w:lang w:val="cs-CZ"/>
        </w:rPr>
        <w:t>účetním období roku 2012.</w:t>
      </w:r>
      <w:r w:rsidRPr="00DF6451">
        <w:rPr>
          <w:rFonts w:asciiTheme="minorHAnsi" w:hAnsiTheme="minorHAnsi" w:cstheme="minorHAnsi"/>
          <w:lang w:val="cs-CZ"/>
        </w:rPr>
        <w:t xml:space="preserve"> Účetnictví 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 xml:space="preserve">Ostrava </w:t>
      </w:r>
      <w:r w:rsidR="005A3551">
        <w:rPr>
          <w:rFonts w:asciiTheme="minorHAnsi" w:hAnsiTheme="minorHAnsi" w:cstheme="minorHAnsi"/>
          <w:lang w:val="cs-CZ"/>
        </w:rPr>
        <w:t xml:space="preserve">tak </w:t>
      </w:r>
      <w:r w:rsidR="00E239DC" w:rsidRPr="00DF6451">
        <w:rPr>
          <w:rFonts w:asciiTheme="minorHAnsi" w:hAnsiTheme="minorHAnsi" w:cstheme="minorHAnsi"/>
          <w:lang w:val="cs-CZ"/>
        </w:rPr>
        <w:t>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E239DC" w:rsidRPr="00DF6451">
        <w:rPr>
          <w:rFonts w:asciiTheme="minorHAnsi" w:hAnsiTheme="minorHAnsi" w:cstheme="minorHAnsi"/>
          <w:lang w:val="cs-CZ"/>
        </w:rPr>
        <w:t>účetní</w:t>
      </w:r>
      <w:r w:rsidR="00520A85">
        <w:rPr>
          <w:rFonts w:asciiTheme="minorHAnsi" w:hAnsiTheme="minorHAnsi" w:cstheme="minorHAnsi"/>
          <w:lang w:val="cs-CZ"/>
        </w:rPr>
        <w:t>ch</w:t>
      </w:r>
      <w:r w:rsidR="00E239DC" w:rsidRPr="00DF6451">
        <w:rPr>
          <w:rFonts w:asciiTheme="minorHAnsi" w:hAnsiTheme="minorHAnsi" w:cstheme="minorHAnsi"/>
          <w:lang w:val="cs-CZ"/>
        </w:rPr>
        <w:t xml:space="preserve"> období</w:t>
      </w:r>
      <w:r w:rsidR="00520A85">
        <w:rPr>
          <w:rFonts w:asciiTheme="minorHAnsi" w:hAnsiTheme="minorHAnsi" w:cstheme="minorHAnsi"/>
          <w:lang w:val="cs-CZ"/>
        </w:rPr>
        <w:t>ch</w:t>
      </w:r>
      <w:r w:rsidR="00E239DC" w:rsidRPr="00DF6451">
        <w:rPr>
          <w:rFonts w:asciiTheme="minorHAnsi" w:hAnsiTheme="minorHAnsi" w:cstheme="minorHAnsi"/>
          <w:lang w:val="cs-CZ"/>
        </w:rPr>
        <w:t xml:space="preserve"> </w:t>
      </w:r>
      <w:r w:rsidR="00520A85">
        <w:rPr>
          <w:rFonts w:asciiTheme="minorHAnsi" w:hAnsiTheme="minorHAnsi" w:cstheme="minorHAnsi"/>
          <w:lang w:val="cs-CZ"/>
        </w:rPr>
        <w:t>let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2011 a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Pr="00DF6451">
        <w:rPr>
          <w:rFonts w:asciiTheme="minorHAnsi" w:hAnsiTheme="minorHAnsi" w:cstheme="minorHAnsi"/>
          <w:lang w:val="cs-CZ"/>
        </w:rPr>
        <w:t xml:space="preserve">2012 nebylo správné a úplné. Dále </w:t>
      </w:r>
      <w:r w:rsidR="00B17F5C" w:rsidRPr="00DF6451">
        <w:rPr>
          <w:rFonts w:asciiTheme="minorHAnsi" w:hAnsiTheme="minorHAnsi" w:cstheme="minorHAnsi"/>
          <w:lang w:val="cs-CZ"/>
        </w:rPr>
        <w:t>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B17F5C" w:rsidRPr="00DF6451">
        <w:rPr>
          <w:rFonts w:asciiTheme="minorHAnsi" w:hAnsiTheme="minorHAnsi" w:cstheme="minorHAnsi"/>
          <w:lang w:val="cs-CZ"/>
        </w:rPr>
        <w:t xml:space="preserve">Ostrava </w:t>
      </w:r>
      <w:r w:rsidR="00E239DC" w:rsidRPr="00DF6451">
        <w:rPr>
          <w:rFonts w:asciiTheme="minorHAnsi" w:hAnsiTheme="minorHAnsi" w:cstheme="minorHAnsi"/>
          <w:lang w:val="cs-CZ"/>
        </w:rPr>
        <w:t xml:space="preserve">neúčtovalo </w:t>
      </w:r>
      <w:r w:rsidRPr="00DF6451">
        <w:rPr>
          <w:rFonts w:asciiTheme="minorHAnsi" w:hAnsiTheme="minorHAnsi" w:cstheme="minorHAnsi"/>
          <w:lang w:val="cs-CZ"/>
        </w:rPr>
        <w:t>o vyřazení služebního psa</w:t>
      </w:r>
      <w:r w:rsidR="002D68FD" w:rsidRPr="00DF6451">
        <w:rPr>
          <w:rFonts w:asciiTheme="minorHAnsi" w:hAnsiTheme="minorHAnsi" w:cstheme="minorHAnsi"/>
          <w:lang w:val="cs-CZ"/>
        </w:rPr>
        <w:t xml:space="preserve"> z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="002D68FD" w:rsidRPr="00DF6451">
        <w:rPr>
          <w:rFonts w:asciiTheme="minorHAnsi" w:hAnsiTheme="minorHAnsi" w:cstheme="minorHAnsi"/>
          <w:lang w:val="cs-CZ"/>
        </w:rPr>
        <w:t>evidence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="00E239DC" w:rsidRPr="00DF6451">
        <w:rPr>
          <w:rFonts w:asciiTheme="minorHAnsi" w:hAnsiTheme="minorHAnsi" w:cstheme="minorHAnsi"/>
          <w:lang w:val="cs-CZ"/>
        </w:rPr>
        <w:t>v účetní hodnotě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E239DC" w:rsidRPr="00DF6451">
        <w:rPr>
          <w:rFonts w:asciiTheme="minorHAnsi" w:hAnsiTheme="minorHAnsi" w:cstheme="minorHAnsi"/>
          <w:lang w:val="cs-CZ"/>
        </w:rPr>
        <w:t>25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E239DC" w:rsidRPr="00DF6451">
        <w:rPr>
          <w:rFonts w:asciiTheme="minorHAnsi" w:hAnsiTheme="minorHAnsi" w:cstheme="minorHAnsi"/>
          <w:lang w:val="cs-CZ"/>
        </w:rPr>
        <w:t>000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E239DC" w:rsidRPr="00DF6451">
        <w:rPr>
          <w:rFonts w:asciiTheme="minorHAnsi" w:hAnsiTheme="minorHAnsi" w:cstheme="minorHAnsi"/>
          <w:lang w:val="cs-CZ"/>
        </w:rPr>
        <w:t>Kč v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E239DC" w:rsidRPr="00DF6451">
        <w:rPr>
          <w:rFonts w:asciiTheme="minorHAnsi" w:hAnsiTheme="minorHAnsi" w:cstheme="minorHAnsi"/>
          <w:lang w:val="cs-CZ"/>
        </w:rPr>
        <w:t xml:space="preserve">účetním období </w:t>
      </w:r>
      <w:r w:rsidR="00520A85">
        <w:rPr>
          <w:rFonts w:asciiTheme="minorHAnsi" w:hAnsiTheme="minorHAnsi" w:cstheme="minorHAnsi"/>
          <w:lang w:val="cs-CZ"/>
        </w:rPr>
        <w:t xml:space="preserve">roku </w:t>
      </w:r>
      <w:r w:rsidR="00E239DC" w:rsidRPr="00DF6451">
        <w:rPr>
          <w:rFonts w:asciiTheme="minorHAnsi" w:hAnsiTheme="minorHAnsi" w:cstheme="minorHAnsi"/>
          <w:lang w:val="cs-CZ"/>
        </w:rPr>
        <w:t>2013,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="00E239DC" w:rsidRPr="00DF6451">
        <w:rPr>
          <w:rFonts w:asciiTheme="minorHAnsi" w:eastAsia="Calibri" w:hAnsiTheme="minorHAnsi" w:cstheme="minorHAnsi"/>
          <w:bCs/>
          <w:lang w:val="cs-CZ"/>
        </w:rPr>
        <w:t>s</w:t>
      </w:r>
      <w:r w:rsidR="00520A85">
        <w:rPr>
          <w:rFonts w:asciiTheme="minorHAnsi" w:eastAsia="Calibri" w:hAnsiTheme="minorHAnsi" w:cstheme="minorHAnsi"/>
          <w:bCs/>
          <w:lang w:val="cs-CZ"/>
        </w:rPr>
        <w:t> </w:t>
      </w:r>
      <w:r w:rsidR="00E239DC" w:rsidRPr="00DF6451">
        <w:rPr>
          <w:rFonts w:asciiTheme="minorHAnsi" w:eastAsia="Calibri" w:hAnsiTheme="minorHAnsi" w:cstheme="minorHAnsi"/>
          <w:bCs/>
          <w:lang w:val="cs-CZ"/>
        </w:rPr>
        <w:t xml:space="preserve">nímž toto </w:t>
      </w:r>
      <w:r w:rsidR="00520A85">
        <w:rPr>
          <w:rFonts w:asciiTheme="minorHAnsi" w:eastAsia="Calibri" w:hAnsiTheme="minorHAnsi" w:cstheme="minorHAnsi"/>
          <w:bCs/>
          <w:lang w:val="cs-CZ"/>
        </w:rPr>
        <w:t>vyřazení</w:t>
      </w:r>
      <w:r w:rsidR="00E239DC" w:rsidRPr="00DF6451">
        <w:rPr>
          <w:rFonts w:asciiTheme="minorHAnsi" w:eastAsia="Calibri" w:hAnsiTheme="minorHAnsi" w:cstheme="minorHAnsi"/>
          <w:bCs/>
          <w:lang w:val="cs-CZ"/>
        </w:rPr>
        <w:t xml:space="preserve"> časově a věcně souviselo, </w:t>
      </w:r>
      <w:r w:rsidR="00E239DC" w:rsidRPr="00DF6451">
        <w:rPr>
          <w:rFonts w:asciiTheme="minorHAnsi" w:hAnsiTheme="minorHAnsi" w:cstheme="minorHAnsi"/>
          <w:lang w:val="cs-CZ"/>
        </w:rPr>
        <w:t xml:space="preserve">ale v </w:t>
      </w:r>
      <w:r w:rsidRPr="00DF6451">
        <w:rPr>
          <w:rFonts w:asciiTheme="minorHAnsi" w:hAnsiTheme="minorHAnsi" w:cstheme="minorHAnsi"/>
          <w:lang w:val="cs-CZ"/>
        </w:rPr>
        <w:t>účetní</w:t>
      </w:r>
      <w:r w:rsidR="00E239DC" w:rsidRPr="00DF6451">
        <w:rPr>
          <w:rFonts w:asciiTheme="minorHAnsi" w:hAnsiTheme="minorHAnsi" w:cstheme="minorHAnsi"/>
          <w:lang w:val="cs-CZ"/>
        </w:rPr>
        <w:t>m</w:t>
      </w:r>
      <w:r w:rsidRPr="00DF6451">
        <w:rPr>
          <w:rFonts w:asciiTheme="minorHAnsi" w:hAnsiTheme="minorHAnsi" w:cstheme="minorHAnsi"/>
          <w:lang w:val="cs-CZ"/>
        </w:rPr>
        <w:t xml:space="preserve"> období roku 2014</w:t>
      </w:r>
      <w:r w:rsidR="00E239DC" w:rsidRPr="00DF6451">
        <w:rPr>
          <w:rFonts w:asciiTheme="minorHAnsi" w:hAnsiTheme="minorHAnsi" w:cstheme="minorHAnsi"/>
          <w:lang w:val="cs-CZ"/>
        </w:rPr>
        <w:t>.</w:t>
      </w:r>
      <w:r w:rsidRPr="00DF6451">
        <w:rPr>
          <w:rFonts w:asciiTheme="minorHAnsi" w:hAnsiTheme="minorHAnsi" w:cstheme="minorHAnsi"/>
          <w:lang w:val="cs-CZ"/>
        </w:rPr>
        <w:t xml:space="preserve"> Účetnictví KŘP</w:t>
      </w:r>
      <w:r w:rsidR="00D005DD" w:rsidRPr="00DF6451">
        <w:rPr>
          <w:rFonts w:asciiTheme="minorHAnsi" w:hAnsiTheme="minorHAnsi" w:cstheme="minorHAnsi"/>
          <w:lang w:val="cs-CZ"/>
        </w:rPr>
        <w:t xml:space="preserve"> </w:t>
      </w:r>
      <w:r w:rsidRPr="00DF6451">
        <w:rPr>
          <w:rFonts w:asciiTheme="minorHAnsi" w:hAnsiTheme="minorHAnsi" w:cstheme="minorHAnsi"/>
          <w:lang w:val="cs-CZ"/>
        </w:rPr>
        <w:t>Ostrava v</w:t>
      </w:r>
      <w:r w:rsidR="00EC780C" w:rsidRPr="00DF6451">
        <w:rPr>
          <w:rFonts w:asciiTheme="minorHAnsi" w:hAnsiTheme="minorHAnsi" w:cstheme="minorHAnsi"/>
          <w:lang w:val="cs-CZ"/>
        </w:rPr>
        <w:t> </w:t>
      </w:r>
      <w:r w:rsidRPr="00DF6451">
        <w:rPr>
          <w:rFonts w:asciiTheme="minorHAnsi" w:hAnsiTheme="minorHAnsi" w:cstheme="minorHAnsi"/>
          <w:lang w:val="cs-CZ"/>
        </w:rPr>
        <w:t>účetní</w:t>
      </w:r>
      <w:r w:rsidR="00520A85">
        <w:rPr>
          <w:rFonts w:asciiTheme="minorHAnsi" w:hAnsiTheme="minorHAnsi" w:cstheme="minorHAnsi"/>
          <w:lang w:val="cs-CZ"/>
        </w:rPr>
        <w:t>ch</w:t>
      </w:r>
      <w:r w:rsidRPr="00DF6451">
        <w:rPr>
          <w:rFonts w:asciiTheme="minorHAnsi" w:hAnsiTheme="minorHAnsi" w:cstheme="minorHAnsi"/>
          <w:lang w:val="cs-CZ"/>
        </w:rPr>
        <w:t xml:space="preserve"> období</w:t>
      </w:r>
      <w:r w:rsidR="00520A85">
        <w:rPr>
          <w:rFonts w:asciiTheme="minorHAnsi" w:hAnsiTheme="minorHAnsi" w:cstheme="minorHAnsi"/>
          <w:lang w:val="cs-CZ"/>
        </w:rPr>
        <w:t>ch</w:t>
      </w:r>
      <w:r w:rsidRPr="00DF6451">
        <w:rPr>
          <w:rFonts w:asciiTheme="minorHAnsi" w:hAnsiTheme="minorHAnsi" w:cstheme="minorHAnsi"/>
          <w:lang w:val="cs-CZ"/>
        </w:rPr>
        <w:t xml:space="preserve"> </w:t>
      </w:r>
      <w:r w:rsidR="00520A85">
        <w:rPr>
          <w:rFonts w:asciiTheme="minorHAnsi" w:hAnsiTheme="minorHAnsi" w:cstheme="minorHAnsi"/>
          <w:lang w:val="cs-CZ"/>
        </w:rPr>
        <w:t>let</w:t>
      </w:r>
      <w:r w:rsidRPr="00DF6451">
        <w:rPr>
          <w:rFonts w:asciiTheme="minorHAnsi" w:hAnsiTheme="minorHAnsi" w:cstheme="minorHAnsi"/>
          <w:lang w:val="cs-CZ"/>
        </w:rPr>
        <w:t xml:space="preserve"> 2013 a 2014 </w:t>
      </w:r>
      <w:r w:rsidR="00E239DC" w:rsidRPr="00DF6451">
        <w:rPr>
          <w:rFonts w:asciiTheme="minorHAnsi" w:hAnsiTheme="minorHAnsi" w:cstheme="minorHAnsi"/>
          <w:lang w:val="cs-CZ"/>
        </w:rPr>
        <w:t xml:space="preserve">tak </w:t>
      </w:r>
      <w:r w:rsidR="00520A85">
        <w:rPr>
          <w:rFonts w:asciiTheme="minorHAnsi" w:hAnsiTheme="minorHAnsi" w:cstheme="minorHAnsi"/>
          <w:lang w:val="cs-CZ"/>
        </w:rPr>
        <w:t>nebylo správné a </w:t>
      </w:r>
      <w:r w:rsidRPr="00DF6451">
        <w:rPr>
          <w:rFonts w:asciiTheme="minorHAnsi" w:hAnsiTheme="minorHAnsi" w:cstheme="minorHAnsi"/>
          <w:lang w:val="cs-CZ"/>
        </w:rPr>
        <w:t>úplné.</w:t>
      </w:r>
    </w:p>
    <w:p w:rsidR="00DF6451" w:rsidRPr="00DF6451" w:rsidRDefault="00DF6451" w:rsidP="00DF6451">
      <w:pPr>
        <w:rPr>
          <w:rFonts w:ascii="Calibri" w:hAnsi="Calibri" w:cs="Calibri"/>
          <w:lang w:val="cs-CZ"/>
        </w:rPr>
      </w:pPr>
    </w:p>
    <w:p w:rsidR="00F926FA" w:rsidRDefault="00F926FA" w:rsidP="00DF6451">
      <w:pPr>
        <w:rPr>
          <w:rFonts w:ascii="Calibri" w:eastAsiaTheme="minorHAns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t>6.</w:t>
      </w:r>
      <w:r w:rsidR="00052BD2">
        <w:rPr>
          <w:rFonts w:ascii="Calibr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>Ostatní movité věci a drobný dlouhodobý hmotný majetek</w:t>
      </w:r>
    </w:p>
    <w:p w:rsidR="00DF6451" w:rsidRPr="00DF6451" w:rsidRDefault="00DF6451" w:rsidP="00DF6451">
      <w:pPr>
        <w:rPr>
          <w:rFonts w:ascii="Calibri" w:eastAsiaTheme="minorHAnsi" w:hAnsi="Calibri" w:cs="Calibri"/>
          <w:lang w:val="cs-CZ"/>
        </w:rPr>
      </w:pPr>
    </w:p>
    <w:p w:rsidR="00F926FA" w:rsidRPr="00DF6451" w:rsidRDefault="00E239DC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Praha zahrnulo do inventurních soupisů skladu Strahov sestaven</w:t>
      </w:r>
      <w:r w:rsidR="00C51C7D">
        <w:rPr>
          <w:rFonts w:asciiTheme="minorHAnsi" w:eastAsia="Calibri" w:hAnsiTheme="minorHAnsi" w:cstheme="minorHAnsi"/>
          <w:bCs/>
          <w:lang w:val="cs-CZ"/>
        </w:rPr>
        <w:t>ých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k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31.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12.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2013 a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k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31.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12.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2014 mj. i m</w:t>
      </w:r>
      <w:r w:rsidR="00F926FA" w:rsidRPr="00DF6451">
        <w:rPr>
          <w:rFonts w:asciiTheme="minorHAnsi" w:hAnsiTheme="minorHAnsi" w:cstheme="minorHAnsi"/>
          <w:lang w:val="cs-CZ"/>
        </w:rPr>
        <w:t>ajetkové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hAnsiTheme="minorHAnsi" w:cstheme="minorHAnsi"/>
          <w:lang w:val="cs-CZ"/>
        </w:rPr>
        <w:t>položky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 xml:space="preserve"> kancelářského nábytku pořízené na základě kupní smlouvy ze dne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9.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12.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2013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celkové pořizo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>vací ceně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>10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>210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>294,60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C2F79" w:rsidRPr="00DF6451">
        <w:rPr>
          <w:rFonts w:asciiTheme="minorHAnsi" w:eastAsia="Calibri" w:hAnsiTheme="minorHAnsi" w:cstheme="minorHAnsi"/>
          <w:bCs/>
          <w:lang w:val="cs-CZ"/>
        </w:rPr>
        <w:t xml:space="preserve">Kč a na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základě kupní smlouvy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ze dne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11.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12.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2014 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>celkové p</w:t>
      </w:r>
      <w:r w:rsidRPr="00DF6451">
        <w:rPr>
          <w:rFonts w:asciiTheme="minorHAnsi" w:eastAsia="Calibri" w:hAnsiTheme="minorHAnsi" w:cstheme="minorHAnsi"/>
          <w:bCs/>
          <w:lang w:val="cs-CZ"/>
        </w:rPr>
        <w:t>ořizovací ceně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10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013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887,40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Kč. </w:t>
      </w:r>
      <w:r w:rsidR="00520A85">
        <w:rPr>
          <w:rFonts w:asciiTheme="minorHAnsi" w:eastAsia="Calibri" w:hAnsiTheme="minorHAnsi" w:cstheme="minorHAnsi"/>
          <w:bCs/>
          <w:lang w:val="cs-CZ"/>
        </w:rPr>
        <w:t>Tyto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majetkové položky však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 xml:space="preserve"> byly ve skutečnosti uloženy ve smyslu uvedených kupních smluv ve skladových prostor</w:t>
      </w:r>
      <w:r w:rsidR="00520A85">
        <w:rPr>
          <w:rFonts w:asciiTheme="minorHAnsi" w:eastAsia="Calibri" w:hAnsiTheme="minorHAnsi" w:cstheme="minorHAnsi"/>
          <w:bCs/>
          <w:lang w:val="cs-CZ"/>
        </w:rPr>
        <w:t>ách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 xml:space="preserve"> prodávajícího</w:t>
      </w:r>
      <w:r w:rsidR="00520A85">
        <w:rPr>
          <w:rFonts w:asciiTheme="minorHAnsi" w:eastAsia="Calibri" w:hAnsiTheme="minorHAnsi" w:cstheme="minorHAnsi"/>
          <w:bCs/>
          <w:lang w:val="cs-CZ"/>
        </w:rPr>
        <w:t>,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a ne v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prostorách 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Praha </w:t>
      </w:r>
      <w:r w:rsidR="00520A85">
        <w:rPr>
          <w:rFonts w:asciiTheme="minorHAnsi" w:eastAsia="Calibri" w:hAnsiTheme="minorHAnsi" w:cstheme="minorHAnsi"/>
          <w:bCs/>
          <w:lang w:val="cs-CZ"/>
        </w:rPr>
        <w:t xml:space="preserve">ve </w:t>
      </w:r>
      <w:r w:rsidRPr="00DF6451">
        <w:rPr>
          <w:rFonts w:asciiTheme="minorHAnsi" w:eastAsia="Calibri" w:hAnsiTheme="minorHAnsi" w:cstheme="minorHAnsi"/>
          <w:bCs/>
          <w:lang w:val="cs-CZ"/>
        </w:rPr>
        <w:t>skladu Strahov</w:t>
      </w:r>
      <w:r w:rsidR="00F926FA" w:rsidRPr="00DF6451">
        <w:rPr>
          <w:rFonts w:asciiTheme="minorHAnsi" w:eastAsia="Calibri" w:hAnsiTheme="minorHAnsi" w:cstheme="minorHAnsi"/>
          <w:bCs/>
          <w:lang w:val="cs-CZ"/>
        </w:rPr>
        <w:t xml:space="preserve">. </w:t>
      </w:r>
      <w:r w:rsidRPr="00DF6451">
        <w:rPr>
          <w:rFonts w:asciiTheme="minorHAnsi" w:eastAsia="Calibri" w:hAnsiTheme="minorHAnsi" w:cstheme="minorHAnsi"/>
          <w:bCs/>
          <w:lang w:val="cs-CZ"/>
        </w:rPr>
        <w:t>KŘ</w:t>
      </w:r>
      <w:r w:rsidR="000A252C" w:rsidRPr="00DF6451">
        <w:rPr>
          <w:rFonts w:asciiTheme="minorHAnsi" w:eastAsia="Calibri" w:hAnsiTheme="minorHAnsi" w:cstheme="minorHAnsi"/>
          <w:bCs/>
          <w:lang w:val="cs-CZ"/>
        </w:rPr>
        <w:t>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Praha však informaci o této skutečnosti v</w:t>
      </w:r>
      <w:r w:rsidR="00C51C7D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příslušných inventurních soupisech neuvedlo.</w:t>
      </w: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H.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Králové při uzavírání smluv o bezúplatném převodu pěti elektrocentrál v</w:t>
      </w:r>
      <w:r w:rsidR="00EC780C" w:rsidRPr="00DF6451">
        <w:rPr>
          <w:rFonts w:asciiTheme="minorHAnsi" w:eastAsia="Calibri" w:hAnsiTheme="minorHAnsi" w:cstheme="minorHAnsi"/>
          <w:bCs/>
          <w:lang w:val="cs-CZ"/>
        </w:rPr>
        <w:t> </w:t>
      </w:r>
      <w:r w:rsidRPr="00DF6451">
        <w:rPr>
          <w:rFonts w:asciiTheme="minorHAnsi" w:eastAsia="Calibri" w:hAnsiTheme="minorHAnsi" w:cstheme="minorHAnsi"/>
          <w:bCs/>
          <w:lang w:val="cs-CZ"/>
        </w:rPr>
        <w:t>pořizovací ceně 188 500 Kč na obce nesjednalo zajištění toho</w:t>
      </w:r>
      <w:r w:rsidR="000A252C" w:rsidRPr="00DF6451">
        <w:rPr>
          <w:rFonts w:asciiTheme="minorHAnsi" w:eastAsia="Calibri" w:hAnsiTheme="minorHAnsi" w:cstheme="minorHAnsi"/>
          <w:bCs/>
          <w:lang w:val="cs-CZ"/>
        </w:rPr>
        <w:t>, aby byl naplněn veřejný zájem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formou smluvního závazku ke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konkrétnímu způsobu užívání nabytého majetku.</w:t>
      </w:r>
    </w:p>
    <w:p w:rsidR="00DF6451" w:rsidRPr="00DF6451" w:rsidRDefault="00DF6451" w:rsidP="00DF6451">
      <w:pPr>
        <w:rPr>
          <w:rFonts w:ascii="Calibri" w:hAnsi="Calibri" w:cs="Calibri"/>
          <w:lang w:val="cs-CZ"/>
        </w:rPr>
      </w:pPr>
    </w:p>
    <w:p w:rsidR="00F926FA" w:rsidRDefault="00F926FA" w:rsidP="00DF6451">
      <w:pPr>
        <w:rPr>
          <w:rFonts w:ascii="Calibri" w:eastAsiaTheme="minorHAnsi" w:hAnsi="Calibri" w:cs="Calibri"/>
          <w:b/>
          <w:lang w:val="cs-CZ"/>
        </w:rPr>
      </w:pPr>
      <w:r w:rsidRPr="00DF6451">
        <w:rPr>
          <w:rFonts w:ascii="Calibri" w:hAnsi="Calibri" w:cs="Calibri"/>
          <w:b/>
          <w:lang w:val="cs-CZ"/>
        </w:rPr>
        <w:t>7.</w:t>
      </w:r>
      <w:r w:rsidR="00052BD2">
        <w:rPr>
          <w:rFonts w:ascii="Calibri" w:hAnsi="Calibri" w:cs="Calibri"/>
          <w:b/>
          <w:lang w:val="cs-CZ"/>
        </w:rPr>
        <w:t xml:space="preserve"> </w:t>
      </w:r>
      <w:r w:rsidRPr="00DF6451">
        <w:rPr>
          <w:rFonts w:ascii="Calibri" w:eastAsiaTheme="minorHAnsi" w:hAnsi="Calibri" w:cs="Calibri"/>
          <w:b/>
          <w:lang w:val="cs-CZ"/>
        </w:rPr>
        <w:t>Vybrané náklady</w:t>
      </w:r>
    </w:p>
    <w:p w:rsidR="00DF6451" w:rsidRPr="00DF6451" w:rsidRDefault="00DF6451" w:rsidP="00DF6451">
      <w:pPr>
        <w:rPr>
          <w:rFonts w:ascii="Calibri" w:eastAsiaTheme="minorHAnsi" w:hAnsi="Calibri" w:cs="Calibri"/>
          <w:lang w:val="cs-CZ"/>
        </w:rPr>
      </w:pPr>
    </w:p>
    <w:p w:rsidR="00F926FA" w:rsidRPr="00DF6451" w:rsidRDefault="00F926FA" w:rsidP="00DF6451">
      <w:pPr>
        <w:numPr>
          <w:ilvl w:val="0"/>
          <w:numId w:val="2"/>
        </w:numPr>
        <w:ind w:left="357" w:hanging="357"/>
        <w:jc w:val="both"/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t>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Ostrava </w:t>
      </w:r>
      <w:r w:rsidR="006D0EFF" w:rsidRPr="00DF6451">
        <w:rPr>
          <w:rFonts w:asciiTheme="minorHAnsi" w:eastAsia="Calibri" w:hAnsiTheme="minorHAnsi" w:cstheme="minorHAnsi"/>
          <w:bCs/>
          <w:lang w:val="cs-CZ"/>
        </w:rPr>
        <w:t xml:space="preserve">neúčtovalo </w:t>
      </w:r>
      <w:r w:rsidR="008200D8" w:rsidRPr="00DF6451">
        <w:rPr>
          <w:rFonts w:asciiTheme="minorHAnsi" w:eastAsia="Calibri" w:hAnsiTheme="minorHAnsi" w:cstheme="minorHAnsi"/>
          <w:bCs/>
          <w:lang w:val="cs-CZ"/>
        </w:rPr>
        <w:t>v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8200D8" w:rsidRPr="00DF6451">
        <w:rPr>
          <w:rFonts w:asciiTheme="minorHAnsi" w:eastAsia="Calibri" w:hAnsiTheme="minorHAnsi" w:cstheme="minorHAnsi"/>
          <w:bCs/>
          <w:lang w:val="cs-CZ"/>
        </w:rPr>
        <w:t xml:space="preserve">účetních obdobích let 2012, 2013 a 2014 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o nákladech </w:t>
      </w:r>
      <w:r w:rsidR="00F263DE" w:rsidRPr="00DF6451">
        <w:rPr>
          <w:rFonts w:asciiTheme="minorHAnsi" w:eastAsia="Calibri" w:hAnsiTheme="minorHAnsi" w:cstheme="minorHAnsi"/>
          <w:bCs/>
          <w:lang w:val="cs-CZ"/>
        </w:rPr>
        <w:t>na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převoz</w:t>
      </w:r>
      <w:r w:rsidR="006D0EFF" w:rsidRPr="00DF6451">
        <w:rPr>
          <w:rFonts w:asciiTheme="minorHAnsi" w:eastAsia="Calibri" w:hAnsiTheme="minorHAnsi" w:cstheme="minorHAnsi"/>
          <w:bCs/>
          <w:lang w:val="cs-CZ"/>
        </w:rPr>
        <w:t>y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ze</w:t>
      </w:r>
      <w:r w:rsidR="006D0EFF" w:rsidRPr="00DF6451">
        <w:rPr>
          <w:rFonts w:asciiTheme="minorHAnsi" w:eastAsia="Calibri" w:hAnsiTheme="minorHAnsi" w:cstheme="minorHAnsi"/>
          <w:bCs/>
          <w:lang w:val="cs-CZ"/>
        </w:rPr>
        <w:t>mřelých k pitvám v celkové výši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22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760 Kč do účetních období, s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Pr="00DF6451">
        <w:rPr>
          <w:rFonts w:asciiTheme="minorHAnsi" w:eastAsia="Calibri" w:hAnsiTheme="minorHAnsi" w:cstheme="minorHAnsi"/>
          <w:bCs/>
          <w:lang w:val="cs-CZ"/>
        </w:rPr>
        <w:t>nimiž tyto náklady časově a věcně souvisely. Účetnictví KŘP</w:t>
      </w:r>
      <w:r w:rsidR="00D005DD"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6D0EFF" w:rsidRPr="00DF6451">
        <w:rPr>
          <w:rFonts w:asciiTheme="minorHAnsi" w:eastAsia="Calibri" w:hAnsiTheme="minorHAnsi" w:cstheme="minorHAnsi"/>
          <w:bCs/>
          <w:lang w:val="cs-CZ"/>
        </w:rPr>
        <w:t>Ostrava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v účetní</w:t>
      </w:r>
      <w:r w:rsidR="00520A85">
        <w:rPr>
          <w:rFonts w:asciiTheme="minorHAnsi" w:eastAsia="Calibri" w:hAnsiTheme="minorHAnsi" w:cstheme="minorHAnsi"/>
          <w:bCs/>
          <w:lang w:val="cs-CZ"/>
        </w:rPr>
        <w:t>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období</w:t>
      </w:r>
      <w:r w:rsidR="00520A85">
        <w:rPr>
          <w:rFonts w:asciiTheme="minorHAnsi" w:eastAsia="Calibri" w:hAnsiTheme="minorHAnsi" w:cstheme="minorHAnsi"/>
          <w:bCs/>
          <w:lang w:val="cs-CZ"/>
        </w:rPr>
        <w:t>ch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</w:t>
      </w:r>
      <w:r w:rsidR="006D0EFF" w:rsidRPr="00DF6451">
        <w:rPr>
          <w:rFonts w:asciiTheme="minorHAnsi" w:eastAsia="Calibri" w:hAnsiTheme="minorHAnsi" w:cstheme="minorHAnsi"/>
          <w:bCs/>
          <w:lang w:val="cs-CZ"/>
        </w:rPr>
        <w:t>let</w:t>
      </w:r>
      <w:r w:rsidRPr="00DF6451">
        <w:rPr>
          <w:rFonts w:asciiTheme="minorHAnsi" w:eastAsia="Calibri" w:hAnsiTheme="minorHAnsi" w:cstheme="minorHAnsi"/>
          <w:bCs/>
          <w:lang w:val="cs-CZ"/>
        </w:rPr>
        <w:t xml:space="preserve"> 2012, 2013 a 2014 </w:t>
      </w:r>
      <w:r w:rsidR="006D0EFF" w:rsidRPr="00DF6451">
        <w:rPr>
          <w:rFonts w:asciiTheme="minorHAnsi" w:eastAsia="Calibri" w:hAnsiTheme="minorHAnsi" w:cstheme="minorHAnsi"/>
          <w:bCs/>
          <w:lang w:val="cs-CZ"/>
        </w:rPr>
        <w:t xml:space="preserve">tak </w:t>
      </w:r>
      <w:r w:rsidRPr="00DF6451">
        <w:rPr>
          <w:rFonts w:asciiTheme="minorHAnsi" w:eastAsia="Calibri" w:hAnsiTheme="minorHAnsi" w:cstheme="minorHAnsi"/>
          <w:bCs/>
          <w:lang w:val="cs-CZ"/>
        </w:rPr>
        <w:t>nebylo správné a úplné.</w:t>
      </w:r>
    </w:p>
    <w:p w:rsidR="00EC780C" w:rsidRPr="00DF6451" w:rsidRDefault="00EC780C" w:rsidP="00DF6451">
      <w:pPr>
        <w:rPr>
          <w:rFonts w:asciiTheme="minorHAnsi" w:eastAsia="Calibri" w:hAnsiTheme="minorHAnsi" w:cstheme="minorHAnsi"/>
          <w:bCs/>
          <w:lang w:val="cs-CZ"/>
        </w:rPr>
      </w:pPr>
      <w:r w:rsidRPr="00DF6451">
        <w:rPr>
          <w:rFonts w:asciiTheme="minorHAnsi" w:eastAsia="Calibri" w:hAnsiTheme="minorHAnsi" w:cstheme="minorHAnsi"/>
          <w:bCs/>
          <w:lang w:val="cs-CZ"/>
        </w:rPr>
        <w:br w:type="page"/>
      </w:r>
    </w:p>
    <w:p w:rsidR="00F926FA" w:rsidRPr="005A0E20" w:rsidRDefault="00F926FA" w:rsidP="005A0E20">
      <w:pPr>
        <w:jc w:val="right"/>
        <w:rPr>
          <w:rFonts w:asciiTheme="minorHAnsi" w:hAnsiTheme="minorHAnsi" w:cstheme="minorHAnsi"/>
          <w:bCs/>
          <w:spacing w:val="-4"/>
          <w:lang w:val="cs-CZ"/>
        </w:rPr>
      </w:pPr>
      <w:r w:rsidRPr="005A0E20">
        <w:rPr>
          <w:rFonts w:asciiTheme="minorHAnsi" w:hAnsiTheme="minorHAnsi" w:cstheme="minorHAnsi"/>
          <w:b/>
          <w:lang w:val="cs-CZ"/>
        </w:rPr>
        <w:lastRenderedPageBreak/>
        <w:t>Příloha</w:t>
      </w:r>
    </w:p>
    <w:p w:rsidR="00B17F5C" w:rsidRPr="005A0E20" w:rsidRDefault="00B17F5C" w:rsidP="005A0E20">
      <w:pPr>
        <w:jc w:val="both"/>
        <w:rPr>
          <w:rFonts w:asciiTheme="minorHAnsi" w:hAnsiTheme="minorHAnsi" w:cstheme="minorHAnsi"/>
          <w:b/>
          <w:lang w:val="cs-CZ"/>
        </w:rPr>
      </w:pPr>
    </w:p>
    <w:p w:rsidR="00F926FA" w:rsidRPr="00C65CFB" w:rsidRDefault="00F926FA" w:rsidP="005A0E20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  <w:b/>
          <w:lang w:val="cs-CZ"/>
        </w:rPr>
      </w:pPr>
      <w:r w:rsidRPr="005A0E20">
        <w:rPr>
          <w:rFonts w:asciiTheme="minorHAnsi" w:hAnsiTheme="minorHAnsi" w:cstheme="minorHAnsi"/>
          <w:b/>
          <w:lang w:val="cs-CZ"/>
        </w:rPr>
        <w:t>Tabulka</w:t>
      </w:r>
      <w:r w:rsidR="00D005DD" w:rsidRPr="005A0E20">
        <w:rPr>
          <w:rFonts w:asciiTheme="minorHAnsi" w:hAnsiTheme="minorHAnsi" w:cstheme="minorHAnsi"/>
          <w:b/>
          <w:lang w:val="cs-CZ"/>
        </w:rPr>
        <w:t xml:space="preserve"> </w:t>
      </w:r>
      <w:r w:rsidRPr="005A0E20">
        <w:rPr>
          <w:rFonts w:asciiTheme="minorHAnsi" w:hAnsiTheme="minorHAnsi" w:cstheme="minorHAnsi"/>
          <w:b/>
          <w:lang w:val="cs-CZ"/>
        </w:rPr>
        <w:t>A</w:t>
      </w:r>
      <w:r w:rsidR="00052BD2">
        <w:rPr>
          <w:rFonts w:asciiTheme="minorHAnsi" w:hAnsiTheme="minorHAnsi" w:cstheme="minorHAnsi"/>
          <w:b/>
          <w:lang w:val="cs-CZ"/>
        </w:rPr>
        <w:t xml:space="preserve"> –</w:t>
      </w:r>
      <w:r w:rsidRPr="005A0E20">
        <w:rPr>
          <w:rFonts w:asciiTheme="minorHAnsi" w:hAnsiTheme="minorHAnsi" w:cstheme="minorHAnsi"/>
          <w:b/>
          <w:lang w:val="cs-CZ"/>
        </w:rPr>
        <w:t xml:space="preserve"> </w:t>
      </w:r>
      <w:r w:rsidR="00273F2B" w:rsidRPr="00C65CFB">
        <w:rPr>
          <w:rFonts w:ascii="Calibri" w:hAnsi="Calibri" w:cs="Calibri"/>
          <w:b/>
          <w:color w:val="000000"/>
          <w:lang w:val="cs-CZ"/>
        </w:rPr>
        <w:t xml:space="preserve">Brutto hodnota aktiv </w:t>
      </w:r>
      <w:r w:rsidR="00C52A3A" w:rsidRPr="00C65CFB">
        <w:rPr>
          <w:rFonts w:ascii="Calibri" w:hAnsi="Calibri" w:cs="Calibri"/>
          <w:b/>
          <w:color w:val="000000"/>
          <w:lang w:val="cs-CZ"/>
        </w:rPr>
        <w:t>kontrolovan</w:t>
      </w:r>
      <w:r w:rsidR="00273F2B" w:rsidRPr="00C65CFB">
        <w:rPr>
          <w:rFonts w:ascii="Calibri" w:hAnsi="Calibri" w:cs="Calibri"/>
          <w:b/>
          <w:color w:val="000000"/>
          <w:lang w:val="cs-CZ"/>
        </w:rPr>
        <w:t>ých KŘP</w:t>
      </w:r>
      <w:r w:rsidR="000A3438" w:rsidRPr="00C65CFB">
        <w:rPr>
          <w:rFonts w:ascii="Calibri" w:hAnsi="Calibri" w:cs="Calibri"/>
          <w:b/>
          <w:color w:val="000000"/>
          <w:lang w:val="cs-CZ"/>
        </w:rPr>
        <w:tab/>
        <w:t>(</w:t>
      </w:r>
      <w:r w:rsidR="00273F2B" w:rsidRPr="00C65CFB">
        <w:rPr>
          <w:rFonts w:ascii="Calibri" w:hAnsi="Calibri" w:cs="Calibri"/>
          <w:b/>
          <w:color w:val="000000"/>
          <w:lang w:val="cs-CZ"/>
        </w:rPr>
        <w:t>v Kč</w:t>
      </w:r>
      <w:r w:rsidR="000A3438" w:rsidRPr="00C65CFB">
        <w:rPr>
          <w:rFonts w:ascii="Calibri" w:hAnsi="Calibri" w:cs="Calibri"/>
          <w:b/>
          <w:color w:val="000000"/>
          <w:lang w:val="cs-CZ"/>
        </w:rPr>
        <w:t>)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956"/>
        <w:gridCol w:w="1389"/>
        <w:gridCol w:w="1389"/>
        <w:gridCol w:w="1389"/>
        <w:gridCol w:w="1389"/>
        <w:gridCol w:w="1389"/>
      </w:tblGrid>
      <w:tr w:rsidR="005A0E20" w:rsidRPr="00CA1C13" w:rsidTr="005A0E20">
        <w:trPr>
          <w:trHeight w:val="283"/>
        </w:trPr>
        <w:tc>
          <w:tcPr>
            <w:tcW w:w="21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0E20" w:rsidRPr="00CA1C13" w:rsidRDefault="005A0E20" w:rsidP="00CA1C1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CA1C1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Stav </w:t>
            </w:r>
            <w:r w:rsidRPr="00CA1C13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 xml:space="preserve">(brutto) </w:t>
            </w:r>
            <w:r w:rsidRPr="00CA1C13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>k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  <w:r w:rsidRPr="00CA1C13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val="cs-CZ"/>
              </w:rPr>
              <w:t>31. 12. 2014</w:t>
            </w:r>
          </w:p>
        </w:tc>
      </w:tr>
      <w:tr w:rsidR="005A0E20" w:rsidRPr="00CA1C13" w:rsidTr="005A0E20">
        <w:trPr>
          <w:trHeight w:val="283"/>
        </w:trPr>
        <w:tc>
          <w:tcPr>
            <w:tcW w:w="213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0E20" w:rsidRPr="00C65CFB" w:rsidRDefault="005A0E20" w:rsidP="00F926F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Praha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0E20" w:rsidRPr="00C65CFB" w:rsidRDefault="005A0E20" w:rsidP="00F926F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Ostrava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0E20" w:rsidRPr="00C65CFB" w:rsidRDefault="005A0E20" w:rsidP="00F926F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Č. Budějovice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0E20" w:rsidRPr="00C65CFB" w:rsidRDefault="005A0E20" w:rsidP="00F926F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Ústí n. L.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0E20" w:rsidRPr="00C65CFB" w:rsidRDefault="005A0E20" w:rsidP="00F926F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H. Králové</w:t>
            </w:r>
          </w:p>
        </w:tc>
      </w:tr>
      <w:tr w:rsidR="005A0E20" w:rsidRPr="00F926FA" w:rsidTr="005A0E20">
        <w:trPr>
          <w:trHeight w:val="283"/>
        </w:trPr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AKTIVA CELKEM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4 766 570 002,08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3 541 186 813,81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3 463 806 417,40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3 307 412 952,05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2 648 572 987,47   </w:t>
            </w:r>
          </w:p>
        </w:tc>
      </w:tr>
      <w:tr w:rsidR="005A0E20" w:rsidRPr="00F926FA" w:rsidTr="005A0E20">
        <w:trPr>
          <w:trHeight w:val="283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Stálá aktiva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4 225 436 206,54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3 206 902 102,35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3 227 376 482,01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2 947 917 253,42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2 447 870 940,58   </w:t>
            </w:r>
          </w:p>
        </w:tc>
      </w:tr>
      <w:tr w:rsidR="005A0E20" w:rsidRPr="00F926FA" w:rsidTr="005A0E20">
        <w:trPr>
          <w:trHeight w:val="283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>DNM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124 622 005,41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119 535 350,52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143 671 745,21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126 487 973,26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103 591 664,44   </w:t>
            </w:r>
          </w:p>
        </w:tc>
      </w:tr>
      <w:tr w:rsidR="005A0E20" w:rsidRPr="00F926FA" w:rsidTr="005A0E20">
        <w:trPr>
          <w:trHeight w:val="283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>DHM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4 100 814 201,13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3 087 366 751,83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3 083 704 736,80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2 821 429 280,16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2 344 279 285,14   </w:t>
            </w:r>
          </w:p>
        </w:tc>
      </w:tr>
      <w:tr w:rsidR="005A0E20" w:rsidRPr="00F926FA" w:rsidTr="005A0E20">
        <w:trPr>
          <w:trHeight w:val="283"/>
        </w:trPr>
        <w:tc>
          <w:tcPr>
            <w:tcW w:w="1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Pozemky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291 710 463,51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50 645 555,51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79 537 707,02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61 971 415,25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45 451 252,00   </w:t>
            </w:r>
          </w:p>
        </w:tc>
      </w:tr>
      <w:tr w:rsidR="005A0E20" w:rsidRPr="00F926FA" w:rsidTr="005A0E20">
        <w:trPr>
          <w:trHeight w:val="283"/>
        </w:trPr>
        <w:tc>
          <w:tcPr>
            <w:tcW w:w="1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Stavby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1 468 864 736,66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1 339 362 690,77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1 582 518 042,97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1 151 661 023,10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1 128 027 664,76   </w:t>
            </w:r>
          </w:p>
        </w:tc>
      </w:tr>
      <w:tr w:rsidR="005A0E20" w:rsidRPr="00F926FA" w:rsidTr="005A0E20">
        <w:trPr>
          <w:trHeight w:val="283"/>
        </w:trPr>
        <w:tc>
          <w:tcPr>
            <w:tcW w:w="1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Samostatné movité věci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1 309 025 021,04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1 094 166 252,19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871 327 035,23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972 745 578,68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786 485 855,42   </w:t>
            </w:r>
          </w:p>
        </w:tc>
      </w:tr>
      <w:tr w:rsidR="005A0E20" w:rsidRPr="00F926FA" w:rsidTr="005A0E20">
        <w:trPr>
          <w:trHeight w:val="283"/>
        </w:trPr>
        <w:tc>
          <w:tcPr>
            <w:tcW w:w="1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Drobný DHM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cs-CZ"/>
              </w:rPr>
              <w:t xml:space="preserve">965 357 313,42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585 879 252,36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507 797 426,32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535 862 158,56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359 544 200,52   </w:t>
            </w:r>
          </w:p>
        </w:tc>
      </w:tr>
      <w:tr w:rsidR="005A0E20" w:rsidRPr="00F926FA" w:rsidTr="005A0E20">
        <w:trPr>
          <w:trHeight w:val="283"/>
        </w:trPr>
        <w:tc>
          <w:tcPr>
            <w:tcW w:w="1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Nedokončený DHM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65 753 611,70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916 001,00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41 632 707,50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80 715 427,27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13 204 512,44   </w:t>
            </w:r>
          </w:p>
        </w:tc>
      </w:tr>
      <w:tr w:rsidR="005A0E20" w:rsidRPr="00F926FA" w:rsidTr="005A0E20">
        <w:trPr>
          <w:trHeight w:val="283"/>
        </w:trPr>
        <w:tc>
          <w:tcPr>
            <w:tcW w:w="1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Zbylý DHM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103 054,80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16 397 000,00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351 600,00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458 243,30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</w:tr>
      <w:tr w:rsidR="005A0E20" w:rsidRPr="00F926FA" w:rsidTr="005A0E20">
        <w:trPr>
          <w:trHeight w:val="283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>Dlouhodobý finanční majetek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</w:tr>
      <w:tr w:rsidR="005A0E20" w:rsidRPr="00F926FA" w:rsidTr="005A0E20">
        <w:trPr>
          <w:trHeight w:val="283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>Dlouhodobé pohledávky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</w:tr>
      <w:tr w:rsidR="005A0E20" w:rsidRPr="00F926FA" w:rsidTr="005A0E20">
        <w:trPr>
          <w:trHeight w:val="283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Oběžná aktiva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541 133 795,54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334 284 711,46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236 429 935,13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359 495 698,63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E20" w:rsidRPr="00F926FA" w:rsidRDefault="005A0E20" w:rsidP="00F926FA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200 702 037,89   </w:t>
            </w:r>
          </w:p>
        </w:tc>
      </w:tr>
    </w:tbl>
    <w:p w:rsidR="00F926FA" w:rsidRPr="005A0E20" w:rsidRDefault="00F926FA" w:rsidP="005A0E20">
      <w:pPr>
        <w:spacing w:before="40"/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C65CFB">
        <w:rPr>
          <w:rFonts w:ascii="Calibri" w:hAnsi="Calibri" w:cs="Calibri"/>
          <w:b/>
          <w:sz w:val="20"/>
          <w:szCs w:val="20"/>
          <w:lang w:val="cs-CZ"/>
        </w:rPr>
        <w:t>Zdroj:</w:t>
      </w:r>
      <w:r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7C4A31">
        <w:rPr>
          <w:rFonts w:ascii="Calibri" w:hAnsi="Calibri" w:cs="Calibri"/>
          <w:sz w:val="20"/>
          <w:szCs w:val="20"/>
          <w:lang w:val="cs-CZ"/>
        </w:rPr>
        <w:t>ú</w:t>
      </w:r>
      <w:r w:rsidRPr="005A0E20">
        <w:rPr>
          <w:rFonts w:ascii="Calibri" w:hAnsi="Calibri" w:cs="Calibri"/>
          <w:sz w:val="20"/>
          <w:szCs w:val="20"/>
          <w:lang w:val="cs-CZ"/>
        </w:rPr>
        <w:t xml:space="preserve">četní závěrky </w:t>
      </w:r>
      <w:r w:rsidR="009334FD" w:rsidRPr="005A0E20">
        <w:rPr>
          <w:rFonts w:ascii="Calibri" w:hAnsi="Calibri" w:cs="Calibri"/>
          <w:sz w:val="20"/>
          <w:szCs w:val="20"/>
          <w:lang w:val="cs-CZ"/>
        </w:rPr>
        <w:t>kontrolovanýc</w:t>
      </w:r>
      <w:r w:rsidRPr="005A0E20">
        <w:rPr>
          <w:rFonts w:ascii="Calibri" w:hAnsi="Calibri" w:cs="Calibri"/>
          <w:sz w:val="20"/>
          <w:szCs w:val="20"/>
          <w:lang w:val="cs-CZ"/>
        </w:rPr>
        <w:t>h KŘP sestavené k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5A0E20">
        <w:rPr>
          <w:rFonts w:ascii="Calibri" w:hAnsi="Calibri" w:cs="Calibri"/>
          <w:sz w:val="20"/>
          <w:szCs w:val="20"/>
          <w:lang w:val="cs-CZ"/>
        </w:rPr>
        <w:t>31.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5A0E20">
        <w:rPr>
          <w:rFonts w:ascii="Calibri" w:hAnsi="Calibri" w:cs="Calibri"/>
          <w:sz w:val="20"/>
          <w:szCs w:val="20"/>
          <w:lang w:val="cs-CZ"/>
        </w:rPr>
        <w:t>12.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5A0E20">
        <w:rPr>
          <w:rFonts w:ascii="Calibri" w:hAnsi="Calibri" w:cs="Calibri"/>
          <w:sz w:val="20"/>
          <w:szCs w:val="20"/>
          <w:lang w:val="cs-CZ"/>
        </w:rPr>
        <w:t>2014.</w:t>
      </w:r>
    </w:p>
    <w:p w:rsidR="00F926FA" w:rsidRPr="005A0E20" w:rsidRDefault="00F926FA" w:rsidP="005A0E20">
      <w:pPr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C65CFB">
        <w:rPr>
          <w:rFonts w:ascii="Calibri" w:hAnsi="Calibri" w:cs="Calibri"/>
          <w:b/>
          <w:sz w:val="20"/>
          <w:szCs w:val="20"/>
          <w:lang w:val="cs-CZ"/>
        </w:rPr>
        <w:t>Pozn.:</w:t>
      </w:r>
      <w:r w:rsidRPr="005A0E20">
        <w:rPr>
          <w:rFonts w:ascii="Calibri" w:hAnsi="Calibri" w:cs="Calibri"/>
          <w:sz w:val="20"/>
          <w:szCs w:val="20"/>
          <w:lang w:val="cs-CZ"/>
        </w:rPr>
        <w:tab/>
        <w:t>DNM – dlouhodobý nehmotný majetek</w:t>
      </w:r>
      <w:r w:rsidR="00520A85">
        <w:rPr>
          <w:rFonts w:ascii="Calibri" w:hAnsi="Calibri" w:cs="Calibri"/>
          <w:sz w:val="20"/>
          <w:szCs w:val="20"/>
          <w:lang w:val="cs-CZ"/>
        </w:rPr>
        <w:t>.</w:t>
      </w:r>
    </w:p>
    <w:p w:rsidR="00F926FA" w:rsidRPr="005A0E20" w:rsidRDefault="00F926FA" w:rsidP="005A0E20">
      <w:pPr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5A0E20">
        <w:rPr>
          <w:rFonts w:ascii="Calibri" w:hAnsi="Calibri" w:cs="Calibri"/>
          <w:sz w:val="20"/>
          <w:szCs w:val="20"/>
          <w:lang w:val="cs-CZ"/>
        </w:rPr>
        <w:tab/>
        <w:t>DHM – dlouhodobý hmotný majetek.</w:t>
      </w:r>
    </w:p>
    <w:p w:rsidR="00B17F5C" w:rsidRDefault="00B17F5C" w:rsidP="005A0E20">
      <w:pPr>
        <w:jc w:val="both"/>
        <w:rPr>
          <w:rFonts w:asciiTheme="minorHAnsi" w:hAnsiTheme="minorHAnsi" w:cstheme="minorHAnsi"/>
          <w:b/>
          <w:lang w:val="cs-CZ"/>
        </w:rPr>
      </w:pPr>
    </w:p>
    <w:p w:rsidR="00F926FA" w:rsidRPr="005F32F2" w:rsidRDefault="00F926FA" w:rsidP="005A0E20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  <w:lang w:val="cs-CZ"/>
        </w:rPr>
      </w:pPr>
      <w:r w:rsidRPr="00F926FA">
        <w:rPr>
          <w:rFonts w:asciiTheme="minorHAnsi" w:hAnsiTheme="minorHAnsi" w:cstheme="minorHAnsi"/>
          <w:b/>
          <w:lang w:val="cs-CZ"/>
        </w:rPr>
        <w:t>Tabulka</w:t>
      </w:r>
      <w:r w:rsidR="00D005DD">
        <w:rPr>
          <w:rFonts w:asciiTheme="minorHAnsi" w:hAnsiTheme="minorHAnsi" w:cstheme="minorHAnsi"/>
          <w:b/>
          <w:lang w:val="cs-CZ"/>
        </w:rPr>
        <w:t xml:space="preserve"> </w:t>
      </w:r>
      <w:r w:rsidRPr="00F926FA">
        <w:rPr>
          <w:rFonts w:asciiTheme="minorHAnsi" w:hAnsiTheme="minorHAnsi" w:cstheme="minorHAnsi"/>
          <w:b/>
          <w:lang w:val="cs-CZ"/>
        </w:rPr>
        <w:t>B</w:t>
      </w:r>
      <w:r w:rsidR="00052BD2">
        <w:rPr>
          <w:rFonts w:asciiTheme="minorHAnsi" w:hAnsiTheme="minorHAnsi" w:cstheme="minorHAnsi"/>
          <w:b/>
          <w:lang w:val="cs-CZ"/>
        </w:rPr>
        <w:t xml:space="preserve"> –</w:t>
      </w:r>
      <w:r w:rsidRPr="00F926FA">
        <w:rPr>
          <w:rFonts w:asciiTheme="minorHAnsi" w:hAnsiTheme="minorHAnsi" w:cstheme="minorHAnsi"/>
          <w:b/>
          <w:lang w:val="cs-CZ"/>
        </w:rPr>
        <w:t xml:space="preserve"> </w:t>
      </w:r>
      <w:r w:rsidR="009334FD" w:rsidRPr="00C65CFB">
        <w:rPr>
          <w:rFonts w:asciiTheme="minorHAnsi" w:hAnsiTheme="minorHAnsi" w:cstheme="minorHAnsi"/>
          <w:b/>
          <w:lang w:val="cs-CZ"/>
        </w:rPr>
        <w:t>H</w:t>
      </w:r>
      <w:r w:rsidR="00273F2B" w:rsidRPr="00C65CFB">
        <w:rPr>
          <w:rFonts w:ascii="Calibri" w:hAnsi="Calibri" w:cs="Calibri"/>
          <w:b/>
          <w:color w:val="000000"/>
          <w:lang w:val="cs-CZ"/>
        </w:rPr>
        <w:t xml:space="preserve">odnota </w:t>
      </w:r>
      <w:r w:rsidR="009334FD" w:rsidRPr="00C65CFB">
        <w:rPr>
          <w:rFonts w:ascii="Calibri" w:hAnsi="Calibri" w:cs="Calibri"/>
          <w:b/>
          <w:color w:val="000000"/>
          <w:lang w:val="cs-CZ"/>
        </w:rPr>
        <w:t>majetku kontrolova</w:t>
      </w:r>
      <w:r w:rsidR="00273F2B" w:rsidRPr="00C65CFB">
        <w:rPr>
          <w:rFonts w:ascii="Calibri" w:hAnsi="Calibri" w:cs="Calibri"/>
          <w:b/>
          <w:color w:val="000000"/>
          <w:lang w:val="cs-CZ"/>
        </w:rPr>
        <w:t>ných KŘP na jednoho zaměstnance</w:t>
      </w:r>
      <w:r w:rsidR="000A3438" w:rsidRPr="00C65CFB">
        <w:rPr>
          <w:rFonts w:ascii="Calibri" w:hAnsi="Calibri" w:cs="Calibri"/>
          <w:b/>
          <w:color w:val="000000"/>
          <w:lang w:val="cs-CZ"/>
        </w:rPr>
        <w:tab/>
        <w:t>(</w:t>
      </w:r>
      <w:r w:rsidR="00273F2B" w:rsidRPr="00C65CFB">
        <w:rPr>
          <w:rFonts w:ascii="Calibri" w:hAnsi="Calibri" w:cs="Calibri"/>
          <w:b/>
          <w:color w:val="000000"/>
          <w:lang w:val="cs-CZ"/>
        </w:rPr>
        <w:t>v</w:t>
      </w:r>
      <w:r w:rsidR="00D005DD" w:rsidRPr="00C65CFB">
        <w:rPr>
          <w:rFonts w:ascii="Calibri" w:hAnsi="Calibri" w:cs="Calibri"/>
          <w:b/>
          <w:color w:val="000000"/>
          <w:lang w:val="cs-CZ"/>
        </w:rPr>
        <w:t xml:space="preserve"> </w:t>
      </w:r>
      <w:r w:rsidR="00273F2B" w:rsidRPr="00C65CFB">
        <w:rPr>
          <w:rFonts w:ascii="Calibri" w:hAnsi="Calibri" w:cs="Calibri"/>
          <w:b/>
          <w:color w:val="000000"/>
          <w:lang w:val="cs-CZ"/>
        </w:rPr>
        <w:t>Kč</w:t>
      </w:r>
      <w:r w:rsidR="000A3438" w:rsidRPr="00C65CFB">
        <w:rPr>
          <w:rFonts w:ascii="Calibri" w:hAnsi="Calibri" w:cs="Calibri"/>
          <w:b/>
          <w:color w:val="000000"/>
          <w:lang w:val="cs-CZ"/>
        </w:rPr>
        <w:t>)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1389"/>
        <w:gridCol w:w="1389"/>
        <w:gridCol w:w="1389"/>
        <w:gridCol w:w="1389"/>
        <w:gridCol w:w="1389"/>
      </w:tblGrid>
      <w:tr w:rsidR="00F926FA" w:rsidRPr="00CA1C13" w:rsidTr="004D32FC">
        <w:trPr>
          <w:trHeight w:val="283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26FA" w:rsidRPr="00F926FA" w:rsidRDefault="00F926FA" w:rsidP="00F926FA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26FA" w:rsidRPr="00CA1C13" w:rsidRDefault="00CA1C13" w:rsidP="00CA1C1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CA1C13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 xml:space="preserve">Stav </w:t>
            </w:r>
            <w:r w:rsidR="00F926FA" w:rsidRPr="00CA1C13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(</w:t>
            </w:r>
            <w:r w:rsidR="00AD75A0" w:rsidRPr="00CA1C13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b</w:t>
            </w:r>
            <w:r w:rsidR="00F926FA" w:rsidRPr="00CA1C13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rutto) na zaměstnance</w:t>
            </w:r>
            <w:r w:rsidR="00F926FA" w:rsidRPr="00CA1C13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  <w:r w:rsidRPr="00CA1C13">
              <w:rPr>
                <w:rFonts w:ascii="Calibri" w:hAnsi="Calibri" w:cs="Calibri"/>
                <w:b/>
                <w:iCs/>
                <w:color w:val="000000"/>
                <w:sz w:val="16"/>
                <w:szCs w:val="16"/>
                <w:lang w:val="cs-CZ"/>
              </w:rPr>
              <w:t>k</w:t>
            </w:r>
            <w:r w:rsidR="00D005DD">
              <w:rPr>
                <w:rFonts w:ascii="Calibri" w:hAnsi="Calibri" w:cs="Calibri"/>
                <w:b/>
                <w:iCs/>
                <w:color w:val="000000"/>
                <w:sz w:val="16"/>
                <w:szCs w:val="16"/>
                <w:lang w:val="cs-CZ"/>
              </w:rPr>
              <w:t xml:space="preserve"> </w:t>
            </w:r>
            <w:r w:rsidRPr="00CA1C13">
              <w:rPr>
                <w:rFonts w:ascii="Calibri" w:hAnsi="Calibri" w:cs="Calibri"/>
                <w:b/>
                <w:iCs/>
                <w:color w:val="000000"/>
                <w:sz w:val="16"/>
                <w:szCs w:val="16"/>
                <w:lang w:val="cs-CZ"/>
              </w:rPr>
              <w:t>31. 12. 2014</w:t>
            </w:r>
          </w:p>
        </w:tc>
      </w:tr>
      <w:tr w:rsidR="00F926FA" w:rsidRPr="00CA1C13" w:rsidTr="004D32FC">
        <w:trPr>
          <w:trHeight w:val="283"/>
        </w:trPr>
        <w:tc>
          <w:tcPr>
            <w:tcW w:w="213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F926FA" w:rsidRDefault="00F926FA" w:rsidP="00F926FA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Praha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Ostrava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Č. Budějovice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Ústí n. L.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H. Králové</w:t>
            </w:r>
          </w:p>
        </w:tc>
      </w:tr>
      <w:tr w:rsidR="00F926FA" w:rsidRPr="00F926FA" w:rsidTr="004D32FC">
        <w:trPr>
          <w:trHeight w:val="283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AKTIVA celkem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 xml:space="preserve">             620 485,55 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 xml:space="preserve">             745 450,24 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 xml:space="preserve">          1 253 185,66 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 xml:space="preserve">             821 921,71    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 xml:space="preserve">          1 240 818,49    </w:t>
            </w:r>
          </w:p>
        </w:tc>
      </w:tr>
      <w:tr w:rsidR="00F926FA" w:rsidRPr="00F926FA" w:rsidTr="004D32FC">
        <w:trPr>
          <w:trHeight w:val="283"/>
        </w:trPr>
        <w:tc>
          <w:tcPr>
            <w:tcW w:w="21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Stálá aktiva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            550 043,77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            675 080,44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         1 167 646,64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            732 583,81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         1 146 792,47    </w:t>
            </w:r>
          </w:p>
        </w:tc>
      </w:tr>
      <w:tr w:rsidR="00F926FA" w:rsidRPr="00F926FA" w:rsidTr="004D32FC">
        <w:trPr>
          <w:trHeight w:val="283"/>
        </w:trPr>
        <w:tc>
          <w:tcPr>
            <w:tcW w:w="21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  <w:t>Dlouhodobý hmotný majetek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  <w:t xml:space="preserve">            533 821,17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  <w:t xml:space="preserve">            649 917,22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  <w:t xml:space="preserve">         1 115 667,01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  <w:t xml:space="preserve">            701 150,42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F926FA" w:rsidRDefault="00F926FA" w:rsidP="00F926F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  <w:t xml:space="preserve">         1 098 261,26    </w:t>
            </w:r>
          </w:p>
        </w:tc>
      </w:tr>
    </w:tbl>
    <w:p w:rsidR="00F926FA" w:rsidRPr="005A0E20" w:rsidRDefault="00F926FA" w:rsidP="005A0E20">
      <w:pPr>
        <w:spacing w:before="40"/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C65CFB">
        <w:rPr>
          <w:rFonts w:ascii="Calibri" w:hAnsi="Calibri" w:cs="Calibri"/>
          <w:b/>
          <w:sz w:val="20"/>
          <w:szCs w:val="20"/>
          <w:lang w:val="cs-CZ"/>
        </w:rPr>
        <w:t xml:space="preserve">Zdroj: </w:t>
      </w:r>
      <w:r w:rsidR="007C4A31">
        <w:rPr>
          <w:rFonts w:ascii="Calibri" w:hAnsi="Calibri" w:cs="Calibri"/>
          <w:sz w:val="20"/>
          <w:szCs w:val="20"/>
          <w:lang w:val="cs-CZ"/>
        </w:rPr>
        <w:t>ú</w:t>
      </w:r>
      <w:r w:rsidRPr="005A0E20">
        <w:rPr>
          <w:rFonts w:ascii="Calibri" w:hAnsi="Calibri" w:cs="Calibri"/>
          <w:sz w:val="20"/>
          <w:szCs w:val="20"/>
          <w:lang w:val="cs-CZ"/>
        </w:rPr>
        <w:t xml:space="preserve">četní závěrky </w:t>
      </w:r>
      <w:r w:rsidR="009334FD" w:rsidRPr="005A0E20">
        <w:rPr>
          <w:rFonts w:ascii="Calibri" w:hAnsi="Calibri" w:cs="Calibri"/>
          <w:sz w:val="20"/>
          <w:szCs w:val="20"/>
          <w:lang w:val="cs-CZ"/>
        </w:rPr>
        <w:t>kontrolova</w:t>
      </w:r>
      <w:r w:rsidRPr="005A0E20">
        <w:rPr>
          <w:rFonts w:ascii="Calibri" w:hAnsi="Calibri" w:cs="Calibri"/>
          <w:sz w:val="20"/>
          <w:szCs w:val="20"/>
          <w:lang w:val="cs-CZ"/>
        </w:rPr>
        <w:t>ných KŘP sestavené k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5A0E20">
        <w:rPr>
          <w:rFonts w:ascii="Calibri" w:hAnsi="Calibri" w:cs="Calibri"/>
          <w:sz w:val="20"/>
          <w:szCs w:val="20"/>
          <w:lang w:val="cs-CZ"/>
        </w:rPr>
        <w:t>31.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5A0E20">
        <w:rPr>
          <w:rFonts w:ascii="Calibri" w:hAnsi="Calibri" w:cs="Calibri"/>
          <w:sz w:val="20"/>
          <w:szCs w:val="20"/>
          <w:lang w:val="cs-CZ"/>
        </w:rPr>
        <w:t>12.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5A0E20">
        <w:rPr>
          <w:rFonts w:ascii="Calibri" w:hAnsi="Calibri" w:cs="Calibri"/>
          <w:sz w:val="20"/>
          <w:szCs w:val="20"/>
          <w:lang w:val="cs-CZ"/>
        </w:rPr>
        <w:t xml:space="preserve">2014; </w:t>
      </w:r>
      <w:r w:rsidR="007C4A31">
        <w:rPr>
          <w:rFonts w:ascii="Calibri" w:hAnsi="Calibri" w:cs="Calibri"/>
          <w:sz w:val="20"/>
          <w:szCs w:val="20"/>
          <w:lang w:val="cs-CZ"/>
        </w:rPr>
        <w:t>ú</w:t>
      </w:r>
      <w:r w:rsidR="00FE0442" w:rsidRPr="005A0E20">
        <w:rPr>
          <w:rFonts w:ascii="Calibri" w:hAnsi="Calibri" w:cs="Calibri"/>
          <w:sz w:val="20"/>
          <w:szCs w:val="20"/>
          <w:lang w:val="cs-CZ"/>
        </w:rPr>
        <w:t>daje o počtu zaměstnanců poskytnuté kontrolovanými KŘP</w:t>
      </w:r>
      <w:r w:rsidRPr="005A0E20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5912A3" w:rsidRDefault="005912A3" w:rsidP="005A0E20">
      <w:pPr>
        <w:rPr>
          <w:rFonts w:asciiTheme="minorHAnsi" w:hAnsiTheme="minorHAnsi" w:cstheme="minorHAnsi"/>
          <w:b/>
          <w:lang w:val="cs-CZ"/>
        </w:rPr>
      </w:pPr>
    </w:p>
    <w:p w:rsidR="005912A3" w:rsidRPr="00C65CFB" w:rsidRDefault="005912A3" w:rsidP="005A0E20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  <w:b/>
          <w:lang w:val="cs-CZ"/>
        </w:rPr>
      </w:pPr>
      <w:r w:rsidRPr="00F926FA">
        <w:rPr>
          <w:rFonts w:asciiTheme="minorHAnsi" w:hAnsiTheme="minorHAnsi" w:cstheme="minorHAnsi"/>
          <w:b/>
          <w:lang w:val="cs-CZ"/>
        </w:rPr>
        <w:t>Tabulka</w:t>
      </w:r>
      <w:r w:rsidR="00D005DD">
        <w:rPr>
          <w:rFonts w:asciiTheme="minorHAnsi" w:hAnsiTheme="minorHAnsi" w:cstheme="minorHAnsi"/>
          <w:b/>
          <w:lang w:val="cs-CZ"/>
        </w:rPr>
        <w:t xml:space="preserve"> </w:t>
      </w:r>
      <w:r w:rsidRPr="00741916">
        <w:rPr>
          <w:rFonts w:asciiTheme="minorHAnsi" w:hAnsiTheme="minorHAnsi" w:cstheme="minorHAnsi"/>
          <w:b/>
          <w:lang w:val="cs-CZ"/>
        </w:rPr>
        <w:t>C</w:t>
      </w:r>
      <w:r w:rsidR="00052BD2">
        <w:rPr>
          <w:rFonts w:asciiTheme="minorHAnsi" w:hAnsiTheme="minorHAnsi" w:cstheme="minorHAnsi"/>
          <w:b/>
          <w:lang w:val="cs-CZ"/>
        </w:rPr>
        <w:t xml:space="preserve"> –</w:t>
      </w:r>
      <w:r w:rsidRPr="00F926FA">
        <w:rPr>
          <w:rFonts w:asciiTheme="minorHAnsi" w:hAnsiTheme="minorHAnsi" w:cstheme="minorHAnsi"/>
          <w:b/>
          <w:lang w:val="cs-CZ"/>
        </w:rPr>
        <w:t xml:space="preserve"> </w:t>
      </w:r>
      <w:r w:rsidRPr="00C65CFB">
        <w:rPr>
          <w:rFonts w:asciiTheme="minorHAnsi" w:hAnsiTheme="minorHAnsi" w:cstheme="minorHAnsi"/>
          <w:b/>
          <w:lang w:val="cs-CZ"/>
        </w:rPr>
        <w:t>Počet zaměstnanců</w:t>
      </w:r>
      <w:r w:rsidRPr="00C65CFB">
        <w:rPr>
          <w:rFonts w:ascii="Calibri" w:hAnsi="Calibri" w:cs="Calibri"/>
          <w:b/>
          <w:color w:val="000000"/>
          <w:lang w:val="cs-CZ"/>
        </w:rPr>
        <w:t xml:space="preserve"> kontrolovaných KŘP</w:t>
      </w:r>
      <w:r w:rsidRPr="00C65CFB">
        <w:rPr>
          <w:rFonts w:ascii="Calibri" w:hAnsi="Calibri" w:cs="Calibri"/>
          <w:b/>
          <w:color w:val="000000"/>
          <w:lang w:val="cs-CZ"/>
        </w:rPr>
        <w:tab/>
      </w:r>
      <w:r w:rsidR="000A3438" w:rsidRPr="00C65CFB">
        <w:rPr>
          <w:rFonts w:ascii="Calibri" w:hAnsi="Calibri" w:cs="Calibri"/>
          <w:b/>
          <w:color w:val="000000"/>
          <w:lang w:val="cs-CZ"/>
        </w:rPr>
        <w:t>(</w:t>
      </w:r>
      <w:r w:rsidRPr="00C65CFB">
        <w:rPr>
          <w:rFonts w:ascii="Calibri" w:hAnsi="Calibri" w:cs="Calibri"/>
          <w:b/>
          <w:color w:val="000000"/>
          <w:lang w:val="cs-CZ"/>
        </w:rPr>
        <w:t>v</w:t>
      </w:r>
      <w:r w:rsidR="00D005DD" w:rsidRPr="00C65CFB">
        <w:rPr>
          <w:rFonts w:ascii="Calibri" w:hAnsi="Calibri" w:cs="Calibri"/>
          <w:b/>
          <w:color w:val="000000"/>
          <w:lang w:val="cs-CZ"/>
        </w:rPr>
        <w:t xml:space="preserve"> </w:t>
      </w:r>
      <w:r w:rsidRPr="00C65CFB">
        <w:rPr>
          <w:rFonts w:ascii="Calibri" w:hAnsi="Calibri" w:cs="Calibri"/>
          <w:b/>
          <w:color w:val="000000"/>
          <w:lang w:val="cs-CZ"/>
        </w:rPr>
        <w:t>osobách</w:t>
      </w:r>
      <w:r w:rsidR="000A3438" w:rsidRPr="00C65CFB">
        <w:rPr>
          <w:rFonts w:ascii="Calibri" w:hAnsi="Calibri" w:cs="Calibri"/>
          <w:b/>
          <w:color w:val="000000"/>
          <w:lang w:val="cs-CZ"/>
        </w:rPr>
        <w:t>)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304"/>
        <w:gridCol w:w="1304"/>
        <w:gridCol w:w="1361"/>
        <w:gridCol w:w="1247"/>
        <w:gridCol w:w="1304"/>
      </w:tblGrid>
      <w:tr w:rsidR="005912A3" w:rsidRPr="00CA1C13" w:rsidTr="003C5490">
        <w:trPr>
          <w:trHeight w:val="283"/>
        </w:trPr>
        <w:tc>
          <w:tcPr>
            <w:tcW w:w="2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2A3" w:rsidRPr="00F926FA" w:rsidRDefault="005912A3" w:rsidP="00433A18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2A3" w:rsidRPr="00CA1C13" w:rsidRDefault="003C5490" w:rsidP="00C51C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Roky 2012</w:t>
            </w:r>
            <w:r w:rsidR="00C51C7D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–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2014</w:t>
            </w:r>
          </w:p>
        </w:tc>
      </w:tr>
      <w:tr w:rsidR="005912A3" w:rsidRPr="00CA1C13" w:rsidTr="003C5490">
        <w:trPr>
          <w:trHeight w:val="283"/>
        </w:trPr>
        <w:tc>
          <w:tcPr>
            <w:tcW w:w="25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2A3" w:rsidRPr="00F926FA" w:rsidRDefault="005912A3" w:rsidP="00433A18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2A3" w:rsidRPr="00C65CFB" w:rsidRDefault="005912A3" w:rsidP="00433A1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Praha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2A3" w:rsidRPr="00C65CFB" w:rsidRDefault="005912A3" w:rsidP="00433A1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Ostrava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2A3" w:rsidRPr="00C65CFB" w:rsidRDefault="005912A3" w:rsidP="00433A1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Č. Budějovice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2A3" w:rsidRPr="00C65CFB" w:rsidRDefault="005912A3" w:rsidP="00433A1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Ústí n. L.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2A3" w:rsidRPr="00C65CFB" w:rsidRDefault="005912A3" w:rsidP="00433A1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  <w:lang w:val="cs-CZ"/>
              </w:rPr>
              <w:t>KŘP H. Králové</w:t>
            </w:r>
          </w:p>
        </w:tc>
      </w:tr>
      <w:tr w:rsidR="005912A3" w:rsidRPr="005912A3" w:rsidTr="005912A3">
        <w:trPr>
          <w:trHeight w:val="283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A3" w:rsidRPr="005912A3" w:rsidRDefault="005912A3" w:rsidP="003C5490">
            <w:pPr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</w:pPr>
            <w:r w:rsidRPr="005912A3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 xml:space="preserve">Počet zaměstnanců </w:t>
            </w:r>
            <w:r w:rsidR="003C5490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>v roce</w:t>
            </w:r>
            <w:r w:rsidRPr="005912A3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 xml:space="preserve"> 2012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3C5490" w:rsidRDefault="003C5490" w:rsidP="003C54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3C5490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7 670,0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5912A3" w:rsidRDefault="005912A3" w:rsidP="005912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625,8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3C5490" w:rsidRDefault="003C5490" w:rsidP="003C54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3C5490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</w:t>
            </w:r>
            <w:r w:rsidR="00D005DD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 w:rsidRPr="003C5490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681,9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5912A3" w:rsidRDefault="005912A3" w:rsidP="005912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3</w:t>
            </w:r>
            <w:r w:rsidR="00D005DD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854,0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12A3" w:rsidRPr="005912A3" w:rsidRDefault="005912A3" w:rsidP="005912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</w:t>
            </w:r>
            <w:r w:rsidR="00D005DD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110,5</w:t>
            </w:r>
          </w:p>
        </w:tc>
      </w:tr>
      <w:tr w:rsidR="005912A3" w:rsidRPr="005912A3" w:rsidTr="003C5490">
        <w:trPr>
          <w:trHeight w:val="283"/>
        </w:trPr>
        <w:tc>
          <w:tcPr>
            <w:tcW w:w="2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A3" w:rsidRPr="005912A3" w:rsidRDefault="005912A3" w:rsidP="003C5490">
            <w:pP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5912A3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 xml:space="preserve">Počet zaměstnanců </w:t>
            </w:r>
            <w:r w:rsidR="003C5490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>v roce</w:t>
            </w:r>
            <w:r w:rsidRPr="005912A3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 xml:space="preserve"> 201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5912A3" w:rsidRDefault="003C5490" w:rsidP="003C54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7 583,0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5912A3" w:rsidRDefault="005912A3" w:rsidP="005912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4 603,0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5912A3" w:rsidRDefault="003C5490" w:rsidP="003C54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</w:t>
            </w:r>
            <w:r w:rsidR="00D005DD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729,3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5912A3" w:rsidRDefault="005912A3" w:rsidP="005912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3 851,0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12A3" w:rsidRPr="005912A3" w:rsidRDefault="005912A3" w:rsidP="005912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</w:t>
            </w:r>
            <w:r w:rsidR="00D005DD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108,6</w:t>
            </w:r>
          </w:p>
        </w:tc>
      </w:tr>
      <w:tr w:rsidR="005912A3" w:rsidRPr="005912A3" w:rsidTr="003C5490">
        <w:trPr>
          <w:trHeight w:val="283"/>
        </w:trPr>
        <w:tc>
          <w:tcPr>
            <w:tcW w:w="2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A3" w:rsidRPr="005912A3" w:rsidRDefault="005912A3" w:rsidP="003C5490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5912A3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 xml:space="preserve">Počet zaměstnanců </w:t>
            </w:r>
            <w:r w:rsidR="003C5490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>v roce</w:t>
            </w:r>
            <w:r w:rsidRPr="005912A3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 xml:space="preserve"> 201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cs-CZ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3C5490" w:rsidRDefault="003C5490" w:rsidP="003C54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3C5490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7</w:t>
            </w:r>
            <w:r w:rsidR="00D005DD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 w:rsidRPr="003C5490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682,0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5912A3" w:rsidRDefault="005912A3" w:rsidP="005912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750,4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3C5490" w:rsidRDefault="003C5490" w:rsidP="003C54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3C5490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</w:t>
            </w:r>
            <w:r w:rsidR="00D005DD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 w:rsidRPr="003C5490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764,0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2A3" w:rsidRPr="005912A3" w:rsidRDefault="005912A3" w:rsidP="005912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024,0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12A3" w:rsidRPr="005912A3" w:rsidRDefault="005912A3" w:rsidP="005912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 xml:space="preserve"> </w:t>
            </w:r>
            <w:r w:rsidRPr="005912A3"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134,5</w:t>
            </w:r>
          </w:p>
        </w:tc>
      </w:tr>
    </w:tbl>
    <w:p w:rsidR="005912A3" w:rsidRPr="005A0E20" w:rsidRDefault="005A0E20" w:rsidP="005A0E20">
      <w:pPr>
        <w:spacing w:before="40"/>
        <w:ind w:left="567" w:hanging="567"/>
        <w:rPr>
          <w:rFonts w:ascii="Calibri" w:hAnsi="Calibri" w:cs="Calibri"/>
          <w:color w:val="000000"/>
          <w:sz w:val="20"/>
          <w:szCs w:val="20"/>
          <w:lang w:val="cs-CZ"/>
        </w:rPr>
      </w:pPr>
      <w:r w:rsidRPr="00C65CFB">
        <w:rPr>
          <w:rFonts w:ascii="Calibri" w:hAnsi="Calibri" w:cs="Calibri"/>
          <w:b/>
          <w:sz w:val="20"/>
          <w:szCs w:val="20"/>
          <w:lang w:val="cs-CZ"/>
        </w:rPr>
        <w:t>Zdroj:</w:t>
      </w:r>
      <w:r>
        <w:rPr>
          <w:rFonts w:ascii="Calibri" w:hAnsi="Calibri" w:cs="Calibri"/>
          <w:sz w:val="20"/>
          <w:szCs w:val="20"/>
          <w:lang w:val="cs-CZ"/>
        </w:rPr>
        <w:tab/>
      </w:r>
      <w:r w:rsidR="00C51C7D">
        <w:rPr>
          <w:rFonts w:ascii="Calibri" w:hAnsi="Calibri" w:cs="Calibri"/>
          <w:sz w:val="20"/>
          <w:szCs w:val="20"/>
          <w:lang w:val="cs-CZ"/>
        </w:rPr>
        <w:t>ú</w:t>
      </w:r>
      <w:r w:rsidR="005912A3" w:rsidRPr="005A0E20">
        <w:rPr>
          <w:rFonts w:ascii="Calibri" w:hAnsi="Calibri" w:cs="Calibri"/>
          <w:sz w:val="20"/>
          <w:szCs w:val="20"/>
          <w:lang w:val="cs-CZ"/>
        </w:rPr>
        <w:t>daje o počtu zaměstnanců poskytnuté kontrolovanými KŘP</w:t>
      </w:r>
      <w:r w:rsidR="005912A3" w:rsidRPr="005A0E20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3C5490" w:rsidRPr="005A0E20" w:rsidRDefault="005A0E20" w:rsidP="005A0E20">
      <w:pPr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C65CFB">
        <w:rPr>
          <w:rFonts w:ascii="Calibri" w:hAnsi="Calibri" w:cs="Calibri"/>
          <w:b/>
          <w:color w:val="000000"/>
          <w:sz w:val="20"/>
          <w:szCs w:val="20"/>
          <w:lang w:val="cs-CZ"/>
        </w:rPr>
        <w:t>Pozn.:</w:t>
      </w:r>
      <w:r w:rsidRPr="00C65CFB">
        <w:rPr>
          <w:rFonts w:ascii="Calibri" w:hAnsi="Calibri" w:cs="Calibri"/>
          <w:b/>
          <w:color w:val="000000"/>
          <w:sz w:val="20"/>
          <w:szCs w:val="20"/>
          <w:lang w:val="cs-CZ"/>
        </w:rPr>
        <w:tab/>
      </w:r>
      <w:r w:rsidR="00C51C7D" w:rsidRPr="00D745F6">
        <w:rPr>
          <w:rFonts w:ascii="Calibri" w:hAnsi="Calibri" w:cs="Calibri"/>
          <w:color w:val="000000"/>
          <w:sz w:val="20"/>
          <w:szCs w:val="20"/>
          <w:lang w:val="cs-CZ"/>
        </w:rPr>
        <w:t xml:space="preserve">V tabulce jsou uvedeny </w:t>
      </w:r>
      <w:r w:rsidR="00520A85" w:rsidRPr="00D745F6">
        <w:rPr>
          <w:rFonts w:ascii="Calibri" w:hAnsi="Calibri" w:cs="Calibri"/>
          <w:color w:val="000000"/>
          <w:sz w:val="20"/>
          <w:szCs w:val="20"/>
          <w:lang w:val="cs-CZ"/>
        </w:rPr>
        <w:t>průměrné</w:t>
      </w:r>
      <w:r w:rsidR="00520A85">
        <w:rPr>
          <w:rFonts w:ascii="Calibri" w:hAnsi="Calibri" w:cs="Calibri"/>
          <w:b/>
          <w:color w:val="000000"/>
          <w:sz w:val="20"/>
          <w:szCs w:val="20"/>
          <w:lang w:val="cs-CZ"/>
        </w:rPr>
        <w:t xml:space="preserve"> </w:t>
      </w:r>
      <w:r w:rsidR="00C51C7D">
        <w:rPr>
          <w:rFonts w:ascii="Calibri" w:hAnsi="Calibri" w:cs="Calibri"/>
          <w:color w:val="000000"/>
          <w:sz w:val="20"/>
          <w:szCs w:val="20"/>
          <w:lang w:val="cs-CZ"/>
        </w:rPr>
        <w:t>p</w:t>
      </w:r>
      <w:r w:rsidR="003C5490" w:rsidRPr="005A0E20">
        <w:rPr>
          <w:rFonts w:ascii="Calibri" w:hAnsi="Calibri" w:cs="Calibri"/>
          <w:color w:val="000000"/>
          <w:sz w:val="20"/>
          <w:szCs w:val="20"/>
          <w:lang w:val="cs-CZ"/>
        </w:rPr>
        <w:t>řepočten</w:t>
      </w:r>
      <w:r w:rsidR="00C51C7D">
        <w:rPr>
          <w:rFonts w:ascii="Calibri" w:hAnsi="Calibri" w:cs="Calibri"/>
          <w:color w:val="000000"/>
          <w:sz w:val="20"/>
          <w:szCs w:val="20"/>
          <w:lang w:val="cs-CZ"/>
        </w:rPr>
        <w:t>é</w:t>
      </w:r>
      <w:r w:rsidR="003C5490" w:rsidRPr="005A0E20">
        <w:rPr>
          <w:rFonts w:ascii="Calibri" w:hAnsi="Calibri" w:cs="Calibri"/>
          <w:color w:val="000000"/>
          <w:sz w:val="20"/>
          <w:szCs w:val="20"/>
          <w:lang w:val="cs-CZ"/>
        </w:rPr>
        <w:t xml:space="preserve"> počt</w:t>
      </w:r>
      <w:r w:rsidR="00C51C7D">
        <w:rPr>
          <w:rFonts w:ascii="Calibri" w:hAnsi="Calibri" w:cs="Calibri"/>
          <w:color w:val="000000"/>
          <w:sz w:val="20"/>
          <w:szCs w:val="20"/>
          <w:lang w:val="cs-CZ"/>
        </w:rPr>
        <w:t>y</w:t>
      </w:r>
      <w:r w:rsidR="003C5490" w:rsidRPr="005A0E20">
        <w:rPr>
          <w:rFonts w:ascii="Calibri" w:hAnsi="Calibri" w:cs="Calibri"/>
          <w:color w:val="000000"/>
          <w:sz w:val="20"/>
          <w:szCs w:val="20"/>
          <w:lang w:val="cs-CZ"/>
        </w:rPr>
        <w:t xml:space="preserve"> zaměstnanců v</w:t>
      </w:r>
      <w:r w:rsidR="00C51C7D">
        <w:rPr>
          <w:rFonts w:ascii="Calibri" w:hAnsi="Calibri" w:cs="Calibri"/>
          <w:color w:val="000000"/>
          <w:sz w:val="20"/>
          <w:szCs w:val="20"/>
          <w:lang w:val="cs-CZ"/>
        </w:rPr>
        <w:t> daných</w:t>
      </w:r>
      <w:r w:rsidR="00D005DD" w:rsidRPr="005A0E20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 w:rsidR="00C51C7D">
        <w:rPr>
          <w:rFonts w:ascii="Calibri" w:hAnsi="Calibri" w:cs="Calibri"/>
          <w:color w:val="000000"/>
          <w:sz w:val="20"/>
          <w:szCs w:val="20"/>
          <w:lang w:val="cs-CZ"/>
        </w:rPr>
        <w:t>letech</w:t>
      </w:r>
      <w:r w:rsidR="003C5490" w:rsidRPr="005A0E20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805469" w:rsidRPr="005A0E20" w:rsidRDefault="00805469" w:rsidP="005A0E20">
      <w:pPr>
        <w:rPr>
          <w:rFonts w:ascii="Calibri" w:hAnsi="Calibri" w:cs="Calibri"/>
          <w:b/>
          <w:lang w:val="cs-CZ"/>
        </w:rPr>
      </w:pPr>
      <w:r w:rsidRPr="005A0E20">
        <w:rPr>
          <w:rFonts w:ascii="Calibri" w:hAnsi="Calibri" w:cs="Calibri"/>
          <w:b/>
          <w:lang w:val="cs-CZ"/>
        </w:rPr>
        <w:br w:type="page"/>
      </w:r>
    </w:p>
    <w:p w:rsidR="00F926FA" w:rsidRPr="00C65CFB" w:rsidRDefault="00F926FA" w:rsidP="005A0E20">
      <w:pPr>
        <w:tabs>
          <w:tab w:val="right" w:pos="9072"/>
        </w:tabs>
        <w:spacing w:after="40"/>
        <w:rPr>
          <w:rFonts w:ascii="Calibri" w:hAnsi="Calibri" w:cs="Calibri"/>
          <w:b/>
          <w:lang w:val="cs-CZ"/>
        </w:rPr>
      </w:pPr>
      <w:r w:rsidRPr="005A0E20">
        <w:rPr>
          <w:rFonts w:ascii="Calibri" w:hAnsi="Calibri" w:cs="Calibri"/>
          <w:b/>
          <w:lang w:val="cs-CZ"/>
        </w:rPr>
        <w:lastRenderedPageBreak/>
        <w:t>Tabulka</w:t>
      </w:r>
      <w:r w:rsidR="00D005DD" w:rsidRPr="005A0E20">
        <w:rPr>
          <w:rFonts w:ascii="Calibri" w:hAnsi="Calibri" w:cs="Calibri"/>
          <w:b/>
          <w:lang w:val="cs-CZ"/>
        </w:rPr>
        <w:t xml:space="preserve"> </w:t>
      </w:r>
      <w:r w:rsidR="005912A3" w:rsidRPr="005A0E20">
        <w:rPr>
          <w:rFonts w:ascii="Calibri" w:hAnsi="Calibri" w:cs="Calibri"/>
          <w:b/>
          <w:lang w:val="cs-CZ"/>
        </w:rPr>
        <w:t>D</w:t>
      </w:r>
      <w:r w:rsidR="00052BD2">
        <w:rPr>
          <w:rFonts w:ascii="Calibri" w:hAnsi="Calibri" w:cs="Calibri"/>
          <w:b/>
          <w:lang w:val="cs-CZ"/>
        </w:rPr>
        <w:t xml:space="preserve"> –</w:t>
      </w:r>
      <w:r w:rsidRPr="005A0E20">
        <w:rPr>
          <w:rFonts w:ascii="Calibri" w:hAnsi="Calibri" w:cs="Calibri"/>
          <w:b/>
          <w:lang w:val="cs-CZ"/>
        </w:rPr>
        <w:t xml:space="preserve"> </w:t>
      </w:r>
      <w:r w:rsidR="00273F2B" w:rsidRPr="00C65CFB">
        <w:rPr>
          <w:rFonts w:ascii="Calibri" w:hAnsi="Calibri" w:cs="Calibri"/>
          <w:b/>
          <w:lang w:val="cs-CZ"/>
        </w:rPr>
        <w:t xml:space="preserve">Výše celkových nákladů, výnosů a výsledků hospodaření </w:t>
      </w:r>
      <w:r w:rsidR="00C52A3A" w:rsidRPr="00C65CFB">
        <w:rPr>
          <w:rFonts w:ascii="Calibri" w:hAnsi="Calibri" w:cs="Calibri"/>
          <w:b/>
          <w:lang w:val="cs-CZ"/>
        </w:rPr>
        <w:t>kontrolova</w:t>
      </w:r>
      <w:r w:rsidR="00273F2B" w:rsidRPr="00C65CFB">
        <w:rPr>
          <w:rFonts w:ascii="Calibri" w:hAnsi="Calibri" w:cs="Calibri"/>
          <w:b/>
          <w:lang w:val="cs-CZ"/>
        </w:rPr>
        <w:t>ných KŘP</w:t>
      </w:r>
      <w:r w:rsidR="000A3438" w:rsidRPr="00C65CFB">
        <w:rPr>
          <w:rFonts w:ascii="Calibri" w:hAnsi="Calibri" w:cs="Calibri"/>
          <w:b/>
          <w:i/>
          <w:lang w:val="cs-CZ"/>
        </w:rPr>
        <w:tab/>
      </w:r>
      <w:r w:rsidR="000A3438" w:rsidRPr="00C65CFB">
        <w:rPr>
          <w:rFonts w:ascii="Calibri" w:hAnsi="Calibri" w:cs="Calibri"/>
          <w:b/>
          <w:lang w:val="cs-CZ"/>
        </w:rPr>
        <w:t>(</w:t>
      </w:r>
      <w:r w:rsidR="00273F2B" w:rsidRPr="00C65CFB">
        <w:rPr>
          <w:rFonts w:ascii="Calibri" w:hAnsi="Calibri" w:cs="Calibri"/>
          <w:b/>
          <w:lang w:val="cs-CZ"/>
        </w:rPr>
        <w:t>v Kč</w:t>
      </w:r>
      <w:r w:rsidR="000A3438" w:rsidRPr="00C65CFB">
        <w:rPr>
          <w:rFonts w:ascii="Calibri" w:hAnsi="Calibri" w:cs="Calibri"/>
          <w:b/>
          <w:lang w:val="cs-CZ"/>
        </w:rPr>
        <w:t>)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560"/>
        <w:gridCol w:w="1417"/>
        <w:gridCol w:w="1447"/>
        <w:gridCol w:w="1388"/>
        <w:gridCol w:w="1418"/>
      </w:tblGrid>
      <w:tr w:rsidR="00F926FA" w:rsidRPr="00F926FA" w:rsidTr="00C51C7D">
        <w:trPr>
          <w:trHeight w:val="283"/>
        </w:trPr>
        <w:tc>
          <w:tcPr>
            <w:tcW w:w="22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F926FA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72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F926FA" w:rsidRDefault="00F926FA" w:rsidP="00C51C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Roky 2012</w:t>
            </w:r>
            <w:r w:rsidR="00C51C7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–</w:t>
            </w: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2014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Praha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Ostrava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Č. Budějovice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Ústí n. 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H. Králové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NÁKLADY CELKEM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13 927 306 087,33  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8 010 388 016,02   </w:t>
            </w:r>
          </w:p>
        </w:tc>
        <w:tc>
          <w:tcPr>
            <w:tcW w:w="14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4 970 971 790,28   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6 767 021 401,96  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3 823 199 351,13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Náklady z činnosti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13 811 463 737,68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7 889 855 418,33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4 875 931 120,40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6 707 838 565,25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3 774 666 887,22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Spotřeba materiálu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472 633 835,97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321 825 483,55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198 721 097,22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281 916 328,64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214 017 312,24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Spotřeba energie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254 778 487,32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159 422 696,41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120 629 678,95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146 290 981,31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85 574 090,66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Opravy a udržování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129 733 534,16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73 886 040,38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50 282 207,69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92 097 140,11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34 926 115,38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Ostatní služby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569 016 922,99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226 189 833,24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108 255 826,52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164 303 485,75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90 291 440,75   </w:t>
            </w:r>
          </w:p>
        </w:tc>
      </w:tr>
      <w:tr w:rsidR="001C2471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471" w:rsidRPr="00F926FA" w:rsidRDefault="001C2471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Mzdové </w:t>
            </w:r>
            <w:r w:rsid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náklady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71" w:rsidRPr="00AD75A0" w:rsidRDefault="001C2471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8 599 455 998,07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71" w:rsidRPr="00AD75A0" w:rsidRDefault="001C2471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4 824 447 546,74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71" w:rsidRPr="00AD75A0" w:rsidRDefault="001C2471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2 802 335 833,27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71" w:rsidRPr="00AD75A0" w:rsidRDefault="001C2471" w:rsidP="00C51C7D">
            <w:pPr>
              <w:ind w:left="-99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4 055 589 006,70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2471" w:rsidRPr="00AD75A0" w:rsidRDefault="001C2471" w:rsidP="00C51C7D">
            <w:pPr>
              <w:ind w:left="-70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2 181 030 373,71   </w:t>
            </w:r>
          </w:p>
        </w:tc>
      </w:tr>
      <w:tr w:rsidR="001C2471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471" w:rsidRPr="00F926FA" w:rsidRDefault="001C2471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1C2471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Sociální náklady a pojištění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471" w:rsidRPr="00AD75A0" w:rsidRDefault="001C2471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2 984 017 744,16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471" w:rsidRPr="00AD75A0" w:rsidRDefault="001C2471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1 691 366 051,18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471" w:rsidRPr="00AD75A0" w:rsidRDefault="001C2471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980 511 520,41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471" w:rsidRPr="00AD75A0" w:rsidRDefault="001C2471" w:rsidP="00C51C7D">
            <w:pPr>
              <w:ind w:left="-99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1 423 228 769,56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2471" w:rsidRPr="00AD75A0" w:rsidRDefault="001C2471" w:rsidP="00C51C7D">
            <w:pPr>
              <w:ind w:left="-70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766 283 494,71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Finanční náklady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4 858 276,65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63 998 633,69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51 668 227,88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21 050 453,71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17 454 122,91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Náklady na transfery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110 984 073,00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56 533 964,00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43 372 442,00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38 132 383,00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31 078 323,00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VÝNOSY CELKEM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2 498 707 229,38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1 448 943 258,67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846 116 478,09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1 243 959 932,63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659 903 895,21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Výnosy z činnosti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189 260 676,44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108 479 572,27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87 592 277,57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68 370 415,88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73 711 729,42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Výnosy z pronájmu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3 193 337,53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2 757 079,36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4 540 587,10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5 764 335,90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7 655 341,86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Výnosy z prodeje DHM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1 026 480,00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46 785 471,00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43 354 388,00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14 501 828,00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10 822 727,22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>Výnosy z prodeje pozemků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54 000,00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8 582 387,00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362 020,00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1 827 816,00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/>
              </w:rPr>
              <w:t xml:space="preserve">1 601 685,78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Finanční výnosy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373 649,94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27 672 655,38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6 126 076,45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5 665 601,43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3 713 689,16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Výnosy z transferů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6 621 324,02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F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9 300 611,07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76 787 133,32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F926FA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AD75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 xml:space="preserve">6 271 290,63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VÝSLEDEK HOSPODAŘENÍ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F926F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11 428 598 857,95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F926F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6 561 444 757,35 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F926F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4 124 855 312,19  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5 523 061 469,33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3 163 295 455,92   </w:t>
            </w:r>
          </w:p>
        </w:tc>
      </w:tr>
      <w:tr w:rsidR="00F926FA" w:rsidRPr="00F926FA" w:rsidTr="00C51C7D">
        <w:trPr>
          <w:trHeight w:val="283"/>
        </w:trPr>
        <w:tc>
          <w:tcPr>
            <w:tcW w:w="22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Výsledek hospodaření z činnosti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F926F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13 622 203 061,24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F926F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7 781 375 846,06  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F926F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4 788 338 842,83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C51C7D">
            <w:pPr>
              <w:ind w:left="-99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6 639 468 149,37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6FA" w:rsidRPr="00AD75A0" w:rsidRDefault="00C51C7D" w:rsidP="00C51C7D">
            <w:pPr>
              <w:ind w:left="-7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F926FA" w:rsidRPr="00AD75A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3 700 955 157,80   </w:t>
            </w:r>
          </w:p>
        </w:tc>
      </w:tr>
    </w:tbl>
    <w:p w:rsidR="00F926FA" w:rsidRPr="005A0E20" w:rsidRDefault="005A0E20" w:rsidP="005A0E20">
      <w:pPr>
        <w:spacing w:before="40"/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C65CFB">
        <w:rPr>
          <w:rFonts w:ascii="Calibri" w:hAnsi="Calibri" w:cs="Calibri"/>
          <w:b/>
          <w:sz w:val="20"/>
          <w:szCs w:val="20"/>
          <w:lang w:val="cs-CZ"/>
        </w:rPr>
        <w:t>Zdroj:</w:t>
      </w:r>
      <w:r>
        <w:rPr>
          <w:rFonts w:ascii="Calibri" w:hAnsi="Calibri" w:cs="Calibri"/>
          <w:sz w:val="20"/>
          <w:szCs w:val="20"/>
          <w:lang w:val="cs-CZ"/>
        </w:rPr>
        <w:tab/>
      </w:r>
      <w:r w:rsidR="007C4A31">
        <w:rPr>
          <w:rFonts w:ascii="Calibri" w:hAnsi="Calibri" w:cs="Calibri"/>
          <w:sz w:val="20"/>
          <w:szCs w:val="20"/>
          <w:lang w:val="cs-CZ"/>
        </w:rPr>
        <w:t>ú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 xml:space="preserve">četní závěrky </w:t>
      </w:r>
      <w:r w:rsidR="00C52A3A" w:rsidRPr="005A0E20">
        <w:rPr>
          <w:rFonts w:ascii="Calibri" w:hAnsi="Calibri" w:cs="Calibri"/>
          <w:sz w:val="20"/>
          <w:szCs w:val="20"/>
          <w:lang w:val="cs-CZ"/>
        </w:rPr>
        <w:t>kontrolova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>ných KŘP sestavené k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>31.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>12.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>2012, 2013 a 2014.</w:t>
      </w:r>
    </w:p>
    <w:p w:rsidR="00B17F5C" w:rsidRPr="005A0E20" w:rsidRDefault="00B17F5C" w:rsidP="005A0E20">
      <w:pPr>
        <w:rPr>
          <w:rFonts w:ascii="Calibri" w:hAnsi="Calibri" w:cs="Calibri"/>
          <w:b/>
          <w:lang w:val="cs-CZ"/>
        </w:rPr>
      </w:pPr>
    </w:p>
    <w:p w:rsidR="00F926FA" w:rsidRPr="00C65CFB" w:rsidRDefault="00F926FA" w:rsidP="005A0E20">
      <w:pPr>
        <w:spacing w:after="40"/>
        <w:rPr>
          <w:rFonts w:ascii="Calibri" w:hAnsi="Calibri" w:cs="Calibri"/>
          <w:b/>
          <w:lang w:val="cs-CZ"/>
        </w:rPr>
      </w:pPr>
      <w:r w:rsidRPr="005A0E20">
        <w:rPr>
          <w:rFonts w:ascii="Calibri" w:hAnsi="Calibri" w:cs="Calibri"/>
          <w:b/>
          <w:lang w:val="cs-CZ"/>
        </w:rPr>
        <w:t>Tabulka</w:t>
      </w:r>
      <w:r w:rsidR="00D005DD" w:rsidRPr="005A0E20">
        <w:rPr>
          <w:rFonts w:ascii="Calibri" w:hAnsi="Calibri" w:cs="Calibri"/>
          <w:b/>
          <w:lang w:val="cs-CZ"/>
        </w:rPr>
        <w:t xml:space="preserve"> </w:t>
      </w:r>
      <w:r w:rsidR="005912A3" w:rsidRPr="005A0E20">
        <w:rPr>
          <w:rFonts w:ascii="Calibri" w:hAnsi="Calibri" w:cs="Calibri"/>
          <w:b/>
          <w:lang w:val="cs-CZ"/>
        </w:rPr>
        <w:t>E</w:t>
      </w:r>
      <w:r w:rsidR="00052BD2">
        <w:rPr>
          <w:rFonts w:ascii="Calibri" w:hAnsi="Calibri" w:cs="Calibri"/>
          <w:b/>
          <w:lang w:val="cs-CZ"/>
        </w:rPr>
        <w:t xml:space="preserve"> –</w:t>
      </w:r>
      <w:r w:rsidRPr="005A0E20">
        <w:rPr>
          <w:rFonts w:ascii="Calibri" w:hAnsi="Calibri" w:cs="Calibri"/>
          <w:b/>
          <w:lang w:val="cs-CZ"/>
        </w:rPr>
        <w:t xml:space="preserve"> </w:t>
      </w:r>
      <w:r w:rsidR="00273F2B" w:rsidRPr="00C65CFB">
        <w:rPr>
          <w:rFonts w:ascii="Calibri" w:hAnsi="Calibri" w:cs="Calibri"/>
          <w:b/>
          <w:color w:val="000000"/>
          <w:lang w:val="cs-CZ"/>
        </w:rPr>
        <w:t xml:space="preserve">Výše celkových nákladů </w:t>
      </w:r>
      <w:r w:rsidR="00C52A3A" w:rsidRPr="00C65CFB">
        <w:rPr>
          <w:rFonts w:ascii="Calibri" w:hAnsi="Calibri" w:cs="Calibri"/>
          <w:b/>
          <w:color w:val="000000"/>
          <w:lang w:val="cs-CZ"/>
        </w:rPr>
        <w:t>kontrolova</w:t>
      </w:r>
      <w:r w:rsidR="00273F2B" w:rsidRPr="00C65CFB">
        <w:rPr>
          <w:rFonts w:ascii="Calibri" w:hAnsi="Calibri" w:cs="Calibri"/>
          <w:b/>
          <w:color w:val="000000"/>
          <w:lang w:val="cs-CZ"/>
        </w:rPr>
        <w:t xml:space="preserve">ných KŘP na jednoho zaměstnance </w:t>
      </w:r>
      <w:r w:rsidR="000A3438" w:rsidRPr="00C65CFB">
        <w:rPr>
          <w:rFonts w:ascii="Calibri" w:hAnsi="Calibri" w:cs="Calibri"/>
          <w:b/>
          <w:color w:val="000000"/>
          <w:lang w:val="cs-CZ"/>
        </w:rPr>
        <w:tab/>
        <w:t>(</w:t>
      </w:r>
      <w:r w:rsidR="00273F2B" w:rsidRPr="00C65CFB">
        <w:rPr>
          <w:rFonts w:ascii="Calibri" w:hAnsi="Calibri" w:cs="Calibri"/>
          <w:b/>
          <w:color w:val="000000"/>
          <w:lang w:val="cs-CZ"/>
        </w:rPr>
        <w:t>v Kč</w:t>
      </w:r>
      <w:r w:rsidR="000A3438" w:rsidRPr="00C65CFB">
        <w:rPr>
          <w:rFonts w:ascii="Calibri" w:hAnsi="Calibri" w:cs="Calibri"/>
          <w:b/>
          <w:color w:val="000000"/>
          <w:lang w:val="cs-CZ"/>
        </w:rPr>
        <w:t>)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417"/>
        <w:gridCol w:w="1417"/>
        <w:gridCol w:w="1418"/>
        <w:gridCol w:w="1417"/>
        <w:gridCol w:w="1418"/>
      </w:tblGrid>
      <w:tr w:rsidR="00F926FA" w:rsidRPr="00273F2B" w:rsidTr="003C78C1">
        <w:trPr>
          <w:trHeight w:val="283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926FA" w:rsidRPr="00F926FA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F926FA" w:rsidRDefault="00F926FA" w:rsidP="00C51C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Roky 2012</w:t>
            </w:r>
            <w:r w:rsidR="00C51C7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–</w:t>
            </w: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2014</w:t>
            </w:r>
          </w:p>
        </w:tc>
      </w:tr>
      <w:tr w:rsidR="00F926FA" w:rsidRPr="00273F2B" w:rsidTr="003C78C1">
        <w:trPr>
          <w:trHeight w:val="283"/>
        </w:trPr>
        <w:tc>
          <w:tcPr>
            <w:tcW w:w="19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Praha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Ostrava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Č. Budějovice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Ústí n. 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H. Králové</w:t>
            </w:r>
          </w:p>
        </w:tc>
      </w:tr>
      <w:tr w:rsidR="001F3B54" w:rsidRPr="00F926FA" w:rsidTr="00DC488F">
        <w:trPr>
          <w:trHeight w:val="283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54" w:rsidRPr="00F926FA" w:rsidRDefault="001F3B54" w:rsidP="00F926FA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Náklady celkem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607 262,18  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573 001,48  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607 870,12  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576 970,40  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601 683,52   </w:t>
            </w:r>
          </w:p>
        </w:tc>
      </w:tr>
      <w:tr w:rsidR="001F3B54" w:rsidRPr="00F926FA" w:rsidTr="00DC488F">
        <w:trPr>
          <w:trHeight w:val="28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54" w:rsidRPr="00F926FA" w:rsidRDefault="001F3B54" w:rsidP="00F926FA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/>
              </w:rPr>
              <w:t>Výnosy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108 947,63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103 667,55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103 503,80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105 888,83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1F3B54" w:rsidP="00DC488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DC488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103 844,99   </w:t>
            </w:r>
          </w:p>
        </w:tc>
      </w:tr>
      <w:tr w:rsidR="001F3B54" w:rsidRPr="00F926FA" w:rsidTr="00DC488F">
        <w:trPr>
          <w:trHeight w:val="28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54" w:rsidRPr="00F926FA" w:rsidRDefault="001F3B54" w:rsidP="001F3B5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Výsledek</w:t>
            </w:r>
            <w:r w:rsidRPr="00F926F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/>
              </w:rPr>
              <w:t>hospodaření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C51C7D" w:rsidP="00DC488F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1F3B54" w:rsidRPr="00DC488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  <w:t xml:space="preserve">498 314,56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C51C7D" w:rsidP="00DC488F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1F3B54" w:rsidRPr="00DC488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  <w:t xml:space="preserve">469 333,93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C51C7D" w:rsidP="00DC488F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1F3B54" w:rsidRPr="00DC488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  <w:t xml:space="preserve">504 366,31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C51C7D" w:rsidP="00DC488F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1F3B54" w:rsidRPr="00DC488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  <w:t xml:space="preserve">471 081,56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3B54" w:rsidRPr="00DC488F" w:rsidRDefault="00C51C7D" w:rsidP="00DC488F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</w:pPr>
            <w:r w:rsidRPr="00C51C7D">
              <w:rPr>
                <w:rFonts w:ascii="Calibri" w:hAnsi="Calibri" w:cs="Calibri"/>
                <w:sz w:val="16"/>
                <w:szCs w:val="16"/>
                <w:lang w:val="cs-CZ"/>
              </w:rPr>
              <w:t>‒</w:t>
            </w:r>
            <w:r w:rsidR="001F3B54" w:rsidRPr="00DC488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  <w:t xml:space="preserve">497 838,54   </w:t>
            </w:r>
          </w:p>
        </w:tc>
      </w:tr>
    </w:tbl>
    <w:p w:rsidR="00F926FA" w:rsidRPr="005A0E20" w:rsidRDefault="005A0E20" w:rsidP="005A0E20">
      <w:pPr>
        <w:spacing w:before="40"/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C65CFB">
        <w:rPr>
          <w:rFonts w:ascii="Calibri" w:hAnsi="Calibri" w:cs="Calibri"/>
          <w:b/>
          <w:sz w:val="20"/>
          <w:szCs w:val="20"/>
          <w:lang w:val="cs-CZ"/>
        </w:rPr>
        <w:t>Zdroj:</w:t>
      </w:r>
      <w:r>
        <w:rPr>
          <w:rFonts w:ascii="Calibri" w:hAnsi="Calibri" w:cs="Calibri"/>
          <w:sz w:val="20"/>
          <w:szCs w:val="20"/>
          <w:lang w:val="cs-CZ"/>
        </w:rPr>
        <w:tab/>
      </w:r>
      <w:r w:rsidR="00C51C7D">
        <w:rPr>
          <w:rFonts w:ascii="Calibri" w:hAnsi="Calibri" w:cs="Calibri"/>
          <w:sz w:val="20"/>
          <w:szCs w:val="20"/>
          <w:lang w:val="cs-CZ"/>
        </w:rPr>
        <w:t>ú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 xml:space="preserve">četní závěrky </w:t>
      </w:r>
      <w:r w:rsidR="000A252C" w:rsidRPr="005A0E20">
        <w:rPr>
          <w:rFonts w:ascii="Calibri" w:hAnsi="Calibri" w:cs="Calibri"/>
          <w:sz w:val="20"/>
          <w:szCs w:val="20"/>
          <w:lang w:val="cs-CZ"/>
        </w:rPr>
        <w:t>kontrolovan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>ých KŘP sestavené k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>31.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>12.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 xml:space="preserve">2012, 2013 a 2014; </w:t>
      </w:r>
      <w:r w:rsidR="00C51C7D">
        <w:rPr>
          <w:rFonts w:ascii="Calibri" w:hAnsi="Calibri" w:cs="Calibri"/>
          <w:sz w:val="20"/>
          <w:szCs w:val="20"/>
          <w:lang w:val="cs-CZ"/>
        </w:rPr>
        <w:t>ú</w:t>
      </w:r>
      <w:r w:rsidR="00FE0442" w:rsidRPr="005A0E20">
        <w:rPr>
          <w:rFonts w:ascii="Calibri" w:hAnsi="Calibri" w:cs="Calibri"/>
          <w:sz w:val="20"/>
          <w:szCs w:val="20"/>
          <w:lang w:val="cs-CZ"/>
        </w:rPr>
        <w:t>daje o počtu zaměstnanců poskytnuté kontrolovanými KŘP</w:t>
      </w:r>
      <w:r w:rsidR="00F926FA" w:rsidRPr="005A0E20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:rsidR="00741916" w:rsidRPr="005A0E20" w:rsidRDefault="00741916" w:rsidP="005A0E20">
      <w:pPr>
        <w:rPr>
          <w:rFonts w:ascii="Calibri" w:hAnsi="Calibri" w:cs="Calibri"/>
          <w:b/>
          <w:lang w:val="cs-CZ"/>
        </w:rPr>
      </w:pPr>
    </w:p>
    <w:p w:rsidR="00F926FA" w:rsidRPr="00C65CFB" w:rsidRDefault="00F926FA" w:rsidP="005A0E20">
      <w:pPr>
        <w:tabs>
          <w:tab w:val="right" w:pos="9072"/>
        </w:tabs>
        <w:spacing w:after="40"/>
        <w:rPr>
          <w:rFonts w:ascii="Calibri" w:hAnsi="Calibri" w:cs="Calibri"/>
          <w:b/>
          <w:color w:val="000000"/>
          <w:lang w:val="cs-CZ"/>
        </w:rPr>
      </w:pPr>
      <w:r w:rsidRPr="005A0E20">
        <w:rPr>
          <w:rFonts w:ascii="Calibri" w:hAnsi="Calibri" w:cs="Calibri"/>
          <w:b/>
          <w:lang w:val="cs-CZ"/>
        </w:rPr>
        <w:t>Tabulka</w:t>
      </w:r>
      <w:r w:rsidR="00D005DD" w:rsidRPr="005A0E20">
        <w:rPr>
          <w:rFonts w:ascii="Calibri" w:hAnsi="Calibri" w:cs="Calibri"/>
          <w:b/>
          <w:lang w:val="cs-CZ"/>
        </w:rPr>
        <w:t xml:space="preserve"> </w:t>
      </w:r>
      <w:r w:rsidR="005912A3" w:rsidRPr="005A0E20">
        <w:rPr>
          <w:rFonts w:ascii="Calibri" w:hAnsi="Calibri" w:cs="Calibri"/>
          <w:b/>
          <w:lang w:val="cs-CZ"/>
        </w:rPr>
        <w:t>F</w:t>
      </w:r>
      <w:r w:rsidR="00052BD2">
        <w:rPr>
          <w:rFonts w:ascii="Calibri" w:hAnsi="Calibri" w:cs="Calibri"/>
          <w:b/>
          <w:lang w:val="cs-CZ"/>
        </w:rPr>
        <w:t xml:space="preserve"> –</w:t>
      </w:r>
      <w:r w:rsidRPr="005A0E20">
        <w:rPr>
          <w:rFonts w:ascii="Calibri" w:hAnsi="Calibri" w:cs="Calibri"/>
          <w:b/>
          <w:lang w:val="cs-CZ"/>
        </w:rPr>
        <w:t xml:space="preserve"> </w:t>
      </w:r>
      <w:r w:rsidR="006C4177" w:rsidRPr="00C65CFB">
        <w:rPr>
          <w:rFonts w:ascii="Calibri" w:hAnsi="Calibri" w:cs="Calibri"/>
          <w:b/>
          <w:color w:val="000000"/>
          <w:lang w:val="cs-CZ"/>
        </w:rPr>
        <w:t xml:space="preserve">Výše celkových nákladů </w:t>
      </w:r>
      <w:r w:rsidR="000A252C" w:rsidRPr="00C65CFB">
        <w:rPr>
          <w:rFonts w:ascii="Calibri" w:hAnsi="Calibri" w:cs="Calibri"/>
          <w:b/>
          <w:color w:val="000000"/>
          <w:lang w:val="cs-CZ"/>
        </w:rPr>
        <w:t>kontrolova</w:t>
      </w:r>
      <w:r w:rsidR="006C4177" w:rsidRPr="00C65CFB">
        <w:rPr>
          <w:rFonts w:ascii="Calibri" w:hAnsi="Calibri" w:cs="Calibri"/>
          <w:b/>
          <w:color w:val="000000"/>
          <w:lang w:val="cs-CZ"/>
        </w:rPr>
        <w:t xml:space="preserve">ných KŘP na jednoho obyvatele kraje </w:t>
      </w:r>
      <w:r w:rsidR="00D005DD" w:rsidRPr="00C65CFB">
        <w:rPr>
          <w:rFonts w:ascii="Calibri" w:hAnsi="Calibri" w:cs="Calibri"/>
          <w:b/>
          <w:color w:val="000000"/>
          <w:lang w:val="cs-CZ"/>
        </w:rPr>
        <w:tab/>
        <w:t>(</w:t>
      </w:r>
      <w:r w:rsidR="006C4177" w:rsidRPr="00C65CFB">
        <w:rPr>
          <w:rFonts w:ascii="Calibri" w:hAnsi="Calibri" w:cs="Calibri"/>
          <w:b/>
          <w:color w:val="000000"/>
          <w:lang w:val="cs-CZ"/>
        </w:rPr>
        <w:t>v Kč</w:t>
      </w:r>
      <w:r w:rsidR="00D005DD" w:rsidRPr="00C65CFB">
        <w:rPr>
          <w:rFonts w:ascii="Calibri" w:hAnsi="Calibri" w:cs="Calibri"/>
          <w:b/>
          <w:color w:val="000000"/>
          <w:lang w:val="cs-CZ"/>
        </w:rPr>
        <w:t>)</w:t>
      </w:r>
    </w:p>
    <w:tbl>
      <w:tblPr>
        <w:tblW w:w="9196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332"/>
        <w:gridCol w:w="1332"/>
        <w:gridCol w:w="1447"/>
        <w:gridCol w:w="1332"/>
        <w:gridCol w:w="1333"/>
      </w:tblGrid>
      <w:tr w:rsidR="00F926FA" w:rsidRPr="00F926FA" w:rsidTr="00C65CFB">
        <w:trPr>
          <w:trHeight w:val="283"/>
        </w:trPr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26FA" w:rsidRPr="00F926FA" w:rsidRDefault="00F926FA" w:rsidP="00F926F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677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F926FA" w:rsidRDefault="00F926FA" w:rsidP="00C51C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Roky 2012</w:t>
            </w:r>
            <w:r w:rsidR="00C51C7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–</w:t>
            </w:r>
            <w:r w:rsidRPr="00F926F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/>
              </w:rPr>
              <w:t>2014</w:t>
            </w:r>
          </w:p>
        </w:tc>
      </w:tr>
      <w:tr w:rsidR="00F926FA" w:rsidRPr="00F926FA" w:rsidTr="00C65CFB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F926FA" w:rsidRDefault="00F926FA" w:rsidP="00F926F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Praha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Ostrava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Č. Budějovice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Ústí n. L.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6FA" w:rsidRPr="00C65CFB" w:rsidRDefault="00F926FA" w:rsidP="00F926F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</w:pPr>
            <w:r w:rsidRPr="00C65CFB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  <w:lang w:val="cs-CZ"/>
              </w:rPr>
              <w:t>KŘP H. Králové</w:t>
            </w:r>
          </w:p>
        </w:tc>
      </w:tr>
      <w:tr w:rsidR="001F3B54" w:rsidRPr="00F926FA" w:rsidTr="00C65CFB">
        <w:trPr>
          <w:trHeight w:val="283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F926FA" w:rsidRDefault="001F3B54" w:rsidP="00F926F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Náklady celkem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1F3B54" w:rsidRDefault="001F3B54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</w:pPr>
            <w:r w:rsidRPr="001F3B54"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 xml:space="preserve">13 927 306 087,33   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1F3B54" w:rsidRDefault="001F3B5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1F3B54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8 010 388 016,02   </w:t>
            </w:r>
          </w:p>
        </w:tc>
        <w:tc>
          <w:tcPr>
            <w:tcW w:w="14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1F3B54" w:rsidRDefault="001F3B5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1F3B54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4 970 971 790,28   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54" w:rsidRPr="001F3B54" w:rsidRDefault="001F3B5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1F3B54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6 767 021 401,96   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3B54" w:rsidRPr="001F3B54" w:rsidRDefault="001F3B5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 w:rsidRPr="001F3B54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3 823 199 351,13   </w:t>
            </w:r>
          </w:p>
        </w:tc>
      </w:tr>
      <w:tr w:rsidR="00741916" w:rsidRPr="00F926FA" w:rsidTr="00C65CFB">
        <w:trPr>
          <w:trHeight w:val="283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F926FA" w:rsidRDefault="00741916" w:rsidP="00433A18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  <w:t>Náklady celkem na počet obyvatel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F926FA" w:rsidRDefault="00741916" w:rsidP="00433A18">
            <w:pPr>
              <w:jc w:val="right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  <w:t xml:space="preserve">3 714,67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F926FA" w:rsidRDefault="00741916" w:rsidP="00433A18">
            <w:pPr>
              <w:jc w:val="right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  <w:t xml:space="preserve">2 184,50  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F926FA" w:rsidRDefault="00741916" w:rsidP="00433A18">
            <w:pPr>
              <w:jc w:val="right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  <w:t xml:space="preserve">2 601,95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F926FA" w:rsidRDefault="00741916" w:rsidP="00433A18">
            <w:pPr>
              <w:jc w:val="right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  <w:t xml:space="preserve">2 733,09  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1916" w:rsidRPr="00F926FA" w:rsidRDefault="00741916" w:rsidP="00433A18">
            <w:pPr>
              <w:jc w:val="right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</w:pPr>
            <w:r w:rsidRPr="00F926FA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cs-CZ"/>
              </w:rPr>
              <w:t xml:space="preserve">2 304,90   </w:t>
            </w:r>
          </w:p>
        </w:tc>
      </w:tr>
      <w:tr w:rsidR="00741916" w:rsidRPr="00F926FA" w:rsidTr="00C65CFB">
        <w:trPr>
          <w:trHeight w:val="283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F926FA" w:rsidRDefault="00741916" w:rsidP="00F926F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Počet obyvatel kraje k</w:t>
            </w:r>
            <w:r w:rsidR="00D005D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31. 12. 2012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>1</w:t>
            </w:r>
            <w:r w:rsidR="00D005DD"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>246 780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1</w:t>
            </w:r>
            <w:r w:rsidR="00D005D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226 602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636 611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826 764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552 946</w:t>
            </w:r>
          </w:p>
        </w:tc>
      </w:tr>
      <w:tr w:rsidR="00741916" w:rsidRPr="00F926FA" w:rsidTr="00C65CFB">
        <w:trPr>
          <w:trHeight w:val="283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F926FA" w:rsidRDefault="00741916" w:rsidP="0074191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Počet obyvatel kraje k</w:t>
            </w:r>
            <w:r w:rsidR="00D005D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31. 12. 2013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>1</w:t>
            </w:r>
            <w:r w:rsidR="00D005DD"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>243 201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1</w:t>
            </w:r>
            <w:r w:rsidR="00D005D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221 832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636 707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825 120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551 909</w:t>
            </w:r>
          </w:p>
        </w:tc>
      </w:tr>
      <w:tr w:rsidR="00741916" w:rsidRPr="00F926FA" w:rsidTr="00C65CFB">
        <w:trPr>
          <w:trHeight w:val="283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F926FA" w:rsidRDefault="00741916" w:rsidP="0074191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Počet obyvatel kraje k</w:t>
            </w:r>
            <w:r w:rsidR="00D005D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31. 12. 2014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>1</w:t>
            </w:r>
            <w:r w:rsidR="00D005DD"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5"/>
                <w:szCs w:val="15"/>
                <w:lang w:val="cs-CZ"/>
              </w:rPr>
              <w:t>259 079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1</w:t>
            </w:r>
            <w:r w:rsidR="00D005DD"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217 676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637 300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823 972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1916" w:rsidRPr="001F3B54" w:rsidRDefault="0074191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s-CZ"/>
              </w:rPr>
              <w:t>551 590</w:t>
            </w:r>
          </w:p>
        </w:tc>
      </w:tr>
    </w:tbl>
    <w:p w:rsidR="00F926FA" w:rsidRPr="005A0E20" w:rsidRDefault="005A0E20" w:rsidP="005A0E20">
      <w:pPr>
        <w:spacing w:before="40"/>
        <w:ind w:left="567" w:hanging="567"/>
        <w:rPr>
          <w:rFonts w:ascii="Calibri" w:hAnsi="Calibri" w:cs="Calibri"/>
          <w:sz w:val="20"/>
          <w:szCs w:val="20"/>
          <w:lang w:val="cs-CZ"/>
        </w:rPr>
      </w:pPr>
      <w:r w:rsidRPr="00C65CFB">
        <w:rPr>
          <w:rFonts w:ascii="Calibri" w:hAnsi="Calibri" w:cs="Calibri"/>
          <w:b/>
          <w:sz w:val="20"/>
          <w:szCs w:val="20"/>
          <w:lang w:val="cs-CZ"/>
        </w:rPr>
        <w:t>Zdroj:</w:t>
      </w:r>
      <w:r>
        <w:rPr>
          <w:rFonts w:ascii="Calibri" w:hAnsi="Calibri" w:cs="Calibri"/>
          <w:sz w:val="20"/>
          <w:szCs w:val="20"/>
          <w:lang w:val="cs-CZ"/>
        </w:rPr>
        <w:tab/>
      </w:r>
      <w:r w:rsidR="00C51C7D">
        <w:rPr>
          <w:rFonts w:ascii="Calibri" w:hAnsi="Calibri" w:cs="Calibri"/>
          <w:sz w:val="20"/>
          <w:szCs w:val="20"/>
          <w:lang w:val="cs-CZ"/>
        </w:rPr>
        <w:t>ú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 xml:space="preserve">četní závěrky </w:t>
      </w:r>
      <w:r w:rsidR="000A252C" w:rsidRPr="005A0E20">
        <w:rPr>
          <w:rFonts w:ascii="Calibri" w:hAnsi="Calibri" w:cs="Calibri"/>
          <w:sz w:val="20"/>
          <w:szCs w:val="20"/>
          <w:lang w:val="cs-CZ"/>
        </w:rPr>
        <w:t>kontrolovaných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 xml:space="preserve"> KŘP sestavené k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>31.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>12.</w:t>
      </w:r>
      <w:r w:rsidR="00D005DD" w:rsidRPr="005A0E20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926FA" w:rsidRPr="005A0E20">
        <w:rPr>
          <w:rFonts w:ascii="Calibri" w:hAnsi="Calibri" w:cs="Calibri"/>
          <w:sz w:val="20"/>
          <w:szCs w:val="20"/>
          <w:lang w:val="cs-CZ"/>
        </w:rPr>
        <w:t xml:space="preserve">2012, 2013 a 2014; </w:t>
      </w:r>
      <w:r w:rsidR="00C51C7D">
        <w:rPr>
          <w:rFonts w:ascii="Calibri" w:hAnsi="Calibri" w:cs="Calibri"/>
          <w:sz w:val="20"/>
          <w:szCs w:val="20"/>
          <w:lang w:val="cs-CZ"/>
        </w:rPr>
        <w:t>ú</w:t>
      </w:r>
      <w:r w:rsidR="00A66C9B" w:rsidRPr="005A0E20">
        <w:rPr>
          <w:rFonts w:ascii="Calibri" w:hAnsi="Calibri" w:cs="Calibri"/>
          <w:sz w:val="20"/>
          <w:szCs w:val="20"/>
          <w:lang w:val="cs-CZ"/>
        </w:rPr>
        <w:t>daje o počtu obyvatel vybraných krajů zveřejněné Českým statistickým úřadem.</w:t>
      </w:r>
    </w:p>
    <w:sectPr w:rsidR="00F926FA" w:rsidRPr="005A0E20" w:rsidSect="00EC780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60" w:rsidRDefault="00E03860" w:rsidP="00805469">
      <w:r>
        <w:separator/>
      </w:r>
    </w:p>
  </w:endnote>
  <w:endnote w:type="continuationSeparator" w:id="0">
    <w:p w:rsidR="00E03860" w:rsidRDefault="00E03860" w:rsidP="0080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860" w:rsidRPr="007E446C" w:rsidRDefault="003516FE" w:rsidP="007E446C">
    <w:pPr>
      <w:pStyle w:val="Zpat"/>
      <w:tabs>
        <w:tab w:val="clear" w:pos="4536"/>
      </w:tabs>
      <w:jc w:val="center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63117572"/>
        <w:docPartObj>
          <w:docPartGallery w:val="Page Numbers (Bottom of Page)"/>
          <w:docPartUnique/>
        </w:docPartObj>
      </w:sdtPr>
      <w:sdtEndPr/>
      <w:sdtContent>
        <w:r w:rsidR="00E03860" w:rsidRPr="00EC780C">
          <w:rPr>
            <w:rFonts w:asciiTheme="minorHAnsi" w:hAnsiTheme="minorHAnsi" w:cstheme="minorHAnsi"/>
          </w:rPr>
          <w:fldChar w:fldCharType="begin"/>
        </w:r>
        <w:r w:rsidR="00E03860" w:rsidRPr="00EC780C">
          <w:rPr>
            <w:rFonts w:asciiTheme="minorHAnsi" w:hAnsiTheme="minorHAnsi" w:cstheme="minorHAnsi"/>
          </w:rPr>
          <w:instrText>PAGE   \* MERGEFORMAT</w:instrText>
        </w:r>
        <w:r w:rsidR="00E03860" w:rsidRPr="00EC780C">
          <w:rPr>
            <w:rFonts w:asciiTheme="minorHAnsi" w:hAnsiTheme="minorHAnsi" w:cstheme="minorHAnsi"/>
          </w:rPr>
          <w:fldChar w:fldCharType="separate"/>
        </w:r>
        <w:r w:rsidRPr="003516FE">
          <w:rPr>
            <w:rFonts w:asciiTheme="minorHAnsi" w:hAnsiTheme="minorHAnsi" w:cstheme="minorHAnsi"/>
            <w:noProof/>
            <w:lang w:val="cs-CZ"/>
          </w:rPr>
          <w:t>2</w:t>
        </w:r>
        <w:r w:rsidR="00E03860" w:rsidRPr="00EC780C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60" w:rsidRDefault="00E03860" w:rsidP="00805469">
      <w:r>
        <w:separator/>
      </w:r>
    </w:p>
  </w:footnote>
  <w:footnote w:type="continuationSeparator" w:id="0">
    <w:p w:rsidR="00E03860" w:rsidRDefault="00E03860" w:rsidP="00805469">
      <w:r>
        <w:continuationSeparator/>
      </w:r>
    </w:p>
  </w:footnote>
  <w:footnote w:id="1">
    <w:p w:rsidR="00E03860" w:rsidRPr="00F2245E" w:rsidRDefault="00E03860" w:rsidP="00F2245E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F2245E">
        <w:rPr>
          <w:rStyle w:val="Znakapoznpodarou"/>
          <w:rFonts w:ascii="Calibri" w:hAnsi="Calibri" w:cs="Calibri"/>
        </w:rPr>
        <w:footnoteRef/>
      </w:r>
      <w:r w:rsidRPr="00F2245E">
        <w:rPr>
          <w:rFonts w:ascii="Calibri" w:hAnsi="Calibri" w:cs="Calibri"/>
        </w:rPr>
        <w:t xml:space="preserve"> </w:t>
      </w:r>
      <w:r w:rsidRPr="00F2245E">
        <w:rPr>
          <w:rFonts w:ascii="Calibri" w:hAnsi="Calibri" w:cs="Calibri"/>
        </w:rPr>
        <w:tab/>
      </w:r>
      <w:r w:rsidRPr="00F2245E">
        <w:rPr>
          <w:rFonts w:ascii="Calibri" w:hAnsi="Calibri" w:cs="Calibri"/>
          <w:lang w:val="cs-CZ"/>
        </w:rPr>
        <w:t>Zákon č. 273/2008 Sb., o Policii České republiky, ve znění pozdějších předpisů</w:t>
      </w:r>
      <w:r>
        <w:rPr>
          <w:rFonts w:ascii="Calibri" w:hAnsi="Calibri" w:cs="Calibri"/>
          <w:lang w:val="cs-CZ"/>
        </w:rPr>
        <w:t>.</w:t>
      </w:r>
    </w:p>
  </w:footnote>
  <w:footnote w:id="2">
    <w:p w:rsidR="00E03860" w:rsidRPr="00DF6451" w:rsidRDefault="00E03860" w:rsidP="00DF6451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DF6451">
        <w:rPr>
          <w:rFonts w:ascii="Calibri" w:hAnsi="Calibri" w:cs="Calibri"/>
          <w:vertAlign w:val="superscript"/>
          <w:lang w:val="cs-CZ"/>
        </w:rPr>
        <w:footnoteRef/>
      </w:r>
      <w:r w:rsidRPr="00DF6451">
        <w:rPr>
          <w:rFonts w:ascii="Calibri" w:hAnsi="Calibri" w:cs="Calibri"/>
          <w:lang w:val="cs-CZ"/>
        </w:rPr>
        <w:t xml:space="preserve"> </w:t>
      </w:r>
      <w:r w:rsidRPr="00DF6451"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>Porušení z</w:t>
      </w:r>
      <w:r w:rsidRPr="00DF6451">
        <w:rPr>
          <w:rFonts w:ascii="Calibri" w:hAnsi="Calibri" w:cs="Calibri"/>
          <w:lang w:val="cs-CZ"/>
        </w:rPr>
        <w:t>ákon</w:t>
      </w:r>
      <w:r>
        <w:rPr>
          <w:rFonts w:ascii="Calibri" w:hAnsi="Calibri" w:cs="Calibri"/>
          <w:lang w:val="cs-CZ"/>
        </w:rPr>
        <w:t>a</w:t>
      </w:r>
      <w:r w:rsidRPr="00DF6451">
        <w:rPr>
          <w:rFonts w:ascii="Calibri" w:hAnsi="Calibri" w:cs="Calibri"/>
          <w:lang w:val="cs-CZ"/>
        </w:rPr>
        <w:t xml:space="preserve"> č. 563/1991 Sb., o účetnictví, ve znění pozdějších předpisů.</w:t>
      </w:r>
    </w:p>
  </w:footnote>
  <w:footnote w:id="3">
    <w:p w:rsidR="00E03860" w:rsidRPr="00DF6451" w:rsidRDefault="00E03860" w:rsidP="00DF6451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DF6451">
        <w:rPr>
          <w:rFonts w:ascii="Calibri" w:hAnsi="Calibri" w:cs="Calibri"/>
          <w:vertAlign w:val="superscript"/>
          <w:lang w:val="cs-CZ"/>
        </w:rPr>
        <w:footnoteRef/>
      </w:r>
      <w:r w:rsidRPr="00DF6451">
        <w:rPr>
          <w:rFonts w:ascii="Calibri" w:hAnsi="Calibri" w:cs="Calibri"/>
          <w:lang w:val="cs-CZ"/>
        </w:rPr>
        <w:t xml:space="preserve"> </w:t>
      </w:r>
      <w:r w:rsidRPr="00DF6451"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>Porušení z</w:t>
      </w:r>
      <w:r w:rsidRPr="00DF6451">
        <w:rPr>
          <w:rFonts w:ascii="Calibri" w:hAnsi="Calibri" w:cs="Calibri"/>
          <w:lang w:val="cs-CZ"/>
        </w:rPr>
        <w:t>ákon</w:t>
      </w:r>
      <w:r>
        <w:rPr>
          <w:rFonts w:ascii="Calibri" w:hAnsi="Calibri" w:cs="Calibri"/>
          <w:lang w:val="cs-CZ"/>
        </w:rPr>
        <w:t>a</w:t>
      </w:r>
      <w:r w:rsidRPr="00DF6451">
        <w:rPr>
          <w:rFonts w:ascii="Calibri" w:hAnsi="Calibri" w:cs="Calibri"/>
          <w:lang w:val="cs-CZ"/>
        </w:rPr>
        <w:t xml:space="preserve"> č. 137/2006 Sb., o veřejných zakázkách, ve znění pozdějších předpisů.</w:t>
      </w:r>
    </w:p>
  </w:footnote>
  <w:footnote w:id="4">
    <w:p w:rsidR="00E03860" w:rsidRPr="00DF6451" w:rsidRDefault="00E03860" w:rsidP="00DF6451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DF6451">
        <w:rPr>
          <w:rFonts w:ascii="Calibri" w:hAnsi="Calibri" w:cs="Calibri"/>
          <w:vertAlign w:val="superscript"/>
          <w:lang w:val="cs-CZ"/>
        </w:rPr>
        <w:footnoteRef/>
      </w:r>
      <w:r w:rsidRPr="00DF6451">
        <w:rPr>
          <w:rFonts w:ascii="Calibri" w:hAnsi="Calibri" w:cs="Calibri"/>
          <w:lang w:val="cs-CZ"/>
        </w:rPr>
        <w:t xml:space="preserve"> </w:t>
      </w:r>
      <w:r w:rsidRPr="00DF6451"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>Porušení z</w:t>
      </w:r>
      <w:r w:rsidRPr="00DF6451">
        <w:rPr>
          <w:rFonts w:ascii="Calibri" w:hAnsi="Calibri" w:cs="Calibri"/>
          <w:lang w:val="cs-CZ"/>
        </w:rPr>
        <w:t>ákon</w:t>
      </w:r>
      <w:r>
        <w:rPr>
          <w:rFonts w:ascii="Calibri" w:hAnsi="Calibri" w:cs="Calibri"/>
          <w:lang w:val="cs-CZ"/>
        </w:rPr>
        <w:t>a</w:t>
      </w:r>
      <w:r w:rsidRPr="00DF6451">
        <w:rPr>
          <w:rFonts w:ascii="Calibri" w:hAnsi="Calibri" w:cs="Calibri"/>
          <w:lang w:val="cs-CZ"/>
        </w:rPr>
        <w:t xml:space="preserve"> č. 219/2000 Sb., o majetku České republiky a jejím vystupování v právních vztazích, ve znění pozdějších předpisů.</w:t>
      </w:r>
    </w:p>
  </w:footnote>
  <w:footnote w:id="5">
    <w:p w:rsidR="00E03860" w:rsidRPr="00DF6451" w:rsidRDefault="00E03860" w:rsidP="00DF6451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DF6451">
        <w:rPr>
          <w:rFonts w:ascii="Calibri" w:hAnsi="Calibri" w:cs="Calibri"/>
          <w:vertAlign w:val="superscript"/>
          <w:lang w:val="cs-CZ"/>
        </w:rPr>
        <w:footnoteRef/>
      </w:r>
      <w:r w:rsidRPr="00DF6451">
        <w:rPr>
          <w:rFonts w:ascii="Calibri" w:hAnsi="Calibri" w:cs="Calibri"/>
          <w:lang w:val="cs-CZ"/>
        </w:rPr>
        <w:t xml:space="preserve"> </w:t>
      </w:r>
      <w:r w:rsidRPr="00DF6451"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>Porušení z</w:t>
      </w:r>
      <w:r w:rsidRPr="00DF6451">
        <w:rPr>
          <w:rFonts w:ascii="Calibri" w:hAnsi="Calibri" w:cs="Calibri"/>
          <w:lang w:val="cs-CZ"/>
        </w:rPr>
        <w:t>ákon</w:t>
      </w:r>
      <w:r>
        <w:rPr>
          <w:rFonts w:ascii="Calibri" w:hAnsi="Calibri" w:cs="Calibri"/>
          <w:lang w:val="cs-CZ"/>
        </w:rPr>
        <w:t>a</w:t>
      </w:r>
      <w:r w:rsidRPr="00DF6451">
        <w:rPr>
          <w:rFonts w:ascii="Calibri" w:hAnsi="Calibri" w:cs="Calibri"/>
          <w:lang w:val="cs-CZ"/>
        </w:rPr>
        <w:t xml:space="preserve"> č. 218/2000 Sb., o rozpočtových pravidlech a o změně některých souvisejících zákonů (rozpočtová pravidla),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74782"/>
    <w:multiLevelType w:val="hybridMultilevel"/>
    <w:tmpl w:val="11F43B62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65EE2"/>
    <w:multiLevelType w:val="hybridMultilevel"/>
    <w:tmpl w:val="382E9E7E"/>
    <w:lvl w:ilvl="0" w:tplc="814CD9D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D20253"/>
    <w:multiLevelType w:val="hybridMultilevel"/>
    <w:tmpl w:val="50B25104"/>
    <w:lvl w:ilvl="0" w:tplc="397005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A2ECB"/>
    <w:multiLevelType w:val="multilevel"/>
    <w:tmpl w:val="8A8EF8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>
      <w:start w:val="1"/>
      <w:numFmt w:val="upperRoman"/>
      <w:lvlText w:val="%2.1.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68"/>
    <w:rsid w:val="00013802"/>
    <w:rsid w:val="00031A8C"/>
    <w:rsid w:val="00046B99"/>
    <w:rsid w:val="00052BD2"/>
    <w:rsid w:val="0005441B"/>
    <w:rsid w:val="00062C39"/>
    <w:rsid w:val="00063358"/>
    <w:rsid w:val="000812E1"/>
    <w:rsid w:val="00086DDC"/>
    <w:rsid w:val="00093A01"/>
    <w:rsid w:val="000A252C"/>
    <w:rsid w:val="000A3438"/>
    <w:rsid w:val="000B1DB4"/>
    <w:rsid w:val="000D0C4F"/>
    <w:rsid w:val="000D434D"/>
    <w:rsid w:val="000D5FF2"/>
    <w:rsid w:val="000E4819"/>
    <w:rsid w:val="00126229"/>
    <w:rsid w:val="00135E42"/>
    <w:rsid w:val="00145C2F"/>
    <w:rsid w:val="00145C37"/>
    <w:rsid w:val="00154D31"/>
    <w:rsid w:val="001577B8"/>
    <w:rsid w:val="00166452"/>
    <w:rsid w:val="0018751C"/>
    <w:rsid w:val="0018797E"/>
    <w:rsid w:val="0019281F"/>
    <w:rsid w:val="001A23E9"/>
    <w:rsid w:val="001A48D4"/>
    <w:rsid w:val="001A4A33"/>
    <w:rsid w:val="001B0DE8"/>
    <w:rsid w:val="001B2639"/>
    <w:rsid w:val="001C2471"/>
    <w:rsid w:val="001C733A"/>
    <w:rsid w:val="001D6EA2"/>
    <w:rsid w:val="001E3B35"/>
    <w:rsid w:val="001F2AA4"/>
    <w:rsid w:val="001F3B54"/>
    <w:rsid w:val="002028C5"/>
    <w:rsid w:val="00205D03"/>
    <w:rsid w:val="00210782"/>
    <w:rsid w:val="0022304C"/>
    <w:rsid w:val="0022580B"/>
    <w:rsid w:val="00226C78"/>
    <w:rsid w:val="00256206"/>
    <w:rsid w:val="00273F2B"/>
    <w:rsid w:val="002959C7"/>
    <w:rsid w:val="002A550B"/>
    <w:rsid w:val="002B36C8"/>
    <w:rsid w:val="002D6046"/>
    <w:rsid w:val="002D68FD"/>
    <w:rsid w:val="002E1811"/>
    <w:rsid w:val="002F64C4"/>
    <w:rsid w:val="003073C3"/>
    <w:rsid w:val="0031390C"/>
    <w:rsid w:val="00316958"/>
    <w:rsid w:val="00322000"/>
    <w:rsid w:val="00343887"/>
    <w:rsid w:val="003516FE"/>
    <w:rsid w:val="00352253"/>
    <w:rsid w:val="003576B0"/>
    <w:rsid w:val="003627CC"/>
    <w:rsid w:val="00365C3D"/>
    <w:rsid w:val="00375570"/>
    <w:rsid w:val="00390E0E"/>
    <w:rsid w:val="00391D7C"/>
    <w:rsid w:val="003A4D68"/>
    <w:rsid w:val="003A56F5"/>
    <w:rsid w:val="003C5490"/>
    <w:rsid w:val="003C78C1"/>
    <w:rsid w:val="003E2D72"/>
    <w:rsid w:val="003F393F"/>
    <w:rsid w:val="003F7A1A"/>
    <w:rsid w:val="0040318D"/>
    <w:rsid w:val="0040483B"/>
    <w:rsid w:val="00404CA5"/>
    <w:rsid w:val="0041186B"/>
    <w:rsid w:val="00420572"/>
    <w:rsid w:val="00432875"/>
    <w:rsid w:val="00433A18"/>
    <w:rsid w:val="004628BF"/>
    <w:rsid w:val="004704EB"/>
    <w:rsid w:val="0047269A"/>
    <w:rsid w:val="00472DFA"/>
    <w:rsid w:val="0047793E"/>
    <w:rsid w:val="004A1921"/>
    <w:rsid w:val="004A21AC"/>
    <w:rsid w:val="004B5773"/>
    <w:rsid w:val="004D32FC"/>
    <w:rsid w:val="004D4691"/>
    <w:rsid w:val="004D73B5"/>
    <w:rsid w:val="004F7F16"/>
    <w:rsid w:val="00507FE3"/>
    <w:rsid w:val="00511395"/>
    <w:rsid w:val="00512B21"/>
    <w:rsid w:val="0051502F"/>
    <w:rsid w:val="00520A85"/>
    <w:rsid w:val="005233D4"/>
    <w:rsid w:val="00562595"/>
    <w:rsid w:val="005638DF"/>
    <w:rsid w:val="005813FC"/>
    <w:rsid w:val="00582137"/>
    <w:rsid w:val="00584149"/>
    <w:rsid w:val="0058472A"/>
    <w:rsid w:val="00590C9C"/>
    <w:rsid w:val="005912A3"/>
    <w:rsid w:val="00592E89"/>
    <w:rsid w:val="00597F1E"/>
    <w:rsid w:val="005A0E20"/>
    <w:rsid w:val="005A3551"/>
    <w:rsid w:val="005A4E42"/>
    <w:rsid w:val="005A53E0"/>
    <w:rsid w:val="005C46B3"/>
    <w:rsid w:val="005D4723"/>
    <w:rsid w:val="005E1BE3"/>
    <w:rsid w:val="005F32F2"/>
    <w:rsid w:val="0060236C"/>
    <w:rsid w:val="00602C52"/>
    <w:rsid w:val="00602D1F"/>
    <w:rsid w:val="0061079F"/>
    <w:rsid w:val="006303CA"/>
    <w:rsid w:val="00634586"/>
    <w:rsid w:val="00636BE4"/>
    <w:rsid w:val="00645659"/>
    <w:rsid w:val="00652691"/>
    <w:rsid w:val="006613FD"/>
    <w:rsid w:val="006942CB"/>
    <w:rsid w:val="006A63C5"/>
    <w:rsid w:val="006B5528"/>
    <w:rsid w:val="006C4177"/>
    <w:rsid w:val="006C5273"/>
    <w:rsid w:val="006D0EFF"/>
    <w:rsid w:val="006E0558"/>
    <w:rsid w:val="006E3E75"/>
    <w:rsid w:val="007317A7"/>
    <w:rsid w:val="00741916"/>
    <w:rsid w:val="007677E4"/>
    <w:rsid w:val="007764C2"/>
    <w:rsid w:val="00784B14"/>
    <w:rsid w:val="007A0AF0"/>
    <w:rsid w:val="007A43D2"/>
    <w:rsid w:val="007C4A31"/>
    <w:rsid w:val="007E04D1"/>
    <w:rsid w:val="007E446C"/>
    <w:rsid w:val="008006E3"/>
    <w:rsid w:val="008043A2"/>
    <w:rsid w:val="00805469"/>
    <w:rsid w:val="00812F83"/>
    <w:rsid w:val="008200D8"/>
    <w:rsid w:val="00835F96"/>
    <w:rsid w:val="008465E3"/>
    <w:rsid w:val="00866AB0"/>
    <w:rsid w:val="00873F0E"/>
    <w:rsid w:val="00875F0A"/>
    <w:rsid w:val="00880628"/>
    <w:rsid w:val="008B69AF"/>
    <w:rsid w:val="008C5494"/>
    <w:rsid w:val="008D489C"/>
    <w:rsid w:val="008D5502"/>
    <w:rsid w:val="008E3C8F"/>
    <w:rsid w:val="008F299D"/>
    <w:rsid w:val="00901056"/>
    <w:rsid w:val="00902F51"/>
    <w:rsid w:val="00923E21"/>
    <w:rsid w:val="00925239"/>
    <w:rsid w:val="009272D3"/>
    <w:rsid w:val="009334FD"/>
    <w:rsid w:val="009403E7"/>
    <w:rsid w:val="00973696"/>
    <w:rsid w:val="00977BBF"/>
    <w:rsid w:val="00990916"/>
    <w:rsid w:val="00990E7B"/>
    <w:rsid w:val="00994FE4"/>
    <w:rsid w:val="009C257D"/>
    <w:rsid w:val="009E043F"/>
    <w:rsid w:val="009F2008"/>
    <w:rsid w:val="00A2261B"/>
    <w:rsid w:val="00A26F23"/>
    <w:rsid w:val="00A52042"/>
    <w:rsid w:val="00A52552"/>
    <w:rsid w:val="00A613E4"/>
    <w:rsid w:val="00A66C9B"/>
    <w:rsid w:val="00A933DB"/>
    <w:rsid w:val="00AA269E"/>
    <w:rsid w:val="00AA340A"/>
    <w:rsid w:val="00AA414C"/>
    <w:rsid w:val="00AB1165"/>
    <w:rsid w:val="00AB4F8F"/>
    <w:rsid w:val="00AB655C"/>
    <w:rsid w:val="00AC2364"/>
    <w:rsid w:val="00AD75A0"/>
    <w:rsid w:val="00B00107"/>
    <w:rsid w:val="00B16DC5"/>
    <w:rsid w:val="00B17F5C"/>
    <w:rsid w:val="00B30BB9"/>
    <w:rsid w:val="00B44061"/>
    <w:rsid w:val="00B4437C"/>
    <w:rsid w:val="00B44EF9"/>
    <w:rsid w:val="00B52E98"/>
    <w:rsid w:val="00B60F21"/>
    <w:rsid w:val="00B70D8B"/>
    <w:rsid w:val="00B81695"/>
    <w:rsid w:val="00B83183"/>
    <w:rsid w:val="00BA0150"/>
    <w:rsid w:val="00BD1E8A"/>
    <w:rsid w:val="00BD38D6"/>
    <w:rsid w:val="00BE3885"/>
    <w:rsid w:val="00C101BC"/>
    <w:rsid w:val="00C13F5D"/>
    <w:rsid w:val="00C14087"/>
    <w:rsid w:val="00C31659"/>
    <w:rsid w:val="00C347F2"/>
    <w:rsid w:val="00C51C7D"/>
    <w:rsid w:val="00C51E2F"/>
    <w:rsid w:val="00C52A3A"/>
    <w:rsid w:val="00C65CFB"/>
    <w:rsid w:val="00C668B1"/>
    <w:rsid w:val="00C9498F"/>
    <w:rsid w:val="00C96AAD"/>
    <w:rsid w:val="00CA1C13"/>
    <w:rsid w:val="00CA5BE5"/>
    <w:rsid w:val="00CB46D6"/>
    <w:rsid w:val="00CC2305"/>
    <w:rsid w:val="00CC305B"/>
    <w:rsid w:val="00CC4662"/>
    <w:rsid w:val="00CF26FA"/>
    <w:rsid w:val="00D005DD"/>
    <w:rsid w:val="00D146B4"/>
    <w:rsid w:val="00D24D22"/>
    <w:rsid w:val="00D30E0F"/>
    <w:rsid w:val="00D42ADD"/>
    <w:rsid w:val="00D51236"/>
    <w:rsid w:val="00D6573D"/>
    <w:rsid w:val="00D6645C"/>
    <w:rsid w:val="00D73340"/>
    <w:rsid w:val="00D745F6"/>
    <w:rsid w:val="00D97B26"/>
    <w:rsid w:val="00DA08BF"/>
    <w:rsid w:val="00DB1009"/>
    <w:rsid w:val="00DC488F"/>
    <w:rsid w:val="00DC7C88"/>
    <w:rsid w:val="00DF3BA0"/>
    <w:rsid w:val="00DF6451"/>
    <w:rsid w:val="00E01DDB"/>
    <w:rsid w:val="00E03860"/>
    <w:rsid w:val="00E05B7E"/>
    <w:rsid w:val="00E16558"/>
    <w:rsid w:val="00E17907"/>
    <w:rsid w:val="00E210C2"/>
    <w:rsid w:val="00E239DC"/>
    <w:rsid w:val="00E35AAA"/>
    <w:rsid w:val="00E50C11"/>
    <w:rsid w:val="00E81C49"/>
    <w:rsid w:val="00E87713"/>
    <w:rsid w:val="00EA1A26"/>
    <w:rsid w:val="00EA3C62"/>
    <w:rsid w:val="00EB0A75"/>
    <w:rsid w:val="00EC24F2"/>
    <w:rsid w:val="00EC780C"/>
    <w:rsid w:val="00ED47E4"/>
    <w:rsid w:val="00EE09DE"/>
    <w:rsid w:val="00EE5F05"/>
    <w:rsid w:val="00EF404A"/>
    <w:rsid w:val="00EF493F"/>
    <w:rsid w:val="00F045F3"/>
    <w:rsid w:val="00F2245E"/>
    <w:rsid w:val="00F24CC7"/>
    <w:rsid w:val="00F263DE"/>
    <w:rsid w:val="00F26E86"/>
    <w:rsid w:val="00F6552F"/>
    <w:rsid w:val="00F672A1"/>
    <w:rsid w:val="00F73ABE"/>
    <w:rsid w:val="00F84C9D"/>
    <w:rsid w:val="00F87FBD"/>
    <w:rsid w:val="00F926FA"/>
    <w:rsid w:val="00FA2016"/>
    <w:rsid w:val="00FB3FCF"/>
    <w:rsid w:val="00FC2F79"/>
    <w:rsid w:val="00FD0F7E"/>
    <w:rsid w:val="00FD3C92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F9F241B-52F2-472A-B175-41D5FB21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A4D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4D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D68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805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4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805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4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139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139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51139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1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139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11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B68EA-98E3-4BF2-B9E1-9BA5B109480A}"/>
</file>

<file path=customXml/itemProps2.xml><?xml version="1.0" encoding="utf-8"?>
<ds:datastoreItem xmlns:ds="http://schemas.openxmlformats.org/officeDocument/2006/customXml" ds:itemID="{15DD922B-5ACE-41BE-B60F-B1738E030CC4}"/>
</file>

<file path=customXml/itemProps3.xml><?xml version="1.0" encoding="utf-8"?>
<ds:datastoreItem xmlns:ds="http://schemas.openxmlformats.org/officeDocument/2006/customXml" ds:itemID="{75A19BF4-9C98-4EC2-91FC-41E02DD4508A}"/>
</file>

<file path=customXml/itemProps4.xml><?xml version="1.0" encoding="utf-8"?>
<ds:datastoreItem xmlns:ds="http://schemas.openxmlformats.org/officeDocument/2006/customXml" ds:itemID="{A660B522-0B23-45ED-B6BB-308F9FF94A1E}"/>
</file>

<file path=docProps/app.xml><?xml version="1.0" encoding="utf-8"?>
<Properties xmlns="http://schemas.openxmlformats.org/officeDocument/2006/extended-properties" xmlns:vt="http://schemas.openxmlformats.org/officeDocument/2006/docPropsVTypes">
  <Template>E7E1F4D2.dotm</Template>
  <TotalTime>0</TotalTime>
  <Pages>13</Pages>
  <Words>5382</Words>
  <Characters>31759</Characters>
  <Application>Microsoft Office Word</Application>
  <DocSecurity>4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14/35</dc:title>
  <dc:creator>Nejvyšší kontrolní úřad</dc:creator>
  <dc:description/>
  <cp:lastModifiedBy>KOKRDA Daniel</cp:lastModifiedBy>
  <cp:revision>2</cp:revision>
  <cp:lastPrinted>2015-12-14T13:23:00Z</cp:lastPrinted>
  <dcterms:created xsi:type="dcterms:W3CDTF">2016-01-06T10:05:00Z</dcterms:created>
  <dcterms:modified xsi:type="dcterms:W3CDTF">2016-01-06T10:05:00Z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