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61" w:rsidRDefault="00FE292B" w:rsidP="00AC4B8B">
      <w:pPr>
        <w:jc w:val="center"/>
        <w:rPr>
          <w:rFonts w:ascii="Calibri" w:hAnsi="Calibri" w:cs="Calibri"/>
          <w:color w:val="000000"/>
          <w:sz w:val="24"/>
        </w:rPr>
      </w:pPr>
      <w:r w:rsidRPr="00735A61">
        <w:rPr>
          <w:rFonts w:ascii="Calibri" w:hAnsi="Calibri" w:cs="Calibri"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 wp14:anchorId="5CFB1631" wp14:editId="278F327D">
            <wp:simplePos x="0" y="0"/>
            <wp:positionH relativeFrom="column">
              <wp:posOffset>2765425</wp:posOffset>
            </wp:positionH>
            <wp:positionV relativeFrom="paragraph">
              <wp:posOffset>-3810</wp:posOffset>
            </wp:positionV>
            <wp:extent cx="724535" cy="517525"/>
            <wp:effectExtent l="0" t="0" r="0" b="0"/>
            <wp:wrapTopAndBottom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69058"/>
                    <a:stretch/>
                  </pic:blipFill>
                  <pic:spPr bwMode="auto">
                    <a:xfrm>
                      <a:off x="0" y="0"/>
                      <a:ext cx="7245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B8B" w:rsidRPr="00735A61" w:rsidRDefault="00AC4B8B" w:rsidP="00AC4B8B">
      <w:pPr>
        <w:jc w:val="center"/>
        <w:rPr>
          <w:rFonts w:ascii="Calibri" w:hAnsi="Calibri" w:cs="Calibri"/>
          <w:color w:val="000000"/>
          <w:sz w:val="24"/>
        </w:rPr>
      </w:pPr>
    </w:p>
    <w:p w:rsidR="00413B57" w:rsidRPr="00735A61" w:rsidRDefault="00413B57" w:rsidP="00AC4B8B">
      <w:pPr>
        <w:jc w:val="center"/>
        <w:rPr>
          <w:rFonts w:ascii="Calibri" w:hAnsi="Calibri" w:cs="Calibri"/>
          <w:color w:val="000000"/>
          <w:sz w:val="24"/>
        </w:rPr>
      </w:pPr>
    </w:p>
    <w:p w:rsidR="00AC4B8B" w:rsidRPr="00735A61" w:rsidRDefault="00AC4B8B" w:rsidP="00AC4B8B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r w:rsidRPr="00735A61">
        <w:rPr>
          <w:rFonts w:ascii="Calibri" w:hAnsi="Calibri" w:cs="Calibri"/>
          <w:b/>
          <w:color w:val="000000"/>
          <w:sz w:val="28"/>
          <w:szCs w:val="28"/>
        </w:rPr>
        <w:t>Kontrolní závěr z kontrolní akce</w:t>
      </w:r>
    </w:p>
    <w:p w:rsidR="00AC4B8B" w:rsidRPr="00735A61" w:rsidRDefault="00AC4B8B" w:rsidP="00AC4B8B">
      <w:pPr>
        <w:jc w:val="center"/>
        <w:rPr>
          <w:rFonts w:ascii="Calibri" w:hAnsi="Calibri" w:cs="Calibri"/>
          <w:color w:val="000000"/>
          <w:sz w:val="24"/>
        </w:rPr>
      </w:pPr>
    </w:p>
    <w:p w:rsidR="00AC4B8B" w:rsidRPr="00735A61" w:rsidRDefault="00AC4B8B" w:rsidP="00AC4B8B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35A61">
        <w:rPr>
          <w:rFonts w:ascii="Calibri" w:hAnsi="Calibri" w:cs="Calibri"/>
          <w:b/>
          <w:color w:val="000000"/>
          <w:sz w:val="28"/>
          <w:szCs w:val="28"/>
        </w:rPr>
        <w:t>1</w:t>
      </w:r>
      <w:r w:rsidR="007B57B6" w:rsidRPr="00735A61">
        <w:rPr>
          <w:rFonts w:ascii="Calibri" w:hAnsi="Calibri" w:cs="Calibri"/>
          <w:b/>
          <w:color w:val="000000"/>
          <w:sz w:val="28"/>
          <w:szCs w:val="28"/>
        </w:rPr>
        <w:t>4</w:t>
      </w:r>
      <w:r w:rsidRPr="00735A61">
        <w:rPr>
          <w:rFonts w:ascii="Calibri" w:hAnsi="Calibri" w:cs="Calibri"/>
          <w:b/>
          <w:color w:val="000000"/>
          <w:sz w:val="28"/>
          <w:szCs w:val="28"/>
        </w:rPr>
        <w:t>/</w:t>
      </w:r>
      <w:r w:rsidR="007B57B6" w:rsidRPr="00735A61">
        <w:rPr>
          <w:rFonts w:ascii="Calibri" w:hAnsi="Calibri" w:cs="Calibri"/>
          <w:b/>
          <w:color w:val="000000"/>
          <w:sz w:val="28"/>
          <w:szCs w:val="28"/>
        </w:rPr>
        <w:t>38</w:t>
      </w:r>
    </w:p>
    <w:p w:rsidR="00AC4B8B" w:rsidRPr="00735A61" w:rsidRDefault="00AC4B8B" w:rsidP="00AC4B8B">
      <w:pPr>
        <w:jc w:val="center"/>
        <w:rPr>
          <w:rFonts w:ascii="Calibri" w:hAnsi="Calibri" w:cs="Calibri"/>
          <w:color w:val="000000"/>
          <w:sz w:val="24"/>
        </w:rPr>
      </w:pPr>
    </w:p>
    <w:p w:rsidR="00AC4B8B" w:rsidRPr="00735A61" w:rsidRDefault="00AC4B8B" w:rsidP="00AC4B8B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35A61">
        <w:rPr>
          <w:rFonts w:ascii="Calibri" w:hAnsi="Calibri" w:cs="Calibri"/>
          <w:b/>
          <w:bCs/>
          <w:color w:val="000000"/>
          <w:sz w:val="28"/>
          <w:szCs w:val="28"/>
        </w:rPr>
        <w:t>Účetní závěrka České správy sociálního zabezpečení za rok 201</w:t>
      </w:r>
      <w:r w:rsidR="003A771D" w:rsidRPr="00735A61">
        <w:rPr>
          <w:rFonts w:ascii="Calibri" w:hAnsi="Calibri" w:cs="Calibri"/>
          <w:b/>
          <w:bCs/>
          <w:color w:val="000000"/>
          <w:sz w:val="28"/>
          <w:szCs w:val="28"/>
        </w:rPr>
        <w:t>4 a údaje, které jsou Českou správou sociálního zabezpečení předkládány jako podklad pro hodnocení plnění státního rozpočtu</w:t>
      </w:r>
    </w:p>
    <w:bookmarkEnd w:id="0"/>
    <w:p w:rsidR="00AC4B8B" w:rsidRPr="00735A61" w:rsidRDefault="00AC4B8B" w:rsidP="00735A61">
      <w:pPr>
        <w:ind w:firstLine="0"/>
        <w:rPr>
          <w:rFonts w:ascii="Calibri" w:hAnsi="Calibri" w:cs="Calibri"/>
          <w:color w:val="000000"/>
          <w:sz w:val="24"/>
        </w:rPr>
      </w:pPr>
    </w:p>
    <w:p w:rsidR="00AC4B8B" w:rsidRPr="00735A61" w:rsidRDefault="00AC4B8B" w:rsidP="00735A61">
      <w:pPr>
        <w:ind w:firstLine="0"/>
        <w:rPr>
          <w:rFonts w:ascii="Calibri" w:hAnsi="Calibri" w:cs="Calibri"/>
          <w:color w:val="000000"/>
          <w:sz w:val="24"/>
        </w:rPr>
      </w:pP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color w:val="000000"/>
          <w:sz w:val="24"/>
        </w:rPr>
        <w:t>Kontrolní akce byla zařazena do plánu kontrolní činnosti Nejvyššího kontrolního úřadu (dále jen „NKÚ“) na rok 201</w:t>
      </w:r>
      <w:r w:rsidR="00BF52CF" w:rsidRPr="003000D7">
        <w:rPr>
          <w:rFonts w:ascii="Calibri" w:hAnsi="Calibri" w:cs="Calibri"/>
          <w:color w:val="000000"/>
          <w:sz w:val="24"/>
        </w:rPr>
        <w:t>4</w:t>
      </w:r>
      <w:r w:rsidRPr="003000D7">
        <w:rPr>
          <w:rFonts w:ascii="Calibri" w:hAnsi="Calibri" w:cs="Calibri"/>
          <w:color w:val="000000"/>
          <w:sz w:val="24"/>
        </w:rPr>
        <w:t xml:space="preserve"> pod číslem 1</w:t>
      </w:r>
      <w:r w:rsidR="00BF52CF" w:rsidRPr="003000D7">
        <w:rPr>
          <w:rFonts w:ascii="Calibri" w:hAnsi="Calibri" w:cs="Calibri"/>
          <w:color w:val="000000"/>
          <w:sz w:val="24"/>
        </w:rPr>
        <w:t>4</w:t>
      </w:r>
      <w:r w:rsidRPr="003000D7">
        <w:rPr>
          <w:rFonts w:ascii="Calibri" w:hAnsi="Calibri" w:cs="Calibri"/>
          <w:color w:val="000000"/>
          <w:sz w:val="24"/>
        </w:rPr>
        <w:t>/</w:t>
      </w:r>
      <w:r w:rsidR="00BF52CF" w:rsidRPr="003000D7">
        <w:rPr>
          <w:rFonts w:ascii="Calibri" w:hAnsi="Calibri" w:cs="Calibri"/>
          <w:color w:val="000000"/>
          <w:sz w:val="24"/>
        </w:rPr>
        <w:t>38</w:t>
      </w:r>
      <w:r w:rsidRPr="003000D7">
        <w:rPr>
          <w:rFonts w:ascii="Calibri" w:hAnsi="Calibri" w:cs="Calibri"/>
          <w:color w:val="000000"/>
          <w:sz w:val="24"/>
        </w:rPr>
        <w:t>. Kontrolní akci řídil a kontrolní závěr vypracoval člen NKÚ Ing. Jan Vedral.</w:t>
      </w:r>
    </w:p>
    <w:p w:rsidR="009F5A5E" w:rsidRPr="003000D7" w:rsidRDefault="009F5A5E" w:rsidP="00076861">
      <w:pPr>
        <w:spacing w:line="264" w:lineRule="auto"/>
        <w:ind w:firstLine="0"/>
        <w:rPr>
          <w:rFonts w:ascii="Calibri" w:hAnsi="Calibri" w:cs="Calibri"/>
          <w:color w:val="000000"/>
        </w:rPr>
      </w:pPr>
    </w:p>
    <w:p w:rsidR="00BF52CF" w:rsidRPr="003000D7" w:rsidRDefault="007F14CC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3000D7">
        <w:rPr>
          <w:rFonts w:ascii="Calibri" w:hAnsi="Calibri" w:cs="Calibri"/>
          <w:color w:val="000000"/>
          <w:sz w:val="24"/>
        </w:rPr>
        <w:t>Cílem kontroly bylo p</w:t>
      </w:r>
      <w:r w:rsidRPr="003000D7">
        <w:rPr>
          <w:rFonts w:ascii="Calibri" w:hAnsi="Calibri" w:cs="Calibri"/>
          <w:noProof/>
          <w:color w:val="000000"/>
          <w:sz w:val="24"/>
        </w:rPr>
        <w:t>rověřit</w:t>
      </w:r>
      <w:r w:rsidR="00BF52CF" w:rsidRPr="003000D7">
        <w:rPr>
          <w:rFonts w:ascii="Calibri" w:hAnsi="Calibri" w:cs="Calibri"/>
          <w:noProof/>
          <w:color w:val="000000"/>
          <w:sz w:val="24"/>
        </w:rPr>
        <w:t>,</w:t>
      </w:r>
      <w:r w:rsidRPr="003000D7">
        <w:rPr>
          <w:rFonts w:ascii="Calibri" w:hAnsi="Calibri" w:cs="Calibri"/>
          <w:noProof/>
          <w:color w:val="000000"/>
          <w:sz w:val="24"/>
        </w:rPr>
        <w:t xml:space="preserve"> </w:t>
      </w:r>
      <w:r w:rsidR="00BF52CF" w:rsidRPr="003000D7">
        <w:rPr>
          <w:rFonts w:ascii="Calibri" w:hAnsi="Calibri" w:cs="Calibri"/>
          <w:sz w:val="24"/>
        </w:rPr>
        <w:t xml:space="preserve">zda Česká správa sociálního zabezpečení při vedení účetnictví, sestavení účetní závěrky a předkládání údajů pro hodnocení plnění státního rozpočtu za rok 2014 postupovala v souladu s příslušnými právními předpisy. </w:t>
      </w:r>
    </w:p>
    <w:p w:rsidR="009F5A5E" w:rsidRPr="003000D7" w:rsidRDefault="009F5A5E" w:rsidP="00076861">
      <w:pPr>
        <w:spacing w:line="264" w:lineRule="auto"/>
        <w:ind w:firstLine="0"/>
        <w:rPr>
          <w:rFonts w:ascii="Calibri" w:hAnsi="Calibri" w:cs="Calibri"/>
          <w:color w:val="000000"/>
        </w:rPr>
      </w:pP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color w:val="000000"/>
          <w:sz w:val="24"/>
        </w:rPr>
        <w:t>Kontrolovaným obdobím byl rok 201</w:t>
      </w:r>
      <w:r w:rsidR="00BF52CF" w:rsidRPr="003000D7">
        <w:rPr>
          <w:rFonts w:ascii="Calibri" w:hAnsi="Calibri" w:cs="Calibri"/>
          <w:color w:val="000000"/>
          <w:sz w:val="24"/>
        </w:rPr>
        <w:t>4</w:t>
      </w:r>
      <w:r w:rsidR="00E531BB" w:rsidRPr="003000D7">
        <w:rPr>
          <w:rFonts w:ascii="Calibri" w:hAnsi="Calibri" w:cs="Calibri"/>
          <w:color w:val="000000"/>
          <w:sz w:val="24"/>
        </w:rPr>
        <w:t>, v případě</w:t>
      </w:r>
      <w:r w:rsidRPr="003000D7">
        <w:rPr>
          <w:rFonts w:ascii="Calibri" w:hAnsi="Calibri" w:cs="Calibri"/>
          <w:color w:val="000000"/>
          <w:sz w:val="24"/>
        </w:rPr>
        <w:t xml:space="preserve"> související</w:t>
      </w:r>
      <w:r w:rsidR="00E531BB" w:rsidRPr="003000D7">
        <w:rPr>
          <w:rFonts w:ascii="Calibri" w:hAnsi="Calibri" w:cs="Calibri"/>
          <w:color w:val="000000"/>
          <w:sz w:val="24"/>
        </w:rPr>
        <w:t>ch</w:t>
      </w:r>
      <w:r w:rsidRPr="003000D7">
        <w:rPr>
          <w:rFonts w:ascii="Calibri" w:hAnsi="Calibri" w:cs="Calibri"/>
          <w:color w:val="000000"/>
          <w:sz w:val="24"/>
        </w:rPr>
        <w:t xml:space="preserve"> skutečnost</w:t>
      </w:r>
      <w:r w:rsidR="00E531BB" w:rsidRPr="003000D7">
        <w:rPr>
          <w:rFonts w:ascii="Calibri" w:hAnsi="Calibri" w:cs="Calibri"/>
          <w:color w:val="000000"/>
          <w:sz w:val="24"/>
        </w:rPr>
        <w:t>í i období</w:t>
      </w:r>
      <w:r w:rsidRPr="003000D7">
        <w:rPr>
          <w:rFonts w:ascii="Calibri" w:hAnsi="Calibri" w:cs="Calibri"/>
          <w:color w:val="000000"/>
          <w:sz w:val="24"/>
        </w:rPr>
        <w:t xml:space="preserve"> let předchozích</w:t>
      </w:r>
      <w:r w:rsidR="00E531BB" w:rsidRPr="003000D7">
        <w:rPr>
          <w:rFonts w:ascii="Calibri" w:hAnsi="Calibri" w:cs="Calibri"/>
          <w:color w:val="000000"/>
          <w:sz w:val="24"/>
        </w:rPr>
        <w:t xml:space="preserve"> </w:t>
      </w:r>
      <w:r w:rsidR="006928BD">
        <w:rPr>
          <w:rFonts w:ascii="Calibri" w:hAnsi="Calibri" w:cs="Calibri"/>
          <w:color w:val="000000"/>
          <w:sz w:val="24"/>
        </w:rPr>
        <w:t>a </w:t>
      </w:r>
      <w:r w:rsidRPr="003000D7">
        <w:rPr>
          <w:rFonts w:ascii="Calibri" w:hAnsi="Calibri" w:cs="Calibri"/>
          <w:color w:val="000000"/>
          <w:sz w:val="24"/>
        </w:rPr>
        <w:t>do ukončení kontroly.</w:t>
      </w: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</w:rPr>
      </w:pP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color w:val="000000"/>
          <w:sz w:val="24"/>
        </w:rPr>
        <w:t>Kontrola byla prováděna</w:t>
      </w:r>
      <w:r w:rsidR="00E544F9" w:rsidRPr="003000D7">
        <w:rPr>
          <w:rFonts w:ascii="Calibri" w:hAnsi="Calibri" w:cs="Calibri"/>
          <w:color w:val="000000"/>
          <w:sz w:val="24"/>
        </w:rPr>
        <w:t xml:space="preserve"> </w:t>
      </w:r>
      <w:r w:rsidR="00F33867" w:rsidRPr="003000D7">
        <w:rPr>
          <w:rFonts w:ascii="Calibri" w:hAnsi="Calibri" w:cs="Calibri"/>
          <w:color w:val="000000"/>
          <w:sz w:val="24"/>
        </w:rPr>
        <w:t>v </w:t>
      </w:r>
      <w:r w:rsidRPr="003000D7">
        <w:rPr>
          <w:rFonts w:ascii="Calibri" w:hAnsi="Calibri" w:cs="Calibri"/>
          <w:color w:val="000000"/>
          <w:sz w:val="24"/>
        </w:rPr>
        <w:t xml:space="preserve">době od </w:t>
      </w:r>
      <w:r w:rsidR="00823F02" w:rsidRPr="003000D7">
        <w:rPr>
          <w:rFonts w:ascii="Calibri" w:hAnsi="Calibri" w:cs="Calibri"/>
          <w:color w:val="000000"/>
          <w:sz w:val="24"/>
        </w:rPr>
        <w:t>26</w:t>
      </w:r>
      <w:r w:rsidRPr="003000D7">
        <w:rPr>
          <w:rFonts w:ascii="Calibri" w:hAnsi="Calibri" w:cs="Calibri"/>
          <w:color w:val="000000"/>
          <w:sz w:val="24"/>
        </w:rPr>
        <w:t xml:space="preserve">. </w:t>
      </w:r>
      <w:r w:rsidR="00823F02" w:rsidRPr="003000D7">
        <w:rPr>
          <w:rFonts w:ascii="Calibri" w:hAnsi="Calibri" w:cs="Calibri"/>
          <w:color w:val="000000"/>
          <w:sz w:val="24"/>
        </w:rPr>
        <w:t>listopadu</w:t>
      </w:r>
      <w:r w:rsidRPr="003000D7">
        <w:rPr>
          <w:rFonts w:ascii="Calibri" w:hAnsi="Calibri" w:cs="Calibri"/>
          <w:color w:val="000000"/>
          <w:sz w:val="24"/>
        </w:rPr>
        <w:t xml:space="preserve"> 201</w:t>
      </w:r>
      <w:r w:rsidR="00823F02" w:rsidRPr="003000D7">
        <w:rPr>
          <w:rFonts w:ascii="Calibri" w:hAnsi="Calibri" w:cs="Calibri"/>
          <w:color w:val="000000"/>
          <w:sz w:val="24"/>
        </w:rPr>
        <w:t>4</w:t>
      </w:r>
      <w:r w:rsidRPr="003000D7">
        <w:rPr>
          <w:rFonts w:ascii="Calibri" w:hAnsi="Calibri" w:cs="Calibri"/>
          <w:color w:val="000000"/>
          <w:sz w:val="24"/>
        </w:rPr>
        <w:t xml:space="preserve"> do 2</w:t>
      </w:r>
      <w:r w:rsidR="00823F02" w:rsidRPr="003000D7">
        <w:rPr>
          <w:rFonts w:ascii="Calibri" w:hAnsi="Calibri" w:cs="Calibri"/>
          <w:color w:val="000000"/>
          <w:sz w:val="24"/>
        </w:rPr>
        <w:t>0</w:t>
      </w:r>
      <w:r w:rsidRPr="003000D7">
        <w:rPr>
          <w:rFonts w:ascii="Calibri" w:hAnsi="Calibri" w:cs="Calibri"/>
          <w:color w:val="000000"/>
          <w:sz w:val="24"/>
        </w:rPr>
        <w:t xml:space="preserve">. </w:t>
      </w:r>
      <w:r w:rsidR="00823F02" w:rsidRPr="003000D7">
        <w:rPr>
          <w:rFonts w:ascii="Calibri" w:hAnsi="Calibri" w:cs="Calibri"/>
          <w:color w:val="000000"/>
          <w:sz w:val="24"/>
        </w:rPr>
        <w:t>května</w:t>
      </w:r>
      <w:r w:rsidRPr="003000D7">
        <w:rPr>
          <w:rFonts w:ascii="Calibri" w:hAnsi="Calibri" w:cs="Calibri"/>
          <w:color w:val="000000"/>
          <w:sz w:val="24"/>
        </w:rPr>
        <w:t xml:space="preserve"> 201</w:t>
      </w:r>
      <w:r w:rsidR="00823F02" w:rsidRPr="003000D7">
        <w:rPr>
          <w:rFonts w:ascii="Calibri" w:hAnsi="Calibri" w:cs="Calibri"/>
          <w:color w:val="000000"/>
          <w:sz w:val="24"/>
        </w:rPr>
        <w:t>5</w:t>
      </w:r>
      <w:r w:rsidRPr="003000D7">
        <w:rPr>
          <w:rFonts w:ascii="Calibri" w:hAnsi="Calibri" w:cs="Calibri"/>
          <w:color w:val="000000"/>
          <w:sz w:val="24"/>
        </w:rPr>
        <w:t>.</w:t>
      </w: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color w:val="000000"/>
          <w:sz w:val="24"/>
        </w:rPr>
        <w:t>Kontrolovaná osoba:</w:t>
      </w:r>
    </w:p>
    <w:p w:rsidR="00AC4B8B" w:rsidRPr="003000D7" w:rsidRDefault="00AC4B8B" w:rsidP="00076861">
      <w:pPr>
        <w:tabs>
          <w:tab w:val="left" w:pos="284"/>
        </w:tabs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color w:val="000000"/>
          <w:sz w:val="24"/>
        </w:rPr>
        <w:t>Česká správa sociálního zabezpečení</w:t>
      </w:r>
      <w:r w:rsidR="004D25B1" w:rsidRPr="003000D7">
        <w:rPr>
          <w:rFonts w:ascii="Calibri" w:hAnsi="Calibri" w:cs="Calibri"/>
          <w:sz w:val="24"/>
        </w:rPr>
        <w:t xml:space="preserve"> (dále také „ČSSZ“).</w:t>
      </w: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i/>
          <w:color w:val="000000"/>
          <w:sz w:val="24"/>
        </w:rPr>
      </w:pPr>
      <w:r w:rsidRPr="003000D7">
        <w:rPr>
          <w:rFonts w:ascii="Calibri" w:hAnsi="Calibri" w:cs="Calibri"/>
          <w:color w:val="000000"/>
          <w:sz w:val="24"/>
        </w:rPr>
        <w:t xml:space="preserve">Námitky proti kontrolnímu protokolu, které podala ČSSZ, byly vypořádány vedoucím skupiny kontrolujících rozhodnutím o námitkách. </w:t>
      </w: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b/>
          <w:i/>
          <w:color w:val="000000"/>
          <w:spacing w:val="60"/>
          <w:sz w:val="24"/>
        </w:rPr>
        <w:t>Kolegium</w:t>
      </w:r>
      <w:r w:rsidRPr="003000D7">
        <w:rPr>
          <w:rFonts w:ascii="Calibri" w:hAnsi="Calibri" w:cs="Calibri"/>
          <w:b/>
          <w:color w:val="000000"/>
          <w:sz w:val="24"/>
        </w:rPr>
        <w:t xml:space="preserve">   </w:t>
      </w:r>
      <w:r w:rsidRPr="003000D7">
        <w:rPr>
          <w:rFonts w:ascii="Calibri" w:hAnsi="Calibri" w:cs="Calibri"/>
          <w:b/>
          <w:i/>
          <w:color w:val="000000"/>
          <w:spacing w:val="60"/>
          <w:sz w:val="24"/>
        </w:rPr>
        <w:t>NKÚ</w:t>
      </w:r>
      <w:r w:rsidRPr="003000D7">
        <w:rPr>
          <w:rFonts w:ascii="Calibri" w:hAnsi="Calibri" w:cs="Calibri"/>
          <w:color w:val="000000"/>
          <w:sz w:val="24"/>
        </w:rPr>
        <w:t xml:space="preserve">   na svém </w:t>
      </w:r>
      <w:r w:rsidR="003678BF">
        <w:rPr>
          <w:rFonts w:ascii="Calibri" w:hAnsi="Calibri" w:cs="Calibri"/>
          <w:color w:val="000000"/>
          <w:sz w:val="24"/>
        </w:rPr>
        <w:t>XI. je</w:t>
      </w:r>
      <w:r w:rsidRPr="003000D7">
        <w:rPr>
          <w:rFonts w:ascii="Calibri" w:hAnsi="Calibri" w:cs="Calibri"/>
          <w:color w:val="000000"/>
          <w:sz w:val="24"/>
        </w:rPr>
        <w:t>d</w:t>
      </w:r>
      <w:r w:rsidR="003678BF">
        <w:rPr>
          <w:rFonts w:ascii="Calibri" w:hAnsi="Calibri" w:cs="Calibri"/>
          <w:color w:val="000000"/>
          <w:sz w:val="24"/>
        </w:rPr>
        <w:t>n</w:t>
      </w:r>
      <w:r w:rsidRPr="003000D7">
        <w:rPr>
          <w:rFonts w:ascii="Calibri" w:hAnsi="Calibri" w:cs="Calibri"/>
          <w:color w:val="000000"/>
          <w:sz w:val="24"/>
        </w:rPr>
        <w:t xml:space="preserve">ání, </w:t>
      </w:r>
      <w:r w:rsidR="003678BF">
        <w:rPr>
          <w:rFonts w:ascii="Calibri" w:hAnsi="Calibri" w:cs="Calibri"/>
          <w:color w:val="000000"/>
          <w:sz w:val="24"/>
        </w:rPr>
        <w:t xml:space="preserve">které se konalo </w:t>
      </w:r>
      <w:r w:rsidRPr="003000D7">
        <w:rPr>
          <w:rFonts w:ascii="Calibri" w:hAnsi="Calibri" w:cs="Calibri"/>
          <w:color w:val="000000"/>
          <w:sz w:val="24"/>
        </w:rPr>
        <w:t>dne</w:t>
      </w:r>
      <w:r w:rsidR="003000D7" w:rsidRPr="003000D7">
        <w:rPr>
          <w:rFonts w:ascii="Calibri" w:hAnsi="Calibri" w:cs="Calibri"/>
          <w:color w:val="000000"/>
          <w:sz w:val="24"/>
        </w:rPr>
        <w:t xml:space="preserve"> 10. </w:t>
      </w:r>
      <w:r w:rsidR="00AD3868" w:rsidRPr="003000D7">
        <w:rPr>
          <w:rFonts w:ascii="Calibri" w:hAnsi="Calibri" w:cs="Calibri"/>
          <w:color w:val="000000"/>
          <w:sz w:val="24"/>
        </w:rPr>
        <w:t>srpna</w:t>
      </w:r>
      <w:r w:rsidRPr="003000D7">
        <w:rPr>
          <w:rFonts w:ascii="Calibri" w:hAnsi="Calibri" w:cs="Calibri"/>
          <w:color w:val="000000"/>
          <w:sz w:val="24"/>
        </w:rPr>
        <w:t xml:space="preserve"> 201</w:t>
      </w:r>
      <w:r w:rsidR="00823F02" w:rsidRPr="003000D7">
        <w:rPr>
          <w:rFonts w:ascii="Calibri" w:hAnsi="Calibri" w:cs="Calibri"/>
          <w:color w:val="000000"/>
          <w:sz w:val="24"/>
        </w:rPr>
        <w:t>5</w:t>
      </w:r>
      <w:r w:rsidRPr="003000D7">
        <w:rPr>
          <w:rFonts w:ascii="Calibri" w:hAnsi="Calibri" w:cs="Calibri"/>
          <w:color w:val="000000"/>
          <w:sz w:val="24"/>
        </w:rPr>
        <w:t>,</w:t>
      </w:r>
    </w:p>
    <w:p w:rsidR="00AC4B8B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b/>
          <w:i/>
          <w:color w:val="000000"/>
          <w:spacing w:val="60"/>
          <w:sz w:val="24"/>
        </w:rPr>
        <w:t>schválilo</w:t>
      </w:r>
      <w:r w:rsidRPr="003000D7">
        <w:rPr>
          <w:rFonts w:ascii="Calibri" w:hAnsi="Calibri" w:cs="Calibri"/>
          <w:color w:val="000000"/>
          <w:sz w:val="24"/>
        </w:rPr>
        <w:t xml:space="preserve">   usnesením </w:t>
      </w:r>
      <w:r w:rsidR="003000D7" w:rsidRPr="003000D7">
        <w:rPr>
          <w:rFonts w:ascii="Calibri" w:hAnsi="Calibri" w:cs="Calibri"/>
          <w:color w:val="000000"/>
          <w:sz w:val="24"/>
        </w:rPr>
        <w:t>č.</w:t>
      </w:r>
      <w:r w:rsidR="00932BEE">
        <w:rPr>
          <w:rFonts w:ascii="Calibri" w:hAnsi="Calibri" w:cs="Calibri"/>
          <w:color w:val="000000"/>
          <w:sz w:val="24"/>
        </w:rPr>
        <w:t> </w:t>
      </w:r>
      <w:r w:rsidR="003678BF">
        <w:rPr>
          <w:rFonts w:ascii="Calibri" w:hAnsi="Calibri" w:cs="Calibri"/>
          <w:color w:val="000000"/>
          <w:sz w:val="24"/>
        </w:rPr>
        <w:t>7</w:t>
      </w:r>
      <w:r w:rsidR="003000D7" w:rsidRPr="003000D7">
        <w:rPr>
          <w:rFonts w:ascii="Calibri" w:hAnsi="Calibri" w:cs="Calibri"/>
          <w:color w:val="000000"/>
          <w:sz w:val="24"/>
        </w:rPr>
        <w:t>/</w:t>
      </w:r>
      <w:r w:rsidR="003678BF">
        <w:rPr>
          <w:rFonts w:ascii="Calibri" w:hAnsi="Calibri" w:cs="Calibri"/>
          <w:color w:val="000000"/>
          <w:sz w:val="24"/>
        </w:rPr>
        <w:t>XI</w:t>
      </w:r>
      <w:r w:rsidR="003000D7" w:rsidRPr="003000D7">
        <w:rPr>
          <w:rFonts w:ascii="Calibri" w:hAnsi="Calibri" w:cs="Calibri"/>
          <w:color w:val="000000"/>
          <w:sz w:val="24"/>
        </w:rPr>
        <w:t>/2015</w:t>
      </w:r>
    </w:p>
    <w:p w:rsidR="002B446A" w:rsidRPr="003000D7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b/>
          <w:i/>
          <w:color w:val="000000"/>
          <w:spacing w:val="60"/>
          <w:sz w:val="24"/>
        </w:rPr>
        <w:t>kontrolní</w:t>
      </w:r>
      <w:r w:rsidRPr="003000D7">
        <w:rPr>
          <w:rFonts w:ascii="Calibri" w:hAnsi="Calibri" w:cs="Calibri"/>
          <w:b/>
          <w:i/>
          <w:color w:val="000000"/>
          <w:sz w:val="24"/>
        </w:rPr>
        <w:t xml:space="preserve">   </w:t>
      </w:r>
      <w:r w:rsidRPr="003000D7">
        <w:rPr>
          <w:rFonts w:ascii="Calibri" w:hAnsi="Calibri" w:cs="Calibri"/>
          <w:b/>
          <w:i/>
          <w:color w:val="000000"/>
          <w:spacing w:val="60"/>
          <w:sz w:val="24"/>
        </w:rPr>
        <w:t>závěr</w:t>
      </w:r>
      <w:r w:rsidRPr="003000D7">
        <w:rPr>
          <w:rFonts w:ascii="Calibri" w:hAnsi="Calibri" w:cs="Calibri"/>
          <w:color w:val="000000"/>
          <w:sz w:val="24"/>
        </w:rPr>
        <w:t xml:space="preserve">   </w:t>
      </w:r>
      <w:r w:rsidR="00F33867" w:rsidRPr="003000D7">
        <w:rPr>
          <w:rFonts w:ascii="Calibri" w:hAnsi="Calibri" w:cs="Calibri"/>
          <w:color w:val="000000"/>
          <w:sz w:val="24"/>
        </w:rPr>
        <w:t>v </w:t>
      </w:r>
      <w:r w:rsidRPr="003000D7">
        <w:rPr>
          <w:rFonts w:ascii="Calibri" w:hAnsi="Calibri" w:cs="Calibri"/>
          <w:color w:val="000000"/>
          <w:sz w:val="24"/>
        </w:rPr>
        <w:t>tomto znění:</w:t>
      </w:r>
    </w:p>
    <w:p w:rsidR="00735A61" w:rsidRDefault="00735A61" w:rsidP="00735A61">
      <w:pPr>
        <w:ind w:firstLine="0"/>
        <w:jc w:val="left"/>
        <w:rPr>
          <w:rFonts w:ascii="Calibri" w:hAnsi="Calibri" w:cs="Calibri"/>
          <w:color w:val="000000"/>
          <w:sz w:val="24"/>
        </w:rPr>
      </w:pPr>
    </w:p>
    <w:p w:rsidR="00735A61" w:rsidRDefault="00735A61" w:rsidP="00735A61">
      <w:pPr>
        <w:ind w:firstLine="0"/>
        <w:jc w:val="left"/>
        <w:rPr>
          <w:rFonts w:ascii="Calibri" w:hAnsi="Calibri" w:cs="Calibri"/>
          <w:color w:val="000000"/>
          <w:sz w:val="24"/>
        </w:rPr>
      </w:pPr>
    </w:p>
    <w:p w:rsidR="002B446A" w:rsidRPr="003000D7" w:rsidRDefault="002B446A" w:rsidP="00735A61">
      <w:pPr>
        <w:ind w:firstLine="0"/>
        <w:jc w:val="left"/>
        <w:rPr>
          <w:rFonts w:ascii="Calibri" w:hAnsi="Calibri" w:cs="Calibri"/>
          <w:color w:val="000000"/>
          <w:sz w:val="24"/>
        </w:rPr>
      </w:pPr>
      <w:r w:rsidRPr="003000D7">
        <w:rPr>
          <w:rFonts w:ascii="Calibri" w:hAnsi="Calibri" w:cs="Calibri"/>
          <w:color w:val="000000"/>
          <w:sz w:val="24"/>
        </w:rPr>
        <w:br w:type="page"/>
      </w:r>
    </w:p>
    <w:p w:rsidR="00AC4B8B" w:rsidRPr="00BE3497" w:rsidRDefault="00AC4B8B" w:rsidP="00076861">
      <w:pPr>
        <w:spacing w:line="264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E3497">
        <w:rPr>
          <w:rFonts w:ascii="Calibri" w:hAnsi="Calibri" w:cs="Calibri"/>
          <w:b/>
          <w:color w:val="000000"/>
          <w:sz w:val="28"/>
          <w:szCs w:val="28"/>
        </w:rPr>
        <w:lastRenderedPageBreak/>
        <w:t>I. Úvod</w:t>
      </w:r>
    </w:p>
    <w:p w:rsidR="00AC4B8B" w:rsidRPr="00735A61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AC4B8B" w:rsidRPr="00735A61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735A61">
        <w:rPr>
          <w:rFonts w:ascii="Calibri" w:hAnsi="Calibri" w:cs="Calibri"/>
          <w:color w:val="000000"/>
          <w:sz w:val="24"/>
        </w:rPr>
        <w:t>Č</w:t>
      </w:r>
      <w:r w:rsidR="00823F02" w:rsidRPr="00735A61">
        <w:rPr>
          <w:rFonts w:ascii="Calibri" w:hAnsi="Calibri" w:cs="Calibri"/>
          <w:color w:val="000000"/>
          <w:sz w:val="24"/>
        </w:rPr>
        <w:t>SSZ</w:t>
      </w:r>
      <w:r w:rsidRPr="00735A61">
        <w:rPr>
          <w:rFonts w:ascii="Calibri" w:hAnsi="Calibri" w:cs="Calibri"/>
          <w:color w:val="000000"/>
          <w:sz w:val="24"/>
        </w:rPr>
        <w:t xml:space="preserve"> byla ustavena </w:t>
      </w:r>
      <w:r w:rsidR="00F33867" w:rsidRPr="00735A61">
        <w:rPr>
          <w:rFonts w:ascii="Calibri" w:hAnsi="Calibri" w:cs="Calibri"/>
          <w:color w:val="000000"/>
          <w:sz w:val="24"/>
        </w:rPr>
        <w:t>s </w:t>
      </w:r>
      <w:r w:rsidRPr="00735A61">
        <w:rPr>
          <w:rFonts w:ascii="Calibri" w:hAnsi="Calibri" w:cs="Calibri"/>
          <w:color w:val="000000"/>
          <w:sz w:val="24"/>
        </w:rPr>
        <w:t>účinností od 1.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září 1990 zákonem č. 210/1990 Sb., o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 xml:space="preserve">změnách </w:t>
      </w:r>
      <w:r w:rsidR="00F33867" w:rsidRPr="00735A61">
        <w:rPr>
          <w:rFonts w:ascii="Calibri" w:hAnsi="Calibri" w:cs="Calibri"/>
          <w:color w:val="000000"/>
          <w:sz w:val="24"/>
        </w:rPr>
        <w:t>v </w:t>
      </w:r>
      <w:r w:rsidRPr="00735A61">
        <w:rPr>
          <w:rFonts w:ascii="Calibri" w:hAnsi="Calibri" w:cs="Calibri"/>
          <w:color w:val="000000"/>
          <w:sz w:val="24"/>
        </w:rPr>
        <w:t xml:space="preserve">působnosti orgánů České republiky </w:t>
      </w:r>
      <w:r w:rsidR="00CE7C38">
        <w:rPr>
          <w:rFonts w:ascii="Calibri" w:hAnsi="Calibri" w:cs="Calibri"/>
          <w:color w:val="000000"/>
          <w:sz w:val="24"/>
        </w:rPr>
        <w:t>v</w:t>
      </w:r>
      <w:r w:rsidR="00E531BB" w:rsidRPr="00735A61">
        <w:rPr>
          <w:rFonts w:ascii="Calibri" w:hAnsi="Calibri" w:cs="Calibri"/>
          <w:color w:val="000000"/>
          <w:sz w:val="24"/>
        </w:rPr>
        <w:t xml:space="preserve"> sociálním zabezpečení </w:t>
      </w:r>
      <w:r w:rsidRPr="00735A61">
        <w:rPr>
          <w:rFonts w:ascii="Calibri" w:hAnsi="Calibri" w:cs="Calibri"/>
          <w:color w:val="000000"/>
          <w:sz w:val="24"/>
        </w:rPr>
        <w:t>a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o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změně zákona č. 20/1966</w:t>
      </w:r>
      <w:r w:rsidR="003000D7" w:rsidRPr="00735A61">
        <w:rPr>
          <w:rFonts w:ascii="Calibri" w:hAnsi="Calibri" w:cs="Calibri"/>
          <w:color w:val="000000"/>
          <w:sz w:val="24"/>
        </w:rPr>
        <w:t> </w:t>
      </w:r>
      <w:r w:rsidRPr="00735A61">
        <w:rPr>
          <w:rFonts w:ascii="Calibri" w:hAnsi="Calibri" w:cs="Calibri"/>
          <w:color w:val="000000"/>
          <w:sz w:val="24"/>
        </w:rPr>
        <w:t>Sb., o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péči o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zdraví lidu, kterým byl novelizován zákon č.</w:t>
      </w:r>
      <w:r w:rsidR="00E531BB" w:rsidRPr="00735A61">
        <w:rPr>
          <w:rFonts w:ascii="Calibri" w:hAnsi="Calibri" w:cs="Calibri"/>
          <w:color w:val="000000"/>
          <w:sz w:val="24"/>
        </w:rPr>
        <w:t> </w:t>
      </w:r>
      <w:r w:rsidRPr="00735A61">
        <w:rPr>
          <w:rFonts w:ascii="Calibri" w:hAnsi="Calibri" w:cs="Calibri"/>
          <w:color w:val="000000"/>
          <w:sz w:val="24"/>
        </w:rPr>
        <w:t xml:space="preserve">114/1988 Sb., o působnosti orgánů České socialistické republiky </w:t>
      </w:r>
      <w:r w:rsidR="00F33867" w:rsidRPr="00735A61">
        <w:rPr>
          <w:rFonts w:ascii="Calibri" w:hAnsi="Calibri" w:cs="Calibri"/>
          <w:color w:val="000000"/>
          <w:sz w:val="24"/>
        </w:rPr>
        <w:t>v </w:t>
      </w:r>
      <w:r w:rsidRPr="00735A61">
        <w:rPr>
          <w:rFonts w:ascii="Calibri" w:hAnsi="Calibri" w:cs="Calibri"/>
          <w:color w:val="000000"/>
          <w:sz w:val="24"/>
        </w:rPr>
        <w:t>sociálním zabezpečení. ČSSZ</w:t>
      </w:r>
      <w:r w:rsidR="006B7A43" w:rsidRPr="00735A61">
        <w:rPr>
          <w:rFonts w:ascii="Calibri" w:hAnsi="Calibri" w:cs="Calibri"/>
          <w:color w:val="000000"/>
          <w:sz w:val="24"/>
        </w:rPr>
        <w:t xml:space="preserve"> je</w:t>
      </w:r>
      <w:r w:rsidRPr="00735A61">
        <w:rPr>
          <w:rFonts w:ascii="Calibri" w:hAnsi="Calibri" w:cs="Calibri"/>
          <w:color w:val="000000"/>
          <w:sz w:val="24"/>
        </w:rPr>
        <w:t xml:space="preserve"> orgánem státní správy, který vykonává působnost </w:t>
      </w:r>
      <w:r w:rsidR="00F33867" w:rsidRPr="00735A61">
        <w:rPr>
          <w:rFonts w:ascii="Calibri" w:hAnsi="Calibri" w:cs="Calibri"/>
          <w:color w:val="000000"/>
          <w:sz w:val="24"/>
        </w:rPr>
        <w:t>v </w:t>
      </w:r>
      <w:r w:rsidRPr="00735A61">
        <w:rPr>
          <w:rFonts w:ascii="Calibri" w:hAnsi="Calibri" w:cs="Calibri"/>
          <w:color w:val="000000"/>
          <w:sz w:val="24"/>
        </w:rPr>
        <w:t>oblasti sociálního zabezpečení (důchodové a</w:t>
      </w:r>
      <w:r w:rsidR="003000D7" w:rsidRPr="00735A61">
        <w:rPr>
          <w:rFonts w:ascii="Calibri" w:hAnsi="Calibri" w:cs="Calibri"/>
          <w:color w:val="000000"/>
          <w:sz w:val="24"/>
        </w:rPr>
        <w:t> </w:t>
      </w:r>
      <w:r w:rsidRPr="00735A61">
        <w:rPr>
          <w:rFonts w:ascii="Calibri" w:hAnsi="Calibri" w:cs="Calibri"/>
          <w:color w:val="000000"/>
          <w:sz w:val="24"/>
        </w:rPr>
        <w:t>nemocenské pojištění) a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lékařské posudkové služby</w:t>
      </w:r>
      <w:r w:rsidR="006B7A43" w:rsidRPr="00735A61">
        <w:rPr>
          <w:rFonts w:ascii="Calibri" w:hAnsi="Calibri" w:cs="Calibri"/>
          <w:color w:val="000000"/>
          <w:sz w:val="24"/>
        </w:rPr>
        <w:t>.</w:t>
      </w:r>
      <w:r w:rsidRPr="00735A61">
        <w:rPr>
          <w:rFonts w:ascii="Calibri" w:hAnsi="Calibri" w:cs="Calibri"/>
          <w:color w:val="000000"/>
          <w:sz w:val="24"/>
        </w:rPr>
        <w:t xml:space="preserve"> Kompetence ČSSZ jsou upraveny zákonem č.</w:t>
      </w:r>
      <w:r w:rsidR="000A6344" w:rsidRPr="00735A61">
        <w:rPr>
          <w:rFonts w:ascii="Calibri" w:hAnsi="Calibri" w:cs="Calibri"/>
          <w:color w:val="000000"/>
          <w:sz w:val="24"/>
        </w:rPr>
        <w:t> </w:t>
      </w:r>
      <w:r w:rsidRPr="00735A61">
        <w:rPr>
          <w:rFonts w:ascii="Calibri" w:hAnsi="Calibri" w:cs="Calibri"/>
          <w:color w:val="000000"/>
          <w:sz w:val="24"/>
        </w:rPr>
        <w:t>582/1991 Sb., o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organizaci a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provádění sociálního zabezpečení</w:t>
      </w:r>
      <w:r w:rsidR="00E531BB" w:rsidRPr="00735A61">
        <w:rPr>
          <w:rFonts w:ascii="Calibri" w:hAnsi="Calibri" w:cs="Calibri"/>
          <w:color w:val="000000"/>
          <w:sz w:val="24"/>
        </w:rPr>
        <w:t>.</w:t>
      </w:r>
      <w:r w:rsidRPr="00735A61">
        <w:rPr>
          <w:rFonts w:ascii="Calibri" w:hAnsi="Calibri" w:cs="Calibri"/>
          <w:color w:val="000000"/>
          <w:sz w:val="24"/>
        </w:rPr>
        <w:t xml:space="preserve"> ČSSZ je organizační </w:t>
      </w:r>
      <w:r w:rsidR="006B7A43" w:rsidRPr="00735A61">
        <w:rPr>
          <w:rFonts w:ascii="Calibri" w:hAnsi="Calibri" w:cs="Calibri"/>
          <w:color w:val="000000"/>
          <w:sz w:val="24"/>
        </w:rPr>
        <w:t>složkou</w:t>
      </w:r>
      <w:r w:rsidRPr="00735A61">
        <w:rPr>
          <w:rFonts w:ascii="Calibri" w:hAnsi="Calibri" w:cs="Calibri"/>
          <w:color w:val="000000"/>
          <w:sz w:val="24"/>
        </w:rPr>
        <w:t xml:space="preserve"> státu a</w:t>
      </w:r>
      <w:r w:rsidR="005E5DF2" w:rsidRPr="00735A61">
        <w:rPr>
          <w:rFonts w:ascii="Calibri" w:hAnsi="Calibri" w:cs="Calibri"/>
          <w:color w:val="000000"/>
          <w:sz w:val="24"/>
        </w:rPr>
        <w:t xml:space="preserve"> </w:t>
      </w:r>
      <w:r w:rsidRPr="00735A61">
        <w:rPr>
          <w:rFonts w:ascii="Calibri" w:hAnsi="Calibri" w:cs="Calibri"/>
          <w:color w:val="000000"/>
          <w:sz w:val="24"/>
        </w:rPr>
        <w:t>samostatnou účetní jednotkou.</w:t>
      </w:r>
    </w:p>
    <w:p w:rsidR="00AC4B8B" w:rsidRPr="00735A61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AC4B8B" w:rsidRPr="00735A61" w:rsidRDefault="00D54265" w:rsidP="00076861">
      <w:pPr>
        <w:spacing w:line="264" w:lineRule="auto"/>
        <w:ind w:firstLine="0"/>
        <w:rPr>
          <w:rFonts w:ascii="Calibri" w:hAnsi="Calibri" w:cs="Calibri"/>
          <w:color w:val="000000"/>
          <w:spacing w:val="-2"/>
          <w:sz w:val="24"/>
        </w:rPr>
      </w:pPr>
      <w:r w:rsidRPr="00735A61">
        <w:rPr>
          <w:rFonts w:ascii="Calibri" w:hAnsi="Calibri" w:cs="Calibri"/>
          <w:color w:val="000000"/>
          <w:spacing w:val="-2"/>
          <w:sz w:val="24"/>
        </w:rPr>
        <w:t xml:space="preserve">Podíl ČSSZ na aktivech, nákladech, výnosech, příjmech a výdajích kapitoly </w:t>
      </w:r>
      <w:r w:rsidRPr="00BE3497">
        <w:rPr>
          <w:rFonts w:ascii="Calibri" w:hAnsi="Calibri" w:cs="Calibri"/>
          <w:color w:val="000000"/>
          <w:spacing w:val="-2"/>
          <w:sz w:val="24"/>
        </w:rPr>
        <w:t xml:space="preserve">313 </w:t>
      </w:r>
      <w:r w:rsidRPr="00CE7C38">
        <w:rPr>
          <w:rFonts w:ascii="Calibri" w:hAnsi="Calibri" w:cs="Calibri"/>
          <w:color w:val="000000"/>
          <w:spacing w:val="-2"/>
          <w:sz w:val="24"/>
        </w:rPr>
        <w:t xml:space="preserve">– </w:t>
      </w:r>
      <w:r w:rsidRPr="00735A61">
        <w:rPr>
          <w:rFonts w:ascii="Calibri" w:hAnsi="Calibri" w:cs="Calibri"/>
          <w:i/>
          <w:color w:val="000000"/>
          <w:spacing w:val="-2"/>
          <w:sz w:val="24"/>
        </w:rPr>
        <w:t>Ministerstvo práce a sociálních věcí</w:t>
      </w:r>
      <w:r w:rsidRPr="00735A61">
        <w:rPr>
          <w:rFonts w:ascii="Calibri" w:hAnsi="Calibri" w:cs="Calibri"/>
          <w:color w:val="000000"/>
          <w:spacing w:val="-2"/>
          <w:sz w:val="24"/>
        </w:rPr>
        <w:t xml:space="preserve"> byl v roce 201</w:t>
      </w:r>
      <w:r w:rsidR="00B6517A" w:rsidRPr="00735A61">
        <w:rPr>
          <w:rFonts w:ascii="Calibri" w:hAnsi="Calibri" w:cs="Calibri"/>
          <w:color w:val="000000"/>
          <w:spacing w:val="-2"/>
          <w:sz w:val="24"/>
        </w:rPr>
        <w:t>4</w:t>
      </w:r>
      <w:r w:rsidRPr="00735A61">
        <w:rPr>
          <w:rFonts w:ascii="Calibri" w:hAnsi="Calibri" w:cs="Calibri"/>
          <w:color w:val="000000"/>
          <w:spacing w:val="-2"/>
          <w:sz w:val="24"/>
        </w:rPr>
        <w:t xml:space="preserve"> následující:</w:t>
      </w:r>
    </w:p>
    <w:p w:rsidR="001A1086" w:rsidRPr="00BE3497" w:rsidRDefault="00823F02" w:rsidP="00BE3497">
      <w:pPr>
        <w:pStyle w:val="Odstavecseseznamem"/>
        <w:numPr>
          <w:ilvl w:val="0"/>
          <w:numId w:val="46"/>
        </w:numPr>
        <w:spacing w:line="264" w:lineRule="auto"/>
        <w:ind w:left="284" w:hanging="284"/>
        <w:rPr>
          <w:rFonts w:ascii="Calibri" w:hAnsi="Calibri" w:cs="Calibri"/>
          <w:color w:val="000000"/>
          <w:sz w:val="24"/>
        </w:rPr>
      </w:pPr>
      <w:r w:rsidRPr="00BE3497">
        <w:rPr>
          <w:rFonts w:ascii="Calibri" w:hAnsi="Calibri" w:cs="Calibri"/>
          <w:color w:val="000000"/>
          <w:sz w:val="24"/>
        </w:rPr>
        <w:t>52</w:t>
      </w:r>
      <w:r w:rsidR="00AC4B8B" w:rsidRPr="00BE3497">
        <w:rPr>
          <w:rFonts w:ascii="Calibri" w:hAnsi="Calibri" w:cs="Calibri"/>
          <w:color w:val="000000"/>
          <w:sz w:val="24"/>
        </w:rPr>
        <w:t xml:space="preserve"> % aktiv (pasiv) kapitoly,</w:t>
      </w:r>
    </w:p>
    <w:p w:rsidR="00AC4B8B" w:rsidRPr="00BE3497" w:rsidRDefault="00823F02" w:rsidP="00BE3497">
      <w:pPr>
        <w:pStyle w:val="Odstavecseseznamem"/>
        <w:numPr>
          <w:ilvl w:val="0"/>
          <w:numId w:val="46"/>
        </w:numPr>
        <w:spacing w:line="264" w:lineRule="auto"/>
        <w:ind w:left="284" w:hanging="284"/>
        <w:rPr>
          <w:rFonts w:ascii="Calibri" w:hAnsi="Calibri" w:cs="Calibri"/>
          <w:color w:val="000000"/>
          <w:sz w:val="24"/>
        </w:rPr>
      </w:pPr>
      <w:r w:rsidRPr="00BE3497">
        <w:rPr>
          <w:rFonts w:ascii="Calibri" w:hAnsi="Calibri" w:cs="Calibri"/>
          <w:color w:val="000000"/>
          <w:sz w:val="24"/>
        </w:rPr>
        <w:t>79</w:t>
      </w:r>
      <w:r w:rsidR="00AC4B8B" w:rsidRPr="00BE3497">
        <w:rPr>
          <w:rFonts w:ascii="Calibri" w:hAnsi="Calibri" w:cs="Calibri"/>
          <w:color w:val="000000"/>
          <w:sz w:val="24"/>
        </w:rPr>
        <w:t xml:space="preserve"> % nákladů kapitoly,</w:t>
      </w:r>
    </w:p>
    <w:p w:rsidR="00AC4B8B" w:rsidRPr="00BE3497" w:rsidRDefault="00AC4B8B" w:rsidP="00BE3497">
      <w:pPr>
        <w:pStyle w:val="Odstavecseseznamem"/>
        <w:numPr>
          <w:ilvl w:val="0"/>
          <w:numId w:val="46"/>
        </w:numPr>
        <w:spacing w:line="264" w:lineRule="auto"/>
        <w:ind w:left="284" w:hanging="284"/>
        <w:rPr>
          <w:rFonts w:ascii="Calibri" w:hAnsi="Calibri" w:cs="Calibri"/>
          <w:color w:val="000000"/>
          <w:sz w:val="24"/>
        </w:rPr>
      </w:pPr>
      <w:r w:rsidRPr="00BE3497">
        <w:rPr>
          <w:rFonts w:ascii="Calibri" w:hAnsi="Calibri" w:cs="Calibri"/>
          <w:color w:val="000000"/>
          <w:sz w:val="24"/>
        </w:rPr>
        <w:t>9</w:t>
      </w:r>
      <w:r w:rsidR="00823F02" w:rsidRPr="00BE3497">
        <w:rPr>
          <w:rFonts w:ascii="Calibri" w:hAnsi="Calibri" w:cs="Calibri"/>
          <w:color w:val="000000"/>
          <w:sz w:val="24"/>
        </w:rPr>
        <w:t>6</w:t>
      </w:r>
      <w:r w:rsidRPr="00BE3497">
        <w:rPr>
          <w:rFonts w:ascii="Calibri" w:hAnsi="Calibri" w:cs="Calibri"/>
          <w:color w:val="000000"/>
          <w:sz w:val="24"/>
        </w:rPr>
        <w:t xml:space="preserve"> % výnosů kapitoly,</w:t>
      </w:r>
    </w:p>
    <w:p w:rsidR="00AC4B8B" w:rsidRPr="00BE3497" w:rsidRDefault="00AC4B8B" w:rsidP="00BE3497">
      <w:pPr>
        <w:pStyle w:val="Odstavecseseznamem"/>
        <w:numPr>
          <w:ilvl w:val="0"/>
          <w:numId w:val="46"/>
        </w:numPr>
        <w:spacing w:line="264" w:lineRule="auto"/>
        <w:ind w:left="284" w:hanging="284"/>
        <w:rPr>
          <w:rFonts w:ascii="Calibri" w:hAnsi="Calibri" w:cs="Calibri"/>
          <w:color w:val="000000"/>
          <w:sz w:val="24"/>
        </w:rPr>
      </w:pPr>
      <w:r w:rsidRPr="00BE3497">
        <w:rPr>
          <w:rFonts w:ascii="Calibri" w:hAnsi="Calibri" w:cs="Calibri"/>
          <w:color w:val="000000"/>
          <w:sz w:val="24"/>
        </w:rPr>
        <w:t>9</w:t>
      </w:r>
      <w:r w:rsidR="00356CD6" w:rsidRPr="00BE3497">
        <w:rPr>
          <w:rFonts w:ascii="Calibri" w:hAnsi="Calibri" w:cs="Calibri"/>
          <w:color w:val="000000"/>
          <w:sz w:val="24"/>
        </w:rPr>
        <w:t>8</w:t>
      </w:r>
      <w:r w:rsidRPr="00BE3497">
        <w:rPr>
          <w:rFonts w:ascii="Calibri" w:hAnsi="Calibri" w:cs="Calibri"/>
          <w:color w:val="000000"/>
          <w:sz w:val="24"/>
        </w:rPr>
        <w:t xml:space="preserve"> % příjmů kapitoly,</w:t>
      </w:r>
    </w:p>
    <w:p w:rsidR="00AC4B8B" w:rsidRPr="00BE3497" w:rsidRDefault="00356CD6" w:rsidP="00BE3497">
      <w:pPr>
        <w:pStyle w:val="Odstavecseseznamem"/>
        <w:numPr>
          <w:ilvl w:val="0"/>
          <w:numId w:val="46"/>
        </w:numPr>
        <w:spacing w:line="264" w:lineRule="auto"/>
        <w:ind w:left="284" w:hanging="284"/>
        <w:rPr>
          <w:rFonts w:ascii="Calibri" w:hAnsi="Calibri" w:cs="Calibri"/>
          <w:color w:val="000000"/>
          <w:sz w:val="24"/>
        </w:rPr>
      </w:pPr>
      <w:r w:rsidRPr="00BE3497">
        <w:rPr>
          <w:rFonts w:ascii="Calibri" w:hAnsi="Calibri" w:cs="Calibri"/>
          <w:color w:val="000000"/>
          <w:sz w:val="24"/>
        </w:rPr>
        <w:t>78</w:t>
      </w:r>
      <w:r w:rsidR="00AC4B8B" w:rsidRPr="00BE3497">
        <w:rPr>
          <w:rFonts w:ascii="Calibri" w:hAnsi="Calibri" w:cs="Calibri"/>
          <w:color w:val="000000"/>
          <w:sz w:val="24"/>
        </w:rPr>
        <w:t xml:space="preserve"> % výdajů kapitoly.</w:t>
      </w:r>
    </w:p>
    <w:p w:rsidR="00AD3868" w:rsidRPr="00735A61" w:rsidRDefault="00AD3868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E07FC3" w:rsidRPr="00735A61" w:rsidRDefault="00AD3868" w:rsidP="00076861">
      <w:pPr>
        <w:autoSpaceDE w:val="0"/>
        <w:autoSpaceDN w:val="0"/>
        <w:adjustRightInd w:val="0"/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  <w:r w:rsidRPr="00735A61">
        <w:rPr>
          <w:rFonts w:ascii="Calibri" w:hAnsi="Calibri" w:cs="Calibri"/>
          <w:sz w:val="24"/>
          <w:lang w:eastAsia="cs-CZ"/>
        </w:rPr>
        <w:t xml:space="preserve">Kontrolní akce byla již šestou obdobně zaměřenou kontrolou provedenou u ČSSZ. </w:t>
      </w:r>
      <w:r w:rsidR="00E07FC3" w:rsidRPr="00735A61">
        <w:rPr>
          <w:rFonts w:ascii="Calibri" w:hAnsi="Calibri" w:cs="Calibri"/>
          <w:sz w:val="24"/>
          <w:lang w:eastAsia="cs-CZ"/>
        </w:rPr>
        <w:t>Kontrola se zaměřila zejména na správnost, úplnost, průkaznost a sro</w:t>
      </w:r>
      <w:r w:rsidR="007B0D22">
        <w:rPr>
          <w:rFonts w:ascii="Calibri" w:hAnsi="Calibri" w:cs="Calibri"/>
          <w:sz w:val="24"/>
          <w:lang w:eastAsia="cs-CZ"/>
        </w:rPr>
        <w:t>zumitelnost vedení účetnictví a </w:t>
      </w:r>
      <w:r w:rsidR="00E07FC3" w:rsidRPr="00735A61">
        <w:rPr>
          <w:rFonts w:ascii="Calibri" w:hAnsi="Calibri" w:cs="Calibri"/>
          <w:sz w:val="24"/>
          <w:lang w:eastAsia="cs-CZ"/>
        </w:rPr>
        <w:t>na dodržení uspořádání, označení a obsahového vy</w:t>
      </w:r>
      <w:r w:rsidR="007B0D22">
        <w:rPr>
          <w:rFonts w:ascii="Calibri" w:hAnsi="Calibri" w:cs="Calibri"/>
          <w:sz w:val="24"/>
          <w:lang w:eastAsia="cs-CZ"/>
        </w:rPr>
        <w:t>mezení položek účetní závěrky a </w:t>
      </w:r>
      <w:r w:rsidR="00E07FC3" w:rsidRPr="00735A61">
        <w:rPr>
          <w:rFonts w:ascii="Calibri" w:hAnsi="Calibri" w:cs="Calibri"/>
          <w:sz w:val="24"/>
          <w:lang w:eastAsia="cs-CZ"/>
        </w:rPr>
        <w:t>směrné účtové osnovy. Rovněž byla ověřována správnost používaných účetních m</w:t>
      </w:r>
      <w:r w:rsidR="007B0D22">
        <w:rPr>
          <w:rFonts w:ascii="Calibri" w:hAnsi="Calibri" w:cs="Calibri"/>
          <w:sz w:val="24"/>
          <w:lang w:eastAsia="cs-CZ"/>
        </w:rPr>
        <w:t>etod a </w:t>
      </w:r>
      <w:r w:rsidR="006928BD">
        <w:rPr>
          <w:rFonts w:ascii="Calibri" w:hAnsi="Calibri" w:cs="Calibri"/>
          <w:sz w:val="24"/>
          <w:lang w:eastAsia="cs-CZ"/>
        </w:rPr>
        <w:t xml:space="preserve">dodržování </w:t>
      </w:r>
      <w:r w:rsidR="00E07FC3" w:rsidRPr="00735A61">
        <w:rPr>
          <w:rFonts w:ascii="Calibri" w:hAnsi="Calibri" w:cs="Calibri"/>
          <w:sz w:val="24"/>
          <w:lang w:eastAsia="cs-CZ"/>
        </w:rPr>
        <w:t>ostatních podmínek vedení účetnictví stanovených prováděcími právními předpisy s</w:t>
      </w:r>
      <w:r w:rsidR="003000D7" w:rsidRPr="00735A61">
        <w:rPr>
          <w:rFonts w:ascii="Calibri" w:hAnsi="Calibri" w:cs="Calibri"/>
          <w:sz w:val="24"/>
          <w:lang w:eastAsia="cs-CZ"/>
        </w:rPr>
        <w:t> </w:t>
      </w:r>
      <w:r w:rsidR="00E07FC3" w:rsidRPr="00735A61">
        <w:rPr>
          <w:rFonts w:ascii="Calibri" w:hAnsi="Calibri" w:cs="Calibri"/>
          <w:sz w:val="24"/>
          <w:lang w:eastAsia="cs-CZ"/>
        </w:rPr>
        <w:t xml:space="preserve">účinností pro kontrolované období. U údajů předkládaných pro hodnocení plnění státního rozpočtu se kontrola zaměřila zejména na dodržení klasifikace rozpočtové skladby.  </w:t>
      </w:r>
    </w:p>
    <w:p w:rsidR="00AD3868" w:rsidRPr="00735A61" w:rsidRDefault="00AD3868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FE244D" w:rsidRPr="003000D7" w:rsidRDefault="009F4805" w:rsidP="00BE3497">
      <w:pPr>
        <w:tabs>
          <w:tab w:val="right" w:pos="9072"/>
        </w:tabs>
        <w:spacing w:after="40"/>
        <w:ind w:left="1418" w:hanging="1418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Tabulka č. 1 –</w:t>
      </w:r>
      <w:r>
        <w:rPr>
          <w:rFonts w:ascii="Calibri" w:hAnsi="Calibri" w:cs="Calibri"/>
          <w:b/>
          <w:color w:val="000000"/>
          <w:sz w:val="24"/>
        </w:rPr>
        <w:tab/>
      </w:r>
      <w:r w:rsidR="00FE244D" w:rsidRPr="003000D7">
        <w:rPr>
          <w:rFonts w:ascii="Calibri" w:hAnsi="Calibri" w:cs="Calibri"/>
          <w:b/>
          <w:color w:val="000000"/>
          <w:sz w:val="24"/>
        </w:rPr>
        <w:t xml:space="preserve">Údaje z výkazu rozvaha, výkazu zisku a ztráty a části A.4 přílohy ÚZ (jiná aktiva a jiná pasiva) </w:t>
      </w:r>
      <w:r w:rsidR="00FE244D" w:rsidRPr="003000D7">
        <w:rPr>
          <w:rFonts w:ascii="Calibri" w:hAnsi="Calibri" w:cs="Calibri"/>
          <w:b/>
          <w:color w:val="000000"/>
          <w:sz w:val="24"/>
        </w:rPr>
        <w:tab/>
        <w:t>(v tis. Kč)</w:t>
      </w:r>
    </w:p>
    <w:tbl>
      <w:tblPr>
        <w:tblW w:w="907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1985"/>
      </w:tblGrid>
      <w:tr w:rsidR="00FE244D" w:rsidRPr="00735A61" w:rsidTr="00735A61">
        <w:trPr>
          <w:trHeight w:val="227"/>
        </w:trPr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51E63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35A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35A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</w:t>
            </w:r>
          </w:p>
        </w:tc>
      </w:tr>
      <w:tr w:rsidR="00FE244D" w:rsidRPr="00735A61" w:rsidTr="00735A61">
        <w:trPr>
          <w:trHeight w:val="227"/>
        </w:trPr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Aktiva (pasiva)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right="296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sz w:val="20"/>
                <w:szCs w:val="20"/>
              </w:rPr>
              <w:t>39 451 503,49</w:t>
            </w:r>
          </w:p>
        </w:tc>
      </w:tr>
      <w:tr w:rsidR="00FE244D" w:rsidRPr="00735A61" w:rsidTr="00735A61">
        <w:trPr>
          <w:trHeight w:val="227"/>
        </w:trPr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right="296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407 968 899,89</w:t>
            </w:r>
          </w:p>
        </w:tc>
      </w:tr>
      <w:tr w:rsidR="00FE244D" w:rsidRPr="00735A61" w:rsidTr="00735A61">
        <w:trPr>
          <w:trHeight w:val="227"/>
        </w:trPr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right="296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375 984 592,92</w:t>
            </w:r>
          </w:p>
        </w:tc>
      </w:tr>
      <w:tr w:rsidR="00FE244D" w:rsidRPr="00735A61" w:rsidTr="00735A61">
        <w:trPr>
          <w:trHeight w:val="227"/>
        </w:trPr>
        <w:tc>
          <w:tcPr>
            <w:tcW w:w="7087" w:type="dxa"/>
            <w:shd w:val="clear" w:color="auto" w:fill="auto"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Část A.4 přílohy ÚZ (jiná aktiva a jiná pasiva) bez položky P.VII – </w:t>
            </w:r>
            <w:r w:rsidRPr="00735A61">
              <w:rPr>
                <w:rFonts w:ascii="Calibri" w:hAnsi="Calibri" w:cs="Calibri"/>
                <w:i/>
                <w:color w:val="000000"/>
                <w:sz w:val="20"/>
                <w:szCs w:val="20"/>
                <w:lang w:eastAsia="cs-CZ"/>
              </w:rPr>
              <w:t>Vyrovnávací účty</w:t>
            </w: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right="296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28 994 617,99</w:t>
            </w:r>
          </w:p>
        </w:tc>
      </w:tr>
    </w:tbl>
    <w:p w:rsidR="00FE244D" w:rsidRPr="00BE3497" w:rsidRDefault="00FE244D" w:rsidP="00FE244D">
      <w:pPr>
        <w:spacing w:before="40"/>
        <w:ind w:firstLine="0"/>
        <w:rPr>
          <w:rFonts w:ascii="Calibri" w:hAnsi="Calibri" w:cs="Calibri"/>
          <w:color w:val="000000"/>
          <w:sz w:val="20"/>
          <w:szCs w:val="20"/>
        </w:rPr>
      </w:pPr>
      <w:r w:rsidRPr="00BE3497">
        <w:rPr>
          <w:rFonts w:ascii="Calibri" w:hAnsi="Calibri" w:cs="Calibri"/>
          <w:b/>
          <w:color w:val="000000"/>
          <w:sz w:val="20"/>
          <w:szCs w:val="20"/>
        </w:rPr>
        <w:t>Zdroj:</w:t>
      </w:r>
      <w:r w:rsidRPr="00BE3497">
        <w:rPr>
          <w:rFonts w:ascii="Calibri" w:hAnsi="Calibri" w:cs="Calibri"/>
          <w:color w:val="000000"/>
          <w:sz w:val="20"/>
          <w:szCs w:val="20"/>
        </w:rPr>
        <w:t xml:space="preserve"> ÚZ ČSSZ k 31. prosinci 2014.</w:t>
      </w:r>
    </w:p>
    <w:p w:rsidR="00FE244D" w:rsidRPr="003000D7" w:rsidRDefault="00FE244D" w:rsidP="00735A61">
      <w:pPr>
        <w:ind w:firstLine="0"/>
        <w:rPr>
          <w:rFonts w:ascii="Calibri" w:hAnsi="Calibri" w:cs="Calibri"/>
          <w:color w:val="000000"/>
          <w:sz w:val="24"/>
        </w:rPr>
      </w:pPr>
    </w:p>
    <w:p w:rsidR="00FE244D" w:rsidRPr="003000D7" w:rsidRDefault="00FE244D" w:rsidP="00FE244D">
      <w:pPr>
        <w:tabs>
          <w:tab w:val="right" w:pos="9072"/>
        </w:tabs>
        <w:ind w:firstLine="0"/>
        <w:rPr>
          <w:rFonts w:ascii="Calibri" w:hAnsi="Calibri" w:cs="Calibri"/>
          <w:b/>
          <w:color w:val="000000"/>
          <w:sz w:val="24"/>
        </w:rPr>
      </w:pPr>
      <w:r w:rsidRPr="003000D7">
        <w:rPr>
          <w:rFonts w:ascii="Calibri" w:hAnsi="Calibri" w:cs="Calibri"/>
          <w:b/>
          <w:color w:val="000000"/>
          <w:sz w:val="24"/>
        </w:rPr>
        <w:t xml:space="preserve">Tabulka č. 2 – Údaje z výkazu pro hodnocení plnění rozpočtu </w:t>
      </w:r>
      <w:r w:rsidRPr="003000D7">
        <w:rPr>
          <w:rFonts w:ascii="Calibri" w:hAnsi="Calibri" w:cs="Calibri"/>
          <w:b/>
          <w:color w:val="000000"/>
          <w:sz w:val="24"/>
        </w:rPr>
        <w:tab/>
        <w:t>(v tis. Kč)</w:t>
      </w:r>
    </w:p>
    <w:tbl>
      <w:tblPr>
        <w:tblW w:w="8996" w:type="dxa"/>
        <w:jc w:val="center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4836"/>
      </w:tblGrid>
      <w:tr w:rsidR="00FE244D" w:rsidRPr="00735A61" w:rsidTr="00CE7C38">
        <w:trPr>
          <w:trHeight w:val="227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4D" w:rsidRPr="00735A61" w:rsidRDefault="00FE244D" w:rsidP="00751E63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4D" w:rsidRPr="00735A61" w:rsidRDefault="00FE244D" w:rsidP="00751E63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</w:t>
            </w:r>
          </w:p>
        </w:tc>
      </w:tr>
      <w:tr w:rsidR="00FE244D" w:rsidRPr="00735A61" w:rsidTr="00CE7C38">
        <w:trPr>
          <w:trHeight w:val="22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right="26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sz w:val="20"/>
                <w:szCs w:val="20"/>
              </w:rPr>
              <w:t>373 648 640,69</w:t>
            </w:r>
          </w:p>
        </w:tc>
      </w:tr>
      <w:tr w:rsidR="00FE244D" w:rsidRPr="00735A61" w:rsidTr="00CE7C38">
        <w:trPr>
          <w:trHeight w:val="227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44D" w:rsidRPr="00735A61" w:rsidRDefault="00FE244D" w:rsidP="00735A61">
            <w:pPr>
              <w:spacing w:before="20" w:after="20"/>
              <w:ind w:right="26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735A61">
              <w:rPr>
                <w:rFonts w:ascii="Calibri" w:hAnsi="Calibri" w:cs="Calibri"/>
                <w:sz w:val="20"/>
                <w:szCs w:val="20"/>
              </w:rPr>
              <w:t>404 613 107,35</w:t>
            </w:r>
          </w:p>
        </w:tc>
      </w:tr>
    </w:tbl>
    <w:p w:rsidR="00FE244D" w:rsidRPr="00BE3497" w:rsidRDefault="00FE244D" w:rsidP="00FE244D">
      <w:pPr>
        <w:spacing w:before="40"/>
        <w:ind w:firstLine="0"/>
        <w:rPr>
          <w:rFonts w:ascii="Calibri" w:hAnsi="Calibri" w:cs="Calibri"/>
          <w:color w:val="000000"/>
          <w:sz w:val="20"/>
          <w:szCs w:val="20"/>
        </w:rPr>
      </w:pPr>
      <w:r w:rsidRPr="00BE3497">
        <w:rPr>
          <w:rFonts w:ascii="Calibri" w:hAnsi="Calibri" w:cs="Calibri"/>
          <w:b/>
          <w:color w:val="000000"/>
          <w:sz w:val="20"/>
          <w:szCs w:val="20"/>
        </w:rPr>
        <w:t>Zdroj:</w:t>
      </w:r>
      <w:r w:rsidRPr="00BE3497">
        <w:rPr>
          <w:rFonts w:ascii="Calibri" w:hAnsi="Calibri" w:cs="Calibri"/>
          <w:color w:val="000000"/>
          <w:sz w:val="20"/>
          <w:szCs w:val="20"/>
        </w:rPr>
        <w:t xml:space="preserve"> výkaz pro hodnocení plnění rozpočtu ČSSZ k 31. prosinci 2014.</w:t>
      </w:r>
    </w:p>
    <w:p w:rsidR="00FE244D" w:rsidRPr="00735A61" w:rsidRDefault="00FE244D" w:rsidP="00735A61">
      <w:pPr>
        <w:ind w:firstLine="0"/>
        <w:rPr>
          <w:rFonts w:ascii="Calibri" w:hAnsi="Calibri" w:cs="Calibri"/>
          <w:color w:val="000000"/>
          <w:sz w:val="24"/>
        </w:rPr>
      </w:pPr>
    </w:p>
    <w:p w:rsidR="00735A61" w:rsidRPr="000F2C98" w:rsidRDefault="00D54265" w:rsidP="000F2C98">
      <w:pPr>
        <w:ind w:left="567" w:hanging="567"/>
        <w:jc w:val="left"/>
        <w:rPr>
          <w:rFonts w:ascii="Calibri" w:hAnsi="Calibri" w:cs="Calibri"/>
          <w:color w:val="000000"/>
          <w:sz w:val="20"/>
          <w:szCs w:val="20"/>
        </w:rPr>
      </w:pPr>
      <w:r w:rsidRPr="00BE3497">
        <w:rPr>
          <w:rFonts w:ascii="Calibri" w:hAnsi="Calibri" w:cs="Calibri"/>
          <w:b/>
          <w:color w:val="000000"/>
          <w:sz w:val="20"/>
          <w:szCs w:val="20"/>
        </w:rPr>
        <w:t>Pozn.:</w:t>
      </w:r>
      <w:r w:rsidR="009D0113" w:rsidRPr="00BE3497">
        <w:rPr>
          <w:rFonts w:ascii="Calibri" w:hAnsi="Calibri" w:cs="Calibri"/>
          <w:b/>
          <w:color w:val="000000"/>
          <w:sz w:val="20"/>
          <w:szCs w:val="20"/>
        </w:rPr>
        <w:tab/>
      </w:r>
      <w:r w:rsidRPr="00BE3497">
        <w:rPr>
          <w:rFonts w:ascii="Calibri" w:hAnsi="Calibri" w:cs="Calibri"/>
          <w:color w:val="000000"/>
          <w:sz w:val="20"/>
          <w:szCs w:val="20"/>
        </w:rPr>
        <w:t>Všechny právní předpisy uvedené v tomto kontrolním závěru jsou aplikovány ve znění účinném pro kontrolované období.</w:t>
      </w:r>
    </w:p>
    <w:p w:rsidR="00E6399F" w:rsidRPr="00BE3497" w:rsidRDefault="00E6399F" w:rsidP="00E6399F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E3497">
        <w:rPr>
          <w:rFonts w:ascii="Calibri" w:hAnsi="Calibri" w:cs="Calibri"/>
          <w:b/>
          <w:color w:val="000000"/>
          <w:sz w:val="28"/>
          <w:szCs w:val="28"/>
        </w:rPr>
        <w:lastRenderedPageBreak/>
        <w:t>II. Shrnutí a vyhodnocení</w:t>
      </w:r>
    </w:p>
    <w:p w:rsidR="00E6399F" w:rsidRPr="003000D7" w:rsidRDefault="00E6399F" w:rsidP="00076861">
      <w:pPr>
        <w:spacing w:line="264" w:lineRule="auto"/>
        <w:ind w:firstLine="0"/>
        <w:rPr>
          <w:rFonts w:ascii="Calibri" w:hAnsi="Calibri" w:cs="Calibri"/>
          <w:color w:val="000000"/>
        </w:rPr>
      </w:pPr>
    </w:p>
    <w:p w:rsidR="00E6399F" w:rsidRPr="003000D7" w:rsidRDefault="00076861" w:rsidP="00076861">
      <w:pPr>
        <w:pStyle w:val="Nadpis3"/>
        <w:numPr>
          <w:ilvl w:val="0"/>
          <w:numId w:val="0"/>
        </w:numPr>
        <w:spacing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E6399F" w:rsidRPr="003000D7">
        <w:rPr>
          <w:rFonts w:ascii="Calibri" w:hAnsi="Calibri" w:cs="Calibri"/>
          <w:sz w:val="24"/>
          <w:szCs w:val="24"/>
        </w:rPr>
        <w:t>Spolehlivost údajů účetní závěrky sestavené k 31. prosinci 2014</w:t>
      </w:r>
    </w:p>
    <w:p w:rsidR="00E6399F" w:rsidRPr="003000D7" w:rsidRDefault="00E6399F" w:rsidP="00076861">
      <w:pPr>
        <w:spacing w:line="264" w:lineRule="auto"/>
        <w:ind w:firstLine="0"/>
        <w:rPr>
          <w:rFonts w:ascii="Calibri" w:hAnsi="Calibri" w:cs="Calibri"/>
          <w:color w:val="000000"/>
          <w:szCs w:val="22"/>
        </w:rPr>
      </w:pPr>
    </w:p>
    <w:p w:rsidR="00E6399F" w:rsidRDefault="00E6399F" w:rsidP="00076861">
      <w:pPr>
        <w:spacing w:line="264" w:lineRule="auto"/>
        <w:ind w:firstLine="0"/>
        <w:rPr>
          <w:rFonts w:ascii="Calibri" w:eastAsia="Calibri" w:hAnsi="Calibri" w:cs="Calibri"/>
          <w:sz w:val="24"/>
        </w:rPr>
      </w:pPr>
      <w:r w:rsidRPr="003000D7">
        <w:rPr>
          <w:rFonts w:ascii="Calibri" w:eastAsia="Calibri" w:hAnsi="Calibri" w:cs="Calibri"/>
          <w:sz w:val="24"/>
        </w:rPr>
        <w:t>Kontrolou byla ověřena spolehlivost účetní závěrky ČSSZ sestavené k 31. 12. 2014. Účetní závěrka se skládala z </w:t>
      </w:r>
      <w:r w:rsidR="008673A7">
        <w:rPr>
          <w:rFonts w:ascii="Calibri" w:eastAsia="Calibri" w:hAnsi="Calibri" w:cs="Calibri"/>
          <w:sz w:val="24"/>
        </w:rPr>
        <w:t>r</w:t>
      </w:r>
      <w:r w:rsidRPr="003000D7">
        <w:rPr>
          <w:rFonts w:ascii="Calibri" w:eastAsia="Calibri" w:hAnsi="Calibri" w:cs="Calibri"/>
          <w:sz w:val="24"/>
        </w:rPr>
        <w:t xml:space="preserve">ozvahy, </w:t>
      </w:r>
      <w:r w:rsidR="008673A7">
        <w:rPr>
          <w:rFonts w:ascii="Calibri" w:eastAsia="Calibri" w:hAnsi="Calibri" w:cs="Calibri"/>
          <w:sz w:val="24"/>
        </w:rPr>
        <w:t>v</w:t>
      </w:r>
      <w:r w:rsidRPr="003000D7">
        <w:rPr>
          <w:rFonts w:ascii="Calibri" w:eastAsia="Calibri" w:hAnsi="Calibri" w:cs="Calibri"/>
          <w:sz w:val="24"/>
        </w:rPr>
        <w:t xml:space="preserve">ýkazu zisku a ztráty, </w:t>
      </w:r>
      <w:r w:rsidR="008673A7">
        <w:rPr>
          <w:rFonts w:ascii="Calibri" w:eastAsia="Calibri" w:hAnsi="Calibri" w:cs="Calibri"/>
          <w:sz w:val="24"/>
        </w:rPr>
        <w:t>p</w:t>
      </w:r>
      <w:r w:rsidRPr="003000D7">
        <w:rPr>
          <w:rFonts w:ascii="Calibri" w:eastAsia="Calibri" w:hAnsi="Calibri" w:cs="Calibri"/>
          <w:sz w:val="24"/>
        </w:rPr>
        <w:t xml:space="preserve">řílohy účetní závěrky, </w:t>
      </w:r>
      <w:r w:rsidR="008673A7">
        <w:rPr>
          <w:rFonts w:ascii="Calibri" w:eastAsia="Calibri" w:hAnsi="Calibri" w:cs="Calibri"/>
          <w:sz w:val="24"/>
        </w:rPr>
        <w:t>p</w:t>
      </w:r>
      <w:r w:rsidRPr="003000D7">
        <w:rPr>
          <w:rFonts w:ascii="Calibri" w:eastAsia="Calibri" w:hAnsi="Calibri" w:cs="Calibri"/>
          <w:sz w:val="24"/>
        </w:rPr>
        <w:t>řehledu o</w:t>
      </w:r>
      <w:r w:rsidR="003000D7">
        <w:rPr>
          <w:rFonts w:ascii="Calibri" w:eastAsia="Calibri" w:hAnsi="Calibri" w:cs="Calibri"/>
          <w:sz w:val="24"/>
        </w:rPr>
        <w:t> </w:t>
      </w:r>
      <w:r w:rsidRPr="003000D7">
        <w:rPr>
          <w:rFonts w:ascii="Calibri" w:eastAsia="Calibri" w:hAnsi="Calibri" w:cs="Calibri"/>
          <w:sz w:val="24"/>
        </w:rPr>
        <w:t xml:space="preserve">peněžních tocích a </w:t>
      </w:r>
      <w:r w:rsidR="008673A7">
        <w:rPr>
          <w:rFonts w:ascii="Calibri" w:eastAsia="Calibri" w:hAnsi="Calibri" w:cs="Calibri"/>
          <w:sz w:val="24"/>
        </w:rPr>
        <w:t>p</w:t>
      </w:r>
      <w:r w:rsidRPr="003000D7">
        <w:rPr>
          <w:rFonts w:ascii="Calibri" w:eastAsia="Calibri" w:hAnsi="Calibri" w:cs="Calibri"/>
          <w:sz w:val="24"/>
        </w:rPr>
        <w:t>řehledu o změnách vlastního kapitálu k 31. 12. 2014.</w:t>
      </w:r>
    </w:p>
    <w:p w:rsidR="00076861" w:rsidRPr="003000D7" w:rsidRDefault="00076861" w:rsidP="00076861">
      <w:pPr>
        <w:spacing w:line="264" w:lineRule="auto"/>
        <w:ind w:firstLine="0"/>
        <w:rPr>
          <w:rFonts w:ascii="Calibri" w:eastAsia="Calibri" w:hAnsi="Calibri" w:cs="Calibri"/>
          <w:sz w:val="24"/>
        </w:rPr>
      </w:pPr>
    </w:p>
    <w:p w:rsidR="00E6399F" w:rsidRDefault="00E6399F" w:rsidP="00076861">
      <w:pPr>
        <w:spacing w:line="264" w:lineRule="auto"/>
        <w:ind w:firstLine="0"/>
        <w:rPr>
          <w:rFonts w:ascii="Calibri" w:eastAsia="Calibri" w:hAnsi="Calibri" w:cs="Calibri"/>
          <w:sz w:val="24"/>
        </w:rPr>
      </w:pPr>
      <w:r w:rsidRPr="003000D7">
        <w:rPr>
          <w:rFonts w:ascii="Calibri" w:eastAsia="Calibri" w:hAnsi="Calibri" w:cs="Calibri"/>
          <w:sz w:val="24"/>
        </w:rPr>
        <w:t>Pro posouzení spolehlivosti účetní závěrky byla stanovena významnost (materialita)</w:t>
      </w:r>
      <w:r w:rsidRPr="003000D7">
        <w:rPr>
          <w:rStyle w:val="Znakapoznpodarou"/>
          <w:rFonts w:ascii="Calibri" w:eastAsia="Calibri" w:hAnsi="Calibri" w:cs="Calibri"/>
          <w:sz w:val="24"/>
        </w:rPr>
        <w:footnoteReference w:id="1"/>
      </w:r>
      <w:r w:rsidR="008673A7">
        <w:rPr>
          <w:rFonts w:ascii="Calibri" w:eastAsia="Calibri" w:hAnsi="Calibri" w:cs="Calibri"/>
          <w:sz w:val="24"/>
        </w:rPr>
        <w:t>,</w:t>
      </w:r>
      <w:r w:rsidRPr="003000D7">
        <w:rPr>
          <w:rFonts w:ascii="Calibri" w:eastAsia="Calibri" w:hAnsi="Calibri" w:cs="Calibri"/>
          <w:sz w:val="24"/>
        </w:rPr>
        <w:t xml:space="preserve"> tj.</w:t>
      </w:r>
      <w:r w:rsidR="008673A7">
        <w:rPr>
          <w:rFonts w:ascii="Calibri" w:eastAsia="Calibri" w:hAnsi="Calibri" w:cs="Calibri"/>
          <w:sz w:val="24"/>
        </w:rPr>
        <w:t> </w:t>
      </w:r>
      <w:r w:rsidRPr="003000D7">
        <w:rPr>
          <w:rFonts w:ascii="Calibri" w:eastAsia="Calibri" w:hAnsi="Calibri" w:cs="Calibri"/>
          <w:sz w:val="24"/>
        </w:rPr>
        <w:t xml:space="preserve">hodnota nesprávností, u kterých je možné přiměřeně očekávat, že jednotlivě nebo v součtu ovlivní ekonomická rozhodnutí uživatelů účetní závěrky, </w:t>
      </w:r>
      <w:r w:rsidR="00B029FD">
        <w:rPr>
          <w:rFonts w:ascii="Calibri" w:eastAsia="Calibri" w:hAnsi="Calibri" w:cs="Calibri"/>
          <w:sz w:val="24"/>
        </w:rPr>
        <w:t xml:space="preserve">a to </w:t>
      </w:r>
      <w:r w:rsidRPr="003000D7">
        <w:rPr>
          <w:rFonts w:ascii="Calibri" w:eastAsia="Calibri" w:hAnsi="Calibri" w:cs="Calibri"/>
          <w:sz w:val="24"/>
        </w:rPr>
        <w:t>ve výši 2 mld. Kč.</w:t>
      </w:r>
    </w:p>
    <w:p w:rsidR="00076861" w:rsidRPr="003000D7" w:rsidRDefault="00076861" w:rsidP="00076861">
      <w:pPr>
        <w:spacing w:line="264" w:lineRule="auto"/>
        <w:ind w:firstLine="0"/>
        <w:rPr>
          <w:rFonts w:ascii="Calibri" w:eastAsia="Calibri" w:hAnsi="Calibri" w:cs="Calibri"/>
          <w:sz w:val="24"/>
        </w:rPr>
      </w:pPr>
    </w:p>
    <w:p w:rsidR="00E6399F" w:rsidRPr="003000D7" w:rsidRDefault="00E6399F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3000D7">
        <w:rPr>
          <w:rFonts w:ascii="Calibri" w:eastAsia="Calibri" w:hAnsi="Calibri" w:cs="Calibri"/>
          <w:sz w:val="24"/>
        </w:rPr>
        <w:t xml:space="preserve">Při kontrole nebyly zjištěny významné nesprávnosti. Celková částka nesprávností, které byly v průběhu kontroly zjištěny, </w:t>
      </w:r>
      <w:r w:rsidRPr="003000D7">
        <w:rPr>
          <w:rFonts w:ascii="Calibri" w:hAnsi="Calibri" w:cs="Calibri"/>
          <w:sz w:val="24"/>
        </w:rPr>
        <w:t xml:space="preserve">byla vyčíslena ve výši </w:t>
      </w:r>
      <w:r w:rsidRPr="003000D7">
        <w:rPr>
          <w:rFonts w:ascii="Calibri" w:hAnsi="Calibri" w:cs="Calibri"/>
          <w:b/>
          <w:sz w:val="24"/>
        </w:rPr>
        <w:t>367</w:t>
      </w:r>
      <w:r w:rsidRPr="003000D7">
        <w:rPr>
          <w:rFonts w:ascii="Calibri" w:hAnsi="Calibri" w:cs="Calibri"/>
          <w:b/>
          <w:color w:val="000000"/>
          <w:sz w:val="24"/>
          <w:lang w:eastAsia="cs-CZ"/>
        </w:rPr>
        <w:t xml:space="preserve">,1 mil. </w:t>
      </w:r>
      <w:r w:rsidRPr="003000D7">
        <w:rPr>
          <w:rFonts w:ascii="Calibri" w:hAnsi="Calibri" w:cs="Calibri"/>
          <w:b/>
          <w:sz w:val="24"/>
        </w:rPr>
        <w:t>Kč</w:t>
      </w:r>
      <w:r w:rsidR="00E07FC3" w:rsidRPr="003000D7">
        <w:rPr>
          <w:rFonts w:ascii="Calibri" w:hAnsi="Calibri" w:cs="Calibri"/>
          <w:sz w:val="24"/>
        </w:rPr>
        <w:t xml:space="preserve"> (viz část III.1</w:t>
      </w:r>
      <w:r w:rsidR="008673A7">
        <w:rPr>
          <w:rFonts w:ascii="Calibri" w:hAnsi="Calibri" w:cs="Calibri"/>
          <w:sz w:val="24"/>
        </w:rPr>
        <w:t xml:space="preserve"> tohoto kontrolního závěru</w:t>
      </w:r>
      <w:r w:rsidR="00E07FC3" w:rsidRPr="003000D7">
        <w:rPr>
          <w:rFonts w:ascii="Calibri" w:hAnsi="Calibri" w:cs="Calibri"/>
          <w:sz w:val="24"/>
        </w:rPr>
        <w:t>)</w:t>
      </w:r>
      <w:r w:rsidR="008673A7">
        <w:rPr>
          <w:rFonts w:ascii="Calibri" w:hAnsi="Calibri" w:cs="Calibri"/>
          <w:sz w:val="24"/>
        </w:rPr>
        <w:t>.</w:t>
      </w:r>
    </w:p>
    <w:p w:rsidR="002101FC" w:rsidRPr="003000D7" w:rsidRDefault="002101FC" w:rsidP="00076861">
      <w:pPr>
        <w:spacing w:line="264" w:lineRule="auto"/>
        <w:ind w:firstLine="0"/>
        <w:rPr>
          <w:rFonts w:ascii="Calibri" w:hAnsi="Calibri" w:cs="Calibri"/>
          <w:color w:val="000000"/>
          <w:szCs w:val="22"/>
          <w:lang w:eastAsia="cs-CZ"/>
        </w:rPr>
      </w:pPr>
    </w:p>
    <w:p w:rsidR="002101FC" w:rsidRPr="003000D7" w:rsidRDefault="002101FC" w:rsidP="002101FC">
      <w:pPr>
        <w:tabs>
          <w:tab w:val="right" w:pos="9072"/>
        </w:tabs>
        <w:spacing w:after="40"/>
        <w:ind w:firstLine="0"/>
        <w:rPr>
          <w:rFonts w:ascii="Calibri" w:hAnsi="Calibri" w:cs="Calibri"/>
          <w:b/>
          <w:color w:val="000000"/>
          <w:sz w:val="24"/>
        </w:rPr>
      </w:pPr>
      <w:r w:rsidRPr="003000D7">
        <w:rPr>
          <w:rFonts w:ascii="Calibri" w:hAnsi="Calibri" w:cs="Calibri"/>
          <w:b/>
          <w:color w:val="000000"/>
          <w:sz w:val="24"/>
        </w:rPr>
        <w:t>Tabulka č. 3 – Hladina významnosti a celková nesprávnost</w:t>
      </w:r>
      <w:r w:rsidRPr="003000D7">
        <w:rPr>
          <w:rFonts w:ascii="Calibri" w:hAnsi="Calibri" w:cs="Calibri"/>
          <w:color w:val="000000"/>
        </w:rPr>
        <w:tab/>
      </w:r>
      <w:r w:rsidRPr="003000D7">
        <w:rPr>
          <w:rFonts w:ascii="Calibri" w:hAnsi="Calibri" w:cs="Calibri"/>
          <w:b/>
          <w:color w:val="000000"/>
          <w:sz w:val="24"/>
        </w:rPr>
        <w:t>(v tis. Kč)</w:t>
      </w:r>
    </w:p>
    <w:tbl>
      <w:tblPr>
        <w:tblW w:w="9011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2891"/>
        <w:gridCol w:w="2891"/>
      </w:tblGrid>
      <w:tr w:rsidR="002101FC" w:rsidRPr="003000D7" w:rsidTr="00C535FA">
        <w:trPr>
          <w:trHeight w:val="283"/>
          <w:jc w:val="center"/>
        </w:trPr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2101FC" w:rsidRPr="003000D7" w:rsidRDefault="002101FC" w:rsidP="00B029FD">
            <w:pPr>
              <w:spacing w:before="20" w:after="2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000D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Celkové náklady vykázané*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2101FC" w:rsidRPr="003000D7" w:rsidRDefault="002101FC" w:rsidP="00B029FD">
            <w:pPr>
              <w:spacing w:before="20" w:after="2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000D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Hladina</w:t>
            </w:r>
            <w:r w:rsidR="008673A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3000D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významnosti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2101FC" w:rsidRPr="003000D7" w:rsidRDefault="002101FC" w:rsidP="00B029FD">
            <w:pPr>
              <w:spacing w:before="20" w:after="2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000D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Celková</w:t>
            </w:r>
            <w:r w:rsidR="008673A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3000D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nesprávnost</w:t>
            </w:r>
          </w:p>
        </w:tc>
      </w:tr>
      <w:tr w:rsidR="002101FC" w:rsidRPr="003000D7" w:rsidTr="00C535FA">
        <w:trPr>
          <w:trHeight w:val="283"/>
          <w:jc w:val="center"/>
        </w:trPr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2101FC" w:rsidRPr="003000D7" w:rsidRDefault="002101FC" w:rsidP="00C535FA">
            <w:pPr>
              <w:spacing w:before="20" w:after="20"/>
              <w:ind w:right="227"/>
              <w:jc w:val="center"/>
              <w:rPr>
                <w:rFonts w:ascii="Calibri" w:hAnsi="Calibri" w:cs="Calibri"/>
                <w:color w:val="000000"/>
                <w:sz w:val="24"/>
                <w:lang w:eastAsia="cs-CZ"/>
              </w:rPr>
            </w:pPr>
            <w:r w:rsidRPr="003000D7">
              <w:rPr>
                <w:rFonts w:ascii="Calibri" w:hAnsi="Calibri" w:cs="Calibri"/>
                <w:color w:val="000000"/>
                <w:sz w:val="24"/>
                <w:lang w:eastAsia="cs-CZ"/>
              </w:rPr>
              <w:t>407 968 899,89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2101FC" w:rsidRPr="003000D7" w:rsidRDefault="002101FC" w:rsidP="00C535FA">
            <w:pPr>
              <w:spacing w:before="20" w:after="20"/>
              <w:ind w:right="196"/>
              <w:jc w:val="center"/>
              <w:rPr>
                <w:rFonts w:ascii="Calibri" w:hAnsi="Calibri" w:cs="Calibri"/>
                <w:color w:val="000000"/>
                <w:sz w:val="24"/>
                <w:lang w:eastAsia="cs-CZ"/>
              </w:rPr>
            </w:pPr>
            <w:r w:rsidRPr="003000D7">
              <w:rPr>
                <w:rFonts w:ascii="Calibri" w:hAnsi="Calibri" w:cs="Calibri"/>
                <w:color w:val="000000"/>
                <w:sz w:val="24"/>
                <w:lang w:eastAsia="cs-CZ"/>
              </w:rPr>
              <w:t>2 000 000,00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2101FC" w:rsidRPr="003000D7" w:rsidRDefault="002101FC" w:rsidP="00C535F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lang w:eastAsia="cs-CZ"/>
              </w:rPr>
            </w:pPr>
            <w:r w:rsidRPr="003000D7">
              <w:rPr>
                <w:rFonts w:ascii="Calibri" w:hAnsi="Calibri" w:cs="Calibri"/>
                <w:b/>
                <w:color w:val="000000"/>
                <w:sz w:val="24"/>
              </w:rPr>
              <w:t>367 100, 00</w:t>
            </w:r>
          </w:p>
        </w:tc>
      </w:tr>
    </w:tbl>
    <w:p w:rsidR="002101FC" w:rsidRPr="008673A7" w:rsidRDefault="002101FC" w:rsidP="002101FC">
      <w:pPr>
        <w:spacing w:before="40"/>
        <w:ind w:firstLine="0"/>
        <w:rPr>
          <w:rFonts w:ascii="Calibri" w:hAnsi="Calibri" w:cs="Calibri"/>
          <w:color w:val="000000"/>
          <w:sz w:val="18"/>
          <w:szCs w:val="18"/>
        </w:rPr>
      </w:pPr>
      <w:r w:rsidRPr="008673A7">
        <w:rPr>
          <w:rFonts w:ascii="Calibri" w:hAnsi="Calibri" w:cs="Calibri"/>
          <w:color w:val="000000"/>
          <w:sz w:val="20"/>
          <w:szCs w:val="20"/>
        </w:rPr>
        <w:t xml:space="preserve">* </w:t>
      </w:r>
      <w:r w:rsidRPr="00BE3497">
        <w:rPr>
          <w:rFonts w:ascii="Calibri" w:hAnsi="Calibri" w:cs="Calibri"/>
          <w:color w:val="000000"/>
          <w:sz w:val="20"/>
          <w:szCs w:val="20"/>
        </w:rPr>
        <w:t>Údaje o nákladech byly čerpány z výkazu zisku a ztráty ČSSZ k 31. prosinci 2014</w:t>
      </w:r>
      <w:r w:rsidRPr="008673A7">
        <w:rPr>
          <w:rFonts w:ascii="Calibri" w:hAnsi="Calibri" w:cs="Calibri"/>
          <w:color w:val="000000"/>
          <w:sz w:val="18"/>
          <w:szCs w:val="18"/>
        </w:rPr>
        <w:t>.</w:t>
      </w:r>
    </w:p>
    <w:p w:rsidR="00076861" w:rsidRPr="003000D7" w:rsidRDefault="00076861" w:rsidP="00076861">
      <w:pPr>
        <w:spacing w:line="264" w:lineRule="auto"/>
        <w:ind w:firstLine="0"/>
        <w:rPr>
          <w:rFonts w:ascii="Calibri" w:eastAsia="Calibri" w:hAnsi="Calibri" w:cs="Calibri"/>
          <w:sz w:val="24"/>
        </w:rPr>
      </w:pPr>
    </w:p>
    <w:p w:rsidR="00076861" w:rsidRPr="003000D7" w:rsidRDefault="00E6399F" w:rsidP="00076861">
      <w:pPr>
        <w:spacing w:line="264" w:lineRule="auto"/>
        <w:ind w:firstLine="0"/>
        <w:rPr>
          <w:rFonts w:ascii="Calibri" w:eastAsia="Calibri" w:hAnsi="Calibri" w:cs="Calibri"/>
          <w:sz w:val="24"/>
        </w:rPr>
      </w:pPr>
      <w:r w:rsidRPr="003000D7">
        <w:rPr>
          <w:rFonts w:ascii="Calibri" w:hAnsi="Calibri" w:cs="Calibri"/>
          <w:b/>
          <w:sz w:val="24"/>
        </w:rPr>
        <w:t>Podle názoru NKÚ účetní závěrka podává věrný a poctivý obraz předmětu účetnictví a</w:t>
      </w:r>
      <w:r w:rsidR="003000D7">
        <w:rPr>
          <w:rFonts w:ascii="Calibri" w:hAnsi="Calibri" w:cs="Calibri"/>
          <w:b/>
          <w:sz w:val="24"/>
        </w:rPr>
        <w:t> </w:t>
      </w:r>
      <w:r w:rsidRPr="003000D7">
        <w:rPr>
          <w:rFonts w:ascii="Calibri" w:hAnsi="Calibri" w:cs="Calibri"/>
          <w:b/>
          <w:sz w:val="24"/>
        </w:rPr>
        <w:t>finanční situace účetní jednotky dle účetních předpisů pro některé vybrané účetní jednotky.</w:t>
      </w:r>
      <w:r w:rsidR="00076861" w:rsidRPr="00076861">
        <w:rPr>
          <w:rFonts w:ascii="Calibri" w:eastAsia="Calibri" w:hAnsi="Calibri" w:cs="Calibri"/>
          <w:sz w:val="24"/>
        </w:rPr>
        <w:t xml:space="preserve"> </w:t>
      </w:r>
    </w:p>
    <w:p w:rsidR="00E6399F" w:rsidRPr="003000D7" w:rsidRDefault="00E6399F" w:rsidP="00076861">
      <w:pPr>
        <w:spacing w:line="264" w:lineRule="auto"/>
        <w:ind w:firstLine="0"/>
        <w:rPr>
          <w:rFonts w:ascii="Calibri" w:eastAsia="Calibri" w:hAnsi="Calibri" w:cs="Calibri"/>
          <w:b/>
          <w:sz w:val="24"/>
        </w:rPr>
      </w:pPr>
    </w:p>
    <w:p w:rsidR="00BD58BD" w:rsidRPr="003000D7" w:rsidRDefault="00076861" w:rsidP="00076861">
      <w:pPr>
        <w:pStyle w:val="Nadpis1"/>
        <w:numPr>
          <w:ilvl w:val="0"/>
          <w:numId w:val="0"/>
        </w:numPr>
        <w:spacing w:line="264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BD58BD" w:rsidRPr="003000D7">
        <w:rPr>
          <w:rFonts w:ascii="Calibri" w:hAnsi="Calibri" w:cs="Calibri"/>
          <w:sz w:val="24"/>
          <w:szCs w:val="24"/>
        </w:rPr>
        <w:t>Správnost údajů ve výkazu pro hodnocení plnění rozpočtu sestaveném k 31.</w:t>
      </w:r>
      <w:r w:rsidR="003000D7">
        <w:rPr>
          <w:rFonts w:ascii="Calibri" w:hAnsi="Calibri" w:cs="Calibri"/>
          <w:sz w:val="24"/>
          <w:szCs w:val="24"/>
        </w:rPr>
        <w:t> </w:t>
      </w:r>
      <w:r w:rsidR="00BD58BD" w:rsidRPr="003000D7">
        <w:rPr>
          <w:rFonts w:ascii="Calibri" w:hAnsi="Calibri" w:cs="Calibri"/>
          <w:sz w:val="24"/>
          <w:szCs w:val="24"/>
        </w:rPr>
        <w:t xml:space="preserve">prosinci 2014 </w:t>
      </w:r>
    </w:p>
    <w:p w:rsidR="00BD58BD" w:rsidRPr="003000D7" w:rsidRDefault="00BD58BD" w:rsidP="00076861">
      <w:pPr>
        <w:spacing w:line="264" w:lineRule="auto"/>
        <w:ind w:firstLine="0"/>
        <w:rPr>
          <w:rFonts w:ascii="Calibri" w:hAnsi="Calibri" w:cs="Calibri"/>
          <w:highlight w:val="yellow"/>
          <w:lang w:eastAsia="cs-CZ"/>
        </w:rPr>
      </w:pPr>
    </w:p>
    <w:p w:rsidR="002B18BF" w:rsidRDefault="00BD58BD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  <w:lang w:eastAsia="cs-CZ"/>
        </w:rPr>
      </w:pPr>
      <w:r w:rsidRPr="003000D7">
        <w:rPr>
          <w:rFonts w:ascii="Calibri" w:hAnsi="Calibri" w:cs="Calibri"/>
          <w:color w:val="000000"/>
          <w:sz w:val="24"/>
          <w:lang w:eastAsia="cs-CZ"/>
        </w:rPr>
        <w:t xml:space="preserve">Celková nesprávnost zjištěná na vybraném vzorku dokladů ve výkazu pro hodnocení plnění rozpočtu sestaveném k 31. prosinci 2014 činila </w:t>
      </w:r>
      <w:r w:rsidRPr="003000D7">
        <w:rPr>
          <w:rFonts w:ascii="Calibri" w:hAnsi="Calibri" w:cs="Calibri"/>
          <w:b/>
          <w:color w:val="000000"/>
          <w:sz w:val="24"/>
          <w:lang w:eastAsia="cs-CZ"/>
        </w:rPr>
        <w:t>85 167,00 Kč</w:t>
      </w:r>
      <w:r w:rsidR="00E07FC3" w:rsidRPr="003000D7">
        <w:rPr>
          <w:rFonts w:ascii="Calibri" w:hAnsi="Calibri" w:cs="Calibri"/>
          <w:b/>
          <w:color w:val="000000"/>
          <w:sz w:val="24"/>
          <w:lang w:eastAsia="cs-CZ"/>
        </w:rPr>
        <w:t xml:space="preserve"> </w:t>
      </w:r>
      <w:r w:rsidR="00E07FC3" w:rsidRPr="003000D7">
        <w:rPr>
          <w:rFonts w:ascii="Calibri" w:hAnsi="Calibri" w:cs="Calibri"/>
          <w:color w:val="000000"/>
          <w:sz w:val="24"/>
          <w:lang w:eastAsia="cs-CZ"/>
        </w:rPr>
        <w:t>(viz část III.2</w:t>
      </w:r>
      <w:r w:rsidR="008673A7">
        <w:rPr>
          <w:rFonts w:ascii="Calibri" w:hAnsi="Calibri" w:cs="Calibri"/>
          <w:color w:val="000000"/>
          <w:sz w:val="24"/>
          <w:lang w:eastAsia="cs-CZ"/>
        </w:rPr>
        <w:t xml:space="preserve"> tohoto kontrolního závěru</w:t>
      </w:r>
      <w:r w:rsidR="00E07FC3" w:rsidRPr="003000D7">
        <w:rPr>
          <w:rFonts w:ascii="Calibri" w:hAnsi="Calibri" w:cs="Calibri"/>
          <w:color w:val="000000"/>
          <w:sz w:val="24"/>
          <w:lang w:eastAsia="cs-CZ"/>
        </w:rPr>
        <w:t>)</w:t>
      </w:r>
      <w:r w:rsidR="002B18BF" w:rsidRPr="003000D7">
        <w:rPr>
          <w:rFonts w:ascii="Calibri" w:hAnsi="Calibri" w:cs="Calibri"/>
          <w:color w:val="000000"/>
          <w:sz w:val="24"/>
          <w:lang w:eastAsia="cs-CZ"/>
        </w:rPr>
        <w:t>.</w:t>
      </w:r>
    </w:p>
    <w:p w:rsidR="00076861" w:rsidRDefault="00076861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  <w:lang w:eastAsia="cs-CZ"/>
        </w:rPr>
      </w:pPr>
    </w:p>
    <w:p w:rsidR="008673A7" w:rsidRDefault="008673A7">
      <w:pPr>
        <w:ind w:firstLine="0"/>
        <w:jc w:val="left"/>
        <w:rPr>
          <w:rFonts w:ascii="Calibri" w:hAnsi="Calibri" w:cs="Calibri"/>
          <w:b/>
          <w:bCs/>
          <w:sz w:val="24"/>
          <w:lang w:eastAsia="cs-CZ"/>
        </w:rPr>
      </w:pPr>
      <w:r>
        <w:rPr>
          <w:rFonts w:ascii="Calibri" w:hAnsi="Calibri" w:cs="Calibri"/>
          <w:sz w:val="24"/>
        </w:rPr>
        <w:br w:type="page"/>
      </w:r>
    </w:p>
    <w:p w:rsidR="00E6399F" w:rsidRPr="003000D7" w:rsidRDefault="00076861" w:rsidP="00076861">
      <w:pPr>
        <w:pStyle w:val="Nadpis1"/>
        <w:numPr>
          <w:ilvl w:val="0"/>
          <w:numId w:val="0"/>
        </w:numPr>
        <w:spacing w:line="26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3. </w:t>
      </w:r>
      <w:r w:rsidR="00E6399F" w:rsidRPr="003000D7">
        <w:rPr>
          <w:rFonts w:ascii="Calibri" w:hAnsi="Calibri" w:cs="Calibri"/>
          <w:sz w:val="24"/>
          <w:szCs w:val="24"/>
        </w:rPr>
        <w:t xml:space="preserve">Právní úprava účetnictví a výkaznictví v roce 2014 </w:t>
      </w:r>
    </w:p>
    <w:p w:rsidR="00076861" w:rsidRPr="00076861" w:rsidRDefault="00076861" w:rsidP="00076861">
      <w:pPr>
        <w:spacing w:line="264" w:lineRule="auto"/>
        <w:ind w:left="284" w:hanging="284"/>
        <w:rPr>
          <w:rFonts w:ascii="Calibri" w:hAnsi="Calibri" w:cs="Calibri"/>
          <w:color w:val="000000"/>
          <w:sz w:val="24"/>
          <w:lang w:eastAsia="cs-CZ"/>
        </w:rPr>
      </w:pPr>
    </w:p>
    <w:p w:rsidR="00E6399F" w:rsidRPr="003000D7" w:rsidRDefault="00E6399F" w:rsidP="00076861">
      <w:pPr>
        <w:pStyle w:val="Nadpis2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3000D7">
        <w:rPr>
          <w:rFonts w:ascii="Calibri" w:hAnsi="Calibri" w:cs="Calibri"/>
          <w:sz w:val="24"/>
        </w:rPr>
        <w:t>Neprovázanost zákona č. 589/1992</w:t>
      </w:r>
      <w:r w:rsidR="00FE5B62" w:rsidRPr="00FE5B62">
        <w:rPr>
          <w:rFonts w:ascii="Calibri" w:hAnsi="Calibri" w:cs="Calibri"/>
          <w:sz w:val="24"/>
        </w:rPr>
        <w:t xml:space="preserve"> </w:t>
      </w:r>
      <w:r w:rsidR="00FE5B62" w:rsidRPr="003000D7">
        <w:rPr>
          <w:rFonts w:ascii="Calibri" w:hAnsi="Calibri" w:cs="Calibri"/>
          <w:sz w:val="24"/>
        </w:rPr>
        <w:t>Sb.</w:t>
      </w:r>
      <w:r w:rsidR="009A02AB" w:rsidRPr="003000D7">
        <w:rPr>
          <w:rStyle w:val="Znakapoznpodarou"/>
          <w:rFonts w:ascii="Calibri" w:hAnsi="Calibri" w:cs="Calibri"/>
          <w:sz w:val="24"/>
        </w:rPr>
        <w:footnoteReference w:id="2"/>
      </w:r>
      <w:r w:rsidRPr="003000D7">
        <w:rPr>
          <w:rFonts w:ascii="Calibri" w:hAnsi="Calibri" w:cs="Calibri"/>
          <w:sz w:val="24"/>
        </w:rPr>
        <w:t xml:space="preserve"> a vyhlášky č. 410/2009 Sb</w:t>
      </w:r>
      <w:r w:rsidR="00FE5B62">
        <w:rPr>
          <w:rFonts w:ascii="Calibri" w:hAnsi="Calibri" w:cs="Calibri"/>
          <w:sz w:val="24"/>
        </w:rPr>
        <w:t>.</w:t>
      </w:r>
      <w:r w:rsidR="009A02AB" w:rsidRPr="003000D7">
        <w:rPr>
          <w:rStyle w:val="Znakapoznpodarou"/>
          <w:rFonts w:ascii="Calibri" w:hAnsi="Calibri" w:cs="Calibri"/>
          <w:sz w:val="24"/>
        </w:rPr>
        <w:footnoteReference w:id="3"/>
      </w:r>
      <w:r w:rsidRPr="003000D7">
        <w:rPr>
          <w:rFonts w:ascii="Calibri" w:hAnsi="Calibri" w:cs="Calibri"/>
          <w:sz w:val="24"/>
        </w:rPr>
        <w:t xml:space="preserve"> v roce 2014</w:t>
      </w:r>
    </w:p>
    <w:p w:rsidR="00E6399F" w:rsidRPr="003000D7" w:rsidRDefault="00E6399F" w:rsidP="00076861">
      <w:pPr>
        <w:spacing w:line="264" w:lineRule="auto"/>
        <w:ind w:left="284" w:hanging="284"/>
        <w:rPr>
          <w:rFonts w:ascii="Calibri" w:hAnsi="Calibri" w:cs="Calibri"/>
          <w:color w:val="000000"/>
          <w:lang w:eastAsia="cs-CZ"/>
        </w:rPr>
      </w:pPr>
    </w:p>
    <w:p w:rsidR="00E6399F" w:rsidRPr="003000D7" w:rsidRDefault="00E6399F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3000D7">
        <w:rPr>
          <w:rFonts w:ascii="Calibri" w:hAnsi="Calibri" w:cs="Calibri"/>
          <w:sz w:val="24"/>
        </w:rPr>
        <w:t>Vyhláška č. 410/2009 Sb. definuje prostřednictvím obsahového vymezení účtů</w:t>
      </w:r>
      <w:r w:rsidR="00362816">
        <w:rPr>
          <w:rFonts w:ascii="Calibri" w:hAnsi="Calibri" w:cs="Calibri"/>
          <w:sz w:val="24"/>
        </w:rPr>
        <w:t xml:space="preserve"> </w:t>
      </w:r>
      <w:r w:rsidR="00BE3497">
        <w:rPr>
          <w:rFonts w:ascii="Calibri" w:hAnsi="Calibri" w:cs="Calibri"/>
          <w:sz w:val="24"/>
        </w:rPr>
        <w:br/>
      </w:r>
      <w:r w:rsidRPr="00BE3497">
        <w:rPr>
          <w:rFonts w:ascii="Calibri" w:hAnsi="Calibri" w:cs="Calibri"/>
          <w:sz w:val="24"/>
        </w:rPr>
        <w:t xml:space="preserve">352 – </w:t>
      </w:r>
      <w:r w:rsidRPr="003000D7">
        <w:rPr>
          <w:rFonts w:ascii="Calibri" w:hAnsi="Calibri" w:cs="Calibri"/>
          <w:i/>
          <w:sz w:val="24"/>
        </w:rPr>
        <w:t>Pohledávky ze správy daní</w:t>
      </w:r>
      <w:r w:rsidRPr="003000D7">
        <w:rPr>
          <w:rFonts w:ascii="Calibri" w:hAnsi="Calibri" w:cs="Calibri"/>
          <w:sz w:val="24"/>
        </w:rPr>
        <w:t xml:space="preserve"> a </w:t>
      </w:r>
      <w:r w:rsidRPr="00BE3497">
        <w:rPr>
          <w:rFonts w:ascii="Calibri" w:hAnsi="Calibri" w:cs="Calibri"/>
          <w:sz w:val="24"/>
        </w:rPr>
        <w:t>633</w:t>
      </w:r>
      <w:r w:rsidRPr="008673A7">
        <w:rPr>
          <w:rFonts w:ascii="Calibri" w:hAnsi="Calibri" w:cs="Calibri"/>
          <w:sz w:val="24"/>
        </w:rPr>
        <w:t xml:space="preserve"> </w:t>
      </w:r>
      <w:r w:rsidRPr="00BE3497">
        <w:rPr>
          <w:rFonts w:ascii="Calibri" w:hAnsi="Calibri" w:cs="Calibri"/>
          <w:bCs/>
          <w:iCs/>
          <w:sz w:val="24"/>
        </w:rPr>
        <w:t xml:space="preserve">– </w:t>
      </w:r>
      <w:r w:rsidRPr="003000D7">
        <w:rPr>
          <w:rFonts w:ascii="Calibri" w:hAnsi="Calibri" w:cs="Calibri"/>
          <w:bCs/>
          <w:i/>
          <w:iCs/>
          <w:sz w:val="24"/>
        </w:rPr>
        <w:t>Výnosy ze sociálního pojištění</w:t>
      </w:r>
      <w:r w:rsidRPr="003000D7">
        <w:rPr>
          <w:rFonts w:ascii="Calibri" w:hAnsi="Calibri" w:cs="Calibri"/>
          <w:sz w:val="24"/>
        </w:rPr>
        <w:t xml:space="preserve"> podmínky, při jejichž splnění lze penále z pojistného vůči zaměstnavatelům na těchto účtech zobrazit. Tyto podmínky jsou splněny v okamžiku, kdy okresní správa so</w:t>
      </w:r>
      <w:r w:rsidR="0077418B">
        <w:rPr>
          <w:rFonts w:ascii="Calibri" w:hAnsi="Calibri" w:cs="Calibri"/>
          <w:sz w:val="24"/>
        </w:rPr>
        <w:t>ciálního zabezpečení rozhodla o </w:t>
      </w:r>
      <w:r w:rsidRPr="003000D7">
        <w:rPr>
          <w:rFonts w:ascii="Calibri" w:hAnsi="Calibri" w:cs="Calibri"/>
          <w:sz w:val="24"/>
        </w:rPr>
        <w:t>penále formou platebního výměru v rámci řízení ve věcech pojistného na sociální zabezpečení v souladu s</w:t>
      </w:r>
      <w:r w:rsidR="003000D7">
        <w:rPr>
          <w:rFonts w:ascii="Calibri" w:hAnsi="Calibri" w:cs="Calibri"/>
          <w:sz w:val="24"/>
        </w:rPr>
        <w:t> </w:t>
      </w:r>
      <w:r w:rsidRPr="003000D7">
        <w:rPr>
          <w:rFonts w:ascii="Calibri" w:hAnsi="Calibri" w:cs="Calibri"/>
          <w:sz w:val="24"/>
        </w:rPr>
        <w:t>ustanovením § 104a a následuj</w:t>
      </w:r>
      <w:r w:rsidR="0077418B">
        <w:rPr>
          <w:rFonts w:ascii="Calibri" w:hAnsi="Calibri" w:cs="Calibri"/>
          <w:sz w:val="24"/>
        </w:rPr>
        <w:t>ících zákona č. 582/1991 Sb., o </w:t>
      </w:r>
      <w:r w:rsidRPr="003000D7">
        <w:rPr>
          <w:rFonts w:ascii="Calibri" w:hAnsi="Calibri" w:cs="Calibri"/>
          <w:sz w:val="24"/>
        </w:rPr>
        <w:t>organizaci a provádění sociálního zabezpečení, nebo výkazem nedoplatků podle § 104g téhož zákona. Ustanovení zákona č.</w:t>
      </w:r>
      <w:r w:rsidR="00C80490">
        <w:rPr>
          <w:rFonts w:ascii="Calibri" w:hAnsi="Calibri" w:cs="Calibri"/>
          <w:sz w:val="24"/>
        </w:rPr>
        <w:t> </w:t>
      </w:r>
      <w:r w:rsidRPr="003000D7">
        <w:rPr>
          <w:rFonts w:ascii="Calibri" w:hAnsi="Calibri" w:cs="Calibri"/>
          <w:sz w:val="24"/>
        </w:rPr>
        <w:t>589/1992 Sb. též předpokládá</w:t>
      </w:r>
      <w:r w:rsidR="003000D7">
        <w:rPr>
          <w:rFonts w:ascii="Calibri" w:hAnsi="Calibri" w:cs="Calibri"/>
          <w:sz w:val="24"/>
        </w:rPr>
        <w:t>,</w:t>
      </w:r>
      <w:r w:rsidRPr="003000D7">
        <w:rPr>
          <w:rFonts w:ascii="Calibri" w:hAnsi="Calibri" w:cs="Calibri"/>
          <w:sz w:val="24"/>
        </w:rPr>
        <w:t xml:space="preserve"> resp. umožňuje</w:t>
      </w:r>
      <w:r w:rsidR="00C80490">
        <w:rPr>
          <w:rFonts w:ascii="Calibri" w:hAnsi="Calibri" w:cs="Calibri"/>
          <w:sz w:val="24"/>
        </w:rPr>
        <w:t>,</w:t>
      </w:r>
      <w:r w:rsidRPr="003000D7">
        <w:rPr>
          <w:rFonts w:ascii="Calibri" w:hAnsi="Calibri" w:cs="Calibri"/>
          <w:sz w:val="24"/>
        </w:rPr>
        <w:t xml:space="preserve"> předepsat a uhradit penále z</w:t>
      </w:r>
      <w:r w:rsidR="003000D7">
        <w:rPr>
          <w:rFonts w:ascii="Calibri" w:hAnsi="Calibri" w:cs="Calibri"/>
          <w:sz w:val="24"/>
        </w:rPr>
        <w:t> </w:t>
      </w:r>
      <w:r w:rsidRPr="003000D7">
        <w:rPr>
          <w:rFonts w:ascii="Calibri" w:hAnsi="Calibri" w:cs="Calibri"/>
          <w:sz w:val="24"/>
        </w:rPr>
        <w:t xml:space="preserve">pojistného i jinými způsoby, které však vyhláška č. 410/2009 Sb. nereflektuje. Například v případě potřeby potvrzení o bezdlužnosti má plátce v souladu se zákonem č. 589/1992 Sb. možnost sám penále dopočítat a uhradit, </w:t>
      </w:r>
      <w:r w:rsidR="00FE5B62">
        <w:rPr>
          <w:rFonts w:ascii="Calibri" w:hAnsi="Calibri" w:cs="Calibri"/>
          <w:sz w:val="24"/>
        </w:rPr>
        <w:t>aniž by</w:t>
      </w:r>
      <w:r w:rsidRPr="003000D7">
        <w:rPr>
          <w:rFonts w:ascii="Calibri" w:hAnsi="Calibri" w:cs="Calibri"/>
          <w:sz w:val="24"/>
        </w:rPr>
        <w:t xml:space="preserve"> mu bylo pravomocně předepsáno. Tento způsob předpisu a úhrady penále vyhláška </w:t>
      </w:r>
      <w:r w:rsidR="00E07FC3" w:rsidRPr="003000D7">
        <w:rPr>
          <w:rFonts w:ascii="Calibri" w:hAnsi="Calibri" w:cs="Calibri"/>
          <w:sz w:val="24"/>
        </w:rPr>
        <w:t xml:space="preserve">č. </w:t>
      </w:r>
      <w:r w:rsidRPr="003000D7">
        <w:rPr>
          <w:rFonts w:ascii="Calibri" w:hAnsi="Calibri" w:cs="Calibri"/>
          <w:sz w:val="24"/>
        </w:rPr>
        <w:t xml:space="preserve">410/2009 Sb. nepostihuje. </w:t>
      </w:r>
    </w:p>
    <w:p w:rsidR="00E6399F" w:rsidRPr="003000D7" w:rsidRDefault="00E6399F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E6399F" w:rsidRPr="003000D7" w:rsidRDefault="00E6399F" w:rsidP="00076861">
      <w:pPr>
        <w:overflowPunct w:val="0"/>
        <w:autoSpaceDE w:val="0"/>
        <w:autoSpaceDN w:val="0"/>
        <w:adjustRightInd w:val="0"/>
        <w:spacing w:line="264" w:lineRule="auto"/>
        <w:ind w:firstLine="0"/>
        <w:rPr>
          <w:rFonts w:ascii="Calibri" w:hAnsi="Calibri" w:cs="Calibri"/>
          <w:sz w:val="24"/>
        </w:rPr>
      </w:pPr>
      <w:r w:rsidRPr="003000D7">
        <w:rPr>
          <w:rFonts w:ascii="Calibri" w:hAnsi="Calibri" w:cs="Calibri"/>
          <w:color w:val="000000"/>
          <w:sz w:val="24"/>
          <w:lang w:eastAsia="cs-CZ"/>
        </w:rPr>
        <w:t xml:space="preserve">Obdobná situace nastává i u penále ze záloh na pojistné na </w:t>
      </w:r>
      <w:r w:rsidR="00CF4A6F" w:rsidRPr="003000D7">
        <w:rPr>
          <w:rFonts w:ascii="Calibri" w:hAnsi="Calibri" w:cs="Calibri"/>
          <w:color w:val="000000"/>
          <w:sz w:val="24"/>
          <w:lang w:eastAsia="cs-CZ"/>
        </w:rPr>
        <w:t>důchodové pojištění osob samostatně výdělečně činných (dále také „</w:t>
      </w:r>
      <w:r w:rsidRPr="003000D7">
        <w:rPr>
          <w:rFonts w:ascii="Calibri" w:hAnsi="Calibri" w:cs="Calibri"/>
          <w:color w:val="000000"/>
          <w:sz w:val="24"/>
          <w:lang w:eastAsia="cs-CZ"/>
        </w:rPr>
        <w:t>DP OSVČ</w:t>
      </w:r>
      <w:r w:rsidR="00CF4A6F" w:rsidRPr="003000D7">
        <w:rPr>
          <w:rFonts w:ascii="Calibri" w:hAnsi="Calibri" w:cs="Calibri"/>
          <w:color w:val="000000"/>
          <w:sz w:val="24"/>
          <w:lang w:eastAsia="cs-CZ"/>
        </w:rPr>
        <w:t>“)</w:t>
      </w:r>
      <w:r w:rsidRPr="003000D7">
        <w:rPr>
          <w:rFonts w:ascii="Calibri" w:hAnsi="Calibri" w:cs="Calibri"/>
          <w:color w:val="000000"/>
          <w:sz w:val="24"/>
          <w:lang w:eastAsia="cs-CZ"/>
        </w:rPr>
        <w:t>. Ú</w:t>
      </w:r>
      <w:r w:rsidRPr="003000D7">
        <w:rPr>
          <w:rFonts w:ascii="Calibri" w:hAnsi="Calibri" w:cs="Calibri"/>
          <w:color w:val="000000"/>
          <w:sz w:val="24"/>
        </w:rPr>
        <w:t>čtování na pohledávkovém a</w:t>
      </w:r>
      <w:r w:rsidR="003000D7">
        <w:rPr>
          <w:rFonts w:ascii="Calibri" w:hAnsi="Calibri" w:cs="Calibri"/>
          <w:color w:val="000000"/>
          <w:sz w:val="24"/>
        </w:rPr>
        <w:t> </w:t>
      </w:r>
      <w:r w:rsidRPr="003000D7">
        <w:rPr>
          <w:rFonts w:ascii="Calibri" w:hAnsi="Calibri" w:cs="Calibri"/>
          <w:color w:val="000000"/>
          <w:sz w:val="24"/>
        </w:rPr>
        <w:t xml:space="preserve">výnosovém účtu, jehož obsahové vymezení klade požadavek na pravomocné vyměření, je možné teprve poté, kdy bylo penále pravomocně vyměřeno formou platebního výměru. </w:t>
      </w:r>
      <w:r w:rsidRPr="003000D7">
        <w:rPr>
          <w:rFonts w:ascii="Calibri" w:hAnsi="Calibri" w:cs="Calibri"/>
          <w:color w:val="000000"/>
          <w:sz w:val="24"/>
          <w:lang w:eastAsia="cs-CZ"/>
        </w:rPr>
        <w:t>V případě, že je dlužné penále uhrazeno z přeplatku při ročním zúčtování, se platební výměr nevystavuje. Tento způsob předpisu a úhrady penále předpokládá ustanovení § 20 zákona č.</w:t>
      </w:r>
      <w:r w:rsidR="003000D7">
        <w:rPr>
          <w:rFonts w:ascii="Calibri" w:hAnsi="Calibri" w:cs="Calibri"/>
          <w:color w:val="000000"/>
          <w:sz w:val="24"/>
          <w:lang w:eastAsia="cs-CZ"/>
        </w:rPr>
        <w:t> </w:t>
      </w:r>
      <w:r w:rsidRPr="003000D7">
        <w:rPr>
          <w:rFonts w:ascii="Calibri" w:hAnsi="Calibri" w:cs="Calibri"/>
          <w:color w:val="000000"/>
          <w:sz w:val="24"/>
          <w:lang w:eastAsia="cs-CZ"/>
        </w:rPr>
        <w:t>58</w:t>
      </w:r>
      <w:r w:rsidR="00E544F9" w:rsidRPr="003000D7">
        <w:rPr>
          <w:rFonts w:ascii="Calibri" w:hAnsi="Calibri" w:cs="Calibri"/>
          <w:color w:val="000000"/>
          <w:sz w:val="24"/>
          <w:lang w:eastAsia="cs-CZ"/>
        </w:rPr>
        <w:t>9</w:t>
      </w:r>
      <w:r w:rsidRPr="003000D7">
        <w:rPr>
          <w:rFonts w:ascii="Calibri" w:hAnsi="Calibri" w:cs="Calibri"/>
          <w:color w:val="000000"/>
          <w:sz w:val="24"/>
          <w:lang w:eastAsia="cs-CZ"/>
        </w:rPr>
        <w:t xml:space="preserve">/1992 </w:t>
      </w:r>
      <w:r w:rsidR="006F530D">
        <w:rPr>
          <w:rFonts w:ascii="Calibri" w:hAnsi="Calibri" w:cs="Calibri"/>
          <w:color w:val="000000"/>
          <w:sz w:val="24"/>
          <w:lang w:eastAsia="cs-CZ"/>
        </w:rPr>
        <w:t>S</w:t>
      </w:r>
      <w:r w:rsidRPr="003000D7">
        <w:rPr>
          <w:rFonts w:ascii="Calibri" w:hAnsi="Calibri" w:cs="Calibri"/>
          <w:color w:val="000000"/>
          <w:sz w:val="24"/>
          <w:lang w:eastAsia="cs-CZ"/>
        </w:rPr>
        <w:t>b., avšak vyhláška č. 410/2009 Sb. jej neupravuje.</w:t>
      </w:r>
      <w:r w:rsidR="00C80490">
        <w:rPr>
          <w:rFonts w:ascii="Calibri" w:hAnsi="Calibri" w:cs="Calibri"/>
          <w:color w:val="000000"/>
          <w:sz w:val="24"/>
          <w:lang w:eastAsia="cs-CZ"/>
        </w:rPr>
        <w:t xml:space="preserve"> Tato</w:t>
      </w:r>
      <w:r w:rsidRPr="003000D7">
        <w:rPr>
          <w:rFonts w:ascii="Calibri" w:hAnsi="Calibri" w:cs="Calibri"/>
          <w:color w:val="000000"/>
          <w:sz w:val="24"/>
          <w:lang w:eastAsia="cs-CZ"/>
        </w:rPr>
        <w:t xml:space="preserve"> skutečnost svědčí o jisté neprovázanosti prováděcí vyhlášky k zákonu o</w:t>
      </w:r>
      <w:r w:rsidR="003000D7">
        <w:rPr>
          <w:rFonts w:ascii="Calibri" w:hAnsi="Calibri" w:cs="Calibri"/>
          <w:color w:val="000000"/>
          <w:sz w:val="24"/>
          <w:lang w:eastAsia="cs-CZ"/>
        </w:rPr>
        <w:t> </w:t>
      </w:r>
      <w:r w:rsidRPr="003000D7">
        <w:rPr>
          <w:rFonts w:ascii="Calibri" w:hAnsi="Calibri" w:cs="Calibri"/>
          <w:color w:val="000000"/>
          <w:sz w:val="24"/>
          <w:lang w:eastAsia="cs-CZ"/>
        </w:rPr>
        <w:t xml:space="preserve">účetnictví </w:t>
      </w:r>
      <w:r w:rsidR="006F530D">
        <w:rPr>
          <w:rFonts w:ascii="Calibri" w:hAnsi="Calibri" w:cs="Calibri"/>
          <w:color w:val="000000"/>
          <w:sz w:val="24"/>
          <w:lang w:eastAsia="cs-CZ"/>
        </w:rPr>
        <w:t>se zákonem</w:t>
      </w:r>
      <w:r w:rsidRPr="003000D7">
        <w:rPr>
          <w:rFonts w:ascii="Calibri" w:hAnsi="Calibri" w:cs="Calibri"/>
          <w:color w:val="000000"/>
          <w:sz w:val="24"/>
          <w:lang w:eastAsia="cs-CZ"/>
        </w:rPr>
        <w:t xml:space="preserve"> č. 589/1992 Sb. </w:t>
      </w:r>
    </w:p>
    <w:p w:rsidR="002B446A" w:rsidRPr="00076861" w:rsidRDefault="002B446A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  <w:lang w:eastAsia="cs-CZ"/>
        </w:rPr>
      </w:pPr>
    </w:p>
    <w:p w:rsidR="00E6399F" w:rsidRPr="00076861" w:rsidRDefault="00076861" w:rsidP="00076861">
      <w:pPr>
        <w:pStyle w:val="Nadpis2"/>
        <w:spacing w:line="264" w:lineRule="auto"/>
        <w:ind w:left="284" w:hanging="284"/>
        <w:rPr>
          <w:rFonts w:ascii="Calibri" w:hAnsi="Calibri" w:cs="Calibri"/>
          <w:color w:val="000000"/>
          <w:sz w:val="24"/>
          <w:lang w:eastAsia="cs-CZ"/>
        </w:rPr>
      </w:pPr>
      <w:r w:rsidRPr="00076861">
        <w:rPr>
          <w:rFonts w:ascii="Calibri" w:hAnsi="Calibri" w:cs="Calibri"/>
          <w:color w:val="000000"/>
          <w:sz w:val="24"/>
          <w:lang w:eastAsia="cs-CZ"/>
        </w:rPr>
        <w:t xml:space="preserve">4. </w:t>
      </w:r>
      <w:r w:rsidR="00E6399F" w:rsidRPr="00076861">
        <w:rPr>
          <w:rFonts w:ascii="Calibri" w:hAnsi="Calibri" w:cs="Calibri"/>
          <w:color w:val="000000"/>
          <w:sz w:val="24"/>
          <w:lang w:eastAsia="cs-CZ"/>
        </w:rPr>
        <w:t>Nedostatky právní úpravy ovlivňující správnost účetnictví a výkaznictví OSS v roce 2014</w:t>
      </w:r>
      <w:r w:rsidR="00E07FC3" w:rsidRPr="00076861">
        <w:rPr>
          <w:rFonts w:ascii="Calibri" w:hAnsi="Calibri" w:cs="Calibri"/>
          <w:color w:val="000000"/>
          <w:sz w:val="24"/>
          <w:lang w:eastAsia="cs-CZ"/>
        </w:rPr>
        <w:t xml:space="preserve"> (viz část III.4)</w:t>
      </w:r>
    </w:p>
    <w:p w:rsidR="00E6399F" w:rsidRPr="00076861" w:rsidRDefault="00E6399F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</w:p>
    <w:p w:rsidR="00E6399F" w:rsidRPr="00076861" w:rsidRDefault="00E6399F" w:rsidP="00076861">
      <w:pPr>
        <w:pStyle w:val="Nadpis3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sz w:val="24"/>
          <w:szCs w:val="24"/>
          <w:lang w:eastAsia="cs-CZ"/>
        </w:rPr>
      </w:pPr>
      <w:r w:rsidRPr="00076861">
        <w:rPr>
          <w:rFonts w:ascii="Calibri" w:hAnsi="Calibri" w:cs="Calibri"/>
          <w:sz w:val="24"/>
          <w:szCs w:val="24"/>
          <w:lang w:eastAsia="cs-CZ"/>
        </w:rPr>
        <w:t>Nemocenské pojištění OSVČ</w:t>
      </w:r>
    </w:p>
    <w:p w:rsidR="00E6399F" w:rsidRPr="00076861" w:rsidRDefault="00E6399F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</w:p>
    <w:p w:rsidR="00D156A5" w:rsidRPr="00076861" w:rsidRDefault="00E6399F" w:rsidP="00076861">
      <w:pPr>
        <w:spacing w:line="264" w:lineRule="auto"/>
        <w:ind w:firstLine="0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NKÚ spatřuje legislativní nedostatek v obsahovém vymezení účtu </w:t>
      </w:r>
      <w:r w:rsidRPr="00BE3497">
        <w:rPr>
          <w:rFonts w:ascii="Calibri" w:hAnsi="Calibri" w:cs="Calibri"/>
          <w:bCs/>
          <w:iCs/>
          <w:sz w:val="24"/>
        </w:rPr>
        <w:t xml:space="preserve">633 – </w:t>
      </w:r>
      <w:r w:rsidRPr="00076861">
        <w:rPr>
          <w:rFonts w:ascii="Calibri" w:hAnsi="Calibri" w:cs="Calibri"/>
          <w:bCs/>
          <w:i/>
          <w:iCs/>
          <w:sz w:val="24"/>
        </w:rPr>
        <w:t>Výnosy ze sociálního pojištění</w:t>
      </w:r>
      <w:r w:rsidRPr="00076861">
        <w:rPr>
          <w:rFonts w:ascii="Calibri" w:hAnsi="Calibri" w:cs="Calibri"/>
          <w:bCs/>
          <w:iCs/>
          <w:sz w:val="24"/>
        </w:rPr>
        <w:t xml:space="preserve"> ve vyhlášce č. 410/2009 Sb., které nepokrývá případy, kdy ČSSZ realizuje výnos ze sociálního pojištění, avšak zde není a s ohledem na povahu pojistného na </w:t>
      </w:r>
      <w:r w:rsidR="00CF4A6F" w:rsidRPr="00076861">
        <w:rPr>
          <w:rFonts w:ascii="Calibri" w:hAnsi="Calibri" w:cs="Calibri"/>
          <w:bCs/>
          <w:iCs/>
          <w:sz w:val="24"/>
        </w:rPr>
        <w:t>nemocenské pojištění (dále také „</w:t>
      </w:r>
      <w:r w:rsidRPr="00076861">
        <w:rPr>
          <w:rFonts w:ascii="Calibri" w:hAnsi="Calibri" w:cs="Calibri"/>
          <w:bCs/>
          <w:iCs/>
          <w:sz w:val="24"/>
        </w:rPr>
        <w:t>NP</w:t>
      </w:r>
      <w:r w:rsidR="00CF4A6F" w:rsidRPr="00076861">
        <w:rPr>
          <w:rFonts w:ascii="Calibri" w:hAnsi="Calibri" w:cs="Calibri"/>
          <w:bCs/>
          <w:iCs/>
          <w:sz w:val="24"/>
        </w:rPr>
        <w:t>“)</w:t>
      </w:r>
      <w:r w:rsidRPr="00076861">
        <w:rPr>
          <w:rFonts w:ascii="Calibri" w:hAnsi="Calibri" w:cs="Calibri"/>
          <w:bCs/>
          <w:iCs/>
          <w:sz w:val="24"/>
        </w:rPr>
        <w:t xml:space="preserve"> OSVČ </w:t>
      </w:r>
      <w:r w:rsidR="006F530D">
        <w:rPr>
          <w:rFonts w:ascii="Calibri" w:hAnsi="Calibri" w:cs="Calibri"/>
          <w:bCs/>
          <w:iCs/>
          <w:sz w:val="24"/>
        </w:rPr>
        <w:t xml:space="preserve">ani </w:t>
      </w:r>
      <w:r w:rsidRPr="00076861">
        <w:rPr>
          <w:rFonts w:ascii="Calibri" w:hAnsi="Calibri" w:cs="Calibri"/>
          <w:bCs/>
          <w:iCs/>
          <w:sz w:val="24"/>
        </w:rPr>
        <w:t>nemůže být splněn požadavek na pravomocné vyměření, které obsahové vymezení tohoto účtu vyžaduje.</w:t>
      </w:r>
      <w:r w:rsidR="00D156A5" w:rsidRPr="00076861">
        <w:rPr>
          <w:rFonts w:ascii="Calibri" w:hAnsi="Calibri" w:cs="Calibri"/>
          <w:bCs/>
          <w:iCs/>
          <w:sz w:val="24"/>
        </w:rPr>
        <w:t xml:space="preserve"> Přesto výnosy z pojistného na NP OSVČ </w:t>
      </w:r>
      <w:r w:rsidR="00761465" w:rsidRPr="00076861">
        <w:rPr>
          <w:rFonts w:ascii="Calibri" w:hAnsi="Calibri" w:cs="Calibri"/>
          <w:bCs/>
          <w:iCs/>
          <w:sz w:val="24"/>
        </w:rPr>
        <w:t xml:space="preserve">věcně náležejí </w:t>
      </w:r>
      <w:r w:rsidR="00D156A5" w:rsidRPr="00076861">
        <w:rPr>
          <w:rFonts w:ascii="Calibri" w:hAnsi="Calibri" w:cs="Calibri"/>
          <w:bCs/>
          <w:iCs/>
          <w:sz w:val="24"/>
        </w:rPr>
        <w:t xml:space="preserve">na účet </w:t>
      </w:r>
      <w:r w:rsidR="00D156A5" w:rsidRPr="00BE3497">
        <w:rPr>
          <w:rFonts w:ascii="Calibri" w:hAnsi="Calibri" w:cs="Calibri"/>
          <w:bCs/>
          <w:iCs/>
          <w:sz w:val="24"/>
        </w:rPr>
        <w:t xml:space="preserve">633 – </w:t>
      </w:r>
      <w:r w:rsidR="00D156A5" w:rsidRPr="00076861">
        <w:rPr>
          <w:rFonts w:ascii="Calibri" w:hAnsi="Calibri" w:cs="Calibri"/>
          <w:bCs/>
          <w:i/>
          <w:iCs/>
          <w:sz w:val="24"/>
        </w:rPr>
        <w:t>Výnosy ze sociálního pojištění</w:t>
      </w:r>
      <w:r w:rsidR="00D156A5" w:rsidRPr="00076861">
        <w:rPr>
          <w:rFonts w:ascii="Calibri" w:hAnsi="Calibri" w:cs="Calibri"/>
          <w:bCs/>
          <w:iCs/>
          <w:sz w:val="24"/>
        </w:rPr>
        <w:t xml:space="preserve">. </w:t>
      </w:r>
    </w:p>
    <w:p w:rsidR="00E6399F" w:rsidRPr="00076861" w:rsidRDefault="00E6399F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</w:p>
    <w:p w:rsidR="00E6399F" w:rsidRPr="00076861" w:rsidRDefault="00E6399F" w:rsidP="00076861">
      <w:pPr>
        <w:pStyle w:val="Nadpis3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sz w:val="24"/>
          <w:szCs w:val="24"/>
          <w:lang w:eastAsia="cs-CZ"/>
        </w:rPr>
      </w:pPr>
      <w:r w:rsidRPr="00076861">
        <w:rPr>
          <w:rFonts w:ascii="Calibri" w:hAnsi="Calibri" w:cs="Calibri"/>
          <w:sz w:val="24"/>
          <w:szCs w:val="24"/>
          <w:lang w:eastAsia="cs-CZ"/>
        </w:rPr>
        <w:lastRenderedPageBreak/>
        <w:t>Přehled o změnách vlastního kapitálu</w:t>
      </w:r>
    </w:p>
    <w:p w:rsidR="000060D7" w:rsidRPr="00076861" w:rsidRDefault="000060D7" w:rsidP="000060D7">
      <w:pPr>
        <w:pStyle w:val="Default"/>
        <w:spacing w:line="264" w:lineRule="auto"/>
        <w:jc w:val="both"/>
        <w:rPr>
          <w:rFonts w:ascii="Calibri" w:hAnsi="Calibri" w:cs="Calibri"/>
          <w:bCs/>
        </w:rPr>
      </w:pPr>
    </w:p>
    <w:p w:rsidR="00D93603" w:rsidRPr="00076861" w:rsidRDefault="00E6399F" w:rsidP="00076861">
      <w:pPr>
        <w:pStyle w:val="Default"/>
        <w:spacing w:line="264" w:lineRule="auto"/>
        <w:jc w:val="both"/>
        <w:rPr>
          <w:rFonts w:ascii="Calibri" w:hAnsi="Calibri" w:cs="Calibri"/>
        </w:rPr>
      </w:pPr>
      <w:r w:rsidRPr="00076861">
        <w:rPr>
          <w:rFonts w:ascii="Calibri" w:hAnsi="Calibri" w:cs="Calibri"/>
          <w:bCs/>
        </w:rPr>
        <w:t>Nejasné znění vyhlášky č. 410/2009 Sb. v oblasti naplnění údajů o „zvýšení stavu“ či</w:t>
      </w:r>
      <w:r w:rsidR="00AC7B4D">
        <w:rPr>
          <w:rFonts w:ascii="Calibri" w:hAnsi="Calibri" w:cs="Calibri"/>
          <w:bCs/>
        </w:rPr>
        <w:t xml:space="preserve"> </w:t>
      </w:r>
      <w:r w:rsidRPr="00076861">
        <w:rPr>
          <w:rFonts w:ascii="Calibri" w:hAnsi="Calibri" w:cs="Calibri"/>
          <w:bCs/>
        </w:rPr>
        <w:t>„snížení stavu“ položek „</w:t>
      </w:r>
      <w:r w:rsidRPr="00076861">
        <w:rPr>
          <w:rFonts w:ascii="Calibri" w:hAnsi="Calibri" w:cs="Calibri"/>
          <w:bCs/>
          <w:i/>
        </w:rPr>
        <w:t>B.“</w:t>
      </w:r>
      <w:r w:rsidRPr="00076861">
        <w:rPr>
          <w:rFonts w:ascii="Calibri" w:hAnsi="Calibri" w:cs="Calibri"/>
          <w:bCs/>
        </w:rPr>
        <w:t xml:space="preserve"> „C.“ a </w:t>
      </w:r>
      <w:r w:rsidRPr="00076861">
        <w:rPr>
          <w:rFonts w:ascii="Calibri" w:hAnsi="Calibri" w:cs="Calibri"/>
          <w:bCs/>
          <w:i/>
        </w:rPr>
        <w:t xml:space="preserve">„D.“ </w:t>
      </w:r>
      <w:r w:rsidR="00AC7B4D">
        <w:rPr>
          <w:rFonts w:ascii="Calibri" w:hAnsi="Calibri" w:cs="Calibri"/>
          <w:bCs/>
        </w:rPr>
        <w:t>p</w:t>
      </w:r>
      <w:r w:rsidRPr="00076861">
        <w:rPr>
          <w:rFonts w:ascii="Calibri" w:hAnsi="Calibri" w:cs="Calibri"/>
          <w:bCs/>
        </w:rPr>
        <w:t xml:space="preserve">řehledu o změnách vlastního kapitálu vede k možnému používání různých způsobů pro naplnění údajů o „zvýšení stavu“ a „snížení stavu“ uvedených položek přehledu. Tato skutečnost </w:t>
      </w:r>
      <w:r w:rsidRPr="00076861">
        <w:rPr>
          <w:rFonts w:ascii="Calibri" w:hAnsi="Calibri" w:cs="Calibri"/>
        </w:rPr>
        <w:t xml:space="preserve">způsobuje riziko nesrovnatelnosti údajů a jejich další nepoužitelnosti v rámci vybraných účetních jednotek. </w:t>
      </w:r>
    </w:p>
    <w:p w:rsidR="00172E3E" w:rsidRPr="00076861" w:rsidRDefault="00172E3E" w:rsidP="00076861">
      <w:pPr>
        <w:pStyle w:val="Default"/>
        <w:spacing w:line="264" w:lineRule="auto"/>
        <w:jc w:val="both"/>
        <w:rPr>
          <w:rFonts w:ascii="Calibri" w:hAnsi="Calibri" w:cs="Calibri"/>
          <w:bCs/>
        </w:rPr>
      </w:pPr>
    </w:p>
    <w:p w:rsidR="00D93603" w:rsidRPr="00076861" w:rsidRDefault="00D93603" w:rsidP="000060D7">
      <w:pPr>
        <w:pStyle w:val="Nadpis3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sz w:val="24"/>
          <w:szCs w:val="24"/>
        </w:rPr>
      </w:pPr>
      <w:r w:rsidRPr="00076861">
        <w:rPr>
          <w:rFonts w:ascii="Calibri" w:hAnsi="Calibri" w:cs="Calibri"/>
          <w:sz w:val="24"/>
          <w:szCs w:val="24"/>
        </w:rPr>
        <w:t>Důchodová práva</w:t>
      </w:r>
    </w:p>
    <w:p w:rsidR="00E6399F" w:rsidRPr="000060D7" w:rsidRDefault="00E6399F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  <w:highlight w:val="yellow"/>
          <w:lang w:eastAsia="cs-CZ"/>
        </w:rPr>
      </w:pPr>
    </w:p>
    <w:p w:rsidR="00D93603" w:rsidRPr="00076861" w:rsidRDefault="00D93603" w:rsidP="000060D7">
      <w:pPr>
        <w:spacing w:line="264" w:lineRule="auto"/>
        <w:ind w:firstLine="0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>Současná právní úprava neumožňuje odlišení a samostatné vykázání</w:t>
      </w:r>
      <w:r w:rsidR="00AC7B4D">
        <w:rPr>
          <w:rFonts w:ascii="Calibri" w:hAnsi="Calibri" w:cs="Calibri"/>
          <w:bCs/>
          <w:sz w:val="24"/>
        </w:rPr>
        <w:t>:</w:t>
      </w:r>
      <w:r w:rsidRPr="00076861">
        <w:rPr>
          <w:rFonts w:ascii="Calibri" w:hAnsi="Calibri" w:cs="Calibri"/>
          <w:bCs/>
          <w:sz w:val="24"/>
        </w:rPr>
        <w:t xml:space="preserve"> </w:t>
      </w:r>
    </w:p>
    <w:p w:rsidR="00D93603" w:rsidRPr="00076861" w:rsidRDefault="00D93603" w:rsidP="009D0113">
      <w:pPr>
        <w:pStyle w:val="Odstavecseseznamem"/>
        <w:numPr>
          <w:ilvl w:val="0"/>
          <w:numId w:val="44"/>
        </w:numPr>
        <w:spacing w:line="264" w:lineRule="auto"/>
        <w:ind w:left="284" w:hanging="284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>převedených důchodových práv ze systému důchodového pojištění v ČR do důchodového systém EU (na straně výdajů),</w:t>
      </w:r>
    </w:p>
    <w:p w:rsidR="00D93603" w:rsidRPr="00076861" w:rsidRDefault="00D93603" w:rsidP="009D0113">
      <w:pPr>
        <w:pStyle w:val="Odstavecseseznamem"/>
        <w:numPr>
          <w:ilvl w:val="0"/>
          <w:numId w:val="44"/>
        </w:numPr>
        <w:spacing w:line="264" w:lineRule="auto"/>
        <w:ind w:left="284" w:hanging="284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 xml:space="preserve">připsaných důchodových práv z důchodového systému EU do systému českého důchodového pojištění (na straně příjmů). </w:t>
      </w:r>
    </w:p>
    <w:p w:rsidR="000060D7" w:rsidRDefault="000060D7" w:rsidP="00076861">
      <w:pPr>
        <w:spacing w:line="264" w:lineRule="auto"/>
        <w:ind w:firstLine="0"/>
        <w:rPr>
          <w:rFonts w:ascii="Calibri" w:hAnsi="Calibri" w:cs="Calibri"/>
          <w:bCs/>
          <w:sz w:val="24"/>
        </w:rPr>
      </w:pPr>
    </w:p>
    <w:p w:rsidR="00D93603" w:rsidRPr="00076861" w:rsidRDefault="00D93603" w:rsidP="00076861">
      <w:pPr>
        <w:spacing w:line="264" w:lineRule="auto"/>
        <w:ind w:firstLine="0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>Dle názoru NKÚ by výše popsaná skutečnost měla být zohledněna a upravena v právních předpisech tak, aby pojistně</w:t>
      </w:r>
      <w:r w:rsidR="000930EA">
        <w:rPr>
          <w:rFonts w:ascii="Calibri" w:hAnsi="Calibri" w:cs="Calibri"/>
          <w:bCs/>
          <w:sz w:val="24"/>
        </w:rPr>
        <w:t xml:space="preserve"> </w:t>
      </w:r>
      <w:r w:rsidRPr="00076861">
        <w:rPr>
          <w:rFonts w:ascii="Calibri" w:hAnsi="Calibri" w:cs="Calibri"/>
          <w:bCs/>
          <w:sz w:val="24"/>
        </w:rPr>
        <w:t xml:space="preserve">matematické ekvivalenty mohly být zobrazovány a vykazovány na samostatných výdajových a příjmových rozpočtových položkách, a to i s ohledem na skutečnost, že lze do budoucna předpokládat jejich rostoucí trend. </w:t>
      </w:r>
    </w:p>
    <w:p w:rsidR="00D93603" w:rsidRPr="00076861" w:rsidRDefault="00D93603" w:rsidP="00076861">
      <w:pPr>
        <w:spacing w:line="264" w:lineRule="auto"/>
        <w:ind w:firstLine="0"/>
        <w:rPr>
          <w:rFonts w:ascii="Calibri" w:hAnsi="Calibri" w:cs="Calibri"/>
          <w:b/>
          <w:sz w:val="24"/>
        </w:rPr>
      </w:pPr>
    </w:p>
    <w:p w:rsidR="00E9021C" w:rsidRPr="00076861" w:rsidRDefault="00076861" w:rsidP="00076861">
      <w:pPr>
        <w:pStyle w:val="Nadpis2"/>
        <w:spacing w:line="264" w:lineRule="auto"/>
        <w:rPr>
          <w:rFonts w:ascii="Calibri" w:hAnsi="Calibri" w:cs="Calibri"/>
          <w:color w:val="000000"/>
          <w:sz w:val="24"/>
          <w:lang w:eastAsia="cs-CZ"/>
        </w:rPr>
      </w:pPr>
      <w:r>
        <w:rPr>
          <w:rFonts w:ascii="Calibri" w:hAnsi="Calibri" w:cs="Calibri"/>
          <w:color w:val="000000"/>
          <w:sz w:val="24"/>
          <w:lang w:eastAsia="cs-CZ"/>
        </w:rPr>
        <w:t xml:space="preserve">5. </w:t>
      </w:r>
      <w:r w:rsidR="00E9021C" w:rsidRPr="00076861">
        <w:rPr>
          <w:rFonts w:ascii="Calibri" w:hAnsi="Calibri" w:cs="Calibri"/>
          <w:color w:val="000000"/>
          <w:sz w:val="24"/>
          <w:lang w:eastAsia="cs-CZ"/>
        </w:rPr>
        <w:t>Doporučení</w:t>
      </w:r>
    </w:p>
    <w:p w:rsidR="00532568" w:rsidRPr="00076861" w:rsidRDefault="00532568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</w:p>
    <w:p w:rsidR="00532568" w:rsidRPr="00076861" w:rsidRDefault="00532568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  <w:r w:rsidRPr="00076861">
        <w:rPr>
          <w:rFonts w:ascii="Calibri" w:hAnsi="Calibri" w:cs="Calibri"/>
          <w:sz w:val="24"/>
          <w:lang w:eastAsia="cs-CZ"/>
        </w:rPr>
        <w:t>K výše uvedenému NKÚ doporučuje:</w:t>
      </w:r>
    </w:p>
    <w:p w:rsidR="00532568" w:rsidRPr="00076861" w:rsidRDefault="00D93603" w:rsidP="009D0113">
      <w:pPr>
        <w:pStyle w:val="Odstavecseseznamem"/>
        <w:numPr>
          <w:ilvl w:val="0"/>
          <w:numId w:val="45"/>
        </w:numPr>
        <w:spacing w:line="264" w:lineRule="auto"/>
        <w:ind w:left="284" w:hanging="284"/>
        <w:contextualSpacing w:val="0"/>
        <w:rPr>
          <w:rFonts w:ascii="Calibri" w:hAnsi="Calibri" w:cs="Calibri"/>
          <w:sz w:val="24"/>
          <w:lang w:eastAsia="cs-CZ"/>
        </w:rPr>
      </w:pPr>
      <w:r w:rsidRPr="00076861">
        <w:rPr>
          <w:rFonts w:ascii="Calibri" w:hAnsi="Calibri" w:cs="Calibri"/>
          <w:sz w:val="24"/>
          <w:lang w:eastAsia="cs-CZ"/>
        </w:rPr>
        <w:t>u</w:t>
      </w:r>
      <w:r w:rsidR="00532568" w:rsidRPr="00076861">
        <w:rPr>
          <w:rFonts w:ascii="Calibri" w:hAnsi="Calibri" w:cs="Calibri"/>
          <w:sz w:val="24"/>
          <w:lang w:eastAsia="cs-CZ"/>
        </w:rPr>
        <w:t>vést do souladu</w:t>
      </w:r>
      <w:r w:rsidR="00AC7B4D">
        <w:rPr>
          <w:rFonts w:ascii="Calibri" w:hAnsi="Calibri" w:cs="Calibri"/>
          <w:sz w:val="24"/>
          <w:lang w:eastAsia="cs-CZ"/>
        </w:rPr>
        <w:t>,</w:t>
      </w:r>
      <w:r w:rsidR="00836017" w:rsidRPr="00076861">
        <w:rPr>
          <w:rFonts w:ascii="Calibri" w:hAnsi="Calibri" w:cs="Calibri"/>
          <w:sz w:val="24"/>
          <w:lang w:eastAsia="cs-CZ"/>
        </w:rPr>
        <w:t xml:space="preserve"> resp. </w:t>
      </w:r>
      <w:r w:rsidR="00532568" w:rsidRPr="00076861">
        <w:rPr>
          <w:rFonts w:ascii="Calibri" w:hAnsi="Calibri" w:cs="Calibri"/>
          <w:sz w:val="24"/>
          <w:lang w:eastAsia="cs-CZ"/>
        </w:rPr>
        <w:t>provázat</w:t>
      </w:r>
      <w:r w:rsidR="00AC7B4D">
        <w:rPr>
          <w:rFonts w:ascii="Calibri" w:hAnsi="Calibri" w:cs="Calibri"/>
          <w:sz w:val="24"/>
          <w:lang w:eastAsia="cs-CZ"/>
        </w:rPr>
        <w:t>,</w:t>
      </w:r>
      <w:r w:rsidR="00532568" w:rsidRPr="00076861">
        <w:rPr>
          <w:rFonts w:ascii="Calibri" w:hAnsi="Calibri" w:cs="Calibri"/>
          <w:sz w:val="24"/>
          <w:lang w:eastAsia="cs-CZ"/>
        </w:rPr>
        <w:t xml:space="preserve"> vyhlášku č. 410/2009 Sb.</w:t>
      </w:r>
      <w:r w:rsidR="00F202BC" w:rsidRPr="00076861">
        <w:rPr>
          <w:rFonts w:ascii="Calibri" w:hAnsi="Calibri" w:cs="Calibri"/>
          <w:sz w:val="24"/>
          <w:lang w:eastAsia="cs-CZ"/>
        </w:rPr>
        <w:t xml:space="preserve"> </w:t>
      </w:r>
      <w:r w:rsidR="00174052" w:rsidRPr="00076861">
        <w:rPr>
          <w:rFonts w:ascii="Calibri" w:hAnsi="Calibri" w:cs="Calibri"/>
          <w:sz w:val="24"/>
          <w:lang w:eastAsia="cs-CZ"/>
        </w:rPr>
        <w:t>se zákonem č.</w:t>
      </w:r>
      <w:r w:rsidR="003000D7" w:rsidRPr="00076861">
        <w:rPr>
          <w:rFonts w:ascii="Calibri" w:hAnsi="Calibri" w:cs="Calibri"/>
          <w:sz w:val="24"/>
          <w:lang w:eastAsia="cs-CZ"/>
        </w:rPr>
        <w:t> </w:t>
      </w:r>
      <w:r w:rsidR="00174052" w:rsidRPr="00076861">
        <w:rPr>
          <w:rFonts w:ascii="Calibri" w:hAnsi="Calibri" w:cs="Calibri"/>
          <w:sz w:val="24"/>
          <w:lang w:eastAsia="cs-CZ"/>
        </w:rPr>
        <w:t>589/1992</w:t>
      </w:r>
      <w:r w:rsidR="003000D7" w:rsidRPr="00076861">
        <w:rPr>
          <w:rFonts w:ascii="Calibri" w:hAnsi="Calibri" w:cs="Calibri"/>
          <w:sz w:val="24"/>
          <w:lang w:eastAsia="cs-CZ"/>
        </w:rPr>
        <w:t> </w:t>
      </w:r>
      <w:r w:rsidR="00174052" w:rsidRPr="00076861">
        <w:rPr>
          <w:rFonts w:ascii="Calibri" w:hAnsi="Calibri" w:cs="Calibri"/>
          <w:sz w:val="24"/>
          <w:lang w:eastAsia="cs-CZ"/>
        </w:rPr>
        <w:t>Sb.</w:t>
      </w:r>
      <w:r w:rsidR="00AC7B4D">
        <w:rPr>
          <w:rFonts w:ascii="Calibri" w:hAnsi="Calibri" w:cs="Calibri"/>
          <w:sz w:val="24"/>
          <w:lang w:eastAsia="cs-CZ"/>
        </w:rPr>
        <w:t>,</w:t>
      </w:r>
      <w:r w:rsidR="00174052" w:rsidRPr="00076861">
        <w:rPr>
          <w:rFonts w:ascii="Calibri" w:hAnsi="Calibri" w:cs="Calibri"/>
          <w:sz w:val="24"/>
          <w:lang w:eastAsia="cs-CZ"/>
        </w:rPr>
        <w:t xml:space="preserve"> </w:t>
      </w:r>
    </w:p>
    <w:p w:rsidR="00F202BC" w:rsidRPr="00076861" w:rsidRDefault="00D93603" w:rsidP="009D0113">
      <w:pPr>
        <w:pStyle w:val="Odstavecseseznamem"/>
        <w:numPr>
          <w:ilvl w:val="0"/>
          <w:numId w:val="45"/>
        </w:numPr>
        <w:spacing w:line="264" w:lineRule="auto"/>
        <w:ind w:left="284" w:hanging="284"/>
        <w:contextualSpacing w:val="0"/>
        <w:rPr>
          <w:rFonts w:ascii="Calibri" w:hAnsi="Calibri" w:cs="Calibri"/>
          <w:sz w:val="24"/>
          <w:lang w:eastAsia="cs-CZ"/>
        </w:rPr>
      </w:pPr>
      <w:r w:rsidRPr="00076861">
        <w:rPr>
          <w:rFonts w:ascii="Calibri" w:hAnsi="Calibri" w:cs="Calibri"/>
          <w:sz w:val="24"/>
          <w:lang w:eastAsia="cs-CZ"/>
        </w:rPr>
        <w:t>u</w:t>
      </w:r>
      <w:r w:rsidR="00F202BC" w:rsidRPr="00076861">
        <w:rPr>
          <w:rFonts w:ascii="Calibri" w:hAnsi="Calibri" w:cs="Calibri"/>
          <w:sz w:val="24"/>
          <w:lang w:eastAsia="cs-CZ"/>
        </w:rPr>
        <w:t xml:space="preserve">pravit obsahové vymezení účtu </w:t>
      </w:r>
      <w:r w:rsidR="00F202BC" w:rsidRPr="005E4C4D">
        <w:rPr>
          <w:rFonts w:ascii="Calibri" w:hAnsi="Calibri" w:cs="Calibri"/>
          <w:sz w:val="24"/>
          <w:lang w:eastAsia="cs-CZ"/>
        </w:rPr>
        <w:t xml:space="preserve">633 – </w:t>
      </w:r>
      <w:r w:rsidR="00F202BC" w:rsidRPr="00076861">
        <w:rPr>
          <w:rFonts w:ascii="Calibri" w:hAnsi="Calibri" w:cs="Calibri"/>
          <w:i/>
          <w:sz w:val="24"/>
          <w:lang w:eastAsia="cs-CZ"/>
        </w:rPr>
        <w:t xml:space="preserve">Výnosy ze sociálního pojištění </w:t>
      </w:r>
      <w:r w:rsidR="00F202BC" w:rsidRPr="00076861">
        <w:rPr>
          <w:rFonts w:ascii="Calibri" w:hAnsi="Calibri" w:cs="Calibri"/>
          <w:sz w:val="24"/>
          <w:lang w:eastAsia="cs-CZ"/>
        </w:rPr>
        <w:t>ve vyhlášce č.</w:t>
      </w:r>
      <w:r w:rsidR="00836017" w:rsidRPr="00076861">
        <w:rPr>
          <w:rFonts w:ascii="Calibri" w:hAnsi="Calibri" w:cs="Calibri"/>
          <w:sz w:val="24"/>
          <w:lang w:eastAsia="cs-CZ"/>
        </w:rPr>
        <w:t> </w:t>
      </w:r>
      <w:r w:rsidR="00F202BC" w:rsidRPr="00076861">
        <w:rPr>
          <w:rFonts w:ascii="Calibri" w:hAnsi="Calibri" w:cs="Calibri"/>
          <w:sz w:val="24"/>
          <w:lang w:eastAsia="cs-CZ"/>
        </w:rPr>
        <w:t xml:space="preserve">410/2009 Sb. </w:t>
      </w:r>
      <w:r w:rsidR="00174052" w:rsidRPr="00076861">
        <w:rPr>
          <w:rFonts w:ascii="Calibri" w:hAnsi="Calibri" w:cs="Calibri"/>
          <w:sz w:val="24"/>
          <w:lang w:eastAsia="cs-CZ"/>
        </w:rPr>
        <w:t xml:space="preserve">tak, aby </w:t>
      </w:r>
      <w:r w:rsidR="00FA4E47">
        <w:rPr>
          <w:rFonts w:ascii="Calibri" w:hAnsi="Calibri" w:cs="Calibri"/>
          <w:sz w:val="24"/>
          <w:lang w:eastAsia="cs-CZ"/>
        </w:rPr>
        <w:t>na tomto účtu</w:t>
      </w:r>
      <w:r w:rsidR="00174052" w:rsidRPr="00076861">
        <w:rPr>
          <w:rFonts w:ascii="Calibri" w:hAnsi="Calibri" w:cs="Calibri"/>
          <w:sz w:val="24"/>
          <w:lang w:eastAsia="cs-CZ"/>
        </w:rPr>
        <w:t xml:space="preserve"> mohly být zachyceny i výnosy z pojistného na NP OSVČ,</w:t>
      </w:r>
    </w:p>
    <w:p w:rsidR="00F202BC" w:rsidRPr="00076861" w:rsidRDefault="00D93603" w:rsidP="009D0113">
      <w:pPr>
        <w:pStyle w:val="Odstavecseseznamem"/>
        <w:numPr>
          <w:ilvl w:val="0"/>
          <w:numId w:val="45"/>
        </w:numPr>
        <w:spacing w:line="264" w:lineRule="auto"/>
        <w:ind w:left="284" w:hanging="284"/>
        <w:contextualSpacing w:val="0"/>
        <w:rPr>
          <w:rFonts w:ascii="Calibri" w:hAnsi="Calibri" w:cs="Calibri"/>
          <w:sz w:val="24"/>
          <w:lang w:eastAsia="cs-CZ"/>
        </w:rPr>
      </w:pPr>
      <w:r w:rsidRPr="00076861">
        <w:rPr>
          <w:rFonts w:ascii="Calibri" w:hAnsi="Calibri" w:cs="Calibri"/>
          <w:sz w:val="24"/>
          <w:lang w:eastAsia="cs-CZ"/>
        </w:rPr>
        <w:t>z</w:t>
      </w:r>
      <w:r w:rsidR="00F202BC" w:rsidRPr="00076861">
        <w:rPr>
          <w:rFonts w:ascii="Calibri" w:hAnsi="Calibri" w:cs="Calibri"/>
          <w:sz w:val="24"/>
          <w:lang w:eastAsia="cs-CZ"/>
        </w:rPr>
        <w:t>přesnit</w:t>
      </w:r>
      <w:r w:rsidR="00AC7B4D">
        <w:rPr>
          <w:rFonts w:ascii="Calibri" w:hAnsi="Calibri" w:cs="Calibri"/>
          <w:sz w:val="24"/>
          <w:lang w:eastAsia="cs-CZ"/>
        </w:rPr>
        <w:t xml:space="preserve"> </w:t>
      </w:r>
      <w:r w:rsidR="00C55B8A" w:rsidRPr="00076861">
        <w:rPr>
          <w:rFonts w:ascii="Calibri" w:hAnsi="Calibri" w:cs="Calibri"/>
          <w:sz w:val="24"/>
          <w:lang w:eastAsia="cs-CZ"/>
        </w:rPr>
        <w:t>ustanovení § 44 odst. 11</w:t>
      </w:r>
      <w:r w:rsidR="000458B0" w:rsidRPr="00076861">
        <w:rPr>
          <w:rFonts w:ascii="Calibri" w:hAnsi="Calibri" w:cs="Calibri"/>
          <w:sz w:val="24"/>
          <w:lang w:eastAsia="cs-CZ"/>
        </w:rPr>
        <w:t xml:space="preserve"> vyhlášky č. 410/2009 Sb.</w:t>
      </w:r>
      <w:r w:rsidR="00C55B8A" w:rsidRPr="00076861">
        <w:rPr>
          <w:rFonts w:ascii="Calibri" w:hAnsi="Calibri" w:cs="Calibri"/>
          <w:sz w:val="24"/>
          <w:lang w:eastAsia="cs-CZ"/>
        </w:rPr>
        <w:t>, aby bylo zřejmé</w:t>
      </w:r>
      <w:r w:rsidR="00AC7B4D">
        <w:rPr>
          <w:rFonts w:ascii="Calibri" w:hAnsi="Calibri" w:cs="Calibri"/>
          <w:sz w:val="24"/>
          <w:lang w:eastAsia="cs-CZ"/>
        </w:rPr>
        <w:t>,</w:t>
      </w:r>
      <w:r w:rsidR="00C55B8A" w:rsidRPr="00076861">
        <w:rPr>
          <w:rFonts w:ascii="Calibri" w:hAnsi="Calibri" w:cs="Calibri"/>
          <w:sz w:val="24"/>
          <w:lang w:eastAsia="cs-CZ"/>
        </w:rPr>
        <w:t xml:space="preserve"> </w:t>
      </w:r>
      <w:r w:rsidR="00C55B8A" w:rsidRPr="00076861">
        <w:rPr>
          <w:rFonts w:ascii="Calibri" w:hAnsi="Calibri" w:cs="Calibri"/>
          <w:sz w:val="24"/>
        </w:rPr>
        <w:t xml:space="preserve">jakým konkrétním způsobem má účetní jednotka postupovat při naplňování údajů položek </w:t>
      </w:r>
      <w:r w:rsidR="004F6648">
        <w:rPr>
          <w:rFonts w:ascii="Calibri" w:hAnsi="Calibri" w:cs="Calibri"/>
          <w:sz w:val="24"/>
        </w:rPr>
        <w:t>„</w:t>
      </w:r>
      <w:r w:rsidR="00C55B8A" w:rsidRPr="00076861">
        <w:rPr>
          <w:rFonts w:ascii="Calibri" w:hAnsi="Calibri" w:cs="Calibri"/>
          <w:sz w:val="24"/>
        </w:rPr>
        <w:t>B.</w:t>
      </w:r>
      <w:r w:rsidR="004F6648">
        <w:rPr>
          <w:rFonts w:ascii="Calibri" w:hAnsi="Calibri" w:cs="Calibri"/>
          <w:sz w:val="24"/>
        </w:rPr>
        <w:t>“</w:t>
      </w:r>
      <w:r w:rsidR="00C55B8A" w:rsidRPr="00076861">
        <w:rPr>
          <w:rFonts w:ascii="Calibri" w:hAnsi="Calibri" w:cs="Calibri"/>
          <w:sz w:val="24"/>
        </w:rPr>
        <w:t xml:space="preserve">, </w:t>
      </w:r>
      <w:r w:rsidR="004F6648">
        <w:rPr>
          <w:rFonts w:ascii="Calibri" w:hAnsi="Calibri" w:cs="Calibri"/>
          <w:sz w:val="24"/>
        </w:rPr>
        <w:t>„</w:t>
      </w:r>
      <w:r w:rsidR="00C55B8A" w:rsidRPr="00076861">
        <w:rPr>
          <w:rFonts w:ascii="Calibri" w:hAnsi="Calibri" w:cs="Calibri"/>
          <w:sz w:val="24"/>
        </w:rPr>
        <w:t>C.</w:t>
      </w:r>
      <w:r w:rsidR="004F6648">
        <w:rPr>
          <w:rFonts w:ascii="Calibri" w:hAnsi="Calibri" w:cs="Calibri"/>
          <w:sz w:val="24"/>
        </w:rPr>
        <w:t>“</w:t>
      </w:r>
      <w:r w:rsidR="00C55B8A" w:rsidRPr="00076861">
        <w:rPr>
          <w:rFonts w:ascii="Calibri" w:hAnsi="Calibri" w:cs="Calibri"/>
          <w:sz w:val="24"/>
        </w:rPr>
        <w:t xml:space="preserve"> a </w:t>
      </w:r>
      <w:r w:rsidR="004F6648">
        <w:rPr>
          <w:rFonts w:ascii="Calibri" w:hAnsi="Calibri" w:cs="Calibri"/>
          <w:sz w:val="24"/>
        </w:rPr>
        <w:t>„</w:t>
      </w:r>
      <w:r w:rsidR="00C55B8A" w:rsidRPr="00076861">
        <w:rPr>
          <w:rFonts w:ascii="Calibri" w:hAnsi="Calibri" w:cs="Calibri"/>
          <w:sz w:val="24"/>
        </w:rPr>
        <w:t>D.</w:t>
      </w:r>
      <w:r w:rsidR="004F6648">
        <w:rPr>
          <w:rFonts w:ascii="Calibri" w:hAnsi="Calibri" w:cs="Calibri"/>
          <w:sz w:val="24"/>
        </w:rPr>
        <w:t>“</w:t>
      </w:r>
      <w:r w:rsidR="00C55B8A" w:rsidRPr="00076861">
        <w:rPr>
          <w:rFonts w:ascii="Calibri" w:hAnsi="Calibri" w:cs="Calibri"/>
          <w:sz w:val="24"/>
        </w:rPr>
        <w:t xml:space="preserve"> přehledu o změnách vlastního kapitálu týkajících se „</w:t>
      </w:r>
      <w:r w:rsidR="00AC7B4D">
        <w:rPr>
          <w:rFonts w:ascii="Calibri" w:hAnsi="Calibri" w:cs="Calibri"/>
          <w:sz w:val="24"/>
        </w:rPr>
        <w:t>z</w:t>
      </w:r>
      <w:r w:rsidR="00C55B8A" w:rsidRPr="00076861">
        <w:rPr>
          <w:rFonts w:ascii="Calibri" w:hAnsi="Calibri" w:cs="Calibri"/>
          <w:sz w:val="24"/>
        </w:rPr>
        <w:t>výšení stavu“ a</w:t>
      </w:r>
      <w:r w:rsidR="003000D7" w:rsidRPr="00076861">
        <w:rPr>
          <w:rFonts w:ascii="Calibri" w:hAnsi="Calibri" w:cs="Calibri"/>
          <w:sz w:val="24"/>
        </w:rPr>
        <w:t> </w:t>
      </w:r>
      <w:r w:rsidR="00C55B8A" w:rsidRPr="00076861">
        <w:rPr>
          <w:rFonts w:ascii="Calibri" w:hAnsi="Calibri" w:cs="Calibri"/>
          <w:sz w:val="24"/>
        </w:rPr>
        <w:t>„</w:t>
      </w:r>
      <w:r w:rsidR="00AC7B4D">
        <w:rPr>
          <w:rFonts w:ascii="Calibri" w:hAnsi="Calibri" w:cs="Calibri"/>
          <w:sz w:val="24"/>
        </w:rPr>
        <w:t>s</w:t>
      </w:r>
      <w:r w:rsidR="00C55B8A" w:rsidRPr="00076861">
        <w:rPr>
          <w:rFonts w:ascii="Calibri" w:hAnsi="Calibri" w:cs="Calibri"/>
          <w:sz w:val="24"/>
        </w:rPr>
        <w:t xml:space="preserve">nížení stavu“, </w:t>
      </w:r>
      <w:r w:rsidR="00C55B8A" w:rsidRPr="00076861">
        <w:rPr>
          <w:rFonts w:ascii="Calibri" w:hAnsi="Calibri" w:cs="Calibri"/>
          <w:sz w:val="24"/>
          <w:lang w:eastAsia="cs-CZ"/>
        </w:rPr>
        <w:t xml:space="preserve"> </w:t>
      </w:r>
    </w:p>
    <w:p w:rsidR="0089185F" w:rsidRPr="00076861" w:rsidRDefault="00D93603" w:rsidP="009D0113">
      <w:pPr>
        <w:pStyle w:val="Odstavecseseznamem"/>
        <w:numPr>
          <w:ilvl w:val="0"/>
          <w:numId w:val="45"/>
        </w:numPr>
        <w:spacing w:line="264" w:lineRule="auto"/>
        <w:ind w:left="284" w:hanging="284"/>
        <w:contextualSpacing w:val="0"/>
        <w:rPr>
          <w:rFonts w:ascii="Calibri" w:hAnsi="Calibri" w:cs="Calibri"/>
          <w:sz w:val="24"/>
          <w:lang w:eastAsia="cs-CZ"/>
        </w:rPr>
      </w:pPr>
      <w:r w:rsidRPr="00076861">
        <w:rPr>
          <w:rFonts w:ascii="Calibri" w:hAnsi="Calibri" w:cs="Calibri"/>
          <w:sz w:val="24"/>
          <w:lang w:eastAsia="cs-CZ"/>
        </w:rPr>
        <w:t xml:space="preserve">upravit vykázání tzv. důchodových práv v právních předpisech tak, aby mohly být zobrazovány a vykazovány na samostatných výdajových a příjmových rozpočtových položkách.  </w:t>
      </w:r>
    </w:p>
    <w:p w:rsidR="003000D7" w:rsidRDefault="003000D7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</w:p>
    <w:p w:rsidR="00076861" w:rsidRPr="00076861" w:rsidRDefault="00076861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</w:p>
    <w:p w:rsidR="00AC4B8B" w:rsidRPr="005E4C4D" w:rsidRDefault="00C55B8A" w:rsidP="00076861">
      <w:pPr>
        <w:spacing w:line="264" w:lineRule="auto"/>
        <w:ind w:firstLine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E4C4D">
        <w:rPr>
          <w:rFonts w:ascii="Calibri" w:hAnsi="Calibri" w:cs="Calibri"/>
          <w:b/>
          <w:color w:val="000000"/>
          <w:sz w:val="28"/>
          <w:szCs w:val="28"/>
        </w:rPr>
        <w:t>I</w:t>
      </w:r>
      <w:r w:rsidR="00AC4B8B" w:rsidRPr="005E4C4D">
        <w:rPr>
          <w:rFonts w:ascii="Calibri" w:hAnsi="Calibri" w:cs="Calibri"/>
          <w:b/>
          <w:color w:val="000000"/>
          <w:sz w:val="28"/>
          <w:szCs w:val="28"/>
        </w:rPr>
        <w:t xml:space="preserve">II. </w:t>
      </w:r>
      <w:r w:rsidRPr="005E4C4D">
        <w:rPr>
          <w:rFonts w:ascii="Calibri" w:hAnsi="Calibri" w:cs="Calibri"/>
          <w:b/>
          <w:color w:val="000000"/>
          <w:sz w:val="28"/>
          <w:szCs w:val="28"/>
        </w:rPr>
        <w:t xml:space="preserve">Informace ke shrnutí a vyhodnocení </w:t>
      </w:r>
    </w:p>
    <w:p w:rsidR="00AC4B8B" w:rsidRPr="00076861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1A1086" w:rsidRPr="00076861" w:rsidRDefault="000060D7" w:rsidP="000060D7">
      <w:pPr>
        <w:pStyle w:val="Nadpis2"/>
        <w:spacing w:line="264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1. </w:t>
      </w:r>
      <w:r w:rsidR="00C86688" w:rsidRPr="00076861">
        <w:rPr>
          <w:rFonts w:ascii="Calibri" w:hAnsi="Calibri" w:cs="Calibri"/>
          <w:sz w:val="24"/>
        </w:rPr>
        <w:t xml:space="preserve">Nesprávnosti </w:t>
      </w:r>
      <w:r w:rsidR="00F33867" w:rsidRPr="00076861">
        <w:rPr>
          <w:rFonts w:ascii="Calibri" w:hAnsi="Calibri" w:cs="Calibri"/>
          <w:sz w:val="24"/>
        </w:rPr>
        <w:t>v </w:t>
      </w:r>
      <w:r w:rsidR="00C86688" w:rsidRPr="00076861">
        <w:rPr>
          <w:rFonts w:ascii="Calibri" w:hAnsi="Calibri" w:cs="Calibri"/>
          <w:sz w:val="24"/>
        </w:rPr>
        <w:t>účetní závěrce a hlavní příčiny těchto nesprávností</w:t>
      </w:r>
      <w:r w:rsidR="001632CB" w:rsidRPr="00076861">
        <w:rPr>
          <w:rFonts w:ascii="Calibri" w:hAnsi="Calibri" w:cs="Calibri"/>
          <w:sz w:val="24"/>
        </w:rPr>
        <w:t xml:space="preserve"> </w:t>
      </w:r>
      <w:r w:rsidR="00AC4B8B" w:rsidRPr="00076861">
        <w:rPr>
          <w:rFonts w:ascii="Calibri" w:hAnsi="Calibri" w:cs="Calibri"/>
          <w:sz w:val="24"/>
        </w:rPr>
        <w:tab/>
      </w:r>
    </w:p>
    <w:p w:rsidR="00AC4B8B" w:rsidRPr="00076861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DC1A85" w:rsidRPr="00076861" w:rsidRDefault="00DC1A85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076861">
        <w:rPr>
          <w:rFonts w:ascii="Calibri" w:hAnsi="Calibri" w:cs="Calibri"/>
          <w:color w:val="000000"/>
          <w:sz w:val="24"/>
        </w:rPr>
        <w:t xml:space="preserve">Na celkové nesprávnosti </w:t>
      </w:r>
      <w:r w:rsidR="00F33867" w:rsidRPr="00076861">
        <w:rPr>
          <w:rFonts w:ascii="Calibri" w:hAnsi="Calibri" w:cs="Calibri"/>
          <w:color w:val="000000"/>
          <w:sz w:val="24"/>
        </w:rPr>
        <w:t>v</w:t>
      </w:r>
      <w:r w:rsidR="00CF4A6F" w:rsidRPr="00076861">
        <w:rPr>
          <w:rFonts w:ascii="Calibri" w:hAnsi="Calibri" w:cs="Calibri"/>
          <w:color w:val="000000"/>
          <w:sz w:val="24"/>
        </w:rPr>
        <w:t> účetní závěrce (dále také „</w:t>
      </w:r>
      <w:r w:rsidRPr="00076861">
        <w:rPr>
          <w:rFonts w:ascii="Calibri" w:hAnsi="Calibri" w:cs="Calibri"/>
          <w:color w:val="000000"/>
          <w:sz w:val="24"/>
        </w:rPr>
        <w:t>ÚZ</w:t>
      </w:r>
      <w:r w:rsidR="00CF4A6F" w:rsidRPr="00076861">
        <w:rPr>
          <w:rFonts w:ascii="Calibri" w:hAnsi="Calibri" w:cs="Calibri"/>
          <w:color w:val="000000"/>
          <w:sz w:val="24"/>
        </w:rPr>
        <w:t>“)</w:t>
      </w:r>
      <w:r w:rsidRPr="00076861">
        <w:rPr>
          <w:rFonts w:ascii="Calibri" w:hAnsi="Calibri" w:cs="Calibri"/>
          <w:color w:val="000000"/>
          <w:sz w:val="24"/>
        </w:rPr>
        <w:t xml:space="preserve"> </w:t>
      </w:r>
      <w:r w:rsidR="008F3B3A" w:rsidRPr="00076861">
        <w:rPr>
          <w:rFonts w:ascii="Calibri" w:hAnsi="Calibri" w:cs="Calibri"/>
          <w:color w:val="000000"/>
          <w:sz w:val="24"/>
        </w:rPr>
        <w:t xml:space="preserve">ČSSZ </w:t>
      </w:r>
      <w:r w:rsidRPr="00076861">
        <w:rPr>
          <w:rFonts w:ascii="Calibri" w:hAnsi="Calibri" w:cs="Calibri"/>
          <w:color w:val="000000"/>
          <w:sz w:val="24"/>
        </w:rPr>
        <w:t>se podílel</w:t>
      </w:r>
      <w:r w:rsidR="00757F22" w:rsidRPr="00076861">
        <w:rPr>
          <w:rFonts w:ascii="Calibri" w:hAnsi="Calibri" w:cs="Calibri"/>
          <w:color w:val="000000"/>
          <w:sz w:val="24"/>
        </w:rPr>
        <w:t>o</w:t>
      </w:r>
      <w:r w:rsidRPr="00076861">
        <w:rPr>
          <w:rFonts w:ascii="Calibri" w:hAnsi="Calibri" w:cs="Calibri"/>
          <w:color w:val="000000"/>
          <w:sz w:val="24"/>
        </w:rPr>
        <w:t xml:space="preserve"> nadhodnocení a</w:t>
      </w:r>
      <w:r w:rsidR="003000D7" w:rsidRPr="00076861">
        <w:rPr>
          <w:rFonts w:ascii="Calibri" w:hAnsi="Calibri" w:cs="Calibri"/>
          <w:color w:val="000000"/>
          <w:sz w:val="24"/>
        </w:rPr>
        <w:t> </w:t>
      </w:r>
      <w:r w:rsidRPr="00076861">
        <w:rPr>
          <w:rFonts w:ascii="Calibri" w:hAnsi="Calibri" w:cs="Calibri"/>
          <w:color w:val="000000"/>
          <w:sz w:val="24"/>
        </w:rPr>
        <w:t xml:space="preserve">podhodnocení zůstatků jednotlivých položek </w:t>
      </w:r>
      <w:r w:rsidR="00757F22" w:rsidRPr="00076861">
        <w:rPr>
          <w:rFonts w:ascii="Calibri" w:hAnsi="Calibri" w:cs="Calibri"/>
          <w:color w:val="000000"/>
          <w:sz w:val="24"/>
        </w:rPr>
        <w:t>r</w:t>
      </w:r>
      <w:r w:rsidRPr="00076861">
        <w:rPr>
          <w:rFonts w:ascii="Calibri" w:hAnsi="Calibri" w:cs="Calibri"/>
          <w:color w:val="000000"/>
          <w:sz w:val="24"/>
        </w:rPr>
        <w:t xml:space="preserve">ozvahy, </w:t>
      </w:r>
      <w:r w:rsidR="00757F22" w:rsidRPr="00076861">
        <w:rPr>
          <w:rFonts w:ascii="Calibri" w:hAnsi="Calibri" w:cs="Calibri"/>
          <w:color w:val="000000"/>
          <w:sz w:val="24"/>
        </w:rPr>
        <w:t>v</w:t>
      </w:r>
      <w:r w:rsidRPr="00076861">
        <w:rPr>
          <w:rFonts w:ascii="Calibri" w:hAnsi="Calibri" w:cs="Calibri"/>
          <w:color w:val="000000"/>
          <w:sz w:val="24"/>
        </w:rPr>
        <w:t xml:space="preserve">ýkazu zisku a ztráty a části A.4 </w:t>
      </w:r>
      <w:r w:rsidR="00757F22" w:rsidRPr="00076861">
        <w:rPr>
          <w:rFonts w:ascii="Calibri" w:hAnsi="Calibri" w:cs="Calibri"/>
          <w:color w:val="000000"/>
          <w:sz w:val="24"/>
        </w:rPr>
        <w:lastRenderedPageBreak/>
        <w:t>p</w:t>
      </w:r>
      <w:r w:rsidRPr="00076861">
        <w:rPr>
          <w:rFonts w:ascii="Calibri" w:hAnsi="Calibri" w:cs="Calibri"/>
          <w:color w:val="000000"/>
          <w:sz w:val="24"/>
        </w:rPr>
        <w:t>řílohy ÚZ (jiná aktiva a</w:t>
      </w:r>
      <w:r w:rsidR="00757F22" w:rsidRPr="00076861">
        <w:rPr>
          <w:rFonts w:ascii="Calibri" w:hAnsi="Calibri" w:cs="Calibri"/>
          <w:color w:val="000000"/>
          <w:sz w:val="24"/>
        </w:rPr>
        <w:t> </w:t>
      </w:r>
      <w:r w:rsidRPr="00076861">
        <w:rPr>
          <w:rFonts w:ascii="Calibri" w:hAnsi="Calibri" w:cs="Calibri"/>
          <w:color w:val="000000"/>
          <w:sz w:val="24"/>
        </w:rPr>
        <w:t xml:space="preserve">jiná pasiva). Nesprávnosti byly identifikovány dle jednotlivých položek ÚZ </w:t>
      </w:r>
      <w:r w:rsidR="00F33867" w:rsidRPr="00076861">
        <w:rPr>
          <w:rFonts w:ascii="Calibri" w:hAnsi="Calibri" w:cs="Calibri"/>
          <w:color w:val="000000"/>
          <w:sz w:val="24"/>
        </w:rPr>
        <w:t>s </w:t>
      </w:r>
      <w:r w:rsidRPr="00076861">
        <w:rPr>
          <w:rFonts w:ascii="Calibri" w:hAnsi="Calibri" w:cs="Calibri"/>
          <w:color w:val="000000"/>
          <w:sz w:val="24"/>
        </w:rPr>
        <w:t>ohledem na jejich obsahové vymezení podle vyhlášky č. 410/2009 Sb.</w:t>
      </w:r>
    </w:p>
    <w:p w:rsidR="00DC1A85" w:rsidRPr="00076861" w:rsidRDefault="00DC1A85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0D7AD5" w:rsidRPr="00076861" w:rsidRDefault="000D7AD5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>ČSSZ v některých případech nedodržela obsahové vymezení položek ÚZ dle vyhlášky č.</w:t>
      </w:r>
      <w:r w:rsidR="0089027C" w:rsidRPr="00076861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>410/2009 Sb. Nedostatky byly zjištěny zejména v následujících případech</w:t>
      </w:r>
      <w:r w:rsidR="00F8496D">
        <w:rPr>
          <w:rFonts w:ascii="Calibri" w:hAnsi="Calibri" w:cs="Calibri"/>
          <w:sz w:val="24"/>
        </w:rPr>
        <w:t>:</w:t>
      </w:r>
    </w:p>
    <w:p w:rsidR="002268EF" w:rsidRPr="00076861" w:rsidRDefault="002268EF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842324" w:rsidRDefault="00842324" w:rsidP="000060D7">
      <w:pPr>
        <w:pStyle w:val="Nadpis3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sz w:val="24"/>
          <w:szCs w:val="24"/>
        </w:rPr>
      </w:pPr>
      <w:r w:rsidRPr="00076861">
        <w:rPr>
          <w:rFonts w:ascii="Calibri" w:hAnsi="Calibri" w:cs="Calibri"/>
          <w:sz w:val="24"/>
          <w:szCs w:val="24"/>
        </w:rPr>
        <w:t xml:space="preserve">Účet 352 </w:t>
      </w:r>
      <w:r w:rsidR="00AC7B4D">
        <w:rPr>
          <w:rFonts w:ascii="Calibri" w:hAnsi="Calibri" w:cs="Calibri"/>
          <w:sz w:val="24"/>
          <w:szCs w:val="24"/>
        </w:rPr>
        <w:t>–</w:t>
      </w:r>
      <w:r w:rsidRPr="00076861">
        <w:rPr>
          <w:rFonts w:ascii="Calibri" w:hAnsi="Calibri" w:cs="Calibri"/>
          <w:sz w:val="24"/>
          <w:szCs w:val="24"/>
        </w:rPr>
        <w:t xml:space="preserve"> </w:t>
      </w:r>
      <w:r w:rsidRPr="005E4C4D">
        <w:rPr>
          <w:rFonts w:ascii="Calibri" w:hAnsi="Calibri" w:cs="Calibri"/>
          <w:i/>
          <w:sz w:val="24"/>
          <w:szCs w:val="24"/>
        </w:rPr>
        <w:t>Pohledávky ze správy daní</w:t>
      </w:r>
      <w:r w:rsidRPr="00076861">
        <w:rPr>
          <w:rFonts w:ascii="Calibri" w:hAnsi="Calibri" w:cs="Calibri"/>
          <w:sz w:val="24"/>
          <w:szCs w:val="24"/>
        </w:rPr>
        <w:t xml:space="preserve"> </w:t>
      </w:r>
      <w:r w:rsidR="00344847" w:rsidRPr="00076861">
        <w:rPr>
          <w:rFonts w:ascii="Calibri" w:hAnsi="Calibri" w:cs="Calibri"/>
          <w:sz w:val="24"/>
          <w:szCs w:val="24"/>
        </w:rPr>
        <w:t xml:space="preserve">a účet 633 – </w:t>
      </w:r>
      <w:r w:rsidR="00344847" w:rsidRPr="005E4C4D">
        <w:rPr>
          <w:rFonts w:ascii="Calibri" w:hAnsi="Calibri" w:cs="Calibri"/>
          <w:i/>
          <w:sz w:val="24"/>
          <w:szCs w:val="24"/>
        </w:rPr>
        <w:t>Výnosy ze sociálního pojištění</w:t>
      </w:r>
    </w:p>
    <w:p w:rsidR="000060D7" w:rsidRPr="000060D7" w:rsidRDefault="000060D7" w:rsidP="000060D7">
      <w:pPr>
        <w:ind w:firstLine="0"/>
      </w:pPr>
    </w:p>
    <w:p w:rsidR="00842324" w:rsidRPr="00AC7B4D" w:rsidRDefault="00842324" w:rsidP="00076861">
      <w:pPr>
        <w:pStyle w:val="Nadpis6"/>
        <w:numPr>
          <w:ilvl w:val="0"/>
          <w:numId w:val="0"/>
        </w:numPr>
        <w:spacing w:before="0" w:after="0" w:line="264" w:lineRule="auto"/>
        <w:rPr>
          <w:rFonts w:ascii="Calibri" w:hAnsi="Calibri" w:cs="Calibri"/>
          <w:i w:val="0"/>
          <w:sz w:val="24"/>
          <w:szCs w:val="24"/>
        </w:rPr>
      </w:pPr>
      <w:r w:rsidRPr="005E4C4D">
        <w:rPr>
          <w:rFonts w:ascii="Calibri" w:hAnsi="Calibri" w:cs="Calibri"/>
          <w:i w:val="0"/>
          <w:sz w:val="24"/>
          <w:szCs w:val="24"/>
        </w:rPr>
        <w:t>Penále z pojistného vůči zaměstnavatelům</w:t>
      </w:r>
    </w:p>
    <w:p w:rsidR="00344847" w:rsidRPr="000060D7" w:rsidRDefault="00344847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344847" w:rsidRPr="00076861" w:rsidRDefault="00344847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ČSSZ tím, že v roce 2014 účtovala o penále z pojistného vůči zaměstnavatelům na účtu pohledávek a výnosů již v okamžiku vyhodnocení konta plátce pojistného, nikoliv až okamžikem pravomocného vyměření výkazem nedoplatků či platebním výměrem, postupovala v rozporu s ustanovením </w:t>
      </w:r>
      <w:r w:rsidRPr="00076861">
        <w:rPr>
          <w:rFonts w:ascii="Calibri" w:hAnsi="Calibri" w:cs="Calibri"/>
          <w:bCs/>
          <w:iCs/>
          <w:sz w:val="24"/>
        </w:rPr>
        <w:t xml:space="preserve">§ 4 odst. 8 písm. b) a c) </w:t>
      </w:r>
      <w:r w:rsidRPr="00076861">
        <w:rPr>
          <w:rFonts w:ascii="Calibri" w:hAnsi="Calibri" w:cs="Calibri"/>
          <w:sz w:val="24"/>
        </w:rPr>
        <w:t xml:space="preserve">zákona o účetnictví a rovněž v rozporu s ustanovením § 22 odst. 4 písm. c) a § 39 písm. c) vyhlášky č. 410/2009 Sb. </w:t>
      </w:r>
    </w:p>
    <w:p w:rsidR="00344847" w:rsidRPr="00076861" w:rsidRDefault="00344847" w:rsidP="00076861">
      <w:pPr>
        <w:spacing w:line="264" w:lineRule="auto"/>
        <w:ind w:firstLine="0"/>
        <w:rPr>
          <w:rFonts w:ascii="Calibri" w:hAnsi="Calibri" w:cs="Calibri"/>
          <w:bCs/>
          <w:iCs/>
          <w:sz w:val="24"/>
        </w:rPr>
      </w:pPr>
    </w:p>
    <w:p w:rsidR="00344847" w:rsidRPr="00076861" w:rsidRDefault="00344847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V důsledku výše uvedených skutečností ČSSZ ve své ÚZ k 31. 12. 2014 ve výkazu </w:t>
      </w:r>
      <w:r w:rsidR="00AC7B4D">
        <w:rPr>
          <w:rFonts w:ascii="Calibri" w:hAnsi="Calibri" w:cs="Calibri"/>
          <w:bCs/>
          <w:iCs/>
          <w:sz w:val="24"/>
        </w:rPr>
        <w:t>r</w:t>
      </w:r>
      <w:r w:rsidRPr="00076861">
        <w:rPr>
          <w:rFonts w:ascii="Calibri" w:hAnsi="Calibri" w:cs="Calibri"/>
          <w:bCs/>
          <w:iCs/>
          <w:sz w:val="24"/>
        </w:rPr>
        <w:t>ozvaha</w:t>
      </w:r>
      <w:r w:rsidRPr="00076861">
        <w:rPr>
          <w:rFonts w:ascii="Calibri" w:hAnsi="Calibri" w:cs="Calibri"/>
          <w:sz w:val="24"/>
        </w:rPr>
        <w:t>:</w:t>
      </w:r>
    </w:p>
    <w:p w:rsidR="00344847" w:rsidRPr="00076861" w:rsidRDefault="00344847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sz w:val="24"/>
        </w:rPr>
        <w:t xml:space="preserve">nadhodnotila účet </w:t>
      </w:r>
      <w:r w:rsidRPr="005E4C4D">
        <w:rPr>
          <w:rFonts w:ascii="Calibri" w:hAnsi="Calibri" w:cs="Calibri"/>
          <w:sz w:val="24"/>
        </w:rPr>
        <w:t xml:space="preserve">352 – </w:t>
      </w:r>
      <w:r w:rsidRPr="00076861">
        <w:rPr>
          <w:rFonts w:ascii="Calibri" w:hAnsi="Calibri" w:cs="Calibri"/>
          <w:i/>
          <w:sz w:val="24"/>
        </w:rPr>
        <w:t>Pohledávky ze správy daní</w:t>
      </w:r>
      <w:r w:rsidRPr="00076861">
        <w:rPr>
          <w:rFonts w:ascii="Calibri" w:hAnsi="Calibri" w:cs="Calibri"/>
          <w:sz w:val="24"/>
        </w:rPr>
        <w:t xml:space="preserve"> o částku 108 388 251,13 Kč</w:t>
      </w:r>
      <w:r w:rsidR="00A858B9" w:rsidRPr="00076861">
        <w:rPr>
          <w:rFonts w:ascii="Calibri" w:hAnsi="Calibri" w:cs="Calibri"/>
          <w:sz w:val="24"/>
        </w:rPr>
        <w:t xml:space="preserve"> a</w:t>
      </w:r>
      <w:r w:rsidR="003000D7" w:rsidRPr="00076861">
        <w:rPr>
          <w:rFonts w:ascii="Calibri" w:hAnsi="Calibri" w:cs="Calibri"/>
          <w:sz w:val="24"/>
        </w:rPr>
        <w:t> </w:t>
      </w:r>
      <w:r w:rsidR="00A858B9" w:rsidRPr="00076861">
        <w:rPr>
          <w:rFonts w:ascii="Calibri" w:hAnsi="Calibri" w:cs="Calibri"/>
          <w:sz w:val="24"/>
        </w:rPr>
        <w:t>o</w:t>
      </w:r>
      <w:r w:rsidR="003000D7" w:rsidRPr="00076861">
        <w:rPr>
          <w:rFonts w:ascii="Calibri" w:hAnsi="Calibri" w:cs="Calibri"/>
          <w:sz w:val="24"/>
        </w:rPr>
        <w:t> </w:t>
      </w:r>
      <w:r w:rsidR="00A858B9" w:rsidRPr="00076861">
        <w:rPr>
          <w:rFonts w:ascii="Calibri" w:hAnsi="Calibri" w:cs="Calibri"/>
          <w:sz w:val="24"/>
        </w:rPr>
        <w:t xml:space="preserve">stejnou částku </w:t>
      </w:r>
      <w:r w:rsidRPr="00076861">
        <w:rPr>
          <w:rFonts w:ascii="Calibri" w:hAnsi="Calibri" w:cs="Calibri"/>
          <w:sz w:val="24"/>
        </w:rPr>
        <w:t xml:space="preserve">nadhodnotila účet </w:t>
      </w:r>
      <w:r w:rsidRPr="005E4C4D">
        <w:rPr>
          <w:rFonts w:ascii="Calibri" w:hAnsi="Calibri" w:cs="Calibri"/>
          <w:sz w:val="24"/>
        </w:rPr>
        <w:t xml:space="preserve">493 – </w:t>
      </w:r>
      <w:r w:rsidRPr="00076861">
        <w:rPr>
          <w:rFonts w:ascii="Calibri" w:hAnsi="Calibri" w:cs="Calibri"/>
          <w:i/>
          <w:sz w:val="24"/>
        </w:rPr>
        <w:t>Výsledek hospodaření běžného účetního období</w:t>
      </w:r>
      <w:r w:rsidR="00E0764B">
        <w:rPr>
          <w:rFonts w:ascii="Calibri" w:hAnsi="Calibri" w:cs="Calibri"/>
          <w:sz w:val="24"/>
        </w:rPr>
        <w:t>,</w:t>
      </w:r>
    </w:p>
    <w:p w:rsidR="00344847" w:rsidRPr="00076861" w:rsidRDefault="00344847" w:rsidP="000060D7">
      <w:p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zároveň ve své ÚZ k 31. 12. 2014 ve </w:t>
      </w:r>
      <w:r w:rsidR="00AC7B4D">
        <w:rPr>
          <w:rFonts w:ascii="Calibri" w:hAnsi="Calibri" w:cs="Calibri"/>
          <w:bCs/>
          <w:iCs/>
          <w:sz w:val="24"/>
        </w:rPr>
        <w:t>v</w:t>
      </w:r>
      <w:r w:rsidRPr="00076861">
        <w:rPr>
          <w:rFonts w:ascii="Calibri" w:hAnsi="Calibri" w:cs="Calibri"/>
          <w:bCs/>
          <w:iCs/>
          <w:sz w:val="24"/>
        </w:rPr>
        <w:t xml:space="preserve">ýkazu </w:t>
      </w:r>
      <w:r w:rsidRPr="00076861">
        <w:rPr>
          <w:rFonts w:ascii="Calibri" w:hAnsi="Calibri" w:cs="Calibri"/>
          <w:sz w:val="24"/>
        </w:rPr>
        <w:t>zisku a ztráty</w:t>
      </w:r>
      <w:r w:rsidRPr="00076861">
        <w:rPr>
          <w:rFonts w:ascii="Calibri" w:hAnsi="Calibri" w:cs="Calibri"/>
          <w:bCs/>
          <w:iCs/>
          <w:sz w:val="24"/>
        </w:rPr>
        <w:t>:</w:t>
      </w:r>
    </w:p>
    <w:p w:rsidR="00344847" w:rsidRPr="00076861" w:rsidRDefault="00344847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nadhodnotila účet </w:t>
      </w:r>
      <w:r w:rsidRPr="005E4C4D">
        <w:rPr>
          <w:rFonts w:ascii="Calibri" w:hAnsi="Calibri" w:cs="Calibri"/>
          <w:bCs/>
          <w:iCs/>
          <w:sz w:val="24"/>
        </w:rPr>
        <w:t xml:space="preserve">633 – </w:t>
      </w:r>
      <w:r w:rsidRPr="00076861">
        <w:rPr>
          <w:rFonts w:ascii="Calibri" w:hAnsi="Calibri" w:cs="Calibri"/>
          <w:bCs/>
          <w:i/>
          <w:iCs/>
          <w:sz w:val="24"/>
        </w:rPr>
        <w:t>Výnosy ze sociálního pojištění</w:t>
      </w:r>
      <w:r w:rsidRPr="00076861">
        <w:rPr>
          <w:rFonts w:ascii="Calibri" w:hAnsi="Calibri" w:cs="Calibri"/>
          <w:bCs/>
          <w:iCs/>
          <w:sz w:val="24"/>
        </w:rPr>
        <w:t xml:space="preserve"> o </w:t>
      </w:r>
      <w:r w:rsidRPr="00076861">
        <w:rPr>
          <w:rFonts w:ascii="Calibri" w:hAnsi="Calibri" w:cs="Calibri"/>
          <w:sz w:val="24"/>
        </w:rPr>
        <w:t>částku 108 388 251,13 Kč.</w:t>
      </w:r>
    </w:p>
    <w:p w:rsidR="000060D7" w:rsidRDefault="000060D7" w:rsidP="000060D7">
      <w:pPr>
        <w:spacing w:line="264" w:lineRule="auto"/>
        <w:ind w:left="284" w:hanging="284"/>
        <w:rPr>
          <w:rFonts w:ascii="Calibri" w:hAnsi="Calibri" w:cs="Calibri"/>
          <w:sz w:val="24"/>
        </w:rPr>
      </w:pPr>
    </w:p>
    <w:p w:rsidR="00344847" w:rsidRPr="00076861" w:rsidRDefault="00344847" w:rsidP="000060D7">
      <w:p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ČSSZ zároveň v </w:t>
      </w:r>
      <w:r w:rsidR="00AC7B4D">
        <w:rPr>
          <w:rFonts w:ascii="Calibri" w:hAnsi="Calibri" w:cs="Calibri"/>
          <w:sz w:val="24"/>
        </w:rPr>
        <w:t>p</w:t>
      </w:r>
      <w:r w:rsidRPr="00076861">
        <w:rPr>
          <w:rFonts w:ascii="Calibri" w:hAnsi="Calibri" w:cs="Calibri"/>
          <w:sz w:val="24"/>
        </w:rPr>
        <w:t>říloze ÚZ v části „</w:t>
      </w:r>
      <w:r w:rsidRPr="00076861">
        <w:rPr>
          <w:rFonts w:ascii="Calibri" w:hAnsi="Calibri" w:cs="Calibri"/>
          <w:i/>
          <w:sz w:val="24"/>
        </w:rPr>
        <w:t xml:space="preserve">A.4 </w:t>
      </w:r>
      <w:r w:rsidR="00AC7B4D">
        <w:rPr>
          <w:rFonts w:ascii="Calibri" w:hAnsi="Calibri" w:cs="Calibri"/>
          <w:i/>
          <w:sz w:val="24"/>
        </w:rPr>
        <w:t>–</w:t>
      </w:r>
      <w:r w:rsidRPr="00076861">
        <w:rPr>
          <w:rFonts w:ascii="Calibri" w:hAnsi="Calibri" w:cs="Calibri"/>
          <w:i/>
          <w:sz w:val="24"/>
        </w:rPr>
        <w:t xml:space="preserve"> Informace podle § 7 odst. 5 zákona o stavu účtů v knize podrozvahových účtů</w:t>
      </w:r>
      <w:r w:rsidRPr="005E4C4D">
        <w:rPr>
          <w:rFonts w:ascii="Calibri" w:hAnsi="Calibri" w:cs="Calibri"/>
          <w:sz w:val="24"/>
        </w:rPr>
        <w:t>“</w:t>
      </w:r>
      <w:r w:rsidRPr="00076861">
        <w:rPr>
          <w:rFonts w:ascii="Calibri" w:hAnsi="Calibri" w:cs="Calibri"/>
          <w:sz w:val="24"/>
        </w:rPr>
        <w:t xml:space="preserve"> k 31. 12. 2014:</w:t>
      </w:r>
    </w:p>
    <w:p w:rsidR="00A858B9" w:rsidRPr="00076861" w:rsidRDefault="00344847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podhodnotila účet </w:t>
      </w:r>
      <w:r w:rsidR="0077418B">
        <w:rPr>
          <w:rFonts w:ascii="Calibri" w:hAnsi="Calibri" w:cs="Calibri"/>
          <w:bCs/>
          <w:iCs/>
          <w:sz w:val="24"/>
        </w:rPr>
        <w:t>991 – </w:t>
      </w:r>
      <w:r w:rsidRPr="00076861">
        <w:rPr>
          <w:rFonts w:ascii="Calibri" w:hAnsi="Calibri" w:cs="Calibri"/>
          <w:bCs/>
          <w:i/>
          <w:iCs/>
          <w:sz w:val="24"/>
        </w:rPr>
        <w:t>Ostatní krátkodobá podmíněná aktiva</w:t>
      </w:r>
      <w:r w:rsidRPr="00076861">
        <w:rPr>
          <w:rFonts w:ascii="Calibri" w:hAnsi="Calibri" w:cs="Calibri"/>
          <w:bCs/>
          <w:iCs/>
          <w:sz w:val="24"/>
        </w:rPr>
        <w:t xml:space="preserve"> o částku </w:t>
      </w:r>
      <w:r w:rsidRPr="00076861">
        <w:rPr>
          <w:rFonts w:ascii="Calibri" w:hAnsi="Calibri" w:cs="Calibri"/>
          <w:sz w:val="24"/>
        </w:rPr>
        <w:t>108 388 251,13</w:t>
      </w:r>
      <w:r w:rsidR="00AC7B4D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 xml:space="preserve">Kč </w:t>
      </w:r>
      <w:r w:rsidR="00A858B9" w:rsidRPr="00076861">
        <w:rPr>
          <w:rFonts w:ascii="Calibri" w:hAnsi="Calibri" w:cs="Calibri"/>
          <w:sz w:val="24"/>
        </w:rPr>
        <w:t>a zároveň</w:t>
      </w:r>
      <w:r w:rsidR="00F8496D" w:rsidRPr="00F8496D">
        <w:rPr>
          <w:rFonts w:ascii="Calibri" w:hAnsi="Calibri" w:cs="Calibri"/>
          <w:bCs/>
          <w:iCs/>
          <w:sz w:val="24"/>
        </w:rPr>
        <w:t xml:space="preserve"> </w:t>
      </w:r>
      <w:r w:rsidR="00F8496D">
        <w:rPr>
          <w:rFonts w:ascii="Calibri" w:hAnsi="Calibri" w:cs="Calibri"/>
          <w:bCs/>
          <w:iCs/>
          <w:sz w:val="24"/>
        </w:rPr>
        <w:t>o </w:t>
      </w:r>
      <w:r w:rsidR="00F8496D" w:rsidRPr="00076861">
        <w:rPr>
          <w:rFonts w:ascii="Calibri" w:hAnsi="Calibri" w:cs="Calibri"/>
          <w:bCs/>
          <w:iCs/>
          <w:sz w:val="24"/>
        </w:rPr>
        <w:t>stejnou částku</w:t>
      </w:r>
      <w:r w:rsidR="00A858B9" w:rsidRPr="00076861">
        <w:rPr>
          <w:rFonts w:ascii="Calibri" w:hAnsi="Calibri" w:cs="Calibri"/>
          <w:sz w:val="24"/>
        </w:rPr>
        <w:t xml:space="preserve"> </w:t>
      </w:r>
      <w:r w:rsidR="00A858B9" w:rsidRPr="00076861">
        <w:rPr>
          <w:rFonts w:ascii="Calibri" w:hAnsi="Calibri" w:cs="Calibri"/>
          <w:bCs/>
          <w:iCs/>
          <w:sz w:val="24"/>
        </w:rPr>
        <w:t xml:space="preserve">podhodnotila účet </w:t>
      </w:r>
      <w:r w:rsidR="00A858B9" w:rsidRPr="005E4C4D">
        <w:rPr>
          <w:rFonts w:ascii="Calibri" w:hAnsi="Calibri" w:cs="Calibri"/>
          <w:bCs/>
          <w:iCs/>
          <w:sz w:val="24"/>
        </w:rPr>
        <w:t xml:space="preserve">999 – </w:t>
      </w:r>
      <w:r w:rsidR="00A858B9" w:rsidRPr="00076861">
        <w:rPr>
          <w:rFonts w:ascii="Calibri" w:hAnsi="Calibri" w:cs="Calibri"/>
          <w:bCs/>
          <w:i/>
          <w:iCs/>
          <w:sz w:val="24"/>
        </w:rPr>
        <w:t>Vyrovnávací účet k podrozvahovým účtům</w:t>
      </w:r>
      <w:r w:rsidR="00A858B9" w:rsidRPr="00076861">
        <w:rPr>
          <w:rFonts w:ascii="Calibri" w:hAnsi="Calibri" w:cs="Calibri"/>
          <w:bCs/>
          <w:iCs/>
          <w:sz w:val="24"/>
        </w:rPr>
        <w:t>.</w:t>
      </w:r>
    </w:p>
    <w:p w:rsidR="000060D7" w:rsidRPr="000060D7" w:rsidRDefault="000060D7" w:rsidP="00076861">
      <w:pPr>
        <w:pStyle w:val="Nadpis6"/>
        <w:numPr>
          <w:ilvl w:val="0"/>
          <w:numId w:val="0"/>
        </w:numPr>
        <w:spacing w:before="0" w:after="0" w:line="264" w:lineRule="auto"/>
        <w:rPr>
          <w:rFonts w:ascii="Calibri" w:hAnsi="Calibri" w:cs="Calibri"/>
          <w:b w:val="0"/>
          <w:i w:val="0"/>
          <w:sz w:val="24"/>
          <w:szCs w:val="24"/>
        </w:rPr>
      </w:pPr>
    </w:p>
    <w:p w:rsidR="00842324" w:rsidRPr="00AC7B4D" w:rsidRDefault="00344847" w:rsidP="00076861">
      <w:pPr>
        <w:pStyle w:val="Nadpis6"/>
        <w:numPr>
          <w:ilvl w:val="0"/>
          <w:numId w:val="0"/>
        </w:numPr>
        <w:spacing w:before="0" w:after="0" w:line="264" w:lineRule="auto"/>
        <w:rPr>
          <w:rFonts w:ascii="Calibri" w:hAnsi="Calibri" w:cs="Calibri"/>
          <w:i w:val="0"/>
          <w:sz w:val="24"/>
          <w:szCs w:val="24"/>
        </w:rPr>
      </w:pPr>
      <w:r w:rsidRPr="005E4C4D">
        <w:rPr>
          <w:rFonts w:ascii="Calibri" w:hAnsi="Calibri" w:cs="Calibri"/>
          <w:i w:val="0"/>
          <w:sz w:val="24"/>
          <w:szCs w:val="24"/>
        </w:rPr>
        <w:t xml:space="preserve">Penále ze záloh na pojistné na </w:t>
      </w:r>
      <w:r w:rsidR="001904E1" w:rsidRPr="005E4C4D">
        <w:rPr>
          <w:rFonts w:ascii="Calibri" w:hAnsi="Calibri" w:cs="Calibri"/>
          <w:i w:val="0"/>
          <w:sz w:val="24"/>
          <w:szCs w:val="24"/>
        </w:rPr>
        <w:t>důchodové pojištění</w:t>
      </w:r>
      <w:r w:rsidRPr="005E4C4D">
        <w:rPr>
          <w:rFonts w:ascii="Calibri" w:hAnsi="Calibri" w:cs="Calibri"/>
          <w:i w:val="0"/>
          <w:sz w:val="24"/>
          <w:szCs w:val="24"/>
        </w:rPr>
        <w:t xml:space="preserve"> OSVČ</w:t>
      </w:r>
    </w:p>
    <w:p w:rsidR="00842324" w:rsidRPr="000060D7" w:rsidRDefault="00842324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344847" w:rsidRPr="00076861" w:rsidRDefault="00344847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ČSSZ tím, že v roce 2014 účtovala o penále ze záloh na pojistné na </w:t>
      </w:r>
      <w:r w:rsidR="00CF4A6F" w:rsidRPr="00076861">
        <w:rPr>
          <w:rFonts w:ascii="Calibri" w:hAnsi="Calibri" w:cs="Calibri"/>
          <w:sz w:val="24"/>
        </w:rPr>
        <w:t xml:space="preserve">DP </w:t>
      </w:r>
      <w:r w:rsidRPr="00076861">
        <w:rPr>
          <w:rFonts w:ascii="Calibri" w:hAnsi="Calibri" w:cs="Calibri"/>
          <w:sz w:val="24"/>
        </w:rPr>
        <w:t xml:space="preserve">OSVČ před pravomocným vyměřením platebním výměrem na pohledávkovém a výnosovém účtu, jejichž obsahové vymezení klade požadavek na pravomocné vyměření, postupovala v rozporu s ustanovením </w:t>
      </w:r>
      <w:r w:rsidRPr="00076861">
        <w:rPr>
          <w:rFonts w:ascii="Calibri" w:hAnsi="Calibri" w:cs="Calibri"/>
          <w:bCs/>
          <w:iCs/>
          <w:sz w:val="24"/>
        </w:rPr>
        <w:t xml:space="preserve">§ 4 odst. 8 písm. b) a c) </w:t>
      </w:r>
      <w:r w:rsidRPr="00076861">
        <w:rPr>
          <w:rFonts w:ascii="Calibri" w:hAnsi="Calibri" w:cs="Calibri"/>
          <w:sz w:val="24"/>
        </w:rPr>
        <w:t xml:space="preserve">zákona o účetnictví a rovněž v rozporu s ustanovením § 22 odst. 4 písm. c) a § 39 písm. c) vyhlášky č. 410/2009 Sb. </w:t>
      </w:r>
    </w:p>
    <w:p w:rsidR="00344847" w:rsidRPr="00076861" w:rsidRDefault="00344847" w:rsidP="00076861">
      <w:pPr>
        <w:spacing w:line="264" w:lineRule="auto"/>
        <w:ind w:firstLine="0"/>
        <w:rPr>
          <w:rFonts w:ascii="Calibri" w:hAnsi="Calibri" w:cs="Calibri"/>
          <w:b/>
          <w:sz w:val="24"/>
        </w:rPr>
      </w:pPr>
    </w:p>
    <w:p w:rsidR="00344847" w:rsidRPr="00076861" w:rsidRDefault="00344847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V důsledku výše uvedených skutečností ČSSZ ve své ÚZ k 31. 12. 2014 ve výkazu </w:t>
      </w:r>
      <w:r w:rsidR="00AC7B4D">
        <w:rPr>
          <w:rFonts w:ascii="Calibri" w:hAnsi="Calibri" w:cs="Calibri"/>
          <w:bCs/>
          <w:iCs/>
          <w:sz w:val="24"/>
        </w:rPr>
        <w:t>r</w:t>
      </w:r>
      <w:r w:rsidRPr="00076861">
        <w:rPr>
          <w:rFonts w:ascii="Calibri" w:hAnsi="Calibri" w:cs="Calibri"/>
          <w:bCs/>
          <w:iCs/>
          <w:sz w:val="24"/>
        </w:rPr>
        <w:t>ozvaha</w:t>
      </w:r>
      <w:r w:rsidRPr="00076861">
        <w:rPr>
          <w:rFonts w:ascii="Calibri" w:hAnsi="Calibri" w:cs="Calibri"/>
          <w:sz w:val="24"/>
        </w:rPr>
        <w:t>:</w:t>
      </w:r>
    </w:p>
    <w:p w:rsidR="00344847" w:rsidRPr="00076861" w:rsidRDefault="00344847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sz w:val="24"/>
        </w:rPr>
        <w:t xml:space="preserve">nadhodnotila účet </w:t>
      </w:r>
      <w:r w:rsidRPr="005E4C4D">
        <w:rPr>
          <w:rFonts w:ascii="Calibri" w:hAnsi="Calibri" w:cs="Calibri"/>
          <w:sz w:val="24"/>
        </w:rPr>
        <w:t xml:space="preserve">352 – </w:t>
      </w:r>
      <w:r w:rsidRPr="00076861">
        <w:rPr>
          <w:rFonts w:ascii="Calibri" w:hAnsi="Calibri" w:cs="Calibri"/>
          <w:i/>
          <w:sz w:val="24"/>
        </w:rPr>
        <w:t>Pohledávky ze správy daní</w:t>
      </w:r>
      <w:r w:rsidRPr="00076861">
        <w:rPr>
          <w:rFonts w:ascii="Calibri" w:hAnsi="Calibri" w:cs="Calibri"/>
          <w:sz w:val="24"/>
        </w:rPr>
        <w:t xml:space="preserve"> o částku 240 742 710,99 Kč</w:t>
      </w:r>
      <w:r w:rsidR="00A858B9" w:rsidRPr="00076861">
        <w:rPr>
          <w:rFonts w:ascii="Calibri" w:hAnsi="Calibri" w:cs="Calibri"/>
          <w:sz w:val="24"/>
        </w:rPr>
        <w:t xml:space="preserve"> a</w:t>
      </w:r>
      <w:r w:rsidR="003000D7" w:rsidRPr="00076861">
        <w:rPr>
          <w:rFonts w:ascii="Calibri" w:hAnsi="Calibri" w:cs="Calibri"/>
          <w:sz w:val="24"/>
        </w:rPr>
        <w:t> </w:t>
      </w:r>
      <w:r w:rsidR="00A858B9" w:rsidRPr="00076861">
        <w:rPr>
          <w:rFonts w:ascii="Calibri" w:hAnsi="Calibri" w:cs="Calibri"/>
          <w:sz w:val="24"/>
        </w:rPr>
        <w:t>o</w:t>
      </w:r>
      <w:r w:rsidR="003000D7" w:rsidRPr="00076861">
        <w:rPr>
          <w:rFonts w:ascii="Calibri" w:hAnsi="Calibri" w:cs="Calibri"/>
          <w:sz w:val="24"/>
        </w:rPr>
        <w:t> </w:t>
      </w:r>
      <w:r w:rsidR="00A858B9" w:rsidRPr="00076861">
        <w:rPr>
          <w:rFonts w:ascii="Calibri" w:hAnsi="Calibri" w:cs="Calibri"/>
          <w:sz w:val="24"/>
        </w:rPr>
        <w:t xml:space="preserve">stejnou částku </w:t>
      </w:r>
      <w:r w:rsidRPr="00076861">
        <w:rPr>
          <w:rFonts w:ascii="Calibri" w:hAnsi="Calibri" w:cs="Calibri"/>
          <w:sz w:val="24"/>
        </w:rPr>
        <w:t>nadhodnotila účet 493 – Výsledek hospodaření běžného účetního období</w:t>
      </w:r>
      <w:r w:rsidR="00E0764B">
        <w:rPr>
          <w:rFonts w:ascii="Calibri" w:hAnsi="Calibri" w:cs="Calibri"/>
          <w:sz w:val="24"/>
        </w:rPr>
        <w:t>,</w:t>
      </w:r>
    </w:p>
    <w:p w:rsidR="00344847" w:rsidRPr="00076861" w:rsidRDefault="00344847" w:rsidP="00076861">
      <w:pPr>
        <w:spacing w:line="264" w:lineRule="auto"/>
        <w:ind w:firstLine="0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zároveň ve své ÚZ k 31. 12. 2014 ve </w:t>
      </w:r>
      <w:r w:rsidR="00AC7B4D">
        <w:rPr>
          <w:rFonts w:ascii="Calibri" w:hAnsi="Calibri" w:cs="Calibri"/>
          <w:bCs/>
          <w:iCs/>
          <w:sz w:val="24"/>
        </w:rPr>
        <w:t>v</w:t>
      </w:r>
      <w:r w:rsidRPr="00076861">
        <w:rPr>
          <w:rFonts w:ascii="Calibri" w:hAnsi="Calibri" w:cs="Calibri"/>
          <w:bCs/>
          <w:iCs/>
          <w:sz w:val="24"/>
        </w:rPr>
        <w:t xml:space="preserve">ýkazu </w:t>
      </w:r>
      <w:r w:rsidRPr="00076861">
        <w:rPr>
          <w:rFonts w:ascii="Calibri" w:hAnsi="Calibri" w:cs="Calibri"/>
          <w:sz w:val="24"/>
        </w:rPr>
        <w:t>zisku a ztráty</w:t>
      </w:r>
      <w:r w:rsidRPr="00076861">
        <w:rPr>
          <w:rFonts w:ascii="Calibri" w:hAnsi="Calibri" w:cs="Calibri"/>
          <w:bCs/>
          <w:iCs/>
          <w:sz w:val="24"/>
        </w:rPr>
        <w:t>:</w:t>
      </w:r>
    </w:p>
    <w:p w:rsidR="00344847" w:rsidRPr="00076861" w:rsidRDefault="00344847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nadhodnotila účet </w:t>
      </w:r>
      <w:r w:rsidRPr="005E4C4D">
        <w:rPr>
          <w:rFonts w:ascii="Calibri" w:hAnsi="Calibri" w:cs="Calibri"/>
          <w:bCs/>
          <w:iCs/>
          <w:sz w:val="24"/>
        </w:rPr>
        <w:t xml:space="preserve">633 – </w:t>
      </w:r>
      <w:r w:rsidRPr="00076861">
        <w:rPr>
          <w:rFonts w:ascii="Calibri" w:hAnsi="Calibri" w:cs="Calibri"/>
          <w:bCs/>
          <w:i/>
          <w:iCs/>
          <w:sz w:val="24"/>
        </w:rPr>
        <w:t>Výnosy ze sociálního pojištění</w:t>
      </w:r>
      <w:r w:rsidRPr="00076861">
        <w:rPr>
          <w:rFonts w:ascii="Calibri" w:hAnsi="Calibri" w:cs="Calibri"/>
          <w:bCs/>
          <w:iCs/>
          <w:sz w:val="24"/>
        </w:rPr>
        <w:t xml:space="preserve"> o </w:t>
      </w:r>
      <w:r w:rsidRPr="00076861">
        <w:rPr>
          <w:rFonts w:ascii="Calibri" w:hAnsi="Calibri" w:cs="Calibri"/>
          <w:sz w:val="24"/>
        </w:rPr>
        <w:t>částku 240 742 710,99 Kč.</w:t>
      </w:r>
    </w:p>
    <w:p w:rsidR="00842324" w:rsidRPr="00076861" w:rsidRDefault="00842324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DE46E9" w:rsidRPr="00076861" w:rsidRDefault="00FF4C9A" w:rsidP="009D0113">
      <w:pPr>
        <w:pStyle w:val="Nadpis3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sz w:val="24"/>
          <w:szCs w:val="24"/>
        </w:rPr>
      </w:pPr>
      <w:r w:rsidRPr="00076861">
        <w:rPr>
          <w:rFonts w:ascii="Calibri" w:hAnsi="Calibri" w:cs="Calibri"/>
          <w:sz w:val="24"/>
          <w:szCs w:val="24"/>
        </w:rPr>
        <w:t xml:space="preserve">Účet 557 </w:t>
      </w:r>
      <w:r w:rsidR="00AC7B4D">
        <w:rPr>
          <w:rFonts w:ascii="Calibri" w:hAnsi="Calibri" w:cs="Calibri"/>
          <w:sz w:val="24"/>
          <w:szCs w:val="24"/>
        </w:rPr>
        <w:t>–</w:t>
      </w:r>
      <w:r w:rsidRPr="00076861">
        <w:rPr>
          <w:rFonts w:ascii="Calibri" w:hAnsi="Calibri" w:cs="Calibri"/>
          <w:sz w:val="24"/>
          <w:szCs w:val="24"/>
        </w:rPr>
        <w:t xml:space="preserve"> </w:t>
      </w:r>
      <w:r w:rsidRPr="005E4C4D">
        <w:rPr>
          <w:rFonts w:ascii="Calibri" w:hAnsi="Calibri" w:cs="Calibri"/>
          <w:i/>
          <w:sz w:val="24"/>
          <w:szCs w:val="24"/>
        </w:rPr>
        <w:t>Náklady z vyřazených pohledávek</w:t>
      </w:r>
      <w:r w:rsidRPr="00076861">
        <w:rPr>
          <w:rFonts w:ascii="Calibri" w:hAnsi="Calibri" w:cs="Calibri"/>
          <w:sz w:val="24"/>
          <w:szCs w:val="24"/>
        </w:rPr>
        <w:t xml:space="preserve"> a účet 911 – </w:t>
      </w:r>
      <w:r w:rsidRPr="005E4C4D">
        <w:rPr>
          <w:rFonts w:ascii="Calibri" w:hAnsi="Calibri" w:cs="Calibri"/>
          <w:i/>
          <w:sz w:val="24"/>
          <w:szCs w:val="24"/>
        </w:rPr>
        <w:t>Vyřazené pohledávky</w:t>
      </w:r>
    </w:p>
    <w:p w:rsidR="00FF4C9A" w:rsidRPr="00076861" w:rsidRDefault="00FF4C9A" w:rsidP="00076861">
      <w:pPr>
        <w:spacing w:line="264" w:lineRule="auto"/>
        <w:ind w:firstLine="0"/>
        <w:rPr>
          <w:rFonts w:ascii="Calibri" w:hAnsi="Calibri" w:cs="Calibri"/>
          <w:b/>
          <w:sz w:val="24"/>
        </w:rPr>
      </w:pPr>
    </w:p>
    <w:p w:rsidR="00FF4C9A" w:rsidRPr="00076861" w:rsidRDefault="00FF4C9A" w:rsidP="00076861">
      <w:pPr>
        <w:spacing w:line="264" w:lineRule="auto"/>
        <w:ind w:firstLine="0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sz w:val="24"/>
        </w:rPr>
        <w:t xml:space="preserve">ČSSZ tím, že účtovala o vyřazení pohledávky z penále vážícího se k pojistnému za období po prohlášení konkursu, za které se penále nevyměřuje, a dále tuto pohledávku převedla na podrozvahový účet </w:t>
      </w:r>
      <w:r w:rsidRPr="005E4C4D">
        <w:rPr>
          <w:rFonts w:ascii="Calibri" w:hAnsi="Calibri" w:cs="Calibri"/>
          <w:sz w:val="24"/>
        </w:rPr>
        <w:t xml:space="preserve">911 – </w:t>
      </w:r>
      <w:r w:rsidRPr="00076861">
        <w:rPr>
          <w:rFonts w:ascii="Calibri" w:hAnsi="Calibri" w:cs="Calibri"/>
          <w:i/>
          <w:sz w:val="24"/>
        </w:rPr>
        <w:t>Vyřazené pohledávky</w:t>
      </w:r>
      <w:r w:rsidRPr="005E4C4D">
        <w:rPr>
          <w:rFonts w:ascii="Calibri" w:hAnsi="Calibri" w:cs="Calibri"/>
          <w:sz w:val="24"/>
        </w:rPr>
        <w:t>,</w:t>
      </w:r>
      <w:r w:rsidRPr="00076861">
        <w:rPr>
          <w:rFonts w:ascii="Calibri" w:hAnsi="Calibri" w:cs="Calibri"/>
          <w:i/>
          <w:sz w:val="24"/>
        </w:rPr>
        <w:t xml:space="preserve"> </w:t>
      </w:r>
      <w:r w:rsidRPr="00076861">
        <w:rPr>
          <w:rFonts w:ascii="Calibri" w:hAnsi="Calibri" w:cs="Calibri"/>
          <w:sz w:val="24"/>
        </w:rPr>
        <w:t>postupovala v rozporu s ustanovením § 4 odst. 8 zákona o účetnictví a zároveň</w:t>
      </w:r>
      <w:r w:rsidR="00AC7B4D">
        <w:rPr>
          <w:rFonts w:ascii="Calibri" w:hAnsi="Calibri" w:cs="Calibri"/>
          <w:sz w:val="24"/>
        </w:rPr>
        <w:t xml:space="preserve"> v rozporu</w:t>
      </w:r>
      <w:r w:rsidRPr="00076861">
        <w:rPr>
          <w:rFonts w:ascii="Calibri" w:hAnsi="Calibri" w:cs="Calibri"/>
          <w:sz w:val="24"/>
        </w:rPr>
        <w:t xml:space="preserve"> s ustanovením § 33 odst. 6 písm. d) a § 50 písm. a) vyhlášky č. 410/2009 Sb. </w:t>
      </w:r>
      <w:r w:rsidRPr="00076861">
        <w:rPr>
          <w:rFonts w:ascii="Calibri" w:hAnsi="Calibri" w:cs="Calibri"/>
          <w:bCs/>
          <w:iCs/>
          <w:sz w:val="24"/>
        </w:rPr>
        <w:t xml:space="preserve">V důsledku </w:t>
      </w:r>
      <w:r w:rsidR="00E0764B">
        <w:rPr>
          <w:rFonts w:ascii="Calibri" w:hAnsi="Calibri" w:cs="Calibri"/>
          <w:bCs/>
          <w:iCs/>
          <w:sz w:val="24"/>
        </w:rPr>
        <w:t>této</w:t>
      </w:r>
      <w:r w:rsidRPr="00076861">
        <w:rPr>
          <w:rFonts w:ascii="Calibri" w:hAnsi="Calibri" w:cs="Calibri"/>
          <w:bCs/>
          <w:iCs/>
          <w:sz w:val="24"/>
        </w:rPr>
        <w:t xml:space="preserve"> skutečnosti ČSSZ ve své ÚZ k 31. 12. 2014 ve výkazu </w:t>
      </w:r>
      <w:r w:rsidR="00AC7B4D">
        <w:rPr>
          <w:rFonts w:ascii="Calibri" w:hAnsi="Calibri" w:cs="Calibri"/>
          <w:bCs/>
          <w:iCs/>
          <w:sz w:val="24"/>
        </w:rPr>
        <w:t>r</w:t>
      </w:r>
      <w:r w:rsidRPr="00076861">
        <w:rPr>
          <w:rFonts w:ascii="Calibri" w:hAnsi="Calibri" w:cs="Calibri"/>
          <w:bCs/>
          <w:iCs/>
          <w:sz w:val="24"/>
        </w:rPr>
        <w:t>ozvaha:</w:t>
      </w:r>
    </w:p>
    <w:p w:rsidR="00FF4C9A" w:rsidRPr="00076861" w:rsidRDefault="00FF4C9A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nadhodnotila účet </w:t>
      </w:r>
      <w:r w:rsidRPr="005E4C4D">
        <w:rPr>
          <w:rFonts w:ascii="Calibri" w:hAnsi="Calibri" w:cs="Calibri"/>
          <w:bCs/>
          <w:iCs/>
          <w:sz w:val="24"/>
        </w:rPr>
        <w:t xml:space="preserve">408 – </w:t>
      </w:r>
      <w:r w:rsidRPr="00076861">
        <w:rPr>
          <w:rFonts w:ascii="Calibri" w:hAnsi="Calibri" w:cs="Calibri"/>
          <w:bCs/>
          <w:i/>
          <w:iCs/>
          <w:sz w:val="24"/>
        </w:rPr>
        <w:t>Opravy minulých období</w:t>
      </w:r>
      <w:r w:rsidRPr="00076861">
        <w:rPr>
          <w:rFonts w:ascii="Calibri" w:hAnsi="Calibri" w:cs="Calibri"/>
          <w:bCs/>
          <w:iCs/>
          <w:sz w:val="24"/>
        </w:rPr>
        <w:t xml:space="preserve"> o částku 869 670,00 Kč a</w:t>
      </w:r>
      <w:r w:rsidR="003000D7" w:rsidRPr="00076861">
        <w:rPr>
          <w:rFonts w:ascii="Calibri" w:hAnsi="Calibri" w:cs="Calibri"/>
          <w:bCs/>
          <w:iCs/>
          <w:sz w:val="24"/>
        </w:rPr>
        <w:t> </w:t>
      </w:r>
      <w:r w:rsidR="00E0764B" w:rsidRPr="00076861">
        <w:rPr>
          <w:rFonts w:ascii="Calibri" w:hAnsi="Calibri" w:cs="Calibri"/>
          <w:bCs/>
          <w:iCs/>
          <w:sz w:val="24"/>
        </w:rPr>
        <w:t>o</w:t>
      </w:r>
      <w:r w:rsidR="00E0764B">
        <w:rPr>
          <w:rFonts w:ascii="Calibri" w:hAnsi="Calibri" w:cs="Calibri"/>
          <w:bCs/>
          <w:iCs/>
          <w:sz w:val="24"/>
        </w:rPr>
        <w:t> </w:t>
      </w:r>
      <w:r w:rsidR="00E0764B" w:rsidRPr="00076861">
        <w:rPr>
          <w:rFonts w:ascii="Calibri" w:hAnsi="Calibri" w:cs="Calibri"/>
          <w:bCs/>
          <w:iCs/>
          <w:sz w:val="24"/>
        </w:rPr>
        <w:t xml:space="preserve">stejnou částku </w:t>
      </w:r>
      <w:r w:rsidRPr="00076861">
        <w:rPr>
          <w:rFonts w:ascii="Calibri" w:hAnsi="Calibri" w:cs="Calibri"/>
          <w:bCs/>
          <w:iCs/>
          <w:sz w:val="24"/>
        </w:rPr>
        <w:t xml:space="preserve">podhodnotila účet </w:t>
      </w:r>
      <w:r w:rsidRPr="005E4C4D">
        <w:rPr>
          <w:rFonts w:ascii="Calibri" w:hAnsi="Calibri" w:cs="Calibri"/>
          <w:bCs/>
          <w:iCs/>
          <w:sz w:val="24"/>
        </w:rPr>
        <w:t xml:space="preserve">493 – </w:t>
      </w:r>
      <w:r w:rsidRPr="00076861">
        <w:rPr>
          <w:rFonts w:ascii="Calibri" w:hAnsi="Calibri" w:cs="Calibri"/>
          <w:bCs/>
          <w:i/>
          <w:iCs/>
          <w:sz w:val="24"/>
        </w:rPr>
        <w:t>Výsledek hospodaření běžného účetního období</w:t>
      </w:r>
      <w:r w:rsidR="00E0764B">
        <w:rPr>
          <w:rFonts w:ascii="Calibri" w:hAnsi="Calibri" w:cs="Calibri"/>
          <w:bCs/>
          <w:iCs/>
          <w:sz w:val="24"/>
        </w:rPr>
        <w:t>,</w:t>
      </w:r>
    </w:p>
    <w:p w:rsidR="00FF4C9A" w:rsidRPr="00076861" w:rsidRDefault="00FF4C9A" w:rsidP="000060D7">
      <w:p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zároveň ve své ÚZ k 31. 12. 2014 ve </w:t>
      </w:r>
      <w:r w:rsidR="00E0764B">
        <w:rPr>
          <w:rFonts w:ascii="Calibri" w:hAnsi="Calibri" w:cs="Calibri"/>
          <w:bCs/>
          <w:iCs/>
          <w:sz w:val="24"/>
        </w:rPr>
        <w:t>v</w:t>
      </w:r>
      <w:r w:rsidRPr="00076861">
        <w:rPr>
          <w:rFonts w:ascii="Calibri" w:hAnsi="Calibri" w:cs="Calibri"/>
          <w:bCs/>
          <w:iCs/>
          <w:sz w:val="24"/>
        </w:rPr>
        <w:t xml:space="preserve">ýkazu </w:t>
      </w:r>
      <w:r w:rsidRPr="00076861">
        <w:rPr>
          <w:rFonts w:ascii="Calibri" w:hAnsi="Calibri" w:cs="Calibri"/>
          <w:sz w:val="24"/>
        </w:rPr>
        <w:t>zisku a ztráty</w:t>
      </w:r>
      <w:r w:rsidRPr="00076861">
        <w:rPr>
          <w:rFonts w:ascii="Calibri" w:hAnsi="Calibri" w:cs="Calibri"/>
          <w:bCs/>
          <w:iCs/>
          <w:sz w:val="24"/>
        </w:rPr>
        <w:t>:</w:t>
      </w:r>
    </w:p>
    <w:p w:rsidR="00FF4C9A" w:rsidRPr="00076861" w:rsidRDefault="00FF4C9A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nadhodnotila účet </w:t>
      </w:r>
      <w:r w:rsidRPr="005E4C4D">
        <w:rPr>
          <w:rFonts w:ascii="Calibri" w:hAnsi="Calibri" w:cs="Calibri"/>
          <w:bCs/>
          <w:iCs/>
          <w:sz w:val="24"/>
        </w:rPr>
        <w:t xml:space="preserve">557 – </w:t>
      </w:r>
      <w:r w:rsidRPr="00076861">
        <w:rPr>
          <w:rFonts w:ascii="Calibri" w:hAnsi="Calibri" w:cs="Calibri"/>
          <w:bCs/>
          <w:i/>
          <w:iCs/>
          <w:sz w:val="24"/>
        </w:rPr>
        <w:t>Náklady z vyřazených pohledávek</w:t>
      </w:r>
      <w:r w:rsidRPr="00076861">
        <w:rPr>
          <w:rFonts w:ascii="Calibri" w:hAnsi="Calibri" w:cs="Calibri"/>
          <w:bCs/>
          <w:iCs/>
          <w:sz w:val="24"/>
        </w:rPr>
        <w:t xml:space="preserve"> o částku 869 670,00 Kč</w:t>
      </w:r>
      <w:r w:rsidR="000E0943" w:rsidRPr="00076861">
        <w:rPr>
          <w:rFonts w:ascii="Calibri" w:hAnsi="Calibri" w:cs="Calibri"/>
          <w:bCs/>
          <w:iCs/>
          <w:sz w:val="24"/>
        </w:rPr>
        <w:t>.</w:t>
      </w:r>
    </w:p>
    <w:p w:rsidR="00FF4C9A" w:rsidRPr="00076861" w:rsidRDefault="00FF4C9A" w:rsidP="00076861">
      <w:pPr>
        <w:spacing w:line="264" w:lineRule="auto"/>
        <w:ind w:firstLine="0"/>
        <w:rPr>
          <w:rFonts w:ascii="Calibri" w:hAnsi="Calibri" w:cs="Calibri"/>
          <w:bCs/>
          <w:iCs/>
          <w:sz w:val="24"/>
        </w:rPr>
      </w:pPr>
    </w:p>
    <w:p w:rsidR="00FF4C9A" w:rsidRPr="00076861" w:rsidRDefault="00FF4C9A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  <w:r w:rsidRPr="00076861">
        <w:rPr>
          <w:rFonts w:ascii="Calibri" w:hAnsi="Calibri" w:cs="Calibri"/>
          <w:bCs/>
          <w:iCs/>
          <w:sz w:val="24"/>
        </w:rPr>
        <w:t>Stejně tak ČSSZ</w:t>
      </w:r>
      <w:r w:rsidRPr="00076861">
        <w:rPr>
          <w:rFonts w:ascii="Calibri" w:hAnsi="Calibri" w:cs="Calibri"/>
          <w:sz w:val="24"/>
        </w:rPr>
        <w:t xml:space="preserve"> v </w:t>
      </w:r>
      <w:r w:rsidR="00E0764B">
        <w:rPr>
          <w:rFonts w:ascii="Calibri" w:hAnsi="Calibri" w:cs="Calibri"/>
          <w:sz w:val="24"/>
        </w:rPr>
        <w:t>p</w:t>
      </w:r>
      <w:r w:rsidRPr="00076861">
        <w:rPr>
          <w:rFonts w:ascii="Calibri" w:hAnsi="Calibri" w:cs="Calibri"/>
          <w:sz w:val="24"/>
        </w:rPr>
        <w:t>říloze k ÚZ v části „</w:t>
      </w:r>
      <w:r w:rsidRPr="00076861">
        <w:rPr>
          <w:rFonts w:ascii="Calibri" w:hAnsi="Calibri" w:cs="Calibri"/>
          <w:i/>
          <w:sz w:val="24"/>
        </w:rPr>
        <w:t xml:space="preserve">A.4 </w:t>
      </w:r>
      <w:r w:rsidR="00E0764B">
        <w:rPr>
          <w:rFonts w:ascii="Calibri" w:hAnsi="Calibri" w:cs="Calibri"/>
          <w:i/>
          <w:sz w:val="24"/>
        </w:rPr>
        <w:t>–</w:t>
      </w:r>
      <w:r w:rsidRPr="00076861">
        <w:rPr>
          <w:rFonts w:ascii="Calibri" w:hAnsi="Calibri" w:cs="Calibri"/>
          <w:i/>
          <w:sz w:val="24"/>
        </w:rPr>
        <w:t xml:space="preserve"> Informace podle § 7 odst. 5 zákona o stavu účtů v knize podrozvahových účtů“</w:t>
      </w:r>
      <w:r w:rsidRPr="00076861">
        <w:rPr>
          <w:rFonts w:ascii="Calibri" w:hAnsi="Calibri" w:cs="Calibri"/>
          <w:sz w:val="24"/>
        </w:rPr>
        <w:t xml:space="preserve"> k </w:t>
      </w:r>
      <w:r w:rsidRPr="00076861">
        <w:rPr>
          <w:rFonts w:ascii="Calibri" w:hAnsi="Calibri" w:cs="Calibri"/>
          <w:bCs/>
          <w:iCs/>
          <w:sz w:val="24"/>
        </w:rPr>
        <w:t>31. 12. 2014</w:t>
      </w:r>
      <w:r w:rsidRPr="00076861">
        <w:rPr>
          <w:rFonts w:ascii="Calibri" w:hAnsi="Calibri" w:cs="Calibri"/>
          <w:sz w:val="24"/>
          <w:lang w:eastAsia="cs-CZ"/>
        </w:rPr>
        <w:t>:</w:t>
      </w:r>
    </w:p>
    <w:p w:rsidR="00FF4C9A" w:rsidRDefault="00FF4C9A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nadhodnotila účet </w:t>
      </w:r>
      <w:r w:rsidRPr="005E4C4D">
        <w:rPr>
          <w:rFonts w:ascii="Calibri" w:hAnsi="Calibri" w:cs="Calibri"/>
          <w:sz w:val="24"/>
        </w:rPr>
        <w:t xml:space="preserve">911 </w:t>
      </w:r>
      <w:r w:rsidRPr="005E4C4D">
        <w:rPr>
          <w:rFonts w:ascii="Calibri" w:hAnsi="Calibri" w:cs="Calibri"/>
          <w:sz w:val="24"/>
          <w:lang w:eastAsia="cs-CZ"/>
        </w:rPr>
        <w:t xml:space="preserve">– </w:t>
      </w:r>
      <w:r w:rsidRPr="00076861">
        <w:rPr>
          <w:rFonts w:ascii="Calibri" w:hAnsi="Calibri" w:cs="Calibri"/>
          <w:i/>
          <w:sz w:val="24"/>
          <w:lang w:eastAsia="cs-CZ"/>
        </w:rPr>
        <w:t>Vyřazené pohledávky</w:t>
      </w:r>
      <w:r w:rsidRPr="00076861">
        <w:rPr>
          <w:rFonts w:ascii="Calibri" w:hAnsi="Calibri" w:cs="Calibri"/>
          <w:sz w:val="24"/>
          <w:lang w:eastAsia="cs-CZ"/>
        </w:rPr>
        <w:t xml:space="preserve"> o částku 869 670,00 Kč a</w:t>
      </w:r>
      <w:r w:rsidR="006B2F7C" w:rsidRPr="00076861">
        <w:rPr>
          <w:rFonts w:ascii="Calibri" w:hAnsi="Calibri" w:cs="Calibri"/>
          <w:sz w:val="24"/>
        </w:rPr>
        <w:t xml:space="preserve"> o stejnou částku </w:t>
      </w:r>
      <w:r w:rsidRPr="00076861">
        <w:rPr>
          <w:rFonts w:ascii="Calibri" w:hAnsi="Calibri" w:cs="Calibri"/>
          <w:sz w:val="24"/>
        </w:rPr>
        <w:t xml:space="preserve">nadhodnotila účet </w:t>
      </w:r>
      <w:r w:rsidRPr="005E4C4D">
        <w:rPr>
          <w:rFonts w:ascii="Calibri" w:hAnsi="Calibri" w:cs="Calibri"/>
          <w:sz w:val="24"/>
          <w:lang w:eastAsia="cs-CZ"/>
        </w:rPr>
        <w:t xml:space="preserve">999 – </w:t>
      </w:r>
      <w:r w:rsidRPr="00076861">
        <w:rPr>
          <w:rFonts w:ascii="Calibri" w:hAnsi="Calibri" w:cs="Calibri"/>
          <w:i/>
          <w:sz w:val="24"/>
          <w:lang w:eastAsia="cs-CZ"/>
        </w:rPr>
        <w:t>Vyrovnávací účet k podrozvahovým účtům</w:t>
      </w:r>
      <w:r w:rsidR="006B2F7C" w:rsidRPr="00076861">
        <w:rPr>
          <w:rFonts w:ascii="Calibri" w:hAnsi="Calibri" w:cs="Calibri"/>
          <w:sz w:val="24"/>
          <w:lang w:eastAsia="cs-CZ"/>
        </w:rPr>
        <w:t>.</w:t>
      </w:r>
    </w:p>
    <w:p w:rsidR="000060D7" w:rsidRPr="00076861" w:rsidRDefault="000060D7" w:rsidP="000060D7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41635D" w:rsidRPr="00076861" w:rsidRDefault="00E544F9" w:rsidP="000060D7">
      <w:pPr>
        <w:pStyle w:val="Nadpis4"/>
        <w:numPr>
          <w:ilvl w:val="0"/>
          <w:numId w:val="0"/>
        </w:numPr>
        <w:tabs>
          <w:tab w:val="clear" w:pos="567"/>
          <w:tab w:val="left" w:leader="dot" w:pos="284"/>
        </w:tabs>
        <w:spacing w:before="0" w:line="264" w:lineRule="auto"/>
        <w:rPr>
          <w:rFonts w:ascii="Calibri" w:hAnsi="Calibri" w:cs="Calibri"/>
        </w:rPr>
      </w:pPr>
      <w:r w:rsidRPr="00076861">
        <w:rPr>
          <w:rFonts w:ascii="Calibri" w:hAnsi="Calibri" w:cs="Calibri"/>
        </w:rPr>
        <w:t xml:space="preserve">2. </w:t>
      </w:r>
      <w:r w:rsidR="006B2F7C" w:rsidRPr="00076861">
        <w:rPr>
          <w:rFonts w:ascii="Calibri" w:hAnsi="Calibri" w:cs="Calibri"/>
        </w:rPr>
        <w:t>Přehled o peněžních tocích</w:t>
      </w:r>
      <w:bookmarkStart w:id="1" w:name="_Toc419366878"/>
      <w:bookmarkStart w:id="2" w:name="_Ref395692545"/>
    </w:p>
    <w:p w:rsidR="002268EF" w:rsidRPr="00076861" w:rsidRDefault="002268EF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41635D" w:rsidRPr="00076861" w:rsidRDefault="006B2F7C" w:rsidP="000060D7">
      <w:pPr>
        <w:pStyle w:val="Nadpis3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sz w:val="24"/>
          <w:szCs w:val="24"/>
        </w:rPr>
      </w:pPr>
      <w:r w:rsidRPr="00076861">
        <w:rPr>
          <w:rFonts w:ascii="Calibri" w:hAnsi="Calibri" w:cs="Calibri"/>
          <w:sz w:val="24"/>
          <w:szCs w:val="24"/>
        </w:rPr>
        <w:t>Položka „</w:t>
      </w:r>
      <w:r w:rsidRPr="005E4C4D">
        <w:rPr>
          <w:rFonts w:ascii="Calibri" w:hAnsi="Calibri" w:cs="Calibri"/>
          <w:i/>
          <w:sz w:val="24"/>
          <w:szCs w:val="24"/>
        </w:rPr>
        <w:t>A.I.6. Ostatní úpravy o nepeněžní operace</w:t>
      </w:r>
      <w:bookmarkEnd w:id="1"/>
      <w:r w:rsidR="00E0764B">
        <w:rPr>
          <w:rFonts w:ascii="Calibri" w:hAnsi="Calibri" w:cs="Calibri"/>
          <w:sz w:val="24"/>
          <w:szCs w:val="24"/>
        </w:rPr>
        <w:t>“</w:t>
      </w:r>
    </w:p>
    <w:p w:rsidR="0041635D" w:rsidRPr="000060D7" w:rsidRDefault="0041635D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41635D" w:rsidRPr="00076861" w:rsidRDefault="007C3E22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>ČSSZ tím, že do položky „</w:t>
      </w:r>
      <w:r w:rsidRPr="005E4C4D">
        <w:rPr>
          <w:rFonts w:ascii="Calibri" w:hAnsi="Calibri" w:cs="Calibri"/>
          <w:i/>
          <w:sz w:val="24"/>
        </w:rPr>
        <w:t xml:space="preserve">A.I.6. </w:t>
      </w:r>
      <w:r w:rsidRPr="005E4C4D">
        <w:rPr>
          <w:rFonts w:ascii="Calibri" w:hAnsi="Calibri" w:cs="Calibri"/>
          <w:bCs/>
          <w:i/>
          <w:iCs/>
          <w:sz w:val="24"/>
        </w:rPr>
        <w:t>Ostatní úpravy o nepeněžní operace</w:t>
      </w:r>
      <w:r w:rsidRPr="00076861">
        <w:rPr>
          <w:rFonts w:ascii="Calibri" w:hAnsi="Calibri" w:cs="Calibri"/>
          <w:bCs/>
          <w:iCs/>
          <w:sz w:val="24"/>
        </w:rPr>
        <w:t>“</w:t>
      </w:r>
      <w:r w:rsidRPr="00076861">
        <w:rPr>
          <w:rFonts w:ascii="Calibri" w:hAnsi="Calibri" w:cs="Calibri"/>
          <w:sz w:val="24"/>
        </w:rPr>
        <w:t xml:space="preserve"> </w:t>
      </w:r>
      <w:r w:rsidR="00E0764B">
        <w:rPr>
          <w:rFonts w:ascii="Calibri" w:hAnsi="Calibri" w:cs="Calibri"/>
          <w:sz w:val="24"/>
        </w:rPr>
        <w:t>p</w:t>
      </w:r>
      <w:r w:rsidRPr="00076861">
        <w:rPr>
          <w:rFonts w:ascii="Calibri" w:hAnsi="Calibri" w:cs="Calibri"/>
          <w:sz w:val="24"/>
        </w:rPr>
        <w:t>řehledu o peněžních tocích zahrnula rozdíl z přecenění reálnou hodnotou majetku určeného k prodeji, ačkoliv tento obsahově patří na položku „</w:t>
      </w:r>
      <w:r w:rsidRPr="005E4C4D">
        <w:rPr>
          <w:rFonts w:ascii="Calibri" w:hAnsi="Calibri" w:cs="Calibri"/>
          <w:i/>
          <w:sz w:val="24"/>
        </w:rPr>
        <w:t>A.I.4 Zisk (ztráta) z prodeje dlouhodobého majetku</w:t>
      </w:r>
      <w:r w:rsidRPr="00076861">
        <w:rPr>
          <w:rFonts w:ascii="Calibri" w:hAnsi="Calibri" w:cs="Calibri"/>
          <w:sz w:val="24"/>
        </w:rPr>
        <w:t>“</w:t>
      </w:r>
      <w:r w:rsidR="00E0764B">
        <w:rPr>
          <w:rFonts w:ascii="Calibri" w:hAnsi="Calibri" w:cs="Calibri"/>
          <w:sz w:val="24"/>
        </w:rPr>
        <w:t>,</w:t>
      </w:r>
      <w:r w:rsidRPr="00076861">
        <w:rPr>
          <w:rFonts w:ascii="Calibri" w:hAnsi="Calibri" w:cs="Calibri"/>
          <w:sz w:val="24"/>
        </w:rPr>
        <w:t xml:space="preserve"> a dále do této položky zahrnula i část konečného zůstatku účtu </w:t>
      </w:r>
      <w:r w:rsidRPr="005E4C4D">
        <w:rPr>
          <w:rFonts w:ascii="Calibri" w:hAnsi="Calibri" w:cs="Calibri"/>
          <w:sz w:val="24"/>
        </w:rPr>
        <w:t xml:space="preserve">314 – </w:t>
      </w:r>
      <w:r w:rsidRPr="00076861">
        <w:rPr>
          <w:rFonts w:ascii="Calibri" w:hAnsi="Calibri" w:cs="Calibri"/>
          <w:i/>
          <w:sz w:val="24"/>
        </w:rPr>
        <w:t>Krátkodobé zálohy</w:t>
      </w:r>
      <w:r w:rsidRPr="00076861">
        <w:rPr>
          <w:rFonts w:ascii="Calibri" w:hAnsi="Calibri" w:cs="Calibri"/>
          <w:sz w:val="24"/>
        </w:rPr>
        <w:t>, který však neměl vliv na výši hospodářského výsledku ČSSZ, postupovala v rozporu s ustanovením § 43 odst. 3 písm. f) vyhlášky č. 410/2009 Sb.</w:t>
      </w:r>
      <w:r w:rsidR="00E0764B">
        <w:rPr>
          <w:rFonts w:ascii="Calibri" w:hAnsi="Calibri" w:cs="Calibri"/>
          <w:sz w:val="24"/>
        </w:rPr>
        <w:t xml:space="preserve"> </w:t>
      </w:r>
      <w:r w:rsidRPr="00076861">
        <w:rPr>
          <w:rFonts w:ascii="Calibri" w:hAnsi="Calibri" w:cs="Calibri"/>
          <w:sz w:val="24"/>
        </w:rPr>
        <w:t xml:space="preserve">V důsledku </w:t>
      </w:r>
      <w:r w:rsidR="00E0764B">
        <w:rPr>
          <w:rFonts w:ascii="Calibri" w:hAnsi="Calibri" w:cs="Calibri"/>
          <w:sz w:val="24"/>
        </w:rPr>
        <w:t>této</w:t>
      </w:r>
      <w:r w:rsidRPr="00076861">
        <w:rPr>
          <w:rFonts w:ascii="Calibri" w:hAnsi="Calibri" w:cs="Calibri"/>
          <w:sz w:val="24"/>
        </w:rPr>
        <w:t xml:space="preserve"> skutečnosti ČSSZ v ÚZ sestavené k 31. 12. 2014 ve výkazu </w:t>
      </w:r>
      <w:r w:rsidR="00E0764B">
        <w:rPr>
          <w:rFonts w:ascii="Calibri" w:hAnsi="Calibri" w:cs="Calibri"/>
          <w:sz w:val="24"/>
        </w:rPr>
        <w:t>p</w:t>
      </w:r>
      <w:r w:rsidRPr="00076861">
        <w:rPr>
          <w:rFonts w:ascii="Calibri" w:hAnsi="Calibri" w:cs="Calibri"/>
          <w:sz w:val="24"/>
        </w:rPr>
        <w:t>řehled o</w:t>
      </w:r>
      <w:r w:rsidR="003000D7" w:rsidRPr="00076861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>peněžních tocích:</w:t>
      </w:r>
    </w:p>
    <w:p w:rsidR="007C3E22" w:rsidRPr="000060D7" w:rsidRDefault="007C3E22" w:rsidP="000060D7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>podhodnotila položku „</w:t>
      </w:r>
      <w:r w:rsidRPr="005E4C4D">
        <w:rPr>
          <w:rFonts w:ascii="Calibri" w:hAnsi="Calibri" w:cs="Calibri"/>
          <w:i/>
          <w:sz w:val="24"/>
        </w:rPr>
        <w:t xml:space="preserve">A.I.4. </w:t>
      </w:r>
      <w:r w:rsidRPr="005E4C4D">
        <w:rPr>
          <w:rFonts w:ascii="Calibri" w:hAnsi="Calibri" w:cs="Calibri"/>
          <w:bCs/>
          <w:i/>
          <w:iCs/>
          <w:sz w:val="24"/>
        </w:rPr>
        <w:t>Zisk (ztráta) z prodeje dlouhodobého majetku</w:t>
      </w:r>
      <w:r w:rsidRPr="005E4C4D">
        <w:rPr>
          <w:rFonts w:ascii="Calibri" w:hAnsi="Calibri" w:cs="Calibri"/>
          <w:bCs/>
          <w:iCs/>
          <w:sz w:val="24"/>
        </w:rPr>
        <w:t>“</w:t>
      </w:r>
      <w:r w:rsidRPr="00076861">
        <w:rPr>
          <w:rFonts w:ascii="Calibri" w:hAnsi="Calibri" w:cs="Calibri"/>
          <w:i/>
          <w:sz w:val="24"/>
        </w:rPr>
        <w:t xml:space="preserve"> </w:t>
      </w:r>
      <w:r w:rsidRPr="00076861">
        <w:rPr>
          <w:rFonts w:ascii="Calibri" w:hAnsi="Calibri" w:cs="Calibri"/>
          <w:bCs/>
          <w:iCs/>
          <w:sz w:val="24"/>
        </w:rPr>
        <w:t>o částku 6 632 450,40 Kč a zároveň</w:t>
      </w:r>
      <w:r w:rsidRPr="00076861">
        <w:rPr>
          <w:rFonts w:ascii="Calibri" w:hAnsi="Calibri" w:cs="Calibri"/>
          <w:sz w:val="24"/>
        </w:rPr>
        <w:t xml:space="preserve"> </w:t>
      </w:r>
      <w:r w:rsidRPr="00076861">
        <w:rPr>
          <w:rFonts w:ascii="Calibri" w:hAnsi="Calibri" w:cs="Calibri"/>
          <w:bCs/>
          <w:iCs/>
          <w:sz w:val="24"/>
        </w:rPr>
        <w:t>nadhodnotila položku „</w:t>
      </w:r>
      <w:r w:rsidRPr="005E4C4D">
        <w:rPr>
          <w:rFonts w:ascii="Calibri" w:hAnsi="Calibri" w:cs="Calibri"/>
          <w:bCs/>
          <w:i/>
          <w:iCs/>
          <w:sz w:val="24"/>
        </w:rPr>
        <w:t>A.I.6 Ostatní úpravy o nepeněžní operace</w:t>
      </w:r>
      <w:r w:rsidR="00E0764B">
        <w:rPr>
          <w:rFonts w:ascii="Calibri" w:hAnsi="Calibri" w:cs="Calibri"/>
          <w:bCs/>
          <w:iCs/>
          <w:sz w:val="24"/>
        </w:rPr>
        <w:t>“</w:t>
      </w:r>
      <w:r w:rsidRPr="00076861">
        <w:rPr>
          <w:rFonts w:ascii="Calibri" w:hAnsi="Calibri" w:cs="Calibri"/>
          <w:bCs/>
          <w:iCs/>
          <w:sz w:val="24"/>
        </w:rPr>
        <w:t xml:space="preserve"> o částku </w:t>
      </w:r>
      <w:r w:rsidRPr="00076861">
        <w:rPr>
          <w:rFonts w:ascii="Calibri" w:hAnsi="Calibri" w:cs="Calibri"/>
          <w:sz w:val="24"/>
        </w:rPr>
        <w:t>7 999 511,00 Kč (</w:t>
      </w:r>
      <w:r w:rsidRPr="00076861">
        <w:rPr>
          <w:rFonts w:ascii="Calibri" w:hAnsi="Calibri" w:cs="Calibri"/>
          <w:bCs/>
          <w:iCs/>
          <w:sz w:val="24"/>
        </w:rPr>
        <w:t>6 632 450,40 Kč + 1 367 061,00 Kč).</w:t>
      </w:r>
    </w:p>
    <w:p w:rsidR="000060D7" w:rsidRPr="00076861" w:rsidRDefault="000060D7" w:rsidP="000060D7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7C3E22" w:rsidRPr="00076861" w:rsidRDefault="007C3E22" w:rsidP="000060D7">
      <w:pPr>
        <w:pStyle w:val="Nadpis3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sz w:val="24"/>
          <w:szCs w:val="24"/>
        </w:rPr>
      </w:pPr>
      <w:bookmarkStart w:id="3" w:name="_Toc419366879"/>
      <w:r w:rsidRPr="00076861">
        <w:rPr>
          <w:rFonts w:ascii="Calibri" w:hAnsi="Calibri" w:cs="Calibri"/>
          <w:sz w:val="24"/>
          <w:szCs w:val="24"/>
        </w:rPr>
        <w:t>Položka „</w:t>
      </w:r>
      <w:r w:rsidRPr="005E4C4D">
        <w:rPr>
          <w:rFonts w:ascii="Calibri" w:hAnsi="Calibri" w:cs="Calibri"/>
          <w:i/>
          <w:sz w:val="24"/>
          <w:szCs w:val="24"/>
        </w:rPr>
        <w:t>B.II.3. Příjmy z prodeje dlouhodobého majetku určeného k prodeji</w:t>
      </w:r>
      <w:r w:rsidRPr="00076861">
        <w:rPr>
          <w:rFonts w:ascii="Calibri" w:hAnsi="Calibri" w:cs="Calibri"/>
          <w:sz w:val="24"/>
          <w:szCs w:val="24"/>
        </w:rPr>
        <w:t>“</w:t>
      </w:r>
      <w:bookmarkEnd w:id="3"/>
    </w:p>
    <w:p w:rsidR="000060D7" w:rsidRDefault="000060D7" w:rsidP="000060D7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7C3E22" w:rsidRPr="00076861" w:rsidRDefault="007C3E22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060D7">
        <w:rPr>
          <w:rFonts w:ascii="Calibri" w:hAnsi="Calibri" w:cs="Calibri"/>
          <w:sz w:val="24"/>
        </w:rPr>
        <w:t xml:space="preserve">ČSSZ tím, že na položce </w:t>
      </w:r>
      <w:r w:rsidR="00E0764B">
        <w:rPr>
          <w:rFonts w:ascii="Calibri" w:hAnsi="Calibri" w:cs="Calibri"/>
          <w:sz w:val="24"/>
        </w:rPr>
        <w:t>„</w:t>
      </w:r>
      <w:r w:rsidRPr="005E4C4D">
        <w:rPr>
          <w:rFonts w:ascii="Calibri" w:hAnsi="Calibri" w:cs="Calibri"/>
          <w:i/>
          <w:sz w:val="24"/>
        </w:rPr>
        <w:t>B.II.3. Příjmy z prodeje dlouhodobého majetku určeného k prodeji</w:t>
      </w:r>
      <w:r w:rsidRPr="000060D7">
        <w:rPr>
          <w:rFonts w:ascii="Calibri" w:hAnsi="Calibri" w:cs="Calibri"/>
          <w:sz w:val="24"/>
        </w:rPr>
        <w:t xml:space="preserve">” vykázala nulovou hodnotu, ačkoliv v kontrolovaném období realizovala příjmy z prodeje dlouhodobého majetku, postupovala v rozporu s ustanovením § 43 odst. 5 písm. f) vyhlášky č. 410/2009 Sb. </w:t>
      </w:r>
      <w:r w:rsidRPr="00076861">
        <w:rPr>
          <w:rFonts w:ascii="Calibri" w:hAnsi="Calibri" w:cs="Calibri"/>
          <w:bCs/>
          <w:iCs/>
          <w:sz w:val="24"/>
        </w:rPr>
        <w:t xml:space="preserve">V důsledku této skutečnosti </w:t>
      </w:r>
      <w:r w:rsidRPr="00076861">
        <w:rPr>
          <w:rFonts w:ascii="Calibri" w:hAnsi="Calibri" w:cs="Calibri"/>
          <w:sz w:val="24"/>
        </w:rPr>
        <w:t xml:space="preserve">ČSSZ v ÚZ sestavené k 31. 12. 2014 ve výkazu </w:t>
      </w:r>
      <w:r w:rsidR="00E0764B">
        <w:rPr>
          <w:rFonts w:ascii="Calibri" w:hAnsi="Calibri" w:cs="Calibri"/>
          <w:sz w:val="24"/>
        </w:rPr>
        <w:t>p</w:t>
      </w:r>
      <w:r w:rsidRPr="00076861">
        <w:rPr>
          <w:rFonts w:ascii="Calibri" w:hAnsi="Calibri" w:cs="Calibri"/>
          <w:sz w:val="24"/>
        </w:rPr>
        <w:t>řehled o</w:t>
      </w:r>
      <w:r w:rsidR="003000D7" w:rsidRPr="00076861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>peněžních tocích:</w:t>
      </w:r>
    </w:p>
    <w:p w:rsidR="007C3E22" w:rsidRPr="00076861" w:rsidRDefault="007C3E22" w:rsidP="00076861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>podhodnotila položku</w:t>
      </w:r>
      <w:r w:rsidRPr="00076861">
        <w:rPr>
          <w:rFonts w:ascii="Calibri" w:hAnsi="Calibri" w:cs="Calibri"/>
          <w:sz w:val="24"/>
        </w:rPr>
        <w:t xml:space="preserve"> </w:t>
      </w:r>
      <w:r w:rsidRPr="00076861">
        <w:rPr>
          <w:rFonts w:ascii="Calibri" w:hAnsi="Calibri" w:cs="Calibri"/>
          <w:bCs/>
          <w:iCs/>
          <w:sz w:val="24"/>
        </w:rPr>
        <w:t>„</w:t>
      </w:r>
      <w:r w:rsidRPr="005E4C4D">
        <w:rPr>
          <w:rFonts w:ascii="Calibri" w:hAnsi="Calibri" w:cs="Calibri"/>
          <w:bCs/>
          <w:i/>
          <w:iCs/>
          <w:sz w:val="24"/>
        </w:rPr>
        <w:t>B.II.3. Příjmy z prodeje dlouhodobého majetku určeného k</w:t>
      </w:r>
      <w:r w:rsidR="003000D7" w:rsidRPr="005E4C4D">
        <w:rPr>
          <w:rFonts w:ascii="Calibri" w:hAnsi="Calibri" w:cs="Calibri"/>
          <w:bCs/>
          <w:i/>
          <w:iCs/>
          <w:sz w:val="24"/>
        </w:rPr>
        <w:t> </w:t>
      </w:r>
      <w:r w:rsidRPr="005E4C4D">
        <w:rPr>
          <w:rFonts w:ascii="Calibri" w:hAnsi="Calibri" w:cs="Calibri"/>
          <w:bCs/>
          <w:i/>
          <w:iCs/>
          <w:sz w:val="24"/>
        </w:rPr>
        <w:t>prodeji</w:t>
      </w:r>
      <w:r w:rsidRPr="00076861">
        <w:rPr>
          <w:rFonts w:ascii="Calibri" w:hAnsi="Calibri" w:cs="Calibri"/>
          <w:bCs/>
          <w:iCs/>
          <w:sz w:val="24"/>
        </w:rPr>
        <w:t xml:space="preserve">“ o částku </w:t>
      </w:r>
      <w:r w:rsidRPr="00076861">
        <w:rPr>
          <w:rFonts w:ascii="Calibri" w:hAnsi="Calibri" w:cs="Calibri"/>
          <w:sz w:val="24"/>
        </w:rPr>
        <w:t>1</w:t>
      </w:r>
      <w:r w:rsidR="00E0764B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>311</w:t>
      </w:r>
      <w:r w:rsidR="00E0764B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>665,00</w:t>
      </w:r>
      <w:r w:rsidR="00E0764B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bCs/>
          <w:iCs/>
          <w:sz w:val="24"/>
        </w:rPr>
        <w:t>Kč.</w:t>
      </w:r>
    </w:p>
    <w:p w:rsidR="0089185F" w:rsidRPr="00076861" w:rsidRDefault="0089185F" w:rsidP="00076861">
      <w:pPr>
        <w:spacing w:line="264" w:lineRule="auto"/>
        <w:ind w:firstLine="0"/>
        <w:rPr>
          <w:rFonts w:ascii="Calibri" w:hAnsi="Calibri" w:cs="Calibri"/>
          <w:bCs/>
          <w:iCs/>
          <w:sz w:val="24"/>
        </w:rPr>
      </w:pPr>
    </w:p>
    <w:p w:rsidR="00D134F4" w:rsidRPr="00076861" w:rsidRDefault="00D134F4" w:rsidP="00076861">
      <w:pPr>
        <w:pStyle w:val="Nadpis3"/>
        <w:numPr>
          <w:ilvl w:val="0"/>
          <w:numId w:val="26"/>
        </w:numPr>
        <w:spacing w:line="264" w:lineRule="auto"/>
        <w:ind w:left="284" w:hanging="284"/>
        <w:rPr>
          <w:rFonts w:ascii="Calibri" w:hAnsi="Calibri" w:cs="Calibri"/>
          <w:bCs w:val="0"/>
          <w:iCs/>
          <w:sz w:val="24"/>
          <w:szCs w:val="24"/>
        </w:rPr>
      </w:pPr>
      <w:bookmarkStart w:id="4" w:name="_Toc419366880"/>
      <w:r w:rsidRPr="00076861">
        <w:rPr>
          <w:rFonts w:ascii="Calibri" w:hAnsi="Calibri" w:cs="Calibri"/>
          <w:iCs/>
          <w:sz w:val="24"/>
          <w:szCs w:val="24"/>
        </w:rPr>
        <w:t>Položka „</w:t>
      </w:r>
      <w:r w:rsidRPr="005E4C4D">
        <w:rPr>
          <w:rFonts w:ascii="Calibri" w:hAnsi="Calibri" w:cs="Calibri"/>
          <w:i/>
          <w:iCs/>
          <w:sz w:val="24"/>
          <w:szCs w:val="24"/>
        </w:rPr>
        <w:t>C.I. Pen</w:t>
      </w:r>
      <w:r w:rsidR="00E0764B">
        <w:rPr>
          <w:rFonts w:ascii="Calibri" w:hAnsi="Calibri" w:cs="Calibri"/>
          <w:i/>
          <w:iCs/>
          <w:sz w:val="24"/>
          <w:szCs w:val="24"/>
        </w:rPr>
        <w:t>ě</w:t>
      </w:r>
      <w:r w:rsidRPr="005E4C4D">
        <w:rPr>
          <w:rFonts w:ascii="Calibri" w:hAnsi="Calibri" w:cs="Calibri"/>
          <w:i/>
          <w:iCs/>
          <w:sz w:val="24"/>
          <w:szCs w:val="24"/>
        </w:rPr>
        <w:t>žní toky vyplývající ze změny vlastního kapitálu</w:t>
      </w:r>
      <w:r w:rsidRPr="00076861">
        <w:rPr>
          <w:rFonts w:ascii="Calibri" w:hAnsi="Calibri" w:cs="Calibri"/>
          <w:iCs/>
          <w:sz w:val="24"/>
          <w:szCs w:val="24"/>
        </w:rPr>
        <w:t>“</w:t>
      </w:r>
      <w:bookmarkEnd w:id="4"/>
    </w:p>
    <w:p w:rsidR="00D134F4" w:rsidRPr="00076861" w:rsidRDefault="00D134F4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D134F4" w:rsidRPr="00076861" w:rsidRDefault="00D134F4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>ČSSZ tím, že do položky „</w:t>
      </w:r>
      <w:r w:rsidRPr="005E4C4D">
        <w:rPr>
          <w:rFonts w:ascii="Calibri" w:hAnsi="Calibri" w:cs="Calibri"/>
          <w:bCs/>
          <w:i/>
          <w:iCs/>
          <w:sz w:val="24"/>
        </w:rPr>
        <w:t>C.I. Pen</w:t>
      </w:r>
      <w:r w:rsidR="00E0764B" w:rsidRPr="005E4C4D">
        <w:rPr>
          <w:rFonts w:ascii="Calibri" w:hAnsi="Calibri" w:cs="Calibri"/>
          <w:bCs/>
          <w:i/>
          <w:iCs/>
          <w:sz w:val="24"/>
        </w:rPr>
        <w:t>ě</w:t>
      </w:r>
      <w:r w:rsidRPr="005E4C4D">
        <w:rPr>
          <w:rFonts w:ascii="Calibri" w:hAnsi="Calibri" w:cs="Calibri"/>
          <w:bCs/>
          <w:i/>
          <w:iCs/>
          <w:sz w:val="24"/>
        </w:rPr>
        <w:t>žní toky vyplývající ze změny vlastního kapitálu</w:t>
      </w:r>
      <w:r w:rsidRPr="00076861">
        <w:rPr>
          <w:rFonts w:ascii="Calibri" w:hAnsi="Calibri" w:cs="Calibri"/>
          <w:bCs/>
          <w:iCs/>
          <w:sz w:val="24"/>
        </w:rPr>
        <w:t xml:space="preserve">“ zahrnula změnu ve vlastním jmění plynoucí z bezúplatných převodů dlouhodobého majetku, které </w:t>
      </w:r>
      <w:r w:rsidRPr="00076861">
        <w:rPr>
          <w:rFonts w:ascii="Calibri" w:hAnsi="Calibri" w:cs="Calibri"/>
          <w:sz w:val="24"/>
        </w:rPr>
        <w:t>nevedly ke změně stavu peněžních prostředků</w:t>
      </w:r>
      <w:r w:rsidRPr="00076861">
        <w:rPr>
          <w:rFonts w:ascii="Calibri" w:hAnsi="Calibri" w:cs="Calibri"/>
          <w:bCs/>
          <w:iCs/>
          <w:sz w:val="24"/>
        </w:rPr>
        <w:t xml:space="preserve">, postupovala v rozporu s ustanovením § 43 odst. 6 písm. b) vyhlášky č. 410/2009 Sb. V důsledku této skutečnosti </w:t>
      </w:r>
      <w:r w:rsidRPr="00076861">
        <w:rPr>
          <w:rFonts w:ascii="Calibri" w:hAnsi="Calibri" w:cs="Calibri"/>
          <w:sz w:val="24"/>
        </w:rPr>
        <w:t xml:space="preserve">ČSSZ v ÚZ sestavené k 31. 12. 2014 ve výkazu </w:t>
      </w:r>
      <w:r w:rsidR="00E0764B">
        <w:rPr>
          <w:rFonts w:ascii="Calibri" w:hAnsi="Calibri" w:cs="Calibri"/>
          <w:sz w:val="24"/>
        </w:rPr>
        <w:t>p</w:t>
      </w:r>
      <w:r w:rsidRPr="00076861">
        <w:rPr>
          <w:rFonts w:ascii="Calibri" w:hAnsi="Calibri" w:cs="Calibri"/>
          <w:sz w:val="24"/>
        </w:rPr>
        <w:t>řehled o</w:t>
      </w:r>
      <w:r w:rsidR="003000D7" w:rsidRPr="00076861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>peněžních tocích:</w:t>
      </w:r>
    </w:p>
    <w:p w:rsidR="00D134F4" w:rsidRPr="00076861" w:rsidRDefault="00D134F4" w:rsidP="00076861">
      <w:pPr>
        <w:numPr>
          <w:ilvl w:val="0"/>
          <w:numId w:val="8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>nadhodnotila položku „</w:t>
      </w:r>
      <w:r w:rsidRPr="005E4C4D">
        <w:rPr>
          <w:rFonts w:ascii="Calibri" w:hAnsi="Calibri" w:cs="Calibri"/>
          <w:i/>
          <w:sz w:val="24"/>
        </w:rPr>
        <w:t>C.I. Peněžní toky vyplývající ze změny vlastního kapitálu</w:t>
      </w:r>
      <w:r w:rsidRPr="00076861">
        <w:rPr>
          <w:rFonts w:ascii="Calibri" w:hAnsi="Calibri" w:cs="Calibri"/>
          <w:bCs/>
          <w:iCs/>
          <w:sz w:val="24"/>
        </w:rPr>
        <w:t>“ o</w:t>
      </w:r>
      <w:r w:rsidR="003000D7" w:rsidRPr="00076861">
        <w:rPr>
          <w:rFonts w:ascii="Calibri" w:hAnsi="Calibri" w:cs="Calibri"/>
          <w:bCs/>
          <w:iCs/>
          <w:sz w:val="24"/>
        </w:rPr>
        <w:t> </w:t>
      </w:r>
      <w:r w:rsidRPr="00076861">
        <w:rPr>
          <w:rFonts w:ascii="Calibri" w:hAnsi="Calibri" w:cs="Calibri"/>
          <w:bCs/>
          <w:iCs/>
          <w:sz w:val="24"/>
        </w:rPr>
        <w:t xml:space="preserve">částku </w:t>
      </w:r>
      <w:r w:rsidRPr="00076861">
        <w:rPr>
          <w:rFonts w:ascii="Calibri" w:hAnsi="Calibri" w:cs="Calibri"/>
          <w:sz w:val="24"/>
        </w:rPr>
        <w:t>434 794,00</w:t>
      </w:r>
      <w:r w:rsidRPr="00076861">
        <w:rPr>
          <w:rFonts w:ascii="Calibri" w:hAnsi="Calibri" w:cs="Calibri"/>
          <w:bCs/>
          <w:iCs/>
          <w:sz w:val="24"/>
        </w:rPr>
        <w:t xml:space="preserve"> Kč.</w:t>
      </w:r>
    </w:p>
    <w:p w:rsidR="00D134F4" w:rsidRPr="00076861" w:rsidRDefault="00D134F4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bookmarkEnd w:id="2"/>
    <w:p w:rsidR="001A1086" w:rsidRPr="00076861" w:rsidRDefault="006D1681" w:rsidP="00076861">
      <w:pPr>
        <w:pStyle w:val="Nadpis2"/>
        <w:spacing w:line="264" w:lineRule="auto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>P</w:t>
      </w:r>
      <w:r w:rsidR="00AC4B8B" w:rsidRPr="00076861">
        <w:rPr>
          <w:rFonts w:ascii="Calibri" w:hAnsi="Calibri" w:cs="Calibri"/>
          <w:sz w:val="24"/>
        </w:rPr>
        <w:t>ožadavky na obsah ÚZ</w:t>
      </w:r>
    </w:p>
    <w:p w:rsidR="00D134F4" w:rsidRPr="00076861" w:rsidRDefault="00D134F4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D134F4" w:rsidRPr="00076861" w:rsidRDefault="00D134F4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ČSSZ nepostupovala v souladu s ustanovením § 45 odst. 1 písm. e) vyhlášky č. 410/2009 Sb., když v </w:t>
      </w:r>
      <w:r w:rsidR="00E0764B">
        <w:rPr>
          <w:rFonts w:ascii="Calibri" w:hAnsi="Calibri" w:cs="Calibri"/>
          <w:sz w:val="24"/>
        </w:rPr>
        <w:t>p</w:t>
      </w:r>
      <w:r w:rsidRPr="00076861">
        <w:rPr>
          <w:rFonts w:ascii="Calibri" w:hAnsi="Calibri" w:cs="Calibri"/>
          <w:sz w:val="24"/>
        </w:rPr>
        <w:t>říloze účetní závěrky k 31. 12. 2014 neuvedla doplňující informace k</w:t>
      </w:r>
      <w:r w:rsidR="00FF63A4" w:rsidRPr="00076861">
        <w:rPr>
          <w:rFonts w:ascii="Calibri" w:hAnsi="Calibri" w:cs="Calibri"/>
          <w:sz w:val="24"/>
        </w:rPr>
        <w:t xml:space="preserve"> vybraným </w:t>
      </w:r>
      <w:r w:rsidRPr="00076861">
        <w:rPr>
          <w:rFonts w:ascii="Calibri" w:hAnsi="Calibri" w:cs="Calibri"/>
          <w:sz w:val="24"/>
        </w:rPr>
        <w:t xml:space="preserve">položkám </w:t>
      </w:r>
      <w:r w:rsidR="00E0764B">
        <w:rPr>
          <w:rFonts w:ascii="Calibri" w:hAnsi="Calibri" w:cs="Calibri"/>
          <w:sz w:val="24"/>
        </w:rPr>
        <w:t>r</w:t>
      </w:r>
      <w:r w:rsidRPr="00076861">
        <w:rPr>
          <w:rFonts w:ascii="Calibri" w:hAnsi="Calibri" w:cs="Calibri"/>
          <w:sz w:val="24"/>
        </w:rPr>
        <w:t xml:space="preserve">ozvahy a </w:t>
      </w:r>
      <w:r w:rsidR="00E0764B">
        <w:rPr>
          <w:rFonts w:ascii="Calibri" w:hAnsi="Calibri" w:cs="Calibri"/>
          <w:sz w:val="24"/>
        </w:rPr>
        <w:t>v</w:t>
      </w:r>
      <w:r w:rsidRPr="00076861">
        <w:rPr>
          <w:rFonts w:ascii="Calibri" w:hAnsi="Calibri" w:cs="Calibri"/>
          <w:sz w:val="24"/>
        </w:rPr>
        <w:t xml:space="preserve">ýkazu zisku a ztráty. </w:t>
      </w:r>
    </w:p>
    <w:p w:rsidR="007E3C24" w:rsidRPr="00076861" w:rsidRDefault="007E3C24" w:rsidP="00076861">
      <w:pPr>
        <w:suppressAutoHyphens/>
        <w:spacing w:line="264" w:lineRule="auto"/>
        <w:ind w:firstLine="0"/>
        <w:rPr>
          <w:rFonts w:ascii="Calibri" w:hAnsi="Calibri" w:cs="Calibri"/>
          <w:sz w:val="24"/>
        </w:rPr>
      </w:pPr>
    </w:p>
    <w:p w:rsidR="001A1086" w:rsidRPr="00076861" w:rsidRDefault="00E544F9" w:rsidP="00076861">
      <w:pPr>
        <w:pStyle w:val="Nadpis2"/>
        <w:spacing w:line="264" w:lineRule="auto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3. </w:t>
      </w:r>
      <w:r w:rsidR="008D157D" w:rsidRPr="00076861">
        <w:rPr>
          <w:rFonts w:ascii="Calibri" w:hAnsi="Calibri" w:cs="Calibri"/>
          <w:sz w:val="24"/>
        </w:rPr>
        <w:t>Nesprávnosti</w:t>
      </w:r>
      <w:r w:rsidR="00D54265" w:rsidRPr="00076861">
        <w:rPr>
          <w:rFonts w:ascii="Calibri" w:hAnsi="Calibri" w:cs="Calibri"/>
          <w:sz w:val="24"/>
        </w:rPr>
        <w:t xml:space="preserve"> ve </w:t>
      </w:r>
      <w:r w:rsidR="00B32632" w:rsidRPr="00076861">
        <w:rPr>
          <w:rFonts w:ascii="Calibri" w:hAnsi="Calibri" w:cs="Calibri"/>
          <w:sz w:val="24"/>
        </w:rPr>
        <w:t>v</w:t>
      </w:r>
      <w:r w:rsidR="0052110C" w:rsidRPr="00076861">
        <w:rPr>
          <w:rFonts w:ascii="Calibri" w:hAnsi="Calibri" w:cs="Calibri"/>
          <w:sz w:val="24"/>
        </w:rPr>
        <w:t>ýkaz</w:t>
      </w:r>
      <w:r w:rsidR="00EC4CAB" w:rsidRPr="00076861">
        <w:rPr>
          <w:rFonts w:ascii="Calibri" w:hAnsi="Calibri" w:cs="Calibri"/>
          <w:sz w:val="24"/>
        </w:rPr>
        <w:t>u pro hodnocení plnění rozpočtu k 31. 12. 201</w:t>
      </w:r>
      <w:r w:rsidR="0041635D" w:rsidRPr="00076861">
        <w:rPr>
          <w:rFonts w:ascii="Calibri" w:hAnsi="Calibri" w:cs="Calibri"/>
          <w:sz w:val="24"/>
        </w:rPr>
        <w:t>4</w:t>
      </w:r>
    </w:p>
    <w:p w:rsidR="0052110C" w:rsidRPr="00076861" w:rsidRDefault="0052110C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7E3C24" w:rsidRDefault="007E3C24" w:rsidP="00076861">
      <w:pPr>
        <w:autoSpaceDE w:val="0"/>
        <w:autoSpaceDN w:val="0"/>
        <w:adjustRightInd w:val="0"/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>V </w:t>
      </w:r>
      <w:r w:rsidR="005D36E1" w:rsidRPr="00076861">
        <w:rPr>
          <w:rFonts w:ascii="Calibri" w:hAnsi="Calibri" w:cs="Calibri"/>
          <w:sz w:val="24"/>
        </w:rPr>
        <w:t>rámci</w:t>
      </w:r>
      <w:r w:rsidRPr="00076861">
        <w:rPr>
          <w:rFonts w:ascii="Calibri" w:hAnsi="Calibri" w:cs="Calibri"/>
          <w:sz w:val="24"/>
        </w:rPr>
        <w:t xml:space="preserve"> rozpočtové klasifikace příjmů a výdajů byla hodnocena správnost klasifikace a</w:t>
      </w:r>
      <w:r w:rsidR="003000D7" w:rsidRPr="00076861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 xml:space="preserve">průkaznost jejich vykázání ve </w:t>
      </w:r>
      <w:r w:rsidR="00E0764B">
        <w:rPr>
          <w:rFonts w:ascii="Calibri" w:hAnsi="Calibri" w:cs="Calibri"/>
          <w:sz w:val="24"/>
        </w:rPr>
        <w:t>v</w:t>
      </w:r>
      <w:r w:rsidRPr="00076861">
        <w:rPr>
          <w:rFonts w:ascii="Calibri" w:hAnsi="Calibri" w:cs="Calibri"/>
          <w:sz w:val="24"/>
        </w:rPr>
        <w:t>ýkazu pro hodnocení plněn</w:t>
      </w:r>
      <w:r w:rsidR="00076861">
        <w:rPr>
          <w:rFonts w:ascii="Calibri" w:hAnsi="Calibri" w:cs="Calibri"/>
          <w:sz w:val="24"/>
        </w:rPr>
        <w:t>í rozpočtu ČSSZ k 31. 12. 2014.</w:t>
      </w:r>
    </w:p>
    <w:p w:rsidR="00076861" w:rsidRPr="00076861" w:rsidRDefault="00076861" w:rsidP="00076861">
      <w:pPr>
        <w:autoSpaceDE w:val="0"/>
        <w:autoSpaceDN w:val="0"/>
        <w:adjustRightInd w:val="0"/>
        <w:spacing w:line="264" w:lineRule="auto"/>
        <w:ind w:firstLine="0"/>
        <w:rPr>
          <w:rFonts w:ascii="Calibri" w:hAnsi="Calibri" w:cs="Calibri"/>
          <w:sz w:val="24"/>
        </w:rPr>
      </w:pPr>
    </w:p>
    <w:p w:rsidR="008F34F1" w:rsidRPr="00076861" w:rsidRDefault="00F33867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  <w:r w:rsidRPr="00076861">
        <w:rPr>
          <w:rFonts w:ascii="Calibri" w:hAnsi="Calibri" w:cs="Calibri"/>
          <w:color w:val="000000"/>
          <w:sz w:val="24"/>
        </w:rPr>
        <w:t>V </w:t>
      </w:r>
      <w:r w:rsidR="008F34F1" w:rsidRPr="00076861">
        <w:rPr>
          <w:rFonts w:ascii="Calibri" w:hAnsi="Calibri" w:cs="Calibri"/>
          <w:color w:val="000000"/>
          <w:sz w:val="24"/>
        </w:rPr>
        <w:t xml:space="preserve">případě příjmů a výdajů uvedených ve </w:t>
      </w:r>
      <w:r w:rsidR="00B32632" w:rsidRPr="00076861">
        <w:rPr>
          <w:rFonts w:ascii="Calibri" w:hAnsi="Calibri" w:cs="Calibri"/>
          <w:color w:val="000000"/>
          <w:sz w:val="24"/>
        </w:rPr>
        <w:t>v</w:t>
      </w:r>
      <w:r w:rsidR="008F34F1" w:rsidRPr="00076861">
        <w:rPr>
          <w:rFonts w:ascii="Calibri" w:hAnsi="Calibri" w:cs="Calibri"/>
          <w:color w:val="000000"/>
          <w:sz w:val="24"/>
        </w:rPr>
        <w:t xml:space="preserve">ýkazu pro hodnocení plnění rozpočtu byla </w:t>
      </w:r>
      <w:r w:rsidR="00E7479F" w:rsidRPr="00076861">
        <w:rPr>
          <w:rFonts w:ascii="Calibri" w:hAnsi="Calibri" w:cs="Calibri"/>
          <w:color w:val="000000"/>
          <w:sz w:val="24"/>
        </w:rPr>
        <w:t xml:space="preserve">na vybraném vzorku </w:t>
      </w:r>
      <w:r w:rsidR="008F34F1" w:rsidRPr="00076861">
        <w:rPr>
          <w:rFonts w:ascii="Calibri" w:hAnsi="Calibri" w:cs="Calibri"/>
          <w:color w:val="000000"/>
          <w:sz w:val="24"/>
        </w:rPr>
        <w:t xml:space="preserve">kontrolována správnost jejich klasifikace paragrafy a položkami rozpočtové skladby dle vyhlášky č. 323/2002 </w:t>
      </w:r>
      <w:r w:rsidR="00E0764B" w:rsidRPr="00076861">
        <w:rPr>
          <w:rFonts w:ascii="Calibri" w:hAnsi="Calibri" w:cs="Calibri"/>
          <w:color w:val="000000"/>
          <w:sz w:val="24"/>
        </w:rPr>
        <w:t>Sb.</w:t>
      </w:r>
      <w:r w:rsidR="009A02AB" w:rsidRPr="00076861">
        <w:rPr>
          <w:rStyle w:val="Znakapoznpodarou"/>
          <w:rFonts w:ascii="Calibri" w:hAnsi="Calibri" w:cs="Calibri"/>
          <w:color w:val="000000"/>
          <w:sz w:val="24"/>
        </w:rPr>
        <w:footnoteReference w:id="4"/>
      </w:r>
      <w:r w:rsidR="008F34F1" w:rsidRPr="00076861">
        <w:rPr>
          <w:rFonts w:ascii="Calibri" w:hAnsi="Calibri" w:cs="Calibri"/>
          <w:color w:val="000000"/>
          <w:sz w:val="24"/>
        </w:rPr>
        <w:t xml:space="preserve"> Dále bylo ověřováno, zda byla dodržena ustanovení vyhlášky č.</w:t>
      </w:r>
      <w:r w:rsidR="005E5DF2" w:rsidRPr="00076861">
        <w:rPr>
          <w:rFonts w:ascii="Calibri" w:hAnsi="Calibri" w:cs="Calibri"/>
          <w:color w:val="000000"/>
          <w:sz w:val="24"/>
        </w:rPr>
        <w:t xml:space="preserve"> </w:t>
      </w:r>
      <w:r w:rsidR="008F34F1" w:rsidRPr="00076861">
        <w:rPr>
          <w:rFonts w:ascii="Calibri" w:hAnsi="Calibri" w:cs="Calibri"/>
          <w:color w:val="000000"/>
          <w:sz w:val="24"/>
        </w:rPr>
        <w:t>449/2009</w:t>
      </w:r>
      <w:r w:rsidR="00E0764B">
        <w:rPr>
          <w:rFonts w:ascii="Calibri" w:hAnsi="Calibri" w:cs="Calibri"/>
          <w:color w:val="000000"/>
          <w:sz w:val="24"/>
        </w:rPr>
        <w:t xml:space="preserve"> </w:t>
      </w:r>
      <w:r w:rsidR="00E0764B" w:rsidRPr="00076861">
        <w:rPr>
          <w:rFonts w:ascii="Calibri" w:hAnsi="Calibri" w:cs="Calibri"/>
          <w:color w:val="000000"/>
          <w:sz w:val="24"/>
        </w:rPr>
        <w:t>Sb.</w:t>
      </w:r>
      <w:r w:rsidR="009A02AB" w:rsidRPr="00076861">
        <w:rPr>
          <w:rStyle w:val="Znakapoznpodarou"/>
          <w:rFonts w:ascii="Calibri" w:hAnsi="Calibri" w:cs="Calibri"/>
          <w:color w:val="000000"/>
          <w:sz w:val="24"/>
        </w:rPr>
        <w:footnoteReference w:id="5"/>
      </w:r>
      <w:r w:rsidR="008F34F1" w:rsidRPr="00076861">
        <w:rPr>
          <w:rFonts w:ascii="Calibri" w:hAnsi="Calibri" w:cs="Calibri"/>
          <w:color w:val="000000"/>
          <w:sz w:val="24"/>
        </w:rPr>
        <w:t xml:space="preserve"> týkající se finančních výkazů.</w:t>
      </w:r>
    </w:p>
    <w:p w:rsidR="008F34F1" w:rsidRPr="00076861" w:rsidRDefault="008F34F1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1A1086" w:rsidRPr="00076861" w:rsidRDefault="00AC4B8B" w:rsidP="00076861">
      <w:pPr>
        <w:pStyle w:val="Nadpis3"/>
        <w:numPr>
          <w:ilvl w:val="0"/>
          <w:numId w:val="32"/>
        </w:numPr>
        <w:spacing w:line="264" w:lineRule="auto"/>
        <w:ind w:left="284" w:hanging="284"/>
        <w:rPr>
          <w:rFonts w:ascii="Calibri" w:hAnsi="Calibri" w:cs="Calibri"/>
          <w:sz w:val="24"/>
          <w:szCs w:val="24"/>
        </w:rPr>
      </w:pPr>
      <w:r w:rsidRPr="00076861">
        <w:rPr>
          <w:rFonts w:ascii="Calibri" w:hAnsi="Calibri" w:cs="Calibri"/>
          <w:sz w:val="24"/>
          <w:szCs w:val="24"/>
        </w:rPr>
        <w:t xml:space="preserve">Rozpočtové paragrafy položky 5410 – </w:t>
      </w:r>
      <w:r w:rsidR="00D54265" w:rsidRPr="005E4C4D">
        <w:rPr>
          <w:rFonts w:ascii="Calibri" w:hAnsi="Calibri" w:cs="Calibri"/>
          <w:i/>
          <w:sz w:val="24"/>
          <w:szCs w:val="24"/>
        </w:rPr>
        <w:t>Sociální dávky</w:t>
      </w:r>
    </w:p>
    <w:p w:rsidR="00AC4B8B" w:rsidRPr="00076861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  <w:lang w:eastAsia="cs-CZ"/>
        </w:rPr>
      </w:pPr>
    </w:p>
    <w:p w:rsidR="007E3C24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  <w:lang w:eastAsia="cs-CZ"/>
        </w:rPr>
        <w:t>V souvislosti s kontrolou realizace opatření přijatých k </w:t>
      </w:r>
      <w:r w:rsidRPr="00076861">
        <w:rPr>
          <w:rFonts w:ascii="Calibri" w:hAnsi="Calibri" w:cs="Calibri"/>
          <w:sz w:val="24"/>
        </w:rPr>
        <w:t>odstranění nedostatků obsažených v</w:t>
      </w:r>
      <w:r w:rsidR="003000D7" w:rsidRPr="00076861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 xml:space="preserve">kontrolním závěru </w:t>
      </w:r>
      <w:r w:rsidR="005D36E1" w:rsidRPr="00076861">
        <w:rPr>
          <w:rFonts w:ascii="Calibri" w:hAnsi="Calibri" w:cs="Calibri"/>
          <w:sz w:val="24"/>
        </w:rPr>
        <w:t xml:space="preserve">NKÚ </w:t>
      </w:r>
      <w:r w:rsidRPr="00076861">
        <w:rPr>
          <w:rFonts w:ascii="Calibri" w:hAnsi="Calibri" w:cs="Calibri"/>
          <w:sz w:val="24"/>
        </w:rPr>
        <w:t>z kontrolní akce č. 11/26 byla zjištěna skutečnost, že i v roce 2014 existovaly případy nesprávnos</w:t>
      </w:r>
      <w:r w:rsidR="00076861">
        <w:rPr>
          <w:rFonts w:ascii="Calibri" w:hAnsi="Calibri" w:cs="Calibri"/>
          <w:sz w:val="24"/>
        </w:rPr>
        <w:t>tí v přiřazování druhů důchodů.</w:t>
      </w:r>
    </w:p>
    <w:p w:rsidR="00076861" w:rsidRPr="00076861" w:rsidRDefault="00076861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7E3C24" w:rsidRPr="00076861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Testování </w:t>
      </w:r>
      <w:r w:rsidR="001802D8">
        <w:rPr>
          <w:rFonts w:ascii="Calibri" w:hAnsi="Calibri" w:cs="Calibri"/>
          <w:sz w:val="24"/>
        </w:rPr>
        <w:t xml:space="preserve">realizace </w:t>
      </w:r>
      <w:r w:rsidRPr="00076861">
        <w:rPr>
          <w:rFonts w:ascii="Calibri" w:hAnsi="Calibri" w:cs="Calibri"/>
          <w:sz w:val="24"/>
        </w:rPr>
        <w:t>nápravn</w:t>
      </w:r>
      <w:r w:rsidR="001802D8">
        <w:rPr>
          <w:rFonts w:ascii="Calibri" w:hAnsi="Calibri" w:cs="Calibri"/>
          <w:sz w:val="24"/>
        </w:rPr>
        <w:t>ých</w:t>
      </w:r>
      <w:r w:rsidRPr="00076861">
        <w:rPr>
          <w:rFonts w:ascii="Calibri" w:hAnsi="Calibri" w:cs="Calibri"/>
          <w:sz w:val="24"/>
        </w:rPr>
        <w:t xml:space="preserve"> opatření bylo provedeno na datech dávek důchodového pojištění za měsíc březen 2014. Na vybraném vzorku byly zjištěny případy, kdy byl do systému nesprávně zadán druh důchodu, a to jak pro případy jednorázových doplatků, tak pro případy opakovaných výplat.</w:t>
      </w:r>
    </w:p>
    <w:p w:rsidR="007E3C24" w:rsidRPr="00076861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7E3C24" w:rsidRPr="00076861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lastRenderedPageBreak/>
        <w:t>Na kontrolovaném vzorku osmnácti případů</w:t>
      </w:r>
      <w:r w:rsidR="00694622" w:rsidRPr="00694622">
        <w:rPr>
          <w:rFonts w:ascii="Calibri" w:hAnsi="Calibri" w:cs="Calibri"/>
          <w:sz w:val="24"/>
        </w:rPr>
        <w:t xml:space="preserve"> </w:t>
      </w:r>
      <w:r w:rsidR="00694622" w:rsidRPr="00076861">
        <w:rPr>
          <w:rFonts w:ascii="Calibri" w:hAnsi="Calibri" w:cs="Calibri"/>
          <w:sz w:val="24"/>
        </w:rPr>
        <w:t>bylo</w:t>
      </w:r>
      <w:r w:rsidRPr="00076861">
        <w:rPr>
          <w:rFonts w:ascii="Calibri" w:hAnsi="Calibri" w:cs="Calibri"/>
          <w:sz w:val="24"/>
        </w:rPr>
        <w:t xml:space="preserve"> zjištěno, že místo vdoveckého důchodu byl předepsán a vyplacen důchod vdovský. V jednom případě pak bylo zjištěno, že místo invalidního důchodu byl předepsán a vyplacen důchod starobní.</w:t>
      </w:r>
    </w:p>
    <w:p w:rsidR="007E3C24" w:rsidRPr="00076861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7E3C24" w:rsidRPr="00076861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V důsledku výše uvedené skutečnosti ČSSZ </w:t>
      </w:r>
      <w:r w:rsidRPr="00076861">
        <w:rPr>
          <w:rFonts w:ascii="Calibri" w:hAnsi="Calibri" w:cs="Calibri"/>
          <w:sz w:val="24"/>
        </w:rPr>
        <w:t xml:space="preserve">ve </w:t>
      </w:r>
      <w:r w:rsidR="00694622">
        <w:rPr>
          <w:rFonts w:ascii="Calibri" w:hAnsi="Calibri" w:cs="Calibri"/>
          <w:sz w:val="24"/>
        </w:rPr>
        <w:t>v</w:t>
      </w:r>
      <w:r w:rsidRPr="00076861">
        <w:rPr>
          <w:rFonts w:ascii="Calibri" w:hAnsi="Calibri" w:cs="Calibri"/>
          <w:sz w:val="24"/>
        </w:rPr>
        <w:t>ýkazu pro hodnocení plnění rozpočtu k 31.</w:t>
      </w:r>
      <w:r w:rsidR="003000D7" w:rsidRPr="00076861">
        <w:rPr>
          <w:rFonts w:ascii="Calibri" w:hAnsi="Calibri" w:cs="Calibri"/>
          <w:sz w:val="24"/>
        </w:rPr>
        <w:t> </w:t>
      </w:r>
      <w:r w:rsidRPr="00076861">
        <w:rPr>
          <w:rFonts w:ascii="Calibri" w:hAnsi="Calibri" w:cs="Calibri"/>
          <w:sz w:val="24"/>
        </w:rPr>
        <w:t>12. 2014:</w:t>
      </w:r>
    </w:p>
    <w:p w:rsidR="007E3C24" w:rsidRPr="00076861" w:rsidRDefault="007E3C24" w:rsidP="00076861">
      <w:pPr>
        <w:numPr>
          <w:ilvl w:val="0"/>
          <w:numId w:val="9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nadhodnotila rozpočtový paragraf 4114 – </w:t>
      </w:r>
      <w:r w:rsidRPr="005E4C4D">
        <w:rPr>
          <w:rFonts w:ascii="Calibri" w:hAnsi="Calibri" w:cs="Calibri"/>
          <w:i/>
          <w:sz w:val="24"/>
        </w:rPr>
        <w:t>Vdovské důchody</w:t>
      </w:r>
      <w:r w:rsidRPr="00076861">
        <w:rPr>
          <w:rFonts w:ascii="Calibri" w:hAnsi="Calibri" w:cs="Calibri"/>
          <w:sz w:val="24"/>
        </w:rPr>
        <w:t xml:space="preserve"> o částku 76 864,00 Kč </w:t>
      </w:r>
      <w:r w:rsidR="007106ED" w:rsidRPr="00076861">
        <w:rPr>
          <w:rFonts w:ascii="Calibri" w:hAnsi="Calibri" w:cs="Calibri"/>
          <w:sz w:val="24"/>
        </w:rPr>
        <w:t>a</w:t>
      </w:r>
      <w:r w:rsidR="003000D7" w:rsidRPr="00076861">
        <w:rPr>
          <w:rFonts w:ascii="Calibri" w:hAnsi="Calibri" w:cs="Calibri"/>
          <w:sz w:val="24"/>
        </w:rPr>
        <w:t> </w:t>
      </w:r>
      <w:r w:rsidR="00694622" w:rsidRPr="00076861">
        <w:rPr>
          <w:rFonts w:ascii="Calibri" w:hAnsi="Calibri" w:cs="Calibri"/>
          <w:sz w:val="24"/>
        </w:rPr>
        <w:t>o</w:t>
      </w:r>
      <w:r w:rsidR="00694622">
        <w:rPr>
          <w:rFonts w:ascii="Calibri" w:hAnsi="Calibri" w:cs="Calibri"/>
          <w:sz w:val="24"/>
        </w:rPr>
        <w:t> </w:t>
      </w:r>
      <w:r w:rsidR="00694622" w:rsidRPr="00076861">
        <w:rPr>
          <w:rFonts w:ascii="Calibri" w:hAnsi="Calibri" w:cs="Calibri"/>
          <w:sz w:val="24"/>
        </w:rPr>
        <w:t xml:space="preserve">stejnou částku </w:t>
      </w:r>
      <w:r w:rsidRPr="00076861">
        <w:rPr>
          <w:rFonts w:ascii="Calibri" w:hAnsi="Calibri" w:cs="Calibri"/>
          <w:sz w:val="24"/>
        </w:rPr>
        <w:t xml:space="preserve">podhodnotila rozpočtový paragraf 4115 – </w:t>
      </w:r>
      <w:r w:rsidRPr="005E4C4D">
        <w:rPr>
          <w:rFonts w:ascii="Calibri" w:hAnsi="Calibri" w:cs="Calibri"/>
          <w:i/>
          <w:sz w:val="24"/>
        </w:rPr>
        <w:t>Vdovecké důchody</w:t>
      </w:r>
      <w:r w:rsidRPr="00076861">
        <w:rPr>
          <w:rFonts w:ascii="Calibri" w:hAnsi="Calibri" w:cs="Calibri"/>
          <w:sz w:val="24"/>
        </w:rPr>
        <w:t>;</w:t>
      </w:r>
    </w:p>
    <w:p w:rsidR="007E3C24" w:rsidRPr="00076861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>dále</w:t>
      </w:r>
    </w:p>
    <w:p w:rsidR="007E3C24" w:rsidRPr="00076861" w:rsidRDefault="007E3C24" w:rsidP="00076861">
      <w:pPr>
        <w:numPr>
          <w:ilvl w:val="0"/>
          <w:numId w:val="9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nadhodnotila rozpočtový paragraf 4111 – </w:t>
      </w:r>
      <w:r w:rsidRPr="005E4C4D">
        <w:rPr>
          <w:rFonts w:ascii="Calibri" w:hAnsi="Calibri" w:cs="Calibri"/>
          <w:i/>
          <w:sz w:val="24"/>
        </w:rPr>
        <w:t>Starobní důchody</w:t>
      </w:r>
      <w:r w:rsidRPr="00076861">
        <w:rPr>
          <w:rFonts w:ascii="Calibri" w:hAnsi="Calibri" w:cs="Calibri"/>
          <w:sz w:val="24"/>
        </w:rPr>
        <w:t xml:space="preserve"> o částku 8 303,00 Kč a</w:t>
      </w:r>
      <w:r w:rsidR="003000D7" w:rsidRPr="00076861">
        <w:rPr>
          <w:rFonts w:ascii="Calibri" w:hAnsi="Calibri" w:cs="Calibri"/>
          <w:sz w:val="24"/>
        </w:rPr>
        <w:t> </w:t>
      </w:r>
      <w:r w:rsidR="00694622" w:rsidRPr="00076861">
        <w:rPr>
          <w:rFonts w:ascii="Calibri" w:hAnsi="Calibri" w:cs="Calibri"/>
          <w:sz w:val="24"/>
        </w:rPr>
        <w:t>o</w:t>
      </w:r>
      <w:r w:rsidR="00694622">
        <w:rPr>
          <w:rFonts w:ascii="Calibri" w:hAnsi="Calibri" w:cs="Calibri"/>
          <w:sz w:val="24"/>
        </w:rPr>
        <w:t> </w:t>
      </w:r>
      <w:r w:rsidR="00694622" w:rsidRPr="00076861">
        <w:rPr>
          <w:rFonts w:ascii="Calibri" w:hAnsi="Calibri" w:cs="Calibri"/>
          <w:sz w:val="24"/>
        </w:rPr>
        <w:t xml:space="preserve">stejnou částku </w:t>
      </w:r>
      <w:r w:rsidRPr="00076861">
        <w:rPr>
          <w:rFonts w:ascii="Calibri" w:hAnsi="Calibri" w:cs="Calibri"/>
          <w:sz w:val="24"/>
        </w:rPr>
        <w:t xml:space="preserve">podhodnotila rozpočtový paragraf 4112 – </w:t>
      </w:r>
      <w:r w:rsidRPr="005E4C4D">
        <w:rPr>
          <w:rFonts w:ascii="Calibri" w:hAnsi="Calibri" w:cs="Calibri"/>
          <w:i/>
          <w:sz w:val="24"/>
        </w:rPr>
        <w:t>Invalidní důchody pro invaliditu třetího stupně</w:t>
      </w:r>
      <w:r w:rsidRPr="00076861">
        <w:rPr>
          <w:rFonts w:ascii="Calibri" w:hAnsi="Calibri" w:cs="Calibri"/>
          <w:sz w:val="24"/>
        </w:rPr>
        <w:t>.</w:t>
      </w:r>
    </w:p>
    <w:p w:rsidR="007E3C24" w:rsidRPr="00076861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7E3C24" w:rsidRPr="00076861" w:rsidRDefault="007E3C24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bCs/>
          <w:sz w:val="24"/>
        </w:rPr>
        <w:t>Z výše uvedeného vyplývá, že</w:t>
      </w:r>
      <w:r w:rsidRPr="00076861">
        <w:rPr>
          <w:rFonts w:ascii="Calibri" w:hAnsi="Calibri" w:cs="Calibri"/>
          <w:sz w:val="24"/>
        </w:rPr>
        <w:t xml:space="preserve"> chyby v přiřazování druhů důchodů vznikají (např. u doplatků DDP), avšak s ohledem na množství zpracovávaných výplat DDP </w:t>
      </w:r>
      <w:r w:rsidR="007106ED" w:rsidRPr="00076861">
        <w:rPr>
          <w:rFonts w:ascii="Calibri" w:hAnsi="Calibri" w:cs="Calibri"/>
          <w:sz w:val="24"/>
        </w:rPr>
        <w:t>je lze pokládat za</w:t>
      </w:r>
      <w:r w:rsidRPr="00076861">
        <w:rPr>
          <w:rFonts w:ascii="Calibri" w:hAnsi="Calibri" w:cs="Calibri"/>
          <w:sz w:val="24"/>
        </w:rPr>
        <w:t xml:space="preserve"> </w:t>
      </w:r>
      <w:r w:rsidR="007106ED" w:rsidRPr="00076861">
        <w:rPr>
          <w:rFonts w:ascii="Calibri" w:hAnsi="Calibri" w:cs="Calibri"/>
          <w:sz w:val="24"/>
        </w:rPr>
        <w:t>ne</w:t>
      </w:r>
      <w:r w:rsidRPr="00076861">
        <w:rPr>
          <w:rFonts w:ascii="Calibri" w:hAnsi="Calibri" w:cs="Calibri"/>
          <w:sz w:val="24"/>
        </w:rPr>
        <w:t xml:space="preserve">významné. </w:t>
      </w:r>
    </w:p>
    <w:p w:rsidR="00AC4B8B" w:rsidRPr="00076861" w:rsidRDefault="00AC4B8B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1A1086" w:rsidRPr="00076861" w:rsidRDefault="00076861" w:rsidP="00076861">
      <w:pPr>
        <w:pStyle w:val="Nadpis1"/>
        <w:numPr>
          <w:ilvl w:val="0"/>
          <w:numId w:val="0"/>
        </w:numPr>
        <w:spacing w:line="26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="00402EBB" w:rsidRPr="00076861">
        <w:rPr>
          <w:rFonts w:ascii="Calibri" w:hAnsi="Calibri" w:cs="Calibri"/>
          <w:sz w:val="24"/>
          <w:szCs w:val="24"/>
        </w:rPr>
        <w:t>S</w:t>
      </w:r>
      <w:r w:rsidR="00FF1F9F" w:rsidRPr="00076861">
        <w:rPr>
          <w:rFonts w:ascii="Calibri" w:hAnsi="Calibri" w:cs="Calibri"/>
          <w:sz w:val="24"/>
          <w:szCs w:val="24"/>
        </w:rPr>
        <w:t xml:space="preserve">kutečnosti </w:t>
      </w:r>
      <w:r w:rsidR="00D156A5" w:rsidRPr="00076861">
        <w:rPr>
          <w:rFonts w:ascii="Calibri" w:hAnsi="Calibri" w:cs="Calibri"/>
          <w:sz w:val="24"/>
          <w:szCs w:val="24"/>
        </w:rPr>
        <w:t xml:space="preserve">vyplývající z </w:t>
      </w:r>
      <w:r w:rsidR="00FF1F9F" w:rsidRPr="00076861">
        <w:rPr>
          <w:rFonts w:ascii="Calibri" w:hAnsi="Calibri" w:cs="Calibri"/>
          <w:sz w:val="24"/>
          <w:szCs w:val="24"/>
        </w:rPr>
        <w:t>nedostatečné právní úpravy účetnictví a výkaznictví OSS</w:t>
      </w:r>
    </w:p>
    <w:p w:rsidR="00FF1F9F" w:rsidRPr="00076861" w:rsidRDefault="00FF1F9F" w:rsidP="00076861">
      <w:pPr>
        <w:spacing w:line="264" w:lineRule="auto"/>
        <w:ind w:firstLine="0"/>
        <w:rPr>
          <w:rFonts w:ascii="Calibri" w:hAnsi="Calibri" w:cs="Calibri"/>
          <w:sz w:val="24"/>
          <w:lang w:eastAsia="cs-CZ"/>
        </w:rPr>
      </w:pPr>
    </w:p>
    <w:p w:rsidR="001A1086" w:rsidRPr="00076861" w:rsidRDefault="00FF05F5" w:rsidP="00076861">
      <w:pPr>
        <w:pStyle w:val="Nadpis2"/>
        <w:numPr>
          <w:ilvl w:val="0"/>
          <w:numId w:val="32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Nemocenské pojištění </w:t>
      </w:r>
      <w:r w:rsidR="00F36561" w:rsidRPr="00076861">
        <w:rPr>
          <w:rFonts w:ascii="Calibri" w:hAnsi="Calibri" w:cs="Calibri"/>
          <w:sz w:val="24"/>
        </w:rPr>
        <w:t>OSVČ</w:t>
      </w:r>
    </w:p>
    <w:p w:rsidR="001D3687" w:rsidRPr="00076861" w:rsidRDefault="001D3687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1D3687" w:rsidRPr="00076861" w:rsidRDefault="001D3687" w:rsidP="00076861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Calibri" w:hAnsi="Calibri" w:cs="Calibri"/>
          <w:bCs/>
          <w:iCs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 xml:space="preserve">NKÚ spatřuje legislativní nedostatek v obsahovém vymezení účtu </w:t>
      </w:r>
      <w:r w:rsidRPr="005E4C4D">
        <w:rPr>
          <w:rFonts w:ascii="Calibri" w:hAnsi="Calibri" w:cs="Calibri"/>
          <w:bCs/>
          <w:iCs/>
          <w:sz w:val="24"/>
        </w:rPr>
        <w:t xml:space="preserve">633 – </w:t>
      </w:r>
      <w:r w:rsidRPr="00076861">
        <w:rPr>
          <w:rFonts w:ascii="Calibri" w:hAnsi="Calibri" w:cs="Calibri"/>
          <w:bCs/>
          <w:i/>
          <w:iCs/>
          <w:sz w:val="24"/>
        </w:rPr>
        <w:t>Výnosy ze sociálního pojištění</w:t>
      </w:r>
      <w:r w:rsidRPr="00076861">
        <w:rPr>
          <w:rFonts w:ascii="Calibri" w:hAnsi="Calibri" w:cs="Calibri"/>
          <w:bCs/>
          <w:iCs/>
          <w:sz w:val="24"/>
        </w:rPr>
        <w:t xml:space="preserve"> ve vyhlášce č. 410/2009 Sb., které nepokrývá případy, kdy ČSSZ realizuje výnos ze sociálního pojištění, avšak není</w:t>
      </w:r>
      <w:r w:rsidR="00912014" w:rsidRPr="00076861">
        <w:rPr>
          <w:rFonts w:ascii="Calibri" w:hAnsi="Calibri" w:cs="Calibri"/>
          <w:bCs/>
          <w:iCs/>
          <w:sz w:val="24"/>
        </w:rPr>
        <w:t xml:space="preserve"> zde</w:t>
      </w:r>
      <w:r w:rsidRPr="00076861">
        <w:rPr>
          <w:rFonts w:ascii="Calibri" w:hAnsi="Calibri" w:cs="Calibri"/>
          <w:bCs/>
          <w:iCs/>
          <w:sz w:val="24"/>
        </w:rPr>
        <w:t xml:space="preserve"> splněn požadavek na pravomocné vyměření, které obsahové vymezení tohoto účtu vyžaduje. Pojistné na nemocenské pojištění OSVČ je</w:t>
      </w:r>
      <w:r w:rsidR="008A46E6" w:rsidRPr="00076861">
        <w:rPr>
          <w:rFonts w:ascii="Calibri" w:hAnsi="Calibri" w:cs="Calibri"/>
          <w:bCs/>
          <w:iCs/>
          <w:sz w:val="24"/>
        </w:rPr>
        <w:t xml:space="preserve"> svou povahou</w:t>
      </w:r>
      <w:r w:rsidRPr="00076861">
        <w:rPr>
          <w:rFonts w:ascii="Calibri" w:hAnsi="Calibri" w:cs="Calibri"/>
          <w:bCs/>
          <w:iCs/>
          <w:sz w:val="24"/>
        </w:rPr>
        <w:t xml:space="preserve"> dobrovolné a k pravomocnému vyměření u něj nedochází, tj. požadavek na pravomocné vyměření</w:t>
      </w:r>
      <w:r w:rsidR="008A46E6" w:rsidRPr="00076861">
        <w:rPr>
          <w:rFonts w:ascii="Calibri" w:hAnsi="Calibri" w:cs="Calibri"/>
          <w:bCs/>
          <w:iCs/>
          <w:sz w:val="24"/>
        </w:rPr>
        <w:t xml:space="preserve"> nemůže být splněn</w:t>
      </w:r>
      <w:r w:rsidR="00076861">
        <w:rPr>
          <w:rFonts w:ascii="Calibri" w:hAnsi="Calibri" w:cs="Calibri"/>
          <w:bCs/>
          <w:iCs/>
          <w:sz w:val="24"/>
        </w:rPr>
        <w:t>.</w:t>
      </w:r>
      <w:r w:rsidR="00694622">
        <w:rPr>
          <w:rFonts w:ascii="Calibri" w:hAnsi="Calibri" w:cs="Calibri"/>
          <w:bCs/>
          <w:iCs/>
          <w:sz w:val="24"/>
        </w:rPr>
        <w:t xml:space="preserve"> </w:t>
      </w:r>
      <w:r w:rsidRPr="00076861">
        <w:rPr>
          <w:rFonts w:ascii="Calibri" w:hAnsi="Calibri" w:cs="Calibri"/>
          <w:bCs/>
          <w:iCs/>
          <w:sz w:val="24"/>
        </w:rPr>
        <w:t xml:space="preserve">Přesto </w:t>
      </w:r>
      <w:r w:rsidR="008A46E6" w:rsidRPr="00076861">
        <w:rPr>
          <w:rFonts w:ascii="Calibri" w:hAnsi="Calibri" w:cs="Calibri"/>
          <w:bCs/>
          <w:iCs/>
          <w:sz w:val="24"/>
        </w:rPr>
        <w:t xml:space="preserve">výnosy z pojistného na NP OSVČ </w:t>
      </w:r>
      <w:r w:rsidR="00761465" w:rsidRPr="00076861">
        <w:rPr>
          <w:rFonts w:ascii="Calibri" w:hAnsi="Calibri" w:cs="Calibri"/>
          <w:bCs/>
          <w:iCs/>
          <w:sz w:val="24"/>
        </w:rPr>
        <w:t xml:space="preserve">věcně náležejí </w:t>
      </w:r>
      <w:r w:rsidRPr="00076861">
        <w:rPr>
          <w:rFonts w:ascii="Calibri" w:hAnsi="Calibri" w:cs="Calibri"/>
          <w:bCs/>
          <w:iCs/>
          <w:sz w:val="24"/>
        </w:rPr>
        <w:t xml:space="preserve">na účet </w:t>
      </w:r>
      <w:r w:rsidRPr="005E4C4D">
        <w:rPr>
          <w:rFonts w:ascii="Calibri" w:hAnsi="Calibri" w:cs="Calibri"/>
          <w:bCs/>
          <w:iCs/>
          <w:sz w:val="24"/>
        </w:rPr>
        <w:t xml:space="preserve">633 – </w:t>
      </w:r>
      <w:r w:rsidRPr="00076861">
        <w:rPr>
          <w:rFonts w:ascii="Calibri" w:hAnsi="Calibri" w:cs="Calibri"/>
          <w:bCs/>
          <w:i/>
          <w:iCs/>
          <w:sz w:val="24"/>
        </w:rPr>
        <w:t>Výnosy ze sociálního pojištění</w:t>
      </w:r>
      <w:r w:rsidRPr="00076861">
        <w:rPr>
          <w:rFonts w:ascii="Calibri" w:hAnsi="Calibri" w:cs="Calibri"/>
          <w:bCs/>
          <w:iCs/>
          <w:sz w:val="24"/>
        </w:rPr>
        <w:t xml:space="preserve">. </w:t>
      </w:r>
    </w:p>
    <w:p w:rsidR="003000D7" w:rsidRPr="00076861" w:rsidRDefault="003000D7" w:rsidP="00076861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Calibri" w:hAnsi="Calibri" w:cs="Calibri"/>
          <w:bCs/>
          <w:iCs/>
          <w:sz w:val="24"/>
        </w:rPr>
      </w:pPr>
    </w:p>
    <w:p w:rsidR="001D3687" w:rsidRPr="00076861" w:rsidRDefault="001D3687" w:rsidP="00076861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bCs/>
          <w:iCs/>
          <w:sz w:val="24"/>
        </w:rPr>
        <w:t>Uvedená skutečnost není dávána k tíži ČSSZ a nemá vliv na hodnotu vyčíslených celkových nesprávností.</w:t>
      </w:r>
    </w:p>
    <w:p w:rsidR="008A46E6" w:rsidRPr="00076861" w:rsidRDefault="008A46E6" w:rsidP="00076861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Calibri" w:hAnsi="Calibri" w:cs="Calibri"/>
          <w:sz w:val="24"/>
        </w:rPr>
      </w:pPr>
    </w:p>
    <w:p w:rsidR="00F36561" w:rsidRPr="00076861" w:rsidRDefault="00F36561" w:rsidP="00076861">
      <w:pPr>
        <w:pStyle w:val="Nadpis2"/>
        <w:numPr>
          <w:ilvl w:val="0"/>
          <w:numId w:val="32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>Důchodová práva</w:t>
      </w:r>
    </w:p>
    <w:p w:rsidR="00FF05F5" w:rsidRPr="00076861" w:rsidRDefault="00FF05F5" w:rsidP="00076861">
      <w:pPr>
        <w:spacing w:line="264" w:lineRule="auto"/>
        <w:ind w:firstLine="0"/>
        <w:rPr>
          <w:rFonts w:ascii="Calibri" w:hAnsi="Calibri" w:cs="Calibri"/>
          <w:sz w:val="24"/>
        </w:rPr>
      </w:pPr>
    </w:p>
    <w:p w:rsidR="0042779F" w:rsidRPr="00076861" w:rsidRDefault="0042779F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  <w:lang w:eastAsia="cs-CZ"/>
        </w:rPr>
      </w:pPr>
      <w:r w:rsidRPr="00076861">
        <w:rPr>
          <w:rFonts w:ascii="Calibri" w:hAnsi="Calibri" w:cs="Calibri"/>
          <w:color w:val="000000"/>
          <w:sz w:val="24"/>
          <w:lang w:eastAsia="cs-CZ"/>
        </w:rPr>
        <w:t xml:space="preserve">Úředníci a ostatní zaměstnanci pracující v institucích Evropské unie </w:t>
      </w:r>
      <w:r w:rsidR="000930EA">
        <w:rPr>
          <w:rFonts w:ascii="Calibri" w:hAnsi="Calibri" w:cs="Calibri"/>
          <w:color w:val="000000"/>
          <w:sz w:val="24"/>
          <w:lang w:eastAsia="cs-CZ"/>
        </w:rPr>
        <w:t>(</w:t>
      </w:r>
      <w:r w:rsidRPr="00076861">
        <w:rPr>
          <w:rFonts w:ascii="Calibri" w:hAnsi="Calibri" w:cs="Calibri"/>
          <w:color w:val="000000"/>
          <w:sz w:val="24"/>
          <w:lang w:eastAsia="cs-CZ"/>
        </w:rPr>
        <w:t>dále také „euroúředníci“</w:t>
      </w:r>
      <w:r w:rsidR="000930EA">
        <w:rPr>
          <w:rFonts w:ascii="Calibri" w:hAnsi="Calibri" w:cs="Calibri"/>
          <w:color w:val="000000"/>
          <w:sz w:val="24"/>
          <w:lang w:eastAsia="cs-CZ"/>
        </w:rPr>
        <w:t>)</w:t>
      </w:r>
      <w:r w:rsidRPr="00076861">
        <w:rPr>
          <w:rFonts w:ascii="Calibri" w:hAnsi="Calibri" w:cs="Calibri"/>
          <w:color w:val="000000"/>
          <w:sz w:val="24"/>
          <w:lang w:eastAsia="cs-CZ"/>
        </w:rPr>
        <w:t xml:space="preserve"> jsou účastni důchodového pojištění ve zvláštním, samostatném systému </w:t>
      </w:r>
      <w:r w:rsidR="00761465" w:rsidRPr="00076861">
        <w:rPr>
          <w:rFonts w:ascii="Calibri" w:hAnsi="Calibri" w:cs="Calibri"/>
          <w:color w:val="000000"/>
          <w:sz w:val="24"/>
          <w:lang w:eastAsia="cs-CZ"/>
        </w:rPr>
        <w:t xml:space="preserve">Evropské unie </w:t>
      </w:r>
      <w:r w:rsidR="00761465">
        <w:rPr>
          <w:rFonts w:ascii="Calibri" w:hAnsi="Calibri" w:cs="Calibri"/>
          <w:color w:val="000000"/>
          <w:sz w:val="24"/>
          <w:lang w:eastAsia="cs-CZ"/>
        </w:rPr>
        <w:t>(dále také „</w:t>
      </w:r>
      <w:r w:rsidRPr="00076861">
        <w:rPr>
          <w:rFonts w:ascii="Calibri" w:hAnsi="Calibri" w:cs="Calibri"/>
          <w:color w:val="000000"/>
          <w:sz w:val="24"/>
          <w:lang w:eastAsia="cs-CZ"/>
        </w:rPr>
        <w:t>EU</w:t>
      </w:r>
      <w:r w:rsidR="00761465">
        <w:rPr>
          <w:rFonts w:ascii="Calibri" w:hAnsi="Calibri" w:cs="Calibri"/>
          <w:color w:val="000000"/>
          <w:sz w:val="24"/>
          <w:lang w:eastAsia="cs-CZ"/>
        </w:rPr>
        <w:t>“)</w:t>
      </w:r>
      <w:r w:rsidRPr="00076861">
        <w:rPr>
          <w:rFonts w:ascii="Calibri" w:hAnsi="Calibri" w:cs="Calibri"/>
          <w:color w:val="000000"/>
          <w:sz w:val="24"/>
          <w:lang w:eastAsia="cs-CZ"/>
        </w:rPr>
        <w:t>, který je oddělen od důchodových systémů jednotlivých členských států</w:t>
      </w:r>
      <w:r w:rsidRPr="00076861">
        <w:rPr>
          <w:rStyle w:val="Znakapoznpodarou"/>
          <w:rFonts w:ascii="Calibri" w:hAnsi="Calibri" w:cs="Calibri"/>
          <w:color w:val="000000"/>
          <w:sz w:val="24"/>
          <w:lang w:eastAsia="cs-CZ"/>
        </w:rPr>
        <w:footnoteReference w:id="6"/>
      </w:r>
      <w:r w:rsidRPr="00076861">
        <w:rPr>
          <w:rFonts w:ascii="Calibri" w:hAnsi="Calibri" w:cs="Calibri"/>
          <w:color w:val="000000"/>
          <w:sz w:val="24"/>
          <w:lang w:eastAsia="cs-CZ"/>
        </w:rPr>
        <w:t xml:space="preserve">. </w:t>
      </w:r>
    </w:p>
    <w:p w:rsidR="0042779F" w:rsidRPr="00076861" w:rsidRDefault="0042779F" w:rsidP="00076861">
      <w:pPr>
        <w:spacing w:line="264" w:lineRule="auto"/>
        <w:ind w:firstLine="0"/>
        <w:rPr>
          <w:rFonts w:ascii="Calibri" w:hAnsi="Calibri" w:cs="Calibri"/>
          <w:bCs/>
          <w:sz w:val="24"/>
        </w:rPr>
      </w:pPr>
    </w:p>
    <w:p w:rsidR="0042779F" w:rsidRPr="00076861" w:rsidRDefault="00D50990" w:rsidP="00076861">
      <w:pPr>
        <w:spacing w:line="264" w:lineRule="auto"/>
        <w:ind w:firstLine="0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>Důchodová práva odpovídají f</w:t>
      </w:r>
      <w:r w:rsidR="0042779F" w:rsidRPr="00076861">
        <w:rPr>
          <w:rFonts w:ascii="Calibri" w:hAnsi="Calibri" w:cs="Calibri"/>
          <w:bCs/>
          <w:sz w:val="24"/>
        </w:rPr>
        <w:t>inanční část</w:t>
      </w:r>
      <w:r w:rsidRPr="00076861">
        <w:rPr>
          <w:rFonts w:ascii="Calibri" w:hAnsi="Calibri" w:cs="Calibri"/>
          <w:bCs/>
          <w:sz w:val="24"/>
        </w:rPr>
        <w:t>ce</w:t>
      </w:r>
      <w:r w:rsidR="0042779F" w:rsidRPr="00076861">
        <w:rPr>
          <w:rFonts w:ascii="Calibri" w:hAnsi="Calibri" w:cs="Calibri"/>
          <w:bCs/>
          <w:sz w:val="24"/>
        </w:rPr>
        <w:t xml:space="preserve"> převáděn</w:t>
      </w:r>
      <w:r w:rsidRPr="00076861">
        <w:rPr>
          <w:rFonts w:ascii="Calibri" w:hAnsi="Calibri" w:cs="Calibri"/>
          <w:bCs/>
          <w:sz w:val="24"/>
        </w:rPr>
        <w:t xml:space="preserve">é z </w:t>
      </w:r>
      <w:r w:rsidR="0042779F" w:rsidRPr="00076861">
        <w:rPr>
          <w:rFonts w:ascii="Calibri" w:hAnsi="Calibri" w:cs="Calibri"/>
          <w:bCs/>
          <w:sz w:val="24"/>
        </w:rPr>
        <w:t>důchodového systému ČR do důchodového systému EU (tzv. pojistně</w:t>
      </w:r>
      <w:r w:rsidR="000930EA">
        <w:rPr>
          <w:rFonts w:ascii="Calibri" w:hAnsi="Calibri" w:cs="Calibri"/>
          <w:bCs/>
          <w:sz w:val="24"/>
        </w:rPr>
        <w:t xml:space="preserve"> </w:t>
      </w:r>
      <w:r w:rsidR="0042779F" w:rsidRPr="00076861">
        <w:rPr>
          <w:rFonts w:ascii="Calibri" w:hAnsi="Calibri" w:cs="Calibri"/>
          <w:bCs/>
          <w:sz w:val="24"/>
        </w:rPr>
        <w:t>matematický ekvivalent)</w:t>
      </w:r>
      <w:r w:rsidRPr="00076861">
        <w:rPr>
          <w:rStyle w:val="Znakapoznpodarou"/>
          <w:rFonts w:ascii="Calibri" w:hAnsi="Calibri" w:cs="Calibri"/>
          <w:bCs/>
          <w:sz w:val="24"/>
        </w:rPr>
        <w:footnoteReference w:id="7"/>
      </w:r>
      <w:r w:rsidR="00E544F9" w:rsidRPr="00076861">
        <w:rPr>
          <w:rFonts w:ascii="Calibri" w:hAnsi="Calibri" w:cs="Calibri"/>
          <w:bCs/>
          <w:sz w:val="24"/>
        </w:rPr>
        <w:t>,</w:t>
      </w:r>
      <w:r w:rsidRPr="00076861">
        <w:rPr>
          <w:rFonts w:ascii="Calibri" w:hAnsi="Calibri" w:cs="Calibri"/>
          <w:bCs/>
          <w:sz w:val="24"/>
        </w:rPr>
        <w:t xml:space="preserve"> </w:t>
      </w:r>
      <w:r w:rsidR="00E544F9" w:rsidRPr="00076861">
        <w:rPr>
          <w:rFonts w:ascii="Calibri" w:hAnsi="Calibri" w:cs="Calibri"/>
          <w:bCs/>
          <w:sz w:val="24"/>
        </w:rPr>
        <w:t>p</w:t>
      </w:r>
      <w:r w:rsidRPr="00076861">
        <w:rPr>
          <w:rFonts w:ascii="Calibri" w:hAnsi="Calibri" w:cs="Calibri"/>
          <w:bCs/>
          <w:sz w:val="24"/>
        </w:rPr>
        <w:t xml:space="preserve">řípadně částce převáděné z důchodového systému EU do ČR. </w:t>
      </w:r>
      <w:r w:rsidR="0042779F" w:rsidRPr="00076861">
        <w:rPr>
          <w:rFonts w:ascii="Calibri" w:hAnsi="Calibri" w:cs="Calibri"/>
          <w:bCs/>
          <w:sz w:val="24"/>
        </w:rPr>
        <w:t xml:space="preserve">Důchodová práva převáděná do důchodového systému Evropské unie </w:t>
      </w:r>
      <w:r w:rsidR="00E82CBE" w:rsidRPr="00076861">
        <w:rPr>
          <w:rFonts w:ascii="Calibri" w:hAnsi="Calibri" w:cs="Calibri"/>
          <w:bCs/>
          <w:sz w:val="24"/>
        </w:rPr>
        <w:t xml:space="preserve">zobrazila </w:t>
      </w:r>
      <w:r w:rsidR="0042779F" w:rsidRPr="00076861">
        <w:rPr>
          <w:rFonts w:ascii="Calibri" w:hAnsi="Calibri" w:cs="Calibri"/>
          <w:bCs/>
          <w:sz w:val="24"/>
        </w:rPr>
        <w:t>ČSSZ ve svém účetnictví v roce 2014 jako předpis a výplatu starobního důchodu</w:t>
      </w:r>
      <w:r w:rsidR="00402EBB" w:rsidRPr="00076861">
        <w:rPr>
          <w:rFonts w:ascii="Calibri" w:hAnsi="Calibri" w:cs="Calibri"/>
          <w:bCs/>
          <w:sz w:val="24"/>
        </w:rPr>
        <w:t xml:space="preserve">. </w:t>
      </w:r>
      <w:r w:rsidR="0042779F" w:rsidRPr="00076861">
        <w:rPr>
          <w:rFonts w:ascii="Calibri" w:hAnsi="Calibri" w:cs="Calibri"/>
          <w:bCs/>
          <w:sz w:val="24"/>
        </w:rPr>
        <w:t>O výnosu z převodu důchodových práv</w:t>
      </w:r>
      <w:r w:rsidRPr="00076861">
        <w:rPr>
          <w:rFonts w:ascii="Calibri" w:hAnsi="Calibri" w:cs="Calibri"/>
          <w:bCs/>
          <w:sz w:val="24"/>
        </w:rPr>
        <w:t xml:space="preserve"> z EU </w:t>
      </w:r>
      <w:r w:rsidR="0042779F" w:rsidRPr="00076861">
        <w:rPr>
          <w:rFonts w:ascii="Calibri" w:hAnsi="Calibri" w:cs="Calibri"/>
          <w:bCs/>
          <w:sz w:val="24"/>
        </w:rPr>
        <w:t>do systému českého důchodového pojištění ČSSZ v kontrolovaném období účtovala obdobně jako o</w:t>
      </w:r>
      <w:r w:rsidR="00E82CBE">
        <w:rPr>
          <w:rFonts w:ascii="Calibri" w:hAnsi="Calibri" w:cs="Calibri"/>
          <w:bCs/>
          <w:sz w:val="24"/>
        </w:rPr>
        <w:t> </w:t>
      </w:r>
      <w:r w:rsidR="0042779F" w:rsidRPr="00076861">
        <w:rPr>
          <w:rFonts w:ascii="Calibri" w:hAnsi="Calibri" w:cs="Calibri"/>
          <w:bCs/>
          <w:sz w:val="24"/>
        </w:rPr>
        <w:t>příjmu vratky dávky důchodového pojištění</w:t>
      </w:r>
      <w:r w:rsidR="0042779F" w:rsidRPr="00076861">
        <w:rPr>
          <w:rFonts w:ascii="Calibri" w:hAnsi="Calibri" w:cs="Calibri"/>
          <w:bCs/>
          <w:i/>
          <w:sz w:val="24"/>
        </w:rPr>
        <w:t xml:space="preserve">. </w:t>
      </w:r>
      <w:r w:rsidR="00402EBB" w:rsidRPr="00076861">
        <w:rPr>
          <w:rFonts w:ascii="Calibri" w:hAnsi="Calibri" w:cs="Calibri"/>
          <w:bCs/>
          <w:sz w:val="24"/>
        </w:rPr>
        <w:t xml:space="preserve">Přípis </w:t>
      </w:r>
      <w:r w:rsidR="0042779F" w:rsidRPr="00076861">
        <w:rPr>
          <w:rFonts w:ascii="Calibri" w:hAnsi="Calibri" w:cs="Calibri"/>
          <w:bCs/>
          <w:sz w:val="24"/>
        </w:rPr>
        <w:t xml:space="preserve">tohoto pojistně matematického ekvivalentu ČSSZ zatřídila pod rozpočtovou položku </w:t>
      </w:r>
      <w:r w:rsidR="0042779F" w:rsidRPr="007B0D22">
        <w:rPr>
          <w:rFonts w:ascii="Calibri" w:hAnsi="Calibri" w:cs="Calibri"/>
          <w:bCs/>
          <w:sz w:val="24"/>
        </w:rPr>
        <w:t xml:space="preserve">2229 – </w:t>
      </w:r>
      <w:r w:rsidR="0042779F" w:rsidRPr="00076861">
        <w:rPr>
          <w:rFonts w:ascii="Calibri" w:hAnsi="Calibri" w:cs="Calibri"/>
          <w:bCs/>
          <w:i/>
          <w:sz w:val="24"/>
        </w:rPr>
        <w:t>Ostatní přijaté vratky transferů</w:t>
      </w:r>
      <w:r w:rsidR="0042779F" w:rsidRPr="007B0D22">
        <w:rPr>
          <w:rFonts w:ascii="Calibri" w:hAnsi="Calibri" w:cs="Calibri"/>
          <w:bCs/>
          <w:sz w:val="24"/>
        </w:rPr>
        <w:t>.</w:t>
      </w:r>
      <w:r w:rsidR="0042779F" w:rsidRPr="00076861">
        <w:rPr>
          <w:rFonts w:ascii="Calibri" w:hAnsi="Calibri" w:cs="Calibri"/>
          <w:bCs/>
          <w:sz w:val="24"/>
        </w:rPr>
        <w:t xml:space="preserve">   </w:t>
      </w:r>
    </w:p>
    <w:p w:rsidR="0042779F" w:rsidRPr="00076861" w:rsidRDefault="0042779F" w:rsidP="00076861">
      <w:pPr>
        <w:spacing w:line="264" w:lineRule="auto"/>
        <w:ind w:firstLine="0"/>
        <w:rPr>
          <w:rFonts w:ascii="Calibri" w:hAnsi="Calibri" w:cs="Calibri"/>
          <w:bCs/>
          <w:sz w:val="24"/>
        </w:rPr>
      </w:pPr>
    </w:p>
    <w:p w:rsidR="0042779F" w:rsidRPr="00076861" w:rsidRDefault="0042779F" w:rsidP="00076861">
      <w:pPr>
        <w:spacing w:line="264" w:lineRule="auto"/>
        <w:ind w:firstLine="0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 xml:space="preserve">Současná </w:t>
      </w:r>
      <w:r w:rsidR="00D156A5" w:rsidRPr="00076861">
        <w:rPr>
          <w:rFonts w:ascii="Calibri" w:hAnsi="Calibri" w:cs="Calibri"/>
          <w:bCs/>
          <w:sz w:val="24"/>
        </w:rPr>
        <w:t>právní úprava</w:t>
      </w:r>
      <w:r w:rsidRPr="00076861">
        <w:rPr>
          <w:rFonts w:ascii="Calibri" w:hAnsi="Calibri" w:cs="Calibri"/>
          <w:bCs/>
          <w:sz w:val="24"/>
        </w:rPr>
        <w:t xml:space="preserve"> neumožňuje odlišení a samostatné vykázání</w:t>
      </w:r>
      <w:r w:rsidR="00C957B8">
        <w:rPr>
          <w:rFonts w:ascii="Calibri" w:hAnsi="Calibri" w:cs="Calibri"/>
          <w:bCs/>
          <w:sz w:val="24"/>
        </w:rPr>
        <w:t>:</w:t>
      </w:r>
      <w:r w:rsidRPr="00076861">
        <w:rPr>
          <w:rFonts w:ascii="Calibri" w:hAnsi="Calibri" w:cs="Calibri"/>
          <w:bCs/>
          <w:sz w:val="24"/>
        </w:rPr>
        <w:t xml:space="preserve"> </w:t>
      </w:r>
    </w:p>
    <w:p w:rsidR="0042779F" w:rsidRPr="00076861" w:rsidRDefault="0042779F" w:rsidP="00076861">
      <w:pPr>
        <w:pStyle w:val="Odstavecseseznamem"/>
        <w:numPr>
          <w:ilvl w:val="0"/>
          <w:numId w:val="11"/>
        </w:numPr>
        <w:spacing w:line="264" w:lineRule="auto"/>
        <w:ind w:left="284" w:hanging="284"/>
        <w:contextualSpacing w:val="0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>převedených důchodových práv ze systému důchodového pojištění v ČR do důchodového systém EU (na straně výdajů),</w:t>
      </w:r>
    </w:p>
    <w:p w:rsidR="0042779F" w:rsidRPr="00076861" w:rsidRDefault="0042779F" w:rsidP="00076861">
      <w:pPr>
        <w:pStyle w:val="Odstavecseseznamem"/>
        <w:numPr>
          <w:ilvl w:val="0"/>
          <w:numId w:val="11"/>
        </w:numPr>
        <w:spacing w:line="264" w:lineRule="auto"/>
        <w:ind w:left="284" w:hanging="284"/>
        <w:contextualSpacing w:val="0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 xml:space="preserve">připsaných důchodových práv z důchodového systému EU do systému českého důchodového pojištění (na straně příjmů). </w:t>
      </w:r>
    </w:p>
    <w:p w:rsidR="00076861" w:rsidRDefault="00076861" w:rsidP="00076861">
      <w:pPr>
        <w:spacing w:line="264" w:lineRule="auto"/>
        <w:ind w:firstLine="0"/>
        <w:rPr>
          <w:rFonts w:ascii="Calibri" w:hAnsi="Calibri" w:cs="Calibri"/>
          <w:bCs/>
          <w:sz w:val="24"/>
        </w:rPr>
      </w:pPr>
    </w:p>
    <w:p w:rsidR="0042779F" w:rsidRPr="00076861" w:rsidRDefault="00B956A0" w:rsidP="00076861">
      <w:pPr>
        <w:spacing w:line="264" w:lineRule="auto"/>
        <w:ind w:firstLine="0"/>
        <w:rPr>
          <w:rFonts w:ascii="Calibri" w:hAnsi="Calibri" w:cs="Calibri"/>
          <w:bCs/>
          <w:sz w:val="24"/>
        </w:rPr>
      </w:pPr>
      <w:r w:rsidRPr="00076861">
        <w:rPr>
          <w:rFonts w:ascii="Calibri" w:hAnsi="Calibri" w:cs="Calibri"/>
          <w:bCs/>
          <w:sz w:val="24"/>
        </w:rPr>
        <w:t>Dle názoru NKÚ by v</w:t>
      </w:r>
      <w:r w:rsidR="0042779F" w:rsidRPr="00076861">
        <w:rPr>
          <w:rFonts w:ascii="Calibri" w:hAnsi="Calibri" w:cs="Calibri"/>
          <w:bCs/>
          <w:sz w:val="24"/>
        </w:rPr>
        <w:t>ýše popsaná skutečnost</w:t>
      </w:r>
      <w:r w:rsidR="008A46E6" w:rsidRPr="00076861">
        <w:rPr>
          <w:rFonts w:ascii="Calibri" w:hAnsi="Calibri" w:cs="Calibri"/>
          <w:bCs/>
          <w:sz w:val="24"/>
        </w:rPr>
        <w:t xml:space="preserve"> měla být</w:t>
      </w:r>
      <w:r w:rsidR="0042779F" w:rsidRPr="00076861">
        <w:rPr>
          <w:rFonts w:ascii="Calibri" w:hAnsi="Calibri" w:cs="Calibri"/>
          <w:bCs/>
          <w:sz w:val="24"/>
        </w:rPr>
        <w:t xml:space="preserve"> zohledněna a upravena v právních předpisech tak, aby pojistně</w:t>
      </w:r>
      <w:r w:rsidR="000930EA">
        <w:rPr>
          <w:rFonts w:ascii="Calibri" w:hAnsi="Calibri" w:cs="Calibri"/>
          <w:bCs/>
          <w:sz w:val="24"/>
        </w:rPr>
        <w:t xml:space="preserve"> </w:t>
      </w:r>
      <w:r w:rsidR="0042779F" w:rsidRPr="00076861">
        <w:rPr>
          <w:rFonts w:ascii="Calibri" w:hAnsi="Calibri" w:cs="Calibri"/>
          <w:bCs/>
          <w:sz w:val="24"/>
        </w:rPr>
        <w:t xml:space="preserve">matematické ekvivalenty mohly být zobrazovány a vykazovány na samostatných výdajových a příjmových rozpočtových položkách, a to i s ohledem na skutečnost, že lze do budoucna předpokládat jejich rostoucí trend. </w:t>
      </w:r>
    </w:p>
    <w:p w:rsidR="0042779F" w:rsidRPr="00076861" w:rsidRDefault="0042779F" w:rsidP="00076861">
      <w:pPr>
        <w:spacing w:line="264" w:lineRule="auto"/>
        <w:ind w:firstLine="0"/>
        <w:rPr>
          <w:rFonts w:ascii="Calibri" w:hAnsi="Calibri" w:cs="Calibri"/>
          <w:b/>
          <w:sz w:val="24"/>
        </w:rPr>
      </w:pPr>
    </w:p>
    <w:p w:rsidR="00E441C1" w:rsidRPr="00076861" w:rsidRDefault="00E441C1" w:rsidP="00076861">
      <w:pPr>
        <w:pStyle w:val="Nadpis2"/>
        <w:numPr>
          <w:ilvl w:val="0"/>
          <w:numId w:val="34"/>
        </w:numPr>
        <w:spacing w:line="264" w:lineRule="auto"/>
        <w:ind w:left="284" w:hanging="284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Přehled o změnách </w:t>
      </w:r>
      <w:r w:rsidR="004B6CFF" w:rsidRPr="00076861">
        <w:rPr>
          <w:rFonts w:ascii="Calibri" w:hAnsi="Calibri" w:cs="Calibri"/>
          <w:sz w:val="24"/>
        </w:rPr>
        <w:t>vlastního kapitálu</w:t>
      </w:r>
    </w:p>
    <w:p w:rsidR="008A46E6" w:rsidRPr="00076861" w:rsidRDefault="008A46E6" w:rsidP="00076861">
      <w:pPr>
        <w:spacing w:line="264" w:lineRule="auto"/>
        <w:ind w:firstLine="0"/>
        <w:rPr>
          <w:rFonts w:ascii="Calibri" w:hAnsi="Calibri" w:cs="Calibri"/>
          <w:b/>
          <w:sz w:val="24"/>
        </w:rPr>
      </w:pPr>
    </w:p>
    <w:p w:rsidR="008A46E6" w:rsidRPr="00076861" w:rsidRDefault="008A46E6" w:rsidP="00076861">
      <w:pPr>
        <w:pStyle w:val="Default"/>
        <w:spacing w:line="264" w:lineRule="auto"/>
        <w:jc w:val="both"/>
        <w:rPr>
          <w:rFonts w:ascii="Calibri" w:hAnsi="Calibri" w:cs="Calibri"/>
          <w:bCs/>
        </w:rPr>
      </w:pPr>
      <w:r w:rsidRPr="00076861">
        <w:rPr>
          <w:rFonts w:ascii="Calibri" w:hAnsi="Calibri" w:cs="Calibri"/>
        </w:rPr>
        <w:t xml:space="preserve">Z ustanovení § 44 odst. 11 vyhlášky č. 410/2009 Sb. nelze jednoznačně vyvodit, jakým konkrétním způsobem má účetní jednotka postupovat při naplňování údajů položek </w:t>
      </w:r>
      <w:r w:rsidR="000C1D0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B.</w:t>
      </w:r>
      <w:r w:rsidR="000C1D0E">
        <w:rPr>
          <w:rFonts w:ascii="Calibri" w:hAnsi="Calibri" w:cs="Calibri"/>
        </w:rPr>
        <w:t>“</w:t>
      </w:r>
      <w:r w:rsidRPr="00076861">
        <w:rPr>
          <w:rFonts w:ascii="Calibri" w:hAnsi="Calibri" w:cs="Calibri"/>
        </w:rPr>
        <w:t xml:space="preserve">, </w:t>
      </w:r>
      <w:r w:rsidR="000C1D0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C.</w:t>
      </w:r>
      <w:r w:rsidR="000C1D0E">
        <w:rPr>
          <w:rFonts w:ascii="Calibri" w:hAnsi="Calibri" w:cs="Calibri"/>
        </w:rPr>
        <w:t>“</w:t>
      </w:r>
      <w:r w:rsidRPr="00076861">
        <w:rPr>
          <w:rFonts w:ascii="Calibri" w:hAnsi="Calibri" w:cs="Calibri"/>
        </w:rPr>
        <w:t xml:space="preserve"> a</w:t>
      </w:r>
      <w:r w:rsidR="003000D7" w:rsidRPr="00076861">
        <w:rPr>
          <w:rFonts w:ascii="Calibri" w:hAnsi="Calibri" w:cs="Calibri"/>
        </w:rPr>
        <w:t> </w:t>
      </w:r>
      <w:r w:rsidR="000C1D0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D.</w:t>
      </w:r>
      <w:r w:rsidR="000C1D0E">
        <w:rPr>
          <w:rFonts w:ascii="Calibri" w:hAnsi="Calibri" w:cs="Calibri"/>
        </w:rPr>
        <w:t>“</w:t>
      </w:r>
      <w:r w:rsidR="006A3B16" w:rsidRPr="00076861">
        <w:rPr>
          <w:rFonts w:ascii="Calibri" w:hAnsi="Calibri" w:cs="Calibri"/>
        </w:rPr>
        <w:t xml:space="preserve"> </w:t>
      </w:r>
      <w:r w:rsidR="00C957B8">
        <w:rPr>
          <w:rFonts w:ascii="Calibri" w:hAnsi="Calibri" w:cs="Calibri"/>
        </w:rPr>
        <w:t>p</w:t>
      </w:r>
      <w:r w:rsidR="006A3B16" w:rsidRPr="00076861">
        <w:rPr>
          <w:rFonts w:ascii="Calibri" w:hAnsi="Calibri" w:cs="Calibri"/>
        </w:rPr>
        <w:t>řehledu o změnách vlastního kapitálu</w:t>
      </w:r>
      <w:r w:rsidRPr="00076861">
        <w:rPr>
          <w:rFonts w:ascii="Calibri" w:hAnsi="Calibri" w:cs="Calibri"/>
        </w:rPr>
        <w:t xml:space="preserve"> týkajících se „</w:t>
      </w:r>
      <w:r w:rsidR="00C957B8">
        <w:rPr>
          <w:rFonts w:ascii="Calibri" w:hAnsi="Calibri" w:cs="Calibri"/>
        </w:rPr>
        <w:t>z</w:t>
      </w:r>
      <w:r w:rsidRPr="00076861">
        <w:rPr>
          <w:rFonts w:ascii="Calibri" w:hAnsi="Calibri" w:cs="Calibri"/>
        </w:rPr>
        <w:t>výšení stavu“ a „</w:t>
      </w:r>
      <w:r w:rsidR="00C957B8">
        <w:rPr>
          <w:rFonts w:ascii="Calibri" w:hAnsi="Calibri" w:cs="Calibri"/>
        </w:rPr>
        <w:t>s</w:t>
      </w:r>
      <w:r w:rsidRPr="00076861">
        <w:rPr>
          <w:rFonts w:ascii="Calibri" w:hAnsi="Calibri" w:cs="Calibri"/>
        </w:rPr>
        <w:t>nížení stavu“, zda mají být u uvedených položek naplněny oba sloupce, tj. jak „</w:t>
      </w:r>
      <w:r w:rsidR="00C957B8">
        <w:rPr>
          <w:rFonts w:ascii="Calibri" w:hAnsi="Calibri" w:cs="Calibri"/>
        </w:rPr>
        <w:t>z</w:t>
      </w:r>
      <w:r w:rsidRPr="00076861">
        <w:rPr>
          <w:rFonts w:ascii="Calibri" w:hAnsi="Calibri" w:cs="Calibri"/>
        </w:rPr>
        <w:t>výšení stavu“, tak „</w:t>
      </w:r>
      <w:r w:rsidR="00C957B8">
        <w:rPr>
          <w:rFonts w:ascii="Calibri" w:hAnsi="Calibri" w:cs="Calibri"/>
        </w:rPr>
        <w:t>s</w:t>
      </w:r>
      <w:r w:rsidRPr="00076861">
        <w:rPr>
          <w:rFonts w:ascii="Calibri" w:hAnsi="Calibri" w:cs="Calibri"/>
        </w:rPr>
        <w:t xml:space="preserve">nížení stavu“, či zda má být uveden jen rozdíl mezi uvedenými sloupci, tj. jeden údaj (celkové snížení či celkové zvýšení stavu). ČSSZ v </w:t>
      </w:r>
      <w:r w:rsidR="00C957B8">
        <w:rPr>
          <w:rFonts w:ascii="Calibri" w:hAnsi="Calibri" w:cs="Calibri"/>
        </w:rPr>
        <w:t>p</w:t>
      </w:r>
      <w:r w:rsidRPr="00076861">
        <w:rPr>
          <w:rFonts w:ascii="Calibri" w:hAnsi="Calibri" w:cs="Calibri"/>
        </w:rPr>
        <w:t>řehledu o změnách vlastního kapitálu</w:t>
      </w:r>
      <w:r w:rsidR="00362816">
        <w:rPr>
          <w:rFonts w:ascii="Calibri" w:hAnsi="Calibri" w:cs="Calibri"/>
        </w:rPr>
        <w:t xml:space="preserve"> </w:t>
      </w:r>
      <w:r w:rsidR="0077418B">
        <w:rPr>
          <w:rFonts w:ascii="Calibri" w:hAnsi="Calibri" w:cs="Calibri"/>
        </w:rPr>
        <w:br/>
      </w:r>
      <w:r w:rsidRPr="00076861">
        <w:rPr>
          <w:rFonts w:ascii="Calibri" w:hAnsi="Calibri" w:cs="Calibri"/>
        </w:rPr>
        <w:t>k</w:t>
      </w:r>
      <w:r w:rsidR="00C957B8">
        <w:rPr>
          <w:rFonts w:ascii="Calibri" w:hAnsi="Calibri" w:cs="Calibri"/>
        </w:rPr>
        <w:t> </w:t>
      </w:r>
      <w:r w:rsidRPr="00076861">
        <w:rPr>
          <w:rFonts w:ascii="Calibri" w:hAnsi="Calibri" w:cs="Calibri"/>
        </w:rPr>
        <w:t xml:space="preserve">31. 12. 2014 zvolila variantu naplňování položek </w:t>
      </w:r>
      <w:r w:rsidR="00E82CB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B.</w:t>
      </w:r>
      <w:r w:rsidR="00E82CBE">
        <w:rPr>
          <w:rFonts w:ascii="Calibri" w:hAnsi="Calibri" w:cs="Calibri"/>
        </w:rPr>
        <w:t>“</w:t>
      </w:r>
      <w:r w:rsidRPr="00076861">
        <w:rPr>
          <w:rFonts w:ascii="Calibri" w:hAnsi="Calibri" w:cs="Calibri"/>
        </w:rPr>
        <w:t xml:space="preserve">, </w:t>
      </w:r>
      <w:r w:rsidR="00E82CB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C.</w:t>
      </w:r>
      <w:r w:rsidR="00E82CBE">
        <w:rPr>
          <w:rFonts w:ascii="Calibri" w:hAnsi="Calibri" w:cs="Calibri"/>
        </w:rPr>
        <w:t>“</w:t>
      </w:r>
      <w:r w:rsidRPr="00076861">
        <w:rPr>
          <w:rFonts w:ascii="Calibri" w:hAnsi="Calibri" w:cs="Calibri"/>
        </w:rPr>
        <w:t xml:space="preserve"> a </w:t>
      </w:r>
      <w:r w:rsidR="00E82CB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D.</w:t>
      </w:r>
      <w:r w:rsidR="00E82CBE">
        <w:rPr>
          <w:rFonts w:ascii="Calibri" w:hAnsi="Calibri" w:cs="Calibri"/>
        </w:rPr>
        <w:t>“</w:t>
      </w:r>
      <w:r w:rsidRPr="00076861">
        <w:rPr>
          <w:rFonts w:ascii="Calibri" w:hAnsi="Calibri" w:cs="Calibri"/>
        </w:rPr>
        <w:t xml:space="preserve"> jak ve sloupci „</w:t>
      </w:r>
      <w:r w:rsidR="00C957B8">
        <w:rPr>
          <w:rFonts w:ascii="Calibri" w:hAnsi="Calibri" w:cs="Calibri"/>
        </w:rPr>
        <w:t>z</w:t>
      </w:r>
      <w:r w:rsidRPr="00076861">
        <w:rPr>
          <w:rFonts w:ascii="Calibri" w:hAnsi="Calibri" w:cs="Calibri"/>
        </w:rPr>
        <w:t>výšení stavu“, tak ve sloupci „</w:t>
      </w:r>
      <w:r w:rsidR="00C957B8">
        <w:rPr>
          <w:rFonts w:ascii="Calibri" w:hAnsi="Calibri" w:cs="Calibri"/>
        </w:rPr>
        <w:t>s</w:t>
      </w:r>
      <w:r w:rsidRPr="00076861">
        <w:rPr>
          <w:rFonts w:ascii="Calibri" w:hAnsi="Calibri" w:cs="Calibri"/>
        </w:rPr>
        <w:t>nížení stavu“. Nejasnost aplikace § 44 odst. 11 vyhlášky č.</w:t>
      </w:r>
      <w:r w:rsidR="00E82CBE">
        <w:rPr>
          <w:rFonts w:ascii="Calibri" w:hAnsi="Calibri" w:cs="Calibri"/>
        </w:rPr>
        <w:t> </w:t>
      </w:r>
      <w:r w:rsidRPr="00076861">
        <w:rPr>
          <w:rFonts w:ascii="Calibri" w:hAnsi="Calibri" w:cs="Calibri"/>
        </w:rPr>
        <w:t>410/2009</w:t>
      </w:r>
      <w:r w:rsidR="00E82CBE">
        <w:rPr>
          <w:rFonts w:ascii="Calibri" w:hAnsi="Calibri" w:cs="Calibri"/>
        </w:rPr>
        <w:t> </w:t>
      </w:r>
      <w:r w:rsidRPr="00076861">
        <w:rPr>
          <w:rFonts w:ascii="Calibri" w:hAnsi="Calibri" w:cs="Calibri"/>
        </w:rPr>
        <w:t>Sb., fakticky vedoucí k</w:t>
      </w:r>
      <w:r w:rsidR="003000D7" w:rsidRPr="00076861">
        <w:rPr>
          <w:rFonts w:ascii="Calibri" w:hAnsi="Calibri" w:cs="Calibri"/>
        </w:rPr>
        <w:t> </w:t>
      </w:r>
      <w:r w:rsidRPr="00076861">
        <w:rPr>
          <w:rFonts w:ascii="Calibri" w:hAnsi="Calibri" w:cs="Calibri"/>
        </w:rPr>
        <w:t>možnému používání různých způsobů pro naplnění údajů o „</w:t>
      </w:r>
      <w:r w:rsidR="00C957B8">
        <w:rPr>
          <w:rFonts w:ascii="Calibri" w:hAnsi="Calibri" w:cs="Calibri"/>
        </w:rPr>
        <w:t>z</w:t>
      </w:r>
      <w:r w:rsidRPr="00076861">
        <w:rPr>
          <w:rFonts w:ascii="Calibri" w:hAnsi="Calibri" w:cs="Calibri"/>
        </w:rPr>
        <w:t>výšení stavu“ a „</w:t>
      </w:r>
      <w:r w:rsidR="00C957B8">
        <w:rPr>
          <w:rFonts w:ascii="Calibri" w:hAnsi="Calibri" w:cs="Calibri"/>
        </w:rPr>
        <w:t>s</w:t>
      </w:r>
      <w:r w:rsidRPr="00076861">
        <w:rPr>
          <w:rFonts w:ascii="Calibri" w:hAnsi="Calibri" w:cs="Calibri"/>
        </w:rPr>
        <w:t xml:space="preserve">nížení stavu“ položek </w:t>
      </w:r>
      <w:r w:rsidR="00E82CB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B.</w:t>
      </w:r>
      <w:r w:rsidR="00E82CBE">
        <w:rPr>
          <w:rFonts w:ascii="Calibri" w:hAnsi="Calibri" w:cs="Calibri"/>
        </w:rPr>
        <w:t>“</w:t>
      </w:r>
      <w:r w:rsidRPr="00076861">
        <w:rPr>
          <w:rFonts w:ascii="Calibri" w:hAnsi="Calibri" w:cs="Calibri"/>
        </w:rPr>
        <w:t xml:space="preserve">, </w:t>
      </w:r>
      <w:r w:rsidR="00E82CB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C.</w:t>
      </w:r>
      <w:r w:rsidR="00E82CBE">
        <w:rPr>
          <w:rFonts w:ascii="Calibri" w:hAnsi="Calibri" w:cs="Calibri"/>
        </w:rPr>
        <w:t>“</w:t>
      </w:r>
      <w:r w:rsidRPr="00076861">
        <w:rPr>
          <w:rFonts w:ascii="Calibri" w:hAnsi="Calibri" w:cs="Calibri"/>
        </w:rPr>
        <w:t xml:space="preserve"> a </w:t>
      </w:r>
      <w:r w:rsidR="00E82CBE">
        <w:rPr>
          <w:rFonts w:ascii="Calibri" w:hAnsi="Calibri" w:cs="Calibri"/>
        </w:rPr>
        <w:t>„</w:t>
      </w:r>
      <w:r w:rsidRPr="00076861">
        <w:rPr>
          <w:rFonts w:ascii="Calibri" w:hAnsi="Calibri" w:cs="Calibri"/>
        </w:rPr>
        <w:t>D.</w:t>
      </w:r>
      <w:r w:rsidR="00E82CBE">
        <w:rPr>
          <w:rFonts w:ascii="Calibri" w:hAnsi="Calibri" w:cs="Calibri"/>
        </w:rPr>
        <w:t>“</w:t>
      </w:r>
      <w:r w:rsidRPr="00076861">
        <w:rPr>
          <w:rFonts w:ascii="Calibri" w:hAnsi="Calibri" w:cs="Calibri"/>
        </w:rPr>
        <w:t xml:space="preserve"> přehledu o změnách vlastního kapitálu, způsobuje riziko nesrovnatelnosti údajů a jejich další nepoužitelnosti v rámci vybraných účetních jednotek. </w:t>
      </w:r>
      <w:r w:rsidRPr="00076861">
        <w:rPr>
          <w:rFonts w:ascii="Calibri" w:hAnsi="Calibri" w:cs="Calibri"/>
          <w:bCs/>
        </w:rPr>
        <w:t>Uvedená nejednozna</w:t>
      </w:r>
      <w:r w:rsidR="00E82CBE">
        <w:rPr>
          <w:rFonts w:ascii="Calibri" w:hAnsi="Calibri" w:cs="Calibri"/>
          <w:bCs/>
        </w:rPr>
        <w:t>čnost § 44 odst. 11 vyhlášky č. </w:t>
      </w:r>
      <w:r w:rsidRPr="00076861">
        <w:rPr>
          <w:rFonts w:ascii="Calibri" w:hAnsi="Calibri" w:cs="Calibri"/>
          <w:bCs/>
        </w:rPr>
        <w:t>410/2009</w:t>
      </w:r>
      <w:r w:rsidR="00E82CBE">
        <w:rPr>
          <w:rFonts w:ascii="Calibri" w:hAnsi="Calibri" w:cs="Calibri"/>
          <w:bCs/>
        </w:rPr>
        <w:t> </w:t>
      </w:r>
      <w:r w:rsidRPr="00076861">
        <w:rPr>
          <w:rFonts w:ascii="Calibri" w:hAnsi="Calibri" w:cs="Calibri"/>
          <w:bCs/>
        </w:rPr>
        <w:t>Sb. není dávána k tíži ČSSZ.</w:t>
      </w:r>
    </w:p>
    <w:p w:rsidR="00D50990" w:rsidRPr="00076861" w:rsidRDefault="00D50990" w:rsidP="00076861">
      <w:pPr>
        <w:pStyle w:val="Default"/>
        <w:spacing w:line="264" w:lineRule="auto"/>
        <w:jc w:val="both"/>
        <w:rPr>
          <w:rFonts w:ascii="Calibri" w:hAnsi="Calibri" w:cs="Calibri"/>
          <w:bCs/>
        </w:rPr>
      </w:pPr>
    </w:p>
    <w:p w:rsidR="0089027C" w:rsidRPr="00076861" w:rsidRDefault="00076861" w:rsidP="00076861">
      <w:pPr>
        <w:pStyle w:val="Nadpis1"/>
        <w:numPr>
          <w:ilvl w:val="0"/>
          <w:numId w:val="0"/>
        </w:numPr>
        <w:spacing w:line="264" w:lineRule="auto"/>
        <w:rPr>
          <w:rFonts w:ascii="Calibri" w:hAnsi="Calibri" w:cs="Calibri"/>
          <w:bCs w:val="0"/>
          <w:sz w:val="24"/>
          <w:szCs w:val="24"/>
        </w:rPr>
      </w:pPr>
      <w:bookmarkStart w:id="5" w:name="_Toc321921053"/>
      <w:bookmarkStart w:id="6" w:name="_Toc419366893"/>
      <w:r>
        <w:rPr>
          <w:rFonts w:ascii="Calibri" w:hAnsi="Calibri" w:cs="Calibri"/>
          <w:sz w:val="24"/>
          <w:szCs w:val="24"/>
        </w:rPr>
        <w:lastRenderedPageBreak/>
        <w:t xml:space="preserve">5. </w:t>
      </w:r>
      <w:r w:rsidR="002B446A" w:rsidRPr="00076861">
        <w:rPr>
          <w:rFonts w:ascii="Calibri" w:hAnsi="Calibri" w:cs="Calibri"/>
          <w:sz w:val="24"/>
          <w:szCs w:val="24"/>
        </w:rPr>
        <w:t xml:space="preserve">Přijatá opatření k nápravě </w:t>
      </w:r>
      <w:r w:rsidR="000038E8">
        <w:rPr>
          <w:rFonts w:ascii="Calibri" w:hAnsi="Calibri" w:cs="Calibri"/>
          <w:sz w:val="24"/>
          <w:szCs w:val="24"/>
        </w:rPr>
        <w:t xml:space="preserve">nedostatků zjištěných při </w:t>
      </w:r>
      <w:r w:rsidR="002B446A" w:rsidRPr="00076861">
        <w:rPr>
          <w:rFonts w:ascii="Calibri" w:hAnsi="Calibri" w:cs="Calibri"/>
          <w:sz w:val="24"/>
          <w:szCs w:val="24"/>
        </w:rPr>
        <w:t>předchozí kontrolní akc</w:t>
      </w:r>
      <w:r w:rsidR="000038E8">
        <w:rPr>
          <w:rFonts w:ascii="Calibri" w:hAnsi="Calibri" w:cs="Calibri"/>
          <w:sz w:val="24"/>
          <w:szCs w:val="24"/>
        </w:rPr>
        <w:t>i</w:t>
      </w:r>
      <w:r w:rsidR="002B446A" w:rsidRPr="00076861">
        <w:rPr>
          <w:rFonts w:ascii="Calibri" w:hAnsi="Calibri" w:cs="Calibri"/>
          <w:sz w:val="24"/>
          <w:szCs w:val="24"/>
        </w:rPr>
        <w:t xml:space="preserve"> typu finanční audit </w:t>
      </w:r>
      <w:bookmarkEnd w:id="5"/>
      <w:bookmarkEnd w:id="6"/>
    </w:p>
    <w:p w:rsidR="00E6399F" w:rsidRPr="00076861" w:rsidRDefault="00E6399F" w:rsidP="00076861">
      <w:pPr>
        <w:spacing w:line="264" w:lineRule="auto"/>
        <w:ind w:firstLine="0"/>
        <w:rPr>
          <w:rFonts w:ascii="Calibri" w:hAnsi="Calibri" w:cs="Calibri"/>
          <w:color w:val="000000"/>
          <w:sz w:val="24"/>
        </w:rPr>
      </w:pPr>
    </w:p>
    <w:p w:rsidR="002B446A" w:rsidRPr="00076861" w:rsidRDefault="002B446A" w:rsidP="00076861">
      <w:pPr>
        <w:spacing w:line="264" w:lineRule="auto"/>
        <w:ind w:firstLine="0"/>
        <w:rPr>
          <w:rFonts w:ascii="Calibri" w:hAnsi="Calibri" w:cs="Calibri"/>
          <w:sz w:val="24"/>
        </w:rPr>
      </w:pPr>
      <w:r w:rsidRPr="00076861">
        <w:rPr>
          <w:rFonts w:ascii="Calibri" w:hAnsi="Calibri" w:cs="Calibri"/>
          <w:sz w:val="24"/>
        </w:rPr>
        <w:t xml:space="preserve">ČSSZ k výsledkům kontrolní akce č. 11/26 přijala opatření směřující k nápravě ve většině zjištěných nedostatků uvedených v kontrolním závěru z kontrolní akce č. 11/26. </w:t>
      </w:r>
      <w:r w:rsidR="00E30DD9" w:rsidRPr="00076861">
        <w:rPr>
          <w:rFonts w:ascii="Calibri" w:hAnsi="Calibri" w:cs="Calibri"/>
          <w:sz w:val="24"/>
        </w:rPr>
        <w:t>Neodstraněným</w:t>
      </w:r>
      <w:r w:rsidRPr="00076861">
        <w:rPr>
          <w:rFonts w:ascii="Calibri" w:hAnsi="Calibri" w:cs="Calibri"/>
          <w:sz w:val="24"/>
        </w:rPr>
        <w:t xml:space="preserve"> nedostatkem bylo zobrazení p</w:t>
      </w:r>
      <w:r w:rsidRPr="00076861">
        <w:rPr>
          <w:rFonts w:ascii="Calibri" w:hAnsi="Calibri" w:cs="Calibri"/>
          <w:sz w:val="24"/>
          <w:lang w:eastAsia="cs-CZ"/>
        </w:rPr>
        <w:t>enále z pojistného vůči zaměstnavatelům před pravomocným vyměřením a penále za záloh na pojistné na důchodové pojištění OSVČ před pravomocným vyměřením, přičemž v této oblasti přetrvává jistá neprovázanost prováděcí vyhlášky k zákonu o účetnictví a zákona č. 589/1992 Sb. zmíněná výše.</w:t>
      </w:r>
    </w:p>
    <w:sectPr w:rsidR="002B446A" w:rsidRPr="00076861" w:rsidSect="00076861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D6" w:rsidRDefault="004505D6">
      <w:r>
        <w:separator/>
      </w:r>
    </w:p>
  </w:endnote>
  <w:endnote w:type="continuationSeparator" w:id="0">
    <w:p w:rsidR="004505D6" w:rsidRDefault="0045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41550"/>
      <w:docPartObj>
        <w:docPartGallery w:val="Page Numbers (Bottom of Page)"/>
        <w:docPartUnique/>
      </w:docPartObj>
    </w:sdtPr>
    <w:sdtEndPr/>
    <w:sdtContent>
      <w:p w:rsidR="00A1393A" w:rsidRDefault="00A1393A" w:rsidP="00735A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D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D6" w:rsidRDefault="004505D6">
      <w:r>
        <w:separator/>
      </w:r>
    </w:p>
  </w:footnote>
  <w:footnote w:type="continuationSeparator" w:id="0">
    <w:p w:rsidR="004505D6" w:rsidRDefault="004505D6">
      <w:r>
        <w:continuationSeparator/>
      </w:r>
    </w:p>
  </w:footnote>
  <w:footnote w:id="1">
    <w:p w:rsidR="00E6399F" w:rsidRPr="003000D7" w:rsidRDefault="00E6399F" w:rsidP="003000D7">
      <w:pPr>
        <w:pStyle w:val="Textpoznpodarou"/>
        <w:ind w:left="284" w:hanging="284"/>
        <w:rPr>
          <w:rFonts w:asciiTheme="minorHAnsi" w:hAnsiTheme="minorHAnsi" w:cstheme="minorHAnsi"/>
        </w:rPr>
      </w:pPr>
      <w:r w:rsidRPr="003000D7">
        <w:rPr>
          <w:rStyle w:val="Znakapoznpodarou"/>
          <w:rFonts w:asciiTheme="minorHAnsi" w:hAnsiTheme="minorHAnsi" w:cstheme="minorHAnsi"/>
        </w:rPr>
        <w:footnoteRef/>
      </w:r>
      <w:r w:rsidR="003000D7" w:rsidRPr="003000D7">
        <w:rPr>
          <w:rFonts w:asciiTheme="minorHAnsi" w:hAnsiTheme="minorHAnsi" w:cstheme="minorHAnsi"/>
        </w:rPr>
        <w:tab/>
      </w:r>
      <w:r w:rsidRPr="003000D7">
        <w:rPr>
          <w:rFonts w:asciiTheme="minorHAnsi" w:hAnsiTheme="minorHAnsi" w:cstheme="minorHAnsi"/>
        </w:rPr>
        <w:t>Hladina významnosti byla pro účetní závěrku stanovena v souladu s dlouhodobě uplatňovaným postupem NKÚ pro posuzování spolehlivosti účetních závěrek OSS vycházející</w:t>
      </w:r>
      <w:r w:rsidR="008673A7">
        <w:rPr>
          <w:rFonts w:asciiTheme="minorHAnsi" w:hAnsiTheme="minorHAnsi" w:cstheme="minorHAnsi"/>
        </w:rPr>
        <w:t>m</w:t>
      </w:r>
      <w:r w:rsidRPr="003000D7">
        <w:rPr>
          <w:rFonts w:asciiTheme="minorHAnsi" w:hAnsiTheme="minorHAnsi" w:cstheme="minorHAnsi"/>
        </w:rPr>
        <w:t xml:space="preserve"> z mezinárodní uznávané nejlepší praxe, a</w:t>
      </w:r>
      <w:r w:rsidR="003000D7">
        <w:rPr>
          <w:rFonts w:asciiTheme="minorHAnsi" w:hAnsiTheme="minorHAnsi" w:cstheme="minorHAnsi"/>
        </w:rPr>
        <w:t> </w:t>
      </w:r>
      <w:r w:rsidRPr="003000D7">
        <w:rPr>
          <w:rFonts w:asciiTheme="minorHAnsi" w:hAnsiTheme="minorHAnsi" w:cstheme="minorHAnsi"/>
        </w:rPr>
        <w:t xml:space="preserve">to na úrovni </w:t>
      </w:r>
      <w:r w:rsidR="00C969FA" w:rsidRPr="003000D7">
        <w:rPr>
          <w:rFonts w:asciiTheme="minorHAnsi" w:hAnsiTheme="minorHAnsi" w:cstheme="minorHAnsi"/>
        </w:rPr>
        <w:t>0,5</w:t>
      </w:r>
      <w:r w:rsidRPr="003000D7">
        <w:rPr>
          <w:rFonts w:asciiTheme="minorHAnsi" w:hAnsiTheme="minorHAnsi" w:cstheme="minorHAnsi"/>
        </w:rPr>
        <w:t xml:space="preserve"> % z celkových nákladů ČSSZ k 31. prosinci 2014. </w:t>
      </w:r>
    </w:p>
  </w:footnote>
  <w:footnote w:id="2">
    <w:p w:rsidR="009A02AB" w:rsidRPr="003000D7" w:rsidRDefault="009A02AB" w:rsidP="003000D7">
      <w:pPr>
        <w:pStyle w:val="Textpoznpodarou"/>
        <w:ind w:left="284" w:hanging="284"/>
        <w:rPr>
          <w:rFonts w:asciiTheme="minorHAnsi" w:hAnsiTheme="minorHAnsi" w:cstheme="minorHAnsi"/>
        </w:rPr>
      </w:pPr>
      <w:r w:rsidRPr="003000D7">
        <w:rPr>
          <w:rStyle w:val="Znakapoznpodarou"/>
          <w:rFonts w:asciiTheme="minorHAnsi" w:hAnsiTheme="minorHAnsi" w:cstheme="minorHAnsi"/>
        </w:rPr>
        <w:footnoteRef/>
      </w:r>
      <w:r w:rsidR="003000D7" w:rsidRPr="003000D7">
        <w:rPr>
          <w:rFonts w:asciiTheme="minorHAnsi" w:hAnsiTheme="minorHAnsi" w:cstheme="minorHAnsi"/>
        </w:rPr>
        <w:tab/>
      </w:r>
      <w:r w:rsidRPr="003000D7">
        <w:rPr>
          <w:rFonts w:asciiTheme="minorHAnsi" w:hAnsiTheme="minorHAnsi" w:cstheme="minorHAnsi"/>
        </w:rPr>
        <w:t xml:space="preserve">Zákon </w:t>
      </w:r>
      <w:r w:rsidR="006F530D" w:rsidRPr="006F530D">
        <w:rPr>
          <w:rFonts w:asciiTheme="minorHAnsi" w:hAnsiTheme="minorHAnsi" w:cstheme="minorHAnsi"/>
        </w:rPr>
        <w:t>č. 589/1992</w:t>
      </w:r>
      <w:r w:rsidR="006F530D">
        <w:rPr>
          <w:rFonts w:asciiTheme="minorHAnsi" w:hAnsiTheme="minorHAnsi" w:cstheme="minorHAnsi"/>
        </w:rPr>
        <w:t xml:space="preserve"> Sb., </w:t>
      </w:r>
      <w:r w:rsidRPr="003000D7">
        <w:rPr>
          <w:rFonts w:asciiTheme="minorHAnsi" w:hAnsiTheme="minorHAnsi" w:cstheme="minorHAnsi"/>
        </w:rPr>
        <w:t>o pojistném na sociá</w:t>
      </w:r>
      <w:r w:rsidR="00F075C4" w:rsidRPr="003000D7">
        <w:rPr>
          <w:rFonts w:asciiTheme="minorHAnsi" w:hAnsiTheme="minorHAnsi" w:cstheme="minorHAnsi"/>
        </w:rPr>
        <w:t>l</w:t>
      </w:r>
      <w:r w:rsidRPr="003000D7">
        <w:rPr>
          <w:rFonts w:asciiTheme="minorHAnsi" w:hAnsiTheme="minorHAnsi" w:cstheme="minorHAnsi"/>
        </w:rPr>
        <w:t>ní zabezpečení</w:t>
      </w:r>
      <w:r w:rsidR="007D1959">
        <w:rPr>
          <w:rFonts w:asciiTheme="minorHAnsi" w:hAnsiTheme="minorHAnsi" w:cstheme="minorHAnsi"/>
        </w:rPr>
        <w:t>.</w:t>
      </w:r>
    </w:p>
  </w:footnote>
  <w:footnote w:id="3">
    <w:p w:rsidR="009A02AB" w:rsidRPr="003000D7" w:rsidRDefault="009A02AB" w:rsidP="003000D7">
      <w:pPr>
        <w:pStyle w:val="Textpoznpodarou"/>
        <w:ind w:left="284" w:hanging="284"/>
        <w:rPr>
          <w:rFonts w:asciiTheme="minorHAnsi" w:hAnsiTheme="minorHAnsi" w:cstheme="minorHAnsi"/>
        </w:rPr>
      </w:pPr>
      <w:r w:rsidRPr="003000D7">
        <w:rPr>
          <w:rStyle w:val="Znakapoznpodarou"/>
          <w:rFonts w:asciiTheme="minorHAnsi" w:hAnsiTheme="minorHAnsi" w:cstheme="minorHAnsi"/>
        </w:rPr>
        <w:footnoteRef/>
      </w:r>
      <w:r w:rsidR="003000D7" w:rsidRPr="003000D7">
        <w:rPr>
          <w:rFonts w:asciiTheme="minorHAnsi" w:hAnsiTheme="minorHAnsi" w:cstheme="minorHAnsi"/>
        </w:rPr>
        <w:tab/>
      </w:r>
      <w:r w:rsidRPr="003000D7">
        <w:rPr>
          <w:rFonts w:asciiTheme="minorHAnsi" w:hAnsiTheme="minorHAnsi" w:cstheme="minorHAnsi"/>
        </w:rPr>
        <w:t>Vyhláška</w:t>
      </w:r>
      <w:r w:rsidR="006F530D">
        <w:rPr>
          <w:rFonts w:asciiTheme="minorHAnsi" w:hAnsiTheme="minorHAnsi" w:cstheme="minorHAnsi"/>
        </w:rPr>
        <w:t xml:space="preserve"> č. 410/2009 Sb.</w:t>
      </w:r>
      <w:r w:rsidRPr="003000D7">
        <w:rPr>
          <w:rFonts w:asciiTheme="minorHAnsi" w:hAnsiTheme="minorHAnsi" w:cstheme="minorHAnsi"/>
        </w:rPr>
        <w:t>, kterou se provádějí některá ustanovení zákona 563/1991</w:t>
      </w:r>
      <w:r w:rsidR="00E827A1" w:rsidRPr="003000D7">
        <w:rPr>
          <w:rFonts w:asciiTheme="minorHAnsi" w:hAnsiTheme="minorHAnsi" w:cstheme="minorHAnsi"/>
        </w:rPr>
        <w:t xml:space="preserve"> </w:t>
      </w:r>
      <w:r w:rsidRPr="003000D7">
        <w:rPr>
          <w:rFonts w:asciiTheme="minorHAnsi" w:hAnsiTheme="minorHAnsi" w:cstheme="minorHAnsi"/>
        </w:rPr>
        <w:t>Sb.,</w:t>
      </w:r>
      <w:r w:rsidR="00E827A1" w:rsidRPr="003000D7">
        <w:rPr>
          <w:rFonts w:asciiTheme="minorHAnsi" w:hAnsiTheme="minorHAnsi" w:cstheme="minorHAnsi"/>
        </w:rPr>
        <w:t xml:space="preserve"> </w:t>
      </w:r>
      <w:r w:rsidRPr="003000D7">
        <w:rPr>
          <w:rFonts w:asciiTheme="minorHAnsi" w:hAnsiTheme="minorHAnsi" w:cstheme="minorHAnsi"/>
        </w:rPr>
        <w:t>o účetnictví</w:t>
      </w:r>
      <w:r w:rsidR="00C80490">
        <w:rPr>
          <w:rFonts w:asciiTheme="minorHAnsi" w:hAnsiTheme="minorHAnsi" w:cstheme="minorHAnsi"/>
        </w:rPr>
        <w:t>,</w:t>
      </w:r>
      <w:r w:rsidRPr="003000D7">
        <w:rPr>
          <w:rFonts w:asciiTheme="minorHAnsi" w:hAnsiTheme="minorHAnsi" w:cstheme="minorHAnsi"/>
        </w:rPr>
        <w:t xml:space="preserve"> ve znění pozdějších předpisů, pro některé vybrané účetní jednotky</w:t>
      </w:r>
      <w:r w:rsidR="007D1959">
        <w:rPr>
          <w:rFonts w:asciiTheme="minorHAnsi" w:hAnsiTheme="minorHAnsi" w:cstheme="minorHAnsi"/>
        </w:rPr>
        <w:t>.</w:t>
      </w:r>
      <w:r w:rsidRPr="003000D7">
        <w:rPr>
          <w:rFonts w:asciiTheme="minorHAnsi" w:hAnsiTheme="minorHAnsi" w:cstheme="minorHAnsi"/>
        </w:rPr>
        <w:t xml:space="preserve"> </w:t>
      </w:r>
    </w:p>
  </w:footnote>
  <w:footnote w:id="4">
    <w:p w:rsidR="009A02AB" w:rsidRPr="003000D7" w:rsidRDefault="009A02AB" w:rsidP="003000D7">
      <w:pPr>
        <w:pStyle w:val="Textpoznpodarou"/>
        <w:ind w:left="284" w:hanging="284"/>
        <w:rPr>
          <w:rFonts w:asciiTheme="minorHAnsi" w:hAnsiTheme="minorHAnsi" w:cstheme="minorHAnsi"/>
        </w:rPr>
      </w:pPr>
      <w:r w:rsidRPr="003000D7">
        <w:rPr>
          <w:rStyle w:val="Znakapoznpodarou"/>
          <w:rFonts w:asciiTheme="minorHAnsi" w:hAnsiTheme="minorHAnsi" w:cstheme="minorHAnsi"/>
        </w:rPr>
        <w:footnoteRef/>
      </w:r>
      <w:r w:rsidR="003000D7">
        <w:rPr>
          <w:rFonts w:asciiTheme="minorHAnsi" w:hAnsiTheme="minorHAnsi" w:cstheme="minorHAnsi"/>
        </w:rPr>
        <w:tab/>
      </w:r>
      <w:r w:rsidR="00E0764B">
        <w:rPr>
          <w:rFonts w:asciiTheme="minorHAnsi" w:hAnsiTheme="minorHAnsi" w:cstheme="minorHAnsi"/>
        </w:rPr>
        <w:t>Vyhláška č. 323/2002 Sb., o</w:t>
      </w:r>
      <w:r w:rsidRPr="003000D7">
        <w:rPr>
          <w:rFonts w:asciiTheme="minorHAnsi" w:hAnsiTheme="minorHAnsi" w:cstheme="minorHAnsi"/>
        </w:rPr>
        <w:t xml:space="preserve"> rozpočtové skladbě</w:t>
      </w:r>
      <w:r w:rsidR="00E0764B">
        <w:rPr>
          <w:rFonts w:asciiTheme="minorHAnsi" w:hAnsiTheme="minorHAnsi" w:cstheme="minorHAnsi"/>
        </w:rPr>
        <w:t>.</w:t>
      </w:r>
    </w:p>
  </w:footnote>
  <w:footnote w:id="5">
    <w:p w:rsidR="009A02AB" w:rsidRPr="003000D7" w:rsidRDefault="009A02AB" w:rsidP="003000D7">
      <w:pPr>
        <w:pStyle w:val="Textpoznpodarou"/>
        <w:ind w:left="284" w:hanging="284"/>
        <w:rPr>
          <w:rFonts w:asciiTheme="minorHAnsi" w:hAnsiTheme="minorHAnsi" w:cstheme="minorHAnsi"/>
        </w:rPr>
      </w:pPr>
      <w:r w:rsidRPr="003000D7">
        <w:rPr>
          <w:rStyle w:val="Znakapoznpodarou"/>
          <w:rFonts w:asciiTheme="minorHAnsi" w:hAnsiTheme="minorHAnsi" w:cstheme="minorHAnsi"/>
        </w:rPr>
        <w:footnoteRef/>
      </w:r>
      <w:r w:rsidR="003000D7">
        <w:rPr>
          <w:rFonts w:asciiTheme="minorHAnsi" w:hAnsiTheme="minorHAnsi" w:cstheme="minorHAnsi"/>
        </w:rPr>
        <w:tab/>
      </w:r>
      <w:r w:rsidR="00E0764B">
        <w:rPr>
          <w:rFonts w:asciiTheme="minorHAnsi" w:hAnsiTheme="minorHAnsi" w:cstheme="minorHAnsi"/>
        </w:rPr>
        <w:t>Vyhláška č. 449/2009 Sb., o</w:t>
      </w:r>
      <w:r w:rsidRPr="003000D7">
        <w:rPr>
          <w:rFonts w:asciiTheme="minorHAnsi" w:hAnsiTheme="minorHAnsi" w:cstheme="minorHAnsi"/>
        </w:rPr>
        <w:t xml:space="preserve"> způsobu, termínech a rozsahu údajů předkládaných pro hodnocení plnění státního rozpočtu, rozpočtu státních fondů, rozpočtů územních samosprávných celků, rozpočtů dobrovolných svazů a obcí a rozpočtů Regionálních rad</w:t>
      </w:r>
      <w:r w:rsidR="00F273D8" w:rsidRPr="003000D7">
        <w:rPr>
          <w:rFonts w:asciiTheme="minorHAnsi" w:hAnsiTheme="minorHAnsi" w:cstheme="minorHAnsi"/>
        </w:rPr>
        <w:t xml:space="preserve"> a regionů soudržnosti</w:t>
      </w:r>
      <w:r w:rsidR="00AE47C1">
        <w:rPr>
          <w:rFonts w:asciiTheme="minorHAnsi" w:hAnsiTheme="minorHAnsi" w:cstheme="minorHAnsi"/>
        </w:rPr>
        <w:t>.</w:t>
      </w:r>
    </w:p>
  </w:footnote>
  <w:footnote w:id="6">
    <w:p w:rsidR="0042779F" w:rsidRPr="003000D7" w:rsidRDefault="0042779F" w:rsidP="003000D7">
      <w:pPr>
        <w:pStyle w:val="Textpoznpodarou"/>
        <w:ind w:left="284" w:hanging="284"/>
        <w:rPr>
          <w:rFonts w:asciiTheme="minorHAnsi" w:hAnsiTheme="minorHAnsi" w:cstheme="minorHAnsi"/>
        </w:rPr>
      </w:pPr>
      <w:r w:rsidRPr="003000D7">
        <w:rPr>
          <w:rStyle w:val="Znakapoznpodarou"/>
          <w:rFonts w:asciiTheme="minorHAnsi" w:hAnsiTheme="minorHAnsi" w:cstheme="minorHAnsi"/>
        </w:rPr>
        <w:footnoteRef/>
      </w:r>
      <w:r w:rsidR="003000D7">
        <w:rPr>
          <w:rFonts w:asciiTheme="minorHAnsi" w:hAnsiTheme="minorHAnsi" w:cstheme="minorHAnsi"/>
        </w:rPr>
        <w:tab/>
      </w:r>
      <w:r w:rsidRPr="003000D7">
        <w:rPr>
          <w:rFonts w:asciiTheme="minorHAnsi" w:hAnsiTheme="minorHAnsi" w:cstheme="minorHAnsi"/>
          <w:color w:val="000000"/>
          <w:lang w:eastAsia="cs-CZ"/>
        </w:rPr>
        <w:t xml:space="preserve">Důchodový systém EU není </w:t>
      </w:r>
      <w:r w:rsidR="00E82CBE" w:rsidRPr="003000D7">
        <w:rPr>
          <w:rFonts w:asciiTheme="minorHAnsi" w:hAnsiTheme="minorHAnsi" w:cstheme="minorHAnsi"/>
          <w:color w:val="000000"/>
          <w:lang w:eastAsia="cs-CZ"/>
        </w:rPr>
        <w:t>nijak koordinován</w:t>
      </w:r>
      <w:r w:rsidR="00E82CBE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Pr="003000D7">
        <w:rPr>
          <w:rFonts w:asciiTheme="minorHAnsi" w:hAnsiTheme="minorHAnsi" w:cstheme="minorHAnsi"/>
          <w:color w:val="000000"/>
          <w:lang w:eastAsia="cs-CZ"/>
        </w:rPr>
        <w:t>s důchodovými systémy členských států, to znamená, že na nároky z něj vyplývající nelze použít koordinační nařízení Evropského parlamentu a Rady (ES) č. 883/2004 a</w:t>
      </w:r>
      <w:r w:rsidR="003000D7">
        <w:rPr>
          <w:rFonts w:asciiTheme="minorHAnsi" w:hAnsiTheme="minorHAnsi" w:cstheme="minorHAnsi"/>
          <w:color w:val="000000"/>
          <w:lang w:eastAsia="cs-CZ"/>
        </w:rPr>
        <w:t> </w:t>
      </w:r>
      <w:r w:rsidRPr="003000D7">
        <w:rPr>
          <w:rFonts w:asciiTheme="minorHAnsi" w:hAnsiTheme="minorHAnsi" w:cstheme="minorHAnsi"/>
          <w:color w:val="000000"/>
          <w:lang w:eastAsia="cs-CZ"/>
        </w:rPr>
        <w:t>č. 987/2009.</w:t>
      </w:r>
      <w:r w:rsidR="00D50990" w:rsidRPr="003000D7">
        <w:rPr>
          <w:rFonts w:asciiTheme="minorHAnsi" w:hAnsiTheme="minorHAnsi" w:cstheme="minorHAnsi"/>
          <w:color w:val="000000"/>
          <w:lang w:eastAsia="cs-CZ"/>
        </w:rPr>
        <w:t xml:space="preserve"> Důchodová práva euroúředníků upravuje </w:t>
      </w:r>
      <w:r w:rsidR="00E82CBE">
        <w:rPr>
          <w:rFonts w:asciiTheme="minorHAnsi" w:hAnsiTheme="minorHAnsi" w:cstheme="minorHAnsi"/>
          <w:color w:val="000000"/>
          <w:lang w:eastAsia="cs-CZ"/>
        </w:rPr>
        <w:t>s</w:t>
      </w:r>
      <w:r w:rsidR="00D50990" w:rsidRPr="003000D7">
        <w:rPr>
          <w:rFonts w:asciiTheme="minorHAnsi" w:hAnsiTheme="minorHAnsi" w:cstheme="minorHAnsi"/>
          <w:color w:val="000000"/>
          <w:lang w:eastAsia="cs-CZ"/>
        </w:rPr>
        <w:t>lužební řád (nařízení Rady č.</w:t>
      </w:r>
      <w:r w:rsidR="00E82CBE">
        <w:rPr>
          <w:rFonts w:asciiTheme="minorHAnsi" w:hAnsiTheme="minorHAnsi" w:cstheme="minorHAnsi"/>
          <w:color w:val="000000"/>
          <w:lang w:eastAsia="cs-CZ"/>
        </w:rPr>
        <w:t> </w:t>
      </w:r>
      <w:r w:rsidR="00D50990" w:rsidRPr="003000D7">
        <w:rPr>
          <w:rFonts w:asciiTheme="minorHAnsi" w:hAnsiTheme="minorHAnsi" w:cstheme="minorHAnsi"/>
          <w:color w:val="000000"/>
          <w:lang w:eastAsia="cs-CZ"/>
        </w:rPr>
        <w:t>259/1968</w:t>
      </w:r>
      <w:r w:rsidR="00DD3D0F">
        <w:rPr>
          <w:rFonts w:asciiTheme="minorHAnsi" w:hAnsiTheme="minorHAnsi" w:cstheme="minorHAnsi"/>
          <w:color w:val="000000"/>
          <w:lang w:eastAsia="cs-CZ"/>
        </w:rPr>
        <w:t>/EHS, tj. </w:t>
      </w:r>
      <w:r w:rsidR="001942D4" w:rsidRPr="003000D7">
        <w:rPr>
          <w:rFonts w:asciiTheme="minorHAnsi" w:hAnsiTheme="minorHAnsi" w:cstheme="minorHAnsi"/>
          <w:color w:val="000000"/>
          <w:lang w:eastAsia="cs-CZ"/>
        </w:rPr>
        <w:t>„</w:t>
      </w:r>
      <w:r w:rsidR="00E82CBE">
        <w:rPr>
          <w:rFonts w:asciiTheme="minorHAnsi" w:hAnsiTheme="minorHAnsi" w:cstheme="minorHAnsi"/>
          <w:color w:val="000000"/>
          <w:lang w:eastAsia="cs-CZ"/>
        </w:rPr>
        <w:t>s</w:t>
      </w:r>
      <w:r w:rsidR="001942D4" w:rsidRPr="003000D7">
        <w:rPr>
          <w:rFonts w:asciiTheme="minorHAnsi" w:hAnsiTheme="minorHAnsi" w:cstheme="minorHAnsi"/>
          <w:color w:val="000000"/>
          <w:lang w:eastAsia="cs-CZ"/>
        </w:rPr>
        <w:t>lužební řád úředníků Evropských společenství</w:t>
      </w:r>
      <w:r w:rsidR="00E82CBE">
        <w:rPr>
          <w:rFonts w:asciiTheme="minorHAnsi" w:hAnsiTheme="minorHAnsi" w:cstheme="minorHAnsi"/>
          <w:color w:val="000000"/>
          <w:lang w:eastAsia="cs-CZ"/>
        </w:rPr>
        <w:t>“</w:t>
      </w:r>
      <w:r w:rsidR="00D50990" w:rsidRPr="003000D7">
        <w:rPr>
          <w:rFonts w:asciiTheme="minorHAnsi" w:hAnsiTheme="minorHAnsi" w:cstheme="minorHAnsi"/>
          <w:color w:val="000000"/>
          <w:lang w:eastAsia="cs-CZ"/>
        </w:rPr>
        <w:t>), podrobná pravidla jsou stanovena v </w:t>
      </w:r>
      <w:r w:rsidR="00E82CBE">
        <w:rPr>
          <w:rFonts w:asciiTheme="minorHAnsi" w:hAnsiTheme="minorHAnsi" w:cstheme="minorHAnsi"/>
          <w:color w:val="000000"/>
          <w:lang w:eastAsia="cs-CZ"/>
        </w:rPr>
        <w:t>p</w:t>
      </w:r>
      <w:r w:rsidR="00D50990" w:rsidRPr="003000D7">
        <w:rPr>
          <w:rFonts w:asciiTheme="minorHAnsi" w:hAnsiTheme="minorHAnsi" w:cstheme="minorHAnsi"/>
          <w:color w:val="000000"/>
          <w:lang w:eastAsia="cs-CZ"/>
        </w:rPr>
        <w:t xml:space="preserve">říloze VIII </w:t>
      </w:r>
      <w:r w:rsidR="00E82CBE">
        <w:rPr>
          <w:rFonts w:asciiTheme="minorHAnsi" w:hAnsiTheme="minorHAnsi" w:cstheme="minorHAnsi"/>
          <w:color w:val="000000"/>
          <w:lang w:eastAsia="cs-CZ"/>
        </w:rPr>
        <w:t>s</w:t>
      </w:r>
      <w:r w:rsidR="00D50990" w:rsidRPr="003000D7">
        <w:rPr>
          <w:rFonts w:asciiTheme="minorHAnsi" w:hAnsiTheme="minorHAnsi" w:cstheme="minorHAnsi"/>
          <w:color w:val="000000"/>
          <w:lang w:eastAsia="cs-CZ"/>
        </w:rPr>
        <w:t>lužebního řádu včetně práva na převod důchodových práv. Převod důchodových práv mezi důchodovým systémem EU pro úředníky evropských institucí a českým systémem důcho</w:t>
      </w:r>
      <w:r w:rsidR="00DD3D0F">
        <w:rPr>
          <w:rFonts w:asciiTheme="minorHAnsi" w:hAnsiTheme="minorHAnsi" w:cstheme="minorHAnsi"/>
          <w:color w:val="000000"/>
          <w:lang w:eastAsia="cs-CZ"/>
        </w:rPr>
        <w:t>dového pojištění je upraven v § </w:t>
      </w:r>
      <w:r w:rsidR="00D50990" w:rsidRPr="003000D7">
        <w:rPr>
          <w:rFonts w:asciiTheme="minorHAnsi" w:hAnsiTheme="minorHAnsi" w:cstheme="minorHAnsi"/>
          <w:color w:val="000000"/>
          <w:lang w:eastAsia="cs-CZ"/>
        </w:rPr>
        <w:t>105a zákona č.</w:t>
      </w:r>
      <w:r w:rsidR="003000D7">
        <w:rPr>
          <w:rFonts w:asciiTheme="minorHAnsi" w:hAnsiTheme="minorHAnsi" w:cstheme="minorHAnsi"/>
          <w:color w:val="000000"/>
          <w:lang w:eastAsia="cs-CZ"/>
        </w:rPr>
        <w:t> </w:t>
      </w:r>
      <w:r w:rsidR="00D50990" w:rsidRPr="003000D7">
        <w:rPr>
          <w:rFonts w:asciiTheme="minorHAnsi" w:hAnsiTheme="minorHAnsi" w:cstheme="minorHAnsi"/>
          <w:color w:val="000000"/>
          <w:lang w:eastAsia="cs-CZ"/>
        </w:rPr>
        <w:t>155/1995 Sb., o důchodovém pojištění. Bližší podmínky a způsob převodu důchodových práv stanoví nařízení vlády č. 141/2013 Sb., kterým se stanoví podrobnější úprava vzájemného převodu důchodových práv ve vztahu k důchodovému systému EU.</w:t>
      </w:r>
    </w:p>
  </w:footnote>
  <w:footnote w:id="7">
    <w:p w:rsidR="00D50990" w:rsidRPr="003000D7" w:rsidRDefault="00D50990" w:rsidP="003000D7">
      <w:pPr>
        <w:pStyle w:val="Textpoznpodarou"/>
        <w:ind w:left="284" w:hanging="284"/>
        <w:rPr>
          <w:rFonts w:asciiTheme="minorHAnsi" w:hAnsiTheme="minorHAnsi" w:cstheme="minorHAnsi"/>
        </w:rPr>
      </w:pPr>
      <w:r w:rsidRPr="003000D7">
        <w:rPr>
          <w:rStyle w:val="Znakapoznpodarou"/>
          <w:rFonts w:asciiTheme="minorHAnsi" w:hAnsiTheme="minorHAnsi" w:cstheme="minorHAnsi"/>
        </w:rPr>
        <w:footnoteRef/>
      </w:r>
      <w:r w:rsidRPr="003000D7">
        <w:rPr>
          <w:rFonts w:asciiTheme="minorHAnsi" w:hAnsiTheme="minorHAnsi" w:cstheme="minorHAnsi"/>
        </w:rPr>
        <w:t xml:space="preserve"> </w:t>
      </w:r>
      <w:r w:rsidR="003000D7">
        <w:rPr>
          <w:rFonts w:asciiTheme="minorHAnsi" w:hAnsiTheme="minorHAnsi" w:cstheme="minorHAnsi"/>
        </w:rPr>
        <w:tab/>
      </w:r>
      <w:r w:rsidRPr="003000D7">
        <w:rPr>
          <w:rFonts w:asciiTheme="minorHAnsi" w:hAnsiTheme="minorHAnsi" w:cstheme="minorHAnsi"/>
        </w:rPr>
        <w:t>Jeho výpočet vychází ze vzorce, který je uvedený v ustanovení § 2 nařízení vlády č. 141/2013 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3A" w:rsidRPr="00076861" w:rsidRDefault="00A1393A">
    <w:pPr>
      <w:pStyle w:val="Zhlav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D075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C3A92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EA41BE"/>
    <w:multiLevelType w:val="hybridMultilevel"/>
    <w:tmpl w:val="B47807E2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4D56"/>
    <w:multiLevelType w:val="hybridMultilevel"/>
    <w:tmpl w:val="04C41D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10FE0"/>
    <w:multiLevelType w:val="hybridMultilevel"/>
    <w:tmpl w:val="4BAC52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5F72DF"/>
    <w:multiLevelType w:val="hybridMultilevel"/>
    <w:tmpl w:val="271CC6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CD92B4E"/>
    <w:multiLevelType w:val="hybridMultilevel"/>
    <w:tmpl w:val="36C22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34440"/>
    <w:multiLevelType w:val="hybridMultilevel"/>
    <w:tmpl w:val="FA786572"/>
    <w:lvl w:ilvl="0" w:tplc="9C8E93E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94F5418"/>
    <w:multiLevelType w:val="hybridMultilevel"/>
    <w:tmpl w:val="EDB01C16"/>
    <w:lvl w:ilvl="0" w:tplc="9C8E93E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39E96860"/>
    <w:multiLevelType w:val="hybridMultilevel"/>
    <w:tmpl w:val="350C5CAA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78454C6"/>
    <w:multiLevelType w:val="hybridMultilevel"/>
    <w:tmpl w:val="0C845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D2686"/>
    <w:multiLevelType w:val="hybridMultilevel"/>
    <w:tmpl w:val="284A0A2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9366CB2"/>
    <w:multiLevelType w:val="multilevel"/>
    <w:tmpl w:val="93A21A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D8F3E6D"/>
    <w:multiLevelType w:val="hybridMultilevel"/>
    <w:tmpl w:val="475850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F0E077F"/>
    <w:multiLevelType w:val="hybridMultilevel"/>
    <w:tmpl w:val="73E4814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505D49C2"/>
    <w:multiLevelType w:val="hybridMultilevel"/>
    <w:tmpl w:val="10529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1973"/>
    <w:multiLevelType w:val="hybridMultilevel"/>
    <w:tmpl w:val="AB3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D643F"/>
    <w:multiLevelType w:val="hybridMultilevel"/>
    <w:tmpl w:val="12688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D69B1"/>
    <w:multiLevelType w:val="hybridMultilevel"/>
    <w:tmpl w:val="2DF0C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B6CA2"/>
    <w:multiLevelType w:val="hybridMultilevel"/>
    <w:tmpl w:val="3A346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4BBF"/>
    <w:multiLevelType w:val="multilevel"/>
    <w:tmpl w:val="8E60773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04"/>
        </w:tabs>
        <w:ind w:left="1004" w:hanging="72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574"/>
        </w:tabs>
        <w:ind w:left="1574" w:hanging="864"/>
      </w:pPr>
      <w:rPr>
        <w:rFonts w:ascii="Calibri" w:hAnsi="Calibri" w:cs="Calibri" w:hint="default"/>
        <w:i w:val="0"/>
      </w:rPr>
    </w:lvl>
    <w:lvl w:ilvl="4">
      <w:start w:val="1"/>
      <w:numFmt w:val="bullet"/>
      <w:pStyle w:val="Nadpis5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465BF"/>
    <w:multiLevelType w:val="multilevel"/>
    <w:tmpl w:val="29A29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DA61613"/>
    <w:multiLevelType w:val="multilevel"/>
    <w:tmpl w:val="A69A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0"/>
  </w:num>
  <w:num w:numId="5">
    <w:abstractNumId w:val="21"/>
  </w:num>
  <w:num w:numId="6">
    <w:abstractNumId w:val="16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7"/>
  </w:num>
  <w:num w:numId="12">
    <w:abstractNumId w:val="22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14"/>
  </w:num>
  <w:num w:numId="27">
    <w:abstractNumId w:val="20"/>
  </w:num>
  <w:num w:numId="28">
    <w:abstractNumId w:val="19"/>
  </w:num>
  <w:num w:numId="29">
    <w:abstractNumId w:val="15"/>
  </w:num>
  <w:num w:numId="30">
    <w:abstractNumId w:val="20"/>
  </w:num>
  <w:num w:numId="31">
    <w:abstractNumId w:val="10"/>
  </w:num>
  <w:num w:numId="32">
    <w:abstractNumId w:val="18"/>
  </w:num>
  <w:num w:numId="33">
    <w:abstractNumId w:val="20"/>
  </w:num>
  <w:num w:numId="34">
    <w:abstractNumId w:val="6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13"/>
  </w:num>
  <w:num w:numId="42">
    <w:abstractNumId w:val="5"/>
  </w:num>
  <w:num w:numId="4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7"/>
  </w:num>
  <w:num w:numId="4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0E"/>
    <w:rsid w:val="00000848"/>
    <w:rsid w:val="00000F36"/>
    <w:rsid w:val="000011BB"/>
    <w:rsid w:val="00001F76"/>
    <w:rsid w:val="00003125"/>
    <w:rsid w:val="000038E8"/>
    <w:rsid w:val="00003E25"/>
    <w:rsid w:val="000044CA"/>
    <w:rsid w:val="00004A8B"/>
    <w:rsid w:val="00004BFA"/>
    <w:rsid w:val="00005F34"/>
    <w:rsid w:val="000060D7"/>
    <w:rsid w:val="000062EA"/>
    <w:rsid w:val="00006B9C"/>
    <w:rsid w:val="00006DFC"/>
    <w:rsid w:val="00006FDF"/>
    <w:rsid w:val="000071A7"/>
    <w:rsid w:val="00007D01"/>
    <w:rsid w:val="00007F12"/>
    <w:rsid w:val="0001171B"/>
    <w:rsid w:val="00011886"/>
    <w:rsid w:val="00012AB8"/>
    <w:rsid w:val="00012B40"/>
    <w:rsid w:val="00012FEE"/>
    <w:rsid w:val="000147CE"/>
    <w:rsid w:val="0001486F"/>
    <w:rsid w:val="0001588F"/>
    <w:rsid w:val="00016195"/>
    <w:rsid w:val="000163AE"/>
    <w:rsid w:val="00017CA1"/>
    <w:rsid w:val="00017E0A"/>
    <w:rsid w:val="00017FBB"/>
    <w:rsid w:val="0002012A"/>
    <w:rsid w:val="00021FDB"/>
    <w:rsid w:val="00023910"/>
    <w:rsid w:val="0002407A"/>
    <w:rsid w:val="0002485A"/>
    <w:rsid w:val="00024A1B"/>
    <w:rsid w:val="00025171"/>
    <w:rsid w:val="00025352"/>
    <w:rsid w:val="00025534"/>
    <w:rsid w:val="00025538"/>
    <w:rsid w:val="0002590D"/>
    <w:rsid w:val="00025B69"/>
    <w:rsid w:val="00025F25"/>
    <w:rsid w:val="00026402"/>
    <w:rsid w:val="00026CAD"/>
    <w:rsid w:val="00030840"/>
    <w:rsid w:val="000309F2"/>
    <w:rsid w:val="00030D4F"/>
    <w:rsid w:val="00031077"/>
    <w:rsid w:val="00031386"/>
    <w:rsid w:val="00031468"/>
    <w:rsid w:val="000330E1"/>
    <w:rsid w:val="00034188"/>
    <w:rsid w:val="00034271"/>
    <w:rsid w:val="00035D10"/>
    <w:rsid w:val="00036B11"/>
    <w:rsid w:val="00040409"/>
    <w:rsid w:val="00040B79"/>
    <w:rsid w:val="00040FFE"/>
    <w:rsid w:val="000428FF"/>
    <w:rsid w:val="00042F1C"/>
    <w:rsid w:val="000432BD"/>
    <w:rsid w:val="00043724"/>
    <w:rsid w:val="00043EBD"/>
    <w:rsid w:val="00043F0D"/>
    <w:rsid w:val="0004408F"/>
    <w:rsid w:val="000451FA"/>
    <w:rsid w:val="0004557A"/>
    <w:rsid w:val="000458B0"/>
    <w:rsid w:val="000458E8"/>
    <w:rsid w:val="000460F9"/>
    <w:rsid w:val="00046A35"/>
    <w:rsid w:val="00047AD9"/>
    <w:rsid w:val="00047ADD"/>
    <w:rsid w:val="000501DB"/>
    <w:rsid w:val="0005033A"/>
    <w:rsid w:val="00051C3E"/>
    <w:rsid w:val="0005224E"/>
    <w:rsid w:val="00052A56"/>
    <w:rsid w:val="00052E48"/>
    <w:rsid w:val="000533C5"/>
    <w:rsid w:val="000536A0"/>
    <w:rsid w:val="00053945"/>
    <w:rsid w:val="00053DCA"/>
    <w:rsid w:val="00054690"/>
    <w:rsid w:val="00054D79"/>
    <w:rsid w:val="0005558A"/>
    <w:rsid w:val="00056E49"/>
    <w:rsid w:val="000602B0"/>
    <w:rsid w:val="00060903"/>
    <w:rsid w:val="00060918"/>
    <w:rsid w:val="0006105A"/>
    <w:rsid w:val="000611D8"/>
    <w:rsid w:val="000612D2"/>
    <w:rsid w:val="00061529"/>
    <w:rsid w:val="00063048"/>
    <w:rsid w:val="00064336"/>
    <w:rsid w:val="000644A3"/>
    <w:rsid w:val="0006471F"/>
    <w:rsid w:val="00065310"/>
    <w:rsid w:val="00065359"/>
    <w:rsid w:val="000658FF"/>
    <w:rsid w:val="00065E20"/>
    <w:rsid w:val="00065EE0"/>
    <w:rsid w:val="0006634D"/>
    <w:rsid w:val="000669E0"/>
    <w:rsid w:val="00066B07"/>
    <w:rsid w:val="0006722F"/>
    <w:rsid w:val="000676F9"/>
    <w:rsid w:val="00070284"/>
    <w:rsid w:val="000703E5"/>
    <w:rsid w:val="0007054D"/>
    <w:rsid w:val="00070E28"/>
    <w:rsid w:val="000716F9"/>
    <w:rsid w:val="00071AF6"/>
    <w:rsid w:val="00071E2F"/>
    <w:rsid w:val="00071FDE"/>
    <w:rsid w:val="00072479"/>
    <w:rsid w:val="00073903"/>
    <w:rsid w:val="000740C9"/>
    <w:rsid w:val="00074F21"/>
    <w:rsid w:val="00075CB7"/>
    <w:rsid w:val="000765C6"/>
    <w:rsid w:val="00076861"/>
    <w:rsid w:val="00077F37"/>
    <w:rsid w:val="0008157D"/>
    <w:rsid w:val="00082100"/>
    <w:rsid w:val="00082B06"/>
    <w:rsid w:val="000832FA"/>
    <w:rsid w:val="00085DAC"/>
    <w:rsid w:val="000862E0"/>
    <w:rsid w:val="000864A3"/>
    <w:rsid w:val="000868B5"/>
    <w:rsid w:val="00086B24"/>
    <w:rsid w:val="00086D36"/>
    <w:rsid w:val="00087DAE"/>
    <w:rsid w:val="00090342"/>
    <w:rsid w:val="000906F7"/>
    <w:rsid w:val="00091C31"/>
    <w:rsid w:val="000930EA"/>
    <w:rsid w:val="00093908"/>
    <w:rsid w:val="00093B2C"/>
    <w:rsid w:val="000945EC"/>
    <w:rsid w:val="00094831"/>
    <w:rsid w:val="0009535C"/>
    <w:rsid w:val="00095943"/>
    <w:rsid w:val="00096260"/>
    <w:rsid w:val="000975DE"/>
    <w:rsid w:val="000A01A8"/>
    <w:rsid w:val="000A05CA"/>
    <w:rsid w:val="000A0E0D"/>
    <w:rsid w:val="000A3A1A"/>
    <w:rsid w:val="000A3B04"/>
    <w:rsid w:val="000A4289"/>
    <w:rsid w:val="000A6344"/>
    <w:rsid w:val="000A6631"/>
    <w:rsid w:val="000A67A2"/>
    <w:rsid w:val="000A6EA5"/>
    <w:rsid w:val="000A72B1"/>
    <w:rsid w:val="000B083D"/>
    <w:rsid w:val="000B0E4B"/>
    <w:rsid w:val="000B2076"/>
    <w:rsid w:val="000B29F9"/>
    <w:rsid w:val="000B2AA7"/>
    <w:rsid w:val="000B355F"/>
    <w:rsid w:val="000B4925"/>
    <w:rsid w:val="000B4A76"/>
    <w:rsid w:val="000B5AC8"/>
    <w:rsid w:val="000B5E69"/>
    <w:rsid w:val="000B68EC"/>
    <w:rsid w:val="000B6CE3"/>
    <w:rsid w:val="000C0F66"/>
    <w:rsid w:val="000C1C10"/>
    <w:rsid w:val="000C1D0E"/>
    <w:rsid w:val="000C2DDF"/>
    <w:rsid w:val="000C30EE"/>
    <w:rsid w:val="000C3134"/>
    <w:rsid w:val="000C3B81"/>
    <w:rsid w:val="000C42A5"/>
    <w:rsid w:val="000C4547"/>
    <w:rsid w:val="000C4E07"/>
    <w:rsid w:val="000C654A"/>
    <w:rsid w:val="000C6CE1"/>
    <w:rsid w:val="000D02F8"/>
    <w:rsid w:val="000D056C"/>
    <w:rsid w:val="000D058B"/>
    <w:rsid w:val="000D1DE5"/>
    <w:rsid w:val="000D319F"/>
    <w:rsid w:val="000D44CE"/>
    <w:rsid w:val="000D4B28"/>
    <w:rsid w:val="000D50BD"/>
    <w:rsid w:val="000D51AD"/>
    <w:rsid w:val="000D53F4"/>
    <w:rsid w:val="000D66D8"/>
    <w:rsid w:val="000D69A6"/>
    <w:rsid w:val="000D6C36"/>
    <w:rsid w:val="000D7AD5"/>
    <w:rsid w:val="000D7C8C"/>
    <w:rsid w:val="000D7D64"/>
    <w:rsid w:val="000D7E53"/>
    <w:rsid w:val="000E0816"/>
    <w:rsid w:val="000E0943"/>
    <w:rsid w:val="000E0956"/>
    <w:rsid w:val="000E0972"/>
    <w:rsid w:val="000E0CCE"/>
    <w:rsid w:val="000E15B2"/>
    <w:rsid w:val="000E181A"/>
    <w:rsid w:val="000E1BB5"/>
    <w:rsid w:val="000E2896"/>
    <w:rsid w:val="000E38F9"/>
    <w:rsid w:val="000E4AB1"/>
    <w:rsid w:val="000E7276"/>
    <w:rsid w:val="000E72BD"/>
    <w:rsid w:val="000E7AEB"/>
    <w:rsid w:val="000E7FA4"/>
    <w:rsid w:val="000F18A6"/>
    <w:rsid w:val="000F2101"/>
    <w:rsid w:val="000F2C98"/>
    <w:rsid w:val="000F2EA5"/>
    <w:rsid w:val="000F2EC0"/>
    <w:rsid w:val="000F3664"/>
    <w:rsid w:val="000F3707"/>
    <w:rsid w:val="000F397B"/>
    <w:rsid w:val="000F3B7F"/>
    <w:rsid w:val="000F412C"/>
    <w:rsid w:val="000F4D0B"/>
    <w:rsid w:val="000F5EC6"/>
    <w:rsid w:val="000F6227"/>
    <w:rsid w:val="000F7390"/>
    <w:rsid w:val="000F7689"/>
    <w:rsid w:val="000F7DB3"/>
    <w:rsid w:val="000F7EA7"/>
    <w:rsid w:val="0010041F"/>
    <w:rsid w:val="00100455"/>
    <w:rsid w:val="00101F81"/>
    <w:rsid w:val="00102A31"/>
    <w:rsid w:val="00102A96"/>
    <w:rsid w:val="00102FA6"/>
    <w:rsid w:val="00103E68"/>
    <w:rsid w:val="00103FEB"/>
    <w:rsid w:val="00104BA0"/>
    <w:rsid w:val="00104C96"/>
    <w:rsid w:val="0010503D"/>
    <w:rsid w:val="0010529C"/>
    <w:rsid w:val="00105ADB"/>
    <w:rsid w:val="00106DFD"/>
    <w:rsid w:val="00107733"/>
    <w:rsid w:val="0010795F"/>
    <w:rsid w:val="00107B32"/>
    <w:rsid w:val="00107F58"/>
    <w:rsid w:val="00107F8D"/>
    <w:rsid w:val="00110EAD"/>
    <w:rsid w:val="00111717"/>
    <w:rsid w:val="001122AE"/>
    <w:rsid w:val="001123CD"/>
    <w:rsid w:val="00112D14"/>
    <w:rsid w:val="00113A8D"/>
    <w:rsid w:val="00114388"/>
    <w:rsid w:val="001157C9"/>
    <w:rsid w:val="00115989"/>
    <w:rsid w:val="001159AD"/>
    <w:rsid w:val="00116112"/>
    <w:rsid w:val="0011620A"/>
    <w:rsid w:val="00116413"/>
    <w:rsid w:val="00117269"/>
    <w:rsid w:val="001173C7"/>
    <w:rsid w:val="00117535"/>
    <w:rsid w:val="00120A07"/>
    <w:rsid w:val="00120B4B"/>
    <w:rsid w:val="00120BC3"/>
    <w:rsid w:val="00121825"/>
    <w:rsid w:val="00122581"/>
    <w:rsid w:val="00122ACC"/>
    <w:rsid w:val="0012318C"/>
    <w:rsid w:val="00123276"/>
    <w:rsid w:val="00123D6E"/>
    <w:rsid w:val="00123F6F"/>
    <w:rsid w:val="00124404"/>
    <w:rsid w:val="00124468"/>
    <w:rsid w:val="00125528"/>
    <w:rsid w:val="00125C42"/>
    <w:rsid w:val="00126014"/>
    <w:rsid w:val="001271D0"/>
    <w:rsid w:val="00127BDC"/>
    <w:rsid w:val="0013037E"/>
    <w:rsid w:val="00130591"/>
    <w:rsid w:val="0013084E"/>
    <w:rsid w:val="00131226"/>
    <w:rsid w:val="00131D36"/>
    <w:rsid w:val="0013243D"/>
    <w:rsid w:val="0013245B"/>
    <w:rsid w:val="00132728"/>
    <w:rsid w:val="00132EA9"/>
    <w:rsid w:val="001333F7"/>
    <w:rsid w:val="00133511"/>
    <w:rsid w:val="00133C95"/>
    <w:rsid w:val="00134D66"/>
    <w:rsid w:val="00135172"/>
    <w:rsid w:val="00135776"/>
    <w:rsid w:val="0013689C"/>
    <w:rsid w:val="0013720C"/>
    <w:rsid w:val="00137A5E"/>
    <w:rsid w:val="00140EE2"/>
    <w:rsid w:val="001420C9"/>
    <w:rsid w:val="001439C0"/>
    <w:rsid w:val="00143B45"/>
    <w:rsid w:val="00143C34"/>
    <w:rsid w:val="0014464B"/>
    <w:rsid w:val="00144B6C"/>
    <w:rsid w:val="00144F0D"/>
    <w:rsid w:val="00146525"/>
    <w:rsid w:val="001466EB"/>
    <w:rsid w:val="001469DA"/>
    <w:rsid w:val="00147406"/>
    <w:rsid w:val="001478D6"/>
    <w:rsid w:val="00147BD0"/>
    <w:rsid w:val="00150342"/>
    <w:rsid w:val="001503E4"/>
    <w:rsid w:val="00152049"/>
    <w:rsid w:val="00152BA4"/>
    <w:rsid w:val="00152E20"/>
    <w:rsid w:val="00153206"/>
    <w:rsid w:val="00153C1A"/>
    <w:rsid w:val="00154638"/>
    <w:rsid w:val="001546F1"/>
    <w:rsid w:val="0015491A"/>
    <w:rsid w:val="00154C29"/>
    <w:rsid w:val="00155131"/>
    <w:rsid w:val="00156264"/>
    <w:rsid w:val="001569A4"/>
    <w:rsid w:val="00157A09"/>
    <w:rsid w:val="00157AA4"/>
    <w:rsid w:val="00157B2B"/>
    <w:rsid w:val="001606D3"/>
    <w:rsid w:val="001617C3"/>
    <w:rsid w:val="00162554"/>
    <w:rsid w:val="001628AA"/>
    <w:rsid w:val="00162FFC"/>
    <w:rsid w:val="0016329B"/>
    <w:rsid w:val="001632CB"/>
    <w:rsid w:val="0016377F"/>
    <w:rsid w:val="00163A2A"/>
    <w:rsid w:val="00163AAD"/>
    <w:rsid w:val="001646DB"/>
    <w:rsid w:val="00164850"/>
    <w:rsid w:val="00164D44"/>
    <w:rsid w:val="00165757"/>
    <w:rsid w:val="00166684"/>
    <w:rsid w:val="00166D6C"/>
    <w:rsid w:val="001676DD"/>
    <w:rsid w:val="00167955"/>
    <w:rsid w:val="00167A97"/>
    <w:rsid w:val="00167E59"/>
    <w:rsid w:val="00170660"/>
    <w:rsid w:val="00170E58"/>
    <w:rsid w:val="001711C6"/>
    <w:rsid w:val="001725DD"/>
    <w:rsid w:val="0017280A"/>
    <w:rsid w:val="0017288F"/>
    <w:rsid w:val="00172B9F"/>
    <w:rsid w:val="00172E3E"/>
    <w:rsid w:val="00172F3E"/>
    <w:rsid w:val="0017319A"/>
    <w:rsid w:val="0017337C"/>
    <w:rsid w:val="00174052"/>
    <w:rsid w:val="001746BA"/>
    <w:rsid w:val="001753BA"/>
    <w:rsid w:val="00175D92"/>
    <w:rsid w:val="00175DE1"/>
    <w:rsid w:val="0017662F"/>
    <w:rsid w:val="0018004D"/>
    <w:rsid w:val="001802D8"/>
    <w:rsid w:val="0018078C"/>
    <w:rsid w:val="00180CEC"/>
    <w:rsid w:val="00180ED6"/>
    <w:rsid w:val="001811F6"/>
    <w:rsid w:val="00181A62"/>
    <w:rsid w:val="00181CBB"/>
    <w:rsid w:val="0018252B"/>
    <w:rsid w:val="00182635"/>
    <w:rsid w:val="00184605"/>
    <w:rsid w:val="0018471F"/>
    <w:rsid w:val="00184CD8"/>
    <w:rsid w:val="00186F97"/>
    <w:rsid w:val="0018705B"/>
    <w:rsid w:val="00187FC0"/>
    <w:rsid w:val="001904E1"/>
    <w:rsid w:val="00190C26"/>
    <w:rsid w:val="00192333"/>
    <w:rsid w:val="00192665"/>
    <w:rsid w:val="001929EF"/>
    <w:rsid w:val="00192FF4"/>
    <w:rsid w:val="001938DE"/>
    <w:rsid w:val="001942D4"/>
    <w:rsid w:val="00194A7D"/>
    <w:rsid w:val="00194B18"/>
    <w:rsid w:val="00195215"/>
    <w:rsid w:val="0019539A"/>
    <w:rsid w:val="001958F7"/>
    <w:rsid w:val="0019594B"/>
    <w:rsid w:val="00196B81"/>
    <w:rsid w:val="00196F0D"/>
    <w:rsid w:val="001A00C8"/>
    <w:rsid w:val="001A0959"/>
    <w:rsid w:val="001A1086"/>
    <w:rsid w:val="001A22D1"/>
    <w:rsid w:val="001A26B8"/>
    <w:rsid w:val="001A310A"/>
    <w:rsid w:val="001A325D"/>
    <w:rsid w:val="001A3723"/>
    <w:rsid w:val="001A46C9"/>
    <w:rsid w:val="001A4D86"/>
    <w:rsid w:val="001A5014"/>
    <w:rsid w:val="001A675E"/>
    <w:rsid w:val="001A77E3"/>
    <w:rsid w:val="001B1012"/>
    <w:rsid w:val="001B174D"/>
    <w:rsid w:val="001B1E44"/>
    <w:rsid w:val="001B272F"/>
    <w:rsid w:val="001B28AE"/>
    <w:rsid w:val="001B2D5B"/>
    <w:rsid w:val="001B2F27"/>
    <w:rsid w:val="001B3717"/>
    <w:rsid w:val="001B376E"/>
    <w:rsid w:val="001B3A11"/>
    <w:rsid w:val="001B3D07"/>
    <w:rsid w:val="001B3E7A"/>
    <w:rsid w:val="001B4654"/>
    <w:rsid w:val="001B49AF"/>
    <w:rsid w:val="001B4DD4"/>
    <w:rsid w:val="001B4F83"/>
    <w:rsid w:val="001B535E"/>
    <w:rsid w:val="001B586E"/>
    <w:rsid w:val="001B7509"/>
    <w:rsid w:val="001B7FA7"/>
    <w:rsid w:val="001B7FCA"/>
    <w:rsid w:val="001B7FCD"/>
    <w:rsid w:val="001C0A4C"/>
    <w:rsid w:val="001C183B"/>
    <w:rsid w:val="001C4B13"/>
    <w:rsid w:val="001C6A2E"/>
    <w:rsid w:val="001C7013"/>
    <w:rsid w:val="001C705A"/>
    <w:rsid w:val="001C7EA7"/>
    <w:rsid w:val="001D08B8"/>
    <w:rsid w:val="001D1BA7"/>
    <w:rsid w:val="001D2A87"/>
    <w:rsid w:val="001D3687"/>
    <w:rsid w:val="001D3868"/>
    <w:rsid w:val="001D46DE"/>
    <w:rsid w:val="001D51AD"/>
    <w:rsid w:val="001D5E40"/>
    <w:rsid w:val="001D60F4"/>
    <w:rsid w:val="001D69C2"/>
    <w:rsid w:val="001D6C5C"/>
    <w:rsid w:val="001D7211"/>
    <w:rsid w:val="001D7968"/>
    <w:rsid w:val="001D7F01"/>
    <w:rsid w:val="001E0CAD"/>
    <w:rsid w:val="001E17EE"/>
    <w:rsid w:val="001E187F"/>
    <w:rsid w:val="001E1E67"/>
    <w:rsid w:val="001E1ECF"/>
    <w:rsid w:val="001E2392"/>
    <w:rsid w:val="001E2C1E"/>
    <w:rsid w:val="001E3877"/>
    <w:rsid w:val="001E4CFE"/>
    <w:rsid w:val="001E5875"/>
    <w:rsid w:val="001E58FB"/>
    <w:rsid w:val="001E6D86"/>
    <w:rsid w:val="001E718C"/>
    <w:rsid w:val="001E789A"/>
    <w:rsid w:val="001E7961"/>
    <w:rsid w:val="001F0A03"/>
    <w:rsid w:val="001F121D"/>
    <w:rsid w:val="001F15BB"/>
    <w:rsid w:val="001F1B81"/>
    <w:rsid w:val="001F27C0"/>
    <w:rsid w:val="001F3327"/>
    <w:rsid w:val="001F3994"/>
    <w:rsid w:val="001F4C26"/>
    <w:rsid w:val="001F4E2F"/>
    <w:rsid w:val="001F4E33"/>
    <w:rsid w:val="001F518B"/>
    <w:rsid w:val="001F5837"/>
    <w:rsid w:val="001F666C"/>
    <w:rsid w:val="001F7B49"/>
    <w:rsid w:val="00200951"/>
    <w:rsid w:val="00200BCF"/>
    <w:rsid w:val="00201021"/>
    <w:rsid w:val="002013F3"/>
    <w:rsid w:val="00202197"/>
    <w:rsid w:val="0020286A"/>
    <w:rsid w:val="0020410B"/>
    <w:rsid w:val="00206151"/>
    <w:rsid w:val="002063FB"/>
    <w:rsid w:val="0020649E"/>
    <w:rsid w:val="00206787"/>
    <w:rsid w:val="0020732D"/>
    <w:rsid w:val="00207BF6"/>
    <w:rsid w:val="002101FC"/>
    <w:rsid w:val="00211BF8"/>
    <w:rsid w:val="00212A34"/>
    <w:rsid w:val="00212B9C"/>
    <w:rsid w:val="002139DD"/>
    <w:rsid w:val="00214BC4"/>
    <w:rsid w:val="002155EC"/>
    <w:rsid w:val="00216405"/>
    <w:rsid w:val="0021692F"/>
    <w:rsid w:val="00216ACC"/>
    <w:rsid w:val="00217466"/>
    <w:rsid w:val="00217786"/>
    <w:rsid w:val="00220523"/>
    <w:rsid w:val="002207CD"/>
    <w:rsid w:val="0022087A"/>
    <w:rsid w:val="00220D45"/>
    <w:rsid w:val="00220E57"/>
    <w:rsid w:val="0022133C"/>
    <w:rsid w:val="002221B1"/>
    <w:rsid w:val="00222752"/>
    <w:rsid w:val="0022347D"/>
    <w:rsid w:val="00224215"/>
    <w:rsid w:val="00224637"/>
    <w:rsid w:val="00224CDC"/>
    <w:rsid w:val="00224E83"/>
    <w:rsid w:val="00224F08"/>
    <w:rsid w:val="00225E84"/>
    <w:rsid w:val="00225FEB"/>
    <w:rsid w:val="0022668C"/>
    <w:rsid w:val="002268EF"/>
    <w:rsid w:val="002269BF"/>
    <w:rsid w:val="00227268"/>
    <w:rsid w:val="002273E5"/>
    <w:rsid w:val="00230859"/>
    <w:rsid w:val="00231793"/>
    <w:rsid w:val="00232674"/>
    <w:rsid w:val="00233357"/>
    <w:rsid w:val="00235596"/>
    <w:rsid w:val="0023636A"/>
    <w:rsid w:val="002364BD"/>
    <w:rsid w:val="0023661A"/>
    <w:rsid w:val="00236CA0"/>
    <w:rsid w:val="00237808"/>
    <w:rsid w:val="002379E3"/>
    <w:rsid w:val="00237B3F"/>
    <w:rsid w:val="0024014E"/>
    <w:rsid w:val="002401D5"/>
    <w:rsid w:val="002402D6"/>
    <w:rsid w:val="00240910"/>
    <w:rsid w:val="00240A13"/>
    <w:rsid w:val="00240E82"/>
    <w:rsid w:val="00241CA7"/>
    <w:rsid w:val="00241D1F"/>
    <w:rsid w:val="00241FF5"/>
    <w:rsid w:val="002426A5"/>
    <w:rsid w:val="00244EB9"/>
    <w:rsid w:val="002450BF"/>
    <w:rsid w:val="0024682D"/>
    <w:rsid w:val="00246A12"/>
    <w:rsid w:val="00246F26"/>
    <w:rsid w:val="00247519"/>
    <w:rsid w:val="0025161F"/>
    <w:rsid w:val="00252F73"/>
    <w:rsid w:val="002537D4"/>
    <w:rsid w:val="0025410C"/>
    <w:rsid w:val="002553B0"/>
    <w:rsid w:val="00255415"/>
    <w:rsid w:val="0025552C"/>
    <w:rsid w:val="002561ED"/>
    <w:rsid w:val="00256257"/>
    <w:rsid w:val="00256A85"/>
    <w:rsid w:val="00256CD2"/>
    <w:rsid w:val="00260D52"/>
    <w:rsid w:val="00262487"/>
    <w:rsid w:val="00262765"/>
    <w:rsid w:val="00263DDC"/>
    <w:rsid w:val="00264798"/>
    <w:rsid w:val="00266096"/>
    <w:rsid w:val="00267872"/>
    <w:rsid w:val="002701DA"/>
    <w:rsid w:val="00270439"/>
    <w:rsid w:val="00271003"/>
    <w:rsid w:val="002711A8"/>
    <w:rsid w:val="00271613"/>
    <w:rsid w:val="002716C1"/>
    <w:rsid w:val="00271B05"/>
    <w:rsid w:val="00272461"/>
    <w:rsid w:val="00272474"/>
    <w:rsid w:val="00272478"/>
    <w:rsid w:val="00272812"/>
    <w:rsid w:val="002737A7"/>
    <w:rsid w:val="00274146"/>
    <w:rsid w:val="002747B1"/>
    <w:rsid w:val="00274C01"/>
    <w:rsid w:val="00274C93"/>
    <w:rsid w:val="00275F4C"/>
    <w:rsid w:val="00276669"/>
    <w:rsid w:val="0027684E"/>
    <w:rsid w:val="00276D6A"/>
    <w:rsid w:val="002778FA"/>
    <w:rsid w:val="00280260"/>
    <w:rsid w:val="00280843"/>
    <w:rsid w:val="00281244"/>
    <w:rsid w:val="0028149B"/>
    <w:rsid w:val="0028162F"/>
    <w:rsid w:val="00282ADD"/>
    <w:rsid w:val="0028320A"/>
    <w:rsid w:val="00283EB2"/>
    <w:rsid w:val="00285176"/>
    <w:rsid w:val="00285630"/>
    <w:rsid w:val="002857A8"/>
    <w:rsid w:val="00285B83"/>
    <w:rsid w:val="002865D5"/>
    <w:rsid w:val="00287134"/>
    <w:rsid w:val="0029036D"/>
    <w:rsid w:val="00290C4D"/>
    <w:rsid w:val="00290EBF"/>
    <w:rsid w:val="002916EE"/>
    <w:rsid w:val="00291CB1"/>
    <w:rsid w:val="002924A0"/>
    <w:rsid w:val="00293DDC"/>
    <w:rsid w:val="00294898"/>
    <w:rsid w:val="00294EFA"/>
    <w:rsid w:val="002964BA"/>
    <w:rsid w:val="0029769E"/>
    <w:rsid w:val="002A01FF"/>
    <w:rsid w:val="002A0D9F"/>
    <w:rsid w:val="002A14A1"/>
    <w:rsid w:val="002A155D"/>
    <w:rsid w:val="002A20F8"/>
    <w:rsid w:val="002A2179"/>
    <w:rsid w:val="002A3510"/>
    <w:rsid w:val="002A3587"/>
    <w:rsid w:val="002A4415"/>
    <w:rsid w:val="002A44BF"/>
    <w:rsid w:val="002A45C0"/>
    <w:rsid w:val="002A4AB4"/>
    <w:rsid w:val="002A534C"/>
    <w:rsid w:val="002A5EA8"/>
    <w:rsid w:val="002A6954"/>
    <w:rsid w:val="002A76A7"/>
    <w:rsid w:val="002B0FA0"/>
    <w:rsid w:val="002B18BF"/>
    <w:rsid w:val="002B1EF7"/>
    <w:rsid w:val="002B41FE"/>
    <w:rsid w:val="002B446A"/>
    <w:rsid w:val="002B53AB"/>
    <w:rsid w:val="002B7C02"/>
    <w:rsid w:val="002C01D9"/>
    <w:rsid w:val="002C0DC3"/>
    <w:rsid w:val="002C0FBE"/>
    <w:rsid w:val="002C1143"/>
    <w:rsid w:val="002C1D80"/>
    <w:rsid w:val="002C236E"/>
    <w:rsid w:val="002C2D3A"/>
    <w:rsid w:val="002C3D2E"/>
    <w:rsid w:val="002C3EE9"/>
    <w:rsid w:val="002C5B00"/>
    <w:rsid w:val="002C6DA6"/>
    <w:rsid w:val="002C79FC"/>
    <w:rsid w:val="002C7E82"/>
    <w:rsid w:val="002D0BD0"/>
    <w:rsid w:val="002D2A75"/>
    <w:rsid w:val="002D2ADC"/>
    <w:rsid w:val="002D3B9F"/>
    <w:rsid w:val="002D3F5F"/>
    <w:rsid w:val="002D4345"/>
    <w:rsid w:val="002D4B20"/>
    <w:rsid w:val="002D4B5A"/>
    <w:rsid w:val="002D5274"/>
    <w:rsid w:val="002D6B73"/>
    <w:rsid w:val="002D6DE0"/>
    <w:rsid w:val="002D764D"/>
    <w:rsid w:val="002D7A07"/>
    <w:rsid w:val="002D7D63"/>
    <w:rsid w:val="002E0EEE"/>
    <w:rsid w:val="002E14B8"/>
    <w:rsid w:val="002E1A50"/>
    <w:rsid w:val="002E1E3F"/>
    <w:rsid w:val="002E2511"/>
    <w:rsid w:val="002E26CC"/>
    <w:rsid w:val="002E3684"/>
    <w:rsid w:val="002E3923"/>
    <w:rsid w:val="002E41E8"/>
    <w:rsid w:val="002E422C"/>
    <w:rsid w:val="002E5510"/>
    <w:rsid w:val="002E65B3"/>
    <w:rsid w:val="002E6C66"/>
    <w:rsid w:val="002F138A"/>
    <w:rsid w:val="002F1D05"/>
    <w:rsid w:val="002F1F25"/>
    <w:rsid w:val="002F29CF"/>
    <w:rsid w:val="002F2FA7"/>
    <w:rsid w:val="002F30FD"/>
    <w:rsid w:val="002F346F"/>
    <w:rsid w:val="002F365D"/>
    <w:rsid w:val="002F38BA"/>
    <w:rsid w:val="002F434A"/>
    <w:rsid w:val="002F49E5"/>
    <w:rsid w:val="002F52B6"/>
    <w:rsid w:val="002F55B1"/>
    <w:rsid w:val="002F583B"/>
    <w:rsid w:val="002F59E6"/>
    <w:rsid w:val="002F600F"/>
    <w:rsid w:val="002F6A39"/>
    <w:rsid w:val="002F7765"/>
    <w:rsid w:val="002F79CD"/>
    <w:rsid w:val="003000D7"/>
    <w:rsid w:val="00300122"/>
    <w:rsid w:val="00300716"/>
    <w:rsid w:val="003022C4"/>
    <w:rsid w:val="003024FA"/>
    <w:rsid w:val="003030DC"/>
    <w:rsid w:val="003039C6"/>
    <w:rsid w:val="0030446D"/>
    <w:rsid w:val="00304D66"/>
    <w:rsid w:val="003051F6"/>
    <w:rsid w:val="0030773D"/>
    <w:rsid w:val="00310765"/>
    <w:rsid w:val="00310F65"/>
    <w:rsid w:val="00311B47"/>
    <w:rsid w:val="00312064"/>
    <w:rsid w:val="003120B3"/>
    <w:rsid w:val="00313FE6"/>
    <w:rsid w:val="0031406E"/>
    <w:rsid w:val="00314519"/>
    <w:rsid w:val="00314AD8"/>
    <w:rsid w:val="00314BB3"/>
    <w:rsid w:val="00315228"/>
    <w:rsid w:val="0031598B"/>
    <w:rsid w:val="00315FB5"/>
    <w:rsid w:val="003161C7"/>
    <w:rsid w:val="00316318"/>
    <w:rsid w:val="003164D4"/>
    <w:rsid w:val="0031734C"/>
    <w:rsid w:val="003177FA"/>
    <w:rsid w:val="00317F6E"/>
    <w:rsid w:val="003205C2"/>
    <w:rsid w:val="00321999"/>
    <w:rsid w:val="00321F53"/>
    <w:rsid w:val="00322F9C"/>
    <w:rsid w:val="003245FA"/>
    <w:rsid w:val="00324D7C"/>
    <w:rsid w:val="0032535A"/>
    <w:rsid w:val="00325EE0"/>
    <w:rsid w:val="0032692C"/>
    <w:rsid w:val="00327CB1"/>
    <w:rsid w:val="003317E8"/>
    <w:rsid w:val="00331968"/>
    <w:rsid w:val="00332017"/>
    <w:rsid w:val="00332055"/>
    <w:rsid w:val="003323FD"/>
    <w:rsid w:val="00332B82"/>
    <w:rsid w:val="00333BDE"/>
    <w:rsid w:val="00333C30"/>
    <w:rsid w:val="0033488E"/>
    <w:rsid w:val="00334F18"/>
    <w:rsid w:val="003351D7"/>
    <w:rsid w:val="003353F3"/>
    <w:rsid w:val="00336B17"/>
    <w:rsid w:val="00336C6A"/>
    <w:rsid w:val="00340030"/>
    <w:rsid w:val="003420A1"/>
    <w:rsid w:val="0034238A"/>
    <w:rsid w:val="003436D4"/>
    <w:rsid w:val="00344847"/>
    <w:rsid w:val="00347C62"/>
    <w:rsid w:val="00347D2F"/>
    <w:rsid w:val="003500BD"/>
    <w:rsid w:val="0035058E"/>
    <w:rsid w:val="00350FAD"/>
    <w:rsid w:val="00351507"/>
    <w:rsid w:val="003515CE"/>
    <w:rsid w:val="00351A27"/>
    <w:rsid w:val="0035218B"/>
    <w:rsid w:val="0035312F"/>
    <w:rsid w:val="00354502"/>
    <w:rsid w:val="0035465C"/>
    <w:rsid w:val="003549BD"/>
    <w:rsid w:val="00355106"/>
    <w:rsid w:val="0035513C"/>
    <w:rsid w:val="00356A06"/>
    <w:rsid w:val="00356CD6"/>
    <w:rsid w:val="00357128"/>
    <w:rsid w:val="0035744C"/>
    <w:rsid w:val="003578AA"/>
    <w:rsid w:val="00357A63"/>
    <w:rsid w:val="00360398"/>
    <w:rsid w:val="00360721"/>
    <w:rsid w:val="003608D9"/>
    <w:rsid w:val="00361305"/>
    <w:rsid w:val="003621B4"/>
    <w:rsid w:val="003622B9"/>
    <w:rsid w:val="00362626"/>
    <w:rsid w:val="00362816"/>
    <w:rsid w:val="0036521C"/>
    <w:rsid w:val="00365616"/>
    <w:rsid w:val="00365D3B"/>
    <w:rsid w:val="00366455"/>
    <w:rsid w:val="003664AB"/>
    <w:rsid w:val="003668DD"/>
    <w:rsid w:val="003669DF"/>
    <w:rsid w:val="00367096"/>
    <w:rsid w:val="00367779"/>
    <w:rsid w:val="003678BF"/>
    <w:rsid w:val="00370558"/>
    <w:rsid w:val="00371BB5"/>
    <w:rsid w:val="00372189"/>
    <w:rsid w:val="003722D8"/>
    <w:rsid w:val="003737C9"/>
    <w:rsid w:val="0037446F"/>
    <w:rsid w:val="00375254"/>
    <w:rsid w:val="00375526"/>
    <w:rsid w:val="00375B24"/>
    <w:rsid w:val="00375BE7"/>
    <w:rsid w:val="00375C36"/>
    <w:rsid w:val="003768E0"/>
    <w:rsid w:val="003770F2"/>
    <w:rsid w:val="00377D32"/>
    <w:rsid w:val="00380EBB"/>
    <w:rsid w:val="00380F21"/>
    <w:rsid w:val="00380F62"/>
    <w:rsid w:val="003814EC"/>
    <w:rsid w:val="003817D9"/>
    <w:rsid w:val="00381D3A"/>
    <w:rsid w:val="00381ED2"/>
    <w:rsid w:val="00382484"/>
    <w:rsid w:val="00382975"/>
    <w:rsid w:val="00382B5D"/>
    <w:rsid w:val="0038337B"/>
    <w:rsid w:val="00383801"/>
    <w:rsid w:val="0038389A"/>
    <w:rsid w:val="003838FE"/>
    <w:rsid w:val="00383DBE"/>
    <w:rsid w:val="00384A7B"/>
    <w:rsid w:val="0038670B"/>
    <w:rsid w:val="003879E4"/>
    <w:rsid w:val="00393886"/>
    <w:rsid w:val="00394D51"/>
    <w:rsid w:val="003958DF"/>
    <w:rsid w:val="003975B5"/>
    <w:rsid w:val="00397FDC"/>
    <w:rsid w:val="003A0AAD"/>
    <w:rsid w:val="003A0C67"/>
    <w:rsid w:val="003A0C93"/>
    <w:rsid w:val="003A1126"/>
    <w:rsid w:val="003A222D"/>
    <w:rsid w:val="003A2BD1"/>
    <w:rsid w:val="003A303B"/>
    <w:rsid w:val="003A3EDE"/>
    <w:rsid w:val="003A41BA"/>
    <w:rsid w:val="003A5020"/>
    <w:rsid w:val="003A5081"/>
    <w:rsid w:val="003A561B"/>
    <w:rsid w:val="003A5640"/>
    <w:rsid w:val="003A6D99"/>
    <w:rsid w:val="003A7301"/>
    <w:rsid w:val="003A740E"/>
    <w:rsid w:val="003A771D"/>
    <w:rsid w:val="003A7D23"/>
    <w:rsid w:val="003B0B0E"/>
    <w:rsid w:val="003B1440"/>
    <w:rsid w:val="003B1DAC"/>
    <w:rsid w:val="003B2367"/>
    <w:rsid w:val="003B3CAE"/>
    <w:rsid w:val="003B43FD"/>
    <w:rsid w:val="003B457E"/>
    <w:rsid w:val="003B4C18"/>
    <w:rsid w:val="003B5509"/>
    <w:rsid w:val="003B56B4"/>
    <w:rsid w:val="003B5FA7"/>
    <w:rsid w:val="003B7953"/>
    <w:rsid w:val="003C05D0"/>
    <w:rsid w:val="003C12C5"/>
    <w:rsid w:val="003C2EBC"/>
    <w:rsid w:val="003C345D"/>
    <w:rsid w:val="003C3782"/>
    <w:rsid w:val="003C378E"/>
    <w:rsid w:val="003C407C"/>
    <w:rsid w:val="003C4620"/>
    <w:rsid w:val="003C54AF"/>
    <w:rsid w:val="003C5645"/>
    <w:rsid w:val="003C6540"/>
    <w:rsid w:val="003C6BC2"/>
    <w:rsid w:val="003C7866"/>
    <w:rsid w:val="003C790A"/>
    <w:rsid w:val="003D0983"/>
    <w:rsid w:val="003D1101"/>
    <w:rsid w:val="003D23A4"/>
    <w:rsid w:val="003D3B65"/>
    <w:rsid w:val="003D4BCA"/>
    <w:rsid w:val="003D6187"/>
    <w:rsid w:val="003D62B5"/>
    <w:rsid w:val="003D658C"/>
    <w:rsid w:val="003D68F3"/>
    <w:rsid w:val="003D7611"/>
    <w:rsid w:val="003E053B"/>
    <w:rsid w:val="003E0C9A"/>
    <w:rsid w:val="003E1D1C"/>
    <w:rsid w:val="003E30C3"/>
    <w:rsid w:val="003E5657"/>
    <w:rsid w:val="003E5EDD"/>
    <w:rsid w:val="003E6BF8"/>
    <w:rsid w:val="003F0DB4"/>
    <w:rsid w:val="003F13AC"/>
    <w:rsid w:val="003F1B10"/>
    <w:rsid w:val="003F1FED"/>
    <w:rsid w:val="003F2A75"/>
    <w:rsid w:val="003F31FC"/>
    <w:rsid w:val="003F49F3"/>
    <w:rsid w:val="003F4DAA"/>
    <w:rsid w:val="00400684"/>
    <w:rsid w:val="004011C6"/>
    <w:rsid w:val="00401480"/>
    <w:rsid w:val="004015A7"/>
    <w:rsid w:val="0040222D"/>
    <w:rsid w:val="00402705"/>
    <w:rsid w:val="00402EBB"/>
    <w:rsid w:val="00403870"/>
    <w:rsid w:val="00403B3F"/>
    <w:rsid w:val="00404857"/>
    <w:rsid w:val="004053CD"/>
    <w:rsid w:val="004056A5"/>
    <w:rsid w:val="00405868"/>
    <w:rsid w:val="004060A2"/>
    <w:rsid w:val="00406548"/>
    <w:rsid w:val="0040750F"/>
    <w:rsid w:val="004075DE"/>
    <w:rsid w:val="00407CC8"/>
    <w:rsid w:val="00410FFA"/>
    <w:rsid w:val="00411AD3"/>
    <w:rsid w:val="004135F1"/>
    <w:rsid w:val="0041364A"/>
    <w:rsid w:val="00413903"/>
    <w:rsid w:val="00413B57"/>
    <w:rsid w:val="004142A6"/>
    <w:rsid w:val="00414EAF"/>
    <w:rsid w:val="00415031"/>
    <w:rsid w:val="0041635D"/>
    <w:rsid w:val="00416572"/>
    <w:rsid w:val="00416CA7"/>
    <w:rsid w:val="00417455"/>
    <w:rsid w:val="00417589"/>
    <w:rsid w:val="004179EF"/>
    <w:rsid w:val="00420565"/>
    <w:rsid w:val="004210B3"/>
    <w:rsid w:val="00421101"/>
    <w:rsid w:val="004216F9"/>
    <w:rsid w:val="0042180F"/>
    <w:rsid w:val="00421866"/>
    <w:rsid w:val="00422102"/>
    <w:rsid w:val="00424FD0"/>
    <w:rsid w:val="00425252"/>
    <w:rsid w:val="00425296"/>
    <w:rsid w:val="0042589F"/>
    <w:rsid w:val="004259B1"/>
    <w:rsid w:val="0042689F"/>
    <w:rsid w:val="0042779F"/>
    <w:rsid w:val="004317F1"/>
    <w:rsid w:val="00432663"/>
    <w:rsid w:val="004327D9"/>
    <w:rsid w:val="004350F4"/>
    <w:rsid w:val="004354D5"/>
    <w:rsid w:val="00435DA4"/>
    <w:rsid w:val="004373D8"/>
    <w:rsid w:val="00437FF4"/>
    <w:rsid w:val="00440532"/>
    <w:rsid w:val="00440827"/>
    <w:rsid w:val="004411AB"/>
    <w:rsid w:val="004429B9"/>
    <w:rsid w:val="004429E7"/>
    <w:rsid w:val="00443345"/>
    <w:rsid w:val="00443E08"/>
    <w:rsid w:val="004444EB"/>
    <w:rsid w:val="00444A24"/>
    <w:rsid w:val="00444D20"/>
    <w:rsid w:val="00444E38"/>
    <w:rsid w:val="00445E64"/>
    <w:rsid w:val="00445E70"/>
    <w:rsid w:val="0044644A"/>
    <w:rsid w:val="004466E9"/>
    <w:rsid w:val="00447C4B"/>
    <w:rsid w:val="004505D6"/>
    <w:rsid w:val="00450B96"/>
    <w:rsid w:val="00451D33"/>
    <w:rsid w:val="0045291C"/>
    <w:rsid w:val="00452A92"/>
    <w:rsid w:val="004536C0"/>
    <w:rsid w:val="00453881"/>
    <w:rsid w:val="0045406C"/>
    <w:rsid w:val="004541AF"/>
    <w:rsid w:val="004542DA"/>
    <w:rsid w:val="00454532"/>
    <w:rsid w:val="00455027"/>
    <w:rsid w:val="00455AD5"/>
    <w:rsid w:val="00455C95"/>
    <w:rsid w:val="00456912"/>
    <w:rsid w:val="0045719E"/>
    <w:rsid w:val="00457577"/>
    <w:rsid w:val="00460213"/>
    <w:rsid w:val="0046088A"/>
    <w:rsid w:val="00460A33"/>
    <w:rsid w:val="004614F5"/>
    <w:rsid w:val="00461E49"/>
    <w:rsid w:val="00462240"/>
    <w:rsid w:val="0046241F"/>
    <w:rsid w:val="00462EA4"/>
    <w:rsid w:val="00463D5E"/>
    <w:rsid w:val="0046450A"/>
    <w:rsid w:val="00466B00"/>
    <w:rsid w:val="0046756F"/>
    <w:rsid w:val="00467D65"/>
    <w:rsid w:val="00470F45"/>
    <w:rsid w:val="00471C38"/>
    <w:rsid w:val="00472333"/>
    <w:rsid w:val="004729E9"/>
    <w:rsid w:val="00472DD4"/>
    <w:rsid w:val="004737E7"/>
    <w:rsid w:val="004739E5"/>
    <w:rsid w:val="00473CDF"/>
    <w:rsid w:val="00476BC6"/>
    <w:rsid w:val="004770B7"/>
    <w:rsid w:val="0047726E"/>
    <w:rsid w:val="0047792A"/>
    <w:rsid w:val="00477CA1"/>
    <w:rsid w:val="00480657"/>
    <w:rsid w:val="004807D9"/>
    <w:rsid w:val="00480A7A"/>
    <w:rsid w:val="00480CD3"/>
    <w:rsid w:val="00480D18"/>
    <w:rsid w:val="004826FD"/>
    <w:rsid w:val="00482A13"/>
    <w:rsid w:val="00482D05"/>
    <w:rsid w:val="004837FF"/>
    <w:rsid w:val="00483AFC"/>
    <w:rsid w:val="00484267"/>
    <w:rsid w:val="00485346"/>
    <w:rsid w:val="004853C1"/>
    <w:rsid w:val="004867CA"/>
    <w:rsid w:val="00487610"/>
    <w:rsid w:val="00487B23"/>
    <w:rsid w:val="0049007C"/>
    <w:rsid w:val="00490BE6"/>
    <w:rsid w:val="00491192"/>
    <w:rsid w:val="00491541"/>
    <w:rsid w:val="00491953"/>
    <w:rsid w:val="0049201A"/>
    <w:rsid w:val="004920D9"/>
    <w:rsid w:val="0049235A"/>
    <w:rsid w:val="0049290C"/>
    <w:rsid w:val="00493034"/>
    <w:rsid w:val="004935E2"/>
    <w:rsid w:val="0049377F"/>
    <w:rsid w:val="00493799"/>
    <w:rsid w:val="00494320"/>
    <w:rsid w:val="0049459C"/>
    <w:rsid w:val="00494B73"/>
    <w:rsid w:val="00494D4A"/>
    <w:rsid w:val="004956D3"/>
    <w:rsid w:val="00495B32"/>
    <w:rsid w:val="00495F11"/>
    <w:rsid w:val="0049602D"/>
    <w:rsid w:val="00496AA1"/>
    <w:rsid w:val="00497A96"/>
    <w:rsid w:val="00497BEF"/>
    <w:rsid w:val="004A0E5C"/>
    <w:rsid w:val="004A274B"/>
    <w:rsid w:val="004A276D"/>
    <w:rsid w:val="004A3BBB"/>
    <w:rsid w:val="004A3D2E"/>
    <w:rsid w:val="004A3EEF"/>
    <w:rsid w:val="004A4191"/>
    <w:rsid w:val="004A429C"/>
    <w:rsid w:val="004A4456"/>
    <w:rsid w:val="004A44EB"/>
    <w:rsid w:val="004A4719"/>
    <w:rsid w:val="004A48B8"/>
    <w:rsid w:val="004A5AE4"/>
    <w:rsid w:val="004A6098"/>
    <w:rsid w:val="004A6A32"/>
    <w:rsid w:val="004A6ED3"/>
    <w:rsid w:val="004A737B"/>
    <w:rsid w:val="004B0CFE"/>
    <w:rsid w:val="004B112F"/>
    <w:rsid w:val="004B1682"/>
    <w:rsid w:val="004B23EB"/>
    <w:rsid w:val="004B28C7"/>
    <w:rsid w:val="004B388A"/>
    <w:rsid w:val="004B43E8"/>
    <w:rsid w:val="004B4EBE"/>
    <w:rsid w:val="004B5257"/>
    <w:rsid w:val="004B57A8"/>
    <w:rsid w:val="004B5837"/>
    <w:rsid w:val="004B5D1E"/>
    <w:rsid w:val="004B643C"/>
    <w:rsid w:val="004B6CFF"/>
    <w:rsid w:val="004B74B7"/>
    <w:rsid w:val="004B7548"/>
    <w:rsid w:val="004B79B9"/>
    <w:rsid w:val="004C0036"/>
    <w:rsid w:val="004C028D"/>
    <w:rsid w:val="004C052B"/>
    <w:rsid w:val="004C0580"/>
    <w:rsid w:val="004C147D"/>
    <w:rsid w:val="004C2DB5"/>
    <w:rsid w:val="004C5680"/>
    <w:rsid w:val="004C5881"/>
    <w:rsid w:val="004C6DC6"/>
    <w:rsid w:val="004C74A1"/>
    <w:rsid w:val="004C74B5"/>
    <w:rsid w:val="004C7E64"/>
    <w:rsid w:val="004D062A"/>
    <w:rsid w:val="004D0799"/>
    <w:rsid w:val="004D0DBC"/>
    <w:rsid w:val="004D1128"/>
    <w:rsid w:val="004D1817"/>
    <w:rsid w:val="004D1A77"/>
    <w:rsid w:val="004D1EE8"/>
    <w:rsid w:val="004D25B1"/>
    <w:rsid w:val="004D2C43"/>
    <w:rsid w:val="004D3474"/>
    <w:rsid w:val="004D3778"/>
    <w:rsid w:val="004D3DBC"/>
    <w:rsid w:val="004D5885"/>
    <w:rsid w:val="004D5EF5"/>
    <w:rsid w:val="004D6982"/>
    <w:rsid w:val="004D6CFB"/>
    <w:rsid w:val="004D7FD1"/>
    <w:rsid w:val="004E08DA"/>
    <w:rsid w:val="004E1F47"/>
    <w:rsid w:val="004E1F7D"/>
    <w:rsid w:val="004E27C4"/>
    <w:rsid w:val="004E3626"/>
    <w:rsid w:val="004E40ED"/>
    <w:rsid w:val="004E6127"/>
    <w:rsid w:val="004E64DA"/>
    <w:rsid w:val="004E6B73"/>
    <w:rsid w:val="004E6DDA"/>
    <w:rsid w:val="004E6FCD"/>
    <w:rsid w:val="004E76E4"/>
    <w:rsid w:val="004E77A4"/>
    <w:rsid w:val="004E7C38"/>
    <w:rsid w:val="004F02D3"/>
    <w:rsid w:val="004F0E9C"/>
    <w:rsid w:val="004F1101"/>
    <w:rsid w:val="004F165C"/>
    <w:rsid w:val="004F2411"/>
    <w:rsid w:val="004F257B"/>
    <w:rsid w:val="004F3BE6"/>
    <w:rsid w:val="004F3F1B"/>
    <w:rsid w:val="004F3F3B"/>
    <w:rsid w:val="004F4127"/>
    <w:rsid w:val="004F5B3E"/>
    <w:rsid w:val="004F5BE2"/>
    <w:rsid w:val="004F600C"/>
    <w:rsid w:val="004F6648"/>
    <w:rsid w:val="004F6803"/>
    <w:rsid w:val="004F6E21"/>
    <w:rsid w:val="004F7CAF"/>
    <w:rsid w:val="004F7DF5"/>
    <w:rsid w:val="005002EA"/>
    <w:rsid w:val="00500ABA"/>
    <w:rsid w:val="00501D7E"/>
    <w:rsid w:val="00502FDB"/>
    <w:rsid w:val="00503004"/>
    <w:rsid w:val="005041A5"/>
    <w:rsid w:val="00504749"/>
    <w:rsid w:val="00504750"/>
    <w:rsid w:val="005050D1"/>
    <w:rsid w:val="005059DF"/>
    <w:rsid w:val="005067D5"/>
    <w:rsid w:val="00507048"/>
    <w:rsid w:val="005073E1"/>
    <w:rsid w:val="00507E54"/>
    <w:rsid w:val="00510D53"/>
    <w:rsid w:val="00511D64"/>
    <w:rsid w:val="00513397"/>
    <w:rsid w:val="00513887"/>
    <w:rsid w:val="005148E8"/>
    <w:rsid w:val="00514B9F"/>
    <w:rsid w:val="00514D93"/>
    <w:rsid w:val="00515C8C"/>
    <w:rsid w:val="00516720"/>
    <w:rsid w:val="0052042F"/>
    <w:rsid w:val="005207E2"/>
    <w:rsid w:val="0052110C"/>
    <w:rsid w:val="00521EF4"/>
    <w:rsid w:val="0052229E"/>
    <w:rsid w:val="00522744"/>
    <w:rsid w:val="00523912"/>
    <w:rsid w:val="00523F6D"/>
    <w:rsid w:val="005246A2"/>
    <w:rsid w:val="00524DB0"/>
    <w:rsid w:val="005254B8"/>
    <w:rsid w:val="00525BAB"/>
    <w:rsid w:val="005267A6"/>
    <w:rsid w:val="00526B89"/>
    <w:rsid w:val="00527050"/>
    <w:rsid w:val="005274F9"/>
    <w:rsid w:val="0053095A"/>
    <w:rsid w:val="005315E6"/>
    <w:rsid w:val="00532091"/>
    <w:rsid w:val="00532534"/>
    <w:rsid w:val="00532568"/>
    <w:rsid w:val="0053286A"/>
    <w:rsid w:val="00532B12"/>
    <w:rsid w:val="00532D03"/>
    <w:rsid w:val="00533C43"/>
    <w:rsid w:val="00535223"/>
    <w:rsid w:val="0053545A"/>
    <w:rsid w:val="005355C9"/>
    <w:rsid w:val="00535A80"/>
    <w:rsid w:val="005368B3"/>
    <w:rsid w:val="00537D80"/>
    <w:rsid w:val="00540075"/>
    <w:rsid w:val="00540496"/>
    <w:rsid w:val="005413F6"/>
    <w:rsid w:val="0054146D"/>
    <w:rsid w:val="005420DE"/>
    <w:rsid w:val="0054210C"/>
    <w:rsid w:val="00542605"/>
    <w:rsid w:val="0054260B"/>
    <w:rsid w:val="00542682"/>
    <w:rsid w:val="00542842"/>
    <w:rsid w:val="00542A82"/>
    <w:rsid w:val="005435D3"/>
    <w:rsid w:val="00544740"/>
    <w:rsid w:val="005448BD"/>
    <w:rsid w:val="005459B5"/>
    <w:rsid w:val="00546BCF"/>
    <w:rsid w:val="00550761"/>
    <w:rsid w:val="005514BF"/>
    <w:rsid w:val="00551616"/>
    <w:rsid w:val="005526D3"/>
    <w:rsid w:val="005529F6"/>
    <w:rsid w:val="005536E4"/>
    <w:rsid w:val="005547FB"/>
    <w:rsid w:val="00554844"/>
    <w:rsid w:val="005548A9"/>
    <w:rsid w:val="0055679F"/>
    <w:rsid w:val="005572F4"/>
    <w:rsid w:val="00557EAA"/>
    <w:rsid w:val="005602C8"/>
    <w:rsid w:val="00562C73"/>
    <w:rsid w:val="005632F1"/>
    <w:rsid w:val="00563DB1"/>
    <w:rsid w:val="00563E98"/>
    <w:rsid w:val="00564134"/>
    <w:rsid w:val="005642A8"/>
    <w:rsid w:val="00565BA2"/>
    <w:rsid w:val="00566D15"/>
    <w:rsid w:val="00570599"/>
    <w:rsid w:val="0057078E"/>
    <w:rsid w:val="0057194B"/>
    <w:rsid w:val="00571B6F"/>
    <w:rsid w:val="00571D60"/>
    <w:rsid w:val="00571DCD"/>
    <w:rsid w:val="00571E8C"/>
    <w:rsid w:val="005725E4"/>
    <w:rsid w:val="00572D06"/>
    <w:rsid w:val="005733D8"/>
    <w:rsid w:val="00573C19"/>
    <w:rsid w:val="00573F16"/>
    <w:rsid w:val="00574EF2"/>
    <w:rsid w:val="0057544A"/>
    <w:rsid w:val="00575964"/>
    <w:rsid w:val="0057600B"/>
    <w:rsid w:val="005762D2"/>
    <w:rsid w:val="0057638E"/>
    <w:rsid w:val="00576F9E"/>
    <w:rsid w:val="005774F8"/>
    <w:rsid w:val="0058110B"/>
    <w:rsid w:val="0058180E"/>
    <w:rsid w:val="0058228B"/>
    <w:rsid w:val="0058230B"/>
    <w:rsid w:val="00583188"/>
    <w:rsid w:val="00583865"/>
    <w:rsid w:val="00584312"/>
    <w:rsid w:val="0058468A"/>
    <w:rsid w:val="00585C6D"/>
    <w:rsid w:val="00586167"/>
    <w:rsid w:val="005861AF"/>
    <w:rsid w:val="00587232"/>
    <w:rsid w:val="0058726B"/>
    <w:rsid w:val="005873B9"/>
    <w:rsid w:val="005875B7"/>
    <w:rsid w:val="00591068"/>
    <w:rsid w:val="005916D5"/>
    <w:rsid w:val="0059257E"/>
    <w:rsid w:val="0059258F"/>
    <w:rsid w:val="0059351B"/>
    <w:rsid w:val="00593C3F"/>
    <w:rsid w:val="00594E1C"/>
    <w:rsid w:val="005951E6"/>
    <w:rsid w:val="0059581B"/>
    <w:rsid w:val="00595ADF"/>
    <w:rsid w:val="00596ECB"/>
    <w:rsid w:val="00597923"/>
    <w:rsid w:val="005A245E"/>
    <w:rsid w:val="005A27F3"/>
    <w:rsid w:val="005A319B"/>
    <w:rsid w:val="005A33E8"/>
    <w:rsid w:val="005A36ED"/>
    <w:rsid w:val="005A3853"/>
    <w:rsid w:val="005A4278"/>
    <w:rsid w:val="005A5876"/>
    <w:rsid w:val="005A61FA"/>
    <w:rsid w:val="005A6DF7"/>
    <w:rsid w:val="005A6EB4"/>
    <w:rsid w:val="005A75AC"/>
    <w:rsid w:val="005A7846"/>
    <w:rsid w:val="005B0480"/>
    <w:rsid w:val="005B0EA0"/>
    <w:rsid w:val="005B10EA"/>
    <w:rsid w:val="005B11B7"/>
    <w:rsid w:val="005B176D"/>
    <w:rsid w:val="005B221B"/>
    <w:rsid w:val="005B2297"/>
    <w:rsid w:val="005B29FA"/>
    <w:rsid w:val="005B3244"/>
    <w:rsid w:val="005B38C4"/>
    <w:rsid w:val="005B4613"/>
    <w:rsid w:val="005B4871"/>
    <w:rsid w:val="005B4E37"/>
    <w:rsid w:val="005B5E5C"/>
    <w:rsid w:val="005B650D"/>
    <w:rsid w:val="005B6B1E"/>
    <w:rsid w:val="005B6CC0"/>
    <w:rsid w:val="005B733C"/>
    <w:rsid w:val="005B75CA"/>
    <w:rsid w:val="005C0A4F"/>
    <w:rsid w:val="005C1910"/>
    <w:rsid w:val="005C2182"/>
    <w:rsid w:val="005C2DA2"/>
    <w:rsid w:val="005C2E30"/>
    <w:rsid w:val="005C2F2B"/>
    <w:rsid w:val="005C2FFE"/>
    <w:rsid w:val="005C323B"/>
    <w:rsid w:val="005C5A07"/>
    <w:rsid w:val="005C5B78"/>
    <w:rsid w:val="005C6273"/>
    <w:rsid w:val="005C6326"/>
    <w:rsid w:val="005C6E7A"/>
    <w:rsid w:val="005C723C"/>
    <w:rsid w:val="005C7309"/>
    <w:rsid w:val="005D0BD0"/>
    <w:rsid w:val="005D1A4C"/>
    <w:rsid w:val="005D1BF3"/>
    <w:rsid w:val="005D22AE"/>
    <w:rsid w:val="005D3075"/>
    <w:rsid w:val="005D36E1"/>
    <w:rsid w:val="005D377E"/>
    <w:rsid w:val="005D4784"/>
    <w:rsid w:val="005D579C"/>
    <w:rsid w:val="005D79C0"/>
    <w:rsid w:val="005E0D6F"/>
    <w:rsid w:val="005E12C9"/>
    <w:rsid w:val="005E3392"/>
    <w:rsid w:val="005E351D"/>
    <w:rsid w:val="005E3647"/>
    <w:rsid w:val="005E4245"/>
    <w:rsid w:val="005E4C29"/>
    <w:rsid w:val="005E4C4D"/>
    <w:rsid w:val="005E4D1F"/>
    <w:rsid w:val="005E5795"/>
    <w:rsid w:val="005E5BEB"/>
    <w:rsid w:val="005E5DF2"/>
    <w:rsid w:val="005E5E3F"/>
    <w:rsid w:val="005E6323"/>
    <w:rsid w:val="005F1685"/>
    <w:rsid w:val="005F19AE"/>
    <w:rsid w:val="005F19B6"/>
    <w:rsid w:val="005F1E9E"/>
    <w:rsid w:val="005F31C2"/>
    <w:rsid w:val="005F323B"/>
    <w:rsid w:val="005F3FEF"/>
    <w:rsid w:val="005F4165"/>
    <w:rsid w:val="005F469F"/>
    <w:rsid w:val="005F5355"/>
    <w:rsid w:val="005F660B"/>
    <w:rsid w:val="005F6958"/>
    <w:rsid w:val="005F74D6"/>
    <w:rsid w:val="00600CA2"/>
    <w:rsid w:val="0060202E"/>
    <w:rsid w:val="006023A6"/>
    <w:rsid w:val="00603CD0"/>
    <w:rsid w:val="00603D6F"/>
    <w:rsid w:val="00603F36"/>
    <w:rsid w:val="00604904"/>
    <w:rsid w:val="00606294"/>
    <w:rsid w:val="006063D3"/>
    <w:rsid w:val="006070B7"/>
    <w:rsid w:val="006079EC"/>
    <w:rsid w:val="00607CCC"/>
    <w:rsid w:val="00607E9A"/>
    <w:rsid w:val="00610965"/>
    <w:rsid w:val="006118C0"/>
    <w:rsid w:val="00611AF6"/>
    <w:rsid w:val="00611F10"/>
    <w:rsid w:val="00612B8B"/>
    <w:rsid w:val="00612CFF"/>
    <w:rsid w:val="00612FA8"/>
    <w:rsid w:val="00614017"/>
    <w:rsid w:val="006146A8"/>
    <w:rsid w:val="00615FBC"/>
    <w:rsid w:val="00616738"/>
    <w:rsid w:val="00616B95"/>
    <w:rsid w:val="00617466"/>
    <w:rsid w:val="00617481"/>
    <w:rsid w:val="0061761A"/>
    <w:rsid w:val="00620536"/>
    <w:rsid w:val="00620922"/>
    <w:rsid w:val="00620983"/>
    <w:rsid w:val="00620D08"/>
    <w:rsid w:val="00621C12"/>
    <w:rsid w:val="0062258B"/>
    <w:rsid w:val="00622590"/>
    <w:rsid w:val="00622E15"/>
    <w:rsid w:val="00622F86"/>
    <w:rsid w:val="0062302A"/>
    <w:rsid w:val="006235EA"/>
    <w:rsid w:val="006236E5"/>
    <w:rsid w:val="006241F1"/>
    <w:rsid w:val="00625086"/>
    <w:rsid w:val="00625639"/>
    <w:rsid w:val="006258DA"/>
    <w:rsid w:val="00625FCD"/>
    <w:rsid w:val="00627E74"/>
    <w:rsid w:val="00630377"/>
    <w:rsid w:val="00630A67"/>
    <w:rsid w:val="0063191C"/>
    <w:rsid w:val="00632026"/>
    <w:rsid w:val="006324D1"/>
    <w:rsid w:val="00633603"/>
    <w:rsid w:val="00636FEA"/>
    <w:rsid w:val="00637435"/>
    <w:rsid w:val="006375C2"/>
    <w:rsid w:val="00637C6F"/>
    <w:rsid w:val="00637D25"/>
    <w:rsid w:val="00640BD9"/>
    <w:rsid w:val="00640F7B"/>
    <w:rsid w:val="006423BA"/>
    <w:rsid w:val="0064275C"/>
    <w:rsid w:val="0064352C"/>
    <w:rsid w:val="0064372C"/>
    <w:rsid w:val="00643743"/>
    <w:rsid w:val="00644233"/>
    <w:rsid w:val="006504CA"/>
    <w:rsid w:val="006507BB"/>
    <w:rsid w:val="00653931"/>
    <w:rsid w:val="00653A09"/>
    <w:rsid w:val="006541F3"/>
    <w:rsid w:val="00654803"/>
    <w:rsid w:val="006556A9"/>
    <w:rsid w:val="00655705"/>
    <w:rsid w:val="006560E6"/>
    <w:rsid w:val="0065646B"/>
    <w:rsid w:val="006564A5"/>
    <w:rsid w:val="00656904"/>
    <w:rsid w:val="00656D51"/>
    <w:rsid w:val="00657EFA"/>
    <w:rsid w:val="00657FE5"/>
    <w:rsid w:val="00660BCF"/>
    <w:rsid w:val="00661846"/>
    <w:rsid w:val="006627EB"/>
    <w:rsid w:val="00663F80"/>
    <w:rsid w:val="00665793"/>
    <w:rsid w:val="00665D7C"/>
    <w:rsid w:val="0066603E"/>
    <w:rsid w:val="00666B92"/>
    <w:rsid w:val="006673FE"/>
    <w:rsid w:val="0066746A"/>
    <w:rsid w:val="0066784B"/>
    <w:rsid w:val="00667ED4"/>
    <w:rsid w:val="00667F22"/>
    <w:rsid w:val="0067086C"/>
    <w:rsid w:val="00670AE9"/>
    <w:rsid w:val="0067304E"/>
    <w:rsid w:val="00673C71"/>
    <w:rsid w:val="006742E4"/>
    <w:rsid w:val="00674D57"/>
    <w:rsid w:val="006760EA"/>
    <w:rsid w:val="00677AC9"/>
    <w:rsid w:val="00677E1B"/>
    <w:rsid w:val="00680D7C"/>
    <w:rsid w:val="00680E89"/>
    <w:rsid w:val="0068127A"/>
    <w:rsid w:val="006822C3"/>
    <w:rsid w:val="00683029"/>
    <w:rsid w:val="0068321E"/>
    <w:rsid w:val="006832FA"/>
    <w:rsid w:val="00683828"/>
    <w:rsid w:val="00683950"/>
    <w:rsid w:val="00683E2F"/>
    <w:rsid w:val="00683EAE"/>
    <w:rsid w:val="00684A72"/>
    <w:rsid w:val="00685B76"/>
    <w:rsid w:val="00686451"/>
    <w:rsid w:val="0068696C"/>
    <w:rsid w:val="00686D59"/>
    <w:rsid w:val="00687818"/>
    <w:rsid w:val="00687889"/>
    <w:rsid w:val="006907D5"/>
    <w:rsid w:val="006907FD"/>
    <w:rsid w:val="00690F02"/>
    <w:rsid w:val="00692145"/>
    <w:rsid w:val="006928BD"/>
    <w:rsid w:val="00692CB1"/>
    <w:rsid w:val="006938C2"/>
    <w:rsid w:val="00693926"/>
    <w:rsid w:val="00694622"/>
    <w:rsid w:val="00694703"/>
    <w:rsid w:val="00694D94"/>
    <w:rsid w:val="00695DEB"/>
    <w:rsid w:val="00696303"/>
    <w:rsid w:val="00696780"/>
    <w:rsid w:val="006967DE"/>
    <w:rsid w:val="00697496"/>
    <w:rsid w:val="006A0297"/>
    <w:rsid w:val="006A049D"/>
    <w:rsid w:val="006A0F16"/>
    <w:rsid w:val="006A1944"/>
    <w:rsid w:val="006A219C"/>
    <w:rsid w:val="006A3B16"/>
    <w:rsid w:val="006A6FCD"/>
    <w:rsid w:val="006B08DA"/>
    <w:rsid w:val="006B0C43"/>
    <w:rsid w:val="006B0F12"/>
    <w:rsid w:val="006B1079"/>
    <w:rsid w:val="006B1D6A"/>
    <w:rsid w:val="006B1F36"/>
    <w:rsid w:val="006B2F7C"/>
    <w:rsid w:val="006B36FE"/>
    <w:rsid w:val="006B3812"/>
    <w:rsid w:val="006B3BE5"/>
    <w:rsid w:val="006B443B"/>
    <w:rsid w:val="006B47CC"/>
    <w:rsid w:val="006B4AED"/>
    <w:rsid w:val="006B4F11"/>
    <w:rsid w:val="006B516B"/>
    <w:rsid w:val="006B54DA"/>
    <w:rsid w:val="006B6291"/>
    <w:rsid w:val="006B684D"/>
    <w:rsid w:val="006B7A43"/>
    <w:rsid w:val="006B7CF6"/>
    <w:rsid w:val="006B7D4F"/>
    <w:rsid w:val="006C0725"/>
    <w:rsid w:val="006C0D9D"/>
    <w:rsid w:val="006C12CE"/>
    <w:rsid w:val="006C194A"/>
    <w:rsid w:val="006C1A93"/>
    <w:rsid w:val="006C1ABE"/>
    <w:rsid w:val="006C2048"/>
    <w:rsid w:val="006C2C8B"/>
    <w:rsid w:val="006C2DC8"/>
    <w:rsid w:val="006C304E"/>
    <w:rsid w:val="006C4081"/>
    <w:rsid w:val="006C4218"/>
    <w:rsid w:val="006C4422"/>
    <w:rsid w:val="006C4B46"/>
    <w:rsid w:val="006C4C8F"/>
    <w:rsid w:val="006C4FD3"/>
    <w:rsid w:val="006C564C"/>
    <w:rsid w:val="006C5F48"/>
    <w:rsid w:val="006C6330"/>
    <w:rsid w:val="006C6F8A"/>
    <w:rsid w:val="006D0192"/>
    <w:rsid w:val="006D03D7"/>
    <w:rsid w:val="006D122E"/>
    <w:rsid w:val="006D1681"/>
    <w:rsid w:val="006D236A"/>
    <w:rsid w:val="006D2C57"/>
    <w:rsid w:val="006D2FD2"/>
    <w:rsid w:val="006D5F8C"/>
    <w:rsid w:val="006D6186"/>
    <w:rsid w:val="006D6325"/>
    <w:rsid w:val="006D7103"/>
    <w:rsid w:val="006D77B5"/>
    <w:rsid w:val="006D7823"/>
    <w:rsid w:val="006E031B"/>
    <w:rsid w:val="006E0674"/>
    <w:rsid w:val="006E0ECD"/>
    <w:rsid w:val="006E0FC2"/>
    <w:rsid w:val="006E1296"/>
    <w:rsid w:val="006E190B"/>
    <w:rsid w:val="006E1B0B"/>
    <w:rsid w:val="006E2E8F"/>
    <w:rsid w:val="006E2F17"/>
    <w:rsid w:val="006E3D6A"/>
    <w:rsid w:val="006E42A2"/>
    <w:rsid w:val="006E4C0B"/>
    <w:rsid w:val="006E50C6"/>
    <w:rsid w:val="006E5827"/>
    <w:rsid w:val="006E5FCC"/>
    <w:rsid w:val="006E6AB1"/>
    <w:rsid w:val="006E6E8E"/>
    <w:rsid w:val="006E722C"/>
    <w:rsid w:val="006E7354"/>
    <w:rsid w:val="006E73DA"/>
    <w:rsid w:val="006F07E3"/>
    <w:rsid w:val="006F0B2C"/>
    <w:rsid w:val="006F0CCE"/>
    <w:rsid w:val="006F120D"/>
    <w:rsid w:val="006F318E"/>
    <w:rsid w:val="006F33F0"/>
    <w:rsid w:val="006F3CC2"/>
    <w:rsid w:val="006F3D46"/>
    <w:rsid w:val="006F530D"/>
    <w:rsid w:val="006F558D"/>
    <w:rsid w:val="006F6D26"/>
    <w:rsid w:val="006F70E6"/>
    <w:rsid w:val="006F73AF"/>
    <w:rsid w:val="007001DD"/>
    <w:rsid w:val="007015FB"/>
    <w:rsid w:val="00701B19"/>
    <w:rsid w:val="00701E58"/>
    <w:rsid w:val="0070291A"/>
    <w:rsid w:val="0070366F"/>
    <w:rsid w:val="00703898"/>
    <w:rsid w:val="00703913"/>
    <w:rsid w:val="007043C7"/>
    <w:rsid w:val="00705C40"/>
    <w:rsid w:val="007076A4"/>
    <w:rsid w:val="0070795F"/>
    <w:rsid w:val="007079A0"/>
    <w:rsid w:val="00707E6B"/>
    <w:rsid w:val="007106ED"/>
    <w:rsid w:val="00710A30"/>
    <w:rsid w:val="00710D1C"/>
    <w:rsid w:val="00711887"/>
    <w:rsid w:val="00712557"/>
    <w:rsid w:val="00712831"/>
    <w:rsid w:val="00712F78"/>
    <w:rsid w:val="00713F7D"/>
    <w:rsid w:val="00713FEC"/>
    <w:rsid w:val="007140F8"/>
    <w:rsid w:val="00714255"/>
    <w:rsid w:val="00715BD7"/>
    <w:rsid w:val="00715E1B"/>
    <w:rsid w:val="007164B0"/>
    <w:rsid w:val="0071688C"/>
    <w:rsid w:val="007177A8"/>
    <w:rsid w:val="007179B6"/>
    <w:rsid w:val="00717CBB"/>
    <w:rsid w:val="00717F80"/>
    <w:rsid w:val="0072145C"/>
    <w:rsid w:val="007219C8"/>
    <w:rsid w:val="007231C9"/>
    <w:rsid w:val="00723328"/>
    <w:rsid w:val="00723A8C"/>
    <w:rsid w:val="00723F70"/>
    <w:rsid w:val="007250F1"/>
    <w:rsid w:val="00725168"/>
    <w:rsid w:val="00725E80"/>
    <w:rsid w:val="00726AF1"/>
    <w:rsid w:val="007273ED"/>
    <w:rsid w:val="00727D36"/>
    <w:rsid w:val="007304F1"/>
    <w:rsid w:val="00730767"/>
    <w:rsid w:val="00732439"/>
    <w:rsid w:val="0073390D"/>
    <w:rsid w:val="0073501D"/>
    <w:rsid w:val="00735A61"/>
    <w:rsid w:val="00736AE6"/>
    <w:rsid w:val="00736CC3"/>
    <w:rsid w:val="0073701B"/>
    <w:rsid w:val="007408FA"/>
    <w:rsid w:val="007419EF"/>
    <w:rsid w:val="00741A47"/>
    <w:rsid w:val="00741F1B"/>
    <w:rsid w:val="007423A4"/>
    <w:rsid w:val="007424A1"/>
    <w:rsid w:val="0074252F"/>
    <w:rsid w:val="00742573"/>
    <w:rsid w:val="007426B7"/>
    <w:rsid w:val="00742DC6"/>
    <w:rsid w:val="00743861"/>
    <w:rsid w:val="007446E9"/>
    <w:rsid w:val="00744F3D"/>
    <w:rsid w:val="00745396"/>
    <w:rsid w:val="00745764"/>
    <w:rsid w:val="007465E3"/>
    <w:rsid w:val="00750D9E"/>
    <w:rsid w:val="007519DC"/>
    <w:rsid w:val="00752005"/>
    <w:rsid w:val="007535AC"/>
    <w:rsid w:val="00753AFD"/>
    <w:rsid w:val="00753E0B"/>
    <w:rsid w:val="00754850"/>
    <w:rsid w:val="00754E23"/>
    <w:rsid w:val="007551B3"/>
    <w:rsid w:val="0075549C"/>
    <w:rsid w:val="007557A6"/>
    <w:rsid w:val="00755A25"/>
    <w:rsid w:val="007567A7"/>
    <w:rsid w:val="00756A32"/>
    <w:rsid w:val="00756E13"/>
    <w:rsid w:val="00757129"/>
    <w:rsid w:val="007572E3"/>
    <w:rsid w:val="00757AC8"/>
    <w:rsid w:val="00757F22"/>
    <w:rsid w:val="00761465"/>
    <w:rsid w:val="007629B1"/>
    <w:rsid w:val="00762B9A"/>
    <w:rsid w:val="007638B3"/>
    <w:rsid w:val="00764919"/>
    <w:rsid w:val="00764F3C"/>
    <w:rsid w:val="0076505D"/>
    <w:rsid w:val="00765693"/>
    <w:rsid w:val="007658CE"/>
    <w:rsid w:val="00765A17"/>
    <w:rsid w:val="00766578"/>
    <w:rsid w:val="0076693A"/>
    <w:rsid w:val="00766C07"/>
    <w:rsid w:val="00767570"/>
    <w:rsid w:val="00767D84"/>
    <w:rsid w:val="00771F61"/>
    <w:rsid w:val="00771FB1"/>
    <w:rsid w:val="007738D1"/>
    <w:rsid w:val="00773BED"/>
    <w:rsid w:val="00773C35"/>
    <w:rsid w:val="00773E4D"/>
    <w:rsid w:val="0077418B"/>
    <w:rsid w:val="00774627"/>
    <w:rsid w:val="00774665"/>
    <w:rsid w:val="00774EBB"/>
    <w:rsid w:val="00775450"/>
    <w:rsid w:val="007756F2"/>
    <w:rsid w:val="00775D87"/>
    <w:rsid w:val="00776907"/>
    <w:rsid w:val="00776D2C"/>
    <w:rsid w:val="00776D93"/>
    <w:rsid w:val="007779E0"/>
    <w:rsid w:val="0078087E"/>
    <w:rsid w:val="00780E10"/>
    <w:rsid w:val="00781259"/>
    <w:rsid w:val="00782ED4"/>
    <w:rsid w:val="00783AE0"/>
    <w:rsid w:val="00783F15"/>
    <w:rsid w:val="00784198"/>
    <w:rsid w:val="007859DD"/>
    <w:rsid w:val="0078637D"/>
    <w:rsid w:val="00787023"/>
    <w:rsid w:val="00787296"/>
    <w:rsid w:val="00787908"/>
    <w:rsid w:val="0079094B"/>
    <w:rsid w:val="00790E0D"/>
    <w:rsid w:val="0079116C"/>
    <w:rsid w:val="007921ED"/>
    <w:rsid w:val="00792DAF"/>
    <w:rsid w:val="00793654"/>
    <w:rsid w:val="007936C4"/>
    <w:rsid w:val="00793D95"/>
    <w:rsid w:val="007941D3"/>
    <w:rsid w:val="00794AD7"/>
    <w:rsid w:val="00794BCC"/>
    <w:rsid w:val="00794C37"/>
    <w:rsid w:val="007952D9"/>
    <w:rsid w:val="00795FF7"/>
    <w:rsid w:val="00796013"/>
    <w:rsid w:val="00797BCE"/>
    <w:rsid w:val="007A037D"/>
    <w:rsid w:val="007A04B6"/>
    <w:rsid w:val="007A0A2D"/>
    <w:rsid w:val="007A0C4F"/>
    <w:rsid w:val="007A16CE"/>
    <w:rsid w:val="007A1E90"/>
    <w:rsid w:val="007A2CFA"/>
    <w:rsid w:val="007A2F2F"/>
    <w:rsid w:val="007A3F79"/>
    <w:rsid w:val="007A40A0"/>
    <w:rsid w:val="007A46DB"/>
    <w:rsid w:val="007A4A6D"/>
    <w:rsid w:val="007A4A89"/>
    <w:rsid w:val="007A4B46"/>
    <w:rsid w:val="007A57EC"/>
    <w:rsid w:val="007A6B31"/>
    <w:rsid w:val="007A6EFB"/>
    <w:rsid w:val="007A77D7"/>
    <w:rsid w:val="007A7994"/>
    <w:rsid w:val="007B0B6B"/>
    <w:rsid w:val="007B0D22"/>
    <w:rsid w:val="007B2613"/>
    <w:rsid w:val="007B3331"/>
    <w:rsid w:val="007B351B"/>
    <w:rsid w:val="007B40E6"/>
    <w:rsid w:val="007B4274"/>
    <w:rsid w:val="007B4520"/>
    <w:rsid w:val="007B47F2"/>
    <w:rsid w:val="007B480D"/>
    <w:rsid w:val="007B4CE3"/>
    <w:rsid w:val="007B5704"/>
    <w:rsid w:val="007B57B6"/>
    <w:rsid w:val="007B6CE3"/>
    <w:rsid w:val="007B6FBD"/>
    <w:rsid w:val="007B7E64"/>
    <w:rsid w:val="007C03CB"/>
    <w:rsid w:val="007C0631"/>
    <w:rsid w:val="007C0E6B"/>
    <w:rsid w:val="007C1A39"/>
    <w:rsid w:val="007C231A"/>
    <w:rsid w:val="007C2F6A"/>
    <w:rsid w:val="007C2FA5"/>
    <w:rsid w:val="007C3380"/>
    <w:rsid w:val="007C3916"/>
    <w:rsid w:val="007C3E22"/>
    <w:rsid w:val="007C4490"/>
    <w:rsid w:val="007C4C23"/>
    <w:rsid w:val="007C6E64"/>
    <w:rsid w:val="007C73F4"/>
    <w:rsid w:val="007C7A1E"/>
    <w:rsid w:val="007D0578"/>
    <w:rsid w:val="007D0F35"/>
    <w:rsid w:val="007D1959"/>
    <w:rsid w:val="007D1B88"/>
    <w:rsid w:val="007D1D96"/>
    <w:rsid w:val="007D2073"/>
    <w:rsid w:val="007D3737"/>
    <w:rsid w:val="007D37E9"/>
    <w:rsid w:val="007D3C81"/>
    <w:rsid w:val="007D4E49"/>
    <w:rsid w:val="007D549E"/>
    <w:rsid w:val="007D569E"/>
    <w:rsid w:val="007D68E7"/>
    <w:rsid w:val="007D6BB8"/>
    <w:rsid w:val="007D7B88"/>
    <w:rsid w:val="007D7E10"/>
    <w:rsid w:val="007E01DC"/>
    <w:rsid w:val="007E0201"/>
    <w:rsid w:val="007E0C54"/>
    <w:rsid w:val="007E1296"/>
    <w:rsid w:val="007E26C6"/>
    <w:rsid w:val="007E2F80"/>
    <w:rsid w:val="007E3B88"/>
    <w:rsid w:val="007E3C24"/>
    <w:rsid w:val="007E402D"/>
    <w:rsid w:val="007E4855"/>
    <w:rsid w:val="007E6722"/>
    <w:rsid w:val="007E6C5A"/>
    <w:rsid w:val="007E75E8"/>
    <w:rsid w:val="007F01FA"/>
    <w:rsid w:val="007F0E80"/>
    <w:rsid w:val="007F11C6"/>
    <w:rsid w:val="007F14CC"/>
    <w:rsid w:val="007F37DF"/>
    <w:rsid w:val="007F3F84"/>
    <w:rsid w:val="007F5738"/>
    <w:rsid w:val="007F5CB7"/>
    <w:rsid w:val="007F69C2"/>
    <w:rsid w:val="007F7B97"/>
    <w:rsid w:val="007F7BCF"/>
    <w:rsid w:val="007F7D7D"/>
    <w:rsid w:val="00800215"/>
    <w:rsid w:val="00802FDD"/>
    <w:rsid w:val="00803768"/>
    <w:rsid w:val="0080491E"/>
    <w:rsid w:val="0080510A"/>
    <w:rsid w:val="00805223"/>
    <w:rsid w:val="00806419"/>
    <w:rsid w:val="00806CD5"/>
    <w:rsid w:val="00807AC3"/>
    <w:rsid w:val="00810073"/>
    <w:rsid w:val="008101B9"/>
    <w:rsid w:val="00810347"/>
    <w:rsid w:val="0081056D"/>
    <w:rsid w:val="00810A92"/>
    <w:rsid w:val="008110BB"/>
    <w:rsid w:val="00811371"/>
    <w:rsid w:val="008117C3"/>
    <w:rsid w:val="00811D46"/>
    <w:rsid w:val="00811F63"/>
    <w:rsid w:val="0081335D"/>
    <w:rsid w:val="00813E32"/>
    <w:rsid w:val="00814206"/>
    <w:rsid w:val="008147F8"/>
    <w:rsid w:val="00814BF4"/>
    <w:rsid w:val="00816112"/>
    <w:rsid w:val="00816302"/>
    <w:rsid w:val="00816344"/>
    <w:rsid w:val="00816470"/>
    <w:rsid w:val="00816666"/>
    <w:rsid w:val="008166BC"/>
    <w:rsid w:val="00817D96"/>
    <w:rsid w:val="008204A8"/>
    <w:rsid w:val="008207D4"/>
    <w:rsid w:val="00820858"/>
    <w:rsid w:val="008224F4"/>
    <w:rsid w:val="0082282A"/>
    <w:rsid w:val="008233D6"/>
    <w:rsid w:val="00823695"/>
    <w:rsid w:val="00823F02"/>
    <w:rsid w:val="00824565"/>
    <w:rsid w:val="00825AB6"/>
    <w:rsid w:val="0082646A"/>
    <w:rsid w:val="00826AFF"/>
    <w:rsid w:val="00827A4F"/>
    <w:rsid w:val="00827B43"/>
    <w:rsid w:val="008303AE"/>
    <w:rsid w:val="008303E6"/>
    <w:rsid w:val="0083158F"/>
    <w:rsid w:val="00831AAC"/>
    <w:rsid w:val="00832676"/>
    <w:rsid w:val="00832F04"/>
    <w:rsid w:val="0083322E"/>
    <w:rsid w:val="00833762"/>
    <w:rsid w:val="008339D6"/>
    <w:rsid w:val="00833E89"/>
    <w:rsid w:val="00833E9D"/>
    <w:rsid w:val="00835259"/>
    <w:rsid w:val="00836017"/>
    <w:rsid w:val="00836679"/>
    <w:rsid w:val="00836691"/>
    <w:rsid w:val="00836946"/>
    <w:rsid w:val="00836C96"/>
    <w:rsid w:val="0083725C"/>
    <w:rsid w:val="00837500"/>
    <w:rsid w:val="00837B40"/>
    <w:rsid w:val="00837EBA"/>
    <w:rsid w:val="00840B5B"/>
    <w:rsid w:val="00841363"/>
    <w:rsid w:val="0084171F"/>
    <w:rsid w:val="00841994"/>
    <w:rsid w:val="00842324"/>
    <w:rsid w:val="00842E67"/>
    <w:rsid w:val="0084507E"/>
    <w:rsid w:val="00845F06"/>
    <w:rsid w:val="0084617B"/>
    <w:rsid w:val="00846C70"/>
    <w:rsid w:val="00847297"/>
    <w:rsid w:val="0085015B"/>
    <w:rsid w:val="0085020D"/>
    <w:rsid w:val="00851095"/>
    <w:rsid w:val="00851E44"/>
    <w:rsid w:val="0085207C"/>
    <w:rsid w:val="0085217F"/>
    <w:rsid w:val="00853301"/>
    <w:rsid w:val="00853B2A"/>
    <w:rsid w:val="008543F9"/>
    <w:rsid w:val="00854EEC"/>
    <w:rsid w:val="008570E0"/>
    <w:rsid w:val="00860F3E"/>
    <w:rsid w:val="00860F9F"/>
    <w:rsid w:val="00861142"/>
    <w:rsid w:val="00861761"/>
    <w:rsid w:val="0086283D"/>
    <w:rsid w:val="00863F54"/>
    <w:rsid w:val="00863FBF"/>
    <w:rsid w:val="0086571C"/>
    <w:rsid w:val="00865B82"/>
    <w:rsid w:val="00866043"/>
    <w:rsid w:val="008673A7"/>
    <w:rsid w:val="0087043C"/>
    <w:rsid w:val="00871A00"/>
    <w:rsid w:val="00871F4F"/>
    <w:rsid w:val="00873320"/>
    <w:rsid w:val="008733F0"/>
    <w:rsid w:val="00873866"/>
    <w:rsid w:val="0087418B"/>
    <w:rsid w:val="00874368"/>
    <w:rsid w:val="00874A16"/>
    <w:rsid w:val="008805FB"/>
    <w:rsid w:val="00880B43"/>
    <w:rsid w:val="00880C41"/>
    <w:rsid w:val="00880C63"/>
    <w:rsid w:val="00880CD6"/>
    <w:rsid w:val="00881249"/>
    <w:rsid w:val="008813B4"/>
    <w:rsid w:val="008825FB"/>
    <w:rsid w:val="00882C0D"/>
    <w:rsid w:val="00883D8A"/>
    <w:rsid w:val="0088411B"/>
    <w:rsid w:val="00884489"/>
    <w:rsid w:val="0088511A"/>
    <w:rsid w:val="00885306"/>
    <w:rsid w:val="00885488"/>
    <w:rsid w:val="00885EC4"/>
    <w:rsid w:val="00886220"/>
    <w:rsid w:val="00886D51"/>
    <w:rsid w:val="00887F02"/>
    <w:rsid w:val="0089027C"/>
    <w:rsid w:val="008903B3"/>
    <w:rsid w:val="0089047A"/>
    <w:rsid w:val="00891317"/>
    <w:rsid w:val="0089185F"/>
    <w:rsid w:val="00891C30"/>
    <w:rsid w:val="00891D56"/>
    <w:rsid w:val="0089229E"/>
    <w:rsid w:val="0089237F"/>
    <w:rsid w:val="00892A2F"/>
    <w:rsid w:val="00893658"/>
    <w:rsid w:val="008939C1"/>
    <w:rsid w:val="00894835"/>
    <w:rsid w:val="0089508F"/>
    <w:rsid w:val="00895AE6"/>
    <w:rsid w:val="00895D91"/>
    <w:rsid w:val="008962B2"/>
    <w:rsid w:val="00897E40"/>
    <w:rsid w:val="008A0394"/>
    <w:rsid w:val="008A08AD"/>
    <w:rsid w:val="008A0B31"/>
    <w:rsid w:val="008A0E45"/>
    <w:rsid w:val="008A141D"/>
    <w:rsid w:val="008A21F6"/>
    <w:rsid w:val="008A3D98"/>
    <w:rsid w:val="008A44FD"/>
    <w:rsid w:val="008A46E6"/>
    <w:rsid w:val="008A4F39"/>
    <w:rsid w:val="008A6091"/>
    <w:rsid w:val="008A6652"/>
    <w:rsid w:val="008A6A41"/>
    <w:rsid w:val="008B0C80"/>
    <w:rsid w:val="008B18EE"/>
    <w:rsid w:val="008B2060"/>
    <w:rsid w:val="008B2106"/>
    <w:rsid w:val="008B2449"/>
    <w:rsid w:val="008B3224"/>
    <w:rsid w:val="008B3F19"/>
    <w:rsid w:val="008B3FBB"/>
    <w:rsid w:val="008B46B3"/>
    <w:rsid w:val="008B46CF"/>
    <w:rsid w:val="008B6397"/>
    <w:rsid w:val="008B656D"/>
    <w:rsid w:val="008B669A"/>
    <w:rsid w:val="008B6EC1"/>
    <w:rsid w:val="008B77C5"/>
    <w:rsid w:val="008B7FEC"/>
    <w:rsid w:val="008C02D9"/>
    <w:rsid w:val="008C030F"/>
    <w:rsid w:val="008C033E"/>
    <w:rsid w:val="008C08A4"/>
    <w:rsid w:val="008C1E35"/>
    <w:rsid w:val="008C1F72"/>
    <w:rsid w:val="008C384F"/>
    <w:rsid w:val="008C3E59"/>
    <w:rsid w:val="008C4040"/>
    <w:rsid w:val="008C5496"/>
    <w:rsid w:val="008C6629"/>
    <w:rsid w:val="008C68AC"/>
    <w:rsid w:val="008C6BCD"/>
    <w:rsid w:val="008C751A"/>
    <w:rsid w:val="008C7615"/>
    <w:rsid w:val="008C78AC"/>
    <w:rsid w:val="008C7DE2"/>
    <w:rsid w:val="008D1025"/>
    <w:rsid w:val="008D1238"/>
    <w:rsid w:val="008D157D"/>
    <w:rsid w:val="008D1B8D"/>
    <w:rsid w:val="008D2ADE"/>
    <w:rsid w:val="008D2D3A"/>
    <w:rsid w:val="008D3354"/>
    <w:rsid w:val="008D34E0"/>
    <w:rsid w:val="008D3514"/>
    <w:rsid w:val="008D37CB"/>
    <w:rsid w:val="008D3A71"/>
    <w:rsid w:val="008D3C37"/>
    <w:rsid w:val="008D50EC"/>
    <w:rsid w:val="008D5C1D"/>
    <w:rsid w:val="008D5D8D"/>
    <w:rsid w:val="008D6252"/>
    <w:rsid w:val="008D6871"/>
    <w:rsid w:val="008D6EAB"/>
    <w:rsid w:val="008D72EF"/>
    <w:rsid w:val="008D7658"/>
    <w:rsid w:val="008D7CCF"/>
    <w:rsid w:val="008E0403"/>
    <w:rsid w:val="008E0A3B"/>
    <w:rsid w:val="008E0AD3"/>
    <w:rsid w:val="008E14F0"/>
    <w:rsid w:val="008E1809"/>
    <w:rsid w:val="008E185B"/>
    <w:rsid w:val="008E1D46"/>
    <w:rsid w:val="008E2079"/>
    <w:rsid w:val="008E208D"/>
    <w:rsid w:val="008E26C7"/>
    <w:rsid w:val="008E31C0"/>
    <w:rsid w:val="008E4DFC"/>
    <w:rsid w:val="008E5B54"/>
    <w:rsid w:val="008E6EA6"/>
    <w:rsid w:val="008E7D21"/>
    <w:rsid w:val="008E7EEF"/>
    <w:rsid w:val="008F0E17"/>
    <w:rsid w:val="008F0F0A"/>
    <w:rsid w:val="008F1674"/>
    <w:rsid w:val="008F1E95"/>
    <w:rsid w:val="008F2B0F"/>
    <w:rsid w:val="008F2D08"/>
    <w:rsid w:val="008F306A"/>
    <w:rsid w:val="008F34F1"/>
    <w:rsid w:val="008F37BD"/>
    <w:rsid w:val="008F3B3A"/>
    <w:rsid w:val="008F41C4"/>
    <w:rsid w:val="008F430F"/>
    <w:rsid w:val="008F5023"/>
    <w:rsid w:val="008F5BF6"/>
    <w:rsid w:val="008F60BE"/>
    <w:rsid w:val="008F741C"/>
    <w:rsid w:val="008F7536"/>
    <w:rsid w:val="00900340"/>
    <w:rsid w:val="00900C0B"/>
    <w:rsid w:val="00900C97"/>
    <w:rsid w:val="00900C9E"/>
    <w:rsid w:val="00900F6E"/>
    <w:rsid w:val="0090151C"/>
    <w:rsid w:val="009023CA"/>
    <w:rsid w:val="00902546"/>
    <w:rsid w:val="0090290E"/>
    <w:rsid w:val="00902ADF"/>
    <w:rsid w:val="009031B4"/>
    <w:rsid w:val="00903F73"/>
    <w:rsid w:val="00904314"/>
    <w:rsid w:val="009049FE"/>
    <w:rsid w:val="00905843"/>
    <w:rsid w:val="00905AA6"/>
    <w:rsid w:val="00905B38"/>
    <w:rsid w:val="00905EA3"/>
    <w:rsid w:val="00906069"/>
    <w:rsid w:val="00907164"/>
    <w:rsid w:val="0090777D"/>
    <w:rsid w:val="00910581"/>
    <w:rsid w:val="00910C66"/>
    <w:rsid w:val="00910FCD"/>
    <w:rsid w:val="00912014"/>
    <w:rsid w:val="00912857"/>
    <w:rsid w:val="00912BB5"/>
    <w:rsid w:val="0091520F"/>
    <w:rsid w:val="0091540D"/>
    <w:rsid w:val="0091568B"/>
    <w:rsid w:val="009159C5"/>
    <w:rsid w:val="00916498"/>
    <w:rsid w:val="009164CF"/>
    <w:rsid w:val="00917508"/>
    <w:rsid w:val="00917608"/>
    <w:rsid w:val="0091778D"/>
    <w:rsid w:val="00917BBC"/>
    <w:rsid w:val="009202B3"/>
    <w:rsid w:val="0092124D"/>
    <w:rsid w:val="00921808"/>
    <w:rsid w:val="00922888"/>
    <w:rsid w:val="00923716"/>
    <w:rsid w:val="0092444D"/>
    <w:rsid w:val="00924540"/>
    <w:rsid w:val="00925685"/>
    <w:rsid w:val="0092659A"/>
    <w:rsid w:val="00930BEF"/>
    <w:rsid w:val="00930C34"/>
    <w:rsid w:val="00930D4E"/>
    <w:rsid w:val="00932BEE"/>
    <w:rsid w:val="00933186"/>
    <w:rsid w:val="0093346B"/>
    <w:rsid w:val="00933BC1"/>
    <w:rsid w:val="00933BF9"/>
    <w:rsid w:val="009345F0"/>
    <w:rsid w:val="00935C29"/>
    <w:rsid w:val="009401B2"/>
    <w:rsid w:val="0094061C"/>
    <w:rsid w:val="00940764"/>
    <w:rsid w:val="00940861"/>
    <w:rsid w:val="00940BC6"/>
    <w:rsid w:val="00940F00"/>
    <w:rsid w:val="009412D5"/>
    <w:rsid w:val="00941A83"/>
    <w:rsid w:val="00941B2E"/>
    <w:rsid w:val="00941EAB"/>
    <w:rsid w:val="0094202F"/>
    <w:rsid w:val="00942096"/>
    <w:rsid w:val="0094302C"/>
    <w:rsid w:val="0094406C"/>
    <w:rsid w:val="009446B8"/>
    <w:rsid w:val="00944759"/>
    <w:rsid w:val="009450F1"/>
    <w:rsid w:val="009453DF"/>
    <w:rsid w:val="00945A40"/>
    <w:rsid w:val="00946335"/>
    <w:rsid w:val="00946C9B"/>
    <w:rsid w:val="00947A24"/>
    <w:rsid w:val="009502A5"/>
    <w:rsid w:val="00950A71"/>
    <w:rsid w:val="00950BB7"/>
    <w:rsid w:val="00950D0A"/>
    <w:rsid w:val="00950E62"/>
    <w:rsid w:val="009510EE"/>
    <w:rsid w:val="00951824"/>
    <w:rsid w:val="0095280E"/>
    <w:rsid w:val="009536DB"/>
    <w:rsid w:val="009536FC"/>
    <w:rsid w:val="00953AAB"/>
    <w:rsid w:val="00953C7F"/>
    <w:rsid w:val="009541C7"/>
    <w:rsid w:val="0095527A"/>
    <w:rsid w:val="009559D3"/>
    <w:rsid w:val="00955CE4"/>
    <w:rsid w:val="009567D7"/>
    <w:rsid w:val="00956847"/>
    <w:rsid w:val="009602C8"/>
    <w:rsid w:val="00960645"/>
    <w:rsid w:val="00960EB7"/>
    <w:rsid w:val="00960FF4"/>
    <w:rsid w:val="00961162"/>
    <w:rsid w:val="0096135E"/>
    <w:rsid w:val="009622EF"/>
    <w:rsid w:val="00962EB2"/>
    <w:rsid w:val="00962EFF"/>
    <w:rsid w:val="00963286"/>
    <w:rsid w:val="00965E2F"/>
    <w:rsid w:val="00965F35"/>
    <w:rsid w:val="00966001"/>
    <w:rsid w:val="00967275"/>
    <w:rsid w:val="00970248"/>
    <w:rsid w:val="00970B98"/>
    <w:rsid w:val="00970E9E"/>
    <w:rsid w:val="0097193C"/>
    <w:rsid w:val="00971B49"/>
    <w:rsid w:val="00972CA7"/>
    <w:rsid w:val="009730EB"/>
    <w:rsid w:val="009732EB"/>
    <w:rsid w:val="00973724"/>
    <w:rsid w:val="00973B78"/>
    <w:rsid w:val="00973F65"/>
    <w:rsid w:val="00973F73"/>
    <w:rsid w:val="00974D2D"/>
    <w:rsid w:val="00974F07"/>
    <w:rsid w:val="009750E9"/>
    <w:rsid w:val="00975537"/>
    <w:rsid w:val="00975F0D"/>
    <w:rsid w:val="00976583"/>
    <w:rsid w:val="00976C52"/>
    <w:rsid w:val="00976F13"/>
    <w:rsid w:val="00976F9A"/>
    <w:rsid w:val="009779C8"/>
    <w:rsid w:val="00980CF6"/>
    <w:rsid w:val="00981335"/>
    <w:rsid w:val="00981521"/>
    <w:rsid w:val="00981B5E"/>
    <w:rsid w:val="009828B2"/>
    <w:rsid w:val="0098298D"/>
    <w:rsid w:val="0098333D"/>
    <w:rsid w:val="00984079"/>
    <w:rsid w:val="00984638"/>
    <w:rsid w:val="00985A5F"/>
    <w:rsid w:val="00985F70"/>
    <w:rsid w:val="0098622B"/>
    <w:rsid w:val="00986F2C"/>
    <w:rsid w:val="00987556"/>
    <w:rsid w:val="0098763D"/>
    <w:rsid w:val="009876BB"/>
    <w:rsid w:val="00987FA2"/>
    <w:rsid w:val="00990FEC"/>
    <w:rsid w:val="00991788"/>
    <w:rsid w:val="00991935"/>
    <w:rsid w:val="00991BC3"/>
    <w:rsid w:val="00991EFA"/>
    <w:rsid w:val="00992D1F"/>
    <w:rsid w:val="00993269"/>
    <w:rsid w:val="00993493"/>
    <w:rsid w:val="009936A6"/>
    <w:rsid w:val="00993A3A"/>
    <w:rsid w:val="009943FA"/>
    <w:rsid w:val="00994968"/>
    <w:rsid w:val="00994FBF"/>
    <w:rsid w:val="00996A7D"/>
    <w:rsid w:val="009976D3"/>
    <w:rsid w:val="00997E6E"/>
    <w:rsid w:val="009A02AB"/>
    <w:rsid w:val="009A0F96"/>
    <w:rsid w:val="009A1B8F"/>
    <w:rsid w:val="009A1D1B"/>
    <w:rsid w:val="009A1ECA"/>
    <w:rsid w:val="009A2828"/>
    <w:rsid w:val="009A34F6"/>
    <w:rsid w:val="009A3664"/>
    <w:rsid w:val="009A37A5"/>
    <w:rsid w:val="009A5C25"/>
    <w:rsid w:val="009A5E9C"/>
    <w:rsid w:val="009A6282"/>
    <w:rsid w:val="009A7B18"/>
    <w:rsid w:val="009B0308"/>
    <w:rsid w:val="009B0F27"/>
    <w:rsid w:val="009B1141"/>
    <w:rsid w:val="009B1348"/>
    <w:rsid w:val="009B195C"/>
    <w:rsid w:val="009B1D93"/>
    <w:rsid w:val="009B25E9"/>
    <w:rsid w:val="009B321D"/>
    <w:rsid w:val="009B4B0B"/>
    <w:rsid w:val="009B4F26"/>
    <w:rsid w:val="009B5718"/>
    <w:rsid w:val="009B5E24"/>
    <w:rsid w:val="009B5F37"/>
    <w:rsid w:val="009B6263"/>
    <w:rsid w:val="009B7144"/>
    <w:rsid w:val="009B71D7"/>
    <w:rsid w:val="009B7592"/>
    <w:rsid w:val="009C02B0"/>
    <w:rsid w:val="009C0414"/>
    <w:rsid w:val="009C1619"/>
    <w:rsid w:val="009C18CD"/>
    <w:rsid w:val="009C253B"/>
    <w:rsid w:val="009C2662"/>
    <w:rsid w:val="009C2C7F"/>
    <w:rsid w:val="009C2EF0"/>
    <w:rsid w:val="009C312E"/>
    <w:rsid w:val="009C36D3"/>
    <w:rsid w:val="009C3808"/>
    <w:rsid w:val="009C38B9"/>
    <w:rsid w:val="009C3ADB"/>
    <w:rsid w:val="009C4068"/>
    <w:rsid w:val="009C5D3A"/>
    <w:rsid w:val="009C657B"/>
    <w:rsid w:val="009C694F"/>
    <w:rsid w:val="009C6D40"/>
    <w:rsid w:val="009D0113"/>
    <w:rsid w:val="009D1560"/>
    <w:rsid w:val="009D1691"/>
    <w:rsid w:val="009D1B4F"/>
    <w:rsid w:val="009D2326"/>
    <w:rsid w:val="009D2840"/>
    <w:rsid w:val="009D2949"/>
    <w:rsid w:val="009D3A84"/>
    <w:rsid w:val="009D4C98"/>
    <w:rsid w:val="009D4D7E"/>
    <w:rsid w:val="009D5793"/>
    <w:rsid w:val="009D57E3"/>
    <w:rsid w:val="009D5F2D"/>
    <w:rsid w:val="009D6BD7"/>
    <w:rsid w:val="009D7AF6"/>
    <w:rsid w:val="009E0A03"/>
    <w:rsid w:val="009E1409"/>
    <w:rsid w:val="009E3A52"/>
    <w:rsid w:val="009E42D1"/>
    <w:rsid w:val="009E42D5"/>
    <w:rsid w:val="009E456F"/>
    <w:rsid w:val="009E4BF8"/>
    <w:rsid w:val="009E58E4"/>
    <w:rsid w:val="009E5C2F"/>
    <w:rsid w:val="009E655C"/>
    <w:rsid w:val="009E662D"/>
    <w:rsid w:val="009E7814"/>
    <w:rsid w:val="009E7A6C"/>
    <w:rsid w:val="009E7C20"/>
    <w:rsid w:val="009F0531"/>
    <w:rsid w:val="009F0CAF"/>
    <w:rsid w:val="009F0E0C"/>
    <w:rsid w:val="009F167E"/>
    <w:rsid w:val="009F17E2"/>
    <w:rsid w:val="009F2254"/>
    <w:rsid w:val="009F231C"/>
    <w:rsid w:val="009F2AB7"/>
    <w:rsid w:val="009F2CE5"/>
    <w:rsid w:val="009F2E42"/>
    <w:rsid w:val="009F3385"/>
    <w:rsid w:val="009F36ED"/>
    <w:rsid w:val="009F4805"/>
    <w:rsid w:val="009F4B03"/>
    <w:rsid w:val="009F4BFB"/>
    <w:rsid w:val="009F4D1E"/>
    <w:rsid w:val="009F4FE3"/>
    <w:rsid w:val="009F5102"/>
    <w:rsid w:val="009F540A"/>
    <w:rsid w:val="009F59B1"/>
    <w:rsid w:val="009F5A5E"/>
    <w:rsid w:val="009F6513"/>
    <w:rsid w:val="009F6D86"/>
    <w:rsid w:val="009F6E11"/>
    <w:rsid w:val="009F7864"/>
    <w:rsid w:val="00A00AB8"/>
    <w:rsid w:val="00A01511"/>
    <w:rsid w:val="00A01F87"/>
    <w:rsid w:val="00A05D2B"/>
    <w:rsid w:val="00A05D42"/>
    <w:rsid w:val="00A06B0B"/>
    <w:rsid w:val="00A06E3E"/>
    <w:rsid w:val="00A076F8"/>
    <w:rsid w:val="00A10553"/>
    <w:rsid w:val="00A10737"/>
    <w:rsid w:val="00A10CDF"/>
    <w:rsid w:val="00A11D1B"/>
    <w:rsid w:val="00A11E4C"/>
    <w:rsid w:val="00A12074"/>
    <w:rsid w:val="00A121FE"/>
    <w:rsid w:val="00A1272B"/>
    <w:rsid w:val="00A12F62"/>
    <w:rsid w:val="00A13062"/>
    <w:rsid w:val="00A1393A"/>
    <w:rsid w:val="00A14429"/>
    <w:rsid w:val="00A14A24"/>
    <w:rsid w:val="00A15341"/>
    <w:rsid w:val="00A156DC"/>
    <w:rsid w:val="00A15CC3"/>
    <w:rsid w:val="00A15E5C"/>
    <w:rsid w:val="00A165AB"/>
    <w:rsid w:val="00A16DB1"/>
    <w:rsid w:val="00A171F6"/>
    <w:rsid w:val="00A17405"/>
    <w:rsid w:val="00A17549"/>
    <w:rsid w:val="00A17617"/>
    <w:rsid w:val="00A20434"/>
    <w:rsid w:val="00A20A6A"/>
    <w:rsid w:val="00A20BE0"/>
    <w:rsid w:val="00A21BB9"/>
    <w:rsid w:val="00A21ED6"/>
    <w:rsid w:val="00A220BF"/>
    <w:rsid w:val="00A2234A"/>
    <w:rsid w:val="00A22EF3"/>
    <w:rsid w:val="00A23D90"/>
    <w:rsid w:val="00A262F4"/>
    <w:rsid w:val="00A2639A"/>
    <w:rsid w:val="00A26B74"/>
    <w:rsid w:val="00A2785B"/>
    <w:rsid w:val="00A279BA"/>
    <w:rsid w:val="00A27AE8"/>
    <w:rsid w:val="00A3236C"/>
    <w:rsid w:val="00A32D5A"/>
    <w:rsid w:val="00A331C5"/>
    <w:rsid w:val="00A332A0"/>
    <w:rsid w:val="00A3338A"/>
    <w:rsid w:val="00A33B5D"/>
    <w:rsid w:val="00A34D8E"/>
    <w:rsid w:val="00A350FB"/>
    <w:rsid w:val="00A36E0D"/>
    <w:rsid w:val="00A407F1"/>
    <w:rsid w:val="00A407FB"/>
    <w:rsid w:val="00A4212E"/>
    <w:rsid w:val="00A42F5D"/>
    <w:rsid w:val="00A430C3"/>
    <w:rsid w:val="00A4363F"/>
    <w:rsid w:val="00A4392B"/>
    <w:rsid w:val="00A444E9"/>
    <w:rsid w:val="00A46270"/>
    <w:rsid w:val="00A4654B"/>
    <w:rsid w:val="00A46695"/>
    <w:rsid w:val="00A4696E"/>
    <w:rsid w:val="00A46BFD"/>
    <w:rsid w:val="00A46C65"/>
    <w:rsid w:val="00A473C1"/>
    <w:rsid w:val="00A473C5"/>
    <w:rsid w:val="00A4757D"/>
    <w:rsid w:val="00A47AD8"/>
    <w:rsid w:val="00A50C3C"/>
    <w:rsid w:val="00A51691"/>
    <w:rsid w:val="00A51801"/>
    <w:rsid w:val="00A51BF4"/>
    <w:rsid w:val="00A52C8E"/>
    <w:rsid w:val="00A52D4C"/>
    <w:rsid w:val="00A542A8"/>
    <w:rsid w:val="00A5509D"/>
    <w:rsid w:val="00A555F1"/>
    <w:rsid w:val="00A56B50"/>
    <w:rsid w:val="00A6017C"/>
    <w:rsid w:val="00A61215"/>
    <w:rsid w:val="00A617CE"/>
    <w:rsid w:val="00A61D77"/>
    <w:rsid w:val="00A620E4"/>
    <w:rsid w:val="00A62D5F"/>
    <w:rsid w:val="00A631F2"/>
    <w:rsid w:val="00A64082"/>
    <w:rsid w:val="00A65668"/>
    <w:rsid w:val="00A66385"/>
    <w:rsid w:val="00A66CF0"/>
    <w:rsid w:val="00A67754"/>
    <w:rsid w:val="00A677DE"/>
    <w:rsid w:val="00A67B44"/>
    <w:rsid w:val="00A7021D"/>
    <w:rsid w:val="00A72C98"/>
    <w:rsid w:val="00A73CD6"/>
    <w:rsid w:val="00A746AE"/>
    <w:rsid w:val="00A748F0"/>
    <w:rsid w:val="00A74AC0"/>
    <w:rsid w:val="00A75508"/>
    <w:rsid w:val="00A761C5"/>
    <w:rsid w:val="00A761FB"/>
    <w:rsid w:val="00A7681C"/>
    <w:rsid w:val="00A80AC8"/>
    <w:rsid w:val="00A80EF2"/>
    <w:rsid w:val="00A81165"/>
    <w:rsid w:val="00A820B4"/>
    <w:rsid w:val="00A82868"/>
    <w:rsid w:val="00A8301D"/>
    <w:rsid w:val="00A835C3"/>
    <w:rsid w:val="00A8411E"/>
    <w:rsid w:val="00A84731"/>
    <w:rsid w:val="00A84B16"/>
    <w:rsid w:val="00A84D24"/>
    <w:rsid w:val="00A858B9"/>
    <w:rsid w:val="00A85ADC"/>
    <w:rsid w:val="00A865FE"/>
    <w:rsid w:val="00A86666"/>
    <w:rsid w:val="00A86769"/>
    <w:rsid w:val="00A86849"/>
    <w:rsid w:val="00A86BCF"/>
    <w:rsid w:val="00A87462"/>
    <w:rsid w:val="00A87D0F"/>
    <w:rsid w:val="00A90557"/>
    <w:rsid w:val="00A90B67"/>
    <w:rsid w:val="00A90C9A"/>
    <w:rsid w:val="00A91338"/>
    <w:rsid w:val="00A91B3F"/>
    <w:rsid w:val="00A923F8"/>
    <w:rsid w:val="00A92E0C"/>
    <w:rsid w:val="00A935B5"/>
    <w:rsid w:val="00A935D0"/>
    <w:rsid w:val="00A94A91"/>
    <w:rsid w:val="00A94F7D"/>
    <w:rsid w:val="00A95276"/>
    <w:rsid w:val="00A95A88"/>
    <w:rsid w:val="00A97906"/>
    <w:rsid w:val="00A97BC4"/>
    <w:rsid w:val="00A97D71"/>
    <w:rsid w:val="00AA086B"/>
    <w:rsid w:val="00AA0DA7"/>
    <w:rsid w:val="00AA148B"/>
    <w:rsid w:val="00AA266F"/>
    <w:rsid w:val="00AA2940"/>
    <w:rsid w:val="00AA2E51"/>
    <w:rsid w:val="00AA38F5"/>
    <w:rsid w:val="00AA3E57"/>
    <w:rsid w:val="00AA40B9"/>
    <w:rsid w:val="00AA4176"/>
    <w:rsid w:val="00AA4DEC"/>
    <w:rsid w:val="00AA51E3"/>
    <w:rsid w:val="00AA5BEA"/>
    <w:rsid w:val="00AA5E94"/>
    <w:rsid w:val="00AA5FE1"/>
    <w:rsid w:val="00AA6218"/>
    <w:rsid w:val="00AA6619"/>
    <w:rsid w:val="00AA6D9F"/>
    <w:rsid w:val="00AA6F93"/>
    <w:rsid w:val="00AA6FF1"/>
    <w:rsid w:val="00AA76D3"/>
    <w:rsid w:val="00AB0BF8"/>
    <w:rsid w:val="00AB11B8"/>
    <w:rsid w:val="00AB1811"/>
    <w:rsid w:val="00AB1BB3"/>
    <w:rsid w:val="00AB2A03"/>
    <w:rsid w:val="00AB2A54"/>
    <w:rsid w:val="00AB2F5F"/>
    <w:rsid w:val="00AB3106"/>
    <w:rsid w:val="00AB54F3"/>
    <w:rsid w:val="00AB5A2D"/>
    <w:rsid w:val="00AB5CD3"/>
    <w:rsid w:val="00AB6A2E"/>
    <w:rsid w:val="00AB6A43"/>
    <w:rsid w:val="00AB6C6B"/>
    <w:rsid w:val="00AC094D"/>
    <w:rsid w:val="00AC1CEE"/>
    <w:rsid w:val="00AC1DD9"/>
    <w:rsid w:val="00AC2003"/>
    <w:rsid w:val="00AC2348"/>
    <w:rsid w:val="00AC3A9B"/>
    <w:rsid w:val="00AC3C98"/>
    <w:rsid w:val="00AC4295"/>
    <w:rsid w:val="00AC43B3"/>
    <w:rsid w:val="00AC45C6"/>
    <w:rsid w:val="00AC4B8B"/>
    <w:rsid w:val="00AC5BDC"/>
    <w:rsid w:val="00AC639D"/>
    <w:rsid w:val="00AC763A"/>
    <w:rsid w:val="00AC78DA"/>
    <w:rsid w:val="00AC7B4D"/>
    <w:rsid w:val="00AC7C59"/>
    <w:rsid w:val="00AD080C"/>
    <w:rsid w:val="00AD0AF9"/>
    <w:rsid w:val="00AD0EB0"/>
    <w:rsid w:val="00AD1B19"/>
    <w:rsid w:val="00AD1F2B"/>
    <w:rsid w:val="00AD3108"/>
    <w:rsid w:val="00AD3532"/>
    <w:rsid w:val="00AD37FC"/>
    <w:rsid w:val="00AD3868"/>
    <w:rsid w:val="00AD4135"/>
    <w:rsid w:val="00AD49C5"/>
    <w:rsid w:val="00AD4F60"/>
    <w:rsid w:val="00AD514D"/>
    <w:rsid w:val="00AD52E2"/>
    <w:rsid w:val="00AD66A0"/>
    <w:rsid w:val="00AD786B"/>
    <w:rsid w:val="00AE1493"/>
    <w:rsid w:val="00AE3A81"/>
    <w:rsid w:val="00AE3B42"/>
    <w:rsid w:val="00AE47C1"/>
    <w:rsid w:val="00AE4AEB"/>
    <w:rsid w:val="00AE4F32"/>
    <w:rsid w:val="00AE51C2"/>
    <w:rsid w:val="00AE6238"/>
    <w:rsid w:val="00AE63A1"/>
    <w:rsid w:val="00AE64B0"/>
    <w:rsid w:val="00AE652F"/>
    <w:rsid w:val="00AE736E"/>
    <w:rsid w:val="00AE7CA5"/>
    <w:rsid w:val="00AF0696"/>
    <w:rsid w:val="00AF2CDB"/>
    <w:rsid w:val="00AF3DA1"/>
    <w:rsid w:val="00AF40C2"/>
    <w:rsid w:val="00AF44D8"/>
    <w:rsid w:val="00AF507D"/>
    <w:rsid w:val="00AF67D1"/>
    <w:rsid w:val="00AF6F3E"/>
    <w:rsid w:val="00AF7227"/>
    <w:rsid w:val="00AF7465"/>
    <w:rsid w:val="00AF7A26"/>
    <w:rsid w:val="00B00BF3"/>
    <w:rsid w:val="00B024B8"/>
    <w:rsid w:val="00B0271E"/>
    <w:rsid w:val="00B029FD"/>
    <w:rsid w:val="00B03B56"/>
    <w:rsid w:val="00B0413F"/>
    <w:rsid w:val="00B041AB"/>
    <w:rsid w:val="00B0543E"/>
    <w:rsid w:val="00B06481"/>
    <w:rsid w:val="00B06632"/>
    <w:rsid w:val="00B06884"/>
    <w:rsid w:val="00B0744F"/>
    <w:rsid w:val="00B07900"/>
    <w:rsid w:val="00B079A5"/>
    <w:rsid w:val="00B07E5A"/>
    <w:rsid w:val="00B108A7"/>
    <w:rsid w:val="00B11E4E"/>
    <w:rsid w:val="00B13147"/>
    <w:rsid w:val="00B137A1"/>
    <w:rsid w:val="00B14E30"/>
    <w:rsid w:val="00B15EB1"/>
    <w:rsid w:val="00B16D8D"/>
    <w:rsid w:val="00B16ECF"/>
    <w:rsid w:val="00B16EF5"/>
    <w:rsid w:val="00B200B0"/>
    <w:rsid w:val="00B20899"/>
    <w:rsid w:val="00B20EE7"/>
    <w:rsid w:val="00B21D7D"/>
    <w:rsid w:val="00B22678"/>
    <w:rsid w:val="00B22A59"/>
    <w:rsid w:val="00B23657"/>
    <w:rsid w:val="00B23722"/>
    <w:rsid w:val="00B242BA"/>
    <w:rsid w:val="00B244F1"/>
    <w:rsid w:val="00B2487B"/>
    <w:rsid w:val="00B24952"/>
    <w:rsid w:val="00B24A8A"/>
    <w:rsid w:val="00B24B2D"/>
    <w:rsid w:val="00B252B3"/>
    <w:rsid w:val="00B25702"/>
    <w:rsid w:val="00B26E3C"/>
    <w:rsid w:val="00B27CA1"/>
    <w:rsid w:val="00B3016A"/>
    <w:rsid w:val="00B30FB1"/>
    <w:rsid w:val="00B31114"/>
    <w:rsid w:val="00B31339"/>
    <w:rsid w:val="00B32632"/>
    <w:rsid w:val="00B327D1"/>
    <w:rsid w:val="00B344B3"/>
    <w:rsid w:val="00B34551"/>
    <w:rsid w:val="00B34766"/>
    <w:rsid w:val="00B34D32"/>
    <w:rsid w:val="00B35357"/>
    <w:rsid w:val="00B35D88"/>
    <w:rsid w:val="00B376B1"/>
    <w:rsid w:val="00B37771"/>
    <w:rsid w:val="00B403DB"/>
    <w:rsid w:val="00B412C6"/>
    <w:rsid w:val="00B416CE"/>
    <w:rsid w:val="00B4170B"/>
    <w:rsid w:val="00B425A0"/>
    <w:rsid w:val="00B43CA5"/>
    <w:rsid w:val="00B43EBF"/>
    <w:rsid w:val="00B4408B"/>
    <w:rsid w:val="00B45064"/>
    <w:rsid w:val="00B45A09"/>
    <w:rsid w:val="00B465DF"/>
    <w:rsid w:val="00B468F2"/>
    <w:rsid w:val="00B46B1A"/>
    <w:rsid w:val="00B477B2"/>
    <w:rsid w:val="00B506DE"/>
    <w:rsid w:val="00B508DF"/>
    <w:rsid w:val="00B50AEE"/>
    <w:rsid w:val="00B51AB4"/>
    <w:rsid w:val="00B52276"/>
    <w:rsid w:val="00B52CF5"/>
    <w:rsid w:val="00B52EF7"/>
    <w:rsid w:val="00B52FB2"/>
    <w:rsid w:val="00B5354A"/>
    <w:rsid w:val="00B54061"/>
    <w:rsid w:val="00B54B27"/>
    <w:rsid w:val="00B54BA8"/>
    <w:rsid w:val="00B55C1C"/>
    <w:rsid w:val="00B55CAB"/>
    <w:rsid w:val="00B55EE5"/>
    <w:rsid w:val="00B56431"/>
    <w:rsid w:val="00B578B0"/>
    <w:rsid w:val="00B626F7"/>
    <w:rsid w:val="00B635A2"/>
    <w:rsid w:val="00B638CB"/>
    <w:rsid w:val="00B64178"/>
    <w:rsid w:val="00B64450"/>
    <w:rsid w:val="00B6517A"/>
    <w:rsid w:val="00B67679"/>
    <w:rsid w:val="00B67FCA"/>
    <w:rsid w:val="00B7008E"/>
    <w:rsid w:val="00B70B2F"/>
    <w:rsid w:val="00B7152C"/>
    <w:rsid w:val="00B71918"/>
    <w:rsid w:val="00B720D2"/>
    <w:rsid w:val="00B72EFE"/>
    <w:rsid w:val="00B7318F"/>
    <w:rsid w:val="00B739DE"/>
    <w:rsid w:val="00B7440D"/>
    <w:rsid w:val="00B76BDA"/>
    <w:rsid w:val="00B775DA"/>
    <w:rsid w:val="00B77C39"/>
    <w:rsid w:val="00B77EA0"/>
    <w:rsid w:val="00B80DAA"/>
    <w:rsid w:val="00B80E05"/>
    <w:rsid w:val="00B81517"/>
    <w:rsid w:val="00B818D6"/>
    <w:rsid w:val="00B82739"/>
    <w:rsid w:val="00B8275D"/>
    <w:rsid w:val="00B82FA3"/>
    <w:rsid w:val="00B83452"/>
    <w:rsid w:val="00B8360A"/>
    <w:rsid w:val="00B83956"/>
    <w:rsid w:val="00B84F40"/>
    <w:rsid w:val="00B86410"/>
    <w:rsid w:val="00B8787B"/>
    <w:rsid w:val="00B87ABD"/>
    <w:rsid w:val="00B87E1C"/>
    <w:rsid w:val="00B90961"/>
    <w:rsid w:val="00B90980"/>
    <w:rsid w:val="00B91054"/>
    <w:rsid w:val="00B91114"/>
    <w:rsid w:val="00B9167C"/>
    <w:rsid w:val="00B922F3"/>
    <w:rsid w:val="00B9269A"/>
    <w:rsid w:val="00B93AE3"/>
    <w:rsid w:val="00B944AB"/>
    <w:rsid w:val="00B949B5"/>
    <w:rsid w:val="00B956A0"/>
    <w:rsid w:val="00B95B08"/>
    <w:rsid w:val="00B95D74"/>
    <w:rsid w:val="00B965F1"/>
    <w:rsid w:val="00B974ED"/>
    <w:rsid w:val="00B97CE9"/>
    <w:rsid w:val="00B97DA8"/>
    <w:rsid w:val="00BA1119"/>
    <w:rsid w:val="00BA1A9E"/>
    <w:rsid w:val="00BA1B7B"/>
    <w:rsid w:val="00BA2509"/>
    <w:rsid w:val="00BA359E"/>
    <w:rsid w:val="00BA381B"/>
    <w:rsid w:val="00BA3B5E"/>
    <w:rsid w:val="00BA53C5"/>
    <w:rsid w:val="00BA7A57"/>
    <w:rsid w:val="00BB0075"/>
    <w:rsid w:val="00BB1301"/>
    <w:rsid w:val="00BB13E2"/>
    <w:rsid w:val="00BB189A"/>
    <w:rsid w:val="00BB1BAF"/>
    <w:rsid w:val="00BB1E51"/>
    <w:rsid w:val="00BB32CB"/>
    <w:rsid w:val="00BB3BA5"/>
    <w:rsid w:val="00BB4426"/>
    <w:rsid w:val="00BB4756"/>
    <w:rsid w:val="00BB4844"/>
    <w:rsid w:val="00BB4C82"/>
    <w:rsid w:val="00BB5290"/>
    <w:rsid w:val="00BB52F4"/>
    <w:rsid w:val="00BB6F3C"/>
    <w:rsid w:val="00BC00FF"/>
    <w:rsid w:val="00BC098B"/>
    <w:rsid w:val="00BC0A21"/>
    <w:rsid w:val="00BC1503"/>
    <w:rsid w:val="00BC2B59"/>
    <w:rsid w:val="00BC2B97"/>
    <w:rsid w:val="00BC2D79"/>
    <w:rsid w:val="00BC314E"/>
    <w:rsid w:val="00BC323B"/>
    <w:rsid w:val="00BC3606"/>
    <w:rsid w:val="00BC3D0B"/>
    <w:rsid w:val="00BC3DE7"/>
    <w:rsid w:val="00BC4235"/>
    <w:rsid w:val="00BC49B1"/>
    <w:rsid w:val="00BC5B34"/>
    <w:rsid w:val="00BC6026"/>
    <w:rsid w:val="00BC642C"/>
    <w:rsid w:val="00BC6C83"/>
    <w:rsid w:val="00BC6EAA"/>
    <w:rsid w:val="00BC717D"/>
    <w:rsid w:val="00BC753C"/>
    <w:rsid w:val="00BC7FB3"/>
    <w:rsid w:val="00BD03D6"/>
    <w:rsid w:val="00BD0660"/>
    <w:rsid w:val="00BD0FE4"/>
    <w:rsid w:val="00BD1025"/>
    <w:rsid w:val="00BD10B8"/>
    <w:rsid w:val="00BD114A"/>
    <w:rsid w:val="00BD18FC"/>
    <w:rsid w:val="00BD1A7C"/>
    <w:rsid w:val="00BD238F"/>
    <w:rsid w:val="00BD2A73"/>
    <w:rsid w:val="00BD3107"/>
    <w:rsid w:val="00BD32A5"/>
    <w:rsid w:val="00BD342C"/>
    <w:rsid w:val="00BD3AE8"/>
    <w:rsid w:val="00BD3E0A"/>
    <w:rsid w:val="00BD4E1D"/>
    <w:rsid w:val="00BD58BD"/>
    <w:rsid w:val="00BD5C5E"/>
    <w:rsid w:val="00BE01B2"/>
    <w:rsid w:val="00BE0443"/>
    <w:rsid w:val="00BE0614"/>
    <w:rsid w:val="00BE1665"/>
    <w:rsid w:val="00BE1896"/>
    <w:rsid w:val="00BE1F5E"/>
    <w:rsid w:val="00BE23CC"/>
    <w:rsid w:val="00BE27A1"/>
    <w:rsid w:val="00BE2823"/>
    <w:rsid w:val="00BE2F0B"/>
    <w:rsid w:val="00BE3497"/>
    <w:rsid w:val="00BE3B09"/>
    <w:rsid w:val="00BE3D72"/>
    <w:rsid w:val="00BE3DFF"/>
    <w:rsid w:val="00BE4569"/>
    <w:rsid w:val="00BE4CBE"/>
    <w:rsid w:val="00BE4E33"/>
    <w:rsid w:val="00BE557B"/>
    <w:rsid w:val="00BE5D9E"/>
    <w:rsid w:val="00BE6507"/>
    <w:rsid w:val="00BE6D51"/>
    <w:rsid w:val="00BE73F4"/>
    <w:rsid w:val="00BE7EC2"/>
    <w:rsid w:val="00BF038D"/>
    <w:rsid w:val="00BF0704"/>
    <w:rsid w:val="00BF07E1"/>
    <w:rsid w:val="00BF0A0C"/>
    <w:rsid w:val="00BF1CB4"/>
    <w:rsid w:val="00BF204A"/>
    <w:rsid w:val="00BF211D"/>
    <w:rsid w:val="00BF2670"/>
    <w:rsid w:val="00BF2A9B"/>
    <w:rsid w:val="00BF2B60"/>
    <w:rsid w:val="00BF4313"/>
    <w:rsid w:val="00BF52CF"/>
    <w:rsid w:val="00BF54A7"/>
    <w:rsid w:val="00BF5E18"/>
    <w:rsid w:val="00BF623E"/>
    <w:rsid w:val="00BF651E"/>
    <w:rsid w:val="00BF70AA"/>
    <w:rsid w:val="00BF757B"/>
    <w:rsid w:val="00BF763A"/>
    <w:rsid w:val="00C00542"/>
    <w:rsid w:val="00C00930"/>
    <w:rsid w:val="00C019E4"/>
    <w:rsid w:val="00C01D69"/>
    <w:rsid w:val="00C01E55"/>
    <w:rsid w:val="00C01E5F"/>
    <w:rsid w:val="00C01E72"/>
    <w:rsid w:val="00C02210"/>
    <w:rsid w:val="00C03CDE"/>
    <w:rsid w:val="00C046B0"/>
    <w:rsid w:val="00C04B39"/>
    <w:rsid w:val="00C05F61"/>
    <w:rsid w:val="00C07321"/>
    <w:rsid w:val="00C07EDD"/>
    <w:rsid w:val="00C1026D"/>
    <w:rsid w:val="00C106B0"/>
    <w:rsid w:val="00C108E1"/>
    <w:rsid w:val="00C113C4"/>
    <w:rsid w:val="00C11776"/>
    <w:rsid w:val="00C11C7B"/>
    <w:rsid w:val="00C12BDD"/>
    <w:rsid w:val="00C130F2"/>
    <w:rsid w:val="00C13D76"/>
    <w:rsid w:val="00C13DA0"/>
    <w:rsid w:val="00C1430C"/>
    <w:rsid w:val="00C14430"/>
    <w:rsid w:val="00C147AC"/>
    <w:rsid w:val="00C14A9F"/>
    <w:rsid w:val="00C14AB8"/>
    <w:rsid w:val="00C1566B"/>
    <w:rsid w:val="00C15D05"/>
    <w:rsid w:val="00C162A6"/>
    <w:rsid w:val="00C16883"/>
    <w:rsid w:val="00C172A0"/>
    <w:rsid w:val="00C17345"/>
    <w:rsid w:val="00C176F0"/>
    <w:rsid w:val="00C17A87"/>
    <w:rsid w:val="00C17F8B"/>
    <w:rsid w:val="00C20A67"/>
    <w:rsid w:val="00C2117D"/>
    <w:rsid w:val="00C21824"/>
    <w:rsid w:val="00C21C0C"/>
    <w:rsid w:val="00C2209E"/>
    <w:rsid w:val="00C222B2"/>
    <w:rsid w:val="00C22801"/>
    <w:rsid w:val="00C23012"/>
    <w:rsid w:val="00C23419"/>
    <w:rsid w:val="00C243B5"/>
    <w:rsid w:val="00C244D3"/>
    <w:rsid w:val="00C24797"/>
    <w:rsid w:val="00C24F08"/>
    <w:rsid w:val="00C2535B"/>
    <w:rsid w:val="00C256B8"/>
    <w:rsid w:val="00C25E1F"/>
    <w:rsid w:val="00C268A1"/>
    <w:rsid w:val="00C26D33"/>
    <w:rsid w:val="00C2752C"/>
    <w:rsid w:val="00C30006"/>
    <w:rsid w:val="00C30365"/>
    <w:rsid w:val="00C30471"/>
    <w:rsid w:val="00C3096E"/>
    <w:rsid w:val="00C30A07"/>
    <w:rsid w:val="00C31444"/>
    <w:rsid w:val="00C319CC"/>
    <w:rsid w:val="00C327F9"/>
    <w:rsid w:val="00C33012"/>
    <w:rsid w:val="00C33631"/>
    <w:rsid w:val="00C34415"/>
    <w:rsid w:val="00C35517"/>
    <w:rsid w:val="00C36C92"/>
    <w:rsid w:val="00C36DF5"/>
    <w:rsid w:val="00C371C5"/>
    <w:rsid w:val="00C37D6F"/>
    <w:rsid w:val="00C40540"/>
    <w:rsid w:val="00C40E36"/>
    <w:rsid w:val="00C41121"/>
    <w:rsid w:val="00C41BEA"/>
    <w:rsid w:val="00C41FA4"/>
    <w:rsid w:val="00C42C24"/>
    <w:rsid w:val="00C4355B"/>
    <w:rsid w:val="00C43887"/>
    <w:rsid w:val="00C442F0"/>
    <w:rsid w:val="00C468DE"/>
    <w:rsid w:val="00C50487"/>
    <w:rsid w:val="00C5167C"/>
    <w:rsid w:val="00C5168F"/>
    <w:rsid w:val="00C526E8"/>
    <w:rsid w:val="00C52ABE"/>
    <w:rsid w:val="00C53C0F"/>
    <w:rsid w:val="00C545AA"/>
    <w:rsid w:val="00C55B8A"/>
    <w:rsid w:val="00C55DD8"/>
    <w:rsid w:val="00C560AB"/>
    <w:rsid w:val="00C56868"/>
    <w:rsid w:val="00C568CE"/>
    <w:rsid w:val="00C56C64"/>
    <w:rsid w:val="00C56D27"/>
    <w:rsid w:val="00C573D4"/>
    <w:rsid w:val="00C5756C"/>
    <w:rsid w:val="00C60585"/>
    <w:rsid w:val="00C6127C"/>
    <w:rsid w:val="00C61704"/>
    <w:rsid w:val="00C62666"/>
    <w:rsid w:val="00C63BC3"/>
    <w:rsid w:val="00C64267"/>
    <w:rsid w:val="00C65790"/>
    <w:rsid w:val="00C65792"/>
    <w:rsid w:val="00C65F0C"/>
    <w:rsid w:val="00C66294"/>
    <w:rsid w:val="00C666CF"/>
    <w:rsid w:val="00C667A3"/>
    <w:rsid w:val="00C66B35"/>
    <w:rsid w:val="00C66D9F"/>
    <w:rsid w:val="00C66F5F"/>
    <w:rsid w:val="00C67046"/>
    <w:rsid w:val="00C67A83"/>
    <w:rsid w:val="00C70C5A"/>
    <w:rsid w:val="00C71092"/>
    <w:rsid w:val="00C71167"/>
    <w:rsid w:val="00C720B0"/>
    <w:rsid w:val="00C74A32"/>
    <w:rsid w:val="00C74DD2"/>
    <w:rsid w:val="00C758F0"/>
    <w:rsid w:val="00C75D7B"/>
    <w:rsid w:val="00C76449"/>
    <w:rsid w:val="00C76BED"/>
    <w:rsid w:val="00C80171"/>
    <w:rsid w:val="00C80490"/>
    <w:rsid w:val="00C81D8B"/>
    <w:rsid w:val="00C81F42"/>
    <w:rsid w:val="00C846AA"/>
    <w:rsid w:val="00C85217"/>
    <w:rsid w:val="00C8533A"/>
    <w:rsid w:val="00C85707"/>
    <w:rsid w:val="00C85FA7"/>
    <w:rsid w:val="00C8616B"/>
    <w:rsid w:val="00C86688"/>
    <w:rsid w:val="00C8779C"/>
    <w:rsid w:val="00C9000B"/>
    <w:rsid w:val="00C90348"/>
    <w:rsid w:val="00C91188"/>
    <w:rsid w:val="00C91EE1"/>
    <w:rsid w:val="00C924D0"/>
    <w:rsid w:val="00C930CB"/>
    <w:rsid w:val="00C93DF1"/>
    <w:rsid w:val="00C9494F"/>
    <w:rsid w:val="00C94C9E"/>
    <w:rsid w:val="00C94CD6"/>
    <w:rsid w:val="00C95729"/>
    <w:rsid w:val="00C957B8"/>
    <w:rsid w:val="00C95CBC"/>
    <w:rsid w:val="00C969FA"/>
    <w:rsid w:val="00C96D3B"/>
    <w:rsid w:val="00C973D5"/>
    <w:rsid w:val="00CA059F"/>
    <w:rsid w:val="00CA128D"/>
    <w:rsid w:val="00CA22E6"/>
    <w:rsid w:val="00CA258C"/>
    <w:rsid w:val="00CA27AC"/>
    <w:rsid w:val="00CA3244"/>
    <w:rsid w:val="00CA3D87"/>
    <w:rsid w:val="00CA4A13"/>
    <w:rsid w:val="00CA4ADD"/>
    <w:rsid w:val="00CA4CDD"/>
    <w:rsid w:val="00CA4EA7"/>
    <w:rsid w:val="00CA4EC1"/>
    <w:rsid w:val="00CA592A"/>
    <w:rsid w:val="00CA70AE"/>
    <w:rsid w:val="00CA7B39"/>
    <w:rsid w:val="00CB00D0"/>
    <w:rsid w:val="00CB020C"/>
    <w:rsid w:val="00CB0D71"/>
    <w:rsid w:val="00CB1766"/>
    <w:rsid w:val="00CB23AD"/>
    <w:rsid w:val="00CB4117"/>
    <w:rsid w:val="00CB49AB"/>
    <w:rsid w:val="00CB5168"/>
    <w:rsid w:val="00CB5408"/>
    <w:rsid w:val="00CB5577"/>
    <w:rsid w:val="00CB5596"/>
    <w:rsid w:val="00CB5BC0"/>
    <w:rsid w:val="00CB61E8"/>
    <w:rsid w:val="00CB6AFE"/>
    <w:rsid w:val="00CB6D19"/>
    <w:rsid w:val="00CB7360"/>
    <w:rsid w:val="00CC0162"/>
    <w:rsid w:val="00CC03DA"/>
    <w:rsid w:val="00CC0B27"/>
    <w:rsid w:val="00CC0EA9"/>
    <w:rsid w:val="00CC10F5"/>
    <w:rsid w:val="00CC11DB"/>
    <w:rsid w:val="00CC1342"/>
    <w:rsid w:val="00CC1393"/>
    <w:rsid w:val="00CC2871"/>
    <w:rsid w:val="00CC2B7E"/>
    <w:rsid w:val="00CC2BEE"/>
    <w:rsid w:val="00CC362E"/>
    <w:rsid w:val="00CC38C7"/>
    <w:rsid w:val="00CC3E2D"/>
    <w:rsid w:val="00CC42D4"/>
    <w:rsid w:val="00CC4756"/>
    <w:rsid w:val="00CC4B26"/>
    <w:rsid w:val="00CC5332"/>
    <w:rsid w:val="00CC5452"/>
    <w:rsid w:val="00CC5CF5"/>
    <w:rsid w:val="00CC60DD"/>
    <w:rsid w:val="00CC62CF"/>
    <w:rsid w:val="00CC65D5"/>
    <w:rsid w:val="00CC7B5D"/>
    <w:rsid w:val="00CC7DCC"/>
    <w:rsid w:val="00CC7EEE"/>
    <w:rsid w:val="00CD0456"/>
    <w:rsid w:val="00CD0A89"/>
    <w:rsid w:val="00CD2753"/>
    <w:rsid w:val="00CD343D"/>
    <w:rsid w:val="00CD3539"/>
    <w:rsid w:val="00CD3DEB"/>
    <w:rsid w:val="00CD485B"/>
    <w:rsid w:val="00CD4ED1"/>
    <w:rsid w:val="00CD5266"/>
    <w:rsid w:val="00CD56A4"/>
    <w:rsid w:val="00CD5740"/>
    <w:rsid w:val="00CD5921"/>
    <w:rsid w:val="00CD5960"/>
    <w:rsid w:val="00CD6320"/>
    <w:rsid w:val="00CD6ED3"/>
    <w:rsid w:val="00CD7988"/>
    <w:rsid w:val="00CE0436"/>
    <w:rsid w:val="00CE158A"/>
    <w:rsid w:val="00CE18C6"/>
    <w:rsid w:val="00CE1E74"/>
    <w:rsid w:val="00CE2294"/>
    <w:rsid w:val="00CE2AED"/>
    <w:rsid w:val="00CE2BC0"/>
    <w:rsid w:val="00CE337B"/>
    <w:rsid w:val="00CE3950"/>
    <w:rsid w:val="00CE3AA4"/>
    <w:rsid w:val="00CE3FA3"/>
    <w:rsid w:val="00CE51C7"/>
    <w:rsid w:val="00CE66E4"/>
    <w:rsid w:val="00CE6EE9"/>
    <w:rsid w:val="00CE7C38"/>
    <w:rsid w:val="00CE7C6D"/>
    <w:rsid w:val="00CF1F6B"/>
    <w:rsid w:val="00CF21A6"/>
    <w:rsid w:val="00CF2B31"/>
    <w:rsid w:val="00CF3B65"/>
    <w:rsid w:val="00CF4257"/>
    <w:rsid w:val="00CF4A6F"/>
    <w:rsid w:val="00CF5692"/>
    <w:rsid w:val="00CF6549"/>
    <w:rsid w:val="00CF67CF"/>
    <w:rsid w:val="00CF759B"/>
    <w:rsid w:val="00CF7768"/>
    <w:rsid w:val="00CF78B9"/>
    <w:rsid w:val="00D00D81"/>
    <w:rsid w:val="00D011B8"/>
    <w:rsid w:val="00D012E7"/>
    <w:rsid w:val="00D02661"/>
    <w:rsid w:val="00D03A8F"/>
    <w:rsid w:val="00D05136"/>
    <w:rsid w:val="00D068D6"/>
    <w:rsid w:val="00D07CF5"/>
    <w:rsid w:val="00D10585"/>
    <w:rsid w:val="00D10B93"/>
    <w:rsid w:val="00D10F9D"/>
    <w:rsid w:val="00D112A2"/>
    <w:rsid w:val="00D1175A"/>
    <w:rsid w:val="00D11D37"/>
    <w:rsid w:val="00D12391"/>
    <w:rsid w:val="00D129A5"/>
    <w:rsid w:val="00D13013"/>
    <w:rsid w:val="00D13118"/>
    <w:rsid w:val="00D134F4"/>
    <w:rsid w:val="00D1357F"/>
    <w:rsid w:val="00D13596"/>
    <w:rsid w:val="00D13662"/>
    <w:rsid w:val="00D150A1"/>
    <w:rsid w:val="00D153BC"/>
    <w:rsid w:val="00D156A5"/>
    <w:rsid w:val="00D1589F"/>
    <w:rsid w:val="00D15A48"/>
    <w:rsid w:val="00D20521"/>
    <w:rsid w:val="00D20DC6"/>
    <w:rsid w:val="00D212A9"/>
    <w:rsid w:val="00D22553"/>
    <w:rsid w:val="00D2343D"/>
    <w:rsid w:val="00D245E5"/>
    <w:rsid w:val="00D24AEA"/>
    <w:rsid w:val="00D252DE"/>
    <w:rsid w:val="00D260CA"/>
    <w:rsid w:val="00D26583"/>
    <w:rsid w:val="00D27392"/>
    <w:rsid w:val="00D27814"/>
    <w:rsid w:val="00D32CCB"/>
    <w:rsid w:val="00D334CD"/>
    <w:rsid w:val="00D33A14"/>
    <w:rsid w:val="00D340A1"/>
    <w:rsid w:val="00D364BF"/>
    <w:rsid w:val="00D36C5A"/>
    <w:rsid w:val="00D3725E"/>
    <w:rsid w:val="00D37431"/>
    <w:rsid w:val="00D40741"/>
    <w:rsid w:val="00D411C0"/>
    <w:rsid w:val="00D4120C"/>
    <w:rsid w:val="00D41519"/>
    <w:rsid w:val="00D41B57"/>
    <w:rsid w:val="00D41BD5"/>
    <w:rsid w:val="00D41D9E"/>
    <w:rsid w:val="00D42B6A"/>
    <w:rsid w:val="00D444D3"/>
    <w:rsid w:val="00D461E1"/>
    <w:rsid w:val="00D46AB6"/>
    <w:rsid w:val="00D4772C"/>
    <w:rsid w:val="00D47748"/>
    <w:rsid w:val="00D50503"/>
    <w:rsid w:val="00D50990"/>
    <w:rsid w:val="00D54265"/>
    <w:rsid w:val="00D55405"/>
    <w:rsid w:val="00D5561C"/>
    <w:rsid w:val="00D57239"/>
    <w:rsid w:val="00D573D7"/>
    <w:rsid w:val="00D57C2D"/>
    <w:rsid w:val="00D57D66"/>
    <w:rsid w:val="00D6186B"/>
    <w:rsid w:val="00D61B54"/>
    <w:rsid w:val="00D632B3"/>
    <w:rsid w:val="00D63637"/>
    <w:rsid w:val="00D63FA7"/>
    <w:rsid w:val="00D64DD5"/>
    <w:rsid w:val="00D64EAF"/>
    <w:rsid w:val="00D65135"/>
    <w:rsid w:val="00D66B79"/>
    <w:rsid w:val="00D67600"/>
    <w:rsid w:val="00D7033D"/>
    <w:rsid w:val="00D711EF"/>
    <w:rsid w:val="00D748C0"/>
    <w:rsid w:val="00D74A81"/>
    <w:rsid w:val="00D75327"/>
    <w:rsid w:val="00D757D4"/>
    <w:rsid w:val="00D75D2C"/>
    <w:rsid w:val="00D764D7"/>
    <w:rsid w:val="00D769EB"/>
    <w:rsid w:val="00D77211"/>
    <w:rsid w:val="00D77282"/>
    <w:rsid w:val="00D80B44"/>
    <w:rsid w:val="00D80B74"/>
    <w:rsid w:val="00D80FC1"/>
    <w:rsid w:val="00D81F86"/>
    <w:rsid w:val="00D82021"/>
    <w:rsid w:val="00D82836"/>
    <w:rsid w:val="00D82D60"/>
    <w:rsid w:val="00D8465E"/>
    <w:rsid w:val="00D8559F"/>
    <w:rsid w:val="00D85814"/>
    <w:rsid w:val="00D85C96"/>
    <w:rsid w:val="00D8624F"/>
    <w:rsid w:val="00D863CE"/>
    <w:rsid w:val="00D86833"/>
    <w:rsid w:val="00D86860"/>
    <w:rsid w:val="00D86AFC"/>
    <w:rsid w:val="00D91827"/>
    <w:rsid w:val="00D91ACA"/>
    <w:rsid w:val="00D91E16"/>
    <w:rsid w:val="00D92521"/>
    <w:rsid w:val="00D92B88"/>
    <w:rsid w:val="00D92F03"/>
    <w:rsid w:val="00D93603"/>
    <w:rsid w:val="00D93827"/>
    <w:rsid w:val="00D9417F"/>
    <w:rsid w:val="00D94768"/>
    <w:rsid w:val="00D95EF5"/>
    <w:rsid w:val="00D96CFF"/>
    <w:rsid w:val="00D97B1E"/>
    <w:rsid w:val="00D97DDE"/>
    <w:rsid w:val="00DA0A51"/>
    <w:rsid w:val="00DA2970"/>
    <w:rsid w:val="00DA2FDD"/>
    <w:rsid w:val="00DA68B4"/>
    <w:rsid w:val="00DA6CE8"/>
    <w:rsid w:val="00DA6E91"/>
    <w:rsid w:val="00DA73D7"/>
    <w:rsid w:val="00DB003E"/>
    <w:rsid w:val="00DB1599"/>
    <w:rsid w:val="00DB3067"/>
    <w:rsid w:val="00DB3AF7"/>
    <w:rsid w:val="00DB49EA"/>
    <w:rsid w:val="00DB4F0A"/>
    <w:rsid w:val="00DB4FC0"/>
    <w:rsid w:val="00DB5A4C"/>
    <w:rsid w:val="00DB5E6D"/>
    <w:rsid w:val="00DB5F3D"/>
    <w:rsid w:val="00DB5F4E"/>
    <w:rsid w:val="00DB689E"/>
    <w:rsid w:val="00DB6DC0"/>
    <w:rsid w:val="00DC026A"/>
    <w:rsid w:val="00DC11E8"/>
    <w:rsid w:val="00DC1938"/>
    <w:rsid w:val="00DC1A85"/>
    <w:rsid w:val="00DC1E0B"/>
    <w:rsid w:val="00DC2C67"/>
    <w:rsid w:val="00DC393F"/>
    <w:rsid w:val="00DC5442"/>
    <w:rsid w:val="00DC553E"/>
    <w:rsid w:val="00DC5807"/>
    <w:rsid w:val="00DC65FA"/>
    <w:rsid w:val="00DD1892"/>
    <w:rsid w:val="00DD2E97"/>
    <w:rsid w:val="00DD3C28"/>
    <w:rsid w:val="00DD3D0F"/>
    <w:rsid w:val="00DD4A5D"/>
    <w:rsid w:val="00DD4C6C"/>
    <w:rsid w:val="00DD4DBA"/>
    <w:rsid w:val="00DD6165"/>
    <w:rsid w:val="00DD63A6"/>
    <w:rsid w:val="00DD7E9D"/>
    <w:rsid w:val="00DE0397"/>
    <w:rsid w:val="00DE063A"/>
    <w:rsid w:val="00DE100B"/>
    <w:rsid w:val="00DE106C"/>
    <w:rsid w:val="00DE1656"/>
    <w:rsid w:val="00DE1CE3"/>
    <w:rsid w:val="00DE32E6"/>
    <w:rsid w:val="00DE378B"/>
    <w:rsid w:val="00DE3D85"/>
    <w:rsid w:val="00DE3F2F"/>
    <w:rsid w:val="00DE42B9"/>
    <w:rsid w:val="00DE46E9"/>
    <w:rsid w:val="00DE473C"/>
    <w:rsid w:val="00DE5016"/>
    <w:rsid w:val="00DE523B"/>
    <w:rsid w:val="00DE55CC"/>
    <w:rsid w:val="00DE577E"/>
    <w:rsid w:val="00DE6D60"/>
    <w:rsid w:val="00DE7085"/>
    <w:rsid w:val="00DE7120"/>
    <w:rsid w:val="00DE7485"/>
    <w:rsid w:val="00DE7A36"/>
    <w:rsid w:val="00DF0014"/>
    <w:rsid w:val="00DF0359"/>
    <w:rsid w:val="00DF0445"/>
    <w:rsid w:val="00DF17EE"/>
    <w:rsid w:val="00DF19B9"/>
    <w:rsid w:val="00DF2847"/>
    <w:rsid w:val="00DF2BBE"/>
    <w:rsid w:val="00DF334D"/>
    <w:rsid w:val="00DF4B0C"/>
    <w:rsid w:val="00DF588B"/>
    <w:rsid w:val="00DF5B12"/>
    <w:rsid w:val="00DF5E0B"/>
    <w:rsid w:val="00DF6B84"/>
    <w:rsid w:val="00DF7530"/>
    <w:rsid w:val="00DF7BEB"/>
    <w:rsid w:val="00E004B0"/>
    <w:rsid w:val="00E01130"/>
    <w:rsid w:val="00E012BF"/>
    <w:rsid w:val="00E01831"/>
    <w:rsid w:val="00E01FDC"/>
    <w:rsid w:val="00E02F72"/>
    <w:rsid w:val="00E036D4"/>
    <w:rsid w:val="00E038B5"/>
    <w:rsid w:val="00E043D2"/>
    <w:rsid w:val="00E04AD3"/>
    <w:rsid w:val="00E05373"/>
    <w:rsid w:val="00E056FF"/>
    <w:rsid w:val="00E05F5F"/>
    <w:rsid w:val="00E06985"/>
    <w:rsid w:val="00E06ACA"/>
    <w:rsid w:val="00E06EFD"/>
    <w:rsid w:val="00E0764B"/>
    <w:rsid w:val="00E07FC3"/>
    <w:rsid w:val="00E1157F"/>
    <w:rsid w:val="00E1314E"/>
    <w:rsid w:val="00E1414D"/>
    <w:rsid w:val="00E149AC"/>
    <w:rsid w:val="00E15828"/>
    <w:rsid w:val="00E15D2D"/>
    <w:rsid w:val="00E16BE6"/>
    <w:rsid w:val="00E211E0"/>
    <w:rsid w:val="00E216ED"/>
    <w:rsid w:val="00E2172D"/>
    <w:rsid w:val="00E219D3"/>
    <w:rsid w:val="00E222C7"/>
    <w:rsid w:val="00E22B62"/>
    <w:rsid w:val="00E235B8"/>
    <w:rsid w:val="00E236F7"/>
    <w:rsid w:val="00E23E72"/>
    <w:rsid w:val="00E2429C"/>
    <w:rsid w:val="00E24BC3"/>
    <w:rsid w:val="00E25514"/>
    <w:rsid w:val="00E25739"/>
    <w:rsid w:val="00E25BDE"/>
    <w:rsid w:val="00E25F63"/>
    <w:rsid w:val="00E30975"/>
    <w:rsid w:val="00E30DD9"/>
    <w:rsid w:val="00E32037"/>
    <w:rsid w:val="00E32198"/>
    <w:rsid w:val="00E33340"/>
    <w:rsid w:val="00E3335F"/>
    <w:rsid w:val="00E34089"/>
    <w:rsid w:val="00E344F4"/>
    <w:rsid w:val="00E35019"/>
    <w:rsid w:val="00E379C4"/>
    <w:rsid w:val="00E37AEF"/>
    <w:rsid w:val="00E37F69"/>
    <w:rsid w:val="00E405E1"/>
    <w:rsid w:val="00E40AF8"/>
    <w:rsid w:val="00E40C6B"/>
    <w:rsid w:val="00E40E26"/>
    <w:rsid w:val="00E414B1"/>
    <w:rsid w:val="00E42157"/>
    <w:rsid w:val="00E441BE"/>
    <w:rsid w:val="00E441C1"/>
    <w:rsid w:val="00E4467E"/>
    <w:rsid w:val="00E446F0"/>
    <w:rsid w:val="00E44A6A"/>
    <w:rsid w:val="00E44BBB"/>
    <w:rsid w:val="00E45586"/>
    <w:rsid w:val="00E458AC"/>
    <w:rsid w:val="00E468AB"/>
    <w:rsid w:val="00E46ABC"/>
    <w:rsid w:val="00E50E95"/>
    <w:rsid w:val="00E50EB3"/>
    <w:rsid w:val="00E50EE2"/>
    <w:rsid w:val="00E511C2"/>
    <w:rsid w:val="00E521B0"/>
    <w:rsid w:val="00E52234"/>
    <w:rsid w:val="00E531BB"/>
    <w:rsid w:val="00E53E03"/>
    <w:rsid w:val="00E544F9"/>
    <w:rsid w:val="00E5514B"/>
    <w:rsid w:val="00E55C1F"/>
    <w:rsid w:val="00E55C24"/>
    <w:rsid w:val="00E55D88"/>
    <w:rsid w:val="00E560B9"/>
    <w:rsid w:val="00E564BC"/>
    <w:rsid w:val="00E56711"/>
    <w:rsid w:val="00E56A9D"/>
    <w:rsid w:val="00E56FBF"/>
    <w:rsid w:val="00E570B6"/>
    <w:rsid w:val="00E576C7"/>
    <w:rsid w:val="00E57876"/>
    <w:rsid w:val="00E57B59"/>
    <w:rsid w:val="00E60B7D"/>
    <w:rsid w:val="00E61000"/>
    <w:rsid w:val="00E61278"/>
    <w:rsid w:val="00E61310"/>
    <w:rsid w:val="00E6157F"/>
    <w:rsid w:val="00E61759"/>
    <w:rsid w:val="00E630C2"/>
    <w:rsid w:val="00E637EC"/>
    <w:rsid w:val="00E6399F"/>
    <w:rsid w:val="00E66BE5"/>
    <w:rsid w:val="00E67AA1"/>
    <w:rsid w:val="00E700AE"/>
    <w:rsid w:val="00E701AC"/>
    <w:rsid w:val="00E71531"/>
    <w:rsid w:val="00E71DE3"/>
    <w:rsid w:val="00E72572"/>
    <w:rsid w:val="00E72B72"/>
    <w:rsid w:val="00E7305E"/>
    <w:rsid w:val="00E74161"/>
    <w:rsid w:val="00E7479F"/>
    <w:rsid w:val="00E76258"/>
    <w:rsid w:val="00E76272"/>
    <w:rsid w:val="00E77B10"/>
    <w:rsid w:val="00E77B97"/>
    <w:rsid w:val="00E803F2"/>
    <w:rsid w:val="00E80571"/>
    <w:rsid w:val="00E810E9"/>
    <w:rsid w:val="00E827A1"/>
    <w:rsid w:val="00E82CBE"/>
    <w:rsid w:val="00E82DCC"/>
    <w:rsid w:val="00E83701"/>
    <w:rsid w:val="00E84BF6"/>
    <w:rsid w:val="00E85278"/>
    <w:rsid w:val="00E863BA"/>
    <w:rsid w:val="00E865A8"/>
    <w:rsid w:val="00E87551"/>
    <w:rsid w:val="00E875B7"/>
    <w:rsid w:val="00E9021C"/>
    <w:rsid w:val="00E905DA"/>
    <w:rsid w:val="00E91355"/>
    <w:rsid w:val="00E916CD"/>
    <w:rsid w:val="00E918D2"/>
    <w:rsid w:val="00E91B2F"/>
    <w:rsid w:val="00E91CDD"/>
    <w:rsid w:val="00E93545"/>
    <w:rsid w:val="00E946C9"/>
    <w:rsid w:val="00E948AC"/>
    <w:rsid w:val="00E94E22"/>
    <w:rsid w:val="00E954BA"/>
    <w:rsid w:val="00E95DC6"/>
    <w:rsid w:val="00E96E14"/>
    <w:rsid w:val="00E96E60"/>
    <w:rsid w:val="00EA0F31"/>
    <w:rsid w:val="00EA0F71"/>
    <w:rsid w:val="00EA100B"/>
    <w:rsid w:val="00EA1EA1"/>
    <w:rsid w:val="00EA2412"/>
    <w:rsid w:val="00EA34ED"/>
    <w:rsid w:val="00EA453D"/>
    <w:rsid w:val="00EA51BF"/>
    <w:rsid w:val="00EA5CAB"/>
    <w:rsid w:val="00EA73BE"/>
    <w:rsid w:val="00EA79A4"/>
    <w:rsid w:val="00EA7A2A"/>
    <w:rsid w:val="00EA7D59"/>
    <w:rsid w:val="00EB0F25"/>
    <w:rsid w:val="00EB227B"/>
    <w:rsid w:val="00EB22A0"/>
    <w:rsid w:val="00EB260B"/>
    <w:rsid w:val="00EB3322"/>
    <w:rsid w:val="00EB4432"/>
    <w:rsid w:val="00EB4C39"/>
    <w:rsid w:val="00EB7756"/>
    <w:rsid w:val="00EC0541"/>
    <w:rsid w:val="00EC0F9C"/>
    <w:rsid w:val="00EC12D9"/>
    <w:rsid w:val="00EC1E14"/>
    <w:rsid w:val="00EC3333"/>
    <w:rsid w:val="00EC3451"/>
    <w:rsid w:val="00EC3A5D"/>
    <w:rsid w:val="00EC48AB"/>
    <w:rsid w:val="00EC4CAB"/>
    <w:rsid w:val="00EC5E4E"/>
    <w:rsid w:val="00ED078E"/>
    <w:rsid w:val="00ED0ACE"/>
    <w:rsid w:val="00ED1E1C"/>
    <w:rsid w:val="00ED484F"/>
    <w:rsid w:val="00ED4F70"/>
    <w:rsid w:val="00ED5301"/>
    <w:rsid w:val="00ED5420"/>
    <w:rsid w:val="00ED5EDF"/>
    <w:rsid w:val="00ED62B2"/>
    <w:rsid w:val="00ED7B54"/>
    <w:rsid w:val="00EE09E1"/>
    <w:rsid w:val="00EE1854"/>
    <w:rsid w:val="00EE2171"/>
    <w:rsid w:val="00EE237C"/>
    <w:rsid w:val="00EE28D7"/>
    <w:rsid w:val="00EE2A58"/>
    <w:rsid w:val="00EE3232"/>
    <w:rsid w:val="00EE53BB"/>
    <w:rsid w:val="00EE5DDD"/>
    <w:rsid w:val="00EE6164"/>
    <w:rsid w:val="00EE70C6"/>
    <w:rsid w:val="00EE7275"/>
    <w:rsid w:val="00EF01D9"/>
    <w:rsid w:val="00EF0981"/>
    <w:rsid w:val="00EF1129"/>
    <w:rsid w:val="00EF1AD1"/>
    <w:rsid w:val="00EF35A2"/>
    <w:rsid w:val="00EF35E7"/>
    <w:rsid w:val="00EF3D87"/>
    <w:rsid w:val="00EF3EBA"/>
    <w:rsid w:val="00EF465B"/>
    <w:rsid w:val="00EF5130"/>
    <w:rsid w:val="00EF531B"/>
    <w:rsid w:val="00EF5440"/>
    <w:rsid w:val="00EF6576"/>
    <w:rsid w:val="00EF74D3"/>
    <w:rsid w:val="00F00447"/>
    <w:rsid w:val="00F01974"/>
    <w:rsid w:val="00F01B58"/>
    <w:rsid w:val="00F01CE4"/>
    <w:rsid w:val="00F02634"/>
    <w:rsid w:val="00F03386"/>
    <w:rsid w:val="00F03551"/>
    <w:rsid w:val="00F05B00"/>
    <w:rsid w:val="00F06D88"/>
    <w:rsid w:val="00F06E41"/>
    <w:rsid w:val="00F0700B"/>
    <w:rsid w:val="00F075C4"/>
    <w:rsid w:val="00F07B3A"/>
    <w:rsid w:val="00F07E22"/>
    <w:rsid w:val="00F10400"/>
    <w:rsid w:val="00F10576"/>
    <w:rsid w:val="00F10F99"/>
    <w:rsid w:val="00F111B1"/>
    <w:rsid w:val="00F122A1"/>
    <w:rsid w:val="00F147E5"/>
    <w:rsid w:val="00F15878"/>
    <w:rsid w:val="00F16620"/>
    <w:rsid w:val="00F171C0"/>
    <w:rsid w:val="00F17921"/>
    <w:rsid w:val="00F202BC"/>
    <w:rsid w:val="00F203C1"/>
    <w:rsid w:val="00F20666"/>
    <w:rsid w:val="00F215AF"/>
    <w:rsid w:val="00F22138"/>
    <w:rsid w:val="00F237CE"/>
    <w:rsid w:val="00F24078"/>
    <w:rsid w:val="00F24978"/>
    <w:rsid w:val="00F24F62"/>
    <w:rsid w:val="00F25BC4"/>
    <w:rsid w:val="00F25E67"/>
    <w:rsid w:val="00F264E4"/>
    <w:rsid w:val="00F26C54"/>
    <w:rsid w:val="00F273D8"/>
    <w:rsid w:val="00F30392"/>
    <w:rsid w:val="00F30D92"/>
    <w:rsid w:val="00F319A0"/>
    <w:rsid w:val="00F31FF6"/>
    <w:rsid w:val="00F323D0"/>
    <w:rsid w:val="00F32B76"/>
    <w:rsid w:val="00F33867"/>
    <w:rsid w:val="00F33D5D"/>
    <w:rsid w:val="00F34ECE"/>
    <w:rsid w:val="00F3633E"/>
    <w:rsid w:val="00F36561"/>
    <w:rsid w:val="00F369BE"/>
    <w:rsid w:val="00F36C06"/>
    <w:rsid w:val="00F36D22"/>
    <w:rsid w:val="00F42061"/>
    <w:rsid w:val="00F4221C"/>
    <w:rsid w:val="00F43745"/>
    <w:rsid w:val="00F43F57"/>
    <w:rsid w:val="00F440D7"/>
    <w:rsid w:val="00F449AD"/>
    <w:rsid w:val="00F46BAC"/>
    <w:rsid w:val="00F46EBC"/>
    <w:rsid w:val="00F46F1D"/>
    <w:rsid w:val="00F47A00"/>
    <w:rsid w:val="00F50D8B"/>
    <w:rsid w:val="00F515FB"/>
    <w:rsid w:val="00F51E24"/>
    <w:rsid w:val="00F523FB"/>
    <w:rsid w:val="00F5241D"/>
    <w:rsid w:val="00F528A7"/>
    <w:rsid w:val="00F52B1A"/>
    <w:rsid w:val="00F52D65"/>
    <w:rsid w:val="00F53E94"/>
    <w:rsid w:val="00F54417"/>
    <w:rsid w:val="00F54570"/>
    <w:rsid w:val="00F54AC6"/>
    <w:rsid w:val="00F54DCB"/>
    <w:rsid w:val="00F54FB8"/>
    <w:rsid w:val="00F56160"/>
    <w:rsid w:val="00F56771"/>
    <w:rsid w:val="00F57340"/>
    <w:rsid w:val="00F5752F"/>
    <w:rsid w:val="00F606B3"/>
    <w:rsid w:val="00F60F23"/>
    <w:rsid w:val="00F61CC8"/>
    <w:rsid w:val="00F64024"/>
    <w:rsid w:val="00F649A5"/>
    <w:rsid w:val="00F65FEC"/>
    <w:rsid w:val="00F67B84"/>
    <w:rsid w:val="00F67C7E"/>
    <w:rsid w:val="00F705B0"/>
    <w:rsid w:val="00F709E8"/>
    <w:rsid w:val="00F74128"/>
    <w:rsid w:val="00F74537"/>
    <w:rsid w:val="00F752BF"/>
    <w:rsid w:val="00F76272"/>
    <w:rsid w:val="00F76B99"/>
    <w:rsid w:val="00F76C6A"/>
    <w:rsid w:val="00F77C69"/>
    <w:rsid w:val="00F77D2A"/>
    <w:rsid w:val="00F77E50"/>
    <w:rsid w:val="00F77E84"/>
    <w:rsid w:val="00F77EA7"/>
    <w:rsid w:val="00F804F7"/>
    <w:rsid w:val="00F80610"/>
    <w:rsid w:val="00F815C0"/>
    <w:rsid w:val="00F829C1"/>
    <w:rsid w:val="00F84765"/>
    <w:rsid w:val="00F8496D"/>
    <w:rsid w:val="00F84C7D"/>
    <w:rsid w:val="00F84F54"/>
    <w:rsid w:val="00F853EC"/>
    <w:rsid w:val="00F85EA7"/>
    <w:rsid w:val="00F8600A"/>
    <w:rsid w:val="00F861F7"/>
    <w:rsid w:val="00F86B2C"/>
    <w:rsid w:val="00F874BA"/>
    <w:rsid w:val="00F87A42"/>
    <w:rsid w:val="00F91695"/>
    <w:rsid w:val="00F916C2"/>
    <w:rsid w:val="00F91A31"/>
    <w:rsid w:val="00F93837"/>
    <w:rsid w:val="00F93DBE"/>
    <w:rsid w:val="00F94C6F"/>
    <w:rsid w:val="00F977A8"/>
    <w:rsid w:val="00F97C8E"/>
    <w:rsid w:val="00FA02DE"/>
    <w:rsid w:val="00FA11B1"/>
    <w:rsid w:val="00FA1346"/>
    <w:rsid w:val="00FA1618"/>
    <w:rsid w:val="00FA214A"/>
    <w:rsid w:val="00FA2531"/>
    <w:rsid w:val="00FA311E"/>
    <w:rsid w:val="00FA3936"/>
    <w:rsid w:val="00FA4E47"/>
    <w:rsid w:val="00FA5383"/>
    <w:rsid w:val="00FA54F7"/>
    <w:rsid w:val="00FA6EE0"/>
    <w:rsid w:val="00FA73BB"/>
    <w:rsid w:val="00FB0392"/>
    <w:rsid w:val="00FB0A32"/>
    <w:rsid w:val="00FB373A"/>
    <w:rsid w:val="00FB3F96"/>
    <w:rsid w:val="00FB51B7"/>
    <w:rsid w:val="00FB557F"/>
    <w:rsid w:val="00FB6CF7"/>
    <w:rsid w:val="00FB7EFC"/>
    <w:rsid w:val="00FC01C9"/>
    <w:rsid w:val="00FC03AE"/>
    <w:rsid w:val="00FC1769"/>
    <w:rsid w:val="00FC1987"/>
    <w:rsid w:val="00FC3857"/>
    <w:rsid w:val="00FC3E4A"/>
    <w:rsid w:val="00FC416C"/>
    <w:rsid w:val="00FC53D0"/>
    <w:rsid w:val="00FC6F4C"/>
    <w:rsid w:val="00FD03A9"/>
    <w:rsid w:val="00FD08B6"/>
    <w:rsid w:val="00FD10A3"/>
    <w:rsid w:val="00FD1C89"/>
    <w:rsid w:val="00FD2DFA"/>
    <w:rsid w:val="00FD3AC2"/>
    <w:rsid w:val="00FD4651"/>
    <w:rsid w:val="00FD56DA"/>
    <w:rsid w:val="00FD57A1"/>
    <w:rsid w:val="00FD5DC9"/>
    <w:rsid w:val="00FE02FC"/>
    <w:rsid w:val="00FE0963"/>
    <w:rsid w:val="00FE0EED"/>
    <w:rsid w:val="00FE1878"/>
    <w:rsid w:val="00FE1C4F"/>
    <w:rsid w:val="00FE244D"/>
    <w:rsid w:val="00FE25EF"/>
    <w:rsid w:val="00FE292B"/>
    <w:rsid w:val="00FE2CED"/>
    <w:rsid w:val="00FE3926"/>
    <w:rsid w:val="00FE42CA"/>
    <w:rsid w:val="00FE5A60"/>
    <w:rsid w:val="00FE5B62"/>
    <w:rsid w:val="00FE6D78"/>
    <w:rsid w:val="00FE76CD"/>
    <w:rsid w:val="00FE78D2"/>
    <w:rsid w:val="00FE7F58"/>
    <w:rsid w:val="00FF0101"/>
    <w:rsid w:val="00FF02DF"/>
    <w:rsid w:val="00FF0469"/>
    <w:rsid w:val="00FF05F5"/>
    <w:rsid w:val="00FF1F9F"/>
    <w:rsid w:val="00FF2F05"/>
    <w:rsid w:val="00FF31C2"/>
    <w:rsid w:val="00FF4263"/>
    <w:rsid w:val="00FF426C"/>
    <w:rsid w:val="00FF4C9A"/>
    <w:rsid w:val="00FF5135"/>
    <w:rsid w:val="00FF58BE"/>
    <w:rsid w:val="00FF63A4"/>
    <w:rsid w:val="00FF6E3D"/>
    <w:rsid w:val="00FF75FA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D3A"/>
    <w:pPr>
      <w:ind w:firstLine="539"/>
      <w:jc w:val="both"/>
    </w:pPr>
    <w:rPr>
      <w:rFonts w:ascii="Arial" w:hAnsi="Arial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1B6F"/>
    <w:pPr>
      <w:keepNext/>
      <w:numPr>
        <w:numId w:val="17"/>
      </w:numPr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1B6F"/>
    <w:pPr>
      <w:keepNext/>
      <w:ind w:firstLine="0"/>
      <w:outlineLvl w:val="1"/>
    </w:pPr>
    <w:rPr>
      <w:rFonts w:cs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4B388A"/>
    <w:pPr>
      <w:keepNext/>
      <w:numPr>
        <w:ilvl w:val="2"/>
        <w:numId w:val="17"/>
      </w:numPr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388A"/>
    <w:pPr>
      <w:keepNext/>
      <w:numPr>
        <w:ilvl w:val="3"/>
        <w:numId w:val="17"/>
      </w:numPr>
      <w:tabs>
        <w:tab w:val="left" w:leader="dot" w:pos="567"/>
      </w:tabs>
      <w:spacing w:before="240"/>
      <w:jc w:val="left"/>
      <w:outlineLvl w:val="3"/>
    </w:pPr>
    <w:rPr>
      <w:rFonts w:cs="Arial"/>
      <w:b/>
      <w:sz w:val="24"/>
    </w:rPr>
  </w:style>
  <w:style w:type="paragraph" w:styleId="Nadpis5">
    <w:name w:val="heading 5"/>
    <w:basedOn w:val="Normln"/>
    <w:next w:val="Normln"/>
    <w:qFormat/>
    <w:rsid w:val="00571B6F"/>
    <w:pPr>
      <w:numPr>
        <w:ilvl w:val="4"/>
        <w:numId w:val="17"/>
      </w:numPr>
      <w:spacing w:before="240" w:after="60"/>
      <w:outlineLvl w:val="4"/>
    </w:pPr>
    <w:rPr>
      <w:b/>
      <w:bCs/>
      <w:szCs w:val="26"/>
    </w:rPr>
  </w:style>
  <w:style w:type="paragraph" w:styleId="Nadpis6">
    <w:name w:val="heading 6"/>
    <w:basedOn w:val="Normln"/>
    <w:next w:val="Normln"/>
    <w:qFormat/>
    <w:rsid w:val="00571B6F"/>
    <w:pPr>
      <w:numPr>
        <w:ilvl w:val="5"/>
        <w:numId w:val="2"/>
      </w:numPr>
      <w:spacing w:before="240" w:after="60"/>
      <w:outlineLvl w:val="5"/>
    </w:pPr>
    <w:rPr>
      <w:b/>
      <w:bCs/>
      <w:i/>
      <w:iCs/>
      <w:szCs w:val="22"/>
    </w:rPr>
  </w:style>
  <w:style w:type="paragraph" w:styleId="Nadpis7">
    <w:name w:val="heading 7"/>
    <w:basedOn w:val="Normln"/>
    <w:next w:val="Normln"/>
    <w:qFormat/>
    <w:rsid w:val="00571B6F"/>
    <w:pPr>
      <w:numPr>
        <w:ilvl w:val="6"/>
        <w:numId w:val="1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1B6F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71B6F"/>
    <w:pPr>
      <w:numPr>
        <w:ilvl w:val="8"/>
        <w:numId w:val="17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1B6F"/>
  </w:style>
  <w:style w:type="paragraph" w:styleId="Zhlav">
    <w:name w:val="header"/>
    <w:basedOn w:val="Normln"/>
    <w:link w:val="ZhlavChar"/>
    <w:semiHidden/>
    <w:rsid w:val="00571B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1B6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71B6F"/>
    <w:rPr>
      <w:color w:val="0000FF"/>
      <w:u w:val="single"/>
    </w:rPr>
  </w:style>
  <w:style w:type="character" w:styleId="slostrnky">
    <w:name w:val="page number"/>
    <w:basedOn w:val="Standardnpsmoodstavce"/>
    <w:semiHidden/>
    <w:rsid w:val="00571B6F"/>
  </w:style>
  <w:style w:type="character" w:styleId="Sledovanodkaz">
    <w:name w:val="FollowedHyperlink"/>
    <w:basedOn w:val="Standardnpsmoodstavce"/>
    <w:semiHidden/>
    <w:rsid w:val="00571B6F"/>
    <w:rPr>
      <w:color w:val="800080"/>
      <w:u w:val="single"/>
    </w:rPr>
  </w:style>
  <w:style w:type="paragraph" w:styleId="Zkladntext">
    <w:name w:val="Body Text"/>
    <w:basedOn w:val="Normln"/>
    <w:semiHidden/>
    <w:rsid w:val="00571B6F"/>
    <w:rPr>
      <w:rFonts w:cs="Arial"/>
      <w:i/>
    </w:rPr>
  </w:style>
  <w:style w:type="paragraph" w:styleId="Zkladntextodsazen">
    <w:name w:val="Body Text Indent"/>
    <w:basedOn w:val="Normln"/>
    <w:link w:val="ZkladntextodsazenChar"/>
    <w:semiHidden/>
    <w:rsid w:val="00571B6F"/>
    <w:pPr>
      <w:spacing w:after="120"/>
      <w:ind w:firstLine="720"/>
    </w:pPr>
  </w:style>
  <w:style w:type="paragraph" w:styleId="Textpoznpodarou">
    <w:name w:val="footnote text"/>
    <w:basedOn w:val="Normln"/>
    <w:link w:val="TextpoznpodarouChar"/>
    <w:uiPriority w:val="99"/>
    <w:rsid w:val="00571B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71B6F"/>
    <w:rPr>
      <w:vertAlign w:val="superscript"/>
    </w:rPr>
  </w:style>
  <w:style w:type="paragraph" w:customStyle="1" w:styleId="BodyText31">
    <w:name w:val="Body Text 31"/>
    <w:basedOn w:val="Normln"/>
    <w:rsid w:val="00571B6F"/>
    <w:p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styleId="Zkladntext2">
    <w:name w:val="Body Text 2"/>
    <w:basedOn w:val="Normln"/>
    <w:semiHidden/>
    <w:rsid w:val="00571B6F"/>
    <w:rPr>
      <w:rFonts w:cs="Arial"/>
      <w:lang w:eastAsia="cs-CZ"/>
    </w:rPr>
  </w:style>
  <w:style w:type="paragraph" w:styleId="Zkladntext3">
    <w:name w:val="Body Text 3"/>
    <w:basedOn w:val="Normln"/>
    <w:semiHidden/>
    <w:rsid w:val="00571B6F"/>
    <w:rPr>
      <w:rFonts w:cs="Arial"/>
      <w:lang w:eastAsia="cs-CZ"/>
    </w:rPr>
  </w:style>
  <w:style w:type="paragraph" w:customStyle="1" w:styleId="citace">
    <w:name w:val="citace"/>
    <w:basedOn w:val="Normln"/>
    <w:next w:val="Normln"/>
    <w:rsid w:val="00571B6F"/>
    <w:pPr>
      <w:spacing w:after="120"/>
      <w:ind w:firstLine="720"/>
    </w:pPr>
    <w:rPr>
      <w:i/>
    </w:rPr>
  </w:style>
  <w:style w:type="paragraph" w:styleId="Zkladntextodsazen2">
    <w:name w:val="Body Text Indent 2"/>
    <w:basedOn w:val="Normln"/>
    <w:semiHidden/>
    <w:rsid w:val="00571B6F"/>
    <w:pPr>
      <w:ind w:left="470" w:firstLine="180"/>
    </w:pPr>
    <w:rPr>
      <w:b/>
      <w:bCs/>
      <w:sz w:val="20"/>
    </w:rPr>
  </w:style>
  <w:style w:type="paragraph" w:styleId="Zkladntextodsazen3">
    <w:name w:val="Body Text Indent 3"/>
    <w:basedOn w:val="Normln"/>
    <w:semiHidden/>
    <w:rsid w:val="00571B6F"/>
    <w:pPr>
      <w:ind w:firstLine="720"/>
    </w:pPr>
  </w:style>
  <w:style w:type="paragraph" w:styleId="Nzev">
    <w:name w:val="Title"/>
    <w:basedOn w:val="Normln"/>
    <w:link w:val="NzevChar"/>
    <w:uiPriority w:val="10"/>
    <w:qFormat/>
    <w:rsid w:val="00571B6F"/>
    <w:pPr>
      <w:jc w:val="center"/>
    </w:pPr>
    <w:rPr>
      <w:b/>
      <w:bCs/>
      <w:sz w:val="28"/>
    </w:rPr>
  </w:style>
  <w:style w:type="paragraph" w:styleId="Citt">
    <w:name w:val="Quote"/>
    <w:basedOn w:val="Normln"/>
    <w:next w:val="Normln"/>
    <w:link w:val="CittChar"/>
    <w:qFormat/>
    <w:rsid w:val="00571B6F"/>
    <w:pPr>
      <w:spacing w:before="120" w:after="120"/>
    </w:pPr>
    <w:rPr>
      <w:i/>
      <w:iCs/>
    </w:rPr>
  </w:style>
  <w:style w:type="paragraph" w:customStyle="1" w:styleId="Normln0">
    <w:name w:val="Norm‡ln’"/>
    <w:rsid w:val="00571B6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ulek">
    <w:name w:val="caption"/>
    <w:basedOn w:val="Normln"/>
    <w:next w:val="Normln"/>
    <w:uiPriority w:val="35"/>
    <w:qFormat/>
    <w:rsid w:val="00571B6F"/>
    <w:pPr>
      <w:spacing w:before="120" w:after="120"/>
      <w:ind w:firstLine="0"/>
      <w:jc w:val="left"/>
    </w:pPr>
    <w:rPr>
      <w:rFonts w:cs="Arial"/>
      <w:b/>
      <w:bCs/>
      <w:sz w:val="20"/>
      <w:szCs w:val="20"/>
    </w:rPr>
  </w:style>
  <w:style w:type="paragraph" w:customStyle="1" w:styleId="xl23">
    <w:name w:val="xl23"/>
    <w:basedOn w:val="Normln"/>
    <w:rsid w:val="00571B6F"/>
    <w:pPr>
      <w:spacing w:before="100" w:beforeAutospacing="1" w:after="100" w:afterAutospacing="1"/>
      <w:ind w:firstLine="0"/>
    </w:pPr>
    <w:rPr>
      <w:rFonts w:ascii="Times New Roman" w:eastAsia="Arial Unicode MS" w:hAnsi="Times New Roman"/>
      <w:sz w:val="24"/>
      <w:lang w:eastAsia="cs-CZ"/>
    </w:rPr>
  </w:style>
  <w:style w:type="character" w:styleId="Zvraznn">
    <w:name w:val="Emphasis"/>
    <w:basedOn w:val="Standardnpsmoodstavce"/>
    <w:qFormat/>
    <w:rsid w:val="00571B6F"/>
    <w:rPr>
      <w:i/>
      <w:iCs/>
    </w:rPr>
  </w:style>
  <w:style w:type="paragraph" w:customStyle="1" w:styleId="Styl1">
    <w:name w:val="Styl1"/>
    <w:basedOn w:val="Nadpis5"/>
    <w:rsid w:val="00571B6F"/>
  </w:style>
  <w:style w:type="paragraph" w:styleId="Rozloendokumentu">
    <w:name w:val="Document Map"/>
    <w:basedOn w:val="Normln"/>
    <w:semiHidden/>
    <w:rsid w:val="00571B6F"/>
    <w:pPr>
      <w:shd w:val="clear" w:color="auto" w:fill="000080"/>
    </w:pPr>
    <w:rPr>
      <w:rFonts w:ascii="Tahoma" w:hAnsi="Tahoma" w:cs="Tahoma"/>
    </w:rPr>
  </w:style>
  <w:style w:type="paragraph" w:styleId="Seznamsodrkami">
    <w:name w:val="List Bullet"/>
    <w:basedOn w:val="Normln"/>
    <w:autoRedefine/>
    <w:semiHidden/>
    <w:rsid w:val="00AF67D1"/>
    <w:pPr>
      <w:numPr>
        <w:numId w:val="3"/>
      </w:numPr>
      <w:jc w:val="left"/>
    </w:pPr>
    <w:rPr>
      <w:rFonts w:ascii="Times New Roman" w:hAnsi="Times New Roman"/>
      <w:sz w:val="24"/>
    </w:rPr>
  </w:style>
  <w:style w:type="character" w:customStyle="1" w:styleId="NzevChar">
    <w:name w:val="Název Char"/>
    <w:basedOn w:val="Standardnpsmoodstavce"/>
    <w:link w:val="Nzev"/>
    <w:uiPriority w:val="10"/>
    <w:locked/>
    <w:rsid w:val="009B0308"/>
    <w:rPr>
      <w:rFonts w:ascii="Arial" w:hAnsi="Arial"/>
      <w:b/>
      <w:bCs/>
      <w:sz w:val="28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semiHidden/>
    <w:locked/>
    <w:rsid w:val="009559D3"/>
    <w:rPr>
      <w:rFonts w:ascii="Arial" w:hAnsi="Arial"/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7D4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05F34"/>
    <w:rPr>
      <w:rFonts w:ascii="Tahoma" w:hAnsi="Tahoma" w:cs="Tahoma"/>
      <w:sz w:val="16"/>
      <w:szCs w:val="16"/>
    </w:rPr>
  </w:style>
  <w:style w:type="paragraph" w:styleId="Seznamsodrkami2">
    <w:name w:val="List Bullet 2"/>
    <w:basedOn w:val="Normln"/>
    <w:uiPriority w:val="99"/>
    <w:semiHidden/>
    <w:unhideWhenUsed/>
    <w:rsid w:val="007D6BB8"/>
    <w:pPr>
      <w:numPr>
        <w:numId w:val="4"/>
      </w:numPr>
      <w:contextualSpacing/>
    </w:p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5F19B6"/>
    <w:pPr>
      <w:ind w:left="720"/>
      <w:contextualSpacing/>
    </w:pPr>
  </w:style>
  <w:style w:type="paragraph" w:styleId="Normlnodsazen">
    <w:name w:val="Normal Indent"/>
    <w:basedOn w:val="Normln"/>
    <w:uiPriority w:val="99"/>
    <w:rsid w:val="00526B89"/>
    <w:pPr>
      <w:spacing w:line="360" w:lineRule="auto"/>
      <w:ind w:firstLine="72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793"/>
    <w:rPr>
      <w:rFonts w:ascii="Arial" w:hAnsi="Arial"/>
      <w:lang w:eastAsia="en-US"/>
    </w:rPr>
  </w:style>
  <w:style w:type="character" w:customStyle="1" w:styleId="Nadpis3Char">
    <w:name w:val="Nadpis 3 Char"/>
    <w:basedOn w:val="Standardnpsmoodstavce"/>
    <w:link w:val="Nadpis3"/>
    <w:rsid w:val="004B388A"/>
    <w:rPr>
      <w:rFonts w:ascii="Arial" w:hAnsi="Arial" w:cs="Arial"/>
      <w:b/>
      <w:bCs/>
      <w:sz w:val="26"/>
      <w:szCs w:val="26"/>
      <w:lang w:eastAsia="en-US"/>
    </w:rPr>
  </w:style>
  <w:style w:type="paragraph" w:customStyle="1" w:styleId="NormlnKZ">
    <w:name w:val="Normální KZ"/>
    <w:basedOn w:val="Normln"/>
    <w:uiPriority w:val="99"/>
    <w:rsid w:val="007C4C23"/>
    <w:pPr>
      <w:spacing w:after="120"/>
      <w:ind w:firstLine="425"/>
    </w:pPr>
    <w:rPr>
      <w:rFonts w:ascii="Times New Roman" w:hAnsi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F977A8"/>
    <w:rPr>
      <w:rFonts w:ascii="Arial" w:hAnsi="Arial"/>
      <w:b/>
      <w:bCs/>
      <w:sz w:val="32"/>
    </w:rPr>
  </w:style>
  <w:style w:type="character" w:customStyle="1" w:styleId="Nadpis2Char">
    <w:name w:val="Nadpis 2 Char"/>
    <w:basedOn w:val="Standardnpsmoodstavce"/>
    <w:link w:val="Nadpis2"/>
    <w:rsid w:val="00F977A8"/>
    <w:rPr>
      <w:rFonts w:ascii="Arial" w:hAnsi="Arial" w:cs="Arial"/>
      <w:b/>
      <w:sz w:val="28"/>
      <w:szCs w:val="24"/>
      <w:lang w:eastAsia="en-US"/>
    </w:rPr>
  </w:style>
  <w:style w:type="character" w:customStyle="1" w:styleId="CittChar">
    <w:name w:val="Citát Char"/>
    <w:basedOn w:val="Standardnpsmoodstavce"/>
    <w:link w:val="Citt"/>
    <w:rsid w:val="00F977A8"/>
    <w:rPr>
      <w:rFonts w:ascii="Arial" w:hAnsi="Arial"/>
      <w:i/>
      <w:iCs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6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5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58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583"/>
    <w:rPr>
      <w:rFonts w:ascii="Arial" w:hAnsi="Arial"/>
      <w:b/>
      <w:bCs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355C9"/>
    <w:rPr>
      <w:rFonts w:ascii="Arial" w:hAnsi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rsid w:val="00322F9C"/>
    <w:pPr>
      <w:ind w:left="720" w:firstLine="0"/>
      <w:jc w:val="left"/>
    </w:pPr>
    <w:rPr>
      <w:rFonts w:ascii="Times New Roman" w:hAnsi="Times New Roman"/>
      <w:sz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224F4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8224F4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224F4"/>
    <w:pPr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224F4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8224F4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8224F4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8224F4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8224F4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8224F4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8166BC"/>
    <w:rPr>
      <w:rFonts w:ascii="Arial" w:hAnsi="Arial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14BF4"/>
    <w:rPr>
      <w:rFonts w:ascii="Arial" w:hAnsi="Arial"/>
      <w:sz w:val="22"/>
      <w:szCs w:val="24"/>
      <w:lang w:eastAsia="en-US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rsid w:val="00344847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8A4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D3A"/>
    <w:pPr>
      <w:ind w:firstLine="539"/>
      <w:jc w:val="both"/>
    </w:pPr>
    <w:rPr>
      <w:rFonts w:ascii="Arial" w:hAnsi="Arial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1B6F"/>
    <w:pPr>
      <w:keepNext/>
      <w:numPr>
        <w:numId w:val="17"/>
      </w:numPr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1B6F"/>
    <w:pPr>
      <w:keepNext/>
      <w:ind w:firstLine="0"/>
      <w:outlineLvl w:val="1"/>
    </w:pPr>
    <w:rPr>
      <w:rFonts w:cs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4B388A"/>
    <w:pPr>
      <w:keepNext/>
      <w:numPr>
        <w:ilvl w:val="2"/>
        <w:numId w:val="17"/>
      </w:numPr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388A"/>
    <w:pPr>
      <w:keepNext/>
      <w:numPr>
        <w:ilvl w:val="3"/>
        <w:numId w:val="17"/>
      </w:numPr>
      <w:tabs>
        <w:tab w:val="left" w:leader="dot" w:pos="567"/>
      </w:tabs>
      <w:spacing w:before="240"/>
      <w:jc w:val="left"/>
      <w:outlineLvl w:val="3"/>
    </w:pPr>
    <w:rPr>
      <w:rFonts w:cs="Arial"/>
      <w:b/>
      <w:sz w:val="24"/>
    </w:rPr>
  </w:style>
  <w:style w:type="paragraph" w:styleId="Nadpis5">
    <w:name w:val="heading 5"/>
    <w:basedOn w:val="Normln"/>
    <w:next w:val="Normln"/>
    <w:qFormat/>
    <w:rsid w:val="00571B6F"/>
    <w:pPr>
      <w:numPr>
        <w:ilvl w:val="4"/>
        <w:numId w:val="17"/>
      </w:numPr>
      <w:spacing w:before="240" w:after="60"/>
      <w:outlineLvl w:val="4"/>
    </w:pPr>
    <w:rPr>
      <w:b/>
      <w:bCs/>
      <w:szCs w:val="26"/>
    </w:rPr>
  </w:style>
  <w:style w:type="paragraph" w:styleId="Nadpis6">
    <w:name w:val="heading 6"/>
    <w:basedOn w:val="Normln"/>
    <w:next w:val="Normln"/>
    <w:qFormat/>
    <w:rsid w:val="00571B6F"/>
    <w:pPr>
      <w:numPr>
        <w:ilvl w:val="5"/>
        <w:numId w:val="2"/>
      </w:numPr>
      <w:spacing w:before="240" w:after="60"/>
      <w:outlineLvl w:val="5"/>
    </w:pPr>
    <w:rPr>
      <w:b/>
      <w:bCs/>
      <w:i/>
      <w:iCs/>
      <w:szCs w:val="22"/>
    </w:rPr>
  </w:style>
  <w:style w:type="paragraph" w:styleId="Nadpis7">
    <w:name w:val="heading 7"/>
    <w:basedOn w:val="Normln"/>
    <w:next w:val="Normln"/>
    <w:qFormat/>
    <w:rsid w:val="00571B6F"/>
    <w:pPr>
      <w:numPr>
        <w:ilvl w:val="6"/>
        <w:numId w:val="1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1B6F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71B6F"/>
    <w:pPr>
      <w:numPr>
        <w:ilvl w:val="8"/>
        <w:numId w:val="17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1B6F"/>
  </w:style>
  <w:style w:type="paragraph" w:styleId="Zhlav">
    <w:name w:val="header"/>
    <w:basedOn w:val="Normln"/>
    <w:link w:val="ZhlavChar"/>
    <w:semiHidden/>
    <w:rsid w:val="00571B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1B6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71B6F"/>
    <w:rPr>
      <w:color w:val="0000FF"/>
      <w:u w:val="single"/>
    </w:rPr>
  </w:style>
  <w:style w:type="character" w:styleId="slostrnky">
    <w:name w:val="page number"/>
    <w:basedOn w:val="Standardnpsmoodstavce"/>
    <w:semiHidden/>
    <w:rsid w:val="00571B6F"/>
  </w:style>
  <w:style w:type="character" w:styleId="Sledovanodkaz">
    <w:name w:val="FollowedHyperlink"/>
    <w:basedOn w:val="Standardnpsmoodstavce"/>
    <w:semiHidden/>
    <w:rsid w:val="00571B6F"/>
    <w:rPr>
      <w:color w:val="800080"/>
      <w:u w:val="single"/>
    </w:rPr>
  </w:style>
  <w:style w:type="paragraph" w:styleId="Zkladntext">
    <w:name w:val="Body Text"/>
    <w:basedOn w:val="Normln"/>
    <w:semiHidden/>
    <w:rsid w:val="00571B6F"/>
    <w:rPr>
      <w:rFonts w:cs="Arial"/>
      <w:i/>
    </w:rPr>
  </w:style>
  <w:style w:type="paragraph" w:styleId="Zkladntextodsazen">
    <w:name w:val="Body Text Indent"/>
    <w:basedOn w:val="Normln"/>
    <w:link w:val="ZkladntextodsazenChar"/>
    <w:semiHidden/>
    <w:rsid w:val="00571B6F"/>
    <w:pPr>
      <w:spacing w:after="120"/>
      <w:ind w:firstLine="720"/>
    </w:pPr>
  </w:style>
  <w:style w:type="paragraph" w:styleId="Textpoznpodarou">
    <w:name w:val="footnote text"/>
    <w:basedOn w:val="Normln"/>
    <w:link w:val="TextpoznpodarouChar"/>
    <w:uiPriority w:val="99"/>
    <w:rsid w:val="00571B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71B6F"/>
    <w:rPr>
      <w:vertAlign w:val="superscript"/>
    </w:rPr>
  </w:style>
  <w:style w:type="paragraph" w:customStyle="1" w:styleId="BodyText31">
    <w:name w:val="Body Text 31"/>
    <w:basedOn w:val="Normln"/>
    <w:rsid w:val="00571B6F"/>
    <w:p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styleId="Zkladntext2">
    <w:name w:val="Body Text 2"/>
    <w:basedOn w:val="Normln"/>
    <w:semiHidden/>
    <w:rsid w:val="00571B6F"/>
    <w:rPr>
      <w:rFonts w:cs="Arial"/>
      <w:lang w:eastAsia="cs-CZ"/>
    </w:rPr>
  </w:style>
  <w:style w:type="paragraph" w:styleId="Zkladntext3">
    <w:name w:val="Body Text 3"/>
    <w:basedOn w:val="Normln"/>
    <w:semiHidden/>
    <w:rsid w:val="00571B6F"/>
    <w:rPr>
      <w:rFonts w:cs="Arial"/>
      <w:lang w:eastAsia="cs-CZ"/>
    </w:rPr>
  </w:style>
  <w:style w:type="paragraph" w:customStyle="1" w:styleId="citace">
    <w:name w:val="citace"/>
    <w:basedOn w:val="Normln"/>
    <w:next w:val="Normln"/>
    <w:rsid w:val="00571B6F"/>
    <w:pPr>
      <w:spacing w:after="120"/>
      <w:ind w:firstLine="720"/>
    </w:pPr>
    <w:rPr>
      <w:i/>
    </w:rPr>
  </w:style>
  <w:style w:type="paragraph" w:styleId="Zkladntextodsazen2">
    <w:name w:val="Body Text Indent 2"/>
    <w:basedOn w:val="Normln"/>
    <w:semiHidden/>
    <w:rsid w:val="00571B6F"/>
    <w:pPr>
      <w:ind w:left="470" w:firstLine="180"/>
    </w:pPr>
    <w:rPr>
      <w:b/>
      <w:bCs/>
      <w:sz w:val="20"/>
    </w:rPr>
  </w:style>
  <w:style w:type="paragraph" w:styleId="Zkladntextodsazen3">
    <w:name w:val="Body Text Indent 3"/>
    <w:basedOn w:val="Normln"/>
    <w:semiHidden/>
    <w:rsid w:val="00571B6F"/>
    <w:pPr>
      <w:ind w:firstLine="720"/>
    </w:pPr>
  </w:style>
  <w:style w:type="paragraph" w:styleId="Nzev">
    <w:name w:val="Title"/>
    <w:basedOn w:val="Normln"/>
    <w:link w:val="NzevChar"/>
    <w:uiPriority w:val="10"/>
    <w:qFormat/>
    <w:rsid w:val="00571B6F"/>
    <w:pPr>
      <w:jc w:val="center"/>
    </w:pPr>
    <w:rPr>
      <w:b/>
      <w:bCs/>
      <w:sz w:val="28"/>
    </w:rPr>
  </w:style>
  <w:style w:type="paragraph" w:styleId="Citt">
    <w:name w:val="Quote"/>
    <w:basedOn w:val="Normln"/>
    <w:next w:val="Normln"/>
    <w:link w:val="CittChar"/>
    <w:qFormat/>
    <w:rsid w:val="00571B6F"/>
    <w:pPr>
      <w:spacing w:before="120" w:after="120"/>
    </w:pPr>
    <w:rPr>
      <w:i/>
      <w:iCs/>
    </w:rPr>
  </w:style>
  <w:style w:type="paragraph" w:customStyle="1" w:styleId="Normln0">
    <w:name w:val="Norm‡ln’"/>
    <w:rsid w:val="00571B6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ulek">
    <w:name w:val="caption"/>
    <w:basedOn w:val="Normln"/>
    <w:next w:val="Normln"/>
    <w:uiPriority w:val="35"/>
    <w:qFormat/>
    <w:rsid w:val="00571B6F"/>
    <w:pPr>
      <w:spacing w:before="120" w:after="120"/>
      <w:ind w:firstLine="0"/>
      <w:jc w:val="left"/>
    </w:pPr>
    <w:rPr>
      <w:rFonts w:cs="Arial"/>
      <w:b/>
      <w:bCs/>
      <w:sz w:val="20"/>
      <w:szCs w:val="20"/>
    </w:rPr>
  </w:style>
  <w:style w:type="paragraph" w:customStyle="1" w:styleId="xl23">
    <w:name w:val="xl23"/>
    <w:basedOn w:val="Normln"/>
    <w:rsid w:val="00571B6F"/>
    <w:pPr>
      <w:spacing w:before="100" w:beforeAutospacing="1" w:after="100" w:afterAutospacing="1"/>
      <w:ind w:firstLine="0"/>
    </w:pPr>
    <w:rPr>
      <w:rFonts w:ascii="Times New Roman" w:eastAsia="Arial Unicode MS" w:hAnsi="Times New Roman"/>
      <w:sz w:val="24"/>
      <w:lang w:eastAsia="cs-CZ"/>
    </w:rPr>
  </w:style>
  <w:style w:type="character" w:styleId="Zvraznn">
    <w:name w:val="Emphasis"/>
    <w:basedOn w:val="Standardnpsmoodstavce"/>
    <w:qFormat/>
    <w:rsid w:val="00571B6F"/>
    <w:rPr>
      <w:i/>
      <w:iCs/>
    </w:rPr>
  </w:style>
  <w:style w:type="paragraph" w:customStyle="1" w:styleId="Styl1">
    <w:name w:val="Styl1"/>
    <w:basedOn w:val="Nadpis5"/>
    <w:rsid w:val="00571B6F"/>
  </w:style>
  <w:style w:type="paragraph" w:styleId="Rozloendokumentu">
    <w:name w:val="Document Map"/>
    <w:basedOn w:val="Normln"/>
    <w:semiHidden/>
    <w:rsid w:val="00571B6F"/>
    <w:pPr>
      <w:shd w:val="clear" w:color="auto" w:fill="000080"/>
    </w:pPr>
    <w:rPr>
      <w:rFonts w:ascii="Tahoma" w:hAnsi="Tahoma" w:cs="Tahoma"/>
    </w:rPr>
  </w:style>
  <w:style w:type="paragraph" w:styleId="Seznamsodrkami">
    <w:name w:val="List Bullet"/>
    <w:basedOn w:val="Normln"/>
    <w:autoRedefine/>
    <w:semiHidden/>
    <w:rsid w:val="00AF67D1"/>
    <w:pPr>
      <w:numPr>
        <w:numId w:val="3"/>
      </w:numPr>
      <w:jc w:val="left"/>
    </w:pPr>
    <w:rPr>
      <w:rFonts w:ascii="Times New Roman" w:hAnsi="Times New Roman"/>
      <w:sz w:val="24"/>
    </w:rPr>
  </w:style>
  <w:style w:type="character" w:customStyle="1" w:styleId="NzevChar">
    <w:name w:val="Název Char"/>
    <w:basedOn w:val="Standardnpsmoodstavce"/>
    <w:link w:val="Nzev"/>
    <w:uiPriority w:val="10"/>
    <w:locked/>
    <w:rsid w:val="009B0308"/>
    <w:rPr>
      <w:rFonts w:ascii="Arial" w:hAnsi="Arial"/>
      <w:b/>
      <w:bCs/>
      <w:sz w:val="28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semiHidden/>
    <w:locked/>
    <w:rsid w:val="009559D3"/>
    <w:rPr>
      <w:rFonts w:ascii="Arial" w:hAnsi="Arial"/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7D4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05F34"/>
    <w:rPr>
      <w:rFonts w:ascii="Tahoma" w:hAnsi="Tahoma" w:cs="Tahoma"/>
      <w:sz w:val="16"/>
      <w:szCs w:val="16"/>
    </w:rPr>
  </w:style>
  <w:style w:type="paragraph" w:styleId="Seznamsodrkami2">
    <w:name w:val="List Bullet 2"/>
    <w:basedOn w:val="Normln"/>
    <w:uiPriority w:val="99"/>
    <w:semiHidden/>
    <w:unhideWhenUsed/>
    <w:rsid w:val="007D6BB8"/>
    <w:pPr>
      <w:numPr>
        <w:numId w:val="4"/>
      </w:numPr>
      <w:contextualSpacing/>
    </w:p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5F19B6"/>
    <w:pPr>
      <w:ind w:left="720"/>
      <w:contextualSpacing/>
    </w:pPr>
  </w:style>
  <w:style w:type="paragraph" w:styleId="Normlnodsazen">
    <w:name w:val="Normal Indent"/>
    <w:basedOn w:val="Normln"/>
    <w:uiPriority w:val="99"/>
    <w:rsid w:val="00526B89"/>
    <w:pPr>
      <w:spacing w:line="360" w:lineRule="auto"/>
      <w:ind w:firstLine="72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793"/>
    <w:rPr>
      <w:rFonts w:ascii="Arial" w:hAnsi="Arial"/>
      <w:lang w:eastAsia="en-US"/>
    </w:rPr>
  </w:style>
  <w:style w:type="character" w:customStyle="1" w:styleId="Nadpis3Char">
    <w:name w:val="Nadpis 3 Char"/>
    <w:basedOn w:val="Standardnpsmoodstavce"/>
    <w:link w:val="Nadpis3"/>
    <w:rsid w:val="004B388A"/>
    <w:rPr>
      <w:rFonts w:ascii="Arial" w:hAnsi="Arial" w:cs="Arial"/>
      <w:b/>
      <w:bCs/>
      <w:sz w:val="26"/>
      <w:szCs w:val="26"/>
      <w:lang w:eastAsia="en-US"/>
    </w:rPr>
  </w:style>
  <w:style w:type="paragraph" w:customStyle="1" w:styleId="NormlnKZ">
    <w:name w:val="Normální KZ"/>
    <w:basedOn w:val="Normln"/>
    <w:uiPriority w:val="99"/>
    <w:rsid w:val="007C4C23"/>
    <w:pPr>
      <w:spacing w:after="120"/>
      <w:ind w:firstLine="425"/>
    </w:pPr>
    <w:rPr>
      <w:rFonts w:ascii="Times New Roman" w:hAnsi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F977A8"/>
    <w:rPr>
      <w:rFonts w:ascii="Arial" w:hAnsi="Arial"/>
      <w:b/>
      <w:bCs/>
      <w:sz w:val="32"/>
    </w:rPr>
  </w:style>
  <w:style w:type="character" w:customStyle="1" w:styleId="Nadpis2Char">
    <w:name w:val="Nadpis 2 Char"/>
    <w:basedOn w:val="Standardnpsmoodstavce"/>
    <w:link w:val="Nadpis2"/>
    <w:rsid w:val="00F977A8"/>
    <w:rPr>
      <w:rFonts w:ascii="Arial" w:hAnsi="Arial" w:cs="Arial"/>
      <w:b/>
      <w:sz w:val="28"/>
      <w:szCs w:val="24"/>
      <w:lang w:eastAsia="en-US"/>
    </w:rPr>
  </w:style>
  <w:style w:type="character" w:customStyle="1" w:styleId="CittChar">
    <w:name w:val="Citát Char"/>
    <w:basedOn w:val="Standardnpsmoodstavce"/>
    <w:link w:val="Citt"/>
    <w:rsid w:val="00F977A8"/>
    <w:rPr>
      <w:rFonts w:ascii="Arial" w:hAnsi="Arial"/>
      <w:i/>
      <w:iCs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6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5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58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583"/>
    <w:rPr>
      <w:rFonts w:ascii="Arial" w:hAnsi="Arial"/>
      <w:b/>
      <w:bCs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355C9"/>
    <w:rPr>
      <w:rFonts w:ascii="Arial" w:hAnsi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rsid w:val="00322F9C"/>
    <w:pPr>
      <w:ind w:left="720" w:firstLine="0"/>
      <w:jc w:val="left"/>
    </w:pPr>
    <w:rPr>
      <w:rFonts w:ascii="Times New Roman" w:hAnsi="Times New Roman"/>
      <w:sz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224F4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8224F4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224F4"/>
    <w:pPr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224F4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8224F4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8224F4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8224F4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8224F4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8224F4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8166BC"/>
    <w:rPr>
      <w:rFonts w:ascii="Arial" w:hAnsi="Arial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14BF4"/>
    <w:rPr>
      <w:rFonts w:ascii="Arial" w:hAnsi="Arial"/>
      <w:sz w:val="22"/>
      <w:szCs w:val="24"/>
      <w:lang w:eastAsia="en-US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rsid w:val="00344847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8A4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47737-7BDB-4ABE-9D2C-D6FAAC9C4D87}"/>
</file>

<file path=customXml/itemProps2.xml><?xml version="1.0" encoding="utf-8"?>
<ds:datastoreItem xmlns:ds="http://schemas.openxmlformats.org/officeDocument/2006/customXml" ds:itemID="{DB997A88-C224-4955-A3B3-3D36E0F386FA}"/>
</file>

<file path=customXml/itemProps3.xml><?xml version="1.0" encoding="utf-8"?>
<ds:datastoreItem xmlns:ds="http://schemas.openxmlformats.org/officeDocument/2006/customXml" ds:itemID="{2BF9B2FC-8DB8-41CB-9E4D-A918892ED06B}"/>
</file>

<file path=customXml/itemProps4.xml><?xml version="1.0" encoding="utf-8"?>
<ds:datastoreItem xmlns:ds="http://schemas.openxmlformats.org/officeDocument/2006/customXml" ds:itemID="{F9613773-B2A4-4D2E-811B-09928B44B357}"/>
</file>

<file path=docProps/app.xml><?xml version="1.0" encoding="utf-8"?>
<Properties xmlns="http://schemas.openxmlformats.org/officeDocument/2006/extended-properties" xmlns:vt="http://schemas.openxmlformats.org/officeDocument/2006/docPropsVTypes">
  <Template>7621A82B.dotm</Template>
  <TotalTime>1</TotalTime>
  <Pages>11</Pages>
  <Words>3251</Words>
  <Characters>18342</Characters>
  <Application>Microsoft Office Word</Application>
  <DocSecurity>4</DocSecurity>
  <Lines>152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odboru</vt:lpstr>
      <vt:lpstr>Název odboru</vt:lpstr>
    </vt:vector>
  </TitlesOfParts>
  <Company>NKU</Company>
  <LinksUpToDate>false</LinksUpToDate>
  <CharactersWithSpaces>21550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14/38</dc:title>
  <dc:creator>Nejvyšší kontrolní úřad</dc:creator>
  <cp:lastModifiedBy>KOKRDA Daniel</cp:lastModifiedBy>
  <cp:revision>2</cp:revision>
  <cp:lastPrinted>2015-08-17T08:40:00Z</cp:lastPrinted>
  <dcterms:created xsi:type="dcterms:W3CDTF">2015-08-17T12:25:00Z</dcterms:created>
  <dcterms:modified xsi:type="dcterms:W3CDTF">2015-08-17T12:25:00Z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11/26-NKU460/105/12</vt:lpwstr>
  </property>
  <property fmtid="{D5CDD505-2E9C-101B-9397-08002B2CF9AE}" pid="3" name="SZ_Spis_Pisemnost">
    <vt:lpwstr>11/26</vt:lpwstr>
  </property>
  <property fmtid="{D5CDD505-2E9C-101B-9397-08002B2CF9AE}" pid="4" name="DisplayName_SpisovyUzel_PoziceZodpo_Pisemnost">
    <vt:lpwstr>Odbor VI.</vt:lpwstr>
  </property>
  <property fmtid="{D5CDD505-2E9C-101B-9397-08002B2CF9AE}" pid="5" name="Zkratka_SpisovyUzel_PoziceZodpo_Pisemnost">
    <vt:lpwstr>460</vt:lpwstr>
  </property>
  <property fmtid="{D5CDD505-2E9C-101B-9397-08002B2CF9AE}" pid="6" name="Key_BarCode_Pisemnost">
    <vt:lpwstr>*B000153788*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12-5987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/>
  </property>
  <property fmtid="{D5CDD505-2E9C-101B-9397-08002B2CF9AE}" pid="17" name="Vec_Pisemnost">
    <vt:lpwstr>Kontrolní protokol 11-26 ČSSZ</vt:lpwstr>
  </property>
  <property fmtid="{D5CDD505-2E9C-101B-9397-08002B2CF9AE}" pid="18" name="DatumPoriz_Pisemnost">
    <vt:lpwstr>25.4.2012</vt:lpwstr>
  </property>
  <property fmtid="{D5CDD505-2E9C-101B-9397-08002B2CF9AE}" pid="19" name="Contact_PostaOdes_All">
    <vt:lpwstr/>
  </property>
  <property fmtid="{D5CDD505-2E9C-101B-9397-08002B2CF9AE}" pid="20" name="ContentTypeId">
    <vt:lpwstr>0x0101002F7A625AE9F5AB4A939F92BCAA7FEC02</vt:lpwstr>
  </property>
</Properties>
</file>