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F8" w:rsidRDefault="00C33CF8" w:rsidP="00C33CF8">
      <w:pPr>
        <w:spacing w:before="0" w:after="0" w:line="240" w:lineRule="auto"/>
        <w:jc w:val="center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738039F3" wp14:editId="193C0868">
            <wp:simplePos x="0" y="0"/>
            <wp:positionH relativeFrom="column">
              <wp:posOffset>2481580</wp:posOffset>
            </wp:positionH>
            <wp:positionV relativeFrom="paragraph">
              <wp:posOffset>-274320</wp:posOffset>
            </wp:positionV>
            <wp:extent cx="784860" cy="560705"/>
            <wp:effectExtent l="0" t="0" r="0" b="0"/>
            <wp:wrapTopAndBottom/>
            <wp:docPr id="3" name="Obrázek 3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6E" w:rsidRPr="00216E57" w:rsidRDefault="00EF3B6E" w:rsidP="00C33CF8">
      <w:pPr>
        <w:spacing w:before="0" w:after="0" w:line="240" w:lineRule="auto"/>
        <w:jc w:val="center"/>
        <w:rPr>
          <w:rFonts w:eastAsia="Times New Roman" w:cstheme="minorHAnsi"/>
          <w:color w:val="000000"/>
        </w:rPr>
      </w:pPr>
    </w:p>
    <w:p w:rsidR="008A0276" w:rsidRPr="0079751D" w:rsidRDefault="008A0276" w:rsidP="00C33CF8">
      <w:pPr>
        <w:spacing w:before="0"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216E57">
        <w:rPr>
          <w:rFonts w:eastAsia="Times New Roman" w:cstheme="minorHAnsi"/>
          <w:b/>
          <w:color w:val="000000"/>
          <w:sz w:val="28"/>
          <w:szCs w:val="28"/>
        </w:rPr>
        <w:t>K</w:t>
      </w:r>
      <w:r w:rsidR="00C33CF8">
        <w:rPr>
          <w:rFonts w:eastAsia="Times New Roman" w:cstheme="minorHAnsi"/>
          <w:b/>
          <w:color w:val="000000"/>
          <w:sz w:val="28"/>
          <w:szCs w:val="28"/>
        </w:rPr>
        <w:t>ontrolní závěr z kontrolní akce</w:t>
      </w:r>
    </w:p>
    <w:p w:rsidR="00C33CF8" w:rsidRPr="00216E57" w:rsidRDefault="00C33CF8" w:rsidP="00C33CF8">
      <w:pPr>
        <w:spacing w:before="0" w:after="0" w:line="240" w:lineRule="auto"/>
        <w:jc w:val="center"/>
        <w:rPr>
          <w:rFonts w:eastAsia="Times New Roman" w:cstheme="minorHAnsi"/>
          <w:color w:val="000000"/>
        </w:rPr>
      </w:pPr>
    </w:p>
    <w:p w:rsidR="008A0276" w:rsidRPr="00EF3B6E" w:rsidRDefault="00711D2E" w:rsidP="00C33CF8">
      <w:pPr>
        <w:spacing w:before="0"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216E57">
        <w:rPr>
          <w:rFonts w:eastAsia="Times New Roman" w:cstheme="minorHAnsi"/>
          <w:b/>
          <w:color w:val="000000"/>
          <w:sz w:val="28"/>
          <w:szCs w:val="28"/>
        </w:rPr>
        <w:t>15/02</w:t>
      </w:r>
    </w:p>
    <w:p w:rsidR="00C33CF8" w:rsidRPr="00216E57" w:rsidRDefault="00C33CF8" w:rsidP="00C33CF8">
      <w:pPr>
        <w:spacing w:before="0" w:after="0" w:line="240" w:lineRule="auto"/>
        <w:jc w:val="center"/>
        <w:rPr>
          <w:rFonts w:eastAsia="Times New Roman" w:cstheme="minorHAnsi"/>
          <w:color w:val="000000"/>
        </w:rPr>
      </w:pPr>
    </w:p>
    <w:p w:rsidR="00711D2E" w:rsidRPr="00216E57" w:rsidRDefault="00711D2E" w:rsidP="00C33CF8">
      <w:pPr>
        <w:spacing w:before="0"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216E57">
        <w:rPr>
          <w:rFonts w:eastAsia="Times New Roman" w:cstheme="minorHAnsi"/>
          <w:b/>
          <w:color w:val="000000"/>
          <w:sz w:val="28"/>
          <w:szCs w:val="28"/>
        </w:rPr>
        <w:t>Peněžní prostředky státu poskytované na podporu úspor energie</w:t>
      </w:r>
    </w:p>
    <w:p w:rsidR="00C33CF8" w:rsidRPr="00216E57" w:rsidRDefault="00C33CF8" w:rsidP="00C33CF8">
      <w:pPr>
        <w:spacing w:before="0" w:after="0" w:line="240" w:lineRule="auto"/>
        <w:rPr>
          <w:rFonts w:eastAsia="Times New Roman" w:cstheme="minorHAnsi"/>
          <w:color w:val="000000"/>
        </w:rPr>
      </w:pPr>
    </w:p>
    <w:p w:rsidR="00C33CF8" w:rsidRPr="00216E57" w:rsidRDefault="00C33CF8" w:rsidP="00C33CF8">
      <w:pPr>
        <w:spacing w:before="0" w:after="0" w:line="240" w:lineRule="auto"/>
        <w:rPr>
          <w:rFonts w:eastAsia="Times New Roman" w:cstheme="minorHAnsi"/>
          <w:color w:val="000000"/>
        </w:rPr>
      </w:pPr>
    </w:p>
    <w:p w:rsidR="003F5A76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color w:val="000000"/>
        </w:rPr>
        <w:t>Kontrolní akce byla zařazena do plánu kontrolní činnosti Nejvyššího kontrolního úřadu (dále jen „NKÚ“) na rok 2</w:t>
      </w:r>
      <w:r w:rsidR="00711D2E" w:rsidRPr="00216E57">
        <w:rPr>
          <w:rFonts w:eastAsia="Times New Roman" w:cstheme="minorHAnsi"/>
          <w:color w:val="000000"/>
        </w:rPr>
        <w:t>015</w:t>
      </w:r>
      <w:r w:rsidRPr="00216E57">
        <w:rPr>
          <w:rFonts w:eastAsia="Times New Roman" w:cstheme="minorHAnsi"/>
          <w:color w:val="000000"/>
        </w:rPr>
        <w:t xml:space="preserve"> pod číslem </w:t>
      </w:r>
      <w:r w:rsidR="00711D2E" w:rsidRPr="00216E57">
        <w:rPr>
          <w:rFonts w:eastAsia="Times New Roman" w:cstheme="minorHAnsi"/>
          <w:color w:val="000000"/>
        </w:rPr>
        <w:t>15/02</w:t>
      </w:r>
      <w:r w:rsidRPr="00216E57">
        <w:rPr>
          <w:rFonts w:eastAsia="Times New Roman" w:cstheme="minorHAnsi"/>
          <w:color w:val="000000"/>
        </w:rPr>
        <w:t>. Kontrolní akci řídil a kontrolní závěr vypracoval člen NKÚ RNDr. Petr Neuvirt</w:t>
      </w:r>
      <w:r w:rsidR="001F56F1" w:rsidRPr="00216E57">
        <w:rPr>
          <w:rFonts w:eastAsia="Times New Roman" w:cstheme="minorHAnsi"/>
          <w:color w:val="000000"/>
        </w:rPr>
        <w:t>.</w:t>
      </w:r>
      <w:bookmarkStart w:id="0" w:name="_GoBack"/>
      <w:bookmarkEnd w:id="0"/>
    </w:p>
    <w:p w:rsidR="00C33CF8" w:rsidRPr="00216E57" w:rsidRDefault="00C33CF8" w:rsidP="00CB795C">
      <w:pPr>
        <w:spacing w:before="0" w:after="0" w:line="264" w:lineRule="auto"/>
        <w:rPr>
          <w:rFonts w:eastAsia="Times New Roman" w:cstheme="minorHAnsi"/>
          <w:color w:val="000000"/>
        </w:rPr>
      </w:pPr>
    </w:p>
    <w:p w:rsidR="003F5A76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color w:val="000000"/>
        </w:rPr>
        <w:t xml:space="preserve">Cílem kontroly bylo prověřit poskytování peněžních prostředků na podporu </w:t>
      </w:r>
      <w:r w:rsidR="004A3A97">
        <w:rPr>
          <w:rFonts w:eastAsia="Times New Roman" w:cstheme="minorHAnsi"/>
          <w:color w:val="000000"/>
        </w:rPr>
        <w:t>úspor energie a </w:t>
      </w:r>
      <w:r w:rsidR="00711D2E" w:rsidRPr="00216E57">
        <w:rPr>
          <w:rFonts w:eastAsia="Times New Roman" w:cstheme="minorHAnsi"/>
          <w:color w:val="000000"/>
        </w:rPr>
        <w:t>zhodnotit dosažené výsledky v porovnání se stanovenými cíli a použitými prostředky.</w:t>
      </w:r>
    </w:p>
    <w:p w:rsidR="00C33CF8" w:rsidRPr="00216E57" w:rsidRDefault="00C33CF8" w:rsidP="00CB795C">
      <w:pPr>
        <w:spacing w:before="0" w:after="0" w:line="264" w:lineRule="auto"/>
        <w:rPr>
          <w:rFonts w:eastAsia="Times New Roman" w:cstheme="minorHAnsi"/>
          <w:color w:val="000000"/>
        </w:rPr>
      </w:pPr>
    </w:p>
    <w:p w:rsidR="003F5A76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color w:val="000000"/>
        </w:rPr>
        <w:t xml:space="preserve">Kontrola byla prováděna </w:t>
      </w:r>
      <w:r w:rsidR="008D4A86">
        <w:rPr>
          <w:rFonts w:eastAsia="Times New Roman" w:cstheme="minorHAnsi"/>
          <w:color w:val="000000"/>
        </w:rPr>
        <w:t xml:space="preserve">u kontrolovaných osob </w:t>
      </w:r>
      <w:r w:rsidRPr="00216E57">
        <w:rPr>
          <w:rFonts w:eastAsia="Times New Roman" w:cstheme="minorHAnsi"/>
          <w:color w:val="000000"/>
        </w:rPr>
        <w:t xml:space="preserve">od </w:t>
      </w:r>
      <w:r w:rsidR="00711D2E" w:rsidRPr="00216E57">
        <w:rPr>
          <w:rFonts w:eastAsia="Times New Roman" w:cstheme="minorHAnsi"/>
          <w:color w:val="000000"/>
        </w:rPr>
        <w:t>ledna</w:t>
      </w:r>
      <w:r w:rsidRPr="00216E57">
        <w:rPr>
          <w:rFonts w:eastAsia="Times New Roman" w:cstheme="minorHAnsi"/>
          <w:color w:val="000000"/>
        </w:rPr>
        <w:t xml:space="preserve"> do </w:t>
      </w:r>
      <w:r w:rsidR="00711D2E" w:rsidRPr="00216E57">
        <w:rPr>
          <w:rFonts w:eastAsia="Times New Roman" w:cstheme="minorHAnsi"/>
          <w:color w:val="000000"/>
        </w:rPr>
        <w:t>srpna 2015</w:t>
      </w:r>
      <w:r w:rsidR="001F56F1" w:rsidRPr="00216E57">
        <w:rPr>
          <w:rFonts w:eastAsia="Times New Roman" w:cstheme="minorHAnsi"/>
          <w:color w:val="000000"/>
        </w:rPr>
        <w:t>.</w:t>
      </w:r>
    </w:p>
    <w:p w:rsidR="00C33CF8" w:rsidRPr="00216E57" w:rsidRDefault="00C33CF8" w:rsidP="00CB795C">
      <w:pPr>
        <w:spacing w:before="0" w:after="0" w:line="264" w:lineRule="auto"/>
        <w:rPr>
          <w:rFonts w:eastAsia="Times New Roman" w:cstheme="minorHAnsi"/>
          <w:color w:val="000000"/>
        </w:rPr>
      </w:pPr>
    </w:p>
    <w:p w:rsidR="003F5A76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color w:val="000000"/>
        </w:rPr>
        <w:t xml:space="preserve">Kontrolováno bylo období let </w:t>
      </w:r>
      <w:r w:rsidR="00711D2E" w:rsidRPr="00216E57">
        <w:rPr>
          <w:rFonts w:eastAsia="Times New Roman" w:cstheme="minorHAnsi"/>
          <w:color w:val="000000"/>
        </w:rPr>
        <w:t>2012</w:t>
      </w:r>
      <w:r w:rsidRPr="00216E57">
        <w:rPr>
          <w:rFonts w:eastAsia="Times New Roman" w:cstheme="minorHAnsi"/>
          <w:color w:val="000000"/>
        </w:rPr>
        <w:t xml:space="preserve"> až </w:t>
      </w:r>
      <w:r w:rsidR="00711D2E" w:rsidRPr="00216E57">
        <w:rPr>
          <w:rFonts w:eastAsia="Times New Roman" w:cstheme="minorHAnsi"/>
          <w:color w:val="000000"/>
        </w:rPr>
        <w:t>2014</w:t>
      </w:r>
      <w:r w:rsidRPr="00216E57">
        <w:rPr>
          <w:rFonts w:eastAsia="Times New Roman" w:cstheme="minorHAnsi"/>
          <w:color w:val="000000"/>
        </w:rPr>
        <w:t>, v případě věcných souvislostí i obdo</w:t>
      </w:r>
      <w:r w:rsidR="001F56F1" w:rsidRPr="00216E57">
        <w:rPr>
          <w:rFonts w:eastAsia="Times New Roman" w:cstheme="minorHAnsi"/>
          <w:color w:val="000000"/>
        </w:rPr>
        <w:t>bí předcházející a následující.</w:t>
      </w:r>
    </w:p>
    <w:p w:rsidR="00C33CF8" w:rsidRPr="00216E57" w:rsidRDefault="00C33CF8" w:rsidP="00CB795C">
      <w:pPr>
        <w:spacing w:before="0" w:after="0" w:line="264" w:lineRule="auto"/>
        <w:rPr>
          <w:rFonts w:eastAsia="Times New Roman" w:cstheme="minorHAnsi"/>
          <w:color w:val="000000"/>
        </w:rPr>
      </w:pPr>
    </w:p>
    <w:p w:rsidR="00655423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color w:val="000000"/>
        </w:rPr>
        <w:t>Kontrolované osoby:</w:t>
      </w:r>
      <w:r w:rsidRPr="00216E57">
        <w:rPr>
          <w:rFonts w:eastAsia="Times New Roman" w:cstheme="minorHAnsi"/>
          <w:color w:val="000000"/>
        </w:rPr>
        <w:cr/>
      </w:r>
      <w:r w:rsidR="00323D0F" w:rsidRPr="00216E57">
        <w:rPr>
          <w:rFonts w:eastAsia="Times New Roman" w:cstheme="minorHAnsi"/>
          <w:color w:val="000000"/>
        </w:rPr>
        <w:t xml:space="preserve">Ministerstvo průmyslu a obchodu; Agentura pro podporu podnikání a investic CzechInvest; </w:t>
      </w:r>
      <w:r w:rsidRPr="00216E57">
        <w:rPr>
          <w:rFonts w:eastAsia="Times New Roman" w:cstheme="minorHAnsi"/>
          <w:color w:val="000000"/>
        </w:rPr>
        <w:t xml:space="preserve">Ministerstvo životního prostředí; Státní fond životního prostředí České republiky; </w:t>
      </w:r>
      <w:r w:rsidR="00711D2E" w:rsidRPr="00216E57">
        <w:rPr>
          <w:rFonts w:eastAsia="Times New Roman" w:cstheme="minorHAnsi"/>
          <w:color w:val="000000"/>
        </w:rPr>
        <w:t>Ministerstvo pro místní rozvoj; Státní fond rozvoje bydlení; INTERHOTEL BOHEMIA a.s.</w:t>
      </w:r>
      <w:r w:rsidR="00F000FD">
        <w:rPr>
          <w:rFonts w:eastAsia="Times New Roman" w:cstheme="minorHAnsi"/>
          <w:color w:val="000000"/>
        </w:rPr>
        <w:t>, Ústí nad Labem</w:t>
      </w:r>
      <w:r w:rsidR="00711D2E" w:rsidRPr="00216E57">
        <w:rPr>
          <w:rFonts w:eastAsia="Times New Roman" w:cstheme="minorHAnsi"/>
          <w:color w:val="000000"/>
        </w:rPr>
        <w:t>; TAMERO INVEST s.r.o.</w:t>
      </w:r>
      <w:r w:rsidR="00F000FD">
        <w:rPr>
          <w:rFonts w:eastAsia="Times New Roman" w:cstheme="minorHAnsi"/>
          <w:color w:val="000000"/>
        </w:rPr>
        <w:t>, Kralupy nad Vltavou</w:t>
      </w:r>
      <w:r w:rsidR="00711D2E" w:rsidRPr="00216E57">
        <w:rPr>
          <w:rFonts w:eastAsia="Times New Roman" w:cstheme="minorHAnsi"/>
          <w:color w:val="000000"/>
        </w:rPr>
        <w:t>; statutární město České Budějovice; město Hluboká nad V</w:t>
      </w:r>
      <w:r w:rsidR="00F000FD">
        <w:rPr>
          <w:rFonts w:eastAsia="Times New Roman" w:cstheme="minorHAnsi"/>
          <w:color w:val="000000"/>
        </w:rPr>
        <w:t xml:space="preserve">ltavou; </w:t>
      </w:r>
      <w:r w:rsidR="00C74DB5">
        <w:rPr>
          <w:rFonts w:eastAsia="Times New Roman" w:cstheme="minorHAnsi"/>
          <w:color w:val="000000"/>
        </w:rPr>
        <w:t>s</w:t>
      </w:r>
      <w:r w:rsidR="00711D2E" w:rsidRPr="00216E57">
        <w:rPr>
          <w:rFonts w:eastAsia="Times New Roman" w:cstheme="minorHAnsi"/>
          <w:color w:val="000000"/>
        </w:rPr>
        <w:t>tatutární město Jihlava; JIHLAVSKÉ KOTELNY, s.r.o.; Stora Enso Wood Products Ždírec s.r.o.</w:t>
      </w:r>
      <w:r w:rsidR="00F000FD">
        <w:rPr>
          <w:rFonts w:eastAsia="Times New Roman" w:cstheme="minorHAnsi"/>
          <w:color w:val="000000"/>
        </w:rPr>
        <w:t>, Ždírec nad Doubravou</w:t>
      </w:r>
      <w:r w:rsidR="00711D2E" w:rsidRPr="00216E57">
        <w:rPr>
          <w:rFonts w:eastAsia="Times New Roman" w:cstheme="minorHAnsi"/>
          <w:color w:val="000000"/>
        </w:rPr>
        <w:t xml:space="preserve">; statutární město Brno; </w:t>
      </w:r>
      <w:r w:rsidR="00113E79">
        <w:rPr>
          <w:rFonts w:eastAsia="Times New Roman" w:cstheme="minorHAnsi"/>
          <w:color w:val="000000"/>
        </w:rPr>
        <w:t>Střední škola</w:t>
      </w:r>
      <w:r w:rsidR="00113E79" w:rsidRPr="00216E57">
        <w:rPr>
          <w:rFonts w:eastAsia="Times New Roman" w:cstheme="minorHAnsi"/>
          <w:color w:val="000000"/>
        </w:rPr>
        <w:t xml:space="preserve"> </w:t>
      </w:r>
      <w:r w:rsidR="00711D2E" w:rsidRPr="00216E57">
        <w:rPr>
          <w:rFonts w:eastAsia="Times New Roman" w:cstheme="minorHAnsi"/>
          <w:color w:val="000000"/>
        </w:rPr>
        <w:t xml:space="preserve">informatiky, poštovnictví a finančnictví Brno; </w:t>
      </w:r>
      <w:r w:rsidR="00113E79">
        <w:rPr>
          <w:rFonts w:eastAsia="Times New Roman" w:cstheme="minorHAnsi"/>
          <w:color w:val="000000"/>
        </w:rPr>
        <w:t>Střední škola</w:t>
      </w:r>
      <w:r w:rsidR="00113E79" w:rsidRPr="00216E57">
        <w:rPr>
          <w:rFonts w:eastAsia="Times New Roman" w:cstheme="minorHAnsi"/>
          <w:color w:val="000000"/>
        </w:rPr>
        <w:t xml:space="preserve"> </w:t>
      </w:r>
      <w:r w:rsidR="00F000FD">
        <w:rPr>
          <w:rFonts w:eastAsia="Times New Roman" w:cstheme="minorHAnsi"/>
          <w:color w:val="000000"/>
        </w:rPr>
        <w:t xml:space="preserve">stavebních řemesel </w:t>
      </w:r>
      <w:r w:rsidR="00675F54">
        <w:rPr>
          <w:rFonts w:eastAsia="Times New Roman" w:cstheme="minorHAnsi"/>
          <w:color w:val="000000"/>
        </w:rPr>
        <w:br/>
      </w:r>
      <w:r w:rsidR="00F000FD">
        <w:rPr>
          <w:rFonts w:eastAsia="Times New Roman" w:cstheme="minorHAnsi"/>
          <w:color w:val="000000"/>
        </w:rPr>
        <w:t>Brno</w:t>
      </w:r>
      <w:r w:rsidR="00C74DB5">
        <w:rPr>
          <w:rFonts w:eastAsia="Times New Roman" w:cstheme="minorHAnsi"/>
          <w:color w:val="000000"/>
        </w:rPr>
        <w:t>-</w:t>
      </w:r>
      <w:r w:rsidR="00711D2E" w:rsidRPr="00216E57">
        <w:rPr>
          <w:rFonts w:eastAsia="Times New Roman" w:cstheme="minorHAnsi"/>
          <w:color w:val="000000"/>
        </w:rPr>
        <w:t>Bosonohy; Veolia Průmyslové služby ČR, a.s.</w:t>
      </w:r>
      <w:r w:rsidR="00F000FD">
        <w:rPr>
          <w:rFonts w:eastAsia="Times New Roman" w:cstheme="minorHAnsi"/>
          <w:color w:val="000000"/>
        </w:rPr>
        <w:t>, Ostrava</w:t>
      </w:r>
      <w:r w:rsidR="00711D2E" w:rsidRPr="00216E57">
        <w:rPr>
          <w:rFonts w:eastAsia="Times New Roman" w:cstheme="minorHAnsi"/>
          <w:color w:val="000000"/>
        </w:rPr>
        <w:t>; TEPLO Kopřivnice s.r.o.; PRECHEZA a.s.</w:t>
      </w:r>
      <w:r w:rsidR="00F000FD">
        <w:rPr>
          <w:rFonts w:eastAsia="Times New Roman" w:cstheme="minorHAnsi"/>
          <w:color w:val="000000"/>
        </w:rPr>
        <w:t>, Přerov</w:t>
      </w:r>
      <w:r w:rsidR="00711D2E" w:rsidRPr="00216E57">
        <w:rPr>
          <w:rFonts w:eastAsia="Times New Roman" w:cstheme="minorHAnsi"/>
          <w:color w:val="000000"/>
        </w:rPr>
        <w:t>; D Ř E V O P A R, s.r.o.</w:t>
      </w:r>
      <w:r w:rsidR="00F000FD">
        <w:rPr>
          <w:rFonts w:eastAsia="Times New Roman" w:cstheme="minorHAnsi"/>
          <w:color w:val="000000"/>
        </w:rPr>
        <w:t>, Loštice</w:t>
      </w:r>
      <w:r w:rsidR="00711D2E" w:rsidRPr="00216E57">
        <w:rPr>
          <w:rFonts w:eastAsia="Times New Roman" w:cstheme="minorHAnsi"/>
          <w:color w:val="000000"/>
        </w:rPr>
        <w:t>; obec Kunčice pod Ondřejníkem</w:t>
      </w:r>
      <w:r w:rsidR="000313CD">
        <w:rPr>
          <w:rFonts w:eastAsia="Times New Roman" w:cstheme="minorHAnsi"/>
          <w:color w:val="000000"/>
        </w:rPr>
        <w:t>.</w:t>
      </w:r>
    </w:p>
    <w:p w:rsidR="00C33CF8" w:rsidRPr="00216E57" w:rsidRDefault="00C33CF8" w:rsidP="00CB795C">
      <w:pPr>
        <w:spacing w:before="0" w:after="0" w:line="264" w:lineRule="auto"/>
        <w:rPr>
          <w:rFonts w:eastAsia="Times New Roman" w:cstheme="minorHAnsi"/>
          <w:color w:val="000000"/>
        </w:rPr>
      </w:pPr>
    </w:p>
    <w:p w:rsidR="003F5A76" w:rsidRDefault="003F5A76" w:rsidP="00CB795C">
      <w:pPr>
        <w:spacing w:before="0" w:after="0" w:line="264" w:lineRule="auto"/>
        <w:rPr>
          <w:rFonts w:eastAsia="Calibri" w:cstheme="minorHAnsi"/>
          <w:bCs/>
        </w:rPr>
      </w:pPr>
      <w:r w:rsidRPr="00216E57">
        <w:rPr>
          <w:rFonts w:eastAsia="Times New Roman" w:cstheme="minorHAnsi"/>
          <w:bCs/>
          <w:color w:val="000000"/>
        </w:rPr>
        <w:t>Námitky, které proti kontrolním protokolům poda</w:t>
      </w:r>
      <w:r w:rsidR="00E9454E">
        <w:rPr>
          <w:rFonts w:eastAsia="Times New Roman" w:cstheme="minorHAnsi"/>
          <w:bCs/>
          <w:color w:val="000000"/>
        </w:rPr>
        <w:t xml:space="preserve">ly </w:t>
      </w:r>
      <w:r w:rsidR="00E9454E" w:rsidRPr="00E9454E">
        <w:rPr>
          <w:rFonts w:ascii="Calibri" w:hAnsi="Calibri" w:cs="Calibri"/>
          <w:bCs/>
        </w:rPr>
        <w:t>Ministerstvo</w:t>
      </w:r>
      <w:r w:rsidR="00E9454E">
        <w:rPr>
          <w:rFonts w:ascii="Calibri" w:hAnsi="Calibri" w:cs="Calibri"/>
          <w:bCs/>
        </w:rPr>
        <w:t xml:space="preserve"> průmyslu a obchodu, </w:t>
      </w:r>
      <w:r w:rsidR="00E9454E" w:rsidRPr="00B432B8">
        <w:rPr>
          <w:rFonts w:ascii="Calibri" w:hAnsi="Calibri" w:cs="Calibri"/>
          <w:bCs/>
        </w:rPr>
        <w:t>Ministerstvo životního prostředí, Státní fond životního prostředí České repu</w:t>
      </w:r>
      <w:r w:rsidR="0053290E">
        <w:rPr>
          <w:rFonts w:ascii="Calibri" w:hAnsi="Calibri" w:cs="Calibri"/>
          <w:bCs/>
        </w:rPr>
        <w:t xml:space="preserve">bliky, </w:t>
      </w:r>
      <w:r w:rsidR="00C74DB5">
        <w:rPr>
          <w:rFonts w:ascii="Calibri" w:hAnsi="Calibri" w:cs="Calibri"/>
          <w:bCs/>
        </w:rPr>
        <w:t>s</w:t>
      </w:r>
      <w:r w:rsidR="00E9454E">
        <w:rPr>
          <w:rFonts w:ascii="Calibri" w:hAnsi="Calibri" w:cs="Calibri"/>
          <w:bCs/>
        </w:rPr>
        <w:t>tatutární město Jihlava a</w:t>
      </w:r>
      <w:r w:rsidR="00E9454E" w:rsidRPr="00B432B8">
        <w:rPr>
          <w:rFonts w:ascii="Calibri" w:hAnsi="Calibri" w:cs="Calibri"/>
          <w:bCs/>
        </w:rPr>
        <w:t xml:space="preserve"> </w:t>
      </w:r>
      <w:r w:rsidR="00E9454E" w:rsidRPr="006658A7">
        <w:rPr>
          <w:rFonts w:cstheme="minorHAnsi"/>
          <w:bCs/>
        </w:rPr>
        <w:t>D Ř E V O P A R,</w:t>
      </w:r>
      <w:r w:rsidR="00E9454E" w:rsidRPr="00B432B8">
        <w:rPr>
          <w:rFonts w:ascii="Calibri" w:hAnsi="Calibri" w:cs="Calibri"/>
          <w:bCs/>
        </w:rPr>
        <w:t xml:space="preserve"> s.r.o</w:t>
      </w:r>
      <w:r w:rsidR="00175171">
        <w:rPr>
          <w:rFonts w:ascii="Calibri" w:hAnsi="Calibri" w:cs="Calibri"/>
          <w:bCs/>
        </w:rPr>
        <w:t>.</w:t>
      </w:r>
      <w:r w:rsidR="004E5E77">
        <w:rPr>
          <w:rFonts w:ascii="Calibri" w:hAnsi="Calibri" w:cs="Calibri"/>
          <w:bCs/>
        </w:rPr>
        <w:t>,</w:t>
      </w:r>
      <w:r w:rsidR="00E9454E" w:rsidRPr="00B432B8">
        <w:rPr>
          <w:rFonts w:ascii="Calibri" w:hAnsi="Calibri" w:cs="Calibri"/>
          <w:bCs/>
        </w:rPr>
        <w:t xml:space="preserve"> </w:t>
      </w:r>
      <w:r w:rsidR="00996976" w:rsidRPr="00216E57">
        <w:rPr>
          <w:rFonts w:eastAsia="Calibri" w:cstheme="minorHAnsi"/>
          <w:bCs/>
        </w:rPr>
        <w:t>byly vypořádány vedoucím</w:t>
      </w:r>
      <w:r w:rsidRPr="00216E57">
        <w:rPr>
          <w:rFonts w:eastAsia="Calibri" w:cstheme="minorHAnsi"/>
          <w:bCs/>
        </w:rPr>
        <w:t xml:space="preserve"> skupin</w:t>
      </w:r>
      <w:r w:rsidR="00996976" w:rsidRPr="00216E57">
        <w:rPr>
          <w:rFonts w:eastAsia="Calibri" w:cstheme="minorHAnsi"/>
          <w:bCs/>
        </w:rPr>
        <w:t>y</w:t>
      </w:r>
      <w:r w:rsidRPr="00216E57">
        <w:rPr>
          <w:rFonts w:eastAsia="Calibri" w:cstheme="minorHAnsi"/>
          <w:bCs/>
        </w:rPr>
        <w:t xml:space="preserve"> kontroluj</w:t>
      </w:r>
      <w:r w:rsidR="0090724F" w:rsidRPr="00216E57">
        <w:rPr>
          <w:rFonts w:eastAsia="Calibri" w:cstheme="minorHAnsi"/>
          <w:bCs/>
        </w:rPr>
        <w:t>ících rozhodnutími o námitkách.</w:t>
      </w:r>
      <w:r w:rsidR="00EF3B6E">
        <w:rPr>
          <w:rFonts w:eastAsia="Calibri" w:cstheme="minorHAnsi"/>
          <w:bCs/>
        </w:rPr>
        <w:t xml:space="preserve"> </w:t>
      </w:r>
      <w:r w:rsidR="00EF3B6E" w:rsidRPr="00EF3B6E">
        <w:rPr>
          <w:rFonts w:eastAsia="Calibri" w:cstheme="minorHAnsi"/>
          <w:bCs/>
        </w:rPr>
        <w:t>Odvolání, která prot</w:t>
      </w:r>
      <w:r w:rsidR="00E9454E">
        <w:rPr>
          <w:rFonts w:eastAsia="Calibri" w:cstheme="minorHAnsi"/>
          <w:bCs/>
        </w:rPr>
        <w:t>i rozhodnutím o námitkách podal</w:t>
      </w:r>
      <w:r w:rsidR="00C74DB5">
        <w:rPr>
          <w:rFonts w:eastAsia="Calibri" w:cstheme="minorHAnsi"/>
          <w:bCs/>
        </w:rPr>
        <w:t>y</w:t>
      </w:r>
      <w:r w:rsidR="00E9454E">
        <w:rPr>
          <w:rFonts w:eastAsia="Calibri" w:cstheme="minorHAnsi"/>
          <w:bCs/>
        </w:rPr>
        <w:t xml:space="preserve"> </w:t>
      </w:r>
      <w:r w:rsidR="00C74DB5">
        <w:rPr>
          <w:rFonts w:ascii="Calibri" w:hAnsi="Calibri" w:cs="Calibri"/>
          <w:bCs/>
        </w:rPr>
        <w:t>s</w:t>
      </w:r>
      <w:r w:rsidR="00E9454E" w:rsidRPr="00B432B8">
        <w:rPr>
          <w:rFonts w:ascii="Calibri" w:hAnsi="Calibri" w:cs="Calibri"/>
          <w:bCs/>
        </w:rPr>
        <w:t>tatutární město Jihlava</w:t>
      </w:r>
      <w:r w:rsidR="00E0172A">
        <w:rPr>
          <w:rFonts w:ascii="Calibri" w:hAnsi="Calibri" w:cs="Calibri"/>
          <w:bCs/>
        </w:rPr>
        <w:t>,</w:t>
      </w:r>
      <w:r w:rsidR="00E9454E" w:rsidRPr="00B432B8">
        <w:rPr>
          <w:rFonts w:ascii="Calibri" w:hAnsi="Calibri" w:cs="Calibri"/>
          <w:bCs/>
        </w:rPr>
        <w:t xml:space="preserve"> </w:t>
      </w:r>
      <w:r w:rsidR="00E9454E" w:rsidRPr="006658A7">
        <w:rPr>
          <w:rFonts w:cstheme="minorHAnsi"/>
          <w:bCs/>
        </w:rPr>
        <w:t>D Ř E V O P A R,</w:t>
      </w:r>
      <w:r w:rsidR="00E9454E" w:rsidRPr="00B432B8">
        <w:rPr>
          <w:rFonts w:ascii="Calibri" w:hAnsi="Calibri" w:cs="Calibri"/>
          <w:bCs/>
        </w:rPr>
        <w:t xml:space="preserve"> s.r.o</w:t>
      </w:r>
      <w:r w:rsidR="00175171">
        <w:rPr>
          <w:rFonts w:ascii="Calibri" w:hAnsi="Calibri" w:cs="Calibri"/>
          <w:bCs/>
        </w:rPr>
        <w:t>.</w:t>
      </w:r>
      <w:r w:rsidR="000313CD">
        <w:rPr>
          <w:rFonts w:ascii="Calibri" w:hAnsi="Calibri" w:cs="Calibri"/>
          <w:bCs/>
        </w:rPr>
        <w:t>,</w:t>
      </w:r>
      <w:r w:rsidR="004A3A97">
        <w:rPr>
          <w:rFonts w:ascii="Calibri" w:hAnsi="Calibri" w:cs="Calibri"/>
          <w:bCs/>
        </w:rPr>
        <w:t xml:space="preserve"> a Ministerstvo průmyslu a </w:t>
      </w:r>
      <w:r w:rsidR="00E0172A">
        <w:rPr>
          <w:rFonts w:ascii="Calibri" w:hAnsi="Calibri" w:cs="Calibri"/>
          <w:bCs/>
        </w:rPr>
        <w:t>obchodu</w:t>
      </w:r>
      <w:r w:rsidR="000313CD">
        <w:rPr>
          <w:rFonts w:ascii="Calibri" w:hAnsi="Calibri" w:cs="Calibri"/>
          <w:bCs/>
        </w:rPr>
        <w:t>,</w:t>
      </w:r>
      <w:r w:rsidR="00EF3B6E">
        <w:rPr>
          <w:rFonts w:eastAsia="Calibri" w:cstheme="minorHAnsi"/>
          <w:bCs/>
        </w:rPr>
        <w:t xml:space="preserve"> </w:t>
      </w:r>
      <w:r w:rsidR="00EF3B6E" w:rsidRPr="00EF3B6E">
        <w:rPr>
          <w:rFonts w:eastAsia="Calibri" w:cstheme="minorHAnsi"/>
          <w:bCs/>
        </w:rPr>
        <w:t>byla vypořádána usneseními Kolegia NKÚ</w:t>
      </w:r>
      <w:r w:rsidR="00EF3B6E">
        <w:rPr>
          <w:rFonts w:eastAsia="Calibri" w:cstheme="minorHAnsi"/>
          <w:bCs/>
        </w:rPr>
        <w:t>.</w:t>
      </w:r>
    </w:p>
    <w:p w:rsidR="00C33CF8" w:rsidRDefault="00C33CF8" w:rsidP="00CB795C">
      <w:pPr>
        <w:spacing w:before="0" w:after="0" w:line="264" w:lineRule="auto"/>
        <w:rPr>
          <w:rFonts w:eastAsia="Calibri" w:cstheme="minorHAnsi"/>
          <w:bCs/>
        </w:rPr>
      </w:pPr>
    </w:p>
    <w:p w:rsidR="003F5A76" w:rsidRPr="00216E57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b/>
          <w:i/>
          <w:color w:val="000000"/>
          <w:spacing w:val="40"/>
        </w:rPr>
        <w:t>Kolegium</w:t>
      </w:r>
      <w:r w:rsidRPr="00216E57">
        <w:rPr>
          <w:rFonts w:eastAsia="Times New Roman" w:cstheme="minorHAnsi"/>
          <w:b/>
          <w:color w:val="000000"/>
        </w:rPr>
        <w:t xml:space="preserve">   </w:t>
      </w:r>
      <w:r w:rsidRPr="00216E57">
        <w:rPr>
          <w:rFonts w:eastAsia="Times New Roman" w:cstheme="minorHAnsi"/>
          <w:b/>
          <w:i/>
          <w:color w:val="000000"/>
          <w:spacing w:val="40"/>
        </w:rPr>
        <w:t>NKÚ</w:t>
      </w:r>
      <w:r w:rsidRPr="00216E57">
        <w:rPr>
          <w:rFonts w:eastAsia="Times New Roman" w:cstheme="minorHAnsi"/>
          <w:b/>
          <w:color w:val="000000"/>
        </w:rPr>
        <w:t xml:space="preserve">   </w:t>
      </w:r>
      <w:r w:rsidR="00996976" w:rsidRPr="00216E57">
        <w:rPr>
          <w:rFonts w:eastAsia="Times New Roman" w:cstheme="minorHAnsi"/>
          <w:color w:val="000000"/>
        </w:rPr>
        <w:t xml:space="preserve">na svém </w:t>
      </w:r>
      <w:r w:rsidR="004A3A97">
        <w:rPr>
          <w:rFonts w:eastAsia="Times New Roman" w:cstheme="minorHAnsi"/>
          <w:color w:val="000000"/>
        </w:rPr>
        <w:t>XIV. jednání</w:t>
      </w:r>
      <w:r w:rsidRPr="00216E57">
        <w:rPr>
          <w:rFonts w:eastAsia="Times New Roman" w:cstheme="minorHAnsi"/>
          <w:color w:val="000000"/>
        </w:rPr>
        <w:t xml:space="preserve">, </w:t>
      </w:r>
      <w:r w:rsidR="00C74DB5">
        <w:rPr>
          <w:rFonts w:eastAsia="Times New Roman" w:cstheme="minorHAnsi"/>
          <w:color w:val="000000"/>
        </w:rPr>
        <w:t>které se konalo</w:t>
      </w:r>
      <w:r w:rsidRPr="00216E57">
        <w:rPr>
          <w:rFonts w:eastAsia="Times New Roman" w:cstheme="minorHAnsi"/>
          <w:color w:val="000000"/>
        </w:rPr>
        <w:t xml:space="preserve"> dne</w:t>
      </w:r>
      <w:r w:rsidR="00996976" w:rsidRPr="00216E57">
        <w:rPr>
          <w:rFonts w:eastAsia="Times New Roman" w:cstheme="minorHAnsi"/>
          <w:color w:val="000000"/>
        </w:rPr>
        <w:t xml:space="preserve"> </w:t>
      </w:r>
      <w:r w:rsidR="004A3A97">
        <w:rPr>
          <w:rFonts w:eastAsia="Times New Roman" w:cstheme="minorHAnsi"/>
          <w:color w:val="000000"/>
        </w:rPr>
        <w:t>19. října 2015,</w:t>
      </w:r>
      <w:r w:rsidRPr="00216E57">
        <w:rPr>
          <w:rFonts w:eastAsia="Times New Roman" w:cstheme="minorHAnsi"/>
          <w:color w:val="000000"/>
        </w:rPr>
        <w:t xml:space="preserve"> </w:t>
      </w:r>
    </w:p>
    <w:p w:rsidR="003F5A76" w:rsidRPr="00216E57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b/>
          <w:i/>
          <w:color w:val="000000"/>
          <w:spacing w:val="40"/>
        </w:rPr>
        <w:t>schválilo</w:t>
      </w:r>
      <w:r w:rsidRPr="00216E57">
        <w:rPr>
          <w:rFonts w:eastAsia="Times New Roman" w:cstheme="minorHAnsi"/>
          <w:b/>
          <w:color w:val="000000"/>
        </w:rPr>
        <w:t xml:space="preserve">   </w:t>
      </w:r>
      <w:r w:rsidR="00996976" w:rsidRPr="00216E57">
        <w:rPr>
          <w:rFonts w:eastAsia="Times New Roman" w:cstheme="minorHAnsi"/>
          <w:color w:val="000000"/>
        </w:rPr>
        <w:t xml:space="preserve">usnesením č. </w:t>
      </w:r>
      <w:r w:rsidR="009F1A63">
        <w:rPr>
          <w:rFonts w:eastAsia="Times New Roman" w:cstheme="minorHAnsi"/>
          <w:color w:val="000000"/>
        </w:rPr>
        <w:t>15</w:t>
      </w:r>
      <w:r w:rsidR="004A3A97">
        <w:rPr>
          <w:rFonts w:eastAsia="Times New Roman" w:cstheme="minorHAnsi"/>
          <w:color w:val="000000"/>
        </w:rPr>
        <w:t>/XIV/2015</w:t>
      </w:r>
    </w:p>
    <w:p w:rsidR="00CB795C" w:rsidRDefault="003F5A76" w:rsidP="00CB795C">
      <w:pPr>
        <w:spacing w:before="0" w:after="0" w:line="264" w:lineRule="auto"/>
        <w:rPr>
          <w:rFonts w:eastAsia="Times New Roman" w:cstheme="minorHAnsi"/>
          <w:color w:val="000000"/>
        </w:rPr>
      </w:pPr>
      <w:r w:rsidRPr="00216E57">
        <w:rPr>
          <w:rFonts w:eastAsia="Times New Roman" w:cstheme="minorHAnsi"/>
          <w:b/>
          <w:i/>
          <w:color w:val="000000"/>
          <w:spacing w:val="40"/>
        </w:rPr>
        <w:t>kontrolní</w:t>
      </w:r>
      <w:r w:rsidRPr="00216E57">
        <w:rPr>
          <w:rFonts w:eastAsia="Times New Roman" w:cstheme="minorHAnsi"/>
          <w:b/>
          <w:color w:val="000000"/>
        </w:rPr>
        <w:t xml:space="preserve">   </w:t>
      </w:r>
      <w:r w:rsidRPr="00216E57">
        <w:rPr>
          <w:rFonts w:eastAsia="Times New Roman" w:cstheme="minorHAnsi"/>
          <w:b/>
          <w:i/>
          <w:color w:val="000000"/>
          <w:spacing w:val="40"/>
        </w:rPr>
        <w:t>závěr</w:t>
      </w:r>
      <w:r w:rsidRPr="00216E57">
        <w:rPr>
          <w:rFonts w:eastAsia="Times New Roman" w:cstheme="minorHAnsi"/>
          <w:b/>
          <w:color w:val="000000"/>
        </w:rPr>
        <w:t xml:space="preserve">   </w:t>
      </w:r>
      <w:r w:rsidRPr="00216E57">
        <w:rPr>
          <w:rFonts w:eastAsia="Times New Roman" w:cstheme="minorHAnsi"/>
          <w:color w:val="000000"/>
        </w:rPr>
        <w:t>v tomto znění:</w:t>
      </w:r>
      <w:r w:rsidR="00CB795C">
        <w:rPr>
          <w:rFonts w:eastAsia="Times New Roman" w:cstheme="minorHAnsi"/>
          <w:color w:val="000000"/>
        </w:rPr>
        <w:br w:type="page"/>
      </w:r>
    </w:p>
    <w:p w:rsidR="00E517D6" w:rsidRPr="00396C71" w:rsidRDefault="00257998" w:rsidP="00CB795C">
      <w:pPr>
        <w:spacing w:before="0" w:after="0" w:line="264" w:lineRule="auto"/>
        <w:jc w:val="center"/>
        <w:rPr>
          <w:rFonts w:cstheme="minorHAnsi"/>
          <w:b/>
          <w:caps/>
          <w:sz w:val="26"/>
          <w:szCs w:val="26"/>
        </w:rPr>
      </w:pPr>
      <w:r w:rsidRPr="00396C71">
        <w:rPr>
          <w:rFonts w:cstheme="minorHAnsi"/>
          <w:b/>
          <w:caps/>
          <w:sz w:val="26"/>
          <w:szCs w:val="26"/>
        </w:rPr>
        <w:lastRenderedPageBreak/>
        <w:t xml:space="preserve">I. </w:t>
      </w:r>
      <w:r w:rsidR="00DA10D6" w:rsidRPr="00396C71">
        <w:rPr>
          <w:rFonts w:cstheme="minorHAnsi"/>
          <w:b/>
          <w:sz w:val="26"/>
          <w:szCs w:val="26"/>
        </w:rPr>
        <w:t>Úvod</w:t>
      </w:r>
    </w:p>
    <w:p w:rsidR="00C33CF8" w:rsidRPr="00C33CF8" w:rsidRDefault="00C33CF8" w:rsidP="00CB795C">
      <w:pPr>
        <w:spacing w:before="0" w:after="0" w:line="264" w:lineRule="auto"/>
        <w:rPr>
          <w:rFonts w:cstheme="minorHAnsi"/>
          <w:caps/>
        </w:rPr>
      </w:pPr>
    </w:p>
    <w:p w:rsidR="00F13659" w:rsidRDefault="001367F5" w:rsidP="007053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hd w:val="clear" w:color="auto" w:fill="B6DDE8" w:themeFill="accent5" w:themeFillTint="66"/>
        <w:spacing w:before="0" w:after="0" w:line="264" w:lineRule="auto"/>
      </w:pPr>
      <w:bookmarkStart w:id="1" w:name="_Toc395082844"/>
      <w:bookmarkStart w:id="2" w:name="_Toc395873131"/>
      <w:r w:rsidRPr="001367F5">
        <w:rPr>
          <w:b/>
        </w:rPr>
        <w:t>Ú</w:t>
      </w:r>
      <w:r w:rsidR="00F13659" w:rsidRPr="001367F5">
        <w:rPr>
          <w:b/>
        </w:rPr>
        <w:t>spory energie</w:t>
      </w:r>
      <w:r w:rsidR="00F13659">
        <w:t xml:space="preserve"> </w:t>
      </w:r>
      <w:r>
        <w:t xml:space="preserve">představují </w:t>
      </w:r>
      <w:r w:rsidR="00F13659" w:rsidRPr="00F13659">
        <w:t>množství ušetřené energie určené měřením nebo odhadem spotřeby před provedením jednoho či více opatření ke zvýšení energetické účinnosti a po něm, při zajištění normalizace vnějších podmínek, k</w:t>
      </w:r>
      <w:r w:rsidR="00F13659">
        <w:t>teré spotřebu energie ovlivňují.</w:t>
      </w:r>
      <w:r w:rsidR="00675F54">
        <w:t xml:space="preserve"> </w:t>
      </w:r>
      <w:r w:rsidR="00675F54" w:rsidRPr="001367F5">
        <w:rPr>
          <w:b/>
        </w:rPr>
        <w:t>Energetická účinnost</w:t>
      </w:r>
      <w:r w:rsidR="00675F54">
        <w:t xml:space="preserve"> je </w:t>
      </w:r>
      <w:r w:rsidR="00675F54" w:rsidRPr="001367F5">
        <w:t>poměr výstupu ve formě výkonu, služby, zboží nebo energie k</w:t>
      </w:r>
      <w:r w:rsidR="00675F54">
        <w:t> </w:t>
      </w:r>
      <w:r w:rsidR="00675F54" w:rsidRPr="001367F5">
        <w:t>množství vstupní energie</w:t>
      </w:r>
      <w:r w:rsidR="00675F54">
        <w:t>.</w:t>
      </w:r>
      <w:r>
        <w:rPr>
          <w:rStyle w:val="Znakapoznpodarou"/>
        </w:rPr>
        <w:footnoteReference w:id="1"/>
      </w:r>
      <w:r w:rsidR="00F13659">
        <w:t xml:space="preserve"> </w:t>
      </w:r>
    </w:p>
    <w:p w:rsidR="00C33CF8" w:rsidRDefault="00C33CF8" w:rsidP="00CB795C">
      <w:pPr>
        <w:spacing w:before="0" w:after="0" w:line="264" w:lineRule="auto"/>
      </w:pPr>
    </w:p>
    <w:p w:rsidR="00366575" w:rsidRDefault="001367F5" w:rsidP="00CB795C">
      <w:pPr>
        <w:spacing w:before="0" w:after="0" w:line="264" w:lineRule="auto"/>
        <w:rPr>
          <w:rFonts w:cs="Calibri"/>
        </w:rPr>
      </w:pPr>
      <w:r>
        <w:t>S</w:t>
      </w:r>
      <w:r w:rsidRPr="00D16582">
        <w:t>měrnice EP a Rady 2012/27/EU o energetické účinnosti (dále také „</w:t>
      </w:r>
      <w:r w:rsidR="00705375">
        <w:t xml:space="preserve">směrnice </w:t>
      </w:r>
      <w:r w:rsidRPr="00D16582">
        <w:t>EED“)</w:t>
      </w:r>
      <w:r>
        <w:t xml:space="preserve"> </w:t>
      </w:r>
      <w:r w:rsidR="00A0543A" w:rsidRPr="00A0543A">
        <w:rPr>
          <w:rFonts w:cs="Calibri"/>
        </w:rPr>
        <w:t>zavádí závazná opatření, která mají zajistit splnění cíle</w:t>
      </w:r>
      <w:r w:rsidR="00385CE6">
        <w:rPr>
          <w:rFonts w:cs="Calibri"/>
        </w:rPr>
        <w:t xml:space="preserve"> Evropské unie</w:t>
      </w:r>
      <w:r w:rsidR="00A0543A" w:rsidRPr="00A0543A">
        <w:rPr>
          <w:rFonts w:cs="Calibri"/>
        </w:rPr>
        <w:t xml:space="preserve"> </w:t>
      </w:r>
      <w:r w:rsidR="00385CE6" w:rsidRPr="00A0543A">
        <w:rPr>
          <w:rFonts w:cs="Calibri"/>
        </w:rPr>
        <w:t>(dále také „EU“)</w:t>
      </w:r>
      <w:r w:rsidR="00675F54">
        <w:rPr>
          <w:rFonts w:cs="Calibri"/>
        </w:rPr>
        <w:t>, a to</w:t>
      </w:r>
      <w:r w:rsidR="00385CE6" w:rsidRPr="00A0543A">
        <w:rPr>
          <w:rFonts w:cs="Calibri"/>
        </w:rPr>
        <w:t xml:space="preserve"> </w:t>
      </w:r>
      <w:r w:rsidR="00A0543A" w:rsidRPr="00A0543A">
        <w:rPr>
          <w:rFonts w:cs="Calibri"/>
        </w:rPr>
        <w:t>zvýš</w:t>
      </w:r>
      <w:r w:rsidR="00675F54">
        <w:rPr>
          <w:rFonts w:cs="Calibri"/>
        </w:rPr>
        <w:t>it</w:t>
      </w:r>
      <w:r w:rsidR="00A0543A" w:rsidRPr="00A0543A">
        <w:rPr>
          <w:rFonts w:cs="Calibri"/>
        </w:rPr>
        <w:t xml:space="preserve"> energetick</w:t>
      </w:r>
      <w:r w:rsidR="00675F54">
        <w:rPr>
          <w:rFonts w:cs="Calibri"/>
        </w:rPr>
        <w:t>ou</w:t>
      </w:r>
      <w:r w:rsidR="00A0543A" w:rsidRPr="00A0543A">
        <w:rPr>
          <w:rFonts w:cs="Calibri"/>
        </w:rPr>
        <w:t xml:space="preserve"> účinnost o 20 % do roku 2020</w:t>
      </w:r>
      <w:r w:rsidR="00385CE6">
        <w:rPr>
          <w:rFonts w:cs="Calibri"/>
        </w:rPr>
        <w:t xml:space="preserve"> </w:t>
      </w:r>
      <w:r w:rsidR="00385CE6" w:rsidRPr="00385CE6">
        <w:rPr>
          <w:rFonts w:cs="Calibri"/>
        </w:rPr>
        <w:t>a vytvořit podmínky pro další zvyšování energe</w:t>
      </w:r>
      <w:r w:rsidR="00385CE6">
        <w:rPr>
          <w:rFonts w:cs="Calibri"/>
        </w:rPr>
        <w:t>tické účinnosti i po tomto datu</w:t>
      </w:r>
      <w:r w:rsidR="00A0543A" w:rsidRPr="00A0543A">
        <w:rPr>
          <w:rFonts w:cs="Calibri"/>
        </w:rPr>
        <w:t xml:space="preserve">. Tento cíl je součástí širší strategie </w:t>
      </w:r>
      <w:r w:rsidR="00385CE6">
        <w:rPr>
          <w:rFonts w:cs="Calibri"/>
        </w:rPr>
        <w:t>EU</w:t>
      </w:r>
      <w:r w:rsidR="00A0543A" w:rsidRPr="00A0543A">
        <w:rPr>
          <w:rFonts w:cs="Calibri"/>
        </w:rPr>
        <w:t xml:space="preserve"> v oblasti energetiky a klimatu do roku 2020, která zahrnuje též 20% snížení emisí skleníkových plynů a</w:t>
      </w:r>
      <w:r w:rsidR="00675F54">
        <w:rPr>
          <w:rFonts w:cs="Calibri"/>
        </w:rPr>
        <w:t> </w:t>
      </w:r>
      <w:r w:rsidR="00A0543A" w:rsidRPr="00A0543A">
        <w:rPr>
          <w:rFonts w:cs="Calibri"/>
        </w:rPr>
        <w:t>20% podíl energie z</w:t>
      </w:r>
      <w:r w:rsidR="00C33CF8">
        <w:rPr>
          <w:rFonts w:cs="Calibri"/>
        </w:rPr>
        <w:t> </w:t>
      </w:r>
      <w:r w:rsidR="00A0543A" w:rsidRPr="00A0543A">
        <w:rPr>
          <w:rFonts w:cs="Calibri"/>
        </w:rPr>
        <w:t>obnovitelných zdrojů ve skladbě energetických zdrojů EU.</w:t>
      </w:r>
      <w:r w:rsidR="00A0543A">
        <w:rPr>
          <w:rFonts w:cs="Calibri"/>
        </w:rPr>
        <w:t xml:space="preserve"> </w:t>
      </w:r>
    </w:p>
    <w:p w:rsidR="00C33CF8" w:rsidRDefault="00C33CF8" w:rsidP="00CB795C">
      <w:pPr>
        <w:spacing w:before="0" w:after="0" w:line="264" w:lineRule="auto"/>
        <w:rPr>
          <w:rFonts w:cs="Calibri"/>
        </w:rPr>
      </w:pPr>
    </w:p>
    <w:p w:rsidR="007F68F7" w:rsidRDefault="004772C2" w:rsidP="00CB795C">
      <w:pPr>
        <w:spacing w:before="0" w:after="0" w:line="264" w:lineRule="auto"/>
      </w:pPr>
      <w:r>
        <w:rPr>
          <w:rFonts w:cs="Calibri"/>
        </w:rPr>
        <w:t>Ministerstvo průmyslu a obchodu (dále také „MPO“) je dle</w:t>
      </w:r>
      <w:r w:rsidR="00C33CF8">
        <w:rPr>
          <w:rFonts w:cs="Calibri"/>
        </w:rPr>
        <w:t xml:space="preserve"> ustanovení §</w:t>
      </w:r>
      <w:r w:rsidR="000B4D4A">
        <w:rPr>
          <w:rFonts w:cs="Calibri"/>
        </w:rPr>
        <w:t> </w:t>
      </w:r>
      <w:r w:rsidR="00C33CF8">
        <w:rPr>
          <w:rFonts w:cs="Calibri"/>
        </w:rPr>
        <w:t>13 odst. 1 písm. </w:t>
      </w:r>
      <w:r w:rsidR="00675F54">
        <w:rPr>
          <w:rFonts w:cs="Calibri"/>
        </w:rPr>
        <w:t xml:space="preserve">a) </w:t>
      </w:r>
      <w:r>
        <w:rPr>
          <w:rFonts w:cs="Calibri"/>
        </w:rPr>
        <w:t>zákona č. 2/1969 Sb.</w:t>
      </w:r>
      <w:r>
        <w:rPr>
          <w:rStyle w:val="Znakapoznpodarou"/>
          <w:rFonts w:cs="Calibri"/>
        </w:rPr>
        <w:footnoteReference w:id="2"/>
      </w:r>
      <w:r>
        <w:rPr>
          <w:rFonts w:cs="Calibri"/>
        </w:rPr>
        <w:t xml:space="preserve"> ústředním orgánem státní správy mj. pro </w:t>
      </w:r>
      <w:r w:rsidR="00F0188D">
        <w:rPr>
          <w:rFonts w:cs="Calibri"/>
        </w:rPr>
        <w:t>energetiku</w:t>
      </w:r>
      <w:r w:rsidR="007F68F7">
        <w:rPr>
          <w:rFonts w:cs="Calibri"/>
        </w:rPr>
        <w:t xml:space="preserve">. MPO dále </w:t>
      </w:r>
      <w:r w:rsidR="007F68F7">
        <w:t>koordinuje přípravu legislativy a implementac</w:t>
      </w:r>
      <w:r w:rsidR="000B4D4A">
        <w:t>i</w:t>
      </w:r>
      <w:r w:rsidR="007F68F7">
        <w:t xml:space="preserve"> evropského práva v působnosti resortu</w:t>
      </w:r>
      <w:r w:rsidR="004D28E2">
        <w:t>,</w:t>
      </w:r>
      <w:r w:rsidR="007F68F7">
        <w:t xml:space="preserve"> </w:t>
      </w:r>
      <w:r w:rsidR="004D28E2">
        <w:t>tedy</w:t>
      </w:r>
      <w:r w:rsidR="00675F54">
        <w:t xml:space="preserve"> i </w:t>
      </w:r>
      <w:r w:rsidR="00705375">
        <w:t xml:space="preserve">směrnice </w:t>
      </w:r>
      <w:r w:rsidR="007F68F7">
        <w:t>EED.</w:t>
      </w:r>
      <w:r w:rsidR="00631BB6">
        <w:t xml:space="preserve"> Dalšími </w:t>
      </w:r>
      <w:r w:rsidR="00505016">
        <w:t>resorty</w:t>
      </w:r>
      <w:r w:rsidR="00631BB6">
        <w:t xml:space="preserve"> podílejícími se </w:t>
      </w:r>
      <w:r w:rsidR="000B4D4A">
        <w:t>podstatnou měrou</w:t>
      </w:r>
      <w:r w:rsidR="005775BE">
        <w:t xml:space="preserve"> </w:t>
      </w:r>
      <w:r w:rsidR="00631BB6">
        <w:t>na realizaci energetických úspor jsou Ministerstvo životního prostředí</w:t>
      </w:r>
      <w:r w:rsidR="00786C7C">
        <w:t xml:space="preserve"> (dále také „MŽP“)</w:t>
      </w:r>
      <w:r w:rsidR="00631BB6">
        <w:t xml:space="preserve"> a</w:t>
      </w:r>
      <w:r w:rsidR="000B4D4A">
        <w:t> </w:t>
      </w:r>
      <w:r w:rsidR="00631BB6">
        <w:t>Ministerstvo pro místní rozvoj</w:t>
      </w:r>
      <w:r w:rsidR="00786C7C">
        <w:t xml:space="preserve"> (dále také „MMR“)</w:t>
      </w:r>
      <w:r w:rsidR="005775BE">
        <w:t>.</w:t>
      </w:r>
    </w:p>
    <w:p w:rsidR="00C33CF8" w:rsidRDefault="00C33CF8" w:rsidP="00CB795C">
      <w:pPr>
        <w:spacing w:before="0" w:after="0" w:line="264" w:lineRule="auto"/>
      </w:pPr>
    </w:p>
    <w:p w:rsidR="006B2B3A" w:rsidRDefault="006B2B3A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>U většiny programů je úspora energie generována jako druhotný efekt a není hlavním cílem těchto programů.</w:t>
      </w:r>
      <w:r w:rsidR="006A367F">
        <w:rPr>
          <w:szCs w:val="24"/>
        </w:rPr>
        <w:t xml:space="preserve"> Hlavními cíli jsou např. stimulace aktivit podnikatelského prostředí, ochrana a zlepšování kvality životního prostředí, modernizace a revitalizace bytového fondu v depri</w:t>
      </w:r>
      <w:r w:rsidR="000B4D4A">
        <w:rPr>
          <w:szCs w:val="24"/>
        </w:rPr>
        <w:t>v</w:t>
      </w:r>
      <w:r w:rsidR="006A367F">
        <w:rPr>
          <w:szCs w:val="24"/>
        </w:rPr>
        <w:t>ovaných zónách měst, výstavba a pořízení nájemních bytů určených k sociálnímu bydlení a zlepšení stavu bytových domů a bytů.</w:t>
      </w:r>
    </w:p>
    <w:p w:rsidR="00C33CF8" w:rsidRDefault="00C33CF8" w:rsidP="00CB795C">
      <w:pPr>
        <w:spacing w:before="0" w:after="0" w:line="264" w:lineRule="auto"/>
        <w:rPr>
          <w:szCs w:val="24"/>
        </w:rPr>
      </w:pPr>
    </w:p>
    <w:p w:rsidR="00C33CF8" w:rsidRDefault="00C33CF8" w:rsidP="00CB795C">
      <w:pPr>
        <w:spacing w:before="0" w:after="0" w:line="264" w:lineRule="auto"/>
        <w:rPr>
          <w:szCs w:val="24"/>
        </w:rPr>
      </w:pPr>
    </w:p>
    <w:p w:rsidR="00FD0D45" w:rsidRPr="00396C71" w:rsidRDefault="00257998" w:rsidP="00CB795C">
      <w:pPr>
        <w:spacing w:before="0" w:after="0" w:line="264" w:lineRule="auto"/>
        <w:jc w:val="center"/>
        <w:rPr>
          <w:rFonts w:cstheme="minorHAnsi"/>
          <w:b/>
          <w:caps/>
          <w:color w:val="000000" w:themeColor="text1"/>
          <w:sz w:val="26"/>
          <w:szCs w:val="26"/>
        </w:rPr>
      </w:pPr>
      <w:r w:rsidRPr="00396C71">
        <w:rPr>
          <w:rFonts w:cstheme="minorHAnsi"/>
          <w:b/>
          <w:caps/>
          <w:color w:val="000000" w:themeColor="text1"/>
          <w:sz w:val="26"/>
          <w:szCs w:val="26"/>
        </w:rPr>
        <w:t xml:space="preserve">II. </w:t>
      </w:r>
      <w:r w:rsidR="00DA10D6" w:rsidRPr="00396C71">
        <w:rPr>
          <w:rFonts w:cstheme="minorHAnsi"/>
          <w:b/>
          <w:color w:val="000000" w:themeColor="text1"/>
          <w:sz w:val="26"/>
          <w:szCs w:val="26"/>
        </w:rPr>
        <w:t xml:space="preserve">Koncepční </w:t>
      </w:r>
      <w:bookmarkEnd w:id="1"/>
      <w:bookmarkEnd w:id="2"/>
      <w:r w:rsidR="00DA10D6" w:rsidRPr="00396C71">
        <w:rPr>
          <w:rFonts w:cstheme="minorHAnsi"/>
          <w:b/>
          <w:color w:val="000000" w:themeColor="text1"/>
          <w:sz w:val="26"/>
          <w:szCs w:val="26"/>
        </w:rPr>
        <w:t>dokumenty</w:t>
      </w:r>
    </w:p>
    <w:p w:rsidR="00257998" w:rsidRDefault="00257998" w:rsidP="00CB795C">
      <w:pPr>
        <w:spacing w:before="0" w:after="0" w:line="264" w:lineRule="auto"/>
        <w:rPr>
          <w:szCs w:val="24"/>
        </w:rPr>
      </w:pPr>
      <w:bookmarkStart w:id="3" w:name="_Toc395082848"/>
      <w:bookmarkStart w:id="4" w:name="_Toc395873135"/>
    </w:p>
    <w:p w:rsidR="00547CFE" w:rsidRDefault="00F0002F" w:rsidP="00CB795C">
      <w:pPr>
        <w:spacing w:before="0" w:after="0" w:line="264" w:lineRule="auto"/>
        <w:rPr>
          <w:rFonts w:cstheme="minorHAnsi"/>
          <w:b/>
        </w:rPr>
      </w:pPr>
      <w:r>
        <w:rPr>
          <w:rFonts w:cstheme="minorHAnsi"/>
          <w:b/>
        </w:rPr>
        <w:t>Ministerstvo průmyslu a obchodu</w:t>
      </w:r>
    </w:p>
    <w:p w:rsidR="00257998" w:rsidRDefault="00257998" w:rsidP="00CB795C">
      <w:pPr>
        <w:spacing w:before="0" w:after="0" w:line="264" w:lineRule="auto"/>
        <w:rPr>
          <w:rFonts w:cs="Calibri"/>
        </w:rPr>
      </w:pPr>
    </w:p>
    <w:p w:rsidR="0033059D" w:rsidRDefault="0033059D" w:rsidP="00CB795C">
      <w:pPr>
        <w:spacing w:before="0" w:after="0" w:line="264" w:lineRule="auto"/>
      </w:pPr>
      <w:r>
        <w:rPr>
          <w:rFonts w:cs="Calibri"/>
        </w:rPr>
        <w:t xml:space="preserve">MPO zpracovává na základě </w:t>
      </w:r>
      <w:r w:rsidR="00DC250E">
        <w:rPr>
          <w:rFonts w:cs="Calibri"/>
        </w:rPr>
        <w:t>ustanovení § 3 zákona č. 406/2000 Sb.</w:t>
      </w:r>
      <w:r w:rsidR="00DC250E">
        <w:rPr>
          <w:rStyle w:val="Znakapoznpodarou"/>
          <w:rFonts w:cs="Calibri"/>
        </w:rPr>
        <w:footnoteReference w:id="3"/>
      </w:r>
      <w:r>
        <w:rPr>
          <w:rFonts w:cs="Calibri"/>
        </w:rPr>
        <w:t xml:space="preserve"> </w:t>
      </w:r>
      <w:r w:rsidR="000B4D4A">
        <w:rPr>
          <w:rFonts w:cs="Calibri"/>
        </w:rPr>
        <w:t>s</w:t>
      </w:r>
      <w:r w:rsidRPr="000B4D4A">
        <w:rPr>
          <w:rFonts w:cs="Calibri"/>
        </w:rPr>
        <w:t>tátní energetickou koncepci</w:t>
      </w:r>
      <w:r>
        <w:rPr>
          <w:rFonts w:cs="Calibri"/>
        </w:rPr>
        <w:t xml:space="preserve"> (dále také „SEK“)</w:t>
      </w:r>
      <w:r w:rsidR="00DC250E">
        <w:rPr>
          <w:rFonts w:cs="Calibri"/>
        </w:rPr>
        <w:t>.</w:t>
      </w:r>
      <w:r>
        <w:rPr>
          <w:rFonts w:cs="Calibri"/>
        </w:rPr>
        <w:t xml:space="preserve"> </w:t>
      </w:r>
      <w:r w:rsidR="00DC250E">
        <w:rPr>
          <w:rFonts w:cs="Calibri"/>
        </w:rPr>
        <w:t xml:space="preserve">SEK </w:t>
      </w:r>
      <w:r>
        <w:rPr>
          <w:rFonts w:cs="Calibri"/>
        </w:rPr>
        <w:t xml:space="preserve">je </w:t>
      </w:r>
      <w:r>
        <w:t>strategickým dokumentem s</w:t>
      </w:r>
      <w:r w:rsidR="00FE415C">
        <w:t> výhledem na 30 let</w:t>
      </w:r>
      <w:r w:rsidR="000B4D4A">
        <w:t>, vyjadřuje</w:t>
      </w:r>
      <w:r>
        <w:t xml:space="preserve"> cíle státu v energetickém hospodářství v souladu s potřebou zabezpečit základní funkce státu a s potřebami hospodářského a společenského rozvoje i za krizové situace, včetně ochrany životního prostředí, </w:t>
      </w:r>
      <w:r w:rsidR="000B4D4A">
        <w:t>a slouží</w:t>
      </w:r>
      <w:r>
        <w:t xml:space="preserve"> i pro vypracování územních energetických koncepcí. </w:t>
      </w:r>
      <w:r w:rsidR="00AE0461">
        <w:t xml:space="preserve">SEK je mimo </w:t>
      </w:r>
      <w:r w:rsidR="00AE0461">
        <w:lastRenderedPageBreak/>
        <w:t xml:space="preserve">jiné základním koncepčním materiálem ČR pro oblast úspor energií. </w:t>
      </w:r>
      <w:r w:rsidRPr="0033059D">
        <w:t>V kontrolovaném období platila do 1</w:t>
      </w:r>
      <w:r w:rsidR="00EB5F3B">
        <w:t>7</w:t>
      </w:r>
      <w:r w:rsidRPr="0033059D">
        <w:t>. 5. 2015 SEK schválená usnesením vlády</w:t>
      </w:r>
      <w:r w:rsidR="00554B83">
        <w:t xml:space="preserve"> ČR</w:t>
      </w:r>
      <w:r w:rsidRPr="0033059D">
        <w:t xml:space="preserve"> ze dne 10. </w:t>
      </w:r>
      <w:r w:rsidR="009D1C2E">
        <w:t>března 2004 č. </w:t>
      </w:r>
      <w:r w:rsidRPr="0033059D">
        <w:t>211.</w:t>
      </w:r>
      <w:r w:rsidR="00554B83" w:rsidRPr="00554B83">
        <w:t xml:space="preserve"> </w:t>
      </w:r>
      <w:r w:rsidR="00554B83">
        <w:t xml:space="preserve">MPO pracovalo od roku 2009 </w:t>
      </w:r>
      <w:r w:rsidR="00097ADC">
        <w:t>na aktualizac</w:t>
      </w:r>
      <w:r w:rsidR="000B4D4A">
        <w:t>i</w:t>
      </w:r>
      <w:r w:rsidR="00097ADC">
        <w:t xml:space="preserve"> SEK, která</w:t>
      </w:r>
      <w:r w:rsidR="00554B83">
        <w:t xml:space="preserve"> byla </w:t>
      </w:r>
      <w:r w:rsidR="00EB5F3B">
        <w:t xml:space="preserve">schválena usnesením vlády ČR ze </w:t>
      </w:r>
      <w:r w:rsidR="00554B83">
        <w:t>dne 18. května 2015 č. 362.</w:t>
      </w:r>
    </w:p>
    <w:p w:rsidR="00257998" w:rsidRDefault="00257998" w:rsidP="00CB795C">
      <w:pPr>
        <w:spacing w:before="0" w:after="0" w:line="264" w:lineRule="auto"/>
      </w:pPr>
    </w:p>
    <w:p w:rsidR="0033059D" w:rsidRDefault="0033059D" w:rsidP="00CB795C">
      <w:pPr>
        <w:spacing w:before="0" w:after="0" w:line="264" w:lineRule="auto"/>
      </w:pPr>
      <w:r w:rsidRPr="0033059D">
        <w:rPr>
          <w:rFonts w:cstheme="minorHAnsi"/>
        </w:rPr>
        <w:t>Dalším důležitým koncepčním dokumentem pro oblast energetiky, resp. úspor energie</w:t>
      </w:r>
      <w:r w:rsidR="00675F54">
        <w:rPr>
          <w:rFonts w:cstheme="minorHAnsi"/>
        </w:rPr>
        <w:t>,</w:t>
      </w:r>
      <w:r w:rsidRPr="0033059D">
        <w:rPr>
          <w:rFonts w:cstheme="minorHAnsi"/>
        </w:rPr>
        <w:t xml:space="preserve"> je</w:t>
      </w:r>
      <w:r w:rsidR="004667D7">
        <w:rPr>
          <w:rFonts w:cstheme="minorHAnsi"/>
        </w:rPr>
        <w:t xml:space="preserve"> </w:t>
      </w:r>
      <w:r w:rsidR="004667D7" w:rsidRPr="00396C71">
        <w:rPr>
          <w:rFonts w:cstheme="minorHAnsi"/>
          <w:i/>
        </w:rPr>
        <w:t>Národní akční plán energetické účinnosti ČR</w:t>
      </w:r>
      <w:r w:rsidR="004667D7" w:rsidRPr="004667D7">
        <w:rPr>
          <w:rFonts w:cstheme="minorHAnsi"/>
        </w:rPr>
        <w:t xml:space="preserve"> (dále také „NAPEE“), </w:t>
      </w:r>
      <w:r w:rsidR="004667D7">
        <w:rPr>
          <w:rFonts w:cstheme="minorHAnsi"/>
        </w:rPr>
        <w:t>který MPO zpracovává dle</w:t>
      </w:r>
      <w:r w:rsidR="004667D7">
        <w:t xml:space="preserve"> </w:t>
      </w:r>
      <w:r w:rsidR="00A155B4">
        <w:t>požadavků směrnic</w:t>
      </w:r>
      <w:r w:rsidR="00FB5ADC">
        <w:t>e</w:t>
      </w:r>
      <w:r w:rsidR="00A155B4">
        <w:t xml:space="preserve"> EP a Rady o energetické účinnosti.</w:t>
      </w:r>
    </w:p>
    <w:p w:rsidR="00257998" w:rsidRDefault="00257998" w:rsidP="00CB795C">
      <w:pPr>
        <w:spacing w:before="0" w:after="0" w:line="264" w:lineRule="auto"/>
      </w:pPr>
    </w:p>
    <w:p w:rsidR="004667D7" w:rsidRDefault="004667D7" w:rsidP="00CB795C">
      <w:pPr>
        <w:spacing w:before="0" w:after="0" w:line="264" w:lineRule="auto"/>
      </w:pPr>
      <w:r w:rsidRPr="00D16582">
        <w:t>První NAPEE pro Českou republiku byl zveřejněn v roce 2007, druhý pak v roce 2011. Oba tyto plány byly vypracovány dle požadavků směrnice EP a Rady 2006/32/ES</w:t>
      </w:r>
      <w:r w:rsidR="00EA0019">
        <w:rPr>
          <w:rStyle w:val="Znakapoznpodarou"/>
        </w:rPr>
        <w:footnoteReference w:id="4"/>
      </w:r>
      <w:r w:rsidRPr="00D16582">
        <w:t xml:space="preserve">. Cílem pro ČR </w:t>
      </w:r>
      <w:r w:rsidR="00EB5F3B">
        <w:t>stanoveným touto směrnicí bylo</w:t>
      </w:r>
      <w:r w:rsidRPr="00D16582">
        <w:t xml:space="preserve"> </w:t>
      </w:r>
      <w:r w:rsidR="00675F54">
        <w:t>snížit</w:t>
      </w:r>
      <w:r w:rsidRPr="00D16582">
        <w:t xml:space="preserve"> průměrn</w:t>
      </w:r>
      <w:r w:rsidR="00675F54">
        <w:t>ou</w:t>
      </w:r>
      <w:r w:rsidRPr="00D16582">
        <w:t xml:space="preserve"> </w:t>
      </w:r>
      <w:r w:rsidR="00FB5ADC" w:rsidRPr="00D16582">
        <w:t xml:space="preserve">roční </w:t>
      </w:r>
      <w:r w:rsidRPr="00D16582">
        <w:t>spotřeb</w:t>
      </w:r>
      <w:r w:rsidR="00675F54">
        <w:t>u</w:t>
      </w:r>
      <w:r w:rsidRPr="00D16582">
        <w:t xml:space="preserve"> energie z let 2002</w:t>
      </w:r>
      <w:r w:rsidR="004A3A97">
        <w:t>–</w:t>
      </w:r>
      <w:r w:rsidRPr="00D16582">
        <w:t>2006 o</w:t>
      </w:r>
      <w:r w:rsidR="00257998">
        <w:t> </w:t>
      </w:r>
      <w:r w:rsidR="001036F0">
        <w:t>9 </w:t>
      </w:r>
      <w:r w:rsidRPr="00D16582">
        <w:t>% v období let 2008</w:t>
      </w:r>
      <w:r w:rsidR="004A3A97">
        <w:t>–</w:t>
      </w:r>
      <w:r w:rsidRPr="00D16582">
        <w:t>2016. Tato směrnice byla k 5. 6. 2014 nahrazena směrnicí EED s</w:t>
      </w:r>
      <w:r w:rsidR="00257998">
        <w:t> </w:t>
      </w:r>
      <w:r w:rsidRPr="00D16582">
        <w:t>tím, že původně vytyčené vnitrostátní cíle jednotlivých členských států do roku 2016 byly rozšířeny.</w:t>
      </w:r>
      <w:r w:rsidR="00AE6E72">
        <w:t xml:space="preserve"> </w:t>
      </w:r>
      <w:r w:rsidR="00AE6E72" w:rsidRPr="00D16582">
        <w:t xml:space="preserve">V pořadí již třetí český NAPEE </w:t>
      </w:r>
      <w:r w:rsidR="00AE6E72">
        <w:t xml:space="preserve">byl schválen </w:t>
      </w:r>
      <w:r w:rsidR="0007730B">
        <w:t>usnesením vlády ČR ze</w:t>
      </w:r>
      <w:r w:rsidR="00AE6E72">
        <w:t xml:space="preserve"> dne 22.</w:t>
      </w:r>
      <w:r w:rsidR="009D1C2E">
        <w:t> p</w:t>
      </w:r>
      <w:r w:rsidR="0007730B">
        <w:t>rosince</w:t>
      </w:r>
      <w:r w:rsidR="00DD1605">
        <w:t> </w:t>
      </w:r>
      <w:r w:rsidR="00AE6E72">
        <w:t>2014 č. 1085</w:t>
      </w:r>
      <w:r w:rsidR="00EA0019">
        <w:t xml:space="preserve"> a stanovuje </w:t>
      </w:r>
      <w:r w:rsidR="004D445A">
        <w:t>vnitrostátní</w:t>
      </w:r>
      <w:r w:rsidR="00EA0019">
        <w:t xml:space="preserve"> </w:t>
      </w:r>
      <w:r w:rsidR="00AA3E46">
        <w:t>orientační</w:t>
      </w:r>
      <w:r w:rsidR="00EA0019">
        <w:t xml:space="preserve"> cíl energetické účinnosti</w:t>
      </w:r>
      <w:r w:rsidR="00AE6E72">
        <w:t>.</w:t>
      </w:r>
    </w:p>
    <w:p w:rsidR="00257998" w:rsidRDefault="00257998" w:rsidP="00CB795C">
      <w:pPr>
        <w:spacing w:before="0" w:after="0" w:line="264" w:lineRule="auto"/>
      </w:pPr>
    </w:p>
    <w:p w:rsidR="003B08B7" w:rsidRDefault="004667D7" w:rsidP="00C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</w:pPr>
      <w:r w:rsidRPr="00D81277">
        <w:t xml:space="preserve">Podle </w:t>
      </w:r>
      <w:r w:rsidR="00705375">
        <w:t xml:space="preserve">směrnice </w:t>
      </w:r>
      <w:r w:rsidRPr="00D81277">
        <w:t xml:space="preserve">EED si každý členský stát stanoví vnitrostátní cíle energetické účinnosti na základě spotřeby primární energie nebo konečné spotřeby energie, úspor primární energie nebo úspor v konečné spotřebě energie nebo energetické náročnosti. </w:t>
      </w:r>
      <w:r w:rsidR="00EA0019">
        <w:t>Závazný v</w:t>
      </w:r>
      <w:r w:rsidRPr="00D81277">
        <w:t xml:space="preserve">nitrostátní cíl </w:t>
      </w:r>
      <w:r w:rsidR="00964484">
        <w:t xml:space="preserve">si </w:t>
      </w:r>
      <w:r w:rsidRPr="00D81277">
        <w:t>ČR</w:t>
      </w:r>
      <w:r w:rsidR="00964484">
        <w:t xml:space="preserve"> stanovila postupem dle článku 7 </w:t>
      </w:r>
      <w:r w:rsidR="00705375">
        <w:t xml:space="preserve">směrnice </w:t>
      </w:r>
      <w:r w:rsidR="00964484">
        <w:t>EED</w:t>
      </w:r>
      <w:r w:rsidR="00FB5ADC">
        <w:t>,</w:t>
      </w:r>
      <w:r w:rsidR="00964484">
        <w:t xml:space="preserve"> tento cíl</w:t>
      </w:r>
      <w:r w:rsidRPr="00D81277">
        <w:t xml:space="preserve"> byl </w:t>
      </w:r>
      <w:r w:rsidR="003B08B7" w:rsidRPr="00D81277">
        <w:t>stanoven ve výši 47,78 PJ</w:t>
      </w:r>
      <w:r w:rsidR="009657C2">
        <w:t xml:space="preserve"> (47 780 TJ)</w:t>
      </w:r>
      <w:r w:rsidR="003B08B7" w:rsidRPr="00D81277">
        <w:t xml:space="preserve"> </w:t>
      </w:r>
      <w:r w:rsidRPr="00D81277">
        <w:t xml:space="preserve">nových úspor </w:t>
      </w:r>
      <w:r w:rsidR="003B08B7" w:rsidRPr="00D81277">
        <w:t xml:space="preserve">v konečné spotřebě </w:t>
      </w:r>
      <w:r w:rsidR="00554B83">
        <w:t xml:space="preserve">energie </w:t>
      </w:r>
      <w:r w:rsidR="00721BED">
        <w:t>do</w:t>
      </w:r>
      <w:r w:rsidR="003B08B7" w:rsidRPr="00D81277">
        <w:t xml:space="preserve"> ro</w:t>
      </w:r>
      <w:r w:rsidR="00721BED">
        <w:t>ku</w:t>
      </w:r>
      <w:r w:rsidR="003B08B7" w:rsidRPr="00D81277">
        <w:t xml:space="preserve"> 2020</w:t>
      </w:r>
      <w:r w:rsidR="00721BED">
        <w:t>, kumulovaný cíl odpovídá hodnotě 191,10 PJ</w:t>
      </w:r>
      <w:r w:rsidR="003B08B7" w:rsidRPr="00D81277">
        <w:t>.</w:t>
      </w:r>
    </w:p>
    <w:p w:rsidR="00257998" w:rsidRDefault="00257998" w:rsidP="00CB795C">
      <w:pPr>
        <w:spacing w:before="0" w:after="0" w:line="264" w:lineRule="auto"/>
        <w:rPr>
          <w:rFonts w:cstheme="minorHAnsi"/>
        </w:rPr>
      </w:pPr>
    </w:p>
    <w:p w:rsidR="00964484" w:rsidRDefault="00964484" w:rsidP="00CB795C">
      <w:pPr>
        <w:spacing w:before="0" w:after="0" w:line="264" w:lineRule="auto"/>
        <w:rPr>
          <w:rFonts w:cstheme="minorHAnsi"/>
        </w:rPr>
      </w:pPr>
      <w:r>
        <w:rPr>
          <w:rFonts w:cstheme="minorHAnsi"/>
        </w:rPr>
        <w:t xml:space="preserve">Celostátní úspory energie sleduje MPO při zpracování NAPEE a v jeho vyhodnocování. Cílová hodnota roku 2020 byla spočítána na základě analýz dosavadních výsledků v úsporách energie a predikce </w:t>
      </w:r>
      <w:r w:rsidR="0007730B">
        <w:rPr>
          <w:rFonts w:cstheme="minorHAnsi"/>
        </w:rPr>
        <w:t xml:space="preserve">jejich </w:t>
      </w:r>
      <w:r>
        <w:rPr>
          <w:rFonts w:cstheme="minorHAnsi"/>
        </w:rPr>
        <w:t xml:space="preserve">dalšího vývoje se započítáním </w:t>
      </w:r>
      <w:r w:rsidR="003B0E10">
        <w:rPr>
          <w:rFonts w:cstheme="minorHAnsi"/>
        </w:rPr>
        <w:t xml:space="preserve">všech </w:t>
      </w:r>
      <w:r>
        <w:rPr>
          <w:rFonts w:cstheme="minorHAnsi"/>
        </w:rPr>
        <w:t>opatření</w:t>
      </w:r>
      <w:r w:rsidR="003B0E10">
        <w:rPr>
          <w:rFonts w:cstheme="minorHAnsi"/>
        </w:rPr>
        <w:t xml:space="preserve"> směřujících k úsporám energi</w:t>
      </w:r>
      <w:r w:rsidR="005E74AC">
        <w:rPr>
          <w:rFonts w:cstheme="minorHAnsi"/>
        </w:rPr>
        <w:t>e</w:t>
      </w:r>
      <w:r w:rsidR="003B0E10">
        <w:rPr>
          <w:rFonts w:cstheme="minorHAnsi"/>
        </w:rPr>
        <w:t>.</w:t>
      </w:r>
    </w:p>
    <w:p w:rsidR="00257998" w:rsidRDefault="00257998" w:rsidP="00CB795C">
      <w:pPr>
        <w:spacing w:before="0" w:after="0" w:line="264" w:lineRule="auto"/>
        <w:rPr>
          <w:rFonts w:cstheme="minorHAnsi"/>
        </w:rPr>
      </w:pPr>
    </w:p>
    <w:p w:rsidR="008276C6" w:rsidRDefault="00EA0019" w:rsidP="00CB795C">
      <w:pPr>
        <w:spacing w:before="0" w:after="0" w:line="264" w:lineRule="auto"/>
      </w:pPr>
      <w:r>
        <w:rPr>
          <w:rFonts w:cstheme="minorHAnsi"/>
        </w:rPr>
        <w:t>K</w:t>
      </w:r>
      <w:r w:rsidRPr="00CB569D">
        <w:rPr>
          <w:rFonts w:cstheme="minorHAnsi"/>
        </w:rPr>
        <w:t>e stanovení a reportování vnitrostátního orientačního cíl</w:t>
      </w:r>
      <w:r w:rsidR="00A76C3C">
        <w:rPr>
          <w:rFonts w:cstheme="minorHAnsi"/>
        </w:rPr>
        <w:t>e energetické účinnosti pro rok </w:t>
      </w:r>
      <w:r w:rsidRPr="00CB569D">
        <w:rPr>
          <w:rFonts w:cstheme="minorHAnsi"/>
        </w:rPr>
        <w:t>2020</w:t>
      </w:r>
      <w:r w:rsidRPr="00DD6B41">
        <w:rPr>
          <w:rFonts w:cstheme="minorHAnsi"/>
        </w:rPr>
        <w:t xml:space="preserve"> </w:t>
      </w:r>
      <w:r w:rsidRPr="00CB569D">
        <w:rPr>
          <w:rFonts w:cstheme="minorHAnsi"/>
        </w:rPr>
        <w:t xml:space="preserve">zavazuje členské </w:t>
      </w:r>
      <w:r w:rsidRPr="00DD6B41">
        <w:rPr>
          <w:rFonts w:cstheme="minorHAnsi"/>
        </w:rPr>
        <w:t xml:space="preserve">státy článek 3 </w:t>
      </w:r>
      <w:r w:rsidR="00705375">
        <w:rPr>
          <w:rFonts w:cstheme="minorHAnsi"/>
        </w:rPr>
        <w:t xml:space="preserve">směrnice </w:t>
      </w:r>
      <w:r w:rsidRPr="00DD6B41">
        <w:rPr>
          <w:rFonts w:cstheme="minorHAnsi"/>
        </w:rPr>
        <w:t>EED.</w:t>
      </w:r>
      <w:r>
        <w:rPr>
          <w:rFonts w:cstheme="minorHAnsi"/>
        </w:rPr>
        <w:t xml:space="preserve"> </w:t>
      </w:r>
      <w:r w:rsidR="00705375">
        <w:rPr>
          <w:rFonts w:cstheme="minorHAnsi"/>
        </w:rPr>
        <w:t xml:space="preserve">Směrnice </w:t>
      </w:r>
      <w:r w:rsidR="00AE0461">
        <w:t>EE</w:t>
      </w:r>
      <w:r w:rsidR="00D56954">
        <w:t>D</w:t>
      </w:r>
      <w:r w:rsidR="007F68F7">
        <w:t xml:space="preserve"> byla </w:t>
      </w:r>
      <w:r w:rsidR="007F68F7" w:rsidRPr="007F68F7">
        <w:t xml:space="preserve">do českého práva </w:t>
      </w:r>
      <w:r w:rsidR="007F68F7">
        <w:t>implementována</w:t>
      </w:r>
      <w:r w:rsidR="007F68F7" w:rsidRPr="007F68F7">
        <w:t xml:space="preserve"> novelizací </w:t>
      </w:r>
      <w:r w:rsidR="007F68F7">
        <w:t xml:space="preserve">zejména </w:t>
      </w:r>
      <w:r w:rsidR="007F68F7" w:rsidRPr="007F68F7">
        <w:t>tří zákonů</w:t>
      </w:r>
      <w:r w:rsidR="00FB5ADC">
        <w:t>, byly to</w:t>
      </w:r>
      <w:r w:rsidR="007F68F7">
        <w:t>:</w:t>
      </w:r>
      <w:r w:rsidR="007F68F7" w:rsidRPr="007F68F7">
        <w:t xml:space="preserve"> </w:t>
      </w:r>
      <w:r w:rsidR="007F68F7">
        <w:t>zákon</w:t>
      </w:r>
      <w:r w:rsidR="007F68F7" w:rsidRPr="007F68F7">
        <w:t xml:space="preserve"> č. 458/2000 Sb.</w:t>
      </w:r>
      <w:r>
        <w:rPr>
          <w:rStyle w:val="Znakapoznpodarou"/>
        </w:rPr>
        <w:footnoteReference w:id="5"/>
      </w:r>
      <w:r w:rsidR="007F68F7">
        <w:t>, zákon</w:t>
      </w:r>
      <w:r w:rsidR="007F68F7" w:rsidRPr="007F68F7">
        <w:t xml:space="preserve"> č.</w:t>
      </w:r>
      <w:r w:rsidR="00705375">
        <w:t> </w:t>
      </w:r>
      <w:r w:rsidR="007F68F7" w:rsidRPr="007F68F7">
        <w:t>406/2000</w:t>
      </w:r>
      <w:r w:rsidR="00705375">
        <w:t> </w:t>
      </w:r>
      <w:r w:rsidR="007F68F7" w:rsidRPr="007F68F7">
        <w:t>Sb.</w:t>
      </w:r>
      <w:r w:rsidR="00D15B99">
        <w:rPr>
          <w:vertAlign w:val="superscript"/>
        </w:rPr>
        <w:t>3</w:t>
      </w:r>
      <w:r w:rsidR="007F68F7">
        <w:t xml:space="preserve"> a zákon</w:t>
      </w:r>
      <w:r w:rsidR="008621CE">
        <w:t xml:space="preserve"> </w:t>
      </w:r>
      <w:r w:rsidR="007F68F7" w:rsidRPr="007F68F7">
        <w:t>č.</w:t>
      </w:r>
      <w:r w:rsidR="00257998">
        <w:t> </w:t>
      </w:r>
      <w:r w:rsidR="007F68F7" w:rsidRPr="007F68F7">
        <w:t>165/2012 Sb.</w:t>
      </w:r>
      <w:r>
        <w:rPr>
          <w:rStyle w:val="Znakapoznpodarou"/>
        </w:rPr>
        <w:footnoteReference w:id="6"/>
      </w:r>
      <w:r w:rsidR="007F68F7" w:rsidRPr="007F68F7">
        <w:t>.</w:t>
      </w:r>
    </w:p>
    <w:p w:rsidR="00257998" w:rsidRDefault="00257998" w:rsidP="00CB795C">
      <w:pPr>
        <w:spacing w:before="0" w:after="0" w:line="264" w:lineRule="auto"/>
      </w:pPr>
    </w:p>
    <w:p w:rsidR="00DD6B41" w:rsidRDefault="00F92ABE" w:rsidP="00CB795C">
      <w:pPr>
        <w:spacing w:before="0" w:after="0" w:line="264" w:lineRule="auto"/>
        <w:rPr>
          <w:rFonts w:cstheme="minorHAnsi"/>
        </w:rPr>
      </w:pPr>
      <w:r>
        <w:rPr>
          <w:rFonts w:cstheme="minorHAnsi"/>
        </w:rPr>
        <w:t>V č</w:t>
      </w:r>
      <w:r w:rsidR="00DD6B41" w:rsidRPr="00DD6B41">
        <w:rPr>
          <w:rFonts w:cstheme="minorHAnsi"/>
        </w:rPr>
        <w:t>lánk</w:t>
      </w:r>
      <w:r>
        <w:rPr>
          <w:rFonts w:cstheme="minorHAnsi"/>
        </w:rPr>
        <w:t>u</w:t>
      </w:r>
      <w:r w:rsidR="00DD6B41" w:rsidRPr="00DD6B41">
        <w:rPr>
          <w:rFonts w:cstheme="minorHAnsi"/>
        </w:rPr>
        <w:t xml:space="preserve"> </w:t>
      </w:r>
      <w:r w:rsidR="00FB5ADC">
        <w:rPr>
          <w:rFonts w:cstheme="minorHAnsi"/>
        </w:rPr>
        <w:t>5</w:t>
      </w:r>
      <w:r w:rsidR="00DD6B41" w:rsidRPr="00DD6B41">
        <w:rPr>
          <w:rFonts w:cstheme="minorHAnsi"/>
        </w:rPr>
        <w:t xml:space="preserve"> </w:t>
      </w:r>
      <w:r w:rsidR="00705375">
        <w:rPr>
          <w:rFonts w:cstheme="minorHAnsi"/>
        </w:rPr>
        <w:t xml:space="preserve">směrnice </w:t>
      </w:r>
      <w:r w:rsidR="00DD6B41" w:rsidRPr="00DD6B41">
        <w:rPr>
          <w:rFonts w:cstheme="minorHAnsi"/>
        </w:rPr>
        <w:t xml:space="preserve">EED </w:t>
      </w:r>
      <w:r w:rsidRPr="00FE415C">
        <w:rPr>
          <w:rFonts w:cstheme="minorHAnsi"/>
          <w:i/>
        </w:rPr>
        <w:t>Renovace budov</w:t>
      </w:r>
      <w:r>
        <w:rPr>
          <w:rFonts w:cstheme="minorHAnsi"/>
        </w:rPr>
        <w:t xml:space="preserve"> je uvedeno, že k</w:t>
      </w:r>
      <w:r w:rsidR="00DD6B41" w:rsidRPr="00920C43">
        <w:rPr>
          <w:rFonts w:cstheme="minorHAnsi"/>
        </w:rPr>
        <w:t>aždý členský stát má povinnost renovovat v letech 2014 až 2020 každoročně 3 % celkové podlahové plochy vytápěných nebo chlazených budov ve vlastnictví</w:t>
      </w:r>
      <w:r w:rsidR="002A7AA5">
        <w:rPr>
          <w:rFonts w:cstheme="minorHAnsi"/>
        </w:rPr>
        <w:t xml:space="preserve"> </w:t>
      </w:r>
      <w:r w:rsidR="00DD6B41" w:rsidRPr="00920C43">
        <w:rPr>
          <w:rFonts w:cstheme="minorHAnsi"/>
        </w:rPr>
        <w:t>a v užívání ústředních vládních institucí. Tento 3% podíl bude podle analýzy MPO uvedené v materiálu vlády čj. 828/14 vypočten na základě celkové užit</w:t>
      </w:r>
      <w:r w:rsidR="006E7DA0">
        <w:rPr>
          <w:rFonts w:cstheme="minorHAnsi"/>
        </w:rPr>
        <w:t>né</w:t>
      </w:r>
      <w:r w:rsidR="00DD6B41" w:rsidRPr="00920C43">
        <w:rPr>
          <w:rFonts w:cstheme="minorHAnsi"/>
        </w:rPr>
        <w:t xml:space="preserve"> </w:t>
      </w:r>
      <w:r w:rsidR="00DD6B41" w:rsidRPr="00920C43">
        <w:rPr>
          <w:rFonts w:cstheme="minorHAnsi"/>
        </w:rPr>
        <w:lastRenderedPageBreak/>
        <w:t>podlahové plochy budov, které k 1. lednu každého kalendářního roku nesplňují minimální požadavky na energetickou nároč</w:t>
      </w:r>
      <w:r w:rsidR="009A592E">
        <w:rPr>
          <w:rFonts w:cstheme="minorHAnsi"/>
        </w:rPr>
        <w:t>nost dle zákona č. 406/2000 Sb</w:t>
      </w:r>
      <w:r w:rsidR="00DD6B41" w:rsidRPr="00920C43">
        <w:rPr>
          <w:rFonts w:cstheme="minorHAnsi"/>
        </w:rPr>
        <w:t>.</w:t>
      </w:r>
      <w:r w:rsidR="0007730B">
        <w:rPr>
          <w:rStyle w:val="Znakapoznpodarou"/>
          <w:rFonts w:cstheme="minorHAnsi"/>
        </w:rPr>
        <w:t>3</w:t>
      </w:r>
      <w:r w:rsidR="00AB503F">
        <w:rPr>
          <w:rFonts w:cstheme="minorHAnsi"/>
        </w:rPr>
        <w:t>.</w:t>
      </w:r>
    </w:p>
    <w:p w:rsidR="00257998" w:rsidRPr="00AB503F" w:rsidRDefault="00257998" w:rsidP="00CB795C">
      <w:pPr>
        <w:spacing w:before="0" w:after="0" w:line="264" w:lineRule="auto"/>
        <w:rPr>
          <w:rFonts w:cstheme="minorHAnsi"/>
        </w:rPr>
      </w:pPr>
    </w:p>
    <w:p w:rsidR="003265FB" w:rsidRDefault="00DD6B41" w:rsidP="00CB795C">
      <w:pPr>
        <w:spacing w:before="0" w:after="0" w:line="264" w:lineRule="auto"/>
        <w:rPr>
          <w:rFonts w:cstheme="minorHAnsi"/>
        </w:rPr>
      </w:pPr>
      <w:r w:rsidRPr="00B40479">
        <w:rPr>
          <w:rFonts w:cstheme="minorHAnsi"/>
        </w:rPr>
        <w:t xml:space="preserve">Dne 16. 3. 2015 vzala vláda </w:t>
      </w:r>
      <w:r w:rsidR="009A592E">
        <w:rPr>
          <w:rFonts w:cstheme="minorHAnsi"/>
        </w:rPr>
        <w:t xml:space="preserve">ČR </w:t>
      </w:r>
      <w:r w:rsidR="00721BED">
        <w:rPr>
          <w:rFonts w:cstheme="minorHAnsi"/>
        </w:rPr>
        <w:t xml:space="preserve">v materiálu čj. 277/15 </w:t>
      </w:r>
      <w:r w:rsidRPr="00B40479">
        <w:rPr>
          <w:rFonts w:cstheme="minorHAnsi"/>
        </w:rPr>
        <w:t xml:space="preserve">na vědomí informaci </w:t>
      </w:r>
      <w:r w:rsidR="002A7AA5">
        <w:rPr>
          <w:rFonts w:cstheme="minorHAnsi"/>
        </w:rPr>
        <w:t xml:space="preserve">o </w:t>
      </w:r>
      <w:r w:rsidRPr="00B40479">
        <w:rPr>
          <w:rFonts w:cstheme="minorHAnsi"/>
        </w:rPr>
        <w:t>rozsahu plánovaných energeticky úsporných opatření realizovaných ústředními</w:t>
      </w:r>
      <w:r w:rsidR="00574F91">
        <w:rPr>
          <w:rFonts w:cstheme="minorHAnsi"/>
        </w:rPr>
        <w:t xml:space="preserve"> vládními</w:t>
      </w:r>
      <w:r w:rsidR="00721BED">
        <w:rPr>
          <w:rFonts w:cstheme="minorHAnsi"/>
        </w:rPr>
        <w:t xml:space="preserve"> institucemi v roce 2015 </w:t>
      </w:r>
      <w:r w:rsidRPr="00B40479">
        <w:rPr>
          <w:rFonts w:cstheme="minorHAnsi"/>
        </w:rPr>
        <w:t xml:space="preserve">v budovách, které </w:t>
      </w:r>
      <w:r w:rsidR="00FB5ADC">
        <w:rPr>
          <w:rFonts w:cstheme="minorHAnsi"/>
        </w:rPr>
        <w:t xml:space="preserve">tyto instituce </w:t>
      </w:r>
      <w:r w:rsidRPr="00B40479">
        <w:rPr>
          <w:rFonts w:cstheme="minorHAnsi"/>
        </w:rPr>
        <w:t>vlastní a užívají</w:t>
      </w:r>
      <w:r w:rsidR="0007730B">
        <w:rPr>
          <w:rFonts w:cstheme="minorHAnsi"/>
        </w:rPr>
        <w:t xml:space="preserve">. </w:t>
      </w:r>
      <w:r w:rsidRPr="00DA124A">
        <w:rPr>
          <w:rFonts w:cstheme="minorHAnsi"/>
        </w:rPr>
        <w:t>Z uvedeného materiálu</w:t>
      </w:r>
      <w:r w:rsidR="004F2398">
        <w:rPr>
          <w:rFonts w:cstheme="minorHAnsi"/>
        </w:rPr>
        <w:t xml:space="preserve"> </w:t>
      </w:r>
      <w:r w:rsidRPr="00DA124A">
        <w:rPr>
          <w:rFonts w:cstheme="minorHAnsi"/>
        </w:rPr>
        <w:t xml:space="preserve">vyplývá, že plánované investice v souboru budov </w:t>
      </w:r>
      <w:r w:rsidR="000A0451">
        <w:rPr>
          <w:rFonts w:cstheme="minorHAnsi"/>
        </w:rPr>
        <w:t xml:space="preserve">ústředních vládních institucí, </w:t>
      </w:r>
      <w:r w:rsidRPr="00DA124A">
        <w:rPr>
          <w:rFonts w:cstheme="minorHAnsi"/>
        </w:rPr>
        <w:t>včetně památkově chráněných</w:t>
      </w:r>
      <w:r w:rsidR="00857697">
        <w:rPr>
          <w:rFonts w:cstheme="minorHAnsi"/>
        </w:rPr>
        <w:t>,</w:t>
      </w:r>
      <w:r w:rsidRPr="00DA124A">
        <w:rPr>
          <w:rFonts w:cstheme="minorHAnsi"/>
        </w:rPr>
        <w:t xml:space="preserve"> v roce 2015 pře</w:t>
      </w:r>
      <w:r w:rsidR="00721BED">
        <w:rPr>
          <w:rFonts w:cstheme="minorHAnsi"/>
        </w:rPr>
        <w:t>dstavují přibližně 0,5 mld. Kč a</w:t>
      </w:r>
      <w:r w:rsidR="00FB5ADC">
        <w:rPr>
          <w:rFonts w:cstheme="minorHAnsi"/>
        </w:rPr>
        <w:t> </w:t>
      </w:r>
      <w:r w:rsidRPr="00DA124A">
        <w:rPr>
          <w:rFonts w:cstheme="minorHAnsi"/>
        </w:rPr>
        <w:t xml:space="preserve">úspora </w:t>
      </w:r>
      <w:r w:rsidR="00FB5ADC">
        <w:rPr>
          <w:rFonts w:cstheme="minorHAnsi"/>
        </w:rPr>
        <w:t xml:space="preserve">dosažená </w:t>
      </w:r>
      <w:r w:rsidRPr="00DA124A">
        <w:rPr>
          <w:rFonts w:cstheme="minorHAnsi"/>
        </w:rPr>
        <w:t>investicemi byla odhadnuta na 4 400 MWh</w:t>
      </w:r>
      <w:r w:rsidR="002F4FE7" w:rsidRPr="00DA124A">
        <w:rPr>
          <w:rStyle w:val="Znakapoznpodarou"/>
          <w:rFonts w:cstheme="minorHAnsi"/>
        </w:rPr>
        <w:footnoteReference w:id="7"/>
      </w:r>
      <w:r w:rsidRPr="00DA124A">
        <w:rPr>
          <w:rFonts w:cstheme="minorHAnsi"/>
        </w:rPr>
        <w:t>. Potřebná roční výše</w:t>
      </w:r>
      <w:r w:rsidR="00BF46E3">
        <w:rPr>
          <w:rFonts w:cstheme="minorHAnsi"/>
        </w:rPr>
        <w:t xml:space="preserve"> úspor</w:t>
      </w:r>
      <w:r w:rsidRPr="00DA124A">
        <w:rPr>
          <w:rFonts w:cstheme="minorHAnsi"/>
        </w:rPr>
        <w:t xml:space="preserve"> je však cca 9</w:t>
      </w:r>
      <w:r w:rsidR="00BD3F2D">
        <w:rPr>
          <w:rFonts w:cstheme="minorHAnsi"/>
        </w:rPr>
        <w:t> </w:t>
      </w:r>
      <w:r w:rsidRPr="00DA124A">
        <w:rPr>
          <w:rFonts w:cstheme="minorHAnsi"/>
        </w:rPr>
        <w:t>100</w:t>
      </w:r>
      <w:r w:rsidR="00BD3F2D">
        <w:rPr>
          <w:rFonts w:cstheme="minorHAnsi"/>
        </w:rPr>
        <w:t> </w:t>
      </w:r>
      <w:r w:rsidRPr="00DA124A">
        <w:rPr>
          <w:rFonts w:cstheme="minorHAnsi"/>
        </w:rPr>
        <w:t xml:space="preserve">MWh pro dosažení celkového snížení spotřeby o 59 800 MWh, respektive kumulované úspory </w:t>
      </w:r>
      <w:r w:rsidR="00FB5ADC">
        <w:rPr>
          <w:rFonts w:cstheme="minorHAnsi"/>
        </w:rPr>
        <w:t>za roky</w:t>
      </w:r>
      <w:r w:rsidR="00A76C3C">
        <w:rPr>
          <w:rFonts w:cstheme="minorHAnsi"/>
        </w:rPr>
        <w:br/>
      </w:r>
      <w:r w:rsidRPr="00DA124A">
        <w:rPr>
          <w:rFonts w:cstheme="minorHAnsi"/>
        </w:rPr>
        <w:t>2014</w:t>
      </w:r>
      <w:r w:rsidR="003F4B55">
        <w:rPr>
          <w:rFonts w:cstheme="minorHAnsi"/>
        </w:rPr>
        <w:t>–</w:t>
      </w:r>
      <w:r w:rsidRPr="00DA124A">
        <w:rPr>
          <w:rFonts w:cstheme="minorHAnsi"/>
        </w:rPr>
        <w:t xml:space="preserve">2020 ve výši </w:t>
      </w:r>
      <w:r w:rsidR="003265FB">
        <w:rPr>
          <w:rFonts w:cstheme="minorHAnsi"/>
        </w:rPr>
        <w:t>73 900</w:t>
      </w:r>
      <w:r w:rsidRPr="00DA124A">
        <w:rPr>
          <w:rFonts w:cstheme="minorHAnsi"/>
        </w:rPr>
        <w:t xml:space="preserve"> MWh</w:t>
      </w:r>
      <w:r w:rsidR="003265FB">
        <w:rPr>
          <w:rFonts w:cstheme="minorHAnsi"/>
        </w:rPr>
        <w:t xml:space="preserve"> (266,04 TJ). Ta</w:t>
      </w:r>
      <w:r w:rsidR="00BD3F2D">
        <w:rPr>
          <w:rFonts w:cstheme="minorHAnsi"/>
        </w:rPr>
        <w:t>k</w:t>
      </w:r>
      <w:r w:rsidR="003265FB">
        <w:rPr>
          <w:rFonts w:cstheme="minorHAnsi"/>
        </w:rPr>
        <w:t>to plánovaná výše úspor v budovách ústředních vládních ins</w:t>
      </w:r>
      <w:r w:rsidR="003F4B55">
        <w:rPr>
          <w:rFonts w:cstheme="minorHAnsi"/>
        </w:rPr>
        <w:t>titucí dosažen</w:t>
      </w:r>
      <w:r w:rsidR="00FB5ADC">
        <w:rPr>
          <w:rFonts w:cstheme="minorHAnsi"/>
        </w:rPr>
        <w:t>ých</w:t>
      </w:r>
      <w:r w:rsidR="003F4B55">
        <w:rPr>
          <w:rFonts w:cstheme="minorHAnsi"/>
        </w:rPr>
        <w:t xml:space="preserve"> v letech 2014–</w:t>
      </w:r>
      <w:r w:rsidR="003265FB">
        <w:rPr>
          <w:rFonts w:cstheme="minorHAnsi"/>
        </w:rPr>
        <w:t>2020</w:t>
      </w:r>
      <w:r w:rsidR="00BD3F2D">
        <w:rPr>
          <w:rFonts w:cstheme="minorHAnsi"/>
        </w:rPr>
        <w:t xml:space="preserve"> bude představovat</w:t>
      </w:r>
      <w:r w:rsidR="003265FB">
        <w:rPr>
          <w:rFonts w:cstheme="minorHAnsi"/>
        </w:rPr>
        <w:t xml:space="preserve"> cca 0,14</w:t>
      </w:r>
      <w:r w:rsidR="00BD3F2D">
        <w:rPr>
          <w:rFonts w:cstheme="minorHAnsi"/>
        </w:rPr>
        <w:t> </w:t>
      </w:r>
      <w:r w:rsidR="003265FB">
        <w:rPr>
          <w:rFonts w:cstheme="minorHAnsi"/>
        </w:rPr>
        <w:t>% z celkové plánované výše úspor ČR za všechny oblasti, která</w:t>
      </w:r>
      <w:r w:rsidR="003F4B55">
        <w:rPr>
          <w:rFonts w:cstheme="minorHAnsi"/>
        </w:rPr>
        <w:t xml:space="preserve"> činí </w:t>
      </w:r>
      <w:r w:rsidR="00BD3F2D">
        <w:rPr>
          <w:rFonts w:cstheme="minorHAnsi"/>
        </w:rPr>
        <w:t>na</w:t>
      </w:r>
      <w:r w:rsidR="003F4B55">
        <w:rPr>
          <w:rFonts w:cstheme="minorHAnsi"/>
        </w:rPr>
        <w:t xml:space="preserve"> období 2014–</w:t>
      </w:r>
      <w:r w:rsidR="003265FB">
        <w:rPr>
          <w:rFonts w:cstheme="minorHAnsi"/>
        </w:rPr>
        <w:t>2020 celkem 191,10</w:t>
      </w:r>
      <w:r w:rsidR="00257998">
        <w:rPr>
          <w:rFonts w:cstheme="minorHAnsi"/>
        </w:rPr>
        <w:t> </w:t>
      </w:r>
      <w:r w:rsidR="003265FB">
        <w:rPr>
          <w:rFonts w:cstheme="minorHAnsi"/>
        </w:rPr>
        <w:t>PJ</w:t>
      </w:r>
      <w:r w:rsidR="00F22D66">
        <w:rPr>
          <w:rFonts w:cstheme="minorHAnsi"/>
        </w:rPr>
        <w:t xml:space="preserve"> (191 100</w:t>
      </w:r>
      <w:r w:rsidR="00FB5ADC">
        <w:rPr>
          <w:rFonts w:cstheme="minorHAnsi"/>
        </w:rPr>
        <w:t> </w:t>
      </w:r>
      <w:r w:rsidR="00F22D66">
        <w:rPr>
          <w:rFonts w:cstheme="minorHAnsi"/>
        </w:rPr>
        <w:t>TJ)</w:t>
      </w:r>
      <w:r w:rsidR="003265FB">
        <w:rPr>
          <w:rFonts w:cstheme="minorHAnsi"/>
        </w:rPr>
        <w:t>.</w:t>
      </w:r>
    </w:p>
    <w:p w:rsidR="00693C3A" w:rsidRDefault="00693C3A" w:rsidP="00CB795C">
      <w:pPr>
        <w:spacing w:before="0" w:after="0" w:line="264" w:lineRule="auto"/>
        <w:rPr>
          <w:rFonts w:cstheme="minorHAnsi"/>
        </w:rPr>
      </w:pPr>
    </w:p>
    <w:p w:rsidR="00CA0839" w:rsidRDefault="00FB5ADC" w:rsidP="00CB795C">
      <w:pPr>
        <w:spacing w:before="0" w:after="0" w:line="264" w:lineRule="auto"/>
        <w:rPr>
          <w:rFonts w:cstheme="minorHAnsi"/>
        </w:rPr>
      </w:pPr>
      <w:r>
        <w:rPr>
          <w:rFonts w:cstheme="minorHAnsi"/>
        </w:rPr>
        <w:t>I</w:t>
      </w:r>
      <w:r w:rsidR="00DD6B41" w:rsidRPr="00DA124A">
        <w:rPr>
          <w:rFonts w:cstheme="minorHAnsi"/>
        </w:rPr>
        <w:t>nvesti</w:t>
      </w:r>
      <w:r w:rsidR="003B0E10">
        <w:rPr>
          <w:rFonts w:cstheme="minorHAnsi"/>
        </w:rPr>
        <w:t>ční prostředk</w:t>
      </w:r>
      <w:r>
        <w:rPr>
          <w:rFonts w:cstheme="minorHAnsi"/>
        </w:rPr>
        <w:t>y</w:t>
      </w:r>
      <w:r w:rsidR="00DD6B41" w:rsidRPr="00DA124A">
        <w:rPr>
          <w:rFonts w:cstheme="minorHAnsi"/>
        </w:rPr>
        <w:t xml:space="preserve"> na zvažované projekty </w:t>
      </w:r>
      <w:r>
        <w:rPr>
          <w:rFonts w:cstheme="minorHAnsi"/>
        </w:rPr>
        <w:t>pro roky</w:t>
      </w:r>
      <w:r w:rsidR="00DD6B41" w:rsidRPr="00DA124A">
        <w:rPr>
          <w:rFonts w:cstheme="minorHAnsi"/>
        </w:rPr>
        <w:t xml:space="preserve"> 2016</w:t>
      </w:r>
      <w:r w:rsidR="003F4B55">
        <w:rPr>
          <w:rFonts w:cstheme="minorHAnsi"/>
        </w:rPr>
        <w:t>–</w:t>
      </w:r>
      <w:r w:rsidR="00DD6B41" w:rsidRPr="00DA124A">
        <w:rPr>
          <w:rFonts w:cstheme="minorHAnsi"/>
        </w:rPr>
        <w:t xml:space="preserve">2020 </w:t>
      </w:r>
      <w:r>
        <w:rPr>
          <w:rFonts w:cstheme="minorHAnsi"/>
        </w:rPr>
        <w:t xml:space="preserve">jsou </w:t>
      </w:r>
      <w:r w:rsidR="00F3471D" w:rsidRPr="00DA124A">
        <w:rPr>
          <w:rFonts w:cstheme="minorHAnsi"/>
        </w:rPr>
        <w:t>plánován</w:t>
      </w:r>
      <w:r>
        <w:rPr>
          <w:rFonts w:cstheme="minorHAnsi"/>
        </w:rPr>
        <w:t>y</w:t>
      </w:r>
      <w:r w:rsidR="00DD6B41" w:rsidRPr="00DA124A">
        <w:rPr>
          <w:rFonts w:cstheme="minorHAnsi"/>
        </w:rPr>
        <w:t xml:space="preserve"> ve výši cca </w:t>
      </w:r>
      <w:r w:rsidR="00AE0461">
        <w:rPr>
          <w:rFonts w:cstheme="minorHAnsi"/>
        </w:rPr>
        <w:t>4</w:t>
      </w:r>
      <w:r w:rsidR="00DD6B41" w:rsidRPr="00DA124A">
        <w:rPr>
          <w:rFonts w:cstheme="minorHAnsi"/>
        </w:rPr>
        <w:t>,</w:t>
      </w:r>
      <w:r w:rsidR="00AE0461">
        <w:rPr>
          <w:rFonts w:cstheme="minorHAnsi"/>
        </w:rPr>
        <w:t>9</w:t>
      </w:r>
      <w:r w:rsidR="00DD6B41" w:rsidRPr="00DA124A">
        <w:rPr>
          <w:rFonts w:cstheme="minorHAnsi"/>
        </w:rPr>
        <w:t xml:space="preserve"> mld. Kč. Tyto zvažované investice však v současnost</w:t>
      </w:r>
      <w:r w:rsidR="004F2398">
        <w:rPr>
          <w:rFonts w:cstheme="minorHAnsi"/>
        </w:rPr>
        <w:t>i nemají zajištěn</w:t>
      </w:r>
      <w:r w:rsidR="00BD3F2D">
        <w:rPr>
          <w:rFonts w:cstheme="minorHAnsi"/>
        </w:rPr>
        <w:t>o</w:t>
      </w:r>
      <w:r w:rsidR="004F2398">
        <w:rPr>
          <w:rFonts w:cstheme="minorHAnsi"/>
        </w:rPr>
        <w:t xml:space="preserve"> financování.</w:t>
      </w:r>
    </w:p>
    <w:p w:rsidR="00257998" w:rsidRDefault="00257998" w:rsidP="00CB795C">
      <w:pPr>
        <w:spacing w:before="0" w:after="0" w:line="264" w:lineRule="auto"/>
        <w:rPr>
          <w:rFonts w:cstheme="minorHAnsi"/>
        </w:rPr>
      </w:pPr>
    </w:p>
    <w:p w:rsidR="00DD6B41" w:rsidRPr="00BD3F2D" w:rsidRDefault="00BD3F2D" w:rsidP="00BD3F2D">
      <w:pPr>
        <w:spacing w:before="0" w:after="0" w:line="264" w:lineRule="auto"/>
        <w:ind w:left="1474" w:hanging="1474"/>
        <w:rPr>
          <w:rFonts w:cstheme="minorHAnsi"/>
          <w:b/>
        </w:rPr>
      </w:pPr>
      <w:r>
        <w:rPr>
          <w:rFonts w:cstheme="minorHAnsi"/>
          <w:b/>
        </w:rPr>
        <w:t>Tabulka č. 1 –</w:t>
      </w:r>
      <w:r>
        <w:rPr>
          <w:rFonts w:cstheme="minorHAnsi"/>
          <w:b/>
        </w:rPr>
        <w:tab/>
      </w:r>
      <w:r w:rsidR="006C7D25" w:rsidRPr="00BD3F2D">
        <w:rPr>
          <w:rFonts w:cstheme="minorHAnsi"/>
          <w:b/>
        </w:rPr>
        <w:t>N</w:t>
      </w:r>
      <w:r w:rsidR="00DD6B41" w:rsidRPr="00BD3F2D">
        <w:rPr>
          <w:rFonts w:cstheme="minorHAnsi"/>
          <w:b/>
        </w:rPr>
        <w:t>ávrh plnění cíle kumulovaných úspor</w:t>
      </w:r>
      <w:r w:rsidR="003B0E10" w:rsidRPr="00BD3F2D">
        <w:rPr>
          <w:rFonts w:cstheme="minorHAnsi"/>
          <w:b/>
        </w:rPr>
        <w:t xml:space="preserve"> u objektů ústředních </w:t>
      </w:r>
      <w:r w:rsidR="00B347B8" w:rsidRPr="00BD3F2D">
        <w:rPr>
          <w:rFonts w:cstheme="minorHAnsi"/>
          <w:b/>
        </w:rPr>
        <w:t>vládních institucí</w:t>
      </w:r>
      <w:r w:rsidR="00DD6B41" w:rsidRPr="00BD3F2D">
        <w:rPr>
          <w:rFonts w:cstheme="minorHAnsi"/>
          <w:b/>
        </w:rPr>
        <w:t xml:space="preserve"> (včetně památkově chráněných objektů)</w:t>
      </w:r>
    </w:p>
    <w:tbl>
      <w:tblPr>
        <w:tblW w:w="49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810"/>
        <w:gridCol w:w="708"/>
        <w:gridCol w:w="708"/>
        <w:gridCol w:w="810"/>
        <w:gridCol w:w="814"/>
        <w:gridCol w:w="814"/>
        <w:gridCol w:w="814"/>
        <w:gridCol w:w="814"/>
        <w:gridCol w:w="827"/>
      </w:tblGrid>
      <w:tr w:rsidR="00693C3A" w:rsidRPr="00693C3A" w:rsidTr="00BD3F2D">
        <w:trPr>
          <w:trHeight w:val="227"/>
          <w:jc w:val="center"/>
        </w:trPr>
        <w:tc>
          <w:tcPr>
            <w:tcW w:w="1543" w:type="pct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Analýza plnění cíle</w:t>
            </w:r>
          </w:p>
        </w:tc>
        <w:tc>
          <w:tcPr>
            <w:tcW w:w="388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88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44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46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46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46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46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54" w:type="pct"/>
            <w:shd w:val="clear" w:color="auto" w:fill="B6DDE8" w:themeFill="accent5" w:themeFillTint="66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right="57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93C3A" w:rsidRPr="00693C3A" w:rsidTr="00BD3F2D">
        <w:trPr>
          <w:trHeight w:val="227"/>
          <w:jc w:val="center"/>
        </w:trPr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DD6B41" w:rsidRPr="00693C3A" w:rsidRDefault="00257998" w:rsidP="0025799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Úspora renovací </w:t>
            </w:r>
            <w:r w:rsid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 </w:t>
            </w:r>
            <w:r w:rsidR="00DD6B41"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jedn. letech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left="-67" w:right="-72"/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r w:rsidR="002F4FE7" w:rsidRPr="00693C3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4 400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13 800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13 700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13 500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13 300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13 000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73 900</w:t>
            </w:r>
          </w:p>
        </w:tc>
      </w:tr>
      <w:tr w:rsidR="00693C3A" w:rsidRPr="00693C3A" w:rsidTr="00BD3F2D">
        <w:trPr>
          <w:trHeight w:val="227"/>
          <w:jc w:val="center"/>
        </w:trPr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Úspora kumulativně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left="-67" w:right="-72"/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r w:rsidR="002F4FE7" w:rsidRPr="00693C3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6 600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20 400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34 100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47 600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60 900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73 900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245 700</w:t>
            </w:r>
          </w:p>
        </w:tc>
      </w:tr>
      <w:tr w:rsidR="00693C3A" w:rsidRPr="00693C3A" w:rsidTr="00BD3F2D">
        <w:trPr>
          <w:trHeight w:val="227"/>
          <w:jc w:val="center"/>
        </w:trPr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Odhad investice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257998">
            <w:pPr>
              <w:spacing w:before="0" w:after="0" w:line="240" w:lineRule="auto"/>
              <w:ind w:left="-67" w:right="-72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mld. Kč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DD6B41" w:rsidRPr="00693C3A" w:rsidRDefault="00DD6B41" w:rsidP="00693C3A">
            <w:pPr>
              <w:spacing w:before="0" w:after="0" w:line="240" w:lineRule="auto"/>
              <w:ind w:right="2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5,8</w:t>
            </w:r>
          </w:p>
        </w:tc>
      </w:tr>
    </w:tbl>
    <w:p w:rsidR="00DD6B41" w:rsidRPr="00396C71" w:rsidRDefault="00DD6B41" w:rsidP="00257998">
      <w:pPr>
        <w:spacing w:before="40" w:after="0" w:line="240" w:lineRule="auto"/>
        <w:rPr>
          <w:rFonts w:cstheme="minorHAnsi"/>
          <w:sz w:val="20"/>
        </w:rPr>
      </w:pPr>
      <w:r w:rsidRPr="00396C71">
        <w:rPr>
          <w:rFonts w:cstheme="minorHAnsi"/>
          <w:b/>
          <w:sz w:val="20"/>
        </w:rPr>
        <w:t>Zdroj:</w:t>
      </w:r>
      <w:r w:rsidRPr="00396C71">
        <w:rPr>
          <w:rFonts w:cstheme="minorHAnsi"/>
          <w:sz w:val="20"/>
        </w:rPr>
        <w:t xml:space="preserve"> materiál vlády čj. 277/15</w:t>
      </w:r>
      <w:r w:rsidR="00356755" w:rsidRPr="00396C71">
        <w:rPr>
          <w:rFonts w:cstheme="minorHAnsi"/>
          <w:sz w:val="20"/>
        </w:rPr>
        <w:t>.</w:t>
      </w:r>
    </w:p>
    <w:p w:rsidR="00257998" w:rsidRDefault="00257998" w:rsidP="00CB795C">
      <w:pPr>
        <w:spacing w:before="0" w:after="0" w:line="264" w:lineRule="auto"/>
        <w:rPr>
          <w:rFonts w:cstheme="minorHAnsi"/>
        </w:rPr>
      </w:pPr>
    </w:p>
    <w:p w:rsidR="00B40479" w:rsidRDefault="00DD6B41" w:rsidP="00CB795C">
      <w:pPr>
        <w:spacing w:before="0" w:after="0" w:line="264" w:lineRule="auto"/>
        <w:rPr>
          <w:rFonts w:cstheme="minorHAnsi"/>
        </w:rPr>
      </w:pPr>
      <w:r w:rsidRPr="00DA124A">
        <w:rPr>
          <w:rFonts w:cstheme="minorHAnsi"/>
        </w:rPr>
        <w:t>Údaje uvedené v materiálu čj. 277/15 za roky 2014 a 20</w:t>
      </w:r>
      <w:r w:rsidR="00666D68" w:rsidRPr="00DA124A">
        <w:rPr>
          <w:rFonts w:cstheme="minorHAnsi"/>
        </w:rPr>
        <w:t xml:space="preserve">15 jsou hrubým odhadem. </w:t>
      </w:r>
      <w:r w:rsidR="00FB5ADC">
        <w:rPr>
          <w:rFonts w:cstheme="minorHAnsi"/>
        </w:rPr>
        <w:t>V dokumentu</w:t>
      </w:r>
      <w:r w:rsidR="00666D68" w:rsidRPr="00DA124A">
        <w:rPr>
          <w:rFonts w:cstheme="minorHAnsi"/>
        </w:rPr>
        <w:t xml:space="preserve"> </w:t>
      </w:r>
      <w:r w:rsidR="00257998">
        <w:rPr>
          <w:rFonts w:cstheme="minorHAnsi"/>
          <w:i/>
        </w:rPr>
        <w:t>3. </w:t>
      </w:r>
      <w:r w:rsidR="00666D68" w:rsidRPr="00BF46E3">
        <w:rPr>
          <w:rFonts w:cstheme="minorHAnsi"/>
          <w:i/>
        </w:rPr>
        <w:t>z</w:t>
      </w:r>
      <w:r w:rsidRPr="00BF46E3">
        <w:rPr>
          <w:rFonts w:cstheme="minorHAnsi"/>
          <w:i/>
        </w:rPr>
        <w:t>práv</w:t>
      </w:r>
      <w:r w:rsidR="00FB5ADC">
        <w:rPr>
          <w:rFonts w:cstheme="minorHAnsi"/>
          <w:i/>
        </w:rPr>
        <w:t>a</w:t>
      </w:r>
      <w:r w:rsidRPr="00BF46E3">
        <w:rPr>
          <w:rFonts w:cstheme="minorHAnsi"/>
          <w:i/>
        </w:rPr>
        <w:t xml:space="preserve"> o pokroku</w:t>
      </w:r>
      <w:r w:rsidR="00C9561D" w:rsidRPr="00BF46E3">
        <w:rPr>
          <w:rFonts w:cstheme="minorHAnsi"/>
          <w:i/>
        </w:rPr>
        <w:t xml:space="preserve"> v oblasti plnění vnitrostátní</w:t>
      </w:r>
      <w:r w:rsidR="00E15F1A">
        <w:rPr>
          <w:rFonts w:cstheme="minorHAnsi"/>
          <w:i/>
        </w:rPr>
        <w:t>ch cílů energetické účinnosti v </w:t>
      </w:r>
      <w:r w:rsidR="00C9561D" w:rsidRPr="00BF46E3">
        <w:rPr>
          <w:rFonts w:cstheme="minorHAnsi"/>
          <w:i/>
        </w:rPr>
        <w:t>České republice</w:t>
      </w:r>
      <w:r w:rsidRPr="00DA124A">
        <w:rPr>
          <w:rFonts w:cstheme="minorHAnsi"/>
        </w:rPr>
        <w:t>, kter</w:t>
      </w:r>
      <w:r w:rsidR="00FB5ADC">
        <w:rPr>
          <w:rFonts w:cstheme="minorHAnsi"/>
        </w:rPr>
        <w:t>ý</w:t>
      </w:r>
      <w:r w:rsidRPr="00DA124A">
        <w:rPr>
          <w:rFonts w:cstheme="minorHAnsi"/>
        </w:rPr>
        <w:t xml:space="preserve"> MPO podalo E</w:t>
      </w:r>
      <w:r w:rsidR="00F50A1D">
        <w:rPr>
          <w:rFonts w:cstheme="minorHAnsi"/>
        </w:rPr>
        <w:t xml:space="preserve">vropské </w:t>
      </w:r>
      <w:r w:rsidR="00BD3F2D">
        <w:rPr>
          <w:rFonts w:cstheme="minorHAnsi"/>
        </w:rPr>
        <w:t>k</w:t>
      </w:r>
      <w:r w:rsidR="00F50A1D">
        <w:rPr>
          <w:rFonts w:cstheme="minorHAnsi"/>
        </w:rPr>
        <w:t>omisi (dále také „EK</w:t>
      </w:r>
      <w:r w:rsidR="00F50A1D" w:rsidRPr="00E07353">
        <w:rPr>
          <w:rFonts w:cstheme="minorHAnsi"/>
        </w:rPr>
        <w:t>“)</w:t>
      </w:r>
      <w:r w:rsidR="00E15F1A">
        <w:rPr>
          <w:rFonts w:cstheme="minorHAnsi"/>
        </w:rPr>
        <w:t xml:space="preserve"> v termínu do 30. 4. </w:t>
      </w:r>
      <w:r w:rsidRPr="00E07353">
        <w:rPr>
          <w:rFonts w:cstheme="minorHAnsi"/>
        </w:rPr>
        <w:t>2015</w:t>
      </w:r>
      <w:r w:rsidRPr="00DA124A">
        <w:rPr>
          <w:rFonts w:cstheme="minorHAnsi"/>
        </w:rPr>
        <w:t xml:space="preserve">, je pak uvedeno, že v rámci plnění čl. 5 směrnice </w:t>
      </w:r>
      <w:r w:rsidR="00FB5ADC">
        <w:rPr>
          <w:rFonts w:cstheme="minorHAnsi"/>
        </w:rPr>
        <w:t>EED byly</w:t>
      </w:r>
      <w:r w:rsidRPr="00DA124A">
        <w:rPr>
          <w:rFonts w:cstheme="minorHAnsi"/>
        </w:rPr>
        <w:t xml:space="preserve"> opatření</w:t>
      </w:r>
      <w:r w:rsidR="00FB5ADC">
        <w:rPr>
          <w:rFonts w:cstheme="minorHAnsi"/>
        </w:rPr>
        <w:t>mi</w:t>
      </w:r>
      <w:r w:rsidRPr="00DA124A">
        <w:rPr>
          <w:rFonts w:cstheme="minorHAnsi"/>
        </w:rPr>
        <w:t xml:space="preserve"> realizovan</w:t>
      </w:r>
      <w:r w:rsidR="00FB5ADC">
        <w:rPr>
          <w:rFonts w:cstheme="minorHAnsi"/>
        </w:rPr>
        <w:t>ými</w:t>
      </w:r>
      <w:r w:rsidRPr="00DA124A">
        <w:rPr>
          <w:rFonts w:cstheme="minorHAnsi"/>
        </w:rPr>
        <w:t xml:space="preserve"> na budovách ústředních vládních institucí v roce 2014 </w:t>
      </w:r>
      <w:r w:rsidR="00FB5ADC">
        <w:rPr>
          <w:rFonts w:cstheme="minorHAnsi"/>
        </w:rPr>
        <w:t xml:space="preserve">generovány </w:t>
      </w:r>
      <w:r w:rsidRPr="00DA124A">
        <w:rPr>
          <w:rFonts w:cstheme="minorHAnsi"/>
        </w:rPr>
        <w:t>úspory energie ve výši 7</w:t>
      </w:r>
      <w:r w:rsidR="00E75B8B">
        <w:rPr>
          <w:rFonts w:cstheme="minorHAnsi"/>
        </w:rPr>
        <w:t xml:space="preserve">, </w:t>
      </w:r>
      <w:r w:rsidRPr="00DA124A">
        <w:rPr>
          <w:rFonts w:cstheme="minorHAnsi"/>
        </w:rPr>
        <w:t xml:space="preserve">243 </w:t>
      </w:r>
      <w:r w:rsidR="00E75B8B">
        <w:rPr>
          <w:rFonts w:cstheme="minorHAnsi"/>
        </w:rPr>
        <w:t>T</w:t>
      </w:r>
      <w:r w:rsidRPr="00DA124A">
        <w:rPr>
          <w:rFonts w:cstheme="minorHAnsi"/>
        </w:rPr>
        <w:t>J (2</w:t>
      </w:r>
      <w:r w:rsidR="00693C3A">
        <w:rPr>
          <w:rFonts w:cstheme="minorHAnsi"/>
        </w:rPr>
        <w:t> 012 </w:t>
      </w:r>
      <w:r w:rsidRPr="00DA124A">
        <w:rPr>
          <w:rFonts w:cstheme="minorHAnsi"/>
        </w:rPr>
        <w:t>MWh)</w:t>
      </w:r>
      <w:r w:rsidR="002F4FE7" w:rsidRPr="00DA124A">
        <w:rPr>
          <w:rFonts w:cstheme="minorHAnsi"/>
          <w:vertAlign w:val="superscript"/>
        </w:rPr>
        <w:t>7</w:t>
      </w:r>
      <w:r w:rsidRPr="00DA124A">
        <w:rPr>
          <w:rFonts w:cstheme="minorHAnsi"/>
        </w:rPr>
        <w:t xml:space="preserve">. Údaje pro rok 2015 vycházejí z investičních plánů jednotlivých institucí. </w:t>
      </w:r>
    </w:p>
    <w:p w:rsidR="00257998" w:rsidRPr="00DA124A" w:rsidRDefault="00257998" w:rsidP="00CB795C">
      <w:pPr>
        <w:spacing w:before="0" w:after="0" w:line="264" w:lineRule="auto"/>
        <w:rPr>
          <w:rFonts w:cstheme="minorHAnsi"/>
        </w:rPr>
      </w:pPr>
    </w:p>
    <w:p w:rsidR="00257998" w:rsidRDefault="00DD6B41" w:rsidP="00C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  <w:rPr>
          <w:rFonts w:cstheme="minorHAnsi"/>
        </w:rPr>
      </w:pPr>
      <w:r w:rsidRPr="00DA124A">
        <w:rPr>
          <w:rFonts w:cstheme="minorHAnsi"/>
        </w:rPr>
        <w:t xml:space="preserve">Pro dosažení cílů podle tabulky č. </w:t>
      </w:r>
      <w:r w:rsidR="00AA3E46" w:rsidRPr="00DA124A">
        <w:rPr>
          <w:rFonts w:cstheme="minorHAnsi"/>
        </w:rPr>
        <w:t>1</w:t>
      </w:r>
      <w:r w:rsidRPr="00DA124A">
        <w:rPr>
          <w:rFonts w:cstheme="minorHAnsi"/>
        </w:rPr>
        <w:t xml:space="preserve"> bude nutné v příštích letech zvýšit tempo realizace investičních opatření do předmětnéh</w:t>
      </w:r>
      <w:r w:rsidR="00F3471D" w:rsidRPr="00DA124A">
        <w:rPr>
          <w:rFonts w:cstheme="minorHAnsi"/>
        </w:rPr>
        <w:t>o souboru objektů</w:t>
      </w:r>
      <w:r w:rsidR="00504289">
        <w:rPr>
          <w:rFonts w:cstheme="minorHAnsi"/>
        </w:rPr>
        <w:t xml:space="preserve"> ústředních vládních institucí</w:t>
      </w:r>
      <w:r w:rsidR="00F3471D" w:rsidRPr="00DA124A">
        <w:rPr>
          <w:rFonts w:cstheme="minorHAnsi"/>
        </w:rPr>
        <w:t>. Přetrvává</w:t>
      </w:r>
      <w:r w:rsidRPr="00DA124A">
        <w:rPr>
          <w:rFonts w:cstheme="minorHAnsi"/>
        </w:rPr>
        <w:t xml:space="preserve"> riziko nezajištěného financování projektů</w:t>
      </w:r>
      <w:r w:rsidR="00FB5ADC">
        <w:rPr>
          <w:rFonts w:cstheme="minorHAnsi"/>
        </w:rPr>
        <w:t>, na něž bude</w:t>
      </w:r>
      <w:r w:rsidRPr="00DA124A">
        <w:rPr>
          <w:rFonts w:cstheme="minorHAnsi"/>
        </w:rPr>
        <w:t xml:space="preserve"> podle materiálu MPO </w:t>
      </w:r>
      <w:r w:rsidR="00FB5ADC">
        <w:rPr>
          <w:rFonts w:cstheme="minorHAnsi"/>
        </w:rPr>
        <w:t xml:space="preserve">nutné </w:t>
      </w:r>
      <w:r w:rsidR="00FB5ADC" w:rsidRPr="00DA124A">
        <w:rPr>
          <w:rFonts w:cstheme="minorHAnsi"/>
        </w:rPr>
        <w:t>do roku 2020</w:t>
      </w:r>
      <w:r w:rsidR="00FB5ADC">
        <w:rPr>
          <w:rFonts w:cstheme="minorHAnsi"/>
        </w:rPr>
        <w:t xml:space="preserve"> vynaložit prostředky </w:t>
      </w:r>
      <w:r w:rsidRPr="00DA124A">
        <w:rPr>
          <w:rFonts w:cstheme="minorHAnsi"/>
        </w:rPr>
        <w:t>ve výši cca 5,8 mld. Kč</w:t>
      </w:r>
      <w:r w:rsidR="00F3471D" w:rsidRPr="00DA124A">
        <w:rPr>
          <w:rFonts w:cstheme="minorHAnsi"/>
        </w:rPr>
        <w:t>.</w:t>
      </w:r>
      <w:r w:rsidRPr="00DA124A">
        <w:rPr>
          <w:rFonts w:cstheme="minorHAnsi"/>
        </w:rPr>
        <w:t xml:space="preserve"> </w:t>
      </w:r>
    </w:p>
    <w:p w:rsidR="00BD3F2D" w:rsidRPr="00DA124A" w:rsidRDefault="00BD3F2D" w:rsidP="00C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  <w:rPr>
          <w:rFonts w:cstheme="minorHAnsi"/>
        </w:rPr>
      </w:pPr>
    </w:p>
    <w:p w:rsidR="00DD6B41" w:rsidRPr="00AA3E46" w:rsidRDefault="004D445A" w:rsidP="00C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  <w:rPr>
          <w:rFonts w:cstheme="minorHAnsi"/>
        </w:rPr>
      </w:pPr>
      <w:r w:rsidRPr="00DA124A">
        <w:rPr>
          <w:rFonts w:cstheme="minorHAnsi"/>
        </w:rPr>
        <w:t>N</w:t>
      </w:r>
      <w:r w:rsidR="00DD6B41" w:rsidRPr="00DA124A">
        <w:rPr>
          <w:rFonts w:cstheme="minorHAnsi"/>
        </w:rPr>
        <w:t>ení zřejmé, zda se podaří naplnit cíl</w:t>
      </w:r>
      <w:r w:rsidR="00A321BF">
        <w:rPr>
          <w:rFonts w:cstheme="minorHAnsi"/>
        </w:rPr>
        <w:t>e</w:t>
      </w:r>
      <w:r w:rsidR="00DD6B41" w:rsidRPr="00DA124A">
        <w:rPr>
          <w:rFonts w:cstheme="minorHAnsi"/>
        </w:rPr>
        <w:t xml:space="preserve"> podle tabulky č. </w:t>
      </w:r>
      <w:r w:rsidR="00AA3E46" w:rsidRPr="00DA124A">
        <w:rPr>
          <w:rFonts w:cstheme="minorHAnsi"/>
        </w:rPr>
        <w:t>1</w:t>
      </w:r>
      <w:r w:rsidR="00DD6B41" w:rsidRPr="00DA124A">
        <w:rPr>
          <w:rFonts w:cstheme="minorHAnsi"/>
        </w:rPr>
        <w:t xml:space="preserve">. Plánované skokové zvýšení hodnot pro rok 2016 představuje více než trojnásobné navýšení nezbytných úspor oproti roku 2015, </w:t>
      </w:r>
      <w:r w:rsidR="00DD6B41" w:rsidRPr="00DA124A">
        <w:rPr>
          <w:rFonts w:cstheme="minorHAnsi"/>
        </w:rPr>
        <w:lastRenderedPageBreak/>
        <w:t xml:space="preserve">přičemž údaj za rok 2015 je hrubým odhadem. Skutečnost roku 2014 je o více než polovinu nižší než odhad za rok 2015. Reálnost dosažení takto vysokých úspor je problematická a bude záviset i na vyřešení rizika </w:t>
      </w:r>
      <w:r w:rsidR="00FB5ADC">
        <w:rPr>
          <w:rFonts w:cstheme="minorHAnsi"/>
        </w:rPr>
        <w:t>nedostatku zdrojů</w:t>
      </w:r>
      <w:r w:rsidR="00DD6B41" w:rsidRPr="00DA124A">
        <w:rPr>
          <w:rFonts w:cstheme="minorHAnsi"/>
        </w:rPr>
        <w:t xml:space="preserve"> investic. Pro rok 2016 by tyto investi</w:t>
      </w:r>
      <w:r w:rsidR="00B347B8">
        <w:rPr>
          <w:rFonts w:cstheme="minorHAnsi"/>
        </w:rPr>
        <w:t>ční prostředky</w:t>
      </w:r>
      <w:r w:rsidR="00DD6B41" w:rsidRPr="00DA124A">
        <w:rPr>
          <w:rFonts w:cstheme="minorHAnsi"/>
        </w:rPr>
        <w:t xml:space="preserve"> představovaly částku cca 1 mld. Kč.</w:t>
      </w:r>
      <w:r w:rsidR="00DD6B41" w:rsidRPr="00AA3E46">
        <w:rPr>
          <w:rFonts w:cstheme="minorHAnsi"/>
        </w:rPr>
        <w:t xml:space="preserve"> </w:t>
      </w:r>
    </w:p>
    <w:p w:rsidR="00257998" w:rsidRDefault="00257998" w:rsidP="00CB795C">
      <w:pPr>
        <w:spacing w:before="0" w:after="0" w:line="264" w:lineRule="auto"/>
        <w:rPr>
          <w:rFonts w:cstheme="minorHAnsi"/>
        </w:rPr>
      </w:pPr>
    </w:p>
    <w:p w:rsidR="00F92ABE" w:rsidRDefault="00F92ABE" w:rsidP="00CB795C">
      <w:pPr>
        <w:spacing w:before="0" w:after="0" w:line="264" w:lineRule="auto"/>
        <w:rPr>
          <w:rFonts w:cstheme="minorHAnsi"/>
        </w:rPr>
      </w:pPr>
      <w:r>
        <w:rPr>
          <w:rFonts w:cstheme="minorHAnsi"/>
        </w:rPr>
        <w:t>V</w:t>
      </w:r>
      <w:r w:rsidRPr="00B40479">
        <w:rPr>
          <w:rFonts w:cstheme="minorHAnsi"/>
        </w:rPr>
        <w:t xml:space="preserve">láda </w:t>
      </w:r>
      <w:r>
        <w:rPr>
          <w:rFonts w:cstheme="minorHAnsi"/>
        </w:rPr>
        <w:t xml:space="preserve">ČR </w:t>
      </w:r>
      <w:r w:rsidRPr="00B40479">
        <w:rPr>
          <w:rFonts w:cstheme="minorHAnsi"/>
        </w:rPr>
        <w:t>uložila ministru průmyslu a obchodu zprac</w:t>
      </w:r>
      <w:r>
        <w:rPr>
          <w:rFonts w:cstheme="minorHAnsi"/>
        </w:rPr>
        <w:t xml:space="preserve">ovat plán rekonstrukce objektů </w:t>
      </w:r>
      <w:r w:rsidR="00601809">
        <w:rPr>
          <w:rFonts w:cstheme="minorHAnsi"/>
        </w:rPr>
        <w:t>pro rok </w:t>
      </w:r>
      <w:r w:rsidRPr="00B40479">
        <w:rPr>
          <w:rFonts w:cstheme="minorHAnsi"/>
        </w:rPr>
        <w:t>2016 s výhledem do roku 2020 a předložit jej vládě do 30. 6. 2015. Tento plán však v termínu nebyl ze strany MPO předložen.</w:t>
      </w:r>
    </w:p>
    <w:p w:rsidR="00257998" w:rsidRPr="00B40479" w:rsidRDefault="00257998" w:rsidP="00CB795C">
      <w:pPr>
        <w:spacing w:before="0" w:after="0" w:line="264" w:lineRule="auto"/>
        <w:rPr>
          <w:rFonts w:cstheme="minorHAnsi"/>
        </w:rPr>
      </w:pPr>
    </w:p>
    <w:p w:rsidR="00F0002F" w:rsidRDefault="00F0002F" w:rsidP="00CB795C">
      <w:pPr>
        <w:spacing w:before="0" w:after="0" w:line="264" w:lineRule="auto"/>
        <w:rPr>
          <w:rFonts w:cstheme="minorHAnsi"/>
          <w:b/>
        </w:rPr>
      </w:pPr>
      <w:r>
        <w:rPr>
          <w:rFonts w:cstheme="minorHAnsi"/>
          <w:b/>
        </w:rPr>
        <w:t>Ministerstvo životního prostředí</w:t>
      </w:r>
    </w:p>
    <w:p w:rsidR="00257998" w:rsidRDefault="00257998" w:rsidP="00CB795C">
      <w:pPr>
        <w:spacing w:before="0" w:after="0" w:line="264" w:lineRule="auto"/>
      </w:pPr>
    </w:p>
    <w:p w:rsidR="00F0002F" w:rsidRDefault="00F0002F" w:rsidP="00CB795C">
      <w:pPr>
        <w:spacing w:before="0" w:after="0" w:line="264" w:lineRule="auto"/>
      </w:pPr>
      <w:r w:rsidRPr="00005813">
        <w:t>Zák</w:t>
      </w:r>
      <w:r w:rsidR="003D7EED">
        <w:t>ladním koncepčním materiálem res</w:t>
      </w:r>
      <w:r w:rsidRPr="00005813">
        <w:t>ortu Ministerstva životního prostředí byla v</w:t>
      </w:r>
      <w:r>
        <w:t> </w:t>
      </w:r>
      <w:r w:rsidRPr="00005813">
        <w:t xml:space="preserve">kontrolovaném období aktualizovaná </w:t>
      </w:r>
      <w:r w:rsidRPr="00BF46E3">
        <w:rPr>
          <w:i/>
        </w:rPr>
        <w:t>Státní politika životního prostře</w:t>
      </w:r>
      <w:r w:rsidR="001E50C8">
        <w:rPr>
          <w:i/>
        </w:rPr>
        <w:t>dí České republiky na léta 2012–</w:t>
      </w:r>
      <w:r w:rsidRPr="00BF46E3">
        <w:rPr>
          <w:i/>
        </w:rPr>
        <w:t>2020</w:t>
      </w:r>
      <w:r w:rsidRPr="00005813">
        <w:t>. Obsahuje</w:t>
      </w:r>
      <w:r>
        <w:t xml:space="preserve"> </w:t>
      </w:r>
      <w:r w:rsidRPr="00005813">
        <w:t>části zaměřené na úspory energie</w:t>
      </w:r>
      <w:r>
        <w:t xml:space="preserve">, sledován bude </w:t>
      </w:r>
      <w:r w:rsidRPr="00005813">
        <w:t xml:space="preserve">indikátor </w:t>
      </w:r>
      <w:r w:rsidRPr="00396C71">
        <w:t>„</w:t>
      </w:r>
      <w:r w:rsidR="00BD3F2D">
        <w:rPr>
          <w:i/>
        </w:rPr>
        <w:t>v</w:t>
      </w:r>
      <w:r w:rsidRPr="00BF46E3">
        <w:rPr>
          <w:i/>
        </w:rPr>
        <w:t>ývoj energetické účinnosti</w:t>
      </w:r>
      <w:r w:rsidRPr="00396C71">
        <w:t>“</w:t>
      </w:r>
      <w:r w:rsidRPr="00005813">
        <w:t xml:space="preserve"> </w:t>
      </w:r>
      <w:r>
        <w:t>jako</w:t>
      </w:r>
      <w:r w:rsidRPr="00005813">
        <w:t xml:space="preserve"> </w:t>
      </w:r>
      <w:r w:rsidR="00E4466B">
        <w:t xml:space="preserve">vývoj </w:t>
      </w:r>
      <w:r w:rsidRPr="00005813">
        <w:t>podíl</w:t>
      </w:r>
      <w:r w:rsidR="00E4466B">
        <w:t>u</w:t>
      </w:r>
      <w:r w:rsidRPr="00005813">
        <w:t xml:space="preserve"> </w:t>
      </w:r>
      <w:r w:rsidR="00E4466B">
        <w:t xml:space="preserve">výše </w:t>
      </w:r>
      <w:r w:rsidRPr="00005813">
        <w:t xml:space="preserve">HDP na spotřebě primárních energetických zdrojů. Indikátory </w:t>
      </w:r>
      <w:r w:rsidRPr="00396C71">
        <w:rPr>
          <w:i/>
        </w:rPr>
        <w:t>Státní politiky životního prostředí</w:t>
      </w:r>
      <w:r w:rsidR="00A4095B" w:rsidRPr="00A4095B">
        <w:rPr>
          <w:i/>
        </w:rPr>
        <w:t xml:space="preserve"> </w:t>
      </w:r>
      <w:r w:rsidR="00A4095B">
        <w:rPr>
          <w:i/>
        </w:rPr>
        <w:t>České republiky na léta 2012–</w:t>
      </w:r>
      <w:r w:rsidR="00A4095B" w:rsidRPr="00BF46E3">
        <w:rPr>
          <w:i/>
        </w:rPr>
        <w:t>2020</w:t>
      </w:r>
      <w:r w:rsidRPr="00005813">
        <w:t xml:space="preserve"> nemají konkrétní cílové hodnoty, s prvním vyhodnocením jejich vývoje se počítá v roce 2015. </w:t>
      </w:r>
      <w:r w:rsidRPr="00C546D0">
        <w:t>Státní politika životního prostředí v</w:t>
      </w:r>
      <w:r w:rsidR="003D7EED" w:rsidRPr="00C546D0">
        <w:t> </w:t>
      </w:r>
      <w:r w:rsidRPr="00C546D0">
        <w:t>gesci</w:t>
      </w:r>
      <w:r w:rsidR="003D7EED" w:rsidRPr="00C546D0">
        <w:t xml:space="preserve"> </w:t>
      </w:r>
      <w:r w:rsidRPr="00C546D0">
        <w:t>MŽP je v</w:t>
      </w:r>
      <w:r w:rsidR="00C546D0">
        <w:t xml:space="preserve"> oblasti</w:t>
      </w:r>
      <w:r w:rsidRPr="00C546D0">
        <w:t xml:space="preserve"> energetické účinnosti v souladu s vládou schválenými dokumenty</w:t>
      </w:r>
      <w:r w:rsidR="00C546D0">
        <w:t>, jež jsou</w:t>
      </w:r>
      <w:r w:rsidRPr="00C546D0">
        <w:t xml:space="preserve"> v kompetenci MPO</w:t>
      </w:r>
      <w:r w:rsidR="00C546D0">
        <w:t>.</w:t>
      </w:r>
    </w:p>
    <w:p w:rsidR="00257998" w:rsidRPr="009A729B" w:rsidRDefault="00257998" w:rsidP="00CB795C">
      <w:pPr>
        <w:spacing w:before="0" w:after="0" w:line="264" w:lineRule="auto"/>
        <w:rPr>
          <w:color w:val="000000" w:themeColor="text1"/>
        </w:rPr>
      </w:pPr>
    </w:p>
    <w:p w:rsidR="00F0002F" w:rsidRDefault="00A155B4" w:rsidP="00CB795C">
      <w:pPr>
        <w:spacing w:before="0" w:after="0" w:line="264" w:lineRule="auto"/>
      </w:pPr>
      <w:r>
        <w:t>MŽP k</w:t>
      </w:r>
      <w:r w:rsidR="00F0002F" w:rsidRPr="00562A79">
        <w:t>aždoročně</w:t>
      </w:r>
      <w:r w:rsidR="00F0002F">
        <w:t xml:space="preserve"> </w:t>
      </w:r>
      <w:r w:rsidR="00F0002F" w:rsidRPr="00562A79">
        <w:t xml:space="preserve">zpracovává </w:t>
      </w:r>
      <w:r w:rsidR="00BD3F2D">
        <w:t>z</w:t>
      </w:r>
      <w:r w:rsidR="00F0002F" w:rsidRPr="00562A79">
        <w:t>právy o životním prostředí České republiky. Schv</w:t>
      </w:r>
      <w:r w:rsidR="00F0002F">
        <w:t xml:space="preserve">aluje je </w:t>
      </w:r>
      <w:r w:rsidR="00F0002F" w:rsidRPr="00562A79">
        <w:t>vlád</w:t>
      </w:r>
      <w:r w:rsidR="00F0002F">
        <w:t>a</w:t>
      </w:r>
      <w:r w:rsidR="00F0002F" w:rsidRPr="00562A79">
        <w:t xml:space="preserve"> ČR a následně </w:t>
      </w:r>
      <w:r w:rsidR="00F0002F">
        <w:t>jsou</w:t>
      </w:r>
      <w:r w:rsidR="00F0002F" w:rsidRPr="00562A79">
        <w:t xml:space="preserve"> </w:t>
      </w:r>
      <w:r w:rsidR="00F0002F">
        <w:t>zas</w:t>
      </w:r>
      <w:r w:rsidR="00A4095B">
        <w:t>í</w:t>
      </w:r>
      <w:r w:rsidR="00F0002F">
        <w:t>l</w:t>
      </w:r>
      <w:r w:rsidR="00F0002F" w:rsidRPr="00562A79">
        <w:t>án</w:t>
      </w:r>
      <w:r w:rsidR="00F0002F">
        <w:t>y</w:t>
      </w:r>
      <w:r w:rsidR="00F0002F" w:rsidRPr="00562A79">
        <w:t xml:space="preserve"> Poslaneck</w:t>
      </w:r>
      <w:r w:rsidR="00F0002F">
        <w:t>é</w:t>
      </w:r>
      <w:r w:rsidR="00F0002F" w:rsidRPr="00562A79">
        <w:t xml:space="preserve"> sněmovn</w:t>
      </w:r>
      <w:r w:rsidR="00F0002F">
        <w:t xml:space="preserve">ě </w:t>
      </w:r>
      <w:r w:rsidR="00F0002F" w:rsidRPr="00562A79">
        <w:t>a Senát</w:t>
      </w:r>
      <w:r w:rsidR="00F0002F">
        <w:t>u</w:t>
      </w:r>
      <w:r w:rsidR="00F0002F" w:rsidRPr="00562A79">
        <w:t xml:space="preserve"> Parlamentu ČR.</w:t>
      </w:r>
      <w:r w:rsidR="00F0002F" w:rsidRPr="008573EC">
        <w:t xml:space="preserve"> </w:t>
      </w:r>
      <w:r w:rsidR="00F0002F">
        <w:t>Z</w:t>
      </w:r>
      <w:r w:rsidR="00F0002F" w:rsidRPr="00562A79">
        <w:t xml:space="preserve">právy </w:t>
      </w:r>
      <w:r w:rsidR="00F0002F">
        <w:t>za roky 2012 a 2013</w:t>
      </w:r>
      <w:r w:rsidR="00F0002F" w:rsidRPr="00562A79">
        <w:t xml:space="preserve"> velmi podrobně a z různých pohledů rozebírají vývoj energetické </w:t>
      </w:r>
      <w:r w:rsidR="00F0002F">
        <w:t>účin</w:t>
      </w:r>
      <w:r w:rsidR="00F0002F" w:rsidRPr="00562A79">
        <w:t>nosti ČR v časových řadách od roku 2000. Vyhodnocují energetickou náročnost v závislosti na HDP, podle hlavních odvětví spotřeby (průmysl, doprava, domácnosti), srovnávají spotřebu energie na jednoho obyvatele s jinými státy ap</w:t>
      </w:r>
      <w:r w:rsidR="00601809">
        <w:t>od</w:t>
      </w:r>
      <w:r w:rsidR="00F0002F" w:rsidRPr="00562A79">
        <w:t xml:space="preserve">. Hodnotí výrobu energie podle </w:t>
      </w:r>
      <w:r w:rsidR="00BF46E3">
        <w:t xml:space="preserve">druhů </w:t>
      </w:r>
      <w:r w:rsidR="00F0002F" w:rsidRPr="00562A79">
        <w:t>paliv a</w:t>
      </w:r>
      <w:r w:rsidR="00F0002F">
        <w:t> </w:t>
      </w:r>
      <w:r w:rsidR="00F0002F" w:rsidRPr="00562A79">
        <w:t xml:space="preserve">poukazují na dopady produkce energie na lidské zdraví a ekosystémy. V jednotlivých částech jsou konkrétně uvedeny vazby na celostátně platné dokumenty, v tomto případě zejména </w:t>
      </w:r>
      <w:r w:rsidR="00325AEC">
        <w:t xml:space="preserve">na </w:t>
      </w:r>
      <w:r w:rsidR="00A4095B">
        <w:t>s</w:t>
      </w:r>
      <w:r w:rsidR="00F0002F" w:rsidRPr="00A4095B">
        <w:t>tátní energetick</w:t>
      </w:r>
      <w:r w:rsidR="00A4095B">
        <w:t>é</w:t>
      </w:r>
      <w:r w:rsidR="00F0002F" w:rsidRPr="00A4095B">
        <w:t xml:space="preserve"> koncepc</w:t>
      </w:r>
      <w:r w:rsidR="00A4095B">
        <w:t>e</w:t>
      </w:r>
      <w:r w:rsidR="00F0002F">
        <w:t xml:space="preserve"> </w:t>
      </w:r>
      <w:r w:rsidR="00F0002F" w:rsidRPr="00562A79">
        <w:t xml:space="preserve">a </w:t>
      </w:r>
      <w:r w:rsidR="00F0002F" w:rsidRPr="00396C71">
        <w:rPr>
          <w:i/>
        </w:rPr>
        <w:t>Národní akční plán energetické účinnosti</w:t>
      </w:r>
      <w:r w:rsidR="00325AEC" w:rsidRPr="00396C71">
        <w:rPr>
          <w:i/>
        </w:rPr>
        <w:t xml:space="preserve"> ČR</w:t>
      </w:r>
      <w:r w:rsidR="00F0002F" w:rsidRPr="00562A79">
        <w:t xml:space="preserve">. </w:t>
      </w:r>
      <w:r w:rsidR="00F0002F" w:rsidRPr="00AA3E46">
        <w:t>MŽP v každoročně zpracovávan</w:t>
      </w:r>
      <w:r w:rsidR="00A4095B">
        <w:t>ých</w:t>
      </w:r>
      <w:r w:rsidR="00F0002F" w:rsidRPr="00AA3E46">
        <w:t xml:space="preserve"> </w:t>
      </w:r>
      <w:r w:rsidR="00BD3F2D">
        <w:t>z</w:t>
      </w:r>
      <w:r w:rsidR="00F0002F" w:rsidRPr="00AA3E46">
        <w:t>práv</w:t>
      </w:r>
      <w:r w:rsidR="00A4095B">
        <w:t>ách</w:t>
      </w:r>
      <w:r w:rsidR="00F0002F" w:rsidRPr="00AA3E46">
        <w:t xml:space="preserve"> o životním prostředí ČR detailně vyhodnocuje ukazatele zaměřené na energetickou účinnost.</w:t>
      </w:r>
    </w:p>
    <w:p w:rsidR="00257998" w:rsidRPr="00AA3E46" w:rsidRDefault="00257998" w:rsidP="00CB795C">
      <w:pPr>
        <w:spacing w:before="0" w:after="0" w:line="264" w:lineRule="auto"/>
      </w:pPr>
    </w:p>
    <w:p w:rsidR="00F0002F" w:rsidRDefault="00F0002F" w:rsidP="00CB795C">
      <w:pPr>
        <w:spacing w:before="0" w:after="0" w:line="264" w:lineRule="auto"/>
        <w:rPr>
          <w:rFonts w:cstheme="minorHAnsi"/>
          <w:b/>
        </w:rPr>
      </w:pPr>
      <w:r>
        <w:rPr>
          <w:rFonts w:cstheme="minorHAnsi"/>
          <w:b/>
        </w:rPr>
        <w:t>Ministerstvo pro místní rozvoj</w:t>
      </w:r>
    </w:p>
    <w:p w:rsidR="00257998" w:rsidRDefault="00257998" w:rsidP="00CB795C">
      <w:pPr>
        <w:spacing w:before="0" w:after="0" w:line="264" w:lineRule="auto"/>
        <w:rPr>
          <w:rFonts w:cstheme="minorHAnsi"/>
          <w:bCs/>
          <w:color w:val="000000"/>
          <w:szCs w:val="24"/>
        </w:rPr>
      </w:pPr>
    </w:p>
    <w:p w:rsidR="00F0002F" w:rsidRDefault="00F0002F" w:rsidP="00CB795C">
      <w:pPr>
        <w:spacing w:before="0" w:after="0" w:line="264" w:lineRule="auto"/>
        <w:rPr>
          <w:rFonts w:cstheme="minorHAnsi"/>
          <w:bCs/>
          <w:color w:val="000000"/>
          <w:szCs w:val="24"/>
        </w:rPr>
      </w:pPr>
      <w:r w:rsidRPr="00552287">
        <w:rPr>
          <w:rFonts w:cstheme="minorHAnsi"/>
          <w:bCs/>
          <w:color w:val="000000"/>
          <w:szCs w:val="24"/>
        </w:rPr>
        <w:t>Základním k</w:t>
      </w:r>
      <w:r w:rsidR="003D7EED">
        <w:rPr>
          <w:rFonts w:cstheme="minorHAnsi"/>
          <w:bCs/>
          <w:color w:val="000000"/>
          <w:szCs w:val="24"/>
        </w:rPr>
        <w:t>oncepčním materiálem res</w:t>
      </w:r>
      <w:r w:rsidRPr="00552287">
        <w:rPr>
          <w:rFonts w:cstheme="minorHAnsi"/>
          <w:bCs/>
          <w:color w:val="000000"/>
          <w:szCs w:val="24"/>
        </w:rPr>
        <w:t xml:space="preserve">ortu </w:t>
      </w:r>
      <w:r>
        <w:rPr>
          <w:rFonts w:cstheme="minorHAnsi"/>
          <w:bCs/>
          <w:color w:val="000000"/>
          <w:szCs w:val="24"/>
        </w:rPr>
        <w:t xml:space="preserve">Ministerstva pro místní rozvoj byla v kontrolovaném období </w:t>
      </w:r>
      <w:r w:rsidR="008E0F96" w:rsidRPr="00396C71">
        <w:rPr>
          <w:rFonts w:cstheme="minorHAnsi"/>
          <w:bCs/>
          <w:i/>
          <w:color w:val="000000"/>
          <w:szCs w:val="24"/>
        </w:rPr>
        <w:t>Koncepce bydlení do roku 2020</w:t>
      </w:r>
      <w:r>
        <w:rPr>
          <w:rFonts w:cstheme="minorHAnsi"/>
          <w:bCs/>
          <w:color w:val="000000"/>
          <w:szCs w:val="24"/>
        </w:rPr>
        <w:t xml:space="preserve"> (dále také „Koncepce“). Koncepce konstatuje, že bytový fond sice odpovídá svou velikostí evropskému průměru, avšak je značně zastaralý a podinvestovaný</w:t>
      </w:r>
      <w:r w:rsidR="00325AEC">
        <w:rPr>
          <w:rFonts w:cstheme="minorHAnsi"/>
          <w:bCs/>
          <w:color w:val="000000"/>
          <w:szCs w:val="24"/>
        </w:rPr>
        <w:t>,</w:t>
      </w:r>
      <w:r>
        <w:rPr>
          <w:rFonts w:cstheme="minorHAnsi"/>
          <w:bCs/>
          <w:color w:val="000000"/>
          <w:szCs w:val="24"/>
        </w:rPr>
        <w:t xml:space="preserve"> a to nejen ze stavebního hlediska, ale také z hlediska energetického. </w:t>
      </w:r>
      <w:r w:rsidR="00F21160">
        <w:rPr>
          <w:rFonts w:cstheme="minorHAnsi"/>
          <w:bCs/>
          <w:color w:val="000000"/>
          <w:szCs w:val="24"/>
        </w:rPr>
        <w:t xml:space="preserve">Ve vztahu k úsporám energií </w:t>
      </w:r>
      <w:r w:rsidR="00325AEC">
        <w:rPr>
          <w:rFonts w:cstheme="minorHAnsi"/>
          <w:bCs/>
          <w:color w:val="000000"/>
          <w:szCs w:val="24"/>
        </w:rPr>
        <w:t xml:space="preserve">předpokládá </w:t>
      </w:r>
      <w:r w:rsidR="00F21160">
        <w:rPr>
          <w:rFonts w:cstheme="minorHAnsi"/>
          <w:bCs/>
          <w:color w:val="000000"/>
          <w:szCs w:val="24"/>
        </w:rPr>
        <w:t xml:space="preserve">Koncepce výstavbu domů </w:t>
      </w:r>
      <w:r w:rsidR="000D60DE">
        <w:rPr>
          <w:rFonts w:cstheme="minorHAnsi"/>
          <w:bCs/>
          <w:color w:val="000000"/>
          <w:szCs w:val="24"/>
        </w:rPr>
        <w:t>s</w:t>
      </w:r>
      <w:r w:rsidR="00F21160">
        <w:rPr>
          <w:rFonts w:cstheme="minorHAnsi"/>
          <w:bCs/>
          <w:color w:val="000000"/>
          <w:szCs w:val="24"/>
        </w:rPr>
        <w:t> nízkými energetickými náklady.</w:t>
      </w:r>
    </w:p>
    <w:p w:rsidR="00257998" w:rsidRDefault="00257998" w:rsidP="00CB795C">
      <w:pPr>
        <w:spacing w:before="0" w:after="0" w:line="264" w:lineRule="auto"/>
        <w:rPr>
          <w:rFonts w:cstheme="minorHAnsi"/>
          <w:bCs/>
          <w:color w:val="000000"/>
          <w:szCs w:val="24"/>
        </w:rPr>
      </w:pPr>
    </w:p>
    <w:p w:rsidR="00F0002F" w:rsidRDefault="001B1F97" w:rsidP="00CB795C">
      <w:pPr>
        <w:autoSpaceDE w:val="0"/>
        <w:autoSpaceDN w:val="0"/>
        <w:adjustRightInd w:val="0"/>
        <w:spacing w:before="0" w:after="0" w:line="264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Koncepce uvádí, že f</w:t>
      </w:r>
      <w:r w:rsidR="00F0002F" w:rsidRPr="00660F99">
        <w:rPr>
          <w:rFonts w:eastAsia="Times New Roman" w:cstheme="minorHAnsi"/>
          <w:szCs w:val="24"/>
        </w:rPr>
        <w:t>inanční zdroje napomáhající prosazování cílů bytové politiky jsou do velké míry závis</w:t>
      </w:r>
      <w:r w:rsidR="00F0002F">
        <w:rPr>
          <w:rFonts w:eastAsia="Times New Roman" w:cstheme="minorHAnsi"/>
          <w:szCs w:val="24"/>
        </w:rPr>
        <w:t>lé na stavu veřejných rozpočtů a s</w:t>
      </w:r>
      <w:r w:rsidR="00F0002F" w:rsidRPr="00660F99">
        <w:rPr>
          <w:rFonts w:eastAsia="Times New Roman" w:cstheme="minorHAnsi"/>
          <w:szCs w:val="24"/>
        </w:rPr>
        <w:t xml:space="preserve">truktura portfolia podpůrných nástrojů </w:t>
      </w:r>
      <w:r w:rsidR="00F0002F" w:rsidRPr="00660F99">
        <w:rPr>
          <w:rFonts w:eastAsia="Times New Roman" w:cstheme="minorHAnsi"/>
          <w:szCs w:val="24"/>
        </w:rPr>
        <w:lastRenderedPageBreak/>
        <w:t>nesmí mít z dlouhodobého hlediska negativní vliv na státní rozpočet.</w:t>
      </w:r>
      <w:r w:rsidR="00F0002F" w:rsidRPr="00A874F4">
        <w:rPr>
          <w:rFonts w:eastAsia="Times New Roman" w:cstheme="minorHAnsi"/>
          <w:szCs w:val="24"/>
        </w:rPr>
        <w:t xml:space="preserve"> </w:t>
      </w:r>
      <w:r w:rsidR="00F0002F" w:rsidRPr="00A874F4">
        <w:rPr>
          <w:rFonts w:cstheme="minorHAnsi"/>
          <w:szCs w:val="24"/>
          <w:lang w:eastAsia="cs-CZ"/>
        </w:rPr>
        <w:t xml:space="preserve">Vývoj veřejných financí zřetelně signalizuje, že finanční intervence státu v oblasti bydlení bude nezbytné soustředit do formy </w:t>
      </w:r>
      <w:r w:rsidR="005835B7">
        <w:rPr>
          <w:rFonts w:cstheme="minorHAnsi"/>
          <w:szCs w:val="24"/>
          <w:lang w:eastAsia="cs-CZ"/>
        </w:rPr>
        <w:t>revolvingových nástrojů a</w:t>
      </w:r>
      <w:r w:rsidR="00F0002F" w:rsidRPr="00A874F4">
        <w:rPr>
          <w:rFonts w:cstheme="minorHAnsi"/>
          <w:szCs w:val="24"/>
          <w:lang w:eastAsia="cs-CZ"/>
        </w:rPr>
        <w:t xml:space="preserve"> na nejnižší únosnou míru omez</w:t>
      </w:r>
      <w:r w:rsidR="003D7EED">
        <w:rPr>
          <w:rFonts w:cstheme="minorHAnsi"/>
          <w:szCs w:val="24"/>
          <w:lang w:eastAsia="cs-CZ"/>
        </w:rPr>
        <w:t>it nenávratnou finanční pomoc</w:t>
      </w:r>
      <w:r w:rsidR="00A62824">
        <w:rPr>
          <w:rFonts w:cstheme="minorHAnsi"/>
          <w:szCs w:val="24"/>
          <w:lang w:eastAsia="cs-CZ"/>
        </w:rPr>
        <w:t>,</w:t>
      </w:r>
      <w:r w:rsidR="003D7EED">
        <w:rPr>
          <w:rFonts w:cstheme="minorHAnsi"/>
          <w:szCs w:val="24"/>
          <w:lang w:eastAsia="cs-CZ"/>
        </w:rPr>
        <w:t xml:space="preserve"> </w:t>
      </w:r>
      <w:r w:rsidR="00A62824">
        <w:rPr>
          <w:rFonts w:cstheme="minorHAnsi"/>
          <w:szCs w:val="24"/>
          <w:lang w:eastAsia="cs-CZ"/>
        </w:rPr>
        <w:t>a to</w:t>
      </w:r>
      <w:r w:rsidR="00F0002F" w:rsidRPr="00A874F4">
        <w:rPr>
          <w:rFonts w:cstheme="minorHAnsi"/>
          <w:szCs w:val="24"/>
          <w:lang w:eastAsia="cs-CZ"/>
        </w:rPr>
        <w:t xml:space="preserve"> tak</w:t>
      </w:r>
      <w:r w:rsidR="00A62824">
        <w:rPr>
          <w:rFonts w:cstheme="minorHAnsi"/>
          <w:szCs w:val="24"/>
          <w:lang w:eastAsia="cs-CZ"/>
        </w:rPr>
        <w:t>ov</w:t>
      </w:r>
      <w:r w:rsidR="00B10E0A">
        <w:rPr>
          <w:rFonts w:cstheme="minorHAnsi"/>
          <w:szCs w:val="24"/>
          <w:lang w:eastAsia="cs-CZ"/>
        </w:rPr>
        <w:t>ým způsobem</w:t>
      </w:r>
      <w:r w:rsidR="00F0002F" w:rsidRPr="00A874F4">
        <w:rPr>
          <w:rFonts w:cstheme="minorHAnsi"/>
          <w:szCs w:val="24"/>
          <w:lang w:eastAsia="cs-CZ"/>
        </w:rPr>
        <w:t xml:space="preserve">, aby se dostalo pomoci lidem, kteří ji ze skutečně objektivních důvodů potřebují. Pro nastavení systému financování bytové politiky státu je nezbytné využít všechny finanční zdroje, které jsou k dispozici, a využívat je především jako nástroje motivační. </w:t>
      </w:r>
      <w:r w:rsidR="00F0002F" w:rsidRPr="00660F99">
        <w:rPr>
          <w:rFonts w:eastAsia="Times New Roman" w:cstheme="minorHAnsi"/>
          <w:szCs w:val="24"/>
        </w:rPr>
        <w:t>Programy založené na zárukách a úvěrových produktech s vysokou návratností by měly kompenzovat úzce zacílené dotační programy.</w:t>
      </w:r>
    </w:p>
    <w:p w:rsidR="00257998" w:rsidRDefault="00257998" w:rsidP="00CB795C">
      <w:pPr>
        <w:autoSpaceDE w:val="0"/>
        <w:autoSpaceDN w:val="0"/>
        <w:adjustRightInd w:val="0"/>
        <w:spacing w:before="0" w:after="0" w:line="264" w:lineRule="auto"/>
        <w:rPr>
          <w:rFonts w:eastAsia="Times New Roman" w:cstheme="minorHAnsi"/>
          <w:szCs w:val="24"/>
        </w:rPr>
      </w:pPr>
    </w:p>
    <w:p w:rsidR="00F0002F" w:rsidRDefault="00F0002F" w:rsidP="00CB795C">
      <w:pPr>
        <w:autoSpaceDE w:val="0"/>
        <w:autoSpaceDN w:val="0"/>
        <w:adjustRightInd w:val="0"/>
        <w:spacing w:before="0" w:after="0" w:line="264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Z </w:t>
      </w:r>
      <w:r w:rsidR="001B1F97">
        <w:rPr>
          <w:rFonts w:eastAsia="Times New Roman" w:cstheme="minorHAnsi"/>
          <w:szCs w:val="24"/>
        </w:rPr>
        <w:t>K</w:t>
      </w:r>
      <w:r>
        <w:rPr>
          <w:rFonts w:eastAsia="Times New Roman" w:cstheme="minorHAnsi"/>
          <w:szCs w:val="24"/>
        </w:rPr>
        <w:t xml:space="preserve">oncepce </w:t>
      </w:r>
      <w:r w:rsidR="001B1F97">
        <w:rPr>
          <w:rFonts w:eastAsia="Times New Roman" w:cstheme="minorHAnsi"/>
          <w:szCs w:val="24"/>
        </w:rPr>
        <w:t xml:space="preserve">dále </w:t>
      </w:r>
      <w:r>
        <w:rPr>
          <w:rFonts w:eastAsia="Times New Roman" w:cstheme="minorHAnsi"/>
          <w:szCs w:val="24"/>
        </w:rPr>
        <w:t>vyplývají cíle a priority</w:t>
      </w:r>
      <w:r w:rsidR="00B10E0A">
        <w:rPr>
          <w:rFonts w:eastAsia="Times New Roman" w:cstheme="minorHAnsi"/>
          <w:szCs w:val="24"/>
        </w:rPr>
        <w:t>,</w:t>
      </w:r>
      <w:r>
        <w:rPr>
          <w:rFonts w:eastAsia="Times New Roman" w:cstheme="minorHAnsi"/>
          <w:szCs w:val="24"/>
        </w:rPr>
        <w:t xml:space="preserve"> a to především „</w:t>
      </w:r>
      <w:r w:rsidR="00B10E0A">
        <w:rPr>
          <w:rFonts w:eastAsia="Times New Roman" w:cstheme="minorHAnsi"/>
          <w:szCs w:val="24"/>
        </w:rPr>
        <w:t>d</w:t>
      </w:r>
      <w:r>
        <w:rPr>
          <w:rFonts w:eastAsia="Times New Roman" w:cstheme="minorHAnsi"/>
          <w:szCs w:val="24"/>
        </w:rPr>
        <w:t xml:space="preserve">ostupnost, </w:t>
      </w:r>
      <w:r w:rsidR="00B10E0A">
        <w:rPr>
          <w:rFonts w:eastAsia="Times New Roman" w:cstheme="minorHAnsi"/>
          <w:szCs w:val="24"/>
        </w:rPr>
        <w:t>s</w:t>
      </w:r>
      <w:r>
        <w:rPr>
          <w:rFonts w:eastAsia="Times New Roman" w:cstheme="minorHAnsi"/>
          <w:szCs w:val="24"/>
        </w:rPr>
        <w:t xml:space="preserve">tabilita a </w:t>
      </w:r>
      <w:r w:rsidR="00B10E0A">
        <w:rPr>
          <w:rFonts w:eastAsia="Times New Roman" w:cstheme="minorHAnsi"/>
          <w:szCs w:val="24"/>
        </w:rPr>
        <w:t>k</w:t>
      </w:r>
      <w:r>
        <w:rPr>
          <w:rFonts w:eastAsia="Times New Roman" w:cstheme="minorHAnsi"/>
          <w:szCs w:val="24"/>
        </w:rPr>
        <w:t xml:space="preserve">valita“. </w:t>
      </w:r>
      <w:r w:rsidRPr="00AA3E46">
        <w:rPr>
          <w:rFonts w:eastAsia="Times New Roman" w:cstheme="minorHAnsi"/>
          <w:szCs w:val="24"/>
        </w:rPr>
        <w:t xml:space="preserve">Ministerstvo pro místní rozvoj každoročně podrobně vyhodnocuje plnění jednotlivých úkolů a cílů z Koncepce a předkládá vládě České republiky </w:t>
      </w:r>
      <w:r w:rsidR="00B10E0A">
        <w:rPr>
          <w:rFonts w:eastAsia="Times New Roman" w:cstheme="minorHAnsi"/>
          <w:szCs w:val="24"/>
        </w:rPr>
        <w:t>z</w:t>
      </w:r>
      <w:r w:rsidRPr="00AA3E46">
        <w:rPr>
          <w:rFonts w:eastAsia="Times New Roman" w:cstheme="minorHAnsi"/>
          <w:szCs w:val="24"/>
        </w:rPr>
        <w:t>právy o plnění úkolů.</w:t>
      </w:r>
      <w:r>
        <w:rPr>
          <w:rFonts w:eastAsia="Times New Roman" w:cstheme="minorHAnsi"/>
          <w:szCs w:val="24"/>
        </w:rPr>
        <w:t xml:space="preserve"> Z pohledu úspory energie </w:t>
      </w:r>
      <w:r w:rsidR="00B10E0A">
        <w:rPr>
          <w:rFonts w:eastAsia="Times New Roman" w:cstheme="minorHAnsi"/>
          <w:szCs w:val="24"/>
        </w:rPr>
        <w:t>z</w:t>
      </w:r>
      <w:r>
        <w:rPr>
          <w:rFonts w:eastAsia="Times New Roman" w:cstheme="minorHAnsi"/>
          <w:szCs w:val="24"/>
        </w:rPr>
        <w:t xml:space="preserve">právy vyhodnocují zejména priority v oblastech: </w:t>
      </w:r>
    </w:p>
    <w:p w:rsidR="00F0002F" w:rsidRPr="00601809" w:rsidRDefault="00F0002F" w:rsidP="00CB795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64" w:lineRule="auto"/>
        <w:ind w:left="284" w:hanging="284"/>
        <w:contextualSpacing w:val="0"/>
        <w:rPr>
          <w:rFonts w:eastAsia="Times New Roman" w:cstheme="minorHAnsi"/>
          <w:szCs w:val="24"/>
        </w:rPr>
      </w:pPr>
      <w:r w:rsidRPr="00601809">
        <w:rPr>
          <w:rFonts w:eastAsia="Times New Roman" w:cstheme="minorHAnsi"/>
          <w:szCs w:val="24"/>
        </w:rPr>
        <w:t>snižování nákladů spojených s</w:t>
      </w:r>
      <w:r w:rsidR="00601809">
        <w:rPr>
          <w:rFonts w:eastAsia="Times New Roman" w:cstheme="minorHAnsi"/>
          <w:szCs w:val="24"/>
        </w:rPr>
        <w:t> </w:t>
      </w:r>
      <w:r w:rsidRPr="00601809">
        <w:rPr>
          <w:rFonts w:eastAsia="Times New Roman" w:cstheme="minorHAnsi"/>
          <w:szCs w:val="24"/>
        </w:rPr>
        <w:t>bydlením,</w:t>
      </w:r>
    </w:p>
    <w:p w:rsidR="00F0002F" w:rsidRPr="00601809" w:rsidRDefault="00F0002F" w:rsidP="00CB795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64" w:lineRule="auto"/>
        <w:ind w:left="284" w:hanging="284"/>
        <w:contextualSpacing w:val="0"/>
        <w:rPr>
          <w:rFonts w:eastAsia="Times New Roman" w:cstheme="minorHAnsi"/>
          <w:szCs w:val="24"/>
        </w:rPr>
      </w:pPr>
      <w:r w:rsidRPr="00601809">
        <w:rPr>
          <w:rFonts w:eastAsia="Times New Roman" w:cstheme="minorHAnsi"/>
          <w:szCs w:val="24"/>
        </w:rPr>
        <w:t>zajištění stabilního portfolia zdrojů financování,</w:t>
      </w:r>
    </w:p>
    <w:p w:rsidR="00F0002F" w:rsidRPr="00601809" w:rsidRDefault="00F0002F" w:rsidP="00CB795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64" w:lineRule="auto"/>
        <w:ind w:left="284" w:hanging="284"/>
        <w:contextualSpacing w:val="0"/>
        <w:rPr>
          <w:rFonts w:eastAsia="Times New Roman" w:cstheme="minorHAnsi"/>
          <w:szCs w:val="24"/>
        </w:rPr>
      </w:pPr>
      <w:r w:rsidRPr="00601809">
        <w:rPr>
          <w:rFonts w:eastAsia="Times New Roman" w:cstheme="minorHAnsi"/>
          <w:szCs w:val="24"/>
        </w:rPr>
        <w:t>snížení finančního zatížení systému,</w:t>
      </w:r>
    </w:p>
    <w:p w:rsidR="00F0002F" w:rsidRPr="00601809" w:rsidRDefault="00F0002F" w:rsidP="00CB795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64" w:lineRule="auto"/>
        <w:ind w:left="284" w:hanging="284"/>
        <w:contextualSpacing w:val="0"/>
        <w:rPr>
          <w:rFonts w:eastAsia="Times New Roman" w:cstheme="minorHAnsi"/>
          <w:szCs w:val="24"/>
        </w:rPr>
      </w:pPr>
      <w:r w:rsidRPr="00601809">
        <w:rPr>
          <w:rFonts w:eastAsia="Times New Roman" w:cstheme="minorHAnsi"/>
          <w:szCs w:val="24"/>
        </w:rPr>
        <w:t xml:space="preserve">snižování investičního dluhu.  </w:t>
      </w:r>
    </w:p>
    <w:p w:rsidR="00EC1206" w:rsidRDefault="00EC1206" w:rsidP="00CB795C">
      <w:pPr>
        <w:pStyle w:val="Odstavecseseznamem"/>
        <w:autoSpaceDE w:val="0"/>
        <w:autoSpaceDN w:val="0"/>
        <w:adjustRightInd w:val="0"/>
        <w:spacing w:before="0" w:after="0" w:line="264" w:lineRule="auto"/>
        <w:ind w:left="0"/>
        <w:contextualSpacing w:val="0"/>
        <w:rPr>
          <w:rFonts w:eastAsia="Times New Roman" w:cstheme="minorHAnsi"/>
          <w:szCs w:val="24"/>
        </w:rPr>
      </w:pPr>
    </w:p>
    <w:p w:rsidR="00257998" w:rsidRDefault="00257998" w:rsidP="00CB795C">
      <w:pPr>
        <w:pStyle w:val="Odstavecseseznamem"/>
        <w:autoSpaceDE w:val="0"/>
        <w:autoSpaceDN w:val="0"/>
        <w:adjustRightInd w:val="0"/>
        <w:spacing w:before="0" w:after="0" w:line="264" w:lineRule="auto"/>
        <w:ind w:left="0"/>
        <w:contextualSpacing w:val="0"/>
        <w:rPr>
          <w:rFonts w:eastAsia="Times New Roman" w:cstheme="minorHAnsi"/>
          <w:szCs w:val="24"/>
        </w:rPr>
      </w:pPr>
    </w:p>
    <w:p w:rsidR="00FD0D45" w:rsidRPr="00396C71" w:rsidRDefault="00257998" w:rsidP="00CB795C">
      <w:pPr>
        <w:spacing w:before="0" w:after="0" w:line="264" w:lineRule="auto"/>
        <w:jc w:val="center"/>
        <w:rPr>
          <w:rFonts w:cstheme="minorHAnsi"/>
          <w:b/>
          <w:caps/>
          <w:color w:val="000000" w:themeColor="text1"/>
          <w:sz w:val="26"/>
          <w:szCs w:val="26"/>
        </w:rPr>
      </w:pPr>
      <w:r w:rsidRPr="00396C71">
        <w:rPr>
          <w:rFonts w:cstheme="minorHAnsi"/>
          <w:b/>
          <w:caps/>
          <w:color w:val="000000" w:themeColor="text1"/>
          <w:sz w:val="26"/>
          <w:szCs w:val="26"/>
        </w:rPr>
        <w:t xml:space="preserve">III. </w:t>
      </w:r>
      <w:r w:rsidR="00DA10D6" w:rsidRPr="00396C71">
        <w:rPr>
          <w:rFonts w:cstheme="minorHAnsi"/>
          <w:b/>
          <w:color w:val="000000" w:themeColor="text1"/>
          <w:sz w:val="26"/>
          <w:szCs w:val="26"/>
        </w:rPr>
        <w:t>Dotační programy</w:t>
      </w:r>
    </w:p>
    <w:p w:rsidR="00257998" w:rsidRDefault="00257998" w:rsidP="00CB795C">
      <w:pPr>
        <w:spacing w:before="0" w:after="0" w:line="264" w:lineRule="auto"/>
        <w:jc w:val="left"/>
        <w:rPr>
          <w:szCs w:val="24"/>
        </w:rPr>
      </w:pPr>
    </w:p>
    <w:p w:rsidR="005775BE" w:rsidRDefault="005775BE" w:rsidP="00CB795C">
      <w:pPr>
        <w:spacing w:before="0" w:after="0" w:line="264" w:lineRule="auto"/>
        <w:jc w:val="left"/>
        <w:rPr>
          <w:szCs w:val="24"/>
        </w:rPr>
      </w:pPr>
      <w:r>
        <w:rPr>
          <w:szCs w:val="24"/>
        </w:rPr>
        <w:t>Kontrolovány byly následující programy</w:t>
      </w:r>
      <w:r w:rsidR="00C457AB">
        <w:rPr>
          <w:szCs w:val="24"/>
        </w:rPr>
        <w:t xml:space="preserve"> a podprogramy</w:t>
      </w:r>
      <w:r>
        <w:rPr>
          <w:szCs w:val="24"/>
        </w:rPr>
        <w:t>:</w:t>
      </w:r>
    </w:p>
    <w:p w:rsidR="005775BE" w:rsidRPr="00B10E0A" w:rsidRDefault="00B10E0A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>
        <w:rPr>
          <w:szCs w:val="24"/>
        </w:rPr>
        <w:t>o</w:t>
      </w:r>
      <w:r w:rsidR="005775BE" w:rsidRPr="00B10E0A">
        <w:rPr>
          <w:szCs w:val="24"/>
        </w:rPr>
        <w:t xml:space="preserve">perační program </w:t>
      </w:r>
      <w:r w:rsidR="005775BE" w:rsidRPr="00396C71">
        <w:rPr>
          <w:i/>
          <w:szCs w:val="24"/>
        </w:rPr>
        <w:t>Podnikání a inovace</w:t>
      </w:r>
      <w:r w:rsidR="005775BE" w:rsidRPr="00B10E0A">
        <w:rPr>
          <w:szCs w:val="24"/>
        </w:rPr>
        <w:t xml:space="preserve"> (MPO)</w:t>
      </w:r>
      <w:r>
        <w:rPr>
          <w:szCs w:val="24"/>
        </w:rPr>
        <w:t>,</w:t>
      </w:r>
    </w:p>
    <w:p w:rsidR="005775BE" w:rsidRPr="00B10E0A" w:rsidRDefault="00B10E0A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>
        <w:rPr>
          <w:rFonts w:cs="Calibri"/>
        </w:rPr>
        <w:t>o</w:t>
      </w:r>
      <w:r w:rsidR="005775BE" w:rsidRPr="00B10E0A">
        <w:rPr>
          <w:rFonts w:cs="Calibri"/>
        </w:rPr>
        <w:t xml:space="preserve">perační program </w:t>
      </w:r>
      <w:r w:rsidR="005775BE" w:rsidRPr="00396C71">
        <w:rPr>
          <w:rFonts w:cs="Calibri"/>
          <w:i/>
        </w:rPr>
        <w:t>Podnikání a inovace pro konkurenceschopnost</w:t>
      </w:r>
      <w:r w:rsidR="005775BE" w:rsidRPr="00B10E0A">
        <w:rPr>
          <w:rFonts w:cs="Calibri"/>
        </w:rPr>
        <w:t xml:space="preserve"> (MPO)</w:t>
      </w:r>
      <w:r>
        <w:rPr>
          <w:rFonts w:cs="Calibri"/>
        </w:rPr>
        <w:t>,</w:t>
      </w:r>
    </w:p>
    <w:p w:rsidR="005775BE" w:rsidRPr="00B10E0A" w:rsidRDefault="005775BE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 w:rsidRPr="00396C71">
        <w:rPr>
          <w:i/>
          <w:szCs w:val="24"/>
        </w:rPr>
        <w:t>Zelená úsporám</w:t>
      </w:r>
      <w:r w:rsidRPr="00B10E0A">
        <w:rPr>
          <w:szCs w:val="24"/>
        </w:rPr>
        <w:t xml:space="preserve"> a </w:t>
      </w:r>
      <w:r w:rsidRPr="00396C71">
        <w:rPr>
          <w:i/>
          <w:szCs w:val="24"/>
        </w:rPr>
        <w:t xml:space="preserve">Nová </w:t>
      </w:r>
      <w:r w:rsidR="00CA7587" w:rsidRPr="00396C71">
        <w:rPr>
          <w:i/>
          <w:szCs w:val="24"/>
        </w:rPr>
        <w:t>z</w:t>
      </w:r>
      <w:r w:rsidRPr="00396C71">
        <w:rPr>
          <w:i/>
          <w:szCs w:val="24"/>
        </w:rPr>
        <w:t>elená úsporám</w:t>
      </w:r>
      <w:r w:rsidRPr="00B10E0A">
        <w:rPr>
          <w:szCs w:val="24"/>
        </w:rPr>
        <w:t xml:space="preserve"> (MŽP)</w:t>
      </w:r>
      <w:r w:rsidR="00B10E0A">
        <w:rPr>
          <w:szCs w:val="24"/>
        </w:rPr>
        <w:t>,</w:t>
      </w:r>
    </w:p>
    <w:p w:rsidR="005775BE" w:rsidRPr="00B10E0A" w:rsidRDefault="00B10E0A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>
        <w:rPr>
          <w:szCs w:val="24"/>
        </w:rPr>
        <w:t>o</w:t>
      </w:r>
      <w:r w:rsidR="005775BE" w:rsidRPr="00B10E0A">
        <w:rPr>
          <w:szCs w:val="24"/>
        </w:rPr>
        <w:t xml:space="preserve">perační program </w:t>
      </w:r>
      <w:r w:rsidR="005775BE" w:rsidRPr="00396C71">
        <w:rPr>
          <w:i/>
          <w:szCs w:val="24"/>
        </w:rPr>
        <w:t>Životní prostředí</w:t>
      </w:r>
      <w:r w:rsidR="005775BE" w:rsidRPr="00B10E0A">
        <w:rPr>
          <w:szCs w:val="24"/>
        </w:rPr>
        <w:t xml:space="preserve"> (MŽP, SFŽP)</w:t>
      </w:r>
      <w:r>
        <w:rPr>
          <w:szCs w:val="24"/>
        </w:rPr>
        <w:t>,</w:t>
      </w:r>
    </w:p>
    <w:p w:rsidR="005775BE" w:rsidRPr="00B10E0A" w:rsidRDefault="005775BE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 w:rsidRPr="00396C71">
        <w:rPr>
          <w:i/>
          <w:szCs w:val="24"/>
        </w:rPr>
        <w:t>Podpora výstavby podporovaných bytů</w:t>
      </w:r>
      <w:r w:rsidRPr="00B10E0A">
        <w:rPr>
          <w:szCs w:val="24"/>
        </w:rPr>
        <w:t xml:space="preserve"> (MMR)</w:t>
      </w:r>
      <w:r w:rsidR="00B10E0A">
        <w:rPr>
          <w:szCs w:val="24"/>
        </w:rPr>
        <w:t>,</w:t>
      </w:r>
    </w:p>
    <w:p w:rsidR="005775BE" w:rsidRPr="00B10E0A" w:rsidRDefault="005775BE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 w:rsidRPr="00396C71">
        <w:rPr>
          <w:i/>
          <w:szCs w:val="24"/>
        </w:rPr>
        <w:t>Výstavba nájemních bytů</w:t>
      </w:r>
      <w:r w:rsidRPr="00B10E0A">
        <w:rPr>
          <w:szCs w:val="24"/>
        </w:rPr>
        <w:t xml:space="preserve"> (SFRB)</w:t>
      </w:r>
      <w:r w:rsidR="00B10E0A">
        <w:rPr>
          <w:szCs w:val="24"/>
        </w:rPr>
        <w:t>,</w:t>
      </w:r>
    </w:p>
    <w:p w:rsidR="005775BE" w:rsidRPr="00B10E0A" w:rsidRDefault="005775BE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 w:rsidRPr="00396C71">
        <w:rPr>
          <w:i/>
          <w:szCs w:val="24"/>
        </w:rPr>
        <w:t>Panel 2013+</w:t>
      </w:r>
      <w:r w:rsidRPr="00B10E0A">
        <w:rPr>
          <w:szCs w:val="24"/>
        </w:rPr>
        <w:t xml:space="preserve"> (SFRB)</w:t>
      </w:r>
      <w:r w:rsidR="00B10E0A">
        <w:rPr>
          <w:szCs w:val="24"/>
        </w:rPr>
        <w:t>,</w:t>
      </w:r>
    </w:p>
    <w:p w:rsidR="005775BE" w:rsidRPr="00B10E0A" w:rsidRDefault="005775BE" w:rsidP="00396C71">
      <w:pPr>
        <w:pStyle w:val="Odstavecseseznamem"/>
        <w:numPr>
          <w:ilvl w:val="0"/>
          <w:numId w:val="34"/>
        </w:numPr>
        <w:spacing w:before="0" w:after="0" w:line="264" w:lineRule="auto"/>
        <w:ind w:left="284" w:hanging="284"/>
        <w:jc w:val="left"/>
        <w:rPr>
          <w:szCs w:val="24"/>
        </w:rPr>
      </w:pPr>
      <w:r w:rsidRPr="00396C71">
        <w:rPr>
          <w:i/>
          <w:szCs w:val="24"/>
        </w:rPr>
        <w:t>Integrovaný operační program</w:t>
      </w:r>
      <w:r w:rsidRPr="00B10E0A">
        <w:rPr>
          <w:szCs w:val="24"/>
        </w:rPr>
        <w:t xml:space="preserve"> </w:t>
      </w:r>
      <w:r w:rsidR="00B10E0A">
        <w:rPr>
          <w:szCs w:val="24"/>
        </w:rPr>
        <w:t>–</w:t>
      </w:r>
      <w:r w:rsidRPr="00B10E0A">
        <w:rPr>
          <w:szCs w:val="24"/>
        </w:rPr>
        <w:t xml:space="preserve"> </w:t>
      </w:r>
      <w:r w:rsidR="00B10E0A">
        <w:rPr>
          <w:szCs w:val="24"/>
        </w:rPr>
        <w:t>f</w:t>
      </w:r>
      <w:r w:rsidRPr="00B10E0A">
        <w:rPr>
          <w:szCs w:val="24"/>
        </w:rPr>
        <w:t xml:space="preserve">inanční nástroj </w:t>
      </w:r>
      <w:r w:rsidRPr="00396C71">
        <w:rPr>
          <w:i/>
          <w:szCs w:val="24"/>
        </w:rPr>
        <w:t>JESSICA</w:t>
      </w:r>
      <w:r w:rsidRPr="00B10E0A">
        <w:rPr>
          <w:szCs w:val="24"/>
        </w:rPr>
        <w:t xml:space="preserve"> (SFRB)</w:t>
      </w:r>
      <w:r w:rsidR="00B10E0A">
        <w:rPr>
          <w:szCs w:val="24"/>
        </w:rPr>
        <w:t>.</w:t>
      </w:r>
    </w:p>
    <w:p w:rsidR="005775BE" w:rsidRPr="00257998" w:rsidRDefault="005775BE" w:rsidP="00CB795C">
      <w:pPr>
        <w:pStyle w:val="Odstavecseseznamem"/>
        <w:spacing w:before="0" w:after="0" w:line="264" w:lineRule="auto"/>
        <w:ind w:left="0"/>
        <w:contextualSpacing w:val="0"/>
        <w:rPr>
          <w:rFonts w:cstheme="minorHAnsi"/>
          <w:caps/>
        </w:rPr>
      </w:pPr>
    </w:p>
    <w:bookmarkEnd w:id="3"/>
    <w:bookmarkEnd w:id="4"/>
    <w:p w:rsidR="00547CFE" w:rsidRPr="00574001" w:rsidRDefault="00574001" w:rsidP="00CB795C">
      <w:pPr>
        <w:pStyle w:val="pracovn3"/>
        <w:spacing w:before="0" w:line="264" w:lineRule="auto"/>
        <w:rPr>
          <w:rFonts w:asciiTheme="minorHAnsi" w:hAnsiTheme="minorHAnsi" w:cstheme="minorHAnsi"/>
          <w:color w:val="auto"/>
        </w:rPr>
      </w:pPr>
      <w:r w:rsidRPr="00574001">
        <w:rPr>
          <w:rFonts w:asciiTheme="minorHAnsi" w:hAnsiTheme="minorHAnsi" w:cstheme="minorHAnsi"/>
          <w:color w:val="auto"/>
        </w:rPr>
        <w:t>Ministerstvo průmyslu a obchodu</w:t>
      </w:r>
    </w:p>
    <w:p w:rsidR="00257998" w:rsidRDefault="00257998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  <w:color w:val="auto"/>
          <w:lang w:eastAsia="en-US"/>
        </w:rPr>
      </w:pPr>
    </w:p>
    <w:p w:rsidR="00574001" w:rsidRDefault="00D56954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  <w:color w:val="auto"/>
          <w:lang w:eastAsia="en-US"/>
        </w:rPr>
      </w:pP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>Ministerstvo průmyslu a obchodu vypracovalo pro období let 2007</w:t>
      </w:r>
      <w:r w:rsidR="00601809">
        <w:rPr>
          <w:rFonts w:ascii="Calibri" w:eastAsiaTheme="minorHAnsi" w:hAnsi="Calibri" w:cs="Calibri"/>
          <w:b w:val="0"/>
          <w:color w:val="auto"/>
          <w:lang w:eastAsia="en-US"/>
        </w:rPr>
        <w:t>–</w:t>
      </w: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 xml:space="preserve">2013 </w:t>
      </w:r>
      <w:r w:rsidR="00CA7587">
        <w:rPr>
          <w:rFonts w:ascii="Calibri" w:eastAsiaTheme="minorHAnsi" w:hAnsi="Calibri" w:cs="Calibri"/>
          <w:b w:val="0"/>
          <w:color w:val="auto"/>
          <w:lang w:eastAsia="en-US"/>
        </w:rPr>
        <w:t>o</w:t>
      </w:r>
      <w:r w:rsidRPr="00AA3E46">
        <w:rPr>
          <w:rFonts w:ascii="Calibri" w:eastAsiaTheme="minorHAnsi" w:hAnsi="Calibri" w:cs="Calibri"/>
          <w:b w:val="0"/>
          <w:color w:val="auto"/>
          <w:lang w:eastAsia="en-US"/>
        </w:rPr>
        <w:t xml:space="preserve">perační program </w:t>
      </w:r>
      <w:r w:rsidRPr="00396C71">
        <w:rPr>
          <w:rFonts w:ascii="Calibri" w:eastAsiaTheme="minorHAnsi" w:hAnsi="Calibri" w:cs="Calibri"/>
          <w:b w:val="0"/>
          <w:i/>
          <w:color w:val="auto"/>
          <w:lang w:eastAsia="en-US"/>
        </w:rPr>
        <w:t>Podnikání a inovace</w:t>
      </w:r>
      <w:r w:rsidR="00711F1F">
        <w:rPr>
          <w:rFonts w:ascii="Calibri" w:eastAsiaTheme="minorHAnsi" w:hAnsi="Calibri" w:cs="Calibri"/>
          <w:b w:val="0"/>
          <w:color w:val="auto"/>
          <w:lang w:eastAsia="en-US"/>
        </w:rPr>
        <w:t xml:space="preserve"> (dále také „OPPI“)</w:t>
      </w:r>
      <w:r w:rsidR="00DD6448">
        <w:rPr>
          <w:rFonts w:ascii="Calibri" w:eastAsiaTheme="minorHAnsi" w:hAnsi="Calibri" w:cs="Calibri"/>
          <w:b w:val="0"/>
          <w:color w:val="auto"/>
          <w:lang w:eastAsia="en-US"/>
        </w:rPr>
        <w:t>.</w:t>
      </w:r>
      <w:r>
        <w:rPr>
          <w:rFonts w:ascii="Calibri" w:eastAsiaTheme="minorHAnsi" w:hAnsi="Calibri" w:cs="Calibri"/>
          <w:b w:val="0"/>
          <w:color w:val="auto"/>
          <w:lang w:eastAsia="en-US"/>
        </w:rPr>
        <w:t xml:space="preserve"> MPO</w:t>
      </w: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 xml:space="preserve"> zajišťuje v souladu s usnesením vlády ČR</w:t>
      </w:r>
      <w:r w:rsidR="00A4095B" w:rsidRPr="00A4095B">
        <w:rPr>
          <w:rFonts w:ascii="Calibri" w:eastAsiaTheme="minorHAnsi" w:hAnsi="Calibri" w:cs="Calibri"/>
          <w:b w:val="0"/>
          <w:color w:val="auto"/>
          <w:lang w:eastAsia="en-US"/>
        </w:rPr>
        <w:t xml:space="preserve"> </w:t>
      </w:r>
      <w:r w:rsidR="00A4095B" w:rsidRPr="00D56954">
        <w:rPr>
          <w:rFonts w:ascii="Calibri" w:eastAsiaTheme="minorHAnsi" w:hAnsi="Calibri" w:cs="Calibri"/>
          <w:b w:val="0"/>
          <w:color w:val="auto"/>
          <w:lang w:eastAsia="en-US"/>
        </w:rPr>
        <w:t>ze dne 22.</w:t>
      </w:r>
      <w:r w:rsidR="00A4095B">
        <w:rPr>
          <w:rFonts w:ascii="Calibri" w:eastAsiaTheme="minorHAnsi" w:hAnsi="Calibri" w:cs="Calibri"/>
          <w:b w:val="0"/>
          <w:color w:val="auto"/>
          <w:lang w:eastAsia="en-US"/>
        </w:rPr>
        <w:t> </w:t>
      </w:r>
      <w:r w:rsidR="00A4095B" w:rsidRPr="00D56954">
        <w:rPr>
          <w:rFonts w:ascii="Calibri" w:eastAsiaTheme="minorHAnsi" w:hAnsi="Calibri" w:cs="Calibri"/>
          <w:b w:val="0"/>
          <w:color w:val="auto"/>
          <w:lang w:eastAsia="en-US"/>
        </w:rPr>
        <w:t>2.</w:t>
      </w:r>
      <w:r w:rsidR="00A4095B">
        <w:rPr>
          <w:rFonts w:ascii="Calibri" w:eastAsiaTheme="minorHAnsi" w:hAnsi="Calibri" w:cs="Calibri"/>
          <w:b w:val="0"/>
          <w:color w:val="auto"/>
          <w:lang w:eastAsia="en-US"/>
        </w:rPr>
        <w:t> </w:t>
      </w:r>
      <w:r w:rsidR="00A4095B" w:rsidRPr="00D56954">
        <w:rPr>
          <w:rFonts w:ascii="Calibri" w:eastAsiaTheme="minorHAnsi" w:hAnsi="Calibri" w:cs="Calibri"/>
          <w:b w:val="0"/>
          <w:color w:val="auto"/>
          <w:lang w:eastAsia="en-US"/>
        </w:rPr>
        <w:t>2006</w:t>
      </w: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 xml:space="preserve"> č.</w:t>
      </w:r>
      <w:r w:rsidR="00A4095B">
        <w:rPr>
          <w:rFonts w:ascii="Calibri" w:eastAsiaTheme="minorHAnsi" w:hAnsi="Calibri" w:cs="Calibri"/>
          <w:b w:val="0"/>
          <w:color w:val="auto"/>
          <w:lang w:eastAsia="en-US"/>
        </w:rPr>
        <w:t> </w:t>
      </w: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 xml:space="preserve">175 výkon funkce </w:t>
      </w:r>
      <w:r w:rsidR="00CA7587">
        <w:rPr>
          <w:rFonts w:ascii="Calibri" w:eastAsiaTheme="minorHAnsi" w:hAnsi="Calibri" w:cs="Calibri"/>
          <w:b w:val="0"/>
          <w:color w:val="auto"/>
          <w:lang w:eastAsia="en-US"/>
        </w:rPr>
        <w:t>ř</w:t>
      </w:r>
      <w:r w:rsidRPr="00D56954">
        <w:rPr>
          <w:rFonts w:ascii="Calibri" w:eastAsiaTheme="minorHAnsi" w:hAnsi="Calibri" w:cs="Calibri"/>
          <w:b w:val="0"/>
          <w:color w:val="auto"/>
          <w:lang w:eastAsia="en-US"/>
        </w:rPr>
        <w:t>ídicího orgánu</w:t>
      </w:r>
      <w:r>
        <w:rPr>
          <w:rFonts w:ascii="Calibri" w:eastAsiaTheme="minorHAnsi" w:hAnsi="Calibri" w:cs="Calibri"/>
          <w:b w:val="0"/>
          <w:color w:val="auto"/>
          <w:lang w:eastAsia="en-US"/>
        </w:rPr>
        <w:t xml:space="preserve"> OPPI.</w:t>
      </w:r>
    </w:p>
    <w:p w:rsidR="00257998" w:rsidRDefault="00257998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  <w:color w:val="auto"/>
          <w:lang w:eastAsia="en-US"/>
        </w:rPr>
      </w:pPr>
    </w:p>
    <w:p w:rsidR="00AA3E46" w:rsidRDefault="00D56954" w:rsidP="00CB795C">
      <w:pPr>
        <w:spacing w:before="0" w:after="0" w:line="264" w:lineRule="auto"/>
        <w:rPr>
          <w:rFonts w:cs="Calibri"/>
        </w:rPr>
      </w:pPr>
      <w:r>
        <w:rPr>
          <w:rFonts w:cs="Calibri"/>
        </w:rPr>
        <w:t>Téma úspor energie je obsahem prioritní osy</w:t>
      </w:r>
      <w:r w:rsidRPr="00DB2CFB">
        <w:rPr>
          <w:rFonts w:cs="Calibri"/>
        </w:rPr>
        <w:t xml:space="preserve"> 3</w:t>
      </w:r>
      <w:r>
        <w:rPr>
          <w:rFonts w:cs="Calibri"/>
        </w:rPr>
        <w:t xml:space="preserve"> OPPI. </w:t>
      </w:r>
      <w:r w:rsidR="00F7344C">
        <w:rPr>
          <w:rFonts w:cs="Calibri"/>
        </w:rPr>
        <w:t>Úspory energie jsou součástí</w:t>
      </w:r>
      <w:r w:rsidRPr="00DB2CFB">
        <w:rPr>
          <w:rFonts w:cs="Calibri"/>
        </w:rPr>
        <w:t xml:space="preserve"> oblast</w:t>
      </w:r>
      <w:r w:rsidR="00F7344C">
        <w:rPr>
          <w:rFonts w:cs="Calibri"/>
        </w:rPr>
        <w:t>i</w:t>
      </w:r>
      <w:r w:rsidRPr="00DB2CFB">
        <w:rPr>
          <w:rFonts w:cs="Calibri"/>
        </w:rPr>
        <w:t xml:space="preserve"> </w:t>
      </w:r>
      <w:r w:rsidR="000013FD">
        <w:rPr>
          <w:rFonts w:cs="Calibri"/>
        </w:rPr>
        <w:t xml:space="preserve">podpory </w:t>
      </w:r>
      <w:r w:rsidRPr="00DB2CFB">
        <w:rPr>
          <w:rFonts w:cs="Calibri"/>
        </w:rPr>
        <w:t xml:space="preserve">3.1 </w:t>
      </w:r>
      <w:r w:rsidR="00A4095B">
        <w:rPr>
          <w:rFonts w:cs="Calibri"/>
        </w:rPr>
        <w:t xml:space="preserve">– </w:t>
      </w:r>
      <w:r w:rsidRPr="007A16F3">
        <w:rPr>
          <w:rFonts w:cs="Calibri"/>
          <w:i/>
        </w:rPr>
        <w:t>Úspory energie a obnovitelné zdroje energie</w:t>
      </w:r>
      <w:r w:rsidRPr="00DB2CFB">
        <w:rPr>
          <w:rFonts w:cs="Calibri"/>
        </w:rPr>
        <w:t xml:space="preserve">, kterou MPO označuje jako </w:t>
      </w:r>
      <w:r w:rsidRPr="0015623E">
        <w:rPr>
          <w:rFonts w:cs="Calibri"/>
          <w:bCs/>
        </w:rPr>
        <w:t>program EKO-ENERGIE</w:t>
      </w:r>
      <w:r w:rsidRPr="0015623E">
        <w:rPr>
          <w:rFonts w:cs="Calibri"/>
        </w:rPr>
        <w:t>.</w:t>
      </w:r>
      <w:r w:rsidRPr="00DB2CFB">
        <w:rPr>
          <w:rFonts w:cs="Calibri"/>
        </w:rPr>
        <w:t xml:space="preserve"> Cílem tohoto programu je prostřednictvím dotací nebo </w:t>
      </w:r>
      <w:r w:rsidRPr="004C2459">
        <w:rPr>
          <w:rFonts w:cs="Calibri"/>
        </w:rPr>
        <w:t>podřízených</w:t>
      </w:r>
      <w:r w:rsidRPr="00DB2CFB">
        <w:rPr>
          <w:rFonts w:cs="Calibri"/>
        </w:rPr>
        <w:t xml:space="preserve"> </w:t>
      </w:r>
      <w:r w:rsidRPr="00DB2CFB">
        <w:rPr>
          <w:rFonts w:cs="Calibri"/>
        </w:rPr>
        <w:lastRenderedPageBreak/>
        <w:t>úvěrů</w:t>
      </w:r>
      <w:r w:rsidR="003B054A">
        <w:rPr>
          <w:rStyle w:val="Znakapoznpodarou"/>
          <w:rFonts w:cs="Calibri"/>
        </w:rPr>
        <w:footnoteReference w:id="8"/>
      </w:r>
      <w:r w:rsidR="000013FD">
        <w:rPr>
          <w:rFonts w:cs="Calibri"/>
        </w:rPr>
        <w:t xml:space="preserve"> </w:t>
      </w:r>
      <w:r w:rsidRPr="00DB2CFB">
        <w:rPr>
          <w:rFonts w:cs="Calibri"/>
        </w:rPr>
        <w:t>s finančním příspěvkem stimulovat aktivitu podnikatelů, zejména malých a středních, v</w:t>
      </w:r>
      <w:r w:rsidR="00257998">
        <w:rPr>
          <w:rFonts w:cs="Calibri"/>
        </w:rPr>
        <w:t> </w:t>
      </w:r>
      <w:r w:rsidRPr="00DB2CFB">
        <w:rPr>
          <w:rFonts w:cs="Calibri"/>
        </w:rPr>
        <w:t>oblasti snižování energetické náročnosti výroby, spotřeby primárních energetických zdrojů a</w:t>
      </w:r>
      <w:r w:rsidR="00257998">
        <w:rPr>
          <w:rFonts w:cs="Calibri"/>
        </w:rPr>
        <w:t> </w:t>
      </w:r>
      <w:r w:rsidRPr="00DB2CFB">
        <w:rPr>
          <w:rFonts w:cs="Calibri"/>
        </w:rPr>
        <w:t>vyššího využití obnovitelných a druhotných zdrojů a jejich udržitelný růst.</w:t>
      </w:r>
    </w:p>
    <w:p w:rsidR="00257998" w:rsidRDefault="00257998" w:rsidP="00CB795C">
      <w:pPr>
        <w:spacing w:before="0" w:after="0" w:line="264" w:lineRule="auto"/>
        <w:rPr>
          <w:rFonts w:cs="Calibri"/>
        </w:rPr>
      </w:pPr>
    </w:p>
    <w:p w:rsidR="002D1716" w:rsidRPr="00CA7587" w:rsidRDefault="00CA7587" w:rsidP="00CA7587">
      <w:pPr>
        <w:spacing w:before="0" w:after="0" w:line="264" w:lineRule="auto"/>
        <w:ind w:left="1474" w:hanging="1474"/>
        <w:rPr>
          <w:rFonts w:cs="Calibri"/>
          <w:b/>
          <w:bCs/>
          <w:u w:val="single"/>
        </w:rPr>
      </w:pPr>
      <w:r>
        <w:rPr>
          <w:rFonts w:cs="Calibri"/>
          <w:b/>
          <w:bCs/>
        </w:rPr>
        <w:t>Tabulka č. 2 –</w:t>
      </w:r>
      <w:r>
        <w:rPr>
          <w:rFonts w:cs="Calibri"/>
          <w:b/>
          <w:bCs/>
        </w:rPr>
        <w:tab/>
      </w:r>
      <w:r w:rsidR="002D1716" w:rsidRPr="00CA7587">
        <w:rPr>
          <w:rFonts w:cs="Calibri"/>
          <w:b/>
          <w:bCs/>
        </w:rPr>
        <w:t xml:space="preserve">Indikátor prioritní osy 3 </w:t>
      </w:r>
      <w:r w:rsidR="002D1716" w:rsidRPr="00CA7587">
        <w:rPr>
          <w:rFonts w:cs="Calibri"/>
          <w:b/>
          <w:bCs/>
          <w:i/>
        </w:rPr>
        <w:t>Snížení spotřeby energie</w:t>
      </w:r>
      <w:r w:rsidR="002D1716" w:rsidRPr="00CA7587">
        <w:rPr>
          <w:rFonts w:cs="Calibri"/>
          <w:b/>
          <w:bCs/>
        </w:rPr>
        <w:t xml:space="preserve"> </w:t>
      </w:r>
      <w:r w:rsidR="00BC12DE" w:rsidRPr="00CA7587">
        <w:rPr>
          <w:rFonts w:cs="Calibri"/>
          <w:b/>
          <w:bCs/>
        </w:rPr>
        <w:t>–</w:t>
      </w:r>
      <w:r w:rsidR="002D1716" w:rsidRPr="00CA7587">
        <w:rPr>
          <w:rFonts w:cs="Calibri"/>
          <w:b/>
          <w:bCs/>
        </w:rPr>
        <w:t xml:space="preserve"> skutečnost</w:t>
      </w:r>
    </w:p>
    <w:tbl>
      <w:tblPr>
        <w:tblW w:w="48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28"/>
        <w:gridCol w:w="1418"/>
        <w:gridCol w:w="1417"/>
        <w:gridCol w:w="1417"/>
      </w:tblGrid>
      <w:tr w:rsidR="001E3AAC" w:rsidRPr="00693C3A" w:rsidTr="001E3AAC">
        <w:trPr>
          <w:trHeight w:val="227"/>
          <w:jc w:val="center"/>
        </w:trPr>
        <w:tc>
          <w:tcPr>
            <w:tcW w:w="1572" w:type="pct"/>
            <w:shd w:val="clear" w:color="auto" w:fill="B6DDE8" w:themeFill="accent5" w:themeFillTint="66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Název indikátoru</w:t>
            </w:r>
          </w:p>
        </w:tc>
        <w:tc>
          <w:tcPr>
            <w:tcW w:w="1069" w:type="pct"/>
            <w:shd w:val="clear" w:color="auto" w:fill="B6DDE8" w:themeFill="accent5" w:themeFillTint="66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Měrná jednotka</w:t>
            </w:r>
          </w:p>
        </w:tc>
        <w:tc>
          <w:tcPr>
            <w:tcW w:w="786" w:type="pct"/>
            <w:shd w:val="clear" w:color="auto" w:fill="B6DDE8" w:themeFill="accent5" w:themeFillTint="66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2012</w:t>
            </w:r>
          </w:p>
        </w:tc>
        <w:tc>
          <w:tcPr>
            <w:tcW w:w="786" w:type="pct"/>
            <w:shd w:val="clear" w:color="auto" w:fill="B6DDE8" w:themeFill="accent5" w:themeFillTint="66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2013</w:t>
            </w:r>
          </w:p>
        </w:tc>
        <w:tc>
          <w:tcPr>
            <w:tcW w:w="786" w:type="pct"/>
            <w:shd w:val="clear" w:color="auto" w:fill="B6DDE8" w:themeFill="accent5" w:themeFillTint="66"/>
            <w:vAlign w:val="center"/>
          </w:tcPr>
          <w:p w:rsidR="008C77F9" w:rsidRPr="00693C3A" w:rsidRDefault="008C77F9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2014</w:t>
            </w:r>
          </w:p>
        </w:tc>
      </w:tr>
      <w:tr w:rsidR="001E3AAC" w:rsidRPr="00693C3A" w:rsidTr="001E3AAC">
        <w:trPr>
          <w:trHeight w:val="227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8C77F9" w:rsidRPr="00693C3A" w:rsidRDefault="008C77F9" w:rsidP="00325AE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Snížení spotřeby energie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C77F9" w:rsidRPr="00693C3A" w:rsidRDefault="008C77F9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TJ/rok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ind w:right="3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848,545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8C77F9" w:rsidRPr="00693C3A" w:rsidRDefault="008C77F9" w:rsidP="001E3AAC">
            <w:pPr>
              <w:spacing w:before="0" w:after="0" w:line="240" w:lineRule="auto"/>
              <w:ind w:right="3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2 589,959</w:t>
            </w:r>
          </w:p>
        </w:tc>
        <w:tc>
          <w:tcPr>
            <w:tcW w:w="786" w:type="pct"/>
            <w:vAlign w:val="center"/>
          </w:tcPr>
          <w:p w:rsidR="008C77F9" w:rsidRPr="00693C3A" w:rsidRDefault="008C77F9" w:rsidP="001E3AAC">
            <w:pPr>
              <w:spacing w:before="0" w:after="0" w:line="240" w:lineRule="auto"/>
              <w:ind w:right="3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5 799,077</w:t>
            </w:r>
          </w:p>
        </w:tc>
      </w:tr>
    </w:tbl>
    <w:p w:rsidR="002D1716" w:rsidRPr="00396C71" w:rsidRDefault="002D1716" w:rsidP="001E3AAC">
      <w:pPr>
        <w:spacing w:before="40" w:after="0" w:line="240" w:lineRule="auto"/>
        <w:rPr>
          <w:rFonts w:cs="Calibri"/>
          <w:bCs/>
          <w:sz w:val="20"/>
        </w:rPr>
      </w:pPr>
      <w:r w:rsidRPr="00396C71">
        <w:rPr>
          <w:rFonts w:cs="Calibri"/>
          <w:b/>
          <w:bCs/>
          <w:sz w:val="20"/>
        </w:rPr>
        <w:t>Zdroj:</w:t>
      </w:r>
      <w:r w:rsidRPr="00396C71">
        <w:rPr>
          <w:rFonts w:cs="Calibri"/>
          <w:bCs/>
          <w:sz w:val="20"/>
        </w:rPr>
        <w:t xml:space="preserve"> </w:t>
      </w:r>
      <w:r w:rsidR="00CA7587">
        <w:rPr>
          <w:rFonts w:cs="Calibri"/>
          <w:bCs/>
          <w:sz w:val="20"/>
        </w:rPr>
        <w:t>v</w:t>
      </w:r>
      <w:r w:rsidRPr="00396C71">
        <w:rPr>
          <w:rFonts w:cs="Calibri"/>
          <w:bCs/>
          <w:sz w:val="20"/>
        </w:rPr>
        <w:t>ý</w:t>
      </w:r>
      <w:r w:rsidR="00EB01AF" w:rsidRPr="00396C71">
        <w:rPr>
          <w:rFonts w:cs="Calibri"/>
          <w:bCs/>
          <w:sz w:val="20"/>
        </w:rPr>
        <w:t>roční zprávy OPPI</w:t>
      </w:r>
      <w:r w:rsidRPr="00396C71">
        <w:rPr>
          <w:rFonts w:cs="Calibri"/>
          <w:bCs/>
          <w:sz w:val="20"/>
        </w:rPr>
        <w:t xml:space="preserve"> za rok</w:t>
      </w:r>
      <w:r w:rsidR="00CA7587">
        <w:rPr>
          <w:rFonts w:cs="Calibri"/>
          <w:bCs/>
          <w:sz w:val="20"/>
        </w:rPr>
        <w:t>y</w:t>
      </w:r>
      <w:r w:rsidRPr="00396C71">
        <w:rPr>
          <w:rFonts w:cs="Calibri"/>
          <w:bCs/>
          <w:sz w:val="20"/>
        </w:rPr>
        <w:t xml:space="preserve"> 2012, 2013 a 2014</w:t>
      </w:r>
      <w:r w:rsidR="00601809" w:rsidRPr="00396C71">
        <w:rPr>
          <w:rFonts w:cs="Calibri"/>
          <w:bCs/>
          <w:sz w:val="20"/>
        </w:rPr>
        <w:t>.</w:t>
      </w:r>
    </w:p>
    <w:p w:rsidR="001E3AAC" w:rsidRDefault="001E3AAC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</w:p>
    <w:p w:rsidR="008C77F9" w:rsidRDefault="0004316E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  <w:r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Cílová hodnota indikátoru pro rok 2015 je 11 000 TJ. </w:t>
      </w:r>
      <w:r w:rsidR="008C77F9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V roce 2014 bylo </w:t>
      </w:r>
      <w:r w:rsidR="00C668DD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pomocí projektů </w:t>
      </w:r>
      <w:r w:rsidR="00832351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ukončených </w:t>
      </w:r>
      <w:r w:rsidR="00C668DD">
        <w:rPr>
          <w:rFonts w:asciiTheme="minorHAnsi" w:eastAsiaTheme="minorHAnsi" w:hAnsiTheme="minorHAnsi" w:cs="Calibri"/>
          <w:b w:val="0"/>
          <w:color w:val="auto"/>
          <w:lang w:eastAsia="en-US"/>
        </w:rPr>
        <w:t>v rámci prioritní osy 3 EKO-ENERGIE</w:t>
      </w:r>
      <w:r w:rsidR="008C77F9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 </w:t>
      </w:r>
      <w:r w:rsidR="00CA7587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uspořeno </w:t>
      </w:r>
      <w:r w:rsidR="008C77F9">
        <w:rPr>
          <w:rFonts w:asciiTheme="minorHAnsi" w:eastAsiaTheme="minorHAnsi" w:hAnsiTheme="minorHAnsi" w:cs="Calibri"/>
          <w:b w:val="0"/>
          <w:color w:val="auto"/>
          <w:lang w:eastAsia="en-US"/>
        </w:rPr>
        <w:t>5 799,</w:t>
      </w:r>
      <w:r w:rsidR="00C668DD">
        <w:rPr>
          <w:rFonts w:asciiTheme="minorHAnsi" w:eastAsiaTheme="minorHAnsi" w:hAnsiTheme="minorHAnsi" w:cs="Calibri"/>
          <w:b w:val="0"/>
          <w:color w:val="auto"/>
          <w:lang w:eastAsia="en-US"/>
        </w:rPr>
        <w:t>08 TJ</w:t>
      </w:r>
      <w:r w:rsidR="00E15F1A">
        <w:rPr>
          <w:rFonts w:asciiTheme="minorHAnsi" w:eastAsiaTheme="minorHAnsi" w:hAnsiTheme="minorHAnsi" w:cs="Calibri"/>
          <w:b w:val="0"/>
          <w:color w:val="auto"/>
          <w:lang w:eastAsia="en-US"/>
        </w:rPr>
        <w:t>, což představuje 52,7 </w:t>
      </w:r>
      <w:r>
        <w:rPr>
          <w:rFonts w:asciiTheme="minorHAnsi" w:eastAsiaTheme="minorHAnsi" w:hAnsiTheme="minorHAnsi" w:cs="Calibri"/>
          <w:b w:val="0"/>
          <w:color w:val="auto"/>
          <w:lang w:eastAsia="en-US"/>
        </w:rPr>
        <w:t>% plánované hodnoty indikátoru</w:t>
      </w:r>
      <w:r w:rsidR="00C668DD">
        <w:rPr>
          <w:rFonts w:asciiTheme="minorHAnsi" w:eastAsiaTheme="minorHAnsi" w:hAnsiTheme="minorHAnsi" w:cs="Calibri"/>
          <w:b w:val="0"/>
          <w:color w:val="auto"/>
          <w:lang w:eastAsia="en-US"/>
        </w:rPr>
        <w:t>.</w:t>
      </w:r>
      <w:r w:rsidR="00D205C1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 </w:t>
      </w:r>
    </w:p>
    <w:p w:rsidR="001E3AAC" w:rsidRDefault="001E3AAC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</w:p>
    <w:p w:rsidR="00C9124D" w:rsidRDefault="001F5185" w:rsidP="00CB795C">
      <w:pPr>
        <w:spacing w:before="0" w:after="0" w:line="264" w:lineRule="auto"/>
        <w:rPr>
          <w:rFonts w:cs="Calibri"/>
          <w:bCs/>
        </w:rPr>
      </w:pPr>
      <w:r>
        <w:rPr>
          <w:rFonts w:cs="Calibri"/>
          <w:bCs/>
        </w:rPr>
        <w:t>Z přehledu projektů podpořených MPO v období od roku 2007 do 4. února 2015 vyplývá, že</w:t>
      </w:r>
      <w:r w:rsidR="00C9124D" w:rsidRPr="00650EB8">
        <w:rPr>
          <w:rFonts w:cs="Calibri"/>
          <w:bCs/>
        </w:rPr>
        <w:t xml:space="preserve"> bylo podpořeno celkem 1 217 proje</w:t>
      </w:r>
      <w:r>
        <w:rPr>
          <w:rFonts w:cs="Calibri"/>
          <w:bCs/>
        </w:rPr>
        <w:t>ktů týkajících se úspor energie</w:t>
      </w:r>
      <w:r w:rsidR="00C9124D" w:rsidRPr="00650EB8">
        <w:rPr>
          <w:rFonts w:cs="Calibri"/>
          <w:bCs/>
        </w:rPr>
        <w:t xml:space="preserve"> ve výši </w:t>
      </w:r>
      <w:r w:rsidR="001B1F97">
        <w:rPr>
          <w:rFonts w:cs="Calibri"/>
          <w:bCs/>
        </w:rPr>
        <w:t>cca 13,</w:t>
      </w:r>
      <w:r w:rsidR="003A5796">
        <w:rPr>
          <w:rFonts w:cs="Calibri"/>
          <w:bCs/>
        </w:rPr>
        <w:t>6</w:t>
      </w:r>
      <w:r w:rsidR="001B1F97">
        <w:rPr>
          <w:rFonts w:cs="Calibri"/>
          <w:bCs/>
        </w:rPr>
        <w:t xml:space="preserve"> mld.</w:t>
      </w:r>
      <w:r w:rsidR="00C9124D" w:rsidRPr="00650EB8">
        <w:rPr>
          <w:rFonts w:cs="Calibri"/>
          <w:bCs/>
        </w:rPr>
        <w:t xml:space="preserve"> Kč.</w:t>
      </w:r>
    </w:p>
    <w:p w:rsidR="001E3AAC" w:rsidRDefault="001E3AAC" w:rsidP="00CB795C">
      <w:pPr>
        <w:spacing w:before="0" w:after="0" w:line="264" w:lineRule="auto"/>
        <w:rPr>
          <w:rFonts w:cs="Calibri"/>
          <w:bCs/>
        </w:rPr>
      </w:pPr>
    </w:p>
    <w:p w:rsidR="00C9124D" w:rsidRPr="00A845F2" w:rsidRDefault="00CA7587" w:rsidP="00CA7587">
      <w:pPr>
        <w:pStyle w:val="Odstavecseseznamem"/>
        <w:spacing w:before="0" w:after="0" w:line="264" w:lineRule="auto"/>
        <w:ind w:left="1474" w:hanging="1474"/>
        <w:contextualSpacing w:val="0"/>
        <w:rPr>
          <w:rFonts w:cs="Calibri"/>
          <w:b/>
          <w:bCs/>
        </w:rPr>
      </w:pPr>
      <w:r>
        <w:rPr>
          <w:rFonts w:cs="Calibri"/>
          <w:b/>
          <w:bCs/>
        </w:rPr>
        <w:t>Tabulka č. 3 –</w:t>
      </w:r>
      <w:r>
        <w:rPr>
          <w:rFonts w:cs="Calibri"/>
          <w:b/>
          <w:bCs/>
        </w:rPr>
        <w:tab/>
      </w:r>
      <w:r w:rsidR="00C9124D" w:rsidRPr="00A845F2">
        <w:rPr>
          <w:rFonts w:cs="Calibri"/>
          <w:b/>
          <w:bCs/>
        </w:rPr>
        <w:t xml:space="preserve">Projekty </w:t>
      </w:r>
      <w:r w:rsidR="00C9124D" w:rsidRPr="00396C71">
        <w:rPr>
          <w:rFonts w:cs="Calibri"/>
          <w:b/>
          <w:bCs/>
        </w:rPr>
        <w:t>úspor energie</w:t>
      </w:r>
      <w:r w:rsidR="00C9124D" w:rsidRPr="00A845F2">
        <w:rPr>
          <w:rFonts w:cs="Calibri"/>
          <w:b/>
          <w:bCs/>
        </w:rPr>
        <w:t xml:space="preserve"> prioritní osy 3 od roku 2007 do roku 2015 </w:t>
      </w:r>
    </w:p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2551"/>
        <w:gridCol w:w="2691"/>
      </w:tblGrid>
      <w:tr w:rsidR="00C9124D" w:rsidRPr="00693C3A" w:rsidTr="001E3AAC">
        <w:trPr>
          <w:trHeight w:val="227"/>
          <w:jc w:val="center"/>
        </w:trPr>
        <w:tc>
          <w:tcPr>
            <w:tcW w:w="2101" w:type="pct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Počet projektů</w:t>
            </w:r>
          </w:p>
        </w:tc>
        <w:tc>
          <w:tcPr>
            <w:tcW w:w="1411" w:type="pct"/>
            <w:shd w:val="clear" w:color="auto" w:fill="B6DDE8" w:themeFill="accent5" w:themeFillTint="66"/>
            <w:noWrap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Výše dotace</w:t>
            </w:r>
          </w:p>
        </w:tc>
        <w:tc>
          <w:tcPr>
            <w:tcW w:w="1488" w:type="pct"/>
            <w:shd w:val="clear" w:color="auto" w:fill="B6DDE8" w:themeFill="accent5" w:themeFillTint="66"/>
            <w:noWrap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Proplaceno k 4. 2. 2015</w:t>
            </w:r>
          </w:p>
        </w:tc>
      </w:tr>
      <w:tr w:rsidR="00C9124D" w:rsidRPr="00693C3A" w:rsidTr="001E3AAC">
        <w:trPr>
          <w:trHeight w:val="227"/>
          <w:jc w:val="center"/>
        </w:trPr>
        <w:tc>
          <w:tcPr>
            <w:tcW w:w="2101" w:type="pct"/>
            <w:vMerge/>
            <w:shd w:val="clear" w:color="auto" w:fill="B6DDE8" w:themeFill="accent5" w:themeFillTint="66"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2899" w:type="pct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v Kč</w:t>
            </w:r>
          </w:p>
        </w:tc>
      </w:tr>
      <w:tr w:rsidR="00C9124D" w:rsidRPr="00693C3A" w:rsidTr="001E3AAC">
        <w:trPr>
          <w:trHeight w:val="227"/>
          <w:jc w:val="center"/>
        </w:trPr>
        <w:tc>
          <w:tcPr>
            <w:tcW w:w="2101" w:type="pct"/>
            <w:shd w:val="clear" w:color="auto" w:fill="auto"/>
            <w:noWrap/>
            <w:vAlign w:val="center"/>
            <w:hideMark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1221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9124D" w:rsidRPr="00693C3A" w:rsidRDefault="00C9124D" w:rsidP="00693C3A">
            <w:pPr>
              <w:spacing w:before="0" w:after="0" w:line="240" w:lineRule="auto"/>
              <w:ind w:right="19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14 519 849 000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C9124D" w:rsidRPr="00693C3A" w:rsidRDefault="00C9124D" w:rsidP="00693C3A">
            <w:pPr>
              <w:spacing w:before="0" w:after="0" w:line="240" w:lineRule="auto"/>
              <w:ind w:right="19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13 574 045 235</w:t>
            </w:r>
          </w:p>
        </w:tc>
      </w:tr>
      <w:tr w:rsidR="00C9124D" w:rsidRPr="00693C3A" w:rsidTr="001E3AAC">
        <w:trPr>
          <w:trHeight w:val="227"/>
          <w:jc w:val="center"/>
        </w:trPr>
        <w:tc>
          <w:tcPr>
            <w:tcW w:w="2101" w:type="pct"/>
            <w:shd w:val="clear" w:color="auto" w:fill="auto"/>
            <w:noWrap/>
            <w:vAlign w:val="center"/>
          </w:tcPr>
          <w:p w:rsidR="00C9124D" w:rsidRPr="00693C3A" w:rsidRDefault="00C9124D" w:rsidP="00325AEC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z toho</w:t>
            </w: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 xml:space="preserve"> 4 projekty byly ukončeny bez financování</w:t>
            </w:r>
          </w:p>
        </w:tc>
        <w:tc>
          <w:tcPr>
            <w:tcW w:w="1411" w:type="pct"/>
            <w:shd w:val="clear" w:color="auto" w:fill="auto"/>
            <w:noWrap/>
            <w:vAlign w:val="center"/>
          </w:tcPr>
          <w:p w:rsidR="00C9124D" w:rsidRPr="00693C3A" w:rsidRDefault="00C9124D" w:rsidP="00693C3A">
            <w:pPr>
              <w:spacing w:before="0" w:after="0" w:line="240" w:lineRule="auto"/>
              <w:ind w:right="19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13 895 000</w:t>
            </w: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C9124D" w:rsidRPr="00693C3A" w:rsidRDefault="00C9124D" w:rsidP="00693C3A">
            <w:pPr>
              <w:spacing w:before="0" w:after="0" w:line="240" w:lineRule="auto"/>
              <w:ind w:right="199"/>
              <w:jc w:val="righ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0</w:t>
            </w:r>
          </w:p>
        </w:tc>
      </w:tr>
    </w:tbl>
    <w:p w:rsidR="00C9124D" w:rsidRPr="00CA7587" w:rsidRDefault="00C9124D" w:rsidP="001E3AAC">
      <w:pPr>
        <w:spacing w:before="40" w:after="0" w:line="240" w:lineRule="auto"/>
        <w:rPr>
          <w:rFonts w:cs="Calibri"/>
          <w:bCs/>
        </w:rPr>
      </w:pPr>
      <w:r w:rsidRPr="00396C71">
        <w:rPr>
          <w:rFonts w:cstheme="minorHAnsi"/>
          <w:b/>
          <w:bCs/>
          <w:sz w:val="20"/>
        </w:rPr>
        <w:t>Zdroj:</w:t>
      </w:r>
      <w:r w:rsidRPr="00396C71">
        <w:rPr>
          <w:rFonts w:cstheme="minorHAnsi"/>
          <w:bCs/>
          <w:sz w:val="20"/>
        </w:rPr>
        <w:t xml:space="preserve"> MPO</w:t>
      </w:r>
      <w:r w:rsidR="00601809" w:rsidRPr="00396C71">
        <w:rPr>
          <w:rFonts w:cstheme="minorHAnsi"/>
          <w:bCs/>
          <w:sz w:val="20"/>
        </w:rPr>
        <w:t>.</w:t>
      </w:r>
    </w:p>
    <w:p w:rsidR="001E3AAC" w:rsidRDefault="001E3AAC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</w:p>
    <w:p w:rsidR="00D56954" w:rsidRDefault="00D56954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  <w:r w:rsidRPr="002C0B6E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Operační program </w:t>
      </w:r>
      <w:r w:rsidRPr="00396C71">
        <w:rPr>
          <w:rFonts w:asciiTheme="minorHAnsi" w:eastAsiaTheme="minorHAnsi" w:hAnsiTheme="minorHAnsi" w:cs="Calibri"/>
          <w:b w:val="0"/>
          <w:i/>
          <w:color w:val="auto"/>
          <w:lang w:eastAsia="en-US"/>
        </w:rPr>
        <w:t>Podnikání a inovace pro konkurenceschopnost</w:t>
      </w:r>
      <w:r w:rsidRPr="002C0B6E">
        <w:rPr>
          <w:rFonts w:asciiTheme="minorHAnsi" w:eastAsiaTheme="minorHAnsi" w:hAnsiTheme="minorHAnsi" w:cs="Calibri"/>
          <w:b w:val="0"/>
          <w:color w:val="auto"/>
          <w:lang w:eastAsia="en-US"/>
        </w:rPr>
        <w:t xml:space="preserve"> pro programové období 2014</w:t>
      </w:r>
      <w:r w:rsidR="00601809">
        <w:rPr>
          <w:rFonts w:asciiTheme="minorHAnsi" w:eastAsiaTheme="minorHAnsi" w:hAnsiTheme="minorHAnsi" w:cs="Calibri"/>
          <w:b w:val="0"/>
          <w:color w:val="auto"/>
          <w:lang w:eastAsia="en-US"/>
        </w:rPr>
        <w:t>–</w:t>
      </w:r>
      <w:r w:rsidRPr="002C0B6E">
        <w:rPr>
          <w:rFonts w:asciiTheme="minorHAnsi" w:eastAsiaTheme="minorHAnsi" w:hAnsiTheme="minorHAnsi" w:cs="Calibri"/>
          <w:b w:val="0"/>
          <w:color w:val="auto"/>
          <w:lang w:eastAsia="en-US"/>
        </w:rPr>
        <w:t>2020 byl schválen Evropskou komisí dne 29. dubna 2015. Úspory energie jsou stejně jako u OPPI součástí prioritní osy 3.</w:t>
      </w:r>
    </w:p>
    <w:p w:rsidR="001E3AAC" w:rsidRDefault="001E3AAC" w:rsidP="00CB795C">
      <w:pPr>
        <w:pStyle w:val="pracovn3"/>
        <w:spacing w:before="0" w:line="264" w:lineRule="auto"/>
        <w:rPr>
          <w:rFonts w:asciiTheme="minorHAnsi" w:eastAsiaTheme="minorHAnsi" w:hAnsiTheme="minorHAnsi" w:cs="Calibri"/>
          <w:b w:val="0"/>
          <w:color w:val="auto"/>
          <w:lang w:eastAsia="en-US"/>
        </w:rPr>
      </w:pPr>
    </w:p>
    <w:p w:rsidR="00574001" w:rsidRDefault="00574001" w:rsidP="00CB795C">
      <w:pPr>
        <w:pStyle w:val="pracovn3"/>
        <w:spacing w:before="0" w:line="264" w:lineRule="auto"/>
        <w:rPr>
          <w:rFonts w:asciiTheme="minorHAnsi" w:hAnsiTheme="minorHAnsi" w:cstheme="minorHAnsi"/>
          <w:color w:val="auto"/>
        </w:rPr>
      </w:pPr>
      <w:r w:rsidRPr="00574001">
        <w:rPr>
          <w:rFonts w:asciiTheme="minorHAnsi" w:hAnsiTheme="minorHAnsi" w:cstheme="minorHAnsi"/>
          <w:color w:val="auto"/>
        </w:rPr>
        <w:t>Ministerstvo životního prostředí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574001" w:rsidRDefault="00574001" w:rsidP="00CB795C">
      <w:pPr>
        <w:spacing w:before="0" w:after="0" w:line="264" w:lineRule="auto"/>
        <w:rPr>
          <w:rFonts w:ascii="Calibri" w:hAnsi="Calibri" w:cs="Calibri"/>
        </w:rPr>
      </w:pPr>
      <w:r w:rsidRPr="00562A79">
        <w:rPr>
          <w:rFonts w:ascii="Calibri" w:hAnsi="Calibri" w:cs="Calibri"/>
        </w:rPr>
        <w:t xml:space="preserve">Strategickým cílem </w:t>
      </w:r>
      <w:r w:rsidR="00CA7587">
        <w:rPr>
          <w:rFonts w:ascii="Calibri" w:hAnsi="Calibri" w:cs="Calibri"/>
        </w:rPr>
        <w:t>o</w:t>
      </w:r>
      <w:r w:rsidRPr="00AA3E46">
        <w:rPr>
          <w:rFonts w:ascii="Calibri" w:hAnsi="Calibri" w:cs="Calibri"/>
        </w:rPr>
        <w:t xml:space="preserve">peračního programu </w:t>
      </w:r>
      <w:r w:rsidRPr="00396C71">
        <w:rPr>
          <w:rFonts w:ascii="Calibri" w:hAnsi="Calibri" w:cs="Calibri"/>
          <w:i/>
        </w:rPr>
        <w:t>Životní prostředí</w:t>
      </w:r>
      <w:r w:rsidRPr="00711F1F">
        <w:rPr>
          <w:rFonts w:ascii="Calibri" w:hAnsi="Calibri" w:cs="Calibri"/>
        </w:rPr>
        <w:t xml:space="preserve"> </w:t>
      </w:r>
      <w:r w:rsidR="00711F1F">
        <w:rPr>
          <w:rFonts w:ascii="Calibri" w:hAnsi="Calibri" w:cs="Calibri"/>
        </w:rPr>
        <w:t xml:space="preserve">(dále také „OPŽP) v programovém období </w:t>
      </w:r>
      <w:r w:rsidR="00601809" w:rsidRPr="00711F1F">
        <w:rPr>
          <w:rFonts w:ascii="Calibri" w:hAnsi="Calibri" w:cs="Calibri"/>
        </w:rPr>
        <w:t>2007–</w:t>
      </w:r>
      <w:r w:rsidR="00B85377" w:rsidRPr="00711F1F">
        <w:rPr>
          <w:rFonts w:ascii="Calibri" w:hAnsi="Calibri" w:cs="Calibri"/>
        </w:rPr>
        <w:t>2013</w:t>
      </w:r>
      <w:r>
        <w:rPr>
          <w:rFonts w:ascii="Calibri" w:hAnsi="Calibri" w:cs="Calibri"/>
        </w:rPr>
        <w:t xml:space="preserve"> v kompetenci MŽP </w:t>
      </w:r>
      <w:r w:rsidRPr="00562A79">
        <w:rPr>
          <w:rFonts w:ascii="Calibri" w:hAnsi="Calibri" w:cs="Calibri"/>
        </w:rPr>
        <w:t>je ochrana a zlepšování kvality životního prostředí jako základního principu udržitelného rozvoje</w:t>
      </w:r>
      <w:r>
        <w:rPr>
          <w:rFonts w:ascii="Calibri" w:hAnsi="Calibri" w:cs="Calibri"/>
        </w:rPr>
        <w:t>;</w:t>
      </w:r>
      <w:r w:rsidRPr="00562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důležité je též </w:t>
      </w:r>
      <w:r w:rsidRPr="00562A79">
        <w:rPr>
          <w:rFonts w:ascii="Calibri" w:hAnsi="Calibri" w:cs="Calibri"/>
        </w:rPr>
        <w:t>plnění požadavků právních předpisů E</w:t>
      </w:r>
      <w:r w:rsidR="00121E55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</w:t>
      </w:r>
      <w:r w:rsidR="00121E55">
        <w:rPr>
          <w:rFonts w:ascii="Calibri" w:hAnsi="Calibri" w:cs="Calibri"/>
        </w:rPr>
        <w:t>pro oblast</w:t>
      </w:r>
      <w:r w:rsidR="00601809">
        <w:rPr>
          <w:rFonts w:ascii="Calibri" w:hAnsi="Calibri" w:cs="Calibri"/>
        </w:rPr>
        <w:t xml:space="preserve"> životního prostředí a </w:t>
      </w:r>
      <w:r w:rsidRPr="00562A79">
        <w:rPr>
          <w:rFonts w:ascii="Calibri" w:hAnsi="Calibri" w:cs="Calibri"/>
        </w:rPr>
        <w:t xml:space="preserve">požadavků vyplývajících z dalších mezinárodních závazků ČR. V rámci </w:t>
      </w:r>
      <w:r w:rsidR="00CA7587">
        <w:rPr>
          <w:rFonts w:ascii="Calibri" w:hAnsi="Calibri" w:cs="Calibri"/>
        </w:rPr>
        <w:t>p</w:t>
      </w:r>
      <w:r w:rsidRPr="00562A79">
        <w:rPr>
          <w:rFonts w:ascii="Calibri" w:hAnsi="Calibri" w:cs="Calibri"/>
        </w:rPr>
        <w:t>rioritní osy 3</w:t>
      </w:r>
      <w:r w:rsidRPr="00562A79">
        <w:rPr>
          <w:rFonts w:ascii="Calibri" w:hAnsi="Calibri" w:cs="Calibri"/>
          <w:color w:val="000000"/>
        </w:rPr>
        <w:t xml:space="preserve"> </w:t>
      </w:r>
      <w:r w:rsidR="00CA7587">
        <w:rPr>
          <w:rFonts w:ascii="Calibri" w:hAnsi="Calibri" w:cs="Calibri"/>
          <w:color w:val="000000"/>
        </w:rPr>
        <w:t>–</w:t>
      </w:r>
      <w:r w:rsidR="00121E55">
        <w:rPr>
          <w:rFonts w:ascii="Calibri" w:hAnsi="Calibri" w:cs="Calibri"/>
          <w:color w:val="000000"/>
        </w:rPr>
        <w:t xml:space="preserve"> </w:t>
      </w:r>
      <w:r w:rsidRPr="001F5185">
        <w:rPr>
          <w:rFonts w:ascii="Calibri" w:hAnsi="Calibri" w:cs="Calibri"/>
          <w:i/>
        </w:rPr>
        <w:t>Udržitelné využívání zdrojů energie</w:t>
      </w:r>
      <w:r w:rsidRPr="00562A79">
        <w:rPr>
          <w:rFonts w:ascii="Calibri" w:hAnsi="Calibri" w:cs="Calibri"/>
        </w:rPr>
        <w:t xml:space="preserve"> je na úspory energie </w:t>
      </w:r>
      <w:r w:rsidR="00121E55" w:rsidRPr="00562A79">
        <w:rPr>
          <w:rFonts w:ascii="Calibri" w:hAnsi="Calibri" w:cs="Calibri"/>
        </w:rPr>
        <w:t xml:space="preserve">přímo zaměřena </w:t>
      </w:r>
      <w:r w:rsidRPr="00562A79">
        <w:rPr>
          <w:rFonts w:ascii="Calibri" w:hAnsi="Calibri" w:cs="Calibri"/>
        </w:rPr>
        <w:t>oblast</w:t>
      </w:r>
      <w:r w:rsidR="0027006D">
        <w:rPr>
          <w:rFonts w:ascii="Calibri" w:hAnsi="Calibri" w:cs="Calibri"/>
        </w:rPr>
        <w:t xml:space="preserve"> podpory</w:t>
      </w:r>
      <w:r w:rsidRPr="00562A79">
        <w:rPr>
          <w:rFonts w:ascii="Calibri" w:hAnsi="Calibri" w:cs="Calibri"/>
        </w:rPr>
        <w:t xml:space="preserve"> 3.2 </w:t>
      </w:r>
      <w:r w:rsidR="00121E55">
        <w:rPr>
          <w:rFonts w:ascii="Calibri" w:hAnsi="Calibri" w:cs="Calibri"/>
        </w:rPr>
        <w:t xml:space="preserve">– </w:t>
      </w:r>
      <w:r w:rsidRPr="001F5185">
        <w:rPr>
          <w:rFonts w:ascii="Calibri" w:hAnsi="Calibri" w:cs="Calibri"/>
          <w:i/>
        </w:rPr>
        <w:t>Realizace úspor energie a využití odpadního tepla u nepodnikatelské sféry</w:t>
      </w:r>
      <w:r w:rsidRPr="00562A79">
        <w:rPr>
          <w:rFonts w:ascii="Calibri" w:hAnsi="Calibri" w:cs="Calibri"/>
        </w:rPr>
        <w:t xml:space="preserve">. Cílem </w:t>
      </w:r>
      <w:r w:rsidR="00121E55">
        <w:rPr>
          <w:rFonts w:ascii="Calibri" w:hAnsi="Calibri" w:cs="Calibri"/>
        </w:rPr>
        <w:t>oblasti podpory</w:t>
      </w:r>
      <w:r w:rsidRPr="00562A79">
        <w:rPr>
          <w:rFonts w:ascii="Calibri" w:hAnsi="Calibri" w:cs="Calibri"/>
        </w:rPr>
        <w:t xml:space="preserve"> 3.2 je </w:t>
      </w:r>
      <w:r w:rsidR="00121E55">
        <w:rPr>
          <w:rFonts w:ascii="Calibri" w:hAnsi="Calibri" w:cs="Calibri"/>
        </w:rPr>
        <w:t>zvýšit úspory</w:t>
      </w:r>
      <w:r w:rsidRPr="00562A79">
        <w:rPr>
          <w:rFonts w:ascii="Calibri" w:hAnsi="Calibri" w:cs="Calibri"/>
        </w:rPr>
        <w:t xml:space="preserve"> energie pomocí technických opatření, zejména podpora snižování spotřeby energie budov neziskového sektoru prostřednictvím energeticky výhodnějšího pláště budov a efektivnějších systémů distribuce energie. Mezi specifické cíle </w:t>
      </w:r>
      <w:r w:rsidR="00CA7587">
        <w:rPr>
          <w:rFonts w:ascii="Calibri" w:hAnsi="Calibri" w:cs="Calibri"/>
        </w:rPr>
        <w:t>p</w:t>
      </w:r>
      <w:r w:rsidRPr="00562A79">
        <w:rPr>
          <w:rFonts w:ascii="Calibri" w:hAnsi="Calibri" w:cs="Calibri"/>
        </w:rPr>
        <w:t>rioritní osy 3 patří z</w:t>
      </w:r>
      <w:r w:rsidR="00FE4778">
        <w:rPr>
          <w:rFonts w:ascii="Calibri" w:hAnsi="Calibri" w:cs="Calibri"/>
        </w:rPr>
        <w:t>výšení využití odpadního tepla,</w:t>
      </w:r>
      <w:r w:rsidRPr="00562A79">
        <w:rPr>
          <w:rFonts w:ascii="Calibri" w:hAnsi="Calibri" w:cs="Calibri"/>
        </w:rPr>
        <w:t xml:space="preserve"> </w:t>
      </w:r>
      <w:r w:rsidR="00CA7587">
        <w:rPr>
          <w:rFonts w:ascii="Calibri" w:hAnsi="Calibri" w:cs="Calibri"/>
        </w:rPr>
        <w:t xml:space="preserve">zvýšení </w:t>
      </w:r>
      <w:r w:rsidRPr="00562A79">
        <w:rPr>
          <w:rFonts w:ascii="Calibri" w:hAnsi="Calibri" w:cs="Calibri"/>
        </w:rPr>
        <w:t>úspor energie a snížení spotřeby energie na vytápění.</w:t>
      </w:r>
    </w:p>
    <w:p w:rsidR="00AA3E46" w:rsidRDefault="00574001" w:rsidP="00CB795C">
      <w:pPr>
        <w:spacing w:before="0" w:after="0" w:line="264" w:lineRule="auto"/>
        <w:rPr>
          <w:rFonts w:cstheme="minorHAnsi"/>
        </w:rPr>
      </w:pPr>
      <w:r w:rsidRPr="00562A79">
        <w:rPr>
          <w:rFonts w:ascii="Calibri" w:hAnsi="Calibri" w:cs="Calibri"/>
        </w:rPr>
        <w:lastRenderedPageBreak/>
        <w:t xml:space="preserve">Prioritní osa 3 využívá dotaci Evropské unie prostřednictvím </w:t>
      </w:r>
      <w:r w:rsidRPr="00396C71">
        <w:rPr>
          <w:rFonts w:ascii="Calibri" w:hAnsi="Calibri" w:cs="Calibri"/>
          <w:i/>
        </w:rPr>
        <w:t>Fondu soudržnosti</w:t>
      </w:r>
      <w:r w:rsidRPr="00562A79">
        <w:rPr>
          <w:rFonts w:ascii="Calibri" w:hAnsi="Calibri" w:cs="Calibri"/>
        </w:rPr>
        <w:t>. Příspěvek z národních veřejných zdrojů</w:t>
      </w:r>
      <w:r w:rsidR="00157D7B">
        <w:rPr>
          <w:rFonts w:ascii="Calibri" w:hAnsi="Calibri" w:cs="Calibri"/>
        </w:rPr>
        <w:t>, který</w:t>
      </w:r>
      <w:r w:rsidRPr="00562A79">
        <w:rPr>
          <w:rFonts w:ascii="Calibri" w:hAnsi="Calibri" w:cs="Calibri"/>
        </w:rPr>
        <w:t xml:space="preserve"> obvykle </w:t>
      </w:r>
      <w:r w:rsidR="00157D7B">
        <w:rPr>
          <w:rFonts w:ascii="Calibri" w:hAnsi="Calibri" w:cs="Calibri"/>
        </w:rPr>
        <w:t>dosahuje výše</w:t>
      </w:r>
      <w:r w:rsidRPr="00562A79">
        <w:rPr>
          <w:rFonts w:ascii="Calibri" w:hAnsi="Calibri" w:cs="Calibri"/>
        </w:rPr>
        <w:t xml:space="preserve"> 5 % </w:t>
      </w:r>
      <w:r w:rsidR="00E4466B">
        <w:rPr>
          <w:rFonts w:ascii="Calibri" w:hAnsi="Calibri" w:cs="Calibri"/>
        </w:rPr>
        <w:t>způsobilých výdajů</w:t>
      </w:r>
      <w:r w:rsidR="00157D7B">
        <w:rPr>
          <w:rFonts w:ascii="Calibri" w:hAnsi="Calibri" w:cs="Calibri"/>
        </w:rPr>
        <w:t>,</w:t>
      </w:r>
      <w:r w:rsidRPr="00562A79">
        <w:rPr>
          <w:rFonts w:ascii="Calibri" w:hAnsi="Calibri" w:cs="Calibri"/>
        </w:rPr>
        <w:t xml:space="preserve"> je zajišťován </w:t>
      </w:r>
      <w:r>
        <w:rPr>
          <w:rFonts w:ascii="Calibri" w:hAnsi="Calibri" w:cs="Calibri"/>
        </w:rPr>
        <w:t xml:space="preserve">zejména </w:t>
      </w:r>
      <w:r w:rsidRPr="00562A79">
        <w:rPr>
          <w:rFonts w:ascii="Calibri" w:hAnsi="Calibri" w:cs="Calibri"/>
        </w:rPr>
        <w:t xml:space="preserve">z prostředků </w:t>
      </w:r>
      <w:r w:rsidR="00FE4778">
        <w:rPr>
          <w:rFonts w:ascii="Calibri" w:hAnsi="Calibri" w:cs="Calibri"/>
        </w:rPr>
        <w:t>Státního fondu životního prostředí ČR (dále také „</w:t>
      </w:r>
      <w:r w:rsidRPr="00562A79">
        <w:rPr>
          <w:rFonts w:ascii="Calibri" w:hAnsi="Calibri" w:cs="Calibri"/>
        </w:rPr>
        <w:t>SFŽP</w:t>
      </w:r>
      <w:r w:rsidR="00FE4778">
        <w:rPr>
          <w:rFonts w:ascii="Calibri" w:hAnsi="Calibri" w:cs="Calibri"/>
        </w:rPr>
        <w:t>“)</w:t>
      </w:r>
      <w:r w:rsidRPr="00562A79">
        <w:rPr>
          <w:rFonts w:ascii="Calibri" w:hAnsi="Calibri" w:cs="Calibri"/>
        </w:rPr>
        <w:t xml:space="preserve">. Alokace prostředků na </w:t>
      </w:r>
      <w:r w:rsidR="00157D7B">
        <w:rPr>
          <w:rFonts w:ascii="Calibri" w:hAnsi="Calibri" w:cs="Calibri"/>
        </w:rPr>
        <w:t>oblast podpory</w:t>
      </w:r>
      <w:r w:rsidRPr="00562A79">
        <w:rPr>
          <w:rFonts w:ascii="Calibri" w:hAnsi="Calibri" w:cs="Calibri"/>
        </w:rPr>
        <w:t xml:space="preserve"> 3.2 byla po celou dobu realizace OPŽP významně posilována</w:t>
      </w:r>
      <w:r>
        <w:rPr>
          <w:rFonts w:ascii="Calibri" w:hAnsi="Calibri" w:cs="Calibri"/>
        </w:rPr>
        <w:t xml:space="preserve"> </w:t>
      </w:r>
      <w:r w:rsidR="0060180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z původních cca 310</w:t>
      </w:r>
      <w:r w:rsidR="001E3AAC">
        <w:rPr>
          <w:rFonts w:ascii="Calibri" w:hAnsi="Calibri" w:cs="Calibri"/>
        </w:rPr>
        <w:t> </w:t>
      </w:r>
      <w:r>
        <w:rPr>
          <w:rFonts w:ascii="Calibri" w:hAnsi="Calibri" w:cs="Calibri"/>
        </w:rPr>
        <w:t>mil</w:t>
      </w:r>
      <w:r w:rsidRPr="00562A79">
        <w:rPr>
          <w:rFonts w:ascii="Calibri" w:hAnsi="Calibri" w:cs="Calibri"/>
        </w:rPr>
        <w:t>.</w:t>
      </w:r>
      <w:r w:rsidR="001E3AAC">
        <w:rPr>
          <w:rFonts w:ascii="Calibri" w:hAnsi="Calibri" w:cs="Calibri"/>
        </w:rPr>
        <w:t> </w:t>
      </w:r>
      <w:r w:rsidR="00CA7587">
        <w:rPr>
          <w:rFonts w:ascii="Calibri" w:hAnsi="Calibri" w:cs="Calibri"/>
        </w:rPr>
        <w:t>eur</w:t>
      </w:r>
      <w:r>
        <w:rPr>
          <w:rFonts w:ascii="Calibri" w:hAnsi="Calibri" w:cs="Calibri"/>
        </w:rPr>
        <w:t xml:space="preserve"> z </w:t>
      </w:r>
      <w:r w:rsidRPr="008B1C43">
        <w:rPr>
          <w:rFonts w:ascii="Calibri" w:hAnsi="Calibri" w:cs="Calibri"/>
          <w:i/>
        </w:rPr>
        <w:t xml:space="preserve">Fondu soudržnosti </w:t>
      </w:r>
      <w:r>
        <w:rPr>
          <w:rFonts w:ascii="Calibri" w:hAnsi="Calibri" w:cs="Calibri"/>
        </w:rPr>
        <w:t>se zvýšila ke konci roku 2014 na cca 793 mil</w:t>
      </w:r>
      <w:r w:rsidRPr="00562A7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CA7587">
        <w:rPr>
          <w:rFonts w:ascii="Calibri" w:hAnsi="Calibri" w:cs="Calibri"/>
        </w:rPr>
        <w:t>eur</w:t>
      </w:r>
      <w:r>
        <w:rPr>
          <w:rFonts w:ascii="Calibri" w:hAnsi="Calibri" w:cs="Calibri"/>
        </w:rPr>
        <w:t>.</w:t>
      </w:r>
      <w:r w:rsidRPr="001E3AAC">
        <w:rPr>
          <w:rFonts w:cstheme="minorHAnsi"/>
        </w:rPr>
        <w:t xml:space="preserve"> </w:t>
      </w:r>
      <w:r w:rsidR="00AC149E" w:rsidRPr="00AC149E">
        <w:rPr>
          <w:rFonts w:cstheme="minorHAnsi"/>
        </w:rPr>
        <w:t>V souvislosti s</w:t>
      </w:r>
      <w:r w:rsidR="00AC149E">
        <w:rPr>
          <w:rFonts w:cstheme="minorHAnsi"/>
        </w:rPr>
        <w:t> </w:t>
      </w:r>
      <w:r w:rsidR="00AC149E" w:rsidRPr="00AC149E">
        <w:rPr>
          <w:rFonts w:cstheme="minorHAnsi"/>
        </w:rPr>
        <w:t>tím</w:t>
      </w:r>
      <w:r w:rsidR="00AC149E">
        <w:rPr>
          <w:rFonts w:cstheme="minorHAnsi"/>
        </w:rPr>
        <w:t xml:space="preserve"> byla </w:t>
      </w:r>
      <w:r w:rsidR="00157D7B">
        <w:rPr>
          <w:rFonts w:cstheme="minorHAnsi"/>
        </w:rPr>
        <w:t>z</w:t>
      </w:r>
      <w:r w:rsidR="00AC149E">
        <w:rPr>
          <w:rFonts w:cstheme="minorHAnsi"/>
        </w:rPr>
        <w:t xml:space="preserve">vyšována </w:t>
      </w:r>
      <w:r w:rsidR="00157D7B">
        <w:rPr>
          <w:rFonts w:cstheme="minorHAnsi"/>
        </w:rPr>
        <w:t>i </w:t>
      </w:r>
      <w:r w:rsidR="00AC149E">
        <w:rPr>
          <w:rFonts w:cstheme="minorHAnsi"/>
        </w:rPr>
        <w:t>číselná hodnota programového indikátoru „</w:t>
      </w:r>
      <w:r w:rsidR="00CA7587">
        <w:rPr>
          <w:rFonts w:cstheme="minorHAnsi"/>
          <w:i/>
        </w:rPr>
        <w:t>s</w:t>
      </w:r>
      <w:r w:rsidR="00AC149E" w:rsidRPr="008B1C43">
        <w:rPr>
          <w:rFonts w:cstheme="minorHAnsi"/>
          <w:i/>
        </w:rPr>
        <w:t>nížení spotřeby energie</w:t>
      </w:r>
      <w:r w:rsidR="00AC149E">
        <w:rPr>
          <w:rFonts w:cstheme="minorHAnsi"/>
        </w:rPr>
        <w:t xml:space="preserve">“, který vyjadřuje cíl </w:t>
      </w:r>
      <w:r w:rsidR="00157D7B">
        <w:rPr>
          <w:rFonts w:cstheme="minorHAnsi"/>
        </w:rPr>
        <w:t>oblasti podpory</w:t>
      </w:r>
      <w:r w:rsidR="00AC149E">
        <w:rPr>
          <w:rFonts w:cstheme="minorHAnsi"/>
        </w:rPr>
        <w:t xml:space="preserve"> 3.2. Finální hodnotou je roční snížení spotřeby energie ve výši 2 000 TJ. </w:t>
      </w:r>
    </w:p>
    <w:p w:rsidR="001E3AAC" w:rsidRPr="00AC149E" w:rsidRDefault="001E3AAC" w:rsidP="00CB795C">
      <w:pPr>
        <w:spacing w:before="0" w:after="0" w:line="264" w:lineRule="auto"/>
        <w:rPr>
          <w:rFonts w:cstheme="minorHAnsi"/>
        </w:rPr>
      </w:pPr>
    </w:p>
    <w:p w:rsidR="00FB4816" w:rsidRDefault="0027006D" w:rsidP="00CB795C">
      <w:pPr>
        <w:spacing w:before="0" w:after="0" w:line="264" w:lineRule="auto"/>
      </w:pPr>
      <w:r>
        <w:t xml:space="preserve">V oblasti podpory </w:t>
      </w:r>
      <w:r w:rsidR="00574001" w:rsidRPr="00562A79">
        <w:t>3.2 OPŽP byl</w:t>
      </w:r>
      <w:r>
        <w:t>o</w:t>
      </w:r>
      <w:r w:rsidR="00574001" w:rsidRPr="00562A79">
        <w:t xml:space="preserve"> </w:t>
      </w:r>
      <w:r>
        <w:t xml:space="preserve">vyhlášeno </w:t>
      </w:r>
      <w:r w:rsidR="00574001" w:rsidRPr="00562A79">
        <w:t>celkem 12 výzev</w:t>
      </w:r>
      <w:r w:rsidR="00601809">
        <w:t>. Kontrolou plnění obecné a </w:t>
      </w:r>
      <w:r w:rsidR="00574001">
        <w:t xml:space="preserve">specifické přijatelnosti i bodovým hodnocením ekologické relevance a technické úrovně projektů je pověřen SFŽP. </w:t>
      </w:r>
    </w:p>
    <w:p w:rsidR="001E3AAC" w:rsidRDefault="001E3AAC" w:rsidP="00CB795C">
      <w:pPr>
        <w:spacing w:before="0" w:after="0" w:line="264" w:lineRule="auto"/>
      </w:pPr>
    </w:p>
    <w:p w:rsidR="00574001" w:rsidRPr="00FB4816" w:rsidRDefault="00574001" w:rsidP="00CB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  <w:rPr>
          <w:rFonts w:ascii="Calibri" w:hAnsi="Calibri" w:cs="Calibri"/>
        </w:rPr>
      </w:pPr>
      <w:r w:rsidRPr="00FB4816">
        <w:t xml:space="preserve">Kontrolou bylo zjištěno, že </w:t>
      </w:r>
      <w:r w:rsidR="001B1F97">
        <w:t>počet</w:t>
      </w:r>
      <w:r w:rsidRPr="00FB4816">
        <w:t xml:space="preserve"> bodů potřebných pro schvále</w:t>
      </w:r>
      <w:r w:rsidR="00296DB7">
        <w:t xml:space="preserve">ní žádosti se postupně </w:t>
      </w:r>
      <w:r w:rsidR="00832351">
        <w:t>snižoval</w:t>
      </w:r>
      <w:r w:rsidR="00157D7B">
        <w:t>, čímž</w:t>
      </w:r>
      <w:r w:rsidR="00296DB7">
        <w:t xml:space="preserve"> se</w:t>
      </w:r>
      <w:r w:rsidR="00157D7B">
        <w:t xml:space="preserve"> zároveň</w:t>
      </w:r>
      <w:r w:rsidR="00296DB7">
        <w:t xml:space="preserve"> změkčovaly podmínky pro</w:t>
      </w:r>
      <w:r w:rsidR="00D6099B">
        <w:t xml:space="preserve"> poskyt</w:t>
      </w:r>
      <w:r w:rsidR="00157D7B">
        <w:t>ování</w:t>
      </w:r>
      <w:r w:rsidR="00D6099B">
        <w:t xml:space="preserve"> dotací.</w:t>
      </w:r>
      <w:r w:rsidRPr="00FB4816">
        <w:t xml:space="preserve"> Pro SFŽP, poradní orgány účastnící se na hodnocení žádostí </w:t>
      </w:r>
      <w:r w:rsidR="00B347B8">
        <w:t>a</w:t>
      </w:r>
      <w:r w:rsidRPr="00FB4816">
        <w:t xml:space="preserve"> </w:t>
      </w:r>
      <w:r w:rsidR="001B1F97">
        <w:t>ř</w:t>
      </w:r>
      <w:r w:rsidRPr="00FB4816">
        <w:t>ídicí orgán operačního programu vydávající rozhodnutí o</w:t>
      </w:r>
      <w:r w:rsidR="009A729B">
        <w:t> </w:t>
      </w:r>
      <w:r w:rsidRPr="00FB4816">
        <w:t>poskytnutí dotace bylo však stále základním měřítk</w:t>
      </w:r>
      <w:r w:rsidR="0004316E">
        <w:t>em získání energetických úspor, čehož bylo dosaženo.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1E3AAC" w:rsidRDefault="00574001" w:rsidP="00CB795C">
      <w:pPr>
        <w:spacing w:before="0" w:after="0" w:line="264" w:lineRule="auto"/>
        <w:rPr>
          <w:rFonts w:ascii="Calibri" w:hAnsi="Calibri" w:cs="Calibri"/>
        </w:rPr>
      </w:pPr>
      <w:r w:rsidRPr="00AA7153">
        <w:rPr>
          <w:rFonts w:ascii="Calibri" w:hAnsi="Calibri" w:cs="Calibri"/>
        </w:rPr>
        <w:t xml:space="preserve">Plnění ukazatelů jednotlivých projektů </w:t>
      </w:r>
      <w:r w:rsidR="00AC149E">
        <w:rPr>
          <w:rFonts w:ascii="Calibri" w:hAnsi="Calibri" w:cs="Calibri"/>
        </w:rPr>
        <w:t>MŽP společně se SFŽP sleduje a vyhodnocuje, stejně jako vývoj</w:t>
      </w:r>
      <w:r w:rsidRPr="00AA7153">
        <w:rPr>
          <w:rFonts w:ascii="Calibri" w:hAnsi="Calibri" w:cs="Calibri"/>
        </w:rPr>
        <w:t xml:space="preserve"> indikátor</w:t>
      </w:r>
      <w:r w:rsidR="002F4E59">
        <w:rPr>
          <w:rFonts w:ascii="Calibri" w:hAnsi="Calibri" w:cs="Calibri"/>
        </w:rPr>
        <w:t>u</w:t>
      </w:r>
      <w:r w:rsidRPr="00AA7153">
        <w:rPr>
          <w:rFonts w:ascii="Calibri" w:hAnsi="Calibri" w:cs="Calibri"/>
        </w:rPr>
        <w:t xml:space="preserve"> </w:t>
      </w:r>
      <w:r w:rsidR="00157D7B">
        <w:rPr>
          <w:rFonts w:ascii="Calibri" w:hAnsi="Calibri" w:cs="Calibri"/>
        </w:rPr>
        <w:t>stanoveného pro oblast</w:t>
      </w:r>
      <w:r w:rsidR="002F4E59">
        <w:rPr>
          <w:rFonts w:ascii="Calibri" w:hAnsi="Calibri" w:cs="Calibri"/>
        </w:rPr>
        <w:t xml:space="preserve"> podpory 3.2.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EB01AF" w:rsidRPr="00A845F2" w:rsidRDefault="00F266B4" w:rsidP="00F266B4">
      <w:pPr>
        <w:pStyle w:val="Odstavecseseznamem"/>
        <w:spacing w:before="0" w:after="0" w:line="264" w:lineRule="auto"/>
        <w:ind w:left="1474" w:hanging="1474"/>
        <w:contextualSpacing w:val="0"/>
        <w:rPr>
          <w:rFonts w:cs="Calibri"/>
          <w:b/>
          <w:bCs/>
          <w:u w:val="single"/>
        </w:rPr>
      </w:pPr>
      <w:r>
        <w:rPr>
          <w:rFonts w:cs="Calibri"/>
          <w:b/>
          <w:bCs/>
        </w:rPr>
        <w:t>Tabulka č. 4 –</w:t>
      </w:r>
      <w:r>
        <w:rPr>
          <w:rFonts w:cs="Calibri"/>
          <w:b/>
          <w:bCs/>
        </w:rPr>
        <w:tab/>
      </w:r>
      <w:r w:rsidR="00EB01AF" w:rsidRPr="00A845F2">
        <w:rPr>
          <w:rFonts w:cs="Calibri"/>
          <w:b/>
          <w:bCs/>
        </w:rPr>
        <w:t xml:space="preserve">Indikátor prioritní osy 3 </w:t>
      </w:r>
      <w:r w:rsidR="00EB01AF" w:rsidRPr="008B1C43">
        <w:rPr>
          <w:rFonts w:cs="Calibri"/>
          <w:b/>
          <w:bCs/>
        </w:rPr>
        <w:t>„</w:t>
      </w:r>
      <w:r>
        <w:rPr>
          <w:rFonts w:cs="Calibri"/>
          <w:b/>
          <w:bCs/>
          <w:i/>
        </w:rPr>
        <w:t>s</w:t>
      </w:r>
      <w:r w:rsidR="00EB01AF" w:rsidRPr="00A845F2">
        <w:rPr>
          <w:rFonts w:cs="Calibri"/>
          <w:b/>
          <w:bCs/>
          <w:i/>
        </w:rPr>
        <w:t>nížení spotřeby energie</w:t>
      </w:r>
      <w:r w:rsidR="00EB01AF" w:rsidRPr="008B1C43">
        <w:rPr>
          <w:rFonts w:cs="Calibri"/>
          <w:b/>
          <w:bCs/>
        </w:rPr>
        <w:t>“</w:t>
      </w:r>
      <w:r w:rsidR="00EB01AF" w:rsidRPr="00F266B4">
        <w:rPr>
          <w:rFonts w:cs="Calibri"/>
          <w:b/>
          <w:bCs/>
        </w:rPr>
        <w:t xml:space="preserve"> </w:t>
      </w:r>
      <w:r w:rsidR="00601809" w:rsidRPr="00A845F2">
        <w:rPr>
          <w:rFonts w:cs="Calibri"/>
          <w:b/>
          <w:bCs/>
        </w:rPr>
        <w:t>–</w:t>
      </w:r>
      <w:r w:rsidR="00EB01AF" w:rsidRPr="00A845F2">
        <w:rPr>
          <w:rFonts w:cs="Calibri"/>
          <w:b/>
          <w:bCs/>
        </w:rPr>
        <w:t xml:space="preserve"> skutečnost</w:t>
      </w:r>
    </w:p>
    <w:tbl>
      <w:tblPr>
        <w:tblW w:w="49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884"/>
        <w:gridCol w:w="1498"/>
        <w:gridCol w:w="1498"/>
        <w:gridCol w:w="1438"/>
      </w:tblGrid>
      <w:tr w:rsidR="00EB01AF" w:rsidRPr="00693C3A" w:rsidTr="001E3AAC">
        <w:trPr>
          <w:trHeight w:val="227"/>
          <w:jc w:val="center"/>
        </w:trPr>
        <w:tc>
          <w:tcPr>
            <w:tcW w:w="1516" w:type="pct"/>
            <w:shd w:val="clear" w:color="auto" w:fill="B6DDE8" w:themeFill="accent5" w:themeFillTint="66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Název indikátoru</w:t>
            </w:r>
          </w:p>
        </w:tc>
        <w:tc>
          <w:tcPr>
            <w:tcW w:w="1038" w:type="pct"/>
            <w:shd w:val="clear" w:color="auto" w:fill="B6DDE8" w:themeFill="accent5" w:themeFillTint="66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Měrná jednotka</w:t>
            </w:r>
          </w:p>
        </w:tc>
        <w:tc>
          <w:tcPr>
            <w:tcW w:w="826" w:type="pct"/>
            <w:shd w:val="clear" w:color="auto" w:fill="B6DDE8" w:themeFill="accent5" w:themeFillTint="66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2012</w:t>
            </w:r>
          </w:p>
        </w:tc>
        <w:tc>
          <w:tcPr>
            <w:tcW w:w="826" w:type="pct"/>
            <w:shd w:val="clear" w:color="auto" w:fill="B6DDE8" w:themeFill="accent5" w:themeFillTint="66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2013</w:t>
            </w:r>
          </w:p>
        </w:tc>
        <w:tc>
          <w:tcPr>
            <w:tcW w:w="793" w:type="pct"/>
            <w:shd w:val="clear" w:color="auto" w:fill="B6DDE8" w:themeFill="accent5" w:themeFillTint="66"/>
            <w:vAlign w:val="center"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b/>
                <w:color w:val="000000"/>
                <w:sz w:val="22"/>
                <w:lang w:eastAsia="cs-CZ"/>
              </w:rPr>
              <w:t>2014</w:t>
            </w:r>
          </w:p>
        </w:tc>
      </w:tr>
      <w:tr w:rsidR="00EB01AF" w:rsidRPr="00693C3A" w:rsidTr="001E3AAC">
        <w:trPr>
          <w:trHeight w:val="227"/>
          <w:jc w:val="center"/>
        </w:trPr>
        <w:tc>
          <w:tcPr>
            <w:tcW w:w="1516" w:type="pct"/>
            <w:shd w:val="clear" w:color="auto" w:fill="auto"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Snížení spotřeby energie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EB01AF" w:rsidRPr="00693C3A" w:rsidRDefault="00EB01AF" w:rsidP="001E3AAC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cs-CZ"/>
              </w:rPr>
            </w:pPr>
            <w:r w:rsidRPr="00693C3A">
              <w:rPr>
                <w:rFonts w:ascii="Calibri" w:hAnsi="Calibri" w:cs="Calibri"/>
                <w:color w:val="000000"/>
                <w:sz w:val="22"/>
                <w:lang w:eastAsia="cs-CZ"/>
              </w:rPr>
              <w:t>TJ/rok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ind w:right="25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693C3A">
              <w:rPr>
                <w:rFonts w:ascii="Calibri" w:hAnsi="Calibri" w:cs="Calibri"/>
                <w:color w:val="000000"/>
                <w:sz w:val="22"/>
              </w:rPr>
              <w:t>257,05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EB01AF" w:rsidRPr="00693C3A" w:rsidRDefault="00EB01AF" w:rsidP="001E3AAC">
            <w:pPr>
              <w:spacing w:before="0" w:after="0" w:line="240" w:lineRule="auto"/>
              <w:ind w:right="25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693C3A">
              <w:rPr>
                <w:rFonts w:ascii="Calibri" w:hAnsi="Calibri" w:cs="Calibri"/>
                <w:color w:val="000000"/>
                <w:sz w:val="22"/>
              </w:rPr>
              <w:t>398,86</w:t>
            </w:r>
          </w:p>
        </w:tc>
        <w:tc>
          <w:tcPr>
            <w:tcW w:w="793" w:type="pct"/>
            <w:vAlign w:val="center"/>
          </w:tcPr>
          <w:p w:rsidR="00EB01AF" w:rsidRPr="00693C3A" w:rsidRDefault="00EB01AF" w:rsidP="001E3AAC">
            <w:pPr>
              <w:spacing w:before="0" w:after="0" w:line="240" w:lineRule="auto"/>
              <w:ind w:right="25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693C3A">
              <w:rPr>
                <w:rFonts w:ascii="Calibri" w:hAnsi="Calibri" w:cs="Calibri"/>
                <w:color w:val="000000"/>
                <w:sz w:val="22"/>
              </w:rPr>
              <w:t>1 206,92</w:t>
            </w:r>
          </w:p>
        </w:tc>
      </w:tr>
    </w:tbl>
    <w:p w:rsidR="00EB01AF" w:rsidRPr="008B1C43" w:rsidRDefault="00EB01AF" w:rsidP="001E3AAC">
      <w:pPr>
        <w:spacing w:before="40" w:after="0" w:line="240" w:lineRule="auto"/>
        <w:rPr>
          <w:rFonts w:cs="Calibri"/>
          <w:bCs/>
          <w:sz w:val="20"/>
        </w:rPr>
      </w:pPr>
      <w:r w:rsidRPr="008B1C43">
        <w:rPr>
          <w:rFonts w:cs="Calibri"/>
          <w:b/>
          <w:bCs/>
          <w:sz w:val="20"/>
        </w:rPr>
        <w:t>Zdroj:</w:t>
      </w:r>
      <w:r w:rsidRPr="008B1C43">
        <w:rPr>
          <w:rFonts w:cs="Calibri"/>
          <w:bCs/>
          <w:sz w:val="20"/>
        </w:rPr>
        <w:t xml:space="preserve"> </w:t>
      </w:r>
      <w:r w:rsidR="00F266B4">
        <w:rPr>
          <w:rFonts w:cs="Calibri"/>
          <w:bCs/>
          <w:sz w:val="20"/>
        </w:rPr>
        <w:t>v</w:t>
      </w:r>
      <w:r w:rsidRPr="008B1C43">
        <w:rPr>
          <w:rFonts w:cs="Calibri"/>
          <w:bCs/>
          <w:sz w:val="20"/>
        </w:rPr>
        <w:t>ýroční zprávy OPŽP za rok</w:t>
      </w:r>
      <w:r w:rsidR="00F266B4">
        <w:rPr>
          <w:rFonts w:cs="Calibri"/>
          <w:bCs/>
          <w:sz w:val="20"/>
        </w:rPr>
        <w:t>y</w:t>
      </w:r>
      <w:r w:rsidRPr="008B1C43">
        <w:rPr>
          <w:rFonts w:cs="Calibri"/>
          <w:bCs/>
          <w:sz w:val="20"/>
        </w:rPr>
        <w:t xml:space="preserve"> 2012, 2013 a 2014</w:t>
      </w:r>
      <w:r w:rsidR="00601809" w:rsidRPr="008B1C43">
        <w:rPr>
          <w:rFonts w:cs="Calibri"/>
          <w:bCs/>
          <w:sz w:val="20"/>
        </w:rPr>
        <w:t>.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0B6747" w:rsidRDefault="00832351" w:rsidP="00CB795C">
      <w:pPr>
        <w:spacing w:before="0"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Ke dni 31. 12. 2014 bylo proplaceno 18,637 mld. Kč</w:t>
      </w:r>
      <w:r w:rsidR="00901D97">
        <w:rPr>
          <w:rFonts w:ascii="Calibri" w:hAnsi="Calibri" w:cs="Calibri"/>
        </w:rPr>
        <w:t>, do</w:t>
      </w:r>
      <w:r w:rsidR="00157D7B">
        <w:rPr>
          <w:rFonts w:ascii="Calibri" w:hAnsi="Calibri" w:cs="Calibri"/>
        </w:rPr>
        <w:t>saženo</w:t>
      </w:r>
      <w:r>
        <w:rPr>
          <w:rFonts w:ascii="Calibri" w:hAnsi="Calibri" w:cs="Calibri"/>
        </w:rPr>
        <w:t xml:space="preserve"> roční úspory energie ve výši 1 206,92 TJ a</w:t>
      </w:r>
      <w:r w:rsidR="00F266B4">
        <w:rPr>
          <w:rFonts w:ascii="Calibri" w:hAnsi="Calibri" w:cs="Calibri"/>
        </w:rPr>
        <w:t> byla</w:t>
      </w:r>
      <w:r>
        <w:rPr>
          <w:rFonts w:ascii="Calibri" w:hAnsi="Calibri" w:cs="Calibri"/>
        </w:rPr>
        <w:t xml:space="preserve"> vydána rozhodnutí v celkovém objemu</w:t>
      </w:r>
      <w:r w:rsidR="00C461AC">
        <w:rPr>
          <w:rFonts w:ascii="Calibri" w:hAnsi="Calibri" w:cs="Calibri"/>
        </w:rPr>
        <w:t xml:space="preserve"> 20,868 mld. Kč s předpokládanou úsporou energie ve výši 3 600 TJ. </w:t>
      </w:r>
      <w:r w:rsidR="002F4E59">
        <w:rPr>
          <w:rFonts w:ascii="Calibri" w:hAnsi="Calibri" w:cs="Calibri"/>
        </w:rPr>
        <w:t xml:space="preserve">Jsou tedy vytvořeny předpoklady pro splnění, resp. </w:t>
      </w:r>
      <w:r w:rsidR="00157D7B">
        <w:rPr>
          <w:rFonts w:ascii="Calibri" w:hAnsi="Calibri" w:cs="Calibri"/>
        </w:rPr>
        <w:t>překroční</w:t>
      </w:r>
      <w:r w:rsidR="002F4E59">
        <w:rPr>
          <w:rFonts w:ascii="Calibri" w:hAnsi="Calibri" w:cs="Calibri"/>
        </w:rPr>
        <w:t xml:space="preserve"> cíle vyjádřeného indikátorem „</w:t>
      </w:r>
      <w:r w:rsidR="00F266B4" w:rsidRPr="008B1C43">
        <w:rPr>
          <w:rFonts w:ascii="Calibri" w:hAnsi="Calibri" w:cs="Calibri"/>
          <w:i/>
        </w:rPr>
        <w:t>s</w:t>
      </w:r>
      <w:r w:rsidR="002F4E59" w:rsidRPr="008B1C43">
        <w:rPr>
          <w:rFonts w:ascii="Calibri" w:hAnsi="Calibri" w:cs="Calibri"/>
          <w:i/>
        </w:rPr>
        <w:t>nížení spotřeby energie</w:t>
      </w:r>
      <w:r w:rsidR="002F4E59">
        <w:rPr>
          <w:rFonts w:ascii="Calibri" w:hAnsi="Calibri" w:cs="Calibri"/>
        </w:rPr>
        <w:t>“.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1630DD" w:rsidRDefault="00C3247F" w:rsidP="00CB795C">
      <w:pPr>
        <w:spacing w:before="0"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V res</w:t>
      </w:r>
      <w:r w:rsidR="00574001" w:rsidRPr="00AA7153">
        <w:rPr>
          <w:rFonts w:ascii="Calibri" w:hAnsi="Calibri" w:cs="Calibri"/>
        </w:rPr>
        <w:t xml:space="preserve">ortu MŽP </w:t>
      </w:r>
      <w:r w:rsidR="00C461AC">
        <w:rPr>
          <w:rFonts w:ascii="Calibri" w:hAnsi="Calibri" w:cs="Calibri"/>
        </w:rPr>
        <w:t xml:space="preserve">dále </w:t>
      </w:r>
      <w:r w:rsidR="00574001" w:rsidRPr="00AA7153">
        <w:rPr>
          <w:rFonts w:ascii="Calibri" w:hAnsi="Calibri" w:cs="Calibri"/>
        </w:rPr>
        <w:t>existují čtyři programy</w:t>
      </w:r>
      <w:r w:rsidR="00AA7153">
        <w:rPr>
          <w:rFonts w:ascii="Calibri" w:hAnsi="Calibri" w:cs="Calibri"/>
        </w:rPr>
        <w:t xml:space="preserve"> </w:t>
      </w:r>
      <w:r w:rsidR="00F266B4">
        <w:rPr>
          <w:rFonts w:ascii="Calibri" w:hAnsi="Calibri" w:cs="Calibri"/>
        </w:rPr>
        <w:t xml:space="preserve">obsahující v názvu spojení </w:t>
      </w:r>
      <w:r w:rsidR="00AA7153" w:rsidRPr="00D06746">
        <w:rPr>
          <w:rFonts w:ascii="Calibri" w:hAnsi="Calibri" w:cs="Calibri"/>
          <w:i/>
        </w:rPr>
        <w:t>„</w:t>
      </w:r>
      <w:r w:rsidR="00F266B4" w:rsidRPr="008B1C43">
        <w:rPr>
          <w:rFonts w:ascii="Calibri" w:hAnsi="Calibri" w:cs="Calibri"/>
        </w:rPr>
        <w:t>z</w:t>
      </w:r>
      <w:r w:rsidR="00AA7153" w:rsidRPr="008B1C43">
        <w:rPr>
          <w:rFonts w:ascii="Calibri" w:hAnsi="Calibri" w:cs="Calibri"/>
        </w:rPr>
        <w:t>elená úsporám</w:t>
      </w:r>
      <w:r w:rsidR="00AA7153" w:rsidRPr="00D06746">
        <w:rPr>
          <w:rFonts w:ascii="Calibri" w:hAnsi="Calibri" w:cs="Calibri"/>
          <w:i/>
        </w:rPr>
        <w:t>“</w:t>
      </w:r>
      <w:r w:rsidR="00574001" w:rsidRPr="00AA7153">
        <w:rPr>
          <w:rFonts w:ascii="Calibri" w:hAnsi="Calibri" w:cs="Calibri"/>
        </w:rPr>
        <w:t xml:space="preserve">, které </w:t>
      </w:r>
      <w:r w:rsidR="00D06746">
        <w:rPr>
          <w:rFonts w:ascii="Calibri" w:hAnsi="Calibri" w:cs="Calibri"/>
        </w:rPr>
        <w:t>jsou zaměřeny na úspory tepla pro</w:t>
      </w:r>
      <w:r w:rsidR="00574001" w:rsidRPr="00AA7153">
        <w:rPr>
          <w:rFonts w:ascii="Calibri" w:hAnsi="Calibri" w:cs="Calibri"/>
        </w:rPr>
        <w:t xml:space="preserve"> vytápění</w:t>
      </w:r>
      <w:r w:rsidR="00AA7153">
        <w:rPr>
          <w:rFonts w:ascii="Calibri" w:hAnsi="Calibri" w:cs="Calibri"/>
        </w:rPr>
        <w:t xml:space="preserve">. </w:t>
      </w:r>
      <w:r w:rsidR="00574001" w:rsidRPr="00562A79">
        <w:rPr>
          <w:rFonts w:ascii="Calibri" w:hAnsi="Calibri" w:cs="Calibri"/>
        </w:rPr>
        <w:t>Programy se liší zdroji financování</w:t>
      </w:r>
      <w:r w:rsidR="00F266B4">
        <w:rPr>
          <w:rFonts w:ascii="Calibri" w:hAnsi="Calibri" w:cs="Calibri"/>
        </w:rPr>
        <w:t>,</w:t>
      </w:r>
      <w:r w:rsidR="00B11288">
        <w:rPr>
          <w:rFonts w:ascii="Calibri" w:hAnsi="Calibri" w:cs="Calibri"/>
        </w:rPr>
        <w:t xml:space="preserve"> a </w:t>
      </w:r>
      <w:r w:rsidR="00574001" w:rsidRPr="00562A79">
        <w:rPr>
          <w:rFonts w:ascii="Calibri" w:hAnsi="Calibri" w:cs="Calibri"/>
        </w:rPr>
        <w:t>v důsledku toho i postupy administrace</w:t>
      </w:r>
      <w:r w:rsidR="00F266B4">
        <w:rPr>
          <w:rFonts w:ascii="Calibri" w:hAnsi="Calibri" w:cs="Calibri"/>
        </w:rPr>
        <w:t>:</w:t>
      </w:r>
      <w:r w:rsidR="00574001" w:rsidRPr="00562A79">
        <w:rPr>
          <w:rFonts w:ascii="Calibri" w:hAnsi="Calibri" w:cs="Calibri"/>
        </w:rPr>
        <w:t xml:space="preserve"> </w:t>
      </w:r>
    </w:p>
    <w:p w:rsidR="00574001" w:rsidRPr="001630DD" w:rsidRDefault="00574001" w:rsidP="00CB795C">
      <w:pPr>
        <w:pStyle w:val="Odstavecseseznamem"/>
        <w:numPr>
          <w:ilvl w:val="0"/>
          <w:numId w:val="32"/>
        </w:numPr>
        <w:spacing w:before="0" w:after="0" w:line="264" w:lineRule="auto"/>
        <w:ind w:left="284" w:hanging="284"/>
        <w:contextualSpacing w:val="0"/>
        <w:rPr>
          <w:rFonts w:ascii="Calibri" w:hAnsi="Calibri" w:cs="Calibri"/>
        </w:rPr>
      </w:pPr>
      <w:r w:rsidRPr="008B1C43">
        <w:rPr>
          <w:rFonts w:ascii="Calibri" w:hAnsi="Calibri" w:cs="Calibri"/>
          <w:i/>
        </w:rPr>
        <w:t>Zelená úsporám (obytné budovy)</w:t>
      </w:r>
      <w:r w:rsidRPr="001630DD">
        <w:rPr>
          <w:rFonts w:ascii="Calibri" w:hAnsi="Calibri" w:cs="Calibri"/>
        </w:rPr>
        <w:t xml:space="preserve"> </w:t>
      </w:r>
      <w:r w:rsidR="00B11288">
        <w:rPr>
          <w:rFonts w:ascii="Calibri" w:hAnsi="Calibri" w:cs="Calibri"/>
        </w:rPr>
        <w:t xml:space="preserve">– </w:t>
      </w:r>
      <w:r w:rsidR="00414635">
        <w:rPr>
          <w:rFonts w:ascii="Calibri" w:hAnsi="Calibri" w:cs="Calibri"/>
        </w:rPr>
        <w:t xml:space="preserve">program </w:t>
      </w:r>
      <w:r w:rsidRPr="001630DD">
        <w:rPr>
          <w:rFonts w:ascii="Calibri" w:hAnsi="Calibri" w:cs="Calibri"/>
        </w:rPr>
        <w:t xml:space="preserve">zahájen </w:t>
      </w:r>
      <w:r w:rsidR="00B11288">
        <w:rPr>
          <w:rFonts w:ascii="Calibri" w:hAnsi="Calibri" w:cs="Calibri"/>
        </w:rPr>
        <w:t xml:space="preserve">v roce </w:t>
      </w:r>
      <w:r w:rsidRPr="001630DD">
        <w:rPr>
          <w:rFonts w:ascii="Calibri" w:hAnsi="Calibri" w:cs="Calibri"/>
        </w:rPr>
        <w:t xml:space="preserve">2009, </w:t>
      </w:r>
      <w:r w:rsidR="007C4493">
        <w:rPr>
          <w:rFonts w:ascii="Calibri" w:hAnsi="Calibri" w:cs="Calibri"/>
        </w:rPr>
        <w:t xml:space="preserve">financováno </w:t>
      </w:r>
      <w:r w:rsidRPr="001630DD">
        <w:rPr>
          <w:rFonts w:ascii="Calibri" w:hAnsi="Calibri" w:cs="Calibri"/>
        </w:rPr>
        <w:t>prostředky SFŽP, alokace přes 20 mld. Kč (částka získaná prodejem jednotek AAU</w:t>
      </w:r>
      <w:r w:rsidR="004C2459">
        <w:rPr>
          <w:rStyle w:val="Znakapoznpodarou"/>
          <w:rFonts w:ascii="Calibri" w:hAnsi="Calibri" w:cs="Calibri"/>
        </w:rPr>
        <w:footnoteReference w:id="9"/>
      </w:r>
      <w:r w:rsidRPr="001630DD">
        <w:rPr>
          <w:rFonts w:ascii="Calibri" w:hAnsi="Calibri" w:cs="Calibri"/>
        </w:rPr>
        <w:t>), příjem žádostí u</w:t>
      </w:r>
      <w:r w:rsidR="002F4E59">
        <w:rPr>
          <w:rFonts w:ascii="Calibri" w:hAnsi="Calibri" w:cs="Calibri"/>
        </w:rPr>
        <w:t>zavřen</w:t>
      </w:r>
      <w:r w:rsidRPr="001630DD">
        <w:rPr>
          <w:rFonts w:ascii="Calibri" w:hAnsi="Calibri" w:cs="Calibri"/>
        </w:rPr>
        <w:t>, čerpání prostředků ukončeno na více než 99 %</w:t>
      </w:r>
      <w:r w:rsidR="001630DD" w:rsidRPr="001630DD">
        <w:rPr>
          <w:rFonts w:ascii="Calibri" w:hAnsi="Calibri" w:cs="Calibri"/>
        </w:rPr>
        <w:t>. K datu 30. 6. 201</w:t>
      </w:r>
      <w:r w:rsidR="001E3AAC">
        <w:rPr>
          <w:rFonts w:ascii="Calibri" w:hAnsi="Calibri" w:cs="Calibri"/>
        </w:rPr>
        <w:t>4 bylo proplaceno celkem 20,254 mld. </w:t>
      </w:r>
      <w:r w:rsidR="001630DD" w:rsidRPr="001630DD">
        <w:rPr>
          <w:rFonts w:ascii="Calibri" w:hAnsi="Calibri" w:cs="Calibri"/>
        </w:rPr>
        <w:t>Kč na 74 061 projektů</w:t>
      </w:r>
      <w:r w:rsidR="002F4E59">
        <w:rPr>
          <w:rFonts w:ascii="Calibri" w:hAnsi="Calibri" w:cs="Calibri"/>
        </w:rPr>
        <w:t>.</w:t>
      </w:r>
      <w:r w:rsidR="001630DD" w:rsidRPr="001630DD">
        <w:rPr>
          <w:rFonts w:ascii="Calibri" w:hAnsi="Calibri" w:cs="Calibri"/>
        </w:rPr>
        <w:t xml:space="preserve"> </w:t>
      </w:r>
      <w:r w:rsidR="002F4E59">
        <w:rPr>
          <w:rFonts w:ascii="Calibri" w:hAnsi="Calibri" w:cs="Calibri"/>
        </w:rPr>
        <w:t>Byl</w:t>
      </w:r>
      <w:r w:rsidR="001630DD" w:rsidRPr="001630DD">
        <w:rPr>
          <w:rFonts w:ascii="Calibri" w:hAnsi="Calibri" w:cs="Calibri"/>
        </w:rPr>
        <w:t>a dosažena roč</w:t>
      </w:r>
      <w:r w:rsidR="001E3AAC">
        <w:rPr>
          <w:rFonts w:ascii="Calibri" w:hAnsi="Calibri" w:cs="Calibri"/>
        </w:rPr>
        <w:t>ní úspora tepla na vytápění cca </w:t>
      </w:r>
      <w:r w:rsidR="001630DD" w:rsidRPr="001630DD">
        <w:rPr>
          <w:rFonts w:ascii="Calibri" w:hAnsi="Calibri" w:cs="Calibri"/>
        </w:rPr>
        <w:t>4</w:t>
      </w:r>
      <w:r w:rsidR="001E3AAC">
        <w:rPr>
          <w:rFonts w:ascii="Calibri" w:hAnsi="Calibri" w:cs="Calibri"/>
        </w:rPr>
        <w:t> </w:t>
      </w:r>
      <w:r w:rsidR="001630DD" w:rsidRPr="001630DD">
        <w:rPr>
          <w:rFonts w:ascii="Calibri" w:hAnsi="Calibri" w:cs="Calibri"/>
        </w:rPr>
        <w:t>7</w:t>
      </w:r>
      <w:r w:rsidR="00066E45">
        <w:rPr>
          <w:rFonts w:ascii="Calibri" w:hAnsi="Calibri" w:cs="Calibri"/>
        </w:rPr>
        <w:t>00</w:t>
      </w:r>
      <w:r w:rsidR="001630DD" w:rsidRPr="001630DD">
        <w:rPr>
          <w:rFonts w:ascii="Calibri" w:hAnsi="Calibri" w:cs="Calibri"/>
        </w:rPr>
        <w:t xml:space="preserve"> </w:t>
      </w:r>
      <w:r w:rsidR="00066E45">
        <w:rPr>
          <w:rFonts w:ascii="Calibri" w:hAnsi="Calibri" w:cs="Calibri"/>
        </w:rPr>
        <w:t>T</w:t>
      </w:r>
      <w:r w:rsidR="001630DD" w:rsidRPr="001630DD">
        <w:rPr>
          <w:rFonts w:ascii="Calibri" w:hAnsi="Calibri" w:cs="Calibri"/>
        </w:rPr>
        <w:t>J</w:t>
      </w:r>
      <w:r w:rsidR="002F4E59">
        <w:rPr>
          <w:rFonts w:ascii="Calibri" w:hAnsi="Calibri" w:cs="Calibri"/>
        </w:rPr>
        <w:t>, což je v relaci s vládou schválenými cíli programu</w:t>
      </w:r>
      <w:r w:rsidR="007C4493">
        <w:rPr>
          <w:rFonts w:ascii="Calibri" w:hAnsi="Calibri" w:cs="Calibri"/>
        </w:rPr>
        <w:t>.</w:t>
      </w:r>
    </w:p>
    <w:p w:rsidR="00574001" w:rsidRPr="009A78E6" w:rsidRDefault="00574001" w:rsidP="00CB795C">
      <w:pPr>
        <w:pStyle w:val="Odstavecseseznamem"/>
        <w:numPr>
          <w:ilvl w:val="0"/>
          <w:numId w:val="9"/>
        </w:numPr>
        <w:spacing w:before="0" w:after="0" w:line="264" w:lineRule="auto"/>
        <w:ind w:left="284" w:hanging="284"/>
        <w:contextualSpacing w:val="0"/>
        <w:rPr>
          <w:rFonts w:ascii="Calibri" w:hAnsi="Calibri" w:cs="Calibri"/>
        </w:rPr>
      </w:pPr>
      <w:r w:rsidRPr="008B1C43">
        <w:rPr>
          <w:rFonts w:ascii="Calibri" w:hAnsi="Calibri" w:cs="Calibri"/>
          <w:i/>
        </w:rPr>
        <w:lastRenderedPageBreak/>
        <w:t>Zelená úsporám (veřejné budovy)</w:t>
      </w:r>
      <w:r w:rsidRPr="009A78E6">
        <w:rPr>
          <w:rFonts w:ascii="Calibri" w:hAnsi="Calibri" w:cs="Calibri"/>
        </w:rPr>
        <w:t xml:space="preserve"> </w:t>
      </w:r>
      <w:r w:rsidR="007C4493">
        <w:rPr>
          <w:rFonts w:ascii="Calibri" w:hAnsi="Calibri" w:cs="Calibri"/>
        </w:rPr>
        <w:t xml:space="preserve">– </w:t>
      </w:r>
      <w:r w:rsidRPr="009A78E6">
        <w:rPr>
          <w:rFonts w:ascii="Calibri" w:hAnsi="Calibri" w:cs="Calibri"/>
        </w:rPr>
        <w:t xml:space="preserve">čerpání zahájeno 2013, </w:t>
      </w:r>
      <w:r w:rsidR="007C4493">
        <w:rPr>
          <w:rFonts w:ascii="Calibri" w:hAnsi="Calibri" w:cs="Calibri"/>
        </w:rPr>
        <w:t xml:space="preserve">financováno </w:t>
      </w:r>
      <w:r w:rsidRPr="009A78E6">
        <w:rPr>
          <w:rFonts w:ascii="Calibri" w:hAnsi="Calibri" w:cs="Calibri"/>
        </w:rPr>
        <w:t xml:space="preserve">zejména </w:t>
      </w:r>
      <w:r w:rsidR="00414635">
        <w:rPr>
          <w:rFonts w:ascii="Calibri" w:hAnsi="Calibri" w:cs="Calibri"/>
        </w:rPr>
        <w:t>prostředky ze státního rozpočtu</w:t>
      </w:r>
      <w:r w:rsidR="007C4493">
        <w:rPr>
          <w:rFonts w:ascii="Calibri" w:hAnsi="Calibri" w:cs="Calibri"/>
        </w:rPr>
        <w:t>,</w:t>
      </w:r>
      <w:r w:rsidRPr="009A78E6">
        <w:rPr>
          <w:rFonts w:ascii="Calibri" w:hAnsi="Calibri" w:cs="Calibri"/>
        </w:rPr>
        <w:t xml:space="preserve"> alokace 0,4 mld. Kč</w:t>
      </w:r>
      <w:r w:rsidR="007C4493">
        <w:rPr>
          <w:rFonts w:ascii="Calibri" w:hAnsi="Calibri" w:cs="Calibri"/>
        </w:rPr>
        <w:t>.</w:t>
      </w:r>
      <w:r w:rsidRPr="009A78E6">
        <w:rPr>
          <w:rFonts w:ascii="Calibri" w:hAnsi="Calibri" w:cs="Calibri"/>
        </w:rPr>
        <w:t xml:space="preserve"> </w:t>
      </w:r>
    </w:p>
    <w:p w:rsidR="00574001" w:rsidRPr="009A78E6" w:rsidRDefault="00574001" w:rsidP="00CB795C">
      <w:pPr>
        <w:pStyle w:val="Odstavecseseznamem"/>
        <w:numPr>
          <w:ilvl w:val="0"/>
          <w:numId w:val="9"/>
        </w:numPr>
        <w:spacing w:before="0" w:after="0" w:line="264" w:lineRule="auto"/>
        <w:ind w:left="284" w:hanging="284"/>
        <w:contextualSpacing w:val="0"/>
        <w:rPr>
          <w:rFonts w:ascii="Calibri" w:hAnsi="Calibri" w:cs="Calibri"/>
        </w:rPr>
      </w:pPr>
      <w:r w:rsidRPr="00A34EF5">
        <w:rPr>
          <w:rFonts w:ascii="Calibri" w:hAnsi="Calibri" w:cs="Calibri"/>
          <w:i/>
        </w:rPr>
        <w:t>Nová zelená úsporám 2013</w:t>
      </w:r>
      <w:r w:rsidRPr="009A78E6">
        <w:rPr>
          <w:rFonts w:ascii="Calibri" w:hAnsi="Calibri" w:cs="Calibri"/>
        </w:rPr>
        <w:t xml:space="preserve"> </w:t>
      </w:r>
      <w:r w:rsidR="007C4493">
        <w:rPr>
          <w:rFonts w:ascii="Calibri" w:hAnsi="Calibri" w:cs="Calibri"/>
        </w:rPr>
        <w:t xml:space="preserve">– </w:t>
      </w:r>
      <w:r w:rsidR="00414635">
        <w:rPr>
          <w:rFonts w:ascii="Calibri" w:hAnsi="Calibri" w:cs="Calibri"/>
        </w:rPr>
        <w:t xml:space="preserve">program </w:t>
      </w:r>
      <w:r w:rsidRPr="009A78E6">
        <w:rPr>
          <w:rFonts w:ascii="Calibri" w:hAnsi="Calibri" w:cs="Calibri"/>
        </w:rPr>
        <w:t xml:space="preserve">zahájen 2013, </w:t>
      </w:r>
      <w:r w:rsidR="007C4493">
        <w:rPr>
          <w:rFonts w:ascii="Calibri" w:hAnsi="Calibri" w:cs="Calibri"/>
        </w:rPr>
        <w:t xml:space="preserve">financováno </w:t>
      </w:r>
      <w:r w:rsidRPr="009A78E6">
        <w:rPr>
          <w:rFonts w:ascii="Calibri" w:hAnsi="Calibri" w:cs="Calibri"/>
        </w:rPr>
        <w:t>prostředky SFŽP, alokace 1</w:t>
      </w:r>
      <w:r w:rsidR="009A729B">
        <w:rPr>
          <w:rFonts w:ascii="Calibri" w:hAnsi="Calibri" w:cs="Calibri"/>
        </w:rPr>
        <w:t> </w:t>
      </w:r>
      <w:r w:rsidRPr="009A78E6">
        <w:rPr>
          <w:rFonts w:ascii="Calibri" w:hAnsi="Calibri" w:cs="Calibri"/>
        </w:rPr>
        <w:t>mld.</w:t>
      </w:r>
      <w:r w:rsidR="009A729B">
        <w:rPr>
          <w:rFonts w:ascii="Calibri" w:hAnsi="Calibri" w:cs="Calibri"/>
        </w:rPr>
        <w:t> </w:t>
      </w:r>
      <w:r w:rsidRPr="009A78E6">
        <w:rPr>
          <w:rFonts w:ascii="Calibri" w:hAnsi="Calibri" w:cs="Calibri"/>
        </w:rPr>
        <w:t>Kč (</w:t>
      </w:r>
      <w:r w:rsidR="00157D7B">
        <w:rPr>
          <w:rFonts w:ascii="Calibri" w:hAnsi="Calibri" w:cs="Calibri"/>
        </w:rPr>
        <w:t>dle údajů z </w:t>
      </w:r>
      <w:r w:rsidRPr="009A78E6">
        <w:rPr>
          <w:rFonts w:ascii="Calibri" w:hAnsi="Calibri" w:cs="Calibri"/>
        </w:rPr>
        <w:t>výzv</w:t>
      </w:r>
      <w:r w:rsidR="00157D7B">
        <w:rPr>
          <w:rFonts w:ascii="Calibri" w:hAnsi="Calibri" w:cs="Calibri"/>
        </w:rPr>
        <w:t>y</w:t>
      </w:r>
      <w:r w:rsidRPr="009A78E6">
        <w:rPr>
          <w:rFonts w:ascii="Calibri" w:hAnsi="Calibri" w:cs="Calibri"/>
        </w:rPr>
        <w:t>), příjem žádostí ukončen</w:t>
      </w:r>
      <w:r w:rsidR="007C4493">
        <w:rPr>
          <w:rFonts w:ascii="Calibri" w:hAnsi="Calibri" w:cs="Calibri"/>
        </w:rPr>
        <w:t>.</w:t>
      </w:r>
    </w:p>
    <w:p w:rsidR="00574001" w:rsidRPr="001630DD" w:rsidRDefault="00574001" w:rsidP="00CB795C">
      <w:pPr>
        <w:pStyle w:val="Odstavecseseznamem"/>
        <w:numPr>
          <w:ilvl w:val="0"/>
          <w:numId w:val="9"/>
        </w:numPr>
        <w:spacing w:before="0" w:after="0" w:line="264" w:lineRule="auto"/>
        <w:ind w:left="284" w:hanging="284"/>
        <w:contextualSpacing w:val="0"/>
      </w:pPr>
      <w:r w:rsidRPr="00A34EF5">
        <w:rPr>
          <w:rFonts w:ascii="Calibri" w:hAnsi="Calibri" w:cs="Calibri"/>
          <w:i/>
        </w:rPr>
        <w:t>Nová zelená úsporám</w:t>
      </w:r>
      <w:r w:rsidRPr="009A78E6">
        <w:rPr>
          <w:rFonts w:ascii="Calibri" w:hAnsi="Calibri" w:cs="Calibri"/>
        </w:rPr>
        <w:t xml:space="preserve"> </w:t>
      </w:r>
      <w:r w:rsidR="007C4493">
        <w:rPr>
          <w:rFonts w:ascii="Calibri" w:hAnsi="Calibri" w:cs="Calibri"/>
        </w:rPr>
        <w:t xml:space="preserve">– program </w:t>
      </w:r>
      <w:r w:rsidRPr="009A78E6">
        <w:rPr>
          <w:rFonts w:ascii="Calibri" w:hAnsi="Calibri" w:cs="Calibri"/>
        </w:rPr>
        <w:t xml:space="preserve">zahájen 2014, </w:t>
      </w:r>
      <w:r w:rsidR="007C4493">
        <w:rPr>
          <w:rFonts w:ascii="Calibri" w:hAnsi="Calibri" w:cs="Calibri"/>
        </w:rPr>
        <w:t xml:space="preserve">financováno </w:t>
      </w:r>
      <w:r w:rsidR="00414635">
        <w:rPr>
          <w:rFonts w:ascii="Calibri" w:hAnsi="Calibri" w:cs="Calibri"/>
        </w:rPr>
        <w:t xml:space="preserve">prostředky ze státního rozpočtu </w:t>
      </w:r>
      <w:r w:rsidRPr="009A78E6">
        <w:rPr>
          <w:rFonts w:ascii="Calibri" w:hAnsi="Calibri" w:cs="Calibri"/>
        </w:rPr>
        <w:t>(prodej emisních povolenek)</w:t>
      </w:r>
      <w:r w:rsidR="00414635">
        <w:rPr>
          <w:rStyle w:val="Znakapoznpodarou"/>
          <w:rFonts w:ascii="Calibri" w:hAnsi="Calibri" w:cs="Calibri"/>
        </w:rPr>
        <w:footnoteReference w:id="10"/>
      </w:r>
      <w:r w:rsidRPr="009A78E6">
        <w:rPr>
          <w:rFonts w:ascii="Calibri" w:hAnsi="Calibri" w:cs="Calibri"/>
        </w:rPr>
        <w:t>,</w:t>
      </w:r>
      <w:r w:rsidRPr="00374419">
        <w:rPr>
          <w:rFonts w:ascii="Calibri" w:hAnsi="Calibri" w:cs="Calibri"/>
        </w:rPr>
        <w:t xml:space="preserve"> alokace </w:t>
      </w:r>
      <w:r>
        <w:rPr>
          <w:rFonts w:ascii="Calibri" w:hAnsi="Calibri" w:cs="Calibri"/>
        </w:rPr>
        <w:t xml:space="preserve">celého programu </w:t>
      </w:r>
      <w:r w:rsidRPr="00374419">
        <w:rPr>
          <w:rFonts w:ascii="Calibri" w:hAnsi="Calibri" w:cs="Calibri"/>
        </w:rPr>
        <w:t xml:space="preserve">27 mld. Kč </w:t>
      </w:r>
      <w:r w:rsidR="00414635">
        <w:rPr>
          <w:rFonts w:ascii="Calibri" w:hAnsi="Calibri" w:cs="Calibri"/>
        </w:rPr>
        <w:t>do r</w:t>
      </w:r>
      <w:r w:rsidR="007C4493">
        <w:rPr>
          <w:rFonts w:ascii="Calibri" w:hAnsi="Calibri" w:cs="Calibri"/>
        </w:rPr>
        <w:t>oku</w:t>
      </w:r>
      <w:r w:rsidR="00414635">
        <w:rPr>
          <w:rFonts w:ascii="Calibri" w:hAnsi="Calibri" w:cs="Calibri"/>
        </w:rPr>
        <w:t xml:space="preserve"> 2023</w:t>
      </w:r>
      <w:r w:rsidRPr="00374419">
        <w:rPr>
          <w:rFonts w:ascii="Calibri" w:hAnsi="Calibri" w:cs="Calibri"/>
        </w:rPr>
        <w:t>; alokace ve výzvách v roce 2014 a 2015 celkem 3,3 mld. Kč</w:t>
      </w:r>
      <w:r>
        <w:rPr>
          <w:rFonts w:ascii="Calibri" w:hAnsi="Calibri" w:cs="Calibri"/>
        </w:rPr>
        <w:t>.</w:t>
      </w:r>
    </w:p>
    <w:p w:rsidR="001E3AAC" w:rsidRDefault="001E3AAC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</w:rPr>
      </w:pPr>
    </w:p>
    <w:p w:rsidR="001630DD" w:rsidRDefault="001630DD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</w:rPr>
      </w:pPr>
      <w:r>
        <w:rPr>
          <w:rFonts w:ascii="Calibri" w:eastAsiaTheme="minorHAnsi" w:hAnsi="Calibri" w:cs="Calibri"/>
          <w:b w:val="0"/>
        </w:rPr>
        <w:t xml:space="preserve">Ostatní programy </w:t>
      </w:r>
      <w:r w:rsidR="00157D7B">
        <w:rPr>
          <w:rFonts w:ascii="Calibri" w:eastAsiaTheme="minorHAnsi" w:hAnsi="Calibri" w:cs="Calibri"/>
          <w:b w:val="0"/>
        </w:rPr>
        <w:t>obsahující v názvu pojem „</w:t>
      </w:r>
      <w:r>
        <w:rPr>
          <w:rFonts w:ascii="Calibri" w:eastAsiaTheme="minorHAnsi" w:hAnsi="Calibri" w:cs="Calibri"/>
          <w:b w:val="0"/>
        </w:rPr>
        <w:t>zelená úsporám</w:t>
      </w:r>
      <w:r w:rsidR="00157D7B">
        <w:rPr>
          <w:rFonts w:ascii="Calibri" w:eastAsiaTheme="minorHAnsi" w:hAnsi="Calibri" w:cs="Calibri"/>
          <w:b w:val="0"/>
        </w:rPr>
        <w:t>“</w:t>
      </w:r>
      <w:r>
        <w:rPr>
          <w:rFonts w:ascii="Calibri" w:eastAsiaTheme="minorHAnsi" w:hAnsi="Calibri" w:cs="Calibri"/>
          <w:b w:val="0"/>
        </w:rPr>
        <w:t xml:space="preserve"> zahájené v letech 2013 a 2014 zatím nejsou ukončen</w:t>
      </w:r>
      <w:r w:rsidR="002F4E59">
        <w:rPr>
          <w:rFonts w:ascii="Calibri" w:eastAsiaTheme="minorHAnsi" w:hAnsi="Calibri" w:cs="Calibri"/>
          <w:b w:val="0"/>
        </w:rPr>
        <w:t>y</w:t>
      </w:r>
      <w:r w:rsidR="00A845F2">
        <w:rPr>
          <w:rFonts w:ascii="Calibri" w:eastAsiaTheme="minorHAnsi" w:hAnsi="Calibri" w:cs="Calibri"/>
          <w:b w:val="0"/>
        </w:rPr>
        <w:t xml:space="preserve"> a </w:t>
      </w:r>
      <w:r>
        <w:rPr>
          <w:rFonts w:ascii="Calibri" w:eastAsiaTheme="minorHAnsi" w:hAnsi="Calibri" w:cs="Calibri"/>
          <w:b w:val="0"/>
        </w:rPr>
        <w:t>jejich výsledky nejsou vyhodnoceny.</w:t>
      </w:r>
    </w:p>
    <w:p w:rsidR="001E3AAC" w:rsidRDefault="001E3AAC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</w:rPr>
      </w:pPr>
    </w:p>
    <w:p w:rsidR="00574001" w:rsidRDefault="00574001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</w:rPr>
      </w:pPr>
      <w:r w:rsidRPr="00AA7153">
        <w:rPr>
          <w:rFonts w:ascii="Calibri" w:eastAsiaTheme="minorHAnsi" w:hAnsi="Calibri" w:cs="Calibri"/>
          <w:b w:val="0"/>
        </w:rPr>
        <w:t xml:space="preserve">Kontrolou bylo zjištěno, že cíle a výsledky dotačních programů </w:t>
      </w:r>
      <w:r w:rsidR="00C3247F">
        <w:rPr>
          <w:rFonts w:ascii="Calibri" w:eastAsiaTheme="minorHAnsi" w:hAnsi="Calibri" w:cs="Calibri"/>
          <w:b w:val="0"/>
        </w:rPr>
        <w:t>MŽP naplňují záměry koncepce res</w:t>
      </w:r>
      <w:r w:rsidRPr="00AA7153">
        <w:rPr>
          <w:rFonts w:ascii="Calibri" w:eastAsiaTheme="minorHAnsi" w:hAnsi="Calibri" w:cs="Calibri"/>
          <w:b w:val="0"/>
        </w:rPr>
        <w:t>ortu v úsporách energie. Přispívají významně k plnění záměrů koncepčních dokumentů na celostátní úrovni týkajících se energetické účinnosti.</w:t>
      </w:r>
    </w:p>
    <w:p w:rsidR="001E3AAC" w:rsidRPr="00AA7153" w:rsidRDefault="001E3AAC" w:rsidP="00CB795C">
      <w:pPr>
        <w:pStyle w:val="pracovn3"/>
        <w:spacing w:before="0" w:line="264" w:lineRule="auto"/>
        <w:rPr>
          <w:rFonts w:ascii="Calibri" w:eastAsiaTheme="minorHAnsi" w:hAnsi="Calibri" w:cs="Calibri"/>
          <w:b w:val="0"/>
        </w:rPr>
      </w:pPr>
    </w:p>
    <w:p w:rsidR="00D94309" w:rsidRDefault="00D94309" w:rsidP="00CB795C">
      <w:pPr>
        <w:pStyle w:val="pracovn3"/>
        <w:spacing w:before="0" w:line="264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Ministerstvo pro místní rozvoj</w:t>
      </w:r>
    </w:p>
    <w:p w:rsidR="001E3AAC" w:rsidRDefault="001E3AAC" w:rsidP="00CB795C">
      <w:pPr>
        <w:spacing w:before="0" w:after="0" w:line="264" w:lineRule="auto"/>
      </w:pPr>
    </w:p>
    <w:p w:rsidR="00C9561D" w:rsidRDefault="00C9561D" w:rsidP="00CB795C">
      <w:pPr>
        <w:spacing w:before="0" w:after="0" w:line="264" w:lineRule="auto"/>
      </w:pPr>
      <w:r>
        <w:t xml:space="preserve">MMR </w:t>
      </w:r>
      <w:r w:rsidR="00266F48">
        <w:t>se stalo</w:t>
      </w:r>
      <w:r w:rsidRPr="00CB28B7">
        <w:t xml:space="preserve"> na základě usnesení vlády </w:t>
      </w:r>
      <w:r w:rsidR="00D6099B">
        <w:t xml:space="preserve">ČR ze dne 22. února 2006 </w:t>
      </w:r>
      <w:r w:rsidRPr="00CB28B7">
        <w:t>č. 175</w:t>
      </w:r>
      <w:r>
        <w:t xml:space="preserve"> </w:t>
      </w:r>
      <w:r w:rsidR="007D2EE9">
        <w:t>ř</w:t>
      </w:r>
      <w:r>
        <w:t xml:space="preserve">ídicím orgánem </w:t>
      </w:r>
      <w:r w:rsidRPr="00A34EF5">
        <w:rPr>
          <w:i/>
        </w:rPr>
        <w:t>Integrovaného operačního programu</w:t>
      </w:r>
      <w:r>
        <w:t xml:space="preserve"> (dále také „IOP“) pro programov</w:t>
      </w:r>
      <w:r w:rsidR="0027006D">
        <w:t>é</w:t>
      </w:r>
      <w:r>
        <w:t xml:space="preserve"> období 2007</w:t>
      </w:r>
      <w:r w:rsidR="005455A1">
        <w:t>–</w:t>
      </w:r>
      <w:r>
        <w:t>2013</w:t>
      </w:r>
      <w:r w:rsidRPr="00CB28B7">
        <w:t>.</w:t>
      </w:r>
      <w:r>
        <w:t xml:space="preserve"> </w:t>
      </w:r>
      <w:r w:rsidRPr="00CB28B7">
        <w:t>Jedním ze tří základních okruhů oblastí</w:t>
      </w:r>
      <w:r w:rsidR="000013FD">
        <w:t xml:space="preserve"> podpory</w:t>
      </w:r>
      <w:r>
        <w:t xml:space="preserve"> IOP</w:t>
      </w:r>
      <w:r w:rsidRPr="00CB28B7">
        <w:t xml:space="preserve"> je </w:t>
      </w:r>
      <w:r w:rsidRPr="00A34EF5">
        <w:t>„</w:t>
      </w:r>
      <w:r w:rsidRPr="00CB28B7">
        <w:rPr>
          <w:i/>
        </w:rPr>
        <w:t>problematika veřejných služeb zaměřených na územní rozvoj ve vybraných oblastech cestovního ruchu, kulturního dědictví,</w:t>
      </w:r>
      <w:r w:rsidRPr="00FB4816">
        <w:rPr>
          <w:i/>
        </w:rPr>
        <w:t xml:space="preserve"> bydlení</w:t>
      </w:r>
      <w:r>
        <w:rPr>
          <w:i/>
        </w:rPr>
        <w:t xml:space="preserve"> a územních politik</w:t>
      </w:r>
      <w:r w:rsidRPr="00A34EF5">
        <w:t>“.</w:t>
      </w:r>
      <w:r>
        <w:rPr>
          <w:i/>
        </w:rPr>
        <w:t xml:space="preserve"> </w:t>
      </w:r>
      <w:r w:rsidRPr="00CB28B7">
        <w:t>Problematika bydlení je řešena v rámci prioritní</w:t>
      </w:r>
      <w:r w:rsidR="009A729B">
        <w:t xml:space="preserve"> </w:t>
      </w:r>
      <w:r w:rsidRPr="00CB28B7">
        <w:t xml:space="preserve">osy 5 – </w:t>
      </w:r>
      <w:r w:rsidRPr="00A34EF5">
        <w:rPr>
          <w:i/>
        </w:rPr>
        <w:t>Národní podpora územního rozvoje</w:t>
      </w:r>
      <w:r>
        <w:t xml:space="preserve">, </w:t>
      </w:r>
      <w:r w:rsidR="00C457AB">
        <w:t>o</w:t>
      </w:r>
      <w:r w:rsidRPr="00CB28B7">
        <w:t>blast</w:t>
      </w:r>
      <w:r w:rsidR="00266F48">
        <w:t>i</w:t>
      </w:r>
      <w:r w:rsidRPr="00CB28B7">
        <w:t xml:space="preserve"> </w:t>
      </w:r>
      <w:r w:rsidR="0027006D">
        <w:t>podpory</w:t>
      </w:r>
      <w:r w:rsidR="005455A1">
        <w:t xml:space="preserve"> 5.2</w:t>
      </w:r>
      <w:r w:rsidR="00266F48">
        <w:t> –</w:t>
      </w:r>
      <w:r w:rsidR="005455A1">
        <w:t xml:space="preserve"> </w:t>
      </w:r>
      <w:r w:rsidR="005455A1" w:rsidRPr="00A34EF5">
        <w:rPr>
          <w:i/>
        </w:rPr>
        <w:t>Zlepšení prostředí v </w:t>
      </w:r>
      <w:r w:rsidRPr="00A34EF5">
        <w:rPr>
          <w:i/>
        </w:rPr>
        <w:t>problémových sídlištích</w:t>
      </w:r>
      <w:r w:rsidRPr="00CB28B7">
        <w:t xml:space="preserve">. </w:t>
      </w:r>
      <w:r>
        <w:t xml:space="preserve"> </w:t>
      </w:r>
    </w:p>
    <w:p w:rsidR="001E3AAC" w:rsidRPr="00C9561D" w:rsidRDefault="001E3AAC" w:rsidP="00CB795C">
      <w:pPr>
        <w:spacing w:before="0" w:after="0" w:line="264" w:lineRule="auto"/>
      </w:pPr>
    </w:p>
    <w:p w:rsidR="00C9561D" w:rsidRDefault="00C9561D" w:rsidP="00CB795C">
      <w:pPr>
        <w:spacing w:before="0" w:after="0" w:line="264" w:lineRule="auto"/>
      </w:pPr>
      <w:r>
        <w:rPr>
          <w:rFonts w:cs="Calibri"/>
          <w:bCs/>
          <w:iCs/>
        </w:rPr>
        <w:t>Součástí IOP</w:t>
      </w:r>
      <w:r w:rsidRPr="00CB28B7">
        <w:rPr>
          <w:rFonts w:cs="Calibri"/>
          <w:bCs/>
          <w:iCs/>
        </w:rPr>
        <w:t xml:space="preserve"> je finanční nástroj </w:t>
      </w:r>
      <w:r w:rsidRPr="00324887">
        <w:rPr>
          <w:i/>
        </w:rPr>
        <w:t>Joint European Support for Sustainable Investment in city Areas</w:t>
      </w:r>
      <w:r>
        <w:t xml:space="preserve"> (dále také „</w:t>
      </w:r>
      <w:r w:rsidRPr="00A34EF5">
        <w:rPr>
          <w:i/>
        </w:rPr>
        <w:t>JESSICA</w:t>
      </w:r>
      <w:r>
        <w:t xml:space="preserve">“), který </w:t>
      </w:r>
      <w:r w:rsidRPr="00B2344A">
        <w:rPr>
          <w:rFonts w:cs="Calibri"/>
        </w:rPr>
        <w:t>je zaměřen na projekty zahrnuté v </w:t>
      </w:r>
      <w:r w:rsidR="00C457AB">
        <w:rPr>
          <w:rFonts w:cs="Calibri"/>
        </w:rPr>
        <w:t>i</w:t>
      </w:r>
      <w:r w:rsidRPr="00B2344A">
        <w:rPr>
          <w:rFonts w:cs="Calibri"/>
        </w:rPr>
        <w:t>nt</w:t>
      </w:r>
      <w:r>
        <w:rPr>
          <w:rFonts w:cs="Calibri"/>
        </w:rPr>
        <w:t>egrovaných plánech rozvoje měst</w:t>
      </w:r>
      <w:r w:rsidR="00266F48">
        <w:rPr>
          <w:rFonts w:cs="Calibri"/>
        </w:rPr>
        <w:t>.</w:t>
      </w:r>
      <w:r>
        <w:rPr>
          <w:rFonts w:cs="Calibri"/>
        </w:rPr>
        <w:t xml:space="preserve"> </w:t>
      </w:r>
      <w:r w:rsidR="00266F48">
        <w:rPr>
          <w:rFonts w:cs="Calibri"/>
        </w:rPr>
        <w:t>C</w:t>
      </w:r>
      <w:r>
        <w:rPr>
          <w:rFonts w:cs="Calibri"/>
        </w:rPr>
        <w:t>ílem</w:t>
      </w:r>
      <w:r w:rsidR="00C457AB">
        <w:rPr>
          <w:rFonts w:cs="Calibri"/>
        </w:rPr>
        <w:t xml:space="preserve"> je</w:t>
      </w:r>
      <w:r>
        <w:rPr>
          <w:rFonts w:cs="Calibri"/>
        </w:rPr>
        <w:t xml:space="preserve"> zajistit </w:t>
      </w:r>
      <w:r w:rsidRPr="00B2344A">
        <w:rPr>
          <w:rFonts w:cs="Calibri"/>
        </w:rPr>
        <w:t>opakované využí</w:t>
      </w:r>
      <w:r w:rsidR="00266F48">
        <w:rPr>
          <w:rFonts w:cs="Calibri"/>
        </w:rPr>
        <w:t>vání</w:t>
      </w:r>
      <w:r w:rsidRPr="00B2344A">
        <w:rPr>
          <w:rFonts w:cs="Calibri"/>
        </w:rPr>
        <w:t xml:space="preserve"> veřejných prostředků</w:t>
      </w:r>
      <w:r w:rsidR="00266F48">
        <w:t xml:space="preserve"> při </w:t>
      </w:r>
      <w:r w:rsidRPr="00B2344A">
        <w:t>moderniz</w:t>
      </w:r>
      <w:r w:rsidR="00266F48">
        <w:t>aci</w:t>
      </w:r>
      <w:r w:rsidR="00F95A74">
        <w:t xml:space="preserve"> a </w:t>
      </w:r>
      <w:r w:rsidRPr="00B2344A">
        <w:t>revitaliz</w:t>
      </w:r>
      <w:r w:rsidR="00266F48">
        <w:t>aci</w:t>
      </w:r>
      <w:r w:rsidRPr="00B2344A">
        <w:t xml:space="preserve"> bytov</w:t>
      </w:r>
      <w:r w:rsidR="00266F48">
        <w:t>ého</w:t>
      </w:r>
      <w:r w:rsidRPr="00B2344A">
        <w:t xml:space="preserve"> fond</w:t>
      </w:r>
      <w:r w:rsidR="00266F48">
        <w:t>u</w:t>
      </w:r>
      <w:r w:rsidRPr="00B2344A">
        <w:t xml:space="preserve"> v depri</w:t>
      </w:r>
      <w:r w:rsidR="00266F48">
        <w:t>v</w:t>
      </w:r>
      <w:r w:rsidRPr="00B2344A">
        <w:t xml:space="preserve">ovaných zónách měst pomocí nízkoúročených dlouhodobých úvěrů. </w:t>
      </w:r>
    </w:p>
    <w:p w:rsidR="001E3AAC" w:rsidRDefault="001E3AAC" w:rsidP="00CB795C">
      <w:pPr>
        <w:spacing w:before="0" w:after="0" w:line="264" w:lineRule="auto"/>
      </w:pPr>
    </w:p>
    <w:p w:rsidR="00C9561D" w:rsidRDefault="005E74AC" w:rsidP="00CB795C">
      <w:pPr>
        <w:spacing w:before="0" w:after="0" w:line="264" w:lineRule="auto"/>
        <w:rPr>
          <w:rFonts w:cstheme="minorHAnsi"/>
        </w:rPr>
      </w:pPr>
      <w:r>
        <w:rPr>
          <w:rFonts w:cstheme="minorHAnsi"/>
        </w:rPr>
        <w:t>Úspora energie</w:t>
      </w:r>
      <w:r w:rsidR="00C9561D" w:rsidRPr="00AA7153">
        <w:rPr>
          <w:rFonts w:cstheme="minorHAnsi"/>
        </w:rPr>
        <w:t xml:space="preserve"> je stanovena jako snížení spotřeby energie v bytových domech na území problémových sídlišť a je vyjádřena rozdílem spotřeby energie před provedením energetických sanací obytných budov a po jejich dokončení. Cílová hodnota úspory spotřeby energie u projektů zařazených do programu </w:t>
      </w:r>
      <w:r w:rsidR="00C9561D" w:rsidRPr="00A34EF5">
        <w:rPr>
          <w:rFonts w:cstheme="minorHAnsi"/>
          <w:i/>
        </w:rPr>
        <w:t>JESSICA</w:t>
      </w:r>
      <w:r w:rsidR="00C9561D" w:rsidRPr="00AA7153">
        <w:rPr>
          <w:rFonts w:cstheme="minorHAnsi"/>
        </w:rPr>
        <w:t xml:space="preserve"> je 20</w:t>
      </w:r>
      <w:r w:rsidR="006E7DA0">
        <w:rPr>
          <w:rFonts w:cstheme="minorHAnsi"/>
        </w:rPr>
        <w:t xml:space="preserve"> </w:t>
      </w:r>
      <w:r w:rsidR="00C9561D" w:rsidRPr="00AA7153">
        <w:rPr>
          <w:rFonts w:cstheme="minorHAnsi"/>
        </w:rPr>
        <w:t>%.</w:t>
      </w:r>
    </w:p>
    <w:p w:rsidR="001E3AAC" w:rsidRPr="00AA7153" w:rsidRDefault="001E3AAC" w:rsidP="00CB795C">
      <w:pPr>
        <w:spacing w:before="0" w:after="0" w:line="264" w:lineRule="auto"/>
        <w:rPr>
          <w:rFonts w:cstheme="minorHAnsi"/>
        </w:rPr>
      </w:pPr>
    </w:p>
    <w:p w:rsidR="00C9561D" w:rsidRDefault="00C9561D" w:rsidP="00CB795C">
      <w:pPr>
        <w:spacing w:before="0" w:after="0" w:line="264" w:lineRule="auto"/>
      </w:pPr>
      <w:r w:rsidRPr="00CB28B7">
        <w:rPr>
          <w:rFonts w:cstheme="minorHAnsi"/>
          <w:lang w:eastAsia="cs-CZ"/>
        </w:rPr>
        <w:t xml:space="preserve">K 31. 12. 2014 bylo s žadateli podepsáno celkem 103 úvěrových smluv </w:t>
      </w:r>
      <w:r w:rsidR="009A6F18">
        <w:rPr>
          <w:rFonts w:cstheme="minorHAnsi"/>
          <w:lang w:eastAsia="cs-CZ"/>
        </w:rPr>
        <w:t xml:space="preserve">na projekty </w:t>
      </w:r>
      <w:r w:rsidRPr="00CB28B7">
        <w:rPr>
          <w:rFonts w:cstheme="minorHAnsi"/>
          <w:lang w:eastAsia="cs-CZ"/>
        </w:rPr>
        <w:t xml:space="preserve">v hodnotě přesahující 360 mil. Kč, což odpovídalo více než polovině alokace pro </w:t>
      </w:r>
      <w:r w:rsidR="00266F48">
        <w:rPr>
          <w:rFonts w:cstheme="minorHAnsi"/>
          <w:lang w:eastAsia="cs-CZ"/>
        </w:rPr>
        <w:t>finanční nástroj</w:t>
      </w:r>
      <w:r w:rsidRPr="00CB28B7">
        <w:rPr>
          <w:rFonts w:cstheme="minorHAnsi"/>
          <w:lang w:eastAsia="cs-CZ"/>
        </w:rPr>
        <w:t xml:space="preserve"> </w:t>
      </w:r>
      <w:r w:rsidRPr="00A34EF5">
        <w:rPr>
          <w:rFonts w:cstheme="minorHAnsi"/>
          <w:i/>
          <w:lang w:eastAsia="cs-CZ"/>
        </w:rPr>
        <w:t>JESSICA</w:t>
      </w:r>
      <w:r w:rsidRPr="00CB28B7">
        <w:rPr>
          <w:rFonts w:cstheme="minorHAnsi"/>
          <w:lang w:eastAsia="cs-CZ"/>
        </w:rPr>
        <w:t xml:space="preserve">. </w:t>
      </w:r>
      <w:r w:rsidR="00A845F2">
        <w:t>U </w:t>
      </w:r>
      <w:r w:rsidR="005455A1">
        <w:t>72 </w:t>
      </w:r>
      <w:r w:rsidRPr="00227E53">
        <w:t>proje</w:t>
      </w:r>
      <w:r w:rsidR="005E74AC">
        <w:t>ktů byla dosažena úspora energie</w:t>
      </w:r>
      <w:r w:rsidRPr="00227E53">
        <w:t xml:space="preserve"> a celková úspora u těchto projektů </w:t>
      </w:r>
      <w:r w:rsidRPr="00227E53">
        <w:lastRenderedPageBreak/>
        <w:t>v </w:t>
      </w:r>
      <w:r w:rsidR="00E3385A">
        <w:t>uvedeném</w:t>
      </w:r>
      <w:r w:rsidRPr="00227E53">
        <w:t xml:space="preserve"> roce činila 51 004 GJ</w:t>
      </w:r>
      <w:r w:rsidR="0047423A">
        <w:t xml:space="preserve"> (51,004 TJ)</w:t>
      </w:r>
      <w:r w:rsidRPr="00227E53">
        <w:t>.</w:t>
      </w:r>
      <w:r w:rsidR="009A6F18">
        <w:t xml:space="preserve"> Ostatních 31 projektů nebylo zaměřeno na úspory ener</w:t>
      </w:r>
      <w:r w:rsidR="005E74AC">
        <w:t>g</w:t>
      </w:r>
      <w:r w:rsidR="009A6F18">
        <w:t>ie.</w:t>
      </w:r>
    </w:p>
    <w:p w:rsidR="001E3AAC" w:rsidRPr="00DD030B" w:rsidRDefault="001E3AAC" w:rsidP="00CB795C">
      <w:pPr>
        <w:spacing w:before="0" w:after="0" w:line="264" w:lineRule="auto"/>
      </w:pPr>
    </w:p>
    <w:p w:rsidR="00C9561D" w:rsidRPr="00A845F2" w:rsidRDefault="00C457AB" w:rsidP="00C457AB">
      <w:pPr>
        <w:pStyle w:val="Odstavecseseznamem"/>
        <w:spacing w:before="0" w:after="0" w:line="264" w:lineRule="auto"/>
        <w:ind w:left="1474" w:hanging="1474"/>
        <w:contextualSpacing w:val="0"/>
        <w:rPr>
          <w:rFonts w:eastAsia="Times New Roman" w:cs="Calibri"/>
          <w:b/>
          <w:bCs/>
          <w:iCs/>
          <w:szCs w:val="24"/>
        </w:rPr>
      </w:pPr>
      <w:r>
        <w:rPr>
          <w:rFonts w:eastAsia="Times New Roman" w:cs="Calibri"/>
          <w:b/>
          <w:bCs/>
          <w:iCs/>
          <w:szCs w:val="24"/>
        </w:rPr>
        <w:t>Tabulka č. 5 –</w:t>
      </w:r>
      <w:r>
        <w:rPr>
          <w:rFonts w:eastAsia="Times New Roman" w:cs="Calibri"/>
          <w:b/>
          <w:bCs/>
          <w:iCs/>
          <w:szCs w:val="24"/>
        </w:rPr>
        <w:tab/>
      </w:r>
      <w:r w:rsidR="00C9561D" w:rsidRPr="00A845F2">
        <w:rPr>
          <w:rFonts w:eastAsia="Times New Roman" w:cs="Calibri"/>
          <w:b/>
          <w:bCs/>
          <w:iCs/>
          <w:szCs w:val="24"/>
        </w:rPr>
        <w:t>Indikátory výsledku</w:t>
      </w:r>
    </w:p>
    <w:tbl>
      <w:tblPr>
        <w:tblW w:w="49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122"/>
        <w:gridCol w:w="1122"/>
        <w:gridCol w:w="1122"/>
      </w:tblGrid>
      <w:tr w:rsidR="00C9561D" w:rsidRPr="00693C3A" w:rsidTr="00C457AB">
        <w:trPr>
          <w:trHeight w:val="283"/>
          <w:jc w:val="center"/>
        </w:trPr>
        <w:tc>
          <w:tcPr>
            <w:tcW w:w="2039" w:type="pct"/>
            <w:shd w:val="clear" w:color="auto" w:fill="B6DDE8" w:themeFill="accent5" w:themeFillTint="66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1098" w:type="pct"/>
            <w:shd w:val="clear" w:color="auto" w:fill="B6DDE8" w:themeFill="accent5" w:themeFillTint="66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621" w:type="pct"/>
            <w:shd w:val="clear" w:color="auto" w:fill="B6DDE8" w:themeFill="accent5" w:themeFillTint="66"/>
            <w:noWrap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621" w:type="pct"/>
            <w:shd w:val="clear" w:color="auto" w:fill="B6DDE8" w:themeFill="accent5" w:themeFillTint="66"/>
            <w:noWrap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21" w:type="pct"/>
            <w:shd w:val="clear" w:color="auto" w:fill="B6DDE8" w:themeFill="accent5" w:themeFillTint="66"/>
            <w:noWrap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</w:tr>
      <w:tr w:rsidR="00C9561D" w:rsidRPr="00693C3A" w:rsidTr="00C457AB">
        <w:trPr>
          <w:trHeight w:val="283"/>
          <w:jc w:val="center"/>
        </w:trPr>
        <w:tc>
          <w:tcPr>
            <w:tcW w:w="2039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regenerovaných bytů 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  <w:r w:rsid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888</w:t>
            </w:r>
            <w:r w:rsid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45 341</w:t>
            </w:r>
            <w:r w:rsid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55 099</w:t>
            </w:r>
            <w:r w:rsid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C9561D" w:rsidRPr="00693C3A" w:rsidTr="00C457AB">
        <w:trPr>
          <w:trHeight w:val="283"/>
          <w:jc w:val="center"/>
        </w:trPr>
        <w:tc>
          <w:tcPr>
            <w:tcW w:w="2039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Úspora spotřeby energie bytových domů 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33,75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28,4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C9561D" w:rsidRPr="00C457AB" w:rsidRDefault="00C9561D" w:rsidP="00C457AB">
            <w:pPr>
              <w:spacing w:before="0"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457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30,54</w:t>
            </w:r>
          </w:p>
        </w:tc>
      </w:tr>
    </w:tbl>
    <w:p w:rsidR="00C9561D" w:rsidRPr="009925B0" w:rsidRDefault="00C9561D" w:rsidP="001E3AAC">
      <w:pPr>
        <w:spacing w:before="0" w:after="40" w:line="240" w:lineRule="auto"/>
        <w:rPr>
          <w:rFonts w:eastAsia="Times New Roman" w:cs="Calibri"/>
          <w:bCs/>
          <w:iCs/>
          <w:sz w:val="20"/>
          <w:szCs w:val="20"/>
        </w:rPr>
      </w:pPr>
      <w:r w:rsidRPr="005455A1">
        <w:rPr>
          <w:rFonts w:eastAsia="Times New Roman" w:cs="Calibri"/>
          <w:b/>
          <w:bCs/>
          <w:iCs/>
          <w:sz w:val="20"/>
          <w:szCs w:val="20"/>
        </w:rPr>
        <w:t>Zdroj:</w:t>
      </w:r>
      <w:r>
        <w:rPr>
          <w:rFonts w:eastAsia="Times New Roman" w:cs="Calibri"/>
          <w:bCs/>
          <w:iCs/>
          <w:sz w:val="20"/>
          <w:szCs w:val="20"/>
        </w:rPr>
        <w:t xml:space="preserve"> </w:t>
      </w:r>
      <w:r w:rsidR="00C457AB">
        <w:rPr>
          <w:rFonts w:eastAsia="Times New Roman" w:cs="Calibri"/>
          <w:bCs/>
          <w:iCs/>
          <w:sz w:val="20"/>
          <w:szCs w:val="20"/>
        </w:rPr>
        <w:t>v</w:t>
      </w:r>
      <w:r w:rsidRPr="00CB28B7">
        <w:rPr>
          <w:rFonts w:eastAsia="Times New Roman" w:cs="Calibri"/>
          <w:bCs/>
          <w:iCs/>
          <w:sz w:val="20"/>
          <w:szCs w:val="20"/>
        </w:rPr>
        <w:t>ýroční zpráva IOP za rok 2014</w:t>
      </w:r>
      <w:r w:rsidR="005455A1">
        <w:rPr>
          <w:rFonts w:eastAsia="Times New Roman" w:cs="Calibri"/>
          <w:bCs/>
          <w:iCs/>
          <w:sz w:val="20"/>
          <w:szCs w:val="20"/>
        </w:rPr>
        <w:t>.</w:t>
      </w:r>
    </w:p>
    <w:p w:rsidR="001E3AAC" w:rsidRDefault="001E3AAC" w:rsidP="00CB795C">
      <w:pPr>
        <w:spacing w:before="0" w:after="0" w:line="264" w:lineRule="auto"/>
      </w:pPr>
    </w:p>
    <w:p w:rsidR="00C9561D" w:rsidRDefault="00C9561D" w:rsidP="00CB795C">
      <w:pPr>
        <w:spacing w:before="0" w:after="0" w:line="264" w:lineRule="auto"/>
      </w:pPr>
      <w:r>
        <w:t xml:space="preserve">MMR vyhlásilo v kontrolovaném období pouze jeden program týkající se bydlení, a </w:t>
      </w:r>
      <w:r w:rsidRPr="00260FDE">
        <w:t xml:space="preserve">to program </w:t>
      </w:r>
      <w:r w:rsidRPr="00A34EF5">
        <w:rPr>
          <w:i/>
        </w:rPr>
        <w:t>Podpora bydlení</w:t>
      </w:r>
      <w:r w:rsidRPr="00260FDE">
        <w:t>,</w:t>
      </w:r>
      <w:r>
        <w:t xml:space="preserve"> </w:t>
      </w:r>
      <w:r w:rsidR="005E74AC">
        <w:t>dopady na úspory energie</w:t>
      </w:r>
      <w:r w:rsidR="00F6635B">
        <w:t xml:space="preserve"> měl</w:t>
      </w:r>
      <w:r>
        <w:t xml:space="preserve"> podprogram </w:t>
      </w:r>
      <w:r w:rsidRPr="00A34EF5">
        <w:rPr>
          <w:i/>
        </w:rPr>
        <w:t>Podpora výstavby podporovaných bytů</w:t>
      </w:r>
      <w:r w:rsidRPr="00260FDE">
        <w:t>.</w:t>
      </w:r>
      <w:r w:rsidR="005E74AC">
        <w:t xml:space="preserve"> Úspora energie</w:t>
      </w:r>
      <w:r>
        <w:t xml:space="preserve"> byla u tohoto podprogramu dosahována jako druhotný efekt, neboť hlavním cílem podprogramu byla výstavba a pořízení nájemních bytů určených k sociálnímu bydlení s podporou ve formě investiční dotace na konkrétní investiční akci.</w:t>
      </w:r>
    </w:p>
    <w:p w:rsidR="001E3AAC" w:rsidRPr="00D63DBC" w:rsidRDefault="001E3AAC" w:rsidP="00CB795C">
      <w:pPr>
        <w:spacing w:before="0" w:after="0" w:line="264" w:lineRule="auto"/>
      </w:pPr>
    </w:p>
    <w:p w:rsidR="00C9561D" w:rsidRDefault="00C9561D" w:rsidP="00CB795C">
      <w:pPr>
        <w:spacing w:before="0" w:after="0" w:line="264" w:lineRule="auto"/>
        <w:rPr>
          <w:rFonts w:cs="Times New Roman"/>
        </w:rPr>
      </w:pPr>
      <w:r>
        <w:t>Po</w:t>
      </w:r>
      <w:r w:rsidR="005E74AC">
        <w:t>dprogram dosahoval úspor energie</w:t>
      </w:r>
      <w:r>
        <w:t xml:space="preserve"> tím, že pořizovaná budova musela splňovat </w:t>
      </w:r>
      <w:r w:rsidR="00E3385A">
        <w:rPr>
          <w:rFonts w:cs="Times New Roman"/>
        </w:rPr>
        <w:t>energetické nároky třídy B podle platné vyhlášky o </w:t>
      </w:r>
      <w:r>
        <w:rPr>
          <w:rFonts w:cs="Times New Roman"/>
        </w:rPr>
        <w:t>energetické náročnosti budov</w:t>
      </w:r>
      <w:r w:rsidR="005B3B08">
        <w:rPr>
          <w:rStyle w:val="Znakapoznpodarou"/>
          <w:rFonts w:cs="Times New Roman"/>
        </w:rPr>
        <w:footnoteReference w:id="11"/>
      </w:r>
      <w:r w:rsidR="00E3385A">
        <w:rPr>
          <w:rFonts w:cs="Times New Roman"/>
        </w:rPr>
        <w:t>, neboť se jednalo o</w:t>
      </w:r>
      <w:r w:rsidRPr="00D63DBC">
        <w:rPr>
          <w:rFonts w:cs="Times New Roman"/>
        </w:rPr>
        <w:t xml:space="preserve"> jednu z podmínek pro přidělení dotace. </w:t>
      </w:r>
      <w:r w:rsidRPr="00AA7153">
        <w:rPr>
          <w:rFonts w:cs="Times New Roman"/>
        </w:rPr>
        <w:t>Vzhledem ke způsobu pořízení</w:t>
      </w:r>
      <w:r w:rsidR="00C457AB">
        <w:rPr>
          <w:rFonts w:cs="Times New Roman"/>
        </w:rPr>
        <w:t>,</w:t>
      </w:r>
      <w:r w:rsidR="00F95A74">
        <w:rPr>
          <w:rFonts w:cs="Times New Roman"/>
        </w:rPr>
        <w:t xml:space="preserve"> tj. </w:t>
      </w:r>
      <w:r w:rsidRPr="00AA7153">
        <w:rPr>
          <w:rFonts w:cs="Times New Roman"/>
        </w:rPr>
        <w:t>novostavba anebo rekonstrukce domu nezpůsobilého k</w:t>
      </w:r>
      <w:r w:rsidR="00C3247F">
        <w:rPr>
          <w:rFonts w:cs="Times New Roman"/>
        </w:rPr>
        <w:t> </w:t>
      </w:r>
      <w:r w:rsidRPr="00AA7153">
        <w:rPr>
          <w:rFonts w:cs="Times New Roman"/>
        </w:rPr>
        <w:t>bydlení</w:t>
      </w:r>
      <w:r w:rsidR="00C3247F">
        <w:rPr>
          <w:rFonts w:cs="Times New Roman"/>
        </w:rPr>
        <w:t>,</w:t>
      </w:r>
      <w:r w:rsidRPr="00AA7153">
        <w:rPr>
          <w:rFonts w:cs="Times New Roman"/>
        </w:rPr>
        <w:t xml:space="preserve"> nelze stanovit původní spotřebu</w:t>
      </w:r>
      <w:r w:rsidR="00E3385A">
        <w:rPr>
          <w:rFonts w:cs="Times New Roman"/>
        </w:rPr>
        <w:t xml:space="preserve"> budov</w:t>
      </w:r>
      <w:r w:rsidR="005B3B08">
        <w:rPr>
          <w:rFonts w:cs="Times New Roman"/>
        </w:rPr>
        <w:t>,</w:t>
      </w:r>
      <w:r w:rsidRPr="00AA7153">
        <w:rPr>
          <w:rFonts w:cs="Times New Roman"/>
        </w:rPr>
        <w:t xml:space="preserve"> a tudíž nelze vyhodnotit velikost dosažených úspor.</w:t>
      </w:r>
      <w:r w:rsidR="00F6635B">
        <w:rPr>
          <w:rFonts w:cs="Times New Roman"/>
        </w:rPr>
        <w:t xml:space="preserve"> V letech 2012 až 2014 byly poskytnuty dotace celkem na 201 projektů v celkové výši více než 687</w:t>
      </w:r>
      <w:r w:rsidR="00E3385A">
        <w:rPr>
          <w:rFonts w:cs="Times New Roman"/>
        </w:rPr>
        <w:t> mil. </w:t>
      </w:r>
      <w:r w:rsidR="00F6635B">
        <w:rPr>
          <w:rFonts w:cs="Times New Roman"/>
        </w:rPr>
        <w:t>Kč.</w:t>
      </w:r>
    </w:p>
    <w:p w:rsidR="001E3AAC" w:rsidRPr="00113E79" w:rsidRDefault="001E3AAC" w:rsidP="00CB795C">
      <w:pPr>
        <w:spacing w:before="0" w:after="0" w:line="264" w:lineRule="auto"/>
        <w:rPr>
          <w:rFonts w:cs="Times New Roman"/>
        </w:rPr>
      </w:pPr>
    </w:p>
    <w:p w:rsidR="00C9561D" w:rsidRPr="00067284" w:rsidRDefault="00C9561D" w:rsidP="00CB795C">
      <w:pPr>
        <w:spacing w:before="0" w:after="0" w:line="264" w:lineRule="auto"/>
      </w:pPr>
      <w:r>
        <w:t xml:space="preserve">Další formou podpory je program </w:t>
      </w:r>
      <w:r w:rsidRPr="00A34EF5">
        <w:rPr>
          <w:i/>
        </w:rPr>
        <w:t>Výstavba nájemních bytů</w:t>
      </w:r>
      <w:r>
        <w:t xml:space="preserve"> </w:t>
      </w:r>
      <w:r w:rsidR="004321B7">
        <w:t xml:space="preserve">vyhlašovaný Státním fondem rozvoje bydlení (dále také „SFRB“), </w:t>
      </w:r>
      <w:r>
        <w:t>který je upraven n</w:t>
      </w:r>
      <w:r w:rsidRPr="00067284">
        <w:t xml:space="preserve">ařízením vlády </w:t>
      </w:r>
      <w:r>
        <w:t>ČR č.</w:t>
      </w:r>
      <w:r w:rsidR="009A729B">
        <w:t> </w:t>
      </w:r>
      <w:r>
        <w:t>284</w:t>
      </w:r>
      <w:r w:rsidR="00E3385A" w:rsidRPr="00E3385A">
        <w:t xml:space="preserve"> </w:t>
      </w:r>
      <w:r w:rsidR="00E3385A" w:rsidRPr="00067284">
        <w:t>ze dn</w:t>
      </w:r>
      <w:r w:rsidR="00F95A74">
        <w:t>e 8. září </w:t>
      </w:r>
      <w:r w:rsidR="00E3385A">
        <w:t>2011</w:t>
      </w:r>
      <w:r>
        <w:t xml:space="preserve">. </w:t>
      </w:r>
      <w:r w:rsidRPr="00067284">
        <w:t xml:space="preserve">Podpora generovala energetické úspory tím, že nastavovala energetickou náročnost, </w:t>
      </w:r>
      <w:r w:rsidR="002B721F">
        <w:t xml:space="preserve">kterou měla </w:t>
      </w:r>
      <w:r w:rsidR="00E3385A">
        <w:t xml:space="preserve">budova </w:t>
      </w:r>
      <w:r w:rsidR="002B721F">
        <w:t>po výstavbě splňovat</w:t>
      </w:r>
      <w:r>
        <w:t xml:space="preserve">. Vzhledem k tomu, že </w:t>
      </w:r>
      <w:r w:rsidR="00E3385A">
        <w:t>šlo</w:t>
      </w:r>
      <w:r w:rsidRPr="00067284">
        <w:t xml:space="preserve"> o výstavbu</w:t>
      </w:r>
      <w:r>
        <w:t xml:space="preserve"> nov</w:t>
      </w:r>
      <w:r w:rsidR="00E3385A">
        <w:t>ých</w:t>
      </w:r>
      <w:r>
        <w:t xml:space="preserve"> budov,</w:t>
      </w:r>
      <w:r w:rsidRPr="00067284">
        <w:t xml:space="preserve"> nedá se mluvit o </w:t>
      </w:r>
      <w:r>
        <w:t xml:space="preserve">faktické </w:t>
      </w:r>
      <w:r w:rsidRPr="00067284">
        <w:t>úspo</w:t>
      </w:r>
      <w:r>
        <w:t>ře energi</w:t>
      </w:r>
      <w:r w:rsidR="005E74AC">
        <w:t>e</w:t>
      </w:r>
      <w:r>
        <w:t>, ale nová budova dosahuje nižší energetické náročnosti</w:t>
      </w:r>
      <w:r w:rsidR="00C457AB">
        <w:t>,</w:t>
      </w:r>
      <w:r>
        <w:t xml:space="preserve"> a to třídy B </w:t>
      </w:r>
      <w:r w:rsidRPr="00067284">
        <w:t>podle aktuální vyhlášky upravující</w:t>
      </w:r>
      <w:r>
        <w:t xml:space="preserve"> energetickou náročnost budov. </w:t>
      </w:r>
      <w:r w:rsidRPr="00067284">
        <w:t>Prog</w:t>
      </w:r>
      <w:r w:rsidR="005E74AC">
        <w:t>ram nemá v oblasti úspor energie</w:t>
      </w:r>
      <w:r w:rsidR="005455A1">
        <w:t xml:space="preserve"> nastaveny cíle </w:t>
      </w:r>
      <w:r w:rsidR="00E3385A">
        <w:t xml:space="preserve">ani </w:t>
      </w:r>
      <w:r w:rsidRPr="00067284">
        <w:t xml:space="preserve">parametry. Hlavním cílem a účelem programu je výstavba nájemních bytů. </w:t>
      </w:r>
      <w:r w:rsidR="005455A1">
        <w:t>V letech 2013 a </w:t>
      </w:r>
      <w:r w:rsidR="00F6635B">
        <w:t>2014 byly poskytnuty úvěry celkem na 10 projektů v celkovém objemu u podepsaných úvěrových smluv ve výši více než 320 mil. Kč.</w:t>
      </w:r>
    </w:p>
    <w:p w:rsidR="001E3AAC" w:rsidRDefault="001E3AAC" w:rsidP="00CB795C">
      <w:pPr>
        <w:spacing w:before="0" w:after="0" w:line="264" w:lineRule="auto"/>
      </w:pPr>
    </w:p>
    <w:p w:rsidR="00C9561D" w:rsidRDefault="00C9561D" w:rsidP="00CB795C">
      <w:pPr>
        <w:spacing w:before="0" w:after="0" w:line="264" w:lineRule="auto"/>
      </w:pPr>
      <w:r w:rsidRPr="00067284">
        <w:t xml:space="preserve">Program </w:t>
      </w:r>
      <w:r w:rsidRPr="00A34EF5">
        <w:rPr>
          <w:i/>
        </w:rPr>
        <w:t>PANEL 2013+</w:t>
      </w:r>
      <w:r w:rsidRPr="00067284">
        <w:t xml:space="preserve"> je upraven </w:t>
      </w:r>
      <w:r w:rsidR="005230F6">
        <w:t>n</w:t>
      </w:r>
      <w:r w:rsidRPr="00067284">
        <w:t>ařízením vlády</w:t>
      </w:r>
      <w:r w:rsidR="001B1F97">
        <w:t xml:space="preserve"> </w:t>
      </w:r>
      <w:r w:rsidRPr="00067284">
        <w:t>č. 468</w:t>
      </w:r>
      <w:r w:rsidR="004321B7">
        <w:t xml:space="preserve"> </w:t>
      </w:r>
      <w:r w:rsidR="002B721F">
        <w:t xml:space="preserve">ze dne 5. 12. 2012 </w:t>
      </w:r>
      <w:r w:rsidR="005455A1">
        <w:t>a </w:t>
      </w:r>
      <w:r w:rsidR="004321B7">
        <w:t>vyhlaš</w:t>
      </w:r>
      <w:r w:rsidR="00E3385A">
        <w:t>uje ho</w:t>
      </w:r>
      <w:r w:rsidR="004321B7">
        <w:t xml:space="preserve"> rovněž SFRB.</w:t>
      </w:r>
      <w:r w:rsidRPr="00067284">
        <w:t xml:space="preserve"> Nařízení vlády upravuje podmínky použití finančních prostředků formou úvěrů na opravy a modernizace domů. </w:t>
      </w:r>
      <w:r w:rsidRPr="003F6A36">
        <w:rPr>
          <w:rFonts w:cstheme="minorHAnsi"/>
        </w:rPr>
        <w:t xml:space="preserve">Úvěrový program </w:t>
      </w:r>
      <w:r w:rsidRPr="00A34EF5">
        <w:rPr>
          <w:rFonts w:cstheme="minorHAnsi"/>
          <w:i/>
        </w:rPr>
        <w:t>PANEL 2013+</w:t>
      </w:r>
      <w:r w:rsidRPr="003F6A36">
        <w:rPr>
          <w:rFonts w:cstheme="minorHAnsi"/>
        </w:rPr>
        <w:t xml:space="preserve"> není zaměřen pouze na podporu energetických úspor, ale obecně na zlepšení stavu bytových domů a bytů.</w:t>
      </w:r>
      <w:r>
        <w:rPr>
          <w:rFonts w:cstheme="minorHAnsi"/>
        </w:rPr>
        <w:t xml:space="preserve"> </w:t>
      </w:r>
      <w:r w:rsidRPr="00AA7153">
        <w:t>Prog</w:t>
      </w:r>
      <w:r w:rsidR="005E74AC">
        <w:t xml:space="preserve">ram nemá </w:t>
      </w:r>
      <w:r w:rsidR="00E3385A">
        <w:t>pro oblast</w:t>
      </w:r>
      <w:r w:rsidR="005E74AC">
        <w:t xml:space="preserve"> úspor energie</w:t>
      </w:r>
      <w:r w:rsidRPr="00AA7153">
        <w:t xml:space="preserve"> nastaveny cíle a</w:t>
      </w:r>
      <w:r w:rsidR="00E3385A">
        <w:t>ni</w:t>
      </w:r>
      <w:r w:rsidRPr="00AA7153">
        <w:t xml:space="preserve"> parametry.</w:t>
      </w:r>
      <w:r w:rsidRPr="00067284">
        <w:t xml:space="preserve"> </w:t>
      </w:r>
      <w:r w:rsidR="00F6635B">
        <w:t>V letech 2013 a 2014 byl</w:t>
      </w:r>
      <w:r w:rsidR="00E3385A">
        <w:t>o na základě</w:t>
      </w:r>
      <w:r w:rsidR="00E3385A" w:rsidRPr="00E3385A">
        <w:t xml:space="preserve"> </w:t>
      </w:r>
      <w:r w:rsidR="00E3385A">
        <w:t>podepsaných úvěrových smluv</w:t>
      </w:r>
      <w:r w:rsidR="00F6635B">
        <w:t xml:space="preserve"> poskytnuty úvěry celkem na 283 projektů v celkovém objemu </w:t>
      </w:r>
      <w:r w:rsidR="00E3385A">
        <w:t>přesahujícím</w:t>
      </w:r>
      <w:r w:rsidR="00F6635B">
        <w:t xml:space="preserve"> 978 mil. Kč.</w:t>
      </w:r>
    </w:p>
    <w:p w:rsidR="00DD030B" w:rsidRPr="001E3AAC" w:rsidRDefault="00DD030B" w:rsidP="00CB795C">
      <w:pPr>
        <w:spacing w:before="0" w:after="0" w:line="264" w:lineRule="auto"/>
      </w:pPr>
    </w:p>
    <w:p w:rsidR="001B1F97" w:rsidRDefault="001B1F97" w:rsidP="00CB795C">
      <w:pPr>
        <w:spacing w:before="0" w:after="0" w:line="264" w:lineRule="auto"/>
        <w:rPr>
          <w:b/>
        </w:rPr>
      </w:pPr>
      <w:r w:rsidRPr="00772AE3">
        <w:rPr>
          <w:b/>
        </w:rPr>
        <w:t>Monitorován</w:t>
      </w:r>
      <w:r w:rsidR="00772AE3" w:rsidRPr="00772AE3">
        <w:rPr>
          <w:b/>
        </w:rPr>
        <w:t>í průběhu a výsledků projektů</w:t>
      </w:r>
      <w:r w:rsidR="00964484">
        <w:rPr>
          <w:b/>
        </w:rPr>
        <w:t xml:space="preserve"> </w:t>
      </w:r>
      <w:r w:rsidR="00E3385A">
        <w:rPr>
          <w:b/>
        </w:rPr>
        <w:t>ze strany</w:t>
      </w:r>
      <w:r w:rsidR="00964484">
        <w:rPr>
          <w:b/>
        </w:rPr>
        <w:t xml:space="preserve"> poskytovatelů dotací</w:t>
      </w:r>
    </w:p>
    <w:p w:rsidR="001E3AAC" w:rsidRDefault="001E3AAC" w:rsidP="00CB795C">
      <w:pPr>
        <w:spacing w:before="0" w:after="0" w:line="264" w:lineRule="auto"/>
        <w:rPr>
          <w:rFonts w:ascii="Calibri" w:hAnsi="Calibri" w:cs="Calibri"/>
        </w:rPr>
      </w:pPr>
    </w:p>
    <w:p w:rsidR="005455A1" w:rsidRDefault="00324A9F" w:rsidP="00CB795C">
      <w:pPr>
        <w:spacing w:before="0" w:after="0" w:line="264" w:lineRule="auto"/>
      </w:pPr>
      <w:r>
        <w:rPr>
          <w:rFonts w:ascii="Calibri" w:hAnsi="Calibri" w:cs="Calibri"/>
        </w:rPr>
        <w:t>P</w:t>
      </w:r>
      <w:r w:rsidRPr="00D93CE3">
        <w:rPr>
          <w:rFonts w:ascii="Calibri" w:hAnsi="Calibri" w:cs="Calibri"/>
        </w:rPr>
        <w:t>ro</w:t>
      </w:r>
      <w:r w:rsidR="00C461AC">
        <w:rPr>
          <w:rFonts w:ascii="Calibri" w:hAnsi="Calibri" w:cs="Calibri"/>
        </w:rPr>
        <w:t xml:space="preserve"> monitorování průběhu a výsledků</w:t>
      </w:r>
      <w:r w:rsidRPr="00D93CE3">
        <w:rPr>
          <w:rFonts w:ascii="Calibri" w:hAnsi="Calibri" w:cs="Calibri"/>
        </w:rPr>
        <w:t xml:space="preserve"> realizace projektů</w:t>
      </w:r>
      <w:r>
        <w:rPr>
          <w:rFonts w:ascii="Calibri" w:hAnsi="Calibri" w:cs="Calibri"/>
        </w:rPr>
        <w:t>,</w:t>
      </w:r>
      <w:r w:rsidRPr="00D93CE3">
        <w:rPr>
          <w:rFonts w:ascii="Calibri" w:hAnsi="Calibri" w:cs="Calibri"/>
        </w:rPr>
        <w:t xml:space="preserve"> ob</w:t>
      </w:r>
      <w:r w:rsidR="00DD030B">
        <w:rPr>
          <w:rFonts w:ascii="Calibri" w:hAnsi="Calibri" w:cs="Calibri"/>
        </w:rPr>
        <w:t>lastí podpory, prioritních os a </w:t>
      </w:r>
      <w:r w:rsidRPr="00D93CE3">
        <w:rPr>
          <w:rFonts w:ascii="Calibri" w:hAnsi="Calibri" w:cs="Calibri"/>
        </w:rPr>
        <w:t xml:space="preserve">programů vzhledem ke stanoveným cílům slouží </w:t>
      </w:r>
      <w:r>
        <w:rPr>
          <w:rFonts w:ascii="Calibri" w:hAnsi="Calibri" w:cs="Calibri"/>
        </w:rPr>
        <w:t>tzv. i</w:t>
      </w:r>
      <w:r w:rsidRPr="00D93CE3">
        <w:rPr>
          <w:rFonts w:ascii="Calibri" w:hAnsi="Calibri" w:cs="Calibri"/>
        </w:rPr>
        <w:t>ndikátory.</w:t>
      </w:r>
      <w:r>
        <w:rPr>
          <w:rFonts w:ascii="Calibri" w:hAnsi="Calibri" w:cs="Calibri"/>
        </w:rPr>
        <w:t xml:space="preserve"> </w:t>
      </w:r>
      <w:r w:rsidR="0017221A">
        <w:t xml:space="preserve">MPO a MŽP v rámci svých operačních programů, tj. </w:t>
      </w:r>
      <w:r w:rsidR="00711F1F">
        <w:t>o</w:t>
      </w:r>
      <w:r w:rsidR="0017221A">
        <w:t>perační</w:t>
      </w:r>
      <w:r w:rsidR="00E3385A">
        <w:t>ho</w:t>
      </w:r>
      <w:r w:rsidR="0017221A">
        <w:t xml:space="preserve"> program</w:t>
      </w:r>
      <w:r w:rsidR="00E3385A">
        <w:t>u</w:t>
      </w:r>
      <w:r w:rsidR="0017221A">
        <w:t xml:space="preserve"> </w:t>
      </w:r>
      <w:r w:rsidR="0017221A" w:rsidRPr="00512745">
        <w:rPr>
          <w:i/>
        </w:rPr>
        <w:t>Podnikání</w:t>
      </w:r>
      <w:r w:rsidR="005455A1" w:rsidRPr="00512745">
        <w:rPr>
          <w:i/>
        </w:rPr>
        <w:t xml:space="preserve"> a inovace</w:t>
      </w:r>
      <w:r w:rsidR="005455A1">
        <w:t xml:space="preserve"> a </w:t>
      </w:r>
      <w:r w:rsidR="00711F1F">
        <w:t>o</w:t>
      </w:r>
      <w:r w:rsidR="0017221A">
        <w:t>perační</w:t>
      </w:r>
      <w:r w:rsidR="00E3385A">
        <w:t>ho</w:t>
      </w:r>
      <w:r w:rsidR="0017221A">
        <w:t xml:space="preserve"> program</w:t>
      </w:r>
      <w:r w:rsidR="00E3385A">
        <w:t>u</w:t>
      </w:r>
      <w:r w:rsidR="0017221A">
        <w:t xml:space="preserve"> </w:t>
      </w:r>
      <w:r w:rsidR="0017221A" w:rsidRPr="00512745">
        <w:rPr>
          <w:i/>
        </w:rPr>
        <w:t>Životní prostředí</w:t>
      </w:r>
      <w:r w:rsidR="00E3385A">
        <w:t>,</w:t>
      </w:r>
      <w:r w:rsidR="0017221A" w:rsidRPr="00711F1F">
        <w:t xml:space="preserve"> </w:t>
      </w:r>
      <w:r w:rsidR="0017221A">
        <w:t xml:space="preserve">sledují indikátor </w:t>
      </w:r>
      <w:r w:rsidR="0017221A" w:rsidRPr="00512745">
        <w:t>„</w:t>
      </w:r>
      <w:r w:rsidR="00711F1F">
        <w:rPr>
          <w:i/>
        </w:rPr>
        <w:t>s</w:t>
      </w:r>
      <w:r w:rsidR="0017221A" w:rsidRPr="00A73E83">
        <w:rPr>
          <w:i/>
        </w:rPr>
        <w:t>nížení spotřeby energie</w:t>
      </w:r>
      <w:r w:rsidR="0017221A" w:rsidRPr="00512745">
        <w:t>“</w:t>
      </w:r>
      <w:r w:rsidR="0017221A">
        <w:t>. Tento indikátor je každoročně vyhodnocován ve výročních zprávách operačních programů. Vývoj tohoto indikátoru zobrazuje graf č. 1.</w:t>
      </w:r>
    </w:p>
    <w:p w:rsidR="001E3AAC" w:rsidRDefault="001E3AAC" w:rsidP="00CB795C">
      <w:pPr>
        <w:spacing w:before="0" w:after="0" w:line="264" w:lineRule="auto"/>
        <w:jc w:val="left"/>
      </w:pPr>
    </w:p>
    <w:p w:rsidR="0017221A" w:rsidRDefault="00711F1F" w:rsidP="00711F1F">
      <w:pPr>
        <w:pStyle w:val="graf"/>
        <w:numPr>
          <w:ilvl w:val="0"/>
          <w:numId w:val="0"/>
        </w:numPr>
        <w:spacing w:before="0" w:line="276" w:lineRule="auto"/>
        <w:ind w:left="1134" w:hanging="1134"/>
      </w:pPr>
      <w:r>
        <w:rPr>
          <w:b/>
        </w:rPr>
        <w:t xml:space="preserve">Graf č. 1 – </w:t>
      </w:r>
      <w:r>
        <w:rPr>
          <w:b/>
        </w:rPr>
        <w:tab/>
      </w:r>
      <w:r w:rsidR="0017221A" w:rsidRPr="00512745">
        <w:rPr>
          <w:b/>
        </w:rPr>
        <w:t>Dosažené hodnoty indikátoru „</w:t>
      </w:r>
      <w:r w:rsidRPr="00512745">
        <w:rPr>
          <w:b/>
          <w:i/>
        </w:rPr>
        <w:t>s</w:t>
      </w:r>
      <w:r w:rsidR="0017221A" w:rsidRPr="00512745">
        <w:rPr>
          <w:b/>
          <w:i/>
        </w:rPr>
        <w:t>nížení spotřeby energie</w:t>
      </w:r>
      <w:r w:rsidR="0017221A" w:rsidRPr="00512745">
        <w:rPr>
          <w:b/>
        </w:rPr>
        <w:t>“</w:t>
      </w:r>
    </w:p>
    <w:p w:rsidR="0017221A" w:rsidRPr="00772AE3" w:rsidRDefault="0017221A" w:rsidP="005455A1">
      <w:pPr>
        <w:spacing w:before="0" w:after="0"/>
        <w:rPr>
          <w:b/>
        </w:rPr>
      </w:pPr>
      <w:r>
        <w:rPr>
          <w:noProof/>
          <w:lang w:eastAsia="cs-CZ"/>
        </w:rPr>
        <w:drawing>
          <wp:inline distT="0" distB="0" distL="0" distR="0" wp14:anchorId="0571CF72" wp14:editId="7A2FF7C4">
            <wp:extent cx="5760720" cy="2906389"/>
            <wp:effectExtent l="0" t="0" r="11430" b="279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221A" w:rsidRPr="00512745" w:rsidRDefault="0017221A" w:rsidP="001E3AAC">
      <w:pPr>
        <w:spacing w:before="40" w:after="0" w:line="240" w:lineRule="auto"/>
        <w:rPr>
          <w:sz w:val="20"/>
        </w:rPr>
      </w:pPr>
      <w:r w:rsidRPr="00512745">
        <w:rPr>
          <w:b/>
          <w:sz w:val="20"/>
        </w:rPr>
        <w:t>Zdroj:</w:t>
      </w:r>
      <w:r w:rsidRPr="00512745">
        <w:rPr>
          <w:sz w:val="20"/>
        </w:rPr>
        <w:t xml:space="preserve"> </w:t>
      </w:r>
      <w:r w:rsidR="00711F1F">
        <w:rPr>
          <w:sz w:val="20"/>
        </w:rPr>
        <w:t>v</w:t>
      </w:r>
      <w:r w:rsidRPr="00512745">
        <w:rPr>
          <w:sz w:val="20"/>
        </w:rPr>
        <w:t xml:space="preserve">ýroční zpráva OPPI za rok 2014 a </w:t>
      </w:r>
      <w:r w:rsidR="00711F1F">
        <w:rPr>
          <w:sz w:val="20"/>
        </w:rPr>
        <w:t>v</w:t>
      </w:r>
      <w:r w:rsidRPr="00512745">
        <w:rPr>
          <w:sz w:val="20"/>
        </w:rPr>
        <w:t>ýroční zpráva OPŽP za rok 2014</w:t>
      </w:r>
      <w:r w:rsidR="005455A1" w:rsidRPr="00512745">
        <w:rPr>
          <w:sz w:val="20"/>
        </w:rPr>
        <w:t>.</w:t>
      </w:r>
    </w:p>
    <w:p w:rsidR="001E3AAC" w:rsidRDefault="001E3AAC" w:rsidP="00CB795C">
      <w:pPr>
        <w:spacing w:before="0" w:after="0" w:line="264" w:lineRule="auto"/>
      </w:pPr>
    </w:p>
    <w:p w:rsidR="0017221A" w:rsidRDefault="0017221A" w:rsidP="00CB795C">
      <w:pPr>
        <w:spacing w:before="0" w:after="0" w:line="264" w:lineRule="auto"/>
      </w:pPr>
      <w:r>
        <w:t xml:space="preserve">Z uvedených dat je </w:t>
      </w:r>
      <w:r w:rsidR="00E3385A">
        <w:t>zřejmé</w:t>
      </w:r>
      <w:r>
        <w:t xml:space="preserve">, že </w:t>
      </w:r>
      <w:r w:rsidR="00273D77">
        <w:t>v rámci těchto dvou operačních programů</w:t>
      </w:r>
      <w:r>
        <w:t xml:space="preserve"> je od roku 2015 ČR schopna vygenerovat cca 7 005,9 TJ nových úspor ročně. Dále je z grafu patrný pomalý nárůst hodnoty indikátoru v letech 2007 až 2012.</w:t>
      </w:r>
    </w:p>
    <w:p w:rsidR="001E3AAC" w:rsidRDefault="001E3AAC" w:rsidP="00CB795C">
      <w:pPr>
        <w:spacing w:before="0" w:after="0" w:line="264" w:lineRule="auto"/>
      </w:pPr>
    </w:p>
    <w:p w:rsidR="00B347B8" w:rsidRDefault="001B1F97" w:rsidP="00CB795C">
      <w:pPr>
        <w:spacing w:before="0" w:after="0" w:line="264" w:lineRule="auto"/>
      </w:pPr>
      <w:r w:rsidRPr="00AA3E46">
        <w:rPr>
          <w:rFonts w:ascii="Calibri" w:hAnsi="Calibri" w:cs="Calibri"/>
        </w:rPr>
        <w:t xml:space="preserve">Plnění ukazatele je pravidelně vyhodnocováno a data jsou shromažďována </w:t>
      </w:r>
      <w:r w:rsidR="009D0B91">
        <w:rPr>
          <w:rFonts w:ascii="Calibri" w:hAnsi="Calibri" w:cs="Calibri"/>
        </w:rPr>
        <w:t>ve</w:t>
      </w:r>
      <w:r w:rsidRPr="00AA3E46">
        <w:rPr>
          <w:rFonts w:ascii="Calibri" w:hAnsi="Calibri" w:cs="Calibri"/>
        </w:rPr>
        <w:t xml:space="preserve"> výročních zpráv</w:t>
      </w:r>
      <w:r w:rsidR="009D0B91">
        <w:rPr>
          <w:rFonts w:ascii="Calibri" w:hAnsi="Calibri" w:cs="Calibri"/>
        </w:rPr>
        <w:t>ách</w:t>
      </w:r>
      <w:r w:rsidRPr="00AA3E46">
        <w:rPr>
          <w:rFonts w:ascii="Calibri" w:hAnsi="Calibri" w:cs="Calibri"/>
        </w:rPr>
        <w:t xml:space="preserve"> OPPI a </w:t>
      </w:r>
      <w:r w:rsidR="002F4E59">
        <w:rPr>
          <w:rFonts w:ascii="Calibri" w:hAnsi="Calibri" w:cs="Calibri"/>
        </w:rPr>
        <w:t xml:space="preserve">OPŽP </w:t>
      </w:r>
      <w:r w:rsidRPr="00AA3E46">
        <w:rPr>
          <w:rFonts w:ascii="Calibri" w:hAnsi="Calibri" w:cs="Calibri"/>
        </w:rPr>
        <w:t xml:space="preserve">pro účely vyhodnocení NAPEE. </w:t>
      </w:r>
      <w:r w:rsidR="00324A9F">
        <w:rPr>
          <w:rFonts w:ascii="Calibri" w:hAnsi="Calibri" w:cs="Calibri"/>
        </w:rPr>
        <w:t xml:space="preserve">MPO i </w:t>
      </w:r>
      <w:r w:rsidRPr="00AA3E46">
        <w:rPr>
          <w:rFonts w:ascii="Calibri" w:hAnsi="Calibri" w:cs="Calibri"/>
        </w:rPr>
        <w:t>MŽP h</w:t>
      </w:r>
      <w:r w:rsidRPr="00AA3E46">
        <w:t>odnoty tohoto indikátoru přenáš</w:t>
      </w:r>
      <w:r w:rsidR="00324A9F">
        <w:t>í</w:t>
      </w:r>
      <w:r w:rsidRPr="00AA3E46">
        <w:t xml:space="preserve"> v rámci informačního systému do centrálního monitorovacího systému strukturálních fondů a </w:t>
      </w:r>
      <w:r w:rsidRPr="00512745">
        <w:rPr>
          <w:i/>
        </w:rPr>
        <w:t>Fondu soudržnosti</w:t>
      </w:r>
      <w:r w:rsidRPr="00AA3E46">
        <w:t xml:space="preserve"> </w:t>
      </w:r>
      <w:r>
        <w:t>(</w:t>
      </w:r>
      <w:r w:rsidRPr="00AA3E46">
        <w:t>MSC2007</w:t>
      </w:r>
      <w:r>
        <w:t>)</w:t>
      </w:r>
      <w:r w:rsidRPr="00AA3E46">
        <w:t>.</w:t>
      </w:r>
      <w:r>
        <w:t xml:space="preserve"> </w:t>
      </w:r>
      <w:r w:rsidR="00D262AA">
        <w:t>Mimo sledování úspor u těchto dvou operačních programů nejsou u ostatních</w:t>
      </w:r>
      <w:r w:rsidR="008D39E8">
        <w:t xml:space="preserve"> subjektů a </w:t>
      </w:r>
      <w:r w:rsidR="00D262AA">
        <w:t>opatření, ve kterých dochází k úsporám energie</w:t>
      </w:r>
      <w:r w:rsidR="008D39E8">
        <w:t xml:space="preserve"> s využitím dotací ze státního rozpočtu, úspory v plné míře sledovány.</w:t>
      </w:r>
    </w:p>
    <w:p w:rsidR="001E3AAC" w:rsidRDefault="001E3AAC" w:rsidP="00CB795C">
      <w:pPr>
        <w:spacing w:before="0" w:after="0" w:line="264" w:lineRule="auto"/>
      </w:pPr>
    </w:p>
    <w:p w:rsidR="00096B5F" w:rsidRPr="00F44193" w:rsidRDefault="00B347B8" w:rsidP="00F4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0" w:after="0" w:line="264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V resortu MMR tento indikátor stanoven není, přestože je i v tomto resortu realizována řada opatření vedoucí</w:t>
      </w:r>
      <w:r w:rsidR="009D0B91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k novým úsporám energie.</w:t>
      </w:r>
      <w:r w:rsidR="00BF538E">
        <w:rPr>
          <w:rFonts w:ascii="Calibri" w:hAnsi="Calibri" w:cs="Calibri"/>
        </w:rPr>
        <w:t xml:space="preserve"> S</w:t>
      </w:r>
      <w:r w:rsidR="00D262AA">
        <w:rPr>
          <w:rFonts w:ascii="Calibri" w:hAnsi="Calibri" w:cs="Calibri"/>
        </w:rPr>
        <w:t xml:space="preserve"> výjimkou programu </w:t>
      </w:r>
      <w:r w:rsidR="00D262AA" w:rsidRPr="00512745">
        <w:rPr>
          <w:rFonts w:ascii="Calibri" w:hAnsi="Calibri" w:cs="Calibri"/>
          <w:i/>
        </w:rPr>
        <w:t>JESSICA</w:t>
      </w:r>
      <w:r w:rsidR="00D262AA">
        <w:rPr>
          <w:rFonts w:ascii="Calibri" w:hAnsi="Calibri" w:cs="Calibri"/>
        </w:rPr>
        <w:t xml:space="preserve"> nebyly úspory energie v program</w:t>
      </w:r>
      <w:r w:rsidR="005455A1">
        <w:rPr>
          <w:rFonts w:ascii="Calibri" w:hAnsi="Calibri" w:cs="Calibri"/>
        </w:rPr>
        <w:t>ech MMR po celé období let 2012–</w:t>
      </w:r>
      <w:r w:rsidR="00D262AA">
        <w:rPr>
          <w:rFonts w:ascii="Calibri" w:hAnsi="Calibri" w:cs="Calibri"/>
        </w:rPr>
        <w:t>2</w:t>
      </w:r>
      <w:r w:rsidR="00096B5F">
        <w:rPr>
          <w:rFonts w:ascii="Calibri" w:hAnsi="Calibri" w:cs="Calibri"/>
        </w:rPr>
        <w:t>014 v plném rozsahu sledovány a </w:t>
      </w:r>
      <w:r w:rsidR="00273D77">
        <w:rPr>
          <w:rFonts w:ascii="Calibri" w:hAnsi="Calibri" w:cs="Calibri"/>
        </w:rPr>
        <w:t xml:space="preserve">nebylo požadováno, aby MPO předložilo </w:t>
      </w:r>
      <w:r w:rsidR="00D262AA">
        <w:rPr>
          <w:rFonts w:ascii="Calibri" w:hAnsi="Calibri" w:cs="Calibri"/>
        </w:rPr>
        <w:t>dosažené výsledky v úsporách energie.</w:t>
      </w:r>
    </w:p>
    <w:p w:rsidR="00B451BE" w:rsidRPr="00512745" w:rsidRDefault="001E3AAC" w:rsidP="00CB795C">
      <w:pPr>
        <w:pStyle w:val="pracovn3"/>
        <w:spacing w:before="0" w:line="264" w:lineRule="auto"/>
        <w:ind w:left="1"/>
        <w:jc w:val="center"/>
        <w:rPr>
          <w:rFonts w:asciiTheme="minorHAnsi" w:hAnsiTheme="minorHAnsi" w:cstheme="minorHAnsi"/>
          <w:caps/>
          <w:color w:val="auto"/>
          <w:sz w:val="26"/>
          <w:szCs w:val="26"/>
          <w:u w:val="single"/>
        </w:rPr>
      </w:pPr>
      <w:r w:rsidRPr="00512745">
        <w:rPr>
          <w:rFonts w:asciiTheme="minorHAnsi" w:hAnsiTheme="minorHAnsi" w:cstheme="minorHAnsi"/>
          <w:caps/>
          <w:color w:val="auto"/>
          <w:sz w:val="26"/>
          <w:szCs w:val="26"/>
        </w:rPr>
        <w:lastRenderedPageBreak/>
        <w:t xml:space="preserve">IV. </w:t>
      </w:r>
      <w:r w:rsidR="00DA10D6" w:rsidRPr="00512745">
        <w:rPr>
          <w:rFonts w:asciiTheme="minorHAnsi" w:hAnsiTheme="minorHAnsi" w:cstheme="minorHAnsi"/>
          <w:color w:val="auto"/>
          <w:sz w:val="26"/>
          <w:szCs w:val="26"/>
        </w:rPr>
        <w:t>Příjemci dotací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Pr="00D304F3" w:rsidRDefault="00E775E2" w:rsidP="00CB795C">
      <w:pPr>
        <w:spacing w:before="0" w:after="0" w:line="264" w:lineRule="auto"/>
        <w:rPr>
          <w:b/>
          <w:szCs w:val="24"/>
        </w:rPr>
      </w:pPr>
      <w:r w:rsidRPr="00D304F3">
        <w:rPr>
          <w:b/>
          <w:szCs w:val="24"/>
        </w:rPr>
        <w:t>Kontrolní vzorek</w:t>
      </w:r>
      <w:r>
        <w:rPr>
          <w:b/>
          <w:szCs w:val="24"/>
        </w:rPr>
        <w:t xml:space="preserve"> a oblast kontroly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Default="000F672B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 xml:space="preserve">Vybraní příjemci obdrželi dotace </w:t>
      </w:r>
      <w:r w:rsidR="00C461AC">
        <w:rPr>
          <w:szCs w:val="24"/>
        </w:rPr>
        <w:t xml:space="preserve">prostřednictvím programů administrovaných </w:t>
      </w:r>
      <w:r>
        <w:rPr>
          <w:szCs w:val="24"/>
        </w:rPr>
        <w:t xml:space="preserve">MPO a MŽP. </w:t>
      </w:r>
      <w:r w:rsidR="00E775E2">
        <w:rPr>
          <w:szCs w:val="24"/>
        </w:rPr>
        <w:t>V</w:t>
      </w:r>
      <w:r w:rsidR="009F1E23">
        <w:rPr>
          <w:szCs w:val="24"/>
        </w:rPr>
        <w:t> </w:t>
      </w:r>
      <w:r w:rsidR="00E775E2">
        <w:rPr>
          <w:szCs w:val="24"/>
        </w:rPr>
        <w:t>o</w:t>
      </w:r>
      <w:r w:rsidR="00E775E2" w:rsidRPr="00AD37EC">
        <w:rPr>
          <w:szCs w:val="24"/>
        </w:rPr>
        <w:t>blast</w:t>
      </w:r>
      <w:r w:rsidR="00E775E2">
        <w:rPr>
          <w:szCs w:val="24"/>
        </w:rPr>
        <w:t>i</w:t>
      </w:r>
      <w:r w:rsidR="00E775E2" w:rsidRPr="00AD37EC">
        <w:rPr>
          <w:szCs w:val="24"/>
        </w:rPr>
        <w:t xml:space="preserve"> podpory 3.2</w:t>
      </w:r>
      <w:r w:rsidR="009D0B91">
        <w:rPr>
          <w:szCs w:val="24"/>
        </w:rPr>
        <w:t> –</w:t>
      </w:r>
      <w:r w:rsidR="00E775E2" w:rsidRPr="00AD37EC">
        <w:rPr>
          <w:szCs w:val="24"/>
        </w:rPr>
        <w:t xml:space="preserve"> </w:t>
      </w:r>
      <w:r w:rsidR="00E775E2" w:rsidRPr="00114470">
        <w:rPr>
          <w:i/>
          <w:szCs w:val="24"/>
        </w:rPr>
        <w:t>Realizace úspor energie a využití odpadního tepla</w:t>
      </w:r>
      <w:r w:rsidR="00E775E2">
        <w:rPr>
          <w:szCs w:val="24"/>
        </w:rPr>
        <w:t xml:space="preserve"> OPŽ</w:t>
      </w:r>
      <w:r w:rsidR="00E775E2" w:rsidRPr="00AD37EC">
        <w:rPr>
          <w:szCs w:val="24"/>
        </w:rPr>
        <w:t>P</w:t>
      </w:r>
      <w:r w:rsidR="00E775E2" w:rsidRPr="00C60F61">
        <w:rPr>
          <w:szCs w:val="24"/>
        </w:rPr>
        <w:t xml:space="preserve"> </w:t>
      </w:r>
      <w:r w:rsidR="00E775E2">
        <w:rPr>
          <w:szCs w:val="24"/>
        </w:rPr>
        <w:t>zahrnoval v</w:t>
      </w:r>
      <w:r w:rsidR="00E775E2" w:rsidRPr="00C60F61">
        <w:rPr>
          <w:szCs w:val="24"/>
        </w:rPr>
        <w:t>ybraný kont</w:t>
      </w:r>
      <w:r w:rsidR="00E775E2">
        <w:rPr>
          <w:szCs w:val="24"/>
        </w:rPr>
        <w:t xml:space="preserve">rolní vzorek 11 projektů realizovaných sedmi příjemci dotací z OPŽP. </w:t>
      </w:r>
      <w:r w:rsidR="00E775E2" w:rsidRPr="00355684">
        <w:rPr>
          <w:szCs w:val="24"/>
        </w:rPr>
        <w:t xml:space="preserve">U kontrolovaného vzorku projektů dosáhly dotace proplacené příjemcům v kontrolovaném období </w:t>
      </w:r>
      <w:r w:rsidR="001B1F97">
        <w:rPr>
          <w:szCs w:val="24"/>
        </w:rPr>
        <w:t xml:space="preserve">více než 210 mil. </w:t>
      </w:r>
      <w:r w:rsidR="00E775E2" w:rsidRPr="00355684">
        <w:rPr>
          <w:szCs w:val="24"/>
        </w:rPr>
        <w:t>Kč</w:t>
      </w:r>
      <w:r w:rsidR="00E775E2" w:rsidRPr="00693C3A">
        <w:rPr>
          <w:szCs w:val="24"/>
        </w:rPr>
        <w:t>.</w:t>
      </w:r>
    </w:p>
    <w:p w:rsidR="00693C3A" w:rsidRPr="00693C3A" w:rsidRDefault="00693C3A" w:rsidP="00CB795C">
      <w:pPr>
        <w:spacing w:before="0" w:after="0" w:line="264" w:lineRule="auto"/>
        <w:rPr>
          <w:szCs w:val="24"/>
        </w:rPr>
      </w:pPr>
    </w:p>
    <w:p w:rsidR="00E775E2" w:rsidRDefault="00E775E2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>V o</w:t>
      </w:r>
      <w:r w:rsidRPr="00AD37EC">
        <w:rPr>
          <w:szCs w:val="24"/>
        </w:rPr>
        <w:t>blast</w:t>
      </w:r>
      <w:r>
        <w:rPr>
          <w:szCs w:val="24"/>
        </w:rPr>
        <w:t>i</w:t>
      </w:r>
      <w:r w:rsidRPr="00AD37EC">
        <w:rPr>
          <w:szCs w:val="24"/>
        </w:rPr>
        <w:t xml:space="preserve"> podpory 3.1</w:t>
      </w:r>
      <w:r w:rsidR="009D0B91">
        <w:rPr>
          <w:szCs w:val="24"/>
        </w:rPr>
        <w:t> –</w:t>
      </w:r>
      <w:r w:rsidRPr="00AD37EC">
        <w:rPr>
          <w:szCs w:val="24"/>
        </w:rPr>
        <w:t xml:space="preserve"> </w:t>
      </w:r>
      <w:r w:rsidRPr="00114470">
        <w:rPr>
          <w:i/>
          <w:szCs w:val="24"/>
        </w:rPr>
        <w:t>Úspory energie a obnovitelné zdroje energie</w:t>
      </w:r>
      <w:r w:rsidRPr="00AD37EC">
        <w:rPr>
          <w:szCs w:val="24"/>
        </w:rPr>
        <w:t xml:space="preserve"> programu </w:t>
      </w:r>
      <w:r>
        <w:rPr>
          <w:szCs w:val="24"/>
        </w:rPr>
        <w:t>OPPI</w:t>
      </w:r>
      <w:r w:rsidRPr="00AD37EC">
        <w:rPr>
          <w:szCs w:val="24"/>
        </w:rPr>
        <w:t xml:space="preserve"> </w:t>
      </w:r>
      <w:r>
        <w:rPr>
          <w:szCs w:val="24"/>
        </w:rPr>
        <w:t>zahrnoval v</w:t>
      </w:r>
      <w:r w:rsidRPr="00C60F61">
        <w:rPr>
          <w:szCs w:val="24"/>
        </w:rPr>
        <w:t>ybraný kont</w:t>
      </w:r>
      <w:r w:rsidR="006E7DA0">
        <w:rPr>
          <w:szCs w:val="24"/>
        </w:rPr>
        <w:t xml:space="preserve">rolní vzorek osm </w:t>
      </w:r>
      <w:r>
        <w:rPr>
          <w:szCs w:val="24"/>
        </w:rPr>
        <w:t xml:space="preserve">projektů realizovaných v rámci </w:t>
      </w:r>
      <w:r w:rsidRPr="00512745">
        <w:rPr>
          <w:szCs w:val="24"/>
        </w:rPr>
        <w:t xml:space="preserve">III. </w:t>
      </w:r>
      <w:r w:rsidR="00AC2314">
        <w:rPr>
          <w:szCs w:val="24"/>
        </w:rPr>
        <w:t>v</w:t>
      </w:r>
      <w:r w:rsidRPr="00512745">
        <w:rPr>
          <w:szCs w:val="24"/>
        </w:rPr>
        <w:t>ýzvy k předkládání projektů v rámci OPPI EKO-ENERGIE</w:t>
      </w:r>
      <w:r w:rsidR="000B2872">
        <w:rPr>
          <w:i/>
          <w:szCs w:val="24"/>
        </w:rPr>
        <w:t xml:space="preserve"> </w:t>
      </w:r>
      <w:r w:rsidR="000B2872">
        <w:rPr>
          <w:szCs w:val="24"/>
        </w:rPr>
        <w:t>osmi příjemci dotací</w:t>
      </w:r>
      <w:r>
        <w:rPr>
          <w:szCs w:val="24"/>
        </w:rPr>
        <w:t xml:space="preserve">. U kontrolovaného vzorku projektů dosáhly dotace proplacené příjemcům v kontrolovaném období výše </w:t>
      </w:r>
      <w:r w:rsidR="001B1F97">
        <w:rPr>
          <w:szCs w:val="24"/>
        </w:rPr>
        <w:t xml:space="preserve">cca </w:t>
      </w:r>
      <w:r>
        <w:rPr>
          <w:szCs w:val="24"/>
        </w:rPr>
        <w:t>64</w:t>
      </w:r>
      <w:r w:rsidR="001B1F97">
        <w:rPr>
          <w:szCs w:val="24"/>
        </w:rPr>
        <w:t>8</w:t>
      </w:r>
      <w:r>
        <w:rPr>
          <w:szCs w:val="24"/>
        </w:rPr>
        <w:t> </w:t>
      </w:r>
      <w:r w:rsidR="001B1F97">
        <w:rPr>
          <w:szCs w:val="24"/>
        </w:rPr>
        <w:t xml:space="preserve">mil. </w:t>
      </w:r>
      <w:r>
        <w:rPr>
          <w:szCs w:val="24"/>
        </w:rPr>
        <w:t>Kč.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Pr="00D304F3" w:rsidRDefault="00E775E2" w:rsidP="00CB795C">
      <w:pPr>
        <w:spacing w:before="0" w:after="0" w:line="264" w:lineRule="auto"/>
        <w:rPr>
          <w:b/>
          <w:szCs w:val="24"/>
        </w:rPr>
      </w:pPr>
      <w:r w:rsidRPr="00D304F3">
        <w:rPr>
          <w:b/>
          <w:szCs w:val="24"/>
        </w:rPr>
        <w:t>Plnění cílů projekt</w:t>
      </w:r>
      <w:r w:rsidR="0066069F">
        <w:rPr>
          <w:b/>
          <w:szCs w:val="24"/>
        </w:rPr>
        <w:t>ů</w:t>
      </w:r>
      <w:r w:rsidRPr="00D304F3">
        <w:rPr>
          <w:b/>
          <w:szCs w:val="24"/>
        </w:rPr>
        <w:t xml:space="preserve"> </w:t>
      </w:r>
      <w:r w:rsidR="000B2872">
        <w:rPr>
          <w:b/>
          <w:szCs w:val="24"/>
        </w:rPr>
        <w:t>a </w:t>
      </w:r>
      <w:r w:rsidRPr="00D304F3">
        <w:rPr>
          <w:b/>
          <w:szCs w:val="24"/>
        </w:rPr>
        <w:t>závazných monitorovacích ukazatelů, dosažené úspory energie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485E77" w:rsidRDefault="00E775E2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 xml:space="preserve">Kontrolou NKÚ bylo zjištěno, že cíle, účel </w:t>
      </w:r>
      <w:r w:rsidR="000B2872">
        <w:rPr>
          <w:szCs w:val="24"/>
        </w:rPr>
        <w:t>i </w:t>
      </w:r>
      <w:r>
        <w:rPr>
          <w:szCs w:val="24"/>
        </w:rPr>
        <w:t xml:space="preserve">závazné monitorovací ukazatele vybraných projektů byly splněny. </w:t>
      </w:r>
      <w:r w:rsidR="005E74AC">
        <w:rPr>
          <w:szCs w:val="24"/>
        </w:rPr>
        <w:t xml:space="preserve">S dále uvedenou výjimkou bylo u </w:t>
      </w:r>
      <w:r w:rsidR="00BE04BB">
        <w:rPr>
          <w:szCs w:val="24"/>
        </w:rPr>
        <w:t>všech prověřovaných projektů</w:t>
      </w:r>
      <w:r>
        <w:rPr>
          <w:szCs w:val="24"/>
        </w:rPr>
        <w:t xml:space="preserve"> zjištěno, že realizací projektů dosáhli příjemci výrazných úspor energie a úspor finančních prostředků. U dvou projektů nebyly po</w:t>
      </w:r>
      <w:r w:rsidR="00AC2314">
        <w:rPr>
          <w:szCs w:val="24"/>
        </w:rPr>
        <w:t xml:space="preserve"> </w:t>
      </w:r>
      <w:r>
        <w:rPr>
          <w:szCs w:val="24"/>
        </w:rPr>
        <w:t>ukončení realizace naplněn</w:t>
      </w:r>
      <w:r w:rsidR="000B2872">
        <w:rPr>
          <w:szCs w:val="24"/>
        </w:rPr>
        <w:t>y</w:t>
      </w:r>
      <w:r>
        <w:rPr>
          <w:szCs w:val="24"/>
        </w:rPr>
        <w:t xml:space="preserve"> monitorovací ukazatele (</w:t>
      </w:r>
      <w:r w:rsidR="000B2872">
        <w:rPr>
          <w:szCs w:val="24"/>
        </w:rPr>
        <w:t>„</w:t>
      </w:r>
      <w:r w:rsidRPr="00512745">
        <w:rPr>
          <w:i/>
          <w:szCs w:val="24"/>
        </w:rPr>
        <w:t>snížení spotřeby energie</w:t>
      </w:r>
      <w:r w:rsidR="000B2872">
        <w:rPr>
          <w:szCs w:val="24"/>
        </w:rPr>
        <w:t>“</w:t>
      </w:r>
      <w:r>
        <w:rPr>
          <w:szCs w:val="24"/>
        </w:rPr>
        <w:t xml:space="preserve"> a </w:t>
      </w:r>
      <w:r w:rsidR="000B2872">
        <w:rPr>
          <w:szCs w:val="24"/>
        </w:rPr>
        <w:t>„</w:t>
      </w:r>
      <w:r w:rsidRPr="00512745">
        <w:rPr>
          <w:i/>
          <w:szCs w:val="24"/>
        </w:rPr>
        <w:t>snížení emisí CO</w:t>
      </w:r>
      <w:r w:rsidRPr="00512745">
        <w:rPr>
          <w:i/>
          <w:szCs w:val="24"/>
          <w:vertAlign w:val="subscript"/>
        </w:rPr>
        <w:t>2</w:t>
      </w:r>
      <w:r w:rsidR="000B2872">
        <w:rPr>
          <w:szCs w:val="24"/>
          <w:vertAlign w:val="subscript"/>
        </w:rPr>
        <w:t>“</w:t>
      </w:r>
      <w:r>
        <w:rPr>
          <w:szCs w:val="24"/>
        </w:rPr>
        <w:t xml:space="preserve">) </w:t>
      </w:r>
      <w:r w:rsidRPr="00485E77">
        <w:rPr>
          <w:szCs w:val="24"/>
        </w:rPr>
        <w:t>z důvodu objektivních skutečnost</w:t>
      </w:r>
      <w:r w:rsidRPr="00693C3A">
        <w:rPr>
          <w:szCs w:val="24"/>
        </w:rPr>
        <w:t>í</w:t>
      </w:r>
      <w:r w:rsidR="00485E77" w:rsidRPr="00693C3A">
        <w:rPr>
          <w:szCs w:val="24"/>
        </w:rPr>
        <w:t xml:space="preserve"> (v</w:t>
      </w:r>
      <w:r w:rsidR="00485E77">
        <w:rPr>
          <w:szCs w:val="24"/>
        </w:rPr>
        <w:t>liv počasí, postupné nastavování regulace spotřeby tepla).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Default="00E775E2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>U dvou projektů byl termín plnění závazných monitorovacích ukazatelů posunut ke</w:t>
      </w:r>
      <w:r w:rsidR="00AC2314">
        <w:rPr>
          <w:szCs w:val="24"/>
        </w:rPr>
        <w:t xml:space="preserve"> </w:t>
      </w:r>
      <w:r>
        <w:rPr>
          <w:szCs w:val="24"/>
        </w:rPr>
        <w:t>dni</w:t>
      </w:r>
      <w:r w:rsidR="00AC2314">
        <w:rPr>
          <w:szCs w:val="24"/>
        </w:rPr>
        <w:t xml:space="preserve"> </w:t>
      </w:r>
      <w:r>
        <w:rPr>
          <w:szCs w:val="24"/>
        </w:rPr>
        <w:t>30. 9.</w:t>
      </w:r>
      <w:r w:rsidR="00AC2314">
        <w:rPr>
          <w:szCs w:val="24"/>
        </w:rPr>
        <w:t> </w:t>
      </w:r>
      <w:r>
        <w:rPr>
          <w:szCs w:val="24"/>
        </w:rPr>
        <w:t>2016</w:t>
      </w:r>
      <w:r w:rsidR="00AC2314">
        <w:rPr>
          <w:szCs w:val="24"/>
        </w:rPr>
        <w:t>, respektive</w:t>
      </w:r>
      <w:r>
        <w:rPr>
          <w:szCs w:val="24"/>
        </w:rPr>
        <w:t xml:space="preserve"> 31.</w:t>
      </w:r>
      <w:r w:rsidR="00AC2314">
        <w:rPr>
          <w:szCs w:val="24"/>
        </w:rPr>
        <w:t> 12. </w:t>
      </w:r>
      <w:r>
        <w:rPr>
          <w:szCs w:val="24"/>
        </w:rPr>
        <w:t xml:space="preserve">2016, a proto nemohlo být kontrolou NKÚ plnění ukazatelů prověřeno. 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Default="0066069F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 xml:space="preserve">V případě </w:t>
      </w:r>
      <w:r w:rsidR="00E775E2">
        <w:rPr>
          <w:szCs w:val="24"/>
        </w:rPr>
        <w:t>jednoho projektu je v důsledku nepředvídatelných okolností (havárie kotle ve výrobně kyseliny sírové) ohroženo splnění cílů a účel</w:t>
      </w:r>
      <w:r w:rsidR="000B2872">
        <w:rPr>
          <w:szCs w:val="24"/>
        </w:rPr>
        <w:t>u</w:t>
      </w:r>
      <w:r w:rsidR="00E775E2">
        <w:rPr>
          <w:szCs w:val="24"/>
        </w:rPr>
        <w:t xml:space="preserve"> projektu. Splnění cílů a účelu projektu bude závislé na zprovoznění výrobny kyseliny sírové</w:t>
      </w:r>
      <w:r w:rsidR="00C461AC">
        <w:rPr>
          <w:szCs w:val="24"/>
        </w:rPr>
        <w:t>.</w:t>
      </w:r>
      <w:r w:rsidR="00E775E2">
        <w:rPr>
          <w:szCs w:val="24"/>
        </w:rPr>
        <w:t xml:space="preserve"> 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E775E2" w:rsidRDefault="0066069F" w:rsidP="00CB795C">
      <w:pPr>
        <w:spacing w:before="0" w:after="0" w:line="264" w:lineRule="auto"/>
        <w:rPr>
          <w:szCs w:val="24"/>
        </w:rPr>
      </w:pPr>
      <w:r>
        <w:rPr>
          <w:szCs w:val="24"/>
        </w:rPr>
        <w:t>Dále NKÚ vyhodnotil u</w:t>
      </w:r>
      <w:r w:rsidR="00E775E2">
        <w:rPr>
          <w:szCs w:val="24"/>
        </w:rPr>
        <w:t xml:space="preserve"> jednoho projektu dosahované výkonové parametry parní turbíny jako rizikové. Pokud bude </w:t>
      </w:r>
      <w:r w:rsidR="000B2872">
        <w:rPr>
          <w:szCs w:val="24"/>
        </w:rPr>
        <w:t xml:space="preserve">i v dalších letech udržitelnosti projektu </w:t>
      </w:r>
      <w:r w:rsidR="00E775E2">
        <w:rPr>
          <w:szCs w:val="24"/>
        </w:rPr>
        <w:t>přetrvávat nízký elektrický výkon turbíny v objemu 50–55 % hodnot garantovan</w:t>
      </w:r>
      <w:r w:rsidR="000B2872">
        <w:rPr>
          <w:szCs w:val="24"/>
        </w:rPr>
        <w:t>ých</w:t>
      </w:r>
      <w:r w:rsidR="00E775E2">
        <w:rPr>
          <w:szCs w:val="24"/>
        </w:rPr>
        <w:t xml:space="preserve"> dodavatelem, bude ohroženo plnění závazných ukazatelů a monitorovacích indikátorů projektu s vlivem na celkové přínosy projektu.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215500" w:rsidRDefault="00215500">
      <w:pPr>
        <w:spacing w:before="0" w:after="20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E775E2" w:rsidRPr="00A8590C" w:rsidRDefault="00E775E2" w:rsidP="00512745">
      <w:pPr>
        <w:spacing w:before="0" w:after="0" w:line="264" w:lineRule="auto"/>
        <w:rPr>
          <w:b/>
          <w:szCs w:val="24"/>
        </w:rPr>
      </w:pPr>
      <w:r w:rsidRPr="00A8590C">
        <w:rPr>
          <w:b/>
          <w:szCs w:val="24"/>
        </w:rPr>
        <w:lastRenderedPageBreak/>
        <w:t xml:space="preserve">Nedostatky v </w:t>
      </w:r>
      <w:r w:rsidR="008D39E8">
        <w:rPr>
          <w:b/>
          <w:szCs w:val="24"/>
        </w:rPr>
        <w:t>zadávacím</w:t>
      </w:r>
      <w:r w:rsidRPr="00A8590C">
        <w:rPr>
          <w:b/>
          <w:szCs w:val="24"/>
        </w:rPr>
        <w:t xml:space="preserve"> řízení u projektu </w:t>
      </w:r>
      <w:r w:rsidRPr="00512745">
        <w:rPr>
          <w:b/>
          <w:i/>
          <w:szCs w:val="24"/>
        </w:rPr>
        <w:t>Snížení energetické náročnosti ZŠ E. Rošického, Jihlava</w:t>
      </w:r>
      <w:r>
        <w:rPr>
          <w:rStyle w:val="Znakapoznpodarou"/>
          <w:b/>
          <w:szCs w:val="24"/>
        </w:rPr>
        <w:footnoteReference w:id="12"/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E775E2" w:rsidRDefault="00E775E2" w:rsidP="00CB795C">
      <w:pPr>
        <w:spacing w:before="0" w:after="0" w:line="264" w:lineRule="auto"/>
        <w:rPr>
          <w:rFonts w:cstheme="minorHAnsi"/>
          <w:szCs w:val="24"/>
        </w:rPr>
      </w:pPr>
      <w:r w:rsidRPr="008A3A07">
        <w:rPr>
          <w:rFonts w:cstheme="minorHAnsi"/>
          <w:szCs w:val="24"/>
        </w:rPr>
        <w:t>Předmětem projektu bylo zateplení obvodových stěn, výměna výplní a zateplení stropu pod</w:t>
      </w:r>
      <w:r w:rsidR="00AC2314">
        <w:rPr>
          <w:rFonts w:cstheme="minorHAnsi"/>
          <w:szCs w:val="24"/>
        </w:rPr>
        <w:t xml:space="preserve"> </w:t>
      </w:r>
      <w:r w:rsidRPr="008A3A07">
        <w:rPr>
          <w:rFonts w:cstheme="minorHAnsi"/>
          <w:szCs w:val="24"/>
        </w:rPr>
        <w:t>střechou v o</w:t>
      </w:r>
      <w:r w:rsidR="00AC2314">
        <w:rPr>
          <w:rFonts w:cstheme="minorHAnsi"/>
          <w:szCs w:val="24"/>
        </w:rPr>
        <w:t>bjektech v celkové výměře 6 835 </w:t>
      </w:r>
      <w:r w:rsidRPr="008A3A07">
        <w:rPr>
          <w:rFonts w:cstheme="minorHAnsi"/>
          <w:szCs w:val="24"/>
        </w:rPr>
        <w:t>m</w:t>
      </w:r>
      <w:r w:rsidRPr="008A3A07">
        <w:rPr>
          <w:rFonts w:cstheme="minorHAnsi"/>
          <w:szCs w:val="24"/>
          <w:vertAlign w:val="superscript"/>
        </w:rPr>
        <w:t>2</w:t>
      </w:r>
      <w:r w:rsidRPr="008A3A07">
        <w:rPr>
          <w:rFonts w:cstheme="minorHAnsi"/>
          <w:szCs w:val="24"/>
        </w:rPr>
        <w:t>. Ř</w:t>
      </w:r>
      <w:r>
        <w:rPr>
          <w:rFonts w:cstheme="minorHAnsi"/>
          <w:szCs w:val="24"/>
        </w:rPr>
        <w:t>ídicím orgánem byla schválena a </w:t>
      </w:r>
      <w:r w:rsidRPr="008A3A07">
        <w:rPr>
          <w:rFonts w:cstheme="minorHAnsi"/>
          <w:szCs w:val="24"/>
        </w:rPr>
        <w:t xml:space="preserve">proplacena dotace </w:t>
      </w:r>
      <w:r w:rsidR="00AC2314">
        <w:rPr>
          <w:rFonts w:cstheme="minorHAnsi"/>
          <w:szCs w:val="24"/>
        </w:rPr>
        <w:t xml:space="preserve">krytá ze zdrojů </w:t>
      </w:r>
      <w:r w:rsidR="000B2872" w:rsidRPr="00512745">
        <w:rPr>
          <w:rFonts w:cstheme="minorHAnsi"/>
          <w:i/>
          <w:szCs w:val="24"/>
        </w:rPr>
        <w:t>F</w:t>
      </w:r>
      <w:r w:rsidRPr="00512745">
        <w:rPr>
          <w:rFonts w:cstheme="minorHAnsi"/>
          <w:i/>
          <w:szCs w:val="24"/>
        </w:rPr>
        <w:t>ondu soudržnosti EU</w:t>
      </w:r>
      <w:r>
        <w:rPr>
          <w:rFonts w:cstheme="minorHAnsi"/>
          <w:szCs w:val="24"/>
        </w:rPr>
        <w:t xml:space="preserve"> a z prostředků SFŽP</w:t>
      </w:r>
      <w:r w:rsidRPr="008A3A07">
        <w:rPr>
          <w:rFonts w:cstheme="minorHAnsi"/>
          <w:szCs w:val="24"/>
        </w:rPr>
        <w:t xml:space="preserve"> ve výši 10 753</w:t>
      </w:r>
      <w:r w:rsidR="00AC2314">
        <w:rPr>
          <w:rFonts w:cstheme="minorHAnsi"/>
          <w:szCs w:val="24"/>
        </w:rPr>
        <w:t> </w:t>
      </w:r>
      <w:r w:rsidRPr="008A3A07">
        <w:rPr>
          <w:rFonts w:cstheme="minorHAnsi"/>
          <w:szCs w:val="24"/>
        </w:rPr>
        <w:t>834</w:t>
      </w:r>
      <w:r w:rsidR="00AC2314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Kč</w:t>
      </w:r>
      <w:r>
        <w:rPr>
          <w:rStyle w:val="Znakapoznpodarou"/>
          <w:rFonts w:cstheme="minorHAnsi"/>
          <w:szCs w:val="24"/>
        </w:rPr>
        <w:footnoteReference w:id="13"/>
      </w:r>
      <w:r w:rsidRPr="008A3A07">
        <w:rPr>
          <w:rFonts w:cstheme="minorHAnsi"/>
          <w:szCs w:val="24"/>
        </w:rPr>
        <w:t>.</w:t>
      </w:r>
    </w:p>
    <w:p w:rsidR="00693C3A" w:rsidRPr="008A3A07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E775E2" w:rsidRDefault="00E775E2" w:rsidP="00CB795C">
      <w:pPr>
        <w:spacing w:before="0" w:after="0" w:line="264" w:lineRule="auto"/>
        <w:rPr>
          <w:rFonts w:cstheme="minorHAnsi"/>
          <w:bCs/>
          <w:szCs w:val="24"/>
        </w:rPr>
      </w:pPr>
      <w:r w:rsidRPr="008A3A07">
        <w:rPr>
          <w:rFonts w:cstheme="minorHAnsi"/>
          <w:bCs/>
          <w:szCs w:val="24"/>
        </w:rPr>
        <w:t>Statutární město Jihlava (dále také „SM Jihlava“) porušilo ustanovení § 6 zákona č.</w:t>
      </w:r>
      <w:r w:rsidR="00AC2314">
        <w:rPr>
          <w:rFonts w:cstheme="minorHAnsi"/>
          <w:bCs/>
          <w:szCs w:val="24"/>
        </w:rPr>
        <w:t> </w:t>
      </w:r>
      <w:r w:rsidRPr="008A3A07">
        <w:rPr>
          <w:rFonts w:cstheme="minorHAnsi"/>
          <w:bCs/>
          <w:szCs w:val="24"/>
        </w:rPr>
        <w:t>137/2006</w:t>
      </w:r>
      <w:r w:rsidR="00AC2314">
        <w:rPr>
          <w:rFonts w:cstheme="minorHAnsi"/>
          <w:bCs/>
          <w:szCs w:val="24"/>
        </w:rPr>
        <w:t> </w:t>
      </w:r>
      <w:r w:rsidRPr="008A3A07">
        <w:rPr>
          <w:rFonts w:cstheme="minorHAnsi"/>
          <w:bCs/>
          <w:szCs w:val="24"/>
        </w:rPr>
        <w:t>Sb.</w:t>
      </w:r>
      <w:r>
        <w:rPr>
          <w:rStyle w:val="Znakapoznpodarou"/>
          <w:rFonts w:cstheme="minorHAnsi"/>
          <w:bCs/>
          <w:szCs w:val="24"/>
        </w:rPr>
        <w:footnoteReference w:id="14"/>
      </w:r>
      <w:r w:rsidRPr="008A3A07">
        <w:rPr>
          <w:rFonts w:cstheme="minorHAnsi"/>
          <w:bCs/>
          <w:szCs w:val="24"/>
        </w:rPr>
        <w:t xml:space="preserve">, neboť v rámci zadávacího řízení na veřejnou zakázku </w:t>
      </w:r>
      <w:r w:rsidRPr="001F4282">
        <w:rPr>
          <w:rFonts w:cstheme="minorHAnsi"/>
          <w:bCs/>
          <w:i/>
          <w:szCs w:val="24"/>
        </w:rPr>
        <w:t xml:space="preserve">Snížení energetické náročnosti </w:t>
      </w:r>
      <w:r w:rsidR="00CA6B5D" w:rsidRPr="001F4282">
        <w:rPr>
          <w:rFonts w:cstheme="minorHAnsi"/>
          <w:bCs/>
          <w:i/>
          <w:szCs w:val="24"/>
        </w:rPr>
        <w:t xml:space="preserve">ZŠ </w:t>
      </w:r>
      <w:r w:rsidRPr="001F4282">
        <w:rPr>
          <w:rFonts w:cstheme="minorHAnsi"/>
          <w:bCs/>
          <w:i/>
          <w:szCs w:val="24"/>
        </w:rPr>
        <w:t>E.</w:t>
      </w:r>
      <w:r w:rsidRPr="001F4282">
        <w:rPr>
          <w:i/>
        </w:rPr>
        <w:t> </w:t>
      </w:r>
      <w:r w:rsidRPr="001F4282">
        <w:rPr>
          <w:rFonts w:cstheme="minorHAnsi"/>
          <w:bCs/>
          <w:i/>
          <w:szCs w:val="24"/>
        </w:rPr>
        <w:t>Rošického, Jihlava</w:t>
      </w:r>
      <w:r w:rsidRPr="008A3A07">
        <w:rPr>
          <w:rFonts w:cstheme="minorHAnsi"/>
          <w:bCs/>
          <w:szCs w:val="24"/>
        </w:rPr>
        <w:t xml:space="preserve"> nepostupovalo v souladu se zásadou rovného zacházení. SM Jihlava v dodatečných informacích k zadávacím podmínkám nezaslalo uchazečům opravený výkaz výměr a ani jasně nedefinovalo způsob </w:t>
      </w:r>
      <w:r w:rsidR="00901D97">
        <w:rPr>
          <w:rFonts w:cstheme="minorHAnsi"/>
          <w:bCs/>
          <w:szCs w:val="24"/>
        </w:rPr>
        <w:t>o</w:t>
      </w:r>
      <w:r w:rsidRPr="008A3A07">
        <w:rPr>
          <w:rFonts w:cstheme="minorHAnsi"/>
          <w:bCs/>
          <w:szCs w:val="24"/>
        </w:rPr>
        <w:t>cenění p</w:t>
      </w:r>
      <w:r w:rsidR="006D6178">
        <w:rPr>
          <w:rFonts w:cstheme="minorHAnsi"/>
          <w:bCs/>
          <w:szCs w:val="24"/>
        </w:rPr>
        <w:t xml:space="preserve">oložek dodatečných informací do </w:t>
      </w:r>
      <w:r w:rsidRPr="008A3A07">
        <w:rPr>
          <w:rFonts w:cstheme="minorHAnsi"/>
          <w:bCs/>
          <w:szCs w:val="24"/>
        </w:rPr>
        <w:t xml:space="preserve">cenové nabídky, </w:t>
      </w:r>
      <w:r w:rsidR="000B2872">
        <w:rPr>
          <w:rFonts w:cstheme="minorHAnsi"/>
          <w:bCs/>
          <w:szCs w:val="24"/>
        </w:rPr>
        <w:t>čímž</w:t>
      </w:r>
      <w:r w:rsidRPr="008A3A07">
        <w:rPr>
          <w:rFonts w:cstheme="minorHAnsi"/>
          <w:bCs/>
          <w:szCs w:val="24"/>
        </w:rPr>
        <w:t xml:space="preserve"> vytvořilo situaci, kdy jednotliví uchazeči postupovali zcela rozdílným způsobem, a nabídky se u položek vyžadovaných v dodatečných informacích </w:t>
      </w:r>
      <w:r w:rsidR="000B2872">
        <w:rPr>
          <w:rFonts w:cstheme="minorHAnsi"/>
          <w:bCs/>
          <w:szCs w:val="24"/>
        </w:rPr>
        <w:t xml:space="preserve">tudíž </w:t>
      </w:r>
      <w:r w:rsidRPr="008A3A07">
        <w:rPr>
          <w:rFonts w:cstheme="minorHAnsi"/>
          <w:bCs/>
          <w:szCs w:val="24"/>
        </w:rPr>
        <w:t xml:space="preserve">staly neporovnatelnými. </w:t>
      </w:r>
      <w:r w:rsidR="00CA6B5D">
        <w:rPr>
          <w:rFonts w:cstheme="minorHAnsi"/>
          <w:bCs/>
          <w:szCs w:val="24"/>
        </w:rPr>
        <w:t>V důsledku</w:t>
      </w:r>
      <w:r w:rsidRPr="008A3A07">
        <w:rPr>
          <w:rFonts w:cstheme="minorHAnsi"/>
          <w:bCs/>
          <w:szCs w:val="24"/>
        </w:rPr>
        <w:t xml:space="preserve"> nejasně definovaného způsobu </w:t>
      </w:r>
      <w:r w:rsidR="00901D97">
        <w:rPr>
          <w:rFonts w:cstheme="minorHAnsi"/>
          <w:bCs/>
          <w:szCs w:val="24"/>
        </w:rPr>
        <w:t>o</w:t>
      </w:r>
      <w:r w:rsidRPr="008A3A07">
        <w:rPr>
          <w:rFonts w:cstheme="minorHAnsi"/>
          <w:bCs/>
          <w:szCs w:val="24"/>
        </w:rPr>
        <w:t xml:space="preserve">cenění položek dodatečných informací byly dvě nabídky neoprávněně vyloučeny. SM Jihlava svým postupem </w:t>
      </w:r>
      <w:r w:rsidR="006D6178">
        <w:rPr>
          <w:rFonts w:cstheme="minorHAnsi"/>
          <w:bCs/>
          <w:szCs w:val="24"/>
        </w:rPr>
        <w:t>po</w:t>
      </w:r>
      <w:r w:rsidRPr="008A3A07">
        <w:rPr>
          <w:rFonts w:cstheme="minorHAnsi"/>
          <w:bCs/>
          <w:szCs w:val="24"/>
        </w:rPr>
        <w:t>rušilo soutěžní prostředí a ten</w:t>
      </w:r>
      <w:r>
        <w:rPr>
          <w:rFonts w:cstheme="minorHAnsi"/>
          <w:bCs/>
          <w:szCs w:val="24"/>
        </w:rPr>
        <w:t xml:space="preserve">to postup měl podstatný vliv </w:t>
      </w:r>
      <w:r w:rsidRPr="00D87051">
        <w:t>na</w:t>
      </w:r>
      <w:r w:rsidR="006D6178">
        <w:t xml:space="preserve"> </w:t>
      </w:r>
      <w:r w:rsidRPr="00D87051">
        <w:t>výběr</w:t>
      </w:r>
      <w:r w:rsidRPr="008A3A07">
        <w:rPr>
          <w:rFonts w:cstheme="minorHAnsi"/>
          <w:bCs/>
          <w:szCs w:val="24"/>
        </w:rPr>
        <w:t xml:space="preserve"> nejvhodnější nabídky. </w:t>
      </w:r>
    </w:p>
    <w:p w:rsidR="00693C3A" w:rsidRPr="008A3A07" w:rsidRDefault="00693C3A" w:rsidP="00CB795C">
      <w:pPr>
        <w:spacing w:before="0" w:after="0" w:line="264" w:lineRule="auto"/>
        <w:rPr>
          <w:rFonts w:cstheme="minorHAnsi"/>
          <w:bCs/>
          <w:szCs w:val="24"/>
        </w:rPr>
      </w:pPr>
    </w:p>
    <w:p w:rsidR="00BA6627" w:rsidRPr="00BA6627" w:rsidRDefault="00BA6627" w:rsidP="00512745">
      <w:pPr>
        <w:spacing w:before="0" w:after="0" w:line="264" w:lineRule="auto"/>
        <w:rPr>
          <w:rFonts w:cstheme="minorHAnsi"/>
          <w:b/>
          <w:bCs/>
          <w:szCs w:val="24"/>
        </w:rPr>
      </w:pPr>
      <w:r w:rsidRPr="00BA6627">
        <w:rPr>
          <w:rFonts w:cstheme="minorHAnsi"/>
          <w:b/>
          <w:bCs/>
          <w:szCs w:val="24"/>
        </w:rPr>
        <w:t xml:space="preserve">Nezpůsobilé výdaje u projektu </w:t>
      </w:r>
      <w:r w:rsidRPr="00512745">
        <w:rPr>
          <w:rFonts w:cstheme="minorHAnsi"/>
          <w:b/>
          <w:bCs/>
          <w:i/>
          <w:szCs w:val="24"/>
        </w:rPr>
        <w:t>Rekonstrukce ZŠ Karla Svolinského Kunčice pod Ondřejníkem</w:t>
      </w:r>
      <w:r w:rsidR="00A321BF">
        <w:rPr>
          <w:rStyle w:val="Znakapoznpodarou"/>
          <w:rFonts w:cstheme="minorHAnsi"/>
          <w:b/>
          <w:bCs/>
          <w:szCs w:val="24"/>
        </w:rPr>
        <w:footnoteReference w:id="15"/>
      </w:r>
      <w:r w:rsidRPr="00BA6627">
        <w:rPr>
          <w:rFonts w:cstheme="minorHAnsi"/>
          <w:b/>
          <w:bCs/>
          <w:szCs w:val="24"/>
        </w:rPr>
        <w:t xml:space="preserve"> </w:t>
      </w:r>
    </w:p>
    <w:p w:rsidR="00693C3A" w:rsidRDefault="00693C3A" w:rsidP="00CB795C">
      <w:pPr>
        <w:spacing w:before="0" w:after="0" w:line="264" w:lineRule="auto"/>
        <w:rPr>
          <w:rFonts w:cstheme="minorHAnsi"/>
          <w:bCs/>
          <w:szCs w:val="24"/>
        </w:rPr>
      </w:pPr>
    </w:p>
    <w:p w:rsidR="00BA6627" w:rsidRDefault="00BA6627" w:rsidP="00CB795C">
      <w:pPr>
        <w:spacing w:before="0" w:after="0" w:line="264" w:lineRule="auto"/>
        <w:rPr>
          <w:rFonts w:cstheme="minorHAnsi"/>
          <w:bCs/>
          <w:szCs w:val="24"/>
        </w:rPr>
      </w:pPr>
      <w:r w:rsidRPr="00BA6627">
        <w:rPr>
          <w:rFonts w:cstheme="minorHAnsi"/>
          <w:bCs/>
          <w:szCs w:val="24"/>
        </w:rPr>
        <w:t xml:space="preserve">Předmětem projektu byla rekonstrukce Základní školy Karla Svolinského v Kunčicích pod Ondřejníkem v rozsahu výměny oken, otvorových výplní, zateplení fasády a zateplení střechy. Řídicím orgánem byla schválena a proplacena dotace krytá ze zdrojů </w:t>
      </w:r>
      <w:r w:rsidR="000B2872">
        <w:rPr>
          <w:rFonts w:cstheme="minorHAnsi"/>
          <w:bCs/>
          <w:szCs w:val="24"/>
        </w:rPr>
        <w:t>F</w:t>
      </w:r>
      <w:r w:rsidRPr="00512745">
        <w:rPr>
          <w:rFonts w:cstheme="minorHAnsi"/>
          <w:bCs/>
          <w:i/>
          <w:szCs w:val="24"/>
        </w:rPr>
        <w:t>ondu soudržnosti EU</w:t>
      </w:r>
      <w:r w:rsidRPr="00BA6627">
        <w:rPr>
          <w:rFonts w:cstheme="minorHAnsi"/>
          <w:bCs/>
          <w:szCs w:val="24"/>
        </w:rPr>
        <w:t xml:space="preserve"> a z prost</w:t>
      </w:r>
      <w:r>
        <w:rPr>
          <w:rFonts w:cstheme="minorHAnsi"/>
          <w:bCs/>
          <w:szCs w:val="24"/>
        </w:rPr>
        <w:t>ředků SFŽP ve výši 7 736 722 Kč</w:t>
      </w:r>
      <w:r w:rsidRPr="00BA6627">
        <w:rPr>
          <w:rFonts w:cstheme="minorHAnsi"/>
          <w:bCs/>
          <w:szCs w:val="24"/>
        </w:rPr>
        <w:t>.</w:t>
      </w:r>
      <w:r w:rsidR="005F404D">
        <w:rPr>
          <w:rStyle w:val="Znakapoznpodarou"/>
          <w:rFonts w:cstheme="minorHAnsi"/>
          <w:bCs/>
          <w:szCs w:val="24"/>
        </w:rPr>
        <w:footnoteReference w:id="16"/>
      </w:r>
      <w:r w:rsidRPr="00BA6627">
        <w:rPr>
          <w:rFonts w:cstheme="minorHAnsi"/>
          <w:bCs/>
          <w:szCs w:val="24"/>
        </w:rPr>
        <w:t xml:space="preserve"> </w:t>
      </w:r>
    </w:p>
    <w:p w:rsidR="00693C3A" w:rsidRPr="00BA6627" w:rsidRDefault="00693C3A" w:rsidP="00CB795C">
      <w:pPr>
        <w:spacing w:before="0" w:after="0" w:line="264" w:lineRule="auto"/>
        <w:rPr>
          <w:rFonts w:cstheme="minorHAnsi"/>
          <w:bCs/>
          <w:szCs w:val="24"/>
        </w:rPr>
      </w:pPr>
    </w:p>
    <w:p w:rsidR="00E775E2" w:rsidRDefault="00BA6627" w:rsidP="00CB795C">
      <w:pPr>
        <w:spacing w:before="0" w:after="0" w:line="264" w:lineRule="auto"/>
        <w:rPr>
          <w:rFonts w:cstheme="minorHAnsi"/>
          <w:bCs/>
          <w:szCs w:val="24"/>
        </w:rPr>
      </w:pPr>
      <w:r w:rsidRPr="00BA6627">
        <w:rPr>
          <w:rFonts w:cstheme="minorHAnsi"/>
          <w:bCs/>
          <w:szCs w:val="24"/>
        </w:rPr>
        <w:t xml:space="preserve">Obec Kunčice pod Ondřejníkem zahrnula do způsobilých výdajů projektu výdaje za projektovou dokumentaci </w:t>
      </w:r>
      <w:r w:rsidR="00F359BB">
        <w:rPr>
          <w:rFonts w:cstheme="minorHAnsi"/>
          <w:bCs/>
          <w:szCs w:val="24"/>
        </w:rPr>
        <w:t xml:space="preserve">z prosince </w:t>
      </w:r>
      <w:r w:rsidRPr="00BA6627">
        <w:rPr>
          <w:rFonts w:cstheme="minorHAnsi"/>
          <w:bCs/>
          <w:szCs w:val="24"/>
        </w:rPr>
        <w:t xml:space="preserve">2008 ve výši 473 025 Kč. Ve skutečnosti obec realizovala projekt dle aktualizované projektové dokumentace </w:t>
      </w:r>
      <w:r w:rsidR="00F359BB">
        <w:rPr>
          <w:rFonts w:cstheme="minorHAnsi"/>
          <w:bCs/>
          <w:szCs w:val="24"/>
        </w:rPr>
        <w:t>z února 2012 a </w:t>
      </w:r>
      <w:r w:rsidRPr="00BA6627">
        <w:rPr>
          <w:rFonts w:cstheme="minorHAnsi"/>
          <w:bCs/>
          <w:szCs w:val="24"/>
        </w:rPr>
        <w:t>využila pouze část původní projektové dokumentace. Kontrolou NKÚ bylo zjištěno, že částka způsobilých výdajů, které se věcně vztahovaly k realizovanému projektu, činila pouze 330</w:t>
      </w:r>
      <w:r w:rsidR="00F359BB">
        <w:rPr>
          <w:rFonts w:cstheme="minorHAnsi"/>
          <w:bCs/>
          <w:szCs w:val="24"/>
        </w:rPr>
        <w:t> </w:t>
      </w:r>
      <w:r w:rsidRPr="00BA6627">
        <w:rPr>
          <w:rFonts w:cstheme="minorHAnsi"/>
          <w:bCs/>
          <w:szCs w:val="24"/>
        </w:rPr>
        <w:t>767</w:t>
      </w:r>
      <w:r w:rsidR="00F359BB">
        <w:rPr>
          <w:rFonts w:cstheme="minorHAnsi"/>
          <w:bCs/>
          <w:szCs w:val="24"/>
        </w:rPr>
        <w:t> </w:t>
      </w:r>
      <w:r w:rsidRPr="00BA6627">
        <w:rPr>
          <w:rFonts w:cstheme="minorHAnsi"/>
          <w:bCs/>
          <w:szCs w:val="24"/>
        </w:rPr>
        <w:t>Kč. Obec tak obdržela dotaci ve výši 128 032,20 Kč na výdaje, které nebyly oprávněné a</w:t>
      </w:r>
      <w:r w:rsidR="00F359BB">
        <w:rPr>
          <w:rFonts w:cstheme="minorHAnsi"/>
          <w:bCs/>
          <w:szCs w:val="24"/>
        </w:rPr>
        <w:t> </w:t>
      </w:r>
      <w:r w:rsidRPr="00BA6627">
        <w:rPr>
          <w:rFonts w:cstheme="minorHAnsi"/>
          <w:bCs/>
          <w:szCs w:val="24"/>
        </w:rPr>
        <w:t>účelné, protože neměly přímou vazbu na přípravu a realizaci projektu a</w:t>
      </w:r>
      <w:r w:rsidR="00F359BB">
        <w:rPr>
          <w:rFonts w:cstheme="minorHAnsi"/>
          <w:bCs/>
          <w:szCs w:val="24"/>
        </w:rPr>
        <w:t> </w:t>
      </w:r>
      <w:r w:rsidRPr="00BA6627">
        <w:rPr>
          <w:rFonts w:cstheme="minorHAnsi"/>
          <w:bCs/>
          <w:szCs w:val="24"/>
        </w:rPr>
        <w:t xml:space="preserve">nebyly pro realizaci projektu </w:t>
      </w:r>
      <w:r w:rsidRPr="00BA6627">
        <w:rPr>
          <w:rFonts w:cstheme="minorHAnsi"/>
          <w:bCs/>
          <w:szCs w:val="24"/>
        </w:rPr>
        <w:lastRenderedPageBreak/>
        <w:t>nezbytné. Jednalo se tedy o</w:t>
      </w:r>
      <w:r w:rsidR="00F359BB">
        <w:rPr>
          <w:rFonts w:cstheme="minorHAnsi"/>
          <w:bCs/>
          <w:szCs w:val="24"/>
        </w:rPr>
        <w:t> </w:t>
      </w:r>
      <w:r w:rsidRPr="00BA6627">
        <w:rPr>
          <w:rFonts w:cstheme="minorHAnsi"/>
          <w:bCs/>
          <w:szCs w:val="24"/>
        </w:rPr>
        <w:t>nezpůsobilé výdaje, které</w:t>
      </w:r>
      <w:r w:rsidR="00F359BB">
        <w:rPr>
          <w:rFonts w:cstheme="minorHAnsi"/>
          <w:bCs/>
          <w:szCs w:val="24"/>
        </w:rPr>
        <w:t xml:space="preserve"> nemohly být spolufinancovány z </w:t>
      </w:r>
      <w:r w:rsidRPr="00BA6627">
        <w:rPr>
          <w:rFonts w:cstheme="minorHAnsi"/>
          <w:bCs/>
          <w:szCs w:val="24"/>
        </w:rPr>
        <w:t xml:space="preserve">prostředků </w:t>
      </w:r>
      <w:r w:rsidR="00FA167F" w:rsidRPr="00512745">
        <w:rPr>
          <w:rFonts w:cstheme="minorHAnsi"/>
          <w:bCs/>
          <w:i/>
          <w:szCs w:val="24"/>
        </w:rPr>
        <w:t>F</w:t>
      </w:r>
      <w:r w:rsidRPr="00512745">
        <w:rPr>
          <w:rFonts w:cstheme="minorHAnsi"/>
          <w:bCs/>
          <w:i/>
          <w:szCs w:val="24"/>
        </w:rPr>
        <w:t>ondu soudržnosti EU</w:t>
      </w:r>
      <w:r w:rsidRPr="00BA6627">
        <w:rPr>
          <w:rFonts w:cstheme="minorHAnsi"/>
          <w:bCs/>
          <w:szCs w:val="24"/>
        </w:rPr>
        <w:t xml:space="preserve"> a z prostředků SFŽP.</w:t>
      </w:r>
    </w:p>
    <w:p w:rsidR="00693C3A" w:rsidRDefault="00693C3A" w:rsidP="00CB795C">
      <w:pPr>
        <w:spacing w:before="0" w:after="0" w:line="264" w:lineRule="auto"/>
        <w:rPr>
          <w:rFonts w:cstheme="minorHAnsi"/>
          <w:bCs/>
          <w:szCs w:val="24"/>
        </w:rPr>
      </w:pPr>
    </w:p>
    <w:p w:rsidR="00E775E2" w:rsidRPr="0070394D" w:rsidRDefault="00E775E2" w:rsidP="00CB795C">
      <w:pPr>
        <w:spacing w:before="0" w:after="0" w:line="264" w:lineRule="auto"/>
        <w:rPr>
          <w:rFonts w:cstheme="minorHAnsi"/>
          <w:b/>
          <w:bCs/>
          <w:szCs w:val="24"/>
        </w:rPr>
      </w:pPr>
      <w:r w:rsidRPr="0070394D">
        <w:rPr>
          <w:rFonts w:cstheme="minorHAnsi"/>
          <w:b/>
          <w:bCs/>
          <w:szCs w:val="24"/>
        </w:rPr>
        <w:t xml:space="preserve">Nezpůsobilé výdaje u projektu </w:t>
      </w:r>
      <w:r w:rsidRPr="00512745">
        <w:rPr>
          <w:rFonts w:cstheme="minorHAnsi"/>
          <w:b/>
          <w:bCs/>
          <w:i/>
          <w:szCs w:val="24"/>
        </w:rPr>
        <w:t>Úspora energie náhradou stávající kotelny</w:t>
      </w:r>
      <w:r w:rsidRPr="0070394D">
        <w:rPr>
          <w:rStyle w:val="Znakapoznpodarou"/>
          <w:rFonts w:cstheme="minorHAnsi"/>
          <w:b/>
          <w:bCs/>
          <w:szCs w:val="24"/>
        </w:rPr>
        <w:footnoteReference w:id="17"/>
      </w:r>
    </w:p>
    <w:p w:rsidR="00693C3A" w:rsidRDefault="00693C3A" w:rsidP="00CB795C">
      <w:pPr>
        <w:spacing w:before="0" w:after="0" w:line="264" w:lineRule="auto"/>
        <w:rPr>
          <w:rFonts w:ascii="Calibri" w:hAnsi="Calibri" w:cs="Calibri"/>
          <w:szCs w:val="24"/>
        </w:rPr>
      </w:pPr>
    </w:p>
    <w:p w:rsidR="00E775E2" w:rsidRDefault="00E775E2" w:rsidP="00CB795C">
      <w:pPr>
        <w:spacing w:before="0" w:after="0" w:line="264" w:lineRule="auto"/>
        <w:rPr>
          <w:rFonts w:cstheme="minorHAnsi"/>
          <w:szCs w:val="24"/>
        </w:rPr>
      </w:pPr>
      <w:r w:rsidRPr="00771750">
        <w:rPr>
          <w:rFonts w:ascii="Calibri" w:hAnsi="Calibri" w:cs="Calibri"/>
          <w:szCs w:val="24"/>
        </w:rPr>
        <w:t>Předmětem projektu bylo vybudování nové kotelny s příslušenstvím na spalování biomasy.</w:t>
      </w:r>
      <w:r>
        <w:rPr>
          <w:rFonts w:ascii="Calibri" w:hAnsi="Calibri" w:cs="Calibri"/>
          <w:szCs w:val="24"/>
        </w:rPr>
        <w:t xml:space="preserve"> </w:t>
      </w:r>
      <w:r w:rsidRPr="00771750">
        <w:rPr>
          <w:rFonts w:ascii="Calibri" w:hAnsi="Calibri" w:cs="Calibri"/>
          <w:szCs w:val="24"/>
        </w:rPr>
        <w:t xml:space="preserve">S výstavbou nové kotelny byla spojena instalace parní turbíny s asynchronním generátorem. Součástí projektu byla také rekonstrukce systému propařovací technologie a komplexní zateplení budovy jídelny a sociálního zařízení. </w:t>
      </w:r>
      <w:r w:rsidRPr="008A3A07">
        <w:rPr>
          <w:rFonts w:cstheme="minorHAnsi"/>
          <w:szCs w:val="24"/>
        </w:rPr>
        <w:t>Ř</w:t>
      </w:r>
      <w:r>
        <w:rPr>
          <w:rFonts w:cstheme="minorHAnsi"/>
          <w:szCs w:val="24"/>
        </w:rPr>
        <w:t>ídicím orgánem byla schválena a </w:t>
      </w:r>
      <w:r w:rsidRPr="008A3A07">
        <w:rPr>
          <w:rFonts w:cstheme="minorHAnsi"/>
          <w:szCs w:val="24"/>
        </w:rPr>
        <w:t xml:space="preserve">proplacena dotace </w:t>
      </w:r>
      <w:r w:rsidR="00F359BB">
        <w:rPr>
          <w:rFonts w:cstheme="minorHAnsi"/>
          <w:szCs w:val="24"/>
        </w:rPr>
        <w:t xml:space="preserve">krytá ze zdrojů </w:t>
      </w:r>
      <w:r w:rsidR="00FA167F" w:rsidRPr="00512745">
        <w:rPr>
          <w:rFonts w:cstheme="minorHAnsi"/>
          <w:i/>
          <w:szCs w:val="24"/>
        </w:rPr>
        <w:t>F</w:t>
      </w:r>
      <w:r w:rsidRPr="00512745">
        <w:rPr>
          <w:rFonts w:cstheme="minorHAnsi"/>
          <w:i/>
          <w:szCs w:val="24"/>
        </w:rPr>
        <w:t>ondu soudržnosti EU</w:t>
      </w:r>
      <w:r>
        <w:rPr>
          <w:rFonts w:cstheme="minorHAnsi"/>
          <w:szCs w:val="24"/>
        </w:rPr>
        <w:t xml:space="preserve"> a z prostředků státního rozpočtu </w:t>
      </w:r>
      <w:r w:rsidRPr="008A3A07">
        <w:rPr>
          <w:rFonts w:cstheme="minorHAnsi"/>
          <w:szCs w:val="24"/>
        </w:rPr>
        <w:t xml:space="preserve">ve výši </w:t>
      </w:r>
      <w:r>
        <w:rPr>
          <w:rFonts w:cstheme="minorHAnsi"/>
          <w:szCs w:val="24"/>
        </w:rPr>
        <w:t>15 042 166 Kč</w:t>
      </w:r>
      <w:r>
        <w:rPr>
          <w:rStyle w:val="Znakapoznpodarou"/>
          <w:rFonts w:cstheme="minorHAnsi"/>
          <w:szCs w:val="24"/>
        </w:rPr>
        <w:footnoteReference w:id="18"/>
      </w:r>
      <w:r>
        <w:rPr>
          <w:rFonts w:cstheme="minorHAnsi"/>
          <w:szCs w:val="24"/>
        </w:rPr>
        <w:t>.</w:t>
      </w:r>
    </w:p>
    <w:p w:rsidR="00693C3A" w:rsidRDefault="00693C3A" w:rsidP="00CB795C">
      <w:pPr>
        <w:spacing w:before="0" w:after="0" w:line="264" w:lineRule="auto"/>
        <w:rPr>
          <w:rFonts w:ascii="Calibri" w:hAnsi="Calibri" w:cs="Calibri"/>
          <w:szCs w:val="24"/>
        </w:rPr>
      </w:pPr>
    </w:p>
    <w:p w:rsidR="00E775E2" w:rsidRDefault="000D06DE" w:rsidP="00CB795C">
      <w:pPr>
        <w:spacing w:before="0" w:after="0" w:line="264" w:lineRule="auto"/>
        <w:rPr>
          <w:rFonts w:cstheme="minorHAnsi"/>
          <w:bCs/>
          <w:szCs w:val="24"/>
        </w:rPr>
      </w:pPr>
      <w:r>
        <w:rPr>
          <w:szCs w:val="24"/>
        </w:rPr>
        <w:t>P</w:t>
      </w:r>
      <w:r w:rsidR="00E775E2" w:rsidRPr="00B43814">
        <w:rPr>
          <w:szCs w:val="24"/>
        </w:rPr>
        <w:t xml:space="preserve">eněžní prostředky ve výši 3 809 873 Kč za dodávku kotelny převedl </w:t>
      </w:r>
      <w:r w:rsidR="00E775E2">
        <w:rPr>
          <w:szCs w:val="24"/>
        </w:rPr>
        <w:t>D Ř E V O P A R, s.r.o.</w:t>
      </w:r>
      <w:r w:rsidR="00207B57">
        <w:rPr>
          <w:szCs w:val="24"/>
        </w:rPr>
        <w:t>, Loštice</w:t>
      </w:r>
      <w:r w:rsidR="00F026A0">
        <w:rPr>
          <w:szCs w:val="24"/>
        </w:rPr>
        <w:t>,</w:t>
      </w:r>
      <w:r w:rsidR="00207B57">
        <w:rPr>
          <w:szCs w:val="24"/>
        </w:rPr>
        <w:t xml:space="preserve"> (dále také „Dřevopar“)</w:t>
      </w:r>
      <w:r w:rsidR="00E775E2" w:rsidRPr="00B43814">
        <w:rPr>
          <w:szCs w:val="24"/>
        </w:rPr>
        <w:t xml:space="preserve"> dne 25. 2. 2013 na bankovní účet dodavatele. Dne</w:t>
      </w:r>
      <w:r w:rsidR="00F359BB">
        <w:rPr>
          <w:szCs w:val="24"/>
        </w:rPr>
        <w:t xml:space="preserve"> </w:t>
      </w:r>
      <w:r w:rsidR="00E775E2" w:rsidRPr="00B43814">
        <w:rPr>
          <w:szCs w:val="24"/>
        </w:rPr>
        <w:t xml:space="preserve">28. 2. 2013 byla </w:t>
      </w:r>
      <w:r w:rsidR="002B48BB">
        <w:rPr>
          <w:szCs w:val="24"/>
        </w:rPr>
        <w:t xml:space="preserve">celá </w:t>
      </w:r>
      <w:r w:rsidR="00E775E2" w:rsidRPr="00B43814">
        <w:rPr>
          <w:szCs w:val="24"/>
        </w:rPr>
        <w:t xml:space="preserve">tato částka vrácena zpět na účet </w:t>
      </w:r>
      <w:r w:rsidR="00FA167F">
        <w:rPr>
          <w:szCs w:val="24"/>
        </w:rPr>
        <w:t xml:space="preserve">společnosti </w:t>
      </w:r>
      <w:r w:rsidR="00E775E2">
        <w:rPr>
          <w:szCs w:val="24"/>
        </w:rPr>
        <w:t>D</w:t>
      </w:r>
      <w:r w:rsidR="00207B57">
        <w:rPr>
          <w:szCs w:val="24"/>
        </w:rPr>
        <w:t>řevopar</w:t>
      </w:r>
      <w:r w:rsidR="002B48BB">
        <w:rPr>
          <w:szCs w:val="24"/>
        </w:rPr>
        <w:t xml:space="preserve"> a dle je</w:t>
      </w:r>
      <w:r w:rsidR="00FA167F">
        <w:rPr>
          <w:szCs w:val="24"/>
        </w:rPr>
        <w:t>jí</w:t>
      </w:r>
      <w:r w:rsidR="002B48BB">
        <w:rPr>
          <w:szCs w:val="24"/>
        </w:rPr>
        <w:t xml:space="preserve">ho vyjádření sloužila jako zádržné a finanční zdroj pro případy financování odstranění opakujících se závad kotelny. </w:t>
      </w:r>
      <w:r w:rsidR="00CA6B5D">
        <w:rPr>
          <w:szCs w:val="24"/>
        </w:rPr>
        <w:t>Tuto částku</w:t>
      </w:r>
      <w:r w:rsidR="00E775E2" w:rsidRPr="00B43814">
        <w:rPr>
          <w:szCs w:val="24"/>
        </w:rPr>
        <w:t xml:space="preserve"> vykázal </w:t>
      </w:r>
      <w:r w:rsidR="00E775E2">
        <w:rPr>
          <w:szCs w:val="24"/>
        </w:rPr>
        <w:t>D</w:t>
      </w:r>
      <w:r w:rsidR="00207B57">
        <w:rPr>
          <w:szCs w:val="24"/>
        </w:rPr>
        <w:t>řevopar</w:t>
      </w:r>
      <w:r w:rsidR="00E775E2" w:rsidRPr="00B43814">
        <w:rPr>
          <w:szCs w:val="24"/>
        </w:rPr>
        <w:t xml:space="preserve"> jako způsobilé výdaje projektu, ačkoliv se jednalo o</w:t>
      </w:r>
      <w:r w:rsidR="00FA167F">
        <w:rPr>
          <w:szCs w:val="24"/>
        </w:rPr>
        <w:t> </w:t>
      </w:r>
      <w:r w:rsidR="00E775E2" w:rsidRPr="00B43814">
        <w:rPr>
          <w:szCs w:val="24"/>
        </w:rPr>
        <w:t>výdaje, které nemohly být spolufinancovány z prostředků ze</w:t>
      </w:r>
      <w:r w:rsidR="009B7AB8">
        <w:rPr>
          <w:szCs w:val="24"/>
        </w:rPr>
        <w:t xml:space="preserve"> </w:t>
      </w:r>
      <w:r w:rsidR="00E775E2" w:rsidRPr="00B43814">
        <w:rPr>
          <w:szCs w:val="24"/>
        </w:rPr>
        <w:t xml:space="preserve">strukturálních fondů EU a ze státního rozpočtu. </w:t>
      </w:r>
      <w:r w:rsidR="00E775E2">
        <w:rPr>
          <w:szCs w:val="24"/>
        </w:rPr>
        <w:t>D</w:t>
      </w:r>
      <w:r w:rsidR="00207B57">
        <w:rPr>
          <w:szCs w:val="24"/>
        </w:rPr>
        <w:t>řevopar</w:t>
      </w:r>
      <w:r w:rsidR="00E775E2" w:rsidRPr="00B43814">
        <w:rPr>
          <w:rFonts w:cstheme="minorHAnsi"/>
          <w:bCs/>
          <w:szCs w:val="24"/>
        </w:rPr>
        <w:t xml:space="preserve"> obdržel dotaci ve výši </w:t>
      </w:r>
      <w:r w:rsidR="00E775E2" w:rsidRPr="00B43814">
        <w:rPr>
          <w:szCs w:val="24"/>
        </w:rPr>
        <w:t>1 904</w:t>
      </w:r>
      <w:r w:rsidR="00E775E2" w:rsidRPr="00B43814">
        <w:rPr>
          <w:rFonts w:cstheme="minorHAnsi"/>
          <w:bCs/>
          <w:szCs w:val="24"/>
        </w:rPr>
        <w:t> 936,50 Kč na nezpůsobilé</w:t>
      </w:r>
      <w:r w:rsidR="00E775E2">
        <w:rPr>
          <w:rFonts w:cstheme="minorHAnsi"/>
          <w:bCs/>
          <w:szCs w:val="24"/>
        </w:rPr>
        <w:t xml:space="preserve"> výdaje projektu, které nemohly být spolufinancovány z prostředků fondu soudržnosti EU a</w:t>
      </w:r>
      <w:r w:rsidR="00FA167F">
        <w:rPr>
          <w:rFonts w:cstheme="minorHAnsi"/>
          <w:bCs/>
          <w:szCs w:val="24"/>
        </w:rPr>
        <w:t> </w:t>
      </w:r>
      <w:r w:rsidR="00E775E2">
        <w:rPr>
          <w:rFonts w:cstheme="minorHAnsi"/>
          <w:bCs/>
          <w:szCs w:val="24"/>
        </w:rPr>
        <w:t xml:space="preserve">z prostředků </w:t>
      </w:r>
      <w:r w:rsidR="00AC23AC" w:rsidRPr="00F21160">
        <w:rPr>
          <w:rFonts w:cstheme="minorHAnsi"/>
          <w:bCs/>
          <w:szCs w:val="24"/>
        </w:rPr>
        <w:t>státního rozpočtu.</w:t>
      </w:r>
    </w:p>
    <w:p w:rsidR="00693C3A" w:rsidRDefault="00693C3A" w:rsidP="00CB795C">
      <w:pPr>
        <w:spacing w:before="0" w:after="0" w:line="264" w:lineRule="auto"/>
        <w:rPr>
          <w:rFonts w:cstheme="minorHAnsi"/>
          <w:bCs/>
          <w:szCs w:val="24"/>
        </w:rPr>
      </w:pPr>
    </w:p>
    <w:p w:rsidR="00E775E2" w:rsidRPr="0070394D" w:rsidRDefault="00E775E2" w:rsidP="00CB795C">
      <w:pPr>
        <w:spacing w:before="0" w:after="0" w:line="264" w:lineRule="auto"/>
        <w:rPr>
          <w:b/>
          <w:szCs w:val="24"/>
        </w:rPr>
      </w:pPr>
      <w:r w:rsidRPr="0070394D">
        <w:rPr>
          <w:b/>
          <w:szCs w:val="24"/>
        </w:rPr>
        <w:t>Ostatní zjištění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E775E2" w:rsidRPr="00512745" w:rsidRDefault="00E775E2" w:rsidP="00CB795C">
      <w:pPr>
        <w:spacing w:before="0" w:after="0" w:line="264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Statutární město Brno </w:t>
      </w:r>
      <w:r w:rsidR="00B159BA">
        <w:rPr>
          <w:rFonts w:cstheme="minorHAnsi"/>
          <w:szCs w:val="24"/>
        </w:rPr>
        <w:t>neuchovalo originály dokumentů veřejných zakázek</w:t>
      </w:r>
      <w:r>
        <w:rPr>
          <w:rFonts w:cstheme="minorHAnsi"/>
          <w:szCs w:val="24"/>
        </w:rPr>
        <w:t xml:space="preserve"> </w:t>
      </w:r>
      <w:r w:rsidRPr="001F4282">
        <w:rPr>
          <w:rFonts w:cstheme="minorHAnsi"/>
          <w:i/>
          <w:szCs w:val="24"/>
        </w:rPr>
        <w:t>Zateplení ZŠ Horní</w:t>
      </w:r>
      <w:r w:rsidRPr="00512745">
        <w:rPr>
          <w:rFonts w:cstheme="minorHAnsi"/>
          <w:szCs w:val="24"/>
        </w:rPr>
        <w:t>,</w:t>
      </w:r>
      <w:r w:rsidRPr="001F4282">
        <w:rPr>
          <w:rFonts w:cstheme="minorHAnsi"/>
          <w:i/>
          <w:szCs w:val="24"/>
        </w:rPr>
        <w:t xml:space="preserve"> Zateplení ZŠ Janouškova </w:t>
      </w:r>
      <w:r w:rsidRPr="00512745">
        <w:rPr>
          <w:rFonts w:cstheme="minorHAnsi"/>
          <w:szCs w:val="24"/>
        </w:rPr>
        <w:t>a</w:t>
      </w:r>
      <w:r w:rsidRPr="001F4282">
        <w:rPr>
          <w:rFonts w:cstheme="minorHAnsi"/>
          <w:i/>
          <w:szCs w:val="24"/>
        </w:rPr>
        <w:t xml:space="preserve"> Zateplení ZŠ Masarova</w:t>
      </w:r>
      <w:r w:rsidRPr="00512745">
        <w:rPr>
          <w:rStyle w:val="Znakapoznpodarou"/>
          <w:rFonts w:cstheme="minorHAnsi"/>
          <w:szCs w:val="24"/>
        </w:rPr>
        <w:footnoteReference w:id="19"/>
      </w:r>
      <w:r w:rsidR="00B159BA" w:rsidRPr="00512745">
        <w:rPr>
          <w:rFonts w:cstheme="minorHAnsi"/>
          <w:szCs w:val="24"/>
        </w:rPr>
        <w:t xml:space="preserve"> ve smyslu ustanovení § 155 zákona č. 137/2006 Sb.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E775E2" w:rsidRDefault="00E775E2" w:rsidP="00CB795C">
      <w:pPr>
        <w:spacing w:before="0" w:after="0" w:line="264" w:lineRule="auto"/>
        <w:rPr>
          <w:rFonts w:cstheme="minorHAnsi"/>
          <w:bCs/>
          <w:szCs w:val="24"/>
        </w:rPr>
      </w:pPr>
      <w:r w:rsidRPr="004B6A0D">
        <w:rPr>
          <w:rFonts w:cstheme="minorHAnsi"/>
          <w:bCs/>
          <w:szCs w:val="24"/>
        </w:rPr>
        <w:t>S</w:t>
      </w:r>
      <w:r w:rsidR="00865E55">
        <w:rPr>
          <w:rFonts w:cstheme="minorHAnsi"/>
          <w:bCs/>
          <w:szCs w:val="24"/>
        </w:rPr>
        <w:t>tatutární město</w:t>
      </w:r>
      <w:r w:rsidRPr="004B6A0D">
        <w:rPr>
          <w:rFonts w:cstheme="minorHAnsi"/>
          <w:bCs/>
          <w:szCs w:val="24"/>
        </w:rPr>
        <w:t xml:space="preserve"> Jihlava </w:t>
      </w:r>
      <w:r>
        <w:rPr>
          <w:rFonts w:cstheme="minorHAnsi"/>
          <w:bCs/>
          <w:szCs w:val="24"/>
        </w:rPr>
        <w:t xml:space="preserve">v rámci administrace veřejných zakázek </w:t>
      </w:r>
      <w:r w:rsidRPr="004B6A0D">
        <w:rPr>
          <w:rFonts w:cstheme="minorHAnsi"/>
          <w:bCs/>
          <w:szCs w:val="24"/>
        </w:rPr>
        <w:t>nezveřejnilo</w:t>
      </w:r>
      <w:r>
        <w:rPr>
          <w:rFonts w:cstheme="minorHAnsi"/>
          <w:bCs/>
          <w:szCs w:val="24"/>
        </w:rPr>
        <w:t>:</w:t>
      </w:r>
      <w:r>
        <w:rPr>
          <w:rStyle w:val="Znakapoznpodarou"/>
          <w:rFonts w:cstheme="minorHAnsi"/>
          <w:bCs/>
          <w:szCs w:val="24"/>
        </w:rPr>
        <w:footnoteReference w:id="20"/>
      </w:r>
    </w:p>
    <w:p w:rsidR="00E775E2" w:rsidRPr="0070394D" w:rsidRDefault="00E775E2" w:rsidP="00CB795C">
      <w:pPr>
        <w:pStyle w:val="Odstavecseseznamem"/>
        <w:numPr>
          <w:ilvl w:val="0"/>
          <w:numId w:val="30"/>
        </w:numPr>
        <w:spacing w:before="0" w:after="0" w:line="264" w:lineRule="auto"/>
        <w:ind w:left="284" w:hanging="284"/>
        <w:contextualSpacing w:val="0"/>
        <w:rPr>
          <w:rFonts w:cstheme="minorHAnsi"/>
          <w:bCs/>
        </w:rPr>
      </w:pPr>
      <w:r w:rsidRPr="0070394D">
        <w:rPr>
          <w:rFonts w:cstheme="minorHAnsi"/>
          <w:bCs/>
        </w:rPr>
        <w:t>v šesti případech</w:t>
      </w:r>
      <w:r w:rsidRPr="0070394D">
        <w:rPr>
          <w:rFonts w:cstheme="minorHAnsi"/>
          <w:lang w:eastAsia="cs-CZ"/>
        </w:rPr>
        <w:t xml:space="preserve"> písemnou zprávu zadavatele dle ustanovení § 85 zákona č. 137/</w:t>
      </w:r>
      <w:r w:rsidRPr="0070394D">
        <w:rPr>
          <w:rFonts w:cstheme="minorHAnsi"/>
        </w:rPr>
        <w:t>2006</w:t>
      </w:r>
      <w:r w:rsidR="009B7AB8">
        <w:rPr>
          <w:rFonts w:cstheme="minorHAnsi"/>
        </w:rPr>
        <w:t> </w:t>
      </w:r>
      <w:r w:rsidRPr="0070394D">
        <w:rPr>
          <w:rFonts w:cstheme="minorHAnsi"/>
        </w:rPr>
        <w:t>Sb</w:t>
      </w:r>
      <w:r w:rsidRPr="0070394D">
        <w:rPr>
          <w:rFonts w:cstheme="minorHAnsi"/>
          <w:lang w:eastAsia="cs-CZ"/>
        </w:rPr>
        <w:t xml:space="preserve">. </w:t>
      </w:r>
      <w:r w:rsidRPr="0070394D">
        <w:rPr>
          <w:rFonts w:cstheme="minorHAnsi"/>
          <w:bCs/>
        </w:rPr>
        <w:t>na profilu zadavatele do 15 dnů od ukončení zadávacího řízení</w:t>
      </w:r>
      <w:r>
        <w:rPr>
          <w:rFonts w:cstheme="minorHAnsi"/>
          <w:bCs/>
        </w:rPr>
        <w:t>;</w:t>
      </w:r>
    </w:p>
    <w:p w:rsidR="00E775E2" w:rsidRPr="0070394D" w:rsidRDefault="00E775E2" w:rsidP="00CB795C">
      <w:pPr>
        <w:pStyle w:val="Odstavecseseznamem"/>
        <w:numPr>
          <w:ilvl w:val="0"/>
          <w:numId w:val="30"/>
        </w:numPr>
        <w:spacing w:before="0" w:after="0" w:line="264" w:lineRule="auto"/>
        <w:ind w:left="284" w:hanging="284"/>
        <w:contextualSpacing w:val="0"/>
        <w:rPr>
          <w:rFonts w:cstheme="minorHAnsi"/>
          <w:lang w:eastAsia="cs-CZ"/>
        </w:rPr>
      </w:pPr>
      <w:r w:rsidRPr="0070394D">
        <w:rPr>
          <w:rFonts w:cstheme="minorHAnsi"/>
          <w:bCs/>
        </w:rPr>
        <w:t>v devíti případech</w:t>
      </w:r>
      <w:r w:rsidRPr="0070394D">
        <w:rPr>
          <w:rFonts w:cstheme="minorHAnsi"/>
          <w:lang w:eastAsia="cs-CZ"/>
        </w:rPr>
        <w:t xml:space="preserve"> smlouvu o dílo, popř. dodatek ke smlouvě o dílo</w:t>
      </w:r>
      <w:r w:rsidR="009B7AB8">
        <w:rPr>
          <w:rFonts w:cstheme="minorHAnsi"/>
          <w:lang w:eastAsia="cs-CZ"/>
        </w:rPr>
        <w:t>,</w:t>
      </w:r>
      <w:r w:rsidRPr="0070394D">
        <w:rPr>
          <w:rFonts w:cstheme="minorHAnsi"/>
          <w:lang w:eastAsia="cs-CZ"/>
        </w:rPr>
        <w:t xml:space="preserve"> dle</w:t>
      </w:r>
      <w:r w:rsidR="00FA167F">
        <w:rPr>
          <w:rFonts w:cstheme="minorHAnsi"/>
          <w:lang w:eastAsia="cs-CZ"/>
        </w:rPr>
        <w:t xml:space="preserve"> </w:t>
      </w:r>
      <w:r w:rsidRPr="0070394D">
        <w:rPr>
          <w:rFonts w:cstheme="minorHAnsi"/>
          <w:lang w:eastAsia="cs-CZ"/>
        </w:rPr>
        <w:t>ustanovení § 147a odst. 2 zákona č. 137/2006 Sb. na profilu zadavatele ve lhů</w:t>
      </w:r>
      <w:r>
        <w:rPr>
          <w:rFonts w:cstheme="minorHAnsi"/>
          <w:lang w:eastAsia="cs-CZ"/>
        </w:rPr>
        <w:t>tě do 15 dnů od</w:t>
      </w:r>
      <w:r w:rsidRPr="0070394D">
        <w:rPr>
          <w:rFonts w:cstheme="minorHAnsi"/>
          <w:lang w:eastAsia="cs-CZ"/>
        </w:rPr>
        <w:t xml:space="preserve"> uzavření</w:t>
      </w:r>
      <w:r w:rsidR="00FA167F">
        <w:rPr>
          <w:rFonts w:cstheme="minorHAnsi"/>
          <w:lang w:eastAsia="cs-CZ"/>
        </w:rPr>
        <w:t xml:space="preserve"> smlouvy</w:t>
      </w:r>
      <w:r w:rsidRPr="0070394D">
        <w:rPr>
          <w:rFonts w:cstheme="minorHAnsi"/>
          <w:lang w:eastAsia="cs-CZ"/>
        </w:rPr>
        <w:t>,</w:t>
      </w:r>
    </w:p>
    <w:p w:rsidR="00E775E2" w:rsidRDefault="00E775E2" w:rsidP="00CB795C">
      <w:pPr>
        <w:pStyle w:val="Odstavecseseznamem"/>
        <w:numPr>
          <w:ilvl w:val="0"/>
          <w:numId w:val="30"/>
        </w:numPr>
        <w:spacing w:before="0" w:after="0" w:line="264" w:lineRule="auto"/>
        <w:ind w:left="284" w:hanging="284"/>
        <w:contextualSpacing w:val="0"/>
        <w:rPr>
          <w:rFonts w:cstheme="minorHAnsi"/>
          <w:bCs/>
        </w:rPr>
      </w:pPr>
      <w:r w:rsidRPr="0070394D">
        <w:rPr>
          <w:rFonts w:cstheme="minorHAnsi"/>
          <w:bCs/>
        </w:rPr>
        <w:lastRenderedPageBreak/>
        <w:t xml:space="preserve">v pěti případech oznámení o výsledku zadávacího řízení k uveřejnění ve </w:t>
      </w:r>
      <w:r w:rsidRPr="00512745">
        <w:rPr>
          <w:rFonts w:cstheme="minorHAnsi"/>
          <w:bCs/>
          <w:i/>
        </w:rPr>
        <w:t>Věstníku veřejných zakázek</w:t>
      </w:r>
      <w:r w:rsidRPr="0070394D">
        <w:rPr>
          <w:rFonts w:cstheme="minorHAnsi"/>
          <w:bCs/>
        </w:rPr>
        <w:t xml:space="preserve"> dle ustanovení § 83 odst. 1 záko</w:t>
      </w:r>
      <w:r w:rsidR="009B7AB8">
        <w:rPr>
          <w:rFonts w:cstheme="minorHAnsi"/>
          <w:bCs/>
        </w:rPr>
        <w:t xml:space="preserve">na č. 137/2006 Sb. do 15 dnů od </w:t>
      </w:r>
      <w:r w:rsidRPr="0070394D">
        <w:rPr>
          <w:rFonts w:cstheme="minorHAnsi"/>
          <w:bCs/>
        </w:rPr>
        <w:t>uzavření dodatku ke smlouvě o dílo.</w:t>
      </w:r>
    </w:p>
    <w:p w:rsidR="000F672B" w:rsidRDefault="000F672B" w:rsidP="00CB795C">
      <w:pPr>
        <w:pStyle w:val="Odstavecseseznamem"/>
        <w:spacing w:before="0" w:after="0" w:line="264" w:lineRule="auto"/>
        <w:ind w:left="0"/>
        <w:contextualSpacing w:val="0"/>
        <w:rPr>
          <w:rFonts w:cstheme="minorHAnsi"/>
          <w:bCs/>
        </w:rPr>
      </w:pPr>
    </w:p>
    <w:p w:rsidR="00693C3A" w:rsidRDefault="00693C3A" w:rsidP="00CB795C">
      <w:pPr>
        <w:pStyle w:val="Odstavecseseznamem"/>
        <w:spacing w:before="0" w:after="0" w:line="264" w:lineRule="auto"/>
        <w:ind w:left="0"/>
        <w:contextualSpacing w:val="0"/>
        <w:rPr>
          <w:rFonts w:cstheme="minorHAnsi"/>
          <w:bCs/>
        </w:rPr>
      </w:pPr>
    </w:p>
    <w:p w:rsidR="002E3898" w:rsidRPr="00512745" w:rsidRDefault="00693C3A" w:rsidP="00CB795C">
      <w:pPr>
        <w:pStyle w:val="pracovn3"/>
        <w:spacing w:before="0" w:line="264" w:lineRule="auto"/>
        <w:ind w:left="1"/>
        <w:jc w:val="center"/>
        <w:rPr>
          <w:rFonts w:asciiTheme="minorHAnsi" w:hAnsiTheme="minorHAnsi" w:cstheme="minorHAnsi"/>
          <w:caps/>
          <w:color w:val="auto"/>
          <w:sz w:val="26"/>
          <w:szCs w:val="26"/>
        </w:rPr>
      </w:pPr>
      <w:r w:rsidRPr="00512745">
        <w:rPr>
          <w:rFonts w:asciiTheme="minorHAnsi" w:hAnsiTheme="minorHAnsi" w:cstheme="minorHAnsi"/>
          <w:caps/>
          <w:color w:val="auto"/>
          <w:sz w:val="26"/>
          <w:szCs w:val="26"/>
        </w:rPr>
        <w:t xml:space="preserve">V. </w:t>
      </w:r>
      <w:r w:rsidR="00DA10D6" w:rsidRPr="00512745">
        <w:rPr>
          <w:rFonts w:asciiTheme="minorHAnsi" w:hAnsiTheme="minorHAnsi" w:cstheme="minorHAnsi"/>
          <w:color w:val="auto"/>
          <w:sz w:val="26"/>
          <w:szCs w:val="26"/>
        </w:rPr>
        <w:t>Shrnutí a vyhodnocení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FA167F" w:rsidP="00CB795C">
      <w:pPr>
        <w:spacing w:before="0" w:after="0" w:line="264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71564A" w:rsidRPr="009D7043">
        <w:rPr>
          <w:rFonts w:cstheme="minorHAnsi"/>
          <w:szCs w:val="24"/>
        </w:rPr>
        <w:t xml:space="preserve">stupem do Evropské unie </w:t>
      </w:r>
      <w:r>
        <w:rPr>
          <w:rFonts w:cstheme="minorHAnsi"/>
          <w:szCs w:val="24"/>
        </w:rPr>
        <w:t xml:space="preserve">se Česká republika </w:t>
      </w:r>
      <w:r w:rsidR="0071564A" w:rsidRPr="009D7043">
        <w:rPr>
          <w:rFonts w:cstheme="minorHAnsi"/>
          <w:szCs w:val="24"/>
        </w:rPr>
        <w:t>zavázala plnit povinnosti a</w:t>
      </w:r>
      <w:r>
        <w:rPr>
          <w:rFonts w:cstheme="minorHAnsi"/>
          <w:szCs w:val="24"/>
        </w:rPr>
        <w:t> </w:t>
      </w:r>
      <w:r w:rsidR="0071564A" w:rsidRPr="009D7043">
        <w:rPr>
          <w:rFonts w:cstheme="minorHAnsi"/>
          <w:szCs w:val="24"/>
        </w:rPr>
        <w:t xml:space="preserve">cíle, které pro ni vyplývají ze smluv </w:t>
      </w:r>
      <w:r w:rsidR="00702CBD">
        <w:rPr>
          <w:rFonts w:cstheme="minorHAnsi"/>
          <w:szCs w:val="24"/>
        </w:rPr>
        <w:t xml:space="preserve">a aktů přijatých </w:t>
      </w:r>
      <w:r w:rsidR="0071564A" w:rsidRPr="009D7043">
        <w:rPr>
          <w:rFonts w:cstheme="minorHAnsi"/>
          <w:szCs w:val="24"/>
        </w:rPr>
        <w:t>orgány EU. Jedním z nic</w:t>
      </w:r>
      <w:r w:rsidR="00B0790A">
        <w:rPr>
          <w:rFonts w:cstheme="minorHAnsi"/>
          <w:szCs w:val="24"/>
        </w:rPr>
        <w:t>h je implementace směrnice EP a </w:t>
      </w:r>
      <w:r w:rsidR="0071564A" w:rsidRPr="009D7043">
        <w:rPr>
          <w:rFonts w:cstheme="minorHAnsi"/>
          <w:szCs w:val="24"/>
        </w:rPr>
        <w:t>Rady 2012/27/EU</w:t>
      </w:r>
      <w:r w:rsidR="00741D6C">
        <w:rPr>
          <w:rFonts w:cstheme="minorHAnsi"/>
          <w:szCs w:val="24"/>
        </w:rPr>
        <w:t>,</w:t>
      </w:r>
      <w:r w:rsidR="0071564A" w:rsidRPr="009D7043">
        <w:rPr>
          <w:rFonts w:cstheme="minorHAnsi"/>
          <w:szCs w:val="24"/>
        </w:rPr>
        <w:t xml:space="preserve"> o energetické účinnosti. Tato směrnice zavádí závazná opatření, která mají zajistit splnění cíle EU zvýš</w:t>
      </w:r>
      <w:r w:rsidR="00741D6C">
        <w:rPr>
          <w:rFonts w:cstheme="minorHAnsi"/>
          <w:szCs w:val="24"/>
        </w:rPr>
        <w:t>it</w:t>
      </w:r>
      <w:r w:rsidR="0071564A" w:rsidRPr="009D7043">
        <w:rPr>
          <w:rFonts w:cstheme="minorHAnsi"/>
          <w:szCs w:val="24"/>
        </w:rPr>
        <w:t xml:space="preserve"> energetick</w:t>
      </w:r>
      <w:r w:rsidR="00741D6C">
        <w:rPr>
          <w:rFonts w:cstheme="minorHAnsi"/>
          <w:szCs w:val="24"/>
        </w:rPr>
        <w:t>ou</w:t>
      </w:r>
      <w:r w:rsidR="0071564A" w:rsidRPr="009D7043">
        <w:rPr>
          <w:rFonts w:cstheme="minorHAnsi"/>
          <w:szCs w:val="24"/>
        </w:rPr>
        <w:t xml:space="preserve"> účinnost o</w:t>
      </w:r>
      <w:r>
        <w:rPr>
          <w:rFonts w:cstheme="minorHAnsi"/>
          <w:szCs w:val="24"/>
        </w:rPr>
        <w:t> </w:t>
      </w:r>
      <w:r w:rsidR="0071564A" w:rsidRPr="009D7043">
        <w:rPr>
          <w:rFonts w:cstheme="minorHAnsi"/>
          <w:szCs w:val="24"/>
        </w:rPr>
        <w:t>20</w:t>
      </w:r>
      <w:r>
        <w:rPr>
          <w:rFonts w:cstheme="minorHAnsi"/>
          <w:szCs w:val="24"/>
        </w:rPr>
        <w:t> </w:t>
      </w:r>
      <w:r w:rsidR="0071564A" w:rsidRPr="009D7043">
        <w:rPr>
          <w:rFonts w:cstheme="minorHAnsi"/>
          <w:szCs w:val="24"/>
        </w:rPr>
        <w:t>% do roku 2020.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71564A" w:rsidP="00CB795C">
      <w:pPr>
        <w:spacing w:before="0" w:after="0" w:line="264" w:lineRule="auto"/>
        <w:rPr>
          <w:rFonts w:cstheme="minorHAnsi"/>
          <w:szCs w:val="24"/>
        </w:rPr>
      </w:pPr>
      <w:r w:rsidRPr="009D7043">
        <w:rPr>
          <w:rFonts w:cstheme="minorHAnsi"/>
          <w:szCs w:val="24"/>
        </w:rPr>
        <w:t xml:space="preserve">Postupem </w:t>
      </w:r>
      <w:r w:rsidR="009B7AB8">
        <w:rPr>
          <w:rFonts w:cstheme="minorHAnsi"/>
          <w:szCs w:val="24"/>
        </w:rPr>
        <w:t>d</w:t>
      </w:r>
      <w:r w:rsidRPr="009D7043">
        <w:rPr>
          <w:rFonts w:cstheme="minorHAnsi"/>
          <w:szCs w:val="24"/>
        </w:rPr>
        <w:t xml:space="preserve">le článku 7 </w:t>
      </w:r>
      <w:r w:rsidR="00705375">
        <w:rPr>
          <w:rFonts w:cstheme="minorHAnsi"/>
          <w:szCs w:val="24"/>
        </w:rPr>
        <w:t xml:space="preserve">směrnice </w:t>
      </w:r>
      <w:r w:rsidRPr="009D7043">
        <w:rPr>
          <w:rFonts w:cstheme="minorHAnsi"/>
          <w:szCs w:val="24"/>
        </w:rPr>
        <w:t>EED, který je pro členské státy závazný, si Česká republika stanovila cíl ve výši 47,78 PJ ročních úspor v konečné spotřebě v roce 2020. Celkové k</w:t>
      </w:r>
      <w:r w:rsidR="000305CB">
        <w:rPr>
          <w:rFonts w:cstheme="minorHAnsi"/>
          <w:szCs w:val="24"/>
        </w:rPr>
        <w:t>umulované úspory za období 2014–</w:t>
      </w:r>
      <w:r w:rsidRPr="009D7043">
        <w:rPr>
          <w:rFonts w:cstheme="minorHAnsi"/>
          <w:szCs w:val="24"/>
        </w:rPr>
        <w:t>2020 mají dosáhnout 191,10 PJ. Z</w:t>
      </w:r>
      <w:r w:rsidR="00177C61">
        <w:rPr>
          <w:rFonts w:cstheme="minorHAnsi"/>
          <w:szCs w:val="24"/>
        </w:rPr>
        <w:t> uvedeného vyplývá,</w:t>
      </w:r>
      <w:r w:rsidRPr="009D7043">
        <w:rPr>
          <w:rFonts w:cstheme="minorHAnsi"/>
          <w:szCs w:val="24"/>
        </w:rPr>
        <w:t xml:space="preserve"> že každým rokem je nutné dosáhnout nových úspor ve výši 6,83 PJ.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71564A" w:rsidP="00CB795C">
      <w:pPr>
        <w:spacing w:before="0" w:after="0" w:line="264" w:lineRule="auto"/>
        <w:rPr>
          <w:rFonts w:cstheme="minorHAnsi"/>
          <w:szCs w:val="24"/>
        </w:rPr>
      </w:pPr>
      <w:r w:rsidRPr="009D7043">
        <w:rPr>
          <w:rFonts w:cstheme="minorHAnsi"/>
          <w:szCs w:val="24"/>
        </w:rPr>
        <w:t>Resorty MPO a MŽP dosáhly díky dokončeným projektům dotovaným ze strukturálních fondů cca 7 PJ ročních úspor v roce 2014. Dosažení této výše úspor v roce 2014 bylo výsledkem sedm let trvajících dotačních programů (kumulativně úspory za</w:t>
      </w:r>
      <w:r w:rsidR="009A729B">
        <w:rPr>
          <w:rFonts w:cstheme="minorHAnsi"/>
          <w:szCs w:val="24"/>
        </w:rPr>
        <w:t xml:space="preserve"> </w:t>
      </w:r>
      <w:r w:rsidR="000305CB">
        <w:rPr>
          <w:rFonts w:cstheme="minorHAnsi"/>
          <w:szCs w:val="24"/>
        </w:rPr>
        <w:t>roky 2007–</w:t>
      </w:r>
      <w:r w:rsidRPr="009D7043">
        <w:rPr>
          <w:rFonts w:cstheme="minorHAnsi"/>
          <w:szCs w:val="24"/>
        </w:rPr>
        <w:t>2014 dos</w:t>
      </w:r>
      <w:r w:rsidR="000305CB">
        <w:rPr>
          <w:rFonts w:cstheme="minorHAnsi"/>
          <w:szCs w:val="24"/>
        </w:rPr>
        <w:t>áhly cca 12 PJ). Za období 2007–</w:t>
      </w:r>
      <w:r w:rsidRPr="009D7043">
        <w:rPr>
          <w:rFonts w:cstheme="minorHAnsi"/>
          <w:szCs w:val="24"/>
        </w:rPr>
        <w:t>2014 byl</w:t>
      </w:r>
      <w:r w:rsidR="00741D6C">
        <w:rPr>
          <w:rFonts w:cstheme="minorHAnsi"/>
          <w:szCs w:val="24"/>
        </w:rPr>
        <w:t>y</w:t>
      </w:r>
      <w:r w:rsidRPr="009D7043">
        <w:rPr>
          <w:rFonts w:cstheme="minorHAnsi"/>
          <w:szCs w:val="24"/>
        </w:rPr>
        <w:t xml:space="preserve"> na tyto projekty schválen</w:t>
      </w:r>
      <w:r w:rsidR="00741D6C">
        <w:rPr>
          <w:rFonts w:cstheme="minorHAnsi"/>
          <w:szCs w:val="24"/>
        </w:rPr>
        <w:t>y</w:t>
      </w:r>
      <w:r w:rsidRPr="009D7043">
        <w:rPr>
          <w:rFonts w:cstheme="minorHAnsi"/>
          <w:szCs w:val="24"/>
        </w:rPr>
        <w:t xml:space="preserve"> dotace ve výši cca 32,2 mld. Kč.</w:t>
      </w:r>
      <w:r>
        <w:rPr>
          <w:rFonts w:cstheme="minorHAnsi"/>
          <w:szCs w:val="24"/>
        </w:rPr>
        <w:t xml:space="preserve"> </w:t>
      </w:r>
      <w:r w:rsidRPr="009D7043">
        <w:rPr>
          <w:rFonts w:cstheme="minorHAnsi"/>
          <w:szCs w:val="24"/>
        </w:rPr>
        <w:t xml:space="preserve">Předpokladem k naplnění cíle, tj. </w:t>
      </w:r>
      <w:r w:rsidR="009A729B">
        <w:rPr>
          <w:rFonts w:cstheme="minorHAnsi"/>
          <w:szCs w:val="24"/>
        </w:rPr>
        <w:t>dosažení plánované výše úspor v </w:t>
      </w:r>
      <w:r w:rsidR="00C0663C">
        <w:rPr>
          <w:rFonts w:cstheme="minorHAnsi"/>
          <w:szCs w:val="24"/>
        </w:rPr>
        <w:t>roce 2020 a </w:t>
      </w:r>
      <w:r w:rsidRPr="009D7043">
        <w:rPr>
          <w:rFonts w:cstheme="minorHAnsi"/>
          <w:szCs w:val="24"/>
        </w:rPr>
        <w:t>k</w:t>
      </w:r>
      <w:r w:rsidR="00B600F7">
        <w:rPr>
          <w:rFonts w:cstheme="minorHAnsi"/>
          <w:szCs w:val="24"/>
        </w:rPr>
        <w:t>umulativních úspor za roky 2014–</w:t>
      </w:r>
      <w:r w:rsidRPr="009D7043">
        <w:rPr>
          <w:rFonts w:cstheme="minorHAnsi"/>
          <w:szCs w:val="24"/>
        </w:rPr>
        <w:t>2020</w:t>
      </w:r>
      <w:r w:rsidR="009B7AB8">
        <w:rPr>
          <w:rFonts w:cstheme="minorHAnsi"/>
          <w:szCs w:val="24"/>
        </w:rPr>
        <w:t>,</w:t>
      </w:r>
      <w:r w:rsidRPr="009D7043">
        <w:rPr>
          <w:rFonts w:cstheme="minorHAnsi"/>
          <w:szCs w:val="24"/>
        </w:rPr>
        <w:t xml:space="preserve"> je každoroční navýšení úspor</w:t>
      </w:r>
      <w:r w:rsidR="00B600F7">
        <w:rPr>
          <w:rFonts w:cstheme="minorHAnsi"/>
          <w:szCs w:val="24"/>
        </w:rPr>
        <w:t>y v letech 2015–</w:t>
      </w:r>
      <w:r w:rsidRPr="009D7043">
        <w:rPr>
          <w:rFonts w:cstheme="minorHAnsi"/>
          <w:szCs w:val="24"/>
        </w:rPr>
        <w:t>2020 o 100 % hodnoty úspor dosažených v roce 2014.</w:t>
      </w:r>
    </w:p>
    <w:p w:rsidR="00693C3A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71564A" w:rsidP="00CB795C">
      <w:pPr>
        <w:spacing w:before="0" w:after="0" w:line="264" w:lineRule="auto"/>
        <w:rPr>
          <w:rFonts w:cstheme="minorHAnsi"/>
          <w:szCs w:val="24"/>
        </w:rPr>
      </w:pPr>
      <w:r w:rsidRPr="00113B57">
        <w:rPr>
          <w:rFonts w:cstheme="minorHAnsi"/>
          <w:szCs w:val="24"/>
        </w:rPr>
        <w:t>K dosažení úspor ve stanovené výši využívá</w:t>
      </w:r>
      <w:r w:rsidR="00741D6C" w:rsidRPr="00741D6C">
        <w:rPr>
          <w:rFonts w:cstheme="minorHAnsi"/>
          <w:szCs w:val="24"/>
        </w:rPr>
        <w:t xml:space="preserve"> </w:t>
      </w:r>
      <w:r w:rsidR="00741D6C" w:rsidRPr="00113B57">
        <w:rPr>
          <w:rFonts w:cstheme="minorHAnsi"/>
          <w:szCs w:val="24"/>
        </w:rPr>
        <w:t>ČR</w:t>
      </w:r>
      <w:r w:rsidRPr="00113B57">
        <w:rPr>
          <w:rFonts w:cstheme="minorHAnsi"/>
          <w:szCs w:val="24"/>
        </w:rPr>
        <w:t xml:space="preserve"> nástroje</w:t>
      </w:r>
      <w:r w:rsidR="00B600F7">
        <w:rPr>
          <w:rFonts w:cstheme="minorHAnsi"/>
          <w:szCs w:val="24"/>
        </w:rPr>
        <w:t xml:space="preserve"> regulatorní (legislativa) </w:t>
      </w:r>
      <w:r w:rsidR="00741D6C">
        <w:rPr>
          <w:rFonts w:cstheme="minorHAnsi"/>
          <w:szCs w:val="24"/>
        </w:rPr>
        <w:t>i</w:t>
      </w:r>
      <w:r w:rsidR="00B600F7">
        <w:rPr>
          <w:rFonts w:cstheme="minorHAnsi"/>
          <w:szCs w:val="24"/>
        </w:rPr>
        <w:t> </w:t>
      </w:r>
      <w:r w:rsidRPr="00113B57">
        <w:rPr>
          <w:rFonts w:cstheme="minorHAnsi"/>
          <w:szCs w:val="24"/>
        </w:rPr>
        <w:t>ekonomické. V rámci ekonomických nástrojů jsou využívány jak národní prostředky, tak prostředky ze strukturálních fondů</w:t>
      </w:r>
      <w:r w:rsidR="00741D6C">
        <w:rPr>
          <w:rFonts w:cstheme="minorHAnsi"/>
          <w:szCs w:val="24"/>
        </w:rPr>
        <w:t xml:space="preserve"> EU</w:t>
      </w:r>
      <w:r w:rsidRPr="00113B57">
        <w:rPr>
          <w:rFonts w:cstheme="minorHAnsi"/>
          <w:szCs w:val="24"/>
        </w:rPr>
        <w:t xml:space="preserve">. </w:t>
      </w:r>
      <w:r w:rsidRPr="006852D2">
        <w:rPr>
          <w:rFonts w:cstheme="minorHAnsi"/>
          <w:szCs w:val="24"/>
        </w:rPr>
        <w:t>Jednotlivá opatření k naplnění cílů v oblasti úspor energie jsou zakotven</w:t>
      </w:r>
      <w:r w:rsidR="00741D6C">
        <w:rPr>
          <w:rFonts w:cstheme="minorHAnsi"/>
          <w:szCs w:val="24"/>
        </w:rPr>
        <w:t>a</w:t>
      </w:r>
      <w:r w:rsidRPr="006852D2">
        <w:rPr>
          <w:rFonts w:cstheme="minorHAnsi"/>
          <w:szCs w:val="24"/>
        </w:rPr>
        <w:t xml:space="preserve"> v </w:t>
      </w:r>
      <w:r w:rsidRPr="00512745">
        <w:rPr>
          <w:rFonts w:cstheme="minorHAnsi"/>
          <w:i/>
          <w:szCs w:val="24"/>
        </w:rPr>
        <w:t xml:space="preserve">Národním akčním plánu energetické účinnosti ČR </w:t>
      </w:r>
      <w:r w:rsidRPr="006852D2">
        <w:rPr>
          <w:rFonts w:cstheme="minorHAnsi"/>
          <w:szCs w:val="24"/>
        </w:rPr>
        <w:t xml:space="preserve">a tato opatření jsou pravidelně vyhodnocována. Vyhodnocení probíhá na základě údajů </w:t>
      </w:r>
      <w:r w:rsidR="00C0663C">
        <w:rPr>
          <w:rFonts w:cstheme="minorHAnsi"/>
          <w:szCs w:val="24"/>
        </w:rPr>
        <w:t>předávaných resorty MPO a MŽP o </w:t>
      </w:r>
      <w:r w:rsidRPr="006852D2">
        <w:rPr>
          <w:rFonts w:cstheme="minorHAnsi"/>
          <w:szCs w:val="24"/>
        </w:rPr>
        <w:t>plnění závazných ukazatelů.</w:t>
      </w:r>
    </w:p>
    <w:p w:rsidR="00693C3A" w:rsidRPr="005E5889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71564A" w:rsidP="00CB795C">
      <w:pPr>
        <w:spacing w:before="0" w:after="0" w:line="264" w:lineRule="auto"/>
        <w:rPr>
          <w:szCs w:val="24"/>
        </w:rPr>
      </w:pPr>
      <w:r w:rsidRPr="0097148D">
        <w:rPr>
          <w:szCs w:val="24"/>
        </w:rPr>
        <w:t xml:space="preserve">MPO jako ústřední orgán státní správy pro energetiku sleduje </w:t>
      </w:r>
      <w:r w:rsidR="00177C61">
        <w:rPr>
          <w:szCs w:val="24"/>
        </w:rPr>
        <w:t xml:space="preserve">mimo jiné </w:t>
      </w:r>
      <w:r w:rsidR="00B600F7">
        <w:rPr>
          <w:szCs w:val="24"/>
        </w:rPr>
        <w:t xml:space="preserve">dosahování úspor </w:t>
      </w:r>
      <w:r w:rsidR="00E61DFB">
        <w:rPr>
          <w:szCs w:val="24"/>
        </w:rPr>
        <w:t>ve svém resortu</w:t>
      </w:r>
      <w:r w:rsidRPr="0097148D">
        <w:rPr>
          <w:szCs w:val="24"/>
        </w:rPr>
        <w:t xml:space="preserve"> a </w:t>
      </w:r>
      <w:r w:rsidR="00E61DFB">
        <w:rPr>
          <w:szCs w:val="24"/>
        </w:rPr>
        <w:t>u </w:t>
      </w:r>
      <w:r w:rsidRPr="0097148D">
        <w:rPr>
          <w:szCs w:val="24"/>
        </w:rPr>
        <w:t>MŽP, a to u operačních programů prostřednictvím indikátor</w:t>
      </w:r>
      <w:r w:rsidR="00177C61">
        <w:rPr>
          <w:szCs w:val="24"/>
        </w:rPr>
        <w:t>u</w:t>
      </w:r>
      <w:r w:rsidRPr="0097148D">
        <w:rPr>
          <w:szCs w:val="24"/>
        </w:rPr>
        <w:t xml:space="preserve"> „</w:t>
      </w:r>
      <w:r w:rsidRPr="00512745">
        <w:rPr>
          <w:i/>
          <w:szCs w:val="24"/>
        </w:rPr>
        <w:t>snížení spotřeby energie</w:t>
      </w:r>
      <w:r w:rsidRPr="0097148D">
        <w:rPr>
          <w:szCs w:val="24"/>
        </w:rPr>
        <w:t>“. U MMR</w:t>
      </w:r>
      <w:r w:rsidR="009B7AB8">
        <w:rPr>
          <w:szCs w:val="24"/>
        </w:rPr>
        <w:t xml:space="preserve"> nebyly</w:t>
      </w:r>
      <w:r w:rsidRPr="0097148D">
        <w:rPr>
          <w:szCs w:val="24"/>
        </w:rPr>
        <w:t xml:space="preserve"> </w:t>
      </w:r>
      <w:r w:rsidR="00177C61">
        <w:rPr>
          <w:szCs w:val="24"/>
        </w:rPr>
        <w:t xml:space="preserve">u programů </w:t>
      </w:r>
      <w:r w:rsidRPr="0097148D">
        <w:rPr>
          <w:szCs w:val="24"/>
        </w:rPr>
        <w:t>dosahující</w:t>
      </w:r>
      <w:r w:rsidR="00177C61">
        <w:rPr>
          <w:szCs w:val="24"/>
        </w:rPr>
        <w:t>ch</w:t>
      </w:r>
      <w:r w:rsidRPr="0097148D">
        <w:rPr>
          <w:szCs w:val="24"/>
        </w:rPr>
        <w:t xml:space="preserve"> úspor energie v</w:t>
      </w:r>
      <w:r w:rsidR="00E61DFB">
        <w:rPr>
          <w:szCs w:val="24"/>
        </w:rPr>
        <w:t> </w:t>
      </w:r>
      <w:r w:rsidRPr="0097148D">
        <w:rPr>
          <w:szCs w:val="24"/>
        </w:rPr>
        <w:t xml:space="preserve">kontrolovaném období úspory energie ze strany MPO </w:t>
      </w:r>
      <w:r w:rsidR="00177C61">
        <w:rPr>
          <w:szCs w:val="24"/>
        </w:rPr>
        <w:t xml:space="preserve">tímto způsobem </w:t>
      </w:r>
      <w:r w:rsidRPr="0097148D">
        <w:rPr>
          <w:szCs w:val="24"/>
        </w:rPr>
        <w:t>sledovány. Z toho je zřejmé, že nastavený způsob sledování úspor není dostatečný, neboť jsou sl</w:t>
      </w:r>
      <w:r w:rsidR="00B600F7">
        <w:rPr>
          <w:szCs w:val="24"/>
        </w:rPr>
        <w:t>edovány úspory dosažené pouze u </w:t>
      </w:r>
      <w:r w:rsidRPr="0097148D">
        <w:rPr>
          <w:szCs w:val="24"/>
        </w:rPr>
        <w:t>dvou operačních programů</w:t>
      </w:r>
      <w:r w:rsidR="00E61DFB">
        <w:rPr>
          <w:szCs w:val="24"/>
        </w:rPr>
        <w:t>, zatímco</w:t>
      </w:r>
      <w:r w:rsidRPr="0097148D">
        <w:rPr>
          <w:szCs w:val="24"/>
        </w:rPr>
        <w:t xml:space="preserve"> u ostatních opatření </w:t>
      </w:r>
      <w:r w:rsidR="001B3535">
        <w:rPr>
          <w:szCs w:val="24"/>
        </w:rPr>
        <w:t xml:space="preserve">nejsou </w:t>
      </w:r>
      <w:r w:rsidRPr="0097148D">
        <w:rPr>
          <w:szCs w:val="24"/>
        </w:rPr>
        <w:t>úspory pomocí indikátorů či jiných parametrů</w:t>
      </w:r>
      <w:r w:rsidR="001B3535">
        <w:rPr>
          <w:szCs w:val="24"/>
        </w:rPr>
        <w:t xml:space="preserve"> </w:t>
      </w:r>
      <w:r w:rsidR="00E61DFB">
        <w:rPr>
          <w:szCs w:val="24"/>
        </w:rPr>
        <w:t xml:space="preserve">detailně </w:t>
      </w:r>
      <w:r w:rsidR="001B3535" w:rsidRPr="0097148D">
        <w:rPr>
          <w:szCs w:val="24"/>
        </w:rPr>
        <w:t>sledovány</w:t>
      </w:r>
      <w:r w:rsidR="001B3535">
        <w:rPr>
          <w:szCs w:val="24"/>
        </w:rPr>
        <w:t>.</w:t>
      </w:r>
    </w:p>
    <w:p w:rsidR="00693C3A" w:rsidRPr="005E5889" w:rsidRDefault="00693C3A" w:rsidP="00CB795C">
      <w:pPr>
        <w:spacing w:before="0" w:after="0" w:line="264" w:lineRule="auto"/>
        <w:rPr>
          <w:szCs w:val="24"/>
        </w:rPr>
      </w:pPr>
    </w:p>
    <w:p w:rsidR="0071564A" w:rsidRDefault="0071564A" w:rsidP="00CB795C">
      <w:pPr>
        <w:spacing w:before="0" w:after="0" w:line="264" w:lineRule="auto"/>
        <w:rPr>
          <w:rFonts w:cstheme="minorHAnsi"/>
          <w:szCs w:val="24"/>
        </w:rPr>
      </w:pPr>
      <w:r w:rsidRPr="005E5889">
        <w:rPr>
          <w:rFonts w:cstheme="minorHAnsi"/>
          <w:szCs w:val="24"/>
        </w:rPr>
        <w:t xml:space="preserve">Jednou z oblastí, </w:t>
      </w:r>
      <w:r w:rsidR="00E61DFB">
        <w:rPr>
          <w:rFonts w:cstheme="minorHAnsi"/>
          <w:szCs w:val="24"/>
        </w:rPr>
        <w:t>kde dochází k realizaci úspor energie</w:t>
      </w:r>
      <w:r w:rsidRPr="005E5889">
        <w:rPr>
          <w:rFonts w:cstheme="minorHAnsi"/>
          <w:szCs w:val="24"/>
        </w:rPr>
        <w:t xml:space="preserve">, </w:t>
      </w:r>
      <w:r w:rsidR="001B3535">
        <w:rPr>
          <w:rFonts w:cstheme="minorHAnsi"/>
          <w:szCs w:val="24"/>
        </w:rPr>
        <w:t>jsou</w:t>
      </w:r>
      <w:r w:rsidRPr="005E5889">
        <w:rPr>
          <w:rFonts w:cstheme="minorHAnsi"/>
          <w:szCs w:val="24"/>
        </w:rPr>
        <w:t xml:space="preserve"> budov</w:t>
      </w:r>
      <w:r w:rsidR="001B3535">
        <w:rPr>
          <w:rFonts w:cstheme="minorHAnsi"/>
          <w:szCs w:val="24"/>
        </w:rPr>
        <w:t>y</w:t>
      </w:r>
      <w:r w:rsidRPr="005E5889">
        <w:rPr>
          <w:rFonts w:cstheme="minorHAnsi"/>
          <w:szCs w:val="24"/>
        </w:rPr>
        <w:t xml:space="preserve"> v majetku ČR </w:t>
      </w:r>
      <w:r w:rsidR="001B3535">
        <w:rPr>
          <w:rFonts w:cstheme="minorHAnsi"/>
          <w:szCs w:val="24"/>
        </w:rPr>
        <w:t xml:space="preserve">užívané </w:t>
      </w:r>
      <w:r w:rsidRPr="005E5889">
        <w:rPr>
          <w:rFonts w:cstheme="minorHAnsi"/>
          <w:szCs w:val="24"/>
        </w:rPr>
        <w:t xml:space="preserve">ústředními vládními institucemi. U těch </w:t>
      </w:r>
      <w:r w:rsidR="009B7AB8">
        <w:rPr>
          <w:rFonts w:cstheme="minorHAnsi"/>
          <w:szCs w:val="24"/>
        </w:rPr>
        <w:t xml:space="preserve">bylo </w:t>
      </w:r>
      <w:r w:rsidRPr="005E5889">
        <w:rPr>
          <w:rFonts w:cstheme="minorHAnsi"/>
          <w:szCs w:val="24"/>
        </w:rPr>
        <w:t>v roce 2014 dosaženo úspor energie ve výši 2</w:t>
      </w:r>
      <w:r w:rsidR="009B7AB8">
        <w:rPr>
          <w:rFonts w:cstheme="minorHAnsi"/>
          <w:szCs w:val="24"/>
        </w:rPr>
        <w:t> </w:t>
      </w:r>
      <w:r w:rsidRPr="005E5889">
        <w:rPr>
          <w:rFonts w:cstheme="minorHAnsi"/>
          <w:szCs w:val="24"/>
        </w:rPr>
        <w:t>012</w:t>
      </w:r>
      <w:r w:rsidR="009B7AB8">
        <w:rPr>
          <w:rFonts w:cstheme="minorHAnsi"/>
          <w:szCs w:val="24"/>
        </w:rPr>
        <w:t> </w:t>
      </w:r>
      <w:r w:rsidRPr="005E5889">
        <w:rPr>
          <w:rFonts w:cstheme="minorHAnsi"/>
          <w:szCs w:val="24"/>
        </w:rPr>
        <w:t>MWh (7,24 TJ), čím</w:t>
      </w:r>
      <w:r w:rsidR="00B80771">
        <w:rPr>
          <w:rFonts w:cstheme="minorHAnsi"/>
          <w:szCs w:val="24"/>
        </w:rPr>
        <w:t>ž byl cíl splněn. V letech 2014–</w:t>
      </w:r>
      <w:r w:rsidRPr="005E5889">
        <w:rPr>
          <w:rFonts w:cstheme="minorHAnsi"/>
          <w:szCs w:val="24"/>
        </w:rPr>
        <w:t>2020 je plán</w:t>
      </w:r>
      <w:r w:rsidR="00B80771">
        <w:rPr>
          <w:rFonts w:cstheme="minorHAnsi"/>
          <w:szCs w:val="24"/>
        </w:rPr>
        <w:t xml:space="preserve">ováno dosáhnout úspor </w:t>
      </w:r>
      <w:r w:rsidR="00B80771">
        <w:rPr>
          <w:rFonts w:cstheme="minorHAnsi"/>
          <w:szCs w:val="24"/>
        </w:rPr>
        <w:lastRenderedPageBreak/>
        <w:t>energie u </w:t>
      </w:r>
      <w:r w:rsidRPr="005E5889">
        <w:rPr>
          <w:rFonts w:cstheme="minorHAnsi"/>
          <w:szCs w:val="24"/>
        </w:rPr>
        <w:t>budov v majetku ČR užívaných ústředními vládními institu</w:t>
      </w:r>
      <w:r w:rsidR="00B600F7">
        <w:rPr>
          <w:rFonts w:cstheme="minorHAnsi"/>
          <w:szCs w:val="24"/>
        </w:rPr>
        <w:t>cemi ve výši 73</w:t>
      </w:r>
      <w:r w:rsidR="009B7AB8">
        <w:rPr>
          <w:rFonts w:cstheme="minorHAnsi"/>
          <w:szCs w:val="24"/>
        </w:rPr>
        <w:t> </w:t>
      </w:r>
      <w:r w:rsidR="00B600F7">
        <w:rPr>
          <w:rFonts w:cstheme="minorHAnsi"/>
          <w:szCs w:val="24"/>
        </w:rPr>
        <w:t>900</w:t>
      </w:r>
      <w:r w:rsidR="009B7AB8">
        <w:rPr>
          <w:rFonts w:cstheme="minorHAnsi"/>
          <w:szCs w:val="24"/>
        </w:rPr>
        <w:t> </w:t>
      </w:r>
      <w:r w:rsidR="00B600F7">
        <w:rPr>
          <w:rFonts w:cstheme="minorHAnsi"/>
          <w:szCs w:val="24"/>
        </w:rPr>
        <w:t>MWh (266,04 </w:t>
      </w:r>
      <w:r w:rsidRPr="005E5889">
        <w:rPr>
          <w:rFonts w:cstheme="minorHAnsi"/>
          <w:szCs w:val="24"/>
        </w:rPr>
        <w:t xml:space="preserve">TJ). </w:t>
      </w:r>
      <w:r w:rsidR="00E61DFB">
        <w:rPr>
          <w:rFonts w:cstheme="minorHAnsi"/>
          <w:szCs w:val="24"/>
        </w:rPr>
        <w:t>I</w:t>
      </w:r>
      <w:r w:rsidRPr="005E5889">
        <w:rPr>
          <w:rFonts w:cstheme="minorHAnsi"/>
          <w:szCs w:val="24"/>
        </w:rPr>
        <w:t>nvestiční prostředk</w:t>
      </w:r>
      <w:r w:rsidR="00E61DFB">
        <w:rPr>
          <w:rFonts w:cstheme="minorHAnsi"/>
          <w:szCs w:val="24"/>
        </w:rPr>
        <w:t>y</w:t>
      </w:r>
      <w:r w:rsidRPr="005E5889">
        <w:rPr>
          <w:rFonts w:cstheme="minorHAnsi"/>
          <w:szCs w:val="24"/>
        </w:rPr>
        <w:t xml:space="preserve"> k dosažení těchto úspor je plánov</w:t>
      </w:r>
      <w:r w:rsidR="00B600F7">
        <w:rPr>
          <w:rFonts w:cstheme="minorHAnsi"/>
          <w:szCs w:val="24"/>
        </w:rPr>
        <w:t xml:space="preserve">ána cca </w:t>
      </w:r>
      <w:r w:rsidR="00E61DFB">
        <w:rPr>
          <w:rFonts w:cstheme="minorHAnsi"/>
          <w:szCs w:val="24"/>
        </w:rPr>
        <w:t xml:space="preserve">ve výši </w:t>
      </w:r>
      <w:r w:rsidR="00B600F7">
        <w:rPr>
          <w:rFonts w:cstheme="minorHAnsi"/>
          <w:szCs w:val="24"/>
        </w:rPr>
        <w:t>5,8 </w:t>
      </w:r>
      <w:r w:rsidRPr="005E5889">
        <w:rPr>
          <w:rFonts w:cstheme="minorHAnsi"/>
          <w:szCs w:val="24"/>
        </w:rPr>
        <w:t>mld. Kč. S ohledem na dosavadní tempo realizace úspor energie a značnou náročnost na potřebu peněžních prostředků bude splnění úspor v plánovaných objemech problematické bez zajištění dalších zdrojů financování, které v současné době zajištěny</w:t>
      </w:r>
      <w:r w:rsidR="00E61DFB" w:rsidRPr="00E61DFB">
        <w:rPr>
          <w:rFonts w:cstheme="minorHAnsi"/>
          <w:szCs w:val="24"/>
        </w:rPr>
        <w:t xml:space="preserve"> </w:t>
      </w:r>
      <w:r w:rsidR="00E61DFB" w:rsidRPr="005E5889">
        <w:rPr>
          <w:rFonts w:cstheme="minorHAnsi"/>
          <w:szCs w:val="24"/>
        </w:rPr>
        <w:t>nejsou</w:t>
      </w:r>
      <w:r w:rsidRPr="005E5889">
        <w:rPr>
          <w:rFonts w:cstheme="minorHAnsi"/>
          <w:szCs w:val="24"/>
        </w:rPr>
        <w:t>.</w:t>
      </w:r>
    </w:p>
    <w:p w:rsidR="00693C3A" w:rsidRPr="005E5889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71564A" w:rsidP="00CB795C">
      <w:pPr>
        <w:spacing w:before="0" w:after="0" w:line="264" w:lineRule="auto"/>
        <w:rPr>
          <w:rFonts w:cstheme="minorHAnsi"/>
          <w:szCs w:val="24"/>
        </w:rPr>
      </w:pPr>
      <w:r w:rsidRPr="005E5889">
        <w:rPr>
          <w:rFonts w:cstheme="minorHAnsi"/>
          <w:szCs w:val="24"/>
        </w:rPr>
        <w:t>V poskytování dotací příjemcům nebyly zjištěny systémové nedostatky. V jednom případě z 25 kontrolovaných projektů poskytlo</w:t>
      </w:r>
      <w:r w:rsidR="00E61DFB" w:rsidRPr="00E61DFB">
        <w:rPr>
          <w:rFonts w:cstheme="minorHAnsi"/>
          <w:szCs w:val="24"/>
        </w:rPr>
        <w:t xml:space="preserve"> </w:t>
      </w:r>
      <w:r w:rsidR="00E61DFB" w:rsidRPr="005E5889">
        <w:rPr>
          <w:rFonts w:cstheme="minorHAnsi"/>
          <w:szCs w:val="24"/>
        </w:rPr>
        <w:t>MPO</w:t>
      </w:r>
      <w:r w:rsidRPr="005E5889">
        <w:rPr>
          <w:rFonts w:cstheme="minorHAnsi"/>
          <w:szCs w:val="24"/>
        </w:rPr>
        <w:t xml:space="preserve"> dotac</w:t>
      </w:r>
      <w:r w:rsidR="00E61DFB">
        <w:rPr>
          <w:rFonts w:cstheme="minorHAnsi"/>
          <w:szCs w:val="24"/>
        </w:rPr>
        <w:t>i</w:t>
      </w:r>
      <w:r w:rsidRPr="005E5889">
        <w:rPr>
          <w:rFonts w:cstheme="minorHAnsi"/>
          <w:szCs w:val="24"/>
        </w:rPr>
        <w:t xml:space="preserve"> ve výši 36 mil. Kč v rozporu s podmínkami výzvy</w:t>
      </w:r>
      <w:r w:rsidR="00E61DFB">
        <w:rPr>
          <w:rFonts w:cstheme="minorHAnsi"/>
          <w:szCs w:val="24"/>
        </w:rPr>
        <w:t>.</w:t>
      </w:r>
      <w:r w:rsidRPr="005E5889">
        <w:rPr>
          <w:rFonts w:cstheme="minorHAnsi"/>
          <w:szCs w:val="24"/>
        </w:rPr>
        <w:t xml:space="preserve"> </w:t>
      </w:r>
      <w:r w:rsidR="00E61DFB">
        <w:rPr>
          <w:rFonts w:cstheme="minorHAnsi"/>
          <w:szCs w:val="24"/>
        </w:rPr>
        <w:t>U</w:t>
      </w:r>
      <w:r w:rsidRPr="005E5889">
        <w:rPr>
          <w:rFonts w:cstheme="minorHAnsi"/>
          <w:szCs w:val="24"/>
        </w:rPr>
        <w:t>vedeným postupem vytvořilo nerovné podmínky pro žadatele</w:t>
      </w:r>
      <w:r w:rsidR="009B7AB8">
        <w:rPr>
          <w:rFonts w:cstheme="minorHAnsi"/>
          <w:szCs w:val="24"/>
        </w:rPr>
        <w:t>.</w:t>
      </w:r>
      <w:r w:rsidRPr="005E5889">
        <w:rPr>
          <w:rFonts w:cstheme="minorHAnsi"/>
          <w:szCs w:val="24"/>
        </w:rPr>
        <w:t xml:space="preserve"> </w:t>
      </w:r>
      <w:r w:rsidR="009B7AB8">
        <w:rPr>
          <w:rFonts w:cstheme="minorHAnsi"/>
          <w:szCs w:val="24"/>
        </w:rPr>
        <w:t>T</w:t>
      </w:r>
      <w:r w:rsidRPr="005E5889">
        <w:rPr>
          <w:rFonts w:cstheme="minorHAnsi"/>
          <w:szCs w:val="24"/>
        </w:rPr>
        <w:t>ento postup nelze považovat za transparentní způsob rozhodování o poskytování peněžních prostředků státu</w:t>
      </w:r>
      <w:r w:rsidR="00E61DFB">
        <w:rPr>
          <w:rFonts w:cstheme="minorHAnsi"/>
          <w:szCs w:val="24"/>
        </w:rPr>
        <w:t>, a navíc t</w:t>
      </w:r>
      <w:r w:rsidRPr="005E5889">
        <w:rPr>
          <w:rFonts w:cstheme="minorHAnsi"/>
          <w:szCs w:val="24"/>
        </w:rPr>
        <w:t xml:space="preserve">akto vynaložené výdaje nelze v souladu s nařízením </w:t>
      </w:r>
      <w:r w:rsidR="00E61DFB">
        <w:rPr>
          <w:rFonts w:cstheme="minorHAnsi"/>
          <w:szCs w:val="24"/>
        </w:rPr>
        <w:t xml:space="preserve">Rady </w:t>
      </w:r>
      <w:r w:rsidRPr="005E5889">
        <w:rPr>
          <w:rFonts w:cstheme="minorHAnsi"/>
          <w:szCs w:val="24"/>
        </w:rPr>
        <w:t>č.</w:t>
      </w:r>
      <w:r w:rsidR="00A27444">
        <w:rPr>
          <w:rFonts w:cstheme="minorHAnsi"/>
          <w:szCs w:val="24"/>
        </w:rPr>
        <w:t> </w:t>
      </w:r>
      <w:r w:rsidRPr="005E5889">
        <w:rPr>
          <w:rFonts w:cstheme="minorHAnsi"/>
          <w:szCs w:val="24"/>
        </w:rPr>
        <w:t>1083/2006 považovat za způsobilé pro příspěvek z </w:t>
      </w:r>
      <w:r w:rsidRPr="00512745">
        <w:rPr>
          <w:rFonts w:cstheme="minorHAnsi"/>
          <w:i/>
          <w:szCs w:val="24"/>
        </w:rPr>
        <w:t>Evropského fondu regionálního rozvoje</w:t>
      </w:r>
      <w:r w:rsidRPr="005E5889">
        <w:rPr>
          <w:rFonts w:cstheme="minorHAnsi"/>
          <w:szCs w:val="24"/>
        </w:rPr>
        <w:t>.</w:t>
      </w:r>
    </w:p>
    <w:p w:rsidR="00693C3A" w:rsidRPr="005E5889" w:rsidRDefault="00693C3A" w:rsidP="00CB795C">
      <w:pPr>
        <w:spacing w:before="0" w:after="0" w:line="264" w:lineRule="auto"/>
        <w:rPr>
          <w:rFonts w:cstheme="minorHAnsi"/>
          <w:szCs w:val="24"/>
        </w:rPr>
      </w:pPr>
    </w:p>
    <w:p w:rsidR="0071564A" w:rsidRDefault="00E61DFB" w:rsidP="00CB795C">
      <w:pPr>
        <w:spacing w:before="0" w:after="0" w:line="264" w:lineRule="auto"/>
        <w:rPr>
          <w:szCs w:val="24"/>
        </w:rPr>
      </w:pPr>
      <w:r>
        <w:rPr>
          <w:rFonts w:cstheme="minorHAnsi"/>
          <w:szCs w:val="24"/>
        </w:rPr>
        <w:t>Kontrola prověřila i</w:t>
      </w:r>
      <w:r w:rsidR="0071564A" w:rsidRPr="005E5889">
        <w:rPr>
          <w:rFonts w:cstheme="minorHAnsi"/>
          <w:szCs w:val="24"/>
        </w:rPr>
        <w:t xml:space="preserve"> 19 projektů realizovaných </w:t>
      </w:r>
      <w:r>
        <w:rPr>
          <w:rFonts w:cstheme="minorHAnsi"/>
          <w:szCs w:val="24"/>
        </w:rPr>
        <w:t>patnácti</w:t>
      </w:r>
      <w:r w:rsidR="0071564A" w:rsidRPr="005E5889">
        <w:rPr>
          <w:rFonts w:cstheme="minorHAnsi"/>
          <w:szCs w:val="24"/>
        </w:rPr>
        <w:t xml:space="preserve"> příjemci, kterým byly poskytnuty dotace ve výši cca 858 mil. Kč. U těchto příjemců byly zjištěny nedostatky v zadávání zakázek ve výběrovém řízení a ve vykázání a</w:t>
      </w:r>
      <w:r w:rsidR="00901D97">
        <w:rPr>
          <w:rFonts w:cstheme="minorHAnsi"/>
          <w:szCs w:val="24"/>
        </w:rPr>
        <w:t> </w:t>
      </w:r>
      <w:r w:rsidR="0071564A" w:rsidRPr="005E5889">
        <w:rPr>
          <w:rFonts w:cstheme="minorHAnsi"/>
          <w:szCs w:val="24"/>
        </w:rPr>
        <w:t>následném proplacení nezpůsobilých výdajů</w:t>
      </w:r>
      <w:r w:rsidR="0071564A" w:rsidRPr="009B7AB8">
        <w:rPr>
          <w:rFonts w:cstheme="minorHAnsi"/>
          <w:color w:val="000000" w:themeColor="text1"/>
          <w:szCs w:val="24"/>
        </w:rPr>
        <w:t xml:space="preserve"> </w:t>
      </w:r>
      <w:r w:rsidR="009B7AB8">
        <w:rPr>
          <w:rFonts w:cstheme="minorHAnsi"/>
          <w:color w:val="000000" w:themeColor="text1"/>
          <w:szCs w:val="24"/>
        </w:rPr>
        <w:t>v celkové výši</w:t>
      </w:r>
      <w:r w:rsidR="00A27444">
        <w:rPr>
          <w:rFonts w:cstheme="minorHAnsi"/>
          <w:color w:val="000000" w:themeColor="text1"/>
          <w:szCs w:val="24"/>
        </w:rPr>
        <w:t xml:space="preserve"> cca 2 mil. </w:t>
      </w:r>
      <w:r w:rsidR="0071564A" w:rsidRPr="005E5889">
        <w:rPr>
          <w:rFonts w:cstheme="minorHAnsi"/>
          <w:color w:val="000000" w:themeColor="text1"/>
          <w:szCs w:val="24"/>
        </w:rPr>
        <w:t>Kč.</w:t>
      </w:r>
      <w:r w:rsidR="0071564A">
        <w:rPr>
          <w:rFonts w:cstheme="minorHAnsi"/>
          <w:color w:val="000000" w:themeColor="text1"/>
          <w:szCs w:val="24"/>
        </w:rPr>
        <w:t xml:space="preserve"> </w:t>
      </w:r>
      <w:r w:rsidR="0071564A" w:rsidRPr="005E5889">
        <w:rPr>
          <w:szCs w:val="24"/>
        </w:rPr>
        <w:t>Nedostatky zjištěné kontrolou NKÚ u</w:t>
      </w:r>
      <w:r w:rsidR="009B7AB8">
        <w:rPr>
          <w:szCs w:val="24"/>
        </w:rPr>
        <w:t> </w:t>
      </w:r>
      <w:r w:rsidR="0071564A" w:rsidRPr="005E5889">
        <w:rPr>
          <w:szCs w:val="24"/>
        </w:rPr>
        <w:t>příjemců dotací neměly vliv na dosažení stanovených cílů projektů. Realizací projektů u</w:t>
      </w:r>
      <w:r w:rsidR="009B7AB8">
        <w:rPr>
          <w:szCs w:val="24"/>
        </w:rPr>
        <w:t> </w:t>
      </w:r>
      <w:r w:rsidR="0071564A" w:rsidRPr="005E5889">
        <w:rPr>
          <w:szCs w:val="24"/>
        </w:rPr>
        <w:t>vybraných příjemců dotací došlo ke zlepšení kvality životního prostředí, tj. došlo k naplnění cílů stanovených jednotlivými projekty</w:t>
      </w:r>
      <w:r w:rsidR="00693C3A">
        <w:rPr>
          <w:szCs w:val="24"/>
        </w:rPr>
        <w:t>.</w:t>
      </w:r>
    </w:p>
    <w:p w:rsidR="00693C3A" w:rsidRDefault="00693C3A" w:rsidP="00CB795C">
      <w:pPr>
        <w:spacing w:before="0" w:after="0" w:line="264" w:lineRule="auto"/>
        <w:rPr>
          <w:szCs w:val="24"/>
        </w:rPr>
      </w:pPr>
    </w:p>
    <w:p w:rsidR="00C561AE" w:rsidRDefault="00C561AE" w:rsidP="00CB795C">
      <w:pPr>
        <w:spacing w:before="0" w:after="0" w:line="264" w:lineRule="auto"/>
        <w:jc w:val="left"/>
        <w:rPr>
          <w:rFonts w:cstheme="minorHAnsi"/>
          <w:u w:val="single"/>
        </w:rPr>
      </w:pPr>
    </w:p>
    <w:p w:rsidR="00E61DFB" w:rsidRDefault="00E61DFB">
      <w:pPr>
        <w:spacing w:before="0" w:after="20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D81945" w:rsidRPr="00512745" w:rsidRDefault="00D81945" w:rsidP="00CB795C">
      <w:pPr>
        <w:spacing w:before="0" w:after="0" w:line="264" w:lineRule="auto"/>
        <w:rPr>
          <w:rFonts w:cstheme="minorHAnsi"/>
        </w:rPr>
      </w:pPr>
      <w:r w:rsidRPr="00512745">
        <w:rPr>
          <w:rFonts w:cstheme="minorHAnsi"/>
          <w:b/>
        </w:rPr>
        <w:lastRenderedPageBreak/>
        <w:t>Seznam zkratek</w:t>
      </w:r>
    </w:p>
    <w:p w:rsidR="00693C3A" w:rsidRDefault="00693C3A" w:rsidP="00CB795C">
      <w:pPr>
        <w:spacing w:before="0" w:after="0" w:line="264" w:lineRule="auto"/>
        <w:ind w:left="1410" w:hanging="1410"/>
        <w:rPr>
          <w:rFonts w:cstheme="minorHAnsi"/>
        </w:rPr>
      </w:pPr>
    </w:p>
    <w:p w:rsidR="00D81945" w:rsidRDefault="00D81945" w:rsidP="00CB795C">
      <w:pPr>
        <w:spacing w:before="0" w:after="0" w:line="264" w:lineRule="auto"/>
        <w:ind w:left="1412" w:hanging="1412"/>
      </w:pPr>
      <w:r w:rsidRPr="000D5998">
        <w:rPr>
          <w:rFonts w:cstheme="minorHAnsi"/>
        </w:rPr>
        <w:t>AAU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>Assigned Amount Unit (jednotka přiděleného množství)</w:t>
      </w:r>
    </w:p>
    <w:p w:rsidR="00E61DFB" w:rsidRDefault="00E61DFB" w:rsidP="00CB795C">
      <w:pPr>
        <w:spacing w:before="0" w:after="0" w:line="264" w:lineRule="auto"/>
        <w:ind w:left="1412" w:hanging="1412"/>
        <w:rPr>
          <w:rFonts w:cstheme="minorHAnsi"/>
        </w:rPr>
      </w:pPr>
      <w:r>
        <w:rPr>
          <w:rFonts w:cstheme="minorHAnsi"/>
        </w:rPr>
        <w:t>ČR</w:t>
      </w:r>
      <w:r>
        <w:rPr>
          <w:rFonts w:cstheme="minorHAnsi"/>
        </w:rPr>
        <w:tab/>
        <w:t>Česká republika</w:t>
      </w:r>
    </w:p>
    <w:p w:rsidR="00D81945" w:rsidRDefault="00D81945" w:rsidP="00CB795C">
      <w:pPr>
        <w:spacing w:before="0" w:after="0" w:line="264" w:lineRule="auto"/>
        <w:ind w:left="1412" w:hanging="1412"/>
        <w:rPr>
          <w:rFonts w:cstheme="minorHAnsi"/>
        </w:rPr>
      </w:pPr>
      <w:r>
        <w:rPr>
          <w:rFonts w:cstheme="minorHAnsi"/>
        </w:rPr>
        <w:t>Dřevopar</w:t>
      </w:r>
      <w:r>
        <w:rPr>
          <w:rFonts w:cstheme="minorHAnsi"/>
        </w:rPr>
        <w:tab/>
      </w:r>
      <w:r>
        <w:rPr>
          <w:szCs w:val="24"/>
        </w:rPr>
        <w:t>D Ř E V O P A R, s.r.o.</w:t>
      </w:r>
      <w:r w:rsidR="001F4282">
        <w:rPr>
          <w:szCs w:val="24"/>
        </w:rPr>
        <w:t>, Loštice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rPr>
          <w:rFonts w:cstheme="minorHAnsi"/>
        </w:rPr>
        <w:t>EED</w:t>
      </w:r>
      <w:r>
        <w:rPr>
          <w:rFonts w:cstheme="minorHAnsi"/>
        </w:rPr>
        <w:tab/>
      </w:r>
      <w:r w:rsidR="004F1669">
        <w:t>s</w:t>
      </w:r>
      <w:r w:rsidRPr="00D16582">
        <w:t>měrnice EP a Rady 2012/27/EU</w:t>
      </w:r>
      <w:r w:rsidR="004E61B7">
        <w:t>,</w:t>
      </w:r>
      <w:r w:rsidRPr="00D16582">
        <w:t xml:space="preserve"> o energetické účinnosti</w:t>
      </w:r>
      <w:r w:rsidR="00E61DFB" w:rsidRPr="00E61DFB">
        <w:t>, o změně směrnic 2009/125/ES a 2010/30/EU a o zrušení směrnic 2004/8/ES a 2006/32/ES</w:t>
      </w:r>
    </w:p>
    <w:p w:rsidR="00E61DFB" w:rsidRDefault="00E61DFB" w:rsidP="00CB795C">
      <w:pPr>
        <w:spacing w:before="0" w:after="0" w:line="264" w:lineRule="auto"/>
        <w:ind w:left="1412" w:hanging="1412"/>
      </w:pPr>
      <w:r>
        <w:t>EK</w:t>
      </w:r>
      <w:r>
        <w:tab/>
        <w:t>Evropská komise</w:t>
      </w:r>
    </w:p>
    <w:p w:rsidR="00E61DFB" w:rsidRDefault="00E61DFB" w:rsidP="00CB795C">
      <w:pPr>
        <w:spacing w:before="0" w:after="0" w:line="264" w:lineRule="auto"/>
        <w:ind w:left="1412" w:hanging="1412"/>
      </w:pPr>
      <w:r>
        <w:t>EP</w:t>
      </w:r>
      <w:r>
        <w:tab/>
        <w:t>Evropský parlament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EU</w:t>
      </w:r>
      <w:r>
        <w:tab/>
        <w:t>Evropská unie</w:t>
      </w:r>
    </w:p>
    <w:p w:rsidR="00E61DFB" w:rsidRDefault="00E61DFB" w:rsidP="00CB795C">
      <w:pPr>
        <w:spacing w:before="0" w:after="0" w:line="264" w:lineRule="auto"/>
        <w:ind w:left="1412" w:hanging="1412"/>
      </w:pPr>
      <w:r>
        <w:t>HDP</w:t>
      </w:r>
      <w:r>
        <w:tab/>
        <w:t>hrubý domácí produkt</w:t>
      </w:r>
    </w:p>
    <w:p w:rsidR="00E61DFB" w:rsidRPr="00512745" w:rsidRDefault="00E61DFB" w:rsidP="00CB795C">
      <w:pPr>
        <w:spacing w:before="0" w:after="0" w:line="264" w:lineRule="auto"/>
        <w:ind w:left="1412" w:hanging="1412"/>
        <w:rPr>
          <w:i/>
        </w:rPr>
      </w:pPr>
      <w:r>
        <w:t>IOP</w:t>
      </w:r>
      <w:r>
        <w:tab/>
      </w:r>
      <w:r>
        <w:rPr>
          <w:i/>
        </w:rPr>
        <w:t>Integrovaný operační program</w:t>
      </w:r>
    </w:p>
    <w:p w:rsidR="00D81945" w:rsidRDefault="00D81945" w:rsidP="00CB795C">
      <w:pPr>
        <w:spacing w:before="0" w:after="0" w:line="264" w:lineRule="auto"/>
        <w:ind w:left="1412" w:hanging="1412"/>
      </w:pPr>
      <w:r w:rsidRPr="00512745">
        <w:rPr>
          <w:i/>
        </w:rPr>
        <w:t>JESSICA</w:t>
      </w:r>
      <w:r>
        <w:rPr>
          <w:rFonts w:cstheme="minorHAnsi"/>
        </w:rPr>
        <w:tab/>
      </w:r>
      <w:r w:rsidRPr="00CB28B7">
        <w:rPr>
          <w:rFonts w:cs="Calibri"/>
          <w:bCs/>
          <w:iCs/>
        </w:rPr>
        <w:t xml:space="preserve">finanční nástroj </w:t>
      </w:r>
      <w:r w:rsidRPr="00324887">
        <w:rPr>
          <w:i/>
        </w:rPr>
        <w:t>Joint European Support for Sustainable Investment in city Areas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Koncepce</w:t>
      </w:r>
      <w:r>
        <w:tab/>
      </w:r>
      <w:r w:rsidRPr="00512745">
        <w:rPr>
          <w:i/>
        </w:rPr>
        <w:t>Koncepce bydlení do roku 2020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MMR</w:t>
      </w:r>
      <w:r>
        <w:tab/>
      </w:r>
      <w:r>
        <w:tab/>
        <w:t>Ministerstvo pro místní rozvoj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MPO</w:t>
      </w:r>
      <w:r>
        <w:tab/>
      </w:r>
      <w:r>
        <w:tab/>
        <w:t>Ministerstvo průmyslu a obchodu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MWh</w:t>
      </w:r>
      <w:r>
        <w:tab/>
        <w:t>megawatthodina (jednotka energie</w:t>
      </w:r>
      <w:r w:rsidR="00284D38">
        <w:t xml:space="preserve"> 1 MWh = 3,6 GJ</w:t>
      </w:r>
      <w:r>
        <w:t>)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MŽP</w:t>
      </w:r>
      <w:r>
        <w:tab/>
        <w:t>Ministerstvo životního prostředí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NAPEE</w:t>
      </w:r>
      <w:r>
        <w:tab/>
      </w:r>
      <w:r w:rsidRPr="00512745">
        <w:rPr>
          <w:i/>
        </w:rPr>
        <w:t>Národní akční plán energetické účinnosti ČR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NKÚ</w:t>
      </w:r>
      <w:r>
        <w:tab/>
        <w:t>Nejvyšší kontrolní úřad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OPPI</w:t>
      </w:r>
      <w:r>
        <w:tab/>
      </w:r>
      <w:r w:rsidR="004F1669">
        <w:t>o</w:t>
      </w:r>
      <w:r>
        <w:t xml:space="preserve">perační program </w:t>
      </w:r>
      <w:r w:rsidRPr="00512745">
        <w:rPr>
          <w:i/>
        </w:rPr>
        <w:t>Podnikání a inovace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OPŽP</w:t>
      </w:r>
      <w:r>
        <w:tab/>
      </w:r>
      <w:r w:rsidR="004F1669">
        <w:t>o</w:t>
      </w:r>
      <w:r>
        <w:t xml:space="preserve">perační program </w:t>
      </w:r>
      <w:r w:rsidRPr="00512745">
        <w:rPr>
          <w:i/>
        </w:rPr>
        <w:t>Životní prostředí</w:t>
      </w:r>
    </w:p>
    <w:p w:rsidR="00D81945" w:rsidRDefault="00D81945" w:rsidP="00CB795C">
      <w:pPr>
        <w:spacing w:before="0" w:after="0" w:line="264" w:lineRule="auto"/>
        <w:ind w:left="1412" w:hanging="1412"/>
      </w:pPr>
      <w:r w:rsidRPr="000D5998">
        <w:t>PJ</w:t>
      </w:r>
      <w:r>
        <w:tab/>
        <w:t>petajoule (jednotka energie</w:t>
      </w:r>
      <w:r w:rsidR="00C31E21">
        <w:t xml:space="preserve"> 1 PJ = 1</w:t>
      </w:r>
      <w:r w:rsidR="004E61B7">
        <w:t> </w:t>
      </w:r>
      <w:r w:rsidR="00C31E21">
        <w:t>000 TJ</w:t>
      </w:r>
      <w:r>
        <w:t>)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SEK</w:t>
      </w:r>
      <w:r>
        <w:tab/>
      </w:r>
      <w:r w:rsidRPr="00512745">
        <w:rPr>
          <w:i/>
        </w:rPr>
        <w:t>Státní energetická koncepce</w:t>
      </w:r>
    </w:p>
    <w:p w:rsidR="00AF5146" w:rsidRDefault="00AF5146" w:rsidP="00CB795C">
      <w:pPr>
        <w:spacing w:before="0" w:after="0" w:line="264" w:lineRule="auto"/>
        <w:ind w:left="1412" w:hanging="1412"/>
      </w:pPr>
      <w:r>
        <w:t>SFRB</w:t>
      </w:r>
      <w:r>
        <w:tab/>
        <w:t>Státní fond rozvoje bydlení</w:t>
      </w:r>
    </w:p>
    <w:p w:rsidR="00D81945" w:rsidRDefault="00D81945" w:rsidP="00CB795C">
      <w:pPr>
        <w:spacing w:before="0" w:after="0" w:line="264" w:lineRule="auto"/>
        <w:ind w:left="1412" w:hanging="1412"/>
      </w:pPr>
      <w:r>
        <w:t>SFŽP</w:t>
      </w:r>
      <w:r>
        <w:tab/>
        <w:t>Státní fond životního prostředí ČR</w:t>
      </w:r>
    </w:p>
    <w:p w:rsidR="00E61DFB" w:rsidRDefault="00E61DFB" w:rsidP="00CB795C">
      <w:pPr>
        <w:spacing w:before="0" w:after="0" w:line="264" w:lineRule="auto"/>
        <w:ind w:left="1412" w:hanging="1412"/>
        <w:rPr>
          <w:rFonts w:cstheme="minorHAnsi"/>
        </w:rPr>
      </w:pPr>
      <w:r>
        <w:t>SM Jihlava</w:t>
      </w:r>
      <w:r>
        <w:tab/>
        <w:t>statutární město Jihlava</w:t>
      </w:r>
    </w:p>
    <w:sectPr w:rsidR="00E61DFB" w:rsidSect="009A729B">
      <w:footerReference w:type="default" r:id="rId11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71" w:rsidRDefault="00396C71" w:rsidP="00D90060">
      <w:pPr>
        <w:spacing w:after="0" w:line="240" w:lineRule="auto"/>
      </w:pPr>
      <w:r>
        <w:separator/>
      </w:r>
    </w:p>
  </w:endnote>
  <w:endnote w:type="continuationSeparator" w:id="0">
    <w:p w:rsidR="00396C71" w:rsidRDefault="00396C71" w:rsidP="00D9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71" w:rsidRPr="009A729B" w:rsidRDefault="00396C71" w:rsidP="009A729B">
    <w:pPr>
      <w:pStyle w:val="Zpat"/>
      <w:jc w:val="center"/>
      <w:rPr>
        <w:rFonts w:ascii="Calibri" w:hAnsi="Calibri" w:cs="Calibri"/>
        <w:color w:val="000000" w:themeColor="text1"/>
        <w:szCs w:val="24"/>
      </w:rPr>
    </w:pPr>
    <w:r w:rsidRPr="009A729B">
      <w:rPr>
        <w:rStyle w:val="slostrnky"/>
        <w:rFonts w:ascii="Calibri" w:hAnsi="Calibri" w:cs="Calibri"/>
        <w:color w:val="000000" w:themeColor="text1"/>
        <w:szCs w:val="24"/>
      </w:rPr>
      <w:fldChar w:fldCharType="begin"/>
    </w:r>
    <w:r w:rsidRPr="009A729B">
      <w:rPr>
        <w:rStyle w:val="slostrnky"/>
        <w:rFonts w:ascii="Calibri" w:hAnsi="Calibri" w:cs="Calibri"/>
        <w:color w:val="000000" w:themeColor="text1"/>
        <w:szCs w:val="24"/>
      </w:rPr>
      <w:instrText xml:space="preserve"> PAGE </w:instrText>
    </w:r>
    <w:r w:rsidRPr="009A729B">
      <w:rPr>
        <w:rStyle w:val="slostrnky"/>
        <w:rFonts w:ascii="Calibri" w:hAnsi="Calibri" w:cs="Calibri"/>
        <w:color w:val="000000" w:themeColor="text1"/>
        <w:szCs w:val="24"/>
      </w:rPr>
      <w:fldChar w:fldCharType="separate"/>
    </w:r>
    <w:r w:rsidR="00AF65B1">
      <w:rPr>
        <w:rStyle w:val="slostrnky"/>
        <w:rFonts w:ascii="Calibri" w:hAnsi="Calibri" w:cs="Calibri"/>
        <w:noProof/>
        <w:color w:val="000000" w:themeColor="text1"/>
        <w:szCs w:val="24"/>
      </w:rPr>
      <w:t>2</w:t>
    </w:r>
    <w:r w:rsidRPr="009A729B">
      <w:rPr>
        <w:rStyle w:val="slostrnky"/>
        <w:rFonts w:ascii="Calibri" w:hAnsi="Calibri" w:cs="Calibri"/>
        <w:color w:val="000000" w:themeColor="text1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71" w:rsidRDefault="00396C71" w:rsidP="00D90060">
      <w:pPr>
        <w:spacing w:after="0" w:line="240" w:lineRule="auto"/>
      </w:pPr>
      <w:r>
        <w:separator/>
      </w:r>
    </w:p>
  </w:footnote>
  <w:footnote w:type="continuationSeparator" w:id="0">
    <w:p w:rsidR="00396C71" w:rsidRDefault="00396C71" w:rsidP="00D90060">
      <w:pPr>
        <w:spacing w:after="0" w:line="240" w:lineRule="auto"/>
      </w:pPr>
      <w:r>
        <w:continuationSeparator/>
      </w:r>
    </w:p>
  </w:footnote>
  <w:footnote w:id="1">
    <w:p w:rsidR="00396C71" w:rsidRDefault="00396C71" w:rsidP="00257998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Definice dle článku 2 s</w:t>
      </w:r>
      <w:r w:rsidRPr="00D16582">
        <w:t>měrnice EP a Rady 2012/27/EU</w:t>
      </w:r>
      <w:r>
        <w:t>,</w:t>
      </w:r>
      <w:r w:rsidRPr="00D16582">
        <w:t xml:space="preserve"> o energetické účinnosti</w:t>
      </w:r>
      <w:r>
        <w:t>, o změně směrnic 2009/125/ES a 2010/30/EU a o zrušení směrnic 2004/8/ES a 2006/32/ES.</w:t>
      </w:r>
    </w:p>
  </w:footnote>
  <w:footnote w:id="2">
    <w:p w:rsidR="00396C71" w:rsidRDefault="00396C71" w:rsidP="00257998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Zákon č. 2/1969 Sb., </w:t>
      </w:r>
      <w:r w:rsidRPr="004772C2">
        <w:t>o zřízení ministerstev a jiných ústředních orgánů státní správy České republiky</w:t>
      </w:r>
      <w:r>
        <w:t>.</w:t>
      </w:r>
    </w:p>
  </w:footnote>
  <w:footnote w:id="3">
    <w:p w:rsidR="00396C71" w:rsidRDefault="00396C71" w:rsidP="00257998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Zákon č. 406/2000 Sb., o hospodaření energií.</w:t>
      </w:r>
    </w:p>
  </w:footnote>
  <w:footnote w:id="4">
    <w:p w:rsidR="00396C71" w:rsidRDefault="00396C71" w:rsidP="00402849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S</w:t>
      </w:r>
      <w:r w:rsidRPr="00D16582">
        <w:t>měrnice EP a Rady 2006/32/ES</w:t>
      </w:r>
      <w:r>
        <w:t>,</w:t>
      </w:r>
      <w:r w:rsidRPr="00D16582">
        <w:t xml:space="preserve"> o energetické účinnosti u konečného uživatele a o energetických službách</w:t>
      </w:r>
      <w:r>
        <w:t xml:space="preserve"> a o zrušení směrnice Rady 93/76/EHS.</w:t>
      </w:r>
    </w:p>
  </w:footnote>
  <w:footnote w:id="5">
    <w:p w:rsidR="00396C71" w:rsidRDefault="00396C71" w:rsidP="00402849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Zákon č. 458/2000 Sb., o podmínkách podnikání a o výkonu státní správy v energetických odvětvích a o změně některých zákonů (energetický zákon).</w:t>
      </w:r>
    </w:p>
  </w:footnote>
  <w:footnote w:id="6">
    <w:p w:rsidR="00396C71" w:rsidRDefault="00396C71" w:rsidP="00402849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Zákon č. 165/2012 Sb., o </w:t>
      </w:r>
      <w:r w:rsidRPr="00EA0019">
        <w:t>podporovaných zdrojích energie a o změně některých zákonů</w:t>
      </w:r>
      <w:r>
        <w:t>.</w:t>
      </w:r>
    </w:p>
  </w:footnote>
  <w:footnote w:id="7">
    <w:p w:rsidR="00396C71" w:rsidRDefault="00396C71" w:rsidP="00BD3F2D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1 MWh = 3,6 GJ = 0,0036 TJ.</w:t>
      </w:r>
    </w:p>
  </w:footnote>
  <w:footnote w:id="8">
    <w:p w:rsidR="00396C71" w:rsidRDefault="00396C71" w:rsidP="00CA7587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Podřízený úvěr je </w:t>
      </w:r>
      <w:r w:rsidRPr="003B054A">
        <w:rPr>
          <w:rFonts w:cstheme="minorHAnsi"/>
        </w:rPr>
        <w:t>typ zvýhodněného dlouhodobého úvěru</w:t>
      </w:r>
      <w:r>
        <w:rPr>
          <w:rFonts w:cstheme="minorHAnsi"/>
        </w:rPr>
        <w:t xml:space="preserve"> (jeho</w:t>
      </w:r>
      <w:r w:rsidRPr="003B054A">
        <w:rPr>
          <w:rFonts w:cstheme="minorHAnsi"/>
        </w:rPr>
        <w:t xml:space="preserve"> podmínky jsou nastaveny tak, že umožňují přednostní uspokojení pohledávek všech ostatních věřitelů příjemce podpory v době podřízenosti</w:t>
      </w:r>
      <w:r>
        <w:rPr>
          <w:rFonts w:cstheme="minorHAnsi"/>
        </w:rPr>
        <w:t>).</w:t>
      </w:r>
    </w:p>
  </w:footnote>
  <w:footnote w:id="9">
    <w:p w:rsidR="00396C71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AAU = </w:t>
      </w:r>
      <w:r w:rsidRPr="00E61DFB">
        <w:t>Assigned Amount Unit</w:t>
      </w:r>
      <w:r w:rsidRPr="004C2459">
        <w:t xml:space="preserve"> = jednotka přiděleného množství (jednotk</w:t>
      </w:r>
      <w:r>
        <w:t>u</w:t>
      </w:r>
      <w:r w:rsidRPr="004C2459">
        <w:t xml:space="preserve"> definova</w:t>
      </w:r>
      <w:r>
        <w:t>l</w:t>
      </w:r>
      <w:r w:rsidRPr="004C2459">
        <w:t xml:space="preserve"> </w:t>
      </w:r>
      <w:r w:rsidRPr="008B1C43">
        <w:rPr>
          <w:i/>
        </w:rPr>
        <w:t>Kjótsk</w:t>
      </w:r>
      <w:r>
        <w:rPr>
          <w:i/>
        </w:rPr>
        <w:t>ý</w:t>
      </w:r>
      <w:r w:rsidRPr="008B1C43">
        <w:rPr>
          <w:i/>
        </w:rPr>
        <w:t xml:space="preserve"> protokol</w:t>
      </w:r>
      <w:r w:rsidRPr="004C2459">
        <w:t xml:space="preserve"> </w:t>
      </w:r>
      <w:r>
        <w:t>a </w:t>
      </w:r>
      <w:r w:rsidRPr="004C2459">
        <w:t>představuje obchodovatelné právo státu vypustit do ovzduší jednu tunu emisí s</w:t>
      </w:r>
      <w:r>
        <w:t>kleníkových plynů v období 2008–</w:t>
      </w:r>
      <w:r w:rsidRPr="004C2459">
        <w:t>2012)</w:t>
      </w:r>
      <w:r>
        <w:t>.</w:t>
      </w:r>
    </w:p>
  </w:footnote>
  <w:footnote w:id="10">
    <w:p w:rsidR="00396C71" w:rsidRDefault="00396C71" w:rsidP="001E3AAC">
      <w:pPr>
        <w:spacing w:before="0" w:after="0" w:line="240" w:lineRule="auto"/>
        <w:ind w:left="284" w:hanging="284"/>
      </w:pPr>
      <w:r w:rsidRPr="00126463">
        <w:rPr>
          <w:rStyle w:val="Znakapoznpodarou"/>
          <w:sz w:val="20"/>
          <w:szCs w:val="20"/>
        </w:rPr>
        <w:footnoteRef/>
      </w:r>
      <w:r>
        <w:tab/>
      </w:r>
      <w:r w:rsidRPr="00126463">
        <w:rPr>
          <w:sz w:val="20"/>
          <w:szCs w:val="20"/>
        </w:rPr>
        <w:t xml:space="preserve">Zdrojem pro program </w:t>
      </w:r>
      <w:r w:rsidRPr="008B1C43">
        <w:rPr>
          <w:i/>
          <w:sz w:val="20"/>
          <w:szCs w:val="20"/>
        </w:rPr>
        <w:t>Nová zelená úsporám</w:t>
      </w:r>
      <w:r w:rsidRPr="00126463">
        <w:rPr>
          <w:sz w:val="20"/>
          <w:szCs w:val="20"/>
        </w:rPr>
        <w:t xml:space="preserve"> jsou peněžní prostředky získané z obchodování s emisními povolenkami v rámci EU, </w:t>
      </w:r>
      <w:r>
        <w:rPr>
          <w:sz w:val="20"/>
          <w:szCs w:val="20"/>
        </w:rPr>
        <w:t>tyto prostředky</w:t>
      </w:r>
      <w:r w:rsidRPr="00126463">
        <w:rPr>
          <w:sz w:val="20"/>
          <w:szCs w:val="20"/>
        </w:rPr>
        <w:t xml:space="preserve"> jsou součástí státního rozpočtu </w:t>
      </w:r>
      <w:r w:rsidR="00F95A74">
        <w:rPr>
          <w:sz w:val="20"/>
          <w:szCs w:val="20"/>
        </w:rPr>
        <w:t>podle zákona č. 383/2012 Sb., o </w:t>
      </w:r>
      <w:r w:rsidRPr="00126463">
        <w:rPr>
          <w:sz w:val="20"/>
          <w:szCs w:val="20"/>
        </w:rPr>
        <w:t>podmínkách obchodování s povolenkami na emise skleníkových plynů.</w:t>
      </w:r>
    </w:p>
  </w:footnote>
  <w:footnote w:id="11">
    <w:p w:rsidR="00396C71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Vyhláška č. 148/2007 Sb., o energetické náročnosti budov, resp. od 1. 4. 2013 vyhláška č. 78/2013 Sb., o energetické náročnosti budov.</w:t>
      </w:r>
    </w:p>
  </w:footnote>
  <w:footnote w:id="12">
    <w:p w:rsidR="00396C71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Projekt OPŽP č. </w:t>
      </w:r>
      <w:r w:rsidRPr="00D05BBA">
        <w:t>CZ.1.02/3.2.00/10.08050</w:t>
      </w:r>
      <w:r>
        <w:t>.</w:t>
      </w:r>
    </w:p>
  </w:footnote>
  <w:footnote w:id="13">
    <w:p w:rsidR="00396C71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Způsobilé výdaje projektu činily 11 948 704 Kč, dotace činila 90 % způsobilých výdajů (z toho 85 % způsobilých výdajů bylo kryto z </w:t>
      </w:r>
      <w:r w:rsidRPr="00512745">
        <w:rPr>
          <w:i/>
        </w:rPr>
        <w:t>Fondu soudržnosti EU</w:t>
      </w:r>
      <w:r>
        <w:t>, 5 % způsobilých výdajů z prostředků SFŽP), vlastní zdroje činily 10 % způsobilých výdajů.</w:t>
      </w:r>
    </w:p>
  </w:footnote>
  <w:footnote w:id="14">
    <w:p w:rsidR="00396C71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Zákon č. 137/2006 Sb., o veřejných zakázkách.</w:t>
      </w:r>
    </w:p>
  </w:footnote>
  <w:footnote w:id="15">
    <w:p w:rsidR="00396C71" w:rsidRDefault="00396C71" w:rsidP="009A729B">
      <w:pPr>
        <w:pStyle w:val="Textpoznpodarou"/>
        <w:tabs>
          <w:tab w:val="left" w:pos="284"/>
        </w:tabs>
        <w:spacing w:before="0"/>
        <w:ind w:left="284" w:hanging="284"/>
      </w:pPr>
      <w:r>
        <w:rPr>
          <w:rStyle w:val="Znakapoznpodarou"/>
        </w:rPr>
        <w:footnoteRef/>
      </w:r>
      <w:r>
        <w:tab/>
        <w:t>Projekt OPŽP č. CZ.1.02/3.2.00/10.07778.</w:t>
      </w:r>
    </w:p>
  </w:footnote>
  <w:footnote w:id="16">
    <w:p w:rsidR="00396C71" w:rsidRDefault="00396C71" w:rsidP="009A729B">
      <w:pPr>
        <w:pStyle w:val="Textpoznpodarou"/>
        <w:tabs>
          <w:tab w:val="left" w:pos="284"/>
        </w:tabs>
        <w:spacing w:before="0"/>
        <w:ind w:left="284" w:hanging="284"/>
      </w:pPr>
      <w:r>
        <w:rPr>
          <w:rStyle w:val="Znakapoznpodarou"/>
        </w:rPr>
        <w:footnoteRef/>
      </w:r>
      <w:r>
        <w:tab/>
      </w:r>
      <w:r w:rsidRPr="005F404D">
        <w:t>Způsobilé výdaje projektu činily 8 596 358 Kč, dotace činila 90 % způsobilých výdajů (z toho 85 % způsobilých v</w:t>
      </w:r>
      <w:r>
        <w:t>ýdajů bylo kryto z Fondu soudržnosti EU, 5 </w:t>
      </w:r>
      <w:r w:rsidRPr="005F404D">
        <w:t>% způsobilých výdajů z prostředků SF</w:t>
      </w:r>
      <w:r>
        <w:t>ŽP), vlastní zdroje činily 10 % </w:t>
      </w:r>
      <w:r w:rsidRPr="005F404D">
        <w:t>způsobilých výdajů</w:t>
      </w:r>
      <w:r>
        <w:t>.</w:t>
      </w:r>
    </w:p>
  </w:footnote>
  <w:footnote w:id="17">
    <w:p w:rsidR="00396C71" w:rsidRDefault="00396C71" w:rsidP="009A729B">
      <w:pPr>
        <w:pStyle w:val="Textpoznpodarou"/>
        <w:tabs>
          <w:tab w:val="left" w:pos="284"/>
        </w:tabs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Projekt OPPI č. </w:t>
      </w:r>
      <w:r w:rsidRPr="00526125">
        <w:rPr>
          <w:rFonts w:cstheme="minorHAnsi"/>
          <w:bCs/>
        </w:rPr>
        <w:t>CZ.1.03/3.1.00/13.00361</w:t>
      </w:r>
      <w:r>
        <w:rPr>
          <w:rFonts w:cstheme="minorHAnsi"/>
          <w:bCs/>
        </w:rPr>
        <w:t>.</w:t>
      </w:r>
    </w:p>
  </w:footnote>
  <w:footnote w:id="18">
    <w:p w:rsidR="00396C71" w:rsidRDefault="00396C71" w:rsidP="009A729B">
      <w:pPr>
        <w:pStyle w:val="Textpoznpodarou"/>
        <w:tabs>
          <w:tab w:val="left" w:pos="284"/>
        </w:tabs>
        <w:spacing w:before="0"/>
        <w:ind w:left="284" w:hanging="284"/>
      </w:pPr>
      <w:r>
        <w:rPr>
          <w:rStyle w:val="Znakapoznpodarou"/>
        </w:rPr>
        <w:footnoteRef/>
      </w:r>
      <w:r>
        <w:tab/>
        <w:t>Způsobilé výdaje projektu činily 30 084 332 Kč, dotace činila 50 % způsobilých výdajů (85 % dotace bylo proplaceno z </w:t>
      </w:r>
      <w:r w:rsidRPr="00512745">
        <w:rPr>
          <w:i/>
        </w:rPr>
        <w:t>Fondu soudržnosti EU</w:t>
      </w:r>
      <w:r>
        <w:t xml:space="preserve"> a 15 % z prostředků státního rozpočtu), vlastní zdroje činily 50 % způsobilých výdajů.</w:t>
      </w:r>
    </w:p>
  </w:footnote>
  <w:footnote w:id="19">
    <w:p w:rsidR="00396C71" w:rsidRPr="0070394D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 xml:space="preserve">Projekt č. </w:t>
      </w:r>
      <w:r w:rsidRPr="0070394D">
        <w:t xml:space="preserve">CZ.1.02/3.2.00/10.07939 </w:t>
      </w:r>
      <w:r w:rsidRPr="00512745">
        <w:rPr>
          <w:i/>
        </w:rPr>
        <w:t>Zateplení ZŠ Horní, ZŠ Janouškova a ZŠ Masarova</w:t>
      </w:r>
      <w:r>
        <w:t>.</w:t>
      </w:r>
    </w:p>
  </w:footnote>
  <w:footnote w:id="20">
    <w:p w:rsidR="00396C71" w:rsidRPr="00CC5EDB" w:rsidRDefault="00396C71" w:rsidP="009A729B">
      <w:pPr>
        <w:pStyle w:val="Textpoznpodarou"/>
        <w:spacing w:before="0"/>
        <w:ind w:left="284" w:hanging="284"/>
      </w:pPr>
      <w:r>
        <w:rPr>
          <w:rStyle w:val="Znakapoznpodarou"/>
        </w:rPr>
        <w:footnoteRef/>
      </w:r>
      <w:r>
        <w:tab/>
        <w:t>Projekt č</w:t>
      </w:r>
      <w:r w:rsidRPr="00CC5EDB">
        <w:t xml:space="preserve">. </w:t>
      </w:r>
      <w:r w:rsidRPr="00CC5EDB">
        <w:rPr>
          <w:rFonts w:cstheme="minorHAnsi"/>
        </w:rPr>
        <w:t xml:space="preserve">CZ.1.02/3.2.00/14.25700 </w:t>
      </w:r>
      <w:r w:rsidRPr="00512745">
        <w:rPr>
          <w:rFonts w:cstheme="minorHAnsi"/>
          <w:i/>
        </w:rPr>
        <w:t>Snížení energetické náročnosti základních škol Demlova 32 a 34, Jihlava – I. etapa</w:t>
      </w:r>
      <w:r w:rsidRPr="00CC5EDB">
        <w:rPr>
          <w:rFonts w:cstheme="minorHAnsi"/>
        </w:rPr>
        <w:t xml:space="preserve"> a projekt CZ.1.02/3.2.00/12.14070 </w:t>
      </w:r>
      <w:r w:rsidRPr="00512745">
        <w:rPr>
          <w:rFonts w:cstheme="minorHAnsi"/>
          <w:i/>
        </w:rPr>
        <w:t>Snížení energetické náročnosti ZŠ Kollárova 30, Jihlava</w:t>
      </w:r>
      <w:r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F04"/>
    <w:multiLevelType w:val="hybridMultilevel"/>
    <w:tmpl w:val="9CECA5E8"/>
    <w:lvl w:ilvl="0" w:tplc="5354149A">
      <w:start w:val="1"/>
      <w:numFmt w:val="decimal"/>
      <w:pStyle w:val="pracovn2"/>
      <w:lvlText w:val="2. %1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D6C1683"/>
    <w:multiLevelType w:val="hybridMultilevel"/>
    <w:tmpl w:val="F692E7B6"/>
    <w:lvl w:ilvl="0" w:tplc="E22C5B34">
      <w:start w:val="1"/>
      <w:numFmt w:val="decimal"/>
      <w:pStyle w:val="graf"/>
      <w:lvlText w:val="Graf č. %1:  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65" w:hanging="360"/>
      </w:pPr>
    </w:lvl>
    <w:lvl w:ilvl="2" w:tplc="0405001B" w:tentative="1">
      <w:start w:val="1"/>
      <w:numFmt w:val="lowerRoman"/>
      <w:lvlText w:val="%3."/>
      <w:lvlJc w:val="right"/>
      <w:pPr>
        <w:ind w:left="1385" w:hanging="180"/>
      </w:pPr>
    </w:lvl>
    <w:lvl w:ilvl="3" w:tplc="0405000F" w:tentative="1">
      <w:start w:val="1"/>
      <w:numFmt w:val="decimal"/>
      <w:lvlText w:val="%4."/>
      <w:lvlJc w:val="left"/>
      <w:pPr>
        <w:ind w:left="2105" w:hanging="360"/>
      </w:pPr>
    </w:lvl>
    <w:lvl w:ilvl="4" w:tplc="04050019" w:tentative="1">
      <w:start w:val="1"/>
      <w:numFmt w:val="lowerLetter"/>
      <w:lvlText w:val="%5."/>
      <w:lvlJc w:val="left"/>
      <w:pPr>
        <w:ind w:left="2825" w:hanging="360"/>
      </w:pPr>
    </w:lvl>
    <w:lvl w:ilvl="5" w:tplc="0405001B" w:tentative="1">
      <w:start w:val="1"/>
      <w:numFmt w:val="lowerRoman"/>
      <w:lvlText w:val="%6."/>
      <w:lvlJc w:val="right"/>
      <w:pPr>
        <w:ind w:left="3545" w:hanging="180"/>
      </w:pPr>
    </w:lvl>
    <w:lvl w:ilvl="6" w:tplc="0405000F" w:tentative="1">
      <w:start w:val="1"/>
      <w:numFmt w:val="decimal"/>
      <w:lvlText w:val="%7."/>
      <w:lvlJc w:val="left"/>
      <w:pPr>
        <w:ind w:left="4265" w:hanging="360"/>
      </w:pPr>
    </w:lvl>
    <w:lvl w:ilvl="7" w:tplc="04050019" w:tentative="1">
      <w:start w:val="1"/>
      <w:numFmt w:val="lowerLetter"/>
      <w:lvlText w:val="%8."/>
      <w:lvlJc w:val="left"/>
      <w:pPr>
        <w:ind w:left="4985" w:hanging="360"/>
      </w:pPr>
    </w:lvl>
    <w:lvl w:ilvl="8" w:tplc="0405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>
    <w:nsid w:val="0F8D3841"/>
    <w:multiLevelType w:val="hybridMultilevel"/>
    <w:tmpl w:val="A79EFF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CF4581"/>
    <w:multiLevelType w:val="hybridMultilevel"/>
    <w:tmpl w:val="30E2C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3E2D"/>
    <w:multiLevelType w:val="hybridMultilevel"/>
    <w:tmpl w:val="292A8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320F"/>
    <w:multiLevelType w:val="hybridMultilevel"/>
    <w:tmpl w:val="C7384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96BC6"/>
    <w:multiLevelType w:val="hybridMultilevel"/>
    <w:tmpl w:val="FDFC746C"/>
    <w:lvl w:ilvl="0" w:tplc="C81A3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7FBC"/>
    <w:multiLevelType w:val="hybridMultilevel"/>
    <w:tmpl w:val="42FC48B4"/>
    <w:lvl w:ilvl="0" w:tplc="9C8E93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C1601B"/>
    <w:multiLevelType w:val="hybridMultilevel"/>
    <w:tmpl w:val="32BCD618"/>
    <w:lvl w:ilvl="0" w:tplc="75162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776B"/>
    <w:multiLevelType w:val="hybridMultilevel"/>
    <w:tmpl w:val="24D8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05AF"/>
    <w:multiLevelType w:val="hybridMultilevel"/>
    <w:tmpl w:val="6BBEBB5A"/>
    <w:lvl w:ilvl="0" w:tplc="CDB2C836">
      <w:start w:val="1"/>
      <w:numFmt w:val="decimal"/>
      <w:lvlText w:val="Tabulka č. %1: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0E46"/>
    <w:multiLevelType w:val="hybridMultilevel"/>
    <w:tmpl w:val="8FCE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5118"/>
    <w:multiLevelType w:val="hybridMultilevel"/>
    <w:tmpl w:val="9852F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F04EF"/>
    <w:multiLevelType w:val="hybridMultilevel"/>
    <w:tmpl w:val="6BBEBB5A"/>
    <w:lvl w:ilvl="0" w:tplc="CDB2C836">
      <w:start w:val="1"/>
      <w:numFmt w:val="decimal"/>
      <w:lvlText w:val="Tabulka č. %1: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B4EDF"/>
    <w:multiLevelType w:val="hybridMultilevel"/>
    <w:tmpl w:val="5F2A2C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430D"/>
    <w:multiLevelType w:val="hybridMultilevel"/>
    <w:tmpl w:val="32D81396"/>
    <w:lvl w:ilvl="0" w:tplc="8CC6FC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484850"/>
    <w:multiLevelType w:val="hybridMultilevel"/>
    <w:tmpl w:val="C414BC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73789E"/>
    <w:multiLevelType w:val="hybridMultilevel"/>
    <w:tmpl w:val="535203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D46FCC"/>
    <w:multiLevelType w:val="hybridMultilevel"/>
    <w:tmpl w:val="8B96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C0251"/>
    <w:multiLevelType w:val="hybridMultilevel"/>
    <w:tmpl w:val="E7CE4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0324"/>
    <w:multiLevelType w:val="hybridMultilevel"/>
    <w:tmpl w:val="5114F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313CC"/>
    <w:multiLevelType w:val="hybridMultilevel"/>
    <w:tmpl w:val="4470E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0B7"/>
    <w:multiLevelType w:val="hybridMultilevel"/>
    <w:tmpl w:val="D7741B1A"/>
    <w:lvl w:ilvl="0" w:tplc="AC48CA3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348E6"/>
    <w:multiLevelType w:val="hybridMultilevel"/>
    <w:tmpl w:val="C4C41300"/>
    <w:lvl w:ilvl="0" w:tplc="0BFE4D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A15F3F"/>
    <w:multiLevelType w:val="hybridMultilevel"/>
    <w:tmpl w:val="769EEA62"/>
    <w:lvl w:ilvl="0" w:tplc="3B6AC490">
      <w:start w:val="1"/>
      <w:numFmt w:val="decimal"/>
      <w:pStyle w:val="tabulka"/>
      <w:lvlText w:val="Tabulka č. %1:  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E6F23"/>
    <w:multiLevelType w:val="hybridMultilevel"/>
    <w:tmpl w:val="A3602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840736"/>
    <w:multiLevelType w:val="hybridMultilevel"/>
    <w:tmpl w:val="6BBEBB5A"/>
    <w:lvl w:ilvl="0" w:tplc="CDB2C836">
      <w:start w:val="1"/>
      <w:numFmt w:val="decimal"/>
      <w:lvlText w:val="Tabulka č. %1: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75626F30"/>
    <w:multiLevelType w:val="hybridMultilevel"/>
    <w:tmpl w:val="9D346906"/>
    <w:lvl w:ilvl="0" w:tplc="CD3AC7AA">
      <w:start w:val="1"/>
      <w:numFmt w:val="decimal"/>
      <w:lvlText w:val="Tabulka č. %1: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E7F24"/>
    <w:multiLevelType w:val="hybridMultilevel"/>
    <w:tmpl w:val="DAEE734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D003A7"/>
    <w:multiLevelType w:val="multilevel"/>
    <w:tmpl w:val="1ED07F92"/>
    <w:lvl w:ilvl="0">
      <w:start w:val="2"/>
      <w:numFmt w:val="decimal"/>
      <w:pStyle w:val="pracovn1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31">
    <w:nsid w:val="76185A3A"/>
    <w:multiLevelType w:val="hybridMultilevel"/>
    <w:tmpl w:val="C2408B4A"/>
    <w:lvl w:ilvl="0" w:tplc="F2901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97305"/>
    <w:multiLevelType w:val="hybridMultilevel"/>
    <w:tmpl w:val="A1C0E8B6"/>
    <w:lvl w:ilvl="0" w:tplc="0BFE4D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CD5A53"/>
    <w:multiLevelType w:val="hybridMultilevel"/>
    <w:tmpl w:val="55FACBB4"/>
    <w:lvl w:ilvl="0" w:tplc="44DC11E4">
      <w:start w:val="1"/>
      <w:numFmt w:val="decimal"/>
      <w:lvlText w:val="Tabulka č. %1:"/>
      <w:lvlJc w:val="left"/>
      <w:pPr>
        <w:ind w:left="1637" w:hanging="360"/>
      </w:pPr>
      <w:rPr>
        <w:rFonts w:asciiTheme="minorHAnsi" w:hAnsiTheme="minorHAnsi" w:cs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3"/>
  </w:num>
  <w:num w:numId="2">
    <w:abstractNumId w:val="30"/>
  </w:num>
  <w:num w:numId="3">
    <w:abstractNumId w:val="0"/>
  </w:num>
  <w:num w:numId="4">
    <w:abstractNumId w:val="1"/>
  </w:num>
  <w:num w:numId="5">
    <w:abstractNumId w:val="27"/>
  </w:num>
  <w:num w:numId="6">
    <w:abstractNumId w:val="24"/>
  </w:num>
  <w:num w:numId="7">
    <w:abstractNumId w:val="31"/>
  </w:num>
  <w:num w:numId="8">
    <w:abstractNumId w:val="6"/>
  </w:num>
  <w:num w:numId="9">
    <w:abstractNumId w:val="17"/>
  </w:num>
  <w:num w:numId="10">
    <w:abstractNumId w:val="19"/>
  </w:num>
  <w:num w:numId="11">
    <w:abstractNumId w:val="28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12"/>
  </w:num>
  <w:num w:numId="17">
    <w:abstractNumId w:val="21"/>
  </w:num>
  <w:num w:numId="18">
    <w:abstractNumId w:val="33"/>
  </w:num>
  <w:num w:numId="19">
    <w:abstractNumId w:val="15"/>
  </w:num>
  <w:num w:numId="20">
    <w:abstractNumId w:val="29"/>
  </w:num>
  <w:num w:numId="21">
    <w:abstractNumId w:val="14"/>
  </w:num>
  <w:num w:numId="22">
    <w:abstractNumId w:val="16"/>
  </w:num>
  <w:num w:numId="23">
    <w:abstractNumId w:val="5"/>
  </w:num>
  <w:num w:numId="24">
    <w:abstractNumId w:val="20"/>
  </w:num>
  <w:num w:numId="25">
    <w:abstractNumId w:val="26"/>
  </w:num>
  <w:num w:numId="26">
    <w:abstractNumId w:val="10"/>
  </w:num>
  <w:num w:numId="27">
    <w:abstractNumId w:val="13"/>
  </w:num>
  <w:num w:numId="28">
    <w:abstractNumId w:val="25"/>
  </w:num>
  <w:num w:numId="29">
    <w:abstractNumId w:val="18"/>
  </w:num>
  <w:num w:numId="30">
    <w:abstractNumId w:val="2"/>
  </w:num>
  <w:num w:numId="31">
    <w:abstractNumId w:val="32"/>
  </w:num>
  <w:num w:numId="32">
    <w:abstractNumId w:val="11"/>
  </w:num>
  <w:num w:numId="33">
    <w:abstractNumId w:val="22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DD"/>
    <w:rsid w:val="000013FD"/>
    <w:rsid w:val="000026D7"/>
    <w:rsid w:val="00007D50"/>
    <w:rsid w:val="000112B5"/>
    <w:rsid w:val="00013BF8"/>
    <w:rsid w:val="00016B62"/>
    <w:rsid w:val="00020F5C"/>
    <w:rsid w:val="000305CB"/>
    <w:rsid w:val="000313CD"/>
    <w:rsid w:val="00031951"/>
    <w:rsid w:val="00031F41"/>
    <w:rsid w:val="000420FD"/>
    <w:rsid w:val="00042673"/>
    <w:rsid w:val="0004316E"/>
    <w:rsid w:val="00050825"/>
    <w:rsid w:val="00053557"/>
    <w:rsid w:val="00056DE5"/>
    <w:rsid w:val="00063AE6"/>
    <w:rsid w:val="00066877"/>
    <w:rsid w:val="00066E45"/>
    <w:rsid w:val="000713B5"/>
    <w:rsid w:val="00072CC7"/>
    <w:rsid w:val="0007560C"/>
    <w:rsid w:val="0007730B"/>
    <w:rsid w:val="00093014"/>
    <w:rsid w:val="00096B5F"/>
    <w:rsid w:val="00097A87"/>
    <w:rsid w:val="00097ADC"/>
    <w:rsid w:val="00097FE8"/>
    <w:rsid w:val="000A0451"/>
    <w:rsid w:val="000A07D6"/>
    <w:rsid w:val="000A1572"/>
    <w:rsid w:val="000A32A0"/>
    <w:rsid w:val="000A4526"/>
    <w:rsid w:val="000A49B1"/>
    <w:rsid w:val="000A526A"/>
    <w:rsid w:val="000B05F2"/>
    <w:rsid w:val="000B2872"/>
    <w:rsid w:val="000B33F3"/>
    <w:rsid w:val="000B41D2"/>
    <w:rsid w:val="000B4D4A"/>
    <w:rsid w:val="000B5BC5"/>
    <w:rsid w:val="000B5BD9"/>
    <w:rsid w:val="000B6139"/>
    <w:rsid w:val="000B6747"/>
    <w:rsid w:val="000C290E"/>
    <w:rsid w:val="000C2B91"/>
    <w:rsid w:val="000C7070"/>
    <w:rsid w:val="000D06DE"/>
    <w:rsid w:val="000D0D55"/>
    <w:rsid w:val="000D28AC"/>
    <w:rsid w:val="000D3BDD"/>
    <w:rsid w:val="000D3F54"/>
    <w:rsid w:val="000D55A9"/>
    <w:rsid w:val="000D5998"/>
    <w:rsid w:val="000D60DE"/>
    <w:rsid w:val="000D71B3"/>
    <w:rsid w:val="000E2332"/>
    <w:rsid w:val="000E444A"/>
    <w:rsid w:val="000F00DF"/>
    <w:rsid w:val="000F11C4"/>
    <w:rsid w:val="000F1A90"/>
    <w:rsid w:val="000F2E75"/>
    <w:rsid w:val="000F3523"/>
    <w:rsid w:val="000F55A2"/>
    <w:rsid w:val="000F672B"/>
    <w:rsid w:val="000F7A03"/>
    <w:rsid w:val="001036F0"/>
    <w:rsid w:val="00106CC3"/>
    <w:rsid w:val="00111CFC"/>
    <w:rsid w:val="00113E79"/>
    <w:rsid w:val="00114753"/>
    <w:rsid w:val="00117490"/>
    <w:rsid w:val="00120A79"/>
    <w:rsid w:val="001217E7"/>
    <w:rsid w:val="00121D7C"/>
    <w:rsid w:val="00121E55"/>
    <w:rsid w:val="00122734"/>
    <w:rsid w:val="00124CE1"/>
    <w:rsid w:val="00124F18"/>
    <w:rsid w:val="00126463"/>
    <w:rsid w:val="00127F1D"/>
    <w:rsid w:val="001306E0"/>
    <w:rsid w:val="00131BF0"/>
    <w:rsid w:val="001337B6"/>
    <w:rsid w:val="001367F5"/>
    <w:rsid w:val="00143ACA"/>
    <w:rsid w:val="0014453E"/>
    <w:rsid w:val="001449AB"/>
    <w:rsid w:val="00145EF0"/>
    <w:rsid w:val="00147577"/>
    <w:rsid w:val="0015273D"/>
    <w:rsid w:val="00152F0C"/>
    <w:rsid w:val="00153456"/>
    <w:rsid w:val="001559F7"/>
    <w:rsid w:val="00156485"/>
    <w:rsid w:val="00157D7B"/>
    <w:rsid w:val="00160417"/>
    <w:rsid w:val="001608EE"/>
    <w:rsid w:val="00162014"/>
    <w:rsid w:val="001630DD"/>
    <w:rsid w:val="00163F4A"/>
    <w:rsid w:val="001711BD"/>
    <w:rsid w:val="0017221A"/>
    <w:rsid w:val="00173865"/>
    <w:rsid w:val="00175171"/>
    <w:rsid w:val="00177C61"/>
    <w:rsid w:val="00180774"/>
    <w:rsid w:val="00186571"/>
    <w:rsid w:val="001924CF"/>
    <w:rsid w:val="00197F47"/>
    <w:rsid w:val="001A0043"/>
    <w:rsid w:val="001A10B7"/>
    <w:rsid w:val="001A1C01"/>
    <w:rsid w:val="001A4BDF"/>
    <w:rsid w:val="001A5B67"/>
    <w:rsid w:val="001B042E"/>
    <w:rsid w:val="001B1F97"/>
    <w:rsid w:val="001B3535"/>
    <w:rsid w:val="001C662B"/>
    <w:rsid w:val="001D44E1"/>
    <w:rsid w:val="001D4539"/>
    <w:rsid w:val="001D4D92"/>
    <w:rsid w:val="001E1864"/>
    <w:rsid w:val="001E3AAC"/>
    <w:rsid w:val="001E50C8"/>
    <w:rsid w:val="001E63B7"/>
    <w:rsid w:val="001E720C"/>
    <w:rsid w:val="001F21DD"/>
    <w:rsid w:val="001F3A33"/>
    <w:rsid w:val="001F4282"/>
    <w:rsid w:val="001F5185"/>
    <w:rsid w:val="001F56F1"/>
    <w:rsid w:val="001F601D"/>
    <w:rsid w:val="001F7726"/>
    <w:rsid w:val="00202275"/>
    <w:rsid w:val="00207B57"/>
    <w:rsid w:val="00215500"/>
    <w:rsid w:val="002168B1"/>
    <w:rsid w:val="00216E57"/>
    <w:rsid w:val="00221581"/>
    <w:rsid w:val="00222A0C"/>
    <w:rsid w:val="002231F3"/>
    <w:rsid w:val="00227F2B"/>
    <w:rsid w:val="00230068"/>
    <w:rsid w:val="0023151D"/>
    <w:rsid w:val="00236748"/>
    <w:rsid w:val="0023676B"/>
    <w:rsid w:val="00242005"/>
    <w:rsid w:val="002455AC"/>
    <w:rsid w:val="00252218"/>
    <w:rsid w:val="00252B65"/>
    <w:rsid w:val="002533A6"/>
    <w:rsid w:val="00257998"/>
    <w:rsid w:val="002635BF"/>
    <w:rsid w:val="00265968"/>
    <w:rsid w:val="00266F48"/>
    <w:rsid w:val="0027006D"/>
    <w:rsid w:val="0027045A"/>
    <w:rsid w:val="00271960"/>
    <w:rsid w:val="00271C87"/>
    <w:rsid w:val="00273D77"/>
    <w:rsid w:val="00276D1F"/>
    <w:rsid w:val="00277EB1"/>
    <w:rsid w:val="002843EE"/>
    <w:rsid w:val="00284D38"/>
    <w:rsid w:val="00285DA4"/>
    <w:rsid w:val="00290A34"/>
    <w:rsid w:val="002936E4"/>
    <w:rsid w:val="0029565E"/>
    <w:rsid w:val="00296DB7"/>
    <w:rsid w:val="002A305E"/>
    <w:rsid w:val="002A7AA5"/>
    <w:rsid w:val="002B4108"/>
    <w:rsid w:val="002B48BB"/>
    <w:rsid w:val="002B721F"/>
    <w:rsid w:val="002C08A1"/>
    <w:rsid w:val="002C0B6E"/>
    <w:rsid w:val="002C2436"/>
    <w:rsid w:val="002C33C6"/>
    <w:rsid w:val="002C3E66"/>
    <w:rsid w:val="002C6319"/>
    <w:rsid w:val="002C7EC6"/>
    <w:rsid w:val="002D1716"/>
    <w:rsid w:val="002D6390"/>
    <w:rsid w:val="002E0AF4"/>
    <w:rsid w:val="002E3898"/>
    <w:rsid w:val="002E562C"/>
    <w:rsid w:val="002F303E"/>
    <w:rsid w:val="002F4BF1"/>
    <w:rsid w:val="002F4E59"/>
    <w:rsid w:val="002F4FE7"/>
    <w:rsid w:val="002F68E2"/>
    <w:rsid w:val="002F6AFA"/>
    <w:rsid w:val="003004C5"/>
    <w:rsid w:val="00305080"/>
    <w:rsid w:val="00305B28"/>
    <w:rsid w:val="003067C8"/>
    <w:rsid w:val="00307E3A"/>
    <w:rsid w:val="00310CE5"/>
    <w:rsid w:val="003179B9"/>
    <w:rsid w:val="003225CB"/>
    <w:rsid w:val="00323D0F"/>
    <w:rsid w:val="00324887"/>
    <w:rsid w:val="00324A9F"/>
    <w:rsid w:val="00325AEC"/>
    <w:rsid w:val="003265FB"/>
    <w:rsid w:val="0033059D"/>
    <w:rsid w:val="00332D63"/>
    <w:rsid w:val="00335E60"/>
    <w:rsid w:val="00341A6C"/>
    <w:rsid w:val="003420F8"/>
    <w:rsid w:val="0034544A"/>
    <w:rsid w:val="0034783C"/>
    <w:rsid w:val="00353498"/>
    <w:rsid w:val="003542EB"/>
    <w:rsid w:val="003553F1"/>
    <w:rsid w:val="00356755"/>
    <w:rsid w:val="00356860"/>
    <w:rsid w:val="00366575"/>
    <w:rsid w:val="00367BD5"/>
    <w:rsid w:val="00374BDB"/>
    <w:rsid w:val="0037676C"/>
    <w:rsid w:val="00380A2E"/>
    <w:rsid w:val="00382D24"/>
    <w:rsid w:val="00385CE6"/>
    <w:rsid w:val="00387E64"/>
    <w:rsid w:val="00391467"/>
    <w:rsid w:val="00395BB1"/>
    <w:rsid w:val="00396C71"/>
    <w:rsid w:val="003A19B1"/>
    <w:rsid w:val="003A4E30"/>
    <w:rsid w:val="003A5158"/>
    <w:rsid w:val="003A5796"/>
    <w:rsid w:val="003A7A6F"/>
    <w:rsid w:val="003B054A"/>
    <w:rsid w:val="003B05F6"/>
    <w:rsid w:val="003B08B7"/>
    <w:rsid w:val="003B0E10"/>
    <w:rsid w:val="003B30C7"/>
    <w:rsid w:val="003B67D6"/>
    <w:rsid w:val="003B6B3D"/>
    <w:rsid w:val="003B7442"/>
    <w:rsid w:val="003C2596"/>
    <w:rsid w:val="003D1C1E"/>
    <w:rsid w:val="003D564D"/>
    <w:rsid w:val="003D7EED"/>
    <w:rsid w:val="003E4A0C"/>
    <w:rsid w:val="003E68E2"/>
    <w:rsid w:val="003E7B93"/>
    <w:rsid w:val="003F0F61"/>
    <w:rsid w:val="003F2808"/>
    <w:rsid w:val="003F3738"/>
    <w:rsid w:val="003F4B55"/>
    <w:rsid w:val="003F5A76"/>
    <w:rsid w:val="003F7669"/>
    <w:rsid w:val="00401831"/>
    <w:rsid w:val="00402849"/>
    <w:rsid w:val="00402898"/>
    <w:rsid w:val="00406488"/>
    <w:rsid w:val="00414635"/>
    <w:rsid w:val="00416100"/>
    <w:rsid w:val="00426069"/>
    <w:rsid w:val="004321B7"/>
    <w:rsid w:val="00435251"/>
    <w:rsid w:val="00437004"/>
    <w:rsid w:val="00444BBA"/>
    <w:rsid w:val="0046187A"/>
    <w:rsid w:val="00464891"/>
    <w:rsid w:val="00464C30"/>
    <w:rsid w:val="004659C3"/>
    <w:rsid w:val="00466402"/>
    <w:rsid w:val="0046642F"/>
    <w:rsid w:val="004667D7"/>
    <w:rsid w:val="00471578"/>
    <w:rsid w:val="00472D53"/>
    <w:rsid w:val="004730F2"/>
    <w:rsid w:val="0047423A"/>
    <w:rsid w:val="004772C2"/>
    <w:rsid w:val="00483D61"/>
    <w:rsid w:val="004855E3"/>
    <w:rsid w:val="00485E77"/>
    <w:rsid w:val="0048610C"/>
    <w:rsid w:val="0049200F"/>
    <w:rsid w:val="0049264E"/>
    <w:rsid w:val="004927AA"/>
    <w:rsid w:val="004972F8"/>
    <w:rsid w:val="004A3A97"/>
    <w:rsid w:val="004A5487"/>
    <w:rsid w:val="004A6C1E"/>
    <w:rsid w:val="004A7627"/>
    <w:rsid w:val="004B0836"/>
    <w:rsid w:val="004B2AE4"/>
    <w:rsid w:val="004B6B71"/>
    <w:rsid w:val="004B6D34"/>
    <w:rsid w:val="004C0921"/>
    <w:rsid w:val="004C2459"/>
    <w:rsid w:val="004C3333"/>
    <w:rsid w:val="004C428D"/>
    <w:rsid w:val="004C4B50"/>
    <w:rsid w:val="004C64EA"/>
    <w:rsid w:val="004C7B61"/>
    <w:rsid w:val="004D084C"/>
    <w:rsid w:val="004D28E2"/>
    <w:rsid w:val="004D3299"/>
    <w:rsid w:val="004D445A"/>
    <w:rsid w:val="004E59DA"/>
    <w:rsid w:val="004E5E77"/>
    <w:rsid w:val="004E61B7"/>
    <w:rsid w:val="004E783B"/>
    <w:rsid w:val="004F1669"/>
    <w:rsid w:val="004F1A39"/>
    <w:rsid w:val="004F2398"/>
    <w:rsid w:val="00504289"/>
    <w:rsid w:val="0050449E"/>
    <w:rsid w:val="00504956"/>
    <w:rsid w:val="00505016"/>
    <w:rsid w:val="00512350"/>
    <w:rsid w:val="00512745"/>
    <w:rsid w:val="005208EF"/>
    <w:rsid w:val="005230CC"/>
    <w:rsid w:val="005230F6"/>
    <w:rsid w:val="00526CB1"/>
    <w:rsid w:val="0053290E"/>
    <w:rsid w:val="005455A1"/>
    <w:rsid w:val="00547CFE"/>
    <w:rsid w:val="00547EF6"/>
    <w:rsid w:val="0055062B"/>
    <w:rsid w:val="00550B48"/>
    <w:rsid w:val="00551D7B"/>
    <w:rsid w:val="00554B83"/>
    <w:rsid w:val="00556CC5"/>
    <w:rsid w:val="00562A3E"/>
    <w:rsid w:val="00562AAD"/>
    <w:rsid w:val="00570862"/>
    <w:rsid w:val="0057334D"/>
    <w:rsid w:val="00574001"/>
    <w:rsid w:val="005744B4"/>
    <w:rsid w:val="00574F91"/>
    <w:rsid w:val="005775BE"/>
    <w:rsid w:val="00582C7B"/>
    <w:rsid w:val="005835B7"/>
    <w:rsid w:val="00584127"/>
    <w:rsid w:val="00586B5C"/>
    <w:rsid w:val="005947EE"/>
    <w:rsid w:val="00594CCD"/>
    <w:rsid w:val="00597875"/>
    <w:rsid w:val="005A6BC2"/>
    <w:rsid w:val="005B0615"/>
    <w:rsid w:val="005B3B08"/>
    <w:rsid w:val="005C30D6"/>
    <w:rsid w:val="005D1359"/>
    <w:rsid w:val="005D4E04"/>
    <w:rsid w:val="005E2260"/>
    <w:rsid w:val="005E2EA2"/>
    <w:rsid w:val="005E5889"/>
    <w:rsid w:val="005E6DDB"/>
    <w:rsid w:val="005E74AC"/>
    <w:rsid w:val="005F0D73"/>
    <w:rsid w:val="005F2416"/>
    <w:rsid w:val="005F404D"/>
    <w:rsid w:val="006014F8"/>
    <w:rsid w:val="00601809"/>
    <w:rsid w:val="00605CA9"/>
    <w:rsid w:val="006103E3"/>
    <w:rsid w:val="006117F9"/>
    <w:rsid w:val="006152D2"/>
    <w:rsid w:val="00620467"/>
    <w:rsid w:val="00620A8A"/>
    <w:rsid w:val="00622A3B"/>
    <w:rsid w:val="00631BB6"/>
    <w:rsid w:val="006346EF"/>
    <w:rsid w:val="00636BB0"/>
    <w:rsid w:val="00642969"/>
    <w:rsid w:val="0064493D"/>
    <w:rsid w:val="0064651C"/>
    <w:rsid w:val="00646D3D"/>
    <w:rsid w:val="00655423"/>
    <w:rsid w:val="00656153"/>
    <w:rsid w:val="0065638D"/>
    <w:rsid w:val="0066069F"/>
    <w:rsid w:val="00664577"/>
    <w:rsid w:val="006658A7"/>
    <w:rsid w:val="00665E1C"/>
    <w:rsid w:val="00666D68"/>
    <w:rsid w:val="00675F54"/>
    <w:rsid w:val="00680F91"/>
    <w:rsid w:val="00684454"/>
    <w:rsid w:val="00685261"/>
    <w:rsid w:val="00686F5A"/>
    <w:rsid w:val="00691502"/>
    <w:rsid w:val="0069325E"/>
    <w:rsid w:val="00693C3A"/>
    <w:rsid w:val="00693E52"/>
    <w:rsid w:val="00694186"/>
    <w:rsid w:val="00694F2B"/>
    <w:rsid w:val="006A367F"/>
    <w:rsid w:val="006B23DC"/>
    <w:rsid w:val="006B2B3A"/>
    <w:rsid w:val="006B3D5B"/>
    <w:rsid w:val="006C031C"/>
    <w:rsid w:val="006C07C8"/>
    <w:rsid w:val="006C231A"/>
    <w:rsid w:val="006C2A13"/>
    <w:rsid w:val="006C2B58"/>
    <w:rsid w:val="006C4EC6"/>
    <w:rsid w:val="006C7D25"/>
    <w:rsid w:val="006D0427"/>
    <w:rsid w:val="006D06C2"/>
    <w:rsid w:val="006D387C"/>
    <w:rsid w:val="006D6178"/>
    <w:rsid w:val="006E3C0B"/>
    <w:rsid w:val="006E450C"/>
    <w:rsid w:val="006E4D23"/>
    <w:rsid w:val="006E7DA0"/>
    <w:rsid w:val="006F22AA"/>
    <w:rsid w:val="006F43ED"/>
    <w:rsid w:val="007003D7"/>
    <w:rsid w:val="007004F6"/>
    <w:rsid w:val="00702CBD"/>
    <w:rsid w:val="00705375"/>
    <w:rsid w:val="00711D2E"/>
    <w:rsid w:val="00711F1F"/>
    <w:rsid w:val="0071359A"/>
    <w:rsid w:val="0071564A"/>
    <w:rsid w:val="0071640B"/>
    <w:rsid w:val="007177DE"/>
    <w:rsid w:val="00721BED"/>
    <w:rsid w:val="007235EA"/>
    <w:rsid w:val="007238B1"/>
    <w:rsid w:val="007264CE"/>
    <w:rsid w:val="00727B93"/>
    <w:rsid w:val="00732127"/>
    <w:rsid w:val="0073242E"/>
    <w:rsid w:val="00737086"/>
    <w:rsid w:val="00740A2F"/>
    <w:rsid w:val="00741088"/>
    <w:rsid w:val="00741D6C"/>
    <w:rsid w:val="0075420C"/>
    <w:rsid w:val="007546A0"/>
    <w:rsid w:val="007554D8"/>
    <w:rsid w:val="00756D5C"/>
    <w:rsid w:val="007577DB"/>
    <w:rsid w:val="00762C13"/>
    <w:rsid w:val="00763F90"/>
    <w:rsid w:val="007651A8"/>
    <w:rsid w:val="0076631C"/>
    <w:rsid w:val="0076638F"/>
    <w:rsid w:val="00767A92"/>
    <w:rsid w:val="00772AE3"/>
    <w:rsid w:val="00774E40"/>
    <w:rsid w:val="00786C7C"/>
    <w:rsid w:val="00787506"/>
    <w:rsid w:val="007957D9"/>
    <w:rsid w:val="00796DBC"/>
    <w:rsid w:val="0079751D"/>
    <w:rsid w:val="007A16F3"/>
    <w:rsid w:val="007A1E42"/>
    <w:rsid w:val="007A42A9"/>
    <w:rsid w:val="007A4DB1"/>
    <w:rsid w:val="007A6307"/>
    <w:rsid w:val="007B29E1"/>
    <w:rsid w:val="007B37AF"/>
    <w:rsid w:val="007B6DCA"/>
    <w:rsid w:val="007C19CD"/>
    <w:rsid w:val="007C1AD0"/>
    <w:rsid w:val="007C4493"/>
    <w:rsid w:val="007C4A88"/>
    <w:rsid w:val="007C578D"/>
    <w:rsid w:val="007D01DC"/>
    <w:rsid w:val="007D2EE9"/>
    <w:rsid w:val="007D4737"/>
    <w:rsid w:val="007E0158"/>
    <w:rsid w:val="007E6840"/>
    <w:rsid w:val="007F44F2"/>
    <w:rsid w:val="007F661D"/>
    <w:rsid w:val="007F68F7"/>
    <w:rsid w:val="0080679C"/>
    <w:rsid w:val="00806AC1"/>
    <w:rsid w:val="00810484"/>
    <w:rsid w:val="00811969"/>
    <w:rsid w:val="00817728"/>
    <w:rsid w:val="00823F63"/>
    <w:rsid w:val="008276C6"/>
    <w:rsid w:val="00832351"/>
    <w:rsid w:val="008335FB"/>
    <w:rsid w:val="00836C71"/>
    <w:rsid w:val="008370AB"/>
    <w:rsid w:val="00843B70"/>
    <w:rsid w:val="00847251"/>
    <w:rsid w:val="0085098B"/>
    <w:rsid w:val="00850B22"/>
    <w:rsid w:val="0085118B"/>
    <w:rsid w:val="00854105"/>
    <w:rsid w:val="008568BB"/>
    <w:rsid w:val="00857697"/>
    <w:rsid w:val="00861971"/>
    <w:rsid w:val="008621CE"/>
    <w:rsid w:val="00862DB8"/>
    <w:rsid w:val="008649BC"/>
    <w:rsid w:val="00865E55"/>
    <w:rsid w:val="00866E88"/>
    <w:rsid w:val="00872DC6"/>
    <w:rsid w:val="0087533C"/>
    <w:rsid w:val="0088229B"/>
    <w:rsid w:val="00884847"/>
    <w:rsid w:val="008960F4"/>
    <w:rsid w:val="00896684"/>
    <w:rsid w:val="008970B9"/>
    <w:rsid w:val="008A0276"/>
    <w:rsid w:val="008A730F"/>
    <w:rsid w:val="008B0435"/>
    <w:rsid w:val="008B074A"/>
    <w:rsid w:val="008B1032"/>
    <w:rsid w:val="008B1A11"/>
    <w:rsid w:val="008B1C43"/>
    <w:rsid w:val="008B2AD4"/>
    <w:rsid w:val="008B778D"/>
    <w:rsid w:val="008C1D32"/>
    <w:rsid w:val="008C481F"/>
    <w:rsid w:val="008C77F9"/>
    <w:rsid w:val="008D39E8"/>
    <w:rsid w:val="008D4128"/>
    <w:rsid w:val="008D4A86"/>
    <w:rsid w:val="008D62D3"/>
    <w:rsid w:val="008E0D33"/>
    <w:rsid w:val="008E0F96"/>
    <w:rsid w:val="008E1A41"/>
    <w:rsid w:val="008E1D22"/>
    <w:rsid w:val="008E290B"/>
    <w:rsid w:val="008E6A11"/>
    <w:rsid w:val="008F1FBF"/>
    <w:rsid w:val="008F266D"/>
    <w:rsid w:val="008F29ED"/>
    <w:rsid w:val="00901D97"/>
    <w:rsid w:val="0090268C"/>
    <w:rsid w:val="0090724F"/>
    <w:rsid w:val="00913C09"/>
    <w:rsid w:val="00916E4D"/>
    <w:rsid w:val="00920C43"/>
    <w:rsid w:val="00921AC9"/>
    <w:rsid w:val="009238F1"/>
    <w:rsid w:val="009256AF"/>
    <w:rsid w:val="00926627"/>
    <w:rsid w:val="009266B6"/>
    <w:rsid w:val="00927CB7"/>
    <w:rsid w:val="0093075A"/>
    <w:rsid w:val="009325AD"/>
    <w:rsid w:val="00932C06"/>
    <w:rsid w:val="009346AC"/>
    <w:rsid w:val="00936E35"/>
    <w:rsid w:val="00937B58"/>
    <w:rsid w:val="009411DE"/>
    <w:rsid w:val="0094138C"/>
    <w:rsid w:val="00944F24"/>
    <w:rsid w:val="0094652F"/>
    <w:rsid w:val="00951CBB"/>
    <w:rsid w:val="009543FC"/>
    <w:rsid w:val="00961514"/>
    <w:rsid w:val="00961EF0"/>
    <w:rsid w:val="0096222E"/>
    <w:rsid w:val="00964484"/>
    <w:rsid w:val="009657C2"/>
    <w:rsid w:val="00967FB6"/>
    <w:rsid w:val="009717BB"/>
    <w:rsid w:val="00971DC8"/>
    <w:rsid w:val="0097759F"/>
    <w:rsid w:val="00990037"/>
    <w:rsid w:val="0099004A"/>
    <w:rsid w:val="00990FA2"/>
    <w:rsid w:val="009925B0"/>
    <w:rsid w:val="00992C83"/>
    <w:rsid w:val="00994403"/>
    <w:rsid w:val="00995298"/>
    <w:rsid w:val="00995692"/>
    <w:rsid w:val="009966E2"/>
    <w:rsid w:val="00996976"/>
    <w:rsid w:val="009A24A5"/>
    <w:rsid w:val="009A3337"/>
    <w:rsid w:val="009A592E"/>
    <w:rsid w:val="009A5C16"/>
    <w:rsid w:val="009A6F18"/>
    <w:rsid w:val="009A729B"/>
    <w:rsid w:val="009A7E4E"/>
    <w:rsid w:val="009B01F3"/>
    <w:rsid w:val="009B2DFC"/>
    <w:rsid w:val="009B591D"/>
    <w:rsid w:val="009B5AA0"/>
    <w:rsid w:val="009B7AB8"/>
    <w:rsid w:val="009C1813"/>
    <w:rsid w:val="009C317C"/>
    <w:rsid w:val="009D0B91"/>
    <w:rsid w:val="009D15E2"/>
    <w:rsid w:val="009D1C1B"/>
    <w:rsid w:val="009D1C2E"/>
    <w:rsid w:val="009D2687"/>
    <w:rsid w:val="009D4C2D"/>
    <w:rsid w:val="009D716F"/>
    <w:rsid w:val="009E4B85"/>
    <w:rsid w:val="009E4EC8"/>
    <w:rsid w:val="009E501B"/>
    <w:rsid w:val="009F1A63"/>
    <w:rsid w:val="009F1E23"/>
    <w:rsid w:val="00A0385D"/>
    <w:rsid w:val="00A0543A"/>
    <w:rsid w:val="00A054A9"/>
    <w:rsid w:val="00A1125E"/>
    <w:rsid w:val="00A11915"/>
    <w:rsid w:val="00A11C1F"/>
    <w:rsid w:val="00A155B4"/>
    <w:rsid w:val="00A27444"/>
    <w:rsid w:val="00A30A9A"/>
    <w:rsid w:val="00A321BF"/>
    <w:rsid w:val="00A34DAF"/>
    <w:rsid w:val="00A34EF5"/>
    <w:rsid w:val="00A4095B"/>
    <w:rsid w:val="00A430E7"/>
    <w:rsid w:val="00A50EB4"/>
    <w:rsid w:val="00A549E0"/>
    <w:rsid w:val="00A55B61"/>
    <w:rsid w:val="00A60C3C"/>
    <w:rsid w:val="00A62824"/>
    <w:rsid w:val="00A6392D"/>
    <w:rsid w:val="00A703C7"/>
    <w:rsid w:val="00A70AFA"/>
    <w:rsid w:val="00A71AA8"/>
    <w:rsid w:val="00A73E83"/>
    <w:rsid w:val="00A74E21"/>
    <w:rsid w:val="00A75AD7"/>
    <w:rsid w:val="00A76C3C"/>
    <w:rsid w:val="00A80C34"/>
    <w:rsid w:val="00A845F2"/>
    <w:rsid w:val="00A97853"/>
    <w:rsid w:val="00AA3B8E"/>
    <w:rsid w:val="00AA3E46"/>
    <w:rsid w:val="00AA4D57"/>
    <w:rsid w:val="00AA6D3F"/>
    <w:rsid w:val="00AA708E"/>
    <w:rsid w:val="00AA7153"/>
    <w:rsid w:val="00AA71FB"/>
    <w:rsid w:val="00AB05FF"/>
    <w:rsid w:val="00AB503F"/>
    <w:rsid w:val="00AB5D92"/>
    <w:rsid w:val="00AC1001"/>
    <w:rsid w:val="00AC149E"/>
    <w:rsid w:val="00AC1CCD"/>
    <w:rsid w:val="00AC2314"/>
    <w:rsid w:val="00AC23AC"/>
    <w:rsid w:val="00AC79E7"/>
    <w:rsid w:val="00AD0A96"/>
    <w:rsid w:val="00AD3919"/>
    <w:rsid w:val="00AD6CDF"/>
    <w:rsid w:val="00AE0461"/>
    <w:rsid w:val="00AE0C74"/>
    <w:rsid w:val="00AE1E7E"/>
    <w:rsid w:val="00AE4089"/>
    <w:rsid w:val="00AE4B09"/>
    <w:rsid w:val="00AE6E72"/>
    <w:rsid w:val="00AF0A91"/>
    <w:rsid w:val="00AF374A"/>
    <w:rsid w:val="00AF5146"/>
    <w:rsid w:val="00AF65B1"/>
    <w:rsid w:val="00B00042"/>
    <w:rsid w:val="00B02856"/>
    <w:rsid w:val="00B06BC9"/>
    <w:rsid w:val="00B0778D"/>
    <w:rsid w:val="00B0790A"/>
    <w:rsid w:val="00B10E0A"/>
    <w:rsid w:val="00B11288"/>
    <w:rsid w:val="00B126FF"/>
    <w:rsid w:val="00B159BA"/>
    <w:rsid w:val="00B20B16"/>
    <w:rsid w:val="00B20DB6"/>
    <w:rsid w:val="00B22F37"/>
    <w:rsid w:val="00B31002"/>
    <w:rsid w:val="00B3447D"/>
    <w:rsid w:val="00B347B8"/>
    <w:rsid w:val="00B40479"/>
    <w:rsid w:val="00B41A62"/>
    <w:rsid w:val="00B42046"/>
    <w:rsid w:val="00B42FCD"/>
    <w:rsid w:val="00B43183"/>
    <w:rsid w:val="00B451BE"/>
    <w:rsid w:val="00B47030"/>
    <w:rsid w:val="00B5039A"/>
    <w:rsid w:val="00B56020"/>
    <w:rsid w:val="00B600F7"/>
    <w:rsid w:val="00B62E79"/>
    <w:rsid w:val="00B67121"/>
    <w:rsid w:val="00B731EF"/>
    <w:rsid w:val="00B735BF"/>
    <w:rsid w:val="00B76B18"/>
    <w:rsid w:val="00B80771"/>
    <w:rsid w:val="00B85377"/>
    <w:rsid w:val="00B872BB"/>
    <w:rsid w:val="00B9487A"/>
    <w:rsid w:val="00B9677B"/>
    <w:rsid w:val="00BA6627"/>
    <w:rsid w:val="00BB33FD"/>
    <w:rsid w:val="00BB4CA8"/>
    <w:rsid w:val="00BC12DE"/>
    <w:rsid w:val="00BC386D"/>
    <w:rsid w:val="00BC3BFE"/>
    <w:rsid w:val="00BC4FF8"/>
    <w:rsid w:val="00BD3F2D"/>
    <w:rsid w:val="00BE04BB"/>
    <w:rsid w:val="00BE1067"/>
    <w:rsid w:val="00BE64AE"/>
    <w:rsid w:val="00BF0081"/>
    <w:rsid w:val="00BF1882"/>
    <w:rsid w:val="00BF2237"/>
    <w:rsid w:val="00BF46E3"/>
    <w:rsid w:val="00BF538E"/>
    <w:rsid w:val="00BF61D9"/>
    <w:rsid w:val="00C017C5"/>
    <w:rsid w:val="00C0458B"/>
    <w:rsid w:val="00C0663C"/>
    <w:rsid w:val="00C221FF"/>
    <w:rsid w:val="00C25FB8"/>
    <w:rsid w:val="00C31E21"/>
    <w:rsid w:val="00C3247F"/>
    <w:rsid w:val="00C33C36"/>
    <w:rsid w:val="00C33CF8"/>
    <w:rsid w:val="00C341FE"/>
    <w:rsid w:val="00C370F4"/>
    <w:rsid w:val="00C44D7D"/>
    <w:rsid w:val="00C457AB"/>
    <w:rsid w:val="00C461AC"/>
    <w:rsid w:val="00C546D0"/>
    <w:rsid w:val="00C561AE"/>
    <w:rsid w:val="00C63C01"/>
    <w:rsid w:val="00C668DD"/>
    <w:rsid w:val="00C74DB5"/>
    <w:rsid w:val="00C8483E"/>
    <w:rsid w:val="00C8550D"/>
    <w:rsid w:val="00C85C0B"/>
    <w:rsid w:val="00C867CF"/>
    <w:rsid w:val="00C86970"/>
    <w:rsid w:val="00C87545"/>
    <w:rsid w:val="00C9124D"/>
    <w:rsid w:val="00C920CA"/>
    <w:rsid w:val="00C92BB8"/>
    <w:rsid w:val="00C9561D"/>
    <w:rsid w:val="00CA0839"/>
    <w:rsid w:val="00CA3663"/>
    <w:rsid w:val="00CA6B5D"/>
    <w:rsid w:val="00CA7587"/>
    <w:rsid w:val="00CB09A5"/>
    <w:rsid w:val="00CB14F4"/>
    <w:rsid w:val="00CB38AB"/>
    <w:rsid w:val="00CB3F00"/>
    <w:rsid w:val="00CB6109"/>
    <w:rsid w:val="00CB795C"/>
    <w:rsid w:val="00CC40B7"/>
    <w:rsid w:val="00CC6F33"/>
    <w:rsid w:val="00CD288B"/>
    <w:rsid w:val="00CD38EB"/>
    <w:rsid w:val="00CD4476"/>
    <w:rsid w:val="00CE563F"/>
    <w:rsid w:val="00CF5474"/>
    <w:rsid w:val="00CF5F0C"/>
    <w:rsid w:val="00D01A92"/>
    <w:rsid w:val="00D03E68"/>
    <w:rsid w:val="00D06746"/>
    <w:rsid w:val="00D11AE2"/>
    <w:rsid w:val="00D14D01"/>
    <w:rsid w:val="00D15B99"/>
    <w:rsid w:val="00D205C1"/>
    <w:rsid w:val="00D222DA"/>
    <w:rsid w:val="00D22C24"/>
    <w:rsid w:val="00D22EBA"/>
    <w:rsid w:val="00D2437A"/>
    <w:rsid w:val="00D262AA"/>
    <w:rsid w:val="00D3299E"/>
    <w:rsid w:val="00D41241"/>
    <w:rsid w:val="00D45388"/>
    <w:rsid w:val="00D477BA"/>
    <w:rsid w:val="00D5292F"/>
    <w:rsid w:val="00D54644"/>
    <w:rsid w:val="00D553D2"/>
    <w:rsid w:val="00D56954"/>
    <w:rsid w:val="00D575D8"/>
    <w:rsid w:val="00D6099B"/>
    <w:rsid w:val="00D616EF"/>
    <w:rsid w:val="00D63C8A"/>
    <w:rsid w:val="00D6491B"/>
    <w:rsid w:val="00D667EA"/>
    <w:rsid w:val="00D671EB"/>
    <w:rsid w:val="00D762C9"/>
    <w:rsid w:val="00D81277"/>
    <w:rsid w:val="00D81945"/>
    <w:rsid w:val="00D90060"/>
    <w:rsid w:val="00D91018"/>
    <w:rsid w:val="00D93227"/>
    <w:rsid w:val="00D93CE3"/>
    <w:rsid w:val="00D94309"/>
    <w:rsid w:val="00D968CF"/>
    <w:rsid w:val="00DA10D6"/>
    <w:rsid w:val="00DA122B"/>
    <w:rsid w:val="00DA124A"/>
    <w:rsid w:val="00DA1EB7"/>
    <w:rsid w:val="00DA73EC"/>
    <w:rsid w:val="00DA7BFB"/>
    <w:rsid w:val="00DB31FF"/>
    <w:rsid w:val="00DB4794"/>
    <w:rsid w:val="00DB5552"/>
    <w:rsid w:val="00DC12BE"/>
    <w:rsid w:val="00DC250E"/>
    <w:rsid w:val="00DC3371"/>
    <w:rsid w:val="00DC3E8D"/>
    <w:rsid w:val="00DC6312"/>
    <w:rsid w:val="00DD030B"/>
    <w:rsid w:val="00DD1386"/>
    <w:rsid w:val="00DD1605"/>
    <w:rsid w:val="00DD5425"/>
    <w:rsid w:val="00DD6448"/>
    <w:rsid w:val="00DD6B41"/>
    <w:rsid w:val="00DD72A7"/>
    <w:rsid w:val="00DE0734"/>
    <w:rsid w:val="00DE7239"/>
    <w:rsid w:val="00DE7332"/>
    <w:rsid w:val="00DF0855"/>
    <w:rsid w:val="00DF2356"/>
    <w:rsid w:val="00DF7E75"/>
    <w:rsid w:val="00E00F0E"/>
    <w:rsid w:val="00E0172A"/>
    <w:rsid w:val="00E0262E"/>
    <w:rsid w:val="00E04283"/>
    <w:rsid w:val="00E06D39"/>
    <w:rsid w:val="00E07353"/>
    <w:rsid w:val="00E07A5F"/>
    <w:rsid w:val="00E10AA0"/>
    <w:rsid w:val="00E11BC4"/>
    <w:rsid w:val="00E154D6"/>
    <w:rsid w:val="00E15F1A"/>
    <w:rsid w:val="00E170B7"/>
    <w:rsid w:val="00E20033"/>
    <w:rsid w:val="00E214AE"/>
    <w:rsid w:val="00E217FE"/>
    <w:rsid w:val="00E26121"/>
    <w:rsid w:val="00E27CF8"/>
    <w:rsid w:val="00E30557"/>
    <w:rsid w:val="00E3385A"/>
    <w:rsid w:val="00E34E81"/>
    <w:rsid w:val="00E37582"/>
    <w:rsid w:val="00E4039B"/>
    <w:rsid w:val="00E438EA"/>
    <w:rsid w:val="00E4466B"/>
    <w:rsid w:val="00E517D6"/>
    <w:rsid w:val="00E5272E"/>
    <w:rsid w:val="00E57589"/>
    <w:rsid w:val="00E61DFB"/>
    <w:rsid w:val="00E622AB"/>
    <w:rsid w:val="00E666E7"/>
    <w:rsid w:val="00E70362"/>
    <w:rsid w:val="00E7066D"/>
    <w:rsid w:val="00E71CAF"/>
    <w:rsid w:val="00E722C1"/>
    <w:rsid w:val="00E73D92"/>
    <w:rsid w:val="00E73E20"/>
    <w:rsid w:val="00E75B8B"/>
    <w:rsid w:val="00E76448"/>
    <w:rsid w:val="00E775E2"/>
    <w:rsid w:val="00E8108C"/>
    <w:rsid w:val="00E85D08"/>
    <w:rsid w:val="00E867C7"/>
    <w:rsid w:val="00E876BC"/>
    <w:rsid w:val="00E9454E"/>
    <w:rsid w:val="00E95A3C"/>
    <w:rsid w:val="00EA0019"/>
    <w:rsid w:val="00EA73CD"/>
    <w:rsid w:val="00EB01AF"/>
    <w:rsid w:val="00EB4DA4"/>
    <w:rsid w:val="00EB5F3B"/>
    <w:rsid w:val="00EC09BF"/>
    <w:rsid w:val="00EC1206"/>
    <w:rsid w:val="00EC50DE"/>
    <w:rsid w:val="00EC604A"/>
    <w:rsid w:val="00ED5614"/>
    <w:rsid w:val="00EF2AAF"/>
    <w:rsid w:val="00EF3B6E"/>
    <w:rsid w:val="00EF41D2"/>
    <w:rsid w:val="00EF5EFC"/>
    <w:rsid w:val="00EF75D9"/>
    <w:rsid w:val="00F0002F"/>
    <w:rsid w:val="00F000FD"/>
    <w:rsid w:val="00F0188D"/>
    <w:rsid w:val="00F01D1A"/>
    <w:rsid w:val="00F026A0"/>
    <w:rsid w:val="00F02F7B"/>
    <w:rsid w:val="00F045F3"/>
    <w:rsid w:val="00F103DF"/>
    <w:rsid w:val="00F13659"/>
    <w:rsid w:val="00F21160"/>
    <w:rsid w:val="00F22D66"/>
    <w:rsid w:val="00F22DB8"/>
    <w:rsid w:val="00F257C5"/>
    <w:rsid w:val="00F26440"/>
    <w:rsid w:val="00F266B4"/>
    <w:rsid w:val="00F30F4D"/>
    <w:rsid w:val="00F333EA"/>
    <w:rsid w:val="00F3471D"/>
    <w:rsid w:val="00F359BB"/>
    <w:rsid w:val="00F36CFA"/>
    <w:rsid w:val="00F44193"/>
    <w:rsid w:val="00F455DE"/>
    <w:rsid w:val="00F4755D"/>
    <w:rsid w:val="00F5065C"/>
    <w:rsid w:val="00F50A1D"/>
    <w:rsid w:val="00F57E0E"/>
    <w:rsid w:val="00F658C7"/>
    <w:rsid w:val="00F6635B"/>
    <w:rsid w:val="00F7344C"/>
    <w:rsid w:val="00F75346"/>
    <w:rsid w:val="00F75E37"/>
    <w:rsid w:val="00F76F56"/>
    <w:rsid w:val="00F847E9"/>
    <w:rsid w:val="00F84A81"/>
    <w:rsid w:val="00F91EF1"/>
    <w:rsid w:val="00F91F47"/>
    <w:rsid w:val="00F92ABE"/>
    <w:rsid w:val="00F95A74"/>
    <w:rsid w:val="00F96A4D"/>
    <w:rsid w:val="00F97C44"/>
    <w:rsid w:val="00FA167F"/>
    <w:rsid w:val="00FA1D79"/>
    <w:rsid w:val="00FA2502"/>
    <w:rsid w:val="00FA4B9E"/>
    <w:rsid w:val="00FA5CF6"/>
    <w:rsid w:val="00FB000F"/>
    <w:rsid w:val="00FB1730"/>
    <w:rsid w:val="00FB20C7"/>
    <w:rsid w:val="00FB406A"/>
    <w:rsid w:val="00FB4816"/>
    <w:rsid w:val="00FB5ADC"/>
    <w:rsid w:val="00FC02EC"/>
    <w:rsid w:val="00FC1747"/>
    <w:rsid w:val="00FC2955"/>
    <w:rsid w:val="00FC2A99"/>
    <w:rsid w:val="00FC2D54"/>
    <w:rsid w:val="00FD0D45"/>
    <w:rsid w:val="00FE3742"/>
    <w:rsid w:val="00FE415C"/>
    <w:rsid w:val="00FE4778"/>
    <w:rsid w:val="00FE56E2"/>
    <w:rsid w:val="00FE657F"/>
    <w:rsid w:val="00FE7988"/>
    <w:rsid w:val="00FE7E53"/>
    <w:rsid w:val="00FF10AD"/>
    <w:rsid w:val="00FF147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CFE"/>
    <w:pPr>
      <w:spacing w:before="120" w:after="1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List Paragraph"/>
    <w:basedOn w:val="Normln"/>
    <w:uiPriority w:val="34"/>
    <w:qFormat/>
    <w:rsid w:val="00E517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0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0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06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D5425"/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7A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307"/>
  </w:style>
  <w:style w:type="paragraph" w:styleId="Zpat">
    <w:name w:val="footer"/>
    <w:basedOn w:val="Normln"/>
    <w:link w:val="ZpatChar"/>
    <w:unhideWhenUsed/>
    <w:rsid w:val="007A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307"/>
  </w:style>
  <w:style w:type="character" w:styleId="slostrnky">
    <w:name w:val="page number"/>
    <w:basedOn w:val="Standardnpsmoodstavce"/>
    <w:semiHidden/>
    <w:rsid w:val="007A6307"/>
  </w:style>
  <w:style w:type="paragraph" w:customStyle="1" w:styleId="Default">
    <w:name w:val="Default"/>
    <w:rsid w:val="005D4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7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070"/>
    <w:rPr>
      <w:rFonts w:ascii="Tahoma" w:hAnsi="Tahoma" w:cs="Tahoma"/>
      <w:sz w:val="16"/>
      <w:szCs w:val="16"/>
    </w:rPr>
  </w:style>
  <w:style w:type="paragraph" w:customStyle="1" w:styleId="pracovn1">
    <w:name w:val="pracovní 1"/>
    <w:basedOn w:val="Normln"/>
    <w:qFormat/>
    <w:rsid w:val="001D4539"/>
    <w:pPr>
      <w:numPr>
        <w:numId w:val="2"/>
      </w:numPr>
    </w:pPr>
    <w:rPr>
      <w:rFonts w:ascii="Arial" w:eastAsia="Times New Roman" w:hAnsi="Arial" w:cs="Arial"/>
      <w:b/>
    </w:rPr>
  </w:style>
  <w:style w:type="paragraph" w:customStyle="1" w:styleId="pracovn2">
    <w:name w:val="pracovní 2"/>
    <w:basedOn w:val="pracovn1"/>
    <w:qFormat/>
    <w:rsid w:val="001D4539"/>
    <w:pPr>
      <w:numPr>
        <w:numId w:val="3"/>
      </w:numPr>
    </w:pPr>
  </w:style>
  <w:style w:type="paragraph" w:customStyle="1" w:styleId="graf">
    <w:name w:val="graf"/>
    <w:basedOn w:val="Normln"/>
    <w:qFormat/>
    <w:rsid w:val="000D3F54"/>
    <w:pPr>
      <w:numPr>
        <w:numId w:val="4"/>
      </w:numPr>
      <w:spacing w:after="0" w:line="240" w:lineRule="auto"/>
    </w:pPr>
    <w:rPr>
      <w:rFonts w:cs="Arial"/>
    </w:rPr>
  </w:style>
  <w:style w:type="paragraph" w:customStyle="1" w:styleId="Textodstavce">
    <w:name w:val="Text odstavce"/>
    <w:basedOn w:val="Normln"/>
    <w:rsid w:val="00FD0D45"/>
    <w:pPr>
      <w:numPr>
        <w:numId w:val="5"/>
      </w:numPr>
      <w:tabs>
        <w:tab w:val="left" w:pos="851"/>
      </w:tabs>
      <w:spacing w:line="240" w:lineRule="auto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customStyle="1" w:styleId="Textbodu">
    <w:name w:val="Text bodu"/>
    <w:basedOn w:val="Normln"/>
    <w:rsid w:val="00FD0D45"/>
    <w:pPr>
      <w:numPr>
        <w:ilvl w:val="2"/>
        <w:numId w:val="5"/>
      </w:numPr>
      <w:spacing w:after="0" w:line="240" w:lineRule="auto"/>
      <w:outlineLvl w:val="8"/>
    </w:pPr>
    <w:rPr>
      <w:rFonts w:ascii="Arial" w:eastAsia="Times New Roman" w:hAnsi="Arial" w:cs="Times New Roman"/>
      <w:szCs w:val="20"/>
      <w:lang w:eastAsia="cs-CZ"/>
    </w:rPr>
  </w:style>
  <w:style w:type="paragraph" w:customStyle="1" w:styleId="Textpsmene">
    <w:name w:val="Text písmene"/>
    <w:basedOn w:val="Normln"/>
    <w:rsid w:val="00FD0D45"/>
    <w:pPr>
      <w:numPr>
        <w:ilvl w:val="1"/>
        <w:numId w:val="5"/>
      </w:numPr>
      <w:spacing w:after="0" w:line="240" w:lineRule="auto"/>
      <w:outlineLvl w:val="7"/>
    </w:pPr>
    <w:rPr>
      <w:rFonts w:ascii="Arial" w:eastAsia="Times New Roman" w:hAnsi="Arial" w:cs="Times New Roman"/>
      <w:szCs w:val="20"/>
      <w:lang w:eastAsia="cs-CZ"/>
    </w:rPr>
  </w:style>
  <w:style w:type="paragraph" w:customStyle="1" w:styleId="tabulka">
    <w:name w:val="tabulka"/>
    <w:basedOn w:val="Normln"/>
    <w:qFormat/>
    <w:rsid w:val="002F6AFA"/>
    <w:pPr>
      <w:numPr>
        <w:numId w:val="6"/>
      </w:numPr>
      <w:spacing w:after="0" w:line="240" w:lineRule="auto"/>
    </w:pPr>
    <w:rPr>
      <w:rFonts w:ascii="Arial" w:hAnsi="Arial" w:cs="Arial"/>
    </w:rPr>
  </w:style>
  <w:style w:type="paragraph" w:customStyle="1" w:styleId="pracovn3">
    <w:name w:val="pracovní 3"/>
    <w:basedOn w:val="Normln"/>
    <w:qFormat/>
    <w:rsid w:val="002F6AFA"/>
    <w:pPr>
      <w:spacing w:after="0" w:line="240" w:lineRule="auto"/>
    </w:pPr>
    <w:rPr>
      <w:rFonts w:ascii="Arial" w:eastAsia="Times New Roman" w:hAnsi="Arial" w:cs="Arial"/>
      <w:b/>
      <w:color w:val="000000"/>
      <w:lang w:eastAsia="cs-CZ"/>
    </w:rPr>
  </w:style>
  <w:style w:type="character" w:styleId="Hypertextovodkaz">
    <w:name w:val="Hyperlink"/>
    <w:uiPriority w:val="99"/>
    <w:rsid w:val="00CF5F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5F0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B6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B6E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A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B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CFE"/>
    <w:pPr>
      <w:spacing w:before="120" w:after="1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List Paragraph"/>
    <w:basedOn w:val="Normln"/>
    <w:uiPriority w:val="34"/>
    <w:qFormat/>
    <w:rsid w:val="00E517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0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0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06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D5425"/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7A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307"/>
  </w:style>
  <w:style w:type="paragraph" w:styleId="Zpat">
    <w:name w:val="footer"/>
    <w:basedOn w:val="Normln"/>
    <w:link w:val="ZpatChar"/>
    <w:unhideWhenUsed/>
    <w:rsid w:val="007A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307"/>
  </w:style>
  <w:style w:type="character" w:styleId="slostrnky">
    <w:name w:val="page number"/>
    <w:basedOn w:val="Standardnpsmoodstavce"/>
    <w:semiHidden/>
    <w:rsid w:val="007A6307"/>
  </w:style>
  <w:style w:type="paragraph" w:customStyle="1" w:styleId="Default">
    <w:name w:val="Default"/>
    <w:rsid w:val="005D4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7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070"/>
    <w:rPr>
      <w:rFonts w:ascii="Tahoma" w:hAnsi="Tahoma" w:cs="Tahoma"/>
      <w:sz w:val="16"/>
      <w:szCs w:val="16"/>
    </w:rPr>
  </w:style>
  <w:style w:type="paragraph" w:customStyle="1" w:styleId="pracovn1">
    <w:name w:val="pracovní 1"/>
    <w:basedOn w:val="Normln"/>
    <w:qFormat/>
    <w:rsid w:val="001D4539"/>
    <w:pPr>
      <w:numPr>
        <w:numId w:val="2"/>
      </w:numPr>
    </w:pPr>
    <w:rPr>
      <w:rFonts w:ascii="Arial" w:eastAsia="Times New Roman" w:hAnsi="Arial" w:cs="Arial"/>
      <w:b/>
    </w:rPr>
  </w:style>
  <w:style w:type="paragraph" w:customStyle="1" w:styleId="pracovn2">
    <w:name w:val="pracovní 2"/>
    <w:basedOn w:val="pracovn1"/>
    <w:qFormat/>
    <w:rsid w:val="001D4539"/>
    <w:pPr>
      <w:numPr>
        <w:numId w:val="3"/>
      </w:numPr>
    </w:pPr>
  </w:style>
  <w:style w:type="paragraph" w:customStyle="1" w:styleId="graf">
    <w:name w:val="graf"/>
    <w:basedOn w:val="Normln"/>
    <w:qFormat/>
    <w:rsid w:val="000D3F54"/>
    <w:pPr>
      <w:numPr>
        <w:numId w:val="4"/>
      </w:numPr>
      <w:spacing w:after="0" w:line="240" w:lineRule="auto"/>
    </w:pPr>
    <w:rPr>
      <w:rFonts w:cs="Arial"/>
    </w:rPr>
  </w:style>
  <w:style w:type="paragraph" w:customStyle="1" w:styleId="Textodstavce">
    <w:name w:val="Text odstavce"/>
    <w:basedOn w:val="Normln"/>
    <w:rsid w:val="00FD0D45"/>
    <w:pPr>
      <w:numPr>
        <w:numId w:val="5"/>
      </w:numPr>
      <w:tabs>
        <w:tab w:val="left" w:pos="851"/>
      </w:tabs>
      <w:spacing w:line="240" w:lineRule="auto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customStyle="1" w:styleId="Textbodu">
    <w:name w:val="Text bodu"/>
    <w:basedOn w:val="Normln"/>
    <w:rsid w:val="00FD0D45"/>
    <w:pPr>
      <w:numPr>
        <w:ilvl w:val="2"/>
        <w:numId w:val="5"/>
      </w:numPr>
      <w:spacing w:after="0" w:line="240" w:lineRule="auto"/>
      <w:outlineLvl w:val="8"/>
    </w:pPr>
    <w:rPr>
      <w:rFonts w:ascii="Arial" w:eastAsia="Times New Roman" w:hAnsi="Arial" w:cs="Times New Roman"/>
      <w:szCs w:val="20"/>
      <w:lang w:eastAsia="cs-CZ"/>
    </w:rPr>
  </w:style>
  <w:style w:type="paragraph" w:customStyle="1" w:styleId="Textpsmene">
    <w:name w:val="Text písmene"/>
    <w:basedOn w:val="Normln"/>
    <w:rsid w:val="00FD0D45"/>
    <w:pPr>
      <w:numPr>
        <w:ilvl w:val="1"/>
        <w:numId w:val="5"/>
      </w:numPr>
      <w:spacing w:after="0" w:line="240" w:lineRule="auto"/>
      <w:outlineLvl w:val="7"/>
    </w:pPr>
    <w:rPr>
      <w:rFonts w:ascii="Arial" w:eastAsia="Times New Roman" w:hAnsi="Arial" w:cs="Times New Roman"/>
      <w:szCs w:val="20"/>
      <w:lang w:eastAsia="cs-CZ"/>
    </w:rPr>
  </w:style>
  <w:style w:type="paragraph" w:customStyle="1" w:styleId="tabulka">
    <w:name w:val="tabulka"/>
    <w:basedOn w:val="Normln"/>
    <w:qFormat/>
    <w:rsid w:val="002F6AFA"/>
    <w:pPr>
      <w:numPr>
        <w:numId w:val="6"/>
      </w:numPr>
      <w:spacing w:after="0" w:line="240" w:lineRule="auto"/>
    </w:pPr>
    <w:rPr>
      <w:rFonts w:ascii="Arial" w:hAnsi="Arial" w:cs="Arial"/>
    </w:rPr>
  </w:style>
  <w:style w:type="paragraph" w:customStyle="1" w:styleId="pracovn3">
    <w:name w:val="pracovní 3"/>
    <w:basedOn w:val="Normln"/>
    <w:qFormat/>
    <w:rsid w:val="002F6AFA"/>
    <w:pPr>
      <w:spacing w:after="0" w:line="240" w:lineRule="auto"/>
    </w:pPr>
    <w:rPr>
      <w:rFonts w:ascii="Arial" w:eastAsia="Times New Roman" w:hAnsi="Arial" w:cs="Arial"/>
      <w:b/>
      <w:color w:val="000000"/>
      <w:lang w:eastAsia="cs-CZ"/>
    </w:rPr>
  </w:style>
  <w:style w:type="character" w:styleId="Hypertextovodkaz">
    <w:name w:val="Hyperlink"/>
    <w:uiPriority w:val="99"/>
    <w:rsid w:val="00CF5F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5F0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B6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B6E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A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OPPI</c:v>
          </c:tx>
          <c:spPr>
            <a:solidFill>
              <a:srgbClr val="00B0F0"/>
            </a:solidFill>
          </c:spPr>
          <c:invertIfNegative val="0"/>
          <c:cat>
            <c:numRef>
              <c:f>'OPŽP a OPPI dohromady'!$C$3:$J$3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'OPŽP a OPPI dohromady'!$C$4:$J$4</c:f>
              <c:numCache>
                <c:formatCode>General</c:formatCode>
                <c:ptCount val="8"/>
                <c:pt idx="0">
                  <c:v>0</c:v>
                </c:pt>
                <c:pt idx="1">
                  <c:v>2.129</c:v>
                </c:pt>
                <c:pt idx="2">
                  <c:v>58.588999999999999</c:v>
                </c:pt>
                <c:pt idx="3">
                  <c:v>156.971</c:v>
                </c:pt>
                <c:pt idx="4">
                  <c:v>398.94799999999998</c:v>
                </c:pt>
                <c:pt idx="5">
                  <c:v>848.54499999999996</c:v>
                </c:pt>
                <c:pt idx="6">
                  <c:v>2589.9589999999998</c:v>
                </c:pt>
                <c:pt idx="7">
                  <c:v>5799.0770000000002</c:v>
                </c:pt>
              </c:numCache>
            </c:numRef>
          </c:val>
        </c:ser>
        <c:ser>
          <c:idx val="1"/>
          <c:order val="1"/>
          <c:tx>
            <c:v>OPŽP</c:v>
          </c:tx>
          <c:spPr>
            <a:solidFill>
              <a:srgbClr val="FF0000"/>
            </a:solidFill>
          </c:spPr>
          <c:invertIfNegative val="0"/>
          <c:cat>
            <c:numRef>
              <c:f>'OPŽP a OPPI dohromady'!$C$3:$J$3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'OPŽP a OPPI dohromady'!$C$5:$J$5</c:f>
              <c:numCache>
                <c:formatCode>General</c:formatCode>
                <c:ptCount val="8"/>
                <c:pt idx="0">
                  <c:v>0</c:v>
                </c:pt>
                <c:pt idx="1">
                  <c:v>4.7039999999999998E-2</c:v>
                </c:pt>
                <c:pt idx="2">
                  <c:v>134.06879999999998</c:v>
                </c:pt>
                <c:pt idx="3">
                  <c:v>154.96126999999998</c:v>
                </c:pt>
                <c:pt idx="4">
                  <c:v>192.54894000000002</c:v>
                </c:pt>
                <c:pt idx="5">
                  <c:v>257.05132000000003</c:v>
                </c:pt>
                <c:pt idx="6">
                  <c:v>398.85518999999999</c:v>
                </c:pt>
                <c:pt idx="7">
                  <c:v>1206.91788</c:v>
                </c:pt>
              </c:numCache>
            </c:numRef>
          </c:val>
        </c:ser>
        <c:ser>
          <c:idx val="2"/>
          <c:order val="2"/>
          <c:tx>
            <c:v>Celkem</c:v>
          </c:tx>
          <c:spPr>
            <a:solidFill>
              <a:srgbClr val="92D050"/>
            </a:solidFill>
          </c:spPr>
          <c:invertIfNegative val="0"/>
          <c:cat>
            <c:numRef>
              <c:f>'OPŽP a OPPI dohromady'!$C$3:$J$3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'OPŽP a OPPI dohromady'!$C$6:$J$6</c:f>
              <c:numCache>
                <c:formatCode>General</c:formatCode>
                <c:ptCount val="8"/>
                <c:pt idx="0">
                  <c:v>0</c:v>
                </c:pt>
                <c:pt idx="1">
                  <c:v>2.17604</c:v>
                </c:pt>
                <c:pt idx="2">
                  <c:v>192.65779999999998</c:v>
                </c:pt>
                <c:pt idx="3">
                  <c:v>311.93227000000002</c:v>
                </c:pt>
                <c:pt idx="4">
                  <c:v>591.49694</c:v>
                </c:pt>
                <c:pt idx="5">
                  <c:v>1105.5963200000001</c:v>
                </c:pt>
                <c:pt idx="6">
                  <c:v>2988.8141900000001</c:v>
                </c:pt>
                <c:pt idx="7">
                  <c:v>7005.9948800000002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95680"/>
        <c:axId val="38697216"/>
      </c:barChart>
      <c:catAx>
        <c:axId val="3869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697216"/>
        <c:crosses val="autoZero"/>
        <c:auto val="1"/>
        <c:lblAlgn val="ctr"/>
        <c:lblOffset val="100"/>
        <c:noMultiLvlLbl val="0"/>
      </c:catAx>
      <c:valAx>
        <c:axId val="38697216"/>
        <c:scaling>
          <c:orientation val="minMax"/>
          <c:max val="72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TJ/rok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8695680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100" b="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B7FD2-0F59-4302-B638-A8052552382D}"/>
</file>

<file path=customXml/itemProps2.xml><?xml version="1.0" encoding="utf-8"?>
<ds:datastoreItem xmlns:ds="http://schemas.openxmlformats.org/officeDocument/2006/customXml" ds:itemID="{16BA3E1A-7BD9-4A0E-A7F5-21526CFA193B}"/>
</file>

<file path=customXml/itemProps3.xml><?xml version="1.0" encoding="utf-8"?>
<ds:datastoreItem xmlns:ds="http://schemas.openxmlformats.org/officeDocument/2006/customXml" ds:itemID="{AD9BC820-C074-4C63-BD3F-2184149ADAB8}"/>
</file>

<file path=customXml/itemProps4.xml><?xml version="1.0" encoding="utf-8"?>
<ds:datastoreItem xmlns:ds="http://schemas.openxmlformats.org/officeDocument/2006/customXml" ds:itemID="{BE50D143-8493-4FD2-A465-8DBE8DF50683}"/>
</file>

<file path=docProps/app.xml><?xml version="1.0" encoding="utf-8"?>
<Properties xmlns="http://schemas.openxmlformats.org/officeDocument/2006/extended-properties" xmlns:vt="http://schemas.openxmlformats.org/officeDocument/2006/docPropsVTypes">
  <Template>BA036AC1.dotm</Template>
  <TotalTime>2</TotalTime>
  <Pages>17</Pages>
  <Words>5521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15/02</dc:title>
  <dc:subject>Kontrolní závěr z kontrolní akce NKÚ č. 15/02 - Peněžní prostředky státu poskytované na podporu úspor energie</dc:subject>
  <dc:creator>Nejvyšší kontrolní úřad</dc:creator>
  <cp:keywords>úspora energie</cp:keywords>
  <dc:description/>
  <cp:lastModifiedBy>KOKRDA Daniel</cp:lastModifiedBy>
  <cp:revision>3</cp:revision>
  <cp:lastPrinted>2015-10-26T09:31:00Z</cp:lastPrinted>
  <dcterms:created xsi:type="dcterms:W3CDTF">2015-10-27T06:41:00Z</dcterms:created>
  <dcterms:modified xsi:type="dcterms:W3CDTF">2015-10-27T06:43:00Z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