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750A" w14:textId="7732909E" w:rsidR="00BB38C3" w:rsidRPr="00BB38C3" w:rsidRDefault="00FA68FC" w:rsidP="00BB38C3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BB38C3">
        <w:rPr>
          <w:rFonts w:cstheme="minorHAnsi"/>
          <w:noProof/>
          <w:sz w:val="24"/>
          <w:szCs w:val="24"/>
          <w:lang w:eastAsia="cs-CZ"/>
        </w:rPr>
        <w:drawing>
          <wp:anchor distT="0" distB="0" distL="114300" distR="114300" simplePos="0" relativeHeight="251658752" behindDoc="0" locked="0" layoutInCell="1" allowOverlap="1" wp14:anchorId="2BCE5F34" wp14:editId="272726D5">
            <wp:simplePos x="0" y="0"/>
            <wp:positionH relativeFrom="column">
              <wp:posOffset>2487143</wp:posOffset>
            </wp:positionH>
            <wp:positionV relativeFrom="paragraph">
              <wp:posOffset>-25</wp:posOffset>
            </wp:positionV>
            <wp:extent cx="787400" cy="564515"/>
            <wp:effectExtent l="0" t="0" r="0" b="6985"/>
            <wp:wrapTopAndBottom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400" cy="564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7F8C7E3" w14:textId="77777777" w:rsidR="00BB38C3" w:rsidRPr="00BB38C3" w:rsidRDefault="00BB38C3" w:rsidP="00BB38C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7E1945B3" w14:textId="77777777" w:rsidR="00A75629" w:rsidRPr="00BB38C3" w:rsidRDefault="00A75629" w:rsidP="00BB38C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bookmarkStart w:id="0" w:name="_GoBack"/>
      <w:r w:rsidRPr="00BB38C3">
        <w:rPr>
          <w:rFonts w:cstheme="minorHAnsi"/>
          <w:b/>
          <w:sz w:val="28"/>
          <w:szCs w:val="28"/>
        </w:rPr>
        <w:t>Kontrolní závěr z kontrolní akce</w:t>
      </w:r>
    </w:p>
    <w:p w14:paraId="2A93D5FF" w14:textId="77777777" w:rsidR="00A75629" w:rsidRPr="00BB38C3" w:rsidRDefault="00A75629" w:rsidP="00BB38C3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p w14:paraId="048555C2" w14:textId="77777777" w:rsidR="00A75629" w:rsidRPr="00DF706D" w:rsidRDefault="00A75629" w:rsidP="00BB38C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706D">
        <w:rPr>
          <w:rFonts w:cstheme="minorHAnsi"/>
          <w:b/>
          <w:sz w:val="28"/>
          <w:szCs w:val="28"/>
        </w:rPr>
        <w:t>15/05</w:t>
      </w:r>
    </w:p>
    <w:p w14:paraId="0A3796D9" w14:textId="77777777" w:rsidR="006110CE" w:rsidRPr="00BB38C3" w:rsidRDefault="006110CE" w:rsidP="00BB38C3">
      <w:pPr>
        <w:spacing w:after="0" w:line="240" w:lineRule="auto"/>
        <w:jc w:val="center"/>
        <w:rPr>
          <w:rFonts w:cstheme="minorHAnsi"/>
          <w:b/>
          <w:sz w:val="24"/>
          <w:szCs w:val="28"/>
        </w:rPr>
      </w:pPr>
    </w:p>
    <w:p w14:paraId="11A2AC1F" w14:textId="77777777" w:rsidR="00A75629" w:rsidRPr="00DF706D" w:rsidRDefault="00A75629" w:rsidP="00BB38C3">
      <w:pPr>
        <w:spacing w:after="0" w:line="240" w:lineRule="auto"/>
        <w:jc w:val="center"/>
        <w:rPr>
          <w:rFonts w:cstheme="minorHAnsi"/>
          <w:b/>
          <w:sz w:val="28"/>
          <w:szCs w:val="28"/>
        </w:rPr>
      </w:pPr>
      <w:r w:rsidRPr="00DF706D">
        <w:rPr>
          <w:rFonts w:cstheme="minorHAnsi"/>
          <w:b/>
          <w:sz w:val="28"/>
          <w:szCs w:val="28"/>
        </w:rPr>
        <w:t>Majetkové účasti státu v obchodních společnostech</w:t>
      </w:r>
    </w:p>
    <w:bookmarkEnd w:id="0"/>
    <w:p w14:paraId="28B1D7F6" w14:textId="77777777" w:rsidR="00A75629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9B6C2C5" w14:textId="77777777" w:rsidR="00307745" w:rsidRPr="00C27722" w:rsidRDefault="00307745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35AE792" w14:textId="77777777" w:rsidR="00A75629" w:rsidRPr="00C27722" w:rsidRDefault="00A75629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sz w:val="24"/>
          <w:szCs w:val="24"/>
        </w:rPr>
        <w:t>Kontrolní akce byla zařazena do plánu kontrolní činnosti Nejvyššího kontrolního úřadu (dále jen „NKÚ“) na rok 2015 pod číslem 15/05. Kontrolní akci řídil a kontrolní závěr vypracoval</w:t>
      </w:r>
      <w:r w:rsidR="006110CE" w:rsidRPr="00C27722">
        <w:rPr>
          <w:rFonts w:cstheme="minorHAnsi"/>
          <w:sz w:val="24"/>
          <w:szCs w:val="24"/>
        </w:rPr>
        <w:t xml:space="preserve"> člen NKÚ</w:t>
      </w:r>
      <w:r w:rsidRPr="00C27722">
        <w:rPr>
          <w:rFonts w:cstheme="minorHAnsi"/>
          <w:sz w:val="24"/>
          <w:szCs w:val="24"/>
        </w:rPr>
        <w:t xml:space="preserve"> Ing. Pavel Hrnčíř.</w:t>
      </w:r>
    </w:p>
    <w:p w14:paraId="51728402" w14:textId="77777777" w:rsidR="00A75629" w:rsidRPr="00C27722" w:rsidRDefault="00A75629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13F34DE" w14:textId="77777777" w:rsidR="00A75629" w:rsidRPr="00C27722" w:rsidRDefault="00A75629" w:rsidP="006110CE">
      <w:pPr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  <w:r w:rsidRPr="00C27722">
        <w:rPr>
          <w:rFonts w:cstheme="minorHAnsi"/>
          <w:sz w:val="24"/>
          <w:szCs w:val="24"/>
        </w:rPr>
        <w:t>Cílem kontrol</w:t>
      </w:r>
      <w:r w:rsidR="006110CE" w:rsidRPr="00C27722">
        <w:rPr>
          <w:rFonts w:cstheme="minorHAnsi"/>
          <w:sz w:val="24"/>
          <w:szCs w:val="24"/>
        </w:rPr>
        <w:t>y</w:t>
      </w:r>
      <w:r w:rsidRPr="00C27722">
        <w:rPr>
          <w:rFonts w:cstheme="minorHAnsi"/>
          <w:sz w:val="24"/>
          <w:szCs w:val="24"/>
        </w:rPr>
        <w:t xml:space="preserve"> bylo p</w:t>
      </w:r>
      <w:r w:rsidRPr="00C27722">
        <w:rPr>
          <w:rFonts w:cstheme="minorHAnsi"/>
          <w:noProof/>
          <w:color w:val="000000"/>
          <w:sz w:val="24"/>
          <w:szCs w:val="24"/>
        </w:rPr>
        <w:t>rověřit správu majetkových účastí státu v obchodních společnostech, kterou vykonávají ústřední orgány státní správy.</w:t>
      </w:r>
    </w:p>
    <w:p w14:paraId="60DBF0F4" w14:textId="77777777" w:rsidR="006110CE" w:rsidRPr="00C27722" w:rsidRDefault="006110CE" w:rsidP="006110CE">
      <w:pPr>
        <w:spacing w:after="0" w:line="240" w:lineRule="auto"/>
        <w:jc w:val="both"/>
        <w:rPr>
          <w:rFonts w:cstheme="minorHAnsi"/>
          <w:noProof/>
          <w:color w:val="000000"/>
          <w:sz w:val="24"/>
          <w:szCs w:val="24"/>
        </w:rPr>
      </w:pPr>
    </w:p>
    <w:p w14:paraId="6DEE5E1B" w14:textId="32B5D7D8" w:rsidR="00FE459B" w:rsidRDefault="006110CE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sz w:val="24"/>
          <w:szCs w:val="24"/>
        </w:rPr>
        <w:t>Kontrolovan</w:t>
      </w:r>
      <w:r w:rsidR="00FE459B">
        <w:rPr>
          <w:rFonts w:cstheme="minorHAnsi"/>
          <w:sz w:val="24"/>
          <w:szCs w:val="24"/>
        </w:rPr>
        <w:t>é</w:t>
      </w:r>
      <w:r w:rsidRPr="00C27722">
        <w:rPr>
          <w:rFonts w:cstheme="minorHAnsi"/>
          <w:sz w:val="24"/>
          <w:szCs w:val="24"/>
        </w:rPr>
        <w:t xml:space="preserve"> osob</w:t>
      </w:r>
      <w:r w:rsidR="00FE459B">
        <w:rPr>
          <w:rFonts w:cstheme="minorHAnsi"/>
          <w:sz w:val="24"/>
          <w:szCs w:val="24"/>
        </w:rPr>
        <w:t>y:</w:t>
      </w:r>
    </w:p>
    <w:p w14:paraId="65946ED6" w14:textId="77777777" w:rsidR="00FE459B" w:rsidRDefault="006110CE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sz w:val="24"/>
          <w:szCs w:val="24"/>
        </w:rPr>
        <w:t xml:space="preserve">Ministerstvo financí (dále také „MF“), </w:t>
      </w:r>
    </w:p>
    <w:p w14:paraId="0F13D76C" w14:textId="05264A52" w:rsidR="00FE459B" w:rsidRDefault="006110CE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sz w:val="24"/>
          <w:szCs w:val="24"/>
        </w:rPr>
        <w:t>Ministerstvo průmyslu a</w:t>
      </w:r>
      <w:r w:rsidR="00686EBC">
        <w:rPr>
          <w:rFonts w:cstheme="minorHAnsi"/>
          <w:sz w:val="24"/>
          <w:szCs w:val="24"/>
        </w:rPr>
        <w:t> </w:t>
      </w:r>
      <w:r w:rsidRPr="00C27722">
        <w:rPr>
          <w:rFonts w:cstheme="minorHAnsi"/>
          <w:sz w:val="24"/>
          <w:szCs w:val="24"/>
        </w:rPr>
        <w:t>obchodu (dále také „MPO“)</w:t>
      </w:r>
      <w:r w:rsidR="00FE459B">
        <w:rPr>
          <w:rFonts w:cstheme="minorHAnsi"/>
          <w:sz w:val="24"/>
          <w:szCs w:val="24"/>
        </w:rPr>
        <w:t>,</w:t>
      </w:r>
      <w:r w:rsidRPr="00C27722">
        <w:rPr>
          <w:rFonts w:cstheme="minorHAnsi"/>
          <w:sz w:val="24"/>
          <w:szCs w:val="24"/>
        </w:rPr>
        <w:t xml:space="preserve"> </w:t>
      </w:r>
    </w:p>
    <w:p w14:paraId="70B7A557" w14:textId="073C123F" w:rsidR="006110CE" w:rsidRPr="00C27722" w:rsidRDefault="006110CE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noProof/>
          <w:color w:val="000000"/>
          <w:sz w:val="24"/>
          <w:szCs w:val="24"/>
        </w:rPr>
        <w:t>Ministerstvo zemědělství (dále také „MZe“).</w:t>
      </w:r>
    </w:p>
    <w:p w14:paraId="504EFF9A" w14:textId="77777777" w:rsidR="006110CE" w:rsidRPr="00C27722" w:rsidRDefault="006110CE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B0A0AC" w14:textId="77777777" w:rsidR="00A75629" w:rsidRPr="00C27722" w:rsidRDefault="00A75629" w:rsidP="00611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C27722">
        <w:rPr>
          <w:rFonts w:cstheme="minorHAnsi"/>
          <w:sz w:val="24"/>
          <w:szCs w:val="24"/>
        </w:rPr>
        <w:t xml:space="preserve">Kontrolovaným obdobím byly </w:t>
      </w:r>
      <w:r w:rsidR="000D4131" w:rsidRPr="00C27722">
        <w:rPr>
          <w:rFonts w:cstheme="minorHAnsi"/>
          <w:sz w:val="24"/>
          <w:szCs w:val="24"/>
        </w:rPr>
        <w:t>r</w:t>
      </w:r>
      <w:r w:rsidR="000D4131" w:rsidRPr="00C27722">
        <w:rPr>
          <w:rFonts w:cstheme="minorHAnsi"/>
          <w:sz w:val="24"/>
          <w:szCs w:val="24"/>
          <w:lang w:eastAsia="cs-CZ"/>
        </w:rPr>
        <w:t>oky 2013</w:t>
      </w:r>
      <w:r w:rsidR="00E203CA">
        <w:rPr>
          <w:rFonts w:cstheme="minorHAnsi"/>
          <w:sz w:val="24"/>
          <w:szCs w:val="24"/>
          <w:lang w:eastAsia="cs-CZ"/>
        </w:rPr>
        <w:t>–</w:t>
      </w:r>
      <w:r w:rsidR="000D4131" w:rsidRPr="00C27722">
        <w:rPr>
          <w:rFonts w:cstheme="minorHAnsi"/>
          <w:sz w:val="24"/>
          <w:szCs w:val="24"/>
          <w:lang w:eastAsia="cs-CZ"/>
        </w:rPr>
        <w:t>2015 (do doby ukončení kontrolní akce), v případě věcných souvislostí i období předcházející.</w:t>
      </w:r>
    </w:p>
    <w:p w14:paraId="7010A546" w14:textId="77777777" w:rsidR="006110CE" w:rsidRPr="00C27722" w:rsidRDefault="006110CE" w:rsidP="006110C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lang w:eastAsia="cs-CZ"/>
        </w:rPr>
      </w:pPr>
    </w:p>
    <w:p w14:paraId="49A15083" w14:textId="77777777" w:rsidR="00A75629" w:rsidRPr="008E2EEE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EEE">
        <w:rPr>
          <w:rFonts w:cstheme="minorHAnsi"/>
          <w:sz w:val="24"/>
          <w:szCs w:val="24"/>
        </w:rPr>
        <w:t>Kontrola byla prov</w:t>
      </w:r>
      <w:r w:rsidR="006110CE" w:rsidRPr="008E2EEE">
        <w:rPr>
          <w:rFonts w:cstheme="minorHAnsi"/>
          <w:sz w:val="24"/>
          <w:szCs w:val="24"/>
        </w:rPr>
        <w:t>áděna</w:t>
      </w:r>
      <w:r w:rsidR="00E22AFE" w:rsidRPr="008E2EEE">
        <w:rPr>
          <w:rFonts w:cstheme="minorHAnsi"/>
          <w:sz w:val="24"/>
          <w:szCs w:val="24"/>
        </w:rPr>
        <w:t xml:space="preserve"> u kontrolovaných osob</w:t>
      </w:r>
      <w:r w:rsidRPr="008E2EEE">
        <w:rPr>
          <w:rFonts w:cstheme="minorHAnsi"/>
          <w:sz w:val="24"/>
          <w:szCs w:val="24"/>
        </w:rPr>
        <w:t xml:space="preserve"> od </w:t>
      </w:r>
      <w:r w:rsidR="000D4131" w:rsidRPr="008E2EEE">
        <w:rPr>
          <w:rFonts w:cstheme="minorHAnsi"/>
          <w:sz w:val="24"/>
          <w:szCs w:val="24"/>
        </w:rPr>
        <w:t xml:space="preserve">února </w:t>
      </w:r>
      <w:r w:rsidRPr="008E2EEE">
        <w:rPr>
          <w:rFonts w:cstheme="minorHAnsi"/>
          <w:sz w:val="24"/>
          <w:szCs w:val="24"/>
        </w:rPr>
        <w:t>201</w:t>
      </w:r>
      <w:r w:rsidR="000D4131" w:rsidRPr="008E2EEE">
        <w:rPr>
          <w:rFonts w:cstheme="minorHAnsi"/>
          <w:sz w:val="24"/>
          <w:szCs w:val="24"/>
        </w:rPr>
        <w:t>5</w:t>
      </w:r>
      <w:r w:rsidRPr="008E2EEE">
        <w:rPr>
          <w:rFonts w:cstheme="minorHAnsi"/>
          <w:sz w:val="24"/>
          <w:szCs w:val="24"/>
        </w:rPr>
        <w:t xml:space="preserve"> do </w:t>
      </w:r>
      <w:r w:rsidR="000D4131" w:rsidRPr="008E2EEE">
        <w:rPr>
          <w:rFonts w:cstheme="minorHAnsi"/>
          <w:sz w:val="24"/>
          <w:szCs w:val="24"/>
        </w:rPr>
        <w:t>srpna</w:t>
      </w:r>
      <w:r w:rsidRPr="008E2EEE">
        <w:rPr>
          <w:rFonts w:cstheme="minorHAnsi"/>
          <w:sz w:val="24"/>
          <w:szCs w:val="24"/>
        </w:rPr>
        <w:t xml:space="preserve"> 201</w:t>
      </w:r>
      <w:r w:rsidR="000D4131" w:rsidRPr="008E2EEE">
        <w:rPr>
          <w:rFonts w:cstheme="minorHAnsi"/>
          <w:sz w:val="24"/>
          <w:szCs w:val="24"/>
        </w:rPr>
        <w:t>5</w:t>
      </w:r>
      <w:r w:rsidRPr="008E2EEE">
        <w:rPr>
          <w:rFonts w:cstheme="minorHAnsi"/>
          <w:sz w:val="24"/>
          <w:szCs w:val="24"/>
        </w:rPr>
        <w:t>.</w:t>
      </w:r>
    </w:p>
    <w:p w14:paraId="4C9A9984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2003451" w14:textId="2E5CA606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sz w:val="24"/>
          <w:szCs w:val="24"/>
        </w:rPr>
        <w:t>Námitky</w:t>
      </w:r>
      <w:r w:rsidR="00FE459B">
        <w:rPr>
          <w:rFonts w:cstheme="minorHAnsi"/>
          <w:sz w:val="24"/>
          <w:szCs w:val="24"/>
        </w:rPr>
        <w:t>, které</w:t>
      </w:r>
      <w:r w:rsidRPr="00C27722">
        <w:rPr>
          <w:rFonts w:cstheme="minorHAnsi"/>
          <w:sz w:val="24"/>
          <w:szCs w:val="24"/>
        </w:rPr>
        <w:t xml:space="preserve"> proti kontrolním protokolům podal</w:t>
      </w:r>
      <w:r w:rsidR="00FE459B">
        <w:rPr>
          <w:rFonts w:cstheme="minorHAnsi"/>
          <w:sz w:val="24"/>
          <w:szCs w:val="24"/>
        </w:rPr>
        <w:t>y</w:t>
      </w:r>
      <w:r w:rsidR="000D4131" w:rsidRPr="00C27722">
        <w:rPr>
          <w:rFonts w:cstheme="minorHAnsi"/>
          <w:sz w:val="24"/>
          <w:szCs w:val="24"/>
        </w:rPr>
        <w:t xml:space="preserve"> </w:t>
      </w:r>
      <w:r w:rsidRPr="00C27722">
        <w:rPr>
          <w:rFonts w:cstheme="minorHAnsi"/>
          <w:sz w:val="24"/>
          <w:szCs w:val="24"/>
        </w:rPr>
        <w:t>Ministerstvo financí</w:t>
      </w:r>
      <w:r w:rsidR="000D4131" w:rsidRPr="00C27722">
        <w:rPr>
          <w:rFonts w:cstheme="minorHAnsi"/>
          <w:sz w:val="24"/>
          <w:szCs w:val="24"/>
        </w:rPr>
        <w:t xml:space="preserve"> a</w:t>
      </w:r>
      <w:r w:rsidR="00FE459B">
        <w:rPr>
          <w:rFonts w:cstheme="minorHAnsi"/>
          <w:sz w:val="24"/>
          <w:szCs w:val="24"/>
        </w:rPr>
        <w:t> </w:t>
      </w:r>
      <w:r w:rsidR="000D4131" w:rsidRPr="00C27722">
        <w:rPr>
          <w:rFonts w:cstheme="minorHAnsi"/>
          <w:sz w:val="24"/>
          <w:szCs w:val="24"/>
        </w:rPr>
        <w:t>Ministerstvo zemědělství</w:t>
      </w:r>
      <w:r w:rsidRPr="00C27722">
        <w:rPr>
          <w:rFonts w:cstheme="minorHAnsi"/>
          <w:sz w:val="24"/>
          <w:szCs w:val="24"/>
        </w:rPr>
        <w:t>, byly vypořádány vedoucími skupin kontrolujících rozhodnutími o</w:t>
      </w:r>
      <w:r w:rsidR="00FE459B">
        <w:rPr>
          <w:rFonts w:cstheme="minorHAnsi"/>
          <w:sz w:val="24"/>
          <w:szCs w:val="24"/>
        </w:rPr>
        <w:t> </w:t>
      </w:r>
      <w:r w:rsidRPr="00C27722">
        <w:rPr>
          <w:rFonts w:cstheme="minorHAnsi"/>
          <w:sz w:val="24"/>
          <w:szCs w:val="24"/>
        </w:rPr>
        <w:t xml:space="preserve">námitkách. </w:t>
      </w:r>
      <w:r w:rsidRPr="00E225B0">
        <w:rPr>
          <w:rFonts w:cstheme="minorHAnsi"/>
          <w:sz w:val="24"/>
          <w:szCs w:val="24"/>
        </w:rPr>
        <w:t xml:space="preserve">Odvolání </w:t>
      </w:r>
      <w:r w:rsidR="00B81F06" w:rsidRPr="00E225B0">
        <w:rPr>
          <w:rFonts w:cstheme="minorHAnsi"/>
          <w:sz w:val="24"/>
          <w:szCs w:val="24"/>
        </w:rPr>
        <w:t>Ministerstva financí</w:t>
      </w:r>
      <w:r w:rsidR="00EB787D" w:rsidRPr="00E225B0">
        <w:rPr>
          <w:rFonts w:cstheme="minorHAnsi"/>
          <w:sz w:val="24"/>
          <w:szCs w:val="24"/>
        </w:rPr>
        <w:t xml:space="preserve"> a Ministerstva zemědělství</w:t>
      </w:r>
      <w:r w:rsidR="00B81F06" w:rsidRPr="00E225B0">
        <w:rPr>
          <w:rFonts w:cstheme="minorHAnsi"/>
          <w:sz w:val="24"/>
          <w:szCs w:val="24"/>
        </w:rPr>
        <w:t xml:space="preserve"> </w:t>
      </w:r>
      <w:r w:rsidRPr="00E225B0">
        <w:rPr>
          <w:rFonts w:cstheme="minorHAnsi"/>
          <w:sz w:val="24"/>
          <w:szCs w:val="24"/>
        </w:rPr>
        <w:t>proti rozhodnutí</w:t>
      </w:r>
      <w:r w:rsidR="00FE459B">
        <w:rPr>
          <w:rFonts w:cstheme="minorHAnsi"/>
          <w:sz w:val="24"/>
          <w:szCs w:val="24"/>
        </w:rPr>
        <w:t>m</w:t>
      </w:r>
      <w:r w:rsidRPr="00E225B0">
        <w:rPr>
          <w:rFonts w:cstheme="minorHAnsi"/>
          <w:sz w:val="24"/>
          <w:szCs w:val="24"/>
        </w:rPr>
        <w:t xml:space="preserve"> o</w:t>
      </w:r>
      <w:r w:rsidR="00FE459B">
        <w:rPr>
          <w:rFonts w:cstheme="minorHAnsi"/>
          <w:sz w:val="24"/>
          <w:szCs w:val="24"/>
        </w:rPr>
        <w:t> </w:t>
      </w:r>
      <w:r w:rsidRPr="00E225B0">
        <w:rPr>
          <w:rFonts w:cstheme="minorHAnsi"/>
          <w:sz w:val="24"/>
          <w:szCs w:val="24"/>
        </w:rPr>
        <w:t>námitkách byl</w:t>
      </w:r>
      <w:r w:rsidR="00E225B0" w:rsidRPr="00E225B0">
        <w:rPr>
          <w:rFonts w:cstheme="minorHAnsi"/>
          <w:sz w:val="24"/>
          <w:szCs w:val="24"/>
        </w:rPr>
        <w:t>a</w:t>
      </w:r>
      <w:r w:rsidRPr="00E225B0">
        <w:rPr>
          <w:rFonts w:cstheme="minorHAnsi"/>
          <w:sz w:val="24"/>
          <w:szCs w:val="24"/>
        </w:rPr>
        <w:t xml:space="preserve"> </w:t>
      </w:r>
      <w:r w:rsidRPr="00C27722">
        <w:rPr>
          <w:rFonts w:cstheme="minorHAnsi"/>
          <w:sz w:val="24"/>
          <w:szCs w:val="24"/>
        </w:rPr>
        <w:t>vypořádán</w:t>
      </w:r>
      <w:r w:rsidR="00E225B0">
        <w:rPr>
          <w:rFonts w:cstheme="minorHAnsi"/>
          <w:sz w:val="24"/>
          <w:szCs w:val="24"/>
        </w:rPr>
        <w:t>a</w:t>
      </w:r>
      <w:r w:rsidRPr="00C27722">
        <w:rPr>
          <w:rFonts w:cstheme="minorHAnsi"/>
          <w:sz w:val="24"/>
          <w:szCs w:val="24"/>
        </w:rPr>
        <w:t xml:space="preserve"> usnesením</w:t>
      </w:r>
      <w:r w:rsidR="00B81F06">
        <w:rPr>
          <w:rFonts w:cstheme="minorHAnsi"/>
          <w:sz w:val="24"/>
          <w:szCs w:val="24"/>
        </w:rPr>
        <w:t>i</w:t>
      </w:r>
      <w:r w:rsidRPr="00C27722">
        <w:rPr>
          <w:rFonts w:cstheme="minorHAnsi"/>
          <w:sz w:val="24"/>
          <w:szCs w:val="24"/>
        </w:rPr>
        <w:t xml:space="preserve"> Kolegia NKÚ.</w:t>
      </w:r>
    </w:p>
    <w:p w14:paraId="3CE3FFB0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1D4CADF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B778EE0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b/>
          <w:bCs/>
          <w:i/>
          <w:iCs/>
          <w:spacing w:val="30"/>
          <w:sz w:val="24"/>
          <w:szCs w:val="24"/>
        </w:rPr>
        <w:t>Kolegium</w:t>
      </w:r>
      <w:r w:rsidR="00307745">
        <w:rPr>
          <w:rFonts w:cstheme="minorHAnsi"/>
          <w:b/>
          <w:bCs/>
          <w:i/>
          <w:iCs/>
          <w:sz w:val="24"/>
          <w:szCs w:val="24"/>
        </w:rPr>
        <w:t xml:space="preserve">  </w:t>
      </w:r>
      <w:r w:rsidRPr="00C27722">
        <w:rPr>
          <w:rFonts w:cstheme="minorHAnsi"/>
          <w:b/>
          <w:bCs/>
          <w:i/>
          <w:iCs/>
          <w:sz w:val="24"/>
          <w:szCs w:val="24"/>
        </w:rPr>
        <w:t xml:space="preserve"> </w:t>
      </w:r>
      <w:r w:rsidRPr="00C27722">
        <w:rPr>
          <w:rFonts w:cstheme="minorHAnsi"/>
          <w:b/>
          <w:bCs/>
          <w:i/>
          <w:iCs/>
          <w:spacing w:val="30"/>
          <w:sz w:val="24"/>
          <w:szCs w:val="24"/>
        </w:rPr>
        <w:t>NKÚ</w:t>
      </w:r>
      <w:r w:rsidRPr="00C27722">
        <w:rPr>
          <w:rFonts w:cstheme="minorHAnsi"/>
          <w:sz w:val="24"/>
          <w:szCs w:val="24"/>
        </w:rPr>
        <w:t xml:space="preserve">   na svém </w:t>
      </w:r>
      <w:r w:rsidR="00E36D15">
        <w:rPr>
          <w:rFonts w:cstheme="minorHAnsi"/>
          <w:sz w:val="24"/>
          <w:szCs w:val="24"/>
        </w:rPr>
        <w:t>XVI.</w:t>
      </w:r>
      <w:r w:rsidRPr="00C27722">
        <w:rPr>
          <w:rFonts w:cstheme="minorHAnsi"/>
          <w:sz w:val="24"/>
          <w:szCs w:val="24"/>
        </w:rPr>
        <w:t> </w:t>
      </w:r>
      <w:r w:rsidR="0080107E">
        <w:rPr>
          <w:rFonts w:cstheme="minorHAnsi"/>
          <w:sz w:val="24"/>
          <w:szCs w:val="24"/>
        </w:rPr>
        <w:t>jednání</w:t>
      </w:r>
      <w:r w:rsidRPr="00C27722">
        <w:rPr>
          <w:rFonts w:cstheme="minorHAnsi"/>
          <w:sz w:val="24"/>
          <w:szCs w:val="24"/>
        </w:rPr>
        <w:t>, k</w:t>
      </w:r>
      <w:r w:rsidR="00E203CA">
        <w:rPr>
          <w:rFonts w:cstheme="minorHAnsi"/>
          <w:sz w:val="24"/>
          <w:szCs w:val="24"/>
        </w:rPr>
        <w:t xml:space="preserve">teré se konalo </w:t>
      </w:r>
      <w:r w:rsidRPr="00C27722">
        <w:rPr>
          <w:rFonts w:cstheme="minorHAnsi"/>
          <w:sz w:val="24"/>
          <w:szCs w:val="24"/>
        </w:rPr>
        <w:t xml:space="preserve">dne </w:t>
      </w:r>
      <w:r w:rsidR="00E36D15">
        <w:rPr>
          <w:rFonts w:cstheme="minorHAnsi"/>
          <w:sz w:val="24"/>
          <w:szCs w:val="24"/>
        </w:rPr>
        <w:t>30.</w:t>
      </w:r>
      <w:r w:rsidR="0080107E">
        <w:rPr>
          <w:rFonts w:cstheme="minorHAnsi"/>
          <w:sz w:val="24"/>
          <w:szCs w:val="24"/>
        </w:rPr>
        <w:t xml:space="preserve"> listopadu 2015</w:t>
      </w:r>
      <w:r w:rsidRPr="00C27722">
        <w:rPr>
          <w:rFonts w:cstheme="minorHAnsi"/>
          <w:sz w:val="24"/>
          <w:szCs w:val="24"/>
        </w:rPr>
        <w:t>,</w:t>
      </w:r>
    </w:p>
    <w:p w14:paraId="24B0F441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b/>
          <w:bCs/>
          <w:i/>
          <w:iCs/>
          <w:spacing w:val="30"/>
          <w:sz w:val="24"/>
          <w:szCs w:val="24"/>
        </w:rPr>
        <w:t>schválilo</w:t>
      </w:r>
      <w:r w:rsidRPr="00C27722">
        <w:rPr>
          <w:rFonts w:cstheme="minorHAnsi"/>
          <w:sz w:val="24"/>
          <w:szCs w:val="24"/>
        </w:rPr>
        <w:t xml:space="preserve">   usnesením č. </w:t>
      </w:r>
      <w:r w:rsidR="00691F1A">
        <w:rPr>
          <w:rFonts w:cstheme="minorHAnsi"/>
          <w:sz w:val="24"/>
          <w:szCs w:val="24"/>
        </w:rPr>
        <w:t>10</w:t>
      </w:r>
      <w:r w:rsidRPr="00C27722">
        <w:rPr>
          <w:rFonts w:cstheme="minorHAnsi"/>
          <w:sz w:val="24"/>
          <w:szCs w:val="24"/>
        </w:rPr>
        <w:t>/</w:t>
      </w:r>
      <w:r w:rsidR="00E36D15">
        <w:rPr>
          <w:rFonts w:cstheme="minorHAnsi"/>
          <w:sz w:val="24"/>
          <w:szCs w:val="24"/>
        </w:rPr>
        <w:t>XVI</w:t>
      </w:r>
      <w:r w:rsidRPr="00C27722">
        <w:rPr>
          <w:rFonts w:cstheme="minorHAnsi"/>
          <w:sz w:val="24"/>
          <w:szCs w:val="24"/>
        </w:rPr>
        <w:t>/201</w:t>
      </w:r>
      <w:r w:rsidR="00E203CA">
        <w:rPr>
          <w:rFonts w:cstheme="minorHAnsi"/>
          <w:sz w:val="24"/>
          <w:szCs w:val="24"/>
        </w:rPr>
        <w:t>5</w:t>
      </w:r>
    </w:p>
    <w:p w14:paraId="33972307" w14:textId="77777777" w:rsidR="00A75629" w:rsidRPr="00C27722" w:rsidRDefault="00A75629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C27722">
        <w:rPr>
          <w:rFonts w:cstheme="minorHAnsi"/>
          <w:b/>
          <w:bCs/>
          <w:i/>
          <w:iCs/>
          <w:spacing w:val="30"/>
          <w:sz w:val="24"/>
          <w:szCs w:val="24"/>
        </w:rPr>
        <w:t>kontrolní</w:t>
      </w:r>
      <w:r w:rsidRPr="00C27722">
        <w:rPr>
          <w:rFonts w:cstheme="minorHAnsi"/>
          <w:b/>
          <w:bCs/>
          <w:i/>
          <w:iCs/>
          <w:sz w:val="24"/>
          <w:szCs w:val="24"/>
        </w:rPr>
        <w:t xml:space="preserve">   </w:t>
      </w:r>
      <w:r w:rsidRPr="00C27722">
        <w:rPr>
          <w:rFonts w:cstheme="minorHAnsi"/>
          <w:b/>
          <w:bCs/>
          <w:i/>
          <w:iCs/>
          <w:spacing w:val="30"/>
          <w:sz w:val="24"/>
          <w:szCs w:val="24"/>
        </w:rPr>
        <w:t>závěr</w:t>
      </w:r>
      <w:r w:rsidRPr="00C27722">
        <w:rPr>
          <w:rFonts w:cstheme="minorHAnsi"/>
          <w:sz w:val="24"/>
          <w:szCs w:val="24"/>
        </w:rPr>
        <w:t xml:space="preserve">   v tomto znění:</w:t>
      </w:r>
    </w:p>
    <w:p w14:paraId="48278CF9" w14:textId="77777777" w:rsidR="00255B1C" w:rsidRDefault="00255B1C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0580699" w14:textId="77777777" w:rsidR="00D119B6" w:rsidRPr="00C27722" w:rsidRDefault="00D119B6" w:rsidP="006110C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C01E2C4" w14:textId="77777777" w:rsidR="00A75629" w:rsidRPr="00485081" w:rsidRDefault="00A75629" w:rsidP="006110CE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485081">
        <w:rPr>
          <w:rFonts w:cstheme="minorHAnsi"/>
          <w:b/>
          <w:sz w:val="28"/>
          <w:szCs w:val="24"/>
        </w:rPr>
        <w:t>I. Úvod</w:t>
      </w:r>
    </w:p>
    <w:p w14:paraId="2F65421C" w14:textId="77777777" w:rsidR="006110CE" w:rsidRDefault="006110CE" w:rsidP="00BB38C3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p w14:paraId="5AA5FBE5" w14:textId="5390451F" w:rsidR="00C014D8" w:rsidRPr="00686EBC" w:rsidRDefault="00C014D8" w:rsidP="00BB38C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86EBC">
        <w:rPr>
          <w:rFonts w:cstheme="minorHAnsi"/>
          <w:sz w:val="24"/>
          <w:szCs w:val="24"/>
        </w:rPr>
        <w:t>Majetkové účasti státu v obchodních společnostech</w:t>
      </w:r>
      <w:r w:rsidR="007F6CAD" w:rsidRPr="00686EBC">
        <w:rPr>
          <w:rFonts w:cstheme="minorHAnsi"/>
          <w:sz w:val="24"/>
          <w:szCs w:val="24"/>
        </w:rPr>
        <w:t xml:space="preserve"> (dále také „MÚ“)</w:t>
      </w:r>
      <w:r w:rsidRPr="00686EBC">
        <w:rPr>
          <w:rFonts w:cstheme="minorHAnsi"/>
          <w:sz w:val="24"/>
          <w:szCs w:val="24"/>
        </w:rPr>
        <w:t xml:space="preserve"> patří mezi významné složky finančního majetku státu. Jedná se především o podíly státu na základním kapitálu obchodních společností, které jsou před</w:t>
      </w:r>
      <w:r w:rsidR="004E4F94" w:rsidRPr="00686EBC">
        <w:rPr>
          <w:rFonts w:cstheme="minorHAnsi"/>
          <w:sz w:val="24"/>
          <w:szCs w:val="24"/>
        </w:rPr>
        <w:t xml:space="preserve">stavovány emitovanými akciemi. </w:t>
      </w:r>
      <w:r w:rsidR="009D7BC1" w:rsidRPr="00686EBC">
        <w:rPr>
          <w:rFonts w:cstheme="minorHAnsi"/>
          <w:sz w:val="24"/>
          <w:szCs w:val="24"/>
        </w:rPr>
        <w:t>Stěžejním p</w:t>
      </w:r>
      <w:r w:rsidRPr="00686EBC">
        <w:rPr>
          <w:rFonts w:cstheme="minorHAnsi"/>
          <w:sz w:val="24"/>
          <w:szCs w:val="24"/>
        </w:rPr>
        <w:t>rávním předpisem upravujícím hospodaření s majetkem státu je zákon č. 219/2000 Sb.,</w:t>
      </w:r>
      <w:r w:rsidR="004E4F94" w:rsidRPr="00686EBC">
        <w:rPr>
          <w:rFonts w:cstheme="minorHAnsi"/>
          <w:sz w:val="24"/>
          <w:szCs w:val="24"/>
          <w:lang w:eastAsia="cs-CZ"/>
        </w:rPr>
        <w:t xml:space="preserve"> o majetku České republiky a jejím vystupování v právních vztazích,</w:t>
      </w:r>
      <w:r w:rsidRPr="00686EBC">
        <w:rPr>
          <w:rFonts w:cstheme="minorHAnsi"/>
          <w:sz w:val="24"/>
          <w:szCs w:val="24"/>
        </w:rPr>
        <w:t xml:space="preserve"> který kromě jiného upravuje </w:t>
      </w:r>
      <w:r w:rsidRPr="008E2EEE">
        <w:rPr>
          <w:rFonts w:cstheme="minorHAnsi"/>
          <w:sz w:val="24"/>
          <w:szCs w:val="24"/>
        </w:rPr>
        <w:lastRenderedPageBreak/>
        <w:t xml:space="preserve">způsoby nabývání </w:t>
      </w:r>
      <w:r w:rsidR="00321456" w:rsidRPr="008E2EEE">
        <w:rPr>
          <w:rFonts w:cstheme="minorHAnsi"/>
          <w:sz w:val="24"/>
          <w:szCs w:val="24"/>
        </w:rPr>
        <w:t>majetkových účastí</w:t>
      </w:r>
      <w:r w:rsidR="007F6CAD" w:rsidRPr="008E2EEE">
        <w:rPr>
          <w:rFonts w:cstheme="minorHAnsi"/>
          <w:sz w:val="24"/>
          <w:szCs w:val="24"/>
        </w:rPr>
        <w:t xml:space="preserve"> </w:t>
      </w:r>
      <w:r w:rsidRPr="008E2EEE">
        <w:rPr>
          <w:rFonts w:cstheme="minorHAnsi"/>
          <w:sz w:val="24"/>
          <w:szCs w:val="24"/>
        </w:rPr>
        <w:t xml:space="preserve">státem, jejich převody na jiné osoby či jiné způsoby </w:t>
      </w:r>
      <w:r w:rsidRPr="00686EBC">
        <w:rPr>
          <w:rFonts w:cstheme="minorHAnsi"/>
          <w:sz w:val="24"/>
          <w:szCs w:val="24"/>
        </w:rPr>
        <w:t xml:space="preserve">nakládání s tímto majetkem (stát může založit </w:t>
      </w:r>
      <w:r w:rsidR="00FE459B">
        <w:rPr>
          <w:rFonts w:cstheme="minorHAnsi"/>
          <w:sz w:val="24"/>
          <w:szCs w:val="24"/>
        </w:rPr>
        <w:t xml:space="preserve">obchodní společnost </w:t>
      </w:r>
      <w:r w:rsidRPr="00686EBC">
        <w:rPr>
          <w:rFonts w:cstheme="minorHAnsi"/>
          <w:sz w:val="24"/>
          <w:szCs w:val="24"/>
        </w:rPr>
        <w:t xml:space="preserve">nebo se účastnit </w:t>
      </w:r>
      <w:r w:rsidR="00FE459B">
        <w:rPr>
          <w:rFonts w:cstheme="minorHAnsi"/>
          <w:sz w:val="24"/>
          <w:szCs w:val="24"/>
        </w:rPr>
        <w:t>jejího</w:t>
      </w:r>
      <w:r w:rsidRPr="00686EBC">
        <w:rPr>
          <w:rFonts w:cstheme="minorHAnsi"/>
          <w:sz w:val="24"/>
          <w:szCs w:val="24"/>
        </w:rPr>
        <w:t xml:space="preserve"> založení</w:t>
      </w:r>
      <w:r w:rsidR="00FE459B">
        <w:rPr>
          <w:rFonts w:cstheme="minorHAnsi"/>
          <w:sz w:val="24"/>
          <w:szCs w:val="24"/>
        </w:rPr>
        <w:t>,</w:t>
      </w:r>
      <w:r w:rsidRPr="00686EBC">
        <w:rPr>
          <w:rFonts w:cstheme="minorHAnsi"/>
          <w:sz w:val="24"/>
          <w:szCs w:val="24"/>
        </w:rPr>
        <w:t xml:space="preserve"> pouze </w:t>
      </w:r>
      <w:r w:rsidR="00FE459B">
        <w:rPr>
          <w:rFonts w:cstheme="minorHAnsi"/>
          <w:sz w:val="24"/>
          <w:szCs w:val="24"/>
        </w:rPr>
        <w:t>pokud má tato obchodní společnost</w:t>
      </w:r>
      <w:r w:rsidRPr="00686EBC">
        <w:rPr>
          <w:rFonts w:cstheme="minorHAnsi"/>
          <w:sz w:val="24"/>
          <w:szCs w:val="24"/>
        </w:rPr>
        <w:t xml:space="preserve"> form</w:t>
      </w:r>
      <w:r w:rsidR="00FE459B">
        <w:rPr>
          <w:rFonts w:cstheme="minorHAnsi"/>
          <w:sz w:val="24"/>
          <w:szCs w:val="24"/>
        </w:rPr>
        <w:t>u</w:t>
      </w:r>
      <w:r w:rsidRPr="00686EBC">
        <w:rPr>
          <w:rFonts w:cstheme="minorHAnsi"/>
          <w:sz w:val="24"/>
          <w:szCs w:val="24"/>
        </w:rPr>
        <w:t xml:space="preserve"> akciové společnosti, stát může být akcionářem i akciové společnosti, kterou nezaložil nebo jejíhož založení se nezúčastnil, do obchodních společností lze majetek vkládat a s majetkovými účastmi v obchodních společnostech lze nakládat pouze s předchozím souhlasem vlády) a</w:t>
      </w:r>
      <w:r w:rsidR="004E4F94" w:rsidRPr="00686EBC">
        <w:rPr>
          <w:rFonts w:cstheme="minorHAnsi"/>
          <w:sz w:val="24"/>
          <w:szCs w:val="24"/>
        </w:rPr>
        <w:t> </w:t>
      </w:r>
      <w:r w:rsidRPr="00686EBC">
        <w:rPr>
          <w:rFonts w:cstheme="minorHAnsi"/>
          <w:sz w:val="24"/>
          <w:szCs w:val="24"/>
        </w:rPr>
        <w:t>výkon práv</w:t>
      </w:r>
      <w:r w:rsidR="007F6CAD" w:rsidRPr="00686EBC">
        <w:rPr>
          <w:rFonts w:cstheme="minorHAnsi"/>
          <w:sz w:val="24"/>
          <w:szCs w:val="24"/>
        </w:rPr>
        <w:t xml:space="preserve"> státu jako</w:t>
      </w:r>
      <w:r w:rsidRPr="00686EBC">
        <w:rPr>
          <w:rFonts w:cstheme="minorHAnsi"/>
          <w:sz w:val="24"/>
          <w:szCs w:val="24"/>
        </w:rPr>
        <w:t xml:space="preserve"> akcionáře.</w:t>
      </w:r>
    </w:p>
    <w:p w14:paraId="2CBD6439" w14:textId="77777777" w:rsidR="00B97C50" w:rsidRDefault="00B97C50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sz w:val="24"/>
          <w:szCs w:val="24"/>
          <w:lang w:eastAsia="cs-CZ"/>
        </w:rPr>
      </w:pPr>
    </w:p>
    <w:p w14:paraId="78BAA4FD" w14:textId="77777777" w:rsidR="004E4F94" w:rsidRPr="008E2EEE" w:rsidRDefault="00C33B08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865072">
        <w:rPr>
          <w:rFonts w:cstheme="minorHAnsi"/>
          <w:bCs/>
          <w:sz w:val="24"/>
          <w:szCs w:val="24"/>
          <w:lang w:eastAsia="cs-CZ"/>
        </w:rPr>
        <w:t xml:space="preserve">Ministerstvo financí </w:t>
      </w:r>
      <w:r w:rsidRPr="00865072">
        <w:rPr>
          <w:rFonts w:cstheme="minorHAnsi"/>
          <w:sz w:val="24"/>
          <w:szCs w:val="24"/>
          <w:lang w:eastAsia="cs-CZ"/>
        </w:rPr>
        <w:t>je podle zákona č. 2/1969 Sb., o zřízení ministerstev a jiných ústředních orgánů státní správy České republiky</w:t>
      </w:r>
      <w:r w:rsidR="00901BCE" w:rsidRPr="00865072">
        <w:rPr>
          <w:rFonts w:cstheme="minorHAnsi"/>
          <w:sz w:val="24"/>
          <w:szCs w:val="24"/>
          <w:lang w:eastAsia="cs-CZ"/>
        </w:rPr>
        <w:t>,</w:t>
      </w:r>
      <w:r w:rsidRPr="00865072">
        <w:rPr>
          <w:rFonts w:cstheme="minorHAnsi"/>
          <w:sz w:val="24"/>
          <w:szCs w:val="24"/>
          <w:lang w:eastAsia="cs-CZ"/>
        </w:rPr>
        <w:t xml:space="preserve"> ústředním orgánem státní správy mimo jiné pro hospodaření s majetkem státu</w:t>
      </w:r>
      <w:r w:rsidR="00A3287A" w:rsidRPr="00865072">
        <w:rPr>
          <w:rFonts w:cstheme="minorHAnsi"/>
          <w:sz w:val="24"/>
          <w:szCs w:val="24"/>
          <w:lang w:eastAsia="cs-CZ"/>
        </w:rPr>
        <w:t>,</w:t>
      </w:r>
      <w:r w:rsidRPr="00865072">
        <w:rPr>
          <w:rFonts w:cstheme="minorHAnsi"/>
          <w:sz w:val="24"/>
          <w:szCs w:val="24"/>
          <w:lang w:eastAsia="cs-CZ"/>
        </w:rPr>
        <w:t xml:space="preserve"> privatizaci majetku státu</w:t>
      </w:r>
      <w:r w:rsidR="00A3287A" w:rsidRPr="00865072">
        <w:rPr>
          <w:rFonts w:cstheme="minorHAnsi"/>
          <w:sz w:val="24"/>
          <w:szCs w:val="24"/>
          <w:lang w:eastAsia="cs-CZ"/>
        </w:rPr>
        <w:t xml:space="preserve"> a účetnictví</w:t>
      </w:r>
      <w:r w:rsidRPr="00865072">
        <w:rPr>
          <w:rFonts w:cstheme="minorHAnsi"/>
          <w:sz w:val="24"/>
          <w:szCs w:val="24"/>
          <w:lang w:eastAsia="cs-CZ"/>
        </w:rPr>
        <w:t>. MF je organizační složkou státu a</w:t>
      </w:r>
      <w:r w:rsidR="00C2589C" w:rsidRPr="00865072">
        <w:rPr>
          <w:rFonts w:cstheme="minorHAnsi"/>
          <w:sz w:val="24"/>
          <w:szCs w:val="24"/>
          <w:lang w:eastAsia="cs-CZ"/>
        </w:rPr>
        <w:t> </w:t>
      </w:r>
      <w:r w:rsidRPr="00865072">
        <w:rPr>
          <w:rFonts w:cstheme="minorHAnsi"/>
          <w:sz w:val="24"/>
          <w:szCs w:val="24"/>
          <w:lang w:eastAsia="cs-CZ"/>
        </w:rPr>
        <w:t>účetní jednotkou</w:t>
      </w:r>
      <w:r w:rsidR="00A3287A" w:rsidRPr="00865072">
        <w:rPr>
          <w:rFonts w:cstheme="minorHAnsi"/>
          <w:sz w:val="24"/>
          <w:szCs w:val="24"/>
          <w:lang w:eastAsia="cs-CZ"/>
        </w:rPr>
        <w:t xml:space="preserve"> a </w:t>
      </w:r>
      <w:r w:rsidR="001D161B" w:rsidRPr="00865072">
        <w:rPr>
          <w:rFonts w:cstheme="minorHAnsi"/>
          <w:sz w:val="24"/>
          <w:szCs w:val="24"/>
          <w:lang w:eastAsia="cs-CZ"/>
        </w:rPr>
        <w:t xml:space="preserve">je </w:t>
      </w:r>
      <w:r w:rsidR="00A3287A" w:rsidRPr="00865072">
        <w:rPr>
          <w:rFonts w:cstheme="minorHAnsi"/>
          <w:sz w:val="24"/>
          <w:szCs w:val="24"/>
          <w:lang w:eastAsia="cs-CZ"/>
        </w:rPr>
        <w:t xml:space="preserve">také správcem </w:t>
      </w:r>
      <w:r w:rsidR="00674926" w:rsidRPr="00865072">
        <w:rPr>
          <w:rFonts w:cstheme="minorHAnsi"/>
          <w:sz w:val="24"/>
          <w:szCs w:val="24"/>
          <w:lang w:eastAsia="cs-CZ"/>
        </w:rPr>
        <w:t xml:space="preserve">čtyř </w:t>
      </w:r>
      <w:r w:rsidR="00A3287A" w:rsidRPr="00865072">
        <w:rPr>
          <w:rFonts w:cstheme="minorHAnsi"/>
          <w:sz w:val="24"/>
          <w:szCs w:val="24"/>
          <w:lang w:eastAsia="cs-CZ"/>
        </w:rPr>
        <w:t xml:space="preserve">kapitol státního </w:t>
      </w:r>
      <w:r w:rsidR="001D161B" w:rsidRPr="00865072">
        <w:rPr>
          <w:rFonts w:cstheme="minorHAnsi"/>
          <w:sz w:val="24"/>
          <w:szCs w:val="24"/>
          <w:lang w:eastAsia="cs-CZ"/>
        </w:rPr>
        <w:t>rozpočtu</w:t>
      </w:r>
      <w:r w:rsidRPr="00865072">
        <w:rPr>
          <w:rFonts w:cstheme="minorHAnsi"/>
          <w:sz w:val="24"/>
          <w:szCs w:val="24"/>
          <w:lang w:eastAsia="cs-CZ"/>
        </w:rPr>
        <w:t xml:space="preserve">. </w:t>
      </w:r>
      <w:r w:rsidR="00674926" w:rsidRPr="00865072">
        <w:rPr>
          <w:rFonts w:cstheme="minorHAnsi"/>
          <w:sz w:val="24"/>
          <w:szCs w:val="24"/>
          <w:lang w:eastAsia="cs-CZ"/>
        </w:rPr>
        <w:t xml:space="preserve">Kromě </w:t>
      </w:r>
      <w:r w:rsidR="00321456" w:rsidRPr="008E2EEE">
        <w:rPr>
          <w:rFonts w:cstheme="minorHAnsi"/>
          <w:sz w:val="24"/>
          <w:szCs w:val="24"/>
          <w:lang w:eastAsia="cs-CZ"/>
        </w:rPr>
        <w:t>majetkových účastí</w:t>
      </w:r>
      <w:r w:rsidR="00674926" w:rsidRPr="008E2EEE">
        <w:rPr>
          <w:rFonts w:cstheme="minorHAnsi"/>
          <w:sz w:val="24"/>
          <w:szCs w:val="24"/>
          <w:lang w:eastAsia="cs-CZ"/>
        </w:rPr>
        <w:t>, které již byly v jeho správě, je MF o</w:t>
      </w:r>
      <w:r w:rsidR="00A3287A" w:rsidRPr="008E2EEE">
        <w:rPr>
          <w:rFonts w:cstheme="minorHAnsi"/>
          <w:sz w:val="24"/>
          <w:szCs w:val="24"/>
          <w:lang w:eastAsia="cs-CZ"/>
        </w:rPr>
        <w:t>d r</w:t>
      </w:r>
      <w:r w:rsidR="00E36D15">
        <w:rPr>
          <w:rFonts w:cstheme="minorHAnsi"/>
          <w:sz w:val="24"/>
          <w:szCs w:val="24"/>
          <w:lang w:eastAsia="cs-CZ"/>
        </w:rPr>
        <w:t>oku 2006 příslušné hospodařit s </w:t>
      </w:r>
      <w:r w:rsidR="00F6442E" w:rsidRPr="008E2EEE">
        <w:rPr>
          <w:rFonts w:cstheme="minorHAnsi"/>
          <w:sz w:val="24"/>
          <w:szCs w:val="24"/>
          <w:lang w:eastAsia="cs-CZ"/>
        </w:rPr>
        <w:t>majetkov</w:t>
      </w:r>
      <w:r w:rsidR="00A3287A" w:rsidRPr="008E2EEE">
        <w:rPr>
          <w:rFonts w:cstheme="minorHAnsi"/>
          <w:sz w:val="24"/>
          <w:szCs w:val="24"/>
          <w:lang w:eastAsia="cs-CZ"/>
        </w:rPr>
        <w:t>ými</w:t>
      </w:r>
      <w:r w:rsidR="00F6442E" w:rsidRPr="008E2EEE">
        <w:rPr>
          <w:rFonts w:cstheme="minorHAnsi"/>
          <w:sz w:val="24"/>
          <w:szCs w:val="24"/>
          <w:lang w:eastAsia="cs-CZ"/>
        </w:rPr>
        <w:t xml:space="preserve"> účast</w:t>
      </w:r>
      <w:r w:rsidR="00A3287A" w:rsidRPr="008E2EEE">
        <w:rPr>
          <w:rFonts w:cstheme="minorHAnsi"/>
          <w:sz w:val="24"/>
          <w:szCs w:val="24"/>
          <w:lang w:eastAsia="cs-CZ"/>
        </w:rPr>
        <w:t>mi</w:t>
      </w:r>
      <w:r w:rsidR="00F6442E" w:rsidRPr="008E2EEE">
        <w:rPr>
          <w:rFonts w:cstheme="minorHAnsi"/>
          <w:sz w:val="24"/>
          <w:szCs w:val="24"/>
          <w:lang w:eastAsia="cs-CZ"/>
        </w:rPr>
        <w:t xml:space="preserve"> v obchodních společnostech po zrušeném Fondu národního majetku České republiky a </w:t>
      </w:r>
      <w:r w:rsidR="00A3287A" w:rsidRPr="008E2EEE">
        <w:rPr>
          <w:rFonts w:cstheme="minorHAnsi"/>
          <w:sz w:val="24"/>
          <w:szCs w:val="24"/>
          <w:lang w:eastAsia="cs-CZ"/>
        </w:rPr>
        <w:t xml:space="preserve">od roku 2008 také s majetkovými účastmi v obchodních společnostech převzatými ze </w:t>
      </w:r>
      <w:r w:rsidR="00F6442E" w:rsidRPr="008E2EEE">
        <w:rPr>
          <w:rFonts w:cstheme="minorHAnsi"/>
          <w:sz w:val="24"/>
          <w:szCs w:val="24"/>
          <w:lang w:eastAsia="cs-CZ"/>
        </w:rPr>
        <w:t>zrušené České konsolidační agentu</w:t>
      </w:r>
      <w:r w:rsidR="00A3287A" w:rsidRPr="008E2EEE">
        <w:rPr>
          <w:rFonts w:cstheme="minorHAnsi"/>
          <w:sz w:val="24"/>
          <w:szCs w:val="24"/>
          <w:lang w:eastAsia="cs-CZ"/>
        </w:rPr>
        <w:t>ry</w:t>
      </w:r>
      <w:r w:rsidR="00F6442E" w:rsidRPr="008E2EEE">
        <w:rPr>
          <w:rFonts w:cstheme="minorHAnsi"/>
          <w:sz w:val="24"/>
          <w:szCs w:val="24"/>
          <w:lang w:eastAsia="cs-CZ"/>
        </w:rPr>
        <w:t>.</w:t>
      </w:r>
    </w:p>
    <w:p w14:paraId="2B586649" w14:textId="77777777" w:rsidR="004E4F94" w:rsidRPr="008E2EEE" w:rsidRDefault="004E4F94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958D968" w14:textId="62C02EB6" w:rsidR="00617F42" w:rsidRDefault="00617F42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8E2EEE">
        <w:rPr>
          <w:rFonts w:cstheme="minorHAnsi"/>
          <w:sz w:val="24"/>
          <w:szCs w:val="24"/>
          <w:lang w:eastAsia="cs-CZ"/>
        </w:rPr>
        <w:t xml:space="preserve">Přehled o vývoji jmenovité hodnoty </w:t>
      </w:r>
      <w:r w:rsidR="00321456" w:rsidRPr="008E2EEE">
        <w:rPr>
          <w:rFonts w:cstheme="minorHAnsi"/>
          <w:sz w:val="24"/>
          <w:szCs w:val="24"/>
          <w:lang w:eastAsia="cs-CZ"/>
        </w:rPr>
        <w:t>majetkových účastí</w:t>
      </w:r>
      <w:r w:rsidRPr="008E2EEE">
        <w:rPr>
          <w:rFonts w:cstheme="minorHAnsi"/>
          <w:sz w:val="24"/>
          <w:szCs w:val="24"/>
          <w:lang w:eastAsia="cs-CZ"/>
        </w:rPr>
        <w:t>, s nimiž je příslušné hospodařit MF</w:t>
      </w:r>
      <w:r w:rsidR="001E0A5E" w:rsidRPr="008E2EEE">
        <w:rPr>
          <w:rStyle w:val="Znakapoznpodarou"/>
          <w:rFonts w:cstheme="minorHAnsi"/>
          <w:sz w:val="24"/>
          <w:szCs w:val="24"/>
          <w:lang w:eastAsia="cs-CZ"/>
        </w:rPr>
        <w:footnoteReference w:id="2"/>
      </w:r>
      <w:r w:rsidRPr="008E2EEE">
        <w:rPr>
          <w:rFonts w:cstheme="minorHAnsi"/>
          <w:sz w:val="24"/>
          <w:szCs w:val="24"/>
          <w:lang w:eastAsia="cs-CZ"/>
        </w:rPr>
        <w:t xml:space="preserve">, počtu příslušných obchodních společností a počtu těch společností, které MF považuje za </w:t>
      </w:r>
      <w:r w:rsidRPr="00C27722">
        <w:rPr>
          <w:rFonts w:cstheme="minorHAnsi"/>
          <w:sz w:val="24"/>
          <w:szCs w:val="24"/>
          <w:lang w:eastAsia="cs-CZ"/>
        </w:rPr>
        <w:t>strategické, podává tabulka č. 1.</w:t>
      </w:r>
    </w:p>
    <w:p w14:paraId="60995148" w14:textId="77777777" w:rsidR="00BB38C3" w:rsidRPr="00C27722" w:rsidRDefault="00BB38C3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4D02393" w14:textId="77777777" w:rsidR="00617F42" w:rsidRPr="00485081" w:rsidRDefault="00617F42" w:rsidP="00204121">
      <w:pPr>
        <w:tabs>
          <w:tab w:val="right" w:pos="9072"/>
        </w:tabs>
        <w:autoSpaceDE w:val="0"/>
        <w:autoSpaceDN w:val="0"/>
        <w:adjustRightInd w:val="0"/>
        <w:spacing w:after="40" w:line="240" w:lineRule="auto"/>
        <w:rPr>
          <w:rFonts w:cstheme="minorHAnsi"/>
          <w:b/>
          <w:sz w:val="24"/>
          <w:szCs w:val="24"/>
          <w:lang w:eastAsia="cs-CZ"/>
        </w:rPr>
      </w:pPr>
      <w:r w:rsidRPr="00485081">
        <w:rPr>
          <w:rFonts w:cstheme="minorHAnsi"/>
          <w:b/>
          <w:sz w:val="24"/>
          <w:szCs w:val="24"/>
          <w:lang w:eastAsia="cs-CZ"/>
        </w:rPr>
        <w:t xml:space="preserve">Tabulka č. 1 – Přehled majetkových účastí státu ve správě </w:t>
      </w:r>
      <w:r w:rsidR="00C2589C" w:rsidRPr="00485081">
        <w:rPr>
          <w:rFonts w:cstheme="minorHAnsi"/>
          <w:b/>
          <w:sz w:val="24"/>
          <w:szCs w:val="24"/>
          <w:lang w:eastAsia="cs-CZ"/>
        </w:rPr>
        <w:t>MF</w:t>
      </w:r>
      <w:r w:rsidR="009F15EB" w:rsidRPr="00485081">
        <w:rPr>
          <w:rFonts w:cstheme="minorHAnsi"/>
          <w:b/>
          <w:sz w:val="24"/>
          <w:szCs w:val="24"/>
          <w:lang w:eastAsia="cs-CZ"/>
        </w:rPr>
        <w:tab/>
      </w:r>
      <w:r w:rsidRPr="00485081">
        <w:rPr>
          <w:rFonts w:cstheme="minorHAnsi"/>
          <w:b/>
          <w:sz w:val="24"/>
          <w:szCs w:val="24"/>
          <w:lang w:eastAsia="cs-CZ"/>
        </w:rPr>
        <w:t>(</w:t>
      </w:r>
      <w:r w:rsidR="00307745" w:rsidRPr="00485081">
        <w:rPr>
          <w:rFonts w:cstheme="minorHAnsi"/>
          <w:b/>
          <w:sz w:val="24"/>
          <w:szCs w:val="24"/>
          <w:lang w:eastAsia="cs-CZ"/>
        </w:rPr>
        <w:t xml:space="preserve">v </w:t>
      </w:r>
      <w:r w:rsidRPr="00485081">
        <w:rPr>
          <w:rFonts w:cstheme="minorHAnsi"/>
          <w:b/>
          <w:sz w:val="24"/>
          <w:szCs w:val="24"/>
          <w:lang w:eastAsia="cs-CZ"/>
        </w:rPr>
        <w:t>tis. Kč)</w:t>
      </w:r>
    </w:p>
    <w:tbl>
      <w:tblPr>
        <w:tblW w:w="907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7"/>
        <w:gridCol w:w="608"/>
        <w:gridCol w:w="1754"/>
        <w:gridCol w:w="608"/>
        <w:gridCol w:w="1952"/>
        <w:gridCol w:w="608"/>
        <w:gridCol w:w="1809"/>
      </w:tblGrid>
      <w:tr w:rsidR="00617F42" w:rsidRPr="00836ABC" w14:paraId="32B8D02C" w14:textId="77777777" w:rsidTr="00836ABC">
        <w:trPr>
          <w:trHeight w:val="227"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1B83C" w14:textId="77777777" w:rsidR="00617F42" w:rsidRPr="00485081" w:rsidRDefault="00617F42" w:rsidP="00BB3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 xml:space="preserve">Obchodní </w:t>
            </w: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  <w:t>společnosti</w:t>
            </w:r>
          </w:p>
        </w:tc>
        <w:tc>
          <w:tcPr>
            <w:tcW w:w="23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35BD20" w14:textId="665B5240" w:rsidR="00617F42" w:rsidRPr="00485081" w:rsidRDefault="00617F42" w:rsidP="00F04E5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31. 12. 2012</w:t>
            </w: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A53AAF" w14:textId="586F3EAF" w:rsidR="00617F42" w:rsidRPr="00485081" w:rsidRDefault="00617F42" w:rsidP="00F04E5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31. 12. 2013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91F0C" w14:textId="3EC4ACD2" w:rsidR="00617F42" w:rsidRPr="00485081" w:rsidRDefault="00617F42" w:rsidP="00F04E59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31. 12. 2014</w:t>
            </w:r>
          </w:p>
        </w:tc>
      </w:tr>
      <w:tr w:rsidR="00617F42" w:rsidRPr="00836ABC" w14:paraId="1805E7EF" w14:textId="77777777" w:rsidTr="00836ABC">
        <w:trPr>
          <w:trHeight w:val="227"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0664" w14:textId="77777777" w:rsidR="00617F42" w:rsidRPr="00485081" w:rsidRDefault="00617F42" w:rsidP="00BB3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D256F" w14:textId="77777777" w:rsidR="00617F42" w:rsidRPr="00485081" w:rsidRDefault="00617F42" w:rsidP="00BB3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1FDF3" w14:textId="77777777" w:rsidR="00617F42" w:rsidRPr="00485081" w:rsidRDefault="00617F42" w:rsidP="00836AB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Jmenovitá</w:t>
            </w:r>
            <w:r w:rsidR="00836ABC"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hodnota účastí ve správě MF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2818F6" w14:textId="77777777" w:rsidR="00617F42" w:rsidRPr="00485081" w:rsidRDefault="00617F42" w:rsidP="00BB3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526C5D" w14:textId="77777777" w:rsidR="00617F42" w:rsidRPr="00485081" w:rsidRDefault="00617F42" w:rsidP="00836AB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Jmenovitá</w:t>
            </w:r>
            <w:r w:rsidR="00836ABC"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hodnota účastí ve správě MF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3DAD8" w14:textId="77777777" w:rsidR="00617F42" w:rsidRPr="00485081" w:rsidRDefault="00617F42" w:rsidP="00BB38C3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Počet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BF46A4" w14:textId="77777777" w:rsidR="00617F42" w:rsidRPr="00485081" w:rsidRDefault="00617F42" w:rsidP="00836ABC">
            <w:pPr>
              <w:spacing w:after="0" w:line="240" w:lineRule="auto"/>
              <w:jc w:val="center"/>
              <w:rPr>
                <w:rFonts w:ascii="Calibri" w:hAnsi="Calibri" w:cs="Calibri"/>
                <w:b/>
                <w:color w:val="000000"/>
                <w:sz w:val="20"/>
                <w:szCs w:val="20"/>
              </w:rPr>
            </w:pP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Jmenovitá</w:t>
            </w:r>
            <w:r w:rsidR="00836ABC"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br/>
            </w:r>
            <w:r w:rsidRPr="00485081">
              <w:rPr>
                <w:rFonts w:ascii="Calibri" w:hAnsi="Calibri" w:cs="Calibri"/>
                <w:b/>
                <w:color w:val="000000"/>
                <w:sz w:val="20"/>
                <w:szCs w:val="20"/>
              </w:rPr>
              <w:t>hodnota účastí ve správě MF</w:t>
            </w:r>
          </w:p>
        </w:tc>
      </w:tr>
      <w:tr w:rsidR="00617F42" w:rsidRPr="00836ABC" w14:paraId="32CE0C8B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F7419" w14:textId="1A26C7B0" w:rsidR="00617F42" w:rsidRPr="00836ABC" w:rsidRDefault="00F04E59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T</w:t>
            </w:r>
            <w:r w:rsidR="00617F42"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uzemské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5A65E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C4255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99 724 223,430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C99D15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59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9BFF2C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101 617 855,344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9454D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0480CC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100 102 305,214</w:t>
            </w:r>
          </w:p>
        </w:tc>
      </w:tr>
      <w:tr w:rsidR="00617F42" w:rsidRPr="00836ABC" w14:paraId="5E245574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C402B2" w14:textId="77777777" w:rsidR="00617F42" w:rsidRPr="00836ABC" w:rsidRDefault="00617F42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z toho strategické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8241A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7DF78D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82 662 772,200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AAAB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66925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82 721 633,200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C7035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96AD6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88 081 334,700</w:t>
            </w:r>
          </w:p>
        </w:tc>
      </w:tr>
      <w:tr w:rsidR="00617F42" w:rsidRPr="00836ABC" w14:paraId="5E5D5C3B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F2872" w14:textId="5CC764C8" w:rsidR="00617F42" w:rsidRPr="00836ABC" w:rsidRDefault="00F04E59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Z</w:t>
            </w:r>
            <w:r w:rsidR="00617F42"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ahraniční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F6712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51E638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1 989 481,561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F9D387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4AC13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1 989 481,561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A1A0F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86A464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1 989 481,561</w:t>
            </w:r>
          </w:p>
        </w:tc>
      </w:tr>
      <w:tr w:rsidR="00617F42" w:rsidRPr="00836ABC" w14:paraId="02D2DB13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A81D59" w14:textId="77777777" w:rsidR="00617F42" w:rsidRPr="00836ABC" w:rsidRDefault="00617F42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z toho strategické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AB7F9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0A0BA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2CE2B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BC3637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0,000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8B9B7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9843C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1 989 439,617</w:t>
            </w:r>
          </w:p>
        </w:tc>
      </w:tr>
      <w:tr w:rsidR="00617F42" w:rsidRPr="00836ABC" w14:paraId="067C8492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2B233E" w14:textId="68722F2F" w:rsidR="00617F42" w:rsidRPr="00836ABC" w:rsidRDefault="00F04E59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C</w:t>
            </w:r>
            <w:r w:rsidR="00617F42"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elkem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3FC56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63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42E8F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101 713 704,991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AEA16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30212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103 607 336,905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C3293B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19B37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102 091 786,775</w:t>
            </w:r>
          </w:p>
        </w:tc>
      </w:tr>
      <w:tr w:rsidR="00617F42" w:rsidRPr="00836ABC" w14:paraId="7EE7820B" w14:textId="77777777" w:rsidTr="00066E79">
        <w:trPr>
          <w:trHeight w:val="227"/>
        </w:trPr>
        <w:tc>
          <w:tcPr>
            <w:tcW w:w="1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6849E" w14:textId="77777777" w:rsidR="00617F42" w:rsidRPr="00836ABC" w:rsidRDefault="00617F42" w:rsidP="00C35C86">
            <w:pPr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- z toho strategické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A885A" w14:textId="77777777" w:rsidR="00617F42" w:rsidRPr="00836ABC" w:rsidRDefault="00617F42" w:rsidP="00066E79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DAE59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82 662 772,200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F67B60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9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E7F30F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82 721 633,200</w:t>
            </w:r>
          </w:p>
        </w:tc>
        <w:tc>
          <w:tcPr>
            <w:tcW w:w="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64507B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043D8" w14:textId="77777777" w:rsidR="00617F42" w:rsidRPr="00836ABC" w:rsidRDefault="00617F42" w:rsidP="00BB38C3">
            <w:pPr>
              <w:spacing w:after="0" w:line="240" w:lineRule="auto"/>
              <w:ind w:right="57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836ABC">
              <w:rPr>
                <w:rFonts w:ascii="Calibri" w:hAnsi="Calibri" w:cs="Calibri"/>
                <w:color w:val="000000"/>
                <w:sz w:val="20"/>
                <w:szCs w:val="20"/>
              </w:rPr>
              <w:t>90 070 774,317</w:t>
            </w:r>
          </w:p>
        </w:tc>
      </w:tr>
    </w:tbl>
    <w:p w14:paraId="1274D244" w14:textId="498984E8" w:rsidR="00617F42" w:rsidRPr="00C27722" w:rsidRDefault="00617F42" w:rsidP="00BB38C3">
      <w:pPr>
        <w:pStyle w:val="Odstavecseseznamem"/>
        <w:autoSpaceDE w:val="0"/>
        <w:autoSpaceDN w:val="0"/>
        <w:adjustRightInd w:val="0"/>
        <w:spacing w:before="40"/>
        <w:ind w:left="567" w:hanging="567"/>
        <w:jc w:val="both"/>
        <w:rPr>
          <w:rFonts w:asciiTheme="minorHAnsi" w:hAnsiTheme="minorHAnsi" w:cstheme="minorHAnsi"/>
          <w:bCs/>
          <w:sz w:val="20"/>
          <w:szCs w:val="20"/>
          <w:lang w:eastAsia="cs-CZ"/>
        </w:rPr>
      </w:pPr>
      <w:r w:rsidRPr="004D7032">
        <w:rPr>
          <w:rFonts w:asciiTheme="minorHAnsi" w:hAnsiTheme="minorHAnsi" w:cstheme="minorHAnsi"/>
          <w:b/>
          <w:sz w:val="20"/>
          <w:szCs w:val="20"/>
          <w:lang w:eastAsia="cs-CZ"/>
        </w:rPr>
        <w:t>Zdroj:</w:t>
      </w:r>
      <w:r w:rsidR="00307745">
        <w:rPr>
          <w:rFonts w:asciiTheme="minorHAnsi" w:hAnsiTheme="minorHAnsi" w:cstheme="minorHAnsi"/>
          <w:sz w:val="20"/>
          <w:szCs w:val="20"/>
          <w:lang w:eastAsia="cs-CZ"/>
        </w:rPr>
        <w:t xml:space="preserve"> </w:t>
      </w:r>
      <w:r w:rsidR="00BB38C3">
        <w:rPr>
          <w:rFonts w:asciiTheme="minorHAnsi" w:hAnsiTheme="minorHAnsi" w:cstheme="minorHAnsi"/>
          <w:sz w:val="20"/>
          <w:szCs w:val="20"/>
          <w:lang w:eastAsia="cs-CZ"/>
        </w:rPr>
        <w:tab/>
      </w:r>
      <w:r w:rsidR="00204121">
        <w:rPr>
          <w:rFonts w:asciiTheme="minorHAnsi" w:hAnsiTheme="minorHAnsi" w:cstheme="minorHAnsi"/>
          <w:bCs/>
          <w:sz w:val="20"/>
          <w:szCs w:val="20"/>
          <w:lang w:eastAsia="cs-CZ"/>
        </w:rPr>
        <w:t>p</w:t>
      </w:r>
      <w:r w:rsidRPr="00C27722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řehledy </w:t>
      </w:r>
      <w:r w:rsidR="00F04E59">
        <w:rPr>
          <w:rFonts w:asciiTheme="minorHAnsi" w:hAnsiTheme="minorHAnsi" w:cstheme="minorHAnsi"/>
          <w:bCs/>
          <w:sz w:val="20"/>
          <w:szCs w:val="20"/>
          <w:lang w:eastAsia="cs-CZ"/>
        </w:rPr>
        <w:t>majetkových účastí</w:t>
      </w:r>
      <w:r w:rsidRPr="00C27722">
        <w:rPr>
          <w:rFonts w:asciiTheme="minorHAnsi" w:hAnsiTheme="minorHAnsi" w:cstheme="minorHAnsi"/>
          <w:bCs/>
          <w:sz w:val="20"/>
          <w:szCs w:val="20"/>
          <w:lang w:eastAsia="cs-CZ"/>
        </w:rPr>
        <w:t xml:space="preserve"> státu v obchodních společnostech evidované příslušnými odbory a</w:t>
      </w:r>
      <w:r w:rsidR="00F04E59">
        <w:rPr>
          <w:rFonts w:asciiTheme="minorHAnsi" w:hAnsiTheme="minorHAnsi" w:cstheme="minorHAnsi"/>
          <w:bCs/>
          <w:sz w:val="20"/>
          <w:szCs w:val="20"/>
          <w:lang w:eastAsia="cs-CZ"/>
        </w:rPr>
        <w:t> </w:t>
      </w:r>
      <w:r w:rsidRPr="00C27722">
        <w:rPr>
          <w:rFonts w:asciiTheme="minorHAnsi" w:hAnsiTheme="minorHAnsi" w:cstheme="minorHAnsi"/>
          <w:bCs/>
          <w:sz w:val="20"/>
          <w:szCs w:val="20"/>
          <w:lang w:eastAsia="cs-CZ"/>
        </w:rPr>
        <w:t>samostatnými odděleními MF</w:t>
      </w:r>
      <w:r w:rsidR="00E06787">
        <w:rPr>
          <w:rFonts w:asciiTheme="minorHAnsi" w:hAnsiTheme="minorHAnsi" w:cstheme="minorHAnsi"/>
          <w:bCs/>
          <w:sz w:val="20"/>
          <w:szCs w:val="20"/>
          <w:lang w:eastAsia="cs-CZ"/>
        </w:rPr>
        <w:t>.</w:t>
      </w:r>
    </w:p>
    <w:p w14:paraId="26B32E55" w14:textId="74B5487E" w:rsidR="009947BF" w:rsidRDefault="00617F42" w:rsidP="00255B1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4D7032">
        <w:rPr>
          <w:rFonts w:cstheme="minorHAnsi"/>
          <w:b/>
          <w:sz w:val="20"/>
          <w:szCs w:val="20"/>
          <w:lang w:eastAsia="cs-CZ"/>
        </w:rPr>
        <w:t>Pozn.:</w:t>
      </w:r>
      <w:r w:rsidRPr="00C27722">
        <w:rPr>
          <w:rFonts w:cstheme="minorHAnsi"/>
          <w:sz w:val="20"/>
          <w:szCs w:val="20"/>
          <w:lang w:eastAsia="cs-CZ"/>
        </w:rPr>
        <w:t xml:space="preserve"> </w:t>
      </w:r>
      <w:r w:rsidR="00BB38C3">
        <w:rPr>
          <w:rFonts w:cstheme="minorHAnsi"/>
          <w:sz w:val="20"/>
          <w:szCs w:val="20"/>
          <w:lang w:eastAsia="cs-CZ"/>
        </w:rPr>
        <w:tab/>
      </w:r>
      <w:r w:rsidRPr="00C27722">
        <w:rPr>
          <w:rFonts w:cstheme="minorHAnsi"/>
          <w:sz w:val="20"/>
          <w:szCs w:val="20"/>
          <w:lang w:eastAsia="cs-CZ"/>
        </w:rPr>
        <w:t xml:space="preserve">Jmenovitá hodnota MÚ v zahraničních společnostech je uvedena v Kč, pro její vyjádření slouží hodnota </w:t>
      </w:r>
      <w:r w:rsidRPr="00686EBC">
        <w:rPr>
          <w:rFonts w:cstheme="minorHAnsi"/>
          <w:sz w:val="20"/>
          <w:szCs w:val="20"/>
          <w:lang w:eastAsia="cs-CZ"/>
        </w:rPr>
        <w:t>používaná M</w:t>
      </w:r>
      <w:r w:rsidR="003C4829" w:rsidRPr="00686EBC">
        <w:rPr>
          <w:rFonts w:cstheme="minorHAnsi"/>
          <w:sz w:val="20"/>
          <w:szCs w:val="20"/>
          <w:lang w:eastAsia="cs-CZ"/>
        </w:rPr>
        <w:t>F</w:t>
      </w:r>
      <w:r w:rsidRPr="00686EBC">
        <w:rPr>
          <w:rFonts w:cstheme="minorHAnsi"/>
          <w:sz w:val="20"/>
          <w:szCs w:val="20"/>
          <w:lang w:eastAsia="cs-CZ"/>
        </w:rPr>
        <w:t xml:space="preserve"> (kur</w:t>
      </w:r>
      <w:r w:rsidR="00F04E59">
        <w:rPr>
          <w:rFonts w:cstheme="minorHAnsi"/>
          <w:sz w:val="20"/>
          <w:szCs w:val="20"/>
          <w:lang w:eastAsia="cs-CZ"/>
        </w:rPr>
        <w:t>z</w:t>
      </w:r>
      <w:r w:rsidRPr="00686EBC">
        <w:rPr>
          <w:rFonts w:cstheme="minorHAnsi"/>
          <w:sz w:val="20"/>
          <w:szCs w:val="20"/>
          <w:lang w:eastAsia="cs-CZ"/>
        </w:rPr>
        <w:t xml:space="preserve"> ČNB k 31. 12. 2007 u MÚ v F</w:t>
      </w:r>
      <w:r w:rsidR="00F04E59">
        <w:rPr>
          <w:rFonts w:cstheme="minorHAnsi"/>
          <w:sz w:val="20"/>
          <w:szCs w:val="20"/>
          <w:lang w:eastAsia="cs-CZ"/>
        </w:rPr>
        <w:t>t</w:t>
      </w:r>
      <w:r w:rsidRPr="00686EBC">
        <w:rPr>
          <w:rFonts w:cstheme="minorHAnsi"/>
          <w:sz w:val="20"/>
          <w:szCs w:val="20"/>
          <w:lang w:eastAsia="cs-CZ"/>
        </w:rPr>
        <w:t>, pevný kur</w:t>
      </w:r>
      <w:r w:rsidR="00F04E59">
        <w:rPr>
          <w:rFonts w:cstheme="minorHAnsi"/>
          <w:sz w:val="20"/>
          <w:szCs w:val="20"/>
          <w:lang w:eastAsia="cs-CZ"/>
        </w:rPr>
        <w:t>z</w:t>
      </w:r>
      <w:r w:rsidRPr="00686EBC">
        <w:rPr>
          <w:rFonts w:cstheme="minorHAnsi"/>
          <w:sz w:val="20"/>
          <w:szCs w:val="20"/>
          <w:lang w:eastAsia="cs-CZ"/>
        </w:rPr>
        <w:t xml:space="preserve"> MF k 1. 1. 2010 u MÚ v </w:t>
      </w:r>
      <w:r w:rsidR="00956B4F">
        <w:rPr>
          <w:rFonts w:cstheme="minorHAnsi"/>
          <w:sz w:val="20"/>
          <w:szCs w:val="20"/>
          <w:lang w:eastAsia="cs-CZ"/>
        </w:rPr>
        <w:t>€</w:t>
      </w:r>
      <w:r w:rsidRPr="00686EBC">
        <w:rPr>
          <w:rFonts w:cstheme="minorHAnsi"/>
          <w:sz w:val="20"/>
          <w:szCs w:val="20"/>
          <w:lang w:eastAsia="cs-CZ"/>
        </w:rPr>
        <w:t>)</w:t>
      </w:r>
      <w:r w:rsidR="00E06787">
        <w:rPr>
          <w:rFonts w:cstheme="minorHAnsi"/>
          <w:sz w:val="20"/>
          <w:szCs w:val="20"/>
          <w:lang w:eastAsia="cs-CZ"/>
        </w:rPr>
        <w:t>.</w:t>
      </w:r>
      <w:r w:rsidR="00307745">
        <w:rPr>
          <w:rFonts w:cstheme="minorHAnsi"/>
          <w:sz w:val="20"/>
          <w:szCs w:val="20"/>
          <w:lang w:eastAsia="cs-CZ"/>
        </w:rPr>
        <w:t xml:space="preserve"> </w:t>
      </w:r>
    </w:p>
    <w:p w14:paraId="43052C20" w14:textId="77777777" w:rsidR="00255B1C" w:rsidRPr="00BB38C3" w:rsidRDefault="00255B1C" w:rsidP="00BB38C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Cs w:val="20"/>
          <w:lang w:eastAsia="cs-CZ"/>
        </w:rPr>
      </w:pPr>
    </w:p>
    <w:p w14:paraId="387A98C6" w14:textId="2F540CF0" w:rsidR="00255B1C" w:rsidRDefault="00617F42" w:rsidP="00BB38C3">
      <w:pPr>
        <w:pStyle w:val="Default"/>
        <w:jc w:val="both"/>
        <w:rPr>
          <w:rFonts w:asciiTheme="minorHAnsi" w:hAnsiTheme="minorHAnsi" w:cstheme="minorHAnsi"/>
          <w:color w:val="auto"/>
          <w:szCs w:val="22"/>
        </w:rPr>
      </w:pPr>
      <w:r w:rsidRPr="008E2EEE">
        <w:rPr>
          <w:rFonts w:asciiTheme="minorHAnsi" w:hAnsiTheme="minorHAnsi" w:cstheme="minorHAnsi"/>
          <w:color w:val="auto"/>
          <w:szCs w:val="22"/>
        </w:rPr>
        <w:t xml:space="preserve">Ministerstvo průmyslu a obchodu je ústředním orgánem státní správy </w:t>
      </w:r>
      <w:r w:rsidR="00B97C50" w:rsidRPr="008E2EEE">
        <w:rPr>
          <w:rFonts w:asciiTheme="minorHAnsi" w:hAnsiTheme="minorHAnsi" w:cstheme="minorHAnsi"/>
          <w:color w:val="auto"/>
          <w:szCs w:val="22"/>
        </w:rPr>
        <w:t>mimo jiné</w:t>
      </w:r>
      <w:r w:rsidRPr="008E2EEE">
        <w:rPr>
          <w:rFonts w:asciiTheme="minorHAnsi" w:hAnsiTheme="minorHAnsi" w:cstheme="minorHAnsi"/>
          <w:color w:val="auto"/>
          <w:szCs w:val="22"/>
        </w:rPr>
        <w:t xml:space="preserve"> pro státní průmyslovou politiku, obchodní politiku, zahraničně ekonomickou politiku, energetiku, zahraniční obchod a podporu exportu. MPO je organizační složkou státu, účetní jednotkou a</w:t>
      </w:r>
      <w:r w:rsidR="00596C90" w:rsidRPr="008E2EEE">
        <w:rPr>
          <w:rFonts w:asciiTheme="minorHAnsi" w:hAnsiTheme="minorHAnsi" w:cstheme="minorHAnsi"/>
          <w:color w:val="auto"/>
          <w:szCs w:val="22"/>
        </w:rPr>
        <w:t> </w:t>
      </w:r>
      <w:r w:rsidRPr="008E2EEE">
        <w:rPr>
          <w:rFonts w:asciiTheme="minorHAnsi" w:hAnsiTheme="minorHAnsi" w:cstheme="minorHAnsi"/>
          <w:color w:val="auto"/>
          <w:szCs w:val="22"/>
        </w:rPr>
        <w:t xml:space="preserve">správcem kapitoly státního rozpočtu 322 </w:t>
      </w:r>
      <w:r w:rsidR="00F41EC1" w:rsidRPr="008E2EEE">
        <w:rPr>
          <w:rFonts w:asciiTheme="minorHAnsi" w:hAnsiTheme="minorHAnsi" w:cstheme="minorHAnsi"/>
          <w:color w:val="auto"/>
          <w:szCs w:val="22"/>
        </w:rPr>
        <w:t>–</w:t>
      </w:r>
      <w:r w:rsidRPr="008E2EEE">
        <w:rPr>
          <w:rFonts w:asciiTheme="minorHAnsi" w:hAnsiTheme="minorHAnsi" w:cstheme="minorHAnsi"/>
          <w:color w:val="auto"/>
          <w:szCs w:val="22"/>
        </w:rPr>
        <w:t xml:space="preserve"> </w:t>
      </w:r>
      <w:r w:rsidRPr="00485081">
        <w:rPr>
          <w:rFonts w:asciiTheme="minorHAnsi" w:hAnsiTheme="minorHAnsi" w:cstheme="minorHAnsi"/>
          <w:i/>
          <w:color w:val="auto"/>
          <w:szCs w:val="22"/>
        </w:rPr>
        <w:t>Ministerstvo průmyslu a obchodu</w:t>
      </w:r>
      <w:r w:rsidRPr="008E2EEE">
        <w:rPr>
          <w:rFonts w:asciiTheme="minorHAnsi" w:hAnsiTheme="minorHAnsi" w:cstheme="minorHAnsi"/>
          <w:color w:val="auto"/>
          <w:szCs w:val="22"/>
        </w:rPr>
        <w:t xml:space="preserve">. </w:t>
      </w:r>
      <w:r w:rsidR="001D161B" w:rsidRPr="008E2EEE">
        <w:rPr>
          <w:rFonts w:asciiTheme="minorHAnsi" w:hAnsiTheme="minorHAnsi" w:cstheme="minorHAnsi"/>
          <w:color w:val="auto"/>
          <w:szCs w:val="22"/>
        </w:rPr>
        <w:t>MPO považuje v</w:t>
      </w:r>
      <w:r w:rsidR="00897BD9" w:rsidRPr="008E2EEE">
        <w:rPr>
          <w:rFonts w:asciiTheme="minorHAnsi" w:hAnsiTheme="minorHAnsi" w:cstheme="minorHAnsi"/>
          <w:color w:val="auto"/>
          <w:szCs w:val="22"/>
        </w:rPr>
        <w:t xml:space="preserve">šechny </w:t>
      </w:r>
      <w:r w:rsidR="00321456" w:rsidRPr="008E2EEE">
        <w:rPr>
          <w:rFonts w:asciiTheme="minorHAnsi" w:hAnsiTheme="minorHAnsi" w:cstheme="minorHAnsi"/>
          <w:color w:val="auto"/>
          <w:szCs w:val="22"/>
        </w:rPr>
        <w:t>majetkové účasti</w:t>
      </w:r>
      <w:r w:rsidR="005017D6" w:rsidRPr="008E2EEE">
        <w:rPr>
          <w:rFonts w:asciiTheme="minorHAnsi" w:hAnsiTheme="minorHAnsi" w:cstheme="minorHAnsi"/>
          <w:color w:val="auto"/>
          <w:szCs w:val="22"/>
        </w:rPr>
        <w:t xml:space="preserve">, </w:t>
      </w:r>
      <w:r w:rsidR="00897BD9" w:rsidRPr="008E2EEE">
        <w:rPr>
          <w:rFonts w:asciiTheme="minorHAnsi" w:hAnsiTheme="minorHAnsi" w:cstheme="minorHAnsi"/>
          <w:color w:val="auto"/>
          <w:szCs w:val="22"/>
        </w:rPr>
        <w:t>s </w:t>
      </w:r>
      <w:r w:rsidR="005017D6" w:rsidRPr="008E2EEE">
        <w:rPr>
          <w:rFonts w:asciiTheme="minorHAnsi" w:hAnsiTheme="minorHAnsi" w:cstheme="minorHAnsi"/>
          <w:color w:val="auto"/>
          <w:szCs w:val="22"/>
        </w:rPr>
        <w:t>ni</w:t>
      </w:r>
      <w:r w:rsidR="00897BD9" w:rsidRPr="008E2EEE">
        <w:rPr>
          <w:rFonts w:asciiTheme="minorHAnsi" w:hAnsiTheme="minorHAnsi" w:cstheme="minorHAnsi"/>
          <w:color w:val="auto"/>
          <w:szCs w:val="22"/>
        </w:rPr>
        <w:t>miž je</w:t>
      </w:r>
      <w:r w:rsidR="00337660" w:rsidRPr="008E2EEE">
        <w:rPr>
          <w:rFonts w:asciiTheme="minorHAnsi" w:hAnsiTheme="minorHAnsi" w:cstheme="minorHAnsi"/>
          <w:color w:val="auto"/>
          <w:szCs w:val="22"/>
        </w:rPr>
        <w:t xml:space="preserve"> </w:t>
      </w:r>
      <w:r w:rsidR="00897BD9" w:rsidRPr="008E2EEE">
        <w:rPr>
          <w:rFonts w:asciiTheme="minorHAnsi" w:hAnsiTheme="minorHAnsi" w:cstheme="minorHAnsi"/>
          <w:color w:val="auto"/>
          <w:szCs w:val="22"/>
        </w:rPr>
        <w:t>příslušné hospodařit,</w:t>
      </w:r>
      <w:r w:rsidR="005017D6" w:rsidRPr="008E2EEE">
        <w:rPr>
          <w:rFonts w:asciiTheme="minorHAnsi" w:hAnsiTheme="minorHAnsi" w:cstheme="minorHAnsi"/>
          <w:color w:val="auto"/>
          <w:szCs w:val="22"/>
        </w:rPr>
        <w:t xml:space="preserve"> za strategické</w:t>
      </w:r>
      <w:r w:rsidRPr="008E2EEE">
        <w:rPr>
          <w:rFonts w:asciiTheme="minorHAnsi" w:hAnsiTheme="minorHAnsi" w:cstheme="minorHAnsi"/>
          <w:color w:val="auto"/>
          <w:szCs w:val="22"/>
        </w:rPr>
        <w:t xml:space="preserve"> (</w:t>
      </w:r>
      <w:r w:rsidR="0046100F">
        <w:rPr>
          <w:rFonts w:asciiTheme="minorHAnsi" w:hAnsiTheme="minorHAnsi" w:cstheme="minorHAnsi"/>
          <w:color w:val="auto"/>
          <w:szCs w:val="22"/>
        </w:rPr>
        <w:t xml:space="preserve">viz </w:t>
      </w:r>
      <w:r w:rsidRPr="008E2EEE">
        <w:rPr>
          <w:rFonts w:asciiTheme="minorHAnsi" w:hAnsiTheme="minorHAnsi" w:cstheme="minorHAnsi"/>
          <w:color w:val="auto"/>
          <w:szCs w:val="22"/>
        </w:rPr>
        <w:t>tabulka č.</w:t>
      </w:r>
      <w:r w:rsidR="00816DD3" w:rsidRPr="008E2EEE">
        <w:rPr>
          <w:rFonts w:asciiTheme="minorHAnsi" w:hAnsiTheme="minorHAnsi" w:cstheme="minorHAnsi"/>
          <w:color w:val="auto"/>
          <w:szCs w:val="22"/>
        </w:rPr>
        <w:t> </w:t>
      </w:r>
      <w:r w:rsidR="00C12238" w:rsidRPr="008E2EEE">
        <w:rPr>
          <w:rFonts w:asciiTheme="minorHAnsi" w:hAnsiTheme="minorHAnsi" w:cstheme="minorHAnsi"/>
          <w:color w:val="auto"/>
          <w:szCs w:val="22"/>
        </w:rPr>
        <w:t>2</w:t>
      </w:r>
      <w:r w:rsidRPr="008E2EEE">
        <w:rPr>
          <w:rFonts w:asciiTheme="minorHAnsi" w:hAnsiTheme="minorHAnsi" w:cstheme="minorHAnsi"/>
          <w:color w:val="auto"/>
          <w:szCs w:val="22"/>
        </w:rPr>
        <w:t>).</w:t>
      </w:r>
      <w:r w:rsidR="009E6ACB">
        <w:rPr>
          <w:rFonts w:asciiTheme="minorHAnsi" w:hAnsiTheme="minorHAnsi" w:cstheme="minorHAnsi"/>
          <w:color w:val="auto"/>
          <w:szCs w:val="22"/>
        </w:rPr>
        <w:t xml:space="preserve"> </w:t>
      </w:r>
    </w:p>
    <w:p w14:paraId="5243B2E7" w14:textId="77777777" w:rsidR="00255B1C" w:rsidRPr="009E6ACB" w:rsidRDefault="00255B1C" w:rsidP="00BB38C3">
      <w:pPr>
        <w:pStyle w:val="Default"/>
        <w:jc w:val="both"/>
        <w:rPr>
          <w:rFonts w:asciiTheme="minorHAnsi" w:hAnsiTheme="minorHAnsi" w:cstheme="minorHAnsi"/>
          <w:color w:val="auto"/>
          <w:szCs w:val="22"/>
        </w:rPr>
      </w:pPr>
    </w:p>
    <w:p w14:paraId="0A3332FE" w14:textId="77777777" w:rsidR="00D119B6" w:rsidRDefault="00D119B6" w:rsidP="00BB38C3">
      <w:pPr>
        <w:spacing w:after="0" w:line="240" w:lineRule="auto"/>
        <w:rPr>
          <w:rFonts w:cstheme="minorHAnsi"/>
          <w:bCs/>
          <w:iCs/>
          <w:sz w:val="24"/>
        </w:rPr>
      </w:pPr>
      <w:r>
        <w:rPr>
          <w:rFonts w:cstheme="minorHAnsi"/>
          <w:bCs/>
          <w:iCs/>
          <w:sz w:val="24"/>
        </w:rPr>
        <w:br w:type="page"/>
      </w:r>
    </w:p>
    <w:p w14:paraId="69380367" w14:textId="77777777" w:rsidR="00A75563" w:rsidRPr="00485081" w:rsidRDefault="00A75563" w:rsidP="00204121">
      <w:pPr>
        <w:tabs>
          <w:tab w:val="right" w:pos="9072"/>
        </w:tabs>
        <w:spacing w:after="40" w:line="240" w:lineRule="auto"/>
        <w:rPr>
          <w:rFonts w:cstheme="minorHAnsi"/>
          <w:b/>
          <w:bCs/>
          <w:iCs/>
          <w:sz w:val="24"/>
        </w:rPr>
      </w:pPr>
      <w:r w:rsidRPr="00485081">
        <w:rPr>
          <w:rFonts w:cstheme="minorHAnsi"/>
          <w:b/>
          <w:bCs/>
          <w:iCs/>
          <w:sz w:val="24"/>
        </w:rPr>
        <w:lastRenderedPageBreak/>
        <w:t xml:space="preserve">Tabulka č. </w:t>
      </w:r>
      <w:r w:rsidR="006D5DF8" w:rsidRPr="00485081">
        <w:rPr>
          <w:rFonts w:cstheme="minorHAnsi"/>
          <w:b/>
          <w:bCs/>
          <w:iCs/>
          <w:sz w:val="24"/>
        </w:rPr>
        <w:t>2</w:t>
      </w:r>
      <w:r w:rsidRPr="00485081">
        <w:rPr>
          <w:rFonts w:cstheme="minorHAnsi"/>
          <w:b/>
          <w:bCs/>
          <w:iCs/>
          <w:sz w:val="24"/>
        </w:rPr>
        <w:t xml:space="preserve"> </w:t>
      </w:r>
      <w:r w:rsidR="00DC4ACB" w:rsidRPr="00485081">
        <w:rPr>
          <w:rFonts w:cstheme="minorHAnsi"/>
          <w:b/>
          <w:bCs/>
          <w:iCs/>
          <w:sz w:val="24"/>
        </w:rPr>
        <w:t>–</w:t>
      </w:r>
      <w:r w:rsidRPr="00485081">
        <w:rPr>
          <w:rFonts w:cstheme="minorHAnsi"/>
          <w:b/>
          <w:bCs/>
          <w:iCs/>
          <w:sz w:val="24"/>
        </w:rPr>
        <w:t xml:space="preserve"> Přehled majetkových účastí státu</w:t>
      </w:r>
      <w:r w:rsidR="00337660" w:rsidRPr="00485081">
        <w:rPr>
          <w:rFonts w:cstheme="minorHAnsi"/>
          <w:b/>
          <w:bCs/>
          <w:iCs/>
          <w:sz w:val="24"/>
        </w:rPr>
        <w:t xml:space="preserve"> ve správě</w:t>
      </w:r>
      <w:r w:rsidRPr="00485081">
        <w:rPr>
          <w:rFonts w:cstheme="minorHAnsi"/>
          <w:b/>
          <w:bCs/>
          <w:iCs/>
          <w:sz w:val="24"/>
        </w:rPr>
        <w:t xml:space="preserve"> MPO</w:t>
      </w:r>
      <w:r w:rsidR="009F15EB" w:rsidRPr="00485081">
        <w:rPr>
          <w:rFonts w:cstheme="minorHAnsi"/>
          <w:b/>
          <w:bCs/>
          <w:iCs/>
          <w:sz w:val="24"/>
        </w:rPr>
        <w:tab/>
      </w:r>
      <w:r w:rsidRPr="00485081">
        <w:rPr>
          <w:rFonts w:cstheme="minorHAnsi"/>
          <w:b/>
          <w:bCs/>
          <w:iCs/>
          <w:sz w:val="24"/>
        </w:rPr>
        <w:t>(</w:t>
      </w:r>
      <w:r w:rsidR="00307745" w:rsidRPr="00485081">
        <w:rPr>
          <w:rFonts w:cstheme="minorHAnsi"/>
          <w:b/>
          <w:bCs/>
          <w:iCs/>
          <w:sz w:val="24"/>
        </w:rPr>
        <w:t xml:space="preserve">v </w:t>
      </w:r>
      <w:r w:rsidR="00743A91" w:rsidRPr="00485081">
        <w:rPr>
          <w:rFonts w:cstheme="minorHAnsi"/>
          <w:b/>
          <w:bCs/>
          <w:iCs/>
          <w:sz w:val="24"/>
        </w:rPr>
        <w:t>tis.</w:t>
      </w:r>
      <w:r w:rsidRPr="00485081">
        <w:rPr>
          <w:rFonts w:cstheme="minorHAnsi"/>
          <w:b/>
          <w:bCs/>
          <w:iCs/>
          <w:sz w:val="24"/>
        </w:rPr>
        <w:t xml:space="preserve"> Kč)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8"/>
        <w:gridCol w:w="608"/>
        <w:gridCol w:w="1660"/>
        <w:gridCol w:w="709"/>
        <w:gridCol w:w="1701"/>
        <w:gridCol w:w="709"/>
        <w:gridCol w:w="1842"/>
      </w:tblGrid>
      <w:tr w:rsidR="00777200" w:rsidRPr="00C27722" w14:paraId="6CAD97B7" w14:textId="77777777" w:rsidTr="00836ABC">
        <w:trPr>
          <w:trHeight w:val="227"/>
        </w:trPr>
        <w:tc>
          <w:tcPr>
            <w:tcW w:w="18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E76B0C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Obchodní </w:t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br/>
              <w:t>společnosti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028306" w14:textId="093D979F" w:rsidR="00BD1056" w:rsidRPr="00485081" w:rsidRDefault="00BD1056" w:rsidP="00F04E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31. 12. 2012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696AF3" w14:textId="1AEE5CC5" w:rsidR="00BD1056" w:rsidRPr="00485081" w:rsidRDefault="00BD1056" w:rsidP="00F04E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31. 12. 2013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38CA17" w14:textId="4569B946" w:rsidR="00BD1056" w:rsidRPr="00485081" w:rsidRDefault="00BD1056" w:rsidP="00F04E59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31. 12. 2014</w:t>
            </w:r>
          </w:p>
        </w:tc>
      </w:tr>
      <w:tr w:rsidR="00777200" w:rsidRPr="00C27722" w14:paraId="58EDB6D4" w14:textId="77777777" w:rsidTr="00836ABC">
        <w:trPr>
          <w:trHeight w:val="227"/>
        </w:trPr>
        <w:tc>
          <w:tcPr>
            <w:tcW w:w="18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22CA2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72516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757D" w14:textId="77777777" w:rsidR="00BD1056" w:rsidRPr="00485081" w:rsidRDefault="00BD1056" w:rsidP="00836AB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Jmenovitá hodnota účastí </w:t>
            </w:r>
            <w:r w:rsidR="00836ABC"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br/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ve správě MPO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861499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129C4" w14:textId="77777777" w:rsidR="00BD1056" w:rsidRPr="00485081" w:rsidRDefault="00BD1056" w:rsidP="00836AB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Jmenovitá hodnota účastí </w:t>
            </w:r>
            <w:r w:rsidR="00836ABC"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br/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ve</w:t>
            </w:r>
            <w:r w:rsidR="009F15EB"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 </w:t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správě MPO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3C2B88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5EC664" w14:textId="77777777" w:rsidR="00BD1056" w:rsidRPr="00485081" w:rsidRDefault="00BD1056" w:rsidP="00836ABC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Jmenovitá </w:t>
            </w:r>
            <w:r w:rsidR="00836ABC"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br/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 xml:space="preserve">hodnota účastí </w:t>
            </w:r>
            <w:r w:rsidR="00836ABC"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br/>
            </w: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ve správě MPO</w:t>
            </w:r>
          </w:p>
        </w:tc>
      </w:tr>
      <w:tr w:rsidR="00777200" w:rsidRPr="00C27722" w14:paraId="7072A373" w14:textId="77777777" w:rsidTr="00066E7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BCE50" w14:textId="03F585C1" w:rsidR="00BD1056" w:rsidRPr="00C27722" w:rsidRDefault="00F04E59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  <w:r w:rsidR="00BD1056"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uzemské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6B119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74E459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69031F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9F7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5784F4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44D9F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14 331 002,647</w:t>
            </w:r>
          </w:p>
        </w:tc>
      </w:tr>
      <w:tr w:rsidR="00777200" w:rsidRPr="00C27722" w14:paraId="440AE20B" w14:textId="77777777" w:rsidTr="00066E7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F5790C" w14:textId="77777777" w:rsidR="00BD1056" w:rsidRPr="00C27722" w:rsidRDefault="00BD1056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- z toho strategické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1AE60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BA42B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5D2E0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079945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8FA0E4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C26D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14 331 002,647</w:t>
            </w:r>
          </w:p>
        </w:tc>
      </w:tr>
      <w:tr w:rsidR="00777200" w:rsidRPr="00C27722" w14:paraId="6FCD9AC1" w14:textId="77777777" w:rsidTr="00066E79">
        <w:trPr>
          <w:trHeight w:val="227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E94F6" w14:textId="7D18EFFC" w:rsidR="00BD1056" w:rsidRPr="00C27722" w:rsidRDefault="00F04E59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Z</w:t>
            </w:r>
            <w:r w:rsidR="00BD1056"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ahraniční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5A0D2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77114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29EF78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D4BB50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22DB7B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ADB5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</w:tr>
      <w:tr w:rsidR="00777200" w:rsidRPr="00C27722" w14:paraId="61ACDD80" w14:textId="77777777" w:rsidTr="00066E79">
        <w:trPr>
          <w:trHeight w:val="227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B6CB82" w14:textId="77777777" w:rsidR="00BD1056" w:rsidRPr="00C27722" w:rsidRDefault="00BD1056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AA1B8F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014EB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F384A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FF3C36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12 819 723,647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B5A879" w14:textId="77777777" w:rsidR="00BD1056" w:rsidRPr="00C27722" w:rsidRDefault="00BD1056" w:rsidP="00066E79">
            <w:pPr>
              <w:spacing w:after="0" w:line="240" w:lineRule="auto"/>
              <w:ind w:right="57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0D2764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14 331 002,647</w:t>
            </w:r>
          </w:p>
        </w:tc>
      </w:tr>
    </w:tbl>
    <w:p w14:paraId="3FBA5DDA" w14:textId="786393F4" w:rsidR="00A75563" w:rsidRPr="00686EBC" w:rsidRDefault="00A75563" w:rsidP="00836ABC">
      <w:pPr>
        <w:spacing w:before="40" w:after="0" w:line="240" w:lineRule="auto"/>
        <w:ind w:left="567" w:hanging="567"/>
        <w:jc w:val="both"/>
        <w:rPr>
          <w:rFonts w:cstheme="minorHAnsi"/>
          <w:bCs/>
          <w:iCs/>
          <w:sz w:val="20"/>
          <w:szCs w:val="20"/>
        </w:rPr>
      </w:pPr>
      <w:r w:rsidRPr="00F41EC1">
        <w:rPr>
          <w:rFonts w:cstheme="minorHAnsi"/>
          <w:b/>
          <w:bCs/>
          <w:iCs/>
          <w:sz w:val="20"/>
          <w:szCs w:val="20"/>
        </w:rPr>
        <w:t>Zdroj:</w:t>
      </w:r>
      <w:r w:rsidRPr="00EB4A9B">
        <w:rPr>
          <w:rFonts w:cstheme="minorHAnsi"/>
          <w:bCs/>
          <w:iCs/>
          <w:sz w:val="20"/>
          <w:szCs w:val="20"/>
        </w:rPr>
        <w:t xml:space="preserve"> </w:t>
      </w:r>
      <w:r w:rsidR="0046100F">
        <w:rPr>
          <w:rFonts w:cstheme="minorHAnsi"/>
          <w:bCs/>
          <w:iCs/>
          <w:sz w:val="20"/>
          <w:szCs w:val="20"/>
        </w:rPr>
        <w:t>o</w:t>
      </w:r>
      <w:r w:rsidR="00901BCE" w:rsidRPr="00EB4A9B">
        <w:rPr>
          <w:rFonts w:cstheme="minorHAnsi"/>
          <w:bCs/>
          <w:iCs/>
          <w:sz w:val="20"/>
          <w:szCs w:val="20"/>
        </w:rPr>
        <w:t>bchodní rejstřík, závěrečn</w:t>
      </w:r>
      <w:r w:rsidR="0046100F">
        <w:rPr>
          <w:rFonts w:cstheme="minorHAnsi"/>
          <w:bCs/>
          <w:iCs/>
          <w:sz w:val="20"/>
          <w:szCs w:val="20"/>
        </w:rPr>
        <w:t>é</w:t>
      </w:r>
      <w:r w:rsidR="00901BCE" w:rsidRPr="00EB4A9B">
        <w:rPr>
          <w:rFonts w:cstheme="minorHAnsi"/>
          <w:bCs/>
          <w:iCs/>
          <w:sz w:val="20"/>
          <w:szCs w:val="20"/>
        </w:rPr>
        <w:t xml:space="preserve"> účt</w:t>
      </w:r>
      <w:r w:rsidR="0046100F">
        <w:rPr>
          <w:rFonts w:cstheme="minorHAnsi"/>
          <w:bCs/>
          <w:iCs/>
          <w:sz w:val="20"/>
          <w:szCs w:val="20"/>
        </w:rPr>
        <w:t>y</w:t>
      </w:r>
      <w:r w:rsidR="00901BCE" w:rsidRPr="00EB4A9B">
        <w:rPr>
          <w:rFonts w:cstheme="minorHAnsi"/>
          <w:bCs/>
          <w:iCs/>
          <w:sz w:val="20"/>
          <w:szCs w:val="20"/>
        </w:rPr>
        <w:t xml:space="preserve"> MPO za roky 2012 až 2014, p</w:t>
      </w:r>
      <w:r w:rsidRPr="00EB4A9B">
        <w:rPr>
          <w:rFonts w:cstheme="minorHAnsi"/>
          <w:bCs/>
          <w:iCs/>
          <w:sz w:val="20"/>
          <w:szCs w:val="20"/>
        </w:rPr>
        <w:t>odklady MPO k </w:t>
      </w:r>
      <w:r w:rsidR="0046100F">
        <w:rPr>
          <w:rFonts w:cstheme="minorHAnsi"/>
          <w:bCs/>
          <w:iCs/>
          <w:sz w:val="20"/>
          <w:szCs w:val="20"/>
        </w:rPr>
        <w:t>v</w:t>
      </w:r>
      <w:r w:rsidRPr="00EB4A9B">
        <w:rPr>
          <w:rFonts w:cstheme="minorHAnsi"/>
          <w:bCs/>
          <w:iCs/>
          <w:sz w:val="20"/>
          <w:szCs w:val="20"/>
        </w:rPr>
        <w:t>lastnické politice státu</w:t>
      </w:r>
      <w:r w:rsidR="00F41EC1">
        <w:rPr>
          <w:rFonts w:cstheme="minorHAnsi"/>
          <w:bCs/>
          <w:iCs/>
          <w:sz w:val="20"/>
          <w:szCs w:val="20"/>
        </w:rPr>
        <w:t>.</w:t>
      </w:r>
    </w:p>
    <w:p w14:paraId="6BAF52AD" w14:textId="77777777" w:rsidR="001D161B" w:rsidRDefault="001D161B" w:rsidP="004E4F94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bCs/>
          <w:sz w:val="24"/>
          <w:lang w:eastAsia="cs-CZ"/>
        </w:rPr>
      </w:pPr>
    </w:p>
    <w:p w14:paraId="4003B8EC" w14:textId="77777777" w:rsidR="00EB4A9B" w:rsidRPr="00686EBC" w:rsidRDefault="00617F42" w:rsidP="004E4F94">
      <w:pPr>
        <w:autoSpaceDE w:val="0"/>
        <w:autoSpaceDN w:val="0"/>
        <w:adjustRightInd w:val="0"/>
        <w:spacing w:after="0" w:line="240" w:lineRule="auto"/>
        <w:ind w:right="17"/>
        <w:jc w:val="both"/>
        <w:rPr>
          <w:rFonts w:cstheme="minorHAnsi"/>
          <w:sz w:val="24"/>
          <w:lang w:eastAsia="cs-CZ"/>
        </w:rPr>
      </w:pPr>
      <w:r w:rsidRPr="00F73E8A">
        <w:rPr>
          <w:rFonts w:cstheme="minorHAnsi"/>
          <w:bCs/>
          <w:sz w:val="24"/>
          <w:lang w:eastAsia="cs-CZ"/>
        </w:rPr>
        <w:t>Ministerstvo zemědělství</w:t>
      </w:r>
      <w:r w:rsidRPr="00F73E8A">
        <w:rPr>
          <w:rFonts w:cstheme="minorHAnsi"/>
          <w:sz w:val="24"/>
          <w:lang w:eastAsia="cs-CZ"/>
        </w:rPr>
        <w:t xml:space="preserve"> je </w:t>
      </w:r>
      <w:r w:rsidRPr="00F73E8A">
        <w:rPr>
          <w:rFonts w:cstheme="minorHAnsi"/>
          <w:sz w:val="24"/>
        </w:rPr>
        <w:t xml:space="preserve">ústředním orgánem státní správy </w:t>
      </w:r>
      <w:r w:rsidRPr="00F73E8A">
        <w:rPr>
          <w:rFonts w:cstheme="minorHAnsi"/>
          <w:sz w:val="24"/>
          <w:lang w:eastAsia="cs-CZ"/>
        </w:rPr>
        <w:t>pro zemědělství</w:t>
      </w:r>
      <w:r w:rsidR="00BC74BA" w:rsidRPr="00F73E8A">
        <w:rPr>
          <w:rFonts w:cstheme="minorHAnsi"/>
          <w:sz w:val="24"/>
          <w:lang w:eastAsia="cs-CZ"/>
        </w:rPr>
        <w:t>,</w:t>
      </w:r>
      <w:r w:rsidRPr="00F73E8A">
        <w:rPr>
          <w:rFonts w:cstheme="minorHAnsi"/>
          <w:sz w:val="24"/>
          <w:lang w:eastAsia="cs-CZ"/>
        </w:rPr>
        <w:t xml:space="preserve"> organizační </w:t>
      </w:r>
      <w:r w:rsidRPr="00686EBC">
        <w:rPr>
          <w:rFonts w:cstheme="minorHAnsi"/>
          <w:sz w:val="24"/>
          <w:lang w:eastAsia="cs-CZ"/>
        </w:rPr>
        <w:t>složkou státu, účetní jednotkou a</w:t>
      </w:r>
      <w:r w:rsidR="001D5FA5">
        <w:rPr>
          <w:rFonts w:cstheme="minorHAnsi"/>
          <w:sz w:val="24"/>
          <w:lang w:eastAsia="cs-CZ"/>
        </w:rPr>
        <w:t xml:space="preserve"> </w:t>
      </w:r>
      <w:r w:rsidRPr="00686EBC">
        <w:rPr>
          <w:rFonts w:cstheme="minorHAnsi"/>
          <w:sz w:val="24"/>
          <w:lang w:eastAsia="cs-CZ"/>
        </w:rPr>
        <w:t>správcem kapitoly státního rozpočtu</w:t>
      </w:r>
      <w:r w:rsidR="009F15EB">
        <w:rPr>
          <w:rFonts w:cstheme="minorHAnsi"/>
          <w:sz w:val="24"/>
          <w:lang w:eastAsia="cs-CZ"/>
        </w:rPr>
        <w:t xml:space="preserve"> </w:t>
      </w:r>
      <w:r w:rsidRPr="00686EBC">
        <w:rPr>
          <w:rFonts w:cstheme="minorHAnsi"/>
          <w:sz w:val="24"/>
          <w:lang w:eastAsia="cs-CZ"/>
        </w:rPr>
        <w:t xml:space="preserve">329 </w:t>
      </w:r>
      <w:r w:rsidR="00D66CCF">
        <w:rPr>
          <w:rFonts w:cstheme="minorHAnsi"/>
          <w:sz w:val="24"/>
          <w:lang w:eastAsia="cs-CZ"/>
        </w:rPr>
        <w:t>–</w:t>
      </w:r>
      <w:r w:rsidRPr="00686EBC">
        <w:rPr>
          <w:rFonts w:cstheme="minorHAnsi"/>
          <w:sz w:val="24"/>
          <w:lang w:eastAsia="cs-CZ"/>
        </w:rPr>
        <w:t xml:space="preserve"> </w:t>
      </w:r>
      <w:r w:rsidRPr="00485081">
        <w:rPr>
          <w:rFonts w:cstheme="minorHAnsi"/>
          <w:i/>
          <w:sz w:val="24"/>
          <w:lang w:eastAsia="cs-CZ"/>
        </w:rPr>
        <w:t>Ministerstvo zemědělství</w:t>
      </w:r>
      <w:r w:rsidRPr="00686EBC">
        <w:rPr>
          <w:rFonts w:cstheme="minorHAnsi"/>
          <w:sz w:val="24"/>
          <w:lang w:eastAsia="cs-CZ"/>
        </w:rPr>
        <w:t>.</w:t>
      </w:r>
      <w:r w:rsidRPr="00686EBC">
        <w:rPr>
          <w:rFonts w:cstheme="minorHAnsi"/>
          <w:noProof/>
          <w:sz w:val="24"/>
        </w:rPr>
        <w:t xml:space="preserve"> MZe zabezpečuje správu několika majetkových účastí státu v obchodních společnostech</w:t>
      </w:r>
      <w:r w:rsidR="005017D6" w:rsidRPr="00686EBC">
        <w:rPr>
          <w:rFonts w:cstheme="minorHAnsi"/>
          <w:noProof/>
          <w:sz w:val="24"/>
        </w:rPr>
        <w:t xml:space="preserve">, přičemž </w:t>
      </w:r>
      <w:r w:rsidR="003749E3" w:rsidRPr="00686EBC">
        <w:rPr>
          <w:rFonts w:cstheme="minorHAnsi"/>
          <w:noProof/>
          <w:sz w:val="24"/>
        </w:rPr>
        <w:t>dvě</w:t>
      </w:r>
      <w:r w:rsidR="005017D6" w:rsidRPr="00686EBC">
        <w:rPr>
          <w:rFonts w:cstheme="minorHAnsi"/>
          <w:noProof/>
          <w:sz w:val="24"/>
        </w:rPr>
        <w:t xml:space="preserve"> z nich považuje </w:t>
      </w:r>
      <w:r w:rsidR="003749E3" w:rsidRPr="00686EBC">
        <w:rPr>
          <w:rFonts w:cstheme="minorHAnsi"/>
          <w:noProof/>
          <w:sz w:val="24"/>
        </w:rPr>
        <w:t xml:space="preserve">za nepotřebné, ostatní </w:t>
      </w:r>
      <w:r w:rsidR="005017D6" w:rsidRPr="00686EBC">
        <w:rPr>
          <w:rFonts w:cstheme="minorHAnsi"/>
          <w:noProof/>
          <w:sz w:val="24"/>
        </w:rPr>
        <w:t>za strategické</w:t>
      </w:r>
      <w:r w:rsidRPr="00686EBC">
        <w:rPr>
          <w:rFonts w:cstheme="minorHAnsi"/>
          <w:noProof/>
          <w:sz w:val="24"/>
        </w:rPr>
        <w:t xml:space="preserve"> (tabulka č.</w:t>
      </w:r>
      <w:r w:rsidR="009F15EB">
        <w:rPr>
          <w:rFonts w:cstheme="minorHAnsi"/>
          <w:noProof/>
          <w:sz w:val="24"/>
        </w:rPr>
        <w:t> </w:t>
      </w:r>
      <w:r w:rsidR="00C12238" w:rsidRPr="00686EBC">
        <w:rPr>
          <w:rFonts w:cstheme="minorHAnsi"/>
          <w:noProof/>
          <w:sz w:val="24"/>
        </w:rPr>
        <w:t>3</w:t>
      </w:r>
      <w:r w:rsidRPr="00686EBC">
        <w:rPr>
          <w:rFonts w:cstheme="minorHAnsi"/>
          <w:noProof/>
          <w:sz w:val="24"/>
        </w:rPr>
        <w:t>).</w:t>
      </w:r>
    </w:p>
    <w:p w14:paraId="69DA1C29" w14:textId="77777777" w:rsidR="00EB4A9B" w:rsidRPr="00C27722" w:rsidRDefault="00EB4A9B" w:rsidP="00C33B08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F773658" w14:textId="77777777" w:rsidR="006D5DF8" w:rsidRPr="00485081" w:rsidRDefault="006D5DF8" w:rsidP="00204121">
      <w:pPr>
        <w:tabs>
          <w:tab w:val="right" w:pos="9072"/>
        </w:tabs>
        <w:spacing w:after="40" w:line="240" w:lineRule="auto"/>
        <w:rPr>
          <w:rFonts w:cstheme="minorHAnsi"/>
          <w:b/>
          <w:bCs/>
          <w:iCs/>
          <w:sz w:val="24"/>
        </w:rPr>
      </w:pPr>
      <w:r w:rsidRPr="00485081">
        <w:rPr>
          <w:rFonts w:cstheme="minorHAnsi"/>
          <w:b/>
          <w:bCs/>
          <w:iCs/>
          <w:sz w:val="24"/>
        </w:rPr>
        <w:t xml:space="preserve">Tabulka č. </w:t>
      </w:r>
      <w:r w:rsidR="00C12238" w:rsidRPr="00485081">
        <w:rPr>
          <w:rFonts w:cstheme="minorHAnsi"/>
          <w:b/>
          <w:bCs/>
          <w:iCs/>
          <w:sz w:val="24"/>
        </w:rPr>
        <w:t>3</w:t>
      </w:r>
      <w:r w:rsidRPr="00485081">
        <w:rPr>
          <w:rFonts w:cstheme="minorHAnsi"/>
          <w:b/>
          <w:bCs/>
          <w:iCs/>
          <w:sz w:val="24"/>
        </w:rPr>
        <w:t xml:space="preserve"> </w:t>
      </w:r>
      <w:r w:rsidR="00D353E2" w:rsidRPr="00485081">
        <w:rPr>
          <w:rFonts w:cstheme="minorHAnsi"/>
          <w:b/>
          <w:bCs/>
          <w:iCs/>
          <w:sz w:val="24"/>
        </w:rPr>
        <w:t>–</w:t>
      </w:r>
      <w:r w:rsidRPr="00485081">
        <w:rPr>
          <w:rFonts w:cstheme="minorHAnsi"/>
          <w:b/>
          <w:bCs/>
          <w:iCs/>
          <w:sz w:val="24"/>
        </w:rPr>
        <w:t xml:space="preserve"> Přehled majetkových účastí státu</w:t>
      </w:r>
      <w:r w:rsidR="00337660" w:rsidRPr="00485081">
        <w:rPr>
          <w:rFonts w:cstheme="minorHAnsi"/>
          <w:b/>
          <w:bCs/>
          <w:iCs/>
          <w:sz w:val="24"/>
        </w:rPr>
        <w:t xml:space="preserve"> ve správě</w:t>
      </w:r>
      <w:r w:rsidRPr="00485081">
        <w:rPr>
          <w:rFonts w:cstheme="minorHAnsi"/>
          <w:b/>
          <w:bCs/>
          <w:iCs/>
          <w:sz w:val="24"/>
        </w:rPr>
        <w:t xml:space="preserve"> MZe</w:t>
      </w:r>
      <w:r w:rsidR="009F15EB" w:rsidRPr="00485081">
        <w:rPr>
          <w:rFonts w:cstheme="minorHAnsi"/>
          <w:b/>
          <w:bCs/>
          <w:iCs/>
          <w:sz w:val="24"/>
        </w:rPr>
        <w:tab/>
      </w:r>
      <w:r w:rsidRPr="00485081">
        <w:rPr>
          <w:rFonts w:cstheme="minorHAnsi"/>
          <w:b/>
          <w:bCs/>
          <w:iCs/>
          <w:sz w:val="24"/>
        </w:rPr>
        <w:t>(</w:t>
      </w:r>
      <w:r w:rsidR="00307745" w:rsidRPr="00485081">
        <w:rPr>
          <w:rFonts w:cstheme="minorHAnsi"/>
          <w:b/>
          <w:bCs/>
          <w:iCs/>
          <w:sz w:val="24"/>
        </w:rPr>
        <w:t xml:space="preserve">v </w:t>
      </w:r>
      <w:r w:rsidR="000A6EA6" w:rsidRPr="00485081">
        <w:rPr>
          <w:rFonts w:cstheme="minorHAnsi"/>
          <w:b/>
          <w:bCs/>
          <w:iCs/>
          <w:sz w:val="24"/>
        </w:rPr>
        <w:t>tis.</w:t>
      </w:r>
      <w:r w:rsidRPr="00485081">
        <w:rPr>
          <w:rFonts w:cstheme="minorHAnsi"/>
          <w:b/>
          <w:bCs/>
          <w:iCs/>
          <w:sz w:val="24"/>
        </w:rPr>
        <w:t xml:space="preserve"> Kč)</w:t>
      </w: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63"/>
        <w:gridCol w:w="608"/>
        <w:gridCol w:w="1699"/>
        <w:gridCol w:w="709"/>
        <w:gridCol w:w="1700"/>
        <w:gridCol w:w="708"/>
        <w:gridCol w:w="1700"/>
      </w:tblGrid>
      <w:tr w:rsidR="00777200" w:rsidRPr="00C27722" w14:paraId="330F67C1" w14:textId="77777777" w:rsidTr="00836ABC">
        <w:trPr>
          <w:trHeight w:val="227"/>
        </w:trPr>
        <w:tc>
          <w:tcPr>
            <w:tcW w:w="196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B6CCBEC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Obchodní společnosti</w:t>
            </w:r>
          </w:p>
        </w:tc>
        <w:tc>
          <w:tcPr>
            <w:tcW w:w="230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7D8039D" w14:textId="1F2FDDB2" w:rsidR="00BD1056" w:rsidRPr="00485081" w:rsidRDefault="00BD1056" w:rsidP="00804D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31. 12. 2012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0F6093" w14:textId="0A58B86E" w:rsidR="00BD1056" w:rsidRPr="00485081" w:rsidRDefault="00BD1056" w:rsidP="00804D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31. 12. 2013</w:t>
            </w:r>
          </w:p>
        </w:tc>
        <w:tc>
          <w:tcPr>
            <w:tcW w:w="240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9F8A644" w14:textId="08A8015F" w:rsidR="00BD1056" w:rsidRPr="00485081" w:rsidRDefault="00BD1056" w:rsidP="00804DA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31. 12. 2014</w:t>
            </w:r>
          </w:p>
        </w:tc>
      </w:tr>
      <w:tr w:rsidR="00777200" w:rsidRPr="00C27722" w14:paraId="76511C72" w14:textId="77777777" w:rsidTr="00836ABC">
        <w:trPr>
          <w:trHeight w:val="227"/>
        </w:trPr>
        <w:tc>
          <w:tcPr>
            <w:tcW w:w="196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14:paraId="710C23EA" w14:textId="77777777" w:rsidR="00BD1056" w:rsidRPr="00485081" w:rsidRDefault="00BD1056" w:rsidP="00BD1056">
            <w:pPr>
              <w:spacing w:after="0" w:line="240" w:lineRule="auto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9CAA8D0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BB2779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Jmenovitá hodnota účastí ve správě MZe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CE64D29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2AEFA4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Jmenovitá hodnota účastí ve správě MZe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C3846EF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Počet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6062F4B" w14:textId="77777777" w:rsidR="00BD1056" w:rsidRPr="00485081" w:rsidRDefault="00BD1056" w:rsidP="00BD1056">
            <w:pPr>
              <w:spacing w:after="0" w:line="240" w:lineRule="auto"/>
              <w:jc w:val="center"/>
              <w:rPr>
                <w:rFonts w:eastAsia="Times New Roman" w:cstheme="minorHAnsi"/>
                <w:b/>
                <w:sz w:val="20"/>
                <w:szCs w:val="20"/>
                <w:lang w:eastAsia="cs-CZ"/>
              </w:rPr>
            </w:pPr>
            <w:r w:rsidRPr="00485081">
              <w:rPr>
                <w:rFonts w:eastAsia="Times New Roman" w:cstheme="minorHAnsi"/>
                <w:b/>
                <w:sz w:val="20"/>
                <w:szCs w:val="20"/>
                <w:lang w:eastAsia="cs-CZ"/>
              </w:rPr>
              <w:t>Jmenovitá hodnota účastí ve správě MZe</w:t>
            </w:r>
          </w:p>
        </w:tc>
      </w:tr>
      <w:tr w:rsidR="00777200" w:rsidRPr="00C27722" w14:paraId="4F7FBD42" w14:textId="77777777" w:rsidTr="00836ABC">
        <w:trPr>
          <w:trHeight w:val="227"/>
        </w:trPr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BD3734" w14:textId="30494FD6" w:rsidR="00BD1056" w:rsidRPr="00C27722" w:rsidRDefault="0046100F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</w:t>
            </w:r>
            <w:r w:rsidR="00BD1056"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uzemské 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5FB8E0D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E853920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7ED6781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A8827A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0A2482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CB6E519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1 095 554,080</w:t>
            </w:r>
          </w:p>
        </w:tc>
      </w:tr>
      <w:tr w:rsidR="00777200" w:rsidRPr="00C27722" w14:paraId="71802E16" w14:textId="77777777" w:rsidTr="00836ABC">
        <w:trPr>
          <w:trHeight w:val="227"/>
        </w:trPr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28C6A42" w14:textId="77777777" w:rsidR="00BD1056" w:rsidRPr="00C27722" w:rsidRDefault="00BD1056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- z toho strategické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FD56BA7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8F9AF2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1 045 501,000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537EF02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DD9094D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1 045 501,000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A46A630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36269C4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1 045 501,500</w:t>
            </w:r>
          </w:p>
        </w:tc>
      </w:tr>
      <w:tr w:rsidR="00777200" w:rsidRPr="00C27722" w14:paraId="33E012EA" w14:textId="77777777" w:rsidTr="00836ABC">
        <w:trPr>
          <w:trHeight w:val="227"/>
        </w:trPr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D74F06F" w14:textId="078892AC" w:rsidR="00BD1056" w:rsidRPr="00C27722" w:rsidRDefault="0046100F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Z</w:t>
            </w:r>
            <w:r w:rsidR="00BD1056"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ahraniční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A38C8A2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F75E7CA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949EA4E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3AE757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6DD7336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899806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0,000</w:t>
            </w:r>
          </w:p>
        </w:tc>
      </w:tr>
      <w:tr w:rsidR="00777200" w:rsidRPr="00C27722" w14:paraId="66A62DEF" w14:textId="77777777" w:rsidTr="00836ABC">
        <w:trPr>
          <w:trHeight w:val="227"/>
        </w:trPr>
        <w:tc>
          <w:tcPr>
            <w:tcW w:w="196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6425BAC" w14:textId="77777777" w:rsidR="00BD1056" w:rsidRPr="00C27722" w:rsidRDefault="00BD1056" w:rsidP="00BD1056">
            <w:pPr>
              <w:spacing w:after="0" w:line="240" w:lineRule="auto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AC3A5F5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C284FE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1 095 554,080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774C7B5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61E56E0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1 095 554,080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4F7AD68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CC46D6A" w14:textId="77777777" w:rsidR="00BD1056" w:rsidRPr="00C27722" w:rsidRDefault="00BD1056" w:rsidP="00836ABC">
            <w:pPr>
              <w:spacing w:after="0" w:line="240" w:lineRule="auto"/>
              <w:ind w:right="57"/>
              <w:jc w:val="right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 w:rsidRPr="00C27722">
              <w:rPr>
                <w:rFonts w:eastAsia="Times New Roman" w:cstheme="minorHAnsi"/>
                <w:sz w:val="20"/>
                <w:szCs w:val="20"/>
                <w:lang w:eastAsia="cs-CZ"/>
              </w:rPr>
              <w:t>1 095 554,580</w:t>
            </w:r>
          </w:p>
        </w:tc>
      </w:tr>
    </w:tbl>
    <w:p w14:paraId="103D0D08" w14:textId="35E5F5AC" w:rsidR="006D5DF8" w:rsidRPr="00EB4A9B" w:rsidRDefault="006D5DF8" w:rsidP="006D5DF8">
      <w:pPr>
        <w:spacing w:after="0" w:line="240" w:lineRule="auto"/>
        <w:ind w:left="567" w:hanging="567"/>
        <w:jc w:val="both"/>
        <w:rPr>
          <w:rFonts w:cstheme="minorHAnsi"/>
          <w:bCs/>
          <w:iCs/>
          <w:sz w:val="20"/>
          <w:szCs w:val="20"/>
        </w:rPr>
      </w:pPr>
      <w:r w:rsidRPr="001243E8">
        <w:rPr>
          <w:rFonts w:cstheme="minorHAnsi"/>
          <w:b/>
          <w:bCs/>
          <w:iCs/>
          <w:sz w:val="20"/>
          <w:szCs w:val="20"/>
        </w:rPr>
        <w:t>Zdroj:</w:t>
      </w:r>
      <w:r w:rsidRPr="00EB4A9B">
        <w:rPr>
          <w:rFonts w:cstheme="minorHAnsi"/>
          <w:bCs/>
          <w:iCs/>
          <w:sz w:val="20"/>
          <w:szCs w:val="20"/>
        </w:rPr>
        <w:t xml:space="preserve"> </w:t>
      </w:r>
      <w:r w:rsidR="0046100F">
        <w:rPr>
          <w:rFonts w:cstheme="minorHAnsi"/>
          <w:bCs/>
          <w:iCs/>
          <w:sz w:val="20"/>
          <w:szCs w:val="20"/>
        </w:rPr>
        <w:t>o</w:t>
      </w:r>
      <w:r w:rsidR="00901BCE" w:rsidRPr="00EB4A9B">
        <w:rPr>
          <w:rFonts w:cstheme="minorHAnsi"/>
          <w:bCs/>
          <w:iCs/>
          <w:sz w:val="20"/>
          <w:szCs w:val="20"/>
        </w:rPr>
        <w:t>bchodní rejstřík, závěrečn</w:t>
      </w:r>
      <w:r w:rsidR="0046100F">
        <w:rPr>
          <w:rFonts w:cstheme="minorHAnsi"/>
          <w:bCs/>
          <w:iCs/>
          <w:sz w:val="20"/>
          <w:szCs w:val="20"/>
        </w:rPr>
        <w:t>é</w:t>
      </w:r>
      <w:r w:rsidR="00901BCE" w:rsidRPr="00EB4A9B">
        <w:rPr>
          <w:rFonts w:cstheme="minorHAnsi"/>
          <w:bCs/>
          <w:iCs/>
          <w:sz w:val="20"/>
          <w:szCs w:val="20"/>
        </w:rPr>
        <w:t xml:space="preserve"> účt</w:t>
      </w:r>
      <w:r w:rsidR="0046100F">
        <w:rPr>
          <w:rFonts w:cstheme="minorHAnsi"/>
          <w:bCs/>
          <w:iCs/>
          <w:sz w:val="20"/>
          <w:szCs w:val="20"/>
        </w:rPr>
        <w:t>y</w:t>
      </w:r>
      <w:r w:rsidR="00901BCE" w:rsidRPr="00EB4A9B">
        <w:rPr>
          <w:rFonts w:cstheme="minorHAnsi"/>
          <w:bCs/>
          <w:iCs/>
          <w:sz w:val="20"/>
          <w:szCs w:val="20"/>
        </w:rPr>
        <w:t xml:space="preserve"> MZe za roky 2012 až 2014, p</w:t>
      </w:r>
      <w:r w:rsidRPr="00EB4A9B">
        <w:rPr>
          <w:rFonts w:cstheme="minorHAnsi"/>
          <w:bCs/>
          <w:iCs/>
          <w:sz w:val="20"/>
          <w:szCs w:val="20"/>
        </w:rPr>
        <w:t>odklady MZe k </w:t>
      </w:r>
      <w:r w:rsidR="0046100F">
        <w:rPr>
          <w:rFonts w:cstheme="minorHAnsi"/>
          <w:bCs/>
          <w:iCs/>
          <w:sz w:val="20"/>
          <w:szCs w:val="20"/>
        </w:rPr>
        <w:t>v</w:t>
      </w:r>
      <w:r w:rsidRPr="00EB4A9B">
        <w:rPr>
          <w:rFonts w:cstheme="minorHAnsi"/>
          <w:bCs/>
          <w:iCs/>
          <w:sz w:val="20"/>
          <w:szCs w:val="20"/>
        </w:rPr>
        <w:t>lastnické politice státu</w:t>
      </w:r>
      <w:r w:rsidR="001243E8">
        <w:rPr>
          <w:rFonts w:cstheme="minorHAnsi"/>
          <w:bCs/>
          <w:iCs/>
          <w:sz w:val="20"/>
          <w:szCs w:val="20"/>
        </w:rPr>
        <w:t>.</w:t>
      </w:r>
    </w:p>
    <w:p w14:paraId="1129B244" w14:textId="77777777" w:rsidR="006110CE" w:rsidRPr="00EB4A9B" w:rsidRDefault="006110CE" w:rsidP="004E4F9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7A8A3B0" w14:textId="77777777" w:rsidR="004253CC" w:rsidRPr="00EB4A9B" w:rsidRDefault="004253CC" w:rsidP="004253C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EB4A9B">
        <w:rPr>
          <w:rFonts w:cstheme="minorHAnsi"/>
          <w:sz w:val="24"/>
          <w:szCs w:val="24"/>
        </w:rPr>
        <w:t>Kontrolován byl přístup ministerstev k</w:t>
      </w:r>
      <w:r w:rsidR="00307745">
        <w:rPr>
          <w:rFonts w:cstheme="minorHAnsi"/>
          <w:sz w:val="24"/>
          <w:szCs w:val="24"/>
        </w:rPr>
        <w:t xml:space="preserve"> </w:t>
      </w:r>
      <w:r w:rsidRPr="00EB4A9B">
        <w:rPr>
          <w:rFonts w:cstheme="minorHAnsi"/>
          <w:sz w:val="24"/>
          <w:szCs w:val="24"/>
        </w:rPr>
        <w:t>majetkovým účastem z hlediska realizace vlastnické politiky státu, úprava výkonu správy majetkových účastí a zásad odměňování vedoucích zaměstnanců a členů orgánů obchodních společností s majetkovou účastí státu ve vnitřních</w:t>
      </w:r>
      <w:r w:rsidR="00C2589C">
        <w:rPr>
          <w:rFonts w:cstheme="minorHAnsi"/>
          <w:sz w:val="24"/>
          <w:szCs w:val="24"/>
        </w:rPr>
        <w:t xml:space="preserve"> </w:t>
      </w:r>
      <w:r w:rsidRPr="00EB4A9B">
        <w:rPr>
          <w:rFonts w:cstheme="minorHAnsi"/>
          <w:sz w:val="24"/>
          <w:szCs w:val="24"/>
        </w:rPr>
        <w:t>předpisech, aplikace těchto předpisů při výkonu akcionářských práv, zpracování a předkládání přehledů a informací o majetkových účastech státu ve správě</w:t>
      </w:r>
      <w:r w:rsidR="00743A91" w:rsidRPr="00EB4A9B">
        <w:rPr>
          <w:rFonts w:cstheme="minorHAnsi"/>
          <w:sz w:val="24"/>
          <w:szCs w:val="24"/>
        </w:rPr>
        <w:t xml:space="preserve"> ministerstev</w:t>
      </w:r>
      <w:r w:rsidRPr="00EB4A9B">
        <w:rPr>
          <w:rFonts w:cstheme="minorHAnsi"/>
          <w:sz w:val="24"/>
          <w:szCs w:val="24"/>
        </w:rPr>
        <w:t xml:space="preserve"> dle příslušných prováděcích předpisů. </w:t>
      </w:r>
    </w:p>
    <w:p w14:paraId="6B9C4744" w14:textId="77777777" w:rsidR="00CE1C16" w:rsidRDefault="00CE1C16" w:rsidP="001D61A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66DB9C" w14:textId="69AB03D4" w:rsidR="001D61A4" w:rsidRDefault="00441C91" w:rsidP="00A755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EEE">
        <w:rPr>
          <w:rFonts w:cstheme="minorHAnsi"/>
          <w:sz w:val="24"/>
          <w:szCs w:val="24"/>
        </w:rPr>
        <w:t>Ke kontrole</w:t>
      </w:r>
      <w:r w:rsidR="004253CC" w:rsidRPr="008E2EEE">
        <w:rPr>
          <w:rFonts w:cstheme="minorHAnsi"/>
          <w:sz w:val="24"/>
          <w:szCs w:val="24"/>
        </w:rPr>
        <w:t xml:space="preserve"> správy majetkových účastí státu</w:t>
      </w:r>
      <w:r w:rsidRPr="008E2EEE">
        <w:rPr>
          <w:rFonts w:cstheme="minorHAnsi"/>
          <w:sz w:val="24"/>
          <w:szCs w:val="24"/>
        </w:rPr>
        <w:t xml:space="preserve"> byly u Ministerstva financí vybrány majetkové účasti v 25 obchodních společnostech</w:t>
      </w:r>
      <w:r w:rsidR="005017D6" w:rsidRPr="008E2EEE">
        <w:rPr>
          <w:rFonts w:cstheme="minorHAnsi"/>
          <w:sz w:val="24"/>
          <w:szCs w:val="24"/>
        </w:rPr>
        <w:t>, jejichž</w:t>
      </w:r>
      <w:r w:rsidR="00AE0810" w:rsidRPr="008E2EEE">
        <w:rPr>
          <w:rFonts w:cstheme="minorHAnsi"/>
          <w:sz w:val="24"/>
          <w:szCs w:val="24"/>
        </w:rPr>
        <w:t xml:space="preserve"> </w:t>
      </w:r>
      <w:r w:rsidR="003D0D57" w:rsidRPr="008E2EEE">
        <w:rPr>
          <w:rFonts w:cstheme="minorHAnsi"/>
          <w:sz w:val="24"/>
          <w:szCs w:val="24"/>
        </w:rPr>
        <w:t>jmenovitá</w:t>
      </w:r>
      <w:r w:rsidR="008C25A6" w:rsidRPr="008E2EEE">
        <w:rPr>
          <w:rFonts w:cstheme="minorHAnsi"/>
          <w:sz w:val="24"/>
          <w:szCs w:val="24"/>
        </w:rPr>
        <w:t xml:space="preserve"> hodnota činila k 31.</w:t>
      </w:r>
      <w:r w:rsidR="00100271" w:rsidRPr="008E2EEE">
        <w:rPr>
          <w:rFonts w:cstheme="minorHAnsi"/>
          <w:sz w:val="24"/>
          <w:szCs w:val="24"/>
        </w:rPr>
        <w:t> </w:t>
      </w:r>
      <w:r w:rsidR="008C25A6" w:rsidRPr="008E2EEE">
        <w:rPr>
          <w:rFonts w:cstheme="minorHAnsi"/>
          <w:sz w:val="24"/>
          <w:szCs w:val="24"/>
        </w:rPr>
        <w:t>12.</w:t>
      </w:r>
      <w:r w:rsidR="00100271" w:rsidRPr="008E2EEE">
        <w:rPr>
          <w:rFonts w:cstheme="minorHAnsi"/>
          <w:sz w:val="24"/>
          <w:szCs w:val="24"/>
        </w:rPr>
        <w:t> </w:t>
      </w:r>
      <w:r w:rsidR="008C25A6" w:rsidRPr="008E2EEE">
        <w:rPr>
          <w:rFonts w:cstheme="minorHAnsi"/>
          <w:sz w:val="24"/>
          <w:szCs w:val="24"/>
        </w:rPr>
        <w:t>2014 celkem 90 638 834,3 tis. Kč.</w:t>
      </w:r>
      <w:r w:rsidR="004A3913" w:rsidRPr="008E2EEE">
        <w:rPr>
          <w:rFonts w:cstheme="minorHAnsi"/>
          <w:sz w:val="24"/>
          <w:szCs w:val="24"/>
        </w:rPr>
        <w:t xml:space="preserve"> </w:t>
      </w:r>
    </w:p>
    <w:p w14:paraId="3603DCB2" w14:textId="77777777" w:rsidR="00836ABC" w:rsidRPr="008E2EEE" w:rsidRDefault="00836ABC" w:rsidP="00A75563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D365727" w14:textId="219F3BD7" w:rsidR="004253CC" w:rsidRDefault="00441C91" w:rsidP="00A7556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8E2EEE">
        <w:rPr>
          <w:rFonts w:cstheme="minorHAnsi"/>
          <w:sz w:val="24"/>
          <w:szCs w:val="24"/>
        </w:rPr>
        <w:t>U</w:t>
      </w:r>
      <w:r w:rsidR="0083572F" w:rsidRPr="008E2EEE">
        <w:rPr>
          <w:rFonts w:cstheme="minorHAnsi"/>
          <w:sz w:val="24"/>
          <w:szCs w:val="24"/>
        </w:rPr>
        <w:t> </w:t>
      </w:r>
      <w:r w:rsidRPr="008E2EEE">
        <w:rPr>
          <w:rFonts w:cstheme="minorHAnsi"/>
          <w:sz w:val="24"/>
          <w:szCs w:val="24"/>
        </w:rPr>
        <w:t>Ministerstva průmyslu a obchodu a u Ministerstva zemědělství byl</w:t>
      </w:r>
      <w:r w:rsidR="00804DA6">
        <w:rPr>
          <w:rFonts w:cstheme="minorHAnsi"/>
          <w:sz w:val="24"/>
          <w:szCs w:val="24"/>
        </w:rPr>
        <w:t>a</w:t>
      </w:r>
      <w:r w:rsidRPr="008E2EEE">
        <w:rPr>
          <w:rFonts w:cstheme="minorHAnsi"/>
          <w:sz w:val="24"/>
          <w:szCs w:val="24"/>
        </w:rPr>
        <w:t xml:space="preserve"> kontrolován</w:t>
      </w:r>
      <w:r w:rsidR="00804DA6">
        <w:rPr>
          <w:rFonts w:cstheme="minorHAnsi"/>
          <w:sz w:val="24"/>
          <w:szCs w:val="24"/>
        </w:rPr>
        <w:t>a</w:t>
      </w:r>
      <w:r w:rsidRPr="008E2EEE">
        <w:rPr>
          <w:rFonts w:cstheme="minorHAnsi"/>
          <w:sz w:val="24"/>
          <w:szCs w:val="24"/>
        </w:rPr>
        <w:t xml:space="preserve"> správ</w:t>
      </w:r>
      <w:r w:rsidR="00804DA6">
        <w:rPr>
          <w:rFonts w:cstheme="minorHAnsi"/>
          <w:sz w:val="24"/>
          <w:szCs w:val="24"/>
        </w:rPr>
        <w:t>a</w:t>
      </w:r>
      <w:r w:rsidRPr="008E2EEE">
        <w:rPr>
          <w:rFonts w:cstheme="minorHAnsi"/>
          <w:sz w:val="24"/>
          <w:szCs w:val="24"/>
        </w:rPr>
        <w:t xml:space="preserve"> všech</w:t>
      </w:r>
      <w:r w:rsidR="00ED13AF" w:rsidRPr="008E2EEE">
        <w:rPr>
          <w:rFonts w:cstheme="minorHAnsi"/>
          <w:sz w:val="24"/>
          <w:szCs w:val="24"/>
        </w:rPr>
        <w:t xml:space="preserve"> majetkových účastí státu, s nimiž jsou tato ministerstva příslušná hospodařit.</w:t>
      </w:r>
      <w:r w:rsidR="000A6EA6" w:rsidRPr="008E2EEE">
        <w:rPr>
          <w:rFonts w:cstheme="minorHAnsi"/>
          <w:sz w:val="24"/>
          <w:szCs w:val="24"/>
        </w:rPr>
        <w:t xml:space="preserve"> K 31.</w:t>
      </w:r>
      <w:r w:rsidR="00DB3258">
        <w:rPr>
          <w:rFonts w:cstheme="minorHAnsi"/>
          <w:sz w:val="24"/>
          <w:szCs w:val="24"/>
        </w:rPr>
        <w:t> </w:t>
      </w:r>
      <w:r w:rsidR="000A6EA6" w:rsidRPr="008E2EEE">
        <w:rPr>
          <w:rFonts w:cstheme="minorHAnsi"/>
          <w:sz w:val="24"/>
          <w:szCs w:val="24"/>
        </w:rPr>
        <w:t>12.</w:t>
      </w:r>
      <w:r w:rsidR="00DB3258">
        <w:rPr>
          <w:rFonts w:cstheme="minorHAnsi"/>
          <w:sz w:val="24"/>
          <w:szCs w:val="24"/>
        </w:rPr>
        <w:t> </w:t>
      </w:r>
      <w:r w:rsidR="000A6EA6" w:rsidRPr="008E2EEE">
        <w:rPr>
          <w:rFonts w:cstheme="minorHAnsi"/>
          <w:sz w:val="24"/>
          <w:szCs w:val="24"/>
        </w:rPr>
        <w:t xml:space="preserve">2014 činila </w:t>
      </w:r>
      <w:r w:rsidR="007F6CAD" w:rsidRPr="008E2EEE">
        <w:rPr>
          <w:rFonts w:cstheme="minorHAnsi"/>
          <w:sz w:val="24"/>
          <w:szCs w:val="24"/>
        </w:rPr>
        <w:t>jmenovitá</w:t>
      </w:r>
      <w:r w:rsidR="000A6EA6" w:rsidRPr="008E2EEE">
        <w:rPr>
          <w:rFonts w:cstheme="minorHAnsi"/>
          <w:sz w:val="24"/>
          <w:szCs w:val="24"/>
        </w:rPr>
        <w:t xml:space="preserve"> hodnota </w:t>
      </w:r>
      <w:r w:rsidR="00321456" w:rsidRPr="008E2EEE">
        <w:rPr>
          <w:rFonts w:cstheme="minorHAnsi"/>
          <w:sz w:val="24"/>
          <w:szCs w:val="24"/>
        </w:rPr>
        <w:t>majetkových účastí</w:t>
      </w:r>
      <w:r w:rsidR="000A6EA6" w:rsidRPr="008E2EEE">
        <w:rPr>
          <w:rFonts w:cstheme="minorHAnsi"/>
          <w:sz w:val="24"/>
          <w:szCs w:val="24"/>
        </w:rPr>
        <w:t xml:space="preserve"> ve správě MPO celkem </w:t>
      </w:r>
      <w:r w:rsidR="000A6EA6" w:rsidRPr="008E2EEE">
        <w:rPr>
          <w:rFonts w:cstheme="minorHAnsi"/>
          <w:bCs/>
          <w:iCs/>
          <w:sz w:val="24"/>
          <w:szCs w:val="24"/>
        </w:rPr>
        <w:t>14 331 002,6 tis. Kč a ve správě MZe 1 095 554,6 tis. Kč.</w:t>
      </w:r>
    </w:p>
    <w:p w14:paraId="38BA5FBD" w14:textId="77777777" w:rsidR="00E0469C" w:rsidRPr="008E2EEE" w:rsidRDefault="00E0469C" w:rsidP="00A75563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60F7B711" w14:textId="60BED82C" w:rsidR="001D161B" w:rsidRPr="008E2EEE" w:rsidRDefault="001D161B" w:rsidP="00A75563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E2EEE">
        <w:rPr>
          <w:rFonts w:cstheme="minorHAnsi"/>
          <w:bCs/>
          <w:iCs/>
          <w:sz w:val="24"/>
          <w:szCs w:val="24"/>
        </w:rPr>
        <w:t xml:space="preserve">Přehled </w:t>
      </w:r>
      <w:r w:rsidR="00804DA6">
        <w:rPr>
          <w:rFonts w:cstheme="minorHAnsi"/>
          <w:bCs/>
          <w:iCs/>
          <w:sz w:val="24"/>
          <w:szCs w:val="24"/>
        </w:rPr>
        <w:t xml:space="preserve">kontrolovaných </w:t>
      </w:r>
      <w:r w:rsidR="00321456" w:rsidRPr="008E2EEE">
        <w:rPr>
          <w:rFonts w:cstheme="minorHAnsi"/>
          <w:bCs/>
          <w:iCs/>
          <w:sz w:val="24"/>
          <w:szCs w:val="24"/>
        </w:rPr>
        <w:t>majetkových účastí</w:t>
      </w:r>
      <w:r w:rsidRPr="008E2EEE">
        <w:rPr>
          <w:rFonts w:cstheme="minorHAnsi"/>
          <w:bCs/>
          <w:iCs/>
          <w:sz w:val="24"/>
          <w:szCs w:val="24"/>
        </w:rPr>
        <w:t xml:space="preserve"> je uveden v příloze č. 1.</w:t>
      </w:r>
    </w:p>
    <w:p w14:paraId="1A36E61D" w14:textId="77777777" w:rsidR="004253CC" w:rsidRDefault="004253CC" w:rsidP="004253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47269F55" w14:textId="77777777" w:rsidR="009F15EB" w:rsidRDefault="009F15EB" w:rsidP="004253CC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2FBB4D95" w14:textId="23C6E340" w:rsidR="00836ABC" w:rsidRDefault="00054481" w:rsidP="00836ABC">
      <w:pPr>
        <w:spacing w:after="0" w:line="240" w:lineRule="auto"/>
        <w:ind w:left="584" w:hanging="584"/>
        <w:jc w:val="both"/>
        <w:rPr>
          <w:rFonts w:cstheme="minorHAnsi"/>
          <w:sz w:val="20"/>
          <w:szCs w:val="20"/>
        </w:rPr>
      </w:pPr>
      <w:r w:rsidRPr="001243E8">
        <w:rPr>
          <w:rFonts w:cstheme="minorHAnsi"/>
          <w:b/>
          <w:sz w:val="20"/>
          <w:szCs w:val="20"/>
        </w:rPr>
        <w:t>Pozn.:</w:t>
      </w:r>
      <w:r>
        <w:rPr>
          <w:rFonts w:cstheme="minorHAnsi"/>
          <w:sz w:val="20"/>
          <w:szCs w:val="20"/>
        </w:rPr>
        <w:t xml:space="preserve"> </w:t>
      </w:r>
      <w:r w:rsidR="00836ABC">
        <w:rPr>
          <w:rFonts w:cstheme="minorHAnsi"/>
          <w:sz w:val="20"/>
          <w:szCs w:val="20"/>
        </w:rPr>
        <w:tab/>
      </w:r>
      <w:r>
        <w:rPr>
          <w:rFonts w:cstheme="minorHAnsi"/>
          <w:sz w:val="20"/>
          <w:szCs w:val="20"/>
        </w:rPr>
        <w:t>Všechny právní předpisy uváděné v tomto kontrolním závěru jsou aplikovány ve znění účinném pro kontrolované období.</w:t>
      </w:r>
    </w:p>
    <w:p w14:paraId="2008C699" w14:textId="77777777" w:rsidR="0046100F" w:rsidRPr="0046100F" w:rsidRDefault="0046100F" w:rsidP="00836ABC">
      <w:pPr>
        <w:spacing w:after="0" w:line="240" w:lineRule="auto"/>
        <w:ind w:left="584" w:hanging="584"/>
        <w:jc w:val="both"/>
        <w:rPr>
          <w:rFonts w:cstheme="minorHAnsi"/>
          <w:sz w:val="24"/>
          <w:szCs w:val="24"/>
        </w:rPr>
      </w:pPr>
    </w:p>
    <w:p w14:paraId="3F9C0E77" w14:textId="77777777" w:rsidR="00743A91" w:rsidRPr="00485081" w:rsidRDefault="00743A91" w:rsidP="00743A91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485081">
        <w:rPr>
          <w:rFonts w:cstheme="minorHAnsi"/>
          <w:b/>
          <w:sz w:val="28"/>
          <w:szCs w:val="24"/>
        </w:rPr>
        <w:lastRenderedPageBreak/>
        <w:t>II. Shrnutí a vyhodnocení skutečností zjištěných při kontrole</w:t>
      </w:r>
    </w:p>
    <w:p w14:paraId="60E3D40E" w14:textId="77777777" w:rsidR="00743A91" w:rsidRPr="00C27722" w:rsidRDefault="00743A91" w:rsidP="004359C7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</w:p>
    <w:p w14:paraId="1F4AFB59" w14:textId="0EDAC675" w:rsidR="00EF536E" w:rsidRPr="00865072" w:rsidRDefault="007079DC" w:rsidP="004359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</w:rPr>
      </w:pPr>
      <w:r w:rsidRPr="00485081">
        <w:rPr>
          <w:rFonts w:cstheme="minorHAnsi"/>
          <w:b/>
          <w:sz w:val="24"/>
          <w:szCs w:val="24"/>
        </w:rPr>
        <w:t>1.</w:t>
      </w:r>
      <w:r w:rsidR="004359C7" w:rsidRPr="00485081">
        <w:rPr>
          <w:rFonts w:cstheme="minorHAnsi"/>
          <w:b/>
          <w:sz w:val="24"/>
          <w:szCs w:val="24"/>
        </w:rPr>
        <w:tab/>
      </w:r>
      <w:r w:rsidR="00003D2E" w:rsidRPr="00485081">
        <w:rPr>
          <w:rFonts w:cstheme="minorHAnsi"/>
          <w:b/>
          <w:sz w:val="24"/>
          <w:szCs w:val="24"/>
        </w:rPr>
        <w:t>Vlastnická politika státu dosud není vytvořena</w:t>
      </w:r>
      <w:r w:rsidR="00F22902" w:rsidRPr="008E2EEE">
        <w:rPr>
          <w:rFonts w:cstheme="minorHAnsi"/>
          <w:sz w:val="24"/>
          <w:szCs w:val="24"/>
        </w:rPr>
        <w:t xml:space="preserve"> – v</w:t>
      </w:r>
      <w:r w:rsidR="007C498C" w:rsidRPr="008E2EEE">
        <w:rPr>
          <w:rFonts w:cstheme="minorHAnsi"/>
          <w:sz w:val="24"/>
          <w:szCs w:val="24"/>
        </w:rPr>
        <w:t xml:space="preserve"> polovině </w:t>
      </w:r>
      <w:r w:rsidR="00CE5D53" w:rsidRPr="008E2EEE">
        <w:rPr>
          <w:rFonts w:cstheme="minorHAnsi"/>
          <w:sz w:val="24"/>
          <w:szCs w:val="24"/>
        </w:rPr>
        <w:t xml:space="preserve">roku 2012 byl vládou </w:t>
      </w:r>
      <w:r w:rsidR="00BC74BA" w:rsidRPr="008E2EEE">
        <w:rPr>
          <w:rFonts w:cstheme="minorHAnsi"/>
          <w:sz w:val="24"/>
          <w:szCs w:val="24"/>
        </w:rPr>
        <w:t>mimo jiné</w:t>
      </w:r>
      <w:r w:rsidR="00CE5D53" w:rsidRPr="008E2EEE">
        <w:rPr>
          <w:rFonts w:cstheme="minorHAnsi"/>
          <w:sz w:val="24"/>
          <w:szCs w:val="24"/>
        </w:rPr>
        <w:t xml:space="preserve"> ministr</w:t>
      </w:r>
      <w:r w:rsidR="00BC74BA" w:rsidRPr="008E2EEE">
        <w:rPr>
          <w:rFonts w:cstheme="minorHAnsi"/>
          <w:sz w:val="24"/>
          <w:szCs w:val="24"/>
        </w:rPr>
        <w:t>u</w:t>
      </w:r>
      <w:r w:rsidR="00CE5D53" w:rsidRPr="008E2EEE">
        <w:rPr>
          <w:rFonts w:cstheme="minorHAnsi"/>
          <w:sz w:val="24"/>
          <w:szCs w:val="24"/>
        </w:rPr>
        <w:t xml:space="preserve"> financí a </w:t>
      </w:r>
      <w:r w:rsidR="00BC74BA" w:rsidRPr="008E2EEE">
        <w:rPr>
          <w:rFonts w:cstheme="minorHAnsi"/>
          <w:sz w:val="24"/>
          <w:szCs w:val="24"/>
        </w:rPr>
        <w:t xml:space="preserve">ministru </w:t>
      </w:r>
      <w:r w:rsidR="00CE5D53" w:rsidRPr="008E2EEE">
        <w:rPr>
          <w:rFonts w:cstheme="minorHAnsi"/>
          <w:sz w:val="24"/>
          <w:szCs w:val="24"/>
        </w:rPr>
        <w:t xml:space="preserve">průmyslu a obchodu uložen úkol </w:t>
      </w:r>
      <w:r w:rsidR="004F7369">
        <w:rPr>
          <w:rFonts w:cstheme="minorHAnsi"/>
          <w:sz w:val="24"/>
          <w:szCs w:val="24"/>
        </w:rPr>
        <w:t>vy</w:t>
      </w:r>
      <w:r w:rsidR="00CE5D53" w:rsidRPr="008E2EEE">
        <w:rPr>
          <w:rFonts w:cstheme="minorHAnsi"/>
          <w:sz w:val="24"/>
          <w:szCs w:val="24"/>
        </w:rPr>
        <w:t xml:space="preserve">pracovat strategický dokument </w:t>
      </w:r>
      <w:r w:rsidR="0046100F">
        <w:rPr>
          <w:rFonts w:cstheme="minorHAnsi"/>
          <w:sz w:val="24"/>
          <w:szCs w:val="24"/>
        </w:rPr>
        <w:t>o v</w:t>
      </w:r>
      <w:r w:rsidR="00CE5D53" w:rsidRPr="008E2EEE">
        <w:rPr>
          <w:rFonts w:cstheme="minorHAnsi"/>
          <w:sz w:val="24"/>
          <w:szCs w:val="24"/>
        </w:rPr>
        <w:t>lastnick</w:t>
      </w:r>
      <w:r w:rsidR="0046100F">
        <w:rPr>
          <w:rFonts w:cstheme="minorHAnsi"/>
          <w:sz w:val="24"/>
          <w:szCs w:val="24"/>
        </w:rPr>
        <w:t>é</w:t>
      </w:r>
      <w:r w:rsidR="00CE5D53" w:rsidRPr="008E2EEE">
        <w:rPr>
          <w:rFonts w:cstheme="minorHAnsi"/>
          <w:sz w:val="24"/>
          <w:szCs w:val="24"/>
        </w:rPr>
        <w:t xml:space="preserve"> politi</w:t>
      </w:r>
      <w:r w:rsidR="0046100F">
        <w:rPr>
          <w:rFonts w:cstheme="minorHAnsi"/>
          <w:sz w:val="24"/>
          <w:szCs w:val="24"/>
        </w:rPr>
        <w:t>ce</w:t>
      </w:r>
      <w:r w:rsidR="00CE5D53" w:rsidRPr="008E2EEE">
        <w:rPr>
          <w:rFonts w:cstheme="minorHAnsi"/>
          <w:sz w:val="24"/>
          <w:szCs w:val="24"/>
        </w:rPr>
        <w:t xml:space="preserve"> státu</w:t>
      </w:r>
      <w:r w:rsidR="003D0D57" w:rsidRPr="008E2EEE">
        <w:rPr>
          <w:rFonts w:cstheme="minorHAnsi"/>
          <w:sz w:val="24"/>
          <w:szCs w:val="24"/>
        </w:rPr>
        <w:t>.</w:t>
      </w:r>
      <w:r w:rsidR="00BD04F2" w:rsidRPr="008E2EEE">
        <w:rPr>
          <w:rFonts w:cstheme="minorHAnsi"/>
          <w:sz w:val="24"/>
          <w:szCs w:val="24"/>
        </w:rPr>
        <w:t xml:space="preserve"> </w:t>
      </w:r>
      <w:r w:rsidR="003D0D57" w:rsidRPr="008E2EEE">
        <w:rPr>
          <w:rFonts w:cstheme="minorHAnsi"/>
          <w:sz w:val="24"/>
          <w:szCs w:val="24"/>
        </w:rPr>
        <w:t xml:space="preserve">Mělo se jednat o širší strategii, která </w:t>
      </w:r>
      <w:r w:rsidR="004F7369">
        <w:rPr>
          <w:rFonts w:cstheme="minorHAnsi"/>
          <w:sz w:val="24"/>
          <w:szCs w:val="24"/>
        </w:rPr>
        <w:t>měla být</w:t>
      </w:r>
      <w:r w:rsidR="003D0D57" w:rsidRPr="008E2EEE">
        <w:rPr>
          <w:rFonts w:cstheme="minorHAnsi"/>
          <w:sz w:val="24"/>
          <w:szCs w:val="24"/>
        </w:rPr>
        <w:t xml:space="preserve"> veřejně známá, transparentní a </w:t>
      </w:r>
      <w:r w:rsidR="004F7369">
        <w:rPr>
          <w:rFonts w:cstheme="minorHAnsi"/>
          <w:sz w:val="24"/>
          <w:szCs w:val="24"/>
        </w:rPr>
        <w:t>měla</w:t>
      </w:r>
      <w:r w:rsidR="003D0D57" w:rsidRPr="008E2EEE">
        <w:rPr>
          <w:rFonts w:cstheme="minorHAnsi"/>
          <w:sz w:val="24"/>
          <w:szCs w:val="24"/>
        </w:rPr>
        <w:t xml:space="preserve"> definovat, jak si stát představuje svoji pozici jako </w:t>
      </w:r>
      <w:r w:rsidR="003D0D57" w:rsidRPr="00865072">
        <w:rPr>
          <w:rFonts w:cstheme="minorHAnsi"/>
          <w:sz w:val="24"/>
          <w:szCs w:val="24"/>
        </w:rPr>
        <w:t>vlastníka státních podniků a obchodních společností s majetkovou účastí státu.</w:t>
      </w:r>
      <w:r w:rsidR="00E352A3" w:rsidRPr="00865072">
        <w:rPr>
          <w:rFonts w:cstheme="minorHAnsi"/>
          <w:sz w:val="24"/>
          <w:szCs w:val="24"/>
        </w:rPr>
        <w:t xml:space="preserve"> </w:t>
      </w:r>
      <w:r w:rsidR="00E4026B" w:rsidRPr="00865072">
        <w:rPr>
          <w:rFonts w:cstheme="minorHAnsi"/>
          <w:sz w:val="24"/>
          <w:szCs w:val="24"/>
        </w:rPr>
        <w:t xml:space="preserve">Úkol byl modifikován několika usneseními vlády, termíny plnění </w:t>
      </w:r>
      <w:r w:rsidR="00F22902" w:rsidRPr="00865072">
        <w:rPr>
          <w:rFonts w:cstheme="minorHAnsi"/>
          <w:sz w:val="24"/>
          <w:szCs w:val="24"/>
        </w:rPr>
        <w:t>byl</w:t>
      </w:r>
      <w:r w:rsidR="007042D2" w:rsidRPr="00865072">
        <w:rPr>
          <w:rFonts w:cstheme="minorHAnsi"/>
          <w:sz w:val="24"/>
          <w:szCs w:val="24"/>
        </w:rPr>
        <w:t>y</w:t>
      </w:r>
      <w:r w:rsidR="00F22902" w:rsidRPr="00865072">
        <w:rPr>
          <w:rFonts w:cstheme="minorHAnsi"/>
          <w:sz w:val="24"/>
          <w:szCs w:val="24"/>
        </w:rPr>
        <w:t xml:space="preserve"> v roce 2013 i 2014</w:t>
      </w:r>
      <w:r w:rsidR="003A22BC" w:rsidRPr="00865072">
        <w:rPr>
          <w:rFonts w:cstheme="minorHAnsi"/>
          <w:sz w:val="24"/>
          <w:szCs w:val="24"/>
        </w:rPr>
        <w:t xml:space="preserve"> </w:t>
      </w:r>
      <w:r w:rsidR="00D96268" w:rsidRPr="00F73E8A">
        <w:rPr>
          <w:rFonts w:cstheme="minorHAnsi"/>
          <w:sz w:val="24"/>
          <w:szCs w:val="24"/>
        </w:rPr>
        <w:t>odsouvány</w:t>
      </w:r>
      <w:r w:rsidR="00F22902" w:rsidRPr="00F73E8A">
        <w:rPr>
          <w:rFonts w:cstheme="minorHAnsi"/>
          <w:sz w:val="24"/>
          <w:szCs w:val="24"/>
        </w:rPr>
        <w:t xml:space="preserve">, </w:t>
      </w:r>
      <w:r w:rsidR="007042D2" w:rsidRPr="00F73E8A">
        <w:rPr>
          <w:rFonts w:cstheme="minorHAnsi"/>
          <w:sz w:val="24"/>
          <w:szCs w:val="24"/>
        </w:rPr>
        <w:t xml:space="preserve">nejbližší </w:t>
      </w:r>
      <w:r w:rsidR="00F22902" w:rsidRPr="00F73E8A">
        <w:rPr>
          <w:rFonts w:cstheme="minorHAnsi"/>
          <w:sz w:val="24"/>
          <w:szCs w:val="24"/>
        </w:rPr>
        <w:t>termín</w:t>
      </w:r>
      <w:r w:rsidR="00E4026B" w:rsidRPr="00F73E8A">
        <w:rPr>
          <w:rFonts w:cstheme="minorHAnsi"/>
          <w:sz w:val="24"/>
          <w:szCs w:val="24"/>
        </w:rPr>
        <w:t>, kdy má být podána zpráva o stavu a způsobu splnění úkolů</w:t>
      </w:r>
      <w:r w:rsidR="00BC74BA" w:rsidRPr="00F73E8A">
        <w:rPr>
          <w:rFonts w:cstheme="minorHAnsi"/>
          <w:sz w:val="24"/>
          <w:szCs w:val="24"/>
        </w:rPr>
        <w:t>,</w:t>
      </w:r>
      <w:r w:rsidR="00E4026B" w:rsidRPr="00F73E8A">
        <w:rPr>
          <w:rFonts w:cstheme="minorHAnsi"/>
          <w:sz w:val="24"/>
          <w:szCs w:val="24"/>
        </w:rPr>
        <w:t xml:space="preserve"> </w:t>
      </w:r>
      <w:r w:rsidR="0024737A">
        <w:rPr>
          <w:rFonts w:cstheme="minorHAnsi"/>
          <w:sz w:val="24"/>
          <w:szCs w:val="24"/>
        </w:rPr>
        <w:t>byl stanoven na leden </w:t>
      </w:r>
      <w:r w:rsidR="00F22902" w:rsidRPr="00865072">
        <w:rPr>
          <w:rFonts w:cstheme="minorHAnsi"/>
          <w:sz w:val="24"/>
          <w:szCs w:val="24"/>
        </w:rPr>
        <w:t>2016.</w:t>
      </w:r>
      <w:r w:rsidR="00307745">
        <w:rPr>
          <w:rFonts w:cstheme="minorHAnsi"/>
          <w:sz w:val="24"/>
          <w:szCs w:val="24"/>
        </w:rPr>
        <w:t xml:space="preserve"> </w:t>
      </w:r>
    </w:p>
    <w:p w14:paraId="1A994C24" w14:textId="77777777" w:rsidR="00E70868" w:rsidRPr="00A43697" w:rsidRDefault="00E70868" w:rsidP="004359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60ACD82" w14:textId="5D082FA5" w:rsidR="00676422" w:rsidRPr="00ED42AE" w:rsidRDefault="004359C7" w:rsidP="004359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485081">
        <w:rPr>
          <w:rFonts w:cstheme="minorHAnsi"/>
          <w:b/>
          <w:sz w:val="24"/>
          <w:szCs w:val="24"/>
        </w:rPr>
        <w:t>2.</w:t>
      </w:r>
      <w:r w:rsidRPr="00485081">
        <w:rPr>
          <w:rFonts w:cstheme="minorHAnsi"/>
          <w:b/>
          <w:sz w:val="24"/>
          <w:szCs w:val="24"/>
        </w:rPr>
        <w:tab/>
      </w:r>
      <w:r w:rsidR="00FC09A5" w:rsidRPr="00485081">
        <w:rPr>
          <w:rFonts w:cstheme="minorHAnsi"/>
          <w:b/>
          <w:sz w:val="24"/>
          <w:szCs w:val="24"/>
        </w:rPr>
        <w:t>Zásady odměňování vedoucích zaměstnanců a členů orgánů obchodních společnost</w:t>
      </w:r>
      <w:r w:rsidR="004F7369">
        <w:rPr>
          <w:rFonts w:cstheme="minorHAnsi"/>
          <w:b/>
          <w:sz w:val="24"/>
          <w:szCs w:val="24"/>
        </w:rPr>
        <w:t>í</w:t>
      </w:r>
      <w:r w:rsidR="00FC09A5" w:rsidRPr="00485081">
        <w:rPr>
          <w:rFonts w:cstheme="minorHAnsi"/>
          <w:b/>
          <w:sz w:val="24"/>
          <w:szCs w:val="24"/>
        </w:rPr>
        <w:t xml:space="preserve"> s majetkovou účastí státu</w:t>
      </w:r>
      <w:r w:rsidR="00302E33" w:rsidRPr="00485081">
        <w:rPr>
          <w:rStyle w:val="Znakapoznpodarou"/>
          <w:rFonts w:cstheme="minorHAnsi"/>
          <w:b/>
          <w:sz w:val="24"/>
          <w:szCs w:val="24"/>
        </w:rPr>
        <w:footnoteReference w:id="3"/>
      </w:r>
      <w:r w:rsidR="00FC09A5" w:rsidRPr="00485081">
        <w:rPr>
          <w:rFonts w:cstheme="minorHAnsi"/>
          <w:b/>
          <w:sz w:val="24"/>
          <w:szCs w:val="24"/>
        </w:rPr>
        <w:t xml:space="preserve"> </w:t>
      </w:r>
      <w:r w:rsidR="003A22BC" w:rsidRPr="00485081">
        <w:rPr>
          <w:rFonts w:cstheme="minorHAnsi"/>
          <w:b/>
          <w:sz w:val="24"/>
          <w:szCs w:val="24"/>
        </w:rPr>
        <w:t xml:space="preserve">(dále také „Zásady odměňování“) </w:t>
      </w:r>
      <w:r w:rsidR="00E9465B" w:rsidRPr="00485081">
        <w:rPr>
          <w:rFonts w:cstheme="minorHAnsi"/>
          <w:b/>
          <w:sz w:val="24"/>
          <w:szCs w:val="24"/>
        </w:rPr>
        <w:t>byly uplatňovány</w:t>
      </w:r>
      <w:r w:rsidR="00FC09A5" w:rsidRPr="00485081">
        <w:rPr>
          <w:rFonts w:cstheme="minorHAnsi"/>
          <w:b/>
          <w:sz w:val="24"/>
          <w:szCs w:val="24"/>
        </w:rPr>
        <w:t xml:space="preserve"> v omezeném rozsahu</w:t>
      </w:r>
      <w:r w:rsidR="00FC09A5" w:rsidRPr="00A43697">
        <w:rPr>
          <w:rFonts w:cstheme="minorHAnsi"/>
          <w:sz w:val="24"/>
          <w:szCs w:val="24"/>
          <w:u w:val="single"/>
        </w:rPr>
        <w:t xml:space="preserve"> </w:t>
      </w:r>
    </w:p>
    <w:p w14:paraId="677AB231" w14:textId="32449E05" w:rsidR="00ED42AE" w:rsidRDefault="004F7369" w:rsidP="00485081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="00676422" w:rsidRPr="00685408">
        <w:rPr>
          <w:rFonts w:asciiTheme="minorHAnsi" w:hAnsiTheme="minorHAnsi" w:cstheme="minorHAnsi"/>
        </w:rPr>
        <w:t xml:space="preserve">plikace </w:t>
      </w:r>
      <w:r w:rsidR="00E9465B" w:rsidRPr="00685408">
        <w:rPr>
          <w:rFonts w:asciiTheme="minorHAnsi" w:hAnsiTheme="minorHAnsi" w:cstheme="minorHAnsi"/>
        </w:rPr>
        <w:t>Zásad odměňování</w:t>
      </w:r>
      <w:r w:rsidR="00CF43C0">
        <w:rPr>
          <w:rFonts w:asciiTheme="minorHAnsi" w:hAnsiTheme="minorHAnsi" w:cstheme="minorHAnsi"/>
          <w:vertAlign w:val="superscript"/>
        </w:rPr>
        <w:t>2</w:t>
      </w:r>
      <w:r w:rsidR="00E9465B" w:rsidRPr="00685408">
        <w:rPr>
          <w:rFonts w:asciiTheme="minorHAnsi" w:hAnsiTheme="minorHAnsi" w:cstheme="minorHAnsi"/>
        </w:rPr>
        <w:t xml:space="preserve"> </w:t>
      </w:r>
      <w:r w:rsidR="00E70868" w:rsidRPr="00685408">
        <w:rPr>
          <w:rFonts w:asciiTheme="minorHAnsi" w:hAnsiTheme="minorHAnsi" w:cstheme="minorHAnsi"/>
        </w:rPr>
        <w:t>do vnitřních předpisů</w:t>
      </w:r>
      <w:r w:rsidR="00E16A7B" w:rsidRPr="00685408">
        <w:rPr>
          <w:rFonts w:asciiTheme="minorHAnsi" w:hAnsiTheme="minorHAnsi" w:cstheme="minorHAnsi"/>
        </w:rPr>
        <w:t xml:space="preserve"> kontrolovaných</w:t>
      </w:r>
      <w:r w:rsidR="00E70868" w:rsidRPr="00685408">
        <w:rPr>
          <w:rFonts w:asciiTheme="minorHAnsi" w:hAnsiTheme="minorHAnsi" w:cstheme="minorHAnsi"/>
        </w:rPr>
        <w:t xml:space="preserve"> ministerstev </w:t>
      </w:r>
      <w:r w:rsidR="00E9465B" w:rsidRPr="00685408">
        <w:rPr>
          <w:rFonts w:asciiTheme="minorHAnsi" w:hAnsiTheme="minorHAnsi" w:cstheme="minorHAnsi"/>
        </w:rPr>
        <w:t>byla</w:t>
      </w:r>
      <w:r w:rsidR="00D901A7" w:rsidRPr="00685408">
        <w:rPr>
          <w:rFonts w:asciiTheme="minorHAnsi" w:hAnsiTheme="minorHAnsi" w:cstheme="minorHAnsi"/>
        </w:rPr>
        <w:t xml:space="preserve"> na různé úrovni</w:t>
      </w:r>
      <w:r w:rsidR="00582517" w:rsidRPr="00685408">
        <w:rPr>
          <w:rFonts w:asciiTheme="minorHAnsi" w:hAnsiTheme="minorHAnsi" w:cstheme="minorHAnsi"/>
        </w:rPr>
        <w:t>, a to</w:t>
      </w:r>
      <w:r w:rsidR="00A60163" w:rsidRPr="00685408">
        <w:rPr>
          <w:rFonts w:asciiTheme="minorHAnsi" w:hAnsiTheme="minorHAnsi" w:cstheme="minorHAnsi"/>
        </w:rPr>
        <w:t xml:space="preserve"> </w:t>
      </w:r>
      <w:r w:rsidR="00836CB5" w:rsidRPr="00685408">
        <w:rPr>
          <w:rFonts w:asciiTheme="minorHAnsi" w:hAnsiTheme="minorHAnsi" w:cstheme="minorHAnsi"/>
        </w:rPr>
        <w:t xml:space="preserve">od převzetí úplného znění </w:t>
      </w:r>
      <w:r w:rsidR="00682992" w:rsidRPr="00685408">
        <w:rPr>
          <w:rFonts w:asciiTheme="minorHAnsi" w:hAnsiTheme="minorHAnsi" w:cstheme="minorHAnsi"/>
        </w:rPr>
        <w:t xml:space="preserve">(MPO) </w:t>
      </w:r>
      <w:r w:rsidR="00836CB5" w:rsidRPr="00685408">
        <w:rPr>
          <w:rFonts w:asciiTheme="minorHAnsi" w:hAnsiTheme="minorHAnsi" w:cstheme="minorHAnsi"/>
        </w:rPr>
        <w:t xml:space="preserve">až po </w:t>
      </w:r>
      <w:r w:rsidR="00FF6810" w:rsidRPr="00685408">
        <w:rPr>
          <w:rFonts w:asciiTheme="minorHAnsi" w:hAnsiTheme="minorHAnsi" w:cstheme="minorHAnsi"/>
        </w:rPr>
        <w:t xml:space="preserve">téměř </w:t>
      </w:r>
      <w:r w:rsidR="00682992" w:rsidRPr="00685408">
        <w:rPr>
          <w:rFonts w:asciiTheme="minorHAnsi" w:hAnsiTheme="minorHAnsi" w:cstheme="minorHAnsi"/>
        </w:rPr>
        <w:t>minimalistickou úpravu (MZe)</w:t>
      </w:r>
      <w:r w:rsidR="00EE6137" w:rsidRPr="00685408">
        <w:rPr>
          <w:rFonts w:asciiTheme="minorHAnsi" w:hAnsiTheme="minorHAnsi" w:cstheme="minorHAnsi"/>
        </w:rPr>
        <w:t xml:space="preserve">. Vnitřní předpis MF </w:t>
      </w:r>
      <w:r w:rsidR="00E9465B" w:rsidRPr="00685408">
        <w:rPr>
          <w:rFonts w:asciiTheme="minorHAnsi" w:hAnsiTheme="minorHAnsi" w:cstheme="minorHAnsi"/>
        </w:rPr>
        <w:t>upravoval</w:t>
      </w:r>
      <w:r w:rsidR="00EE6137" w:rsidRPr="00685408">
        <w:rPr>
          <w:rFonts w:asciiTheme="minorHAnsi" w:hAnsiTheme="minorHAnsi" w:cstheme="minorHAnsi"/>
        </w:rPr>
        <w:t xml:space="preserve"> výši poskytovaných odměn, </w:t>
      </w:r>
      <w:r w:rsidR="00E9465B" w:rsidRPr="00685408">
        <w:rPr>
          <w:rFonts w:asciiTheme="minorHAnsi" w:hAnsiTheme="minorHAnsi" w:cstheme="minorHAnsi"/>
        </w:rPr>
        <w:t>nestanovil</w:t>
      </w:r>
      <w:r w:rsidR="00C76C02" w:rsidRPr="00685408">
        <w:rPr>
          <w:rFonts w:asciiTheme="minorHAnsi" w:hAnsiTheme="minorHAnsi" w:cstheme="minorHAnsi"/>
        </w:rPr>
        <w:t xml:space="preserve"> však</w:t>
      </w:r>
      <w:r w:rsidR="00B64561" w:rsidRPr="00685408">
        <w:rPr>
          <w:rFonts w:asciiTheme="minorHAnsi" w:hAnsiTheme="minorHAnsi" w:cstheme="minorHAnsi"/>
        </w:rPr>
        <w:t xml:space="preserve">, </w:t>
      </w:r>
      <w:r w:rsidR="00C76C02" w:rsidRPr="00685408">
        <w:rPr>
          <w:rFonts w:asciiTheme="minorHAnsi" w:hAnsiTheme="minorHAnsi" w:cstheme="minorHAnsi"/>
        </w:rPr>
        <w:t>za</w:t>
      </w:r>
      <w:r w:rsidR="00B64561" w:rsidRPr="00685408">
        <w:rPr>
          <w:rFonts w:asciiTheme="minorHAnsi" w:hAnsiTheme="minorHAnsi" w:cstheme="minorHAnsi"/>
        </w:rPr>
        <w:t xml:space="preserve"> plnění jakých cílů by měl</w:t>
      </w:r>
      <w:r w:rsidR="00D0321C" w:rsidRPr="00685408">
        <w:rPr>
          <w:rFonts w:asciiTheme="minorHAnsi" w:hAnsiTheme="minorHAnsi" w:cstheme="minorHAnsi"/>
        </w:rPr>
        <w:t>y být</w:t>
      </w:r>
      <w:r w:rsidR="00B64561" w:rsidRPr="00685408">
        <w:rPr>
          <w:rFonts w:asciiTheme="minorHAnsi" w:hAnsiTheme="minorHAnsi" w:cstheme="minorHAnsi"/>
        </w:rPr>
        <w:t xml:space="preserve"> </w:t>
      </w:r>
      <w:r w:rsidR="00C76C02" w:rsidRPr="00685408">
        <w:rPr>
          <w:rFonts w:asciiTheme="minorHAnsi" w:hAnsiTheme="minorHAnsi" w:cstheme="minorHAnsi"/>
        </w:rPr>
        <w:t>odměny poskytovány</w:t>
      </w:r>
      <w:r>
        <w:rPr>
          <w:rFonts w:asciiTheme="minorHAnsi" w:hAnsiTheme="minorHAnsi" w:cstheme="minorHAnsi"/>
        </w:rPr>
        <w:t>.</w:t>
      </w:r>
      <w:r w:rsidR="00E70868" w:rsidRPr="00685408">
        <w:rPr>
          <w:rFonts w:asciiTheme="minorHAnsi" w:hAnsiTheme="minorHAnsi" w:cstheme="minorHAnsi"/>
        </w:rPr>
        <w:t xml:space="preserve"> </w:t>
      </w:r>
    </w:p>
    <w:p w14:paraId="14C005E6" w14:textId="0705BC5B" w:rsidR="00676422" w:rsidRPr="008E2EEE" w:rsidRDefault="004F7369" w:rsidP="00485081">
      <w:pPr>
        <w:pStyle w:val="Odstavecseseznamem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="00E9465B" w:rsidRPr="008E2EEE">
        <w:rPr>
          <w:rFonts w:asciiTheme="minorHAnsi" w:hAnsiTheme="minorHAnsi" w:cstheme="minorHAnsi"/>
        </w:rPr>
        <w:t>romítnutí Zásad odměňování</w:t>
      </w:r>
      <w:r w:rsidR="00CF43C0">
        <w:rPr>
          <w:rFonts w:asciiTheme="minorHAnsi" w:hAnsiTheme="minorHAnsi" w:cstheme="minorHAnsi"/>
          <w:vertAlign w:val="superscript"/>
        </w:rPr>
        <w:t>2</w:t>
      </w:r>
      <w:r w:rsidR="00E9465B" w:rsidRPr="008E2EEE">
        <w:rPr>
          <w:rFonts w:asciiTheme="minorHAnsi" w:hAnsiTheme="minorHAnsi" w:cstheme="minorHAnsi"/>
        </w:rPr>
        <w:t xml:space="preserve"> do </w:t>
      </w:r>
      <w:r w:rsidR="00676422" w:rsidRPr="008E2EEE">
        <w:rPr>
          <w:rFonts w:asciiTheme="minorHAnsi" w:hAnsiTheme="minorHAnsi" w:cstheme="minorHAnsi"/>
        </w:rPr>
        <w:t>stanov společností</w:t>
      </w:r>
      <w:r w:rsidR="00E9465B" w:rsidRPr="008E2EEE">
        <w:rPr>
          <w:rFonts w:asciiTheme="minorHAnsi" w:hAnsiTheme="minorHAnsi" w:cstheme="minorHAnsi"/>
        </w:rPr>
        <w:t xml:space="preserve"> </w:t>
      </w:r>
      <w:r w:rsidR="00917E50" w:rsidRPr="008E2EEE">
        <w:rPr>
          <w:rFonts w:asciiTheme="minorHAnsi" w:hAnsiTheme="minorHAnsi" w:cstheme="minorHAnsi"/>
        </w:rPr>
        <w:t>nebylo dostatečné</w:t>
      </w:r>
      <w:r w:rsidR="00D0321C" w:rsidRPr="008E2EEE">
        <w:rPr>
          <w:rFonts w:asciiTheme="minorHAnsi" w:hAnsiTheme="minorHAnsi" w:cstheme="minorHAnsi"/>
        </w:rPr>
        <w:t xml:space="preserve">, </w:t>
      </w:r>
      <w:r w:rsidR="00C63A0B" w:rsidRPr="008E2EEE">
        <w:rPr>
          <w:rFonts w:asciiTheme="minorHAnsi" w:hAnsiTheme="minorHAnsi" w:cstheme="minorHAnsi"/>
        </w:rPr>
        <w:t>bylo-li</w:t>
      </w:r>
      <w:r w:rsidR="00C76C02" w:rsidRPr="008E2EEE">
        <w:rPr>
          <w:rFonts w:asciiTheme="minorHAnsi" w:hAnsiTheme="minorHAnsi" w:cstheme="minorHAnsi"/>
        </w:rPr>
        <w:t xml:space="preserve"> </w:t>
      </w:r>
      <w:r w:rsidR="00676422" w:rsidRPr="008E2EEE">
        <w:rPr>
          <w:rFonts w:asciiTheme="minorHAnsi" w:hAnsiTheme="minorHAnsi" w:cstheme="minorHAnsi"/>
        </w:rPr>
        <w:t xml:space="preserve">schvalování smluv </w:t>
      </w:r>
      <w:r w:rsidR="00535040" w:rsidRPr="008E2EEE">
        <w:rPr>
          <w:rFonts w:asciiTheme="minorHAnsi" w:hAnsiTheme="minorHAnsi" w:cstheme="minorHAnsi"/>
        </w:rPr>
        <w:t xml:space="preserve">o výkonu funkce </w:t>
      </w:r>
      <w:r w:rsidR="006166F7" w:rsidRPr="008E2EEE">
        <w:rPr>
          <w:rFonts w:asciiTheme="minorHAnsi" w:hAnsiTheme="minorHAnsi" w:cstheme="minorHAnsi"/>
        </w:rPr>
        <w:t xml:space="preserve">člena představenstva </w:t>
      </w:r>
      <w:r w:rsidR="00676422" w:rsidRPr="008E2EEE">
        <w:rPr>
          <w:rFonts w:asciiTheme="minorHAnsi" w:hAnsiTheme="minorHAnsi" w:cstheme="minorHAnsi"/>
        </w:rPr>
        <w:t>v působnosti dozorčí rady</w:t>
      </w:r>
      <w:r w:rsidR="00C76C02" w:rsidRPr="008E2EEE">
        <w:rPr>
          <w:rFonts w:asciiTheme="minorHAnsi" w:hAnsiTheme="minorHAnsi" w:cstheme="minorHAnsi"/>
        </w:rPr>
        <w:t>. Ministerstva</w:t>
      </w:r>
      <w:r w:rsidR="00676422" w:rsidRPr="008E2EEE">
        <w:rPr>
          <w:rFonts w:asciiTheme="minorHAnsi" w:hAnsiTheme="minorHAnsi" w:cstheme="minorHAnsi"/>
        </w:rPr>
        <w:t xml:space="preserve"> </w:t>
      </w:r>
      <w:r w:rsidR="00C63A0B" w:rsidRPr="008E2EEE">
        <w:rPr>
          <w:rFonts w:asciiTheme="minorHAnsi" w:hAnsiTheme="minorHAnsi" w:cstheme="minorHAnsi"/>
        </w:rPr>
        <w:t>neměla</w:t>
      </w:r>
      <w:r w:rsidR="00CE1C16" w:rsidRPr="008E2EEE">
        <w:rPr>
          <w:rFonts w:asciiTheme="minorHAnsi" w:hAnsiTheme="minorHAnsi" w:cstheme="minorHAnsi"/>
        </w:rPr>
        <w:t xml:space="preserve"> </w:t>
      </w:r>
      <w:r w:rsidR="00535040" w:rsidRPr="008E2EEE">
        <w:rPr>
          <w:rFonts w:asciiTheme="minorHAnsi" w:hAnsiTheme="minorHAnsi" w:cstheme="minorHAnsi"/>
        </w:rPr>
        <w:t xml:space="preserve">tyto </w:t>
      </w:r>
      <w:r w:rsidR="00676422" w:rsidRPr="008E2EEE">
        <w:rPr>
          <w:rFonts w:asciiTheme="minorHAnsi" w:hAnsiTheme="minorHAnsi" w:cstheme="minorHAnsi"/>
        </w:rPr>
        <w:t xml:space="preserve">smlouvy k dispozici a </w:t>
      </w:r>
      <w:r w:rsidR="00945972" w:rsidRPr="008E2EEE">
        <w:rPr>
          <w:rFonts w:asciiTheme="minorHAnsi" w:hAnsiTheme="minorHAnsi" w:cstheme="minorHAnsi"/>
        </w:rPr>
        <w:t>nastavení</w:t>
      </w:r>
      <w:r w:rsidR="00451A96" w:rsidRPr="008E2EEE">
        <w:rPr>
          <w:rFonts w:asciiTheme="minorHAnsi" w:hAnsiTheme="minorHAnsi" w:cstheme="minorHAnsi"/>
        </w:rPr>
        <w:t xml:space="preserve"> </w:t>
      </w:r>
      <w:r w:rsidR="00676422" w:rsidRPr="008E2EEE">
        <w:rPr>
          <w:rFonts w:asciiTheme="minorHAnsi" w:hAnsiTheme="minorHAnsi" w:cstheme="minorHAnsi"/>
        </w:rPr>
        <w:t xml:space="preserve">podmínek odměňování </w:t>
      </w:r>
      <w:r w:rsidR="00C63A0B" w:rsidRPr="008E2EEE">
        <w:rPr>
          <w:rFonts w:asciiTheme="minorHAnsi" w:hAnsiTheme="minorHAnsi" w:cstheme="minorHAnsi"/>
        </w:rPr>
        <w:t>nemohla přímo ovlivnit</w:t>
      </w:r>
      <w:r>
        <w:rPr>
          <w:rFonts w:asciiTheme="minorHAnsi" w:hAnsiTheme="minorHAnsi" w:cstheme="minorHAnsi"/>
        </w:rPr>
        <w:t>.</w:t>
      </w:r>
    </w:p>
    <w:p w14:paraId="45666C4F" w14:textId="610524F5" w:rsidR="00E21ED6" w:rsidRPr="00E225B0" w:rsidRDefault="004F7369" w:rsidP="00485081">
      <w:pPr>
        <w:pStyle w:val="Odstavecseseznamem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</w:t>
      </w:r>
      <w:r w:rsidR="00E21ED6" w:rsidRPr="00E225B0">
        <w:rPr>
          <w:rFonts w:asciiTheme="minorHAnsi" w:hAnsiTheme="minorHAnsi" w:cstheme="minorHAnsi"/>
        </w:rPr>
        <w:t xml:space="preserve">oční projednávání odměňování vedoucích zaměstnanců a členů orgánů obchodních společností dozorčí radou, obdobným orgánem, případně ministerstvem nebylo </w:t>
      </w:r>
      <w:r w:rsidR="0014151F" w:rsidRPr="00E225B0">
        <w:rPr>
          <w:rFonts w:asciiTheme="minorHAnsi" w:hAnsiTheme="minorHAnsi" w:cstheme="minorHAnsi"/>
        </w:rPr>
        <w:t xml:space="preserve">ve stanovách některých společností </w:t>
      </w:r>
      <w:r w:rsidR="00116BAB" w:rsidRPr="00E225B0">
        <w:rPr>
          <w:rFonts w:asciiTheme="minorHAnsi" w:hAnsiTheme="minorHAnsi" w:cstheme="minorHAnsi"/>
        </w:rPr>
        <w:t>zajištěno</w:t>
      </w:r>
      <w:r>
        <w:rPr>
          <w:rFonts w:asciiTheme="minorHAnsi" w:hAnsiTheme="minorHAnsi" w:cstheme="minorHAnsi"/>
        </w:rPr>
        <w:t>.</w:t>
      </w:r>
    </w:p>
    <w:p w14:paraId="4EECBE72" w14:textId="55E64BCA" w:rsidR="000833A7" w:rsidRPr="00E225B0" w:rsidRDefault="004F7369" w:rsidP="00485081">
      <w:pPr>
        <w:pStyle w:val="Odstavecseseznamem"/>
        <w:numPr>
          <w:ilvl w:val="0"/>
          <w:numId w:val="21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</w:t>
      </w:r>
      <w:r w:rsidR="00535040" w:rsidRPr="006119FD">
        <w:rPr>
          <w:rFonts w:asciiTheme="minorHAnsi" w:hAnsiTheme="minorHAnsi" w:cstheme="minorHAnsi"/>
        </w:rPr>
        <w:t xml:space="preserve">inisterstva ve většině případů nezabezpečila </w:t>
      </w:r>
      <w:r w:rsidR="005D4BAE" w:rsidRPr="006119FD">
        <w:rPr>
          <w:rFonts w:asciiTheme="minorHAnsi" w:hAnsiTheme="minorHAnsi" w:cstheme="minorHAnsi"/>
        </w:rPr>
        <w:t>ve</w:t>
      </w:r>
      <w:r w:rsidR="00D901A7" w:rsidRPr="006119FD">
        <w:rPr>
          <w:rFonts w:asciiTheme="minorHAnsi" w:hAnsiTheme="minorHAnsi" w:cstheme="minorHAnsi"/>
        </w:rPr>
        <w:t xml:space="preserve"> sml</w:t>
      </w:r>
      <w:r w:rsidR="005D4BAE" w:rsidRPr="006119FD">
        <w:rPr>
          <w:rFonts w:asciiTheme="minorHAnsi" w:hAnsiTheme="minorHAnsi" w:cstheme="minorHAnsi"/>
        </w:rPr>
        <w:t>ouvách</w:t>
      </w:r>
      <w:r w:rsidR="00D901A7" w:rsidRPr="006119FD">
        <w:rPr>
          <w:rFonts w:asciiTheme="minorHAnsi" w:hAnsiTheme="minorHAnsi" w:cstheme="minorHAnsi"/>
        </w:rPr>
        <w:t xml:space="preserve"> o výkonu funkce</w:t>
      </w:r>
      <w:r w:rsidR="005D4BAE" w:rsidRPr="006119FD">
        <w:rPr>
          <w:rFonts w:asciiTheme="minorHAnsi" w:hAnsiTheme="minorHAnsi" w:cstheme="minorHAnsi"/>
        </w:rPr>
        <w:t xml:space="preserve"> </w:t>
      </w:r>
      <w:r w:rsidR="003D3878" w:rsidRPr="00E225B0">
        <w:rPr>
          <w:rFonts w:asciiTheme="minorHAnsi" w:hAnsiTheme="minorHAnsi" w:cstheme="minorHAnsi"/>
        </w:rPr>
        <w:t>sjednání takových podmínek, které by zcela odpovídaly jejich vnitřním předpisům pro aplikaci Zásad</w:t>
      </w:r>
      <w:r w:rsidR="00451A96" w:rsidRPr="00E225B0">
        <w:rPr>
          <w:rFonts w:asciiTheme="minorHAnsi" w:hAnsiTheme="minorHAnsi" w:cstheme="minorHAnsi"/>
        </w:rPr>
        <w:t xml:space="preserve"> odměňování</w:t>
      </w:r>
      <w:r w:rsidR="003D3878" w:rsidRPr="00E225B0">
        <w:rPr>
          <w:rFonts w:asciiTheme="minorHAnsi" w:hAnsiTheme="minorHAnsi" w:cstheme="minorHAnsi"/>
        </w:rPr>
        <w:t xml:space="preserve">, přestože </w:t>
      </w:r>
      <w:r w:rsidR="00E16A7B" w:rsidRPr="00E225B0">
        <w:rPr>
          <w:rFonts w:asciiTheme="minorHAnsi" w:hAnsiTheme="minorHAnsi" w:cstheme="minorHAnsi"/>
        </w:rPr>
        <w:t xml:space="preserve">většinou </w:t>
      </w:r>
      <w:r w:rsidR="003D3878" w:rsidRPr="00E225B0">
        <w:rPr>
          <w:rFonts w:asciiTheme="minorHAnsi" w:hAnsiTheme="minorHAnsi" w:cstheme="minorHAnsi"/>
        </w:rPr>
        <w:t>byla v pozici jediného akcionáře v působnosti valné hromady</w:t>
      </w:r>
      <w:r w:rsidR="00E16A7B" w:rsidRPr="00E225B0">
        <w:rPr>
          <w:rFonts w:asciiTheme="minorHAnsi" w:hAnsiTheme="minorHAnsi" w:cstheme="minorHAnsi"/>
        </w:rPr>
        <w:t xml:space="preserve"> nebo rozhodujícího akcionáře</w:t>
      </w:r>
      <w:r w:rsidR="003D3878" w:rsidRPr="00E225B0">
        <w:rPr>
          <w:rFonts w:asciiTheme="minorHAnsi" w:hAnsiTheme="minorHAnsi" w:cstheme="minorHAnsi"/>
        </w:rPr>
        <w:t xml:space="preserve"> a sv</w:t>
      </w:r>
      <w:r w:rsidR="00E16A7B" w:rsidRPr="00E225B0">
        <w:rPr>
          <w:rFonts w:asciiTheme="minorHAnsi" w:hAnsiTheme="minorHAnsi" w:cstheme="minorHAnsi"/>
        </w:rPr>
        <w:t>é</w:t>
      </w:r>
      <w:r w:rsidR="003D3878" w:rsidRPr="00E225B0">
        <w:rPr>
          <w:rFonts w:asciiTheme="minorHAnsi" w:hAnsiTheme="minorHAnsi" w:cstheme="minorHAnsi"/>
        </w:rPr>
        <w:t xml:space="preserve"> </w:t>
      </w:r>
      <w:r w:rsidR="00E16A7B" w:rsidRPr="00E225B0">
        <w:rPr>
          <w:rFonts w:asciiTheme="minorHAnsi" w:hAnsiTheme="minorHAnsi" w:cstheme="minorHAnsi"/>
        </w:rPr>
        <w:t xml:space="preserve">záměry </w:t>
      </w:r>
      <w:r w:rsidR="00E0469C">
        <w:rPr>
          <w:rFonts w:asciiTheme="minorHAnsi" w:hAnsiTheme="minorHAnsi" w:cstheme="minorHAnsi"/>
        </w:rPr>
        <w:t>–</w:t>
      </w:r>
      <w:r w:rsidR="00E16A7B" w:rsidRPr="00E225B0">
        <w:rPr>
          <w:rFonts w:asciiTheme="minorHAnsi" w:hAnsiTheme="minorHAnsi" w:cstheme="minorHAnsi"/>
        </w:rPr>
        <w:t xml:space="preserve"> </w:t>
      </w:r>
      <w:r w:rsidR="003D3878" w:rsidRPr="00E225B0">
        <w:rPr>
          <w:rFonts w:asciiTheme="minorHAnsi" w:hAnsiTheme="minorHAnsi" w:cstheme="minorHAnsi"/>
        </w:rPr>
        <w:t>rozhodnutí</w:t>
      </w:r>
      <w:r w:rsidR="00307745">
        <w:rPr>
          <w:rFonts w:asciiTheme="minorHAnsi" w:hAnsiTheme="minorHAnsi" w:cstheme="minorHAnsi"/>
        </w:rPr>
        <w:t xml:space="preserve"> </w:t>
      </w:r>
      <w:r w:rsidR="007F6CAD" w:rsidRPr="00E225B0">
        <w:rPr>
          <w:rFonts w:asciiTheme="minorHAnsi" w:hAnsiTheme="minorHAnsi" w:cstheme="minorHAnsi"/>
        </w:rPr>
        <w:t xml:space="preserve">tak </w:t>
      </w:r>
      <w:r w:rsidR="003D3878" w:rsidRPr="00E225B0">
        <w:rPr>
          <w:rFonts w:asciiTheme="minorHAnsi" w:hAnsiTheme="minorHAnsi" w:cstheme="minorHAnsi"/>
        </w:rPr>
        <w:t>mohla prosadit</w:t>
      </w:r>
      <w:r>
        <w:rPr>
          <w:rFonts w:asciiTheme="minorHAnsi" w:hAnsiTheme="minorHAnsi" w:cstheme="minorHAnsi"/>
        </w:rPr>
        <w:t>.</w:t>
      </w:r>
      <w:r w:rsidR="000833A7" w:rsidRPr="00E225B0">
        <w:rPr>
          <w:rFonts w:asciiTheme="minorHAnsi" w:hAnsiTheme="minorHAnsi" w:cstheme="minorHAnsi"/>
        </w:rPr>
        <w:t xml:space="preserve"> </w:t>
      </w:r>
    </w:p>
    <w:p w14:paraId="6C0FC852" w14:textId="43F35A4B" w:rsidR="004C29F9" w:rsidRPr="004359C7" w:rsidRDefault="004F7369" w:rsidP="00485081">
      <w:pPr>
        <w:pStyle w:val="Odstavecseseznamem"/>
        <w:numPr>
          <w:ilvl w:val="0"/>
          <w:numId w:val="21"/>
        </w:numPr>
        <w:ind w:left="567" w:hanging="283"/>
        <w:jc w:val="both"/>
        <w:rPr>
          <w:rFonts w:ascii="Calibri" w:hAnsi="Calibri" w:cs="Calibri"/>
        </w:rPr>
      </w:pPr>
      <w:r>
        <w:rPr>
          <w:rFonts w:asciiTheme="minorHAnsi" w:hAnsiTheme="minorHAnsi" w:cstheme="minorHAnsi"/>
        </w:rPr>
        <w:t>Z</w:t>
      </w:r>
      <w:r w:rsidR="00266E64" w:rsidRPr="00685408">
        <w:rPr>
          <w:rFonts w:asciiTheme="minorHAnsi" w:hAnsiTheme="minorHAnsi" w:cstheme="minorHAnsi"/>
        </w:rPr>
        <w:t>e</w:t>
      </w:r>
      <w:r w:rsidR="004359C7">
        <w:rPr>
          <w:rFonts w:asciiTheme="minorHAnsi" w:hAnsiTheme="minorHAnsi" w:cstheme="minorHAnsi"/>
        </w:rPr>
        <w:t xml:space="preserve"> </w:t>
      </w:r>
      <w:r w:rsidR="00266E64" w:rsidRPr="00685408">
        <w:rPr>
          <w:rFonts w:asciiTheme="minorHAnsi" w:hAnsiTheme="minorHAnsi" w:cstheme="minorHAnsi"/>
        </w:rPr>
        <w:t>závěrů</w:t>
      </w:r>
      <w:r w:rsidR="009B41C1" w:rsidRPr="00685408">
        <w:rPr>
          <w:rFonts w:asciiTheme="minorHAnsi" w:hAnsiTheme="minorHAnsi" w:cstheme="minorHAnsi"/>
        </w:rPr>
        <w:t xml:space="preserve"> </w:t>
      </w:r>
      <w:r w:rsidR="0046100F">
        <w:rPr>
          <w:rFonts w:asciiTheme="minorHAnsi" w:hAnsiTheme="minorHAnsi" w:cstheme="minorHAnsi"/>
        </w:rPr>
        <w:t>i</w:t>
      </w:r>
      <w:r w:rsidR="003C47E2" w:rsidRPr="00685408">
        <w:rPr>
          <w:rFonts w:asciiTheme="minorHAnsi" w:hAnsiTheme="minorHAnsi" w:cstheme="minorHAnsi"/>
        </w:rPr>
        <w:t>nformac</w:t>
      </w:r>
      <w:r w:rsidR="0046100F">
        <w:rPr>
          <w:rFonts w:asciiTheme="minorHAnsi" w:hAnsiTheme="minorHAnsi" w:cstheme="minorHAnsi"/>
        </w:rPr>
        <w:t>í</w:t>
      </w:r>
      <w:r w:rsidR="003C47E2" w:rsidRPr="00685408">
        <w:rPr>
          <w:rFonts w:asciiTheme="minorHAnsi" w:hAnsiTheme="minorHAnsi" w:cstheme="minorHAnsi"/>
        </w:rPr>
        <w:t xml:space="preserve"> o stavu plnění Zásad</w:t>
      </w:r>
      <w:r w:rsidR="00451A96" w:rsidRPr="00685408">
        <w:rPr>
          <w:rFonts w:asciiTheme="minorHAnsi" w:hAnsiTheme="minorHAnsi" w:cstheme="minorHAnsi"/>
        </w:rPr>
        <w:t xml:space="preserve"> odměňování</w:t>
      </w:r>
      <w:r w:rsidR="003C47E2" w:rsidRPr="00685408">
        <w:rPr>
          <w:rFonts w:asciiTheme="minorHAnsi" w:hAnsiTheme="minorHAnsi" w:cstheme="minorHAnsi"/>
        </w:rPr>
        <w:t xml:space="preserve"> </w:t>
      </w:r>
      <w:r w:rsidR="00266E64" w:rsidRPr="00685408">
        <w:rPr>
          <w:rFonts w:asciiTheme="minorHAnsi" w:hAnsiTheme="minorHAnsi" w:cstheme="minorHAnsi"/>
        </w:rPr>
        <w:t>za rok 2013 a 2014</w:t>
      </w:r>
      <w:r w:rsidR="00535040">
        <w:rPr>
          <w:rFonts w:asciiTheme="minorHAnsi" w:hAnsiTheme="minorHAnsi" w:cstheme="minorHAnsi"/>
          <w:color w:val="FF0000"/>
        </w:rPr>
        <w:t xml:space="preserve"> </w:t>
      </w:r>
      <w:r w:rsidR="00535040" w:rsidRPr="006119FD">
        <w:rPr>
          <w:rFonts w:asciiTheme="minorHAnsi" w:hAnsiTheme="minorHAnsi" w:cstheme="minorHAnsi"/>
        </w:rPr>
        <w:t>předložených</w:t>
      </w:r>
      <w:r w:rsidR="00C63A0B" w:rsidRPr="006119FD">
        <w:rPr>
          <w:rFonts w:asciiTheme="minorHAnsi" w:hAnsiTheme="minorHAnsi" w:cstheme="minorHAnsi"/>
        </w:rPr>
        <w:t xml:space="preserve"> vládě </w:t>
      </w:r>
      <w:r w:rsidR="00917E50" w:rsidRPr="006119FD">
        <w:rPr>
          <w:rFonts w:asciiTheme="minorHAnsi" w:hAnsiTheme="minorHAnsi" w:cstheme="minorHAnsi"/>
        </w:rPr>
        <w:t>vyplynulo</w:t>
      </w:r>
      <w:r w:rsidR="003C47E2" w:rsidRPr="006119FD">
        <w:rPr>
          <w:rFonts w:asciiTheme="minorHAnsi" w:hAnsiTheme="minorHAnsi" w:cstheme="minorHAnsi"/>
        </w:rPr>
        <w:t xml:space="preserve">, že </w:t>
      </w:r>
      <w:r w:rsidR="005D695E" w:rsidRPr="006119FD">
        <w:rPr>
          <w:rFonts w:asciiTheme="minorHAnsi" w:hAnsiTheme="minorHAnsi" w:cstheme="minorHAnsi"/>
        </w:rPr>
        <w:t xml:space="preserve">MF nemohlo vzhledem k neúplným podkladům od </w:t>
      </w:r>
      <w:r w:rsidR="005D695E" w:rsidRPr="00685408">
        <w:rPr>
          <w:rFonts w:asciiTheme="minorHAnsi" w:hAnsiTheme="minorHAnsi" w:cstheme="minorHAnsi"/>
        </w:rPr>
        <w:t xml:space="preserve">ministerstev plnění Zásad odměňování objektivně vyhodnotit. </w:t>
      </w:r>
    </w:p>
    <w:p w14:paraId="3484EA33" w14:textId="77777777" w:rsidR="00D0321C" w:rsidRPr="004359C7" w:rsidRDefault="00D0321C" w:rsidP="004359C7">
      <w:pPr>
        <w:pStyle w:val="Odstavecseseznamem"/>
        <w:ind w:left="0"/>
        <w:jc w:val="both"/>
        <w:rPr>
          <w:rFonts w:ascii="Calibri" w:hAnsi="Calibri" w:cs="Calibri"/>
        </w:rPr>
      </w:pPr>
    </w:p>
    <w:p w14:paraId="6A197C78" w14:textId="307EBA00" w:rsidR="00F02654" w:rsidRPr="00ED42AE" w:rsidRDefault="00F02654" w:rsidP="004359C7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  <w:u w:val="single"/>
        </w:rPr>
      </w:pPr>
      <w:r w:rsidRPr="00485081">
        <w:rPr>
          <w:rFonts w:cstheme="minorHAnsi"/>
          <w:b/>
          <w:sz w:val="24"/>
          <w:szCs w:val="24"/>
        </w:rPr>
        <w:t>3</w:t>
      </w:r>
      <w:r w:rsidR="004359C7" w:rsidRPr="00485081">
        <w:rPr>
          <w:rFonts w:cstheme="minorHAnsi"/>
          <w:b/>
          <w:sz w:val="24"/>
          <w:szCs w:val="24"/>
        </w:rPr>
        <w:t>.</w:t>
      </w:r>
      <w:r w:rsidR="004359C7" w:rsidRPr="00485081">
        <w:rPr>
          <w:rFonts w:cstheme="minorHAnsi"/>
          <w:b/>
          <w:sz w:val="24"/>
          <w:szCs w:val="24"/>
        </w:rPr>
        <w:tab/>
      </w:r>
      <w:r w:rsidR="00733BEE" w:rsidRPr="00485081">
        <w:rPr>
          <w:rFonts w:cstheme="minorHAnsi"/>
          <w:b/>
          <w:sz w:val="24"/>
          <w:szCs w:val="24"/>
        </w:rPr>
        <w:t xml:space="preserve">Postupy </w:t>
      </w:r>
      <w:r w:rsidR="004F7369">
        <w:rPr>
          <w:rFonts w:cstheme="minorHAnsi"/>
          <w:b/>
          <w:sz w:val="24"/>
          <w:szCs w:val="24"/>
        </w:rPr>
        <w:t>pro správu</w:t>
      </w:r>
      <w:r w:rsidR="00733BEE" w:rsidRPr="00485081">
        <w:rPr>
          <w:rFonts w:cstheme="minorHAnsi"/>
          <w:b/>
          <w:sz w:val="24"/>
          <w:szCs w:val="24"/>
        </w:rPr>
        <w:t xml:space="preserve"> majetkových účast</w:t>
      </w:r>
      <w:r w:rsidR="00EB787D" w:rsidRPr="00485081">
        <w:rPr>
          <w:rFonts w:cstheme="minorHAnsi"/>
          <w:b/>
          <w:sz w:val="24"/>
          <w:szCs w:val="24"/>
        </w:rPr>
        <w:t>í</w:t>
      </w:r>
      <w:r w:rsidR="00733BEE" w:rsidRPr="00485081">
        <w:rPr>
          <w:rFonts w:cstheme="minorHAnsi"/>
          <w:b/>
          <w:sz w:val="24"/>
          <w:szCs w:val="24"/>
        </w:rPr>
        <w:t xml:space="preserve"> státu a </w:t>
      </w:r>
      <w:r w:rsidR="004F7369">
        <w:rPr>
          <w:rFonts w:cstheme="minorHAnsi"/>
          <w:b/>
          <w:sz w:val="24"/>
          <w:szCs w:val="24"/>
        </w:rPr>
        <w:t>pro</w:t>
      </w:r>
      <w:r w:rsidR="00733BEE" w:rsidRPr="00485081">
        <w:rPr>
          <w:rFonts w:cstheme="minorHAnsi"/>
          <w:b/>
          <w:sz w:val="24"/>
          <w:szCs w:val="24"/>
        </w:rPr>
        <w:t xml:space="preserve"> prosazování zájmů státu v obchodních společnostech s majetkovou účastí státu nebyly v letech 2013 až 2015 ve vnitřních předpisech </w:t>
      </w:r>
      <w:r w:rsidR="00451A96" w:rsidRPr="00485081">
        <w:rPr>
          <w:rFonts w:cstheme="minorHAnsi"/>
          <w:b/>
          <w:sz w:val="24"/>
          <w:szCs w:val="24"/>
        </w:rPr>
        <w:t xml:space="preserve">kontrolovaných </w:t>
      </w:r>
      <w:r w:rsidR="00733BEE" w:rsidRPr="00485081">
        <w:rPr>
          <w:rFonts w:cstheme="minorHAnsi"/>
          <w:b/>
          <w:sz w:val="24"/>
          <w:szCs w:val="24"/>
        </w:rPr>
        <w:t>ministerstev dostatečně upraveny</w:t>
      </w:r>
    </w:p>
    <w:p w14:paraId="6EC8EE8B" w14:textId="4C87D5D1" w:rsidR="00E16A7B" w:rsidRPr="008E2EEE" w:rsidRDefault="004F7369" w:rsidP="00485081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9714C1" w:rsidRPr="008E2EEE">
        <w:rPr>
          <w:rFonts w:ascii="Calibri" w:hAnsi="Calibri" w:cs="Calibri"/>
        </w:rPr>
        <w:t xml:space="preserve">e vnitřních předpisech MF </w:t>
      </w:r>
      <w:r w:rsidR="005C0EA6" w:rsidRPr="008E2EEE">
        <w:rPr>
          <w:rFonts w:ascii="Calibri" w:hAnsi="Calibri" w:cs="Calibri"/>
        </w:rPr>
        <w:t xml:space="preserve">chyběla </w:t>
      </w:r>
      <w:r w:rsidR="00917E50" w:rsidRPr="008E2EEE">
        <w:rPr>
          <w:rFonts w:ascii="Calibri" w:hAnsi="Calibri" w:cs="Calibri"/>
        </w:rPr>
        <w:t xml:space="preserve">po část kontrolovaného období </w:t>
      </w:r>
      <w:r w:rsidR="009714C1" w:rsidRPr="008E2EEE">
        <w:rPr>
          <w:rFonts w:ascii="Calibri" w:hAnsi="Calibri" w:cs="Calibri"/>
        </w:rPr>
        <w:t xml:space="preserve">úprava </w:t>
      </w:r>
      <w:r w:rsidR="00B44F95" w:rsidRPr="008E2EEE">
        <w:rPr>
          <w:rFonts w:ascii="Calibri" w:hAnsi="Calibri" w:cs="Calibri"/>
        </w:rPr>
        <w:t>oblasti nakládání s</w:t>
      </w:r>
      <w:r w:rsidR="00321456" w:rsidRPr="008E2EEE">
        <w:rPr>
          <w:rFonts w:ascii="Calibri" w:hAnsi="Calibri" w:cs="Calibri"/>
        </w:rPr>
        <w:t> majetkovými účastmi</w:t>
      </w:r>
      <w:r w:rsidR="00B44F95" w:rsidRPr="008E2EEE">
        <w:rPr>
          <w:rFonts w:ascii="Calibri" w:hAnsi="Calibri" w:cs="Calibri"/>
        </w:rPr>
        <w:t xml:space="preserve">, s výjimkou </w:t>
      </w:r>
      <w:r w:rsidR="00D155B1" w:rsidRPr="008E2EEE">
        <w:rPr>
          <w:rFonts w:ascii="Calibri" w:hAnsi="Calibri" w:cs="Calibri"/>
        </w:rPr>
        <w:t xml:space="preserve">agendy realizace privatizačních </w:t>
      </w:r>
      <w:r w:rsidR="00D155B1" w:rsidRPr="008E2EEE">
        <w:rPr>
          <w:rFonts w:ascii="Calibri" w:hAnsi="Calibri" w:cs="Calibri"/>
        </w:rPr>
        <w:lastRenderedPageBreak/>
        <w:t>rozhodnutí</w:t>
      </w:r>
      <w:r w:rsidR="00B44F95" w:rsidRPr="008E2EEE">
        <w:rPr>
          <w:rFonts w:ascii="Calibri" w:hAnsi="Calibri" w:cs="Calibri"/>
        </w:rPr>
        <w:t>,</w:t>
      </w:r>
      <w:r w:rsidR="00917E50" w:rsidRPr="008E2EEE">
        <w:rPr>
          <w:rFonts w:ascii="Calibri" w:hAnsi="Calibri" w:cs="Calibri"/>
        </w:rPr>
        <w:t xml:space="preserve"> a</w:t>
      </w:r>
      <w:r w:rsidR="00B44F95" w:rsidRPr="008E2EEE">
        <w:rPr>
          <w:rFonts w:ascii="Calibri" w:hAnsi="Calibri" w:cs="Calibri"/>
        </w:rPr>
        <w:t xml:space="preserve"> v</w:t>
      </w:r>
      <w:r w:rsidR="00307745">
        <w:rPr>
          <w:rFonts w:ascii="Calibri" w:hAnsi="Calibri" w:cs="Calibri"/>
        </w:rPr>
        <w:t xml:space="preserve"> </w:t>
      </w:r>
      <w:r w:rsidR="00D10492" w:rsidRPr="008E2EEE">
        <w:rPr>
          <w:rFonts w:ascii="Calibri" w:hAnsi="Calibri" w:cs="Calibri"/>
        </w:rPr>
        <w:t xml:space="preserve">oblasti výkonu akcionářských práv </w:t>
      </w:r>
      <w:r w:rsidR="005B5715" w:rsidRPr="008E2EEE">
        <w:rPr>
          <w:rFonts w:ascii="Calibri" w:hAnsi="Calibri" w:cs="Calibri"/>
        </w:rPr>
        <w:t>ne</w:t>
      </w:r>
      <w:r w:rsidR="00B44F95" w:rsidRPr="008E2EEE">
        <w:rPr>
          <w:rFonts w:ascii="Calibri" w:hAnsi="Calibri" w:cs="Calibri"/>
        </w:rPr>
        <w:t>byla</w:t>
      </w:r>
      <w:r w:rsidR="009714C1" w:rsidRPr="008E2EEE">
        <w:rPr>
          <w:rFonts w:ascii="Calibri" w:hAnsi="Calibri" w:cs="Calibri"/>
        </w:rPr>
        <w:t xml:space="preserve"> úprava</w:t>
      </w:r>
      <w:r w:rsidR="00B44F95" w:rsidRPr="008E2EEE">
        <w:rPr>
          <w:rFonts w:ascii="Calibri" w:hAnsi="Calibri" w:cs="Calibri"/>
        </w:rPr>
        <w:t xml:space="preserve"> </w:t>
      </w:r>
      <w:r w:rsidR="005B5715" w:rsidRPr="008E2EEE">
        <w:rPr>
          <w:rFonts w:ascii="Calibri" w:hAnsi="Calibri" w:cs="Calibri"/>
        </w:rPr>
        <w:t>kontinuální</w:t>
      </w:r>
      <w:r>
        <w:rPr>
          <w:rFonts w:ascii="Calibri" w:hAnsi="Calibri" w:cs="Calibri"/>
        </w:rPr>
        <w:t>.</w:t>
      </w:r>
      <w:r w:rsidR="00C96A35" w:rsidRPr="008E2EEE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V</w:t>
      </w:r>
      <w:r w:rsidR="00C96A35" w:rsidRPr="008E2EEE">
        <w:rPr>
          <w:rFonts w:ascii="Calibri" w:hAnsi="Calibri" w:cs="Calibri"/>
        </w:rPr>
        <w:t>nitřní předpis MZe z roku </w:t>
      </w:r>
      <w:r w:rsidR="008E6EF3" w:rsidRPr="008E2EEE">
        <w:rPr>
          <w:rFonts w:ascii="Calibri" w:hAnsi="Calibri" w:cs="Calibri"/>
        </w:rPr>
        <w:t xml:space="preserve">2008 nebyl do </w:t>
      </w:r>
      <w:r w:rsidR="007F6CAD" w:rsidRPr="008E2EEE">
        <w:rPr>
          <w:rFonts w:ascii="Calibri" w:hAnsi="Calibri" w:cs="Calibri"/>
        </w:rPr>
        <w:t>doby ukončení kontrolní akce</w:t>
      </w:r>
      <w:r w:rsidR="008E6EF3" w:rsidRPr="008E2EEE">
        <w:rPr>
          <w:rFonts w:ascii="Calibri" w:hAnsi="Calibri" w:cs="Calibri"/>
        </w:rPr>
        <w:t xml:space="preserve"> aktualizován</w:t>
      </w:r>
      <w:r>
        <w:rPr>
          <w:rFonts w:ascii="Calibri" w:hAnsi="Calibri" w:cs="Calibri"/>
        </w:rPr>
        <w:t>.</w:t>
      </w:r>
    </w:p>
    <w:p w14:paraId="33E30E20" w14:textId="0C5FD25E" w:rsidR="00C2589C" w:rsidRPr="00E5763E" w:rsidRDefault="004F7369" w:rsidP="00E5763E">
      <w:pPr>
        <w:pStyle w:val="Odstavecseseznamem"/>
        <w:numPr>
          <w:ilvl w:val="0"/>
          <w:numId w:val="22"/>
        </w:numPr>
        <w:ind w:left="567" w:hanging="283"/>
        <w:jc w:val="both"/>
        <w:rPr>
          <w:rFonts w:ascii="Calibri" w:hAnsi="Calibri" w:cs="Calibri"/>
        </w:rPr>
      </w:pPr>
      <w:r w:rsidRPr="00E5763E">
        <w:rPr>
          <w:rFonts w:ascii="Calibri" w:hAnsi="Calibri" w:cs="Calibri"/>
        </w:rPr>
        <w:t>D</w:t>
      </w:r>
      <w:r w:rsidR="000828EC" w:rsidRPr="00E5763E">
        <w:rPr>
          <w:rFonts w:ascii="Calibri" w:hAnsi="Calibri" w:cs="Calibri"/>
        </w:rPr>
        <w:t xml:space="preserve">le vnitřních předpisů </w:t>
      </w:r>
      <w:r w:rsidR="005B5715" w:rsidRPr="00E5763E">
        <w:rPr>
          <w:rFonts w:ascii="Calibri" w:hAnsi="Calibri" w:cs="Calibri"/>
        </w:rPr>
        <w:t>podléhal</w:t>
      </w:r>
      <w:r w:rsidR="000828EC" w:rsidRPr="00E5763E">
        <w:rPr>
          <w:rFonts w:ascii="Calibri" w:hAnsi="Calibri" w:cs="Calibri"/>
        </w:rPr>
        <w:t xml:space="preserve"> n</w:t>
      </w:r>
      <w:r w:rsidR="00A20905" w:rsidRPr="00E5763E">
        <w:rPr>
          <w:rFonts w:ascii="Calibri" w:hAnsi="Calibri" w:cs="Calibri"/>
        </w:rPr>
        <w:t>ávrh</w:t>
      </w:r>
      <w:r w:rsidR="00971E62" w:rsidRPr="00E5763E">
        <w:rPr>
          <w:rFonts w:ascii="Calibri" w:hAnsi="Calibri" w:cs="Calibri"/>
        </w:rPr>
        <w:t xml:space="preserve"> zástupc</w:t>
      </w:r>
      <w:r w:rsidR="00232F00" w:rsidRPr="00E5763E">
        <w:rPr>
          <w:rFonts w:ascii="Calibri" w:hAnsi="Calibri" w:cs="Calibri"/>
        </w:rPr>
        <w:t>e</w:t>
      </w:r>
      <w:r w:rsidR="00971E62" w:rsidRPr="00E5763E">
        <w:rPr>
          <w:rFonts w:ascii="Calibri" w:hAnsi="Calibri" w:cs="Calibri"/>
        </w:rPr>
        <w:t xml:space="preserve"> státu</w:t>
      </w:r>
      <w:r w:rsidR="00E56B61" w:rsidRPr="00E5763E">
        <w:rPr>
          <w:rFonts w:ascii="Calibri" w:hAnsi="Calibri" w:cs="Calibri"/>
        </w:rPr>
        <w:t xml:space="preserve"> na zvolení</w:t>
      </w:r>
      <w:r w:rsidR="00971E62" w:rsidRPr="00E5763E">
        <w:rPr>
          <w:rFonts w:ascii="Calibri" w:hAnsi="Calibri" w:cs="Calibri"/>
        </w:rPr>
        <w:t xml:space="preserve"> do orgán</w:t>
      </w:r>
      <w:r w:rsidR="00232F00" w:rsidRPr="00E5763E">
        <w:rPr>
          <w:rFonts w:ascii="Calibri" w:hAnsi="Calibri" w:cs="Calibri"/>
        </w:rPr>
        <w:t>u</w:t>
      </w:r>
      <w:r w:rsidR="00971E62" w:rsidRPr="00E5763E">
        <w:rPr>
          <w:rFonts w:ascii="Calibri" w:hAnsi="Calibri" w:cs="Calibri"/>
        </w:rPr>
        <w:t xml:space="preserve"> obchodní společnost</w:t>
      </w:r>
      <w:r w:rsidR="00232F00" w:rsidRPr="00E5763E">
        <w:rPr>
          <w:rFonts w:ascii="Calibri" w:hAnsi="Calibri" w:cs="Calibri"/>
        </w:rPr>
        <w:t>i</w:t>
      </w:r>
      <w:r w:rsidR="00971E62" w:rsidRPr="00E5763E">
        <w:rPr>
          <w:rFonts w:ascii="Calibri" w:hAnsi="Calibri" w:cs="Calibri"/>
        </w:rPr>
        <w:t xml:space="preserve"> schválení ministrem</w:t>
      </w:r>
      <w:r w:rsidR="000828EC" w:rsidRPr="00E5763E">
        <w:rPr>
          <w:rFonts w:ascii="Calibri" w:hAnsi="Calibri" w:cs="Calibri"/>
        </w:rPr>
        <w:t xml:space="preserve">, pro </w:t>
      </w:r>
      <w:r w:rsidR="009714C1" w:rsidRPr="00E5763E">
        <w:rPr>
          <w:rFonts w:ascii="Calibri" w:hAnsi="Calibri" w:cs="Calibri"/>
        </w:rPr>
        <w:t xml:space="preserve">výběr </w:t>
      </w:r>
      <w:r w:rsidR="000828EC" w:rsidRPr="00E5763E">
        <w:rPr>
          <w:rFonts w:ascii="Calibri" w:hAnsi="Calibri" w:cs="Calibri"/>
        </w:rPr>
        <w:t>n</w:t>
      </w:r>
      <w:r w:rsidR="00015583" w:rsidRPr="00E5763E">
        <w:rPr>
          <w:rFonts w:ascii="Calibri" w:hAnsi="Calibri" w:cs="Calibri"/>
        </w:rPr>
        <w:t>avrhovan</w:t>
      </w:r>
      <w:r w:rsidR="009714C1" w:rsidRPr="00E5763E">
        <w:rPr>
          <w:rFonts w:ascii="Calibri" w:hAnsi="Calibri" w:cs="Calibri"/>
        </w:rPr>
        <w:t>ých</w:t>
      </w:r>
      <w:r w:rsidR="00015583" w:rsidRPr="00E5763E">
        <w:rPr>
          <w:rFonts w:ascii="Calibri" w:hAnsi="Calibri" w:cs="Calibri"/>
        </w:rPr>
        <w:t xml:space="preserve"> osob</w:t>
      </w:r>
      <w:r w:rsidR="000828EC" w:rsidRPr="00E5763E">
        <w:rPr>
          <w:rFonts w:ascii="Calibri" w:hAnsi="Calibri" w:cs="Calibri"/>
        </w:rPr>
        <w:t xml:space="preserve"> však</w:t>
      </w:r>
      <w:r w:rsidR="00451A96" w:rsidRPr="00E5763E">
        <w:rPr>
          <w:rFonts w:ascii="Calibri" w:hAnsi="Calibri" w:cs="Calibri"/>
        </w:rPr>
        <w:t xml:space="preserve"> </w:t>
      </w:r>
      <w:r w:rsidR="005B5715" w:rsidRPr="00E5763E">
        <w:rPr>
          <w:rFonts w:ascii="Calibri" w:hAnsi="Calibri" w:cs="Calibri"/>
        </w:rPr>
        <w:t>nebyla</w:t>
      </w:r>
      <w:r w:rsidR="000828EC" w:rsidRPr="00E5763E">
        <w:rPr>
          <w:rFonts w:ascii="Calibri" w:hAnsi="Calibri" w:cs="Calibri"/>
        </w:rPr>
        <w:t xml:space="preserve"> stanovena </w:t>
      </w:r>
      <w:r w:rsidR="00015583" w:rsidRPr="00E5763E">
        <w:rPr>
          <w:rFonts w:ascii="Calibri" w:hAnsi="Calibri" w:cs="Calibri"/>
        </w:rPr>
        <w:t xml:space="preserve">podrobnější kritéria, jejichž plnění by </w:t>
      </w:r>
      <w:r w:rsidR="000828EC" w:rsidRPr="00E5763E">
        <w:rPr>
          <w:rFonts w:ascii="Calibri" w:hAnsi="Calibri" w:cs="Calibri"/>
        </w:rPr>
        <w:t>ministerstv</w:t>
      </w:r>
      <w:r w:rsidR="00451A96" w:rsidRPr="00E5763E">
        <w:rPr>
          <w:rFonts w:ascii="Calibri" w:hAnsi="Calibri" w:cs="Calibri"/>
        </w:rPr>
        <w:t>a</w:t>
      </w:r>
      <w:r w:rsidR="00015583" w:rsidRPr="00E5763E">
        <w:rPr>
          <w:rFonts w:ascii="Calibri" w:hAnsi="Calibri" w:cs="Calibri"/>
        </w:rPr>
        <w:t xml:space="preserve"> hodno</w:t>
      </w:r>
      <w:r w:rsidR="00D10492" w:rsidRPr="00E5763E">
        <w:rPr>
          <w:rFonts w:ascii="Calibri" w:hAnsi="Calibri" w:cs="Calibri"/>
        </w:rPr>
        <w:t>tila</w:t>
      </w:r>
      <w:r w:rsidR="00F42354" w:rsidRPr="00E5763E">
        <w:rPr>
          <w:rFonts w:ascii="Calibri" w:hAnsi="Calibri" w:cs="Calibri"/>
        </w:rPr>
        <w:t>.</w:t>
      </w:r>
      <w:r w:rsidR="000A5627" w:rsidRPr="00E5763E">
        <w:rPr>
          <w:rFonts w:ascii="Calibri" w:hAnsi="Calibri" w:cs="Calibri"/>
        </w:rPr>
        <w:t xml:space="preserve"> </w:t>
      </w:r>
      <w:r w:rsidR="000828EC" w:rsidRPr="00E5763E">
        <w:rPr>
          <w:rFonts w:ascii="Calibri" w:hAnsi="Calibri" w:cs="Calibri"/>
        </w:rPr>
        <w:t xml:space="preserve">Vnitřní předpisy </w:t>
      </w:r>
      <w:r w:rsidR="005B5715" w:rsidRPr="00E5763E">
        <w:rPr>
          <w:rFonts w:ascii="Calibri" w:hAnsi="Calibri" w:cs="Calibri"/>
        </w:rPr>
        <w:t>neobsahovaly</w:t>
      </w:r>
      <w:r w:rsidR="000A5627" w:rsidRPr="00E5763E">
        <w:rPr>
          <w:rFonts w:ascii="Calibri" w:hAnsi="Calibri" w:cs="Calibri"/>
        </w:rPr>
        <w:t xml:space="preserve"> kritéria pro odvolání zástupců státu z orgánů společností</w:t>
      </w:r>
      <w:r w:rsidR="00F42354" w:rsidRPr="00E5763E">
        <w:rPr>
          <w:rFonts w:ascii="Calibri" w:hAnsi="Calibri" w:cs="Calibri"/>
        </w:rPr>
        <w:t>.</w:t>
      </w:r>
      <w:r w:rsidRPr="00E5763E">
        <w:rPr>
          <w:rFonts w:ascii="Calibri" w:hAnsi="Calibri" w:cs="Calibri"/>
        </w:rPr>
        <w:t xml:space="preserve"> </w:t>
      </w:r>
      <w:r w:rsidR="00D86469" w:rsidRPr="00E5763E">
        <w:rPr>
          <w:rFonts w:ascii="Calibri" w:hAnsi="Calibri" w:cs="Calibri"/>
        </w:rPr>
        <w:t xml:space="preserve">Povinnost předkládat návrh </w:t>
      </w:r>
      <w:r w:rsidRPr="00E5763E">
        <w:rPr>
          <w:rFonts w:ascii="Calibri" w:hAnsi="Calibri" w:cs="Calibri"/>
        </w:rPr>
        <w:t xml:space="preserve">na dosazení </w:t>
      </w:r>
      <w:r w:rsidR="000828EC" w:rsidRPr="00E5763E">
        <w:rPr>
          <w:rFonts w:ascii="Calibri" w:hAnsi="Calibri" w:cs="Calibri"/>
        </w:rPr>
        <w:t xml:space="preserve">zástupce státu do dozorčí rady </w:t>
      </w:r>
      <w:r w:rsidR="009714C1" w:rsidRPr="00E5763E">
        <w:rPr>
          <w:rFonts w:ascii="Calibri" w:hAnsi="Calibri" w:cs="Calibri"/>
        </w:rPr>
        <w:t>k posouzení</w:t>
      </w:r>
      <w:r w:rsidR="000828EC" w:rsidRPr="00E5763E">
        <w:rPr>
          <w:rFonts w:ascii="Calibri" w:hAnsi="Calibri" w:cs="Calibri"/>
        </w:rPr>
        <w:t xml:space="preserve"> </w:t>
      </w:r>
      <w:r w:rsidR="000828EC" w:rsidRPr="00E5763E">
        <w:t>V</w:t>
      </w:r>
      <w:r w:rsidR="000828EC" w:rsidRPr="00E5763E">
        <w:rPr>
          <w:rFonts w:ascii="Calibri" w:hAnsi="Calibri" w:cs="Calibri"/>
        </w:rPr>
        <w:t>ládním</w:t>
      </w:r>
      <w:r w:rsidR="009714C1" w:rsidRPr="00E5763E">
        <w:rPr>
          <w:rFonts w:ascii="Calibri" w:hAnsi="Calibri" w:cs="Calibri"/>
        </w:rPr>
        <w:t>u</w:t>
      </w:r>
      <w:r w:rsidR="000828EC" w:rsidRPr="00E5763E">
        <w:rPr>
          <w:rFonts w:ascii="Calibri" w:hAnsi="Calibri" w:cs="Calibri"/>
        </w:rPr>
        <w:t xml:space="preserve"> výbor</w:t>
      </w:r>
      <w:r w:rsidR="009714C1" w:rsidRPr="00E5763E">
        <w:rPr>
          <w:rFonts w:ascii="Calibri" w:hAnsi="Calibri" w:cs="Calibri"/>
        </w:rPr>
        <w:t>u</w:t>
      </w:r>
      <w:r w:rsidR="002B3322" w:rsidRPr="00E5763E">
        <w:rPr>
          <w:rFonts w:ascii="Calibri" w:hAnsi="Calibri" w:cs="Calibri"/>
        </w:rPr>
        <w:t xml:space="preserve"> pro personální nominace</w:t>
      </w:r>
      <w:r w:rsidR="00D86469" w:rsidRPr="00E5763E">
        <w:rPr>
          <w:rFonts w:ascii="Calibri" w:hAnsi="Calibri" w:cs="Calibri"/>
        </w:rPr>
        <w:t xml:space="preserve"> vnitřní předpis MZe</w:t>
      </w:r>
      <w:r w:rsidR="005B5715" w:rsidRPr="00E5763E">
        <w:rPr>
          <w:rFonts w:ascii="Calibri" w:hAnsi="Calibri" w:cs="Calibri"/>
        </w:rPr>
        <w:t xml:space="preserve"> neupravoval</w:t>
      </w:r>
      <w:r w:rsidRPr="00E5763E">
        <w:rPr>
          <w:rFonts w:ascii="Calibri" w:hAnsi="Calibri" w:cs="Calibri"/>
        </w:rPr>
        <w:t>.</w:t>
      </w:r>
      <w:r w:rsidR="00FF299B" w:rsidRPr="00E5763E">
        <w:rPr>
          <w:rFonts w:ascii="Calibri" w:hAnsi="Calibri" w:cs="Calibri"/>
        </w:rPr>
        <w:t xml:space="preserve"> </w:t>
      </w:r>
    </w:p>
    <w:p w14:paraId="5C883998" w14:textId="11EA4811" w:rsidR="007E2D70" w:rsidRPr="008E2EEE" w:rsidRDefault="004F7369" w:rsidP="00E5763E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H</w:t>
      </w:r>
      <w:r w:rsidR="007E2D70" w:rsidRPr="008E2EEE">
        <w:rPr>
          <w:rFonts w:ascii="Calibri" w:hAnsi="Calibri" w:cs="Calibri"/>
        </w:rPr>
        <w:t>odnocení činnosti zástupců státu v orgánech společností při prosazování zájmů státu</w:t>
      </w:r>
      <w:r w:rsidR="005B5715" w:rsidRPr="008E2EEE">
        <w:rPr>
          <w:rFonts w:ascii="Calibri" w:hAnsi="Calibri" w:cs="Calibri"/>
        </w:rPr>
        <w:t xml:space="preserve"> nebylo</w:t>
      </w:r>
      <w:r w:rsidR="007E2D70" w:rsidRPr="008E2EEE">
        <w:rPr>
          <w:rFonts w:ascii="Calibri" w:hAnsi="Calibri" w:cs="Calibri"/>
        </w:rPr>
        <w:t xml:space="preserve"> ve vnitřních předpisech ministerstev upraveno</w:t>
      </w:r>
      <w:r>
        <w:rPr>
          <w:rFonts w:ascii="Calibri" w:hAnsi="Calibri" w:cs="Calibri"/>
        </w:rPr>
        <w:t>.</w:t>
      </w:r>
      <w:r w:rsidR="007E2D70" w:rsidRPr="008E2EEE">
        <w:rPr>
          <w:rFonts w:ascii="Calibri" w:hAnsi="Calibri" w:cs="Calibri"/>
        </w:rPr>
        <w:t xml:space="preserve"> </w:t>
      </w:r>
    </w:p>
    <w:p w14:paraId="049964F7" w14:textId="63DB6A6C" w:rsidR="00B020E4" w:rsidRPr="004359C7" w:rsidRDefault="004F7369" w:rsidP="00E5763E">
      <w:pPr>
        <w:pStyle w:val="Odstavecseseznamem"/>
        <w:numPr>
          <w:ilvl w:val="0"/>
          <w:numId w:val="20"/>
        </w:numPr>
        <w:ind w:left="567" w:hanging="28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V</w:t>
      </w:r>
      <w:r w:rsidR="006E01C9" w:rsidRPr="008E2EEE">
        <w:rPr>
          <w:rFonts w:ascii="Calibri" w:hAnsi="Calibri" w:cs="Calibri"/>
        </w:rPr>
        <w:t xml:space="preserve">yhodnocování výsledků správy </w:t>
      </w:r>
      <w:r w:rsidR="00321456" w:rsidRPr="008E2EEE">
        <w:rPr>
          <w:rFonts w:ascii="Calibri" w:hAnsi="Calibri" w:cs="Calibri"/>
        </w:rPr>
        <w:t>majetkových účastí</w:t>
      </w:r>
      <w:r w:rsidR="006E01C9" w:rsidRPr="008E2EEE">
        <w:rPr>
          <w:rFonts w:ascii="Calibri" w:hAnsi="Calibri" w:cs="Calibri"/>
        </w:rPr>
        <w:t xml:space="preserve"> státu</w:t>
      </w:r>
      <w:r w:rsidR="009714C1" w:rsidRPr="008E2EEE">
        <w:rPr>
          <w:rFonts w:ascii="Calibri" w:hAnsi="Calibri" w:cs="Calibri"/>
        </w:rPr>
        <w:t xml:space="preserve"> </w:t>
      </w:r>
      <w:r w:rsidR="00535040" w:rsidRPr="008E2EEE">
        <w:rPr>
          <w:rFonts w:ascii="Calibri" w:hAnsi="Calibri" w:cs="Calibri"/>
        </w:rPr>
        <w:t>bylo upraveno vnitřním předpisem</w:t>
      </w:r>
      <w:r w:rsidR="009714C1" w:rsidRPr="008E2EEE">
        <w:rPr>
          <w:rFonts w:ascii="Calibri" w:hAnsi="Calibri" w:cs="Calibri"/>
        </w:rPr>
        <w:t xml:space="preserve"> </w:t>
      </w:r>
      <w:r w:rsidR="000E6E42" w:rsidRPr="008E2EEE">
        <w:rPr>
          <w:rFonts w:ascii="Calibri" w:hAnsi="Calibri" w:cs="Calibri"/>
        </w:rPr>
        <w:t>MZe</w:t>
      </w:r>
      <w:r w:rsidR="006119FD" w:rsidRPr="008E2EEE">
        <w:rPr>
          <w:rFonts w:ascii="Calibri" w:hAnsi="Calibri" w:cs="Calibri"/>
        </w:rPr>
        <w:t xml:space="preserve"> </w:t>
      </w:r>
      <w:r w:rsidR="000E6E42" w:rsidRPr="008E2EEE">
        <w:rPr>
          <w:rFonts w:ascii="Calibri" w:hAnsi="Calibri" w:cs="Calibri"/>
        </w:rPr>
        <w:t>pouze u společností se 100% podílem</w:t>
      </w:r>
      <w:r w:rsidR="006A25CF" w:rsidRPr="008E2EEE">
        <w:rPr>
          <w:rFonts w:ascii="Calibri" w:hAnsi="Calibri" w:cs="Calibri"/>
        </w:rPr>
        <w:t xml:space="preserve"> na základním kapitálu</w:t>
      </w:r>
      <w:r w:rsidR="000E6E42" w:rsidRPr="008E2EEE">
        <w:rPr>
          <w:rFonts w:ascii="Calibri" w:hAnsi="Calibri" w:cs="Calibri"/>
        </w:rPr>
        <w:t>. Vnitřní předpisy MF a</w:t>
      </w:r>
      <w:r w:rsidR="006A25CF" w:rsidRPr="008E2EEE">
        <w:rPr>
          <w:rFonts w:ascii="Calibri" w:hAnsi="Calibri" w:cs="Calibri"/>
        </w:rPr>
        <w:t> </w:t>
      </w:r>
      <w:r w:rsidR="000E6E42" w:rsidRPr="008E2EEE">
        <w:rPr>
          <w:rFonts w:ascii="Calibri" w:hAnsi="Calibri" w:cs="Calibri"/>
        </w:rPr>
        <w:t xml:space="preserve">MPO tuto oblast </w:t>
      </w:r>
      <w:r w:rsidR="005B5715" w:rsidRPr="008E2EEE">
        <w:rPr>
          <w:rFonts w:ascii="Calibri" w:hAnsi="Calibri" w:cs="Calibri"/>
        </w:rPr>
        <w:t>neupravovaly</w:t>
      </w:r>
      <w:r w:rsidR="000E6E42" w:rsidRPr="008E2EEE">
        <w:rPr>
          <w:rFonts w:ascii="Calibri" w:hAnsi="Calibri" w:cs="Calibri"/>
        </w:rPr>
        <w:t xml:space="preserve">. </w:t>
      </w:r>
    </w:p>
    <w:p w14:paraId="0BC30A03" w14:textId="77777777" w:rsidR="00925496" w:rsidRPr="004359C7" w:rsidRDefault="00925496" w:rsidP="004359C7">
      <w:pPr>
        <w:pStyle w:val="Odstavecseseznamem"/>
        <w:ind w:left="0"/>
        <w:jc w:val="both"/>
        <w:rPr>
          <w:rFonts w:ascii="Calibri" w:hAnsi="Calibri" w:cs="Calibri"/>
        </w:rPr>
      </w:pPr>
    </w:p>
    <w:p w14:paraId="5463C3FE" w14:textId="1D700E15" w:rsidR="00E56B61" w:rsidRPr="00485081" w:rsidRDefault="00F02654" w:rsidP="004359C7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4</w:t>
      </w:r>
      <w:r w:rsidR="004359C7" w:rsidRPr="00485081">
        <w:rPr>
          <w:rFonts w:cstheme="minorHAnsi"/>
          <w:b/>
          <w:sz w:val="24"/>
          <w:szCs w:val="24"/>
        </w:rPr>
        <w:t>.</w:t>
      </w:r>
      <w:r w:rsidR="004359C7" w:rsidRPr="00485081">
        <w:rPr>
          <w:rFonts w:cstheme="minorHAnsi"/>
          <w:b/>
          <w:sz w:val="24"/>
          <w:szCs w:val="24"/>
        </w:rPr>
        <w:tab/>
      </w:r>
      <w:r w:rsidR="00F861A6" w:rsidRPr="00485081">
        <w:rPr>
          <w:rFonts w:cstheme="minorHAnsi"/>
          <w:b/>
          <w:sz w:val="24"/>
          <w:szCs w:val="24"/>
        </w:rPr>
        <w:t xml:space="preserve">Kontrolou </w:t>
      </w:r>
      <w:r w:rsidR="00E56B61" w:rsidRPr="00485081">
        <w:rPr>
          <w:rFonts w:cstheme="minorHAnsi"/>
          <w:b/>
          <w:sz w:val="24"/>
          <w:szCs w:val="24"/>
        </w:rPr>
        <w:t>v</w:t>
      </w:r>
      <w:r w:rsidR="00C1360D" w:rsidRPr="00485081">
        <w:rPr>
          <w:rFonts w:cstheme="minorHAnsi"/>
          <w:b/>
          <w:sz w:val="24"/>
          <w:szCs w:val="24"/>
        </w:rPr>
        <w:t>ýkon</w:t>
      </w:r>
      <w:r w:rsidR="00F861A6" w:rsidRPr="00485081">
        <w:rPr>
          <w:rFonts w:cstheme="minorHAnsi"/>
          <w:b/>
          <w:sz w:val="24"/>
          <w:szCs w:val="24"/>
        </w:rPr>
        <w:t>u</w:t>
      </w:r>
      <w:r w:rsidR="00C1360D" w:rsidRPr="00485081">
        <w:rPr>
          <w:rFonts w:cstheme="minorHAnsi"/>
          <w:b/>
          <w:sz w:val="24"/>
          <w:szCs w:val="24"/>
        </w:rPr>
        <w:t xml:space="preserve"> správy </w:t>
      </w:r>
      <w:r w:rsidR="00321456" w:rsidRPr="00485081">
        <w:rPr>
          <w:rFonts w:cstheme="minorHAnsi"/>
          <w:b/>
          <w:sz w:val="24"/>
          <w:szCs w:val="24"/>
        </w:rPr>
        <w:t>majetkových účastí</w:t>
      </w:r>
      <w:r w:rsidR="00C1360D" w:rsidRPr="00485081">
        <w:rPr>
          <w:rFonts w:cstheme="minorHAnsi"/>
          <w:b/>
          <w:sz w:val="24"/>
          <w:szCs w:val="24"/>
        </w:rPr>
        <w:t xml:space="preserve"> </w:t>
      </w:r>
      <w:r w:rsidR="004F7369">
        <w:rPr>
          <w:rFonts w:cstheme="minorHAnsi"/>
          <w:b/>
          <w:sz w:val="24"/>
          <w:szCs w:val="24"/>
        </w:rPr>
        <w:t>byly zjištěny tyto skutečnosti:</w:t>
      </w:r>
    </w:p>
    <w:p w14:paraId="1262DC3D" w14:textId="157EB7C8" w:rsidR="00751286" w:rsidRPr="008E2EEE" w:rsidRDefault="004F7369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B0067B" w:rsidRPr="008E2EEE">
        <w:rPr>
          <w:rFonts w:asciiTheme="minorHAnsi" w:hAnsiTheme="minorHAnsi" w:cstheme="minorHAnsi"/>
        </w:rPr>
        <w:t>rval, resp. do proveden</w:t>
      </w:r>
      <w:r w:rsidR="00146042" w:rsidRPr="008E2EEE">
        <w:rPr>
          <w:rFonts w:asciiTheme="minorHAnsi" w:hAnsiTheme="minorHAnsi" w:cstheme="minorHAnsi"/>
        </w:rPr>
        <w:t>í legislativní změny bude trvat</w:t>
      </w:r>
      <w:r w:rsidR="00B0067B" w:rsidRPr="008E2EEE">
        <w:rPr>
          <w:rFonts w:asciiTheme="minorHAnsi" w:hAnsiTheme="minorHAnsi" w:cstheme="minorHAnsi"/>
        </w:rPr>
        <w:t>,</w:t>
      </w:r>
      <w:r w:rsidR="00D54CB6" w:rsidRPr="008E2EEE">
        <w:rPr>
          <w:rFonts w:asciiTheme="minorHAnsi" w:hAnsiTheme="minorHAnsi" w:cstheme="minorHAnsi"/>
        </w:rPr>
        <w:t xml:space="preserve"> nerovný</w:t>
      </w:r>
      <w:r w:rsidR="00F14E8B" w:rsidRPr="008E2EEE">
        <w:rPr>
          <w:rFonts w:asciiTheme="minorHAnsi" w:hAnsiTheme="minorHAnsi" w:cstheme="minorHAnsi"/>
        </w:rPr>
        <w:t xml:space="preserve"> </w:t>
      </w:r>
      <w:r w:rsidR="00D54CB6" w:rsidRPr="008E2EEE">
        <w:rPr>
          <w:rFonts w:asciiTheme="minorHAnsi" w:hAnsiTheme="minorHAnsi" w:cstheme="minorHAnsi"/>
        </w:rPr>
        <w:t>přístup k výkonu akcionářských práv státu v akciových společnostech</w:t>
      </w:r>
      <w:r w:rsidR="003347BE" w:rsidRPr="008E2EEE">
        <w:rPr>
          <w:rFonts w:asciiTheme="minorHAnsi" w:hAnsiTheme="minorHAnsi" w:cstheme="minorHAnsi"/>
        </w:rPr>
        <w:t xml:space="preserve">, </w:t>
      </w:r>
      <w:r w:rsidR="005D695E" w:rsidRPr="008E2EEE">
        <w:rPr>
          <w:rFonts w:asciiTheme="minorHAnsi" w:hAnsiTheme="minorHAnsi" w:cstheme="minorHAnsi"/>
        </w:rPr>
        <w:t>kdy v některých případech vykonáv</w:t>
      </w:r>
      <w:r w:rsidR="00B0067B" w:rsidRPr="008E2EEE">
        <w:rPr>
          <w:rFonts w:asciiTheme="minorHAnsi" w:hAnsiTheme="minorHAnsi" w:cstheme="minorHAnsi"/>
        </w:rPr>
        <w:t>al</w:t>
      </w:r>
      <w:r w:rsidR="005D695E" w:rsidRPr="008E2EEE">
        <w:rPr>
          <w:rFonts w:asciiTheme="minorHAnsi" w:hAnsiTheme="minorHAnsi" w:cstheme="minorHAnsi"/>
        </w:rPr>
        <w:t xml:space="preserve"> akcionářská práva ministr nebo jím pověřený zaměstnanec, v jiných případech vládou po</w:t>
      </w:r>
      <w:r w:rsidR="00453F4E">
        <w:rPr>
          <w:rFonts w:asciiTheme="minorHAnsi" w:hAnsiTheme="minorHAnsi" w:cstheme="minorHAnsi"/>
        </w:rPr>
        <w:t>věřený zaměstnanec ministerstva</w:t>
      </w:r>
      <w:r>
        <w:rPr>
          <w:rFonts w:asciiTheme="minorHAnsi" w:hAnsiTheme="minorHAnsi" w:cstheme="minorHAnsi"/>
        </w:rPr>
        <w:t>.</w:t>
      </w:r>
      <w:r w:rsidR="005D695E" w:rsidRPr="008E2EEE">
        <w:rPr>
          <w:rFonts w:asciiTheme="minorHAnsi" w:hAnsiTheme="minorHAnsi" w:cstheme="minorHAnsi"/>
        </w:rPr>
        <w:t xml:space="preserve"> </w:t>
      </w:r>
    </w:p>
    <w:p w14:paraId="43255210" w14:textId="486AB5BA" w:rsidR="00B64561" w:rsidRPr="00685408" w:rsidRDefault="004F7369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N</w:t>
      </w:r>
      <w:r w:rsidR="00B0067B" w:rsidRPr="008E2EEE">
        <w:rPr>
          <w:rFonts w:asciiTheme="minorHAnsi" w:hAnsiTheme="minorHAnsi" w:cstheme="minorHAnsi"/>
        </w:rPr>
        <w:t xml:space="preserve">eexistovala </w:t>
      </w:r>
      <w:r w:rsidR="005D695E" w:rsidRPr="008E2EEE">
        <w:rPr>
          <w:rFonts w:asciiTheme="minorHAnsi" w:hAnsiTheme="minorHAnsi" w:cstheme="minorHAnsi"/>
        </w:rPr>
        <w:t xml:space="preserve">pravidla </w:t>
      </w:r>
      <w:r w:rsidR="00751286" w:rsidRPr="008E2EEE">
        <w:rPr>
          <w:rFonts w:asciiTheme="minorHAnsi" w:hAnsiTheme="minorHAnsi" w:cstheme="minorHAnsi"/>
        </w:rPr>
        <w:t xml:space="preserve">pro výkon akcionářských práv ve společnostech, v nichž práva </w:t>
      </w:r>
      <w:r w:rsidR="00751286" w:rsidRPr="00685408">
        <w:rPr>
          <w:rFonts w:asciiTheme="minorHAnsi" w:hAnsiTheme="minorHAnsi" w:cstheme="minorHAnsi"/>
        </w:rPr>
        <w:t>jediného akcionáře vykonává několik ministerstev</w:t>
      </w:r>
      <w:r>
        <w:rPr>
          <w:rFonts w:asciiTheme="minorHAnsi" w:hAnsiTheme="minorHAnsi" w:cstheme="minorHAnsi"/>
        </w:rPr>
        <w:t>.</w:t>
      </w:r>
      <w:r w:rsidR="00307745">
        <w:rPr>
          <w:rFonts w:asciiTheme="minorHAnsi" w:hAnsiTheme="minorHAnsi" w:cstheme="minorHAnsi"/>
        </w:rPr>
        <w:t xml:space="preserve"> </w:t>
      </w:r>
    </w:p>
    <w:p w14:paraId="283A0DD3" w14:textId="3BFF1FF2" w:rsidR="00616257" w:rsidRPr="006E46CD" w:rsidRDefault="004F7369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P</w:t>
      </w:r>
      <w:r w:rsidR="00691F1A">
        <w:rPr>
          <w:rFonts w:asciiTheme="minorHAnsi" w:hAnsiTheme="minorHAnsi" w:cstheme="minorHAnsi"/>
          <w:bCs/>
        </w:rPr>
        <w:t xml:space="preserve">římou kontrolu nad nominovanými členy představenstva a dozorčí rady </w:t>
      </w:r>
      <w:r w:rsidR="00487385">
        <w:rPr>
          <w:rFonts w:asciiTheme="minorHAnsi" w:hAnsiTheme="minorHAnsi" w:cstheme="minorHAnsi"/>
          <w:bCs/>
        </w:rPr>
        <w:t>legislativa</w:t>
      </w:r>
      <w:r w:rsidR="00434CFB">
        <w:rPr>
          <w:rStyle w:val="Znakapoznpodarou"/>
          <w:rFonts w:asciiTheme="minorHAnsi" w:hAnsiTheme="minorHAnsi" w:cstheme="minorHAnsi"/>
          <w:bCs/>
        </w:rPr>
        <w:footnoteReference w:id="4"/>
      </w:r>
      <w:r w:rsidR="00691F1A">
        <w:rPr>
          <w:rFonts w:asciiTheme="minorHAnsi" w:hAnsiTheme="minorHAnsi" w:cstheme="minorHAnsi"/>
          <w:bCs/>
        </w:rPr>
        <w:t xml:space="preserve"> neumožňuje</w:t>
      </w:r>
      <w:r w:rsidR="00487385">
        <w:rPr>
          <w:rFonts w:asciiTheme="minorHAnsi" w:hAnsiTheme="minorHAnsi" w:cstheme="minorHAnsi"/>
          <w:bCs/>
        </w:rPr>
        <w:t>.</w:t>
      </w:r>
      <w:r w:rsidR="00691F1A">
        <w:rPr>
          <w:rFonts w:asciiTheme="minorHAnsi" w:hAnsiTheme="minorHAnsi" w:cstheme="minorHAnsi"/>
          <w:bCs/>
        </w:rPr>
        <w:t xml:space="preserve"> </w:t>
      </w:r>
      <w:r w:rsidR="00487385">
        <w:rPr>
          <w:rFonts w:asciiTheme="minorHAnsi" w:hAnsiTheme="minorHAnsi" w:cstheme="minorHAnsi"/>
          <w:bCs/>
        </w:rPr>
        <w:t>K</w:t>
      </w:r>
      <w:r w:rsidR="00616257" w:rsidRPr="008E2EEE">
        <w:rPr>
          <w:rFonts w:asciiTheme="minorHAnsi" w:hAnsiTheme="minorHAnsi" w:cstheme="minorHAnsi"/>
          <w:bCs/>
        </w:rPr>
        <w:t>ontrol</w:t>
      </w:r>
      <w:r w:rsidR="00382CA2" w:rsidRPr="008E2EEE">
        <w:rPr>
          <w:rFonts w:asciiTheme="minorHAnsi" w:hAnsiTheme="minorHAnsi" w:cstheme="minorHAnsi"/>
          <w:bCs/>
        </w:rPr>
        <w:t>u</w:t>
      </w:r>
      <w:r w:rsidR="00616257" w:rsidRPr="008E2EEE">
        <w:rPr>
          <w:rFonts w:asciiTheme="minorHAnsi" w:hAnsiTheme="minorHAnsi" w:cstheme="minorHAnsi"/>
          <w:bCs/>
        </w:rPr>
        <w:t xml:space="preserve"> nad nominovanými členy</w:t>
      </w:r>
      <w:r w:rsidR="00382CA2" w:rsidRPr="008E2EEE">
        <w:rPr>
          <w:rFonts w:asciiTheme="minorHAnsi" w:hAnsiTheme="minorHAnsi" w:cstheme="minorHAnsi"/>
          <w:bCs/>
        </w:rPr>
        <w:t xml:space="preserve"> </w:t>
      </w:r>
      <w:r w:rsidR="00A72337" w:rsidRPr="008E2EEE">
        <w:rPr>
          <w:rFonts w:asciiTheme="minorHAnsi" w:hAnsiTheme="minorHAnsi" w:cstheme="minorHAnsi"/>
          <w:bCs/>
        </w:rPr>
        <w:t>spatřovala</w:t>
      </w:r>
      <w:r w:rsidR="00616257" w:rsidRPr="008E2EEE">
        <w:rPr>
          <w:rFonts w:asciiTheme="minorHAnsi" w:hAnsiTheme="minorHAnsi" w:cstheme="minorHAnsi"/>
          <w:bCs/>
        </w:rPr>
        <w:t xml:space="preserve"> </w:t>
      </w:r>
      <w:r w:rsidR="00434CFB" w:rsidRPr="008E2EEE">
        <w:rPr>
          <w:rFonts w:asciiTheme="minorHAnsi" w:hAnsiTheme="minorHAnsi" w:cstheme="minorHAnsi"/>
          <w:bCs/>
        </w:rPr>
        <w:t xml:space="preserve">ministerstva </w:t>
      </w:r>
      <w:r w:rsidR="00616257" w:rsidRPr="008E2EEE">
        <w:rPr>
          <w:rFonts w:asciiTheme="minorHAnsi" w:hAnsiTheme="minorHAnsi" w:cstheme="minorHAnsi"/>
          <w:bCs/>
        </w:rPr>
        <w:t xml:space="preserve">zejména v možnosti </w:t>
      </w:r>
      <w:r w:rsidR="00616257" w:rsidRPr="006E46CD">
        <w:rPr>
          <w:rFonts w:asciiTheme="minorHAnsi" w:hAnsiTheme="minorHAnsi" w:cstheme="minorHAnsi"/>
          <w:bCs/>
        </w:rPr>
        <w:t>výběru odborníka s dostatečnými znalostmi dané problematiky a</w:t>
      </w:r>
      <w:r w:rsidR="003C0E84" w:rsidRPr="006E46CD">
        <w:rPr>
          <w:rFonts w:asciiTheme="minorHAnsi" w:hAnsiTheme="minorHAnsi" w:cstheme="minorHAnsi"/>
          <w:bCs/>
        </w:rPr>
        <w:t> </w:t>
      </w:r>
      <w:r w:rsidR="00616257" w:rsidRPr="006E46CD">
        <w:rPr>
          <w:rFonts w:asciiTheme="minorHAnsi" w:hAnsiTheme="minorHAnsi" w:cstheme="minorHAnsi"/>
          <w:bCs/>
        </w:rPr>
        <w:t>potřebnými zkušenostmi a</w:t>
      </w:r>
      <w:r w:rsidR="00554E4F" w:rsidRPr="006E46CD">
        <w:rPr>
          <w:rFonts w:asciiTheme="minorHAnsi" w:hAnsiTheme="minorHAnsi" w:cstheme="minorHAnsi"/>
          <w:bCs/>
        </w:rPr>
        <w:t> </w:t>
      </w:r>
      <w:r w:rsidR="007F6CAD" w:rsidRPr="006E46CD">
        <w:rPr>
          <w:rFonts w:asciiTheme="minorHAnsi" w:hAnsiTheme="minorHAnsi" w:cstheme="minorHAnsi"/>
          <w:bCs/>
        </w:rPr>
        <w:t xml:space="preserve">v </w:t>
      </w:r>
      <w:r w:rsidR="00616257" w:rsidRPr="006E46CD">
        <w:rPr>
          <w:rFonts w:asciiTheme="minorHAnsi" w:hAnsiTheme="minorHAnsi" w:cstheme="minorHAnsi"/>
          <w:bCs/>
        </w:rPr>
        <w:t>jeho odvolatelnosti</w:t>
      </w:r>
      <w:r>
        <w:rPr>
          <w:rFonts w:asciiTheme="minorHAnsi" w:hAnsiTheme="minorHAnsi" w:cstheme="minorHAnsi"/>
          <w:bCs/>
        </w:rPr>
        <w:t>.</w:t>
      </w:r>
      <w:r w:rsidR="00691F1A">
        <w:rPr>
          <w:rFonts w:asciiTheme="minorHAnsi" w:hAnsiTheme="minorHAnsi" w:cstheme="minorHAnsi"/>
          <w:bCs/>
        </w:rPr>
        <w:t xml:space="preserve"> </w:t>
      </w:r>
    </w:p>
    <w:p w14:paraId="33147C32" w14:textId="1477E901" w:rsidR="00616257" w:rsidRPr="006119FD" w:rsidRDefault="004F7369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S</w:t>
      </w:r>
      <w:r w:rsidR="00F80C85" w:rsidRPr="006119FD">
        <w:rPr>
          <w:rFonts w:asciiTheme="minorHAnsi" w:hAnsiTheme="minorHAnsi" w:cstheme="minorHAnsi"/>
          <w:bCs/>
        </w:rPr>
        <w:t xml:space="preserve">amostatné </w:t>
      </w:r>
      <w:r w:rsidR="00616257" w:rsidRPr="006119FD">
        <w:rPr>
          <w:rFonts w:asciiTheme="minorHAnsi" w:hAnsiTheme="minorHAnsi" w:cstheme="minorHAnsi"/>
          <w:bCs/>
        </w:rPr>
        <w:t>vyhodnoc</w:t>
      </w:r>
      <w:r w:rsidR="00F80C85" w:rsidRPr="006119FD">
        <w:rPr>
          <w:rFonts w:asciiTheme="minorHAnsi" w:hAnsiTheme="minorHAnsi" w:cstheme="minorHAnsi"/>
          <w:bCs/>
        </w:rPr>
        <w:t>ování</w:t>
      </w:r>
      <w:r w:rsidR="00616257" w:rsidRPr="006119FD">
        <w:rPr>
          <w:rFonts w:asciiTheme="minorHAnsi" w:hAnsiTheme="minorHAnsi" w:cstheme="minorHAnsi"/>
          <w:bCs/>
        </w:rPr>
        <w:t xml:space="preserve"> činnosti členů orgánů společnost</w:t>
      </w:r>
      <w:r w:rsidR="0046100F">
        <w:rPr>
          <w:rFonts w:asciiTheme="minorHAnsi" w:hAnsiTheme="minorHAnsi" w:cstheme="minorHAnsi"/>
          <w:bCs/>
        </w:rPr>
        <w:t>í</w:t>
      </w:r>
      <w:r w:rsidR="00616257" w:rsidRPr="006119FD">
        <w:rPr>
          <w:rFonts w:asciiTheme="minorHAnsi" w:hAnsiTheme="minorHAnsi" w:cstheme="minorHAnsi"/>
          <w:bCs/>
        </w:rPr>
        <w:t xml:space="preserve"> nominovaných státem</w:t>
      </w:r>
      <w:r w:rsidR="00917E50" w:rsidRPr="006119FD">
        <w:rPr>
          <w:rFonts w:asciiTheme="minorHAnsi" w:hAnsiTheme="minorHAnsi" w:cstheme="minorHAnsi"/>
          <w:bCs/>
        </w:rPr>
        <w:t xml:space="preserve"> </w:t>
      </w:r>
      <w:r w:rsidR="00917E50" w:rsidRPr="003F0FF7">
        <w:rPr>
          <w:rFonts w:asciiTheme="minorHAnsi" w:hAnsiTheme="minorHAnsi" w:cstheme="minorHAnsi"/>
          <w:bCs/>
        </w:rPr>
        <w:t>ministerstva</w:t>
      </w:r>
      <w:r w:rsidR="00616257" w:rsidRPr="003F0FF7">
        <w:rPr>
          <w:rFonts w:asciiTheme="minorHAnsi" w:hAnsiTheme="minorHAnsi" w:cstheme="minorHAnsi"/>
          <w:bCs/>
        </w:rPr>
        <w:t xml:space="preserve"> </w:t>
      </w:r>
      <w:r w:rsidR="002F20C7" w:rsidRPr="003F0FF7">
        <w:rPr>
          <w:rFonts w:asciiTheme="minorHAnsi" w:hAnsiTheme="minorHAnsi" w:cstheme="minorHAnsi"/>
          <w:bCs/>
        </w:rPr>
        <w:t>neprováděl</w:t>
      </w:r>
      <w:r w:rsidR="00917E50" w:rsidRPr="003F0FF7">
        <w:rPr>
          <w:rFonts w:asciiTheme="minorHAnsi" w:hAnsiTheme="minorHAnsi" w:cstheme="minorHAnsi"/>
          <w:bCs/>
        </w:rPr>
        <w:t>a</w:t>
      </w:r>
      <w:r w:rsidR="00554E4F" w:rsidRPr="003F0FF7">
        <w:rPr>
          <w:rFonts w:asciiTheme="minorHAnsi" w:hAnsiTheme="minorHAnsi" w:cstheme="minorHAnsi"/>
          <w:bCs/>
        </w:rPr>
        <w:t xml:space="preserve">, </w:t>
      </w:r>
      <w:r w:rsidR="00535040" w:rsidRPr="003F0FF7">
        <w:rPr>
          <w:rFonts w:asciiTheme="minorHAnsi" w:hAnsiTheme="minorHAnsi" w:cstheme="minorHAnsi"/>
          <w:bCs/>
        </w:rPr>
        <w:t xml:space="preserve">jejich </w:t>
      </w:r>
      <w:r w:rsidR="00554E4F" w:rsidRPr="003F0FF7">
        <w:rPr>
          <w:rFonts w:asciiTheme="minorHAnsi" w:hAnsiTheme="minorHAnsi" w:cstheme="minorHAnsi"/>
          <w:bCs/>
        </w:rPr>
        <w:t xml:space="preserve">činnost </w:t>
      </w:r>
      <w:r w:rsidR="002F20C7" w:rsidRPr="003F0FF7">
        <w:rPr>
          <w:rFonts w:asciiTheme="minorHAnsi" w:hAnsiTheme="minorHAnsi" w:cstheme="minorHAnsi"/>
          <w:bCs/>
        </w:rPr>
        <w:t>byla</w:t>
      </w:r>
      <w:r w:rsidR="00554E4F" w:rsidRPr="003F0FF7">
        <w:rPr>
          <w:rFonts w:asciiTheme="minorHAnsi" w:hAnsiTheme="minorHAnsi" w:cstheme="minorHAnsi"/>
          <w:bCs/>
        </w:rPr>
        <w:t xml:space="preserve"> </w:t>
      </w:r>
      <w:r w:rsidR="00535040" w:rsidRPr="003F0FF7">
        <w:rPr>
          <w:rFonts w:asciiTheme="minorHAnsi" w:hAnsiTheme="minorHAnsi" w:cstheme="minorHAnsi"/>
          <w:bCs/>
        </w:rPr>
        <w:t xml:space="preserve">pouze </w:t>
      </w:r>
      <w:r w:rsidR="00554E4F" w:rsidRPr="003F0FF7">
        <w:rPr>
          <w:rFonts w:asciiTheme="minorHAnsi" w:hAnsiTheme="minorHAnsi" w:cstheme="minorHAnsi"/>
          <w:bCs/>
        </w:rPr>
        <w:t xml:space="preserve">nepřímo </w:t>
      </w:r>
      <w:r w:rsidR="0099245E" w:rsidRPr="003F0FF7">
        <w:rPr>
          <w:rFonts w:asciiTheme="minorHAnsi" w:hAnsiTheme="minorHAnsi" w:cstheme="minorHAnsi"/>
          <w:bCs/>
        </w:rPr>
        <w:t>posuzována</w:t>
      </w:r>
      <w:r w:rsidR="00554E4F" w:rsidRPr="003F0FF7">
        <w:rPr>
          <w:rFonts w:asciiTheme="minorHAnsi" w:hAnsiTheme="minorHAnsi" w:cstheme="minorHAnsi"/>
          <w:bCs/>
        </w:rPr>
        <w:t xml:space="preserve"> </w:t>
      </w:r>
      <w:r w:rsidR="00535040" w:rsidRPr="003F0FF7">
        <w:rPr>
          <w:rFonts w:asciiTheme="minorHAnsi" w:hAnsiTheme="minorHAnsi" w:cstheme="minorHAnsi"/>
          <w:bCs/>
        </w:rPr>
        <w:t xml:space="preserve">v souvislosti </w:t>
      </w:r>
      <w:r w:rsidR="00535040" w:rsidRPr="006119FD">
        <w:rPr>
          <w:rFonts w:asciiTheme="minorHAnsi" w:hAnsiTheme="minorHAnsi" w:cstheme="minorHAnsi"/>
          <w:bCs/>
        </w:rPr>
        <w:t>s</w:t>
      </w:r>
      <w:r w:rsidR="0046100F">
        <w:rPr>
          <w:rFonts w:asciiTheme="minorHAnsi" w:hAnsiTheme="minorHAnsi" w:cstheme="minorHAnsi"/>
          <w:bCs/>
        </w:rPr>
        <w:t> </w:t>
      </w:r>
      <w:r w:rsidR="00B64561" w:rsidRPr="006119FD">
        <w:rPr>
          <w:rFonts w:asciiTheme="minorHAnsi" w:hAnsiTheme="minorHAnsi" w:cstheme="minorHAnsi"/>
          <w:bCs/>
        </w:rPr>
        <w:t>hodnocení</w:t>
      </w:r>
      <w:r w:rsidR="00535040" w:rsidRPr="006119FD">
        <w:rPr>
          <w:rFonts w:asciiTheme="minorHAnsi" w:hAnsiTheme="minorHAnsi" w:cstheme="minorHAnsi"/>
          <w:bCs/>
        </w:rPr>
        <w:t>m</w:t>
      </w:r>
      <w:r w:rsidR="00554E4F" w:rsidRPr="006119FD">
        <w:rPr>
          <w:rFonts w:asciiTheme="minorHAnsi" w:hAnsiTheme="minorHAnsi" w:cstheme="minorHAnsi"/>
          <w:bCs/>
        </w:rPr>
        <w:t xml:space="preserve"> finančních výsledků a</w:t>
      </w:r>
      <w:r w:rsidR="00453F4E">
        <w:rPr>
          <w:rFonts w:asciiTheme="minorHAnsi" w:hAnsiTheme="minorHAnsi" w:cstheme="minorHAnsi"/>
          <w:bCs/>
        </w:rPr>
        <w:t xml:space="preserve"> ekonomické situace společností</w:t>
      </w:r>
      <w:r>
        <w:rPr>
          <w:rFonts w:asciiTheme="minorHAnsi" w:hAnsiTheme="minorHAnsi" w:cstheme="minorHAnsi"/>
          <w:bCs/>
        </w:rPr>
        <w:t>.</w:t>
      </w:r>
    </w:p>
    <w:p w14:paraId="32EEE562" w14:textId="5C41D8D6" w:rsidR="00B2584D" w:rsidRPr="006E46CD" w:rsidRDefault="00487385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 </w:t>
      </w:r>
      <w:r w:rsidR="009C4428" w:rsidRPr="006E46CD">
        <w:rPr>
          <w:rFonts w:asciiTheme="minorHAnsi" w:hAnsiTheme="minorHAnsi" w:cstheme="minorHAnsi"/>
        </w:rPr>
        <w:t xml:space="preserve">obchodních společností s majetkovou účastí státu </w:t>
      </w:r>
      <w:r>
        <w:rPr>
          <w:rFonts w:asciiTheme="minorHAnsi" w:hAnsiTheme="minorHAnsi" w:cstheme="minorHAnsi"/>
        </w:rPr>
        <w:t xml:space="preserve">bylo jméno jediného akcionáře </w:t>
      </w:r>
      <w:r w:rsidR="00C87AA0" w:rsidRPr="006E46CD">
        <w:rPr>
          <w:rFonts w:asciiTheme="minorHAnsi" w:hAnsiTheme="minorHAnsi" w:cstheme="minorHAnsi"/>
        </w:rPr>
        <w:t>zapisován</w:t>
      </w:r>
      <w:r w:rsidR="00E352A3" w:rsidRPr="006E46CD">
        <w:rPr>
          <w:rFonts w:asciiTheme="minorHAnsi" w:hAnsiTheme="minorHAnsi" w:cstheme="minorHAnsi"/>
        </w:rPr>
        <w:t>o</w:t>
      </w:r>
      <w:r>
        <w:rPr>
          <w:rFonts w:asciiTheme="minorHAnsi" w:hAnsiTheme="minorHAnsi" w:cstheme="minorHAnsi"/>
        </w:rPr>
        <w:t xml:space="preserve"> do obchodního rejstříku</w:t>
      </w:r>
      <w:r w:rsidR="009C4428" w:rsidRPr="006E46CD">
        <w:rPr>
          <w:rFonts w:asciiTheme="minorHAnsi" w:hAnsiTheme="minorHAnsi" w:cstheme="minorHAnsi"/>
        </w:rPr>
        <w:t xml:space="preserve"> nejednotně</w:t>
      </w:r>
      <w:r>
        <w:rPr>
          <w:rFonts w:asciiTheme="minorHAnsi" w:hAnsiTheme="minorHAnsi" w:cstheme="minorHAnsi"/>
        </w:rPr>
        <w:t>;</w:t>
      </w:r>
      <w:r w:rsidR="002F20C7" w:rsidRPr="006E46CD">
        <w:rPr>
          <w:rFonts w:asciiTheme="minorHAnsi" w:hAnsiTheme="minorHAnsi" w:cstheme="minorHAnsi"/>
        </w:rPr>
        <w:t xml:space="preserve"> ve dvou případ</w:t>
      </w:r>
      <w:r w:rsidR="000A60BC">
        <w:rPr>
          <w:rFonts w:asciiTheme="minorHAnsi" w:hAnsiTheme="minorHAnsi" w:cstheme="minorHAnsi"/>
        </w:rPr>
        <w:t xml:space="preserve">ech </w:t>
      </w:r>
      <w:r>
        <w:rPr>
          <w:rFonts w:asciiTheme="minorHAnsi" w:hAnsiTheme="minorHAnsi" w:cstheme="minorHAnsi"/>
        </w:rPr>
        <w:t xml:space="preserve">nebyl </w:t>
      </w:r>
      <w:r w:rsidR="000A60BC">
        <w:rPr>
          <w:rFonts w:asciiTheme="minorHAnsi" w:hAnsiTheme="minorHAnsi" w:cstheme="minorHAnsi"/>
        </w:rPr>
        <w:t>zápis proveden</w:t>
      </w:r>
      <w:r>
        <w:rPr>
          <w:rFonts w:asciiTheme="minorHAnsi" w:hAnsiTheme="minorHAnsi" w:cstheme="minorHAnsi"/>
        </w:rPr>
        <w:t>.</w:t>
      </w:r>
    </w:p>
    <w:p w14:paraId="42568FE1" w14:textId="65288167" w:rsidR="00CA6FCB" w:rsidRPr="008E2EEE" w:rsidRDefault="00487385" w:rsidP="00485081">
      <w:pPr>
        <w:pStyle w:val="Odstavecseseznamem"/>
        <w:numPr>
          <w:ilvl w:val="0"/>
          <w:numId w:val="19"/>
        </w:numPr>
        <w:ind w:left="567" w:hanging="283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</w:t>
      </w:r>
      <w:r w:rsidR="00E93ACE" w:rsidRPr="008E2EEE">
        <w:rPr>
          <w:rFonts w:asciiTheme="minorHAnsi" w:hAnsiTheme="minorHAnsi" w:cstheme="minorHAnsi"/>
        </w:rPr>
        <w:t xml:space="preserve">rvaly </w:t>
      </w:r>
      <w:r w:rsidR="003347BE" w:rsidRPr="008E2EEE">
        <w:rPr>
          <w:rFonts w:asciiTheme="minorHAnsi" w:hAnsiTheme="minorHAnsi" w:cstheme="minorHAnsi"/>
        </w:rPr>
        <w:t>problémy se zachycením majetkových účastí a jejich změn v účetnictví (použití účtů dle vlivu majetkové účasti, oceňování</w:t>
      </w:r>
      <w:r w:rsidR="00FF299B" w:rsidRPr="008E2EEE">
        <w:rPr>
          <w:rFonts w:asciiTheme="minorHAnsi" w:hAnsiTheme="minorHAnsi" w:cstheme="minorHAnsi"/>
        </w:rPr>
        <w:t xml:space="preserve">) a </w:t>
      </w:r>
      <w:r w:rsidR="00C2589C" w:rsidRPr="008E2EEE">
        <w:rPr>
          <w:rFonts w:asciiTheme="minorHAnsi" w:hAnsiTheme="minorHAnsi" w:cstheme="minorHAnsi"/>
        </w:rPr>
        <w:t xml:space="preserve">v </w:t>
      </w:r>
      <w:r w:rsidR="00FF299B" w:rsidRPr="008E2EEE">
        <w:rPr>
          <w:rFonts w:asciiTheme="minorHAnsi" w:hAnsiTheme="minorHAnsi" w:cstheme="minorHAnsi"/>
        </w:rPr>
        <w:t>jejich</w:t>
      </w:r>
      <w:r w:rsidR="003347BE" w:rsidRPr="008E2EEE">
        <w:rPr>
          <w:rFonts w:asciiTheme="minorHAnsi" w:hAnsiTheme="minorHAnsi" w:cstheme="minorHAnsi"/>
        </w:rPr>
        <w:t xml:space="preserve"> inventarizac</w:t>
      </w:r>
      <w:r w:rsidR="00FF299B" w:rsidRPr="008E2EEE">
        <w:rPr>
          <w:rFonts w:asciiTheme="minorHAnsi" w:hAnsiTheme="minorHAnsi" w:cstheme="minorHAnsi"/>
        </w:rPr>
        <w:t>i</w:t>
      </w:r>
      <w:r w:rsidR="00F70DDA" w:rsidRPr="008E2EEE">
        <w:rPr>
          <w:rFonts w:asciiTheme="minorHAnsi" w:hAnsiTheme="minorHAnsi" w:cstheme="minorHAnsi"/>
        </w:rPr>
        <w:t xml:space="preserve">, </w:t>
      </w:r>
      <w:r w:rsidR="00571257" w:rsidRPr="008E2EEE">
        <w:rPr>
          <w:rFonts w:asciiTheme="minorHAnsi" w:hAnsiTheme="minorHAnsi" w:cstheme="minorHAnsi"/>
        </w:rPr>
        <w:t>a to</w:t>
      </w:r>
      <w:r w:rsidR="00F70DDA" w:rsidRPr="008E2EEE">
        <w:rPr>
          <w:rFonts w:asciiTheme="minorHAnsi" w:hAnsiTheme="minorHAnsi" w:cstheme="minorHAnsi"/>
        </w:rPr>
        <w:t xml:space="preserve"> u všech kontrolovaných ministerstev</w:t>
      </w:r>
      <w:r w:rsidR="00FF299B" w:rsidRPr="008E2EEE">
        <w:rPr>
          <w:rFonts w:asciiTheme="minorHAnsi" w:hAnsiTheme="minorHAnsi" w:cstheme="minorHAnsi"/>
        </w:rPr>
        <w:t>.</w:t>
      </w:r>
    </w:p>
    <w:p w14:paraId="0DDA7632" w14:textId="77777777" w:rsidR="00B341B5" w:rsidRPr="008E2EEE" w:rsidRDefault="00B341B5" w:rsidP="004359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F50C45" w14:textId="348166F0" w:rsidR="00D80804" w:rsidRPr="008E2EEE" w:rsidRDefault="00F02654" w:rsidP="004359C7">
      <w:pPr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5</w:t>
      </w:r>
      <w:r w:rsidR="004359C7" w:rsidRPr="00485081">
        <w:rPr>
          <w:rFonts w:cstheme="minorHAnsi"/>
          <w:b/>
          <w:sz w:val="24"/>
          <w:szCs w:val="24"/>
        </w:rPr>
        <w:t>.</w:t>
      </w:r>
      <w:r w:rsidR="004359C7" w:rsidRPr="00485081">
        <w:rPr>
          <w:rFonts w:cstheme="minorHAnsi"/>
          <w:b/>
          <w:sz w:val="24"/>
          <w:szCs w:val="24"/>
        </w:rPr>
        <w:tab/>
      </w:r>
      <w:r w:rsidR="00C1360D" w:rsidRPr="00485081">
        <w:rPr>
          <w:rFonts w:cstheme="minorHAnsi"/>
          <w:b/>
          <w:sz w:val="24"/>
          <w:szCs w:val="24"/>
        </w:rPr>
        <w:t>Ministerstva</w:t>
      </w:r>
      <w:r w:rsidR="007456A5" w:rsidRPr="00485081">
        <w:rPr>
          <w:rFonts w:cstheme="minorHAnsi"/>
          <w:b/>
          <w:sz w:val="24"/>
          <w:szCs w:val="24"/>
        </w:rPr>
        <w:t xml:space="preserve"> </w:t>
      </w:r>
      <w:r w:rsidR="002F20C7" w:rsidRPr="00485081">
        <w:rPr>
          <w:rFonts w:cstheme="minorHAnsi"/>
          <w:b/>
          <w:sz w:val="24"/>
          <w:szCs w:val="24"/>
        </w:rPr>
        <w:t>nedodržovala</w:t>
      </w:r>
      <w:r w:rsidR="00865072" w:rsidRPr="00485081">
        <w:rPr>
          <w:rFonts w:cstheme="minorHAnsi"/>
          <w:b/>
          <w:sz w:val="24"/>
          <w:szCs w:val="24"/>
        </w:rPr>
        <w:t xml:space="preserve"> </w:t>
      </w:r>
      <w:r w:rsidR="00C1360D" w:rsidRPr="00485081">
        <w:rPr>
          <w:rFonts w:cstheme="minorHAnsi"/>
          <w:b/>
          <w:sz w:val="24"/>
          <w:szCs w:val="24"/>
        </w:rPr>
        <w:t>vyhlášku č. 455/2008 Sb.</w:t>
      </w:r>
      <w:r w:rsidR="000C145F" w:rsidRPr="00485081">
        <w:rPr>
          <w:rStyle w:val="Znakapoznpodarou"/>
          <w:rFonts w:cstheme="minorHAnsi"/>
          <w:b/>
          <w:sz w:val="24"/>
          <w:szCs w:val="24"/>
        </w:rPr>
        <w:footnoteReference w:id="5"/>
      </w:r>
      <w:r w:rsidR="007456A5" w:rsidRPr="00485081">
        <w:rPr>
          <w:rFonts w:cstheme="minorHAnsi"/>
          <w:b/>
          <w:sz w:val="24"/>
          <w:szCs w:val="24"/>
        </w:rPr>
        <w:t xml:space="preserve">, </w:t>
      </w:r>
      <w:r w:rsidR="00C1360D" w:rsidRPr="00485081">
        <w:rPr>
          <w:rFonts w:cstheme="minorHAnsi"/>
          <w:b/>
          <w:sz w:val="24"/>
          <w:szCs w:val="24"/>
        </w:rPr>
        <w:t xml:space="preserve">využitelnost údajů </w:t>
      </w:r>
      <w:r w:rsidR="00D80804" w:rsidRPr="00485081">
        <w:rPr>
          <w:rFonts w:cstheme="minorHAnsi"/>
          <w:b/>
          <w:sz w:val="24"/>
          <w:szCs w:val="24"/>
        </w:rPr>
        <w:t>získaných na jejím základě</w:t>
      </w:r>
      <w:r w:rsidR="00310E21" w:rsidRPr="00485081">
        <w:rPr>
          <w:rFonts w:cstheme="minorHAnsi"/>
          <w:b/>
          <w:sz w:val="24"/>
          <w:szCs w:val="24"/>
        </w:rPr>
        <w:t xml:space="preserve"> </w:t>
      </w:r>
      <w:r w:rsidR="00C1360D" w:rsidRPr="00485081">
        <w:rPr>
          <w:rFonts w:cstheme="minorHAnsi"/>
          <w:b/>
          <w:sz w:val="24"/>
          <w:szCs w:val="24"/>
        </w:rPr>
        <w:t>je</w:t>
      </w:r>
      <w:r w:rsidR="002F20C7" w:rsidRPr="00485081">
        <w:rPr>
          <w:rFonts w:cstheme="minorHAnsi"/>
          <w:b/>
          <w:sz w:val="24"/>
          <w:szCs w:val="24"/>
        </w:rPr>
        <w:t xml:space="preserve"> </w:t>
      </w:r>
      <w:r w:rsidR="00C1360D" w:rsidRPr="00485081">
        <w:rPr>
          <w:rFonts w:cstheme="minorHAnsi"/>
          <w:b/>
          <w:sz w:val="24"/>
          <w:szCs w:val="24"/>
        </w:rPr>
        <w:t>omezená</w:t>
      </w:r>
      <w:r w:rsidR="00C96A35" w:rsidRPr="00485081">
        <w:rPr>
          <w:rFonts w:cstheme="minorHAnsi"/>
          <w:b/>
          <w:sz w:val="24"/>
          <w:szCs w:val="24"/>
        </w:rPr>
        <w:t xml:space="preserve"> </w:t>
      </w:r>
      <w:r w:rsidR="000A60BC" w:rsidRPr="00485081">
        <w:rPr>
          <w:rFonts w:cstheme="minorHAnsi"/>
          <w:b/>
          <w:sz w:val="24"/>
          <w:szCs w:val="24"/>
        </w:rPr>
        <w:t>–</w:t>
      </w:r>
      <w:r w:rsidR="005D695E" w:rsidRPr="008E2EEE">
        <w:rPr>
          <w:rFonts w:cstheme="minorHAnsi"/>
          <w:sz w:val="24"/>
          <w:szCs w:val="24"/>
        </w:rPr>
        <w:t xml:space="preserve"> zejména proto, že podklady předkládané ministerstvy byly nesprávné nebo neúplné a MF neprovádělo </w:t>
      </w:r>
      <w:r w:rsidR="004D2252" w:rsidRPr="008E2EEE">
        <w:rPr>
          <w:rFonts w:cstheme="minorHAnsi"/>
          <w:sz w:val="24"/>
          <w:szCs w:val="24"/>
        </w:rPr>
        <w:t xml:space="preserve">dostatečně </w:t>
      </w:r>
      <w:r w:rsidR="005D695E" w:rsidRPr="008E2EEE">
        <w:rPr>
          <w:rFonts w:cstheme="minorHAnsi"/>
          <w:sz w:val="24"/>
          <w:szCs w:val="24"/>
        </w:rPr>
        <w:t>jejich kontrolu.</w:t>
      </w:r>
      <w:r w:rsidR="00310E21" w:rsidRPr="008E2EEE">
        <w:rPr>
          <w:rFonts w:cstheme="minorHAnsi"/>
          <w:sz w:val="24"/>
          <w:szCs w:val="24"/>
        </w:rPr>
        <w:t xml:space="preserve"> </w:t>
      </w:r>
      <w:r w:rsidR="00E4708E" w:rsidRPr="008E2EEE">
        <w:rPr>
          <w:rFonts w:cstheme="minorHAnsi"/>
          <w:sz w:val="24"/>
          <w:szCs w:val="24"/>
        </w:rPr>
        <w:t xml:space="preserve">Využitelnost údajů </w:t>
      </w:r>
      <w:r w:rsidR="000C145F" w:rsidRPr="008E2EEE">
        <w:rPr>
          <w:rFonts w:cstheme="minorHAnsi"/>
          <w:sz w:val="24"/>
          <w:szCs w:val="24"/>
        </w:rPr>
        <w:t xml:space="preserve">získaných na základě </w:t>
      </w:r>
      <w:r w:rsidR="00487385">
        <w:rPr>
          <w:rFonts w:cstheme="minorHAnsi"/>
          <w:sz w:val="24"/>
          <w:szCs w:val="24"/>
        </w:rPr>
        <w:t xml:space="preserve">této </w:t>
      </w:r>
      <w:r w:rsidR="000C145F" w:rsidRPr="008E2EEE">
        <w:rPr>
          <w:rFonts w:cstheme="minorHAnsi"/>
          <w:sz w:val="24"/>
          <w:szCs w:val="24"/>
        </w:rPr>
        <w:t xml:space="preserve">vyhlášky </w:t>
      </w:r>
      <w:r w:rsidR="00DF42B5" w:rsidRPr="008E2EEE">
        <w:rPr>
          <w:rFonts w:cstheme="minorHAnsi"/>
          <w:sz w:val="24"/>
          <w:szCs w:val="24"/>
        </w:rPr>
        <w:t xml:space="preserve">je </w:t>
      </w:r>
      <w:r w:rsidR="00E93ACE" w:rsidRPr="008E2EEE">
        <w:rPr>
          <w:rFonts w:cstheme="minorHAnsi"/>
          <w:sz w:val="24"/>
          <w:szCs w:val="24"/>
        </w:rPr>
        <w:t>snižována</w:t>
      </w:r>
      <w:r w:rsidR="00E4708E" w:rsidRPr="008E2EEE">
        <w:rPr>
          <w:rFonts w:cstheme="minorHAnsi"/>
          <w:sz w:val="24"/>
          <w:szCs w:val="24"/>
        </w:rPr>
        <w:t xml:space="preserve"> také skutečnost</w:t>
      </w:r>
      <w:r w:rsidR="00DF42B5" w:rsidRPr="008E2EEE">
        <w:rPr>
          <w:rFonts w:cstheme="minorHAnsi"/>
          <w:sz w:val="24"/>
          <w:szCs w:val="24"/>
        </w:rPr>
        <w:t>í</w:t>
      </w:r>
      <w:r w:rsidR="00E4708E" w:rsidRPr="008E2EEE">
        <w:rPr>
          <w:rFonts w:cstheme="minorHAnsi"/>
          <w:sz w:val="24"/>
          <w:szCs w:val="24"/>
        </w:rPr>
        <w:t>,</w:t>
      </w:r>
      <w:r w:rsidR="00310E21" w:rsidRPr="008E2EEE">
        <w:rPr>
          <w:rFonts w:cstheme="minorHAnsi"/>
          <w:sz w:val="24"/>
          <w:szCs w:val="24"/>
        </w:rPr>
        <w:t xml:space="preserve"> že </w:t>
      </w:r>
      <w:r w:rsidR="00310E21" w:rsidRPr="008E2EEE">
        <w:rPr>
          <w:rFonts w:cstheme="minorHAnsi"/>
          <w:bCs/>
          <w:sz w:val="24"/>
          <w:szCs w:val="24"/>
          <w:lang w:eastAsia="cs-CZ"/>
        </w:rPr>
        <w:t xml:space="preserve">MF za jím spravované </w:t>
      </w:r>
      <w:r w:rsidR="00321456" w:rsidRPr="008E2EEE">
        <w:rPr>
          <w:rFonts w:cstheme="minorHAnsi"/>
          <w:bCs/>
          <w:sz w:val="24"/>
          <w:szCs w:val="24"/>
          <w:lang w:eastAsia="cs-CZ"/>
        </w:rPr>
        <w:t>majetkové účasti</w:t>
      </w:r>
      <w:r w:rsidR="00310E21" w:rsidRPr="008E2EEE">
        <w:rPr>
          <w:rFonts w:cstheme="minorHAnsi"/>
          <w:bCs/>
          <w:sz w:val="24"/>
          <w:szCs w:val="24"/>
          <w:lang w:eastAsia="cs-CZ"/>
        </w:rPr>
        <w:t xml:space="preserve"> údaje</w:t>
      </w:r>
      <w:r w:rsidR="004D2252" w:rsidRPr="008E2EEE">
        <w:rPr>
          <w:rFonts w:cstheme="minorHAnsi"/>
          <w:bCs/>
          <w:sz w:val="24"/>
          <w:szCs w:val="24"/>
          <w:lang w:eastAsia="cs-CZ"/>
        </w:rPr>
        <w:t xml:space="preserve"> podle této vyhlášky</w:t>
      </w:r>
      <w:r w:rsidR="00310E21" w:rsidRPr="008E2EEE">
        <w:rPr>
          <w:rFonts w:cstheme="minorHAnsi"/>
          <w:bCs/>
          <w:sz w:val="24"/>
          <w:szCs w:val="24"/>
          <w:lang w:eastAsia="cs-CZ"/>
        </w:rPr>
        <w:t xml:space="preserve"> </w:t>
      </w:r>
      <w:r w:rsidR="00E93ACE" w:rsidRPr="008E2EEE">
        <w:rPr>
          <w:rFonts w:cstheme="minorHAnsi"/>
          <w:bCs/>
          <w:sz w:val="24"/>
          <w:szCs w:val="24"/>
          <w:lang w:eastAsia="cs-CZ"/>
        </w:rPr>
        <w:t>nezpracovávalo</w:t>
      </w:r>
      <w:r w:rsidR="00310E21" w:rsidRPr="008E2EEE">
        <w:rPr>
          <w:rFonts w:cstheme="minorHAnsi"/>
          <w:bCs/>
          <w:sz w:val="24"/>
          <w:szCs w:val="24"/>
          <w:lang w:eastAsia="cs-CZ"/>
        </w:rPr>
        <w:t>.</w:t>
      </w:r>
      <w:r w:rsidR="00307745">
        <w:rPr>
          <w:rFonts w:cstheme="minorHAnsi"/>
          <w:sz w:val="24"/>
          <w:szCs w:val="24"/>
        </w:rPr>
        <w:t xml:space="preserve"> </w:t>
      </w:r>
    </w:p>
    <w:p w14:paraId="23E47E12" w14:textId="77777777" w:rsidR="00B341B5" w:rsidRPr="00685408" w:rsidRDefault="00B341B5" w:rsidP="004359C7">
      <w:pPr>
        <w:spacing w:after="0" w:line="240" w:lineRule="auto"/>
        <w:ind w:left="426" w:hanging="426"/>
        <w:jc w:val="both"/>
        <w:rPr>
          <w:rFonts w:cstheme="minorHAnsi"/>
          <w:sz w:val="24"/>
          <w:szCs w:val="24"/>
        </w:rPr>
      </w:pPr>
    </w:p>
    <w:p w14:paraId="0FC54B90" w14:textId="798D6333" w:rsidR="00E4708E" w:rsidRPr="006E46CD" w:rsidRDefault="00F02654" w:rsidP="004359C7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  <w:r w:rsidRPr="00485081">
        <w:rPr>
          <w:rFonts w:cstheme="minorHAnsi"/>
          <w:b/>
          <w:sz w:val="24"/>
          <w:szCs w:val="24"/>
        </w:rPr>
        <w:lastRenderedPageBreak/>
        <w:t>6</w:t>
      </w:r>
      <w:r w:rsidR="00CA5E7E" w:rsidRPr="00485081">
        <w:rPr>
          <w:rFonts w:cstheme="minorHAnsi"/>
          <w:b/>
          <w:sz w:val="24"/>
          <w:szCs w:val="24"/>
        </w:rPr>
        <w:t>.</w:t>
      </w:r>
      <w:r w:rsidR="004359C7" w:rsidRPr="00485081">
        <w:rPr>
          <w:rFonts w:cstheme="minorHAnsi"/>
          <w:b/>
          <w:sz w:val="24"/>
          <w:szCs w:val="24"/>
        </w:rPr>
        <w:tab/>
      </w:r>
      <w:r w:rsidR="0091318F" w:rsidRPr="00485081">
        <w:rPr>
          <w:rFonts w:cstheme="minorHAnsi"/>
          <w:b/>
          <w:sz w:val="24"/>
          <w:szCs w:val="24"/>
        </w:rPr>
        <w:t>V</w:t>
      </w:r>
      <w:r w:rsidR="00D80804" w:rsidRPr="00485081">
        <w:rPr>
          <w:rFonts w:cstheme="minorHAnsi"/>
          <w:b/>
          <w:sz w:val="24"/>
          <w:szCs w:val="24"/>
        </w:rPr>
        <w:t>yhlášk</w:t>
      </w:r>
      <w:r w:rsidR="0091318F" w:rsidRPr="00485081">
        <w:rPr>
          <w:rFonts w:cstheme="minorHAnsi"/>
          <w:b/>
          <w:sz w:val="24"/>
          <w:szCs w:val="24"/>
        </w:rPr>
        <w:t>a</w:t>
      </w:r>
      <w:r w:rsidR="00D80804" w:rsidRPr="00485081">
        <w:rPr>
          <w:rFonts w:cstheme="minorHAnsi"/>
          <w:b/>
          <w:sz w:val="24"/>
          <w:szCs w:val="24"/>
        </w:rPr>
        <w:t xml:space="preserve"> č. 419/2001 Sb.</w:t>
      </w:r>
      <w:r w:rsidR="00D80804" w:rsidRPr="00485081">
        <w:rPr>
          <w:rStyle w:val="Znakapoznpodarou"/>
          <w:rFonts w:cstheme="minorHAnsi"/>
          <w:b/>
          <w:sz w:val="24"/>
          <w:szCs w:val="24"/>
        </w:rPr>
        <w:footnoteReference w:id="6"/>
      </w:r>
      <w:r w:rsidR="0091318F" w:rsidRPr="00485081">
        <w:rPr>
          <w:rFonts w:cstheme="minorHAnsi"/>
          <w:b/>
          <w:sz w:val="24"/>
          <w:szCs w:val="24"/>
        </w:rPr>
        <w:t xml:space="preserve"> </w:t>
      </w:r>
      <w:r w:rsidR="002F20C7" w:rsidRPr="00485081">
        <w:rPr>
          <w:rFonts w:cstheme="minorHAnsi"/>
          <w:b/>
          <w:sz w:val="24"/>
          <w:szCs w:val="24"/>
        </w:rPr>
        <w:t>nebyla</w:t>
      </w:r>
      <w:r w:rsidR="0091318F" w:rsidRPr="00485081">
        <w:rPr>
          <w:rFonts w:cstheme="minorHAnsi"/>
          <w:b/>
          <w:sz w:val="24"/>
          <w:szCs w:val="24"/>
        </w:rPr>
        <w:t xml:space="preserve"> důsledně dodržována</w:t>
      </w:r>
      <w:r w:rsidR="00C80C30" w:rsidRPr="00485081">
        <w:rPr>
          <w:rFonts w:cstheme="minorHAnsi"/>
          <w:b/>
          <w:sz w:val="24"/>
          <w:szCs w:val="24"/>
        </w:rPr>
        <w:t xml:space="preserve">, informace o </w:t>
      </w:r>
      <w:r w:rsidR="0091318F" w:rsidRPr="00485081">
        <w:rPr>
          <w:rFonts w:cstheme="minorHAnsi"/>
          <w:b/>
          <w:sz w:val="24"/>
          <w:szCs w:val="24"/>
        </w:rPr>
        <w:t>majetkových účastech státu</w:t>
      </w:r>
      <w:r w:rsidR="00D80804" w:rsidRPr="00485081">
        <w:rPr>
          <w:rFonts w:cstheme="minorHAnsi"/>
          <w:b/>
          <w:sz w:val="24"/>
          <w:szCs w:val="24"/>
        </w:rPr>
        <w:t xml:space="preserve"> v závěrečných účtech</w:t>
      </w:r>
      <w:r w:rsidR="0091318F" w:rsidRPr="00485081">
        <w:rPr>
          <w:rFonts w:cstheme="minorHAnsi"/>
          <w:b/>
          <w:sz w:val="24"/>
          <w:szCs w:val="24"/>
        </w:rPr>
        <w:t xml:space="preserve"> kapitol státního rozpočtu jsou neúplné</w:t>
      </w:r>
      <w:r w:rsidR="0091318F" w:rsidRPr="006E46CD">
        <w:rPr>
          <w:rFonts w:cstheme="minorHAnsi"/>
          <w:sz w:val="24"/>
          <w:szCs w:val="24"/>
        </w:rPr>
        <w:t xml:space="preserve"> </w:t>
      </w:r>
      <w:r w:rsidR="00CA5E7E" w:rsidRPr="00485081">
        <w:rPr>
          <w:rFonts w:cstheme="minorHAnsi"/>
          <w:b/>
          <w:sz w:val="24"/>
          <w:szCs w:val="24"/>
        </w:rPr>
        <w:t>–</w:t>
      </w:r>
      <w:r w:rsidR="0091318F" w:rsidRPr="006E46CD">
        <w:rPr>
          <w:rFonts w:cstheme="minorHAnsi"/>
          <w:sz w:val="24"/>
          <w:szCs w:val="24"/>
        </w:rPr>
        <w:t xml:space="preserve"> MF a MPO v závěrečných účtech</w:t>
      </w:r>
      <w:r w:rsidR="00D80804" w:rsidRPr="006E46CD">
        <w:rPr>
          <w:rFonts w:cstheme="minorHAnsi"/>
          <w:sz w:val="24"/>
          <w:szCs w:val="24"/>
        </w:rPr>
        <w:t xml:space="preserve"> svých kapitol neuvedly vyhláškou požadovaný přehled všech majetkových účastí, </w:t>
      </w:r>
      <w:r w:rsidR="00487385">
        <w:rPr>
          <w:rFonts w:cstheme="minorHAnsi"/>
          <w:sz w:val="24"/>
          <w:szCs w:val="24"/>
        </w:rPr>
        <w:t>k</w:t>
      </w:r>
      <w:r w:rsidR="00D80804" w:rsidRPr="006E46CD">
        <w:rPr>
          <w:rFonts w:cstheme="minorHAnsi"/>
          <w:sz w:val="24"/>
          <w:szCs w:val="24"/>
        </w:rPr>
        <w:t xml:space="preserve"> nimž </w:t>
      </w:r>
      <w:r w:rsidR="00487385">
        <w:rPr>
          <w:rFonts w:cstheme="minorHAnsi"/>
          <w:sz w:val="24"/>
          <w:szCs w:val="24"/>
        </w:rPr>
        <w:t>měly příslušnost</w:t>
      </w:r>
      <w:r w:rsidR="00D80804" w:rsidRPr="006E46CD">
        <w:rPr>
          <w:rFonts w:cstheme="minorHAnsi"/>
          <w:sz w:val="24"/>
          <w:szCs w:val="24"/>
        </w:rPr>
        <w:t xml:space="preserve"> hospodař</w:t>
      </w:r>
      <w:r w:rsidR="00487385">
        <w:rPr>
          <w:rFonts w:cstheme="minorHAnsi"/>
          <w:sz w:val="24"/>
          <w:szCs w:val="24"/>
        </w:rPr>
        <w:t>ení</w:t>
      </w:r>
      <w:r w:rsidR="00E4708E" w:rsidRPr="006E46CD">
        <w:rPr>
          <w:rFonts w:cstheme="minorHAnsi"/>
          <w:sz w:val="24"/>
          <w:szCs w:val="24"/>
        </w:rPr>
        <w:t>.</w:t>
      </w:r>
    </w:p>
    <w:p w14:paraId="1EF090AE" w14:textId="77777777" w:rsidR="005D6DB2" w:rsidRPr="00C3675F" w:rsidRDefault="005D6DB2" w:rsidP="004359C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DEB33FD" w14:textId="77777777" w:rsidR="00AF6B3C" w:rsidRPr="00C3675F" w:rsidRDefault="00AF6B3C" w:rsidP="004359C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361D0C" w14:textId="77777777" w:rsidR="00AF6B3C" w:rsidRPr="00485081" w:rsidRDefault="00AF6B3C" w:rsidP="00AF6B3C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485081">
        <w:rPr>
          <w:rFonts w:cstheme="minorHAnsi"/>
          <w:b/>
          <w:sz w:val="28"/>
          <w:szCs w:val="24"/>
        </w:rPr>
        <w:t>III. Doporučení</w:t>
      </w:r>
    </w:p>
    <w:p w14:paraId="1E050850" w14:textId="77777777" w:rsidR="006110CE" w:rsidRPr="00532B3B" w:rsidRDefault="006110CE" w:rsidP="00532B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421CAC52" w14:textId="77777777" w:rsidR="00842C04" w:rsidRPr="00532B3B" w:rsidRDefault="00842C04" w:rsidP="00532B3B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532B3B">
        <w:rPr>
          <w:rFonts w:cstheme="minorHAnsi"/>
          <w:color w:val="000000" w:themeColor="text1"/>
          <w:sz w:val="24"/>
          <w:szCs w:val="24"/>
        </w:rPr>
        <w:t>Z vyhodnocení celkového systému správy majetkových účastí státu v obchodních společnostech</w:t>
      </w:r>
      <w:r w:rsidR="00BB3D5A" w:rsidRPr="00532B3B">
        <w:rPr>
          <w:rFonts w:cstheme="minorHAnsi"/>
          <w:color w:val="000000" w:themeColor="text1"/>
          <w:sz w:val="24"/>
          <w:szCs w:val="24"/>
        </w:rPr>
        <w:t xml:space="preserve"> z pohledu NKÚ</w:t>
      </w:r>
      <w:r w:rsidRPr="00532B3B">
        <w:rPr>
          <w:rFonts w:cstheme="minorHAnsi"/>
          <w:color w:val="000000" w:themeColor="text1"/>
          <w:sz w:val="24"/>
          <w:szCs w:val="24"/>
        </w:rPr>
        <w:t xml:space="preserve"> vyplývá, že je nutné:</w:t>
      </w:r>
    </w:p>
    <w:p w14:paraId="610B95A9" w14:textId="77777777" w:rsidR="0099245E" w:rsidRPr="00532B3B" w:rsidRDefault="00842C04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>vy</w:t>
      </w:r>
      <w:r w:rsidR="00DE2B26" w:rsidRPr="00532B3B">
        <w:rPr>
          <w:rFonts w:ascii="Calibri" w:hAnsi="Calibri" w:cs="Calibri"/>
          <w:color w:val="000000" w:themeColor="text1"/>
        </w:rPr>
        <w:t>tvořit</w:t>
      </w:r>
      <w:r w:rsidRPr="00532B3B">
        <w:rPr>
          <w:rFonts w:ascii="Calibri" w:hAnsi="Calibri" w:cs="Calibri"/>
          <w:color w:val="000000" w:themeColor="text1"/>
        </w:rPr>
        <w:t xml:space="preserve"> vlastnickou politiku státu</w:t>
      </w:r>
      <w:r w:rsidR="000A60BC" w:rsidRPr="00532B3B">
        <w:rPr>
          <w:rFonts w:ascii="Calibri" w:hAnsi="Calibri" w:cs="Calibri"/>
          <w:color w:val="000000" w:themeColor="text1"/>
        </w:rPr>
        <w:t>;</w:t>
      </w:r>
      <w:r w:rsidR="00BB2894" w:rsidRPr="00532B3B">
        <w:rPr>
          <w:rFonts w:ascii="Calibri" w:hAnsi="Calibri" w:cs="Calibri"/>
          <w:color w:val="000000" w:themeColor="text1"/>
        </w:rPr>
        <w:t xml:space="preserve"> </w:t>
      </w:r>
    </w:p>
    <w:p w14:paraId="1479665D" w14:textId="402396B6" w:rsidR="00161924" w:rsidRPr="00532B3B" w:rsidRDefault="007C0041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>pro oblast správy majetkových účastí státu konkretizovat obecné zákonem stanovené povinnosti</w:t>
      </w:r>
      <w:r w:rsidR="00F14B85" w:rsidRPr="00532B3B">
        <w:rPr>
          <w:rFonts w:ascii="Calibri" w:hAnsi="Calibri" w:cs="Calibri"/>
          <w:color w:val="000000" w:themeColor="text1"/>
        </w:rPr>
        <w:t xml:space="preserve"> </w:t>
      </w:r>
      <w:r w:rsidRPr="00532B3B">
        <w:rPr>
          <w:rFonts w:ascii="Calibri" w:hAnsi="Calibri" w:cs="Calibri"/>
          <w:color w:val="000000" w:themeColor="text1"/>
        </w:rPr>
        <w:t xml:space="preserve">tak, aby nevznikaly pochybnosti, které povinnosti </w:t>
      </w:r>
      <w:r w:rsidR="00161924" w:rsidRPr="00532B3B">
        <w:rPr>
          <w:rFonts w:ascii="Calibri" w:hAnsi="Calibri" w:cs="Calibri"/>
          <w:color w:val="000000" w:themeColor="text1"/>
        </w:rPr>
        <w:t xml:space="preserve">musí </w:t>
      </w:r>
      <w:r w:rsidRPr="00532B3B">
        <w:rPr>
          <w:rFonts w:ascii="Calibri" w:hAnsi="Calibri" w:cs="Calibri"/>
          <w:color w:val="000000" w:themeColor="text1"/>
        </w:rPr>
        <w:t>ministerstva jednající jménem státu</w:t>
      </w:r>
      <w:r w:rsidR="00161924" w:rsidRPr="00532B3B">
        <w:rPr>
          <w:rFonts w:ascii="Calibri" w:hAnsi="Calibri" w:cs="Calibri"/>
          <w:color w:val="000000" w:themeColor="text1"/>
        </w:rPr>
        <w:t xml:space="preserve"> </w:t>
      </w:r>
      <w:r w:rsidRPr="00532B3B">
        <w:rPr>
          <w:rFonts w:ascii="Calibri" w:hAnsi="Calibri" w:cs="Calibri"/>
          <w:color w:val="000000" w:themeColor="text1"/>
        </w:rPr>
        <w:t>nezbytně plnit</w:t>
      </w:r>
      <w:r w:rsidR="00161924" w:rsidRPr="00532B3B">
        <w:rPr>
          <w:rFonts w:ascii="Calibri" w:hAnsi="Calibri" w:cs="Calibri"/>
          <w:color w:val="000000" w:themeColor="text1"/>
        </w:rPr>
        <w:t xml:space="preserve">, v jakých oblastech mají možnost volby a v jakých mantinelech se přitom mohou pohybovat, </w:t>
      </w:r>
      <w:r w:rsidRPr="00532B3B">
        <w:rPr>
          <w:rFonts w:ascii="Calibri" w:hAnsi="Calibri" w:cs="Calibri"/>
          <w:color w:val="000000" w:themeColor="text1"/>
        </w:rPr>
        <w:t>co jsou ministerstva jednající jménem státu povinna při správě majetkových účastí státu hodnotit</w:t>
      </w:r>
      <w:r w:rsidR="000A60BC" w:rsidRPr="00532B3B">
        <w:rPr>
          <w:rFonts w:ascii="Calibri" w:hAnsi="Calibri" w:cs="Calibri"/>
          <w:color w:val="000000" w:themeColor="text1"/>
        </w:rPr>
        <w:t>;</w:t>
      </w:r>
    </w:p>
    <w:p w14:paraId="1058BBD4" w14:textId="77777777" w:rsidR="00BB3D5A" w:rsidRPr="00532B3B" w:rsidRDefault="00F14B85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 xml:space="preserve">legislativně upravit </w:t>
      </w:r>
      <w:r w:rsidR="00561622" w:rsidRPr="00532B3B">
        <w:rPr>
          <w:rFonts w:ascii="Calibri" w:hAnsi="Calibri" w:cs="Calibri"/>
          <w:color w:val="000000" w:themeColor="text1"/>
        </w:rPr>
        <w:t xml:space="preserve">nerovný </w:t>
      </w:r>
      <w:r w:rsidRPr="00532B3B">
        <w:rPr>
          <w:rFonts w:ascii="Calibri" w:hAnsi="Calibri" w:cs="Calibri"/>
          <w:color w:val="000000" w:themeColor="text1"/>
        </w:rPr>
        <w:t>přístup k výkonu práv akcionáře založený ustanovením § 28</w:t>
      </w:r>
      <w:r w:rsidR="000A60BC" w:rsidRPr="00532B3B">
        <w:rPr>
          <w:rFonts w:ascii="Calibri" w:hAnsi="Calibri" w:cs="Calibri"/>
          <w:color w:val="000000" w:themeColor="text1"/>
        </w:rPr>
        <w:t xml:space="preserve"> odst. 2 zákona č. 219/2000 Sb.;</w:t>
      </w:r>
      <w:r w:rsidRPr="00532B3B">
        <w:rPr>
          <w:rFonts w:ascii="Calibri" w:hAnsi="Calibri" w:cs="Calibri"/>
          <w:color w:val="000000" w:themeColor="text1"/>
        </w:rPr>
        <w:t xml:space="preserve"> </w:t>
      </w:r>
    </w:p>
    <w:p w14:paraId="372A76C7" w14:textId="77777777" w:rsidR="00E70107" w:rsidRPr="00532B3B" w:rsidRDefault="00161924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>zajistit promítnutí Zásad odměňování, příp. dalších</w:t>
      </w:r>
      <w:r w:rsidR="00F14E8B" w:rsidRPr="00532B3B">
        <w:rPr>
          <w:rFonts w:ascii="Calibri" w:hAnsi="Calibri" w:cs="Calibri"/>
          <w:color w:val="000000" w:themeColor="text1"/>
        </w:rPr>
        <w:t xml:space="preserve"> dokumentů</w:t>
      </w:r>
      <w:r w:rsidRPr="00532B3B">
        <w:rPr>
          <w:rFonts w:ascii="Calibri" w:hAnsi="Calibri" w:cs="Calibri"/>
          <w:color w:val="000000" w:themeColor="text1"/>
        </w:rPr>
        <w:t>, které jsou závazné pro členy vlády, ale nemají formu obecně závazných</w:t>
      </w:r>
      <w:r w:rsidR="008E2EEE" w:rsidRPr="00532B3B">
        <w:rPr>
          <w:rFonts w:ascii="Calibri" w:hAnsi="Calibri" w:cs="Calibri"/>
          <w:color w:val="000000" w:themeColor="text1"/>
        </w:rPr>
        <w:t xml:space="preserve"> právních</w:t>
      </w:r>
      <w:r w:rsidRPr="00532B3B">
        <w:rPr>
          <w:rFonts w:ascii="Calibri" w:hAnsi="Calibri" w:cs="Calibri"/>
          <w:color w:val="000000" w:themeColor="text1"/>
        </w:rPr>
        <w:t xml:space="preserve"> předpisů, do vnitřních předpisů ministerstev tak, aby byly zájmy státu dostatečně hájeny</w:t>
      </w:r>
      <w:r w:rsidR="00BB3D5A" w:rsidRPr="00532B3B">
        <w:rPr>
          <w:rFonts w:ascii="Calibri" w:hAnsi="Calibri" w:cs="Calibri"/>
          <w:color w:val="000000" w:themeColor="text1"/>
        </w:rPr>
        <w:t>,</w:t>
      </w:r>
      <w:r w:rsidR="00F14B85" w:rsidRPr="00532B3B">
        <w:rPr>
          <w:rFonts w:ascii="Calibri" w:hAnsi="Calibri" w:cs="Calibri"/>
          <w:color w:val="000000" w:themeColor="text1"/>
        </w:rPr>
        <w:t xml:space="preserve"> a zabezpečit kontrolu jejich dodržování</w:t>
      </w:r>
      <w:r w:rsidR="000A60BC" w:rsidRPr="00532B3B">
        <w:rPr>
          <w:rFonts w:ascii="Calibri" w:hAnsi="Calibri" w:cs="Calibri"/>
          <w:color w:val="000000" w:themeColor="text1"/>
        </w:rPr>
        <w:t>;</w:t>
      </w:r>
    </w:p>
    <w:p w14:paraId="731B840F" w14:textId="30598F46" w:rsidR="007C0041" w:rsidRPr="00532B3B" w:rsidRDefault="00E70107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>je-li stát</w:t>
      </w:r>
      <w:r w:rsidR="00BB2894" w:rsidRPr="00532B3B">
        <w:rPr>
          <w:rFonts w:ascii="Calibri" w:hAnsi="Calibri" w:cs="Calibri"/>
          <w:color w:val="000000" w:themeColor="text1"/>
        </w:rPr>
        <w:t xml:space="preserve"> rozhodujícím nebo</w:t>
      </w:r>
      <w:r w:rsidRPr="00532B3B">
        <w:rPr>
          <w:rFonts w:ascii="Calibri" w:hAnsi="Calibri" w:cs="Calibri"/>
          <w:color w:val="000000" w:themeColor="text1"/>
        </w:rPr>
        <w:t xml:space="preserve"> jediným vlastníkem majetkové účasti v obchodní společnosti, předkládat </w:t>
      </w:r>
      <w:r w:rsidR="00CB10A0" w:rsidRPr="00532B3B">
        <w:rPr>
          <w:rFonts w:ascii="Calibri" w:hAnsi="Calibri" w:cs="Calibri"/>
          <w:color w:val="000000" w:themeColor="text1"/>
        </w:rPr>
        <w:t xml:space="preserve">také </w:t>
      </w:r>
      <w:r w:rsidRPr="00532B3B">
        <w:rPr>
          <w:rFonts w:ascii="Calibri" w:hAnsi="Calibri" w:cs="Calibri"/>
          <w:color w:val="000000" w:themeColor="text1"/>
        </w:rPr>
        <w:t xml:space="preserve">nominace </w:t>
      </w:r>
      <w:r w:rsidR="00487385">
        <w:rPr>
          <w:rFonts w:ascii="Calibri" w:hAnsi="Calibri" w:cs="Calibri"/>
          <w:color w:val="000000" w:themeColor="text1"/>
        </w:rPr>
        <w:t xml:space="preserve">na funkce </w:t>
      </w:r>
      <w:r w:rsidRPr="00532B3B">
        <w:rPr>
          <w:rFonts w:ascii="Calibri" w:hAnsi="Calibri" w:cs="Calibri"/>
          <w:color w:val="000000" w:themeColor="text1"/>
        </w:rPr>
        <w:t>členů</w:t>
      </w:r>
      <w:r w:rsidR="007C0041" w:rsidRPr="00532B3B">
        <w:rPr>
          <w:rFonts w:ascii="Calibri" w:hAnsi="Calibri" w:cs="Calibri"/>
          <w:color w:val="000000" w:themeColor="text1"/>
        </w:rPr>
        <w:t xml:space="preserve"> </w:t>
      </w:r>
      <w:r w:rsidRPr="00532B3B">
        <w:rPr>
          <w:rFonts w:ascii="Calibri" w:hAnsi="Calibri" w:cs="Calibri"/>
          <w:color w:val="000000" w:themeColor="text1"/>
        </w:rPr>
        <w:t>představenstva k posouzení Vládním</w:t>
      </w:r>
      <w:r w:rsidR="00CB10A0" w:rsidRPr="00532B3B">
        <w:rPr>
          <w:rFonts w:ascii="Calibri" w:hAnsi="Calibri" w:cs="Calibri"/>
          <w:color w:val="000000" w:themeColor="text1"/>
        </w:rPr>
        <w:t>u</w:t>
      </w:r>
      <w:r w:rsidRPr="00532B3B">
        <w:rPr>
          <w:rFonts w:ascii="Calibri" w:hAnsi="Calibri" w:cs="Calibri"/>
          <w:color w:val="000000" w:themeColor="text1"/>
        </w:rPr>
        <w:t xml:space="preserve"> výbor</w:t>
      </w:r>
      <w:r w:rsidR="00CB10A0" w:rsidRPr="00532B3B">
        <w:rPr>
          <w:rFonts w:ascii="Calibri" w:hAnsi="Calibri" w:cs="Calibri"/>
          <w:color w:val="000000" w:themeColor="text1"/>
        </w:rPr>
        <w:t>u</w:t>
      </w:r>
      <w:r w:rsidRPr="00532B3B">
        <w:rPr>
          <w:rFonts w:ascii="Calibri" w:hAnsi="Calibri" w:cs="Calibri"/>
          <w:color w:val="000000" w:themeColor="text1"/>
        </w:rPr>
        <w:t xml:space="preserve"> pro personální nominace</w:t>
      </w:r>
      <w:r w:rsidR="000A60BC" w:rsidRPr="00532B3B">
        <w:rPr>
          <w:rFonts w:ascii="Calibri" w:hAnsi="Calibri" w:cs="Calibri"/>
          <w:color w:val="000000" w:themeColor="text1"/>
        </w:rPr>
        <w:t>;</w:t>
      </w:r>
    </w:p>
    <w:p w14:paraId="01A63681" w14:textId="489CB71A" w:rsidR="0099245E" w:rsidRPr="00532B3B" w:rsidRDefault="0099245E" w:rsidP="00E57F26">
      <w:pPr>
        <w:pStyle w:val="Odstavecseseznamem"/>
        <w:numPr>
          <w:ilvl w:val="0"/>
          <w:numId w:val="18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532B3B">
        <w:rPr>
          <w:rFonts w:ascii="Calibri" w:hAnsi="Calibri" w:cs="Calibri"/>
          <w:color w:val="000000" w:themeColor="text1"/>
        </w:rPr>
        <w:t>vydat pro účetní jednotky, které vedou účetnictví podle vyhlášky č. 410/2009 Sb.</w:t>
      </w:r>
      <w:r w:rsidR="00CF43C0" w:rsidRPr="00532B3B">
        <w:rPr>
          <w:rStyle w:val="Znakapoznpodarou"/>
          <w:rFonts w:ascii="Calibri" w:hAnsi="Calibri" w:cs="Calibri"/>
          <w:color w:val="000000" w:themeColor="text1"/>
        </w:rPr>
        <w:footnoteReference w:id="7"/>
      </w:r>
      <w:r w:rsidRPr="00532B3B">
        <w:rPr>
          <w:rFonts w:ascii="Calibri" w:hAnsi="Calibri" w:cs="Calibri"/>
          <w:color w:val="000000" w:themeColor="text1"/>
        </w:rPr>
        <w:t xml:space="preserve">, </w:t>
      </w:r>
      <w:r w:rsidR="00F11A2D">
        <w:rPr>
          <w:rFonts w:ascii="Calibri" w:hAnsi="Calibri" w:cs="Calibri"/>
          <w:color w:val="000000" w:themeColor="text1"/>
        </w:rPr>
        <w:t>č</w:t>
      </w:r>
      <w:r w:rsidRPr="00532B3B">
        <w:rPr>
          <w:rFonts w:ascii="Calibri" w:hAnsi="Calibri" w:cs="Calibri"/>
          <w:color w:val="000000" w:themeColor="text1"/>
        </w:rPr>
        <w:t>eský účetní standard, který by stanovil účetní metod</w:t>
      </w:r>
      <w:r w:rsidR="00487385">
        <w:rPr>
          <w:rFonts w:ascii="Calibri" w:hAnsi="Calibri" w:cs="Calibri"/>
          <w:color w:val="000000" w:themeColor="text1"/>
        </w:rPr>
        <w:t>y</w:t>
      </w:r>
      <w:r w:rsidRPr="00532B3B">
        <w:rPr>
          <w:rFonts w:ascii="Calibri" w:hAnsi="Calibri" w:cs="Calibri"/>
          <w:color w:val="000000" w:themeColor="text1"/>
        </w:rPr>
        <w:t xml:space="preserve"> a postup</w:t>
      </w:r>
      <w:r w:rsidR="00487385">
        <w:rPr>
          <w:rFonts w:ascii="Calibri" w:hAnsi="Calibri" w:cs="Calibri"/>
          <w:color w:val="000000" w:themeColor="text1"/>
        </w:rPr>
        <w:t>y</w:t>
      </w:r>
      <w:r w:rsidRPr="00532B3B">
        <w:rPr>
          <w:rFonts w:ascii="Calibri" w:hAnsi="Calibri" w:cs="Calibri"/>
          <w:color w:val="000000" w:themeColor="text1"/>
        </w:rPr>
        <w:t xml:space="preserve"> účtování finanční</w:t>
      </w:r>
      <w:r w:rsidR="00487385">
        <w:rPr>
          <w:rFonts w:ascii="Calibri" w:hAnsi="Calibri" w:cs="Calibri"/>
          <w:color w:val="000000" w:themeColor="text1"/>
        </w:rPr>
        <w:t>ho</w:t>
      </w:r>
      <w:r w:rsidRPr="00532B3B">
        <w:rPr>
          <w:rFonts w:ascii="Calibri" w:hAnsi="Calibri" w:cs="Calibri"/>
          <w:color w:val="000000" w:themeColor="text1"/>
        </w:rPr>
        <w:t xml:space="preserve"> majetk</w:t>
      </w:r>
      <w:r w:rsidR="00487385">
        <w:rPr>
          <w:rFonts w:ascii="Calibri" w:hAnsi="Calibri" w:cs="Calibri"/>
          <w:color w:val="000000" w:themeColor="text1"/>
        </w:rPr>
        <w:t>u</w:t>
      </w:r>
      <w:r w:rsidRPr="00532B3B">
        <w:rPr>
          <w:rFonts w:ascii="Calibri" w:hAnsi="Calibri" w:cs="Calibri"/>
          <w:color w:val="000000" w:themeColor="text1"/>
        </w:rPr>
        <w:t>.</w:t>
      </w:r>
    </w:p>
    <w:p w14:paraId="60859A80" w14:textId="77777777" w:rsidR="005D6DB2" w:rsidRDefault="005D6DB2" w:rsidP="00532B3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084FDB7" w14:textId="77777777" w:rsidR="00532B3B" w:rsidRPr="00532B3B" w:rsidRDefault="00532B3B" w:rsidP="00532B3B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090612ED" w14:textId="77777777" w:rsidR="006110CE" w:rsidRPr="00485081" w:rsidRDefault="008A60C3" w:rsidP="00532B3B">
      <w:pPr>
        <w:spacing w:after="0" w:line="240" w:lineRule="auto"/>
        <w:jc w:val="center"/>
        <w:rPr>
          <w:rFonts w:cstheme="minorHAnsi"/>
          <w:b/>
          <w:sz w:val="28"/>
          <w:szCs w:val="24"/>
        </w:rPr>
      </w:pPr>
      <w:r w:rsidRPr="00485081">
        <w:rPr>
          <w:rFonts w:cstheme="minorHAnsi"/>
          <w:b/>
          <w:sz w:val="28"/>
          <w:szCs w:val="24"/>
        </w:rPr>
        <w:t>IV</w:t>
      </w:r>
      <w:r w:rsidR="006110CE" w:rsidRPr="00485081">
        <w:rPr>
          <w:rFonts w:cstheme="minorHAnsi"/>
          <w:b/>
          <w:sz w:val="28"/>
          <w:szCs w:val="24"/>
        </w:rPr>
        <w:t>. Podrobné informace ke zjištěným skutečnostem</w:t>
      </w:r>
    </w:p>
    <w:p w14:paraId="4910BF7A" w14:textId="77777777" w:rsidR="00A75629" w:rsidRPr="008E2EEE" w:rsidRDefault="00A75629" w:rsidP="00532B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28E8533" w14:textId="77777777" w:rsidR="00C2589C" w:rsidRPr="00D55EB6" w:rsidRDefault="00F87D81" w:rsidP="00532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6E46CD">
        <w:rPr>
          <w:rFonts w:cstheme="minorHAnsi"/>
          <w:b/>
          <w:sz w:val="24"/>
          <w:szCs w:val="24"/>
        </w:rPr>
        <w:t>1</w:t>
      </w:r>
      <w:r w:rsidR="000C145F" w:rsidRPr="006E46CD">
        <w:rPr>
          <w:rFonts w:cstheme="minorHAnsi"/>
          <w:b/>
          <w:sz w:val="24"/>
          <w:szCs w:val="24"/>
        </w:rPr>
        <w:t xml:space="preserve">. </w:t>
      </w:r>
      <w:r w:rsidRPr="006E46CD">
        <w:rPr>
          <w:rFonts w:cstheme="minorHAnsi"/>
          <w:b/>
          <w:sz w:val="24"/>
          <w:szCs w:val="24"/>
        </w:rPr>
        <w:t>Vlastnická pol</w:t>
      </w:r>
      <w:r w:rsidRPr="007823CA">
        <w:rPr>
          <w:rFonts w:cstheme="minorHAnsi"/>
          <w:b/>
          <w:sz w:val="24"/>
          <w:szCs w:val="24"/>
        </w:rPr>
        <w:t>itika</w:t>
      </w:r>
    </w:p>
    <w:p w14:paraId="5098B777" w14:textId="77777777" w:rsidR="00532B3B" w:rsidRDefault="00532B3B" w:rsidP="00532B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C32414" w14:textId="746AC4E8" w:rsidR="0019509D" w:rsidRPr="00D14358" w:rsidRDefault="0019509D" w:rsidP="00532B3B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4358">
        <w:rPr>
          <w:rFonts w:cstheme="minorHAnsi"/>
          <w:sz w:val="24"/>
          <w:szCs w:val="24"/>
        </w:rPr>
        <w:t>Usnesením vlády Č</w:t>
      </w:r>
      <w:r w:rsidR="00F11A2D">
        <w:rPr>
          <w:rFonts w:cstheme="minorHAnsi"/>
          <w:sz w:val="24"/>
          <w:szCs w:val="24"/>
        </w:rPr>
        <w:t>R</w:t>
      </w:r>
      <w:r w:rsidRPr="00D14358">
        <w:rPr>
          <w:rFonts w:cstheme="minorHAnsi"/>
          <w:sz w:val="24"/>
          <w:szCs w:val="24"/>
        </w:rPr>
        <w:t xml:space="preserve"> ze dne 25. července 2012 č. 569</w:t>
      </w:r>
      <w:r w:rsidR="00487385">
        <w:rPr>
          <w:rFonts w:cstheme="minorHAnsi"/>
          <w:sz w:val="24"/>
          <w:szCs w:val="24"/>
        </w:rPr>
        <w:t>,</w:t>
      </w:r>
      <w:r w:rsidRPr="00D14358">
        <w:rPr>
          <w:rFonts w:cstheme="minorHAnsi"/>
          <w:sz w:val="24"/>
          <w:szCs w:val="24"/>
        </w:rPr>
        <w:t xml:space="preserve"> </w:t>
      </w:r>
      <w:r w:rsidRPr="00487385">
        <w:rPr>
          <w:rFonts w:cstheme="minorHAnsi"/>
          <w:i/>
          <w:sz w:val="24"/>
          <w:szCs w:val="24"/>
        </w:rPr>
        <w:t>k pravidlům pro výběr odborníků do funkcí ředitelů a členů dozorčích rad státních podniků a do funkcí členů orgánů obchodních společností s majetkovou účastí státu a obchodních společností s majetkovou účastí územních samosprávných celků</w:t>
      </w:r>
      <w:r w:rsidR="00487385">
        <w:rPr>
          <w:rFonts w:cstheme="minorHAnsi"/>
          <w:sz w:val="24"/>
          <w:szCs w:val="24"/>
        </w:rPr>
        <w:t>,</w:t>
      </w:r>
      <w:r w:rsidRPr="00D14358">
        <w:rPr>
          <w:rFonts w:cstheme="minorHAnsi"/>
          <w:sz w:val="24"/>
          <w:szCs w:val="24"/>
        </w:rPr>
        <w:t xml:space="preserve"> byl mimo jiné ministr</w:t>
      </w:r>
      <w:r w:rsidR="00BC74BA" w:rsidRPr="00D14358">
        <w:rPr>
          <w:rFonts w:cstheme="minorHAnsi"/>
          <w:sz w:val="24"/>
          <w:szCs w:val="24"/>
        </w:rPr>
        <w:t>u</w:t>
      </w:r>
      <w:r w:rsidRPr="00D14358">
        <w:rPr>
          <w:rFonts w:cstheme="minorHAnsi"/>
          <w:sz w:val="24"/>
          <w:szCs w:val="24"/>
        </w:rPr>
        <w:t xml:space="preserve"> financí a </w:t>
      </w:r>
      <w:r w:rsidR="00BC74BA" w:rsidRPr="00D14358">
        <w:rPr>
          <w:rFonts w:cstheme="minorHAnsi"/>
          <w:sz w:val="24"/>
          <w:szCs w:val="24"/>
        </w:rPr>
        <w:t xml:space="preserve">ministru </w:t>
      </w:r>
      <w:r w:rsidR="00DF534B">
        <w:rPr>
          <w:rFonts w:cstheme="minorHAnsi"/>
          <w:sz w:val="24"/>
          <w:szCs w:val="24"/>
        </w:rPr>
        <w:t>průmyslu a </w:t>
      </w:r>
      <w:r w:rsidRPr="00D14358">
        <w:rPr>
          <w:rFonts w:cstheme="minorHAnsi"/>
          <w:sz w:val="24"/>
          <w:szCs w:val="24"/>
        </w:rPr>
        <w:t xml:space="preserve">obchodu uložen úkol zpracovat návrh strategického dokumentu </w:t>
      </w:r>
      <w:r w:rsidR="00F11A2D">
        <w:rPr>
          <w:rFonts w:cstheme="minorHAnsi"/>
          <w:sz w:val="24"/>
          <w:szCs w:val="24"/>
        </w:rPr>
        <w:t>o v</w:t>
      </w:r>
      <w:r w:rsidRPr="00D14358">
        <w:rPr>
          <w:rFonts w:cstheme="minorHAnsi"/>
          <w:sz w:val="24"/>
          <w:szCs w:val="24"/>
        </w:rPr>
        <w:t>lastnick</w:t>
      </w:r>
      <w:r w:rsidR="00F11A2D">
        <w:rPr>
          <w:rFonts w:cstheme="minorHAnsi"/>
          <w:sz w:val="24"/>
          <w:szCs w:val="24"/>
        </w:rPr>
        <w:t>é</w:t>
      </w:r>
      <w:r w:rsidRPr="00D14358">
        <w:rPr>
          <w:rFonts w:cstheme="minorHAnsi"/>
          <w:sz w:val="24"/>
          <w:szCs w:val="24"/>
        </w:rPr>
        <w:t xml:space="preserve"> politi</w:t>
      </w:r>
      <w:r w:rsidR="00F11A2D">
        <w:rPr>
          <w:rFonts w:cstheme="minorHAnsi"/>
          <w:sz w:val="24"/>
          <w:szCs w:val="24"/>
        </w:rPr>
        <w:t>ce</w:t>
      </w:r>
      <w:r w:rsidR="00DF534B">
        <w:rPr>
          <w:rFonts w:cstheme="minorHAnsi"/>
          <w:sz w:val="24"/>
          <w:szCs w:val="24"/>
        </w:rPr>
        <w:t xml:space="preserve"> státu a </w:t>
      </w:r>
      <w:r w:rsidRPr="00D14358">
        <w:rPr>
          <w:rFonts w:cstheme="minorHAnsi"/>
          <w:sz w:val="24"/>
          <w:szCs w:val="24"/>
        </w:rPr>
        <w:t xml:space="preserve">předložit jej do 31. 12. 2012 vládě. Mělo se jednat o širší strategii, která </w:t>
      </w:r>
      <w:r w:rsidR="00487385">
        <w:rPr>
          <w:rFonts w:cstheme="minorHAnsi"/>
          <w:sz w:val="24"/>
          <w:szCs w:val="24"/>
        </w:rPr>
        <w:t>měla být</w:t>
      </w:r>
      <w:r w:rsidRPr="00D14358">
        <w:rPr>
          <w:rFonts w:cstheme="minorHAnsi"/>
          <w:sz w:val="24"/>
          <w:szCs w:val="24"/>
        </w:rPr>
        <w:t xml:space="preserve"> veřejně známá, transparentní a</w:t>
      </w:r>
      <w:r w:rsidR="00487385">
        <w:rPr>
          <w:rFonts w:cstheme="minorHAnsi"/>
          <w:sz w:val="24"/>
          <w:szCs w:val="24"/>
        </w:rPr>
        <w:t> měla</w:t>
      </w:r>
      <w:r w:rsidRPr="00D14358">
        <w:rPr>
          <w:rFonts w:cstheme="minorHAnsi"/>
          <w:sz w:val="24"/>
          <w:szCs w:val="24"/>
        </w:rPr>
        <w:t xml:space="preserve"> definovat, jak si stát představuje svoji pozici jako vlastníka státních podniků a obchodních společností s majetkovou účastí státu.</w:t>
      </w:r>
      <w:r w:rsidR="00CA5E7E" w:rsidRPr="00D14358">
        <w:rPr>
          <w:rFonts w:cstheme="minorHAnsi"/>
          <w:sz w:val="24"/>
          <w:szCs w:val="24"/>
        </w:rPr>
        <w:t xml:space="preserve"> </w:t>
      </w:r>
    </w:p>
    <w:p w14:paraId="124BD08F" w14:textId="77777777" w:rsidR="00C2589C" w:rsidRPr="00D14358" w:rsidRDefault="00C2589C" w:rsidP="00532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18CC7C2" w14:textId="72AA646E" w:rsidR="00603E5C" w:rsidRPr="00865072" w:rsidRDefault="0019509D" w:rsidP="00532B3B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eastAsia="cs-CZ"/>
        </w:rPr>
      </w:pPr>
      <w:r w:rsidRPr="00D14358">
        <w:rPr>
          <w:rFonts w:cstheme="minorHAnsi"/>
          <w:sz w:val="24"/>
          <w:szCs w:val="24"/>
        </w:rPr>
        <w:t xml:space="preserve">Usnesením vlády ČR ze dne 16. </w:t>
      </w:r>
      <w:r w:rsidR="00E0469C">
        <w:rPr>
          <w:rFonts w:cstheme="minorHAnsi"/>
          <w:sz w:val="24"/>
          <w:szCs w:val="24"/>
        </w:rPr>
        <w:t xml:space="preserve">1. </w:t>
      </w:r>
      <w:r w:rsidRPr="00D14358">
        <w:rPr>
          <w:rFonts w:cstheme="minorHAnsi"/>
          <w:sz w:val="24"/>
          <w:szCs w:val="24"/>
        </w:rPr>
        <w:t>2013 č. 39</w:t>
      </w:r>
      <w:r w:rsidR="00F11A2D">
        <w:rPr>
          <w:rFonts w:cstheme="minorHAnsi"/>
          <w:sz w:val="24"/>
          <w:szCs w:val="24"/>
        </w:rPr>
        <w:t>,</w:t>
      </w:r>
      <w:r w:rsidRPr="00D14358">
        <w:rPr>
          <w:rFonts w:cstheme="minorHAnsi"/>
          <w:sz w:val="24"/>
          <w:szCs w:val="24"/>
        </w:rPr>
        <w:t xml:space="preserve"> </w:t>
      </w:r>
      <w:r w:rsidRPr="00485081">
        <w:rPr>
          <w:rFonts w:cstheme="minorHAnsi"/>
          <w:i/>
          <w:sz w:val="24"/>
          <w:szCs w:val="24"/>
        </w:rPr>
        <w:t>o Strategii vlády v boji s korupcí na období let 2013 a 2014</w:t>
      </w:r>
      <w:r w:rsidR="00F11A2D">
        <w:rPr>
          <w:rFonts w:cstheme="minorHAnsi"/>
          <w:sz w:val="24"/>
          <w:szCs w:val="24"/>
        </w:rPr>
        <w:t>,</w:t>
      </w:r>
      <w:r w:rsidRPr="00D14358">
        <w:rPr>
          <w:rFonts w:cstheme="minorHAnsi"/>
          <w:sz w:val="24"/>
          <w:szCs w:val="24"/>
        </w:rPr>
        <w:t xml:space="preserve"> byl zrušen úkol zpracovat návrh strategického dokumentu </w:t>
      </w:r>
      <w:r w:rsidR="00F11A2D">
        <w:rPr>
          <w:rFonts w:cstheme="minorHAnsi"/>
          <w:sz w:val="24"/>
          <w:szCs w:val="24"/>
        </w:rPr>
        <w:t>o v</w:t>
      </w:r>
      <w:r w:rsidRPr="00D14358">
        <w:rPr>
          <w:rFonts w:cstheme="minorHAnsi"/>
          <w:sz w:val="24"/>
          <w:szCs w:val="24"/>
        </w:rPr>
        <w:t>lastnick</w:t>
      </w:r>
      <w:r w:rsidR="00F11A2D">
        <w:rPr>
          <w:rFonts w:cstheme="minorHAnsi"/>
          <w:sz w:val="24"/>
          <w:szCs w:val="24"/>
        </w:rPr>
        <w:t>é</w:t>
      </w:r>
      <w:r w:rsidRPr="00D14358">
        <w:rPr>
          <w:rFonts w:cstheme="minorHAnsi"/>
          <w:sz w:val="24"/>
          <w:szCs w:val="24"/>
        </w:rPr>
        <w:t xml:space="preserve"> politi</w:t>
      </w:r>
      <w:r w:rsidR="00F11A2D">
        <w:rPr>
          <w:rFonts w:cstheme="minorHAnsi"/>
          <w:sz w:val="24"/>
          <w:szCs w:val="24"/>
        </w:rPr>
        <w:t>ce</w:t>
      </w:r>
      <w:r w:rsidRPr="00D14358">
        <w:rPr>
          <w:rFonts w:cstheme="minorHAnsi"/>
          <w:sz w:val="24"/>
          <w:szCs w:val="24"/>
        </w:rPr>
        <w:t xml:space="preserve"> státu stanovený usnesením vlády ČR ze dne 25. </w:t>
      </w:r>
      <w:r w:rsidR="00787513">
        <w:rPr>
          <w:rFonts w:cstheme="minorHAnsi"/>
          <w:sz w:val="24"/>
          <w:szCs w:val="24"/>
        </w:rPr>
        <w:t xml:space="preserve">7. </w:t>
      </w:r>
      <w:r w:rsidRPr="00D14358">
        <w:rPr>
          <w:rFonts w:cstheme="minorHAnsi"/>
          <w:sz w:val="24"/>
          <w:szCs w:val="24"/>
        </w:rPr>
        <w:t xml:space="preserve">2012 č. 569 a současně byl schválen dokument </w:t>
      </w:r>
      <w:r w:rsidRPr="00485081">
        <w:rPr>
          <w:rFonts w:cstheme="minorHAnsi"/>
          <w:bCs/>
          <w:i/>
          <w:sz w:val="24"/>
          <w:szCs w:val="24"/>
        </w:rPr>
        <w:t xml:space="preserve">Od korupce k integritě </w:t>
      </w:r>
      <w:r w:rsidR="00F11A2D" w:rsidRPr="00485081">
        <w:rPr>
          <w:rFonts w:cstheme="minorHAnsi"/>
          <w:bCs/>
          <w:i/>
          <w:sz w:val="24"/>
          <w:szCs w:val="24"/>
        </w:rPr>
        <w:t>–</w:t>
      </w:r>
      <w:r w:rsidRPr="00485081">
        <w:rPr>
          <w:rFonts w:cstheme="minorHAnsi"/>
          <w:bCs/>
          <w:i/>
          <w:sz w:val="24"/>
          <w:szCs w:val="24"/>
        </w:rPr>
        <w:t xml:space="preserve"> Strategie vlády v boji s korupcí na období let 2013 a</w:t>
      </w:r>
      <w:r w:rsidR="00787513" w:rsidRPr="00485081">
        <w:rPr>
          <w:rFonts w:cstheme="minorHAnsi"/>
          <w:bCs/>
          <w:i/>
          <w:sz w:val="24"/>
          <w:szCs w:val="24"/>
        </w:rPr>
        <w:t> </w:t>
      </w:r>
      <w:r w:rsidRPr="00485081">
        <w:rPr>
          <w:rFonts w:cstheme="minorHAnsi"/>
          <w:bCs/>
          <w:i/>
          <w:sz w:val="24"/>
          <w:szCs w:val="24"/>
        </w:rPr>
        <w:t>2014</w:t>
      </w:r>
      <w:r w:rsidR="00603E5C" w:rsidRPr="00485081">
        <w:rPr>
          <w:rFonts w:ascii="Calibri" w:hAnsi="Calibri" w:cs="Calibri"/>
          <w:sz w:val="24"/>
          <w:szCs w:val="24"/>
          <w:lang w:eastAsia="cs-CZ"/>
        </w:rPr>
        <w:t xml:space="preserve">, </w:t>
      </w:r>
      <w:r w:rsidR="00603E5C" w:rsidRPr="00D14358">
        <w:rPr>
          <w:rFonts w:ascii="Calibri" w:hAnsi="Calibri" w:cs="Calibri"/>
          <w:sz w:val="24"/>
          <w:szCs w:val="24"/>
          <w:lang w:eastAsia="cs-CZ"/>
        </w:rPr>
        <w:t xml:space="preserve">který zahrnoval v části IV. </w:t>
      </w:r>
      <w:r w:rsidR="00603E5C" w:rsidRPr="00485081">
        <w:rPr>
          <w:rFonts w:ascii="Calibri" w:hAnsi="Calibri" w:cs="Calibri"/>
          <w:i/>
          <w:sz w:val="24"/>
          <w:szCs w:val="24"/>
          <w:lang w:eastAsia="cs-CZ"/>
        </w:rPr>
        <w:t>Seznam protikorupčních opatření</w:t>
      </w:r>
      <w:r w:rsidR="00603E5C" w:rsidRPr="00D14358">
        <w:rPr>
          <w:rFonts w:ascii="Calibri" w:hAnsi="Calibri" w:cs="Calibri"/>
          <w:sz w:val="24"/>
          <w:szCs w:val="24"/>
          <w:lang w:eastAsia="cs-CZ"/>
        </w:rPr>
        <w:t xml:space="preserve"> 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část 1.7 </w:t>
      </w:r>
      <w:r w:rsidR="00603E5C" w:rsidRPr="00485081">
        <w:rPr>
          <w:rFonts w:ascii="Calibri" w:hAnsi="Calibri" w:cs="Calibri"/>
          <w:i/>
          <w:sz w:val="24"/>
          <w:szCs w:val="24"/>
          <w:lang w:eastAsia="cs-CZ"/>
        </w:rPr>
        <w:t>Vlastnická politika státu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. Tímto usnesením vláda uložila MF a ostatním resortům, mj. i </w:t>
      </w:r>
      <w:r w:rsidR="00D5264A" w:rsidRPr="00865072">
        <w:rPr>
          <w:rFonts w:ascii="Calibri" w:hAnsi="Calibri" w:cs="Calibri"/>
          <w:sz w:val="24"/>
          <w:szCs w:val="24"/>
          <w:lang w:eastAsia="cs-CZ"/>
        </w:rPr>
        <w:t>MPO a MZe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>, vypracovat materiál</w:t>
      </w:r>
      <w:r w:rsidR="001D45E6">
        <w:rPr>
          <w:rFonts w:ascii="Calibri" w:hAnsi="Calibri" w:cs="Calibri"/>
          <w:sz w:val="24"/>
          <w:szCs w:val="24"/>
          <w:lang w:eastAsia="cs-CZ"/>
        </w:rPr>
        <w:t>, který by obsahoval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vlastnickou politiku státu v jednotlivých odvětvích hospodářského a společenského života</w:t>
      </w:r>
      <w:r w:rsidR="001D45E6">
        <w:rPr>
          <w:rFonts w:ascii="Calibri" w:hAnsi="Calibri" w:cs="Calibri"/>
          <w:sz w:val="24"/>
          <w:szCs w:val="24"/>
          <w:lang w:eastAsia="cs-CZ"/>
        </w:rPr>
        <w:t>,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vymez</w:t>
      </w:r>
      <w:r w:rsidR="001D45E6">
        <w:rPr>
          <w:rFonts w:ascii="Calibri" w:hAnsi="Calibri" w:cs="Calibri"/>
          <w:sz w:val="24"/>
          <w:szCs w:val="24"/>
          <w:lang w:eastAsia="cs-CZ"/>
        </w:rPr>
        <w:t>il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potřebn</w:t>
      </w:r>
      <w:r w:rsidR="001D45E6">
        <w:rPr>
          <w:rFonts w:ascii="Calibri" w:hAnsi="Calibri" w:cs="Calibri"/>
          <w:sz w:val="24"/>
          <w:szCs w:val="24"/>
          <w:lang w:eastAsia="cs-CZ"/>
        </w:rPr>
        <w:t>ý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a nepotřebn</w:t>
      </w:r>
      <w:r w:rsidR="001D45E6">
        <w:rPr>
          <w:rFonts w:ascii="Calibri" w:hAnsi="Calibri" w:cs="Calibri"/>
          <w:sz w:val="24"/>
          <w:szCs w:val="24"/>
          <w:lang w:eastAsia="cs-CZ"/>
        </w:rPr>
        <w:t>ý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majet</w:t>
      </w:r>
      <w:r w:rsidR="001D45E6">
        <w:rPr>
          <w:rFonts w:ascii="Calibri" w:hAnsi="Calibri" w:cs="Calibri"/>
          <w:sz w:val="24"/>
          <w:szCs w:val="24"/>
          <w:lang w:eastAsia="cs-CZ"/>
        </w:rPr>
        <w:t>e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>k k plnění jejich úkolů</w:t>
      </w:r>
      <w:r w:rsidR="001D45E6">
        <w:rPr>
          <w:rFonts w:ascii="Calibri" w:hAnsi="Calibri" w:cs="Calibri"/>
          <w:sz w:val="24"/>
          <w:szCs w:val="24"/>
          <w:lang w:eastAsia="cs-CZ"/>
        </w:rPr>
        <w:t xml:space="preserve"> a vyhodnotil význam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existence státních podniků či majetkov</w:t>
      </w:r>
      <w:r w:rsidR="001D45E6">
        <w:rPr>
          <w:rFonts w:ascii="Calibri" w:hAnsi="Calibri" w:cs="Calibri"/>
          <w:sz w:val="24"/>
          <w:szCs w:val="24"/>
          <w:lang w:eastAsia="cs-CZ"/>
        </w:rPr>
        <w:t>ých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účast</w:t>
      </w:r>
      <w:r w:rsidR="001D45E6">
        <w:rPr>
          <w:rFonts w:ascii="Calibri" w:hAnsi="Calibri" w:cs="Calibri"/>
          <w:sz w:val="24"/>
          <w:szCs w:val="24"/>
          <w:lang w:eastAsia="cs-CZ"/>
        </w:rPr>
        <w:t>í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 xml:space="preserve"> státu v obchodních společnostech z hlediska dlouhodobé strategie v jednotlivých odvětvích ekonomiky s</w:t>
      </w:r>
      <w:r w:rsidR="001D45E6">
        <w:rPr>
          <w:rFonts w:ascii="Calibri" w:hAnsi="Calibri" w:cs="Calibri"/>
          <w:sz w:val="24"/>
          <w:szCs w:val="24"/>
          <w:lang w:eastAsia="cs-CZ"/>
        </w:rPr>
        <w:t> </w:t>
      </w:r>
      <w:r w:rsidR="00603E5C" w:rsidRPr="00865072">
        <w:rPr>
          <w:rFonts w:ascii="Calibri" w:hAnsi="Calibri" w:cs="Calibri"/>
          <w:sz w:val="24"/>
          <w:szCs w:val="24"/>
          <w:lang w:eastAsia="cs-CZ"/>
        </w:rPr>
        <w:t>případným návrhem na jejich transformaci či privatizaci. V následujících letech byly původně stanovené termíny plnění úkolu odsouvány.</w:t>
      </w:r>
    </w:p>
    <w:p w14:paraId="10D80DBC" w14:textId="77777777" w:rsidR="00C43CFD" w:rsidRPr="00686EBC" w:rsidRDefault="00C43CFD" w:rsidP="00532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B9397E0" w14:textId="3844D7E7" w:rsidR="0019509D" w:rsidRPr="00D14358" w:rsidRDefault="0019509D" w:rsidP="00532B3B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</w:rPr>
      </w:pPr>
      <w:r w:rsidRPr="00686EBC">
        <w:rPr>
          <w:rFonts w:cstheme="minorHAnsi"/>
          <w:sz w:val="24"/>
          <w:szCs w:val="24"/>
        </w:rPr>
        <w:t xml:space="preserve">Usnesením vlády ČR ze dne 15. </w:t>
      </w:r>
      <w:r w:rsidR="00E0469C">
        <w:rPr>
          <w:rFonts w:cstheme="minorHAnsi"/>
          <w:sz w:val="24"/>
          <w:szCs w:val="24"/>
        </w:rPr>
        <w:t xml:space="preserve">12. </w:t>
      </w:r>
      <w:r w:rsidRPr="00686EBC">
        <w:rPr>
          <w:rFonts w:cstheme="minorHAnsi"/>
          <w:sz w:val="24"/>
          <w:szCs w:val="24"/>
        </w:rPr>
        <w:t>2014 č. 1057</w:t>
      </w:r>
      <w:r w:rsidR="00A96470">
        <w:rPr>
          <w:rFonts w:cstheme="minorHAnsi"/>
          <w:sz w:val="24"/>
          <w:szCs w:val="24"/>
        </w:rPr>
        <w:t>,</w:t>
      </w:r>
      <w:r w:rsidRPr="00686EBC">
        <w:rPr>
          <w:rFonts w:cstheme="minorHAnsi"/>
          <w:sz w:val="24"/>
          <w:szCs w:val="24"/>
        </w:rPr>
        <w:t xml:space="preserve"> </w:t>
      </w:r>
      <w:r w:rsidRPr="00485081">
        <w:rPr>
          <w:rFonts w:cstheme="minorHAnsi"/>
          <w:i/>
          <w:sz w:val="24"/>
          <w:szCs w:val="24"/>
        </w:rPr>
        <w:t>o Vládní koncepci boje s korupcí na léta 2015 až 2017 a o Akčním plánu boje s korupcí na rok 2015</w:t>
      </w:r>
      <w:r w:rsidR="00A96470">
        <w:rPr>
          <w:rFonts w:cstheme="minorHAnsi"/>
          <w:sz w:val="24"/>
          <w:szCs w:val="24"/>
        </w:rPr>
        <w:t>,</w:t>
      </w:r>
      <w:r w:rsidRPr="00D14358">
        <w:rPr>
          <w:rFonts w:cstheme="minorHAnsi"/>
          <w:sz w:val="24"/>
          <w:szCs w:val="24"/>
        </w:rPr>
        <w:t xml:space="preserve"> vláda schválila mimo jiné </w:t>
      </w:r>
      <w:r w:rsidRPr="00485081">
        <w:rPr>
          <w:rFonts w:cstheme="minorHAnsi"/>
          <w:i/>
          <w:sz w:val="24"/>
          <w:szCs w:val="24"/>
        </w:rPr>
        <w:t>Akční plán boje s korupcí na rok 2015</w:t>
      </w:r>
      <w:r w:rsidRPr="00D14358">
        <w:rPr>
          <w:rFonts w:cstheme="minorHAnsi"/>
          <w:sz w:val="24"/>
          <w:szCs w:val="24"/>
        </w:rPr>
        <w:t xml:space="preserve"> (dále také „Akční plán“). Jednou ze čtyř priorit Akčního plánu je hospodárné nakládání s majetkem státu. Významnou součástí uvedené priority je </w:t>
      </w:r>
      <w:r w:rsidR="00603E5C" w:rsidRPr="00D14358">
        <w:rPr>
          <w:rFonts w:cstheme="minorHAnsi"/>
          <w:sz w:val="24"/>
          <w:szCs w:val="24"/>
        </w:rPr>
        <w:t xml:space="preserve">nadále </w:t>
      </w:r>
      <w:r w:rsidRPr="00D14358">
        <w:rPr>
          <w:rFonts w:cstheme="minorHAnsi"/>
          <w:sz w:val="24"/>
          <w:szCs w:val="24"/>
        </w:rPr>
        <w:t xml:space="preserve">vytvoření strategie vlastnické politiky státu. </w:t>
      </w:r>
      <w:r w:rsidR="00603E5C" w:rsidRPr="00D14358">
        <w:rPr>
          <w:rFonts w:cstheme="minorHAnsi"/>
          <w:sz w:val="24"/>
          <w:szCs w:val="24"/>
        </w:rPr>
        <w:t>Gestorem</w:t>
      </w:r>
      <w:r w:rsidRPr="00D14358">
        <w:rPr>
          <w:rFonts w:cstheme="minorHAnsi"/>
          <w:sz w:val="24"/>
          <w:szCs w:val="24"/>
        </w:rPr>
        <w:t xml:space="preserve"> zpracování je </w:t>
      </w:r>
      <w:r w:rsidR="00603E5C" w:rsidRPr="00D14358">
        <w:rPr>
          <w:rFonts w:cstheme="minorHAnsi"/>
          <w:sz w:val="24"/>
          <w:szCs w:val="24"/>
        </w:rPr>
        <w:t>MF</w:t>
      </w:r>
      <w:r w:rsidRPr="00D14358">
        <w:rPr>
          <w:rFonts w:cstheme="minorHAnsi"/>
          <w:sz w:val="24"/>
          <w:szCs w:val="24"/>
        </w:rPr>
        <w:t xml:space="preserve">, které </w:t>
      </w:r>
      <w:r w:rsidR="00917E50" w:rsidRPr="00D14358">
        <w:rPr>
          <w:rFonts w:cstheme="minorHAnsi"/>
          <w:sz w:val="24"/>
          <w:szCs w:val="24"/>
        </w:rPr>
        <w:t>má připravit</w:t>
      </w:r>
      <w:r w:rsidRPr="00D14358">
        <w:rPr>
          <w:rFonts w:cstheme="minorHAnsi"/>
          <w:sz w:val="24"/>
          <w:szCs w:val="24"/>
        </w:rPr>
        <w:t xml:space="preserve"> návrh dlouhodobé strategie výkonu vlastnických práv státu a základn</w:t>
      </w:r>
      <w:r w:rsidR="00DF534B">
        <w:rPr>
          <w:rFonts w:cstheme="minorHAnsi"/>
          <w:sz w:val="24"/>
          <w:szCs w:val="24"/>
        </w:rPr>
        <w:t>í cíle a roli státu ve správě a </w:t>
      </w:r>
      <w:r w:rsidRPr="00D14358">
        <w:rPr>
          <w:rFonts w:cstheme="minorHAnsi"/>
          <w:sz w:val="24"/>
          <w:szCs w:val="24"/>
        </w:rPr>
        <w:t>řízení státem vlastněných společností a společností s majetkovou účastí státu. Zpráva o stavu a způsobu plnění úkolů obsažených v Akčním plánu má být podána do 31.</w:t>
      </w:r>
      <w:r w:rsidR="002E0AC4" w:rsidRPr="00D14358">
        <w:rPr>
          <w:rFonts w:cstheme="minorHAnsi"/>
          <w:sz w:val="24"/>
          <w:szCs w:val="24"/>
        </w:rPr>
        <w:t> </w:t>
      </w:r>
      <w:r w:rsidR="00E0469C">
        <w:rPr>
          <w:rFonts w:cstheme="minorHAnsi"/>
          <w:sz w:val="24"/>
          <w:szCs w:val="24"/>
        </w:rPr>
        <w:t>1. </w:t>
      </w:r>
      <w:r w:rsidRPr="00D14358">
        <w:rPr>
          <w:rFonts w:cstheme="minorHAnsi"/>
          <w:sz w:val="24"/>
          <w:szCs w:val="24"/>
        </w:rPr>
        <w:t>2016.</w:t>
      </w:r>
    </w:p>
    <w:p w14:paraId="783642A7" w14:textId="77777777" w:rsidR="00F22902" w:rsidRPr="00D14358" w:rsidRDefault="00F22902" w:rsidP="00532B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4A7F3C2" w14:textId="22115121" w:rsidR="00F22902" w:rsidRPr="00D14358" w:rsidRDefault="00F22902" w:rsidP="00532B3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sz w:val="24"/>
          <w:szCs w:val="24"/>
        </w:rPr>
        <w:t>V průběhu</w:t>
      </w:r>
      <w:r w:rsidR="00E57F26">
        <w:rPr>
          <w:rFonts w:cstheme="minorHAnsi"/>
          <w:sz w:val="24"/>
          <w:szCs w:val="24"/>
        </w:rPr>
        <w:t xml:space="preserve"> </w:t>
      </w:r>
      <w:r w:rsidRPr="00D14358">
        <w:rPr>
          <w:rFonts w:cstheme="minorHAnsi"/>
          <w:sz w:val="24"/>
          <w:szCs w:val="24"/>
        </w:rPr>
        <w:t xml:space="preserve">kontrolovaného období byla z podnětu </w:t>
      </w:r>
      <w:r w:rsidR="00865072" w:rsidRPr="00D14358">
        <w:rPr>
          <w:rFonts w:cstheme="minorHAnsi"/>
          <w:sz w:val="24"/>
          <w:szCs w:val="24"/>
        </w:rPr>
        <w:t>Ministerstva financí</w:t>
      </w:r>
      <w:r w:rsidRPr="00D14358">
        <w:rPr>
          <w:rFonts w:cstheme="minorHAnsi"/>
          <w:sz w:val="24"/>
          <w:szCs w:val="24"/>
        </w:rPr>
        <w:t xml:space="preserve"> několikrát provedena „inventura“</w:t>
      </w:r>
      <w:r w:rsidR="00E57F26">
        <w:rPr>
          <w:rFonts w:cstheme="minorHAnsi"/>
          <w:sz w:val="24"/>
          <w:szCs w:val="24"/>
        </w:rPr>
        <w:t xml:space="preserve"> </w:t>
      </w:r>
      <w:r w:rsidRPr="00D14358">
        <w:rPr>
          <w:rFonts w:cstheme="minorHAnsi"/>
          <w:sz w:val="24"/>
          <w:szCs w:val="24"/>
        </w:rPr>
        <w:t>majetkových účastí státu, v rámci které ministerstva zpracovala informace o záměrech s</w:t>
      </w:r>
      <w:r w:rsidR="006F558D" w:rsidRPr="00D14358">
        <w:rPr>
          <w:rFonts w:cstheme="minorHAnsi"/>
          <w:sz w:val="24"/>
          <w:szCs w:val="24"/>
        </w:rPr>
        <w:t> majetkovými účastmi</w:t>
      </w:r>
      <w:r w:rsidRPr="00D14358">
        <w:rPr>
          <w:rFonts w:cstheme="minorHAnsi"/>
          <w:sz w:val="24"/>
          <w:szCs w:val="24"/>
        </w:rPr>
        <w:t xml:space="preserve">, s nimiž </w:t>
      </w:r>
      <w:r w:rsidR="001423D2" w:rsidRPr="00D14358">
        <w:rPr>
          <w:rFonts w:cstheme="minorHAnsi"/>
          <w:sz w:val="24"/>
          <w:szCs w:val="24"/>
        </w:rPr>
        <w:t>byla</w:t>
      </w:r>
      <w:r w:rsidRPr="00D14358">
        <w:rPr>
          <w:rFonts w:cstheme="minorHAnsi"/>
          <w:sz w:val="24"/>
          <w:szCs w:val="24"/>
        </w:rPr>
        <w:t xml:space="preserve"> příslušná hospodařit. </w:t>
      </w:r>
    </w:p>
    <w:p w14:paraId="4A3F3351" w14:textId="77777777" w:rsidR="00F22902" w:rsidRPr="00D14358" w:rsidRDefault="00F22902" w:rsidP="00532B3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8C5A479" w14:textId="48BEB9A1" w:rsidR="007B6E7C" w:rsidRPr="00F413BB" w:rsidRDefault="00D4208E" w:rsidP="00E57F26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082527">
        <w:rPr>
          <w:rFonts w:cstheme="minorHAnsi"/>
          <w:b/>
          <w:color w:val="000000" w:themeColor="text1"/>
          <w:sz w:val="24"/>
          <w:szCs w:val="24"/>
        </w:rPr>
        <w:t>MF</w:t>
      </w:r>
      <w:r w:rsidRPr="00082527">
        <w:rPr>
          <w:rFonts w:cstheme="minorHAnsi"/>
          <w:color w:val="000000" w:themeColor="text1"/>
          <w:sz w:val="24"/>
          <w:szCs w:val="24"/>
        </w:rPr>
        <w:t xml:space="preserve"> </w:t>
      </w:r>
      <w:r w:rsidR="002F20C7" w:rsidRPr="00082527">
        <w:rPr>
          <w:rFonts w:cstheme="minorHAnsi"/>
          <w:color w:val="000000" w:themeColor="text1"/>
          <w:sz w:val="24"/>
          <w:szCs w:val="24"/>
        </w:rPr>
        <w:t>–</w:t>
      </w:r>
      <w:r w:rsidRPr="00082527">
        <w:rPr>
          <w:rFonts w:cstheme="minorHAnsi"/>
          <w:color w:val="000000" w:themeColor="text1"/>
          <w:sz w:val="24"/>
          <w:szCs w:val="24"/>
        </w:rPr>
        <w:t xml:space="preserve"> </w:t>
      </w:r>
      <w:r w:rsidR="001D45E6" w:rsidRPr="00082527">
        <w:rPr>
          <w:rFonts w:cstheme="minorHAnsi"/>
          <w:color w:val="000000" w:themeColor="text1"/>
          <w:sz w:val="24"/>
          <w:szCs w:val="24"/>
        </w:rPr>
        <w:t>Z</w:t>
      </w:r>
      <w:r w:rsidR="00D460B2" w:rsidRPr="00082527">
        <w:rPr>
          <w:rFonts w:cstheme="minorHAnsi"/>
          <w:color w:val="000000" w:themeColor="text1"/>
          <w:sz w:val="24"/>
          <w:szCs w:val="24"/>
        </w:rPr>
        <w:t> přehledů potřebného a nepotřebného majetku ve správě MF, které byly zpracovány</w:t>
      </w:r>
      <w:r w:rsidR="001D75A8" w:rsidRPr="00082527">
        <w:rPr>
          <w:rFonts w:cstheme="minorHAnsi"/>
          <w:color w:val="000000" w:themeColor="text1"/>
          <w:sz w:val="24"/>
          <w:szCs w:val="24"/>
        </w:rPr>
        <w:t xml:space="preserve"> </w:t>
      </w:r>
      <w:r w:rsidR="001D45E6" w:rsidRPr="00082527">
        <w:rPr>
          <w:rFonts w:cstheme="minorHAnsi"/>
          <w:color w:val="000000" w:themeColor="text1"/>
          <w:sz w:val="24"/>
          <w:szCs w:val="24"/>
        </w:rPr>
        <w:t>na základě</w:t>
      </w:r>
      <w:r w:rsidR="001D75A8" w:rsidRPr="00082527">
        <w:rPr>
          <w:rFonts w:cstheme="minorHAnsi"/>
          <w:color w:val="000000" w:themeColor="text1"/>
          <w:sz w:val="24"/>
          <w:szCs w:val="24"/>
        </w:rPr>
        <w:t xml:space="preserve"> jednoho z úkolů stanoveného v části 1.7 </w:t>
      </w:r>
      <w:r w:rsidR="001D75A8" w:rsidRPr="00082527">
        <w:rPr>
          <w:rFonts w:cs="Calibri"/>
          <w:i/>
          <w:color w:val="000000" w:themeColor="text1"/>
          <w:sz w:val="24"/>
          <w:szCs w:val="24"/>
        </w:rPr>
        <w:t>Vlastnická politika státu</w:t>
      </w:r>
      <w:r w:rsidR="001D75A8" w:rsidRPr="00082527">
        <w:rPr>
          <w:rFonts w:cstheme="minorHAnsi"/>
          <w:color w:val="000000" w:themeColor="text1"/>
          <w:sz w:val="24"/>
          <w:szCs w:val="24"/>
        </w:rPr>
        <w:t xml:space="preserve"> v materiálu schváleném </w:t>
      </w:r>
      <w:r w:rsidR="00C84CA8" w:rsidRPr="00082527">
        <w:rPr>
          <w:rFonts w:cstheme="minorHAnsi"/>
          <w:color w:val="000000" w:themeColor="text1"/>
          <w:sz w:val="24"/>
          <w:szCs w:val="24"/>
        </w:rPr>
        <w:t>u</w:t>
      </w:r>
      <w:r w:rsidR="001D75A8" w:rsidRPr="00082527">
        <w:rPr>
          <w:rFonts w:cstheme="minorHAnsi"/>
          <w:color w:val="000000" w:themeColor="text1"/>
          <w:sz w:val="24"/>
          <w:szCs w:val="24"/>
        </w:rPr>
        <w:t>snesením vlády ČR ze dne 16. ledna 2013 č. 39</w:t>
      </w:r>
      <w:r w:rsidR="00D0306C" w:rsidRPr="00082527">
        <w:rPr>
          <w:rFonts w:cstheme="minorHAnsi"/>
          <w:color w:val="000000" w:themeColor="text1"/>
          <w:sz w:val="24"/>
          <w:szCs w:val="24"/>
        </w:rPr>
        <w:t>,</w:t>
      </w:r>
      <w:r w:rsidR="001D75A8" w:rsidRPr="00082527">
        <w:rPr>
          <w:rFonts w:cstheme="minorHAnsi"/>
          <w:color w:val="000000" w:themeColor="text1"/>
          <w:sz w:val="24"/>
          <w:szCs w:val="24"/>
        </w:rPr>
        <w:t xml:space="preserve"> </w:t>
      </w:r>
      <w:r w:rsidR="002F20C7" w:rsidRPr="00082527">
        <w:rPr>
          <w:rFonts w:cstheme="minorHAnsi"/>
          <w:color w:val="000000" w:themeColor="text1"/>
          <w:sz w:val="24"/>
          <w:szCs w:val="24"/>
          <w:lang w:eastAsia="cs-CZ"/>
        </w:rPr>
        <w:t>plyne,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že 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za strategické </w:t>
      </w:r>
      <w:r w:rsidR="006E46CD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majetkové účasti 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>považovalo MF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v dubnu 2013 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celkem 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11 </w:t>
      </w:r>
      <w:r w:rsidR="006F558D" w:rsidRPr="00082527">
        <w:rPr>
          <w:rFonts w:cstheme="minorHAnsi"/>
          <w:color w:val="000000" w:themeColor="text1"/>
          <w:sz w:val="24"/>
          <w:szCs w:val="24"/>
          <w:lang w:eastAsia="cs-CZ"/>
        </w:rPr>
        <w:t>majetkových účastí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, v září 2013 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jen </w:t>
      </w:r>
      <w:r w:rsidR="00E0469C" w:rsidRPr="00082527">
        <w:rPr>
          <w:rFonts w:cstheme="minorHAnsi"/>
          <w:color w:val="000000" w:themeColor="text1"/>
          <w:sz w:val="24"/>
          <w:szCs w:val="24"/>
          <w:lang w:eastAsia="cs-CZ"/>
        </w:rPr>
        <w:t>osm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a </w:t>
      </w:r>
      <w:r w:rsidR="00D460B2" w:rsidRPr="00082527">
        <w:rPr>
          <w:rFonts w:cstheme="minorHAnsi"/>
          <w:color w:val="000000" w:themeColor="text1"/>
          <w:sz w:val="24"/>
          <w:szCs w:val="24"/>
          <w:lang w:eastAsia="cs-CZ"/>
        </w:rPr>
        <w:t>v</w:t>
      </w:r>
      <w:r w:rsidR="005128EF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 dubnu 2014 celkem 17. 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>V</w:t>
      </w:r>
      <w:r w:rsidR="00DF534B" w:rsidRPr="00F413BB">
        <w:rPr>
          <w:rFonts w:cstheme="minorHAnsi"/>
          <w:color w:val="000000" w:themeColor="text1"/>
          <w:lang w:eastAsia="cs-CZ"/>
        </w:rPr>
        <w:t> 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roce 2014 byla mezi majetkové účasti strategického významu zařazena nově nabytá </w:t>
      </w:r>
      <w:r w:rsidR="006F558D" w:rsidRPr="00082527">
        <w:rPr>
          <w:rFonts w:cstheme="minorHAnsi"/>
          <w:color w:val="000000" w:themeColor="text1"/>
          <w:sz w:val="24"/>
          <w:szCs w:val="24"/>
          <w:lang w:eastAsia="cs-CZ"/>
        </w:rPr>
        <w:t>majetková účast</w:t>
      </w:r>
      <w:r w:rsidR="00DE2FC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ve 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>společnosti</w:t>
      </w:r>
      <w:r w:rsidR="00DE2FC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>Kongresové centrum Praha, a.s.</w:t>
      </w:r>
      <w:r w:rsidR="00DE2FC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0A6EF3" w:rsidRPr="00082527">
        <w:rPr>
          <w:rFonts w:cstheme="minorHAnsi"/>
          <w:color w:val="000000" w:themeColor="text1"/>
          <w:sz w:val="24"/>
          <w:szCs w:val="24"/>
          <w:lang w:eastAsia="cs-CZ"/>
        </w:rPr>
        <w:t>Z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 majetku </w:t>
      </w:r>
      <w:r w:rsidR="001D45E6" w:rsidRPr="00082527">
        <w:rPr>
          <w:rFonts w:cstheme="minorHAnsi"/>
          <w:color w:val="000000" w:themeColor="text1"/>
          <w:sz w:val="24"/>
          <w:szCs w:val="24"/>
          <w:lang w:eastAsia="cs-CZ"/>
        </w:rPr>
        <w:t>považovaného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v září 2013 </w:t>
      </w:r>
      <w:r w:rsidR="001D45E6" w:rsidRPr="00082527">
        <w:rPr>
          <w:rFonts w:cstheme="minorHAnsi"/>
          <w:color w:val="000000" w:themeColor="text1"/>
          <w:sz w:val="24"/>
          <w:szCs w:val="24"/>
          <w:lang w:eastAsia="cs-CZ"/>
        </w:rPr>
        <w:t>za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nepotřebný</w:t>
      </w:r>
      <w:r w:rsidR="000A6EF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byly v roce 2014 mezi </w:t>
      </w:r>
      <w:r w:rsidR="006F558D" w:rsidRPr="00082527">
        <w:rPr>
          <w:rFonts w:cstheme="minorHAnsi"/>
          <w:color w:val="000000" w:themeColor="text1"/>
          <w:sz w:val="24"/>
          <w:szCs w:val="24"/>
          <w:lang w:eastAsia="cs-CZ"/>
        </w:rPr>
        <w:t>majetkové účasti</w:t>
      </w:r>
      <w:r w:rsidR="000A6EF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strategického významu zařazeny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6F558D" w:rsidRPr="00082527">
        <w:rPr>
          <w:rFonts w:cstheme="minorHAnsi"/>
          <w:color w:val="000000" w:themeColor="text1"/>
          <w:sz w:val="24"/>
          <w:szCs w:val="24"/>
          <w:lang w:eastAsia="cs-CZ"/>
        </w:rPr>
        <w:t>majetkové účasti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v</w:t>
      </w:r>
      <w:r w:rsidR="00DE2FC3" w:rsidRPr="00082527">
        <w:rPr>
          <w:rFonts w:cstheme="minorHAnsi"/>
          <w:color w:val="000000" w:themeColor="text1"/>
          <w:sz w:val="24"/>
          <w:szCs w:val="24"/>
          <w:lang w:eastAsia="cs-CZ"/>
        </w:rPr>
        <w:t>e</w:t>
      </w:r>
      <w:r w:rsidR="00307745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>společnostech MUFIS a.s., KORADO, a.s., VIPAP VIDEM Krško</w:t>
      </w:r>
      <w:r w:rsidR="001D45E6" w:rsidRPr="00082527">
        <w:rPr>
          <w:rFonts w:cstheme="minorHAnsi"/>
          <w:color w:val="000000" w:themeColor="text1"/>
          <w:sz w:val="24"/>
          <w:szCs w:val="24"/>
          <w:lang w:eastAsia="cs-CZ"/>
        </w:rPr>
        <w:t>,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d.d., GALILEO REAL, k.s., IMOB a.s., </w:t>
      </w:r>
      <w:r w:rsidR="00F413BB">
        <w:rPr>
          <w:rFonts w:cstheme="minorHAnsi"/>
          <w:color w:val="000000" w:themeColor="text1"/>
          <w:sz w:val="24"/>
          <w:szCs w:val="24"/>
          <w:lang w:eastAsia="cs-CZ"/>
        </w:rPr>
        <w:br/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CENTRUM </w:t>
      </w:r>
      <w:r w:rsidR="001D45E6" w:rsidRPr="00082527">
        <w:rPr>
          <w:rFonts w:cstheme="minorHAnsi"/>
          <w:color w:val="000000" w:themeColor="text1"/>
          <w:sz w:val="24"/>
          <w:szCs w:val="24"/>
          <w:lang w:eastAsia="cs-CZ"/>
        </w:rPr>
        <w:t>-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F, a.s., PRIS</w:t>
      </w:r>
      <w:r w:rsidR="0007139C" w:rsidRPr="00082527">
        <w:rPr>
          <w:rFonts w:cstheme="minorHAnsi"/>
          <w:color w:val="000000" w:themeColor="text1"/>
          <w:sz w:val="24"/>
          <w:szCs w:val="24"/>
          <w:lang w:eastAsia="cs-CZ"/>
        </w:rPr>
        <w:t>K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>O a.s.</w:t>
      </w:r>
      <w:r w:rsidR="00DE2FC3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a</w:t>
      </w:r>
      <w:r w:rsidR="00307745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A72337" w:rsidRPr="00082527">
        <w:rPr>
          <w:rFonts w:cstheme="minorHAnsi"/>
          <w:color w:val="000000" w:themeColor="text1"/>
          <w:sz w:val="24"/>
          <w:szCs w:val="24"/>
          <w:lang w:eastAsia="cs-CZ"/>
        </w:rPr>
        <w:t xml:space="preserve">THERMAL-F, a.s. </w:t>
      </w:r>
      <w:r w:rsidR="005A2E27" w:rsidRPr="00F413BB">
        <w:rPr>
          <w:rFonts w:cstheme="minorHAnsi"/>
          <w:color w:val="000000" w:themeColor="text1"/>
          <w:sz w:val="24"/>
          <w:szCs w:val="24"/>
          <w:lang w:eastAsia="cs-CZ"/>
        </w:rPr>
        <w:t>Proces změn v přístupu k</w:t>
      </w:r>
      <w:r w:rsidR="006F558D" w:rsidRPr="00F413BB">
        <w:rPr>
          <w:rFonts w:cstheme="minorHAnsi"/>
          <w:color w:val="000000" w:themeColor="text1"/>
          <w:sz w:val="24"/>
          <w:szCs w:val="24"/>
          <w:lang w:eastAsia="cs-CZ"/>
        </w:rPr>
        <w:t> majetkovým účastem</w:t>
      </w:r>
      <w:r w:rsidR="005A2E27" w:rsidRPr="00F413BB">
        <w:rPr>
          <w:rFonts w:cstheme="minorHAnsi"/>
          <w:color w:val="000000" w:themeColor="text1"/>
          <w:sz w:val="24"/>
          <w:szCs w:val="24"/>
          <w:lang w:eastAsia="cs-CZ"/>
        </w:rPr>
        <w:t xml:space="preserve"> státu není dle MF</w:t>
      </w:r>
      <w:r w:rsidR="0036773D" w:rsidRPr="00F413BB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5A2E27" w:rsidRPr="00F413BB">
        <w:rPr>
          <w:rFonts w:cstheme="minorHAnsi"/>
          <w:color w:val="000000" w:themeColor="text1"/>
          <w:sz w:val="24"/>
          <w:szCs w:val="24"/>
          <w:lang w:eastAsia="cs-CZ"/>
        </w:rPr>
        <w:t>ukončen.</w:t>
      </w:r>
    </w:p>
    <w:p w14:paraId="41438442" w14:textId="77777777" w:rsidR="006E2678" w:rsidRPr="00D14358" w:rsidRDefault="006E2678" w:rsidP="0037736E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eastAsia="cs-CZ"/>
        </w:rPr>
      </w:pPr>
    </w:p>
    <w:p w14:paraId="5635AAB2" w14:textId="57E4206A" w:rsidR="006E2678" w:rsidRPr="00D14358" w:rsidRDefault="0037736E" w:rsidP="006E2678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bCs/>
          <w:lang w:eastAsia="cs-CZ"/>
        </w:rPr>
        <w:t>MPO</w:t>
      </w:r>
      <w:r w:rsidRPr="00D14358">
        <w:rPr>
          <w:rFonts w:cstheme="minorHAnsi"/>
          <w:bCs/>
          <w:lang w:eastAsia="cs-CZ"/>
        </w:rPr>
        <w:t xml:space="preserve"> </w:t>
      </w:r>
      <w:r w:rsidR="00C84CA8" w:rsidRPr="00D14358">
        <w:rPr>
          <w:rFonts w:cstheme="minorHAnsi"/>
          <w:bCs/>
          <w:lang w:eastAsia="cs-CZ"/>
        </w:rPr>
        <w:t>–</w:t>
      </w:r>
      <w:r w:rsidR="006E2678" w:rsidRPr="00D14358">
        <w:rPr>
          <w:rFonts w:cstheme="minorHAnsi"/>
          <w:bCs/>
          <w:lang w:eastAsia="cs-CZ"/>
        </w:rPr>
        <w:t xml:space="preserve"> </w:t>
      </w:r>
      <w:r w:rsidR="001D45E6">
        <w:rPr>
          <w:rFonts w:cstheme="minorHAnsi"/>
          <w:bCs/>
          <w:lang w:eastAsia="cs-CZ"/>
        </w:rPr>
        <w:t>V</w:t>
      </w:r>
      <w:r w:rsidR="006E2678" w:rsidRPr="00D14358">
        <w:rPr>
          <w:rFonts w:cstheme="minorHAnsi"/>
          <w:sz w:val="24"/>
        </w:rPr>
        <w:t xml:space="preserve"> návaznosti na usnesení vlády ČR ze dne 16. </w:t>
      </w:r>
      <w:r w:rsidR="00E86C98">
        <w:rPr>
          <w:rFonts w:cstheme="minorHAnsi"/>
          <w:sz w:val="24"/>
        </w:rPr>
        <w:t xml:space="preserve">1. </w:t>
      </w:r>
      <w:r w:rsidR="006E2678" w:rsidRPr="00D14358">
        <w:rPr>
          <w:rFonts w:cstheme="minorHAnsi"/>
          <w:sz w:val="24"/>
        </w:rPr>
        <w:t>2013 č. 39 vypracovalo</w:t>
      </w:r>
      <w:r w:rsidR="00D126A8" w:rsidRPr="00D14358">
        <w:rPr>
          <w:rFonts w:cstheme="minorHAnsi"/>
          <w:sz w:val="24"/>
        </w:rPr>
        <w:t xml:space="preserve"> </w:t>
      </w:r>
      <w:r w:rsidR="001D45E6">
        <w:rPr>
          <w:rFonts w:cstheme="minorHAnsi"/>
          <w:sz w:val="24"/>
        </w:rPr>
        <w:t xml:space="preserve">ministerstvo </w:t>
      </w:r>
      <w:r w:rsidR="006E2678" w:rsidRPr="00D14358">
        <w:rPr>
          <w:rFonts w:cstheme="minorHAnsi"/>
          <w:sz w:val="24"/>
        </w:rPr>
        <w:t xml:space="preserve">materiál s názvem </w:t>
      </w:r>
      <w:r w:rsidR="006E2678" w:rsidRPr="00485081">
        <w:rPr>
          <w:rFonts w:cstheme="minorHAnsi"/>
          <w:i/>
          <w:sz w:val="24"/>
        </w:rPr>
        <w:t xml:space="preserve">Vlastnická politika státu </w:t>
      </w:r>
      <w:r w:rsidR="006E2678" w:rsidRPr="00485081">
        <w:rPr>
          <w:rFonts w:cstheme="minorHAnsi"/>
          <w:i/>
          <w:sz w:val="24"/>
          <w:szCs w:val="24"/>
        </w:rPr>
        <w:t>v působnosti MPO</w:t>
      </w:r>
      <w:r w:rsidR="006E2678" w:rsidRPr="00D14358">
        <w:rPr>
          <w:rFonts w:cstheme="minorHAnsi"/>
          <w:sz w:val="24"/>
          <w:szCs w:val="24"/>
        </w:rPr>
        <w:t>, ve kterém</w:t>
      </w:r>
      <w:r w:rsidR="007F65C0" w:rsidRPr="00D14358">
        <w:rPr>
          <w:rFonts w:cstheme="minorHAnsi"/>
          <w:sz w:val="24"/>
          <w:szCs w:val="24"/>
        </w:rPr>
        <w:t xml:space="preserve"> v obecné rovině</w:t>
      </w:r>
      <w:r w:rsidR="006E2678" w:rsidRPr="00D14358">
        <w:rPr>
          <w:rFonts w:cstheme="minorHAnsi"/>
          <w:sz w:val="24"/>
          <w:szCs w:val="24"/>
        </w:rPr>
        <w:t xml:space="preserve"> uvedlo k jednotlivým </w:t>
      </w:r>
      <w:r w:rsidR="006F558D" w:rsidRPr="00D14358">
        <w:rPr>
          <w:rFonts w:cstheme="minorHAnsi"/>
          <w:sz w:val="24"/>
          <w:szCs w:val="24"/>
        </w:rPr>
        <w:t>majetkovým účastem</w:t>
      </w:r>
      <w:r w:rsidR="000E05CD" w:rsidRPr="00D14358">
        <w:rPr>
          <w:rFonts w:cstheme="minorHAnsi"/>
          <w:sz w:val="24"/>
          <w:szCs w:val="24"/>
        </w:rPr>
        <w:t xml:space="preserve"> </w:t>
      </w:r>
      <w:r w:rsidR="006E2678" w:rsidRPr="00D14358">
        <w:rPr>
          <w:rFonts w:cstheme="minorHAnsi"/>
          <w:sz w:val="24"/>
          <w:szCs w:val="24"/>
        </w:rPr>
        <w:t xml:space="preserve">hlavní úkoly </w:t>
      </w:r>
      <w:r w:rsidR="00192F2E" w:rsidRPr="00D14358">
        <w:rPr>
          <w:rFonts w:cstheme="minorHAnsi"/>
          <w:sz w:val="24"/>
          <w:szCs w:val="24"/>
        </w:rPr>
        <w:t>příslušných</w:t>
      </w:r>
      <w:r w:rsidR="006E2678" w:rsidRPr="00D14358">
        <w:rPr>
          <w:rFonts w:cstheme="minorHAnsi"/>
          <w:sz w:val="24"/>
          <w:szCs w:val="24"/>
        </w:rPr>
        <w:t xml:space="preserve"> společností</w:t>
      </w:r>
      <w:r w:rsidR="007F65C0" w:rsidRPr="00D14358">
        <w:rPr>
          <w:rFonts w:cstheme="minorHAnsi"/>
          <w:sz w:val="24"/>
          <w:szCs w:val="24"/>
        </w:rPr>
        <w:t xml:space="preserve"> (např. podpor</w:t>
      </w:r>
      <w:r w:rsidR="001D45E6">
        <w:rPr>
          <w:rFonts w:cstheme="minorHAnsi"/>
          <w:sz w:val="24"/>
          <w:szCs w:val="24"/>
        </w:rPr>
        <w:t>ovat</w:t>
      </w:r>
      <w:r w:rsidR="007F65C0" w:rsidRPr="00D14358">
        <w:rPr>
          <w:rFonts w:cstheme="minorHAnsi"/>
          <w:sz w:val="24"/>
          <w:szCs w:val="24"/>
        </w:rPr>
        <w:t xml:space="preserve"> rozvoj infrastruktury a jednotlivých sektorů ekonomiky v souladu se záměry hospodářské politiky vlády ČR), </w:t>
      </w:r>
      <w:r w:rsidR="006E2678" w:rsidRPr="00D14358">
        <w:rPr>
          <w:rFonts w:cstheme="minorHAnsi"/>
          <w:sz w:val="24"/>
          <w:szCs w:val="24"/>
        </w:rPr>
        <w:t>jejich význam</w:t>
      </w:r>
      <w:r w:rsidR="007F65C0" w:rsidRPr="00D14358">
        <w:rPr>
          <w:rFonts w:cstheme="minorHAnsi"/>
          <w:sz w:val="24"/>
          <w:szCs w:val="24"/>
        </w:rPr>
        <w:t xml:space="preserve"> (např. uvedené společnosti založené státem jsou</w:t>
      </w:r>
      <w:r w:rsidR="00485081">
        <w:rPr>
          <w:rFonts w:cstheme="minorHAnsi"/>
          <w:sz w:val="24"/>
          <w:szCs w:val="24"/>
        </w:rPr>
        <w:t xml:space="preserve"> </w:t>
      </w:r>
      <w:r w:rsidR="007F65C0" w:rsidRPr="00D14358">
        <w:rPr>
          <w:rFonts w:cstheme="minorHAnsi"/>
          <w:sz w:val="24"/>
          <w:szCs w:val="24"/>
        </w:rPr>
        <w:t>nedílnou součástí systému státní proexportní politiky a jedním z nástrojů ke stimulaci ekonomiky)</w:t>
      </w:r>
      <w:r w:rsidR="006E2678" w:rsidRPr="00D14358">
        <w:rPr>
          <w:rFonts w:cstheme="minorHAnsi"/>
          <w:sz w:val="24"/>
          <w:szCs w:val="24"/>
        </w:rPr>
        <w:t xml:space="preserve"> a vyjádření, že by tyto </w:t>
      </w:r>
      <w:r w:rsidR="006F558D" w:rsidRPr="00D14358">
        <w:rPr>
          <w:rFonts w:cstheme="minorHAnsi"/>
          <w:sz w:val="24"/>
          <w:szCs w:val="24"/>
        </w:rPr>
        <w:t>majetkové účasti</w:t>
      </w:r>
      <w:r w:rsidR="006E2678" w:rsidRPr="00D14358">
        <w:rPr>
          <w:rFonts w:cstheme="minorHAnsi"/>
          <w:sz w:val="24"/>
          <w:szCs w:val="24"/>
        </w:rPr>
        <w:t xml:space="preserve"> měly nadále zůstat ve vlastnictví státu. </w:t>
      </w:r>
      <w:r w:rsidR="006E2678" w:rsidRPr="00D14358">
        <w:rPr>
          <w:rFonts w:cstheme="minorHAnsi"/>
          <w:sz w:val="24"/>
          <w:szCs w:val="24"/>
        </w:rPr>
        <w:lastRenderedPageBreak/>
        <w:t>V roce 2014 a</w:t>
      </w:r>
      <w:r w:rsidR="00146042" w:rsidRPr="00D14358">
        <w:rPr>
          <w:rFonts w:cstheme="minorHAnsi"/>
          <w:sz w:val="24"/>
          <w:szCs w:val="24"/>
        </w:rPr>
        <w:t> </w:t>
      </w:r>
      <w:r w:rsidR="006E2678" w:rsidRPr="00D14358">
        <w:rPr>
          <w:rFonts w:cstheme="minorHAnsi"/>
          <w:sz w:val="24"/>
          <w:szCs w:val="24"/>
        </w:rPr>
        <w:t xml:space="preserve">2015 docházelo k upřesňování základních cílů společností s ohledem na vývoj legislativy a cílů vlády ČR. </w:t>
      </w:r>
    </w:p>
    <w:p w14:paraId="63E25CE2" w14:textId="77777777" w:rsidR="006E2678" w:rsidRPr="00686EBC" w:rsidRDefault="006E2678" w:rsidP="0037736E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eastAsia="cs-CZ"/>
        </w:rPr>
      </w:pPr>
    </w:p>
    <w:p w14:paraId="7E122B5B" w14:textId="506CB880" w:rsidR="0037736E" w:rsidRPr="005D6DB2" w:rsidRDefault="0037736E" w:rsidP="005D6DB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bCs/>
          <w:lang w:eastAsia="cs-CZ"/>
        </w:rPr>
        <w:t>MZe</w:t>
      </w:r>
      <w:r w:rsidR="006E2678" w:rsidRPr="00D14358">
        <w:rPr>
          <w:rFonts w:cstheme="minorHAnsi"/>
          <w:bCs/>
          <w:lang w:eastAsia="cs-CZ"/>
        </w:rPr>
        <w:t xml:space="preserve"> </w:t>
      </w:r>
      <w:r w:rsidR="00F825BF" w:rsidRPr="00D14358">
        <w:rPr>
          <w:rFonts w:cstheme="minorHAnsi"/>
          <w:bCs/>
          <w:lang w:eastAsia="cs-CZ"/>
        </w:rPr>
        <w:t>–</w:t>
      </w:r>
      <w:r w:rsidR="006E2678" w:rsidRPr="00D14358">
        <w:rPr>
          <w:rFonts w:cstheme="minorHAnsi"/>
          <w:bCs/>
          <w:lang w:eastAsia="cs-CZ"/>
        </w:rPr>
        <w:t xml:space="preserve"> </w:t>
      </w:r>
      <w:r w:rsidR="001D45E6">
        <w:rPr>
          <w:rFonts w:cstheme="minorHAnsi"/>
          <w:sz w:val="24"/>
        </w:rPr>
        <w:t>V</w:t>
      </w:r>
      <w:r w:rsidR="006E2678" w:rsidRPr="00D14358">
        <w:rPr>
          <w:rFonts w:cstheme="minorHAnsi"/>
          <w:sz w:val="24"/>
        </w:rPr>
        <w:t xml:space="preserve"> návaznosti na usnesení vlády ČR ze dne 16. </w:t>
      </w:r>
      <w:r w:rsidR="00E86C98">
        <w:rPr>
          <w:rFonts w:cstheme="minorHAnsi"/>
          <w:sz w:val="24"/>
        </w:rPr>
        <w:t xml:space="preserve">1. </w:t>
      </w:r>
      <w:r w:rsidR="006E2678" w:rsidRPr="00D14358">
        <w:rPr>
          <w:rFonts w:cstheme="minorHAnsi"/>
          <w:sz w:val="24"/>
        </w:rPr>
        <w:t xml:space="preserve">2013 č. 39 vyplňovalo </w:t>
      </w:r>
      <w:r w:rsidR="001D45E6">
        <w:rPr>
          <w:rFonts w:cstheme="minorHAnsi"/>
          <w:sz w:val="24"/>
        </w:rPr>
        <w:t xml:space="preserve">ministerstvo </w:t>
      </w:r>
      <w:r w:rsidR="006E2678" w:rsidRPr="00D14358">
        <w:rPr>
          <w:rFonts w:cstheme="minorHAnsi"/>
          <w:sz w:val="24"/>
        </w:rPr>
        <w:t xml:space="preserve">tabulky </w:t>
      </w:r>
      <w:r w:rsidR="005D4B5E" w:rsidRPr="00D14358">
        <w:rPr>
          <w:rFonts w:cstheme="minorHAnsi"/>
          <w:sz w:val="24"/>
        </w:rPr>
        <w:t xml:space="preserve">požadované </w:t>
      </w:r>
      <w:r w:rsidR="006E2678" w:rsidRPr="00D14358">
        <w:rPr>
          <w:rFonts w:cstheme="minorHAnsi"/>
          <w:sz w:val="24"/>
        </w:rPr>
        <w:t xml:space="preserve">MF, </w:t>
      </w:r>
      <w:r w:rsidR="001D45E6">
        <w:rPr>
          <w:rFonts w:cstheme="minorHAnsi"/>
          <w:sz w:val="24"/>
        </w:rPr>
        <w:t>kde</w:t>
      </w:r>
      <w:r w:rsidR="00D7416A" w:rsidRPr="00D14358">
        <w:rPr>
          <w:rFonts w:cstheme="minorHAnsi"/>
          <w:sz w:val="24"/>
        </w:rPr>
        <w:t xml:space="preserve"> v obecné rovině</w:t>
      </w:r>
      <w:r w:rsidR="006E2678" w:rsidRPr="00D14358">
        <w:rPr>
          <w:rFonts w:cstheme="minorHAnsi"/>
          <w:sz w:val="24"/>
        </w:rPr>
        <w:t xml:space="preserve"> </w:t>
      </w:r>
      <w:r w:rsidR="006E2678" w:rsidRPr="00D14358">
        <w:rPr>
          <w:rFonts w:cstheme="minorHAnsi"/>
          <w:sz w:val="24"/>
          <w:szCs w:val="24"/>
        </w:rPr>
        <w:t xml:space="preserve">uvedlo k jednotlivým </w:t>
      </w:r>
      <w:r w:rsidR="006F558D" w:rsidRPr="00D14358">
        <w:rPr>
          <w:rFonts w:cstheme="minorHAnsi"/>
          <w:sz w:val="24"/>
          <w:szCs w:val="24"/>
        </w:rPr>
        <w:t>majetkovým účastem</w:t>
      </w:r>
      <w:r w:rsidR="000E05CD" w:rsidRPr="00D14358">
        <w:rPr>
          <w:rFonts w:cstheme="minorHAnsi"/>
          <w:sz w:val="24"/>
          <w:szCs w:val="24"/>
        </w:rPr>
        <w:t xml:space="preserve"> </w:t>
      </w:r>
      <w:r w:rsidR="006E2678" w:rsidRPr="00D14358">
        <w:rPr>
          <w:rFonts w:cstheme="minorHAnsi"/>
          <w:sz w:val="24"/>
          <w:szCs w:val="24"/>
        </w:rPr>
        <w:t xml:space="preserve">hlavní úkoly </w:t>
      </w:r>
      <w:r w:rsidR="00192F2E" w:rsidRPr="00D14358">
        <w:rPr>
          <w:rFonts w:cstheme="minorHAnsi"/>
          <w:sz w:val="24"/>
          <w:szCs w:val="24"/>
        </w:rPr>
        <w:t>příslušných</w:t>
      </w:r>
      <w:r w:rsidR="006E2678" w:rsidRPr="00D14358">
        <w:rPr>
          <w:rFonts w:cstheme="minorHAnsi"/>
          <w:sz w:val="24"/>
          <w:szCs w:val="24"/>
        </w:rPr>
        <w:t xml:space="preserve"> společností, účel držení</w:t>
      </w:r>
      <w:r w:rsidR="006F558D" w:rsidRPr="00D14358">
        <w:rPr>
          <w:rFonts w:cstheme="minorHAnsi"/>
          <w:sz w:val="24"/>
          <w:szCs w:val="24"/>
        </w:rPr>
        <w:t xml:space="preserve"> majetkové účasti</w:t>
      </w:r>
      <w:r w:rsidR="006D1FFD">
        <w:rPr>
          <w:rFonts w:cstheme="minorHAnsi"/>
          <w:sz w:val="24"/>
          <w:szCs w:val="24"/>
        </w:rPr>
        <w:t>, zhodnocení významu a </w:t>
      </w:r>
      <w:r w:rsidR="006E2678" w:rsidRPr="00D14358">
        <w:rPr>
          <w:rFonts w:cstheme="minorHAnsi"/>
          <w:sz w:val="24"/>
          <w:szCs w:val="24"/>
        </w:rPr>
        <w:t>zdůvodnění potřebnosti</w:t>
      </w:r>
      <w:r w:rsidR="00D7416A" w:rsidRPr="00D14358">
        <w:rPr>
          <w:rFonts w:cstheme="minorHAnsi"/>
          <w:sz w:val="24"/>
          <w:szCs w:val="24"/>
        </w:rPr>
        <w:t xml:space="preserve"> (např. umožnit re</w:t>
      </w:r>
      <w:r w:rsidR="001D45E6">
        <w:rPr>
          <w:rFonts w:cstheme="minorHAnsi"/>
          <w:sz w:val="24"/>
          <w:szCs w:val="24"/>
        </w:rPr>
        <w:t>s</w:t>
      </w:r>
      <w:r w:rsidR="00D7416A" w:rsidRPr="00D14358">
        <w:rPr>
          <w:rFonts w:cstheme="minorHAnsi"/>
          <w:sz w:val="24"/>
          <w:szCs w:val="24"/>
        </w:rPr>
        <w:t>ortu zemědělství podílet se na pravidlech podpory exportu)</w:t>
      </w:r>
      <w:r w:rsidR="006E2678" w:rsidRPr="00D14358">
        <w:rPr>
          <w:rFonts w:cstheme="minorHAnsi"/>
          <w:sz w:val="24"/>
          <w:szCs w:val="24"/>
        </w:rPr>
        <w:t xml:space="preserve">, ve dvou případech uvedlo, že </w:t>
      </w:r>
      <w:r w:rsidR="006F558D" w:rsidRPr="00D14358">
        <w:rPr>
          <w:rFonts w:cstheme="minorHAnsi"/>
          <w:sz w:val="24"/>
          <w:szCs w:val="24"/>
        </w:rPr>
        <w:t>majetkové účasti</w:t>
      </w:r>
      <w:r w:rsidR="00192F2E" w:rsidRPr="00D14358">
        <w:rPr>
          <w:rFonts w:cstheme="minorHAnsi"/>
          <w:sz w:val="24"/>
          <w:szCs w:val="24"/>
        </w:rPr>
        <w:t xml:space="preserve"> </w:t>
      </w:r>
      <w:r w:rsidR="006E2678" w:rsidRPr="00D14358">
        <w:rPr>
          <w:rFonts w:cstheme="minorHAnsi"/>
          <w:sz w:val="24"/>
          <w:szCs w:val="24"/>
        </w:rPr>
        <w:t xml:space="preserve">jsou pro MZe nepotřebné. V roce 2014 a 2015 nedošlo ke změnám </w:t>
      </w:r>
      <w:r w:rsidR="000A6EF3" w:rsidRPr="00D14358">
        <w:rPr>
          <w:rFonts w:cstheme="minorHAnsi"/>
          <w:sz w:val="24"/>
          <w:szCs w:val="24"/>
        </w:rPr>
        <w:t>cílů a záměrů</w:t>
      </w:r>
      <w:r w:rsidR="006E2678" w:rsidRPr="00D14358">
        <w:rPr>
          <w:rFonts w:cstheme="minorHAnsi"/>
          <w:sz w:val="24"/>
          <w:szCs w:val="24"/>
        </w:rPr>
        <w:t xml:space="preserve"> </w:t>
      </w:r>
      <w:r w:rsidR="000E05CD" w:rsidRPr="00D14358">
        <w:rPr>
          <w:rFonts w:cstheme="minorHAnsi"/>
          <w:sz w:val="24"/>
          <w:szCs w:val="24"/>
        </w:rPr>
        <w:t xml:space="preserve">MZe </w:t>
      </w:r>
      <w:r w:rsidR="000A6EF3" w:rsidRPr="00D14358">
        <w:rPr>
          <w:rFonts w:cstheme="minorHAnsi"/>
          <w:sz w:val="24"/>
          <w:szCs w:val="24"/>
        </w:rPr>
        <w:t>v držbě</w:t>
      </w:r>
      <w:r w:rsidR="005D6DB2">
        <w:rPr>
          <w:rFonts w:cstheme="minorHAnsi"/>
          <w:sz w:val="24"/>
          <w:szCs w:val="24"/>
        </w:rPr>
        <w:t xml:space="preserve"> majetkových účastí státu.</w:t>
      </w:r>
    </w:p>
    <w:p w14:paraId="1A16396C" w14:textId="77777777" w:rsidR="005D6DB2" w:rsidRPr="00C27722" w:rsidRDefault="005D6DB2" w:rsidP="0037736E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Cs/>
          <w:lang w:eastAsia="cs-CZ"/>
        </w:rPr>
      </w:pPr>
    </w:p>
    <w:p w14:paraId="61A5A558" w14:textId="77777777" w:rsidR="00A808DB" w:rsidRPr="00532B3B" w:rsidRDefault="006E2678" w:rsidP="00A75629">
      <w:pPr>
        <w:spacing w:after="0" w:line="240" w:lineRule="auto"/>
        <w:jc w:val="both"/>
        <w:rPr>
          <w:rFonts w:cstheme="minorHAnsi"/>
          <w:b/>
          <w:sz w:val="24"/>
          <w:szCs w:val="24"/>
          <w:vertAlign w:val="superscript"/>
        </w:rPr>
      </w:pPr>
      <w:r w:rsidRPr="00864610">
        <w:rPr>
          <w:rFonts w:cstheme="minorHAnsi"/>
          <w:b/>
          <w:sz w:val="24"/>
          <w:szCs w:val="24"/>
        </w:rPr>
        <w:t>2</w:t>
      </w:r>
      <w:r w:rsidR="004C7508" w:rsidRPr="00864610">
        <w:rPr>
          <w:rFonts w:cstheme="minorHAnsi"/>
          <w:b/>
          <w:sz w:val="24"/>
          <w:szCs w:val="24"/>
        </w:rPr>
        <w:t xml:space="preserve">. </w:t>
      </w:r>
      <w:r w:rsidR="00232F00" w:rsidRPr="00864610">
        <w:rPr>
          <w:rFonts w:cstheme="minorHAnsi"/>
          <w:b/>
          <w:sz w:val="24"/>
          <w:szCs w:val="24"/>
        </w:rPr>
        <w:t xml:space="preserve">Zásady </w:t>
      </w:r>
      <w:r w:rsidR="00232F00" w:rsidRPr="00532B3B">
        <w:rPr>
          <w:rFonts w:cstheme="minorHAnsi"/>
          <w:b/>
          <w:sz w:val="24"/>
          <w:szCs w:val="24"/>
        </w:rPr>
        <w:t>odměňování</w:t>
      </w:r>
      <w:r w:rsidR="00CF43C0" w:rsidRPr="00532B3B">
        <w:rPr>
          <w:rFonts w:cstheme="minorHAnsi"/>
          <w:b/>
          <w:sz w:val="24"/>
          <w:szCs w:val="24"/>
          <w:vertAlign w:val="superscript"/>
        </w:rPr>
        <w:t>2</w:t>
      </w:r>
    </w:p>
    <w:p w14:paraId="2AC51B41" w14:textId="77777777" w:rsidR="00532B3B" w:rsidRDefault="00532B3B" w:rsidP="00350D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6B350DF" w14:textId="75EED40C" w:rsidR="00350D12" w:rsidRPr="00532B3B" w:rsidRDefault="00350D12" w:rsidP="00350D12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64610">
        <w:rPr>
          <w:rFonts w:cstheme="minorHAnsi"/>
          <w:sz w:val="24"/>
          <w:szCs w:val="24"/>
        </w:rPr>
        <w:t>Usnesení vlády Č</w:t>
      </w:r>
      <w:r w:rsidR="006A25CF">
        <w:rPr>
          <w:rFonts w:cstheme="minorHAnsi"/>
          <w:sz w:val="24"/>
          <w:szCs w:val="24"/>
        </w:rPr>
        <w:t>R</w:t>
      </w:r>
      <w:r w:rsidRPr="00864610">
        <w:rPr>
          <w:rFonts w:cstheme="minorHAnsi"/>
          <w:sz w:val="24"/>
          <w:szCs w:val="24"/>
        </w:rPr>
        <w:t xml:space="preserve"> ze dne 22. </w:t>
      </w:r>
      <w:r w:rsidR="00E86C98">
        <w:rPr>
          <w:rFonts w:cstheme="minorHAnsi"/>
          <w:sz w:val="24"/>
          <w:szCs w:val="24"/>
        </w:rPr>
        <w:t xml:space="preserve">2. </w:t>
      </w:r>
      <w:r w:rsidRPr="00864610">
        <w:rPr>
          <w:rFonts w:cstheme="minorHAnsi"/>
          <w:sz w:val="24"/>
          <w:szCs w:val="24"/>
        </w:rPr>
        <w:t>2010 č. 159</w:t>
      </w:r>
      <w:r w:rsidR="007001A7" w:rsidRPr="00864610">
        <w:rPr>
          <w:rFonts w:cstheme="minorHAnsi"/>
          <w:sz w:val="24"/>
          <w:szCs w:val="24"/>
        </w:rPr>
        <w:t>, kterým</w:t>
      </w:r>
      <w:r w:rsidRPr="00864610">
        <w:rPr>
          <w:rFonts w:cstheme="minorHAnsi"/>
          <w:sz w:val="24"/>
          <w:szCs w:val="24"/>
        </w:rPr>
        <w:t xml:space="preserve"> byly schváleny Zásady odměňování</w:t>
      </w:r>
      <w:r w:rsidR="00CF43C0">
        <w:rPr>
          <w:rFonts w:cstheme="minorHAnsi"/>
          <w:sz w:val="24"/>
          <w:szCs w:val="24"/>
          <w:vertAlign w:val="superscript"/>
        </w:rPr>
        <w:t>2</w:t>
      </w:r>
      <w:r w:rsidR="007001A7" w:rsidRPr="00864610">
        <w:rPr>
          <w:rFonts w:cstheme="minorHAnsi"/>
          <w:sz w:val="24"/>
          <w:szCs w:val="24"/>
        </w:rPr>
        <w:t>,</w:t>
      </w:r>
      <w:r w:rsidRPr="00864610">
        <w:rPr>
          <w:rFonts w:cstheme="minorHAnsi"/>
          <w:sz w:val="24"/>
          <w:szCs w:val="24"/>
        </w:rPr>
        <w:t xml:space="preserve"> u</w:t>
      </w:r>
      <w:r w:rsidR="00536BA5" w:rsidRPr="00864610">
        <w:rPr>
          <w:rFonts w:cstheme="minorHAnsi"/>
          <w:sz w:val="24"/>
          <w:szCs w:val="24"/>
        </w:rPr>
        <w:t>ložilo</w:t>
      </w:r>
      <w:r w:rsidRPr="00864610">
        <w:rPr>
          <w:rFonts w:cstheme="minorHAnsi"/>
          <w:sz w:val="24"/>
          <w:szCs w:val="24"/>
        </w:rPr>
        <w:t xml:space="preserve"> členům vlády zabezpečit v jejich působnosti aplikaci Zásad</w:t>
      </w:r>
      <w:r w:rsidR="007001A7" w:rsidRPr="00864610">
        <w:rPr>
          <w:rFonts w:cstheme="minorHAnsi"/>
          <w:sz w:val="24"/>
          <w:szCs w:val="24"/>
        </w:rPr>
        <w:t xml:space="preserve"> odměňování</w:t>
      </w:r>
      <w:r w:rsidR="004C7508" w:rsidRPr="00864610">
        <w:rPr>
          <w:rFonts w:cstheme="minorHAnsi"/>
          <w:sz w:val="24"/>
          <w:szCs w:val="24"/>
        </w:rPr>
        <w:t xml:space="preserve"> </w:t>
      </w:r>
      <w:r w:rsidRPr="00864610">
        <w:rPr>
          <w:rFonts w:cstheme="minorHAnsi"/>
          <w:sz w:val="24"/>
          <w:szCs w:val="24"/>
        </w:rPr>
        <w:t>v rámci platných právních předpisů, čímž měly být učiněny konkrétní kroky k zajištění transparentnosti odměňování ve vymezených obchodních společnostech, stanoveny podmínky pro odměňování, požadavky na kritéria a cíle, od ni</w:t>
      </w:r>
      <w:r w:rsidR="0024737A">
        <w:rPr>
          <w:rFonts w:cstheme="minorHAnsi"/>
          <w:sz w:val="24"/>
          <w:szCs w:val="24"/>
        </w:rPr>
        <w:t>chž se odvozují složky příjmů a </w:t>
      </w:r>
      <w:r w:rsidRPr="00864610">
        <w:rPr>
          <w:rFonts w:cstheme="minorHAnsi"/>
          <w:sz w:val="24"/>
          <w:szCs w:val="24"/>
        </w:rPr>
        <w:t>odměn vedoucích zaměstnanců a členů orgánů</w:t>
      </w:r>
      <w:r w:rsidR="00917023">
        <w:rPr>
          <w:rFonts w:cstheme="minorHAnsi"/>
          <w:sz w:val="24"/>
          <w:szCs w:val="24"/>
        </w:rPr>
        <w:t>,</w:t>
      </w:r>
      <w:r w:rsidRPr="00864610">
        <w:rPr>
          <w:rFonts w:cstheme="minorHAnsi"/>
          <w:sz w:val="24"/>
          <w:szCs w:val="24"/>
        </w:rPr>
        <w:t xml:space="preserve"> a také požadavky na kontrolu plnění podmínek odměňování stanovených Zásadami</w:t>
      </w:r>
      <w:r w:rsidR="007001A7" w:rsidRPr="00864610">
        <w:rPr>
          <w:rFonts w:cstheme="minorHAnsi"/>
          <w:sz w:val="24"/>
          <w:szCs w:val="24"/>
        </w:rPr>
        <w:t xml:space="preserve"> odměňování</w:t>
      </w:r>
      <w:r w:rsidRPr="00864610">
        <w:rPr>
          <w:rFonts w:cstheme="minorHAnsi"/>
          <w:sz w:val="24"/>
          <w:szCs w:val="24"/>
        </w:rPr>
        <w:t xml:space="preserve">. Ministr financí měl ve spolupráci s členy vlády předkládat vládě každoročně do 31. </w:t>
      </w:r>
      <w:r w:rsidR="00E86C98">
        <w:rPr>
          <w:rFonts w:cstheme="minorHAnsi"/>
          <w:sz w:val="24"/>
          <w:szCs w:val="24"/>
        </w:rPr>
        <w:t xml:space="preserve">10. </w:t>
      </w:r>
      <w:r w:rsidRPr="00864610">
        <w:rPr>
          <w:rFonts w:cstheme="minorHAnsi"/>
          <w:sz w:val="24"/>
          <w:szCs w:val="24"/>
        </w:rPr>
        <w:t>počínaje rokem 2010 informaci o stavu plnění Zásad</w:t>
      </w:r>
      <w:r w:rsidR="007001A7" w:rsidRPr="00864610">
        <w:rPr>
          <w:rFonts w:cstheme="minorHAnsi"/>
          <w:sz w:val="24"/>
          <w:szCs w:val="24"/>
        </w:rPr>
        <w:t xml:space="preserve"> odměňování</w:t>
      </w:r>
      <w:r w:rsidRPr="00864610">
        <w:rPr>
          <w:rFonts w:cstheme="minorHAnsi"/>
          <w:sz w:val="24"/>
          <w:szCs w:val="24"/>
        </w:rPr>
        <w:t>, tj. informovat vládu o stavu odměňování ve společnostech, státních podnicích a některých organizačních složkách státu, kterých se Zásady</w:t>
      </w:r>
      <w:r w:rsidR="007001A7" w:rsidRPr="00864610">
        <w:rPr>
          <w:rFonts w:cstheme="minorHAnsi"/>
          <w:sz w:val="24"/>
          <w:szCs w:val="24"/>
        </w:rPr>
        <w:t xml:space="preserve"> odměňování</w:t>
      </w:r>
      <w:r w:rsidRPr="00864610">
        <w:rPr>
          <w:rFonts w:cstheme="minorHAnsi"/>
          <w:sz w:val="24"/>
          <w:szCs w:val="24"/>
        </w:rPr>
        <w:t xml:space="preserve"> </w:t>
      </w:r>
      <w:r w:rsidR="00917023">
        <w:rPr>
          <w:rFonts w:cstheme="minorHAnsi"/>
          <w:sz w:val="24"/>
          <w:szCs w:val="24"/>
        </w:rPr>
        <w:t>týkají</w:t>
      </w:r>
      <w:r w:rsidRPr="00864610">
        <w:rPr>
          <w:rFonts w:cstheme="minorHAnsi"/>
          <w:sz w:val="24"/>
          <w:szCs w:val="24"/>
        </w:rPr>
        <w:t xml:space="preserve">, o jimi dosažených cílech a o plnění podmínek určujících výši odměn a jejich struktuře. </w:t>
      </w:r>
    </w:p>
    <w:p w14:paraId="08326710" w14:textId="77777777" w:rsidR="00BC74BA" w:rsidRPr="00532B3B" w:rsidRDefault="00BC74BA" w:rsidP="00350D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0A88172" w14:textId="67AC090E" w:rsidR="00350D12" w:rsidRDefault="004C7508" w:rsidP="00350D12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864610">
        <w:rPr>
          <w:rFonts w:cstheme="minorHAnsi"/>
          <w:b/>
          <w:sz w:val="24"/>
          <w:szCs w:val="24"/>
        </w:rPr>
        <w:t xml:space="preserve">2.1 </w:t>
      </w:r>
      <w:r w:rsidR="00350D12" w:rsidRPr="00864610">
        <w:rPr>
          <w:rFonts w:cstheme="minorHAnsi"/>
          <w:b/>
          <w:sz w:val="24"/>
          <w:szCs w:val="24"/>
        </w:rPr>
        <w:t>Aplikace Zásad</w:t>
      </w:r>
      <w:r w:rsidR="007001A7" w:rsidRPr="00864610">
        <w:rPr>
          <w:rFonts w:cstheme="minorHAnsi"/>
          <w:b/>
          <w:sz w:val="24"/>
          <w:szCs w:val="24"/>
        </w:rPr>
        <w:t xml:space="preserve"> odměňování</w:t>
      </w:r>
      <w:r w:rsidR="00CF43C0" w:rsidRPr="00532B3B">
        <w:rPr>
          <w:rFonts w:cstheme="minorHAnsi"/>
          <w:b/>
          <w:sz w:val="24"/>
          <w:szCs w:val="24"/>
          <w:vertAlign w:val="superscript"/>
        </w:rPr>
        <w:t>2</w:t>
      </w:r>
      <w:r w:rsidR="00350D12" w:rsidRPr="00864610">
        <w:rPr>
          <w:rFonts w:cstheme="minorHAnsi"/>
          <w:b/>
          <w:sz w:val="24"/>
          <w:szCs w:val="24"/>
        </w:rPr>
        <w:t xml:space="preserve"> do vnitřních předpisů ministerstev</w:t>
      </w:r>
    </w:p>
    <w:p w14:paraId="2B7AA178" w14:textId="77777777" w:rsidR="00532B3B" w:rsidRPr="00532B3B" w:rsidRDefault="00532B3B" w:rsidP="00350D1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A915522" w14:textId="34CAD561" w:rsidR="0089551F" w:rsidRPr="00864610" w:rsidRDefault="006E2678" w:rsidP="0089551F">
      <w:pPr>
        <w:autoSpaceDE w:val="0"/>
        <w:autoSpaceDN w:val="0"/>
        <w:adjustRightInd w:val="0"/>
        <w:spacing w:line="240" w:lineRule="auto"/>
        <w:jc w:val="both"/>
        <w:rPr>
          <w:rFonts w:cstheme="minorHAnsi"/>
          <w:sz w:val="24"/>
          <w:szCs w:val="24"/>
          <w:lang w:eastAsia="cs-CZ"/>
        </w:rPr>
      </w:pPr>
      <w:r w:rsidRPr="005A2E27">
        <w:rPr>
          <w:rFonts w:cstheme="minorHAnsi"/>
          <w:b/>
          <w:sz w:val="24"/>
          <w:szCs w:val="24"/>
        </w:rPr>
        <w:t>MF</w:t>
      </w:r>
      <w:r w:rsidRPr="00864610">
        <w:rPr>
          <w:rFonts w:cstheme="minorHAnsi"/>
          <w:sz w:val="24"/>
          <w:szCs w:val="24"/>
        </w:rPr>
        <w:t xml:space="preserve"> do svého vnitřního předpisu (</w:t>
      </w:r>
      <w:r w:rsidR="00A76EDE">
        <w:rPr>
          <w:rFonts w:cstheme="minorHAnsi"/>
          <w:sz w:val="24"/>
          <w:szCs w:val="24"/>
        </w:rPr>
        <w:t>s</w:t>
      </w:r>
      <w:r w:rsidRPr="00864610">
        <w:rPr>
          <w:rFonts w:cstheme="minorHAnsi"/>
          <w:sz w:val="24"/>
          <w:szCs w:val="24"/>
        </w:rPr>
        <w:t xml:space="preserve">měrnice </w:t>
      </w:r>
      <w:r w:rsidR="00A76EDE" w:rsidRPr="00864610">
        <w:rPr>
          <w:rFonts w:cstheme="minorHAnsi"/>
          <w:sz w:val="24"/>
          <w:szCs w:val="24"/>
        </w:rPr>
        <w:t>č. 4/2010</w:t>
      </w:r>
      <w:r w:rsidR="00192F2E" w:rsidRPr="00864610">
        <w:rPr>
          <w:rStyle w:val="Znakapoznpodarou"/>
          <w:rFonts w:cstheme="minorHAnsi"/>
          <w:sz w:val="24"/>
          <w:szCs w:val="24"/>
        </w:rPr>
        <w:footnoteReference w:id="8"/>
      </w:r>
      <w:r w:rsidRPr="00864610">
        <w:rPr>
          <w:rFonts w:cstheme="minorHAnsi"/>
          <w:sz w:val="24"/>
          <w:szCs w:val="24"/>
        </w:rPr>
        <w:t xml:space="preserve"> </w:t>
      </w:r>
      <w:r w:rsidR="00700EA2" w:rsidRPr="00864610">
        <w:rPr>
          <w:rFonts w:cstheme="minorHAnsi"/>
          <w:sz w:val="24"/>
          <w:szCs w:val="24"/>
        </w:rPr>
        <w:t>ministra financí</w:t>
      </w:r>
      <w:r w:rsidR="00700EA2">
        <w:rPr>
          <w:rFonts w:cstheme="minorHAnsi"/>
          <w:sz w:val="24"/>
          <w:szCs w:val="24"/>
        </w:rPr>
        <w:t>)</w:t>
      </w:r>
      <w:r w:rsidR="00700EA2" w:rsidRPr="00A76EDE">
        <w:rPr>
          <w:rFonts w:cstheme="minorHAnsi"/>
          <w:sz w:val="24"/>
          <w:szCs w:val="24"/>
        </w:rPr>
        <w:t xml:space="preserve"> </w:t>
      </w:r>
      <w:r w:rsidRPr="00864610">
        <w:rPr>
          <w:rFonts w:cstheme="minorHAnsi"/>
          <w:sz w:val="24"/>
          <w:szCs w:val="24"/>
        </w:rPr>
        <w:t>nezahrnulo</w:t>
      </w:r>
      <w:r w:rsidR="000B4B47" w:rsidRPr="00864610">
        <w:rPr>
          <w:rFonts w:cstheme="minorHAnsi"/>
          <w:sz w:val="24"/>
          <w:szCs w:val="24"/>
        </w:rPr>
        <w:t xml:space="preserve"> </w:t>
      </w:r>
      <w:r w:rsidRPr="00864610">
        <w:rPr>
          <w:rFonts w:cstheme="minorHAnsi"/>
          <w:sz w:val="24"/>
          <w:szCs w:val="24"/>
        </w:rPr>
        <w:t>několik podstatných bodů Zásad</w:t>
      </w:r>
      <w:r w:rsidR="007001A7" w:rsidRPr="00864610">
        <w:rPr>
          <w:rFonts w:cstheme="minorHAnsi"/>
          <w:sz w:val="24"/>
          <w:szCs w:val="24"/>
        </w:rPr>
        <w:t xml:space="preserve"> odměňování</w:t>
      </w:r>
      <w:r w:rsidRPr="00864610">
        <w:rPr>
          <w:rFonts w:cstheme="minorHAnsi"/>
          <w:sz w:val="24"/>
          <w:szCs w:val="24"/>
        </w:rPr>
        <w:t>, zejména to, že k</w:t>
      </w:r>
      <w:r w:rsidRPr="00864610">
        <w:rPr>
          <w:rFonts w:cstheme="minorHAnsi"/>
          <w:sz w:val="24"/>
          <w:szCs w:val="24"/>
          <w:lang w:eastAsia="cs-CZ"/>
        </w:rPr>
        <w:t xml:space="preserve">ritéria a cíle, od nichž </w:t>
      </w:r>
      <w:r w:rsidRPr="00864610">
        <w:rPr>
          <w:rFonts w:cstheme="minorHAnsi"/>
          <w:sz w:val="24"/>
          <w:szCs w:val="24"/>
        </w:rPr>
        <w:t>mají být</w:t>
      </w:r>
      <w:r w:rsidRPr="00864610">
        <w:rPr>
          <w:rFonts w:cstheme="minorHAnsi"/>
          <w:sz w:val="24"/>
          <w:szCs w:val="24"/>
          <w:lang w:eastAsia="cs-CZ"/>
        </w:rPr>
        <w:t xml:space="preserve"> odvozeny krátkodobé a střednědobé složky příjmů a odměn, by měly přispívat k dlouhodobé udržitelnosti obchodní společnosti a k plnění strategických cílů</w:t>
      </w:r>
      <w:r w:rsidRPr="00864610">
        <w:rPr>
          <w:rFonts w:cstheme="minorHAnsi"/>
          <w:sz w:val="24"/>
          <w:szCs w:val="24"/>
        </w:rPr>
        <w:t xml:space="preserve"> a že svá práva, mj. práva akcionáře, má MF vykonávat tak, </w:t>
      </w:r>
      <w:r w:rsidRPr="00864610">
        <w:rPr>
          <w:rFonts w:cstheme="minorHAnsi"/>
          <w:sz w:val="24"/>
          <w:szCs w:val="24"/>
          <w:lang w:eastAsia="cs-CZ"/>
        </w:rPr>
        <w:t>aby zabezpečilo plnění podmínek odměňování stanovených Zásadami</w:t>
      </w:r>
      <w:r w:rsidR="007001A7" w:rsidRPr="00864610">
        <w:rPr>
          <w:rFonts w:cstheme="minorHAnsi"/>
          <w:sz w:val="24"/>
          <w:szCs w:val="24"/>
          <w:lang w:eastAsia="cs-CZ"/>
        </w:rPr>
        <w:t xml:space="preserve"> odměňování</w:t>
      </w:r>
      <w:r w:rsidRPr="00864610">
        <w:rPr>
          <w:rFonts w:cstheme="minorHAnsi"/>
          <w:sz w:val="24"/>
          <w:szCs w:val="24"/>
          <w:lang w:eastAsia="cs-CZ"/>
        </w:rPr>
        <w:t xml:space="preserve">. </w:t>
      </w:r>
      <w:r w:rsidR="00917023">
        <w:rPr>
          <w:rFonts w:cstheme="minorHAnsi"/>
          <w:sz w:val="24"/>
          <w:szCs w:val="24"/>
          <w:lang w:eastAsia="cs-CZ"/>
        </w:rPr>
        <w:t>Implementace</w:t>
      </w:r>
      <w:r w:rsidRPr="00864610">
        <w:rPr>
          <w:rFonts w:cstheme="minorHAnsi"/>
          <w:sz w:val="24"/>
          <w:szCs w:val="24"/>
          <w:lang w:eastAsia="cs-CZ"/>
        </w:rPr>
        <w:t xml:space="preserve"> Zásad </w:t>
      </w:r>
      <w:r w:rsidR="007B7F81" w:rsidRPr="00864610">
        <w:rPr>
          <w:rFonts w:cstheme="minorHAnsi"/>
          <w:sz w:val="24"/>
          <w:szCs w:val="24"/>
          <w:lang w:eastAsia="cs-CZ"/>
        </w:rPr>
        <w:t xml:space="preserve">odměňování </w:t>
      </w:r>
      <w:r w:rsidRPr="00864610">
        <w:rPr>
          <w:rFonts w:cstheme="minorHAnsi"/>
          <w:sz w:val="24"/>
          <w:szCs w:val="24"/>
          <w:lang w:eastAsia="cs-CZ"/>
        </w:rPr>
        <w:t xml:space="preserve">do vnitřních předpisů MF je tedy </w:t>
      </w:r>
      <w:r w:rsidRPr="003F0FF7">
        <w:rPr>
          <w:rFonts w:cstheme="minorHAnsi"/>
          <w:sz w:val="24"/>
          <w:szCs w:val="24"/>
          <w:lang w:eastAsia="cs-CZ"/>
        </w:rPr>
        <w:t xml:space="preserve">neúplná, </w:t>
      </w:r>
      <w:r w:rsidR="00917023">
        <w:rPr>
          <w:rFonts w:cstheme="minorHAnsi"/>
          <w:sz w:val="24"/>
          <w:szCs w:val="24"/>
          <w:lang w:eastAsia="cs-CZ"/>
        </w:rPr>
        <w:t>v důsledku čehož lze poskytovat složky příjmu a </w:t>
      </w:r>
      <w:r w:rsidRPr="003F0FF7">
        <w:rPr>
          <w:rFonts w:cstheme="minorHAnsi"/>
          <w:sz w:val="24"/>
          <w:szCs w:val="24"/>
          <w:lang w:eastAsia="cs-CZ"/>
        </w:rPr>
        <w:t>odměny i</w:t>
      </w:r>
      <w:r w:rsidR="00917023">
        <w:rPr>
          <w:rFonts w:cstheme="minorHAnsi"/>
          <w:sz w:val="24"/>
          <w:szCs w:val="24"/>
          <w:lang w:eastAsia="cs-CZ"/>
        </w:rPr>
        <w:t> </w:t>
      </w:r>
      <w:r w:rsidRPr="003F0FF7">
        <w:rPr>
          <w:rFonts w:cstheme="minorHAnsi"/>
          <w:sz w:val="24"/>
          <w:szCs w:val="24"/>
          <w:lang w:eastAsia="cs-CZ"/>
        </w:rPr>
        <w:t xml:space="preserve">za plnění takových cílů, které </w:t>
      </w:r>
      <w:r w:rsidR="00BC74BA" w:rsidRPr="003F0FF7">
        <w:rPr>
          <w:rFonts w:cstheme="minorHAnsi"/>
          <w:sz w:val="24"/>
          <w:szCs w:val="24"/>
          <w:lang w:eastAsia="cs-CZ"/>
        </w:rPr>
        <w:t>nejsou v souladu se strategickými cíli</w:t>
      </w:r>
      <w:r w:rsidRPr="003F0FF7">
        <w:rPr>
          <w:rFonts w:cstheme="minorHAnsi"/>
          <w:sz w:val="24"/>
          <w:szCs w:val="24"/>
          <w:lang w:eastAsia="cs-CZ"/>
        </w:rPr>
        <w:t xml:space="preserve"> a </w:t>
      </w:r>
      <w:r w:rsidR="007E6717" w:rsidRPr="003F0FF7">
        <w:rPr>
          <w:rFonts w:cstheme="minorHAnsi"/>
          <w:sz w:val="24"/>
          <w:szCs w:val="24"/>
          <w:lang w:eastAsia="cs-CZ"/>
        </w:rPr>
        <w:t xml:space="preserve">které </w:t>
      </w:r>
      <w:r w:rsidRPr="003F0FF7">
        <w:rPr>
          <w:rFonts w:cstheme="minorHAnsi"/>
          <w:sz w:val="24"/>
          <w:szCs w:val="24"/>
          <w:lang w:eastAsia="cs-CZ"/>
        </w:rPr>
        <w:t xml:space="preserve">nemusí být v souladu </w:t>
      </w:r>
      <w:r w:rsidR="00917023" w:rsidRPr="003F0FF7">
        <w:rPr>
          <w:rFonts w:cstheme="minorHAnsi"/>
          <w:sz w:val="24"/>
          <w:szCs w:val="24"/>
          <w:lang w:eastAsia="cs-CZ"/>
        </w:rPr>
        <w:t xml:space="preserve">ani </w:t>
      </w:r>
      <w:r w:rsidRPr="003F0FF7">
        <w:rPr>
          <w:rFonts w:cstheme="minorHAnsi"/>
          <w:sz w:val="24"/>
          <w:szCs w:val="24"/>
          <w:lang w:eastAsia="cs-CZ"/>
        </w:rPr>
        <w:t xml:space="preserve">se zájmy státu nebo obchodní </w:t>
      </w:r>
      <w:r w:rsidRPr="00864610">
        <w:rPr>
          <w:rFonts w:cstheme="minorHAnsi"/>
          <w:sz w:val="24"/>
          <w:szCs w:val="24"/>
          <w:lang w:eastAsia="cs-CZ"/>
        </w:rPr>
        <w:t xml:space="preserve">společnosti. </w:t>
      </w:r>
    </w:p>
    <w:p w14:paraId="547BB957" w14:textId="786CDF3C" w:rsidR="006E2678" w:rsidRPr="00864610" w:rsidRDefault="006E2678" w:rsidP="0089551F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5A2E27">
        <w:rPr>
          <w:rFonts w:cstheme="minorHAnsi"/>
          <w:b/>
          <w:sz w:val="24"/>
          <w:szCs w:val="24"/>
        </w:rPr>
        <w:t>MPO</w:t>
      </w:r>
      <w:r w:rsidRPr="00864610">
        <w:rPr>
          <w:rFonts w:cstheme="minorHAnsi"/>
          <w:sz w:val="24"/>
          <w:szCs w:val="24"/>
        </w:rPr>
        <w:t xml:space="preserve"> </w:t>
      </w:r>
      <w:r w:rsidRPr="00864610">
        <w:rPr>
          <w:rFonts w:cstheme="minorHAnsi"/>
          <w:sz w:val="24"/>
          <w:szCs w:val="24"/>
          <w:lang w:eastAsia="cs-CZ"/>
        </w:rPr>
        <w:t>do svých vnitřních předpisů (</w:t>
      </w:r>
      <w:r w:rsidR="00A023BD">
        <w:rPr>
          <w:rFonts w:cstheme="minorHAnsi"/>
          <w:sz w:val="24"/>
          <w:szCs w:val="24"/>
          <w:lang w:eastAsia="cs-CZ"/>
        </w:rPr>
        <w:t>o</w:t>
      </w:r>
      <w:r w:rsidR="00EE625C" w:rsidRPr="00864610">
        <w:rPr>
          <w:rFonts w:cstheme="minorHAnsi"/>
          <w:sz w:val="24"/>
          <w:szCs w:val="24"/>
          <w:lang w:eastAsia="cs-CZ"/>
        </w:rPr>
        <w:t xml:space="preserve">patření </w:t>
      </w:r>
      <w:r w:rsidR="00700EA2" w:rsidRPr="00864610">
        <w:rPr>
          <w:rFonts w:cstheme="minorHAnsi"/>
          <w:sz w:val="24"/>
          <w:szCs w:val="24"/>
          <w:lang w:eastAsia="cs-CZ"/>
        </w:rPr>
        <w:t>č.</w:t>
      </w:r>
      <w:r w:rsidR="00700EA2">
        <w:rPr>
          <w:rFonts w:cstheme="minorHAnsi"/>
          <w:sz w:val="24"/>
          <w:szCs w:val="24"/>
          <w:lang w:eastAsia="cs-CZ"/>
        </w:rPr>
        <w:t> </w:t>
      </w:r>
      <w:r w:rsidR="00700EA2" w:rsidRPr="00864610">
        <w:rPr>
          <w:rFonts w:cstheme="minorHAnsi"/>
          <w:sz w:val="24"/>
          <w:szCs w:val="24"/>
          <w:lang w:eastAsia="cs-CZ"/>
        </w:rPr>
        <w:t>18/2010</w:t>
      </w:r>
      <w:r w:rsidR="00700EA2" w:rsidRPr="00864610">
        <w:rPr>
          <w:rStyle w:val="Znakapoznpodarou"/>
          <w:rFonts w:cstheme="minorHAnsi"/>
          <w:sz w:val="24"/>
          <w:szCs w:val="24"/>
        </w:rPr>
        <w:footnoteReference w:id="9"/>
      </w:r>
      <w:r w:rsidR="00700EA2" w:rsidRPr="00864610">
        <w:rPr>
          <w:rFonts w:cstheme="minorHAnsi"/>
          <w:sz w:val="24"/>
          <w:szCs w:val="24"/>
          <w:lang w:eastAsia="cs-CZ"/>
        </w:rPr>
        <w:t xml:space="preserve"> </w:t>
      </w:r>
      <w:r w:rsidR="002C5002" w:rsidRPr="00864610">
        <w:rPr>
          <w:rFonts w:cstheme="minorHAnsi"/>
          <w:sz w:val="24"/>
          <w:szCs w:val="24"/>
        </w:rPr>
        <w:t>ministra průmyslu a obchodu</w:t>
      </w:r>
      <w:r w:rsidR="00A023BD" w:rsidRPr="00A023BD">
        <w:rPr>
          <w:rFonts w:cstheme="minorHAnsi"/>
          <w:sz w:val="24"/>
          <w:szCs w:val="24"/>
          <w:lang w:eastAsia="cs-CZ"/>
        </w:rPr>
        <w:t xml:space="preserve"> </w:t>
      </w:r>
      <w:r w:rsidR="00EE625C" w:rsidRPr="00864610">
        <w:rPr>
          <w:rFonts w:cstheme="minorHAnsi"/>
          <w:sz w:val="24"/>
          <w:szCs w:val="24"/>
          <w:lang w:eastAsia="cs-CZ"/>
        </w:rPr>
        <w:t>a</w:t>
      </w:r>
      <w:r w:rsidR="002C5002" w:rsidRPr="00864610">
        <w:rPr>
          <w:rFonts w:cstheme="minorHAnsi"/>
          <w:sz w:val="24"/>
          <w:szCs w:val="24"/>
          <w:lang w:eastAsia="cs-CZ"/>
        </w:rPr>
        <w:t> </w:t>
      </w:r>
      <w:r w:rsidR="00A023BD">
        <w:rPr>
          <w:rFonts w:cstheme="minorHAnsi"/>
          <w:sz w:val="24"/>
          <w:szCs w:val="24"/>
        </w:rPr>
        <w:t>o</w:t>
      </w:r>
      <w:r w:rsidRPr="00864610">
        <w:rPr>
          <w:rFonts w:cstheme="minorHAnsi"/>
          <w:sz w:val="24"/>
          <w:szCs w:val="24"/>
        </w:rPr>
        <w:t xml:space="preserve">patření </w:t>
      </w:r>
      <w:r w:rsidR="00700EA2" w:rsidRPr="00864610">
        <w:rPr>
          <w:rFonts w:cstheme="minorHAnsi"/>
          <w:sz w:val="24"/>
          <w:szCs w:val="24"/>
        </w:rPr>
        <w:t>č. 20/2014</w:t>
      </w:r>
      <w:r w:rsidR="00700EA2" w:rsidRPr="00864610">
        <w:rPr>
          <w:rStyle w:val="Znakapoznpodarou"/>
          <w:rFonts w:cstheme="minorHAnsi"/>
          <w:sz w:val="24"/>
          <w:szCs w:val="24"/>
        </w:rPr>
        <w:footnoteReference w:id="10"/>
      </w:r>
      <w:r w:rsidR="00700EA2">
        <w:rPr>
          <w:rFonts w:cstheme="minorHAnsi"/>
          <w:sz w:val="24"/>
          <w:szCs w:val="24"/>
        </w:rPr>
        <w:t xml:space="preserve"> </w:t>
      </w:r>
      <w:r w:rsidRPr="00864610">
        <w:rPr>
          <w:rFonts w:cstheme="minorHAnsi"/>
          <w:sz w:val="24"/>
          <w:szCs w:val="24"/>
        </w:rPr>
        <w:t>ministra průmyslu a obchodu)</w:t>
      </w:r>
      <w:r w:rsidRPr="00864610">
        <w:rPr>
          <w:rFonts w:cstheme="minorHAnsi"/>
          <w:sz w:val="24"/>
          <w:szCs w:val="24"/>
          <w:lang w:eastAsia="cs-CZ"/>
        </w:rPr>
        <w:t xml:space="preserve"> </w:t>
      </w:r>
      <w:r w:rsidR="00C83BDA" w:rsidRPr="00864610">
        <w:rPr>
          <w:rFonts w:cstheme="minorHAnsi"/>
          <w:sz w:val="24"/>
          <w:szCs w:val="24"/>
          <w:lang w:eastAsia="cs-CZ"/>
        </w:rPr>
        <w:t xml:space="preserve">převzalo </w:t>
      </w:r>
      <w:r w:rsidRPr="00864610">
        <w:rPr>
          <w:rFonts w:cstheme="minorHAnsi"/>
          <w:sz w:val="24"/>
          <w:szCs w:val="24"/>
          <w:lang w:eastAsia="cs-CZ"/>
        </w:rPr>
        <w:t>Zásady</w:t>
      </w:r>
      <w:r w:rsidR="007B7F81" w:rsidRPr="00864610">
        <w:rPr>
          <w:rFonts w:cstheme="minorHAnsi"/>
          <w:sz w:val="24"/>
          <w:szCs w:val="24"/>
          <w:lang w:eastAsia="cs-CZ"/>
        </w:rPr>
        <w:t xml:space="preserve"> odměňování</w:t>
      </w:r>
      <w:r w:rsidRPr="00864610">
        <w:rPr>
          <w:rFonts w:cstheme="minorHAnsi"/>
          <w:sz w:val="24"/>
          <w:szCs w:val="24"/>
          <w:lang w:eastAsia="cs-CZ"/>
        </w:rPr>
        <w:t xml:space="preserve"> v téměř identické podobě, ve které byly schváleny usnesením vlády ČR ze dne 22. </w:t>
      </w:r>
      <w:r w:rsidR="00E86C98">
        <w:rPr>
          <w:rFonts w:cstheme="minorHAnsi"/>
          <w:sz w:val="24"/>
          <w:szCs w:val="24"/>
          <w:lang w:eastAsia="cs-CZ"/>
        </w:rPr>
        <w:t xml:space="preserve">2. </w:t>
      </w:r>
      <w:r w:rsidRPr="00864610">
        <w:rPr>
          <w:rFonts w:cstheme="minorHAnsi"/>
          <w:sz w:val="24"/>
          <w:szCs w:val="24"/>
          <w:lang w:eastAsia="cs-CZ"/>
        </w:rPr>
        <w:t>2010 č. 159.</w:t>
      </w:r>
    </w:p>
    <w:p w14:paraId="29821D17" w14:textId="77777777" w:rsidR="00BF43AA" w:rsidRPr="0089551F" w:rsidRDefault="00BF43AA" w:rsidP="006E2678">
      <w:pPr>
        <w:tabs>
          <w:tab w:val="left" w:pos="1861"/>
        </w:tabs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FA2D710" w14:textId="1F0158CB" w:rsidR="00B96620" w:rsidRPr="0089551F" w:rsidRDefault="00BF43AA" w:rsidP="00BF43AA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685408">
        <w:rPr>
          <w:rFonts w:cstheme="minorHAnsi"/>
          <w:b/>
          <w:sz w:val="24"/>
          <w:szCs w:val="24"/>
          <w:lang w:eastAsia="cs-CZ"/>
        </w:rPr>
        <w:t>MZe</w:t>
      </w:r>
      <w:r w:rsidRPr="00685408">
        <w:rPr>
          <w:rFonts w:cstheme="minorHAnsi"/>
          <w:sz w:val="24"/>
          <w:szCs w:val="24"/>
          <w:lang w:eastAsia="cs-CZ"/>
        </w:rPr>
        <w:t xml:space="preserve"> </w:t>
      </w:r>
      <w:r w:rsidR="00BA2ED3" w:rsidRPr="00685408">
        <w:rPr>
          <w:rFonts w:cstheme="minorHAnsi"/>
          <w:sz w:val="24"/>
          <w:szCs w:val="24"/>
          <w:lang w:eastAsia="cs-CZ"/>
        </w:rPr>
        <w:t xml:space="preserve">vydalo </w:t>
      </w:r>
      <w:r w:rsidR="00A023BD">
        <w:rPr>
          <w:rFonts w:cstheme="minorHAnsi"/>
          <w:sz w:val="24"/>
          <w:szCs w:val="24"/>
          <w:lang w:eastAsia="cs-CZ"/>
        </w:rPr>
        <w:t>p</w:t>
      </w:r>
      <w:r w:rsidRPr="00685408">
        <w:rPr>
          <w:rFonts w:cstheme="minorHAnsi"/>
          <w:sz w:val="24"/>
          <w:szCs w:val="24"/>
          <w:lang w:eastAsia="cs-CZ"/>
        </w:rPr>
        <w:t>říkaz ministra zemědělství č. 5/2011</w:t>
      </w:r>
      <w:r w:rsidR="009D7BC1" w:rsidRPr="00685408">
        <w:rPr>
          <w:rStyle w:val="Znakapoznpodarou"/>
          <w:rFonts w:cstheme="minorHAnsi"/>
          <w:sz w:val="24"/>
          <w:szCs w:val="24"/>
          <w:lang w:eastAsia="cs-CZ"/>
        </w:rPr>
        <w:footnoteReference w:id="11"/>
      </w:r>
      <w:r w:rsidR="00BA2ED3" w:rsidRPr="00685408">
        <w:rPr>
          <w:rFonts w:cstheme="minorHAnsi"/>
          <w:sz w:val="24"/>
          <w:szCs w:val="24"/>
          <w:lang w:eastAsia="cs-CZ"/>
        </w:rPr>
        <w:t xml:space="preserve">, v němž </w:t>
      </w:r>
      <w:r w:rsidR="005D695E" w:rsidRPr="00685408">
        <w:rPr>
          <w:rFonts w:cstheme="minorHAnsi"/>
          <w:sz w:val="24"/>
          <w:szCs w:val="24"/>
          <w:lang w:eastAsia="cs-CZ"/>
        </w:rPr>
        <w:t xml:space="preserve">aplikovalo pravidla odvozená od Zásad odměňování jen v minimální míře. </w:t>
      </w:r>
      <w:r w:rsidR="0083735E" w:rsidRPr="00685408">
        <w:rPr>
          <w:rFonts w:cstheme="minorHAnsi"/>
          <w:sz w:val="24"/>
          <w:szCs w:val="24"/>
          <w:lang w:eastAsia="cs-CZ"/>
        </w:rPr>
        <w:t xml:space="preserve">MZe </w:t>
      </w:r>
      <w:r w:rsidR="001C3008" w:rsidRPr="00685408">
        <w:rPr>
          <w:rFonts w:cstheme="minorHAnsi"/>
          <w:sz w:val="24"/>
          <w:szCs w:val="24"/>
          <w:lang w:eastAsia="cs-CZ"/>
        </w:rPr>
        <w:t>v</w:t>
      </w:r>
      <w:r w:rsidR="005D695E" w:rsidRPr="00685408">
        <w:rPr>
          <w:rFonts w:cstheme="minorHAnsi"/>
          <w:sz w:val="24"/>
          <w:szCs w:val="24"/>
          <w:lang w:eastAsia="cs-CZ"/>
        </w:rPr>
        <w:t xml:space="preserve"> něm </w:t>
      </w:r>
      <w:r w:rsidR="00917023">
        <w:rPr>
          <w:rFonts w:cstheme="minorHAnsi"/>
          <w:sz w:val="24"/>
          <w:szCs w:val="24"/>
          <w:lang w:eastAsia="cs-CZ"/>
        </w:rPr>
        <w:t>odkazuje</w:t>
      </w:r>
      <w:r w:rsidR="0083735E" w:rsidRPr="00685408">
        <w:rPr>
          <w:rFonts w:cstheme="minorHAnsi"/>
          <w:sz w:val="24"/>
          <w:szCs w:val="24"/>
          <w:lang w:eastAsia="cs-CZ"/>
        </w:rPr>
        <w:t xml:space="preserve"> </w:t>
      </w:r>
      <w:r w:rsidR="005D695E" w:rsidRPr="00685408">
        <w:rPr>
          <w:rFonts w:cstheme="minorHAnsi"/>
          <w:sz w:val="24"/>
          <w:szCs w:val="24"/>
          <w:lang w:eastAsia="cs-CZ"/>
        </w:rPr>
        <w:t>pouze</w:t>
      </w:r>
      <w:r w:rsidR="0083735E" w:rsidRPr="00685408">
        <w:rPr>
          <w:rFonts w:cstheme="minorHAnsi"/>
          <w:sz w:val="24"/>
          <w:szCs w:val="24"/>
          <w:lang w:eastAsia="cs-CZ"/>
        </w:rPr>
        <w:t xml:space="preserve"> </w:t>
      </w:r>
      <w:r w:rsidR="00B96620" w:rsidRPr="00685408">
        <w:rPr>
          <w:rFonts w:cstheme="minorHAnsi"/>
          <w:sz w:val="24"/>
          <w:szCs w:val="24"/>
          <w:lang w:eastAsia="cs-CZ"/>
        </w:rPr>
        <w:t xml:space="preserve">na pravomoc akcionáře stanovit výši možné odměny za výkon funkce a podmínky, za kterých může být </w:t>
      </w:r>
      <w:r w:rsidR="00B96620" w:rsidRPr="00864610">
        <w:rPr>
          <w:rFonts w:cstheme="minorHAnsi"/>
          <w:sz w:val="24"/>
          <w:szCs w:val="24"/>
          <w:lang w:eastAsia="cs-CZ"/>
        </w:rPr>
        <w:t>vyplacena.</w:t>
      </w:r>
    </w:p>
    <w:p w14:paraId="25218D9B" w14:textId="77777777" w:rsidR="005F145A" w:rsidRDefault="005F145A" w:rsidP="004C7508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eastAsia="cs-CZ"/>
        </w:rPr>
      </w:pPr>
    </w:p>
    <w:p w14:paraId="1342327A" w14:textId="77777777" w:rsidR="00A808DB" w:rsidRPr="00864610" w:rsidRDefault="00532B3B" w:rsidP="004C7508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eastAsia="cs-CZ"/>
        </w:rPr>
      </w:pPr>
      <w:r>
        <w:rPr>
          <w:rFonts w:cstheme="minorHAnsi"/>
          <w:b/>
          <w:sz w:val="24"/>
          <w:szCs w:val="24"/>
          <w:lang w:eastAsia="cs-CZ"/>
        </w:rPr>
        <w:t>2.2</w:t>
      </w:r>
      <w:r>
        <w:rPr>
          <w:rFonts w:cstheme="minorHAnsi"/>
          <w:b/>
          <w:sz w:val="24"/>
          <w:szCs w:val="24"/>
          <w:lang w:eastAsia="cs-CZ"/>
        </w:rPr>
        <w:tab/>
      </w:r>
      <w:r w:rsidR="00A808DB" w:rsidRPr="00864610">
        <w:rPr>
          <w:rFonts w:cstheme="minorHAnsi"/>
          <w:b/>
          <w:sz w:val="24"/>
          <w:szCs w:val="24"/>
          <w:lang w:eastAsia="cs-CZ"/>
        </w:rPr>
        <w:t>Promítnutí Zásad</w:t>
      </w:r>
      <w:r w:rsidR="007B7F81" w:rsidRPr="00864610">
        <w:rPr>
          <w:rFonts w:cstheme="minorHAnsi"/>
          <w:b/>
          <w:sz w:val="24"/>
          <w:szCs w:val="24"/>
          <w:lang w:eastAsia="cs-CZ"/>
        </w:rPr>
        <w:t xml:space="preserve"> odměňování</w:t>
      </w:r>
      <w:r w:rsidR="00CF43C0" w:rsidRPr="00532B3B">
        <w:rPr>
          <w:rFonts w:cstheme="minorHAnsi"/>
          <w:b/>
          <w:sz w:val="24"/>
          <w:szCs w:val="24"/>
          <w:vertAlign w:val="superscript"/>
          <w:lang w:eastAsia="cs-CZ"/>
        </w:rPr>
        <w:t>2</w:t>
      </w:r>
      <w:r w:rsidR="00A808DB" w:rsidRPr="00864610">
        <w:rPr>
          <w:rFonts w:cstheme="minorHAnsi"/>
          <w:b/>
          <w:sz w:val="24"/>
          <w:szCs w:val="24"/>
          <w:lang w:eastAsia="cs-CZ"/>
        </w:rPr>
        <w:t xml:space="preserve"> do stanov či obdobných dokumentů obchodních společností</w:t>
      </w:r>
    </w:p>
    <w:p w14:paraId="6D972A84" w14:textId="77777777" w:rsidR="00532B3B" w:rsidRPr="00532B3B" w:rsidRDefault="00532B3B" w:rsidP="00EF53D6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5B46ECA2" w14:textId="7BB044B4" w:rsidR="00A808DB" w:rsidRDefault="00A808DB" w:rsidP="00EF53D6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  <w:r w:rsidRPr="006119FD">
        <w:rPr>
          <w:rFonts w:asciiTheme="minorHAnsi" w:hAnsiTheme="minorHAnsi" w:cstheme="minorHAnsi"/>
          <w:b/>
          <w:lang w:eastAsia="cs-CZ"/>
        </w:rPr>
        <w:t>MF</w:t>
      </w:r>
      <w:r w:rsidRPr="006119FD">
        <w:rPr>
          <w:rFonts w:asciiTheme="minorHAnsi" w:hAnsiTheme="minorHAnsi" w:cstheme="minorHAnsi"/>
          <w:lang w:eastAsia="cs-CZ"/>
        </w:rPr>
        <w:t xml:space="preserve"> –</w:t>
      </w:r>
      <w:r w:rsidR="00BA2ED3" w:rsidRPr="006119FD">
        <w:rPr>
          <w:rFonts w:asciiTheme="minorHAnsi" w:hAnsiTheme="minorHAnsi" w:cstheme="minorHAnsi"/>
          <w:lang w:eastAsia="cs-CZ"/>
        </w:rPr>
        <w:t xml:space="preserve"> </w:t>
      </w:r>
      <w:r w:rsidR="00917023">
        <w:rPr>
          <w:rFonts w:asciiTheme="minorHAnsi" w:hAnsiTheme="minorHAnsi" w:cstheme="minorHAnsi"/>
          <w:lang w:eastAsia="cs-CZ"/>
        </w:rPr>
        <w:t>S</w:t>
      </w:r>
      <w:r w:rsidRPr="006119FD">
        <w:rPr>
          <w:rFonts w:asciiTheme="minorHAnsi" w:hAnsiTheme="minorHAnsi" w:cstheme="minorHAnsi"/>
          <w:lang w:eastAsia="cs-CZ"/>
        </w:rPr>
        <w:t xml:space="preserve">tanovy společností s modelem řízení, </w:t>
      </w:r>
      <w:r w:rsidR="00A023BD">
        <w:rPr>
          <w:rFonts w:asciiTheme="minorHAnsi" w:hAnsiTheme="minorHAnsi" w:cstheme="minorHAnsi"/>
          <w:lang w:eastAsia="cs-CZ"/>
        </w:rPr>
        <w:t>kdy</w:t>
      </w:r>
      <w:r w:rsidRPr="006119FD">
        <w:rPr>
          <w:rFonts w:asciiTheme="minorHAnsi" w:hAnsiTheme="minorHAnsi" w:cstheme="minorHAnsi"/>
          <w:lang w:eastAsia="cs-CZ"/>
        </w:rPr>
        <w:t xml:space="preserve"> je kontrola odměňování a</w:t>
      </w:r>
      <w:r w:rsidR="00E03E8F" w:rsidRPr="006119FD">
        <w:rPr>
          <w:rFonts w:asciiTheme="minorHAnsi" w:hAnsiTheme="minorHAnsi" w:cstheme="minorHAnsi"/>
          <w:lang w:eastAsia="cs-CZ"/>
        </w:rPr>
        <w:t> </w:t>
      </w:r>
      <w:r w:rsidRPr="006119FD">
        <w:rPr>
          <w:rFonts w:asciiTheme="minorHAnsi" w:hAnsiTheme="minorHAnsi" w:cstheme="minorHAnsi"/>
          <w:lang w:eastAsia="cs-CZ"/>
        </w:rPr>
        <w:t xml:space="preserve">schvalování smluv o výkonu funkce členů představenstva </w:t>
      </w:r>
      <w:r w:rsidR="00351A93" w:rsidRPr="006119FD">
        <w:rPr>
          <w:rFonts w:asciiTheme="minorHAnsi" w:hAnsiTheme="minorHAnsi" w:cstheme="minorHAnsi"/>
          <w:lang w:eastAsia="cs-CZ"/>
        </w:rPr>
        <w:t>svěřena do</w:t>
      </w:r>
      <w:r w:rsidRPr="006119FD">
        <w:rPr>
          <w:rFonts w:asciiTheme="minorHAnsi" w:hAnsiTheme="minorHAnsi" w:cstheme="minorHAnsi"/>
          <w:lang w:eastAsia="cs-CZ"/>
        </w:rPr>
        <w:t xml:space="preserve"> působnosti dozorčí rady</w:t>
      </w:r>
      <w:r w:rsidR="00A023BD">
        <w:rPr>
          <w:rFonts w:asciiTheme="minorHAnsi" w:hAnsiTheme="minorHAnsi" w:cstheme="minorHAnsi"/>
          <w:lang w:eastAsia="cs-CZ"/>
        </w:rPr>
        <w:t xml:space="preserve"> (</w:t>
      </w:r>
      <w:r w:rsidR="00A023BD" w:rsidRPr="00A023BD">
        <w:rPr>
          <w:rFonts w:asciiTheme="minorHAnsi" w:hAnsiTheme="minorHAnsi" w:cstheme="minorHAnsi"/>
          <w:lang w:eastAsia="cs-CZ"/>
        </w:rPr>
        <w:t>německ</w:t>
      </w:r>
      <w:r w:rsidR="00A023BD">
        <w:rPr>
          <w:rFonts w:asciiTheme="minorHAnsi" w:hAnsiTheme="minorHAnsi" w:cstheme="minorHAnsi"/>
          <w:lang w:eastAsia="cs-CZ"/>
        </w:rPr>
        <w:t>ý</w:t>
      </w:r>
      <w:r w:rsidR="00A023BD" w:rsidRPr="00A023BD">
        <w:rPr>
          <w:rFonts w:asciiTheme="minorHAnsi" w:hAnsiTheme="minorHAnsi" w:cstheme="minorHAnsi"/>
          <w:lang w:eastAsia="cs-CZ"/>
        </w:rPr>
        <w:t xml:space="preserve"> model řízení</w:t>
      </w:r>
      <w:r w:rsidR="00A023BD">
        <w:rPr>
          <w:rFonts w:asciiTheme="minorHAnsi" w:hAnsiTheme="minorHAnsi" w:cstheme="minorHAnsi"/>
          <w:lang w:eastAsia="cs-CZ"/>
        </w:rPr>
        <w:t>)</w:t>
      </w:r>
      <w:r w:rsidRPr="006119FD">
        <w:rPr>
          <w:rFonts w:asciiTheme="minorHAnsi" w:hAnsiTheme="minorHAnsi" w:cstheme="minorHAnsi"/>
          <w:lang w:eastAsia="cs-CZ"/>
        </w:rPr>
        <w:t xml:space="preserve">, v případě </w:t>
      </w:r>
      <w:r w:rsidR="007B7F81" w:rsidRPr="006119FD">
        <w:rPr>
          <w:rFonts w:asciiTheme="minorHAnsi" w:hAnsiTheme="minorHAnsi" w:cstheme="minorHAnsi"/>
          <w:lang w:eastAsia="cs-CZ"/>
        </w:rPr>
        <w:t>jedné společnosti</w:t>
      </w:r>
      <w:r w:rsidRPr="006119FD">
        <w:rPr>
          <w:rFonts w:asciiTheme="minorHAnsi" w:hAnsiTheme="minorHAnsi" w:cstheme="minorHAnsi"/>
          <w:lang w:eastAsia="cs-CZ"/>
        </w:rPr>
        <w:t xml:space="preserve"> </w:t>
      </w:r>
      <w:r w:rsidR="004F3A3D" w:rsidRPr="006119FD">
        <w:rPr>
          <w:rFonts w:asciiTheme="minorHAnsi" w:hAnsiTheme="minorHAnsi" w:cstheme="minorHAnsi"/>
          <w:lang w:eastAsia="cs-CZ"/>
        </w:rPr>
        <w:t>neurčily</w:t>
      </w:r>
      <w:r w:rsidR="00917023">
        <w:rPr>
          <w:rFonts w:asciiTheme="minorHAnsi" w:hAnsiTheme="minorHAnsi" w:cstheme="minorHAnsi"/>
          <w:lang w:eastAsia="cs-CZ"/>
        </w:rPr>
        <w:t xml:space="preserve"> jednoznačným způsobem</w:t>
      </w:r>
      <w:r w:rsidRPr="006119FD">
        <w:rPr>
          <w:rFonts w:asciiTheme="minorHAnsi" w:hAnsiTheme="minorHAnsi" w:cstheme="minorHAnsi"/>
          <w:lang w:eastAsia="cs-CZ"/>
        </w:rPr>
        <w:t xml:space="preserve"> povinnost dozorčí rady schvalovat smlouvy o výkonu funkce člena představenstva ani povinnost uvést </w:t>
      </w:r>
      <w:r w:rsidR="00917023">
        <w:rPr>
          <w:rFonts w:asciiTheme="minorHAnsi" w:hAnsiTheme="minorHAnsi" w:cstheme="minorHAnsi"/>
          <w:lang w:eastAsia="cs-CZ"/>
        </w:rPr>
        <w:t>ve smlouvách</w:t>
      </w:r>
      <w:r w:rsidRPr="006119FD">
        <w:rPr>
          <w:rFonts w:asciiTheme="minorHAnsi" w:hAnsiTheme="minorHAnsi" w:cstheme="minorHAnsi"/>
          <w:lang w:eastAsia="cs-CZ"/>
        </w:rPr>
        <w:t xml:space="preserve"> </w:t>
      </w:r>
      <w:r w:rsidRPr="00685408">
        <w:rPr>
          <w:rFonts w:asciiTheme="minorHAnsi" w:hAnsiTheme="minorHAnsi" w:cstheme="minorHAnsi"/>
          <w:lang w:eastAsia="cs-CZ"/>
        </w:rPr>
        <w:t>veškerá poskytovaná plnění</w:t>
      </w:r>
      <w:r w:rsidR="00917023">
        <w:rPr>
          <w:rFonts w:asciiTheme="minorHAnsi" w:hAnsiTheme="minorHAnsi" w:cstheme="minorHAnsi"/>
          <w:lang w:eastAsia="cs-CZ"/>
        </w:rPr>
        <w:t>;</w:t>
      </w:r>
      <w:r w:rsidRPr="00685408">
        <w:rPr>
          <w:rFonts w:asciiTheme="minorHAnsi" w:hAnsiTheme="minorHAnsi" w:cstheme="minorHAnsi"/>
          <w:lang w:eastAsia="cs-CZ"/>
        </w:rPr>
        <w:t xml:space="preserve"> </w:t>
      </w:r>
      <w:r w:rsidR="00917023">
        <w:rPr>
          <w:rFonts w:asciiTheme="minorHAnsi" w:hAnsiTheme="minorHAnsi" w:cstheme="minorHAnsi"/>
          <w:lang w:eastAsia="cs-CZ"/>
        </w:rPr>
        <w:t>v </w:t>
      </w:r>
      <w:r w:rsidRPr="00685408">
        <w:rPr>
          <w:rFonts w:asciiTheme="minorHAnsi" w:hAnsiTheme="minorHAnsi" w:cstheme="minorHAnsi"/>
          <w:lang w:eastAsia="cs-CZ"/>
        </w:rPr>
        <w:t>případě</w:t>
      </w:r>
      <w:r w:rsidR="007B7F81" w:rsidRPr="00685408">
        <w:rPr>
          <w:rFonts w:asciiTheme="minorHAnsi" w:hAnsiTheme="minorHAnsi" w:cstheme="minorHAnsi"/>
          <w:lang w:eastAsia="cs-CZ"/>
        </w:rPr>
        <w:t xml:space="preserve"> druhé společnosti</w:t>
      </w:r>
      <w:r w:rsidRPr="00685408">
        <w:rPr>
          <w:rFonts w:asciiTheme="minorHAnsi" w:hAnsiTheme="minorHAnsi" w:cstheme="minorHAnsi"/>
          <w:lang w:eastAsia="cs-CZ"/>
        </w:rPr>
        <w:t xml:space="preserve"> pak </w:t>
      </w:r>
      <w:r w:rsidR="004F3A3D" w:rsidRPr="00685408">
        <w:rPr>
          <w:rFonts w:asciiTheme="minorHAnsi" w:hAnsiTheme="minorHAnsi" w:cstheme="minorHAnsi"/>
          <w:lang w:eastAsia="cs-CZ"/>
        </w:rPr>
        <w:t>neobsahovaly</w:t>
      </w:r>
      <w:r w:rsidRPr="00685408">
        <w:rPr>
          <w:rFonts w:asciiTheme="minorHAnsi" w:hAnsiTheme="minorHAnsi" w:cstheme="minorHAnsi"/>
          <w:lang w:eastAsia="cs-CZ"/>
        </w:rPr>
        <w:t xml:space="preserve"> povinnost uvést ve smlouvách o</w:t>
      </w:r>
      <w:r w:rsidR="00917023">
        <w:rPr>
          <w:rFonts w:asciiTheme="minorHAnsi" w:hAnsiTheme="minorHAnsi" w:cstheme="minorHAnsi"/>
          <w:lang w:eastAsia="cs-CZ"/>
        </w:rPr>
        <w:t> </w:t>
      </w:r>
      <w:r w:rsidRPr="00685408">
        <w:rPr>
          <w:rFonts w:asciiTheme="minorHAnsi" w:hAnsiTheme="minorHAnsi" w:cstheme="minorHAnsi"/>
          <w:lang w:eastAsia="cs-CZ"/>
        </w:rPr>
        <w:t xml:space="preserve">výkonu funkce člena představenstva (resp. člena dozorčí rady a výboru pro audit) veškerá poskytovaná plnění. </w:t>
      </w:r>
    </w:p>
    <w:p w14:paraId="4AF0E53B" w14:textId="77777777" w:rsidR="00E57F26" w:rsidRPr="00685408" w:rsidRDefault="00E57F26" w:rsidP="00EF53D6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1696F53B" w14:textId="3827C790" w:rsidR="005D695E" w:rsidRPr="00685408" w:rsidRDefault="005D695E" w:rsidP="005D695E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  <w:r w:rsidRPr="00685408">
        <w:rPr>
          <w:rFonts w:asciiTheme="minorHAnsi" w:hAnsiTheme="minorHAnsi" w:cstheme="minorHAnsi"/>
          <w:lang w:eastAsia="cs-CZ"/>
        </w:rPr>
        <w:t xml:space="preserve">Stanovy čtyř společností, v nichž bylo schvalování smluv o výkonu funkce člena představenstva v působnosti valné hromady, umožňovaly zabezpečit dodržení podmínek </w:t>
      </w:r>
      <w:r w:rsidRPr="003F0FF7">
        <w:rPr>
          <w:rFonts w:asciiTheme="minorHAnsi" w:hAnsiTheme="minorHAnsi" w:cstheme="minorHAnsi"/>
          <w:lang w:eastAsia="cs-CZ"/>
        </w:rPr>
        <w:t>odměňování členů představenstva</w:t>
      </w:r>
      <w:r w:rsidR="0099245E" w:rsidRPr="003F0FF7">
        <w:rPr>
          <w:rFonts w:asciiTheme="minorHAnsi" w:hAnsiTheme="minorHAnsi" w:cstheme="minorHAnsi"/>
          <w:lang w:eastAsia="cs-CZ"/>
        </w:rPr>
        <w:t xml:space="preserve"> až</w:t>
      </w:r>
      <w:r w:rsidRPr="003F0FF7">
        <w:rPr>
          <w:rFonts w:asciiTheme="minorHAnsi" w:hAnsiTheme="minorHAnsi" w:cstheme="minorHAnsi"/>
          <w:lang w:eastAsia="cs-CZ"/>
        </w:rPr>
        <w:t xml:space="preserve"> v okamžiku schvalování smluv o výkonu funkce, </w:t>
      </w:r>
      <w:r w:rsidRPr="00685408">
        <w:rPr>
          <w:rFonts w:asciiTheme="minorHAnsi" w:hAnsiTheme="minorHAnsi" w:cstheme="minorHAnsi"/>
          <w:lang w:eastAsia="cs-CZ"/>
        </w:rPr>
        <w:t>problematiku odměňování členů představenstva systémově neřešily.</w:t>
      </w:r>
      <w:r w:rsidR="00307745">
        <w:rPr>
          <w:rFonts w:asciiTheme="minorHAnsi" w:hAnsiTheme="minorHAnsi" w:cstheme="minorHAnsi"/>
          <w:lang w:eastAsia="cs-CZ"/>
        </w:rPr>
        <w:t xml:space="preserve"> </w:t>
      </w:r>
    </w:p>
    <w:p w14:paraId="384AA862" w14:textId="77777777" w:rsidR="00A808DB" w:rsidRPr="00685408" w:rsidRDefault="00A808DB" w:rsidP="00A808DB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32A8A2D" w14:textId="0263DCEE" w:rsidR="00A808DB" w:rsidRPr="006E46CD" w:rsidRDefault="00A808DB" w:rsidP="00A808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4F3A3D">
        <w:rPr>
          <w:rFonts w:cstheme="minorHAnsi"/>
          <w:b/>
          <w:sz w:val="24"/>
          <w:szCs w:val="24"/>
          <w:lang w:eastAsia="cs-CZ"/>
        </w:rPr>
        <w:t>MPO</w:t>
      </w:r>
      <w:r w:rsidRPr="00864610">
        <w:rPr>
          <w:rFonts w:cstheme="minorHAnsi"/>
          <w:sz w:val="24"/>
          <w:szCs w:val="24"/>
          <w:lang w:eastAsia="cs-CZ"/>
        </w:rPr>
        <w:t xml:space="preserve"> </w:t>
      </w:r>
      <w:r w:rsidRPr="00864610">
        <w:rPr>
          <w:rFonts w:cstheme="minorHAnsi"/>
          <w:sz w:val="24"/>
          <w:szCs w:val="24"/>
        </w:rPr>
        <w:t xml:space="preserve">prostřednictvím svých zástupců v orgánech </w:t>
      </w:r>
      <w:r w:rsidR="00201936" w:rsidRPr="00864610">
        <w:rPr>
          <w:rFonts w:cstheme="minorHAnsi"/>
          <w:sz w:val="24"/>
          <w:szCs w:val="24"/>
        </w:rPr>
        <w:t xml:space="preserve">dvou </w:t>
      </w:r>
      <w:r w:rsidRPr="00864610">
        <w:rPr>
          <w:rFonts w:cstheme="minorHAnsi"/>
          <w:sz w:val="24"/>
          <w:szCs w:val="24"/>
        </w:rPr>
        <w:t xml:space="preserve">společností zabezpečilo </w:t>
      </w:r>
      <w:r w:rsidRPr="006E46CD">
        <w:rPr>
          <w:rFonts w:cstheme="minorHAnsi"/>
          <w:sz w:val="24"/>
          <w:szCs w:val="24"/>
        </w:rPr>
        <w:t xml:space="preserve">úpravu </w:t>
      </w:r>
      <w:r w:rsidR="007B7F81" w:rsidRPr="006E46CD">
        <w:rPr>
          <w:rFonts w:cstheme="minorHAnsi"/>
          <w:sz w:val="24"/>
          <w:szCs w:val="24"/>
        </w:rPr>
        <w:t>s</w:t>
      </w:r>
      <w:r w:rsidRPr="006E46CD">
        <w:rPr>
          <w:rFonts w:cstheme="minorHAnsi"/>
          <w:sz w:val="24"/>
          <w:szCs w:val="24"/>
        </w:rPr>
        <w:t>tanov</w:t>
      </w:r>
      <w:r w:rsidR="00917023">
        <w:rPr>
          <w:rFonts w:cstheme="minorHAnsi"/>
          <w:sz w:val="24"/>
          <w:szCs w:val="24"/>
        </w:rPr>
        <w:t xml:space="preserve"> tak, aby v nich</w:t>
      </w:r>
      <w:r w:rsidRPr="006E46CD">
        <w:rPr>
          <w:rFonts w:cstheme="minorHAnsi"/>
          <w:sz w:val="24"/>
          <w:szCs w:val="24"/>
        </w:rPr>
        <w:t xml:space="preserve"> byly definovány kompetence příslušných orgánů společností týkající se odměňování členů představenstva a dozorčí rady. Typové smlouvy o</w:t>
      </w:r>
      <w:r w:rsidR="00917023">
        <w:rPr>
          <w:rFonts w:cstheme="minorHAnsi"/>
          <w:sz w:val="24"/>
          <w:szCs w:val="24"/>
        </w:rPr>
        <w:t> </w:t>
      </w:r>
      <w:r w:rsidRPr="006E46CD">
        <w:rPr>
          <w:rFonts w:cstheme="minorHAnsi"/>
          <w:sz w:val="24"/>
          <w:szCs w:val="24"/>
        </w:rPr>
        <w:t>výkonu funkce členů dozorčí rady shodně u obou společností schvaloval jediný akcionář svým rozhodnutím v působnosti valné hromady. Smlouvy o výkonu funkce člena představenstva schvalovala v</w:t>
      </w:r>
      <w:r w:rsidR="00D353E2">
        <w:rPr>
          <w:rFonts w:cstheme="minorHAnsi"/>
          <w:sz w:val="24"/>
          <w:szCs w:val="24"/>
        </w:rPr>
        <w:t> </w:t>
      </w:r>
      <w:r w:rsidR="00864610" w:rsidRPr="006E46CD">
        <w:rPr>
          <w:rFonts w:cstheme="minorHAnsi"/>
          <w:sz w:val="24"/>
          <w:szCs w:val="24"/>
        </w:rPr>
        <w:t>jedné</w:t>
      </w:r>
      <w:r w:rsidRPr="006E46CD">
        <w:rPr>
          <w:rFonts w:cstheme="minorHAnsi"/>
          <w:sz w:val="24"/>
          <w:szCs w:val="24"/>
        </w:rPr>
        <w:t xml:space="preserve"> společnosti dozorčí rada</w:t>
      </w:r>
      <w:r w:rsidR="004F3A3D" w:rsidRPr="006E46CD">
        <w:rPr>
          <w:rFonts w:cstheme="minorHAnsi"/>
          <w:sz w:val="24"/>
          <w:szCs w:val="24"/>
        </w:rPr>
        <w:t>.</w:t>
      </w:r>
      <w:r w:rsidRPr="006E46CD">
        <w:rPr>
          <w:rFonts w:cstheme="minorHAnsi"/>
          <w:sz w:val="24"/>
          <w:szCs w:val="24"/>
        </w:rPr>
        <w:t xml:space="preserve"> </w:t>
      </w:r>
      <w:r w:rsidR="004F3A3D" w:rsidRPr="006E46CD">
        <w:rPr>
          <w:rFonts w:cstheme="minorHAnsi"/>
          <w:sz w:val="24"/>
          <w:szCs w:val="24"/>
        </w:rPr>
        <w:t xml:space="preserve">U </w:t>
      </w:r>
      <w:r w:rsidR="00864610" w:rsidRPr="006E46CD">
        <w:rPr>
          <w:rFonts w:cstheme="minorHAnsi"/>
          <w:sz w:val="24"/>
          <w:szCs w:val="24"/>
        </w:rPr>
        <w:t>druhé společnosti</w:t>
      </w:r>
      <w:r w:rsidRPr="006E46CD">
        <w:rPr>
          <w:rFonts w:cstheme="minorHAnsi"/>
          <w:sz w:val="24"/>
          <w:szCs w:val="24"/>
        </w:rPr>
        <w:t xml:space="preserve"> byly schváleny typové smlouvy o výkonu funkce člena představenstva </w:t>
      </w:r>
      <w:r w:rsidR="00A023BD">
        <w:rPr>
          <w:rFonts w:cstheme="minorHAnsi"/>
          <w:sz w:val="24"/>
          <w:szCs w:val="24"/>
        </w:rPr>
        <w:t>r</w:t>
      </w:r>
      <w:r w:rsidR="004F3A3D" w:rsidRPr="006E46CD">
        <w:rPr>
          <w:rFonts w:cstheme="minorHAnsi"/>
          <w:sz w:val="24"/>
          <w:szCs w:val="24"/>
        </w:rPr>
        <w:t>ozhodnutím jediného akcionáře v působnosti valné hromady</w:t>
      </w:r>
      <w:r w:rsidRPr="006E46CD">
        <w:rPr>
          <w:rFonts w:cstheme="minorHAnsi"/>
          <w:sz w:val="24"/>
          <w:szCs w:val="24"/>
        </w:rPr>
        <w:t xml:space="preserve">. </w:t>
      </w:r>
    </w:p>
    <w:p w14:paraId="32039A45" w14:textId="77777777" w:rsidR="004F3A3D" w:rsidRPr="006E46CD" w:rsidRDefault="004F3A3D" w:rsidP="00A808D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F420C34" w14:textId="666A391C" w:rsidR="004F3A3D" w:rsidRPr="006E46CD" w:rsidRDefault="004F3A3D" w:rsidP="00A808DB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>MZe</w:t>
      </w:r>
      <w:r w:rsidRPr="00D14358">
        <w:rPr>
          <w:rFonts w:cstheme="minorHAnsi"/>
          <w:sz w:val="24"/>
          <w:szCs w:val="24"/>
        </w:rPr>
        <w:t xml:space="preserve"> v kontrolovaném období </w:t>
      </w:r>
      <w:r w:rsidR="00120F71" w:rsidRPr="00D14358">
        <w:rPr>
          <w:rFonts w:cstheme="minorHAnsi"/>
          <w:sz w:val="24"/>
          <w:szCs w:val="24"/>
        </w:rPr>
        <w:t xml:space="preserve">nebylo </w:t>
      </w:r>
      <w:r w:rsidRPr="00D14358">
        <w:rPr>
          <w:rFonts w:cstheme="minorHAnsi"/>
          <w:sz w:val="24"/>
          <w:szCs w:val="24"/>
        </w:rPr>
        <w:t>příslušné hospodařit s</w:t>
      </w:r>
      <w:r w:rsidR="006F558D" w:rsidRPr="00D14358">
        <w:rPr>
          <w:rFonts w:cstheme="minorHAnsi"/>
          <w:sz w:val="24"/>
          <w:szCs w:val="24"/>
        </w:rPr>
        <w:t> majetkovými účastmi</w:t>
      </w:r>
      <w:r w:rsidRPr="00D14358">
        <w:rPr>
          <w:rFonts w:cstheme="minorHAnsi"/>
          <w:sz w:val="24"/>
          <w:szCs w:val="24"/>
        </w:rPr>
        <w:t xml:space="preserve"> státu</w:t>
      </w:r>
      <w:r w:rsidR="00120F71" w:rsidRPr="00D14358">
        <w:rPr>
          <w:rFonts w:cstheme="minorHAnsi"/>
          <w:sz w:val="24"/>
          <w:szCs w:val="24"/>
        </w:rPr>
        <w:t xml:space="preserve"> </w:t>
      </w:r>
      <w:r w:rsidR="00120F71" w:rsidRPr="006E46CD">
        <w:rPr>
          <w:rFonts w:cstheme="minorHAnsi"/>
          <w:sz w:val="24"/>
          <w:szCs w:val="24"/>
        </w:rPr>
        <w:t>v obchodních společnostech, na které by se Zásady odměňování</w:t>
      </w:r>
      <w:r w:rsidR="00CF43C0">
        <w:rPr>
          <w:rFonts w:cstheme="minorHAnsi"/>
          <w:sz w:val="24"/>
          <w:szCs w:val="24"/>
          <w:vertAlign w:val="superscript"/>
        </w:rPr>
        <w:t>2</w:t>
      </w:r>
      <w:r w:rsidR="00120F71" w:rsidRPr="006E46CD">
        <w:rPr>
          <w:rFonts w:cstheme="minorHAnsi"/>
          <w:sz w:val="24"/>
          <w:szCs w:val="24"/>
        </w:rPr>
        <w:t xml:space="preserve"> vztahovaly.</w:t>
      </w:r>
    </w:p>
    <w:p w14:paraId="33DAF724" w14:textId="77777777" w:rsidR="005D6DB2" w:rsidRPr="005D6DB2" w:rsidRDefault="005D6DB2" w:rsidP="005D6DB2">
      <w:pPr>
        <w:jc w:val="both"/>
        <w:rPr>
          <w:rFonts w:cstheme="minorHAnsi"/>
          <w:b/>
        </w:rPr>
      </w:pPr>
    </w:p>
    <w:p w14:paraId="7247E828" w14:textId="141DE4D4" w:rsidR="0014151F" w:rsidRPr="006E46CD" w:rsidRDefault="00532B3B" w:rsidP="00146042">
      <w:pPr>
        <w:pStyle w:val="Odstavecseseznamem"/>
        <w:ind w:left="426" w:hanging="426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2.3</w:t>
      </w:r>
      <w:r>
        <w:rPr>
          <w:rFonts w:asciiTheme="minorHAnsi" w:hAnsiTheme="minorHAnsi" w:cstheme="minorHAnsi"/>
          <w:b/>
        </w:rPr>
        <w:tab/>
      </w:r>
      <w:r w:rsidR="0014151F" w:rsidRPr="006E46CD">
        <w:rPr>
          <w:rFonts w:asciiTheme="minorHAnsi" w:hAnsiTheme="minorHAnsi" w:cstheme="minorHAnsi"/>
          <w:b/>
        </w:rPr>
        <w:t>Zajištění ročního projednávání odměňování vedoucích zaměstnanců a členů orgánů dozorčí radou, obdobným orgánem</w:t>
      </w:r>
      <w:r w:rsidR="00917023">
        <w:rPr>
          <w:rFonts w:asciiTheme="minorHAnsi" w:hAnsiTheme="minorHAnsi" w:cstheme="minorHAnsi"/>
          <w:b/>
        </w:rPr>
        <w:t xml:space="preserve"> nebo</w:t>
      </w:r>
      <w:r w:rsidR="0014151F" w:rsidRPr="006E46CD">
        <w:rPr>
          <w:rFonts w:asciiTheme="minorHAnsi" w:hAnsiTheme="minorHAnsi" w:cstheme="minorHAnsi"/>
          <w:b/>
        </w:rPr>
        <w:t xml:space="preserve"> ministerstvem ve stanovách obchodních společností </w:t>
      </w:r>
    </w:p>
    <w:p w14:paraId="4BA23CB1" w14:textId="77777777" w:rsidR="00532B3B" w:rsidRPr="00532B3B" w:rsidRDefault="00532B3B" w:rsidP="00D03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9FF3D60" w14:textId="241EA28C" w:rsidR="00D0306C" w:rsidRPr="006E46CD" w:rsidRDefault="00120F71" w:rsidP="00D03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6E46CD">
        <w:rPr>
          <w:rFonts w:cstheme="minorHAnsi"/>
          <w:b/>
          <w:sz w:val="24"/>
          <w:szCs w:val="24"/>
          <w:lang w:eastAsia="cs-CZ"/>
        </w:rPr>
        <w:t>MF</w:t>
      </w:r>
      <w:r w:rsidRPr="006E46CD">
        <w:rPr>
          <w:rFonts w:cstheme="minorHAnsi"/>
          <w:sz w:val="24"/>
          <w:szCs w:val="24"/>
          <w:lang w:eastAsia="cs-CZ"/>
        </w:rPr>
        <w:t xml:space="preserve"> </w:t>
      </w:r>
      <w:r w:rsidR="00D353E2">
        <w:rPr>
          <w:rFonts w:cstheme="minorHAnsi"/>
          <w:sz w:val="24"/>
          <w:szCs w:val="24"/>
          <w:lang w:eastAsia="cs-CZ"/>
        </w:rPr>
        <w:t>–</w:t>
      </w:r>
      <w:r w:rsidRPr="006E46CD">
        <w:rPr>
          <w:rFonts w:cstheme="minorHAnsi"/>
          <w:sz w:val="24"/>
          <w:szCs w:val="24"/>
          <w:lang w:eastAsia="cs-CZ"/>
        </w:rPr>
        <w:t xml:space="preserve"> </w:t>
      </w:r>
      <w:r w:rsidR="00917023">
        <w:rPr>
          <w:rFonts w:cstheme="minorHAnsi"/>
          <w:sz w:val="24"/>
          <w:szCs w:val="24"/>
          <w:lang w:eastAsia="cs-CZ"/>
        </w:rPr>
        <w:t xml:space="preserve">U dvou </w:t>
      </w:r>
      <w:r w:rsidRPr="006E46CD">
        <w:rPr>
          <w:rFonts w:cstheme="minorHAnsi"/>
          <w:sz w:val="24"/>
          <w:szCs w:val="24"/>
          <w:lang w:eastAsia="cs-CZ"/>
        </w:rPr>
        <w:t>z</w:t>
      </w:r>
      <w:r w:rsidR="00917023">
        <w:rPr>
          <w:rFonts w:cstheme="minorHAnsi"/>
          <w:sz w:val="24"/>
          <w:szCs w:val="24"/>
          <w:lang w:eastAsia="cs-CZ"/>
        </w:rPr>
        <w:t>e</w:t>
      </w:r>
      <w:r w:rsidRPr="006E46CD">
        <w:rPr>
          <w:rFonts w:cstheme="minorHAnsi"/>
          <w:sz w:val="24"/>
          <w:szCs w:val="24"/>
          <w:lang w:eastAsia="cs-CZ"/>
        </w:rPr>
        <w:t xml:space="preserve"> šesti společností, v nichž měla být úprava stanov provedena, nebyla ve stanovách</w:t>
      </w:r>
      <w:r w:rsidR="00917023">
        <w:rPr>
          <w:rFonts w:cstheme="minorHAnsi"/>
          <w:sz w:val="24"/>
          <w:szCs w:val="24"/>
          <w:lang w:eastAsia="cs-CZ"/>
        </w:rPr>
        <w:t xml:space="preserve"> dozorčí radě stanovena</w:t>
      </w:r>
      <w:r w:rsidRPr="006E46CD">
        <w:rPr>
          <w:rFonts w:cstheme="minorHAnsi"/>
          <w:sz w:val="24"/>
          <w:szCs w:val="24"/>
          <w:lang w:eastAsia="cs-CZ"/>
        </w:rPr>
        <w:t xml:space="preserve"> povinnost projednat </w:t>
      </w:r>
      <w:r w:rsidRPr="006E46CD">
        <w:rPr>
          <w:rFonts w:cstheme="minorHAnsi"/>
          <w:sz w:val="24"/>
          <w:szCs w:val="24"/>
        </w:rPr>
        <w:t xml:space="preserve">minimálně jedenkrát ročně </w:t>
      </w:r>
      <w:r w:rsidRPr="006E46CD">
        <w:rPr>
          <w:rFonts w:cstheme="minorHAnsi"/>
          <w:sz w:val="24"/>
          <w:szCs w:val="24"/>
          <w:lang w:eastAsia="cs-CZ"/>
        </w:rPr>
        <w:t xml:space="preserve">odměňování vybraných pozic, tj. </w:t>
      </w:r>
      <w:r w:rsidRPr="006E46CD">
        <w:rPr>
          <w:rFonts w:cstheme="minorHAnsi"/>
          <w:sz w:val="24"/>
          <w:szCs w:val="24"/>
        </w:rPr>
        <w:t xml:space="preserve">smluvní podmínky odměňování vedoucích zaměstnanců </w:t>
      </w:r>
      <w:r w:rsidRPr="006E46CD">
        <w:rPr>
          <w:rFonts w:cstheme="minorHAnsi"/>
          <w:sz w:val="24"/>
          <w:szCs w:val="24"/>
        </w:rPr>
        <w:lastRenderedPageBreak/>
        <w:t>a</w:t>
      </w:r>
      <w:r w:rsidR="007F7774">
        <w:rPr>
          <w:rFonts w:cstheme="minorHAnsi"/>
          <w:sz w:val="24"/>
          <w:szCs w:val="24"/>
        </w:rPr>
        <w:t> </w:t>
      </w:r>
      <w:r w:rsidRPr="006E46CD">
        <w:rPr>
          <w:rFonts w:cstheme="minorHAnsi"/>
          <w:sz w:val="24"/>
          <w:szCs w:val="24"/>
        </w:rPr>
        <w:t>členů představenstva.</w:t>
      </w:r>
      <w:r w:rsidRPr="006E46CD">
        <w:rPr>
          <w:rFonts w:cstheme="minorHAnsi"/>
          <w:sz w:val="24"/>
          <w:szCs w:val="24"/>
          <w:lang w:eastAsia="cs-CZ"/>
        </w:rPr>
        <w:t xml:space="preserve"> </w:t>
      </w:r>
      <w:r w:rsidR="008670F0">
        <w:rPr>
          <w:rFonts w:cstheme="minorHAnsi"/>
          <w:sz w:val="24"/>
          <w:szCs w:val="24"/>
          <w:lang w:eastAsia="cs-CZ"/>
        </w:rPr>
        <w:t>Dle stanov</w:t>
      </w:r>
      <w:r w:rsidRPr="006E46CD">
        <w:rPr>
          <w:rFonts w:cstheme="minorHAnsi"/>
          <w:sz w:val="24"/>
          <w:szCs w:val="24"/>
          <w:lang w:eastAsia="cs-CZ"/>
        </w:rPr>
        <w:t xml:space="preserve"> tří společností bylo představenstvo povinno jednou ročně informovat dozorčí radu o smluvních podmínkách odměňování vedoucích zaměstnanců, resp. vedoucích zaměstnanců, kteří jsou zároveň členy představenstva, dozorčí radě dvou z nich však </w:t>
      </w:r>
      <w:r w:rsidR="008670F0">
        <w:rPr>
          <w:rFonts w:cstheme="minorHAnsi"/>
          <w:sz w:val="24"/>
          <w:szCs w:val="24"/>
          <w:lang w:eastAsia="cs-CZ"/>
        </w:rPr>
        <w:t xml:space="preserve">nebyla stanovena </w:t>
      </w:r>
      <w:r w:rsidRPr="006E46CD">
        <w:rPr>
          <w:rFonts w:cstheme="minorHAnsi"/>
          <w:sz w:val="24"/>
          <w:szCs w:val="24"/>
          <w:lang w:eastAsia="cs-CZ"/>
        </w:rPr>
        <w:t xml:space="preserve">povinnost tuto informaci projednat. Ve stanovách jedné společnosti </w:t>
      </w:r>
      <w:r w:rsidR="0066273E" w:rsidRPr="006E46CD">
        <w:rPr>
          <w:rFonts w:cstheme="minorHAnsi"/>
          <w:sz w:val="24"/>
          <w:szCs w:val="24"/>
          <w:lang w:eastAsia="cs-CZ"/>
        </w:rPr>
        <w:t xml:space="preserve">bylo </w:t>
      </w:r>
      <w:r w:rsidRPr="006E46CD">
        <w:rPr>
          <w:rFonts w:cstheme="minorHAnsi"/>
          <w:sz w:val="24"/>
          <w:szCs w:val="24"/>
          <w:lang w:eastAsia="cs-CZ"/>
        </w:rPr>
        <w:t>zajištěno, že smluvní podmínky odměňování vedoucích zaměstnanců a</w:t>
      </w:r>
      <w:r w:rsidR="00A36D11">
        <w:rPr>
          <w:rFonts w:cstheme="minorHAnsi"/>
          <w:sz w:val="24"/>
          <w:szCs w:val="24"/>
          <w:lang w:eastAsia="cs-CZ"/>
        </w:rPr>
        <w:t> </w:t>
      </w:r>
      <w:r w:rsidRPr="006E46CD">
        <w:rPr>
          <w:rFonts w:cstheme="minorHAnsi"/>
          <w:sz w:val="24"/>
          <w:szCs w:val="24"/>
          <w:lang w:eastAsia="cs-CZ"/>
        </w:rPr>
        <w:t>členů představenstva a dozorčí rady jednou ročně projedná dozorčí rada.</w:t>
      </w:r>
      <w:r w:rsidR="00D0306C" w:rsidRPr="006E46CD">
        <w:rPr>
          <w:rFonts w:cstheme="minorHAnsi"/>
          <w:sz w:val="24"/>
          <w:szCs w:val="24"/>
          <w:lang w:eastAsia="cs-CZ"/>
        </w:rPr>
        <w:t xml:space="preserve"> </w:t>
      </w:r>
    </w:p>
    <w:p w14:paraId="3FE25501" w14:textId="464E9047" w:rsidR="00120F71" w:rsidRPr="006E46CD" w:rsidRDefault="00120F71" w:rsidP="00D0306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8E3EBFD" w14:textId="1376EED0" w:rsidR="005F5FF0" w:rsidRPr="00D126A8" w:rsidRDefault="005F5FF0" w:rsidP="005F5FF0">
      <w:pPr>
        <w:pStyle w:val="Zkladntext2"/>
        <w:spacing w:after="0" w:line="240" w:lineRule="auto"/>
        <w:jc w:val="both"/>
        <w:rPr>
          <w:rFonts w:asciiTheme="minorHAnsi" w:hAnsiTheme="minorHAnsi" w:cstheme="minorHAnsi"/>
        </w:rPr>
      </w:pPr>
      <w:r w:rsidRPr="00D126A8">
        <w:rPr>
          <w:rFonts w:asciiTheme="minorHAnsi" w:hAnsiTheme="minorHAnsi" w:cstheme="minorHAnsi"/>
          <w:b/>
        </w:rPr>
        <w:t xml:space="preserve">MPO </w:t>
      </w:r>
      <w:r w:rsidR="00F825BF" w:rsidRPr="00D353E2">
        <w:rPr>
          <w:rFonts w:asciiTheme="minorHAnsi" w:hAnsiTheme="minorHAnsi" w:cstheme="minorHAnsi"/>
        </w:rPr>
        <w:t>–</w:t>
      </w:r>
      <w:r w:rsidRPr="00D126A8">
        <w:rPr>
          <w:rFonts w:asciiTheme="minorHAnsi" w:hAnsiTheme="minorHAnsi" w:cstheme="minorHAnsi"/>
          <w:b/>
        </w:rPr>
        <w:t xml:space="preserve"> </w:t>
      </w:r>
      <w:r w:rsidR="008670F0">
        <w:rPr>
          <w:rFonts w:asciiTheme="minorHAnsi" w:hAnsiTheme="minorHAnsi" w:cstheme="minorHAnsi"/>
        </w:rPr>
        <w:t>K</w:t>
      </w:r>
      <w:r w:rsidRPr="00D126A8">
        <w:rPr>
          <w:rFonts w:asciiTheme="minorHAnsi" w:hAnsiTheme="minorHAnsi" w:cstheme="minorHAnsi"/>
        </w:rPr>
        <w:t xml:space="preserve">ontrola odměňování vybraných pozic byla upravena ve </w:t>
      </w:r>
      <w:r w:rsidR="0053052A" w:rsidRPr="00D126A8">
        <w:rPr>
          <w:rFonts w:asciiTheme="minorHAnsi" w:hAnsiTheme="minorHAnsi" w:cstheme="minorHAnsi"/>
        </w:rPr>
        <w:t>s</w:t>
      </w:r>
      <w:r w:rsidRPr="00D126A8">
        <w:rPr>
          <w:rFonts w:asciiTheme="minorHAnsi" w:hAnsiTheme="minorHAnsi" w:cstheme="minorHAnsi"/>
        </w:rPr>
        <w:t xml:space="preserve">tanovách </w:t>
      </w:r>
      <w:r w:rsidR="0053052A" w:rsidRPr="00D126A8">
        <w:rPr>
          <w:rFonts w:asciiTheme="minorHAnsi" w:hAnsiTheme="minorHAnsi" w:cstheme="minorHAnsi"/>
        </w:rPr>
        <w:t xml:space="preserve">těch </w:t>
      </w:r>
      <w:r w:rsidRPr="00D126A8">
        <w:rPr>
          <w:rFonts w:asciiTheme="minorHAnsi" w:hAnsiTheme="minorHAnsi" w:cstheme="minorHAnsi"/>
        </w:rPr>
        <w:t>společností,</w:t>
      </w:r>
      <w:r w:rsidR="0053052A" w:rsidRPr="00D126A8">
        <w:rPr>
          <w:rFonts w:asciiTheme="minorHAnsi" w:hAnsiTheme="minorHAnsi" w:cstheme="minorHAnsi"/>
        </w:rPr>
        <w:t xml:space="preserve"> v</w:t>
      </w:r>
      <w:r w:rsidR="004C7508" w:rsidRPr="00D126A8">
        <w:rPr>
          <w:rFonts w:asciiTheme="minorHAnsi" w:hAnsiTheme="minorHAnsi" w:cstheme="minorHAnsi"/>
        </w:rPr>
        <w:t> </w:t>
      </w:r>
      <w:r w:rsidR="0053052A" w:rsidRPr="00D126A8">
        <w:rPr>
          <w:rFonts w:asciiTheme="minorHAnsi" w:hAnsiTheme="minorHAnsi" w:cstheme="minorHAnsi"/>
        </w:rPr>
        <w:t>nichž</w:t>
      </w:r>
      <w:r w:rsidRPr="00D126A8">
        <w:rPr>
          <w:rFonts w:asciiTheme="minorHAnsi" w:hAnsiTheme="minorHAnsi" w:cstheme="minorHAnsi"/>
        </w:rPr>
        <w:t xml:space="preserve"> odměňování členů představenstva </w:t>
      </w:r>
      <w:r w:rsidR="0053052A" w:rsidRPr="00D126A8">
        <w:rPr>
          <w:rFonts w:asciiTheme="minorHAnsi" w:hAnsiTheme="minorHAnsi" w:cstheme="minorHAnsi"/>
        </w:rPr>
        <w:t>spadá</w:t>
      </w:r>
      <w:r w:rsidRPr="00D126A8">
        <w:rPr>
          <w:rFonts w:asciiTheme="minorHAnsi" w:hAnsiTheme="minorHAnsi" w:cstheme="minorHAnsi"/>
        </w:rPr>
        <w:t xml:space="preserve"> do působnosti dozorčí rady. Dozorčí rady </w:t>
      </w:r>
      <w:r w:rsidR="0007139C" w:rsidRPr="00D126A8">
        <w:rPr>
          <w:rFonts w:asciiTheme="minorHAnsi" w:hAnsiTheme="minorHAnsi" w:cstheme="minorHAnsi"/>
        </w:rPr>
        <w:t xml:space="preserve">měly </w:t>
      </w:r>
      <w:r w:rsidR="006C67F2" w:rsidRPr="00D126A8">
        <w:rPr>
          <w:rFonts w:asciiTheme="minorHAnsi" w:hAnsiTheme="minorHAnsi" w:cstheme="minorHAnsi"/>
        </w:rPr>
        <w:t>dle stanov</w:t>
      </w:r>
      <w:r w:rsidRPr="00D126A8">
        <w:rPr>
          <w:rFonts w:asciiTheme="minorHAnsi" w:hAnsiTheme="minorHAnsi" w:cstheme="minorHAnsi"/>
        </w:rPr>
        <w:t xml:space="preserve"> </w:t>
      </w:r>
      <w:r w:rsidR="0007139C" w:rsidRPr="00D126A8">
        <w:rPr>
          <w:rFonts w:asciiTheme="minorHAnsi" w:hAnsiTheme="minorHAnsi" w:cstheme="minorHAnsi"/>
        </w:rPr>
        <w:t xml:space="preserve">projednávat </w:t>
      </w:r>
      <w:r w:rsidRPr="00D126A8">
        <w:rPr>
          <w:rFonts w:asciiTheme="minorHAnsi" w:hAnsiTheme="minorHAnsi" w:cstheme="minorHAnsi"/>
        </w:rPr>
        <w:t>plnění kritérií pro přiznání odměn představenstv</w:t>
      </w:r>
      <w:r w:rsidR="008670F0">
        <w:rPr>
          <w:rFonts w:asciiTheme="minorHAnsi" w:hAnsiTheme="minorHAnsi" w:cstheme="minorHAnsi"/>
        </w:rPr>
        <w:t>u</w:t>
      </w:r>
      <w:r w:rsidRPr="00D126A8">
        <w:rPr>
          <w:rFonts w:asciiTheme="minorHAnsi" w:hAnsiTheme="minorHAnsi" w:cstheme="minorHAnsi"/>
        </w:rPr>
        <w:t xml:space="preserve"> každý rok</w:t>
      </w:r>
      <w:r w:rsidR="0070353A" w:rsidRPr="00D126A8">
        <w:rPr>
          <w:rFonts w:asciiTheme="minorHAnsi" w:hAnsiTheme="minorHAnsi" w:cstheme="minorHAnsi"/>
        </w:rPr>
        <w:t>.</w:t>
      </w:r>
      <w:r w:rsidRPr="00D126A8">
        <w:rPr>
          <w:rFonts w:asciiTheme="minorHAnsi" w:hAnsiTheme="minorHAnsi" w:cstheme="minorHAnsi"/>
        </w:rPr>
        <w:t xml:space="preserve"> </w:t>
      </w:r>
    </w:p>
    <w:p w14:paraId="0AE146F1" w14:textId="77777777" w:rsidR="00A865A7" w:rsidRPr="006E46CD" w:rsidRDefault="00A865A7" w:rsidP="00BF43AA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F6B52F4" w14:textId="23A56406" w:rsidR="009B578B" w:rsidRPr="006E46CD" w:rsidRDefault="004C7508" w:rsidP="00864610">
      <w:pPr>
        <w:spacing w:after="0" w:line="240" w:lineRule="auto"/>
        <w:ind w:left="426" w:hanging="426"/>
        <w:jc w:val="both"/>
        <w:rPr>
          <w:rFonts w:cstheme="minorHAnsi"/>
          <w:b/>
          <w:sz w:val="24"/>
          <w:szCs w:val="24"/>
          <w:lang w:eastAsia="cs-CZ"/>
        </w:rPr>
      </w:pPr>
      <w:r w:rsidRPr="006E46CD">
        <w:rPr>
          <w:rFonts w:cstheme="minorHAnsi"/>
          <w:b/>
          <w:sz w:val="24"/>
          <w:szCs w:val="24"/>
          <w:lang w:eastAsia="cs-CZ"/>
        </w:rPr>
        <w:t>2.</w:t>
      </w:r>
      <w:r w:rsidR="00864610" w:rsidRPr="006E46CD">
        <w:rPr>
          <w:rFonts w:cstheme="minorHAnsi"/>
          <w:b/>
          <w:sz w:val="24"/>
          <w:szCs w:val="24"/>
          <w:lang w:eastAsia="cs-CZ"/>
        </w:rPr>
        <w:t>4</w:t>
      </w:r>
      <w:r w:rsidR="00532B3B">
        <w:rPr>
          <w:rFonts w:cstheme="minorHAnsi"/>
          <w:b/>
          <w:sz w:val="24"/>
          <w:szCs w:val="24"/>
          <w:lang w:eastAsia="cs-CZ"/>
        </w:rPr>
        <w:tab/>
      </w:r>
      <w:r w:rsidR="00BF43AA" w:rsidRPr="006E46CD">
        <w:rPr>
          <w:rFonts w:cstheme="minorHAnsi"/>
          <w:b/>
          <w:sz w:val="24"/>
          <w:szCs w:val="24"/>
          <w:lang w:eastAsia="cs-CZ"/>
        </w:rPr>
        <w:t>Smlouvy o výkonu funkce vedoucích zaměstnanců a členů orgánů</w:t>
      </w:r>
      <w:r w:rsidR="00EE23FD" w:rsidRPr="006E46CD">
        <w:rPr>
          <w:rFonts w:cstheme="minorHAnsi"/>
          <w:b/>
          <w:sz w:val="24"/>
          <w:szCs w:val="24"/>
          <w:lang w:eastAsia="cs-CZ"/>
        </w:rPr>
        <w:t>, na něž se</w:t>
      </w:r>
      <w:r w:rsidR="008670F0" w:rsidRPr="008670F0">
        <w:rPr>
          <w:rFonts w:cstheme="minorHAnsi"/>
          <w:b/>
          <w:sz w:val="24"/>
          <w:szCs w:val="24"/>
          <w:lang w:eastAsia="cs-CZ"/>
        </w:rPr>
        <w:t xml:space="preserve"> </w:t>
      </w:r>
      <w:r w:rsidR="008670F0" w:rsidRPr="006E46CD">
        <w:rPr>
          <w:rFonts w:cstheme="minorHAnsi"/>
          <w:b/>
          <w:sz w:val="24"/>
          <w:szCs w:val="24"/>
          <w:lang w:eastAsia="cs-CZ"/>
        </w:rPr>
        <w:t>vztahují</w:t>
      </w:r>
      <w:r w:rsidR="00EE23FD" w:rsidRPr="006E46CD">
        <w:rPr>
          <w:rFonts w:cstheme="minorHAnsi"/>
          <w:b/>
          <w:sz w:val="24"/>
          <w:szCs w:val="24"/>
          <w:lang w:eastAsia="cs-CZ"/>
        </w:rPr>
        <w:t xml:space="preserve"> Zásady </w:t>
      </w:r>
      <w:r w:rsidR="00201936" w:rsidRPr="006E46CD">
        <w:rPr>
          <w:rFonts w:cstheme="minorHAnsi"/>
          <w:b/>
          <w:sz w:val="24"/>
          <w:szCs w:val="24"/>
          <w:lang w:eastAsia="cs-CZ"/>
        </w:rPr>
        <w:t>odměňování</w:t>
      </w:r>
    </w:p>
    <w:p w14:paraId="535A5ED0" w14:textId="77777777" w:rsidR="00532B3B" w:rsidRPr="00532B3B" w:rsidRDefault="00532B3B" w:rsidP="001B1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CF43B49" w14:textId="0746E8D2" w:rsidR="001B19AC" w:rsidRDefault="00EE23FD" w:rsidP="001B1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5C0EA6">
        <w:rPr>
          <w:rFonts w:cstheme="minorHAnsi"/>
          <w:b/>
          <w:sz w:val="24"/>
          <w:szCs w:val="24"/>
          <w:lang w:eastAsia="cs-CZ"/>
        </w:rPr>
        <w:t xml:space="preserve">MF </w:t>
      </w:r>
      <w:r w:rsidR="000B4B47" w:rsidRPr="005C0EA6">
        <w:rPr>
          <w:rFonts w:cstheme="minorHAnsi"/>
          <w:sz w:val="24"/>
          <w:szCs w:val="24"/>
          <w:lang w:eastAsia="cs-CZ"/>
        </w:rPr>
        <w:t>–</w:t>
      </w:r>
      <w:r w:rsidR="005F5FF0" w:rsidRPr="005C0EA6">
        <w:rPr>
          <w:rFonts w:cstheme="minorHAnsi"/>
          <w:sz w:val="24"/>
          <w:szCs w:val="24"/>
          <w:lang w:eastAsia="cs-CZ"/>
        </w:rPr>
        <w:t xml:space="preserve"> </w:t>
      </w:r>
      <w:r w:rsidR="00AC300A" w:rsidRPr="005C0EA6">
        <w:rPr>
          <w:rFonts w:cstheme="minorHAnsi"/>
          <w:sz w:val="24"/>
          <w:szCs w:val="24"/>
          <w:lang w:eastAsia="cs-CZ"/>
        </w:rPr>
        <w:t>Zásady odměňování</w:t>
      </w:r>
      <w:r w:rsidR="00CF43C0">
        <w:rPr>
          <w:rFonts w:cstheme="minorHAnsi"/>
          <w:sz w:val="24"/>
          <w:szCs w:val="24"/>
          <w:vertAlign w:val="superscript"/>
          <w:lang w:eastAsia="cs-CZ"/>
        </w:rPr>
        <w:t>2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 i </w:t>
      </w:r>
      <w:r w:rsidR="00A023BD">
        <w:rPr>
          <w:rFonts w:cstheme="minorHAnsi"/>
          <w:sz w:val="24"/>
          <w:szCs w:val="24"/>
          <w:lang w:eastAsia="cs-CZ"/>
        </w:rPr>
        <w:t>s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měrnice </w:t>
      </w:r>
      <w:r w:rsidR="005C6AD7" w:rsidRPr="005C0EA6">
        <w:rPr>
          <w:rFonts w:cstheme="minorHAnsi"/>
          <w:sz w:val="24"/>
          <w:szCs w:val="24"/>
          <w:lang w:eastAsia="cs-CZ"/>
        </w:rPr>
        <w:t>č. 4/2010</w:t>
      </w:r>
      <w:r w:rsidR="005C6AD7">
        <w:rPr>
          <w:rFonts w:cstheme="minorHAnsi"/>
          <w:sz w:val="24"/>
          <w:szCs w:val="24"/>
          <w:vertAlign w:val="superscript"/>
          <w:lang w:eastAsia="cs-CZ"/>
        </w:rPr>
        <w:t>6</w:t>
      </w:r>
      <w:r w:rsidR="005C6AD7" w:rsidRPr="005C0EA6">
        <w:rPr>
          <w:rFonts w:cstheme="minorHAnsi"/>
          <w:sz w:val="24"/>
          <w:szCs w:val="24"/>
          <w:vertAlign w:val="superscript"/>
          <w:lang w:eastAsia="cs-CZ"/>
        </w:rPr>
        <w:t xml:space="preserve"> </w:t>
      </w:r>
      <w:r w:rsidR="00AC300A" w:rsidRPr="005C0EA6">
        <w:rPr>
          <w:rFonts w:cstheme="minorHAnsi"/>
          <w:sz w:val="24"/>
          <w:szCs w:val="24"/>
          <w:lang w:eastAsia="cs-CZ"/>
        </w:rPr>
        <w:t>ministra financí</w:t>
      </w:r>
      <w:r w:rsidR="00A023BD" w:rsidRPr="00A023BD">
        <w:rPr>
          <w:rFonts w:cstheme="minorHAnsi"/>
          <w:sz w:val="24"/>
          <w:szCs w:val="24"/>
          <w:lang w:eastAsia="cs-CZ"/>
        </w:rPr>
        <w:t xml:space="preserve"> </w:t>
      </w:r>
      <w:r w:rsidR="00DE2FC3" w:rsidRPr="005C0EA6">
        <w:rPr>
          <w:rFonts w:cstheme="minorHAnsi"/>
          <w:sz w:val="24"/>
          <w:szCs w:val="24"/>
          <w:lang w:eastAsia="cs-CZ"/>
        </w:rPr>
        <w:t>požadovaly</w:t>
      </w:r>
      <w:r w:rsidR="00AC300A" w:rsidRPr="005C0EA6">
        <w:rPr>
          <w:rFonts w:cstheme="minorHAnsi"/>
          <w:sz w:val="24"/>
          <w:szCs w:val="24"/>
          <w:lang w:eastAsia="cs-CZ"/>
        </w:rPr>
        <w:t>, aby ve smlouvách s manažery – členy představenstva byl sjednán takov</w:t>
      </w:r>
      <w:r w:rsidR="008670F0">
        <w:rPr>
          <w:rFonts w:cstheme="minorHAnsi"/>
          <w:sz w:val="24"/>
          <w:szCs w:val="24"/>
          <w:lang w:eastAsia="cs-CZ"/>
        </w:rPr>
        <w:t>ý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 maximální roční příj</w:t>
      </w:r>
      <w:r w:rsidR="008670F0">
        <w:rPr>
          <w:rFonts w:cstheme="minorHAnsi"/>
          <w:sz w:val="24"/>
          <w:szCs w:val="24"/>
          <w:lang w:eastAsia="cs-CZ"/>
        </w:rPr>
        <w:t>e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m, který nepřesáhne referenční roční příjem </w:t>
      </w:r>
      <w:r w:rsidR="008670F0">
        <w:rPr>
          <w:rFonts w:cstheme="minorHAnsi"/>
          <w:sz w:val="24"/>
          <w:szCs w:val="24"/>
          <w:lang w:eastAsia="cs-CZ"/>
        </w:rPr>
        <w:t>(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tj. příjem vyčíslený ve spolupráci s odborným konzultantem na základě metodiky, která vychází z ocenění zastávané pozice z pohledu náročnosti, odpovědnosti a pravomocí, možností </w:t>
      </w:r>
      <w:r w:rsidR="00A023BD">
        <w:rPr>
          <w:rFonts w:cstheme="minorHAnsi"/>
          <w:sz w:val="24"/>
          <w:szCs w:val="24"/>
          <w:lang w:eastAsia="cs-CZ"/>
        </w:rPr>
        <w:t>nakládat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 s majetkem, počtu zaměstnanců, odpovědnosti za investice, rozsahu tržeb, počtu států, ve kterých společnost působí</w:t>
      </w:r>
      <w:r w:rsidR="008670F0">
        <w:rPr>
          <w:rFonts w:cstheme="minorHAnsi"/>
          <w:sz w:val="24"/>
          <w:szCs w:val="24"/>
          <w:lang w:eastAsia="cs-CZ"/>
        </w:rPr>
        <w:t>,</w:t>
      </w:r>
      <w:r w:rsidR="00A6187C" w:rsidRPr="005C0EA6">
        <w:rPr>
          <w:rFonts w:cstheme="minorHAnsi"/>
          <w:sz w:val="24"/>
          <w:szCs w:val="24"/>
          <w:lang w:eastAsia="cs-CZ"/>
        </w:rPr>
        <w:t xml:space="preserve"> apod.</w:t>
      </w:r>
      <w:r w:rsidR="008670F0">
        <w:rPr>
          <w:rFonts w:cstheme="minorHAnsi"/>
          <w:sz w:val="24"/>
          <w:szCs w:val="24"/>
          <w:lang w:eastAsia="cs-CZ"/>
        </w:rPr>
        <w:t>)</w:t>
      </w:r>
      <w:r w:rsidR="00A6187C" w:rsidRPr="005C0EA6">
        <w:rPr>
          <w:rFonts w:cstheme="minorHAnsi"/>
          <w:sz w:val="24"/>
          <w:szCs w:val="24"/>
          <w:lang w:eastAsia="cs-CZ"/>
        </w:rPr>
        <w:t xml:space="preserve"> a</w:t>
      </w:r>
      <w:r w:rsidR="005A44ED">
        <w:rPr>
          <w:rFonts w:cstheme="minorHAnsi"/>
          <w:sz w:val="24"/>
          <w:szCs w:val="24"/>
          <w:lang w:eastAsia="cs-CZ"/>
        </w:rPr>
        <w:t> </w:t>
      </w:r>
      <w:r w:rsidR="00A6187C" w:rsidRPr="005C0EA6">
        <w:rPr>
          <w:rFonts w:cstheme="minorHAnsi"/>
          <w:sz w:val="24"/>
          <w:szCs w:val="24"/>
          <w:lang w:eastAsia="cs-CZ"/>
        </w:rPr>
        <w:t>který obsahuje všechny složky příjmů definované Zásadami odměňování</w:t>
      </w:r>
      <w:r w:rsidR="00A6187C" w:rsidRPr="005C0EA6">
        <w:rPr>
          <w:rFonts w:cstheme="minorHAnsi"/>
          <w:sz w:val="24"/>
          <w:szCs w:val="24"/>
          <w:vertAlign w:val="superscript"/>
          <w:lang w:eastAsia="cs-CZ"/>
        </w:rPr>
        <w:t>2</w:t>
      </w:r>
      <w:r w:rsidR="008C1204" w:rsidRPr="005C0EA6">
        <w:rPr>
          <w:rFonts w:cstheme="minorHAnsi"/>
          <w:sz w:val="24"/>
          <w:szCs w:val="24"/>
          <w:lang w:eastAsia="cs-CZ"/>
        </w:rPr>
        <w:t xml:space="preserve"> (dále také „referenční rámec“)</w:t>
      </w:r>
      <w:r w:rsidR="00A6187C" w:rsidRPr="005C0EA6">
        <w:rPr>
          <w:rFonts w:cstheme="minorHAnsi"/>
          <w:sz w:val="24"/>
          <w:szCs w:val="24"/>
          <w:lang w:eastAsia="cs-CZ"/>
        </w:rPr>
        <w:t>.</w:t>
      </w:r>
      <w:r w:rsidR="00AC300A" w:rsidRPr="005C0EA6">
        <w:rPr>
          <w:rFonts w:cstheme="minorHAnsi"/>
          <w:sz w:val="24"/>
          <w:szCs w:val="24"/>
          <w:lang w:eastAsia="cs-CZ"/>
        </w:rPr>
        <w:t xml:space="preserve"> </w:t>
      </w:r>
      <w:r w:rsidR="00A6187C" w:rsidRPr="005C0EA6">
        <w:rPr>
          <w:rFonts w:cstheme="minorHAnsi"/>
          <w:sz w:val="24"/>
          <w:szCs w:val="24"/>
          <w:lang w:eastAsia="cs-CZ"/>
        </w:rPr>
        <w:t>U</w:t>
      </w:r>
      <w:r w:rsidR="004960F2" w:rsidRPr="005C0EA6">
        <w:rPr>
          <w:rFonts w:cstheme="minorHAnsi"/>
          <w:sz w:val="24"/>
          <w:szCs w:val="24"/>
          <w:lang w:eastAsia="cs-CZ"/>
        </w:rPr>
        <w:t> </w:t>
      </w:r>
      <w:r w:rsidR="00A6187C" w:rsidRPr="005C0EA6">
        <w:rPr>
          <w:rFonts w:cstheme="minorHAnsi"/>
          <w:sz w:val="24"/>
          <w:szCs w:val="24"/>
          <w:lang w:eastAsia="cs-CZ"/>
        </w:rPr>
        <w:t xml:space="preserve">příslušných </w:t>
      </w:r>
      <w:r w:rsidR="005F5FF0" w:rsidRPr="005C0EA6">
        <w:rPr>
          <w:rFonts w:cstheme="minorHAnsi"/>
          <w:sz w:val="24"/>
          <w:szCs w:val="24"/>
          <w:lang w:eastAsia="cs-CZ"/>
        </w:rPr>
        <w:t>pozic</w:t>
      </w:r>
      <w:r w:rsidR="001B19AC" w:rsidRPr="005C0EA6">
        <w:rPr>
          <w:rFonts w:cstheme="minorHAnsi"/>
          <w:sz w:val="24"/>
          <w:szCs w:val="24"/>
          <w:lang w:eastAsia="cs-CZ"/>
        </w:rPr>
        <w:t xml:space="preserve"> </w:t>
      </w:r>
      <w:r w:rsidR="005F5FF0" w:rsidRPr="005C0EA6">
        <w:rPr>
          <w:rFonts w:cstheme="minorHAnsi"/>
          <w:sz w:val="24"/>
          <w:szCs w:val="24"/>
          <w:lang w:eastAsia="cs-CZ"/>
        </w:rPr>
        <w:t xml:space="preserve">byly </w:t>
      </w:r>
      <w:r w:rsidR="001B19AC" w:rsidRPr="005C0EA6">
        <w:rPr>
          <w:rFonts w:cstheme="minorHAnsi"/>
          <w:sz w:val="24"/>
          <w:szCs w:val="24"/>
          <w:lang w:eastAsia="cs-CZ"/>
        </w:rPr>
        <w:t>s přihlédnutím k</w:t>
      </w:r>
      <w:r w:rsidR="00A6187C" w:rsidRPr="005C0EA6">
        <w:rPr>
          <w:rFonts w:cstheme="minorHAnsi"/>
          <w:sz w:val="24"/>
          <w:szCs w:val="24"/>
          <w:lang w:eastAsia="cs-CZ"/>
        </w:rPr>
        <w:t xml:space="preserve"> vyčíslení </w:t>
      </w:r>
      <w:r w:rsidR="008670F0">
        <w:rPr>
          <w:rFonts w:cstheme="minorHAnsi"/>
          <w:sz w:val="24"/>
          <w:szCs w:val="24"/>
          <w:lang w:eastAsia="cs-CZ"/>
        </w:rPr>
        <w:t xml:space="preserve">příjmů dle </w:t>
      </w:r>
      <w:r w:rsidR="008C1204" w:rsidRPr="005C0EA6">
        <w:rPr>
          <w:rFonts w:cstheme="minorHAnsi"/>
          <w:sz w:val="24"/>
          <w:szCs w:val="24"/>
          <w:lang w:eastAsia="cs-CZ"/>
        </w:rPr>
        <w:t>referenčního rámce</w:t>
      </w:r>
      <w:r w:rsidR="001B19AC" w:rsidRPr="005C0EA6">
        <w:rPr>
          <w:rFonts w:cstheme="minorHAnsi"/>
          <w:sz w:val="24"/>
          <w:szCs w:val="24"/>
          <w:lang w:eastAsia="cs-CZ"/>
        </w:rPr>
        <w:t xml:space="preserve"> zpracovány </w:t>
      </w:r>
      <w:r w:rsidR="00A023BD">
        <w:rPr>
          <w:rFonts w:cstheme="minorHAnsi"/>
          <w:sz w:val="24"/>
          <w:szCs w:val="24"/>
          <w:lang w:eastAsia="cs-CZ"/>
        </w:rPr>
        <w:t>s</w:t>
      </w:r>
      <w:r w:rsidR="001B19AC" w:rsidRPr="005C0EA6">
        <w:rPr>
          <w:rFonts w:cstheme="minorHAnsi"/>
          <w:sz w:val="24"/>
          <w:szCs w:val="24"/>
          <w:lang w:eastAsia="cs-CZ"/>
        </w:rPr>
        <w:t>mlouvy o</w:t>
      </w:r>
      <w:r w:rsidR="008670F0">
        <w:rPr>
          <w:rFonts w:cstheme="minorHAnsi"/>
          <w:sz w:val="24"/>
          <w:szCs w:val="24"/>
          <w:lang w:eastAsia="cs-CZ"/>
        </w:rPr>
        <w:t> </w:t>
      </w:r>
      <w:r w:rsidR="001B19AC" w:rsidRPr="005C0EA6">
        <w:rPr>
          <w:rFonts w:cstheme="minorHAnsi"/>
          <w:sz w:val="24"/>
          <w:szCs w:val="24"/>
          <w:lang w:eastAsia="cs-CZ"/>
        </w:rPr>
        <w:t xml:space="preserve">výkonu funkce členů orgánů, které byly </w:t>
      </w:r>
      <w:r w:rsidR="001B19AC" w:rsidRPr="00E03E8F">
        <w:rPr>
          <w:rFonts w:cstheme="minorHAnsi"/>
          <w:sz w:val="24"/>
          <w:szCs w:val="24"/>
          <w:lang w:eastAsia="cs-CZ"/>
        </w:rPr>
        <w:t xml:space="preserve">schváleny valnou hromadou nebo v německém modelu řízení dozorčí radou. </w:t>
      </w:r>
    </w:p>
    <w:p w14:paraId="509344AC" w14:textId="77777777" w:rsidR="00E57F26" w:rsidRPr="00E03E8F" w:rsidRDefault="00E57F26" w:rsidP="001B1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3CBE5C91" w14:textId="4C55B17E" w:rsidR="001B19AC" w:rsidRPr="00D14358" w:rsidRDefault="004A5EC5" w:rsidP="001B1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6E46CD">
        <w:rPr>
          <w:rFonts w:cstheme="minorHAnsi"/>
          <w:sz w:val="24"/>
          <w:szCs w:val="24"/>
          <w:lang w:eastAsia="cs-CZ"/>
        </w:rPr>
        <w:t>Z osmi společností, u nichž měly být Zásady odměňování</w:t>
      </w:r>
      <w:r w:rsidR="00CF43C0">
        <w:rPr>
          <w:rFonts w:cstheme="minorHAnsi"/>
          <w:sz w:val="24"/>
          <w:szCs w:val="24"/>
          <w:vertAlign w:val="superscript"/>
          <w:lang w:eastAsia="cs-CZ"/>
        </w:rPr>
        <w:t>2</w:t>
      </w:r>
      <w:r w:rsidRPr="006E46CD">
        <w:rPr>
          <w:rFonts w:cstheme="minorHAnsi"/>
          <w:sz w:val="24"/>
          <w:szCs w:val="24"/>
          <w:lang w:eastAsia="cs-CZ"/>
        </w:rPr>
        <w:t xml:space="preserve"> uplatněny, </w:t>
      </w:r>
      <w:r w:rsidR="004960F2" w:rsidRPr="006E46CD">
        <w:rPr>
          <w:rFonts w:cstheme="minorHAnsi"/>
          <w:sz w:val="24"/>
          <w:szCs w:val="24"/>
          <w:lang w:eastAsia="cs-CZ"/>
        </w:rPr>
        <w:t xml:space="preserve">podléhala jedna společnost zvláštnímu režimu informační povinnosti vůči akcionářům, MF tak </w:t>
      </w:r>
      <w:r w:rsidRPr="006E46CD">
        <w:rPr>
          <w:rFonts w:cstheme="minorHAnsi"/>
          <w:sz w:val="24"/>
          <w:szCs w:val="24"/>
          <w:lang w:eastAsia="cs-CZ"/>
        </w:rPr>
        <w:t>doloži</w:t>
      </w:r>
      <w:r w:rsidR="004960F2" w:rsidRPr="006E46CD">
        <w:rPr>
          <w:rFonts w:cstheme="minorHAnsi"/>
          <w:sz w:val="24"/>
          <w:szCs w:val="24"/>
          <w:lang w:eastAsia="cs-CZ"/>
        </w:rPr>
        <w:t>lo</w:t>
      </w:r>
      <w:r w:rsidRPr="006E46CD">
        <w:rPr>
          <w:rFonts w:cstheme="minorHAnsi"/>
          <w:sz w:val="24"/>
          <w:szCs w:val="24"/>
          <w:lang w:eastAsia="cs-CZ"/>
        </w:rPr>
        <w:t xml:space="preserve"> referenční rámec příjmů pro vybrané pozice u sedmi společností. Z </w:t>
      </w:r>
      <w:r w:rsidR="004960F2" w:rsidRPr="006E46CD">
        <w:rPr>
          <w:rFonts w:cstheme="minorHAnsi"/>
          <w:sz w:val="24"/>
          <w:szCs w:val="24"/>
          <w:lang w:eastAsia="cs-CZ"/>
        </w:rPr>
        <w:t>nich</w:t>
      </w:r>
      <w:r w:rsidR="001B19AC" w:rsidRPr="006E46CD">
        <w:rPr>
          <w:rFonts w:cstheme="minorHAnsi"/>
          <w:sz w:val="24"/>
          <w:szCs w:val="24"/>
          <w:lang w:eastAsia="cs-CZ"/>
        </w:rPr>
        <w:t xml:space="preserve"> byla dvěma společnostem udělena výjimka ze Zásad</w:t>
      </w:r>
      <w:r w:rsidR="006C67F2" w:rsidRPr="006E46CD">
        <w:rPr>
          <w:rFonts w:cstheme="minorHAnsi"/>
          <w:sz w:val="24"/>
          <w:szCs w:val="24"/>
          <w:lang w:eastAsia="cs-CZ"/>
        </w:rPr>
        <w:t xml:space="preserve"> odměňování</w:t>
      </w:r>
      <w:r w:rsidR="001B19AC" w:rsidRPr="006E46CD">
        <w:rPr>
          <w:rFonts w:cstheme="minorHAnsi"/>
          <w:sz w:val="24"/>
          <w:szCs w:val="24"/>
          <w:lang w:eastAsia="cs-CZ"/>
        </w:rPr>
        <w:t xml:space="preserve"> </w:t>
      </w:r>
      <w:r w:rsidR="008670F0">
        <w:rPr>
          <w:rFonts w:cstheme="minorHAnsi"/>
          <w:sz w:val="24"/>
          <w:szCs w:val="24"/>
          <w:lang w:eastAsia="cs-CZ"/>
        </w:rPr>
        <w:t>a </w:t>
      </w:r>
      <w:r w:rsidR="001B19AC" w:rsidRPr="006E46CD">
        <w:rPr>
          <w:rFonts w:cstheme="minorHAnsi"/>
          <w:sz w:val="24"/>
          <w:szCs w:val="24"/>
          <w:lang w:eastAsia="cs-CZ"/>
        </w:rPr>
        <w:t xml:space="preserve">v jedné společnosti </w:t>
      </w:r>
      <w:r w:rsidR="00A6187C" w:rsidRPr="006E46CD">
        <w:rPr>
          <w:rFonts w:cstheme="minorHAnsi"/>
          <w:sz w:val="24"/>
          <w:szCs w:val="24"/>
          <w:lang w:eastAsia="cs-CZ"/>
        </w:rPr>
        <w:t>byl</w:t>
      </w:r>
      <w:r w:rsidR="001B19AC" w:rsidRPr="006E46CD">
        <w:rPr>
          <w:rFonts w:cstheme="minorHAnsi"/>
          <w:sz w:val="24"/>
          <w:szCs w:val="24"/>
          <w:lang w:eastAsia="cs-CZ"/>
        </w:rPr>
        <w:t xml:space="preserve"> uplatňován německý model řízení, kdy smlouvy o</w:t>
      </w:r>
      <w:r w:rsidR="006A25CF" w:rsidRPr="006E46CD">
        <w:rPr>
          <w:rFonts w:cstheme="minorHAnsi"/>
          <w:sz w:val="24"/>
          <w:szCs w:val="24"/>
          <w:lang w:eastAsia="cs-CZ"/>
        </w:rPr>
        <w:t> </w:t>
      </w:r>
      <w:r w:rsidR="001B19AC" w:rsidRPr="006E46CD">
        <w:rPr>
          <w:rFonts w:cstheme="minorHAnsi"/>
          <w:sz w:val="24"/>
          <w:szCs w:val="24"/>
          <w:lang w:eastAsia="cs-CZ"/>
        </w:rPr>
        <w:t>výkonu funkce s jednotlivými členy představenstva</w:t>
      </w:r>
      <w:r w:rsidR="00373AFE" w:rsidRPr="006E46CD">
        <w:rPr>
          <w:rFonts w:cstheme="minorHAnsi"/>
          <w:sz w:val="24"/>
          <w:szCs w:val="24"/>
          <w:lang w:eastAsia="cs-CZ"/>
        </w:rPr>
        <w:t xml:space="preserve"> </w:t>
      </w:r>
      <w:r w:rsidR="00373AFE" w:rsidRPr="00D14358">
        <w:rPr>
          <w:rFonts w:cstheme="minorHAnsi"/>
          <w:sz w:val="24"/>
          <w:szCs w:val="24"/>
          <w:lang w:eastAsia="cs-CZ"/>
        </w:rPr>
        <w:t>schvaluje dozorčí rada</w:t>
      </w:r>
      <w:r w:rsidR="008670F0">
        <w:rPr>
          <w:rFonts w:cstheme="minorHAnsi"/>
          <w:sz w:val="24"/>
          <w:szCs w:val="24"/>
          <w:lang w:eastAsia="cs-CZ"/>
        </w:rPr>
        <w:t>,</w:t>
      </w:r>
      <w:r w:rsidR="00373AFE" w:rsidRPr="00D14358">
        <w:rPr>
          <w:rFonts w:cstheme="minorHAnsi"/>
          <w:sz w:val="24"/>
          <w:szCs w:val="24"/>
          <w:lang w:eastAsia="cs-CZ"/>
        </w:rPr>
        <w:t xml:space="preserve"> </w:t>
      </w:r>
      <w:r w:rsidR="008670F0">
        <w:rPr>
          <w:rFonts w:cstheme="minorHAnsi"/>
          <w:sz w:val="24"/>
          <w:szCs w:val="24"/>
          <w:lang w:eastAsia="cs-CZ"/>
        </w:rPr>
        <w:t xml:space="preserve">takže je </w:t>
      </w:r>
      <w:r w:rsidR="00373AFE" w:rsidRPr="00D14358">
        <w:rPr>
          <w:rFonts w:cstheme="minorHAnsi"/>
          <w:sz w:val="24"/>
          <w:szCs w:val="24"/>
          <w:lang w:eastAsia="cs-CZ"/>
        </w:rPr>
        <w:t xml:space="preserve">MF </w:t>
      </w:r>
      <w:r w:rsidRPr="00D14358">
        <w:rPr>
          <w:rFonts w:cstheme="minorHAnsi"/>
          <w:sz w:val="24"/>
          <w:szCs w:val="24"/>
          <w:lang w:eastAsia="cs-CZ"/>
        </w:rPr>
        <w:t>nemělo</w:t>
      </w:r>
      <w:r w:rsidR="00373AFE" w:rsidRPr="00D14358">
        <w:rPr>
          <w:rFonts w:cstheme="minorHAnsi"/>
          <w:sz w:val="24"/>
          <w:szCs w:val="24"/>
          <w:lang w:eastAsia="cs-CZ"/>
        </w:rPr>
        <w:t xml:space="preserve"> k</w:t>
      </w:r>
      <w:r w:rsidR="006A25CF" w:rsidRPr="00D14358">
        <w:rPr>
          <w:rFonts w:cstheme="minorHAnsi"/>
          <w:sz w:val="24"/>
          <w:szCs w:val="24"/>
          <w:lang w:eastAsia="cs-CZ"/>
        </w:rPr>
        <w:t> </w:t>
      </w:r>
      <w:r w:rsidR="00373AFE" w:rsidRPr="00D14358">
        <w:rPr>
          <w:rFonts w:cstheme="minorHAnsi"/>
          <w:sz w:val="24"/>
          <w:szCs w:val="24"/>
          <w:lang w:eastAsia="cs-CZ"/>
        </w:rPr>
        <w:t>dispozici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. Porovnání požadavků na podmínky pracovních, příp. jiných smluv s manažery – členy představenstva, které upravuje </w:t>
      </w:r>
      <w:r w:rsidR="00A023BD">
        <w:rPr>
          <w:rFonts w:cstheme="minorHAnsi"/>
          <w:sz w:val="24"/>
          <w:szCs w:val="24"/>
          <w:lang w:eastAsia="cs-CZ"/>
        </w:rPr>
        <w:t>s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měrnice </w:t>
      </w:r>
      <w:r w:rsidR="005C6AD7" w:rsidRPr="00D14358">
        <w:rPr>
          <w:rFonts w:cstheme="minorHAnsi"/>
          <w:sz w:val="24"/>
          <w:szCs w:val="24"/>
          <w:lang w:eastAsia="cs-CZ"/>
        </w:rPr>
        <w:t>č. 4/2010</w:t>
      </w:r>
      <w:r w:rsidR="005C6AD7" w:rsidRPr="00D14358">
        <w:rPr>
          <w:rFonts w:cstheme="minorHAnsi"/>
          <w:sz w:val="24"/>
          <w:szCs w:val="24"/>
          <w:vertAlign w:val="superscript"/>
          <w:lang w:eastAsia="cs-CZ"/>
        </w:rPr>
        <w:t>6</w:t>
      </w:r>
      <w:r w:rsidR="005C6AD7">
        <w:rPr>
          <w:rFonts w:cstheme="minorHAnsi"/>
          <w:sz w:val="24"/>
          <w:szCs w:val="24"/>
          <w:vertAlign w:val="superscript"/>
          <w:lang w:eastAsia="cs-CZ"/>
        </w:rPr>
        <w:t xml:space="preserve"> 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ministra financí, </w:t>
      </w:r>
      <w:r w:rsidR="00A023BD">
        <w:rPr>
          <w:rFonts w:cstheme="minorHAnsi"/>
          <w:sz w:val="24"/>
          <w:szCs w:val="24"/>
          <w:lang w:eastAsia="cs-CZ"/>
        </w:rPr>
        <w:t>s </w:t>
      </w:r>
      <w:r w:rsidR="001B19AC" w:rsidRPr="00D14358">
        <w:rPr>
          <w:rFonts w:cstheme="minorHAnsi"/>
          <w:sz w:val="24"/>
          <w:szCs w:val="24"/>
          <w:lang w:eastAsia="cs-CZ"/>
        </w:rPr>
        <w:t>referenční</w:t>
      </w:r>
      <w:r w:rsidR="00A023BD">
        <w:rPr>
          <w:rFonts w:cstheme="minorHAnsi"/>
          <w:sz w:val="24"/>
          <w:szCs w:val="24"/>
          <w:lang w:eastAsia="cs-CZ"/>
        </w:rPr>
        <w:t>m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 rámce</w:t>
      </w:r>
      <w:r w:rsidR="00A023BD">
        <w:rPr>
          <w:rFonts w:cstheme="minorHAnsi"/>
          <w:sz w:val="24"/>
          <w:szCs w:val="24"/>
          <w:lang w:eastAsia="cs-CZ"/>
        </w:rPr>
        <w:t>m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 a obsah</w:t>
      </w:r>
      <w:r w:rsidR="00A023BD">
        <w:rPr>
          <w:rFonts w:cstheme="minorHAnsi"/>
          <w:sz w:val="24"/>
          <w:szCs w:val="24"/>
          <w:lang w:eastAsia="cs-CZ"/>
        </w:rPr>
        <w:t>em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 smluv o výkonu funkce člena představenstva schválených valnou hromadou, resp. rozhodnutím jediného akcionáře, tak bylo možné provést jen u čtyř společností.</w:t>
      </w:r>
      <w:r w:rsidR="00C27722" w:rsidRPr="00D14358">
        <w:rPr>
          <w:rFonts w:cstheme="minorHAnsi"/>
          <w:sz w:val="24"/>
          <w:szCs w:val="24"/>
          <w:lang w:eastAsia="cs-CZ"/>
        </w:rPr>
        <w:t xml:space="preserve"> Příklady</w:t>
      </w:r>
      <w:r w:rsidR="006C67F2" w:rsidRPr="00D14358">
        <w:rPr>
          <w:rFonts w:cstheme="minorHAnsi"/>
          <w:sz w:val="24"/>
          <w:szCs w:val="24"/>
          <w:lang w:eastAsia="cs-CZ"/>
        </w:rPr>
        <w:t xml:space="preserve"> navržených a</w:t>
      </w:r>
      <w:r w:rsidR="008670F0">
        <w:rPr>
          <w:rFonts w:cstheme="minorHAnsi"/>
          <w:sz w:val="24"/>
          <w:szCs w:val="24"/>
          <w:lang w:eastAsia="cs-CZ"/>
        </w:rPr>
        <w:t> </w:t>
      </w:r>
      <w:r w:rsidR="00C27722" w:rsidRPr="00D14358">
        <w:rPr>
          <w:rFonts w:cstheme="minorHAnsi"/>
          <w:sz w:val="24"/>
          <w:szCs w:val="24"/>
          <w:lang w:eastAsia="cs-CZ"/>
        </w:rPr>
        <w:t>sjednaných odměn</w:t>
      </w:r>
      <w:r w:rsidR="007C7463" w:rsidRPr="00D14358">
        <w:rPr>
          <w:rFonts w:cstheme="minorHAnsi"/>
          <w:sz w:val="24"/>
          <w:szCs w:val="24"/>
          <w:lang w:eastAsia="cs-CZ"/>
        </w:rPr>
        <w:t xml:space="preserve"> v pěti společnostech</w:t>
      </w:r>
      <w:r w:rsidR="00C27722" w:rsidRPr="00D14358">
        <w:rPr>
          <w:rFonts w:cstheme="minorHAnsi"/>
          <w:sz w:val="24"/>
          <w:szCs w:val="24"/>
          <w:lang w:eastAsia="cs-CZ"/>
        </w:rPr>
        <w:t xml:space="preserve"> jsou uvedeny v tabulce</w:t>
      </w:r>
      <w:r w:rsidR="004C38D9" w:rsidRPr="00D14358">
        <w:rPr>
          <w:rFonts w:cstheme="minorHAnsi"/>
          <w:sz w:val="24"/>
          <w:szCs w:val="24"/>
          <w:lang w:eastAsia="cs-CZ"/>
        </w:rPr>
        <w:t xml:space="preserve"> č.</w:t>
      </w:r>
      <w:r w:rsidR="00CA1716" w:rsidRPr="00D14358">
        <w:rPr>
          <w:rFonts w:cstheme="minorHAnsi"/>
          <w:sz w:val="24"/>
          <w:szCs w:val="24"/>
          <w:lang w:eastAsia="cs-CZ"/>
        </w:rPr>
        <w:t xml:space="preserve"> </w:t>
      </w:r>
      <w:r w:rsidR="009B1061" w:rsidRPr="00D14358">
        <w:rPr>
          <w:rFonts w:cstheme="minorHAnsi"/>
          <w:sz w:val="24"/>
          <w:szCs w:val="24"/>
          <w:lang w:eastAsia="cs-CZ"/>
        </w:rPr>
        <w:t>4</w:t>
      </w:r>
      <w:r w:rsidR="00C27722" w:rsidRPr="00D14358">
        <w:rPr>
          <w:rFonts w:cstheme="minorHAnsi"/>
          <w:sz w:val="24"/>
          <w:szCs w:val="24"/>
          <w:lang w:eastAsia="cs-CZ"/>
        </w:rPr>
        <w:t>.</w:t>
      </w:r>
      <w:r w:rsidR="001B19AC" w:rsidRPr="00D14358">
        <w:rPr>
          <w:rFonts w:cstheme="minorHAnsi"/>
          <w:sz w:val="24"/>
          <w:szCs w:val="24"/>
          <w:lang w:eastAsia="cs-CZ"/>
        </w:rPr>
        <w:t xml:space="preserve"> </w:t>
      </w:r>
    </w:p>
    <w:p w14:paraId="6DF1F799" w14:textId="69E2F043" w:rsidR="00D633B5" w:rsidRDefault="00D633B5" w:rsidP="00F413BB">
      <w:pPr>
        <w:rPr>
          <w:rFonts w:cstheme="minorHAnsi"/>
        </w:rPr>
      </w:pPr>
      <w:r>
        <w:rPr>
          <w:rFonts w:cstheme="minorHAnsi"/>
        </w:rPr>
        <w:br w:type="page"/>
      </w:r>
    </w:p>
    <w:p w14:paraId="76B48903" w14:textId="06D4CDB0" w:rsidR="002048C9" w:rsidRPr="00485081" w:rsidRDefault="002048C9" w:rsidP="00BA16CB">
      <w:pPr>
        <w:tabs>
          <w:tab w:val="left" w:pos="8505"/>
        </w:tabs>
        <w:spacing w:after="0" w:line="240" w:lineRule="auto"/>
        <w:ind w:left="1418" w:hanging="1418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lastRenderedPageBreak/>
        <w:t xml:space="preserve">Tabulka č. </w:t>
      </w:r>
      <w:r w:rsidR="009B1061" w:rsidRPr="00485081">
        <w:rPr>
          <w:rFonts w:cstheme="minorHAnsi"/>
          <w:b/>
          <w:sz w:val="24"/>
          <w:szCs w:val="24"/>
        </w:rPr>
        <w:t>4</w:t>
      </w:r>
      <w:r w:rsidRPr="00485081">
        <w:rPr>
          <w:rFonts w:cstheme="minorHAnsi"/>
          <w:b/>
          <w:sz w:val="24"/>
          <w:szCs w:val="24"/>
        </w:rPr>
        <w:t xml:space="preserve"> </w:t>
      </w:r>
      <w:r w:rsidR="00D353E2" w:rsidRPr="00485081">
        <w:rPr>
          <w:rFonts w:cstheme="minorHAnsi"/>
          <w:b/>
          <w:sz w:val="24"/>
          <w:szCs w:val="24"/>
        </w:rPr>
        <w:t>–</w:t>
      </w:r>
      <w:r w:rsidRPr="00485081">
        <w:rPr>
          <w:rFonts w:cstheme="minorHAnsi"/>
          <w:b/>
          <w:sz w:val="24"/>
          <w:szCs w:val="24"/>
        </w:rPr>
        <w:t xml:space="preserve"> </w:t>
      </w:r>
      <w:r w:rsidR="00BA16CB">
        <w:rPr>
          <w:rFonts w:cstheme="minorHAnsi"/>
          <w:b/>
          <w:sz w:val="24"/>
          <w:szCs w:val="24"/>
        </w:rPr>
        <w:tab/>
      </w:r>
      <w:r w:rsidR="007C7463" w:rsidRPr="00485081">
        <w:rPr>
          <w:rFonts w:cstheme="minorHAnsi"/>
          <w:b/>
          <w:sz w:val="24"/>
          <w:szCs w:val="24"/>
        </w:rPr>
        <w:t>Srovnání r</w:t>
      </w:r>
      <w:r w:rsidR="000A6EF3" w:rsidRPr="00485081">
        <w:rPr>
          <w:rFonts w:cstheme="minorHAnsi"/>
          <w:b/>
          <w:sz w:val="24"/>
          <w:szCs w:val="24"/>
        </w:rPr>
        <w:t>eferenční</w:t>
      </w:r>
      <w:r w:rsidR="007C7463" w:rsidRPr="00485081">
        <w:rPr>
          <w:rFonts w:cstheme="minorHAnsi"/>
          <w:b/>
          <w:sz w:val="24"/>
          <w:szCs w:val="24"/>
        </w:rPr>
        <w:t>ho</w:t>
      </w:r>
      <w:r w:rsidR="000A6EF3" w:rsidRPr="00485081">
        <w:rPr>
          <w:rFonts w:cstheme="minorHAnsi"/>
          <w:b/>
          <w:sz w:val="24"/>
          <w:szCs w:val="24"/>
        </w:rPr>
        <w:t xml:space="preserve"> rámce</w:t>
      </w:r>
      <w:r w:rsidRPr="00485081">
        <w:rPr>
          <w:rFonts w:cstheme="minorHAnsi"/>
          <w:b/>
          <w:sz w:val="24"/>
          <w:szCs w:val="24"/>
        </w:rPr>
        <w:t xml:space="preserve"> pro nejvyšší manažersk</w:t>
      </w:r>
      <w:r w:rsidR="0099245E" w:rsidRPr="00485081">
        <w:rPr>
          <w:rFonts w:cstheme="minorHAnsi"/>
          <w:b/>
          <w:sz w:val="24"/>
          <w:szCs w:val="24"/>
        </w:rPr>
        <w:t>é</w:t>
      </w:r>
      <w:r w:rsidRPr="00485081">
        <w:rPr>
          <w:rFonts w:cstheme="minorHAnsi"/>
          <w:b/>
          <w:sz w:val="24"/>
          <w:szCs w:val="24"/>
        </w:rPr>
        <w:t xml:space="preserve"> pozic</w:t>
      </w:r>
      <w:r w:rsidR="0099245E" w:rsidRPr="00485081">
        <w:rPr>
          <w:rFonts w:cstheme="minorHAnsi"/>
          <w:b/>
          <w:sz w:val="24"/>
          <w:szCs w:val="24"/>
        </w:rPr>
        <w:t>e</w:t>
      </w:r>
      <w:r w:rsidR="007C7463" w:rsidRPr="00485081">
        <w:rPr>
          <w:rFonts w:cstheme="minorHAnsi"/>
          <w:b/>
          <w:sz w:val="24"/>
          <w:szCs w:val="24"/>
        </w:rPr>
        <w:t xml:space="preserve"> </w:t>
      </w:r>
      <w:r w:rsidRPr="00485081">
        <w:rPr>
          <w:rFonts w:cstheme="minorHAnsi"/>
          <w:b/>
          <w:sz w:val="24"/>
          <w:szCs w:val="24"/>
        </w:rPr>
        <w:t xml:space="preserve">a odměn </w:t>
      </w:r>
      <w:r w:rsidR="0099245E" w:rsidRPr="00485081">
        <w:rPr>
          <w:rFonts w:cstheme="minorHAnsi"/>
          <w:b/>
          <w:sz w:val="24"/>
          <w:szCs w:val="24"/>
        </w:rPr>
        <w:t xml:space="preserve">za rok </w:t>
      </w:r>
      <w:r w:rsidR="007C7463" w:rsidRPr="00485081">
        <w:rPr>
          <w:rFonts w:cstheme="minorHAnsi"/>
          <w:b/>
          <w:sz w:val="24"/>
          <w:szCs w:val="24"/>
        </w:rPr>
        <w:t>sjednan</w:t>
      </w:r>
      <w:r w:rsidR="00214864">
        <w:rPr>
          <w:rFonts w:cstheme="minorHAnsi"/>
          <w:b/>
          <w:sz w:val="24"/>
          <w:szCs w:val="24"/>
        </w:rPr>
        <w:t>ých</w:t>
      </w:r>
      <w:r w:rsidR="007C7463" w:rsidRPr="00485081">
        <w:rPr>
          <w:rFonts w:cstheme="minorHAnsi"/>
          <w:b/>
          <w:sz w:val="24"/>
          <w:szCs w:val="24"/>
        </w:rPr>
        <w:t xml:space="preserve"> ve schválen</w:t>
      </w:r>
      <w:r w:rsidR="003B2DB8" w:rsidRPr="00485081">
        <w:rPr>
          <w:rFonts w:cstheme="minorHAnsi"/>
          <w:b/>
          <w:sz w:val="24"/>
          <w:szCs w:val="24"/>
        </w:rPr>
        <w:t>ých</w:t>
      </w:r>
      <w:r w:rsidR="007C7463" w:rsidRPr="00485081">
        <w:rPr>
          <w:rFonts w:cstheme="minorHAnsi"/>
          <w:b/>
          <w:sz w:val="24"/>
          <w:szCs w:val="24"/>
        </w:rPr>
        <w:t xml:space="preserve"> smlouv</w:t>
      </w:r>
      <w:r w:rsidR="003B2DB8" w:rsidRPr="00485081">
        <w:rPr>
          <w:rFonts w:cstheme="minorHAnsi"/>
          <w:b/>
          <w:sz w:val="24"/>
          <w:szCs w:val="24"/>
        </w:rPr>
        <w:t>ách</w:t>
      </w:r>
      <w:r w:rsidR="009F15EB" w:rsidRPr="00485081">
        <w:rPr>
          <w:rFonts w:cstheme="minorHAnsi"/>
          <w:b/>
          <w:sz w:val="24"/>
          <w:szCs w:val="24"/>
        </w:rPr>
        <w:tab/>
      </w:r>
      <w:r w:rsidR="003B2DB8" w:rsidRPr="00485081">
        <w:rPr>
          <w:rFonts w:cstheme="minorHAnsi"/>
          <w:b/>
          <w:sz w:val="24"/>
          <w:szCs w:val="24"/>
        </w:rPr>
        <w:t>(</w:t>
      </w:r>
      <w:r w:rsidR="00AF2058" w:rsidRPr="00485081">
        <w:rPr>
          <w:rFonts w:cstheme="minorHAnsi"/>
          <w:b/>
          <w:sz w:val="24"/>
          <w:szCs w:val="24"/>
        </w:rPr>
        <w:t xml:space="preserve">v </w:t>
      </w:r>
      <w:r w:rsidR="003B2DB8" w:rsidRPr="00485081">
        <w:rPr>
          <w:rFonts w:cstheme="minorHAnsi"/>
          <w:b/>
          <w:sz w:val="24"/>
          <w:szCs w:val="24"/>
        </w:rPr>
        <w:t>Kč)</w:t>
      </w:r>
      <w:r w:rsidR="007C7463" w:rsidRPr="00485081">
        <w:rPr>
          <w:rFonts w:cstheme="minorHAnsi"/>
          <w:b/>
          <w:sz w:val="24"/>
          <w:szCs w:val="24"/>
        </w:rPr>
        <w:t xml:space="preserve"> </w:t>
      </w:r>
    </w:p>
    <w:tbl>
      <w:tblPr>
        <w:tblW w:w="9142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7"/>
        <w:gridCol w:w="1037"/>
        <w:gridCol w:w="831"/>
        <w:gridCol w:w="1381"/>
        <w:gridCol w:w="1095"/>
        <w:gridCol w:w="1211"/>
        <w:gridCol w:w="1503"/>
        <w:gridCol w:w="1117"/>
      </w:tblGrid>
      <w:tr w:rsidR="00D14358" w:rsidRPr="00D14358" w14:paraId="0A7974E3" w14:textId="77777777" w:rsidTr="00146042">
        <w:trPr>
          <w:trHeight w:val="448"/>
        </w:trPr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2F9B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Společnost</w:t>
            </w:r>
          </w:p>
        </w:tc>
        <w:tc>
          <w:tcPr>
            <w:tcW w:w="10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3F5FF" w14:textId="77777777" w:rsidR="002048C9" w:rsidRPr="00485081" w:rsidRDefault="002048C9" w:rsidP="002048C9">
            <w:pPr>
              <w:spacing w:after="0" w:line="240" w:lineRule="auto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 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210350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Rok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88FF70" w14:textId="2CE3933C" w:rsidR="002048C9" w:rsidRPr="00485081" w:rsidRDefault="00204121" w:rsidP="007C7463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C</w:t>
            </w:r>
            <w:r w:rsidR="007C7463" w:rsidRPr="00485081">
              <w:rPr>
                <w:rFonts w:cstheme="minorHAnsi"/>
                <w:b/>
                <w:sz w:val="18"/>
                <w:szCs w:val="18"/>
              </w:rPr>
              <w:t>elková nepřekročitelná odměna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BC2A54" w14:textId="3194246A" w:rsidR="009F15EB" w:rsidRPr="00485081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Z</w:t>
            </w:r>
            <w:r w:rsidR="002048C9" w:rsidRPr="00485081">
              <w:rPr>
                <w:rFonts w:cstheme="minorHAnsi"/>
                <w:b/>
                <w:sz w:val="18"/>
                <w:szCs w:val="18"/>
              </w:rPr>
              <w:t xml:space="preserve">ákladní </w:t>
            </w:r>
          </w:p>
          <w:p w14:paraId="5DB0ACA9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odměna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CA88F" w14:textId="1B45B227" w:rsidR="009F15EB" w:rsidRPr="00485081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R</w:t>
            </w:r>
            <w:r w:rsidR="002048C9" w:rsidRPr="00485081">
              <w:rPr>
                <w:rFonts w:cstheme="minorHAnsi"/>
                <w:b/>
                <w:sz w:val="18"/>
                <w:szCs w:val="18"/>
              </w:rPr>
              <w:t xml:space="preserve">oční </w:t>
            </w:r>
          </w:p>
          <w:p w14:paraId="753B55A1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odměna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50FFF9" w14:textId="5BD04C1F" w:rsidR="009F15EB" w:rsidRPr="00485081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S</w:t>
            </w:r>
            <w:r w:rsidR="002048C9" w:rsidRPr="00485081">
              <w:rPr>
                <w:rFonts w:cstheme="minorHAnsi"/>
                <w:b/>
                <w:sz w:val="18"/>
                <w:szCs w:val="18"/>
              </w:rPr>
              <w:t xml:space="preserve">třednědobá </w:t>
            </w:r>
          </w:p>
          <w:p w14:paraId="3E7897F3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 xml:space="preserve">odměna/1 rok 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A0A5D" w14:textId="610525D0" w:rsidR="009F15EB" w:rsidRPr="00485081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>
              <w:rPr>
                <w:rFonts w:cstheme="minorHAnsi"/>
                <w:b/>
                <w:sz w:val="18"/>
                <w:szCs w:val="18"/>
              </w:rPr>
              <w:t>V</w:t>
            </w:r>
            <w:r w:rsidR="002048C9" w:rsidRPr="00485081">
              <w:rPr>
                <w:rFonts w:cstheme="minorHAnsi"/>
                <w:b/>
                <w:sz w:val="18"/>
                <w:szCs w:val="18"/>
              </w:rPr>
              <w:t xml:space="preserve">yčíslitelné </w:t>
            </w:r>
          </w:p>
          <w:p w14:paraId="061C65C9" w14:textId="77777777" w:rsidR="002048C9" w:rsidRPr="00485081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485081">
              <w:rPr>
                <w:rFonts w:cstheme="minorHAnsi"/>
                <w:b/>
                <w:sz w:val="18"/>
                <w:szCs w:val="18"/>
              </w:rPr>
              <w:t>benefity</w:t>
            </w:r>
          </w:p>
        </w:tc>
      </w:tr>
      <w:tr w:rsidR="00D14358" w:rsidRPr="00D14358" w14:paraId="23F8B14B" w14:textId="77777777" w:rsidTr="00146042">
        <w:trPr>
          <w:trHeight w:val="256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5EA06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5C6FE5E8" w14:textId="77777777" w:rsidR="002048C9" w:rsidRPr="00D14358" w:rsidRDefault="008C1204" w:rsidP="00FB4B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Referenční rámec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BD3EDB1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C52752C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265D29B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40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4D51EF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C4D1E8F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9A1A8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D14358" w:rsidRPr="00D14358" w14:paraId="6E86FBEC" w14:textId="77777777" w:rsidTr="00146042">
        <w:trPr>
          <w:trHeight w:val="204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B65494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D76C6F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67C0C8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5B863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12 000 000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F38790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4 800 000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4877F8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2 400 000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D33EED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3 600 000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5E08DD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1 200 000</w:t>
            </w:r>
          </w:p>
        </w:tc>
      </w:tr>
      <w:tr w:rsidR="00D14358" w:rsidRPr="00D14358" w14:paraId="07C550F1" w14:textId="77777777" w:rsidTr="00F27BB8">
        <w:trPr>
          <w:trHeight w:val="122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B7B6D77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35B40" w14:textId="1D8893A0" w:rsidR="002048C9" w:rsidRPr="00D14358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A6187C" w:rsidRPr="00D14358">
              <w:rPr>
                <w:rFonts w:cstheme="minorHAnsi"/>
                <w:b/>
                <w:bCs/>
                <w:sz w:val="18"/>
                <w:szCs w:val="18"/>
              </w:rPr>
              <w:t>mlouva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08B1B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55104" w14:textId="1B942CA8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7C7463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51E7DC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6 600 000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38C1DA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6 600 000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1CDB8" w14:textId="1E81E01B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7C7463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EDD9B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222 000</w:t>
            </w:r>
          </w:p>
        </w:tc>
      </w:tr>
      <w:tr w:rsidR="00D14358" w:rsidRPr="00D14358" w14:paraId="6E7CF823" w14:textId="77777777" w:rsidTr="00F27BB8">
        <w:trPr>
          <w:trHeight w:val="127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BEE7C5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CE4F94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CFA087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E4AFD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7 081 658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F8DA0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4 740 000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08F21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2 038 200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B56D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3 033 600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F0F5B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166 200</w:t>
            </w:r>
          </w:p>
        </w:tc>
      </w:tr>
      <w:tr w:rsidR="00D14358" w:rsidRPr="00D14358" w14:paraId="17AA4E2C" w14:textId="77777777" w:rsidTr="00146042">
        <w:trPr>
          <w:trHeight w:val="230"/>
        </w:trPr>
        <w:tc>
          <w:tcPr>
            <w:tcW w:w="9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484E00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0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FE5366F" w14:textId="77777777" w:rsidR="002048C9" w:rsidRPr="00D14358" w:rsidRDefault="00236D45" w:rsidP="00FB4B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Referenční rámec</w:t>
            </w:r>
          </w:p>
        </w:tc>
        <w:tc>
          <w:tcPr>
            <w:tcW w:w="8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7661167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1B63E0F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777B4A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39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659E6B2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1F422E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31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0DEB51B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2048C9" w:rsidRPr="005C0EA6" w14:paraId="1F723E07" w14:textId="77777777" w:rsidTr="00146042">
        <w:trPr>
          <w:trHeight w:val="13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85A80D" w14:textId="77777777" w:rsidR="002048C9" w:rsidRPr="005C0EA6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18CF228" w14:textId="77777777" w:rsidR="002048C9" w:rsidRPr="005C0EA6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732D70D" w14:textId="77777777" w:rsidR="002048C9" w:rsidRPr="005C0EA6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470E47D" w14:textId="77777777" w:rsidR="002048C9" w:rsidRPr="005C0EA6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5C0EA6">
              <w:rPr>
                <w:rFonts w:cstheme="minorHAnsi"/>
                <w:b/>
                <w:bCs/>
                <w:sz w:val="18"/>
                <w:szCs w:val="18"/>
              </w:rPr>
              <w:t>8 100 000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FA7649" w14:textId="77777777" w:rsidR="002048C9" w:rsidRPr="005C0EA6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5C0EA6">
              <w:rPr>
                <w:rFonts w:cstheme="minorHAnsi"/>
                <w:sz w:val="18"/>
                <w:szCs w:val="18"/>
              </w:rPr>
              <w:t>3 159 000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898B76A" w14:textId="77777777" w:rsidR="002048C9" w:rsidRPr="005C0EA6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5C0EA6">
              <w:rPr>
                <w:rFonts w:cstheme="minorHAnsi"/>
                <w:sz w:val="18"/>
                <w:szCs w:val="18"/>
              </w:rPr>
              <w:t>1 620 000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C1691A" w14:textId="34BFD372" w:rsidR="002048C9" w:rsidRPr="005C0EA6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5C0EA6">
              <w:rPr>
                <w:rFonts w:cstheme="minorHAnsi"/>
                <w:sz w:val="18"/>
                <w:szCs w:val="18"/>
              </w:rPr>
              <w:t>2 511</w:t>
            </w:r>
            <w:r w:rsidR="00A76EDE">
              <w:rPr>
                <w:rFonts w:cstheme="minorHAnsi"/>
                <w:sz w:val="18"/>
                <w:szCs w:val="18"/>
              </w:rPr>
              <w:t xml:space="preserve">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7E9CD35" w14:textId="77777777" w:rsidR="002048C9" w:rsidRPr="005C0EA6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5C0EA6">
              <w:rPr>
                <w:rFonts w:cstheme="minorHAnsi"/>
                <w:sz w:val="18"/>
                <w:szCs w:val="18"/>
              </w:rPr>
              <w:t>810 000</w:t>
            </w:r>
          </w:p>
        </w:tc>
      </w:tr>
      <w:tr w:rsidR="00D14358" w:rsidRPr="00D14358" w14:paraId="706220D3" w14:textId="77777777" w:rsidTr="00146042">
        <w:trPr>
          <w:trHeight w:val="113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248DD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723A93" w14:textId="777F32B0" w:rsidR="00A20905" w:rsidRPr="00D14358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A20905" w:rsidRPr="00D14358">
              <w:rPr>
                <w:rFonts w:cstheme="minorHAnsi"/>
                <w:b/>
                <w:bCs/>
                <w:sz w:val="18"/>
                <w:szCs w:val="18"/>
              </w:rPr>
              <w:t>mlouva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3DEFA4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1F696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12 453 600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B73F3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4 173 600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C21E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8 973 600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ED2842" w14:textId="77777777" w:rsidR="002048C9" w:rsidRPr="00D14358" w:rsidRDefault="006B1080" w:rsidP="00E271C0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D14358">
              <w:rPr>
                <w:rFonts w:cstheme="minorHAnsi"/>
                <w:bCs/>
                <w:sz w:val="18"/>
                <w:szCs w:val="18"/>
              </w:rPr>
              <w:t>nesjednáno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2E2C30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3 258 400</w:t>
            </w:r>
          </w:p>
        </w:tc>
      </w:tr>
      <w:tr w:rsidR="00D14358" w:rsidRPr="00D14358" w14:paraId="6086D589" w14:textId="77777777" w:rsidTr="00146042">
        <w:trPr>
          <w:trHeight w:val="156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2345C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3</w:t>
            </w:r>
            <w:r w:rsidR="001F238F" w:rsidRPr="00485081">
              <w:rPr>
                <w:rFonts w:cstheme="minorHAnsi"/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6EFBB6A" w14:textId="77777777" w:rsidR="002048C9" w:rsidRPr="00D14358" w:rsidRDefault="00236D45" w:rsidP="00FB4B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Referenční rámec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5F58D13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831FB40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080AEED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47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3C38A6C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A2204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9BD5C33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D14358" w:rsidRPr="00D14358" w14:paraId="41008869" w14:textId="77777777" w:rsidTr="00146042">
        <w:trPr>
          <w:trHeight w:val="202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BACDC6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C74F913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842712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EDB96DC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5 500 000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9374E0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2 585 000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9B9A07D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1 100 000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14EA07F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1 650 000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06FEDBE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165 000</w:t>
            </w:r>
          </w:p>
        </w:tc>
      </w:tr>
      <w:tr w:rsidR="00D14358" w:rsidRPr="00D14358" w14:paraId="46BC88B8" w14:textId="77777777" w:rsidTr="00146042">
        <w:trPr>
          <w:trHeight w:val="188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DFDAF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FEBD" w14:textId="65C883B2" w:rsidR="002048C9" w:rsidRPr="00D14358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  <w:vertAlign w:val="superscript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E271C0" w:rsidRPr="00D14358">
              <w:rPr>
                <w:rFonts w:cstheme="minorHAnsi"/>
                <w:b/>
                <w:bCs/>
                <w:sz w:val="18"/>
                <w:szCs w:val="18"/>
              </w:rPr>
              <w:t>mlouva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5C2C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92D0B6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DAFF6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41BAD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16953C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81363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x</w:t>
            </w:r>
          </w:p>
        </w:tc>
      </w:tr>
      <w:tr w:rsidR="00D14358" w:rsidRPr="00D14358" w14:paraId="4490080D" w14:textId="77777777" w:rsidTr="00146042">
        <w:trPr>
          <w:trHeight w:val="124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5C6D2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39472C" w14:textId="77777777" w:rsidR="002048C9" w:rsidRPr="00D14358" w:rsidRDefault="00236D45" w:rsidP="00FB4B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Referenční rámec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6C3782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39A258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7B9DB74D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40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C8E057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F74E09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D85DB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D14358" w:rsidRPr="00D14358" w14:paraId="6D1A881E" w14:textId="77777777" w:rsidTr="00146042">
        <w:trPr>
          <w:trHeight w:val="184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491BB01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FFEDD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13488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06933DA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7 800 000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EF7022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3 100 000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51A180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2 350 000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5180B8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2 350 000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67EE4C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14358" w:rsidRPr="00D14358" w14:paraId="462F55CA" w14:textId="77777777" w:rsidTr="00146042">
        <w:trPr>
          <w:trHeight w:val="245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E4D618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61F79" w14:textId="587123F2" w:rsidR="002048C9" w:rsidRPr="00D14358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E271C0" w:rsidRPr="00D14358">
              <w:rPr>
                <w:rFonts w:cstheme="minorHAnsi"/>
                <w:b/>
                <w:bCs/>
                <w:sz w:val="18"/>
                <w:szCs w:val="18"/>
              </w:rPr>
              <w:t>mlouva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224D1D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4F114" w14:textId="077CE46B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6B1080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1782A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2 892 000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BC350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5 494 800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0CF05" w14:textId="5D5386C1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6B1080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2CF8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2 030 000</w:t>
            </w:r>
          </w:p>
        </w:tc>
      </w:tr>
      <w:tr w:rsidR="00D14358" w:rsidRPr="00D14358" w14:paraId="5D7BE9FA" w14:textId="77777777" w:rsidTr="00146042">
        <w:trPr>
          <w:trHeight w:val="12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AFCA1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A6296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4F3E1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ECBAFB" w14:textId="6865888E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6B1080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CE0A8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2 400 000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767A4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2 400 000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3D5666" w14:textId="1A34A5C0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6B1080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285CC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30 000</w:t>
            </w:r>
          </w:p>
        </w:tc>
      </w:tr>
      <w:tr w:rsidR="00D14358" w:rsidRPr="00D14358" w14:paraId="69310894" w14:textId="77777777" w:rsidTr="00146042">
        <w:trPr>
          <w:trHeight w:val="180"/>
        </w:trPr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CBF1AF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0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C03CCEC" w14:textId="77777777" w:rsidR="002048C9" w:rsidRPr="00D14358" w:rsidRDefault="00236D45" w:rsidP="00FB4B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Referenční rámec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28D94770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2965507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100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C48B00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50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2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B94F4A0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3C7964EF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30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  <w:tc>
          <w:tcPr>
            <w:tcW w:w="1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1821F141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0</w:t>
            </w:r>
            <w:r w:rsidR="00AF2058">
              <w:rPr>
                <w:rFonts w:cstheme="minorHAnsi"/>
                <w:sz w:val="18"/>
                <w:szCs w:val="18"/>
              </w:rPr>
              <w:t xml:space="preserve"> </w:t>
            </w:r>
            <w:r w:rsidRPr="00D14358">
              <w:rPr>
                <w:rFonts w:cstheme="minorHAnsi"/>
                <w:sz w:val="18"/>
                <w:szCs w:val="18"/>
              </w:rPr>
              <w:t>%</w:t>
            </w:r>
          </w:p>
        </w:tc>
      </w:tr>
      <w:tr w:rsidR="00D14358" w:rsidRPr="00D14358" w14:paraId="5FF9B7D5" w14:textId="77777777" w:rsidTr="00146042">
        <w:trPr>
          <w:trHeight w:val="24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22F7ED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D8DF09F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8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55066F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DE4C822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4 000 000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5CDEAB46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2 000 000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55D7DFC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800 000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4EB7196B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1 200 000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bottom"/>
            <w:hideMark/>
          </w:tcPr>
          <w:p w14:paraId="6156F4C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sz w:val="18"/>
                <w:szCs w:val="18"/>
              </w:rPr>
            </w:pPr>
            <w:r w:rsidRPr="00D14358">
              <w:rPr>
                <w:rFonts w:cstheme="minorHAnsi"/>
                <w:sz w:val="18"/>
                <w:szCs w:val="18"/>
              </w:rPr>
              <w:t>0</w:t>
            </w:r>
          </w:p>
        </w:tc>
      </w:tr>
      <w:tr w:rsidR="00D14358" w:rsidRPr="00D14358" w14:paraId="124EEE9E" w14:textId="77777777" w:rsidTr="00146042">
        <w:trPr>
          <w:trHeight w:val="130"/>
        </w:trPr>
        <w:tc>
          <w:tcPr>
            <w:tcW w:w="9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A0E470A" w14:textId="77777777" w:rsidR="002048C9" w:rsidRPr="00D14358" w:rsidRDefault="002048C9" w:rsidP="002048C9">
            <w:pPr>
              <w:spacing w:after="0" w:line="240" w:lineRule="auto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10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C80A3F" w14:textId="70C77B62" w:rsidR="002048C9" w:rsidRPr="00D14358" w:rsidRDefault="00204121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</w:rPr>
              <w:t>S</w:t>
            </w:r>
            <w:r w:rsidR="00E271C0" w:rsidRPr="00D14358">
              <w:rPr>
                <w:rFonts w:cstheme="minorHAnsi"/>
                <w:b/>
                <w:bCs/>
                <w:sz w:val="18"/>
                <w:szCs w:val="18"/>
              </w:rPr>
              <w:t>mlouva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DF4E4" w14:textId="77777777" w:rsidR="002048C9" w:rsidRPr="00D14358" w:rsidRDefault="002048C9" w:rsidP="002048C9">
            <w:pPr>
              <w:spacing w:after="0" w:line="240" w:lineRule="auto"/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8BF25" w14:textId="2FD54721" w:rsidR="002048C9" w:rsidRPr="00D14358" w:rsidRDefault="00BA16CB" w:rsidP="002048C9">
            <w:pPr>
              <w:spacing w:after="0" w:line="240" w:lineRule="auto"/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N</w:t>
            </w:r>
            <w:r w:rsidR="006B1080" w:rsidRPr="00D14358">
              <w:rPr>
                <w:rFonts w:cstheme="minorHAnsi"/>
                <w:bCs/>
                <w:sz w:val="18"/>
                <w:szCs w:val="18"/>
              </w:rPr>
              <w:t>esjednáno</w:t>
            </w:r>
          </w:p>
        </w:tc>
        <w:tc>
          <w:tcPr>
            <w:tcW w:w="1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9D312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1 542 000</w:t>
            </w:r>
          </w:p>
        </w:tc>
        <w:tc>
          <w:tcPr>
            <w:tcW w:w="12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33135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576 000</w:t>
            </w:r>
          </w:p>
        </w:tc>
        <w:tc>
          <w:tcPr>
            <w:tcW w:w="15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85A9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288 000</w:t>
            </w:r>
          </w:p>
        </w:tc>
        <w:tc>
          <w:tcPr>
            <w:tcW w:w="11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CB8234" w14:textId="77777777" w:rsidR="002048C9" w:rsidRPr="00D14358" w:rsidRDefault="002048C9" w:rsidP="002048C9">
            <w:pPr>
              <w:spacing w:after="0" w:line="240" w:lineRule="auto"/>
              <w:jc w:val="right"/>
              <w:rPr>
                <w:rFonts w:cstheme="minorHAnsi"/>
                <w:b/>
                <w:bCs/>
                <w:sz w:val="18"/>
                <w:szCs w:val="18"/>
              </w:rPr>
            </w:pPr>
            <w:r w:rsidRPr="00D14358">
              <w:rPr>
                <w:rFonts w:cstheme="minorHAnsi"/>
                <w:b/>
                <w:bCs/>
                <w:sz w:val="18"/>
                <w:szCs w:val="18"/>
              </w:rPr>
              <w:t>12 000</w:t>
            </w:r>
          </w:p>
        </w:tc>
      </w:tr>
    </w:tbl>
    <w:p w14:paraId="7924E22F" w14:textId="24167F74" w:rsidR="002048C9" w:rsidRPr="005C0EA6" w:rsidRDefault="002048C9" w:rsidP="002048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0"/>
          <w:szCs w:val="20"/>
          <w:lang w:eastAsia="cs-CZ"/>
        </w:rPr>
      </w:pPr>
      <w:r w:rsidRPr="00D14358">
        <w:rPr>
          <w:rFonts w:cstheme="minorHAnsi"/>
          <w:b/>
          <w:sz w:val="20"/>
          <w:szCs w:val="20"/>
          <w:lang w:eastAsia="cs-CZ"/>
        </w:rPr>
        <w:t>Zdroj:</w:t>
      </w:r>
      <w:r w:rsidRPr="00D14358">
        <w:rPr>
          <w:rFonts w:cstheme="minorHAnsi"/>
          <w:sz w:val="20"/>
          <w:szCs w:val="20"/>
          <w:lang w:eastAsia="cs-CZ"/>
        </w:rPr>
        <w:t xml:space="preserve"> MF – </w:t>
      </w:r>
      <w:r w:rsidR="00BA16CB">
        <w:rPr>
          <w:rFonts w:cstheme="minorHAnsi"/>
          <w:sz w:val="20"/>
          <w:szCs w:val="20"/>
          <w:lang w:eastAsia="cs-CZ"/>
        </w:rPr>
        <w:t xml:space="preserve">příslušná </w:t>
      </w:r>
      <w:r w:rsidR="00204121">
        <w:rPr>
          <w:rFonts w:cstheme="minorHAnsi"/>
          <w:sz w:val="20"/>
          <w:szCs w:val="20"/>
          <w:lang w:eastAsia="cs-CZ"/>
        </w:rPr>
        <w:t>r</w:t>
      </w:r>
      <w:r w:rsidRPr="005C0EA6">
        <w:rPr>
          <w:rFonts w:cstheme="minorHAnsi"/>
          <w:sz w:val="20"/>
          <w:szCs w:val="20"/>
          <w:lang w:eastAsia="cs-CZ"/>
        </w:rPr>
        <w:t>ozhodnutí jediného akcionáře</w:t>
      </w:r>
      <w:r w:rsidR="00D353E2">
        <w:rPr>
          <w:rFonts w:cstheme="minorHAnsi"/>
          <w:sz w:val="20"/>
          <w:szCs w:val="20"/>
          <w:lang w:eastAsia="cs-CZ"/>
        </w:rPr>
        <w:t>.</w:t>
      </w:r>
    </w:p>
    <w:p w14:paraId="17062D85" w14:textId="0E243D0A" w:rsidR="006B1080" w:rsidRDefault="002048C9" w:rsidP="002048C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theme="minorHAnsi"/>
          <w:sz w:val="20"/>
          <w:szCs w:val="20"/>
          <w:lang w:eastAsia="cs-CZ"/>
        </w:rPr>
      </w:pPr>
      <w:r w:rsidRPr="00D353E2">
        <w:rPr>
          <w:rFonts w:cstheme="minorHAnsi"/>
          <w:b/>
          <w:sz w:val="20"/>
          <w:szCs w:val="20"/>
          <w:lang w:eastAsia="cs-CZ"/>
        </w:rPr>
        <w:t>Pozn.:</w:t>
      </w:r>
      <w:r w:rsidRPr="005C0EA6">
        <w:rPr>
          <w:rFonts w:cstheme="minorHAnsi"/>
          <w:sz w:val="20"/>
          <w:szCs w:val="20"/>
          <w:lang w:eastAsia="cs-CZ"/>
        </w:rPr>
        <w:t xml:space="preserve"> </w:t>
      </w:r>
      <w:r w:rsidR="008C1204" w:rsidRPr="005C0EA6">
        <w:rPr>
          <w:rFonts w:cstheme="minorHAnsi"/>
          <w:sz w:val="20"/>
          <w:szCs w:val="20"/>
          <w:lang w:eastAsia="cs-CZ"/>
        </w:rPr>
        <w:t>Referenční rámec</w:t>
      </w:r>
      <w:r w:rsidRPr="005C0EA6">
        <w:rPr>
          <w:rFonts w:cstheme="minorHAnsi"/>
          <w:sz w:val="20"/>
          <w:szCs w:val="20"/>
          <w:lang w:eastAsia="cs-CZ"/>
        </w:rPr>
        <w:t xml:space="preserve"> obsahoval celkový příjem, základní plat, roční bonus, střednědobý bonus a benefity, v tabulce jsou však uvedeny pojmy použité ve smlouvách o výkonu funkc</w:t>
      </w:r>
      <w:r w:rsidR="00D353E2">
        <w:rPr>
          <w:rFonts w:cstheme="minorHAnsi"/>
          <w:sz w:val="20"/>
          <w:szCs w:val="20"/>
          <w:lang w:eastAsia="cs-CZ"/>
        </w:rPr>
        <w:t>e člena představenstva. Údaje o </w:t>
      </w:r>
      <w:r w:rsidRPr="0089551F">
        <w:rPr>
          <w:rFonts w:cstheme="minorHAnsi"/>
          <w:sz w:val="20"/>
          <w:szCs w:val="20"/>
          <w:lang w:eastAsia="cs-CZ"/>
        </w:rPr>
        <w:t>odměnách jsou uvedeny pro období jednoho roku, u střednědobé odměny je uveden podíl připadající na jeden rok. U roční odměny je uvedena maximální částka, kterou lze při splnění podmínek získat. Do vyčíslitelných benefitů byly zahrnuty částky uvedené ve smlouvě</w:t>
      </w:r>
      <w:r w:rsidR="00214864">
        <w:rPr>
          <w:rFonts w:cstheme="minorHAnsi"/>
          <w:sz w:val="20"/>
          <w:szCs w:val="20"/>
          <w:lang w:eastAsia="cs-CZ"/>
        </w:rPr>
        <w:t>;</w:t>
      </w:r>
      <w:r w:rsidRPr="0089551F">
        <w:rPr>
          <w:rFonts w:cstheme="minorHAnsi"/>
          <w:sz w:val="20"/>
          <w:szCs w:val="20"/>
          <w:lang w:eastAsia="cs-CZ"/>
        </w:rPr>
        <w:t xml:space="preserve"> ty z nich, které bylo možné přepočítat na jeden rok, byly uvedeny v roční výši, </w:t>
      </w:r>
      <w:r w:rsidR="00214864">
        <w:rPr>
          <w:rFonts w:cstheme="minorHAnsi"/>
          <w:sz w:val="20"/>
          <w:szCs w:val="20"/>
          <w:lang w:eastAsia="cs-CZ"/>
        </w:rPr>
        <w:t xml:space="preserve">zatímco </w:t>
      </w:r>
      <w:r w:rsidRPr="0089551F">
        <w:rPr>
          <w:rFonts w:cstheme="minorHAnsi"/>
          <w:sz w:val="20"/>
          <w:szCs w:val="20"/>
          <w:lang w:eastAsia="cs-CZ"/>
        </w:rPr>
        <w:t>ty, u nichž smlouva nespecifikovala, zda se vztahují k jednomu roku, nebo k celému funkčnímu období (společnost 4), byly do benefitů zahrnuty ve výši uvedené ve smlouvě.</w:t>
      </w:r>
    </w:p>
    <w:p w14:paraId="630D1850" w14:textId="6C2E0E7A" w:rsidR="002048C9" w:rsidRPr="00D14358" w:rsidRDefault="006B1080" w:rsidP="00E57F26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0"/>
          <w:szCs w:val="20"/>
          <w:lang w:eastAsia="cs-CZ"/>
        </w:rPr>
      </w:pPr>
      <w:r w:rsidRPr="00485081">
        <w:rPr>
          <w:rFonts w:cstheme="minorHAnsi"/>
          <w:sz w:val="20"/>
          <w:szCs w:val="20"/>
          <w:lang w:eastAsia="cs-CZ"/>
        </w:rPr>
        <w:t>*</w:t>
      </w:r>
      <w:r w:rsidR="00E57F26" w:rsidRPr="00485081">
        <w:rPr>
          <w:rFonts w:cstheme="minorHAnsi"/>
          <w:sz w:val="20"/>
          <w:szCs w:val="20"/>
          <w:lang w:eastAsia="cs-CZ"/>
        </w:rPr>
        <w:tab/>
      </w:r>
      <w:r w:rsidR="002048C9" w:rsidRPr="00D14358">
        <w:rPr>
          <w:rFonts w:cstheme="minorHAnsi"/>
          <w:sz w:val="20"/>
          <w:szCs w:val="20"/>
          <w:lang w:eastAsia="cs-CZ"/>
        </w:rPr>
        <w:t>Společnost č. 3 uplatňuje německý model řízení, smlouvy o výkonu funkce schvalované dozorčí radou neměl</w:t>
      </w:r>
      <w:r w:rsidRPr="00D14358">
        <w:rPr>
          <w:rFonts w:cstheme="minorHAnsi"/>
          <w:sz w:val="20"/>
          <w:szCs w:val="20"/>
          <w:lang w:eastAsia="cs-CZ"/>
        </w:rPr>
        <w:t>o MF</w:t>
      </w:r>
      <w:r w:rsidR="002048C9" w:rsidRPr="00D14358">
        <w:rPr>
          <w:rFonts w:cstheme="minorHAnsi"/>
          <w:sz w:val="20"/>
          <w:szCs w:val="20"/>
          <w:lang w:eastAsia="cs-CZ"/>
        </w:rPr>
        <w:t xml:space="preserve"> k dispozici.</w:t>
      </w:r>
    </w:p>
    <w:p w14:paraId="086A9C78" w14:textId="77777777" w:rsidR="002048C9" w:rsidRPr="00D14358" w:rsidRDefault="002048C9" w:rsidP="001B19AC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D014E2E" w14:textId="00C8C5E4" w:rsidR="005F7CE0" w:rsidRPr="00D14358" w:rsidRDefault="004A5EC5" w:rsidP="005F7CE0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V</w:t>
      </w:r>
      <w:r w:rsidR="00743886" w:rsidRPr="00D14358">
        <w:rPr>
          <w:rFonts w:cstheme="minorHAnsi"/>
          <w:sz w:val="24"/>
          <w:szCs w:val="24"/>
          <w:lang w:eastAsia="cs-CZ"/>
        </w:rPr>
        <w:t> </w:t>
      </w:r>
      <w:r w:rsidR="00204121">
        <w:rPr>
          <w:rFonts w:cstheme="minorHAnsi"/>
          <w:sz w:val="24"/>
          <w:szCs w:val="24"/>
          <w:lang w:eastAsia="cs-CZ"/>
        </w:rPr>
        <w:t>r</w:t>
      </w:r>
      <w:r w:rsidR="00743886" w:rsidRPr="00D14358">
        <w:rPr>
          <w:rFonts w:cstheme="minorHAnsi"/>
          <w:sz w:val="24"/>
          <w:szCs w:val="24"/>
          <w:lang w:eastAsia="cs-CZ"/>
        </w:rPr>
        <w:t>ozhodnutích jediného akcionáře (dále také „RJA“) v působnosti valné hromady nerespektovalo</w:t>
      </w:r>
      <w:r w:rsidR="00BA16CB" w:rsidRPr="00BA16CB">
        <w:rPr>
          <w:rFonts w:cstheme="minorHAnsi"/>
          <w:sz w:val="24"/>
          <w:szCs w:val="24"/>
          <w:lang w:eastAsia="cs-CZ"/>
        </w:rPr>
        <w:t xml:space="preserve"> </w:t>
      </w:r>
      <w:r w:rsidR="00BA16CB" w:rsidRPr="00D14358">
        <w:rPr>
          <w:rFonts w:cstheme="minorHAnsi"/>
          <w:sz w:val="24"/>
          <w:szCs w:val="24"/>
          <w:lang w:eastAsia="cs-CZ"/>
        </w:rPr>
        <w:t>MF</w:t>
      </w:r>
      <w:r w:rsidR="00743886" w:rsidRPr="00D14358">
        <w:rPr>
          <w:rFonts w:cstheme="minorHAnsi"/>
          <w:sz w:val="24"/>
          <w:szCs w:val="24"/>
          <w:lang w:eastAsia="cs-CZ"/>
        </w:rPr>
        <w:t xml:space="preserve"> důsledně ustanovení </w:t>
      </w:r>
      <w:r w:rsidR="00514369">
        <w:rPr>
          <w:rFonts w:cstheme="minorHAnsi"/>
          <w:sz w:val="24"/>
          <w:szCs w:val="24"/>
          <w:lang w:eastAsia="cs-CZ"/>
        </w:rPr>
        <w:t>s</w:t>
      </w:r>
      <w:r w:rsidR="00743886" w:rsidRPr="00D14358">
        <w:rPr>
          <w:rFonts w:cstheme="minorHAnsi"/>
          <w:sz w:val="24"/>
          <w:szCs w:val="24"/>
          <w:lang w:eastAsia="cs-CZ"/>
        </w:rPr>
        <w:t xml:space="preserve">měrnice </w:t>
      </w:r>
      <w:r w:rsidR="005C6AD7" w:rsidRPr="00D14358">
        <w:rPr>
          <w:rFonts w:cstheme="minorHAnsi"/>
          <w:sz w:val="24"/>
          <w:szCs w:val="24"/>
          <w:lang w:eastAsia="cs-CZ"/>
        </w:rPr>
        <w:t>č. 4/2010</w:t>
      </w:r>
      <w:r w:rsidR="005C6AD7" w:rsidRPr="00D14358">
        <w:rPr>
          <w:rFonts w:cstheme="minorHAnsi"/>
          <w:sz w:val="24"/>
          <w:szCs w:val="24"/>
          <w:vertAlign w:val="superscript"/>
          <w:lang w:eastAsia="cs-CZ"/>
        </w:rPr>
        <w:t>6</w:t>
      </w:r>
      <w:r w:rsidR="005C6AD7">
        <w:rPr>
          <w:rFonts w:cstheme="minorHAnsi"/>
          <w:sz w:val="24"/>
          <w:szCs w:val="24"/>
          <w:vertAlign w:val="superscript"/>
          <w:lang w:eastAsia="cs-CZ"/>
        </w:rPr>
        <w:t xml:space="preserve"> </w:t>
      </w:r>
      <w:r w:rsidR="00743886" w:rsidRPr="00D14358">
        <w:rPr>
          <w:rFonts w:cstheme="minorHAnsi"/>
          <w:sz w:val="24"/>
          <w:szCs w:val="24"/>
          <w:lang w:eastAsia="cs-CZ"/>
        </w:rPr>
        <w:t xml:space="preserve">ministra financí, </w:t>
      </w:r>
      <w:r w:rsidR="00457580" w:rsidRPr="00D14358">
        <w:rPr>
          <w:rFonts w:cstheme="minorHAnsi"/>
          <w:sz w:val="24"/>
          <w:szCs w:val="24"/>
          <w:lang w:eastAsia="cs-CZ"/>
        </w:rPr>
        <w:t xml:space="preserve">neboť </w:t>
      </w:r>
      <w:r w:rsidR="003D13AC" w:rsidRPr="00D14358">
        <w:rPr>
          <w:rFonts w:cstheme="minorHAnsi"/>
          <w:sz w:val="24"/>
          <w:szCs w:val="24"/>
          <w:lang w:eastAsia="cs-CZ"/>
        </w:rPr>
        <w:t>z</w:t>
      </w:r>
      <w:r w:rsidR="006050CA" w:rsidRPr="00D14358">
        <w:rPr>
          <w:rFonts w:cstheme="minorHAnsi"/>
          <w:sz w:val="24"/>
          <w:szCs w:val="24"/>
          <w:lang w:eastAsia="cs-CZ"/>
        </w:rPr>
        <w:t> 2</w:t>
      </w:r>
      <w:r w:rsidR="004210B0" w:rsidRPr="00D14358">
        <w:rPr>
          <w:rFonts w:cstheme="minorHAnsi"/>
          <w:sz w:val="24"/>
          <w:szCs w:val="24"/>
          <w:lang w:eastAsia="cs-CZ"/>
        </w:rPr>
        <w:t>2</w:t>
      </w:r>
      <w:r w:rsidR="00D353E2" w:rsidRPr="00D14358">
        <w:rPr>
          <w:rFonts w:cstheme="minorHAnsi"/>
          <w:sz w:val="24"/>
          <w:szCs w:val="24"/>
          <w:lang w:eastAsia="cs-CZ"/>
        </w:rPr>
        <w:t> </w:t>
      </w:r>
      <w:r w:rsidR="005F7CE0" w:rsidRPr="00D14358">
        <w:rPr>
          <w:rFonts w:cstheme="minorHAnsi"/>
          <w:sz w:val="24"/>
          <w:szCs w:val="24"/>
          <w:lang w:eastAsia="cs-CZ"/>
        </w:rPr>
        <w:t xml:space="preserve">posuzovaných </w:t>
      </w:r>
      <w:r w:rsidR="003D13AC" w:rsidRPr="00D14358">
        <w:rPr>
          <w:rFonts w:cstheme="minorHAnsi"/>
          <w:sz w:val="24"/>
          <w:szCs w:val="24"/>
          <w:lang w:eastAsia="cs-CZ"/>
        </w:rPr>
        <w:t>smluv</w:t>
      </w:r>
      <w:r w:rsidR="006050CA" w:rsidRPr="00D14358">
        <w:rPr>
          <w:rFonts w:cstheme="minorHAnsi"/>
          <w:sz w:val="24"/>
          <w:szCs w:val="24"/>
          <w:lang w:eastAsia="cs-CZ"/>
        </w:rPr>
        <w:t xml:space="preserve"> o výkonu funkce člena př</w:t>
      </w:r>
      <w:r w:rsidR="005F7CE0" w:rsidRPr="00D14358">
        <w:rPr>
          <w:rFonts w:cstheme="minorHAnsi"/>
          <w:sz w:val="24"/>
          <w:szCs w:val="24"/>
          <w:lang w:eastAsia="cs-CZ"/>
        </w:rPr>
        <w:t>edstavenstva:</w:t>
      </w:r>
    </w:p>
    <w:p w14:paraId="36212975" w14:textId="1D507EC7" w:rsidR="005F7CE0" w:rsidRPr="00532B3B" w:rsidRDefault="005F7CE0" w:rsidP="00532B3B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Calibri" w:hAnsi="Calibri" w:cs="Calibri"/>
          <w:lang w:eastAsia="cs-CZ"/>
        </w:rPr>
      </w:pPr>
      <w:r w:rsidRPr="00532B3B">
        <w:rPr>
          <w:rFonts w:ascii="Calibri" w:hAnsi="Calibri" w:cs="Calibri"/>
          <w:lang w:eastAsia="cs-CZ"/>
        </w:rPr>
        <w:t xml:space="preserve">ve 14 smlouvách nesjednalo maximální celkový roční příjem, </w:t>
      </w:r>
      <w:r w:rsidR="007E285A" w:rsidRPr="00532B3B">
        <w:rPr>
          <w:rFonts w:ascii="Calibri" w:hAnsi="Calibri" w:cs="Calibri"/>
          <w:lang w:eastAsia="cs-CZ"/>
        </w:rPr>
        <w:t>od něhož se měl</w:t>
      </w:r>
      <w:r w:rsidR="00BA16CB">
        <w:rPr>
          <w:rFonts w:ascii="Calibri" w:hAnsi="Calibri" w:cs="Calibri"/>
          <w:lang w:eastAsia="cs-CZ"/>
        </w:rPr>
        <w:t>y</w:t>
      </w:r>
      <w:r w:rsidR="007E285A" w:rsidRPr="00532B3B">
        <w:rPr>
          <w:rFonts w:ascii="Calibri" w:hAnsi="Calibri" w:cs="Calibri"/>
          <w:lang w:eastAsia="cs-CZ"/>
        </w:rPr>
        <w:t xml:space="preserve"> odvíjet podíl</w:t>
      </w:r>
      <w:r w:rsidR="00BA16CB">
        <w:rPr>
          <w:rFonts w:ascii="Calibri" w:hAnsi="Calibri" w:cs="Calibri"/>
          <w:lang w:eastAsia="cs-CZ"/>
        </w:rPr>
        <w:t>y</w:t>
      </w:r>
      <w:r w:rsidR="007E285A" w:rsidRPr="00532B3B">
        <w:rPr>
          <w:rFonts w:ascii="Calibri" w:hAnsi="Calibri" w:cs="Calibri"/>
          <w:lang w:eastAsia="cs-CZ"/>
        </w:rPr>
        <w:t xml:space="preserve"> jednotlivých složek </w:t>
      </w:r>
      <w:r w:rsidR="006B51CE" w:rsidRPr="00532B3B">
        <w:rPr>
          <w:rFonts w:ascii="Calibri" w:hAnsi="Calibri" w:cs="Calibri"/>
          <w:lang w:eastAsia="cs-CZ"/>
        </w:rPr>
        <w:t>příjmu vyjádřen</w:t>
      </w:r>
      <w:r w:rsidR="00BA16CB">
        <w:rPr>
          <w:rFonts w:ascii="Calibri" w:hAnsi="Calibri" w:cs="Calibri"/>
          <w:lang w:eastAsia="cs-CZ"/>
        </w:rPr>
        <w:t>é</w:t>
      </w:r>
      <w:r w:rsidR="006B51CE" w:rsidRPr="00532B3B">
        <w:rPr>
          <w:rFonts w:ascii="Calibri" w:hAnsi="Calibri" w:cs="Calibri"/>
          <w:lang w:eastAsia="cs-CZ"/>
        </w:rPr>
        <w:t xml:space="preserve"> procenty tak, jak byl</w:t>
      </w:r>
      <w:r w:rsidR="00BA16CB">
        <w:rPr>
          <w:rFonts w:ascii="Calibri" w:hAnsi="Calibri" w:cs="Calibri"/>
          <w:lang w:eastAsia="cs-CZ"/>
        </w:rPr>
        <w:t>y</w:t>
      </w:r>
      <w:r w:rsidR="006B51CE" w:rsidRPr="00532B3B">
        <w:rPr>
          <w:rFonts w:ascii="Calibri" w:hAnsi="Calibri" w:cs="Calibri"/>
          <w:lang w:eastAsia="cs-CZ"/>
        </w:rPr>
        <w:t xml:space="preserve"> nastaven</w:t>
      </w:r>
      <w:r w:rsidR="00BA16CB">
        <w:rPr>
          <w:rFonts w:ascii="Calibri" w:hAnsi="Calibri" w:cs="Calibri"/>
          <w:lang w:eastAsia="cs-CZ"/>
        </w:rPr>
        <w:t>y</w:t>
      </w:r>
      <w:r w:rsidR="007E285A" w:rsidRPr="00532B3B">
        <w:rPr>
          <w:rFonts w:ascii="Calibri" w:hAnsi="Calibri" w:cs="Calibri"/>
          <w:lang w:eastAsia="cs-CZ"/>
        </w:rPr>
        <w:t xml:space="preserve"> referenční</w:t>
      </w:r>
      <w:r w:rsidR="006B51CE" w:rsidRPr="00532B3B">
        <w:rPr>
          <w:rFonts w:ascii="Calibri" w:hAnsi="Calibri" w:cs="Calibri"/>
          <w:lang w:eastAsia="cs-CZ"/>
        </w:rPr>
        <w:t>m</w:t>
      </w:r>
      <w:r w:rsidR="007E285A" w:rsidRPr="00532B3B">
        <w:rPr>
          <w:rFonts w:ascii="Calibri" w:hAnsi="Calibri" w:cs="Calibri"/>
          <w:lang w:eastAsia="cs-CZ"/>
        </w:rPr>
        <w:t xml:space="preserve"> rámce</w:t>
      </w:r>
      <w:r w:rsidR="006B51CE" w:rsidRPr="00532B3B">
        <w:rPr>
          <w:rFonts w:ascii="Calibri" w:hAnsi="Calibri" w:cs="Calibri"/>
          <w:lang w:eastAsia="cs-CZ"/>
        </w:rPr>
        <w:t>m</w:t>
      </w:r>
      <w:r w:rsidR="00C832C1" w:rsidRPr="00532B3B">
        <w:rPr>
          <w:rFonts w:ascii="Calibri" w:hAnsi="Calibri" w:cs="Calibri"/>
          <w:lang w:eastAsia="cs-CZ"/>
        </w:rPr>
        <w:t>;</w:t>
      </w:r>
    </w:p>
    <w:p w14:paraId="314032F7" w14:textId="77777777" w:rsidR="004258AC" w:rsidRPr="00532B3B" w:rsidRDefault="005F7CE0" w:rsidP="00532B3B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Calibri" w:hAnsi="Calibri" w:cs="Calibri"/>
          <w:lang w:eastAsia="cs-CZ"/>
        </w:rPr>
      </w:pPr>
      <w:r w:rsidRPr="00532B3B">
        <w:rPr>
          <w:rFonts w:ascii="Calibri" w:hAnsi="Calibri" w:cs="Calibri"/>
          <w:lang w:eastAsia="cs-CZ"/>
        </w:rPr>
        <w:t xml:space="preserve">v 15 smlouvách nesjednalo poskytování střednědobé variabilní složky příjmu, na kterou by vznikl nárok po třech až pěti letech a jejíž výše měla činit alespoň 30 % ze stanoveného maximálního celkového ročního příjmu, </w:t>
      </w:r>
      <w:r w:rsidR="006B51CE" w:rsidRPr="00532B3B">
        <w:rPr>
          <w:rFonts w:ascii="Calibri" w:hAnsi="Calibri" w:cs="Calibri"/>
          <w:lang w:eastAsia="cs-CZ"/>
        </w:rPr>
        <w:t>v důsledku toho nebyl</w:t>
      </w:r>
      <w:r w:rsidR="004258AC" w:rsidRPr="00532B3B">
        <w:rPr>
          <w:rFonts w:ascii="Calibri" w:hAnsi="Calibri" w:cs="Calibri"/>
          <w:lang w:eastAsia="cs-CZ"/>
        </w:rPr>
        <w:t xml:space="preserve">a žádná část příjmů </w:t>
      </w:r>
      <w:r w:rsidR="007E285A" w:rsidRPr="00532B3B">
        <w:rPr>
          <w:rFonts w:ascii="Calibri" w:hAnsi="Calibri" w:cs="Calibri"/>
          <w:lang w:eastAsia="cs-CZ"/>
        </w:rPr>
        <w:t>příslušn</w:t>
      </w:r>
      <w:r w:rsidR="004258AC" w:rsidRPr="00532B3B">
        <w:rPr>
          <w:rFonts w:ascii="Calibri" w:hAnsi="Calibri" w:cs="Calibri"/>
          <w:lang w:eastAsia="cs-CZ"/>
        </w:rPr>
        <w:t>ých</w:t>
      </w:r>
      <w:r w:rsidR="007E285A" w:rsidRPr="00532B3B">
        <w:rPr>
          <w:rFonts w:ascii="Calibri" w:hAnsi="Calibri" w:cs="Calibri"/>
          <w:lang w:eastAsia="cs-CZ"/>
        </w:rPr>
        <w:t xml:space="preserve"> člen</w:t>
      </w:r>
      <w:r w:rsidR="004258AC" w:rsidRPr="00532B3B">
        <w:rPr>
          <w:rFonts w:ascii="Calibri" w:hAnsi="Calibri" w:cs="Calibri"/>
          <w:lang w:eastAsia="cs-CZ"/>
        </w:rPr>
        <w:t>ů</w:t>
      </w:r>
      <w:r w:rsidR="007E285A" w:rsidRPr="00532B3B">
        <w:rPr>
          <w:rFonts w:ascii="Calibri" w:hAnsi="Calibri" w:cs="Calibri"/>
          <w:lang w:eastAsia="cs-CZ"/>
        </w:rPr>
        <w:t xml:space="preserve"> orgánů </w:t>
      </w:r>
      <w:r w:rsidR="004258AC" w:rsidRPr="00532B3B">
        <w:rPr>
          <w:rFonts w:ascii="Calibri" w:hAnsi="Calibri" w:cs="Calibri"/>
          <w:lang w:eastAsia="cs-CZ"/>
        </w:rPr>
        <w:t xml:space="preserve">vázána </w:t>
      </w:r>
      <w:r w:rsidR="007E285A" w:rsidRPr="00532B3B">
        <w:rPr>
          <w:rFonts w:ascii="Calibri" w:hAnsi="Calibri" w:cs="Calibri"/>
          <w:lang w:eastAsia="cs-CZ"/>
        </w:rPr>
        <w:t>na plnění dlouhodob</w:t>
      </w:r>
      <w:r w:rsidR="006B51CE" w:rsidRPr="00532B3B">
        <w:rPr>
          <w:rFonts w:ascii="Calibri" w:hAnsi="Calibri" w:cs="Calibri"/>
          <w:lang w:eastAsia="cs-CZ"/>
        </w:rPr>
        <w:t xml:space="preserve">ějších </w:t>
      </w:r>
      <w:r w:rsidR="004258AC" w:rsidRPr="00532B3B">
        <w:rPr>
          <w:rFonts w:ascii="Calibri" w:hAnsi="Calibri" w:cs="Calibri"/>
          <w:lang w:eastAsia="cs-CZ"/>
        </w:rPr>
        <w:t xml:space="preserve">cílů </w:t>
      </w:r>
      <w:r w:rsidR="006B51CE" w:rsidRPr="00532B3B">
        <w:rPr>
          <w:rFonts w:ascii="Calibri" w:hAnsi="Calibri" w:cs="Calibri"/>
          <w:lang w:eastAsia="cs-CZ"/>
        </w:rPr>
        <w:t>obchodníc</w:t>
      </w:r>
      <w:r w:rsidR="00C832C1" w:rsidRPr="00532B3B">
        <w:rPr>
          <w:rFonts w:ascii="Calibri" w:hAnsi="Calibri" w:cs="Calibri"/>
          <w:lang w:eastAsia="cs-CZ"/>
        </w:rPr>
        <w:t>h společností, v nichž působili;</w:t>
      </w:r>
      <w:r w:rsidR="004258AC" w:rsidRPr="00532B3B">
        <w:rPr>
          <w:rFonts w:ascii="Calibri" w:hAnsi="Calibri" w:cs="Calibri"/>
          <w:lang w:eastAsia="cs-CZ"/>
        </w:rPr>
        <w:t xml:space="preserve"> </w:t>
      </w:r>
    </w:p>
    <w:p w14:paraId="06EFEFD2" w14:textId="7DB84C7C" w:rsidR="005F7CE0" w:rsidRPr="00532B3B" w:rsidRDefault="005F7CE0" w:rsidP="00532B3B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Calibri" w:hAnsi="Calibri" w:cs="Calibri"/>
          <w:lang w:eastAsia="cs-CZ"/>
        </w:rPr>
      </w:pPr>
      <w:r w:rsidRPr="00532B3B">
        <w:rPr>
          <w:rFonts w:ascii="Calibri" w:hAnsi="Calibri" w:cs="Calibri"/>
          <w:lang w:eastAsia="cs-CZ"/>
        </w:rPr>
        <w:t>v 1</w:t>
      </w:r>
      <w:r w:rsidR="004210B0" w:rsidRPr="00532B3B">
        <w:rPr>
          <w:rFonts w:ascii="Calibri" w:hAnsi="Calibri" w:cs="Calibri"/>
          <w:lang w:eastAsia="cs-CZ"/>
        </w:rPr>
        <w:t>6</w:t>
      </w:r>
      <w:r w:rsidRPr="00532B3B">
        <w:rPr>
          <w:rFonts w:ascii="Calibri" w:hAnsi="Calibri" w:cs="Calibri"/>
          <w:lang w:eastAsia="cs-CZ"/>
        </w:rPr>
        <w:t xml:space="preserve"> smlouvách nesjednalo poskytování benefitů tak, aby je bylo možné vyčíslit a </w:t>
      </w:r>
      <w:r w:rsidR="00457580" w:rsidRPr="00532B3B">
        <w:rPr>
          <w:rFonts w:ascii="Calibri" w:hAnsi="Calibri" w:cs="Calibri"/>
          <w:lang w:eastAsia="cs-CZ"/>
        </w:rPr>
        <w:t xml:space="preserve">aby </w:t>
      </w:r>
      <w:r w:rsidR="004210B0" w:rsidRPr="00532B3B">
        <w:rPr>
          <w:rFonts w:ascii="Calibri" w:hAnsi="Calibri" w:cs="Calibri"/>
          <w:lang w:eastAsia="cs-CZ"/>
        </w:rPr>
        <w:t xml:space="preserve">tak bylo možné posoudit, zda </w:t>
      </w:r>
      <w:r w:rsidRPr="00532B3B">
        <w:rPr>
          <w:rFonts w:ascii="Calibri" w:hAnsi="Calibri" w:cs="Calibri"/>
          <w:lang w:eastAsia="cs-CZ"/>
        </w:rPr>
        <w:t>jejich celková výše nepřesah</w:t>
      </w:r>
      <w:r w:rsidR="004210B0" w:rsidRPr="00532B3B">
        <w:rPr>
          <w:rFonts w:ascii="Calibri" w:hAnsi="Calibri" w:cs="Calibri"/>
          <w:lang w:eastAsia="cs-CZ"/>
        </w:rPr>
        <w:t>uje</w:t>
      </w:r>
      <w:r w:rsidRPr="00532B3B">
        <w:rPr>
          <w:rFonts w:ascii="Calibri" w:hAnsi="Calibri" w:cs="Calibri"/>
          <w:lang w:eastAsia="cs-CZ"/>
        </w:rPr>
        <w:t xml:space="preserve"> 10 % ze stanoveného maximálního ročního příjmu</w:t>
      </w:r>
      <w:r w:rsidR="004210B0" w:rsidRPr="00532B3B">
        <w:rPr>
          <w:rFonts w:ascii="Calibri" w:hAnsi="Calibri" w:cs="Calibri"/>
          <w:lang w:eastAsia="cs-CZ"/>
        </w:rPr>
        <w:t xml:space="preserve"> (byl-li sjednán)</w:t>
      </w:r>
      <w:r w:rsidRPr="00532B3B">
        <w:rPr>
          <w:rFonts w:ascii="Calibri" w:hAnsi="Calibri" w:cs="Calibri"/>
          <w:lang w:eastAsia="cs-CZ"/>
        </w:rPr>
        <w:t xml:space="preserve">, </w:t>
      </w:r>
      <w:r w:rsidR="00D353E2" w:rsidRPr="00532B3B">
        <w:rPr>
          <w:rFonts w:ascii="Calibri" w:hAnsi="Calibri" w:cs="Calibri"/>
          <w:lang w:eastAsia="cs-CZ"/>
        </w:rPr>
        <w:t>tedy ani to, zda nedochází ke</w:t>
      </w:r>
      <w:r w:rsidR="00214864">
        <w:rPr>
          <w:rFonts w:ascii="Calibri" w:hAnsi="Calibri" w:cs="Calibri"/>
          <w:lang w:eastAsia="cs-CZ"/>
        </w:rPr>
        <w:t xml:space="preserve"> </w:t>
      </w:r>
      <w:r w:rsidR="006B51CE" w:rsidRPr="00532B3B">
        <w:rPr>
          <w:rFonts w:ascii="Calibri" w:hAnsi="Calibri" w:cs="Calibri"/>
          <w:lang w:eastAsia="cs-CZ"/>
        </w:rPr>
        <w:t>skrytému zvyšování příjmů člena orgánu nad</w:t>
      </w:r>
      <w:r w:rsidR="004258AC" w:rsidRPr="00532B3B">
        <w:rPr>
          <w:rFonts w:ascii="Calibri" w:hAnsi="Calibri" w:cs="Calibri"/>
          <w:lang w:eastAsia="cs-CZ"/>
        </w:rPr>
        <w:t xml:space="preserve"> stanovený </w:t>
      </w:r>
      <w:r w:rsidR="006B51CE" w:rsidRPr="00532B3B">
        <w:rPr>
          <w:rFonts w:ascii="Calibri" w:hAnsi="Calibri" w:cs="Calibri"/>
          <w:lang w:eastAsia="cs-CZ"/>
        </w:rPr>
        <w:t>limit</w:t>
      </w:r>
      <w:r w:rsidR="00C832C1" w:rsidRPr="00532B3B">
        <w:rPr>
          <w:rFonts w:ascii="Calibri" w:hAnsi="Calibri" w:cs="Calibri"/>
          <w:lang w:eastAsia="cs-CZ"/>
        </w:rPr>
        <w:t>;</w:t>
      </w:r>
    </w:p>
    <w:p w14:paraId="3DD006B5" w14:textId="3105515C" w:rsidR="005F7CE0" w:rsidRPr="00532B3B" w:rsidRDefault="005F7CE0" w:rsidP="00532B3B">
      <w:pPr>
        <w:pStyle w:val="Odstavecseseznamem"/>
        <w:numPr>
          <w:ilvl w:val="0"/>
          <w:numId w:val="11"/>
        </w:numPr>
        <w:ind w:left="284" w:hanging="284"/>
        <w:contextualSpacing w:val="0"/>
        <w:jc w:val="both"/>
        <w:rPr>
          <w:rFonts w:ascii="Calibri" w:hAnsi="Calibri" w:cs="Calibri"/>
          <w:lang w:eastAsia="cs-CZ"/>
        </w:rPr>
      </w:pPr>
      <w:r w:rsidRPr="00532B3B">
        <w:rPr>
          <w:rFonts w:ascii="Calibri" w:hAnsi="Calibri" w:cs="Calibri"/>
          <w:lang w:eastAsia="cs-CZ"/>
        </w:rPr>
        <w:t>v</w:t>
      </w:r>
      <w:r w:rsidR="00AF2058" w:rsidRPr="00532B3B">
        <w:rPr>
          <w:rFonts w:ascii="Calibri" w:hAnsi="Calibri" w:cs="Calibri"/>
          <w:lang w:eastAsia="cs-CZ"/>
        </w:rPr>
        <w:t xml:space="preserve"> pěti </w:t>
      </w:r>
      <w:r w:rsidRPr="00532B3B">
        <w:rPr>
          <w:rFonts w:ascii="Calibri" w:hAnsi="Calibri" w:cs="Calibri"/>
          <w:lang w:eastAsia="cs-CZ"/>
        </w:rPr>
        <w:t>smlouvách sjednalo poskytování benefitů, které přesahovaly 10 % z nejvyššího celkového ročního příjmu.</w:t>
      </w:r>
    </w:p>
    <w:p w14:paraId="709E292A" w14:textId="77777777" w:rsidR="00532B3B" w:rsidRDefault="00532B3B" w:rsidP="00E47CD9">
      <w:pPr>
        <w:pStyle w:val="Odstavecseseznamem"/>
        <w:ind w:left="0"/>
        <w:jc w:val="both"/>
        <w:rPr>
          <w:rFonts w:asciiTheme="minorHAnsi" w:hAnsiTheme="minorHAnsi" w:cstheme="minorHAnsi"/>
        </w:rPr>
      </w:pPr>
    </w:p>
    <w:p w14:paraId="1FC035C6" w14:textId="412C094C" w:rsidR="00457580" w:rsidRPr="00D126A8" w:rsidRDefault="00231747" w:rsidP="001140F3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E03E8F">
        <w:rPr>
          <w:rFonts w:cstheme="minorHAnsi"/>
        </w:rPr>
        <w:lastRenderedPageBreak/>
        <w:t>Z</w:t>
      </w:r>
      <w:r w:rsidR="00AF2058">
        <w:rPr>
          <w:rFonts w:cstheme="minorHAnsi"/>
        </w:rPr>
        <w:t xml:space="preserve"> devíti </w:t>
      </w:r>
      <w:r w:rsidRPr="00E03E8F">
        <w:rPr>
          <w:rFonts w:cstheme="minorHAnsi"/>
        </w:rPr>
        <w:t>smluv, které byly</w:t>
      </w:r>
      <w:r w:rsidR="00214864">
        <w:rPr>
          <w:rFonts w:cstheme="minorHAnsi"/>
        </w:rPr>
        <w:t xml:space="preserve"> </w:t>
      </w:r>
      <w:r w:rsidRPr="00E03E8F">
        <w:rPr>
          <w:rFonts w:cstheme="minorHAnsi"/>
        </w:rPr>
        <w:t xml:space="preserve">schváleny </w:t>
      </w:r>
      <w:r w:rsidR="00457580" w:rsidRPr="00E03E8F">
        <w:rPr>
          <w:rFonts w:cstheme="minorHAnsi"/>
        </w:rPr>
        <w:t xml:space="preserve">RJA </w:t>
      </w:r>
      <w:r w:rsidRPr="00E03E8F">
        <w:rPr>
          <w:rFonts w:cstheme="minorHAnsi"/>
        </w:rPr>
        <w:t>zhruba od druhé poloviny roku 2014</w:t>
      </w:r>
      <w:r w:rsidR="00214864">
        <w:rPr>
          <w:rFonts w:cstheme="minorHAnsi"/>
        </w:rPr>
        <w:t>,</w:t>
      </w:r>
      <w:r w:rsidRPr="00E03E8F">
        <w:rPr>
          <w:rFonts w:cstheme="minorHAnsi"/>
        </w:rPr>
        <w:t xml:space="preserve"> je zřejmé, že MF postupně omezuje dříve sjednané nadstandardní benefity</w:t>
      </w:r>
      <w:r w:rsidR="00214864">
        <w:rPr>
          <w:rFonts w:cstheme="minorHAnsi"/>
        </w:rPr>
        <w:t>,</w:t>
      </w:r>
      <w:r w:rsidRPr="00E03E8F">
        <w:rPr>
          <w:rFonts w:cstheme="minorHAnsi"/>
        </w:rPr>
        <w:t xml:space="preserve"> a je znát snaha, aby sjednané příjmy nepřekračovaly referenční rámec. </w:t>
      </w:r>
      <w:r w:rsidR="00457580" w:rsidRPr="00D126A8">
        <w:rPr>
          <w:rFonts w:cstheme="minorHAnsi"/>
          <w:sz w:val="24"/>
          <w:szCs w:val="24"/>
          <w:lang w:eastAsia="cs-CZ"/>
        </w:rPr>
        <w:t>Ve všech 22</w:t>
      </w:r>
      <w:r w:rsidR="004C7508" w:rsidRPr="00D126A8">
        <w:rPr>
          <w:rFonts w:cstheme="minorHAnsi"/>
          <w:sz w:val="24"/>
          <w:szCs w:val="24"/>
          <w:lang w:eastAsia="cs-CZ"/>
        </w:rPr>
        <w:t xml:space="preserve"> posuzovaných</w:t>
      </w:r>
      <w:r w:rsidR="00457580" w:rsidRPr="00D126A8">
        <w:rPr>
          <w:rFonts w:cstheme="minorHAnsi"/>
          <w:sz w:val="24"/>
          <w:szCs w:val="24"/>
          <w:lang w:eastAsia="cs-CZ"/>
        </w:rPr>
        <w:t xml:space="preserve"> smlouvách byla sjednána konkurenční doložka, v</w:t>
      </w:r>
      <w:r w:rsidR="00AF2058">
        <w:rPr>
          <w:rFonts w:cstheme="minorHAnsi"/>
          <w:sz w:val="24"/>
          <w:szCs w:val="24"/>
          <w:lang w:eastAsia="cs-CZ"/>
        </w:rPr>
        <w:t> devíti</w:t>
      </w:r>
      <w:r w:rsidR="00457580" w:rsidRPr="00D126A8">
        <w:rPr>
          <w:rFonts w:cstheme="minorHAnsi"/>
          <w:sz w:val="24"/>
          <w:szCs w:val="24"/>
          <w:lang w:eastAsia="cs-CZ"/>
        </w:rPr>
        <w:t xml:space="preserve"> smlouvách byla sjednána </w:t>
      </w:r>
      <w:r w:rsidR="00E47CD9" w:rsidRPr="00D126A8">
        <w:rPr>
          <w:rFonts w:cstheme="minorHAnsi"/>
          <w:sz w:val="24"/>
          <w:szCs w:val="24"/>
          <w:lang w:eastAsia="cs-CZ"/>
        </w:rPr>
        <w:t xml:space="preserve">také </w:t>
      </w:r>
      <w:r w:rsidR="00457580" w:rsidRPr="00D126A8">
        <w:rPr>
          <w:rFonts w:cstheme="minorHAnsi"/>
          <w:sz w:val="24"/>
          <w:szCs w:val="24"/>
          <w:lang w:eastAsia="cs-CZ"/>
        </w:rPr>
        <w:t xml:space="preserve">odměna </w:t>
      </w:r>
      <w:r w:rsidR="00592C74" w:rsidRPr="00D126A8">
        <w:rPr>
          <w:rFonts w:cstheme="minorHAnsi"/>
          <w:sz w:val="24"/>
          <w:szCs w:val="24"/>
          <w:lang w:eastAsia="cs-CZ"/>
        </w:rPr>
        <w:t>při ukončení funkce</w:t>
      </w:r>
      <w:r w:rsidR="00E47CD9" w:rsidRPr="00D126A8">
        <w:rPr>
          <w:rFonts w:cstheme="minorHAnsi"/>
          <w:sz w:val="24"/>
          <w:szCs w:val="24"/>
          <w:lang w:eastAsia="cs-CZ"/>
        </w:rPr>
        <w:t>.</w:t>
      </w:r>
    </w:p>
    <w:p w14:paraId="2BDBBE4E" w14:textId="77777777" w:rsidR="00EE23FD" w:rsidRPr="0089551F" w:rsidRDefault="00EE23FD" w:rsidP="00DC3BF0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82073DB" w14:textId="2D3D3526" w:rsidR="006629E0" w:rsidRPr="00D14358" w:rsidRDefault="002048C9" w:rsidP="007B1F42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b/>
          <w:sz w:val="24"/>
          <w:szCs w:val="24"/>
          <w:lang w:eastAsia="cs-CZ"/>
        </w:rPr>
        <w:t>MPO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FB4BC9" w:rsidRPr="00D14358">
        <w:rPr>
          <w:rFonts w:cstheme="minorHAnsi"/>
          <w:sz w:val="24"/>
          <w:szCs w:val="24"/>
          <w:lang w:eastAsia="cs-CZ"/>
        </w:rPr>
        <w:t>na základě informací o výši roční</w:t>
      </w:r>
      <w:r w:rsidR="001140F3">
        <w:rPr>
          <w:rFonts w:cstheme="minorHAnsi"/>
          <w:sz w:val="24"/>
          <w:szCs w:val="24"/>
          <w:lang w:eastAsia="cs-CZ"/>
        </w:rPr>
        <w:t>ch</w:t>
      </w:r>
      <w:r w:rsidR="00FB4BC9" w:rsidRPr="00D14358">
        <w:rPr>
          <w:rFonts w:cstheme="minorHAnsi"/>
          <w:sz w:val="24"/>
          <w:szCs w:val="24"/>
          <w:lang w:eastAsia="cs-CZ"/>
        </w:rPr>
        <w:t xml:space="preserve"> příjm</w:t>
      </w:r>
      <w:r w:rsidR="001140F3">
        <w:rPr>
          <w:rFonts w:cstheme="minorHAnsi"/>
          <w:sz w:val="24"/>
          <w:szCs w:val="24"/>
          <w:lang w:eastAsia="cs-CZ"/>
        </w:rPr>
        <w:t>ů</w:t>
      </w:r>
      <w:r w:rsidR="00FB4BC9" w:rsidRPr="00D14358">
        <w:rPr>
          <w:rFonts w:cstheme="minorHAnsi"/>
          <w:sz w:val="24"/>
          <w:szCs w:val="24"/>
          <w:lang w:eastAsia="cs-CZ"/>
        </w:rPr>
        <w:t xml:space="preserve"> vedoucích zaměstnanců a členů orgánů</w:t>
      </w:r>
      <w:r w:rsidR="004C38D9" w:rsidRPr="00D14358">
        <w:rPr>
          <w:rFonts w:cstheme="minorHAnsi"/>
          <w:sz w:val="24"/>
          <w:szCs w:val="24"/>
          <w:lang w:eastAsia="cs-CZ"/>
        </w:rPr>
        <w:t xml:space="preserve"> </w:t>
      </w:r>
      <w:r w:rsidR="00FB4BC9" w:rsidRPr="00D14358">
        <w:rPr>
          <w:rFonts w:cstheme="minorHAnsi"/>
          <w:sz w:val="24"/>
          <w:szCs w:val="24"/>
          <w:lang w:eastAsia="cs-CZ"/>
        </w:rPr>
        <w:t>specifikovalo dvě společnosti, na které se</w:t>
      </w:r>
      <w:r w:rsidR="007B1F42" w:rsidRPr="00D14358">
        <w:rPr>
          <w:rFonts w:cstheme="minorHAnsi"/>
          <w:sz w:val="24"/>
          <w:szCs w:val="24"/>
          <w:lang w:eastAsia="cs-CZ"/>
        </w:rPr>
        <w:t xml:space="preserve"> Zásady</w:t>
      </w:r>
      <w:r w:rsidR="00214864">
        <w:rPr>
          <w:rFonts w:cstheme="minorHAnsi"/>
          <w:sz w:val="24"/>
          <w:szCs w:val="24"/>
          <w:lang w:eastAsia="cs-CZ"/>
        </w:rPr>
        <w:t xml:space="preserve"> odměňování</w:t>
      </w:r>
      <w:r w:rsidR="007B1F42" w:rsidRPr="00D14358">
        <w:rPr>
          <w:rFonts w:cstheme="minorHAnsi"/>
          <w:sz w:val="24"/>
          <w:szCs w:val="24"/>
          <w:lang w:eastAsia="cs-CZ"/>
        </w:rPr>
        <w:t xml:space="preserve"> vztahovaly</w:t>
      </w:r>
      <w:r w:rsidR="00543574" w:rsidRPr="00D14358">
        <w:rPr>
          <w:rFonts w:cstheme="minorHAnsi"/>
          <w:sz w:val="24"/>
          <w:szCs w:val="24"/>
          <w:lang w:eastAsia="cs-CZ"/>
        </w:rPr>
        <w:t>.</w:t>
      </w:r>
      <w:r w:rsidR="007B1F42" w:rsidRPr="00D14358">
        <w:rPr>
          <w:rFonts w:cstheme="minorHAnsi"/>
          <w:sz w:val="24"/>
          <w:szCs w:val="24"/>
          <w:lang w:eastAsia="cs-CZ"/>
        </w:rPr>
        <w:t xml:space="preserve"> </w:t>
      </w:r>
      <w:r w:rsidR="00FB4BC9" w:rsidRPr="00D14358">
        <w:rPr>
          <w:rFonts w:cstheme="minorHAnsi"/>
          <w:sz w:val="24"/>
          <w:szCs w:val="24"/>
          <w:lang w:eastAsia="cs-CZ"/>
        </w:rPr>
        <w:t>O</w:t>
      </w:r>
      <w:r w:rsidR="00486A03" w:rsidRPr="00D14358">
        <w:rPr>
          <w:rFonts w:cstheme="minorHAnsi"/>
          <w:sz w:val="24"/>
          <w:szCs w:val="24"/>
          <w:lang w:eastAsia="cs-CZ"/>
        </w:rPr>
        <w:t xml:space="preserve">dměňování </w:t>
      </w:r>
      <w:r w:rsidR="00543574" w:rsidRPr="00D14358">
        <w:rPr>
          <w:rFonts w:cstheme="minorHAnsi"/>
          <w:sz w:val="24"/>
          <w:szCs w:val="24"/>
          <w:lang w:eastAsia="cs-CZ"/>
        </w:rPr>
        <w:t xml:space="preserve">v dalších třech společnostech, v nichž </w:t>
      </w:r>
      <w:r w:rsidR="00DA0E58" w:rsidRPr="00D14358">
        <w:rPr>
          <w:rFonts w:cstheme="minorHAnsi"/>
          <w:sz w:val="24"/>
          <w:szCs w:val="24"/>
          <w:lang w:eastAsia="cs-CZ"/>
        </w:rPr>
        <w:t>majetkové účasti</w:t>
      </w:r>
      <w:r w:rsidR="006C67F2" w:rsidRPr="00D14358">
        <w:rPr>
          <w:rFonts w:cstheme="minorHAnsi"/>
          <w:sz w:val="24"/>
          <w:szCs w:val="24"/>
          <w:lang w:eastAsia="cs-CZ"/>
        </w:rPr>
        <w:t xml:space="preserve"> spravovalo</w:t>
      </w:r>
      <w:r w:rsidR="00543574" w:rsidRPr="00D14358">
        <w:rPr>
          <w:rFonts w:cstheme="minorHAnsi"/>
          <w:sz w:val="24"/>
          <w:szCs w:val="24"/>
          <w:lang w:eastAsia="cs-CZ"/>
        </w:rPr>
        <w:t xml:space="preserve"> </w:t>
      </w:r>
      <w:r w:rsidR="006C67F2" w:rsidRPr="00D14358">
        <w:rPr>
          <w:rFonts w:cstheme="minorHAnsi"/>
          <w:sz w:val="24"/>
          <w:szCs w:val="24"/>
          <w:lang w:eastAsia="cs-CZ"/>
        </w:rPr>
        <w:t xml:space="preserve">společně </w:t>
      </w:r>
      <w:r w:rsidR="00543574" w:rsidRPr="00D14358">
        <w:rPr>
          <w:rFonts w:cstheme="minorHAnsi"/>
          <w:sz w:val="24"/>
          <w:szCs w:val="24"/>
          <w:lang w:eastAsia="cs-CZ"/>
        </w:rPr>
        <w:t xml:space="preserve">více ministerstev, </w:t>
      </w:r>
      <w:r w:rsidR="00486A03" w:rsidRPr="00D14358">
        <w:rPr>
          <w:rFonts w:cstheme="minorHAnsi"/>
          <w:sz w:val="24"/>
          <w:szCs w:val="24"/>
          <w:lang w:eastAsia="cs-CZ"/>
        </w:rPr>
        <w:t>řešilo MF.</w:t>
      </w:r>
      <w:r w:rsidR="007B1F42" w:rsidRPr="00D14358">
        <w:rPr>
          <w:rFonts w:cstheme="minorHAnsi"/>
          <w:sz w:val="24"/>
          <w:szCs w:val="24"/>
          <w:lang w:eastAsia="cs-CZ"/>
        </w:rPr>
        <w:t xml:space="preserve"> </w:t>
      </w:r>
    </w:p>
    <w:p w14:paraId="000950E9" w14:textId="77777777" w:rsidR="005F145A" w:rsidRDefault="005F145A" w:rsidP="005F1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00719E8A" w14:textId="6815870B" w:rsidR="005F145A" w:rsidRPr="005F145A" w:rsidRDefault="005F145A" w:rsidP="005F145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5F145A">
        <w:rPr>
          <w:rFonts w:cstheme="minorHAnsi"/>
          <w:sz w:val="24"/>
          <w:szCs w:val="24"/>
          <w:lang w:eastAsia="cs-CZ"/>
        </w:rPr>
        <w:t xml:space="preserve">MPO nepostupovalo při odměňování jednotlivých členů orgánů dvou společností důsledně dle </w:t>
      </w:r>
      <w:r w:rsidR="00214864">
        <w:rPr>
          <w:rFonts w:cstheme="minorHAnsi"/>
          <w:sz w:val="24"/>
          <w:szCs w:val="24"/>
          <w:lang w:eastAsia="cs-CZ"/>
        </w:rPr>
        <w:t>o</w:t>
      </w:r>
      <w:r w:rsidRPr="005F145A">
        <w:rPr>
          <w:rFonts w:cstheme="minorHAnsi"/>
          <w:sz w:val="24"/>
          <w:szCs w:val="24"/>
          <w:lang w:eastAsia="cs-CZ"/>
        </w:rPr>
        <w:t xml:space="preserve">patření </w:t>
      </w:r>
      <w:r w:rsidR="005C6AD7" w:rsidRPr="005F145A">
        <w:rPr>
          <w:rFonts w:cstheme="minorHAnsi"/>
          <w:sz w:val="24"/>
          <w:szCs w:val="24"/>
          <w:lang w:eastAsia="cs-CZ"/>
        </w:rPr>
        <w:t>č. 20/2014</w:t>
      </w:r>
      <w:r w:rsidR="005C6AD7">
        <w:rPr>
          <w:rFonts w:cstheme="minorHAnsi"/>
          <w:sz w:val="24"/>
          <w:szCs w:val="24"/>
          <w:vertAlign w:val="superscript"/>
          <w:lang w:eastAsia="cs-CZ"/>
        </w:rPr>
        <w:t xml:space="preserve">8 </w:t>
      </w:r>
      <w:r w:rsidRPr="005F145A">
        <w:rPr>
          <w:rFonts w:cstheme="minorHAnsi"/>
          <w:sz w:val="24"/>
          <w:szCs w:val="24"/>
          <w:lang w:eastAsia="cs-CZ"/>
        </w:rPr>
        <w:t>ministra průmyslu a obchodu, neboť z</w:t>
      </w:r>
      <w:r w:rsidR="00AF2058">
        <w:rPr>
          <w:rFonts w:cstheme="minorHAnsi"/>
          <w:sz w:val="24"/>
          <w:szCs w:val="24"/>
          <w:lang w:eastAsia="cs-CZ"/>
        </w:rPr>
        <w:t xml:space="preserve"> osmi </w:t>
      </w:r>
      <w:r w:rsidRPr="005F145A">
        <w:rPr>
          <w:rFonts w:cstheme="minorHAnsi"/>
          <w:sz w:val="24"/>
          <w:szCs w:val="24"/>
          <w:lang w:eastAsia="cs-CZ"/>
        </w:rPr>
        <w:t>schválených smluv o</w:t>
      </w:r>
      <w:r w:rsidR="00236D45">
        <w:rPr>
          <w:rFonts w:cstheme="minorHAnsi"/>
          <w:sz w:val="24"/>
          <w:szCs w:val="24"/>
          <w:lang w:eastAsia="cs-CZ"/>
        </w:rPr>
        <w:t> </w:t>
      </w:r>
      <w:r w:rsidRPr="005F145A">
        <w:rPr>
          <w:rFonts w:cstheme="minorHAnsi"/>
          <w:sz w:val="24"/>
          <w:szCs w:val="24"/>
          <w:lang w:eastAsia="cs-CZ"/>
        </w:rPr>
        <w:t>výkonu funkce člena představenstva nezabezpečilo:</w:t>
      </w:r>
    </w:p>
    <w:p w14:paraId="21DBC7D6" w14:textId="0D2BD315" w:rsidR="005F145A" w:rsidRPr="00532B3B" w:rsidRDefault="005F145A" w:rsidP="00532B3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 w:themeColor="text1"/>
          <w:lang w:eastAsia="cs-CZ"/>
        </w:rPr>
      </w:pPr>
      <w:r w:rsidRPr="00532B3B">
        <w:rPr>
          <w:rFonts w:ascii="Calibri" w:hAnsi="Calibri" w:cs="Calibri"/>
          <w:color w:val="000000" w:themeColor="text1"/>
          <w:lang w:eastAsia="cs-CZ"/>
        </w:rPr>
        <w:t>v</w:t>
      </w:r>
      <w:r w:rsidR="00AF2058" w:rsidRPr="00532B3B">
        <w:rPr>
          <w:rFonts w:ascii="Calibri" w:hAnsi="Calibri" w:cs="Calibri"/>
          <w:color w:val="000000" w:themeColor="text1"/>
          <w:lang w:eastAsia="cs-CZ"/>
        </w:rPr>
        <w:t xml:space="preserve"> osmi </w:t>
      </w:r>
      <w:r w:rsidRPr="00532B3B">
        <w:rPr>
          <w:rFonts w:ascii="Calibri" w:hAnsi="Calibri" w:cs="Calibri"/>
          <w:color w:val="000000" w:themeColor="text1"/>
          <w:lang w:eastAsia="cs-CZ"/>
        </w:rPr>
        <w:t>smlouvách, aby bylo možné vyčíslit výši benefitů a ověřit,</w:t>
      </w:r>
      <w:r w:rsidR="00C832C1" w:rsidRPr="00532B3B">
        <w:rPr>
          <w:rFonts w:ascii="Calibri" w:hAnsi="Calibri" w:cs="Calibri"/>
          <w:color w:val="000000" w:themeColor="text1"/>
          <w:lang w:eastAsia="cs-CZ"/>
        </w:rPr>
        <w:t xml:space="preserve"> zda jejich výše nepřesahuje 10 </w:t>
      </w:r>
      <w:r w:rsidRPr="00532B3B">
        <w:rPr>
          <w:rFonts w:ascii="Calibri" w:hAnsi="Calibri" w:cs="Calibri"/>
          <w:color w:val="000000" w:themeColor="text1"/>
          <w:lang w:eastAsia="cs-CZ"/>
        </w:rPr>
        <w:t xml:space="preserve">% ze stanoveného maximálního celkového ročního příjmu manažera </w:t>
      </w:r>
      <w:r w:rsidR="00AF2058" w:rsidRPr="00532B3B">
        <w:rPr>
          <w:rFonts w:ascii="Calibri" w:hAnsi="Calibri" w:cs="Calibri"/>
          <w:color w:val="000000" w:themeColor="text1"/>
          <w:lang w:eastAsia="cs-CZ"/>
        </w:rPr>
        <w:t>–</w:t>
      </w:r>
      <w:r w:rsidRPr="00532B3B">
        <w:rPr>
          <w:rFonts w:ascii="Calibri" w:hAnsi="Calibri" w:cs="Calibri"/>
          <w:color w:val="000000" w:themeColor="text1"/>
          <w:lang w:eastAsia="cs-CZ"/>
        </w:rPr>
        <w:t xml:space="preserve"> člena představenstva</w:t>
      </w:r>
      <w:r w:rsidR="00C832C1" w:rsidRPr="00532B3B">
        <w:rPr>
          <w:rFonts w:ascii="Calibri" w:hAnsi="Calibri" w:cs="Calibri"/>
          <w:color w:val="000000" w:themeColor="text1"/>
          <w:lang w:eastAsia="cs-CZ"/>
        </w:rPr>
        <w:t>;</w:t>
      </w:r>
    </w:p>
    <w:p w14:paraId="078E2A9D" w14:textId="622E9125" w:rsidR="00796051" w:rsidRPr="00532B3B" w:rsidRDefault="00796051" w:rsidP="00532B3B">
      <w:pPr>
        <w:pStyle w:val="Odstavecseseznamem"/>
        <w:numPr>
          <w:ilvl w:val="0"/>
          <w:numId w:val="13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color w:val="000000" w:themeColor="text1"/>
          <w:lang w:eastAsia="cs-CZ"/>
        </w:rPr>
      </w:pPr>
      <w:r w:rsidRPr="00532B3B">
        <w:rPr>
          <w:rFonts w:ascii="Calibri" w:hAnsi="Calibri" w:cs="Calibri"/>
          <w:color w:val="000000" w:themeColor="text1"/>
          <w:lang w:eastAsia="cs-CZ"/>
        </w:rPr>
        <w:t xml:space="preserve">ve </w:t>
      </w:r>
      <w:r w:rsidR="00AF2058" w:rsidRPr="00532B3B">
        <w:rPr>
          <w:rFonts w:ascii="Calibri" w:hAnsi="Calibri" w:cs="Calibri"/>
          <w:color w:val="000000" w:themeColor="text1"/>
          <w:lang w:eastAsia="cs-CZ"/>
        </w:rPr>
        <w:t xml:space="preserve">třech </w:t>
      </w:r>
      <w:r w:rsidRPr="00532B3B">
        <w:rPr>
          <w:rFonts w:ascii="Calibri" w:hAnsi="Calibri" w:cs="Calibri"/>
          <w:color w:val="000000" w:themeColor="text1"/>
          <w:lang w:eastAsia="cs-CZ"/>
        </w:rPr>
        <w:t>smlouvách stanovení minimálního podílu střednědobé variabilní složky příjmu alespoň ve výši 30 % ze stanoveného maximální</w:t>
      </w:r>
      <w:r w:rsidR="001140F3">
        <w:rPr>
          <w:rFonts w:ascii="Calibri" w:hAnsi="Calibri" w:cs="Calibri"/>
          <w:color w:val="000000" w:themeColor="text1"/>
          <w:lang w:eastAsia="cs-CZ"/>
        </w:rPr>
        <w:t>ho</w:t>
      </w:r>
      <w:r w:rsidRPr="00532B3B">
        <w:rPr>
          <w:rFonts w:ascii="Calibri" w:hAnsi="Calibri" w:cs="Calibri"/>
          <w:color w:val="000000" w:themeColor="text1"/>
          <w:lang w:eastAsia="cs-CZ"/>
        </w:rPr>
        <w:t xml:space="preserve"> celkového ročního příjmu</w:t>
      </w:r>
      <w:r w:rsidR="00C832C1" w:rsidRPr="00532B3B">
        <w:rPr>
          <w:rFonts w:ascii="Calibri" w:hAnsi="Calibri" w:cs="Calibri"/>
          <w:color w:val="000000" w:themeColor="text1"/>
          <w:lang w:eastAsia="cs-CZ"/>
        </w:rPr>
        <w:t>.</w:t>
      </w:r>
    </w:p>
    <w:p w14:paraId="74058AB5" w14:textId="77777777" w:rsidR="002048C9" w:rsidRPr="00532B3B" w:rsidRDefault="002048C9" w:rsidP="00BF43AA">
      <w:pPr>
        <w:spacing w:after="0" w:line="240" w:lineRule="auto"/>
        <w:jc w:val="both"/>
        <w:rPr>
          <w:rFonts w:ascii="Calibri" w:hAnsi="Calibri" w:cs="Calibri"/>
          <w:color w:val="000000" w:themeColor="text1"/>
          <w:sz w:val="24"/>
          <w:szCs w:val="24"/>
          <w:lang w:eastAsia="cs-CZ"/>
        </w:rPr>
      </w:pPr>
    </w:p>
    <w:p w14:paraId="13A736C2" w14:textId="54E831E6" w:rsidR="008C2E31" w:rsidRPr="00D14358" w:rsidRDefault="002048C9" w:rsidP="00941C6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b/>
          <w:sz w:val="24"/>
          <w:szCs w:val="24"/>
          <w:lang w:eastAsia="cs-CZ"/>
        </w:rPr>
        <w:t>MZe</w:t>
      </w:r>
      <w:r w:rsidR="007B1F42" w:rsidRPr="00D14358">
        <w:rPr>
          <w:rFonts w:cstheme="minorHAnsi"/>
          <w:b/>
          <w:sz w:val="24"/>
          <w:szCs w:val="24"/>
          <w:lang w:eastAsia="cs-CZ"/>
        </w:rPr>
        <w:t xml:space="preserve"> </w:t>
      </w:r>
      <w:r w:rsidR="001411B2" w:rsidRPr="00D14358">
        <w:rPr>
          <w:rFonts w:cstheme="minorHAnsi"/>
          <w:sz w:val="24"/>
          <w:szCs w:val="24"/>
          <w:lang w:eastAsia="cs-CZ"/>
        </w:rPr>
        <w:t>–</w:t>
      </w:r>
      <w:r w:rsidR="007B1F42" w:rsidRPr="00D14358">
        <w:rPr>
          <w:rFonts w:cstheme="minorHAnsi"/>
          <w:sz w:val="24"/>
          <w:szCs w:val="24"/>
          <w:lang w:eastAsia="cs-CZ"/>
        </w:rPr>
        <w:t xml:space="preserve"> </w:t>
      </w:r>
      <w:r w:rsidR="001140F3">
        <w:rPr>
          <w:rFonts w:cstheme="minorHAnsi"/>
          <w:sz w:val="24"/>
          <w:szCs w:val="24"/>
          <w:lang w:eastAsia="cs-CZ"/>
        </w:rPr>
        <w:t>D</w:t>
      </w:r>
      <w:r w:rsidR="008B34AC" w:rsidRPr="00D14358">
        <w:rPr>
          <w:rFonts w:cstheme="minorHAnsi"/>
          <w:sz w:val="24"/>
          <w:szCs w:val="24"/>
          <w:lang w:eastAsia="cs-CZ"/>
        </w:rPr>
        <w:t xml:space="preserve">le zprávy odborného konzultanta se </w:t>
      </w:r>
      <w:r w:rsidR="001140F3" w:rsidRPr="00D14358">
        <w:rPr>
          <w:rFonts w:cstheme="minorHAnsi"/>
          <w:sz w:val="24"/>
          <w:szCs w:val="24"/>
          <w:lang w:eastAsia="cs-CZ"/>
        </w:rPr>
        <w:t xml:space="preserve">Zásady odměňování nevztahovaly </w:t>
      </w:r>
      <w:r w:rsidR="008B34AC" w:rsidRPr="00D14358">
        <w:rPr>
          <w:rFonts w:cstheme="minorHAnsi"/>
          <w:sz w:val="24"/>
          <w:szCs w:val="24"/>
          <w:lang w:eastAsia="cs-CZ"/>
        </w:rPr>
        <w:t>na žádnou z pozic v obchodních společnostech s</w:t>
      </w:r>
      <w:r w:rsidR="00E03E8F" w:rsidRPr="00D14358">
        <w:rPr>
          <w:rFonts w:cstheme="minorHAnsi"/>
          <w:sz w:val="24"/>
          <w:szCs w:val="24"/>
          <w:lang w:eastAsia="cs-CZ"/>
        </w:rPr>
        <w:t xml:space="preserve"> MÚ </w:t>
      </w:r>
      <w:r w:rsidR="008B34AC" w:rsidRPr="00D14358">
        <w:rPr>
          <w:rFonts w:cstheme="minorHAnsi"/>
          <w:sz w:val="24"/>
          <w:szCs w:val="24"/>
          <w:lang w:eastAsia="cs-CZ"/>
        </w:rPr>
        <w:t>státu, s nimiž bylo příslušné hospodařit MZe,</w:t>
      </w:r>
      <w:r w:rsidR="001140F3">
        <w:rPr>
          <w:rFonts w:cstheme="minorHAnsi"/>
          <w:sz w:val="24"/>
          <w:szCs w:val="24"/>
          <w:lang w:eastAsia="cs-CZ"/>
        </w:rPr>
        <w:t xml:space="preserve"> s </w:t>
      </w:r>
      <w:r w:rsidR="00941C63" w:rsidRPr="00D14358">
        <w:rPr>
          <w:rFonts w:cstheme="minorHAnsi"/>
          <w:sz w:val="24"/>
          <w:szCs w:val="24"/>
          <w:lang w:eastAsia="cs-CZ"/>
        </w:rPr>
        <w:t>výjimkou</w:t>
      </w:r>
      <w:r w:rsidR="008B34AC" w:rsidRPr="00D14358">
        <w:rPr>
          <w:rFonts w:cstheme="minorHAnsi"/>
          <w:sz w:val="24"/>
          <w:szCs w:val="24"/>
          <w:lang w:eastAsia="cs-CZ"/>
        </w:rPr>
        <w:t xml:space="preserve"> </w:t>
      </w:r>
      <w:r w:rsidR="00941C63" w:rsidRPr="00D14358">
        <w:rPr>
          <w:rFonts w:cstheme="minorHAnsi"/>
          <w:sz w:val="24"/>
          <w:szCs w:val="24"/>
          <w:lang w:eastAsia="cs-CZ"/>
        </w:rPr>
        <w:t xml:space="preserve">dvou společností, v nichž </w:t>
      </w:r>
      <w:r w:rsidR="00DA0E58" w:rsidRPr="00D14358">
        <w:rPr>
          <w:rFonts w:cstheme="minorHAnsi"/>
          <w:sz w:val="24"/>
          <w:szCs w:val="24"/>
          <w:lang w:eastAsia="cs-CZ"/>
        </w:rPr>
        <w:t xml:space="preserve">majetkové účasti </w:t>
      </w:r>
      <w:r w:rsidR="00C55C3B" w:rsidRPr="00D14358">
        <w:rPr>
          <w:rFonts w:cstheme="minorHAnsi"/>
          <w:sz w:val="24"/>
          <w:szCs w:val="24"/>
          <w:lang w:eastAsia="cs-CZ"/>
        </w:rPr>
        <w:t xml:space="preserve">spravovalo společně </w:t>
      </w:r>
      <w:r w:rsidR="00941C63" w:rsidRPr="00D14358">
        <w:rPr>
          <w:rFonts w:cstheme="minorHAnsi"/>
          <w:sz w:val="24"/>
          <w:szCs w:val="24"/>
          <w:lang w:eastAsia="cs-CZ"/>
        </w:rPr>
        <w:t>více ministerstev</w:t>
      </w:r>
      <w:r w:rsidR="008B34AC" w:rsidRPr="00D14358">
        <w:rPr>
          <w:rFonts w:cstheme="minorHAnsi"/>
          <w:sz w:val="24"/>
          <w:szCs w:val="24"/>
          <w:lang w:eastAsia="cs-CZ"/>
        </w:rPr>
        <w:t>.</w:t>
      </w:r>
      <w:r w:rsidR="001411B2" w:rsidRPr="00D14358">
        <w:rPr>
          <w:rFonts w:cstheme="minorHAnsi"/>
          <w:sz w:val="24"/>
          <w:szCs w:val="24"/>
          <w:lang w:eastAsia="cs-CZ"/>
        </w:rPr>
        <w:t xml:space="preserve"> </w:t>
      </w:r>
      <w:r w:rsidR="00941C63" w:rsidRPr="00D14358">
        <w:rPr>
          <w:rFonts w:cstheme="minorHAnsi"/>
          <w:sz w:val="24"/>
          <w:szCs w:val="24"/>
          <w:lang w:eastAsia="cs-CZ"/>
        </w:rPr>
        <w:t>O</w:t>
      </w:r>
      <w:r w:rsidR="008B34AC" w:rsidRPr="00D14358">
        <w:rPr>
          <w:rFonts w:cstheme="minorHAnsi"/>
          <w:sz w:val="24"/>
          <w:szCs w:val="24"/>
          <w:lang w:eastAsia="cs-CZ"/>
        </w:rPr>
        <w:t>dměňování v</w:t>
      </w:r>
      <w:r w:rsidR="00E03E8F" w:rsidRPr="00D14358">
        <w:rPr>
          <w:rFonts w:cstheme="minorHAnsi"/>
          <w:sz w:val="24"/>
          <w:szCs w:val="24"/>
          <w:lang w:eastAsia="cs-CZ"/>
        </w:rPr>
        <w:t xml:space="preserve"> uvedených </w:t>
      </w:r>
      <w:r w:rsidR="008B34AC" w:rsidRPr="00D14358">
        <w:rPr>
          <w:rFonts w:cstheme="minorHAnsi"/>
          <w:sz w:val="24"/>
          <w:szCs w:val="24"/>
          <w:lang w:eastAsia="cs-CZ"/>
        </w:rPr>
        <w:t xml:space="preserve">dvou společnostech řešilo MF. </w:t>
      </w:r>
    </w:p>
    <w:p w14:paraId="10EC690D" w14:textId="77777777" w:rsidR="008C2E31" w:rsidRPr="00D14358" w:rsidRDefault="008C2E31" w:rsidP="00486A03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5886D084" w14:textId="77777777" w:rsidR="006E2678" w:rsidRPr="00D14358" w:rsidRDefault="006629E0" w:rsidP="00A756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>2.</w:t>
      </w:r>
      <w:r w:rsidR="004A5EC5" w:rsidRPr="00D14358">
        <w:rPr>
          <w:rFonts w:cstheme="minorHAnsi"/>
          <w:b/>
          <w:sz w:val="24"/>
          <w:szCs w:val="24"/>
        </w:rPr>
        <w:t>5</w:t>
      </w:r>
      <w:r w:rsidRPr="00D14358">
        <w:rPr>
          <w:rFonts w:cstheme="minorHAnsi"/>
          <w:b/>
          <w:sz w:val="24"/>
          <w:szCs w:val="24"/>
        </w:rPr>
        <w:t xml:space="preserve"> </w:t>
      </w:r>
      <w:r w:rsidR="0017324B" w:rsidRPr="00D14358">
        <w:rPr>
          <w:rFonts w:cstheme="minorHAnsi"/>
          <w:b/>
          <w:sz w:val="24"/>
          <w:szCs w:val="24"/>
        </w:rPr>
        <w:t>Informace o stavu plnění Zásad</w:t>
      </w:r>
      <w:r w:rsidR="00C55C3B" w:rsidRPr="00D14358">
        <w:rPr>
          <w:rFonts w:cstheme="minorHAnsi"/>
          <w:b/>
          <w:sz w:val="24"/>
          <w:szCs w:val="24"/>
        </w:rPr>
        <w:t xml:space="preserve"> odměňování</w:t>
      </w:r>
      <w:r w:rsidR="009E6ACB" w:rsidRPr="00204121">
        <w:rPr>
          <w:rFonts w:cstheme="minorHAnsi"/>
          <w:b/>
          <w:sz w:val="24"/>
          <w:szCs w:val="24"/>
          <w:vertAlign w:val="superscript"/>
        </w:rPr>
        <w:t>2</w:t>
      </w:r>
      <w:r w:rsidR="00941C63" w:rsidRPr="00D14358">
        <w:rPr>
          <w:rFonts w:cstheme="minorHAnsi"/>
          <w:b/>
          <w:sz w:val="24"/>
          <w:szCs w:val="24"/>
        </w:rPr>
        <w:t xml:space="preserve"> předkládané vládě</w:t>
      </w:r>
    </w:p>
    <w:p w14:paraId="46FA4C04" w14:textId="77777777" w:rsidR="00532B3B" w:rsidRDefault="00532B3B" w:rsidP="006C1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0B431D28" w14:textId="6ACF2A88" w:rsidR="00A047CD" w:rsidRPr="00D14358" w:rsidRDefault="00A047CD" w:rsidP="006C1CC9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 xml:space="preserve">Dle usnesení vlády ČR z 22. </w:t>
      </w:r>
      <w:r w:rsidR="00E86C98">
        <w:rPr>
          <w:rFonts w:cstheme="minorHAnsi"/>
          <w:sz w:val="24"/>
          <w:szCs w:val="24"/>
          <w:lang w:eastAsia="cs-CZ"/>
        </w:rPr>
        <w:t xml:space="preserve">2. </w:t>
      </w:r>
      <w:r w:rsidRPr="00D14358">
        <w:rPr>
          <w:rFonts w:cstheme="minorHAnsi"/>
          <w:sz w:val="24"/>
          <w:szCs w:val="24"/>
          <w:lang w:eastAsia="cs-CZ"/>
        </w:rPr>
        <w:t>2010 č. 159 měl ministr financí ve spolupráci s členy vlády předkládat vládě informac</w:t>
      </w:r>
      <w:r w:rsidR="001140F3">
        <w:rPr>
          <w:rFonts w:cstheme="minorHAnsi"/>
          <w:sz w:val="24"/>
          <w:szCs w:val="24"/>
          <w:lang w:eastAsia="cs-CZ"/>
        </w:rPr>
        <w:t>e</w:t>
      </w:r>
      <w:r w:rsidRPr="00D14358">
        <w:rPr>
          <w:rFonts w:cstheme="minorHAnsi"/>
          <w:sz w:val="24"/>
          <w:szCs w:val="24"/>
          <w:lang w:eastAsia="cs-CZ"/>
        </w:rPr>
        <w:t xml:space="preserve"> o stavu plnění Zásad odměňování</w:t>
      </w:r>
      <w:r w:rsidR="009E6ACB">
        <w:rPr>
          <w:rFonts w:cstheme="minorHAnsi"/>
          <w:sz w:val="24"/>
          <w:szCs w:val="24"/>
          <w:vertAlign w:val="superscript"/>
          <w:lang w:eastAsia="cs-CZ"/>
        </w:rPr>
        <w:t>2</w:t>
      </w:r>
      <w:r w:rsidRPr="00D14358">
        <w:rPr>
          <w:rFonts w:cstheme="minorHAnsi"/>
          <w:sz w:val="24"/>
          <w:szCs w:val="24"/>
          <w:lang w:eastAsia="cs-CZ"/>
        </w:rPr>
        <w:t xml:space="preserve"> každoročně do 31. </w:t>
      </w:r>
      <w:r w:rsidR="00E86C98">
        <w:rPr>
          <w:rFonts w:cstheme="minorHAnsi"/>
          <w:sz w:val="24"/>
          <w:szCs w:val="24"/>
          <w:lang w:eastAsia="cs-CZ"/>
        </w:rPr>
        <w:t xml:space="preserve">10. </w:t>
      </w:r>
      <w:r w:rsidR="00307745">
        <w:rPr>
          <w:rFonts w:cstheme="minorHAnsi"/>
          <w:sz w:val="24"/>
          <w:szCs w:val="24"/>
          <w:lang w:eastAsia="cs-CZ"/>
        </w:rPr>
        <w:t xml:space="preserve"> </w:t>
      </w:r>
    </w:p>
    <w:p w14:paraId="28C249FF" w14:textId="77777777" w:rsidR="00532B3B" w:rsidRDefault="00532B3B" w:rsidP="00BF5D5C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409D7389" w14:textId="05C0F2E7" w:rsidR="00AB5137" w:rsidRDefault="00A047CD" w:rsidP="00BF5D5C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  <w:r w:rsidRPr="00D14358">
        <w:rPr>
          <w:rFonts w:asciiTheme="minorHAnsi" w:hAnsiTheme="minorHAnsi" w:cstheme="minorHAnsi"/>
          <w:lang w:eastAsia="cs-CZ"/>
        </w:rPr>
        <w:t>V </w:t>
      </w:r>
      <w:r w:rsidR="00214864">
        <w:rPr>
          <w:rFonts w:asciiTheme="minorHAnsi" w:hAnsiTheme="minorHAnsi" w:cstheme="minorHAnsi"/>
          <w:lang w:eastAsia="cs-CZ"/>
        </w:rPr>
        <w:t>i</w:t>
      </w:r>
      <w:r w:rsidR="00AB5137" w:rsidRPr="00D14358">
        <w:rPr>
          <w:rFonts w:asciiTheme="minorHAnsi" w:hAnsiTheme="minorHAnsi" w:cstheme="minorHAnsi"/>
          <w:lang w:eastAsia="cs-CZ"/>
        </w:rPr>
        <w:t>nformaci</w:t>
      </w:r>
      <w:r w:rsidRPr="00D14358">
        <w:rPr>
          <w:rFonts w:asciiTheme="minorHAnsi" w:hAnsiTheme="minorHAnsi" w:cstheme="minorHAnsi"/>
          <w:lang w:eastAsia="cs-CZ"/>
        </w:rPr>
        <w:t xml:space="preserve">, která měla být předložena </w:t>
      </w:r>
      <w:r w:rsidR="00BF5D5C" w:rsidRPr="00D14358">
        <w:rPr>
          <w:rFonts w:asciiTheme="minorHAnsi" w:hAnsiTheme="minorHAnsi" w:cstheme="minorHAnsi"/>
          <w:lang w:eastAsia="cs-CZ"/>
        </w:rPr>
        <w:t>do 31. 10. 2013 a která</w:t>
      </w:r>
      <w:r w:rsidRPr="00D14358">
        <w:rPr>
          <w:rFonts w:asciiTheme="minorHAnsi" w:hAnsiTheme="minorHAnsi" w:cstheme="minorHAnsi"/>
          <w:lang w:eastAsia="cs-CZ"/>
        </w:rPr>
        <w:t xml:space="preserve"> byla po několika změnách termínů</w:t>
      </w:r>
      <w:r w:rsidR="00AB5137" w:rsidRPr="00D14358">
        <w:rPr>
          <w:rFonts w:asciiTheme="minorHAnsi" w:hAnsiTheme="minorHAnsi" w:cstheme="minorHAnsi"/>
          <w:lang w:eastAsia="cs-CZ"/>
        </w:rPr>
        <w:t xml:space="preserve"> </w:t>
      </w:r>
      <w:r w:rsidR="00BF5D5C" w:rsidRPr="00D14358">
        <w:rPr>
          <w:rFonts w:asciiTheme="minorHAnsi" w:hAnsiTheme="minorHAnsi" w:cstheme="minorHAnsi"/>
          <w:lang w:eastAsia="cs-CZ"/>
        </w:rPr>
        <w:t>zpracována v květnu 2014,</w:t>
      </w:r>
      <w:r w:rsidRPr="00D14358">
        <w:rPr>
          <w:rFonts w:asciiTheme="minorHAnsi" w:hAnsiTheme="minorHAnsi" w:cstheme="minorHAnsi"/>
          <w:lang w:eastAsia="cs-CZ"/>
        </w:rPr>
        <w:t xml:space="preserve"> </w:t>
      </w:r>
      <w:r w:rsidR="00AB5137" w:rsidRPr="00D14358">
        <w:rPr>
          <w:rFonts w:asciiTheme="minorHAnsi" w:hAnsiTheme="minorHAnsi" w:cstheme="minorHAnsi"/>
          <w:lang w:eastAsia="cs-CZ"/>
        </w:rPr>
        <w:t>bylo uvedeno, že vzhledem k nedostatečným a</w:t>
      </w:r>
      <w:r w:rsidR="00236D45" w:rsidRPr="00D14358">
        <w:rPr>
          <w:rFonts w:asciiTheme="minorHAnsi" w:hAnsiTheme="minorHAnsi" w:cstheme="minorHAnsi"/>
          <w:lang w:eastAsia="cs-CZ"/>
        </w:rPr>
        <w:t> </w:t>
      </w:r>
      <w:r w:rsidR="00AB5137" w:rsidRPr="00D14358">
        <w:rPr>
          <w:rFonts w:asciiTheme="minorHAnsi" w:hAnsiTheme="minorHAnsi" w:cstheme="minorHAnsi"/>
          <w:lang w:eastAsia="cs-CZ"/>
        </w:rPr>
        <w:t>neobdrženým informacím z re</w:t>
      </w:r>
      <w:r w:rsidR="00214864">
        <w:rPr>
          <w:rFonts w:asciiTheme="minorHAnsi" w:hAnsiTheme="minorHAnsi" w:cstheme="minorHAnsi"/>
          <w:lang w:eastAsia="cs-CZ"/>
        </w:rPr>
        <w:t>s</w:t>
      </w:r>
      <w:r w:rsidR="00AB5137" w:rsidRPr="00D14358">
        <w:rPr>
          <w:rFonts w:asciiTheme="minorHAnsi" w:hAnsiTheme="minorHAnsi" w:cstheme="minorHAnsi"/>
          <w:lang w:eastAsia="cs-CZ"/>
        </w:rPr>
        <w:t>ortů (s výjimkou Ministerstva obrany) nelze objektivně vyhodnotit stav plnění Zásad</w:t>
      </w:r>
      <w:r w:rsidR="00214864">
        <w:rPr>
          <w:rFonts w:asciiTheme="minorHAnsi" w:hAnsiTheme="minorHAnsi" w:cstheme="minorHAnsi"/>
          <w:lang w:eastAsia="cs-CZ"/>
        </w:rPr>
        <w:t xml:space="preserve"> odměňování</w:t>
      </w:r>
      <w:r w:rsidR="001140F3">
        <w:rPr>
          <w:rFonts w:asciiTheme="minorHAnsi" w:hAnsiTheme="minorHAnsi" w:cstheme="minorHAnsi"/>
          <w:lang w:eastAsia="cs-CZ"/>
        </w:rPr>
        <w:t>.</w:t>
      </w:r>
      <w:r w:rsidR="00AB5137" w:rsidRPr="00D14358">
        <w:rPr>
          <w:rFonts w:asciiTheme="minorHAnsi" w:hAnsiTheme="minorHAnsi" w:cstheme="minorHAnsi"/>
          <w:lang w:eastAsia="cs-CZ"/>
        </w:rPr>
        <w:t xml:space="preserve"> </w:t>
      </w:r>
      <w:r w:rsidR="001140F3">
        <w:rPr>
          <w:rFonts w:asciiTheme="minorHAnsi" w:hAnsiTheme="minorHAnsi" w:cstheme="minorHAnsi"/>
          <w:lang w:eastAsia="cs-CZ"/>
        </w:rPr>
        <w:t xml:space="preserve">Proto </w:t>
      </w:r>
      <w:r w:rsidR="00AB5137" w:rsidRPr="00D14358">
        <w:rPr>
          <w:rFonts w:asciiTheme="minorHAnsi" w:hAnsiTheme="minorHAnsi" w:cstheme="minorHAnsi"/>
          <w:lang w:eastAsia="cs-CZ"/>
        </w:rPr>
        <w:t>bylo doporučeno vyslovit nespokojenost</w:t>
      </w:r>
      <w:r w:rsidR="00AB5137" w:rsidRPr="00D14358">
        <w:rPr>
          <w:rFonts w:asciiTheme="minorHAnsi" w:hAnsiTheme="minorHAnsi" w:cstheme="minorHAnsi"/>
        </w:rPr>
        <w:t xml:space="preserve"> s plněním úkolu a</w:t>
      </w:r>
      <w:r w:rsidR="00236D45" w:rsidRPr="00D14358">
        <w:rPr>
          <w:rFonts w:asciiTheme="minorHAnsi" w:hAnsiTheme="minorHAnsi" w:cstheme="minorHAnsi"/>
        </w:rPr>
        <w:t> </w:t>
      </w:r>
      <w:r w:rsidR="00AB5137" w:rsidRPr="00D14358">
        <w:rPr>
          <w:rFonts w:asciiTheme="minorHAnsi" w:hAnsiTheme="minorHAnsi" w:cstheme="minorHAnsi"/>
        </w:rPr>
        <w:t xml:space="preserve">uložit členům vlády, vyjma </w:t>
      </w:r>
      <w:r w:rsidR="001140F3">
        <w:rPr>
          <w:rFonts w:asciiTheme="minorHAnsi" w:hAnsiTheme="minorHAnsi" w:cstheme="minorHAnsi"/>
        </w:rPr>
        <w:t>ministra obrany, předložit do 31. </w:t>
      </w:r>
      <w:r w:rsidR="00AB5137" w:rsidRPr="00D14358">
        <w:rPr>
          <w:rFonts w:asciiTheme="minorHAnsi" w:hAnsiTheme="minorHAnsi" w:cstheme="minorHAnsi"/>
        </w:rPr>
        <w:t>říjn</w:t>
      </w:r>
      <w:r w:rsidR="00BF5D5C" w:rsidRPr="00D14358">
        <w:rPr>
          <w:rFonts w:asciiTheme="minorHAnsi" w:hAnsiTheme="minorHAnsi" w:cstheme="minorHAnsi"/>
        </w:rPr>
        <w:t>a 2014 informace o</w:t>
      </w:r>
      <w:r w:rsidR="00236D45" w:rsidRPr="00D14358">
        <w:rPr>
          <w:rFonts w:asciiTheme="minorHAnsi" w:hAnsiTheme="minorHAnsi" w:cstheme="minorHAnsi"/>
        </w:rPr>
        <w:t> </w:t>
      </w:r>
      <w:r w:rsidR="00BF5D5C" w:rsidRPr="00D14358">
        <w:rPr>
          <w:rFonts w:asciiTheme="minorHAnsi" w:hAnsiTheme="minorHAnsi" w:cstheme="minorHAnsi"/>
        </w:rPr>
        <w:t>plnění Zásad</w:t>
      </w:r>
      <w:r w:rsidR="00214864">
        <w:rPr>
          <w:rFonts w:asciiTheme="minorHAnsi" w:hAnsiTheme="minorHAnsi" w:cstheme="minorHAnsi"/>
        </w:rPr>
        <w:t xml:space="preserve"> odměňování</w:t>
      </w:r>
      <w:r w:rsidR="00BF5D5C" w:rsidRPr="00D14358">
        <w:rPr>
          <w:rFonts w:asciiTheme="minorHAnsi" w:hAnsiTheme="minorHAnsi" w:cstheme="minorHAnsi"/>
        </w:rPr>
        <w:t>. Vláda svým usnesením ze dne 9.</w:t>
      </w:r>
      <w:r w:rsidR="001140F3">
        <w:rPr>
          <w:rFonts w:asciiTheme="minorHAnsi" w:hAnsiTheme="minorHAnsi" w:cstheme="minorHAnsi"/>
        </w:rPr>
        <w:t> </w:t>
      </w:r>
      <w:r w:rsidR="00E86C98">
        <w:rPr>
          <w:rFonts w:asciiTheme="minorHAnsi" w:hAnsiTheme="minorHAnsi" w:cstheme="minorHAnsi"/>
        </w:rPr>
        <w:t>6.</w:t>
      </w:r>
      <w:r w:rsidR="001140F3">
        <w:rPr>
          <w:rFonts w:asciiTheme="minorHAnsi" w:hAnsiTheme="minorHAnsi" w:cstheme="minorHAnsi"/>
        </w:rPr>
        <w:t> </w:t>
      </w:r>
      <w:r w:rsidR="00BF5D5C" w:rsidRPr="00D14358">
        <w:rPr>
          <w:rFonts w:asciiTheme="minorHAnsi" w:hAnsiTheme="minorHAnsi" w:cstheme="minorHAnsi"/>
        </w:rPr>
        <w:t>2014 č. 436 vzala informaci na vědomí a</w:t>
      </w:r>
      <w:r w:rsidR="00E86C98">
        <w:rPr>
          <w:rFonts w:asciiTheme="minorHAnsi" w:hAnsiTheme="minorHAnsi" w:cstheme="minorHAnsi"/>
        </w:rPr>
        <w:t> </w:t>
      </w:r>
      <w:r w:rsidR="00BF5D5C" w:rsidRPr="00D14358">
        <w:rPr>
          <w:rFonts w:asciiTheme="minorHAnsi" w:hAnsiTheme="minorHAnsi" w:cstheme="minorHAnsi"/>
        </w:rPr>
        <w:t>vyslovila nespokojenost s plněním Zásad</w:t>
      </w:r>
      <w:r w:rsidR="00214864">
        <w:rPr>
          <w:rFonts w:asciiTheme="minorHAnsi" w:hAnsiTheme="minorHAnsi" w:cstheme="minorHAnsi"/>
        </w:rPr>
        <w:t xml:space="preserve"> odměňování</w:t>
      </w:r>
      <w:r w:rsidR="00BF5D5C" w:rsidRPr="00D14358">
        <w:rPr>
          <w:rFonts w:asciiTheme="minorHAnsi" w:hAnsiTheme="minorHAnsi" w:cstheme="minorHAnsi"/>
        </w:rPr>
        <w:t xml:space="preserve"> </w:t>
      </w:r>
      <w:r w:rsidR="001140F3">
        <w:rPr>
          <w:rFonts w:asciiTheme="minorHAnsi" w:hAnsiTheme="minorHAnsi" w:cstheme="minorHAnsi"/>
        </w:rPr>
        <w:t>ve vztahu k dotčeným</w:t>
      </w:r>
      <w:r w:rsidR="00BF5D5C" w:rsidRPr="00D14358">
        <w:rPr>
          <w:rFonts w:asciiTheme="minorHAnsi" w:hAnsiTheme="minorHAnsi" w:cstheme="minorHAnsi"/>
        </w:rPr>
        <w:t xml:space="preserve"> re</w:t>
      </w:r>
      <w:r w:rsidR="00214864">
        <w:rPr>
          <w:rFonts w:asciiTheme="minorHAnsi" w:hAnsiTheme="minorHAnsi" w:cstheme="minorHAnsi"/>
        </w:rPr>
        <w:t>s</w:t>
      </w:r>
      <w:r w:rsidR="00BF5D5C" w:rsidRPr="00D14358">
        <w:rPr>
          <w:rFonts w:asciiTheme="minorHAnsi" w:hAnsiTheme="minorHAnsi" w:cstheme="minorHAnsi"/>
        </w:rPr>
        <w:t>ort</w:t>
      </w:r>
      <w:r w:rsidR="001140F3">
        <w:rPr>
          <w:rFonts w:asciiTheme="minorHAnsi" w:hAnsiTheme="minorHAnsi" w:cstheme="minorHAnsi"/>
        </w:rPr>
        <w:t>ům</w:t>
      </w:r>
      <w:r w:rsidR="00BF5D5C" w:rsidRPr="00D14358">
        <w:rPr>
          <w:rFonts w:asciiTheme="minorHAnsi" w:hAnsiTheme="minorHAnsi" w:cstheme="minorHAnsi"/>
        </w:rPr>
        <w:t xml:space="preserve"> vyjma re</w:t>
      </w:r>
      <w:r w:rsidR="00214864">
        <w:rPr>
          <w:rFonts w:asciiTheme="minorHAnsi" w:hAnsiTheme="minorHAnsi" w:cstheme="minorHAnsi"/>
        </w:rPr>
        <w:t>s</w:t>
      </w:r>
      <w:r w:rsidR="00BF5D5C" w:rsidRPr="00D14358">
        <w:rPr>
          <w:rFonts w:asciiTheme="minorHAnsi" w:hAnsiTheme="minorHAnsi" w:cstheme="minorHAnsi"/>
        </w:rPr>
        <w:t>ortu Ministerstva obrany.</w:t>
      </w:r>
    </w:p>
    <w:p w14:paraId="73661593" w14:textId="77777777" w:rsidR="00532B3B" w:rsidRPr="00D14358" w:rsidRDefault="00532B3B" w:rsidP="00BF5D5C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</w:rPr>
      </w:pPr>
    </w:p>
    <w:p w14:paraId="2E569B32" w14:textId="4AE5351B" w:rsidR="00AB5137" w:rsidRPr="00D14358" w:rsidRDefault="00BF5D5C" w:rsidP="00FC7863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  <w:r w:rsidRPr="00D14358">
        <w:rPr>
          <w:rFonts w:asciiTheme="minorHAnsi" w:hAnsiTheme="minorHAnsi" w:cstheme="minorHAnsi"/>
        </w:rPr>
        <w:t>V </w:t>
      </w:r>
      <w:r w:rsidR="00AB5137" w:rsidRPr="00D14358">
        <w:rPr>
          <w:rFonts w:asciiTheme="minorHAnsi" w:hAnsiTheme="minorHAnsi" w:cstheme="minorHAnsi"/>
        </w:rPr>
        <w:t>informaci</w:t>
      </w:r>
      <w:r w:rsidRPr="00D14358">
        <w:rPr>
          <w:rFonts w:asciiTheme="minorHAnsi" w:hAnsiTheme="minorHAnsi" w:cstheme="minorHAnsi"/>
        </w:rPr>
        <w:t>, která byla zpracována v říjnu 2014, bylo opět konstatováno</w:t>
      </w:r>
      <w:r w:rsidR="00FC7863" w:rsidRPr="00D14358">
        <w:rPr>
          <w:rFonts w:asciiTheme="minorHAnsi" w:hAnsiTheme="minorHAnsi" w:cstheme="minorHAnsi"/>
        </w:rPr>
        <w:t xml:space="preserve">, že stav plnění Zásad </w:t>
      </w:r>
      <w:r w:rsidR="00214864">
        <w:rPr>
          <w:rFonts w:asciiTheme="minorHAnsi" w:hAnsiTheme="minorHAnsi" w:cstheme="minorHAnsi"/>
        </w:rPr>
        <w:t xml:space="preserve">odměňování </w:t>
      </w:r>
      <w:r w:rsidR="00FC7863" w:rsidRPr="00D14358">
        <w:rPr>
          <w:rFonts w:asciiTheme="minorHAnsi" w:hAnsiTheme="minorHAnsi" w:cstheme="minorHAnsi"/>
        </w:rPr>
        <w:t>nelze</w:t>
      </w:r>
      <w:r w:rsidR="00AB5137" w:rsidRPr="00D14358">
        <w:rPr>
          <w:rFonts w:asciiTheme="minorHAnsi" w:hAnsiTheme="minorHAnsi" w:cstheme="minorHAnsi"/>
        </w:rPr>
        <w:t xml:space="preserve"> vzhledem k neúplným informacím, s výjimkou M</w:t>
      </w:r>
      <w:r w:rsidR="00FC7863" w:rsidRPr="00D14358">
        <w:rPr>
          <w:rFonts w:asciiTheme="minorHAnsi" w:hAnsiTheme="minorHAnsi" w:cstheme="minorHAnsi"/>
        </w:rPr>
        <w:t>PO</w:t>
      </w:r>
      <w:r w:rsidR="00AB5137" w:rsidRPr="00D14358">
        <w:rPr>
          <w:rFonts w:asciiTheme="minorHAnsi" w:hAnsiTheme="minorHAnsi" w:cstheme="minorHAnsi"/>
        </w:rPr>
        <w:t>,</w:t>
      </w:r>
      <w:r w:rsidR="00AB5137" w:rsidRPr="00D14358">
        <w:rPr>
          <w:rFonts w:asciiTheme="minorHAnsi" w:hAnsiTheme="minorHAnsi" w:cstheme="minorHAnsi"/>
          <w:lang w:eastAsia="cs-CZ"/>
        </w:rPr>
        <w:t xml:space="preserve"> objektivně vyhodnotit</w:t>
      </w:r>
      <w:r w:rsidR="00FC7863" w:rsidRPr="00D14358">
        <w:rPr>
          <w:rFonts w:asciiTheme="minorHAnsi" w:hAnsiTheme="minorHAnsi" w:cstheme="minorHAnsi"/>
          <w:lang w:eastAsia="cs-CZ"/>
        </w:rPr>
        <w:t>. Dále v </w:t>
      </w:r>
      <w:r w:rsidR="001140F3">
        <w:rPr>
          <w:rFonts w:asciiTheme="minorHAnsi" w:hAnsiTheme="minorHAnsi" w:cstheme="minorHAnsi"/>
          <w:lang w:eastAsia="cs-CZ"/>
        </w:rPr>
        <w:t>ní</w:t>
      </w:r>
      <w:r w:rsidR="00FC7863" w:rsidRPr="00D14358">
        <w:rPr>
          <w:rFonts w:asciiTheme="minorHAnsi" w:hAnsiTheme="minorHAnsi" w:cstheme="minorHAnsi"/>
          <w:lang w:eastAsia="cs-CZ"/>
        </w:rPr>
        <w:t xml:space="preserve"> bylo </w:t>
      </w:r>
      <w:r w:rsidR="00AB5137" w:rsidRPr="00D14358">
        <w:rPr>
          <w:rFonts w:asciiTheme="minorHAnsi" w:hAnsiTheme="minorHAnsi" w:cstheme="minorHAnsi"/>
          <w:lang w:eastAsia="cs-CZ"/>
        </w:rPr>
        <w:t>doporučeno uložit aktualizaci Zásad</w:t>
      </w:r>
      <w:r w:rsidR="00FC7863" w:rsidRPr="00D14358">
        <w:rPr>
          <w:rFonts w:asciiTheme="minorHAnsi" w:hAnsiTheme="minorHAnsi" w:cstheme="minorHAnsi"/>
          <w:lang w:eastAsia="cs-CZ"/>
        </w:rPr>
        <w:t xml:space="preserve"> odměňování</w:t>
      </w:r>
      <w:r w:rsidR="00AB5137" w:rsidRPr="00D14358">
        <w:rPr>
          <w:rFonts w:asciiTheme="minorHAnsi" w:hAnsiTheme="minorHAnsi" w:cstheme="minorHAnsi"/>
          <w:lang w:eastAsia="cs-CZ"/>
        </w:rPr>
        <w:t xml:space="preserve"> v termínu</w:t>
      </w:r>
      <w:r w:rsidR="00AB5137" w:rsidRPr="00D14358">
        <w:rPr>
          <w:rFonts w:asciiTheme="minorHAnsi" w:hAnsiTheme="minorHAnsi" w:cstheme="minorHAnsi"/>
        </w:rPr>
        <w:t xml:space="preserve"> do 30.</w:t>
      </w:r>
      <w:r w:rsidR="00477053">
        <w:rPr>
          <w:rFonts w:asciiTheme="minorHAnsi" w:hAnsiTheme="minorHAnsi" w:cstheme="minorHAnsi"/>
        </w:rPr>
        <w:t> 6. </w:t>
      </w:r>
      <w:r w:rsidR="00AB5137" w:rsidRPr="00D14358">
        <w:rPr>
          <w:rFonts w:asciiTheme="minorHAnsi" w:hAnsiTheme="minorHAnsi" w:cstheme="minorHAnsi"/>
        </w:rPr>
        <w:t>2015.</w:t>
      </w:r>
      <w:r w:rsidR="00FC7863" w:rsidRPr="00D14358">
        <w:rPr>
          <w:rFonts w:asciiTheme="minorHAnsi" w:hAnsiTheme="minorHAnsi" w:cstheme="minorHAnsi"/>
        </w:rPr>
        <w:t xml:space="preserve"> Vláda svým usnesením ze dne 12. </w:t>
      </w:r>
      <w:r w:rsidR="00931522">
        <w:rPr>
          <w:rFonts w:asciiTheme="minorHAnsi" w:hAnsiTheme="minorHAnsi" w:cstheme="minorHAnsi"/>
        </w:rPr>
        <w:t xml:space="preserve">11. </w:t>
      </w:r>
      <w:r w:rsidR="00FC7863" w:rsidRPr="00D14358">
        <w:rPr>
          <w:rFonts w:asciiTheme="minorHAnsi" w:hAnsiTheme="minorHAnsi" w:cstheme="minorHAnsi"/>
        </w:rPr>
        <w:t>2014 č. 925 vzala informac</w:t>
      </w:r>
      <w:r w:rsidR="001140F3">
        <w:rPr>
          <w:rFonts w:asciiTheme="minorHAnsi" w:hAnsiTheme="minorHAnsi" w:cstheme="minorHAnsi"/>
        </w:rPr>
        <w:t>e</w:t>
      </w:r>
      <w:r w:rsidR="00FC7863" w:rsidRPr="00D14358">
        <w:rPr>
          <w:rFonts w:asciiTheme="minorHAnsi" w:hAnsiTheme="minorHAnsi" w:cstheme="minorHAnsi"/>
        </w:rPr>
        <w:t xml:space="preserve"> o stavu plnění Zásad odměňování</w:t>
      </w:r>
      <w:r w:rsidR="009E6ACB">
        <w:rPr>
          <w:rFonts w:asciiTheme="minorHAnsi" w:hAnsiTheme="minorHAnsi" w:cstheme="minorHAnsi"/>
          <w:vertAlign w:val="superscript"/>
        </w:rPr>
        <w:t>2</w:t>
      </w:r>
      <w:r w:rsidR="00FC7863" w:rsidRPr="00D14358">
        <w:rPr>
          <w:rFonts w:asciiTheme="minorHAnsi" w:hAnsiTheme="minorHAnsi" w:cstheme="minorHAnsi"/>
        </w:rPr>
        <w:t xml:space="preserve"> na vědomí a</w:t>
      </w:r>
      <w:r w:rsidR="001140F3">
        <w:rPr>
          <w:rFonts w:asciiTheme="minorHAnsi" w:hAnsiTheme="minorHAnsi" w:cstheme="minorHAnsi"/>
        </w:rPr>
        <w:t> uložila</w:t>
      </w:r>
      <w:r w:rsidR="00FC7863" w:rsidRPr="00D14358">
        <w:rPr>
          <w:rFonts w:asciiTheme="minorHAnsi" w:hAnsiTheme="minorHAnsi" w:cstheme="minorHAnsi"/>
        </w:rPr>
        <w:t xml:space="preserve"> ministru financí ve spolupráci s ministry vnitra, průmyslu a</w:t>
      </w:r>
      <w:r w:rsidR="00236D45" w:rsidRPr="00D14358">
        <w:rPr>
          <w:rFonts w:asciiTheme="minorHAnsi" w:hAnsiTheme="minorHAnsi" w:cstheme="minorHAnsi"/>
        </w:rPr>
        <w:t> </w:t>
      </w:r>
      <w:r w:rsidR="00FC7863" w:rsidRPr="00D14358">
        <w:rPr>
          <w:rFonts w:asciiTheme="minorHAnsi" w:hAnsiTheme="minorHAnsi" w:cstheme="minorHAnsi"/>
        </w:rPr>
        <w:t xml:space="preserve">obchodu, zemědělství a dopravy aktualizovat usnesení vlády z 22. </w:t>
      </w:r>
      <w:r w:rsidR="00931522">
        <w:rPr>
          <w:rFonts w:asciiTheme="minorHAnsi" w:hAnsiTheme="minorHAnsi" w:cstheme="minorHAnsi"/>
        </w:rPr>
        <w:t xml:space="preserve">2. </w:t>
      </w:r>
      <w:r w:rsidR="00FC7863" w:rsidRPr="00D14358">
        <w:rPr>
          <w:rFonts w:asciiTheme="minorHAnsi" w:hAnsiTheme="minorHAnsi" w:cstheme="minorHAnsi"/>
        </w:rPr>
        <w:t>2010 č. 159 a</w:t>
      </w:r>
      <w:r w:rsidR="00236D45" w:rsidRPr="00D14358">
        <w:rPr>
          <w:rFonts w:asciiTheme="minorHAnsi" w:hAnsiTheme="minorHAnsi" w:cstheme="minorHAnsi"/>
        </w:rPr>
        <w:t> </w:t>
      </w:r>
      <w:r w:rsidR="00FC7863" w:rsidRPr="00D14358">
        <w:rPr>
          <w:rFonts w:asciiTheme="minorHAnsi" w:hAnsiTheme="minorHAnsi" w:cstheme="minorHAnsi"/>
        </w:rPr>
        <w:t xml:space="preserve">návrh předložit vládě do 30. </w:t>
      </w:r>
      <w:r w:rsidR="00931522">
        <w:rPr>
          <w:rFonts w:asciiTheme="minorHAnsi" w:hAnsiTheme="minorHAnsi" w:cstheme="minorHAnsi"/>
        </w:rPr>
        <w:t xml:space="preserve">6. </w:t>
      </w:r>
      <w:r w:rsidR="00FC7863" w:rsidRPr="00D14358">
        <w:rPr>
          <w:rFonts w:asciiTheme="minorHAnsi" w:hAnsiTheme="minorHAnsi" w:cstheme="minorHAnsi"/>
        </w:rPr>
        <w:t>2015.</w:t>
      </w:r>
    </w:p>
    <w:p w14:paraId="4B8C8B21" w14:textId="77777777" w:rsidR="00BC74BA" w:rsidRDefault="00BC74BA" w:rsidP="002479F4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69C25324" w14:textId="3B5DB7CC" w:rsidR="005C0EA6" w:rsidRDefault="0022356F" w:rsidP="002479F4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lastRenderedPageBreak/>
        <w:t>3</w:t>
      </w:r>
      <w:r w:rsidR="00532B3B">
        <w:rPr>
          <w:rFonts w:cstheme="minorHAnsi"/>
          <w:b/>
          <w:sz w:val="24"/>
          <w:szCs w:val="24"/>
        </w:rPr>
        <w:t>.</w:t>
      </w:r>
      <w:r w:rsidR="00532B3B">
        <w:rPr>
          <w:rFonts w:cstheme="minorHAnsi"/>
          <w:b/>
          <w:sz w:val="24"/>
          <w:szCs w:val="24"/>
        </w:rPr>
        <w:tab/>
      </w:r>
      <w:r w:rsidRPr="00D14358">
        <w:rPr>
          <w:rFonts w:cstheme="minorHAnsi"/>
          <w:b/>
          <w:sz w:val="24"/>
          <w:szCs w:val="24"/>
        </w:rPr>
        <w:t>Ú</w:t>
      </w:r>
      <w:r w:rsidR="00243E60" w:rsidRPr="00D14358">
        <w:rPr>
          <w:rFonts w:cstheme="minorHAnsi"/>
          <w:b/>
          <w:sz w:val="24"/>
          <w:szCs w:val="24"/>
        </w:rPr>
        <w:t>prava postup</w:t>
      </w:r>
      <w:r w:rsidR="00941C63" w:rsidRPr="00D14358">
        <w:rPr>
          <w:rFonts w:cstheme="minorHAnsi"/>
          <w:b/>
          <w:sz w:val="24"/>
          <w:szCs w:val="24"/>
        </w:rPr>
        <w:t>ů</w:t>
      </w:r>
      <w:r w:rsidR="00243E60" w:rsidRPr="00D14358">
        <w:rPr>
          <w:rFonts w:cstheme="minorHAnsi"/>
          <w:b/>
          <w:sz w:val="24"/>
          <w:szCs w:val="24"/>
        </w:rPr>
        <w:t xml:space="preserve"> </w:t>
      </w:r>
      <w:r w:rsidR="001140F3">
        <w:rPr>
          <w:rFonts w:cstheme="minorHAnsi"/>
          <w:b/>
          <w:sz w:val="24"/>
          <w:szCs w:val="24"/>
        </w:rPr>
        <w:t>pro</w:t>
      </w:r>
      <w:r w:rsidR="00243E60" w:rsidRPr="00D14358">
        <w:rPr>
          <w:rFonts w:cstheme="minorHAnsi"/>
          <w:b/>
          <w:sz w:val="24"/>
          <w:szCs w:val="24"/>
        </w:rPr>
        <w:t xml:space="preserve"> správ</w:t>
      </w:r>
      <w:r w:rsidR="001140F3">
        <w:rPr>
          <w:rFonts w:cstheme="minorHAnsi"/>
          <w:b/>
          <w:sz w:val="24"/>
          <w:szCs w:val="24"/>
        </w:rPr>
        <w:t>u</w:t>
      </w:r>
      <w:r w:rsidR="00243E60" w:rsidRPr="00D14358">
        <w:rPr>
          <w:rFonts w:cstheme="minorHAnsi"/>
          <w:b/>
          <w:sz w:val="24"/>
          <w:szCs w:val="24"/>
        </w:rPr>
        <w:t xml:space="preserve"> </w:t>
      </w:r>
      <w:r w:rsidR="00DA0E58" w:rsidRPr="00D14358">
        <w:rPr>
          <w:rFonts w:cstheme="minorHAnsi"/>
          <w:b/>
          <w:sz w:val="24"/>
          <w:szCs w:val="24"/>
        </w:rPr>
        <w:t>majetkových účastí</w:t>
      </w:r>
      <w:r w:rsidRPr="00D14358">
        <w:rPr>
          <w:rFonts w:cstheme="minorHAnsi"/>
          <w:b/>
          <w:sz w:val="24"/>
          <w:szCs w:val="24"/>
        </w:rPr>
        <w:t xml:space="preserve"> a </w:t>
      </w:r>
      <w:r w:rsidR="001140F3">
        <w:rPr>
          <w:rFonts w:cstheme="minorHAnsi"/>
          <w:b/>
          <w:sz w:val="24"/>
          <w:szCs w:val="24"/>
        </w:rPr>
        <w:t>pro</w:t>
      </w:r>
      <w:r w:rsidRPr="00D14358">
        <w:rPr>
          <w:rFonts w:cstheme="minorHAnsi"/>
          <w:b/>
          <w:sz w:val="24"/>
          <w:szCs w:val="24"/>
        </w:rPr>
        <w:t xml:space="preserve"> prosazování zájmů státu </w:t>
      </w:r>
      <w:r w:rsidRPr="00E03E8F">
        <w:rPr>
          <w:rFonts w:cstheme="minorHAnsi"/>
          <w:b/>
          <w:sz w:val="24"/>
          <w:szCs w:val="24"/>
        </w:rPr>
        <w:t>v obchodních společnostech ve vnitřních předpisech</w:t>
      </w:r>
      <w:r w:rsidR="0039075F" w:rsidRPr="00E03E8F">
        <w:rPr>
          <w:rFonts w:cstheme="minorHAnsi"/>
          <w:b/>
          <w:sz w:val="24"/>
          <w:szCs w:val="24"/>
        </w:rPr>
        <w:t xml:space="preserve"> kontrolovaných</w:t>
      </w:r>
      <w:r w:rsidR="001D61A4" w:rsidRPr="00E03E8F">
        <w:rPr>
          <w:rFonts w:cstheme="minorHAnsi"/>
          <w:b/>
          <w:sz w:val="24"/>
          <w:szCs w:val="24"/>
        </w:rPr>
        <w:t xml:space="preserve"> ministerstev</w:t>
      </w:r>
    </w:p>
    <w:p w14:paraId="5EFC8A55" w14:textId="77777777" w:rsidR="0024737A" w:rsidRPr="002479F4" w:rsidRDefault="0024737A" w:rsidP="002479F4">
      <w:pPr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</w:rPr>
      </w:pPr>
    </w:p>
    <w:p w14:paraId="1953BB31" w14:textId="77777777" w:rsidR="0039075F" w:rsidRPr="002762FF" w:rsidRDefault="006629E0" w:rsidP="00243E60">
      <w:pPr>
        <w:pStyle w:val="Odstavecseseznamem"/>
        <w:autoSpaceDE w:val="0"/>
        <w:autoSpaceDN w:val="0"/>
        <w:adjustRightInd w:val="0"/>
        <w:ind w:left="0"/>
        <w:jc w:val="both"/>
        <w:rPr>
          <w:rFonts w:ascii="Calibri" w:hAnsi="Calibri" w:cs="Calibri"/>
          <w:b/>
        </w:rPr>
      </w:pPr>
      <w:r w:rsidRPr="002762FF">
        <w:rPr>
          <w:rFonts w:ascii="Calibri" w:hAnsi="Calibri" w:cs="Calibri"/>
          <w:b/>
        </w:rPr>
        <w:t xml:space="preserve">3.1 </w:t>
      </w:r>
      <w:r w:rsidR="0039075F" w:rsidRPr="002762FF">
        <w:rPr>
          <w:rFonts w:ascii="Calibri" w:hAnsi="Calibri" w:cs="Calibri"/>
          <w:b/>
        </w:rPr>
        <w:t>Obecná úprava</w:t>
      </w:r>
    </w:p>
    <w:p w14:paraId="3C411840" w14:textId="77777777" w:rsidR="00532B3B" w:rsidRPr="00532B3B" w:rsidRDefault="00532B3B" w:rsidP="00243E60">
      <w:pPr>
        <w:pStyle w:val="Odstavecseseznamem"/>
        <w:autoSpaceDE w:val="0"/>
        <w:autoSpaceDN w:val="0"/>
        <w:adjustRightInd w:val="0"/>
        <w:ind w:left="0"/>
        <w:jc w:val="both"/>
        <w:rPr>
          <w:rFonts w:ascii="Calibri" w:hAnsi="Calibri" w:cs="Calibri"/>
        </w:rPr>
      </w:pPr>
    </w:p>
    <w:p w14:paraId="284C13BC" w14:textId="0339F4EF" w:rsidR="00243E60" w:rsidRDefault="00243E60" w:rsidP="00243E60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  <w:r w:rsidRPr="00D126A8">
        <w:rPr>
          <w:rFonts w:ascii="Calibri" w:hAnsi="Calibri" w:cs="Calibri"/>
          <w:b/>
        </w:rPr>
        <w:t>MF</w:t>
      </w:r>
      <w:r w:rsidRPr="00D126A8">
        <w:rPr>
          <w:rFonts w:ascii="Calibri" w:hAnsi="Calibri" w:cs="Calibri"/>
        </w:rPr>
        <w:t xml:space="preserve"> </w:t>
      </w:r>
      <w:r w:rsidR="00592C74" w:rsidRPr="00D126A8">
        <w:rPr>
          <w:rFonts w:ascii="Calibri" w:hAnsi="Calibri" w:cs="Calibri"/>
        </w:rPr>
        <w:t>–</w:t>
      </w:r>
      <w:r w:rsidRPr="00D126A8">
        <w:rPr>
          <w:rFonts w:ascii="Calibri" w:hAnsi="Calibri" w:cs="Calibri"/>
        </w:rPr>
        <w:t xml:space="preserve"> </w:t>
      </w:r>
      <w:r w:rsidR="001140F3">
        <w:rPr>
          <w:rFonts w:ascii="Calibri" w:hAnsi="Calibri" w:cs="Calibri"/>
          <w:lang w:eastAsia="cs-CZ"/>
        </w:rPr>
        <w:t>N</w:t>
      </w:r>
      <w:r w:rsidRPr="00D126A8">
        <w:rPr>
          <w:rFonts w:ascii="Calibri" w:hAnsi="Calibri" w:cs="Calibri"/>
          <w:lang w:eastAsia="cs-CZ"/>
        </w:rPr>
        <w:t>akládání s majetkovými účastmi a cennými papíry, s nimiž je příslušné hospodařit MF,</w:t>
      </w:r>
      <w:r w:rsidR="00EF53D6" w:rsidRPr="00D126A8">
        <w:rPr>
          <w:rFonts w:asciiTheme="minorHAnsi" w:hAnsiTheme="minorHAnsi" w:cstheme="minorHAnsi"/>
          <w:lang w:eastAsia="cs-CZ"/>
        </w:rPr>
        <w:t xml:space="preserve"> </w:t>
      </w:r>
      <w:r w:rsidR="00EF53D6" w:rsidRPr="0089551F">
        <w:rPr>
          <w:rFonts w:asciiTheme="minorHAnsi" w:hAnsiTheme="minorHAnsi" w:cstheme="minorHAnsi"/>
          <w:lang w:eastAsia="cs-CZ"/>
        </w:rPr>
        <w:t xml:space="preserve">nebylo po část kontrolovaného období </w:t>
      </w:r>
      <w:r w:rsidRPr="0089551F">
        <w:rPr>
          <w:rFonts w:asciiTheme="minorHAnsi" w:hAnsiTheme="minorHAnsi" w:cstheme="minorHAnsi"/>
          <w:lang w:eastAsia="cs-CZ"/>
        </w:rPr>
        <w:t xml:space="preserve">vnitřním předpisem MF, s výjimkou pravidel stanovených </w:t>
      </w:r>
      <w:r w:rsidR="00204121">
        <w:rPr>
          <w:rFonts w:asciiTheme="minorHAnsi" w:hAnsiTheme="minorHAnsi" w:cstheme="minorHAnsi"/>
          <w:lang w:eastAsia="cs-CZ"/>
        </w:rPr>
        <w:t>s</w:t>
      </w:r>
      <w:r w:rsidRPr="0089551F">
        <w:rPr>
          <w:rFonts w:asciiTheme="minorHAnsi" w:hAnsiTheme="minorHAnsi" w:cstheme="minorHAnsi"/>
          <w:lang w:eastAsia="cs-CZ"/>
        </w:rPr>
        <w:t xml:space="preserve">měrnicí </w:t>
      </w:r>
      <w:r w:rsidR="005C6AD7" w:rsidRPr="0089551F">
        <w:rPr>
          <w:rFonts w:asciiTheme="minorHAnsi" w:hAnsiTheme="minorHAnsi" w:cstheme="minorHAnsi"/>
          <w:lang w:eastAsia="cs-CZ"/>
        </w:rPr>
        <w:t>č. 2/2006</w:t>
      </w:r>
      <w:r w:rsidR="005C6AD7" w:rsidRPr="0089551F">
        <w:rPr>
          <w:rStyle w:val="Znakapoznpodarou"/>
          <w:rFonts w:asciiTheme="minorHAnsi" w:hAnsiTheme="minorHAnsi" w:cstheme="minorHAnsi"/>
          <w:lang w:eastAsia="cs-CZ"/>
        </w:rPr>
        <w:footnoteReference w:id="12"/>
      </w:r>
      <w:r w:rsidR="005C6AD7">
        <w:rPr>
          <w:rFonts w:asciiTheme="minorHAnsi" w:hAnsiTheme="minorHAnsi" w:cstheme="minorHAnsi"/>
          <w:lang w:eastAsia="cs-CZ"/>
        </w:rPr>
        <w:t xml:space="preserve"> </w:t>
      </w:r>
      <w:r w:rsidRPr="0089551F">
        <w:rPr>
          <w:rFonts w:asciiTheme="minorHAnsi" w:hAnsiTheme="minorHAnsi" w:cstheme="minorHAnsi"/>
          <w:lang w:eastAsia="cs-CZ"/>
        </w:rPr>
        <w:t>ministra financí</w:t>
      </w:r>
      <w:r w:rsidR="005C6AD7">
        <w:rPr>
          <w:rFonts w:asciiTheme="minorHAnsi" w:hAnsiTheme="minorHAnsi" w:cstheme="minorHAnsi"/>
          <w:lang w:eastAsia="cs-CZ"/>
        </w:rPr>
        <w:t>,</w:t>
      </w:r>
      <w:r w:rsidR="001140F3" w:rsidRPr="001140F3">
        <w:rPr>
          <w:rFonts w:asciiTheme="minorHAnsi" w:hAnsiTheme="minorHAnsi" w:cstheme="minorHAnsi"/>
          <w:lang w:eastAsia="cs-CZ"/>
        </w:rPr>
        <w:t xml:space="preserve"> </w:t>
      </w:r>
      <w:r w:rsidRPr="0089551F">
        <w:rPr>
          <w:rFonts w:asciiTheme="minorHAnsi" w:hAnsiTheme="minorHAnsi" w:cstheme="minorHAnsi"/>
          <w:lang w:eastAsia="cs-CZ"/>
        </w:rPr>
        <w:t xml:space="preserve">upraveno, a to v důsledku vydání </w:t>
      </w:r>
      <w:r w:rsidR="00204121">
        <w:rPr>
          <w:rFonts w:asciiTheme="minorHAnsi" w:hAnsiTheme="minorHAnsi" w:cstheme="minorHAnsi"/>
          <w:lang w:eastAsia="cs-CZ"/>
        </w:rPr>
        <w:t>r</w:t>
      </w:r>
      <w:r w:rsidRPr="0089551F">
        <w:rPr>
          <w:rFonts w:asciiTheme="minorHAnsi" w:hAnsiTheme="minorHAnsi" w:cstheme="minorHAnsi"/>
          <w:lang w:eastAsia="cs-CZ"/>
        </w:rPr>
        <w:t xml:space="preserve">ozhodnutí </w:t>
      </w:r>
      <w:r w:rsidR="005C6AD7" w:rsidRPr="0089551F">
        <w:rPr>
          <w:rFonts w:asciiTheme="minorHAnsi" w:hAnsiTheme="minorHAnsi" w:cstheme="minorHAnsi"/>
          <w:lang w:eastAsia="cs-CZ"/>
        </w:rPr>
        <w:t>č. 14/2014</w:t>
      </w:r>
      <w:r w:rsidR="005C6AD7">
        <w:rPr>
          <w:rFonts w:asciiTheme="minorHAnsi" w:hAnsiTheme="minorHAnsi" w:cstheme="minorHAnsi"/>
          <w:lang w:eastAsia="cs-CZ"/>
        </w:rPr>
        <w:t xml:space="preserve"> </w:t>
      </w:r>
      <w:r w:rsidRPr="0089551F">
        <w:rPr>
          <w:rFonts w:asciiTheme="minorHAnsi" w:hAnsiTheme="minorHAnsi" w:cstheme="minorHAnsi"/>
          <w:lang w:eastAsia="cs-CZ"/>
        </w:rPr>
        <w:t>ministra financí, kt</w:t>
      </w:r>
      <w:r w:rsidR="001140F3">
        <w:rPr>
          <w:rFonts w:asciiTheme="minorHAnsi" w:hAnsiTheme="minorHAnsi" w:cstheme="minorHAnsi"/>
          <w:lang w:eastAsia="cs-CZ"/>
        </w:rPr>
        <w:t>erým byla s účinností od 1. 11. </w:t>
      </w:r>
      <w:r w:rsidRPr="0089551F">
        <w:rPr>
          <w:rFonts w:asciiTheme="minorHAnsi" w:hAnsiTheme="minorHAnsi" w:cstheme="minorHAnsi"/>
          <w:lang w:eastAsia="cs-CZ"/>
        </w:rPr>
        <w:t xml:space="preserve">2014 zrušena bez náhrady </w:t>
      </w:r>
      <w:r w:rsidR="00204121">
        <w:rPr>
          <w:rFonts w:asciiTheme="minorHAnsi" w:hAnsiTheme="minorHAnsi" w:cstheme="minorHAnsi"/>
          <w:lang w:eastAsia="cs-CZ"/>
        </w:rPr>
        <w:t>s</w:t>
      </w:r>
      <w:r w:rsidRPr="0089551F">
        <w:rPr>
          <w:rFonts w:asciiTheme="minorHAnsi" w:hAnsiTheme="minorHAnsi" w:cstheme="minorHAnsi"/>
          <w:lang w:eastAsia="cs-CZ"/>
        </w:rPr>
        <w:t>měrnice č. 12/2007</w:t>
      </w:r>
      <w:r w:rsidR="00732773" w:rsidRPr="0089551F">
        <w:rPr>
          <w:rStyle w:val="Znakapoznpodarou"/>
          <w:rFonts w:asciiTheme="minorHAnsi" w:hAnsiTheme="minorHAnsi" w:cstheme="minorHAnsi"/>
          <w:lang w:eastAsia="cs-CZ"/>
        </w:rPr>
        <w:footnoteReference w:id="13"/>
      </w:r>
      <w:r w:rsidRPr="0089551F">
        <w:rPr>
          <w:rFonts w:asciiTheme="minorHAnsi" w:hAnsiTheme="minorHAnsi" w:cstheme="minorHAnsi"/>
          <w:lang w:eastAsia="cs-CZ"/>
        </w:rPr>
        <w:t>.</w:t>
      </w:r>
    </w:p>
    <w:p w14:paraId="099DEDE4" w14:textId="77777777" w:rsidR="00532B3B" w:rsidRPr="0089551F" w:rsidRDefault="00532B3B" w:rsidP="00243E60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</w:p>
    <w:p w14:paraId="0ABBE819" w14:textId="6DA29F9D" w:rsidR="00243E60" w:rsidRPr="0089551F" w:rsidRDefault="00243E60" w:rsidP="00243E60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89551F">
        <w:rPr>
          <w:rFonts w:cstheme="minorHAnsi"/>
          <w:sz w:val="24"/>
          <w:szCs w:val="24"/>
        </w:rPr>
        <w:t xml:space="preserve">Výkon akcionářských práv státu </w:t>
      </w:r>
      <w:r w:rsidR="001140F3">
        <w:rPr>
          <w:rFonts w:cstheme="minorHAnsi"/>
          <w:sz w:val="24"/>
          <w:szCs w:val="24"/>
        </w:rPr>
        <w:t xml:space="preserve">upravovalo MF </w:t>
      </w:r>
      <w:r w:rsidRPr="0089551F">
        <w:rPr>
          <w:rFonts w:cstheme="minorHAnsi"/>
          <w:sz w:val="24"/>
          <w:szCs w:val="24"/>
        </w:rPr>
        <w:t>ve svých vnitřních předpisech do jisté míry nesystémově, neboť v kontrolovaném období (od 1. 1. 2013):</w:t>
      </w:r>
    </w:p>
    <w:p w14:paraId="65C3B742" w14:textId="146B6233" w:rsidR="00243E60" w:rsidRPr="00CC2CC4" w:rsidRDefault="00243E60" w:rsidP="00CC2CC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lang w:eastAsia="cs-CZ"/>
        </w:rPr>
      </w:pPr>
      <w:r w:rsidRPr="00CC2CC4">
        <w:rPr>
          <w:rFonts w:ascii="Calibri" w:hAnsi="Calibri" w:cs="Calibri"/>
        </w:rPr>
        <w:t>byla</w:t>
      </w:r>
      <w:r w:rsidRPr="00CC2CC4">
        <w:rPr>
          <w:rFonts w:ascii="Calibri" w:hAnsi="Calibri" w:cs="Calibri"/>
          <w:lang w:eastAsia="cs-CZ"/>
        </w:rPr>
        <w:t xml:space="preserve"> do 1. 11. 2014 platná</w:t>
      </w:r>
      <w:r w:rsidR="00173368" w:rsidRPr="00CC2CC4">
        <w:rPr>
          <w:rFonts w:ascii="Calibri" w:hAnsi="Calibri" w:cs="Calibri"/>
          <w:lang w:eastAsia="cs-CZ"/>
        </w:rPr>
        <w:t xml:space="preserve"> </w:t>
      </w:r>
      <w:r w:rsidR="00204121">
        <w:rPr>
          <w:rFonts w:ascii="Calibri" w:hAnsi="Calibri" w:cs="Calibri"/>
          <w:lang w:eastAsia="cs-CZ"/>
        </w:rPr>
        <w:t>s</w:t>
      </w:r>
      <w:r w:rsidRPr="00CC2CC4">
        <w:rPr>
          <w:rFonts w:ascii="Calibri" w:hAnsi="Calibri" w:cs="Calibri"/>
          <w:lang w:eastAsia="cs-CZ"/>
        </w:rPr>
        <w:t xml:space="preserve">měrnice </w:t>
      </w:r>
      <w:r w:rsidR="00B401FB" w:rsidRPr="00CC2CC4">
        <w:rPr>
          <w:rFonts w:ascii="Calibri" w:hAnsi="Calibri" w:cs="Calibri"/>
          <w:lang w:eastAsia="cs-CZ"/>
        </w:rPr>
        <w:t>č. 12/2007</w:t>
      </w:r>
      <w:r w:rsidR="00B401FB" w:rsidRPr="00CC2CC4">
        <w:rPr>
          <w:rFonts w:ascii="Calibri" w:hAnsi="Calibri" w:cs="Calibri"/>
          <w:vertAlign w:val="superscript"/>
          <w:lang w:eastAsia="cs-CZ"/>
        </w:rPr>
        <w:t>11</w:t>
      </w:r>
      <w:r w:rsidR="00B401FB">
        <w:rPr>
          <w:rFonts w:ascii="Calibri" w:hAnsi="Calibri" w:cs="Calibri"/>
          <w:vertAlign w:val="superscript"/>
          <w:lang w:eastAsia="cs-CZ"/>
        </w:rPr>
        <w:t xml:space="preserve"> </w:t>
      </w:r>
      <w:r w:rsidRPr="00CC2CC4">
        <w:rPr>
          <w:rFonts w:ascii="Calibri" w:hAnsi="Calibri" w:cs="Calibri"/>
          <w:lang w:eastAsia="cs-CZ"/>
        </w:rPr>
        <w:t xml:space="preserve">ministra financí, která v obecné rovině vymezovala, které činnosti spojené </w:t>
      </w:r>
      <w:r w:rsidR="00095106">
        <w:rPr>
          <w:rFonts w:ascii="Calibri" w:hAnsi="Calibri" w:cs="Calibri"/>
          <w:lang w:eastAsia="cs-CZ"/>
        </w:rPr>
        <w:t>se správou majetkových účastí a </w:t>
      </w:r>
      <w:r w:rsidRPr="00CC2CC4">
        <w:rPr>
          <w:rFonts w:ascii="Calibri" w:hAnsi="Calibri" w:cs="Calibri"/>
          <w:lang w:eastAsia="cs-CZ"/>
        </w:rPr>
        <w:t>cenných papírů zabezpečuje věcně příslušný útvar a jaká práva jsou spojena s výkonem akcionářských práv a</w:t>
      </w:r>
      <w:r w:rsidR="00D126A8" w:rsidRPr="00CC2CC4">
        <w:rPr>
          <w:rFonts w:ascii="Calibri" w:hAnsi="Calibri" w:cs="Calibri"/>
          <w:lang w:eastAsia="cs-CZ"/>
        </w:rPr>
        <w:t> </w:t>
      </w:r>
      <w:r w:rsidRPr="00CC2CC4">
        <w:rPr>
          <w:rFonts w:ascii="Calibri" w:hAnsi="Calibri" w:cs="Calibri"/>
          <w:lang w:eastAsia="cs-CZ"/>
        </w:rPr>
        <w:t>práv společníka, před</w:t>
      </w:r>
      <w:r w:rsidR="00C832C1" w:rsidRPr="00CC2CC4">
        <w:rPr>
          <w:rFonts w:ascii="Calibri" w:hAnsi="Calibri" w:cs="Calibri"/>
          <w:lang w:eastAsia="cs-CZ"/>
        </w:rPr>
        <w:t>evším při jednání valné hromady;</w:t>
      </w:r>
    </w:p>
    <w:p w14:paraId="205A5750" w14:textId="405B1D09" w:rsidR="00243E60" w:rsidRPr="00CC2CC4" w:rsidRDefault="00243E60" w:rsidP="00CC2CC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lang w:eastAsia="cs-CZ"/>
        </w:rPr>
      </w:pPr>
      <w:r w:rsidRPr="00CC2CC4">
        <w:rPr>
          <w:rFonts w:ascii="Calibri" w:hAnsi="Calibri" w:cs="Calibri"/>
          <w:lang w:eastAsia="cs-CZ"/>
        </w:rPr>
        <w:t xml:space="preserve">do </w:t>
      </w:r>
      <w:r w:rsidR="00255B1C" w:rsidRPr="00CC2CC4">
        <w:rPr>
          <w:rFonts w:ascii="Calibri" w:hAnsi="Calibri" w:cs="Calibri"/>
          <w:lang w:eastAsia="cs-CZ"/>
        </w:rPr>
        <w:t xml:space="preserve">4. 3. 2015 </w:t>
      </w:r>
      <w:r w:rsidRPr="00CC2CC4">
        <w:rPr>
          <w:rFonts w:ascii="Calibri" w:hAnsi="Calibri" w:cs="Calibri"/>
          <w:lang w:eastAsia="cs-CZ"/>
        </w:rPr>
        <w:t xml:space="preserve">byla platná </w:t>
      </w:r>
      <w:r w:rsidR="00204121">
        <w:rPr>
          <w:rFonts w:ascii="Calibri" w:hAnsi="Calibri" w:cs="Calibri"/>
          <w:lang w:eastAsia="cs-CZ"/>
        </w:rPr>
        <w:t>s</w:t>
      </w:r>
      <w:r w:rsidRPr="00CC2CC4">
        <w:rPr>
          <w:rFonts w:ascii="Calibri" w:hAnsi="Calibri" w:cs="Calibri"/>
          <w:lang w:eastAsia="cs-CZ"/>
        </w:rPr>
        <w:t xml:space="preserve">měrnice </w:t>
      </w:r>
      <w:r w:rsidR="00B401FB" w:rsidRPr="00CC2CC4">
        <w:rPr>
          <w:rFonts w:ascii="Calibri" w:hAnsi="Calibri" w:cs="Calibri"/>
          <w:lang w:eastAsia="cs-CZ"/>
        </w:rPr>
        <w:t>č. 1/2006</w:t>
      </w:r>
      <w:r w:rsidR="00B401FB" w:rsidRPr="00CC2CC4">
        <w:rPr>
          <w:rStyle w:val="Znakapoznpodarou"/>
          <w:rFonts w:ascii="Calibri" w:hAnsi="Calibri" w:cs="Calibri"/>
          <w:lang w:eastAsia="cs-CZ"/>
        </w:rPr>
        <w:footnoteReference w:id="14"/>
      </w:r>
      <w:r w:rsidR="00B401FB" w:rsidRPr="00CC2CC4">
        <w:rPr>
          <w:rFonts w:ascii="Calibri" w:hAnsi="Calibri" w:cs="Calibri"/>
          <w:lang w:eastAsia="cs-CZ"/>
        </w:rPr>
        <w:t xml:space="preserve"> </w:t>
      </w:r>
      <w:r w:rsidRPr="00CC2CC4">
        <w:rPr>
          <w:rFonts w:ascii="Calibri" w:hAnsi="Calibri" w:cs="Calibri"/>
          <w:lang w:eastAsia="cs-CZ"/>
        </w:rPr>
        <w:t>ministra financí</w:t>
      </w:r>
      <w:r w:rsidR="00B401FB">
        <w:rPr>
          <w:rFonts w:ascii="Calibri" w:hAnsi="Calibri" w:cs="Calibri"/>
          <w:lang w:eastAsia="cs-CZ"/>
        </w:rPr>
        <w:t>,</w:t>
      </w:r>
      <w:r w:rsidR="00204121" w:rsidRPr="00204121">
        <w:rPr>
          <w:rFonts w:ascii="Calibri" w:hAnsi="Calibri" w:cs="Calibri"/>
          <w:lang w:eastAsia="cs-CZ"/>
        </w:rPr>
        <w:t xml:space="preserve"> </w:t>
      </w:r>
      <w:r w:rsidR="00255B1C" w:rsidRPr="00CC2CC4">
        <w:rPr>
          <w:rFonts w:ascii="Calibri" w:hAnsi="Calibri" w:cs="Calibri"/>
          <w:lang w:eastAsia="cs-CZ"/>
        </w:rPr>
        <w:t xml:space="preserve">která </w:t>
      </w:r>
      <w:r w:rsidRPr="00CC2CC4">
        <w:rPr>
          <w:rFonts w:ascii="Calibri" w:hAnsi="Calibri" w:cs="Calibri"/>
          <w:lang w:eastAsia="cs-CZ"/>
        </w:rPr>
        <w:t xml:space="preserve">upravovala pouze výkon akcionářských práv státu vzniklých při privatizaci majetku státu, </w:t>
      </w:r>
      <w:r w:rsidR="001140F3">
        <w:rPr>
          <w:rFonts w:ascii="Calibri" w:hAnsi="Calibri" w:cs="Calibri"/>
          <w:lang w:eastAsia="cs-CZ"/>
        </w:rPr>
        <w:t xml:space="preserve">bylo ji </w:t>
      </w:r>
      <w:r w:rsidRPr="00CC2CC4">
        <w:rPr>
          <w:rFonts w:ascii="Calibri" w:hAnsi="Calibri" w:cs="Calibri"/>
          <w:lang w:eastAsia="cs-CZ"/>
        </w:rPr>
        <w:t>tedy</w:t>
      </w:r>
      <w:r w:rsidR="00F27BB8" w:rsidRPr="00CC2CC4">
        <w:rPr>
          <w:rFonts w:ascii="Calibri" w:hAnsi="Calibri" w:cs="Calibri"/>
          <w:lang w:eastAsia="cs-CZ"/>
        </w:rPr>
        <w:t xml:space="preserve"> </w:t>
      </w:r>
      <w:r w:rsidR="001140F3">
        <w:rPr>
          <w:rFonts w:ascii="Calibri" w:hAnsi="Calibri" w:cs="Calibri"/>
          <w:lang w:eastAsia="cs-CZ"/>
        </w:rPr>
        <w:t xml:space="preserve">možné aplikovat </w:t>
      </w:r>
      <w:r w:rsidR="00F27BB8" w:rsidRPr="00CC2CC4">
        <w:rPr>
          <w:rFonts w:ascii="Calibri" w:hAnsi="Calibri" w:cs="Calibri"/>
          <w:lang w:eastAsia="cs-CZ"/>
        </w:rPr>
        <w:t>jen</w:t>
      </w:r>
      <w:r w:rsidRPr="00CC2CC4">
        <w:rPr>
          <w:rFonts w:ascii="Calibri" w:hAnsi="Calibri" w:cs="Calibri"/>
          <w:lang w:eastAsia="cs-CZ"/>
        </w:rPr>
        <w:t xml:space="preserve"> </w:t>
      </w:r>
      <w:r w:rsidR="001140F3">
        <w:rPr>
          <w:rFonts w:ascii="Calibri" w:hAnsi="Calibri" w:cs="Calibri"/>
          <w:lang w:eastAsia="cs-CZ"/>
        </w:rPr>
        <w:t>u</w:t>
      </w:r>
      <w:r w:rsidRPr="00CC2CC4">
        <w:rPr>
          <w:rFonts w:ascii="Calibri" w:hAnsi="Calibri" w:cs="Calibri"/>
          <w:lang w:eastAsia="cs-CZ"/>
        </w:rPr>
        <w:t> těch společnost</w:t>
      </w:r>
      <w:r w:rsidR="001140F3">
        <w:rPr>
          <w:rFonts w:ascii="Calibri" w:hAnsi="Calibri" w:cs="Calibri"/>
          <w:lang w:eastAsia="cs-CZ"/>
        </w:rPr>
        <w:t>í</w:t>
      </w:r>
      <w:r w:rsidRPr="00CC2CC4">
        <w:rPr>
          <w:rFonts w:ascii="Calibri" w:hAnsi="Calibri" w:cs="Calibri"/>
          <w:lang w:eastAsia="cs-CZ"/>
        </w:rPr>
        <w:t>, jejichž majetkové účasti na MF přešly od 1. 1. 2006 podle zákona č. 178/2005 Sb.,</w:t>
      </w:r>
      <w:r w:rsidR="00FE5083" w:rsidRPr="00CC2CC4">
        <w:rPr>
          <w:rFonts w:ascii="Calibri" w:hAnsi="Calibri" w:cs="Calibri"/>
          <w:lang w:eastAsia="cs-CZ"/>
        </w:rPr>
        <w:t xml:space="preserve"> o zrušení Fondu národního majetku České republiky a</w:t>
      </w:r>
      <w:r w:rsidR="00095106">
        <w:rPr>
          <w:rFonts w:ascii="Calibri" w:hAnsi="Calibri" w:cs="Calibri"/>
          <w:lang w:eastAsia="cs-CZ"/>
        </w:rPr>
        <w:t> </w:t>
      </w:r>
      <w:r w:rsidR="00FE5083" w:rsidRPr="00CC2CC4">
        <w:rPr>
          <w:rFonts w:ascii="Calibri" w:hAnsi="Calibri" w:cs="Calibri"/>
          <w:lang w:eastAsia="cs-CZ"/>
        </w:rPr>
        <w:t>o</w:t>
      </w:r>
      <w:r w:rsidR="00095106">
        <w:rPr>
          <w:rFonts w:ascii="Calibri" w:hAnsi="Calibri" w:cs="Calibri"/>
          <w:lang w:eastAsia="cs-CZ"/>
        </w:rPr>
        <w:t> </w:t>
      </w:r>
      <w:r w:rsidR="00FE5083" w:rsidRPr="00CC2CC4">
        <w:rPr>
          <w:rFonts w:ascii="Calibri" w:hAnsi="Calibri" w:cs="Calibri"/>
          <w:lang w:eastAsia="cs-CZ"/>
        </w:rPr>
        <w:t>působnosti Ministerstva financí při privatizaci majetku České republiky (zákon o</w:t>
      </w:r>
      <w:r w:rsidR="00095106">
        <w:rPr>
          <w:rFonts w:ascii="Calibri" w:hAnsi="Calibri" w:cs="Calibri"/>
          <w:lang w:eastAsia="cs-CZ"/>
        </w:rPr>
        <w:t> </w:t>
      </w:r>
      <w:r w:rsidR="00FE5083" w:rsidRPr="00CC2CC4">
        <w:rPr>
          <w:rFonts w:ascii="Calibri" w:hAnsi="Calibri" w:cs="Calibri"/>
          <w:lang w:eastAsia="cs-CZ"/>
        </w:rPr>
        <w:t>z</w:t>
      </w:r>
      <w:r w:rsidR="00C832C1" w:rsidRPr="00CC2CC4">
        <w:rPr>
          <w:rFonts w:ascii="Calibri" w:hAnsi="Calibri" w:cs="Calibri"/>
          <w:lang w:eastAsia="cs-CZ"/>
        </w:rPr>
        <w:t>rušení Fondu národního majetku);</w:t>
      </w:r>
    </w:p>
    <w:p w14:paraId="44D466F6" w14:textId="67F21B9E" w:rsidR="00243E60" w:rsidRPr="00CC2CC4" w:rsidRDefault="00243E60" w:rsidP="00CC2CC4">
      <w:pPr>
        <w:pStyle w:val="Odstavecseseznamem"/>
        <w:numPr>
          <w:ilvl w:val="0"/>
          <w:numId w:val="14"/>
        </w:numPr>
        <w:ind w:left="284" w:hanging="284"/>
        <w:jc w:val="both"/>
        <w:rPr>
          <w:rFonts w:ascii="Calibri" w:hAnsi="Calibri" w:cs="Calibri"/>
          <w:lang w:eastAsia="cs-CZ"/>
        </w:rPr>
      </w:pPr>
      <w:r w:rsidRPr="00CC2CC4">
        <w:rPr>
          <w:rFonts w:ascii="Calibri" w:hAnsi="Calibri" w:cs="Calibri"/>
          <w:lang w:eastAsia="cs-CZ"/>
        </w:rPr>
        <w:t xml:space="preserve">od 4. 3. 2015 </w:t>
      </w:r>
      <w:r w:rsidR="00255B1C" w:rsidRPr="00CC2CC4">
        <w:rPr>
          <w:rFonts w:ascii="Calibri" w:hAnsi="Calibri" w:cs="Calibri"/>
          <w:lang w:eastAsia="cs-CZ"/>
        </w:rPr>
        <w:t xml:space="preserve">byla </w:t>
      </w:r>
      <w:r w:rsidRPr="00CC2CC4">
        <w:rPr>
          <w:rFonts w:ascii="Calibri" w:hAnsi="Calibri" w:cs="Calibri"/>
          <w:lang w:eastAsia="cs-CZ"/>
        </w:rPr>
        <w:t xml:space="preserve">platná </w:t>
      </w:r>
      <w:r w:rsidR="00A8734E">
        <w:rPr>
          <w:rFonts w:ascii="Calibri" w:hAnsi="Calibri" w:cs="Calibri"/>
          <w:lang w:eastAsia="cs-CZ"/>
        </w:rPr>
        <w:t>s</w:t>
      </w:r>
      <w:r w:rsidRPr="00CC2CC4">
        <w:rPr>
          <w:rFonts w:ascii="Calibri" w:hAnsi="Calibri" w:cs="Calibri"/>
          <w:lang w:eastAsia="cs-CZ"/>
        </w:rPr>
        <w:t xml:space="preserve">měrnice </w:t>
      </w:r>
      <w:r w:rsidR="00B401FB" w:rsidRPr="00CC2CC4">
        <w:rPr>
          <w:rFonts w:ascii="Calibri" w:hAnsi="Calibri" w:cs="Calibri"/>
          <w:lang w:eastAsia="cs-CZ"/>
        </w:rPr>
        <w:t>č. 3/2015</w:t>
      </w:r>
      <w:r w:rsidR="00B401FB" w:rsidRPr="00CC2CC4">
        <w:rPr>
          <w:rStyle w:val="Znakapoznpodarou"/>
          <w:rFonts w:ascii="Calibri" w:hAnsi="Calibri" w:cs="Calibri"/>
          <w:lang w:eastAsia="cs-CZ"/>
        </w:rPr>
        <w:footnoteReference w:id="15"/>
      </w:r>
      <w:r w:rsidR="00B401FB" w:rsidRPr="00CC2CC4">
        <w:rPr>
          <w:rFonts w:ascii="Calibri" w:hAnsi="Calibri" w:cs="Calibri"/>
          <w:lang w:eastAsia="cs-CZ"/>
        </w:rPr>
        <w:t xml:space="preserve"> </w:t>
      </w:r>
      <w:r w:rsidRPr="00CC2CC4">
        <w:rPr>
          <w:rFonts w:ascii="Calibri" w:hAnsi="Calibri" w:cs="Calibri"/>
          <w:lang w:eastAsia="cs-CZ"/>
        </w:rPr>
        <w:t>ministra financí</w:t>
      </w:r>
      <w:r w:rsidR="00B401FB">
        <w:rPr>
          <w:rFonts w:ascii="Calibri" w:hAnsi="Calibri" w:cs="Calibri"/>
          <w:lang w:eastAsia="cs-CZ"/>
        </w:rPr>
        <w:t>,</w:t>
      </w:r>
      <w:r w:rsidR="00A8734E" w:rsidRPr="00A8734E">
        <w:rPr>
          <w:rFonts w:ascii="Calibri" w:hAnsi="Calibri" w:cs="Calibri"/>
          <w:lang w:eastAsia="cs-CZ"/>
        </w:rPr>
        <w:t xml:space="preserve"> </w:t>
      </w:r>
      <w:r w:rsidRPr="00CC2CC4">
        <w:rPr>
          <w:rFonts w:ascii="Calibri" w:hAnsi="Calibri" w:cs="Calibri"/>
          <w:lang w:eastAsia="cs-CZ"/>
        </w:rPr>
        <w:t xml:space="preserve">která určuje pravidla pro jednání zástupců MF při výkonu vlastnických práv státu v obchodních korporacích s majetkovou účastí státu a základní pravidla pro činnost odboru 43 – Strategické společnosti a investiční pobídky. </w:t>
      </w:r>
    </w:p>
    <w:p w14:paraId="237ECF79" w14:textId="77777777" w:rsidR="00CC2CC4" w:rsidRPr="00CC2CC4" w:rsidRDefault="00CC2CC4" w:rsidP="00255C92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52EA2235" w14:textId="2353C79B" w:rsidR="00243E60" w:rsidRPr="00D126A8" w:rsidRDefault="00243E60" w:rsidP="00255C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 w:rsidRPr="00D126A8">
        <w:rPr>
          <w:rFonts w:cstheme="minorHAnsi"/>
          <w:b/>
          <w:sz w:val="24"/>
          <w:szCs w:val="24"/>
          <w:lang w:eastAsia="cs-CZ"/>
        </w:rPr>
        <w:t>MPO</w:t>
      </w:r>
      <w:r w:rsidRPr="00D126A8">
        <w:rPr>
          <w:rFonts w:cstheme="minorHAnsi"/>
          <w:sz w:val="24"/>
          <w:szCs w:val="24"/>
          <w:lang w:eastAsia="cs-CZ"/>
        </w:rPr>
        <w:t xml:space="preserve"> –</w:t>
      </w:r>
      <w:r w:rsidR="0052182E" w:rsidRPr="00D126A8">
        <w:rPr>
          <w:rFonts w:cstheme="minorHAnsi"/>
          <w:sz w:val="24"/>
          <w:szCs w:val="24"/>
          <w:lang w:eastAsia="cs-CZ"/>
        </w:rPr>
        <w:t xml:space="preserve"> </w:t>
      </w:r>
      <w:r w:rsidR="001140F3">
        <w:rPr>
          <w:rFonts w:ascii="Calibri" w:hAnsi="Calibri" w:cs="Calibri"/>
          <w:sz w:val="24"/>
          <w:szCs w:val="24"/>
        </w:rPr>
        <w:t>P</w:t>
      </w:r>
      <w:r w:rsidR="0052182E" w:rsidRPr="00D126A8">
        <w:rPr>
          <w:rFonts w:ascii="Calibri" w:hAnsi="Calibri" w:cs="Calibri"/>
          <w:sz w:val="24"/>
          <w:szCs w:val="24"/>
        </w:rPr>
        <w:t xml:space="preserve">ostup při výkonu akcionářských práv </w:t>
      </w:r>
      <w:r w:rsidR="00173368" w:rsidRPr="00D126A8">
        <w:rPr>
          <w:rFonts w:ascii="Calibri" w:hAnsi="Calibri" w:cs="Calibri"/>
          <w:sz w:val="24"/>
          <w:szCs w:val="24"/>
        </w:rPr>
        <w:t>byl</w:t>
      </w:r>
      <w:r w:rsidR="0052182E" w:rsidRPr="00D126A8">
        <w:rPr>
          <w:rFonts w:ascii="Calibri" w:hAnsi="Calibri" w:cs="Calibri"/>
          <w:sz w:val="24"/>
          <w:szCs w:val="24"/>
        </w:rPr>
        <w:t xml:space="preserve"> v kontrolovaném období </w:t>
      </w:r>
      <w:r w:rsidR="00173368" w:rsidRPr="00D126A8">
        <w:rPr>
          <w:rFonts w:ascii="Calibri" w:hAnsi="Calibri" w:cs="Calibri"/>
          <w:sz w:val="24"/>
          <w:szCs w:val="24"/>
        </w:rPr>
        <w:t xml:space="preserve">upraven </w:t>
      </w:r>
      <w:r w:rsidR="0052182E" w:rsidRPr="00D126A8">
        <w:rPr>
          <w:rFonts w:ascii="Calibri" w:hAnsi="Calibri" w:cs="Calibri"/>
          <w:sz w:val="24"/>
          <w:szCs w:val="24"/>
        </w:rPr>
        <w:t xml:space="preserve">dvěma </w:t>
      </w:r>
      <w:r w:rsidR="00173368" w:rsidRPr="00D126A8">
        <w:rPr>
          <w:rFonts w:ascii="Calibri" w:hAnsi="Calibri" w:cs="Calibri"/>
          <w:sz w:val="24"/>
          <w:szCs w:val="24"/>
        </w:rPr>
        <w:t>vnitřními předpisy</w:t>
      </w:r>
      <w:r w:rsidR="0052182E" w:rsidRPr="00D126A8">
        <w:rPr>
          <w:rFonts w:ascii="Calibri" w:hAnsi="Calibri" w:cs="Calibri"/>
          <w:sz w:val="24"/>
          <w:szCs w:val="24"/>
        </w:rPr>
        <w:t xml:space="preserve">, a to </w:t>
      </w:r>
      <w:r w:rsidR="00A8734E">
        <w:rPr>
          <w:rFonts w:ascii="Calibri" w:hAnsi="Calibri" w:cs="Calibri"/>
          <w:sz w:val="24"/>
          <w:szCs w:val="24"/>
        </w:rPr>
        <w:t>o</w:t>
      </w:r>
      <w:r w:rsidR="0052182E" w:rsidRPr="00D126A8">
        <w:rPr>
          <w:rFonts w:ascii="Calibri" w:hAnsi="Calibri" w:cs="Calibri"/>
          <w:sz w:val="24"/>
          <w:szCs w:val="24"/>
        </w:rPr>
        <w:t xml:space="preserve">patřením </w:t>
      </w:r>
      <w:r w:rsidR="00B401FB" w:rsidRPr="00D126A8">
        <w:rPr>
          <w:rFonts w:ascii="Calibri" w:hAnsi="Calibri" w:cs="Calibri"/>
          <w:sz w:val="24"/>
          <w:szCs w:val="24"/>
        </w:rPr>
        <w:t>č. 18/2010</w:t>
      </w:r>
      <w:r w:rsidR="00B401FB">
        <w:rPr>
          <w:rFonts w:ascii="Calibri" w:hAnsi="Calibri" w:cs="Calibri"/>
          <w:sz w:val="24"/>
          <w:szCs w:val="24"/>
          <w:vertAlign w:val="superscript"/>
        </w:rPr>
        <w:t>7</w:t>
      </w:r>
      <w:r w:rsidR="00B401FB" w:rsidRPr="00D126A8">
        <w:rPr>
          <w:rFonts w:ascii="Calibri" w:hAnsi="Calibri" w:cs="Calibri"/>
          <w:sz w:val="24"/>
          <w:szCs w:val="24"/>
        </w:rPr>
        <w:t xml:space="preserve"> </w:t>
      </w:r>
      <w:r w:rsidR="0052182E" w:rsidRPr="00D126A8">
        <w:rPr>
          <w:rFonts w:ascii="Calibri" w:hAnsi="Calibri" w:cs="Calibri"/>
          <w:sz w:val="24"/>
          <w:szCs w:val="24"/>
        </w:rPr>
        <w:t>ministra průmyslu a obchodu</w:t>
      </w:r>
      <w:r w:rsidR="00A8734E" w:rsidRPr="00A8734E">
        <w:rPr>
          <w:rFonts w:ascii="Calibri" w:hAnsi="Calibri" w:cs="Calibri"/>
          <w:sz w:val="24"/>
          <w:szCs w:val="24"/>
        </w:rPr>
        <w:t xml:space="preserve"> </w:t>
      </w:r>
      <w:r w:rsidR="0052182E" w:rsidRPr="00D126A8">
        <w:rPr>
          <w:rFonts w:ascii="Calibri" w:hAnsi="Calibri" w:cs="Calibri"/>
          <w:sz w:val="24"/>
          <w:szCs w:val="24"/>
        </w:rPr>
        <w:t>ze dne 29.</w:t>
      </w:r>
      <w:r w:rsidR="00D126A8">
        <w:rPr>
          <w:rFonts w:ascii="Calibri" w:hAnsi="Calibri" w:cs="Calibri"/>
          <w:sz w:val="24"/>
          <w:szCs w:val="24"/>
        </w:rPr>
        <w:t> </w:t>
      </w:r>
      <w:r w:rsidR="0052182E" w:rsidRPr="00D126A8">
        <w:rPr>
          <w:rFonts w:ascii="Calibri" w:hAnsi="Calibri" w:cs="Calibri"/>
          <w:sz w:val="24"/>
          <w:szCs w:val="24"/>
        </w:rPr>
        <w:t>11.</w:t>
      </w:r>
      <w:r w:rsidR="00D126A8">
        <w:rPr>
          <w:rFonts w:ascii="Calibri" w:hAnsi="Calibri" w:cs="Calibri"/>
          <w:sz w:val="24"/>
          <w:szCs w:val="24"/>
        </w:rPr>
        <w:t> </w:t>
      </w:r>
      <w:r w:rsidR="0052182E" w:rsidRPr="00D126A8">
        <w:rPr>
          <w:rFonts w:ascii="Calibri" w:hAnsi="Calibri" w:cs="Calibri"/>
          <w:sz w:val="24"/>
          <w:szCs w:val="24"/>
        </w:rPr>
        <w:t xml:space="preserve">2010 a </w:t>
      </w:r>
      <w:r w:rsidR="00A8734E">
        <w:rPr>
          <w:rFonts w:ascii="Calibri" w:hAnsi="Calibri" w:cs="Calibri"/>
          <w:sz w:val="24"/>
          <w:szCs w:val="24"/>
        </w:rPr>
        <w:t>o</w:t>
      </w:r>
      <w:r w:rsidR="0052182E" w:rsidRPr="00D126A8">
        <w:rPr>
          <w:rFonts w:ascii="Calibri" w:hAnsi="Calibri" w:cs="Calibri"/>
          <w:sz w:val="24"/>
          <w:szCs w:val="24"/>
        </w:rPr>
        <w:t xml:space="preserve">patřením </w:t>
      </w:r>
      <w:r w:rsidR="00B401FB" w:rsidRPr="00D126A8">
        <w:rPr>
          <w:rFonts w:ascii="Calibri" w:hAnsi="Calibri" w:cs="Calibri"/>
          <w:sz w:val="24"/>
          <w:szCs w:val="24"/>
        </w:rPr>
        <w:t>č. 20/2014</w:t>
      </w:r>
      <w:r w:rsidR="00B401FB">
        <w:rPr>
          <w:rFonts w:ascii="Calibri" w:hAnsi="Calibri" w:cs="Calibri"/>
          <w:sz w:val="24"/>
          <w:szCs w:val="24"/>
          <w:vertAlign w:val="superscript"/>
        </w:rPr>
        <w:t>8</w:t>
      </w:r>
      <w:r w:rsidR="00B401FB" w:rsidRPr="00D126A8">
        <w:rPr>
          <w:rFonts w:ascii="Calibri" w:hAnsi="Calibri" w:cs="Calibri"/>
          <w:sz w:val="24"/>
          <w:szCs w:val="24"/>
        </w:rPr>
        <w:t xml:space="preserve"> </w:t>
      </w:r>
      <w:r w:rsidR="0052182E" w:rsidRPr="00D126A8">
        <w:rPr>
          <w:rFonts w:ascii="Calibri" w:hAnsi="Calibri" w:cs="Calibri"/>
          <w:sz w:val="24"/>
          <w:szCs w:val="24"/>
        </w:rPr>
        <w:t>ministra průmyslu a obchodu</w:t>
      </w:r>
      <w:r w:rsidR="00A8734E" w:rsidRPr="00A8734E">
        <w:rPr>
          <w:rFonts w:ascii="Calibri" w:hAnsi="Calibri" w:cs="Calibri"/>
          <w:sz w:val="24"/>
          <w:szCs w:val="24"/>
        </w:rPr>
        <w:t xml:space="preserve"> </w:t>
      </w:r>
      <w:r w:rsidR="0052182E" w:rsidRPr="00D126A8">
        <w:rPr>
          <w:rFonts w:ascii="Calibri" w:hAnsi="Calibri" w:cs="Calibri"/>
          <w:sz w:val="24"/>
          <w:szCs w:val="24"/>
        </w:rPr>
        <w:t>ze dne 10. 10. 2014.</w:t>
      </w:r>
      <w:r w:rsidR="00255C92" w:rsidRPr="00D126A8">
        <w:rPr>
          <w:rFonts w:ascii="Calibri" w:hAnsi="Calibri" w:cs="Calibri"/>
          <w:sz w:val="24"/>
          <w:szCs w:val="24"/>
        </w:rPr>
        <w:t xml:space="preserve"> </w:t>
      </w:r>
    </w:p>
    <w:p w14:paraId="7B2F2F81" w14:textId="77777777" w:rsidR="00255C92" w:rsidRPr="00D126A8" w:rsidRDefault="00255C92" w:rsidP="00255C92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5C3E696A" w14:textId="5F0EACC9" w:rsidR="0047217A" w:rsidRPr="0089551F" w:rsidRDefault="00243E60" w:rsidP="002E4156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26A8">
        <w:rPr>
          <w:rFonts w:cstheme="minorHAnsi"/>
          <w:b/>
          <w:sz w:val="24"/>
          <w:szCs w:val="24"/>
          <w:lang w:eastAsia="cs-CZ"/>
        </w:rPr>
        <w:t>MZe</w:t>
      </w:r>
      <w:r w:rsidRPr="00D126A8">
        <w:rPr>
          <w:rFonts w:cstheme="minorHAnsi"/>
          <w:sz w:val="24"/>
          <w:szCs w:val="24"/>
          <w:lang w:eastAsia="cs-CZ"/>
        </w:rPr>
        <w:t xml:space="preserve"> </w:t>
      </w:r>
      <w:r w:rsidR="00592C74" w:rsidRPr="00D126A8">
        <w:rPr>
          <w:rFonts w:cstheme="minorHAnsi"/>
          <w:sz w:val="24"/>
          <w:szCs w:val="24"/>
          <w:lang w:eastAsia="cs-CZ"/>
        </w:rPr>
        <w:t>v</w:t>
      </w:r>
      <w:r w:rsidR="00E6686F" w:rsidRPr="00D126A8">
        <w:rPr>
          <w:rFonts w:cstheme="minorHAnsi"/>
          <w:sz w:val="24"/>
          <w:szCs w:val="24"/>
        </w:rPr>
        <w:t xml:space="preserve"> kontrolovaném období </w:t>
      </w:r>
      <w:r w:rsidR="00F72FE1" w:rsidRPr="00D126A8">
        <w:rPr>
          <w:rFonts w:cstheme="minorHAnsi"/>
          <w:sz w:val="24"/>
          <w:szCs w:val="24"/>
        </w:rPr>
        <w:t>upravovalo</w:t>
      </w:r>
      <w:r w:rsidR="001C3008" w:rsidRPr="00D126A8">
        <w:rPr>
          <w:rFonts w:cstheme="minorHAnsi"/>
          <w:sz w:val="24"/>
          <w:szCs w:val="24"/>
        </w:rPr>
        <w:t xml:space="preserve"> </w:t>
      </w:r>
      <w:r w:rsidR="00F72FE1" w:rsidRPr="00D126A8">
        <w:rPr>
          <w:rFonts w:cstheme="minorHAnsi"/>
          <w:sz w:val="24"/>
          <w:szCs w:val="24"/>
        </w:rPr>
        <w:t xml:space="preserve">postupy </w:t>
      </w:r>
      <w:r w:rsidR="001140F3">
        <w:rPr>
          <w:rFonts w:cstheme="minorHAnsi"/>
          <w:sz w:val="24"/>
          <w:szCs w:val="24"/>
        </w:rPr>
        <w:t>pro výkon</w:t>
      </w:r>
      <w:r w:rsidR="00F72FE1" w:rsidRPr="00D126A8">
        <w:rPr>
          <w:rFonts w:cstheme="minorHAnsi"/>
          <w:sz w:val="24"/>
          <w:szCs w:val="24"/>
        </w:rPr>
        <w:t xml:space="preserve"> akcionářských práv dvěma </w:t>
      </w:r>
      <w:r w:rsidR="00E6686F" w:rsidRPr="00D126A8">
        <w:rPr>
          <w:rFonts w:cstheme="minorHAnsi"/>
          <w:sz w:val="24"/>
          <w:szCs w:val="24"/>
        </w:rPr>
        <w:t>vnitřními předpisy</w:t>
      </w:r>
      <w:r w:rsidR="00F72FE1" w:rsidRPr="00D126A8">
        <w:rPr>
          <w:rFonts w:cstheme="minorHAnsi"/>
          <w:sz w:val="24"/>
          <w:szCs w:val="24"/>
        </w:rPr>
        <w:t xml:space="preserve">, a to </w:t>
      </w:r>
      <w:r w:rsidR="00A8734E">
        <w:rPr>
          <w:rFonts w:cstheme="minorHAnsi"/>
          <w:sz w:val="24"/>
          <w:szCs w:val="24"/>
        </w:rPr>
        <w:t>o</w:t>
      </w:r>
      <w:r w:rsidR="00F72FE1" w:rsidRPr="00D126A8">
        <w:rPr>
          <w:rFonts w:cstheme="minorHAnsi"/>
          <w:sz w:val="24"/>
          <w:szCs w:val="24"/>
        </w:rPr>
        <w:t>patřením ministra zemědělství</w:t>
      </w:r>
      <w:r w:rsidR="00941C63" w:rsidRPr="00D126A8">
        <w:rPr>
          <w:rStyle w:val="Znakapoznpodarou"/>
          <w:rFonts w:cstheme="minorHAnsi"/>
          <w:sz w:val="24"/>
          <w:szCs w:val="24"/>
        </w:rPr>
        <w:footnoteReference w:id="16"/>
      </w:r>
      <w:r w:rsidR="00F72FE1" w:rsidRPr="00D126A8">
        <w:rPr>
          <w:rFonts w:cstheme="minorHAnsi"/>
          <w:sz w:val="24"/>
          <w:szCs w:val="24"/>
        </w:rPr>
        <w:t xml:space="preserve"> a </w:t>
      </w:r>
      <w:r w:rsidR="00A8734E">
        <w:rPr>
          <w:rFonts w:cstheme="minorHAnsi"/>
          <w:sz w:val="24"/>
          <w:szCs w:val="24"/>
        </w:rPr>
        <w:t>p</w:t>
      </w:r>
      <w:r w:rsidR="00F72FE1" w:rsidRPr="00D126A8">
        <w:rPr>
          <w:rFonts w:cstheme="minorHAnsi"/>
          <w:sz w:val="24"/>
          <w:szCs w:val="24"/>
        </w:rPr>
        <w:t>říkazem ministra zemědělství č.</w:t>
      </w:r>
      <w:r w:rsidR="00D126A8">
        <w:rPr>
          <w:rFonts w:cstheme="minorHAnsi"/>
          <w:sz w:val="24"/>
          <w:szCs w:val="24"/>
        </w:rPr>
        <w:t> </w:t>
      </w:r>
      <w:r w:rsidR="00F72FE1" w:rsidRPr="0089551F">
        <w:rPr>
          <w:rFonts w:cstheme="minorHAnsi"/>
          <w:sz w:val="24"/>
          <w:szCs w:val="24"/>
        </w:rPr>
        <w:t>5/2011</w:t>
      </w:r>
      <w:r w:rsidR="00BF5235">
        <w:rPr>
          <w:rFonts w:cstheme="minorHAnsi"/>
          <w:sz w:val="24"/>
          <w:szCs w:val="24"/>
          <w:vertAlign w:val="superscript"/>
        </w:rPr>
        <w:t>9</w:t>
      </w:r>
      <w:r w:rsidR="003751EE" w:rsidRPr="0089551F">
        <w:rPr>
          <w:rFonts w:cstheme="minorHAnsi"/>
          <w:sz w:val="24"/>
          <w:szCs w:val="24"/>
        </w:rPr>
        <w:t>.</w:t>
      </w:r>
      <w:r w:rsidR="00E6686F" w:rsidRPr="0089551F">
        <w:rPr>
          <w:rFonts w:cstheme="minorHAnsi"/>
          <w:sz w:val="24"/>
          <w:szCs w:val="24"/>
        </w:rPr>
        <w:t xml:space="preserve"> </w:t>
      </w:r>
      <w:r w:rsidR="003751EE" w:rsidRPr="0089551F">
        <w:rPr>
          <w:rFonts w:cstheme="minorHAnsi"/>
          <w:sz w:val="24"/>
          <w:szCs w:val="24"/>
        </w:rPr>
        <w:t>Opatření ministra zemědělství</w:t>
      </w:r>
      <w:r w:rsidR="002762FF">
        <w:rPr>
          <w:rFonts w:cstheme="minorHAnsi"/>
          <w:sz w:val="24"/>
          <w:szCs w:val="24"/>
          <w:vertAlign w:val="superscript"/>
        </w:rPr>
        <w:t>1</w:t>
      </w:r>
      <w:r w:rsidR="00BF5235">
        <w:rPr>
          <w:rFonts w:cstheme="minorHAnsi"/>
          <w:sz w:val="24"/>
          <w:szCs w:val="24"/>
          <w:vertAlign w:val="superscript"/>
        </w:rPr>
        <w:t>4</w:t>
      </w:r>
      <w:r w:rsidR="003751EE" w:rsidRPr="0089551F">
        <w:rPr>
          <w:rFonts w:cstheme="minorHAnsi"/>
          <w:sz w:val="24"/>
          <w:szCs w:val="24"/>
        </w:rPr>
        <w:t xml:space="preserve"> bylo vydáno v roce 2008,</w:t>
      </w:r>
      <w:r w:rsidR="00E6686F" w:rsidRPr="0089551F">
        <w:rPr>
          <w:rFonts w:cstheme="minorHAnsi"/>
          <w:sz w:val="24"/>
          <w:szCs w:val="24"/>
        </w:rPr>
        <w:t xml:space="preserve"> MZe </w:t>
      </w:r>
      <w:r w:rsidR="003751EE" w:rsidRPr="0089551F">
        <w:rPr>
          <w:rFonts w:cstheme="minorHAnsi"/>
          <w:sz w:val="24"/>
          <w:szCs w:val="24"/>
        </w:rPr>
        <w:t>jej</w:t>
      </w:r>
      <w:r w:rsidR="00E6686F" w:rsidRPr="0089551F">
        <w:rPr>
          <w:rFonts w:cstheme="minorHAnsi"/>
          <w:sz w:val="24"/>
          <w:szCs w:val="24"/>
        </w:rPr>
        <w:t xml:space="preserve"> neaktualizovalo, přestože </w:t>
      </w:r>
      <w:r w:rsidR="003751EE" w:rsidRPr="0089551F">
        <w:rPr>
          <w:rFonts w:cstheme="minorHAnsi"/>
          <w:sz w:val="24"/>
          <w:szCs w:val="24"/>
        </w:rPr>
        <w:t xml:space="preserve">v průběhu let </w:t>
      </w:r>
      <w:r w:rsidR="00E6686F" w:rsidRPr="0089551F">
        <w:rPr>
          <w:rFonts w:cstheme="minorHAnsi"/>
          <w:sz w:val="24"/>
          <w:szCs w:val="24"/>
        </w:rPr>
        <w:t>došlo k</w:t>
      </w:r>
      <w:r w:rsidR="003751EE" w:rsidRPr="0089551F">
        <w:rPr>
          <w:rFonts w:cstheme="minorHAnsi"/>
          <w:sz w:val="24"/>
          <w:szCs w:val="24"/>
        </w:rPr>
        <w:t>e změnám</w:t>
      </w:r>
      <w:r w:rsidR="00307745">
        <w:rPr>
          <w:rFonts w:cstheme="minorHAnsi"/>
          <w:sz w:val="24"/>
          <w:szCs w:val="24"/>
        </w:rPr>
        <w:t xml:space="preserve"> </w:t>
      </w:r>
      <w:r w:rsidR="00E6686F" w:rsidRPr="0089551F">
        <w:rPr>
          <w:rFonts w:cstheme="minorHAnsi"/>
          <w:sz w:val="24"/>
          <w:szCs w:val="24"/>
        </w:rPr>
        <w:t>požadavků na výkon akcionářských práv</w:t>
      </w:r>
      <w:r w:rsidR="001411B2" w:rsidRPr="0089551F">
        <w:rPr>
          <w:rFonts w:cstheme="minorHAnsi"/>
          <w:sz w:val="24"/>
          <w:szCs w:val="24"/>
        </w:rPr>
        <w:t xml:space="preserve"> a </w:t>
      </w:r>
      <w:r w:rsidR="00095106">
        <w:rPr>
          <w:rFonts w:cstheme="minorHAnsi"/>
          <w:sz w:val="24"/>
          <w:szCs w:val="24"/>
        </w:rPr>
        <w:t>přesto</w:t>
      </w:r>
      <w:r w:rsidR="00E6686F" w:rsidRPr="0089551F">
        <w:rPr>
          <w:rFonts w:cstheme="minorHAnsi"/>
          <w:sz w:val="24"/>
          <w:szCs w:val="24"/>
        </w:rPr>
        <w:t>že majetkové účasti ve</w:t>
      </w:r>
      <w:r w:rsidR="00C55C3B">
        <w:rPr>
          <w:rFonts w:cstheme="minorHAnsi"/>
          <w:sz w:val="24"/>
          <w:szCs w:val="24"/>
        </w:rPr>
        <w:t xml:space="preserve"> </w:t>
      </w:r>
      <w:r w:rsidR="00E6686F" w:rsidRPr="0089551F">
        <w:rPr>
          <w:rFonts w:cstheme="minorHAnsi"/>
          <w:sz w:val="24"/>
          <w:szCs w:val="24"/>
        </w:rPr>
        <w:t>společnostech</w:t>
      </w:r>
      <w:r w:rsidR="001C3008" w:rsidRPr="0089551F">
        <w:rPr>
          <w:rFonts w:cstheme="minorHAnsi"/>
          <w:sz w:val="24"/>
          <w:szCs w:val="24"/>
        </w:rPr>
        <w:t>, na něž se tento předpis vztahuje,</w:t>
      </w:r>
      <w:r w:rsidR="00E6686F" w:rsidRPr="0089551F">
        <w:rPr>
          <w:rFonts w:cstheme="minorHAnsi"/>
          <w:sz w:val="24"/>
          <w:szCs w:val="24"/>
        </w:rPr>
        <w:t xml:space="preserve"> považuje MZe za strategické.</w:t>
      </w:r>
    </w:p>
    <w:p w14:paraId="104E2121" w14:textId="5107971A" w:rsidR="0047217A" w:rsidRPr="002762FF" w:rsidRDefault="006629E0" w:rsidP="00F4235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2FF">
        <w:rPr>
          <w:rFonts w:cstheme="minorHAnsi"/>
          <w:b/>
          <w:sz w:val="24"/>
          <w:szCs w:val="24"/>
          <w:lang w:eastAsia="cs-CZ"/>
        </w:rPr>
        <w:lastRenderedPageBreak/>
        <w:t xml:space="preserve">3.2 </w:t>
      </w:r>
      <w:r w:rsidR="001140F3">
        <w:rPr>
          <w:rFonts w:cstheme="minorHAnsi"/>
          <w:b/>
          <w:sz w:val="24"/>
          <w:szCs w:val="24"/>
          <w:lang w:eastAsia="cs-CZ"/>
        </w:rPr>
        <w:t>Nominace</w:t>
      </w:r>
      <w:r w:rsidR="00173368" w:rsidRPr="002762FF">
        <w:rPr>
          <w:rFonts w:cstheme="minorHAnsi"/>
          <w:b/>
          <w:sz w:val="24"/>
          <w:szCs w:val="24"/>
          <w:lang w:eastAsia="cs-CZ"/>
        </w:rPr>
        <w:t xml:space="preserve"> </w:t>
      </w:r>
      <w:r w:rsidR="0047217A" w:rsidRPr="002762FF">
        <w:rPr>
          <w:rFonts w:cstheme="minorHAnsi"/>
          <w:b/>
          <w:sz w:val="24"/>
          <w:szCs w:val="24"/>
          <w:lang w:eastAsia="cs-CZ"/>
        </w:rPr>
        <w:t>zástupců státu do orgánů obchodních společností</w:t>
      </w:r>
    </w:p>
    <w:p w14:paraId="2059997A" w14:textId="77777777" w:rsidR="00CC2CC4" w:rsidRDefault="00CC2CC4" w:rsidP="0047217A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b/>
        </w:rPr>
      </w:pPr>
    </w:p>
    <w:p w14:paraId="6F29C797" w14:textId="460FB1F0" w:rsidR="0047217A" w:rsidRPr="00D14358" w:rsidRDefault="0047217A" w:rsidP="0047217A">
      <w:pPr>
        <w:pStyle w:val="Odstavecseseznamem"/>
        <w:autoSpaceDE w:val="0"/>
        <w:autoSpaceDN w:val="0"/>
        <w:adjustRightInd w:val="0"/>
        <w:ind w:left="0"/>
        <w:jc w:val="both"/>
        <w:rPr>
          <w:rFonts w:asciiTheme="minorHAnsi" w:hAnsiTheme="minorHAnsi" w:cstheme="minorHAnsi"/>
          <w:lang w:eastAsia="cs-CZ"/>
        </w:rPr>
      </w:pPr>
      <w:r w:rsidRPr="00D126A8">
        <w:rPr>
          <w:rFonts w:asciiTheme="minorHAnsi" w:hAnsiTheme="minorHAnsi" w:cstheme="minorHAnsi"/>
          <w:b/>
        </w:rPr>
        <w:t>MF</w:t>
      </w:r>
      <w:r w:rsidRPr="00D126A8">
        <w:rPr>
          <w:rFonts w:asciiTheme="minorHAnsi" w:hAnsiTheme="minorHAnsi" w:cstheme="minorHAnsi"/>
        </w:rPr>
        <w:t xml:space="preserve"> </w:t>
      </w:r>
      <w:r w:rsidR="00592C74" w:rsidRPr="00D126A8">
        <w:rPr>
          <w:rFonts w:asciiTheme="minorHAnsi" w:hAnsiTheme="minorHAnsi" w:cstheme="minorHAnsi"/>
        </w:rPr>
        <w:t>–</w:t>
      </w:r>
      <w:r w:rsidRPr="00D126A8">
        <w:rPr>
          <w:rFonts w:asciiTheme="minorHAnsi" w:hAnsiTheme="minorHAnsi" w:cstheme="minorHAnsi"/>
        </w:rPr>
        <w:t xml:space="preserve"> </w:t>
      </w:r>
      <w:r w:rsidR="001140F3">
        <w:rPr>
          <w:rFonts w:asciiTheme="minorHAnsi" w:hAnsiTheme="minorHAnsi" w:cstheme="minorHAnsi"/>
        </w:rPr>
        <w:t>O</w:t>
      </w:r>
      <w:r w:rsidR="00592C74" w:rsidRPr="00D126A8">
        <w:rPr>
          <w:rFonts w:asciiTheme="minorHAnsi" w:hAnsiTheme="minorHAnsi" w:cstheme="minorHAnsi"/>
        </w:rPr>
        <w:t xml:space="preserve"> </w:t>
      </w:r>
      <w:r w:rsidRPr="00D126A8">
        <w:rPr>
          <w:rFonts w:asciiTheme="minorHAnsi" w:hAnsiTheme="minorHAnsi" w:cstheme="minorHAnsi"/>
          <w:lang w:eastAsia="cs-CZ"/>
        </w:rPr>
        <w:t>osobách, které mají být jako zástupci státu, resp. ministerstva</w:t>
      </w:r>
      <w:r w:rsidR="001140F3">
        <w:rPr>
          <w:rFonts w:asciiTheme="minorHAnsi" w:hAnsiTheme="minorHAnsi" w:cstheme="minorHAnsi"/>
          <w:lang w:eastAsia="cs-CZ"/>
        </w:rPr>
        <w:t>,</w:t>
      </w:r>
      <w:r w:rsidRPr="00D126A8">
        <w:rPr>
          <w:rFonts w:asciiTheme="minorHAnsi" w:hAnsiTheme="minorHAnsi" w:cstheme="minorHAnsi"/>
          <w:lang w:eastAsia="cs-CZ"/>
        </w:rPr>
        <w:t xml:space="preserve"> zvoleny do statutárních </w:t>
      </w:r>
      <w:r w:rsidRPr="002762FF">
        <w:rPr>
          <w:rFonts w:asciiTheme="minorHAnsi" w:hAnsiTheme="minorHAnsi" w:cstheme="minorHAnsi"/>
          <w:lang w:eastAsia="cs-CZ"/>
        </w:rPr>
        <w:t>orgánů společností s majetkovou účastí státu nebo z těchto orgánů odvolány, rozhoduje ministr financí.</w:t>
      </w:r>
      <w:r w:rsidR="001140F3">
        <w:rPr>
          <w:rFonts w:asciiTheme="minorHAnsi" w:hAnsiTheme="minorHAnsi" w:cstheme="minorHAnsi"/>
          <w:lang w:eastAsia="cs-CZ"/>
        </w:rPr>
        <w:t xml:space="preserve"> </w:t>
      </w:r>
      <w:r w:rsidR="00F6480C" w:rsidRPr="002762FF">
        <w:rPr>
          <w:rFonts w:asciiTheme="minorHAnsi" w:hAnsiTheme="minorHAnsi" w:cstheme="minorHAnsi"/>
          <w:lang w:eastAsia="cs-CZ"/>
        </w:rPr>
        <w:t>P</w:t>
      </w:r>
      <w:r w:rsidRPr="002762FF">
        <w:rPr>
          <w:rFonts w:asciiTheme="minorHAnsi" w:hAnsiTheme="minorHAnsi" w:cstheme="minorHAnsi"/>
          <w:lang w:eastAsia="cs-CZ"/>
        </w:rPr>
        <w:t xml:space="preserve">ro osoby, které jsou ministrem financí </w:t>
      </w:r>
      <w:r w:rsidR="001140F3">
        <w:rPr>
          <w:rFonts w:asciiTheme="minorHAnsi" w:hAnsiTheme="minorHAnsi" w:cstheme="minorHAnsi"/>
          <w:lang w:eastAsia="cs-CZ"/>
        </w:rPr>
        <w:t>navrženy</w:t>
      </w:r>
      <w:r w:rsidRPr="002762FF">
        <w:rPr>
          <w:rFonts w:asciiTheme="minorHAnsi" w:hAnsiTheme="minorHAnsi" w:cstheme="minorHAnsi"/>
          <w:lang w:eastAsia="cs-CZ"/>
        </w:rPr>
        <w:t xml:space="preserve"> do funkce zástupce ministerstva ve statutárních orgánech společností s majetkovou účastí státu, jsou stanoveny určité </w:t>
      </w:r>
      <w:r w:rsidRPr="00D14358">
        <w:rPr>
          <w:rFonts w:asciiTheme="minorHAnsi" w:hAnsiTheme="minorHAnsi" w:cstheme="minorHAnsi"/>
          <w:lang w:eastAsia="cs-CZ"/>
        </w:rPr>
        <w:t xml:space="preserve">podmínky, které tyto osoby musí splňovat, a to zejména zákonem stanovené podmínky pro volbu do orgánů společností a další podmínky </w:t>
      </w:r>
      <w:r w:rsidR="009902F2" w:rsidRPr="00D14358">
        <w:rPr>
          <w:rFonts w:asciiTheme="minorHAnsi" w:hAnsiTheme="minorHAnsi" w:cstheme="minorHAnsi"/>
          <w:lang w:eastAsia="cs-CZ"/>
        </w:rPr>
        <w:t>–</w:t>
      </w:r>
      <w:r w:rsidRPr="00D14358">
        <w:rPr>
          <w:rFonts w:asciiTheme="minorHAnsi" w:hAnsiTheme="minorHAnsi" w:cstheme="minorHAnsi"/>
          <w:lang w:eastAsia="cs-CZ"/>
        </w:rPr>
        <w:t xml:space="preserve"> odborná způsobilost</w:t>
      </w:r>
      <w:r w:rsidR="002D31C6" w:rsidRPr="00D14358">
        <w:rPr>
          <w:rFonts w:asciiTheme="minorHAnsi" w:hAnsiTheme="minorHAnsi" w:cstheme="minorHAnsi"/>
          <w:lang w:eastAsia="cs-CZ"/>
        </w:rPr>
        <w:t xml:space="preserve"> a</w:t>
      </w:r>
      <w:r w:rsidR="001140F3">
        <w:rPr>
          <w:rFonts w:asciiTheme="minorHAnsi" w:hAnsiTheme="minorHAnsi" w:cstheme="minorHAnsi"/>
          <w:lang w:eastAsia="cs-CZ"/>
        </w:rPr>
        <w:t> </w:t>
      </w:r>
      <w:r w:rsidR="002D31C6" w:rsidRPr="00D14358">
        <w:rPr>
          <w:rFonts w:asciiTheme="minorHAnsi" w:hAnsiTheme="minorHAnsi" w:cstheme="minorHAnsi"/>
          <w:lang w:eastAsia="cs-CZ"/>
        </w:rPr>
        <w:t>vyplnění čestných prohlášení</w:t>
      </w:r>
      <w:r w:rsidR="00F654DF" w:rsidRPr="00D14358">
        <w:rPr>
          <w:rFonts w:asciiTheme="minorHAnsi" w:hAnsiTheme="minorHAnsi" w:cstheme="minorHAnsi"/>
          <w:lang w:eastAsia="cs-CZ"/>
        </w:rPr>
        <w:t xml:space="preserve">, v případě </w:t>
      </w:r>
      <w:r w:rsidR="00E271C0" w:rsidRPr="00D14358">
        <w:rPr>
          <w:rFonts w:asciiTheme="minorHAnsi" w:hAnsiTheme="minorHAnsi" w:cstheme="minorHAnsi"/>
          <w:lang w:eastAsia="cs-CZ"/>
        </w:rPr>
        <w:t xml:space="preserve">návrhu zástupce </w:t>
      </w:r>
      <w:r w:rsidR="00F654DF" w:rsidRPr="00D14358">
        <w:rPr>
          <w:rFonts w:asciiTheme="minorHAnsi" w:hAnsiTheme="minorHAnsi" w:cstheme="minorHAnsi"/>
          <w:lang w:eastAsia="cs-CZ"/>
        </w:rPr>
        <w:t xml:space="preserve">do dozorčí rady také </w:t>
      </w:r>
      <w:r w:rsidR="009D4621" w:rsidRPr="00D14358">
        <w:rPr>
          <w:rFonts w:asciiTheme="minorHAnsi" w:hAnsiTheme="minorHAnsi" w:cstheme="minorHAnsi"/>
          <w:lang w:eastAsia="cs-CZ"/>
        </w:rPr>
        <w:t xml:space="preserve">jeho </w:t>
      </w:r>
      <w:r w:rsidR="00F654DF" w:rsidRPr="00D14358">
        <w:rPr>
          <w:rFonts w:asciiTheme="minorHAnsi" w:hAnsiTheme="minorHAnsi" w:cstheme="minorHAnsi"/>
          <w:lang w:eastAsia="cs-CZ"/>
        </w:rPr>
        <w:t>kladné posouzení Vládním výborem pro personální nom</w:t>
      </w:r>
      <w:r w:rsidR="00C22C3D" w:rsidRPr="00D14358">
        <w:rPr>
          <w:rFonts w:asciiTheme="minorHAnsi" w:hAnsiTheme="minorHAnsi" w:cstheme="minorHAnsi"/>
          <w:lang w:eastAsia="cs-CZ"/>
        </w:rPr>
        <w:t>inace</w:t>
      </w:r>
      <w:r w:rsidR="0003556C" w:rsidRPr="00D14358">
        <w:rPr>
          <w:rStyle w:val="Znakapoznpodarou"/>
          <w:rFonts w:asciiTheme="minorHAnsi" w:hAnsiTheme="minorHAnsi" w:cstheme="minorHAnsi"/>
          <w:lang w:eastAsia="cs-CZ"/>
        </w:rPr>
        <w:footnoteReference w:id="17"/>
      </w:r>
      <w:r w:rsidRPr="00D14358">
        <w:rPr>
          <w:rFonts w:asciiTheme="minorHAnsi" w:hAnsiTheme="minorHAnsi" w:cstheme="minorHAnsi"/>
          <w:lang w:eastAsia="cs-CZ"/>
        </w:rPr>
        <w:t xml:space="preserve">. Pro posouzení odborné způsobilosti však MF </w:t>
      </w:r>
      <w:r w:rsidR="00E65550" w:rsidRPr="00D14358">
        <w:rPr>
          <w:rFonts w:asciiTheme="minorHAnsi" w:hAnsiTheme="minorHAnsi" w:cstheme="minorHAnsi"/>
          <w:lang w:eastAsia="cs-CZ"/>
        </w:rPr>
        <w:t>nemělo</w:t>
      </w:r>
      <w:r w:rsidRPr="00D14358">
        <w:rPr>
          <w:rFonts w:asciiTheme="minorHAnsi" w:hAnsiTheme="minorHAnsi" w:cstheme="minorHAnsi"/>
          <w:lang w:eastAsia="cs-CZ"/>
        </w:rPr>
        <w:t xml:space="preserve">, </w:t>
      </w:r>
      <w:r w:rsidRPr="0089551F">
        <w:rPr>
          <w:rFonts w:asciiTheme="minorHAnsi" w:hAnsiTheme="minorHAnsi" w:cstheme="minorHAnsi"/>
          <w:lang w:eastAsia="cs-CZ"/>
        </w:rPr>
        <w:t xml:space="preserve">kromě ve směrnicích citovaných a do značné míry obecných požadavků (osoby jsou odborně </w:t>
      </w:r>
      <w:r w:rsidRPr="00D14358">
        <w:rPr>
          <w:rFonts w:asciiTheme="minorHAnsi" w:hAnsiTheme="minorHAnsi" w:cstheme="minorHAnsi"/>
          <w:lang w:eastAsia="cs-CZ"/>
        </w:rPr>
        <w:t>způsobilé, prokázaly praxi při správě majetku, majetkových účastí a při řízení obchodních společností, mají znalost základních ekonomických kategorií, orientují se v účetní závěrce, znají právo obchodních společností), stanovena podrobnější kritéria, jejichž plnění by</w:t>
      </w:r>
      <w:r w:rsidR="003D13AC" w:rsidRPr="00D14358">
        <w:rPr>
          <w:rFonts w:asciiTheme="minorHAnsi" w:hAnsiTheme="minorHAnsi" w:cstheme="minorHAnsi"/>
          <w:lang w:eastAsia="cs-CZ"/>
        </w:rPr>
        <w:t xml:space="preserve"> u</w:t>
      </w:r>
      <w:r w:rsidR="00B36DAC" w:rsidRPr="00D14358">
        <w:rPr>
          <w:rFonts w:asciiTheme="minorHAnsi" w:hAnsiTheme="minorHAnsi" w:cstheme="minorHAnsi"/>
          <w:lang w:eastAsia="cs-CZ"/>
        </w:rPr>
        <w:t> </w:t>
      </w:r>
      <w:r w:rsidR="003D13AC" w:rsidRPr="00D14358">
        <w:rPr>
          <w:rFonts w:asciiTheme="minorHAnsi" w:hAnsiTheme="minorHAnsi" w:cstheme="minorHAnsi"/>
          <w:lang w:eastAsia="cs-CZ"/>
        </w:rPr>
        <w:t>navrhovaných osob</w:t>
      </w:r>
      <w:r w:rsidRPr="00D14358">
        <w:rPr>
          <w:rFonts w:asciiTheme="minorHAnsi" w:hAnsiTheme="minorHAnsi" w:cstheme="minorHAnsi"/>
          <w:lang w:eastAsia="cs-CZ"/>
        </w:rPr>
        <w:t xml:space="preserve"> hodnotilo. </w:t>
      </w:r>
      <w:r w:rsidR="001140F3">
        <w:rPr>
          <w:rFonts w:asciiTheme="minorHAnsi" w:hAnsiTheme="minorHAnsi" w:cstheme="minorHAnsi"/>
          <w:lang w:eastAsia="cs-CZ"/>
        </w:rPr>
        <w:t>MF</w:t>
      </w:r>
      <w:r w:rsidRPr="00D14358">
        <w:rPr>
          <w:rFonts w:asciiTheme="minorHAnsi" w:hAnsiTheme="minorHAnsi" w:cstheme="minorHAnsi"/>
          <w:lang w:eastAsia="cs-CZ"/>
        </w:rPr>
        <w:t xml:space="preserve"> </w:t>
      </w:r>
      <w:r w:rsidR="00E65550" w:rsidRPr="00D14358">
        <w:rPr>
          <w:rFonts w:asciiTheme="minorHAnsi" w:hAnsiTheme="minorHAnsi" w:cstheme="minorHAnsi"/>
          <w:lang w:eastAsia="cs-CZ"/>
        </w:rPr>
        <w:t>nemělo</w:t>
      </w:r>
      <w:r w:rsidRPr="00D14358">
        <w:rPr>
          <w:rFonts w:asciiTheme="minorHAnsi" w:hAnsiTheme="minorHAnsi" w:cstheme="minorHAnsi"/>
          <w:lang w:eastAsia="cs-CZ"/>
        </w:rPr>
        <w:t xml:space="preserve"> stanovena ani </w:t>
      </w:r>
      <w:r w:rsidR="001140F3">
        <w:rPr>
          <w:rFonts w:asciiTheme="minorHAnsi" w:hAnsiTheme="minorHAnsi" w:cstheme="minorHAnsi"/>
          <w:lang w:eastAsia="cs-CZ"/>
        </w:rPr>
        <w:t xml:space="preserve">kritéria </w:t>
      </w:r>
      <w:r w:rsidRPr="00D14358">
        <w:rPr>
          <w:rFonts w:asciiTheme="minorHAnsi" w:hAnsiTheme="minorHAnsi" w:cstheme="minorHAnsi"/>
          <w:lang w:eastAsia="cs-CZ"/>
        </w:rPr>
        <w:t xml:space="preserve">pro odvolávání zástupců státu z orgánů společností. </w:t>
      </w:r>
    </w:p>
    <w:p w14:paraId="30DADE92" w14:textId="77777777" w:rsidR="0047217A" w:rsidRPr="0089551F" w:rsidRDefault="0047217A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7996479" w14:textId="7C709502" w:rsidR="00B066DC" w:rsidRPr="0089551F" w:rsidRDefault="00B066DC" w:rsidP="00B066DC">
      <w:pPr>
        <w:spacing w:after="0" w:line="240" w:lineRule="auto"/>
        <w:jc w:val="both"/>
        <w:rPr>
          <w:sz w:val="24"/>
          <w:szCs w:val="24"/>
        </w:rPr>
      </w:pPr>
      <w:r w:rsidRPr="000A7AEE">
        <w:rPr>
          <w:b/>
          <w:sz w:val="24"/>
          <w:szCs w:val="24"/>
        </w:rPr>
        <w:t>MPO</w:t>
      </w:r>
      <w:r w:rsidRPr="0089551F">
        <w:rPr>
          <w:sz w:val="24"/>
          <w:szCs w:val="24"/>
        </w:rPr>
        <w:t xml:space="preserve"> </w:t>
      </w:r>
      <w:r w:rsidR="002527BD">
        <w:rPr>
          <w:sz w:val="24"/>
          <w:szCs w:val="24"/>
        </w:rPr>
        <w:t xml:space="preserve">uvedlo </w:t>
      </w:r>
      <w:r w:rsidRPr="0089551F">
        <w:rPr>
          <w:sz w:val="24"/>
          <w:szCs w:val="24"/>
        </w:rPr>
        <w:t>ve vnitřních předpisech obecná kritéria, kter</w:t>
      </w:r>
      <w:r w:rsidR="003D13AC">
        <w:rPr>
          <w:color w:val="7030A0"/>
          <w:sz w:val="24"/>
          <w:szCs w:val="24"/>
        </w:rPr>
        <w:t>á</w:t>
      </w:r>
      <w:r w:rsidRPr="0089551F">
        <w:rPr>
          <w:sz w:val="24"/>
          <w:szCs w:val="24"/>
        </w:rPr>
        <w:t xml:space="preserve"> musí splnit jednotlivé osoby </w:t>
      </w:r>
      <w:r w:rsidR="002527BD">
        <w:rPr>
          <w:sz w:val="24"/>
          <w:szCs w:val="24"/>
        </w:rPr>
        <w:t>navržené</w:t>
      </w:r>
      <w:r w:rsidRPr="0089551F">
        <w:rPr>
          <w:sz w:val="24"/>
          <w:szCs w:val="24"/>
        </w:rPr>
        <w:t xml:space="preserve"> do funkce zástupce ministerstva v orgánech společností. Návrhy</w:t>
      </w:r>
      <w:r w:rsidR="00307745">
        <w:rPr>
          <w:sz w:val="24"/>
          <w:szCs w:val="24"/>
        </w:rPr>
        <w:t xml:space="preserve"> </w:t>
      </w:r>
      <w:r w:rsidRPr="0089551F">
        <w:rPr>
          <w:sz w:val="24"/>
          <w:szCs w:val="24"/>
        </w:rPr>
        <w:t>personální</w:t>
      </w:r>
      <w:r w:rsidR="006C1CC9" w:rsidRPr="0089551F">
        <w:rPr>
          <w:sz w:val="24"/>
          <w:szCs w:val="24"/>
        </w:rPr>
        <w:t>ho</w:t>
      </w:r>
      <w:r w:rsidRPr="0089551F">
        <w:rPr>
          <w:sz w:val="24"/>
          <w:szCs w:val="24"/>
        </w:rPr>
        <w:t xml:space="preserve"> obsazení zástupců státu v orgánech obchodních společností </w:t>
      </w:r>
      <w:r w:rsidR="0014638C" w:rsidRPr="0089551F">
        <w:rPr>
          <w:sz w:val="24"/>
          <w:szCs w:val="24"/>
        </w:rPr>
        <w:t>s</w:t>
      </w:r>
      <w:r w:rsidR="002D31C6" w:rsidRPr="0089551F">
        <w:rPr>
          <w:sz w:val="24"/>
          <w:szCs w:val="24"/>
        </w:rPr>
        <w:t>chvaluje</w:t>
      </w:r>
      <w:r w:rsidRPr="0089551F">
        <w:rPr>
          <w:sz w:val="24"/>
          <w:szCs w:val="24"/>
        </w:rPr>
        <w:t xml:space="preserve"> ministr průmysl</w:t>
      </w:r>
      <w:r w:rsidR="002527BD">
        <w:rPr>
          <w:sz w:val="24"/>
          <w:szCs w:val="24"/>
        </w:rPr>
        <w:t>u</w:t>
      </w:r>
      <w:r w:rsidRPr="0089551F">
        <w:rPr>
          <w:sz w:val="24"/>
          <w:szCs w:val="24"/>
        </w:rPr>
        <w:t xml:space="preserve"> a</w:t>
      </w:r>
      <w:r w:rsidR="00D126A8">
        <w:rPr>
          <w:sz w:val="24"/>
          <w:szCs w:val="24"/>
        </w:rPr>
        <w:t> </w:t>
      </w:r>
      <w:r w:rsidRPr="0089551F">
        <w:rPr>
          <w:sz w:val="24"/>
          <w:szCs w:val="24"/>
        </w:rPr>
        <w:t xml:space="preserve">obchodu. Po vzniku Vládního výboru pro personální nominace </w:t>
      </w:r>
      <w:r w:rsidR="002527BD">
        <w:rPr>
          <w:sz w:val="24"/>
          <w:szCs w:val="24"/>
        </w:rPr>
        <w:t>zavedlo</w:t>
      </w:r>
      <w:r w:rsidR="009D4621" w:rsidRPr="0089551F">
        <w:rPr>
          <w:sz w:val="24"/>
          <w:szCs w:val="24"/>
        </w:rPr>
        <w:t xml:space="preserve"> </w:t>
      </w:r>
      <w:r w:rsidRPr="0089551F">
        <w:rPr>
          <w:sz w:val="24"/>
          <w:szCs w:val="24"/>
        </w:rPr>
        <w:t xml:space="preserve">MPO ve vnitřních předpisech povinnost ministra předkládat </w:t>
      </w:r>
      <w:r w:rsidR="002527BD">
        <w:rPr>
          <w:sz w:val="24"/>
          <w:szCs w:val="24"/>
        </w:rPr>
        <w:t>nominace do dozorčích rad</w:t>
      </w:r>
      <w:r w:rsidRPr="0089551F">
        <w:rPr>
          <w:sz w:val="24"/>
          <w:szCs w:val="24"/>
        </w:rPr>
        <w:t xml:space="preserve"> tomuto výboru k posouzení. </w:t>
      </w:r>
    </w:p>
    <w:p w14:paraId="32B06334" w14:textId="77777777" w:rsidR="00B066DC" w:rsidRPr="0089551F" w:rsidRDefault="00B066DC" w:rsidP="00B066DC">
      <w:pPr>
        <w:spacing w:after="0" w:line="240" w:lineRule="auto"/>
        <w:jc w:val="both"/>
        <w:rPr>
          <w:sz w:val="24"/>
          <w:szCs w:val="24"/>
        </w:rPr>
      </w:pPr>
    </w:p>
    <w:p w14:paraId="33DA9549" w14:textId="558DECB1" w:rsidR="00B066DC" w:rsidRPr="0089551F" w:rsidRDefault="00B066DC" w:rsidP="00B066DC">
      <w:pPr>
        <w:spacing w:after="0" w:line="240" w:lineRule="auto"/>
        <w:jc w:val="both"/>
        <w:rPr>
          <w:sz w:val="24"/>
          <w:szCs w:val="24"/>
        </w:rPr>
      </w:pPr>
      <w:r w:rsidRPr="000A7AEE">
        <w:rPr>
          <w:b/>
          <w:sz w:val="24"/>
          <w:szCs w:val="24"/>
        </w:rPr>
        <w:t>MZe</w:t>
      </w:r>
      <w:r w:rsidRPr="0089551F">
        <w:rPr>
          <w:sz w:val="24"/>
          <w:szCs w:val="24"/>
        </w:rPr>
        <w:t xml:space="preserve"> </w:t>
      </w:r>
      <w:r w:rsidR="002527BD">
        <w:rPr>
          <w:sz w:val="24"/>
          <w:szCs w:val="24"/>
        </w:rPr>
        <w:t xml:space="preserve">neupravilo </w:t>
      </w:r>
      <w:r w:rsidRPr="0089551F">
        <w:rPr>
          <w:sz w:val="24"/>
          <w:szCs w:val="24"/>
        </w:rPr>
        <w:t xml:space="preserve">ve vnitřních předpisech kritéria pro výběr zástupců státu do orgánů společností ani </w:t>
      </w:r>
      <w:r w:rsidR="002527BD">
        <w:rPr>
          <w:sz w:val="24"/>
          <w:szCs w:val="24"/>
        </w:rPr>
        <w:t xml:space="preserve">pravidla </w:t>
      </w:r>
      <w:r w:rsidRPr="0089551F">
        <w:rPr>
          <w:sz w:val="24"/>
          <w:szCs w:val="24"/>
        </w:rPr>
        <w:t>pro jejich odvolání. Od zřízení Vládního výboru pro personální nominace vnitřní předpisy MZe neřešily povinnost ministra pře</w:t>
      </w:r>
      <w:r w:rsidR="009D4621" w:rsidRPr="0089551F">
        <w:rPr>
          <w:sz w:val="24"/>
          <w:szCs w:val="24"/>
        </w:rPr>
        <w:t>d</w:t>
      </w:r>
      <w:r w:rsidRPr="0089551F">
        <w:rPr>
          <w:sz w:val="24"/>
          <w:szCs w:val="24"/>
        </w:rPr>
        <w:t xml:space="preserve">kládat </w:t>
      </w:r>
      <w:r w:rsidR="009D4621" w:rsidRPr="0089551F">
        <w:rPr>
          <w:sz w:val="24"/>
          <w:szCs w:val="24"/>
        </w:rPr>
        <w:t xml:space="preserve">návrhy </w:t>
      </w:r>
      <w:r w:rsidR="002527BD">
        <w:rPr>
          <w:sz w:val="24"/>
          <w:szCs w:val="24"/>
        </w:rPr>
        <w:t xml:space="preserve">na obsazení postů </w:t>
      </w:r>
      <w:r w:rsidRPr="0089551F">
        <w:rPr>
          <w:sz w:val="24"/>
          <w:szCs w:val="24"/>
        </w:rPr>
        <w:t>zástupc</w:t>
      </w:r>
      <w:r w:rsidR="009D4621" w:rsidRPr="0089551F">
        <w:rPr>
          <w:sz w:val="24"/>
          <w:szCs w:val="24"/>
        </w:rPr>
        <w:t>ů</w:t>
      </w:r>
      <w:r w:rsidRPr="0089551F">
        <w:rPr>
          <w:sz w:val="24"/>
          <w:szCs w:val="24"/>
        </w:rPr>
        <w:t xml:space="preserve"> státu </w:t>
      </w:r>
      <w:r w:rsidR="002527BD">
        <w:rPr>
          <w:sz w:val="24"/>
          <w:szCs w:val="24"/>
        </w:rPr>
        <w:t>v dozorčích radách</w:t>
      </w:r>
      <w:r w:rsidRPr="0089551F">
        <w:rPr>
          <w:sz w:val="24"/>
          <w:szCs w:val="24"/>
        </w:rPr>
        <w:t xml:space="preserve"> tomuto výboru</w:t>
      </w:r>
      <w:r w:rsidR="002527BD">
        <w:rPr>
          <w:sz w:val="24"/>
          <w:szCs w:val="24"/>
        </w:rPr>
        <w:t xml:space="preserve"> k </w:t>
      </w:r>
      <w:r w:rsidR="009D4621" w:rsidRPr="0089551F">
        <w:rPr>
          <w:sz w:val="24"/>
          <w:szCs w:val="24"/>
        </w:rPr>
        <w:t>posouzení</w:t>
      </w:r>
      <w:r w:rsidRPr="0089551F">
        <w:rPr>
          <w:sz w:val="24"/>
          <w:szCs w:val="24"/>
        </w:rPr>
        <w:t xml:space="preserve">. </w:t>
      </w:r>
    </w:p>
    <w:p w14:paraId="639DF1BA" w14:textId="77777777" w:rsidR="0047217A" w:rsidRDefault="0047217A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D4F4F1A" w14:textId="77777777" w:rsidR="0047217A" w:rsidRPr="002762FF" w:rsidRDefault="006629E0" w:rsidP="00A756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2762FF">
        <w:rPr>
          <w:rFonts w:cstheme="minorHAnsi"/>
          <w:b/>
          <w:sz w:val="24"/>
          <w:szCs w:val="24"/>
        </w:rPr>
        <w:t xml:space="preserve">3.3 </w:t>
      </w:r>
      <w:r w:rsidR="0047217A" w:rsidRPr="002762FF">
        <w:rPr>
          <w:rFonts w:cstheme="minorHAnsi"/>
          <w:b/>
          <w:sz w:val="24"/>
          <w:szCs w:val="24"/>
        </w:rPr>
        <w:t>Hodnocení činnosti zástupců státu v orgánech společností</w:t>
      </w:r>
      <w:r w:rsidR="00255C92" w:rsidRPr="002762FF">
        <w:rPr>
          <w:rFonts w:cstheme="minorHAnsi"/>
          <w:b/>
          <w:sz w:val="24"/>
          <w:szCs w:val="24"/>
        </w:rPr>
        <w:t xml:space="preserve"> ve vnitřních předpisech</w:t>
      </w:r>
    </w:p>
    <w:p w14:paraId="269A6CD1" w14:textId="77777777" w:rsidR="00CC2CC4" w:rsidRDefault="00CC2CC4" w:rsidP="0047217A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ADAFB2B" w14:textId="5A35ECA2" w:rsidR="0047217A" w:rsidRPr="00D14358" w:rsidRDefault="0073040A" w:rsidP="00485081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Vnitřní předpisy MF ani MPO neupravovaly hodnocení činnosti zástupců státu v orgánech společností při prosazování zájmů státu.</w:t>
      </w:r>
      <w:r w:rsidR="00E57F26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sz w:val="24"/>
          <w:szCs w:val="24"/>
          <w:lang w:eastAsia="cs-CZ"/>
        </w:rPr>
        <w:t xml:space="preserve">MZe upravilo </w:t>
      </w:r>
      <w:r w:rsidR="00592C74" w:rsidRPr="00D14358">
        <w:rPr>
          <w:rFonts w:cstheme="minorHAnsi"/>
          <w:sz w:val="24"/>
          <w:szCs w:val="24"/>
          <w:lang w:eastAsia="cs-CZ"/>
        </w:rPr>
        <w:t>h</w:t>
      </w:r>
      <w:r w:rsidR="0036434C" w:rsidRPr="00D14358">
        <w:rPr>
          <w:rFonts w:cstheme="minorHAnsi"/>
          <w:sz w:val="24"/>
          <w:szCs w:val="24"/>
        </w:rPr>
        <w:t>odnocení činnosti zástupců</w:t>
      </w:r>
      <w:r w:rsidR="0036434C" w:rsidRPr="00D14358">
        <w:rPr>
          <w:rFonts w:cstheme="minorHAnsi"/>
          <w:sz w:val="24"/>
          <w:szCs w:val="24"/>
          <w:lang w:eastAsia="cs-CZ"/>
        </w:rPr>
        <w:t xml:space="preserve"> státu v orgánech společností</w:t>
      </w:r>
      <w:r w:rsidR="0036434C" w:rsidRPr="00D14358">
        <w:rPr>
          <w:rFonts w:cstheme="minorHAnsi"/>
          <w:sz w:val="24"/>
          <w:szCs w:val="24"/>
        </w:rPr>
        <w:t xml:space="preserve"> v </w:t>
      </w:r>
      <w:r w:rsidR="00A8734E">
        <w:rPr>
          <w:rFonts w:cstheme="minorHAnsi"/>
          <w:sz w:val="24"/>
          <w:szCs w:val="24"/>
        </w:rPr>
        <w:t>p</w:t>
      </w:r>
      <w:r w:rsidR="0036434C" w:rsidRPr="00D14358">
        <w:rPr>
          <w:rFonts w:cstheme="minorHAnsi"/>
          <w:sz w:val="24"/>
          <w:szCs w:val="24"/>
        </w:rPr>
        <w:t>říkazu ministra zemědělství č.</w:t>
      </w:r>
      <w:r w:rsidR="00626D37" w:rsidRPr="00D14358">
        <w:rPr>
          <w:rFonts w:cstheme="minorHAnsi"/>
          <w:sz w:val="24"/>
          <w:szCs w:val="24"/>
        </w:rPr>
        <w:t xml:space="preserve"> </w:t>
      </w:r>
      <w:r w:rsidR="0036434C" w:rsidRPr="00D14358">
        <w:rPr>
          <w:rFonts w:cstheme="minorHAnsi"/>
          <w:sz w:val="24"/>
          <w:szCs w:val="24"/>
        </w:rPr>
        <w:t>5/2011</w:t>
      </w:r>
      <w:r w:rsidR="00BF5235" w:rsidRPr="00D14358">
        <w:rPr>
          <w:rFonts w:cstheme="minorHAnsi"/>
          <w:sz w:val="24"/>
          <w:szCs w:val="24"/>
          <w:vertAlign w:val="superscript"/>
        </w:rPr>
        <w:t>9</w:t>
      </w:r>
      <w:r w:rsidR="0036434C" w:rsidRPr="00D14358">
        <w:rPr>
          <w:rFonts w:cstheme="minorHAnsi"/>
          <w:sz w:val="24"/>
          <w:szCs w:val="24"/>
        </w:rPr>
        <w:t xml:space="preserve">, zejména v článku </w:t>
      </w:r>
      <w:r w:rsidR="0036434C" w:rsidRPr="00485081">
        <w:rPr>
          <w:rFonts w:cstheme="minorHAnsi"/>
          <w:i/>
          <w:sz w:val="24"/>
          <w:szCs w:val="24"/>
        </w:rPr>
        <w:t>Systém hodnocení podniků a</w:t>
      </w:r>
      <w:r w:rsidR="00645F26" w:rsidRPr="00485081">
        <w:rPr>
          <w:rFonts w:cstheme="minorHAnsi"/>
          <w:i/>
          <w:sz w:val="24"/>
          <w:szCs w:val="24"/>
        </w:rPr>
        <w:t> </w:t>
      </w:r>
      <w:r w:rsidR="0036434C" w:rsidRPr="00485081">
        <w:rPr>
          <w:rFonts w:cstheme="minorHAnsi"/>
          <w:i/>
          <w:sz w:val="24"/>
          <w:szCs w:val="24"/>
        </w:rPr>
        <w:t>statutárních orgánů</w:t>
      </w:r>
      <w:r w:rsidR="0036434C" w:rsidRPr="00D14358">
        <w:rPr>
          <w:rFonts w:cstheme="minorHAnsi"/>
          <w:sz w:val="24"/>
          <w:szCs w:val="24"/>
        </w:rPr>
        <w:t xml:space="preserve">. </w:t>
      </w:r>
    </w:p>
    <w:p w14:paraId="6DE2A039" w14:textId="77777777" w:rsidR="009B1061" w:rsidRPr="00D14358" w:rsidRDefault="009B1061" w:rsidP="00A756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7F0A2890" w14:textId="77777777" w:rsidR="00BB3AFB" w:rsidRDefault="00BB3AFB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p w14:paraId="2A29916F" w14:textId="7B261540" w:rsidR="0047217A" w:rsidRPr="00D14358" w:rsidRDefault="006629E0" w:rsidP="00A756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lastRenderedPageBreak/>
        <w:t xml:space="preserve">3.4 </w:t>
      </w:r>
      <w:r w:rsidR="00FE596E" w:rsidRPr="00D14358">
        <w:rPr>
          <w:rFonts w:cstheme="minorHAnsi"/>
          <w:b/>
          <w:sz w:val="24"/>
          <w:szCs w:val="24"/>
        </w:rPr>
        <w:t>V</w:t>
      </w:r>
      <w:r w:rsidR="0047217A" w:rsidRPr="00D14358">
        <w:rPr>
          <w:rFonts w:cstheme="minorHAnsi"/>
          <w:b/>
          <w:sz w:val="24"/>
          <w:szCs w:val="24"/>
        </w:rPr>
        <w:t xml:space="preserve">yhodnocování výsledků správy </w:t>
      </w:r>
      <w:r w:rsidR="00DA0E58" w:rsidRPr="00D14358">
        <w:rPr>
          <w:rFonts w:cstheme="minorHAnsi"/>
          <w:b/>
          <w:sz w:val="24"/>
          <w:szCs w:val="24"/>
        </w:rPr>
        <w:t>majetkových účastí</w:t>
      </w:r>
      <w:r w:rsidR="00255C92" w:rsidRPr="00D14358">
        <w:rPr>
          <w:rFonts w:cstheme="minorHAnsi"/>
          <w:b/>
          <w:sz w:val="24"/>
          <w:szCs w:val="24"/>
        </w:rPr>
        <w:t xml:space="preserve"> ve vnitřních předpisech</w:t>
      </w:r>
    </w:p>
    <w:p w14:paraId="17BD2A5D" w14:textId="77777777" w:rsidR="00CC2CC4" w:rsidRDefault="00CC2CC4" w:rsidP="000A7AEE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0D7A7F1B" w14:textId="35857AFA" w:rsidR="009902F2" w:rsidRPr="00194580" w:rsidRDefault="002D31C6" w:rsidP="00C568F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14358">
        <w:rPr>
          <w:rFonts w:cstheme="minorHAnsi"/>
          <w:sz w:val="24"/>
          <w:szCs w:val="24"/>
        </w:rPr>
        <w:t>V</w:t>
      </w:r>
      <w:r w:rsidR="001E2DA4" w:rsidRPr="00D14358">
        <w:rPr>
          <w:rFonts w:cstheme="minorHAnsi"/>
          <w:sz w:val="24"/>
          <w:szCs w:val="24"/>
          <w:lang w:eastAsia="cs-CZ"/>
        </w:rPr>
        <w:t>nitřní předpisy MF</w:t>
      </w:r>
      <w:r w:rsidRPr="00D14358">
        <w:rPr>
          <w:rFonts w:cstheme="minorHAnsi"/>
          <w:sz w:val="24"/>
          <w:szCs w:val="24"/>
          <w:lang w:eastAsia="cs-CZ"/>
        </w:rPr>
        <w:t xml:space="preserve"> ani MPO</w:t>
      </w:r>
      <w:r w:rsidR="001E2DA4" w:rsidRPr="00D14358">
        <w:rPr>
          <w:rFonts w:cstheme="minorHAnsi"/>
          <w:sz w:val="24"/>
          <w:szCs w:val="24"/>
          <w:lang w:eastAsia="cs-CZ"/>
        </w:rPr>
        <w:t xml:space="preserve"> neuprav</w:t>
      </w:r>
      <w:r w:rsidR="00D126A8" w:rsidRPr="00D14358">
        <w:rPr>
          <w:rFonts w:cstheme="minorHAnsi"/>
          <w:sz w:val="24"/>
          <w:szCs w:val="24"/>
          <w:lang w:eastAsia="cs-CZ"/>
        </w:rPr>
        <w:t>ovaly</w:t>
      </w:r>
      <w:r w:rsidR="001E2DA4" w:rsidRPr="00D14358">
        <w:rPr>
          <w:rFonts w:cstheme="minorHAnsi"/>
          <w:sz w:val="24"/>
          <w:szCs w:val="24"/>
          <w:lang w:eastAsia="cs-CZ"/>
        </w:rPr>
        <w:t xml:space="preserve"> </w:t>
      </w:r>
      <w:r w:rsidR="0047217A" w:rsidRPr="00D14358">
        <w:rPr>
          <w:rFonts w:cstheme="minorHAnsi"/>
          <w:sz w:val="24"/>
          <w:szCs w:val="24"/>
        </w:rPr>
        <w:t>vyhodnocování výsledků správy majetkových účastí</w:t>
      </w:r>
      <w:r w:rsidR="00D6772C" w:rsidRPr="00D14358">
        <w:rPr>
          <w:rFonts w:cstheme="minorHAnsi"/>
          <w:sz w:val="24"/>
          <w:szCs w:val="24"/>
        </w:rPr>
        <w:t>.</w:t>
      </w:r>
      <w:r w:rsidR="001E2DA4" w:rsidRPr="00D14358">
        <w:rPr>
          <w:rFonts w:cstheme="minorHAnsi"/>
          <w:sz w:val="24"/>
          <w:szCs w:val="24"/>
        </w:rPr>
        <w:t xml:space="preserve"> </w:t>
      </w:r>
      <w:r w:rsidR="002E4156" w:rsidRPr="00D14358">
        <w:rPr>
          <w:rFonts w:cstheme="minorHAnsi"/>
          <w:sz w:val="24"/>
          <w:szCs w:val="24"/>
        </w:rPr>
        <w:t xml:space="preserve">MZe </w:t>
      </w:r>
      <w:r w:rsidR="005F5E27" w:rsidRPr="00D14358">
        <w:rPr>
          <w:rFonts w:cstheme="minorHAnsi"/>
          <w:sz w:val="24"/>
          <w:szCs w:val="24"/>
        </w:rPr>
        <w:t>upravilo vyhodnocování výsledků správy majetkových účastí pouze u společností, ve kterých spravuje 100% podíl, a to</w:t>
      </w:r>
      <w:r w:rsidR="00D6772C" w:rsidRPr="00D14358">
        <w:rPr>
          <w:rFonts w:cstheme="minorHAnsi"/>
          <w:sz w:val="24"/>
          <w:szCs w:val="24"/>
        </w:rPr>
        <w:t xml:space="preserve"> </w:t>
      </w:r>
      <w:r w:rsidR="00A8734E">
        <w:rPr>
          <w:rFonts w:cstheme="minorHAnsi"/>
          <w:sz w:val="24"/>
          <w:szCs w:val="24"/>
        </w:rPr>
        <w:t>p</w:t>
      </w:r>
      <w:r w:rsidR="00D6772C" w:rsidRPr="00D14358">
        <w:rPr>
          <w:rFonts w:cstheme="minorHAnsi"/>
          <w:sz w:val="24"/>
          <w:szCs w:val="24"/>
        </w:rPr>
        <w:t>říkazem</w:t>
      </w:r>
      <w:r w:rsidRPr="00D14358">
        <w:rPr>
          <w:rFonts w:cstheme="minorHAnsi"/>
          <w:sz w:val="24"/>
          <w:szCs w:val="24"/>
        </w:rPr>
        <w:t xml:space="preserve"> ministra zemědělství č. 5/2011</w:t>
      </w:r>
      <w:r w:rsidR="00BF5235" w:rsidRPr="00D14358">
        <w:rPr>
          <w:rFonts w:cstheme="minorHAnsi"/>
          <w:sz w:val="24"/>
          <w:szCs w:val="24"/>
          <w:vertAlign w:val="superscript"/>
        </w:rPr>
        <w:t>9</w:t>
      </w:r>
      <w:r w:rsidR="00D6772C" w:rsidRPr="00D14358">
        <w:rPr>
          <w:rFonts w:cstheme="minorHAnsi"/>
          <w:sz w:val="24"/>
          <w:szCs w:val="24"/>
        </w:rPr>
        <w:t>.</w:t>
      </w:r>
      <w:r w:rsidRPr="00D14358">
        <w:rPr>
          <w:rFonts w:cstheme="minorHAnsi"/>
          <w:sz w:val="24"/>
          <w:szCs w:val="24"/>
        </w:rPr>
        <w:t xml:space="preserve"> </w:t>
      </w:r>
    </w:p>
    <w:p w14:paraId="2F6ADCAB" w14:textId="77777777" w:rsidR="00CC2CC4" w:rsidRDefault="00CC2CC4" w:rsidP="00CC2CC4">
      <w:pPr>
        <w:spacing w:after="0" w:line="240" w:lineRule="auto"/>
        <w:rPr>
          <w:rFonts w:cstheme="minorHAnsi"/>
          <w:sz w:val="24"/>
          <w:szCs w:val="24"/>
        </w:rPr>
      </w:pPr>
    </w:p>
    <w:p w14:paraId="31A045E4" w14:textId="77777777" w:rsidR="002479F4" w:rsidRPr="00CC2CC4" w:rsidRDefault="00FE596E" w:rsidP="00CC2CC4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C2CC4">
        <w:rPr>
          <w:rFonts w:cstheme="minorHAnsi"/>
          <w:b/>
          <w:color w:val="000000" w:themeColor="text1"/>
          <w:sz w:val="24"/>
          <w:szCs w:val="24"/>
        </w:rPr>
        <w:t>4</w:t>
      </w:r>
      <w:r w:rsidR="006629E0" w:rsidRPr="00CC2CC4">
        <w:rPr>
          <w:rFonts w:cstheme="minorHAnsi"/>
          <w:b/>
          <w:color w:val="000000" w:themeColor="text1"/>
          <w:sz w:val="24"/>
          <w:szCs w:val="24"/>
        </w:rPr>
        <w:t>.</w:t>
      </w:r>
      <w:r w:rsidR="002E4156" w:rsidRPr="00CC2CC4">
        <w:rPr>
          <w:rFonts w:cstheme="minorHAnsi"/>
          <w:b/>
          <w:color w:val="000000" w:themeColor="text1"/>
          <w:sz w:val="24"/>
          <w:szCs w:val="24"/>
        </w:rPr>
        <w:t xml:space="preserve"> </w:t>
      </w:r>
      <w:r w:rsidRPr="00CC2CC4">
        <w:rPr>
          <w:rFonts w:cstheme="minorHAnsi"/>
          <w:b/>
          <w:color w:val="000000" w:themeColor="text1"/>
          <w:sz w:val="24"/>
          <w:szCs w:val="24"/>
        </w:rPr>
        <w:t>V</w:t>
      </w:r>
      <w:r w:rsidR="002E4156" w:rsidRPr="00CC2CC4">
        <w:rPr>
          <w:rFonts w:cstheme="minorHAnsi"/>
          <w:b/>
          <w:color w:val="000000" w:themeColor="text1"/>
          <w:sz w:val="24"/>
          <w:szCs w:val="24"/>
        </w:rPr>
        <w:t xml:space="preserve">ýkon správy </w:t>
      </w:r>
      <w:r w:rsidR="00DA0E58" w:rsidRPr="00CC2CC4">
        <w:rPr>
          <w:rFonts w:cstheme="minorHAnsi"/>
          <w:b/>
          <w:color w:val="000000" w:themeColor="text1"/>
          <w:sz w:val="24"/>
          <w:szCs w:val="24"/>
        </w:rPr>
        <w:t>majetkových účastí</w:t>
      </w:r>
      <w:r w:rsidR="002E4156" w:rsidRPr="00CC2CC4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6CA61763" w14:textId="77777777" w:rsidR="00D126A8" w:rsidRPr="00CC2CC4" w:rsidRDefault="00D126A8" w:rsidP="00CC2CC4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</w:p>
    <w:p w14:paraId="3ADC2FD2" w14:textId="77777777" w:rsidR="0039075F" w:rsidRPr="00CC2CC4" w:rsidRDefault="006629E0" w:rsidP="00CC2CC4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C2CC4">
        <w:rPr>
          <w:rFonts w:cstheme="minorHAnsi"/>
          <w:b/>
          <w:color w:val="000000" w:themeColor="text1"/>
          <w:sz w:val="24"/>
          <w:szCs w:val="24"/>
        </w:rPr>
        <w:t xml:space="preserve">4.1 </w:t>
      </w:r>
      <w:r w:rsidR="0039075F" w:rsidRPr="00CC2CC4">
        <w:rPr>
          <w:rFonts w:cstheme="minorHAnsi"/>
          <w:b/>
          <w:color w:val="000000" w:themeColor="text1"/>
          <w:sz w:val="24"/>
          <w:szCs w:val="24"/>
        </w:rPr>
        <w:t>Společná zjištění</w:t>
      </w:r>
    </w:p>
    <w:p w14:paraId="2C2352B2" w14:textId="77777777" w:rsidR="00CC2CC4" w:rsidRDefault="00CC2CC4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2285479" w14:textId="5CCBA02F" w:rsidR="00A82F96" w:rsidRPr="00CC2CC4" w:rsidRDefault="00C568F1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2CC4">
        <w:rPr>
          <w:rFonts w:cstheme="minorHAnsi"/>
          <w:color w:val="000000" w:themeColor="text1"/>
          <w:sz w:val="24"/>
          <w:szCs w:val="24"/>
        </w:rPr>
        <w:t>Z kontroly správy majetkových účastí státu, s nimiž jsou příslušná hospodařit kontrolovaná ministerstva, vyplynula následující společná</w:t>
      </w:r>
      <w:r w:rsidR="003C3C4E" w:rsidRPr="00CC2CC4">
        <w:rPr>
          <w:rFonts w:cstheme="minorHAnsi"/>
          <w:color w:val="000000" w:themeColor="text1"/>
          <w:sz w:val="24"/>
          <w:szCs w:val="24"/>
        </w:rPr>
        <w:t xml:space="preserve"> nebo podobná </w:t>
      </w:r>
      <w:r w:rsidR="00FE596E" w:rsidRPr="00CC2CC4">
        <w:rPr>
          <w:rFonts w:cstheme="minorHAnsi"/>
          <w:color w:val="000000" w:themeColor="text1"/>
          <w:sz w:val="24"/>
          <w:szCs w:val="24"/>
        </w:rPr>
        <w:t>zjištění:</w:t>
      </w:r>
    </w:p>
    <w:p w14:paraId="403D8FAE" w14:textId="0ACD2356" w:rsidR="006D62B9" w:rsidRPr="00CC2CC4" w:rsidRDefault="006D62B9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CC2CC4">
        <w:rPr>
          <w:rFonts w:ascii="Calibri" w:hAnsi="Calibri" w:cs="Calibri"/>
          <w:color w:val="000000" w:themeColor="text1"/>
        </w:rPr>
        <w:t>Otázku výkonu práv akcionáře řeší zákon č. 219/2000 Sb. v ustanovení § 28 odst. 2, ve kterém je mimo jiné uvedeno</w:t>
      </w:r>
      <w:r w:rsidR="00095106">
        <w:rPr>
          <w:rFonts w:ascii="Calibri" w:hAnsi="Calibri" w:cs="Calibri"/>
          <w:color w:val="000000" w:themeColor="text1"/>
        </w:rPr>
        <w:t>:</w:t>
      </w:r>
      <w:r w:rsidRPr="00CC2CC4">
        <w:rPr>
          <w:rFonts w:ascii="Calibri" w:hAnsi="Calibri" w:cs="Calibri"/>
          <w:color w:val="000000" w:themeColor="text1"/>
        </w:rPr>
        <w:t xml:space="preserve"> </w:t>
      </w:r>
      <w:r w:rsidRPr="00CC2CC4">
        <w:rPr>
          <w:rFonts w:ascii="Calibri" w:hAnsi="Calibri" w:cs="Calibri"/>
          <w:i/>
          <w:color w:val="000000" w:themeColor="text1"/>
        </w:rPr>
        <w:t>„Práva akcionáře v založené akciové společnosti jménem státu vykonává vládou písemně pověřený zaměstnanec zakládajícího ministerstva; postupuje přitom v souladu s právními předpisy a podle písemných pokynů ministra, jemuž o své činnosti podává v jím určených pravidelných intervalech písemné zprávy.“</w:t>
      </w:r>
    </w:p>
    <w:p w14:paraId="14BDEB5E" w14:textId="598D7383" w:rsidR="006D62B9" w:rsidRPr="00CC2CC4" w:rsidRDefault="006D62B9" w:rsidP="00CC2CC4">
      <w:pPr>
        <w:spacing w:after="0" w:line="240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C2CC4">
        <w:rPr>
          <w:rFonts w:ascii="Calibri" w:hAnsi="Calibri" w:cs="Calibri"/>
          <w:color w:val="000000" w:themeColor="text1"/>
          <w:sz w:val="24"/>
          <w:szCs w:val="24"/>
        </w:rPr>
        <w:t xml:space="preserve">U kontrolovaných </w:t>
      </w:r>
      <w:r w:rsidR="001A61AB" w:rsidRPr="00CC2CC4">
        <w:rPr>
          <w:rFonts w:ascii="Calibri" w:hAnsi="Calibri" w:cs="Calibri"/>
          <w:color w:val="000000" w:themeColor="text1"/>
          <w:sz w:val="24"/>
          <w:szCs w:val="24"/>
        </w:rPr>
        <w:t>majetkových účastí</w:t>
      </w:r>
      <w:r w:rsidRPr="00CC2CC4">
        <w:rPr>
          <w:rFonts w:ascii="Calibri" w:hAnsi="Calibri" w:cs="Calibri"/>
          <w:color w:val="000000" w:themeColor="text1"/>
          <w:sz w:val="24"/>
          <w:szCs w:val="24"/>
        </w:rPr>
        <w:t xml:space="preserve"> prováděla ministerstva výkon práv akcionáře</w:t>
      </w:r>
      <w:r w:rsidRPr="00CC2CC4">
        <w:rPr>
          <w:color w:val="000000" w:themeColor="text1"/>
          <w:sz w:val="24"/>
          <w:szCs w:val="24"/>
        </w:rPr>
        <w:t xml:space="preserve"> prostřednictvím</w:t>
      </w:r>
      <w:r w:rsidR="003B2DB8" w:rsidRPr="00CC2CC4">
        <w:rPr>
          <w:color w:val="000000" w:themeColor="text1"/>
          <w:sz w:val="24"/>
          <w:szCs w:val="24"/>
        </w:rPr>
        <w:t xml:space="preserve"> svého</w:t>
      </w:r>
      <w:r w:rsidR="003D13AC" w:rsidRPr="00CC2CC4">
        <w:rPr>
          <w:color w:val="000000" w:themeColor="text1"/>
          <w:sz w:val="24"/>
          <w:szCs w:val="24"/>
        </w:rPr>
        <w:t xml:space="preserve"> </w:t>
      </w:r>
      <w:r w:rsidRPr="00CC2CC4">
        <w:rPr>
          <w:color w:val="000000" w:themeColor="text1"/>
          <w:sz w:val="24"/>
          <w:szCs w:val="24"/>
        </w:rPr>
        <w:t>zaměstnance pověřeného vládou, zaměstnance pověřeného příslušným ministrem</w:t>
      </w:r>
      <w:r w:rsidR="003B2DB8" w:rsidRPr="00CC2CC4">
        <w:rPr>
          <w:color w:val="000000" w:themeColor="text1"/>
          <w:sz w:val="24"/>
          <w:szCs w:val="24"/>
        </w:rPr>
        <w:t xml:space="preserve"> nebo</w:t>
      </w:r>
      <w:r w:rsidR="006947CE">
        <w:rPr>
          <w:color w:val="000000" w:themeColor="text1"/>
          <w:sz w:val="24"/>
          <w:szCs w:val="24"/>
        </w:rPr>
        <w:t xml:space="preserve"> prostřednictvím</w:t>
      </w:r>
      <w:r w:rsidR="003D13AC" w:rsidRPr="00CC2CC4">
        <w:rPr>
          <w:color w:val="000000" w:themeColor="text1"/>
          <w:sz w:val="24"/>
          <w:szCs w:val="24"/>
        </w:rPr>
        <w:t xml:space="preserve"> </w:t>
      </w:r>
      <w:r w:rsidRPr="00CC2CC4">
        <w:rPr>
          <w:color w:val="000000" w:themeColor="text1"/>
          <w:sz w:val="24"/>
          <w:szCs w:val="24"/>
        </w:rPr>
        <w:t xml:space="preserve">příslušného ministra osobně. </w:t>
      </w:r>
      <w:r w:rsidRPr="00CC2CC4">
        <w:rPr>
          <w:rFonts w:cs="Calibri"/>
          <w:color w:val="000000" w:themeColor="text1"/>
          <w:sz w:val="24"/>
          <w:szCs w:val="24"/>
        </w:rPr>
        <w:t xml:space="preserve">Podle stanoviska MF a dalších právních názorů nelze ustanovení </w:t>
      </w:r>
      <w:r w:rsidRPr="00CC2CC4">
        <w:rPr>
          <w:color w:val="000000" w:themeColor="text1"/>
          <w:sz w:val="24"/>
          <w:szCs w:val="24"/>
        </w:rPr>
        <w:t>§ 28 odst. 2 zákona č.</w:t>
      </w:r>
      <w:r w:rsidR="00784049" w:rsidRPr="00CC2CC4">
        <w:rPr>
          <w:color w:val="000000" w:themeColor="text1"/>
          <w:sz w:val="24"/>
          <w:szCs w:val="24"/>
        </w:rPr>
        <w:t> </w:t>
      </w:r>
      <w:r w:rsidRPr="00CC2CC4">
        <w:rPr>
          <w:color w:val="000000" w:themeColor="text1"/>
          <w:sz w:val="24"/>
          <w:szCs w:val="24"/>
        </w:rPr>
        <w:t>219/2000</w:t>
      </w:r>
      <w:r w:rsidR="00784049" w:rsidRPr="00CC2CC4">
        <w:rPr>
          <w:color w:val="000000" w:themeColor="text1"/>
          <w:sz w:val="24"/>
          <w:szCs w:val="24"/>
        </w:rPr>
        <w:t> </w:t>
      </w:r>
      <w:r w:rsidRPr="00CC2CC4">
        <w:rPr>
          <w:color w:val="000000" w:themeColor="text1"/>
          <w:sz w:val="24"/>
          <w:szCs w:val="24"/>
        </w:rPr>
        <w:t xml:space="preserve">Sb. </w:t>
      </w:r>
      <w:r w:rsidRPr="00CC2CC4">
        <w:rPr>
          <w:rFonts w:cs="Calibri"/>
          <w:color w:val="000000" w:themeColor="text1"/>
          <w:sz w:val="24"/>
          <w:szCs w:val="24"/>
        </w:rPr>
        <w:t xml:space="preserve">aplikovat na akciové společnosti </w:t>
      </w:r>
      <w:r w:rsidR="009C6688" w:rsidRPr="00CC2CC4">
        <w:rPr>
          <w:rFonts w:cs="Calibri"/>
          <w:color w:val="000000" w:themeColor="text1"/>
          <w:sz w:val="24"/>
          <w:szCs w:val="24"/>
        </w:rPr>
        <w:t>založené státem před účinností zákona č.</w:t>
      </w:r>
      <w:r w:rsidR="006947CE">
        <w:rPr>
          <w:rFonts w:cs="Calibri"/>
          <w:color w:val="000000" w:themeColor="text1"/>
          <w:sz w:val="24"/>
          <w:szCs w:val="24"/>
        </w:rPr>
        <w:t> </w:t>
      </w:r>
      <w:r w:rsidR="009C6688" w:rsidRPr="00CC2CC4">
        <w:rPr>
          <w:rFonts w:cs="Calibri"/>
          <w:color w:val="000000" w:themeColor="text1"/>
          <w:sz w:val="24"/>
          <w:szCs w:val="24"/>
        </w:rPr>
        <w:t>219/2000 Sb. ani na akciové společnosti, které stát nezaložil, ale jejichž akcionářem se následně stal</w:t>
      </w:r>
      <w:r w:rsidR="00095106">
        <w:rPr>
          <w:rFonts w:cs="Calibri"/>
          <w:color w:val="000000" w:themeColor="text1"/>
          <w:sz w:val="24"/>
          <w:szCs w:val="24"/>
        </w:rPr>
        <w:t>,</w:t>
      </w:r>
      <w:r w:rsidR="009C6688" w:rsidRPr="00CC2CC4">
        <w:rPr>
          <w:rFonts w:cs="Calibri"/>
          <w:color w:val="000000" w:themeColor="text1"/>
          <w:sz w:val="24"/>
          <w:szCs w:val="24"/>
        </w:rPr>
        <w:t xml:space="preserve"> ať již před nebo po účinnosti zákona č.</w:t>
      </w:r>
      <w:r w:rsidR="00307745" w:rsidRPr="00CC2CC4">
        <w:rPr>
          <w:rFonts w:cs="Calibri"/>
          <w:color w:val="000000" w:themeColor="text1"/>
          <w:sz w:val="24"/>
          <w:szCs w:val="24"/>
        </w:rPr>
        <w:t xml:space="preserve"> </w:t>
      </w:r>
      <w:r w:rsidR="009C6688" w:rsidRPr="00CC2CC4">
        <w:rPr>
          <w:rFonts w:cs="Calibri"/>
          <w:color w:val="000000" w:themeColor="text1"/>
          <w:sz w:val="24"/>
          <w:szCs w:val="24"/>
        </w:rPr>
        <w:t>219/2000 Sb., a to bez ohledu na právní titul, na jehož základě se tak stalo. Tento stav neodůvodněně zakládá nerovný přístup</w:t>
      </w:r>
      <w:r w:rsidR="00A700E4" w:rsidRPr="00CC2CC4">
        <w:rPr>
          <w:rFonts w:cs="Calibri"/>
          <w:color w:val="000000" w:themeColor="text1"/>
          <w:sz w:val="24"/>
          <w:szCs w:val="24"/>
        </w:rPr>
        <w:t xml:space="preserve"> k výkonu akcionářských práv státu v akciových společnostech.</w:t>
      </w:r>
      <w:r w:rsidR="00D50B3C" w:rsidRPr="00CC2CC4">
        <w:rPr>
          <w:rFonts w:cs="Calibri"/>
          <w:color w:val="000000" w:themeColor="text1"/>
          <w:sz w:val="24"/>
          <w:szCs w:val="24"/>
        </w:rPr>
        <w:t xml:space="preserve"> </w:t>
      </w:r>
    </w:p>
    <w:p w14:paraId="54FB30DE" w14:textId="77777777" w:rsidR="00E70107" w:rsidRPr="00CC2CC4" w:rsidRDefault="00D71D34" w:rsidP="00CC2CC4">
      <w:pPr>
        <w:spacing w:after="0" w:line="240" w:lineRule="auto"/>
        <w:ind w:left="284"/>
        <w:jc w:val="both"/>
        <w:rPr>
          <w:rFonts w:cs="Calibri"/>
          <w:color w:val="000000" w:themeColor="text1"/>
          <w:sz w:val="24"/>
          <w:szCs w:val="24"/>
        </w:rPr>
      </w:pPr>
      <w:r w:rsidRPr="00CC2CC4">
        <w:rPr>
          <w:color w:val="000000" w:themeColor="text1"/>
          <w:sz w:val="24"/>
          <w:szCs w:val="24"/>
        </w:rPr>
        <w:t xml:space="preserve">V důsledku výše uvedeného přístupu </w:t>
      </w:r>
      <w:r w:rsidR="00D50B3C" w:rsidRPr="00CC2CC4">
        <w:rPr>
          <w:color w:val="000000" w:themeColor="text1"/>
          <w:sz w:val="24"/>
          <w:szCs w:val="24"/>
        </w:rPr>
        <w:t>d</w:t>
      </w:r>
      <w:r w:rsidRPr="00CC2CC4">
        <w:rPr>
          <w:color w:val="000000" w:themeColor="text1"/>
          <w:sz w:val="24"/>
          <w:szCs w:val="24"/>
        </w:rPr>
        <w:t xml:space="preserve">ochází k tomu, že </w:t>
      </w:r>
      <w:r w:rsidR="004B221D" w:rsidRPr="00CC2CC4">
        <w:rPr>
          <w:rFonts w:cstheme="minorHAnsi"/>
          <w:color w:val="000000" w:themeColor="text1"/>
          <w:sz w:val="24"/>
          <w:szCs w:val="24"/>
        </w:rPr>
        <w:t xml:space="preserve">u relativně méně významné společnosti 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musí </w:t>
      </w:r>
      <w:r w:rsidR="004B221D" w:rsidRPr="00CC2CC4">
        <w:rPr>
          <w:rFonts w:cstheme="minorHAnsi"/>
          <w:color w:val="000000" w:themeColor="text1"/>
          <w:sz w:val="24"/>
          <w:szCs w:val="24"/>
        </w:rPr>
        <w:t xml:space="preserve">osoby vykonávající za stát práva akcionáře </w:t>
      </w:r>
      <w:r w:rsidR="00952C39" w:rsidRPr="00CC2CC4">
        <w:rPr>
          <w:rFonts w:cstheme="minorHAnsi"/>
          <w:color w:val="000000" w:themeColor="text1"/>
          <w:sz w:val="24"/>
          <w:szCs w:val="24"/>
        </w:rPr>
        <w:t xml:space="preserve">písemně pověřovat </w:t>
      </w:r>
      <w:r w:rsidR="004B221D" w:rsidRPr="00CC2CC4">
        <w:rPr>
          <w:rFonts w:cstheme="minorHAnsi"/>
          <w:color w:val="000000" w:themeColor="text1"/>
          <w:sz w:val="24"/>
          <w:szCs w:val="24"/>
        </w:rPr>
        <w:t>vláda, zatímco</w:t>
      </w:r>
      <w:r w:rsidR="00952C39" w:rsidRPr="00CC2CC4">
        <w:rPr>
          <w:rFonts w:cstheme="minorHAnsi"/>
          <w:color w:val="000000" w:themeColor="text1"/>
          <w:sz w:val="24"/>
          <w:szCs w:val="24"/>
        </w:rPr>
        <w:t xml:space="preserve"> toto pověření</w:t>
      </w:r>
      <w:r w:rsidR="004B221D" w:rsidRPr="00CC2CC4">
        <w:rPr>
          <w:rFonts w:cstheme="minorHAnsi"/>
          <w:color w:val="000000" w:themeColor="text1"/>
          <w:sz w:val="24"/>
          <w:szCs w:val="24"/>
        </w:rPr>
        <w:t xml:space="preserve"> není </w:t>
      </w:r>
      <w:r w:rsidR="00D126A8" w:rsidRPr="00CC2CC4">
        <w:rPr>
          <w:rFonts w:cstheme="minorHAnsi"/>
          <w:color w:val="000000" w:themeColor="text1"/>
          <w:sz w:val="24"/>
          <w:szCs w:val="24"/>
        </w:rPr>
        <w:t xml:space="preserve">zákonem </w:t>
      </w:r>
      <w:r w:rsidR="00952C39" w:rsidRPr="00CC2CC4">
        <w:rPr>
          <w:rFonts w:cstheme="minorHAnsi"/>
          <w:color w:val="000000" w:themeColor="text1"/>
          <w:sz w:val="24"/>
          <w:szCs w:val="24"/>
        </w:rPr>
        <w:t>vyžadováno</w:t>
      </w:r>
      <w:r w:rsidR="009902F2" w:rsidRPr="00CC2CC4">
        <w:rPr>
          <w:rFonts w:cstheme="minorHAnsi"/>
          <w:color w:val="000000" w:themeColor="text1"/>
          <w:sz w:val="24"/>
          <w:szCs w:val="24"/>
        </w:rPr>
        <w:t xml:space="preserve"> u </w:t>
      </w:r>
      <w:r w:rsidR="004B221D" w:rsidRPr="00CC2CC4">
        <w:rPr>
          <w:rFonts w:cstheme="minorHAnsi"/>
          <w:color w:val="000000" w:themeColor="text1"/>
          <w:sz w:val="24"/>
          <w:szCs w:val="24"/>
        </w:rPr>
        <w:t>podstatně významnějších společností</w:t>
      </w:r>
      <w:r w:rsidR="00AF128F" w:rsidRPr="00CC2CC4">
        <w:rPr>
          <w:rFonts w:cstheme="minorHAnsi"/>
          <w:color w:val="000000" w:themeColor="text1"/>
          <w:sz w:val="24"/>
          <w:szCs w:val="24"/>
        </w:rPr>
        <w:t xml:space="preserve"> (</w:t>
      </w:r>
      <w:r w:rsidR="00B9432B" w:rsidRPr="00CC2CC4">
        <w:rPr>
          <w:rFonts w:cstheme="minorHAnsi"/>
          <w:color w:val="000000" w:themeColor="text1"/>
          <w:sz w:val="24"/>
          <w:szCs w:val="24"/>
        </w:rPr>
        <w:t>co do rozsahu majetku a činnosti</w:t>
      </w:r>
      <w:r w:rsidR="00AF128F" w:rsidRPr="00CC2CC4">
        <w:rPr>
          <w:rFonts w:cstheme="minorHAnsi"/>
          <w:color w:val="000000" w:themeColor="text1"/>
          <w:sz w:val="24"/>
          <w:szCs w:val="24"/>
        </w:rPr>
        <w:t>)</w:t>
      </w:r>
      <w:r w:rsidR="00B9432B" w:rsidRPr="00CC2CC4">
        <w:rPr>
          <w:rFonts w:cstheme="minorHAnsi"/>
          <w:color w:val="000000" w:themeColor="text1"/>
          <w:sz w:val="24"/>
          <w:szCs w:val="24"/>
        </w:rPr>
        <w:t>,</w:t>
      </w:r>
      <w:r w:rsidR="004B221D" w:rsidRPr="00CC2CC4">
        <w:rPr>
          <w:rFonts w:cstheme="minorHAnsi"/>
          <w:color w:val="000000" w:themeColor="text1"/>
          <w:sz w:val="24"/>
          <w:szCs w:val="24"/>
        </w:rPr>
        <w:t xml:space="preserve"> u nichž se </w:t>
      </w:r>
      <w:r w:rsidR="009D4621" w:rsidRPr="00CC2CC4">
        <w:rPr>
          <w:rFonts w:cstheme="minorHAnsi"/>
          <w:color w:val="000000" w:themeColor="text1"/>
          <w:sz w:val="24"/>
          <w:szCs w:val="24"/>
        </w:rPr>
        <w:t>neuplatňuje</w:t>
      </w:r>
      <w:r w:rsidR="004B221D" w:rsidRPr="00CC2CC4">
        <w:rPr>
          <w:rFonts w:cstheme="minorHAnsi"/>
          <w:color w:val="000000" w:themeColor="text1"/>
          <w:sz w:val="24"/>
          <w:szCs w:val="24"/>
        </w:rPr>
        <w:t xml:space="preserve"> ani povinnost pověřené osoby podávat o své činnosti písemné zprávy.</w:t>
      </w:r>
      <w:r w:rsidR="000A7AEE" w:rsidRPr="00CC2CC4">
        <w:rPr>
          <w:rFonts w:cstheme="minorHAnsi"/>
          <w:color w:val="000000" w:themeColor="text1"/>
          <w:sz w:val="24"/>
          <w:szCs w:val="24"/>
        </w:rPr>
        <w:t xml:space="preserve"> </w:t>
      </w:r>
    </w:p>
    <w:p w14:paraId="438E8592" w14:textId="04BC7804" w:rsidR="00C568F1" w:rsidRPr="00CC2CC4" w:rsidRDefault="000A7AEE" w:rsidP="00CC2CC4">
      <w:pPr>
        <w:spacing w:after="0" w:line="240" w:lineRule="auto"/>
        <w:ind w:left="284"/>
        <w:jc w:val="both"/>
        <w:rPr>
          <w:color w:val="000000" w:themeColor="text1"/>
          <w:sz w:val="24"/>
          <w:szCs w:val="24"/>
        </w:rPr>
      </w:pPr>
      <w:r w:rsidRPr="00CC2CC4">
        <w:rPr>
          <w:rFonts w:cstheme="minorHAnsi"/>
          <w:color w:val="000000" w:themeColor="text1"/>
          <w:sz w:val="24"/>
          <w:szCs w:val="24"/>
        </w:rPr>
        <w:t>Kontrolou bylo zjištěno, že z</w:t>
      </w:r>
      <w:r w:rsidR="00AE387B" w:rsidRPr="00CC2CC4">
        <w:rPr>
          <w:rFonts w:cstheme="minorHAnsi"/>
          <w:color w:val="000000" w:themeColor="text1"/>
          <w:sz w:val="24"/>
          <w:szCs w:val="24"/>
        </w:rPr>
        <w:t> </w:t>
      </w:r>
      <w:r w:rsidR="00D2163D" w:rsidRPr="00CC2CC4">
        <w:rPr>
          <w:rFonts w:cstheme="minorHAnsi"/>
          <w:color w:val="000000" w:themeColor="text1"/>
          <w:sz w:val="24"/>
          <w:szCs w:val="24"/>
        </w:rPr>
        <w:t>31</w:t>
      </w:r>
      <w:r w:rsidR="00AE387B" w:rsidRPr="00CC2CC4">
        <w:rPr>
          <w:rFonts w:cstheme="minorHAnsi"/>
          <w:color w:val="000000" w:themeColor="text1"/>
          <w:sz w:val="24"/>
          <w:szCs w:val="24"/>
        </w:rPr>
        <w:t xml:space="preserve"> společností s</w:t>
      </w:r>
      <w:r w:rsidR="001A61AB" w:rsidRPr="00CC2CC4">
        <w:rPr>
          <w:rFonts w:cstheme="minorHAnsi"/>
          <w:color w:val="000000" w:themeColor="text1"/>
          <w:sz w:val="24"/>
          <w:szCs w:val="24"/>
        </w:rPr>
        <w:t> majetkovou účastí</w:t>
      </w:r>
      <w:r w:rsidR="000837AA" w:rsidRPr="00CC2CC4">
        <w:rPr>
          <w:rFonts w:cstheme="minorHAnsi"/>
          <w:color w:val="000000" w:themeColor="text1"/>
          <w:sz w:val="24"/>
          <w:szCs w:val="24"/>
        </w:rPr>
        <w:t xml:space="preserve"> státu bylo ustanovení §</w:t>
      </w:r>
      <w:r w:rsidR="008E2EEE" w:rsidRPr="00CC2CC4">
        <w:rPr>
          <w:rFonts w:cstheme="minorHAnsi"/>
          <w:color w:val="000000" w:themeColor="text1"/>
          <w:sz w:val="24"/>
          <w:szCs w:val="24"/>
        </w:rPr>
        <w:t> </w:t>
      </w:r>
      <w:r w:rsidR="000837AA" w:rsidRPr="00CC2CC4">
        <w:rPr>
          <w:rFonts w:cstheme="minorHAnsi"/>
          <w:color w:val="000000" w:themeColor="text1"/>
          <w:sz w:val="24"/>
          <w:szCs w:val="24"/>
        </w:rPr>
        <w:t>28 odst. 2 zákona č. 219/2000 Sb. uplatněno pouze u dvou (</w:t>
      </w:r>
      <w:r w:rsidR="00AE387B" w:rsidRPr="00CC2CC4">
        <w:rPr>
          <w:rFonts w:cstheme="minorHAnsi"/>
          <w:color w:val="000000" w:themeColor="text1"/>
          <w:sz w:val="24"/>
          <w:szCs w:val="24"/>
        </w:rPr>
        <w:t>OTE, a.s.</w:t>
      </w:r>
      <w:r w:rsidR="00095106">
        <w:rPr>
          <w:rFonts w:cstheme="minorHAnsi"/>
          <w:color w:val="000000" w:themeColor="text1"/>
          <w:sz w:val="24"/>
          <w:szCs w:val="24"/>
        </w:rPr>
        <w:t>,</w:t>
      </w:r>
      <w:r w:rsidR="000837AA" w:rsidRPr="00CC2CC4">
        <w:rPr>
          <w:rFonts w:cstheme="minorHAnsi"/>
          <w:color w:val="000000" w:themeColor="text1"/>
          <w:sz w:val="24"/>
          <w:szCs w:val="24"/>
        </w:rPr>
        <w:t xml:space="preserve"> a </w:t>
      </w:r>
      <w:r w:rsidR="00D2163D" w:rsidRPr="00CC2CC4">
        <w:rPr>
          <w:rFonts w:cstheme="minorHAnsi"/>
          <w:color w:val="000000" w:themeColor="text1"/>
          <w:sz w:val="24"/>
          <w:szCs w:val="24"/>
        </w:rPr>
        <w:t>Státní zkušebn</w:t>
      </w:r>
      <w:r w:rsidR="00AE387B" w:rsidRPr="00CC2CC4">
        <w:rPr>
          <w:rFonts w:cstheme="minorHAnsi"/>
          <w:color w:val="000000" w:themeColor="text1"/>
          <w:sz w:val="24"/>
          <w:szCs w:val="24"/>
        </w:rPr>
        <w:t>a</w:t>
      </w:r>
      <w:r w:rsidR="00D2163D" w:rsidRPr="00CC2CC4">
        <w:rPr>
          <w:rFonts w:cstheme="minorHAnsi"/>
          <w:color w:val="000000" w:themeColor="text1"/>
          <w:sz w:val="24"/>
          <w:szCs w:val="24"/>
        </w:rPr>
        <w:t xml:space="preserve"> </w:t>
      </w:r>
      <w:r w:rsidR="00AE387B" w:rsidRPr="00CC2CC4">
        <w:rPr>
          <w:rFonts w:cstheme="minorHAnsi"/>
          <w:color w:val="000000" w:themeColor="text1"/>
          <w:sz w:val="24"/>
          <w:szCs w:val="24"/>
        </w:rPr>
        <w:t>zemědělských, potravinářských a</w:t>
      </w:r>
      <w:r w:rsidR="009B1061" w:rsidRPr="00CC2CC4">
        <w:rPr>
          <w:rFonts w:cstheme="minorHAnsi"/>
          <w:color w:val="000000" w:themeColor="text1"/>
          <w:sz w:val="24"/>
          <w:szCs w:val="24"/>
        </w:rPr>
        <w:t> </w:t>
      </w:r>
      <w:r w:rsidR="00AE387B" w:rsidRPr="00CC2CC4">
        <w:rPr>
          <w:rFonts w:cstheme="minorHAnsi"/>
          <w:color w:val="000000" w:themeColor="text1"/>
          <w:sz w:val="24"/>
          <w:szCs w:val="24"/>
        </w:rPr>
        <w:t>lesnických strojů, a.s.</w:t>
      </w:r>
      <w:r w:rsidR="000837AA" w:rsidRPr="00CC2CC4">
        <w:rPr>
          <w:rFonts w:cstheme="minorHAnsi"/>
          <w:color w:val="000000" w:themeColor="text1"/>
          <w:sz w:val="24"/>
          <w:szCs w:val="24"/>
        </w:rPr>
        <w:t>).</w:t>
      </w:r>
    </w:p>
    <w:p w14:paraId="4DA71279" w14:textId="09A371D4" w:rsidR="00B36DAC" w:rsidRPr="00CC2CC4" w:rsidRDefault="006244C6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CC2CC4">
        <w:rPr>
          <w:rFonts w:ascii="Calibri" w:hAnsi="Calibri" w:cs="Calibri"/>
          <w:color w:val="000000" w:themeColor="text1"/>
        </w:rPr>
        <w:t>Nee</w:t>
      </w:r>
      <w:r w:rsidR="00A27F9F" w:rsidRPr="00CC2CC4">
        <w:rPr>
          <w:rFonts w:ascii="Calibri" w:hAnsi="Calibri" w:cs="Calibri"/>
          <w:color w:val="000000" w:themeColor="text1"/>
        </w:rPr>
        <w:t>xistují pravidla pro postup stát</w:t>
      </w:r>
      <w:r w:rsidRPr="00CC2CC4">
        <w:rPr>
          <w:rFonts w:ascii="Calibri" w:hAnsi="Calibri" w:cs="Calibri"/>
          <w:color w:val="000000" w:themeColor="text1"/>
        </w:rPr>
        <w:t>u jako jediného akcionáře</w:t>
      </w:r>
      <w:r w:rsidR="00195E7C">
        <w:rPr>
          <w:rFonts w:ascii="Calibri" w:hAnsi="Calibri" w:cs="Calibri"/>
          <w:color w:val="000000" w:themeColor="text1"/>
        </w:rPr>
        <w:t xml:space="preserve"> v případech</w:t>
      </w:r>
      <w:r w:rsidRPr="00CC2CC4">
        <w:rPr>
          <w:rFonts w:ascii="Calibri" w:hAnsi="Calibri" w:cs="Calibri"/>
          <w:color w:val="000000" w:themeColor="text1"/>
        </w:rPr>
        <w:t xml:space="preserve">, kdy výkon jeho práv vykonává současně několik ministerstev. </w:t>
      </w:r>
      <w:r w:rsidR="00D44065" w:rsidRPr="00CC2CC4">
        <w:rPr>
          <w:rFonts w:ascii="Calibri" w:hAnsi="Calibri" w:cs="Calibri"/>
          <w:color w:val="000000" w:themeColor="text1"/>
        </w:rPr>
        <w:t xml:space="preserve">Poté, co </w:t>
      </w:r>
      <w:r w:rsidR="00FC1912" w:rsidRPr="00CC2CC4">
        <w:rPr>
          <w:rFonts w:ascii="Calibri" w:hAnsi="Calibri" w:cs="Calibri"/>
          <w:color w:val="000000" w:themeColor="text1"/>
        </w:rPr>
        <w:t>se</w:t>
      </w:r>
      <w:r w:rsidR="00195E7C">
        <w:rPr>
          <w:rFonts w:ascii="Calibri" w:hAnsi="Calibri" w:cs="Calibri"/>
          <w:color w:val="000000" w:themeColor="text1"/>
        </w:rPr>
        <w:t xml:space="preserve"> stát</w:t>
      </w:r>
      <w:r w:rsidR="00FC1912" w:rsidRPr="00CC2CC4">
        <w:rPr>
          <w:rFonts w:ascii="Calibri" w:hAnsi="Calibri" w:cs="Calibri"/>
          <w:color w:val="000000" w:themeColor="text1"/>
        </w:rPr>
        <w:t xml:space="preserve"> v roce 2015 </w:t>
      </w:r>
      <w:r w:rsidR="00D44065" w:rsidRPr="00CC2CC4">
        <w:rPr>
          <w:rFonts w:ascii="Calibri" w:hAnsi="Calibri" w:cs="Calibri"/>
          <w:color w:val="000000" w:themeColor="text1"/>
        </w:rPr>
        <w:t xml:space="preserve">stal jediným akcionářem </w:t>
      </w:r>
      <w:r w:rsidR="000837AA" w:rsidRPr="00CC2CC4">
        <w:rPr>
          <w:rFonts w:ascii="Calibri" w:hAnsi="Calibri" w:cs="Calibri"/>
          <w:color w:val="000000" w:themeColor="text1"/>
        </w:rPr>
        <w:t>Č</w:t>
      </w:r>
      <w:r w:rsidR="00D0396A" w:rsidRPr="00CC2CC4">
        <w:rPr>
          <w:rFonts w:ascii="Calibri" w:hAnsi="Calibri" w:cs="Calibri"/>
          <w:color w:val="000000" w:themeColor="text1"/>
        </w:rPr>
        <w:t>eskomoravské záruční a rozvojové banky, a.s.</w:t>
      </w:r>
      <w:r w:rsidR="00095106">
        <w:rPr>
          <w:rFonts w:ascii="Calibri" w:hAnsi="Calibri" w:cs="Calibri"/>
          <w:color w:val="000000" w:themeColor="text1"/>
        </w:rPr>
        <w:t>,</w:t>
      </w:r>
      <w:r w:rsidR="00D0396A" w:rsidRPr="00CC2CC4">
        <w:rPr>
          <w:rFonts w:ascii="Calibri" w:hAnsi="Calibri" w:cs="Calibri"/>
          <w:color w:val="000000" w:themeColor="text1"/>
        </w:rPr>
        <w:t xml:space="preserve"> (dále také „Č</w:t>
      </w:r>
      <w:r w:rsidR="000837AA" w:rsidRPr="00CC2CC4">
        <w:rPr>
          <w:rFonts w:ascii="Calibri" w:hAnsi="Calibri" w:cs="Calibri"/>
          <w:color w:val="000000" w:themeColor="text1"/>
        </w:rPr>
        <w:t>MZRB</w:t>
      </w:r>
      <w:r w:rsidR="00D0396A" w:rsidRPr="00CC2CC4">
        <w:rPr>
          <w:rFonts w:ascii="Calibri" w:hAnsi="Calibri" w:cs="Calibri"/>
          <w:color w:val="000000" w:themeColor="text1"/>
        </w:rPr>
        <w:t>“)</w:t>
      </w:r>
      <w:r w:rsidR="00D44065" w:rsidRPr="00CC2CC4">
        <w:rPr>
          <w:rFonts w:ascii="Calibri" w:hAnsi="Calibri" w:cs="Calibri"/>
          <w:color w:val="000000" w:themeColor="text1"/>
        </w:rPr>
        <w:t xml:space="preserve"> mělo dojít k přijetí </w:t>
      </w:r>
      <w:r w:rsidR="00095106">
        <w:rPr>
          <w:rFonts w:ascii="Calibri" w:hAnsi="Calibri" w:cs="Calibri"/>
          <w:color w:val="000000" w:themeColor="text1"/>
        </w:rPr>
        <w:t>r</w:t>
      </w:r>
      <w:r w:rsidR="00D44065" w:rsidRPr="00CC2CC4">
        <w:rPr>
          <w:rFonts w:ascii="Calibri" w:hAnsi="Calibri" w:cs="Calibri"/>
          <w:color w:val="000000" w:themeColor="text1"/>
        </w:rPr>
        <w:t xml:space="preserve">ozhodnutí jediného akcionáře v působnosti valné hromady. </w:t>
      </w:r>
      <w:r w:rsidR="00FC1912" w:rsidRPr="00CC2CC4">
        <w:rPr>
          <w:rFonts w:ascii="Calibri" w:hAnsi="Calibri" w:cs="Calibri"/>
          <w:color w:val="000000" w:themeColor="text1"/>
        </w:rPr>
        <w:t>Z</w:t>
      </w:r>
      <w:r w:rsidR="00D44065" w:rsidRPr="00CC2CC4">
        <w:rPr>
          <w:rFonts w:ascii="Calibri" w:hAnsi="Calibri" w:cs="Calibri"/>
          <w:color w:val="000000" w:themeColor="text1"/>
        </w:rPr>
        <w:t xml:space="preserve">ástupci zúčastněných ministerstev se neshodli, jakým způsobem má být projevena jednotná vůle státu </w:t>
      </w:r>
      <w:r w:rsidR="009902F2" w:rsidRPr="00CC2CC4">
        <w:rPr>
          <w:rFonts w:ascii="Calibri" w:hAnsi="Calibri" w:cs="Calibri"/>
          <w:color w:val="000000" w:themeColor="text1"/>
        </w:rPr>
        <w:t>–</w:t>
      </w:r>
      <w:r w:rsidR="00D44065" w:rsidRPr="00CC2CC4">
        <w:rPr>
          <w:rFonts w:ascii="Calibri" w:hAnsi="Calibri" w:cs="Calibri"/>
          <w:color w:val="000000" w:themeColor="text1"/>
        </w:rPr>
        <w:t xml:space="preserve"> zda </w:t>
      </w:r>
      <w:r w:rsidR="000837AA" w:rsidRPr="00CC2CC4">
        <w:rPr>
          <w:rFonts w:ascii="Calibri" w:hAnsi="Calibri" w:cs="Calibri"/>
          <w:color w:val="000000" w:themeColor="text1"/>
        </w:rPr>
        <w:t xml:space="preserve">je </w:t>
      </w:r>
      <w:r w:rsidR="00D44065" w:rsidRPr="00CC2CC4">
        <w:rPr>
          <w:rFonts w:ascii="Calibri" w:hAnsi="Calibri" w:cs="Calibri"/>
          <w:color w:val="000000" w:themeColor="text1"/>
        </w:rPr>
        <w:t>pro přijetí rozhodnutí nutné hlasovat, přičemž postačuje souhlas většiny</w:t>
      </w:r>
      <w:r w:rsidR="00FC1912" w:rsidRPr="00CC2CC4">
        <w:rPr>
          <w:rFonts w:ascii="Calibri" w:hAnsi="Calibri" w:cs="Calibri"/>
          <w:color w:val="000000" w:themeColor="text1"/>
        </w:rPr>
        <w:t>,</w:t>
      </w:r>
      <w:r w:rsidR="00D44065" w:rsidRPr="00CC2CC4">
        <w:rPr>
          <w:rFonts w:ascii="Calibri" w:hAnsi="Calibri" w:cs="Calibri"/>
          <w:color w:val="000000" w:themeColor="text1"/>
        </w:rPr>
        <w:t xml:space="preserve"> nebo je nutný konsensus všech ministerstev podílejících se na výkonu akcionářských práv státu, který bude projeven tím, že k zápisu </w:t>
      </w:r>
      <w:r w:rsidR="00095106">
        <w:rPr>
          <w:rFonts w:ascii="Calibri" w:hAnsi="Calibri" w:cs="Calibri"/>
          <w:color w:val="000000" w:themeColor="text1"/>
        </w:rPr>
        <w:t>r</w:t>
      </w:r>
      <w:r w:rsidR="00D44065" w:rsidRPr="00CC2CC4">
        <w:rPr>
          <w:rFonts w:ascii="Calibri" w:hAnsi="Calibri" w:cs="Calibri"/>
          <w:color w:val="000000" w:themeColor="text1"/>
        </w:rPr>
        <w:t>ozhodnutí jediného akcionáře připojí podpisy všichni oprávněn</w:t>
      </w:r>
      <w:r w:rsidR="00195E7C">
        <w:rPr>
          <w:rFonts w:ascii="Calibri" w:hAnsi="Calibri" w:cs="Calibri"/>
          <w:color w:val="000000" w:themeColor="text1"/>
        </w:rPr>
        <w:t>í</w:t>
      </w:r>
      <w:r w:rsidR="00D44065" w:rsidRPr="00CC2CC4">
        <w:rPr>
          <w:rFonts w:ascii="Calibri" w:hAnsi="Calibri" w:cs="Calibri"/>
          <w:color w:val="000000" w:themeColor="text1"/>
        </w:rPr>
        <w:t xml:space="preserve"> zástupci. </w:t>
      </w:r>
      <w:r w:rsidR="00FC1912" w:rsidRPr="00CC2CC4">
        <w:rPr>
          <w:rFonts w:ascii="Calibri" w:hAnsi="Calibri" w:cs="Calibri"/>
          <w:color w:val="000000" w:themeColor="text1"/>
        </w:rPr>
        <w:t xml:space="preserve">Neexistence pravidel pro řešení uvedené situace způsobila, že </w:t>
      </w:r>
      <w:r w:rsidR="00D44065" w:rsidRPr="00CC2CC4">
        <w:rPr>
          <w:rFonts w:ascii="Calibri" w:hAnsi="Calibri" w:cs="Calibri"/>
          <w:color w:val="000000" w:themeColor="text1"/>
        </w:rPr>
        <w:t>nedošlo k projednání navržených bodů</w:t>
      </w:r>
      <w:r w:rsidR="00FC1912" w:rsidRPr="00CC2CC4">
        <w:rPr>
          <w:rFonts w:ascii="Calibri" w:hAnsi="Calibri" w:cs="Calibri"/>
          <w:color w:val="000000" w:themeColor="text1"/>
        </w:rPr>
        <w:t xml:space="preserve"> a</w:t>
      </w:r>
      <w:r w:rsidR="00CA2299" w:rsidRPr="00CC2CC4">
        <w:rPr>
          <w:rFonts w:ascii="Calibri" w:hAnsi="Calibri" w:cs="Calibri"/>
          <w:color w:val="000000" w:themeColor="text1"/>
        </w:rPr>
        <w:t>ni</w:t>
      </w:r>
      <w:r w:rsidR="00FC1912" w:rsidRPr="00CC2CC4">
        <w:rPr>
          <w:rFonts w:ascii="Calibri" w:hAnsi="Calibri" w:cs="Calibri"/>
          <w:color w:val="000000" w:themeColor="text1"/>
        </w:rPr>
        <w:t xml:space="preserve"> k přijetí </w:t>
      </w:r>
      <w:r w:rsidR="00095106">
        <w:rPr>
          <w:rFonts w:ascii="Calibri" w:hAnsi="Calibri" w:cs="Calibri"/>
          <w:color w:val="000000" w:themeColor="text1"/>
        </w:rPr>
        <w:t>r</w:t>
      </w:r>
      <w:r w:rsidR="00FC1912" w:rsidRPr="00CC2CC4">
        <w:rPr>
          <w:rFonts w:ascii="Calibri" w:hAnsi="Calibri" w:cs="Calibri"/>
          <w:color w:val="000000" w:themeColor="text1"/>
        </w:rPr>
        <w:t>ozhodnutí jediného akcionáře.</w:t>
      </w:r>
      <w:r w:rsidR="00D44065" w:rsidRPr="00CC2CC4">
        <w:rPr>
          <w:rFonts w:ascii="Calibri" w:hAnsi="Calibri" w:cs="Calibri"/>
          <w:color w:val="000000" w:themeColor="text1"/>
        </w:rPr>
        <w:t xml:space="preserve"> </w:t>
      </w:r>
    </w:p>
    <w:p w14:paraId="1D7C7D08" w14:textId="1E7A81A3" w:rsidR="003C3C4E" w:rsidRPr="00CC2CC4" w:rsidRDefault="00645F26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color w:val="000000" w:themeColor="text1"/>
        </w:rPr>
      </w:pPr>
      <w:r w:rsidRPr="00CC2CC4">
        <w:rPr>
          <w:rFonts w:ascii="Calibri" w:hAnsi="Calibri" w:cs="Calibri"/>
          <w:bCs/>
          <w:color w:val="000000" w:themeColor="text1"/>
        </w:rPr>
        <w:t>P</w:t>
      </w:r>
      <w:r w:rsidR="003C3C4E" w:rsidRPr="00CC2CC4">
        <w:rPr>
          <w:rFonts w:ascii="Calibri" w:hAnsi="Calibri" w:cs="Calibri"/>
          <w:bCs/>
          <w:color w:val="000000" w:themeColor="text1"/>
        </w:rPr>
        <w:t>okyny členům orgánů nominovaným státem ministerstva až na výjimky (ústní pokyny doporučujícího charakteru u MZe a MPO, u MPO</w:t>
      </w:r>
      <w:r w:rsidR="00095106">
        <w:rPr>
          <w:rFonts w:ascii="Calibri" w:hAnsi="Calibri" w:cs="Calibri"/>
          <w:bCs/>
          <w:color w:val="000000" w:themeColor="text1"/>
        </w:rPr>
        <w:t>, příp. dohoda o plnění úkolů a 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informační povinnosti) </w:t>
      </w:r>
      <w:r w:rsidR="000837AA" w:rsidRPr="00CC2CC4">
        <w:rPr>
          <w:rFonts w:ascii="Calibri" w:hAnsi="Calibri" w:cs="Calibri"/>
          <w:bCs/>
          <w:color w:val="000000" w:themeColor="text1"/>
        </w:rPr>
        <w:t>nedávala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, dle MF </w:t>
      </w:r>
      <w:r w:rsidR="000837AA" w:rsidRPr="00CC2CC4">
        <w:rPr>
          <w:rFonts w:ascii="Calibri" w:hAnsi="Calibri" w:cs="Calibri"/>
          <w:bCs/>
          <w:color w:val="000000" w:themeColor="text1"/>
        </w:rPr>
        <w:t>byli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členové orgánů informováni o cílech </w:t>
      </w:r>
      <w:r w:rsidR="003C3C4E" w:rsidRPr="00CC2CC4">
        <w:rPr>
          <w:rFonts w:ascii="Calibri" w:hAnsi="Calibri" w:cs="Calibri"/>
          <w:bCs/>
          <w:color w:val="000000" w:themeColor="text1"/>
        </w:rPr>
        <w:lastRenderedPageBreak/>
        <w:t>akcionáře – ministerstva</w:t>
      </w:r>
      <w:r w:rsidR="00195E7C">
        <w:rPr>
          <w:rFonts w:ascii="Calibri" w:hAnsi="Calibri" w:cs="Calibri"/>
          <w:bCs/>
          <w:color w:val="000000" w:themeColor="text1"/>
        </w:rPr>
        <w:t xml:space="preserve"> –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a </w:t>
      </w:r>
      <w:r w:rsidR="000837AA" w:rsidRPr="00CC2CC4">
        <w:rPr>
          <w:rFonts w:ascii="Calibri" w:hAnsi="Calibri" w:cs="Calibri"/>
          <w:bCs/>
          <w:color w:val="000000" w:themeColor="text1"/>
        </w:rPr>
        <w:t>bylo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ponecháno na nich, jakým způsobem budou cíle prosazovat. Kontrola nad nominovanými členy </w:t>
      </w:r>
      <w:r w:rsidR="004E6663" w:rsidRPr="00CC2CC4">
        <w:rPr>
          <w:rFonts w:ascii="Calibri" w:hAnsi="Calibri" w:cs="Calibri"/>
          <w:bCs/>
          <w:color w:val="000000" w:themeColor="text1"/>
        </w:rPr>
        <w:t>spočívala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zejména v možnosti výběru odborníka s dostatečnými znalostmi dané problematiky a potřebnými zkušenostmi a </w:t>
      </w:r>
      <w:r w:rsidR="00195E7C">
        <w:rPr>
          <w:rFonts w:ascii="Calibri" w:hAnsi="Calibri" w:cs="Calibri"/>
          <w:bCs/>
          <w:color w:val="000000" w:themeColor="text1"/>
        </w:rPr>
        <w:t>v 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jeho odvolatelnosti v případě, </w:t>
      </w:r>
      <w:r w:rsidR="00195E7C">
        <w:rPr>
          <w:rFonts w:ascii="Calibri" w:hAnsi="Calibri" w:cs="Calibri"/>
          <w:bCs/>
          <w:color w:val="000000" w:themeColor="text1"/>
        </w:rPr>
        <w:t>kdy by bylo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jeho působení v rozporu se zájmy ministerstva nebo společnosti, případ</w:t>
      </w:r>
      <w:r w:rsidR="00195E7C">
        <w:rPr>
          <w:rFonts w:ascii="Calibri" w:hAnsi="Calibri" w:cs="Calibri"/>
          <w:bCs/>
          <w:color w:val="000000" w:themeColor="text1"/>
        </w:rPr>
        <w:t>n</w:t>
      </w:r>
      <w:r w:rsidR="003C3C4E" w:rsidRPr="00CC2CC4">
        <w:rPr>
          <w:rFonts w:ascii="Calibri" w:hAnsi="Calibri" w:cs="Calibri"/>
          <w:bCs/>
          <w:color w:val="000000" w:themeColor="text1"/>
        </w:rPr>
        <w:t>ě s legislativou (MF)</w:t>
      </w:r>
      <w:r w:rsidRPr="00CC2CC4">
        <w:rPr>
          <w:rFonts w:ascii="Calibri" w:hAnsi="Calibri" w:cs="Calibri"/>
          <w:bCs/>
          <w:color w:val="000000" w:themeColor="text1"/>
        </w:rPr>
        <w:t>.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</w:t>
      </w:r>
    </w:p>
    <w:p w14:paraId="4BD563E9" w14:textId="5CCC1DD5" w:rsidR="003C3C4E" w:rsidRPr="00CC2CC4" w:rsidRDefault="00645F26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CC2CC4">
        <w:rPr>
          <w:rFonts w:ascii="Calibri" w:hAnsi="Calibri" w:cs="Calibri"/>
          <w:bCs/>
          <w:color w:val="000000" w:themeColor="text1"/>
        </w:rPr>
        <w:t>S</w:t>
      </w:r>
      <w:r w:rsidR="003C3C4E" w:rsidRPr="00CC2CC4">
        <w:rPr>
          <w:rFonts w:ascii="Calibri" w:hAnsi="Calibri" w:cs="Calibri"/>
          <w:bCs/>
          <w:color w:val="000000" w:themeColor="text1"/>
        </w:rPr>
        <w:t>amostatné vyhodnocování činnosti členů orgánů společnosti nominovaných státem</w:t>
      </w:r>
      <w:r w:rsidR="00095106">
        <w:rPr>
          <w:rFonts w:ascii="Calibri" w:hAnsi="Calibri" w:cs="Calibri"/>
          <w:bCs/>
          <w:color w:val="000000" w:themeColor="text1"/>
        </w:rPr>
        <w:t>,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zejména při prosazování záměrů a cílů státu</w:t>
      </w:r>
      <w:r w:rsidR="00195E7C">
        <w:rPr>
          <w:rFonts w:ascii="Calibri" w:hAnsi="Calibri" w:cs="Calibri"/>
          <w:bCs/>
          <w:color w:val="000000" w:themeColor="text1"/>
        </w:rPr>
        <w:t>,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včetně zásad odměňování, se </w:t>
      </w:r>
      <w:r w:rsidR="004E6663" w:rsidRPr="00CC2CC4">
        <w:rPr>
          <w:rFonts w:ascii="Calibri" w:hAnsi="Calibri" w:cs="Calibri"/>
          <w:bCs/>
          <w:color w:val="000000" w:themeColor="text1"/>
        </w:rPr>
        <w:t>neprovádělo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, činnost členů orgánů společnosti nominovaných státem </w:t>
      </w:r>
      <w:r w:rsidR="004E6663" w:rsidRPr="00CC2CC4">
        <w:rPr>
          <w:rFonts w:ascii="Calibri" w:hAnsi="Calibri" w:cs="Calibri"/>
          <w:bCs/>
          <w:color w:val="000000" w:themeColor="text1"/>
        </w:rPr>
        <w:t>byla</w:t>
      </w:r>
      <w:r w:rsidR="003C3C4E" w:rsidRPr="00CC2CC4">
        <w:rPr>
          <w:rFonts w:ascii="Calibri" w:hAnsi="Calibri" w:cs="Calibri"/>
          <w:bCs/>
          <w:color w:val="000000" w:themeColor="text1"/>
        </w:rPr>
        <w:t xml:space="preserve"> nepřímo vyhodnocována prostřednictvím </w:t>
      </w:r>
      <w:r w:rsidR="0073040A" w:rsidRPr="00CC2CC4">
        <w:rPr>
          <w:rFonts w:ascii="Calibri" w:hAnsi="Calibri" w:cs="Calibri"/>
          <w:bCs/>
          <w:color w:val="000000" w:themeColor="text1"/>
        </w:rPr>
        <w:t xml:space="preserve">hodnocení </w:t>
      </w:r>
      <w:r w:rsidR="003C3C4E" w:rsidRPr="00CC2CC4">
        <w:rPr>
          <w:rFonts w:ascii="Calibri" w:hAnsi="Calibri" w:cs="Calibri"/>
          <w:bCs/>
          <w:color w:val="000000" w:themeColor="text1"/>
        </w:rPr>
        <w:t>finančních výsledků a</w:t>
      </w:r>
      <w:r w:rsidR="004E6663" w:rsidRPr="00CC2CC4">
        <w:rPr>
          <w:rFonts w:ascii="Calibri" w:hAnsi="Calibri" w:cs="Calibri"/>
          <w:bCs/>
          <w:color w:val="000000" w:themeColor="text1"/>
        </w:rPr>
        <w:t> </w:t>
      </w:r>
      <w:r w:rsidR="003C3C4E" w:rsidRPr="00CC2CC4">
        <w:rPr>
          <w:rFonts w:ascii="Calibri" w:hAnsi="Calibri" w:cs="Calibri"/>
          <w:bCs/>
          <w:color w:val="000000" w:themeColor="text1"/>
        </w:rPr>
        <w:t>ekonomické situace společností a na základě výročních zpráv, které zpravidla obsahují i</w:t>
      </w:r>
      <w:r w:rsidR="004E6663" w:rsidRPr="00CC2CC4">
        <w:rPr>
          <w:rFonts w:ascii="Calibri" w:hAnsi="Calibri" w:cs="Calibri"/>
          <w:bCs/>
          <w:color w:val="000000" w:themeColor="text1"/>
        </w:rPr>
        <w:t> </w:t>
      </w:r>
      <w:r w:rsidR="003C3C4E" w:rsidRPr="00CC2CC4">
        <w:rPr>
          <w:rFonts w:ascii="Calibri" w:hAnsi="Calibri" w:cs="Calibri"/>
          <w:bCs/>
          <w:color w:val="000000" w:themeColor="text1"/>
        </w:rPr>
        <w:t>zprávu o činnosti dozorčí rady</w:t>
      </w:r>
      <w:r w:rsidRPr="00CC2CC4">
        <w:rPr>
          <w:rFonts w:ascii="Calibri" w:hAnsi="Calibri" w:cs="Calibri"/>
          <w:bCs/>
          <w:color w:val="000000" w:themeColor="text1"/>
        </w:rPr>
        <w:t>.</w:t>
      </w:r>
    </w:p>
    <w:p w14:paraId="5466D0D6" w14:textId="77777777" w:rsidR="003C3C4E" w:rsidRPr="00CC2CC4" w:rsidRDefault="00645F26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CC2CC4">
        <w:rPr>
          <w:rFonts w:ascii="Calibri" w:hAnsi="Calibri" w:cs="Calibri"/>
          <w:color w:val="000000" w:themeColor="text1"/>
        </w:rPr>
        <w:t>P</w:t>
      </w:r>
      <w:r w:rsidR="003C3C4E" w:rsidRPr="00CC2CC4">
        <w:rPr>
          <w:rFonts w:ascii="Calibri" w:hAnsi="Calibri" w:cs="Calibri"/>
          <w:color w:val="000000" w:themeColor="text1"/>
        </w:rPr>
        <w:t>odle § 48 odst. 1 písm. k) zákona č. 304/2013 Sb., o veřejných rejstřících právnických a</w:t>
      </w:r>
      <w:r w:rsidR="004E6663" w:rsidRPr="00CC2CC4">
        <w:rPr>
          <w:rFonts w:ascii="Calibri" w:hAnsi="Calibri" w:cs="Calibri"/>
          <w:color w:val="000000" w:themeColor="text1"/>
        </w:rPr>
        <w:t> </w:t>
      </w:r>
      <w:r w:rsidR="003C3C4E" w:rsidRPr="00CC2CC4">
        <w:rPr>
          <w:rFonts w:ascii="Calibri" w:hAnsi="Calibri" w:cs="Calibri"/>
          <w:color w:val="000000" w:themeColor="text1"/>
        </w:rPr>
        <w:t>fyzických osob, se do obchodního rejstříku u akciové společnosti zapisuje také jméno a</w:t>
      </w:r>
      <w:r w:rsidR="00882356" w:rsidRPr="00CC2CC4">
        <w:rPr>
          <w:rFonts w:ascii="Calibri" w:hAnsi="Calibri" w:cs="Calibri"/>
          <w:color w:val="000000" w:themeColor="text1"/>
        </w:rPr>
        <w:t> </w:t>
      </w:r>
      <w:r w:rsidR="003C3C4E" w:rsidRPr="00CC2CC4">
        <w:rPr>
          <w:rFonts w:ascii="Calibri" w:hAnsi="Calibri" w:cs="Calibri"/>
          <w:color w:val="000000" w:themeColor="text1"/>
        </w:rPr>
        <w:t>sídlo nebo adresa místa pobytu, popřípadě také bydliště, liší-li se od adresy místa pobytu, jediného akcionáře.</w:t>
      </w:r>
    </w:p>
    <w:p w14:paraId="076690DD" w14:textId="77777777" w:rsidR="00714A5B" w:rsidRPr="00CC2CC4" w:rsidRDefault="003C3C4E" w:rsidP="00CC2CC4">
      <w:pPr>
        <w:spacing w:after="0" w:line="240" w:lineRule="auto"/>
        <w:ind w:left="284"/>
        <w:jc w:val="both"/>
        <w:rPr>
          <w:rFonts w:cstheme="minorHAnsi"/>
          <w:color w:val="000000" w:themeColor="text1"/>
          <w:sz w:val="24"/>
          <w:szCs w:val="24"/>
        </w:rPr>
      </w:pPr>
      <w:r w:rsidRPr="00CC2CC4">
        <w:rPr>
          <w:rFonts w:cstheme="minorHAnsi"/>
          <w:color w:val="000000" w:themeColor="text1"/>
          <w:sz w:val="24"/>
          <w:szCs w:val="24"/>
        </w:rPr>
        <w:t>V obchodním rejstříku byla informace o jménu jediného akcionáře obchodních společností s majetkovou účastí státu uváděna nejednotně, ze 13 společností bylo u šesti zapsáno příslušné ministerstvo, u čtyř Česká republika a příslušné ministerstvo, u jedné Česká republika (jednalo se o</w:t>
      </w:r>
      <w:r w:rsidR="00796051" w:rsidRPr="00CC2CC4">
        <w:rPr>
          <w:rFonts w:cstheme="minorHAnsi"/>
          <w:color w:val="000000" w:themeColor="text1"/>
          <w:sz w:val="24"/>
          <w:szCs w:val="24"/>
        </w:rPr>
        <w:t xml:space="preserve"> Exportní a garanční pojišťovací společnost, a.s.</w:t>
      </w:r>
      <w:r w:rsidRPr="00CC2CC4">
        <w:rPr>
          <w:rFonts w:cstheme="minorHAnsi"/>
          <w:color w:val="000000" w:themeColor="text1"/>
          <w:sz w:val="24"/>
          <w:szCs w:val="24"/>
        </w:rPr>
        <w:t>,</w:t>
      </w:r>
      <w:r w:rsidR="00775553" w:rsidRPr="00CC2CC4">
        <w:rPr>
          <w:rFonts w:cstheme="minorHAnsi"/>
          <w:color w:val="000000" w:themeColor="text1"/>
          <w:sz w:val="24"/>
          <w:szCs w:val="24"/>
        </w:rPr>
        <w:t xml:space="preserve"> v níž má majetkovou účast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více ministerstev) a</w:t>
      </w:r>
      <w:r w:rsidR="00882356" w:rsidRPr="00CC2CC4">
        <w:rPr>
          <w:rFonts w:cstheme="minorHAnsi"/>
          <w:color w:val="000000" w:themeColor="text1"/>
          <w:sz w:val="24"/>
          <w:szCs w:val="24"/>
        </w:rPr>
        <w:t> </w:t>
      </w:r>
      <w:r w:rsidRPr="00CC2CC4">
        <w:rPr>
          <w:rFonts w:cstheme="minorHAnsi"/>
          <w:color w:val="000000" w:themeColor="text1"/>
          <w:sz w:val="24"/>
          <w:szCs w:val="24"/>
        </w:rPr>
        <w:t>u</w:t>
      </w:r>
      <w:r w:rsidR="00882356" w:rsidRPr="00CC2CC4">
        <w:rPr>
          <w:rFonts w:cstheme="minorHAnsi"/>
          <w:color w:val="000000" w:themeColor="text1"/>
          <w:sz w:val="24"/>
          <w:szCs w:val="24"/>
        </w:rPr>
        <w:t> </w:t>
      </w:r>
      <w:r w:rsidRPr="00CC2CC4">
        <w:rPr>
          <w:rFonts w:cstheme="minorHAnsi"/>
          <w:color w:val="000000" w:themeColor="text1"/>
          <w:sz w:val="24"/>
          <w:szCs w:val="24"/>
        </w:rPr>
        <w:t>dvou</w:t>
      </w:r>
      <w:r w:rsidR="00255C92" w:rsidRPr="00CC2CC4">
        <w:rPr>
          <w:rFonts w:cstheme="minorHAnsi"/>
          <w:color w:val="000000" w:themeColor="text1"/>
          <w:sz w:val="24"/>
          <w:szCs w:val="24"/>
        </w:rPr>
        <w:t xml:space="preserve"> zápis v době kontroly chyběl.</w:t>
      </w:r>
    </w:p>
    <w:p w14:paraId="04D03013" w14:textId="41D13E5D" w:rsidR="00012346" w:rsidRPr="00CC2CC4" w:rsidRDefault="00E4174C" w:rsidP="00CC2CC4">
      <w:pPr>
        <w:pStyle w:val="Odstavecseseznamem"/>
        <w:numPr>
          <w:ilvl w:val="0"/>
          <w:numId w:val="16"/>
        </w:numPr>
        <w:ind w:left="284" w:hanging="284"/>
        <w:jc w:val="both"/>
        <w:rPr>
          <w:rFonts w:ascii="Calibri" w:hAnsi="Calibri" w:cs="Calibri"/>
          <w:bCs/>
          <w:color w:val="000000" w:themeColor="text1"/>
        </w:rPr>
      </w:pPr>
      <w:r w:rsidRPr="00CC2CC4">
        <w:rPr>
          <w:rFonts w:ascii="Calibri" w:hAnsi="Calibri" w:cs="Calibri"/>
          <w:color w:val="000000" w:themeColor="text1"/>
        </w:rPr>
        <w:t>U kontrolovaných ministerstev byly zjištěny problémy se zachycením majetkových účastí a</w:t>
      </w:r>
      <w:r w:rsidR="00B36DAC" w:rsidRPr="00CC2CC4">
        <w:rPr>
          <w:rFonts w:ascii="Calibri" w:hAnsi="Calibri" w:cs="Calibri"/>
          <w:color w:val="000000" w:themeColor="text1"/>
        </w:rPr>
        <w:t> </w:t>
      </w:r>
      <w:r w:rsidRPr="00CC2CC4">
        <w:rPr>
          <w:rFonts w:ascii="Calibri" w:hAnsi="Calibri" w:cs="Calibri"/>
          <w:color w:val="000000" w:themeColor="text1"/>
        </w:rPr>
        <w:t>jejich změn v</w:t>
      </w:r>
      <w:r w:rsidR="00012346" w:rsidRPr="00CC2CC4">
        <w:rPr>
          <w:rFonts w:ascii="Calibri" w:hAnsi="Calibri" w:cs="Calibri"/>
          <w:color w:val="000000" w:themeColor="text1"/>
        </w:rPr>
        <w:t> </w:t>
      </w:r>
      <w:r w:rsidRPr="00CC2CC4">
        <w:rPr>
          <w:rFonts w:ascii="Calibri" w:hAnsi="Calibri" w:cs="Calibri"/>
          <w:color w:val="000000" w:themeColor="text1"/>
        </w:rPr>
        <w:t>účetnictví</w:t>
      </w:r>
      <w:r w:rsidR="00012346" w:rsidRPr="00CC2CC4">
        <w:rPr>
          <w:rFonts w:ascii="Calibri" w:hAnsi="Calibri" w:cs="Calibri"/>
          <w:color w:val="000000" w:themeColor="text1"/>
        </w:rPr>
        <w:t xml:space="preserve">, </w:t>
      </w:r>
      <w:r w:rsidR="008C35DF">
        <w:rPr>
          <w:rFonts w:ascii="Calibri" w:hAnsi="Calibri" w:cs="Calibri"/>
          <w:color w:val="000000" w:themeColor="text1"/>
        </w:rPr>
        <w:t>neboť</w:t>
      </w:r>
      <w:r w:rsidR="00012346" w:rsidRPr="00CC2CC4">
        <w:rPr>
          <w:rFonts w:ascii="Calibri" w:hAnsi="Calibri" w:cs="Calibri"/>
          <w:color w:val="000000" w:themeColor="text1"/>
        </w:rPr>
        <w:t xml:space="preserve"> ministerstva v kontrolovaném období neúčtovala o</w:t>
      </w:r>
      <w:r w:rsidR="00882356" w:rsidRPr="00CC2CC4">
        <w:rPr>
          <w:rFonts w:ascii="Calibri" w:hAnsi="Calibri" w:cs="Calibri"/>
          <w:color w:val="000000" w:themeColor="text1"/>
        </w:rPr>
        <w:t> </w:t>
      </w:r>
      <w:r w:rsidR="00012346" w:rsidRPr="00CC2CC4">
        <w:rPr>
          <w:rFonts w:ascii="Calibri" w:hAnsi="Calibri" w:cs="Calibri"/>
          <w:color w:val="000000" w:themeColor="text1"/>
        </w:rPr>
        <w:t>majetkových účastech státu vždy v souladu se zákonem č. 563/1991 Sb., o účetnictví</w:t>
      </w:r>
      <w:r w:rsidR="00095106">
        <w:rPr>
          <w:rFonts w:ascii="Calibri" w:hAnsi="Calibri" w:cs="Calibri"/>
          <w:color w:val="000000" w:themeColor="text1"/>
        </w:rPr>
        <w:t>,</w:t>
      </w:r>
      <w:r w:rsidR="00012346" w:rsidRPr="00CC2CC4">
        <w:rPr>
          <w:rFonts w:ascii="Calibri" w:hAnsi="Calibri" w:cs="Calibri"/>
          <w:color w:val="000000" w:themeColor="text1"/>
        </w:rPr>
        <w:t xml:space="preserve"> a</w:t>
      </w:r>
      <w:r w:rsidR="008C35DF">
        <w:rPr>
          <w:rFonts w:ascii="Calibri" w:hAnsi="Calibri" w:cs="Calibri"/>
          <w:color w:val="000000" w:themeColor="text1"/>
        </w:rPr>
        <w:t xml:space="preserve">ni v souladu </w:t>
      </w:r>
      <w:r w:rsidR="00012346" w:rsidRPr="00CC2CC4">
        <w:rPr>
          <w:rFonts w:ascii="Calibri" w:hAnsi="Calibri" w:cs="Calibri"/>
          <w:color w:val="000000" w:themeColor="text1"/>
        </w:rPr>
        <w:t>s</w:t>
      </w:r>
      <w:r w:rsidR="00931522" w:rsidRPr="00CC2CC4">
        <w:rPr>
          <w:rFonts w:ascii="Calibri" w:hAnsi="Calibri" w:cs="Calibri"/>
          <w:color w:val="000000" w:themeColor="text1"/>
        </w:rPr>
        <w:t> </w:t>
      </w:r>
      <w:r w:rsidR="00012346" w:rsidRPr="00CC2CC4">
        <w:rPr>
          <w:rFonts w:ascii="Calibri" w:hAnsi="Calibri" w:cs="Calibri"/>
          <w:color w:val="000000" w:themeColor="text1"/>
        </w:rPr>
        <w:t>vyhláškou č. 410/2009 Sb., kterou se provádějí některá ustanovení zákona č.</w:t>
      </w:r>
      <w:r w:rsidR="00882356" w:rsidRPr="00CC2CC4">
        <w:rPr>
          <w:rFonts w:ascii="Calibri" w:hAnsi="Calibri" w:cs="Calibri"/>
          <w:color w:val="000000" w:themeColor="text1"/>
        </w:rPr>
        <w:t> </w:t>
      </w:r>
      <w:r w:rsidR="00012346" w:rsidRPr="00CC2CC4">
        <w:rPr>
          <w:rFonts w:ascii="Calibri" w:hAnsi="Calibri" w:cs="Calibri"/>
          <w:color w:val="000000" w:themeColor="text1"/>
        </w:rPr>
        <w:t>563/1991</w:t>
      </w:r>
      <w:r w:rsidR="00931522" w:rsidRPr="00CC2CC4">
        <w:rPr>
          <w:rFonts w:ascii="Calibri" w:hAnsi="Calibri" w:cs="Calibri"/>
          <w:color w:val="000000" w:themeColor="text1"/>
        </w:rPr>
        <w:t> </w:t>
      </w:r>
      <w:r w:rsidR="00012346" w:rsidRPr="00CC2CC4">
        <w:rPr>
          <w:rFonts w:ascii="Calibri" w:hAnsi="Calibri" w:cs="Calibri"/>
          <w:color w:val="000000" w:themeColor="text1"/>
        </w:rPr>
        <w:t>Sb., o účetnictví, ve znění pozdějších předpisů, pro některé vybrané účetní jednotky. Nedostatky se týkaly např. ocenění akcií přijatých jako nefinanční dividenda za roky 2013 a 2014 (ČMZRB),</w:t>
      </w:r>
      <w:r w:rsidR="00C3675F" w:rsidRPr="00CC2CC4">
        <w:rPr>
          <w:rFonts w:ascii="Calibri" w:hAnsi="Calibri" w:cs="Calibri"/>
          <w:color w:val="000000" w:themeColor="text1"/>
        </w:rPr>
        <w:t xml:space="preserve"> </w:t>
      </w:r>
      <w:r w:rsidR="00012346" w:rsidRPr="00CC2CC4">
        <w:rPr>
          <w:rFonts w:ascii="Calibri" w:hAnsi="Calibri" w:cs="Calibri"/>
          <w:color w:val="000000" w:themeColor="text1"/>
        </w:rPr>
        <w:t>navýšení jmenovité hodnoty akcií, ke kterému došlo v souvislosti se zvýšením základního kapitálu z vlastních zdrojů společnosti (MUFIS a.s.), vykazování majetkových účastí podle míry vlivu</w:t>
      </w:r>
      <w:r w:rsidR="00227120" w:rsidRPr="00CC2CC4">
        <w:rPr>
          <w:rFonts w:ascii="Calibri" w:hAnsi="Calibri" w:cs="Calibri"/>
          <w:color w:val="000000" w:themeColor="text1"/>
        </w:rPr>
        <w:t>. Zde</w:t>
      </w:r>
      <w:r w:rsidR="00012346" w:rsidRPr="00CC2CC4">
        <w:rPr>
          <w:rFonts w:ascii="Calibri" w:hAnsi="Calibri" w:cs="Calibri"/>
          <w:color w:val="000000" w:themeColor="text1"/>
        </w:rPr>
        <w:t xml:space="preserve"> stále negativně působí nedostatečnost právních předpisů regulujících účetnictví a výkaznictví organizačních složek státu v oblasti majetkových účastí státu, </w:t>
      </w:r>
      <w:r w:rsidR="008C35DF">
        <w:rPr>
          <w:rFonts w:ascii="Calibri" w:hAnsi="Calibri" w:cs="Calibri"/>
          <w:color w:val="000000" w:themeColor="text1"/>
        </w:rPr>
        <w:t>v důsledku čehož není možné</w:t>
      </w:r>
      <w:r w:rsidR="00012346" w:rsidRPr="00CC2CC4">
        <w:rPr>
          <w:rFonts w:ascii="Calibri" w:hAnsi="Calibri" w:cs="Calibri"/>
          <w:color w:val="000000" w:themeColor="text1"/>
        </w:rPr>
        <w:t xml:space="preserve"> tyto předpisy jednoznačně aplikovat. Na tuto skutečnost NKÚ v</w:t>
      </w:r>
      <w:r w:rsidR="008C1204" w:rsidRPr="00CC2CC4">
        <w:rPr>
          <w:rFonts w:ascii="Calibri" w:hAnsi="Calibri" w:cs="Calibri"/>
          <w:color w:val="000000" w:themeColor="text1"/>
        </w:rPr>
        <w:t> </w:t>
      </w:r>
      <w:r w:rsidR="00012346" w:rsidRPr="00CC2CC4">
        <w:rPr>
          <w:rFonts w:ascii="Calibri" w:hAnsi="Calibri" w:cs="Calibri"/>
          <w:color w:val="000000" w:themeColor="text1"/>
        </w:rPr>
        <w:t>minulosti</w:t>
      </w:r>
      <w:r w:rsidR="008C1204" w:rsidRPr="00CC2CC4">
        <w:rPr>
          <w:rFonts w:ascii="Calibri" w:hAnsi="Calibri" w:cs="Calibri"/>
          <w:color w:val="000000" w:themeColor="text1"/>
        </w:rPr>
        <w:t xml:space="preserve"> opakovaně</w:t>
      </w:r>
      <w:r w:rsidR="00012346" w:rsidRPr="00CC2CC4">
        <w:rPr>
          <w:rFonts w:ascii="Calibri" w:hAnsi="Calibri" w:cs="Calibri"/>
          <w:color w:val="000000" w:themeColor="text1"/>
        </w:rPr>
        <w:t xml:space="preserve"> upozorňoval</w:t>
      </w:r>
      <w:r w:rsidR="000332AA" w:rsidRPr="00CC2CC4">
        <w:rPr>
          <w:rFonts w:ascii="Calibri" w:hAnsi="Calibri" w:cs="Calibri"/>
          <w:color w:val="000000" w:themeColor="text1"/>
        </w:rPr>
        <w:t>.</w:t>
      </w:r>
    </w:p>
    <w:p w14:paraId="41D10ED0" w14:textId="77777777" w:rsidR="00227120" w:rsidRPr="00CC2CC4" w:rsidRDefault="00227120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0C320719" w14:textId="77777777" w:rsidR="00714A5B" w:rsidRPr="00CC2CC4" w:rsidRDefault="006629E0" w:rsidP="00CC2CC4">
      <w:pPr>
        <w:spacing w:after="0" w:line="240" w:lineRule="auto"/>
        <w:jc w:val="both"/>
        <w:rPr>
          <w:rFonts w:cstheme="minorHAnsi"/>
          <w:b/>
          <w:color w:val="000000" w:themeColor="text1"/>
          <w:sz w:val="24"/>
          <w:szCs w:val="24"/>
        </w:rPr>
      </w:pPr>
      <w:r w:rsidRPr="00CC2CC4">
        <w:rPr>
          <w:rFonts w:cstheme="minorHAnsi"/>
          <w:b/>
          <w:color w:val="000000" w:themeColor="text1"/>
          <w:sz w:val="24"/>
          <w:szCs w:val="24"/>
        </w:rPr>
        <w:t xml:space="preserve">4.2 </w:t>
      </w:r>
      <w:r w:rsidR="00227120" w:rsidRPr="00CC2CC4">
        <w:rPr>
          <w:rFonts w:cstheme="minorHAnsi"/>
          <w:b/>
          <w:color w:val="000000" w:themeColor="text1"/>
          <w:sz w:val="24"/>
          <w:szCs w:val="24"/>
        </w:rPr>
        <w:t>M</w:t>
      </w:r>
      <w:r w:rsidR="00714A5B" w:rsidRPr="00CC2CC4">
        <w:rPr>
          <w:rFonts w:cstheme="minorHAnsi"/>
          <w:b/>
          <w:color w:val="000000" w:themeColor="text1"/>
          <w:sz w:val="24"/>
          <w:szCs w:val="24"/>
        </w:rPr>
        <w:t>inisterstvo financí</w:t>
      </w:r>
      <w:r w:rsidR="00227120" w:rsidRPr="00CC2CC4">
        <w:rPr>
          <w:rFonts w:cstheme="minorHAnsi"/>
          <w:b/>
          <w:color w:val="000000" w:themeColor="text1"/>
          <w:sz w:val="24"/>
          <w:szCs w:val="24"/>
        </w:rPr>
        <w:t xml:space="preserve"> </w:t>
      </w:r>
    </w:p>
    <w:p w14:paraId="76471322" w14:textId="77777777" w:rsidR="00CC2CC4" w:rsidRDefault="00CC2CC4" w:rsidP="00CC2CC4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cstheme="minorHAnsi"/>
          <w:color w:val="000000" w:themeColor="text1"/>
          <w:sz w:val="24"/>
          <w:szCs w:val="24"/>
        </w:rPr>
      </w:pPr>
    </w:p>
    <w:p w14:paraId="1FB60361" w14:textId="26E57B9C" w:rsidR="00714A5B" w:rsidRPr="00CC2CC4" w:rsidRDefault="00714A5B" w:rsidP="00CC2CC4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cstheme="minorHAnsi"/>
          <w:color w:val="000000" w:themeColor="text1"/>
          <w:sz w:val="24"/>
          <w:szCs w:val="24"/>
          <w:lang w:eastAsia="cs-CZ"/>
        </w:rPr>
      </w:pPr>
      <w:r w:rsidRPr="00CC2CC4">
        <w:rPr>
          <w:rFonts w:cstheme="minorHAnsi"/>
          <w:color w:val="000000" w:themeColor="text1"/>
          <w:sz w:val="24"/>
          <w:szCs w:val="24"/>
        </w:rPr>
        <w:t xml:space="preserve">MF </w:t>
      </w:r>
      <w:r w:rsidR="008C35DF">
        <w:rPr>
          <w:rFonts w:cstheme="minorHAnsi"/>
          <w:color w:val="000000" w:themeColor="text1"/>
          <w:sz w:val="24"/>
          <w:szCs w:val="24"/>
        </w:rPr>
        <w:t>bylo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k</w:t>
      </w:r>
      <w:r w:rsidR="00307745" w:rsidRPr="00CC2CC4">
        <w:rPr>
          <w:rFonts w:cstheme="minorHAnsi"/>
          <w:color w:val="000000" w:themeColor="text1"/>
          <w:sz w:val="24"/>
          <w:szCs w:val="24"/>
        </w:rPr>
        <w:t xml:space="preserve"> 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31. 12. 2013 </w:t>
      </w:r>
      <w:r w:rsidR="008C35DF">
        <w:rPr>
          <w:rFonts w:cstheme="minorHAnsi"/>
          <w:color w:val="000000" w:themeColor="text1"/>
          <w:sz w:val="24"/>
          <w:szCs w:val="24"/>
        </w:rPr>
        <w:t>příslušné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hospodařit </w:t>
      </w:r>
      <w:r w:rsidR="008C35DF">
        <w:rPr>
          <w:rFonts w:cstheme="minorHAnsi"/>
          <w:color w:val="000000" w:themeColor="text1"/>
          <w:sz w:val="24"/>
          <w:szCs w:val="24"/>
        </w:rPr>
        <w:t>s</w:t>
      </w:r>
      <w:r w:rsidR="001A61AB" w:rsidRPr="00CC2CC4">
        <w:rPr>
          <w:rFonts w:cstheme="minorHAnsi"/>
          <w:color w:val="000000" w:themeColor="text1"/>
          <w:sz w:val="24"/>
          <w:szCs w:val="24"/>
        </w:rPr>
        <w:t> majetkovým</w:t>
      </w:r>
      <w:r w:rsidR="008C35DF">
        <w:rPr>
          <w:rFonts w:cstheme="minorHAnsi"/>
          <w:color w:val="000000" w:themeColor="text1"/>
          <w:sz w:val="24"/>
          <w:szCs w:val="24"/>
        </w:rPr>
        <w:t>i</w:t>
      </w:r>
      <w:r w:rsidR="001A61AB" w:rsidRPr="00CC2CC4">
        <w:rPr>
          <w:rFonts w:cstheme="minorHAnsi"/>
          <w:color w:val="000000" w:themeColor="text1"/>
          <w:sz w:val="24"/>
          <w:szCs w:val="24"/>
        </w:rPr>
        <w:t xml:space="preserve"> účastm</w:t>
      </w:r>
      <w:r w:rsidR="008C35DF">
        <w:rPr>
          <w:rFonts w:cstheme="minorHAnsi"/>
          <w:color w:val="000000" w:themeColor="text1"/>
          <w:sz w:val="24"/>
          <w:szCs w:val="24"/>
        </w:rPr>
        <w:t>i</w:t>
      </w:r>
      <w:r w:rsidR="005F1441" w:rsidRPr="00CC2CC4">
        <w:rPr>
          <w:rFonts w:cstheme="minorHAnsi"/>
          <w:color w:val="000000" w:themeColor="text1"/>
          <w:sz w:val="24"/>
          <w:szCs w:val="24"/>
        </w:rPr>
        <w:t xml:space="preserve"> státu v 61 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společnostech, k 31. 12. 2014 pak </w:t>
      </w:r>
      <w:r w:rsidR="008C35DF">
        <w:rPr>
          <w:rFonts w:cstheme="minorHAnsi"/>
          <w:color w:val="000000" w:themeColor="text1"/>
          <w:sz w:val="24"/>
          <w:szCs w:val="24"/>
        </w:rPr>
        <w:t>s</w:t>
      </w:r>
      <w:r w:rsidR="001A61AB" w:rsidRPr="00CC2CC4">
        <w:rPr>
          <w:rFonts w:cstheme="minorHAnsi"/>
          <w:color w:val="000000" w:themeColor="text1"/>
          <w:sz w:val="24"/>
          <w:szCs w:val="24"/>
        </w:rPr>
        <w:t> majetkovým</w:t>
      </w:r>
      <w:r w:rsidR="008C35DF">
        <w:rPr>
          <w:rFonts w:cstheme="minorHAnsi"/>
          <w:color w:val="000000" w:themeColor="text1"/>
          <w:sz w:val="24"/>
          <w:szCs w:val="24"/>
        </w:rPr>
        <w:t>i</w:t>
      </w:r>
      <w:r w:rsidR="001A61AB" w:rsidRPr="00CC2CC4">
        <w:rPr>
          <w:rFonts w:cstheme="minorHAnsi"/>
          <w:color w:val="000000" w:themeColor="text1"/>
          <w:sz w:val="24"/>
          <w:szCs w:val="24"/>
        </w:rPr>
        <w:t xml:space="preserve"> účastm</w:t>
      </w:r>
      <w:r w:rsidR="008C35DF">
        <w:rPr>
          <w:rFonts w:cstheme="minorHAnsi"/>
          <w:color w:val="000000" w:themeColor="text1"/>
          <w:sz w:val="24"/>
          <w:szCs w:val="24"/>
        </w:rPr>
        <w:t>i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v</w:t>
      </w:r>
      <w:r w:rsidR="00307745" w:rsidRPr="00CC2CC4">
        <w:rPr>
          <w:rFonts w:cstheme="minorHAnsi"/>
          <w:color w:val="000000" w:themeColor="text1"/>
          <w:sz w:val="24"/>
          <w:szCs w:val="24"/>
        </w:rPr>
        <w:t xml:space="preserve"> </w:t>
      </w:r>
      <w:r w:rsidR="005F1441" w:rsidRPr="00CC2CC4">
        <w:rPr>
          <w:rFonts w:cstheme="minorHAnsi"/>
          <w:color w:val="000000" w:themeColor="text1"/>
          <w:sz w:val="24"/>
          <w:szCs w:val="24"/>
        </w:rPr>
        <w:t>57 společnostech. Ke</w:t>
      </w:r>
      <w:r w:rsidR="00FF7AAD">
        <w:rPr>
          <w:rFonts w:cstheme="minorHAnsi"/>
          <w:color w:val="000000" w:themeColor="text1"/>
          <w:sz w:val="24"/>
          <w:szCs w:val="24"/>
        </w:rPr>
        <w:t xml:space="preserve"> 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kontrole správy </w:t>
      </w:r>
      <w:r w:rsidR="001A61AB" w:rsidRPr="00CC2CC4">
        <w:rPr>
          <w:rFonts w:cstheme="minorHAnsi"/>
          <w:color w:val="000000" w:themeColor="text1"/>
          <w:sz w:val="24"/>
          <w:szCs w:val="24"/>
        </w:rPr>
        <w:t>majetkových účastí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byly vybrány </w:t>
      </w:r>
      <w:r w:rsidR="001A61AB" w:rsidRPr="00CC2CC4">
        <w:rPr>
          <w:rFonts w:cstheme="minorHAnsi"/>
          <w:color w:val="000000" w:themeColor="text1"/>
          <w:sz w:val="24"/>
          <w:szCs w:val="24"/>
        </w:rPr>
        <w:t>majetkové účasti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 státu </w:t>
      </w:r>
      <w:r w:rsidR="006C1CC9" w:rsidRPr="00CC2CC4">
        <w:rPr>
          <w:rFonts w:cstheme="minorHAnsi"/>
          <w:color w:val="000000" w:themeColor="text1"/>
          <w:sz w:val="24"/>
          <w:szCs w:val="24"/>
        </w:rPr>
        <w:t xml:space="preserve">ve </w:t>
      </w:r>
      <w:r w:rsidR="005F1441" w:rsidRPr="00CC2CC4">
        <w:rPr>
          <w:rFonts w:cstheme="minorHAnsi"/>
          <w:color w:val="000000" w:themeColor="text1"/>
          <w:sz w:val="24"/>
          <w:szCs w:val="24"/>
        </w:rPr>
        <w:t>25 </w:t>
      </w:r>
      <w:r w:rsidRPr="00CC2CC4">
        <w:rPr>
          <w:rFonts w:cstheme="minorHAnsi"/>
          <w:color w:val="000000" w:themeColor="text1"/>
          <w:sz w:val="24"/>
          <w:szCs w:val="24"/>
        </w:rPr>
        <w:t>společnost</w:t>
      </w:r>
      <w:r w:rsidR="006C1CC9" w:rsidRPr="00CC2CC4">
        <w:rPr>
          <w:rFonts w:cstheme="minorHAnsi"/>
          <w:color w:val="000000" w:themeColor="text1"/>
          <w:sz w:val="24"/>
          <w:szCs w:val="24"/>
        </w:rPr>
        <w:t>ech</w:t>
      </w:r>
      <w:r w:rsidRPr="00CC2CC4">
        <w:rPr>
          <w:rFonts w:cstheme="minorHAnsi"/>
          <w:color w:val="000000" w:themeColor="text1"/>
          <w:sz w:val="24"/>
          <w:szCs w:val="24"/>
        </w:rPr>
        <w:t xml:space="preserve">. 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U těchto společností, ať již vznikly před </w:t>
      </w:r>
      <w:r w:rsidR="00AE387B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nebo po 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>účinnost</w:t>
      </w:r>
      <w:r w:rsidR="00AE387B" w:rsidRPr="00CC2CC4">
        <w:rPr>
          <w:rFonts w:cstheme="minorHAnsi"/>
          <w:color w:val="000000" w:themeColor="text1"/>
          <w:sz w:val="24"/>
          <w:szCs w:val="24"/>
          <w:lang w:eastAsia="cs-CZ"/>
        </w:rPr>
        <w:t>i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 zákona č.</w:t>
      </w:r>
      <w:r w:rsidR="00882356" w:rsidRPr="00CC2CC4">
        <w:rPr>
          <w:rFonts w:cstheme="minorHAnsi"/>
          <w:color w:val="000000" w:themeColor="text1"/>
          <w:sz w:val="24"/>
          <w:szCs w:val="24"/>
          <w:lang w:eastAsia="cs-CZ"/>
        </w:rPr>
        <w:t> 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>219/2000</w:t>
      </w:r>
      <w:r w:rsidR="00882356" w:rsidRPr="00CC2CC4">
        <w:rPr>
          <w:rFonts w:cstheme="minorHAnsi"/>
          <w:color w:val="000000" w:themeColor="text1"/>
          <w:sz w:val="24"/>
          <w:szCs w:val="24"/>
          <w:lang w:eastAsia="cs-CZ"/>
        </w:rPr>
        <w:t> 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>Sb., vykonávali práva akcionáře zaměstnanci MF na</w:t>
      </w:r>
      <w:r w:rsidR="00FF7AAD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základě </w:t>
      </w:r>
      <w:r w:rsidR="0043092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pověření 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>udělené</w:t>
      </w:r>
      <w:r w:rsidR="0043092F" w:rsidRPr="00CC2CC4">
        <w:rPr>
          <w:rFonts w:cstheme="minorHAnsi"/>
          <w:color w:val="000000" w:themeColor="text1"/>
          <w:sz w:val="24"/>
          <w:szCs w:val="24"/>
          <w:lang w:eastAsia="cs-CZ"/>
        </w:rPr>
        <w:t>ho</w:t>
      </w:r>
      <w:r w:rsidR="00346A6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 ministrem financí, příp. tato práva vykonával ministr financí osobně</w:t>
      </w:r>
      <w:r w:rsidR="0043092F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. </w:t>
      </w:r>
      <w:r w:rsidR="00086242" w:rsidRPr="00CC2CC4">
        <w:rPr>
          <w:rFonts w:cstheme="minorHAnsi"/>
          <w:color w:val="000000" w:themeColor="text1"/>
          <w:sz w:val="24"/>
          <w:szCs w:val="24"/>
          <w:lang w:eastAsia="cs-CZ"/>
        </w:rPr>
        <w:t>U</w:t>
      </w:r>
      <w:r w:rsidR="00A865A7" w:rsidRPr="00CC2CC4">
        <w:rPr>
          <w:rFonts w:cstheme="minorHAnsi"/>
          <w:color w:val="000000" w:themeColor="text1"/>
          <w:sz w:val="24"/>
          <w:szCs w:val="24"/>
          <w:lang w:eastAsia="cs-CZ"/>
        </w:rPr>
        <w:t> </w:t>
      </w:r>
      <w:r w:rsidR="0070255A" w:rsidRPr="00CC2CC4">
        <w:rPr>
          <w:rFonts w:cstheme="minorHAnsi"/>
          <w:color w:val="000000" w:themeColor="text1"/>
          <w:sz w:val="24"/>
          <w:szCs w:val="24"/>
          <w:lang w:eastAsia="cs-CZ"/>
        </w:rPr>
        <w:t>pěti společností nebyla akcionářská práva s ohledem na nízk</w:t>
      </w:r>
      <w:r w:rsidR="00BC3B0A" w:rsidRPr="00CC2CC4">
        <w:rPr>
          <w:rFonts w:cstheme="minorHAnsi"/>
          <w:color w:val="000000" w:themeColor="text1"/>
          <w:sz w:val="24"/>
          <w:szCs w:val="24"/>
          <w:lang w:eastAsia="cs-CZ"/>
        </w:rPr>
        <w:t>ý podíl</w:t>
      </w:r>
      <w:r w:rsidR="0070255A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 </w:t>
      </w:r>
      <w:r w:rsidR="001A61AB" w:rsidRPr="00CC2CC4">
        <w:rPr>
          <w:rFonts w:cstheme="minorHAnsi"/>
          <w:color w:val="000000" w:themeColor="text1"/>
          <w:sz w:val="24"/>
          <w:szCs w:val="24"/>
          <w:lang w:eastAsia="cs-CZ"/>
        </w:rPr>
        <w:t>majetkové účasti</w:t>
      </w:r>
      <w:r w:rsidR="0070255A" w:rsidRPr="00CC2CC4">
        <w:rPr>
          <w:rFonts w:cstheme="minorHAnsi"/>
          <w:color w:val="000000" w:themeColor="text1"/>
          <w:sz w:val="24"/>
          <w:szCs w:val="24"/>
          <w:lang w:eastAsia="cs-CZ"/>
        </w:rPr>
        <w:t xml:space="preserve"> státu aktivně vykonávána. </w:t>
      </w:r>
    </w:p>
    <w:p w14:paraId="7C0B2E0E" w14:textId="53F2BC7B" w:rsidR="002F6B9E" w:rsidRDefault="002F6B9E">
      <w:pPr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br w:type="page"/>
      </w:r>
    </w:p>
    <w:p w14:paraId="0264E189" w14:textId="77777777" w:rsidR="007B6613" w:rsidRDefault="00796051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2CC4">
        <w:rPr>
          <w:rFonts w:cstheme="minorHAnsi"/>
          <w:color w:val="000000" w:themeColor="text1"/>
          <w:sz w:val="24"/>
          <w:szCs w:val="24"/>
        </w:rPr>
        <w:lastRenderedPageBreak/>
        <w:t>Kontrolou bylo zjištěno:</w:t>
      </w:r>
    </w:p>
    <w:p w14:paraId="732CF77E" w14:textId="77777777" w:rsidR="00CC2CC4" w:rsidRPr="00CC2CC4" w:rsidRDefault="00CC2CC4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1F1F9BDB" w14:textId="1CCB49ED" w:rsidR="00714A5B" w:rsidRPr="00485081" w:rsidRDefault="00714A5B" w:rsidP="00CC2CC4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color w:val="000000" w:themeColor="text1"/>
          <w:sz w:val="24"/>
          <w:szCs w:val="24"/>
          <w:lang w:eastAsia="cs-CZ"/>
        </w:rPr>
      </w:pPr>
      <w:r w:rsidRPr="00485081">
        <w:rPr>
          <w:rFonts w:cstheme="minorHAnsi"/>
          <w:b/>
          <w:color w:val="000000" w:themeColor="text1"/>
          <w:sz w:val="24"/>
          <w:szCs w:val="24"/>
          <w:lang w:eastAsia="cs-CZ"/>
        </w:rPr>
        <w:t>Oblast správy</w:t>
      </w:r>
      <w:r w:rsidR="001A61AB" w:rsidRPr="00485081">
        <w:rPr>
          <w:rFonts w:cstheme="minorHAnsi"/>
          <w:b/>
          <w:color w:val="000000" w:themeColor="text1"/>
          <w:sz w:val="24"/>
          <w:szCs w:val="24"/>
          <w:lang w:eastAsia="cs-CZ"/>
        </w:rPr>
        <w:t xml:space="preserve"> majetkových účastí</w:t>
      </w:r>
      <w:r w:rsidR="00307745" w:rsidRPr="00485081">
        <w:rPr>
          <w:rFonts w:cstheme="minorHAnsi"/>
          <w:b/>
          <w:color w:val="000000" w:themeColor="text1"/>
          <w:sz w:val="24"/>
          <w:szCs w:val="24"/>
          <w:lang w:eastAsia="cs-CZ"/>
        </w:rPr>
        <w:t xml:space="preserve"> </w:t>
      </w:r>
    </w:p>
    <w:p w14:paraId="1AAAED83" w14:textId="77777777" w:rsidR="00CC2CC4" w:rsidRDefault="00CC2CC4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2A6682F9" w14:textId="22A137B2" w:rsidR="00086242" w:rsidRDefault="001A61AB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  <w:r w:rsidRPr="00CC2CC4">
        <w:rPr>
          <w:rFonts w:cstheme="minorHAnsi"/>
          <w:color w:val="000000" w:themeColor="text1"/>
          <w:sz w:val="24"/>
          <w:szCs w:val="24"/>
        </w:rPr>
        <w:t>Majetková účast</w:t>
      </w:r>
      <w:r w:rsidR="00086242" w:rsidRPr="00CC2CC4">
        <w:rPr>
          <w:rFonts w:cstheme="minorHAnsi"/>
          <w:color w:val="000000" w:themeColor="text1"/>
          <w:sz w:val="24"/>
          <w:szCs w:val="24"/>
        </w:rPr>
        <w:t xml:space="preserve"> v Českém Aeroholdingu, a.s. </w:t>
      </w:r>
      <w:r w:rsidR="009902F2" w:rsidRPr="00CC2CC4">
        <w:rPr>
          <w:rFonts w:cstheme="minorHAnsi"/>
          <w:color w:val="000000" w:themeColor="text1"/>
          <w:sz w:val="24"/>
          <w:szCs w:val="24"/>
        </w:rPr>
        <w:t>–</w:t>
      </w:r>
      <w:r w:rsidR="00086242" w:rsidRPr="00CC2CC4">
        <w:rPr>
          <w:rFonts w:cstheme="minorHAnsi"/>
          <w:color w:val="000000" w:themeColor="text1"/>
          <w:sz w:val="24"/>
          <w:szCs w:val="24"/>
        </w:rPr>
        <w:t xml:space="preserve"> </w:t>
      </w:r>
      <w:r w:rsidR="008C35DF">
        <w:rPr>
          <w:rFonts w:cstheme="minorHAnsi"/>
          <w:color w:val="000000" w:themeColor="text1"/>
          <w:sz w:val="24"/>
          <w:szCs w:val="24"/>
        </w:rPr>
        <w:t>V</w:t>
      </w:r>
      <w:r w:rsidR="00086242" w:rsidRPr="00CC2CC4">
        <w:rPr>
          <w:rFonts w:cstheme="minorHAnsi"/>
          <w:color w:val="000000" w:themeColor="text1"/>
          <w:sz w:val="24"/>
          <w:szCs w:val="24"/>
        </w:rPr>
        <w:t xml:space="preserve"> kontrolovaném období probíhaly v orgánech společnosti časté personální změny. Odůvodnění prováděných změn předložené doklady až na výjimky neobsahovaly. Akcionářská práva vykonávali výhradně ministři financí. </w:t>
      </w:r>
    </w:p>
    <w:p w14:paraId="39BB4FC4" w14:textId="77777777" w:rsidR="00CC2CC4" w:rsidRPr="00CC2CC4" w:rsidRDefault="00CC2CC4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1EFECB7" w14:textId="4270F7E0" w:rsidR="003D13AC" w:rsidRPr="00CC2CC4" w:rsidRDefault="001A61AB" w:rsidP="00CC2CC4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 w:themeColor="text1"/>
          <w:sz w:val="24"/>
          <w:szCs w:val="24"/>
        </w:rPr>
      </w:pPr>
      <w:r w:rsidRPr="00CC2CC4">
        <w:rPr>
          <w:rFonts w:cstheme="minorHAnsi"/>
          <w:bCs/>
          <w:color w:val="000000" w:themeColor="text1"/>
          <w:sz w:val="24"/>
          <w:szCs w:val="24"/>
        </w:rPr>
        <w:t>Majetková účast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v MUFIS a.s. </w:t>
      </w:r>
      <w:r w:rsidR="009902F2" w:rsidRPr="00CC2CC4">
        <w:rPr>
          <w:rFonts w:cstheme="minorHAnsi"/>
          <w:bCs/>
          <w:color w:val="000000" w:themeColor="text1"/>
          <w:sz w:val="24"/>
          <w:szCs w:val="24"/>
        </w:rPr>
        <w:t>–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</w:t>
      </w:r>
      <w:r w:rsidR="008C35DF">
        <w:rPr>
          <w:rFonts w:cstheme="minorHAnsi"/>
          <w:bCs/>
          <w:color w:val="000000" w:themeColor="text1"/>
          <w:sz w:val="24"/>
          <w:szCs w:val="24"/>
        </w:rPr>
        <w:t>Funkce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člen</w:t>
      </w:r>
      <w:r w:rsidR="008C35DF">
        <w:rPr>
          <w:rFonts w:cstheme="minorHAnsi"/>
          <w:bCs/>
          <w:color w:val="000000" w:themeColor="text1"/>
          <w:sz w:val="24"/>
          <w:szCs w:val="24"/>
        </w:rPr>
        <w:t>ů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představenstva nominovan</w:t>
      </w:r>
      <w:r w:rsidR="008C35DF">
        <w:rPr>
          <w:rFonts w:cstheme="minorHAnsi"/>
          <w:bCs/>
          <w:color w:val="000000" w:themeColor="text1"/>
          <w:sz w:val="24"/>
          <w:szCs w:val="24"/>
        </w:rPr>
        <w:t>ých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MF </w:t>
      </w:r>
      <w:r w:rsidR="008C35DF">
        <w:rPr>
          <w:rFonts w:cstheme="minorHAnsi"/>
          <w:bCs/>
          <w:color w:val="000000" w:themeColor="text1"/>
          <w:sz w:val="24"/>
          <w:szCs w:val="24"/>
        </w:rPr>
        <w:t>zastávaly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v kontrolovaném období </w:t>
      </w:r>
      <w:r w:rsidR="004B221D" w:rsidRPr="00CC2CC4">
        <w:rPr>
          <w:rFonts w:cstheme="minorHAnsi"/>
          <w:bCs/>
          <w:color w:val="000000" w:themeColor="text1"/>
          <w:sz w:val="24"/>
          <w:szCs w:val="24"/>
        </w:rPr>
        <w:t>dvě osoby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4B221D" w:rsidRPr="00CC2CC4">
        <w:rPr>
          <w:rFonts w:cstheme="minorHAnsi"/>
          <w:bCs/>
          <w:color w:val="000000" w:themeColor="text1"/>
          <w:sz w:val="24"/>
          <w:szCs w:val="24"/>
        </w:rPr>
        <w:t>Jedna z nich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(zaměstnanec MF) byl</w:t>
      </w:r>
      <w:r w:rsidR="004B221D" w:rsidRPr="00CC2CC4">
        <w:rPr>
          <w:rFonts w:cstheme="minorHAnsi"/>
          <w:bCs/>
          <w:color w:val="000000" w:themeColor="text1"/>
          <w:sz w:val="24"/>
          <w:szCs w:val="24"/>
        </w:rPr>
        <w:t>a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opětovně do funkce zvolen</w:t>
      </w:r>
      <w:r w:rsidR="004B221D" w:rsidRPr="00CC2CC4">
        <w:rPr>
          <w:rFonts w:cstheme="minorHAnsi"/>
          <w:bCs/>
          <w:color w:val="000000" w:themeColor="text1"/>
          <w:sz w:val="24"/>
          <w:szCs w:val="24"/>
        </w:rPr>
        <w:t>a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 na jednání dozorčí rady dne 2</w:t>
      </w:r>
      <w:r w:rsidR="003D13AC" w:rsidRPr="00CC2CC4">
        <w:rPr>
          <w:rFonts w:cstheme="minorHAnsi"/>
          <w:bCs/>
          <w:color w:val="000000" w:themeColor="text1"/>
          <w:sz w:val="24"/>
          <w:szCs w:val="24"/>
        </w:rPr>
        <w:t>5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 xml:space="preserve">. </w:t>
      </w:r>
      <w:r w:rsidR="003D13AC" w:rsidRPr="00CC2CC4">
        <w:rPr>
          <w:rFonts w:cstheme="minorHAnsi"/>
          <w:bCs/>
          <w:color w:val="000000" w:themeColor="text1"/>
          <w:sz w:val="24"/>
          <w:szCs w:val="24"/>
        </w:rPr>
        <w:t>3</w:t>
      </w:r>
      <w:r w:rsidR="00714A5B" w:rsidRPr="00CC2CC4">
        <w:rPr>
          <w:rFonts w:cstheme="minorHAnsi"/>
          <w:bCs/>
          <w:color w:val="000000" w:themeColor="text1"/>
          <w:sz w:val="24"/>
          <w:szCs w:val="24"/>
        </w:rPr>
        <w:t>. 2015,</w:t>
      </w:r>
      <w:r w:rsidR="003D13AC" w:rsidRPr="00CC2CC4">
        <w:rPr>
          <w:rFonts w:cstheme="minorHAnsi"/>
          <w:bCs/>
          <w:color w:val="000000" w:themeColor="text1"/>
          <w:sz w:val="24"/>
          <w:szCs w:val="24"/>
        </w:rPr>
        <w:t xml:space="preserve"> MF v tomto případě návrh na zvolení nepředložilo</w:t>
      </w:r>
      <w:r w:rsidR="008C35DF">
        <w:rPr>
          <w:rFonts w:cstheme="minorHAnsi"/>
          <w:bCs/>
          <w:color w:val="000000" w:themeColor="text1"/>
          <w:sz w:val="24"/>
          <w:szCs w:val="24"/>
        </w:rPr>
        <w:t>, a není tedy zřejmé</w:t>
      </w:r>
      <w:r w:rsidR="003D13AC" w:rsidRPr="00CC2CC4">
        <w:rPr>
          <w:rFonts w:cstheme="minorHAnsi"/>
          <w:bCs/>
          <w:color w:val="000000" w:themeColor="text1"/>
          <w:sz w:val="24"/>
          <w:szCs w:val="24"/>
        </w:rPr>
        <w:t xml:space="preserve">, zda tuto osobu považuje dále za svého kandidáta. </w:t>
      </w:r>
    </w:p>
    <w:p w14:paraId="4C591281" w14:textId="77777777" w:rsidR="009902F2" w:rsidRPr="00CC2CC4" w:rsidRDefault="009902F2" w:rsidP="00CC2CC4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  <w:u w:val="single"/>
        </w:rPr>
      </w:pPr>
    </w:p>
    <w:p w14:paraId="1027B988" w14:textId="77777777" w:rsidR="003C3C4E" w:rsidRPr="00485081" w:rsidRDefault="00714A5B" w:rsidP="00227120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Oblast účetnictví</w:t>
      </w:r>
    </w:p>
    <w:p w14:paraId="5F0541A3" w14:textId="77777777" w:rsidR="00CC2CC4" w:rsidRDefault="00CC2CC4" w:rsidP="00E17FF1">
      <w:pPr>
        <w:spacing w:after="0" w:line="240" w:lineRule="auto"/>
        <w:jc w:val="both"/>
        <w:textAlignment w:val="top"/>
        <w:rPr>
          <w:rFonts w:ascii="Calibri" w:hAnsi="Calibri" w:cs="Calibri"/>
          <w:sz w:val="24"/>
          <w:szCs w:val="24"/>
        </w:rPr>
      </w:pPr>
    </w:p>
    <w:p w14:paraId="67B402FF" w14:textId="62605208" w:rsidR="00A43732" w:rsidRPr="00D14358" w:rsidRDefault="004E6663" w:rsidP="00E17FF1">
      <w:pPr>
        <w:spacing w:after="0" w:line="240" w:lineRule="auto"/>
        <w:jc w:val="both"/>
        <w:textAlignment w:val="top"/>
        <w:rPr>
          <w:rFonts w:ascii="Calibri" w:hAnsi="Calibri" w:cs="Calibri"/>
          <w:sz w:val="24"/>
          <w:szCs w:val="24"/>
        </w:rPr>
      </w:pPr>
      <w:r w:rsidRPr="00D14358">
        <w:rPr>
          <w:rFonts w:ascii="Calibri" w:hAnsi="Calibri" w:cs="Calibri"/>
          <w:sz w:val="24"/>
          <w:szCs w:val="24"/>
        </w:rPr>
        <w:t xml:space="preserve">MF nepostupovalo v souladu se zákonem č. 563/1991 Sb., příp. </w:t>
      </w:r>
      <w:r w:rsidR="008C35DF">
        <w:rPr>
          <w:rFonts w:ascii="Calibri" w:hAnsi="Calibri" w:cs="Calibri"/>
          <w:sz w:val="24"/>
          <w:szCs w:val="24"/>
        </w:rPr>
        <w:t xml:space="preserve">v souladu </w:t>
      </w:r>
      <w:r w:rsidRPr="00D14358">
        <w:rPr>
          <w:rFonts w:ascii="Calibri" w:hAnsi="Calibri" w:cs="Calibri"/>
          <w:sz w:val="24"/>
          <w:szCs w:val="24"/>
        </w:rPr>
        <w:t xml:space="preserve">s dalšími předpisy provádějícími některá ustanovení </w:t>
      </w:r>
      <w:r w:rsidR="00A43732" w:rsidRPr="00D14358">
        <w:rPr>
          <w:rFonts w:ascii="Calibri" w:hAnsi="Calibri" w:cs="Calibri"/>
          <w:sz w:val="24"/>
          <w:szCs w:val="24"/>
        </w:rPr>
        <w:t>tohoto zákona, když:</w:t>
      </w:r>
    </w:p>
    <w:p w14:paraId="7FE3E958" w14:textId="59988B0B" w:rsidR="00A43732" w:rsidRPr="00CC2CC4" w:rsidRDefault="00A43732" w:rsidP="00CC2CC4">
      <w:pPr>
        <w:pStyle w:val="Odstavecseseznamem"/>
        <w:numPr>
          <w:ilvl w:val="0"/>
          <w:numId w:val="17"/>
        </w:numPr>
        <w:ind w:left="284" w:hanging="284"/>
        <w:jc w:val="both"/>
        <w:textAlignment w:val="top"/>
        <w:rPr>
          <w:rFonts w:ascii="Calibri" w:hAnsi="Calibri" w:cs="Calibri"/>
        </w:rPr>
      </w:pPr>
      <w:r w:rsidRPr="00CC2CC4">
        <w:rPr>
          <w:rFonts w:ascii="Calibri" w:hAnsi="Calibri" w:cs="Calibri"/>
        </w:rPr>
        <w:t>akcie, které získalo od společnosti ČMZRB formou nefinanční dividendy za rok 2013, zaúčtovalo v</w:t>
      </w:r>
      <w:r w:rsidR="00D0396A" w:rsidRPr="00CC2CC4">
        <w:rPr>
          <w:rFonts w:ascii="Calibri" w:hAnsi="Calibri" w:cs="Calibri"/>
        </w:rPr>
        <w:t>e jmenovité</w:t>
      </w:r>
      <w:r w:rsidR="00C3675F" w:rsidRPr="00CC2CC4">
        <w:rPr>
          <w:rFonts w:ascii="Calibri" w:hAnsi="Calibri" w:cs="Calibri"/>
        </w:rPr>
        <w:t xml:space="preserve"> </w:t>
      </w:r>
      <w:r w:rsidRPr="00CC2CC4">
        <w:rPr>
          <w:rFonts w:ascii="Calibri" w:hAnsi="Calibri" w:cs="Calibri"/>
        </w:rPr>
        <w:t>hodnotě</w:t>
      </w:r>
      <w:r w:rsidR="003B2DB8" w:rsidRPr="00CC2CC4">
        <w:rPr>
          <w:rFonts w:ascii="Calibri" w:hAnsi="Calibri" w:cs="Calibri"/>
        </w:rPr>
        <w:t>.</w:t>
      </w:r>
      <w:r w:rsidRPr="00CC2CC4">
        <w:rPr>
          <w:rFonts w:ascii="Calibri" w:hAnsi="Calibri" w:cs="Calibri"/>
        </w:rPr>
        <w:t xml:space="preserve"> </w:t>
      </w:r>
      <w:r w:rsidR="003B2DB8" w:rsidRPr="00CC2CC4">
        <w:rPr>
          <w:rFonts w:ascii="Calibri" w:hAnsi="Calibri" w:cs="Calibri"/>
        </w:rPr>
        <w:t>C</w:t>
      </w:r>
      <w:r w:rsidRPr="00CC2CC4">
        <w:rPr>
          <w:rFonts w:ascii="Calibri" w:hAnsi="Calibri" w:cs="Calibri"/>
        </w:rPr>
        <w:t>hybné zaúčtování nefinanční dividendy za rok 2013 i</w:t>
      </w:r>
      <w:r w:rsidR="00FF7AAD">
        <w:rPr>
          <w:rFonts w:ascii="Calibri" w:hAnsi="Calibri" w:cs="Calibri"/>
        </w:rPr>
        <w:t> </w:t>
      </w:r>
      <w:r w:rsidRPr="00CC2CC4">
        <w:rPr>
          <w:rFonts w:ascii="Calibri" w:hAnsi="Calibri" w:cs="Calibri"/>
        </w:rPr>
        <w:t>za rok 2014 opravilo až v </w:t>
      </w:r>
      <w:r w:rsidR="009902F2" w:rsidRPr="00CC2CC4">
        <w:rPr>
          <w:rFonts w:ascii="Calibri" w:hAnsi="Calibri" w:cs="Calibri"/>
        </w:rPr>
        <w:t>průběhu kontroly;</w:t>
      </w:r>
    </w:p>
    <w:p w14:paraId="657BC6B5" w14:textId="7FD419E8" w:rsidR="00E17FF1" w:rsidRPr="00CC2CC4" w:rsidRDefault="00A43732" w:rsidP="00CC2CC4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bCs/>
        </w:rPr>
      </w:pPr>
      <w:r w:rsidRPr="00CC2CC4">
        <w:rPr>
          <w:rFonts w:ascii="Calibri" w:hAnsi="Calibri" w:cs="Calibri"/>
          <w:bCs/>
        </w:rPr>
        <w:t xml:space="preserve">v roce 2014 zaúčtovalo navýšení </w:t>
      </w:r>
      <w:r w:rsidR="00525A50" w:rsidRPr="00CC2CC4">
        <w:rPr>
          <w:rFonts w:ascii="Calibri" w:hAnsi="Calibri" w:cs="Calibri"/>
          <w:bCs/>
        </w:rPr>
        <w:t>majetkové účasti</w:t>
      </w:r>
      <w:r w:rsidRPr="00CC2CC4">
        <w:rPr>
          <w:rFonts w:ascii="Calibri" w:hAnsi="Calibri" w:cs="Calibri"/>
          <w:bCs/>
        </w:rPr>
        <w:t xml:space="preserve"> v</w:t>
      </w:r>
      <w:r w:rsidR="005658B3" w:rsidRPr="00CC2CC4">
        <w:rPr>
          <w:rFonts w:ascii="Calibri" w:hAnsi="Calibri" w:cs="Calibri"/>
          <w:bCs/>
        </w:rPr>
        <w:t> </w:t>
      </w:r>
      <w:r w:rsidRPr="00CC2CC4">
        <w:rPr>
          <w:rFonts w:ascii="Calibri" w:hAnsi="Calibri" w:cs="Calibri"/>
          <w:bCs/>
        </w:rPr>
        <w:t>MUFIS</w:t>
      </w:r>
      <w:r w:rsidR="005658B3" w:rsidRPr="00CC2CC4">
        <w:rPr>
          <w:rFonts w:ascii="Calibri" w:hAnsi="Calibri" w:cs="Calibri"/>
          <w:bCs/>
        </w:rPr>
        <w:t xml:space="preserve"> a.s.</w:t>
      </w:r>
      <w:r w:rsidR="00FF7AAD">
        <w:rPr>
          <w:rFonts w:ascii="Calibri" w:hAnsi="Calibri" w:cs="Calibri"/>
          <w:bCs/>
        </w:rPr>
        <w:t>,</w:t>
      </w:r>
      <w:r w:rsidRPr="00CC2CC4">
        <w:rPr>
          <w:rFonts w:ascii="Calibri" w:hAnsi="Calibri" w:cs="Calibri"/>
          <w:bCs/>
        </w:rPr>
        <w:t xml:space="preserve"> </w:t>
      </w:r>
      <w:r w:rsidR="005658B3" w:rsidRPr="00CC2CC4">
        <w:rPr>
          <w:rFonts w:ascii="Calibri" w:hAnsi="Calibri" w:cs="Calibri"/>
          <w:bCs/>
        </w:rPr>
        <w:t xml:space="preserve">přestože ke </w:t>
      </w:r>
      <w:r w:rsidRPr="00CC2CC4">
        <w:rPr>
          <w:rFonts w:ascii="Calibri" w:hAnsi="Calibri" w:cs="Calibri"/>
          <w:bCs/>
        </w:rPr>
        <w:t>zvýšení jmenovité hodnoty akcií MUFIS</w:t>
      </w:r>
      <w:r w:rsidR="005658B3" w:rsidRPr="00CC2CC4">
        <w:rPr>
          <w:rFonts w:ascii="Calibri" w:hAnsi="Calibri" w:cs="Calibri"/>
          <w:bCs/>
        </w:rPr>
        <w:t xml:space="preserve"> a.s.</w:t>
      </w:r>
      <w:r w:rsidRPr="00CC2CC4">
        <w:rPr>
          <w:rFonts w:ascii="Calibri" w:hAnsi="Calibri" w:cs="Calibri"/>
          <w:bCs/>
        </w:rPr>
        <w:t xml:space="preserve"> došlo v souvislosti se zvýšením základního kapitálu z</w:t>
      </w:r>
      <w:r w:rsidR="00255B1C" w:rsidRPr="00CC2CC4">
        <w:rPr>
          <w:rFonts w:ascii="Calibri" w:hAnsi="Calibri" w:cs="Calibri"/>
          <w:bCs/>
        </w:rPr>
        <w:t> </w:t>
      </w:r>
      <w:r w:rsidRPr="00CC2CC4">
        <w:rPr>
          <w:rFonts w:ascii="Calibri" w:hAnsi="Calibri" w:cs="Calibri"/>
          <w:bCs/>
        </w:rPr>
        <w:t xml:space="preserve">nerozděleného zisku společnosti </w:t>
      </w:r>
      <w:r w:rsidR="00322C4E" w:rsidRPr="00CC2CC4">
        <w:rPr>
          <w:rFonts w:ascii="Calibri" w:hAnsi="Calibri" w:cs="Calibri"/>
          <w:bCs/>
        </w:rPr>
        <w:t xml:space="preserve">MUFIS a.s. </w:t>
      </w:r>
      <w:r w:rsidRPr="00CC2CC4">
        <w:rPr>
          <w:rFonts w:ascii="Calibri" w:hAnsi="Calibri" w:cs="Calibri"/>
          <w:bCs/>
        </w:rPr>
        <w:t>z minulých let, tedy bez vlivu na výši pořizovací ceny akcií</w:t>
      </w:r>
      <w:r w:rsidR="009902F2" w:rsidRPr="00CC2CC4">
        <w:rPr>
          <w:rFonts w:ascii="Calibri" w:hAnsi="Calibri" w:cs="Calibri"/>
          <w:bCs/>
        </w:rPr>
        <w:t>;</w:t>
      </w:r>
      <w:r w:rsidRPr="00CC2CC4">
        <w:rPr>
          <w:rFonts w:ascii="Calibri" w:hAnsi="Calibri" w:cs="Calibri"/>
          <w:bCs/>
        </w:rPr>
        <w:t xml:space="preserve"> </w:t>
      </w:r>
    </w:p>
    <w:p w14:paraId="588303C4" w14:textId="06F2D9F0" w:rsidR="00EA1553" w:rsidRPr="00CC2CC4" w:rsidRDefault="005658B3" w:rsidP="00CC2CC4">
      <w:pPr>
        <w:pStyle w:val="Odstavecseseznamem"/>
        <w:numPr>
          <w:ilvl w:val="0"/>
          <w:numId w:val="17"/>
        </w:numPr>
        <w:ind w:left="284" w:hanging="284"/>
        <w:jc w:val="both"/>
        <w:rPr>
          <w:rFonts w:ascii="Calibri" w:hAnsi="Calibri" w:cs="Calibri"/>
          <w:bCs/>
        </w:rPr>
      </w:pPr>
      <w:r w:rsidRPr="00CC2CC4">
        <w:rPr>
          <w:rFonts w:ascii="Calibri" w:hAnsi="Calibri" w:cs="Calibri"/>
        </w:rPr>
        <w:t xml:space="preserve">o </w:t>
      </w:r>
      <w:r w:rsidR="00525A50" w:rsidRPr="00CC2CC4">
        <w:rPr>
          <w:rFonts w:ascii="Calibri" w:hAnsi="Calibri" w:cs="Calibri"/>
        </w:rPr>
        <w:t>majetkové účasti</w:t>
      </w:r>
      <w:r w:rsidR="00E7343B" w:rsidRPr="00CC2CC4">
        <w:rPr>
          <w:rFonts w:ascii="Calibri" w:hAnsi="Calibri" w:cs="Calibri"/>
        </w:rPr>
        <w:t xml:space="preserve"> jednak v ČEZ, a.s., jednak </w:t>
      </w:r>
      <w:r w:rsidR="00E85579" w:rsidRPr="00CC2CC4">
        <w:rPr>
          <w:rFonts w:ascii="Calibri" w:hAnsi="Calibri" w:cs="Calibri"/>
          <w:bCs/>
        </w:rPr>
        <w:t>ve Výzkumném a zkušebním leteckém ústavu, a.s.</w:t>
      </w:r>
      <w:r w:rsidR="00E7343B" w:rsidRPr="00CC2CC4">
        <w:rPr>
          <w:rFonts w:ascii="Calibri" w:hAnsi="Calibri" w:cs="Calibri"/>
          <w:bCs/>
        </w:rPr>
        <w:t xml:space="preserve">, </w:t>
      </w:r>
      <w:r w:rsidR="00322C4E" w:rsidRPr="00CC2CC4">
        <w:rPr>
          <w:rFonts w:ascii="Calibri" w:hAnsi="Calibri" w:cs="Calibri"/>
          <w:bCs/>
        </w:rPr>
        <w:t xml:space="preserve">jejichž příslušné části </w:t>
      </w:r>
      <w:r w:rsidRPr="00CC2CC4">
        <w:rPr>
          <w:rFonts w:ascii="Calibri" w:hAnsi="Calibri" w:cs="Calibri"/>
        </w:rPr>
        <w:t xml:space="preserve">byly </w:t>
      </w:r>
      <w:r w:rsidR="00E7343B" w:rsidRPr="00CC2CC4">
        <w:rPr>
          <w:rFonts w:ascii="Calibri" w:hAnsi="Calibri" w:cs="Calibri"/>
        </w:rPr>
        <w:t>spravov</w:t>
      </w:r>
      <w:r w:rsidRPr="00CC2CC4">
        <w:rPr>
          <w:rFonts w:ascii="Calibri" w:hAnsi="Calibri" w:cs="Calibri"/>
        </w:rPr>
        <w:t xml:space="preserve">ány </w:t>
      </w:r>
      <w:r w:rsidR="00322C4E" w:rsidRPr="00CC2CC4">
        <w:rPr>
          <w:rFonts w:ascii="Calibri" w:hAnsi="Calibri" w:cs="Calibri"/>
        </w:rPr>
        <w:t xml:space="preserve">vždy dvěma různými útvary </w:t>
      </w:r>
      <w:r w:rsidR="00E7343B" w:rsidRPr="00CC2CC4">
        <w:rPr>
          <w:rFonts w:ascii="Calibri" w:hAnsi="Calibri" w:cs="Calibri"/>
        </w:rPr>
        <w:t xml:space="preserve">MF, účtovalo v roce 2013 i 2014 </w:t>
      </w:r>
      <w:r w:rsidRPr="00CC2CC4">
        <w:rPr>
          <w:rFonts w:ascii="Calibri" w:hAnsi="Calibri" w:cs="Calibri"/>
        </w:rPr>
        <w:t xml:space="preserve">v závislosti na výši </w:t>
      </w:r>
      <w:r w:rsidR="00525A50" w:rsidRPr="00CC2CC4">
        <w:rPr>
          <w:rFonts w:ascii="Calibri" w:hAnsi="Calibri" w:cs="Calibri"/>
        </w:rPr>
        <w:t>majetkové účasti</w:t>
      </w:r>
      <w:r w:rsidR="00E7343B" w:rsidRPr="00CC2CC4">
        <w:rPr>
          <w:rFonts w:ascii="Calibri" w:hAnsi="Calibri" w:cs="Calibri"/>
        </w:rPr>
        <w:t xml:space="preserve"> ve správě příslušného </w:t>
      </w:r>
      <w:r w:rsidR="00322C4E" w:rsidRPr="00CC2CC4">
        <w:rPr>
          <w:rFonts w:ascii="Calibri" w:hAnsi="Calibri" w:cs="Calibri"/>
        </w:rPr>
        <w:t>útvaru</w:t>
      </w:r>
      <w:r w:rsidR="005072AE" w:rsidRPr="00CC2CC4">
        <w:rPr>
          <w:rFonts w:ascii="Calibri" w:hAnsi="Calibri" w:cs="Calibri"/>
        </w:rPr>
        <w:t xml:space="preserve"> na odlišných účtech</w:t>
      </w:r>
      <w:r w:rsidR="00EA1553" w:rsidRPr="00CC2CC4">
        <w:rPr>
          <w:rFonts w:ascii="Calibri" w:hAnsi="Calibri" w:cs="Calibri"/>
        </w:rPr>
        <w:t xml:space="preserve">. </w:t>
      </w:r>
      <w:r w:rsidR="005072AE" w:rsidRPr="00CC2CC4">
        <w:rPr>
          <w:rFonts w:ascii="Calibri" w:hAnsi="Calibri" w:cs="Calibri"/>
        </w:rPr>
        <w:t>A</w:t>
      </w:r>
      <w:r w:rsidR="00E7343B" w:rsidRPr="00CC2CC4">
        <w:rPr>
          <w:rFonts w:ascii="Calibri" w:hAnsi="Calibri" w:cs="Calibri"/>
        </w:rPr>
        <w:t>ž</w:t>
      </w:r>
      <w:r w:rsidR="00E7343B" w:rsidRPr="00CC2CC4">
        <w:rPr>
          <w:rFonts w:ascii="Calibri" w:hAnsi="Calibri" w:cs="Calibri"/>
          <w:bCs/>
        </w:rPr>
        <w:t xml:space="preserve"> v návaznosti na </w:t>
      </w:r>
      <w:r w:rsidR="00FF7AAD">
        <w:rPr>
          <w:rFonts w:ascii="Calibri" w:hAnsi="Calibri" w:cs="Calibri"/>
          <w:bCs/>
        </w:rPr>
        <w:t>m</w:t>
      </w:r>
      <w:r w:rsidR="00E7343B" w:rsidRPr="00CC2CC4">
        <w:rPr>
          <w:rFonts w:ascii="Calibri" w:hAnsi="Calibri" w:cs="Calibri"/>
          <w:bCs/>
        </w:rPr>
        <w:t>etodický pokyn č. 2/2015</w:t>
      </w:r>
      <w:r w:rsidR="00D0396A" w:rsidRPr="00CC2CC4">
        <w:rPr>
          <w:rStyle w:val="Znakapoznpodarou"/>
          <w:rFonts w:ascii="Calibri" w:hAnsi="Calibri" w:cs="Calibri"/>
          <w:bCs/>
        </w:rPr>
        <w:footnoteReference w:id="18"/>
      </w:r>
      <w:r w:rsidR="00E7343B" w:rsidRPr="00CC2CC4">
        <w:rPr>
          <w:rFonts w:ascii="Calibri" w:hAnsi="Calibri" w:cs="Calibri"/>
          <w:bCs/>
        </w:rPr>
        <w:t xml:space="preserve"> </w:t>
      </w:r>
      <w:r w:rsidR="005072AE" w:rsidRPr="00CC2CC4">
        <w:rPr>
          <w:rFonts w:ascii="Calibri" w:hAnsi="Calibri" w:cs="Calibri"/>
        </w:rPr>
        <w:t>přeúčtovalo MF s účinností k 31.</w:t>
      </w:r>
      <w:r w:rsidR="00D50B3C" w:rsidRPr="00CC2CC4">
        <w:rPr>
          <w:rFonts w:ascii="Calibri" w:hAnsi="Calibri" w:cs="Calibri"/>
        </w:rPr>
        <w:t> </w:t>
      </w:r>
      <w:r w:rsidR="005072AE" w:rsidRPr="00CC2CC4">
        <w:rPr>
          <w:rFonts w:ascii="Calibri" w:hAnsi="Calibri" w:cs="Calibri"/>
        </w:rPr>
        <w:t xml:space="preserve">12. 2014 </w:t>
      </w:r>
      <w:r w:rsidR="00525A50" w:rsidRPr="00CC2CC4">
        <w:rPr>
          <w:rFonts w:ascii="Calibri" w:hAnsi="Calibri" w:cs="Calibri"/>
        </w:rPr>
        <w:t>majetkové účasti</w:t>
      </w:r>
      <w:r w:rsidR="005072AE" w:rsidRPr="00CC2CC4">
        <w:rPr>
          <w:rFonts w:ascii="Calibri" w:hAnsi="Calibri" w:cs="Calibri"/>
        </w:rPr>
        <w:t xml:space="preserve"> v těchto společnostech na jeden účet</w:t>
      </w:r>
      <w:r w:rsidR="00E85579" w:rsidRPr="00CC2CC4">
        <w:rPr>
          <w:rFonts w:ascii="Calibri" w:hAnsi="Calibri" w:cs="Calibri"/>
          <w:bCs/>
        </w:rPr>
        <w:t>.</w:t>
      </w:r>
      <w:r w:rsidR="005072AE" w:rsidRPr="00CC2CC4">
        <w:rPr>
          <w:rFonts w:ascii="Calibri" w:hAnsi="Calibri" w:cs="Calibri"/>
          <w:bCs/>
        </w:rPr>
        <w:t xml:space="preserve"> </w:t>
      </w:r>
    </w:p>
    <w:p w14:paraId="35345344" w14:textId="77777777" w:rsidR="00345161" w:rsidRPr="00D14358" w:rsidRDefault="00345161" w:rsidP="002E41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336B221C" w14:textId="77777777" w:rsidR="00C568F1" w:rsidRPr="00485081" w:rsidRDefault="002D505E" w:rsidP="002E4156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Oblast inventarizací</w:t>
      </w:r>
    </w:p>
    <w:p w14:paraId="30084DCF" w14:textId="77777777" w:rsidR="00CC2CC4" w:rsidRDefault="00CC2CC4" w:rsidP="005A6B7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</w:p>
    <w:p w14:paraId="499DDC89" w14:textId="0F5F1536" w:rsidR="005A6B75" w:rsidRPr="00D14358" w:rsidRDefault="00525A50" w:rsidP="005A6B75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14358">
        <w:rPr>
          <w:rFonts w:cstheme="minorHAnsi"/>
          <w:bCs/>
          <w:sz w:val="24"/>
          <w:szCs w:val="24"/>
        </w:rPr>
        <w:t>Majetková účast</w:t>
      </w:r>
      <w:r w:rsidR="00A7701E" w:rsidRPr="00D14358">
        <w:rPr>
          <w:rFonts w:cstheme="minorHAnsi"/>
          <w:bCs/>
          <w:sz w:val="24"/>
          <w:szCs w:val="24"/>
        </w:rPr>
        <w:t xml:space="preserve"> v</w:t>
      </w:r>
      <w:r w:rsidR="00F64449" w:rsidRPr="00D14358">
        <w:rPr>
          <w:rFonts w:cstheme="minorHAnsi"/>
          <w:bCs/>
          <w:sz w:val="24"/>
          <w:szCs w:val="24"/>
        </w:rPr>
        <w:t> </w:t>
      </w:r>
      <w:r w:rsidR="009A55F8" w:rsidRPr="00D14358">
        <w:rPr>
          <w:rFonts w:cstheme="minorHAnsi"/>
          <w:bCs/>
          <w:sz w:val="24"/>
          <w:szCs w:val="24"/>
        </w:rPr>
        <w:t>MERO</w:t>
      </w:r>
      <w:r w:rsidR="00F64449" w:rsidRPr="00D14358">
        <w:rPr>
          <w:rFonts w:cstheme="minorHAnsi"/>
          <w:bCs/>
          <w:sz w:val="24"/>
          <w:szCs w:val="24"/>
        </w:rPr>
        <w:t xml:space="preserve"> ČR</w:t>
      </w:r>
      <w:r w:rsidR="009A55F8" w:rsidRPr="00D14358">
        <w:rPr>
          <w:rFonts w:cstheme="minorHAnsi"/>
          <w:bCs/>
          <w:sz w:val="24"/>
          <w:szCs w:val="24"/>
        </w:rPr>
        <w:t xml:space="preserve">, a.s. </w:t>
      </w:r>
      <w:r w:rsidR="00450176" w:rsidRPr="00D14358">
        <w:rPr>
          <w:rFonts w:cstheme="minorHAnsi"/>
          <w:bCs/>
          <w:sz w:val="24"/>
          <w:szCs w:val="24"/>
        </w:rPr>
        <w:t>–</w:t>
      </w:r>
      <w:r w:rsidR="005A6B75" w:rsidRPr="00D14358">
        <w:rPr>
          <w:rFonts w:cstheme="minorHAnsi"/>
          <w:bCs/>
          <w:sz w:val="24"/>
          <w:szCs w:val="24"/>
        </w:rPr>
        <w:t xml:space="preserve"> </w:t>
      </w:r>
      <w:r w:rsidR="00742EC8">
        <w:rPr>
          <w:rFonts w:cstheme="minorHAnsi"/>
          <w:bCs/>
          <w:sz w:val="24"/>
          <w:szCs w:val="24"/>
        </w:rPr>
        <w:t>I</w:t>
      </w:r>
      <w:r w:rsidR="005A6B75" w:rsidRPr="00D14358">
        <w:rPr>
          <w:rFonts w:cstheme="minorHAnsi"/>
          <w:bCs/>
          <w:sz w:val="24"/>
          <w:szCs w:val="24"/>
        </w:rPr>
        <w:t xml:space="preserve">nventurní soupis </w:t>
      </w:r>
      <w:r w:rsidRPr="00D14358">
        <w:rPr>
          <w:rFonts w:cstheme="minorHAnsi"/>
          <w:bCs/>
          <w:sz w:val="24"/>
          <w:szCs w:val="24"/>
        </w:rPr>
        <w:t>majetkové účasti</w:t>
      </w:r>
      <w:r w:rsidR="002238C1" w:rsidRPr="00D14358">
        <w:rPr>
          <w:rFonts w:cstheme="minorHAnsi"/>
          <w:bCs/>
          <w:sz w:val="24"/>
          <w:szCs w:val="24"/>
        </w:rPr>
        <w:t xml:space="preserve"> v</w:t>
      </w:r>
      <w:r w:rsidR="00F64449" w:rsidRPr="00D14358">
        <w:rPr>
          <w:rFonts w:cstheme="minorHAnsi"/>
          <w:bCs/>
          <w:sz w:val="24"/>
          <w:szCs w:val="24"/>
        </w:rPr>
        <w:t> </w:t>
      </w:r>
      <w:r w:rsidR="002238C1" w:rsidRPr="00D14358">
        <w:rPr>
          <w:rFonts w:cstheme="minorHAnsi"/>
          <w:bCs/>
          <w:sz w:val="24"/>
          <w:szCs w:val="24"/>
        </w:rPr>
        <w:t>MERO</w:t>
      </w:r>
      <w:r w:rsidR="00F64449" w:rsidRPr="00D14358">
        <w:rPr>
          <w:rFonts w:cstheme="minorHAnsi"/>
          <w:bCs/>
          <w:sz w:val="24"/>
          <w:szCs w:val="24"/>
        </w:rPr>
        <w:t xml:space="preserve"> ČR</w:t>
      </w:r>
      <w:r w:rsidR="00707F5B">
        <w:rPr>
          <w:rFonts w:cstheme="minorHAnsi"/>
          <w:bCs/>
          <w:sz w:val="24"/>
          <w:szCs w:val="24"/>
        </w:rPr>
        <w:t>, a.s.</w:t>
      </w:r>
      <w:r w:rsidR="00FF7AAD">
        <w:rPr>
          <w:rFonts w:cstheme="minorHAnsi"/>
          <w:bCs/>
          <w:sz w:val="24"/>
          <w:szCs w:val="24"/>
        </w:rPr>
        <w:t>,</w:t>
      </w:r>
      <w:r w:rsidR="00707F5B">
        <w:rPr>
          <w:rFonts w:cstheme="minorHAnsi"/>
          <w:bCs/>
          <w:sz w:val="24"/>
          <w:szCs w:val="24"/>
        </w:rPr>
        <w:t xml:space="preserve"> k 31. </w:t>
      </w:r>
      <w:r w:rsidR="002238C1" w:rsidRPr="00D14358">
        <w:rPr>
          <w:rFonts w:cstheme="minorHAnsi"/>
          <w:bCs/>
          <w:sz w:val="24"/>
          <w:szCs w:val="24"/>
        </w:rPr>
        <w:t>12.</w:t>
      </w:r>
      <w:r w:rsidR="00931522">
        <w:rPr>
          <w:rFonts w:cstheme="minorHAnsi"/>
          <w:bCs/>
          <w:sz w:val="24"/>
          <w:szCs w:val="24"/>
        </w:rPr>
        <w:t> </w:t>
      </w:r>
      <w:r w:rsidR="002238C1" w:rsidRPr="00D14358">
        <w:rPr>
          <w:rFonts w:cstheme="minorHAnsi"/>
          <w:bCs/>
          <w:sz w:val="24"/>
          <w:szCs w:val="24"/>
        </w:rPr>
        <w:t>2014</w:t>
      </w:r>
      <w:r w:rsidR="00BB2B94" w:rsidRPr="00D14358">
        <w:rPr>
          <w:rFonts w:cstheme="minorHAnsi"/>
          <w:bCs/>
          <w:sz w:val="24"/>
          <w:szCs w:val="24"/>
        </w:rPr>
        <w:t xml:space="preserve"> neobsahoval způsob zjišťování skuteč</w:t>
      </w:r>
      <w:r w:rsidR="00707F5B">
        <w:rPr>
          <w:rFonts w:cstheme="minorHAnsi"/>
          <w:bCs/>
          <w:sz w:val="24"/>
          <w:szCs w:val="24"/>
        </w:rPr>
        <w:t>ných stavů</w:t>
      </w:r>
      <w:r w:rsidR="00742EC8">
        <w:rPr>
          <w:rFonts w:cstheme="minorHAnsi"/>
          <w:bCs/>
          <w:sz w:val="24"/>
          <w:szCs w:val="24"/>
        </w:rPr>
        <w:t xml:space="preserve">, </w:t>
      </w:r>
      <w:r w:rsidR="00707F5B">
        <w:rPr>
          <w:rFonts w:cstheme="minorHAnsi"/>
          <w:bCs/>
          <w:sz w:val="24"/>
          <w:szCs w:val="24"/>
        </w:rPr>
        <w:t>okamžik zahájení a </w:t>
      </w:r>
      <w:r w:rsidR="00BB2B94" w:rsidRPr="00D14358">
        <w:rPr>
          <w:rFonts w:cstheme="minorHAnsi"/>
          <w:bCs/>
          <w:sz w:val="24"/>
          <w:szCs w:val="24"/>
        </w:rPr>
        <w:t xml:space="preserve">ukončení inventury, identifikační číslo vybrané účetní jednotky </w:t>
      </w:r>
      <w:r w:rsidR="00742EC8">
        <w:rPr>
          <w:rFonts w:cstheme="minorHAnsi"/>
          <w:bCs/>
          <w:sz w:val="24"/>
          <w:szCs w:val="24"/>
        </w:rPr>
        <w:t xml:space="preserve">ani </w:t>
      </w:r>
      <w:r w:rsidR="00BB2B94" w:rsidRPr="00D14358">
        <w:rPr>
          <w:rFonts w:cstheme="minorHAnsi"/>
          <w:bCs/>
          <w:sz w:val="24"/>
          <w:szCs w:val="24"/>
        </w:rPr>
        <w:t xml:space="preserve">seznam příloh inventurního soupisu. </w:t>
      </w:r>
      <w:r w:rsidR="00742EC8" w:rsidRPr="00D14358">
        <w:rPr>
          <w:rFonts w:cstheme="minorHAnsi"/>
          <w:bCs/>
          <w:sz w:val="24"/>
          <w:szCs w:val="24"/>
        </w:rPr>
        <w:t xml:space="preserve">MF </w:t>
      </w:r>
      <w:r w:rsidR="00742EC8">
        <w:rPr>
          <w:rFonts w:cstheme="minorHAnsi"/>
          <w:bCs/>
          <w:sz w:val="24"/>
          <w:szCs w:val="24"/>
        </w:rPr>
        <w:t>d</w:t>
      </w:r>
      <w:r w:rsidR="00BB2B94" w:rsidRPr="00D14358">
        <w:rPr>
          <w:rFonts w:cstheme="minorHAnsi"/>
          <w:bCs/>
          <w:sz w:val="24"/>
          <w:szCs w:val="24"/>
        </w:rPr>
        <w:t>le údajů v inventurním soupisu nezaznamenalo</w:t>
      </w:r>
      <w:r w:rsidR="002238C1" w:rsidRPr="00D14358">
        <w:rPr>
          <w:rFonts w:cstheme="minorHAnsi"/>
          <w:bCs/>
          <w:sz w:val="24"/>
          <w:szCs w:val="24"/>
        </w:rPr>
        <w:t xml:space="preserve">, že </w:t>
      </w:r>
      <w:r w:rsidR="00BB2B94" w:rsidRPr="00D14358">
        <w:rPr>
          <w:rFonts w:cstheme="minorHAnsi"/>
          <w:bCs/>
          <w:sz w:val="24"/>
          <w:szCs w:val="24"/>
        </w:rPr>
        <w:t xml:space="preserve">jednotlivé </w:t>
      </w:r>
      <w:r w:rsidR="005A6B75" w:rsidRPr="00D14358">
        <w:rPr>
          <w:rFonts w:cstheme="minorHAnsi"/>
          <w:bCs/>
          <w:sz w:val="24"/>
          <w:szCs w:val="24"/>
        </w:rPr>
        <w:t xml:space="preserve">listinné akcie </w:t>
      </w:r>
      <w:r w:rsidR="002238C1" w:rsidRPr="00D14358">
        <w:rPr>
          <w:rFonts w:cstheme="minorHAnsi"/>
          <w:bCs/>
          <w:sz w:val="24"/>
          <w:szCs w:val="24"/>
        </w:rPr>
        <w:t xml:space="preserve">byly </w:t>
      </w:r>
      <w:r w:rsidR="005A6B75" w:rsidRPr="00D14358">
        <w:rPr>
          <w:rFonts w:cstheme="minorHAnsi"/>
          <w:bCs/>
          <w:sz w:val="24"/>
          <w:szCs w:val="24"/>
        </w:rPr>
        <w:t>nahrazeny hromadnými listinami</w:t>
      </w:r>
      <w:r w:rsidR="006419A9" w:rsidRPr="00D14358">
        <w:rPr>
          <w:rFonts w:cstheme="minorHAnsi"/>
          <w:bCs/>
          <w:sz w:val="24"/>
          <w:szCs w:val="24"/>
        </w:rPr>
        <w:t xml:space="preserve">, </w:t>
      </w:r>
      <w:r w:rsidR="002238C1" w:rsidRPr="00D14358">
        <w:rPr>
          <w:rFonts w:cstheme="minorHAnsi"/>
          <w:bCs/>
          <w:sz w:val="24"/>
          <w:szCs w:val="24"/>
        </w:rPr>
        <w:t>jak potvrz</w:t>
      </w:r>
      <w:r w:rsidR="00BB2B94" w:rsidRPr="00D14358">
        <w:rPr>
          <w:rFonts w:cstheme="minorHAnsi"/>
          <w:bCs/>
          <w:sz w:val="24"/>
          <w:szCs w:val="24"/>
        </w:rPr>
        <w:t>oval</w:t>
      </w:r>
      <w:r w:rsidR="002238C1" w:rsidRPr="00D14358">
        <w:rPr>
          <w:rFonts w:cstheme="minorHAnsi"/>
          <w:bCs/>
          <w:sz w:val="24"/>
          <w:szCs w:val="24"/>
        </w:rPr>
        <w:t xml:space="preserve"> </w:t>
      </w:r>
      <w:r w:rsidR="00742EC8">
        <w:rPr>
          <w:rFonts w:cstheme="minorHAnsi"/>
          <w:bCs/>
          <w:sz w:val="24"/>
          <w:szCs w:val="24"/>
        </w:rPr>
        <w:t>i </w:t>
      </w:r>
      <w:r w:rsidR="006419A9" w:rsidRPr="00D14358">
        <w:rPr>
          <w:rFonts w:cstheme="minorHAnsi"/>
          <w:bCs/>
          <w:sz w:val="24"/>
          <w:szCs w:val="24"/>
        </w:rPr>
        <w:t>přiložen</w:t>
      </w:r>
      <w:r w:rsidR="002238C1" w:rsidRPr="00D14358">
        <w:rPr>
          <w:rFonts w:cstheme="minorHAnsi"/>
          <w:bCs/>
          <w:sz w:val="24"/>
          <w:szCs w:val="24"/>
        </w:rPr>
        <w:t>ý</w:t>
      </w:r>
      <w:r w:rsidR="006419A9" w:rsidRPr="00D14358">
        <w:rPr>
          <w:rFonts w:cstheme="minorHAnsi"/>
          <w:bCs/>
          <w:sz w:val="24"/>
          <w:szCs w:val="24"/>
        </w:rPr>
        <w:t xml:space="preserve"> </w:t>
      </w:r>
      <w:r w:rsidR="00FF7AAD" w:rsidRPr="00485081">
        <w:rPr>
          <w:rFonts w:cstheme="minorHAnsi"/>
          <w:bCs/>
          <w:i/>
          <w:sz w:val="24"/>
          <w:szCs w:val="24"/>
        </w:rPr>
        <w:t>v</w:t>
      </w:r>
      <w:r w:rsidR="006419A9" w:rsidRPr="00485081">
        <w:rPr>
          <w:rFonts w:cstheme="minorHAnsi"/>
          <w:bCs/>
          <w:i/>
          <w:sz w:val="24"/>
          <w:szCs w:val="24"/>
        </w:rPr>
        <w:t>ýpis úschov cenných papírů ke dni 31. 12. 2014</w:t>
      </w:r>
      <w:r w:rsidR="006419A9" w:rsidRPr="00D14358">
        <w:rPr>
          <w:rFonts w:cstheme="minorHAnsi"/>
          <w:bCs/>
          <w:sz w:val="24"/>
          <w:szCs w:val="24"/>
        </w:rPr>
        <w:t xml:space="preserve"> vyhotoven</w:t>
      </w:r>
      <w:r w:rsidR="002238C1" w:rsidRPr="00D14358">
        <w:rPr>
          <w:rFonts w:cstheme="minorHAnsi"/>
          <w:bCs/>
          <w:sz w:val="24"/>
          <w:szCs w:val="24"/>
        </w:rPr>
        <w:t>ý</w:t>
      </w:r>
      <w:r w:rsidR="006419A9" w:rsidRPr="00D14358">
        <w:rPr>
          <w:rFonts w:cstheme="minorHAnsi"/>
          <w:bCs/>
          <w:sz w:val="24"/>
          <w:szCs w:val="24"/>
        </w:rPr>
        <w:t xml:space="preserve"> Komerční bankou, a.s.</w:t>
      </w:r>
      <w:r w:rsidR="005A6B75" w:rsidRPr="00D14358">
        <w:rPr>
          <w:rFonts w:cstheme="minorHAnsi"/>
          <w:bCs/>
          <w:sz w:val="24"/>
          <w:szCs w:val="24"/>
        </w:rPr>
        <w:t xml:space="preserve"> </w:t>
      </w:r>
    </w:p>
    <w:p w14:paraId="4822418C" w14:textId="77777777" w:rsidR="005072AE" w:rsidRPr="00CC2CC4" w:rsidRDefault="005072AE" w:rsidP="002E41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539602A" w14:textId="4DBD772F" w:rsidR="001C60BB" w:rsidRPr="00D14358" w:rsidRDefault="00525A50" w:rsidP="001C60BB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14358">
        <w:rPr>
          <w:rFonts w:cs="Calibri"/>
          <w:sz w:val="24"/>
          <w:szCs w:val="24"/>
        </w:rPr>
        <w:t>Majetková účast</w:t>
      </w:r>
      <w:r w:rsidR="00A7701E" w:rsidRPr="00D14358">
        <w:rPr>
          <w:rFonts w:cs="Calibri"/>
          <w:sz w:val="24"/>
          <w:szCs w:val="24"/>
        </w:rPr>
        <w:t xml:space="preserve"> v ČEZ, a.s. </w:t>
      </w:r>
      <w:r w:rsidR="00954BCD" w:rsidRPr="00D14358">
        <w:rPr>
          <w:rFonts w:cs="Calibri"/>
          <w:sz w:val="24"/>
          <w:szCs w:val="24"/>
        </w:rPr>
        <w:t>–</w:t>
      </w:r>
      <w:r w:rsidR="00A7701E" w:rsidRPr="00D14358">
        <w:rPr>
          <w:rFonts w:cs="Calibri"/>
          <w:sz w:val="24"/>
          <w:szCs w:val="24"/>
        </w:rPr>
        <w:t xml:space="preserve"> </w:t>
      </w:r>
      <w:r w:rsidR="00742EC8">
        <w:rPr>
          <w:rFonts w:cs="Calibri"/>
          <w:sz w:val="24"/>
          <w:szCs w:val="24"/>
        </w:rPr>
        <w:t>V</w:t>
      </w:r>
      <w:r w:rsidR="00954BCD" w:rsidRPr="00D14358">
        <w:rPr>
          <w:rFonts w:cs="Calibri"/>
          <w:sz w:val="24"/>
          <w:szCs w:val="24"/>
        </w:rPr>
        <w:t> jednom ze dvou</w:t>
      </w:r>
      <w:r w:rsidR="001C60BB" w:rsidRPr="00D14358">
        <w:rPr>
          <w:rFonts w:cs="Calibri"/>
          <w:sz w:val="24"/>
          <w:szCs w:val="24"/>
        </w:rPr>
        <w:t xml:space="preserve"> inventurní</w:t>
      </w:r>
      <w:r w:rsidR="00954BCD" w:rsidRPr="00D14358">
        <w:rPr>
          <w:rFonts w:cs="Calibri"/>
          <w:sz w:val="24"/>
          <w:szCs w:val="24"/>
        </w:rPr>
        <w:t>ch</w:t>
      </w:r>
      <w:r w:rsidR="001C60BB" w:rsidRPr="00D14358">
        <w:rPr>
          <w:rFonts w:cs="Calibri"/>
          <w:sz w:val="24"/>
          <w:szCs w:val="24"/>
        </w:rPr>
        <w:t xml:space="preserve"> soupis</w:t>
      </w:r>
      <w:r w:rsidR="00954BCD" w:rsidRPr="00D14358">
        <w:rPr>
          <w:rFonts w:cs="Calibri"/>
          <w:sz w:val="24"/>
          <w:szCs w:val="24"/>
        </w:rPr>
        <w:t>ů</w:t>
      </w:r>
      <w:r w:rsidR="001C60BB" w:rsidRPr="00D14358">
        <w:rPr>
          <w:rFonts w:cs="Calibri"/>
          <w:sz w:val="24"/>
          <w:szCs w:val="24"/>
        </w:rPr>
        <w:t xml:space="preserve"> </w:t>
      </w:r>
      <w:r w:rsidRPr="00D14358">
        <w:rPr>
          <w:rFonts w:cs="Calibri"/>
          <w:sz w:val="24"/>
          <w:szCs w:val="24"/>
        </w:rPr>
        <w:t>majetkové účasti</w:t>
      </w:r>
      <w:r w:rsidR="00BB2B94" w:rsidRPr="00D14358">
        <w:rPr>
          <w:rFonts w:cs="Calibri"/>
          <w:sz w:val="24"/>
          <w:szCs w:val="24"/>
        </w:rPr>
        <w:t xml:space="preserve"> v</w:t>
      </w:r>
      <w:r w:rsidR="00954BCD" w:rsidRPr="00D14358">
        <w:rPr>
          <w:rFonts w:cs="Calibri"/>
          <w:sz w:val="24"/>
          <w:szCs w:val="24"/>
        </w:rPr>
        <w:t> </w:t>
      </w:r>
      <w:r w:rsidR="00BB2B94" w:rsidRPr="00D14358">
        <w:rPr>
          <w:rFonts w:cs="Calibri"/>
          <w:sz w:val="24"/>
          <w:szCs w:val="24"/>
        </w:rPr>
        <w:t>ČEZ</w:t>
      </w:r>
      <w:r w:rsidR="00954BCD" w:rsidRPr="00D14358">
        <w:rPr>
          <w:rFonts w:cs="Calibri"/>
          <w:sz w:val="24"/>
          <w:szCs w:val="24"/>
        </w:rPr>
        <w:t>, a.s.</w:t>
      </w:r>
      <w:r w:rsidR="00FF7AAD">
        <w:rPr>
          <w:rFonts w:cs="Calibri"/>
          <w:sz w:val="24"/>
          <w:szCs w:val="24"/>
        </w:rPr>
        <w:t>,</w:t>
      </w:r>
      <w:r w:rsidR="00954BCD" w:rsidRPr="00D14358">
        <w:rPr>
          <w:rFonts w:cs="Calibri"/>
          <w:sz w:val="24"/>
          <w:szCs w:val="24"/>
        </w:rPr>
        <w:t xml:space="preserve"> zpracovaných</w:t>
      </w:r>
      <w:r w:rsidR="00BB2B94" w:rsidRPr="00D14358">
        <w:rPr>
          <w:rFonts w:cs="Calibri"/>
          <w:sz w:val="24"/>
          <w:szCs w:val="24"/>
        </w:rPr>
        <w:t xml:space="preserve"> k 31.</w:t>
      </w:r>
      <w:r w:rsidR="00713A25" w:rsidRPr="00D14358">
        <w:rPr>
          <w:rFonts w:cs="Calibri"/>
          <w:sz w:val="24"/>
          <w:szCs w:val="24"/>
        </w:rPr>
        <w:t> </w:t>
      </w:r>
      <w:r w:rsidR="00BB2B94" w:rsidRPr="00D14358">
        <w:rPr>
          <w:rFonts w:cs="Calibri"/>
          <w:sz w:val="24"/>
          <w:szCs w:val="24"/>
        </w:rPr>
        <w:t>12. 2013</w:t>
      </w:r>
      <w:r w:rsidR="00954BCD" w:rsidRPr="00D14358">
        <w:rPr>
          <w:rFonts w:cs="Calibri"/>
          <w:sz w:val="24"/>
          <w:szCs w:val="24"/>
        </w:rPr>
        <w:t xml:space="preserve"> byla uvedena</w:t>
      </w:r>
      <w:r w:rsidR="00954BCD" w:rsidRPr="00D14358">
        <w:rPr>
          <w:rFonts w:cstheme="minorHAnsi"/>
          <w:bCs/>
          <w:sz w:val="24"/>
          <w:szCs w:val="24"/>
        </w:rPr>
        <w:t xml:space="preserve"> pouze </w:t>
      </w:r>
      <w:r w:rsidR="00FA7B5B" w:rsidRPr="00D14358">
        <w:rPr>
          <w:rFonts w:cstheme="minorHAnsi"/>
          <w:bCs/>
          <w:sz w:val="24"/>
          <w:szCs w:val="24"/>
        </w:rPr>
        <w:t xml:space="preserve">úhrnná </w:t>
      </w:r>
      <w:r w:rsidR="00954BCD" w:rsidRPr="00D14358">
        <w:rPr>
          <w:rFonts w:cstheme="minorHAnsi"/>
          <w:bCs/>
          <w:sz w:val="24"/>
          <w:szCs w:val="24"/>
        </w:rPr>
        <w:t xml:space="preserve">jmenovitá hodnota </w:t>
      </w:r>
      <w:r w:rsidRPr="00D14358">
        <w:rPr>
          <w:rFonts w:cstheme="minorHAnsi"/>
          <w:bCs/>
          <w:sz w:val="24"/>
          <w:szCs w:val="24"/>
        </w:rPr>
        <w:t>majetkové účasti</w:t>
      </w:r>
      <w:r w:rsidR="00954BCD" w:rsidRPr="00D14358">
        <w:rPr>
          <w:rFonts w:cstheme="minorHAnsi"/>
          <w:bCs/>
          <w:sz w:val="24"/>
          <w:szCs w:val="24"/>
        </w:rPr>
        <w:t>, nikoliv</w:t>
      </w:r>
      <w:r w:rsidR="00BB2B94" w:rsidRPr="00D14358">
        <w:rPr>
          <w:rFonts w:cs="Calibri"/>
          <w:sz w:val="24"/>
          <w:szCs w:val="24"/>
        </w:rPr>
        <w:t xml:space="preserve"> </w:t>
      </w:r>
      <w:r w:rsidR="00954BCD" w:rsidRPr="00D14358">
        <w:rPr>
          <w:rFonts w:cstheme="minorHAnsi"/>
          <w:bCs/>
          <w:sz w:val="24"/>
          <w:szCs w:val="24"/>
        </w:rPr>
        <w:t>počet akcií a</w:t>
      </w:r>
      <w:r w:rsidR="00713A25" w:rsidRPr="00D14358">
        <w:rPr>
          <w:rFonts w:cstheme="minorHAnsi"/>
          <w:bCs/>
          <w:sz w:val="24"/>
          <w:szCs w:val="24"/>
        </w:rPr>
        <w:t> </w:t>
      </w:r>
      <w:r w:rsidR="00450176" w:rsidRPr="00D14358">
        <w:rPr>
          <w:rFonts w:cstheme="minorHAnsi"/>
          <w:bCs/>
          <w:sz w:val="24"/>
          <w:szCs w:val="24"/>
        </w:rPr>
        <w:t>jmenovitá hodnota jedné akcie</w:t>
      </w:r>
      <w:r w:rsidR="00625E5B" w:rsidRPr="00D14358">
        <w:rPr>
          <w:rFonts w:cstheme="minorHAnsi"/>
          <w:bCs/>
          <w:sz w:val="24"/>
          <w:szCs w:val="24"/>
        </w:rPr>
        <w:t>.</w:t>
      </w:r>
    </w:p>
    <w:p w14:paraId="652B0FF6" w14:textId="77777777" w:rsidR="001C60BB" w:rsidRPr="00CC2CC4" w:rsidRDefault="001C60BB" w:rsidP="00BB2B94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102F00" w14:textId="77397626" w:rsidR="00954BCD" w:rsidRPr="00D14358" w:rsidRDefault="00525A50" w:rsidP="00954BCD">
      <w:pPr>
        <w:spacing w:after="0" w:line="240" w:lineRule="auto"/>
        <w:jc w:val="both"/>
        <w:rPr>
          <w:rFonts w:cstheme="minorHAnsi"/>
          <w:bCs/>
          <w:sz w:val="24"/>
          <w:szCs w:val="24"/>
        </w:rPr>
      </w:pPr>
      <w:r w:rsidRPr="00D14358">
        <w:rPr>
          <w:rFonts w:cs="Calibri"/>
          <w:sz w:val="24"/>
          <w:szCs w:val="24"/>
        </w:rPr>
        <w:lastRenderedPageBreak/>
        <w:t xml:space="preserve">Majetková účast </w:t>
      </w:r>
      <w:r w:rsidR="006D3384" w:rsidRPr="00D14358">
        <w:rPr>
          <w:rFonts w:cs="Calibri"/>
          <w:sz w:val="24"/>
          <w:szCs w:val="24"/>
        </w:rPr>
        <w:t xml:space="preserve">v Kongresovém centru Praha, a.s., v </w:t>
      </w:r>
      <w:r w:rsidR="006D3384" w:rsidRPr="00D14358">
        <w:rPr>
          <w:rFonts w:cstheme="minorHAnsi"/>
          <w:sz w:val="24"/>
          <w:szCs w:val="24"/>
          <w:lang w:eastAsia="cs-CZ"/>
        </w:rPr>
        <w:t>Teva Hungary Ltd.,</w:t>
      </w:r>
      <w:r w:rsidR="006D3384" w:rsidRPr="00D14358">
        <w:rPr>
          <w:rFonts w:cs="Calibri"/>
          <w:sz w:val="24"/>
          <w:szCs w:val="24"/>
        </w:rPr>
        <w:t xml:space="preserve"> ve</w:t>
      </w:r>
      <w:r w:rsidR="006D3384" w:rsidRPr="00D14358">
        <w:rPr>
          <w:rFonts w:cstheme="minorHAnsi"/>
          <w:sz w:val="24"/>
          <w:szCs w:val="24"/>
          <w:lang w:eastAsia="cs-CZ"/>
        </w:rPr>
        <w:t xml:space="preserve"> společnosti Vodovody a</w:t>
      </w:r>
      <w:r w:rsidR="00307745">
        <w:rPr>
          <w:rFonts w:cstheme="minorHAnsi"/>
          <w:sz w:val="24"/>
          <w:szCs w:val="24"/>
          <w:lang w:eastAsia="cs-CZ"/>
        </w:rPr>
        <w:t xml:space="preserve"> </w:t>
      </w:r>
      <w:r w:rsidR="006D3384" w:rsidRPr="00D14358">
        <w:rPr>
          <w:rFonts w:cstheme="minorHAnsi"/>
          <w:sz w:val="24"/>
          <w:szCs w:val="24"/>
          <w:lang w:eastAsia="cs-CZ"/>
        </w:rPr>
        <w:t>kanalizace Hodonín, a.s.</w:t>
      </w:r>
      <w:r w:rsidR="00FF7AAD">
        <w:rPr>
          <w:rFonts w:cstheme="minorHAnsi"/>
          <w:sz w:val="24"/>
          <w:szCs w:val="24"/>
          <w:lang w:eastAsia="cs-CZ"/>
        </w:rPr>
        <w:t>,</w:t>
      </w:r>
      <w:r w:rsidR="006D3384" w:rsidRPr="00D14358">
        <w:rPr>
          <w:rFonts w:cstheme="minorHAnsi"/>
          <w:sz w:val="24"/>
          <w:szCs w:val="24"/>
          <w:lang w:eastAsia="cs-CZ"/>
        </w:rPr>
        <w:t xml:space="preserve"> a</w:t>
      </w:r>
      <w:r w:rsidR="00307745">
        <w:rPr>
          <w:rFonts w:cstheme="minorHAnsi"/>
          <w:sz w:val="24"/>
          <w:szCs w:val="24"/>
          <w:lang w:eastAsia="cs-CZ"/>
        </w:rPr>
        <w:t xml:space="preserve"> </w:t>
      </w:r>
      <w:r w:rsidR="006D3384" w:rsidRPr="00D14358">
        <w:rPr>
          <w:rFonts w:cs="Calibri"/>
          <w:sz w:val="24"/>
          <w:szCs w:val="24"/>
        </w:rPr>
        <w:t xml:space="preserve">ve společnosti </w:t>
      </w:r>
      <w:r w:rsidR="006D3384" w:rsidRPr="00D14358">
        <w:rPr>
          <w:rFonts w:cstheme="minorHAnsi"/>
          <w:sz w:val="24"/>
          <w:szCs w:val="24"/>
          <w:lang w:eastAsia="cs-CZ"/>
        </w:rPr>
        <w:t>SKLÁRNY KAVALIER,</w:t>
      </w:r>
      <w:r w:rsidR="00135B61">
        <w:rPr>
          <w:rFonts w:cstheme="minorHAnsi"/>
          <w:sz w:val="24"/>
          <w:szCs w:val="24"/>
          <w:lang w:eastAsia="cs-CZ"/>
        </w:rPr>
        <w:t xml:space="preserve"> </w:t>
      </w:r>
      <w:r w:rsidR="006D3384" w:rsidRPr="00D14358">
        <w:rPr>
          <w:rFonts w:cstheme="minorHAnsi"/>
          <w:sz w:val="24"/>
          <w:szCs w:val="24"/>
          <w:lang w:eastAsia="cs-CZ"/>
        </w:rPr>
        <w:t xml:space="preserve">a.s. </w:t>
      </w:r>
      <w:r w:rsidR="00450176" w:rsidRPr="00D14358">
        <w:rPr>
          <w:rFonts w:cstheme="minorHAnsi"/>
          <w:sz w:val="24"/>
          <w:szCs w:val="24"/>
          <w:lang w:eastAsia="cs-CZ"/>
        </w:rPr>
        <w:t>–</w:t>
      </w:r>
      <w:r w:rsidR="000D4C52" w:rsidRPr="00D14358">
        <w:rPr>
          <w:rFonts w:cstheme="minorHAnsi"/>
          <w:sz w:val="24"/>
          <w:szCs w:val="24"/>
        </w:rPr>
        <w:t xml:space="preserve"> </w:t>
      </w:r>
      <w:r w:rsidR="00742EC8">
        <w:rPr>
          <w:rFonts w:cstheme="minorHAnsi"/>
          <w:sz w:val="24"/>
          <w:szCs w:val="24"/>
        </w:rPr>
        <w:t>K</w:t>
      </w:r>
      <w:r w:rsidR="00707F5B">
        <w:rPr>
          <w:rFonts w:cstheme="minorHAnsi"/>
          <w:sz w:val="24"/>
          <w:szCs w:val="24"/>
        </w:rPr>
        <w:t> </w:t>
      </w:r>
      <w:r w:rsidR="006D3384" w:rsidRPr="00D14358">
        <w:rPr>
          <w:rFonts w:cstheme="minorHAnsi"/>
          <w:sz w:val="24"/>
          <w:szCs w:val="24"/>
        </w:rPr>
        <w:t>inventurní</w:t>
      </w:r>
      <w:r w:rsidR="00003F59" w:rsidRPr="00D14358">
        <w:rPr>
          <w:rFonts w:cstheme="minorHAnsi"/>
          <w:sz w:val="24"/>
          <w:szCs w:val="24"/>
        </w:rPr>
        <w:t>m</w:t>
      </w:r>
      <w:r w:rsidR="006D3384" w:rsidRPr="00D14358">
        <w:rPr>
          <w:rFonts w:cstheme="minorHAnsi"/>
          <w:sz w:val="24"/>
          <w:szCs w:val="24"/>
        </w:rPr>
        <w:t xml:space="preserve"> soupis</w:t>
      </w:r>
      <w:r w:rsidR="00003F59" w:rsidRPr="00D14358">
        <w:rPr>
          <w:rFonts w:cstheme="minorHAnsi"/>
          <w:sz w:val="24"/>
          <w:szCs w:val="24"/>
        </w:rPr>
        <w:t>ům</w:t>
      </w:r>
      <w:r w:rsidR="006D3384" w:rsidRPr="00D14358">
        <w:rPr>
          <w:rFonts w:cstheme="minorHAnsi"/>
          <w:sz w:val="24"/>
          <w:szCs w:val="24"/>
        </w:rPr>
        <w:t xml:space="preserve"> těchto majetkových účastí</w:t>
      </w:r>
      <w:r w:rsidR="00003F59" w:rsidRPr="00D14358">
        <w:rPr>
          <w:rFonts w:cstheme="minorHAnsi"/>
          <w:sz w:val="24"/>
          <w:szCs w:val="24"/>
        </w:rPr>
        <w:t>, které byly označeny druhem inventury „fyzická“,</w:t>
      </w:r>
      <w:r w:rsidR="006D3384" w:rsidRPr="00D14358">
        <w:rPr>
          <w:rFonts w:cstheme="minorHAnsi"/>
          <w:sz w:val="24"/>
          <w:szCs w:val="24"/>
        </w:rPr>
        <w:t xml:space="preserve"> </w:t>
      </w:r>
      <w:r w:rsidR="000D4C52" w:rsidRPr="00D14358">
        <w:rPr>
          <w:rFonts w:cstheme="minorHAnsi"/>
          <w:sz w:val="24"/>
          <w:szCs w:val="24"/>
        </w:rPr>
        <w:t xml:space="preserve">byly </w:t>
      </w:r>
      <w:r w:rsidR="00E4178A" w:rsidRPr="00D14358">
        <w:rPr>
          <w:rFonts w:cstheme="minorHAnsi"/>
          <w:sz w:val="24"/>
          <w:szCs w:val="24"/>
        </w:rPr>
        <w:t>přilož</w:t>
      </w:r>
      <w:r w:rsidR="000D4C52" w:rsidRPr="00D14358">
        <w:rPr>
          <w:rFonts w:cstheme="minorHAnsi"/>
          <w:sz w:val="24"/>
          <w:szCs w:val="24"/>
        </w:rPr>
        <w:t>eny</w:t>
      </w:r>
      <w:r w:rsidR="00E4178A" w:rsidRPr="00D14358">
        <w:rPr>
          <w:rFonts w:cstheme="minorHAnsi"/>
          <w:sz w:val="24"/>
          <w:szCs w:val="24"/>
        </w:rPr>
        <w:t xml:space="preserve"> konfirmační dopisy Komerční banky, a.s.</w:t>
      </w:r>
      <w:r w:rsidR="00FF7AAD">
        <w:rPr>
          <w:rFonts w:cstheme="minorHAnsi"/>
          <w:sz w:val="24"/>
          <w:szCs w:val="24"/>
        </w:rPr>
        <w:t>,</w:t>
      </w:r>
      <w:r w:rsidR="00E4178A" w:rsidRPr="00D14358">
        <w:rPr>
          <w:rFonts w:cstheme="minorHAnsi"/>
          <w:sz w:val="24"/>
          <w:szCs w:val="24"/>
        </w:rPr>
        <w:t xml:space="preserve"> </w:t>
      </w:r>
      <w:r w:rsidR="00346A6F" w:rsidRPr="00D14358">
        <w:rPr>
          <w:rFonts w:cstheme="minorHAnsi"/>
          <w:sz w:val="24"/>
          <w:szCs w:val="24"/>
        </w:rPr>
        <w:t>a</w:t>
      </w:r>
      <w:r w:rsidR="00E4178A" w:rsidRPr="00D14358">
        <w:rPr>
          <w:rFonts w:cstheme="minorHAnsi"/>
          <w:sz w:val="24"/>
          <w:szCs w:val="24"/>
        </w:rPr>
        <w:t xml:space="preserve"> </w:t>
      </w:r>
      <w:r w:rsidR="00E4178A" w:rsidRPr="00D14358">
        <w:rPr>
          <w:rFonts w:cstheme="minorHAnsi"/>
          <w:bCs/>
          <w:sz w:val="24"/>
          <w:szCs w:val="24"/>
        </w:rPr>
        <w:t>Atlantik finanční trhy, a.s.</w:t>
      </w:r>
      <w:r w:rsidR="00A842E2" w:rsidRPr="00D14358">
        <w:rPr>
          <w:rFonts w:cstheme="minorHAnsi"/>
          <w:bCs/>
          <w:sz w:val="24"/>
          <w:szCs w:val="24"/>
        </w:rPr>
        <w:t xml:space="preserve">, které potvrzují, že </w:t>
      </w:r>
      <w:r w:rsidR="0025247E" w:rsidRPr="00D14358">
        <w:rPr>
          <w:rFonts w:cstheme="minorHAnsi"/>
          <w:bCs/>
          <w:sz w:val="24"/>
          <w:szCs w:val="24"/>
        </w:rPr>
        <w:t>MF</w:t>
      </w:r>
      <w:r w:rsidR="00A842E2" w:rsidRPr="00D14358">
        <w:rPr>
          <w:rFonts w:cstheme="minorHAnsi"/>
          <w:bCs/>
          <w:sz w:val="24"/>
          <w:szCs w:val="24"/>
        </w:rPr>
        <w:t xml:space="preserve"> </w:t>
      </w:r>
      <w:r w:rsidR="00B318C3" w:rsidRPr="00D14358">
        <w:rPr>
          <w:rFonts w:cstheme="minorHAnsi"/>
          <w:bCs/>
          <w:sz w:val="24"/>
          <w:szCs w:val="24"/>
        </w:rPr>
        <w:t>nemohlo</w:t>
      </w:r>
      <w:r w:rsidR="00A842E2" w:rsidRPr="00D14358">
        <w:rPr>
          <w:rFonts w:cstheme="minorHAnsi"/>
          <w:bCs/>
          <w:sz w:val="24"/>
          <w:szCs w:val="24"/>
        </w:rPr>
        <w:t xml:space="preserve"> </w:t>
      </w:r>
      <w:r w:rsidR="00B318C3" w:rsidRPr="00D14358">
        <w:rPr>
          <w:rFonts w:cstheme="minorHAnsi"/>
          <w:bCs/>
          <w:sz w:val="24"/>
          <w:szCs w:val="24"/>
        </w:rPr>
        <w:t>f</w:t>
      </w:r>
      <w:r w:rsidR="00A842E2" w:rsidRPr="00D14358">
        <w:rPr>
          <w:rFonts w:cstheme="minorHAnsi"/>
          <w:bCs/>
          <w:sz w:val="24"/>
          <w:szCs w:val="24"/>
        </w:rPr>
        <w:t xml:space="preserve">yzickou inventuru </w:t>
      </w:r>
      <w:r w:rsidRPr="00D14358">
        <w:rPr>
          <w:rFonts w:cstheme="minorHAnsi"/>
          <w:bCs/>
          <w:sz w:val="24"/>
          <w:szCs w:val="24"/>
        </w:rPr>
        <w:t>majetkových účastí</w:t>
      </w:r>
      <w:r w:rsidR="00003F59" w:rsidRPr="00D14358">
        <w:rPr>
          <w:rFonts w:cstheme="minorHAnsi"/>
          <w:bCs/>
          <w:sz w:val="24"/>
          <w:szCs w:val="24"/>
        </w:rPr>
        <w:t xml:space="preserve"> </w:t>
      </w:r>
      <w:r w:rsidR="00A842E2" w:rsidRPr="00D14358">
        <w:rPr>
          <w:rFonts w:cstheme="minorHAnsi"/>
          <w:bCs/>
          <w:sz w:val="24"/>
          <w:szCs w:val="24"/>
        </w:rPr>
        <w:t>provést.</w:t>
      </w:r>
      <w:r w:rsidR="00307745">
        <w:rPr>
          <w:rFonts w:cstheme="minorHAnsi"/>
          <w:bCs/>
          <w:sz w:val="24"/>
          <w:szCs w:val="24"/>
        </w:rPr>
        <w:t xml:space="preserve"> </w:t>
      </w:r>
    </w:p>
    <w:p w14:paraId="47E7FCA6" w14:textId="77777777" w:rsidR="00C568F1" w:rsidRPr="00D14358" w:rsidRDefault="00C568F1" w:rsidP="002E4156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29D44A7E" w14:textId="77777777" w:rsidR="00671425" w:rsidRPr="00D14358" w:rsidRDefault="00932158" w:rsidP="005E23FE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 xml:space="preserve">4.3 </w:t>
      </w:r>
      <w:r w:rsidR="00671425" w:rsidRPr="00D14358">
        <w:rPr>
          <w:rFonts w:cstheme="minorHAnsi"/>
          <w:b/>
          <w:sz w:val="24"/>
          <w:szCs w:val="24"/>
        </w:rPr>
        <w:t>Ministerstvo průmyslu a obchodu</w:t>
      </w:r>
    </w:p>
    <w:p w14:paraId="503A839D" w14:textId="77777777" w:rsidR="00CC2CC4" w:rsidRDefault="00CC2CC4" w:rsidP="00574D6C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FD7EE95" w14:textId="6445A330" w:rsidR="00671425" w:rsidRPr="00D14358" w:rsidRDefault="00671425" w:rsidP="00574D6C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sz w:val="24"/>
          <w:szCs w:val="24"/>
          <w:lang w:eastAsia="cs-CZ"/>
        </w:rPr>
        <w:t xml:space="preserve">MPO </w:t>
      </w:r>
      <w:r w:rsidR="00742EC8">
        <w:rPr>
          <w:rFonts w:cstheme="minorHAnsi"/>
          <w:sz w:val="24"/>
          <w:szCs w:val="24"/>
          <w:lang w:eastAsia="cs-CZ"/>
        </w:rPr>
        <w:t>bylo</w:t>
      </w:r>
      <w:r w:rsidRPr="00D14358">
        <w:rPr>
          <w:rFonts w:cstheme="minorHAnsi"/>
          <w:sz w:val="24"/>
          <w:szCs w:val="24"/>
          <w:lang w:eastAsia="cs-CZ"/>
        </w:rPr>
        <w:t xml:space="preserve"> k</w:t>
      </w:r>
      <w:r w:rsidR="00307745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sz w:val="24"/>
          <w:szCs w:val="24"/>
        </w:rPr>
        <w:t>31. 12. 2013 příslušn</w:t>
      </w:r>
      <w:r w:rsidR="00742EC8">
        <w:rPr>
          <w:rFonts w:cstheme="minorHAnsi"/>
          <w:sz w:val="24"/>
          <w:szCs w:val="24"/>
        </w:rPr>
        <w:t>é</w:t>
      </w:r>
      <w:r w:rsidRPr="00D14358">
        <w:rPr>
          <w:rFonts w:cstheme="minorHAnsi"/>
          <w:sz w:val="24"/>
          <w:szCs w:val="24"/>
        </w:rPr>
        <w:t xml:space="preserve"> hospodařit </w:t>
      </w:r>
      <w:r w:rsidR="00742EC8">
        <w:rPr>
          <w:rFonts w:cstheme="minorHAnsi"/>
          <w:sz w:val="24"/>
          <w:szCs w:val="24"/>
        </w:rPr>
        <w:t>s</w:t>
      </w:r>
      <w:r w:rsidR="00525A50" w:rsidRPr="00D14358">
        <w:rPr>
          <w:rFonts w:cstheme="minorHAnsi"/>
          <w:sz w:val="24"/>
          <w:szCs w:val="24"/>
        </w:rPr>
        <w:t> majetkovým</w:t>
      </w:r>
      <w:r w:rsidR="00742EC8">
        <w:rPr>
          <w:rFonts w:cstheme="minorHAnsi"/>
          <w:sz w:val="24"/>
          <w:szCs w:val="24"/>
        </w:rPr>
        <w:t>i</w:t>
      </w:r>
      <w:r w:rsidR="00525A50" w:rsidRPr="00D14358">
        <w:rPr>
          <w:rFonts w:cstheme="minorHAnsi"/>
          <w:sz w:val="24"/>
          <w:szCs w:val="24"/>
        </w:rPr>
        <w:t xml:space="preserve"> účastm</w:t>
      </w:r>
      <w:r w:rsidR="00742EC8">
        <w:rPr>
          <w:rFonts w:cstheme="minorHAnsi"/>
          <w:sz w:val="24"/>
          <w:szCs w:val="24"/>
        </w:rPr>
        <w:t>i</w:t>
      </w:r>
      <w:r w:rsidRPr="00D14358">
        <w:rPr>
          <w:rFonts w:cstheme="minorHAnsi"/>
          <w:sz w:val="24"/>
          <w:szCs w:val="24"/>
        </w:rPr>
        <w:t xml:space="preserve"> státu v</w:t>
      </w:r>
      <w:r w:rsidR="0025247E" w:rsidRPr="00D14358">
        <w:rPr>
          <w:rFonts w:cstheme="minorHAnsi"/>
          <w:sz w:val="24"/>
          <w:szCs w:val="24"/>
        </w:rPr>
        <w:t> pěti</w:t>
      </w:r>
      <w:r w:rsidRPr="00D14358">
        <w:rPr>
          <w:rFonts w:cstheme="minorHAnsi"/>
          <w:sz w:val="24"/>
          <w:szCs w:val="24"/>
        </w:rPr>
        <w:t xml:space="preserve"> společnostech, k 31.</w:t>
      </w:r>
      <w:r w:rsidR="00A14823" w:rsidRPr="00D14358">
        <w:rPr>
          <w:rFonts w:cstheme="minorHAnsi"/>
          <w:sz w:val="24"/>
          <w:szCs w:val="24"/>
        </w:rPr>
        <w:t> </w:t>
      </w:r>
      <w:r w:rsidRPr="00D14358">
        <w:rPr>
          <w:rFonts w:cstheme="minorHAnsi"/>
          <w:sz w:val="24"/>
          <w:szCs w:val="24"/>
        </w:rPr>
        <w:t>12.</w:t>
      </w:r>
      <w:r w:rsidR="00A14823" w:rsidRPr="00D14358">
        <w:rPr>
          <w:rFonts w:cstheme="minorHAnsi"/>
          <w:sz w:val="24"/>
          <w:szCs w:val="24"/>
        </w:rPr>
        <w:t> </w:t>
      </w:r>
      <w:r w:rsidRPr="00D14358">
        <w:rPr>
          <w:rFonts w:cstheme="minorHAnsi"/>
          <w:sz w:val="24"/>
          <w:szCs w:val="24"/>
        </w:rPr>
        <w:t xml:space="preserve">2014 pak </w:t>
      </w:r>
      <w:r w:rsidR="00742EC8">
        <w:rPr>
          <w:rFonts w:cstheme="minorHAnsi"/>
          <w:sz w:val="24"/>
          <w:szCs w:val="24"/>
        </w:rPr>
        <w:t>s</w:t>
      </w:r>
      <w:r w:rsidR="00525A50" w:rsidRPr="00D14358">
        <w:rPr>
          <w:rFonts w:cstheme="minorHAnsi"/>
          <w:sz w:val="24"/>
          <w:szCs w:val="24"/>
        </w:rPr>
        <w:t> majetkovým</w:t>
      </w:r>
      <w:r w:rsidR="00742EC8">
        <w:rPr>
          <w:rFonts w:cstheme="minorHAnsi"/>
          <w:sz w:val="24"/>
          <w:szCs w:val="24"/>
        </w:rPr>
        <w:t>i</w:t>
      </w:r>
      <w:r w:rsidR="00525A50" w:rsidRPr="00D14358">
        <w:rPr>
          <w:rFonts w:cstheme="minorHAnsi"/>
          <w:sz w:val="24"/>
          <w:szCs w:val="24"/>
        </w:rPr>
        <w:t xml:space="preserve"> účastm</w:t>
      </w:r>
      <w:r w:rsidR="00742EC8">
        <w:rPr>
          <w:rFonts w:cstheme="minorHAnsi"/>
          <w:sz w:val="24"/>
          <w:szCs w:val="24"/>
        </w:rPr>
        <w:t>i</w:t>
      </w:r>
      <w:r w:rsidRPr="00D14358">
        <w:rPr>
          <w:rFonts w:cstheme="minorHAnsi"/>
          <w:sz w:val="24"/>
          <w:szCs w:val="24"/>
        </w:rPr>
        <w:t xml:space="preserve"> v</w:t>
      </w:r>
      <w:r w:rsidR="0025247E" w:rsidRPr="00D14358">
        <w:rPr>
          <w:rFonts w:cstheme="minorHAnsi"/>
          <w:sz w:val="24"/>
          <w:szCs w:val="24"/>
        </w:rPr>
        <w:t> šesti</w:t>
      </w:r>
      <w:r w:rsidRPr="00D14358">
        <w:rPr>
          <w:rFonts w:cstheme="minorHAnsi"/>
          <w:sz w:val="24"/>
          <w:szCs w:val="24"/>
        </w:rPr>
        <w:t xml:space="preserve"> společnostech</w:t>
      </w:r>
      <w:r w:rsidR="0000183D" w:rsidRPr="00D14358">
        <w:rPr>
          <w:rFonts w:cstheme="minorHAnsi"/>
          <w:sz w:val="24"/>
          <w:szCs w:val="24"/>
        </w:rPr>
        <w:t xml:space="preserve">, přičemž ve třech společnostech spravovalo </w:t>
      </w:r>
      <w:r w:rsidR="00525A50" w:rsidRPr="00D14358">
        <w:rPr>
          <w:rFonts w:cstheme="minorHAnsi"/>
          <w:sz w:val="24"/>
          <w:szCs w:val="24"/>
        </w:rPr>
        <w:t>majetkovou účast</w:t>
      </w:r>
      <w:r w:rsidR="0000183D" w:rsidRPr="00D14358">
        <w:rPr>
          <w:rFonts w:cstheme="minorHAnsi"/>
          <w:sz w:val="24"/>
          <w:szCs w:val="24"/>
        </w:rPr>
        <w:t xml:space="preserve"> nižší než 50 %</w:t>
      </w:r>
      <w:r w:rsidR="003C1F4D" w:rsidRPr="00D14358">
        <w:rPr>
          <w:rFonts w:cstheme="minorHAnsi"/>
          <w:sz w:val="24"/>
          <w:szCs w:val="24"/>
        </w:rPr>
        <w:t>.</w:t>
      </w:r>
      <w:r w:rsidR="00307745">
        <w:rPr>
          <w:rFonts w:cstheme="minorHAnsi"/>
          <w:sz w:val="24"/>
          <w:szCs w:val="24"/>
        </w:rPr>
        <w:t xml:space="preserve"> </w:t>
      </w:r>
      <w:r w:rsidRPr="00D14358">
        <w:rPr>
          <w:rFonts w:cstheme="minorHAnsi"/>
          <w:sz w:val="24"/>
          <w:szCs w:val="24"/>
        </w:rPr>
        <w:t xml:space="preserve">Ke kontrole výkonu správy </w:t>
      </w:r>
      <w:r w:rsidR="00525A50" w:rsidRPr="00D14358">
        <w:rPr>
          <w:rFonts w:cstheme="minorHAnsi"/>
          <w:sz w:val="24"/>
          <w:szCs w:val="24"/>
        </w:rPr>
        <w:t>majetkových účastí</w:t>
      </w:r>
      <w:r w:rsidRPr="00D14358">
        <w:rPr>
          <w:rFonts w:cstheme="minorHAnsi"/>
          <w:sz w:val="24"/>
          <w:szCs w:val="24"/>
        </w:rPr>
        <w:t xml:space="preserve"> byly vybrány všechny </w:t>
      </w:r>
      <w:r w:rsidR="00525A50" w:rsidRPr="00D14358">
        <w:rPr>
          <w:rFonts w:cstheme="minorHAnsi"/>
          <w:sz w:val="24"/>
          <w:szCs w:val="24"/>
        </w:rPr>
        <w:t>majetkové účasti</w:t>
      </w:r>
      <w:r w:rsidRPr="00D14358">
        <w:rPr>
          <w:rFonts w:cstheme="minorHAnsi"/>
          <w:sz w:val="24"/>
          <w:szCs w:val="24"/>
        </w:rPr>
        <w:t xml:space="preserve"> státu, se kterými bylo MPO příslušné hospodařit.</w:t>
      </w:r>
      <w:r w:rsidR="00574D6C" w:rsidRPr="00D14358">
        <w:rPr>
          <w:rFonts w:cstheme="minorHAnsi"/>
          <w:sz w:val="24"/>
          <w:szCs w:val="24"/>
        </w:rPr>
        <w:t xml:space="preserve"> </w:t>
      </w:r>
    </w:p>
    <w:p w14:paraId="49E8AE15" w14:textId="77777777" w:rsidR="00CC2CC4" w:rsidRDefault="00CC2CC4" w:rsidP="005F145A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cstheme="minorHAnsi"/>
          <w:sz w:val="24"/>
          <w:szCs w:val="24"/>
          <w:lang w:eastAsia="cs-CZ"/>
        </w:rPr>
      </w:pPr>
    </w:p>
    <w:p w14:paraId="7E6B4174" w14:textId="51EB8646" w:rsidR="002D505E" w:rsidRPr="00D14358" w:rsidRDefault="00E85579" w:rsidP="005F145A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Ve většině společností vykonávali práva akcionáře zaměstnanci MPO na</w:t>
      </w:r>
      <w:r w:rsidR="00A17054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sz w:val="24"/>
          <w:szCs w:val="24"/>
          <w:lang w:eastAsia="cs-CZ"/>
        </w:rPr>
        <w:t>základě ověřené plné moci udělené ministrem průmyslu a obchodu, příp. tato práva vykonával ministr průmyslu a obchodu osobně</w:t>
      </w:r>
      <w:r w:rsidR="00A17054">
        <w:rPr>
          <w:rFonts w:cstheme="minorHAnsi"/>
          <w:sz w:val="24"/>
          <w:szCs w:val="24"/>
          <w:lang w:eastAsia="cs-CZ"/>
        </w:rPr>
        <w:t>.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A17054">
        <w:rPr>
          <w:rFonts w:cstheme="minorHAnsi"/>
          <w:sz w:val="24"/>
          <w:szCs w:val="24"/>
          <w:lang w:eastAsia="cs-CZ"/>
        </w:rPr>
        <w:t>U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E834E6" w:rsidRPr="00D14358">
        <w:rPr>
          <w:rFonts w:cstheme="minorHAnsi"/>
          <w:sz w:val="24"/>
          <w:szCs w:val="24"/>
          <w:lang w:eastAsia="cs-CZ"/>
        </w:rPr>
        <w:t>společnosti</w:t>
      </w:r>
      <w:r w:rsidR="00DC129F" w:rsidRPr="00D14358">
        <w:rPr>
          <w:rFonts w:cstheme="minorHAnsi"/>
          <w:sz w:val="24"/>
          <w:szCs w:val="24"/>
          <w:lang w:eastAsia="cs-CZ"/>
        </w:rPr>
        <w:t xml:space="preserve"> OTE, a.s.</w:t>
      </w:r>
      <w:r w:rsidR="00671425" w:rsidRPr="00D14358">
        <w:rPr>
          <w:rFonts w:cstheme="minorHAnsi"/>
          <w:sz w:val="24"/>
          <w:szCs w:val="24"/>
          <w:lang w:eastAsia="cs-CZ"/>
        </w:rPr>
        <w:t>, která vznikla v roce 2001, tj. po nabytí účinnosti zákona č. 219/2000</w:t>
      </w:r>
      <w:r w:rsidR="00F661DA" w:rsidRPr="00D14358">
        <w:rPr>
          <w:rFonts w:cstheme="minorHAnsi"/>
          <w:sz w:val="24"/>
          <w:szCs w:val="24"/>
          <w:lang w:eastAsia="cs-CZ"/>
        </w:rPr>
        <w:t> 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Sb., vykonával práva akcionáře vládou pověřený zaměstnanec MPO. </w:t>
      </w:r>
    </w:p>
    <w:p w14:paraId="73BAF992" w14:textId="77777777" w:rsidR="00450176" w:rsidRPr="00D14358" w:rsidRDefault="00450176" w:rsidP="00525A50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67054EBF" w14:textId="77777777" w:rsidR="003D27A5" w:rsidRDefault="003D27A5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Kontrolou bylo zjištěno:</w:t>
      </w:r>
    </w:p>
    <w:p w14:paraId="51AAE734" w14:textId="77777777" w:rsidR="00CC2CC4" w:rsidRPr="00D14358" w:rsidRDefault="00CC2CC4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</w:p>
    <w:p w14:paraId="24748C5C" w14:textId="538B1DC5" w:rsidR="00671425" w:rsidRPr="00485081" w:rsidRDefault="002D505E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  <w:lang w:eastAsia="cs-CZ"/>
        </w:rPr>
      </w:pPr>
      <w:r w:rsidRPr="00485081">
        <w:rPr>
          <w:rFonts w:cstheme="minorHAnsi"/>
          <w:b/>
          <w:sz w:val="24"/>
          <w:szCs w:val="24"/>
          <w:lang w:eastAsia="cs-CZ"/>
        </w:rPr>
        <w:t>Oblast správy</w:t>
      </w:r>
      <w:r w:rsidR="00525A50" w:rsidRPr="00485081">
        <w:rPr>
          <w:rFonts w:cstheme="minorHAnsi"/>
          <w:b/>
          <w:sz w:val="24"/>
          <w:szCs w:val="24"/>
          <w:lang w:eastAsia="cs-CZ"/>
        </w:rPr>
        <w:t xml:space="preserve"> majetkových účastí</w:t>
      </w:r>
      <w:r w:rsidRPr="00485081">
        <w:rPr>
          <w:rFonts w:cstheme="minorHAnsi"/>
          <w:b/>
          <w:sz w:val="24"/>
          <w:szCs w:val="24"/>
          <w:lang w:eastAsia="cs-CZ"/>
        </w:rPr>
        <w:t xml:space="preserve"> </w:t>
      </w:r>
    </w:p>
    <w:p w14:paraId="2639706D" w14:textId="77777777" w:rsidR="00CC2CC4" w:rsidRDefault="00CC2CC4" w:rsidP="0067142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049AD89F" w14:textId="6173F84A" w:rsidR="00671425" w:rsidRPr="00D14358" w:rsidRDefault="00227DB3" w:rsidP="0067142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14358">
        <w:rPr>
          <w:rFonts w:eastAsia="Times New Roman" w:cstheme="minorHAnsi"/>
          <w:sz w:val="24"/>
          <w:szCs w:val="24"/>
        </w:rPr>
        <w:t>Majetková účast</w:t>
      </w:r>
      <w:r w:rsidR="00014D4D" w:rsidRPr="00D14358">
        <w:rPr>
          <w:rFonts w:eastAsia="Times New Roman" w:cstheme="minorHAnsi"/>
          <w:sz w:val="24"/>
          <w:szCs w:val="24"/>
        </w:rPr>
        <w:t xml:space="preserve"> v </w:t>
      </w:r>
      <w:r w:rsidR="00671425" w:rsidRPr="00D14358">
        <w:rPr>
          <w:rFonts w:eastAsia="Times New Roman" w:cstheme="minorHAnsi"/>
          <w:sz w:val="24"/>
          <w:szCs w:val="24"/>
        </w:rPr>
        <w:t xml:space="preserve">ČEPS, a.s. </w:t>
      </w:r>
      <w:r w:rsidR="00625E5B" w:rsidRPr="00D14358">
        <w:rPr>
          <w:rFonts w:eastAsia="Times New Roman" w:cstheme="minorHAnsi"/>
          <w:sz w:val="24"/>
          <w:szCs w:val="24"/>
        </w:rPr>
        <w:t>–</w:t>
      </w:r>
      <w:r w:rsidR="00671425" w:rsidRPr="00D14358">
        <w:rPr>
          <w:rFonts w:eastAsia="Times New Roman" w:cstheme="minorHAnsi"/>
          <w:b/>
          <w:sz w:val="24"/>
          <w:szCs w:val="24"/>
        </w:rPr>
        <w:t xml:space="preserve"> </w:t>
      </w:r>
      <w:r w:rsidR="00742EC8">
        <w:rPr>
          <w:rFonts w:eastAsia="Times New Roman" w:cstheme="minorHAnsi"/>
          <w:sz w:val="24"/>
          <w:szCs w:val="24"/>
        </w:rPr>
        <w:t>V</w:t>
      </w:r>
      <w:r w:rsidR="00671425" w:rsidRPr="00D14358">
        <w:rPr>
          <w:rFonts w:cstheme="minorHAnsi"/>
          <w:bCs/>
          <w:sz w:val="24"/>
          <w:szCs w:val="24"/>
        </w:rPr>
        <w:t xml:space="preserve"> roce 2014 byl </w:t>
      </w:r>
      <w:r w:rsidR="00726921" w:rsidRPr="00D14358">
        <w:rPr>
          <w:rFonts w:cstheme="minorHAnsi"/>
          <w:bCs/>
          <w:sz w:val="24"/>
          <w:szCs w:val="24"/>
        </w:rPr>
        <w:t>RJA</w:t>
      </w:r>
      <w:r w:rsidR="00671425" w:rsidRPr="00D14358">
        <w:rPr>
          <w:rFonts w:cstheme="minorHAnsi"/>
          <w:bCs/>
          <w:sz w:val="24"/>
          <w:szCs w:val="24"/>
        </w:rPr>
        <w:t xml:space="preserve"> jeden člen dozorčí rady </w:t>
      </w:r>
      <w:r w:rsidR="00726921" w:rsidRPr="00D14358">
        <w:rPr>
          <w:rFonts w:cstheme="minorHAnsi"/>
          <w:bCs/>
          <w:sz w:val="24"/>
          <w:szCs w:val="24"/>
        </w:rPr>
        <w:t xml:space="preserve">odvolán </w:t>
      </w:r>
      <w:r w:rsidR="00671425" w:rsidRPr="00D14358">
        <w:rPr>
          <w:rFonts w:cstheme="minorHAnsi"/>
          <w:bCs/>
          <w:sz w:val="24"/>
          <w:szCs w:val="24"/>
        </w:rPr>
        <w:t xml:space="preserve">a pět členů </w:t>
      </w:r>
      <w:r w:rsidR="00726921" w:rsidRPr="00D14358">
        <w:rPr>
          <w:rFonts w:cstheme="minorHAnsi"/>
          <w:bCs/>
          <w:sz w:val="24"/>
          <w:szCs w:val="24"/>
        </w:rPr>
        <w:t>zvoleno</w:t>
      </w:r>
      <w:r w:rsidR="00671425" w:rsidRPr="00D14358">
        <w:rPr>
          <w:rFonts w:cstheme="minorHAnsi"/>
          <w:bCs/>
          <w:sz w:val="24"/>
          <w:szCs w:val="24"/>
        </w:rPr>
        <w:t xml:space="preserve">. </w:t>
      </w:r>
      <w:r w:rsidR="00742EC8" w:rsidRPr="00D14358">
        <w:rPr>
          <w:rFonts w:cstheme="minorHAnsi"/>
          <w:bCs/>
          <w:sz w:val="24"/>
          <w:szCs w:val="24"/>
        </w:rPr>
        <w:t xml:space="preserve">MPO </w:t>
      </w:r>
      <w:r w:rsidR="00742EC8">
        <w:rPr>
          <w:rFonts w:cstheme="minorHAnsi"/>
          <w:bCs/>
          <w:sz w:val="24"/>
          <w:szCs w:val="24"/>
        </w:rPr>
        <w:t>n</w:t>
      </w:r>
      <w:r w:rsidR="00634062" w:rsidRPr="00D14358">
        <w:rPr>
          <w:rFonts w:cstheme="minorHAnsi"/>
          <w:bCs/>
          <w:sz w:val="24"/>
          <w:szCs w:val="24"/>
        </w:rPr>
        <w:t xml:space="preserve">ávrh </w:t>
      </w:r>
      <w:r w:rsidR="00404BD6" w:rsidRPr="00D14358">
        <w:rPr>
          <w:rFonts w:cstheme="minorHAnsi"/>
          <w:bCs/>
          <w:sz w:val="24"/>
          <w:szCs w:val="24"/>
        </w:rPr>
        <w:t xml:space="preserve">na zvolení </w:t>
      </w:r>
      <w:r w:rsidR="00726921" w:rsidRPr="00D14358">
        <w:rPr>
          <w:rFonts w:cstheme="minorHAnsi"/>
          <w:bCs/>
          <w:sz w:val="24"/>
          <w:szCs w:val="24"/>
        </w:rPr>
        <w:t xml:space="preserve">jednoho z těchto členů </w:t>
      </w:r>
      <w:r w:rsidR="00742EC8" w:rsidRPr="00D14358">
        <w:rPr>
          <w:rFonts w:cstheme="minorHAnsi"/>
          <w:bCs/>
          <w:sz w:val="24"/>
          <w:szCs w:val="24"/>
        </w:rPr>
        <w:t xml:space="preserve">nepředložilo </w:t>
      </w:r>
      <w:r w:rsidR="00742EC8">
        <w:rPr>
          <w:rFonts w:cstheme="minorHAnsi"/>
          <w:bCs/>
          <w:sz w:val="24"/>
          <w:szCs w:val="24"/>
        </w:rPr>
        <w:t>k </w:t>
      </w:r>
      <w:r w:rsidR="00671425" w:rsidRPr="00D14358">
        <w:rPr>
          <w:rFonts w:cstheme="minorHAnsi"/>
          <w:bCs/>
          <w:sz w:val="24"/>
          <w:szCs w:val="24"/>
        </w:rPr>
        <w:t xml:space="preserve">projednání ve Vládním výboru pro personální nominace. </w:t>
      </w:r>
      <w:r w:rsidR="00384328" w:rsidRPr="00D14358">
        <w:rPr>
          <w:rFonts w:cstheme="minorHAnsi"/>
          <w:bCs/>
          <w:sz w:val="24"/>
          <w:szCs w:val="24"/>
        </w:rPr>
        <w:t>D</w:t>
      </w:r>
      <w:r w:rsidR="00671425" w:rsidRPr="00D14358">
        <w:rPr>
          <w:rFonts w:cstheme="minorHAnsi"/>
          <w:bCs/>
          <w:sz w:val="24"/>
          <w:szCs w:val="24"/>
        </w:rPr>
        <w:t>ošlo</w:t>
      </w:r>
      <w:r w:rsidR="00384328" w:rsidRPr="00D14358">
        <w:rPr>
          <w:rFonts w:cstheme="minorHAnsi"/>
          <w:bCs/>
          <w:sz w:val="24"/>
          <w:szCs w:val="24"/>
        </w:rPr>
        <w:t xml:space="preserve"> tak</w:t>
      </w:r>
      <w:r w:rsidR="00671425" w:rsidRPr="00D14358">
        <w:rPr>
          <w:rFonts w:cstheme="minorHAnsi"/>
          <w:bCs/>
          <w:sz w:val="24"/>
          <w:szCs w:val="24"/>
        </w:rPr>
        <w:t xml:space="preserve"> k nedodržení povinnosti stanovené </w:t>
      </w:r>
      <w:r w:rsidR="00404BD6" w:rsidRPr="00D14358">
        <w:rPr>
          <w:rFonts w:cstheme="minorHAnsi"/>
          <w:bCs/>
          <w:sz w:val="24"/>
          <w:szCs w:val="24"/>
        </w:rPr>
        <w:t>vnitřním předpisem i</w:t>
      </w:r>
      <w:r w:rsidR="00671425" w:rsidRPr="00D14358">
        <w:rPr>
          <w:rFonts w:cstheme="minorHAnsi"/>
          <w:bCs/>
          <w:sz w:val="24"/>
          <w:szCs w:val="24"/>
        </w:rPr>
        <w:t xml:space="preserve"> </w:t>
      </w:r>
      <w:r w:rsidR="00A17054">
        <w:rPr>
          <w:rFonts w:cstheme="minorHAnsi"/>
          <w:bCs/>
          <w:sz w:val="24"/>
          <w:szCs w:val="24"/>
        </w:rPr>
        <w:t>s</w:t>
      </w:r>
      <w:r w:rsidR="00404BD6" w:rsidRPr="00D14358">
        <w:rPr>
          <w:rFonts w:cstheme="minorHAnsi"/>
          <w:bCs/>
          <w:sz w:val="24"/>
          <w:szCs w:val="24"/>
        </w:rPr>
        <w:t>tatutem</w:t>
      </w:r>
      <w:r w:rsidR="00671425" w:rsidRPr="00D14358">
        <w:rPr>
          <w:rFonts w:cstheme="minorHAnsi"/>
          <w:bCs/>
          <w:sz w:val="24"/>
          <w:szCs w:val="24"/>
        </w:rPr>
        <w:t xml:space="preserve"> Vládního výboru pro personální nominace</w:t>
      </w:r>
      <w:r w:rsidR="00634062" w:rsidRPr="00D14358">
        <w:rPr>
          <w:rFonts w:cstheme="minorHAnsi"/>
          <w:bCs/>
          <w:sz w:val="24"/>
          <w:szCs w:val="24"/>
        </w:rPr>
        <w:t>.</w:t>
      </w:r>
      <w:r w:rsidR="00671425" w:rsidRPr="00D14358">
        <w:rPr>
          <w:rFonts w:cstheme="minorHAnsi"/>
          <w:bCs/>
          <w:sz w:val="24"/>
          <w:szCs w:val="24"/>
        </w:rPr>
        <w:t xml:space="preserve"> </w:t>
      </w:r>
    </w:p>
    <w:p w14:paraId="43750921" w14:textId="77777777" w:rsidR="00671425" w:rsidRPr="00CC2CC4" w:rsidRDefault="00671425" w:rsidP="0067142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BEC07C2" w14:textId="2B80A8CB" w:rsidR="00671425" w:rsidRPr="006E46CD" w:rsidRDefault="00227DB3" w:rsidP="00671425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14358">
        <w:rPr>
          <w:rFonts w:eastAsia="Times New Roman" w:cstheme="minorHAnsi"/>
          <w:sz w:val="24"/>
          <w:szCs w:val="24"/>
        </w:rPr>
        <w:t>Majetková účast</w:t>
      </w:r>
      <w:r w:rsidR="00014D4D" w:rsidRPr="00D14358">
        <w:rPr>
          <w:rFonts w:eastAsia="Times New Roman" w:cstheme="minorHAnsi"/>
          <w:sz w:val="24"/>
          <w:szCs w:val="24"/>
        </w:rPr>
        <w:t xml:space="preserve"> v </w:t>
      </w:r>
      <w:r w:rsidR="00671425" w:rsidRPr="00D14358">
        <w:rPr>
          <w:rFonts w:eastAsia="Times New Roman" w:cstheme="minorHAnsi"/>
          <w:sz w:val="24"/>
          <w:szCs w:val="24"/>
        </w:rPr>
        <w:t xml:space="preserve">OTE, a.s. </w:t>
      </w:r>
      <w:r w:rsidR="00625E5B" w:rsidRPr="00D14358">
        <w:rPr>
          <w:rFonts w:eastAsia="Times New Roman" w:cstheme="minorHAnsi"/>
          <w:sz w:val="24"/>
          <w:szCs w:val="24"/>
        </w:rPr>
        <w:t>–</w:t>
      </w:r>
      <w:r w:rsidR="00671425" w:rsidRPr="00D14358">
        <w:rPr>
          <w:rFonts w:eastAsia="Times New Roman" w:cstheme="minorHAnsi"/>
          <w:b/>
          <w:sz w:val="24"/>
          <w:szCs w:val="24"/>
        </w:rPr>
        <w:t xml:space="preserve"> </w:t>
      </w:r>
      <w:r w:rsidR="00742EC8">
        <w:rPr>
          <w:sz w:val="24"/>
          <w:szCs w:val="24"/>
        </w:rPr>
        <w:t>V</w:t>
      </w:r>
      <w:r w:rsidR="00726921" w:rsidRPr="00D14358">
        <w:rPr>
          <w:sz w:val="24"/>
          <w:szCs w:val="24"/>
        </w:rPr>
        <w:t xml:space="preserve"> listopadu</w:t>
      </w:r>
      <w:r w:rsidR="00671425" w:rsidRPr="00D14358">
        <w:rPr>
          <w:sz w:val="24"/>
          <w:szCs w:val="24"/>
        </w:rPr>
        <w:t xml:space="preserve"> 2013 </w:t>
      </w:r>
      <w:r w:rsidR="00726921" w:rsidRPr="00D14358">
        <w:rPr>
          <w:sz w:val="24"/>
          <w:szCs w:val="24"/>
        </w:rPr>
        <w:t xml:space="preserve">byla </w:t>
      </w:r>
      <w:r w:rsidR="00671425" w:rsidRPr="00D14358">
        <w:rPr>
          <w:sz w:val="24"/>
          <w:szCs w:val="24"/>
        </w:rPr>
        <w:t xml:space="preserve">dozorčí radou do konání řádné valné hromady </w:t>
      </w:r>
      <w:r w:rsidR="00404BD6" w:rsidRPr="00D14358">
        <w:rPr>
          <w:sz w:val="24"/>
          <w:szCs w:val="24"/>
        </w:rPr>
        <w:t>kooptována</w:t>
      </w:r>
      <w:r w:rsidR="00726921" w:rsidRPr="00D14358">
        <w:rPr>
          <w:sz w:val="24"/>
          <w:szCs w:val="24"/>
        </w:rPr>
        <w:t xml:space="preserve"> </w:t>
      </w:r>
      <w:r w:rsidR="00671425" w:rsidRPr="00D14358">
        <w:rPr>
          <w:sz w:val="24"/>
          <w:szCs w:val="24"/>
        </w:rPr>
        <w:t>nová členka dozorčí rady</w:t>
      </w:r>
      <w:r w:rsidR="00726921" w:rsidRPr="00D14358">
        <w:rPr>
          <w:sz w:val="24"/>
          <w:szCs w:val="24"/>
        </w:rPr>
        <w:t xml:space="preserve"> a RJA z června 2014</w:t>
      </w:r>
      <w:r w:rsidR="00671425" w:rsidRPr="00D14358">
        <w:rPr>
          <w:sz w:val="24"/>
          <w:szCs w:val="24"/>
        </w:rPr>
        <w:t xml:space="preserve"> byla ve funkci potvrzena. </w:t>
      </w:r>
      <w:r w:rsidR="001F38AB" w:rsidRPr="00D14358">
        <w:rPr>
          <w:sz w:val="24"/>
          <w:szCs w:val="24"/>
        </w:rPr>
        <w:t>N</w:t>
      </w:r>
      <w:r w:rsidR="00634062" w:rsidRPr="00D14358">
        <w:rPr>
          <w:sz w:val="24"/>
          <w:szCs w:val="24"/>
        </w:rPr>
        <w:t xml:space="preserve">ávrh na </w:t>
      </w:r>
      <w:r w:rsidR="00726921" w:rsidRPr="00D14358">
        <w:rPr>
          <w:sz w:val="24"/>
          <w:szCs w:val="24"/>
        </w:rPr>
        <w:t xml:space="preserve">její </w:t>
      </w:r>
      <w:r w:rsidR="00634062" w:rsidRPr="00D14358">
        <w:rPr>
          <w:sz w:val="24"/>
          <w:szCs w:val="24"/>
        </w:rPr>
        <w:t>jmenování nepředložilo</w:t>
      </w:r>
      <w:r w:rsidR="00726921" w:rsidRPr="00D14358">
        <w:rPr>
          <w:sz w:val="24"/>
          <w:szCs w:val="24"/>
        </w:rPr>
        <w:t xml:space="preserve"> MPO</w:t>
      </w:r>
      <w:r w:rsidR="00671425" w:rsidRPr="00D14358">
        <w:rPr>
          <w:sz w:val="24"/>
          <w:szCs w:val="24"/>
        </w:rPr>
        <w:t xml:space="preserve"> k projednání ve Vládním výboru pro personální </w:t>
      </w:r>
      <w:r w:rsidR="00671425" w:rsidRPr="006E46CD">
        <w:rPr>
          <w:sz w:val="24"/>
          <w:szCs w:val="24"/>
        </w:rPr>
        <w:t>nominace</w:t>
      </w:r>
      <w:r w:rsidR="00404BD6" w:rsidRPr="006E46CD">
        <w:rPr>
          <w:sz w:val="24"/>
          <w:szCs w:val="24"/>
        </w:rPr>
        <w:t>.</w:t>
      </w:r>
      <w:r w:rsidR="00671425" w:rsidRPr="006E46CD">
        <w:rPr>
          <w:sz w:val="24"/>
          <w:szCs w:val="24"/>
        </w:rPr>
        <w:t xml:space="preserve"> </w:t>
      </w:r>
      <w:r w:rsidR="00384328" w:rsidRPr="006E46CD">
        <w:rPr>
          <w:sz w:val="24"/>
          <w:szCs w:val="24"/>
        </w:rPr>
        <w:t>D</w:t>
      </w:r>
      <w:r w:rsidR="00671425" w:rsidRPr="006E46CD">
        <w:rPr>
          <w:sz w:val="24"/>
          <w:szCs w:val="24"/>
        </w:rPr>
        <w:t xml:space="preserve">ošlo </w:t>
      </w:r>
      <w:r w:rsidR="00384328" w:rsidRPr="006E46CD">
        <w:rPr>
          <w:sz w:val="24"/>
          <w:szCs w:val="24"/>
        </w:rPr>
        <w:t xml:space="preserve">tak </w:t>
      </w:r>
      <w:r w:rsidR="00671425" w:rsidRPr="006E46CD">
        <w:rPr>
          <w:sz w:val="24"/>
          <w:szCs w:val="24"/>
        </w:rPr>
        <w:t>k nedodržení povinnosti stanovené</w:t>
      </w:r>
      <w:r w:rsidR="00FE2660" w:rsidRPr="006E46CD">
        <w:rPr>
          <w:sz w:val="24"/>
          <w:szCs w:val="24"/>
        </w:rPr>
        <w:t xml:space="preserve"> vnitřním předpisem i </w:t>
      </w:r>
      <w:r w:rsidR="00A17054">
        <w:rPr>
          <w:sz w:val="24"/>
          <w:szCs w:val="24"/>
        </w:rPr>
        <w:t>s</w:t>
      </w:r>
      <w:r w:rsidR="00FE2660" w:rsidRPr="006E46CD">
        <w:rPr>
          <w:sz w:val="24"/>
          <w:szCs w:val="24"/>
        </w:rPr>
        <w:t>tatutem</w:t>
      </w:r>
      <w:r w:rsidR="00671425" w:rsidRPr="006E46CD">
        <w:rPr>
          <w:sz w:val="24"/>
          <w:szCs w:val="24"/>
        </w:rPr>
        <w:t xml:space="preserve"> Vládního výboru pro personální nominace. </w:t>
      </w:r>
    </w:p>
    <w:p w14:paraId="28F29656" w14:textId="77777777" w:rsidR="00634062" w:rsidRPr="006E46CD" w:rsidRDefault="00634062" w:rsidP="006714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7E3AA1" w14:textId="77777777" w:rsidR="00671425" w:rsidRPr="00485081" w:rsidRDefault="00671425" w:rsidP="006714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Oblast účetnictví</w:t>
      </w:r>
    </w:p>
    <w:p w14:paraId="6E9C2713" w14:textId="77777777" w:rsidR="00CC2CC4" w:rsidRDefault="00CC2CC4" w:rsidP="00671425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7793F604" w14:textId="5FE65F07" w:rsidR="00671425" w:rsidRPr="006E46CD" w:rsidRDefault="00227DB3" w:rsidP="00671425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eastAsia="Times New Roman" w:cstheme="minorHAnsi"/>
          <w:sz w:val="24"/>
          <w:szCs w:val="24"/>
        </w:rPr>
        <w:t>Majetková účast</w:t>
      </w:r>
      <w:r w:rsidR="00014D4D" w:rsidRPr="00D14358">
        <w:rPr>
          <w:rFonts w:eastAsia="Times New Roman" w:cstheme="minorHAnsi"/>
          <w:sz w:val="24"/>
          <w:szCs w:val="24"/>
        </w:rPr>
        <w:t xml:space="preserve"> v </w:t>
      </w:r>
      <w:r w:rsidR="00F43B45" w:rsidRPr="00D14358">
        <w:rPr>
          <w:rFonts w:eastAsia="Times New Roman" w:cstheme="minorHAnsi"/>
          <w:sz w:val="24"/>
          <w:szCs w:val="24"/>
        </w:rPr>
        <w:t>ČMZRB –</w:t>
      </w:r>
      <w:r w:rsidR="00671425" w:rsidRPr="00D14358">
        <w:rPr>
          <w:rFonts w:eastAsia="Times New Roman" w:cstheme="minorHAnsi"/>
          <w:b/>
          <w:sz w:val="24"/>
          <w:szCs w:val="24"/>
        </w:rPr>
        <w:t xml:space="preserve"> </w:t>
      </w:r>
      <w:r w:rsidR="00A17054">
        <w:rPr>
          <w:rFonts w:cstheme="minorHAnsi"/>
          <w:sz w:val="24"/>
          <w:szCs w:val="24"/>
          <w:lang w:eastAsia="cs-CZ"/>
        </w:rPr>
        <w:t>v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alná hromada ČMZRB schválila </w:t>
      </w:r>
      <w:r w:rsidR="00504110" w:rsidRPr="00D14358">
        <w:rPr>
          <w:rFonts w:cstheme="minorHAnsi"/>
          <w:sz w:val="24"/>
          <w:szCs w:val="24"/>
          <w:lang w:eastAsia="cs-CZ"/>
        </w:rPr>
        <w:t xml:space="preserve">v červnu 2014 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návrh představenstva </w:t>
      </w:r>
      <w:r w:rsidR="00697D50">
        <w:rPr>
          <w:rFonts w:cstheme="minorHAnsi"/>
          <w:sz w:val="24"/>
          <w:szCs w:val="24"/>
          <w:lang w:eastAsia="cs-CZ"/>
        </w:rPr>
        <w:t>postupně převést všechny akcie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 v držení ČMZRB na Českou </w:t>
      </w:r>
      <w:r w:rsidR="00671425" w:rsidRPr="006E46CD">
        <w:rPr>
          <w:rFonts w:cstheme="minorHAnsi"/>
          <w:sz w:val="24"/>
          <w:szCs w:val="24"/>
          <w:lang w:eastAsia="cs-CZ"/>
        </w:rPr>
        <w:t>republiku formou nefinanční dividendy, a to v rozsahu závisejícím na výši zisku dosažené</w:t>
      </w:r>
      <w:r w:rsidR="00697D50">
        <w:rPr>
          <w:rFonts w:cstheme="minorHAnsi"/>
          <w:sz w:val="24"/>
          <w:szCs w:val="24"/>
          <w:lang w:eastAsia="cs-CZ"/>
        </w:rPr>
        <w:t>ho</w:t>
      </w:r>
      <w:r w:rsidR="00671425" w:rsidRPr="006E46CD">
        <w:rPr>
          <w:rFonts w:cstheme="minorHAnsi"/>
          <w:sz w:val="24"/>
          <w:szCs w:val="24"/>
          <w:lang w:eastAsia="cs-CZ"/>
        </w:rPr>
        <w:t xml:space="preserve"> v letech 2013, 2014, případně 2015. </w:t>
      </w:r>
      <w:r w:rsidR="00504110" w:rsidRPr="006E46CD">
        <w:rPr>
          <w:rFonts w:cstheme="minorHAnsi"/>
          <w:sz w:val="24"/>
          <w:szCs w:val="24"/>
          <w:lang w:eastAsia="cs-CZ"/>
        </w:rPr>
        <w:t>Schválená</w:t>
      </w:r>
      <w:r w:rsidR="00671425" w:rsidRPr="006E46CD">
        <w:rPr>
          <w:rFonts w:cstheme="minorHAnsi"/>
          <w:sz w:val="24"/>
          <w:szCs w:val="24"/>
          <w:lang w:eastAsia="cs-CZ"/>
        </w:rPr>
        <w:t xml:space="preserve"> nefinanční dividend</w:t>
      </w:r>
      <w:r w:rsidR="00504110" w:rsidRPr="006E46CD">
        <w:rPr>
          <w:rFonts w:cstheme="minorHAnsi"/>
          <w:sz w:val="24"/>
          <w:szCs w:val="24"/>
          <w:lang w:eastAsia="cs-CZ"/>
        </w:rPr>
        <w:t>a</w:t>
      </w:r>
      <w:r w:rsidR="00671425" w:rsidRPr="006E46CD">
        <w:rPr>
          <w:rFonts w:cstheme="minorHAnsi"/>
          <w:sz w:val="24"/>
          <w:szCs w:val="24"/>
          <w:lang w:eastAsia="cs-CZ"/>
        </w:rPr>
        <w:t xml:space="preserve"> za rok 2013</w:t>
      </w:r>
      <w:r w:rsidR="001F38AB" w:rsidRPr="006E46CD">
        <w:rPr>
          <w:rFonts w:cstheme="minorHAnsi"/>
          <w:sz w:val="24"/>
          <w:szCs w:val="24"/>
          <w:lang w:eastAsia="cs-CZ"/>
        </w:rPr>
        <w:t xml:space="preserve"> </w:t>
      </w:r>
      <w:r w:rsidR="00504110" w:rsidRPr="006E46CD">
        <w:rPr>
          <w:rFonts w:cstheme="minorHAnsi"/>
          <w:sz w:val="24"/>
          <w:szCs w:val="24"/>
          <w:lang w:eastAsia="cs-CZ"/>
        </w:rPr>
        <w:t>připadající na MPO činila</w:t>
      </w:r>
      <w:r w:rsidR="00F43B45">
        <w:rPr>
          <w:rFonts w:cstheme="minorHAnsi"/>
          <w:sz w:val="24"/>
          <w:szCs w:val="24"/>
          <w:lang w:eastAsia="cs-CZ"/>
        </w:rPr>
        <w:t xml:space="preserve"> 402 </w:t>
      </w:r>
      <w:r w:rsidR="00B936E3" w:rsidRPr="006E46CD">
        <w:rPr>
          <w:rFonts w:cstheme="minorHAnsi"/>
          <w:sz w:val="24"/>
          <w:szCs w:val="24"/>
          <w:lang w:eastAsia="cs-CZ"/>
        </w:rPr>
        <w:t>akcií</w:t>
      </w:r>
      <w:r w:rsidR="00504110" w:rsidRPr="006E46CD">
        <w:rPr>
          <w:rFonts w:cstheme="minorHAnsi"/>
          <w:sz w:val="24"/>
          <w:szCs w:val="24"/>
          <w:lang w:eastAsia="cs-CZ"/>
        </w:rPr>
        <w:t xml:space="preserve">. </w:t>
      </w:r>
      <w:r w:rsidR="00671425" w:rsidRPr="006E46CD">
        <w:rPr>
          <w:rFonts w:cstheme="minorHAnsi"/>
          <w:sz w:val="24"/>
          <w:szCs w:val="24"/>
          <w:lang w:eastAsia="cs-CZ"/>
        </w:rPr>
        <w:t xml:space="preserve">MPO </w:t>
      </w:r>
      <w:r w:rsidR="00003F59" w:rsidRPr="006E46CD">
        <w:rPr>
          <w:rFonts w:cstheme="minorHAnsi"/>
          <w:sz w:val="24"/>
          <w:szCs w:val="24"/>
          <w:lang w:eastAsia="cs-CZ"/>
        </w:rPr>
        <w:t xml:space="preserve">o nabytí těchto akcií </w:t>
      </w:r>
      <w:r w:rsidR="00671425" w:rsidRPr="006E46CD">
        <w:rPr>
          <w:rFonts w:cstheme="minorHAnsi"/>
          <w:sz w:val="24"/>
          <w:szCs w:val="24"/>
          <w:lang w:eastAsia="cs-CZ"/>
        </w:rPr>
        <w:t>v roce 2014 neúčtovalo</w:t>
      </w:r>
      <w:r w:rsidR="00504110" w:rsidRPr="006E46CD">
        <w:rPr>
          <w:rFonts w:cstheme="minorHAnsi"/>
          <w:sz w:val="24"/>
          <w:szCs w:val="24"/>
          <w:lang w:eastAsia="cs-CZ"/>
        </w:rPr>
        <w:t>,</w:t>
      </w:r>
      <w:r w:rsidR="00014D4D" w:rsidRPr="006E46CD">
        <w:rPr>
          <w:rFonts w:cstheme="minorHAnsi"/>
          <w:sz w:val="24"/>
          <w:szCs w:val="24"/>
          <w:lang w:eastAsia="cs-CZ"/>
        </w:rPr>
        <w:t xml:space="preserve"> </w:t>
      </w:r>
      <w:r w:rsidR="00003F59" w:rsidRPr="006E46CD">
        <w:rPr>
          <w:rFonts w:cstheme="minorHAnsi"/>
          <w:sz w:val="24"/>
          <w:szCs w:val="24"/>
          <w:lang w:eastAsia="cs-CZ"/>
        </w:rPr>
        <w:t xml:space="preserve">učinilo tak </w:t>
      </w:r>
      <w:r w:rsidR="00014D4D" w:rsidRPr="006E46CD">
        <w:rPr>
          <w:rFonts w:cstheme="minorHAnsi"/>
          <w:sz w:val="24"/>
          <w:szCs w:val="24"/>
          <w:lang w:eastAsia="cs-CZ"/>
        </w:rPr>
        <w:t>až v roce 2015.</w:t>
      </w:r>
      <w:r w:rsidR="00A842E2" w:rsidRPr="006E46CD">
        <w:rPr>
          <w:rFonts w:cstheme="minorHAnsi"/>
          <w:sz w:val="24"/>
          <w:szCs w:val="24"/>
          <w:lang w:eastAsia="cs-CZ"/>
        </w:rPr>
        <w:t xml:space="preserve"> </w:t>
      </w:r>
    </w:p>
    <w:p w14:paraId="0251E9DF" w14:textId="77777777" w:rsidR="005F2278" w:rsidRDefault="005F2278" w:rsidP="00671425">
      <w:pPr>
        <w:spacing w:after="0" w:line="240" w:lineRule="auto"/>
        <w:jc w:val="both"/>
        <w:rPr>
          <w:rFonts w:cstheme="minorHAnsi"/>
          <w:sz w:val="24"/>
          <w:szCs w:val="24"/>
          <w:u w:val="single"/>
        </w:rPr>
      </w:pPr>
    </w:p>
    <w:p w14:paraId="1B85D194" w14:textId="77777777" w:rsidR="00671425" w:rsidRPr="00485081" w:rsidRDefault="002D505E" w:rsidP="006714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Oblast inventarizací</w:t>
      </w:r>
    </w:p>
    <w:p w14:paraId="77C5CBC5" w14:textId="77777777" w:rsidR="00CC2CC4" w:rsidRDefault="00CC2CC4" w:rsidP="0067142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7A272D76" w14:textId="0CAD36A9" w:rsidR="00671425" w:rsidRPr="00255B1C" w:rsidRDefault="00671425" w:rsidP="006714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6E46CD">
        <w:rPr>
          <w:rFonts w:cstheme="minorHAnsi"/>
          <w:bCs/>
          <w:iCs/>
          <w:sz w:val="24"/>
          <w:szCs w:val="24"/>
        </w:rPr>
        <w:t xml:space="preserve">V roce 2013 a 2014 </w:t>
      </w:r>
      <w:r w:rsidR="00697D50">
        <w:rPr>
          <w:rFonts w:cstheme="minorHAnsi"/>
          <w:bCs/>
          <w:iCs/>
          <w:sz w:val="24"/>
          <w:szCs w:val="24"/>
        </w:rPr>
        <w:t xml:space="preserve">při </w:t>
      </w:r>
      <w:r w:rsidRPr="006E46CD">
        <w:rPr>
          <w:rFonts w:cstheme="minorHAnsi"/>
          <w:bCs/>
          <w:iCs/>
          <w:sz w:val="24"/>
          <w:szCs w:val="24"/>
        </w:rPr>
        <w:t>inventarizací</w:t>
      </w:r>
      <w:r w:rsidR="00697D50">
        <w:rPr>
          <w:rFonts w:cstheme="minorHAnsi"/>
          <w:bCs/>
          <w:iCs/>
          <w:sz w:val="24"/>
          <w:szCs w:val="24"/>
        </w:rPr>
        <w:t>ch</w:t>
      </w:r>
      <w:r w:rsidRPr="006E46CD">
        <w:rPr>
          <w:rFonts w:cstheme="minorHAnsi"/>
          <w:bCs/>
          <w:iCs/>
          <w:sz w:val="24"/>
          <w:szCs w:val="24"/>
        </w:rPr>
        <w:t xml:space="preserve"> majetkových účastí státu, </w:t>
      </w:r>
      <w:r w:rsidRPr="006E46CD">
        <w:rPr>
          <w:rFonts w:eastAsia="Times New Roman" w:cstheme="minorHAnsi"/>
          <w:sz w:val="24"/>
          <w:szCs w:val="24"/>
        </w:rPr>
        <w:t>se kterými bylo příslušné hospodařit</w:t>
      </w:r>
      <w:r w:rsidR="00697D50">
        <w:rPr>
          <w:rFonts w:eastAsia="Times New Roman" w:cstheme="minorHAnsi"/>
          <w:sz w:val="24"/>
          <w:szCs w:val="24"/>
        </w:rPr>
        <w:t xml:space="preserve"> MPO</w:t>
      </w:r>
      <w:r w:rsidRPr="006E46CD">
        <w:rPr>
          <w:rFonts w:eastAsia="Times New Roman" w:cstheme="minorHAnsi"/>
          <w:sz w:val="24"/>
          <w:szCs w:val="24"/>
        </w:rPr>
        <w:t xml:space="preserve">, </w:t>
      </w:r>
      <w:r w:rsidR="00697D50">
        <w:rPr>
          <w:rFonts w:eastAsia="Times New Roman" w:cstheme="minorHAnsi"/>
          <w:sz w:val="24"/>
          <w:szCs w:val="24"/>
        </w:rPr>
        <w:t xml:space="preserve">byly zjištěny </w:t>
      </w:r>
      <w:r w:rsidR="002D505E" w:rsidRPr="006E46CD">
        <w:rPr>
          <w:rFonts w:cstheme="minorHAnsi"/>
          <w:bCs/>
          <w:iCs/>
          <w:sz w:val="24"/>
          <w:szCs w:val="24"/>
        </w:rPr>
        <w:t>nedostatky</w:t>
      </w:r>
      <w:r w:rsidR="002D505E" w:rsidRPr="006E46CD">
        <w:rPr>
          <w:rFonts w:eastAsia="Times New Roman" w:cstheme="minorHAnsi"/>
          <w:sz w:val="24"/>
          <w:szCs w:val="24"/>
        </w:rPr>
        <w:t xml:space="preserve">, </w:t>
      </w:r>
      <w:r w:rsidRPr="006E46CD">
        <w:rPr>
          <w:rFonts w:eastAsia="Times New Roman" w:cstheme="minorHAnsi"/>
          <w:sz w:val="24"/>
          <w:szCs w:val="24"/>
        </w:rPr>
        <w:t>když ž</w:t>
      </w:r>
      <w:r w:rsidRPr="006E46CD">
        <w:rPr>
          <w:rFonts w:cstheme="minorHAnsi"/>
          <w:sz w:val="24"/>
          <w:szCs w:val="24"/>
        </w:rPr>
        <w:t xml:space="preserve">ádný z předložených dokumentů </w:t>
      </w:r>
      <w:r w:rsidR="00A842E2" w:rsidRPr="00255B1C">
        <w:rPr>
          <w:rFonts w:cstheme="minorHAnsi"/>
          <w:sz w:val="24"/>
          <w:szCs w:val="24"/>
        </w:rPr>
        <w:lastRenderedPageBreak/>
        <w:t>ne</w:t>
      </w:r>
      <w:r w:rsidRPr="00255B1C">
        <w:rPr>
          <w:rFonts w:cstheme="minorHAnsi"/>
          <w:sz w:val="24"/>
          <w:szCs w:val="24"/>
        </w:rPr>
        <w:t xml:space="preserve">obsahoval veškeré náležitosti </w:t>
      </w:r>
      <w:r w:rsidR="00A842E2" w:rsidRPr="00255B1C">
        <w:rPr>
          <w:rFonts w:cstheme="minorHAnsi"/>
          <w:sz w:val="24"/>
          <w:szCs w:val="24"/>
        </w:rPr>
        <w:t xml:space="preserve">inventurního soupisu </w:t>
      </w:r>
      <w:r w:rsidR="00697D50">
        <w:rPr>
          <w:rFonts w:cstheme="minorHAnsi"/>
          <w:sz w:val="24"/>
          <w:szCs w:val="24"/>
        </w:rPr>
        <w:t xml:space="preserve"> ve smyslu </w:t>
      </w:r>
      <w:r w:rsidR="00F43B45" w:rsidRPr="00255B1C">
        <w:rPr>
          <w:rFonts w:cstheme="minorHAnsi"/>
          <w:sz w:val="24"/>
          <w:szCs w:val="24"/>
        </w:rPr>
        <w:t xml:space="preserve">ustanovení </w:t>
      </w:r>
      <w:r w:rsidRPr="00255B1C">
        <w:rPr>
          <w:rFonts w:cstheme="minorHAnsi"/>
          <w:sz w:val="24"/>
          <w:szCs w:val="24"/>
        </w:rPr>
        <w:t>§ 30 odst. 7 zákona č.</w:t>
      </w:r>
      <w:r w:rsidR="00B936E3" w:rsidRPr="00255B1C">
        <w:rPr>
          <w:rFonts w:cstheme="minorHAnsi"/>
          <w:sz w:val="24"/>
          <w:szCs w:val="24"/>
        </w:rPr>
        <w:t> </w:t>
      </w:r>
      <w:r w:rsidRPr="00255B1C">
        <w:rPr>
          <w:rFonts w:cstheme="minorHAnsi"/>
          <w:sz w:val="24"/>
          <w:szCs w:val="24"/>
        </w:rPr>
        <w:t>563/1991 Sb. a ve smyslu ustanovení § 8 odst. 2 a odst. 3 vyhlášky č. 270/2010 Sb.</w:t>
      </w:r>
      <w:r w:rsidR="00D0396A" w:rsidRPr="00255B1C">
        <w:rPr>
          <w:rFonts w:cstheme="minorHAnsi"/>
          <w:sz w:val="24"/>
          <w:szCs w:val="24"/>
        </w:rPr>
        <w:t>, o</w:t>
      </w:r>
      <w:r w:rsidR="006119FD" w:rsidRPr="00255B1C">
        <w:rPr>
          <w:rFonts w:cstheme="minorHAnsi"/>
          <w:sz w:val="24"/>
          <w:szCs w:val="24"/>
        </w:rPr>
        <w:t> </w:t>
      </w:r>
      <w:r w:rsidR="00D0396A" w:rsidRPr="00255B1C">
        <w:rPr>
          <w:rFonts w:cstheme="minorHAnsi"/>
          <w:sz w:val="24"/>
          <w:szCs w:val="24"/>
        </w:rPr>
        <w:t>inventarizaci majetku a závazků.</w:t>
      </w:r>
      <w:r w:rsidRPr="00255B1C">
        <w:rPr>
          <w:rFonts w:cstheme="minorHAnsi"/>
          <w:sz w:val="24"/>
          <w:szCs w:val="24"/>
        </w:rPr>
        <w:t xml:space="preserve"> </w:t>
      </w:r>
      <w:r w:rsidR="00AF5C8C" w:rsidRPr="00255B1C">
        <w:rPr>
          <w:rFonts w:cstheme="minorHAnsi"/>
          <w:sz w:val="24"/>
          <w:szCs w:val="24"/>
        </w:rPr>
        <w:t>Doklady předložené k inventarizaci neobsahovaly informace, které by vysvětlovaly rozdíly mezi stavem účetn</w:t>
      </w:r>
      <w:r w:rsidR="00462BB3" w:rsidRPr="00255B1C">
        <w:rPr>
          <w:rFonts w:cstheme="minorHAnsi"/>
          <w:sz w:val="24"/>
          <w:szCs w:val="24"/>
        </w:rPr>
        <w:t>ím</w:t>
      </w:r>
      <w:r w:rsidR="00AF5C8C" w:rsidRPr="00255B1C">
        <w:rPr>
          <w:rFonts w:cstheme="minorHAnsi"/>
          <w:sz w:val="24"/>
          <w:szCs w:val="24"/>
        </w:rPr>
        <w:t xml:space="preserve"> a stavem zjištěným inventurou. Při inventarizaci</w:t>
      </w:r>
      <w:r w:rsidR="00FD20E3" w:rsidRPr="00255B1C">
        <w:rPr>
          <w:rFonts w:cstheme="minorHAnsi"/>
          <w:sz w:val="24"/>
          <w:szCs w:val="24"/>
        </w:rPr>
        <w:t xml:space="preserve"> k 31. 12. 2014 tak MPO nezjistilo, že o akciích ČMZRB nabytých v průběhu roku 2014 neúčtovalo.</w:t>
      </w:r>
    </w:p>
    <w:p w14:paraId="4C081375" w14:textId="77777777" w:rsidR="00671425" w:rsidRDefault="00671425" w:rsidP="006714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CDF58A0" w14:textId="77777777" w:rsidR="00671425" w:rsidRPr="00685408" w:rsidRDefault="00932158" w:rsidP="005E23FE">
      <w:pPr>
        <w:autoSpaceDE w:val="0"/>
        <w:autoSpaceDN w:val="0"/>
        <w:adjustRightInd w:val="0"/>
        <w:spacing w:after="0" w:line="240" w:lineRule="auto"/>
        <w:ind w:left="1"/>
        <w:jc w:val="both"/>
        <w:rPr>
          <w:rFonts w:cstheme="minorHAnsi"/>
          <w:b/>
          <w:sz w:val="24"/>
          <w:szCs w:val="24"/>
        </w:rPr>
      </w:pPr>
      <w:r w:rsidRPr="00685408">
        <w:rPr>
          <w:rFonts w:cstheme="minorHAnsi"/>
          <w:b/>
          <w:sz w:val="24"/>
          <w:szCs w:val="24"/>
        </w:rPr>
        <w:t xml:space="preserve">4.4 </w:t>
      </w:r>
      <w:r w:rsidR="00671425" w:rsidRPr="00685408">
        <w:rPr>
          <w:rFonts w:cstheme="minorHAnsi"/>
          <w:b/>
          <w:sz w:val="24"/>
          <w:szCs w:val="24"/>
        </w:rPr>
        <w:t>Ministerstvo zemědělství</w:t>
      </w:r>
    </w:p>
    <w:p w14:paraId="4F57EC42" w14:textId="77777777" w:rsidR="00CC2CC4" w:rsidRDefault="00CC2CC4" w:rsidP="00671425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7B0F7CCF" w14:textId="05BED47A" w:rsidR="00671425" w:rsidRDefault="00384328" w:rsidP="0067142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sz w:val="24"/>
          <w:szCs w:val="24"/>
          <w:lang w:eastAsia="cs-CZ"/>
        </w:rPr>
        <w:t xml:space="preserve">V kontrolovaném období bylo 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MZe </w:t>
      </w:r>
      <w:r w:rsidRPr="00D14358">
        <w:rPr>
          <w:rFonts w:cstheme="minorHAnsi"/>
          <w:sz w:val="24"/>
          <w:szCs w:val="24"/>
        </w:rPr>
        <w:t xml:space="preserve">příslušné </w:t>
      </w:r>
      <w:r w:rsidR="00671425" w:rsidRPr="00D14358">
        <w:rPr>
          <w:rFonts w:cstheme="minorHAnsi"/>
          <w:sz w:val="24"/>
          <w:szCs w:val="24"/>
        </w:rPr>
        <w:t>hospodařit</w:t>
      </w:r>
      <w:r w:rsidRPr="00D14358">
        <w:rPr>
          <w:rFonts w:cstheme="minorHAnsi"/>
          <w:sz w:val="24"/>
          <w:szCs w:val="24"/>
        </w:rPr>
        <w:t xml:space="preserve"> s</w:t>
      </w:r>
      <w:r w:rsidR="00227DB3" w:rsidRPr="00D14358">
        <w:rPr>
          <w:rFonts w:cstheme="minorHAnsi"/>
          <w:sz w:val="24"/>
          <w:szCs w:val="24"/>
        </w:rPr>
        <w:t> majetkov</w:t>
      </w:r>
      <w:r w:rsidR="00697D50">
        <w:rPr>
          <w:rFonts w:cstheme="minorHAnsi"/>
          <w:sz w:val="24"/>
          <w:szCs w:val="24"/>
        </w:rPr>
        <w:t>ými</w:t>
      </w:r>
      <w:r w:rsidR="00227DB3" w:rsidRPr="00D14358">
        <w:rPr>
          <w:rFonts w:cstheme="minorHAnsi"/>
          <w:sz w:val="24"/>
          <w:szCs w:val="24"/>
        </w:rPr>
        <w:t xml:space="preserve"> účast</w:t>
      </w:r>
      <w:r w:rsidR="00697D50">
        <w:rPr>
          <w:rFonts w:cstheme="minorHAnsi"/>
          <w:sz w:val="24"/>
          <w:szCs w:val="24"/>
        </w:rPr>
        <w:t>mi</w:t>
      </w:r>
      <w:r w:rsidR="00671425" w:rsidRPr="00D14358">
        <w:rPr>
          <w:rFonts w:cstheme="minorHAnsi"/>
          <w:sz w:val="24"/>
          <w:szCs w:val="24"/>
        </w:rPr>
        <w:t xml:space="preserve"> státu v </w:t>
      </w:r>
      <w:r w:rsidRPr="00D14358">
        <w:rPr>
          <w:rFonts w:cstheme="minorHAnsi"/>
          <w:sz w:val="24"/>
          <w:szCs w:val="24"/>
        </w:rPr>
        <w:t>sedmi</w:t>
      </w:r>
      <w:r w:rsidR="00697D50">
        <w:rPr>
          <w:rFonts w:cstheme="minorHAnsi"/>
          <w:sz w:val="24"/>
          <w:szCs w:val="24"/>
        </w:rPr>
        <w:t xml:space="preserve"> </w:t>
      </w:r>
      <w:r w:rsidR="00671425" w:rsidRPr="00D14358">
        <w:rPr>
          <w:rFonts w:cstheme="minorHAnsi"/>
          <w:sz w:val="24"/>
          <w:szCs w:val="24"/>
        </w:rPr>
        <w:t>společnostech</w:t>
      </w:r>
      <w:r w:rsidR="00504110" w:rsidRPr="00D14358">
        <w:rPr>
          <w:rFonts w:cstheme="minorHAnsi"/>
          <w:sz w:val="24"/>
          <w:szCs w:val="24"/>
        </w:rPr>
        <w:t xml:space="preserve">, z toho </w:t>
      </w:r>
      <w:r w:rsidRPr="00D14358">
        <w:rPr>
          <w:rFonts w:cstheme="minorHAnsi"/>
          <w:sz w:val="24"/>
          <w:szCs w:val="24"/>
        </w:rPr>
        <w:t>ve</w:t>
      </w:r>
      <w:r w:rsidR="00671425" w:rsidRPr="00D14358">
        <w:rPr>
          <w:rFonts w:cstheme="minorHAnsi"/>
          <w:sz w:val="24"/>
          <w:szCs w:val="24"/>
        </w:rPr>
        <w:t xml:space="preserve"> třech spravovalo </w:t>
      </w:r>
      <w:r w:rsidR="00697D50">
        <w:rPr>
          <w:rFonts w:cstheme="minorHAnsi"/>
          <w:sz w:val="24"/>
          <w:szCs w:val="24"/>
        </w:rPr>
        <w:t>100 % základního</w:t>
      </w:r>
      <w:r w:rsidR="00671425" w:rsidRPr="00D14358">
        <w:rPr>
          <w:rFonts w:cstheme="minorHAnsi"/>
          <w:sz w:val="24"/>
          <w:szCs w:val="24"/>
        </w:rPr>
        <w:t xml:space="preserve"> kapitálu. Ke kontrole výkonu správy </w:t>
      </w:r>
      <w:r w:rsidR="00227DB3" w:rsidRPr="00D14358">
        <w:rPr>
          <w:rFonts w:cstheme="minorHAnsi"/>
          <w:sz w:val="24"/>
          <w:szCs w:val="24"/>
        </w:rPr>
        <w:t>majetkových účastí</w:t>
      </w:r>
      <w:r w:rsidR="00671425" w:rsidRPr="00D14358">
        <w:rPr>
          <w:rFonts w:cstheme="minorHAnsi"/>
          <w:sz w:val="24"/>
          <w:szCs w:val="24"/>
        </w:rPr>
        <w:t xml:space="preserve"> byly vybrány </w:t>
      </w:r>
      <w:r w:rsidR="00227DB3" w:rsidRPr="00D14358">
        <w:rPr>
          <w:rFonts w:cstheme="minorHAnsi"/>
          <w:sz w:val="24"/>
          <w:szCs w:val="24"/>
        </w:rPr>
        <w:t>majetkové účasti</w:t>
      </w:r>
      <w:r w:rsidR="00671425" w:rsidRPr="00D14358">
        <w:rPr>
          <w:rFonts w:cstheme="minorHAnsi"/>
          <w:sz w:val="24"/>
          <w:szCs w:val="24"/>
        </w:rPr>
        <w:t xml:space="preserve"> státu</w:t>
      </w:r>
      <w:r w:rsidRPr="00D14358">
        <w:rPr>
          <w:rFonts w:cstheme="minorHAnsi"/>
          <w:sz w:val="24"/>
          <w:szCs w:val="24"/>
        </w:rPr>
        <w:t xml:space="preserve"> </w:t>
      </w:r>
      <w:r w:rsidR="00634062" w:rsidRPr="00D14358">
        <w:rPr>
          <w:rFonts w:cstheme="minorHAnsi"/>
          <w:sz w:val="24"/>
          <w:szCs w:val="24"/>
        </w:rPr>
        <w:t>ve všech sedmi společnostech.</w:t>
      </w:r>
      <w:r w:rsidR="00671425" w:rsidRPr="00D14358">
        <w:rPr>
          <w:rFonts w:cstheme="minorHAnsi"/>
          <w:sz w:val="24"/>
          <w:szCs w:val="24"/>
        </w:rPr>
        <w:t xml:space="preserve"> </w:t>
      </w:r>
    </w:p>
    <w:p w14:paraId="1C34136D" w14:textId="77777777" w:rsidR="00CC2CC4" w:rsidRPr="00D14358" w:rsidRDefault="00CC2CC4" w:rsidP="0067142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4DA0AC0" w14:textId="2D40D883" w:rsidR="00671425" w:rsidRPr="00D14358" w:rsidRDefault="003D27A5" w:rsidP="003D27A5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Ve většině společností, které vznikly před účinností zákona č. 219/2000 Sb., vykonávali práva akcionáře zaměstnanci MZe na</w:t>
      </w:r>
      <w:r w:rsidR="00A17054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sz w:val="24"/>
          <w:szCs w:val="24"/>
          <w:lang w:eastAsia="cs-CZ"/>
        </w:rPr>
        <w:t>základě ověřené plné moci udělené ministrem zemědělství, příp. tato práva vykonával ministr zemědělství osobně</w:t>
      </w:r>
      <w:r w:rsidR="00A17054">
        <w:rPr>
          <w:rFonts w:cstheme="minorHAnsi"/>
          <w:sz w:val="24"/>
          <w:szCs w:val="24"/>
          <w:lang w:eastAsia="cs-CZ"/>
        </w:rPr>
        <w:t>.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A17054">
        <w:rPr>
          <w:rFonts w:cstheme="minorHAnsi"/>
          <w:sz w:val="24"/>
          <w:szCs w:val="24"/>
          <w:lang w:eastAsia="cs-CZ"/>
        </w:rPr>
        <w:t>U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384328" w:rsidRPr="00D14358">
        <w:rPr>
          <w:rFonts w:cstheme="minorHAnsi"/>
          <w:sz w:val="24"/>
          <w:szCs w:val="24"/>
          <w:lang w:eastAsia="cs-CZ"/>
        </w:rPr>
        <w:t xml:space="preserve">Státní zkušebny zemědělských, potravinářských a lesnických strojů, </w:t>
      </w:r>
      <w:r w:rsidR="00671425" w:rsidRPr="00D14358">
        <w:rPr>
          <w:rFonts w:cstheme="minorHAnsi"/>
          <w:sz w:val="24"/>
          <w:szCs w:val="24"/>
          <w:lang w:eastAsia="cs-CZ"/>
        </w:rPr>
        <w:t>a.s., která vznikla po nabytí účinnosti zákona č. 219/2000</w:t>
      </w:r>
      <w:r w:rsidR="00685408" w:rsidRPr="00D14358">
        <w:rPr>
          <w:rFonts w:cstheme="minorHAnsi"/>
          <w:sz w:val="24"/>
          <w:szCs w:val="24"/>
          <w:lang w:eastAsia="cs-CZ"/>
        </w:rPr>
        <w:t> </w:t>
      </w:r>
      <w:r w:rsidR="00671425" w:rsidRPr="00D14358">
        <w:rPr>
          <w:rFonts w:cstheme="minorHAnsi"/>
          <w:sz w:val="24"/>
          <w:szCs w:val="24"/>
          <w:lang w:eastAsia="cs-CZ"/>
        </w:rPr>
        <w:t xml:space="preserve">Sb., vykonával práva akcionáře vládou pověřený zaměstnanec MZe. </w:t>
      </w:r>
    </w:p>
    <w:p w14:paraId="0BDB2C8A" w14:textId="77777777" w:rsidR="002D505E" w:rsidRPr="00D14358" w:rsidRDefault="002D505E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</w:p>
    <w:p w14:paraId="724853DD" w14:textId="77777777" w:rsidR="003D27A5" w:rsidRDefault="003D27A5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  <w:r w:rsidRPr="00D14358">
        <w:rPr>
          <w:rFonts w:cstheme="minorHAnsi"/>
          <w:sz w:val="24"/>
          <w:szCs w:val="24"/>
          <w:lang w:eastAsia="cs-CZ"/>
        </w:rPr>
        <w:t>Kontrolou bylo zjištěno:</w:t>
      </w:r>
    </w:p>
    <w:p w14:paraId="5BC64C28" w14:textId="77777777" w:rsidR="00CC2CC4" w:rsidRPr="00D14358" w:rsidRDefault="00CC2CC4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sz w:val="24"/>
          <w:szCs w:val="24"/>
          <w:lang w:eastAsia="cs-CZ"/>
        </w:rPr>
      </w:pPr>
    </w:p>
    <w:p w14:paraId="61647292" w14:textId="2BBEE379" w:rsidR="00671425" w:rsidRPr="00485081" w:rsidRDefault="002D505E" w:rsidP="002D505E">
      <w:p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cstheme="minorHAnsi"/>
          <w:b/>
          <w:sz w:val="24"/>
          <w:szCs w:val="24"/>
          <w:lang w:eastAsia="cs-CZ"/>
        </w:rPr>
      </w:pPr>
      <w:r w:rsidRPr="00485081">
        <w:rPr>
          <w:rFonts w:cstheme="minorHAnsi"/>
          <w:b/>
          <w:sz w:val="24"/>
          <w:szCs w:val="24"/>
          <w:lang w:eastAsia="cs-CZ"/>
        </w:rPr>
        <w:t>Oblast správy</w:t>
      </w:r>
      <w:r w:rsidR="00227DB3" w:rsidRPr="00485081">
        <w:rPr>
          <w:rFonts w:cstheme="minorHAnsi"/>
          <w:b/>
          <w:sz w:val="24"/>
          <w:szCs w:val="24"/>
          <w:lang w:eastAsia="cs-CZ"/>
        </w:rPr>
        <w:t xml:space="preserve"> majetkových účastí</w:t>
      </w:r>
      <w:r w:rsidR="00307745" w:rsidRPr="00485081">
        <w:rPr>
          <w:rFonts w:cstheme="minorHAnsi"/>
          <w:b/>
          <w:sz w:val="24"/>
          <w:szCs w:val="24"/>
          <w:lang w:eastAsia="cs-CZ"/>
        </w:rPr>
        <w:t xml:space="preserve"> </w:t>
      </w:r>
    </w:p>
    <w:p w14:paraId="658C3549" w14:textId="77777777" w:rsidR="00CC2CC4" w:rsidRDefault="00CC2CC4" w:rsidP="004E193E">
      <w:pPr>
        <w:spacing w:after="0" w:line="240" w:lineRule="auto"/>
        <w:jc w:val="both"/>
        <w:rPr>
          <w:sz w:val="24"/>
          <w:szCs w:val="24"/>
        </w:rPr>
      </w:pPr>
    </w:p>
    <w:p w14:paraId="4EE52116" w14:textId="287F0EDD" w:rsidR="00571257" w:rsidRPr="00D14358" w:rsidRDefault="00227DB3" w:rsidP="004E193E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</w:rPr>
      </w:pPr>
      <w:r w:rsidRPr="00D14358">
        <w:rPr>
          <w:sz w:val="24"/>
          <w:szCs w:val="24"/>
        </w:rPr>
        <w:t>Majetková účast</w:t>
      </w:r>
      <w:r w:rsidR="00C40E8B" w:rsidRPr="00D14358">
        <w:rPr>
          <w:sz w:val="24"/>
          <w:szCs w:val="24"/>
        </w:rPr>
        <w:t xml:space="preserve"> v </w:t>
      </w:r>
      <w:r w:rsidR="00571257" w:rsidRPr="00D14358">
        <w:rPr>
          <w:sz w:val="24"/>
          <w:szCs w:val="24"/>
        </w:rPr>
        <w:t>Českomoravsk</w:t>
      </w:r>
      <w:r w:rsidR="00C40E8B" w:rsidRPr="00D14358">
        <w:rPr>
          <w:sz w:val="24"/>
          <w:szCs w:val="24"/>
        </w:rPr>
        <w:t>é</w:t>
      </w:r>
      <w:r w:rsidR="00571257" w:rsidRPr="00D14358">
        <w:rPr>
          <w:sz w:val="24"/>
          <w:szCs w:val="24"/>
        </w:rPr>
        <w:t xml:space="preserve"> společnost</w:t>
      </w:r>
      <w:r w:rsidR="00C40E8B" w:rsidRPr="00D14358">
        <w:rPr>
          <w:sz w:val="24"/>
          <w:szCs w:val="24"/>
        </w:rPr>
        <w:t>i</w:t>
      </w:r>
      <w:r w:rsidR="00571257" w:rsidRPr="00D14358">
        <w:rPr>
          <w:sz w:val="24"/>
          <w:szCs w:val="24"/>
        </w:rPr>
        <w:t xml:space="preserve"> chovatelů, a.s. </w:t>
      </w:r>
      <w:r w:rsidR="00F64449" w:rsidRPr="00D14358">
        <w:rPr>
          <w:sz w:val="24"/>
          <w:szCs w:val="24"/>
        </w:rPr>
        <w:t>–</w:t>
      </w:r>
      <w:r w:rsidR="00571257" w:rsidRPr="00D14358">
        <w:rPr>
          <w:sz w:val="24"/>
          <w:szCs w:val="24"/>
        </w:rPr>
        <w:t xml:space="preserve"> </w:t>
      </w:r>
      <w:r w:rsidR="00697D50">
        <w:rPr>
          <w:sz w:val="24"/>
          <w:szCs w:val="24"/>
        </w:rPr>
        <w:t>Návrh</w:t>
      </w:r>
      <w:r w:rsidR="003D27A5" w:rsidRPr="00D14358">
        <w:rPr>
          <w:sz w:val="24"/>
          <w:szCs w:val="24"/>
        </w:rPr>
        <w:t xml:space="preserve"> na zvolení </w:t>
      </w:r>
      <w:r w:rsidR="001E1FED" w:rsidRPr="00D14358">
        <w:rPr>
          <w:sz w:val="24"/>
          <w:szCs w:val="24"/>
        </w:rPr>
        <w:t xml:space="preserve">zástupce státu </w:t>
      </w:r>
      <w:r w:rsidR="00697D50">
        <w:rPr>
          <w:sz w:val="24"/>
          <w:szCs w:val="24"/>
        </w:rPr>
        <w:t xml:space="preserve">do </w:t>
      </w:r>
      <w:r w:rsidR="001E1FED" w:rsidRPr="00D14358">
        <w:rPr>
          <w:sz w:val="24"/>
          <w:szCs w:val="24"/>
        </w:rPr>
        <w:t>dozorčí rad</w:t>
      </w:r>
      <w:r w:rsidR="00697D50">
        <w:rPr>
          <w:sz w:val="24"/>
          <w:szCs w:val="24"/>
        </w:rPr>
        <w:t>y</w:t>
      </w:r>
      <w:r w:rsidR="001E1FED" w:rsidRPr="00D14358">
        <w:rPr>
          <w:sz w:val="24"/>
          <w:szCs w:val="24"/>
        </w:rPr>
        <w:t xml:space="preserve"> </w:t>
      </w:r>
      <w:r w:rsidR="00C40E8B" w:rsidRPr="00D14358">
        <w:rPr>
          <w:sz w:val="24"/>
          <w:szCs w:val="24"/>
        </w:rPr>
        <w:t>Českomoravské společnosti chovatelů, a.s.</w:t>
      </w:r>
      <w:r w:rsidR="00A17054">
        <w:rPr>
          <w:sz w:val="24"/>
          <w:szCs w:val="24"/>
        </w:rPr>
        <w:t>,</w:t>
      </w:r>
      <w:r w:rsidR="00C40E8B" w:rsidRPr="00D14358">
        <w:rPr>
          <w:sz w:val="24"/>
          <w:szCs w:val="24"/>
        </w:rPr>
        <w:t xml:space="preserve"> </w:t>
      </w:r>
      <w:r w:rsidR="00697D50" w:rsidRPr="00D14358">
        <w:rPr>
          <w:sz w:val="24"/>
          <w:szCs w:val="24"/>
        </w:rPr>
        <w:t xml:space="preserve">MZe </w:t>
      </w:r>
      <w:r w:rsidR="00697D50">
        <w:rPr>
          <w:sz w:val="24"/>
          <w:szCs w:val="24"/>
        </w:rPr>
        <w:t xml:space="preserve">nepředložilo </w:t>
      </w:r>
      <w:r w:rsidR="001E1FED" w:rsidRPr="00D14358">
        <w:rPr>
          <w:sz w:val="24"/>
          <w:szCs w:val="24"/>
        </w:rPr>
        <w:t>Vládním</w:t>
      </w:r>
      <w:r w:rsidR="00697D50">
        <w:rPr>
          <w:sz w:val="24"/>
          <w:szCs w:val="24"/>
        </w:rPr>
        <w:t>u</w:t>
      </w:r>
      <w:r w:rsidR="001E1FED" w:rsidRPr="00D14358">
        <w:rPr>
          <w:sz w:val="24"/>
          <w:szCs w:val="24"/>
        </w:rPr>
        <w:t xml:space="preserve"> výboru pro personální nominace</w:t>
      </w:r>
      <w:r w:rsidR="00697D50">
        <w:rPr>
          <w:sz w:val="24"/>
          <w:szCs w:val="24"/>
        </w:rPr>
        <w:t xml:space="preserve"> k projednání</w:t>
      </w:r>
      <w:r w:rsidR="001E1FED" w:rsidRPr="00D14358">
        <w:rPr>
          <w:sz w:val="24"/>
          <w:szCs w:val="24"/>
        </w:rPr>
        <w:t>.</w:t>
      </w:r>
      <w:r w:rsidR="00D0396A" w:rsidRPr="00D14358">
        <w:rPr>
          <w:sz w:val="24"/>
          <w:szCs w:val="24"/>
        </w:rPr>
        <w:t xml:space="preserve"> </w:t>
      </w:r>
      <w:r w:rsidR="008418EE" w:rsidRPr="00D14358">
        <w:rPr>
          <w:sz w:val="24"/>
          <w:szCs w:val="24"/>
        </w:rPr>
        <w:t xml:space="preserve">Nebyla </w:t>
      </w:r>
      <w:r w:rsidR="00697D50">
        <w:rPr>
          <w:sz w:val="24"/>
          <w:szCs w:val="24"/>
        </w:rPr>
        <w:t xml:space="preserve">tedy </w:t>
      </w:r>
      <w:r w:rsidR="008418EE" w:rsidRPr="00D14358">
        <w:rPr>
          <w:sz w:val="24"/>
          <w:szCs w:val="24"/>
        </w:rPr>
        <w:t xml:space="preserve">dodržena povinnost stanovená </w:t>
      </w:r>
      <w:r w:rsidR="00A17054">
        <w:rPr>
          <w:sz w:val="24"/>
          <w:szCs w:val="24"/>
        </w:rPr>
        <w:t>s</w:t>
      </w:r>
      <w:r w:rsidR="00D0396A" w:rsidRPr="00D14358">
        <w:rPr>
          <w:sz w:val="24"/>
          <w:szCs w:val="24"/>
        </w:rPr>
        <w:t xml:space="preserve">tatutem Vládního výboru pro personální nominace. </w:t>
      </w:r>
    </w:p>
    <w:p w14:paraId="47333497" w14:textId="77777777" w:rsidR="00671425" w:rsidRPr="006E46CD" w:rsidRDefault="00671425" w:rsidP="00671425">
      <w:pPr>
        <w:pStyle w:val="Zkladntext3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12755867" w14:textId="77777777" w:rsidR="00671425" w:rsidRPr="00485081" w:rsidRDefault="002D505E" w:rsidP="006714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 w:rsidRPr="00485081">
        <w:rPr>
          <w:rFonts w:cstheme="minorHAnsi"/>
          <w:b/>
          <w:sz w:val="24"/>
          <w:szCs w:val="24"/>
        </w:rPr>
        <w:t>Oblast inventarizací</w:t>
      </w:r>
    </w:p>
    <w:p w14:paraId="3ACD2F33" w14:textId="77777777" w:rsidR="00CC2CC4" w:rsidRDefault="00CC2CC4" w:rsidP="00671425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</w:p>
    <w:p w14:paraId="6C9891D0" w14:textId="2B1912F4" w:rsidR="00671425" w:rsidRPr="00D14358" w:rsidRDefault="00697D50" w:rsidP="00671425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Cs/>
          <w:iCs/>
          <w:sz w:val="24"/>
          <w:szCs w:val="24"/>
        </w:rPr>
        <w:t>V inventarizacích</w:t>
      </w:r>
      <w:r w:rsidR="00DD7380" w:rsidRPr="00D14358">
        <w:rPr>
          <w:rFonts w:cstheme="minorHAnsi"/>
          <w:bCs/>
          <w:iCs/>
          <w:sz w:val="24"/>
          <w:szCs w:val="24"/>
        </w:rPr>
        <w:t xml:space="preserve"> všech sedmi</w:t>
      </w:r>
      <w:r w:rsidR="00671425" w:rsidRPr="00D14358">
        <w:rPr>
          <w:rFonts w:cstheme="minorHAnsi"/>
          <w:bCs/>
          <w:iCs/>
          <w:sz w:val="24"/>
          <w:szCs w:val="24"/>
        </w:rPr>
        <w:t xml:space="preserve"> majetkových účastí státu </w:t>
      </w:r>
      <w:r>
        <w:rPr>
          <w:rFonts w:cstheme="minorHAnsi"/>
          <w:bCs/>
          <w:iCs/>
          <w:sz w:val="24"/>
          <w:szCs w:val="24"/>
        </w:rPr>
        <w:t>se objevily</w:t>
      </w:r>
      <w:r w:rsidR="00671425" w:rsidRPr="00D14358">
        <w:rPr>
          <w:rFonts w:cstheme="minorHAnsi"/>
          <w:bCs/>
          <w:iCs/>
          <w:sz w:val="24"/>
          <w:szCs w:val="24"/>
        </w:rPr>
        <w:t xml:space="preserve"> nedostatky</w:t>
      </w:r>
      <w:r>
        <w:rPr>
          <w:rFonts w:cstheme="minorHAnsi"/>
          <w:bCs/>
          <w:iCs/>
          <w:sz w:val="24"/>
          <w:szCs w:val="24"/>
        </w:rPr>
        <w:t>. MZe</w:t>
      </w:r>
      <w:r w:rsidR="00671425" w:rsidRPr="00D14358">
        <w:rPr>
          <w:rFonts w:cstheme="minorHAnsi"/>
          <w:bCs/>
          <w:iCs/>
          <w:sz w:val="24"/>
          <w:szCs w:val="24"/>
        </w:rPr>
        <w:t xml:space="preserve"> </w:t>
      </w:r>
      <w:r w:rsidR="00671425" w:rsidRPr="00D14358">
        <w:rPr>
          <w:rFonts w:cstheme="minorHAnsi"/>
          <w:sz w:val="24"/>
          <w:szCs w:val="24"/>
        </w:rPr>
        <w:t>v inventurní</w:t>
      </w:r>
      <w:r w:rsidR="00B936E3" w:rsidRPr="00D14358">
        <w:rPr>
          <w:rFonts w:cstheme="minorHAnsi"/>
          <w:sz w:val="24"/>
          <w:szCs w:val="24"/>
        </w:rPr>
        <w:t>ch</w:t>
      </w:r>
      <w:r w:rsidR="00671425" w:rsidRPr="00D14358">
        <w:rPr>
          <w:rFonts w:cstheme="minorHAnsi"/>
          <w:sz w:val="24"/>
          <w:szCs w:val="24"/>
        </w:rPr>
        <w:t xml:space="preserve"> soupis</w:t>
      </w:r>
      <w:r w:rsidR="00B936E3" w:rsidRPr="00D14358">
        <w:rPr>
          <w:rFonts w:cstheme="minorHAnsi"/>
          <w:sz w:val="24"/>
          <w:szCs w:val="24"/>
        </w:rPr>
        <w:t>ech</w:t>
      </w:r>
      <w:r w:rsidR="00671425" w:rsidRPr="00D14358">
        <w:rPr>
          <w:rFonts w:cstheme="minorHAnsi"/>
          <w:sz w:val="24"/>
          <w:szCs w:val="24"/>
        </w:rPr>
        <w:t xml:space="preserve"> za rok 2013 ani za rok 2014 </w:t>
      </w:r>
      <w:r w:rsidR="00D91ED8" w:rsidRPr="00D14358">
        <w:rPr>
          <w:rFonts w:cstheme="minorHAnsi"/>
          <w:sz w:val="24"/>
          <w:szCs w:val="24"/>
        </w:rPr>
        <w:t xml:space="preserve">neuvedlo </w:t>
      </w:r>
      <w:r w:rsidR="00671425" w:rsidRPr="00D14358">
        <w:rPr>
          <w:rFonts w:cstheme="minorHAnsi"/>
          <w:sz w:val="24"/>
          <w:szCs w:val="24"/>
        </w:rPr>
        <w:t>skutečn</w:t>
      </w:r>
      <w:r w:rsidR="00B936E3" w:rsidRPr="00D14358">
        <w:rPr>
          <w:rFonts w:cstheme="minorHAnsi"/>
          <w:sz w:val="24"/>
          <w:szCs w:val="24"/>
        </w:rPr>
        <w:t>é</w:t>
      </w:r>
      <w:r w:rsidR="00671425" w:rsidRPr="00D14358">
        <w:rPr>
          <w:rFonts w:cstheme="minorHAnsi"/>
          <w:sz w:val="24"/>
          <w:szCs w:val="24"/>
        </w:rPr>
        <w:t xml:space="preserve"> stav</w:t>
      </w:r>
      <w:r w:rsidR="00B936E3" w:rsidRPr="00D14358">
        <w:rPr>
          <w:rFonts w:cstheme="minorHAnsi"/>
          <w:sz w:val="24"/>
          <w:szCs w:val="24"/>
        </w:rPr>
        <w:t>y</w:t>
      </w:r>
      <w:r w:rsidR="00671425" w:rsidRPr="00D14358">
        <w:rPr>
          <w:rFonts w:cstheme="minorHAnsi"/>
          <w:sz w:val="24"/>
          <w:szCs w:val="24"/>
        </w:rPr>
        <w:t xml:space="preserve"> cenných papírů</w:t>
      </w:r>
      <w:r w:rsidR="00541912" w:rsidRPr="00D14358">
        <w:rPr>
          <w:rFonts w:cstheme="minorHAnsi"/>
          <w:sz w:val="24"/>
          <w:szCs w:val="24"/>
        </w:rPr>
        <w:t xml:space="preserve"> ve jmenovitých hodnotách</w:t>
      </w:r>
      <w:r w:rsidR="00671425" w:rsidRPr="00D14358">
        <w:rPr>
          <w:rFonts w:cstheme="minorHAnsi"/>
          <w:sz w:val="24"/>
          <w:szCs w:val="24"/>
        </w:rPr>
        <w:t xml:space="preserve"> podle výpisu z </w:t>
      </w:r>
      <w:r>
        <w:rPr>
          <w:rFonts w:cstheme="minorHAnsi"/>
          <w:sz w:val="24"/>
          <w:szCs w:val="24"/>
        </w:rPr>
        <w:t>c</w:t>
      </w:r>
      <w:r w:rsidR="00476061" w:rsidRPr="00D14358">
        <w:rPr>
          <w:rFonts w:cstheme="minorHAnsi"/>
          <w:sz w:val="24"/>
          <w:szCs w:val="24"/>
        </w:rPr>
        <w:t>entrální</w:t>
      </w:r>
      <w:r w:rsidR="00CA46F0" w:rsidRPr="00D14358">
        <w:rPr>
          <w:rFonts w:cstheme="minorHAnsi"/>
          <w:sz w:val="24"/>
          <w:szCs w:val="24"/>
        </w:rPr>
        <w:t>h</w:t>
      </w:r>
      <w:r w:rsidR="00D91ED8" w:rsidRPr="00D14358">
        <w:rPr>
          <w:rFonts w:cstheme="minorHAnsi"/>
          <w:sz w:val="24"/>
          <w:szCs w:val="24"/>
        </w:rPr>
        <w:t>o</w:t>
      </w:r>
      <w:r w:rsidR="00476061" w:rsidRPr="00D14358">
        <w:rPr>
          <w:rFonts w:cstheme="minorHAnsi"/>
          <w:sz w:val="24"/>
          <w:szCs w:val="24"/>
        </w:rPr>
        <w:t xml:space="preserve"> depozitář</w:t>
      </w:r>
      <w:r w:rsidR="00D91ED8" w:rsidRPr="00D14358">
        <w:rPr>
          <w:rFonts w:cstheme="minorHAnsi"/>
          <w:sz w:val="24"/>
          <w:szCs w:val="24"/>
        </w:rPr>
        <w:t>e</w:t>
      </w:r>
      <w:r w:rsidR="00476061" w:rsidRPr="00D14358">
        <w:rPr>
          <w:rFonts w:cstheme="minorHAnsi"/>
          <w:sz w:val="24"/>
          <w:szCs w:val="24"/>
        </w:rPr>
        <w:t xml:space="preserve"> cenných papírů</w:t>
      </w:r>
      <w:r w:rsidR="00DD7380" w:rsidRPr="00D14358">
        <w:rPr>
          <w:rFonts w:cstheme="minorHAnsi"/>
          <w:sz w:val="24"/>
          <w:szCs w:val="24"/>
        </w:rPr>
        <w:t>, resp.</w:t>
      </w:r>
      <w:r w:rsidR="00671425" w:rsidRPr="00D14358">
        <w:rPr>
          <w:rFonts w:cstheme="minorHAnsi"/>
          <w:sz w:val="24"/>
          <w:szCs w:val="24"/>
        </w:rPr>
        <w:t xml:space="preserve"> </w:t>
      </w:r>
      <w:r w:rsidR="00B936E3" w:rsidRPr="00D14358">
        <w:rPr>
          <w:rFonts w:cstheme="minorHAnsi"/>
          <w:sz w:val="24"/>
          <w:szCs w:val="24"/>
        </w:rPr>
        <w:t xml:space="preserve">dle </w:t>
      </w:r>
      <w:r w:rsidR="00671425" w:rsidRPr="00D14358">
        <w:rPr>
          <w:rFonts w:cstheme="minorHAnsi"/>
          <w:sz w:val="24"/>
          <w:szCs w:val="24"/>
        </w:rPr>
        <w:t>listinné akcie</w:t>
      </w:r>
      <w:r w:rsidR="00DD7380" w:rsidRPr="00D14358">
        <w:rPr>
          <w:rFonts w:cstheme="minorHAnsi"/>
          <w:sz w:val="24"/>
          <w:szCs w:val="24"/>
        </w:rPr>
        <w:t xml:space="preserve"> (</w:t>
      </w:r>
      <w:r w:rsidR="00227DB3" w:rsidRPr="00D14358">
        <w:rPr>
          <w:rFonts w:cstheme="minorHAnsi"/>
          <w:sz w:val="24"/>
          <w:szCs w:val="24"/>
        </w:rPr>
        <w:t>majetková účast</w:t>
      </w:r>
      <w:r w:rsidR="00C40E8B" w:rsidRPr="00D14358">
        <w:rPr>
          <w:rFonts w:cstheme="minorHAnsi"/>
          <w:sz w:val="24"/>
          <w:szCs w:val="24"/>
        </w:rPr>
        <w:t xml:space="preserve"> v </w:t>
      </w:r>
      <w:r w:rsidR="00C40E8B" w:rsidRPr="00D14358">
        <w:rPr>
          <w:sz w:val="24"/>
          <w:szCs w:val="24"/>
        </w:rPr>
        <w:t>Českomoravské společnosti chovatelů, a.s.</w:t>
      </w:r>
      <w:r w:rsidR="00A17054">
        <w:rPr>
          <w:sz w:val="24"/>
          <w:szCs w:val="24"/>
        </w:rPr>
        <w:t>,</w:t>
      </w:r>
      <w:r w:rsidR="00C40E8B" w:rsidRPr="00D14358">
        <w:rPr>
          <w:sz w:val="24"/>
          <w:szCs w:val="24"/>
        </w:rPr>
        <w:t xml:space="preserve"> </w:t>
      </w:r>
      <w:r w:rsidR="00DD7380" w:rsidRPr="00D14358">
        <w:rPr>
          <w:rFonts w:cstheme="minorHAnsi"/>
          <w:sz w:val="24"/>
          <w:szCs w:val="24"/>
        </w:rPr>
        <w:t>za rok 2013)</w:t>
      </w:r>
      <w:r w:rsidR="00671425" w:rsidRPr="00D14358">
        <w:rPr>
          <w:rFonts w:cstheme="minorHAnsi"/>
          <w:sz w:val="24"/>
          <w:szCs w:val="24"/>
        </w:rPr>
        <w:t>, ale stav z</w:t>
      </w:r>
      <w:r w:rsidR="00541912" w:rsidRPr="00D14358">
        <w:rPr>
          <w:rFonts w:cstheme="minorHAnsi"/>
          <w:sz w:val="24"/>
          <w:szCs w:val="24"/>
        </w:rPr>
        <w:t> </w:t>
      </w:r>
      <w:r w:rsidR="00671425" w:rsidRPr="00D14358">
        <w:rPr>
          <w:rFonts w:cstheme="minorHAnsi"/>
          <w:sz w:val="24"/>
          <w:szCs w:val="24"/>
        </w:rPr>
        <w:t>účetnictví</w:t>
      </w:r>
      <w:r w:rsidR="00541912" w:rsidRPr="00D14358">
        <w:rPr>
          <w:rFonts w:cstheme="minorHAnsi"/>
          <w:sz w:val="24"/>
          <w:szCs w:val="24"/>
        </w:rPr>
        <w:t xml:space="preserve"> v pořizovacích cenách odlišných od jmenovitých hodnot</w:t>
      </w:r>
      <w:r w:rsidR="00671425" w:rsidRPr="00D14358">
        <w:rPr>
          <w:rFonts w:cstheme="minorHAnsi"/>
          <w:sz w:val="24"/>
          <w:szCs w:val="24"/>
        </w:rPr>
        <w:t xml:space="preserve">. </w:t>
      </w:r>
    </w:p>
    <w:p w14:paraId="341ED40C" w14:textId="77777777" w:rsidR="00C05FA2" w:rsidRPr="00D14358" w:rsidRDefault="00C05FA2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DB99106" w14:textId="77777777" w:rsidR="001E2DA4" w:rsidRPr="00CC2CC4" w:rsidRDefault="0039075F" w:rsidP="00A75629">
      <w:pPr>
        <w:spacing w:after="0" w:line="240" w:lineRule="auto"/>
        <w:jc w:val="both"/>
        <w:rPr>
          <w:rFonts w:cstheme="minorHAnsi"/>
          <w:b/>
          <w:sz w:val="24"/>
          <w:szCs w:val="24"/>
          <w:vertAlign w:val="superscript"/>
        </w:rPr>
      </w:pPr>
      <w:r w:rsidRPr="00D14358">
        <w:rPr>
          <w:rFonts w:cstheme="minorHAnsi"/>
          <w:b/>
          <w:sz w:val="24"/>
          <w:szCs w:val="24"/>
        </w:rPr>
        <w:t>5</w:t>
      </w:r>
      <w:r w:rsidR="00932158" w:rsidRPr="00D14358">
        <w:rPr>
          <w:rFonts w:cstheme="minorHAnsi"/>
          <w:b/>
          <w:sz w:val="24"/>
          <w:szCs w:val="24"/>
        </w:rPr>
        <w:t xml:space="preserve">. </w:t>
      </w:r>
      <w:r w:rsidR="001D61A4" w:rsidRPr="00D14358">
        <w:rPr>
          <w:rFonts w:cstheme="minorHAnsi"/>
          <w:b/>
          <w:sz w:val="24"/>
          <w:szCs w:val="24"/>
        </w:rPr>
        <w:t>D</w:t>
      </w:r>
      <w:r w:rsidR="001E2DA4" w:rsidRPr="00D14358">
        <w:rPr>
          <w:rFonts w:cstheme="minorHAnsi"/>
          <w:b/>
          <w:sz w:val="24"/>
          <w:szCs w:val="24"/>
        </w:rPr>
        <w:t>održování vyhlášky č. 455/2008 Sb.</w:t>
      </w:r>
      <w:r w:rsidR="00D83A11" w:rsidRPr="00CC2CC4">
        <w:rPr>
          <w:rFonts w:cstheme="minorHAnsi"/>
          <w:b/>
          <w:sz w:val="24"/>
          <w:szCs w:val="24"/>
          <w:vertAlign w:val="superscript"/>
        </w:rPr>
        <w:t>3</w:t>
      </w:r>
    </w:p>
    <w:p w14:paraId="72FD63A6" w14:textId="77777777" w:rsidR="00CC2CC4" w:rsidRPr="00CC2CC4" w:rsidRDefault="00CC2CC4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DE4DAA7" w14:textId="55558FB4" w:rsidR="001E2DA4" w:rsidRPr="006119FD" w:rsidRDefault="001E2DA4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>MF</w:t>
      </w:r>
      <w:r w:rsidRPr="00D14358">
        <w:rPr>
          <w:rFonts w:cstheme="minorHAnsi"/>
          <w:sz w:val="24"/>
          <w:szCs w:val="24"/>
        </w:rPr>
        <w:t xml:space="preserve"> </w:t>
      </w:r>
      <w:r w:rsidR="00F43B45" w:rsidRPr="00D14358">
        <w:rPr>
          <w:rFonts w:cstheme="minorHAnsi"/>
          <w:sz w:val="24"/>
          <w:szCs w:val="24"/>
        </w:rPr>
        <w:t>–</w:t>
      </w:r>
      <w:r w:rsidRPr="00D14358">
        <w:rPr>
          <w:rFonts w:cstheme="minorHAnsi"/>
          <w:sz w:val="24"/>
          <w:szCs w:val="24"/>
        </w:rPr>
        <w:t xml:space="preserve"> </w:t>
      </w:r>
      <w:r w:rsidR="00697D50">
        <w:rPr>
          <w:rFonts w:cstheme="minorHAnsi"/>
          <w:sz w:val="24"/>
          <w:szCs w:val="24"/>
        </w:rPr>
        <w:t>Z</w:t>
      </w:r>
      <w:r w:rsidRPr="00D14358">
        <w:rPr>
          <w:rFonts w:cstheme="minorHAnsi"/>
          <w:sz w:val="24"/>
          <w:szCs w:val="24"/>
          <w:lang w:eastAsia="cs-CZ"/>
        </w:rPr>
        <w:t>e zjištěných</w:t>
      </w:r>
      <w:r w:rsidR="00A17054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sz w:val="24"/>
          <w:szCs w:val="24"/>
          <w:lang w:eastAsia="cs-CZ"/>
        </w:rPr>
        <w:t xml:space="preserve">opakujících se nedostatků v údajích o </w:t>
      </w:r>
      <w:r w:rsidR="00227DB3" w:rsidRPr="00D14358">
        <w:rPr>
          <w:rFonts w:cstheme="minorHAnsi"/>
          <w:sz w:val="24"/>
          <w:szCs w:val="24"/>
          <w:lang w:eastAsia="cs-CZ"/>
        </w:rPr>
        <w:t>majetkových účastech</w:t>
      </w:r>
      <w:r w:rsidRPr="00D14358">
        <w:rPr>
          <w:rFonts w:cstheme="minorHAnsi"/>
          <w:sz w:val="24"/>
          <w:szCs w:val="24"/>
          <w:lang w:eastAsia="cs-CZ"/>
        </w:rPr>
        <w:t xml:space="preserve"> a </w:t>
      </w:r>
      <w:r w:rsidR="005613EB" w:rsidRPr="00D14358">
        <w:rPr>
          <w:rFonts w:cstheme="minorHAnsi"/>
          <w:sz w:val="24"/>
          <w:szCs w:val="24"/>
          <w:lang w:eastAsia="cs-CZ"/>
        </w:rPr>
        <w:t>cenných papírech</w:t>
      </w:r>
      <w:r w:rsidRPr="00D14358">
        <w:rPr>
          <w:rFonts w:cstheme="minorHAnsi"/>
          <w:sz w:val="24"/>
          <w:szCs w:val="24"/>
          <w:lang w:eastAsia="cs-CZ"/>
        </w:rPr>
        <w:t xml:space="preserve"> (</w:t>
      </w:r>
      <w:r w:rsidR="00E26D35" w:rsidRPr="00D14358">
        <w:rPr>
          <w:rFonts w:cstheme="minorHAnsi"/>
          <w:sz w:val="24"/>
          <w:szCs w:val="24"/>
          <w:lang w:eastAsia="cs-CZ"/>
        </w:rPr>
        <w:t>nevyplnění požadovaných tabulek, uvedení pouze některých</w:t>
      </w:r>
      <w:r w:rsidR="00975A92">
        <w:rPr>
          <w:rFonts w:cstheme="minorHAnsi"/>
          <w:sz w:val="24"/>
          <w:szCs w:val="24"/>
          <w:lang w:eastAsia="cs-CZ"/>
        </w:rPr>
        <w:t xml:space="preserve"> údajů</w:t>
      </w:r>
      <w:r w:rsidR="00E26D35" w:rsidRPr="00D14358">
        <w:rPr>
          <w:rFonts w:cstheme="minorHAnsi"/>
          <w:sz w:val="24"/>
          <w:szCs w:val="24"/>
          <w:lang w:eastAsia="cs-CZ"/>
        </w:rPr>
        <w:t>, příp. neúplných údajů</w:t>
      </w:r>
      <w:r w:rsidRPr="00D14358">
        <w:rPr>
          <w:rFonts w:cstheme="minorHAnsi"/>
          <w:sz w:val="24"/>
          <w:szCs w:val="24"/>
          <w:lang w:eastAsia="cs-CZ"/>
        </w:rPr>
        <w:t xml:space="preserve">), které v letech 2013 a 2014 předkládali Ministerstvu financí správci </w:t>
      </w:r>
      <w:r w:rsidR="00D91ED8" w:rsidRPr="00D14358">
        <w:rPr>
          <w:rFonts w:cstheme="minorHAnsi"/>
          <w:sz w:val="24"/>
          <w:szCs w:val="24"/>
          <w:lang w:eastAsia="cs-CZ"/>
        </w:rPr>
        <w:t xml:space="preserve">příslušných </w:t>
      </w:r>
      <w:r w:rsidRPr="00D14358">
        <w:rPr>
          <w:rFonts w:cstheme="minorHAnsi"/>
          <w:sz w:val="24"/>
          <w:szCs w:val="24"/>
          <w:lang w:eastAsia="cs-CZ"/>
        </w:rPr>
        <w:t>kapitol</w:t>
      </w:r>
      <w:r w:rsidR="006119FD" w:rsidRPr="00D14358">
        <w:rPr>
          <w:rFonts w:cstheme="minorHAnsi"/>
          <w:sz w:val="24"/>
          <w:szCs w:val="24"/>
          <w:lang w:eastAsia="cs-CZ"/>
        </w:rPr>
        <w:t>,</w:t>
      </w:r>
      <w:r w:rsidRPr="00D14358">
        <w:rPr>
          <w:rFonts w:cstheme="minorHAnsi"/>
          <w:sz w:val="24"/>
          <w:szCs w:val="24"/>
          <w:lang w:eastAsia="cs-CZ"/>
        </w:rPr>
        <w:t xml:space="preserve"> vyplývá, že MF neprovádělo </w:t>
      </w:r>
      <w:r w:rsidR="00DA432D" w:rsidRPr="00D14358">
        <w:rPr>
          <w:rFonts w:cstheme="minorHAnsi"/>
          <w:sz w:val="24"/>
          <w:szCs w:val="24"/>
          <w:lang w:eastAsia="cs-CZ"/>
        </w:rPr>
        <w:t xml:space="preserve">dostatečnou </w:t>
      </w:r>
      <w:r w:rsidRPr="00D14358">
        <w:rPr>
          <w:rFonts w:cstheme="minorHAnsi"/>
          <w:sz w:val="24"/>
          <w:szCs w:val="24"/>
          <w:lang w:eastAsia="cs-CZ"/>
        </w:rPr>
        <w:t>formál</w:t>
      </w:r>
      <w:r w:rsidR="00E834E6" w:rsidRPr="00D14358">
        <w:rPr>
          <w:rFonts w:cstheme="minorHAnsi"/>
          <w:sz w:val="24"/>
          <w:szCs w:val="24"/>
          <w:lang w:eastAsia="cs-CZ"/>
        </w:rPr>
        <w:t>ní kontrolu předkládaných údajů</w:t>
      </w:r>
      <w:r w:rsidR="008A6919" w:rsidRPr="00D14358">
        <w:rPr>
          <w:rFonts w:cstheme="minorHAnsi"/>
          <w:sz w:val="24"/>
          <w:szCs w:val="24"/>
          <w:lang w:eastAsia="cs-CZ"/>
        </w:rPr>
        <w:t>. Správnost údajů, za kterou odpovídají jejich předkladatelé, kontrolovalo MF</w:t>
      </w:r>
      <w:r w:rsidR="00733897" w:rsidRPr="00D14358">
        <w:rPr>
          <w:rFonts w:cstheme="minorHAnsi"/>
          <w:sz w:val="24"/>
          <w:szCs w:val="24"/>
          <w:lang w:eastAsia="cs-CZ"/>
        </w:rPr>
        <w:t xml:space="preserve"> pouze v případě aktuální potřeby.</w:t>
      </w:r>
      <w:r w:rsidR="008A6919" w:rsidRPr="00D14358">
        <w:rPr>
          <w:rFonts w:cstheme="minorHAnsi"/>
          <w:sz w:val="24"/>
          <w:szCs w:val="24"/>
          <w:lang w:eastAsia="cs-CZ"/>
        </w:rPr>
        <w:t xml:space="preserve"> </w:t>
      </w:r>
      <w:r w:rsidRPr="00D14358">
        <w:rPr>
          <w:rFonts w:cstheme="minorHAnsi"/>
          <w:bCs/>
          <w:sz w:val="24"/>
          <w:szCs w:val="24"/>
          <w:lang w:eastAsia="cs-CZ"/>
        </w:rPr>
        <w:t xml:space="preserve">Vzhledem k nejednotnosti a neúplnosti mohlo MF </w:t>
      </w:r>
      <w:r w:rsidR="00971ACD" w:rsidRPr="00D14358">
        <w:rPr>
          <w:rFonts w:cstheme="minorHAnsi"/>
          <w:bCs/>
          <w:sz w:val="24"/>
          <w:szCs w:val="24"/>
          <w:lang w:eastAsia="cs-CZ"/>
        </w:rPr>
        <w:t>předložené</w:t>
      </w:r>
      <w:r w:rsidRPr="00D14358">
        <w:rPr>
          <w:rFonts w:cstheme="minorHAnsi"/>
          <w:bCs/>
          <w:sz w:val="24"/>
          <w:szCs w:val="24"/>
          <w:lang w:eastAsia="cs-CZ"/>
        </w:rPr>
        <w:t xml:space="preserve"> údaje využívat jen v omezené míře. Celkovou využitelnost údajů získaných na základě vyhlášky </w:t>
      </w:r>
      <w:r w:rsidRPr="006119FD">
        <w:rPr>
          <w:rFonts w:cstheme="minorHAnsi"/>
          <w:bCs/>
          <w:sz w:val="24"/>
          <w:szCs w:val="24"/>
          <w:lang w:eastAsia="cs-CZ"/>
        </w:rPr>
        <w:t>č.</w:t>
      </w:r>
      <w:r w:rsidR="005613EB" w:rsidRPr="006119FD">
        <w:rPr>
          <w:rFonts w:cstheme="minorHAnsi"/>
          <w:bCs/>
          <w:sz w:val="24"/>
          <w:szCs w:val="24"/>
          <w:lang w:eastAsia="cs-CZ"/>
        </w:rPr>
        <w:t> </w:t>
      </w:r>
      <w:r w:rsidRPr="006119FD">
        <w:rPr>
          <w:rFonts w:cstheme="minorHAnsi"/>
          <w:bCs/>
          <w:sz w:val="24"/>
          <w:szCs w:val="24"/>
          <w:lang w:eastAsia="cs-CZ"/>
        </w:rPr>
        <w:t>455/2008 Sb.</w:t>
      </w:r>
      <w:r w:rsidR="00D83A11">
        <w:rPr>
          <w:rFonts w:cstheme="minorHAnsi"/>
          <w:bCs/>
          <w:sz w:val="24"/>
          <w:szCs w:val="24"/>
          <w:vertAlign w:val="superscript"/>
          <w:lang w:eastAsia="cs-CZ"/>
        </w:rPr>
        <w:t>3</w:t>
      </w:r>
      <w:r w:rsidRPr="006119FD">
        <w:rPr>
          <w:rFonts w:cstheme="minorHAnsi"/>
          <w:bCs/>
          <w:sz w:val="24"/>
          <w:szCs w:val="24"/>
          <w:lang w:eastAsia="cs-CZ"/>
        </w:rPr>
        <w:t xml:space="preserve"> snižuje také skutečnost, že </w:t>
      </w:r>
      <w:r w:rsidR="00733897" w:rsidRPr="006119FD">
        <w:rPr>
          <w:rFonts w:cstheme="minorHAnsi"/>
          <w:bCs/>
          <w:sz w:val="24"/>
          <w:szCs w:val="24"/>
          <w:lang w:eastAsia="cs-CZ"/>
        </w:rPr>
        <w:t>údaje</w:t>
      </w:r>
      <w:r w:rsidR="00975A92">
        <w:rPr>
          <w:rFonts w:cstheme="minorHAnsi"/>
          <w:bCs/>
          <w:sz w:val="24"/>
          <w:szCs w:val="24"/>
          <w:lang w:eastAsia="cs-CZ"/>
        </w:rPr>
        <w:t xml:space="preserve"> </w:t>
      </w:r>
      <w:r w:rsidR="00975A92">
        <w:rPr>
          <w:rFonts w:cstheme="minorHAnsi"/>
          <w:bCs/>
          <w:sz w:val="24"/>
          <w:szCs w:val="24"/>
          <w:lang w:eastAsia="cs-CZ"/>
        </w:rPr>
        <w:lastRenderedPageBreak/>
        <w:t>o majetkových účastech spravovaných resortem financí</w:t>
      </w:r>
      <w:r w:rsidR="00733897" w:rsidRPr="006119FD">
        <w:rPr>
          <w:rFonts w:cstheme="minorHAnsi"/>
          <w:bCs/>
          <w:sz w:val="24"/>
          <w:szCs w:val="24"/>
          <w:lang w:eastAsia="cs-CZ"/>
        </w:rPr>
        <w:t xml:space="preserve"> podle této vyhlášky </w:t>
      </w:r>
      <w:r w:rsidR="00975A92">
        <w:rPr>
          <w:rFonts w:cstheme="minorHAnsi"/>
          <w:bCs/>
          <w:sz w:val="24"/>
          <w:szCs w:val="24"/>
          <w:lang w:eastAsia="cs-CZ"/>
        </w:rPr>
        <w:t xml:space="preserve">MF </w:t>
      </w:r>
      <w:r w:rsidR="00733897" w:rsidRPr="006119FD">
        <w:rPr>
          <w:rFonts w:cstheme="minorHAnsi"/>
          <w:bCs/>
          <w:sz w:val="24"/>
          <w:szCs w:val="24"/>
          <w:lang w:eastAsia="cs-CZ"/>
        </w:rPr>
        <w:t>nezpracovávalo.</w:t>
      </w:r>
      <w:r w:rsidRPr="006119FD">
        <w:rPr>
          <w:rFonts w:cstheme="minorHAnsi"/>
          <w:bCs/>
          <w:sz w:val="24"/>
          <w:szCs w:val="24"/>
          <w:lang w:eastAsia="cs-CZ"/>
        </w:rPr>
        <w:t xml:space="preserve"> </w:t>
      </w:r>
    </w:p>
    <w:p w14:paraId="4FA5228B" w14:textId="77777777" w:rsidR="003D27A5" w:rsidRDefault="003D27A5" w:rsidP="00A75629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0D2AFB4D" w14:textId="699468EE" w:rsidR="00931AB4" w:rsidRPr="00D14358" w:rsidRDefault="009B578B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>MPO</w:t>
      </w:r>
      <w:r w:rsidR="008500C3" w:rsidRPr="00D14358">
        <w:rPr>
          <w:rFonts w:cstheme="minorHAnsi"/>
          <w:b/>
          <w:sz w:val="24"/>
          <w:szCs w:val="24"/>
        </w:rPr>
        <w:t xml:space="preserve"> </w:t>
      </w:r>
      <w:r w:rsidRPr="00D14358">
        <w:rPr>
          <w:rFonts w:cstheme="minorHAnsi"/>
          <w:sz w:val="24"/>
          <w:szCs w:val="24"/>
        </w:rPr>
        <w:t>nepostupovalo v souladu s ustanovením § 2 vyhlášky č. 455/2008 Sb.</w:t>
      </w:r>
      <w:r w:rsidR="00D83A11">
        <w:rPr>
          <w:rFonts w:cstheme="minorHAnsi"/>
          <w:sz w:val="24"/>
          <w:szCs w:val="24"/>
          <w:vertAlign w:val="superscript"/>
        </w:rPr>
        <w:t>3</w:t>
      </w:r>
      <w:r w:rsidRPr="00D14358">
        <w:rPr>
          <w:rFonts w:cstheme="minorHAnsi"/>
          <w:sz w:val="24"/>
          <w:szCs w:val="24"/>
        </w:rPr>
        <w:t>, když M</w:t>
      </w:r>
      <w:r w:rsidR="00975A92">
        <w:rPr>
          <w:rFonts w:cstheme="minorHAnsi"/>
          <w:sz w:val="24"/>
          <w:szCs w:val="24"/>
        </w:rPr>
        <w:t>inisterstvu financí</w:t>
      </w:r>
      <w:r w:rsidRPr="00D14358">
        <w:rPr>
          <w:rFonts w:cstheme="minorHAnsi"/>
          <w:sz w:val="24"/>
          <w:szCs w:val="24"/>
        </w:rPr>
        <w:t xml:space="preserve"> předložilo údaje o stavu majetkových účastí a cenných papírů za první, druhé </w:t>
      </w:r>
      <w:r w:rsidR="00975A92">
        <w:rPr>
          <w:rFonts w:cstheme="minorHAnsi"/>
          <w:sz w:val="24"/>
          <w:szCs w:val="24"/>
        </w:rPr>
        <w:t>a </w:t>
      </w:r>
      <w:r w:rsidRPr="00D14358">
        <w:rPr>
          <w:rFonts w:cstheme="minorHAnsi"/>
          <w:sz w:val="24"/>
          <w:szCs w:val="24"/>
        </w:rPr>
        <w:t>třetí kalendářní čtvrtletí 2013 po stanoveném termínu</w:t>
      </w:r>
      <w:r w:rsidR="00956227" w:rsidRPr="00D14358">
        <w:rPr>
          <w:rFonts w:cstheme="minorHAnsi"/>
          <w:sz w:val="24"/>
          <w:szCs w:val="24"/>
        </w:rPr>
        <w:t xml:space="preserve"> a když t</w:t>
      </w:r>
      <w:r w:rsidR="002F694B" w:rsidRPr="00D14358">
        <w:rPr>
          <w:rFonts w:cstheme="minorHAnsi"/>
          <w:sz w:val="24"/>
          <w:szCs w:val="24"/>
        </w:rPr>
        <w:t>abulky</w:t>
      </w:r>
      <w:r w:rsidR="00956227" w:rsidRPr="00D14358">
        <w:rPr>
          <w:rFonts w:cstheme="minorHAnsi"/>
          <w:sz w:val="24"/>
          <w:szCs w:val="24"/>
        </w:rPr>
        <w:t xml:space="preserve"> s údaji o stavu majetkových účastí</w:t>
      </w:r>
      <w:r w:rsidR="002F694B" w:rsidRPr="00D14358">
        <w:rPr>
          <w:rFonts w:cstheme="minorHAnsi"/>
          <w:sz w:val="24"/>
          <w:szCs w:val="24"/>
        </w:rPr>
        <w:t>, které</w:t>
      </w:r>
      <w:r w:rsidR="008500C3" w:rsidRPr="00D14358">
        <w:rPr>
          <w:rFonts w:cstheme="minorHAnsi"/>
          <w:sz w:val="24"/>
          <w:szCs w:val="24"/>
        </w:rPr>
        <w:t xml:space="preserve"> </w:t>
      </w:r>
      <w:r w:rsidR="002F694B" w:rsidRPr="00D14358">
        <w:rPr>
          <w:rFonts w:cstheme="minorHAnsi"/>
          <w:sz w:val="24"/>
          <w:szCs w:val="24"/>
        </w:rPr>
        <w:t>zpracovávalo</w:t>
      </w:r>
      <w:r w:rsidR="00CA46F0" w:rsidRPr="00D14358">
        <w:rPr>
          <w:rFonts w:cstheme="minorHAnsi"/>
          <w:sz w:val="24"/>
          <w:szCs w:val="24"/>
        </w:rPr>
        <w:t xml:space="preserve"> v kontrolovaném období</w:t>
      </w:r>
      <w:r w:rsidR="00931AB4" w:rsidRPr="00D14358">
        <w:rPr>
          <w:rFonts w:cstheme="minorHAnsi"/>
          <w:sz w:val="24"/>
          <w:szCs w:val="24"/>
        </w:rPr>
        <w:t>,</w:t>
      </w:r>
      <w:r w:rsidR="002F694B" w:rsidRPr="00D14358">
        <w:rPr>
          <w:rFonts w:cstheme="minorHAnsi"/>
          <w:sz w:val="24"/>
          <w:szCs w:val="24"/>
        </w:rPr>
        <w:t xml:space="preserve"> </w:t>
      </w:r>
      <w:r w:rsidR="00931AB4" w:rsidRPr="00D14358">
        <w:rPr>
          <w:rFonts w:cstheme="minorHAnsi"/>
          <w:sz w:val="24"/>
          <w:szCs w:val="24"/>
        </w:rPr>
        <w:t>nebyly vyplněny správně</w:t>
      </w:r>
      <w:r w:rsidR="00971ACD" w:rsidRPr="00D14358">
        <w:rPr>
          <w:rFonts w:cstheme="minorHAnsi"/>
          <w:sz w:val="24"/>
          <w:szCs w:val="24"/>
        </w:rPr>
        <w:t>.</w:t>
      </w:r>
      <w:r w:rsidR="002F694B" w:rsidRPr="00D14358">
        <w:rPr>
          <w:rFonts w:cstheme="minorHAnsi"/>
          <w:sz w:val="24"/>
          <w:szCs w:val="24"/>
        </w:rPr>
        <w:t xml:space="preserve"> </w:t>
      </w:r>
    </w:p>
    <w:p w14:paraId="44F7736B" w14:textId="77777777" w:rsidR="00971ACD" w:rsidRPr="00D14358" w:rsidRDefault="00971ACD" w:rsidP="00971ACD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4139D6C" w14:textId="6002451D" w:rsidR="001E2DA4" w:rsidRPr="00D14358" w:rsidRDefault="00971ACD" w:rsidP="00956227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b/>
          <w:sz w:val="24"/>
          <w:szCs w:val="24"/>
        </w:rPr>
        <w:t>MZe</w:t>
      </w:r>
      <w:r w:rsidRPr="00D14358">
        <w:rPr>
          <w:rFonts w:cstheme="minorHAnsi"/>
          <w:sz w:val="24"/>
          <w:szCs w:val="24"/>
        </w:rPr>
        <w:t xml:space="preserve"> </w:t>
      </w:r>
      <w:r w:rsidR="00435B75" w:rsidRPr="00D14358">
        <w:rPr>
          <w:rFonts w:cstheme="minorHAnsi"/>
          <w:sz w:val="24"/>
          <w:szCs w:val="24"/>
        </w:rPr>
        <w:t>nedodrželo</w:t>
      </w:r>
      <w:r w:rsidR="00A17054">
        <w:rPr>
          <w:rFonts w:cstheme="minorHAnsi"/>
          <w:sz w:val="24"/>
          <w:szCs w:val="24"/>
        </w:rPr>
        <w:t xml:space="preserve"> </w:t>
      </w:r>
      <w:r w:rsidR="00435B75" w:rsidRPr="00D14358">
        <w:rPr>
          <w:rFonts w:cstheme="minorHAnsi"/>
          <w:sz w:val="24"/>
          <w:szCs w:val="24"/>
        </w:rPr>
        <w:t>ustanovení § 2 vyhlášky č. 455/2008 Sb.</w:t>
      </w:r>
      <w:r w:rsidR="00D83A11">
        <w:rPr>
          <w:rFonts w:cstheme="minorHAnsi"/>
          <w:sz w:val="24"/>
          <w:szCs w:val="24"/>
          <w:vertAlign w:val="superscript"/>
        </w:rPr>
        <w:t>3</w:t>
      </w:r>
      <w:r w:rsidR="008500C3" w:rsidRPr="00D14358">
        <w:rPr>
          <w:rFonts w:cstheme="minorHAnsi"/>
          <w:sz w:val="24"/>
          <w:szCs w:val="24"/>
        </w:rPr>
        <w:t>, když</w:t>
      </w:r>
      <w:r w:rsidRPr="00D14358">
        <w:rPr>
          <w:rFonts w:cstheme="minorHAnsi"/>
          <w:sz w:val="24"/>
          <w:szCs w:val="24"/>
        </w:rPr>
        <w:t xml:space="preserve"> </w:t>
      </w:r>
      <w:r w:rsidR="00DC129F" w:rsidRPr="00D14358">
        <w:rPr>
          <w:rFonts w:cstheme="minorHAnsi"/>
          <w:sz w:val="24"/>
          <w:szCs w:val="24"/>
        </w:rPr>
        <w:t>M</w:t>
      </w:r>
      <w:r w:rsidR="00975A92">
        <w:rPr>
          <w:rFonts w:cstheme="minorHAnsi"/>
          <w:sz w:val="24"/>
          <w:szCs w:val="24"/>
        </w:rPr>
        <w:t>inisterstvu financí</w:t>
      </w:r>
      <w:r w:rsidR="00DC129F" w:rsidRPr="00D14358">
        <w:rPr>
          <w:rFonts w:cstheme="minorHAnsi"/>
          <w:sz w:val="24"/>
          <w:szCs w:val="24"/>
        </w:rPr>
        <w:t xml:space="preserve"> </w:t>
      </w:r>
      <w:r w:rsidR="008500C3" w:rsidRPr="00D14358">
        <w:rPr>
          <w:rFonts w:cstheme="minorHAnsi"/>
          <w:sz w:val="24"/>
          <w:szCs w:val="24"/>
        </w:rPr>
        <w:t xml:space="preserve">nepředložilo </w:t>
      </w:r>
      <w:r w:rsidR="00FE7DA7" w:rsidRPr="00D14358">
        <w:rPr>
          <w:rFonts w:cstheme="minorHAnsi"/>
          <w:sz w:val="24"/>
          <w:szCs w:val="24"/>
        </w:rPr>
        <w:t>tabulky s </w:t>
      </w:r>
      <w:r w:rsidR="00435B75" w:rsidRPr="00D14358">
        <w:rPr>
          <w:rFonts w:cstheme="minorHAnsi"/>
          <w:sz w:val="24"/>
          <w:szCs w:val="24"/>
        </w:rPr>
        <w:t>údaj</w:t>
      </w:r>
      <w:r w:rsidR="00956227" w:rsidRPr="00D14358">
        <w:rPr>
          <w:rFonts w:cstheme="minorHAnsi"/>
          <w:sz w:val="24"/>
          <w:szCs w:val="24"/>
        </w:rPr>
        <w:t>i</w:t>
      </w:r>
      <w:r w:rsidR="00435B75" w:rsidRPr="00D14358">
        <w:rPr>
          <w:rFonts w:cstheme="minorHAnsi"/>
          <w:sz w:val="24"/>
          <w:szCs w:val="24"/>
        </w:rPr>
        <w:t xml:space="preserve"> o stavu majetkových účastí</w:t>
      </w:r>
      <w:r w:rsidR="008500C3" w:rsidRPr="00D14358">
        <w:rPr>
          <w:rFonts w:cstheme="minorHAnsi"/>
          <w:sz w:val="24"/>
          <w:szCs w:val="24"/>
        </w:rPr>
        <w:t xml:space="preserve">, </w:t>
      </w:r>
      <w:r w:rsidR="00435B75" w:rsidRPr="00D14358">
        <w:rPr>
          <w:rFonts w:cstheme="minorHAnsi"/>
          <w:sz w:val="24"/>
          <w:szCs w:val="24"/>
        </w:rPr>
        <w:t>přestože v kontrolovaném období</w:t>
      </w:r>
      <w:r w:rsidR="008500C3" w:rsidRPr="00D14358">
        <w:rPr>
          <w:rFonts w:cstheme="minorHAnsi"/>
          <w:sz w:val="24"/>
          <w:szCs w:val="24"/>
        </w:rPr>
        <w:t xml:space="preserve"> bylo příslušné hospodařit s</w:t>
      </w:r>
      <w:r w:rsidR="00227DB3" w:rsidRPr="00D14358">
        <w:rPr>
          <w:rFonts w:cstheme="minorHAnsi"/>
          <w:sz w:val="24"/>
          <w:szCs w:val="24"/>
        </w:rPr>
        <w:t> majetkovými účastmi</w:t>
      </w:r>
      <w:r w:rsidR="00435B75" w:rsidRPr="00D14358">
        <w:rPr>
          <w:rFonts w:cstheme="minorHAnsi"/>
          <w:sz w:val="24"/>
          <w:szCs w:val="24"/>
        </w:rPr>
        <w:t xml:space="preserve"> v sedmi obchodních společnostech</w:t>
      </w:r>
      <w:r w:rsidR="008500C3" w:rsidRPr="00D14358">
        <w:rPr>
          <w:rFonts w:cstheme="minorHAnsi"/>
          <w:sz w:val="24"/>
          <w:szCs w:val="24"/>
        </w:rPr>
        <w:t>.</w:t>
      </w:r>
    </w:p>
    <w:p w14:paraId="5F8B11FF" w14:textId="77777777" w:rsidR="00956227" w:rsidRPr="00D14358" w:rsidRDefault="00956227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753E54B3" w14:textId="77777777" w:rsidR="009B578B" w:rsidRPr="00D83A11" w:rsidRDefault="0039075F" w:rsidP="001D61A4">
      <w:pPr>
        <w:spacing w:after="0" w:line="240" w:lineRule="auto"/>
        <w:jc w:val="both"/>
        <w:rPr>
          <w:rFonts w:cstheme="minorHAnsi"/>
          <w:sz w:val="24"/>
          <w:szCs w:val="24"/>
          <w:vertAlign w:val="superscript"/>
        </w:rPr>
      </w:pPr>
      <w:r w:rsidRPr="00D14358">
        <w:rPr>
          <w:rFonts w:cstheme="minorHAnsi"/>
          <w:b/>
          <w:sz w:val="24"/>
          <w:szCs w:val="24"/>
        </w:rPr>
        <w:t>6</w:t>
      </w:r>
      <w:r w:rsidR="00932158" w:rsidRPr="00D14358">
        <w:rPr>
          <w:rFonts w:cstheme="minorHAnsi"/>
          <w:b/>
          <w:sz w:val="24"/>
          <w:szCs w:val="24"/>
        </w:rPr>
        <w:t xml:space="preserve">. </w:t>
      </w:r>
      <w:r w:rsidR="001D61A4" w:rsidRPr="00D14358">
        <w:rPr>
          <w:rFonts w:cstheme="minorHAnsi"/>
          <w:b/>
          <w:sz w:val="24"/>
          <w:szCs w:val="24"/>
        </w:rPr>
        <w:t>D</w:t>
      </w:r>
      <w:r w:rsidR="001E2DA4" w:rsidRPr="00D14358">
        <w:rPr>
          <w:rFonts w:cstheme="minorHAnsi"/>
          <w:b/>
          <w:sz w:val="24"/>
          <w:szCs w:val="24"/>
        </w:rPr>
        <w:t>održování vyhlášky č. 419/2001 Sb.</w:t>
      </w:r>
      <w:r w:rsidR="00D83A11" w:rsidRPr="00D83A11">
        <w:rPr>
          <w:rFonts w:cstheme="minorHAnsi"/>
          <w:sz w:val="24"/>
          <w:szCs w:val="24"/>
          <w:vertAlign w:val="superscript"/>
        </w:rPr>
        <w:t>4</w:t>
      </w:r>
    </w:p>
    <w:p w14:paraId="73445AE6" w14:textId="77777777" w:rsidR="00CC2CC4" w:rsidRPr="00CC2CC4" w:rsidRDefault="00CC2CC4" w:rsidP="008E2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20601DC5" w14:textId="330866FE" w:rsidR="001E2DA4" w:rsidRPr="00D83A11" w:rsidRDefault="00DC129F" w:rsidP="008E2EEE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sz w:val="24"/>
          <w:szCs w:val="24"/>
          <w:vertAlign w:val="superscript"/>
          <w:lang w:eastAsia="cs-CZ"/>
        </w:rPr>
      </w:pPr>
      <w:r w:rsidRPr="00D14358">
        <w:rPr>
          <w:rFonts w:cstheme="minorHAnsi"/>
          <w:b/>
          <w:sz w:val="24"/>
          <w:szCs w:val="24"/>
          <w:lang w:eastAsia="cs-CZ"/>
        </w:rPr>
        <w:t>MF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FA05BF" w:rsidRPr="00D14358">
        <w:rPr>
          <w:rFonts w:cstheme="minorHAnsi"/>
          <w:sz w:val="24"/>
          <w:szCs w:val="24"/>
          <w:lang w:eastAsia="cs-CZ"/>
        </w:rPr>
        <w:t>–</w:t>
      </w:r>
      <w:r w:rsidRPr="00D14358">
        <w:rPr>
          <w:rFonts w:cstheme="minorHAnsi"/>
          <w:sz w:val="24"/>
          <w:szCs w:val="24"/>
          <w:lang w:eastAsia="cs-CZ"/>
        </w:rPr>
        <w:t xml:space="preserve"> </w:t>
      </w:r>
      <w:r w:rsidR="00975A92">
        <w:rPr>
          <w:rFonts w:cstheme="minorHAnsi"/>
          <w:sz w:val="24"/>
          <w:szCs w:val="24"/>
          <w:lang w:eastAsia="cs-CZ"/>
        </w:rPr>
        <w:t>V</w:t>
      </w:r>
      <w:r w:rsidR="00B90267" w:rsidRPr="00D14358">
        <w:rPr>
          <w:rFonts w:cstheme="minorHAnsi"/>
          <w:sz w:val="24"/>
          <w:szCs w:val="24"/>
          <w:lang w:eastAsia="cs-CZ"/>
        </w:rPr>
        <w:t xml:space="preserve"> závěrečných účtech kapitoly 312 – </w:t>
      </w:r>
      <w:r w:rsidR="00B90267" w:rsidRPr="00485081">
        <w:rPr>
          <w:rFonts w:cstheme="minorHAnsi"/>
          <w:i/>
          <w:sz w:val="24"/>
          <w:szCs w:val="24"/>
          <w:lang w:eastAsia="cs-CZ"/>
        </w:rPr>
        <w:t>Ministerstvo financí</w:t>
      </w:r>
      <w:r w:rsidR="00B90267" w:rsidRPr="00D14358">
        <w:rPr>
          <w:rFonts w:cstheme="minorHAnsi"/>
          <w:sz w:val="24"/>
          <w:szCs w:val="24"/>
          <w:lang w:eastAsia="cs-CZ"/>
        </w:rPr>
        <w:t xml:space="preserve"> za roky 2013 i 2014 MF uvedlo, že majetkové účasti patřící do jeho správy jsou zařazeny do kapitoly 397 – </w:t>
      </w:r>
      <w:r w:rsidR="00B90267" w:rsidRPr="00485081">
        <w:rPr>
          <w:rFonts w:cstheme="minorHAnsi"/>
          <w:i/>
          <w:sz w:val="24"/>
          <w:szCs w:val="24"/>
          <w:lang w:eastAsia="cs-CZ"/>
        </w:rPr>
        <w:t>Operace státních finančních aktiv</w:t>
      </w:r>
      <w:r w:rsidR="00B90267" w:rsidRPr="00D14358">
        <w:rPr>
          <w:rFonts w:cstheme="minorHAnsi"/>
          <w:sz w:val="24"/>
          <w:szCs w:val="24"/>
          <w:lang w:eastAsia="cs-CZ"/>
        </w:rPr>
        <w:t>. V závěrečných účtech kapitoly 397 za roky 2013 a 2014 však MF jako správce této kapitoly žádný přehled majetkových účastí státu</w:t>
      </w:r>
      <w:r w:rsidR="00975A92">
        <w:rPr>
          <w:rFonts w:cstheme="minorHAnsi"/>
          <w:sz w:val="24"/>
          <w:szCs w:val="24"/>
          <w:lang w:eastAsia="cs-CZ"/>
        </w:rPr>
        <w:t xml:space="preserve"> spravovaných resortem financí</w:t>
      </w:r>
      <w:r w:rsidR="00B90267" w:rsidRPr="00D14358">
        <w:rPr>
          <w:rFonts w:cstheme="minorHAnsi"/>
          <w:sz w:val="24"/>
          <w:szCs w:val="24"/>
          <w:lang w:eastAsia="cs-CZ"/>
        </w:rPr>
        <w:t xml:space="preserve"> neuvedlo. </w:t>
      </w:r>
      <w:r w:rsidR="00975A92">
        <w:rPr>
          <w:rFonts w:cstheme="minorHAnsi"/>
          <w:sz w:val="24"/>
          <w:szCs w:val="24"/>
          <w:lang w:eastAsia="cs-CZ"/>
        </w:rPr>
        <w:t>N</w:t>
      </w:r>
      <w:r w:rsidR="00B90267" w:rsidRPr="00D14358">
        <w:rPr>
          <w:rFonts w:cstheme="minorHAnsi"/>
          <w:sz w:val="24"/>
          <w:szCs w:val="24"/>
          <w:lang w:eastAsia="cs-CZ"/>
        </w:rPr>
        <w:t xml:space="preserve">epostupovalo </w:t>
      </w:r>
      <w:r w:rsidR="00975A92">
        <w:rPr>
          <w:rFonts w:cstheme="minorHAnsi"/>
          <w:sz w:val="24"/>
          <w:szCs w:val="24"/>
          <w:lang w:eastAsia="cs-CZ"/>
        </w:rPr>
        <w:t xml:space="preserve">tedy </w:t>
      </w:r>
      <w:r w:rsidR="00B90267" w:rsidRPr="00D14358">
        <w:rPr>
          <w:rFonts w:cstheme="minorHAnsi"/>
          <w:sz w:val="24"/>
          <w:szCs w:val="24"/>
          <w:lang w:eastAsia="cs-CZ"/>
        </w:rPr>
        <w:t>v souladu s vyhláškou č. 419/2001 Sb.</w:t>
      </w:r>
      <w:r w:rsidR="00D83A11">
        <w:rPr>
          <w:rFonts w:cstheme="minorHAnsi"/>
          <w:sz w:val="24"/>
          <w:szCs w:val="24"/>
          <w:vertAlign w:val="superscript"/>
          <w:lang w:eastAsia="cs-CZ"/>
        </w:rPr>
        <w:t>4</w:t>
      </w:r>
    </w:p>
    <w:p w14:paraId="2262DDEB" w14:textId="77777777" w:rsidR="00CC2CC4" w:rsidRDefault="00CC2CC4" w:rsidP="00A75629">
      <w:pPr>
        <w:spacing w:after="0" w:line="240" w:lineRule="auto"/>
        <w:jc w:val="both"/>
        <w:rPr>
          <w:rFonts w:cstheme="minorHAnsi"/>
          <w:sz w:val="24"/>
          <w:szCs w:val="24"/>
          <w:lang w:eastAsia="cs-CZ"/>
        </w:rPr>
      </w:pPr>
    </w:p>
    <w:p w14:paraId="45E8418F" w14:textId="6463DE56" w:rsidR="00B90267" w:rsidRPr="00D14358" w:rsidRDefault="00B90267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D14358">
        <w:rPr>
          <w:rFonts w:cstheme="minorHAnsi"/>
          <w:sz w:val="24"/>
          <w:szCs w:val="24"/>
          <w:lang w:eastAsia="cs-CZ"/>
        </w:rPr>
        <w:t xml:space="preserve">Přehled majetkových účastí státu v obchodních společnostech, s nimiž bylo </w:t>
      </w:r>
      <w:r w:rsidR="00975A92" w:rsidRPr="00D14358">
        <w:rPr>
          <w:rFonts w:cstheme="minorHAnsi"/>
          <w:sz w:val="24"/>
          <w:szCs w:val="24"/>
          <w:lang w:eastAsia="cs-CZ"/>
        </w:rPr>
        <w:t xml:space="preserve">MF </w:t>
      </w:r>
      <w:r w:rsidRPr="00D14358">
        <w:rPr>
          <w:rFonts w:cstheme="minorHAnsi"/>
          <w:sz w:val="24"/>
          <w:szCs w:val="24"/>
          <w:lang w:eastAsia="cs-CZ"/>
        </w:rPr>
        <w:t>příslušné hospodařit, uvedlo pouze v závěrečné</w:t>
      </w:r>
      <w:r w:rsidR="00313A9B" w:rsidRPr="00D14358">
        <w:rPr>
          <w:rFonts w:cstheme="minorHAnsi"/>
          <w:sz w:val="24"/>
          <w:szCs w:val="24"/>
          <w:lang w:eastAsia="cs-CZ"/>
        </w:rPr>
        <w:t>m</w:t>
      </w:r>
      <w:r w:rsidRPr="00D14358">
        <w:rPr>
          <w:rFonts w:cstheme="minorHAnsi"/>
          <w:sz w:val="24"/>
          <w:szCs w:val="24"/>
          <w:lang w:eastAsia="cs-CZ"/>
        </w:rPr>
        <w:t xml:space="preserve"> účtu kapitoly 312 za rok 2014, i když v této kapitole nebyly žádné majetkové účasti státu zařazeny.</w:t>
      </w:r>
    </w:p>
    <w:p w14:paraId="7A27E5D6" w14:textId="77777777" w:rsidR="008418EE" w:rsidRPr="00D14358" w:rsidRDefault="008418EE" w:rsidP="00A75629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67A9293E" w14:textId="5352F66A" w:rsidR="008C2E31" w:rsidRPr="00D476B7" w:rsidRDefault="00DC129F" w:rsidP="006E46CD">
      <w:pPr>
        <w:spacing w:after="0" w:line="240" w:lineRule="auto"/>
        <w:jc w:val="both"/>
        <w:rPr>
          <w:rFonts w:cstheme="minorHAnsi"/>
          <w:bCs/>
          <w:iCs/>
          <w:sz w:val="24"/>
          <w:szCs w:val="24"/>
        </w:rPr>
      </w:pPr>
      <w:r w:rsidRPr="006E46CD">
        <w:rPr>
          <w:rFonts w:cstheme="minorHAnsi"/>
          <w:b/>
          <w:sz w:val="24"/>
          <w:szCs w:val="24"/>
        </w:rPr>
        <w:t>MPO</w:t>
      </w:r>
      <w:r w:rsidRPr="006E46CD">
        <w:rPr>
          <w:rFonts w:cstheme="minorHAnsi"/>
          <w:sz w:val="24"/>
          <w:szCs w:val="24"/>
        </w:rPr>
        <w:t xml:space="preserve"> </w:t>
      </w:r>
      <w:r w:rsidR="00975A92">
        <w:rPr>
          <w:rFonts w:cstheme="minorHAnsi"/>
          <w:sz w:val="24"/>
          <w:szCs w:val="24"/>
          <w:lang w:eastAsia="cs-CZ"/>
        </w:rPr>
        <w:t>nesplnilo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povinnost stanovenou vyhlášk</w:t>
      </w:r>
      <w:r w:rsidR="00F439B7" w:rsidRPr="006E46CD">
        <w:rPr>
          <w:rFonts w:cstheme="minorHAnsi"/>
          <w:sz w:val="24"/>
          <w:szCs w:val="24"/>
          <w:lang w:eastAsia="cs-CZ"/>
        </w:rPr>
        <w:t>ou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č. 419/2001 Sb.</w:t>
      </w:r>
      <w:r w:rsidR="00D83A11">
        <w:rPr>
          <w:rFonts w:cstheme="minorHAnsi"/>
          <w:sz w:val="24"/>
          <w:szCs w:val="24"/>
          <w:vertAlign w:val="superscript"/>
          <w:lang w:eastAsia="cs-CZ"/>
        </w:rPr>
        <w:t>4</w:t>
      </w:r>
      <w:r w:rsidR="0034632C">
        <w:rPr>
          <w:rFonts w:cstheme="minorHAnsi"/>
          <w:sz w:val="24"/>
          <w:szCs w:val="24"/>
          <w:lang w:eastAsia="cs-CZ"/>
        </w:rPr>
        <w:t>,</w:t>
      </w:r>
      <w:r w:rsidR="003D3D42">
        <w:rPr>
          <w:rFonts w:cstheme="minorHAnsi"/>
          <w:sz w:val="24"/>
          <w:szCs w:val="24"/>
          <w:lang w:eastAsia="cs-CZ"/>
        </w:rPr>
        <w:t xml:space="preserve"> </w:t>
      </w:r>
      <w:r w:rsidR="00AC6B56">
        <w:rPr>
          <w:rFonts w:cstheme="minorHAnsi"/>
          <w:sz w:val="24"/>
          <w:szCs w:val="24"/>
          <w:lang w:eastAsia="cs-CZ"/>
        </w:rPr>
        <w:t xml:space="preserve">když </w:t>
      </w:r>
      <w:r w:rsidR="00F439B7" w:rsidRPr="006E46CD">
        <w:rPr>
          <w:rFonts w:cstheme="minorHAnsi"/>
          <w:sz w:val="24"/>
          <w:szCs w:val="24"/>
          <w:lang w:eastAsia="cs-CZ"/>
        </w:rPr>
        <w:t>v</w:t>
      </w:r>
      <w:r w:rsidR="005D3744" w:rsidRPr="006E46CD">
        <w:rPr>
          <w:rFonts w:cstheme="minorHAnsi"/>
          <w:sz w:val="24"/>
          <w:szCs w:val="24"/>
          <w:lang w:eastAsia="cs-CZ"/>
        </w:rPr>
        <w:t> </w:t>
      </w:r>
      <w:r w:rsidR="009B578B" w:rsidRPr="006E46CD">
        <w:rPr>
          <w:rFonts w:cstheme="minorHAnsi"/>
          <w:sz w:val="24"/>
          <w:szCs w:val="24"/>
          <w:lang w:eastAsia="cs-CZ"/>
        </w:rPr>
        <w:t>závěrečn</w:t>
      </w:r>
      <w:r w:rsidR="00F439B7" w:rsidRPr="006E46CD">
        <w:rPr>
          <w:rFonts w:cstheme="minorHAnsi"/>
          <w:sz w:val="24"/>
          <w:szCs w:val="24"/>
          <w:lang w:eastAsia="cs-CZ"/>
        </w:rPr>
        <w:t>ém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</w:t>
      </w:r>
      <w:r w:rsidR="00F439B7" w:rsidRPr="006E46CD">
        <w:rPr>
          <w:rFonts w:cstheme="minorHAnsi"/>
          <w:sz w:val="24"/>
          <w:szCs w:val="24"/>
          <w:lang w:eastAsia="cs-CZ"/>
        </w:rPr>
        <w:t>účtu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kapitoly 322 </w:t>
      </w:r>
      <w:r w:rsidR="00FA05BF">
        <w:rPr>
          <w:rFonts w:cstheme="minorHAnsi"/>
          <w:sz w:val="24"/>
          <w:szCs w:val="24"/>
          <w:lang w:eastAsia="cs-CZ"/>
        </w:rPr>
        <w:t>–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</w:t>
      </w:r>
      <w:r w:rsidR="009B578B" w:rsidRPr="00485081">
        <w:rPr>
          <w:rFonts w:cstheme="minorHAnsi"/>
          <w:i/>
          <w:sz w:val="24"/>
          <w:szCs w:val="24"/>
          <w:lang w:eastAsia="cs-CZ"/>
        </w:rPr>
        <w:t>Ministerstvo průmyslu a obchodu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za rok 2014 </w:t>
      </w:r>
      <w:r w:rsidR="00F439B7" w:rsidRPr="006E46CD">
        <w:rPr>
          <w:rFonts w:cstheme="minorHAnsi"/>
          <w:sz w:val="24"/>
          <w:szCs w:val="24"/>
          <w:lang w:eastAsia="cs-CZ"/>
        </w:rPr>
        <w:t>neuvedlo</w:t>
      </w:r>
      <w:r w:rsidR="009B578B" w:rsidRPr="006E46CD">
        <w:rPr>
          <w:rFonts w:cstheme="minorHAnsi"/>
          <w:sz w:val="24"/>
          <w:szCs w:val="24"/>
          <w:lang w:eastAsia="cs-CZ"/>
        </w:rPr>
        <w:t xml:space="preserve"> </w:t>
      </w:r>
      <w:r w:rsidR="009E1C90" w:rsidRPr="00D476B7">
        <w:rPr>
          <w:rFonts w:cstheme="minorHAnsi"/>
          <w:sz w:val="24"/>
          <w:szCs w:val="24"/>
          <w:lang w:eastAsia="cs-CZ"/>
        </w:rPr>
        <w:t xml:space="preserve">úplný </w:t>
      </w:r>
      <w:r w:rsidR="00F5363A" w:rsidRPr="00D476B7">
        <w:rPr>
          <w:rFonts w:cstheme="minorHAnsi"/>
          <w:sz w:val="24"/>
          <w:szCs w:val="24"/>
          <w:lang w:eastAsia="cs-CZ"/>
        </w:rPr>
        <w:t xml:space="preserve">přehled majetkových účastí státu v tuzemských společnostech, </w:t>
      </w:r>
      <w:r w:rsidR="009B578B" w:rsidRPr="00D476B7">
        <w:rPr>
          <w:rFonts w:cstheme="minorHAnsi"/>
          <w:sz w:val="24"/>
          <w:szCs w:val="24"/>
          <w:lang w:eastAsia="cs-CZ"/>
        </w:rPr>
        <w:t>se kterými bylo v daném roce příslušné hospodařit</w:t>
      </w:r>
      <w:r w:rsidR="009B578B" w:rsidRPr="00D476B7">
        <w:rPr>
          <w:rFonts w:cstheme="minorHAnsi"/>
          <w:bCs/>
          <w:iCs/>
          <w:sz w:val="24"/>
          <w:szCs w:val="24"/>
        </w:rPr>
        <w:t>.</w:t>
      </w:r>
    </w:p>
    <w:p w14:paraId="5FA01BF1" w14:textId="77777777" w:rsidR="00754D81" w:rsidRDefault="00754D8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br w:type="page"/>
      </w:r>
    </w:p>
    <w:p w14:paraId="1C5CE663" w14:textId="77777777" w:rsidR="00754D81" w:rsidRPr="00485081" w:rsidRDefault="00754D81" w:rsidP="00135B61">
      <w:pPr>
        <w:spacing w:after="0" w:line="240" w:lineRule="auto"/>
        <w:jc w:val="right"/>
        <w:rPr>
          <w:rFonts w:cstheme="minorHAnsi"/>
          <w:b/>
          <w:bCs/>
          <w:iCs/>
          <w:sz w:val="24"/>
          <w:szCs w:val="24"/>
        </w:rPr>
      </w:pPr>
      <w:r w:rsidRPr="00485081">
        <w:rPr>
          <w:rFonts w:cstheme="minorHAnsi"/>
          <w:b/>
          <w:bCs/>
          <w:iCs/>
          <w:sz w:val="24"/>
          <w:szCs w:val="24"/>
        </w:rPr>
        <w:lastRenderedPageBreak/>
        <w:t>Příloha č. 1</w:t>
      </w:r>
    </w:p>
    <w:p w14:paraId="32FF24C7" w14:textId="77777777" w:rsidR="00754D81" w:rsidRDefault="00754D81" w:rsidP="00754D81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FC08E2">
        <w:rPr>
          <w:rFonts w:cstheme="minorHAnsi"/>
          <w:b/>
          <w:bCs/>
          <w:iCs/>
          <w:sz w:val="24"/>
          <w:szCs w:val="24"/>
        </w:rPr>
        <w:t>Přehled kontrolovaných majetkových účastí státu ve správě MF</w:t>
      </w:r>
    </w:p>
    <w:p w14:paraId="0132C4B5" w14:textId="77777777" w:rsidR="007F6BB2" w:rsidRPr="007F6BB2" w:rsidRDefault="007F6BB2" w:rsidP="00754D81">
      <w:pPr>
        <w:spacing w:after="0" w:line="240" w:lineRule="auto"/>
        <w:rPr>
          <w:rFonts w:cstheme="minorHAnsi"/>
          <w:bCs/>
          <w:iCs/>
          <w:sz w:val="24"/>
          <w:szCs w:val="24"/>
        </w:rPr>
      </w:pPr>
    </w:p>
    <w:tbl>
      <w:tblPr>
        <w:tblStyle w:val="Mkatabulky"/>
        <w:tblW w:w="941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5"/>
        <w:gridCol w:w="1871"/>
        <w:gridCol w:w="2098"/>
        <w:gridCol w:w="1417"/>
      </w:tblGrid>
      <w:tr w:rsidR="00754D81" w:rsidRPr="007F6BB2" w14:paraId="57233BF4" w14:textId="77777777" w:rsidTr="007F6BB2">
        <w:trPr>
          <w:trHeight w:val="227"/>
        </w:trPr>
        <w:tc>
          <w:tcPr>
            <w:tcW w:w="4025" w:type="dxa"/>
            <w:shd w:val="clear" w:color="auto" w:fill="DAEEF3" w:themeFill="accent5" w:themeFillTint="33"/>
            <w:vAlign w:val="center"/>
          </w:tcPr>
          <w:p w14:paraId="13B10223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/>
                <w:bCs/>
                <w:iCs/>
              </w:rPr>
            </w:pPr>
            <w:r w:rsidRPr="007F6BB2">
              <w:rPr>
                <w:rFonts w:ascii="Calibri" w:hAnsi="Calibri" w:cs="Calibri"/>
                <w:b/>
                <w:bCs/>
                <w:iCs/>
              </w:rPr>
              <w:t>Obchodní společnost</w:t>
            </w:r>
          </w:p>
        </w:tc>
        <w:tc>
          <w:tcPr>
            <w:tcW w:w="1871" w:type="dxa"/>
            <w:shd w:val="clear" w:color="auto" w:fill="DAEEF3" w:themeFill="accent5" w:themeFillTint="33"/>
            <w:vAlign w:val="center"/>
          </w:tcPr>
          <w:p w14:paraId="08ABBCE8" w14:textId="77777777" w:rsidR="00754D81" w:rsidRPr="007F6BB2" w:rsidRDefault="00754D81" w:rsidP="007F6BB2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F6BB2">
              <w:rPr>
                <w:rFonts w:ascii="Calibri" w:hAnsi="Calibri" w:cs="Calibri"/>
                <w:b/>
                <w:bCs/>
                <w:iCs/>
              </w:rPr>
              <w:t>Základní kapitál společnosti k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31.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12. 2014</w:t>
            </w:r>
            <w:r w:rsidR="00307745" w:rsidRPr="007F6BB2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(v Kč)</w:t>
            </w:r>
          </w:p>
        </w:tc>
        <w:tc>
          <w:tcPr>
            <w:tcW w:w="2098" w:type="dxa"/>
            <w:shd w:val="clear" w:color="auto" w:fill="DAEEF3" w:themeFill="accent5" w:themeFillTint="33"/>
            <w:vAlign w:val="center"/>
          </w:tcPr>
          <w:p w14:paraId="3F7AB423" w14:textId="77777777" w:rsidR="00754D81" w:rsidRPr="007F6BB2" w:rsidRDefault="00754D81" w:rsidP="007F6BB2">
            <w:pPr>
              <w:spacing w:before="60" w:after="60"/>
              <w:jc w:val="center"/>
              <w:rPr>
                <w:rFonts w:ascii="Calibri" w:hAnsi="Calibri" w:cs="Calibri"/>
                <w:b/>
                <w:bCs/>
                <w:iCs/>
              </w:rPr>
            </w:pPr>
            <w:r w:rsidRPr="007F6BB2">
              <w:rPr>
                <w:rFonts w:ascii="Calibri" w:hAnsi="Calibri" w:cs="Calibri"/>
                <w:b/>
                <w:bCs/>
                <w:iCs/>
              </w:rPr>
              <w:t>Celková jmenovitá hodnota akcií a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podílů k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31.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12.</w:t>
            </w:r>
            <w:r w:rsidR="007F6BB2">
              <w:rPr>
                <w:rFonts w:ascii="Calibri" w:hAnsi="Calibri" w:cs="Calibri"/>
                <w:b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/>
                <w:bCs/>
                <w:iCs/>
              </w:rPr>
              <w:t>2014 (v Kč)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15D661C" w14:textId="77777777" w:rsidR="00754D81" w:rsidRPr="007F6BB2" w:rsidRDefault="00754D81" w:rsidP="007F6BB2">
            <w:pPr>
              <w:spacing w:before="60" w:after="60"/>
              <w:jc w:val="center"/>
              <w:rPr>
                <w:rFonts w:ascii="Calibri" w:hAnsi="Calibri" w:cs="Calibri"/>
                <w:b/>
              </w:rPr>
            </w:pPr>
            <w:r w:rsidRPr="007F6BB2">
              <w:rPr>
                <w:rFonts w:ascii="Calibri" w:hAnsi="Calibri" w:cs="Calibri"/>
                <w:b/>
                <w:bCs/>
                <w:iCs/>
              </w:rPr>
              <w:t>% držení</w:t>
            </w:r>
            <w:r w:rsidR="007F6BB2">
              <w:rPr>
                <w:rFonts w:ascii="Calibri" w:hAnsi="Calibri" w:cs="Calibri"/>
                <w:b/>
                <w:bCs/>
                <w:iCs/>
              </w:rPr>
              <w:t xml:space="preserve"> </w:t>
            </w:r>
            <w:r w:rsidRPr="007F6BB2">
              <w:rPr>
                <w:rFonts w:ascii="Calibri" w:hAnsi="Calibri" w:cs="Calibri"/>
                <w:b/>
              </w:rPr>
              <w:t>k 31.</w:t>
            </w:r>
            <w:r w:rsidR="007F6BB2">
              <w:rPr>
                <w:rFonts w:ascii="Calibri" w:hAnsi="Calibri" w:cs="Calibri"/>
                <w:b/>
              </w:rPr>
              <w:t> </w:t>
            </w:r>
            <w:r w:rsidRPr="007F6BB2">
              <w:rPr>
                <w:rFonts w:ascii="Calibri" w:hAnsi="Calibri" w:cs="Calibri"/>
                <w:b/>
              </w:rPr>
              <w:t>12.</w:t>
            </w:r>
            <w:r w:rsidR="007F6BB2">
              <w:rPr>
                <w:rFonts w:ascii="Calibri" w:hAnsi="Calibri" w:cs="Calibri"/>
                <w:b/>
              </w:rPr>
              <w:t> </w:t>
            </w:r>
            <w:r w:rsidRPr="007F6BB2">
              <w:rPr>
                <w:rFonts w:ascii="Calibri" w:hAnsi="Calibri" w:cs="Calibri"/>
                <w:b/>
              </w:rPr>
              <w:t>2014</w:t>
            </w:r>
          </w:p>
        </w:tc>
      </w:tr>
      <w:tr w:rsidR="00754D81" w:rsidRPr="007F6BB2" w14:paraId="3A80762E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7DBFDC2C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</w:rPr>
            </w:pPr>
            <w:r w:rsidRPr="007F6BB2">
              <w:rPr>
                <w:rFonts w:ascii="Calibri" w:hAnsi="Calibri" w:cs="Calibri"/>
              </w:rPr>
              <w:t>PRISKO a.s.</w:t>
            </w:r>
          </w:p>
        </w:tc>
        <w:tc>
          <w:tcPr>
            <w:tcW w:w="1871" w:type="dxa"/>
            <w:vAlign w:val="center"/>
          </w:tcPr>
          <w:p w14:paraId="446E90B3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794 760 000</w:t>
            </w:r>
          </w:p>
        </w:tc>
        <w:tc>
          <w:tcPr>
            <w:tcW w:w="2098" w:type="dxa"/>
            <w:vAlign w:val="center"/>
          </w:tcPr>
          <w:p w14:paraId="60B201A9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794 760 000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27F69A0C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64C412BC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6D42A8E9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IMOB a.s.</w:t>
            </w:r>
          </w:p>
        </w:tc>
        <w:tc>
          <w:tcPr>
            <w:tcW w:w="1871" w:type="dxa"/>
            <w:vAlign w:val="center"/>
          </w:tcPr>
          <w:p w14:paraId="3156E98F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2 200 000</w:t>
            </w:r>
          </w:p>
        </w:tc>
        <w:tc>
          <w:tcPr>
            <w:tcW w:w="2098" w:type="dxa"/>
            <w:vAlign w:val="center"/>
          </w:tcPr>
          <w:p w14:paraId="6E4AD09D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2 200 000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473203AE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15EE7AB4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10F9F0C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GALILEO REAL, k.s.</w:t>
            </w:r>
          </w:p>
        </w:tc>
        <w:tc>
          <w:tcPr>
            <w:tcW w:w="1871" w:type="dxa"/>
            <w:vAlign w:val="center"/>
          </w:tcPr>
          <w:p w14:paraId="5F5566A6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2 466 000 000</w:t>
            </w:r>
          </w:p>
        </w:tc>
        <w:tc>
          <w:tcPr>
            <w:tcW w:w="2098" w:type="dxa"/>
            <w:vAlign w:val="center"/>
          </w:tcPr>
          <w:p w14:paraId="6A4FDF98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2 466 000 000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1541BCA3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76E9705F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78E61BC9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</w:rPr>
            </w:pPr>
            <w:r w:rsidRPr="007F6BB2">
              <w:rPr>
                <w:rFonts w:ascii="Calibri" w:hAnsi="Calibri" w:cs="Calibri"/>
              </w:rPr>
              <w:t>Kongresové centrum Praha, a.s.</w:t>
            </w:r>
          </w:p>
        </w:tc>
        <w:tc>
          <w:tcPr>
            <w:tcW w:w="1871" w:type="dxa"/>
            <w:vAlign w:val="center"/>
          </w:tcPr>
          <w:p w14:paraId="2EC4EA67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3 680 000 000</w:t>
            </w:r>
          </w:p>
        </w:tc>
        <w:tc>
          <w:tcPr>
            <w:tcW w:w="2098" w:type="dxa"/>
            <w:vAlign w:val="center"/>
          </w:tcPr>
          <w:p w14:paraId="536138F9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2 000 000 000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53D39434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54,35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4D7A5079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7488D269" w14:textId="30C42271" w:rsidR="00754D81" w:rsidRPr="007F6BB2" w:rsidRDefault="00754D81" w:rsidP="00E57F26">
            <w:pPr>
              <w:spacing w:before="60" w:after="60"/>
              <w:rPr>
                <w:rFonts w:ascii="Calibri" w:hAnsi="Calibri" w:cs="Calibri"/>
                <w:vertAlign w:val="superscript"/>
              </w:rPr>
            </w:pPr>
            <w:r w:rsidRPr="007F6BB2">
              <w:rPr>
                <w:rFonts w:ascii="Calibri" w:hAnsi="Calibri" w:cs="Calibri"/>
              </w:rPr>
              <w:t>Explosia a.s.*</w:t>
            </w:r>
          </w:p>
        </w:tc>
        <w:tc>
          <w:tcPr>
            <w:tcW w:w="1871" w:type="dxa"/>
            <w:vAlign w:val="center"/>
          </w:tcPr>
          <w:p w14:paraId="3FFD078C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  <w:tc>
          <w:tcPr>
            <w:tcW w:w="2098" w:type="dxa"/>
            <w:vAlign w:val="center"/>
          </w:tcPr>
          <w:p w14:paraId="69175402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  <w:tc>
          <w:tcPr>
            <w:tcW w:w="1417" w:type="dxa"/>
            <w:vAlign w:val="center"/>
          </w:tcPr>
          <w:p w14:paraId="3EFEBBE0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  <w:highlight w:val="yellow"/>
              </w:rPr>
            </w:pPr>
          </w:p>
        </w:tc>
      </w:tr>
      <w:tr w:rsidR="00754D81" w:rsidRPr="007F6BB2" w14:paraId="7655E415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686E1276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MUFIS a.s.</w:t>
            </w:r>
          </w:p>
        </w:tc>
        <w:tc>
          <w:tcPr>
            <w:tcW w:w="1871" w:type="dxa"/>
            <w:vAlign w:val="center"/>
          </w:tcPr>
          <w:p w14:paraId="61C73745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2 000 000</w:t>
            </w:r>
          </w:p>
        </w:tc>
        <w:tc>
          <w:tcPr>
            <w:tcW w:w="2098" w:type="dxa"/>
            <w:vAlign w:val="center"/>
          </w:tcPr>
          <w:p w14:paraId="32A03C51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980 000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4836B8A1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49,00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44559DCD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81BF389" w14:textId="39D562FA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BH Capital, a.s.</w:t>
            </w:r>
            <w:r w:rsidR="00FE459B">
              <w:rPr>
                <w:rFonts w:ascii="Calibri" w:hAnsi="Calibri" w:cs="Calibri"/>
                <w:bCs/>
                <w:iCs/>
              </w:rPr>
              <w:t>,</w:t>
            </w:r>
            <w:r w:rsidRPr="007F6BB2">
              <w:rPr>
                <w:rFonts w:ascii="Calibri" w:hAnsi="Calibri" w:cs="Calibri"/>
                <w:bCs/>
                <w:iCs/>
              </w:rPr>
              <w:t xml:space="preserve"> v likvidaci</w:t>
            </w:r>
          </w:p>
        </w:tc>
        <w:tc>
          <w:tcPr>
            <w:tcW w:w="1871" w:type="dxa"/>
            <w:vAlign w:val="center"/>
          </w:tcPr>
          <w:p w14:paraId="435ABCFD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408 099 040</w:t>
            </w:r>
          </w:p>
        </w:tc>
        <w:tc>
          <w:tcPr>
            <w:tcW w:w="2098" w:type="dxa"/>
            <w:vAlign w:val="center"/>
          </w:tcPr>
          <w:p w14:paraId="0B11172C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293 363 280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29B29D9F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71,89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2D45776A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23938E6D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Český Aeroholding, a.s.</w:t>
            </w:r>
          </w:p>
        </w:tc>
        <w:tc>
          <w:tcPr>
            <w:tcW w:w="1871" w:type="dxa"/>
            <w:vAlign w:val="center"/>
          </w:tcPr>
          <w:p w14:paraId="6ECBB3FA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27 044 198 000</w:t>
            </w:r>
          </w:p>
        </w:tc>
        <w:tc>
          <w:tcPr>
            <w:tcW w:w="2098" w:type="dxa"/>
            <w:vAlign w:val="center"/>
          </w:tcPr>
          <w:p w14:paraId="17C4697F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27 044 198 000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650FE15C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0D400920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D02F40C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MERO ČR, a.s.</w:t>
            </w:r>
          </w:p>
        </w:tc>
        <w:tc>
          <w:tcPr>
            <w:tcW w:w="1871" w:type="dxa"/>
            <w:vAlign w:val="center"/>
          </w:tcPr>
          <w:p w14:paraId="555968B1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8 430 921 000</w:t>
            </w:r>
          </w:p>
        </w:tc>
        <w:tc>
          <w:tcPr>
            <w:tcW w:w="2098" w:type="dxa"/>
            <w:vAlign w:val="center"/>
          </w:tcPr>
          <w:p w14:paraId="62124390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8 430 921 000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71B6CF6A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096A593D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6CAACE97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ČEPRO, a.s.</w:t>
            </w:r>
          </w:p>
        </w:tc>
        <w:tc>
          <w:tcPr>
            <w:tcW w:w="1871" w:type="dxa"/>
            <w:vAlign w:val="center"/>
          </w:tcPr>
          <w:p w14:paraId="6FC45902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5 660 000 000</w:t>
            </w:r>
          </w:p>
        </w:tc>
        <w:tc>
          <w:tcPr>
            <w:tcW w:w="2098" w:type="dxa"/>
            <w:vAlign w:val="center"/>
          </w:tcPr>
          <w:p w14:paraId="5A97A021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5 660 000 000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05E6FC51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19F57D65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4FEE3A46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KORADO, a.s.</w:t>
            </w:r>
          </w:p>
        </w:tc>
        <w:tc>
          <w:tcPr>
            <w:tcW w:w="1871" w:type="dxa"/>
            <w:vAlign w:val="center"/>
          </w:tcPr>
          <w:p w14:paraId="013E635B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840 700 000</w:t>
            </w:r>
          </w:p>
        </w:tc>
        <w:tc>
          <w:tcPr>
            <w:tcW w:w="2098" w:type="dxa"/>
            <w:vAlign w:val="center"/>
          </w:tcPr>
          <w:p w14:paraId="517637F4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287 700 000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3F4D77B0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34,22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13902359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79D85917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ČEZ, a.s.</w:t>
            </w:r>
          </w:p>
        </w:tc>
        <w:tc>
          <w:tcPr>
            <w:tcW w:w="1871" w:type="dxa"/>
            <w:vAlign w:val="center"/>
          </w:tcPr>
          <w:p w14:paraId="7BDEB98B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</w:rPr>
              <w:t>53 798 975 900</w:t>
            </w:r>
          </w:p>
        </w:tc>
        <w:tc>
          <w:tcPr>
            <w:tcW w:w="2098" w:type="dxa"/>
            <w:vAlign w:val="center"/>
          </w:tcPr>
          <w:p w14:paraId="2A8102CE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</w:rPr>
              <w:t>37 319 767 200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325575AC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69,37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2E76D152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1BA8DB56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Hotelinvest a.s.</w:t>
            </w:r>
          </w:p>
        </w:tc>
        <w:tc>
          <w:tcPr>
            <w:tcW w:w="1871" w:type="dxa"/>
            <w:vAlign w:val="center"/>
          </w:tcPr>
          <w:p w14:paraId="37F32917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230 000 000</w:t>
            </w:r>
          </w:p>
        </w:tc>
        <w:tc>
          <w:tcPr>
            <w:tcW w:w="2098" w:type="dxa"/>
            <w:vAlign w:val="center"/>
          </w:tcPr>
          <w:p w14:paraId="067C2FB3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230 000 000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653E9F6C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7315220B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1F48FD86" w14:textId="4A42DD79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DRIVE PRODUCTION FILM s.r.o.</w:t>
            </w:r>
            <w:r w:rsidR="00FE459B">
              <w:rPr>
                <w:rFonts w:ascii="Calibri" w:hAnsi="Calibri" w:cs="Calibri"/>
                <w:bCs/>
                <w:iCs/>
              </w:rPr>
              <w:t>,</w:t>
            </w:r>
            <w:r w:rsidRPr="007F6BB2">
              <w:rPr>
                <w:rFonts w:ascii="Calibri" w:hAnsi="Calibri" w:cs="Calibri"/>
                <w:bCs/>
                <w:iCs/>
              </w:rPr>
              <w:t xml:space="preserve"> v likvidaci</w:t>
            </w:r>
          </w:p>
        </w:tc>
        <w:tc>
          <w:tcPr>
            <w:tcW w:w="1871" w:type="dxa"/>
            <w:vAlign w:val="center"/>
          </w:tcPr>
          <w:p w14:paraId="4E32C323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100 000</w:t>
            </w:r>
          </w:p>
        </w:tc>
        <w:tc>
          <w:tcPr>
            <w:tcW w:w="2098" w:type="dxa"/>
            <w:vAlign w:val="center"/>
          </w:tcPr>
          <w:p w14:paraId="0C74FE2B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7F477309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2AB76E01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0CC7F0EB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Výzkumný a zkušební letecký ústav, a.s.</w:t>
            </w:r>
          </w:p>
        </w:tc>
        <w:tc>
          <w:tcPr>
            <w:tcW w:w="1871" w:type="dxa"/>
            <w:vAlign w:val="center"/>
          </w:tcPr>
          <w:p w14:paraId="6D7210A7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750 968 000</w:t>
            </w:r>
          </w:p>
        </w:tc>
        <w:tc>
          <w:tcPr>
            <w:tcW w:w="2098" w:type="dxa"/>
            <w:vAlign w:val="center"/>
          </w:tcPr>
          <w:p w14:paraId="4BF5DA18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750 968 000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31BC9546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2AB52AB4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A03F274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Vodovody a kanalizace Hodonín, a.s.</w:t>
            </w:r>
          </w:p>
        </w:tc>
        <w:tc>
          <w:tcPr>
            <w:tcW w:w="1871" w:type="dxa"/>
            <w:vAlign w:val="center"/>
          </w:tcPr>
          <w:p w14:paraId="64794107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797 076 000</w:t>
            </w:r>
          </w:p>
        </w:tc>
        <w:tc>
          <w:tcPr>
            <w:tcW w:w="2098" w:type="dxa"/>
            <w:vAlign w:val="center"/>
          </w:tcPr>
          <w:p w14:paraId="1AC0912C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688E007A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0,0001</w:t>
            </w:r>
          </w:p>
        </w:tc>
      </w:tr>
      <w:tr w:rsidR="00754D81" w:rsidRPr="007F6BB2" w14:paraId="4DFFD477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033401D4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Českomoravská záruční a rozvojová banka, a.s.</w:t>
            </w:r>
          </w:p>
        </w:tc>
        <w:tc>
          <w:tcPr>
            <w:tcW w:w="1871" w:type="dxa"/>
            <w:vAlign w:val="center"/>
          </w:tcPr>
          <w:p w14:paraId="7D36CB99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2 131 550 000</w:t>
            </w:r>
          </w:p>
        </w:tc>
        <w:tc>
          <w:tcPr>
            <w:tcW w:w="2098" w:type="dxa"/>
            <w:vAlign w:val="center"/>
          </w:tcPr>
          <w:p w14:paraId="3A2DA585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602 821 500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0433B051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28,28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71880AEC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6A86A62E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Exportní a garanční pojišťovací společnost, a.s.</w:t>
            </w:r>
          </w:p>
        </w:tc>
        <w:tc>
          <w:tcPr>
            <w:tcW w:w="1871" w:type="dxa"/>
            <w:vAlign w:val="center"/>
          </w:tcPr>
          <w:p w14:paraId="4AA22174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1 300 000 000</w:t>
            </w:r>
          </w:p>
        </w:tc>
        <w:tc>
          <w:tcPr>
            <w:tcW w:w="2098" w:type="dxa"/>
            <w:vAlign w:val="center"/>
          </w:tcPr>
          <w:p w14:paraId="48EA4AD0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520 000 000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5F44E813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1C67B31A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0B1800C4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Česká exportní banka, a.s.</w:t>
            </w:r>
          </w:p>
        </w:tc>
        <w:tc>
          <w:tcPr>
            <w:tcW w:w="1871" w:type="dxa"/>
            <w:vAlign w:val="center"/>
          </w:tcPr>
          <w:p w14:paraId="32E20A96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4 000 000 000</w:t>
            </w:r>
          </w:p>
        </w:tc>
        <w:tc>
          <w:tcPr>
            <w:tcW w:w="2098" w:type="dxa"/>
            <w:vAlign w:val="center"/>
          </w:tcPr>
          <w:p w14:paraId="24BCFCDA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1 664 000 000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013D014E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41,60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7A6743DD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14EB4E7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SETUZA, a.s.</w:t>
            </w:r>
          </w:p>
        </w:tc>
        <w:tc>
          <w:tcPr>
            <w:tcW w:w="1871" w:type="dxa"/>
            <w:vAlign w:val="center"/>
          </w:tcPr>
          <w:p w14:paraId="537ED9B2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1 152 709 000</w:t>
            </w:r>
          </w:p>
        </w:tc>
        <w:tc>
          <w:tcPr>
            <w:tcW w:w="2098" w:type="dxa"/>
            <w:vAlign w:val="center"/>
          </w:tcPr>
          <w:p w14:paraId="447266AB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13 000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73D98243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0,0011</w:t>
            </w:r>
          </w:p>
        </w:tc>
      </w:tr>
      <w:tr w:rsidR="00754D81" w:rsidRPr="007F6BB2" w14:paraId="6BBC2278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66A37B7B" w14:textId="6F6A0C09" w:rsidR="00754D81" w:rsidRPr="007F6BB2" w:rsidRDefault="00754D81" w:rsidP="00E57F26">
            <w:pPr>
              <w:spacing w:before="60" w:after="60"/>
              <w:rPr>
                <w:rFonts w:ascii="Calibri" w:hAnsi="Calibri" w:cs="Calibri"/>
                <w:bCs/>
                <w:iCs/>
                <w:vertAlign w:val="superscript"/>
              </w:rPr>
            </w:pPr>
            <w:r w:rsidRPr="007F6BB2">
              <w:rPr>
                <w:rFonts w:ascii="Calibri" w:hAnsi="Calibri" w:cs="Calibri"/>
                <w:bCs/>
                <w:iCs/>
              </w:rPr>
              <w:t>Karlovarský porcelán a.s.**</w:t>
            </w:r>
          </w:p>
        </w:tc>
        <w:tc>
          <w:tcPr>
            <w:tcW w:w="1871" w:type="dxa"/>
            <w:vAlign w:val="center"/>
          </w:tcPr>
          <w:p w14:paraId="28C503D0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2098" w:type="dxa"/>
            <w:vAlign w:val="center"/>
          </w:tcPr>
          <w:p w14:paraId="29300C25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</w:p>
        </w:tc>
        <w:tc>
          <w:tcPr>
            <w:tcW w:w="1417" w:type="dxa"/>
            <w:vAlign w:val="center"/>
          </w:tcPr>
          <w:p w14:paraId="334EA928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</w:p>
        </w:tc>
      </w:tr>
      <w:tr w:rsidR="00754D81" w:rsidRPr="007F6BB2" w14:paraId="292906BF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2B83459D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SKLÁRNY KAVALIER, a.s.</w:t>
            </w:r>
          </w:p>
        </w:tc>
        <w:tc>
          <w:tcPr>
            <w:tcW w:w="1871" w:type="dxa"/>
            <w:vAlign w:val="center"/>
          </w:tcPr>
          <w:p w14:paraId="661260CA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722 995 000</w:t>
            </w:r>
          </w:p>
        </w:tc>
        <w:tc>
          <w:tcPr>
            <w:tcW w:w="2098" w:type="dxa"/>
            <w:vAlign w:val="center"/>
          </w:tcPr>
          <w:p w14:paraId="6A180D88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82 000 000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37CC06AE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11,34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33DCB865" w14:textId="77777777" w:rsidTr="007F6BB2">
        <w:trPr>
          <w:trHeight w:val="227"/>
        </w:trPr>
        <w:tc>
          <w:tcPr>
            <w:tcW w:w="4025" w:type="dxa"/>
            <w:tcBorders>
              <w:bottom w:val="single" w:sz="4" w:space="0" w:color="000000" w:themeColor="text1"/>
            </w:tcBorders>
            <w:vAlign w:val="center"/>
          </w:tcPr>
          <w:p w14:paraId="25F49672" w14:textId="77777777" w:rsidR="00754D81" w:rsidRPr="007F6BB2" w:rsidRDefault="00754D81" w:rsidP="007F6BB2">
            <w:pPr>
              <w:spacing w:before="60" w:after="60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THERMAL-F, a.s.</w:t>
            </w:r>
          </w:p>
        </w:tc>
        <w:tc>
          <w:tcPr>
            <w:tcW w:w="1871" w:type="dxa"/>
            <w:tcBorders>
              <w:bottom w:val="single" w:sz="4" w:space="0" w:color="000000" w:themeColor="text1"/>
            </w:tcBorders>
            <w:vAlign w:val="center"/>
          </w:tcPr>
          <w:p w14:paraId="333C4AB6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499 550 000</w:t>
            </w:r>
          </w:p>
        </w:tc>
        <w:tc>
          <w:tcPr>
            <w:tcW w:w="2098" w:type="dxa"/>
            <w:tcBorders>
              <w:bottom w:val="single" w:sz="4" w:space="0" w:color="000000" w:themeColor="text1"/>
            </w:tcBorders>
            <w:vAlign w:val="center"/>
          </w:tcPr>
          <w:p w14:paraId="2B0B03E8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499 550 000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tcBorders>
              <w:bottom w:val="single" w:sz="4" w:space="0" w:color="000000" w:themeColor="text1"/>
            </w:tcBorders>
            <w:vAlign w:val="center"/>
          </w:tcPr>
          <w:p w14:paraId="60A1A250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100,00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1E898182" w14:textId="77777777" w:rsidTr="007F6BB2">
        <w:trPr>
          <w:trHeight w:val="227"/>
        </w:trPr>
        <w:tc>
          <w:tcPr>
            <w:tcW w:w="4025" w:type="dxa"/>
            <w:tcBorders>
              <w:bottom w:val="single" w:sz="12" w:space="0" w:color="auto"/>
            </w:tcBorders>
            <w:vAlign w:val="center"/>
          </w:tcPr>
          <w:p w14:paraId="359AD2A8" w14:textId="525C9DF2" w:rsidR="00754D81" w:rsidRPr="007F6BB2" w:rsidRDefault="00FE459B" w:rsidP="00FE459B">
            <w:pPr>
              <w:spacing w:before="60" w:after="60"/>
              <w:rPr>
                <w:rFonts w:ascii="Calibri" w:hAnsi="Calibri" w:cs="Calibri"/>
                <w:b/>
                <w:bCs/>
                <w:iCs/>
              </w:rPr>
            </w:pPr>
            <w:r>
              <w:rPr>
                <w:rFonts w:ascii="Calibri" w:hAnsi="Calibri" w:cs="Calibri"/>
                <w:b/>
                <w:bCs/>
                <w:iCs/>
              </w:rPr>
              <w:t>T</w:t>
            </w:r>
            <w:r w:rsidR="00754D81" w:rsidRPr="007F6BB2">
              <w:rPr>
                <w:rFonts w:ascii="Calibri" w:hAnsi="Calibri" w:cs="Calibri"/>
                <w:b/>
                <w:bCs/>
                <w:iCs/>
              </w:rPr>
              <w:t>uzemské</w:t>
            </w:r>
            <w:r>
              <w:rPr>
                <w:rFonts w:ascii="Calibri" w:hAnsi="Calibri" w:cs="Calibri"/>
                <w:b/>
                <w:bCs/>
                <w:iCs/>
              </w:rPr>
              <w:t xml:space="preserve"> společnosti celkem</w:t>
            </w:r>
            <w:r w:rsidR="00754D81" w:rsidRPr="007F6BB2">
              <w:rPr>
                <w:rFonts w:ascii="Calibri" w:hAnsi="Calibri" w:cs="Calibri"/>
                <w:b/>
                <w:bCs/>
                <w:iCs/>
              </w:rPr>
              <w:t xml:space="preserve"> (</w:t>
            </w:r>
            <w:r>
              <w:rPr>
                <w:rFonts w:ascii="Calibri" w:hAnsi="Calibri" w:cs="Calibri"/>
                <w:b/>
                <w:bCs/>
                <w:iCs/>
              </w:rPr>
              <w:t>v </w:t>
            </w:r>
            <w:r w:rsidR="00754D81" w:rsidRPr="007F6BB2">
              <w:rPr>
                <w:rFonts w:ascii="Calibri" w:hAnsi="Calibri" w:cs="Calibri"/>
                <w:b/>
                <w:bCs/>
                <w:iCs/>
              </w:rPr>
              <w:t>Kč)</w:t>
            </w:r>
          </w:p>
        </w:tc>
        <w:tc>
          <w:tcPr>
            <w:tcW w:w="1871" w:type="dxa"/>
            <w:tcBorders>
              <w:bottom w:val="single" w:sz="12" w:space="0" w:color="auto"/>
            </w:tcBorders>
            <w:vAlign w:val="center"/>
          </w:tcPr>
          <w:p w14:paraId="0F905A51" w14:textId="77777777" w:rsidR="00754D81" w:rsidRPr="007F6BB2" w:rsidRDefault="00754D81" w:rsidP="007F6BB2">
            <w:pPr>
              <w:spacing w:before="60" w:after="60"/>
              <w:ind w:right="118"/>
              <w:jc w:val="center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–</w:t>
            </w:r>
          </w:p>
        </w:tc>
        <w:tc>
          <w:tcPr>
            <w:tcW w:w="2098" w:type="dxa"/>
            <w:tcBorders>
              <w:bottom w:val="single" w:sz="12" w:space="0" w:color="auto"/>
            </w:tcBorders>
            <w:vAlign w:val="center"/>
          </w:tcPr>
          <w:p w14:paraId="2FE57C64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/>
                <w:bCs/>
                <w:iCs/>
              </w:rPr>
            </w:pPr>
            <w:r w:rsidRPr="007F6BB2">
              <w:rPr>
                <w:rFonts w:ascii="Calibri" w:hAnsi="Calibri" w:cs="Calibri"/>
                <w:b/>
                <w:bCs/>
                <w:iCs/>
              </w:rPr>
              <w:t>88 649 342 980</w:t>
            </w:r>
            <w:r w:rsidR="00E57F26">
              <w:rPr>
                <w:rFonts w:ascii="Calibri" w:hAnsi="Calibri" w:cs="Calibri"/>
                <w:b/>
                <w:bCs/>
                <w:iCs/>
              </w:rPr>
              <w:t>,0</w:t>
            </w:r>
          </w:p>
        </w:tc>
        <w:tc>
          <w:tcPr>
            <w:tcW w:w="1417" w:type="dxa"/>
            <w:tcBorders>
              <w:bottom w:val="single" w:sz="12" w:space="0" w:color="auto"/>
            </w:tcBorders>
            <w:vAlign w:val="center"/>
          </w:tcPr>
          <w:p w14:paraId="11E1CD31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–</w:t>
            </w:r>
          </w:p>
        </w:tc>
      </w:tr>
      <w:tr w:rsidR="00754D81" w:rsidRPr="007F6BB2" w14:paraId="184CC312" w14:textId="77777777" w:rsidTr="007F6BB2">
        <w:trPr>
          <w:trHeight w:val="227"/>
        </w:trPr>
        <w:tc>
          <w:tcPr>
            <w:tcW w:w="4025" w:type="dxa"/>
            <w:tcBorders>
              <w:top w:val="single" w:sz="12" w:space="0" w:color="auto"/>
            </w:tcBorders>
            <w:vAlign w:val="center"/>
          </w:tcPr>
          <w:p w14:paraId="1C3A0E41" w14:textId="08A3E14A" w:rsidR="00754D81" w:rsidRPr="007F6BB2" w:rsidRDefault="00754D81" w:rsidP="007F6BB2">
            <w:pPr>
              <w:spacing w:before="60" w:after="60"/>
              <w:rPr>
                <w:rFonts w:ascii="Calibri" w:hAnsi="Calibri" w:cs="Calibri"/>
              </w:rPr>
            </w:pPr>
            <w:r w:rsidRPr="007F6BB2">
              <w:rPr>
                <w:rFonts w:ascii="Calibri" w:hAnsi="Calibri" w:cs="Calibri"/>
              </w:rPr>
              <w:t>VIPAP VIDEM Krško, d.d.</w:t>
            </w:r>
            <w:r w:rsidR="00307745" w:rsidRPr="007F6BB2">
              <w:rPr>
                <w:rFonts w:ascii="Calibri" w:hAnsi="Calibri" w:cs="Calibri"/>
              </w:rPr>
              <w:t xml:space="preserve"> </w:t>
            </w:r>
            <w:r w:rsidRPr="007F6BB2">
              <w:rPr>
                <w:rFonts w:ascii="Calibri" w:hAnsi="Calibri" w:cs="Calibri"/>
              </w:rPr>
              <w:t>(</w:t>
            </w:r>
            <w:r w:rsidR="00FE459B">
              <w:rPr>
                <w:rFonts w:ascii="Calibri" w:hAnsi="Calibri" w:cs="Calibri"/>
              </w:rPr>
              <w:t>v </w:t>
            </w:r>
            <w:r w:rsidRPr="007F6BB2">
              <w:rPr>
                <w:rFonts w:ascii="Calibri" w:hAnsi="Calibri" w:cs="Calibri"/>
              </w:rPr>
              <w:t>€)</w:t>
            </w:r>
          </w:p>
        </w:tc>
        <w:tc>
          <w:tcPr>
            <w:tcW w:w="1871" w:type="dxa"/>
            <w:tcBorders>
              <w:top w:val="single" w:sz="12" w:space="0" w:color="auto"/>
            </w:tcBorders>
            <w:vAlign w:val="center"/>
          </w:tcPr>
          <w:p w14:paraId="7A4185AA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78 387 660</w:t>
            </w:r>
          </w:p>
        </w:tc>
        <w:tc>
          <w:tcPr>
            <w:tcW w:w="2098" w:type="dxa"/>
            <w:tcBorders>
              <w:top w:val="single" w:sz="12" w:space="0" w:color="auto"/>
            </w:tcBorders>
            <w:vAlign w:val="center"/>
          </w:tcPr>
          <w:p w14:paraId="3EB1B17C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75 644 091,9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vAlign w:val="center"/>
          </w:tcPr>
          <w:p w14:paraId="41F2BD16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96,50</w:t>
            </w:r>
            <w:r w:rsidR="007651E3">
              <w:rPr>
                <w:rFonts w:ascii="Calibri" w:hAnsi="Calibri" w:cs="Calibri"/>
                <w:bCs/>
                <w:iCs/>
              </w:rPr>
              <w:t>00</w:t>
            </w:r>
          </w:p>
        </w:tc>
      </w:tr>
      <w:tr w:rsidR="00754D81" w:rsidRPr="007F6BB2" w14:paraId="076DB3C2" w14:textId="77777777" w:rsidTr="007F6BB2">
        <w:trPr>
          <w:trHeight w:val="227"/>
        </w:trPr>
        <w:tc>
          <w:tcPr>
            <w:tcW w:w="4025" w:type="dxa"/>
            <w:vAlign w:val="center"/>
          </w:tcPr>
          <w:p w14:paraId="53E4475B" w14:textId="46241D50" w:rsidR="00754D81" w:rsidRPr="007F6BB2" w:rsidRDefault="00754D81" w:rsidP="00FE459B">
            <w:pPr>
              <w:spacing w:before="60" w:after="60"/>
              <w:rPr>
                <w:rFonts w:ascii="Calibri" w:hAnsi="Calibri" w:cs="Calibri"/>
              </w:rPr>
            </w:pPr>
            <w:r w:rsidRPr="007F6BB2">
              <w:rPr>
                <w:rFonts w:ascii="Calibri" w:hAnsi="Calibri" w:cs="Calibri"/>
              </w:rPr>
              <w:t>Teva Hungary Ltd. (</w:t>
            </w:r>
            <w:r w:rsidR="00FE459B">
              <w:rPr>
                <w:rFonts w:ascii="Calibri" w:hAnsi="Calibri" w:cs="Calibri"/>
              </w:rPr>
              <w:t>v Ft</w:t>
            </w:r>
            <w:r w:rsidRPr="007F6BB2">
              <w:rPr>
                <w:rFonts w:ascii="Calibri" w:hAnsi="Calibri" w:cs="Calibri"/>
              </w:rPr>
              <w:t>)</w:t>
            </w:r>
          </w:p>
        </w:tc>
        <w:tc>
          <w:tcPr>
            <w:tcW w:w="1871" w:type="dxa"/>
            <w:vAlign w:val="center"/>
          </w:tcPr>
          <w:p w14:paraId="77924246" w14:textId="77777777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</w:rPr>
              <w:t>95 318 045 200</w:t>
            </w:r>
          </w:p>
        </w:tc>
        <w:tc>
          <w:tcPr>
            <w:tcW w:w="2098" w:type="dxa"/>
            <w:vAlign w:val="center"/>
          </w:tcPr>
          <w:p w14:paraId="41057DED" w14:textId="72855C14" w:rsidR="00754D81" w:rsidRPr="007F6BB2" w:rsidRDefault="00754D81" w:rsidP="007F6BB2">
            <w:pPr>
              <w:spacing w:before="60" w:after="60"/>
              <w:ind w:right="118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400</w:t>
            </w:r>
            <w:r w:rsidR="00E57F26">
              <w:rPr>
                <w:rFonts w:ascii="Calibri" w:hAnsi="Calibri" w:cs="Calibri"/>
                <w:bCs/>
                <w:iCs/>
              </w:rPr>
              <w:t> </w:t>
            </w:r>
            <w:r w:rsidRPr="007F6BB2">
              <w:rPr>
                <w:rFonts w:ascii="Calibri" w:hAnsi="Calibri" w:cs="Calibri"/>
                <w:bCs/>
                <w:iCs/>
              </w:rPr>
              <w:t>000</w:t>
            </w:r>
            <w:r w:rsidR="00E57F26">
              <w:rPr>
                <w:rFonts w:ascii="Calibri" w:hAnsi="Calibri" w:cs="Calibri"/>
                <w:bCs/>
                <w:iCs/>
              </w:rPr>
              <w:t>,0</w:t>
            </w:r>
          </w:p>
        </w:tc>
        <w:tc>
          <w:tcPr>
            <w:tcW w:w="1417" w:type="dxa"/>
            <w:vAlign w:val="center"/>
          </w:tcPr>
          <w:p w14:paraId="0ABCC8BD" w14:textId="77777777" w:rsidR="00754D81" w:rsidRPr="007F6BB2" w:rsidRDefault="00754D81" w:rsidP="007F6BB2">
            <w:pPr>
              <w:spacing w:before="60" w:after="60"/>
              <w:ind w:right="89"/>
              <w:jc w:val="right"/>
              <w:rPr>
                <w:rFonts w:ascii="Calibri" w:hAnsi="Calibri" w:cs="Calibri"/>
                <w:bCs/>
                <w:iCs/>
              </w:rPr>
            </w:pPr>
            <w:r w:rsidRPr="007F6BB2">
              <w:rPr>
                <w:rFonts w:ascii="Calibri" w:hAnsi="Calibri" w:cs="Calibri"/>
                <w:bCs/>
                <w:iCs/>
              </w:rPr>
              <w:t>0,0004</w:t>
            </w:r>
          </w:p>
        </w:tc>
      </w:tr>
    </w:tbl>
    <w:p w14:paraId="0E402328" w14:textId="7D6918D2" w:rsidR="00754D81" w:rsidRPr="00725201" w:rsidRDefault="00754D81" w:rsidP="00FE459B">
      <w:pPr>
        <w:spacing w:before="40" w:after="0" w:line="240" w:lineRule="auto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 w:rsidRPr="00725201">
        <w:rPr>
          <w:rFonts w:cstheme="minorHAnsi"/>
          <w:b/>
          <w:bCs/>
          <w:iCs/>
          <w:sz w:val="20"/>
          <w:szCs w:val="20"/>
        </w:rPr>
        <w:t>*</w:t>
      </w:r>
      <w:r w:rsidR="00E57F26">
        <w:rPr>
          <w:rFonts w:cstheme="minorHAnsi"/>
          <w:bCs/>
          <w:iCs/>
          <w:sz w:val="20"/>
          <w:szCs w:val="20"/>
        </w:rPr>
        <w:tab/>
      </w:r>
      <w:r w:rsidRPr="00725201">
        <w:rPr>
          <w:rFonts w:cstheme="minorHAnsi"/>
          <w:bCs/>
          <w:iCs/>
          <w:sz w:val="20"/>
          <w:szCs w:val="20"/>
        </w:rPr>
        <w:t>Příslušnost hospodař</w:t>
      </w:r>
      <w:r w:rsidR="00E57F26">
        <w:rPr>
          <w:rFonts w:cstheme="minorHAnsi"/>
          <w:bCs/>
          <w:iCs/>
          <w:sz w:val="20"/>
          <w:szCs w:val="20"/>
        </w:rPr>
        <w:t>it</w:t>
      </w:r>
      <w:r w:rsidRPr="00725201">
        <w:rPr>
          <w:rFonts w:cstheme="minorHAnsi"/>
          <w:bCs/>
          <w:iCs/>
          <w:sz w:val="20"/>
          <w:szCs w:val="20"/>
        </w:rPr>
        <w:t xml:space="preserve"> s majetkovou účastí byla převedena v roce 2014 na MPO.</w:t>
      </w:r>
    </w:p>
    <w:p w14:paraId="4D91797E" w14:textId="0961AE63" w:rsidR="00754D81" w:rsidRPr="00725201" w:rsidRDefault="00754D81" w:rsidP="00E57F26">
      <w:pPr>
        <w:spacing w:after="0" w:line="240" w:lineRule="auto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 w:rsidRPr="00725201">
        <w:rPr>
          <w:rFonts w:cstheme="minorHAnsi"/>
          <w:b/>
          <w:bCs/>
          <w:iCs/>
          <w:sz w:val="20"/>
          <w:szCs w:val="20"/>
        </w:rPr>
        <w:t>**</w:t>
      </w:r>
      <w:r w:rsidR="00E57F26">
        <w:rPr>
          <w:rFonts w:cstheme="minorHAnsi"/>
          <w:bCs/>
          <w:iCs/>
          <w:sz w:val="20"/>
          <w:szCs w:val="20"/>
        </w:rPr>
        <w:tab/>
      </w:r>
      <w:r w:rsidRPr="00725201">
        <w:rPr>
          <w:rFonts w:cstheme="minorHAnsi"/>
          <w:bCs/>
          <w:iCs/>
          <w:sz w:val="20"/>
          <w:szCs w:val="20"/>
        </w:rPr>
        <w:t>Společnost byla v roce 2014 vymazána z obchodního rejstříku.</w:t>
      </w:r>
    </w:p>
    <w:p w14:paraId="60EEA6F2" w14:textId="77777777" w:rsidR="007F6BB2" w:rsidRDefault="007F6BB2">
      <w:pPr>
        <w:rPr>
          <w:rFonts w:cstheme="minorHAnsi"/>
          <w:b/>
          <w:bCs/>
          <w:iCs/>
          <w:sz w:val="24"/>
          <w:szCs w:val="24"/>
        </w:rPr>
      </w:pPr>
      <w:r>
        <w:rPr>
          <w:rFonts w:cstheme="minorHAnsi"/>
          <w:b/>
          <w:bCs/>
          <w:iCs/>
          <w:sz w:val="24"/>
          <w:szCs w:val="24"/>
        </w:rPr>
        <w:br w:type="page"/>
      </w:r>
    </w:p>
    <w:p w14:paraId="3E877964" w14:textId="77777777" w:rsidR="00754D81" w:rsidRDefault="00754D81" w:rsidP="00754D81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FC08E2">
        <w:rPr>
          <w:rFonts w:cstheme="minorHAnsi"/>
          <w:b/>
          <w:bCs/>
          <w:iCs/>
          <w:sz w:val="24"/>
          <w:szCs w:val="24"/>
        </w:rPr>
        <w:lastRenderedPageBreak/>
        <w:t>Přehled kontrolovaných majetkových účastí státu ve správě MPO</w:t>
      </w:r>
    </w:p>
    <w:p w14:paraId="6E48C53F" w14:textId="77777777" w:rsidR="007F6BB2" w:rsidRPr="00FC08E2" w:rsidRDefault="007F6BB2" w:rsidP="00754D81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tbl>
      <w:tblPr>
        <w:tblStyle w:val="Mkatabulky"/>
        <w:tblW w:w="924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25"/>
        <w:gridCol w:w="1644"/>
        <w:gridCol w:w="2154"/>
        <w:gridCol w:w="1417"/>
      </w:tblGrid>
      <w:tr w:rsidR="00754D81" w:rsidRPr="008C207B" w14:paraId="0831B44D" w14:textId="77777777" w:rsidTr="008C207B">
        <w:trPr>
          <w:trHeight w:val="227"/>
        </w:trPr>
        <w:tc>
          <w:tcPr>
            <w:tcW w:w="4025" w:type="dxa"/>
            <w:shd w:val="clear" w:color="auto" w:fill="DAEEF3" w:themeFill="accent5" w:themeFillTint="33"/>
            <w:vAlign w:val="center"/>
          </w:tcPr>
          <w:p w14:paraId="78C3EC82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Obchodní společnost</w:t>
            </w:r>
          </w:p>
        </w:tc>
        <w:tc>
          <w:tcPr>
            <w:tcW w:w="1644" w:type="dxa"/>
            <w:shd w:val="clear" w:color="auto" w:fill="DAEEF3" w:themeFill="accent5" w:themeFillTint="33"/>
            <w:vAlign w:val="center"/>
          </w:tcPr>
          <w:p w14:paraId="0F55235A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Základní kapitál společnosti k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31.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12.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2014 (v</w:t>
            </w:r>
            <w:r w:rsidR="00931522" w:rsidRP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Kč)</w:t>
            </w: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5039EB5E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Celková jmenovitá hodnota akcií ve správě MPO k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31.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12.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 xml:space="preserve">2014 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(v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Kč)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59074D6A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% držení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8C207B">
              <w:rPr>
                <w:rFonts w:asciiTheme="minorHAnsi" w:hAnsiTheme="minorHAnsi" w:cstheme="minorHAnsi"/>
                <w:b/>
              </w:rPr>
              <w:t>k 31.</w:t>
            </w:r>
            <w:r w:rsidR="008C207B">
              <w:rPr>
                <w:rFonts w:asciiTheme="minorHAnsi" w:hAnsiTheme="minorHAnsi" w:cstheme="minorHAnsi"/>
                <w:b/>
              </w:rPr>
              <w:t> 12. </w:t>
            </w:r>
            <w:r w:rsidRPr="008C207B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754D81" w:rsidRPr="008C207B" w14:paraId="48BDD578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75DEAAD0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 xml:space="preserve">Českomoravská záruční a rozvojová banka, a.s. </w:t>
            </w:r>
          </w:p>
        </w:tc>
        <w:tc>
          <w:tcPr>
            <w:tcW w:w="1644" w:type="dxa"/>
            <w:vAlign w:val="center"/>
          </w:tcPr>
          <w:p w14:paraId="7A4BDA48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2 131 550 000</w:t>
            </w:r>
          </w:p>
        </w:tc>
        <w:tc>
          <w:tcPr>
            <w:tcW w:w="2154" w:type="dxa"/>
            <w:vAlign w:val="center"/>
          </w:tcPr>
          <w:p w14:paraId="4B01EB93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613 120 000</w:t>
            </w:r>
          </w:p>
        </w:tc>
        <w:tc>
          <w:tcPr>
            <w:tcW w:w="1417" w:type="dxa"/>
            <w:vAlign w:val="center"/>
          </w:tcPr>
          <w:p w14:paraId="23B74424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28,76</w:t>
            </w:r>
          </w:p>
        </w:tc>
      </w:tr>
      <w:tr w:rsidR="00754D81" w:rsidRPr="008C207B" w14:paraId="5557B655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35B345DE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</w:rPr>
            </w:pPr>
            <w:r w:rsidRPr="008C207B">
              <w:rPr>
                <w:rFonts w:asciiTheme="minorHAnsi" w:hAnsiTheme="minorHAnsi" w:cstheme="minorHAnsi"/>
              </w:rPr>
              <w:t>Exportní garanční a pojišťovací společnost, a.s.</w:t>
            </w:r>
          </w:p>
        </w:tc>
        <w:tc>
          <w:tcPr>
            <w:tcW w:w="1644" w:type="dxa"/>
            <w:vAlign w:val="center"/>
          </w:tcPr>
          <w:p w14:paraId="398C375B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1 300 000 000</w:t>
            </w:r>
          </w:p>
        </w:tc>
        <w:tc>
          <w:tcPr>
            <w:tcW w:w="2154" w:type="dxa"/>
            <w:vAlign w:val="center"/>
          </w:tcPr>
          <w:p w14:paraId="53347280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468 000 000</w:t>
            </w:r>
          </w:p>
        </w:tc>
        <w:tc>
          <w:tcPr>
            <w:tcW w:w="1417" w:type="dxa"/>
            <w:vAlign w:val="center"/>
          </w:tcPr>
          <w:p w14:paraId="1E198D8A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36,00</w:t>
            </w:r>
          </w:p>
        </w:tc>
      </w:tr>
      <w:tr w:rsidR="00754D81" w:rsidRPr="008C207B" w14:paraId="0AD55AE3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20FAB47F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</w:rPr>
            </w:pPr>
            <w:r w:rsidRPr="008C207B">
              <w:rPr>
                <w:rFonts w:asciiTheme="minorHAnsi" w:hAnsiTheme="minorHAnsi" w:cstheme="minorHAnsi"/>
              </w:rPr>
              <w:t>Česká exportní banka, a.s.</w:t>
            </w:r>
          </w:p>
        </w:tc>
        <w:tc>
          <w:tcPr>
            <w:tcW w:w="1644" w:type="dxa"/>
            <w:vAlign w:val="center"/>
          </w:tcPr>
          <w:p w14:paraId="4CEB28E7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4 000 000 000</w:t>
            </w:r>
          </w:p>
        </w:tc>
        <w:tc>
          <w:tcPr>
            <w:tcW w:w="2154" w:type="dxa"/>
            <w:vAlign w:val="center"/>
          </w:tcPr>
          <w:p w14:paraId="748D0BAB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960 000 000</w:t>
            </w:r>
          </w:p>
        </w:tc>
        <w:tc>
          <w:tcPr>
            <w:tcW w:w="1417" w:type="dxa"/>
            <w:vAlign w:val="center"/>
          </w:tcPr>
          <w:p w14:paraId="62059295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24,00</w:t>
            </w:r>
          </w:p>
        </w:tc>
      </w:tr>
      <w:tr w:rsidR="00754D81" w:rsidRPr="008C207B" w14:paraId="4690B000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360C7A80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>OTE, a.s.</w:t>
            </w:r>
          </w:p>
        </w:tc>
        <w:tc>
          <w:tcPr>
            <w:tcW w:w="1644" w:type="dxa"/>
            <w:vAlign w:val="center"/>
          </w:tcPr>
          <w:p w14:paraId="17C457A5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340 000 000</w:t>
            </w:r>
          </w:p>
        </w:tc>
        <w:tc>
          <w:tcPr>
            <w:tcW w:w="2154" w:type="dxa"/>
            <w:vAlign w:val="center"/>
          </w:tcPr>
          <w:p w14:paraId="626311EE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340 000 000</w:t>
            </w:r>
          </w:p>
        </w:tc>
        <w:tc>
          <w:tcPr>
            <w:tcW w:w="1417" w:type="dxa"/>
            <w:vAlign w:val="center"/>
          </w:tcPr>
          <w:p w14:paraId="0DB3D21F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</w:p>
        </w:tc>
      </w:tr>
      <w:tr w:rsidR="00754D81" w:rsidRPr="008C207B" w14:paraId="10EFAC6C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37BCC771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>ČEPS, a.s.</w:t>
            </w:r>
          </w:p>
        </w:tc>
        <w:tc>
          <w:tcPr>
            <w:tcW w:w="1644" w:type="dxa"/>
            <w:vAlign w:val="center"/>
          </w:tcPr>
          <w:p w14:paraId="603C12EA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10 534 882 647</w:t>
            </w:r>
          </w:p>
        </w:tc>
        <w:tc>
          <w:tcPr>
            <w:tcW w:w="2154" w:type="dxa"/>
            <w:vAlign w:val="center"/>
          </w:tcPr>
          <w:p w14:paraId="7BAE852E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10 534 882 647</w:t>
            </w:r>
          </w:p>
        </w:tc>
        <w:tc>
          <w:tcPr>
            <w:tcW w:w="1417" w:type="dxa"/>
            <w:vAlign w:val="center"/>
          </w:tcPr>
          <w:p w14:paraId="71381E4F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</w:p>
        </w:tc>
      </w:tr>
      <w:tr w:rsidR="00754D81" w:rsidRPr="008C207B" w14:paraId="74C8D2CF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55B6581E" w14:textId="036BC6DD" w:rsidR="00754D81" w:rsidRPr="008C207B" w:rsidRDefault="00754D81" w:rsidP="00E57F26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>Explosia a.s.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*</w:t>
            </w:r>
          </w:p>
        </w:tc>
        <w:tc>
          <w:tcPr>
            <w:tcW w:w="1644" w:type="dxa"/>
            <w:vAlign w:val="center"/>
          </w:tcPr>
          <w:p w14:paraId="4F5F492B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1 415 000 000</w:t>
            </w:r>
          </w:p>
        </w:tc>
        <w:tc>
          <w:tcPr>
            <w:tcW w:w="2154" w:type="dxa"/>
            <w:vAlign w:val="center"/>
          </w:tcPr>
          <w:p w14:paraId="1586E166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1 415 000 000</w:t>
            </w:r>
          </w:p>
        </w:tc>
        <w:tc>
          <w:tcPr>
            <w:tcW w:w="1417" w:type="dxa"/>
            <w:vAlign w:val="center"/>
          </w:tcPr>
          <w:p w14:paraId="7281B34F" w14:textId="77777777" w:rsidR="00754D81" w:rsidRPr="008C207B" w:rsidRDefault="00754D81" w:rsidP="008C207B">
            <w:pPr>
              <w:spacing w:before="60" w:after="60"/>
              <w:ind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</w:p>
        </w:tc>
      </w:tr>
      <w:tr w:rsidR="00754D81" w:rsidRPr="008C207B" w14:paraId="27178148" w14:textId="77777777" w:rsidTr="008C207B">
        <w:trPr>
          <w:trHeight w:val="227"/>
        </w:trPr>
        <w:tc>
          <w:tcPr>
            <w:tcW w:w="4025" w:type="dxa"/>
            <w:vAlign w:val="center"/>
          </w:tcPr>
          <w:p w14:paraId="574C4BCE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8C207B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644" w:type="dxa"/>
            <w:vAlign w:val="center"/>
          </w:tcPr>
          <w:p w14:paraId="2504FA60" w14:textId="77777777" w:rsidR="00754D81" w:rsidRPr="008C207B" w:rsidRDefault="00754D81" w:rsidP="008C207B">
            <w:pPr>
              <w:spacing w:before="60" w:after="60"/>
              <w:ind w:right="174"/>
              <w:jc w:val="center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–</w:t>
            </w:r>
          </w:p>
        </w:tc>
        <w:tc>
          <w:tcPr>
            <w:tcW w:w="2154" w:type="dxa"/>
            <w:vAlign w:val="center"/>
          </w:tcPr>
          <w:p w14:paraId="4B05F4DD" w14:textId="77777777" w:rsidR="00754D81" w:rsidRPr="008C207B" w:rsidRDefault="00754D81" w:rsidP="008C207B">
            <w:pPr>
              <w:spacing w:before="60" w:after="60"/>
              <w:ind w:right="174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14 331 002 647</w:t>
            </w:r>
          </w:p>
        </w:tc>
        <w:tc>
          <w:tcPr>
            <w:tcW w:w="1417" w:type="dxa"/>
            <w:vAlign w:val="center"/>
          </w:tcPr>
          <w:p w14:paraId="3E8FA0C5" w14:textId="77777777" w:rsidR="00754D81" w:rsidRPr="008C207B" w:rsidRDefault="00754D81" w:rsidP="008C207B">
            <w:pPr>
              <w:spacing w:before="60" w:after="60"/>
              <w:ind w:left="-136" w:right="343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–</w:t>
            </w:r>
          </w:p>
        </w:tc>
      </w:tr>
    </w:tbl>
    <w:p w14:paraId="3BCFB4CC" w14:textId="717E44E1" w:rsidR="00754D81" w:rsidRPr="00725201" w:rsidRDefault="00754D81" w:rsidP="00FE459B">
      <w:pPr>
        <w:spacing w:before="40" w:after="0" w:line="240" w:lineRule="auto"/>
        <w:ind w:left="284" w:hanging="284"/>
        <w:jc w:val="both"/>
        <w:rPr>
          <w:rFonts w:cstheme="minorHAnsi"/>
          <w:bCs/>
          <w:iCs/>
          <w:sz w:val="20"/>
          <w:szCs w:val="20"/>
        </w:rPr>
      </w:pPr>
      <w:r w:rsidRPr="00F413BB">
        <w:rPr>
          <w:rFonts w:cstheme="minorHAnsi"/>
          <w:b/>
          <w:bCs/>
          <w:iCs/>
          <w:sz w:val="20"/>
          <w:szCs w:val="20"/>
        </w:rPr>
        <w:t>*</w:t>
      </w:r>
      <w:r w:rsidR="00E57F26">
        <w:rPr>
          <w:rFonts w:cstheme="minorHAnsi"/>
          <w:bCs/>
          <w:iCs/>
          <w:sz w:val="20"/>
          <w:szCs w:val="20"/>
        </w:rPr>
        <w:tab/>
      </w:r>
      <w:r w:rsidRPr="00725201">
        <w:rPr>
          <w:rFonts w:cstheme="minorHAnsi"/>
          <w:bCs/>
          <w:iCs/>
          <w:sz w:val="20"/>
          <w:szCs w:val="20"/>
        </w:rPr>
        <w:t>Do roku 2014 ve správě MF.</w:t>
      </w:r>
    </w:p>
    <w:p w14:paraId="2A57CDB4" w14:textId="77777777" w:rsidR="00754D81" w:rsidRDefault="00754D81" w:rsidP="00754D81">
      <w:pPr>
        <w:spacing w:after="0" w:line="240" w:lineRule="auto"/>
        <w:ind w:left="567" w:hanging="567"/>
        <w:jc w:val="both"/>
        <w:rPr>
          <w:rFonts w:ascii="Calibri" w:hAnsi="Calibri" w:cs="Calibri"/>
          <w:bCs/>
          <w:iCs/>
          <w:sz w:val="24"/>
          <w:szCs w:val="24"/>
        </w:rPr>
      </w:pPr>
    </w:p>
    <w:p w14:paraId="057B32D5" w14:textId="77777777" w:rsidR="00754D81" w:rsidRDefault="00754D81" w:rsidP="00754D81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FC08E2">
        <w:rPr>
          <w:rFonts w:cstheme="minorHAnsi"/>
          <w:b/>
          <w:bCs/>
          <w:iCs/>
          <w:sz w:val="24"/>
          <w:szCs w:val="24"/>
        </w:rPr>
        <w:t>Přehled kontrolovaných majetkových účastí státu ve správě MZe</w:t>
      </w:r>
    </w:p>
    <w:p w14:paraId="6259D0F2" w14:textId="77777777" w:rsidR="007F6BB2" w:rsidRPr="00FC08E2" w:rsidRDefault="007F6BB2" w:rsidP="00754D81">
      <w:pPr>
        <w:spacing w:after="0" w:line="240" w:lineRule="auto"/>
        <w:rPr>
          <w:rFonts w:cstheme="minorHAnsi"/>
          <w:b/>
          <w:bCs/>
          <w:iCs/>
          <w:sz w:val="24"/>
          <w:szCs w:val="24"/>
        </w:rPr>
      </w:pPr>
    </w:p>
    <w:tbl>
      <w:tblPr>
        <w:tblStyle w:val="Mkatabulky"/>
        <w:tblW w:w="92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969"/>
        <w:gridCol w:w="1701"/>
        <w:gridCol w:w="2154"/>
        <w:gridCol w:w="1417"/>
      </w:tblGrid>
      <w:tr w:rsidR="008C207B" w:rsidRPr="008C207B" w14:paraId="04F9F5A6" w14:textId="77777777" w:rsidTr="008C207B">
        <w:trPr>
          <w:trHeight w:val="227"/>
        </w:trPr>
        <w:tc>
          <w:tcPr>
            <w:tcW w:w="3969" w:type="dxa"/>
            <w:shd w:val="clear" w:color="auto" w:fill="DAEEF3" w:themeFill="accent5" w:themeFillTint="33"/>
            <w:vAlign w:val="center"/>
          </w:tcPr>
          <w:p w14:paraId="2AB1BD44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Obchodní společnost</w:t>
            </w:r>
          </w:p>
        </w:tc>
        <w:tc>
          <w:tcPr>
            <w:tcW w:w="1701" w:type="dxa"/>
            <w:shd w:val="clear" w:color="auto" w:fill="DAEEF3" w:themeFill="accent5" w:themeFillTint="33"/>
            <w:vAlign w:val="center"/>
          </w:tcPr>
          <w:p w14:paraId="7FB69C03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 xml:space="preserve">Základní kapitál společnosti 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k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31.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12.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2014 (v</w:t>
            </w:r>
            <w:r w:rsidR="00931522" w:rsidRP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Kč)</w:t>
            </w:r>
          </w:p>
        </w:tc>
        <w:tc>
          <w:tcPr>
            <w:tcW w:w="2154" w:type="dxa"/>
            <w:shd w:val="clear" w:color="auto" w:fill="DAEEF3" w:themeFill="accent5" w:themeFillTint="33"/>
            <w:vAlign w:val="center"/>
          </w:tcPr>
          <w:p w14:paraId="1B8C15C7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Celková jmenovitá hodnota akcií ve správě MZe k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31.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12.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2014 (v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> </w:t>
            </w: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Kč)</w:t>
            </w:r>
          </w:p>
        </w:tc>
        <w:tc>
          <w:tcPr>
            <w:tcW w:w="1417" w:type="dxa"/>
            <w:shd w:val="clear" w:color="auto" w:fill="DAEEF3" w:themeFill="accent5" w:themeFillTint="33"/>
            <w:vAlign w:val="center"/>
          </w:tcPr>
          <w:p w14:paraId="682C4257" w14:textId="77777777" w:rsidR="00754D81" w:rsidRPr="008C207B" w:rsidRDefault="00754D81" w:rsidP="008C207B">
            <w:pPr>
              <w:spacing w:before="60" w:after="60"/>
              <w:jc w:val="center"/>
              <w:rPr>
                <w:rFonts w:asciiTheme="minorHAnsi" w:hAnsiTheme="minorHAnsi" w:cstheme="minorHAnsi"/>
                <w:b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% držení</w:t>
            </w:r>
            <w:r w:rsidR="008C207B">
              <w:rPr>
                <w:rFonts w:asciiTheme="minorHAnsi" w:hAnsiTheme="minorHAnsi" w:cstheme="minorHAnsi"/>
                <w:b/>
                <w:bCs/>
                <w:iCs/>
              </w:rPr>
              <w:t xml:space="preserve"> </w:t>
            </w:r>
            <w:r w:rsidRPr="008C207B">
              <w:rPr>
                <w:rFonts w:asciiTheme="minorHAnsi" w:hAnsiTheme="minorHAnsi" w:cstheme="minorHAnsi"/>
                <w:b/>
              </w:rPr>
              <w:t>k 31.</w:t>
            </w:r>
            <w:r w:rsidR="008C207B">
              <w:rPr>
                <w:rFonts w:asciiTheme="minorHAnsi" w:hAnsiTheme="minorHAnsi" w:cstheme="minorHAnsi"/>
                <w:b/>
              </w:rPr>
              <w:t> </w:t>
            </w:r>
            <w:r w:rsidRPr="008C207B">
              <w:rPr>
                <w:rFonts w:asciiTheme="minorHAnsi" w:hAnsiTheme="minorHAnsi" w:cstheme="minorHAnsi"/>
                <w:b/>
              </w:rPr>
              <w:t>12.</w:t>
            </w:r>
            <w:r w:rsidR="008C207B">
              <w:rPr>
                <w:rFonts w:asciiTheme="minorHAnsi" w:hAnsiTheme="minorHAnsi" w:cstheme="minorHAnsi"/>
                <w:b/>
              </w:rPr>
              <w:t> </w:t>
            </w:r>
            <w:r w:rsidRPr="008C207B">
              <w:rPr>
                <w:rFonts w:asciiTheme="minorHAnsi" w:hAnsiTheme="minorHAnsi" w:cstheme="minorHAnsi"/>
                <w:b/>
              </w:rPr>
              <w:t>2014</w:t>
            </w:r>
          </w:p>
        </w:tc>
      </w:tr>
      <w:tr w:rsidR="008C207B" w:rsidRPr="008C207B" w14:paraId="45D01A53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0451A651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</w:rPr>
            </w:pPr>
            <w:r w:rsidRPr="008C207B">
              <w:rPr>
                <w:rFonts w:asciiTheme="minorHAnsi" w:hAnsiTheme="minorHAnsi" w:cstheme="minorHAnsi"/>
              </w:rPr>
              <w:t>Exportní garanční a pojišťovací společnost, a.s.</w:t>
            </w:r>
          </w:p>
        </w:tc>
        <w:tc>
          <w:tcPr>
            <w:tcW w:w="1701" w:type="dxa"/>
            <w:vAlign w:val="center"/>
          </w:tcPr>
          <w:p w14:paraId="4B663011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1 300 000 000</w:t>
            </w:r>
          </w:p>
        </w:tc>
        <w:tc>
          <w:tcPr>
            <w:tcW w:w="2154" w:type="dxa"/>
            <w:vAlign w:val="center"/>
          </w:tcPr>
          <w:p w14:paraId="2A4ED052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156 000 000</w:t>
            </w:r>
          </w:p>
        </w:tc>
        <w:tc>
          <w:tcPr>
            <w:tcW w:w="1417" w:type="dxa"/>
            <w:vAlign w:val="center"/>
          </w:tcPr>
          <w:p w14:paraId="2C9AB2F5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12,00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</w:tr>
      <w:tr w:rsidR="008C207B" w:rsidRPr="008C207B" w14:paraId="03CBA195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5B8EBA44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 xml:space="preserve">Podpůrný a garanční rolnický a lesnický fond, a.s. </w:t>
            </w:r>
          </w:p>
        </w:tc>
        <w:tc>
          <w:tcPr>
            <w:tcW w:w="1701" w:type="dxa"/>
            <w:vAlign w:val="center"/>
          </w:tcPr>
          <w:p w14:paraId="0D8CB3EC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500 000 000</w:t>
            </w:r>
          </w:p>
        </w:tc>
        <w:tc>
          <w:tcPr>
            <w:tcW w:w="2154" w:type="dxa"/>
            <w:vAlign w:val="center"/>
          </w:tcPr>
          <w:p w14:paraId="69DF29D1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500 000 000</w:t>
            </w:r>
          </w:p>
        </w:tc>
        <w:tc>
          <w:tcPr>
            <w:tcW w:w="1417" w:type="dxa"/>
            <w:vAlign w:val="center"/>
          </w:tcPr>
          <w:p w14:paraId="315422E6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</w:tr>
      <w:tr w:rsidR="008C207B" w:rsidRPr="008C207B" w14:paraId="0A1990C5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3602844E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>Česká exportní banka, a.s.</w:t>
            </w:r>
          </w:p>
        </w:tc>
        <w:tc>
          <w:tcPr>
            <w:tcW w:w="1701" w:type="dxa"/>
            <w:vAlign w:val="center"/>
          </w:tcPr>
          <w:p w14:paraId="199A8080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4 000 000 000</w:t>
            </w:r>
          </w:p>
        </w:tc>
        <w:tc>
          <w:tcPr>
            <w:tcW w:w="2154" w:type="dxa"/>
            <w:vAlign w:val="center"/>
          </w:tcPr>
          <w:p w14:paraId="57407202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192 000 000</w:t>
            </w:r>
          </w:p>
        </w:tc>
        <w:tc>
          <w:tcPr>
            <w:tcW w:w="1417" w:type="dxa"/>
            <w:vAlign w:val="center"/>
          </w:tcPr>
          <w:p w14:paraId="5E62A9D1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4,80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</w:tr>
      <w:tr w:rsidR="008C207B" w:rsidRPr="008C207B" w14:paraId="268EEA76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11D380E1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</w:rPr>
            </w:pPr>
            <w:r w:rsidRPr="008C207B">
              <w:rPr>
                <w:rFonts w:asciiTheme="minorHAnsi" w:hAnsiTheme="minorHAnsi" w:cstheme="minorHAnsi"/>
              </w:rPr>
              <w:t xml:space="preserve">Jihomoravské pivovary, a.s. </w:t>
            </w:r>
          </w:p>
        </w:tc>
        <w:tc>
          <w:tcPr>
            <w:tcW w:w="1701" w:type="dxa"/>
            <w:vAlign w:val="center"/>
          </w:tcPr>
          <w:p w14:paraId="7A03EAC3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50 040 080</w:t>
            </w:r>
          </w:p>
        </w:tc>
        <w:tc>
          <w:tcPr>
            <w:tcW w:w="2154" w:type="dxa"/>
            <w:vAlign w:val="center"/>
          </w:tcPr>
          <w:p w14:paraId="03522F6F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50 040 080</w:t>
            </w:r>
          </w:p>
        </w:tc>
        <w:tc>
          <w:tcPr>
            <w:tcW w:w="1417" w:type="dxa"/>
            <w:vAlign w:val="center"/>
          </w:tcPr>
          <w:p w14:paraId="02F25AB8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</w:tr>
      <w:tr w:rsidR="008C207B" w:rsidRPr="008C207B" w14:paraId="5FC3A102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53C58262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</w:rPr>
            </w:pPr>
            <w:r w:rsidRPr="008C207B">
              <w:rPr>
                <w:rFonts w:asciiTheme="minorHAnsi" w:hAnsiTheme="minorHAnsi" w:cstheme="minorHAnsi"/>
              </w:rPr>
              <w:t xml:space="preserve">Státní zkušebna zemědělských, potravinářských a lesnických strojů, a.s. </w:t>
            </w:r>
          </w:p>
        </w:tc>
        <w:tc>
          <w:tcPr>
            <w:tcW w:w="1701" w:type="dxa"/>
            <w:vAlign w:val="center"/>
          </w:tcPr>
          <w:p w14:paraId="5B27D3C6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197 500 000</w:t>
            </w:r>
          </w:p>
        </w:tc>
        <w:tc>
          <w:tcPr>
            <w:tcW w:w="2154" w:type="dxa"/>
            <w:vAlign w:val="center"/>
          </w:tcPr>
          <w:p w14:paraId="21F43B88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197 500 000</w:t>
            </w:r>
          </w:p>
        </w:tc>
        <w:tc>
          <w:tcPr>
            <w:tcW w:w="1417" w:type="dxa"/>
            <w:vAlign w:val="center"/>
          </w:tcPr>
          <w:p w14:paraId="319C99C3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100,00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00</w:t>
            </w:r>
          </w:p>
        </w:tc>
      </w:tr>
      <w:tr w:rsidR="008C207B" w:rsidRPr="008C207B" w14:paraId="2F58B66B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6F04BB64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 xml:space="preserve">SETUZA, a.s. </w:t>
            </w:r>
          </w:p>
        </w:tc>
        <w:tc>
          <w:tcPr>
            <w:tcW w:w="1701" w:type="dxa"/>
            <w:vAlign w:val="center"/>
          </w:tcPr>
          <w:p w14:paraId="2395DA39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1 152 709 000</w:t>
            </w:r>
          </w:p>
        </w:tc>
        <w:tc>
          <w:tcPr>
            <w:tcW w:w="2154" w:type="dxa"/>
            <w:vAlign w:val="center"/>
          </w:tcPr>
          <w:p w14:paraId="46E18FF4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13 000</w:t>
            </w:r>
          </w:p>
        </w:tc>
        <w:tc>
          <w:tcPr>
            <w:tcW w:w="1417" w:type="dxa"/>
            <w:vAlign w:val="center"/>
          </w:tcPr>
          <w:p w14:paraId="565C55E9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0,0011</w:t>
            </w:r>
          </w:p>
        </w:tc>
      </w:tr>
      <w:tr w:rsidR="008C207B" w:rsidRPr="008C207B" w14:paraId="1AC9B38D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795AFA7D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</w:rPr>
              <w:t xml:space="preserve">Českomoravská společnost chovatelů, a.s. </w:t>
            </w:r>
          </w:p>
        </w:tc>
        <w:tc>
          <w:tcPr>
            <w:tcW w:w="1701" w:type="dxa"/>
            <w:vAlign w:val="center"/>
          </w:tcPr>
          <w:p w14:paraId="32488286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29 232 000</w:t>
            </w:r>
          </w:p>
        </w:tc>
        <w:tc>
          <w:tcPr>
            <w:tcW w:w="2154" w:type="dxa"/>
            <w:vAlign w:val="center"/>
          </w:tcPr>
          <w:p w14:paraId="22C424ED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1 500</w:t>
            </w:r>
          </w:p>
        </w:tc>
        <w:tc>
          <w:tcPr>
            <w:tcW w:w="1417" w:type="dxa"/>
            <w:vAlign w:val="center"/>
          </w:tcPr>
          <w:p w14:paraId="59C94E32" w14:textId="77777777" w:rsidR="00754D81" w:rsidRPr="008C207B" w:rsidRDefault="00754D81" w:rsidP="008C207B">
            <w:pPr>
              <w:spacing w:before="60" w:after="60"/>
              <w:ind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0,005</w:t>
            </w:r>
            <w:r w:rsidR="007651E3">
              <w:rPr>
                <w:rFonts w:asciiTheme="minorHAnsi" w:hAnsiTheme="minorHAnsi" w:cstheme="minorHAnsi"/>
                <w:bCs/>
                <w:iCs/>
              </w:rPr>
              <w:t>0</w:t>
            </w:r>
          </w:p>
        </w:tc>
      </w:tr>
      <w:tr w:rsidR="008C207B" w:rsidRPr="008C207B" w14:paraId="391DDEC0" w14:textId="77777777" w:rsidTr="008C207B">
        <w:trPr>
          <w:trHeight w:val="227"/>
        </w:trPr>
        <w:tc>
          <w:tcPr>
            <w:tcW w:w="3969" w:type="dxa"/>
            <w:vAlign w:val="center"/>
          </w:tcPr>
          <w:p w14:paraId="46F9E477" w14:textId="77777777" w:rsidR="00754D81" w:rsidRPr="008C207B" w:rsidRDefault="00754D81" w:rsidP="008C207B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8C207B">
              <w:rPr>
                <w:rFonts w:asciiTheme="minorHAnsi" w:hAnsiTheme="minorHAnsi" w:cstheme="minorHAnsi"/>
                <w:b/>
              </w:rPr>
              <w:t>Celkem</w:t>
            </w:r>
          </w:p>
        </w:tc>
        <w:tc>
          <w:tcPr>
            <w:tcW w:w="1701" w:type="dxa"/>
            <w:vAlign w:val="center"/>
          </w:tcPr>
          <w:p w14:paraId="7BBE8491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–</w:t>
            </w:r>
          </w:p>
        </w:tc>
        <w:tc>
          <w:tcPr>
            <w:tcW w:w="2154" w:type="dxa"/>
            <w:vAlign w:val="center"/>
          </w:tcPr>
          <w:p w14:paraId="56F098A0" w14:textId="77777777" w:rsidR="00754D81" w:rsidRPr="008C207B" w:rsidRDefault="00754D81" w:rsidP="008C207B">
            <w:pPr>
              <w:spacing w:before="60" w:after="60"/>
              <w:ind w:right="118"/>
              <w:jc w:val="right"/>
              <w:rPr>
                <w:rFonts w:asciiTheme="minorHAnsi" w:hAnsiTheme="minorHAnsi" w:cstheme="minorHAnsi"/>
                <w:b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/>
                <w:bCs/>
                <w:iCs/>
              </w:rPr>
              <w:t>1 095 554 580</w:t>
            </w:r>
          </w:p>
        </w:tc>
        <w:tc>
          <w:tcPr>
            <w:tcW w:w="1417" w:type="dxa"/>
            <w:vAlign w:val="center"/>
          </w:tcPr>
          <w:p w14:paraId="671C05F8" w14:textId="77777777" w:rsidR="00754D81" w:rsidRPr="008C207B" w:rsidRDefault="00754D81" w:rsidP="008C207B">
            <w:pPr>
              <w:spacing w:before="60" w:after="60"/>
              <w:ind w:left="-136" w:right="145"/>
              <w:jc w:val="right"/>
              <w:rPr>
                <w:rFonts w:asciiTheme="minorHAnsi" w:hAnsiTheme="minorHAnsi" w:cstheme="minorHAnsi"/>
                <w:bCs/>
                <w:iCs/>
              </w:rPr>
            </w:pPr>
            <w:r w:rsidRPr="008C207B">
              <w:rPr>
                <w:rFonts w:asciiTheme="minorHAnsi" w:hAnsiTheme="minorHAnsi" w:cstheme="minorHAnsi"/>
                <w:bCs/>
                <w:iCs/>
              </w:rPr>
              <w:t>–</w:t>
            </w:r>
          </w:p>
        </w:tc>
      </w:tr>
    </w:tbl>
    <w:p w14:paraId="49F7358E" w14:textId="780D0C81" w:rsidR="00754D81" w:rsidRPr="00551BEC" w:rsidRDefault="00754D81" w:rsidP="008C207B">
      <w:pPr>
        <w:spacing w:before="40" w:after="0" w:line="240" w:lineRule="auto"/>
        <w:jc w:val="both"/>
        <w:rPr>
          <w:rFonts w:cstheme="minorHAnsi"/>
          <w:bCs/>
          <w:iCs/>
          <w:sz w:val="20"/>
          <w:szCs w:val="20"/>
        </w:rPr>
      </w:pPr>
      <w:r w:rsidRPr="00551BEC">
        <w:rPr>
          <w:rFonts w:cstheme="minorHAnsi"/>
          <w:b/>
          <w:bCs/>
          <w:iCs/>
          <w:sz w:val="20"/>
          <w:szCs w:val="20"/>
        </w:rPr>
        <w:t>Zdroj:</w:t>
      </w:r>
      <w:r w:rsidRPr="00551BEC">
        <w:rPr>
          <w:rFonts w:cstheme="minorHAnsi"/>
          <w:bCs/>
          <w:iCs/>
          <w:sz w:val="20"/>
          <w:szCs w:val="20"/>
        </w:rPr>
        <w:t xml:space="preserve"> </w:t>
      </w:r>
      <w:r w:rsidR="00E57F26">
        <w:rPr>
          <w:rFonts w:cstheme="minorHAnsi"/>
          <w:bCs/>
          <w:iCs/>
          <w:sz w:val="20"/>
          <w:szCs w:val="20"/>
        </w:rPr>
        <w:t>o</w:t>
      </w:r>
      <w:r w:rsidRPr="00551BEC">
        <w:rPr>
          <w:rFonts w:cstheme="minorHAnsi"/>
          <w:bCs/>
          <w:iCs/>
          <w:sz w:val="20"/>
          <w:szCs w:val="20"/>
        </w:rPr>
        <w:t>bchodní rejstřík, výpisy z </w:t>
      </w:r>
      <w:r w:rsidR="00FE459B">
        <w:rPr>
          <w:rFonts w:cstheme="minorHAnsi"/>
          <w:bCs/>
          <w:iCs/>
          <w:sz w:val="20"/>
          <w:szCs w:val="20"/>
        </w:rPr>
        <w:t>c</w:t>
      </w:r>
      <w:r w:rsidRPr="00551BEC">
        <w:rPr>
          <w:rFonts w:cstheme="minorHAnsi"/>
          <w:bCs/>
          <w:iCs/>
          <w:sz w:val="20"/>
          <w:szCs w:val="20"/>
        </w:rPr>
        <w:t xml:space="preserve">entrálního depozitáře cenných papírů, podklady </w:t>
      </w:r>
      <w:r w:rsidR="00E57F26">
        <w:rPr>
          <w:rFonts w:cstheme="minorHAnsi"/>
          <w:bCs/>
          <w:iCs/>
          <w:sz w:val="20"/>
          <w:szCs w:val="20"/>
        </w:rPr>
        <w:t xml:space="preserve">od </w:t>
      </w:r>
      <w:r w:rsidRPr="00551BEC">
        <w:rPr>
          <w:rFonts w:cstheme="minorHAnsi"/>
          <w:bCs/>
          <w:iCs/>
          <w:sz w:val="20"/>
          <w:szCs w:val="20"/>
        </w:rPr>
        <w:t>ministerstev.</w:t>
      </w:r>
    </w:p>
    <w:sectPr w:rsidR="00754D81" w:rsidRPr="00551BEC" w:rsidSect="009A368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E35D00" w14:textId="77777777" w:rsidR="00E5763E" w:rsidRDefault="00E5763E" w:rsidP="00E16A7B">
      <w:pPr>
        <w:spacing w:after="0" w:line="240" w:lineRule="auto"/>
      </w:pPr>
      <w:r>
        <w:separator/>
      </w:r>
    </w:p>
  </w:endnote>
  <w:endnote w:type="continuationSeparator" w:id="0">
    <w:p w14:paraId="7652E7CD" w14:textId="77777777" w:rsidR="00E5763E" w:rsidRDefault="00E5763E" w:rsidP="00E16A7B">
      <w:pPr>
        <w:spacing w:after="0" w:line="240" w:lineRule="auto"/>
      </w:pPr>
      <w:r>
        <w:continuationSeparator/>
      </w:r>
    </w:p>
  </w:endnote>
  <w:endnote w:type="continuationNotice" w:id="1">
    <w:p w14:paraId="7C1341F3" w14:textId="77777777" w:rsidR="00E5763E" w:rsidRDefault="00E576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6584875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690F9738" w14:textId="77777777" w:rsidR="00E5763E" w:rsidRPr="00754D81" w:rsidRDefault="00E5763E">
        <w:pPr>
          <w:pStyle w:val="Zpat"/>
          <w:jc w:val="center"/>
          <w:rPr>
            <w:sz w:val="24"/>
            <w:szCs w:val="24"/>
          </w:rPr>
        </w:pPr>
        <w:r w:rsidRPr="00754D81">
          <w:rPr>
            <w:sz w:val="24"/>
            <w:szCs w:val="24"/>
          </w:rPr>
          <w:fldChar w:fldCharType="begin"/>
        </w:r>
        <w:r w:rsidRPr="00754D81">
          <w:rPr>
            <w:sz w:val="24"/>
            <w:szCs w:val="24"/>
          </w:rPr>
          <w:instrText>PAGE   \* MERGEFORMAT</w:instrText>
        </w:r>
        <w:r w:rsidRPr="00754D81">
          <w:rPr>
            <w:sz w:val="24"/>
            <w:szCs w:val="24"/>
          </w:rPr>
          <w:fldChar w:fldCharType="separate"/>
        </w:r>
        <w:r w:rsidR="001A1CFE">
          <w:rPr>
            <w:noProof/>
            <w:sz w:val="24"/>
            <w:szCs w:val="24"/>
          </w:rPr>
          <w:t>3</w:t>
        </w:r>
        <w:r w:rsidRPr="00754D8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A2642B" w14:textId="77777777" w:rsidR="00E5763E" w:rsidRDefault="00E5763E" w:rsidP="00E16A7B">
      <w:pPr>
        <w:spacing w:after="0" w:line="240" w:lineRule="auto"/>
      </w:pPr>
      <w:r>
        <w:separator/>
      </w:r>
    </w:p>
  </w:footnote>
  <w:footnote w:type="continuationSeparator" w:id="0">
    <w:p w14:paraId="20D7DCC7" w14:textId="77777777" w:rsidR="00E5763E" w:rsidRDefault="00E5763E" w:rsidP="00E16A7B">
      <w:pPr>
        <w:spacing w:after="0" w:line="240" w:lineRule="auto"/>
      </w:pPr>
      <w:r>
        <w:continuationSeparator/>
      </w:r>
    </w:p>
  </w:footnote>
  <w:footnote w:type="continuationNotice" w:id="1">
    <w:p w14:paraId="24F04A68" w14:textId="77777777" w:rsidR="00E5763E" w:rsidRDefault="00E5763E">
      <w:pPr>
        <w:spacing w:after="0" w:line="240" w:lineRule="auto"/>
      </w:pPr>
    </w:p>
  </w:footnote>
  <w:footnote w:id="2">
    <w:p w14:paraId="40C91E33" w14:textId="77777777" w:rsidR="00E5763E" w:rsidRDefault="00E5763E" w:rsidP="00307745">
      <w:pPr>
        <w:pStyle w:val="Textpoznpodarou"/>
        <w:ind w:left="284" w:hanging="284"/>
      </w:pPr>
      <w:r>
        <w:rPr>
          <w:rStyle w:val="Znakapoznpodarou"/>
        </w:rPr>
        <w:footnoteRef/>
      </w:r>
      <w:r>
        <w:tab/>
        <w:t>Přehled neobsahuje MÚ v mezinárodních institucích – tyto MÚ nebyly předmětem kontroly.</w:t>
      </w:r>
    </w:p>
  </w:footnote>
  <w:footnote w:id="3">
    <w:p w14:paraId="7E986BDB" w14:textId="27A59951" w:rsidR="00E5763E" w:rsidRDefault="00E5763E" w:rsidP="009F15EB">
      <w:pPr>
        <w:pStyle w:val="Textpoznpodarou"/>
        <w:ind w:left="284" w:hanging="284"/>
        <w:jc w:val="both"/>
        <w:rPr>
          <w:rFonts w:cstheme="minorHAnsi"/>
        </w:rPr>
      </w:pPr>
      <w:r>
        <w:rPr>
          <w:rStyle w:val="Znakapoznpodarou"/>
        </w:rPr>
        <w:footnoteRef/>
      </w:r>
      <w:r>
        <w:tab/>
      </w:r>
      <w:r w:rsidRPr="00485081">
        <w:rPr>
          <w:rFonts w:cstheme="minorHAnsi"/>
          <w:i/>
        </w:rPr>
        <w:t>Zásady odměňování vedoucích zaměstnanců a členů orgánů obchodních společností s majetkovou účastí státu nad 33 %, včetně státních podniků a jiných státních organizací zřízených zákonem nebo ministerstvem</w:t>
      </w:r>
      <w:r>
        <w:rPr>
          <w:rFonts w:cstheme="minorHAnsi"/>
        </w:rPr>
        <w:t xml:space="preserve"> schválené u</w:t>
      </w:r>
      <w:r w:rsidRPr="00976837">
        <w:rPr>
          <w:rFonts w:cstheme="minorHAnsi"/>
        </w:rPr>
        <w:t xml:space="preserve">snesením vlády České republiky ze dne 22. </w:t>
      </w:r>
      <w:r>
        <w:rPr>
          <w:rFonts w:cstheme="minorHAnsi"/>
        </w:rPr>
        <w:t xml:space="preserve">2. </w:t>
      </w:r>
      <w:r w:rsidRPr="00976837">
        <w:rPr>
          <w:rFonts w:cstheme="minorHAnsi"/>
        </w:rPr>
        <w:t>2010 č. 159</w:t>
      </w:r>
      <w:r>
        <w:rPr>
          <w:rFonts w:cstheme="minorHAnsi"/>
        </w:rPr>
        <w:t xml:space="preserve">. </w:t>
      </w:r>
    </w:p>
    <w:p w14:paraId="386EAEE3" w14:textId="16F773FF" w:rsidR="00E5763E" w:rsidRPr="008E2EEE" w:rsidRDefault="00E5763E" w:rsidP="009F15EB">
      <w:pPr>
        <w:pStyle w:val="Textpoznpodarou"/>
        <w:ind w:left="284" w:hanging="284"/>
        <w:jc w:val="both"/>
      </w:pPr>
      <w:r>
        <w:rPr>
          <w:rFonts w:cstheme="minorHAnsi"/>
        </w:rPr>
        <w:tab/>
      </w:r>
      <w:r w:rsidRPr="008E2EEE">
        <w:rPr>
          <w:rFonts w:cstheme="minorHAnsi"/>
        </w:rPr>
        <w:t xml:space="preserve">Zásady odměňování byly zrušeny a nahrazeny aktualizovanými </w:t>
      </w:r>
      <w:r w:rsidRPr="00485081">
        <w:rPr>
          <w:rFonts w:cstheme="minorHAnsi"/>
          <w:i/>
        </w:rPr>
        <w:t>Zásadami odměňování vedoucích zaměstnanců a členů orgánů ovládaných obchodních společností s majetkovou účastí státu včetně státních podniků a jiných státních organizací zřízených zákonem nebo ministerstvem</w:t>
      </w:r>
      <w:r w:rsidRPr="008E2EEE">
        <w:rPr>
          <w:rFonts w:cstheme="minorHAnsi"/>
        </w:rPr>
        <w:t xml:space="preserve"> schválenými usnesením vlády České republiky ze dne 29. </w:t>
      </w:r>
      <w:r>
        <w:rPr>
          <w:rFonts w:cstheme="minorHAnsi"/>
        </w:rPr>
        <w:t>7.</w:t>
      </w:r>
      <w:r w:rsidRPr="008E2EEE">
        <w:rPr>
          <w:rFonts w:cstheme="minorHAnsi"/>
        </w:rPr>
        <w:t xml:space="preserve"> 2015 č. 606. Aktualizované </w:t>
      </w:r>
      <w:r>
        <w:rPr>
          <w:rFonts w:cstheme="minorHAnsi"/>
        </w:rPr>
        <w:t>z</w:t>
      </w:r>
      <w:r w:rsidRPr="008E2EEE">
        <w:rPr>
          <w:rFonts w:cstheme="minorHAnsi"/>
        </w:rPr>
        <w:t>ásady nebyly předmětem kontroly.</w:t>
      </w:r>
    </w:p>
  </w:footnote>
  <w:footnote w:id="4">
    <w:p w14:paraId="09381DE6" w14:textId="04284809" w:rsidR="00E5763E" w:rsidRDefault="00E5763E" w:rsidP="00F413B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Zákon č. 513/1991 Sb., obchodní zákoník, a zákon č. 90/2012 Sb., o obchodních společnostech a družstvech (zákon o obchodních korporacích).</w:t>
      </w:r>
    </w:p>
  </w:footnote>
  <w:footnote w:id="5">
    <w:p w14:paraId="48DFB574" w14:textId="2AB7337E" w:rsidR="00E5763E" w:rsidRDefault="00E5763E" w:rsidP="009F15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Vyhláška č. 455/2008 Sb., o rozsahu, struktuře a termínech pro předkládání údajů o stavu pohledávek z poskytnutých návratných finančních výpomocí, majetkových účastí a cenných papírů, jejichž majitelem je stát a se kterými jsou příslušní hospodařit správci kapitol.</w:t>
      </w:r>
    </w:p>
  </w:footnote>
  <w:footnote w:id="6">
    <w:p w14:paraId="4941061F" w14:textId="2E29C0A0" w:rsidR="00E5763E" w:rsidRDefault="00E5763E" w:rsidP="009F15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Vyhláška č. 419/2001 Sb., o rozsahu, struktuře a termínech údajů předkládaných pro vypracování návrhu státního závěrečného účtu a o rozsahu a termínech sestavení návrhů závěrečných účtů kapitol státního rozpočtu.</w:t>
      </w:r>
    </w:p>
  </w:footnote>
  <w:footnote w:id="7">
    <w:p w14:paraId="5E94AB13" w14:textId="5980512E" w:rsidR="00E5763E" w:rsidRPr="005D6DB2" w:rsidRDefault="00E5763E" w:rsidP="009F15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5D6DB2">
        <w:t>Vyhláška č. 410/2009 Sb., kterou se provádějí některá ustanovení zákona č. 563/1991 Sb., o účetnictví, ve znění pozdějších předpisů, pro některé vybrané účetní jednotky</w:t>
      </w:r>
      <w:r>
        <w:t>.</w:t>
      </w:r>
    </w:p>
  </w:footnote>
  <w:footnote w:id="8">
    <w:p w14:paraId="0873F39D" w14:textId="49111CE8" w:rsidR="00E5763E" w:rsidRDefault="00E5763E" w:rsidP="009F15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 xml:space="preserve">Směrnice </w:t>
      </w:r>
      <w:r w:rsidR="00700EA2">
        <w:t xml:space="preserve">č. 4/2010 </w:t>
      </w:r>
      <w:r>
        <w:t>ministra financí ve věci</w:t>
      </w:r>
      <w:r w:rsidR="00574950">
        <w:t>:</w:t>
      </w:r>
      <w:r>
        <w:t xml:space="preserve"> </w:t>
      </w:r>
      <w:r w:rsidR="00574950">
        <w:t>A</w:t>
      </w:r>
      <w:r>
        <w:t xml:space="preserve">plikace </w:t>
      </w:r>
      <w:r w:rsidR="001F5ACB">
        <w:t>„</w:t>
      </w:r>
      <w:r>
        <w:t>Zásad odměňování vedoucích zaměstnanců a členů orgánů obchodních společností s majetkovou účastí státu nad 33 %, včetně státních podniků a jiných státních organizací zřízených zákonem nebo ministerstvem</w:t>
      </w:r>
      <w:r w:rsidR="001F5ACB">
        <w:t>“</w:t>
      </w:r>
      <w:r>
        <w:t>.</w:t>
      </w:r>
    </w:p>
  </w:footnote>
  <w:footnote w:id="9">
    <w:p w14:paraId="2994EBDD" w14:textId="53F689FD" w:rsidR="00700EA2" w:rsidRDefault="00700EA2" w:rsidP="00700E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Opatření č. 18/2010 ministra průmyslu a obchodu, o výkonu akcionářských práv a k aplikaci Zásad odměňování vedoucích zaměstnanců a členů orgánů obchodních společností s majetkovou účastí státu nad 33%, včetně státních podniků a jiných státních organizací zřízených zákonem nebo ministerstvem.</w:t>
      </w:r>
    </w:p>
  </w:footnote>
  <w:footnote w:id="10">
    <w:p w14:paraId="67E5DD6F" w14:textId="1DD2D224" w:rsidR="00700EA2" w:rsidRDefault="00700EA2" w:rsidP="00700EA2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Opatření č. 20/2014 ministra průmyslu a obchodu, o výkonu akcionářských práv a k aplikaci Zásad odměňování vedoucích zaměstnanců a členů orgánů obchodních společností s majetkovou účastí státu nad 33 %, včetně státních podniků a jiných státních organizací zřízených zákonem nebo ministerstvem.</w:t>
      </w:r>
    </w:p>
  </w:footnote>
  <w:footnote w:id="11">
    <w:p w14:paraId="16A45FF7" w14:textId="175D2BD1" w:rsidR="00E5763E" w:rsidRPr="009D7BC1" w:rsidRDefault="00E5763E" w:rsidP="009F15E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</w:r>
      <w:r w:rsidRPr="009D7BC1">
        <w:rPr>
          <w:rFonts w:cstheme="minorHAnsi"/>
          <w:lang w:eastAsia="cs-CZ"/>
        </w:rPr>
        <w:t>Příkaz ministra zemědělství č. 5/2011</w:t>
      </w:r>
      <w:r>
        <w:rPr>
          <w:rFonts w:cstheme="minorHAnsi"/>
          <w:lang w:eastAsia="cs-CZ"/>
        </w:rPr>
        <w:t>,</w:t>
      </w:r>
      <w:r w:rsidRPr="009D7BC1">
        <w:rPr>
          <w:rFonts w:cstheme="minorHAnsi"/>
          <w:lang w:eastAsia="cs-CZ"/>
        </w:rPr>
        <w:t xml:space="preserve"> k výkonu zakladatelských funkcí vůči státním organizacím typu státního podniku a vůči akciovým společnostem, v nichž Česká republika </w:t>
      </w:r>
      <w:r>
        <w:rPr>
          <w:rFonts w:cstheme="minorHAnsi"/>
          <w:lang w:eastAsia="cs-CZ"/>
        </w:rPr>
        <w:t>–</w:t>
      </w:r>
      <w:r w:rsidRPr="009D7BC1">
        <w:rPr>
          <w:rFonts w:cstheme="minorHAnsi"/>
          <w:lang w:eastAsia="cs-CZ"/>
        </w:rPr>
        <w:t xml:space="preserve"> Ministerstvo zemědělství vykonává práva jediného akcionáře</w:t>
      </w:r>
      <w:r>
        <w:rPr>
          <w:rFonts w:cstheme="minorHAnsi"/>
          <w:lang w:eastAsia="cs-CZ"/>
        </w:rPr>
        <w:t>.</w:t>
      </w:r>
    </w:p>
  </w:footnote>
  <w:footnote w:id="12">
    <w:p w14:paraId="4D25EABA" w14:textId="4C59B46F" w:rsidR="005C6AD7" w:rsidRDefault="005C6AD7" w:rsidP="005C6AD7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 xml:space="preserve">Směrnice </w:t>
      </w:r>
      <w:r w:rsidR="00B401FB">
        <w:t xml:space="preserve">č. 2/2006 </w:t>
      </w:r>
      <w:r>
        <w:t>ministra financí ve věci</w:t>
      </w:r>
      <w:r w:rsidR="00574950">
        <w:t>:</w:t>
      </w:r>
      <w:r>
        <w:t xml:space="preserve"> </w:t>
      </w:r>
      <w:r w:rsidR="00574950">
        <w:t>V</w:t>
      </w:r>
      <w:r>
        <w:t>ýkon agendy realizace privatizačních rozhodnutí.</w:t>
      </w:r>
    </w:p>
  </w:footnote>
  <w:footnote w:id="13">
    <w:p w14:paraId="604ECB9D" w14:textId="0B365F9F" w:rsidR="00E5763E" w:rsidRDefault="00E5763E" w:rsidP="00135B6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 xml:space="preserve">Směrnice </w:t>
      </w:r>
      <w:r w:rsidR="00B401FB">
        <w:t xml:space="preserve">č. 12/2007 </w:t>
      </w:r>
      <w:r>
        <w:t>ministra financí ve věci</w:t>
      </w:r>
      <w:r w:rsidR="00574950">
        <w:t>:</w:t>
      </w:r>
      <w:r>
        <w:t xml:space="preserve"> </w:t>
      </w:r>
      <w:r w:rsidR="00574950">
        <w:t>N</w:t>
      </w:r>
      <w:r>
        <w:t>akládání s cennými papíry, s nimiž je příslušné hospodařit Ministerstvo financí.</w:t>
      </w:r>
    </w:p>
  </w:footnote>
  <w:footnote w:id="14">
    <w:p w14:paraId="70B90C94" w14:textId="3395FA09" w:rsidR="00B401FB" w:rsidRDefault="00B401FB" w:rsidP="00B401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 xml:space="preserve">Směrnice </w:t>
      </w:r>
      <w:r w:rsidRPr="00B401FB">
        <w:t xml:space="preserve">č. 1/2006 </w:t>
      </w:r>
      <w:r>
        <w:t>ministra financí ve věci</w:t>
      </w:r>
      <w:r w:rsidR="00574950">
        <w:t>:</w:t>
      </w:r>
      <w:r>
        <w:t xml:space="preserve"> </w:t>
      </w:r>
      <w:r w:rsidR="00574950">
        <w:t>P</w:t>
      </w:r>
      <w:r>
        <w:t>ravidl</w:t>
      </w:r>
      <w:r w:rsidR="00574950">
        <w:t>a</w:t>
      </w:r>
      <w:r>
        <w:t xml:space="preserve"> pro výkon akcionářských práv státu v akciových společnostech vzniklých při privatizaci majetku státu.</w:t>
      </w:r>
    </w:p>
  </w:footnote>
  <w:footnote w:id="15">
    <w:p w14:paraId="2AAEFD05" w14:textId="75B0FB61" w:rsidR="00B401FB" w:rsidRDefault="00B401FB" w:rsidP="00B401FB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 xml:space="preserve">Směrnice </w:t>
      </w:r>
      <w:r w:rsidR="00167AD3">
        <w:t xml:space="preserve">č. 3/2015 </w:t>
      </w:r>
      <w:r>
        <w:t>ministra financí ve věci</w:t>
      </w:r>
      <w:r w:rsidR="00574950">
        <w:t>:</w:t>
      </w:r>
      <w:r>
        <w:t xml:space="preserve"> </w:t>
      </w:r>
      <w:r w:rsidR="00574950">
        <w:t>P</w:t>
      </w:r>
      <w:r>
        <w:t>ravidl</w:t>
      </w:r>
      <w:r w:rsidR="00574950">
        <w:t>a</w:t>
      </w:r>
      <w:r>
        <w:t xml:space="preserve"> pro výkon vlastnických práv státu v obchodních korporacích strategického významu s majetkovou účastí České republiky – Ministerstva financí.</w:t>
      </w:r>
    </w:p>
  </w:footnote>
  <w:footnote w:id="16">
    <w:p w14:paraId="68EDB988" w14:textId="2CBE7A52" w:rsidR="00E5763E" w:rsidRDefault="00E5763E" w:rsidP="00135B61">
      <w:pPr>
        <w:pStyle w:val="Textpoznpodarou"/>
        <w:ind w:left="284" w:hanging="284"/>
        <w:jc w:val="both"/>
      </w:pPr>
      <w:r>
        <w:rPr>
          <w:rStyle w:val="Znakapoznpodarou"/>
        </w:rPr>
        <w:footnoteRef/>
      </w:r>
      <w:r>
        <w:tab/>
        <w:t>Opatření ministra zemědělství k výkonu vlastnických práv v obchodních společnostech s majetkovou účastí České republiky – Ministerstva zemědělství nižší než 100 %.</w:t>
      </w:r>
    </w:p>
  </w:footnote>
  <w:footnote w:id="17">
    <w:p w14:paraId="02F39557" w14:textId="2267594F" w:rsidR="00E5763E" w:rsidRPr="00D14358" w:rsidRDefault="00E5763E" w:rsidP="00CC2CC4">
      <w:pPr>
        <w:pStyle w:val="Textpoznpodarou"/>
        <w:ind w:left="284" w:hanging="284"/>
        <w:jc w:val="both"/>
      </w:pPr>
      <w:r w:rsidRPr="00D14358">
        <w:rPr>
          <w:rStyle w:val="Znakapoznpodarou"/>
        </w:rPr>
        <w:footnoteRef/>
      </w:r>
      <w:r>
        <w:tab/>
      </w:r>
      <w:r w:rsidRPr="00D14358">
        <w:t xml:space="preserve">Dle </w:t>
      </w:r>
      <w:r>
        <w:t>s</w:t>
      </w:r>
      <w:r w:rsidRPr="00D14358">
        <w:t xml:space="preserve">tatutu Vládního výboru pro personální nominace schváleného usnesením vlády ze dne 17. </w:t>
      </w:r>
      <w:r>
        <w:t xml:space="preserve">3. </w:t>
      </w:r>
      <w:r w:rsidRPr="00D14358">
        <w:t>2014 č.</w:t>
      </w:r>
      <w:r>
        <w:t> </w:t>
      </w:r>
      <w:r w:rsidRPr="00D14358">
        <w:t xml:space="preserve">177 a změněného usnesením vlády ze dne 3. </w:t>
      </w:r>
      <w:r>
        <w:t xml:space="preserve">3. </w:t>
      </w:r>
      <w:r w:rsidRPr="00D14358">
        <w:t>2014 č. 711 je každý člen vlády povinen neprodleně předložit návrh personální nominace do dozorčí rady k posouzení Vládnímu výboru</w:t>
      </w:r>
      <w:r>
        <w:t xml:space="preserve"> </w:t>
      </w:r>
      <w:r w:rsidRPr="00D14358">
        <w:t>pro personální nominace</w:t>
      </w:r>
      <w:r>
        <w:t>.</w:t>
      </w:r>
    </w:p>
  </w:footnote>
  <w:footnote w:id="18">
    <w:p w14:paraId="55B4D28B" w14:textId="77777777" w:rsidR="00E5763E" w:rsidRPr="00D0396A" w:rsidRDefault="00E5763E" w:rsidP="00CC2CC4">
      <w:pPr>
        <w:pStyle w:val="Textpoznpodarou"/>
        <w:ind w:left="238" w:hanging="238"/>
        <w:jc w:val="both"/>
      </w:pPr>
      <w:r>
        <w:rPr>
          <w:rStyle w:val="Znakapoznpodarou"/>
        </w:rPr>
        <w:footnoteRef/>
      </w:r>
      <w:r>
        <w:tab/>
      </w:r>
      <w:r w:rsidRPr="00D0396A">
        <w:rPr>
          <w:rFonts w:cstheme="minorHAnsi"/>
          <w:bCs/>
        </w:rPr>
        <w:t>Metodický pokyn č. 2/2015 k oceňování a klasifikaci majetkových účastí určených k držení a výkonu majetkových práv v účetní jednotce MF z důvodu uplatňovaného vlivu MF jako účetní jednotky</w:t>
      </w:r>
      <w:r>
        <w:rPr>
          <w:rFonts w:cstheme="minorHAnsi"/>
          <w:bCs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F275E" w14:textId="77777777" w:rsidR="00E5763E" w:rsidRDefault="00E5763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33285"/>
    <w:multiLevelType w:val="hybridMultilevel"/>
    <w:tmpl w:val="CB4CE15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2E4409"/>
    <w:multiLevelType w:val="hybridMultilevel"/>
    <w:tmpl w:val="92D807E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174048"/>
    <w:multiLevelType w:val="hybridMultilevel"/>
    <w:tmpl w:val="6C92B1D2"/>
    <w:lvl w:ilvl="0" w:tplc="ECEA7A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FD625B"/>
    <w:multiLevelType w:val="hybridMultilevel"/>
    <w:tmpl w:val="019AE514"/>
    <w:lvl w:ilvl="0" w:tplc="3760CD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A20A7F"/>
    <w:multiLevelType w:val="hybridMultilevel"/>
    <w:tmpl w:val="DA42CE24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CE4451"/>
    <w:multiLevelType w:val="hybridMultilevel"/>
    <w:tmpl w:val="449A3F1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B73D21"/>
    <w:multiLevelType w:val="hybridMultilevel"/>
    <w:tmpl w:val="9F0AAAD2"/>
    <w:lvl w:ilvl="0" w:tplc="ECEA7A78">
      <w:start w:val="4"/>
      <w:numFmt w:val="bullet"/>
      <w:lvlText w:val="-"/>
      <w:lvlJc w:val="left"/>
      <w:pPr>
        <w:ind w:left="1429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E747601"/>
    <w:multiLevelType w:val="hybridMultilevel"/>
    <w:tmpl w:val="8E9ED398"/>
    <w:lvl w:ilvl="0" w:tplc="ECEA7A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83C375C"/>
    <w:multiLevelType w:val="hybridMultilevel"/>
    <w:tmpl w:val="0694A264"/>
    <w:lvl w:ilvl="0" w:tplc="ECEA7A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40F5675"/>
    <w:multiLevelType w:val="hybridMultilevel"/>
    <w:tmpl w:val="1FD46414"/>
    <w:lvl w:ilvl="0" w:tplc="3760CDE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9315624"/>
    <w:multiLevelType w:val="hybridMultilevel"/>
    <w:tmpl w:val="C6F40C0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A8C4E22"/>
    <w:multiLevelType w:val="multilevel"/>
    <w:tmpl w:val="1030819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  <w:sz w:val="24"/>
      </w:rPr>
    </w:lvl>
  </w:abstractNum>
  <w:abstractNum w:abstractNumId="12">
    <w:nsid w:val="3AAD2CF8"/>
    <w:multiLevelType w:val="hybridMultilevel"/>
    <w:tmpl w:val="33909D84"/>
    <w:lvl w:ilvl="0" w:tplc="6C58E82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20455B1"/>
    <w:multiLevelType w:val="hybridMultilevel"/>
    <w:tmpl w:val="81BC94F2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43746E"/>
    <w:multiLevelType w:val="hybridMultilevel"/>
    <w:tmpl w:val="C40C9726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7C68AF"/>
    <w:multiLevelType w:val="hybridMultilevel"/>
    <w:tmpl w:val="BCFCB79C"/>
    <w:lvl w:ilvl="0" w:tplc="E6D0689C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6">
    <w:nsid w:val="51172B93"/>
    <w:multiLevelType w:val="hybridMultilevel"/>
    <w:tmpl w:val="5676453A"/>
    <w:lvl w:ilvl="0" w:tplc="9C8E93E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3325B7"/>
    <w:multiLevelType w:val="hybridMultilevel"/>
    <w:tmpl w:val="2B4E93AC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FD396C"/>
    <w:multiLevelType w:val="hybridMultilevel"/>
    <w:tmpl w:val="8092C6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AE6E0C"/>
    <w:multiLevelType w:val="hybridMultilevel"/>
    <w:tmpl w:val="1BD8A014"/>
    <w:lvl w:ilvl="0" w:tplc="ECEA7A78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0D32B97"/>
    <w:multiLevelType w:val="hybridMultilevel"/>
    <w:tmpl w:val="E692073A"/>
    <w:lvl w:ilvl="0" w:tplc="9C8E93E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427B00"/>
    <w:multiLevelType w:val="hybridMultilevel"/>
    <w:tmpl w:val="06484D28"/>
    <w:lvl w:ilvl="0" w:tplc="3F924B10">
      <w:numFmt w:val="bullet"/>
      <w:lvlText w:val="-"/>
      <w:lvlJc w:val="left"/>
      <w:pPr>
        <w:ind w:left="64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9"/>
  </w:num>
  <w:num w:numId="4">
    <w:abstractNumId w:val="2"/>
  </w:num>
  <w:num w:numId="5">
    <w:abstractNumId w:val="15"/>
  </w:num>
  <w:num w:numId="6">
    <w:abstractNumId w:val="7"/>
  </w:num>
  <w:num w:numId="7">
    <w:abstractNumId w:val="21"/>
  </w:num>
  <w:num w:numId="8">
    <w:abstractNumId w:val="6"/>
  </w:num>
  <w:num w:numId="9">
    <w:abstractNumId w:val="3"/>
  </w:num>
  <w:num w:numId="10">
    <w:abstractNumId w:val="8"/>
  </w:num>
  <w:num w:numId="11">
    <w:abstractNumId w:val="14"/>
  </w:num>
  <w:num w:numId="12">
    <w:abstractNumId w:val="19"/>
  </w:num>
  <w:num w:numId="13">
    <w:abstractNumId w:val="20"/>
  </w:num>
  <w:num w:numId="14">
    <w:abstractNumId w:val="17"/>
  </w:num>
  <w:num w:numId="15">
    <w:abstractNumId w:val="5"/>
  </w:num>
  <w:num w:numId="16">
    <w:abstractNumId w:val="18"/>
  </w:num>
  <w:num w:numId="17">
    <w:abstractNumId w:val="4"/>
  </w:num>
  <w:num w:numId="18">
    <w:abstractNumId w:val="0"/>
  </w:num>
  <w:num w:numId="19">
    <w:abstractNumId w:val="10"/>
  </w:num>
  <w:num w:numId="20">
    <w:abstractNumId w:val="1"/>
  </w:num>
  <w:num w:numId="21">
    <w:abstractNumId w:val="13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FA2"/>
    <w:rsid w:val="0000149A"/>
    <w:rsid w:val="0000183D"/>
    <w:rsid w:val="0000279D"/>
    <w:rsid w:val="00003969"/>
    <w:rsid w:val="00003D2E"/>
    <w:rsid w:val="00003F59"/>
    <w:rsid w:val="00012346"/>
    <w:rsid w:val="00014D4D"/>
    <w:rsid w:val="000154D1"/>
    <w:rsid w:val="00015583"/>
    <w:rsid w:val="00021C0C"/>
    <w:rsid w:val="000232ED"/>
    <w:rsid w:val="000246E4"/>
    <w:rsid w:val="000332AA"/>
    <w:rsid w:val="00033B16"/>
    <w:rsid w:val="0003556C"/>
    <w:rsid w:val="00054481"/>
    <w:rsid w:val="00055138"/>
    <w:rsid w:val="000556FF"/>
    <w:rsid w:val="000657C7"/>
    <w:rsid w:val="00066E79"/>
    <w:rsid w:val="000711D5"/>
    <w:rsid w:val="0007139C"/>
    <w:rsid w:val="00082527"/>
    <w:rsid w:val="000828EC"/>
    <w:rsid w:val="000833A7"/>
    <w:rsid w:val="000837AA"/>
    <w:rsid w:val="00083FCD"/>
    <w:rsid w:val="00086242"/>
    <w:rsid w:val="00093921"/>
    <w:rsid w:val="00095106"/>
    <w:rsid w:val="00097300"/>
    <w:rsid w:val="000A5627"/>
    <w:rsid w:val="000A60BC"/>
    <w:rsid w:val="000A6EA6"/>
    <w:rsid w:val="000A6EF3"/>
    <w:rsid w:val="000A7AEE"/>
    <w:rsid w:val="000B3470"/>
    <w:rsid w:val="000B4B47"/>
    <w:rsid w:val="000C0D16"/>
    <w:rsid w:val="000C145F"/>
    <w:rsid w:val="000C5DA7"/>
    <w:rsid w:val="000D4131"/>
    <w:rsid w:val="000D4C52"/>
    <w:rsid w:val="000D4FD5"/>
    <w:rsid w:val="000E05CD"/>
    <w:rsid w:val="000E0CCE"/>
    <w:rsid w:val="000E6E42"/>
    <w:rsid w:val="00100271"/>
    <w:rsid w:val="001033E1"/>
    <w:rsid w:val="00104940"/>
    <w:rsid w:val="00104E68"/>
    <w:rsid w:val="00110C19"/>
    <w:rsid w:val="00111E3F"/>
    <w:rsid w:val="001140F3"/>
    <w:rsid w:val="00116BAB"/>
    <w:rsid w:val="001174AB"/>
    <w:rsid w:val="001204EE"/>
    <w:rsid w:val="00120F71"/>
    <w:rsid w:val="001243E8"/>
    <w:rsid w:val="00133E37"/>
    <w:rsid w:val="00135B61"/>
    <w:rsid w:val="001411B2"/>
    <w:rsid w:val="0014151F"/>
    <w:rsid w:val="001423D2"/>
    <w:rsid w:val="00143441"/>
    <w:rsid w:val="00146042"/>
    <w:rsid w:val="0014638C"/>
    <w:rsid w:val="00161924"/>
    <w:rsid w:val="00162D2B"/>
    <w:rsid w:val="00167AD3"/>
    <w:rsid w:val="0017324B"/>
    <w:rsid w:val="00173368"/>
    <w:rsid w:val="00185E31"/>
    <w:rsid w:val="00192D05"/>
    <w:rsid w:val="00192F2E"/>
    <w:rsid w:val="00194580"/>
    <w:rsid w:val="0019509D"/>
    <w:rsid w:val="00195E7C"/>
    <w:rsid w:val="001A13CD"/>
    <w:rsid w:val="001A1CFE"/>
    <w:rsid w:val="001A4A91"/>
    <w:rsid w:val="001A4C07"/>
    <w:rsid w:val="001A61AB"/>
    <w:rsid w:val="001B19AC"/>
    <w:rsid w:val="001C3008"/>
    <w:rsid w:val="001C60BB"/>
    <w:rsid w:val="001C656C"/>
    <w:rsid w:val="001D161B"/>
    <w:rsid w:val="001D45E6"/>
    <w:rsid w:val="001D5FA5"/>
    <w:rsid w:val="001D61A4"/>
    <w:rsid w:val="001D75A8"/>
    <w:rsid w:val="001E0A5E"/>
    <w:rsid w:val="001E1FED"/>
    <w:rsid w:val="001E2DA4"/>
    <w:rsid w:val="001F05B8"/>
    <w:rsid w:val="001F238F"/>
    <w:rsid w:val="001F38AB"/>
    <w:rsid w:val="001F420A"/>
    <w:rsid w:val="001F5ACB"/>
    <w:rsid w:val="00201936"/>
    <w:rsid w:val="00204121"/>
    <w:rsid w:val="002048C9"/>
    <w:rsid w:val="00210609"/>
    <w:rsid w:val="00214864"/>
    <w:rsid w:val="002206C1"/>
    <w:rsid w:val="0022356B"/>
    <w:rsid w:val="0022356F"/>
    <w:rsid w:val="002238C1"/>
    <w:rsid w:val="00226603"/>
    <w:rsid w:val="00227120"/>
    <w:rsid w:val="00227DB3"/>
    <w:rsid w:val="00231747"/>
    <w:rsid w:val="00232F00"/>
    <w:rsid w:val="00236D45"/>
    <w:rsid w:val="00237584"/>
    <w:rsid w:val="002403AF"/>
    <w:rsid w:val="00242AC5"/>
    <w:rsid w:val="00243E60"/>
    <w:rsid w:val="00245118"/>
    <w:rsid w:val="002451A6"/>
    <w:rsid w:val="00246415"/>
    <w:rsid w:val="0024737A"/>
    <w:rsid w:val="002479F4"/>
    <w:rsid w:val="00250A98"/>
    <w:rsid w:val="0025247E"/>
    <w:rsid w:val="002527BD"/>
    <w:rsid w:val="00255B1C"/>
    <w:rsid w:val="00255C92"/>
    <w:rsid w:val="0025669C"/>
    <w:rsid w:val="00261532"/>
    <w:rsid w:val="00266E64"/>
    <w:rsid w:val="00267FC9"/>
    <w:rsid w:val="00270E01"/>
    <w:rsid w:val="002714CA"/>
    <w:rsid w:val="00273F8D"/>
    <w:rsid w:val="002762FF"/>
    <w:rsid w:val="00282E84"/>
    <w:rsid w:val="002832A6"/>
    <w:rsid w:val="00283801"/>
    <w:rsid w:val="00296441"/>
    <w:rsid w:val="002A209A"/>
    <w:rsid w:val="002A7174"/>
    <w:rsid w:val="002B3322"/>
    <w:rsid w:val="002B5BF1"/>
    <w:rsid w:val="002C5002"/>
    <w:rsid w:val="002D31C6"/>
    <w:rsid w:val="002D505E"/>
    <w:rsid w:val="002E0AC4"/>
    <w:rsid w:val="002E364E"/>
    <w:rsid w:val="002E4156"/>
    <w:rsid w:val="002F20C7"/>
    <w:rsid w:val="002F458F"/>
    <w:rsid w:val="002F694B"/>
    <w:rsid w:val="002F6B9E"/>
    <w:rsid w:val="00302E33"/>
    <w:rsid w:val="003055F7"/>
    <w:rsid w:val="00306E32"/>
    <w:rsid w:val="00307745"/>
    <w:rsid w:val="00310E21"/>
    <w:rsid w:val="00311081"/>
    <w:rsid w:val="00312883"/>
    <w:rsid w:val="003139A8"/>
    <w:rsid w:val="00313A9B"/>
    <w:rsid w:val="003163B6"/>
    <w:rsid w:val="00320B98"/>
    <w:rsid w:val="003210DE"/>
    <w:rsid w:val="00321456"/>
    <w:rsid w:val="00321CA1"/>
    <w:rsid w:val="00322C4E"/>
    <w:rsid w:val="003347BE"/>
    <w:rsid w:val="0033703E"/>
    <w:rsid w:val="00337660"/>
    <w:rsid w:val="00345161"/>
    <w:rsid w:val="0034632C"/>
    <w:rsid w:val="00346A6F"/>
    <w:rsid w:val="00350D12"/>
    <w:rsid w:val="00351A93"/>
    <w:rsid w:val="00351F65"/>
    <w:rsid w:val="0035363B"/>
    <w:rsid w:val="0035518B"/>
    <w:rsid w:val="003635A0"/>
    <w:rsid w:val="0036434C"/>
    <w:rsid w:val="0036773D"/>
    <w:rsid w:val="00373AFE"/>
    <w:rsid w:val="00373F02"/>
    <w:rsid w:val="003749E3"/>
    <w:rsid w:val="003751EE"/>
    <w:rsid w:val="0037736E"/>
    <w:rsid w:val="00382CA2"/>
    <w:rsid w:val="00384328"/>
    <w:rsid w:val="00385B25"/>
    <w:rsid w:val="0039075F"/>
    <w:rsid w:val="00394CCE"/>
    <w:rsid w:val="00394F81"/>
    <w:rsid w:val="0039592E"/>
    <w:rsid w:val="003A05D4"/>
    <w:rsid w:val="003A22BC"/>
    <w:rsid w:val="003A6D95"/>
    <w:rsid w:val="003B0891"/>
    <w:rsid w:val="003B10F8"/>
    <w:rsid w:val="003B1EE0"/>
    <w:rsid w:val="003B2DB8"/>
    <w:rsid w:val="003B38AE"/>
    <w:rsid w:val="003C0E84"/>
    <w:rsid w:val="003C1F4D"/>
    <w:rsid w:val="003C3C4E"/>
    <w:rsid w:val="003C47E2"/>
    <w:rsid w:val="003C4829"/>
    <w:rsid w:val="003D0D57"/>
    <w:rsid w:val="003D13AC"/>
    <w:rsid w:val="003D1AD4"/>
    <w:rsid w:val="003D2678"/>
    <w:rsid w:val="003D27A5"/>
    <w:rsid w:val="003D3878"/>
    <w:rsid w:val="003D3D42"/>
    <w:rsid w:val="003D421F"/>
    <w:rsid w:val="003D5581"/>
    <w:rsid w:val="003E7CF7"/>
    <w:rsid w:val="003F0776"/>
    <w:rsid w:val="003F0FF7"/>
    <w:rsid w:val="004023BA"/>
    <w:rsid w:val="00404BD6"/>
    <w:rsid w:val="00412A93"/>
    <w:rsid w:val="004210B0"/>
    <w:rsid w:val="00422574"/>
    <w:rsid w:val="004253CC"/>
    <w:rsid w:val="004258AC"/>
    <w:rsid w:val="0043092F"/>
    <w:rsid w:val="00433EBF"/>
    <w:rsid w:val="00434CFB"/>
    <w:rsid w:val="004359C7"/>
    <w:rsid w:val="00435B75"/>
    <w:rsid w:val="00436B1F"/>
    <w:rsid w:val="00436D3F"/>
    <w:rsid w:val="00441AFF"/>
    <w:rsid w:val="00441C91"/>
    <w:rsid w:val="00441D5D"/>
    <w:rsid w:val="00450176"/>
    <w:rsid w:val="00451A96"/>
    <w:rsid w:val="00453F4E"/>
    <w:rsid w:val="00457580"/>
    <w:rsid w:val="0046100F"/>
    <w:rsid w:val="004610C1"/>
    <w:rsid w:val="00462BB3"/>
    <w:rsid w:val="0047217A"/>
    <w:rsid w:val="00472CCA"/>
    <w:rsid w:val="00476061"/>
    <w:rsid w:val="00477053"/>
    <w:rsid w:val="00485081"/>
    <w:rsid w:val="0048524A"/>
    <w:rsid w:val="00486A03"/>
    <w:rsid w:val="00487385"/>
    <w:rsid w:val="004960F2"/>
    <w:rsid w:val="004A3913"/>
    <w:rsid w:val="004A5EC5"/>
    <w:rsid w:val="004B074C"/>
    <w:rsid w:val="004B221D"/>
    <w:rsid w:val="004C29F9"/>
    <w:rsid w:val="004C36B4"/>
    <w:rsid w:val="004C38D9"/>
    <w:rsid w:val="004C67EF"/>
    <w:rsid w:val="004C7508"/>
    <w:rsid w:val="004D2252"/>
    <w:rsid w:val="004D67A6"/>
    <w:rsid w:val="004D6B99"/>
    <w:rsid w:val="004D7032"/>
    <w:rsid w:val="004E10DB"/>
    <w:rsid w:val="004E1485"/>
    <w:rsid w:val="004E193E"/>
    <w:rsid w:val="004E1F67"/>
    <w:rsid w:val="004E3D1B"/>
    <w:rsid w:val="004E483A"/>
    <w:rsid w:val="004E4F94"/>
    <w:rsid w:val="004E6663"/>
    <w:rsid w:val="004F0C46"/>
    <w:rsid w:val="004F3A3D"/>
    <w:rsid w:val="004F7369"/>
    <w:rsid w:val="005017D6"/>
    <w:rsid w:val="00504110"/>
    <w:rsid w:val="00505F29"/>
    <w:rsid w:val="005072AE"/>
    <w:rsid w:val="005077A6"/>
    <w:rsid w:val="00511A21"/>
    <w:rsid w:val="00511F46"/>
    <w:rsid w:val="005128EF"/>
    <w:rsid w:val="00514369"/>
    <w:rsid w:val="005146A9"/>
    <w:rsid w:val="0052096C"/>
    <w:rsid w:val="0052182E"/>
    <w:rsid w:val="00523A61"/>
    <w:rsid w:val="00525A50"/>
    <w:rsid w:val="0053052A"/>
    <w:rsid w:val="00532B3B"/>
    <w:rsid w:val="00535040"/>
    <w:rsid w:val="00536BA5"/>
    <w:rsid w:val="00540121"/>
    <w:rsid w:val="00541912"/>
    <w:rsid w:val="0054290D"/>
    <w:rsid w:val="00543574"/>
    <w:rsid w:val="0054572B"/>
    <w:rsid w:val="005478E4"/>
    <w:rsid w:val="00554E4F"/>
    <w:rsid w:val="005604E3"/>
    <w:rsid w:val="005613EB"/>
    <w:rsid w:val="00561622"/>
    <w:rsid w:val="00562C31"/>
    <w:rsid w:val="005658B3"/>
    <w:rsid w:val="005673D1"/>
    <w:rsid w:val="00571257"/>
    <w:rsid w:val="00571EEF"/>
    <w:rsid w:val="00574950"/>
    <w:rsid w:val="00574D6C"/>
    <w:rsid w:val="00576B65"/>
    <w:rsid w:val="00580DE9"/>
    <w:rsid w:val="00582517"/>
    <w:rsid w:val="00587448"/>
    <w:rsid w:val="00591B11"/>
    <w:rsid w:val="00592C74"/>
    <w:rsid w:val="00593F0A"/>
    <w:rsid w:val="00596C90"/>
    <w:rsid w:val="005977B2"/>
    <w:rsid w:val="005A2E27"/>
    <w:rsid w:val="005A44ED"/>
    <w:rsid w:val="005A6B75"/>
    <w:rsid w:val="005A757D"/>
    <w:rsid w:val="005B5715"/>
    <w:rsid w:val="005B731A"/>
    <w:rsid w:val="005C0EA6"/>
    <w:rsid w:val="005C205D"/>
    <w:rsid w:val="005C3FCB"/>
    <w:rsid w:val="005C6AD7"/>
    <w:rsid w:val="005C6D55"/>
    <w:rsid w:val="005C7A74"/>
    <w:rsid w:val="005D3744"/>
    <w:rsid w:val="005D48B4"/>
    <w:rsid w:val="005D4B5E"/>
    <w:rsid w:val="005D4BAE"/>
    <w:rsid w:val="005D695E"/>
    <w:rsid w:val="005D6DB2"/>
    <w:rsid w:val="005E1B9B"/>
    <w:rsid w:val="005E23FE"/>
    <w:rsid w:val="005F1441"/>
    <w:rsid w:val="005F145A"/>
    <w:rsid w:val="005F2278"/>
    <w:rsid w:val="005F5E27"/>
    <w:rsid w:val="005F5FF0"/>
    <w:rsid w:val="005F7CE0"/>
    <w:rsid w:val="00603578"/>
    <w:rsid w:val="00603E5C"/>
    <w:rsid w:val="006050CA"/>
    <w:rsid w:val="006110CE"/>
    <w:rsid w:val="006119FD"/>
    <w:rsid w:val="00616257"/>
    <w:rsid w:val="006166F7"/>
    <w:rsid w:val="00617F42"/>
    <w:rsid w:val="0062029A"/>
    <w:rsid w:val="006244C6"/>
    <w:rsid w:val="00625E5B"/>
    <w:rsid w:val="00626D37"/>
    <w:rsid w:val="00631409"/>
    <w:rsid w:val="00634062"/>
    <w:rsid w:val="006372A2"/>
    <w:rsid w:val="00637587"/>
    <w:rsid w:val="006419A9"/>
    <w:rsid w:val="00645F26"/>
    <w:rsid w:val="0065038F"/>
    <w:rsid w:val="0065155F"/>
    <w:rsid w:val="00657247"/>
    <w:rsid w:val="0066273E"/>
    <w:rsid w:val="006629E0"/>
    <w:rsid w:val="006711BA"/>
    <w:rsid w:val="00671425"/>
    <w:rsid w:val="00674926"/>
    <w:rsid w:val="00676422"/>
    <w:rsid w:val="00681243"/>
    <w:rsid w:val="00681407"/>
    <w:rsid w:val="00682992"/>
    <w:rsid w:val="006830D9"/>
    <w:rsid w:val="00685101"/>
    <w:rsid w:val="00685408"/>
    <w:rsid w:val="00686EBC"/>
    <w:rsid w:val="00691831"/>
    <w:rsid w:val="00691F1A"/>
    <w:rsid w:val="006947CE"/>
    <w:rsid w:val="006958EE"/>
    <w:rsid w:val="00696020"/>
    <w:rsid w:val="00697D50"/>
    <w:rsid w:val="006A126D"/>
    <w:rsid w:val="006A25CF"/>
    <w:rsid w:val="006B1080"/>
    <w:rsid w:val="006B1466"/>
    <w:rsid w:val="006B51CE"/>
    <w:rsid w:val="006C0D62"/>
    <w:rsid w:val="006C1CC9"/>
    <w:rsid w:val="006C62A4"/>
    <w:rsid w:val="006C67F2"/>
    <w:rsid w:val="006D1FFD"/>
    <w:rsid w:val="006D3384"/>
    <w:rsid w:val="006D51D7"/>
    <w:rsid w:val="006D5DF8"/>
    <w:rsid w:val="006D62B9"/>
    <w:rsid w:val="006E01C9"/>
    <w:rsid w:val="006E1CFB"/>
    <w:rsid w:val="006E2678"/>
    <w:rsid w:val="006E46CD"/>
    <w:rsid w:val="006F0012"/>
    <w:rsid w:val="006F2C5F"/>
    <w:rsid w:val="006F558D"/>
    <w:rsid w:val="007001A7"/>
    <w:rsid w:val="0070054F"/>
    <w:rsid w:val="00700EA2"/>
    <w:rsid w:val="0070255A"/>
    <w:rsid w:val="0070353A"/>
    <w:rsid w:val="007042D2"/>
    <w:rsid w:val="007079DC"/>
    <w:rsid w:val="00707F5B"/>
    <w:rsid w:val="00713A25"/>
    <w:rsid w:val="00714859"/>
    <w:rsid w:val="00714A5B"/>
    <w:rsid w:val="00715553"/>
    <w:rsid w:val="00724925"/>
    <w:rsid w:val="00726921"/>
    <w:rsid w:val="0073040A"/>
    <w:rsid w:val="00732773"/>
    <w:rsid w:val="00732AAB"/>
    <w:rsid w:val="00733897"/>
    <w:rsid w:val="00733BEE"/>
    <w:rsid w:val="0073495B"/>
    <w:rsid w:val="00736A0F"/>
    <w:rsid w:val="00736FE5"/>
    <w:rsid w:val="00740ACC"/>
    <w:rsid w:val="00742EC8"/>
    <w:rsid w:val="00743886"/>
    <w:rsid w:val="00743A91"/>
    <w:rsid w:val="00743CDC"/>
    <w:rsid w:val="007456A5"/>
    <w:rsid w:val="00751286"/>
    <w:rsid w:val="00754007"/>
    <w:rsid w:val="00754D81"/>
    <w:rsid w:val="00755811"/>
    <w:rsid w:val="0075751E"/>
    <w:rsid w:val="007651E3"/>
    <w:rsid w:val="00772EC0"/>
    <w:rsid w:val="00775553"/>
    <w:rsid w:val="00777200"/>
    <w:rsid w:val="00780D6D"/>
    <w:rsid w:val="007823CA"/>
    <w:rsid w:val="0078270F"/>
    <w:rsid w:val="00783088"/>
    <w:rsid w:val="00784049"/>
    <w:rsid w:val="00787513"/>
    <w:rsid w:val="00796051"/>
    <w:rsid w:val="007A4C06"/>
    <w:rsid w:val="007A6C96"/>
    <w:rsid w:val="007B1F42"/>
    <w:rsid w:val="007B3AC9"/>
    <w:rsid w:val="007B6079"/>
    <w:rsid w:val="007B6613"/>
    <w:rsid w:val="007B6E7C"/>
    <w:rsid w:val="007B7F81"/>
    <w:rsid w:val="007C0041"/>
    <w:rsid w:val="007C27CE"/>
    <w:rsid w:val="007C498C"/>
    <w:rsid w:val="007C5711"/>
    <w:rsid w:val="007C7463"/>
    <w:rsid w:val="007E18C0"/>
    <w:rsid w:val="007E285A"/>
    <w:rsid w:val="007E2D70"/>
    <w:rsid w:val="007E2FA0"/>
    <w:rsid w:val="007E319A"/>
    <w:rsid w:val="007E6717"/>
    <w:rsid w:val="007E7A51"/>
    <w:rsid w:val="007F65C0"/>
    <w:rsid w:val="007F6BB2"/>
    <w:rsid w:val="007F6CAD"/>
    <w:rsid w:val="007F7774"/>
    <w:rsid w:val="0080107E"/>
    <w:rsid w:val="00804DA6"/>
    <w:rsid w:val="008105DE"/>
    <w:rsid w:val="00810FD2"/>
    <w:rsid w:val="00816DD3"/>
    <w:rsid w:val="00830337"/>
    <w:rsid w:val="0083572F"/>
    <w:rsid w:val="00836ABC"/>
    <w:rsid w:val="00836CB5"/>
    <w:rsid w:val="0083735E"/>
    <w:rsid w:val="008418EE"/>
    <w:rsid w:val="00842C04"/>
    <w:rsid w:val="008500C3"/>
    <w:rsid w:val="00853EAC"/>
    <w:rsid w:val="00854126"/>
    <w:rsid w:val="0085506E"/>
    <w:rsid w:val="00857633"/>
    <w:rsid w:val="00864610"/>
    <w:rsid w:val="00865072"/>
    <w:rsid w:val="00865FCC"/>
    <w:rsid w:val="008670F0"/>
    <w:rsid w:val="00877586"/>
    <w:rsid w:val="00877AF5"/>
    <w:rsid w:val="00881353"/>
    <w:rsid w:val="00882356"/>
    <w:rsid w:val="0089551F"/>
    <w:rsid w:val="00896F7D"/>
    <w:rsid w:val="00897BD9"/>
    <w:rsid w:val="008A60C3"/>
    <w:rsid w:val="008A6919"/>
    <w:rsid w:val="008B34AC"/>
    <w:rsid w:val="008C1204"/>
    <w:rsid w:val="008C207B"/>
    <w:rsid w:val="008C25A6"/>
    <w:rsid w:val="008C2E31"/>
    <w:rsid w:val="008C35DF"/>
    <w:rsid w:val="008C5CA8"/>
    <w:rsid w:val="008D1BFC"/>
    <w:rsid w:val="008D2563"/>
    <w:rsid w:val="008E251C"/>
    <w:rsid w:val="008E2855"/>
    <w:rsid w:val="008E2EEE"/>
    <w:rsid w:val="008E6EF3"/>
    <w:rsid w:val="008F73AA"/>
    <w:rsid w:val="00901BCE"/>
    <w:rsid w:val="00902188"/>
    <w:rsid w:val="00903D82"/>
    <w:rsid w:val="009053AA"/>
    <w:rsid w:val="00906C35"/>
    <w:rsid w:val="00907F24"/>
    <w:rsid w:val="0091318F"/>
    <w:rsid w:val="00913B87"/>
    <w:rsid w:val="00917023"/>
    <w:rsid w:val="00917E50"/>
    <w:rsid w:val="00921C85"/>
    <w:rsid w:val="00923FFB"/>
    <w:rsid w:val="009244C1"/>
    <w:rsid w:val="00925496"/>
    <w:rsid w:val="00931522"/>
    <w:rsid w:val="009317CD"/>
    <w:rsid w:val="00931AB4"/>
    <w:rsid w:val="00932158"/>
    <w:rsid w:val="009364FF"/>
    <w:rsid w:val="00940025"/>
    <w:rsid w:val="00941C63"/>
    <w:rsid w:val="00945972"/>
    <w:rsid w:val="00952C39"/>
    <w:rsid w:val="00954BCD"/>
    <w:rsid w:val="00956227"/>
    <w:rsid w:val="00956B4F"/>
    <w:rsid w:val="009714C1"/>
    <w:rsid w:val="00971ACD"/>
    <w:rsid w:val="00971E62"/>
    <w:rsid w:val="0097220A"/>
    <w:rsid w:val="00975A92"/>
    <w:rsid w:val="00976837"/>
    <w:rsid w:val="00977C51"/>
    <w:rsid w:val="00981593"/>
    <w:rsid w:val="009902F2"/>
    <w:rsid w:val="00990C76"/>
    <w:rsid w:val="0099245E"/>
    <w:rsid w:val="009947BF"/>
    <w:rsid w:val="009A368D"/>
    <w:rsid w:val="009A55F8"/>
    <w:rsid w:val="009A7194"/>
    <w:rsid w:val="009B04C9"/>
    <w:rsid w:val="009B1061"/>
    <w:rsid w:val="009B41C1"/>
    <w:rsid w:val="009B4C43"/>
    <w:rsid w:val="009B4D92"/>
    <w:rsid w:val="009B578B"/>
    <w:rsid w:val="009B619E"/>
    <w:rsid w:val="009B7435"/>
    <w:rsid w:val="009C1E00"/>
    <w:rsid w:val="009C4428"/>
    <w:rsid w:val="009C6688"/>
    <w:rsid w:val="009C6CDA"/>
    <w:rsid w:val="009C7C07"/>
    <w:rsid w:val="009D4621"/>
    <w:rsid w:val="009D7BC1"/>
    <w:rsid w:val="009E1C90"/>
    <w:rsid w:val="009E350F"/>
    <w:rsid w:val="009E6ACB"/>
    <w:rsid w:val="009F15EB"/>
    <w:rsid w:val="009F5547"/>
    <w:rsid w:val="00A023BD"/>
    <w:rsid w:val="00A047CD"/>
    <w:rsid w:val="00A05568"/>
    <w:rsid w:val="00A12302"/>
    <w:rsid w:val="00A14823"/>
    <w:rsid w:val="00A17054"/>
    <w:rsid w:val="00A20905"/>
    <w:rsid w:val="00A27F9F"/>
    <w:rsid w:val="00A306E4"/>
    <w:rsid w:val="00A3287A"/>
    <w:rsid w:val="00A36D11"/>
    <w:rsid w:val="00A43697"/>
    <w:rsid w:val="00A43732"/>
    <w:rsid w:val="00A440C3"/>
    <w:rsid w:val="00A50B42"/>
    <w:rsid w:val="00A5154E"/>
    <w:rsid w:val="00A60163"/>
    <w:rsid w:val="00A6187C"/>
    <w:rsid w:val="00A67ECB"/>
    <w:rsid w:val="00A700E4"/>
    <w:rsid w:val="00A72337"/>
    <w:rsid w:val="00A74982"/>
    <w:rsid w:val="00A75563"/>
    <w:rsid w:val="00A75629"/>
    <w:rsid w:val="00A76EDE"/>
    <w:rsid w:val="00A7701E"/>
    <w:rsid w:val="00A808DB"/>
    <w:rsid w:val="00A82F96"/>
    <w:rsid w:val="00A842E2"/>
    <w:rsid w:val="00A85E0B"/>
    <w:rsid w:val="00A865A7"/>
    <w:rsid w:val="00A8734E"/>
    <w:rsid w:val="00A9632F"/>
    <w:rsid w:val="00A96470"/>
    <w:rsid w:val="00AA06F9"/>
    <w:rsid w:val="00AA2FB6"/>
    <w:rsid w:val="00AA6FE5"/>
    <w:rsid w:val="00AB5137"/>
    <w:rsid w:val="00AC300A"/>
    <w:rsid w:val="00AC6B56"/>
    <w:rsid w:val="00AD19C8"/>
    <w:rsid w:val="00AD5C28"/>
    <w:rsid w:val="00AD6A6F"/>
    <w:rsid w:val="00AD6F81"/>
    <w:rsid w:val="00AD71A5"/>
    <w:rsid w:val="00AD73B1"/>
    <w:rsid w:val="00AE0810"/>
    <w:rsid w:val="00AE2548"/>
    <w:rsid w:val="00AE35E5"/>
    <w:rsid w:val="00AE387B"/>
    <w:rsid w:val="00AE4B7E"/>
    <w:rsid w:val="00AF128F"/>
    <w:rsid w:val="00AF2058"/>
    <w:rsid w:val="00AF3CAD"/>
    <w:rsid w:val="00AF5018"/>
    <w:rsid w:val="00AF5C8C"/>
    <w:rsid w:val="00AF6B3C"/>
    <w:rsid w:val="00B0067B"/>
    <w:rsid w:val="00B020E4"/>
    <w:rsid w:val="00B0356B"/>
    <w:rsid w:val="00B066DC"/>
    <w:rsid w:val="00B139F1"/>
    <w:rsid w:val="00B14ACF"/>
    <w:rsid w:val="00B255D1"/>
    <w:rsid w:val="00B2584D"/>
    <w:rsid w:val="00B318C3"/>
    <w:rsid w:val="00B3230A"/>
    <w:rsid w:val="00B341B5"/>
    <w:rsid w:val="00B36DAC"/>
    <w:rsid w:val="00B401FB"/>
    <w:rsid w:val="00B41E42"/>
    <w:rsid w:val="00B44C06"/>
    <w:rsid w:val="00B44F95"/>
    <w:rsid w:val="00B6279C"/>
    <w:rsid w:val="00B6315A"/>
    <w:rsid w:val="00B64561"/>
    <w:rsid w:val="00B67E10"/>
    <w:rsid w:val="00B76EC4"/>
    <w:rsid w:val="00B81F06"/>
    <w:rsid w:val="00B82092"/>
    <w:rsid w:val="00B84E53"/>
    <w:rsid w:val="00B8780A"/>
    <w:rsid w:val="00B90267"/>
    <w:rsid w:val="00B936E3"/>
    <w:rsid w:val="00B9432B"/>
    <w:rsid w:val="00B96620"/>
    <w:rsid w:val="00B97C50"/>
    <w:rsid w:val="00BA0EF9"/>
    <w:rsid w:val="00BA16CB"/>
    <w:rsid w:val="00BA2ED3"/>
    <w:rsid w:val="00BA3278"/>
    <w:rsid w:val="00BB09DE"/>
    <w:rsid w:val="00BB2894"/>
    <w:rsid w:val="00BB2B94"/>
    <w:rsid w:val="00BB38C3"/>
    <w:rsid w:val="00BB3AFB"/>
    <w:rsid w:val="00BB3D5A"/>
    <w:rsid w:val="00BB48AF"/>
    <w:rsid w:val="00BC0758"/>
    <w:rsid w:val="00BC10E5"/>
    <w:rsid w:val="00BC3B0A"/>
    <w:rsid w:val="00BC5290"/>
    <w:rsid w:val="00BC74BA"/>
    <w:rsid w:val="00BD04F2"/>
    <w:rsid w:val="00BD1056"/>
    <w:rsid w:val="00BD630E"/>
    <w:rsid w:val="00BD774F"/>
    <w:rsid w:val="00BD7C8E"/>
    <w:rsid w:val="00BE1014"/>
    <w:rsid w:val="00BE563E"/>
    <w:rsid w:val="00BF43AA"/>
    <w:rsid w:val="00BF5235"/>
    <w:rsid w:val="00BF5D5C"/>
    <w:rsid w:val="00BF5DE9"/>
    <w:rsid w:val="00C014D8"/>
    <w:rsid w:val="00C05FA2"/>
    <w:rsid w:val="00C12238"/>
    <w:rsid w:val="00C1360D"/>
    <w:rsid w:val="00C21729"/>
    <w:rsid w:val="00C22C3D"/>
    <w:rsid w:val="00C2589C"/>
    <w:rsid w:val="00C27667"/>
    <w:rsid w:val="00C27722"/>
    <w:rsid w:val="00C30025"/>
    <w:rsid w:val="00C33B08"/>
    <w:rsid w:val="00C35C86"/>
    <w:rsid w:val="00C35D66"/>
    <w:rsid w:val="00C3675F"/>
    <w:rsid w:val="00C36F76"/>
    <w:rsid w:val="00C40E8B"/>
    <w:rsid w:val="00C43CFD"/>
    <w:rsid w:val="00C46C78"/>
    <w:rsid w:val="00C55C3B"/>
    <w:rsid w:val="00C568F1"/>
    <w:rsid w:val="00C57929"/>
    <w:rsid w:val="00C63A0B"/>
    <w:rsid w:val="00C63F3E"/>
    <w:rsid w:val="00C648D7"/>
    <w:rsid w:val="00C66C56"/>
    <w:rsid w:val="00C67425"/>
    <w:rsid w:val="00C76C02"/>
    <w:rsid w:val="00C8046E"/>
    <w:rsid w:val="00C80C30"/>
    <w:rsid w:val="00C83080"/>
    <w:rsid w:val="00C832C1"/>
    <w:rsid w:val="00C83BDA"/>
    <w:rsid w:val="00C84CA8"/>
    <w:rsid w:val="00C8596C"/>
    <w:rsid w:val="00C87AA0"/>
    <w:rsid w:val="00C91F48"/>
    <w:rsid w:val="00C96A35"/>
    <w:rsid w:val="00CA05B7"/>
    <w:rsid w:val="00CA1716"/>
    <w:rsid w:val="00CA1C2F"/>
    <w:rsid w:val="00CA2299"/>
    <w:rsid w:val="00CA438C"/>
    <w:rsid w:val="00CA46F0"/>
    <w:rsid w:val="00CA5E7E"/>
    <w:rsid w:val="00CA6FCB"/>
    <w:rsid w:val="00CB10A0"/>
    <w:rsid w:val="00CC2CC4"/>
    <w:rsid w:val="00CD1BE7"/>
    <w:rsid w:val="00CD4844"/>
    <w:rsid w:val="00CD7E79"/>
    <w:rsid w:val="00CE1147"/>
    <w:rsid w:val="00CE1C16"/>
    <w:rsid w:val="00CE5D53"/>
    <w:rsid w:val="00CF0C73"/>
    <w:rsid w:val="00CF43C0"/>
    <w:rsid w:val="00CF52AE"/>
    <w:rsid w:val="00D011B5"/>
    <w:rsid w:val="00D0306C"/>
    <w:rsid w:val="00D0321C"/>
    <w:rsid w:val="00D0396A"/>
    <w:rsid w:val="00D047AB"/>
    <w:rsid w:val="00D10492"/>
    <w:rsid w:val="00D119B6"/>
    <w:rsid w:val="00D126A8"/>
    <w:rsid w:val="00D14358"/>
    <w:rsid w:val="00D155B1"/>
    <w:rsid w:val="00D2163D"/>
    <w:rsid w:val="00D23A40"/>
    <w:rsid w:val="00D307CA"/>
    <w:rsid w:val="00D353E2"/>
    <w:rsid w:val="00D4208E"/>
    <w:rsid w:val="00D44065"/>
    <w:rsid w:val="00D460B2"/>
    <w:rsid w:val="00D47582"/>
    <w:rsid w:val="00D476B7"/>
    <w:rsid w:val="00D504EF"/>
    <w:rsid w:val="00D50B3C"/>
    <w:rsid w:val="00D5264A"/>
    <w:rsid w:val="00D53F40"/>
    <w:rsid w:val="00D54CB6"/>
    <w:rsid w:val="00D55000"/>
    <w:rsid w:val="00D55939"/>
    <w:rsid w:val="00D55EB6"/>
    <w:rsid w:val="00D567E4"/>
    <w:rsid w:val="00D57593"/>
    <w:rsid w:val="00D633B5"/>
    <w:rsid w:val="00D66CCF"/>
    <w:rsid w:val="00D6772C"/>
    <w:rsid w:val="00D71D34"/>
    <w:rsid w:val="00D7416A"/>
    <w:rsid w:val="00D80804"/>
    <w:rsid w:val="00D82831"/>
    <w:rsid w:val="00D83A11"/>
    <w:rsid w:val="00D86469"/>
    <w:rsid w:val="00D901A7"/>
    <w:rsid w:val="00D91ED8"/>
    <w:rsid w:val="00D93D69"/>
    <w:rsid w:val="00D95FD2"/>
    <w:rsid w:val="00D96268"/>
    <w:rsid w:val="00DA0E58"/>
    <w:rsid w:val="00DA1A53"/>
    <w:rsid w:val="00DA3CF5"/>
    <w:rsid w:val="00DA432D"/>
    <w:rsid w:val="00DA65A2"/>
    <w:rsid w:val="00DA65DB"/>
    <w:rsid w:val="00DB3258"/>
    <w:rsid w:val="00DB6F2A"/>
    <w:rsid w:val="00DC129F"/>
    <w:rsid w:val="00DC3BF0"/>
    <w:rsid w:val="00DC4ACB"/>
    <w:rsid w:val="00DD6D9E"/>
    <w:rsid w:val="00DD7380"/>
    <w:rsid w:val="00DE2B26"/>
    <w:rsid w:val="00DE2FC3"/>
    <w:rsid w:val="00DE72FE"/>
    <w:rsid w:val="00DF42B5"/>
    <w:rsid w:val="00DF534B"/>
    <w:rsid w:val="00DF706D"/>
    <w:rsid w:val="00E00207"/>
    <w:rsid w:val="00E00A27"/>
    <w:rsid w:val="00E03E8F"/>
    <w:rsid w:val="00E0469C"/>
    <w:rsid w:val="00E05405"/>
    <w:rsid w:val="00E05D89"/>
    <w:rsid w:val="00E06787"/>
    <w:rsid w:val="00E16A7B"/>
    <w:rsid w:val="00E17FF1"/>
    <w:rsid w:val="00E203CA"/>
    <w:rsid w:val="00E21ED6"/>
    <w:rsid w:val="00E225B0"/>
    <w:rsid w:val="00E22AFE"/>
    <w:rsid w:val="00E247A1"/>
    <w:rsid w:val="00E26D35"/>
    <w:rsid w:val="00E271C0"/>
    <w:rsid w:val="00E31A76"/>
    <w:rsid w:val="00E352A3"/>
    <w:rsid w:val="00E36D15"/>
    <w:rsid w:val="00E4026B"/>
    <w:rsid w:val="00E4174C"/>
    <w:rsid w:val="00E4178A"/>
    <w:rsid w:val="00E4708E"/>
    <w:rsid w:val="00E47CD9"/>
    <w:rsid w:val="00E56B61"/>
    <w:rsid w:val="00E5763E"/>
    <w:rsid w:val="00E57F26"/>
    <w:rsid w:val="00E60A7A"/>
    <w:rsid w:val="00E627CA"/>
    <w:rsid w:val="00E65550"/>
    <w:rsid w:val="00E6686F"/>
    <w:rsid w:val="00E70107"/>
    <w:rsid w:val="00E70804"/>
    <w:rsid w:val="00E70868"/>
    <w:rsid w:val="00E7343B"/>
    <w:rsid w:val="00E805AD"/>
    <w:rsid w:val="00E82C20"/>
    <w:rsid w:val="00E834E6"/>
    <w:rsid w:val="00E85579"/>
    <w:rsid w:val="00E86C98"/>
    <w:rsid w:val="00E87A19"/>
    <w:rsid w:val="00E93ACE"/>
    <w:rsid w:val="00E9465B"/>
    <w:rsid w:val="00E951B2"/>
    <w:rsid w:val="00E95D3F"/>
    <w:rsid w:val="00EA1553"/>
    <w:rsid w:val="00EB4A9B"/>
    <w:rsid w:val="00EB6A38"/>
    <w:rsid w:val="00EB787D"/>
    <w:rsid w:val="00ED13AF"/>
    <w:rsid w:val="00ED42AE"/>
    <w:rsid w:val="00ED59F8"/>
    <w:rsid w:val="00EE23FD"/>
    <w:rsid w:val="00EE5F8A"/>
    <w:rsid w:val="00EE6137"/>
    <w:rsid w:val="00EE625C"/>
    <w:rsid w:val="00EF3714"/>
    <w:rsid w:val="00EF37AD"/>
    <w:rsid w:val="00EF536E"/>
    <w:rsid w:val="00EF53D6"/>
    <w:rsid w:val="00EF5DC6"/>
    <w:rsid w:val="00F02654"/>
    <w:rsid w:val="00F04E59"/>
    <w:rsid w:val="00F11A2D"/>
    <w:rsid w:val="00F14B85"/>
    <w:rsid w:val="00F14E8B"/>
    <w:rsid w:val="00F1607A"/>
    <w:rsid w:val="00F21D88"/>
    <w:rsid w:val="00F22902"/>
    <w:rsid w:val="00F230B8"/>
    <w:rsid w:val="00F25AC2"/>
    <w:rsid w:val="00F27BB8"/>
    <w:rsid w:val="00F301C5"/>
    <w:rsid w:val="00F37F51"/>
    <w:rsid w:val="00F4026B"/>
    <w:rsid w:val="00F413BB"/>
    <w:rsid w:val="00F41EC1"/>
    <w:rsid w:val="00F42354"/>
    <w:rsid w:val="00F439B7"/>
    <w:rsid w:val="00F43B45"/>
    <w:rsid w:val="00F5363A"/>
    <w:rsid w:val="00F54320"/>
    <w:rsid w:val="00F57841"/>
    <w:rsid w:val="00F6442E"/>
    <w:rsid w:val="00F64449"/>
    <w:rsid w:val="00F6480C"/>
    <w:rsid w:val="00F654DF"/>
    <w:rsid w:val="00F65B5D"/>
    <w:rsid w:val="00F661DA"/>
    <w:rsid w:val="00F70DDA"/>
    <w:rsid w:val="00F72FE1"/>
    <w:rsid w:val="00F73E8A"/>
    <w:rsid w:val="00F77C60"/>
    <w:rsid w:val="00F80C85"/>
    <w:rsid w:val="00F825BF"/>
    <w:rsid w:val="00F830A9"/>
    <w:rsid w:val="00F861A6"/>
    <w:rsid w:val="00F87D81"/>
    <w:rsid w:val="00F90B03"/>
    <w:rsid w:val="00F9134B"/>
    <w:rsid w:val="00F95FA2"/>
    <w:rsid w:val="00F9627C"/>
    <w:rsid w:val="00FA05BF"/>
    <w:rsid w:val="00FA2741"/>
    <w:rsid w:val="00FA2C6A"/>
    <w:rsid w:val="00FA68FC"/>
    <w:rsid w:val="00FA7B5B"/>
    <w:rsid w:val="00FB4BC9"/>
    <w:rsid w:val="00FC02CF"/>
    <w:rsid w:val="00FC09A5"/>
    <w:rsid w:val="00FC1912"/>
    <w:rsid w:val="00FC38AF"/>
    <w:rsid w:val="00FC7863"/>
    <w:rsid w:val="00FD20E3"/>
    <w:rsid w:val="00FD571A"/>
    <w:rsid w:val="00FD5CD7"/>
    <w:rsid w:val="00FD5F18"/>
    <w:rsid w:val="00FE2660"/>
    <w:rsid w:val="00FE2F6B"/>
    <w:rsid w:val="00FE459B"/>
    <w:rsid w:val="00FE5083"/>
    <w:rsid w:val="00FE596E"/>
    <w:rsid w:val="00FE7DA7"/>
    <w:rsid w:val="00FF0392"/>
    <w:rsid w:val="00FF050C"/>
    <w:rsid w:val="00FF299B"/>
    <w:rsid w:val="00FF2C88"/>
    <w:rsid w:val="00FF6810"/>
    <w:rsid w:val="00FF71EE"/>
    <w:rsid w:val="00FF78EE"/>
    <w:rsid w:val="00FF7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052A0"/>
  <w15:docId w15:val="{E4F1CB8F-AB5D-414B-A8EA-517D17198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9"/>
    <w:qFormat/>
    <w:rsid w:val="00A75629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sz w:val="32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9"/>
    <w:rsid w:val="00A75629"/>
    <w:rPr>
      <w:rFonts w:ascii="Arial" w:eastAsia="Times New Roman" w:hAnsi="Arial" w:cs="Arial"/>
      <w:b/>
      <w:sz w:val="32"/>
      <w:szCs w:val="24"/>
    </w:rPr>
  </w:style>
  <w:style w:type="paragraph" w:styleId="Zhlav">
    <w:name w:val="header"/>
    <w:basedOn w:val="Normln"/>
    <w:link w:val="ZhlavChar"/>
    <w:uiPriority w:val="99"/>
    <w:unhideWhenUsed/>
    <w:rsid w:val="00E1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6A7B"/>
  </w:style>
  <w:style w:type="paragraph" w:styleId="Zpat">
    <w:name w:val="footer"/>
    <w:basedOn w:val="Normln"/>
    <w:link w:val="ZpatChar"/>
    <w:uiPriority w:val="99"/>
    <w:unhideWhenUsed/>
    <w:rsid w:val="00E16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6A7B"/>
  </w:style>
  <w:style w:type="paragraph" w:customStyle="1" w:styleId="Default">
    <w:name w:val="Default"/>
    <w:rsid w:val="00617F4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617F42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E0A5E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E0A5E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1E0A5E"/>
    <w:rPr>
      <w:vertAlign w:val="superscript"/>
    </w:rPr>
  </w:style>
  <w:style w:type="table" w:styleId="Mkatabulky">
    <w:name w:val="Table Grid"/>
    <w:basedOn w:val="Normlntabulka"/>
    <w:uiPriority w:val="59"/>
    <w:rsid w:val="00A755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3">
    <w:name w:val="Body Text 3"/>
    <w:basedOn w:val="Normln"/>
    <w:link w:val="Zkladntext3Char"/>
    <w:uiPriority w:val="99"/>
    <w:semiHidden/>
    <w:unhideWhenUsed/>
    <w:rsid w:val="002E415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2E4156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544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4481"/>
    <w:rPr>
      <w:rFonts w:ascii="Tahoma" w:hAnsi="Tahoma" w:cs="Tahoma"/>
      <w:sz w:val="16"/>
      <w:szCs w:val="16"/>
    </w:rPr>
  </w:style>
  <w:style w:type="paragraph" w:styleId="Zkladntext2">
    <w:name w:val="Body Text 2"/>
    <w:basedOn w:val="Normln"/>
    <w:link w:val="Zkladntext2Char"/>
    <w:uiPriority w:val="99"/>
    <w:unhideWhenUsed/>
    <w:rsid w:val="005F5FF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rsid w:val="005F5FF0"/>
    <w:rPr>
      <w:rFonts w:ascii="Times New Roman" w:eastAsia="Times New Roman" w:hAnsi="Times New Roman" w:cs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7651E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7651E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651E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651E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651E3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F413B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4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7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591F958-93EE-4AED-8DAB-CE7524B483AD}"/>
</file>

<file path=customXml/itemProps2.xml><?xml version="1.0" encoding="utf-8"?>
<ds:datastoreItem xmlns:ds="http://schemas.openxmlformats.org/officeDocument/2006/customXml" ds:itemID="{EEEECA4A-B8F6-487D-B494-88EEF922D23D}"/>
</file>

<file path=customXml/itemProps3.xml><?xml version="1.0" encoding="utf-8"?>
<ds:datastoreItem xmlns:ds="http://schemas.openxmlformats.org/officeDocument/2006/customXml" ds:itemID="{02E79775-56B4-49D7-8C49-A12E05FFABDE}"/>
</file>

<file path=customXml/itemProps4.xml><?xml version="1.0" encoding="utf-8"?>
<ds:datastoreItem xmlns:ds="http://schemas.openxmlformats.org/officeDocument/2006/customXml" ds:itemID="{2C9C54EF-FD79-4246-A8E8-9F923D8DDD74}"/>
</file>

<file path=customXml/itemProps5.xml><?xml version="1.0" encoding="utf-8"?>
<ds:datastoreItem xmlns:ds="http://schemas.openxmlformats.org/officeDocument/2006/customXml" ds:itemID="{9AC1D58E-52D4-43D2-BA91-1CC368F0D7E7}"/>
</file>

<file path=docProps/app.xml><?xml version="1.0" encoding="utf-8"?>
<Properties xmlns="http://schemas.openxmlformats.org/officeDocument/2006/extended-properties" xmlns:vt="http://schemas.openxmlformats.org/officeDocument/2006/docPropsVTypes">
  <Template>CBF1B0C6.dotm</Template>
  <TotalTime>2</TotalTime>
  <Pages>22</Pages>
  <Words>8241</Words>
  <Characters>48627</Characters>
  <Application>Microsoft Office Word</Application>
  <DocSecurity>4</DocSecurity>
  <Lines>405</Lines>
  <Paragraphs>113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NKU</Company>
  <LinksUpToDate>false</LinksUpToDate>
  <CharactersWithSpaces>56755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15/05</dc:title>
  <dc:subject>Kontrolní závěr z kontrolní akce NKÚ č. 15/05 - Majetkové účasti státu v obchodních společnostech</dc:subject>
  <dc:creator>Nejvyšší kontrolní úřad</dc:creator>
  <cp:keywords>obchodní společnosti, akci, MPO, MF, MZe</cp:keywords>
  <dc:description/>
  <cp:lastModifiedBy>KOKRDA Daniel</cp:lastModifiedBy>
  <cp:revision>2</cp:revision>
  <cp:lastPrinted>2015-12-10T15:46:00Z</cp:lastPrinted>
  <dcterms:created xsi:type="dcterms:W3CDTF">2015-12-11T08:07:00Z</dcterms:created>
  <dcterms:modified xsi:type="dcterms:W3CDTF">2015-12-11T08:07:00Z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0x0101002F7A625AE9F5AB4A939F92BCAA7FEC02</vt:lpwstr>
  </property>
</Properties>
</file>