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54D2E" w14:textId="77777777" w:rsidR="00236C8C" w:rsidRPr="00236C8C" w:rsidRDefault="00236C8C" w:rsidP="00236C8C">
      <w:pPr>
        <w:jc w:val="center"/>
        <w:rPr>
          <w:rFonts w:ascii="Calibri" w:hAnsi="Calibri" w:cs="Calibri"/>
          <w:b/>
        </w:rPr>
      </w:pPr>
      <w:r>
        <w:rPr>
          <w:rFonts w:ascii="Arial" w:hAnsi="Arial"/>
          <w:noProof/>
          <w:sz w:val="22"/>
          <w:lang w:eastAsia="cs-CZ"/>
        </w:rPr>
        <w:drawing>
          <wp:anchor distT="0" distB="0" distL="114300" distR="114300" simplePos="0" relativeHeight="251659264" behindDoc="0" locked="0" layoutInCell="1" allowOverlap="1" wp14:anchorId="3D324B54" wp14:editId="4D80AF94">
            <wp:simplePos x="0" y="0"/>
            <wp:positionH relativeFrom="column">
              <wp:posOffset>2514600</wp:posOffset>
            </wp:positionH>
            <wp:positionV relativeFrom="paragraph">
              <wp:posOffset>-259080</wp:posOffset>
            </wp:positionV>
            <wp:extent cx="791210" cy="559435"/>
            <wp:effectExtent l="0" t="0" r="8890" b="0"/>
            <wp:wrapTopAndBottom/>
            <wp:docPr id="3" name="Obrázek 3"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ED66B" w14:textId="77777777" w:rsidR="00236C8C" w:rsidRPr="00236C8C" w:rsidRDefault="00236C8C" w:rsidP="00236C8C">
      <w:pPr>
        <w:jc w:val="center"/>
        <w:outlineLvl w:val="0"/>
        <w:rPr>
          <w:rFonts w:ascii="Calibri" w:hAnsi="Calibri" w:cs="Calibri"/>
          <w:b/>
          <w:lang w:eastAsia="cs-CZ"/>
        </w:rPr>
      </w:pPr>
    </w:p>
    <w:p w14:paraId="1F74B8B1" w14:textId="77777777" w:rsidR="00236C8C" w:rsidRPr="00236C8C" w:rsidRDefault="00236C8C" w:rsidP="00236C8C">
      <w:pPr>
        <w:jc w:val="center"/>
        <w:outlineLvl w:val="0"/>
        <w:rPr>
          <w:rFonts w:ascii="Calibri" w:hAnsi="Calibri" w:cs="Calibri"/>
          <w:b/>
          <w:lang w:eastAsia="cs-CZ"/>
        </w:rPr>
      </w:pPr>
    </w:p>
    <w:p w14:paraId="5BDE0E67" w14:textId="77777777" w:rsidR="00236C8C" w:rsidRPr="00236C8C" w:rsidRDefault="00236C8C" w:rsidP="00236C8C">
      <w:pPr>
        <w:jc w:val="center"/>
        <w:outlineLvl w:val="0"/>
        <w:rPr>
          <w:rFonts w:ascii="Calibri" w:hAnsi="Calibri" w:cs="Calibri"/>
          <w:b/>
          <w:sz w:val="28"/>
          <w:szCs w:val="28"/>
          <w:lang w:eastAsia="cs-CZ"/>
        </w:rPr>
      </w:pPr>
      <w:bookmarkStart w:id="0" w:name="_GoBack"/>
      <w:r w:rsidRPr="00236C8C">
        <w:rPr>
          <w:rFonts w:ascii="Calibri" w:hAnsi="Calibri" w:cs="Calibri"/>
          <w:b/>
          <w:sz w:val="28"/>
          <w:szCs w:val="28"/>
          <w:lang w:eastAsia="cs-CZ"/>
        </w:rPr>
        <w:t>Kontrolní závěr z kontrolní akce</w:t>
      </w:r>
    </w:p>
    <w:p w14:paraId="70DB76C8" w14:textId="77777777" w:rsidR="00236C8C" w:rsidRPr="00236C8C" w:rsidRDefault="00236C8C" w:rsidP="00236C8C">
      <w:pPr>
        <w:jc w:val="center"/>
        <w:outlineLvl w:val="0"/>
        <w:rPr>
          <w:rFonts w:ascii="Calibri" w:hAnsi="Calibri" w:cs="Calibri"/>
          <w:b/>
          <w:lang w:eastAsia="cs-CZ"/>
        </w:rPr>
      </w:pPr>
    </w:p>
    <w:p w14:paraId="2E68D00B" w14:textId="77777777" w:rsidR="00236C8C" w:rsidRPr="00236C8C" w:rsidRDefault="00236C8C" w:rsidP="00236C8C">
      <w:pPr>
        <w:jc w:val="center"/>
        <w:rPr>
          <w:rFonts w:ascii="Calibri" w:hAnsi="Calibri" w:cs="Calibri"/>
          <w:b/>
          <w:bCs/>
          <w:sz w:val="28"/>
          <w:szCs w:val="28"/>
        </w:rPr>
      </w:pPr>
      <w:r w:rsidRPr="00236C8C">
        <w:rPr>
          <w:rFonts w:ascii="Calibri" w:hAnsi="Calibri" w:cs="Calibri"/>
          <w:b/>
          <w:bCs/>
          <w:sz w:val="28"/>
          <w:szCs w:val="28"/>
        </w:rPr>
        <w:t>1</w:t>
      </w:r>
      <w:r w:rsidR="00D34DCA">
        <w:rPr>
          <w:rFonts w:ascii="Calibri" w:hAnsi="Calibri" w:cs="Calibri"/>
          <w:b/>
          <w:bCs/>
          <w:sz w:val="28"/>
          <w:szCs w:val="28"/>
        </w:rPr>
        <w:t>5</w:t>
      </w:r>
      <w:r w:rsidRPr="00236C8C">
        <w:rPr>
          <w:rFonts w:ascii="Calibri" w:hAnsi="Calibri" w:cs="Calibri"/>
          <w:b/>
          <w:bCs/>
          <w:sz w:val="28"/>
          <w:szCs w:val="28"/>
        </w:rPr>
        <w:t>/</w:t>
      </w:r>
      <w:r w:rsidR="00D34DCA">
        <w:rPr>
          <w:rFonts w:ascii="Calibri" w:hAnsi="Calibri" w:cs="Calibri"/>
          <w:b/>
          <w:bCs/>
          <w:sz w:val="28"/>
          <w:szCs w:val="28"/>
        </w:rPr>
        <w:t>06</w:t>
      </w:r>
    </w:p>
    <w:p w14:paraId="0601F35E" w14:textId="77777777" w:rsidR="00236C8C" w:rsidRPr="00236C8C" w:rsidRDefault="00236C8C" w:rsidP="00236C8C">
      <w:pPr>
        <w:jc w:val="center"/>
        <w:rPr>
          <w:rFonts w:ascii="Calibri" w:hAnsi="Calibri" w:cs="Calibri"/>
          <w:b/>
          <w:bCs/>
        </w:rPr>
      </w:pPr>
    </w:p>
    <w:p w14:paraId="13E20790" w14:textId="77777777" w:rsidR="00236C8C" w:rsidRPr="00236C8C" w:rsidRDefault="00236C8C" w:rsidP="00236C8C">
      <w:pPr>
        <w:jc w:val="center"/>
        <w:outlineLvl w:val="0"/>
        <w:rPr>
          <w:rFonts w:ascii="Calibri" w:hAnsi="Calibri" w:cs="Calibri"/>
          <w:b/>
          <w:i/>
          <w:sz w:val="28"/>
          <w:szCs w:val="28"/>
          <w:lang w:eastAsia="cs-CZ"/>
        </w:rPr>
      </w:pPr>
      <w:r w:rsidRPr="00236C8C">
        <w:rPr>
          <w:rFonts w:ascii="Calibri" w:hAnsi="Calibri" w:cs="Calibri"/>
          <w:b/>
          <w:sz w:val="28"/>
          <w:szCs w:val="28"/>
          <w:lang w:eastAsia="cs-CZ"/>
        </w:rPr>
        <w:t xml:space="preserve">Peněžní prostředky </w:t>
      </w:r>
      <w:r w:rsidR="00D34DCA">
        <w:rPr>
          <w:rFonts w:ascii="Calibri" w:hAnsi="Calibri" w:cs="Calibri"/>
          <w:b/>
          <w:sz w:val="28"/>
          <w:szCs w:val="28"/>
          <w:lang w:eastAsia="cs-CZ"/>
        </w:rPr>
        <w:t>strukturálních fondů Evropské unie a státního rozpočtu určené na financování operačních programů z hlediska udržitelnosti projektů</w:t>
      </w:r>
    </w:p>
    <w:bookmarkEnd w:id="0"/>
    <w:p w14:paraId="6148CB72" w14:textId="77777777" w:rsidR="00236C8C" w:rsidRPr="009B1E5B" w:rsidRDefault="00236C8C" w:rsidP="00236C8C">
      <w:pPr>
        <w:jc w:val="both"/>
        <w:rPr>
          <w:rFonts w:ascii="Calibri" w:hAnsi="Calibri" w:cs="Calibri"/>
          <w:bCs/>
          <w:szCs w:val="22"/>
        </w:rPr>
      </w:pPr>
    </w:p>
    <w:p w14:paraId="40B1ADBB" w14:textId="77777777" w:rsidR="00236C8C" w:rsidRPr="009B1E5B" w:rsidRDefault="00236C8C" w:rsidP="00236C8C">
      <w:pPr>
        <w:jc w:val="both"/>
        <w:rPr>
          <w:rFonts w:ascii="Calibri" w:hAnsi="Calibri" w:cs="Calibri"/>
          <w:bCs/>
          <w:szCs w:val="22"/>
        </w:rPr>
      </w:pPr>
    </w:p>
    <w:p w14:paraId="7B62A630" w14:textId="1243DE0D" w:rsidR="00236C8C" w:rsidRPr="00236C8C" w:rsidRDefault="00236C8C" w:rsidP="002912D0">
      <w:pPr>
        <w:spacing w:after="120"/>
        <w:jc w:val="both"/>
        <w:rPr>
          <w:rFonts w:ascii="Calibri" w:hAnsi="Calibri" w:cs="Calibri"/>
        </w:rPr>
      </w:pPr>
      <w:r w:rsidRPr="00236C8C">
        <w:rPr>
          <w:rFonts w:ascii="Calibri" w:hAnsi="Calibri" w:cs="Calibri"/>
        </w:rPr>
        <w:t>Kontrolní akce byla zařazena do plánu kontrolní činnosti Nejvyššího kontrolního úřadu (dále jen „NKÚ“) na rok 201</w:t>
      </w:r>
      <w:r w:rsidR="00D34DCA">
        <w:rPr>
          <w:rFonts w:ascii="Calibri" w:hAnsi="Calibri" w:cs="Calibri"/>
        </w:rPr>
        <w:t>5</w:t>
      </w:r>
      <w:r w:rsidRPr="00236C8C">
        <w:rPr>
          <w:rFonts w:ascii="Calibri" w:hAnsi="Calibri" w:cs="Calibri"/>
        </w:rPr>
        <w:t xml:space="preserve"> pod číslem 1</w:t>
      </w:r>
      <w:r w:rsidR="00D34DCA">
        <w:rPr>
          <w:rFonts w:ascii="Calibri" w:hAnsi="Calibri" w:cs="Calibri"/>
        </w:rPr>
        <w:t>5</w:t>
      </w:r>
      <w:r w:rsidRPr="00236C8C">
        <w:rPr>
          <w:rFonts w:ascii="Calibri" w:hAnsi="Calibri" w:cs="Calibri"/>
        </w:rPr>
        <w:t>/</w:t>
      </w:r>
      <w:r w:rsidR="00D34DCA">
        <w:rPr>
          <w:rFonts w:ascii="Calibri" w:hAnsi="Calibri" w:cs="Calibri"/>
        </w:rPr>
        <w:t>06</w:t>
      </w:r>
      <w:r w:rsidRPr="00236C8C">
        <w:rPr>
          <w:rFonts w:ascii="Calibri" w:hAnsi="Calibri" w:cs="Calibri"/>
        </w:rPr>
        <w:t>. Kontrolní akci řídil a kontrolní</w:t>
      </w:r>
      <w:r w:rsidR="00AC2315">
        <w:rPr>
          <w:rFonts w:ascii="Calibri" w:hAnsi="Calibri" w:cs="Calibri"/>
        </w:rPr>
        <w:t xml:space="preserve"> závěr vypracoval člen NKÚ Ing. </w:t>
      </w:r>
      <w:r w:rsidR="00D34DCA">
        <w:rPr>
          <w:rFonts w:ascii="Calibri" w:hAnsi="Calibri" w:cs="Calibri"/>
        </w:rPr>
        <w:t>Antonín Macháček</w:t>
      </w:r>
      <w:r w:rsidRPr="00236C8C">
        <w:rPr>
          <w:rFonts w:ascii="Calibri" w:hAnsi="Calibri" w:cs="Calibri"/>
        </w:rPr>
        <w:t>.</w:t>
      </w:r>
    </w:p>
    <w:p w14:paraId="128E75AD" w14:textId="77777777" w:rsidR="00D34DCA" w:rsidRDefault="00D34DCA" w:rsidP="002912D0">
      <w:pPr>
        <w:spacing w:after="120"/>
        <w:jc w:val="both"/>
        <w:rPr>
          <w:rFonts w:ascii="Calibri" w:hAnsi="Calibri" w:cs="Calibri"/>
        </w:rPr>
      </w:pPr>
      <w:r>
        <w:rPr>
          <w:rFonts w:ascii="Calibri" w:hAnsi="Calibri" w:cs="Calibri"/>
        </w:rPr>
        <w:t>Cílem kontroly bylo prověřit, zda příjemci podpory dodržují podmínky udržitelnosti projektů, zda řídicí orgány plní povinnosti spojené s případným porušením těchto podmínek a zda je zajištěno financování udržitelnosti.</w:t>
      </w:r>
    </w:p>
    <w:p w14:paraId="7E453999" w14:textId="290AA964" w:rsidR="00236C8C" w:rsidRPr="00236C8C" w:rsidRDefault="00236C8C" w:rsidP="002912D0">
      <w:pPr>
        <w:tabs>
          <w:tab w:val="left" w:pos="0"/>
        </w:tabs>
        <w:spacing w:after="120"/>
        <w:jc w:val="both"/>
        <w:rPr>
          <w:rFonts w:ascii="Calibri" w:hAnsi="Calibri" w:cs="Calibri"/>
        </w:rPr>
      </w:pPr>
      <w:r w:rsidRPr="00236C8C">
        <w:rPr>
          <w:rFonts w:ascii="Calibri" w:hAnsi="Calibri" w:cs="Calibri"/>
        </w:rPr>
        <w:t xml:space="preserve">Kontrola byla prováděna </w:t>
      </w:r>
      <w:r w:rsidR="00C5147C">
        <w:rPr>
          <w:rFonts w:ascii="Calibri" w:hAnsi="Calibri" w:cs="Calibri"/>
        </w:rPr>
        <w:t xml:space="preserve">u kontrolovaných osob </w:t>
      </w:r>
      <w:r w:rsidRPr="00236C8C">
        <w:rPr>
          <w:rFonts w:ascii="Calibri" w:hAnsi="Calibri" w:cs="Calibri"/>
        </w:rPr>
        <w:t xml:space="preserve">v době od </w:t>
      </w:r>
      <w:r w:rsidR="00D34DCA">
        <w:rPr>
          <w:rFonts w:ascii="Calibri" w:hAnsi="Calibri" w:cs="Calibri"/>
        </w:rPr>
        <w:t>února</w:t>
      </w:r>
      <w:r w:rsidRPr="00236C8C">
        <w:rPr>
          <w:rFonts w:ascii="Calibri" w:hAnsi="Calibri" w:cs="Calibri"/>
        </w:rPr>
        <w:t xml:space="preserve"> do </w:t>
      </w:r>
      <w:r w:rsidR="005E2C68">
        <w:rPr>
          <w:rFonts w:ascii="Calibri" w:hAnsi="Calibri" w:cs="Calibri"/>
        </w:rPr>
        <w:t>listopadu</w:t>
      </w:r>
      <w:r w:rsidRPr="00236C8C">
        <w:rPr>
          <w:rFonts w:ascii="Calibri" w:hAnsi="Calibri" w:cs="Calibri"/>
        </w:rPr>
        <w:t xml:space="preserve"> 2015. Kontrolovaným obdobím byly roky 20</w:t>
      </w:r>
      <w:r w:rsidR="00D34DCA">
        <w:rPr>
          <w:rFonts w:ascii="Calibri" w:hAnsi="Calibri" w:cs="Calibri"/>
        </w:rPr>
        <w:t>10</w:t>
      </w:r>
      <w:r w:rsidRPr="00236C8C">
        <w:rPr>
          <w:rFonts w:ascii="Calibri" w:hAnsi="Calibri" w:cs="Calibri"/>
        </w:rPr>
        <w:t xml:space="preserve"> až 201</w:t>
      </w:r>
      <w:r w:rsidR="00D34DCA">
        <w:rPr>
          <w:rFonts w:ascii="Calibri" w:hAnsi="Calibri" w:cs="Calibri"/>
        </w:rPr>
        <w:t>5</w:t>
      </w:r>
      <w:r w:rsidRPr="00236C8C">
        <w:rPr>
          <w:rFonts w:ascii="Calibri" w:hAnsi="Calibri" w:cs="Calibri"/>
        </w:rPr>
        <w:t>, v případě věcných souvislostí i období předcházející</w:t>
      </w:r>
      <w:r w:rsidR="00D34DCA">
        <w:rPr>
          <w:rFonts w:ascii="Calibri" w:hAnsi="Calibri" w:cs="Calibri"/>
        </w:rPr>
        <w:t>.</w:t>
      </w:r>
    </w:p>
    <w:p w14:paraId="40BF94EC" w14:textId="77777777" w:rsidR="00236C8C" w:rsidRPr="00236C8C" w:rsidRDefault="00236C8C" w:rsidP="00236C8C">
      <w:pPr>
        <w:jc w:val="both"/>
        <w:rPr>
          <w:rFonts w:ascii="Calibri" w:hAnsi="Calibri" w:cs="Calibri"/>
          <w:b/>
        </w:rPr>
      </w:pPr>
      <w:r w:rsidRPr="00236C8C">
        <w:rPr>
          <w:rFonts w:ascii="Calibri" w:hAnsi="Calibri" w:cs="Calibri"/>
          <w:b/>
          <w:lang w:val="x-none"/>
        </w:rPr>
        <w:t>Kontrolovan</w:t>
      </w:r>
      <w:r w:rsidRPr="00236C8C">
        <w:rPr>
          <w:rFonts w:ascii="Calibri" w:hAnsi="Calibri" w:cs="Calibri"/>
          <w:b/>
        </w:rPr>
        <w:t>é</w:t>
      </w:r>
      <w:r w:rsidRPr="00236C8C">
        <w:rPr>
          <w:rFonts w:ascii="Calibri" w:hAnsi="Calibri" w:cs="Calibri"/>
          <w:b/>
          <w:lang w:val="x-none"/>
        </w:rPr>
        <w:t xml:space="preserve"> osob</w:t>
      </w:r>
      <w:r w:rsidRPr="00236C8C">
        <w:rPr>
          <w:rFonts w:ascii="Calibri" w:hAnsi="Calibri" w:cs="Calibri"/>
          <w:b/>
        </w:rPr>
        <w:t>y</w:t>
      </w:r>
      <w:r w:rsidRPr="00236C8C">
        <w:rPr>
          <w:rFonts w:ascii="Calibri" w:hAnsi="Calibri" w:cs="Calibri"/>
          <w:b/>
          <w:lang w:val="x-none"/>
        </w:rPr>
        <w:t>:</w:t>
      </w:r>
    </w:p>
    <w:p w14:paraId="10C102C5" w14:textId="5B091AED" w:rsidR="00A81969" w:rsidRDefault="00D34DCA" w:rsidP="002912D0">
      <w:pPr>
        <w:spacing w:after="120"/>
        <w:jc w:val="both"/>
        <w:rPr>
          <w:rFonts w:ascii="Calibri" w:hAnsi="Calibri" w:cs="Calibri"/>
        </w:rPr>
      </w:pPr>
      <w:r w:rsidRPr="007E3360">
        <w:rPr>
          <w:rFonts w:ascii="Calibri" w:hAnsi="Calibri" w:cs="Calibri"/>
        </w:rPr>
        <w:t xml:space="preserve">Ministerstvo pro místní rozvoj (dále </w:t>
      </w:r>
      <w:r w:rsidR="00D90027" w:rsidRPr="007E3360">
        <w:rPr>
          <w:rFonts w:ascii="Calibri" w:hAnsi="Calibri" w:cs="Calibri"/>
        </w:rPr>
        <w:t>také</w:t>
      </w:r>
      <w:r w:rsidRPr="007E3360">
        <w:rPr>
          <w:rFonts w:ascii="Calibri" w:hAnsi="Calibri" w:cs="Calibri"/>
        </w:rPr>
        <w:t xml:space="preserve"> „MMR“);</w:t>
      </w:r>
      <w:r w:rsidR="00BF4B95" w:rsidRPr="007E3360">
        <w:rPr>
          <w:rFonts w:ascii="Calibri" w:hAnsi="Calibri" w:cs="Calibri"/>
        </w:rPr>
        <w:t xml:space="preserve"> </w:t>
      </w:r>
      <w:r w:rsidR="00236C8C" w:rsidRPr="007E3360">
        <w:rPr>
          <w:rFonts w:ascii="Calibri" w:hAnsi="Calibri" w:cs="Calibri"/>
          <w:lang w:val="x-none"/>
        </w:rPr>
        <w:t>M</w:t>
      </w:r>
      <w:r w:rsidR="001A219D" w:rsidRPr="007E3360">
        <w:rPr>
          <w:rFonts w:ascii="Calibri" w:hAnsi="Calibri" w:cs="Calibri"/>
          <w:lang w:val="x-none"/>
        </w:rPr>
        <w:t>inisterstvo školství, mládeže a </w:t>
      </w:r>
      <w:r w:rsidR="00236C8C" w:rsidRPr="007E3360">
        <w:rPr>
          <w:rFonts w:ascii="Calibri" w:hAnsi="Calibri" w:cs="Calibri"/>
          <w:lang w:val="x-none"/>
        </w:rPr>
        <w:t>tělovýchovy</w:t>
      </w:r>
      <w:r w:rsidR="00236C8C" w:rsidRPr="007E3360">
        <w:rPr>
          <w:rFonts w:ascii="Calibri" w:hAnsi="Calibri" w:cs="Calibri"/>
        </w:rPr>
        <w:t xml:space="preserve"> (dále </w:t>
      </w:r>
      <w:r w:rsidR="00D90027" w:rsidRPr="007E3360">
        <w:rPr>
          <w:rFonts w:ascii="Calibri" w:hAnsi="Calibri" w:cs="Calibri"/>
        </w:rPr>
        <w:t>také</w:t>
      </w:r>
      <w:r w:rsidR="00236C8C" w:rsidRPr="007E3360">
        <w:rPr>
          <w:rFonts w:ascii="Calibri" w:hAnsi="Calibri" w:cs="Calibri"/>
        </w:rPr>
        <w:t xml:space="preserve"> „MŠMT“);</w:t>
      </w:r>
      <w:r w:rsidR="00BF4B95" w:rsidRPr="007E3360">
        <w:rPr>
          <w:rFonts w:ascii="Calibri" w:hAnsi="Calibri" w:cs="Calibri"/>
        </w:rPr>
        <w:t xml:space="preserve"> </w:t>
      </w:r>
      <w:r w:rsidR="00B46193" w:rsidRPr="007E3360">
        <w:rPr>
          <w:rFonts w:ascii="Calibri" w:hAnsi="Calibri" w:cs="Calibri"/>
        </w:rPr>
        <w:t xml:space="preserve">Ministerstvo práce a sociálních věcí (dále </w:t>
      </w:r>
      <w:r w:rsidR="00D90027" w:rsidRPr="007E3360">
        <w:rPr>
          <w:rFonts w:ascii="Calibri" w:hAnsi="Calibri" w:cs="Calibri"/>
        </w:rPr>
        <w:t>také</w:t>
      </w:r>
      <w:r w:rsidR="00B46193" w:rsidRPr="007E3360">
        <w:rPr>
          <w:rFonts w:ascii="Calibri" w:hAnsi="Calibri" w:cs="Calibri"/>
        </w:rPr>
        <w:t xml:space="preserve"> „MPSV</w:t>
      </w:r>
      <w:r w:rsidR="00C229FE">
        <w:rPr>
          <w:rFonts w:ascii="Calibri" w:hAnsi="Calibri" w:cs="Calibri"/>
        </w:rPr>
        <w:t>“</w:t>
      </w:r>
      <w:r w:rsidR="00A81969" w:rsidRPr="007E3360">
        <w:rPr>
          <w:rFonts w:ascii="Calibri" w:hAnsi="Calibri" w:cs="Calibri"/>
        </w:rPr>
        <w:t>);</w:t>
      </w:r>
      <w:r w:rsidR="00BF4B95" w:rsidRPr="007E3360">
        <w:rPr>
          <w:rFonts w:ascii="Calibri" w:hAnsi="Calibri" w:cs="Calibri"/>
        </w:rPr>
        <w:t xml:space="preserve"> </w:t>
      </w:r>
      <w:r w:rsidR="00B46193" w:rsidRPr="007E3360">
        <w:rPr>
          <w:rFonts w:ascii="Calibri" w:hAnsi="Calibri" w:cs="Calibri"/>
        </w:rPr>
        <w:t>Minis</w:t>
      </w:r>
      <w:r w:rsidR="00A81969" w:rsidRPr="007E3360">
        <w:rPr>
          <w:rFonts w:ascii="Calibri" w:hAnsi="Calibri" w:cs="Calibri"/>
        </w:rPr>
        <w:t xml:space="preserve">terstvo vnitra (dále </w:t>
      </w:r>
      <w:r w:rsidR="00D90027" w:rsidRPr="007E3360">
        <w:rPr>
          <w:rFonts w:ascii="Calibri" w:hAnsi="Calibri" w:cs="Calibri"/>
        </w:rPr>
        <w:t>také</w:t>
      </w:r>
      <w:r w:rsidR="00A81969" w:rsidRPr="007E3360">
        <w:rPr>
          <w:rFonts w:ascii="Calibri" w:hAnsi="Calibri" w:cs="Calibri"/>
        </w:rPr>
        <w:t xml:space="preserve"> „MV“);</w:t>
      </w:r>
      <w:r w:rsidR="00BF4B95" w:rsidRPr="007E3360">
        <w:rPr>
          <w:rFonts w:ascii="Calibri" w:hAnsi="Calibri" w:cs="Calibri"/>
        </w:rPr>
        <w:t xml:space="preserve"> </w:t>
      </w:r>
      <w:r w:rsidR="00B46193" w:rsidRPr="007E3360">
        <w:rPr>
          <w:rFonts w:ascii="Calibri" w:hAnsi="Calibri" w:cs="Calibri"/>
        </w:rPr>
        <w:t xml:space="preserve">Ministerstvo </w:t>
      </w:r>
      <w:r w:rsidR="00A81969" w:rsidRPr="007E3360">
        <w:rPr>
          <w:rFonts w:ascii="Calibri" w:hAnsi="Calibri" w:cs="Calibri"/>
        </w:rPr>
        <w:t xml:space="preserve">zdravotnictví (dále </w:t>
      </w:r>
      <w:r w:rsidR="00D90027" w:rsidRPr="007E3360">
        <w:rPr>
          <w:rFonts w:ascii="Calibri" w:hAnsi="Calibri" w:cs="Calibri"/>
        </w:rPr>
        <w:t>také</w:t>
      </w:r>
      <w:r w:rsidR="00A81969" w:rsidRPr="007E3360">
        <w:rPr>
          <w:rFonts w:ascii="Calibri" w:hAnsi="Calibri" w:cs="Calibri"/>
        </w:rPr>
        <w:t xml:space="preserve"> „</w:t>
      </w:r>
      <w:proofErr w:type="spellStart"/>
      <w:r w:rsidR="00A81969" w:rsidRPr="007E3360">
        <w:rPr>
          <w:rFonts w:ascii="Calibri" w:hAnsi="Calibri" w:cs="Calibri"/>
        </w:rPr>
        <w:t>MZd</w:t>
      </w:r>
      <w:proofErr w:type="spellEnd"/>
      <w:r w:rsidR="00A81969" w:rsidRPr="007E3360">
        <w:rPr>
          <w:rFonts w:ascii="Calibri" w:hAnsi="Calibri" w:cs="Calibri"/>
        </w:rPr>
        <w:t>“);</w:t>
      </w:r>
      <w:r w:rsidR="00BF4B95" w:rsidRPr="007E3360">
        <w:rPr>
          <w:rFonts w:ascii="Calibri" w:hAnsi="Calibri" w:cs="Calibri"/>
        </w:rPr>
        <w:t xml:space="preserve"> </w:t>
      </w:r>
      <w:r w:rsidR="00B46193" w:rsidRPr="007E3360">
        <w:rPr>
          <w:rFonts w:ascii="Calibri" w:hAnsi="Calibri" w:cs="Calibri"/>
        </w:rPr>
        <w:t>Centrum pro region</w:t>
      </w:r>
      <w:r w:rsidR="00A81969" w:rsidRPr="007E3360">
        <w:rPr>
          <w:rFonts w:ascii="Calibri" w:hAnsi="Calibri" w:cs="Calibri"/>
        </w:rPr>
        <w:t>ální rozvoj ČR</w:t>
      </w:r>
      <w:r w:rsidR="00895C5B" w:rsidRPr="007E3360">
        <w:rPr>
          <w:rFonts w:ascii="Calibri" w:hAnsi="Calibri" w:cs="Calibri"/>
        </w:rPr>
        <w:t>, Praha</w:t>
      </w:r>
      <w:r w:rsidR="00C229FE">
        <w:rPr>
          <w:rFonts w:ascii="Calibri" w:hAnsi="Calibri" w:cs="Calibri"/>
        </w:rPr>
        <w:t xml:space="preserve"> </w:t>
      </w:r>
      <w:r w:rsidR="00A81969" w:rsidRPr="007E3360">
        <w:rPr>
          <w:rFonts w:ascii="Calibri" w:hAnsi="Calibri" w:cs="Calibri"/>
        </w:rPr>
        <w:t xml:space="preserve">(dále </w:t>
      </w:r>
      <w:r w:rsidR="00D90027" w:rsidRPr="007E3360">
        <w:rPr>
          <w:rFonts w:ascii="Calibri" w:hAnsi="Calibri" w:cs="Calibri"/>
        </w:rPr>
        <w:t>také</w:t>
      </w:r>
      <w:r w:rsidR="00A81969" w:rsidRPr="007E3360">
        <w:rPr>
          <w:rFonts w:ascii="Calibri" w:hAnsi="Calibri" w:cs="Calibri"/>
        </w:rPr>
        <w:t xml:space="preserve"> „CRR“)</w:t>
      </w:r>
      <w:r w:rsidR="00BF4B95" w:rsidRPr="007E3360">
        <w:rPr>
          <w:rFonts w:ascii="Calibri" w:hAnsi="Calibri" w:cs="Calibri"/>
        </w:rPr>
        <w:t xml:space="preserve">; </w:t>
      </w:r>
      <w:r w:rsidR="00A81969" w:rsidRPr="007E3360">
        <w:rPr>
          <w:rFonts w:ascii="Calibri" w:hAnsi="Calibri" w:cs="Calibri"/>
        </w:rPr>
        <w:t xml:space="preserve">PONTES Písek s.r.o.; </w:t>
      </w:r>
      <w:r w:rsidR="00A6463B">
        <w:rPr>
          <w:rFonts w:ascii="Calibri" w:hAnsi="Calibri" w:cs="Calibri"/>
        </w:rPr>
        <w:t>s</w:t>
      </w:r>
      <w:r w:rsidR="00A81969" w:rsidRPr="007E3360">
        <w:rPr>
          <w:rFonts w:ascii="Calibri" w:hAnsi="Calibri" w:cs="Calibri"/>
        </w:rPr>
        <w:t xml:space="preserve">tatutární město České Budějovice; </w:t>
      </w:r>
      <w:proofErr w:type="spellStart"/>
      <w:r w:rsidR="00A81969" w:rsidRPr="007E3360">
        <w:rPr>
          <w:rFonts w:ascii="Calibri" w:hAnsi="Calibri" w:cs="Calibri"/>
        </w:rPr>
        <w:t>Apelo</w:t>
      </w:r>
      <w:proofErr w:type="spellEnd"/>
      <w:r w:rsidR="00A81969" w:rsidRPr="007E3360">
        <w:rPr>
          <w:rFonts w:ascii="Calibri" w:hAnsi="Calibri" w:cs="Calibri"/>
        </w:rPr>
        <w:t xml:space="preserve"> s.r.o.</w:t>
      </w:r>
      <w:r w:rsidR="00895C5B" w:rsidRPr="007E3360">
        <w:rPr>
          <w:rFonts w:ascii="Calibri" w:hAnsi="Calibri" w:cs="Calibri"/>
        </w:rPr>
        <w:t>, Chrudim</w:t>
      </w:r>
      <w:r w:rsidR="00A81969" w:rsidRPr="007E3360">
        <w:rPr>
          <w:rFonts w:ascii="Calibri" w:hAnsi="Calibri" w:cs="Calibri"/>
        </w:rPr>
        <w:t>; CENIA, česká informační agentura životního prostředí</w:t>
      </w:r>
      <w:r w:rsidR="00895C5B" w:rsidRPr="007E3360">
        <w:rPr>
          <w:rFonts w:ascii="Calibri" w:hAnsi="Calibri" w:cs="Calibri"/>
        </w:rPr>
        <w:t>, Praha</w:t>
      </w:r>
      <w:r w:rsidR="00A81969" w:rsidRPr="007E3360">
        <w:rPr>
          <w:rFonts w:ascii="Calibri" w:hAnsi="Calibri" w:cs="Calibri"/>
        </w:rPr>
        <w:t>; Centrum výzkumu globální změny AV ČR, v. v. i.</w:t>
      </w:r>
      <w:r w:rsidR="00895C5B" w:rsidRPr="007E3360">
        <w:rPr>
          <w:rFonts w:ascii="Calibri" w:hAnsi="Calibri" w:cs="Calibri"/>
        </w:rPr>
        <w:t>, Brno</w:t>
      </w:r>
      <w:r w:rsidR="00A81969" w:rsidRPr="007E3360">
        <w:rPr>
          <w:rFonts w:ascii="Calibri" w:hAnsi="Calibri" w:cs="Calibri"/>
        </w:rPr>
        <w:t>; Český telekomunikační úřad</w:t>
      </w:r>
      <w:r w:rsidR="00895C5B" w:rsidRPr="007E3360">
        <w:rPr>
          <w:rFonts w:ascii="Calibri" w:hAnsi="Calibri" w:cs="Calibri"/>
        </w:rPr>
        <w:t>, Praha</w:t>
      </w:r>
      <w:r w:rsidR="00A81969" w:rsidRPr="007E3360">
        <w:rPr>
          <w:rFonts w:ascii="Calibri" w:hAnsi="Calibri" w:cs="Calibri"/>
        </w:rPr>
        <w:t>; Fakultní nemocnice Hradec Králové; Hober s.r.o.</w:t>
      </w:r>
      <w:r w:rsidR="00895C5B" w:rsidRPr="007E3360">
        <w:rPr>
          <w:rFonts w:ascii="Calibri" w:hAnsi="Calibri" w:cs="Calibri"/>
        </w:rPr>
        <w:t>, Praha 3; Ing. </w:t>
      </w:r>
      <w:r w:rsidR="00A81969" w:rsidRPr="007E3360">
        <w:rPr>
          <w:rFonts w:ascii="Calibri" w:hAnsi="Calibri" w:cs="Calibri"/>
        </w:rPr>
        <w:t>David Štych</w:t>
      </w:r>
      <w:r w:rsidR="00895C5B" w:rsidRPr="007E3360">
        <w:rPr>
          <w:rFonts w:ascii="Calibri" w:hAnsi="Calibri" w:cs="Calibri"/>
        </w:rPr>
        <w:t>, Strašice č.</w:t>
      </w:r>
      <w:r w:rsidR="009B1E5B">
        <w:rPr>
          <w:rFonts w:ascii="Calibri" w:hAnsi="Calibri" w:cs="Calibri"/>
        </w:rPr>
        <w:t> </w:t>
      </w:r>
      <w:r w:rsidR="00895C5B" w:rsidRPr="007E3360">
        <w:rPr>
          <w:rFonts w:ascii="Calibri" w:hAnsi="Calibri" w:cs="Calibri"/>
        </w:rPr>
        <w:t>p. 7, Strašice</w:t>
      </w:r>
      <w:r w:rsidR="00A81969" w:rsidRPr="007E3360">
        <w:rPr>
          <w:rFonts w:ascii="Calibri" w:hAnsi="Calibri" w:cs="Calibri"/>
        </w:rPr>
        <w:t>; Josef Štych</w:t>
      </w:r>
      <w:r w:rsidR="00895C5B" w:rsidRPr="007E3360">
        <w:rPr>
          <w:rFonts w:ascii="Calibri" w:hAnsi="Calibri" w:cs="Calibri"/>
        </w:rPr>
        <w:t>, Strašice 329</w:t>
      </w:r>
      <w:r w:rsidR="00A81969" w:rsidRPr="007E3360">
        <w:rPr>
          <w:rFonts w:ascii="Calibri" w:hAnsi="Calibri" w:cs="Calibri"/>
        </w:rPr>
        <w:t>; Karlovarský kraj</w:t>
      </w:r>
      <w:r w:rsidR="00895C5B" w:rsidRPr="007E3360">
        <w:rPr>
          <w:rFonts w:ascii="Calibri" w:hAnsi="Calibri" w:cs="Calibri"/>
        </w:rPr>
        <w:t xml:space="preserve"> se sídlem v Karlových Varech</w:t>
      </w:r>
      <w:r w:rsidR="00A81969" w:rsidRPr="007E3360">
        <w:rPr>
          <w:rFonts w:ascii="Calibri" w:hAnsi="Calibri" w:cs="Calibri"/>
        </w:rPr>
        <w:t>; Kraj Vysočina</w:t>
      </w:r>
      <w:r w:rsidR="00895C5B" w:rsidRPr="007E3360">
        <w:rPr>
          <w:rFonts w:ascii="Calibri" w:hAnsi="Calibri" w:cs="Calibri"/>
        </w:rPr>
        <w:t xml:space="preserve"> se sídlem v Jihlavě</w:t>
      </w:r>
      <w:r w:rsidR="00A81969" w:rsidRPr="007E3360">
        <w:rPr>
          <w:rFonts w:ascii="Calibri" w:hAnsi="Calibri" w:cs="Calibri"/>
        </w:rPr>
        <w:t xml:space="preserve">; </w:t>
      </w:r>
      <w:proofErr w:type="spellStart"/>
      <w:r w:rsidR="00A81969" w:rsidRPr="007E3360">
        <w:rPr>
          <w:rFonts w:ascii="Calibri" w:hAnsi="Calibri" w:cs="Calibri"/>
        </w:rPr>
        <w:t>Křinický</w:t>
      </w:r>
      <w:proofErr w:type="spellEnd"/>
      <w:r w:rsidR="00A81969" w:rsidRPr="007E3360">
        <w:rPr>
          <w:rFonts w:ascii="Calibri" w:hAnsi="Calibri" w:cs="Calibri"/>
        </w:rPr>
        <w:t xml:space="preserve"> pivovar s.r.o.</w:t>
      </w:r>
      <w:r w:rsidR="00895C5B" w:rsidRPr="007E3360">
        <w:rPr>
          <w:rFonts w:ascii="Calibri" w:hAnsi="Calibri" w:cs="Calibri"/>
        </w:rPr>
        <w:t>, Praha 6</w:t>
      </w:r>
      <w:r w:rsidR="00A81969" w:rsidRPr="007E3360">
        <w:rPr>
          <w:rFonts w:ascii="Calibri" w:hAnsi="Calibri" w:cs="Calibri"/>
        </w:rPr>
        <w:t>; Masarykova univerzita</w:t>
      </w:r>
      <w:r w:rsidR="00895C5B" w:rsidRPr="007E3360">
        <w:rPr>
          <w:rFonts w:ascii="Calibri" w:hAnsi="Calibri" w:cs="Calibri"/>
        </w:rPr>
        <w:t>, Brno</w:t>
      </w:r>
      <w:r w:rsidR="00A81969" w:rsidRPr="007E3360">
        <w:rPr>
          <w:rFonts w:ascii="Calibri" w:hAnsi="Calibri" w:cs="Calibri"/>
        </w:rPr>
        <w:t xml:space="preserve">; </w:t>
      </w:r>
      <w:r w:rsidR="00895C5B" w:rsidRPr="007E3360">
        <w:rPr>
          <w:rFonts w:ascii="Calibri" w:hAnsi="Calibri" w:cs="Calibri"/>
        </w:rPr>
        <w:t>město Náchod</w:t>
      </w:r>
      <w:r w:rsidR="00A81969" w:rsidRPr="007E3360">
        <w:rPr>
          <w:rFonts w:ascii="Calibri" w:hAnsi="Calibri" w:cs="Calibri"/>
        </w:rPr>
        <w:t xml:space="preserve">; </w:t>
      </w:r>
      <w:r w:rsidR="00895C5B" w:rsidRPr="007E3360">
        <w:rPr>
          <w:rFonts w:ascii="Calibri" w:hAnsi="Calibri" w:cs="Calibri"/>
        </w:rPr>
        <w:t>m</w:t>
      </w:r>
      <w:r w:rsidR="00A81969" w:rsidRPr="007E3360">
        <w:rPr>
          <w:rFonts w:ascii="Calibri" w:hAnsi="Calibri" w:cs="Calibri"/>
        </w:rPr>
        <w:t xml:space="preserve">ěsto Písek; </w:t>
      </w:r>
      <w:r w:rsidR="00895C5B" w:rsidRPr="007E3360">
        <w:rPr>
          <w:rFonts w:ascii="Calibri" w:hAnsi="Calibri" w:cs="Calibri"/>
        </w:rPr>
        <w:t>m</w:t>
      </w:r>
      <w:r w:rsidR="00A81969" w:rsidRPr="007E3360">
        <w:rPr>
          <w:rFonts w:ascii="Calibri" w:hAnsi="Calibri" w:cs="Calibri"/>
        </w:rPr>
        <w:t xml:space="preserve">ěsto Třebíč; </w:t>
      </w:r>
      <w:r w:rsidR="00895C5B" w:rsidRPr="007E3360">
        <w:rPr>
          <w:rFonts w:ascii="Calibri" w:hAnsi="Calibri" w:cs="Calibri"/>
        </w:rPr>
        <w:t>m</w:t>
      </w:r>
      <w:r w:rsidR="00A81969" w:rsidRPr="007E3360">
        <w:rPr>
          <w:rFonts w:ascii="Calibri" w:hAnsi="Calibri" w:cs="Calibri"/>
        </w:rPr>
        <w:t>ěsto Znojmo; Nemocnice Jihlava</w:t>
      </w:r>
      <w:r w:rsidR="00895C5B" w:rsidRPr="007E3360">
        <w:rPr>
          <w:rFonts w:ascii="Calibri" w:hAnsi="Calibri" w:cs="Calibri"/>
        </w:rPr>
        <w:t>, příspěvková organizace</w:t>
      </w:r>
      <w:r w:rsidR="00A81969" w:rsidRPr="007E3360">
        <w:rPr>
          <w:rFonts w:ascii="Calibri" w:hAnsi="Calibri" w:cs="Calibri"/>
        </w:rPr>
        <w:t>; Rudolf Polák</w:t>
      </w:r>
      <w:r w:rsidR="00895C5B" w:rsidRPr="007E3360">
        <w:rPr>
          <w:rFonts w:ascii="Calibri" w:hAnsi="Calibri" w:cs="Calibri"/>
        </w:rPr>
        <w:t xml:space="preserve">, </w:t>
      </w:r>
      <w:proofErr w:type="spellStart"/>
      <w:r w:rsidR="00895C5B" w:rsidRPr="007E3360">
        <w:rPr>
          <w:rFonts w:ascii="Calibri" w:hAnsi="Calibri" w:cs="Calibri"/>
        </w:rPr>
        <w:t>Dolnopleská</w:t>
      </w:r>
      <w:proofErr w:type="spellEnd"/>
      <w:r w:rsidR="00895C5B" w:rsidRPr="007E3360">
        <w:rPr>
          <w:rFonts w:ascii="Calibri" w:hAnsi="Calibri" w:cs="Calibri"/>
        </w:rPr>
        <w:t xml:space="preserve"> 432, Jaroměř-Josefov</w:t>
      </w:r>
      <w:r w:rsidR="00A81969" w:rsidRPr="007E3360">
        <w:rPr>
          <w:rFonts w:ascii="Calibri" w:hAnsi="Calibri" w:cs="Calibri"/>
        </w:rPr>
        <w:t>; Správa Národního parku Šumava</w:t>
      </w:r>
      <w:r w:rsidR="00895C5B" w:rsidRPr="007E3360">
        <w:rPr>
          <w:rFonts w:ascii="Calibri" w:hAnsi="Calibri" w:cs="Calibri"/>
        </w:rPr>
        <w:t>, Vimperk</w:t>
      </w:r>
      <w:r w:rsidR="00A81969" w:rsidRPr="007E3360">
        <w:rPr>
          <w:rFonts w:ascii="Calibri" w:hAnsi="Calibri" w:cs="Calibri"/>
        </w:rPr>
        <w:t xml:space="preserve">; Státní zdravotní ústav se sídlem v Praze; </w:t>
      </w:r>
      <w:r w:rsidR="00895C5B" w:rsidRPr="007E3360">
        <w:rPr>
          <w:rFonts w:ascii="Calibri" w:hAnsi="Calibri" w:cs="Calibri"/>
        </w:rPr>
        <w:t>s</w:t>
      </w:r>
      <w:r w:rsidR="00A81969" w:rsidRPr="007E3360">
        <w:rPr>
          <w:rFonts w:ascii="Calibri" w:hAnsi="Calibri" w:cs="Calibri"/>
        </w:rPr>
        <w:t>tatutární město Hradec Králové; Trutnovská zeleň, o.p.s.</w:t>
      </w:r>
      <w:r w:rsidR="007E3360" w:rsidRPr="007E3360">
        <w:rPr>
          <w:rFonts w:ascii="Calibri" w:hAnsi="Calibri" w:cs="Calibri"/>
        </w:rPr>
        <w:t>, Malé Svatoňovice</w:t>
      </w:r>
      <w:r w:rsidR="00A81969" w:rsidRPr="007E3360">
        <w:rPr>
          <w:rFonts w:ascii="Calibri" w:hAnsi="Calibri" w:cs="Calibri"/>
        </w:rPr>
        <w:t>; Univerzita Palackého v Olomouci; Univerzita Tomáše Bati ve Zlíně; Ústav přístrojové techniky AV ČR, v.</w:t>
      </w:r>
      <w:r w:rsidR="00381DC0">
        <w:rPr>
          <w:rFonts w:ascii="Calibri" w:hAnsi="Calibri" w:cs="Calibri"/>
        </w:rPr>
        <w:t> </w:t>
      </w:r>
      <w:r w:rsidR="00A81969" w:rsidRPr="007E3360">
        <w:rPr>
          <w:rFonts w:ascii="Calibri" w:hAnsi="Calibri" w:cs="Calibri"/>
        </w:rPr>
        <w:t>v.</w:t>
      </w:r>
      <w:r w:rsidR="00381DC0">
        <w:rPr>
          <w:rFonts w:ascii="Calibri" w:hAnsi="Calibri" w:cs="Calibri"/>
        </w:rPr>
        <w:t> </w:t>
      </w:r>
      <w:r w:rsidR="00A81969" w:rsidRPr="007E3360">
        <w:rPr>
          <w:rFonts w:ascii="Calibri" w:hAnsi="Calibri" w:cs="Calibri"/>
        </w:rPr>
        <w:t>i.</w:t>
      </w:r>
      <w:r w:rsidR="007E3360" w:rsidRPr="007E3360">
        <w:rPr>
          <w:rFonts w:ascii="Calibri" w:hAnsi="Calibri" w:cs="Calibri"/>
        </w:rPr>
        <w:t>, Brno</w:t>
      </w:r>
      <w:r w:rsidR="00A81969" w:rsidRPr="007E3360">
        <w:rPr>
          <w:rFonts w:ascii="Calibri" w:hAnsi="Calibri" w:cs="Calibri"/>
        </w:rPr>
        <w:t>; Ústav teoretické a aplikované mechaniky AV ČR, v.</w:t>
      </w:r>
      <w:r w:rsidR="00381DC0">
        <w:rPr>
          <w:rFonts w:ascii="Calibri" w:hAnsi="Calibri" w:cs="Calibri"/>
        </w:rPr>
        <w:t> </w:t>
      </w:r>
      <w:r w:rsidR="00A81969" w:rsidRPr="007E3360">
        <w:rPr>
          <w:rFonts w:ascii="Calibri" w:hAnsi="Calibri" w:cs="Calibri"/>
        </w:rPr>
        <w:t>v.</w:t>
      </w:r>
      <w:r w:rsidR="00381DC0">
        <w:rPr>
          <w:rFonts w:ascii="Calibri" w:hAnsi="Calibri" w:cs="Calibri"/>
        </w:rPr>
        <w:t> </w:t>
      </w:r>
      <w:r w:rsidR="00A81969" w:rsidRPr="007E3360">
        <w:rPr>
          <w:rFonts w:ascii="Calibri" w:hAnsi="Calibri" w:cs="Calibri"/>
        </w:rPr>
        <w:t>i.</w:t>
      </w:r>
      <w:r w:rsidR="007E3360" w:rsidRPr="007E3360">
        <w:rPr>
          <w:rFonts w:ascii="Calibri" w:hAnsi="Calibri" w:cs="Calibri"/>
        </w:rPr>
        <w:t>, Praha 9</w:t>
      </w:r>
      <w:r w:rsidR="00A81969" w:rsidRPr="007E3360">
        <w:rPr>
          <w:rFonts w:ascii="Calibri" w:hAnsi="Calibri" w:cs="Calibri"/>
        </w:rPr>
        <w:t xml:space="preserve">; Veterinární </w:t>
      </w:r>
      <w:r w:rsidR="001A219D" w:rsidRPr="007E3360">
        <w:rPr>
          <w:rFonts w:ascii="Calibri" w:hAnsi="Calibri" w:cs="Calibri"/>
        </w:rPr>
        <w:t>a </w:t>
      </w:r>
      <w:r w:rsidR="00A81969" w:rsidRPr="007E3360">
        <w:rPr>
          <w:rFonts w:ascii="Calibri" w:hAnsi="Calibri" w:cs="Calibri"/>
        </w:rPr>
        <w:t xml:space="preserve">farmaceutická univerzita Brno; Vysoká škola báňská </w:t>
      </w:r>
      <w:r w:rsidR="00817774">
        <w:rPr>
          <w:rFonts w:ascii="Calibri" w:hAnsi="Calibri" w:cs="Calibri"/>
        </w:rPr>
        <w:t>–</w:t>
      </w:r>
      <w:r w:rsidR="00A81969" w:rsidRPr="007E3360">
        <w:rPr>
          <w:rFonts w:ascii="Calibri" w:hAnsi="Calibri" w:cs="Calibri"/>
        </w:rPr>
        <w:t xml:space="preserve"> Technická univerzita Ostrava; Vysoké</w:t>
      </w:r>
      <w:r w:rsidR="00A81969">
        <w:rPr>
          <w:rFonts w:ascii="Calibri" w:hAnsi="Calibri" w:cs="Calibri"/>
        </w:rPr>
        <w:t xml:space="preserve"> </w:t>
      </w:r>
      <w:r w:rsidR="00817774">
        <w:rPr>
          <w:rFonts w:ascii="Calibri" w:hAnsi="Calibri" w:cs="Calibri"/>
        </w:rPr>
        <w:t>–</w:t>
      </w:r>
      <w:r w:rsidR="00A81969">
        <w:rPr>
          <w:rFonts w:ascii="Calibri" w:hAnsi="Calibri" w:cs="Calibri"/>
        </w:rPr>
        <w:t xml:space="preserve"> výrobní družstvo</w:t>
      </w:r>
      <w:r w:rsidR="007E3360">
        <w:rPr>
          <w:rFonts w:ascii="Calibri" w:hAnsi="Calibri" w:cs="Calibri"/>
        </w:rPr>
        <w:t>, Žďár nad Sázavou</w:t>
      </w:r>
      <w:r w:rsidR="00A81969">
        <w:rPr>
          <w:rFonts w:ascii="Calibri" w:hAnsi="Calibri" w:cs="Calibri"/>
        </w:rPr>
        <w:t xml:space="preserve">; Vysoké učení technické v Brně; </w:t>
      </w:r>
      <w:r w:rsidR="00A81969" w:rsidRPr="00A81969">
        <w:rPr>
          <w:rFonts w:ascii="Calibri" w:hAnsi="Calibri" w:cs="Calibri"/>
        </w:rPr>
        <w:t xml:space="preserve">Výzkumný ústav </w:t>
      </w:r>
      <w:r w:rsidR="00A81969">
        <w:rPr>
          <w:rFonts w:ascii="Calibri" w:hAnsi="Calibri" w:cs="Calibri"/>
        </w:rPr>
        <w:t>veterinárního lékařství, v.</w:t>
      </w:r>
      <w:r w:rsidR="00381DC0">
        <w:rPr>
          <w:rFonts w:ascii="Calibri" w:hAnsi="Calibri" w:cs="Calibri"/>
        </w:rPr>
        <w:t> </w:t>
      </w:r>
      <w:r w:rsidR="00A81969">
        <w:rPr>
          <w:rFonts w:ascii="Calibri" w:hAnsi="Calibri" w:cs="Calibri"/>
        </w:rPr>
        <w:t>v.</w:t>
      </w:r>
      <w:r w:rsidR="00381DC0">
        <w:rPr>
          <w:rFonts w:ascii="Calibri" w:hAnsi="Calibri" w:cs="Calibri"/>
        </w:rPr>
        <w:t> </w:t>
      </w:r>
      <w:r w:rsidR="00A81969">
        <w:rPr>
          <w:rFonts w:ascii="Calibri" w:hAnsi="Calibri" w:cs="Calibri"/>
        </w:rPr>
        <w:t>i.</w:t>
      </w:r>
      <w:r w:rsidR="007E3360">
        <w:rPr>
          <w:rFonts w:ascii="Calibri" w:hAnsi="Calibri" w:cs="Calibri"/>
        </w:rPr>
        <w:t>, Brno.</w:t>
      </w:r>
    </w:p>
    <w:p w14:paraId="5793FBA8" w14:textId="4404638C" w:rsidR="00236C8C" w:rsidRDefault="00236C8C" w:rsidP="00236C8C">
      <w:pPr>
        <w:jc w:val="both"/>
        <w:rPr>
          <w:rFonts w:ascii="Calibri" w:hAnsi="Calibri" w:cs="Calibri"/>
        </w:rPr>
      </w:pPr>
      <w:r w:rsidRPr="00236C8C">
        <w:rPr>
          <w:rFonts w:ascii="Calibri" w:hAnsi="Calibri" w:cs="Calibri"/>
        </w:rPr>
        <w:t>Námitky, které proti kontroln</w:t>
      </w:r>
      <w:r w:rsidR="003643D7">
        <w:rPr>
          <w:rFonts w:ascii="Calibri" w:hAnsi="Calibri" w:cs="Calibri"/>
        </w:rPr>
        <w:t>ímu protokolu podal</w:t>
      </w:r>
      <w:r w:rsidR="009B1E5B">
        <w:rPr>
          <w:rFonts w:ascii="Calibri" w:hAnsi="Calibri" w:cs="Calibri"/>
        </w:rPr>
        <w:t>y</w:t>
      </w:r>
      <w:r w:rsidR="003643D7">
        <w:rPr>
          <w:rFonts w:ascii="Calibri" w:hAnsi="Calibri" w:cs="Calibri"/>
        </w:rPr>
        <w:t xml:space="preserve"> MMR, MŠMT, </w:t>
      </w:r>
      <w:proofErr w:type="spellStart"/>
      <w:r w:rsidR="00C229FE">
        <w:rPr>
          <w:rFonts w:ascii="Calibri" w:hAnsi="Calibri" w:cs="Calibri"/>
        </w:rPr>
        <w:t>MZd</w:t>
      </w:r>
      <w:proofErr w:type="spellEnd"/>
      <w:r w:rsidR="00C229FE">
        <w:rPr>
          <w:rFonts w:ascii="Calibri" w:hAnsi="Calibri" w:cs="Calibri"/>
        </w:rPr>
        <w:t xml:space="preserve">, CRR, </w:t>
      </w:r>
      <w:r w:rsidR="003643D7" w:rsidRPr="003643D7">
        <w:rPr>
          <w:rFonts w:ascii="Calibri" w:hAnsi="Calibri" w:cs="Calibri"/>
        </w:rPr>
        <w:t>Univerzita Palackého v</w:t>
      </w:r>
      <w:r w:rsidR="00593773">
        <w:rPr>
          <w:rFonts w:ascii="Calibri" w:hAnsi="Calibri" w:cs="Calibri"/>
        </w:rPr>
        <w:t> </w:t>
      </w:r>
      <w:r w:rsidR="003643D7" w:rsidRPr="003643D7">
        <w:rPr>
          <w:rFonts w:ascii="Calibri" w:hAnsi="Calibri" w:cs="Calibri"/>
        </w:rPr>
        <w:t>Olomouci</w:t>
      </w:r>
      <w:r w:rsidR="00593773">
        <w:rPr>
          <w:rFonts w:ascii="Calibri" w:hAnsi="Calibri" w:cs="Calibri"/>
        </w:rPr>
        <w:t xml:space="preserve"> a </w:t>
      </w:r>
      <w:r w:rsidR="00C229FE">
        <w:rPr>
          <w:rFonts w:ascii="Calibri" w:hAnsi="Calibri" w:cs="Calibri"/>
        </w:rPr>
        <w:t>s</w:t>
      </w:r>
      <w:r w:rsidR="00593773" w:rsidRPr="00593773">
        <w:rPr>
          <w:rFonts w:ascii="Calibri" w:hAnsi="Calibri" w:cs="Calibri"/>
        </w:rPr>
        <w:t>tatutární město České Budějovice</w:t>
      </w:r>
      <w:r w:rsidR="009B1E5B">
        <w:rPr>
          <w:rFonts w:ascii="Calibri" w:hAnsi="Calibri" w:cs="Calibri"/>
        </w:rPr>
        <w:t>,</w:t>
      </w:r>
      <w:r w:rsidR="00593773">
        <w:rPr>
          <w:rFonts w:ascii="Calibri" w:hAnsi="Calibri" w:cs="Calibri"/>
        </w:rPr>
        <w:t xml:space="preserve"> </w:t>
      </w:r>
      <w:r w:rsidRPr="00236C8C">
        <w:rPr>
          <w:rFonts w:ascii="Calibri" w:hAnsi="Calibri" w:cs="Calibri"/>
        </w:rPr>
        <w:t>byly vypořádány vedoucími skupin kontrolujících rozhodnutími o námitkách. Odvolání, kter</w:t>
      </w:r>
      <w:r w:rsidR="00593773">
        <w:rPr>
          <w:rFonts w:ascii="Calibri" w:hAnsi="Calibri" w:cs="Calibri"/>
        </w:rPr>
        <w:t>á</w:t>
      </w:r>
      <w:r w:rsidRPr="00236C8C">
        <w:rPr>
          <w:rFonts w:ascii="Calibri" w:hAnsi="Calibri" w:cs="Calibri"/>
        </w:rPr>
        <w:t xml:space="preserve"> proti rozhodnutí</w:t>
      </w:r>
      <w:r w:rsidR="00593773">
        <w:rPr>
          <w:rFonts w:ascii="Calibri" w:hAnsi="Calibri" w:cs="Calibri"/>
        </w:rPr>
        <w:t>m</w:t>
      </w:r>
      <w:r w:rsidR="00A6463B">
        <w:rPr>
          <w:rFonts w:ascii="Calibri" w:hAnsi="Calibri" w:cs="Calibri"/>
        </w:rPr>
        <w:t xml:space="preserve"> </w:t>
      </w:r>
      <w:r w:rsidR="00A6463B">
        <w:rPr>
          <w:rFonts w:ascii="Calibri" w:hAnsi="Calibri" w:cs="Calibri"/>
        </w:rPr>
        <w:lastRenderedPageBreak/>
        <w:t>o </w:t>
      </w:r>
      <w:r w:rsidRPr="00236C8C">
        <w:rPr>
          <w:rFonts w:ascii="Calibri" w:hAnsi="Calibri" w:cs="Calibri"/>
        </w:rPr>
        <w:t>námitkách podal</w:t>
      </w:r>
      <w:r w:rsidR="009B1E5B">
        <w:rPr>
          <w:rFonts w:ascii="Calibri" w:hAnsi="Calibri" w:cs="Calibri"/>
        </w:rPr>
        <w:t>y</w:t>
      </w:r>
      <w:r w:rsidRPr="00236C8C">
        <w:rPr>
          <w:rFonts w:ascii="Calibri" w:hAnsi="Calibri" w:cs="Calibri"/>
        </w:rPr>
        <w:t xml:space="preserve"> </w:t>
      </w:r>
      <w:r w:rsidR="00593773">
        <w:rPr>
          <w:rFonts w:ascii="Calibri" w:hAnsi="Calibri" w:cs="Calibri"/>
        </w:rPr>
        <w:t xml:space="preserve">MŠMT a </w:t>
      </w:r>
      <w:r w:rsidR="00882911">
        <w:rPr>
          <w:rFonts w:ascii="Calibri" w:hAnsi="Calibri" w:cs="Calibri"/>
        </w:rPr>
        <w:t>s</w:t>
      </w:r>
      <w:r w:rsidR="00593773" w:rsidRPr="00593773">
        <w:rPr>
          <w:rFonts w:ascii="Calibri" w:hAnsi="Calibri" w:cs="Calibri"/>
        </w:rPr>
        <w:t>tatutární město České Budějovice</w:t>
      </w:r>
      <w:r w:rsidRPr="00236C8C">
        <w:rPr>
          <w:rFonts w:ascii="Calibri" w:hAnsi="Calibri" w:cs="Calibri"/>
        </w:rPr>
        <w:t>, byla vypořádána usneseními Kolegia NKÚ.</w:t>
      </w:r>
    </w:p>
    <w:p w14:paraId="00097051" w14:textId="77777777" w:rsidR="009B1E5B" w:rsidRDefault="009B1E5B" w:rsidP="00236C8C">
      <w:pPr>
        <w:jc w:val="both"/>
        <w:rPr>
          <w:rFonts w:ascii="Calibri" w:hAnsi="Calibri" w:cs="Calibri"/>
        </w:rPr>
      </w:pPr>
    </w:p>
    <w:p w14:paraId="05268808" w14:textId="77777777" w:rsidR="009B1E5B" w:rsidRPr="00236C8C" w:rsidRDefault="009B1E5B" w:rsidP="00236C8C">
      <w:pPr>
        <w:jc w:val="both"/>
        <w:rPr>
          <w:rFonts w:ascii="Calibri" w:hAnsi="Calibri" w:cs="Calibri"/>
        </w:rPr>
      </w:pPr>
    </w:p>
    <w:p w14:paraId="632A4FCB" w14:textId="77777777" w:rsidR="00236C8C" w:rsidRPr="005E2C68" w:rsidRDefault="00236C8C" w:rsidP="00236C8C">
      <w:pPr>
        <w:jc w:val="both"/>
        <w:rPr>
          <w:rFonts w:ascii="Calibri" w:hAnsi="Calibri" w:cs="Calibri"/>
          <w:lang w:eastAsia="cs-CZ"/>
        </w:rPr>
      </w:pPr>
      <w:proofErr w:type="gramStart"/>
      <w:r w:rsidRPr="005E2C68">
        <w:rPr>
          <w:rFonts w:ascii="Calibri" w:hAnsi="Calibri" w:cs="Calibri"/>
          <w:b/>
          <w:bCs/>
          <w:i/>
          <w:iCs/>
          <w:lang w:eastAsia="cs-CZ"/>
        </w:rPr>
        <w:t xml:space="preserve">K o l e g i u m   N K Ú  </w:t>
      </w:r>
      <w:r w:rsidRPr="005E2C68">
        <w:rPr>
          <w:rFonts w:ascii="Calibri" w:hAnsi="Calibri" w:cs="Calibri"/>
          <w:lang w:eastAsia="cs-CZ"/>
        </w:rPr>
        <w:t xml:space="preserve"> na</w:t>
      </w:r>
      <w:proofErr w:type="gramEnd"/>
      <w:r w:rsidRPr="005E2C68">
        <w:rPr>
          <w:rFonts w:ascii="Calibri" w:hAnsi="Calibri" w:cs="Calibri"/>
          <w:lang w:eastAsia="cs-CZ"/>
        </w:rPr>
        <w:t xml:space="preserve"> svém </w:t>
      </w:r>
      <w:r w:rsidR="00326DD9">
        <w:rPr>
          <w:rFonts w:ascii="Calibri" w:hAnsi="Calibri" w:cs="Calibri"/>
          <w:lang w:eastAsia="cs-CZ"/>
        </w:rPr>
        <w:t>XVII</w:t>
      </w:r>
      <w:r w:rsidRPr="005E2C68">
        <w:rPr>
          <w:rFonts w:ascii="Calibri" w:hAnsi="Calibri" w:cs="Calibri"/>
          <w:lang w:eastAsia="cs-CZ"/>
        </w:rPr>
        <w:t xml:space="preserve">. jednání, které se konalo dne </w:t>
      </w:r>
      <w:r w:rsidR="00326DD9">
        <w:rPr>
          <w:rFonts w:ascii="Calibri" w:hAnsi="Calibri" w:cs="Calibri"/>
          <w:lang w:eastAsia="cs-CZ"/>
        </w:rPr>
        <w:t>14</w:t>
      </w:r>
      <w:r w:rsidRPr="005E2C68">
        <w:rPr>
          <w:rFonts w:ascii="Calibri" w:hAnsi="Calibri" w:cs="Calibri"/>
          <w:lang w:eastAsia="cs-CZ"/>
        </w:rPr>
        <w:t xml:space="preserve">. </w:t>
      </w:r>
      <w:r w:rsidR="00326DD9">
        <w:rPr>
          <w:rFonts w:ascii="Calibri" w:hAnsi="Calibri" w:cs="Calibri"/>
          <w:lang w:eastAsia="cs-CZ"/>
        </w:rPr>
        <w:t>prosince</w:t>
      </w:r>
      <w:r w:rsidRPr="005E2C68">
        <w:rPr>
          <w:rFonts w:ascii="Calibri" w:hAnsi="Calibri" w:cs="Calibri"/>
          <w:lang w:eastAsia="cs-CZ"/>
        </w:rPr>
        <w:t xml:space="preserve"> 2015, </w:t>
      </w:r>
    </w:p>
    <w:p w14:paraId="694410EF" w14:textId="77777777" w:rsidR="00236C8C" w:rsidRPr="00236C8C" w:rsidRDefault="00236C8C" w:rsidP="00236C8C">
      <w:pPr>
        <w:jc w:val="both"/>
        <w:rPr>
          <w:rFonts w:ascii="Calibri" w:hAnsi="Calibri" w:cs="Calibri"/>
          <w:lang w:eastAsia="cs-CZ"/>
        </w:rPr>
      </w:pPr>
      <w:proofErr w:type="gramStart"/>
      <w:r w:rsidRPr="005E2C68">
        <w:rPr>
          <w:rFonts w:ascii="Calibri" w:hAnsi="Calibri" w:cs="Calibri"/>
          <w:b/>
          <w:bCs/>
          <w:i/>
          <w:iCs/>
          <w:lang w:eastAsia="cs-CZ"/>
        </w:rPr>
        <w:t xml:space="preserve">s c h v á l i l o  </w:t>
      </w:r>
      <w:r w:rsidRPr="005E2C68">
        <w:rPr>
          <w:rFonts w:ascii="Calibri" w:hAnsi="Calibri" w:cs="Calibri"/>
          <w:lang w:eastAsia="cs-CZ"/>
        </w:rPr>
        <w:t xml:space="preserve"> usnesením č.</w:t>
      </w:r>
      <w:proofErr w:type="gramEnd"/>
      <w:r w:rsidRPr="005E2C68">
        <w:rPr>
          <w:rFonts w:ascii="Calibri" w:hAnsi="Calibri" w:cs="Calibri"/>
          <w:lang w:eastAsia="cs-CZ"/>
        </w:rPr>
        <w:t xml:space="preserve"> </w:t>
      </w:r>
      <w:r w:rsidR="00184A9F">
        <w:rPr>
          <w:rFonts w:ascii="Calibri" w:hAnsi="Calibri" w:cs="Calibri"/>
          <w:lang w:eastAsia="cs-CZ"/>
        </w:rPr>
        <w:t>5</w:t>
      </w:r>
      <w:r w:rsidRPr="005E2C68">
        <w:rPr>
          <w:rFonts w:ascii="Calibri" w:hAnsi="Calibri" w:cs="Calibri"/>
          <w:lang w:eastAsia="cs-CZ"/>
        </w:rPr>
        <w:t>/</w:t>
      </w:r>
      <w:r w:rsidR="00326DD9">
        <w:rPr>
          <w:rFonts w:ascii="Calibri" w:hAnsi="Calibri" w:cs="Calibri"/>
          <w:lang w:eastAsia="cs-CZ"/>
        </w:rPr>
        <w:t>XVII</w:t>
      </w:r>
      <w:r w:rsidRPr="005E2C68">
        <w:rPr>
          <w:rFonts w:ascii="Calibri" w:hAnsi="Calibri" w:cs="Calibri"/>
          <w:lang w:eastAsia="cs-CZ"/>
        </w:rPr>
        <w:t>/2015</w:t>
      </w:r>
    </w:p>
    <w:p w14:paraId="734A9A21" w14:textId="77777777" w:rsidR="00236C8C" w:rsidRDefault="00236C8C" w:rsidP="00236C8C">
      <w:pPr>
        <w:jc w:val="both"/>
        <w:rPr>
          <w:rFonts w:ascii="Calibri" w:hAnsi="Calibri" w:cs="Calibri"/>
          <w:lang w:eastAsia="cs-CZ"/>
        </w:rPr>
      </w:pPr>
      <w:proofErr w:type="gramStart"/>
      <w:r w:rsidRPr="00236C8C">
        <w:rPr>
          <w:rFonts w:ascii="Calibri" w:hAnsi="Calibri" w:cs="Calibri"/>
          <w:b/>
          <w:bCs/>
          <w:i/>
          <w:iCs/>
          <w:lang w:eastAsia="cs-CZ"/>
        </w:rPr>
        <w:t>k o n t r o l n í   z á v ě r</w:t>
      </w:r>
      <w:r w:rsidRPr="00236C8C">
        <w:rPr>
          <w:rFonts w:ascii="Calibri" w:hAnsi="Calibri" w:cs="Calibri"/>
          <w:lang w:eastAsia="cs-CZ"/>
        </w:rPr>
        <w:t xml:space="preserve">   v tomto</w:t>
      </w:r>
      <w:proofErr w:type="gramEnd"/>
      <w:r w:rsidRPr="00236C8C">
        <w:rPr>
          <w:rFonts w:ascii="Calibri" w:hAnsi="Calibri" w:cs="Calibri"/>
          <w:lang w:eastAsia="cs-CZ"/>
        </w:rPr>
        <w:t xml:space="preserve"> znění:</w:t>
      </w:r>
    </w:p>
    <w:p w14:paraId="323D3BA7" w14:textId="77777777" w:rsidR="009B1E5B" w:rsidRPr="009B1E5B" w:rsidRDefault="009B1E5B" w:rsidP="009B1E5B">
      <w:pPr>
        <w:jc w:val="both"/>
        <w:rPr>
          <w:rFonts w:ascii="Calibri" w:hAnsi="Calibri" w:cs="Calibri"/>
          <w:bCs/>
          <w:szCs w:val="22"/>
        </w:rPr>
      </w:pPr>
    </w:p>
    <w:p w14:paraId="72264542" w14:textId="77777777" w:rsidR="009B1E5B" w:rsidRPr="009B1E5B" w:rsidRDefault="009B1E5B" w:rsidP="009B1E5B">
      <w:pPr>
        <w:jc w:val="both"/>
        <w:rPr>
          <w:rFonts w:ascii="Calibri" w:hAnsi="Calibri" w:cs="Calibri"/>
          <w:bCs/>
          <w:szCs w:val="22"/>
        </w:rPr>
      </w:pPr>
    </w:p>
    <w:p w14:paraId="1A3A1895" w14:textId="77777777" w:rsidR="00E24FE0" w:rsidRPr="00E24FE0" w:rsidRDefault="00E24FE0" w:rsidP="00E24FE0">
      <w:pPr>
        <w:contextualSpacing/>
        <w:jc w:val="center"/>
        <w:rPr>
          <w:rFonts w:asciiTheme="minorHAnsi" w:hAnsiTheme="minorHAnsi" w:cstheme="minorHAnsi"/>
          <w:b/>
          <w:sz w:val="28"/>
          <w:szCs w:val="28"/>
        </w:rPr>
      </w:pPr>
      <w:r w:rsidRPr="00E24FE0">
        <w:rPr>
          <w:rFonts w:asciiTheme="minorHAnsi" w:hAnsiTheme="minorHAnsi" w:cstheme="minorHAnsi"/>
          <w:b/>
          <w:sz w:val="28"/>
          <w:szCs w:val="28"/>
        </w:rPr>
        <w:t>I. Informace k předmětu kontroly</w:t>
      </w:r>
    </w:p>
    <w:p w14:paraId="41CDC5D3" w14:textId="77777777" w:rsidR="00E24FE0" w:rsidRPr="00E24FE0" w:rsidRDefault="00E24FE0" w:rsidP="00E24FE0">
      <w:pPr>
        <w:contextualSpacing/>
        <w:rPr>
          <w:rFonts w:asciiTheme="minorHAnsi" w:hAnsiTheme="minorHAnsi" w:cstheme="minorHAnsi"/>
        </w:rPr>
      </w:pPr>
    </w:p>
    <w:p w14:paraId="0E2B0440" w14:textId="7C41B168" w:rsidR="00E24FE0" w:rsidRPr="00E24FE0" w:rsidRDefault="00E24FE0" w:rsidP="002912D0">
      <w:pPr>
        <w:tabs>
          <w:tab w:val="left" w:pos="567"/>
        </w:tabs>
        <w:spacing w:after="120"/>
        <w:jc w:val="both"/>
        <w:rPr>
          <w:rFonts w:asciiTheme="minorHAnsi" w:hAnsiTheme="minorHAnsi" w:cstheme="minorHAnsi"/>
        </w:rPr>
      </w:pPr>
      <w:r w:rsidRPr="00E24FE0">
        <w:rPr>
          <w:rFonts w:asciiTheme="minorHAnsi" w:hAnsiTheme="minorHAnsi" w:cstheme="minorHAnsi"/>
        </w:rPr>
        <w:t xml:space="preserve">Peněžní prostředky </w:t>
      </w:r>
      <w:r w:rsidR="00C229FE">
        <w:rPr>
          <w:rFonts w:asciiTheme="minorHAnsi" w:hAnsiTheme="minorHAnsi" w:cstheme="minorHAnsi"/>
        </w:rPr>
        <w:t xml:space="preserve">určené </w:t>
      </w:r>
      <w:r w:rsidRPr="00E24FE0">
        <w:rPr>
          <w:rFonts w:asciiTheme="minorHAnsi" w:hAnsiTheme="minorHAnsi" w:cstheme="minorHAnsi"/>
        </w:rPr>
        <w:t>na plnění cílů regionální politi</w:t>
      </w:r>
      <w:r w:rsidR="007E3360">
        <w:rPr>
          <w:rFonts w:asciiTheme="minorHAnsi" w:hAnsiTheme="minorHAnsi" w:cstheme="minorHAnsi"/>
        </w:rPr>
        <w:t>ky EU v programovém období 2007–</w:t>
      </w:r>
      <w:r w:rsidRPr="00E24FE0">
        <w:rPr>
          <w:rFonts w:asciiTheme="minorHAnsi" w:hAnsiTheme="minorHAnsi" w:cstheme="minorHAnsi"/>
        </w:rPr>
        <w:t xml:space="preserve">2013 byly České republice poskytovány prostřednictvím dvou strukturálních fondů – </w:t>
      </w:r>
      <w:r w:rsidRPr="00962559">
        <w:rPr>
          <w:rFonts w:asciiTheme="minorHAnsi" w:hAnsiTheme="minorHAnsi" w:cstheme="minorHAnsi"/>
          <w:i/>
        </w:rPr>
        <w:t>Evropského fondu pro regionální rozvoj</w:t>
      </w:r>
      <w:r w:rsidRPr="00E24FE0">
        <w:rPr>
          <w:rFonts w:asciiTheme="minorHAnsi" w:hAnsiTheme="minorHAnsi" w:cstheme="minorHAnsi"/>
        </w:rPr>
        <w:t xml:space="preserve"> (</w:t>
      </w:r>
      <w:r w:rsidR="009F19DA">
        <w:rPr>
          <w:rFonts w:asciiTheme="minorHAnsi" w:hAnsiTheme="minorHAnsi" w:cstheme="minorHAnsi"/>
        </w:rPr>
        <w:t xml:space="preserve">dále </w:t>
      </w:r>
      <w:r w:rsidR="00D90027">
        <w:rPr>
          <w:rFonts w:asciiTheme="minorHAnsi" w:hAnsiTheme="minorHAnsi" w:cstheme="minorHAnsi"/>
        </w:rPr>
        <w:t>také</w:t>
      </w:r>
      <w:r w:rsidR="009F19DA">
        <w:rPr>
          <w:rFonts w:asciiTheme="minorHAnsi" w:hAnsiTheme="minorHAnsi" w:cstheme="minorHAnsi"/>
        </w:rPr>
        <w:t xml:space="preserve"> „</w:t>
      </w:r>
      <w:r w:rsidRPr="00E24FE0">
        <w:rPr>
          <w:rFonts w:asciiTheme="minorHAnsi" w:hAnsiTheme="minorHAnsi" w:cstheme="minorHAnsi"/>
        </w:rPr>
        <w:t>E</w:t>
      </w:r>
      <w:r w:rsidR="008B51FC">
        <w:rPr>
          <w:rFonts w:asciiTheme="minorHAnsi" w:hAnsiTheme="minorHAnsi" w:cstheme="minorHAnsi"/>
        </w:rPr>
        <w:t>FRR</w:t>
      </w:r>
      <w:r w:rsidR="009F19DA">
        <w:rPr>
          <w:rFonts w:asciiTheme="minorHAnsi" w:hAnsiTheme="minorHAnsi" w:cstheme="minorHAnsi"/>
        </w:rPr>
        <w:t>“</w:t>
      </w:r>
      <w:r w:rsidRPr="00E24FE0">
        <w:rPr>
          <w:rFonts w:asciiTheme="minorHAnsi" w:hAnsiTheme="minorHAnsi" w:cstheme="minorHAnsi"/>
        </w:rPr>
        <w:t xml:space="preserve">) a </w:t>
      </w:r>
      <w:r w:rsidRPr="00962559">
        <w:rPr>
          <w:rFonts w:asciiTheme="minorHAnsi" w:hAnsiTheme="minorHAnsi" w:cstheme="minorHAnsi"/>
          <w:i/>
        </w:rPr>
        <w:t>Evropského sociálního fondu</w:t>
      </w:r>
      <w:r w:rsidRPr="00E24FE0">
        <w:rPr>
          <w:rFonts w:asciiTheme="minorHAnsi" w:hAnsiTheme="minorHAnsi" w:cstheme="minorHAnsi"/>
        </w:rPr>
        <w:t xml:space="preserve"> (</w:t>
      </w:r>
      <w:r w:rsidR="009F19DA">
        <w:rPr>
          <w:rFonts w:asciiTheme="minorHAnsi" w:hAnsiTheme="minorHAnsi" w:cstheme="minorHAnsi"/>
        </w:rPr>
        <w:t xml:space="preserve">dále </w:t>
      </w:r>
      <w:r w:rsidR="00D90027">
        <w:rPr>
          <w:rFonts w:asciiTheme="minorHAnsi" w:hAnsiTheme="minorHAnsi" w:cstheme="minorHAnsi"/>
        </w:rPr>
        <w:t>také</w:t>
      </w:r>
      <w:r w:rsidR="009F19DA">
        <w:rPr>
          <w:rFonts w:asciiTheme="minorHAnsi" w:hAnsiTheme="minorHAnsi" w:cstheme="minorHAnsi"/>
        </w:rPr>
        <w:t xml:space="preserve"> „</w:t>
      </w:r>
      <w:r w:rsidRPr="00E24FE0">
        <w:rPr>
          <w:rFonts w:asciiTheme="minorHAnsi" w:hAnsiTheme="minorHAnsi" w:cstheme="minorHAnsi"/>
        </w:rPr>
        <w:t>ESF</w:t>
      </w:r>
      <w:r w:rsidR="009F19DA">
        <w:rPr>
          <w:rFonts w:asciiTheme="minorHAnsi" w:hAnsiTheme="minorHAnsi" w:cstheme="minorHAnsi"/>
        </w:rPr>
        <w:t>“</w:t>
      </w:r>
      <w:r w:rsidRPr="00E24FE0">
        <w:rPr>
          <w:rFonts w:asciiTheme="minorHAnsi" w:hAnsiTheme="minorHAnsi" w:cstheme="minorHAnsi"/>
        </w:rPr>
        <w:t xml:space="preserve">) – a dále z </w:t>
      </w:r>
      <w:r w:rsidRPr="00962559">
        <w:rPr>
          <w:rFonts w:asciiTheme="minorHAnsi" w:hAnsiTheme="minorHAnsi" w:cstheme="minorHAnsi"/>
          <w:i/>
        </w:rPr>
        <w:t>Fondu soudržnosti</w:t>
      </w:r>
      <w:r w:rsidRPr="00E24FE0">
        <w:rPr>
          <w:rFonts w:asciiTheme="minorHAnsi" w:hAnsiTheme="minorHAnsi" w:cstheme="minorHAnsi"/>
        </w:rPr>
        <w:t>. Projekty spolufinancované z uvedených fondů jsou součástí operačních programů, za jejichž provádění odpovídá příslušný řídicí orgán.</w:t>
      </w:r>
      <w:r w:rsidR="00DA2326">
        <w:rPr>
          <w:rFonts w:asciiTheme="minorHAnsi" w:hAnsiTheme="minorHAnsi" w:cstheme="minorHAnsi"/>
        </w:rPr>
        <w:t xml:space="preserve"> Centrálním metodickým a koordinačním subjektem pro implementaci programů spolufinancovaných z fondů EU je MMR jakožto </w:t>
      </w:r>
      <w:r w:rsidR="00817774">
        <w:rPr>
          <w:rFonts w:asciiTheme="minorHAnsi" w:hAnsiTheme="minorHAnsi" w:cstheme="minorHAnsi"/>
        </w:rPr>
        <w:t>n</w:t>
      </w:r>
      <w:r w:rsidR="00DA2326">
        <w:rPr>
          <w:rFonts w:asciiTheme="minorHAnsi" w:hAnsiTheme="minorHAnsi" w:cstheme="minorHAnsi"/>
        </w:rPr>
        <w:t>árodní orgán pro koordinaci.</w:t>
      </w:r>
    </w:p>
    <w:p w14:paraId="234EC180" w14:textId="77777777" w:rsidR="00186431" w:rsidRDefault="00E24FE0" w:rsidP="00E24FE0">
      <w:pPr>
        <w:tabs>
          <w:tab w:val="left" w:pos="567"/>
        </w:tabs>
        <w:contextualSpacing/>
        <w:jc w:val="both"/>
        <w:rPr>
          <w:rFonts w:asciiTheme="minorHAnsi" w:hAnsiTheme="minorHAnsi" w:cstheme="minorHAnsi"/>
        </w:rPr>
      </w:pPr>
      <w:r w:rsidRPr="00E24FE0">
        <w:rPr>
          <w:rFonts w:asciiTheme="minorHAnsi" w:hAnsiTheme="minorHAnsi" w:cstheme="minorHAnsi"/>
        </w:rPr>
        <w:t>Evropsk</w:t>
      </w:r>
      <w:r w:rsidR="008B51FC">
        <w:rPr>
          <w:rFonts w:asciiTheme="minorHAnsi" w:hAnsiTheme="minorHAnsi" w:cstheme="minorHAnsi"/>
        </w:rPr>
        <w:t>é předpisy</w:t>
      </w:r>
      <w:r w:rsidR="002D2C6A">
        <w:rPr>
          <w:rStyle w:val="Znakapoznpodarou"/>
          <w:rFonts w:asciiTheme="minorHAnsi" w:hAnsiTheme="minorHAnsi" w:cstheme="minorHAnsi"/>
        </w:rPr>
        <w:footnoteReference w:id="2"/>
      </w:r>
      <w:r w:rsidRPr="00E24FE0">
        <w:rPr>
          <w:rFonts w:asciiTheme="minorHAnsi" w:hAnsiTheme="minorHAnsi" w:cstheme="minorHAnsi"/>
        </w:rPr>
        <w:t xml:space="preserve"> uklád</w:t>
      </w:r>
      <w:r w:rsidR="008B51FC">
        <w:rPr>
          <w:rFonts w:asciiTheme="minorHAnsi" w:hAnsiTheme="minorHAnsi" w:cstheme="minorHAnsi"/>
        </w:rPr>
        <w:t>ají</w:t>
      </w:r>
      <w:r w:rsidRPr="00E24FE0">
        <w:rPr>
          <w:rFonts w:asciiTheme="minorHAnsi" w:hAnsiTheme="minorHAnsi" w:cstheme="minorHAnsi"/>
        </w:rPr>
        <w:t xml:space="preserve"> členským státům povinnost zajistit tzv. </w:t>
      </w:r>
      <w:r w:rsidRPr="00E24FE0">
        <w:rPr>
          <w:rFonts w:asciiTheme="minorHAnsi" w:hAnsiTheme="minorHAnsi" w:cstheme="minorHAnsi"/>
          <w:i/>
        </w:rPr>
        <w:t>stálost operací</w:t>
      </w:r>
      <w:r w:rsidRPr="00E24FE0">
        <w:rPr>
          <w:rFonts w:asciiTheme="minorHAnsi" w:hAnsiTheme="minorHAnsi" w:cstheme="minorHAnsi"/>
        </w:rPr>
        <w:t>, resp. stálost podpořených projektů. Podle tohoto požadavku nesmí v průběhu pěti let od ukončení realizace projektu dojít ke změně vlastnictví hmotného či nehmotného investičního majetku pořízeného z dotace nebo k zastavení činnosti související s podpořenou investicí, které by mělo za následek nedodržení účelu projektu nebo dalších závazných podmínek, za kterých byly příjemci peněžní prostředky poskytnuty.</w:t>
      </w:r>
      <w:r w:rsidR="00861790">
        <w:rPr>
          <w:rFonts w:asciiTheme="minorHAnsi" w:hAnsiTheme="minorHAnsi" w:cstheme="minorHAnsi"/>
        </w:rPr>
        <w:t xml:space="preserve"> </w:t>
      </w:r>
      <w:r w:rsidR="00186431">
        <w:rPr>
          <w:rFonts w:asciiTheme="minorHAnsi" w:hAnsiTheme="minorHAnsi" w:cstheme="minorHAnsi"/>
        </w:rPr>
        <w:t>Tento požadavek</w:t>
      </w:r>
      <w:r w:rsidR="00861790">
        <w:rPr>
          <w:rFonts w:asciiTheme="minorHAnsi" w:hAnsiTheme="minorHAnsi" w:cstheme="minorHAnsi"/>
        </w:rPr>
        <w:t xml:space="preserve"> se týká zejména projektů investičního charakteru financovaných z E</w:t>
      </w:r>
      <w:r w:rsidR="008B51FC">
        <w:rPr>
          <w:rFonts w:asciiTheme="minorHAnsi" w:hAnsiTheme="minorHAnsi" w:cstheme="minorHAnsi"/>
        </w:rPr>
        <w:t>FRR</w:t>
      </w:r>
      <w:r w:rsidR="00861790">
        <w:rPr>
          <w:rFonts w:asciiTheme="minorHAnsi" w:hAnsiTheme="minorHAnsi" w:cstheme="minorHAnsi"/>
        </w:rPr>
        <w:t xml:space="preserve">. </w:t>
      </w:r>
      <w:r w:rsidR="00186431">
        <w:rPr>
          <w:rFonts w:asciiTheme="minorHAnsi" w:hAnsiTheme="minorHAnsi" w:cstheme="minorHAnsi"/>
        </w:rPr>
        <w:t>V případě projektů financovaných z ESF není po změně právní úpravy</w:t>
      </w:r>
      <w:r w:rsidR="00915AC4">
        <w:rPr>
          <w:rStyle w:val="Znakapoznpodarou"/>
          <w:rFonts w:asciiTheme="minorHAnsi" w:eastAsiaTheme="minorEastAsia" w:hAnsiTheme="minorHAnsi" w:cstheme="minorHAnsi"/>
        </w:rPr>
        <w:footnoteReference w:id="3"/>
      </w:r>
      <w:r w:rsidR="00915AC4">
        <w:rPr>
          <w:rFonts w:asciiTheme="minorHAnsi" w:hAnsiTheme="minorHAnsi" w:cstheme="minorHAnsi"/>
        </w:rPr>
        <w:t xml:space="preserve"> </w:t>
      </w:r>
      <w:r w:rsidR="00186431">
        <w:rPr>
          <w:rFonts w:asciiTheme="minorHAnsi" w:hAnsiTheme="minorHAnsi" w:cstheme="minorHAnsi"/>
        </w:rPr>
        <w:t>z roku 2010 stálost operace až na výjimky vyžadována.</w:t>
      </w:r>
    </w:p>
    <w:p w14:paraId="1F621276" w14:textId="77777777" w:rsidR="00865D2F" w:rsidRDefault="00865D2F" w:rsidP="00865D2F">
      <w:pPr>
        <w:contextualSpacing/>
        <w:rPr>
          <w:rFonts w:asciiTheme="minorHAnsi" w:hAnsiTheme="minorHAnsi" w:cstheme="minorHAnsi"/>
        </w:rPr>
      </w:pPr>
    </w:p>
    <w:tbl>
      <w:tblPr>
        <w:tblStyle w:val="Mkatabulky"/>
        <w:tblW w:w="8221" w:type="dxa"/>
        <w:tblInd w:w="534"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shd w:val="clear" w:color="auto" w:fill="F5F5F5"/>
        <w:tblCellMar>
          <w:top w:w="57" w:type="dxa"/>
          <w:bottom w:w="57" w:type="dxa"/>
        </w:tblCellMar>
        <w:tblLook w:val="04A0" w:firstRow="1" w:lastRow="0" w:firstColumn="1" w:lastColumn="0" w:noHBand="0" w:noVBand="1"/>
      </w:tblPr>
      <w:tblGrid>
        <w:gridCol w:w="8221"/>
      </w:tblGrid>
      <w:tr w:rsidR="00865D2F" w14:paraId="321C8E20" w14:textId="77777777" w:rsidTr="00666B8C">
        <w:tc>
          <w:tcPr>
            <w:tcW w:w="8221" w:type="dxa"/>
            <w:shd w:val="clear" w:color="auto" w:fill="F5F5F5"/>
            <w:tcMar>
              <w:right w:w="142" w:type="dxa"/>
            </w:tcMar>
          </w:tcPr>
          <w:p w14:paraId="106AECDF" w14:textId="77777777" w:rsidR="00865D2F" w:rsidRPr="00737FA6" w:rsidRDefault="00865D2F" w:rsidP="00FA6E4C">
            <w:pPr>
              <w:contextualSpacing/>
              <w:rPr>
                <w:rFonts w:asciiTheme="minorHAnsi" w:hAnsiTheme="minorHAnsi" w:cstheme="minorHAnsi"/>
                <w:b/>
                <w:sz w:val="20"/>
                <w:szCs w:val="20"/>
              </w:rPr>
            </w:pPr>
            <w:r w:rsidRPr="00737FA6">
              <w:rPr>
                <w:rFonts w:asciiTheme="minorHAnsi" w:hAnsiTheme="minorHAnsi" w:cstheme="minorHAnsi"/>
                <w:b/>
                <w:sz w:val="20"/>
                <w:szCs w:val="20"/>
              </w:rPr>
              <w:t xml:space="preserve">Stálost operací dle čl. 57 odst. 1 </w:t>
            </w:r>
            <w:r w:rsidR="00C229FE">
              <w:rPr>
                <w:rFonts w:asciiTheme="minorHAnsi" w:hAnsiTheme="minorHAnsi" w:cstheme="minorHAnsi"/>
                <w:b/>
                <w:sz w:val="20"/>
                <w:szCs w:val="20"/>
              </w:rPr>
              <w:t>n</w:t>
            </w:r>
            <w:r w:rsidRPr="00737FA6">
              <w:rPr>
                <w:rFonts w:asciiTheme="minorHAnsi" w:hAnsiTheme="minorHAnsi" w:cstheme="minorHAnsi"/>
                <w:b/>
                <w:sz w:val="20"/>
                <w:szCs w:val="20"/>
              </w:rPr>
              <w:t>ařízení Rady (ES) 1083/2006</w:t>
            </w:r>
          </w:p>
          <w:p w14:paraId="710DDCBC" w14:textId="77777777" w:rsidR="00865D2F" w:rsidRDefault="00865D2F" w:rsidP="00FA6E4C">
            <w:pPr>
              <w:contextualSpacing/>
              <w:rPr>
                <w:rFonts w:asciiTheme="minorHAnsi" w:hAnsiTheme="minorHAnsi" w:cstheme="minorHAnsi"/>
                <w:sz w:val="18"/>
                <w:szCs w:val="18"/>
              </w:rPr>
            </w:pPr>
          </w:p>
          <w:p w14:paraId="3BD9FB34" w14:textId="77777777" w:rsidR="00865D2F" w:rsidRPr="008553C1" w:rsidRDefault="00865D2F" w:rsidP="00FA6E4C">
            <w:pPr>
              <w:spacing w:after="120"/>
              <w:jc w:val="both"/>
              <w:rPr>
                <w:rFonts w:asciiTheme="minorHAnsi" w:hAnsiTheme="minorHAnsi" w:cstheme="minorHAnsi"/>
                <w:sz w:val="19"/>
                <w:szCs w:val="19"/>
              </w:rPr>
            </w:pPr>
            <w:r w:rsidRPr="008553C1">
              <w:rPr>
                <w:rFonts w:asciiTheme="minorHAnsi" w:hAnsiTheme="minorHAnsi" w:cstheme="minorHAnsi"/>
                <w:sz w:val="19"/>
                <w:szCs w:val="19"/>
              </w:rPr>
              <w:t>„Členský stát nebo řídící orgán zajistí, že příspěvek z fondů na operaci zahrnující investici do infrastruktury nebo produktivní investici bude zachován, pouze pokud do pěti let od ukončení neprojde tato operace podstatnou změnou způsobenou buď změnou formy vlastnictví položky infrastruktury, nebo zastavením výrobní činnosti, ovlivňující její povahu nebo prováděcí podmínky nebo poskytující podniku či veřejnému subjektu nepatřičnou výhodu.</w:t>
            </w:r>
          </w:p>
          <w:p w14:paraId="3486CABD" w14:textId="7F3FCB01" w:rsidR="00865D2F" w:rsidRPr="00AE1F83" w:rsidRDefault="00865D2F" w:rsidP="00817774">
            <w:pPr>
              <w:contextualSpacing/>
              <w:jc w:val="both"/>
              <w:rPr>
                <w:rFonts w:asciiTheme="minorHAnsi" w:hAnsiTheme="minorHAnsi" w:cstheme="minorHAnsi"/>
                <w:sz w:val="20"/>
                <w:szCs w:val="20"/>
              </w:rPr>
            </w:pPr>
            <w:r w:rsidRPr="008553C1">
              <w:rPr>
                <w:rFonts w:asciiTheme="minorHAnsi" w:hAnsiTheme="minorHAnsi" w:cstheme="minorHAnsi"/>
                <w:sz w:val="19"/>
                <w:szCs w:val="19"/>
              </w:rPr>
              <w:t>Akce spadající do oblasti pomoci z Evropského sociálního fondu se posuzují tak, jako by u nich příspěvek nebyl zachován, pouze tehdy, pokud podle platných pravidel o státní podpoře ve smyslu článku 107 Smlouvy o fungování Evropské unie podléhají povinnosti zachování investice a jestliže během období stanoveného v těchto pravidlech projdou podstatnou změnou v důsledku zastavení výrobní činnosti</w:t>
            </w:r>
            <w:r w:rsidR="007E3360">
              <w:rPr>
                <w:rFonts w:asciiTheme="minorHAnsi" w:hAnsiTheme="minorHAnsi" w:cstheme="minorHAnsi"/>
                <w:sz w:val="19"/>
                <w:szCs w:val="19"/>
              </w:rPr>
              <w:t xml:space="preserve"> </w:t>
            </w:r>
            <w:r w:rsidR="00817774">
              <w:rPr>
                <w:rFonts w:asciiTheme="minorHAnsi" w:hAnsiTheme="minorHAnsi" w:cstheme="minorHAnsi"/>
                <w:sz w:val="19"/>
                <w:szCs w:val="19"/>
              </w:rPr>
              <w:t>…</w:t>
            </w:r>
            <w:r w:rsidRPr="008553C1">
              <w:rPr>
                <w:rFonts w:asciiTheme="minorHAnsi" w:hAnsiTheme="minorHAnsi" w:cstheme="minorHAnsi"/>
                <w:sz w:val="19"/>
                <w:szCs w:val="19"/>
              </w:rPr>
              <w:t>“</w:t>
            </w:r>
          </w:p>
        </w:tc>
      </w:tr>
    </w:tbl>
    <w:p w14:paraId="0C8536D2" w14:textId="77777777" w:rsidR="00865D2F" w:rsidRDefault="00865D2F" w:rsidP="00865D2F">
      <w:pPr>
        <w:tabs>
          <w:tab w:val="left" w:pos="567"/>
        </w:tabs>
        <w:contextualSpacing/>
        <w:jc w:val="both"/>
        <w:rPr>
          <w:rFonts w:asciiTheme="minorHAnsi" w:eastAsiaTheme="minorEastAsia" w:hAnsiTheme="minorHAnsi" w:cstheme="minorHAnsi"/>
        </w:rPr>
      </w:pPr>
    </w:p>
    <w:p w14:paraId="6D94DDEB" w14:textId="4D5BD8AD" w:rsidR="007154BF" w:rsidRDefault="00E24FE0" w:rsidP="002912D0">
      <w:pPr>
        <w:tabs>
          <w:tab w:val="left" w:pos="567"/>
        </w:tabs>
        <w:spacing w:after="120"/>
        <w:jc w:val="both"/>
        <w:rPr>
          <w:rFonts w:asciiTheme="minorHAnsi" w:eastAsiaTheme="minorEastAsia" w:hAnsiTheme="minorHAnsi" w:cstheme="minorHAnsi"/>
        </w:rPr>
      </w:pPr>
      <w:r w:rsidRPr="00E24FE0">
        <w:rPr>
          <w:rFonts w:asciiTheme="minorHAnsi" w:eastAsiaTheme="minorEastAsia" w:hAnsiTheme="minorHAnsi" w:cstheme="minorHAnsi"/>
        </w:rPr>
        <w:t xml:space="preserve">V podmínkách českých operačních programů se používá širší pojem </w:t>
      </w:r>
      <w:r w:rsidRPr="00E24FE0">
        <w:rPr>
          <w:rFonts w:asciiTheme="minorHAnsi" w:eastAsiaTheme="minorEastAsia" w:hAnsiTheme="minorHAnsi" w:cstheme="minorHAnsi"/>
          <w:i/>
        </w:rPr>
        <w:t>udržitelnost projektu</w:t>
      </w:r>
      <w:r w:rsidR="007154BF" w:rsidRPr="007154BF">
        <w:rPr>
          <w:rFonts w:asciiTheme="minorHAnsi" w:eastAsiaTheme="minorEastAsia" w:hAnsiTheme="minorHAnsi" w:cstheme="minorHAnsi"/>
        </w:rPr>
        <w:t>.</w:t>
      </w:r>
      <w:r w:rsidR="007154BF">
        <w:rPr>
          <w:rFonts w:asciiTheme="minorHAnsi" w:eastAsiaTheme="minorEastAsia" w:hAnsiTheme="minorHAnsi" w:cstheme="minorHAnsi"/>
          <w:i/>
        </w:rPr>
        <w:t xml:space="preserve"> </w:t>
      </w:r>
      <w:r w:rsidR="007154BF" w:rsidRPr="007154BF">
        <w:rPr>
          <w:rFonts w:asciiTheme="minorHAnsi" w:eastAsiaTheme="minorEastAsia" w:hAnsiTheme="minorHAnsi" w:cstheme="minorHAnsi"/>
        </w:rPr>
        <w:t>Jed</w:t>
      </w:r>
      <w:r w:rsidR="007154BF">
        <w:rPr>
          <w:rFonts w:asciiTheme="minorHAnsi" w:eastAsiaTheme="minorEastAsia" w:hAnsiTheme="minorHAnsi" w:cstheme="minorHAnsi"/>
        </w:rPr>
        <w:t xml:space="preserve">ná se o souhrn podmínek, které je příjemce povinen dodržovat i určitou dobu po ukončení projektu, a to jak za účelem zajištění stálosti operace, tak s ohledem na </w:t>
      </w:r>
      <w:r w:rsidR="00327540">
        <w:rPr>
          <w:rFonts w:asciiTheme="minorHAnsi" w:eastAsiaTheme="minorEastAsia" w:hAnsiTheme="minorHAnsi" w:cstheme="minorHAnsi"/>
        </w:rPr>
        <w:t xml:space="preserve">řádné </w:t>
      </w:r>
      <w:r w:rsidR="00327540">
        <w:rPr>
          <w:rFonts w:asciiTheme="minorHAnsi" w:eastAsiaTheme="minorEastAsia" w:hAnsiTheme="minorHAnsi" w:cstheme="minorHAnsi"/>
        </w:rPr>
        <w:lastRenderedPageBreak/>
        <w:t>finanční řízení</w:t>
      </w:r>
      <w:r w:rsidR="00ED5206">
        <w:rPr>
          <w:rFonts w:asciiTheme="minorHAnsi" w:eastAsiaTheme="minorEastAsia" w:hAnsiTheme="minorHAnsi" w:cstheme="minorHAnsi"/>
        </w:rPr>
        <w:t xml:space="preserve"> (použití prostředků EU v souladu se zásadami </w:t>
      </w:r>
      <w:r w:rsidR="00E164E1">
        <w:rPr>
          <w:rFonts w:asciiTheme="minorHAnsi" w:eastAsiaTheme="minorEastAsia" w:hAnsiTheme="minorHAnsi" w:cstheme="minorHAnsi"/>
        </w:rPr>
        <w:t xml:space="preserve">účelnosti, </w:t>
      </w:r>
      <w:r w:rsidR="00ED5206">
        <w:rPr>
          <w:rFonts w:asciiTheme="minorHAnsi" w:eastAsiaTheme="minorEastAsia" w:hAnsiTheme="minorHAnsi" w:cstheme="minorHAnsi"/>
        </w:rPr>
        <w:t>hospodá</w:t>
      </w:r>
      <w:r w:rsidR="00824E07">
        <w:rPr>
          <w:rFonts w:asciiTheme="minorHAnsi" w:eastAsiaTheme="minorEastAsia" w:hAnsiTheme="minorHAnsi" w:cstheme="minorHAnsi"/>
        </w:rPr>
        <w:t>rnosti a </w:t>
      </w:r>
      <w:r w:rsidR="00ED5206">
        <w:rPr>
          <w:rFonts w:asciiTheme="minorHAnsi" w:eastAsiaTheme="minorEastAsia" w:hAnsiTheme="minorHAnsi" w:cstheme="minorHAnsi"/>
        </w:rPr>
        <w:t>efektivnosti)</w:t>
      </w:r>
      <w:r w:rsidR="00700955">
        <w:rPr>
          <w:rStyle w:val="Znakapoznpodarou"/>
          <w:rFonts w:asciiTheme="minorHAnsi" w:eastAsiaTheme="minorEastAsia" w:hAnsiTheme="minorHAnsi" w:cstheme="minorHAnsi"/>
        </w:rPr>
        <w:footnoteReference w:id="4"/>
      </w:r>
      <w:r w:rsidR="00ED5206">
        <w:rPr>
          <w:rFonts w:asciiTheme="minorHAnsi" w:eastAsiaTheme="minorEastAsia" w:hAnsiTheme="minorHAnsi" w:cstheme="minorHAnsi"/>
        </w:rPr>
        <w:t>.</w:t>
      </w:r>
    </w:p>
    <w:p w14:paraId="03127317" w14:textId="77777777" w:rsidR="0087597D" w:rsidRDefault="0087597D" w:rsidP="00E24FE0">
      <w:pPr>
        <w:tabs>
          <w:tab w:val="left" w:pos="567"/>
        </w:tabs>
        <w:contextualSpacing/>
        <w:jc w:val="both"/>
        <w:rPr>
          <w:rFonts w:asciiTheme="minorHAnsi" w:eastAsiaTheme="minorEastAsia" w:hAnsiTheme="minorHAnsi" w:cstheme="minorHAnsi"/>
        </w:rPr>
      </w:pPr>
      <w:r>
        <w:rPr>
          <w:rFonts w:asciiTheme="minorHAnsi" w:eastAsiaTheme="minorEastAsia" w:hAnsiTheme="minorHAnsi" w:cstheme="minorHAnsi"/>
        </w:rPr>
        <w:t>Mezi podmínky udržitelnosti</w:t>
      </w:r>
      <w:r w:rsidRPr="00A6463B">
        <w:rPr>
          <w:rFonts w:asciiTheme="minorHAnsi" w:eastAsiaTheme="minorEastAsia" w:hAnsiTheme="minorHAnsi" w:cstheme="minorHAnsi"/>
          <w:vertAlign w:val="superscript"/>
        </w:rPr>
        <w:footnoteReference w:id="5"/>
      </w:r>
      <w:r>
        <w:rPr>
          <w:rFonts w:asciiTheme="minorHAnsi" w:eastAsiaTheme="minorEastAsia" w:hAnsiTheme="minorHAnsi" w:cstheme="minorHAnsi"/>
        </w:rPr>
        <w:t>, ke kterým jsou příjemci podpory zavázáni ve většině případů po dobu pěti let od ukončení projektu, patří zejména:</w:t>
      </w:r>
    </w:p>
    <w:p w14:paraId="75D5F06D" w14:textId="77777777" w:rsidR="0087597D" w:rsidRDefault="00E47A75"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sidRPr="00E47A75">
        <w:rPr>
          <w:rFonts w:asciiTheme="minorHAnsi" w:eastAsiaTheme="minorEastAsia" w:hAnsiTheme="minorHAnsi" w:cstheme="minorHAnsi"/>
        </w:rPr>
        <w:t>zachování výstupů a výsledků projektu</w:t>
      </w:r>
      <w:r w:rsidR="00040B0F">
        <w:rPr>
          <w:rFonts w:asciiTheme="minorHAnsi" w:eastAsiaTheme="minorEastAsia" w:hAnsiTheme="minorHAnsi" w:cstheme="minorHAnsi"/>
        </w:rPr>
        <w:t>;</w:t>
      </w:r>
    </w:p>
    <w:p w14:paraId="2B7572D9" w14:textId="77777777" w:rsidR="00E47A75" w:rsidRDefault="00E47A75"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Pr>
          <w:rFonts w:asciiTheme="minorHAnsi" w:eastAsiaTheme="minorEastAsia" w:hAnsiTheme="minorHAnsi" w:cstheme="minorHAnsi"/>
        </w:rPr>
        <w:t>udržení dosažených hodnot monitorovacích indikát</w:t>
      </w:r>
      <w:r w:rsidR="00040B0F">
        <w:rPr>
          <w:rFonts w:asciiTheme="minorHAnsi" w:eastAsiaTheme="minorEastAsia" w:hAnsiTheme="minorHAnsi" w:cstheme="minorHAnsi"/>
        </w:rPr>
        <w:t>orů;</w:t>
      </w:r>
    </w:p>
    <w:p w14:paraId="53C3B2F1" w14:textId="77777777" w:rsidR="00E47A75" w:rsidRDefault="0073246E"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Pr>
          <w:rFonts w:asciiTheme="minorHAnsi" w:eastAsiaTheme="minorEastAsia" w:hAnsiTheme="minorHAnsi" w:cstheme="minorHAnsi"/>
        </w:rPr>
        <w:t>zajištění takového provozu</w:t>
      </w:r>
      <w:r w:rsidR="00E47A75">
        <w:rPr>
          <w:rFonts w:asciiTheme="minorHAnsi" w:eastAsiaTheme="minorEastAsia" w:hAnsiTheme="minorHAnsi" w:cstheme="minorHAnsi"/>
        </w:rPr>
        <w:t xml:space="preserve"> projektu, </w:t>
      </w:r>
      <w:r>
        <w:rPr>
          <w:rFonts w:asciiTheme="minorHAnsi" w:eastAsiaTheme="minorEastAsia" w:hAnsiTheme="minorHAnsi" w:cstheme="minorHAnsi"/>
        </w:rPr>
        <w:t>který</w:t>
      </w:r>
      <w:r w:rsidR="00E47A75">
        <w:rPr>
          <w:rFonts w:asciiTheme="minorHAnsi" w:eastAsiaTheme="minorEastAsia" w:hAnsiTheme="minorHAnsi" w:cstheme="minorHAnsi"/>
        </w:rPr>
        <w:t xml:space="preserve"> příjemce deklaroval </w:t>
      </w:r>
      <w:r w:rsidR="00040B0F">
        <w:rPr>
          <w:rFonts w:asciiTheme="minorHAnsi" w:eastAsiaTheme="minorEastAsia" w:hAnsiTheme="minorHAnsi" w:cstheme="minorHAnsi"/>
        </w:rPr>
        <w:t>ve schválené projektové žádosti;</w:t>
      </w:r>
    </w:p>
    <w:p w14:paraId="15B4A5AA" w14:textId="77777777" w:rsidR="003F3ECA" w:rsidRDefault="00A547AE"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Pr>
          <w:rFonts w:asciiTheme="minorHAnsi" w:eastAsiaTheme="minorEastAsia" w:hAnsiTheme="minorHAnsi" w:cstheme="minorHAnsi"/>
        </w:rPr>
        <w:t>předkládání pravidelných zpráv o stav</w:t>
      </w:r>
      <w:r w:rsidR="00040B0F">
        <w:rPr>
          <w:rFonts w:asciiTheme="minorHAnsi" w:eastAsiaTheme="minorEastAsia" w:hAnsiTheme="minorHAnsi" w:cstheme="minorHAnsi"/>
        </w:rPr>
        <w:t>u projektu poskytovateli dotace;</w:t>
      </w:r>
    </w:p>
    <w:p w14:paraId="4E4423A1" w14:textId="07E86E93" w:rsidR="00A547AE" w:rsidRDefault="00A547AE"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Pr>
          <w:rFonts w:asciiTheme="minorHAnsi" w:eastAsiaTheme="minorEastAsia" w:hAnsiTheme="minorHAnsi" w:cstheme="minorHAnsi"/>
        </w:rPr>
        <w:t xml:space="preserve">oddělené účetnictví </w:t>
      </w:r>
      <w:r w:rsidR="00ED2E9A">
        <w:rPr>
          <w:rFonts w:asciiTheme="minorHAnsi" w:eastAsiaTheme="minorEastAsia" w:hAnsiTheme="minorHAnsi" w:cstheme="minorHAnsi"/>
        </w:rPr>
        <w:t xml:space="preserve">pro </w:t>
      </w:r>
      <w:r>
        <w:rPr>
          <w:rFonts w:asciiTheme="minorHAnsi" w:eastAsiaTheme="minorEastAsia" w:hAnsiTheme="minorHAnsi" w:cstheme="minorHAnsi"/>
        </w:rPr>
        <w:t>op</w:t>
      </w:r>
      <w:r w:rsidR="00040B0F">
        <w:rPr>
          <w:rFonts w:asciiTheme="minorHAnsi" w:eastAsiaTheme="minorEastAsia" w:hAnsiTheme="minorHAnsi" w:cstheme="minorHAnsi"/>
        </w:rPr>
        <w:t>erac</w:t>
      </w:r>
      <w:r w:rsidR="00ED2E9A">
        <w:rPr>
          <w:rFonts w:asciiTheme="minorHAnsi" w:eastAsiaTheme="minorEastAsia" w:hAnsiTheme="minorHAnsi" w:cstheme="minorHAnsi"/>
        </w:rPr>
        <w:t>e</w:t>
      </w:r>
      <w:r w:rsidR="00040B0F">
        <w:rPr>
          <w:rFonts w:asciiTheme="minorHAnsi" w:eastAsiaTheme="minorEastAsia" w:hAnsiTheme="minorHAnsi" w:cstheme="minorHAnsi"/>
        </w:rPr>
        <w:t xml:space="preserve"> související s projektem;</w:t>
      </w:r>
    </w:p>
    <w:p w14:paraId="2717AC29" w14:textId="77777777" w:rsidR="00A547AE" w:rsidRDefault="00A547AE" w:rsidP="009B1E5B">
      <w:pPr>
        <w:pStyle w:val="Odstavecseseznamem"/>
        <w:numPr>
          <w:ilvl w:val="0"/>
          <w:numId w:val="11"/>
        </w:numPr>
        <w:tabs>
          <w:tab w:val="left" w:pos="284"/>
        </w:tabs>
        <w:ind w:left="284" w:hanging="284"/>
        <w:jc w:val="both"/>
        <w:rPr>
          <w:rFonts w:asciiTheme="minorHAnsi" w:eastAsiaTheme="minorEastAsia" w:hAnsiTheme="minorHAnsi" w:cstheme="minorHAnsi"/>
        </w:rPr>
      </w:pPr>
      <w:r>
        <w:rPr>
          <w:rFonts w:asciiTheme="minorHAnsi" w:eastAsiaTheme="minorEastAsia" w:hAnsiTheme="minorHAnsi" w:cstheme="minorHAnsi"/>
        </w:rPr>
        <w:t>propagace účasti prostředků strukturálníc</w:t>
      </w:r>
      <w:r w:rsidR="00040B0F">
        <w:rPr>
          <w:rFonts w:asciiTheme="minorHAnsi" w:eastAsiaTheme="minorEastAsia" w:hAnsiTheme="minorHAnsi" w:cstheme="minorHAnsi"/>
        </w:rPr>
        <w:t>h fondů na financování projektu;</w:t>
      </w:r>
    </w:p>
    <w:p w14:paraId="52345E1C" w14:textId="77777777" w:rsidR="00A547AE" w:rsidRDefault="00A547AE" w:rsidP="009B1E5B">
      <w:pPr>
        <w:pStyle w:val="Odstavecseseznamem"/>
        <w:numPr>
          <w:ilvl w:val="0"/>
          <w:numId w:val="11"/>
        </w:numPr>
        <w:tabs>
          <w:tab w:val="left" w:pos="284"/>
        </w:tabs>
        <w:spacing w:after="120"/>
        <w:ind w:left="284" w:hanging="284"/>
        <w:jc w:val="both"/>
        <w:rPr>
          <w:rFonts w:asciiTheme="minorHAnsi" w:eastAsiaTheme="minorEastAsia" w:hAnsiTheme="minorHAnsi" w:cstheme="minorHAnsi"/>
        </w:rPr>
      </w:pPr>
      <w:r>
        <w:rPr>
          <w:rFonts w:asciiTheme="minorHAnsi" w:eastAsiaTheme="minorEastAsia" w:hAnsiTheme="minorHAnsi" w:cstheme="minorHAnsi"/>
        </w:rPr>
        <w:t>další specifické podmínky (např. zachování pracovních úvazků).</w:t>
      </w:r>
    </w:p>
    <w:p w14:paraId="3E0B415F" w14:textId="77777777" w:rsidR="00E24FE0" w:rsidRPr="00E24FE0" w:rsidRDefault="00E24FE0" w:rsidP="00E24FE0">
      <w:pPr>
        <w:tabs>
          <w:tab w:val="left" w:pos="567"/>
        </w:tabs>
        <w:contextualSpacing/>
        <w:jc w:val="both"/>
        <w:rPr>
          <w:rFonts w:asciiTheme="minorHAnsi" w:hAnsiTheme="minorHAnsi" w:cstheme="minorHAnsi"/>
        </w:rPr>
      </w:pPr>
      <w:r w:rsidRPr="00E24FE0">
        <w:rPr>
          <w:rFonts w:asciiTheme="minorHAnsi" w:eastAsiaTheme="minorEastAsia" w:hAnsiTheme="minorHAnsi" w:cstheme="minorHAnsi"/>
        </w:rPr>
        <w:t xml:space="preserve">NKÚ prověřoval </w:t>
      </w:r>
      <w:r w:rsidR="00A224D5">
        <w:rPr>
          <w:rFonts w:asciiTheme="minorHAnsi" w:eastAsiaTheme="minorEastAsia" w:hAnsiTheme="minorHAnsi" w:cstheme="minorHAnsi"/>
        </w:rPr>
        <w:t>oblast udržitelnosti</w:t>
      </w:r>
      <w:r w:rsidRPr="00E24FE0">
        <w:rPr>
          <w:rFonts w:asciiTheme="minorHAnsi" w:eastAsiaTheme="minorEastAsia" w:hAnsiTheme="minorHAnsi" w:cstheme="minorHAnsi"/>
        </w:rPr>
        <w:t xml:space="preserve"> projektů ve dvou úrovních:</w:t>
      </w:r>
    </w:p>
    <w:p w14:paraId="50D7B440" w14:textId="7AE6B286" w:rsidR="00E24FE0" w:rsidRPr="00E24FE0" w:rsidRDefault="005058F0" w:rsidP="009B1E5B">
      <w:pPr>
        <w:numPr>
          <w:ilvl w:val="0"/>
          <w:numId w:val="4"/>
        </w:numPr>
        <w:ind w:left="284" w:hanging="284"/>
        <w:contextualSpacing/>
        <w:jc w:val="both"/>
        <w:rPr>
          <w:rFonts w:asciiTheme="minorHAnsi" w:eastAsiaTheme="minorEastAsia" w:hAnsiTheme="minorHAnsi" w:cstheme="minorHAnsi"/>
        </w:rPr>
      </w:pPr>
      <w:r>
        <w:rPr>
          <w:rFonts w:asciiTheme="minorHAnsi" w:eastAsiaTheme="minorEastAsia" w:hAnsiTheme="minorHAnsi" w:cstheme="minorHAnsi"/>
        </w:rPr>
        <w:t>s</w:t>
      </w:r>
      <w:r w:rsidR="00E24FE0" w:rsidRPr="005058F0">
        <w:rPr>
          <w:rFonts w:asciiTheme="minorHAnsi" w:eastAsiaTheme="minorEastAsia" w:hAnsiTheme="minorHAnsi" w:cstheme="minorHAnsi"/>
        </w:rPr>
        <w:t>ystémová úroveň:</w:t>
      </w:r>
      <w:r w:rsidR="00E24FE0" w:rsidRPr="00E24FE0">
        <w:rPr>
          <w:rFonts w:asciiTheme="minorHAnsi" w:eastAsiaTheme="minorEastAsia" w:hAnsiTheme="minorHAnsi" w:cstheme="minorHAnsi"/>
        </w:rPr>
        <w:t xml:space="preserve"> naplnění povinnosti členského státu zajistit stálost operací, nastavení pravidel udržitelnosti projektů (rovněž s ohledem na zása</w:t>
      </w:r>
      <w:r w:rsidR="001A219D">
        <w:rPr>
          <w:rFonts w:asciiTheme="minorHAnsi" w:eastAsiaTheme="minorEastAsia" w:hAnsiTheme="minorHAnsi" w:cstheme="minorHAnsi"/>
        </w:rPr>
        <w:t>d</w:t>
      </w:r>
      <w:r w:rsidR="00ED2E9A">
        <w:rPr>
          <w:rFonts w:asciiTheme="minorHAnsi" w:eastAsiaTheme="minorEastAsia" w:hAnsiTheme="minorHAnsi" w:cstheme="minorHAnsi"/>
        </w:rPr>
        <w:t>y</w:t>
      </w:r>
      <w:r w:rsidR="001A219D">
        <w:rPr>
          <w:rFonts w:asciiTheme="minorHAnsi" w:eastAsiaTheme="minorEastAsia" w:hAnsiTheme="minorHAnsi" w:cstheme="minorHAnsi"/>
        </w:rPr>
        <w:t xml:space="preserve"> řádného finančního řízení) a </w:t>
      </w:r>
      <w:r w:rsidR="00E24FE0" w:rsidRPr="00E24FE0">
        <w:rPr>
          <w:rFonts w:asciiTheme="minorHAnsi" w:eastAsiaTheme="minorEastAsia" w:hAnsiTheme="minorHAnsi" w:cstheme="minorHAnsi"/>
        </w:rPr>
        <w:t>provádění kontrol dodržování těchto pravidel;</w:t>
      </w:r>
    </w:p>
    <w:p w14:paraId="7E2AD3D0" w14:textId="77777777" w:rsidR="00E24FE0" w:rsidRDefault="005058F0" w:rsidP="009B1E5B">
      <w:pPr>
        <w:numPr>
          <w:ilvl w:val="0"/>
          <w:numId w:val="4"/>
        </w:numPr>
        <w:spacing w:after="120"/>
        <w:ind w:left="284" w:hanging="284"/>
        <w:contextualSpacing/>
        <w:jc w:val="both"/>
        <w:rPr>
          <w:rFonts w:asciiTheme="minorHAnsi" w:eastAsiaTheme="minorEastAsia" w:hAnsiTheme="minorHAnsi" w:cstheme="minorHAnsi"/>
        </w:rPr>
      </w:pPr>
      <w:r>
        <w:rPr>
          <w:rFonts w:asciiTheme="minorHAnsi" w:eastAsiaTheme="minorEastAsia" w:hAnsiTheme="minorHAnsi" w:cstheme="minorHAnsi"/>
        </w:rPr>
        <w:t>ú</w:t>
      </w:r>
      <w:r w:rsidR="00E24FE0" w:rsidRPr="005058F0">
        <w:rPr>
          <w:rFonts w:asciiTheme="minorHAnsi" w:eastAsiaTheme="minorEastAsia" w:hAnsiTheme="minorHAnsi" w:cstheme="minorHAnsi"/>
        </w:rPr>
        <w:t xml:space="preserve">roveň příjemců: </w:t>
      </w:r>
      <w:r w:rsidR="00E24FE0" w:rsidRPr="00E24FE0">
        <w:rPr>
          <w:rFonts w:asciiTheme="minorHAnsi" w:eastAsiaTheme="minorEastAsia" w:hAnsiTheme="minorHAnsi" w:cstheme="minorHAnsi"/>
        </w:rPr>
        <w:t xml:space="preserve">dosažení cíle projektu, zachování výstupů a výsledků projektu v době udržitelnosti, </w:t>
      </w:r>
      <w:r w:rsidR="004F1328">
        <w:rPr>
          <w:rFonts w:asciiTheme="minorHAnsi" w:eastAsiaTheme="minorEastAsia" w:hAnsiTheme="minorHAnsi" w:cstheme="minorHAnsi"/>
        </w:rPr>
        <w:t xml:space="preserve">udržení hodnoty </w:t>
      </w:r>
      <w:r w:rsidR="004F1328" w:rsidRPr="004F1328">
        <w:rPr>
          <w:rFonts w:asciiTheme="minorHAnsi" w:eastAsiaTheme="minorEastAsia" w:hAnsiTheme="minorHAnsi" w:cstheme="minorHAnsi"/>
        </w:rPr>
        <w:t xml:space="preserve">monitorovacích indikátorů, </w:t>
      </w:r>
      <w:r w:rsidR="00E24FE0" w:rsidRPr="00E24FE0">
        <w:rPr>
          <w:rFonts w:asciiTheme="minorHAnsi" w:eastAsiaTheme="minorEastAsia" w:hAnsiTheme="minorHAnsi" w:cstheme="minorHAnsi"/>
        </w:rPr>
        <w:t xml:space="preserve">dodržování ostatních podmínek v době udržitelnosti a zajištění financování v době udržitelnosti, je-li zdrojem tohoto financování státní rozpočet. </w:t>
      </w:r>
    </w:p>
    <w:p w14:paraId="4C0CC73A" w14:textId="77777777" w:rsidR="002912D0" w:rsidRPr="00E24FE0" w:rsidRDefault="002912D0" w:rsidP="009B1E5B">
      <w:pPr>
        <w:spacing w:after="120"/>
        <w:contextualSpacing/>
        <w:jc w:val="both"/>
        <w:rPr>
          <w:rFonts w:asciiTheme="minorHAnsi" w:eastAsiaTheme="minorEastAsia" w:hAnsiTheme="minorHAnsi" w:cstheme="minorHAnsi"/>
        </w:rPr>
      </w:pPr>
    </w:p>
    <w:p w14:paraId="2143CEDE" w14:textId="3E02341E" w:rsidR="00E24FE0" w:rsidRPr="00E24FE0" w:rsidRDefault="00E24FE0" w:rsidP="002912D0">
      <w:pPr>
        <w:tabs>
          <w:tab w:val="left" w:pos="567"/>
        </w:tabs>
        <w:spacing w:before="120"/>
        <w:contextualSpacing/>
        <w:jc w:val="both"/>
        <w:rPr>
          <w:rFonts w:asciiTheme="minorHAnsi" w:hAnsiTheme="minorHAnsi" w:cstheme="minorHAnsi"/>
        </w:rPr>
      </w:pPr>
      <w:r w:rsidRPr="00E24FE0">
        <w:rPr>
          <w:rFonts w:asciiTheme="minorHAnsi" w:hAnsiTheme="minorHAnsi" w:cstheme="minorHAnsi"/>
        </w:rPr>
        <w:t>Kontrolní</w:t>
      </w:r>
      <w:r w:rsidRPr="00E24FE0">
        <w:rPr>
          <w:rFonts w:asciiTheme="minorHAnsi" w:eastAsiaTheme="minorEastAsia" w:hAnsiTheme="minorHAnsi" w:cstheme="minorHAnsi"/>
        </w:rPr>
        <w:t xml:space="preserve"> akce byla zaměřena na tři operační pr</w:t>
      </w:r>
      <w:r w:rsidR="007E3360">
        <w:rPr>
          <w:rFonts w:asciiTheme="minorHAnsi" w:eastAsiaTheme="minorEastAsia" w:hAnsiTheme="minorHAnsi" w:cstheme="minorHAnsi"/>
        </w:rPr>
        <w:t>ogramy programového období 2007–</w:t>
      </w:r>
      <w:r w:rsidRPr="00E24FE0">
        <w:rPr>
          <w:rFonts w:asciiTheme="minorHAnsi" w:eastAsiaTheme="minorEastAsia" w:hAnsiTheme="minorHAnsi" w:cstheme="minorHAnsi"/>
        </w:rPr>
        <w:t>2013 spolufinancované ze strukturálních fondů</w:t>
      </w:r>
      <w:r w:rsidR="00ED2E9A">
        <w:rPr>
          <w:rFonts w:asciiTheme="minorHAnsi" w:eastAsiaTheme="minorEastAsia" w:hAnsiTheme="minorHAnsi" w:cstheme="minorHAnsi"/>
        </w:rPr>
        <w:t xml:space="preserve">, a to </w:t>
      </w:r>
      <w:proofErr w:type="gramStart"/>
      <w:r w:rsidR="00ED2E9A">
        <w:rPr>
          <w:rFonts w:asciiTheme="minorHAnsi" w:eastAsiaTheme="minorEastAsia" w:hAnsiTheme="minorHAnsi" w:cstheme="minorHAnsi"/>
        </w:rPr>
        <w:t>na</w:t>
      </w:r>
      <w:proofErr w:type="gramEnd"/>
      <w:r w:rsidRPr="00E24FE0">
        <w:rPr>
          <w:rFonts w:asciiTheme="minorHAnsi" w:eastAsiaTheme="minorEastAsia" w:hAnsiTheme="minorHAnsi" w:cstheme="minorHAnsi"/>
        </w:rPr>
        <w:t xml:space="preserve">: </w:t>
      </w:r>
      <w:r w:rsidRPr="00E24FE0">
        <w:rPr>
          <w:rFonts w:asciiTheme="minorHAnsi" w:eastAsiaTheme="minorEastAsia" w:hAnsiTheme="minorHAnsi" w:cstheme="minorHAnsi"/>
          <w:i/>
        </w:rPr>
        <w:t>Integrovaný operační program</w:t>
      </w:r>
      <w:r w:rsidRPr="00E24FE0">
        <w:rPr>
          <w:rFonts w:asciiTheme="minorHAnsi" w:eastAsiaTheme="minorEastAsia" w:hAnsiTheme="minorHAnsi" w:cstheme="minorHAnsi"/>
        </w:rPr>
        <w:t xml:space="preserve"> (</w:t>
      </w:r>
      <w:r w:rsidR="009F19DA">
        <w:rPr>
          <w:rFonts w:asciiTheme="minorHAnsi" w:eastAsiaTheme="minorEastAsia" w:hAnsiTheme="minorHAnsi" w:cstheme="minorHAnsi"/>
        </w:rPr>
        <w:t xml:space="preserve">dále </w:t>
      </w:r>
      <w:r w:rsidR="00D90027">
        <w:rPr>
          <w:rFonts w:asciiTheme="minorHAnsi" w:eastAsiaTheme="minorEastAsia" w:hAnsiTheme="minorHAnsi" w:cstheme="minorHAnsi"/>
        </w:rPr>
        <w:t>také</w:t>
      </w:r>
      <w:r w:rsidR="009F19DA">
        <w:rPr>
          <w:rFonts w:asciiTheme="minorHAnsi" w:eastAsiaTheme="minorEastAsia" w:hAnsiTheme="minorHAnsi" w:cstheme="minorHAnsi"/>
        </w:rPr>
        <w:t xml:space="preserve"> „</w:t>
      </w:r>
      <w:r w:rsidRPr="00E24FE0">
        <w:rPr>
          <w:rFonts w:asciiTheme="minorHAnsi" w:eastAsiaTheme="minorEastAsia" w:hAnsiTheme="minorHAnsi" w:cstheme="minorHAnsi"/>
        </w:rPr>
        <w:t>IOP</w:t>
      </w:r>
      <w:r w:rsidR="009F19DA">
        <w:rPr>
          <w:rFonts w:asciiTheme="minorHAnsi" w:eastAsiaTheme="minorEastAsia" w:hAnsiTheme="minorHAnsi" w:cstheme="minorHAnsi"/>
        </w:rPr>
        <w:t>“</w:t>
      </w:r>
      <w:r w:rsidRPr="00E24FE0">
        <w:rPr>
          <w:rFonts w:asciiTheme="minorHAnsi" w:eastAsiaTheme="minorEastAsia" w:hAnsiTheme="minorHAnsi" w:cstheme="minorHAnsi"/>
        </w:rPr>
        <w:t xml:space="preserve">), operační program </w:t>
      </w:r>
      <w:r w:rsidR="00C229FE" w:rsidRPr="00A6463B">
        <w:rPr>
          <w:rFonts w:asciiTheme="minorHAnsi" w:eastAsiaTheme="minorEastAsia" w:hAnsiTheme="minorHAnsi" w:cstheme="minorHAnsi"/>
          <w:i/>
        </w:rPr>
        <w:t>Výzkum a vývoj</w:t>
      </w:r>
      <w:r w:rsidRPr="00E24FE0">
        <w:rPr>
          <w:rFonts w:asciiTheme="minorHAnsi" w:eastAsiaTheme="minorEastAsia" w:hAnsiTheme="minorHAnsi" w:cstheme="minorHAnsi"/>
          <w:i/>
        </w:rPr>
        <w:t xml:space="preserve"> pro inovace</w:t>
      </w:r>
      <w:r w:rsidRPr="00E24FE0">
        <w:rPr>
          <w:rFonts w:asciiTheme="minorHAnsi" w:eastAsiaTheme="minorEastAsia" w:hAnsiTheme="minorHAnsi" w:cstheme="minorHAnsi"/>
        </w:rPr>
        <w:t xml:space="preserve"> (</w:t>
      </w:r>
      <w:r w:rsidR="009F19DA">
        <w:rPr>
          <w:rFonts w:asciiTheme="minorHAnsi" w:eastAsiaTheme="minorEastAsia" w:hAnsiTheme="minorHAnsi" w:cstheme="minorHAnsi"/>
        </w:rPr>
        <w:t xml:space="preserve">dále </w:t>
      </w:r>
      <w:r w:rsidR="00D90027">
        <w:rPr>
          <w:rFonts w:asciiTheme="minorHAnsi" w:eastAsiaTheme="minorEastAsia" w:hAnsiTheme="minorHAnsi" w:cstheme="minorHAnsi"/>
        </w:rPr>
        <w:t>také</w:t>
      </w:r>
      <w:r w:rsidR="009F19DA">
        <w:rPr>
          <w:rFonts w:asciiTheme="minorHAnsi" w:eastAsiaTheme="minorEastAsia" w:hAnsiTheme="minorHAnsi" w:cstheme="minorHAnsi"/>
        </w:rPr>
        <w:t xml:space="preserve"> „</w:t>
      </w:r>
      <w:r w:rsidRPr="00E24FE0">
        <w:rPr>
          <w:rFonts w:asciiTheme="minorHAnsi" w:eastAsiaTheme="minorEastAsia" w:hAnsiTheme="minorHAnsi" w:cstheme="minorHAnsi"/>
        </w:rPr>
        <w:t xml:space="preserve">OP </w:t>
      </w:r>
      <w:proofErr w:type="spellStart"/>
      <w:r w:rsidRPr="00E24FE0">
        <w:rPr>
          <w:rFonts w:asciiTheme="minorHAnsi" w:eastAsiaTheme="minorEastAsia" w:hAnsiTheme="minorHAnsi" w:cstheme="minorHAnsi"/>
        </w:rPr>
        <w:t>VaVpI</w:t>
      </w:r>
      <w:proofErr w:type="spellEnd"/>
      <w:r w:rsidR="009F19DA">
        <w:rPr>
          <w:rFonts w:asciiTheme="minorHAnsi" w:eastAsiaTheme="minorEastAsia" w:hAnsiTheme="minorHAnsi" w:cstheme="minorHAnsi"/>
        </w:rPr>
        <w:t>“</w:t>
      </w:r>
      <w:r w:rsidRPr="00E24FE0">
        <w:rPr>
          <w:rFonts w:asciiTheme="minorHAnsi" w:eastAsiaTheme="minorEastAsia" w:hAnsiTheme="minorHAnsi" w:cstheme="minorHAnsi"/>
        </w:rPr>
        <w:t xml:space="preserve">) a operační program </w:t>
      </w:r>
      <w:r w:rsidRPr="00E24FE0">
        <w:rPr>
          <w:rFonts w:asciiTheme="minorHAnsi" w:eastAsiaTheme="minorEastAsia" w:hAnsiTheme="minorHAnsi" w:cstheme="minorHAnsi"/>
          <w:i/>
        </w:rPr>
        <w:t>Vzdělávání pro konkurenceschopnost</w:t>
      </w:r>
      <w:r w:rsidRPr="00E24FE0">
        <w:rPr>
          <w:rFonts w:asciiTheme="minorHAnsi" w:eastAsiaTheme="minorEastAsia" w:hAnsiTheme="minorHAnsi" w:cstheme="minorHAnsi"/>
        </w:rPr>
        <w:t xml:space="preserve"> (</w:t>
      </w:r>
      <w:r w:rsidR="009F19DA">
        <w:rPr>
          <w:rFonts w:asciiTheme="minorHAnsi" w:eastAsiaTheme="minorEastAsia" w:hAnsiTheme="minorHAnsi" w:cstheme="minorHAnsi"/>
        </w:rPr>
        <w:t xml:space="preserve">dále </w:t>
      </w:r>
      <w:r w:rsidR="00D90027">
        <w:rPr>
          <w:rFonts w:asciiTheme="minorHAnsi" w:eastAsiaTheme="minorEastAsia" w:hAnsiTheme="minorHAnsi" w:cstheme="minorHAnsi"/>
        </w:rPr>
        <w:t>také</w:t>
      </w:r>
      <w:r w:rsidR="009F19DA">
        <w:rPr>
          <w:rFonts w:asciiTheme="minorHAnsi" w:eastAsiaTheme="minorEastAsia" w:hAnsiTheme="minorHAnsi" w:cstheme="minorHAnsi"/>
        </w:rPr>
        <w:t xml:space="preserve"> „</w:t>
      </w:r>
      <w:r w:rsidRPr="00E24FE0">
        <w:rPr>
          <w:rFonts w:asciiTheme="minorHAnsi" w:eastAsiaTheme="minorEastAsia" w:hAnsiTheme="minorHAnsi" w:cstheme="minorHAnsi"/>
        </w:rPr>
        <w:t>OP VK</w:t>
      </w:r>
      <w:r w:rsidR="009F19DA">
        <w:rPr>
          <w:rFonts w:asciiTheme="minorHAnsi" w:eastAsiaTheme="minorEastAsia" w:hAnsiTheme="minorHAnsi" w:cstheme="minorHAnsi"/>
        </w:rPr>
        <w:t>“</w:t>
      </w:r>
      <w:r w:rsidRPr="00E24FE0">
        <w:rPr>
          <w:rFonts w:asciiTheme="minorHAnsi" w:eastAsiaTheme="minorEastAsia" w:hAnsiTheme="minorHAnsi" w:cstheme="minorHAnsi"/>
        </w:rPr>
        <w:t>). V rámci těchto programů NKÚ zkontroloval 5</w:t>
      </w:r>
      <w:r w:rsidR="00050574">
        <w:rPr>
          <w:rFonts w:asciiTheme="minorHAnsi" w:eastAsiaTheme="minorEastAsia" w:hAnsiTheme="minorHAnsi" w:cstheme="minorHAnsi"/>
        </w:rPr>
        <w:t>6</w:t>
      </w:r>
      <w:r w:rsidR="003F59FC">
        <w:rPr>
          <w:rFonts w:asciiTheme="minorHAnsi" w:eastAsiaTheme="minorEastAsia" w:hAnsiTheme="minorHAnsi" w:cstheme="minorHAnsi"/>
        </w:rPr>
        <w:t xml:space="preserve"> ukončených projektů,</w:t>
      </w:r>
      <w:r w:rsidR="005943F5">
        <w:rPr>
          <w:rFonts w:asciiTheme="minorHAnsi" w:eastAsiaTheme="minorEastAsia" w:hAnsiTheme="minorHAnsi" w:cstheme="minorHAnsi"/>
        </w:rPr>
        <w:t xml:space="preserve"> na které bylo vyplaceno cca 9,</w:t>
      </w:r>
      <w:r w:rsidR="00112B52">
        <w:rPr>
          <w:rFonts w:asciiTheme="minorHAnsi" w:eastAsiaTheme="minorEastAsia" w:hAnsiTheme="minorHAnsi" w:cstheme="minorHAnsi"/>
        </w:rPr>
        <w:t>3</w:t>
      </w:r>
      <w:r w:rsidR="005943F5">
        <w:rPr>
          <w:rFonts w:asciiTheme="minorHAnsi" w:eastAsiaTheme="minorEastAsia" w:hAnsiTheme="minorHAnsi" w:cstheme="minorHAnsi"/>
        </w:rPr>
        <w:t xml:space="preserve"> mld. Kč (</w:t>
      </w:r>
      <w:r w:rsidR="00817774">
        <w:rPr>
          <w:rFonts w:asciiTheme="minorHAnsi" w:eastAsiaTheme="minorEastAsia" w:hAnsiTheme="minorHAnsi" w:cstheme="minorHAnsi"/>
        </w:rPr>
        <w:t>viz příloha č. </w:t>
      </w:r>
      <w:r w:rsidR="005943F5">
        <w:rPr>
          <w:rFonts w:asciiTheme="minorHAnsi" w:eastAsiaTheme="minorEastAsia" w:hAnsiTheme="minorHAnsi" w:cstheme="minorHAnsi"/>
        </w:rPr>
        <w:t>1).</w:t>
      </w:r>
    </w:p>
    <w:p w14:paraId="4163E979" w14:textId="46F0A8F7" w:rsidR="00584DE6" w:rsidRDefault="00584DE6">
      <w:pPr>
        <w:rPr>
          <w:rFonts w:asciiTheme="minorHAnsi" w:hAnsiTheme="minorHAnsi" w:cstheme="minorHAnsi"/>
        </w:rPr>
      </w:pPr>
      <w:r>
        <w:rPr>
          <w:rFonts w:asciiTheme="minorHAnsi" w:hAnsiTheme="minorHAnsi" w:cstheme="minorHAnsi"/>
        </w:rPr>
        <w:br w:type="page"/>
      </w:r>
    </w:p>
    <w:p w14:paraId="198EF4B5" w14:textId="77777777" w:rsidR="00865D2F" w:rsidRDefault="00865D2F" w:rsidP="00865D2F">
      <w:pPr>
        <w:contextualSpacing/>
        <w:rPr>
          <w:rFonts w:asciiTheme="minorHAnsi" w:hAnsiTheme="minorHAnsi" w:cstheme="minorHAnsi"/>
        </w:rPr>
      </w:pPr>
    </w:p>
    <w:tbl>
      <w:tblPr>
        <w:tblStyle w:val="Mkatabulky"/>
        <w:tblW w:w="8221" w:type="dxa"/>
        <w:tblInd w:w="750" w:type="dxa"/>
        <w:tblBorders>
          <w:top w:val="single" w:sz="12" w:space="0" w:color="4F81BD" w:themeColor="accent1"/>
          <w:left w:val="none" w:sz="0" w:space="0" w:color="auto"/>
          <w:bottom w:val="single" w:sz="12" w:space="0" w:color="4F81BD" w:themeColor="accent1"/>
          <w:right w:val="none" w:sz="0" w:space="0" w:color="auto"/>
          <w:insideH w:val="single" w:sz="6" w:space="0" w:color="auto"/>
          <w:insideV w:val="single" w:sz="8" w:space="0" w:color="auto"/>
        </w:tblBorders>
        <w:shd w:val="clear" w:color="auto" w:fill="F5F5F5"/>
        <w:tblLayout w:type="fixed"/>
        <w:tblCellMar>
          <w:top w:w="57" w:type="dxa"/>
          <w:bottom w:w="57" w:type="dxa"/>
        </w:tblCellMar>
        <w:tblLook w:val="04A0" w:firstRow="1" w:lastRow="0" w:firstColumn="1" w:lastColumn="0" w:noHBand="0" w:noVBand="1"/>
      </w:tblPr>
      <w:tblGrid>
        <w:gridCol w:w="708"/>
        <w:gridCol w:w="3970"/>
        <w:gridCol w:w="567"/>
        <w:gridCol w:w="567"/>
        <w:gridCol w:w="2409"/>
      </w:tblGrid>
      <w:tr w:rsidR="00865D2F" w14:paraId="00A3FE18" w14:textId="77777777" w:rsidTr="009B1E5B">
        <w:tc>
          <w:tcPr>
            <w:tcW w:w="8221" w:type="dxa"/>
            <w:gridSpan w:val="5"/>
            <w:tcBorders>
              <w:top w:val="single" w:sz="12" w:space="0" w:color="4F81BD" w:themeColor="accent1"/>
              <w:bottom w:val="nil"/>
            </w:tcBorders>
            <w:shd w:val="clear" w:color="auto" w:fill="F5F5F5"/>
          </w:tcPr>
          <w:p w14:paraId="3100A418" w14:textId="77777777" w:rsidR="00865D2F" w:rsidRPr="00AE1F83" w:rsidRDefault="00865D2F" w:rsidP="0008606F">
            <w:pPr>
              <w:contextualSpacing/>
              <w:jc w:val="both"/>
              <w:rPr>
                <w:rFonts w:asciiTheme="minorHAnsi" w:hAnsiTheme="minorHAnsi" w:cstheme="minorHAnsi"/>
                <w:sz w:val="20"/>
                <w:szCs w:val="20"/>
              </w:rPr>
            </w:pPr>
            <w:r>
              <w:rPr>
                <w:rFonts w:asciiTheme="minorHAnsi" w:hAnsiTheme="minorHAnsi" w:cstheme="minorHAnsi"/>
                <w:b/>
                <w:sz w:val="20"/>
                <w:szCs w:val="20"/>
              </w:rPr>
              <w:t>Přehled kontrolovaných operačních programů</w:t>
            </w:r>
          </w:p>
        </w:tc>
      </w:tr>
      <w:tr w:rsidR="00865D2F" w14:paraId="50631F45" w14:textId="77777777" w:rsidTr="00817774">
        <w:tc>
          <w:tcPr>
            <w:tcW w:w="708" w:type="dxa"/>
            <w:tcBorders>
              <w:top w:val="nil"/>
              <w:right w:val="nil"/>
            </w:tcBorders>
            <w:shd w:val="clear" w:color="auto" w:fill="F5F5F5"/>
            <w:tcMar>
              <w:left w:w="0" w:type="dxa"/>
              <w:right w:w="0" w:type="dxa"/>
            </w:tcMar>
            <w:vAlign w:val="center"/>
          </w:tcPr>
          <w:p w14:paraId="2E579C3C" w14:textId="77777777" w:rsidR="00865D2F" w:rsidRPr="0053661B" w:rsidRDefault="00865D2F" w:rsidP="00817774">
            <w:pPr>
              <w:contextualSpacing/>
              <w:jc w:val="center"/>
              <w:rPr>
                <w:rFonts w:asciiTheme="minorHAnsi" w:hAnsiTheme="minorHAnsi" w:cstheme="minorHAnsi"/>
                <w:sz w:val="19"/>
                <w:szCs w:val="19"/>
              </w:rPr>
            </w:pPr>
            <w:r w:rsidRPr="0053661B">
              <w:rPr>
                <w:rFonts w:asciiTheme="minorHAnsi" w:hAnsiTheme="minorHAnsi" w:cstheme="minorHAnsi"/>
                <w:sz w:val="19"/>
                <w:szCs w:val="19"/>
              </w:rPr>
              <w:t>Program</w:t>
            </w:r>
          </w:p>
        </w:tc>
        <w:tc>
          <w:tcPr>
            <w:tcW w:w="3970" w:type="dxa"/>
            <w:tcBorders>
              <w:top w:val="nil"/>
              <w:left w:val="nil"/>
              <w:bottom w:val="single" w:sz="6" w:space="0" w:color="auto"/>
              <w:right w:val="nil"/>
            </w:tcBorders>
            <w:shd w:val="clear" w:color="auto" w:fill="F5F5F5"/>
            <w:vAlign w:val="center"/>
          </w:tcPr>
          <w:p w14:paraId="72118881" w14:textId="77777777" w:rsidR="00865D2F" w:rsidRPr="008553C1" w:rsidRDefault="00865D2F" w:rsidP="00817774">
            <w:pPr>
              <w:contextualSpacing/>
              <w:jc w:val="center"/>
              <w:rPr>
                <w:rFonts w:asciiTheme="minorHAnsi" w:hAnsiTheme="minorHAnsi" w:cstheme="minorHAnsi"/>
                <w:sz w:val="19"/>
                <w:szCs w:val="19"/>
              </w:rPr>
            </w:pPr>
            <w:r>
              <w:rPr>
                <w:rFonts w:asciiTheme="minorHAnsi" w:hAnsiTheme="minorHAnsi" w:cstheme="minorHAnsi"/>
                <w:sz w:val="19"/>
                <w:szCs w:val="19"/>
              </w:rPr>
              <w:t>Cíl programu</w:t>
            </w:r>
          </w:p>
        </w:tc>
        <w:tc>
          <w:tcPr>
            <w:tcW w:w="567" w:type="dxa"/>
            <w:tcBorders>
              <w:top w:val="nil"/>
              <w:left w:val="nil"/>
              <w:bottom w:val="single" w:sz="6" w:space="0" w:color="auto"/>
              <w:right w:val="nil"/>
            </w:tcBorders>
            <w:shd w:val="clear" w:color="auto" w:fill="F5F5F5"/>
            <w:tcMar>
              <w:left w:w="0" w:type="dxa"/>
              <w:right w:w="0" w:type="dxa"/>
            </w:tcMar>
            <w:vAlign w:val="center"/>
          </w:tcPr>
          <w:p w14:paraId="3AFB5E02" w14:textId="6BFCAA42" w:rsidR="00865D2F" w:rsidRPr="00605BF1" w:rsidRDefault="00865D2F" w:rsidP="00817774">
            <w:pPr>
              <w:contextualSpacing/>
              <w:jc w:val="center"/>
              <w:rPr>
                <w:rFonts w:asciiTheme="minorHAnsi" w:hAnsiTheme="minorHAnsi" w:cstheme="minorHAnsi"/>
                <w:sz w:val="20"/>
                <w:szCs w:val="20"/>
              </w:rPr>
            </w:pPr>
            <w:r>
              <w:rPr>
                <w:rFonts w:asciiTheme="minorHAnsi" w:hAnsiTheme="minorHAnsi" w:cstheme="minorHAnsi"/>
                <w:sz w:val="20"/>
                <w:szCs w:val="20"/>
              </w:rPr>
              <w:t xml:space="preserve">Fond </w:t>
            </w:r>
            <w:r w:rsidRPr="00605BF1">
              <w:rPr>
                <w:rFonts w:asciiTheme="minorHAnsi" w:hAnsiTheme="minorHAnsi" w:cstheme="minorHAnsi"/>
                <w:sz w:val="20"/>
                <w:szCs w:val="20"/>
              </w:rPr>
              <w:t>EU</w:t>
            </w:r>
          </w:p>
        </w:tc>
        <w:tc>
          <w:tcPr>
            <w:tcW w:w="567" w:type="dxa"/>
            <w:tcBorders>
              <w:top w:val="nil"/>
              <w:left w:val="nil"/>
              <w:bottom w:val="single" w:sz="6" w:space="0" w:color="auto"/>
              <w:right w:val="nil"/>
            </w:tcBorders>
            <w:shd w:val="clear" w:color="auto" w:fill="F5F5F5"/>
            <w:tcMar>
              <w:left w:w="0" w:type="dxa"/>
              <w:right w:w="0" w:type="dxa"/>
            </w:tcMar>
            <w:vAlign w:val="center"/>
          </w:tcPr>
          <w:p w14:paraId="585250FC" w14:textId="77777777" w:rsidR="00865D2F" w:rsidRPr="00605BF1" w:rsidRDefault="00865D2F" w:rsidP="00817774">
            <w:pPr>
              <w:contextualSpacing/>
              <w:jc w:val="center"/>
              <w:rPr>
                <w:rFonts w:asciiTheme="minorHAnsi" w:hAnsiTheme="minorHAnsi" w:cstheme="minorHAnsi"/>
                <w:sz w:val="20"/>
                <w:szCs w:val="20"/>
              </w:rPr>
            </w:pPr>
            <w:r w:rsidRPr="00605BF1">
              <w:rPr>
                <w:rFonts w:asciiTheme="minorHAnsi" w:hAnsiTheme="minorHAnsi" w:cstheme="minorHAnsi"/>
                <w:sz w:val="20"/>
                <w:szCs w:val="20"/>
              </w:rPr>
              <w:t>Řídicí orgán</w:t>
            </w:r>
          </w:p>
        </w:tc>
        <w:tc>
          <w:tcPr>
            <w:tcW w:w="2409" w:type="dxa"/>
            <w:tcBorders>
              <w:top w:val="nil"/>
              <w:left w:val="nil"/>
              <w:bottom w:val="single" w:sz="6" w:space="0" w:color="auto"/>
            </w:tcBorders>
            <w:shd w:val="clear" w:color="auto" w:fill="F5F5F5"/>
            <w:vAlign w:val="center"/>
          </w:tcPr>
          <w:p w14:paraId="68F9C0B7" w14:textId="77777777" w:rsidR="00865D2F" w:rsidRPr="00605BF1" w:rsidRDefault="00865D2F" w:rsidP="00817774">
            <w:pPr>
              <w:contextualSpacing/>
              <w:jc w:val="center"/>
              <w:rPr>
                <w:rFonts w:asciiTheme="minorHAnsi" w:hAnsiTheme="minorHAnsi" w:cstheme="minorHAnsi"/>
                <w:sz w:val="20"/>
                <w:szCs w:val="20"/>
              </w:rPr>
            </w:pPr>
            <w:r w:rsidRPr="00605BF1">
              <w:rPr>
                <w:rFonts w:asciiTheme="minorHAnsi" w:hAnsiTheme="minorHAnsi" w:cstheme="minorHAnsi"/>
                <w:sz w:val="20"/>
                <w:szCs w:val="20"/>
              </w:rPr>
              <w:t>Kontrolovaní příjemci</w:t>
            </w:r>
          </w:p>
        </w:tc>
      </w:tr>
      <w:tr w:rsidR="00865D2F" w14:paraId="353939B0" w14:textId="77777777" w:rsidTr="009B1E5B">
        <w:tc>
          <w:tcPr>
            <w:tcW w:w="708" w:type="dxa"/>
            <w:tcBorders>
              <w:right w:val="nil"/>
            </w:tcBorders>
            <w:shd w:val="clear" w:color="auto" w:fill="F5F5F5"/>
            <w:tcMar>
              <w:left w:w="0" w:type="dxa"/>
              <w:right w:w="0" w:type="dxa"/>
            </w:tcMar>
            <w:vAlign w:val="center"/>
          </w:tcPr>
          <w:p w14:paraId="05B37E66" w14:textId="77777777" w:rsidR="00865D2F" w:rsidRPr="008553C1" w:rsidRDefault="00865D2F" w:rsidP="00FA6E4C">
            <w:pPr>
              <w:contextualSpacing/>
              <w:jc w:val="center"/>
              <w:rPr>
                <w:rFonts w:asciiTheme="minorHAnsi" w:hAnsiTheme="minorHAnsi" w:cstheme="minorHAnsi"/>
                <w:sz w:val="19"/>
                <w:szCs w:val="19"/>
              </w:rPr>
            </w:pPr>
            <w:r w:rsidRPr="008553C1">
              <w:rPr>
                <w:rFonts w:asciiTheme="minorHAnsi" w:hAnsiTheme="minorHAnsi" w:cstheme="minorHAnsi"/>
                <w:sz w:val="19"/>
                <w:szCs w:val="19"/>
              </w:rPr>
              <w:t>IOP</w:t>
            </w:r>
          </w:p>
        </w:tc>
        <w:tc>
          <w:tcPr>
            <w:tcW w:w="3970" w:type="dxa"/>
            <w:tcBorders>
              <w:top w:val="single" w:sz="6" w:space="0" w:color="auto"/>
              <w:left w:val="nil"/>
              <w:bottom w:val="single" w:sz="6" w:space="0" w:color="auto"/>
              <w:right w:val="nil"/>
            </w:tcBorders>
            <w:shd w:val="clear" w:color="auto" w:fill="F5F5F5"/>
            <w:tcMar>
              <w:left w:w="0" w:type="dxa"/>
              <w:right w:w="57" w:type="dxa"/>
            </w:tcMar>
            <w:vAlign w:val="center"/>
          </w:tcPr>
          <w:p w14:paraId="5204CAD9" w14:textId="7F5BB690" w:rsidR="00865D2F" w:rsidRPr="008553C1" w:rsidRDefault="00865D2F" w:rsidP="00ED2E9A">
            <w:pPr>
              <w:contextualSpacing/>
              <w:rPr>
                <w:rFonts w:asciiTheme="minorHAnsi" w:hAnsiTheme="minorHAnsi" w:cstheme="minorHAnsi"/>
                <w:sz w:val="19"/>
                <w:szCs w:val="19"/>
              </w:rPr>
            </w:pPr>
            <w:r>
              <w:rPr>
                <w:rFonts w:asciiTheme="minorHAnsi" w:hAnsiTheme="minorHAnsi" w:cstheme="minorHAnsi"/>
                <w:sz w:val="19"/>
                <w:szCs w:val="19"/>
              </w:rPr>
              <w:t>Ř</w:t>
            </w:r>
            <w:r w:rsidRPr="008553C1">
              <w:rPr>
                <w:rFonts w:asciiTheme="minorHAnsi" w:hAnsiTheme="minorHAnsi" w:cstheme="minorHAnsi"/>
                <w:sz w:val="19"/>
                <w:szCs w:val="19"/>
              </w:rPr>
              <w:t>ešení společných regionálních problémů v oblastech infrastruktury pro veřejnou správu, veřejné služby a územní rozvoj s cílem zvýšit kvalitu života obyvatel a atraktivitu ČR pro investory</w:t>
            </w:r>
          </w:p>
        </w:tc>
        <w:tc>
          <w:tcPr>
            <w:tcW w:w="567" w:type="dxa"/>
            <w:tcBorders>
              <w:top w:val="single" w:sz="6" w:space="0" w:color="auto"/>
              <w:left w:val="nil"/>
              <w:bottom w:val="single" w:sz="6" w:space="0" w:color="auto"/>
              <w:right w:val="nil"/>
            </w:tcBorders>
            <w:shd w:val="clear" w:color="auto" w:fill="F5F5F5"/>
            <w:tcMar>
              <w:left w:w="0" w:type="dxa"/>
              <w:right w:w="0" w:type="dxa"/>
            </w:tcMar>
            <w:vAlign w:val="center"/>
          </w:tcPr>
          <w:p w14:paraId="1CE6BEBA" w14:textId="77777777" w:rsidR="00865D2F" w:rsidRPr="00605BF1" w:rsidRDefault="00865D2F" w:rsidP="00FA6E4C">
            <w:pPr>
              <w:contextualSpacing/>
              <w:rPr>
                <w:rFonts w:asciiTheme="minorHAnsi" w:hAnsiTheme="minorHAnsi" w:cstheme="minorHAnsi"/>
                <w:sz w:val="20"/>
                <w:szCs w:val="20"/>
              </w:rPr>
            </w:pPr>
            <w:r>
              <w:rPr>
                <w:rFonts w:asciiTheme="minorHAnsi" w:hAnsiTheme="minorHAnsi" w:cstheme="minorHAnsi"/>
                <w:sz w:val="20"/>
                <w:szCs w:val="20"/>
              </w:rPr>
              <w:t>EFRR</w:t>
            </w:r>
          </w:p>
        </w:tc>
        <w:tc>
          <w:tcPr>
            <w:tcW w:w="567" w:type="dxa"/>
            <w:tcBorders>
              <w:top w:val="single" w:sz="6" w:space="0" w:color="auto"/>
              <w:left w:val="nil"/>
              <w:bottom w:val="single" w:sz="6" w:space="0" w:color="auto"/>
              <w:right w:val="nil"/>
            </w:tcBorders>
            <w:shd w:val="clear" w:color="auto" w:fill="F5F5F5"/>
            <w:tcMar>
              <w:left w:w="0" w:type="dxa"/>
              <w:right w:w="0" w:type="dxa"/>
            </w:tcMar>
            <w:vAlign w:val="center"/>
          </w:tcPr>
          <w:p w14:paraId="5B2F9B84" w14:textId="77777777" w:rsidR="00865D2F" w:rsidRPr="00605BF1" w:rsidRDefault="00865D2F" w:rsidP="00FA6E4C">
            <w:pPr>
              <w:contextualSpacing/>
              <w:jc w:val="center"/>
              <w:rPr>
                <w:rFonts w:asciiTheme="minorHAnsi" w:hAnsiTheme="minorHAnsi" w:cstheme="minorHAnsi"/>
                <w:sz w:val="20"/>
                <w:szCs w:val="20"/>
              </w:rPr>
            </w:pPr>
            <w:r>
              <w:rPr>
                <w:rFonts w:asciiTheme="minorHAnsi" w:hAnsiTheme="minorHAnsi" w:cstheme="minorHAnsi"/>
                <w:sz w:val="20"/>
                <w:szCs w:val="20"/>
              </w:rPr>
              <w:t>MMR</w:t>
            </w:r>
          </w:p>
        </w:tc>
        <w:tc>
          <w:tcPr>
            <w:tcW w:w="2409" w:type="dxa"/>
            <w:tcBorders>
              <w:top w:val="single" w:sz="6" w:space="0" w:color="auto"/>
              <w:left w:val="nil"/>
              <w:bottom w:val="single" w:sz="6" w:space="0" w:color="auto"/>
            </w:tcBorders>
            <w:shd w:val="clear" w:color="auto" w:fill="F5F5F5"/>
            <w:tcMar>
              <w:left w:w="142" w:type="dxa"/>
              <w:right w:w="28" w:type="dxa"/>
            </w:tcMar>
            <w:vAlign w:val="center"/>
          </w:tcPr>
          <w:p w14:paraId="4C6E0EC3" w14:textId="7C77A420" w:rsidR="00865D2F" w:rsidRPr="00605BF1" w:rsidRDefault="00817774" w:rsidP="00FA6E4C">
            <w:pPr>
              <w:contextualSpacing/>
              <w:rPr>
                <w:rFonts w:asciiTheme="minorHAnsi" w:hAnsiTheme="minorHAnsi" w:cstheme="minorHAnsi"/>
                <w:sz w:val="20"/>
                <w:szCs w:val="20"/>
              </w:rPr>
            </w:pPr>
            <w:r>
              <w:rPr>
                <w:rFonts w:asciiTheme="minorHAnsi" w:hAnsiTheme="minorHAnsi" w:cstheme="minorHAnsi"/>
                <w:sz w:val="20"/>
                <w:szCs w:val="20"/>
              </w:rPr>
              <w:t>O</w:t>
            </w:r>
            <w:r w:rsidR="00865D2F">
              <w:rPr>
                <w:rFonts w:asciiTheme="minorHAnsi" w:hAnsiTheme="minorHAnsi" w:cstheme="minorHAnsi"/>
                <w:sz w:val="20"/>
                <w:szCs w:val="20"/>
              </w:rPr>
              <w:t>bce, kraje a jejich příspěvkové organizace, soukromé společnosti, fyzické osoby, organizační složky státu a jejich přísp</w:t>
            </w:r>
            <w:r w:rsidR="00666B8C">
              <w:rPr>
                <w:rFonts w:asciiTheme="minorHAnsi" w:hAnsiTheme="minorHAnsi" w:cstheme="minorHAnsi"/>
                <w:sz w:val="20"/>
                <w:szCs w:val="20"/>
              </w:rPr>
              <w:t xml:space="preserve">ěvkové </w:t>
            </w:r>
            <w:r w:rsidR="00865D2F">
              <w:rPr>
                <w:rFonts w:asciiTheme="minorHAnsi" w:hAnsiTheme="minorHAnsi" w:cstheme="minorHAnsi"/>
                <w:sz w:val="20"/>
                <w:szCs w:val="20"/>
              </w:rPr>
              <w:t>organizace</w:t>
            </w:r>
          </w:p>
        </w:tc>
      </w:tr>
      <w:tr w:rsidR="00865D2F" w14:paraId="1F148B3A" w14:textId="77777777" w:rsidTr="009B1E5B">
        <w:tc>
          <w:tcPr>
            <w:tcW w:w="708" w:type="dxa"/>
            <w:tcBorders>
              <w:right w:val="nil"/>
            </w:tcBorders>
            <w:shd w:val="clear" w:color="auto" w:fill="F5F5F5"/>
            <w:tcMar>
              <w:left w:w="0" w:type="dxa"/>
              <w:right w:w="0" w:type="dxa"/>
            </w:tcMar>
            <w:vAlign w:val="center"/>
          </w:tcPr>
          <w:p w14:paraId="6F66EF86" w14:textId="77777777" w:rsidR="00865D2F" w:rsidRPr="008553C1" w:rsidRDefault="00865D2F" w:rsidP="00FA6E4C">
            <w:pPr>
              <w:contextualSpacing/>
              <w:jc w:val="center"/>
              <w:rPr>
                <w:rFonts w:asciiTheme="minorHAnsi" w:hAnsiTheme="minorHAnsi" w:cstheme="minorHAnsi"/>
                <w:sz w:val="19"/>
                <w:szCs w:val="19"/>
              </w:rPr>
            </w:pPr>
            <w:r>
              <w:rPr>
                <w:rFonts w:asciiTheme="minorHAnsi" w:hAnsiTheme="minorHAnsi" w:cstheme="minorHAnsi"/>
                <w:sz w:val="19"/>
                <w:szCs w:val="19"/>
              </w:rPr>
              <w:t xml:space="preserve">OP </w:t>
            </w:r>
            <w:proofErr w:type="spellStart"/>
            <w:r w:rsidRPr="008553C1">
              <w:rPr>
                <w:rFonts w:asciiTheme="minorHAnsi" w:hAnsiTheme="minorHAnsi" w:cstheme="minorHAnsi"/>
                <w:sz w:val="19"/>
                <w:szCs w:val="19"/>
              </w:rPr>
              <w:t>VaVpI</w:t>
            </w:r>
            <w:proofErr w:type="spellEnd"/>
          </w:p>
        </w:tc>
        <w:tc>
          <w:tcPr>
            <w:tcW w:w="3970" w:type="dxa"/>
            <w:tcBorders>
              <w:top w:val="single" w:sz="6" w:space="0" w:color="auto"/>
              <w:left w:val="nil"/>
              <w:bottom w:val="single" w:sz="6" w:space="0" w:color="auto"/>
              <w:right w:val="nil"/>
            </w:tcBorders>
            <w:shd w:val="clear" w:color="auto" w:fill="F5F5F5"/>
            <w:tcMar>
              <w:left w:w="0" w:type="dxa"/>
              <w:right w:w="142" w:type="dxa"/>
            </w:tcMar>
            <w:vAlign w:val="center"/>
          </w:tcPr>
          <w:p w14:paraId="5AFFD8AC" w14:textId="14E05C89" w:rsidR="00865D2F" w:rsidRPr="008553C1" w:rsidRDefault="00865D2F" w:rsidP="00FA6E4C">
            <w:pPr>
              <w:contextualSpacing/>
              <w:rPr>
                <w:rFonts w:asciiTheme="minorHAnsi" w:hAnsiTheme="minorHAnsi" w:cstheme="minorHAnsi"/>
                <w:sz w:val="19"/>
                <w:szCs w:val="19"/>
              </w:rPr>
            </w:pPr>
            <w:r>
              <w:rPr>
                <w:rFonts w:asciiTheme="minorHAnsi" w:hAnsiTheme="minorHAnsi" w:cstheme="minorHAnsi"/>
                <w:sz w:val="19"/>
                <w:szCs w:val="19"/>
              </w:rPr>
              <w:t>P</w:t>
            </w:r>
            <w:r w:rsidRPr="008553C1">
              <w:rPr>
                <w:rFonts w:asciiTheme="minorHAnsi" w:hAnsiTheme="minorHAnsi" w:cstheme="minorHAnsi"/>
                <w:sz w:val="19"/>
                <w:szCs w:val="19"/>
              </w:rPr>
              <w:t>osilování výzkumného a inovačního potenciálu ČR, který přispěje k růstu konkurenceschopnosti a k vytváření vysoce kvalifikovaných pracovních míst tak, aby se regiony ČR staly významnými místy koncentrace těchto aktivit v</w:t>
            </w:r>
            <w:r>
              <w:rPr>
                <w:rFonts w:asciiTheme="minorHAnsi" w:hAnsiTheme="minorHAnsi" w:cstheme="minorHAnsi"/>
                <w:sz w:val="19"/>
                <w:szCs w:val="19"/>
              </w:rPr>
              <w:t> </w:t>
            </w:r>
            <w:r w:rsidRPr="008553C1">
              <w:rPr>
                <w:rFonts w:asciiTheme="minorHAnsi" w:hAnsiTheme="minorHAnsi" w:cstheme="minorHAnsi"/>
                <w:sz w:val="19"/>
                <w:szCs w:val="19"/>
              </w:rPr>
              <w:t>Evropě</w:t>
            </w:r>
          </w:p>
        </w:tc>
        <w:tc>
          <w:tcPr>
            <w:tcW w:w="567" w:type="dxa"/>
            <w:tcBorders>
              <w:top w:val="single" w:sz="6" w:space="0" w:color="auto"/>
              <w:left w:val="nil"/>
              <w:bottom w:val="single" w:sz="6" w:space="0" w:color="auto"/>
              <w:right w:val="nil"/>
            </w:tcBorders>
            <w:shd w:val="clear" w:color="auto" w:fill="F5F5F5"/>
            <w:tcMar>
              <w:left w:w="0" w:type="dxa"/>
              <w:right w:w="0" w:type="dxa"/>
            </w:tcMar>
            <w:vAlign w:val="center"/>
          </w:tcPr>
          <w:p w14:paraId="24281507" w14:textId="77777777" w:rsidR="00865D2F" w:rsidRPr="00605BF1" w:rsidRDefault="00865D2F" w:rsidP="00FA6E4C">
            <w:pPr>
              <w:contextualSpacing/>
              <w:rPr>
                <w:rFonts w:asciiTheme="minorHAnsi" w:hAnsiTheme="minorHAnsi" w:cstheme="minorHAnsi"/>
                <w:sz w:val="20"/>
                <w:szCs w:val="20"/>
              </w:rPr>
            </w:pPr>
            <w:r>
              <w:rPr>
                <w:rFonts w:asciiTheme="minorHAnsi" w:hAnsiTheme="minorHAnsi" w:cstheme="minorHAnsi"/>
                <w:sz w:val="20"/>
                <w:szCs w:val="20"/>
              </w:rPr>
              <w:t>EFRR</w:t>
            </w:r>
          </w:p>
        </w:tc>
        <w:tc>
          <w:tcPr>
            <w:tcW w:w="567" w:type="dxa"/>
            <w:tcBorders>
              <w:top w:val="single" w:sz="6" w:space="0" w:color="auto"/>
              <w:left w:val="nil"/>
              <w:bottom w:val="single" w:sz="6" w:space="0" w:color="auto"/>
              <w:right w:val="nil"/>
            </w:tcBorders>
            <w:shd w:val="clear" w:color="auto" w:fill="F5F5F5"/>
            <w:tcMar>
              <w:left w:w="0" w:type="dxa"/>
              <w:right w:w="0" w:type="dxa"/>
            </w:tcMar>
            <w:vAlign w:val="center"/>
          </w:tcPr>
          <w:p w14:paraId="30BB7F84" w14:textId="77777777" w:rsidR="00865D2F" w:rsidRPr="00605BF1" w:rsidRDefault="00865D2F" w:rsidP="00FA6E4C">
            <w:pPr>
              <w:contextualSpacing/>
              <w:jc w:val="center"/>
              <w:rPr>
                <w:rFonts w:asciiTheme="minorHAnsi" w:hAnsiTheme="minorHAnsi" w:cstheme="minorHAnsi"/>
                <w:sz w:val="20"/>
                <w:szCs w:val="20"/>
              </w:rPr>
            </w:pPr>
            <w:r>
              <w:rPr>
                <w:rFonts w:asciiTheme="minorHAnsi" w:hAnsiTheme="minorHAnsi" w:cstheme="minorHAnsi"/>
                <w:sz w:val="20"/>
                <w:szCs w:val="20"/>
              </w:rPr>
              <w:t>MŠMT</w:t>
            </w:r>
          </w:p>
        </w:tc>
        <w:tc>
          <w:tcPr>
            <w:tcW w:w="2409" w:type="dxa"/>
            <w:tcBorders>
              <w:top w:val="single" w:sz="6" w:space="0" w:color="auto"/>
              <w:left w:val="nil"/>
              <w:bottom w:val="single" w:sz="6" w:space="0" w:color="auto"/>
            </w:tcBorders>
            <w:shd w:val="clear" w:color="auto" w:fill="F5F5F5"/>
            <w:tcMar>
              <w:left w:w="142" w:type="dxa"/>
              <w:right w:w="28" w:type="dxa"/>
            </w:tcMar>
            <w:vAlign w:val="center"/>
          </w:tcPr>
          <w:p w14:paraId="3D41C44D" w14:textId="7E4A9F73" w:rsidR="00865D2F" w:rsidRPr="00605BF1" w:rsidRDefault="00817774" w:rsidP="00817774">
            <w:pPr>
              <w:contextualSpacing/>
              <w:rPr>
                <w:rFonts w:asciiTheme="minorHAnsi" w:hAnsiTheme="minorHAnsi" w:cstheme="minorHAnsi"/>
                <w:sz w:val="20"/>
                <w:szCs w:val="20"/>
              </w:rPr>
            </w:pPr>
            <w:r>
              <w:rPr>
                <w:rFonts w:asciiTheme="minorHAnsi" w:hAnsiTheme="minorHAnsi" w:cstheme="minorHAnsi"/>
                <w:sz w:val="20"/>
                <w:szCs w:val="20"/>
              </w:rPr>
              <w:t>V</w:t>
            </w:r>
            <w:r w:rsidR="00865D2F">
              <w:rPr>
                <w:rFonts w:asciiTheme="minorHAnsi" w:hAnsiTheme="minorHAnsi" w:cstheme="minorHAnsi"/>
                <w:sz w:val="20"/>
                <w:szCs w:val="20"/>
              </w:rPr>
              <w:t xml:space="preserve">ysoké </w:t>
            </w:r>
            <w:r w:rsidR="00CC571E">
              <w:rPr>
                <w:rFonts w:asciiTheme="minorHAnsi" w:hAnsiTheme="minorHAnsi" w:cstheme="minorHAnsi"/>
                <w:sz w:val="20"/>
                <w:szCs w:val="20"/>
              </w:rPr>
              <w:t>š</w:t>
            </w:r>
            <w:r w:rsidR="00865D2F">
              <w:rPr>
                <w:rFonts w:asciiTheme="minorHAnsi" w:hAnsiTheme="minorHAnsi" w:cstheme="minorHAnsi"/>
                <w:sz w:val="20"/>
                <w:szCs w:val="20"/>
              </w:rPr>
              <w:t>koly,</w:t>
            </w:r>
            <w:r>
              <w:rPr>
                <w:rFonts w:asciiTheme="minorHAnsi" w:hAnsiTheme="minorHAnsi" w:cstheme="minorHAnsi"/>
                <w:sz w:val="20"/>
                <w:szCs w:val="20"/>
              </w:rPr>
              <w:t xml:space="preserve"> </w:t>
            </w:r>
            <w:r w:rsidR="00865D2F">
              <w:rPr>
                <w:rFonts w:asciiTheme="minorHAnsi" w:hAnsiTheme="minorHAnsi" w:cstheme="minorHAnsi"/>
                <w:sz w:val="20"/>
                <w:szCs w:val="20"/>
              </w:rPr>
              <w:t>veřejné výzkumné instituce</w:t>
            </w:r>
          </w:p>
        </w:tc>
      </w:tr>
      <w:tr w:rsidR="00865D2F" w:rsidRPr="00605BF1" w14:paraId="4CED11D0" w14:textId="77777777" w:rsidTr="009B1E5B">
        <w:tc>
          <w:tcPr>
            <w:tcW w:w="708" w:type="dxa"/>
            <w:tcBorders>
              <w:right w:val="nil"/>
            </w:tcBorders>
            <w:shd w:val="clear" w:color="auto" w:fill="F5F5F5"/>
            <w:tcMar>
              <w:left w:w="0" w:type="dxa"/>
              <w:right w:w="0" w:type="dxa"/>
            </w:tcMar>
            <w:vAlign w:val="center"/>
          </w:tcPr>
          <w:p w14:paraId="722DEDF5" w14:textId="77777777" w:rsidR="00865D2F" w:rsidRPr="008553C1" w:rsidRDefault="00865D2F" w:rsidP="00FA6E4C">
            <w:pPr>
              <w:contextualSpacing/>
              <w:jc w:val="center"/>
              <w:rPr>
                <w:rFonts w:asciiTheme="minorHAnsi" w:hAnsiTheme="minorHAnsi" w:cstheme="minorHAnsi"/>
                <w:sz w:val="19"/>
                <w:szCs w:val="19"/>
              </w:rPr>
            </w:pPr>
            <w:r w:rsidRPr="008553C1">
              <w:rPr>
                <w:rFonts w:asciiTheme="minorHAnsi" w:hAnsiTheme="minorHAnsi" w:cstheme="minorHAnsi"/>
                <w:sz w:val="19"/>
                <w:szCs w:val="19"/>
              </w:rPr>
              <w:t>OP VK</w:t>
            </w:r>
          </w:p>
        </w:tc>
        <w:tc>
          <w:tcPr>
            <w:tcW w:w="3970" w:type="dxa"/>
            <w:tcBorders>
              <w:top w:val="single" w:sz="6" w:space="0" w:color="auto"/>
              <w:left w:val="nil"/>
              <w:bottom w:val="single" w:sz="12" w:space="0" w:color="4F81BD" w:themeColor="accent1"/>
              <w:right w:val="nil"/>
            </w:tcBorders>
            <w:shd w:val="clear" w:color="auto" w:fill="F5F5F5"/>
            <w:tcMar>
              <w:left w:w="0" w:type="dxa"/>
              <w:right w:w="57" w:type="dxa"/>
            </w:tcMar>
            <w:vAlign w:val="center"/>
          </w:tcPr>
          <w:p w14:paraId="670ED18E" w14:textId="0FD3FB03" w:rsidR="00865D2F" w:rsidRPr="008553C1" w:rsidRDefault="00865D2F" w:rsidP="00ED2E9A">
            <w:pPr>
              <w:contextualSpacing/>
              <w:rPr>
                <w:rFonts w:asciiTheme="minorHAnsi" w:hAnsiTheme="minorHAnsi" w:cstheme="minorHAnsi"/>
                <w:sz w:val="19"/>
                <w:szCs w:val="19"/>
              </w:rPr>
            </w:pPr>
            <w:r>
              <w:rPr>
                <w:rFonts w:asciiTheme="minorHAnsi" w:hAnsiTheme="minorHAnsi" w:cstheme="minorHAnsi"/>
                <w:sz w:val="19"/>
                <w:szCs w:val="19"/>
              </w:rPr>
              <w:t>R</w:t>
            </w:r>
            <w:r w:rsidRPr="008553C1">
              <w:rPr>
                <w:rFonts w:asciiTheme="minorHAnsi" w:hAnsiTheme="minorHAnsi" w:cstheme="minorHAnsi"/>
                <w:sz w:val="19"/>
                <w:szCs w:val="19"/>
              </w:rPr>
              <w:t>ozvoj vzdělanostní společnosti za účelem posílení konkurenceschopnosti České republiky prostřednictvím modernizace systémů počátečního, terciárního a dalšího vzdělávání, jejich propojení do komplexního systému celoživotního učení a zlepšení podmínek ve výzkumu a vývoji</w:t>
            </w:r>
          </w:p>
        </w:tc>
        <w:tc>
          <w:tcPr>
            <w:tcW w:w="567" w:type="dxa"/>
            <w:tcBorders>
              <w:top w:val="single" w:sz="6" w:space="0" w:color="auto"/>
              <w:left w:val="nil"/>
              <w:bottom w:val="single" w:sz="12" w:space="0" w:color="4F81BD" w:themeColor="accent1"/>
              <w:right w:val="nil"/>
            </w:tcBorders>
            <w:shd w:val="clear" w:color="auto" w:fill="F5F5F5"/>
            <w:tcMar>
              <w:left w:w="0" w:type="dxa"/>
              <w:right w:w="0" w:type="dxa"/>
            </w:tcMar>
            <w:vAlign w:val="center"/>
          </w:tcPr>
          <w:p w14:paraId="3E8A10AC" w14:textId="77777777" w:rsidR="00865D2F" w:rsidRPr="00605BF1" w:rsidRDefault="00865D2F" w:rsidP="00FA6E4C">
            <w:pPr>
              <w:contextualSpacing/>
              <w:rPr>
                <w:rFonts w:asciiTheme="minorHAnsi" w:hAnsiTheme="minorHAnsi" w:cstheme="minorHAnsi"/>
                <w:sz w:val="20"/>
                <w:szCs w:val="20"/>
              </w:rPr>
            </w:pPr>
            <w:r>
              <w:rPr>
                <w:rFonts w:asciiTheme="minorHAnsi" w:hAnsiTheme="minorHAnsi" w:cstheme="minorHAnsi"/>
                <w:sz w:val="20"/>
                <w:szCs w:val="20"/>
              </w:rPr>
              <w:t>ESF</w:t>
            </w:r>
          </w:p>
        </w:tc>
        <w:tc>
          <w:tcPr>
            <w:tcW w:w="567" w:type="dxa"/>
            <w:tcBorders>
              <w:top w:val="single" w:sz="6" w:space="0" w:color="auto"/>
              <w:left w:val="nil"/>
              <w:bottom w:val="single" w:sz="12" w:space="0" w:color="4F81BD" w:themeColor="accent1"/>
              <w:right w:val="nil"/>
            </w:tcBorders>
            <w:shd w:val="clear" w:color="auto" w:fill="F5F5F5"/>
            <w:tcMar>
              <w:left w:w="0" w:type="dxa"/>
              <w:right w:w="0" w:type="dxa"/>
            </w:tcMar>
            <w:vAlign w:val="center"/>
          </w:tcPr>
          <w:p w14:paraId="51AE7964" w14:textId="77777777" w:rsidR="00865D2F" w:rsidRPr="00605BF1" w:rsidRDefault="00865D2F" w:rsidP="00FA6E4C">
            <w:pPr>
              <w:contextualSpacing/>
              <w:jc w:val="center"/>
              <w:rPr>
                <w:rFonts w:asciiTheme="minorHAnsi" w:hAnsiTheme="minorHAnsi" w:cstheme="minorHAnsi"/>
                <w:sz w:val="20"/>
                <w:szCs w:val="20"/>
              </w:rPr>
            </w:pPr>
            <w:r>
              <w:rPr>
                <w:rFonts w:asciiTheme="minorHAnsi" w:hAnsiTheme="minorHAnsi" w:cstheme="minorHAnsi"/>
                <w:sz w:val="20"/>
                <w:szCs w:val="20"/>
              </w:rPr>
              <w:t>MŠMT</w:t>
            </w:r>
          </w:p>
        </w:tc>
        <w:tc>
          <w:tcPr>
            <w:tcW w:w="2409" w:type="dxa"/>
            <w:tcBorders>
              <w:top w:val="single" w:sz="6" w:space="0" w:color="auto"/>
              <w:left w:val="nil"/>
              <w:bottom w:val="single" w:sz="12" w:space="0" w:color="4F81BD" w:themeColor="accent1"/>
            </w:tcBorders>
            <w:shd w:val="clear" w:color="auto" w:fill="F5F5F5"/>
            <w:tcMar>
              <w:left w:w="142" w:type="dxa"/>
              <w:right w:w="28" w:type="dxa"/>
            </w:tcMar>
            <w:vAlign w:val="center"/>
          </w:tcPr>
          <w:p w14:paraId="2D73C22D" w14:textId="77777777" w:rsidR="00865D2F" w:rsidRPr="00605BF1" w:rsidRDefault="00865D2F" w:rsidP="00FA6E4C">
            <w:pPr>
              <w:contextualSpacing/>
              <w:rPr>
                <w:rFonts w:asciiTheme="minorHAnsi" w:hAnsiTheme="minorHAnsi" w:cstheme="minorHAnsi"/>
                <w:sz w:val="20"/>
                <w:szCs w:val="20"/>
              </w:rPr>
            </w:pPr>
            <w:r>
              <w:rPr>
                <w:rFonts w:asciiTheme="minorHAnsi" w:hAnsiTheme="minorHAnsi" w:cstheme="minorHAnsi"/>
                <w:sz w:val="20"/>
                <w:szCs w:val="20"/>
              </w:rPr>
              <w:t>MŠMT</w:t>
            </w:r>
          </w:p>
        </w:tc>
      </w:tr>
    </w:tbl>
    <w:p w14:paraId="3743D044" w14:textId="77777777" w:rsidR="009B1E5B" w:rsidRPr="009B1E5B" w:rsidRDefault="009B1E5B" w:rsidP="009B1E5B">
      <w:pPr>
        <w:jc w:val="both"/>
        <w:rPr>
          <w:rFonts w:ascii="Calibri" w:hAnsi="Calibri" w:cs="Calibri"/>
          <w:bCs/>
          <w:szCs w:val="22"/>
        </w:rPr>
      </w:pPr>
    </w:p>
    <w:p w14:paraId="3DD12DC2" w14:textId="77777777" w:rsidR="00A6463B" w:rsidRPr="00391416" w:rsidRDefault="00A6463B" w:rsidP="00A6463B">
      <w:pPr>
        <w:ind w:left="567" w:hanging="567"/>
        <w:jc w:val="both"/>
        <w:rPr>
          <w:rFonts w:asciiTheme="minorHAnsi" w:hAnsiTheme="minorHAnsi" w:cstheme="minorHAnsi"/>
          <w:iCs/>
          <w:sz w:val="20"/>
          <w:szCs w:val="20"/>
        </w:rPr>
      </w:pPr>
      <w:r w:rsidRPr="00711F70">
        <w:rPr>
          <w:rFonts w:asciiTheme="minorHAnsi" w:hAnsiTheme="minorHAnsi" w:cstheme="minorHAnsi"/>
          <w:b/>
          <w:iCs/>
          <w:sz w:val="20"/>
          <w:szCs w:val="20"/>
        </w:rPr>
        <w:t>Pozn.:</w:t>
      </w:r>
      <w:r w:rsidRPr="00B71355">
        <w:rPr>
          <w:rFonts w:asciiTheme="minorHAnsi" w:hAnsiTheme="minorHAnsi" w:cstheme="minorHAnsi"/>
          <w:iCs/>
          <w:sz w:val="20"/>
          <w:szCs w:val="20"/>
        </w:rPr>
        <w:tab/>
        <w:t>P</w:t>
      </w:r>
      <w:r w:rsidRPr="009C6D63">
        <w:rPr>
          <w:rFonts w:asciiTheme="minorHAnsi" w:hAnsiTheme="minorHAnsi" w:cstheme="minorHAnsi"/>
          <w:iCs/>
          <w:sz w:val="20"/>
          <w:szCs w:val="20"/>
        </w:rPr>
        <w:t>rávní</w:t>
      </w:r>
      <w:r w:rsidRPr="00391416">
        <w:rPr>
          <w:rFonts w:asciiTheme="minorHAnsi" w:hAnsiTheme="minorHAnsi" w:cstheme="minorHAnsi"/>
          <w:iCs/>
          <w:sz w:val="20"/>
          <w:szCs w:val="20"/>
        </w:rPr>
        <w:t xml:space="preserve"> předpisy uvedené v tomto kontrolním závěru jsou aplikovány ve znění účinném pro kontrolované období.</w:t>
      </w:r>
    </w:p>
    <w:p w14:paraId="01046C9B" w14:textId="77777777" w:rsidR="009B1E5B" w:rsidRPr="009B1E5B" w:rsidRDefault="009B1E5B" w:rsidP="009B1E5B">
      <w:pPr>
        <w:jc w:val="both"/>
        <w:rPr>
          <w:rFonts w:ascii="Calibri" w:hAnsi="Calibri" w:cs="Calibri"/>
          <w:bCs/>
          <w:szCs w:val="22"/>
        </w:rPr>
      </w:pPr>
    </w:p>
    <w:p w14:paraId="21C7284A" w14:textId="77777777" w:rsidR="009B1E5B" w:rsidRPr="009B1E5B" w:rsidRDefault="009B1E5B" w:rsidP="009B1E5B">
      <w:pPr>
        <w:jc w:val="both"/>
        <w:rPr>
          <w:rFonts w:ascii="Calibri" w:hAnsi="Calibri" w:cs="Calibri"/>
          <w:bCs/>
          <w:szCs w:val="22"/>
        </w:rPr>
      </w:pPr>
    </w:p>
    <w:p w14:paraId="3A168586" w14:textId="77777777" w:rsidR="004D18E8" w:rsidRDefault="004D18E8" w:rsidP="003D75E4">
      <w:pPr>
        <w:tabs>
          <w:tab w:val="center" w:pos="4536"/>
          <w:tab w:val="left" w:pos="6996"/>
        </w:tabs>
        <w:contextualSpacing/>
        <w:jc w:val="center"/>
        <w:rPr>
          <w:rFonts w:asciiTheme="minorHAnsi" w:hAnsiTheme="minorHAnsi" w:cstheme="minorHAnsi"/>
          <w:b/>
          <w:sz w:val="28"/>
          <w:szCs w:val="28"/>
        </w:rPr>
      </w:pPr>
      <w:r>
        <w:rPr>
          <w:rFonts w:asciiTheme="minorHAnsi" w:hAnsiTheme="minorHAnsi" w:cstheme="minorHAnsi"/>
          <w:b/>
          <w:sz w:val="28"/>
          <w:szCs w:val="28"/>
        </w:rPr>
        <w:t>II</w:t>
      </w:r>
      <w:r w:rsidRPr="00E24FE0">
        <w:rPr>
          <w:rFonts w:asciiTheme="minorHAnsi" w:hAnsiTheme="minorHAnsi" w:cstheme="minorHAnsi"/>
          <w:b/>
          <w:sz w:val="28"/>
          <w:szCs w:val="28"/>
        </w:rPr>
        <w:t>. S</w:t>
      </w:r>
      <w:r>
        <w:rPr>
          <w:rFonts w:asciiTheme="minorHAnsi" w:hAnsiTheme="minorHAnsi" w:cstheme="minorHAnsi"/>
          <w:b/>
          <w:sz w:val="28"/>
          <w:szCs w:val="28"/>
        </w:rPr>
        <w:t>hrnutí a vyhodnocení</w:t>
      </w:r>
      <w:r w:rsidR="0070438B">
        <w:rPr>
          <w:rFonts w:asciiTheme="minorHAnsi" w:hAnsiTheme="minorHAnsi" w:cstheme="minorHAnsi"/>
          <w:b/>
          <w:sz w:val="28"/>
          <w:szCs w:val="28"/>
        </w:rPr>
        <w:t xml:space="preserve"> zjištěných skutečností</w:t>
      </w:r>
    </w:p>
    <w:p w14:paraId="0D0D430B" w14:textId="56A8AED7" w:rsidR="00063C55" w:rsidRDefault="0070438B" w:rsidP="00F94683">
      <w:pPr>
        <w:pStyle w:val="KPnormln"/>
        <w:ind w:firstLine="0"/>
      </w:pPr>
      <w:r>
        <w:t xml:space="preserve">Kontrola NKÚ se zaměřila především na udržitelnost výstupů a výsledků ukončených projektů po stanovenou dobu pěti let. </w:t>
      </w:r>
      <w:r w:rsidR="00ED2E9A">
        <w:t>Ze tří vybraných operačních programů</w:t>
      </w:r>
      <w:r>
        <w:t xml:space="preserve"> bylo</w:t>
      </w:r>
      <w:r w:rsidR="00ED2E9A">
        <w:t xml:space="preserve"> zkontrolováno</w:t>
      </w:r>
      <w:r>
        <w:t xml:space="preserve"> 56 </w:t>
      </w:r>
      <w:r w:rsidR="00F74376">
        <w:t xml:space="preserve">projektů v celkovém objemu </w:t>
      </w:r>
      <w:r w:rsidR="006C7059">
        <w:t>9 3</w:t>
      </w:r>
      <w:r w:rsidR="00471ABF">
        <w:t>1</w:t>
      </w:r>
      <w:r w:rsidR="00112B52">
        <w:t>2</w:t>
      </w:r>
      <w:r>
        <w:t xml:space="preserve"> mil. Kč </w:t>
      </w:r>
      <w:r w:rsidR="00C5147C">
        <w:t>(z toho 7 9</w:t>
      </w:r>
      <w:r w:rsidR="00471ABF">
        <w:t>41</w:t>
      </w:r>
      <w:r w:rsidR="00C5147C">
        <w:t xml:space="preserve"> mil. Kč</w:t>
      </w:r>
      <w:r w:rsidR="00F45AEA">
        <w:t xml:space="preserve"> činí příspěvek EU a 1 </w:t>
      </w:r>
      <w:r w:rsidR="00112B52">
        <w:t>3</w:t>
      </w:r>
      <w:r w:rsidR="00433F9D">
        <w:t>7</w:t>
      </w:r>
      <w:r w:rsidR="00471ABF">
        <w:t>1</w:t>
      </w:r>
      <w:r w:rsidR="00F45AEA">
        <w:t xml:space="preserve"> mil. Kč připadá na spolufinancování ze státního rozpočtu ČR)</w:t>
      </w:r>
      <w:r>
        <w:t xml:space="preserve">. </w:t>
      </w:r>
    </w:p>
    <w:p w14:paraId="50D1BCE9" w14:textId="16C292F6" w:rsidR="004D18E8" w:rsidRPr="00E24FE0" w:rsidRDefault="004D18E8" w:rsidP="00F94683">
      <w:pPr>
        <w:pStyle w:val="KPnormln"/>
        <w:ind w:firstLine="0"/>
      </w:pPr>
      <w:r w:rsidRPr="00E24FE0">
        <w:t xml:space="preserve">MMR vytvořilo dostatečné předpoklady pro zajištění </w:t>
      </w:r>
      <w:r w:rsidR="006B2201">
        <w:t>udržitelnosti projektů</w:t>
      </w:r>
      <w:r w:rsidRPr="00E24FE0">
        <w:t xml:space="preserve"> financovaných z </w:t>
      </w:r>
      <w:r w:rsidRPr="0070438B">
        <w:rPr>
          <w:b/>
          <w:i/>
        </w:rPr>
        <w:t>Integrovaného operačního programu</w:t>
      </w:r>
      <w:r w:rsidR="006B2201" w:rsidRPr="00962559">
        <w:rPr>
          <w:b/>
          <w:i/>
        </w:rPr>
        <w:t>.</w:t>
      </w:r>
      <w:r w:rsidRPr="00E24FE0">
        <w:t xml:space="preserve"> NKÚ zjistil dílčí nedostatky v nastavení podmínek udržitelnosti a v provádění kontrol jejich dodržování. V rámci IOP provádí kontrolu projektů v době udržitelnosti příslušné zprostředkující subjekty. Jejich činnost v této oblasti by však měl řídicí orgán důsledněji ověřovat. </w:t>
      </w:r>
      <w:r>
        <w:t>Jedno ze závažných pochybení příjemce dotace zjištěn</w:t>
      </w:r>
      <w:r w:rsidR="00817774">
        <w:t>ých</w:t>
      </w:r>
      <w:r>
        <w:t xml:space="preserve"> kontrolou NKÚ </w:t>
      </w:r>
      <w:r w:rsidRPr="00E24FE0">
        <w:t>mohlo být odhaleno již dříve</w:t>
      </w:r>
      <w:r w:rsidR="003D75E4">
        <w:t>, pokud by zprostředkující subjekt provedl kontrolu důsledně</w:t>
      </w:r>
      <w:r w:rsidRPr="00E24FE0">
        <w:t>.</w:t>
      </w:r>
    </w:p>
    <w:p w14:paraId="19490E2A" w14:textId="77777777" w:rsidR="004D18E8" w:rsidRPr="00E24FE0" w:rsidRDefault="004D18E8" w:rsidP="00F94683">
      <w:pPr>
        <w:pStyle w:val="KPnormln"/>
        <w:ind w:firstLine="0"/>
      </w:pPr>
      <w:r w:rsidRPr="00E24FE0">
        <w:t xml:space="preserve">U jednoho z kontrolovaných projektů </w:t>
      </w:r>
      <w:r w:rsidR="00F92DF7">
        <w:t xml:space="preserve">financovaných z IOP </w:t>
      </w:r>
      <w:r w:rsidRPr="00E24FE0">
        <w:t xml:space="preserve">příjemce podpory nezachoval účel, na který mu byla dotace poskytnuta. </w:t>
      </w:r>
      <w:r w:rsidR="00DD235A">
        <w:t>Nedostatky v oblasti využití výstupů projektů</w:t>
      </w:r>
      <w:r w:rsidR="00DD235A" w:rsidRPr="00E24FE0">
        <w:t xml:space="preserve"> </w:t>
      </w:r>
      <w:r w:rsidRPr="00E24FE0">
        <w:t xml:space="preserve">v době udržitelnosti </w:t>
      </w:r>
      <w:r w:rsidR="00DD235A">
        <w:t xml:space="preserve">byly zjištěny i u některých </w:t>
      </w:r>
      <w:r w:rsidRPr="00E24FE0">
        <w:t>poskytovatel</w:t>
      </w:r>
      <w:r w:rsidR="00DD235A">
        <w:t>ů</w:t>
      </w:r>
      <w:r w:rsidRPr="00E24FE0">
        <w:t xml:space="preserve"> dotace u projektů, kde vystupovali v roli příjemce</w:t>
      </w:r>
      <w:r w:rsidR="003D75E4">
        <w:t xml:space="preserve"> podpory</w:t>
      </w:r>
      <w:r w:rsidRPr="00E24FE0">
        <w:t xml:space="preserve">. </w:t>
      </w:r>
    </w:p>
    <w:p w14:paraId="22B11ABB" w14:textId="77777777" w:rsidR="006B2201" w:rsidRDefault="006B2201" w:rsidP="00F94683">
      <w:pPr>
        <w:pStyle w:val="KPnormln"/>
        <w:ind w:firstLine="0"/>
      </w:pPr>
      <w:r>
        <w:rPr>
          <w:rFonts w:eastAsiaTheme="minorHAnsi" w:cstheme="minorBidi"/>
        </w:rPr>
        <w:t xml:space="preserve">V případě </w:t>
      </w:r>
      <w:r w:rsidRPr="00F94683">
        <w:rPr>
          <w:rFonts w:eastAsiaTheme="minorHAnsi" w:cstheme="minorBidi"/>
          <w:b/>
        </w:rPr>
        <w:t xml:space="preserve">operačního programu </w:t>
      </w:r>
      <w:r w:rsidRPr="00F94683">
        <w:rPr>
          <w:rFonts w:eastAsiaTheme="minorHAnsi" w:cstheme="minorBidi"/>
          <w:b/>
          <w:i/>
        </w:rPr>
        <w:t>Výzkum a vývoj pro inovace</w:t>
      </w:r>
      <w:r>
        <w:rPr>
          <w:rFonts w:eastAsiaTheme="minorHAnsi" w:cstheme="minorBidi"/>
        </w:rPr>
        <w:t xml:space="preserve"> kontrola NKÚ zjistila vážnější nedostatky jak v nastavení podmínek udržitelnosti, tak v monitoringu a kontrolách projektů po jejich ukončení. </w:t>
      </w:r>
      <w:r w:rsidR="00145730">
        <w:t xml:space="preserve">MŠMT například nestanovilo žádné povinné monitorovací indikátory, které by po celou dobu udržitelnosti měřily výsledky </w:t>
      </w:r>
      <w:r w:rsidR="00EC3501">
        <w:t xml:space="preserve">a přínosy </w:t>
      </w:r>
      <w:r w:rsidR="00145730">
        <w:t xml:space="preserve">projektů, jejichž cílem bylo vybudovat vědecká výzkumná centra. Ke dni ukončení kontroly NKÚ neprovedlo MŠMT </w:t>
      </w:r>
      <w:r w:rsidR="00145730">
        <w:lastRenderedPageBreak/>
        <w:t xml:space="preserve">žádnou kontrolu </w:t>
      </w:r>
      <w:r w:rsidR="00FD629B">
        <w:t xml:space="preserve">na místě </w:t>
      </w:r>
      <w:r w:rsidR="00145730">
        <w:t>těchto projektů v době udržitelnosti a selháv</w:t>
      </w:r>
      <w:r w:rsidR="00CC571E">
        <w:t>alo</w:t>
      </w:r>
      <w:r w:rsidR="00145730">
        <w:t xml:space="preserve"> i ve zdlouhavém schvalování zpráv předkládaných příjemci podpory.</w:t>
      </w:r>
    </w:p>
    <w:p w14:paraId="7F5B379E" w14:textId="77777777" w:rsidR="00A771A2" w:rsidRDefault="0023445A" w:rsidP="00A771A2">
      <w:pPr>
        <w:pStyle w:val="KPnormln"/>
        <w:ind w:firstLine="0"/>
        <w:rPr>
          <w:rFonts w:eastAsiaTheme="minorHAnsi" w:cstheme="minorBidi"/>
        </w:rPr>
      </w:pPr>
      <w:r>
        <w:rPr>
          <w:rFonts w:eastAsiaTheme="minorHAnsi" w:cstheme="minorBidi"/>
        </w:rPr>
        <w:t xml:space="preserve">Na vybudování </w:t>
      </w:r>
      <w:r w:rsidR="00017C59">
        <w:rPr>
          <w:rFonts w:eastAsiaTheme="minorHAnsi" w:cstheme="minorBidi"/>
        </w:rPr>
        <w:t xml:space="preserve">48 </w:t>
      </w:r>
      <w:r>
        <w:rPr>
          <w:rFonts w:eastAsiaTheme="minorHAnsi" w:cstheme="minorBidi"/>
        </w:rPr>
        <w:t>vědeckých výzkumných center bylo z </w:t>
      </w:r>
      <w:proofErr w:type="gramStart"/>
      <w:r>
        <w:rPr>
          <w:rFonts w:eastAsiaTheme="minorHAnsi" w:cstheme="minorBidi"/>
        </w:rPr>
        <w:t>OP</w:t>
      </w:r>
      <w:proofErr w:type="gramEnd"/>
      <w:r>
        <w:rPr>
          <w:rFonts w:eastAsiaTheme="minorHAnsi" w:cstheme="minorBidi"/>
        </w:rPr>
        <w:t xml:space="preserve"> </w:t>
      </w:r>
      <w:proofErr w:type="spellStart"/>
      <w:r>
        <w:rPr>
          <w:rFonts w:eastAsiaTheme="minorHAnsi" w:cstheme="minorBidi"/>
        </w:rPr>
        <w:t>VaVpI</w:t>
      </w:r>
      <w:proofErr w:type="spellEnd"/>
      <w:r>
        <w:rPr>
          <w:rFonts w:eastAsiaTheme="minorHAnsi" w:cstheme="minorBidi"/>
        </w:rPr>
        <w:t xml:space="preserve"> </w:t>
      </w:r>
      <w:r w:rsidR="002D243A">
        <w:rPr>
          <w:rFonts w:eastAsiaTheme="minorHAnsi" w:cstheme="minorBidi"/>
        </w:rPr>
        <w:t xml:space="preserve">dosud </w:t>
      </w:r>
      <w:r w:rsidR="00EC3501">
        <w:rPr>
          <w:rFonts w:eastAsiaTheme="minorHAnsi" w:cstheme="minorBidi"/>
        </w:rPr>
        <w:t xml:space="preserve">vynaloženo </w:t>
      </w:r>
      <w:r>
        <w:rPr>
          <w:rFonts w:eastAsiaTheme="minorHAnsi" w:cstheme="minorBidi"/>
        </w:rPr>
        <w:t xml:space="preserve">více než </w:t>
      </w:r>
      <w:r w:rsidR="002D243A">
        <w:rPr>
          <w:rFonts w:eastAsiaTheme="minorHAnsi" w:cstheme="minorBidi"/>
        </w:rPr>
        <w:t>36</w:t>
      </w:r>
      <w:r w:rsidR="00017C59">
        <w:rPr>
          <w:rFonts w:eastAsiaTheme="minorHAnsi" w:cstheme="minorBidi"/>
        </w:rPr>
        <w:t> </w:t>
      </w:r>
      <w:r>
        <w:rPr>
          <w:rFonts w:eastAsiaTheme="minorHAnsi" w:cstheme="minorBidi"/>
        </w:rPr>
        <w:t xml:space="preserve">mld. Kč. Na financování jejich provozu v pětileté době udržitelnosti bude podle odhadů řídicího orgánu nutné vyčlenit ze státního rozpočtu dalších 24,4 mld. Kč. </w:t>
      </w:r>
    </w:p>
    <w:p w14:paraId="6971B7BC" w14:textId="418CA6D5" w:rsidR="00184A9F" w:rsidRDefault="0023445A" w:rsidP="00F94683">
      <w:pPr>
        <w:pStyle w:val="KPnormln"/>
        <w:ind w:firstLine="0"/>
        <w:rPr>
          <w:rFonts w:eastAsiaTheme="minorHAnsi" w:cstheme="minorBidi"/>
        </w:rPr>
      </w:pPr>
      <w:r>
        <w:rPr>
          <w:rFonts w:eastAsiaTheme="minorHAnsi" w:cstheme="minorBidi"/>
        </w:rPr>
        <w:t xml:space="preserve">Kontrolou NKÚ </w:t>
      </w:r>
      <w:r w:rsidR="00A771A2">
        <w:rPr>
          <w:rFonts w:eastAsiaTheme="minorHAnsi" w:cstheme="minorBidi"/>
        </w:rPr>
        <w:t xml:space="preserve">ale </w:t>
      </w:r>
      <w:r>
        <w:rPr>
          <w:rFonts w:eastAsiaTheme="minorHAnsi" w:cstheme="minorBidi"/>
        </w:rPr>
        <w:t xml:space="preserve">bylo zjištěno, že řadě nově vzniklých výzkumných center se nedaří získat </w:t>
      </w:r>
      <w:r w:rsidR="00CC571E">
        <w:rPr>
          <w:rFonts w:eastAsiaTheme="minorHAnsi" w:cstheme="minorBidi"/>
        </w:rPr>
        <w:t>další zdroj</w:t>
      </w:r>
      <w:r>
        <w:rPr>
          <w:rFonts w:eastAsiaTheme="minorHAnsi" w:cstheme="minorBidi"/>
        </w:rPr>
        <w:t xml:space="preserve"> financování (zejm. ze smluvního výzkumu a z mezinárodních grantů) ve výši, v jaké se původně předpokládalo.</w:t>
      </w:r>
      <w:r w:rsidR="00184A9F">
        <w:rPr>
          <w:rFonts w:eastAsiaTheme="minorHAnsi" w:cstheme="minorBidi"/>
        </w:rPr>
        <w:t xml:space="preserve"> U čtyř z deseti kontrolovaných projektů financovaných z prioritní osy 2 – </w:t>
      </w:r>
      <w:r w:rsidR="00184A9F" w:rsidRPr="00184A9F">
        <w:rPr>
          <w:rFonts w:eastAsiaTheme="minorHAnsi" w:cstheme="minorBidi"/>
          <w:i/>
        </w:rPr>
        <w:t>Regionální výzkumná centra</w:t>
      </w:r>
      <w:r w:rsidR="00184A9F">
        <w:rPr>
          <w:rFonts w:eastAsiaTheme="minorHAnsi" w:cstheme="minorBidi"/>
        </w:rPr>
        <w:t xml:space="preserve"> bylo identifikováno riziko nenaplnění monitorovacího indikátoru „</w:t>
      </w:r>
      <w:r w:rsidR="00184A9F" w:rsidRPr="00962559">
        <w:rPr>
          <w:rFonts w:eastAsiaTheme="minorHAnsi" w:cstheme="minorBidi"/>
          <w:i/>
        </w:rPr>
        <w:t>objem smluvního výzkumu</w:t>
      </w:r>
      <w:r w:rsidR="00184A9F">
        <w:rPr>
          <w:rFonts w:eastAsiaTheme="minorHAnsi" w:cstheme="minorBidi"/>
        </w:rPr>
        <w:t>“ k 31. 12. 2015. Příjemcům podpory jednak hrozí sankce</w:t>
      </w:r>
      <w:r w:rsidR="00817774">
        <w:rPr>
          <w:rFonts w:eastAsiaTheme="minorHAnsi" w:cstheme="minorBidi"/>
        </w:rPr>
        <w:t>, jednak</w:t>
      </w:r>
      <w:r w:rsidR="00184A9F">
        <w:rPr>
          <w:rFonts w:eastAsiaTheme="minorHAnsi" w:cstheme="minorBidi"/>
        </w:rPr>
        <w:t xml:space="preserve"> tato skutečnost vypovídá o omezené schopnosti nalézt dostatečné zdroje příjmů v aplikační sféře.</w:t>
      </w:r>
    </w:p>
    <w:p w14:paraId="4AA29391" w14:textId="4BE90D73" w:rsidR="004D18E8" w:rsidRPr="00165B6F" w:rsidRDefault="004D18E8" w:rsidP="00F94683">
      <w:pPr>
        <w:pStyle w:val="KPnormln"/>
        <w:ind w:firstLine="0"/>
      </w:pPr>
      <w:r w:rsidRPr="00165B6F">
        <w:t xml:space="preserve">MŠMT během programového období přestalo požadovat </w:t>
      </w:r>
      <w:r w:rsidR="006F732A">
        <w:t xml:space="preserve">dodržování </w:t>
      </w:r>
      <w:r w:rsidRPr="00165B6F">
        <w:t>podmínk</w:t>
      </w:r>
      <w:r w:rsidR="006F732A">
        <w:t>y</w:t>
      </w:r>
      <w:r w:rsidRPr="00165B6F">
        <w:t xml:space="preserve"> udržitelnosti </w:t>
      </w:r>
      <w:r w:rsidR="001E6831">
        <w:t xml:space="preserve">individuálních projektů </w:t>
      </w:r>
      <w:r w:rsidRPr="00165B6F">
        <w:t xml:space="preserve">národních </w:t>
      </w:r>
      <w:r w:rsidR="006B2201" w:rsidRPr="00F94683">
        <w:rPr>
          <w:b/>
        </w:rPr>
        <w:t xml:space="preserve">operačního programu </w:t>
      </w:r>
      <w:r w:rsidR="006B2201" w:rsidRPr="00F94683">
        <w:rPr>
          <w:b/>
          <w:i/>
        </w:rPr>
        <w:t>V</w:t>
      </w:r>
      <w:r w:rsidRPr="00F94683">
        <w:rPr>
          <w:b/>
          <w:i/>
        </w:rPr>
        <w:t>zdělávání pro konkurenceschopnost</w:t>
      </w:r>
      <w:r w:rsidRPr="00962559">
        <w:rPr>
          <w:b/>
        </w:rPr>
        <w:t>.</w:t>
      </w:r>
      <w:r w:rsidRPr="00165B6F">
        <w:t xml:space="preserve"> Tento postup sice nebyl v rozporu s evropským předpisem, avšak u</w:t>
      </w:r>
      <w:r w:rsidR="00A771A2">
        <w:t> </w:t>
      </w:r>
      <w:r w:rsidR="006F732A">
        <w:t xml:space="preserve">finančně náročných </w:t>
      </w:r>
      <w:r w:rsidRPr="00165B6F">
        <w:t xml:space="preserve">projektů zaměřených na systémové změny </w:t>
      </w:r>
      <w:r w:rsidR="00A771A2">
        <w:t>hrozí</w:t>
      </w:r>
      <w:r w:rsidRPr="00165B6F">
        <w:t xml:space="preserve">, že </w:t>
      </w:r>
      <w:r w:rsidR="00184A9F">
        <w:t xml:space="preserve">nebude dosaženo </w:t>
      </w:r>
      <w:r w:rsidRPr="00165B6F">
        <w:t>jejich hospodárn</w:t>
      </w:r>
      <w:r w:rsidR="001C3F28">
        <w:t>ost</w:t>
      </w:r>
      <w:r w:rsidR="00184A9F">
        <w:t>i</w:t>
      </w:r>
      <w:r w:rsidR="001C3F28">
        <w:t>, účelnost</w:t>
      </w:r>
      <w:r w:rsidR="00184A9F">
        <w:t>i</w:t>
      </w:r>
      <w:r w:rsidR="001C3F28">
        <w:t xml:space="preserve"> a efektivnost</w:t>
      </w:r>
      <w:r w:rsidR="00184A9F">
        <w:t>i</w:t>
      </w:r>
      <w:r w:rsidR="001C3F28">
        <w:t>. U </w:t>
      </w:r>
      <w:r w:rsidRPr="00165B6F">
        <w:t xml:space="preserve">starších projektů, kde byla udržitelnost povinná, MŠMT do doby ukončení kontroly NKÚ neprovedlo ani jednu kontrolu udržitelnosti </w:t>
      </w:r>
      <w:r w:rsidR="001E6831">
        <w:t xml:space="preserve">individuálních projektů </w:t>
      </w:r>
      <w:r w:rsidRPr="00165B6F">
        <w:t>národních</w:t>
      </w:r>
      <w:r w:rsidR="00A771A2">
        <w:t xml:space="preserve"> </w:t>
      </w:r>
      <w:r w:rsidR="00A771A2" w:rsidRPr="00165B6F">
        <w:t>u příjemců podpory</w:t>
      </w:r>
      <w:r w:rsidR="00A771A2">
        <w:t>.</w:t>
      </w:r>
    </w:p>
    <w:p w14:paraId="5A040D92" w14:textId="61F23C14" w:rsidR="00345A0B" w:rsidRDefault="004D18E8" w:rsidP="00F94683">
      <w:pPr>
        <w:pStyle w:val="KPnormln"/>
        <w:ind w:firstLine="0"/>
      </w:pPr>
      <w:r w:rsidRPr="00165B6F">
        <w:t xml:space="preserve">MŠMT vynaložilo neúčelně finanční prostředky na provádění tří </w:t>
      </w:r>
      <w:r w:rsidR="00C557B3">
        <w:t xml:space="preserve">individuálních projektů </w:t>
      </w:r>
      <w:r w:rsidRPr="00165B6F">
        <w:t>národních</w:t>
      </w:r>
      <w:r w:rsidR="00CC571E">
        <w:t>.</w:t>
      </w:r>
      <w:r w:rsidR="00050574">
        <w:t xml:space="preserve"> </w:t>
      </w:r>
      <w:r w:rsidR="00CC571E">
        <w:t>F</w:t>
      </w:r>
      <w:r w:rsidRPr="00165B6F">
        <w:t xml:space="preserve">inancovalo </w:t>
      </w:r>
      <w:r w:rsidR="00CC571E">
        <w:t>j</w:t>
      </w:r>
      <w:r w:rsidR="00ED2E9A">
        <w:t>edn</w:t>
      </w:r>
      <w:r w:rsidR="00CC571E">
        <w:t xml:space="preserve">ak </w:t>
      </w:r>
      <w:r w:rsidRPr="00165B6F">
        <w:t>projekty</w:t>
      </w:r>
      <w:r>
        <w:t>, jejichž udržitelnost</w:t>
      </w:r>
      <w:r w:rsidRPr="00165B6F">
        <w:t xml:space="preserve"> </w:t>
      </w:r>
      <w:r>
        <w:t xml:space="preserve">byla </w:t>
      </w:r>
      <w:r w:rsidRPr="00165B6F">
        <w:t>silně závisl</w:t>
      </w:r>
      <w:r>
        <w:t>á</w:t>
      </w:r>
      <w:r w:rsidRPr="00165B6F">
        <w:t xml:space="preserve"> na vnějších faktorech</w:t>
      </w:r>
      <w:r w:rsidR="00CC571E">
        <w:t xml:space="preserve">, </w:t>
      </w:r>
      <w:r w:rsidR="00ED2E9A">
        <w:t>jednak</w:t>
      </w:r>
      <w:r w:rsidR="00050574">
        <w:t xml:space="preserve"> podpořilo tvorbu výstupů, jejichž další využití je problematické.</w:t>
      </w:r>
      <w:r>
        <w:t xml:space="preserve"> </w:t>
      </w:r>
    </w:p>
    <w:p w14:paraId="68898975" w14:textId="77777777" w:rsidR="00345A0B" w:rsidRDefault="004D18E8" w:rsidP="00F94683">
      <w:pPr>
        <w:pStyle w:val="KPnormln"/>
        <w:ind w:firstLine="0"/>
      </w:pPr>
      <w:r>
        <w:t>NKÚ</w:t>
      </w:r>
      <w:r w:rsidRPr="00165B6F">
        <w:t xml:space="preserve"> upozorňuje na nutnost koncepčního přístupu při plánování a provádění projektů systémového charakteru. Pouze při praktickém využití jejich výstupů bude možné vynaložené prostředky považovat za účelné a efektivní.</w:t>
      </w:r>
      <w:r w:rsidR="00345A0B">
        <w:t xml:space="preserve"> NKÚ současně doporučuje zvážit, zda je vhodné financovat z prostředků EU projekty silně závislé na vnějších vlivech.</w:t>
      </w:r>
    </w:p>
    <w:p w14:paraId="7F6B2B29" w14:textId="24F7C002" w:rsidR="0070438B" w:rsidRDefault="0070438B" w:rsidP="00F94683">
      <w:pPr>
        <w:pStyle w:val="KPnormln"/>
        <w:ind w:firstLine="0"/>
      </w:pPr>
      <w:r w:rsidRPr="00F74376">
        <w:t>U 1</w:t>
      </w:r>
      <w:r w:rsidR="00CC571E">
        <w:t>4</w:t>
      </w:r>
      <w:r w:rsidRPr="00F74376">
        <w:t xml:space="preserve"> projektů z 5</w:t>
      </w:r>
      <w:r w:rsidR="00097DB5" w:rsidRPr="00F74376">
        <w:t>6</w:t>
      </w:r>
      <w:r w:rsidRPr="00F74376">
        <w:t xml:space="preserve"> kontrolovaných </w:t>
      </w:r>
      <w:r w:rsidR="00F74376">
        <w:t>(viz příloha č.</w:t>
      </w:r>
      <w:r w:rsidR="00CC571E">
        <w:t xml:space="preserve"> </w:t>
      </w:r>
      <w:r w:rsidR="00F74376">
        <w:t xml:space="preserve">1) </w:t>
      </w:r>
      <w:r w:rsidRPr="00F74376">
        <w:t xml:space="preserve">identifikoval NKÚ podezření </w:t>
      </w:r>
      <w:r w:rsidR="006F732A">
        <w:t>na</w:t>
      </w:r>
      <w:r w:rsidR="00995B47">
        <w:t xml:space="preserve"> </w:t>
      </w:r>
      <w:r w:rsidRPr="00F74376">
        <w:t>porušení rozpočtové kázně,</w:t>
      </w:r>
      <w:r>
        <w:t xml:space="preserve"> což ve svém důsledku znamená vznik </w:t>
      </w:r>
      <w:r w:rsidRPr="00D2350D">
        <w:t>nesrovnalostí ve smyslu čl. 2 odst. 7 nařízení Rady (ES) č. 1083/2006</w:t>
      </w:r>
      <w:r>
        <w:t xml:space="preserve"> (viz příloha č.</w:t>
      </w:r>
      <w:r w:rsidR="00CC571E">
        <w:t xml:space="preserve"> </w:t>
      </w:r>
      <w:r>
        <w:t>2).</w:t>
      </w:r>
    </w:p>
    <w:p w14:paraId="70615847" w14:textId="77777777" w:rsidR="009B1E5B" w:rsidRPr="009B1E5B" w:rsidRDefault="009B1E5B" w:rsidP="009B1E5B">
      <w:pPr>
        <w:jc w:val="both"/>
        <w:rPr>
          <w:rFonts w:ascii="Calibri" w:hAnsi="Calibri" w:cs="Calibri"/>
          <w:bCs/>
          <w:szCs w:val="22"/>
        </w:rPr>
      </w:pPr>
    </w:p>
    <w:p w14:paraId="61848660" w14:textId="77777777" w:rsidR="009B1E5B" w:rsidRPr="009B1E5B" w:rsidRDefault="009B1E5B" w:rsidP="009B1E5B">
      <w:pPr>
        <w:jc w:val="both"/>
        <w:rPr>
          <w:rFonts w:ascii="Calibri" w:hAnsi="Calibri" w:cs="Calibri"/>
          <w:bCs/>
          <w:szCs w:val="22"/>
        </w:rPr>
      </w:pPr>
    </w:p>
    <w:p w14:paraId="07B18178" w14:textId="77777777" w:rsidR="00E24FE0" w:rsidRPr="00E24FE0" w:rsidRDefault="00E24FE0" w:rsidP="002912D0">
      <w:pPr>
        <w:tabs>
          <w:tab w:val="center" w:pos="4536"/>
          <w:tab w:val="left" w:pos="6996"/>
        </w:tabs>
        <w:contextualSpacing/>
        <w:jc w:val="center"/>
        <w:rPr>
          <w:rFonts w:asciiTheme="minorHAnsi" w:hAnsiTheme="minorHAnsi" w:cstheme="minorHAnsi"/>
          <w:b/>
          <w:sz w:val="28"/>
          <w:szCs w:val="28"/>
        </w:rPr>
      </w:pPr>
      <w:r w:rsidRPr="00E24FE0">
        <w:rPr>
          <w:rFonts w:asciiTheme="minorHAnsi" w:hAnsiTheme="minorHAnsi" w:cstheme="minorHAnsi"/>
          <w:b/>
          <w:sz w:val="28"/>
          <w:szCs w:val="28"/>
        </w:rPr>
        <w:t>II</w:t>
      </w:r>
      <w:r w:rsidR="004D18E8">
        <w:rPr>
          <w:rFonts w:asciiTheme="minorHAnsi" w:hAnsiTheme="minorHAnsi" w:cstheme="minorHAnsi"/>
          <w:b/>
          <w:sz w:val="28"/>
          <w:szCs w:val="28"/>
        </w:rPr>
        <w:t>I</w:t>
      </w:r>
      <w:r w:rsidRPr="00E24FE0">
        <w:rPr>
          <w:rFonts w:asciiTheme="minorHAnsi" w:hAnsiTheme="minorHAnsi" w:cstheme="minorHAnsi"/>
          <w:b/>
          <w:sz w:val="28"/>
          <w:szCs w:val="28"/>
        </w:rPr>
        <w:t xml:space="preserve">. </w:t>
      </w:r>
      <w:r w:rsidR="0070438B">
        <w:rPr>
          <w:rFonts w:asciiTheme="minorHAnsi" w:hAnsiTheme="minorHAnsi" w:cstheme="minorHAnsi"/>
          <w:b/>
          <w:sz w:val="28"/>
          <w:szCs w:val="28"/>
        </w:rPr>
        <w:t xml:space="preserve">Bližší informace ke zjištěným </w:t>
      </w:r>
      <w:r w:rsidR="00097DB5">
        <w:rPr>
          <w:rFonts w:asciiTheme="minorHAnsi" w:hAnsiTheme="minorHAnsi" w:cstheme="minorHAnsi"/>
          <w:b/>
          <w:sz w:val="28"/>
          <w:szCs w:val="28"/>
        </w:rPr>
        <w:t>s</w:t>
      </w:r>
      <w:r w:rsidRPr="00E24FE0">
        <w:rPr>
          <w:rFonts w:asciiTheme="minorHAnsi" w:hAnsiTheme="minorHAnsi" w:cstheme="minorHAnsi"/>
          <w:b/>
          <w:sz w:val="28"/>
          <w:szCs w:val="28"/>
        </w:rPr>
        <w:t>kutečnost</w:t>
      </w:r>
      <w:r w:rsidR="0070438B">
        <w:rPr>
          <w:rFonts w:asciiTheme="minorHAnsi" w:hAnsiTheme="minorHAnsi" w:cstheme="minorHAnsi"/>
          <w:b/>
          <w:sz w:val="28"/>
          <w:szCs w:val="28"/>
        </w:rPr>
        <w:t>em</w:t>
      </w:r>
    </w:p>
    <w:p w14:paraId="3FC09A88" w14:textId="77777777" w:rsidR="00E24FE0" w:rsidRPr="00E24FE0" w:rsidRDefault="00E24FE0" w:rsidP="00E24FE0">
      <w:pPr>
        <w:tabs>
          <w:tab w:val="left" w:pos="567"/>
        </w:tabs>
        <w:contextualSpacing/>
        <w:jc w:val="both"/>
        <w:rPr>
          <w:rFonts w:asciiTheme="minorHAnsi" w:hAnsiTheme="minorHAnsi" w:cstheme="minorHAnsi"/>
        </w:rPr>
      </w:pPr>
    </w:p>
    <w:p w14:paraId="5AF52740" w14:textId="77777777" w:rsidR="007C55A5" w:rsidRPr="00962559" w:rsidRDefault="00D53EC0" w:rsidP="002912D0">
      <w:pPr>
        <w:tabs>
          <w:tab w:val="left" w:pos="567"/>
        </w:tabs>
        <w:spacing w:after="120"/>
        <w:jc w:val="both"/>
        <w:rPr>
          <w:rFonts w:asciiTheme="minorHAnsi" w:hAnsiTheme="minorHAnsi" w:cstheme="minorHAnsi"/>
          <w:b/>
        </w:rPr>
      </w:pPr>
      <w:r w:rsidRPr="00962559">
        <w:rPr>
          <w:rFonts w:asciiTheme="minorHAnsi" w:hAnsiTheme="minorHAnsi" w:cstheme="minorHAnsi"/>
          <w:b/>
        </w:rPr>
        <w:t xml:space="preserve">1. </w:t>
      </w:r>
      <w:r w:rsidR="007C55A5" w:rsidRPr="00962559">
        <w:rPr>
          <w:rFonts w:asciiTheme="minorHAnsi" w:hAnsiTheme="minorHAnsi" w:cstheme="minorHAnsi"/>
          <w:b/>
        </w:rPr>
        <w:t>Integrovaný operační program</w:t>
      </w:r>
    </w:p>
    <w:p w14:paraId="49BC7F16" w14:textId="4F8DC00D" w:rsidR="00E24FE0" w:rsidRPr="009F19DA" w:rsidRDefault="007C55A5" w:rsidP="002912D0">
      <w:pPr>
        <w:tabs>
          <w:tab w:val="left" w:pos="567"/>
        </w:tabs>
        <w:spacing w:after="120"/>
        <w:jc w:val="both"/>
        <w:rPr>
          <w:rFonts w:asciiTheme="minorHAnsi" w:hAnsiTheme="minorHAnsi" w:cstheme="minorHAnsi"/>
          <w:b/>
        </w:rPr>
      </w:pPr>
      <w:r>
        <w:rPr>
          <w:rFonts w:asciiTheme="minorHAnsi" w:hAnsiTheme="minorHAnsi" w:cstheme="minorHAnsi"/>
          <w:b/>
        </w:rPr>
        <w:t xml:space="preserve">1.1 </w:t>
      </w:r>
      <w:r w:rsidR="00E24FE0" w:rsidRPr="009F19DA">
        <w:rPr>
          <w:rFonts w:asciiTheme="minorHAnsi" w:hAnsiTheme="minorHAnsi" w:cstheme="minorHAnsi"/>
          <w:b/>
        </w:rPr>
        <w:t xml:space="preserve">Nastavení podmínek udržitelnosti </w:t>
      </w:r>
      <w:r w:rsidR="00ED2E9A">
        <w:rPr>
          <w:rFonts w:asciiTheme="minorHAnsi" w:hAnsiTheme="minorHAnsi" w:cstheme="minorHAnsi"/>
          <w:b/>
        </w:rPr>
        <w:t>u</w:t>
      </w:r>
      <w:r w:rsidR="00E24FE0" w:rsidRPr="009F19DA">
        <w:rPr>
          <w:rFonts w:asciiTheme="minorHAnsi" w:hAnsiTheme="minorHAnsi" w:cstheme="minorHAnsi"/>
          <w:b/>
        </w:rPr>
        <w:t xml:space="preserve"> IOP</w:t>
      </w:r>
    </w:p>
    <w:p w14:paraId="24CF4A9D" w14:textId="77777777" w:rsidR="00CC3B1D" w:rsidRPr="00097DB5" w:rsidRDefault="00502D74" w:rsidP="00097DB5">
      <w:pPr>
        <w:pStyle w:val="Odstavecseseznamem"/>
        <w:numPr>
          <w:ilvl w:val="0"/>
          <w:numId w:val="31"/>
        </w:numPr>
        <w:tabs>
          <w:tab w:val="left" w:pos="426"/>
        </w:tabs>
        <w:spacing w:after="120"/>
        <w:ind w:left="425" w:hanging="425"/>
        <w:jc w:val="both"/>
        <w:rPr>
          <w:rFonts w:asciiTheme="minorHAnsi" w:hAnsiTheme="minorHAnsi" w:cstheme="minorHAnsi"/>
          <w:b/>
          <w:i/>
        </w:rPr>
      </w:pPr>
      <w:r w:rsidRPr="00097DB5">
        <w:rPr>
          <w:rFonts w:asciiTheme="minorHAnsi" w:hAnsiTheme="minorHAnsi" w:cstheme="minorHAnsi"/>
          <w:b/>
          <w:i/>
        </w:rPr>
        <w:t xml:space="preserve">MMR nastavilo </w:t>
      </w:r>
      <w:r w:rsidR="00CC3B1D" w:rsidRPr="00097DB5">
        <w:rPr>
          <w:rFonts w:asciiTheme="minorHAnsi" w:hAnsiTheme="minorHAnsi" w:cstheme="minorHAnsi"/>
          <w:b/>
          <w:i/>
        </w:rPr>
        <w:t>podmínky udržitelnosti projektů financovaných z Integrovaného operačního programu v souladu s evropskými předpisy</w:t>
      </w:r>
      <w:r w:rsidRPr="00097DB5">
        <w:rPr>
          <w:rFonts w:asciiTheme="minorHAnsi" w:hAnsiTheme="minorHAnsi" w:cstheme="minorHAnsi"/>
          <w:b/>
          <w:i/>
        </w:rPr>
        <w:t>. Příjemci podpory jsou odpovídajícím způsobem zavázáni k jejich dodržování.</w:t>
      </w:r>
    </w:p>
    <w:p w14:paraId="3F6E33D0" w14:textId="765DFC35" w:rsidR="00586D0A" w:rsidRDefault="00586D0A" w:rsidP="00327154">
      <w:pPr>
        <w:pStyle w:val="KPnormln"/>
        <w:ind w:firstLine="0"/>
      </w:pPr>
      <w:r>
        <w:t xml:space="preserve">Příjemci podpory musí pět let od ukončení projektu dodržovat podmínky stanovené v právních aktech o poskytnutí dotace a blíže specifikované v závazných příručkách. Tyto povinnosti se týkají především řádného nakládání s majetkem, udržení hodnot monitorovacích indikátorů a zachování činnosti související s podpořenou investicí. Mezi další </w:t>
      </w:r>
      <w:r w:rsidR="00ED2E9A">
        <w:t>podmínky stanovené příjemcům</w:t>
      </w:r>
      <w:r>
        <w:t xml:space="preserve"> </w:t>
      </w:r>
      <w:r w:rsidR="00ED2E9A">
        <w:t>pro dobu</w:t>
      </w:r>
      <w:r>
        <w:t xml:space="preserve"> udržitelnosti </w:t>
      </w:r>
      <w:r w:rsidR="005322D9">
        <w:t xml:space="preserve">patří </w:t>
      </w:r>
      <w:r>
        <w:t xml:space="preserve">vedení </w:t>
      </w:r>
      <w:r w:rsidR="005322D9">
        <w:t xml:space="preserve">odděleného účetnictví, </w:t>
      </w:r>
      <w:r>
        <w:lastRenderedPageBreak/>
        <w:t>předkládání každoročních z</w:t>
      </w:r>
      <w:r w:rsidR="00ED2E9A">
        <w:t>práv o udržitelnosti projektu a </w:t>
      </w:r>
      <w:r>
        <w:t>oznamování všech závažných změ</w:t>
      </w:r>
      <w:r w:rsidR="00DD4C90">
        <w:t>n a </w:t>
      </w:r>
      <w:r>
        <w:t>skutečností souvisejících s projektem.</w:t>
      </w:r>
    </w:p>
    <w:p w14:paraId="01C6970C" w14:textId="77777777" w:rsidR="00753D1E" w:rsidRDefault="00753D1E" w:rsidP="00995B47">
      <w:pPr>
        <w:pStyle w:val="KPnormln"/>
        <w:spacing w:after="0"/>
        <w:ind w:firstLine="0"/>
      </w:pPr>
      <w:r>
        <w:t>Kontrolou byly zjištěny dílčí nedostatky:</w:t>
      </w:r>
    </w:p>
    <w:p w14:paraId="3A9D4ABA" w14:textId="7CEB4908" w:rsidR="00753D1E" w:rsidRDefault="00753D1E" w:rsidP="00995B47">
      <w:pPr>
        <w:pStyle w:val="Odstavecseseznamem"/>
        <w:numPr>
          <w:ilvl w:val="0"/>
          <w:numId w:val="18"/>
        </w:numPr>
        <w:ind w:left="284" w:hanging="284"/>
        <w:contextualSpacing w:val="0"/>
        <w:jc w:val="both"/>
        <w:rPr>
          <w:rFonts w:asciiTheme="minorHAnsi" w:hAnsiTheme="minorHAnsi" w:cstheme="minorHAnsi"/>
        </w:rPr>
      </w:pPr>
      <w:r w:rsidRPr="00753D1E">
        <w:rPr>
          <w:rFonts w:asciiTheme="minorHAnsi" w:hAnsiTheme="minorHAnsi" w:cstheme="minorHAnsi"/>
        </w:rPr>
        <w:t>Rozhodnutí o poskytnutí dotace nestanovuj</w:t>
      </w:r>
      <w:r>
        <w:rPr>
          <w:rFonts w:asciiTheme="minorHAnsi" w:hAnsiTheme="minorHAnsi" w:cstheme="minorHAnsi"/>
        </w:rPr>
        <w:t>e</w:t>
      </w:r>
      <w:r w:rsidRPr="00753D1E">
        <w:rPr>
          <w:rFonts w:asciiTheme="minorHAnsi" w:hAnsiTheme="minorHAnsi" w:cstheme="minorHAnsi"/>
        </w:rPr>
        <w:t xml:space="preserve"> příjemcům </w:t>
      </w:r>
      <w:r>
        <w:rPr>
          <w:rFonts w:asciiTheme="minorHAnsi" w:hAnsiTheme="minorHAnsi" w:cstheme="minorHAnsi"/>
        </w:rPr>
        <w:t xml:space="preserve">podpory </w:t>
      </w:r>
      <w:r w:rsidRPr="00753D1E">
        <w:rPr>
          <w:rFonts w:asciiTheme="minorHAnsi" w:hAnsiTheme="minorHAnsi" w:cstheme="minorHAnsi"/>
        </w:rPr>
        <w:t xml:space="preserve">povinnost předkládat </w:t>
      </w:r>
      <w:r w:rsidR="00995B47">
        <w:rPr>
          <w:rFonts w:asciiTheme="minorHAnsi" w:hAnsiTheme="minorHAnsi" w:cstheme="minorHAnsi"/>
          <w:i/>
        </w:rPr>
        <w:t>h</w:t>
      </w:r>
      <w:r w:rsidRPr="00753D1E">
        <w:rPr>
          <w:rFonts w:asciiTheme="minorHAnsi" w:hAnsiTheme="minorHAnsi" w:cstheme="minorHAnsi"/>
          <w:i/>
        </w:rPr>
        <w:t>lášení o udržitelnosti</w:t>
      </w:r>
      <w:r w:rsidRPr="00753D1E">
        <w:rPr>
          <w:rFonts w:asciiTheme="minorHAnsi" w:hAnsiTheme="minorHAnsi" w:cstheme="minorHAnsi"/>
        </w:rPr>
        <w:t xml:space="preserve"> (na rozdíl od ostatních typů monitorovacích zpráv) a</w:t>
      </w:r>
      <w:r w:rsidR="00995B47">
        <w:rPr>
          <w:rFonts w:asciiTheme="minorHAnsi" w:hAnsiTheme="minorHAnsi" w:cstheme="minorHAnsi"/>
        </w:rPr>
        <w:t>ni</w:t>
      </w:r>
      <w:r w:rsidRPr="00753D1E">
        <w:rPr>
          <w:rFonts w:asciiTheme="minorHAnsi" w:hAnsiTheme="minorHAnsi" w:cstheme="minorHAnsi"/>
        </w:rPr>
        <w:t xml:space="preserve"> výslovně neuvádí, že oznamovací povinnost platí pro příjemce též v době udržitelnosti. Přestože tyto povinnosti vyplývají ze závazné </w:t>
      </w:r>
      <w:r>
        <w:rPr>
          <w:rFonts w:asciiTheme="minorHAnsi" w:hAnsiTheme="minorHAnsi" w:cstheme="minorHAnsi"/>
        </w:rPr>
        <w:t>p</w:t>
      </w:r>
      <w:r w:rsidRPr="00753D1E">
        <w:rPr>
          <w:rFonts w:asciiTheme="minorHAnsi" w:hAnsiTheme="minorHAnsi" w:cstheme="minorHAnsi"/>
        </w:rPr>
        <w:t xml:space="preserve">říručky, </w:t>
      </w:r>
      <w:r w:rsidR="001A219D">
        <w:rPr>
          <w:rFonts w:asciiTheme="minorHAnsi" w:hAnsiTheme="minorHAnsi" w:cstheme="minorHAnsi"/>
        </w:rPr>
        <w:t>jejich absence v právním aktu o </w:t>
      </w:r>
      <w:r w:rsidRPr="00753D1E">
        <w:rPr>
          <w:rFonts w:asciiTheme="minorHAnsi" w:hAnsiTheme="minorHAnsi" w:cstheme="minorHAnsi"/>
        </w:rPr>
        <w:t>poskytnutí dotace může pro příjemce znamenat určitou nejistotu. Zachování oznamovací povinnosti i</w:t>
      </w:r>
      <w:r w:rsidR="00824E07">
        <w:rPr>
          <w:rFonts w:asciiTheme="minorHAnsi" w:hAnsiTheme="minorHAnsi" w:cstheme="minorHAnsi"/>
        </w:rPr>
        <w:t> </w:t>
      </w:r>
      <w:r w:rsidRPr="00753D1E">
        <w:rPr>
          <w:rFonts w:asciiTheme="minorHAnsi" w:hAnsiTheme="minorHAnsi" w:cstheme="minorHAnsi"/>
        </w:rPr>
        <w:t>v době udržitelnosti je přitom základním předpokladem účinné</w:t>
      </w:r>
      <w:r w:rsidR="00ED2E9A">
        <w:rPr>
          <w:rFonts w:asciiTheme="minorHAnsi" w:hAnsiTheme="minorHAnsi" w:cstheme="minorHAnsi"/>
        </w:rPr>
        <w:t>ho</w:t>
      </w:r>
      <w:r w:rsidRPr="00753D1E">
        <w:rPr>
          <w:rFonts w:asciiTheme="minorHAnsi" w:hAnsiTheme="minorHAnsi" w:cstheme="minorHAnsi"/>
        </w:rPr>
        <w:t xml:space="preserve"> monitorování projektů ze strany poskytovatele.</w:t>
      </w:r>
    </w:p>
    <w:p w14:paraId="3F489139" w14:textId="695DBB2E" w:rsidR="00DE49E3" w:rsidRDefault="00E052FC" w:rsidP="00995B47">
      <w:pPr>
        <w:pStyle w:val="Odstavecseseznamem"/>
        <w:numPr>
          <w:ilvl w:val="0"/>
          <w:numId w:val="18"/>
        </w:numPr>
        <w:ind w:left="284" w:hanging="284"/>
        <w:contextualSpacing w:val="0"/>
        <w:jc w:val="both"/>
        <w:rPr>
          <w:rFonts w:asciiTheme="minorHAnsi" w:hAnsiTheme="minorHAnsi" w:cstheme="minorHAnsi"/>
        </w:rPr>
      </w:pPr>
      <w:r>
        <w:rPr>
          <w:rFonts w:asciiTheme="minorHAnsi" w:hAnsiTheme="minorHAnsi" w:cstheme="minorHAnsi"/>
        </w:rPr>
        <w:t>V rozhodnutích vydávaných M</w:t>
      </w:r>
      <w:r w:rsidR="00ED2E9A">
        <w:rPr>
          <w:rFonts w:asciiTheme="minorHAnsi" w:hAnsiTheme="minorHAnsi" w:cstheme="minorHAnsi"/>
        </w:rPr>
        <w:t>inisterstvem pro místní rozvoj do konce května 2014 v </w:t>
      </w:r>
      <w:r w:rsidR="00DE49E3">
        <w:rPr>
          <w:rFonts w:asciiTheme="minorHAnsi" w:hAnsiTheme="minorHAnsi" w:cstheme="minorHAnsi"/>
        </w:rPr>
        <w:t>rámci oblasti intervence</w:t>
      </w:r>
      <w:r w:rsidR="00995B47">
        <w:rPr>
          <w:rFonts w:asciiTheme="minorHAnsi" w:hAnsiTheme="minorHAnsi" w:cstheme="minorHAnsi"/>
        </w:rPr>
        <w:t xml:space="preserve"> 5.2 </w:t>
      </w:r>
      <w:r w:rsidR="00DE49E3">
        <w:rPr>
          <w:rFonts w:asciiTheme="minorHAnsi" w:hAnsiTheme="minorHAnsi" w:cstheme="minorHAnsi"/>
        </w:rPr>
        <w:t xml:space="preserve">– </w:t>
      </w:r>
      <w:r w:rsidR="00DE49E3" w:rsidRPr="006B4B45">
        <w:rPr>
          <w:rFonts w:asciiTheme="minorHAnsi" w:hAnsiTheme="minorHAnsi" w:cstheme="minorHAnsi"/>
          <w:i/>
        </w:rPr>
        <w:t>Zlepšení prostředí v problémových sídlištích</w:t>
      </w:r>
      <w:r w:rsidR="00DE49E3">
        <w:rPr>
          <w:rFonts w:asciiTheme="minorHAnsi" w:hAnsiTheme="minorHAnsi" w:cstheme="minorHAnsi"/>
        </w:rPr>
        <w:t xml:space="preserve"> </w:t>
      </w:r>
      <w:r w:rsidR="007C7112">
        <w:rPr>
          <w:rFonts w:asciiTheme="minorHAnsi" w:hAnsiTheme="minorHAnsi" w:cstheme="minorHAnsi"/>
        </w:rPr>
        <w:t xml:space="preserve">nebylo </w:t>
      </w:r>
      <w:r>
        <w:rPr>
          <w:rFonts w:asciiTheme="minorHAnsi" w:hAnsiTheme="minorHAnsi" w:cstheme="minorHAnsi"/>
        </w:rPr>
        <w:t>porušení zákazu změny vlastnictví majetku pořízeného z dotace (tedy jedno ze závažn</w:t>
      </w:r>
      <w:r w:rsidR="00006C9B">
        <w:rPr>
          <w:rFonts w:asciiTheme="minorHAnsi" w:hAnsiTheme="minorHAnsi" w:cstheme="minorHAnsi"/>
        </w:rPr>
        <w:t>ých</w:t>
      </w:r>
      <w:r>
        <w:rPr>
          <w:rFonts w:asciiTheme="minorHAnsi" w:hAnsiTheme="minorHAnsi" w:cstheme="minorHAnsi"/>
        </w:rPr>
        <w:t xml:space="preserve"> porušení podmínek udržitelnosti) spojeno s odpovídající sankcí.</w:t>
      </w:r>
    </w:p>
    <w:p w14:paraId="5DF80568" w14:textId="4BE2B68A" w:rsidR="00CC3B1D" w:rsidRDefault="006B4B45" w:rsidP="009B1E5B">
      <w:pPr>
        <w:pStyle w:val="Odstavecseseznamem"/>
        <w:numPr>
          <w:ilvl w:val="0"/>
          <w:numId w:val="18"/>
        </w:numPr>
        <w:spacing w:after="120"/>
        <w:ind w:left="284" w:hanging="284"/>
        <w:contextualSpacing w:val="0"/>
        <w:jc w:val="both"/>
        <w:rPr>
          <w:rFonts w:asciiTheme="minorHAnsi" w:hAnsiTheme="minorHAnsi" w:cstheme="minorHAnsi"/>
        </w:rPr>
      </w:pPr>
      <w:r>
        <w:rPr>
          <w:rFonts w:asciiTheme="minorHAnsi" w:hAnsiTheme="minorHAnsi" w:cstheme="minorHAnsi"/>
        </w:rPr>
        <w:t xml:space="preserve">Prostřednictvím oblasti intervence 3.1 – </w:t>
      </w:r>
      <w:r w:rsidRPr="006B4B45">
        <w:rPr>
          <w:rFonts w:asciiTheme="minorHAnsi" w:hAnsiTheme="minorHAnsi" w:cstheme="minorHAnsi"/>
          <w:i/>
        </w:rPr>
        <w:t>Služby v oblasti sociální integrace</w:t>
      </w:r>
      <w:r>
        <w:rPr>
          <w:rFonts w:asciiTheme="minorHAnsi" w:hAnsiTheme="minorHAnsi" w:cstheme="minorHAnsi"/>
        </w:rPr>
        <w:t xml:space="preserve"> </w:t>
      </w:r>
      <w:r w:rsidR="007C7112">
        <w:rPr>
          <w:rFonts w:asciiTheme="minorHAnsi" w:hAnsiTheme="minorHAnsi" w:cstheme="minorHAnsi"/>
        </w:rPr>
        <w:t xml:space="preserve">byly </w:t>
      </w:r>
      <w:r w:rsidR="00C46D2D">
        <w:rPr>
          <w:rFonts w:asciiTheme="minorHAnsi" w:hAnsiTheme="minorHAnsi" w:cstheme="minorHAnsi"/>
        </w:rPr>
        <w:t xml:space="preserve">financovány projekty zaměřené na </w:t>
      </w:r>
      <w:r>
        <w:rPr>
          <w:rFonts w:asciiTheme="minorHAnsi" w:hAnsiTheme="minorHAnsi" w:cstheme="minorHAnsi"/>
        </w:rPr>
        <w:t>vybudování nebo renovaci infrastruktury určené pro sociální podnikání</w:t>
      </w:r>
      <w:r w:rsidR="00C606E5">
        <w:rPr>
          <w:rStyle w:val="Znakapoznpodarou"/>
          <w:rFonts w:asciiTheme="minorHAnsi" w:hAnsiTheme="minorHAnsi" w:cstheme="minorHAnsi"/>
        </w:rPr>
        <w:footnoteReference w:id="6"/>
      </w:r>
      <w:r>
        <w:rPr>
          <w:rFonts w:asciiTheme="minorHAnsi" w:hAnsiTheme="minorHAnsi" w:cstheme="minorHAnsi"/>
        </w:rPr>
        <w:t xml:space="preserve">. </w:t>
      </w:r>
      <w:r w:rsidR="00C97459">
        <w:rPr>
          <w:rFonts w:asciiTheme="minorHAnsi" w:hAnsiTheme="minorHAnsi" w:cstheme="minorHAnsi"/>
        </w:rPr>
        <w:t>Kontrolou na místě bylo zjištěno, že p</w:t>
      </w:r>
      <w:r>
        <w:rPr>
          <w:rFonts w:asciiTheme="minorHAnsi" w:hAnsiTheme="minorHAnsi" w:cstheme="minorHAnsi"/>
        </w:rPr>
        <w:t xml:space="preserve">říjemci </w:t>
      </w:r>
      <w:r w:rsidR="00C46D2D">
        <w:rPr>
          <w:rFonts w:asciiTheme="minorHAnsi" w:hAnsiTheme="minorHAnsi" w:cstheme="minorHAnsi"/>
        </w:rPr>
        <w:t xml:space="preserve">této </w:t>
      </w:r>
      <w:r>
        <w:rPr>
          <w:rFonts w:asciiTheme="minorHAnsi" w:hAnsiTheme="minorHAnsi" w:cstheme="minorHAnsi"/>
        </w:rPr>
        <w:t xml:space="preserve">podpory </w:t>
      </w:r>
      <w:r w:rsidR="00C97459">
        <w:rPr>
          <w:rFonts w:asciiTheme="minorHAnsi" w:hAnsiTheme="minorHAnsi" w:cstheme="minorHAnsi"/>
        </w:rPr>
        <w:t xml:space="preserve">využívají </w:t>
      </w:r>
      <w:r>
        <w:rPr>
          <w:rFonts w:asciiTheme="minorHAnsi" w:hAnsiTheme="minorHAnsi" w:cstheme="minorHAnsi"/>
        </w:rPr>
        <w:t xml:space="preserve">zároveň </w:t>
      </w:r>
      <w:r w:rsidR="00C97459">
        <w:rPr>
          <w:rFonts w:asciiTheme="minorHAnsi" w:hAnsiTheme="minorHAnsi" w:cstheme="minorHAnsi"/>
        </w:rPr>
        <w:t xml:space="preserve">možnost </w:t>
      </w:r>
      <w:r>
        <w:rPr>
          <w:rFonts w:asciiTheme="minorHAnsi" w:hAnsiTheme="minorHAnsi" w:cstheme="minorHAnsi"/>
        </w:rPr>
        <w:t>čerpat peněžní prostředky z </w:t>
      </w:r>
      <w:proofErr w:type="gramStart"/>
      <w:r>
        <w:rPr>
          <w:rFonts w:asciiTheme="minorHAnsi" w:hAnsiTheme="minorHAnsi" w:cstheme="minorHAnsi"/>
        </w:rPr>
        <w:t>OP</w:t>
      </w:r>
      <w:proofErr w:type="gramEnd"/>
      <w:r>
        <w:rPr>
          <w:rFonts w:asciiTheme="minorHAnsi" w:hAnsiTheme="minorHAnsi" w:cstheme="minorHAnsi"/>
        </w:rPr>
        <w:t xml:space="preserve"> </w:t>
      </w:r>
      <w:r w:rsidRPr="00CC571E">
        <w:rPr>
          <w:rFonts w:asciiTheme="minorHAnsi" w:hAnsiTheme="minorHAnsi" w:cstheme="minorHAnsi"/>
          <w:i/>
        </w:rPr>
        <w:t>L</w:t>
      </w:r>
      <w:r w:rsidR="00CC571E" w:rsidRPr="00CC571E">
        <w:rPr>
          <w:rFonts w:asciiTheme="minorHAnsi" w:hAnsiTheme="minorHAnsi" w:cstheme="minorHAnsi"/>
          <w:i/>
        </w:rPr>
        <w:t>idské zdroje a zaměstnan</w:t>
      </w:r>
      <w:r w:rsidR="00CC571E">
        <w:rPr>
          <w:rFonts w:asciiTheme="minorHAnsi" w:hAnsiTheme="minorHAnsi" w:cstheme="minorHAnsi"/>
          <w:i/>
        </w:rPr>
        <w:t>o</w:t>
      </w:r>
      <w:r w:rsidR="00CC571E" w:rsidRPr="00CC571E">
        <w:rPr>
          <w:rFonts w:asciiTheme="minorHAnsi" w:hAnsiTheme="minorHAnsi" w:cstheme="minorHAnsi"/>
          <w:i/>
        </w:rPr>
        <w:t>st</w:t>
      </w:r>
      <w:r>
        <w:rPr>
          <w:rFonts w:asciiTheme="minorHAnsi" w:hAnsiTheme="minorHAnsi" w:cstheme="minorHAnsi"/>
        </w:rPr>
        <w:t xml:space="preserve"> na mzdy zaměstnanců</w:t>
      </w:r>
      <w:r w:rsidR="00C97459">
        <w:rPr>
          <w:rFonts w:asciiTheme="minorHAnsi" w:hAnsiTheme="minorHAnsi" w:cstheme="minorHAnsi"/>
        </w:rPr>
        <w:t xml:space="preserve"> a získat příspěvky na pracovní místa od Úřadu práce ČR.</w:t>
      </w:r>
      <w:r>
        <w:rPr>
          <w:rFonts w:asciiTheme="minorHAnsi" w:hAnsiTheme="minorHAnsi" w:cstheme="minorHAnsi"/>
        </w:rPr>
        <w:t xml:space="preserve"> Zachování činnosti sociálních podniků v době udržitelnosti je v rámci IOP sledováno pouze počtem zaměstnaných osob, tedy monitorovacím indikátorem, jehož dosažená hodnota je ovlivněna jinými veřejnými prostředky.</w:t>
      </w:r>
    </w:p>
    <w:p w14:paraId="0EF44E7C" w14:textId="77777777" w:rsidR="00F94683" w:rsidRDefault="00F94683" w:rsidP="00824E07">
      <w:pPr>
        <w:pStyle w:val="Odstavecseseznamem"/>
        <w:ind w:left="0"/>
        <w:contextualSpacing w:val="0"/>
        <w:jc w:val="both"/>
        <w:rPr>
          <w:rFonts w:asciiTheme="minorHAnsi" w:hAnsiTheme="minorHAnsi" w:cstheme="minorHAnsi"/>
        </w:rPr>
      </w:pPr>
    </w:p>
    <w:p w14:paraId="4D73AD82" w14:textId="77777777" w:rsidR="00D53EC0" w:rsidRPr="007C55A5" w:rsidRDefault="008B51FC" w:rsidP="00910373">
      <w:pPr>
        <w:pStyle w:val="Odstavecseseznamem"/>
        <w:numPr>
          <w:ilvl w:val="1"/>
          <w:numId w:val="16"/>
        </w:numPr>
        <w:tabs>
          <w:tab w:val="left" w:pos="567"/>
        </w:tabs>
        <w:spacing w:after="120"/>
        <w:ind w:left="357" w:hanging="357"/>
        <w:jc w:val="both"/>
        <w:rPr>
          <w:rFonts w:asciiTheme="minorHAnsi" w:hAnsiTheme="minorHAnsi" w:cstheme="minorHAnsi"/>
          <w:b/>
        </w:rPr>
      </w:pPr>
      <w:r>
        <w:rPr>
          <w:rFonts w:asciiTheme="minorHAnsi" w:hAnsiTheme="minorHAnsi" w:cstheme="minorHAnsi"/>
          <w:b/>
        </w:rPr>
        <w:t>Provádění k</w:t>
      </w:r>
      <w:r w:rsidR="00D53EC0" w:rsidRPr="007C55A5">
        <w:rPr>
          <w:rFonts w:asciiTheme="minorHAnsi" w:hAnsiTheme="minorHAnsi" w:cstheme="minorHAnsi"/>
          <w:b/>
        </w:rPr>
        <w:t>ontrol</w:t>
      </w:r>
      <w:r>
        <w:rPr>
          <w:rFonts w:asciiTheme="minorHAnsi" w:hAnsiTheme="minorHAnsi" w:cstheme="minorHAnsi"/>
          <w:b/>
        </w:rPr>
        <w:t>y</w:t>
      </w:r>
      <w:r w:rsidR="00D53EC0" w:rsidRPr="007C55A5">
        <w:rPr>
          <w:rFonts w:asciiTheme="minorHAnsi" w:hAnsiTheme="minorHAnsi" w:cstheme="minorHAnsi"/>
          <w:b/>
        </w:rPr>
        <w:t xml:space="preserve"> projektů v době udržitelnosti</w:t>
      </w:r>
    </w:p>
    <w:p w14:paraId="69D4327C" w14:textId="5381BC60" w:rsidR="00D53EC0" w:rsidRPr="00CC571E" w:rsidRDefault="00D53EC0" w:rsidP="00CC571E">
      <w:pPr>
        <w:pStyle w:val="KPnormln"/>
        <w:numPr>
          <w:ilvl w:val="0"/>
          <w:numId w:val="32"/>
        </w:numPr>
        <w:ind w:left="426" w:hanging="426"/>
        <w:rPr>
          <w:b/>
        </w:rPr>
      </w:pPr>
      <w:r w:rsidRPr="00CC571E">
        <w:rPr>
          <w:b/>
        </w:rPr>
        <w:t>U zprostředkujících subjektů IOP zjistil NKÚ dílčí nedosta</w:t>
      </w:r>
      <w:r w:rsidR="001A219D" w:rsidRPr="00CC571E">
        <w:rPr>
          <w:b/>
        </w:rPr>
        <w:t xml:space="preserve">tky </w:t>
      </w:r>
      <w:r w:rsidR="00ED2E9A">
        <w:rPr>
          <w:b/>
        </w:rPr>
        <w:t>týkající se</w:t>
      </w:r>
      <w:r w:rsidR="001A219D" w:rsidRPr="00CC571E">
        <w:rPr>
          <w:b/>
        </w:rPr>
        <w:t xml:space="preserve"> provádění monitoringu a </w:t>
      </w:r>
      <w:r w:rsidRPr="00CC571E">
        <w:rPr>
          <w:b/>
        </w:rPr>
        <w:t xml:space="preserve">kontrol projektů v době udržitelnosti. Tuto činnost </w:t>
      </w:r>
      <w:r w:rsidR="001D47B0" w:rsidRPr="00CC571E">
        <w:rPr>
          <w:b/>
        </w:rPr>
        <w:t xml:space="preserve">navíc ztěžuje </w:t>
      </w:r>
      <w:r w:rsidRPr="00CC571E">
        <w:rPr>
          <w:b/>
        </w:rPr>
        <w:t xml:space="preserve">málo spolehlivý monitorovací systém. </w:t>
      </w:r>
    </w:p>
    <w:p w14:paraId="0CA1AC39" w14:textId="1C2D5FB0" w:rsidR="00D53EC0" w:rsidRDefault="008E2B8F" w:rsidP="00824E07">
      <w:pPr>
        <w:tabs>
          <w:tab w:val="left" w:pos="567"/>
        </w:tabs>
        <w:spacing w:after="120"/>
        <w:jc w:val="both"/>
        <w:rPr>
          <w:rFonts w:asciiTheme="minorHAnsi" w:hAnsiTheme="minorHAnsi" w:cstheme="minorHAnsi"/>
        </w:rPr>
      </w:pPr>
      <w:r w:rsidRPr="008E2B8F">
        <w:rPr>
          <w:rFonts w:asciiTheme="minorHAnsi" w:hAnsiTheme="minorHAnsi" w:cstheme="minorHAnsi"/>
        </w:rPr>
        <w:t>M</w:t>
      </w:r>
      <w:r w:rsidR="0062799A">
        <w:rPr>
          <w:rFonts w:asciiTheme="minorHAnsi" w:hAnsiTheme="minorHAnsi" w:cstheme="minorHAnsi"/>
        </w:rPr>
        <w:t>MR jakožto řídicí orgán IOP delegovalo činnosti související s monitoringem a kontrolou projektů v době udržitelnosti na několik zprostředkujících subjektů</w:t>
      </w:r>
      <w:r w:rsidR="00526DAE">
        <w:rPr>
          <w:rFonts w:asciiTheme="minorHAnsi" w:hAnsiTheme="minorHAnsi" w:cstheme="minorHAnsi"/>
        </w:rPr>
        <w:t>, kterými jsou</w:t>
      </w:r>
      <w:r w:rsidR="0062799A">
        <w:rPr>
          <w:rFonts w:asciiTheme="minorHAnsi" w:hAnsiTheme="minorHAnsi" w:cstheme="minorHAnsi"/>
        </w:rPr>
        <w:t>: Ministerstvo zdravotnictví, Ministerstvo vnitra, Ministe</w:t>
      </w:r>
      <w:r w:rsidR="007D0331">
        <w:rPr>
          <w:rFonts w:asciiTheme="minorHAnsi" w:hAnsiTheme="minorHAnsi" w:cstheme="minorHAnsi"/>
        </w:rPr>
        <w:t>rstvo práce a sociálních věcí a </w:t>
      </w:r>
      <w:r w:rsidR="0062799A">
        <w:rPr>
          <w:rFonts w:asciiTheme="minorHAnsi" w:hAnsiTheme="minorHAnsi" w:cstheme="minorHAnsi"/>
        </w:rPr>
        <w:t>Centrum pro regionální rozvoj ČR.</w:t>
      </w:r>
    </w:p>
    <w:p w14:paraId="31E8E5E6" w14:textId="13BCAE18" w:rsidR="00CC571E" w:rsidRDefault="00CC571E" w:rsidP="00995B47">
      <w:pPr>
        <w:tabs>
          <w:tab w:val="left" w:pos="567"/>
        </w:tabs>
        <w:jc w:val="both"/>
        <w:rPr>
          <w:rFonts w:asciiTheme="minorHAnsi" w:hAnsiTheme="minorHAnsi" w:cstheme="minorHAnsi"/>
        </w:rPr>
      </w:pPr>
      <w:r>
        <w:rPr>
          <w:rFonts w:asciiTheme="minorHAnsi" w:hAnsiTheme="minorHAnsi" w:cstheme="minorHAnsi"/>
        </w:rPr>
        <w:t>Kontrola NKÚ zjistila</w:t>
      </w:r>
      <w:r w:rsidR="00ED2E9A">
        <w:rPr>
          <w:rFonts w:asciiTheme="minorHAnsi" w:hAnsiTheme="minorHAnsi" w:cstheme="minorHAnsi"/>
        </w:rPr>
        <w:t xml:space="preserve"> tyto skutečnosti</w:t>
      </w:r>
      <w:r>
        <w:rPr>
          <w:rFonts w:asciiTheme="minorHAnsi" w:hAnsiTheme="minorHAnsi" w:cstheme="minorHAnsi"/>
        </w:rPr>
        <w:t>:</w:t>
      </w:r>
    </w:p>
    <w:p w14:paraId="4EC86459" w14:textId="486F8950" w:rsidR="00CC571E" w:rsidRDefault="00CC571E" w:rsidP="00995B47">
      <w:pPr>
        <w:pStyle w:val="Odstavecseseznamem"/>
        <w:numPr>
          <w:ilvl w:val="0"/>
          <w:numId w:val="19"/>
        </w:numPr>
        <w:ind w:left="284" w:hanging="284"/>
        <w:contextualSpacing w:val="0"/>
        <w:jc w:val="both"/>
        <w:rPr>
          <w:rFonts w:asciiTheme="minorHAnsi" w:hAnsiTheme="minorHAnsi" w:cstheme="minorHAnsi"/>
        </w:rPr>
      </w:pPr>
      <w:r>
        <w:rPr>
          <w:rFonts w:asciiTheme="minorHAnsi" w:hAnsiTheme="minorHAnsi" w:cstheme="minorHAnsi"/>
        </w:rPr>
        <w:t xml:space="preserve">Ministerstvo vnitra </w:t>
      </w:r>
      <w:r w:rsidR="00FA78A3">
        <w:rPr>
          <w:rFonts w:asciiTheme="minorHAnsi" w:hAnsiTheme="minorHAnsi" w:cstheme="minorHAnsi"/>
        </w:rPr>
        <w:t xml:space="preserve">u jednoho projektu </w:t>
      </w:r>
      <w:r w:rsidRPr="00606638">
        <w:rPr>
          <w:rFonts w:asciiTheme="minorHAnsi" w:hAnsiTheme="minorHAnsi" w:cstheme="minorHAnsi"/>
        </w:rPr>
        <w:t>neprov</w:t>
      </w:r>
      <w:r w:rsidR="00FA78A3">
        <w:rPr>
          <w:rFonts w:asciiTheme="minorHAnsi" w:hAnsiTheme="minorHAnsi" w:cstheme="minorHAnsi"/>
        </w:rPr>
        <w:t>edlo</w:t>
      </w:r>
      <w:r w:rsidRPr="00606638">
        <w:rPr>
          <w:rFonts w:asciiTheme="minorHAnsi" w:hAnsiTheme="minorHAnsi" w:cstheme="minorHAnsi"/>
        </w:rPr>
        <w:t xml:space="preserve"> při kontrole </w:t>
      </w:r>
      <w:r w:rsidR="00995B47">
        <w:rPr>
          <w:rFonts w:asciiTheme="minorHAnsi" w:hAnsiTheme="minorHAnsi" w:cstheme="minorHAnsi"/>
          <w:i/>
        </w:rPr>
        <w:t>h</w:t>
      </w:r>
      <w:r w:rsidRPr="00606638">
        <w:rPr>
          <w:rFonts w:asciiTheme="minorHAnsi" w:hAnsiTheme="minorHAnsi" w:cstheme="minorHAnsi"/>
          <w:i/>
        </w:rPr>
        <w:t>lášení o udržitelnosti projektu</w:t>
      </w:r>
      <w:r w:rsidRPr="00606638">
        <w:rPr>
          <w:rFonts w:asciiTheme="minorHAnsi" w:hAnsiTheme="minorHAnsi" w:cstheme="minorHAnsi"/>
        </w:rPr>
        <w:t xml:space="preserve"> důsledný monitoring dodržování stanovených cílů a výsledků projektu, neboť po příjemci nepožad</w:t>
      </w:r>
      <w:r w:rsidR="00FA78A3">
        <w:rPr>
          <w:rFonts w:asciiTheme="minorHAnsi" w:hAnsiTheme="minorHAnsi" w:cstheme="minorHAnsi"/>
        </w:rPr>
        <w:t>ovalo</w:t>
      </w:r>
      <w:r w:rsidRPr="00606638">
        <w:rPr>
          <w:rFonts w:asciiTheme="minorHAnsi" w:hAnsiTheme="minorHAnsi" w:cstheme="minorHAnsi"/>
        </w:rPr>
        <w:t xml:space="preserve"> podrobné zdůvodnění a doložení deklarovaných dosažených hodnot monitorovacích indikátorů.</w:t>
      </w:r>
    </w:p>
    <w:p w14:paraId="78BE8238" w14:textId="11EFFBBF" w:rsidR="00CC571E" w:rsidRDefault="00CC571E" w:rsidP="00995B47">
      <w:pPr>
        <w:pStyle w:val="Odstavecseseznamem"/>
        <w:numPr>
          <w:ilvl w:val="0"/>
          <w:numId w:val="19"/>
        </w:numPr>
        <w:ind w:left="284" w:hanging="284"/>
        <w:contextualSpacing w:val="0"/>
        <w:jc w:val="both"/>
        <w:rPr>
          <w:rFonts w:asciiTheme="minorHAnsi" w:hAnsiTheme="minorHAnsi" w:cstheme="minorHAnsi"/>
        </w:rPr>
      </w:pPr>
      <w:r w:rsidRPr="00606638">
        <w:rPr>
          <w:rFonts w:asciiTheme="minorHAnsi" w:hAnsiTheme="minorHAnsi" w:cstheme="minorHAnsi"/>
        </w:rPr>
        <w:t xml:space="preserve">Ministerstvo vnitra </w:t>
      </w:r>
      <w:r w:rsidR="00FD629B">
        <w:rPr>
          <w:rFonts w:asciiTheme="minorHAnsi" w:hAnsiTheme="minorHAnsi" w:cstheme="minorHAnsi"/>
        </w:rPr>
        <w:t xml:space="preserve">na rozdíl od ostatních zprostředkujících subjektů IOP </w:t>
      </w:r>
      <w:r w:rsidRPr="00606638">
        <w:rPr>
          <w:rFonts w:asciiTheme="minorHAnsi" w:hAnsiTheme="minorHAnsi" w:cstheme="minorHAnsi"/>
        </w:rPr>
        <w:t>nestanovilo minimální velikost vzorku pro fyzické</w:t>
      </w:r>
      <w:r w:rsidR="001C3F28">
        <w:rPr>
          <w:rFonts w:asciiTheme="minorHAnsi" w:hAnsiTheme="minorHAnsi" w:cstheme="minorHAnsi"/>
        </w:rPr>
        <w:t xml:space="preserve"> ex-post kontroly. </w:t>
      </w:r>
      <w:r w:rsidR="00FD629B">
        <w:rPr>
          <w:rFonts w:asciiTheme="minorHAnsi" w:hAnsiTheme="minorHAnsi" w:cstheme="minorHAnsi"/>
        </w:rPr>
        <w:t xml:space="preserve">MV při plánování </w:t>
      </w:r>
      <w:r w:rsidR="00B253CB">
        <w:rPr>
          <w:rFonts w:asciiTheme="minorHAnsi" w:hAnsiTheme="minorHAnsi" w:cstheme="minorHAnsi"/>
        </w:rPr>
        <w:t xml:space="preserve">těchto kontrol vycházelo z nevhodně nastavené analýzy rizik, na základě které byl v letech </w:t>
      </w:r>
      <w:r w:rsidR="001C3F28">
        <w:rPr>
          <w:rFonts w:asciiTheme="minorHAnsi" w:hAnsiTheme="minorHAnsi" w:cstheme="minorHAnsi"/>
        </w:rPr>
        <w:t>2013–</w:t>
      </w:r>
      <w:r w:rsidRPr="00606638">
        <w:rPr>
          <w:rFonts w:asciiTheme="minorHAnsi" w:hAnsiTheme="minorHAnsi" w:cstheme="minorHAnsi"/>
        </w:rPr>
        <w:t xml:space="preserve">2015 </w:t>
      </w:r>
      <w:r w:rsidR="00B253CB">
        <w:rPr>
          <w:rFonts w:asciiTheme="minorHAnsi" w:hAnsiTheme="minorHAnsi" w:cstheme="minorHAnsi"/>
        </w:rPr>
        <w:t xml:space="preserve">označen za rizikový </w:t>
      </w:r>
      <w:r w:rsidRPr="00606638">
        <w:rPr>
          <w:rFonts w:asciiTheme="minorHAnsi" w:hAnsiTheme="minorHAnsi" w:cstheme="minorHAnsi"/>
        </w:rPr>
        <w:t xml:space="preserve">pouze jeden ukončený projekt. </w:t>
      </w:r>
      <w:r w:rsidR="00B253CB">
        <w:rPr>
          <w:rFonts w:asciiTheme="minorHAnsi" w:hAnsiTheme="minorHAnsi" w:cstheme="minorHAnsi"/>
        </w:rPr>
        <w:t xml:space="preserve">I přes uvedené nedostatky </w:t>
      </w:r>
      <w:r w:rsidR="004E38C6">
        <w:rPr>
          <w:rFonts w:asciiTheme="minorHAnsi" w:hAnsiTheme="minorHAnsi" w:cstheme="minorHAnsi"/>
        </w:rPr>
        <w:t>zkontrolovalo</w:t>
      </w:r>
      <w:r w:rsidR="00ED2E9A" w:rsidRPr="00ED2E9A">
        <w:rPr>
          <w:rFonts w:asciiTheme="minorHAnsi" w:hAnsiTheme="minorHAnsi" w:cstheme="minorHAnsi"/>
        </w:rPr>
        <w:t xml:space="preserve"> </w:t>
      </w:r>
      <w:r w:rsidR="00ED2E9A">
        <w:rPr>
          <w:rFonts w:asciiTheme="minorHAnsi" w:hAnsiTheme="minorHAnsi" w:cstheme="minorHAnsi"/>
        </w:rPr>
        <w:t>MV</w:t>
      </w:r>
      <w:r w:rsidR="004E38C6">
        <w:rPr>
          <w:rFonts w:asciiTheme="minorHAnsi" w:hAnsiTheme="minorHAnsi" w:cstheme="minorHAnsi"/>
        </w:rPr>
        <w:t xml:space="preserve"> </w:t>
      </w:r>
      <w:r w:rsidR="008624A4">
        <w:rPr>
          <w:rFonts w:asciiTheme="minorHAnsi" w:hAnsiTheme="minorHAnsi" w:cstheme="minorHAnsi"/>
        </w:rPr>
        <w:t xml:space="preserve">vedle tohoto </w:t>
      </w:r>
      <w:r w:rsidR="004E38C6">
        <w:rPr>
          <w:rFonts w:asciiTheme="minorHAnsi" w:hAnsiTheme="minorHAnsi" w:cstheme="minorHAnsi"/>
        </w:rPr>
        <w:t xml:space="preserve">rizikového </w:t>
      </w:r>
      <w:r w:rsidR="008624A4">
        <w:rPr>
          <w:rFonts w:asciiTheme="minorHAnsi" w:hAnsiTheme="minorHAnsi" w:cstheme="minorHAnsi"/>
        </w:rPr>
        <w:t xml:space="preserve">projektu </w:t>
      </w:r>
      <w:r w:rsidRPr="00606638">
        <w:rPr>
          <w:rFonts w:asciiTheme="minorHAnsi" w:hAnsiTheme="minorHAnsi" w:cstheme="minorHAnsi"/>
        </w:rPr>
        <w:t>i další projekty v době udržitelnosti</w:t>
      </w:r>
      <w:r w:rsidR="008624A4">
        <w:rPr>
          <w:rFonts w:asciiTheme="minorHAnsi" w:hAnsiTheme="minorHAnsi" w:cstheme="minorHAnsi"/>
        </w:rPr>
        <w:t>.</w:t>
      </w:r>
    </w:p>
    <w:p w14:paraId="3F96A105" w14:textId="77777777" w:rsidR="00CC571E" w:rsidRPr="00606638" w:rsidRDefault="00CC571E" w:rsidP="00824E07">
      <w:pPr>
        <w:pStyle w:val="Odstavecseseznamem"/>
        <w:numPr>
          <w:ilvl w:val="0"/>
          <w:numId w:val="19"/>
        </w:numPr>
        <w:spacing w:after="120"/>
        <w:ind w:left="284" w:hanging="284"/>
        <w:contextualSpacing w:val="0"/>
        <w:jc w:val="both"/>
        <w:rPr>
          <w:rFonts w:asciiTheme="minorHAnsi" w:hAnsiTheme="minorHAnsi" w:cstheme="minorHAnsi"/>
        </w:rPr>
      </w:pPr>
      <w:r>
        <w:rPr>
          <w:rFonts w:asciiTheme="minorHAnsi" w:hAnsiTheme="minorHAnsi" w:cstheme="minorHAnsi"/>
        </w:rPr>
        <w:lastRenderedPageBreak/>
        <w:t xml:space="preserve">CRR při kontrole na místě neodhalilo </w:t>
      </w:r>
      <w:r w:rsidR="005C315C">
        <w:rPr>
          <w:rFonts w:asciiTheme="minorHAnsi" w:hAnsiTheme="minorHAnsi" w:cstheme="minorHAnsi"/>
        </w:rPr>
        <w:t xml:space="preserve">u jednoho z projektů </w:t>
      </w:r>
      <w:r>
        <w:rPr>
          <w:rFonts w:asciiTheme="minorHAnsi" w:hAnsiTheme="minorHAnsi" w:cstheme="minorHAnsi"/>
        </w:rPr>
        <w:t xml:space="preserve">závažné pochybení příjemce podpory, který nedodržel účel projektu. Tuto skutečnost zjistila až kontrola NKÚ.  </w:t>
      </w:r>
    </w:p>
    <w:tbl>
      <w:tblPr>
        <w:tblStyle w:val="Mkatabulky"/>
        <w:tblW w:w="8221" w:type="dxa"/>
        <w:tblInd w:w="534"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shd w:val="clear" w:color="auto" w:fill="F5F5F5"/>
        <w:tblCellMar>
          <w:top w:w="57" w:type="dxa"/>
          <w:bottom w:w="57" w:type="dxa"/>
        </w:tblCellMar>
        <w:tblLook w:val="04A0" w:firstRow="1" w:lastRow="0" w:firstColumn="1" w:lastColumn="0" w:noHBand="0" w:noVBand="1"/>
      </w:tblPr>
      <w:tblGrid>
        <w:gridCol w:w="8221"/>
      </w:tblGrid>
      <w:tr w:rsidR="00865D2F" w14:paraId="7C922C86" w14:textId="77777777" w:rsidTr="00F85D80">
        <w:tc>
          <w:tcPr>
            <w:tcW w:w="8221" w:type="dxa"/>
            <w:shd w:val="clear" w:color="auto" w:fill="F5F5F5"/>
          </w:tcPr>
          <w:p w14:paraId="33AC0B30" w14:textId="77777777" w:rsidR="00865D2F" w:rsidRPr="00737FA6" w:rsidRDefault="00865D2F" w:rsidP="00FA6E4C">
            <w:pPr>
              <w:contextualSpacing/>
              <w:rPr>
                <w:rFonts w:asciiTheme="minorHAnsi" w:hAnsiTheme="minorHAnsi" w:cstheme="minorHAnsi"/>
                <w:b/>
                <w:sz w:val="20"/>
                <w:szCs w:val="20"/>
              </w:rPr>
            </w:pPr>
            <w:r>
              <w:rPr>
                <w:rFonts w:asciiTheme="minorHAnsi" w:hAnsiTheme="minorHAnsi" w:cstheme="minorHAnsi"/>
                <w:b/>
                <w:sz w:val="20"/>
                <w:szCs w:val="20"/>
              </w:rPr>
              <w:t>Monitoring projektů v době udržitelnosti</w:t>
            </w:r>
          </w:p>
          <w:p w14:paraId="6A360B06" w14:textId="77777777" w:rsidR="00865D2F" w:rsidRDefault="00865D2F" w:rsidP="00FA6E4C">
            <w:pPr>
              <w:contextualSpacing/>
              <w:rPr>
                <w:rFonts w:asciiTheme="minorHAnsi" w:hAnsiTheme="minorHAnsi" w:cstheme="minorHAnsi"/>
                <w:sz w:val="18"/>
                <w:szCs w:val="18"/>
              </w:rPr>
            </w:pPr>
          </w:p>
          <w:p w14:paraId="3651D62C" w14:textId="5E230967" w:rsidR="00865D2F" w:rsidRPr="00AE1F83" w:rsidRDefault="00865D2F" w:rsidP="00ED2E9A">
            <w:pPr>
              <w:contextualSpacing/>
              <w:jc w:val="both"/>
              <w:rPr>
                <w:rFonts w:asciiTheme="minorHAnsi" w:hAnsiTheme="minorHAnsi" w:cstheme="minorHAnsi"/>
                <w:sz w:val="20"/>
                <w:szCs w:val="20"/>
              </w:rPr>
            </w:pPr>
            <w:r w:rsidRPr="00616DCE">
              <w:rPr>
                <w:rFonts w:asciiTheme="minorHAnsi" w:hAnsiTheme="minorHAnsi" w:cstheme="minorHAnsi"/>
                <w:sz w:val="20"/>
                <w:szCs w:val="20"/>
              </w:rPr>
              <w:t>Sledování termín</w:t>
            </w:r>
            <w:r w:rsidR="00ED2E9A">
              <w:rPr>
                <w:rFonts w:asciiTheme="minorHAnsi" w:hAnsiTheme="minorHAnsi" w:cstheme="minorHAnsi"/>
                <w:sz w:val="20"/>
                <w:szCs w:val="20"/>
              </w:rPr>
              <w:t>ů</w:t>
            </w:r>
            <w:r w:rsidRPr="00616DCE">
              <w:rPr>
                <w:rFonts w:asciiTheme="minorHAnsi" w:hAnsiTheme="minorHAnsi" w:cstheme="minorHAnsi"/>
                <w:sz w:val="20"/>
                <w:szCs w:val="20"/>
              </w:rPr>
              <w:t xml:space="preserve"> </w:t>
            </w:r>
            <w:r w:rsidR="00ED2E9A">
              <w:rPr>
                <w:rFonts w:asciiTheme="minorHAnsi" w:hAnsiTheme="minorHAnsi" w:cstheme="minorHAnsi"/>
                <w:sz w:val="20"/>
                <w:szCs w:val="20"/>
              </w:rPr>
              <w:t>pro předkládání</w:t>
            </w:r>
            <w:r w:rsidRPr="00616DCE">
              <w:rPr>
                <w:rFonts w:asciiTheme="minorHAnsi" w:hAnsiTheme="minorHAnsi" w:cstheme="minorHAnsi"/>
                <w:sz w:val="20"/>
                <w:szCs w:val="20"/>
              </w:rPr>
              <w:t xml:space="preserve"> povinných zpráv, včetně </w:t>
            </w:r>
            <w:r w:rsidR="00995B47">
              <w:rPr>
                <w:rFonts w:asciiTheme="minorHAnsi" w:hAnsiTheme="minorHAnsi" w:cstheme="minorHAnsi"/>
                <w:i/>
                <w:sz w:val="20"/>
                <w:szCs w:val="20"/>
              </w:rPr>
              <w:t>h</w:t>
            </w:r>
            <w:r w:rsidRPr="00616DCE">
              <w:rPr>
                <w:rFonts w:asciiTheme="minorHAnsi" w:hAnsiTheme="minorHAnsi" w:cstheme="minorHAnsi"/>
                <w:i/>
                <w:sz w:val="20"/>
                <w:szCs w:val="20"/>
              </w:rPr>
              <w:t>lášení o udržitelnosti projektu</w:t>
            </w:r>
            <w:r w:rsidRPr="00616DCE">
              <w:rPr>
                <w:rFonts w:asciiTheme="minorHAnsi" w:hAnsiTheme="minorHAnsi" w:cstheme="minorHAnsi"/>
                <w:sz w:val="20"/>
                <w:szCs w:val="20"/>
              </w:rPr>
              <w:t xml:space="preserve">, </w:t>
            </w:r>
            <w:r w:rsidR="00762024" w:rsidRPr="00616DCE">
              <w:rPr>
                <w:rFonts w:asciiTheme="minorHAnsi" w:hAnsiTheme="minorHAnsi" w:cstheme="minorHAnsi"/>
                <w:sz w:val="20"/>
                <w:szCs w:val="20"/>
              </w:rPr>
              <w:t xml:space="preserve">není </w:t>
            </w:r>
            <w:r w:rsidRPr="00616DCE">
              <w:rPr>
                <w:rFonts w:asciiTheme="minorHAnsi" w:hAnsiTheme="minorHAnsi" w:cstheme="minorHAnsi"/>
                <w:sz w:val="20"/>
                <w:szCs w:val="20"/>
              </w:rPr>
              <w:t>v</w:t>
            </w:r>
            <w:r w:rsidR="007425F7">
              <w:rPr>
                <w:rFonts w:asciiTheme="minorHAnsi" w:hAnsiTheme="minorHAnsi" w:cstheme="minorHAnsi"/>
                <w:sz w:val="20"/>
                <w:szCs w:val="20"/>
              </w:rPr>
              <w:t xml:space="preserve"> monitorovacím </w:t>
            </w:r>
            <w:r w:rsidRPr="00616DCE">
              <w:rPr>
                <w:rFonts w:asciiTheme="minorHAnsi" w:hAnsiTheme="minorHAnsi" w:cstheme="minorHAnsi"/>
                <w:sz w:val="20"/>
                <w:szCs w:val="20"/>
              </w:rPr>
              <w:t>systému</w:t>
            </w:r>
            <w:r w:rsidR="007425F7">
              <w:rPr>
                <w:rFonts w:asciiTheme="minorHAnsi" w:hAnsiTheme="minorHAnsi" w:cstheme="minorHAnsi"/>
                <w:sz w:val="20"/>
                <w:szCs w:val="20"/>
              </w:rPr>
              <w:t xml:space="preserve"> strukturálních fondů</w:t>
            </w:r>
            <w:r w:rsidR="007C7112">
              <w:rPr>
                <w:rFonts w:asciiTheme="minorHAnsi" w:hAnsiTheme="minorHAnsi" w:cstheme="minorHAnsi"/>
                <w:sz w:val="20"/>
                <w:szCs w:val="20"/>
              </w:rPr>
              <w:t xml:space="preserve"> </w:t>
            </w:r>
            <w:r w:rsidRPr="00616DCE">
              <w:rPr>
                <w:rFonts w:asciiTheme="minorHAnsi" w:hAnsiTheme="minorHAnsi" w:cstheme="minorHAnsi"/>
                <w:sz w:val="20"/>
                <w:szCs w:val="20"/>
              </w:rPr>
              <w:t>zcela spolehlivé. Zprostředkující subjekty proto provádějí v</w:t>
            </w:r>
            <w:r>
              <w:rPr>
                <w:rFonts w:asciiTheme="minorHAnsi" w:hAnsiTheme="minorHAnsi" w:cstheme="minorHAnsi"/>
                <w:sz w:val="20"/>
                <w:szCs w:val="20"/>
              </w:rPr>
              <w:t>lastní sledování těchto termínů a Ministerstvo zdravotnictví dokonce vyčlenilo pracovníka speciálně na administraci monitorovacích zpráv o udržitelnosti projektů.</w:t>
            </w:r>
            <w:r w:rsidR="007425F7">
              <w:rPr>
                <w:rFonts w:asciiTheme="minorHAnsi" w:hAnsiTheme="minorHAnsi" w:cstheme="minorHAnsi"/>
                <w:sz w:val="20"/>
                <w:szCs w:val="20"/>
              </w:rPr>
              <w:t xml:space="preserve"> Garantem uvedeného informačního systému je MMR, které zodpovídá za jeho funkčnost a </w:t>
            </w:r>
            <w:r w:rsidR="00AC75AD">
              <w:rPr>
                <w:rFonts w:asciiTheme="minorHAnsi" w:hAnsiTheme="minorHAnsi" w:cstheme="minorHAnsi"/>
                <w:sz w:val="20"/>
                <w:szCs w:val="20"/>
              </w:rPr>
              <w:t>má</w:t>
            </w:r>
            <w:r w:rsidR="007425F7">
              <w:rPr>
                <w:rFonts w:asciiTheme="minorHAnsi" w:hAnsiTheme="minorHAnsi" w:cstheme="minorHAnsi"/>
                <w:sz w:val="20"/>
                <w:szCs w:val="20"/>
              </w:rPr>
              <w:t xml:space="preserve"> jej rozvíj</w:t>
            </w:r>
            <w:r w:rsidR="00AC75AD">
              <w:rPr>
                <w:rFonts w:asciiTheme="minorHAnsi" w:hAnsiTheme="minorHAnsi" w:cstheme="minorHAnsi"/>
                <w:sz w:val="20"/>
                <w:szCs w:val="20"/>
              </w:rPr>
              <w:t>et na základě připomínek uživatelů.</w:t>
            </w:r>
          </w:p>
        </w:tc>
      </w:tr>
    </w:tbl>
    <w:p w14:paraId="6B3DAD80" w14:textId="2A147534" w:rsidR="00606638" w:rsidRPr="00910373" w:rsidRDefault="00734458" w:rsidP="009B1E5B">
      <w:pPr>
        <w:pStyle w:val="KPnormln"/>
        <w:numPr>
          <w:ilvl w:val="0"/>
          <w:numId w:val="31"/>
        </w:numPr>
        <w:ind w:left="284" w:hanging="284"/>
        <w:rPr>
          <w:b/>
          <w:i/>
        </w:rPr>
      </w:pPr>
      <w:r w:rsidRPr="00910373">
        <w:rPr>
          <w:b/>
          <w:i/>
        </w:rPr>
        <w:t>MMR mělo začít ověřovat plnění úkolů zprostředkujících subjektů IOP, pokud jde o</w:t>
      </w:r>
      <w:r w:rsidR="00910373">
        <w:rPr>
          <w:b/>
          <w:i/>
        </w:rPr>
        <w:t> </w:t>
      </w:r>
      <w:r w:rsidRPr="00910373">
        <w:rPr>
          <w:b/>
          <w:i/>
        </w:rPr>
        <w:t>kontrolu projektů v době udržitelnosti, mnohem dříve a důkladněji.</w:t>
      </w:r>
    </w:p>
    <w:p w14:paraId="3835F98B" w14:textId="77777777" w:rsidR="00526DAE" w:rsidRPr="00734458" w:rsidRDefault="00E24FE0" w:rsidP="009B1E5B">
      <w:pPr>
        <w:pStyle w:val="KPnormln"/>
        <w:numPr>
          <w:ilvl w:val="0"/>
          <w:numId w:val="20"/>
        </w:numPr>
        <w:ind w:left="284" w:hanging="284"/>
      </w:pPr>
      <w:r w:rsidRPr="00734458">
        <w:t>MMR nezpracovalo předem písemné postupy</w:t>
      </w:r>
      <w:r w:rsidR="00526DAE">
        <w:t>, podle kterých by příslušní pracovníci mohli ověřovat, zda zprostředkující subjekty řádně kontrolují projekty v době udržitelnosti.</w:t>
      </w:r>
    </w:p>
    <w:p w14:paraId="09B30EA9" w14:textId="6DE11CA9" w:rsidR="00734458" w:rsidRPr="00734458" w:rsidRDefault="00E24FE0" w:rsidP="009B1E5B">
      <w:pPr>
        <w:pStyle w:val="Odstavecseseznamem"/>
        <w:numPr>
          <w:ilvl w:val="0"/>
          <w:numId w:val="20"/>
        </w:numPr>
        <w:tabs>
          <w:tab w:val="left" w:pos="851"/>
        </w:tabs>
        <w:spacing w:after="120"/>
        <w:ind w:left="284" w:hanging="284"/>
        <w:jc w:val="both"/>
        <w:rPr>
          <w:rFonts w:asciiTheme="minorHAnsi" w:hAnsiTheme="minorHAnsi" w:cstheme="minorHAnsi"/>
        </w:rPr>
      </w:pPr>
      <w:r w:rsidRPr="00734458">
        <w:rPr>
          <w:rFonts w:asciiTheme="minorHAnsi" w:hAnsiTheme="minorHAnsi" w:cstheme="minorHAnsi"/>
        </w:rPr>
        <w:t>Na konci roku 2011 byla v době udržitelnosti téměř polovina z dosud ukončených projektů IOP</w:t>
      </w:r>
      <w:r w:rsidRPr="004E38C6">
        <w:rPr>
          <w:rFonts w:asciiTheme="minorHAnsi" w:eastAsia="Batang" w:hAnsiTheme="minorHAnsi" w:cstheme="minorHAnsi"/>
          <w:color w:val="000000"/>
          <w:szCs w:val="22"/>
          <w:vertAlign w:val="superscript"/>
        </w:rPr>
        <w:footnoteReference w:id="7"/>
      </w:r>
      <w:r w:rsidRPr="00734458">
        <w:rPr>
          <w:rFonts w:asciiTheme="minorHAnsi" w:hAnsiTheme="minorHAnsi" w:cstheme="minorHAnsi"/>
        </w:rPr>
        <w:t xml:space="preserve">. Minimálně od roku 2012 tedy bylo pro řídicí orgán relevantní zaměřit se při kontrolách delegovaných činností i na otázku, zda </w:t>
      </w:r>
      <w:r w:rsidR="005C315C">
        <w:rPr>
          <w:rFonts w:asciiTheme="minorHAnsi" w:hAnsiTheme="minorHAnsi" w:cstheme="minorHAnsi"/>
        </w:rPr>
        <w:t>z</w:t>
      </w:r>
      <w:r w:rsidR="00246CC0">
        <w:rPr>
          <w:rFonts w:asciiTheme="minorHAnsi" w:hAnsiTheme="minorHAnsi" w:cstheme="minorHAnsi"/>
        </w:rPr>
        <w:t>prostředkující subjekty</w:t>
      </w:r>
      <w:r w:rsidRPr="00734458">
        <w:rPr>
          <w:rFonts w:asciiTheme="minorHAnsi" w:hAnsiTheme="minorHAnsi" w:cstheme="minorHAnsi"/>
        </w:rPr>
        <w:t xml:space="preserve"> odpovídajícím způsobem plánují a provádějí kontroly projektů z hlediska udržitelnosti.</w:t>
      </w:r>
      <w:r w:rsidR="00D763C0" w:rsidRPr="00734458">
        <w:rPr>
          <w:rFonts w:asciiTheme="minorHAnsi" w:hAnsiTheme="minorHAnsi" w:cstheme="minorHAnsi"/>
        </w:rPr>
        <w:t xml:space="preserve"> </w:t>
      </w:r>
      <w:r w:rsidRPr="00734458">
        <w:rPr>
          <w:rFonts w:asciiTheme="minorHAnsi" w:hAnsiTheme="minorHAnsi" w:cstheme="minorHAnsi"/>
        </w:rPr>
        <w:t xml:space="preserve">MMR </w:t>
      </w:r>
      <w:r w:rsidR="00D763C0" w:rsidRPr="00734458">
        <w:rPr>
          <w:rFonts w:asciiTheme="minorHAnsi" w:hAnsiTheme="minorHAnsi" w:cstheme="minorHAnsi"/>
        </w:rPr>
        <w:t xml:space="preserve">však </w:t>
      </w:r>
      <w:r w:rsidRPr="00734458">
        <w:rPr>
          <w:rFonts w:asciiTheme="minorHAnsi" w:hAnsiTheme="minorHAnsi" w:cstheme="minorHAnsi"/>
        </w:rPr>
        <w:t xml:space="preserve">provedlo první </w:t>
      </w:r>
      <w:r w:rsidR="00D763C0" w:rsidRPr="00734458">
        <w:rPr>
          <w:rFonts w:asciiTheme="minorHAnsi" w:hAnsiTheme="minorHAnsi" w:cstheme="minorHAnsi"/>
        </w:rPr>
        <w:t xml:space="preserve">takovou </w:t>
      </w:r>
      <w:r w:rsidRPr="00734458">
        <w:rPr>
          <w:rFonts w:asciiTheme="minorHAnsi" w:hAnsiTheme="minorHAnsi" w:cstheme="minorHAnsi"/>
        </w:rPr>
        <w:t>kontrolu až v prosinci 2013, a to pouze u Ministerstva vnitra. V </w:t>
      </w:r>
      <w:r w:rsidR="00B84475">
        <w:rPr>
          <w:rFonts w:asciiTheme="minorHAnsi" w:hAnsiTheme="minorHAnsi" w:cstheme="minorHAnsi"/>
        </w:rPr>
        <w:t>r</w:t>
      </w:r>
      <w:r w:rsidRPr="00734458">
        <w:rPr>
          <w:rFonts w:asciiTheme="minorHAnsi" w:hAnsiTheme="minorHAnsi" w:cstheme="minorHAnsi"/>
        </w:rPr>
        <w:t xml:space="preserve">oce 2014 pak provedlo obdobnou kontrolu u </w:t>
      </w:r>
      <w:proofErr w:type="spellStart"/>
      <w:r w:rsidRPr="00734458">
        <w:rPr>
          <w:rFonts w:asciiTheme="minorHAnsi" w:hAnsiTheme="minorHAnsi" w:cstheme="minorHAnsi"/>
        </w:rPr>
        <w:t>MZd</w:t>
      </w:r>
      <w:proofErr w:type="spellEnd"/>
      <w:r w:rsidRPr="00734458">
        <w:rPr>
          <w:rFonts w:asciiTheme="minorHAnsi" w:hAnsiTheme="minorHAnsi" w:cstheme="minorHAnsi"/>
        </w:rPr>
        <w:t xml:space="preserve"> a MPSV. Ve vš</w:t>
      </w:r>
      <w:r w:rsidR="007D0331">
        <w:rPr>
          <w:rFonts w:asciiTheme="minorHAnsi" w:hAnsiTheme="minorHAnsi" w:cstheme="minorHAnsi"/>
        </w:rPr>
        <w:t>ech případech se však jednalo o </w:t>
      </w:r>
      <w:r w:rsidRPr="00734458">
        <w:rPr>
          <w:rFonts w:asciiTheme="minorHAnsi" w:hAnsiTheme="minorHAnsi" w:cstheme="minorHAnsi"/>
        </w:rPr>
        <w:t xml:space="preserve">administrativní, zjednodušenou formu kontroly. Rozsáhlejší veřejnosprávní kontrolu, při které by MMR </w:t>
      </w:r>
      <w:r w:rsidR="00281B2A">
        <w:rPr>
          <w:rFonts w:asciiTheme="minorHAnsi" w:hAnsiTheme="minorHAnsi" w:cstheme="minorHAnsi"/>
        </w:rPr>
        <w:t>pr</w:t>
      </w:r>
      <w:r w:rsidRPr="00734458">
        <w:rPr>
          <w:rFonts w:asciiTheme="minorHAnsi" w:hAnsiTheme="minorHAnsi" w:cstheme="minorHAnsi"/>
        </w:rPr>
        <w:t xml:space="preserve">ověřilo i vzorek projektů, naplánoval </w:t>
      </w:r>
      <w:r w:rsidR="00246CC0">
        <w:rPr>
          <w:rFonts w:asciiTheme="minorHAnsi" w:hAnsiTheme="minorHAnsi" w:cstheme="minorHAnsi"/>
        </w:rPr>
        <w:t>říd</w:t>
      </w:r>
      <w:r w:rsidR="00281B2A">
        <w:rPr>
          <w:rFonts w:asciiTheme="minorHAnsi" w:hAnsiTheme="minorHAnsi" w:cstheme="minorHAnsi"/>
        </w:rPr>
        <w:t>i</w:t>
      </w:r>
      <w:r w:rsidR="00246CC0">
        <w:rPr>
          <w:rFonts w:asciiTheme="minorHAnsi" w:hAnsiTheme="minorHAnsi" w:cstheme="minorHAnsi"/>
        </w:rPr>
        <w:t>cí orgán</w:t>
      </w:r>
      <w:r w:rsidRPr="00734458">
        <w:rPr>
          <w:rFonts w:asciiTheme="minorHAnsi" w:hAnsiTheme="minorHAnsi" w:cstheme="minorHAnsi"/>
        </w:rPr>
        <w:t xml:space="preserve"> u všech zprostředkujících subjektů až na rok 2015. Žádná z těchto kontrol nebyla v době kontroly NKÚ ukončena.</w:t>
      </w:r>
    </w:p>
    <w:p w14:paraId="35460F9C" w14:textId="77777777" w:rsidR="00E24FE0" w:rsidRPr="00734458" w:rsidRDefault="00E24FE0" w:rsidP="009B1E5B">
      <w:pPr>
        <w:pStyle w:val="KPnormln"/>
        <w:numPr>
          <w:ilvl w:val="0"/>
          <w:numId w:val="21"/>
        </w:numPr>
        <w:spacing w:before="0"/>
        <w:ind w:left="284" w:hanging="284"/>
      </w:pPr>
      <w:r w:rsidRPr="00734458">
        <w:t>Naprostá většina (přibližně 95 %) ukončených projektů spadá do oblastí intervence v působnosti CRR. Přesto MMR u CRR zahájilo veřejnosprávní kontrolu delegovaných činností zaměřenou na ověření výkonu kontrol udržitelnosti projektů až v roce 2015.</w:t>
      </w:r>
    </w:p>
    <w:p w14:paraId="5BD19F93" w14:textId="701583C1" w:rsidR="00282173" w:rsidRDefault="00BD3F0A" w:rsidP="009B1E5B">
      <w:pPr>
        <w:pStyle w:val="Odstavecseseznamem"/>
        <w:numPr>
          <w:ilvl w:val="0"/>
          <w:numId w:val="21"/>
        </w:numPr>
        <w:tabs>
          <w:tab w:val="left" w:pos="851"/>
        </w:tabs>
        <w:ind w:left="284" w:hanging="284"/>
        <w:jc w:val="both"/>
        <w:rPr>
          <w:rFonts w:asciiTheme="minorHAnsi" w:hAnsiTheme="minorHAnsi" w:cstheme="minorHAnsi"/>
        </w:rPr>
      </w:pPr>
      <w:r>
        <w:rPr>
          <w:rFonts w:asciiTheme="minorHAnsi" w:hAnsiTheme="minorHAnsi" w:cstheme="minorHAnsi"/>
        </w:rPr>
        <w:t xml:space="preserve">MMR </w:t>
      </w:r>
      <w:r w:rsidR="00282173">
        <w:rPr>
          <w:rFonts w:asciiTheme="minorHAnsi" w:hAnsiTheme="minorHAnsi" w:cstheme="minorHAnsi"/>
        </w:rPr>
        <w:t>při administrativní kontrole zjistilo</w:t>
      </w:r>
      <w:r w:rsidR="00281B2A">
        <w:rPr>
          <w:rFonts w:asciiTheme="minorHAnsi" w:hAnsiTheme="minorHAnsi" w:cstheme="minorHAnsi"/>
        </w:rPr>
        <w:t xml:space="preserve"> u MV</w:t>
      </w:r>
      <w:r w:rsidR="00282173">
        <w:rPr>
          <w:rFonts w:asciiTheme="minorHAnsi" w:hAnsiTheme="minorHAnsi" w:cstheme="minorHAnsi"/>
        </w:rPr>
        <w:t xml:space="preserve"> nedostatky v provádění kontrol projektů v době udržitelnosti, </w:t>
      </w:r>
      <w:r w:rsidR="00226047">
        <w:rPr>
          <w:rFonts w:asciiTheme="minorHAnsi" w:hAnsiTheme="minorHAnsi" w:cstheme="minorHAnsi"/>
        </w:rPr>
        <w:t>ale žádné odpovídající nápravné opatření k tomuto zjištění zprostředkujícímu subjektu neuložilo.</w:t>
      </w:r>
    </w:p>
    <w:p w14:paraId="13E3A452" w14:textId="77777777" w:rsidR="00327154" w:rsidRPr="00734458" w:rsidRDefault="00327154" w:rsidP="009B1E5B">
      <w:pPr>
        <w:pStyle w:val="Odstavecseseznamem"/>
        <w:ind w:left="0"/>
        <w:jc w:val="both"/>
        <w:rPr>
          <w:rFonts w:asciiTheme="minorHAnsi" w:hAnsiTheme="minorHAnsi" w:cstheme="minorHAnsi"/>
        </w:rPr>
      </w:pPr>
    </w:p>
    <w:p w14:paraId="1F239011" w14:textId="046C6B31" w:rsidR="00E24FE0" w:rsidRPr="00734458" w:rsidRDefault="007C55A5" w:rsidP="00327154">
      <w:pPr>
        <w:tabs>
          <w:tab w:val="left" w:pos="567"/>
        </w:tabs>
        <w:spacing w:after="120"/>
        <w:jc w:val="both"/>
        <w:rPr>
          <w:rFonts w:asciiTheme="minorHAnsi" w:hAnsiTheme="minorHAnsi" w:cstheme="minorHAnsi"/>
          <w:b/>
        </w:rPr>
      </w:pPr>
      <w:r>
        <w:rPr>
          <w:rFonts w:asciiTheme="minorHAnsi" w:hAnsiTheme="minorHAnsi" w:cstheme="minorHAnsi"/>
          <w:b/>
        </w:rPr>
        <w:t xml:space="preserve">1.3 </w:t>
      </w:r>
      <w:r w:rsidR="005A76DA">
        <w:rPr>
          <w:rFonts w:asciiTheme="minorHAnsi" w:hAnsiTheme="minorHAnsi" w:cstheme="minorHAnsi"/>
          <w:b/>
        </w:rPr>
        <w:t>Příjemci podpory</w:t>
      </w:r>
    </w:p>
    <w:p w14:paraId="325AB172" w14:textId="6E4FB27D" w:rsidR="00E24FE0" w:rsidRPr="00E24FE0" w:rsidRDefault="00281B2A" w:rsidP="00F94683">
      <w:pPr>
        <w:tabs>
          <w:tab w:val="left" w:pos="567"/>
        </w:tabs>
        <w:spacing w:after="120"/>
        <w:contextualSpacing/>
        <w:jc w:val="both"/>
        <w:rPr>
          <w:rFonts w:asciiTheme="minorHAnsi" w:hAnsiTheme="minorHAnsi" w:cstheme="minorHAnsi"/>
        </w:rPr>
      </w:pPr>
      <w:r w:rsidRPr="00E24FE0">
        <w:rPr>
          <w:rFonts w:asciiTheme="minorHAnsi" w:hAnsiTheme="minorHAnsi" w:cstheme="minorHAnsi"/>
        </w:rPr>
        <w:t xml:space="preserve">NKÚ ověřil </w:t>
      </w:r>
      <w:r>
        <w:rPr>
          <w:rFonts w:asciiTheme="minorHAnsi" w:hAnsiTheme="minorHAnsi" w:cstheme="minorHAnsi"/>
        </w:rPr>
        <w:t>n</w:t>
      </w:r>
      <w:r w:rsidR="00E24FE0" w:rsidRPr="00E24FE0">
        <w:rPr>
          <w:rFonts w:asciiTheme="minorHAnsi" w:hAnsiTheme="minorHAnsi" w:cstheme="minorHAnsi"/>
        </w:rPr>
        <w:t>a vzorku 3</w:t>
      </w:r>
      <w:r w:rsidR="00246CC0">
        <w:rPr>
          <w:rFonts w:asciiTheme="minorHAnsi" w:hAnsiTheme="minorHAnsi" w:cstheme="minorHAnsi"/>
        </w:rPr>
        <w:t>4</w:t>
      </w:r>
      <w:r w:rsidR="00E24FE0" w:rsidRPr="00E24FE0">
        <w:rPr>
          <w:rFonts w:asciiTheme="minorHAnsi" w:hAnsiTheme="minorHAnsi" w:cstheme="minorHAnsi"/>
        </w:rPr>
        <w:t xml:space="preserve"> projektů, zda jsou </w:t>
      </w:r>
      <w:r>
        <w:rPr>
          <w:rFonts w:asciiTheme="minorHAnsi" w:hAnsiTheme="minorHAnsi" w:cstheme="minorHAnsi"/>
        </w:rPr>
        <w:t>zachovány a využívány výstupy a </w:t>
      </w:r>
      <w:r w:rsidR="00E24FE0" w:rsidRPr="00E24FE0">
        <w:rPr>
          <w:rFonts w:asciiTheme="minorHAnsi" w:hAnsiTheme="minorHAnsi" w:cstheme="minorHAnsi"/>
        </w:rPr>
        <w:t>výsledky projekt</w:t>
      </w:r>
      <w:r>
        <w:rPr>
          <w:rFonts w:asciiTheme="minorHAnsi" w:hAnsiTheme="minorHAnsi" w:cstheme="minorHAnsi"/>
        </w:rPr>
        <w:t>ů</w:t>
      </w:r>
      <w:r w:rsidR="00E24FE0" w:rsidRPr="00E24FE0">
        <w:rPr>
          <w:rFonts w:asciiTheme="minorHAnsi" w:hAnsiTheme="minorHAnsi" w:cstheme="minorHAnsi"/>
        </w:rPr>
        <w:t xml:space="preserve"> v souladu s poskytnut</w:t>
      </w:r>
      <w:r>
        <w:rPr>
          <w:rFonts w:asciiTheme="minorHAnsi" w:hAnsiTheme="minorHAnsi" w:cstheme="minorHAnsi"/>
        </w:rPr>
        <w:t>ými</w:t>
      </w:r>
      <w:r w:rsidR="00E24FE0" w:rsidRPr="00E24FE0">
        <w:rPr>
          <w:rFonts w:asciiTheme="minorHAnsi" w:hAnsiTheme="minorHAnsi" w:cstheme="minorHAnsi"/>
        </w:rPr>
        <w:t xml:space="preserve"> dotac</w:t>
      </w:r>
      <w:r>
        <w:rPr>
          <w:rFonts w:asciiTheme="minorHAnsi" w:hAnsiTheme="minorHAnsi" w:cstheme="minorHAnsi"/>
        </w:rPr>
        <w:t>emi</w:t>
      </w:r>
      <w:r w:rsidR="00E24FE0" w:rsidRPr="00E24FE0">
        <w:rPr>
          <w:rFonts w:asciiTheme="minorHAnsi" w:hAnsiTheme="minorHAnsi" w:cstheme="minorHAnsi"/>
        </w:rPr>
        <w:t xml:space="preserve"> a zda příjemci dodržují veškeré podmínky v době udržitelnosti.</w:t>
      </w:r>
    </w:p>
    <w:p w14:paraId="5C563103" w14:textId="77777777" w:rsidR="00C75FD6" w:rsidRPr="00327154" w:rsidRDefault="00C75FD6" w:rsidP="001A219D">
      <w:pPr>
        <w:pStyle w:val="Odstavecseseznamem"/>
        <w:numPr>
          <w:ilvl w:val="0"/>
          <w:numId w:val="22"/>
        </w:numPr>
        <w:tabs>
          <w:tab w:val="left" w:pos="0"/>
        </w:tabs>
        <w:spacing w:after="120"/>
        <w:ind w:left="425" w:hanging="425"/>
        <w:jc w:val="both"/>
        <w:rPr>
          <w:rFonts w:asciiTheme="minorHAnsi" w:hAnsiTheme="minorHAnsi" w:cstheme="minorHAnsi"/>
          <w:b/>
          <w:i/>
        </w:rPr>
      </w:pPr>
      <w:r w:rsidRPr="00327154">
        <w:rPr>
          <w:rFonts w:asciiTheme="minorHAnsi" w:hAnsiTheme="minorHAnsi" w:cstheme="minorHAnsi"/>
          <w:b/>
          <w:i/>
        </w:rPr>
        <w:t>Nedodržení účelu projektu v době udržitelnosti</w:t>
      </w:r>
    </w:p>
    <w:p w14:paraId="71A32EAE" w14:textId="1FE930B2" w:rsidR="00E24FE0" w:rsidRPr="00E24FE0" w:rsidRDefault="00E24FE0" w:rsidP="00097DB5">
      <w:pPr>
        <w:tabs>
          <w:tab w:val="left" w:pos="567"/>
        </w:tabs>
        <w:spacing w:after="120"/>
        <w:contextualSpacing/>
        <w:jc w:val="both"/>
        <w:rPr>
          <w:rFonts w:asciiTheme="minorHAnsi" w:hAnsiTheme="minorHAnsi" w:cstheme="minorHAnsi"/>
        </w:rPr>
      </w:pPr>
      <w:r w:rsidRPr="00E24FE0">
        <w:rPr>
          <w:rFonts w:asciiTheme="minorHAnsi" w:hAnsiTheme="minorHAnsi" w:cstheme="minorHAnsi"/>
        </w:rPr>
        <w:t>Cílem jednoho z projektů bylo modernizovat stávající sportoviš</w:t>
      </w:r>
      <w:r w:rsidR="001A219D">
        <w:rPr>
          <w:rFonts w:asciiTheme="minorHAnsi" w:hAnsiTheme="minorHAnsi" w:cstheme="minorHAnsi"/>
        </w:rPr>
        <w:t>tě za účelem zlepšení kvality a </w:t>
      </w:r>
      <w:r w:rsidRPr="00E24FE0">
        <w:rPr>
          <w:rFonts w:asciiTheme="minorHAnsi" w:hAnsiTheme="minorHAnsi" w:cstheme="minorHAnsi"/>
        </w:rPr>
        <w:t>úrovně sportovního vyžití v lokalitě sídliště. V rámci dané intervence bylo možné vybudovat či modernizovat nekomerční volně přístupné plochy</w:t>
      </w:r>
      <w:r w:rsidR="001A219D">
        <w:rPr>
          <w:rFonts w:asciiTheme="minorHAnsi" w:hAnsiTheme="minorHAnsi" w:cstheme="minorHAnsi"/>
        </w:rPr>
        <w:t xml:space="preserve"> pro veřejné rekreační a </w:t>
      </w:r>
      <w:r w:rsidRPr="00E24FE0">
        <w:rPr>
          <w:rFonts w:asciiTheme="minorHAnsi" w:hAnsiTheme="minorHAnsi" w:cstheme="minorHAnsi"/>
        </w:rPr>
        <w:t xml:space="preserve">sportovní vyžití. Podpora byla poskytnuta pouze na volnočasové zařízení, které mělo sloužit veřejnosti. NKÚ zjistil, že víceúčelové hřiště zrekonstruované pro službu veřejnosti na veřejném prostranství </w:t>
      </w:r>
      <w:r w:rsidRPr="00E24FE0">
        <w:rPr>
          <w:rFonts w:asciiTheme="minorHAnsi" w:hAnsiTheme="minorHAnsi" w:cstheme="minorHAnsi"/>
        </w:rPr>
        <w:lastRenderedPageBreak/>
        <w:t xml:space="preserve">je užíváno zejména partnerem projektu a organizovanými skupinami, zatímco </w:t>
      </w:r>
      <w:r w:rsidR="00281B2A">
        <w:rPr>
          <w:rFonts w:asciiTheme="minorHAnsi" w:hAnsiTheme="minorHAnsi" w:cstheme="minorHAnsi"/>
        </w:rPr>
        <w:t xml:space="preserve">pro </w:t>
      </w:r>
      <w:r w:rsidRPr="00E24FE0">
        <w:rPr>
          <w:rFonts w:asciiTheme="minorHAnsi" w:hAnsiTheme="minorHAnsi" w:cstheme="minorHAnsi"/>
        </w:rPr>
        <w:t xml:space="preserve">veřejnost je přístup omezen. Příjemce podpory nezajistil, aby bylo víceúčelové hřiště vybudované z peněžních prostředků IOP přístupné veřejnosti bez omezení, a nesplnil </w:t>
      </w:r>
      <w:r w:rsidR="00281B2A">
        <w:rPr>
          <w:rFonts w:asciiTheme="minorHAnsi" w:hAnsiTheme="minorHAnsi" w:cstheme="minorHAnsi"/>
        </w:rPr>
        <w:t>tedy</w:t>
      </w:r>
      <w:r w:rsidRPr="00E24FE0">
        <w:rPr>
          <w:rFonts w:asciiTheme="minorHAnsi" w:hAnsiTheme="minorHAnsi" w:cstheme="minorHAnsi"/>
        </w:rPr>
        <w:t xml:space="preserve"> účel, na který mu byla dotace poskytnuta.</w:t>
      </w:r>
    </w:p>
    <w:p w14:paraId="1C42CD50" w14:textId="77777777" w:rsidR="00C75FD6" w:rsidRPr="00327154" w:rsidRDefault="00C75FD6" w:rsidP="001A219D">
      <w:pPr>
        <w:pStyle w:val="Odstavecseseznamem"/>
        <w:numPr>
          <w:ilvl w:val="0"/>
          <w:numId w:val="22"/>
        </w:numPr>
        <w:spacing w:after="120"/>
        <w:ind w:left="425" w:hanging="425"/>
        <w:rPr>
          <w:rFonts w:asciiTheme="minorHAnsi" w:hAnsiTheme="minorHAnsi" w:cstheme="minorHAnsi"/>
          <w:b/>
          <w:i/>
        </w:rPr>
      </w:pPr>
      <w:r w:rsidRPr="00327154">
        <w:rPr>
          <w:rFonts w:asciiTheme="minorHAnsi" w:hAnsiTheme="minorHAnsi" w:cstheme="minorHAnsi"/>
          <w:b/>
          <w:i/>
        </w:rPr>
        <w:t xml:space="preserve">Nedostatky </w:t>
      </w:r>
      <w:r w:rsidR="00E67F8E" w:rsidRPr="00327154">
        <w:rPr>
          <w:rFonts w:asciiTheme="minorHAnsi" w:hAnsiTheme="minorHAnsi" w:cstheme="minorHAnsi"/>
          <w:b/>
          <w:i/>
        </w:rPr>
        <w:t>ve využití výsledků projektu v době udržitelnosti</w:t>
      </w:r>
    </w:p>
    <w:p w14:paraId="49CB3288" w14:textId="5BC9F156" w:rsidR="00E24FE0" w:rsidRPr="00E24FE0" w:rsidRDefault="00E24FE0" w:rsidP="00C75FD6">
      <w:pPr>
        <w:tabs>
          <w:tab w:val="left" w:pos="567"/>
        </w:tabs>
        <w:contextualSpacing/>
        <w:jc w:val="both"/>
        <w:rPr>
          <w:rFonts w:asciiTheme="minorHAnsi" w:hAnsiTheme="minorHAnsi" w:cstheme="minorHAnsi"/>
        </w:rPr>
      </w:pPr>
      <w:r w:rsidRPr="00E24FE0">
        <w:rPr>
          <w:rFonts w:asciiTheme="minorHAnsi" w:hAnsiTheme="minorHAnsi" w:cstheme="minorHAnsi"/>
        </w:rPr>
        <w:t xml:space="preserve">MMR použilo peněžní prostředky z oblasti intervence 5.1 </w:t>
      </w:r>
      <w:r w:rsidRPr="00962559">
        <w:rPr>
          <w:rFonts w:asciiTheme="minorHAnsi" w:hAnsiTheme="minorHAnsi" w:cstheme="minorHAnsi"/>
          <w:i/>
        </w:rPr>
        <w:t>N</w:t>
      </w:r>
      <w:r w:rsidRPr="00E24FE0">
        <w:rPr>
          <w:rFonts w:asciiTheme="minorHAnsi" w:hAnsiTheme="minorHAnsi" w:cstheme="minorHAnsi"/>
        </w:rPr>
        <w:t>á</w:t>
      </w:r>
      <w:r w:rsidRPr="00E24FE0">
        <w:rPr>
          <w:rFonts w:asciiTheme="minorHAnsi" w:hAnsiTheme="minorHAnsi" w:cstheme="minorHAnsi"/>
          <w:i/>
        </w:rPr>
        <w:t xml:space="preserve">rodní podpora cestovního ruchu </w:t>
      </w:r>
      <w:r w:rsidRPr="00E24FE0">
        <w:rPr>
          <w:rFonts w:asciiTheme="minorHAnsi" w:hAnsiTheme="minorHAnsi" w:cstheme="minorHAnsi"/>
        </w:rPr>
        <w:t>na projekty, jejichž předmětem bylo provedení dvou statistických průzkumů zaměřených jednak na sektor kongresové a incentivní</w:t>
      </w:r>
      <w:r w:rsidR="0045362B">
        <w:rPr>
          <w:rStyle w:val="Znakapoznpodarou"/>
          <w:rFonts w:asciiTheme="minorHAnsi" w:hAnsiTheme="minorHAnsi" w:cstheme="minorHAnsi"/>
        </w:rPr>
        <w:footnoteReference w:id="8"/>
      </w:r>
      <w:r w:rsidRPr="00E24FE0">
        <w:rPr>
          <w:rFonts w:asciiTheme="minorHAnsi" w:hAnsiTheme="minorHAnsi" w:cstheme="minorHAnsi"/>
        </w:rPr>
        <w:t xml:space="preserve"> turistiky v ČR a jednak na oblast stravovacích zařízení na území ČR. Součástí těchto projektů bylo vytvoření dvou databází, </w:t>
      </w:r>
      <w:r w:rsidR="006D08C4">
        <w:rPr>
          <w:rFonts w:asciiTheme="minorHAnsi" w:hAnsiTheme="minorHAnsi" w:cstheme="minorHAnsi"/>
        </w:rPr>
        <w:t xml:space="preserve">jejichž </w:t>
      </w:r>
      <w:r w:rsidRPr="00E24FE0">
        <w:rPr>
          <w:rFonts w:asciiTheme="minorHAnsi" w:hAnsiTheme="minorHAnsi" w:cstheme="minorHAnsi"/>
        </w:rPr>
        <w:t xml:space="preserve">prostřednictvím měla mít k získaným statistickým datům přístup široká veřejnost. </w:t>
      </w:r>
      <w:r w:rsidR="00B8731C">
        <w:rPr>
          <w:rFonts w:asciiTheme="minorHAnsi" w:hAnsiTheme="minorHAnsi" w:cstheme="minorHAnsi"/>
        </w:rPr>
        <w:t>NKÚ má pochybnosti o účelnosti výdajů na tyto projekty</w:t>
      </w:r>
      <w:r w:rsidRPr="00E24FE0">
        <w:rPr>
          <w:rFonts w:asciiTheme="minorHAnsi" w:hAnsiTheme="minorHAnsi" w:cstheme="minorHAnsi"/>
        </w:rPr>
        <w:t xml:space="preserve">, </w:t>
      </w:r>
      <w:r w:rsidR="00281B2A">
        <w:rPr>
          <w:rFonts w:asciiTheme="minorHAnsi" w:hAnsiTheme="minorHAnsi" w:cstheme="minorHAnsi"/>
        </w:rPr>
        <w:t>a to z následujících důvodů</w:t>
      </w:r>
      <w:r w:rsidRPr="00E24FE0">
        <w:rPr>
          <w:rFonts w:asciiTheme="minorHAnsi" w:hAnsiTheme="minorHAnsi" w:cstheme="minorHAnsi"/>
        </w:rPr>
        <w:t>:</w:t>
      </w:r>
    </w:p>
    <w:p w14:paraId="135E554A" w14:textId="77777777" w:rsidR="00E24FE0" w:rsidRPr="00001A06" w:rsidRDefault="00E24FE0" w:rsidP="002F0CFD">
      <w:pPr>
        <w:pStyle w:val="Odstavecseseznamem"/>
        <w:numPr>
          <w:ilvl w:val="0"/>
          <w:numId w:val="34"/>
        </w:numPr>
        <w:ind w:left="284" w:hanging="284"/>
        <w:jc w:val="both"/>
        <w:rPr>
          <w:rFonts w:asciiTheme="minorHAnsi" w:hAnsiTheme="minorHAnsi" w:cstheme="minorHAnsi"/>
        </w:rPr>
      </w:pPr>
      <w:r w:rsidRPr="00001A06">
        <w:rPr>
          <w:rFonts w:asciiTheme="minorHAnsi" w:hAnsiTheme="minorHAnsi" w:cstheme="minorHAnsi"/>
        </w:rPr>
        <w:t>Jedna z</w:t>
      </w:r>
      <w:r w:rsidR="00001A06">
        <w:rPr>
          <w:rFonts w:asciiTheme="minorHAnsi" w:hAnsiTheme="minorHAnsi" w:cstheme="minorHAnsi"/>
        </w:rPr>
        <w:t> </w:t>
      </w:r>
      <w:r w:rsidRPr="00001A06">
        <w:rPr>
          <w:rFonts w:asciiTheme="minorHAnsi" w:hAnsiTheme="minorHAnsi" w:cstheme="minorHAnsi"/>
        </w:rPr>
        <w:t xml:space="preserve">uvedených databází </w:t>
      </w:r>
      <w:r w:rsidR="00E67F8E" w:rsidRPr="00001A06">
        <w:rPr>
          <w:rFonts w:asciiTheme="minorHAnsi" w:hAnsiTheme="minorHAnsi" w:cstheme="minorHAnsi"/>
        </w:rPr>
        <w:t>nebyla v</w:t>
      </w:r>
      <w:r w:rsidR="00001A06">
        <w:rPr>
          <w:rFonts w:asciiTheme="minorHAnsi" w:hAnsiTheme="minorHAnsi" w:cstheme="minorHAnsi"/>
        </w:rPr>
        <w:t> </w:t>
      </w:r>
      <w:r w:rsidR="00E67F8E" w:rsidRPr="00001A06">
        <w:rPr>
          <w:rFonts w:asciiTheme="minorHAnsi" w:hAnsiTheme="minorHAnsi" w:cstheme="minorHAnsi"/>
        </w:rPr>
        <w:t>době kont</w:t>
      </w:r>
      <w:r w:rsidR="00374B0C">
        <w:rPr>
          <w:rFonts w:asciiTheme="minorHAnsi" w:hAnsiTheme="minorHAnsi" w:cstheme="minorHAnsi"/>
        </w:rPr>
        <w:t>roly zveřejněna na internetu, a </w:t>
      </w:r>
      <w:r w:rsidR="00E67F8E" w:rsidRPr="00001A06">
        <w:rPr>
          <w:rFonts w:asciiTheme="minorHAnsi" w:hAnsiTheme="minorHAnsi" w:cstheme="minorHAnsi"/>
        </w:rPr>
        <w:t xml:space="preserve">nemohla tak být </w:t>
      </w:r>
      <w:r w:rsidRPr="00001A06">
        <w:rPr>
          <w:rFonts w:asciiTheme="minorHAnsi" w:hAnsiTheme="minorHAnsi" w:cstheme="minorHAnsi"/>
        </w:rPr>
        <w:t>veřejností využívána.</w:t>
      </w:r>
    </w:p>
    <w:p w14:paraId="24FAAF1B" w14:textId="77777777" w:rsidR="00F94683" w:rsidRPr="00001A06" w:rsidRDefault="00E24FE0" w:rsidP="002F0CFD">
      <w:pPr>
        <w:pStyle w:val="Odstavecseseznamem"/>
        <w:numPr>
          <w:ilvl w:val="0"/>
          <w:numId w:val="34"/>
        </w:numPr>
        <w:ind w:left="284" w:hanging="284"/>
        <w:jc w:val="both"/>
        <w:rPr>
          <w:rFonts w:asciiTheme="minorHAnsi" w:hAnsiTheme="minorHAnsi" w:cstheme="minorHAnsi"/>
        </w:rPr>
      </w:pPr>
      <w:r w:rsidRPr="00001A06">
        <w:rPr>
          <w:rFonts w:asciiTheme="minorHAnsi" w:hAnsiTheme="minorHAnsi" w:cstheme="minorHAnsi"/>
        </w:rPr>
        <w:t>MMR nesleduje a nevyhodnocuje, zda jsou získan</w:t>
      </w:r>
      <w:r w:rsidR="00374B0C">
        <w:rPr>
          <w:rFonts w:asciiTheme="minorHAnsi" w:hAnsiTheme="minorHAnsi" w:cstheme="minorHAnsi"/>
        </w:rPr>
        <w:t>á statistická data využívána. U </w:t>
      </w:r>
      <w:r w:rsidRPr="00001A06">
        <w:rPr>
          <w:rFonts w:asciiTheme="minorHAnsi" w:hAnsiTheme="minorHAnsi" w:cstheme="minorHAnsi"/>
        </w:rPr>
        <w:t>jednoho projektu měla tato data sloužit i partnerovi projektu. MMR od něj však nepožad</w:t>
      </w:r>
      <w:r w:rsidR="00246CC0" w:rsidRPr="00001A06">
        <w:rPr>
          <w:rFonts w:asciiTheme="minorHAnsi" w:hAnsiTheme="minorHAnsi" w:cstheme="minorHAnsi"/>
        </w:rPr>
        <w:t>ovalo</w:t>
      </w:r>
      <w:r w:rsidRPr="00001A06">
        <w:rPr>
          <w:rFonts w:asciiTheme="minorHAnsi" w:hAnsiTheme="minorHAnsi" w:cstheme="minorHAnsi"/>
        </w:rPr>
        <w:t xml:space="preserve"> písemné předávání informací o využití výstupů projektu</w:t>
      </w:r>
      <w:r w:rsidR="00E67F8E" w:rsidRPr="00001A06">
        <w:rPr>
          <w:rFonts w:asciiTheme="minorHAnsi" w:hAnsiTheme="minorHAnsi" w:cstheme="minorHAnsi"/>
        </w:rPr>
        <w:t>.</w:t>
      </w:r>
      <w:r w:rsidRPr="00001A06">
        <w:rPr>
          <w:rFonts w:asciiTheme="minorHAnsi" w:hAnsiTheme="minorHAnsi" w:cstheme="minorHAnsi"/>
        </w:rPr>
        <w:t xml:space="preserve"> Učinilo tak až na základě kontroly NKÚ. </w:t>
      </w:r>
    </w:p>
    <w:p w14:paraId="401C73A1" w14:textId="77777777" w:rsidR="00E24FE0" w:rsidRPr="00001A06" w:rsidRDefault="00E24FE0" w:rsidP="002F0CFD">
      <w:pPr>
        <w:pStyle w:val="Odstavecseseznamem"/>
        <w:numPr>
          <w:ilvl w:val="0"/>
          <w:numId w:val="34"/>
        </w:numPr>
        <w:spacing w:after="120"/>
        <w:ind w:left="284" w:hanging="284"/>
        <w:jc w:val="both"/>
        <w:rPr>
          <w:rFonts w:asciiTheme="minorHAnsi" w:hAnsiTheme="minorHAnsi" w:cstheme="minorHAnsi"/>
        </w:rPr>
      </w:pPr>
      <w:r w:rsidRPr="00001A06">
        <w:rPr>
          <w:rFonts w:asciiTheme="minorHAnsi" w:hAnsiTheme="minorHAnsi" w:cstheme="minorHAnsi"/>
        </w:rPr>
        <w:t xml:space="preserve">MMR si za úhradu nechalo zpracovat článek, který měl propagovat možnosti využití výstupů </w:t>
      </w:r>
      <w:r w:rsidR="00E67F8E" w:rsidRPr="00001A06">
        <w:rPr>
          <w:rFonts w:asciiTheme="minorHAnsi" w:hAnsiTheme="minorHAnsi" w:cstheme="minorHAnsi"/>
        </w:rPr>
        <w:t xml:space="preserve">jednoho z </w:t>
      </w:r>
      <w:r w:rsidRPr="00001A06">
        <w:rPr>
          <w:rFonts w:asciiTheme="minorHAnsi" w:hAnsiTheme="minorHAnsi" w:cstheme="minorHAnsi"/>
        </w:rPr>
        <w:t>projekt</w:t>
      </w:r>
      <w:r w:rsidR="00E67F8E" w:rsidRPr="00001A06">
        <w:rPr>
          <w:rFonts w:asciiTheme="minorHAnsi" w:hAnsiTheme="minorHAnsi" w:cstheme="minorHAnsi"/>
        </w:rPr>
        <w:t>ů</w:t>
      </w:r>
      <w:r w:rsidRPr="00001A06">
        <w:rPr>
          <w:rFonts w:asciiTheme="minorHAnsi" w:hAnsiTheme="minorHAnsi" w:cstheme="minorHAnsi"/>
        </w:rPr>
        <w:t>, ale nikde jej pak nezveřejnilo.</w:t>
      </w:r>
    </w:p>
    <w:p w14:paraId="1E8CB2A5" w14:textId="6D3C61FB" w:rsidR="00E24FE0" w:rsidRPr="00E24FE0" w:rsidRDefault="00E24FE0" w:rsidP="00F94683">
      <w:pPr>
        <w:pStyle w:val="KPnormln"/>
        <w:ind w:firstLine="0"/>
      </w:pPr>
      <w:r w:rsidRPr="00E24FE0">
        <w:t>Ministerstvo zdravotnictví získalo z IOP více než 23 mil. Kč na procesní a personální audit dvou fakultních nemocnic s cílem zefektivnit a zkvalitnit jejich chod. Přestože</w:t>
      </w:r>
      <w:r w:rsidR="00281B2A">
        <w:t xml:space="preserve"> byl</w:t>
      </w:r>
      <w:r w:rsidRPr="00E24FE0">
        <w:t xml:space="preserve"> tento projekt ukončen již v září 2010, </w:t>
      </w:r>
      <w:proofErr w:type="spellStart"/>
      <w:r w:rsidRPr="00E24FE0">
        <w:t>MZd</w:t>
      </w:r>
      <w:proofErr w:type="spellEnd"/>
      <w:r w:rsidRPr="00E24FE0">
        <w:t xml:space="preserve"> až do doby kontroly NKÚ</w:t>
      </w:r>
      <w:r w:rsidR="001A219D">
        <w:t xml:space="preserve"> žádným způsobem nezjišťovalo a </w:t>
      </w:r>
      <w:r w:rsidRPr="00E24FE0">
        <w:t>nevyhodnocovalo, zda a jakým způsobem obě nemocnice využily výsledky auditu a zda došlo k očekávaným přínosům.</w:t>
      </w:r>
    </w:p>
    <w:p w14:paraId="16AE1E8A" w14:textId="35452B8F" w:rsidR="00E24FE0" w:rsidRPr="00E24FE0" w:rsidRDefault="00E24FE0" w:rsidP="00097DB5">
      <w:pPr>
        <w:tabs>
          <w:tab w:val="left" w:pos="567"/>
        </w:tabs>
        <w:spacing w:after="120"/>
        <w:contextualSpacing/>
        <w:jc w:val="both"/>
        <w:rPr>
          <w:rFonts w:asciiTheme="minorHAnsi" w:hAnsiTheme="minorHAnsi" w:cstheme="minorHAnsi"/>
        </w:rPr>
      </w:pPr>
      <w:r w:rsidRPr="00E24FE0">
        <w:rPr>
          <w:rFonts w:asciiTheme="minorHAnsi" w:hAnsiTheme="minorHAnsi" w:cstheme="minorHAnsi"/>
        </w:rPr>
        <w:t xml:space="preserve">Příspěvkové organizaci Ministerstva životního prostředí se nepodařilo zrealizovat projekt zaměřený na vytvoření soustavy </w:t>
      </w:r>
      <w:proofErr w:type="spellStart"/>
      <w:r w:rsidRPr="00E24FE0">
        <w:rPr>
          <w:rFonts w:asciiTheme="minorHAnsi" w:hAnsiTheme="minorHAnsi" w:cstheme="minorHAnsi"/>
        </w:rPr>
        <w:t>ge</w:t>
      </w:r>
      <w:r w:rsidR="00876B23">
        <w:rPr>
          <w:rFonts w:asciiTheme="minorHAnsi" w:hAnsiTheme="minorHAnsi" w:cstheme="minorHAnsi"/>
        </w:rPr>
        <w:t>o</w:t>
      </w:r>
      <w:r w:rsidRPr="00E24FE0">
        <w:rPr>
          <w:rFonts w:asciiTheme="minorHAnsi" w:hAnsiTheme="minorHAnsi" w:cstheme="minorHAnsi"/>
        </w:rPr>
        <w:t>portálů</w:t>
      </w:r>
      <w:proofErr w:type="spellEnd"/>
      <w:r w:rsidR="005F2F23">
        <w:rPr>
          <w:rStyle w:val="Znakapoznpodarou"/>
          <w:rFonts w:asciiTheme="minorHAnsi" w:hAnsiTheme="minorHAnsi" w:cstheme="minorHAnsi"/>
        </w:rPr>
        <w:footnoteReference w:id="9"/>
      </w:r>
      <w:r w:rsidRPr="00E24FE0">
        <w:rPr>
          <w:rFonts w:asciiTheme="minorHAnsi" w:hAnsiTheme="minorHAnsi" w:cstheme="minorHAnsi"/>
        </w:rPr>
        <w:t xml:space="preserve"> a datového úložiště podle původních předpokladů. Kvůli nečinnosti svého zřizovatele</w:t>
      </w:r>
      <w:r w:rsidR="00D41106">
        <w:rPr>
          <w:rStyle w:val="Znakapoznpodarou"/>
          <w:rFonts w:asciiTheme="minorHAnsi" w:hAnsiTheme="minorHAnsi" w:cstheme="minorHAnsi"/>
        </w:rPr>
        <w:footnoteReference w:id="10"/>
      </w:r>
      <w:r w:rsidRPr="00E24FE0">
        <w:rPr>
          <w:rFonts w:asciiTheme="minorHAnsi" w:hAnsiTheme="minorHAnsi" w:cstheme="minorHAnsi"/>
        </w:rPr>
        <w:t xml:space="preserve"> neprovedl příjemce dvě hlavní výběrová řízení na dodávku </w:t>
      </w:r>
      <w:r w:rsidR="00281B2A">
        <w:rPr>
          <w:rFonts w:asciiTheme="minorHAnsi" w:hAnsiTheme="minorHAnsi" w:cstheme="minorHAnsi"/>
        </w:rPr>
        <w:t>informačního systému</w:t>
      </w:r>
      <w:r w:rsidRPr="00E24FE0">
        <w:rPr>
          <w:rFonts w:asciiTheme="minorHAnsi" w:hAnsiTheme="minorHAnsi" w:cstheme="minorHAnsi"/>
        </w:rPr>
        <w:t xml:space="preserve"> a </w:t>
      </w:r>
      <w:r w:rsidR="00281B2A">
        <w:rPr>
          <w:rFonts w:asciiTheme="minorHAnsi" w:hAnsiTheme="minorHAnsi" w:cstheme="minorHAnsi"/>
        </w:rPr>
        <w:t>hardwaru,</w:t>
      </w:r>
      <w:r w:rsidRPr="00E24FE0">
        <w:rPr>
          <w:rFonts w:asciiTheme="minorHAnsi" w:hAnsiTheme="minorHAnsi" w:cstheme="minorHAnsi"/>
        </w:rPr>
        <w:t xml:space="preserve"> a</w:t>
      </w:r>
      <w:r w:rsidR="00281B2A">
        <w:rPr>
          <w:rFonts w:asciiTheme="minorHAnsi" w:hAnsiTheme="minorHAnsi" w:cstheme="minorHAnsi"/>
        </w:rPr>
        <w:t>le</w:t>
      </w:r>
      <w:r w:rsidRPr="00E24FE0">
        <w:rPr>
          <w:rFonts w:asciiTheme="minorHAnsi" w:hAnsiTheme="minorHAnsi" w:cstheme="minorHAnsi"/>
        </w:rPr>
        <w:t xml:space="preserve"> výstup vytvořil vlastními silami v omezeném rozsahu, přičemž </w:t>
      </w:r>
      <w:r w:rsidR="004E38C6">
        <w:rPr>
          <w:rFonts w:asciiTheme="minorHAnsi" w:hAnsiTheme="minorHAnsi" w:cstheme="minorHAnsi"/>
        </w:rPr>
        <w:t>použil</w:t>
      </w:r>
      <w:r w:rsidR="004E38C6" w:rsidRPr="00E24FE0">
        <w:rPr>
          <w:rFonts w:asciiTheme="minorHAnsi" w:hAnsiTheme="minorHAnsi" w:cstheme="minorHAnsi"/>
        </w:rPr>
        <w:t xml:space="preserve"> </w:t>
      </w:r>
      <w:r w:rsidRPr="00E24FE0">
        <w:rPr>
          <w:rFonts w:asciiTheme="minorHAnsi" w:hAnsiTheme="minorHAnsi" w:cstheme="minorHAnsi"/>
        </w:rPr>
        <w:t xml:space="preserve">asi desetinu </w:t>
      </w:r>
      <w:r w:rsidR="005C315C">
        <w:rPr>
          <w:rFonts w:asciiTheme="minorHAnsi" w:hAnsiTheme="minorHAnsi" w:cstheme="minorHAnsi"/>
        </w:rPr>
        <w:t xml:space="preserve">původně stanovené </w:t>
      </w:r>
      <w:r w:rsidRPr="00E24FE0">
        <w:rPr>
          <w:rFonts w:asciiTheme="minorHAnsi" w:hAnsiTheme="minorHAnsi" w:cstheme="minorHAnsi"/>
        </w:rPr>
        <w:t>částky. Výstupy projektu jsou sice využívány, avšak projekt mohl být mnohem přínosnější</w:t>
      </w:r>
      <w:r w:rsidR="005C315C">
        <w:rPr>
          <w:rFonts w:asciiTheme="minorHAnsi" w:hAnsiTheme="minorHAnsi" w:cstheme="minorHAnsi"/>
        </w:rPr>
        <w:t>, pokud by se realizoval v původní podobě</w:t>
      </w:r>
      <w:r w:rsidRPr="00E24FE0">
        <w:rPr>
          <w:rFonts w:asciiTheme="minorHAnsi" w:hAnsiTheme="minorHAnsi" w:cstheme="minorHAnsi"/>
        </w:rPr>
        <w:t xml:space="preserve">. </w:t>
      </w:r>
    </w:p>
    <w:p w14:paraId="30D64942" w14:textId="77777777" w:rsidR="00302608" w:rsidRDefault="00302608" w:rsidP="00302608">
      <w:pPr>
        <w:pStyle w:val="Odstavecseseznamem"/>
        <w:numPr>
          <w:ilvl w:val="0"/>
          <w:numId w:val="22"/>
        </w:numPr>
        <w:spacing w:after="120"/>
        <w:ind w:left="425" w:hanging="425"/>
        <w:rPr>
          <w:rFonts w:asciiTheme="minorHAnsi" w:hAnsiTheme="minorHAnsi" w:cstheme="minorHAnsi"/>
          <w:b/>
          <w:i/>
        </w:rPr>
      </w:pPr>
      <w:r>
        <w:rPr>
          <w:rFonts w:asciiTheme="minorHAnsi" w:hAnsiTheme="minorHAnsi" w:cstheme="minorHAnsi"/>
          <w:b/>
          <w:i/>
        </w:rPr>
        <w:t xml:space="preserve">Nedodržení dalších povinností </w:t>
      </w:r>
      <w:r w:rsidRPr="00327154">
        <w:rPr>
          <w:rFonts w:asciiTheme="minorHAnsi" w:hAnsiTheme="minorHAnsi" w:cstheme="minorHAnsi"/>
          <w:b/>
          <w:i/>
        </w:rPr>
        <w:t>v době udržitelnosti</w:t>
      </w:r>
    </w:p>
    <w:p w14:paraId="27C53A80" w14:textId="77777777" w:rsidR="00C75FD6" w:rsidRDefault="00302608" w:rsidP="00302608">
      <w:pPr>
        <w:pStyle w:val="KPnormln"/>
        <w:ind w:firstLine="0"/>
      </w:pPr>
      <w:r>
        <w:t xml:space="preserve">NKÚ při kontrole projektů zjistil porušení dalších závazných podmínek, a to zejména nedodržení oznamovací povinnosti v době udržitelnosti (např. neoznámení změn statutárního zástupce či sídla příjemce, nenahlášení vzniku závazku po lhůtě splatnosti vůči zdravotní pojišťovně či neoznámení podstatných skutečností, které měly vliv na udržitelnost projektu) a dále nezajištění odděleného účtování o projektu. </w:t>
      </w:r>
    </w:p>
    <w:p w14:paraId="1C4E8997" w14:textId="77777777" w:rsidR="00584DE6" w:rsidRPr="00327154" w:rsidRDefault="00584DE6" w:rsidP="00302608">
      <w:pPr>
        <w:pStyle w:val="KPnormln"/>
        <w:ind w:firstLine="0"/>
        <w:rPr>
          <w:b/>
          <w:i/>
        </w:rPr>
      </w:pPr>
    </w:p>
    <w:p w14:paraId="54620BF4" w14:textId="77777777" w:rsidR="00C75FD6" w:rsidRPr="00327154" w:rsidRDefault="009B5248" w:rsidP="00327154">
      <w:pPr>
        <w:pStyle w:val="Odstavecseseznamem"/>
        <w:numPr>
          <w:ilvl w:val="0"/>
          <w:numId w:val="22"/>
        </w:numPr>
        <w:tabs>
          <w:tab w:val="left" w:pos="426"/>
        </w:tabs>
        <w:spacing w:after="120"/>
        <w:ind w:left="425" w:hanging="425"/>
        <w:jc w:val="both"/>
        <w:rPr>
          <w:rFonts w:asciiTheme="minorHAnsi" w:hAnsiTheme="minorHAnsi" w:cstheme="minorHAnsi"/>
          <w:b/>
          <w:i/>
        </w:rPr>
      </w:pPr>
      <w:r w:rsidRPr="00327154">
        <w:rPr>
          <w:rFonts w:asciiTheme="minorHAnsi" w:hAnsiTheme="minorHAnsi" w:cstheme="minorHAnsi"/>
          <w:b/>
          <w:i/>
        </w:rPr>
        <w:lastRenderedPageBreak/>
        <w:t>Nedostatečné řízení rizik projektu v době udržitelnosti</w:t>
      </w:r>
    </w:p>
    <w:p w14:paraId="5071661B" w14:textId="062E0572" w:rsidR="00C845DD" w:rsidRDefault="00E24FE0" w:rsidP="00C75FD6">
      <w:pPr>
        <w:tabs>
          <w:tab w:val="left" w:pos="567"/>
        </w:tabs>
        <w:contextualSpacing/>
        <w:jc w:val="both"/>
        <w:rPr>
          <w:rFonts w:asciiTheme="minorHAnsi" w:hAnsiTheme="minorHAnsi" w:cstheme="minorHAnsi"/>
        </w:rPr>
      </w:pPr>
      <w:r w:rsidRPr="00E24FE0">
        <w:rPr>
          <w:rFonts w:asciiTheme="minorHAnsi" w:hAnsiTheme="minorHAnsi" w:cstheme="minorHAnsi"/>
        </w:rPr>
        <w:t>Předmětem jednoho z kontrolovaných projektů byla komplexní revitalizace veřejných prostranství na území sídliště</w:t>
      </w:r>
      <w:r w:rsidR="00C845DD">
        <w:rPr>
          <w:rFonts w:asciiTheme="minorHAnsi" w:hAnsiTheme="minorHAnsi" w:cstheme="minorHAnsi"/>
        </w:rPr>
        <w:t xml:space="preserve">, která zahrnovala chodníkové plochy, komunikace, parkovací stání, osvětlení, dětská hřiště a také sadové úpravy. </w:t>
      </w:r>
      <w:r w:rsidRPr="00E24FE0">
        <w:rPr>
          <w:rFonts w:asciiTheme="minorHAnsi" w:hAnsiTheme="minorHAnsi" w:cstheme="minorHAnsi"/>
        </w:rPr>
        <w:t xml:space="preserve">Od předání díla v září 2011 však sadové úpravy </w:t>
      </w:r>
      <w:r w:rsidR="00281B2A">
        <w:rPr>
          <w:rFonts w:asciiTheme="minorHAnsi" w:hAnsiTheme="minorHAnsi" w:cstheme="minorHAnsi"/>
        </w:rPr>
        <w:t>trpěly vandalismem a krádežemi</w:t>
      </w:r>
      <w:r w:rsidRPr="00E24FE0">
        <w:rPr>
          <w:rFonts w:asciiTheme="minorHAnsi" w:hAnsiTheme="minorHAnsi" w:cstheme="minorHAnsi"/>
        </w:rPr>
        <w:t xml:space="preserve">. I v době kontroly NKÚ keřová výsadba </w:t>
      </w:r>
      <w:r w:rsidR="005A76DA">
        <w:rPr>
          <w:rFonts w:asciiTheme="minorHAnsi" w:hAnsiTheme="minorHAnsi" w:cstheme="minorHAnsi"/>
        </w:rPr>
        <w:t>částečně</w:t>
      </w:r>
      <w:r w:rsidRPr="00E24FE0">
        <w:rPr>
          <w:rFonts w:asciiTheme="minorHAnsi" w:hAnsiTheme="minorHAnsi" w:cstheme="minorHAnsi"/>
        </w:rPr>
        <w:t xml:space="preserve"> </w:t>
      </w:r>
      <w:r w:rsidR="00B1263F">
        <w:rPr>
          <w:rFonts w:asciiTheme="minorHAnsi" w:hAnsiTheme="minorHAnsi" w:cstheme="minorHAnsi"/>
        </w:rPr>
        <w:t>chyběla</w:t>
      </w:r>
      <w:r w:rsidR="00B1263F" w:rsidRPr="00E24FE0">
        <w:rPr>
          <w:rFonts w:asciiTheme="minorHAnsi" w:hAnsiTheme="minorHAnsi" w:cstheme="minorHAnsi"/>
        </w:rPr>
        <w:t xml:space="preserve"> </w:t>
      </w:r>
      <w:r w:rsidRPr="00E24FE0">
        <w:rPr>
          <w:rFonts w:asciiTheme="minorHAnsi" w:hAnsiTheme="minorHAnsi" w:cstheme="minorHAnsi"/>
        </w:rPr>
        <w:t xml:space="preserve">nebo byla poškozená. Příjemce podpory </w:t>
      </w:r>
      <w:r w:rsidR="009B5248">
        <w:rPr>
          <w:rFonts w:asciiTheme="minorHAnsi" w:hAnsiTheme="minorHAnsi" w:cstheme="minorHAnsi"/>
        </w:rPr>
        <w:t>měl důsledněji reagovat na tyto skutečnosti, např.</w:t>
      </w:r>
      <w:r w:rsidR="00B1263F">
        <w:rPr>
          <w:rFonts w:asciiTheme="minorHAnsi" w:hAnsiTheme="minorHAnsi" w:cstheme="minorHAnsi"/>
        </w:rPr>
        <w:t xml:space="preserve"> následujícími kroky</w:t>
      </w:r>
      <w:r w:rsidR="009B5248">
        <w:rPr>
          <w:rFonts w:asciiTheme="minorHAnsi" w:hAnsiTheme="minorHAnsi" w:cstheme="minorHAnsi"/>
        </w:rPr>
        <w:t>:</w:t>
      </w:r>
    </w:p>
    <w:p w14:paraId="29670B2D" w14:textId="2E93A5CE" w:rsidR="009B5248" w:rsidRPr="00E01029" w:rsidRDefault="009B5248" w:rsidP="006D08C4">
      <w:pPr>
        <w:pStyle w:val="Odstavecseseznamem"/>
        <w:numPr>
          <w:ilvl w:val="0"/>
          <w:numId w:val="34"/>
        </w:numPr>
        <w:ind w:left="284" w:hanging="284"/>
        <w:jc w:val="both"/>
        <w:rPr>
          <w:rFonts w:asciiTheme="minorHAnsi" w:hAnsiTheme="minorHAnsi" w:cstheme="minorHAnsi"/>
        </w:rPr>
      </w:pPr>
      <w:r w:rsidRPr="00E01029">
        <w:rPr>
          <w:rFonts w:asciiTheme="minorHAnsi" w:hAnsiTheme="minorHAnsi" w:cstheme="minorHAnsi"/>
        </w:rPr>
        <w:t xml:space="preserve">včas podat trestní oznámení (učinil </w:t>
      </w:r>
      <w:r w:rsidR="00246CC0" w:rsidRPr="00E01029">
        <w:rPr>
          <w:rFonts w:asciiTheme="minorHAnsi" w:hAnsiTheme="minorHAnsi" w:cstheme="minorHAnsi"/>
        </w:rPr>
        <w:t xml:space="preserve">tak </w:t>
      </w:r>
      <w:r w:rsidRPr="00E01029">
        <w:rPr>
          <w:rFonts w:asciiTheme="minorHAnsi" w:hAnsiTheme="minorHAnsi" w:cstheme="minorHAnsi"/>
        </w:rPr>
        <w:t>až v červnu 2013)</w:t>
      </w:r>
      <w:r w:rsidR="00E01029">
        <w:rPr>
          <w:rFonts w:asciiTheme="minorHAnsi" w:hAnsiTheme="minorHAnsi" w:cstheme="minorHAnsi"/>
        </w:rPr>
        <w:t>;</w:t>
      </w:r>
    </w:p>
    <w:p w14:paraId="7124905E" w14:textId="00ADA6AD" w:rsidR="00E24FE0" w:rsidRPr="00E01029" w:rsidRDefault="009B5248" w:rsidP="006D08C4">
      <w:pPr>
        <w:pStyle w:val="Odstavecseseznamem"/>
        <w:numPr>
          <w:ilvl w:val="0"/>
          <w:numId w:val="34"/>
        </w:numPr>
        <w:ind w:left="284" w:hanging="284"/>
        <w:jc w:val="both"/>
        <w:rPr>
          <w:rFonts w:asciiTheme="minorHAnsi" w:hAnsiTheme="minorHAnsi" w:cstheme="minorHAnsi"/>
        </w:rPr>
      </w:pPr>
      <w:r w:rsidRPr="00E01029">
        <w:rPr>
          <w:rFonts w:asciiTheme="minorHAnsi" w:hAnsiTheme="minorHAnsi" w:cstheme="minorHAnsi"/>
        </w:rPr>
        <w:t>vyčlenit z</w:t>
      </w:r>
      <w:r w:rsidR="004E38C6">
        <w:rPr>
          <w:rFonts w:asciiTheme="minorHAnsi" w:hAnsiTheme="minorHAnsi" w:cstheme="minorHAnsi"/>
        </w:rPr>
        <w:t xml:space="preserve">e svého </w:t>
      </w:r>
      <w:r w:rsidRPr="00E01029">
        <w:rPr>
          <w:rFonts w:asciiTheme="minorHAnsi" w:hAnsiTheme="minorHAnsi" w:cstheme="minorHAnsi"/>
        </w:rPr>
        <w:t xml:space="preserve">rozpočtu peněžní prostředky speciálně na doplnění chybějících či poškozených </w:t>
      </w:r>
      <w:r w:rsidR="00281B2A">
        <w:rPr>
          <w:rFonts w:asciiTheme="minorHAnsi" w:hAnsiTheme="minorHAnsi" w:cstheme="minorHAnsi"/>
        </w:rPr>
        <w:t>rostlin</w:t>
      </w:r>
      <w:r w:rsidRPr="00E01029">
        <w:rPr>
          <w:rFonts w:asciiTheme="minorHAnsi" w:hAnsiTheme="minorHAnsi" w:cstheme="minorHAnsi"/>
        </w:rPr>
        <w:t xml:space="preserve"> (</w:t>
      </w:r>
      <w:r w:rsidR="00B1263F">
        <w:rPr>
          <w:rFonts w:asciiTheme="minorHAnsi" w:hAnsiTheme="minorHAnsi" w:cstheme="minorHAnsi"/>
        </w:rPr>
        <w:t>mělo by být projedná</w:t>
      </w:r>
      <w:r w:rsidR="004E38C6">
        <w:rPr>
          <w:rFonts w:asciiTheme="minorHAnsi" w:hAnsiTheme="minorHAnsi" w:cstheme="minorHAnsi"/>
        </w:rPr>
        <w:t>no</w:t>
      </w:r>
      <w:r w:rsidR="00B1263F">
        <w:rPr>
          <w:rFonts w:asciiTheme="minorHAnsi" w:hAnsiTheme="minorHAnsi" w:cstheme="minorHAnsi"/>
        </w:rPr>
        <w:t xml:space="preserve"> při schvalování rozpočtu na rok 2016, tj. až na poslední rok </w:t>
      </w:r>
      <w:r w:rsidR="00E01029">
        <w:rPr>
          <w:rFonts w:asciiTheme="minorHAnsi" w:hAnsiTheme="minorHAnsi" w:cstheme="minorHAnsi"/>
        </w:rPr>
        <w:t>udržitelnosti projektu);</w:t>
      </w:r>
    </w:p>
    <w:p w14:paraId="22C349E1" w14:textId="20DFD899" w:rsidR="00E24FE0" w:rsidRPr="00E01029" w:rsidRDefault="00E24FE0" w:rsidP="006D08C4">
      <w:pPr>
        <w:pStyle w:val="Odstavecseseznamem"/>
        <w:numPr>
          <w:ilvl w:val="0"/>
          <w:numId w:val="34"/>
        </w:numPr>
        <w:spacing w:after="120"/>
        <w:ind w:left="284" w:hanging="284"/>
        <w:contextualSpacing w:val="0"/>
        <w:jc w:val="both"/>
        <w:rPr>
          <w:rFonts w:asciiTheme="minorHAnsi" w:hAnsiTheme="minorHAnsi" w:cstheme="minorHAnsi"/>
        </w:rPr>
      </w:pPr>
      <w:r w:rsidRPr="00E01029">
        <w:rPr>
          <w:rFonts w:asciiTheme="minorHAnsi" w:hAnsiTheme="minorHAnsi" w:cstheme="minorHAnsi"/>
        </w:rPr>
        <w:t>řeši</w:t>
      </w:r>
      <w:r w:rsidR="009B5248" w:rsidRPr="00E01029">
        <w:rPr>
          <w:rFonts w:asciiTheme="minorHAnsi" w:hAnsiTheme="minorHAnsi" w:cstheme="minorHAnsi"/>
        </w:rPr>
        <w:t>t</w:t>
      </w:r>
      <w:r w:rsidRPr="00E01029">
        <w:rPr>
          <w:rFonts w:asciiTheme="minorHAnsi" w:hAnsiTheme="minorHAnsi" w:cstheme="minorHAnsi"/>
        </w:rPr>
        <w:t xml:space="preserve"> </w:t>
      </w:r>
      <w:r w:rsidR="009B5248" w:rsidRPr="00E01029">
        <w:rPr>
          <w:rFonts w:asciiTheme="minorHAnsi" w:hAnsiTheme="minorHAnsi" w:cstheme="minorHAnsi"/>
        </w:rPr>
        <w:t>problémy se zachováním části výstupů projektu s</w:t>
      </w:r>
      <w:r w:rsidR="00246CC0" w:rsidRPr="00E01029">
        <w:rPr>
          <w:rFonts w:asciiTheme="minorHAnsi" w:hAnsiTheme="minorHAnsi" w:cstheme="minorHAnsi"/>
        </w:rPr>
        <w:t>e</w:t>
      </w:r>
      <w:r w:rsidR="009B5248" w:rsidRPr="00E01029">
        <w:rPr>
          <w:rFonts w:asciiTheme="minorHAnsi" w:hAnsiTheme="minorHAnsi" w:cstheme="minorHAnsi"/>
        </w:rPr>
        <w:t xml:space="preserve"> zprostředkujícím subjektem (příjemce uvedené skutečnosti zprostředkujícímu subjektu ani neoznámil).</w:t>
      </w:r>
    </w:p>
    <w:p w14:paraId="38F60D96" w14:textId="77777777" w:rsidR="00E24FE0" w:rsidRPr="00327154" w:rsidRDefault="009B5248" w:rsidP="00327154">
      <w:pPr>
        <w:pStyle w:val="Odstavecseseznamem"/>
        <w:numPr>
          <w:ilvl w:val="0"/>
          <w:numId w:val="22"/>
        </w:numPr>
        <w:tabs>
          <w:tab w:val="left" w:pos="0"/>
        </w:tabs>
        <w:spacing w:after="120"/>
        <w:ind w:left="425" w:hanging="425"/>
        <w:jc w:val="both"/>
        <w:rPr>
          <w:rFonts w:asciiTheme="minorHAnsi" w:hAnsiTheme="minorHAnsi" w:cstheme="minorHAnsi"/>
          <w:b/>
          <w:i/>
        </w:rPr>
      </w:pPr>
      <w:r w:rsidRPr="00327154">
        <w:rPr>
          <w:rFonts w:asciiTheme="minorHAnsi" w:hAnsiTheme="minorHAnsi" w:cstheme="minorHAnsi"/>
          <w:b/>
          <w:i/>
        </w:rPr>
        <w:t>Rizikové projekty z pohledu udržitelnosti</w:t>
      </w:r>
    </w:p>
    <w:p w14:paraId="52740CF5" w14:textId="77777777" w:rsidR="00E24FE0" w:rsidRPr="00E24FE0" w:rsidRDefault="00E24FE0" w:rsidP="00E67F8E">
      <w:pPr>
        <w:tabs>
          <w:tab w:val="left" w:pos="567"/>
        </w:tabs>
        <w:contextualSpacing/>
        <w:jc w:val="both"/>
        <w:rPr>
          <w:rFonts w:asciiTheme="minorHAnsi" w:hAnsiTheme="minorHAnsi" w:cstheme="minorHAnsi"/>
        </w:rPr>
      </w:pPr>
      <w:r w:rsidRPr="00E24FE0">
        <w:rPr>
          <w:rFonts w:asciiTheme="minorHAnsi" w:hAnsiTheme="minorHAnsi" w:cstheme="minorHAnsi"/>
        </w:rPr>
        <w:t xml:space="preserve">V rámci oblasti intervence 3.1 – </w:t>
      </w:r>
      <w:r w:rsidRPr="009B5248">
        <w:rPr>
          <w:rFonts w:asciiTheme="minorHAnsi" w:hAnsiTheme="minorHAnsi" w:cstheme="minorHAnsi"/>
          <w:i/>
        </w:rPr>
        <w:t>Služby v oblasti sociální integrace</w:t>
      </w:r>
      <w:r w:rsidRPr="00E24FE0">
        <w:rPr>
          <w:rFonts w:asciiTheme="minorHAnsi" w:hAnsiTheme="minorHAnsi" w:cstheme="minorHAnsi"/>
        </w:rPr>
        <w:t xml:space="preserve"> byly z IOP podporovány nové podnikatelské aktivity naplňující principy sociálního podnikání. Kontrolou devíti projektů z této oblasti intervence byly zjištěny následující skutečnosti:</w:t>
      </w:r>
    </w:p>
    <w:p w14:paraId="4921E832" w14:textId="7BC30A3F" w:rsidR="00E24FE0" w:rsidRPr="008A6EB7" w:rsidRDefault="00E24FE0" w:rsidP="002F0CFD">
      <w:pPr>
        <w:pStyle w:val="Odstavecseseznamem"/>
        <w:numPr>
          <w:ilvl w:val="0"/>
          <w:numId w:val="34"/>
        </w:numPr>
        <w:ind w:left="284" w:hanging="284"/>
        <w:jc w:val="both"/>
        <w:rPr>
          <w:rFonts w:asciiTheme="minorHAnsi" w:hAnsiTheme="minorHAnsi" w:cstheme="minorHAnsi"/>
        </w:rPr>
      </w:pPr>
      <w:r w:rsidRPr="008A6EB7">
        <w:rPr>
          <w:rFonts w:asciiTheme="minorHAnsi" w:hAnsiTheme="minorHAnsi" w:cstheme="minorHAnsi"/>
        </w:rPr>
        <w:t>U naprosté většiny kontrolovaných projektů vykazovali příjemci v jednotlivých letech udržitelnosti záporný hospodářský výsledek. Reinvestice zisku do podniku, jak vyžaduje statu</w:t>
      </w:r>
      <w:r w:rsidR="00C578F7">
        <w:rPr>
          <w:rFonts w:asciiTheme="minorHAnsi" w:hAnsiTheme="minorHAnsi" w:cstheme="minorHAnsi"/>
        </w:rPr>
        <w:t>s</w:t>
      </w:r>
      <w:r w:rsidRPr="008A6EB7">
        <w:rPr>
          <w:rFonts w:asciiTheme="minorHAnsi" w:hAnsiTheme="minorHAnsi" w:cstheme="minorHAnsi"/>
        </w:rPr>
        <w:t xml:space="preserve"> sociálního podniku, byla tedy ve všech případech nerelevantní (případný zisk byl použit </w:t>
      </w:r>
      <w:r w:rsidR="00C578F7">
        <w:rPr>
          <w:rFonts w:asciiTheme="minorHAnsi" w:hAnsiTheme="minorHAnsi" w:cstheme="minorHAnsi"/>
        </w:rPr>
        <w:t>ke</w:t>
      </w:r>
      <w:r w:rsidRPr="008A6EB7">
        <w:rPr>
          <w:rFonts w:asciiTheme="minorHAnsi" w:hAnsiTheme="minorHAnsi" w:cstheme="minorHAnsi"/>
        </w:rPr>
        <w:t xml:space="preserve"> krytí ztráty z minulých let).</w:t>
      </w:r>
    </w:p>
    <w:p w14:paraId="34D5B429" w14:textId="77777777" w:rsidR="00E24FE0" w:rsidRPr="008A6EB7" w:rsidRDefault="00E24FE0" w:rsidP="002F0CFD">
      <w:pPr>
        <w:pStyle w:val="Odstavecseseznamem"/>
        <w:numPr>
          <w:ilvl w:val="0"/>
          <w:numId w:val="34"/>
        </w:numPr>
        <w:ind w:left="284" w:hanging="284"/>
        <w:jc w:val="both"/>
        <w:rPr>
          <w:rFonts w:asciiTheme="minorHAnsi" w:hAnsiTheme="minorHAnsi" w:cstheme="minorHAnsi"/>
        </w:rPr>
      </w:pPr>
      <w:r w:rsidRPr="008A6EB7">
        <w:rPr>
          <w:rFonts w:asciiTheme="minorHAnsi" w:hAnsiTheme="minorHAnsi" w:cstheme="minorHAnsi"/>
        </w:rPr>
        <w:t xml:space="preserve">Aby zajistili chod podniku po dobu udržitelnosti, financují příjemci projekt z vlastních zdrojů, z tržeb z další podnikatelské činnosti a na úhradu mezd čerpají ve značné míře dotace z jiných veřejných zdrojů (OP </w:t>
      </w:r>
      <w:r w:rsidRPr="008A6EB7">
        <w:rPr>
          <w:rFonts w:asciiTheme="minorHAnsi" w:hAnsiTheme="minorHAnsi" w:cstheme="minorHAnsi"/>
          <w:i/>
        </w:rPr>
        <w:t>L</w:t>
      </w:r>
      <w:r w:rsidR="00246CC0" w:rsidRPr="008A6EB7">
        <w:rPr>
          <w:rFonts w:asciiTheme="minorHAnsi" w:hAnsiTheme="minorHAnsi" w:cstheme="minorHAnsi"/>
          <w:i/>
        </w:rPr>
        <w:t>idské zdroje a zaměstnanost</w:t>
      </w:r>
      <w:r w:rsidRPr="008A6EB7">
        <w:rPr>
          <w:rFonts w:asciiTheme="minorHAnsi" w:hAnsiTheme="minorHAnsi" w:cstheme="minorHAnsi"/>
        </w:rPr>
        <w:t>, příspěvky Ú</w:t>
      </w:r>
      <w:r w:rsidR="00246CC0" w:rsidRPr="008A6EB7">
        <w:rPr>
          <w:rFonts w:asciiTheme="minorHAnsi" w:hAnsiTheme="minorHAnsi" w:cstheme="minorHAnsi"/>
        </w:rPr>
        <w:t>řadu práce ČR</w:t>
      </w:r>
      <w:r w:rsidRPr="008A6EB7">
        <w:rPr>
          <w:rFonts w:asciiTheme="minorHAnsi" w:hAnsiTheme="minorHAnsi" w:cstheme="minorHAnsi"/>
        </w:rPr>
        <w:t xml:space="preserve">). Existuje proto riziko, že bez další veřejné podpory po skončení doby udržitelnosti příjemci podnikatelskou činnost </w:t>
      </w:r>
      <w:r w:rsidR="00B8731C" w:rsidRPr="008A6EB7">
        <w:rPr>
          <w:rFonts w:asciiTheme="minorHAnsi" w:hAnsiTheme="minorHAnsi" w:cstheme="minorHAnsi"/>
        </w:rPr>
        <w:t xml:space="preserve">v sociální oblasti </w:t>
      </w:r>
      <w:r w:rsidRPr="008A6EB7">
        <w:rPr>
          <w:rFonts w:asciiTheme="minorHAnsi" w:hAnsiTheme="minorHAnsi" w:cstheme="minorHAnsi"/>
        </w:rPr>
        <w:t>ukončí</w:t>
      </w:r>
      <w:r w:rsidR="00C86804" w:rsidRPr="008A6EB7">
        <w:rPr>
          <w:rFonts w:asciiTheme="minorHAnsi" w:hAnsiTheme="minorHAnsi" w:cstheme="minorHAnsi"/>
        </w:rPr>
        <w:t>.</w:t>
      </w:r>
    </w:p>
    <w:p w14:paraId="056D5540" w14:textId="046D1C9C" w:rsidR="00E24FE0" w:rsidRPr="008A6EB7" w:rsidRDefault="00291894" w:rsidP="002F0CFD">
      <w:pPr>
        <w:pStyle w:val="Odstavecseseznamem"/>
        <w:numPr>
          <w:ilvl w:val="0"/>
          <w:numId w:val="34"/>
        </w:numPr>
        <w:tabs>
          <w:tab w:val="left" w:pos="426"/>
        </w:tabs>
        <w:ind w:left="284" w:hanging="284"/>
        <w:jc w:val="both"/>
        <w:rPr>
          <w:rFonts w:asciiTheme="minorHAnsi" w:hAnsiTheme="minorHAnsi" w:cstheme="minorHAnsi"/>
        </w:rPr>
      </w:pPr>
      <w:r w:rsidRPr="008A6EB7">
        <w:rPr>
          <w:rFonts w:asciiTheme="minorHAnsi" w:hAnsiTheme="minorHAnsi" w:cstheme="minorHAnsi"/>
        </w:rPr>
        <w:t xml:space="preserve">U </w:t>
      </w:r>
      <w:r w:rsidR="00B8731C" w:rsidRPr="008A6EB7">
        <w:rPr>
          <w:rFonts w:asciiTheme="minorHAnsi" w:hAnsiTheme="minorHAnsi" w:cstheme="minorHAnsi"/>
        </w:rPr>
        <w:t xml:space="preserve">jednoho </w:t>
      </w:r>
      <w:r w:rsidRPr="008A6EB7">
        <w:rPr>
          <w:rFonts w:asciiTheme="minorHAnsi" w:hAnsiTheme="minorHAnsi" w:cstheme="minorHAnsi"/>
        </w:rPr>
        <w:t>podnik</w:t>
      </w:r>
      <w:r w:rsidR="00B8731C" w:rsidRPr="008A6EB7">
        <w:rPr>
          <w:rFonts w:asciiTheme="minorHAnsi" w:hAnsiTheme="minorHAnsi" w:cstheme="minorHAnsi"/>
        </w:rPr>
        <w:t>u</w:t>
      </w:r>
      <w:r w:rsidRPr="008A6EB7">
        <w:rPr>
          <w:rFonts w:asciiTheme="minorHAnsi" w:hAnsiTheme="minorHAnsi" w:cstheme="minorHAnsi"/>
        </w:rPr>
        <w:t xml:space="preserve"> byla zjištěna </w:t>
      </w:r>
      <w:r w:rsidR="00E24FE0" w:rsidRPr="008A6EB7">
        <w:rPr>
          <w:rFonts w:asciiTheme="minorHAnsi" w:hAnsiTheme="minorHAnsi" w:cstheme="minorHAnsi"/>
        </w:rPr>
        <w:t>vysoká fluktuace zaměstnanců z cílových skupin a obtíž</w:t>
      </w:r>
      <w:r w:rsidRPr="008A6EB7">
        <w:rPr>
          <w:rFonts w:asciiTheme="minorHAnsi" w:hAnsiTheme="minorHAnsi" w:cstheme="minorHAnsi"/>
        </w:rPr>
        <w:t>e při</w:t>
      </w:r>
      <w:r w:rsidR="00E24FE0" w:rsidRPr="008A6EB7">
        <w:rPr>
          <w:rFonts w:asciiTheme="minorHAnsi" w:hAnsiTheme="minorHAnsi" w:cstheme="minorHAnsi"/>
        </w:rPr>
        <w:t xml:space="preserve"> hledání</w:t>
      </w:r>
      <w:r w:rsidRPr="008A6EB7">
        <w:rPr>
          <w:rFonts w:asciiTheme="minorHAnsi" w:hAnsiTheme="minorHAnsi" w:cstheme="minorHAnsi"/>
        </w:rPr>
        <w:t xml:space="preserve"> </w:t>
      </w:r>
      <w:r w:rsidR="00C578F7" w:rsidRPr="008A6EB7">
        <w:rPr>
          <w:rFonts w:asciiTheme="minorHAnsi" w:hAnsiTheme="minorHAnsi" w:cstheme="minorHAnsi"/>
        </w:rPr>
        <w:t xml:space="preserve">nových </w:t>
      </w:r>
      <w:r w:rsidRPr="008A6EB7">
        <w:rPr>
          <w:rFonts w:asciiTheme="minorHAnsi" w:hAnsiTheme="minorHAnsi" w:cstheme="minorHAnsi"/>
        </w:rPr>
        <w:t>zaměstnanců</w:t>
      </w:r>
      <w:r w:rsidR="00E24FE0" w:rsidRPr="008A6EB7">
        <w:rPr>
          <w:rFonts w:asciiTheme="minorHAnsi" w:hAnsiTheme="minorHAnsi" w:cstheme="minorHAnsi"/>
        </w:rPr>
        <w:t>. V takovém případě však projekt nemůže zvýšit kvalifikaci těchto osob</w:t>
      </w:r>
      <w:r w:rsidR="00AF756A">
        <w:rPr>
          <w:rFonts w:asciiTheme="minorHAnsi" w:hAnsiTheme="minorHAnsi" w:cstheme="minorHAnsi"/>
        </w:rPr>
        <w:t>,</w:t>
      </w:r>
      <w:r w:rsidR="00E24FE0" w:rsidRPr="008A6EB7">
        <w:rPr>
          <w:rFonts w:asciiTheme="minorHAnsi" w:hAnsiTheme="minorHAnsi" w:cstheme="minorHAnsi"/>
        </w:rPr>
        <w:t xml:space="preserve"> a napomoci tak jejich nezávislosti na systému dávek.</w:t>
      </w:r>
    </w:p>
    <w:p w14:paraId="4E6C2F3F" w14:textId="77777777" w:rsidR="00D2350D" w:rsidRDefault="00D2350D" w:rsidP="00E24FE0">
      <w:pPr>
        <w:tabs>
          <w:tab w:val="left" w:pos="709"/>
        </w:tabs>
        <w:jc w:val="both"/>
        <w:rPr>
          <w:rFonts w:asciiTheme="minorHAnsi" w:hAnsiTheme="minorHAnsi" w:cstheme="minorHAnsi"/>
        </w:rPr>
      </w:pPr>
    </w:p>
    <w:p w14:paraId="275D6A2A" w14:textId="77777777" w:rsidR="006A1FA4" w:rsidRPr="007F3A9D" w:rsidRDefault="007C55A5" w:rsidP="00824E07">
      <w:pPr>
        <w:tabs>
          <w:tab w:val="left" w:pos="567"/>
        </w:tabs>
        <w:spacing w:after="120"/>
        <w:jc w:val="both"/>
        <w:rPr>
          <w:rFonts w:asciiTheme="minorHAnsi" w:hAnsiTheme="minorHAnsi" w:cstheme="minorHAnsi"/>
          <w:b/>
        </w:rPr>
      </w:pPr>
      <w:r w:rsidRPr="007F3A9D">
        <w:rPr>
          <w:rFonts w:asciiTheme="minorHAnsi" w:hAnsiTheme="minorHAnsi" w:cstheme="minorHAnsi"/>
          <w:b/>
        </w:rPr>
        <w:t xml:space="preserve">2. Operační program </w:t>
      </w:r>
      <w:r w:rsidRPr="007F3A9D">
        <w:rPr>
          <w:rFonts w:asciiTheme="minorHAnsi" w:hAnsiTheme="minorHAnsi" w:cstheme="minorHAnsi"/>
          <w:b/>
          <w:i/>
        </w:rPr>
        <w:t>Výzkum a vývoj pro inovace</w:t>
      </w:r>
    </w:p>
    <w:p w14:paraId="3DC41FC3" w14:textId="68EF3AC0" w:rsidR="006A1FA4" w:rsidRPr="009F19DA" w:rsidRDefault="007C55A5" w:rsidP="00097DB5">
      <w:pPr>
        <w:tabs>
          <w:tab w:val="left" w:pos="567"/>
        </w:tabs>
        <w:spacing w:after="120"/>
        <w:contextualSpacing/>
        <w:jc w:val="both"/>
        <w:rPr>
          <w:rFonts w:asciiTheme="minorHAnsi" w:hAnsiTheme="minorHAnsi" w:cstheme="minorHAnsi"/>
          <w:b/>
        </w:rPr>
      </w:pPr>
      <w:r>
        <w:rPr>
          <w:rFonts w:asciiTheme="minorHAnsi" w:hAnsiTheme="minorHAnsi" w:cstheme="minorHAnsi"/>
          <w:b/>
        </w:rPr>
        <w:t>2.1</w:t>
      </w:r>
      <w:r w:rsidR="006A1FA4">
        <w:rPr>
          <w:rFonts w:asciiTheme="minorHAnsi" w:hAnsiTheme="minorHAnsi" w:cstheme="minorHAnsi"/>
          <w:b/>
        </w:rPr>
        <w:t xml:space="preserve"> </w:t>
      </w:r>
      <w:r w:rsidR="006A1FA4" w:rsidRPr="009F19DA">
        <w:rPr>
          <w:rFonts w:asciiTheme="minorHAnsi" w:hAnsiTheme="minorHAnsi" w:cstheme="minorHAnsi"/>
          <w:b/>
        </w:rPr>
        <w:t xml:space="preserve">Nastavení podmínek udržitelnosti </w:t>
      </w:r>
      <w:r w:rsidR="00C578F7">
        <w:rPr>
          <w:rFonts w:asciiTheme="minorHAnsi" w:hAnsiTheme="minorHAnsi" w:cstheme="minorHAnsi"/>
          <w:b/>
        </w:rPr>
        <w:t>u</w:t>
      </w:r>
      <w:r w:rsidR="006A1FA4">
        <w:rPr>
          <w:rFonts w:asciiTheme="minorHAnsi" w:hAnsiTheme="minorHAnsi" w:cstheme="minorHAnsi"/>
          <w:b/>
        </w:rPr>
        <w:t> </w:t>
      </w:r>
      <w:proofErr w:type="gramStart"/>
      <w:r w:rsidR="006A1FA4" w:rsidRPr="009F19DA">
        <w:rPr>
          <w:rFonts w:asciiTheme="minorHAnsi" w:hAnsiTheme="minorHAnsi" w:cstheme="minorHAnsi"/>
          <w:b/>
        </w:rPr>
        <w:t>OP</w:t>
      </w:r>
      <w:proofErr w:type="gramEnd"/>
      <w:r w:rsidR="006A1FA4">
        <w:rPr>
          <w:rFonts w:asciiTheme="minorHAnsi" w:hAnsiTheme="minorHAnsi" w:cstheme="minorHAnsi"/>
          <w:b/>
        </w:rPr>
        <w:t xml:space="preserve"> </w:t>
      </w:r>
      <w:proofErr w:type="spellStart"/>
      <w:r w:rsidR="006A1FA4">
        <w:rPr>
          <w:rFonts w:asciiTheme="minorHAnsi" w:hAnsiTheme="minorHAnsi" w:cstheme="minorHAnsi"/>
          <w:b/>
        </w:rPr>
        <w:t>VaVpI</w:t>
      </w:r>
      <w:proofErr w:type="spellEnd"/>
    </w:p>
    <w:p w14:paraId="280361E5" w14:textId="3CADCCCA" w:rsidR="007206F8" w:rsidRPr="00327154" w:rsidRDefault="007206F8" w:rsidP="00327154">
      <w:pPr>
        <w:pStyle w:val="Odstavecseseznamem"/>
        <w:numPr>
          <w:ilvl w:val="0"/>
          <w:numId w:val="22"/>
        </w:numPr>
        <w:spacing w:after="120"/>
        <w:ind w:left="425" w:hanging="425"/>
        <w:jc w:val="both"/>
        <w:rPr>
          <w:rFonts w:asciiTheme="minorHAnsi" w:hAnsiTheme="minorHAnsi" w:cstheme="minorHAnsi"/>
          <w:b/>
          <w:i/>
        </w:rPr>
      </w:pPr>
      <w:r w:rsidRPr="00327154">
        <w:rPr>
          <w:rFonts w:asciiTheme="minorHAnsi" w:hAnsiTheme="minorHAnsi" w:cstheme="minorHAnsi"/>
          <w:b/>
          <w:i/>
        </w:rPr>
        <w:t>MŠMT nezavázalo dostatečným způsobem příjemce podpory z </w:t>
      </w:r>
      <w:proofErr w:type="gramStart"/>
      <w:r w:rsidRPr="00327154">
        <w:rPr>
          <w:rFonts w:asciiTheme="minorHAnsi" w:hAnsiTheme="minorHAnsi" w:cstheme="minorHAnsi"/>
          <w:b/>
          <w:i/>
        </w:rPr>
        <w:t>OP</w:t>
      </w:r>
      <w:proofErr w:type="gramEnd"/>
      <w:r w:rsidRPr="00327154">
        <w:rPr>
          <w:rFonts w:asciiTheme="minorHAnsi" w:hAnsiTheme="minorHAnsi" w:cstheme="minorHAnsi"/>
          <w:b/>
          <w:i/>
        </w:rPr>
        <w:t xml:space="preserve"> </w:t>
      </w:r>
      <w:proofErr w:type="spellStart"/>
      <w:r w:rsidRPr="00327154">
        <w:rPr>
          <w:rFonts w:asciiTheme="minorHAnsi" w:hAnsiTheme="minorHAnsi" w:cstheme="minorHAnsi"/>
          <w:b/>
          <w:i/>
        </w:rPr>
        <w:t>VaVpI</w:t>
      </w:r>
      <w:proofErr w:type="spellEnd"/>
      <w:r w:rsidRPr="00327154">
        <w:rPr>
          <w:rFonts w:asciiTheme="minorHAnsi" w:hAnsiTheme="minorHAnsi" w:cstheme="minorHAnsi"/>
          <w:b/>
          <w:i/>
        </w:rPr>
        <w:t xml:space="preserve"> k zajištění udržitelnosti </w:t>
      </w:r>
      <w:r w:rsidR="00D51BD1" w:rsidRPr="00327154">
        <w:rPr>
          <w:rFonts w:asciiTheme="minorHAnsi" w:hAnsiTheme="minorHAnsi" w:cstheme="minorHAnsi"/>
          <w:b/>
          <w:i/>
        </w:rPr>
        <w:t>vědeckovýzkumných center</w:t>
      </w:r>
      <w:r w:rsidRPr="00327154">
        <w:rPr>
          <w:rFonts w:asciiTheme="minorHAnsi" w:hAnsiTheme="minorHAnsi" w:cstheme="minorHAnsi"/>
          <w:b/>
          <w:i/>
        </w:rPr>
        <w:t xml:space="preserve">, neboť </w:t>
      </w:r>
      <w:r w:rsidR="00B76E12" w:rsidRPr="00327154">
        <w:rPr>
          <w:rFonts w:asciiTheme="minorHAnsi" w:hAnsiTheme="minorHAnsi" w:cstheme="minorHAnsi"/>
          <w:b/>
          <w:i/>
        </w:rPr>
        <w:t xml:space="preserve">nestanovilo žádné povinné monitorovací indikátory </w:t>
      </w:r>
      <w:r w:rsidR="00C578F7">
        <w:rPr>
          <w:rFonts w:asciiTheme="minorHAnsi" w:hAnsiTheme="minorHAnsi" w:cstheme="minorHAnsi"/>
          <w:b/>
          <w:i/>
        </w:rPr>
        <w:t>pro měření výsledků</w:t>
      </w:r>
      <w:r w:rsidR="00B76E12" w:rsidRPr="00327154">
        <w:rPr>
          <w:rFonts w:asciiTheme="minorHAnsi" w:hAnsiTheme="minorHAnsi" w:cstheme="minorHAnsi"/>
          <w:b/>
          <w:i/>
        </w:rPr>
        <w:t xml:space="preserve"> projektů v době</w:t>
      </w:r>
      <w:r w:rsidR="00B76E12" w:rsidRPr="00327154">
        <w:rPr>
          <w:rFonts w:asciiTheme="minorHAnsi" w:hAnsiTheme="minorHAnsi" w:cstheme="minorHAnsi"/>
        </w:rPr>
        <w:t xml:space="preserve"> </w:t>
      </w:r>
      <w:r w:rsidR="00B76E12" w:rsidRPr="00327154">
        <w:rPr>
          <w:rFonts w:asciiTheme="minorHAnsi" w:hAnsiTheme="minorHAnsi" w:cstheme="minorHAnsi"/>
          <w:b/>
          <w:i/>
        </w:rPr>
        <w:t>udržitelnosti.</w:t>
      </w:r>
      <w:r w:rsidR="00D51BD1" w:rsidRPr="00327154">
        <w:rPr>
          <w:rFonts w:asciiTheme="minorHAnsi" w:hAnsiTheme="minorHAnsi" w:cstheme="minorHAnsi"/>
          <w:b/>
          <w:i/>
        </w:rPr>
        <w:t xml:space="preserve"> </w:t>
      </w:r>
    </w:p>
    <w:p w14:paraId="24CF50CE" w14:textId="688B1A48" w:rsidR="00E8167E" w:rsidRDefault="003241ED" w:rsidP="00327154">
      <w:pPr>
        <w:tabs>
          <w:tab w:val="left" w:pos="567"/>
        </w:tabs>
        <w:spacing w:after="120"/>
        <w:jc w:val="both"/>
        <w:rPr>
          <w:rFonts w:asciiTheme="minorHAnsi" w:hAnsiTheme="minorHAnsi" w:cstheme="minorHAnsi"/>
        </w:rPr>
      </w:pPr>
      <w:r>
        <w:rPr>
          <w:rFonts w:asciiTheme="minorHAnsi" w:hAnsiTheme="minorHAnsi" w:cstheme="minorHAnsi"/>
        </w:rPr>
        <w:t>K udržení výstupů a výsledků projekt</w:t>
      </w:r>
      <w:r w:rsidR="00587F43">
        <w:rPr>
          <w:rFonts w:asciiTheme="minorHAnsi" w:hAnsiTheme="minorHAnsi" w:cstheme="minorHAnsi"/>
        </w:rPr>
        <w:t>ů financovaných z </w:t>
      </w:r>
      <w:proofErr w:type="gramStart"/>
      <w:r w:rsidR="00587F43">
        <w:rPr>
          <w:rFonts w:asciiTheme="minorHAnsi" w:hAnsiTheme="minorHAnsi" w:cstheme="minorHAnsi"/>
        </w:rPr>
        <w:t>OP</w:t>
      </w:r>
      <w:proofErr w:type="gramEnd"/>
      <w:r w:rsidR="00587F43">
        <w:rPr>
          <w:rFonts w:asciiTheme="minorHAnsi" w:hAnsiTheme="minorHAnsi" w:cstheme="minorHAnsi"/>
        </w:rPr>
        <w:t xml:space="preserve"> </w:t>
      </w:r>
      <w:proofErr w:type="spellStart"/>
      <w:r w:rsidR="00587F43">
        <w:rPr>
          <w:rFonts w:asciiTheme="minorHAnsi" w:hAnsiTheme="minorHAnsi" w:cstheme="minorHAnsi"/>
        </w:rPr>
        <w:t>VaVpI</w:t>
      </w:r>
      <w:proofErr w:type="spellEnd"/>
      <w:r>
        <w:rPr>
          <w:rFonts w:asciiTheme="minorHAnsi" w:hAnsiTheme="minorHAnsi" w:cstheme="minorHAnsi"/>
        </w:rPr>
        <w:t xml:space="preserve"> jsou příjemci zavázáni v právním aktu o poskytnutí dotace, ve kterém MŠMT specifikovalo dobu a pravidla udržitelnosti. </w:t>
      </w:r>
      <w:r w:rsidR="00587F43">
        <w:rPr>
          <w:rFonts w:asciiTheme="minorHAnsi" w:hAnsiTheme="minorHAnsi" w:cstheme="minorHAnsi"/>
        </w:rPr>
        <w:t>Pro příjemce podpory jsou závazné cíl</w:t>
      </w:r>
      <w:r w:rsidR="00327154">
        <w:rPr>
          <w:rFonts w:asciiTheme="minorHAnsi" w:hAnsiTheme="minorHAnsi" w:cstheme="minorHAnsi"/>
        </w:rPr>
        <w:t xml:space="preserve">e, milníky, očekávané výstupy </w:t>
      </w:r>
      <w:r w:rsidR="00C578F7">
        <w:rPr>
          <w:rFonts w:asciiTheme="minorHAnsi" w:hAnsiTheme="minorHAnsi" w:cstheme="minorHAnsi"/>
        </w:rPr>
        <w:t xml:space="preserve">projektu </w:t>
      </w:r>
      <w:r w:rsidR="00327154">
        <w:rPr>
          <w:rFonts w:asciiTheme="minorHAnsi" w:hAnsiTheme="minorHAnsi" w:cstheme="minorHAnsi"/>
        </w:rPr>
        <w:t>a </w:t>
      </w:r>
      <w:r w:rsidR="00587F43">
        <w:rPr>
          <w:rFonts w:asciiTheme="minorHAnsi" w:hAnsiTheme="minorHAnsi" w:cstheme="minorHAnsi"/>
        </w:rPr>
        <w:t>především závazné hodnoty monitorovacích indikátorů, které je příjemce povinen zachovat určitou dobu po ukončení projektu.</w:t>
      </w:r>
    </w:p>
    <w:p w14:paraId="405BB4AB" w14:textId="77777777" w:rsidR="00631D88" w:rsidRDefault="00631D88" w:rsidP="002F0CFD">
      <w:pPr>
        <w:tabs>
          <w:tab w:val="left" w:pos="567"/>
        </w:tabs>
        <w:contextualSpacing/>
        <w:jc w:val="both"/>
        <w:rPr>
          <w:rFonts w:asciiTheme="minorHAnsi" w:hAnsiTheme="minorHAnsi" w:cstheme="minorHAnsi"/>
        </w:rPr>
      </w:pPr>
      <w:r>
        <w:rPr>
          <w:rFonts w:asciiTheme="minorHAnsi" w:hAnsiTheme="minorHAnsi" w:cstheme="minorHAnsi"/>
        </w:rPr>
        <w:t xml:space="preserve">Příjemci podpory </w:t>
      </w:r>
      <w:r w:rsidR="00D51BD1">
        <w:rPr>
          <w:rFonts w:asciiTheme="minorHAnsi" w:hAnsiTheme="minorHAnsi" w:cstheme="minorHAnsi"/>
        </w:rPr>
        <w:t xml:space="preserve">v rámci prioritních os 1 a 2 OP </w:t>
      </w:r>
      <w:proofErr w:type="spellStart"/>
      <w:r w:rsidR="00D51BD1">
        <w:rPr>
          <w:rFonts w:asciiTheme="minorHAnsi" w:hAnsiTheme="minorHAnsi" w:cstheme="minorHAnsi"/>
        </w:rPr>
        <w:t>VaV</w:t>
      </w:r>
      <w:r w:rsidR="00327154">
        <w:rPr>
          <w:rFonts w:asciiTheme="minorHAnsi" w:hAnsiTheme="minorHAnsi" w:cstheme="minorHAnsi"/>
        </w:rPr>
        <w:t>pI</w:t>
      </w:r>
      <w:proofErr w:type="spellEnd"/>
      <w:r w:rsidR="00327154">
        <w:rPr>
          <w:rFonts w:asciiTheme="minorHAnsi" w:hAnsiTheme="minorHAnsi" w:cstheme="minorHAnsi"/>
        </w:rPr>
        <w:t xml:space="preserve"> (evropská centra excelence a </w:t>
      </w:r>
      <w:r w:rsidR="00D51BD1">
        <w:rPr>
          <w:rFonts w:asciiTheme="minorHAnsi" w:hAnsiTheme="minorHAnsi" w:cstheme="minorHAnsi"/>
        </w:rPr>
        <w:t xml:space="preserve">regionální výzkumná centra) </w:t>
      </w:r>
      <w:r>
        <w:rPr>
          <w:rFonts w:asciiTheme="minorHAnsi" w:hAnsiTheme="minorHAnsi" w:cstheme="minorHAnsi"/>
        </w:rPr>
        <w:t xml:space="preserve">jsou povinni udržet po dobu pěti let od </w:t>
      </w:r>
      <w:r w:rsidR="00D51BD1">
        <w:rPr>
          <w:rFonts w:asciiTheme="minorHAnsi" w:hAnsiTheme="minorHAnsi" w:cstheme="minorHAnsi"/>
        </w:rPr>
        <w:t>vybudování center</w:t>
      </w:r>
      <w:r>
        <w:rPr>
          <w:rFonts w:asciiTheme="minorHAnsi" w:hAnsiTheme="minorHAnsi" w:cstheme="minorHAnsi"/>
        </w:rPr>
        <w:t xml:space="preserve"> pouze dva typy indikátorů:</w:t>
      </w:r>
    </w:p>
    <w:p w14:paraId="192EE90D" w14:textId="72963094" w:rsidR="00631D88" w:rsidRPr="00631D88" w:rsidRDefault="00631D88" w:rsidP="002F0CFD">
      <w:pPr>
        <w:pStyle w:val="Odstavecseseznamem"/>
        <w:numPr>
          <w:ilvl w:val="0"/>
          <w:numId w:val="23"/>
        </w:numPr>
        <w:tabs>
          <w:tab w:val="left" w:pos="284"/>
        </w:tabs>
        <w:spacing w:after="120"/>
        <w:ind w:left="284" w:hanging="284"/>
        <w:jc w:val="both"/>
        <w:rPr>
          <w:rFonts w:asciiTheme="minorHAnsi" w:hAnsiTheme="minorHAnsi" w:cstheme="minorHAnsi"/>
        </w:rPr>
      </w:pPr>
      <w:r w:rsidRPr="00631D88">
        <w:rPr>
          <w:rFonts w:asciiTheme="minorHAnsi" w:hAnsiTheme="minorHAnsi" w:cstheme="minorHAnsi"/>
        </w:rPr>
        <w:t>rozšířené, zrekonstruované či vybudované kapacity</w:t>
      </w:r>
      <w:r w:rsidR="00AF756A">
        <w:rPr>
          <w:rFonts w:asciiTheme="minorHAnsi" w:hAnsiTheme="minorHAnsi" w:cstheme="minorHAnsi"/>
        </w:rPr>
        <w:t>,</w:t>
      </w:r>
    </w:p>
    <w:p w14:paraId="37AF64E6" w14:textId="77777777" w:rsidR="00631D88" w:rsidRPr="00631D88" w:rsidRDefault="00631D88" w:rsidP="002F0CFD">
      <w:pPr>
        <w:pStyle w:val="Odstavecseseznamem"/>
        <w:numPr>
          <w:ilvl w:val="0"/>
          <w:numId w:val="23"/>
        </w:numPr>
        <w:tabs>
          <w:tab w:val="left" w:pos="284"/>
        </w:tabs>
        <w:spacing w:after="120"/>
        <w:ind w:left="284" w:hanging="284"/>
        <w:jc w:val="both"/>
        <w:rPr>
          <w:rFonts w:asciiTheme="minorHAnsi" w:hAnsiTheme="minorHAnsi" w:cstheme="minorHAnsi"/>
        </w:rPr>
      </w:pPr>
      <w:r w:rsidRPr="00631D88">
        <w:rPr>
          <w:rFonts w:asciiTheme="minorHAnsi" w:hAnsiTheme="minorHAnsi" w:cstheme="minorHAnsi"/>
        </w:rPr>
        <w:lastRenderedPageBreak/>
        <w:t>počet nově vytvořených pracovních míst.</w:t>
      </w:r>
    </w:p>
    <w:p w14:paraId="5EBEA8D7" w14:textId="19076EEC" w:rsidR="00631D88" w:rsidRDefault="00E82600" w:rsidP="00097DB5">
      <w:pPr>
        <w:tabs>
          <w:tab w:val="left" w:pos="567"/>
        </w:tabs>
        <w:spacing w:after="120"/>
        <w:contextualSpacing/>
        <w:jc w:val="both"/>
        <w:rPr>
          <w:rFonts w:asciiTheme="minorHAnsi" w:hAnsiTheme="minorHAnsi" w:cstheme="minorHAnsi"/>
        </w:rPr>
      </w:pPr>
      <w:r>
        <w:rPr>
          <w:rFonts w:asciiTheme="minorHAnsi" w:hAnsiTheme="minorHAnsi" w:cstheme="minorHAnsi"/>
        </w:rPr>
        <w:t xml:space="preserve">MŠMT nestanovilo </w:t>
      </w:r>
      <w:r w:rsidR="00092AA0">
        <w:rPr>
          <w:rFonts w:asciiTheme="minorHAnsi" w:hAnsiTheme="minorHAnsi" w:cstheme="minorHAnsi"/>
        </w:rPr>
        <w:t>žádné povinné monitorovací indikátory, které by po celou dobu udržitelnosti měřily konkrétní výstupy a výsledky vybudovaných center. Tento typ ukazatelů (např. odborné publikace, aplikované výsledky výzkumu, objem smluvního výzkumu, patenty apod.) je pro příjemce v době udržitelnosti závazný</w:t>
      </w:r>
      <w:r w:rsidR="00A3329C">
        <w:rPr>
          <w:rFonts w:asciiTheme="minorHAnsi" w:hAnsiTheme="minorHAnsi" w:cstheme="minorHAnsi"/>
        </w:rPr>
        <w:t xml:space="preserve"> pouze </w:t>
      </w:r>
      <w:r w:rsidR="00C578F7">
        <w:rPr>
          <w:rFonts w:asciiTheme="minorHAnsi" w:hAnsiTheme="minorHAnsi" w:cstheme="minorHAnsi"/>
        </w:rPr>
        <w:t> do data</w:t>
      </w:r>
      <w:r w:rsidR="00A3329C">
        <w:rPr>
          <w:rFonts w:asciiTheme="minorHAnsi" w:hAnsiTheme="minorHAnsi" w:cstheme="minorHAnsi"/>
        </w:rPr>
        <w:t xml:space="preserve"> 31.</w:t>
      </w:r>
      <w:r w:rsidR="00C578F7">
        <w:rPr>
          <w:rFonts w:asciiTheme="minorHAnsi" w:hAnsiTheme="minorHAnsi" w:cstheme="minorHAnsi"/>
        </w:rPr>
        <w:t> </w:t>
      </w:r>
      <w:r w:rsidR="00A3329C">
        <w:rPr>
          <w:rFonts w:asciiTheme="minorHAnsi" w:hAnsiTheme="minorHAnsi" w:cstheme="minorHAnsi"/>
        </w:rPr>
        <w:t>12.</w:t>
      </w:r>
      <w:r w:rsidR="00C578F7">
        <w:rPr>
          <w:rFonts w:asciiTheme="minorHAnsi" w:hAnsiTheme="minorHAnsi" w:cstheme="minorHAnsi"/>
        </w:rPr>
        <w:t> </w:t>
      </w:r>
      <w:r w:rsidR="00A3329C">
        <w:rPr>
          <w:rFonts w:asciiTheme="minorHAnsi" w:hAnsiTheme="minorHAnsi" w:cstheme="minorHAnsi"/>
        </w:rPr>
        <w:t>2015 (tj. </w:t>
      </w:r>
      <w:r w:rsidR="00092AA0">
        <w:rPr>
          <w:rFonts w:asciiTheme="minorHAnsi" w:hAnsiTheme="minorHAnsi" w:cstheme="minorHAnsi"/>
        </w:rPr>
        <w:t xml:space="preserve">většinou </w:t>
      </w:r>
      <w:r w:rsidR="00246CC0">
        <w:rPr>
          <w:rFonts w:asciiTheme="minorHAnsi" w:hAnsiTheme="minorHAnsi" w:cstheme="minorHAnsi"/>
        </w:rPr>
        <w:t xml:space="preserve">jenom </w:t>
      </w:r>
      <w:r w:rsidR="00092AA0">
        <w:rPr>
          <w:rFonts w:asciiTheme="minorHAnsi" w:hAnsiTheme="minorHAnsi" w:cstheme="minorHAnsi"/>
        </w:rPr>
        <w:t xml:space="preserve">dva roky od vybudování výzkumného centra). </w:t>
      </w:r>
    </w:p>
    <w:p w14:paraId="53601F6A" w14:textId="77777777" w:rsidR="007206F8" w:rsidRPr="00327154" w:rsidRDefault="00D51BD1" w:rsidP="00327154">
      <w:pPr>
        <w:pStyle w:val="Odstavecseseznamem"/>
        <w:numPr>
          <w:ilvl w:val="0"/>
          <w:numId w:val="22"/>
        </w:numPr>
        <w:tabs>
          <w:tab w:val="left" w:pos="0"/>
        </w:tabs>
        <w:spacing w:after="120"/>
        <w:ind w:left="425" w:hanging="425"/>
        <w:jc w:val="both"/>
        <w:rPr>
          <w:rFonts w:asciiTheme="minorHAnsi" w:hAnsiTheme="minorHAnsi" w:cstheme="minorHAnsi"/>
          <w:b/>
          <w:i/>
        </w:rPr>
      </w:pPr>
      <w:r w:rsidRPr="00327154">
        <w:rPr>
          <w:rFonts w:asciiTheme="minorHAnsi" w:hAnsiTheme="minorHAnsi" w:cstheme="minorHAnsi"/>
          <w:b/>
          <w:i/>
        </w:rPr>
        <w:t>MŠMT nemá přehled o tom, kolik bylo vytvořeno prokazatelně nových pracovních míst ve vědě a výzkumu.</w:t>
      </w:r>
    </w:p>
    <w:p w14:paraId="29A20126" w14:textId="4D3720D6" w:rsidR="00924C14" w:rsidRDefault="00786AF7" w:rsidP="00097DB5">
      <w:pPr>
        <w:tabs>
          <w:tab w:val="left" w:pos="567"/>
        </w:tabs>
        <w:spacing w:after="120"/>
        <w:contextualSpacing/>
        <w:jc w:val="both"/>
        <w:rPr>
          <w:rFonts w:asciiTheme="minorHAnsi" w:hAnsiTheme="minorHAnsi" w:cstheme="minorHAnsi"/>
        </w:rPr>
      </w:pPr>
      <w:r>
        <w:rPr>
          <w:rFonts w:asciiTheme="minorHAnsi" w:hAnsiTheme="minorHAnsi" w:cstheme="minorHAnsi"/>
        </w:rPr>
        <w:t xml:space="preserve">V rámci projektů z prioritních os 1 a 2 nevznikly v systému výzkumu, vývoje a inovací ČR žádné nové instituce, tj. samostatné právní subjekty, ale byl podpořen rozvoj již existujících institucí. </w:t>
      </w:r>
      <w:r w:rsidR="00432FF7">
        <w:rPr>
          <w:rFonts w:asciiTheme="minorHAnsi" w:hAnsiTheme="minorHAnsi" w:cstheme="minorHAnsi"/>
        </w:rPr>
        <w:t>V případě ukazatele zaměřeného na počet nově vytvořených pracovních míst jsou započítáváni i ti zaměstnanci, kteří přešli do výzkumného centra z původní mateřské instituce</w:t>
      </w:r>
      <w:r w:rsidR="00924C14">
        <w:rPr>
          <w:rFonts w:asciiTheme="minorHAnsi" w:hAnsiTheme="minorHAnsi" w:cstheme="minorHAnsi"/>
        </w:rPr>
        <w:t xml:space="preserve"> a kteří se v mnoha případech na stejném výzkumném úkolu </w:t>
      </w:r>
      <w:r w:rsidR="00C578F7">
        <w:rPr>
          <w:rFonts w:asciiTheme="minorHAnsi" w:hAnsiTheme="minorHAnsi" w:cstheme="minorHAnsi"/>
        </w:rPr>
        <w:t xml:space="preserve">podíleli </w:t>
      </w:r>
      <w:r w:rsidR="00924C14">
        <w:rPr>
          <w:rFonts w:asciiTheme="minorHAnsi" w:hAnsiTheme="minorHAnsi" w:cstheme="minorHAnsi"/>
        </w:rPr>
        <w:t>již dříve. MŠMT nesleduje, v jakém rozsahu přinesla vybudovaná výzkumná centra prokazatelně nově vzniklá pracovní místa.</w:t>
      </w:r>
    </w:p>
    <w:p w14:paraId="4712C7E6" w14:textId="77777777" w:rsidR="007206F8" w:rsidRPr="00327154" w:rsidRDefault="00D51BD1" w:rsidP="00327154">
      <w:pPr>
        <w:pStyle w:val="Odstavecseseznamem"/>
        <w:numPr>
          <w:ilvl w:val="0"/>
          <w:numId w:val="22"/>
        </w:numPr>
        <w:spacing w:after="120"/>
        <w:ind w:left="425" w:hanging="425"/>
        <w:rPr>
          <w:rFonts w:asciiTheme="minorHAnsi" w:hAnsiTheme="minorHAnsi" w:cstheme="minorHAnsi"/>
          <w:b/>
          <w:i/>
        </w:rPr>
      </w:pPr>
      <w:r w:rsidRPr="00327154">
        <w:rPr>
          <w:rFonts w:asciiTheme="minorHAnsi" w:hAnsiTheme="minorHAnsi" w:cstheme="minorHAnsi"/>
          <w:b/>
          <w:i/>
        </w:rPr>
        <w:t>MŠMT stanovilo povinnou udržitelnost vědeckovýzkumných center na pět let.</w:t>
      </w:r>
    </w:p>
    <w:p w14:paraId="368BAC21" w14:textId="56F3880F" w:rsidR="00A07BBD" w:rsidRPr="00E8167E" w:rsidRDefault="00B42723" w:rsidP="006A1FA4">
      <w:pPr>
        <w:tabs>
          <w:tab w:val="left" w:pos="567"/>
        </w:tabs>
        <w:contextualSpacing/>
        <w:jc w:val="both"/>
        <w:rPr>
          <w:rFonts w:asciiTheme="minorHAnsi" w:hAnsiTheme="minorHAnsi" w:cstheme="minorHAnsi"/>
        </w:rPr>
      </w:pPr>
      <w:r>
        <w:rPr>
          <w:rFonts w:asciiTheme="minorHAnsi" w:hAnsiTheme="minorHAnsi" w:cstheme="minorHAnsi"/>
        </w:rPr>
        <w:t>V rámci prioritní</w:t>
      </w:r>
      <w:r w:rsidR="00C578F7">
        <w:rPr>
          <w:rFonts w:asciiTheme="minorHAnsi" w:hAnsiTheme="minorHAnsi" w:cstheme="minorHAnsi"/>
        </w:rPr>
        <w:t>ch</w:t>
      </w:r>
      <w:r>
        <w:rPr>
          <w:rFonts w:asciiTheme="minorHAnsi" w:hAnsiTheme="minorHAnsi" w:cstheme="minorHAnsi"/>
        </w:rPr>
        <w:t xml:space="preserve"> os 1 a 2 MŠMT </w:t>
      </w:r>
      <w:r w:rsidR="004D1CC7">
        <w:rPr>
          <w:rFonts w:asciiTheme="minorHAnsi" w:hAnsiTheme="minorHAnsi" w:cstheme="minorHAnsi"/>
        </w:rPr>
        <w:t xml:space="preserve">ani </w:t>
      </w:r>
      <w:r>
        <w:rPr>
          <w:rFonts w:asciiTheme="minorHAnsi" w:hAnsiTheme="minorHAnsi" w:cstheme="minorHAnsi"/>
        </w:rPr>
        <w:t>nezvažovalo stanovení delšího období udržitelnosti než pět let. Jedná se přitom o finančně velmi nároč</w:t>
      </w:r>
      <w:r w:rsidR="005B5F3A">
        <w:rPr>
          <w:rFonts w:asciiTheme="minorHAnsi" w:hAnsiTheme="minorHAnsi" w:cstheme="minorHAnsi"/>
        </w:rPr>
        <w:t>né projekty, u kterých lze navíc pozitivního dopadu dosáhnout až v delším časovém horizont</w:t>
      </w:r>
      <w:r w:rsidR="004D1CC7">
        <w:rPr>
          <w:rFonts w:asciiTheme="minorHAnsi" w:hAnsiTheme="minorHAnsi" w:cstheme="minorHAnsi"/>
        </w:rPr>
        <w:t>u</w:t>
      </w:r>
      <w:r w:rsidR="005B5F3A">
        <w:rPr>
          <w:rFonts w:asciiTheme="minorHAnsi" w:hAnsiTheme="minorHAnsi" w:cstheme="minorHAnsi"/>
        </w:rPr>
        <w:t xml:space="preserve">. Naopak u jedné z výzev z prioritní osy 4, zaměřené na infrastrukturu vysokých škol, řídicí orgán požaduje desetiletou udržitelnost. Podle </w:t>
      </w:r>
      <w:r w:rsidR="00B8731C">
        <w:rPr>
          <w:rFonts w:asciiTheme="minorHAnsi" w:hAnsiTheme="minorHAnsi" w:cstheme="minorHAnsi"/>
        </w:rPr>
        <w:t xml:space="preserve">názoru </w:t>
      </w:r>
      <w:r w:rsidR="005B5F3A">
        <w:rPr>
          <w:rFonts w:asciiTheme="minorHAnsi" w:hAnsiTheme="minorHAnsi" w:cstheme="minorHAnsi"/>
        </w:rPr>
        <w:t xml:space="preserve">NKÚ </w:t>
      </w:r>
      <w:r w:rsidR="002D13F9">
        <w:rPr>
          <w:rFonts w:asciiTheme="minorHAnsi" w:hAnsiTheme="minorHAnsi" w:cstheme="minorHAnsi"/>
        </w:rPr>
        <w:t xml:space="preserve">by </w:t>
      </w:r>
      <w:r w:rsidR="005B5F3A">
        <w:rPr>
          <w:rFonts w:asciiTheme="minorHAnsi" w:hAnsiTheme="minorHAnsi" w:cstheme="minorHAnsi"/>
        </w:rPr>
        <w:t xml:space="preserve">stanovení delší doby udržitelnosti </w:t>
      </w:r>
      <w:r w:rsidR="00B8731C">
        <w:rPr>
          <w:rFonts w:asciiTheme="minorHAnsi" w:hAnsiTheme="minorHAnsi" w:cstheme="minorHAnsi"/>
        </w:rPr>
        <w:t xml:space="preserve">bylo </w:t>
      </w:r>
      <w:r w:rsidR="00F066C5">
        <w:rPr>
          <w:rFonts w:asciiTheme="minorHAnsi" w:hAnsiTheme="minorHAnsi" w:cstheme="minorHAnsi"/>
        </w:rPr>
        <w:t>relevantní i </w:t>
      </w:r>
      <w:r w:rsidR="005B5F3A">
        <w:rPr>
          <w:rFonts w:asciiTheme="minorHAnsi" w:hAnsiTheme="minorHAnsi" w:cstheme="minorHAnsi"/>
        </w:rPr>
        <w:t xml:space="preserve">v případě center </w:t>
      </w:r>
      <w:r w:rsidR="00327154">
        <w:rPr>
          <w:rFonts w:asciiTheme="minorHAnsi" w:hAnsiTheme="minorHAnsi" w:cstheme="minorHAnsi"/>
        </w:rPr>
        <w:t>excelence a </w:t>
      </w:r>
      <w:r w:rsidR="005B5F3A">
        <w:rPr>
          <w:rFonts w:asciiTheme="minorHAnsi" w:hAnsiTheme="minorHAnsi" w:cstheme="minorHAnsi"/>
        </w:rPr>
        <w:t>regionálních výzkumných center.</w:t>
      </w:r>
    </w:p>
    <w:p w14:paraId="27574535" w14:textId="77777777" w:rsidR="00652678" w:rsidRDefault="00652678" w:rsidP="00F94683">
      <w:pPr>
        <w:tabs>
          <w:tab w:val="left" w:pos="567"/>
        </w:tabs>
        <w:spacing w:after="120"/>
        <w:contextualSpacing/>
        <w:jc w:val="both"/>
        <w:rPr>
          <w:rFonts w:asciiTheme="minorHAnsi" w:hAnsiTheme="minorHAnsi" w:cstheme="minorHAnsi"/>
          <w:b/>
        </w:rPr>
      </w:pPr>
    </w:p>
    <w:p w14:paraId="5A06C636" w14:textId="77777777" w:rsidR="006A1FA4" w:rsidRPr="006A1FA4" w:rsidRDefault="006A1FA4" w:rsidP="00F94683">
      <w:pPr>
        <w:tabs>
          <w:tab w:val="left" w:pos="567"/>
        </w:tabs>
        <w:spacing w:after="120"/>
        <w:contextualSpacing/>
        <w:jc w:val="both"/>
        <w:rPr>
          <w:rFonts w:asciiTheme="minorHAnsi" w:hAnsiTheme="minorHAnsi" w:cstheme="minorHAnsi"/>
          <w:b/>
        </w:rPr>
      </w:pPr>
      <w:r w:rsidRPr="006A1FA4">
        <w:rPr>
          <w:rFonts w:asciiTheme="minorHAnsi" w:hAnsiTheme="minorHAnsi" w:cstheme="minorHAnsi"/>
          <w:b/>
        </w:rPr>
        <w:t>2.</w:t>
      </w:r>
      <w:r w:rsidR="007C55A5">
        <w:rPr>
          <w:rFonts w:asciiTheme="minorHAnsi" w:hAnsiTheme="minorHAnsi" w:cstheme="minorHAnsi"/>
          <w:b/>
        </w:rPr>
        <w:t>2</w:t>
      </w:r>
      <w:r w:rsidRPr="006A1FA4">
        <w:rPr>
          <w:rFonts w:asciiTheme="minorHAnsi" w:hAnsiTheme="minorHAnsi" w:cstheme="minorHAnsi"/>
          <w:b/>
        </w:rPr>
        <w:t xml:space="preserve"> </w:t>
      </w:r>
      <w:r w:rsidR="00E2187A">
        <w:rPr>
          <w:rFonts w:asciiTheme="minorHAnsi" w:hAnsiTheme="minorHAnsi" w:cstheme="minorHAnsi"/>
          <w:b/>
        </w:rPr>
        <w:t>Provádění k</w:t>
      </w:r>
      <w:r w:rsidRPr="006A1FA4">
        <w:rPr>
          <w:rFonts w:asciiTheme="minorHAnsi" w:hAnsiTheme="minorHAnsi" w:cstheme="minorHAnsi"/>
          <w:b/>
        </w:rPr>
        <w:t>ontrol</w:t>
      </w:r>
      <w:r w:rsidR="00E2187A">
        <w:rPr>
          <w:rFonts w:asciiTheme="minorHAnsi" w:hAnsiTheme="minorHAnsi" w:cstheme="minorHAnsi"/>
          <w:b/>
        </w:rPr>
        <w:t>y</w:t>
      </w:r>
      <w:r w:rsidRPr="006A1FA4">
        <w:rPr>
          <w:rFonts w:asciiTheme="minorHAnsi" w:hAnsiTheme="minorHAnsi" w:cstheme="minorHAnsi"/>
          <w:b/>
        </w:rPr>
        <w:t xml:space="preserve"> projektů v době udržitelnosti</w:t>
      </w:r>
    </w:p>
    <w:p w14:paraId="50EEFC27" w14:textId="5FA42B15" w:rsidR="00285FDB" w:rsidRPr="00327154" w:rsidRDefault="00F33079" w:rsidP="00F94683">
      <w:pPr>
        <w:pStyle w:val="Odstavecseseznamem"/>
        <w:numPr>
          <w:ilvl w:val="0"/>
          <w:numId w:val="22"/>
        </w:numPr>
        <w:spacing w:after="120"/>
        <w:ind w:left="425" w:hanging="425"/>
        <w:jc w:val="both"/>
        <w:rPr>
          <w:rFonts w:asciiTheme="minorHAnsi" w:hAnsiTheme="minorHAnsi" w:cstheme="minorHAnsi"/>
          <w:b/>
          <w:i/>
        </w:rPr>
      </w:pPr>
      <w:r w:rsidRPr="00327154">
        <w:rPr>
          <w:rFonts w:asciiTheme="minorHAnsi" w:hAnsiTheme="minorHAnsi" w:cstheme="minorHAnsi"/>
          <w:b/>
          <w:i/>
        </w:rPr>
        <w:t>MŠMT neprovád</w:t>
      </w:r>
      <w:r w:rsidR="005D59B1">
        <w:rPr>
          <w:rFonts w:asciiTheme="minorHAnsi" w:hAnsiTheme="minorHAnsi" w:cstheme="minorHAnsi"/>
          <w:b/>
          <w:i/>
        </w:rPr>
        <w:t>ěl</w:t>
      </w:r>
      <w:r w:rsidR="002161A6">
        <w:rPr>
          <w:rFonts w:asciiTheme="minorHAnsi" w:hAnsiTheme="minorHAnsi" w:cstheme="minorHAnsi"/>
          <w:b/>
          <w:i/>
        </w:rPr>
        <w:t>o</w:t>
      </w:r>
      <w:r w:rsidRPr="00327154">
        <w:rPr>
          <w:rFonts w:asciiTheme="minorHAnsi" w:hAnsiTheme="minorHAnsi" w:cstheme="minorHAnsi"/>
          <w:b/>
          <w:i/>
        </w:rPr>
        <w:t xml:space="preserve"> monitoring a kontrolu vědeckovýzkumných center v době udržitelnosti</w:t>
      </w:r>
      <w:r w:rsidR="0026231D" w:rsidRPr="00327154">
        <w:rPr>
          <w:rFonts w:asciiTheme="minorHAnsi" w:hAnsiTheme="minorHAnsi" w:cstheme="minorHAnsi"/>
          <w:b/>
          <w:i/>
        </w:rPr>
        <w:t>.</w:t>
      </w:r>
      <w:r w:rsidR="00285FDB" w:rsidRPr="00327154">
        <w:rPr>
          <w:rFonts w:asciiTheme="minorHAnsi" w:hAnsiTheme="minorHAnsi" w:cstheme="minorHAnsi"/>
          <w:b/>
          <w:i/>
        </w:rPr>
        <w:t xml:space="preserve"> </w:t>
      </w:r>
    </w:p>
    <w:p w14:paraId="7B4C4BA4" w14:textId="77777777" w:rsidR="00481A9B" w:rsidRDefault="00C3694E" w:rsidP="00097DB5">
      <w:pPr>
        <w:pStyle w:val="KPnormln"/>
        <w:ind w:firstLine="0"/>
      </w:pPr>
      <w:r>
        <w:t>Do konce června</w:t>
      </w:r>
      <w:r w:rsidR="000936F1">
        <w:t xml:space="preserve"> 2015 byl</w:t>
      </w:r>
      <w:r w:rsidR="005929A9">
        <w:t>a</w:t>
      </w:r>
      <w:r w:rsidR="000936F1">
        <w:t xml:space="preserve"> z prostředků OP </w:t>
      </w:r>
      <w:proofErr w:type="spellStart"/>
      <w:r w:rsidR="000936F1">
        <w:t>VaVpI</w:t>
      </w:r>
      <w:proofErr w:type="spellEnd"/>
      <w:r w:rsidR="000936F1">
        <w:t xml:space="preserve"> vybudována tři evropská centra excelence (projekty z prioritní osy 1) a </w:t>
      </w:r>
      <w:r>
        <w:t>31</w:t>
      </w:r>
      <w:r w:rsidR="000936F1">
        <w:t xml:space="preserve"> regionálních výzkumných center (projekty z prioritní osy 2). </w:t>
      </w:r>
      <w:r w:rsidR="005929A9">
        <w:t xml:space="preserve">MŠMT do </w:t>
      </w:r>
      <w:r w:rsidR="005A76DA">
        <w:t xml:space="preserve">doby ukončení kontroly NKÚ neschválilo </w:t>
      </w:r>
      <w:r w:rsidR="002D3B17">
        <w:t xml:space="preserve">u žádného z těchto projektů závěrečnou monitorovací zprávu, přestože přibližně polovina z nich byla ukončena již k 31. 12. 2013. </w:t>
      </w:r>
      <w:r w:rsidR="005929A9">
        <w:t>Monitorovací informační systém neumožňuje, aby příjemci po</w:t>
      </w:r>
      <w:r w:rsidR="007D0331">
        <w:t>dpory předložili první zprávu o </w:t>
      </w:r>
      <w:r w:rsidR="005929A9">
        <w:t>udržitelnosti projektu, dokud řídicí orgán neschválí závěrečnou monitorovací zprávu. MŠMT nezajistilo jiný způsob monitoringu</w:t>
      </w:r>
      <w:r w:rsidR="00481A9B">
        <w:t xml:space="preserve"> uvedených projektů</w:t>
      </w:r>
      <w:r w:rsidR="005929A9">
        <w:t xml:space="preserve"> v době udržitelnosti, </w:t>
      </w:r>
      <w:r w:rsidR="00481A9B">
        <w:t>i když v době kontroly NKÚ</w:t>
      </w:r>
      <w:r w:rsidR="00097DB5">
        <w:t xml:space="preserve"> </w:t>
      </w:r>
      <w:r w:rsidR="00481A9B">
        <w:t>uplynulo více než 18 měsíců od jejich ukončení.</w:t>
      </w:r>
    </w:p>
    <w:p w14:paraId="38FECCDD" w14:textId="77777777" w:rsidR="0035466F" w:rsidRDefault="0035466F" w:rsidP="00097DB5">
      <w:pPr>
        <w:pStyle w:val="KPnormln"/>
        <w:ind w:firstLine="0"/>
      </w:pPr>
      <w:r>
        <w:t>U kontrolovaných projektů nebylo výjimkou, že MŠMT zaslalo příjemci první výzvu k doplnění závěrečné monitorovací zprávy až rok a čtvrt po jejím předložení. Komunikace mezi řídicím orgánem a příjemcem podpory následně spočívala především v upřesňování vykazování monitorovacího indikátoru „</w:t>
      </w:r>
      <w:r w:rsidRPr="007F3A9D">
        <w:rPr>
          <w:i/>
        </w:rPr>
        <w:t>smluvní výzkum</w:t>
      </w:r>
      <w:r>
        <w:t>“.</w:t>
      </w:r>
    </w:p>
    <w:p w14:paraId="2205FE8C" w14:textId="17EAAC01" w:rsidR="004065B9" w:rsidRDefault="0035466F" w:rsidP="00097DB5">
      <w:pPr>
        <w:tabs>
          <w:tab w:val="left" w:pos="567"/>
        </w:tabs>
        <w:spacing w:after="120"/>
        <w:contextualSpacing/>
        <w:jc w:val="both"/>
        <w:rPr>
          <w:rFonts w:asciiTheme="minorHAnsi" w:hAnsiTheme="minorHAnsi" w:cstheme="minorHAnsi"/>
        </w:rPr>
      </w:pPr>
      <w:r>
        <w:rPr>
          <w:rFonts w:asciiTheme="minorHAnsi" w:hAnsiTheme="minorHAnsi" w:cstheme="minorHAnsi"/>
        </w:rPr>
        <w:t xml:space="preserve">MŠMT v rozporu </w:t>
      </w:r>
      <w:r w:rsidRPr="00481A9B">
        <w:rPr>
          <w:rFonts w:asciiTheme="minorHAnsi" w:hAnsiTheme="minorHAnsi" w:cstheme="minorHAnsi"/>
        </w:rPr>
        <w:t>s předpisy</w:t>
      </w:r>
      <w:r w:rsidR="00B94709">
        <w:rPr>
          <w:rFonts w:asciiTheme="minorHAnsi" w:hAnsiTheme="minorHAnsi" w:cstheme="minorHAnsi"/>
        </w:rPr>
        <w:t xml:space="preserve"> EU</w:t>
      </w:r>
      <w:r w:rsidRPr="00481A9B">
        <w:rPr>
          <w:rStyle w:val="Znakapoznpodarou"/>
          <w:rFonts w:asciiTheme="minorHAnsi" w:hAnsiTheme="minorHAnsi" w:cstheme="minorHAnsi"/>
        </w:rPr>
        <w:footnoteReference w:id="11"/>
      </w:r>
      <w:r w:rsidRPr="00481A9B">
        <w:rPr>
          <w:rFonts w:asciiTheme="minorHAnsi" w:hAnsiTheme="minorHAnsi" w:cstheme="minorHAnsi"/>
        </w:rPr>
        <w:t xml:space="preserve"> nevypracovalo odpovídající analýzu rizik pro výběr vzorku projektů</w:t>
      </w:r>
      <w:r>
        <w:rPr>
          <w:rFonts w:asciiTheme="minorHAnsi" w:hAnsiTheme="minorHAnsi" w:cstheme="minorHAnsi"/>
        </w:rPr>
        <w:t xml:space="preserve"> pro kontrolu udržitelnosti a ani pro tyto kontroly nevypracoval</w:t>
      </w:r>
      <w:r w:rsidR="00C606E5">
        <w:rPr>
          <w:rFonts w:asciiTheme="minorHAnsi" w:hAnsiTheme="minorHAnsi" w:cstheme="minorHAnsi"/>
        </w:rPr>
        <w:t>o</w:t>
      </w:r>
      <w:r>
        <w:rPr>
          <w:rFonts w:asciiTheme="minorHAnsi" w:hAnsiTheme="minorHAnsi" w:cstheme="minorHAnsi"/>
        </w:rPr>
        <w:t xml:space="preserve"> žádné konkrétní </w:t>
      </w:r>
      <w:r>
        <w:rPr>
          <w:rFonts w:asciiTheme="minorHAnsi" w:hAnsiTheme="minorHAnsi" w:cstheme="minorHAnsi"/>
        </w:rPr>
        <w:lastRenderedPageBreak/>
        <w:t xml:space="preserve">postupy. </w:t>
      </w:r>
      <w:r w:rsidR="007C7112">
        <w:rPr>
          <w:rFonts w:asciiTheme="minorHAnsi" w:hAnsiTheme="minorHAnsi" w:cstheme="minorHAnsi"/>
        </w:rPr>
        <w:t>Důsledkem bylo, že</w:t>
      </w:r>
      <w:r>
        <w:rPr>
          <w:rFonts w:asciiTheme="minorHAnsi" w:hAnsiTheme="minorHAnsi" w:cstheme="minorHAnsi"/>
        </w:rPr>
        <w:t xml:space="preserve"> MŠMT </w:t>
      </w:r>
      <w:r w:rsidR="00B94709">
        <w:rPr>
          <w:rFonts w:asciiTheme="minorHAnsi" w:hAnsiTheme="minorHAnsi" w:cstheme="minorHAnsi"/>
        </w:rPr>
        <w:t>až do dne</w:t>
      </w:r>
      <w:r w:rsidR="00A06C81">
        <w:rPr>
          <w:rFonts w:asciiTheme="minorHAnsi" w:hAnsiTheme="minorHAnsi" w:cstheme="minorHAnsi"/>
        </w:rPr>
        <w:t xml:space="preserve"> </w:t>
      </w:r>
      <w:r w:rsidR="00160152">
        <w:rPr>
          <w:rFonts w:asciiTheme="minorHAnsi" w:hAnsiTheme="minorHAnsi" w:cstheme="minorHAnsi"/>
        </w:rPr>
        <w:t xml:space="preserve">ukončení </w:t>
      </w:r>
      <w:r w:rsidR="00A06C81">
        <w:rPr>
          <w:rFonts w:asciiTheme="minorHAnsi" w:hAnsiTheme="minorHAnsi" w:cstheme="minorHAnsi"/>
        </w:rPr>
        <w:t xml:space="preserve">kontroly NKÚ neprovedlo </w:t>
      </w:r>
      <w:r w:rsidR="007C7112">
        <w:rPr>
          <w:rFonts w:asciiTheme="minorHAnsi" w:hAnsiTheme="minorHAnsi" w:cstheme="minorHAnsi"/>
        </w:rPr>
        <w:t xml:space="preserve">žádnou kontrolu na místě </w:t>
      </w:r>
      <w:r w:rsidR="00AF756A">
        <w:rPr>
          <w:rFonts w:asciiTheme="minorHAnsi" w:hAnsiTheme="minorHAnsi" w:cstheme="minorHAnsi"/>
        </w:rPr>
        <w:t>u </w:t>
      </w:r>
      <w:r w:rsidR="007C7112">
        <w:rPr>
          <w:rFonts w:asciiTheme="minorHAnsi" w:hAnsiTheme="minorHAnsi" w:cstheme="minorHAnsi"/>
        </w:rPr>
        <w:t>projektů financovaných z </w:t>
      </w:r>
      <w:proofErr w:type="gramStart"/>
      <w:r w:rsidR="007C7112">
        <w:rPr>
          <w:rFonts w:asciiTheme="minorHAnsi" w:hAnsiTheme="minorHAnsi" w:cstheme="minorHAnsi"/>
        </w:rPr>
        <w:t>OP</w:t>
      </w:r>
      <w:proofErr w:type="gramEnd"/>
      <w:r w:rsidR="007C7112">
        <w:rPr>
          <w:rFonts w:asciiTheme="minorHAnsi" w:hAnsiTheme="minorHAnsi" w:cstheme="minorHAnsi"/>
        </w:rPr>
        <w:t xml:space="preserve"> </w:t>
      </w:r>
      <w:proofErr w:type="spellStart"/>
      <w:r w:rsidR="007C7112">
        <w:rPr>
          <w:rFonts w:asciiTheme="minorHAnsi" w:hAnsiTheme="minorHAnsi" w:cstheme="minorHAnsi"/>
        </w:rPr>
        <w:t>VaVpI</w:t>
      </w:r>
      <w:proofErr w:type="spellEnd"/>
      <w:r w:rsidR="007C7112">
        <w:rPr>
          <w:rFonts w:asciiTheme="minorHAnsi" w:hAnsiTheme="minorHAnsi" w:cstheme="minorHAnsi"/>
        </w:rPr>
        <w:t xml:space="preserve"> </w:t>
      </w:r>
      <w:r w:rsidR="00786AF7">
        <w:rPr>
          <w:rFonts w:asciiTheme="minorHAnsi" w:hAnsiTheme="minorHAnsi" w:cstheme="minorHAnsi"/>
        </w:rPr>
        <w:t>v době udržitelnosti</w:t>
      </w:r>
      <w:r w:rsidR="007C7112">
        <w:rPr>
          <w:rFonts w:asciiTheme="minorHAnsi" w:hAnsiTheme="minorHAnsi" w:cstheme="minorHAnsi"/>
        </w:rPr>
        <w:t>.</w:t>
      </w:r>
      <w:r w:rsidR="00786AF7">
        <w:rPr>
          <w:rFonts w:asciiTheme="minorHAnsi" w:hAnsiTheme="minorHAnsi" w:cstheme="minorHAnsi"/>
        </w:rPr>
        <w:t xml:space="preserve"> </w:t>
      </w:r>
    </w:p>
    <w:p w14:paraId="2BFEF040" w14:textId="77777777" w:rsidR="00824E07" w:rsidRDefault="00824E07" w:rsidP="00824E07">
      <w:pPr>
        <w:tabs>
          <w:tab w:val="left" w:pos="567"/>
        </w:tabs>
        <w:jc w:val="both"/>
        <w:rPr>
          <w:rFonts w:asciiTheme="minorHAnsi" w:hAnsiTheme="minorHAnsi" w:cstheme="minorHAnsi"/>
        </w:rPr>
      </w:pPr>
    </w:p>
    <w:p w14:paraId="5B03068B" w14:textId="20D55158" w:rsidR="00E24FE0" w:rsidRPr="00F94683" w:rsidRDefault="007C55A5" w:rsidP="003A71A3">
      <w:pPr>
        <w:pStyle w:val="Nadpis5"/>
        <w:spacing w:after="120"/>
        <w:rPr>
          <w:rFonts w:asciiTheme="minorHAnsi" w:hAnsiTheme="minorHAnsi" w:cstheme="minorHAnsi"/>
          <w:sz w:val="24"/>
        </w:rPr>
      </w:pPr>
      <w:r w:rsidRPr="00F94683">
        <w:rPr>
          <w:rFonts w:asciiTheme="minorHAnsi" w:hAnsiTheme="minorHAnsi" w:cstheme="minorHAnsi"/>
          <w:sz w:val="24"/>
        </w:rPr>
        <w:t>2.</w:t>
      </w:r>
      <w:r w:rsidR="006A1FA4" w:rsidRPr="00F94683">
        <w:rPr>
          <w:rFonts w:asciiTheme="minorHAnsi" w:hAnsiTheme="minorHAnsi" w:cstheme="minorHAnsi"/>
          <w:sz w:val="24"/>
        </w:rPr>
        <w:t xml:space="preserve">3 </w:t>
      </w:r>
      <w:r w:rsidR="00E24FE0" w:rsidRPr="00F94683">
        <w:rPr>
          <w:rFonts w:asciiTheme="minorHAnsi" w:hAnsiTheme="minorHAnsi" w:cstheme="minorHAnsi"/>
          <w:sz w:val="24"/>
        </w:rPr>
        <w:t>Finanční udržitelnost projektů z prioritní</w:t>
      </w:r>
      <w:r w:rsidR="00B94709">
        <w:rPr>
          <w:rFonts w:asciiTheme="minorHAnsi" w:hAnsiTheme="minorHAnsi" w:cstheme="minorHAnsi"/>
          <w:sz w:val="24"/>
        </w:rPr>
        <w:t>ch</w:t>
      </w:r>
      <w:r w:rsidR="00E24FE0" w:rsidRPr="00F94683">
        <w:rPr>
          <w:rFonts w:asciiTheme="minorHAnsi" w:hAnsiTheme="minorHAnsi" w:cstheme="minorHAnsi"/>
          <w:sz w:val="24"/>
        </w:rPr>
        <w:t xml:space="preserve"> os 1 a 2</w:t>
      </w:r>
    </w:p>
    <w:p w14:paraId="1E1ED97E" w14:textId="77777777" w:rsidR="0011166A" w:rsidRPr="00327154" w:rsidRDefault="00E24FE0" w:rsidP="00327154">
      <w:pPr>
        <w:pStyle w:val="Odstavecseseznamem"/>
        <w:numPr>
          <w:ilvl w:val="0"/>
          <w:numId w:val="24"/>
        </w:numPr>
        <w:tabs>
          <w:tab w:val="left" w:pos="0"/>
        </w:tabs>
        <w:spacing w:after="120"/>
        <w:ind w:left="425" w:hanging="425"/>
        <w:jc w:val="both"/>
        <w:rPr>
          <w:rFonts w:asciiTheme="minorHAnsi" w:eastAsiaTheme="minorEastAsia" w:hAnsiTheme="minorHAnsi" w:cstheme="minorHAnsi"/>
          <w:b/>
          <w:i/>
        </w:rPr>
      </w:pPr>
      <w:r w:rsidRPr="00327154">
        <w:rPr>
          <w:rFonts w:asciiTheme="minorHAnsi" w:eastAsiaTheme="minorEastAsia" w:hAnsiTheme="minorHAnsi" w:cstheme="minorHAnsi"/>
          <w:b/>
          <w:i/>
        </w:rPr>
        <w:t>NKÚ prověř</w:t>
      </w:r>
      <w:r w:rsidR="0011166A" w:rsidRPr="00327154">
        <w:rPr>
          <w:rFonts w:asciiTheme="minorHAnsi" w:eastAsiaTheme="minorEastAsia" w:hAnsiTheme="minorHAnsi" w:cstheme="minorHAnsi"/>
          <w:b/>
          <w:i/>
        </w:rPr>
        <w:t>il</w:t>
      </w:r>
      <w:r w:rsidRPr="00327154">
        <w:rPr>
          <w:rFonts w:asciiTheme="minorHAnsi" w:eastAsiaTheme="minorEastAsia" w:hAnsiTheme="minorHAnsi" w:cstheme="minorHAnsi"/>
          <w:b/>
          <w:i/>
        </w:rPr>
        <w:t xml:space="preserve"> zajištění finanční udržitelnosti projektů podpořených z prioritních os 1 a 2</w:t>
      </w:r>
      <w:r w:rsidR="0011166A" w:rsidRPr="00327154">
        <w:rPr>
          <w:rFonts w:asciiTheme="minorHAnsi" w:eastAsiaTheme="minorEastAsia" w:hAnsiTheme="minorHAnsi" w:cstheme="minorHAnsi"/>
          <w:b/>
          <w:i/>
        </w:rPr>
        <w:t xml:space="preserve"> OP </w:t>
      </w:r>
      <w:proofErr w:type="spellStart"/>
      <w:r w:rsidR="0011166A" w:rsidRPr="00327154">
        <w:rPr>
          <w:rFonts w:asciiTheme="minorHAnsi" w:eastAsiaTheme="minorEastAsia" w:hAnsiTheme="minorHAnsi" w:cstheme="minorHAnsi"/>
          <w:b/>
          <w:i/>
        </w:rPr>
        <w:t>VaVpI</w:t>
      </w:r>
      <w:proofErr w:type="spellEnd"/>
      <w:r w:rsidR="0011166A" w:rsidRPr="00327154">
        <w:rPr>
          <w:rFonts w:asciiTheme="minorHAnsi" w:eastAsiaTheme="minorEastAsia" w:hAnsiTheme="minorHAnsi" w:cstheme="minorHAnsi"/>
          <w:b/>
          <w:i/>
        </w:rPr>
        <w:t xml:space="preserve"> zaměřených na rozvoj institucí v oblasti výzkumu, vývoje a inovací.</w:t>
      </w:r>
    </w:p>
    <w:p w14:paraId="208A65D5" w14:textId="77777777" w:rsidR="0011166A" w:rsidRDefault="0011166A" w:rsidP="00160152">
      <w:pPr>
        <w:pStyle w:val="KPnormln"/>
        <w:ind w:firstLine="0"/>
        <w:rPr>
          <w:rFonts w:eastAsiaTheme="minorEastAsia"/>
        </w:rPr>
      </w:pPr>
      <w:r>
        <w:rPr>
          <w:rFonts w:eastAsiaTheme="minorEastAsia"/>
        </w:rPr>
        <w:t>I když se od počátku předpokládalo významné zapojení státního rozpočtu do financování udržitelnosti podpořených projektů, konkrétní finanční odhad nároků nebyl v programovém dokumentu uveden.</w:t>
      </w:r>
    </w:p>
    <w:p w14:paraId="7871528D" w14:textId="77777777" w:rsidR="00AE7580" w:rsidRDefault="00E24FE0" w:rsidP="00160152">
      <w:pPr>
        <w:pStyle w:val="KPnormln"/>
        <w:ind w:firstLine="0"/>
        <w:rPr>
          <w:rFonts w:eastAsiaTheme="minorEastAsia"/>
        </w:rPr>
      </w:pPr>
      <w:r w:rsidRPr="00E24FE0">
        <w:rPr>
          <w:rFonts w:eastAsiaTheme="minorEastAsia"/>
        </w:rPr>
        <w:t>V době schvalování projektů příjemci předpokládali, že převažujícím zdrojem prostředků (přibližně 60 %) v době udrž</w:t>
      </w:r>
      <w:r w:rsidR="00C542BF">
        <w:rPr>
          <w:rFonts w:eastAsiaTheme="minorEastAsia"/>
        </w:rPr>
        <w:t>itelnosti bude státní rozpočet.</w:t>
      </w:r>
    </w:p>
    <w:p w14:paraId="2E78D193" w14:textId="77777777" w:rsidR="00C542BF" w:rsidRDefault="00160152" w:rsidP="00160152">
      <w:pPr>
        <w:pStyle w:val="KPnormln"/>
        <w:ind w:firstLine="0"/>
        <w:rPr>
          <w:rFonts w:eastAsiaTheme="minorEastAsia"/>
        </w:rPr>
      </w:pPr>
      <w:r>
        <w:rPr>
          <w:rFonts w:eastAsiaTheme="minorEastAsia"/>
        </w:rPr>
        <w:t>Ke dni ukončení kontroly NKÚ představovaly c</w:t>
      </w:r>
      <w:r w:rsidR="00C542BF" w:rsidRPr="00E24FE0">
        <w:rPr>
          <w:rFonts w:eastAsiaTheme="minorEastAsia"/>
        </w:rPr>
        <w:t xml:space="preserve">elkové veřejné peněžní prostředky </w:t>
      </w:r>
      <w:r w:rsidR="00B8731C">
        <w:rPr>
          <w:rFonts w:eastAsiaTheme="minorEastAsia"/>
        </w:rPr>
        <w:t xml:space="preserve">vynaložené </w:t>
      </w:r>
      <w:r w:rsidR="00C542BF" w:rsidRPr="00E24FE0">
        <w:rPr>
          <w:rFonts w:eastAsiaTheme="minorEastAsia"/>
        </w:rPr>
        <w:t xml:space="preserve">na vybudování </w:t>
      </w:r>
      <w:r w:rsidR="00017C59">
        <w:rPr>
          <w:rFonts w:eastAsiaTheme="minorEastAsia"/>
        </w:rPr>
        <w:t xml:space="preserve">osmi </w:t>
      </w:r>
      <w:r w:rsidR="00C542BF" w:rsidRPr="00E24FE0">
        <w:rPr>
          <w:rFonts w:eastAsiaTheme="minorEastAsia"/>
        </w:rPr>
        <w:t xml:space="preserve">center excelence částku </w:t>
      </w:r>
      <w:r w:rsidR="002D243A">
        <w:rPr>
          <w:rFonts w:eastAsiaTheme="minorEastAsia"/>
        </w:rPr>
        <w:t>17,3</w:t>
      </w:r>
      <w:r w:rsidR="009236B8">
        <w:rPr>
          <w:rFonts w:eastAsiaTheme="minorEastAsia"/>
        </w:rPr>
        <w:t xml:space="preserve"> mld.</w:t>
      </w:r>
      <w:r w:rsidR="00C542BF" w:rsidRPr="00E24FE0">
        <w:rPr>
          <w:rFonts w:eastAsiaTheme="minorEastAsia"/>
        </w:rPr>
        <w:t xml:space="preserve"> Kč a prostředky </w:t>
      </w:r>
      <w:r w:rsidR="00017C59">
        <w:rPr>
          <w:rFonts w:eastAsiaTheme="minorEastAsia"/>
        </w:rPr>
        <w:t>vynaložené</w:t>
      </w:r>
      <w:r w:rsidR="00017C59" w:rsidRPr="00E24FE0">
        <w:rPr>
          <w:rFonts w:eastAsiaTheme="minorEastAsia"/>
        </w:rPr>
        <w:t xml:space="preserve"> </w:t>
      </w:r>
      <w:r w:rsidR="00C542BF" w:rsidRPr="00E24FE0">
        <w:rPr>
          <w:rFonts w:eastAsiaTheme="minorEastAsia"/>
        </w:rPr>
        <w:t xml:space="preserve">na vybudování </w:t>
      </w:r>
      <w:r w:rsidR="00017C59">
        <w:rPr>
          <w:rFonts w:eastAsiaTheme="minorEastAsia"/>
        </w:rPr>
        <w:t xml:space="preserve">40 </w:t>
      </w:r>
      <w:r w:rsidR="00C542BF" w:rsidRPr="00E24FE0">
        <w:rPr>
          <w:rFonts w:eastAsiaTheme="minorEastAsia"/>
        </w:rPr>
        <w:t xml:space="preserve">regionálních výzkumných center částku </w:t>
      </w:r>
      <w:r w:rsidR="002D243A">
        <w:rPr>
          <w:rFonts w:eastAsiaTheme="minorEastAsia"/>
        </w:rPr>
        <w:t>18,9</w:t>
      </w:r>
      <w:r w:rsidR="009236B8">
        <w:rPr>
          <w:rFonts w:eastAsiaTheme="minorEastAsia"/>
        </w:rPr>
        <w:t xml:space="preserve"> mld.</w:t>
      </w:r>
      <w:r w:rsidR="00173F65">
        <w:rPr>
          <w:rFonts w:eastAsiaTheme="minorEastAsia"/>
        </w:rPr>
        <w:t xml:space="preserve"> </w:t>
      </w:r>
      <w:r w:rsidR="00C542BF" w:rsidRPr="00E24FE0">
        <w:rPr>
          <w:rFonts w:eastAsiaTheme="minorEastAsia"/>
        </w:rPr>
        <w:t>Kč.</w:t>
      </w:r>
      <w:r w:rsidR="009236B8">
        <w:rPr>
          <w:rFonts w:eastAsiaTheme="minorEastAsia"/>
        </w:rPr>
        <w:t xml:space="preserve"> Podpora ze státního rozpočtu na pětiletou udržitelnost těchto center byla </w:t>
      </w:r>
      <w:r w:rsidR="004F11B4">
        <w:rPr>
          <w:rFonts w:eastAsiaTheme="minorEastAsia"/>
        </w:rPr>
        <w:t xml:space="preserve">v odhadech z roku 2014 </w:t>
      </w:r>
      <w:r w:rsidR="009236B8">
        <w:rPr>
          <w:rFonts w:eastAsiaTheme="minorEastAsia"/>
        </w:rPr>
        <w:t>vyčíslena na cca 24,4 mld. Kč</w:t>
      </w:r>
      <w:r w:rsidR="00B8731C">
        <w:rPr>
          <w:rFonts w:eastAsiaTheme="minorEastAsia"/>
        </w:rPr>
        <w:t xml:space="preserve"> (cca 66 %)</w:t>
      </w:r>
      <w:r w:rsidR="009236B8">
        <w:rPr>
          <w:rFonts w:eastAsiaTheme="minorEastAsia"/>
        </w:rPr>
        <w:t xml:space="preserve">. </w:t>
      </w:r>
      <w:r w:rsidR="004F11B4">
        <w:rPr>
          <w:rFonts w:eastAsiaTheme="minorEastAsia"/>
        </w:rPr>
        <w:t>Zbývající nároky (cca 34 %) by měly pokrýt jiné zdroje financování (viz tabulka č. 1).</w:t>
      </w:r>
    </w:p>
    <w:p w14:paraId="6C0CD309" w14:textId="075E7A49" w:rsidR="00C542BF" w:rsidRPr="007F3A9D" w:rsidRDefault="00C542BF" w:rsidP="00AF756A">
      <w:pPr>
        <w:tabs>
          <w:tab w:val="right" w:pos="9072"/>
        </w:tabs>
        <w:ind w:left="1418" w:hanging="1418"/>
        <w:contextualSpacing/>
        <w:jc w:val="both"/>
        <w:rPr>
          <w:rFonts w:asciiTheme="minorHAnsi" w:hAnsiTheme="minorHAnsi" w:cstheme="minorHAnsi"/>
          <w:b/>
        </w:rPr>
      </w:pPr>
      <w:r w:rsidRPr="007F3A9D">
        <w:rPr>
          <w:rFonts w:asciiTheme="minorHAnsi" w:hAnsiTheme="minorHAnsi" w:cstheme="minorHAnsi"/>
          <w:b/>
        </w:rPr>
        <w:t>Tabulka č. 1 –</w:t>
      </w:r>
      <w:r w:rsidR="00AF756A">
        <w:rPr>
          <w:rFonts w:asciiTheme="minorHAnsi" w:hAnsiTheme="minorHAnsi" w:cstheme="minorHAnsi"/>
          <w:b/>
        </w:rPr>
        <w:tab/>
      </w:r>
      <w:r w:rsidRPr="007F3A9D">
        <w:rPr>
          <w:rFonts w:asciiTheme="minorHAnsi" w:hAnsiTheme="minorHAnsi" w:cstheme="minorHAnsi"/>
          <w:b/>
        </w:rPr>
        <w:t>Plánovaná struktura příjmů projektů z</w:t>
      </w:r>
      <w:r w:rsidR="00E27400" w:rsidRPr="007F3A9D">
        <w:rPr>
          <w:rFonts w:asciiTheme="minorHAnsi" w:hAnsiTheme="minorHAnsi" w:cstheme="minorHAnsi"/>
          <w:b/>
        </w:rPr>
        <w:t> prioritních os 1 a 2</w:t>
      </w:r>
      <w:r w:rsidR="00511094" w:rsidRPr="007F3A9D">
        <w:rPr>
          <w:rFonts w:asciiTheme="minorHAnsi" w:hAnsiTheme="minorHAnsi" w:cstheme="minorHAnsi"/>
          <w:b/>
        </w:rPr>
        <w:t xml:space="preserve"> v letech </w:t>
      </w:r>
      <w:r w:rsidR="00824E07">
        <w:rPr>
          <w:rFonts w:asciiTheme="minorHAnsi" w:hAnsiTheme="minorHAnsi" w:cstheme="minorHAnsi"/>
          <w:b/>
        </w:rPr>
        <w:br/>
      </w:r>
      <w:r w:rsidR="00511094" w:rsidRPr="007F3A9D">
        <w:rPr>
          <w:rFonts w:asciiTheme="minorHAnsi" w:hAnsiTheme="minorHAnsi" w:cstheme="minorHAnsi"/>
          <w:b/>
        </w:rPr>
        <w:t>2013–</w:t>
      </w:r>
      <w:r w:rsidRPr="007F3A9D">
        <w:rPr>
          <w:rFonts w:asciiTheme="minorHAnsi" w:hAnsiTheme="minorHAnsi" w:cstheme="minorHAnsi"/>
          <w:b/>
        </w:rPr>
        <w:t xml:space="preserve">2020 </w:t>
      </w:r>
      <w:r w:rsidR="00246CC0" w:rsidRPr="007F3A9D">
        <w:rPr>
          <w:rFonts w:asciiTheme="minorHAnsi" w:hAnsiTheme="minorHAnsi" w:cstheme="minorHAnsi"/>
          <w:b/>
        </w:rPr>
        <w:tab/>
      </w:r>
      <w:r w:rsidR="00D40EE9" w:rsidRPr="007F3A9D">
        <w:rPr>
          <w:rFonts w:asciiTheme="minorHAnsi" w:hAnsiTheme="minorHAnsi" w:cstheme="minorHAnsi"/>
          <w:b/>
        </w:rPr>
        <w:t>(v mil. Kč)</w:t>
      </w:r>
    </w:p>
    <w:tbl>
      <w:tblPr>
        <w:tblW w:w="9182" w:type="dxa"/>
        <w:tblInd w:w="55" w:type="dxa"/>
        <w:tblCellMar>
          <w:left w:w="70" w:type="dxa"/>
          <w:right w:w="70" w:type="dxa"/>
        </w:tblCellMar>
        <w:tblLook w:val="04A0" w:firstRow="1" w:lastRow="0" w:firstColumn="1" w:lastColumn="0" w:noHBand="0" w:noVBand="1"/>
      </w:tblPr>
      <w:tblGrid>
        <w:gridCol w:w="1716"/>
        <w:gridCol w:w="1512"/>
        <w:gridCol w:w="1559"/>
        <w:gridCol w:w="1560"/>
        <w:gridCol w:w="1559"/>
        <w:gridCol w:w="1276"/>
      </w:tblGrid>
      <w:tr w:rsidR="00E24FE0" w:rsidRPr="00E24FE0" w14:paraId="014D44ED" w14:textId="77777777" w:rsidTr="007F3A9D">
        <w:trPr>
          <w:trHeight w:val="283"/>
        </w:trPr>
        <w:tc>
          <w:tcPr>
            <w:tcW w:w="17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8E9EB" w14:textId="77777777" w:rsidR="00E24FE0" w:rsidRPr="00E24FE0" w:rsidRDefault="00E24FE0" w:rsidP="00646A7B">
            <w:pPr>
              <w:jc w:val="center"/>
              <w:rPr>
                <w:rFonts w:ascii="Calibri" w:hAnsi="Calibri" w:cs="Calibri"/>
                <w:b/>
                <w:bCs/>
                <w:color w:val="000000"/>
                <w:sz w:val="20"/>
                <w:szCs w:val="20"/>
              </w:rPr>
            </w:pPr>
            <w:r w:rsidRPr="00E24FE0">
              <w:rPr>
                <w:rFonts w:ascii="Calibri" w:hAnsi="Calibri" w:cs="Calibri"/>
                <w:b/>
                <w:bCs/>
                <w:color w:val="000000"/>
                <w:sz w:val="20"/>
                <w:szCs w:val="20"/>
              </w:rPr>
              <w:t xml:space="preserve">Celkové předpokládané příjmy </w:t>
            </w:r>
          </w:p>
        </w:tc>
        <w:tc>
          <w:tcPr>
            <w:tcW w:w="307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02BAB5" w14:textId="77777777" w:rsidR="00E24FE0" w:rsidRPr="00E24FE0" w:rsidRDefault="00E24FE0" w:rsidP="00E24FE0">
            <w:pPr>
              <w:jc w:val="center"/>
              <w:rPr>
                <w:rFonts w:ascii="Calibri" w:hAnsi="Calibri" w:cs="Calibri"/>
                <w:b/>
                <w:bCs/>
                <w:color w:val="000000"/>
                <w:sz w:val="20"/>
                <w:szCs w:val="20"/>
              </w:rPr>
            </w:pPr>
            <w:r w:rsidRPr="00E24FE0">
              <w:rPr>
                <w:rFonts w:ascii="Calibri" w:hAnsi="Calibri" w:cs="Calibri"/>
                <w:b/>
                <w:bCs/>
                <w:color w:val="000000"/>
                <w:sz w:val="20"/>
                <w:szCs w:val="20"/>
              </w:rPr>
              <w:t>Prostředky státního rozpočtu</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17F88" w14:textId="77777777" w:rsidR="00E24FE0" w:rsidRPr="00E24FE0" w:rsidRDefault="00E24FE0" w:rsidP="00E24FE0">
            <w:pPr>
              <w:jc w:val="center"/>
              <w:rPr>
                <w:rFonts w:ascii="Calibri" w:hAnsi="Calibri" w:cs="Calibri"/>
                <w:b/>
                <w:bCs/>
                <w:color w:val="000000"/>
                <w:sz w:val="20"/>
                <w:szCs w:val="20"/>
              </w:rPr>
            </w:pPr>
            <w:r w:rsidRPr="00E24FE0">
              <w:rPr>
                <w:rFonts w:ascii="Calibri" w:hAnsi="Calibri" w:cs="Calibri"/>
                <w:b/>
                <w:bCs/>
                <w:color w:val="000000"/>
                <w:sz w:val="20"/>
                <w:szCs w:val="20"/>
              </w:rPr>
              <w:t>Příjmy ze smluvního výzkumu</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64CB6" w14:textId="2D119F63" w:rsidR="00E24FE0" w:rsidRPr="00E24FE0" w:rsidRDefault="002F0CFD" w:rsidP="00E24FE0">
            <w:pPr>
              <w:jc w:val="center"/>
              <w:rPr>
                <w:rFonts w:ascii="Calibri" w:hAnsi="Calibri" w:cs="Calibri"/>
                <w:b/>
                <w:bCs/>
                <w:color w:val="000000"/>
                <w:sz w:val="20"/>
                <w:szCs w:val="20"/>
              </w:rPr>
            </w:pPr>
            <w:r>
              <w:rPr>
                <w:rFonts w:ascii="Calibri" w:hAnsi="Calibri" w:cs="Calibri"/>
                <w:b/>
                <w:bCs/>
                <w:color w:val="000000"/>
                <w:sz w:val="20"/>
                <w:szCs w:val="20"/>
              </w:rPr>
              <w:t>Příjmy z </w:t>
            </w:r>
            <w:r w:rsidR="00E24FE0" w:rsidRPr="00E24FE0">
              <w:rPr>
                <w:rFonts w:ascii="Calibri" w:hAnsi="Calibri" w:cs="Calibri"/>
                <w:b/>
                <w:bCs/>
                <w:color w:val="000000"/>
                <w:sz w:val="20"/>
                <w:szCs w:val="20"/>
              </w:rPr>
              <w:t>mezinárodních grantů</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9C6D2" w14:textId="77777777" w:rsidR="00E24FE0" w:rsidRPr="00E24FE0" w:rsidRDefault="00E24FE0" w:rsidP="00E24FE0">
            <w:pPr>
              <w:jc w:val="center"/>
              <w:rPr>
                <w:rFonts w:ascii="Calibri" w:hAnsi="Calibri" w:cs="Calibri"/>
                <w:b/>
                <w:bCs/>
                <w:color w:val="000000"/>
                <w:sz w:val="20"/>
                <w:szCs w:val="20"/>
              </w:rPr>
            </w:pPr>
            <w:r w:rsidRPr="00E24FE0">
              <w:rPr>
                <w:rFonts w:ascii="Calibri" w:hAnsi="Calibri" w:cs="Calibri"/>
                <w:b/>
                <w:bCs/>
                <w:color w:val="000000"/>
                <w:sz w:val="20"/>
                <w:szCs w:val="20"/>
              </w:rPr>
              <w:t>Ostatní zdroje</w:t>
            </w:r>
          </w:p>
        </w:tc>
      </w:tr>
      <w:tr w:rsidR="00E24FE0" w:rsidRPr="00E24FE0" w14:paraId="12D98F7A" w14:textId="77777777" w:rsidTr="007F3A9D">
        <w:trPr>
          <w:trHeight w:val="283"/>
        </w:trPr>
        <w:tc>
          <w:tcPr>
            <w:tcW w:w="17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9FB63" w14:textId="77777777" w:rsidR="00E24FE0" w:rsidRPr="00E24FE0" w:rsidRDefault="00E24FE0" w:rsidP="00E24FE0">
            <w:pPr>
              <w:rPr>
                <w:rFonts w:ascii="Calibri" w:hAnsi="Calibri" w:cs="Calibri"/>
                <w:b/>
                <w:bCs/>
                <w:color w:val="000000"/>
                <w:sz w:val="20"/>
                <w:szCs w:val="20"/>
              </w:rPr>
            </w:pPr>
          </w:p>
        </w:tc>
        <w:tc>
          <w:tcPr>
            <w:tcW w:w="1512" w:type="dxa"/>
            <w:tcBorders>
              <w:top w:val="nil"/>
              <w:left w:val="nil"/>
              <w:bottom w:val="single" w:sz="4" w:space="0" w:color="auto"/>
              <w:right w:val="single" w:sz="4" w:space="0" w:color="auto"/>
            </w:tcBorders>
            <w:shd w:val="clear" w:color="auto" w:fill="D9D9D9" w:themeFill="background1" w:themeFillShade="D9"/>
            <w:vAlign w:val="center"/>
            <w:hideMark/>
          </w:tcPr>
          <w:p w14:paraId="730DBCC9" w14:textId="77777777" w:rsidR="00E24FE0" w:rsidRPr="00E24FE0" w:rsidRDefault="00E24FE0" w:rsidP="00E24FE0">
            <w:pPr>
              <w:jc w:val="center"/>
              <w:rPr>
                <w:rFonts w:ascii="Calibri" w:hAnsi="Calibri" w:cs="Calibri"/>
                <w:b/>
                <w:bCs/>
                <w:color w:val="000000"/>
                <w:sz w:val="20"/>
                <w:szCs w:val="20"/>
              </w:rPr>
            </w:pPr>
            <w:r w:rsidRPr="00E24FE0">
              <w:rPr>
                <w:rFonts w:ascii="Calibri" w:hAnsi="Calibri" w:cs="Calibri"/>
                <w:b/>
                <w:bCs/>
                <w:color w:val="000000"/>
                <w:sz w:val="20"/>
                <w:szCs w:val="20"/>
              </w:rPr>
              <w:t>Institucionální podpora</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71105CB8" w14:textId="77777777" w:rsidR="00E24FE0" w:rsidRPr="00E24FE0" w:rsidRDefault="00E24FE0" w:rsidP="00E24FE0">
            <w:pPr>
              <w:jc w:val="center"/>
              <w:rPr>
                <w:rFonts w:ascii="Calibri" w:hAnsi="Calibri" w:cs="Calibri"/>
                <w:b/>
                <w:bCs/>
                <w:color w:val="000000"/>
                <w:sz w:val="20"/>
                <w:szCs w:val="20"/>
              </w:rPr>
            </w:pPr>
            <w:r w:rsidRPr="00E24FE0">
              <w:rPr>
                <w:rFonts w:ascii="Calibri" w:hAnsi="Calibri" w:cs="Calibri"/>
                <w:b/>
                <w:bCs/>
                <w:color w:val="000000"/>
                <w:sz w:val="20"/>
                <w:szCs w:val="20"/>
              </w:rPr>
              <w:t>Národní účelová podpora</w:t>
            </w:r>
          </w:p>
        </w:tc>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20472" w14:textId="77777777" w:rsidR="00E24FE0" w:rsidRPr="00E24FE0" w:rsidRDefault="00E24FE0" w:rsidP="00E24FE0">
            <w:pPr>
              <w:rPr>
                <w:rFonts w:ascii="Calibri" w:hAnsi="Calibri" w:cs="Calibri"/>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137CB" w14:textId="77777777" w:rsidR="00E24FE0" w:rsidRPr="00E24FE0" w:rsidRDefault="00E24FE0" w:rsidP="00E24FE0">
            <w:pPr>
              <w:rPr>
                <w:rFonts w:ascii="Calibri" w:hAnsi="Calibri" w:cs="Calibri"/>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6514B" w14:textId="77777777" w:rsidR="00E24FE0" w:rsidRPr="00E24FE0" w:rsidRDefault="00E24FE0" w:rsidP="00E24FE0">
            <w:pPr>
              <w:rPr>
                <w:rFonts w:ascii="Calibri" w:hAnsi="Calibri" w:cs="Calibri"/>
                <w:b/>
                <w:bCs/>
                <w:color w:val="000000"/>
                <w:sz w:val="20"/>
                <w:szCs w:val="20"/>
              </w:rPr>
            </w:pPr>
          </w:p>
        </w:tc>
      </w:tr>
      <w:tr w:rsidR="00E24FE0" w:rsidRPr="00E24FE0" w14:paraId="161FE36A" w14:textId="77777777" w:rsidTr="002F0CFD">
        <w:trPr>
          <w:trHeight w:val="283"/>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61FE02" w14:textId="3D645A4B" w:rsidR="00E24FE0" w:rsidRPr="00E24FE0" w:rsidRDefault="00E24FE0" w:rsidP="002F0CFD">
            <w:pPr>
              <w:ind w:right="213"/>
              <w:jc w:val="right"/>
              <w:rPr>
                <w:rFonts w:ascii="Calibri" w:hAnsi="Calibri" w:cs="Calibri"/>
                <w:color w:val="000000"/>
                <w:sz w:val="20"/>
                <w:szCs w:val="20"/>
              </w:rPr>
            </w:pPr>
            <w:r w:rsidRPr="00E24FE0">
              <w:rPr>
                <w:rFonts w:ascii="Calibri" w:hAnsi="Calibri" w:cs="Calibri"/>
                <w:color w:val="000000"/>
                <w:sz w:val="20"/>
                <w:szCs w:val="20"/>
              </w:rPr>
              <w:t>36</w:t>
            </w:r>
            <w:r w:rsidR="00F92C7B">
              <w:rPr>
                <w:rFonts w:ascii="Calibri" w:hAnsi="Calibri" w:cs="Calibri"/>
                <w:color w:val="000000"/>
                <w:sz w:val="20"/>
                <w:szCs w:val="20"/>
              </w:rPr>
              <w:t> </w:t>
            </w:r>
            <w:r w:rsidRPr="00E24FE0">
              <w:rPr>
                <w:rFonts w:ascii="Calibri" w:hAnsi="Calibri" w:cs="Calibri"/>
                <w:color w:val="000000"/>
                <w:sz w:val="20"/>
                <w:szCs w:val="20"/>
              </w:rPr>
              <w:t>681</w:t>
            </w:r>
            <w:r w:rsidR="00F92C7B">
              <w:rPr>
                <w:rFonts w:ascii="Calibri" w:hAnsi="Calibri" w:cs="Calibri"/>
                <w:color w:val="000000"/>
                <w:sz w:val="20"/>
                <w:szCs w:val="20"/>
              </w:rPr>
              <w:t>,</w:t>
            </w:r>
            <w:r w:rsidRPr="00E24FE0">
              <w:rPr>
                <w:rFonts w:ascii="Calibri" w:hAnsi="Calibri" w:cs="Calibri"/>
                <w:color w:val="000000"/>
                <w:sz w:val="20"/>
                <w:szCs w:val="20"/>
              </w:rPr>
              <w:t>461</w:t>
            </w:r>
          </w:p>
        </w:tc>
        <w:tc>
          <w:tcPr>
            <w:tcW w:w="1512" w:type="dxa"/>
            <w:tcBorders>
              <w:top w:val="nil"/>
              <w:left w:val="nil"/>
              <w:bottom w:val="single" w:sz="4" w:space="0" w:color="auto"/>
              <w:right w:val="single" w:sz="4" w:space="0" w:color="auto"/>
            </w:tcBorders>
            <w:shd w:val="clear" w:color="auto" w:fill="auto"/>
            <w:vAlign w:val="center"/>
            <w:hideMark/>
          </w:tcPr>
          <w:p w14:paraId="2D5A5F88" w14:textId="3C49A510" w:rsidR="00E24FE0" w:rsidRPr="00E24FE0" w:rsidRDefault="00E24FE0" w:rsidP="002F0CFD">
            <w:pPr>
              <w:ind w:right="213"/>
              <w:jc w:val="right"/>
              <w:rPr>
                <w:rFonts w:ascii="Calibri" w:hAnsi="Calibri" w:cs="Calibri"/>
                <w:color w:val="000000"/>
                <w:sz w:val="20"/>
                <w:szCs w:val="20"/>
              </w:rPr>
            </w:pPr>
            <w:r w:rsidRPr="00E24FE0">
              <w:rPr>
                <w:rFonts w:ascii="Calibri" w:hAnsi="Calibri" w:cs="Calibri"/>
                <w:color w:val="000000"/>
                <w:sz w:val="20"/>
                <w:szCs w:val="20"/>
              </w:rPr>
              <w:t>4</w:t>
            </w:r>
            <w:r w:rsidR="00F92C7B">
              <w:rPr>
                <w:rFonts w:ascii="Calibri" w:hAnsi="Calibri" w:cs="Calibri"/>
                <w:color w:val="000000"/>
                <w:sz w:val="20"/>
                <w:szCs w:val="20"/>
              </w:rPr>
              <w:t> </w:t>
            </w:r>
            <w:r w:rsidRPr="00E24FE0">
              <w:rPr>
                <w:rFonts w:ascii="Calibri" w:hAnsi="Calibri" w:cs="Calibri"/>
                <w:color w:val="000000"/>
                <w:sz w:val="20"/>
                <w:szCs w:val="20"/>
              </w:rPr>
              <w:t>850</w:t>
            </w:r>
            <w:r w:rsidR="00F92C7B">
              <w:rPr>
                <w:rFonts w:ascii="Calibri" w:hAnsi="Calibri" w:cs="Calibri"/>
                <w:color w:val="000000"/>
                <w:sz w:val="20"/>
                <w:szCs w:val="20"/>
              </w:rPr>
              <w:t>,</w:t>
            </w:r>
            <w:r w:rsidRPr="00E24FE0">
              <w:rPr>
                <w:rFonts w:ascii="Calibri" w:hAnsi="Calibri" w:cs="Calibri"/>
                <w:color w:val="000000"/>
                <w:sz w:val="20"/>
                <w:szCs w:val="20"/>
              </w:rPr>
              <w:t>633</w:t>
            </w:r>
          </w:p>
        </w:tc>
        <w:tc>
          <w:tcPr>
            <w:tcW w:w="1559" w:type="dxa"/>
            <w:tcBorders>
              <w:top w:val="nil"/>
              <w:left w:val="nil"/>
              <w:bottom w:val="single" w:sz="4" w:space="0" w:color="auto"/>
              <w:right w:val="single" w:sz="4" w:space="0" w:color="auto"/>
            </w:tcBorders>
            <w:shd w:val="clear" w:color="auto" w:fill="auto"/>
            <w:vAlign w:val="center"/>
            <w:hideMark/>
          </w:tcPr>
          <w:p w14:paraId="7F0F9ED9" w14:textId="329E728A" w:rsidR="00E24FE0" w:rsidRPr="00E24FE0" w:rsidRDefault="00E24FE0" w:rsidP="002F0CFD">
            <w:pPr>
              <w:ind w:right="213"/>
              <w:jc w:val="right"/>
              <w:rPr>
                <w:rFonts w:ascii="Calibri" w:hAnsi="Calibri" w:cs="Calibri"/>
                <w:color w:val="000000"/>
                <w:sz w:val="20"/>
                <w:szCs w:val="20"/>
              </w:rPr>
            </w:pPr>
            <w:r w:rsidRPr="00E24FE0">
              <w:rPr>
                <w:rFonts w:ascii="Calibri" w:hAnsi="Calibri" w:cs="Calibri"/>
                <w:color w:val="000000"/>
                <w:sz w:val="20"/>
                <w:szCs w:val="20"/>
              </w:rPr>
              <w:t>19</w:t>
            </w:r>
            <w:r w:rsidR="00F92C7B">
              <w:rPr>
                <w:rFonts w:ascii="Calibri" w:hAnsi="Calibri" w:cs="Calibri"/>
                <w:color w:val="000000"/>
                <w:sz w:val="20"/>
                <w:szCs w:val="20"/>
              </w:rPr>
              <w:t> </w:t>
            </w:r>
            <w:r w:rsidRPr="00E24FE0">
              <w:rPr>
                <w:rFonts w:ascii="Calibri" w:hAnsi="Calibri" w:cs="Calibri"/>
                <w:color w:val="000000"/>
                <w:sz w:val="20"/>
                <w:szCs w:val="20"/>
              </w:rPr>
              <w:t>581</w:t>
            </w:r>
            <w:r w:rsidR="00F92C7B">
              <w:rPr>
                <w:rFonts w:ascii="Calibri" w:hAnsi="Calibri" w:cs="Calibri"/>
                <w:color w:val="000000"/>
                <w:sz w:val="20"/>
                <w:szCs w:val="20"/>
              </w:rPr>
              <w:t>,</w:t>
            </w:r>
            <w:r w:rsidRPr="00E24FE0">
              <w:rPr>
                <w:rFonts w:ascii="Calibri" w:hAnsi="Calibri" w:cs="Calibri"/>
                <w:color w:val="000000"/>
                <w:sz w:val="20"/>
                <w:szCs w:val="20"/>
              </w:rPr>
              <w:t>992</w:t>
            </w:r>
          </w:p>
        </w:tc>
        <w:tc>
          <w:tcPr>
            <w:tcW w:w="1560" w:type="dxa"/>
            <w:tcBorders>
              <w:top w:val="nil"/>
              <w:left w:val="nil"/>
              <w:bottom w:val="single" w:sz="4" w:space="0" w:color="auto"/>
              <w:right w:val="single" w:sz="4" w:space="0" w:color="auto"/>
            </w:tcBorders>
            <w:shd w:val="clear" w:color="auto" w:fill="auto"/>
            <w:vAlign w:val="center"/>
            <w:hideMark/>
          </w:tcPr>
          <w:p w14:paraId="154DDEC0" w14:textId="039CDC3F" w:rsidR="00E24FE0" w:rsidRPr="00E24FE0" w:rsidRDefault="00E24FE0" w:rsidP="002F0CFD">
            <w:pPr>
              <w:ind w:right="213"/>
              <w:jc w:val="right"/>
              <w:rPr>
                <w:rFonts w:ascii="Calibri" w:hAnsi="Calibri" w:cs="Calibri"/>
                <w:color w:val="000000"/>
                <w:sz w:val="20"/>
                <w:szCs w:val="20"/>
              </w:rPr>
            </w:pPr>
            <w:r w:rsidRPr="00E24FE0">
              <w:rPr>
                <w:rFonts w:ascii="Calibri" w:hAnsi="Calibri" w:cs="Calibri"/>
                <w:color w:val="000000"/>
                <w:sz w:val="20"/>
                <w:szCs w:val="20"/>
              </w:rPr>
              <w:t>3</w:t>
            </w:r>
            <w:r w:rsidR="00F92C7B">
              <w:rPr>
                <w:rFonts w:ascii="Calibri" w:hAnsi="Calibri" w:cs="Calibri"/>
                <w:color w:val="000000"/>
                <w:sz w:val="20"/>
                <w:szCs w:val="20"/>
              </w:rPr>
              <w:t> </w:t>
            </w:r>
            <w:r w:rsidRPr="00E24FE0">
              <w:rPr>
                <w:rFonts w:ascii="Calibri" w:hAnsi="Calibri" w:cs="Calibri"/>
                <w:color w:val="000000"/>
                <w:sz w:val="20"/>
                <w:szCs w:val="20"/>
              </w:rPr>
              <w:t>945</w:t>
            </w:r>
            <w:r w:rsidR="00F92C7B">
              <w:rPr>
                <w:rFonts w:ascii="Calibri" w:hAnsi="Calibri" w:cs="Calibri"/>
                <w:color w:val="000000"/>
                <w:sz w:val="20"/>
                <w:szCs w:val="20"/>
              </w:rPr>
              <w:t>,</w:t>
            </w:r>
            <w:r w:rsidRPr="00E24FE0">
              <w:rPr>
                <w:rFonts w:ascii="Calibri" w:hAnsi="Calibri" w:cs="Calibri"/>
                <w:color w:val="000000"/>
                <w:sz w:val="20"/>
                <w:szCs w:val="20"/>
              </w:rPr>
              <w:t>555</w:t>
            </w:r>
          </w:p>
        </w:tc>
        <w:tc>
          <w:tcPr>
            <w:tcW w:w="1559" w:type="dxa"/>
            <w:tcBorders>
              <w:top w:val="nil"/>
              <w:left w:val="nil"/>
              <w:bottom w:val="single" w:sz="4" w:space="0" w:color="auto"/>
              <w:right w:val="single" w:sz="4" w:space="0" w:color="auto"/>
            </w:tcBorders>
            <w:shd w:val="clear" w:color="auto" w:fill="auto"/>
            <w:vAlign w:val="center"/>
            <w:hideMark/>
          </w:tcPr>
          <w:p w14:paraId="67671F39" w14:textId="33BA14A2" w:rsidR="00E24FE0" w:rsidRPr="00E24FE0" w:rsidRDefault="00E24FE0" w:rsidP="002F0CFD">
            <w:pPr>
              <w:ind w:right="213"/>
              <w:jc w:val="right"/>
              <w:rPr>
                <w:rFonts w:ascii="Calibri" w:hAnsi="Calibri" w:cs="Calibri"/>
                <w:color w:val="000000"/>
                <w:sz w:val="20"/>
                <w:szCs w:val="20"/>
              </w:rPr>
            </w:pPr>
            <w:r w:rsidRPr="00E24FE0">
              <w:rPr>
                <w:rFonts w:ascii="Calibri" w:hAnsi="Calibri" w:cs="Calibri"/>
                <w:color w:val="000000"/>
                <w:sz w:val="20"/>
                <w:szCs w:val="20"/>
              </w:rPr>
              <w:t>2</w:t>
            </w:r>
            <w:r w:rsidR="00F92C7B">
              <w:rPr>
                <w:rFonts w:ascii="Calibri" w:hAnsi="Calibri" w:cs="Calibri"/>
                <w:color w:val="000000"/>
                <w:sz w:val="20"/>
                <w:szCs w:val="20"/>
              </w:rPr>
              <w:t> </w:t>
            </w:r>
            <w:r w:rsidRPr="00E24FE0">
              <w:rPr>
                <w:rFonts w:ascii="Calibri" w:hAnsi="Calibri" w:cs="Calibri"/>
                <w:color w:val="000000"/>
                <w:sz w:val="20"/>
                <w:szCs w:val="20"/>
              </w:rPr>
              <w:t>552</w:t>
            </w:r>
            <w:r w:rsidR="00F92C7B">
              <w:rPr>
                <w:rFonts w:ascii="Calibri" w:hAnsi="Calibri" w:cs="Calibri"/>
                <w:color w:val="000000"/>
                <w:sz w:val="20"/>
                <w:szCs w:val="20"/>
              </w:rPr>
              <w:t>,</w:t>
            </w:r>
            <w:r w:rsidRPr="00E24FE0">
              <w:rPr>
                <w:rFonts w:ascii="Calibri" w:hAnsi="Calibri" w:cs="Calibri"/>
                <w:color w:val="000000"/>
                <w:sz w:val="20"/>
                <w:szCs w:val="20"/>
              </w:rPr>
              <w:t>405</w:t>
            </w:r>
          </w:p>
        </w:tc>
        <w:tc>
          <w:tcPr>
            <w:tcW w:w="1276" w:type="dxa"/>
            <w:tcBorders>
              <w:top w:val="nil"/>
              <w:left w:val="nil"/>
              <w:bottom w:val="single" w:sz="4" w:space="0" w:color="auto"/>
              <w:right w:val="single" w:sz="4" w:space="0" w:color="auto"/>
            </w:tcBorders>
            <w:shd w:val="clear" w:color="auto" w:fill="auto"/>
            <w:vAlign w:val="center"/>
            <w:hideMark/>
          </w:tcPr>
          <w:p w14:paraId="7A25C5BD" w14:textId="04B66A17" w:rsidR="00E24FE0" w:rsidRPr="00E24FE0" w:rsidRDefault="00E24FE0" w:rsidP="00AF756A">
            <w:pPr>
              <w:ind w:right="213"/>
              <w:jc w:val="right"/>
              <w:rPr>
                <w:rFonts w:ascii="Calibri" w:hAnsi="Calibri" w:cs="Calibri"/>
                <w:color w:val="000000"/>
                <w:sz w:val="20"/>
                <w:szCs w:val="20"/>
              </w:rPr>
            </w:pPr>
            <w:r w:rsidRPr="00E24FE0">
              <w:rPr>
                <w:rFonts w:ascii="Calibri" w:hAnsi="Calibri" w:cs="Calibri"/>
                <w:color w:val="000000"/>
                <w:sz w:val="20"/>
                <w:szCs w:val="20"/>
              </w:rPr>
              <w:t>5</w:t>
            </w:r>
            <w:r w:rsidR="00F92C7B">
              <w:rPr>
                <w:rFonts w:ascii="Calibri" w:hAnsi="Calibri" w:cs="Calibri"/>
                <w:color w:val="000000"/>
                <w:sz w:val="20"/>
                <w:szCs w:val="20"/>
              </w:rPr>
              <w:t> </w:t>
            </w:r>
            <w:r w:rsidRPr="00E24FE0">
              <w:rPr>
                <w:rFonts w:ascii="Calibri" w:hAnsi="Calibri" w:cs="Calibri"/>
                <w:color w:val="000000"/>
                <w:sz w:val="20"/>
                <w:szCs w:val="20"/>
              </w:rPr>
              <w:t>750</w:t>
            </w:r>
            <w:r w:rsidR="00F92C7B">
              <w:rPr>
                <w:rFonts w:ascii="Calibri" w:hAnsi="Calibri" w:cs="Calibri"/>
                <w:color w:val="000000"/>
                <w:sz w:val="20"/>
                <w:szCs w:val="20"/>
              </w:rPr>
              <w:t>,</w:t>
            </w:r>
            <w:r w:rsidRPr="00E24FE0">
              <w:rPr>
                <w:rFonts w:ascii="Calibri" w:hAnsi="Calibri" w:cs="Calibri"/>
                <w:color w:val="000000"/>
                <w:sz w:val="20"/>
                <w:szCs w:val="20"/>
              </w:rPr>
              <w:t>876</w:t>
            </w:r>
          </w:p>
        </w:tc>
      </w:tr>
      <w:tr w:rsidR="00E24FE0" w:rsidRPr="00E24FE0" w14:paraId="11622B5C" w14:textId="77777777" w:rsidTr="002F0CFD">
        <w:trPr>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06427CE" w14:textId="50009196"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100,0</w:t>
            </w:r>
            <w:r w:rsidR="00AF756A">
              <w:rPr>
                <w:rFonts w:ascii="Calibri" w:hAnsi="Calibri" w:cs="Calibri"/>
                <w:color w:val="000000"/>
                <w:sz w:val="20"/>
                <w:szCs w:val="20"/>
              </w:rPr>
              <w:t> </w:t>
            </w:r>
            <w:r w:rsidRPr="00246CC0">
              <w:rPr>
                <w:rFonts w:ascii="Calibri" w:hAnsi="Calibri" w:cs="Calibri"/>
                <w:color w:val="000000"/>
                <w:sz w:val="20"/>
                <w:szCs w:val="20"/>
              </w:rPr>
              <w:t>%</w:t>
            </w:r>
          </w:p>
        </w:tc>
        <w:tc>
          <w:tcPr>
            <w:tcW w:w="1512" w:type="dxa"/>
            <w:tcBorders>
              <w:top w:val="nil"/>
              <w:left w:val="nil"/>
              <w:bottom w:val="single" w:sz="4" w:space="0" w:color="auto"/>
              <w:right w:val="single" w:sz="4" w:space="0" w:color="auto"/>
            </w:tcBorders>
            <w:shd w:val="clear" w:color="auto" w:fill="auto"/>
            <w:noWrap/>
            <w:vAlign w:val="center"/>
            <w:hideMark/>
          </w:tcPr>
          <w:p w14:paraId="7D5802EB" w14:textId="1759A88E"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13,2</w:t>
            </w:r>
            <w:r w:rsidR="00AF756A">
              <w:rPr>
                <w:rFonts w:ascii="Calibri" w:hAnsi="Calibri" w:cs="Calibri"/>
                <w:color w:val="000000"/>
                <w:sz w:val="20"/>
                <w:szCs w:val="20"/>
              </w:rPr>
              <w:t> </w:t>
            </w:r>
            <w:r w:rsidRPr="00246CC0">
              <w:rPr>
                <w:rFonts w:ascii="Calibri" w:hAnsi="Calibri" w:cs="Calibri"/>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3474DF97" w14:textId="65A40A7A"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53,4</w:t>
            </w:r>
            <w:r w:rsidR="00AF756A">
              <w:rPr>
                <w:rFonts w:ascii="Calibri" w:hAnsi="Calibri" w:cs="Calibri"/>
                <w:color w:val="000000"/>
                <w:sz w:val="20"/>
                <w:szCs w:val="20"/>
              </w:rPr>
              <w:t> </w:t>
            </w:r>
            <w:r w:rsidRPr="00246CC0">
              <w:rPr>
                <w:rFonts w:ascii="Calibri" w:hAnsi="Calibri" w:cs="Calibri"/>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2B28531" w14:textId="6132E1AE"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10,8</w:t>
            </w:r>
            <w:r w:rsidR="00AF756A">
              <w:rPr>
                <w:rFonts w:ascii="Calibri" w:hAnsi="Calibri" w:cs="Calibri"/>
                <w:color w:val="000000"/>
                <w:sz w:val="20"/>
                <w:szCs w:val="20"/>
              </w:rPr>
              <w:t> </w:t>
            </w:r>
            <w:r w:rsidRPr="00246CC0">
              <w:rPr>
                <w:rFonts w:ascii="Calibri" w:hAnsi="Calibri" w:cs="Calibri"/>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15AC5A68" w14:textId="7808B79C"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7,0</w:t>
            </w:r>
            <w:r w:rsidR="00AF756A">
              <w:rPr>
                <w:rFonts w:ascii="Calibri" w:hAnsi="Calibri" w:cs="Calibri"/>
                <w:color w:val="000000"/>
                <w:sz w:val="20"/>
                <w:szCs w:val="20"/>
              </w:rPr>
              <w:t> </w:t>
            </w:r>
            <w:r w:rsidRPr="00246CC0">
              <w:rPr>
                <w:rFonts w:ascii="Calibri" w:hAnsi="Calibri" w:cs="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01504B4" w14:textId="12A9885E" w:rsidR="00E24FE0" w:rsidRPr="00246CC0" w:rsidRDefault="00E24FE0" w:rsidP="00AF756A">
            <w:pPr>
              <w:ind w:right="255"/>
              <w:jc w:val="right"/>
              <w:rPr>
                <w:rFonts w:ascii="Calibri" w:hAnsi="Calibri" w:cs="Calibri"/>
                <w:color w:val="000000"/>
                <w:sz w:val="20"/>
                <w:szCs w:val="20"/>
              </w:rPr>
            </w:pPr>
            <w:r w:rsidRPr="00246CC0">
              <w:rPr>
                <w:rFonts w:ascii="Calibri" w:hAnsi="Calibri" w:cs="Calibri"/>
                <w:color w:val="000000"/>
                <w:sz w:val="20"/>
                <w:szCs w:val="20"/>
              </w:rPr>
              <w:t>15,</w:t>
            </w:r>
            <w:r w:rsidR="002D13F9">
              <w:rPr>
                <w:rFonts w:ascii="Calibri" w:hAnsi="Calibri" w:cs="Calibri"/>
                <w:color w:val="000000"/>
                <w:sz w:val="20"/>
                <w:szCs w:val="20"/>
              </w:rPr>
              <w:t>6</w:t>
            </w:r>
            <w:r w:rsidR="00AF756A">
              <w:rPr>
                <w:rFonts w:ascii="Calibri" w:hAnsi="Calibri" w:cs="Calibri"/>
                <w:color w:val="000000"/>
                <w:sz w:val="20"/>
                <w:szCs w:val="20"/>
              </w:rPr>
              <w:t> </w:t>
            </w:r>
            <w:r w:rsidRPr="00246CC0">
              <w:rPr>
                <w:rFonts w:ascii="Calibri" w:hAnsi="Calibri" w:cs="Calibri"/>
                <w:color w:val="000000"/>
                <w:sz w:val="20"/>
                <w:szCs w:val="20"/>
              </w:rPr>
              <w:t>%</w:t>
            </w:r>
          </w:p>
        </w:tc>
      </w:tr>
    </w:tbl>
    <w:p w14:paraId="7E262436" w14:textId="6510A2A9" w:rsidR="00E24FE0" w:rsidRPr="002F0CFD" w:rsidRDefault="00FF781D" w:rsidP="00824E07">
      <w:pPr>
        <w:tabs>
          <w:tab w:val="left" w:pos="567"/>
        </w:tabs>
        <w:spacing w:before="40" w:after="120"/>
        <w:jc w:val="both"/>
        <w:rPr>
          <w:rFonts w:asciiTheme="minorHAnsi" w:hAnsiTheme="minorHAnsi" w:cstheme="minorHAnsi"/>
          <w:sz w:val="20"/>
          <w:szCs w:val="18"/>
        </w:rPr>
      </w:pPr>
      <w:r w:rsidRPr="002F0CFD">
        <w:rPr>
          <w:rFonts w:asciiTheme="minorHAnsi" w:hAnsiTheme="minorHAnsi" w:cstheme="minorHAnsi"/>
          <w:b/>
          <w:sz w:val="20"/>
          <w:szCs w:val="18"/>
        </w:rPr>
        <w:t>Zdroj:</w:t>
      </w:r>
      <w:r w:rsidRPr="002F0CFD">
        <w:rPr>
          <w:rFonts w:asciiTheme="minorHAnsi" w:hAnsiTheme="minorHAnsi" w:cstheme="minorHAnsi"/>
          <w:sz w:val="20"/>
          <w:szCs w:val="18"/>
        </w:rPr>
        <w:t xml:space="preserve"> </w:t>
      </w:r>
      <w:r w:rsidR="00AF756A">
        <w:rPr>
          <w:rFonts w:asciiTheme="minorHAnsi" w:hAnsiTheme="minorHAnsi" w:cstheme="minorHAnsi"/>
          <w:sz w:val="20"/>
          <w:szCs w:val="18"/>
        </w:rPr>
        <w:t>m</w:t>
      </w:r>
      <w:r w:rsidRPr="002F0CFD">
        <w:rPr>
          <w:rFonts w:asciiTheme="minorHAnsi" w:hAnsiTheme="minorHAnsi" w:cstheme="minorHAnsi"/>
          <w:sz w:val="20"/>
          <w:szCs w:val="18"/>
        </w:rPr>
        <w:t>ateriál MŠMT vypracovaný v návaznosti na usnesení vlády ze dne 6. srpna 2014 č. 652</w:t>
      </w:r>
      <w:r w:rsidR="00511094" w:rsidRPr="002F0CFD">
        <w:rPr>
          <w:rFonts w:asciiTheme="minorHAnsi" w:hAnsiTheme="minorHAnsi" w:cstheme="minorHAnsi"/>
          <w:sz w:val="20"/>
          <w:szCs w:val="18"/>
        </w:rPr>
        <w:t>.</w:t>
      </w:r>
    </w:p>
    <w:tbl>
      <w:tblPr>
        <w:tblStyle w:val="Mkatabulky"/>
        <w:tblW w:w="8079" w:type="dxa"/>
        <w:tblInd w:w="580" w:type="dxa"/>
        <w:tblBorders>
          <w:top w:val="single" w:sz="12" w:space="0" w:color="4F81BD" w:themeColor="accent1"/>
          <w:left w:val="none" w:sz="0" w:space="0" w:color="auto"/>
          <w:bottom w:val="single" w:sz="12" w:space="0" w:color="4F81BD" w:themeColor="accent1"/>
          <w:right w:val="none" w:sz="0" w:space="0" w:color="auto"/>
          <w:insideH w:val="single" w:sz="6" w:space="0" w:color="auto"/>
          <w:insideV w:val="single" w:sz="8" w:space="0" w:color="auto"/>
        </w:tblBorders>
        <w:shd w:val="clear" w:color="auto" w:fill="F5F5F5"/>
        <w:tblLayout w:type="fixed"/>
        <w:tblCellMar>
          <w:top w:w="57" w:type="dxa"/>
          <w:bottom w:w="57" w:type="dxa"/>
        </w:tblCellMar>
        <w:tblLook w:val="04A0" w:firstRow="1" w:lastRow="0" w:firstColumn="1" w:lastColumn="0" w:noHBand="0" w:noVBand="1"/>
      </w:tblPr>
      <w:tblGrid>
        <w:gridCol w:w="2551"/>
        <w:gridCol w:w="5528"/>
      </w:tblGrid>
      <w:tr w:rsidR="001073CA" w14:paraId="47631D78" w14:textId="77777777" w:rsidTr="00824E07">
        <w:tc>
          <w:tcPr>
            <w:tcW w:w="8079" w:type="dxa"/>
            <w:gridSpan w:val="2"/>
            <w:tcBorders>
              <w:top w:val="single" w:sz="12" w:space="0" w:color="4F81BD" w:themeColor="accent1"/>
              <w:bottom w:val="nil"/>
            </w:tcBorders>
            <w:shd w:val="clear" w:color="auto" w:fill="F5F5F5"/>
          </w:tcPr>
          <w:p w14:paraId="237B2C66" w14:textId="77777777" w:rsidR="001073CA" w:rsidRPr="00AE1F83" w:rsidRDefault="002E0912" w:rsidP="007C7112">
            <w:pPr>
              <w:ind w:left="10" w:hanging="10"/>
              <w:contextualSpacing/>
              <w:rPr>
                <w:rFonts w:asciiTheme="minorHAnsi" w:hAnsiTheme="minorHAnsi" w:cstheme="minorHAnsi"/>
                <w:sz w:val="20"/>
                <w:szCs w:val="20"/>
              </w:rPr>
            </w:pPr>
            <w:r>
              <w:rPr>
                <w:rFonts w:asciiTheme="minorHAnsi" w:hAnsiTheme="minorHAnsi" w:cstheme="minorHAnsi"/>
                <w:b/>
                <w:sz w:val="20"/>
                <w:szCs w:val="20"/>
              </w:rPr>
              <w:t xml:space="preserve">Hlavní zdroje </w:t>
            </w:r>
            <w:r w:rsidR="005D59B1">
              <w:rPr>
                <w:rFonts w:asciiTheme="minorHAnsi" w:hAnsiTheme="minorHAnsi" w:cstheme="minorHAnsi"/>
                <w:b/>
                <w:sz w:val="20"/>
                <w:szCs w:val="20"/>
              </w:rPr>
              <w:t xml:space="preserve">financování </w:t>
            </w:r>
            <w:r>
              <w:rPr>
                <w:rFonts w:asciiTheme="minorHAnsi" w:hAnsiTheme="minorHAnsi" w:cstheme="minorHAnsi"/>
                <w:b/>
                <w:sz w:val="20"/>
                <w:szCs w:val="20"/>
              </w:rPr>
              <w:t>vědeckých výzkumných center vy</w:t>
            </w:r>
            <w:r w:rsidR="005D59B1">
              <w:rPr>
                <w:rFonts w:asciiTheme="minorHAnsi" w:hAnsiTheme="minorHAnsi" w:cstheme="minorHAnsi"/>
                <w:b/>
                <w:sz w:val="20"/>
                <w:szCs w:val="20"/>
              </w:rPr>
              <w:t>budovaných z </w:t>
            </w:r>
            <w:proofErr w:type="gramStart"/>
            <w:r w:rsidR="005D59B1">
              <w:rPr>
                <w:rFonts w:asciiTheme="minorHAnsi" w:hAnsiTheme="minorHAnsi" w:cstheme="minorHAnsi"/>
                <w:b/>
                <w:sz w:val="20"/>
                <w:szCs w:val="20"/>
              </w:rPr>
              <w:t>OP</w:t>
            </w:r>
            <w:proofErr w:type="gramEnd"/>
            <w:r w:rsidR="005D59B1">
              <w:rPr>
                <w:rFonts w:asciiTheme="minorHAnsi" w:hAnsiTheme="minorHAnsi" w:cstheme="minorHAnsi"/>
                <w:b/>
                <w:sz w:val="20"/>
                <w:szCs w:val="20"/>
              </w:rPr>
              <w:t> </w:t>
            </w:r>
            <w:proofErr w:type="spellStart"/>
            <w:r w:rsidR="005D59B1">
              <w:rPr>
                <w:rFonts w:asciiTheme="minorHAnsi" w:hAnsiTheme="minorHAnsi" w:cstheme="minorHAnsi"/>
                <w:b/>
                <w:sz w:val="20"/>
                <w:szCs w:val="20"/>
              </w:rPr>
              <w:t>VaVpI</w:t>
            </w:r>
            <w:proofErr w:type="spellEnd"/>
            <w:r w:rsidR="005D59B1">
              <w:rPr>
                <w:rFonts w:asciiTheme="minorHAnsi" w:hAnsiTheme="minorHAnsi" w:cstheme="minorHAnsi"/>
                <w:b/>
                <w:sz w:val="20"/>
                <w:szCs w:val="20"/>
              </w:rPr>
              <w:t xml:space="preserve"> v době </w:t>
            </w:r>
            <w:r>
              <w:rPr>
                <w:rFonts w:asciiTheme="minorHAnsi" w:hAnsiTheme="minorHAnsi" w:cstheme="minorHAnsi"/>
                <w:b/>
                <w:sz w:val="20"/>
                <w:szCs w:val="20"/>
              </w:rPr>
              <w:t>udržitelnosti</w:t>
            </w:r>
          </w:p>
        </w:tc>
      </w:tr>
      <w:tr w:rsidR="00D113D5" w14:paraId="1F54CA39" w14:textId="77777777" w:rsidTr="00824E07">
        <w:tc>
          <w:tcPr>
            <w:tcW w:w="2551" w:type="dxa"/>
            <w:tcBorders>
              <w:top w:val="nil"/>
              <w:right w:val="nil"/>
            </w:tcBorders>
            <w:shd w:val="clear" w:color="auto" w:fill="F5F5F5"/>
            <w:tcMar>
              <w:top w:w="85" w:type="dxa"/>
              <w:left w:w="85" w:type="dxa"/>
              <w:bottom w:w="85" w:type="dxa"/>
              <w:right w:w="85" w:type="dxa"/>
            </w:tcMar>
            <w:vAlign w:val="bottom"/>
          </w:tcPr>
          <w:p w14:paraId="406E6B52" w14:textId="77777777" w:rsidR="00D113D5" w:rsidRPr="0053661B" w:rsidRDefault="00D113D5" w:rsidP="00D113D5">
            <w:pPr>
              <w:contextualSpacing/>
              <w:rPr>
                <w:rFonts w:asciiTheme="minorHAnsi" w:hAnsiTheme="minorHAnsi" w:cstheme="minorHAnsi"/>
                <w:sz w:val="19"/>
                <w:szCs w:val="19"/>
              </w:rPr>
            </w:pPr>
            <w:r>
              <w:rPr>
                <w:rFonts w:asciiTheme="minorHAnsi" w:hAnsiTheme="minorHAnsi" w:cstheme="minorHAnsi"/>
                <w:sz w:val="19"/>
                <w:szCs w:val="19"/>
              </w:rPr>
              <w:t>Institucionální podpora</w:t>
            </w:r>
          </w:p>
        </w:tc>
        <w:tc>
          <w:tcPr>
            <w:tcW w:w="5528" w:type="dxa"/>
            <w:tcBorders>
              <w:top w:val="nil"/>
              <w:left w:val="nil"/>
              <w:bottom w:val="single" w:sz="6" w:space="0" w:color="auto"/>
              <w:right w:val="nil"/>
            </w:tcBorders>
            <w:shd w:val="clear" w:color="auto" w:fill="F5F5F5"/>
            <w:tcMar>
              <w:top w:w="85" w:type="dxa"/>
              <w:left w:w="85" w:type="dxa"/>
              <w:bottom w:w="85" w:type="dxa"/>
              <w:right w:w="85" w:type="dxa"/>
            </w:tcMar>
            <w:vAlign w:val="bottom"/>
          </w:tcPr>
          <w:p w14:paraId="671803C0" w14:textId="4A3D10F9" w:rsidR="00D113D5" w:rsidRPr="008553C1" w:rsidRDefault="00D113D5" w:rsidP="00AF756A">
            <w:pPr>
              <w:contextualSpacing/>
              <w:rPr>
                <w:rFonts w:asciiTheme="minorHAnsi" w:hAnsiTheme="minorHAnsi" w:cstheme="minorHAnsi"/>
                <w:sz w:val="19"/>
                <w:szCs w:val="19"/>
              </w:rPr>
            </w:pPr>
            <w:r>
              <w:rPr>
                <w:rFonts w:asciiTheme="minorHAnsi" w:hAnsiTheme="minorHAnsi" w:cstheme="minorHAnsi"/>
                <w:sz w:val="19"/>
                <w:szCs w:val="19"/>
              </w:rPr>
              <w:t>Podpora směrovaná přímo na instituci k zajištění její stability</w:t>
            </w:r>
          </w:p>
        </w:tc>
      </w:tr>
      <w:tr w:rsidR="00D113D5" w14:paraId="1409D9AD" w14:textId="77777777" w:rsidTr="00824E07">
        <w:tc>
          <w:tcPr>
            <w:tcW w:w="2551" w:type="dxa"/>
            <w:tcBorders>
              <w:right w:val="nil"/>
            </w:tcBorders>
            <w:shd w:val="clear" w:color="auto" w:fill="F5F5F5"/>
            <w:tcMar>
              <w:top w:w="85" w:type="dxa"/>
              <w:left w:w="85" w:type="dxa"/>
              <w:bottom w:w="85" w:type="dxa"/>
              <w:right w:w="85" w:type="dxa"/>
            </w:tcMar>
            <w:vAlign w:val="center"/>
          </w:tcPr>
          <w:p w14:paraId="12DEAEA6" w14:textId="77777777" w:rsidR="00D113D5" w:rsidRPr="008553C1" w:rsidRDefault="00D113D5" w:rsidP="00D113D5">
            <w:pPr>
              <w:contextualSpacing/>
              <w:rPr>
                <w:rFonts w:asciiTheme="minorHAnsi" w:hAnsiTheme="minorHAnsi" w:cstheme="minorHAnsi"/>
                <w:sz w:val="19"/>
                <w:szCs w:val="19"/>
              </w:rPr>
            </w:pPr>
            <w:r>
              <w:rPr>
                <w:rFonts w:asciiTheme="minorHAnsi" w:hAnsiTheme="minorHAnsi" w:cstheme="minorHAnsi"/>
                <w:sz w:val="19"/>
                <w:szCs w:val="19"/>
              </w:rPr>
              <w:t>Účelová podpora</w:t>
            </w:r>
          </w:p>
        </w:tc>
        <w:tc>
          <w:tcPr>
            <w:tcW w:w="5528" w:type="dxa"/>
            <w:tcBorders>
              <w:top w:val="single" w:sz="6" w:space="0" w:color="auto"/>
              <w:left w:val="nil"/>
              <w:bottom w:val="single" w:sz="6" w:space="0" w:color="auto"/>
              <w:right w:val="nil"/>
            </w:tcBorders>
            <w:shd w:val="clear" w:color="auto" w:fill="F5F5F5"/>
            <w:tcMar>
              <w:top w:w="85" w:type="dxa"/>
              <w:left w:w="85" w:type="dxa"/>
              <w:bottom w:w="85" w:type="dxa"/>
              <w:right w:w="85" w:type="dxa"/>
            </w:tcMar>
            <w:vAlign w:val="center"/>
          </w:tcPr>
          <w:p w14:paraId="03DEC3CA" w14:textId="6A39FA21" w:rsidR="00D113D5" w:rsidRPr="008553C1" w:rsidRDefault="00D113D5" w:rsidP="00B94709">
            <w:pPr>
              <w:contextualSpacing/>
              <w:rPr>
                <w:rFonts w:asciiTheme="minorHAnsi" w:hAnsiTheme="minorHAnsi" w:cstheme="minorHAnsi"/>
                <w:sz w:val="19"/>
                <w:szCs w:val="19"/>
              </w:rPr>
            </w:pPr>
            <w:r>
              <w:rPr>
                <w:rFonts w:asciiTheme="minorHAnsi" w:hAnsiTheme="minorHAnsi" w:cstheme="minorHAnsi"/>
                <w:sz w:val="19"/>
                <w:szCs w:val="19"/>
              </w:rPr>
              <w:t>Podpora poskytovaná na základě hodnocení a vzájemné soutěže projekt</w:t>
            </w:r>
            <w:r w:rsidR="00B94709">
              <w:rPr>
                <w:rFonts w:asciiTheme="minorHAnsi" w:hAnsiTheme="minorHAnsi" w:cstheme="minorHAnsi"/>
                <w:sz w:val="19"/>
                <w:szCs w:val="19"/>
              </w:rPr>
              <w:t>ů</w:t>
            </w:r>
            <w:r w:rsidR="00103227">
              <w:rPr>
                <w:rFonts w:asciiTheme="minorHAnsi" w:hAnsiTheme="minorHAnsi" w:cstheme="minorHAnsi"/>
                <w:sz w:val="19"/>
                <w:szCs w:val="19"/>
              </w:rPr>
              <w:t xml:space="preserve">. </w:t>
            </w:r>
            <w:r w:rsidR="00103227" w:rsidRPr="00103227">
              <w:rPr>
                <w:rFonts w:asciiTheme="minorHAnsi" w:hAnsiTheme="minorHAnsi" w:cstheme="minorHAnsi"/>
                <w:sz w:val="19"/>
                <w:szCs w:val="19"/>
              </w:rPr>
              <w:t>Hlavním dotačním titulem v rámci národní účelové podpory jsou národní programy udržitelnosti</w:t>
            </w:r>
            <w:r w:rsidR="00103227">
              <w:rPr>
                <w:rFonts w:asciiTheme="minorHAnsi" w:hAnsiTheme="minorHAnsi" w:cstheme="minorHAnsi"/>
                <w:sz w:val="19"/>
                <w:szCs w:val="19"/>
              </w:rPr>
              <w:t xml:space="preserve"> NPU I a NPU II</w:t>
            </w:r>
          </w:p>
        </w:tc>
      </w:tr>
      <w:tr w:rsidR="00D113D5" w14:paraId="37233576" w14:textId="77777777" w:rsidTr="00824E07">
        <w:tc>
          <w:tcPr>
            <w:tcW w:w="2551" w:type="dxa"/>
            <w:tcBorders>
              <w:right w:val="nil"/>
            </w:tcBorders>
            <w:shd w:val="clear" w:color="auto" w:fill="F5F5F5"/>
            <w:tcMar>
              <w:top w:w="85" w:type="dxa"/>
              <w:left w:w="85" w:type="dxa"/>
              <w:bottom w:w="85" w:type="dxa"/>
              <w:right w:w="85" w:type="dxa"/>
            </w:tcMar>
            <w:vAlign w:val="center"/>
          </w:tcPr>
          <w:p w14:paraId="58F08BA7" w14:textId="77777777" w:rsidR="00D113D5" w:rsidRPr="008553C1" w:rsidRDefault="00D113D5" w:rsidP="00D113D5">
            <w:pPr>
              <w:contextualSpacing/>
              <w:rPr>
                <w:rFonts w:asciiTheme="minorHAnsi" w:hAnsiTheme="minorHAnsi" w:cstheme="minorHAnsi"/>
                <w:sz w:val="19"/>
                <w:szCs w:val="19"/>
              </w:rPr>
            </w:pPr>
            <w:r>
              <w:rPr>
                <w:rFonts w:asciiTheme="minorHAnsi" w:hAnsiTheme="minorHAnsi" w:cstheme="minorHAnsi"/>
                <w:sz w:val="19"/>
                <w:szCs w:val="19"/>
              </w:rPr>
              <w:t>Smluvní výzkum</w:t>
            </w:r>
          </w:p>
        </w:tc>
        <w:tc>
          <w:tcPr>
            <w:tcW w:w="5528" w:type="dxa"/>
            <w:tcBorders>
              <w:top w:val="single" w:sz="6" w:space="0" w:color="auto"/>
              <w:left w:val="nil"/>
              <w:bottom w:val="single" w:sz="6" w:space="0" w:color="auto"/>
              <w:right w:val="nil"/>
            </w:tcBorders>
            <w:shd w:val="clear" w:color="auto" w:fill="F5F5F5"/>
            <w:tcMar>
              <w:top w:w="85" w:type="dxa"/>
              <w:left w:w="85" w:type="dxa"/>
              <w:bottom w:w="85" w:type="dxa"/>
              <w:right w:w="85" w:type="dxa"/>
            </w:tcMar>
            <w:vAlign w:val="center"/>
          </w:tcPr>
          <w:p w14:paraId="1F2A5C4A" w14:textId="145F1130" w:rsidR="00D113D5" w:rsidRPr="008553C1" w:rsidRDefault="00B94709" w:rsidP="00B94709">
            <w:pPr>
              <w:contextualSpacing/>
              <w:rPr>
                <w:rFonts w:asciiTheme="minorHAnsi" w:hAnsiTheme="minorHAnsi" w:cstheme="minorHAnsi"/>
                <w:sz w:val="19"/>
                <w:szCs w:val="19"/>
              </w:rPr>
            </w:pPr>
            <w:r>
              <w:rPr>
                <w:rFonts w:asciiTheme="minorHAnsi" w:hAnsiTheme="minorHAnsi" w:cstheme="minorHAnsi"/>
                <w:sz w:val="19"/>
                <w:szCs w:val="19"/>
              </w:rPr>
              <w:t>Placený v</w:t>
            </w:r>
            <w:r w:rsidR="00D113D5">
              <w:rPr>
                <w:rFonts w:asciiTheme="minorHAnsi" w:hAnsiTheme="minorHAnsi" w:cstheme="minorHAnsi"/>
                <w:sz w:val="19"/>
                <w:szCs w:val="19"/>
              </w:rPr>
              <w:t>ýzkum prováděný ve prospěch jiného (zejména privátního) subjektu</w:t>
            </w:r>
          </w:p>
        </w:tc>
      </w:tr>
      <w:tr w:rsidR="00D113D5" w:rsidRPr="00605BF1" w14:paraId="629568F6" w14:textId="77777777" w:rsidTr="00824E07">
        <w:tc>
          <w:tcPr>
            <w:tcW w:w="2551" w:type="dxa"/>
            <w:tcBorders>
              <w:right w:val="nil"/>
            </w:tcBorders>
            <w:shd w:val="clear" w:color="auto" w:fill="F5F5F5"/>
            <w:tcMar>
              <w:top w:w="85" w:type="dxa"/>
              <w:left w:w="85" w:type="dxa"/>
              <w:bottom w:w="85" w:type="dxa"/>
              <w:right w:w="85" w:type="dxa"/>
            </w:tcMar>
            <w:vAlign w:val="center"/>
          </w:tcPr>
          <w:p w14:paraId="5CC6BAA5" w14:textId="77777777" w:rsidR="00D113D5" w:rsidRPr="008553C1" w:rsidRDefault="00D113D5" w:rsidP="00D113D5">
            <w:pPr>
              <w:contextualSpacing/>
              <w:rPr>
                <w:rFonts w:asciiTheme="minorHAnsi" w:hAnsiTheme="minorHAnsi" w:cstheme="minorHAnsi"/>
                <w:sz w:val="19"/>
                <w:szCs w:val="19"/>
              </w:rPr>
            </w:pPr>
            <w:r>
              <w:rPr>
                <w:rFonts w:asciiTheme="minorHAnsi" w:hAnsiTheme="minorHAnsi" w:cstheme="minorHAnsi"/>
                <w:sz w:val="19"/>
                <w:szCs w:val="19"/>
              </w:rPr>
              <w:t>Mezinárodní granty</w:t>
            </w:r>
          </w:p>
        </w:tc>
        <w:tc>
          <w:tcPr>
            <w:tcW w:w="5528" w:type="dxa"/>
            <w:tcBorders>
              <w:top w:val="single" w:sz="6" w:space="0" w:color="auto"/>
              <w:left w:val="nil"/>
              <w:bottom w:val="single" w:sz="6" w:space="0" w:color="auto"/>
              <w:right w:val="nil"/>
            </w:tcBorders>
            <w:shd w:val="clear" w:color="auto" w:fill="F5F5F5"/>
            <w:tcMar>
              <w:top w:w="85" w:type="dxa"/>
              <w:left w:w="85" w:type="dxa"/>
              <w:bottom w:w="85" w:type="dxa"/>
              <w:right w:w="85" w:type="dxa"/>
            </w:tcMar>
            <w:vAlign w:val="center"/>
          </w:tcPr>
          <w:p w14:paraId="4EF3306B" w14:textId="1E231955" w:rsidR="00D113D5" w:rsidRPr="008553C1" w:rsidRDefault="00D113D5" w:rsidP="00D113D5">
            <w:pPr>
              <w:contextualSpacing/>
              <w:rPr>
                <w:rFonts w:asciiTheme="minorHAnsi" w:hAnsiTheme="minorHAnsi" w:cstheme="minorHAnsi"/>
                <w:sz w:val="19"/>
                <w:szCs w:val="19"/>
              </w:rPr>
            </w:pPr>
            <w:r>
              <w:rPr>
                <w:rFonts w:asciiTheme="minorHAnsi" w:hAnsiTheme="minorHAnsi" w:cstheme="minorHAnsi"/>
                <w:sz w:val="19"/>
                <w:szCs w:val="19"/>
              </w:rPr>
              <w:t xml:space="preserve">Podpora </w:t>
            </w:r>
            <w:r w:rsidR="005D59B1">
              <w:rPr>
                <w:rFonts w:asciiTheme="minorHAnsi" w:hAnsiTheme="minorHAnsi" w:cstheme="minorHAnsi"/>
                <w:sz w:val="19"/>
                <w:szCs w:val="19"/>
              </w:rPr>
              <w:t xml:space="preserve">ze zahraničních zdrojů </w:t>
            </w:r>
            <w:r>
              <w:rPr>
                <w:rFonts w:asciiTheme="minorHAnsi" w:hAnsiTheme="minorHAnsi" w:cstheme="minorHAnsi"/>
                <w:sz w:val="19"/>
                <w:szCs w:val="19"/>
              </w:rPr>
              <w:t>získaná v rámci mezinárodní soutěže projektů</w:t>
            </w:r>
          </w:p>
        </w:tc>
      </w:tr>
      <w:tr w:rsidR="00C606E5" w:rsidRPr="00605BF1" w14:paraId="73411560" w14:textId="77777777" w:rsidTr="00824E07">
        <w:tc>
          <w:tcPr>
            <w:tcW w:w="2551" w:type="dxa"/>
            <w:tcBorders>
              <w:right w:val="nil"/>
            </w:tcBorders>
            <w:shd w:val="clear" w:color="auto" w:fill="F5F5F5"/>
            <w:tcMar>
              <w:top w:w="85" w:type="dxa"/>
              <w:left w:w="85" w:type="dxa"/>
              <w:bottom w:w="85" w:type="dxa"/>
              <w:right w:w="85" w:type="dxa"/>
            </w:tcMar>
            <w:vAlign w:val="center"/>
          </w:tcPr>
          <w:p w14:paraId="18E89B62" w14:textId="77777777" w:rsidR="00C606E5" w:rsidRDefault="00C606E5" w:rsidP="00D113D5">
            <w:pPr>
              <w:contextualSpacing/>
              <w:rPr>
                <w:rFonts w:asciiTheme="minorHAnsi" w:hAnsiTheme="minorHAnsi" w:cstheme="minorHAnsi"/>
                <w:sz w:val="19"/>
                <w:szCs w:val="19"/>
              </w:rPr>
            </w:pPr>
            <w:r>
              <w:rPr>
                <w:rFonts w:asciiTheme="minorHAnsi" w:hAnsiTheme="minorHAnsi" w:cstheme="minorHAnsi"/>
                <w:sz w:val="19"/>
                <w:szCs w:val="19"/>
              </w:rPr>
              <w:t>Ostatní zdroje</w:t>
            </w:r>
          </w:p>
        </w:tc>
        <w:tc>
          <w:tcPr>
            <w:tcW w:w="5528" w:type="dxa"/>
            <w:tcBorders>
              <w:top w:val="single" w:sz="6" w:space="0" w:color="auto"/>
              <w:left w:val="nil"/>
              <w:bottom w:val="single" w:sz="12" w:space="0" w:color="4F81BD" w:themeColor="accent1"/>
              <w:right w:val="nil"/>
            </w:tcBorders>
            <w:shd w:val="clear" w:color="auto" w:fill="F5F5F5"/>
            <w:tcMar>
              <w:top w:w="85" w:type="dxa"/>
              <w:left w:w="85" w:type="dxa"/>
              <w:bottom w:w="85" w:type="dxa"/>
              <w:right w:w="85" w:type="dxa"/>
            </w:tcMar>
            <w:vAlign w:val="center"/>
          </w:tcPr>
          <w:p w14:paraId="2E9DB54D" w14:textId="438FA2E0" w:rsidR="00C606E5" w:rsidRDefault="00C606E5" w:rsidP="00D113D5">
            <w:pPr>
              <w:contextualSpacing/>
              <w:rPr>
                <w:rFonts w:asciiTheme="minorHAnsi" w:hAnsiTheme="minorHAnsi" w:cstheme="minorHAnsi"/>
                <w:sz w:val="19"/>
                <w:szCs w:val="19"/>
              </w:rPr>
            </w:pPr>
            <w:r w:rsidRPr="00C606E5">
              <w:rPr>
                <w:rFonts w:asciiTheme="minorHAnsi" w:hAnsiTheme="minorHAnsi" w:cstheme="minorHAnsi"/>
                <w:sz w:val="19"/>
                <w:szCs w:val="19"/>
              </w:rPr>
              <w:t>Doplňková a ostatní ekonomická činnost (např. pronájmy, drobná hospodářská činnost, konference), úroky, sponzorské dary apod.</w:t>
            </w:r>
          </w:p>
        </w:tc>
      </w:tr>
    </w:tbl>
    <w:p w14:paraId="36AECEB6" w14:textId="786852C6" w:rsidR="00246CC0" w:rsidRDefault="00246CC0" w:rsidP="00824E07">
      <w:pPr>
        <w:pStyle w:val="KPnormln"/>
        <w:ind w:firstLine="0"/>
        <w:rPr>
          <w:rFonts w:eastAsiaTheme="minorEastAsia"/>
        </w:rPr>
      </w:pPr>
      <w:r w:rsidRPr="00E24FE0">
        <w:rPr>
          <w:rFonts w:eastAsiaTheme="minorEastAsia"/>
        </w:rPr>
        <w:t>Za</w:t>
      </w:r>
      <w:bookmarkStart w:id="1" w:name="_MON_1506955246"/>
      <w:bookmarkEnd w:id="1"/>
      <w:r w:rsidRPr="00E24FE0">
        <w:rPr>
          <w:rFonts w:eastAsiaTheme="minorEastAsia"/>
        </w:rPr>
        <w:t xml:space="preserve"> účelem financování provozu a rozvoje vědeckých výzkumných center vybudovaných v letech 2007 až 2015 z </w:t>
      </w:r>
      <w:r>
        <w:rPr>
          <w:rFonts w:eastAsiaTheme="minorEastAsia"/>
        </w:rPr>
        <w:t xml:space="preserve">peněžních </w:t>
      </w:r>
      <w:r w:rsidRPr="00E24FE0">
        <w:rPr>
          <w:rFonts w:eastAsiaTheme="minorEastAsia"/>
        </w:rPr>
        <w:t xml:space="preserve">prostředků </w:t>
      </w:r>
      <w:r>
        <w:rPr>
          <w:rFonts w:eastAsiaTheme="minorEastAsia"/>
        </w:rPr>
        <w:t xml:space="preserve">OP </w:t>
      </w:r>
      <w:proofErr w:type="spellStart"/>
      <w:r>
        <w:rPr>
          <w:rFonts w:eastAsiaTheme="minorEastAsia"/>
        </w:rPr>
        <w:t>VaVpI</w:t>
      </w:r>
      <w:proofErr w:type="spellEnd"/>
      <w:r>
        <w:rPr>
          <w:rFonts w:eastAsiaTheme="minorEastAsia"/>
        </w:rPr>
        <w:t xml:space="preserve"> </w:t>
      </w:r>
      <w:r w:rsidRPr="00E24FE0">
        <w:rPr>
          <w:rFonts w:eastAsiaTheme="minorEastAsia"/>
        </w:rPr>
        <w:t xml:space="preserve">vyhlásilo MŠMT </w:t>
      </w:r>
      <w:r w:rsidR="00AF756A">
        <w:rPr>
          <w:rFonts w:eastAsiaTheme="minorEastAsia"/>
        </w:rPr>
        <w:t>n</w:t>
      </w:r>
      <w:r w:rsidRPr="00E24FE0">
        <w:rPr>
          <w:rFonts w:eastAsiaTheme="minorEastAsia"/>
        </w:rPr>
        <w:t>árodní program</w:t>
      </w:r>
      <w:r>
        <w:rPr>
          <w:rFonts w:eastAsiaTheme="minorEastAsia"/>
        </w:rPr>
        <w:t>y</w:t>
      </w:r>
      <w:r w:rsidRPr="00E24FE0">
        <w:rPr>
          <w:rFonts w:eastAsiaTheme="minorEastAsia"/>
        </w:rPr>
        <w:t xml:space="preserve"> </w:t>
      </w:r>
      <w:r w:rsidRPr="00E24FE0">
        <w:rPr>
          <w:rFonts w:eastAsiaTheme="minorEastAsia"/>
        </w:rPr>
        <w:lastRenderedPageBreak/>
        <w:t xml:space="preserve">udržitelnosti I </w:t>
      </w:r>
      <w:r>
        <w:rPr>
          <w:rFonts w:eastAsiaTheme="minorEastAsia"/>
        </w:rPr>
        <w:t xml:space="preserve">a II </w:t>
      </w:r>
      <w:r w:rsidRPr="00E24FE0">
        <w:rPr>
          <w:rFonts w:eastAsiaTheme="minorEastAsia"/>
        </w:rPr>
        <w:t>(</w:t>
      </w:r>
      <w:r>
        <w:rPr>
          <w:rFonts w:eastAsiaTheme="minorEastAsia"/>
        </w:rPr>
        <w:t>dále také „</w:t>
      </w:r>
      <w:r w:rsidRPr="00E24FE0">
        <w:rPr>
          <w:rFonts w:eastAsiaTheme="minorEastAsia"/>
        </w:rPr>
        <w:t>NPU I</w:t>
      </w:r>
      <w:r>
        <w:rPr>
          <w:rFonts w:eastAsiaTheme="minorEastAsia"/>
        </w:rPr>
        <w:t>“ a „NPU II“</w:t>
      </w:r>
      <w:r w:rsidRPr="00E24FE0">
        <w:rPr>
          <w:rFonts w:eastAsiaTheme="minorEastAsia"/>
        </w:rPr>
        <w:t>). Oba progra</w:t>
      </w:r>
      <w:r w:rsidR="00511094">
        <w:rPr>
          <w:rFonts w:eastAsiaTheme="minorEastAsia"/>
        </w:rPr>
        <w:t>my byly schváleny vládou 19. 6. </w:t>
      </w:r>
      <w:r w:rsidRPr="00E24FE0">
        <w:rPr>
          <w:rFonts w:eastAsiaTheme="minorEastAsia"/>
        </w:rPr>
        <w:t xml:space="preserve">2012. </w:t>
      </w:r>
    </w:p>
    <w:p w14:paraId="6B3CE9E4" w14:textId="69ACA147" w:rsidR="00E24FE0" w:rsidRPr="00E24FE0" w:rsidRDefault="003A74B4" w:rsidP="00F94683">
      <w:pPr>
        <w:pStyle w:val="KPnormln"/>
        <w:spacing w:before="0"/>
        <w:ind w:firstLine="0"/>
      </w:pPr>
      <w:r w:rsidRPr="00E24FE0">
        <w:rPr>
          <w:rFonts w:eastAsiaTheme="minorEastAsia"/>
        </w:rPr>
        <w:t>Zatímco NPU I má za cíl podporovat menší projekty a dotace z tohoto programu jsou poskytovány od roku 2013, NPU II je zaměřen na tzv. velké projekty (individuálně schvalované Evropskou komisí) a financování z tohoto programu by mělo začít od roku 2016 (tj. v době, kdy budou první velké projekty ve fázi udržitelnosti).</w:t>
      </w:r>
      <w:r w:rsidR="00782109">
        <w:rPr>
          <w:rFonts w:eastAsiaTheme="minorEastAsia"/>
        </w:rPr>
        <w:t xml:space="preserve"> </w:t>
      </w:r>
      <w:r w:rsidRPr="00E24FE0">
        <w:rPr>
          <w:rFonts w:eastAsiaTheme="minorEastAsia"/>
        </w:rPr>
        <w:t>Celkové plánované výdaje NPU I a NPU II činí více než 15 mld</w:t>
      </w:r>
      <w:r w:rsidR="00D40EE9">
        <w:rPr>
          <w:rFonts w:eastAsiaTheme="minorEastAsia"/>
        </w:rPr>
        <w:t>. Kč</w:t>
      </w:r>
      <w:r w:rsidRPr="00E24FE0">
        <w:rPr>
          <w:rFonts w:eastAsiaTheme="minorEastAsia"/>
        </w:rPr>
        <w:t>.</w:t>
      </w:r>
      <w:r w:rsidR="00F92DF7">
        <w:rPr>
          <w:rFonts w:eastAsiaTheme="minorEastAsia"/>
        </w:rPr>
        <w:t xml:space="preserve"> </w:t>
      </w:r>
      <w:r w:rsidRPr="00E24FE0">
        <w:rPr>
          <w:rFonts w:eastAsiaTheme="minorEastAsia"/>
        </w:rPr>
        <w:t>Čerpání podpory v rámci těchto programů je možné do konce roku 2020, kdy skončí doba udržitelnosti všech center vybudovaných z </w:t>
      </w:r>
      <w:r w:rsidR="00B94709">
        <w:rPr>
          <w:rFonts w:eastAsiaTheme="minorEastAsia"/>
        </w:rPr>
        <w:t xml:space="preserve">prostředků </w:t>
      </w:r>
      <w:r w:rsidRPr="00E24FE0">
        <w:rPr>
          <w:rFonts w:eastAsiaTheme="minorEastAsia"/>
        </w:rPr>
        <w:t xml:space="preserve">OP </w:t>
      </w:r>
      <w:proofErr w:type="spellStart"/>
      <w:r w:rsidRPr="00E24FE0">
        <w:rPr>
          <w:rFonts w:eastAsiaTheme="minorEastAsia"/>
        </w:rPr>
        <w:t>VaVpI</w:t>
      </w:r>
      <w:proofErr w:type="spellEnd"/>
      <w:r w:rsidRPr="00E24FE0">
        <w:rPr>
          <w:rFonts w:eastAsiaTheme="minorEastAsia"/>
        </w:rPr>
        <w:t>.</w:t>
      </w:r>
      <w:r>
        <w:rPr>
          <w:rFonts w:eastAsiaTheme="minorEastAsia"/>
        </w:rPr>
        <w:t xml:space="preserve"> </w:t>
      </w:r>
      <w:r w:rsidR="00E24FE0" w:rsidRPr="00E24FE0">
        <w:rPr>
          <w:rFonts w:eastAsiaTheme="minorEastAsia"/>
        </w:rPr>
        <w:t xml:space="preserve">Přehled naplánovaných výdajů z obou programů v jednotlivých letech a zároveň </w:t>
      </w:r>
      <w:r>
        <w:rPr>
          <w:rFonts w:eastAsiaTheme="minorEastAsia"/>
        </w:rPr>
        <w:t>nasmlouvan</w:t>
      </w:r>
      <w:r w:rsidR="002D13F9">
        <w:rPr>
          <w:rFonts w:eastAsiaTheme="minorEastAsia"/>
        </w:rPr>
        <w:t>ých</w:t>
      </w:r>
      <w:r>
        <w:rPr>
          <w:rFonts w:eastAsiaTheme="minorEastAsia"/>
        </w:rPr>
        <w:t xml:space="preserve"> prostředk</w:t>
      </w:r>
      <w:r w:rsidR="002D13F9">
        <w:rPr>
          <w:rFonts w:eastAsiaTheme="minorEastAsia"/>
        </w:rPr>
        <w:t>ů</w:t>
      </w:r>
      <w:r>
        <w:rPr>
          <w:rFonts w:eastAsiaTheme="minorEastAsia"/>
        </w:rPr>
        <w:t xml:space="preserve"> NPU I </w:t>
      </w:r>
      <w:r w:rsidR="00B94709">
        <w:rPr>
          <w:rFonts w:eastAsiaTheme="minorEastAsia"/>
        </w:rPr>
        <w:t xml:space="preserve">uvádí tabulka </w:t>
      </w:r>
      <w:r>
        <w:rPr>
          <w:rFonts w:eastAsiaTheme="minorEastAsia"/>
        </w:rPr>
        <w:t>č. 2.</w:t>
      </w:r>
      <w:r w:rsidR="00E24FE0" w:rsidRPr="00E24FE0">
        <w:rPr>
          <w:rFonts w:eastAsiaTheme="minorEastAsia"/>
        </w:rPr>
        <w:t xml:space="preserve"> </w:t>
      </w:r>
      <w:r>
        <w:rPr>
          <w:rFonts w:eastAsiaTheme="minorEastAsia"/>
        </w:rPr>
        <w:t>Nevyužité</w:t>
      </w:r>
      <w:r w:rsidR="00E24FE0" w:rsidRPr="00E24FE0">
        <w:rPr>
          <w:rFonts w:eastAsiaTheme="minorEastAsia"/>
        </w:rPr>
        <w:t xml:space="preserve"> prostředky jsou k dispozici v následujících letech v rámci daného programu.</w:t>
      </w:r>
    </w:p>
    <w:p w14:paraId="3078E09D" w14:textId="77777777" w:rsidR="007D0331" w:rsidRPr="007F3A9D" w:rsidRDefault="00E24FE0" w:rsidP="00AF756A">
      <w:pPr>
        <w:tabs>
          <w:tab w:val="right" w:pos="9072"/>
        </w:tabs>
        <w:spacing w:after="40"/>
        <w:jc w:val="both"/>
        <w:rPr>
          <w:rFonts w:asciiTheme="minorHAnsi" w:eastAsiaTheme="minorEastAsia" w:hAnsiTheme="minorHAnsi" w:cstheme="minorHAnsi"/>
          <w:b/>
        </w:rPr>
      </w:pPr>
      <w:r w:rsidRPr="007F3A9D">
        <w:rPr>
          <w:rFonts w:asciiTheme="minorHAnsi" w:eastAsiaTheme="minorEastAsia" w:hAnsiTheme="minorHAnsi" w:cstheme="minorHAnsi"/>
          <w:b/>
        </w:rPr>
        <w:t>Tabulka</w:t>
      </w:r>
      <w:r w:rsidRPr="007F3A9D">
        <w:rPr>
          <w:rFonts w:asciiTheme="minorHAnsi" w:eastAsiaTheme="minorEastAsia" w:hAnsiTheme="minorHAnsi" w:cstheme="minorHAnsi"/>
          <w:b/>
          <w:sz w:val="22"/>
          <w:szCs w:val="22"/>
        </w:rPr>
        <w:t xml:space="preserve"> </w:t>
      </w:r>
      <w:r w:rsidR="003A74B4" w:rsidRPr="007F3A9D">
        <w:rPr>
          <w:rFonts w:asciiTheme="minorHAnsi" w:eastAsiaTheme="minorEastAsia" w:hAnsiTheme="minorHAnsi" w:cstheme="minorHAnsi"/>
          <w:b/>
        </w:rPr>
        <w:t>č.</w:t>
      </w:r>
      <w:r w:rsidR="003A74B4" w:rsidRPr="007F3A9D">
        <w:rPr>
          <w:rFonts w:asciiTheme="minorHAnsi" w:eastAsiaTheme="minorEastAsia" w:hAnsiTheme="minorHAnsi" w:cstheme="minorHAnsi"/>
          <w:b/>
          <w:sz w:val="22"/>
          <w:szCs w:val="22"/>
        </w:rPr>
        <w:t xml:space="preserve"> </w:t>
      </w:r>
      <w:r w:rsidR="003A74B4" w:rsidRPr="007F3A9D">
        <w:rPr>
          <w:rFonts w:asciiTheme="minorHAnsi" w:eastAsiaTheme="minorEastAsia" w:hAnsiTheme="minorHAnsi" w:cstheme="minorHAnsi"/>
          <w:b/>
        </w:rPr>
        <w:t>2</w:t>
      </w:r>
      <w:r w:rsidR="003A74B4"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Schválený</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rozpis</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výdajů</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NPU</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I</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a</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NPU</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II</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a</w:t>
      </w:r>
      <w:r w:rsidRPr="007F3A9D">
        <w:rPr>
          <w:rFonts w:asciiTheme="minorHAnsi" w:eastAsiaTheme="minorEastAsia" w:hAnsiTheme="minorHAnsi" w:cstheme="minorHAnsi"/>
          <w:b/>
          <w:sz w:val="22"/>
          <w:szCs w:val="22"/>
        </w:rPr>
        <w:t xml:space="preserve"> </w:t>
      </w:r>
      <w:r w:rsidR="001D1A09" w:rsidRPr="007F3A9D">
        <w:rPr>
          <w:rFonts w:asciiTheme="minorHAnsi" w:eastAsiaTheme="minorEastAsia" w:hAnsiTheme="minorHAnsi" w:cstheme="minorHAnsi"/>
          <w:b/>
        </w:rPr>
        <w:t>nasmlouvané</w:t>
      </w:r>
      <w:r w:rsidR="001D1A09"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čerpání</w:t>
      </w:r>
      <w:r w:rsidRPr="007F3A9D">
        <w:rPr>
          <w:rFonts w:asciiTheme="minorHAnsi" w:eastAsiaTheme="minorEastAsia" w:hAnsiTheme="minorHAnsi" w:cstheme="minorHAnsi"/>
          <w:b/>
          <w:sz w:val="22"/>
          <w:szCs w:val="22"/>
        </w:rPr>
        <w:t xml:space="preserve"> </w:t>
      </w:r>
      <w:r w:rsidRPr="007F3A9D">
        <w:rPr>
          <w:rFonts w:asciiTheme="minorHAnsi" w:eastAsiaTheme="minorEastAsia" w:hAnsiTheme="minorHAnsi" w:cstheme="minorHAnsi"/>
          <w:b/>
        </w:rPr>
        <w:t>NPU I</w:t>
      </w:r>
      <w:r w:rsidR="00AE49A7" w:rsidRPr="007F3A9D">
        <w:rPr>
          <w:rFonts w:asciiTheme="minorHAnsi" w:eastAsiaTheme="minorEastAsia" w:hAnsiTheme="minorHAnsi" w:cstheme="minorHAnsi"/>
          <w:b/>
        </w:rPr>
        <w:tab/>
        <w:t>(v mil. Kč)</w:t>
      </w:r>
    </w:p>
    <w:tbl>
      <w:tblPr>
        <w:tblStyle w:val="Mkatabulky1"/>
        <w:tblW w:w="9254" w:type="dxa"/>
        <w:tblInd w:w="68" w:type="dxa"/>
        <w:tblLook w:val="04A0" w:firstRow="1" w:lastRow="0" w:firstColumn="1" w:lastColumn="0" w:noHBand="0" w:noVBand="1"/>
      </w:tblPr>
      <w:tblGrid>
        <w:gridCol w:w="1600"/>
        <w:gridCol w:w="851"/>
        <w:gridCol w:w="850"/>
        <w:gridCol w:w="851"/>
        <w:gridCol w:w="850"/>
        <w:gridCol w:w="851"/>
        <w:gridCol w:w="850"/>
        <w:gridCol w:w="851"/>
        <w:gridCol w:w="850"/>
        <w:gridCol w:w="850"/>
      </w:tblGrid>
      <w:tr w:rsidR="00E24FE0" w:rsidRPr="00E24FE0" w14:paraId="54344086" w14:textId="77777777" w:rsidTr="007F3A9D">
        <w:trPr>
          <w:trHeight w:val="283"/>
        </w:trPr>
        <w:tc>
          <w:tcPr>
            <w:tcW w:w="1600" w:type="dxa"/>
            <w:tcBorders>
              <w:bottom w:val="single" w:sz="4" w:space="0" w:color="auto"/>
            </w:tcBorders>
            <w:shd w:val="clear" w:color="auto" w:fill="D9D9D9" w:themeFill="background1" w:themeFillShade="D9"/>
            <w:vAlign w:val="center"/>
          </w:tcPr>
          <w:p w14:paraId="284DA634" w14:textId="77777777" w:rsidR="00E24FE0" w:rsidRPr="00E24FE0" w:rsidRDefault="00E24FE0" w:rsidP="00E24FE0">
            <w:pPr>
              <w:jc w:val="center"/>
              <w:rPr>
                <w:rFonts w:asciiTheme="minorHAnsi" w:eastAsiaTheme="minorEastAsia" w:hAnsiTheme="minorHAnsi" w:cstheme="minorHAnsi"/>
                <w:b/>
                <w:sz w:val="20"/>
                <w:szCs w:val="20"/>
              </w:rPr>
            </w:pPr>
          </w:p>
        </w:tc>
        <w:tc>
          <w:tcPr>
            <w:tcW w:w="851" w:type="dxa"/>
            <w:tcBorders>
              <w:bottom w:val="single" w:sz="4" w:space="0" w:color="auto"/>
            </w:tcBorders>
            <w:shd w:val="clear" w:color="auto" w:fill="D9D9D9" w:themeFill="background1" w:themeFillShade="D9"/>
            <w:vAlign w:val="center"/>
          </w:tcPr>
          <w:p w14:paraId="45EDD116"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2013</w:t>
            </w:r>
          </w:p>
        </w:tc>
        <w:tc>
          <w:tcPr>
            <w:tcW w:w="850" w:type="dxa"/>
            <w:tcBorders>
              <w:bottom w:val="single" w:sz="4" w:space="0" w:color="auto"/>
            </w:tcBorders>
            <w:shd w:val="clear" w:color="auto" w:fill="D9D9D9" w:themeFill="background1" w:themeFillShade="D9"/>
            <w:vAlign w:val="center"/>
          </w:tcPr>
          <w:p w14:paraId="4F7B1BAC"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2014</w:t>
            </w:r>
          </w:p>
        </w:tc>
        <w:tc>
          <w:tcPr>
            <w:tcW w:w="851" w:type="dxa"/>
            <w:tcBorders>
              <w:bottom w:val="single" w:sz="4" w:space="0" w:color="auto"/>
            </w:tcBorders>
            <w:shd w:val="clear" w:color="auto" w:fill="D9D9D9" w:themeFill="background1" w:themeFillShade="D9"/>
            <w:vAlign w:val="center"/>
          </w:tcPr>
          <w:p w14:paraId="40E177CA"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2015</w:t>
            </w:r>
          </w:p>
        </w:tc>
        <w:tc>
          <w:tcPr>
            <w:tcW w:w="850" w:type="dxa"/>
            <w:tcBorders>
              <w:bottom w:val="single" w:sz="4" w:space="0" w:color="auto"/>
            </w:tcBorders>
            <w:shd w:val="clear" w:color="auto" w:fill="D9D9D9" w:themeFill="background1" w:themeFillShade="D9"/>
            <w:vAlign w:val="center"/>
          </w:tcPr>
          <w:p w14:paraId="24BD6636"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2016</w:t>
            </w:r>
          </w:p>
        </w:tc>
        <w:tc>
          <w:tcPr>
            <w:tcW w:w="851" w:type="dxa"/>
            <w:tcBorders>
              <w:bottom w:val="single" w:sz="4" w:space="0" w:color="auto"/>
            </w:tcBorders>
            <w:shd w:val="clear" w:color="auto" w:fill="D9D9D9" w:themeFill="background1" w:themeFillShade="D9"/>
            <w:vAlign w:val="center"/>
          </w:tcPr>
          <w:p w14:paraId="1106F9B1"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2017</w:t>
            </w:r>
          </w:p>
        </w:tc>
        <w:tc>
          <w:tcPr>
            <w:tcW w:w="850" w:type="dxa"/>
            <w:tcBorders>
              <w:bottom w:val="single" w:sz="4" w:space="0" w:color="auto"/>
            </w:tcBorders>
            <w:shd w:val="clear" w:color="auto" w:fill="D9D9D9" w:themeFill="background1" w:themeFillShade="D9"/>
            <w:vAlign w:val="center"/>
          </w:tcPr>
          <w:p w14:paraId="53A5A722"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2018</w:t>
            </w:r>
          </w:p>
        </w:tc>
        <w:tc>
          <w:tcPr>
            <w:tcW w:w="851" w:type="dxa"/>
            <w:tcBorders>
              <w:bottom w:val="single" w:sz="4" w:space="0" w:color="auto"/>
            </w:tcBorders>
            <w:shd w:val="clear" w:color="auto" w:fill="D9D9D9" w:themeFill="background1" w:themeFillShade="D9"/>
            <w:vAlign w:val="center"/>
          </w:tcPr>
          <w:p w14:paraId="1509A729"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2019</w:t>
            </w:r>
          </w:p>
        </w:tc>
        <w:tc>
          <w:tcPr>
            <w:tcW w:w="850" w:type="dxa"/>
            <w:tcBorders>
              <w:bottom w:val="single" w:sz="4" w:space="0" w:color="auto"/>
            </w:tcBorders>
            <w:shd w:val="clear" w:color="auto" w:fill="D9D9D9" w:themeFill="background1" w:themeFillShade="D9"/>
            <w:vAlign w:val="center"/>
          </w:tcPr>
          <w:p w14:paraId="2E5E8146"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2020</w:t>
            </w:r>
          </w:p>
        </w:tc>
        <w:tc>
          <w:tcPr>
            <w:tcW w:w="850" w:type="dxa"/>
            <w:tcBorders>
              <w:bottom w:val="single" w:sz="4" w:space="0" w:color="auto"/>
            </w:tcBorders>
            <w:shd w:val="clear" w:color="auto" w:fill="D9D9D9" w:themeFill="background1" w:themeFillShade="D9"/>
            <w:vAlign w:val="center"/>
          </w:tcPr>
          <w:p w14:paraId="7A9228CD" w14:textId="77777777" w:rsidR="00E24FE0" w:rsidRPr="00E24FE0" w:rsidRDefault="00E24FE0" w:rsidP="00E24FE0">
            <w:pPr>
              <w:jc w:val="center"/>
              <w:rPr>
                <w:rFonts w:asciiTheme="minorHAnsi" w:eastAsiaTheme="minorEastAsia" w:hAnsiTheme="minorHAnsi" w:cstheme="minorHAnsi"/>
                <w:b/>
                <w:sz w:val="20"/>
                <w:szCs w:val="20"/>
              </w:rPr>
            </w:pPr>
            <w:r w:rsidRPr="00E24FE0">
              <w:rPr>
                <w:rFonts w:asciiTheme="minorHAnsi" w:eastAsiaTheme="minorEastAsia" w:hAnsiTheme="minorHAnsi" w:cstheme="minorHAnsi"/>
                <w:b/>
                <w:sz w:val="20"/>
                <w:szCs w:val="20"/>
              </w:rPr>
              <w:t>Celkem</w:t>
            </w:r>
          </w:p>
        </w:tc>
      </w:tr>
      <w:tr w:rsidR="00E24FE0" w:rsidRPr="00E24FE0" w14:paraId="63F86C72" w14:textId="77777777" w:rsidTr="007F3A9D">
        <w:trPr>
          <w:trHeight w:val="283"/>
        </w:trPr>
        <w:tc>
          <w:tcPr>
            <w:tcW w:w="1600" w:type="dxa"/>
            <w:shd w:val="clear" w:color="auto" w:fill="auto"/>
            <w:vAlign w:val="center"/>
          </w:tcPr>
          <w:p w14:paraId="739C3EDA" w14:textId="77777777" w:rsidR="00E24FE0" w:rsidRPr="00E24FE0" w:rsidRDefault="00E24FE0" w:rsidP="00E24FE0">
            <w:pPr>
              <w:rPr>
                <w:rFonts w:asciiTheme="minorHAnsi" w:eastAsiaTheme="minorEastAsia" w:hAnsiTheme="minorHAnsi" w:cstheme="minorHAnsi"/>
                <w:sz w:val="20"/>
                <w:szCs w:val="20"/>
              </w:rPr>
            </w:pPr>
            <w:r w:rsidRPr="00E24FE0">
              <w:rPr>
                <w:rFonts w:asciiTheme="minorHAnsi" w:eastAsiaTheme="minorEastAsia" w:hAnsiTheme="minorHAnsi" w:cstheme="minorHAnsi"/>
                <w:sz w:val="20"/>
                <w:szCs w:val="20"/>
              </w:rPr>
              <w:t>Plánované výdaje NPU I</w:t>
            </w:r>
          </w:p>
        </w:tc>
        <w:tc>
          <w:tcPr>
            <w:tcW w:w="851" w:type="dxa"/>
            <w:shd w:val="clear" w:color="auto" w:fill="auto"/>
            <w:vAlign w:val="center"/>
          </w:tcPr>
          <w:p w14:paraId="4C2419CB" w14:textId="5C494BC3"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133</w:t>
            </w:r>
          </w:p>
        </w:tc>
        <w:tc>
          <w:tcPr>
            <w:tcW w:w="850" w:type="dxa"/>
            <w:shd w:val="clear" w:color="auto" w:fill="auto"/>
            <w:vAlign w:val="center"/>
          </w:tcPr>
          <w:p w14:paraId="1FFE7077" w14:textId="55967765"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958</w:t>
            </w:r>
          </w:p>
        </w:tc>
        <w:tc>
          <w:tcPr>
            <w:tcW w:w="851" w:type="dxa"/>
            <w:shd w:val="clear" w:color="auto" w:fill="auto"/>
            <w:vAlign w:val="center"/>
          </w:tcPr>
          <w:p w14:paraId="7F2D5866" w14:textId="391AF7ED"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1 645</w:t>
            </w:r>
          </w:p>
        </w:tc>
        <w:tc>
          <w:tcPr>
            <w:tcW w:w="850" w:type="dxa"/>
            <w:shd w:val="clear" w:color="auto" w:fill="auto"/>
            <w:vAlign w:val="center"/>
          </w:tcPr>
          <w:p w14:paraId="09A532B9" w14:textId="092E860F"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1 400</w:t>
            </w:r>
          </w:p>
        </w:tc>
        <w:tc>
          <w:tcPr>
            <w:tcW w:w="851" w:type="dxa"/>
            <w:shd w:val="clear" w:color="auto" w:fill="auto"/>
            <w:vAlign w:val="center"/>
          </w:tcPr>
          <w:p w14:paraId="2197ABD1" w14:textId="01887093"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1 520</w:t>
            </w:r>
          </w:p>
        </w:tc>
        <w:tc>
          <w:tcPr>
            <w:tcW w:w="850" w:type="dxa"/>
            <w:shd w:val="clear" w:color="auto" w:fill="auto"/>
            <w:vAlign w:val="center"/>
          </w:tcPr>
          <w:p w14:paraId="52A724C6" w14:textId="0287F5FD"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1 500</w:t>
            </w:r>
          </w:p>
        </w:tc>
        <w:tc>
          <w:tcPr>
            <w:tcW w:w="851" w:type="dxa"/>
            <w:shd w:val="clear" w:color="auto" w:fill="auto"/>
            <w:vAlign w:val="center"/>
          </w:tcPr>
          <w:p w14:paraId="713AB471" w14:textId="3DF8EB11"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1 200</w:t>
            </w:r>
          </w:p>
        </w:tc>
        <w:tc>
          <w:tcPr>
            <w:tcW w:w="850" w:type="dxa"/>
            <w:shd w:val="clear" w:color="auto" w:fill="auto"/>
            <w:vAlign w:val="center"/>
          </w:tcPr>
          <w:p w14:paraId="74293E32" w14:textId="10E52420"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500</w:t>
            </w:r>
          </w:p>
        </w:tc>
        <w:tc>
          <w:tcPr>
            <w:tcW w:w="850" w:type="dxa"/>
            <w:shd w:val="clear" w:color="auto" w:fill="auto"/>
            <w:vAlign w:val="center"/>
          </w:tcPr>
          <w:p w14:paraId="6D43FAC6" w14:textId="306F35A9" w:rsidR="00E24FE0" w:rsidRPr="00E24FE0" w:rsidRDefault="00E24FE0" w:rsidP="002F0CFD">
            <w:pPr>
              <w:jc w:val="right"/>
              <w:rPr>
                <w:rFonts w:asciiTheme="minorHAnsi" w:hAnsiTheme="minorHAnsi" w:cstheme="minorHAnsi"/>
                <w:sz w:val="20"/>
                <w:szCs w:val="20"/>
              </w:rPr>
            </w:pPr>
            <w:r w:rsidRPr="00E24FE0">
              <w:rPr>
                <w:rFonts w:asciiTheme="minorHAnsi" w:hAnsiTheme="minorHAnsi" w:cstheme="minorHAnsi"/>
                <w:sz w:val="20"/>
                <w:szCs w:val="20"/>
              </w:rPr>
              <w:t>8 85</w:t>
            </w:r>
            <w:r w:rsidR="002D13F9">
              <w:rPr>
                <w:rFonts w:asciiTheme="minorHAnsi" w:hAnsiTheme="minorHAnsi" w:cstheme="minorHAnsi"/>
                <w:sz w:val="20"/>
                <w:szCs w:val="20"/>
              </w:rPr>
              <w:t>7</w:t>
            </w:r>
          </w:p>
        </w:tc>
      </w:tr>
      <w:tr w:rsidR="00E24FE0" w:rsidRPr="00E24FE0" w14:paraId="2674D666" w14:textId="77777777" w:rsidTr="007F3A9D">
        <w:trPr>
          <w:trHeight w:val="283"/>
        </w:trPr>
        <w:tc>
          <w:tcPr>
            <w:tcW w:w="1600" w:type="dxa"/>
            <w:tcBorders>
              <w:bottom w:val="single" w:sz="4" w:space="0" w:color="auto"/>
            </w:tcBorders>
            <w:vAlign w:val="center"/>
          </w:tcPr>
          <w:p w14:paraId="4C654E9E" w14:textId="1EB40B32" w:rsidR="00E24FE0" w:rsidRPr="00E24FE0" w:rsidRDefault="002D4A95" w:rsidP="00B9470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Nasmlouvané </w:t>
            </w:r>
            <w:r w:rsidR="00B94709">
              <w:rPr>
                <w:rFonts w:asciiTheme="minorHAnsi" w:eastAsiaTheme="minorEastAsia" w:hAnsiTheme="minorHAnsi" w:cstheme="minorHAnsi"/>
                <w:sz w:val="20"/>
                <w:szCs w:val="20"/>
              </w:rPr>
              <w:t>čerpání</w:t>
            </w:r>
            <w:r w:rsidR="00E24FE0" w:rsidRPr="00E24FE0">
              <w:rPr>
                <w:rFonts w:asciiTheme="minorHAnsi" w:eastAsiaTheme="minorEastAsia" w:hAnsiTheme="minorHAnsi" w:cstheme="minorHAnsi"/>
                <w:sz w:val="20"/>
                <w:szCs w:val="20"/>
              </w:rPr>
              <w:t xml:space="preserve"> NPU I</w:t>
            </w:r>
          </w:p>
        </w:tc>
        <w:tc>
          <w:tcPr>
            <w:tcW w:w="851" w:type="dxa"/>
            <w:tcBorders>
              <w:bottom w:val="single" w:sz="4" w:space="0" w:color="auto"/>
            </w:tcBorders>
            <w:vAlign w:val="center"/>
          </w:tcPr>
          <w:p w14:paraId="6585F13E" w14:textId="1BADFE14"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52</w:t>
            </w:r>
          </w:p>
        </w:tc>
        <w:tc>
          <w:tcPr>
            <w:tcW w:w="850" w:type="dxa"/>
            <w:tcBorders>
              <w:bottom w:val="single" w:sz="4" w:space="0" w:color="auto"/>
            </w:tcBorders>
            <w:vAlign w:val="center"/>
          </w:tcPr>
          <w:p w14:paraId="5E84BC4D" w14:textId="393907A9"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629</w:t>
            </w:r>
          </w:p>
        </w:tc>
        <w:tc>
          <w:tcPr>
            <w:tcW w:w="851" w:type="dxa"/>
            <w:tcBorders>
              <w:bottom w:val="single" w:sz="4" w:space="0" w:color="auto"/>
            </w:tcBorders>
            <w:vAlign w:val="center"/>
          </w:tcPr>
          <w:p w14:paraId="2538BB94" w14:textId="7058E404"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1 003</w:t>
            </w:r>
          </w:p>
        </w:tc>
        <w:tc>
          <w:tcPr>
            <w:tcW w:w="850" w:type="dxa"/>
            <w:tcBorders>
              <w:bottom w:val="single" w:sz="4" w:space="0" w:color="auto"/>
            </w:tcBorders>
            <w:vAlign w:val="center"/>
          </w:tcPr>
          <w:p w14:paraId="0C80DBEF" w14:textId="2DC6DDAB"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945</w:t>
            </w:r>
          </w:p>
        </w:tc>
        <w:tc>
          <w:tcPr>
            <w:tcW w:w="851" w:type="dxa"/>
            <w:tcBorders>
              <w:bottom w:val="single" w:sz="4" w:space="0" w:color="auto"/>
            </w:tcBorders>
            <w:vAlign w:val="center"/>
          </w:tcPr>
          <w:p w14:paraId="46821805" w14:textId="7265E747"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920</w:t>
            </w:r>
          </w:p>
        </w:tc>
        <w:tc>
          <w:tcPr>
            <w:tcW w:w="850" w:type="dxa"/>
            <w:tcBorders>
              <w:bottom w:val="single" w:sz="4" w:space="0" w:color="auto"/>
            </w:tcBorders>
            <w:vAlign w:val="center"/>
          </w:tcPr>
          <w:p w14:paraId="07E05A80" w14:textId="3D567AB3"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877</w:t>
            </w:r>
          </w:p>
        </w:tc>
        <w:tc>
          <w:tcPr>
            <w:tcW w:w="851" w:type="dxa"/>
            <w:tcBorders>
              <w:bottom w:val="single" w:sz="4" w:space="0" w:color="auto"/>
            </w:tcBorders>
            <w:vAlign w:val="center"/>
          </w:tcPr>
          <w:p w14:paraId="44FC9C71" w14:textId="40111522"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428</w:t>
            </w:r>
          </w:p>
        </w:tc>
        <w:tc>
          <w:tcPr>
            <w:tcW w:w="850" w:type="dxa"/>
            <w:tcBorders>
              <w:bottom w:val="single" w:sz="4" w:space="0" w:color="auto"/>
            </w:tcBorders>
            <w:vAlign w:val="center"/>
          </w:tcPr>
          <w:p w14:paraId="2A0A80E1" w14:textId="0FAD1C8E"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3</w:t>
            </w:r>
          </w:p>
        </w:tc>
        <w:tc>
          <w:tcPr>
            <w:tcW w:w="850" w:type="dxa"/>
            <w:tcBorders>
              <w:bottom w:val="single" w:sz="4" w:space="0" w:color="auto"/>
            </w:tcBorders>
            <w:vAlign w:val="center"/>
          </w:tcPr>
          <w:p w14:paraId="6FFF0BCE" w14:textId="71BF40BB" w:rsidR="00E24FE0" w:rsidRPr="00E24FE0" w:rsidRDefault="00E24FE0" w:rsidP="002F0CFD">
            <w:pPr>
              <w:jc w:val="right"/>
              <w:rPr>
                <w:rFonts w:asciiTheme="minorHAnsi" w:hAnsiTheme="minorHAnsi" w:cstheme="minorHAnsi"/>
                <w:sz w:val="20"/>
                <w:szCs w:val="20"/>
              </w:rPr>
            </w:pPr>
            <w:r w:rsidRPr="00E24FE0">
              <w:rPr>
                <w:rFonts w:asciiTheme="minorHAnsi" w:hAnsiTheme="minorHAnsi" w:cstheme="minorHAnsi"/>
                <w:sz w:val="20"/>
                <w:szCs w:val="20"/>
              </w:rPr>
              <w:t>4 856</w:t>
            </w:r>
          </w:p>
        </w:tc>
      </w:tr>
      <w:tr w:rsidR="00E24FE0" w:rsidRPr="00E24FE0" w14:paraId="798FFAB0" w14:textId="77777777" w:rsidTr="007F3A9D">
        <w:trPr>
          <w:trHeight w:val="283"/>
        </w:trPr>
        <w:tc>
          <w:tcPr>
            <w:tcW w:w="1600" w:type="dxa"/>
            <w:shd w:val="clear" w:color="auto" w:fill="auto"/>
            <w:vAlign w:val="center"/>
          </w:tcPr>
          <w:p w14:paraId="6B51C492" w14:textId="77777777" w:rsidR="00E24FE0" w:rsidRPr="00E24FE0" w:rsidRDefault="00E24FE0" w:rsidP="00E24FE0">
            <w:pPr>
              <w:rPr>
                <w:rFonts w:asciiTheme="minorHAnsi" w:eastAsiaTheme="minorEastAsia" w:hAnsiTheme="minorHAnsi" w:cstheme="minorHAnsi"/>
                <w:sz w:val="20"/>
                <w:szCs w:val="20"/>
              </w:rPr>
            </w:pPr>
            <w:r w:rsidRPr="00E24FE0">
              <w:rPr>
                <w:rFonts w:asciiTheme="minorHAnsi" w:eastAsiaTheme="minorEastAsia" w:hAnsiTheme="minorHAnsi" w:cstheme="minorHAnsi"/>
                <w:sz w:val="20"/>
                <w:szCs w:val="20"/>
              </w:rPr>
              <w:t>Plánované výdaje NPU II</w:t>
            </w:r>
          </w:p>
        </w:tc>
        <w:tc>
          <w:tcPr>
            <w:tcW w:w="851" w:type="dxa"/>
            <w:shd w:val="clear" w:color="auto" w:fill="auto"/>
            <w:vAlign w:val="center"/>
          </w:tcPr>
          <w:p w14:paraId="3AEEF3C0" w14:textId="77777777" w:rsidR="00E24FE0" w:rsidRPr="00E24FE0" w:rsidRDefault="00E24FE0" w:rsidP="00E24FE0">
            <w:pPr>
              <w:jc w:val="both"/>
              <w:rPr>
                <w:rFonts w:asciiTheme="minorHAnsi" w:eastAsiaTheme="minorEastAsia" w:hAnsiTheme="minorHAnsi" w:cstheme="minorHAnsi"/>
                <w:sz w:val="20"/>
                <w:szCs w:val="20"/>
              </w:rPr>
            </w:pPr>
          </w:p>
        </w:tc>
        <w:tc>
          <w:tcPr>
            <w:tcW w:w="850" w:type="dxa"/>
            <w:shd w:val="clear" w:color="auto" w:fill="auto"/>
            <w:vAlign w:val="center"/>
          </w:tcPr>
          <w:p w14:paraId="7C09D700" w14:textId="77777777" w:rsidR="00E24FE0" w:rsidRPr="00E24FE0" w:rsidRDefault="00E24FE0" w:rsidP="00E24FE0">
            <w:pPr>
              <w:jc w:val="both"/>
              <w:rPr>
                <w:rFonts w:asciiTheme="minorHAnsi" w:eastAsiaTheme="minorEastAsia" w:hAnsiTheme="minorHAnsi" w:cstheme="minorHAnsi"/>
                <w:sz w:val="20"/>
                <w:szCs w:val="20"/>
              </w:rPr>
            </w:pPr>
          </w:p>
        </w:tc>
        <w:tc>
          <w:tcPr>
            <w:tcW w:w="851" w:type="dxa"/>
            <w:shd w:val="clear" w:color="auto" w:fill="auto"/>
            <w:vAlign w:val="center"/>
          </w:tcPr>
          <w:p w14:paraId="208A1B6E" w14:textId="77777777" w:rsidR="00E24FE0" w:rsidRPr="00E24FE0" w:rsidRDefault="00E24FE0" w:rsidP="00E24FE0">
            <w:pPr>
              <w:jc w:val="both"/>
              <w:rPr>
                <w:rFonts w:asciiTheme="minorHAnsi" w:eastAsiaTheme="minorEastAsia" w:hAnsiTheme="minorHAnsi" w:cstheme="minorHAnsi"/>
                <w:sz w:val="20"/>
                <w:szCs w:val="20"/>
              </w:rPr>
            </w:pPr>
          </w:p>
        </w:tc>
        <w:tc>
          <w:tcPr>
            <w:tcW w:w="850" w:type="dxa"/>
            <w:shd w:val="clear" w:color="auto" w:fill="auto"/>
            <w:vAlign w:val="center"/>
          </w:tcPr>
          <w:p w14:paraId="6D4B0B52" w14:textId="2E63A593"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1 100</w:t>
            </w:r>
          </w:p>
        </w:tc>
        <w:tc>
          <w:tcPr>
            <w:tcW w:w="851" w:type="dxa"/>
            <w:shd w:val="clear" w:color="auto" w:fill="auto"/>
            <w:vAlign w:val="center"/>
          </w:tcPr>
          <w:p w14:paraId="72FE4A1D" w14:textId="294C863B"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980</w:t>
            </w:r>
          </w:p>
        </w:tc>
        <w:tc>
          <w:tcPr>
            <w:tcW w:w="850" w:type="dxa"/>
            <w:shd w:val="clear" w:color="auto" w:fill="auto"/>
            <w:vAlign w:val="center"/>
          </w:tcPr>
          <w:p w14:paraId="206E2828" w14:textId="596221D4"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1 000</w:t>
            </w:r>
          </w:p>
        </w:tc>
        <w:tc>
          <w:tcPr>
            <w:tcW w:w="851" w:type="dxa"/>
            <w:shd w:val="clear" w:color="auto" w:fill="auto"/>
            <w:vAlign w:val="center"/>
          </w:tcPr>
          <w:p w14:paraId="3D07567B" w14:textId="5C459CD0"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1 300</w:t>
            </w:r>
          </w:p>
        </w:tc>
        <w:tc>
          <w:tcPr>
            <w:tcW w:w="850" w:type="dxa"/>
            <w:shd w:val="clear" w:color="auto" w:fill="auto"/>
            <w:vAlign w:val="center"/>
          </w:tcPr>
          <w:p w14:paraId="5D8D7F41" w14:textId="439E0AB9" w:rsidR="00E24FE0" w:rsidRPr="00E24FE0" w:rsidRDefault="00E24FE0" w:rsidP="002F0CFD">
            <w:pPr>
              <w:jc w:val="right"/>
              <w:rPr>
                <w:rFonts w:ascii="Calibri" w:hAnsi="Calibri" w:cs="Calibri"/>
                <w:color w:val="000000"/>
                <w:sz w:val="20"/>
                <w:szCs w:val="20"/>
              </w:rPr>
            </w:pPr>
            <w:r w:rsidRPr="00E24FE0">
              <w:rPr>
                <w:rFonts w:ascii="Calibri" w:hAnsi="Calibri" w:cs="Calibri"/>
                <w:color w:val="000000"/>
                <w:sz w:val="20"/>
                <w:szCs w:val="20"/>
              </w:rPr>
              <w:t>2 000</w:t>
            </w:r>
          </w:p>
        </w:tc>
        <w:tc>
          <w:tcPr>
            <w:tcW w:w="850" w:type="dxa"/>
            <w:shd w:val="clear" w:color="auto" w:fill="auto"/>
            <w:vAlign w:val="center"/>
          </w:tcPr>
          <w:p w14:paraId="1857C0E6" w14:textId="35CC9E10" w:rsidR="00E24FE0" w:rsidRPr="00E24FE0" w:rsidRDefault="00E24FE0" w:rsidP="002F0CFD">
            <w:pPr>
              <w:jc w:val="right"/>
              <w:rPr>
                <w:rFonts w:asciiTheme="minorHAnsi" w:hAnsiTheme="minorHAnsi" w:cstheme="minorHAnsi"/>
                <w:sz w:val="20"/>
                <w:szCs w:val="20"/>
              </w:rPr>
            </w:pPr>
            <w:r w:rsidRPr="00E24FE0">
              <w:rPr>
                <w:rFonts w:asciiTheme="minorHAnsi" w:hAnsiTheme="minorHAnsi" w:cstheme="minorHAnsi"/>
                <w:sz w:val="20"/>
                <w:szCs w:val="20"/>
              </w:rPr>
              <w:t>6 380</w:t>
            </w:r>
          </w:p>
        </w:tc>
      </w:tr>
    </w:tbl>
    <w:p w14:paraId="2391288D" w14:textId="12C15F32" w:rsidR="00E24FE0" w:rsidRPr="002F0CFD" w:rsidRDefault="004B74D8" w:rsidP="002F0CFD">
      <w:pPr>
        <w:ind w:left="567" w:hanging="567"/>
        <w:contextualSpacing/>
        <w:rPr>
          <w:rFonts w:asciiTheme="minorHAnsi" w:hAnsiTheme="minorHAnsi" w:cstheme="minorHAnsi"/>
          <w:sz w:val="18"/>
          <w:szCs w:val="18"/>
        </w:rPr>
      </w:pPr>
      <w:r w:rsidRPr="002F0CFD">
        <w:rPr>
          <w:rFonts w:asciiTheme="minorHAnsi" w:hAnsiTheme="minorHAnsi" w:cstheme="minorHAnsi"/>
          <w:b/>
          <w:sz w:val="18"/>
          <w:szCs w:val="18"/>
        </w:rPr>
        <w:t>Zdroj:</w:t>
      </w:r>
      <w:r w:rsidR="002F0CFD">
        <w:rPr>
          <w:rFonts w:asciiTheme="minorHAnsi" w:hAnsiTheme="minorHAnsi" w:cstheme="minorHAnsi"/>
          <w:sz w:val="18"/>
          <w:szCs w:val="18"/>
        </w:rPr>
        <w:tab/>
      </w:r>
      <w:r w:rsidRPr="002F0CFD">
        <w:rPr>
          <w:rFonts w:asciiTheme="minorHAnsi" w:hAnsiTheme="minorHAnsi" w:cstheme="minorHAnsi"/>
          <w:sz w:val="18"/>
          <w:szCs w:val="18"/>
        </w:rPr>
        <w:t>MŠMT</w:t>
      </w:r>
      <w:r w:rsidR="00511094" w:rsidRPr="002F0CFD">
        <w:rPr>
          <w:rFonts w:asciiTheme="minorHAnsi" w:hAnsiTheme="minorHAnsi" w:cstheme="minorHAnsi"/>
          <w:sz w:val="18"/>
          <w:szCs w:val="18"/>
        </w:rPr>
        <w:t>.</w:t>
      </w:r>
    </w:p>
    <w:p w14:paraId="12CD7162" w14:textId="47283B8C" w:rsidR="004B74D8" w:rsidRPr="002F0CFD" w:rsidRDefault="001D1A09" w:rsidP="002F0CFD">
      <w:pPr>
        <w:tabs>
          <w:tab w:val="left" w:pos="567"/>
        </w:tabs>
        <w:ind w:left="567" w:hanging="567"/>
        <w:contextualSpacing/>
        <w:jc w:val="both"/>
        <w:rPr>
          <w:rFonts w:asciiTheme="minorHAnsi" w:hAnsiTheme="minorHAnsi" w:cstheme="minorHAnsi"/>
          <w:sz w:val="18"/>
          <w:szCs w:val="18"/>
        </w:rPr>
      </w:pPr>
      <w:r w:rsidRPr="002F0CFD">
        <w:rPr>
          <w:rFonts w:asciiTheme="minorHAnsi" w:hAnsiTheme="minorHAnsi" w:cstheme="minorHAnsi"/>
          <w:b/>
          <w:sz w:val="18"/>
          <w:szCs w:val="18"/>
        </w:rPr>
        <w:t>Pozn.</w:t>
      </w:r>
      <w:r w:rsidR="00511094" w:rsidRPr="002F0CFD">
        <w:rPr>
          <w:rFonts w:asciiTheme="minorHAnsi" w:hAnsiTheme="minorHAnsi" w:cstheme="minorHAnsi"/>
          <w:b/>
          <w:sz w:val="18"/>
          <w:szCs w:val="18"/>
        </w:rPr>
        <w:t>:</w:t>
      </w:r>
      <w:r w:rsidR="002F0CFD">
        <w:rPr>
          <w:rFonts w:asciiTheme="minorHAnsi" w:hAnsiTheme="minorHAnsi" w:cstheme="minorHAnsi"/>
          <w:b/>
          <w:sz w:val="18"/>
          <w:szCs w:val="18"/>
        </w:rPr>
        <w:tab/>
      </w:r>
      <w:r w:rsidRPr="002F0CFD">
        <w:rPr>
          <w:rFonts w:asciiTheme="minorHAnsi" w:hAnsiTheme="minorHAnsi" w:cstheme="minorHAnsi"/>
          <w:sz w:val="18"/>
          <w:szCs w:val="18"/>
        </w:rPr>
        <w:t>Jedná se o peněžní prostředky státního rozpočtu alokované v národních programech udržitelnosti, případně nasmlouvané z NPU I k 4. 6. 2015.</w:t>
      </w:r>
    </w:p>
    <w:p w14:paraId="42F9A63D" w14:textId="2CD559E8" w:rsidR="00592859" w:rsidRDefault="002D13F9" w:rsidP="00824E07">
      <w:pPr>
        <w:tabs>
          <w:tab w:val="left" w:pos="567"/>
        </w:tabs>
        <w:spacing w:before="120" w:after="120"/>
        <w:jc w:val="both"/>
        <w:rPr>
          <w:rFonts w:asciiTheme="minorHAnsi" w:eastAsiaTheme="minorEastAsia" w:hAnsiTheme="minorHAnsi" w:cstheme="minorHAnsi"/>
        </w:rPr>
      </w:pPr>
      <w:r>
        <w:rPr>
          <w:rFonts w:asciiTheme="minorHAnsi" w:eastAsiaTheme="minorEastAsia" w:hAnsiTheme="minorHAnsi" w:cstheme="minorHAnsi"/>
        </w:rPr>
        <w:t xml:space="preserve">Jak je uvedeno v tabulce č. 3, </w:t>
      </w:r>
      <w:r w:rsidR="00D3410F">
        <w:rPr>
          <w:rFonts w:asciiTheme="minorHAnsi" w:eastAsiaTheme="minorEastAsia" w:hAnsiTheme="minorHAnsi" w:cstheme="minorHAnsi"/>
        </w:rPr>
        <w:t xml:space="preserve">pro </w:t>
      </w:r>
      <w:r w:rsidR="00592859">
        <w:rPr>
          <w:rFonts w:asciiTheme="minorHAnsi" w:eastAsiaTheme="minorEastAsia" w:hAnsiTheme="minorHAnsi" w:cstheme="minorHAnsi"/>
        </w:rPr>
        <w:t xml:space="preserve">financování NPU II </w:t>
      </w:r>
      <w:r w:rsidR="00D3410F">
        <w:rPr>
          <w:rFonts w:asciiTheme="minorHAnsi" w:eastAsiaTheme="minorEastAsia" w:hAnsiTheme="minorHAnsi" w:cstheme="minorHAnsi"/>
        </w:rPr>
        <w:t xml:space="preserve">je </w:t>
      </w:r>
      <w:r w:rsidR="00592859">
        <w:rPr>
          <w:rFonts w:asciiTheme="minorHAnsi" w:eastAsiaTheme="minorEastAsia" w:hAnsiTheme="minorHAnsi" w:cstheme="minorHAnsi"/>
        </w:rPr>
        <w:t xml:space="preserve">v návrhu státního rozpočtu na rok 2016 a </w:t>
      </w:r>
      <w:r w:rsidR="00FA6E4C">
        <w:rPr>
          <w:rFonts w:asciiTheme="minorHAnsi" w:eastAsiaTheme="minorEastAsia" w:hAnsiTheme="minorHAnsi" w:cstheme="minorHAnsi"/>
        </w:rPr>
        <w:t xml:space="preserve">ve </w:t>
      </w:r>
      <w:r w:rsidR="00592859">
        <w:rPr>
          <w:rFonts w:asciiTheme="minorHAnsi" w:eastAsiaTheme="minorEastAsia" w:hAnsiTheme="minorHAnsi" w:cstheme="minorHAnsi"/>
        </w:rPr>
        <w:t xml:space="preserve">výhledu na roky 2017 a 2018 vyčleněna přibližně poloviční částka, než </w:t>
      </w:r>
      <w:r w:rsidR="00B94709">
        <w:rPr>
          <w:rFonts w:asciiTheme="minorHAnsi" w:eastAsiaTheme="minorEastAsia" w:hAnsiTheme="minorHAnsi" w:cstheme="minorHAnsi"/>
        </w:rPr>
        <w:t>jaká</w:t>
      </w:r>
      <w:r w:rsidR="00592859">
        <w:rPr>
          <w:rFonts w:asciiTheme="minorHAnsi" w:eastAsiaTheme="minorEastAsia" w:hAnsiTheme="minorHAnsi" w:cstheme="minorHAnsi"/>
        </w:rPr>
        <w:t xml:space="preserve"> je na toto období naplánována</w:t>
      </w:r>
      <w:r>
        <w:rPr>
          <w:rFonts w:asciiTheme="minorHAnsi" w:eastAsiaTheme="minorEastAsia" w:hAnsiTheme="minorHAnsi" w:cstheme="minorHAnsi"/>
        </w:rPr>
        <w:t>.</w:t>
      </w:r>
      <w:r w:rsidR="00F92DF7">
        <w:rPr>
          <w:rFonts w:asciiTheme="minorHAnsi" w:eastAsiaTheme="minorEastAsia" w:hAnsiTheme="minorHAnsi" w:cstheme="minorHAnsi"/>
        </w:rPr>
        <w:t xml:space="preserve"> </w:t>
      </w:r>
      <w:r w:rsidR="00AF756A" w:rsidRPr="00AF756A">
        <w:rPr>
          <w:rFonts w:asciiTheme="minorHAnsi" w:eastAsiaTheme="minorEastAsia" w:hAnsiTheme="minorHAnsi" w:cstheme="minorHAnsi"/>
        </w:rPr>
        <w:t>Jedním z důvodů může být sk</w:t>
      </w:r>
      <w:r w:rsidR="00AF756A">
        <w:rPr>
          <w:rFonts w:asciiTheme="minorHAnsi" w:eastAsiaTheme="minorEastAsia" w:hAnsiTheme="minorHAnsi" w:cstheme="minorHAnsi"/>
        </w:rPr>
        <w:t>utečnost, že MŠMT přistoupilo k </w:t>
      </w:r>
      <w:r w:rsidR="00AF756A" w:rsidRPr="00AF756A">
        <w:rPr>
          <w:rFonts w:asciiTheme="minorHAnsi" w:eastAsiaTheme="minorEastAsia" w:hAnsiTheme="minorHAnsi" w:cstheme="minorHAnsi"/>
        </w:rPr>
        <w:t xml:space="preserve">odsunutí dobudování dvou evropských center excelence do programového období </w:t>
      </w:r>
      <w:r w:rsidR="00AF756A">
        <w:rPr>
          <w:rFonts w:asciiTheme="minorHAnsi" w:eastAsiaTheme="minorEastAsia" w:hAnsiTheme="minorHAnsi" w:cstheme="minorHAnsi"/>
        </w:rPr>
        <w:br/>
      </w:r>
      <w:r w:rsidR="00AF756A" w:rsidRPr="00AF756A">
        <w:rPr>
          <w:rFonts w:asciiTheme="minorHAnsi" w:eastAsiaTheme="minorEastAsia" w:hAnsiTheme="minorHAnsi" w:cstheme="minorHAnsi"/>
        </w:rPr>
        <w:t xml:space="preserve">2014–2020. Původní plánované výdaje NPU II tak již neodpovídají skutečnosti, neboť obě uvedená centra budou moci z uvedeného programu čerpat peněžní prostředky až po </w:t>
      </w:r>
      <w:r w:rsidR="00B94709">
        <w:rPr>
          <w:rFonts w:asciiTheme="minorHAnsi" w:eastAsiaTheme="minorEastAsia" w:hAnsiTheme="minorHAnsi" w:cstheme="minorHAnsi"/>
        </w:rPr>
        <w:t>svém</w:t>
      </w:r>
      <w:r w:rsidR="00AF756A" w:rsidRPr="00AF756A">
        <w:rPr>
          <w:rFonts w:asciiTheme="minorHAnsi" w:eastAsiaTheme="minorEastAsia" w:hAnsiTheme="minorHAnsi" w:cstheme="minorHAnsi"/>
        </w:rPr>
        <w:t xml:space="preserve"> dokončení.</w:t>
      </w:r>
    </w:p>
    <w:p w14:paraId="7794138C" w14:textId="62C55B0D" w:rsidR="007D0331" w:rsidRPr="007F3A9D" w:rsidRDefault="00780F72" w:rsidP="00AF756A">
      <w:pPr>
        <w:tabs>
          <w:tab w:val="left" w:pos="567"/>
          <w:tab w:val="right" w:pos="9072"/>
        </w:tabs>
        <w:contextualSpacing/>
        <w:jc w:val="both"/>
        <w:rPr>
          <w:rFonts w:asciiTheme="minorHAnsi" w:eastAsiaTheme="minorEastAsia" w:hAnsiTheme="minorHAnsi" w:cstheme="minorHAnsi"/>
          <w:b/>
        </w:rPr>
      </w:pPr>
      <w:r w:rsidRPr="007F3A9D">
        <w:rPr>
          <w:rFonts w:asciiTheme="minorHAnsi" w:eastAsiaTheme="minorEastAsia" w:hAnsiTheme="minorHAnsi" w:cstheme="minorHAnsi"/>
          <w:b/>
        </w:rPr>
        <w:t>Tabulka č. 3 – Vyčlenění prostředků na NPU II ze státního rozpočtu</w:t>
      </w:r>
      <w:r w:rsidR="007D0331" w:rsidRPr="007F3A9D">
        <w:rPr>
          <w:rFonts w:asciiTheme="minorHAnsi" w:eastAsiaTheme="minorEastAsia" w:hAnsiTheme="minorHAnsi" w:cstheme="minorHAnsi"/>
          <w:b/>
        </w:rPr>
        <w:t xml:space="preserve"> </w:t>
      </w:r>
      <w:r w:rsidR="007D0331" w:rsidRPr="007F3A9D">
        <w:rPr>
          <w:rFonts w:asciiTheme="minorHAnsi" w:eastAsiaTheme="minorEastAsia" w:hAnsiTheme="minorHAnsi" w:cstheme="minorHAnsi"/>
          <w:b/>
        </w:rPr>
        <w:tab/>
        <w:t>(v mil. Kč)</w:t>
      </w:r>
    </w:p>
    <w:tbl>
      <w:tblPr>
        <w:tblStyle w:val="Mkatabulky1"/>
        <w:tblW w:w="0" w:type="auto"/>
        <w:tblInd w:w="66" w:type="dxa"/>
        <w:tblLook w:val="04A0" w:firstRow="1" w:lastRow="0" w:firstColumn="1" w:lastColumn="0" w:noHBand="0" w:noVBand="1"/>
      </w:tblPr>
      <w:tblGrid>
        <w:gridCol w:w="2303"/>
        <w:gridCol w:w="1567"/>
        <w:gridCol w:w="1701"/>
        <w:gridCol w:w="1701"/>
        <w:gridCol w:w="1701"/>
      </w:tblGrid>
      <w:tr w:rsidR="00780F72" w:rsidRPr="002D13F9" w14:paraId="1630B33F" w14:textId="77777777" w:rsidTr="007F3A9D">
        <w:trPr>
          <w:trHeight w:hRule="exact" w:val="283"/>
        </w:trPr>
        <w:tc>
          <w:tcPr>
            <w:tcW w:w="2303" w:type="dxa"/>
            <w:shd w:val="clear" w:color="auto" w:fill="D9D9D9" w:themeFill="background1" w:themeFillShade="D9"/>
            <w:vAlign w:val="center"/>
          </w:tcPr>
          <w:p w14:paraId="06BEC6CB" w14:textId="77777777" w:rsidR="00780F72" w:rsidRPr="002D13F9" w:rsidRDefault="00780F72" w:rsidP="00FA6E4C">
            <w:pPr>
              <w:jc w:val="center"/>
              <w:rPr>
                <w:rFonts w:asciiTheme="minorHAnsi" w:eastAsiaTheme="minorEastAsia" w:hAnsiTheme="minorHAnsi" w:cstheme="minorHAnsi"/>
                <w:sz w:val="20"/>
                <w:szCs w:val="20"/>
              </w:rPr>
            </w:pPr>
          </w:p>
        </w:tc>
        <w:tc>
          <w:tcPr>
            <w:tcW w:w="1567" w:type="dxa"/>
            <w:shd w:val="clear" w:color="auto" w:fill="D9D9D9" w:themeFill="background1" w:themeFillShade="D9"/>
            <w:vAlign w:val="center"/>
          </w:tcPr>
          <w:p w14:paraId="5FDD00A2" w14:textId="77777777" w:rsidR="00780F72" w:rsidRPr="007F3A9D" w:rsidRDefault="00780F72" w:rsidP="00FA6E4C">
            <w:pPr>
              <w:jc w:val="center"/>
              <w:rPr>
                <w:rFonts w:asciiTheme="minorHAnsi" w:eastAsiaTheme="minorEastAsia" w:hAnsiTheme="minorHAnsi" w:cstheme="minorHAnsi"/>
                <w:b/>
                <w:sz w:val="20"/>
                <w:szCs w:val="20"/>
              </w:rPr>
            </w:pPr>
            <w:r w:rsidRPr="007F3A9D">
              <w:rPr>
                <w:rFonts w:asciiTheme="minorHAnsi" w:eastAsiaTheme="minorEastAsia" w:hAnsiTheme="minorHAnsi" w:cstheme="minorHAnsi"/>
                <w:b/>
                <w:sz w:val="20"/>
                <w:szCs w:val="20"/>
              </w:rPr>
              <w:t>2016</w:t>
            </w:r>
          </w:p>
        </w:tc>
        <w:tc>
          <w:tcPr>
            <w:tcW w:w="1701" w:type="dxa"/>
            <w:shd w:val="clear" w:color="auto" w:fill="D9D9D9" w:themeFill="background1" w:themeFillShade="D9"/>
            <w:vAlign w:val="center"/>
          </w:tcPr>
          <w:p w14:paraId="3C6E2B1B" w14:textId="77777777" w:rsidR="00780F72" w:rsidRPr="007F3A9D" w:rsidRDefault="00780F72" w:rsidP="00FA6E4C">
            <w:pPr>
              <w:jc w:val="center"/>
              <w:rPr>
                <w:rFonts w:asciiTheme="minorHAnsi" w:eastAsiaTheme="minorEastAsia" w:hAnsiTheme="minorHAnsi" w:cstheme="minorHAnsi"/>
                <w:b/>
                <w:sz w:val="20"/>
                <w:szCs w:val="20"/>
              </w:rPr>
            </w:pPr>
            <w:r w:rsidRPr="007F3A9D">
              <w:rPr>
                <w:rFonts w:asciiTheme="minorHAnsi" w:eastAsiaTheme="minorEastAsia" w:hAnsiTheme="minorHAnsi" w:cstheme="minorHAnsi"/>
                <w:b/>
                <w:sz w:val="20"/>
                <w:szCs w:val="20"/>
              </w:rPr>
              <w:t>2017</w:t>
            </w:r>
          </w:p>
        </w:tc>
        <w:tc>
          <w:tcPr>
            <w:tcW w:w="1701" w:type="dxa"/>
            <w:shd w:val="clear" w:color="auto" w:fill="D9D9D9" w:themeFill="background1" w:themeFillShade="D9"/>
            <w:vAlign w:val="center"/>
          </w:tcPr>
          <w:p w14:paraId="697885FE" w14:textId="77777777" w:rsidR="00780F72" w:rsidRPr="007F3A9D" w:rsidRDefault="00780F72" w:rsidP="00FA6E4C">
            <w:pPr>
              <w:jc w:val="center"/>
              <w:rPr>
                <w:rFonts w:asciiTheme="minorHAnsi" w:eastAsiaTheme="minorEastAsia" w:hAnsiTheme="minorHAnsi" w:cstheme="minorHAnsi"/>
                <w:b/>
                <w:sz w:val="20"/>
                <w:szCs w:val="20"/>
              </w:rPr>
            </w:pPr>
            <w:r w:rsidRPr="007F3A9D">
              <w:rPr>
                <w:rFonts w:asciiTheme="minorHAnsi" w:eastAsiaTheme="minorEastAsia" w:hAnsiTheme="minorHAnsi" w:cstheme="minorHAnsi"/>
                <w:b/>
                <w:sz w:val="20"/>
                <w:szCs w:val="20"/>
              </w:rPr>
              <w:t>2018</w:t>
            </w:r>
          </w:p>
        </w:tc>
        <w:tc>
          <w:tcPr>
            <w:tcW w:w="1701" w:type="dxa"/>
            <w:shd w:val="clear" w:color="auto" w:fill="D9D9D9" w:themeFill="background1" w:themeFillShade="D9"/>
            <w:vAlign w:val="center"/>
          </w:tcPr>
          <w:p w14:paraId="4FB963A6" w14:textId="0FE6EDBB" w:rsidR="00780F72" w:rsidRPr="007F3A9D" w:rsidRDefault="00AF756A" w:rsidP="00FA6E4C">
            <w:pPr>
              <w:jc w:val="center"/>
              <w:rPr>
                <w:rFonts w:asciiTheme="minorHAnsi" w:eastAsiaTheme="minorEastAsia" w:hAnsiTheme="minorHAnsi" w:cstheme="minorHAnsi"/>
                <w:b/>
                <w:sz w:val="20"/>
                <w:szCs w:val="20"/>
              </w:rPr>
            </w:pPr>
            <w:r w:rsidRPr="007F3A9D">
              <w:rPr>
                <w:rFonts w:asciiTheme="minorHAnsi" w:eastAsiaTheme="minorEastAsia" w:hAnsiTheme="minorHAnsi" w:cstheme="minorHAnsi"/>
                <w:b/>
                <w:sz w:val="20"/>
                <w:szCs w:val="20"/>
              </w:rPr>
              <w:t>C</w:t>
            </w:r>
            <w:r w:rsidR="00780F72" w:rsidRPr="007F3A9D">
              <w:rPr>
                <w:rFonts w:asciiTheme="minorHAnsi" w:eastAsiaTheme="minorEastAsia" w:hAnsiTheme="minorHAnsi" w:cstheme="minorHAnsi"/>
                <w:b/>
                <w:sz w:val="20"/>
                <w:szCs w:val="20"/>
              </w:rPr>
              <w:t>elkem</w:t>
            </w:r>
          </w:p>
        </w:tc>
      </w:tr>
      <w:tr w:rsidR="00780F72" w:rsidRPr="002D13F9" w14:paraId="6100692F" w14:textId="77777777" w:rsidTr="002F0CFD">
        <w:trPr>
          <w:trHeight w:hRule="exact" w:val="283"/>
        </w:trPr>
        <w:tc>
          <w:tcPr>
            <w:tcW w:w="2303" w:type="dxa"/>
            <w:vAlign w:val="center"/>
          </w:tcPr>
          <w:p w14:paraId="6559267D" w14:textId="77777777" w:rsidR="00780F72" w:rsidRPr="002D13F9" w:rsidRDefault="00780F72" w:rsidP="00FA6E4C">
            <w:pP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Plánované výdaje NPU II</w:t>
            </w:r>
          </w:p>
        </w:tc>
        <w:tc>
          <w:tcPr>
            <w:tcW w:w="1567" w:type="dxa"/>
            <w:vAlign w:val="center"/>
          </w:tcPr>
          <w:p w14:paraId="282688DD"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1 100 </w:t>
            </w:r>
          </w:p>
        </w:tc>
        <w:tc>
          <w:tcPr>
            <w:tcW w:w="1701" w:type="dxa"/>
            <w:vAlign w:val="center"/>
          </w:tcPr>
          <w:p w14:paraId="695D5F00"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980 </w:t>
            </w:r>
          </w:p>
        </w:tc>
        <w:tc>
          <w:tcPr>
            <w:tcW w:w="1701" w:type="dxa"/>
            <w:vAlign w:val="center"/>
          </w:tcPr>
          <w:p w14:paraId="3E125F3D"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1 000 </w:t>
            </w:r>
          </w:p>
        </w:tc>
        <w:tc>
          <w:tcPr>
            <w:tcW w:w="1701" w:type="dxa"/>
            <w:vAlign w:val="center"/>
          </w:tcPr>
          <w:p w14:paraId="61DC71A3"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3 080 </w:t>
            </w:r>
          </w:p>
        </w:tc>
      </w:tr>
      <w:tr w:rsidR="00780F72" w:rsidRPr="002D13F9" w14:paraId="5148492B" w14:textId="77777777" w:rsidTr="002F0CFD">
        <w:trPr>
          <w:trHeight w:hRule="exact" w:val="283"/>
        </w:trPr>
        <w:tc>
          <w:tcPr>
            <w:tcW w:w="2303" w:type="dxa"/>
            <w:vAlign w:val="center"/>
          </w:tcPr>
          <w:p w14:paraId="67D00A49" w14:textId="42B07A1E" w:rsidR="00780F72" w:rsidRPr="002D13F9" w:rsidRDefault="00780F72" w:rsidP="00FA6E4C">
            <w:pP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Vyčleněné zdroje SR</w:t>
            </w:r>
          </w:p>
        </w:tc>
        <w:tc>
          <w:tcPr>
            <w:tcW w:w="1567" w:type="dxa"/>
            <w:vAlign w:val="center"/>
          </w:tcPr>
          <w:p w14:paraId="33278709"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376 </w:t>
            </w:r>
          </w:p>
        </w:tc>
        <w:tc>
          <w:tcPr>
            <w:tcW w:w="1701" w:type="dxa"/>
            <w:vAlign w:val="center"/>
          </w:tcPr>
          <w:p w14:paraId="0E74290F" w14:textId="77777777" w:rsidR="00780F72" w:rsidRPr="002D13F9" w:rsidRDefault="00780F72" w:rsidP="007D0331">
            <w:pPr>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465 </w:t>
            </w:r>
          </w:p>
        </w:tc>
        <w:tc>
          <w:tcPr>
            <w:tcW w:w="1701" w:type="dxa"/>
            <w:vAlign w:val="center"/>
          </w:tcPr>
          <w:p w14:paraId="1957CE30" w14:textId="77777777" w:rsidR="00780F72" w:rsidRPr="002D13F9" w:rsidRDefault="00780F72" w:rsidP="00510AE6">
            <w:pPr>
              <w:pStyle w:val="Odstavecseseznamem"/>
              <w:numPr>
                <w:ilvl w:val="0"/>
                <w:numId w:val="33"/>
              </w:numPr>
              <w:ind w:left="317" w:hanging="142"/>
              <w:jc w:val="center"/>
              <w:rPr>
                <w:rFonts w:asciiTheme="minorHAnsi" w:eastAsiaTheme="minorEastAsia" w:hAnsiTheme="minorHAnsi" w:cstheme="minorHAnsi"/>
                <w:sz w:val="20"/>
                <w:szCs w:val="20"/>
              </w:rPr>
            </w:pPr>
          </w:p>
        </w:tc>
        <w:tc>
          <w:tcPr>
            <w:tcW w:w="1701" w:type="dxa"/>
            <w:vAlign w:val="center"/>
          </w:tcPr>
          <w:p w14:paraId="588DC195" w14:textId="77777777" w:rsidR="00780F72" w:rsidRPr="002D13F9" w:rsidRDefault="00246CC0" w:rsidP="00246CC0">
            <w:pPr>
              <w:ind w:left="33"/>
              <w:contextualSpacing/>
              <w:jc w:val="center"/>
              <w:rPr>
                <w:rFonts w:asciiTheme="minorHAnsi" w:eastAsiaTheme="minorEastAsia" w:hAnsiTheme="minorHAnsi" w:cstheme="minorHAnsi"/>
                <w:sz w:val="20"/>
                <w:szCs w:val="20"/>
              </w:rPr>
            </w:pPr>
            <w:r w:rsidRPr="002D13F9">
              <w:rPr>
                <w:rFonts w:asciiTheme="minorHAnsi" w:eastAsiaTheme="minorEastAsia" w:hAnsiTheme="minorHAnsi" w:cstheme="minorHAnsi"/>
                <w:sz w:val="20"/>
                <w:szCs w:val="20"/>
              </w:rPr>
              <w:t xml:space="preserve">1 </w:t>
            </w:r>
            <w:r w:rsidR="00780F72" w:rsidRPr="002D13F9">
              <w:rPr>
                <w:rFonts w:asciiTheme="minorHAnsi" w:eastAsiaTheme="minorEastAsia" w:hAnsiTheme="minorHAnsi" w:cstheme="minorHAnsi"/>
                <w:sz w:val="20"/>
                <w:szCs w:val="20"/>
              </w:rPr>
              <w:t>565</w:t>
            </w:r>
          </w:p>
        </w:tc>
      </w:tr>
    </w:tbl>
    <w:p w14:paraId="5D2BE0DE" w14:textId="414921FC" w:rsidR="00780F72" w:rsidRPr="002F0CFD" w:rsidRDefault="00780F72" w:rsidP="002F0CFD">
      <w:pPr>
        <w:tabs>
          <w:tab w:val="left" w:pos="567"/>
        </w:tabs>
        <w:spacing w:after="120"/>
        <w:ind w:left="567" w:hanging="567"/>
        <w:contextualSpacing/>
        <w:rPr>
          <w:rFonts w:asciiTheme="minorHAnsi" w:hAnsiTheme="minorHAnsi" w:cstheme="minorHAnsi"/>
          <w:sz w:val="20"/>
          <w:szCs w:val="20"/>
        </w:rPr>
      </w:pPr>
      <w:r w:rsidRPr="002F0CFD">
        <w:rPr>
          <w:rFonts w:asciiTheme="minorHAnsi" w:hAnsiTheme="minorHAnsi" w:cstheme="minorHAnsi"/>
          <w:b/>
          <w:sz w:val="20"/>
          <w:szCs w:val="20"/>
        </w:rPr>
        <w:t>Zdroj:</w:t>
      </w:r>
      <w:r w:rsidR="002F0CFD">
        <w:rPr>
          <w:rFonts w:asciiTheme="minorHAnsi" w:hAnsiTheme="minorHAnsi" w:cstheme="minorHAnsi"/>
          <w:sz w:val="20"/>
          <w:szCs w:val="20"/>
        </w:rPr>
        <w:tab/>
      </w:r>
      <w:r w:rsidRPr="002F0CFD">
        <w:rPr>
          <w:rFonts w:asciiTheme="minorHAnsi" w:hAnsiTheme="minorHAnsi" w:cstheme="minorHAnsi"/>
          <w:sz w:val="20"/>
          <w:szCs w:val="20"/>
        </w:rPr>
        <w:t>MŠMT</w:t>
      </w:r>
      <w:r w:rsidR="00511094" w:rsidRPr="002F0CFD">
        <w:rPr>
          <w:rFonts w:asciiTheme="minorHAnsi" w:hAnsiTheme="minorHAnsi" w:cstheme="minorHAnsi"/>
          <w:sz w:val="20"/>
          <w:szCs w:val="20"/>
        </w:rPr>
        <w:t>.</w:t>
      </w:r>
    </w:p>
    <w:p w14:paraId="0268ED95" w14:textId="5EA50040" w:rsidR="00FA6E4C" w:rsidRDefault="00F92DF7" w:rsidP="003A71A3">
      <w:pPr>
        <w:pStyle w:val="KPnormln"/>
        <w:ind w:firstLine="0"/>
        <w:rPr>
          <w:rFonts w:eastAsiaTheme="minorEastAsia"/>
        </w:rPr>
      </w:pPr>
      <w:r>
        <w:rPr>
          <w:rFonts w:eastAsiaTheme="minorEastAsia"/>
        </w:rPr>
        <w:t>Z</w:t>
      </w:r>
      <w:r w:rsidR="00780F72">
        <w:rPr>
          <w:rFonts w:eastAsiaTheme="minorEastAsia"/>
        </w:rPr>
        <w:t xml:space="preserve"> materiálů zpracovaných k problematice financování vědeckovýzkumných center v době udržitelnosti, které měl NKÚ během kontroly k dispozici, vyplývá, že MŠMT se nedaří </w:t>
      </w:r>
      <w:r w:rsidR="00780F72" w:rsidRPr="00780F72">
        <w:rPr>
          <w:rFonts w:eastAsiaTheme="minorEastAsia"/>
        </w:rPr>
        <w:t>dostatečně podrobně a objektivně kvantifikovat přínos v</w:t>
      </w:r>
      <w:r w:rsidR="0039207F">
        <w:rPr>
          <w:rFonts w:eastAsiaTheme="minorEastAsia"/>
        </w:rPr>
        <w:t>ýzkumných center vybudovaných v </w:t>
      </w:r>
      <w:r w:rsidR="00780F72" w:rsidRPr="00780F72">
        <w:rPr>
          <w:rFonts w:eastAsiaTheme="minorEastAsia"/>
        </w:rPr>
        <w:t xml:space="preserve">rámci OP </w:t>
      </w:r>
      <w:proofErr w:type="spellStart"/>
      <w:r w:rsidR="00780F72" w:rsidRPr="00780F72">
        <w:rPr>
          <w:rFonts w:eastAsiaTheme="minorEastAsia"/>
        </w:rPr>
        <w:t>VaVpI</w:t>
      </w:r>
      <w:proofErr w:type="spellEnd"/>
      <w:r w:rsidR="00780F72" w:rsidRPr="00780F72">
        <w:rPr>
          <w:rFonts w:eastAsiaTheme="minorEastAsia"/>
        </w:rPr>
        <w:t xml:space="preserve"> a</w:t>
      </w:r>
      <w:r w:rsidR="00B94709">
        <w:rPr>
          <w:rFonts w:eastAsiaTheme="minorEastAsia"/>
        </w:rPr>
        <w:t>ni</w:t>
      </w:r>
      <w:r w:rsidR="00780F72" w:rsidRPr="00780F72">
        <w:rPr>
          <w:rFonts w:eastAsiaTheme="minorEastAsia"/>
        </w:rPr>
        <w:t xml:space="preserve"> konkretizovat reálné a podložené rozpočtové požadavky na roky 2016 až 2018.</w:t>
      </w:r>
      <w:r w:rsidR="006151AD">
        <w:rPr>
          <w:rFonts w:eastAsiaTheme="minorEastAsia"/>
        </w:rPr>
        <w:t xml:space="preserve"> </w:t>
      </w:r>
      <w:r w:rsidR="00FA6E4C">
        <w:rPr>
          <w:rFonts w:eastAsiaTheme="minorEastAsia"/>
        </w:rPr>
        <w:t>Materiály MŠMT v této oblasti jsou velmi obecné a v řadě případů si odporují.</w:t>
      </w:r>
    </w:p>
    <w:p w14:paraId="0E6F1A50" w14:textId="3A001AC9" w:rsidR="00E24FE0" w:rsidRPr="00E24FE0" w:rsidRDefault="00E24FE0" w:rsidP="00160152">
      <w:pPr>
        <w:pStyle w:val="KPnormln"/>
        <w:ind w:firstLine="0"/>
      </w:pPr>
      <w:r w:rsidRPr="00E24FE0">
        <w:rPr>
          <w:rFonts w:eastAsiaTheme="minorEastAsia"/>
        </w:rPr>
        <w:t>Je nezbytné, aby požadavky MŠMT na zajištění udržitelnosti center byly provázeny mnohem důslednější analýzou zdrojů krytí včetně nutné revize programů NPU I a NPU II (např. vzhledem k</w:t>
      </w:r>
      <w:r w:rsidR="00534DFF">
        <w:rPr>
          <w:rFonts w:eastAsiaTheme="minorEastAsia"/>
        </w:rPr>
        <w:t xml:space="preserve"> popsanému </w:t>
      </w:r>
      <w:r w:rsidRPr="00E24FE0">
        <w:rPr>
          <w:rFonts w:eastAsiaTheme="minorEastAsia"/>
        </w:rPr>
        <w:t>fázování projektů</w:t>
      </w:r>
      <w:r w:rsidR="00534DFF">
        <w:rPr>
          <w:rFonts w:eastAsiaTheme="minorEastAsia"/>
        </w:rPr>
        <w:t xml:space="preserve"> do dvou programových období</w:t>
      </w:r>
      <w:r w:rsidRPr="00E24FE0">
        <w:rPr>
          <w:rFonts w:eastAsiaTheme="minorEastAsia"/>
        </w:rPr>
        <w:t xml:space="preserve">, </w:t>
      </w:r>
      <w:r w:rsidR="00534DFF">
        <w:rPr>
          <w:rFonts w:eastAsiaTheme="minorEastAsia"/>
        </w:rPr>
        <w:t xml:space="preserve">vzhledem </w:t>
      </w:r>
      <w:r w:rsidRPr="00E24FE0">
        <w:rPr>
          <w:rFonts w:eastAsiaTheme="minorEastAsia"/>
        </w:rPr>
        <w:t>k výsledkům evaluací apod.).</w:t>
      </w:r>
    </w:p>
    <w:p w14:paraId="575136D8" w14:textId="77777777" w:rsidR="00E24FE0" w:rsidRDefault="00E24FE0" w:rsidP="00E24FE0">
      <w:pPr>
        <w:rPr>
          <w:rFonts w:asciiTheme="minorHAnsi" w:hAnsiTheme="minorHAnsi" w:cstheme="minorHAnsi"/>
        </w:rPr>
      </w:pPr>
    </w:p>
    <w:p w14:paraId="70DF82D9" w14:textId="77777777" w:rsidR="0084332A" w:rsidRDefault="0084332A">
      <w:pPr>
        <w:rPr>
          <w:rFonts w:asciiTheme="minorHAnsi" w:hAnsiTheme="minorHAnsi" w:cstheme="minorHAnsi"/>
          <w:b/>
        </w:rPr>
      </w:pPr>
      <w:r>
        <w:rPr>
          <w:rFonts w:asciiTheme="minorHAnsi" w:hAnsiTheme="minorHAnsi" w:cstheme="minorHAnsi"/>
          <w:b/>
        </w:rPr>
        <w:br w:type="page"/>
      </w:r>
    </w:p>
    <w:p w14:paraId="61B1EDC2" w14:textId="0087B2B5" w:rsidR="004F4CE5" w:rsidRDefault="007C55A5" w:rsidP="00F94683">
      <w:pPr>
        <w:tabs>
          <w:tab w:val="left" w:pos="567"/>
        </w:tabs>
        <w:spacing w:after="120"/>
        <w:contextualSpacing/>
        <w:jc w:val="both"/>
        <w:rPr>
          <w:rFonts w:asciiTheme="minorHAnsi" w:hAnsiTheme="minorHAnsi" w:cstheme="minorHAnsi"/>
          <w:b/>
        </w:rPr>
      </w:pPr>
      <w:r>
        <w:rPr>
          <w:rFonts w:asciiTheme="minorHAnsi" w:hAnsiTheme="minorHAnsi" w:cstheme="minorHAnsi"/>
          <w:b/>
        </w:rPr>
        <w:lastRenderedPageBreak/>
        <w:t>2.4</w:t>
      </w:r>
      <w:r w:rsidR="004F4CE5">
        <w:rPr>
          <w:rFonts w:asciiTheme="minorHAnsi" w:hAnsiTheme="minorHAnsi" w:cstheme="minorHAnsi"/>
          <w:b/>
        </w:rPr>
        <w:t xml:space="preserve"> </w:t>
      </w:r>
      <w:r w:rsidR="002A0E8A">
        <w:rPr>
          <w:rFonts w:asciiTheme="minorHAnsi" w:hAnsiTheme="minorHAnsi" w:cstheme="minorHAnsi"/>
          <w:b/>
        </w:rPr>
        <w:t>Příjemci podpory</w:t>
      </w:r>
    </w:p>
    <w:p w14:paraId="01FB1DE5" w14:textId="77777777" w:rsidR="00652678" w:rsidRDefault="00510AE6" w:rsidP="00652678">
      <w:pPr>
        <w:pStyle w:val="KPnormln"/>
        <w:ind w:firstLine="0"/>
      </w:pPr>
      <w:r>
        <w:t xml:space="preserve">NKÚ zjistil, že </w:t>
      </w:r>
      <w:r w:rsidR="001F22FE">
        <w:t xml:space="preserve">jeden z příjemců </w:t>
      </w:r>
      <w:r>
        <w:t xml:space="preserve">podpory porušil podmínky rozhodnutí o poskytnutí dotace, neboť </w:t>
      </w:r>
      <w:r w:rsidR="00652678">
        <w:t xml:space="preserve">až do doby kontroly NKÚ </w:t>
      </w:r>
      <w:r>
        <w:t xml:space="preserve">nepojistil movitý majetek pořízený z dotace na hodnotu jeho pořizovací ceny. </w:t>
      </w:r>
    </w:p>
    <w:p w14:paraId="19B69BAE" w14:textId="5F085E46" w:rsidR="005B2C41" w:rsidRPr="00327154" w:rsidRDefault="005B2C41" w:rsidP="00652678">
      <w:pPr>
        <w:pStyle w:val="KPnormln"/>
        <w:numPr>
          <w:ilvl w:val="0"/>
          <w:numId w:val="24"/>
        </w:numPr>
        <w:ind w:left="426" w:hanging="426"/>
        <w:rPr>
          <w:rFonts w:asciiTheme="minorHAnsi" w:hAnsiTheme="minorHAnsi" w:cstheme="minorHAnsi"/>
          <w:b/>
          <w:i/>
        </w:rPr>
      </w:pPr>
      <w:r>
        <w:rPr>
          <w:rFonts w:asciiTheme="minorHAnsi" w:hAnsiTheme="minorHAnsi" w:cstheme="minorHAnsi"/>
          <w:b/>
          <w:i/>
        </w:rPr>
        <w:t>Vědeckým výzkumným centrům vybudovaný</w:t>
      </w:r>
      <w:r w:rsidR="00407692">
        <w:rPr>
          <w:rFonts w:asciiTheme="minorHAnsi" w:hAnsiTheme="minorHAnsi" w:cstheme="minorHAnsi"/>
          <w:b/>
          <w:i/>
        </w:rPr>
        <w:t>m</w:t>
      </w:r>
      <w:r>
        <w:rPr>
          <w:rFonts w:asciiTheme="minorHAnsi" w:hAnsiTheme="minorHAnsi" w:cstheme="minorHAnsi"/>
          <w:b/>
          <w:i/>
        </w:rPr>
        <w:t xml:space="preserve"> z </w:t>
      </w:r>
      <w:r w:rsidR="00407692">
        <w:rPr>
          <w:rFonts w:asciiTheme="minorHAnsi" w:hAnsiTheme="minorHAnsi" w:cstheme="minorHAnsi"/>
          <w:b/>
          <w:i/>
        </w:rPr>
        <w:t xml:space="preserve">prostředků </w:t>
      </w:r>
      <w:r>
        <w:rPr>
          <w:rFonts w:asciiTheme="minorHAnsi" w:hAnsiTheme="minorHAnsi" w:cstheme="minorHAnsi"/>
          <w:b/>
          <w:i/>
        </w:rPr>
        <w:t xml:space="preserve">OP </w:t>
      </w:r>
      <w:proofErr w:type="spellStart"/>
      <w:r>
        <w:rPr>
          <w:rFonts w:asciiTheme="minorHAnsi" w:hAnsiTheme="minorHAnsi" w:cstheme="minorHAnsi"/>
          <w:b/>
          <w:i/>
        </w:rPr>
        <w:t>VaVpI</w:t>
      </w:r>
      <w:proofErr w:type="spellEnd"/>
      <w:r>
        <w:rPr>
          <w:rFonts w:asciiTheme="minorHAnsi" w:hAnsiTheme="minorHAnsi" w:cstheme="minorHAnsi"/>
          <w:b/>
          <w:i/>
        </w:rPr>
        <w:t xml:space="preserve"> se v době udržitelnosti ne vždy daří získat na svůj provoz neveřejné finanční prostředky.</w:t>
      </w:r>
    </w:p>
    <w:p w14:paraId="0D7F329D" w14:textId="77777777" w:rsidR="00DB6ACB" w:rsidRDefault="004F4CE5" w:rsidP="00160152">
      <w:pPr>
        <w:spacing w:after="120"/>
        <w:jc w:val="both"/>
        <w:rPr>
          <w:rFonts w:asciiTheme="minorHAnsi" w:hAnsiTheme="minorHAnsi" w:cstheme="minorHAnsi"/>
        </w:rPr>
      </w:pPr>
      <w:r>
        <w:rPr>
          <w:rFonts w:asciiTheme="minorHAnsi" w:hAnsiTheme="minorHAnsi" w:cstheme="minorHAnsi"/>
        </w:rPr>
        <w:t xml:space="preserve">U čtyř z deseti </w:t>
      </w:r>
      <w:r w:rsidR="00E174DA">
        <w:rPr>
          <w:rFonts w:asciiTheme="minorHAnsi" w:hAnsiTheme="minorHAnsi" w:cstheme="minorHAnsi"/>
        </w:rPr>
        <w:t xml:space="preserve">kontrolovaných </w:t>
      </w:r>
      <w:r>
        <w:rPr>
          <w:rFonts w:asciiTheme="minorHAnsi" w:hAnsiTheme="minorHAnsi" w:cstheme="minorHAnsi"/>
        </w:rPr>
        <w:t xml:space="preserve">projektů financovaných z prioritní osy 2 – </w:t>
      </w:r>
      <w:r w:rsidRPr="00160152">
        <w:rPr>
          <w:rFonts w:asciiTheme="minorHAnsi" w:hAnsiTheme="minorHAnsi" w:cstheme="minorHAnsi"/>
          <w:i/>
        </w:rPr>
        <w:t>Regionální výzkumná centra</w:t>
      </w:r>
      <w:r>
        <w:rPr>
          <w:rFonts w:asciiTheme="minorHAnsi" w:hAnsiTheme="minorHAnsi" w:cstheme="minorHAnsi"/>
        </w:rPr>
        <w:t xml:space="preserve"> bylo kontrolou identifikováno riziko nenaplnění monitorovacího indikátoru „</w:t>
      </w:r>
      <w:r w:rsidRPr="007F3A9D">
        <w:rPr>
          <w:rFonts w:asciiTheme="minorHAnsi" w:hAnsiTheme="minorHAnsi" w:cstheme="minorHAnsi"/>
          <w:i/>
        </w:rPr>
        <w:t>objem smluvního výzkumu</w:t>
      </w:r>
      <w:r>
        <w:rPr>
          <w:rFonts w:asciiTheme="minorHAnsi" w:hAnsiTheme="minorHAnsi" w:cstheme="minorHAnsi"/>
        </w:rPr>
        <w:t>“ k datu 31. 12. 2015. Příslušným příjemcům jednak hrozí sankce, ale zároveň tato skutečnost vypovídá o omezené schopnosti nalézt zdroj příjmů v aplikační sféře.</w:t>
      </w:r>
      <w:r w:rsidR="00DB6ACB">
        <w:rPr>
          <w:rFonts w:asciiTheme="minorHAnsi" w:hAnsiTheme="minorHAnsi" w:cstheme="minorHAnsi"/>
        </w:rPr>
        <w:t xml:space="preserve"> </w:t>
      </w:r>
    </w:p>
    <w:p w14:paraId="63C577B1" w14:textId="77777777" w:rsidR="004F4CE5" w:rsidRDefault="004F4CE5" w:rsidP="00173F65">
      <w:pPr>
        <w:spacing w:after="120"/>
        <w:jc w:val="both"/>
        <w:rPr>
          <w:rFonts w:asciiTheme="minorHAnsi" w:hAnsiTheme="minorHAnsi" w:cstheme="minorHAnsi"/>
        </w:rPr>
      </w:pPr>
      <w:r>
        <w:rPr>
          <w:rFonts w:asciiTheme="minorHAnsi" w:hAnsiTheme="minorHAnsi" w:cstheme="minorHAnsi"/>
        </w:rPr>
        <w:t xml:space="preserve">U čtyř z deseti </w:t>
      </w:r>
      <w:r w:rsidR="00E174DA">
        <w:rPr>
          <w:rFonts w:asciiTheme="minorHAnsi" w:hAnsiTheme="minorHAnsi" w:cstheme="minorHAnsi"/>
        </w:rPr>
        <w:t xml:space="preserve">kontrolovaných </w:t>
      </w:r>
      <w:r>
        <w:rPr>
          <w:rFonts w:asciiTheme="minorHAnsi" w:hAnsiTheme="minorHAnsi" w:cstheme="minorHAnsi"/>
        </w:rPr>
        <w:t xml:space="preserve">projektů financovaných z prioritní osy 2 – </w:t>
      </w:r>
      <w:r w:rsidRPr="00160152">
        <w:rPr>
          <w:rFonts w:asciiTheme="minorHAnsi" w:hAnsiTheme="minorHAnsi" w:cstheme="minorHAnsi"/>
          <w:i/>
        </w:rPr>
        <w:t>Regionální výzkumná centra</w:t>
      </w:r>
      <w:r>
        <w:rPr>
          <w:rFonts w:asciiTheme="minorHAnsi" w:hAnsiTheme="minorHAnsi" w:cstheme="minorHAnsi"/>
        </w:rPr>
        <w:t xml:space="preserve"> bylo kontrolou identifikováno riziko, že nebude naplněn indikátor „</w:t>
      </w:r>
      <w:r w:rsidRPr="007F3A9D">
        <w:rPr>
          <w:rFonts w:asciiTheme="minorHAnsi" w:hAnsiTheme="minorHAnsi" w:cstheme="minorHAnsi"/>
          <w:i/>
        </w:rPr>
        <w:t>počet úspěšných absolventů doktorských či magisterských studijních programů</w:t>
      </w:r>
      <w:r w:rsidR="00173F65">
        <w:rPr>
          <w:rFonts w:asciiTheme="minorHAnsi" w:hAnsiTheme="minorHAnsi" w:cstheme="minorHAnsi"/>
        </w:rPr>
        <w:t>“</w:t>
      </w:r>
      <w:r>
        <w:rPr>
          <w:rFonts w:asciiTheme="minorHAnsi" w:hAnsiTheme="minorHAnsi" w:cstheme="minorHAnsi"/>
        </w:rPr>
        <w:t xml:space="preserve">. Příjemci tuto skutečnost zdůvodňovali klesajícím zájmem studentů o doktorské či magisterské studium v daných oborech a vyšším poměrem neúspěšných studentů. </w:t>
      </w:r>
    </w:p>
    <w:p w14:paraId="298DA628" w14:textId="77777777" w:rsidR="00510AE6" w:rsidRDefault="00D560E7" w:rsidP="00510AE6">
      <w:pPr>
        <w:spacing w:after="120"/>
        <w:jc w:val="both"/>
        <w:rPr>
          <w:rFonts w:asciiTheme="minorHAnsi" w:hAnsiTheme="minorHAnsi" w:cstheme="minorHAnsi"/>
        </w:rPr>
      </w:pPr>
      <w:r>
        <w:rPr>
          <w:rFonts w:asciiTheme="minorHAnsi" w:hAnsiTheme="minorHAnsi" w:cstheme="minorHAnsi"/>
        </w:rPr>
        <w:t xml:space="preserve">U jednoho ze dvou </w:t>
      </w:r>
      <w:r w:rsidR="00E174DA">
        <w:rPr>
          <w:rFonts w:asciiTheme="minorHAnsi" w:hAnsiTheme="minorHAnsi" w:cstheme="minorHAnsi"/>
        </w:rPr>
        <w:t xml:space="preserve">kontrolovaných </w:t>
      </w:r>
      <w:r>
        <w:rPr>
          <w:rFonts w:asciiTheme="minorHAnsi" w:hAnsiTheme="minorHAnsi" w:cstheme="minorHAnsi"/>
        </w:rPr>
        <w:t xml:space="preserve">projektů prioritní osy 1 – </w:t>
      </w:r>
      <w:r w:rsidRPr="00F04F60">
        <w:rPr>
          <w:rFonts w:asciiTheme="minorHAnsi" w:hAnsiTheme="minorHAnsi" w:cstheme="minorHAnsi"/>
          <w:i/>
        </w:rPr>
        <w:t>Evropská centra excelence</w:t>
      </w:r>
      <w:r>
        <w:rPr>
          <w:rFonts w:asciiTheme="minorHAnsi" w:hAnsiTheme="minorHAnsi" w:cstheme="minorHAnsi"/>
        </w:rPr>
        <w:t xml:space="preserve"> </w:t>
      </w:r>
      <w:r w:rsidR="005B2C41">
        <w:rPr>
          <w:rFonts w:asciiTheme="minorHAnsi" w:hAnsiTheme="minorHAnsi" w:cstheme="minorHAnsi"/>
        </w:rPr>
        <w:t>byl zjištěn</w:t>
      </w:r>
      <w:r w:rsidR="00F04F60">
        <w:rPr>
          <w:rFonts w:asciiTheme="minorHAnsi" w:hAnsiTheme="minorHAnsi" w:cstheme="minorHAnsi"/>
        </w:rPr>
        <w:t xml:space="preserve"> problém v oblasti získávání finančních zdrojů, k</w:t>
      </w:r>
      <w:r w:rsidR="00F94683">
        <w:rPr>
          <w:rFonts w:asciiTheme="minorHAnsi" w:hAnsiTheme="minorHAnsi" w:cstheme="minorHAnsi"/>
        </w:rPr>
        <w:t>onkrétně ze smluvního výzkumu a </w:t>
      </w:r>
      <w:r w:rsidR="00F04F60">
        <w:rPr>
          <w:rFonts w:asciiTheme="minorHAnsi" w:hAnsiTheme="minorHAnsi" w:cstheme="minorHAnsi"/>
        </w:rPr>
        <w:t>zdrojů ze zahraničí</w:t>
      </w:r>
      <w:r w:rsidR="005B2C41">
        <w:rPr>
          <w:rFonts w:asciiTheme="minorHAnsi" w:hAnsiTheme="minorHAnsi" w:cstheme="minorHAnsi"/>
        </w:rPr>
        <w:t xml:space="preserve">. Jedná se zároveň o monitorovací indikátory, u kterých tak existuje riziko nenaplnění cílových hodnot k datu </w:t>
      </w:r>
      <w:r>
        <w:rPr>
          <w:rFonts w:asciiTheme="minorHAnsi" w:hAnsiTheme="minorHAnsi" w:cstheme="minorHAnsi"/>
        </w:rPr>
        <w:t>31. 12. 2015</w:t>
      </w:r>
      <w:r w:rsidR="00F04F60">
        <w:rPr>
          <w:rFonts w:asciiTheme="minorHAnsi" w:hAnsiTheme="minorHAnsi" w:cstheme="minorHAnsi"/>
        </w:rPr>
        <w:t>.</w:t>
      </w:r>
      <w:r>
        <w:rPr>
          <w:rFonts w:asciiTheme="minorHAnsi" w:hAnsiTheme="minorHAnsi" w:cstheme="minorHAnsi"/>
        </w:rPr>
        <w:t xml:space="preserve"> </w:t>
      </w:r>
    </w:p>
    <w:p w14:paraId="3A2C12BD" w14:textId="77777777" w:rsidR="00510AE6" w:rsidRDefault="00510AE6" w:rsidP="00510AE6">
      <w:pPr>
        <w:spacing w:after="120"/>
        <w:jc w:val="both"/>
        <w:rPr>
          <w:rFonts w:asciiTheme="minorHAnsi" w:hAnsiTheme="minorHAnsi" w:cstheme="minorHAnsi"/>
        </w:rPr>
      </w:pPr>
      <w:r>
        <w:rPr>
          <w:rFonts w:asciiTheme="minorHAnsi" w:hAnsiTheme="minorHAnsi" w:cstheme="minorHAnsi"/>
        </w:rPr>
        <w:t>Kontrolou NKÚ bylo naopak zjištěno, že příjemci dotace nemají problém s indikátorem „</w:t>
      </w:r>
      <w:r w:rsidRPr="007F3A9D">
        <w:rPr>
          <w:rFonts w:asciiTheme="minorHAnsi" w:hAnsiTheme="minorHAnsi" w:cstheme="minorHAnsi"/>
          <w:i/>
        </w:rPr>
        <w:t>odborné publikace</w:t>
      </w:r>
      <w:r>
        <w:rPr>
          <w:rFonts w:asciiTheme="minorHAnsi" w:hAnsiTheme="minorHAnsi" w:cstheme="minorHAnsi"/>
        </w:rPr>
        <w:t xml:space="preserve">“, který většinou výrazně </w:t>
      </w:r>
      <w:r w:rsidR="001F22FE">
        <w:rPr>
          <w:rFonts w:asciiTheme="minorHAnsi" w:hAnsiTheme="minorHAnsi" w:cstheme="minorHAnsi"/>
        </w:rPr>
        <w:t>překračují</w:t>
      </w:r>
      <w:r>
        <w:rPr>
          <w:rFonts w:asciiTheme="minorHAnsi" w:hAnsiTheme="minorHAnsi" w:cstheme="minorHAnsi"/>
        </w:rPr>
        <w:t xml:space="preserve">. </w:t>
      </w:r>
    </w:p>
    <w:p w14:paraId="47D7BE11" w14:textId="560376C8" w:rsidR="00254D59" w:rsidRDefault="00254D59" w:rsidP="00F94683">
      <w:pPr>
        <w:jc w:val="both"/>
        <w:rPr>
          <w:rFonts w:asciiTheme="minorHAnsi" w:hAnsiTheme="minorHAnsi" w:cstheme="minorHAnsi"/>
        </w:rPr>
      </w:pPr>
      <w:r>
        <w:rPr>
          <w:rFonts w:asciiTheme="minorHAnsi" w:hAnsiTheme="minorHAnsi" w:cstheme="minorHAnsi"/>
        </w:rPr>
        <w:t xml:space="preserve">Vzhledem k popsaným obtížím ve schopnosti řady vědeckovýzkumných center vybudovaných z prostředků OP </w:t>
      </w:r>
      <w:proofErr w:type="spellStart"/>
      <w:r>
        <w:rPr>
          <w:rFonts w:asciiTheme="minorHAnsi" w:hAnsiTheme="minorHAnsi" w:cstheme="minorHAnsi"/>
        </w:rPr>
        <w:t>VaVpI</w:t>
      </w:r>
      <w:proofErr w:type="spellEnd"/>
      <w:r>
        <w:rPr>
          <w:rFonts w:asciiTheme="minorHAnsi" w:hAnsiTheme="minorHAnsi" w:cstheme="minorHAnsi"/>
        </w:rPr>
        <w:t xml:space="preserve"> získat </w:t>
      </w:r>
      <w:r w:rsidR="008E5176">
        <w:rPr>
          <w:rFonts w:asciiTheme="minorHAnsi" w:hAnsiTheme="minorHAnsi" w:cstheme="minorHAnsi"/>
        </w:rPr>
        <w:t>další</w:t>
      </w:r>
      <w:r>
        <w:rPr>
          <w:rFonts w:asciiTheme="minorHAnsi" w:hAnsiTheme="minorHAnsi" w:cstheme="minorHAnsi"/>
        </w:rPr>
        <w:t xml:space="preserve"> prostředk</w:t>
      </w:r>
      <w:r w:rsidR="00652678">
        <w:rPr>
          <w:rFonts w:asciiTheme="minorHAnsi" w:hAnsiTheme="minorHAnsi" w:cstheme="minorHAnsi"/>
        </w:rPr>
        <w:t>y (zejm. ze smluvního výzkumu a </w:t>
      </w:r>
      <w:r>
        <w:rPr>
          <w:rFonts w:asciiTheme="minorHAnsi" w:hAnsiTheme="minorHAnsi" w:cstheme="minorHAnsi"/>
        </w:rPr>
        <w:t xml:space="preserve">z mezinárodních grantů) lze předpokládat, že i po skončení doby udržitelnosti bude </w:t>
      </w:r>
      <w:r w:rsidR="00623405">
        <w:rPr>
          <w:rFonts w:asciiTheme="minorHAnsi" w:hAnsiTheme="minorHAnsi" w:cstheme="minorHAnsi"/>
        </w:rPr>
        <w:t>nutné zachovat značný podíl veřejného financování této infrastruktury.</w:t>
      </w:r>
    </w:p>
    <w:p w14:paraId="3AA3711C" w14:textId="77777777" w:rsidR="00254D59" w:rsidRDefault="00254D59" w:rsidP="00824E07">
      <w:pPr>
        <w:spacing w:after="120"/>
        <w:rPr>
          <w:rFonts w:asciiTheme="minorHAnsi" w:hAnsiTheme="minorHAnsi" w:cstheme="minorHAnsi"/>
        </w:rPr>
      </w:pPr>
    </w:p>
    <w:p w14:paraId="2B371E55" w14:textId="77777777" w:rsidR="009B6B41" w:rsidRPr="007F3A9D" w:rsidRDefault="007C55A5" w:rsidP="00824E07">
      <w:pPr>
        <w:tabs>
          <w:tab w:val="left" w:pos="567"/>
        </w:tabs>
        <w:spacing w:after="120"/>
        <w:jc w:val="both"/>
        <w:rPr>
          <w:rFonts w:asciiTheme="minorHAnsi" w:hAnsiTheme="minorHAnsi" w:cstheme="minorHAnsi"/>
          <w:b/>
        </w:rPr>
      </w:pPr>
      <w:r w:rsidRPr="007F3A9D">
        <w:rPr>
          <w:rFonts w:asciiTheme="minorHAnsi" w:hAnsiTheme="minorHAnsi" w:cstheme="minorHAnsi"/>
          <w:b/>
        </w:rPr>
        <w:t xml:space="preserve">3. Operační program </w:t>
      </w:r>
      <w:r w:rsidRPr="007F3A9D">
        <w:rPr>
          <w:rFonts w:asciiTheme="minorHAnsi" w:hAnsiTheme="minorHAnsi" w:cstheme="minorHAnsi"/>
          <w:b/>
          <w:i/>
        </w:rPr>
        <w:t>Vzdělávání pro konkurenceschopnost</w:t>
      </w:r>
    </w:p>
    <w:p w14:paraId="3F52C577" w14:textId="5DF0B750" w:rsidR="004067BA" w:rsidRPr="00F04F60" w:rsidRDefault="004065B9" w:rsidP="00F04F60">
      <w:pPr>
        <w:pStyle w:val="KPnormln"/>
        <w:ind w:firstLine="0"/>
        <w:rPr>
          <w:b/>
        </w:rPr>
      </w:pPr>
      <w:r w:rsidRPr="00F04F60">
        <w:rPr>
          <w:b/>
        </w:rPr>
        <w:t>3.</w:t>
      </w:r>
      <w:r w:rsidR="004067BA" w:rsidRPr="00F04F60">
        <w:rPr>
          <w:b/>
        </w:rPr>
        <w:t xml:space="preserve">1 Nastavení podmínek udržitelnosti </w:t>
      </w:r>
      <w:r w:rsidR="00D93ADF">
        <w:rPr>
          <w:b/>
        </w:rPr>
        <w:t>u</w:t>
      </w:r>
      <w:r w:rsidR="004067BA" w:rsidRPr="00F04F60">
        <w:rPr>
          <w:b/>
        </w:rPr>
        <w:t> </w:t>
      </w:r>
      <w:proofErr w:type="gramStart"/>
      <w:r w:rsidR="004067BA" w:rsidRPr="00F04F60">
        <w:rPr>
          <w:b/>
        </w:rPr>
        <w:t>OP</w:t>
      </w:r>
      <w:proofErr w:type="gramEnd"/>
      <w:r w:rsidR="004067BA" w:rsidRPr="00F04F60">
        <w:rPr>
          <w:b/>
        </w:rPr>
        <w:t xml:space="preserve"> VK</w:t>
      </w:r>
    </w:p>
    <w:p w14:paraId="656E4F0E" w14:textId="26E587A4" w:rsidR="004067BA" w:rsidRPr="00E24FE0" w:rsidRDefault="004067BA" w:rsidP="00F04F60">
      <w:pPr>
        <w:spacing w:after="120"/>
        <w:jc w:val="both"/>
        <w:rPr>
          <w:rFonts w:asciiTheme="minorHAnsi" w:eastAsiaTheme="minorHAnsi" w:hAnsiTheme="minorHAnsi" w:cstheme="minorBidi"/>
        </w:rPr>
      </w:pPr>
      <w:r w:rsidRPr="00E24FE0">
        <w:rPr>
          <w:rFonts w:asciiTheme="minorHAnsi" w:eastAsiaTheme="minorHAnsi" w:hAnsiTheme="minorHAnsi" w:cstheme="minorBidi"/>
        </w:rPr>
        <w:t>Na základě změny právní úpravy z roku 2010</w:t>
      </w:r>
      <w:r w:rsidRPr="00E24FE0">
        <w:rPr>
          <w:rFonts w:asciiTheme="minorHAnsi" w:eastAsiaTheme="minorHAnsi" w:hAnsiTheme="minorHAnsi" w:cstheme="minorBidi"/>
          <w:vertAlign w:val="superscript"/>
        </w:rPr>
        <w:footnoteReference w:id="12"/>
      </w:r>
      <w:r w:rsidRPr="00E24FE0">
        <w:rPr>
          <w:rFonts w:asciiTheme="minorHAnsi" w:eastAsiaTheme="minorHAnsi" w:hAnsiTheme="minorHAnsi" w:cstheme="minorBidi"/>
        </w:rPr>
        <w:t xml:space="preserve"> není </w:t>
      </w:r>
      <w:r w:rsidR="001F22FE" w:rsidRPr="00E24FE0">
        <w:rPr>
          <w:rFonts w:asciiTheme="minorHAnsi" w:eastAsiaTheme="minorHAnsi" w:hAnsiTheme="minorHAnsi" w:cstheme="minorBidi"/>
        </w:rPr>
        <w:t xml:space="preserve">udržitelnost pro projekty financované z ESF </w:t>
      </w:r>
      <w:r w:rsidRPr="00E24FE0">
        <w:rPr>
          <w:rFonts w:asciiTheme="minorHAnsi" w:eastAsiaTheme="minorHAnsi" w:hAnsiTheme="minorHAnsi" w:cstheme="minorBidi"/>
        </w:rPr>
        <w:t xml:space="preserve">až na výjimky povinná, tedy ani pro projekty OP VK. Kontrole NKÚ byly podrobeny projekty z doby před změnou </w:t>
      </w:r>
      <w:r w:rsidR="00D93ADF">
        <w:rPr>
          <w:rFonts w:asciiTheme="minorHAnsi" w:eastAsiaTheme="minorHAnsi" w:hAnsiTheme="minorHAnsi" w:cstheme="minorBidi"/>
        </w:rPr>
        <w:t>právní úpravy</w:t>
      </w:r>
      <w:r w:rsidRPr="00E24FE0">
        <w:rPr>
          <w:rFonts w:asciiTheme="minorHAnsi" w:eastAsiaTheme="minorHAnsi" w:hAnsiTheme="minorHAnsi" w:cstheme="minorBidi"/>
        </w:rPr>
        <w:t xml:space="preserve"> a současně NKÚ vyhodnotil i přístup MŠMT k udržitelnosti v navazujícím období</w:t>
      </w:r>
      <w:r w:rsidR="00762024">
        <w:rPr>
          <w:rFonts w:asciiTheme="minorHAnsi" w:eastAsiaTheme="minorHAnsi" w:hAnsiTheme="minorHAnsi" w:cstheme="minorBidi"/>
        </w:rPr>
        <w:t>,</w:t>
      </w:r>
      <w:r w:rsidRPr="00E24FE0">
        <w:rPr>
          <w:rFonts w:asciiTheme="minorHAnsi" w:eastAsiaTheme="minorHAnsi" w:hAnsiTheme="minorHAnsi" w:cstheme="minorBidi"/>
        </w:rPr>
        <w:t xml:space="preserve"> a to s ohledem na zásadu řádného finančního řízení, která požaduje, aby byly prostředky rozpočtu EU použity v souladu se zásadami</w:t>
      </w:r>
      <w:r w:rsidR="006C3104">
        <w:rPr>
          <w:rFonts w:asciiTheme="minorHAnsi" w:eastAsiaTheme="minorHAnsi" w:hAnsiTheme="minorHAnsi" w:cstheme="minorBidi"/>
        </w:rPr>
        <w:t xml:space="preserve"> účelnosti, </w:t>
      </w:r>
      <w:r w:rsidRPr="00E24FE0">
        <w:rPr>
          <w:rFonts w:asciiTheme="minorHAnsi" w:eastAsiaTheme="minorHAnsi" w:hAnsiTheme="minorHAnsi" w:cstheme="minorBidi"/>
        </w:rPr>
        <w:t xml:space="preserve">hospodárnosti a efektivnosti. </w:t>
      </w:r>
    </w:p>
    <w:p w14:paraId="53DBAA58" w14:textId="4E916888" w:rsidR="004067BA" w:rsidRPr="00E24FE0" w:rsidRDefault="004067BA" w:rsidP="00F04F60">
      <w:pPr>
        <w:spacing w:after="120"/>
        <w:jc w:val="both"/>
        <w:rPr>
          <w:rFonts w:asciiTheme="minorHAnsi" w:hAnsiTheme="minorHAnsi" w:cstheme="minorHAnsi"/>
          <w:color w:val="000000"/>
        </w:rPr>
      </w:pPr>
      <w:r w:rsidRPr="00E24FE0">
        <w:rPr>
          <w:rFonts w:asciiTheme="minorHAnsi" w:eastAsiaTheme="minorHAnsi" w:hAnsiTheme="minorHAnsi" w:cstheme="minorBidi"/>
        </w:rPr>
        <w:t>NKÚ provedl kontrolu udržitelnosti v </w:t>
      </w:r>
      <w:proofErr w:type="gramStart"/>
      <w:r w:rsidRPr="00E24FE0">
        <w:rPr>
          <w:rFonts w:asciiTheme="minorHAnsi" w:eastAsiaTheme="minorHAnsi" w:hAnsiTheme="minorHAnsi" w:cstheme="minorBidi"/>
        </w:rPr>
        <w:t>OP</w:t>
      </w:r>
      <w:proofErr w:type="gramEnd"/>
      <w:r w:rsidRPr="00E24FE0">
        <w:rPr>
          <w:rFonts w:asciiTheme="minorHAnsi" w:eastAsiaTheme="minorHAnsi" w:hAnsiTheme="minorHAnsi" w:cstheme="minorBidi"/>
        </w:rPr>
        <w:t> VK primárně na individuálních projektech národních</w:t>
      </w:r>
      <w:r w:rsidRPr="00E24FE0">
        <w:rPr>
          <w:rFonts w:asciiTheme="minorHAnsi" w:eastAsiaTheme="minorHAnsi" w:hAnsiTheme="minorHAnsi" w:cstheme="minorHAnsi"/>
          <w:bCs/>
          <w:vertAlign w:val="superscript"/>
        </w:rPr>
        <w:footnoteReference w:id="13"/>
      </w:r>
      <w:r w:rsidRPr="00E24FE0">
        <w:rPr>
          <w:rFonts w:asciiTheme="minorHAnsi" w:eastAsiaTheme="minorHAnsi" w:hAnsiTheme="minorHAnsi" w:cstheme="minorBidi"/>
        </w:rPr>
        <w:t xml:space="preserve"> (dále jen „národní projekty“), neboť jde většinou o finančně náročné projekty </w:t>
      </w:r>
      <w:r w:rsidRPr="00E24FE0">
        <w:rPr>
          <w:rFonts w:asciiTheme="minorHAnsi" w:eastAsiaTheme="minorHAnsi" w:hAnsiTheme="minorHAnsi" w:cstheme="minorBidi"/>
        </w:rPr>
        <w:lastRenderedPageBreak/>
        <w:t xml:space="preserve">systémového charakteru. </w:t>
      </w:r>
      <w:r w:rsidRPr="00E24FE0">
        <w:rPr>
          <w:rFonts w:asciiTheme="minorHAnsi" w:hAnsiTheme="minorHAnsi" w:cstheme="minorHAnsi"/>
          <w:color w:val="000000"/>
        </w:rPr>
        <w:t xml:space="preserve">Těžiště většiny národních </w:t>
      </w:r>
      <w:r w:rsidR="00F04F60">
        <w:rPr>
          <w:rFonts w:asciiTheme="minorHAnsi" w:hAnsiTheme="minorHAnsi" w:cstheme="minorHAnsi"/>
          <w:color w:val="000000"/>
        </w:rPr>
        <w:t>projektů spočívá ve vytváření a </w:t>
      </w:r>
      <w:r w:rsidRPr="00E24FE0">
        <w:rPr>
          <w:rFonts w:asciiTheme="minorHAnsi" w:hAnsiTheme="minorHAnsi" w:cstheme="minorHAnsi"/>
          <w:color w:val="000000"/>
        </w:rPr>
        <w:t>ověřování systémů nebo metodik</w:t>
      </w:r>
      <w:r w:rsidR="00D93ADF">
        <w:rPr>
          <w:rFonts w:asciiTheme="minorHAnsi" w:hAnsiTheme="minorHAnsi" w:cstheme="minorHAnsi"/>
          <w:color w:val="000000"/>
        </w:rPr>
        <w:t>.</w:t>
      </w:r>
      <w:r w:rsidRPr="00E24FE0">
        <w:rPr>
          <w:rFonts w:asciiTheme="minorHAnsi" w:hAnsiTheme="minorHAnsi" w:cstheme="minorHAnsi"/>
          <w:color w:val="000000"/>
          <w:vertAlign w:val="superscript"/>
        </w:rPr>
        <w:footnoteReference w:id="14"/>
      </w:r>
      <w:r w:rsidRPr="00E24FE0">
        <w:rPr>
          <w:rFonts w:asciiTheme="minorHAnsi" w:hAnsiTheme="minorHAnsi" w:cstheme="minorHAnsi"/>
          <w:color w:val="000000"/>
        </w:rPr>
        <w:t xml:space="preserve"> </w:t>
      </w:r>
    </w:p>
    <w:p w14:paraId="2D22DF24" w14:textId="1A3850D4" w:rsidR="004067BA" w:rsidRDefault="004067BA" w:rsidP="00824E07">
      <w:pPr>
        <w:spacing w:after="120"/>
        <w:jc w:val="both"/>
        <w:rPr>
          <w:rFonts w:asciiTheme="minorHAnsi" w:hAnsiTheme="minorHAnsi" w:cstheme="minorHAnsi"/>
          <w:color w:val="000000"/>
        </w:rPr>
      </w:pPr>
      <w:r w:rsidRPr="00E24FE0">
        <w:rPr>
          <w:rFonts w:asciiTheme="minorHAnsi" w:hAnsiTheme="minorHAnsi" w:cstheme="minorHAnsi"/>
          <w:color w:val="000000"/>
        </w:rPr>
        <w:t xml:space="preserve">Nutnou podmínkou zajištění účelnosti a </w:t>
      </w:r>
      <w:r w:rsidR="0008606F">
        <w:rPr>
          <w:rFonts w:asciiTheme="minorHAnsi" w:hAnsiTheme="minorHAnsi" w:cstheme="minorHAnsi"/>
          <w:color w:val="000000"/>
        </w:rPr>
        <w:t>efektivnosti</w:t>
      </w:r>
      <w:r w:rsidR="0008606F" w:rsidRPr="00E24FE0">
        <w:rPr>
          <w:rFonts w:asciiTheme="minorHAnsi" w:hAnsiTheme="minorHAnsi" w:cstheme="minorHAnsi"/>
          <w:color w:val="000000"/>
        </w:rPr>
        <w:t xml:space="preserve"> </w:t>
      </w:r>
      <w:r w:rsidRPr="00E24FE0">
        <w:rPr>
          <w:rFonts w:asciiTheme="minorHAnsi" w:hAnsiTheme="minorHAnsi" w:cstheme="minorHAnsi"/>
          <w:color w:val="000000"/>
        </w:rPr>
        <w:t>takových projektů je, aby jejich výstupy byly použity v praxi (aplikace metodik, využívání systémů). Bez praktické aplikace totiž většina aktivit postrádá smysl nebo je jejich přínos omezen</w:t>
      </w:r>
      <w:r w:rsidR="00F04F60">
        <w:rPr>
          <w:rFonts w:asciiTheme="minorHAnsi" w:hAnsiTheme="minorHAnsi" w:cstheme="minorHAnsi"/>
          <w:color w:val="000000"/>
        </w:rPr>
        <w:t xml:space="preserve"> v rozsahu pilotních ověření a </w:t>
      </w:r>
      <w:r w:rsidRPr="00E24FE0">
        <w:rPr>
          <w:rFonts w:asciiTheme="minorHAnsi" w:hAnsiTheme="minorHAnsi" w:cstheme="minorHAnsi"/>
          <w:color w:val="000000"/>
        </w:rPr>
        <w:t xml:space="preserve">hrozí, že prostředky </w:t>
      </w:r>
      <w:r w:rsidR="00C15920" w:rsidRPr="00E24FE0">
        <w:rPr>
          <w:rFonts w:asciiTheme="minorHAnsi" w:hAnsiTheme="minorHAnsi" w:cstheme="minorHAnsi"/>
          <w:color w:val="000000"/>
        </w:rPr>
        <w:t xml:space="preserve">budou </w:t>
      </w:r>
      <w:r w:rsidRPr="00E24FE0">
        <w:rPr>
          <w:rFonts w:asciiTheme="minorHAnsi" w:hAnsiTheme="minorHAnsi" w:cstheme="minorHAnsi"/>
          <w:color w:val="000000"/>
        </w:rPr>
        <w:t xml:space="preserve">vynaloženy </w:t>
      </w:r>
      <w:r w:rsidR="00124BC5">
        <w:rPr>
          <w:rFonts w:asciiTheme="minorHAnsi" w:hAnsiTheme="minorHAnsi" w:cstheme="minorHAnsi"/>
          <w:color w:val="000000"/>
        </w:rPr>
        <w:t>neúčelně</w:t>
      </w:r>
      <w:r w:rsidRPr="00E24FE0">
        <w:rPr>
          <w:rFonts w:asciiTheme="minorHAnsi" w:hAnsiTheme="minorHAnsi" w:cstheme="minorHAnsi"/>
          <w:color w:val="000000"/>
        </w:rPr>
        <w:t xml:space="preserve">. Z výše uvedených důvodů je požadavek na udržitelnost legitimním prostředkem pro dosažení účelnosti a efektivnosti vynaložených prostředků. Řídicí orgán OP VK však od roku 2011 udržitelnost národních projektů </w:t>
      </w:r>
      <w:r w:rsidR="00534649">
        <w:rPr>
          <w:rFonts w:asciiTheme="minorHAnsi" w:hAnsiTheme="minorHAnsi" w:cstheme="minorHAnsi"/>
          <w:color w:val="000000"/>
        </w:rPr>
        <w:t>již</w:t>
      </w:r>
      <w:r w:rsidRPr="00E24FE0">
        <w:rPr>
          <w:rFonts w:asciiTheme="minorHAnsi" w:hAnsiTheme="minorHAnsi" w:cstheme="minorHAnsi"/>
          <w:color w:val="000000"/>
        </w:rPr>
        <w:t xml:space="preserve"> </w:t>
      </w:r>
      <w:r w:rsidR="00534649">
        <w:rPr>
          <w:rFonts w:asciiTheme="minorHAnsi" w:hAnsiTheme="minorHAnsi" w:cstheme="minorHAnsi"/>
          <w:color w:val="000000"/>
        </w:rPr>
        <w:t>nepožaduje</w:t>
      </w:r>
      <w:r w:rsidRPr="00E24FE0">
        <w:rPr>
          <w:rFonts w:asciiTheme="minorHAnsi" w:hAnsiTheme="minorHAnsi" w:cstheme="minorHAnsi"/>
          <w:color w:val="000000"/>
        </w:rPr>
        <w:t xml:space="preserve"> a nemá v takových případech k dispozici účinný </w:t>
      </w:r>
      <w:r w:rsidR="00F04F60">
        <w:rPr>
          <w:rFonts w:asciiTheme="minorHAnsi" w:hAnsiTheme="minorHAnsi" w:cstheme="minorHAnsi"/>
          <w:color w:val="000000"/>
        </w:rPr>
        <w:t>nástroj k zajištění účelnosti a </w:t>
      </w:r>
      <w:r w:rsidR="0008606F">
        <w:rPr>
          <w:rFonts w:asciiTheme="minorHAnsi" w:hAnsiTheme="minorHAnsi" w:cstheme="minorHAnsi"/>
          <w:color w:val="000000"/>
        </w:rPr>
        <w:t>efektivnosti</w:t>
      </w:r>
      <w:r w:rsidR="0008606F" w:rsidRPr="00E24FE0">
        <w:rPr>
          <w:rFonts w:asciiTheme="minorHAnsi" w:hAnsiTheme="minorHAnsi" w:cstheme="minorHAnsi"/>
          <w:color w:val="000000"/>
        </w:rPr>
        <w:t xml:space="preserve"> </w:t>
      </w:r>
      <w:r w:rsidRPr="00E24FE0">
        <w:rPr>
          <w:rFonts w:asciiTheme="minorHAnsi" w:hAnsiTheme="minorHAnsi" w:cstheme="minorHAnsi"/>
          <w:color w:val="000000"/>
        </w:rPr>
        <w:t xml:space="preserve">vynaložených finančních prostředků z rozpočtu EU a státního rozpočtu. </w:t>
      </w:r>
    </w:p>
    <w:tbl>
      <w:tblPr>
        <w:tblStyle w:val="Mkatabulky"/>
        <w:tblW w:w="8221" w:type="dxa"/>
        <w:tblInd w:w="534"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shd w:val="clear" w:color="auto" w:fill="F5F5F5"/>
        <w:tblCellMar>
          <w:top w:w="57" w:type="dxa"/>
          <w:bottom w:w="57" w:type="dxa"/>
        </w:tblCellMar>
        <w:tblLook w:val="04A0" w:firstRow="1" w:lastRow="0" w:firstColumn="1" w:lastColumn="0" w:noHBand="0" w:noVBand="1"/>
      </w:tblPr>
      <w:tblGrid>
        <w:gridCol w:w="8221"/>
      </w:tblGrid>
      <w:tr w:rsidR="003D2796" w14:paraId="41001581" w14:textId="77777777" w:rsidTr="00FA6E4C">
        <w:tc>
          <w:tcPr>
            <w:tcW w:w="8221" w:type="dxa"/>
            <w:shd w:val="clear" w:color="auto" w:fill="F5F5F5"/>
          </w:tcPr>
          <w:p w14:paraId="34061D31" w14:textId="77777777" w:rsidR="003D2796" w:rsidRPr="00737FA6" w:rsidRDefault="003D2796" w:rsidP="00824E07">
            <w:pPr>
              <w:spacing w:after="120"/>
              <w:rPr>
                <w:rFonts w:asciiTheme="minorHAnsi" w:hAnsiTheme="minorHAnsi" w:cstheme="minorHAnsi"/>
                <w:b/>
                <w:sz w:val="20"/>
                <w:szCs w:val="20"/>
              </w:rPr>
            </w:pPr>
            <w:r>
              <w:rPr>
                <w:rFonts w:asciiTheme="minorHAnsi" w:hAnsiTheme="minorHAnsi" w:cstheme="minorHAnsi"/>
                <w:b/>
                <w:sz w:val="20"/>
                <w:szCs w:val="20"/>
              </w:rPr>
              <w:t>Udržitelnost národních projektů</w:t>
            </w:r>
          </w:p>
          <w:p w14:paraId="713608E4" w14:textId="75522086" w:rsidR="003D2796" w:rsidRPr="00AE1F83" w:rsidRDefault="003D2796" w:rsidP="00824E07">
            <w:pPr>
              <w:spacing w:after="120"/>
              <w:jc w:val="both"/>
              <w:rPr>
                <w:rFonts w:asciiTheme="minorHAnsi" w:hAnsiTheme="minorHAnsi" w:cstheme="minorHAnsi"/>
                <w:sz w:val="20"/>
                <w:szCs w:val="20"/>
              </w:rPr>
            </w:pPr>
            <w:r w:rsidRPr="003D2796">
              <w:rPr>
                <w:rFonts w:asciiTheme="minorHAnsi" w:hAnsiTheme="minorHAnsi" w:cstheme="minorHAnsi"/>
                <w:sz w:val="20"/>
                <w:szCs w:val="20"/>
              </w:rPr>
              <w:t xml:space="preserve">V důsledku chybějící podmínky udržitelnosti existuje riziko, že MŠMT v pozici </w:t>
            </w:r>
            <w:r w:rsidR="0021686E">
              <w:rPr>
                <w:rFonts w:asciiTheme="minorHAnsi" w:hAnsiTheme="minorHAnsi" w:cstheme="minorHAnsi"/>
                <w:sz w:val="20"/>
                <w:szCs w:val="20"/>
              </w:rPr>
              <w:t>ř</w:t>
            </w:r>
            <w:r w:rsidRPr="003D2796">
              <w:rPr>
                <w:rFonts w:asciiTheme="minorHAnsi" w:hAnsiTheme="minorHAnsi" w:cstheme="minorHAnsi"/>
                <w:sz w:val="20"/>
                <w:szCs w:val="20"/>
              </w:rPr>
              <w:t>ídicího orgánu OP</w:t>
            </w:r>
            <w:r w:rsidR="00534649">
              <w:rPr>
                <w:rFonts w:asciiTheme="minorHAnsi" w:hAnsiTheme="minorHAnsi" w:cstheme="minorHAnsi"/>
                <w:sz w:val="20"/>
                <w:szCs w:val="20"/>
              </w:rPr>
              <w:t> </w:t>
            </w:r>
            <w:r w:rsidRPr="003D2796">
              <w:rPr>
                <w:rFonts w:asciiTheme="minorHAnsi" w:hAnsiTheme="minorHAnsi" w:cstheme="minorHAnsi"/>
                <w:sz w:val="20"/>
                <w:szCs w:val="20"/>
              </w:rPr>
              <w:t>VK nebude moci u projektů ve schváleném objemu přesahujícím 3,5 mld. Kč</w:t>
            </w:r>
            <w:r w:rsidRPr="003D2796">
              <w:rPr>
                <w:rFonts w:asciiTheme="minorHAnsi" w:hAnsiTheme="minorHAnsi" w:cstheme="minorHAnsi"/>
                <w:color w:val="000000"/>
                <w:sz w:val="20"/>
                <w:szCs w:val="20"/>
                <w:vertAlign w:val="superscript"/>
              </w:rPr>
              <w:footnoteReference w:id="15"/>
            </w:r>
            <w:r>
              <w:rPr>
                <w:rFonts w:asciiTheme="minorHAnsi" w:hAnsiTheme="minorHAnsi" w:cstheme="minorHAnsi"/>
                <w:sz w:val="20"/>
                <w:szCs w:val="20"/>
              </w:rPr>
              <w:t xml:space="preserve"> </w:t>
            </w:r>
            <w:r w:rsidRPr="003D2796">
              <w:rPr>
                <w:rFonts w:asciiTheme="minorHAnsi" w:hAnsiTheme="minorHAnsi" w:cstheme="minorHAnsi"/>
                <w:sz w:val="20"/>
                <w:szCs w:val="20"/>
              </w:rPr>
              <w:t xml:space="preserve">zajistit požadavek na řádné finanční řízení, tj. </w:t>
            </w:r>
            <w:r w:rsidR="0008606F">
              <w:rPr>
                <w:rFonts w:asciiTheme="minorHAnsi" w:hAnsiTheme="minorHAnsi" w:cstheme="minorHAnsi"/>
                <w:sz w:val="20"/>
                <w:szCs w:val="20"/>
              </w:rPr>
              <w:t xml:space="preserve">účelnost, </w:t>
            </w:r>
            <w:r w:rsidRPr="003D2796">
              <w:rPr>
                <w:rFonts w:asciiTheme="minorHAnsi" w:hAnsiTheme="minorHAnsi" w:cstheme="minorHAnsi"/>
                <w:sz w:val="20"/>
                <w:szCs w:val="20"/>
              </w:rPr>
              <w:t>hospodárnost a efektivnost. Případné finanční opravy přitom půjdou vzhledem k okruhu příjemců podpory plně k tíži státního rozpočtu.</w:t>
            </w:r>
          </w:p>
        </w:tc>
      </w:tr>
    </w:tbl>
    <w:p w14:paraId="3B45C750" w14:textId="77777777" w:rsidR="003D2796" w:rsidRPr="00E24FE0" w:rsidRDefault="003D2796" w:rsidP="004067BA">
      <w:pPr>
        <w:jc w:val="both"/>
        <w:rPr>
          <w:rFonts w:asciiTheme="minorHAnsi" w:hAnsiTheme="minorHAnsi" w:cstheme="minorHAnsi"/>
          <w:color w:val="000000"/>
        </w:rPr>
      </w:pPr>
    </w:p>
    <w:p w14:paraId="7EFC0C8B" w14:textId="77777777" w:rsidR="004067BA" w:rsidRPr="009B6B41" w:rsidRDefault="004065B9" w:rsidP="00F04F60">
      <w:pPr>
        <w:spacing w:after="120"/>
        <w:jc w:val="both"/>
        <w:rPr>
          <w:rFonts w:asciiTheme="minorHAnsi" w:hAnsiTheme="minorHAnsi" w:cstheme="minorHAnsi"/>
          <w:b/>
          <w:bCs/>
        </w:rPr>
      </w:pPr>
      <w:r>
        <w:rPr>
          <w:rFonts w:asciiTheme="minorHAnsi" w:hAnsiTheme="minorHAnsi" w:cstheme="minorHAnsi"/>
          <w:b/>
          <w:color w:val="000000"/>
        </w:rPr>
        <w:t>3.</w:t>
      </w:r>
      <w:r w:rsidR="004067BA" w:rsidRPr="009B6B41">
        <w:rPr>
          <w:rFonts w:asciiTheme="minorHAnsi" w:hAnsiTheme="minorHAnsi" w:cstheme="minorHAnsi"/>
          <w:b/>
          <w:color w:val="000000"/>
        </w:rPr>
        <w:t xml:space="preserve">2 </w:t>
      </w:r>
      <w:r w:rsidR="00E27400">
        <w:rPr>
          <w:rFonts w:asciiTheme="minorHAnsi" w:hAnsiTheme="minorHAnsi" w:cstheme="minorHAnsi"/>
          <w:b/>
          <w:color w:val="000000"/>
        </w:rPr>
        <w:t>Provádění k</w:t>
      </w:r>
      <w:r w:rsidR="004067BA" w:rsidRPr="009B6B41">
        <w:rPr>
          <w:rFonts w:asciiTheme="minorHAnsi" w:hAnsiTheme="minorHAnsi" w:cstheme="minorHAnsi"/>
          <w:b/>
          <w:color w:val="000000"/>
        </w:rPr>
        <w:t>ontrol</w:t>
      </w:r>
      <w:r w:rsidR="00E27400">
        <w:rPr>
          <w:rFonts w:asciiTheme="minorHAnsi" w:hAnsiTheme="minorHAnsi" w:cstheme="minorHAnsi"/>
          <w:b/>
          <w:color w:val="000000"/>
        </w:rPr>
        <w:t xml:space="preserve"> projektů</w:t>
      </w:r>
      <w:r w:rsidR="004067BA" w:rsidRPr="009B6B41">
        <w:rPr>
          <w:rFonts w:asciiTheme="minorHAnsi" w:hAnsiTheme="minorHAnsi" w:cstheme="minorHAnsi"/>
          <w:b/>
          <w:color w:val="000000"/>
        </w:rPr>
        <w:t xml:space="preserve"> </w:t>
      </w:r>
      <w:r w:rsidR="00E27400">
        <w:rPr>
          <w:rFonts w:asciiTheme="minorHAnsi" w:hAnsiTheme="minorHAnsi" w:cstheme="minorHAnsi"/>
          <w:b/>
          <w:color w:val="000000"/>
        </w:rPr>
        <w:t xml:space="preserve">v době </w:t>
      </w:r>
      <w:r w:rsidR="004067BA" w:rsidRPr="009B6B41">
        <w:rPr>
          <w:rFonts w:asciiTheme="minorHAnsi" w:hAnsiTheme="minorHAnsi" w:cstheme="minorHAnsi"/>
          <w:b/>
          <w:color w:val="000000"/>
        </w:rPr>
        <w:t>udržitelnosti</w:t>
      </w:r>
    </w:p>
    <w:p w14:paraId="267A3173" w14:textId="4B952EF9" w:rsidR="004067BA" w:rsidRPr="00E24FE0" w:rsidRDefault="0008606F" w:rsidP="00F04F60">
      <w:pPr>
        <w:spacing w:after="120"/>
        <w:jc w:val="both"/>
        <w:rPr>
          <w:rFonts w:asciiTheme="minorHAnsi" w:eastAsiaTheme="minorHAnsi" w:hAnsiTheme="minorHAnsi" w:cstheme="minorBidi"/>
        </w:rPr>
      </w:pPr>
      <w:r w:rsidRPr="0008606F">
        <w:rPr>
          <w:rFonts w:asciiTheme="minorHAnsi" w:eastAsiaTheme="minorHAnsi" w:hAnsiTheme="minorHAnsi" w:cstheme="minorBidi"/>
        </w:rPr>
        <w:t xml:space="preserve">U projektů, kde </w:t>
      </w:r>
      <w:r w:rsidR="0021686E">
        <w:rPr>
          <w:rFonts w:asciiTheme="minorHAnsi" w:eastAsiaTheme="minorHAnsi" w:hAnsiTheme="minorHAnsi" w:cstheme="minorBidi"/>
        </w:rPr>
        <w:t>ř</w:t>
      </w:r>
      <w:r w:rsidRPr="0008606F">
        <w:rPr>
          <w:rFonts w:asciiTheme="minorHAnsi" w:eastAsiaTheme="minorHAnsi" w:hAnsiTheme="minorHAnsi" w:cstheme="minorBidi"/>
        </w:rPr>
        <w:t>ídicí orgán OP VK stanovil podmínku udržitelnosti, provádí její kontrolu</w:t>
      </w:r>
      <w:r>
        <w:rPr>
          <w:rFonts w:asciiTheme="minorHAnsi" w:eastAsiaTheme="minorHAnsi" w:hAnsiTheme="minorHAnsi" w:cstheme="minorBidi"/>
        </w:rPr>
        <w:t xml:space="preserve"> </w:t>
      </w:r>
      <w:r w:rsidR="004067BA" w:rsidRPr="00E24FE0">
        <w:rPr>
          <w:rFonts w:asciiTheme="minorHAnsi" w:eastAsiaTheme="minorHAnsi" w:hAnsiTheme="minorHAnsi" w:cstheme="minorBidi"/>
        </w:rPr>
        <w:t>pomocí monitorovacích zpráv o udržitelnosti</w:t>
      </w:r>
      <w:r w:rsidR="00FD2419" w:rsidRPr="00FD2419">
        <w:rPr>
          <w:rFonts w:asciiTheme="minorHAnsi" w:eastAsiaTheme="minorHAnsi" w:hAnsiTheme="minorHAnsi" w:cstheme="minorBidi"/>
        </w:rPr>
        <w:t xml:space="preserve"> </w:t>
      </w:r>
      <w:r w:rsidR="00FD2419" w:rsidRPr="00E24FE0">
        <w:rPr>
          <w:rFonts w:asciiTheme="minorHAnsi" w:eastAsiaTheme="minorHAnsi" w:hAnsiTheme="minorHAnsi" w:cstheme="minorBidi"/>
        </w:rPr>
        <w:t>předkládaných</w:t>
      </w:r>
      <w:r w:rsidR="00FD2419">
        <w:rPr>
          <w:rFonts w:asciiTheme="minorHAnsi" w:eastAsiaTheme="minorHAnsi" w:hAnsiTheme="minorHAnsi" w:cstheme="minorBidi"/>
        </w:rPr>
        <w:t xml:space="preserve"> </w:t>
      </w:r>
      <w:r w:rsidR="00FD2419" w:rsidRPr="00E24FE0">
        <w:rPr>
          <w:rFonts w:asciiTheme="minorHAnsi" w:eastAsiaTheme="minorHAnsi" w:hAnsiTheme="minorHAnsi" w:cstheme="minorBidi"/>
        </w:rPr>
        <w:t>jedenkrát ročně</w:t>
      </w:r>
      <w:r w:rsidR="004067BA" w:rsidRPr="00E24FE0">
        <w:rPr>
          <w:rFonts w:asciiTheme="minorHAnsi" w:eastAsiaTheme="minorHAnsi" w:hAnsiTheme="minorHAnsi" w:cstheme="minorBidi"/>
        </w:rPr>
        <w:t>. U vzorku projektů probíhá i kontrola na místě.</w:t>
      </w:r>
    </w:p>
    <w:p w14:paraId="38C7D37B" w14:textId="77777777" w:rsidR="00EF01D8" w:rsidRPr="00327154" w:rsidRDefault="00EF01D8" w:rsidP="00EF01D8">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MŠMT nepostupovalo při plánování kontrol udržitelnosti v souladu s právem EU a ČR</w:t>
      </w:r>
      <w:r w:rsidR="00A833C3">
        <w:rPr>
          <w:rFonts w:asciiTheme="minorHAnsi" w:hAnsiTheme="minorHAnsi" w:cstheme="minorHAnsi"/>
          <w:b/>
          <w:i/>
        </w:rPr>
        <w:t>.</w:t>
      </w:r>
    </w:p>
    <w:p w14:paraId="6508F331" w14:textId="77777777" w:rsidR="004067BA" w:rsidRDefault="004067BA" w:rsidP="00F94683">
      <w:pPr>
        <w:spacing w:after="120"/>
        <w:jc w:val="both"/>
        <w:rPr>
          <w:rFonts w:asciiTheme="minorHAnsi" w:eastAsiaTheme="minorHAnsi" w:hAnsiTheme="minorHAnsi" w:cstheme="minorBidi"/>
        </w:rPr>
      </w:pPr>
      <w:r w:rsidRPr="00E24FE0">
        <w:rPr>
          <w:rFonts w:asciiTheme="minorHAnsi" w:eastAsiaTheme="minorHAnsi" w:hAnsiTheme="minorHAnsi" w:cstheme="minorBidi"/>
        </w:rPr>
        <w:t>NKÚ zjistil, že MŠMT nepostupovalo v souladu s právními předpisy EU a ČR</w:t>
      </w:r>
      <w:r w:rsidRPr="00E24FE0">
        <w:rPr>
          <w:rFonts w:asciiTheme="minorHAnsi" w:eastAsiaTheme="minorHAnsi" w:hAnsiTheme="minorHAnsi" w:cstheme="minorBidi"/>
          <w:vertAlign w:val="superscript"/>
        </w:rPr>
        <w:footnoteReference w:id="16"/>
      </w:r>
      <w:r w:rsidRPr="00E24FE0">
        <w:rPr>
          <w:rFonts w:asciiTheme="minorHAnsi" w:eastAsiaTheme="minorHAnsi" w:hAnsiTheme="minorHAnsi" w:cstheme="minorBidi"/>
        </w:rPr>
        <w:t>, protože neplánovalo kontroly na místě na základě analýz</w:t>
      </w:r>
      <w:r w:rsidR="00C15920">
        <w:rPr>
          <w:rFonts w:asciiTheme="minorHAnsi" w:eastAsiaTheme="minorHAnsi" w:hAnsiTheme="minorHAnsi" w:cstheme="minorBidi"/>
        </w:rPr>
        <w:t>y</w:t>
      </w:r>
      <w:r w:rsidRPr="00E24FE0">
        <w:rPr>
          <w:rFonts w:asciiTheme="minorHAnsi" w:eastAsiaTheme="minorHAnsi" w:hAnsiTheme="minorHAnsi" w:cstheme="minorBidi"/>
        </w:rPr>
        <w:t xml:space="preserve"> rizik a nevytvořilo písemné postupy pro takové plánování. Do doby ukončení kontroly NKÚ neprovedlo MŠMT ani jednu kontrolu národních projektů v době udržitelnosti, přestože v daném</w:t>
      </w:r>
      <w:r w:rsidR="001A219D">
        <w:rPr>
          <w:rFonts w:asciiTheme="minorHAnsi" w:eastAsiaTheme="minorHAnsi" w:hAnsiTheme="minorHAnsi" w:cstheme="minorBidi"/>
        </w:rPr>
        <w:t xml:space="preserve"> období ji bylo možné provést u </w:t>
      </w:r>
      <w:r w:rsidRPr="00E24FE0">
        <w:rPr>
          <w:rFonts w:asciiTheme="minorHAnsi" w:eastAsiaTheme="minorHAnsi" w:hAnsiTheme="minorHAnsi" w:cstheme="minorBidi"/>
        </w:rPr>
        <w:t xml:space="preserve">19 z nich. </w:t>
      </w:r>
    </w:p>
    <w:p w14:paraId="3C8B9E37" w14:textId="77777777" w:rsidR="007A1AD3" w:rsidRPr="00E24FE0" w:rsidRDefault="007A1AD3" w:rsidP="007A1AD3">
      <w:pPr>
        <w:jc w:val="both"/>
        <w:rPr>
          <w:rFonts w:asciiTheme="minorHAnsi" w:eastAsiaTheme="minorHAnsi" w:hAnsiTheme="minorHAnsi" w:cstheme="minorBidi"/>
        </w:rPr>
      </w:pPr>
    </w:p>
    <w:p w14:paraId="23669304" w14:textId="77777777" w:rsidR="004067BA" w:rsidRPr="009B6B41" w:rsidRDefault="004065B9" w:rsidP="00F04F60">
      <w:pPr>
        <w:spacing w:after="120"/>
        <w:jc w:val="both"/>
        <w:rPr>
          <w:rFonts w:asciiTheme="minorHAnsi" w:eastAsiaTheme="minorHAnsi" w:hAnsiTheme="minorHAnsi" w:cstheme="minorBidi"/>
          <w:b/>
        </w:rPr>
      </w:pPr>
      <w:r>
        <w:rPr>
          <w:rFonts w:asciiTheme="minorHAnsi" w:eastAsiaTheme="minorHAnsi" w:hAnsiTheme="minorHAnsi" w:cstheme="minorBidi"/>
          <w:b/>
        </w:rPr>
        <w:t>3.</w:t>
      </w:r>
      <w:r w:rsidR="004067BA" w:rsidRPr="009B6B41">
        <w:rPr>
          <w:rFonts w:asciiTheme="minorHAnsi" w:eastAsiaTheme="minorHAnsi" w:hAnsiTheme="minorHAnsi" w:cstheme="minorBidi"/>
          <w:b/>
        </w:rPr>
        <w:t>3 Financování udržitelnosti systémových aktivit OP VK</w:t>
      </w:r>
    </w:p>
    <w:p w14:paraId="3122CFBA" w14:textId="77777777" w:rsidR="00A833C3" w:rsidRPr="00327154" w:rsidRDefault="00A833C3" w:rsidP="00A833C3">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 xml:space="preserve">MŠMT </w:t>
      </w:r>
      <w:r w:rsidR="00DF7D86">
        <w:rPr>
          <w:rFonts w:asciiTheme="minorHAnsi" w:hAnsiTheme="minorHAnsi" w:cstheme="minorHAnsi"/>
          <w:b/>
          <w:i/>
        </w:rPr>
        <w:t xml:space="preserve">systematicky </w:t>
      </w:r>
      <w:r>
        <w:rPr>
          <w:rFonts w:asciiTheme="minorHAnsi" w:hAnsiTheme="minorHAnsi" w:cstheme="minorHAnsi"/>
          <w:b/>
          <w:i/>
        </w:rPr>
        <w:t>nesledovalo finanční nároky národních projektů na udržitelnost.</w:t>
      </w:r>
    </w:p>
    <w:p w14:paraId="1F87F328" w14:textId="77777777" w:rsidR="004067BA" w:rsidRPr="00E24FE0" w:rsidRDefault="00C15920" w:rsidP="004067BA">
      <w:pPr>
        <w:jc w:val="both"/>
        <w:rPr>
          <w:rFonts w:asciiTheme="minorHAnsi" w:eastAsiaTheme="minorHAnsi" w:hAnsiTheme="minorHAnsi" w:cstheme="minorHAnsi"/>
          <w:bCs/>
        </w:rPr>
      </w:pPr>
      <w:r>
        <w:rPr>
          <w:rFonts w:asciiTheme="minorHAnsi" w:eastAsiaTheme="minorHAnsi" w:hAnsiTheme="minorHAnsi" w:cstheme="minorHAnsi"/>
          <w:bCs/>
        </w:rPr>
        <w:t>NKÚ kontroloval</w:t>
      </w:r>
      <w:r w:rsidR="004067BA" w:rsidRPr="00E24FE0">
        <w:rPr>
          <w:rFonts w:asciiTheme="minorHAnsi" w:eastAsiaTheme="minorHAnsi" w:hAnsiTheme="minorHAnsi" w:cstheme="minorHAnsi"/>
          <w:bCs/>
        </w:rPr>
        <w:t xml:space="preserve">, jakým způsobem MŠMT přistupovalo během provádění OP VK k otázce financování udržitelnosti národních projektů. </w:t>
      </w:r>
    </w:p>
    <w:p w14:paraId="3D87FE2D" w14:textId="77777777" w:rsidR="004067BA" w:rsidRPr="00E24FE0" w:rsidRDefault="004067BA" w:rsidP="002F0CFD">
      <w:pPr>
        <w:numPr>
          <w:ilvl w:val="0"/>
          <w:numId w:val="25"/>
        </w:numPr>
        <w:spacing w:after="200"/>
        <w:ind w:left="284" w:hanging="284"/>
        <w:contextualSpacing/>
        <w:jc w:val="both"/>
        <w:rPr>
          <w:rFonts w:asciiTheme="minorHAnsi" w:hAnsiTheme="minorHAnsi" w:cstheme="minorHAnsi"/>
        </w:rPr>
      </w:pPr>
      <w:r w:rsidRPr="00E24FE0">
        <w:rPr>
          <w:rFonts w:asciiTheme="minorHAnsi" w:hAnsiTheme="minorHAnsi" w:cstheme="minorHAnsi"/>
        </w:rPr>
        <w:t>Nebylo možné ověřit, zda MŠMT už při přípravě OP VK posuzovalo problematiku financování udržitelnosti projektů, protože MŠMT nedohledalo žádné relevantní podklady svědčící o takovém posouzení.</w:t>
      </w:r>
    </w:p>
    <w:p w14:paraId="252EEA7A" w14:textId="3537D642" w:rsidR="004067BA" w:rsidRPr="00E24FE0" w:rsidRDefault="004067BA" w:rsidP="002F0CFD">
      <w:pPr>
        <w:numPr>
          <w:ilvl w:val="0"/>
          <w:numId w:val="25"/>
        </w:numPr>
        <w:spacing w:after="200"/>
        <w:ind w:left="284" w:hanging="284"/>
        <w:contextualSpacing/>
        <w:jc w:val="both"/>
        <w:rPr>
          <w:rFonts w:asciiTheme="minorHAnsi" w:hAnsiTheme="minorHAnsi" w:cstheme="minorHAnsi"/>
        </w:rPr>
      </w:pPr>
      <w:r w:rsidRPr="00E24FE0">
        <w:rPr>
          <w:rFonts w:asciiTheme="minorHAnsi" w:hAnsiTheme="minorHAnsi" w:cstheme="minorHAnsi"/>
        </w:rPr>
        <w:t xml:space="preserve">Kontrola NKÚ zjistila, že žadatelé měli </w:t>
      </w:r>
      <w:r w:rsidR="00FC0E5A" w:rsidRPr="00E24FE0">
        <w:rPr>
          <w:rFonts w:asciiTheme="minorHAnsi" w:hAnsiTheme="minorHAnsi" w:cstheme="minorHAnsi"/>
        </w:rPr>
        <w:t xml:space="preserve">povinnost uvést </w:t>
      </w:r>
      <w:r w:rsidRPr="00E24FE0">
        <w:rPr>
          <w:rFonts w:asciiTheme="minorHAnsi" w:hAnsiTheme="minorHAnsi" w:cstheme="minorHAnsi"/>
        </w:rPr>
        <w:t xml:space="preserve">v projektových žádostech informace o zajištění finanční udržitelnosti. Na kontrolovaném vzorku však bylo zjištěno, </w:t>
      </w:r>
      <w:r w:rsidRPr="00E24FE0">
        <w:rPr>
          <w:rFonts w:asciiTheme="minorHAnsi" w:hAnsiTheme="minorHAnsi" w:cstheme="minorHAnsi"/>
        </w:rPr>
        <w:lastRenderedPageBreak/>
        <w:t xml:space="preserve">že žadatelé tuto povinnost </w:t>
      </w:r>
      <w:r w:rsidR="00A833C3">
        <w:rPr>
          <w:rFonts w:asciiTheme="minorHAnsi" w:hAnsiTheme="minorHAnsi" w:cstheme="minorHAnsi"/>
        </w:rPr>
        <w:t>v některých případech</w:t>
      </w:r>
      <w:r w:rsidR="00A833C3" w:rsidRPr="00E24FE0">
        <w:rPr>
          <w:rFonts w:asciiTheme="minorHAnsi" w:hAnsiTheme="minorHAnsi" w:cstheme="minorHAnsi"/>
        </w:rPr>
        <w:t xml:space="preserve"> </w:t>
      </w:r>
      <w:r w:rsidRPr="00E24FE0">
        <w:rPr>
          <w:rFonts w:asciiTheme="minorHAnsi" w:hAnsiTheme="minorHAnsi" w:cstheme="minorHAnsi"/>
        </w:rPr>
        <w:t xml:space="preserve">nesplnili a </w:t>
      </w:r>
      <w:r w:rsidR="00510AE6">
        <w:rPr>
          <w:rFonts w:asciiTheme="minorHAnsi" w:hAnsiTheme="minorHAnsi" w:cstheme="minorHAnsi"/>
        </w:rPr>
        <w:t>ř</w:t>
      </w:r>
      <w:r w:rsidRPr="00E24FE0">
        <w:rPr>
          <w:rFonts w:asciiTheme="minorHAnsi" w:hAnsiTheme="minorHAnsi" w:cstheme="minorHAnsi"/>
        </w:rPr>
        <w:t>ídicí orgán tento nedostatek toleroval.</w:t>
      </w:r>
    </w:p>
    <w:p w14:paraId="13E613E7" w14:textId="04F525A5" w:rsidR="004067BA" w:rsidRDefault="004067BA" w:rsidP="002F0CFD">
      <w:pPr>
        <w:numPr>
          <w:ilvl w:val="0"/>
          <w:numId w:val="25"/>
        </w:numPr>
        <w:spacing w:after="120"/>
        <w:ind w:left="284" w:hanging="284"/>
        <w:jc w:val="both"/>
        <w:rPr>
          <w:rFonts w:asciiTheme="minorHAnsi" w:hAnsiTheme="minorHAnsi" w:cstheme="minorHAnsi"/>
        </w:rPr>
      </w:pPr>
      <w:r w:rsidRPr="00E24FE0">
        <w:rPr>
          <w:rFonts w:asciiTheme="minorHAnsi" w:hAnsiTheme="minorHAnsi" w:cstheme="minorHAnsi"/>
        </w:rPr>
        <w:t xml:space="preserve">MŠMT v průběhu realizace projektů a po jejich ukončení systematicky nesledovalo nároky na jejich finanční udržitelnost. Relevantní analýzy </w:t>
      </w:r>
      <w:r w:rsidR="00FC0E5A">
        <w:rPr>
          <w:rFonts w:asciiTheme="minorHAnsi" w:hAnsiTheme="minorHAnsi" w:cstheme="minorHAnsi"/>
        </w:rPr>
        <w:t>vy</w:t>
      </w:r>
      <w:r w:rsidRPr="00E24FE0">
        <w:rPr>
          <w:rFonts w:asciiTheme="minorHAnsi" w:hAnsiTheme="minorHAnsi" w:cstheme="minorHAnsi"/>
        </w:rPr>
        <w:t xml:space="preserve">pracovalo MŠMT pouze pro </w:t>
      </w:r>
      <w:r w:rsidR="00C01238">
        <w:rPr>
          <w:rFonts w:asciiTheme="minorHAnsi" w:hAnsiTheme="minorHAnsi" w:cstheme="minorHAnsi"/>
        </w:rPr>
        <w:t>24 </w:t>
      </w:r>
      <w:r w:rsidR="0008606F" w:rsidRPr="0008606F">
        <w:rPr>
          <w:rFonts w:asciiTheme="minorHAnsi" w:hAnsiTheme="minorHAnsi" w:cstheme="minorHAnsi"/>
        </w:rPr>
        <w:t>z 37 (tj. pro cca 65 %)</w:t>
      </w:r>
      <w:r w:rsidR="0008606F">
        <w:rPr>
          <w:rFonts w:asciiTheme="minorHAnsi" w:hAnsiTheme="minorHAnsi" w:cstheme="minorHAnsi"/>
        </w:rPr>
        <w:t xml:space="preserve"> </w:t>
      </w:r>
      <w:r w:rsidRPr="00E24FE0">
        <w:rPr>
          <w:rFonts w:asciiTheme="minorHAnsi" w:hAnsiTheme="minorHAnsi" w:cstheme="minorHAnsi"/>
        </w:rPr>
        <w:t>projektů v letech 2012 a 2013. V následujícím období již MŠMT analýzy ne</w:t>
      </w:r>
      <w:r w:rsidR="00FC0E5A">
        <w:rPr>
          <w:rFonts w:asciiTheme="minorHAnsi" w:hAnsiTheme="minorHAnsi" w:cstheme="minorHAnsi"/>
        </w:rPr>
        <w:t>vy</w:t>
      </w:r>
      <w:r w:rsidRPr="00E24FE0">
        <w:rPr>
          <w:rFonts w:asciiTheme="minorHAnsi" w:hAnsiTheme="minorHAnsi" w:cstheme="minorHAnsi"/>
        </w:rPr>
        <w:t xml:space="preserve">pracovalo, přestože u dříve posouzených projektů vyčíslilo náklady </w:t>
      </w:r>
      <w:r w:rsidR="00FC0E5A">
        <w:rPr>
          <w:rFonts w:asciiTheme="minorHAnsi" w:hAnsiTheme="minorHAnsi" w:cstheme="minorHAnsi"/>
        </w:rPr>
        <w:t>v souvislosti s plněním podmínky</w:t>
      </w:r>
      <w:r w:rsidRPr="00E24FE0">
        <w:rPr>
          <w:rFonts w:asciiTheme="minorHAnsi" w:hAnsiTheme="minorHAnsi" w:cstheme="minorHAnsi"/>
        </w:rPr>
        <w:t xml:space="preserve"> udržitelnost</w:t>
      </w:r>
      <w:r w:rsidR="00FC0E5A">
        <w:rPr>
          <w:rFonts w:asciiTheme="minorHAnsi" w:hAnsiTheme="minorHAnsi" w:cstheme="minorHAnsi"/>
        </w:rPr>
        <w:t>i</w:t>
      </w:r>
      <w:r w:rsidRPr="00E24FE0">
        <w:rPr>
          <w:rFonts w:asciiTheme="minorHAnsi" w:hAnsiTheme="minorHAnsi" w:cstheme="minorHAnsi"/>
        </w:rPr>
        <w:t xml:space="preserve"> vyplývající přímo z pro</w:t>
      </w:r>
      <w:r w:rsidR="00824E07">
        <w:rPr>
          <w:rFonts w:asciiTheme="minorHAnsi" w:hAnsiTheme="minorHAnsi" w:cstheme="minorHAnsi"/>
        </w:rPr>
        <w:t>jektů na více než 400 mil. Kč a </w:t>
      </w:r>
      <w:r w:rsidRPr="00E24FE0">
        <w:rPr>
          <w:rFonts w:asciiTheme="minorHAnsi" w:hAnsiTheme="minorHAnsi" w:cstheme="minorHAnsi"/>
        </w:rPr>
        <w:t>náklady na související činnost</w:t>
      </w:r>
      <w:r w:rsidRPr="00E24FE0">
        <w:rPr>
          <w:rFonts w:asciiTheme="minorHAnsi" w:hAnsiTheme="minorHAnsi" w:cstheme="minorHAnsi"/>
          <w:vertAlign w:val="superscript"/>
        </w:rPr>
        <w:footnoteReference w:id="17"/>
      </w:r>
      <w:r w:rsidRPr="00E24FE0">
        <w:rPr>
          <w:rFonts w:asciiTheme="minorHAnsi" w:hAnsiTheme="minorHAnsi" w:cstheme="minorHAnsi"/>
        </w:rPr>
        <w:t xml:space="preserve"> na více než 3,8 mld. Kč.  </w:t>
      </w:r>
    </w:p>
    <w:tbl>
      <w:tblPr>
        <w:tblStyle w:val="Mkatabulky"/>
        <w:tblW w:w="8221" w:type="dxa"/>
        <w:tblInd w:w="534"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shd w:val="clear" w:color="auto" w:fill="F5F5F5"/>
        <w:tblCellMar>
          <w:top w:w="57" w:type="dxa"/>
          <w:bottom w:w="57" w:type="dxa"/>
        </w:tblCellMar>
        <w:tblLook w:val="04A0" w:firstRow="1" w:lastRow="0" w:firstColumn="1" w:lastColumn="0" w:noHBand="0" w:noVBand="1"/>
      </w:tblPr>
      <w:tblGrid>
        <w:gridCol w:w="8221"/>
      </w:tblGrid>
      <w:tr w:rsidR="00A833C3" w14:paraId="3B69BE79" w14:textId="77777777" w:rsidTr="00FA6E4C">
        <w:tc>
          <w:tcPr>
            <w:tcW w:w="8221" w:type="dxa"/>
            <w:shd w:val="clear" w:color="auto" w:fill="F5F5F5"/>
          </w:tcPr>
          <w:p w14:paraId="2C2073CB" w14:textId="77777777" w:rsidR="00A833C3" w:rsidRPr="00737FA6" w:rsidRDefault="00A833C3" w:rsidP="007A1AD3">
            <w:pPr>
              <w:spacing w:after="120"/>
              <w:rPr>
                <w:rFonts w:asciiTheme="minorHAnsi" w:hAnsiTheme="minorHAnsi" w:cstheme="minorHAnsi"/>
                <w:b/>
                <w:sz w:val="20"/>
                <w:szCs w:val="20"/>
              </w:rPr>
            </w:pPr>
            <w:r>
              <w:rPr>
                <w:rFonts w:asciiTheme="minorHAnsi" w:hAnsiTheme="minorHAnsi" w:cstheme="minorHAnsi"/>
                <w:b/>
                <w:sz w:val="20"/>
                <w:szCs w:val="20"/>
              </w:rPr>
              <w:t>Opatření MŠMT k udržitelnosti národních projektů</w:t>
            </w:r>
          </w:p>
          <w:p w14:paraId="4B0DC419" w14:textId="0421245B" w:rsidR="00A833C3" w:rsidRDefault="00A833C3" w:rsidP="00A833C3">
            <w:pPr>
              <w:spacing w:after="120"/>
              <w:jc w:val="both"/>
              <w:rPr>
                <w:rFonts w:asciiTheme="minorHAnsi" w:hAnsiTheme="minorHAnsi" w:cstheme="minorHAnsi"/>
                <w:sz w:val="20"/>
                <w:szCs w:val="20"/>
              </w:rPr>
            </w:pPr>
            <w:r w:rsidRPr="00A833C3">
              <w:rPr>
                <w:rFonts w:asciiTheme="minorHAnsi" w:hAnsiTheme="minorHAnsi" w:cstheme="minorHAnsi"/>
                <w:sz w:val="20"/>
                <w:szCs w:val="20"/>
              </w:rPr>
              <w:t>Na rizika související s</w:t>
            </w:r>
            <w:r w:rsidR="00FD2419">
              <w:rPr>
                <w:rFonts w:asciiTheme="minorHAnsi" w:hAnsiTheme="minorHAnsi" w:cstheme="minorHAnsi"/>
                <w:sz w:val="20"/>
                <w:szCs w:val="20"/>
              </w:rPr>
              <w:t> u</w:t>
            </w:r>
            <w:r w:rsidRPr="00A833C3">
              <w:rPr>
                <w:rFonts w:asciiTheme="minorHAnsi" w:hAnsiTheme="minorHAnsi" w:cstheme="minorHAnsi"/>
                <w:sz w:val="20"/>
                <w:szCs w:val="20"/>
              </w:rPr>
              <w:t>puštěním</w:t>
            </w:r>
            <w:r w:rsidR="00FD2419">
              <w:rPr>
                <w:rFonts w:asciiTheme="minorHAnsi" w:hAnsiTheme="minorHAnsi" w:cstheme="minorHAnsi"/>
                <w:sz w:val="20"/>
                <w:szCs w:val="20"/>
              </w:rPr>
              <w:t xml:space="preserve"> od</w:t>
            </w:r>
            <w:r w:rsidRPr="00A833C3">
              <w:rPr>
                <w:rFonts w:asciiTheme="minorHAnsi" w:hAnsiTheme="minorHAnsi" w:cstheme="minorHAnsi"/>
                <w:sz w:val="20"/>
                <w:szCs w:val="20"/>
              </w:rPr>
              <w:t xml:space="preserve"> požadavku na udržitelnost a s financováním udržitelnosti národních projektů upozornil také </w:t>
            </w:r>
            <w:r>
              <w:rPr>
                <w:rFonts w:asciiTheme="minorHAnsi" w:hAnsiTheme="minorHAnsi" w:cstheme="minorHAnsi"/>
                <w:sz w:val="20"/>
                <w:szCs w:val="20"/>
              </w:rPr>
              <w:t>ř</w:t>
            </w:r>
            <w:r w:rsidRPr="00A833C3">
              <w:rPr>
                <w:rFonts w:asciiTheme="minorHAnsi" w:hAnsiTheme="minorHAnsi" w:cstheme="minorHAnsi"/>
                <w:sz w:val="20"/>
                <w:szCs w:val="20"/>
              </w:rPr>
              <w:t xml:space="preserve">ídicí orgán </w:t>
            </w:r>
            <w:r>
              <w:rPr>
                <w:rFonts w:asciiTheme="minorHAnsi" w:hAnsiTheme="minorHAnsi" w:cstheme="minorHAnsi"/>
                <w:sz w:val="20"/>
                <w:szCs w:val="20"/>
              </w:rPr>
              <w:t xml:space="preserve">OP VK </w:t>
            </w:r>
            <w:r w:rsidRPr="00A833C3">
              <w:rPr>
                <w:rFonts w:asciiTheme="minorHAnsi" w:hAnsiTheme="minorHAnsi" w:cstheme="minorHAnsi"/>
                <w:sz w:val="20"/>
                <w:szCs w:val="20"/>
              </w:rPr>
              <w:t>v materiálu pro poradu vedení MŠMT předloženém v srpnu 2015. Materiál hodnotí riziko finanční udržitelnosti jako nejzávažnější s tím, že může vést až k sankcím, jejichž dopad by mohl být vyšší než samotné nároky na udržitelnost.</w:t>
            </w:r>
          </w:p>
          <w:p w14:paraId="6A28D469" w14:textId="6B9777E4" w:rsidR="00A833C3" w:rsidRPr="00AE1F83" w:rsidRDefault="00A833C3" w:rsidP="00FC0E5A">
            <w:pPr>
              <w:contextualSpacing/>
              <w:jc w:val="both"/>
              <w:rPr>
                <w:rFonts w:asciiTheme="minorHAnsi" w:hAnsiTheme="minorHAnsi" w:cstheme="minorHAnsi"/>
                <w:sz w:val="20"/>
                <w:szCs w:val="20"/>
              </w:rPr>
            </w:pPr>
            <w:r w:rsidRPr="00A833C3">
              <w:rPr>
                <w:rFonts w:asciiTheme="minorHAnsi" w:hAnsiTheme="minorHAnsi" w:cstheme="minorHAnsi"/>
                <w:sz w:val="20"/>
                <w:szCs w:val="20"/>
              </w:rPr>
              <w:t xml:space="preserve">Vedení MŠMT přijalo usnesení, na jehož základě měli do konce září 2015 příslušní vedoucí zaměstnanci </w:t>
            </w:r>
            <w:r>
              <w:rPr>
                <w:rFonts w:asciiTheme="minorHAnsi" w:hAnsiTheme="minorHAnsi" w:cstheme="minorHAnsi"/>
                <w:sz w:val="20"/>
                <w:szCs w:val="20"/>
              </w:rPr>
              <w:t xml:space="preserve">(zastupující MŠMT v roli příjemce podpory) </w:t>
            </w:r>
            <w:r w:rsidRPr="00A833C3">
              <w:rPr>
                <w:rFonts w:asciiTheme="minorHAnsi" w:hAnsiTheme="minorHAnsi" w:cstheme="minorHAnsi"/>
                <w:sz w:val="20"/>
                <w:szCs w:val="20"/>
              </w:rPr>
              <w:t xml:space="preserve">informovat o zajištění národních projektů v jejich gesci. Jedním z doporučených opatření je </w:t>
            </w:r>
            <w:r w:rsidR="00FD2419">
              <w:rPr>
                <w:rFonts w:asciiTheme="minorHAnsi" w:hAnsiTheme="minorHAnsi" w:cstheme="minorHAnsi"/>
                <w:sz w:val="20"/>
                <w:szCs w:val="20"/>
              </w:rPr>
              <w:t xml:space="preserve">požadavek </w:t>
            </w:r>
            <w:r w:rsidRPr="00A833C3">
              <w:rPr>
                <w:rFonts w:asciiTheme="minorHAnsi" w:hAnsiTheme="minorHAnsi" w:cstheme="minorHAnsi"/>
                <w:sz w:val="20"/>
                <w:szCs w:val="20"/>
              </w:rPr>
              <w:t xml:space="preserve">věnovat pozornost i projektům, které nemají udržitelnost stanovenou </w:t>
            </w:r>
            <w:r w:rsidR="00FC0E5A">
              <w:rPr>
                <w:rFonts w:asciiTheme="minorHAnsi" w:hAnsiTheme="minorHAnsi" w:cstheme="minorHAnsi"/>
                <w:sz w:val="20"/>
                <w:szCs w:val="20"/>
              </w:rPr>
              <w:t xml:space="preserve">ve </w:t>
            </w:r>
            <w:r w:rsidRPr="00A833C3">
              <w:rPr>
                <w:rFonts w:asciiTheme="minorHAnsi" w:hAnsiTheme="minorHAnsi" w:cstheme="minorHAnsi"/>
                <w:sz w:val="20"/>
                <w:szCs w:val="20"/>
              </w:rPr>
              <w:t>výzv</w:t>
            </w:r>
            <w:r w:rsidR="00FC0E5A">
              <w:rPr>
                <w:rFonts w:asciiTheme="minorHAnsi" w:hAnsiTheme="minorHAnsi" w:cstheme="minorHAnsi"/>
                <w:sz w:val="20"/>
                <w:szCs w:val="20"/>
              </w:rPr>
              <w:t>ě</w:t>
            </w:r>
            <w:r w:rsidRPr="00A833C3">
              <w:rPr>
                <w:rFonts w:asciiTheme="minorHAnsi" w:hAnsiTheme="minorHAnsi" w:cstheme="minorHAnsi"/>
                <w:sz w:val="20"/>
                <w:szCs w:val="20"/>
              </w:rPr>
              <w:t>, neboť by mohla být napadena hospodárnost finančních prostředků určených na jejich realizaci.</w:t>
            </w:r>
          </w:p>
        </w:tc>
      </w:tr>
    </w:tbl>
    <w:p w14:paraId="62BD0B3C" w14:textId="77777777" w:rsidR="00A833C3" w:rsidRPr="00E24FE0" w:rsidRDefault="00A833C3" w:rsidP="00A833C3">
      <w:pPr>
        <w:jc w:val="both"/>
        <w:rPr>
          <w:rFonts w:asciiTheme="minorHAnsi" w:hAnsiTheme="minorHAnsi" w:cstheme="minorHAnsi"/>
          <w:color w:val="000000"/>
        </w:rPr>
      </w:pPr>
    </w:p>
    <w:p w14:paraId="0964F07D" w14:textId="77777777" w:rsidR="004067BA" w:rsidRPr="009B6B41" w:rsidRDefault="004065B9" w:rsidP="00D90027">
      <w:pPr>
        <w:spacing w:after="120"/>
        <w:jc w:val="both"/>
        <w:rPr>
          <w:rFonts w:asciiTheme="minorHAnsi" w:eastAsiaTheme="minorHAnsi" w:hAnsiTheme="minorHAnsi" w:cstheme="minorBidi"/>
          <w:b/>
        </w:rPr>
      </w:pPr>
      <w:r>
        <w:rPr>
          <w:rFonts w:asciiTheme="minorHAnsi" w:eastAsiaTheme="minorHAnsi" w:hAnsiTheme="minorHAnsi" w:cstheme="minorBidi"/>
          <w:b/>
        </w:rPr>
        <w:t>3.4</w:t>
      </w:r>
      <w:r w:rsidR="004067BA" w:rsidRPr="009B6B41">
        <w:rPr>
          <w:rFonts w:asciiTheme="minorHAnsi" w:eastAsiaTheme="minorHAnsi" w:hAnsiTheme="minorHAnsi" w:cstheme="minorBidi"/>
          <w:b/>
        </w:rPr>
        <w:t xml:space="preserve"> Kontrola na vzorku projektů</w:t>
      </w:r>
    </w:p>
    <w:p w14:paraId="006AB046" w14:textId="0F2C6BBF" w:rsidR="004067BA" w:rsidRPr="00E24FE0" w:rsidRDefault="004067BA" w:rsidP="004067BA">
      <w:pPr>
        <w:jc w:val="both"/>
        <w:rPr>
          <w:rFonts w:asciiTheme="minorHAnsi" w:eastAsiaTheme="minorHAnsi" w:hAnsiTheme="minorHAnsi" w:cstheme="minorBidi"/>
        </w:rPr>
      </w:pPr>
      <w:r w:rsidRPr="00E24FE0">
        <w:rPr>
          <w:rFonts w:asciiTheme="minorHAnsi" w:eastAsiaTheme="minorHAnsi" w:hAnsiTheme="minorHAnsi" w:cstheme="minorBidi"/>
        </w:rPr>
        <w:t>Na vzorku pěti národních projektů</w:t>
      </w:r>
      <w:r w:rsidR="00DF51CF">
        <w:rPr>
          <w:rFonts w:asciiTheme="minorHAnsi" w:eastAsiaTheme="minorHAnsi" w:hAnsiTheme="minorHAnsi" w:cstheme="minorBidi"/>
        </w:rPr>
        <w:t xml:space="preserve"> (</w:t>
      </w:r>
      <w:r w:rsidR="00FD2419">
        <w:rPr>
          <w:rFonts w:asciiTheme="minorHAnsi" w:eastAsiaTheme="minorHAnsi" w:hAnsiTheme="minorHAnsi" w:cstheme="minorBidi"/>
        </w:rPr>
        <w:t xml:space="preserve">viz </w:t>
      </w:r>
      <w:r w:rsidR="00DF51CF">
        <w:rPr>
          <w:rFonts w:asciiTheme="minorHAnsi" w:eastAsiaTheme="minorHAnsi" w:hAnsiTheme="minorHAnsi" w:cstheme="minorBidi"/>
        </w:rPr>
        <w:t>příloha č. 1)</w:t>
      </w:r>
      <w:r w:rsidRPr="00E24FE0">
        <w:rPr>
          <w:rFonts w:asciiTheme="minorHAnsi" w:eastAsiaTheme="minorHAnsi" w:hAnsiTheme="minorHAnsi" w:cstheme="minorBidi"/>
        </w:rPr>
        <w:t xml:space="preserve"> NKÚ ověřil využití jejich výstupů v době udržitelnosti a</w:t>
      </w:r>
      <w:r w:rsidR="00FC0E5A">
        <w:rPr>
          <w:rFonts w:asciiTheme="minorHAnsi" w:eastAsiaTheme="minorHAnsi" w:hAnsiTheme="minorHAnsi" w:cstheme="minorBidi"/>
        </w:rPr>
        <w:t> prověřil také</w:t>
      </w:r>
      <w:r w:rsidRPr="00E24FE0">
        <w:rPr>
          <w:rFonts w:asciiTheme="minorHAnsi" w:eastAsiaTheme="minorHAnsi" w:hAnsiTheme="minorHAnsi" w:cstheme="minorBidi"/>
        </w:rPr>
        <w:t xml:space="preserve"> úkony</w:t>
      </w:r>
      <w:r w:rsidR="00FC0E5A">
        <w:rPr>
          <w:rFonts w:asciiTheme="minorHAnsi" w:eastAsiaTheme="minorHAnsi" w:hAnsiTheme="minorHAnsi" w:cstheme="minorBidi"/>
        </w:rPr>
        <w:t>, které byly prováděny</w:t>
      </w:r>
      <w:r w:rsidRPr="00E24FE0">
        <w:rPr>
          <w:rFonts w:asciiTheme="minorHAnsi" w:eastAsiaTheme="minorHAnsi" w:hAnsiTheme="minorHAnsi" w:cstheme="minorBidi"/>
        </w:rPr>
        <w:t xml:space="preserve"> v době před a v průběhu </w:t>
      </w:r>
      <w:r w:rsidR="00FC0E5A">
        <w:rPr>
          <w:rFonts w:asciiTheme="minorHAnsi" w:eastAsiaTheme="minorHAnsi" w:hAnsiTheme="minorHAnsi" w:cstheme="minorBidi"/>
        </w:rPr>
        <w:t>realizace</w:t>
      </w:r>
      <w:r w:rsidRPr="00E24FE0">
        <w:rPr>
          <w:rFonts w:asciiTheme="minorHAnsi" w:eastAsiaTheme="minorHAnsi" w:hAnsiTheme="minorHAnsi" w:cstheme="minorBidi"/>
        </w:rPr>
        <w:t xml:space="preserve"> projektů, které </w:t>
      </w:r>
      <w:r w:rsidR="00FC0E5A" w:rsidRPr="00E24FE0">
        <w:rPr>
          <w:rFonts w:asciiTheme="minorHAnsi" w:eastAsiaTheme="minorHAnsi" w:hAnsiTheme="minorHAnsi" w:cstheme="minorBidi"/>
        </w:rPr>
        <w:t xml:space="preserve">mají vliv </w:t>
      </w:r>
      <w:r w:rsidRPr="00E24FE0">
        <w:rPr>
          <w:rFonts w:asciiTheme="minorHAnsi" w:eastAsiaTheme="minorHAnsi" w:hAnsiTheme="minorHAnsi" w:cstheme="minorBidi"/>
        </w:rPr>
        <w:t>na udržitelnost. Příjemcem podpory bylo u všech kontrolovaných projektů přímo MŠMT. Nedostatky byly zjištěny u tří dále uvedených projektů.</w:t>
      </w:r>
    </w:p>
    <w:p w14:paraId="17F91E23" w14:textId="77777777" w:rsidR="004067BA" w:rsidRPr="007F3A9D" w:rsidRDefault="004067BA" w:rsidP="002F0CFD">
      <w:pPr>
        <w:spacing w:before="120" w:after="120"/>
        <w:jc w:val="both"/>
        <w:rPr>
          <w:rFonts w:asciiTheme="minorHAnsi" w:eastAsiaTheme="minorHAnsi" w:hAnsiTheme="minorHAnsi" w:cstheme="minorBidi"/>
          <w:b/>
        </w:rPr>
      </w:pPr>
      <w:r w:rsidRPr="007F3A9D">
        <w:rPr>
          <w:rFonts w:asciiTheme="minorHAnsi" w:eastAsiaTheme="minorHAnsi" w:hAnsiTheme="minorHAnsi" w:cstheme="minorBidi"/>
          <w:b/>
        </w:rPr>
        <w:t xml:space="preserve">Národní projekt </w:t>
      </w:r>
      <w:r w:rsidRPr="007F3A9D">
        <w:rPr>
          <w:rFonts w:asciiTheme="minorHAnsi" w:eastAsiaTheme="minorHAnsi" w:hAnsiTheme="minorHAnsi" w:cstheme="minorBidi"/>
          <w:b/>
          <w:i/>
        </w:rPr>
        <w:t>Centra podpory inkluzivního vzdělávání</w:t>
      </w:r>
      <w:r w:rsidRPr="007F3A9D">
        <w:rPr>
          <w:rFonts w:asciiTheme="minorHAnsi" w:eastAsiaTheme="minorHAnsi" w:hAnsiTheme="minorHAnsi" w:cstheme="minorBidi"/>
          <w:b/>
        </w:rPr>
        <w:t xml:space="preserve"> (dále jen „projekt CPIV“)</w:t>
      </w:r>
    </w:p>
    <w:p w14:paraId="4B05DABD" w14:textId="254A1C50" w:rsidR="00CE6D09" w:rsidRDefault="004067BA" w:rsidP="003A71A3">
      <w:pPr>
        <w:spacing w:after="120"/>
        <w:jc w:val="both"/>
        <w:rPr>
          <w:rFonts w:asciiTheme="minorHAnsi" w:eastAsiaTheme="minorHAnsi" w:hAnsiTheme="minorHAnsi" w:cstheme="minorBidi"/>
        </w:rPr>
      </w:pPr>
      <w:r w:rsidRPr="00E24FE0">
        <w:rPr>
          <w:rFonts w:asciiTheme="minorHAnsi" w:eastAsiaTheme="minorHAnsi" w:hAnsiTheme="minorHAnsi" w:cstheme="minorBidi"/>
        </w:rPr>
        <w:t>Projekt CPIV, na který MŠMT vynaložilo více než 133 m</w:t>
      </w:r>
      <w:r w:rsidR="001A219D">
        <w:rPr>
          <w:rFonts w:asciiTheme="minorHAnsi" w:eastAsiaTheme="minorHAnsi" w:hAnsiTheme="minorHAnsi" w:cstheme="minorBidi"/>
        </w:rPr>
        <w:t>il. Kč, se zaměřil na ověření a </w:t>
      </w:r>
      <w:r w:rsidRPr="00E24FE0">
        <w:rPr>
          <w:rFonts w:asciiTheme="minorHAnsi" w:eastAsiaTheme="minorHAnsi" w:hAnsiTheme="minorHAnsi" w:cstheme="minorBidi"/>
        </w:rPr>
        <w:t>nastavení podmínek inkluzivního vzdělávání</w:t>
      </w:r>
      <w:r w:rsidRPr="00E24FE0">
        <w:rPr>
          <w:rFonts w:asciiTheme="minorHAnsi" w:eastAsiaTheme="minorHAnsi" w:hAnsiTheme="minorHAnsi" w:cstheme="minorBidi"/>
          <w:vertAlign w:val="superscript"/>
        </w:rPr>
        <w:footnoteReference w:id="18"/>
      </w:r>
      <w:r w:rsidRPr="00E24FE0">
        <w:rPr>
          <w:rFonts w:asciiTheme="minorHAnsi" w:eastAsiaTheme="minorHAnsi" w:hAnsiTheme="minorHAnsi" w:cstheme="minorBidi"/>
        </w:rPr>
        <w:t xml:space="preserve"> na základních školách. Jeho výstupem byly metodické materiály, zejména </w:t>
      </w:r>
      <w:r w:rsidRPr="007F3A9D">
        <w:rPr>
          <w:rFonts w:asciiTheme="minorHAnsi" w:eastAsiaTheme="minorHAnsi" w:hAnsiTheme="minorHAnsi" w:cstheme="minorBidi"/>
          <w:i/>
        </w:rPr>
        <w:t>Metodika školního podpůrného programu</w:t>
      </w:r>
      <w:r w:rsidRPr="00E24FE0">
        <w:rPr>
          <w:rFonts w:asciiTheme="minorHAnsi" w:eastAsiaTheme="minorHAnsi" w:hAnsiTheme="minorHAnsi" w:cstheme="minorBidi"/>
          <w:vertAlign w:val="superscript"/>
        </w:rPr>
        <w:footnoteReference w:id="19"/>
      </w:r>
      <w:r w:rsidRPr="00E24FE0">
        <w:rPr>
          <w:rFonts w:asciiTheme="minorHAnsi" w:eastAsiaTheme="minorHAnsi" w:hAnsiTheme="minorHAnsi" w:cstheme="minorBidi"/>
        </w:rPr>
        <w:t xml:space="preserve"> (dále jen „</w:t>
      </w:r>
      <w:proofErr w:type="spellStart"/>
      <w:r w:rsidRPr="00E24FE0">
        <w:rPr>
          <w:rFonts w:asciiTheme="minorHAnsi" w:eastAsiaTheme="minorHAnsi" w:hAnsiTheme="minorHAnsi" w:cstheme="minorBidi"/>
        </w:rPr>
        <w:t>Špp</w:t>
      </w:r>
      <w:proofErr w:type="spellEnd"/>
      <w:r w:rsidRPr="00E24FE0">
        <w:rPr>
          <w:rFonts w:asciiTheme="minorHAnsi" w:eastAsiaTheme="minorHAnsi" w:hAnsiTheme="minorHAnsi" w:cstheme="minorBidi"/>
        </w:rPr>
        <w:t xml:space="preserve">“), analytické materiály (např. </w:t>
      </w:r>
      <w:r w:rsidR="00FD2419">
        <w:rPr>
          <w:rFonts w:asciiTheme="minorHAnsi" w:eastAsiaTheme="minorHAnsi" w:hAnsiTheme="minorHAnsi" w:cstheme="minorBidi"/>
        </w:rPr>
        <w:t>z</w:t>
      </w:r>
      <w:r w:rsidRPr="00E24FE0">
        <w:rPr>
          <w:rFonts w:asciiTheme="minorHAnsi" w:eastAsiaTheme="minorHAnsi" w:hAnsiTheme="minorHAnsi" w:cstheme="minorBidi"/>
        </w:rPr>
        <w:t xml:space="preserve">právy o stavu inkluzivního vzdělávání) a podpora vzdělávacích aktivit (kurz </w:t>
      </w:r>
      <w:r w:rsidRPr="007F3A9D">
        <w:rPr>
          <w:rFonts w:asciiTheme="minorHAnsi" w:eastAsiaTheme="minorHAnsi" w:hAnsiTheme="minorHAnsi" w:cstheme="minorBidi"/>
          <w:i/>
        </w:rPr>
        <w:t>Školní podpůrný program a jeho tvorba</w:t>
      </w:r>
      <w:r w:rsidRPr="00E24FE0">
        <w:rPr>
          <w:rFonts w:asciiTheme="minorHAnsi" w:eastAsiaTheme="minorHAnsi" w:hAnsiTheme="minorHAnsi" w:cstheme="minorBidi"/>
        </w:rPr>
        <w:t>). Po celé ČR vzniklo devět center, která poskytovala školám metodickou podporu</w:t>
      </w:r>
      <w:r w:rsidR="00FC0E5A">
        <w:rPr>
          <w:rFonts w:asciiTheme="minorHAnsi" w:eastAsiaTheme="minorHAnsi" w:hAnsiTheme="minorHAnsi" w:cstheme="minorBidi"/>
        </w:rPr>
        <w:t xml:space="preserve"> v oblasti </w:t>
      </w:r>
      <w:r w:rsidR="00FC0E5A" w:rsidRPr="00E24FE0">
        <w:rPr>
          <w:rFonts w:asciiTheme="minorHAnsi" w:eastAsiaTheme="minorHAnsi" w:hAnsiTheme="minorHAnsi" w:cstheme="minorBidi"/>
        </w:rPr>
        <w:t>podpory inkluzivního vzdělávání</w:t>
      </w:r>
      <w:r w:rsidRPr="00E24FE0">
        <w:rPr>
          <w:rFonts w:asciiTheme="minorHAnsi" w:eastAsiaTheme="minorHAnsi" w:hAnsiTheme="minorHAnsi" w:cstheme="minorBidi"/>
        </w:rPr>
        <w:t>. Udržitelnost projektu CPIV měla být zajištěna vzniklými metodikami a podpořena akreditovaným vzdělávacím kurzem.</w:t>
      </w:r>
    </w:p>
    <w:p w14:paraId="3AA56894" w14:textId="77777777" w:rsidR="00CE6D09" w:rsidRPr="00327154" w:rsidRDefault="00CE6D09" w:rsidP="003A71A3">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 xml:space="preserve">Výstupem projektu CPIV byly také metodické materiály. MŠMT nemá informace, jestli školy metodiky používají. O vytvořený vzdělávací kurz </w:t>
      </w:r>
      <w:r w:rsidR="003A71A3">
        <w:rPr>
          <w:rFonts w:asciiTheme="minorHAnsi" w:hAnsiTheme="minorHAnsi" w:cstheme="minorHAnsi"/>
          <w:b/>
          <w:i/>
        </w:rPr>
        <w:t>neměl</w:t>
      </w:r>
      <w:r>
        <w:rPr>
          <w:rFonts w:asciiTheme="minorHAnsi" w:hAnsiTheme="minorHAnsi" w:cstheme="minorHAnsi"/>
          <w:b/>
          <w:i/>
        </w:rPr>
        <w:t xml:space="preserve"> nikdo zájem.</w:t>
      </w:r>
    </w:p>
    <w:p w14:paraId="76A9C4BD" w14:textId="01AD6DEF" w:rsidR="004067BA" w:rsidRPr="00E24FE0" w:rsidRDefault="004067BA" w:rsidP="002F0CFD">
      <w:pPr>
        <w:numPr>
          <w:ilvl w:val="0"/>
          <w:numId w:val="26"/>
        </w:numPr>
        <w:spacing w:after="200"/>
        <w:ind w:left="284" w:hanging="284"/>
        <w:contextualSpacing/>
        <w:jc w:val="both"/>
        <w:rPr>
          <w:rFonts w:asciiTheme="minorHAnsi" w:hAnsiTheme="minorHAnsi" w:cstheme="minorHAnsi"/>
        </w:rPr>
      </w:pPr>
      <w:r w:rsidRPr="00E24FE0">
        <w:rPr>
          <w:rFonts w:asciiTheme="minorHAnsi" w:hAnsiTheme="minorHAnsi" w:cstheme="minorHAnsi"/>
        </w:rPr>
        <w:t>NKÚ zjistil, že zřízená centra po ukončení realizace</w:t>
      </w:r>
      <w:r w:rsidR="00C01238">
        <w:rPr>
          <w:rFonts w:asciiTheme="minorHAnsi" w:hAnsiTheme="minorHAnsi" w:cstheme="minorHAnsi"/>
        </w:rPr>
        <w:t xml:space="preserve"> projektu bez náhrady zanikla</w:t>
      </w:r>
      <w:r w:rsidR="00FD2419">
        <w:rPr>
          <w:rFonts w:asciiTheme="minorHAnsi" w:hAnsiTheme="minorHAnsi" w:cstheme="minorHAnsi"/>
        </w:rPr>
        <w:t>,</w:t>
      </w:r>
      <w:r w:rsidR="00FC0E5A">
        <w:rPr>
          <w:rFonts w:asciiTheme="minorHAnsi" w:hAnsiTheme="minorHAnsi" w:cstheme="minorHAnsi"/>
        </w:rPr>
        <w:t xml:space="preserve"> takže</w:t>
      </w:r>
      <w:r w:rsidR="00C01238">
        <w:rPr>
          <w:rFonts w:asciiTheme="minorHAnsi" w:hAnsiTheme="minorHAnsi" w:cstheme="minorHAnsi"/>
        </w:rPr>
        <w:t xml:space="preserve"> </w:t>
      </w:r>
      <w:r w:rsidRPr="00E24FE0">
        <w:rPr>
          <w:rFonts w:asciiTheme="minorHAnsi" w:hAnsiTheme="minorHAnsi" w:cstheme="minorHAnsi"/>
        </w:rPr>
        <w:t>udržitelnost nemohla být podpořena aktivitami na regionální úrovni.</w:t>
      </w:r>
    </w:p>
    <w:p w14:paraId="69ED71BB" w14:textId="77777777" w:rsidR="004067BA" w:rsidRPr="00E24FE0" w:rsidRDefault="004067BA" w:rsidP="002F0CFD">
      <w:pPr>
        <w:numPr>
          <w:ilvl w:val="0"/>
          <w:numId w:val="26"/>
        </w:numPr>
        <w:spacing w:after="200"/>
        <w:ind w:left="284" w:hanging="284"/>
        <w:contextualSpacing/>
        <w:jc w:val="both"/>
        <w:rPr>
          <w:rFonts w:asciiTheme="minorHAnsi" w:hAnsiTheme="minorHAnsi" w:cstheme="minorHAnsi"/>
        </w:rPr>
      </w:pPr>
      <w:r w:rsidRPr="00E24FE0">
        <w:rPr>
          <w:rFonts w:asciiTheme="minorHAnsi" w:hAnsiTheme="minorHAnsi" w:cstheme="minorHAnsi"/>
        </w:rPr>
        <w:t xml:space="preserve">Projekt CPIV pomohl se vznikem </w:t>
      </w:r>
      <w:proofErr w:type="spellStart"/>
      <w:r w:rsidRPr="00E24FE0">
        <w:rPr>
          <w:rFonts w:asciiTheme="minorHAnsi" w:hAnsiTheme="minorHAnsi" w:cstheme="minorHAnsi"/>
        </w:rPr>
        <w:t>Špp</w:t>
      </w:r>
      <w:proofErr w:type="spellEnd"/>
      <w:r w:rsidRPr="00E24FE0">
        <w:rPr>
          <w:rFonts w:asciiTheme="minorHAnsi" w:hAnsiTheme="minorHAnsi" w:cstheme="minorHAnsi"/>
        </w:rPr>
        <w:t xml:space="preserve"> na cca 9 % základních škol. MŠMT nijak nesleduje, kolik dalších škol si vytvořilo </w:t>
      </w:r>
      <w:proofErr w:type="spellStart"/>
      <w:r w:rsidRPr="00E24FE0">
        <w:rPr>
          <w:rFonts w:asciiTheme="minorHAnsi" w:hAnsiTheme="minorHAnsi" w:cstheme="minorHAnsi"/>
        </w:rPr>
        <w:t>Špp</w:t>
      </w:r>
      <w:proofErr w:type="spellEnd"/>
      <w:r w:rsidRPr="00E24FE0">
        <w:rPr>
          <w:rFonts w:asciiTheme="minorHAnsi" w:hAnsiTheme="minorHAnsi" w:cstheme="minorHAnsi"/>
        </w:rPr>
        <w:t xml:space="preserve"> podle zpracované metodiky. Na webových stránkách </w:t>
      </w:r>
      <w:r w:rsidRPr="00E24FE0">
        <w:rPr>
          <w:rFonts w:asciiTheme="minorHAnsi" w:hAnsiTheme="minorHAnsi" w:cstheme="minorHAnsi"/>
        </w:rPr>
        <w:lastRenderedPageBreak/>
        <w:t>projektu si mohli zájemci stáhnout výstupy projektu, MŠMT však nemá informaci o tom, kolikrát se tak stalo</w:t>
      </w:r>
      <w:r w:rsidR="00044FA2">
        <w:rPr>
          <w:rStyle w:val="Znakapoznpodarou"/>
          <w:rFonts w:asciiTheme="minorHAnsi" w:hAnsiTheme="minorHAnsi" w:cstheme="minorHAnsi"/>
        </w:rPr>
        <w:footnoteReference w:id="20"/>
      </w:r>
      <w:r w:rsidRPr="00E24FE0">
        <w:rPr>
          <w:rFonts w:asciiTheme="minorHAnsi" w:hAnsiTheme="minorHAnsi" w:cstheme="minorHAnsi"/>
        </w:rPr>
        <w:t>. Webové stránky také obsahovaly neaktuální kontaktní informace.</w:t>
      </w:r>
    </w:p>
    <w:p w14:paraId="55310280" w14:textId="77777777" w:rsidR="004067BA" w:rsidRPr="00E24FE0" w:rsidRDefault="004067BA" w:rsidP="002F0CFD">
      <w:pPr>
        <w:numPr>
          <w:ilvl w:val="0"/>
          <w:numId w:val="26"/>
        </w:numPr>
        <w:spacing w:after="120"/>
        <w:ind w:left="284" w:hanging="284"/>
        <w:contextualSpacing/>
        <w:jc w:val="both"/>
        <w:rPr>
          <w:rFonts w:asciiTheme="minorHAnsi" w:hAnsiTheme="minorHAnsi" w:cstheme="minorHAnsi"/>
        </w:rPr>
      </w:pPr>
      <w:r w:rsidRPr="00E24FE0">
        <w:rPr>
          <w:rFonts w:asciiTheme="minorHAnsi" w:hAnsiTheme="minorHAnsi" w:cstheme="minorHAnsi"/>
        </w:rPr>
        <w:t xml:space="preserve">Vzdělávací kurz tvorby </w:t>
      </w:r>
      <w:proofErr w:type="spellStart"/>
      <w:r w:rsidRPr="00E24FE0">
        <w:rPr>
          <w:rFonts w:asciiTheme="minorHAnsi" w:hAnsiTheme="minorHAnsi" w:cstheme="minorHAnsi"/>
        </w:rPr>
        <w:t>Špp</w:t>
      </w:r>
      <w:proofErr w:type="spellEnd"/>
      <w:r w:rsidRPr="00E24FE0">
        <w:rPr>
          <w:rFonts w:asciiTheme="minorHAnsi" w:hAnsiTheme="minorHAnsi" w:cstheme="minorHAnsi"/>
        </w:rPr>
        <w:t xml:space="preserve"> akreditovaný v červnu 2013 byl vyhlášen do doby kontroly NKÚ pouze dvakrát. Ani v jednom z termínů se však neuskutečnil z důvodu nedostatku zájemců.</w:t>
      </w:r>
    </w:p>
    <w:p w14:paraId="5439D419" w14:textId="4C4111D6" w:rsidR="004067BA" w:rsidRPr="00E24FE0" w:rsidRDefault="004067BA" w:rsidP="003A71A3">
      <w:pPr>
        <w:pStyle w:val="KPnormln"/>
        <w:ind w:firstLine="0"/>
        <w:rPr>
          <w:rFonts w:eastAsiaTheme="minorHAnsi"/>
        </w:rPr>
      </w:pPr>
      <w:r w:rsidRPr="00E24FE0">
        <w:rPr>
          <w:rFonts w:eastAsiaTheme="minorHAnsi"/>
        </w:rPr>
        <w:t xml:space="preserve">MŠMT nevyvinulo žádnou aktivitu týkající se sledování dalšího zavádění </w:t>
      </w:r>
      <w:proofErr w:type="spellStart"/>
      <w:r w:rsidRPr="00E24FE0">
        <w:rPr>
          <w:rFonts w:eastAsiaTheme="minorHAnsi"/>
        </w:rPr>
        <w:t>Špp</w:t>
      </w:r>
      <w:proofErr w:type="spellEnd"/>
      <w:r w:rsidRPr="00E24FE0">
        <w:rPr>
          <w:rFonts w:eastAsiaTheme="minorHAnsi"/>
        </w:rPr>
        <w:t xml:space="preserve">, ani nepodpořilo využití výstupů projektu CPIV pokračováním existence regionálních center. Ani </w:t>
      </w:r>
      <w:r w:rsidRPr="007F3A9D">
        <w:rPr>
          <w:rFonts w:eastAsiaTheme="minorHAnsi"/>
          <w:i/>
        </w:rPr>
        <w:t>Akční plán inkluzivního vzdělávání na období 2016</w:t>
      </w:r>
      <w:r w:rsidR="00BC2AD3" w:rsidRPr="007F3A9D">
        <w:rPr>
          <w:rFonts w:eastAsiaTheme="minorHAnsi"/>
          <w:i/>
        </w:rPr>
        <w:t>–</w:t>
      </w:r>
      <w:r w:rsidRPr="007F3A9D">
        <w:rPr>
          <w:rFonts w:eastAsiaTheme="minorHAnsi"/>
          <w:i/>
        </w:rPr>
        <w:t>2018</w:t>
      </w:r>
      <w:r w:rsidRPr="00E24FE0">
        <w:rPr>
          <w:rFonts w:eastAsiaTheme="minorHAnsi"/>
        </w:rPr>
        <w:t xml:space="preserve"> neuvádí, jaká má být budoucí role </w:t>
      </w:r>
      <w:proofErr w:type="spellStart"/>
      <w:r w:rsidRPr="00E24FE0">
        <w:rPr>
          <w:rFonts w:eastAsiaTheme="minorHAnsi"/>
        </w:rPr>
        <w:t>Špp</w:t>
      </w:r>
      <w:proofErr w:type="spellEnd"/>
      <w:r w:rsidRPr="00E24FE0">
        <w:rPr>
          <w:rFonts w:eastAsiaTheme="minorHAnsi"/>
        </w:rPr>
        <w:t xml:space="preserve">. MŠMT přitom samo uvedlo, že překážky širšího rozšíření </w:t>
      </w:r>
      <w:proofErr w:type="spellStart"/>
      <w:r w:rsidRPr="00E24FE0">
        <w:rPr>
          <w:rFonts w:eastAsiaTheme="minorHAnsi"/>
        </w:rPr>
        <w:t>Špp</w:t>
      </w:r>
      <w:proofErr w:type="spellEnd"/>
      <w:r w:rsidRPr="00E24FE0">
        <w:rPr>
          <w:rFonts w:eastAsiaTheme="minorHAnsi"/>
        </w:rPr>
        <w:t xml:space="preserve"> spočívají také ve splnění dalších podmínek (např. zajištění vzdělaných pedagogů). Obdobné konstatování se objevuje i ve studi</w:t>
      </w:r>
      <w:r w:rsidR="00966AB7">
        <w:rPr>
          <w:rFonts w:eastAsiaTheme="minorHAnsi"/>
        </w:rPr>
        <w:t>i</w:t>
      </w:r>
      <w:r w:rsidRPr="00E24FE0">
        <w:rPr>
          <w:rFonts w:eastAsiaTheme="minorHAnsi"/>
        </w:rPr>
        <w:t xml:space="preserve"> na téma rovného přístupu ke vzdělávání</w:t>
      </w:r>
      <w:r w:rsidRPr="00E24FE0">
        <w:rPr>
          <w:rFonts w:eastAsiaTheme="minorHAnsi"/>
          <w:vertAlign w:val="superscript"/>
        </w:rPr>
        <w:footnoteReference w:id="21"/>
      </w:r>
      <w:r w:rsidRPr="00E24FE0">
        <w:rPr>
          <w:rFonts w:eastAsiaTheme="minorHAnsi"/>
        </w:rPr>
        <w:t>, která uvádí, že sice reálně existuje metodika, avšak deficit spočívá v jej</w:t>
      </w:r>
      <w:r w:rsidR="00D90027">
        <w:rPr>
          <w:rFonts w:eastAsiaTheme="minorHAnsi"/>
        </w:rPr>
        <w:t>ím</w:t>
      </w:r>
      <w:r w:rsidRPr="00E24FE0">
        <w:rPr>
          <w:rFonts w:eastAsiaTheme="minorHAnsi"/>
        </w:rPr>
        <w:t xml:space="preserve"> rozšíření a finanční podpoře školám. </w:t>
      </w:r>
    </w:p>
    <w:p w14:paraId="498A96A0" w14:textId="3C0588CB" w:rsidR="004067BA" w:rsidRPr="00E24FE0" w:rsidRDefault="004067BA" w:rsidP="004067BA">
      <w:pPr>
        <w:jc w:val="both"/>
        <w:rPr>
          <w:rFonts w:asciiTheme="minorHAnsi" w:eastAsiaTheme="minorHAnsi" w:hAnsiTheme="minorHAnsi" w:cstheme="minorBidi"/>
        </w:rPr>
      </w:pPr>
      <w:r w:rsidRPr="00E24FE0">
        <w:rPr>
          <w:rFonts w:asciiTheme="minorHAnsi" w:eastAsiaTheme="minorHAnsi" w:hAnsiTheme="minorHAnsi" w:cstheme="minorBidi"/>
        </w:rPr>
        <w:t xml:space="preserve">MŠMT vynaložilo finanční prostředky </w:t>
      </w:r>
      <w:r w:rsidR="0008606F">
        <w:rPr>
          <w:rFonts w:asciiTheme="minorHAnsi" w:eastAsiaTheme="minorHAnsi" w:hAnsiTheme="minorHAnsi" w:cstheme="minorBidi"/>
        </w:rPr>
        <w:t>neúčelně</w:t>
      </w:r>
      <w:r w:rsidRPr="00E24FE0">
        <w:rPr>
          <w:rFonts w:asciiTheme="minorHAnsi" w:eastAsiaTheme="minorHAnsi" w:hAnsiTheme="minorHAnsi" w:cstheme="minorBidi"/>
        </w:rPr>
        <w:t xml:space="preserve"> a porušilo podmínku udržitelnosti stanovenou pro projekt CPIV, </w:t>
      </w:r>
      <w:r w:rsidR="00FD2419">
        <w:rPr>
          <w:rFonts w:asciiTheme="minorHAnsi" w:eastAsiaTheme="minorHAnsi" w:hAnsiTheme="minorHAnsi" w:cstheme="minorBidi"/>
        </w:rPr>
        <w:t xml:space="preserve">požadující </w:t>
      </w:r>
      <w:r w:rsidRPr="00E24FE0">
        <w:rPr>
          <w:rFonts w:asciiTheme="minorHAnsi" w:eastAsiaTheme="minorHAnsi" w:hAnsiTheme="minorHAnsi" w:cstheme="minorBidi"/>
        </w:rPr>
        <w:t>zachov</w:t>
      </w:r>
      <w:r w:rsidR="00966AB7">
        <w:rPr>
          <w:rFonts w:asciiTheme="minorHAnsi" w:eastAsiaTheme="minorHAnsi" w:hAnsiTheme="minorHAnsi" w:cstheme="minorBidi"/>
        </w:rPr>
        <w:t>á</w:t>
      </w:r>
      <w:r w:rsidRPr="00E24FE0">
        <w:rPr>
          <w:rFonts w:asciiTheme="minorHAnsi" w:eastAsiaTheme="minorHAnsi" w:hAnsiTheme="minorHAnsi" w:cstheme="minorBidi"/>
        </w:rPr>
        <w:t xml:space="preserve">ní výstupů projektu po dobu 5 let od jeho ukončení. </w:t>
      </w:r>
    </w:p>
    <w:p w14:paraId="64C16645" w14:textId="77777777" w:rsidR="004067BA" w:rsidRPr="007F3A9D" w:rsidRDefault="004067BA" w:rsidP="002F0CFD">
      <w:pPr>
        <w:spacing w:before="120" w:after="120"/>
        <w:jc w:val="both"/>
        <w:rPr>
          <w:rFonts w:asciiTheme="minorHAnsi" w:eastAsiaTheme="minorHAnsi" w:hAnsiTheme="minorHAnsi" w:cstheme="minorBidi"/>
          <w:b/>
        </w:rPr>
      </w:pPr>
      <w:r w:rsidRPr="007F3A9D">
        <w:rPr>
          <w:rFonts w:asciiTheme="minorHAnsi" w:eastAsiaTheme="minorHAnsi" w:hAnsiTheme="minorHAnsi" w:cstheme="minorBidi"/>
          <w:b/>
        </w:rPr>
        <w:t xml:space="preserve">Národní projekt </w:t>
      </w:r>
      <w:r w:rsidRPr="007F3A9D">
        <w:rPr>
          <w:rFonts w:asciiTheme="minorHAnsi" w:eastAsiaTheme="minorHAnsi" w:hAnsiTheme="minorHAnsi" w:cstheme="minorBidi"/>
          <w:b/>
          <w:i/>
        </w:rPr>
        <w:t>Mezinárodní audit výzkumu, vývoje a inovací v ČR a implementace jeho výsledků do strategických dokumentů</w:t>
      </w:r>
      <w:r w:rsidRPr="007F3A9D">
        <w:rPr>
          <w:rFonts w:asciiTheme="minorHAnsi" w:eastAsiaTheme="minorHAnsi" w:hAnsiTheme="minorHAnsi" w:cstheme="minorBidi"/>
          <w:b/>
        </w:rPr>
        <w:t xml:space="preserve"> (dále jen „projekt Audit </w:t>
      </w:r>
      <w:proofErr w:type="spellStart"/>
      <w:r w:rsidRPr="007F3A9D">
        <w:rPr>
          <w:rFonts w:asciiTheme="minorHAnsi" w:eastAsiaTheme="minorHAnsi" w:hAnsiTheme="minorHAnsi" w:cstheme="minorBidi"/>
          <w:b/>
        </w:rPr>
        <w:t>VaVaI</w:t>
      </w:r>
      <w:proofErr w:type="spellEnd"/>
      <w:r w:rsidRPr="007F3A9D">
        <w:rPr>
          <w:rFonts w:asciiTheme="minorHAnsi" w:eastAsiaTheme="minorHAnsi" w:hAnsiTheme="minorHAnsi" w:cstheme="minorBidi"/>
          <w:b/>
        </w:rPr>
        <w:t>“)</w:t>
      </w:r>
    </w:p>
    <w:p w14:paraId="6A7D3F5A" w14:textId="3B5DB23B" w:rsidR="004067BA" w:rsidRDefault="004067BA" w:rsidP="00F94683">
      <w:pPr>
        <w:spacing w:after="120"/>
        <w:jc w:val="both"/>
        <w:rPr>
          <w:rFonts w:asciiTheme="minorHAnsi" w:eastAsiaTheme="minorHAnsi" w:hAnsiTheme="minorHAnsi" w:cstheme="minorBidi"/>
        </w:rPr>
      </w:pPr>
      <w:r w:rsidRPr="00E24FE0">
        <w:rPr>
          <w:rFonts w:asciiTheme="minorHAnsi" w:eastAsiaTheme="minorHAnsi" w:hAnsiTheme="minorHAnsi" w:cstheme="minorBidi"/>
        </w:rPr>
        <w:t xml:space="preserve">Cílem projektu Audit </w:t>
      </w:r>
      <w:proofErr w:type="spellStart"/>
      <w:r w:rsidRPr="00E24FE0">
        <w:rPr>
          <w:rFonts w:asciiTheme="minorHAnsi" w:eastAsiaTheme="minorHAnsi" w:hAnsiTheme="minorHAnsi" w:cstheme="minorBidi"/>
        </w:rPr>
        <w:t>VaVaI</w:t>
      </w:r>
      <w:proofErr w:type="spellEnd"/>
      <w:r w:rsidRPr="00E24FE0">
        <w:rPr>
          <w:rFonts w:asciiTheme="minorHAnsi" w:eastAsiaTheme="minorHAnsi" w:hAnsiTheme="minorHAnsi" w:cstheme="minorBidi"/>
        </w:rPr>
        <w:t xml:space="preserve"> bylo provést vnější a nezávislé hodnocení systému výzkumu, vývoje a inovací nastaveného reformou z roku 2008. </w:t>
      </w:r>
      <w:r w:rsidR="00C557B3">
        <w:rPr>
          <w:rFonts w:asciiTheme="minorHAnsi" w:eastAsiaTheme="minorHAnsi" w:hAnsiTheme="minorHAnsi" w:cstheme="minorBidi"/>
        </w:rPr>
        <w:t>Výstupy</w:t>
      </w:r>
      <w:r w:rsidRPr="00E24FE0">
        <w:rPr>
          <w:rFonts w:asciiTheme="minorHAnsi" w:eastAsiaTheme="minorHAnsi" w:hAnsiTheme="minorHAnsi" w:cstheme="minorBidi"/>
        </w:rPr>
        <w:t xml:space="preserve"> projektu, na který MŠMT vynaložilo přes 61 mil. Kč, měly být využity </w:t>
      </w:r>
      <w:r w:rsidR="00C557B3">
        <w:rPr>
          <w:rFonts w:asciiTheme="minorHAnsi" w:eastAsiaTheme="minorHAnsi" w:hAnsiTheme="minorHAnsi" w:cstheme="minorBidi"/>
        </w:rPr>
        <w:t>k</w:t>
      </w:r>
      <w:r w:rsidRPr="00E24FE0">
        <w:rPr>
          <w:rFonts w:asciiTheme="minorHAnsi" w:eastAsiaTheme="minorHAnsi" w:hAnsiTheme="minorHAnsi" w:cstheme="minorBidi"/>
        </w:rPr>
        <w:t xml:space="preserve"> úpravě </w:t>
      </w:r>
      <w:r w:rsidR="00966AB7">
        <w:rPr>
          <w:rFonts w:asciiTheme="minorHAnsi" w:eastAsiaTheme="minorHAnsi" w:hAnsiTheme="minorHAnsi" w:cstheme="minorBidi"/>
        </w:rPr>
        <w:t>tohoto systému</w:t>
      </w:r>
      <w:r w:rsidRPr="00E24FE0">
        <w:rPr>
          <w:rFonts w:asciiTheme="minorHAnsi" w:eastAsiaTheme="minorHAnsi" w:hAnsiTheme="minorHAnsi" w:cstheme="minorBidi"/>
        </w:rPr>
        <w:t>, aktualizacím koncepčních materiálů a návrhům nutných legislativních změn.</w:t>
      </w:r>
    </w:p>
    <w:p w14:paraId="61F45B2D" w14:textId="15BC3C1B" w:rsidR="00CE6D09" w:rsidRPr="00327154" w:rsidRDefault="00CE6D09" w:rsidP="003A71A3">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Výstupy projektu neobsahovaly návrhy legislativ</w:t>
      </w:r>
      <w:r w:rsidR="00096A5F">
        <w:rPr>
          <w:rFonts w:asciiTheme="minorHAnsi" w:hAnsiTheme="minorHAnsi" w:cstheme="minorHAnsi"/>
          <w:b/>
          <w:i/>
        </w:rPr>
        <w:t xml:space="preserve">ních změn, přestože </w:t>
      </w:r>
      <w:r w:rsidR="00966AB7">
        <w:rPr>
          <w:rFonts w:asciiTheme="minorHAnsi" w:hAnsiTheme="minorHAnsi" w:cstheme="minorHAnsi"/>
          <w:b/>
          <w:i/>
        </w:rPr>
        <w:t xml:space="preserve">s nimi </w:t>
      </w:r>
      <w:r w:rsidR="00096A5F">
        <w:rPr>
          <w:rFonts w:asciiTheme="minorHAnsi" w:hAnsiTheme="minorHAnsi" w:cstheme="minorHAnsi"/>
          <w:b/>
          <w:i/>
        </w:rPr>
        <w:t xml:space="preserve">projekt </w:t>
      </w:r>
      <w:r w:rsidR="00966AB7">
        <w:rPr>
          <w:rFonts w:asciiTheme="minorHAnsi" w:hAnsiTheme="minorHAnsi" w:cstheme="minorHAnsi"/>
          <w:b/>
          <w:i/>
        </w:rPr>
        <w:t>počítal</w:t>
      </w:r>
      <w:r>
        <w:rPr>
          <w:rFonts w:asciiTheme="minorHAnsi" w:hAnsiTheme="minorHAnsi" w:cstheme="minorHAnsi"/>
          <w:b/>
          <w:i/>
        </w:rPr>
        <w:t xml:space="preserve">. Místo změn strategických materiálů </w:t>
      </w:r>
      <w:r w:rsidR="00966AB7">
        <w:rPr>
          <w:rFonts w:asciiTheme="minorHAnsi" w:hAnsiTheme="minorHAnsi" w:cstheme="minorHAnsi"/>
          <w:b/>
          <w:i/>
        </w:rPr>
        <w:t xml:space="preserve">vzešly </w:t>
      </w:r>
      <w:r>
        <w:rPr>
          <w:rFonts w:asciiTheme="minorHAnsi" w:hAnsiTheme="minorHAnsi" w:cstheme="minorHAnsi"/>
          <w:b/>
          <w:i/>
        </w:rPr>
        <w:t>z projektu jen nezávazné návrhy.</w:t>
      </w:r>
    </w:p>
    <w:p w14:paraId="765AB45F" w14:textId="1AF76579" w:rsidR="004067BA" w:rsidRPr="00E24FE0" w:rsidRDefault="004067BA" w:rsidP="00D90027">
      <w:pPr>
        <w:numPr>
          <w:ilvl w:val="0"/>
          <w:numId w:val="27"/>
        </w:numPr>
        <w:spacing w:after="200"/>
        <w:contextualSpacing/>
        <w:jc w:val="both"/>
        <w:rPr>
          <w:rFonts w:asciiTheme="minorHAnsi" w:hAnsiTheme="minorHAnsi" w:cstheme="minorHAnsi"/>
        </w:rPr>
      </w:pPr>
      <w:r w:rsidRPr="00E24FE0">
        <w:rPr>
          <w:rFonts w:asciiTheme="minorHAnsi" w:hAnsiTheme="minorHAnsi" w:cstheme="minorHAnsi"/>
        </w:rPr>
        <w:t xml:space="preserve">NKÚ zjistil, že projekt Audit </w:t>
      </w:r>
      <w:proofErr w:type="spellStart"/>
      <w:r w:rsidRPr="00E24FE0">
        <w:rPr>
          <w:rFonts w:asciiTheme="minorHAnsi" w:hAnsiTheme="minorHAnsi" w:cstheme="minorHAnsi"/>
        </w:rPr>
        <w:t>VaVaI</w:t>
      </w:r>
      <w:proofErr w:type="spellEnd"/>
      <w:r w:rsidRPr="00E24FE0">
        <w:rPr>
          <w:rFonts w:asciiTheme="minorHAnsi" w:hAnsiTheme="minorHAnsi" w:cstheme="minorHAnsi"/>
        </w:rPr>
        <w:t xml:space="preserve"> nebyl plně v souladu s výzvou k předkládání projektů. Výzva požadovala, aby projekty řešily jak návrh systémových změn, tak i jejich implementaci</w:t>
      </w:r>
      <w:r w:rsidRPr="00E24FE0">
        <w:rPr>
          <w:rFonts w:asciiTheme="minorHAnsi" w:hAnsiTheme="minorHAnsi" w:cstheme="minorHAnsi"/>
          <w:vertAlign w:val="superscript"/>
        </w:rPr>
        <w:footnoteReference w:id="22"/>
      </w:r>
      <w:r w:rsidRPr="00E24FE0">
        <w:rPr>
          <w:rFonts w:asciiTheme="minorHAnsi" w:hAnsiTheme="minorHAnsi" w:cstheme="minorHAnsi"/>
        </w:rPr>
        <w:t xml:space="preserve">. Projekt Audit </w:t>
      </w:r>
      <w:proofErr w:type="spellStart"/>
      <w:r w:rsidRPr="00E24FE0">
        <w:rPr>
          <w:rFonts w:asciiTheme="minorHAnsi" w:hAnsiTheme="minorHAnsi" w:cstheme="minorHAnsi"/>
        </w:rPr>
        <w:t>VaVaI</w:t>
      </w:r>
      <w:proofErr w:type="spellEnd"/>
      <w:r w:rsidRPr="00E24FE0">
        <w:rPr>
          <w:rFonts w:asciiTheme="minorHAnsi" w:hAnsiTheme="minorHAnsi" w:cstheme="minorHAnsi"/>
        </w:rPr>
        <w:t xml:space="preserve"> jako výstupy uvedl návrhy legislativních změn a</w:t>
      </w:r>
      <w:r w:rsidR="001A219D">
        <w:rPr>
          <w:rFonts w:asciiTheme="minorHAnsi" w:hAnsiTheme="minorHAnsi" w:cstheme="minorHAnsi"/>
        </w:rPr>
        <w:t> </w:t>
      </w:r>
      <w:r w:rsidR="001F1B7E">
        <w:rPr>
          <w:rFonts w:asciiTheme="minorHAnsi" w:hAnsiTheme="minorHAnsi" w:cstheme="minorHAnsi"/>
        </w:rPr>
        <w:t>transpozici</w:t>
      </w:r>
      <w:r w:rsidRPr="00E24FE0">
        <w:rPr>
          <w:rFonts w:asciiTheme="minorHAnsi" w:hAnsiTheme="minorHAnsi" w:cstheme="minorHAnsi"/>
        </w:rPr>
        <w:t xml:space="preserve"> závěrů auditu do strategických dokumentů, tedy výstupy, které nejsou zavedením změn do praxe.</w:t>
      </w:r>
    </w:p>
    <w:p w14:paraId="10C6975A" w14:textId="051AAC66" w:rsidR="004067BA" w:rsidRPr="00E24FE0" w:rsidRDefault="004067BA" w:rsidP="00D90027">
      <w:pPr>
        <w:numPr>
          <w:ilvl w:val="0"/>
          <w:numId w:val="27"/>
        </w:numPr>
        <w:spacing w:after="200"/>
        <w:contextualSpacing/>
        <w:jc w:val="both"/>
        <w:rPr>
          <w:rFonts w:asciiTheme="minorHAnsi" w:hAnsiTheme="minorHAnsi" w:cstheme="minorHAnsi"/>
        </w:rPr>
      </w:pPr>
      <w:r w:rsidRPr="00E24FE0">
        <w:rPr>
          <w:rFonts w:asciiTheme="minorHAnsi" w:hAnsiTheme="minorHAnsi" w:cstheme="minorHAnsi"/>
        </w:rPr>
        <w:t xml:space="preserve">Kontrolou závěrečných výstupů projektu bylo zjištěno, že neobsahují žádné návrhy legislativních změn. </w:t>
      </w:r>
      <w:r w:rsidR="001F1B7E">
        <w:rPr>
          <w:rFonts w:asciiTheme="minorHAnsi" w:hAnsiTheme="minorHAnsi" w:cstheme="minorHAnsi"/>
        </w:rPr>
        <w:t>B</w:t>
      </w:r>
      <w:r w:rsidRPr="00E24FE0">
        <w:rPr>
          <w:rFonts w:asciiTheme="minorHAnsi" w:hAnsiTheme="minorHAnsi" w:cstheme="minorHAnsi"/>
        </w:rPr>
        <w:t>ez dalšího</w:t>
      </w:r>
      <w:r w:rsidR="001F1B7E">
        <w:rPr>
          <w:rFonts w:asciiTheme="minorHAnsi" w:hAnsiTheme="minorHAnsi" w:cstheme="minorHAnsi"/>
        </w:rPr>
        <w:t xml:space="preserve"> vysvětlení bylo</w:t>
      </w:r>
      <w:r w:rsidRPr="00E24FE0">
        <w:rPr>
          <w:rFonts w:asciiTheme="minorHAnsi" w:hAnsiTheme="minorHAnsi" w:cstheme="minorHAnsi"/>
        </w:rPr>
        <w:t xml:space="preserve"> pouze konstatován</w:t>
      </w:r>
      <w:r w:rsidR="001F1B7E">
        <w:rPr>
          <w:rFonts w:asciiTheme="minorHAnsi" w:hAnsiTheme="minorHAnsi" w:cstheme="minorHAnsi"/>
        </w:rPr>
        <w:t>o</w:t>
      </w:r>
      <w:r w:rsidRPr="00E24FE0">
        <w:rPr>
          <w:rFonts w:asciiTheme="minorHAnsi" w:hAnsiTheme="minorHAnsi" w:cstheme="minorHAnsi"/>
        </w:rPr>
        <w:t xml:space="preserve">, že návrhy </w:t>
      </w:r>
      <w:r w:rsidR="00C15920" w:rsidRPr="00E24FE0">
        <w:rPr>
          <w:rFonts w:asciiTheme="minorHAnsi" w:hAnsiTheme="minorHAnsi" w:cstheme="minorHAnsi"/>
        </w:rPr>
        <w:t xml:space="preserve">byly </w:t>
      </w:r>
      <w:r w:rsidRPr="00E24FE0">
        <w:rPr>
          <w:rFonts w:asciiTheme="minorHAnsi" w:hAnsiTheme="minorHAnsi" w:cstheme="minorHAnsi"/>
        </w:rPr>
        <w:t>integrovány do strategických dokumentů. NKÚ zjistil</w:t>
      </w:r>
      <w:r w:rsidR="001F1B7E" w:rsidRPr="001F1B7E">
        <w:rPr>
          <w:rFonts w:asciiTheme="minorHAnsi" w:hAnsiTheme="minorHAnsi" w:cstheme="minorHAnsi"/>
        </w:rPr>
        <w:t xml:space="preserve"> </w:t>
      </w:r>
      <w:r w:rsidR="001F1B7E">
        <w:rPr>
          <w:rFonts w:asciiTheme="minorHAnsi" w:hAnsiTheme="minorHAnsi" w:cstheme="minorHAnsi"/>
        </w:rPr>
        <w:t>d</w:t>
      </w:r>
      <w:r w:rsidR="001F1B7E" w:rsidRPr="00E24FE0">
        <w:rPr>
          <w:rFonts w:asciiTheme="minorHAnsi" w:hAnsiTheme="minorHAnsi" w:cstheme="minorHAnsi"/>
        </w:rPr>
        <w:t>alším prověřováním</w:t>
      </w:r>
      <w:r w:rsidRPr="00E24FE0">
        <w:rPr>
          <w:rFonts w:asciiTheme="minorHAnsi" w:hAnsiTheme="minorHAnsi" w:cstheme="minorHAnsi"/>
        </w:rPr>
        <w:t xml:space="preserve">, že dokument </w:t>
      </w:r>
      <w:r w:rsidRPr="007F3A9D">
        <w:rPr>
          <w:rFonts w:asciiTheme="minorHAnsi" w:hAnsiTheme="minorHAnsi" w:cstheme="minorHAnsi"/>
          <w:i/>
        </w:rPr>
        <w:t>Aktualizace národní politiky výzkumu, vývoje a</w:t>
      </w:r>
      <w:r w:rsidR="001F1B7E">
        <w:rPr>
          <w:rFonts w:asciiTheme="minorHAnsi" w:hAnsiTheme="minorHAnsi" w:cstheme="minorHAnsi"/>
          <w:i/>
        </w:rPr>
        <w:t> </w:t>
      </w:r>
      <w:r w:rsidRPr="007F3A9D">
        <w:rPr>
          <w:rFonts w:asciiTheme="minorHAnsi" w:hAnsiTheme="minorHAnsi" w:cstheme="minorHAnsi"/>
          <w:i/>
        </w:rPr>
        <w:t>inovací</w:t>
      </w:r>
      <w:r w:rsidRPr="00E24FE0">
        <w:rPr>
          <w:rFonts w:asciiTheme="minorHAnsi" w:hAnsiTheme="minorHAnsi" w:cstheme="minorHAnsi"/>
          <w:vertAlign w:val="superscript"/>
        </w:rPr>
        <w:footnoteReference w:id="23"/>
      </w:r>
      <w:r w:rsidRPr="00E24FE0">
        <w:rPr>
          <w:rFonts w:asciiTheme="minorHAnsi" w:hAnsiTheme="minorHAnsi" w:cstheme="minorHAnsi"/>
        </w:rPr>
        <w:t xml:space="preserve"> sice obsahuje návrhy legislativních změn, avšak tyto návrhy jsou velmi obecné a nelze je nijak spojit s výstupy projektu Audit </w:t>
      </w:r>
      <w:proofErr w:type="spellStart"/>
      <w:r w:rsidRPr="00E24FE0">
        <w:rPr>
          <w:rFonts w:asciiTheme="minorHAnsi" w:hAnsiTheme="minorHAnsi" w:cstheme="minorHAnsi"/>
        </w:rPr>
        <w:t>VaVaI</w:t>
      </w:r>
      <w:proofErr w:type="spellEnd"/>
      <w:r w:rsidRPr="00E24FE0">
        <w:rPr>
          <w:rFonts w:asciiTheme="minorHAnsi" w:hAnsiTheme="minorHAnsi" w:cstheme="minorHAnsi"/>
        </w:rPr>
        <w:t>.</w:t>
      </w:r>
    </w:p>
    <w:p w14:paraId="2DA90E78" w14:textId="0600078E" w:rsidR="004067BA" w:rsidRPr="00E24FE0" w:rsidRDefault="004067BA" w:rsidP="003A71A3">
      <w:pPr>
        <w:numPr>
          <w:ilvl w:val="0"/>
          <w:numId w:val="27"/>
        </w:numPr>
        <w:spacing w:after="120"/>
        <w:ind w:left="357" w:hanging="357"/>
        <w:contextualSpacing/>
        <w:jc w:val="both"/>
        <w:rPr>
          <w:rFonts w:asciiTheme="minorHAnsi" w:hAnsiTheme="minorHAnsi" w:cstheme="minorHAnsi"/>
        </w:rPr>
      </w:pPr>
      <w:r w:rsidRPr="00E24FE0">
        <w:rPr>
          <w:rFonts w:asciiTheme="minorHAnsi" w:hAnsiTheme="minorHAnsi" w:cstheme="minorHAnsi"/>
        </w:rPr>
        <w:t xml:space="preserve">Výstupem projektu nebyla ani deklarovaná </w:t>
      </w:r>
      <w:r w:rsidR="001F1B7E">
        <w:rPr>
          <w:rFonts w:asciiTheme="minorHAnsi" w:hAnsiTheme="minorHAnsi" w:cstheme="minorHAnsi"/>
        </w:rPr>
        <w:t>transpozice</w:t>
      </w:r>
      <w:r w:rsidRPr="00E24FE0">
        <w:rPr>
          <w:rFonts w:asciiTheme="minorHAnsi" w:hAnsiTheme="minorHAnsi" w:cstheme="minorHAnsi"/>
        </w:rPr>
        <w:t xml:space="preserve"> závěrů auditu do strategických dokumentů, ale pouze návrhy na jejich změny. MŠMT návrhy zařadilo do monitorovacího </w:t>
      </w:r>
      <w:r w:rsidRPr="00E24FE0">
        <w:rPr>
          <w:rFonts w:asciiTheme="minorHAnsi" w:hAnsiTheme="minorHAnsi" w:cstheme="minorHAnsi"/>
        </w:rPr>
        <w:lastRenderedPageBreak/>
        <w:t>indikátoru „</w:t>
      </w:r>
      <w:r w:rsidR="00953E5A" w:rsidRPr="007F3A9D">
        <w:rPr>
          <w:rFonts w:asciiTheme="minorHAnsi" w:hAnsiTheme="minorHAnsi" w:cstheme="minorHAnsi"/>
          <w:i/>
        </w:rPr>
        <w:t>p</w:t>
      </w:r>
      <w:r w:rsidRPr="007F3A9D">
        <w:rPr>
          <w:rFonts w:asciiTheme="minorHAnsi" w:hAnsiTheme="minorHAnsi" w:cstheme="minorHAnsi"/>
          <w:i/>
        </w:rPr>
        <w:t>očet nově vytvořených/inovovaných produktů s celostátním dopadem</w:t>
      </w:r>
      <w:r w:rsidRPr="00E24FE0">
        <w:rPr>
          <w:rFonts w:asciiTheme="minorHAnsi" w:hAnsiTheme="minorHAnsi" w:cstheme="minorHAnsi"/>
        </w:rPr>
        <w:t>“, přestože z jeho definice vyplývá, že do něj mají být zařazeny vytvořené koncepční dokumenty</w:t>
      </w:r>
      <w:r w:rsidR="001F1B7E">
        <w:rPr>
          <w:rFonts w:asciiTheme="minorHAnsi" w:hAnsiTheme="minorHAnsi" w:cstheme="minorHAnsi"/>
        </w:rPr>
        <w:t>,</w:t>
      </w:r>
      <w:r w:rsidRPr="00E24FE0">
        <w:rPr>
          <w:rFonts w:asciiTheme="minorHAnsi" w:hAnsiTheme="minorHAnsi" w:cstheme="minorHAnsi"/>
        </w:rPr>
        <w:t xml:space="preserve"> </w:t>
      </w:r>
      <w:r>
        <w:rPr>
          <w:rFonts w:asciiTheme="minorHAnsi" w:hAnsiTheme="minorHAnsi" w:cstheme="minorHAnsi"/>
        </w:rPr>
        <w:t xml:space="preserve">nikoliv pouhé </w:t>
      </w:r>
      <w:r w:rsidRPr="00E24FE0">
        <w:rPr>
          <w:rFonts w:asciiTheme="minorHAnsi" w:hAnsiTheme="minorHAnsi" w:cstheme="minorHAnsi"/>
        </w:rPr>
        <w:t xml:space="preserve">podněty k jejich úpravě, které nebyly dosud přijaty. </w:t>
      </w:r>
    </w:p>
    <w:p w14:paraId="499CE2F7" w14:textId="73DD1C5F" w:rsidR="004067BA" w:rsidRPr="00E24FE0" w:rsidRDefault="004067BA" w:rsidP="003A71A3">
      <w:pPr>
        <w:pStyle w:val="KPnormln"/>
        <w:ind w:firstLine="0"/>
        <w:rPr>
          <w:rFonts w:eastAsiaTheme="minorHAnsi"/>
          <w:sz w:val="22"/>
        </w:rPr>
      </w:pPr>
      <w:r w:rsidRPr="00E24FE0">
        <w:rPr>
          <w:rFonts w:eastAsiaTheme="minorHAnsi"/>
        </w:rPr>
        <w:t xml:space="preserve">MŠMT vynaložilo finanční prostředky </w:t>
      </w:r>
      <w:r w:rsidR="0008606F">
        <w:rPr>
          <w:rFonts w:eastAsiaTheme="minorHAnsi"/>
        </w:rPr>
        <w:t>neúčelně</w:t>
      </w:r>
      <w:r w:rsidRPr="00E24FE0">
        <w:rPr>
          <w:rFonts w:eastAsiaTheme="minorHAnsi"/>
        </w:rPr>
        <w:t xml:space="preserve">, neboť schválilo projekt Audit </w:t>
      </w:r>
      <w:proofErr w:type="spellStart"/>
      <w:r w:rsidRPr="00E24FE0">
        <w:rPr>
          <w:rFonts w:eastAsiaTheme="minorHAnsi"/>
        </w:rPr>
        <w:t>VaVaI</w:t>
      </w:r>
      <w:proofErr w:type="spellEnd"/>
      <w:r w:rsidRPr="00E24FE0">
        <w:rPr>
          <w:rFonts w:eastAsiaTheme="minorHAnsi"/>
        </w:rPr>
        <w:t xml:space="preserve">, přestože byl v rozporu s výzvou. Porušilo také povinnost plnit úkoly nejhospodárnějším způsobem, protože vynaložilo veřejné prostředky na výstupy, které nevedly ke splnění stanovených cílů. </w:t>
      </w:r>
      <w:r w:rsidR="005D7C69">
        <w:rPr>
          <w:rFonts w:eastAsiaTheme="minorHAnsi"/>
        </w:rPr>
        <w:t xml:space="preserve">I </w:t>
      </w:r>
      <w:r w:rsidRPr="00E24FE0">
        <w:rPr>
          <w:rFonts w:eastAsiaTheme="minorHAnsi"/>
        </w:rPr>
        <w:t>přes výše uvedené nedostatky schválilo</w:t>
      </w:r>
      <w:r w:rsidR="005D7C69">
        <w:rPr>
          <w:rFonts w:eastAsiaTheme="minorHAnsi"/>
        </w:rPr>
        <w:t xml:space="preserve"> MŠMT jakožto řídicí orgán</w:t>
      </w:r>
      <w:r w:rsidRPr="00E24FE0">
        <w:rPr>
          <w:rFonts w:eastAsiaTheme="minorHAnsi"/>
        </w:rPr>
        <w:t xml:space="preserve"> závěrečné výstupy</w:t>
      </w:r>
      <w:r w:rsidR="005D7C69">
        <w:rPr>
          <w:rFonts w:eastAsiaTheme="minorHAnsi"/>
        </w:rPr>
        <w:t xml:space="preserve"> projektu</w:t>
      </w:r>
      <w:r w:rsidRPr="00E24FE0">
        <w:rPr>
          <w:rFonts w:eastAsiaTheme="minorHAnsi"/>
        </w:rPr>
        <w:t xml:space="preserve">. </w:t>
      </w:r>
    </w:p>
    <w:p w14:paraId="22BC019D" w14:textId="77777777" w:rsidR="004067BA" w:rsidRPr="007F3A9D" w:rsidRDefault="004067BA" w:rsidP="002F0CFD">
      <w:pPr>
        <w:spacing w:before="120" w:after="120"/>
        <w:jc w:val="both"/>
        <w:rPr>
          <w:rFonts w:asciiTheme="minorHAnsi" w:eastAsiaTheme="minorHAnsi" w:hAnsiTheme="minorHAnsi" w:cstheme="minorBidi"/>
          <w:b/>
        </w:rPr>
      </w:pPr>
      <w:r w:rsidRPr="007F3A9D">
        <w:rPr>
          <w:rFonts w:asciiTheme="minorHAnsi" w:eastAsiaTheme="minorHAnsi" w:hAnsiTheme="minorHAnsi" w:cstheme="minorBidi"/>
          <w:b/>
        </w:rPr>
        <w:t xml:space="preserve">Národní projekt </w:t>
      </w:r>
      <w:r w:rsidRPr="007F3A9D">
        <w:rPr>
          <w:rFonts w:asciiTheme="minorHAnsi" w:eastAsiaTheme="minorHAnsi" w:hAnsiTheme="minorHAnsi" w:cstheme="minorBidi"/>
          <w:b/>
          <w:i/>
        </w:rPr>
        <w:t>Reforma terciárního vzdělávání</w:t>
      </w:r>
      <w:r w:rsidRPr="007F3A9D">
        <w:rPr>
          <w:rFonts w:asciiTheme="minorHAnsi" w:eastAsiaTheme="minorHAnsi" w:hAnsiTheme="minorHAnsi" w:cstheme="minorBidi"/>
          <w:b/>
        </w:rPr>
        <w:t xml:space="preserve"> (dále jen „projekt RTV“)</w:t>
      </w:r>
    </w:p>
    <w:p w14:paraId="21969C62" w14:textId="61FEAD0D" w:rsidR="004067BA" w:rsidRDefault="004067BA" w:rsidP="003A71A3">
      <w:pPr>
        <w:spacing w:after="120"/>
        <w:jc w:val="both"/>
        <w:rPr>
          <w:rFonts w:asciiTheme="minorHAnsi" w:eastAsiaTheme="minorHAnsi" w:hAnsiTheme="minorHAnsi" w:cstheme="minorBidi"/>
        </w:rPr>
      </w:pPr>
      <w:r w:rsidRPr="00E24FE0">
        <w:rPr>
          <w:rFonts w:asciiTheme="minorHAnsi" w:eastAsiaTheme="minorHAnsi" w:hAnsiTheme="minorHAnsi" w:cstheme="minorBidi"/>
        </w:rPr>
        <w:t>Hlavním cílem projektu RTV měl být návrh optimálního systému řízení a financování terciárního vzdělávání</w:t>
      </w:r>
      <w:r w:rsidRPr="00E24FE0">
        <w:rPr>
          <w:rFonts w:asciiTheme="minorHAnsi" w:eastAsiaTheme="minorHAnsi" w:hAnsiTheme="minorHAnsi" w:cstheme="minorBidi"/>
          <w:vertAlign w:val="superscript"/>
        </w:rPr>
        <w:footnoteReference w:id="24"/>
      </w:r>
      <w:r w:rsidRPr="00E24FE0">
        <w:rPr>
          <w:rFonts w:asciiTheme="minorHAnsi" w:eastAsiaTheme="minorHAnsi" w:hAnsiTheme="minorHAnsi" w:cstheme="minorBidi"/>
        </w:rPr>
        <w:t xml:space="preserve">. </w:t>
      </w:r>
      <w:r w:rsidR="005D7C69">
        <w:rPr>
          <w:rFonts w:asciiTheme="minorHAnsi" w:eastAsiaTheme="minorHAnsi" w:hAnsiTheme="minorHAnsi" w:cstheme="minorBidi"/>
        </w:rPr>
        <w:t>Do doby ukončení</w:t>
      </w:r>
      <w:r w:rsidRPr="00E24FE0">
        <w:rPr>
          <w:rFonts w:asciiTheme="minorHAnsi" w:eastAsiaTheme="minorHAnsi" w:hAnsiTheme="minorHAnsi" w:cstheme="minorBidi"/>
        </w:rPr>
        <w:t xml:space="preserve"> kontroly NKÚ vynaložilo MŠMT na projekt RTV v</w:t>
      </w:r>
      <w:r w:rsidR="001A219D">
        <w:rPr>
          <w:rFonts w:asciiTheme="minorHAnsi" w:eastAsiaTheme="minorHAnsi" w:hAnsiTheme="minorHAnsi" w:cstheme="minorBidi"/>
        </w:rPr>
        <w:t xml:space="preserve">íce než </w:t>
      </w:r>
      <w:r w:rsidR="00B712D6">
        <w:rPr>
          <w:rFonts w:asciiTheme="minorHAnsi" w:eastAsiaTheme="minorHAnsi" w:hAnsiTheme="minorHAnsi" w:cstheme="minorBidi"/>
        </w:rPr>
        <w:t>48 </w:t>
      </w:r>
      <w:r w:rsidRPr="00E24FE0">
        <w:rPr>
          <w:rFonts w:asciiTheme="minorHAnsi" w:eastAsiaTheme="minorHAnsi" w:hAnsiTheme="minorHAnsi" w:cstheme="minorBidi"/>
        </w:rPr>
        <w:t>mil. Kč</w:t>
      </w:r>
      <w:r w:rsidRPr="00E24FE0">
        <w:rPr>
          <w:rFonts w:asciiTheme="minorHAnsi" w:eastAsiaTheme="minorHAnsi" w:hAnsiTheme="minorHAnsi" w:cstheme="minorBidi"/>
          <w:vertAlign w:val="superscript"/>
        </w:rPr>
        <w:footnoteReference w:id="25"/>
      </w:r>
      <w:r w:rsidRPr="00E24FE0">
        <w:rPr>
          <w:rFonts w:asciiTheme="minorHAnsi" w:eastAsiaTheme="minorHAnsi" w:hAnsiTheme="minorHAnsi" w:cstheme="minorBidi"/>
        </w:rPr>
        <w:t xml:space="preserve">. Klíčové aktivity projektu zahrnovaly přípravu dvou návrhů paragrafových znění zákonů – zákona o terciárním vzdělávání (výstup byl během </w:t>
      </w:r>
      <w:r w:rsidR="005D7C69">
        <w:rPr>
          <w:rFonts w:asciiTheme="minorHAnsi" w:eastAsiaTheme="minorHAnsi" w:hAnsiTheme="minorHAnsi" w:cstheme="minorBidi"/>
        </w:rPr>
        <w:t xml:space="preserve">realizace </w:t>
      </w:r>
      <w:r w:rsidRPr="00E24FE0">
        <w:rPr>
          <w:rFonts w:asciiTheme="minorHAnsi" w:eastAsiaTheme="minorHAnsi" w:hAnsiTheme="minorHAnsi" w:cstheme="minorBidi"/>
        </w:rPr>
        <w:t xml:space="preserve">projektu změněn na novelu zákona o vysokých školách) a zákona o finanční pomoci studentům. Kromě toho měl vzniknout návrh na zřízení </w:t>
      </w:r>
      <w:r w:rsidR="00690881">
        <w:rPr>
          <w:rFonts w:asciiTheme="minorHAnsi" w:eastAsiaTheme="minorHAnsi" w:hAnsiTheme="minorHAnsi" w:cstheme="minorBidi"/>
        </w:rPr>
        <w:t>c</w:t>
      </w:r>
      <w:r w:rsidRPr="00E24FE0">
        <w:rPr>
          <w:rFonts w:asciiTheme="minorHAnsi" w:eastAsiaTheme="minorHAnsi" w:hAnsiTheme="minorHAnsi" w:cstheme="minorBidi"/>
        </w:rPr>
        <w:t xml:space="preserve">entra správy financování terciárního vzdělávání. </w:t>
      </w:r>
    </w:p>
    <w:p w14:paraId="29FA25DB" w14:textId="77777777" w:rsidR="00CE6D09" w:rsidRPr="00327154" w:rsidRDefault="00E27400" w:rsidP="003A71A3">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Projekt RTV nebyl v souladu s výzvou k předkládání projektů.</w:t>
      </w:r>
    </w:p>
    <w:p w14:paraId="7C8B1C9E" w14:textId="0241BE4B" w:rsidR="004067BA" w:rsidRPr="00E24FE0" w:rsidRDefault="004067BA" w:rsidP="002F0CFD">
      <w:pPr>
        <w:numPr>
          <w:ilvl w:val="0"/>
          <w:numId w:val="28"/>
        </w:numPr>
        <w:spacing w:after="200"/>
        <w:ind w:left="284" w:hanging="284"/>
        <w:contextualSpacing/>
        <w:jc w:val="both"/>
        <w:rPr>
          <w:rFonts w:asciiTheme="minorHAnsi" w:hAnsiTheme="minorHAnsi" w:cstheme="minorHAnsi"/>
        </w:rPr>
      </w:pPr>
      <w:r w:rsidRPr="00E24FE0">
        <w:rPr>
          <w:rFonts w:asciiTheme="minorHAnsi" w:hAnsiTheme="minorHAnsi" w:cstheme="minorHAnsi"/>
        </w:rPr>
        <w:t>NKÚ zjistil, že MŠMT projekt RTV schválilo, ačkoliv nebyl plně v souladu s výzvou k předkládání projektů. Výzva požadovala, aby projekty řešily jak návrh systémových změn, tak i jejich implementaci</w:t>
      </w:r>
      <w:r w:rsidR="005D7C69">
        <w:rPr>
          <w:rFonts w:asciiTheme="minorHAnsi" w:hAnsiTheme="minorHAnsi" w:cstheme="minorHAnsi"/>
        </w:rPr>
        <w:t>.</w:t>
      </w:r>
      <w:r w:rsidRPr="00E24FE0">
        <w:rPr>
          <w:rFonts w:asciiTheme="minorHAnsi" w:hAnsiTheme="minorHAnsi" w:cstheme="minorHAnsi"/>
          <w:vertAlign w:val="superscript"/>
        </w:rPr>
        <w:footnoteReference w:id="26"/>
      </w:r>
      <w:r w:rsidRPr="00E24FE0">
        <w:rPr>
          <w:rFonts w:asciiTheme="minorHAnsi" w:hAnsiTheme="minorHAnsi" w:cstheme="minorHAnsi"/>
        </w:rPr>
        <w:t xml:space="preserve"> </w:t>
      </w:r>
      <w:r w:rsidR="00F447D5">
        <w:rPr>
          <w:rFonts w:asciiTheme="minorHAnsi" w:hAnsiTheme="minorHAnsi" w:cstheme="minorHAnsi"/>
        </w:rPr>
        <w:t xml:space="preserve">Výstupem projektu RTV </w:t>
      </w:r>
      <w:r w:rsidR="005D7C69">
        <w:rPr>
          <w:rFonts w:asciiTheme="minorHAnsi" w:hAnsiTheme="minorHAnsi" w:cstheme="minorHAnsi"/>
        </w:rPr>
        <w:t xml:space="preserve">však </w:t>
      </w:r>
      <w:r w:rsidR="00F447D5">
        <w:rPr>
          <w:rFonts w:asciiTheme="minorHAnsi" w:hAnsiTheme="minorHAnsi" w:cstheme="minorHAnsi"/>
        </w:rPr>
        <w:t>byly pouze návrhy legislativních úprav.</w:t>
      </w:r>
    </w:p>
    <w:p w14:paraId="7FD5E656" w14:textId="20DD7155" w:rsidR="00CE6D09" w:rsidRDefault="004067BA" w:rsidP="002F0CFD">
      <w:pPr>
        <w:numPr>
          <w:ilvl w:val="0"/>
          <w:numId w:val="28"/>
        </w:numPr>
        <w:spacing w:after="120"/>
        <w:ind w:left="284" w:hanging="284"/>
        <w:contextualSpacing/>
        <w:jc w:val="both"/>
        <w:rPr>
          <w:rFonts w:asciiTheme="minorHAnsi" w:hAnsiTheme="minorHAnsi" w:cstheme="minorHAnsi"/>
        </w:rPr>
      </w:pPr>
      <w:r w:rsidRPr="00E24FE0">
        <w:rPr>
          <w:rFonts w:asciiTheme="minorHAnsi" w:hAnsiTheme="minorHAnsi" w:cstheme="minorHAnsi"/>
        </w:rPr>
        <w:t xml:space="preserve">MŠMT vykázalo </w:t>
      </w:r>
      <w:r w:rsidR="005D7C69">
        <w:rPr>
          <w:rFonts w:asciiTheme="minorHAnsi" w:hAnsiTheme="minorHAnsi" w:cstheme="minorHAnsi"/>
        </w:rPr>
        <w:t>naplnění</w:t>
      </w:r>
      <w:r w:rsidRPr="00E24FE0">
        <w:rPr>
          <w:rFonts w:asciiTheme="minorHAnsi" w:hAnsiTheme="minorHAnsi" w:cstheme="minorHAnsi"/>
        </w:rPr>
        <w:t xml:space="preserve"> monitorovacího </w:t>
      </w:r>
      <w:r w:rsidRPr="00952E15">
        <w:rPr>
          <w:rFonts w:asciiTheme="minorHAnsi" w:hAnsiTheme="minorHAnsi" w:cstheme="minorHAnsi"/>
        </w:rPr>
        <w:t>indikátoru</w:t>
      </w:r>
      <w:r w:rsidR="00952E15">
        <w:rPr>
          <w:rStyle w:val="Znakapoznpodarou"/>
          <w:rFonts w:asciiTheme="minorHAnsi" w:hAnsiTheme="minorHAnsi" w:cstheme="minorHAnsi"/>
        </w:rPr>
        <w:footnoteReference w:id="27"/>
      </w:r>
      <w:r w:rsidRPr="00952E15">
        <w:rPr>
          <w:rFonts w:asciiTheme="minorHAnsi" w:hAnsiTheme="minorHAnsi" w:cstheme="minorHAnsi"/>
        </w:rPr>
        <w:t xml:space="preserve"> </w:t>
      </w:r>
      <w:r w:rsidRPr="00E24FE0">
        <w:rPr>
          <w:rFonts w:asciiTheme="minorHAnsi" w:hAnsiTheme="minorHAnsi" w:cstheme="minorHAnsi"/>
        </w:rPr>
        <w:t>„</w:t>
      </w:r>
      <w:r w:rsidR="00690881" w:rsidRPr="00BF1A26">
        <w:rPr>
          <w:rFonts w:asciiTheme="minorHAnsi" w:hAnsiTheme="minorHAnsi" w:cstheme="minorHAnsi"/>
          <w:i/>
        </w:rPr>
        <w:t>p</w:t>
      </w:r>
      <w:r w:rsidRPr="00BF1A26">
        <w:rPr>
          <w:rFonts w:asciiTheme="minorHAnsi" w:hAnsiTheme="minorHAnsi" w:cstheme="minorHAnsi"/>
          <w:i/>
        </w:rPr>
        <w:t>očet nově vytvořených/inovovaných produktů</w:t>
      </w:r>
      <w:r w:rsidRPr="00E24FE0">
        <w:rPr>
          <w:rFonts w:asciiTheme="minorHAnsi" w:hAnsiTheme="minorHAnsi" w:cstheme="minorHAnsi"/>
        </w:rPr>
        <w:t>“ prostřednictvím věcných záměrů a legislativních návrhů. Z definice tohoto indikátoru však vyplývá, že do něj mají být zařazeny již přijaté právní předpisy a jiné dokumenty, které mají přímý dopad</w:t>
      </w:r>
      <w:r w:rsidR="00C15920">
        <w:rPr>
          <w:rFonts w:asciiTheme="minorHAnsi" w:hAnsiTheme="minorHAnsi" w:cstheme="minorHAnsi"/>
        </w:rPr>
        <w:t>,</w:t>
      </w:r>
      <w:r w:rsidRPr="00E24FE0">
        <w:rPr>
          <w:rFonts w:asciiTheme="minorHAnsi" w:hAnsiTheme="minorHAnsi" w:cstheme="minorHAnsi"/>
        </w:rPr>
        <w:t xml:space="preserve"> a nikoliv pouze návrhy.</w:t>
      </w:r>
    </w:p>
    <w:p w14:paraId="4BF264B5" w14:textId="1BD51488" w:rsidR="00CE6D09" w:rsidRPr="00327154" w:rsidRDefault="005D7C69" w:rsidP="00CE6D09">
      <w:pPr>
        <w:pStyle w:val="Odstavecseseznamem"/>
        <w:numPr>
          <w:ilvl w:val="0"/>
          <w:numId w:val="22"/>
        </w:numPr>
        <w:tabs>
          <w:tab w:val="left" w:pos="0"/>
        </w:tabs>
        <w:spacing w:after="120"/>
        <w:ind w:left="425" w:hanging="425"/>
        <w:jc w:val="both"/>
        <w:rPr>
          <w:rFonts w:asciiTheme="minorHAnsi" w:hAnsiTheme="minorHAnsi" w:cstheme="minorHAnsi"/>
          <w:b/>
          <w:i/>
        </w:rPr>
      </w:pPr>
      <w:r>
        <w:rPr>
          <w:rFonts w:asciiTheme="minorHAnsi" w:hAnsiTheme="minorHAnsi" w:cstheme="minorHAnsi"/>
          <w:b/>
          <w:i/>
        </w:rPr>
        <w:t> Do data ukončení</w:t>
      </w:r>
      <w:r w:rsidR="00CE6D09">
        <w:rPr>
          <w:rFonts w:asciiTheme="minorHAnsi" w:hAnsiTheme="minorHAnsi" w:cstheme="minorHAnsi"/>
          <w:b/>
          <w:i/>
        </w:rPr>
        <w:t xml:space="preserve"> kontroly NKÚ nebyl </w:t>
      </w:r>
      <w:r w:rsidR="00C606E5">
        <w:rPr>
          <w:rFonts w:asciiTheme="minorHAnsi" w:hAnsiTheme="minorHAnsi" w:cstheme="minorHAnsi"/>
          <w:b/>
          <w:i/>
        </w:rPr>
        <w:t>do praxe</w:t>
      </w:r>
      <w:r w:rsidRPr="005D7C69">
        <w:rPr>
          <w:rFonts w:asciiTheme="minorHAnsi" w:hAnsiTheme="minorHAnsi" w:cstheme="minorHAnsi"/>
          <w:b/>
          <w:i/>
        </w:rPr>
        <w:t xml:space="preserve"> </w:t>
      </w:r>
      <w:r>
        <w:rPr>
          <w:rFonts w:asciiTheme="minorHAnsi" w:hAnsiTheme="minorHAnsi" w:cstheme="minorHAnsi"/>
          <w:b/>
          <w:i/>
        </w:rPr>
        <w:t>zaveden</w:t>
      </w:r>
      <w:r w:rsidR="00C606E5">
        <w:rPr>
          <w:rFonts w:asciiTheme="minorHAnsi" w:hAnsiTheme="minorHAnsi" w:cstheme="minorHAnsi"/>
          <w:b/>
          <w:i/>
        </w:rPr>
        <w:t xml:space="preserve"> </w:t>
      </w:r>
      <w:r w:rsidR="00CE6D09">
        <w:rPr>
          <w:rFonts w:asciiTheme="minorHAnsi" w:hAnsiTheme="minorHAnsi" w:cstheme="minorHAnsi"/>
          <w:b/>
          <w:i/>
        </w:rPr>
        <w:t>jediný hlavní výstup</w:t>
      </w:r>
      <w:r w:rsidR="00C606E5">
        <w:rPr>
          <w:rFonts w:asciiTheme="minorHAnsi" w:hAnsiTheme="minorHAnsi" w:cstheme="minorHAnsi"/>
          <w:b/>
          <w:i/>
        </w:rPr>
        <w:t xml:space="preserve"> projektu RTV</w:t>
      </w:r>
      <w:r w:rsidR="00CE6D09">
        <w:rPr>
          <w:rFonts w:asciiTheme="minorHAnsi" w:hAnsiTheme="minorHAnsi" w:cstheme="minorHAnsi"/>
          <w:b/>
          <w:i/>
        </w:rPr>
        <w:t>.</w:t>
      </w:r>
    </w:p>
    <w:p w14:paraId="2D0E4A26" w14:textId="7677D98B" w:rsidR="00447EAD" w:rsidRDefault="004067BA" w:rsidP="00CE6D09">
      <w:pPr>
        <w:spacing w:after="120"/>
        <w:jc w:val="both"/>
        <w:rPr>
          <w:rFonts w:asciiTheme="minorHAnsi" w:hAnsiTheme="minorHAnsi" w:cstheme="minorHAnsi"/>
        </w:rPr>
      </w:pPr>
      <w:r w:rsidRPr="00E24FE0">
        <w:rPr>
          <w:rFonts w:asciiTheme="minorHAnsi" w:hAnsiTheme="minorHAnsi" w:cstheme="minorHAnsi"/>
        </w:rPr>
        <w:t xml:space="preserve">K datu </w:t>
      </w:r>
      <w:r w:rsidR="002A0E8A">
        <w:rPr>
          <w:rFonts w:asciiTheme="minorHAnsi" w:hAnsiTheme="minorHAnsi" w:cstheme="minorHAnsi"/>
        </w:rPr>
        <w:t xml:space="preserve">ukončení </w:t>
      </w:r>
      <w:r w:rsidRPr="00E24FE0">
        <w:rPr>
          <w:rFonts w:asciiTheme="minorHAnsi" w:hAnsiTheme="minorHAnsi" w:cstheme="minorHAnsi"/>
        </w:rPr>
        <w:t xml:space="preserve">kontroly NKÚ nebyl v projektu RTV schválen jediný </w:t>
      </w:r>
      <w:r>
        <w:rPr>
          <w:rFonts w:asciiTheme="minorHAnsi" w:hAnsiTheme="minorHAnsi" w:cstheme="minorHAnsi"/>
        </w:rPr>
        <w:t>hlavní</w:t>
      </w:r>
      <w:r w:rsidRPr="00E24FE0">
        <w:rPr>
          <w:rFonts w:asciiTheme="minorHAnsi" w:hAnsiTheme="minorHAnsi" w:cstheme="minorHAnsi"/>
        </w:rPr>
        <w:t xml:space="preserve"> výstup. Nebyla schválena novela zákona o vysokých školách ani návrh zákona o finanční pomoci studentům, s jehož přijetím se s ohledem na opuštění myšlenky na zavedení školného</w:t>
      </w:r>
      <w:r w:rsidR="002A0E8A">
        <w:rPr>
          <w:rFonts w:asciiTheme="minorHAnsi" w:hAnsiTheme="minorHAnsi" w:cstheme="minorHAnsi"/>
        </w:rPr>
        <w:t xml:space="preserve"> v </w:t>
      </w:r>
      <w:r>
        <w:rPr>
          <w:rFonts w:asciiTheme="minorHAnsi" w:hAnsiTheme="minorHAnsi" w:cstheme="minorHAnsi"/>
        </w:rPr>
        <w:t>současnosti</w:t>
      </w:r>
      <w:r w:rsidRPr="00E24FE0">
        <w:rPr>
          <w:rFonts w:asciiTheme="minorHAnsi" w:hAnsiTheme="minorHAnsi" w:cstheme="minorHAnsi"/>
        </w:rPr>
        <w:t xml:space="preserve"> nepočítá. Výsledkem přípravy návrhu na zřízení </w:t>
      </w:r>
      <w:r w:rsidR="00690881">
        <w:rPr>
          <w:rFonts w:asciiTheme="minorHAnsi" w:hAnsiTheme="minorHAnsi" w:cstheme="minorHAnsi"/>
        </w:rPr>
        <w:t>c</w:t>
      </w:r>
      <w:r w:rsidRPr="00E24FE0">
        <w:rPr>
          <w:rFonts w:asciiTheme="minorHAnsi" w:hAnsiTheme="minorHAnsi" w:cstheme="minorHAnsi"/>
        </w:rPr>
        <w:t>entra správy financování terciárního vzdělávání bylo</w:t>
      </w:r>
      <w:r w:rsidR="005D7C69">
        <w:rPr>
          <w:rFonts w:asciiTheme="minorHAnsi" w:hAnsiTheme="minorHAnsi" w:cstheme="minorHAnsi"/>
        </w:rPr>
        <w:t xml:space="preserve"> zjištění</w:t>
      </w:r>
      <w:r w:rsidRPr="00E24FE0">
        <w:rPr>
          <w:rFonts w:asciiTheme="minorHAnsi" w:hAnsiTheme="minorHAnsi" w:cstheme="minorHAnsi"/>
        </w:rPr>
        <w:t xml:space="preserve">, že </w:t>
      </w:r>
      <w:r w:rsidR="005D7C69">
        <w:rPr>
          <w:rFonts w:asciiTheme="minorHAnsi" w:hAnsiTheme="minorHAnsi" w:cstheme="minorHAnsi"/>
        </w:rPr>
        <w:t xml:space="preserve">centrum </w:t>
      </w:r>
      <w:r w:rsidRPr="00E24FE0">
        <w:rPr>
          <w:rFonts w:asciiTheme="minorHAnsi" w:hAnsiTheme="minorHAnsi" w:cstheme="minorHAnsi"/>
        </w:rPr>
        <w:t xml:space="preserve">představuje velkou finanční zátěž </w:t>
      </w:r>
      <w:r w:rsidR="003A71A3">
        <w:rPr>
          <w:rFonts w:asciiTheme="minorHAnsi" w:hAnsiTheme="minorHAnsi" w:cstheme="minorHAnsi"/>
        </w:rPr>
        <w:t xml:space="preserve">pro </w:t>
      </w:r>
      <w:r w:rsidRPr="00E24FE0">
        <w:rPr>
          <w:rFonts w:asciiTheme="minorHAnsi" w:hAnsiTheme="minorHAnsi" w:cstheme="minorHAnsi"/>
        </w:rPr>
        <w:t>státní rozpoč</w:t>
      </w:r>
      <w:r w:rsidR="003A71A3">
        <w:rPr>
          <w:rFonts w:asciiTheme="minorHAnsi" w:hAnsiTheme="minorHAnsi" w:cstheme="minorHAnsi"/>
        </w:rPr>
        <w:t>e</w:t>
      </w:r>
      <w:r w:rsidRPr="00E24FE0">
        <w:rPr>
          <w:rFonts w:asciiTheme="minorHAnsi" w:hAnsiTheme="minorHAnsi" w:cstheme="minorHAnsi"/>
        </w:rPr>
        <w:t>t a</w:t>
      </w:r>
      <w:r w:rsidR="001A219D">
        <w:rPr>
          <w:rFonts w:asciiTheme="minorHAnsi" w:hAnsiTheme="minorHAnsi" w:cstheme="minorHAnsi"/>
        </w:rPr>
        <w:t> </w:t>
      </w:r>
      <w:r w:rsidR="00C15920">
        <w:rPr>
          <w:rFonts w:asciiTheme="minorHAnsi" w:hAnsiTheme="minorHAnsi" w:cstheme="minorHAnsi"/>
        </w:rPr>
        <w:t xml:space="preserve">že </w:t>
      </w:r>
      <w:r w:rsidRPr="00E24FE0">
        <w:rPr>
          <w:rFonts w:asciiTheme="minorHAnsi" w:hAnsiTheme="minorHAnsi" w:cstheme="minorHAnsi"/>
        </w:rPr>
        <w:t>existují výhodnější varianty se zapojením soukromého sektoru.</w:t>
      </w:r>
    </w:p>
    <w:p w14:paraId="5119AA3F" w14:textId="6EE1B04A" w:rsidR="004067BA" w:rsidRDefault="00447EAD" w:rsidP="00CE6D09">
      <w:pPr>
        <w:spacing w:after="120"/>
        <w:jc w:val="both"/>
        <w:rPr>
          <w:rFonts w:asciiTheme="minorHAnsi" w:hAnsiTheme="minorHAnsi" w:cstheme="minorHAnsi"/>
        </w:rPr>
      </w:pPr>
      <w:r w:rsidRPr="00447EAD">
        <w:rPr>
          <w:rFonts w:asciiTheme="minorHAnsi" w:hAnsiTheme="minorHAnsi" w:cstheme="minorHAnsi"/>
        </w:rPr>
        <w:t xml:space="preserve">Řídicí orgán OP VK ani po </w:t>
      </w:r>
      <w:r w:rsidR="005D7C69">
        <w:rPr>
          <w:rFonts w:asciiTheme="minorHAnsi" w:hAnsiTheme="minorHAnsi" w:cstheme="minorHAnsi"/>
        </w:rPr>
        <w:t>více než dvou</w:t>
      </w:r>
      <w:r w:rsidRPr="00447EAD">
        <w:rPr>
          <w:rFonts w:asciiTheme="minorHAnsi" w:hAnsiTheme="minorHAnsi" w:cstheme="minorHAnsi"/>
        </w:rPr>
        <w:t xml:space="preserve"> letech</w:t>
      </w:r>
      <w:r w:rsidRPr="00447EAD">
        <w:rPr>
          <w:rStyle w:val="Znakapoznpodarou"/>
          <w:rFonts w:asciiTheme="minorHAnsi" w:hAnsiTheme="minorHAnsi" w:cstheme="minorHAnsi"/>
        </w:rPr>
        <w:footnoteReference w:id="28"/>
      </w:r>
      <w:r w:rsidRPr="00447EAD">
        <w:rPr>
          <w:rFonts w:asciiTheme="minorHAnsi" w:hAnsiTheme="minorHAnsi" w:cstheme="minorHAnsi"/>
        </w:rPr>
        <w:t xml:space="preserve"> od ukončení projektu neschválil závěrečnou monitorovací zprávu, neboť neměl dostatek i</w:t>
      </w:r>
      <w:r w:rsidR="005D7C69">
        <w:rPr>
          <w:rFonts w:asciiTheme="minorHAnsi" w:hAnsiTheme="minorHAnsi" w:cstheme="minorHAnsi"/>
        </w:rPr>
        <w:t>nformací k naplnění jeho cílů a </w:t>
      </w:r>
      <w:r w:rsidRPr="00447EAD">
        <w:rPr>
          <w:rFonts w:asciiTheme="minorHAnsi" w:hAnsiTheme="minorHAnsi" w:cstheme="minorHAnsi"/>
        </w:rPr>
        <w:t>účelu.</w:t>
      </w:r>
    </w:p>
    <w:p w14:paraId="49ABA868" w14:textId="77777777" w:rsidR="0084332A" w:rsidRPr="00447EAD" w:rsidRDefault="0084332A" w:rsidP="00CE6D09">
      <w:pPr>
        <w:spacing w:after="120"/>
        <w:jc w:val="both"/>
        <w:rPr>
          <w:rFonts w:asciiTheme="minorHAnsi" w:hAnsiTheme="minorHAnsi" w:cstheme="minorHAnsi"/>
        </w:rPr>
      </w:pPr>
    </w:p>
    <w:p w14:paraId="38531CD2" w14:textId="77777777" w:rsidR="00663BFC" w:rsidRPr="00327154" w:rsidRDefault="00663BFC" w:rsidP="00663BFC">
      <w:pPr>
        <w:pStyle w:val="Odstavecseseznamem"/>
        <w:numPr>
          <w:ilvl w:val="0"/>
          <w:numId w:val="22"/>
        </w:numPr>
        <w:tabs>
          <w:tab w:val="left" w:pos="0"/>
        </w:tabs>
        <w:spacing w:after="120"/>
        <w:ind w:left="425" w:hanging="425"/>
        <w:contextualSpacing w:val="0"/>
        <w:jc w:val="both"/>
        <w:rPr>
          <w:rFonts w:asciiTheme="minorHAnsi" w:hAnsiTheme="minorHAnsi" w:cstheme="minorHAnsi"/>
          <w:b/>
          <w:i/>
        </w:rPr>
      </w:pPr>
      <w:r>
        <w:rPr>
          <w:rFonts w:asciiTheme="minorHAnsi" w:hAnsiTheme="minorHAnsi" w:cstheme="minorHAnsi"/>
          <w:b/>
          <w:i/>
        </w:rPr>
        <w:lastRenderedPageBreak/>
        <w:t>MŠMT financovalo z projektu činnosti, které mají zajišťovat jeho zaměstnanci.</w:t>
      </w:r>
    </w:p>
    <w:p w14:paraId="67856506" w14:textId="42E0D3CC" w:rsidR="002A0E8A" w:rsidRDefault="004067BA" w:rsidP="003A71A3">
      <w:pPr>
        <w:spacing w:after="120"/>
        <w:contextualSpacing/>
        <w:jc w:val="both"/>
        <w:rPr>
          <w:rFonts w:asciiTheme="minorHAnsi" w:hAnsiTheme="minorHAnsi" w:cstheme="minorHAnsi"/>
        </w:rPr>
      </w:pPr>
      <w:r w:rsidRPr="00E24FE0">
        <w:rPr>
          <w:rFonts w:asciiTheme="minorHAnsi" w:hAnsiTheme="minorHAnsi" w:cstheme="minorHAnsi"/>
        </w:rPr>
        <w:t xml:space="preserve">Jak </w:t>
      </w:r>
      <w:r w:rsidR="00306E2B">
        <w:rPr>
          <w:rFonts w:asciiTheme="minorHAnsi" w:hAnsiTheme="minorHAnsi" w:cstheme="minorHAnsi"/>
        </w:rPr>
        <w:t>již bylo</w:t>
      </w:r>
      <w:r w:rsidRPr="00E24FE0">
        <w:rPr>
          <w:rFonts w:asciiTheme="minorHAnsi" w:hAnsiTheme="minorHAnsi" w:cstheme="minorHAnsi"/>
        </w:rPr>
        <w:t xml:space="preserve"> uvedeno</w:t>
      </w:r>
      <w:r w:rsidR="00C15920">
        <w:rPr>
          <w:rFonts w:asciiTheme="minorHAnsi" w:hAnsiTheme="minorHAnsi" w:cstheme="minorHAnsi"/>
        </w:rPr>
        <w:t>,</w:t>
      </w:r>
      <w:r w:rsidRPr="00E24FE0">
        <w:rPr>
          <w:rFonts w:asciiTheme="minorHAnsi" w:hAnsiTheme="minorHAnsi" w:cstheme="minorHAnsi"/>
        </w:rPr>
        <w:t xml:space="preserve"> MŠMT financovalo z projektu RTV přípr</w:t>
      </w:r>
      <w:r w:rsidR="003A71A3">
        <w:rPr>
          <w:rFonts w:asciiTheme="minorHAnsi" w:hAnsiTheme="minorHAnsi" w:cstheme="minorHAnsi"/>
        </w:rPr>
        <w:t>avu návrhů právních předpisů, a </w:t>
      </w:r>
      <w:r w:rsidRPr="00E24FE0">
        <w:rPr>
          <w:rFonts w:asciiTheme="minorHAnsi" w:hAnsiTheme="minorHAnsi" w:cstheme="minorHAnsi"/>
        </w:rPr>
        <w:t>to jak část analytickou, tak i vypracování jejich paragrafových znění. Příprava legislativy v oblasti terciárního vzdělávání přitom</w:t>
      </w:r>
      <w:r w:rsidR="00306E2B">
        <w:rPr>
          <w:rFonts w:asciiTheme="minorHAnsi" w:hAnsiTheme="minorHAnsi" w:cstheme="minorHAnsi"/>
        </w:rPr>
        <w:t xml:space="preserve"> patří mezi</w:t>
      </w:r>
      <w:r w:rsidRPr="00E24FE0">
        <w:rPr>
          <w:rFonts w:asciiTheme="minorHAnsi" w:hAnsiTheme="minorHAnsi" w:cstheme="minorHAnsi"/>
        </w:rPr>
        <w:t xml:space="preserve"> zákonn</w:t>
      </w:r>
      <w:r w:rsidR="00306E2B">
        <w:rPr>
          <w:rFonts w:asciiTheme="minorHAnsi" w:hAnsiTheme="minorHAnsi" w:cstheme="minorHAnsi"/>
        </w:rPr>
        <w:t>é</w:t>
      </w:r>
      <w:r w:rsidRPr="00E24FE0">
        <w:rPr>
          <w:rFonts w:asciiTheme="minorHAnsi" w:hAnsiTheme="minorHAnsi" w:cstheme="minorHAnsi"/>
        </w:rPr>
        <w:t xml:space="preserve"> povinnost</w:t>
      </w:r>
      <w:r w:rsidR="00306E2B">
        <w:rPr>
          <w:rFonts w:asciiTheme="minorHAnsi" w:hAnsiTheme="minorHAnsi" w:cstheme="minorHAnsi"/>
        </w:rPr>
        <w:t>i</w:t>
      </w:r>
      <w:r w:rsidRPr="00E24FE0">
        <w:rPr>
          <w:rFonts w:asciiTheme="minorHAnsi" w:hAnsiTheme="minorHAnsi" w:cstheme="minorHAnsi"/>
        </w:rPr>
        <w:t xml:space="preserve"> MŠMT jakožto ústředního orgánu státní správy a v jeho organizační struktuře </w:t>
      </w:r>
      <w:r w:rsidR="00306E2B">
        <w:rPr>
          <w:rFonts w:asciiTheme="minorHAnsi" w:hAnsiTheme="minorHAnsi" w:cstheme="minorHAnsi"/>
        </w:rPr>
        <w:t>jsou vytvořeny</w:t>
      </w:r>
      <w:r w:rsidRPr="00E24FE0">
        <w:rPr>
          <w:rFonts w:asciiTheme="minorHAnsi" w:hAnsiTheme="minorHAnsi" w:cstheme="minorHAnsi"/>
        </w:rPr>
        <w:t xml:space="preserve"> specializované útvary pověřené zpracováním této legislativy. </w:t>
      </w:r>
      <w:r>
        <w:rPr>
          <w:rFonts w:asciiTheme="minorHAnsi" w:hAnsiTheme="minorHAnsi" w:cstheme="minorHAnsi"/>
        </w:rPr>
        <w:t>Právní předpis EU požaduje, aby podpora ze strukturálních fondů nenahrazovala veřejné výdaje členského státu</w:t>
      </w:r>
      <w:r w:rsidR="00306E2B">
        <w:rPr>
          <w:rFonts w:asciiTheme="minorHAnsi" w:hAnsiTheme="minorHAnsi" w:cstheme="minorHAnsi"/>
        </w:rPr>
        <w:t>.</w:t>
      </w:r>
      <w:r w:rsidRPr="00E24FE0">
        <w:rPr>
          <w:rFonts w:asciiTheme="minorHAnsi" w:hAnsiTheme="minorHAnsi" w:cstheme="minorHAnsi"/>
          <w:vertAlign w:val="superscript"/>
        </w:rPr>
        <w:footnoteReference w:id="29"/>
      </w:r>
      <w:r>
        <w:rPr>
          <w:rFonts w:asciiTheme="minorHAnsi" w:hAnsiTheme="minorHAnsi" w:cstheme="minorHAnsi"/>
        </w:rPr>
        <w:t xml:space="preserve"> </w:t>
      </w:r>
      <w:r w:rsidRPr="00E24FE0">
        <w:rPr>
          <w:rFonts w:asciiTheme="minorHAnsi" w:hAnsiTheme="minorHAnsi" w:cstheme="minorHAnsi"/>
        </w:rPr>
        <w:t xml:space="preserve">MŠMT </w:t>
      </w:r>
      <w:r>
        <w:rPr>
          <w:rFonts w:asciiTheme="minorHAnsi" w:hAnsiTheme="minorHAnsi" w:cstheme="minorHAnsi"/>
        </w:rPr>
        <w:t xml:space="preserve">možné porušení tohoto pravidla </w:t>
      </w:r>
      <w:r w:rsidRPr="00E24FE0">
        <w:rPr>
          <w:rFonts w:asciiTheme="minorHAnsi" w:hAnsiTheme="minorHAnsi" w:cstheme="minorHAnsi"/>
        </w:rPr>
        <w:t xml:space="preserve">řešilo již během </w:t>
      </w:r>
      <w:r>
        <w:rPr>
          <w:rFonts w:asciiTheme="minorHAnsi" w:hAnsiTheme="minorHAnsi" w:cstheme="minorHAnsi"/>
        </w:rPr>
        <w:t>realizace</w:t>
      </w:r>
      <w:r w:rsidR="00306E2B">
        <w:rPr>
          <w:rFonts w:asciiTheme="minorHAnsi" w:hAnsiTheme="minorHAnsi" w:cstheme="minorHAnsi"/>
        </w:rPr>
        <w:t xml:space="preserve"> projektu RTV a </w:t>
      </w:r>
      <w:r w:rsidRPr="00E24FE0">
        <w:rPr>
          <w:rFonts w:asciiTheme="minorHAnsi" w:hAnsiTheme="minorHAnsi" w:cstheme="minorHAnsi"/>
        </w:rPr>
        <w:t xml:space="preserve">upozornil na </w:t>
      </w:r>
      <w:r>
        <w:rPr>
          <w:rFonts w:asciiTheme="minorHAnsi" w:hAnsiTheme="minorHAnsi" w:cstheme="minorHAnsi"/>
        </w:rPr>
        <w:t>něj</w:t>
      </w:r>
      <w:r w:rsidRPr="00E24FE0">
        <w:rPr>
          <w:rFonts w:asciiTheme="minorHAnsi" w:hAnsiTheme="minorHAnsi" w:cstheme="minorHAnsi"/>
        </w:rPr>
        <w:t xml:space="preserve"> i audit pověřeného auditního subjektu. </w:t>
      </w:r>
      <w:r>
        <w:rPr>
          <w:rFonts w:asciiTheme="minorHAnsi" w:hAnsiTheme="minorHAnsi" w:cstheme="minorHAnsi"/>
        </w:rPr>
        <w:t xml:space="preserve">V roce 2013 </w:t>
      </w:r>
      <w:r w:rsidR="00306E2B">
        <w:rPr>
          <w:rFonts w:asciiTheme="minorHAnsi" w:hAnsiTheme="minorHAnsi" w:cstheme="minorHAnsi"/>
        </w:rPr>
        <w:t xml:space="preserve">dospělo </w:t>
      </w:r>
      <w:r>
        <w:rPr>
          <w:rFonts w:asciiTheme="minorHAnsi" w:hAnsiTheme="minorHAnsi" w:cstheme="minorHAnsi"/>
        </w:rPr>
        <w:t>MŠMT</w:t>
      </w:r>
      <w:r w:rsidRPr="00E24FE0">
        <w:rPr>
          <w:rFonts w:asciiTheme="minorHAnsi" w:hAnsiTheme="minorHAnsi" w:cstheme="minorHAnsi"/>
        </w:rPr>
        <w:t xml:space="preserve"> k závěru, že </w:t>
      </w:r>
      <w:r>
        <w:rPr>
          <w:rFonts w:asciiTheme="minorHAnsi" w:hAnsiTheme="minorHAnsi" w:cstheme="minorHAnsi"/>
        </w:rPr>
        <w:t>k porušení právního předpisu EU nedošlo</w:t>
      </w:r>
      <w:r w:rsidRPr="00E24FE0">
        <w:rPr>
          <w:rFonts w:asciiTheme="minorHAnsi" w:hAnsiTheme="minorHAnsi" w:cstheme="minorHAnsi"/>
        </w:rPr>
        <w:t>.</w:t>
      </w:r>
      <w:r>
        <w:rPr>
          <w:rFonts w:asciiTheme="minorHAnsi" w:hAnsiTheme="minorHAnsi" w:cstheme="minorHAnsi"/>
        </w:rPr>
        <w:t xml:space="preserve"> Ministerstvo totiž konstatovalo, že projekt hradí za</w:t>
      </w:r>
      <w:r w:rsidR="003A71A3">
        <w:rPr>
          <w:rFonts w:asciiTheme="minorHAnsi" w:hAnsiTheme="minorHAnsi" w:cstheme="minorHAnsi"/>
        </w:rPr>
        <w:t>pojení odborné veřejnosti a </w:t>
      </w:r>
      <w:r>
        <w:rPr>
          <w:rFonts w:asciiTheme="minorHAnsi" w:hAnsiTheme="minorHAnsi" w:cstheme="minorHAnsi"/>
        </w:rPr>
        <w:t xml:space="preserve">expertů, tedy činnosti, které nemohly specializované útvary zajistit. NKÚ však zjistil, že z rozpočtu projektu </w:t>
      </w:r>
      <w:r w:rsidR="00A70A63">
        <w:rPr>
          <w:rFonts w:asciiTheme="minorHAnsi" w:hAnsiTheme="minorHAnsi" w:cstheme="minorHAnsi"/>
        </w:rPr>
        <w:t xml:space="preserve">byly </w:t>
      </w:r>
      <w:r>
        <w:rPr>
          <w:rFonts w:asciiTheme="minorHAnsi" w:hAnsiTheme="minorHAnsi" w:cstheme="minorHAnsi"/>
        </w:rPr>
        <w:t>hrazeny i činnosti, které měli vykonat zaměstnanci MŠMT v rámci své běžné činnosti</w:t>
      </w:r>
      <w:r>
        <w:rPr>
          <w:rStyle w:val="Znakapoznpodarou"/>
          <w:rFonts w:asciiTheme="minorHAnsi" w:hAnsiTheme="minorHAnsi" w:cstheme="minorHAnsi"/>
        </w:rPr>
        <w:footnoteReference w:id="30"/>
      </w:r>
      <w:r>
        <w:rPr>
          <w:rFonts w:asciiTheme="minorHAnsi" w:hAnsiTheme="minorHAnsi" w:cstheme="minorHAnsi"/>
        </w:rPr>
        <w:t>.</w:t>
      </w:r>
      <w:r w:rsidR="004D18E8" w:rsidRPr="004D18E8">
        <w:rPr>
          <w:rFonts w:asciiTheme="minorHAnsi" w:hAnsiTheme="minorHAnsi" w:cstheme="minorHAnsi"/>
          <w:b/>
          <w:sz w:val="28"/>
          <w:szCs w:val="28"/>
        </w:rPr>
        <w:t xml:space="preserve"> </w:t>
      </w:r>
    </w:p>
    <w:p w14:paraId="038194FD" w14:textId="5F3F836B" w:rsidR="004067BA" w:rsidRDefault="004067BA" w:rsidP="00824E07">
      <w:pPr>
        <w:pStyle w:val="KPnormln"/>
        <w:spacing w:before="0" w:after="0"/>
        <w:ind w:firstLine="0"/>
        <w:rPr>
          <w:rFonts w:eastAsiaTheme="minorHAnsi"/>
        </w:rPr>
      </w:pPr>
      <w:r w:rsidRPr="00E24FE0">
        <w:rPr>
          <w:rFonts w:eastAsiaTheme="minorHAnsi"/>
        </w:rPr>
        <w:t xml:space="preserve">MŠMT vynaložilo finanční prostředky </w:t>
      </w:r>
      <w:r w:rsidR="0008606F">
        <w:rPr>
          <w:rFonts w:eastAsiaTheme="minorHAnsi"/>
        </w:rPr>
        <w:t>neúčelně</w:t>
      </w:r>
      <w:r w:rsidRPr="00E24FE0">
        <w:rPr>
          <w:rFonts w:eastAsiaTheme="minorHAnsi"/>
        </w:rPr>
        <w:t>, neboť schvál</w:t>
      </w:r>
      <w:r w:rsidR="00FA058B">
        <w:rPr>
          <w:rFonts w:eastAsiaTheme="minorHAnsi"/>
        </w:rPr>
        <w:t>ilo projekt RTV, přestože byl v </w:t>
      </w:r>
      <w:r w:rsidRPr="00E24FE0">
        <w:rPr>
          <w:rFonts w:eastAsiaTheme="minorHAnsi"/>
        </w:rPr>
        <w:t>rozporu s</w:t>
      </w:r>
      <w:r w:rsidR="00306E2B">
        <w:rPr>
          <w:rFonts w:eastAsiaTheme="minorHAnsi"/>
        </w:rPr>
        <w:t> </w:t>
      </w:r>
      <w:r w:rsidRPr="00E24FE0">
        <w:rPr>
          <w:rFonts w:eastAsiaTheme="minorHAnsi"/>
        </w:rPr>
        <w:t>výzvou</w:t>
      </w:r>
      <w:r w:rsidR="00306E2B">
        <w:rPr>
          <w:rFonts w:eastAsiaTheme="minorHAnsi"/>
        </w:rPr>
        <w:t>,</w:t>
      </w:r>
      <w:r w:rsidRPr="00E24FE0">
        <w:rPr>
          <w:rFonts w:eastAsiaTheme="minorHAnsi"/>
          <w:sz w:val="22"/>
        </w:rPr>
        <w:t xml:space="preserve"> </w:t>
      </w:r>
      <w:r w:rsidRPr="00E24FE0">
        <w:rPr>
          <w:rFonts w:eastAsiaTheme="minorHAnsi"/>
        </w:rPr>
        <w:t>a porušilo stanovenou podmínku udržitelnosti. Porušilo také povinnost plnit úkoly nejhospodárnějším způsobem</w:t>
      </w:r>
      <w:r w:rsidR="00306E2B">
        <w:rPr>
          <w:rFonts w:eastAsiaTheme="minorHAnsi"/>
        </w:rPr>
        <w:t xml:space="preserve"> (danou zákonem č. 218/2000 Sb.)</w:t>
      </w:r>
      <w:r w:rsidRPr="00E24FE0">
        <w:rPr>
          <w:rFonts w:eastAsiaTheme="minorHAnsi"/>
        </w:rPr>
        <w:t xml:space="preserve">, protože vynaložilo veřejné prostředky na výstupy, které nevedly ke splnění stanovených cílů. </w:t>
      </w:r>
    </w:p>
    <w:p w14:paraId="0DF890C5" w14:textId="77777777" w:rsidR="00824E07" w:rsidRDefault="00824E07" w:rsidP="006B096A">
      <w:pPr>
        <w:rPr>
          <w:rFonts w:asciiTheme="minorHAnsi" w:hAnsiTheme="minorHAnsi" w:cstheme="minorHAnsi"/>
          <w:b/>
        </w:rPr>
      </w:pPr>
    </w:p>
    <w:p w14:paraId="0E93C8C9" w14:textId="77777777" w:rsidR="00824E07" w:rsidRDefault="00824E07" w:rsidP="006B096A">
      <w:pPr>
        <w:rPr>
          <w:rFonts w:asciiTheme="minorHAnsi" w:hAnsiTheme="minorHAnsi" w:cstheme="minorHAnsi"/>
          <w:b/>
        </w:rPr>
      </w:pPr>
    </w:p>
    <w:p w14:paraId="65276EA0" w14:textId="77777777" w:rsidR="006B096A" w:rsidRPr="006B096A" w:rsidRDefault="006B096A" w:rsidP="006B096A">
      <w:pPr>
        <w:rPr>
          <w:rFonts w:asciiTheme="minorHAnsi" w:hAnsiTheme="minorHAnsi" w:cstheme="minorHAnsi"/>
          <w:b/>
        </w:rPr>
      </w:pPr>
      <w:r w:rsidRPr="006B096A">
        <w:rPr>
          <w:rFonts w:asciiTheme="minorHAnsi" w:hAnsiTheme="minorHAnsi" w:cstheme="minorHAnsi"/>
          <w:b/>
        </w:rPr>
        <w:t>Seznam zkratek</w:t>
      </w:r>
    </w:p>
    <w:p w14:paraId="409016C3" w14:textId="77777777" w:rsidR="006B096A" w:rsidRPr="006B096A" w:rsidRDefault="006B096A" w:rsidP="006B096A">
      <w:pPr>
        <w:rPr>
          <w:rFonts w:asciiTheme="minorHAnsi" w:hAnsiTheme="minorHAnsi" w:cstheme="minorHAnsi"/>
        </w:rPr>
      </w:pPr>
    </w:p>
    <w:p w14:paraId="34CBCEC3" w14:textId="33AAFB7C"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CRR</w:t>
      </w:r>
      <w:r w:rsidRPr="006B096A">
        <w:rPr>
          <w:rFonts w:asciiTheme="minorHAnsi" w:hAnsiTheme="minorHAnsi" w:cstheme="minorHAnsi"/>
        </w:rPr>
        <w:tab/>
        <w:t>Centrum pro regionální rozvoj ČR</w:t>
      </w:r>
    </w:p>
    <w:p w14:paraId="09C7D221" w14:textId="3205D8EE"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EFRR</w:t>
      </w:r>
      <w:r w:rsidRPr="006B096A">
        <w:rPr>
          <w:rFonts w:asciiTheme="minorHAnsi" w:hAnsiTheme="minorHAnsi" w:cstheme="minorHAnsi"/>
        </w:rPr>
        <w:tab/>
      </w:r>
      <w:r w:rsidRPr="00295827">
        <w:rPr>
          <w:rFonts w:asciiTheme="minorHAnsi" w:hAnsiTheme="minorHAnsi" w:cstheme="minorHAnsi"/>
          <w:i/>
        </w:rPr>
        <w:t>Evropský fond pro regionální rozvoj</w:t>
      </w:r>
      <w:r w:rsidRPr="006B096A">
        <w:rPr>
          <w:rFonts w:asciiTheme="minorHAnsi" w:hAnsiTheme="minorHAnsi" w:cstheme="minorHAnsi"/>
        </w:rPr>
        <w:t xml:space="preserve"> </w:t>
      </w:r>
    </w:p>
    <w:p w14:paraId="51D4F3CF" w14:textId="6D67B2C4"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ESF</w:t>
      </w:r>
      <w:r w:rsidRPr="006B096A">
        <w:rPr>
          <w:rFonts w:asciiTheme="minorHAnsi" w:hAnsiTheme="minorHAnsi" w:cstheme="minorHAnsi"/>
        </w:rPr>
        <w:tab/>
      </w:r>
      <w:r w:rsidRPr="00295827">
        <w:rPr>
          <w:rFonts w:asciiTheme="minorHAnsi" w:hAnsiTheme="minorHAnsi" w:cstheme="minorHAnsi"/>
          <w:i/>
        </w:rPr>
        <w:t>Evropský sociální fond</w:t>
      </w:r>
    </w:p>
    <w:p w14:paraId="719A3266" w14:textId="01FD5FBF"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IOP</w:t>
      </w:r>
      <w:r w:rsidRPr="006B096A">
        <w:rPr>
          <w:rFonts w:asciiTheme="minorHAnsi" w:hAnsiTheme="minorHAnsi" w:cstheme="minorHAnsi"/>
        </w:rPr>
        <w:tab/>
      </w:r>
      <w:r w:rsidRPr="00295827">
        <w:rPr>
          <w:rFonts w:asciiTheme="minorHAnsi" w:hAnsiTheme="minorHAnsi" w:cstheme="minorHAnsi"/>
          <w:i/>
        </w:rPr>
        <w:t>Integrovaný operační program</w:t>
      </w:r>
    </w:p>
    <w:p w14:paraId="438C69F7" w14:textId="19C3043B"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MMR</w:t>
      </w:r>
      <w:r w:rsidRPr="006B096A">
        <w:rPr>
          <w:rFonts w:asciiTheme="minorHAnsi" w:hAnsiTheme="minorHAnsi" w:cstheme="minorHAnsi"/>
        </w:rPr>
        <w:tab/>
        <w:t>Ministerstvo pro místní rozvoj</w:t>
      </w:r>
    </w:p>
    <w:p w14:paraId="7CCA0CC2" w14:textId="57FADB00"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MPSV</w:t>
      </w:r>
      <w:r w:rsidRPr="006B096A">
        <w:rPr>
          <w:rFonts w:asciiTheme="minorHAnsi" w:hAnsiTheme="minorHAnsi" w:cstheme="minorHAnsi"/>
        </w:rPr>
        <w:tab/>
        <w:t xml:space="preserve">Ministerstvo práce a sociálních věcí </w:t>
      </w:r>
    </w:p>
    <w:p w14:paraId="6E585B1F" w14:textId="059B7BCC"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MŠMT</w:t>
      </w:r>
      <w:r w:rsidRPr="006B096A">
        <w:rPr>
          <w:rFonts w:asciiTheme="minorHAnsi" w:hAnsiTheme="minorHAnsi" w:cstheme="minorHAnsi"/>
        </w:rPr>
        <w:tab/>
        <w:t>Ministerstvo školství, mládeže a tělovýchovy</w:t>
      </w:r>
    </w:p>
    <w:p w14:paraId="4EAC9CC9" w14:textId="5A698245"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MV</w:t>
      </w:r>
      <w:r w:rsidRPr="006B096A">
        <w:rPr>
          <w:rFonts w:asciiTheme="minorHAnsi" w:hAnsiTheme="minorHAnsi" w:cstheme="minorHAnsi"/>
        </w:rPr>
        <w:tab/>
        <w:t>Ministerstvo vnitra</w:t>
      </w:r>
    </w:p>
    <w:p w14:paraId="4F07B3D8" w14:textId="43B55625" w:rsidR="006B096A" w:rsidRPr="006B096A" w:rsidRDefault="006B096A" w:rsidP="006B096A">
      <w:pPr>
        <w:tabs>
          <w:tab w:val="left" w:pos="2268"/>
        </w:tabs>
        <w:ind w:left="2268" w:hanging="2268"/>
        <w:rPr>
          <w:rFonts w:asciiTheme="minorHAnsi" w:hAnsiTheme="minorHAnsi" w:cstheme="minorHAnsi"/>
        </w:rPr>
      </w:pPr>
      <w:proofErr w:type="spellStart"/>
      <w:r w:rsidRPr="006B096A">
        <w:rPr>
          <w:rFonts w:asciiTheme="minorHAnsi" w:hAnsiTheme="minorHAnsi" w:cstheme="minorHAnsi"/>
        </w:rPr>
        <w:t>MZd</w:t>
      </w:r>
      <w:proofErr w:type="spellEnd"/>
      <w:r w:rsidRPr="006B096A">
        <w:rPr>
          <w:rFonts w:asciiTheme="minorHAnsi" w:hAnsiTheme="minorHAnsi" w:cstheme="minorHAnsi"/>
        </w:rPr>
        <w:tab/>
        <w:t>Ministerstvo zdravotnictví</w:t>
      </w:r>
    </w:p>
    <w:p w14:paraId="758B43BA" w14:textId="5CABF4F8"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národní projekty</w:t>
      </w:r>
      <w:r w:rsidRPr="006B096A">
        <w:rPr>
          <w:rFonts w:asciiTheme="minorHAnsi" w:hAnsiTheme="minorHAnsi" w:cstheme="minorHAnsi"/>
        </w:rPr>
        <w:tab/>
        <w:t>individuální projekty národní</w:t>
      </w:r>
    </w:p>
    <w:p w14:paraId="7AB223BD" w14:textId="2CF3F67A"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NKÚ</w:t>
      </w:r>
      <w:r w:rsidRPr="006B096A">
        <w:rPr>
          <w:rFonts w:asciiTheme="minorHAnsi" w:hAnsiTheme="minorHAnsi" w:cstheme="minorHAnsi"/>
        </w:rPr>
        <w:tab/>
        <w:t>Nejvyšší kontrolní úřad</w:t>
      </w:r>
    </w:p>
    <w:p w14:paraId="1F11FC87" w14:textId="05D4FF5D"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NPU</w:t>
      </w:r>
      <w:r w:rsidRPr="006B096A">
        <w:rPr>
          <w:rFonts w:asciiTheme="minorHAnsi" w:hAnsiTheme="minorHAnsi" w:cstheme="minorHAnsi"/>
        </w:rPr>
        <w:tab/>
        <w:t>národní program udržitelnosti</w:t>
      </w:r>
    </w:p>
    <w:p w14:paraId="10118C0E" w14:textId="7F24769C"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OP</w:t>
      </w:r>
      <w:r w:rsidRPr="006B096A">
        <w:rPr>
          <w:rFonts w:asciiTheme="minorHAnsi" w:hAnsiTheme="minorHAnsi" w:cstheme="minorHAnsi"/>
        </w:rPr>
        <w:tab/>
        <w:t>operační program</w:t>
      </w:r>
    </w:p>
    <w:p w14:paraId="0C36B3BB" w14:textId="25ABF167"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 xml:space="preserve">OP </w:t>
      </w:r>
      <w:proofErr w:type="spellStart"/>
      <w:r w:rsidRPr="006B096A">
        <w:rPr>
          <w:rFonts w:asciiTheme="minorHAnsi" w:hAnsiTheme="minorHAnsi" w:cstheme="minorHAnsi"/>
        </w:rPr>
        <w:t>VaVpI</w:t>
      </w:r>
      <w:proofErr w:type="spellEnd"/>
      <w:r w:rsidRPr="006B096A">
        <w:rPr>
          <w:rFonts w:asciiTheme="minorHAnsi" w:hAnsiTheme="minorHAnsi" w:cstheme="minorHAnsi"/>
        </w:rPr>
        <w:tab/>
        <w:t xml:space="preserve">operační program </w:t>
      </w:r>
      <w:r w:rsidRPr="00295827">
        <w:rPr>
          <w:rFonts w:asciiTheme="minorHAnsi" w:hAnsiTheme="minorHAnsi" w:cstheme="minorHAnsi"/>
          <w:i/>
        </w:rPr>
        <w:t>Výzkum a vývoj pro inovace</w:t>
      </w:r>
    </w:p>
    <w:p w14:paraId="2999BAB7" w14:textId="75A2D2E3"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OP VK</w:t>
      </w:r>
      <w:r w:rsidRPr="006B096A">
        <w:rPr>
          <w:rFonts w:asciiTheme="minorHAnsi" w:hAnsiTheme="minorHAnsi" w:cstheme="minorHAnsi"/>
        </w:rPr>
        <w:tab/>
        <w:t xml:space="preserve">operační program </w:t>
      </w:r>
      <w:r w:rsidRPr="00295827">
        <w:rPr>
          <w:rFonts w:asciiTheme="minorHAnsi" w:hAnsiTheme="minorHAnsi" w:cstheme="minorHAnsi"/>
          <w:i/>
        </w:rPr>
        <w:t>Vzdělávání pro konkurenceschopnost</w:t>
      </w:r>
    </w:p>
    <w:p w14:paraId="099CD7A6" w14:textId="271D8C6E"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 xml:space="preserve">projekt Audit </w:t>
      </w:r>
      <w:proofErr w:type="spellStart"/>
      <w:r w:rsidRPr="006B096A">
        <w:rPr>
          <w:rFonts w:asciiTheme="minorHAnsi" w:hAnsiTheme="minorHAnsi" w:cstheme="minorHAnsi"/>
        </w:rPr>
        <w:t>V</w:t>
      </w:r>
      <w:r>
        <w:rPr>
          <w:rFonts w:asciiTheme="minorHAnsi" w:hAnsiTheme="minorHAnsi" w:cstheme="minorHAnsi"/>
        </w:rPr>
        <w:t>a</w:t>
      </w:r>
      <w:r w:rsidRPr="006B096A">
        <w:rPr>
          <w:rFonts w:asciiTheme="minorHAnsi" w:hAnsiTheme="minorHAnsi" w:cstheme="minorHAnsi"/>
        </w:rPr>
        <w:t>V</w:t>
      </w:r>
      <w:r>
        <w:rPr>
          <w:rFonts w:asciiTheme="minorHAnsi" w:hAnsiTheme="minorHAnsi" w:cstheme="minorHAnsi"/>
        </w:rPr>
        <w:t>a</w:t>
      </w:r>
      <w:r w:rsidRPr="006B096A">
        <w:rPr>
          <w:rFonts w:asciiTheme="minorHAnsi" w:hAnsiTheme="minorHAnsi" w:cstheme="minorHAnsi"/>
        </w:rPr>
        <w:t>I</w:t>
      </w:r>
      <w:proofErr w:type="spellEnd"/>
      <w:r w:rsidRPr="006B096A">
        <w:rPr>
          <w:rFonts w:asciiTheme="minorHAnsi" w:hAnsiTheme="minorHAnsi" w:cstheme="minorHAnsi"/>
        </w:rPr>
        <w:tab/>
        <w:t xml:space="preserve">projekt </w:t>
      </w:r>
      <w:r w:rsidRPr="00295827">
        <w:rPr>
          <w:rFonts w:asciiTheme="minorHAnsi" w:hAnsiTheme="minorHAnsi" w:cstheme="minorHAnsi"/>
          <w:i/>
        </w:rPr>
        <w:t>Mezinárodní audit výzkumu, vývoje a inovací v ČR a implementace jeho výsledků do strategických dokumentů</w:t>
      </w:r>
    </w:p>
    <w:p w14:paraId="6109B4A0" w14:textId="147911DD"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projekt CPIV</w:t>
      </w:r>
      <w:r w:rsidRPr="006B096A">
        <w:rPr>
          <w:rFonts w:asciiTheme="minorHAnsi" w:hAnsiTheme="minorHAnsi" w:cstheme="minorHAnsi"/>
        </w:rPr>
        <w:tab/>
        <w:t xml:space="preserve">projekt </w:t>
      </w:r>
      <w:r w:rsidRPr="00295827">
        <w:rPr>
          <w:rFonts w:asciiTheme="minorHAnsi" w:hAnsiTheme="minorHAnsi" w:cstheme="minorHAnsi"/>
          <w:i/>
        </w:rPr>
        <w:t>Centra podpory inkluzivního vzdělávání</w:t>
      </w:r>
    </w:p>
    <w:p w14:paraId="4C63363E" w14:textId="6BD7CBDB"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projekt RTV</w:t>
      </w:r>
      <w:r w:rsidRPr="006B096A">
        <w:rPr>
          <w:rFonts w:asciiTheme="minorHAnsi" w:hAnsiTheme="minorHAnsi" w:cstheme="minorHAnsi"/>
        </w:rPr>
        <w:tab/>
        <w:t xml:space="preserve">projekt </w:t>
      </w:r>
      <w:r w:rsidRPr="00295827">
        <w:rPr>
          <w:rFonts w:asciiTheme="minorHAnsi" w:hAnsiTheme="minorHAnsi" w:cstheme="minorHAnsi"/>
          <w:i/>
        </w:rPr>
        <w:t>Reforma terciárního vzdělávání</w:t>
      </w:r>
    </w:p>
    <w:p w14:paraId="1524B361" w14:textId="3514D4C9" w:rsidR="006B096A" w:rsidRPr="006B096A" w:rsidRDefault="006B096A" w:rsidP="006B096A">
      <w:pPr>
        <w:tabs>
          <w:tab w:val="left" w:pos="2268"/>
        </w:tabs>
        <w:ind w:left="2268" w:hanging="2268"/>
        <w:rPr>
          <w:rFonts w:asciiTheme="minorHAnsi" w:hAnsiTheme="minorHAnsi" w:cstheme="minorHAnsi"/>
        </w:rPr>
      </w:pPr>
      <w:r w:rsidRPr="006B096A">
        <w:rPr>
          <w:rFonts w:asciiTheme="minorHAnsi" w:hAnsiTheme="minorHAnsi" w:cstheme="minorHAnsi"/>
        </w:rPr>
        <w:t>SR</w:t>
      </w:r>
      <w:r w:rsidRPr="006B096A">
        <w:rPr>
          <w:rFonts w:asciiTheme="minorHAnsi" w:hAnsiTheme="minorHAnsi" w:cstheme="minorHAnsi"/>
        </w:rPr>
        <w:tab/>
        <w:t>státní rozpočet</w:t>
      </w:r>
    </w:p>
    <w:p w14:paraId="56A88651" w14:textId="421871BB" w:rsidR="00D56F5D" w:rsidRDefault="006B096A" w:rsidP="00941A30">
      <w:pPr>
        <w:tabs>
          <w:tab w:val="left" w:pos="2268"/>
        </w:tabs>
        <w:ind w:left="2268" w:hanging="2268"/>
        <w:rPr>
          <w:rFonts w:asciiTheme="minorHAnsi" w:hAnsiTheme="minorHAnsi" w:cstheme="minorHAnsi"/>
        </w:rPr>
      </w:pPr>
      <w:proofErr w:type="spellStart"/>
      <w:r w:rsidRPr="006B096A">
        <w:rPr>
          <w:rFonts w:asciiTheme="minorHAnsi" w:hAnsiTheme="minorHAnsi" w:cstheme="minorHAnsi"/>
        </w:rPr>
        <w:t>Š</w:t>
      </w:r>
      <w:r>
        <w:rPr>
          <w:rFonts w:asciiTheme="minorHAnsi" w:hAnsiTheme="minorHAnsi" w:cstheme="minorHAnsi"/>
        </w:rPr>
        <w:t>pp</w:t>
      </w:r>
      <w:proofErr w:type="spellEnd"/>
      <w:r w:rsidRPr="006B096A">
        <w:rPr>
          <w:rFonts w:asciiTheme="minorHAnsi" w:hAnsiTheme="minorHAnsi" w:cstheme="minorHAnsi"/>
        </w:rPr>
        <w:tab/>
        <w:t>školní podpůrný program</w:t>
      </w:r>
    </w:p>
    <w:p w14:paraId="326E53BC" w14:textId="22A18134" w:rsidR="00690881" w:rsidRDefault="00FB2E4F" w:rsidP="002F0CFD">
      <w:pPr>
        <w:spacing w:after="120"/>
        <w:jc w:val="right"/>
        <w:rPr>
          <w:rFonts w:asciiTheme="minorHAnsi" w:hAnsiTheme="minorHAnsi" w:cstheme="minorHAnsi"/>
          <w:b/>
        </w:rPr>
      </w:pPr>
      <w:r w:rsidRPr="00295827">
        <w:rPr>
          <w:rFonts w:asciiTheme="minorHAnsi" w:hAnsiTheme="minorHAnsi" w:cstheme="minorHAnsi"/>
          <w:b/>
        </w:rPr>
        <w:lastRenderedPageBreak/>
        <w:t>Příloha č. 1</w:t>
      </w:r>
    </w:p>
    <w:p w14:paraId="1A35BA07" w14:textId="4D8F1AC7" w:rsidR="00FB2E4F" w:rsidRPr="00295827" w:rsidRDefault="00FB2E4F" w:rsidP="00295827">
      <w:pPr>
        <w:spacing w:after="120"/>
        <w:jc w:val="both"/>
        <w:rPr>
          <w:rFonts w:asciiTheme="minorHAnsi" w:hAnsiTheme="minorHAnsi" w:cstheme="minorHAnsi"/>
          <w:b/>
        </w:rPr>
      </w:pPr>
      <w:r w:rsidRPr="00295827">
        <w:rPr>
          <w:rFonts w:asciiTheme="minorHAnsi" w:hAnsiTheme="minorHAnsi" w:cstheme="minorHAnsi"/>
          <w:b/>
        </w:rPr>
        <w:t>Přehled kontrolovaných projektů</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3"/>
        <w:gridCol w:w="2167"/>
        <w:gridCol w:w="2677"/>
        <w:gridCol w:w="2023"/>
        <w:gridCol w:w="1559"/>
      </w:tblGrid>
      <w:tr w:rsidR="00FB2E4F" w:rsidRPr="00471ABF" w14:paraId="7879C616" w14:textId="77777777" w:rsidTr="00471ABF">
        <w:trPr>
          <w:cantSplit/>
          <w:trHeight w:val="283"/>
          <w:jc w:val="center"/>
        </w:trPr>
        <w:tc>
          <w:tcPr>
            <w:tcW w:w="983" w:type="dxa"/>
            <w:shd w:val="clear" w:color="000000" w:fill="F2F2F2"/>
            <w:vAlign w:val="center"/>
            <w:hideMark/>
          </w:tcPr>
          <w:p w14:paraId="1A2E67E7" w14:textId="77777777" w:rsidR="00FB2E4F" w:rsidRPr="00471ABF" w:rsidRDefault="00FB2E4F" w:rsidP="002F0CFD">
            <w:pPr>
              <w:spacing w:before="20" w:after="20"/>
              <w:jc w:val="center"/>
              <w:rPr>
                <w:rFonts w:ascii="Calibri" w:hAnsi="Calibri" w:cs="Calibri"/>
                <w:b/>
                <w:bCs/>
                <w:color w:val="000000"/>
                <w:sz w:val="20"/>
                <w:szCs w:val="20"/>
              </w:rPr>
            </w:pPr>
            <w:r w:rsidRPr="00471ABF">
              <w:rPr>
                <w:rFonts w:ascii="Calibri" w:hAnsi="Calibri" w:cs="Calibri"/>
                <w:b/>
                <w:bCs/>
                <w:color w:val="000000"/>
                <w:sz w:val="20"/>
                <w:szCs w:val="20"/>
              </w:rPr>
              <w:t>Operační program</w:t>
            </w:r>
          </w:p>
        </w:tc>
        <w:tc>
          <w:tcPr>
            <w:tcW w:w="2167" w:type="dxa"/>
            <w:shd w:val="clear" w:color="000000" w:fill="F2F2F2"/>
            <w:vAlign w:val="center"/>
            <w:hideMark/>
          </w:tcPr>
          <w:p w14:paraId="0154B5BB" w14:textId="77777777" w:rsidR="00FB2E4F" w:rsidRPr="00471ABF" w:rsidRDefault="00FB2E4F" w:rsidP="00471ABF">
            <w:pPr>
              <w:spacing w:before="20" w:after="20"/>
              <w:jc w:val="center"/>
              <w:rPr>
                <w:rFonts w:ascii="Calibri" w:hAnsi="Calibri" w:cs="Calibri"/>
                <w:b/>
                <w:bCs/>
                <w:color w:val="000000"/>
                <w:sz w:val="20"/>
                <w:szCs w:val="20"/>
              </w:rPr>
            </w:pPr>
            <w:r w:rsidRPr="00471ABF">
              <w:rPr>
                <w:rFonts w:ascii="Calibri" w:hAnsi="Calibri" w:cs="Calibri"/>
                <w:b/>
                <w:bCs/>
                <w:color w:val="000000"/>
                <w:sz w:val="20"/>
                <w:szCs w:val="20"/>
              </w:rPr>
              <w:t>Registrační číslo</w:t>
            </w:r>
          </w:p>
        </w:tc>
        <w:tc>
          <w:tcPr>
            <w:tcW w:w="2677" w:type="dxa"/>
            <w:shd w:val="clear" w:color="000000" w:fill="F2F2F2"/>
            <w:vAlign w:val="center"/>
            <w:hideMark/>
          </w:tcPr>
          <w:p w14:paraId="29CC6BE0" w14:textId="77777777" w:rsidR="00FB2E4F" w:rsidRPr="00471ABF" w:rsidRDefault="00FB2E4F" w:rsidP="002F0CFD">
            <w:pPr>
              <w:spacing w:before="20" w:after="20"/>
              <w:jc w:val="center"/>
              <w:rPr>
                <w:rFonts w:ascii="Calibri" w:hAnsi="Calibri" w:cs="Calibri"/>
                <w:b/>
                <w:bCs/>
                <w:color w:val="000000"/>
                <w:sz w:val="20"/>
                <w:szCs w:val="20"/>
              </w:rPr>
            </w:pPr>
            <w:r w:rsidRPr="00471ABF">
              <w:rPr>
                <w:rFonts w:ascii="Calibri" w:hAnsi="Calibri" w:cs="Calibri"/>
                <w:b/>
                <w:bCs/>
                <w:color w:val="000000"/>
                <w:sz w:val="20"/>
                <w:szCs w:val="20"/>
              </w:rPr>
              <w:t>Název projektu</w:t>
            </w:r>
          </w:p>
        </w:tc>
        <w:tc>
          <w:tcPr>
            <w:tcW w:w="2023" w:type="dxa"/>
            <w:shd w:val="clear" w:color="000000" w:fill="F2F2F2"/>
            <w:vAlign w:val="center"/>
            <w:hideMark/>
          </w:tcPr>
          <w:p w14:paraId="225338E9" w14:textId="77777777" w:rsidR="00FB2E4F" w:rsidRPr="00471ABF" w:rsidRDefault="00FB2E4F" w:rsidP="002F0CFD">
            <w:pPr>
              <w:spacing w:before="20" w:after="20"/>
              <w:jc w:val="center"/>
              <w:rPr>
                <w:rFonts w:ascii="Calibri" w:hAnsi="Calibri" w:cs="Calibri"/>
                <w:b/>
                <w:bCs/>
                <w:color w:val="000000"/>
                <w:sz w:val="20"/>
                <w:szCs w:val="20"/>
              </w:rPr>
            </w:pPr>
            <w:r w:rsidRPr="00471ABF">
              <w:rPr>
                <w:rFonts w:ascii="Calibri" w:hAnsi="Calibri" w:cs="Calibri"/>
                <w:b/>
                <w:bCs/>
                <w:color w:val="000000"/>
                <w:sz w:val="20"/>
                <w:szCs w:val="20"/>
              </w:rPr>
              <w:t>Příjemce</w:t>
            </w:r>
          </w:p>
        </w:tc>
        <w:tc>
          <w:tcPr>
            <w:tcW w:w="1559" w:type="dxa"/>
            <w:shd w:val="clear" w:color="000000" w:fill="F2F2F2"/>
            <w:vAlign w:val="center"/>
            <w:hideMark/>
          </w:tcPr>
          <w:p w14:paraId="393D1C77" w14:textId="64C8CBD5" w:rsidR="00FB2E4F" w:rsidRPr="00471ABF" w:rsidRDefault="00FB2E4F" w:rsidP="002F0CFD">
            <w:pPr>
              <w:spacing w:before="20" w:after="20"/>
              <w:rPr>
                <w:rFonts w:ascii="Calibri" w:hAnsi="Calibri" w:cs="Calibri"/>
                <w:b/>
                <w:bCs/>
                <w:color w:val="000000"/>
                <w:sz w:val="20"/>
                <w:szCs w:val="20"/>
              </w:rPr>
            </w:pPr>
            <w:r w:rsidRPr="00471ABF">
              <w:rPr>
                <w:rFonts w:ascii="Calibri" w:hAnsi="Calibri" w:cs="Calibri"/>
                <w:b/>
                <w:bCs/>
                <w:color w:val="000000"/>
                <w:sz w:val="20"/>
                <w:szCs w:val="20"/>
              </w:rPr>
              <w:t>Vyplacená dotace</w:t>
            </w:r>
            <w:r w:rsidR="002F0CFD" w:rsidRPr="00471ABF">
              <w:rPr>
                <w:rFonts w:ascii="Calibri" w:hAnsi="Calibri" w:cs="Calibri"/>
                <w:b/>
                <w:bCs/>
                <w:color w:val="000000"/>
                <w:sz w:val="20"/>
                <w:szCs w:val="20"/>
              </w:rPr>
              <w:t xml:space="preserve"> </w:t>
            </w:r>
            <w:r w:rsidRPr="00471ABF">
              <w:rPr>
                <w:rFonts w:ascii="Calibri" w:hAnsi="Calibri" w:cs="Calibri"/>
                <w:b/>
                <w:bCs/>
                <w:color w:val="000000"/>
                <w:sz w:val="20"/>
                <w:szCs w:val="20"/>
              </w:rPr>
              <w:t>(v</w:t>
            </w:r>
            <w:r w:rsidR="002F0CFD" w:rsidRPr="00471ABF">
              <w:rPr>
                <w:rFonts w:ascii="Calibri" w:hAnsi="Calibri" w:cs="Calibri"/>
                <w:b/>
                <w:bCs/>
                <w:color w:val="000000"/>
                <w:sz w:val="20"/>
                <w:szCs w:val="20"/>
              </w:rPr>
              <w:t> </w:t>
            </w:r>
            <w:r w:rsidRPr="00471ABF">
              <w:rPr>
                <w:rFonts w:ascii="Calibri" w:hAnsi="Calibri" w:cs="Calibri"/>
                <w:b/>
                <w:bCs/>
                <w:color w:val="000000"/>
                <w:sz w:val="20"/>
                <w:szCs w:val="20"/>
              </w:rPr>
              <w:t>Kč)</w:t>
            </w:r>
          </w:p>
        </w:tc>
      </w:tr>
      <w:tr w:rsidR="00FB2E4F" w:rsidRPr="00471ABF" w14:paraId="0BEDE0B3" w14:textId="77777777" w:rsidTr="00471ABF">
        <w:trPr>
          <w:cantSplit/>
          <w:trHeight w:val="283"/>
          <w:jc w:val="center"/>
        </w:trPr>
        <w:tc>
          <w:tcPr>
            <w:tcW w:w="983" w:type="dxa"/>
            <w:shd w:val="clear" w:color="auto" w:fill="auto"/>
            <w:vAlign w:val="center"/>
            <w:hideMark/>
          </w:tcPr>
          <w:p w14:paraId="72B1376B"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3A806C6"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CZ.1.06/3.1.02/01.06083</w:t>
            </w:r>
          </w:p>
        </w:tc>
        <w:tc>
          <w:tcPr>
            <w:tcW w:w="2677" w:type="dxa"/>
            <w:shd w:val="clear" w:color="auto" w:fill="auto"/>
            <w:vAlign w:val="center"/>
            <w:hideMark/>
          </w:tcPr>
          <w:p w14:paraId="301899FF"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Závod na výrobu biopaliv</w:t>
            </w:r>
          </w:p>
        </w:tc>
        <w:tc>
          <w:tcPr>
            <w:tcW w:w="2023" w:type="dxa"/>
            <w:shd w:val="clear" w:color="auto" w:fill="auto"/>
            <w:vAlign w:val="center"/>
            <w:hideMark/>
          </w:tcPr>
          <w:p w14:paraId="3AD88AB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Ing. David Štych</w:t>
            </w:r>
          </w:p>
        </w:tc>
        <w:tc>
          <w:tcPr>
            <w:tcW w:w="1559" w:type="dxa"/>
            <w:shd w:val="clear" w:color="auto" w:fill="auto"/>
            <w:vAlign w:val="center"/>
            <w:hideMark/>
          </w:tcPr>
          <w:p w14:paraId="204ED92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5 088 600,00   </w:t>
            </w:r>
          </w:p>
        </w:tc>
      </w:tr>
      <w:tr w:rsidR="00FB2E4F" w:rsidRPr="00471ABF" w14:paraId="7E109A29" w14:textId="77777777" w:rsidTr="00471ABF">
        <w:trPr>
          <w:cantSplit/>
          <w:trHeight w:val="283"/>
          <w:jc w:val="center"/>
        </w:trPr>
        <w:tc>
          <w:tcPr>
            <w:tcW w:w="983" w:type="dxa"/>
            <w:shd w:val="clear" w:color="auto" w:fill="auto"/>
            <w:vAlign w:val="center"/>
            <w:hideMark/>
          </w:tcPr>
          <w:p w14:paraId="3FD1EE9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73BB2691"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CZ.1.06/3.1.02/01.06988</w:t>
            </w:r>
          </w:p>
        </w:tc>
        <w:tc>
          <w:tcPr>
            <w:tcW w:w="2677" w:type="dxa"/>
            <w:shd w:val="clear" w:color="auto" w:fill="auto"/>
            <w:vAlign w:val="center"/>
            <w:hideMark/>
          </w:tcPr>
          <w:p w14:paraId="6DC37159"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Sociální podnik na výrobu řeziva</w:t>
            </w:r>
          </w:p>
        </w:tc>
        <w:tc>
          <w:tcPr>
            <w:tcW w:w="2023" w:type="dxa"/>
            <w:shd w:val="clear" w:color="auto" w:fill="auto"/>
            <w:vAlign w:val="center"/>
            <w:hideMark/>
          </w:tcPr>
          <w:p w14:paraId="7DE05A17"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Josef Štych</w:t>
            </w:r>
          </w:p>
        </w:tc>
        <w:tc>
          <w:tcPr>
            <w:tcW w:w="1559" w:type="dxa"/>
            <w:shd w:val="clear" w:color="auto" w:fill="auto"/>
            <w:vAlign w:val="center"/>
            <w:hideMark/>
          </w:tcPr>
          <w:p w14:paraId="22ED20D0"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4 931 480,00   </w:t>
            </w:r>
          </w:p>
        </w:tc>
      </w:tr>
      <w:tr w:rsidR="00FB2E4F" w:rsidRPr="00471ABF" w14:paraId="66314822" w14:textId="77777777" w:rsidTr="00471ABF">
        <w:trPr>
          <w:cantSplit/>
          <w:trHeight w:val="283"/>
          <w:jc w:val="center"/>
        </w:trPr>
        <w:tc>
          <w:tcPr>
            <w:tcW w:w="983" w:type="dxa"/>
            <w:shd w:val="clear" w:color="auto" w:fill="auto"/>
            <w:vAlign w:val="center"/>
            <w:hideMark/>
          </w:tcPr>
          <w:p w14:paraId="5DF7057D"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89A6A25"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CZ.1.06/5.2.00/07.06601</w:t>
            </w:r>
          </w:p>
        </w:tc>
        <w:tc>
          <w:tcPr>
            <w:tcW w:w="2677" w:type="dxa"/>
            <w:shd w:val="clear" w:color="auto" w:fill="auto"/>
            <w:vAlign w:val="center"/>
            <w:hideMark/>
          </w:tcPr>
          <w:p w14:paraId="06E6F033"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Rekonstrukce bytových domů </w:t>
            </w:r>
            <w:proofErr w:type="spellStart"/>
            <w:r w:rsidRPr="00471ABF">
              <w:rPr>
                <w:rFonts w:ascii="Calibri" w:hAnsi="Calibri" w:cs="Calibri"/>
                <w:color w:val="000000"/>
                <w:sz w:val="20"/>
                <w:szCs w:val="20"/>
              </w:rPr>
              <w:t>Topělecká</w:t>
            </w:r>
            <w:proofErr w:type="spellEnd"/>
            <w:r w:rsidRPr="00471ABF">
              <w:rPr>
                <w:rFonts w:ascii="Calibri" w:hAnsi="Calibri" w:cs="Calibri"/>
                <w:color w:val="000000"/>
                <w:sz w:val="20"/>
                <w:szCs w:val="20"/>
              </w:rPr>
              <w:t xml:space="preserve"> č. p. 425, 424</w:t>
            </w:r>
          </w:p>
        </w:tc>
        <w:tc>
          <w:tcPr>
            <w:tcW w:w="2023" w:type="dxa"/>
            <w:shd w:val="clear" w:color="auto" w:fill="auto"/>
            <w:vAlign w:val="center"/>
            <w:hideMark/>
          </w:tcPr>
          <w:p w14:paraId="64999770"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Písek</w:t>
            </w:r>
          </w:p>
        </w:tc>
        <w:tc>
          <w:tcPr>
            <w:tcW w:w="1559" w:type="dxa"/>
            <w:shd w:val="clear" w:color="auto" w:fill="auto"/>
            <w:vAlign w:val="center"/>
            <w:hideMark/>
          </w:tcPr>
          <w:p w14:paraId="73538564"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3 678 615,00   </w:t>
            </w:r>
          </w:p>
        </w:tc>
      </w:tr>
      <w:tr w:rsidR="00FB2E4F" w:rsidRPr="00471ABF" w14:paraId="7620BC33" w14:textId="77777777" w:rsidTr="00471ABF">
        <w:trPr>
          <w:cantSplit/>
          <w:trHeight w:val="283"/>
          <w:jc w:val="center"/>
        </w:trPr>
        <w:tc>
          <w:tcPr>
            <w:tcW w:w="983" w:type="dxa"/>
            <w:shd w:val="clear" w:color="auto" w:fill="auto"/>
            <w:vAlign w:val="center"/>
            <w:hideMark/>
          </w:tcPr>
          <w:p w14:paraId="0BA9357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7574EC65"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CZ.1.06/3.4.00/13.08166</w:t>
            </w:r>
          </w:p>
        </w:tc>
        <w:tc>
          <w:tcPr>
            <w:tcW w:w="2677" w:type="dxa"/>
            <w:shd w:val="clear" w:color="auto" w:fill="auto"/>
            <w:vAlign w:val="center"/>
            <w:hideMark/>
          </w:tcPr>
          <w:p w14:paraId="219DDA8D" w14:textId="01B740FB" w:rsidR="00FB2E4F" w:rsidRPr="00471ABF" w:rsidRDefault="00A77409" w:rsidP="002F0CFD">
            <w:pPr>
              <w:spacing w:before="20" w:after="20"/>
              <w:rPr>
                <w:rFonts w:ascii="Calibri" w:hAnsi="Calibri" w:cs="Calibri"/>
                <w:color w:val="000000"/>
                <w:sz w:val="20"/>
                <w:szCs w:val="20"/>
              </w:rPr>
            </w:pPr>
            <w:r w:rsidRPr="00471ABF">
              <w:rPr>
                <w:rFonts w:ascii="Calibri" w:hAnsi="Calibri" w:cs="Calibri"/>
                <w:color w:val="000000"/>
                <w:sz w:val="20"/>
                <w:szCs w:val="20"/>
              </w:rPr>
              <w:t>Pořízení moderní techniky a technologií Správy NP a </w:t>
            </w:r>
            <w:r w:rsidR="00FB2E4F" w:rsidRPr="00471ABF">
              <w:rPr>
                <w:rFonts w:ascii="Calibri" w:hAnsi="Calibri" w:cs="Calibri"/>
                <w:color w:val="000000"/>
                <w:sz w:val="20"/>
                <w:szCs w:val="20"/>
              </w:rPr>
              <w:t>CHKO Šumava pro zvýšení kvality řešení MU</w:t>
            </w:r>
          </w:p>
        </w:tc>
        <w:tc>
          <w:tcPr>
            <w:tcW w:w="2023" w:type="dxa"/>
            <w:shd w:val="clear" w:color="auto" w:fill="auto"/>
            <w:vAlign w:val="center"/>
            <w:hideMark/>
          </w:tcPr>
          <w:p w14:paraId="3FD61070" w14:textId="4A285D3E"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Správa Národního parku </w:t>
            </w:r>
            <w:r w:rsidR="00306E2B">
              <w:rPr>
                <w:rFonts w:ascii="Calibri" w:hAnsi="Calibri" w:cs="Calibri"/>
                <w:color w:val="000000"/>
                <w:sz w:val="20"/>
                <w:szCs w:val="20"/>
              </w:rPr>
              <w:t>Šumava</w:t>
            </w:r>
          </w:p>
        </w:tc>
        <w:tc>
          <w:tcPr>
            <w:tcW w:w="1559" w:type="dxa"/>
            <w:shd w:val="clear" w:color="auto" w:fill="auto"/>
            <w:vAlign w:val="center"/>
            <w:hideMark/>
          </w:tcPr>
          <w:p w14:paraId="124181E4"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18 295 295,90   </w:t>
            </w:r>
          </w:p>
        </w:tc>
      </w:tr>
      <w:tr w:rsidR="00FB2E4F" w:rsidRPr="00471ABF" w14:paraId="16F56375" w14:textId="77777777" w:rsidTr="00471ABF">
        <w:trPr>
          <w:cantSplit/>
          <w:trHeight w:val="283"/>
          <w:jc w:val="center"/>
        </w:trPr>
        <w:tc>
          <w:tcPr>
            <w:tcW w:w="983" w:type="dxa"/>
            <w:shd w:val="clear" w:color="auto" w:fill="auto"/>
            <w:vAlign w:val="center"/>
            <w:hideMark/>
          </w:tcPr>
          <w:p w14:paraId="60E0EF74"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304F29F5"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CZ.1.06/5.2.00/07.08219</w:t>
            </w:r>
          </w:p>
        </w:tc>
        <w:tc>
          <w:tcPr>
            <w:tcW w:w="2677" w:type="dxa"/>
            <w:shd w:val="clear" w:color="auto" w:fill="auto"/>
            <w:vAlign w:val="center"/>
            <w:hideMark/>
          </w:tcPr>
          <w:p w14:paraId="6809564C" w14:textId="4D3C206E"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Regenerace sídliště Máj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úsek 05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sever</w:t>
            </w:r>
          </w:p>
        </w:tc>
        <w:tc>
          <w:tcPr>
            <w:tcW w:w="2023" w:type="dxa"/>
            <w:shd w:val="clear" w:color="auto" w:fill="auto"/>
            <w:vAlign w:val="center"/>
            <w:hideMark/>
          </w:tcPr>
          <w:p w14:paraId="4940879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Statutární město České Budějovice</w:t>
            </w:r>
          </w:p>
        </w:tc>
        <w:tc>
          <w:tcPr>
            <w:tcW w:w="1559" w:type="dxa"/>
            <w:shd w:val="clear" w:color="auto" w:fill="auto"/>
            <w:vAlign w:val="center"/>
            <w:hideMark/>
          </w:tcPr>
          <w:p w14:paraId="4B9E677F"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32 828 001,00   </w:t>
            </w:r>
          </w:p>
        </w:tc>
      </w:tr>
      <w:tr w:rsidR="00FB2E4F" w:rsidRPr="00471ABF" w14:paraId="2C4366F4" w14:textId="77777777" w:rsidTr="00471ABF">
        <w:trPr>
          <w:cantSplit/>
          <w:trHeight w:val="283"/>
          <w:jc w:val="center"/>
        </w:trPr>
        <w:tc>
          <w:tcPr>
            <w:tcW w:w="983" w:type="dxa"/>
            <w:shd w:val="clear" w:color="auto" w:fill="auto"/>
            <w:vAlign w:val="center"/>
            <w:hideMark/>
          </w:tcPr>
          <w:p w14:paraId="5EF53DB1"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014CA65E"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CZ.1.06/5.2.00/07.08796</w:t>
            </w:r>
          </w:p>
        </w:tc>
        <w:tc>
          <w:tcPr>
            <w:tcW w:w="2677" w:type="dxa"/>
            <w:shd w:val="clear" w:color="auto" w:fill="auto"/>
            <w:vAlign w:val="center"/>
            <w:hideMark/>
          </w:tcPr>
          <w:p w14:paraId="7497094F" w14:textId="39E16D24"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Regenerace sídliště Máj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část 01b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stavba 01 a stavba 02</w:t>
            </w:r>
          </w:p>
        </w:tc>
        <w:tc>
          <w:tcPr>
            <w:tcW w:w="2023" w:type="dxa"/>
            <w:shd w:val="clear" w:color="auto" w:fill="auto"/>
            <w:vAlign w:val="center"/>
            <w:hideMark/>
          </w:tcPr>
          <w:p w14:paraId="614D1F7F"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Statutární město České Budějovice</w:t>
            </w:r>
          </w:p>
        </w:tc>
        <w:tc>
          <w:tcPr>
            <w:tcW w:w="1559" w:type="dxa"/>
            <w:shd w:val="clear" w:color="auto" w:fill="auto"/>
            <w:vAlign w:val="center"/>
            <w:hideMark/>
          </w:tcPr>
          <w:p w14:paraId="66BE43FE"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30 367 849,19   </w:t>
            </w:r>
          </w:p>
        </w:tc>
      </w:tr>
      <w:tr w:rsidR="00FB2E4F" w:rsidRPr="00471ABF" w14:paraId="4D926BF8" w14:textId="77777777" w:rsidTr="00471ABF">
        <w:trPr>
          <w:cantSplit/>
          <w:trHeight w:val="283"/>
          <w:jc w:val="center"/>
        </w:trPr>
        <w:tc>
          <w:tcPr>
            <w:tcW w:w="983" w:type="dxa"/>
            <w:shd w:val="clear" w:color="auto" w:fill="auto"/>
            <w:vAlign w:val="center"/>
            <w:hideMark/>
          </w:tcPr>
          <w:p w14:paraId="30D165E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C3EF86D"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CZ.1.06/5.2.00/07.07682</w:t>
            </w:r>
          </w:p>
        </w:tc>
        <w:tc>
          <w:tcPr>
            <w:tcW w:w="2677" w:type="dxa"/>
            <w:shd w:val="clear" w:color="auto" w:fill="auto"/>
            <w:vAlign w:val="center"/>
            <w:hideMark/>
          </w:tcPr>
          <w:p w14:paraId="46CD5F90" w14:textId="1824DA78"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Regenerace sídliště Máj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úsek 04 </w:t>
            </w:r>
            <w:r w:rsidR="00690881" w:rsidRPr="00471ABF">
              <w:rPr>
                <w:rFonts w:ascii="Calibri" w:hAnsi="Calibri" w:cs="Calibri"/>
                <w:color w:val="000000"/>
                <w:sz w:val="20"/>
                <w:szCs w:val="20"/>
              </w:rPr>
              <w:t xml:space="preserve">– </w:t>
            </w:r>
            <w:r w:rsidRPr="00471ABF">
              <w:rPr>
                <w:rFonts w:ascii="Calibri" w:hAnsi="Calibri" w:cs="Calibri"/>
                <w:color w:val="000000"/>
                <w:sz w:val="20"/>
                <w:szCs w:val="20"/>
              </w:rPr>
              <w:t>západ</w:t>
            </w:r>
          </w:p>
        </w:tc>
        <w:tc>
          <w:tcPr>
            <w:tcW w:w="2023" w:type="dxa"/>
            <w:shd w:val="clear" w:color="auto" w:fill="auto"/>
            <w:vAlign w:val="center"/>
            <w:hideMark/>
          </w:tcPr>
          <w:p w14:paraId="4FD7FBC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Statutární město České Budějovice</w:t>
            </w:r>
          </w:p>
        </w:tc>
        <w:tc>
          <w:tcPr>
            <w:tcW w:w="1559" w:type="dxa"/>
            <w:shd w:val="clear" w:color="auto" w:fill="auto"/>
            <w:vAlign w:val="center"/>
            <w:hideMark/>
          </w:tcPr>
          <w:p w14:paraId="2BE3647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30 137 484,00   </w:t>
            </w:r>
          </w:p>
        </w:tc>
      </w:tr>
      <w:tr w:rsidR="00FB2E4F" w:rsidRPr="00471ABF" w14:paraId="6B68CD3E" w14:textId="77777777" w:rsidTr="00471ABF">
        <w:trPr>
          <w:cantSplit/>
          <w:trHeight w:val="283"/>
          <w:jc w:val="center"/>
        </w:trPr>
        <w:tc>
          <w:tcPr>
            <w:tcW w:w="983" w:type="dxa"/>
            <w:shd w:val="clear" w:color="auto" w:fill="auto"/>
            <w:vAlign w:val="center"/>
            <w:hideMark/>
          </w:tcPr>
          <w:p w14:paraId="0544E629"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3F3E56EF"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CZ.1.06/3.1.02/01.07596</w:t>
            </w:r>
          </w:p>
        </w:tc>
        <w:tc>
          <w:tcPr>
            <w:tcW w:w="2677" w:type="dxa"/>
            <w:shd w:val="clear" w:color="auto" w:fill="auto"/>
            <w:vAlign w:val="center"/>
            <w:hideMark/>
          </w:tcPr>
          <w:p w14:paraId="5599F6D3"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Integrační kavárna PONTES</w:t>
            </w:r>
          </w:p>
        </w:tc>
        <w:tc>
          <w:tcPr>
            <w:tcW w:w="2023" w:type="dxa"/>
            <w:shd w:val="clear" w:color="auto" w:fill="auto"/>
            <w:vAlign w:val="center"/>
            <w:hideMark/>
          </w:tcPr>
          <w:p w14:paraId="0E9EDAFE"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PONTES Písek s.r.o.</w:t>
            </w:r>
          </w:p>
        </w:tc>
        <w:tc>
          <w:tcPr>
            <w:tcW w:w="1559" w:type="dxa"/>
            <w:shd w:val="clear" w:color="auto" w:fill="auto"/>
            <w:vAlign w:val="center"/>
            <w:hideMark/>
          </w:tcPr>
          <w:p w14:paraId="7F43E9AF"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1 968 746,00   </w:t>
            </w:r>
          </w:p>
        </w:tc>
      </w:tr>
      <w:tr w:rsidR="00FB2E4F" w:rsidRPr="00471ABF" w14:paraId="7D84EFCF" w14:textId="77777777" w:rsidTr="00471ABF">
        <w:trPr>
          <w:cantSplit/>
          <w:trHeight w:val="283"/>
          <w:jc w:val="center"/>
        </w:trPr>
        <w:tc>
          <w:tcPr>
            <w:tcW w:w="983" w:type="dxa"/>
            <w:shd w:val="clear" w:color="auto" w:fill="auto"/>
            <w:vAlign w:val="center"/>
            <w:hideMark/>
          </w:tcPr>
          <w:p w14:paraId="2E96A84E"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4C377A6"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CZ.1.06/5.2.00/07.07877</w:t>
            </w:r>
          </w:p>
        </w:tc>
        <w:tc>
          <w:tcPr>
            <w:tcW w:w="2677" w:type="dxa"/>
            <w:shd w:val="clear" w:color="auto" w:fill="auto"/>
            <w:vAlign w:val="center"/>
            <w:hideMark/>
          </w:tcPr>
          <w:p w14:paraId="39D207CD"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Revitalizace sídliště </w:t>
            </w:r>
            <w:proofErr w:type="spellStart"/>
            <w:r w:rsidRPr="00471ABF">
              <w:rPr>
                <w:rFonts w:ascii="Calibri" w:hAnsi="Calibri" w:cs="Calibri"/>
                <w:color w:val="000000"/>
                <w:sz w:val="20"/>
                <w:szCs w:val="20"/>
              </w:rPr>
              <w:t>Portyč</w:t>
            </w:r>
            <w:proofErr w:type="spellEnd"/>
            <w:r w:rsidRPr="00471ABF">
              <w:rPr>
                <w:rFonts w:ascii="Calibri" w:hAnsi="Calibri" w:cs="Calibri"/>
                <w:color w:val="000000"/>
                <w:sz w:val="20"/>
                <w:szCs w:val="20"/>
              </w:rPr>
              <w:t xml:space="preserve"> Písek – 1. etapa</w:t>
            </w:r>
          </w:p>
        </w:tc>
        <w:tc>
          <w:tcPr>
            <w:tcW w:w="2023" w:type="dxa"/>
            <w:shd w:val="clear" w:color="auto" w:fill="auto"/>
            <w:vAlign w:val="center"/>
            <w:hideMark/>
          </w:tcPr>
          <w:p w14:paraId="49821DE9"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Písek</w:t>
            </w:r>
          </w:p>
        </w:tc>
        <w:tc>
          <w:tcPr>
            <w:tcW w:w="1559" w:type="dxa"/>
            <w:shd w:val="clear" w:color="auto" w:fill="auto"/>
            <w:vAlign w:val="center"/>
            <w:hideMark/>
          </w:tcPr>
          <w:p w14:paraId="1FC256B4"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19 811 406,00   </w:t>
            </w:r>
          </w:p>
        </w:tc>
      </w:tr>
      <w:tr w:rsidR="00FB2E4F" w:rsidRPr="00471ABF" w14:paraId="18A3F211" w14:textId="77777777" w:rsidTr="00471ABF">
        <w:trPr>
          <w:cantSplit/>
          <w:trHeight w:val="283"/>
          <w:jc w:val="center"/>
        </w:trPr>
        <w:tc>
          <w:tcPr>
            <w:tcW w:w="983" w:type="dxa"/>
            <w:shd w:val="clear" w:color="auto" w:fill="auto"/>
            <w:vAlign w:val="center"/>
            <w:hideMark/>
          </w:tcPr>
          <w:p w14:paraId="6FF0CFC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046027F7"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CZ.1.06/3.1.00/02.06970</w:t>
            </w:r>
          </w:p>
        </w:tc>
        <w:tc>
          <w:tcPr>
            <w:tcW w:w="2677" w:type="dxa"/>
            <w:shd w:val="clear" w:color="auto" w:fill="auto"/>
            <w:vAlign w:val="center"/>
            <w:hideMark/>
          </w:tcPr>
          <w:p w14:paraId="77E9EF64"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Transformace Ústavu sociální péče Jinošov</w:t>
            </w:r>
          </w:p>
        </w:tc>
        <w:tc>
          <w:tcPr>
            <w:tcW w:w="2023" w:type="dxa"/>
            <w:shd w:val="clear" w:color="auto" w:fill="auto"/>
            <w:vAlign w:val="center"/>
            <w:hideMark/>
          </w:tcPr>
          <w:p w14:paraId="6491C62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Kraj Vysočina</w:t>
            </w:r>
          </w:p>
        </w:tc>
        <w:tc>
          <w:tcPr>
            <w:tcW w:w="1559" w:type="dxa"/>
            <w:shd w:val="clear" w:color="auto" w:fill="auto"/>
            <w:vAlign w:val="center"/>
            <w:hideMark/>
          </w:tcPr>
          <w:p w14:paraId="476C1665"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56 003 553,00   </w:t>
            </w:r>
          </w:p>
        </w:tc>
      </w:tr>
      <w:tr w:rsidR="00FB2E4F" w:rsidRPr="00471ABF" w14:paraId="03E42E14" w14:textId="77777777" w:rsidTr="00471ABF">
        <w:trPr>
          <w:cantSplit/>
          <w:trHeight w:val="283"/>
          <w:jc w:val="center"/>
        </w:trPr>
        <w:tc>
          <w:tcPr>
            <w:tcW w:w="983" w:type="dxa"/>
            <w:shd w:val="clear" w:color="auto" w:fill="auto"/>
            <w:vAlign w:val="center"/>
            <w:hideMark/>
          </w:tcPr>
          <w:p w14:paraId="648A33B1"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24EDEC03"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CZ.1.06/5.2.00/07.08753</w:t>
            </w:r>
          </w:p>
        </w:tc>
        <w:tc>
          <w:tcPr>
            <w:tcW w:w="2677" w:type="dxa"/>
            <w:shd w:val="clear" w:color="auto" w:fill="auto"/>
            <w:vAlign w:val="center"/>
            <w:hideMark/>
          </w:tcPr>
          <w:p w14:paraId="5683F95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Rozšíření parkoviště v Třebíči, ul. </w:t>
            </w:r>
            <w:proofErr w:type="spellStart"/>
            <w:r w:rsidRPr="00471ABF">
              <w:rPr>
                <w:rFonts w:ascii="Calibri" w:hAnsi="Calibri" w:cs="Calibri"/>
                <w:color w:val="000000"/>
                <w:sz w:val="20"/>
                <w:szCs w:val="20"/>
              </w:rPr>
              <w:t>Vltavínská</w:t>
            </w:r>
            <w:proofErr w:type="spellEnd"/>
          </w:p>
        </w:tc>
        <w:tc>
          <w:tcPr>
            <w:tcW w:w="2023" w:type="dxa"/>
            <w:shd w:val="clear" w:color="auto" w:fill="auto"/>
            <w:vAlign w:val="center"/>
            <w:hideMark/>
          </w:tcPr>
          <w:p w14:paraId="20017F09"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Třebíč</w:t>
            </w:r>
          </w:p>
        </w:tc>
        <w:tc>
          <w:tcPr>
            <w:tcW w:w="1559" w:type="dxa"/>
            <w:shd w:val="clear" w:color="auto" w:fill="auto"/>
            <w:vAlign w:val="center"/>
            <w:hideMark/>
          </w:tcPr>
          <w:p w14:paraId="74733C7B" w14:textId="58DDDFA5" w:rsidR="00FB2E4F" w:rsidRPr="00471ABF" w:rsidRDefault="0016067E"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1 286</w:t>
            </w:r>
            <w:r w:rsidR="00FB2E4F" w:rsidRPr="00471ABF">
              <w:rPr>
                <w:rFonts w:ascii="Calibri" w:hAnsi="Calibri" w:cs="Calibri"/>
                <w:color w:val="000000"/>
                <w:sz w:val="20"/>
                <w:szCs w:val="20"/>
              </w:rPr>
              <w:t xml:space="preserve"> 1</w:t>
            </w:r>
            <w:r w:rsidRPr="00471ABF">
              <w:rPr>
                <w:rFonts w:ascii="Calibri" w:hAnsi="Calibri" w:cs="Calibri"/>
                <w:color w:val="000000"/>
                <w:sz w:val="20"/>
                <w:szCs w:val="20"/>
              </w:rPr>
              <w:t>48</w:t>
            </w:r>
            <w:r w:rsidR="00FB2E4F" w:rsidRPr="00471ABF">
              <w:rPr>
                <w:rFonts w:ascii="Calibri" w:hAnsi="Calibri" w:cs="Calibri"/>
                <w:color w:val="000000"/>
                <w:sz w:val="20"/>
                <w:szCs w:val="20"/>
              </w:rPr>
              <w:t xml:space="preserve">,00   </w:t>
            </w:r>
          </w:p>
        </w:tc>
      </w:tr>
      <w:tr w:rsidR="00FB2E4F" w:rsidRPr="00471ABF" w14:paraId="4207DE00" w14:textId="77777777" w:rsidTr="00471ABF">
        <w:trPr>
          <w:cantSplit/>
          <w:trHeight w:val="283"/>
          <w:jc w:val="center"/>
        </w:trPr>
        <w:tc>
          <w:tcPr>
            <w:tcW w:w="983" w:type="dxa"/>
            <w:shd w:val="clear" w:color="auto" w:fill="auto"/>
            <w:vAlign w:val="center"/>
            <w:hideMark/>
          </w:tcPr>
          <w:p w14:paraId="63C85E40"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8D4A4CE"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CZ.1.06/5.2.00/07.06624</w:t>
            </w:r>
          </w:p>
        </w:tc>
        <w:tc>
          <w:tcPr>
            <w:tcW w:w="2677" w:type="dxa"/>
            <w:shd w:val="clear" w:color="auto" w:fill="auto"/>
            <w:vAlign w:val="center"/>
            <w:hideMark/>
          </w:tcPr>
          <w:p w14:paraId="30C3275D"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Víceúčelové hřiště</w:t>
            </w:r>
          </w:p>
        </w:tc>
        <w:tc>
          <w:tcPr>
            <w:tcW w:w="2023" w:type="dxa"/>
            <w:shd w:val="clear" w:color="auto" w:fill="auto"/>
            <w:vAlign w:val="center"/>
            <w:hideMark/>
          </w:tcPr>
          <w:p w14:paraId="49C9DAEC"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Znojmo</w:t>
            </w:r>
          </w:p>
        </w:tc>
        <w:tc>
          <w:tcPr>
            <w:tcW w:w="1559" w:type="dxa"/>
            <w:shd w:val="clear" w:color="auto" w:fill="auto"/>
            <w:vAlign w:val="center"/>
            <w:hideMark/>
          </w:tcPr>
          <w:p w14:paraId="5FE07C27" w14:textId="52D9A3AB" w:rsidR="00FB2E4F" w:rsidRPr="00471ABF" w:rsidRDefault="0016067E"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5</w:t>
            </w:r>
            <w:r w:rsidR="00FB2E4F" w:rsidRPr="00471ABF">
              <w:rPr>
                <w:rFonts w:ascii="Calibri" w:hAnsi="Calibri" w:cs="Calibri"/>
                <w:color w:val="000000"/>
                <w:sz w:val="20"/>
                <w:szCs w:val="20"/>
              </w:rPr>
              <w:t xml:space="preserve"> 8</w:t>
            </w:r>
            <w:r w:rsidRPr="00471ABF">
              <w:rPr>
                <w:rFonts w:ascii="Calibri" w:hAnsi="Calibri" w:cs="Calibri"/>
                <w:color w:val="000000"/>
                <w:sz w:val="20"/>
                <w:szCs w:val="20"/>
              </w:rPr>
              <w:t>02</w:t>
            </w:r>
            <w:r w:rsidR="00FB2E4F" w:rsidRPr="00471ABF">
              <w:rPr>
                <w:rFonts w:ascii="Calibri" w:hAnsi="Calibri" w:cs="Calibri"/>
                <w:color w:val="000000"/>
                <w:sz w:val="20"/>
                <w:szCs w:val="20"/>
              </w:rPr>
              <w:t xml:space="preserve"> 4</w:t>
            </w:r>
            <w:r w:rsidRPr="00471ABF">
              <w:rPr>
                <w:rFonts w:ascii="Calibri" w:hAnsi="Calibri" w:cs="Calibri"/>
                <w:color w:val="000000"/>
                <w:sz w:val="20"/>
                <w:szCs w:val="20"/>
              </w:rPr>
              <w:t>81</w:t>
            </w:r>
            <w:r w:rsidR="00FB2E4F" w:rsidRPr="00471ABF">
              <w:rPr>
                <w:rFonts w:ascii="Calibri" w:hAnsi="Calibri" w:cs="Calibri"/>
                <w:color w:val="000000"/>
                <w:sz w:val="20"/>
                <w:szCs w:val="20"/>
              </w:rPr>
              <w:t xml:space="preserve">,00   </w:t>
            </w:r>
          </w:p>
        </w:tc>
      </w:tr>
      <w:tr w:rsidR="00FB2E4F" w:rsidRPr="00471ABF" w14:paraId="039CB866" w14:textId="77777777" w:rsidTr="00471ABF">
        <w:trPr>
          <w:cantSplit/>
          <w:trHeight w:val="283"/>
          <w:jc w:val="center"/>
        </w:trPr>
        <w:tc>
          <w:tcPr>
            <w:tcW w:w="983" w:type="dxa"/>
            <w:shd w:val="clear" w:color="auto" w:fill="auto"/>
            <w:vAlign w:val="center"/>
            <w:hideMark/>
          </w:tcPr>
          <w:p w14:paraId="42DC8D2D"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2220D5C2"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CZ.1.06/5.2.00/07.07689</w:t>
            </w:r>
          </w:p>
        </w:tc>
        <w:tc>
          <w:tcPr>
            <w:tcW w:w="2677" w:type="dxa"/>
            <w:shd w:val="clear" w:color="auto" w:fill="auto"/>
            <w:vAlign w:val="center"/>
            <w:hideMark/>
          </w:tcPr>
          <w:p w14:paraId="60B54838" w14:textId="25DA5CDB" w:rsidR="00FB2E4F" w:rsidRPr="00471ABF" w:rsidRDefault="00690881" w:rsidP="002F0CFD">
            <w:pPr>
              <w:spacing w:before="20" w:after="20"/>
              <w:rPr>
                <w:rFonts w:ascii="Calibri" w:hAnsi="Calibri" w:cs="Calibri"/>
                <w:color w:val="000000"/>
                <w:sz w:val="20"/>
                <w:szCs w:val="20"/>
              </w:rPr>
            </w:pPr>
            <w:proofErr w:type="spellStart"/>
            <w:r w:rsidRPr="00471ABF">
              <w:rPr>
                <w:rFonts w:ascii="Calibri" w:hAnsi="Calibri" w:cs="Calibri"/>
                <w:color w:val="000000"/>
                <w:sz w:val="20"/>
                <w:szCs w:val="20"/>
              </w:rPr>
              <w:t>Streetová</w:t>
            </w:r>
            <w:proofErr w:type="spellEnd"/>
            <w:r w:rsidRPr="00471ABF">
              <w:rPr>
                <w:rFonts w:ascii="Calibri" w:hAnsi="Calibri" w:cs="Calibri"/>
                <w:color w:val="000000"/>
                <w:sz w:val="20"/>
                <w:szCs w:val="20"/>
              </w:rPr>
              <w:t xml:space="preserve"> plocha pro mládež a </w:t>
            </w:r>
            <w:r w:rsidR="00FB2E4F" w:rsidRPr="00471ABF">
              <w:rPr>
                <w:rFonts w:ascii="Calibri" w:hAnsi="Calibri" w:cs="Calibri"/>
                <w:color w:val="000000"/>
                <w:sz w:val="20"/>
                <w:szCs w:val="20"/>
              </w:rPr>
              <w:t>dětské hřiště</w:t>
            </w:r>
          </w:p>
        </w:tc>
        <w:tc>
          <w:tcPr>
            <w:tcW w:w="2023" w:type="dxa"/>
            <w:shd w:val="clear" w:color="auto" w:fill="auto"/>
            <w:vAlign w:val="center"/>
            <w:hideMark/>
          </w:tcPr>
          <w:p w14:paraId="25A076E5"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Znojmo</w:t>
            </w:r>
          </w:p>
        </w:tc>
        <w:tc>
          <w:tcPr>
            <w:tcW w:w="1559" w:type="dxa"/>
            <w:shd w:val="clear" w:color="auto" w:fill="auto"/>
            <w:vAlign w:val="center"/>
            <w:hideMark/>
          </w:tcPr>
          <w:p w14:paraId="17FDEDE9" w14:textId="0268B217" w:rsidR="00FB2E4F" w:rsidRPr="00471ABF" w:rsidRDefault="00235707"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3 261 192,45</w:t>
            </w:r>
            <w:r w:rsidR="00FB2E4F" w:rsidRPr="00471ABF">
              <w:rPr>
                <w:rFonts w:ascii="Calibri" w:hAnsi="Calibri" w:cs="Calibri"/>
                <w:color w:val="000000"/>
                <w:sz w:val="20"/>
                <w:szCs w:val="20"/>
              </w:rPr>
              <w:t xml:space="preserve">   </w:t>
            </w:r>
          </w:p>
        </w:tc>
      </w:tr>
      <w:tr w:rsidR="00FB2E4F" w:rsidRPr="00471ABF" w14:paraId="4CAF26BC" w14:textId="77777777" w:rsidTr="00471ABF">
        <w:trPr>
          <w:cantSplit/>
          <w:trHeight w:val="283"/>
          <w:jc w:val="center"/>
        </w:trPr>
        <w:tc>
          <w:tcPr>
            <w:tcW w:w="983" w:type="dxa"/>
            <w:shd w:val="clear" w:color="auto" w:fill="auto"/>
            <w:vAlign w:val="center"/>
            <w:hideMark/>
          </w:tcPr>
          <w:p w14:paraId="2E5ACFBD" w14:textId="3AB166CF"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CE03F5A"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CZ.1.06/3.2.01/08.07638</w:t>
            </w:r>
          </w:p>
        </w:tc>
        <w:tc>
          <w:tcPr>
            <w:tcW w:w="2677" w:type="dxa"/>
            <w:shd w:val="clear" w:color="auto" w:fill="auto"/>
            <w:vAlign w:val="center"/>
            <w:hideMark/>
          </w:tcPr>
          <w:p w14:paraId="71EB5AA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Modernizace a obnova přístrojového vybavení Iktového centra Nemocnice Jihlava</w:t>
            </w:r>
          </w:p>
        </w:tc>
        <w:tc>
          <w:tcPr>
            <w:tcW w:w="2023" w:type="dxa"/>
            <w:shd w:val="clear" w:color="auto" w:fill="auto"/>
            <w:vAlign w:val="center"/>
            <w:hideMark/>
          </w:tcPr>
          <w:p w14:paraId="6D01955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Nemocnice Jihlava, příspěvková organizace</w:t>
            </w:r>
          </w:p>
        </w:tc>
        <w:tc>
          <w:tcPr>
            <w:tcW w:w="1559" w:type="dxa"/>
            <w:shd w:val="clear" w:color="auto" w:fill="auto"/>
            <w:vAlign w:val="center"/>
            <w:hideMark/>
          </w:tcPr>
          <w:p w14:paraId="70CB920E" w14:textId="50575062"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1</w:t>
            </w:r>
            <w:r w:rsidR="0016067E" w:rsidRPr="00471ABF">
              <w:rPr>
                <w:rFonts w:ascii="Calibri" w:hAnsi="Calibri" w:cs="Calibri"/>
                <w:color w:val="000000"/>
                <w:sz w:val="20"/>
                <w:szCs w:val="20"/>
              </w:rPr>
              <w:t>3</w:t>
            </w:r>
            <w:r w:rsidRPr="00471ABF">
              <w:rPr>
                <w:rFonts w:ascii="Calibri" w:hAnsi="Calibri" w:cs="Calibri"/>
                <w:color w:val="000000"/>
                <w:sz w:val="20"/>
                <w:szCs w:val="20"/>
              </w:rPr>
              <w:t xml:space="preserve"> </w:t>
            </w:r>
            <w:r w:rsidR="0016067E" w:rsidRPr="00471ABF">
              <w:rPr>
                <w:rFonts w:ascii="Calibri" w:hAnsi="Calibri" w:cs="Calibri"/>
                <w:color w:val="000000"/>
                <w:sz w:val="20"/>
                <w:szCs w:val="20"/>
              </w:rPr>
              <w:t>791</w:t>
            </w:r>
            <w:r w:rsidRPr="00471ABF">
              <w:rPr>
                <w:rFonts w:ascii="Calibri" w:hAnsi="Calibri" w:cs="Calibri"/>
                <w:color w:val="000000"/>
                <w:sz w:val="20"/>
                <w:szCs w:val="20"/>
              </w:rPr>
              <w:t xml:space="preserve"> </w:t>
            </w:r>
            <w:r w:rsidR="0016067E" w:rsidRPr="00471ABF">
              <w:rPr>
                <w:rFonts w:ascii="Calibri" w:hAnsi="Calibri" w:cs="Calibri"/>
                <w:color w:val="000000"/>
                <w:sz w:val="20"/>
                <w:szCs w:val="20"/>
              </w:rPr>
              <w:t>986</w:t>
            </w:r>
            <w:r w:rsidRPr="00471ABF">
              <w:rPr>
                <w:rFonts w:ascii="Calibri" w:hAnsi="Calibri" w:cs="Calibri"/>
                <w:color w:val="000000"/>
                <w:sz w:val="20"/>
                <w:szCs w:val="20"/>
              </w:rPr>
              <w:t>,</w:t>
            </w:r>
            <w:r w:rsidR="0016067E" w:rsidRPr="00471ABF">
              <w:rPr>
                <w:rFonts w:ascii="Calibri" w:hAnsi="Calibri" w:cs="Calibri"/>
                <w:color w:val="000000"/>
                <w:sz w:val="20"/>
                <w:szCs w:val="20"/>
              </w:rPr>
              <w:t>00</w:t>
            </w:r>
            <w:r w:rsidRPr="00471ABF">
              <w:rPr>
                <w:rFonts w:ascii="Calibri" w:hAnsi="Calibri" w:cs="Calibri"/>
                <w:color w:val="000000"/>
                <w:sz w:val="20"/>
                <w:szCs w:val="20"/>
              </w:rPr>
              <w:t xml:space="preserve">   </w:t>
            </w:r>
          </w:p>
        </w:tc>
      </w:tr>
      <w:tr w:rsidR="00FB2E4F" w:rsidRPr="00471ABF" w14:paraId="1772CE61" w14:textId="77777777" w:rsidTr="00471ABF">
        <w:trPr>
          <w:cantSplit/>
          <w:trHeight w:val="283"/>
          <w:jc w:val="center"/>
        </w:trPr>
        <w:tc>
          <w:tcPr>
            <w:tcW w:w="983" w:type="dxa"/>
            <w:shd w:val="clear" w:color="auto" w:fill="auto"/>
            <w:vAlign w:val="center"/>
            <w:hideMark/>
          </w:tcPr>
          <w:p w14:paraId="766DD9AD"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F44CAD0"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CZ.1.06/3.1.02/01.06533</w:t>
            </w:r>
          </w:p>
        </w:tc>
        <w:tc>
          <w:tcPr>
            <w:tcW w:w="2677" w:type="dxa"/>
            <w:shd w:val="clear" w:color="auto" w:fill="auto"/>
            <w:vAlign w:val="center"/>
            <w:hideMark/>
          </w:tcPr>
          <w:p w14:paraId="3D258F44"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Založení a rozvoj sociálního družstva Vysoké II</w:t>
            </w:r>
          </w:p>
        </w:tc>
        <w:tc>
          <w:tcPr>
            <w:tcW w:w="2023" w:type="dxa"/>
            <w:shd w:val="clear" w:color="auto" w:fill="auto"/>
            <w:vAlign w:val="center"/>
            <w:hideMark/>
          </w:tcPr>
          <w:p w14:paraId="64F5E75D"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Vysoké - výrobní družstvo</w:t>
            </w:r>
          </w:p>
        </w:tc>
        <w:tc>
          <w:tcPr>
            <w:tcW w:w="1559" w:type="dxa"/>
            <w:shd w:val="clear" w:color="auto" w:fill="auto"/>
            <w:vAlign w:val="center"/>
            <w:hideMark/>
          </w:tcPr>
          <w:p w14:paraId="48B9B573" w14:textId="40B3AA71"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4 </w:t>
            </w:r>
            <w:r w:rsidR="0016067E" w:rsidRPr="00471ABF">
              <w:rPr>
                <w:rFonts w:ascii="Calibri" w:hAnsi="Calibri" w:cs="Calibri"/>
                <w:color w:val="000000"/>
                <w:sz w:val="20"/>
                <w:szCs w:val="20"/>
              </w:rPr>
              <w:t>410</w:t>
            </w:r>
            <w:r w:rsidRPr="00471ABF">
              <w:rPr>
                <w:rFonts w:ascii="Calibri" w:hAnsi="Calibri" w:cs="Calibri"/>
                <w:color w:val="000000"/>
                <w:sz w:val="20"/>
                <w:szCs w:val="20"/>
              </w:rPr>
              <w:t xml:space="preserve"> </w:t>
            </w:r>
            <w:r w:rsidR="0016067E" w:rsidRPr="00471ABF">
              <w:rPr>
                <w:rFonts w:ascii="Calibri" w:hAnsi="Calibri" w:cs="Calibri"/>
                <w:color w:val="000000"/>
                <w:sz w:val="20"/>
                <w:szCs w:val="20"/>
              </w:rPr>
              <w:t>0</w:t>
            </w:r>
            <w:r w:rsidRPr="00471ABF">
              <w:rPr>
                <w:rFonts w:ascii="Calibri" w:hAnsi="Calibri" w:cs="Calibri"/>
                <w:color w:val="000000"/>
                <w:sz w:val="20"/>
                <w:szCs w:val="20"/>
              </w:rPr>
              <w:t xml:space="preserve">00,00   </w:t>
            </w:r>
          </w:p>
        </w:tc>
      </w:tr>
      <w:tr w:rsidR="00FB2E4F" w:rsidRPr="00471ABF" w14:paraId="4995CCAF" w14:textId="77777777" w:rsidTr="00471ABF">
        <w:trPr>
          <w:cantSplit/>
          <w:trHeight w:val="283"/>
          <w:jc w:val="center"/>
        </w:trPr>
        <w:tc>
          <w:tcPr>
            <w:tcW w:w="983" w:type="dxa"/>
            <w:shd w:val="clear" w:color="auto" w:fill="auto"/>
            <w:vAlign w:val="center"/>
            <w:hideMark/>
          </w:tcPr>
          <w:p w14:paraId="2A640B4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5B1234F4"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CZ.1.06/3.1.02/01.07541</w:t>
            </w:r>
          </w:p>
        </w:tc>
        <w:tc>
          <w:tcPr>
            <w:tcW w:w="2677" w:type="dxa"/>
            <w:shd w:val="clear" w:color="auto" w:fill="auto"/>
            <w:vAlign w:val="center"/>
            <w:hideMark/>
          </w:tcPr>
          <w:p w14:paraId="64866661" w14:textId="479E7C5B"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Sociální podnik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Cukrárna Sedmička Strakonice</w:t>
            </w:r>
          </w:p>
        </w:tc>
        <w:tc>
          <w:tcPr>
            <w:tcW w:w="2023" w:type="dxa"/>
            <w:shd w:val="clear" w:color="auto" w:fill="auto"/>
            <w:vAlign w:val="center"/>
            <w:hideMark/>
          </w:tcPr>
          <w:p w14:paraId="13128D1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Hober s.r.o.</w:t>
            </w:r>
          </w:p>
        </w:tc>
        <w:tc>
          <w:tcPr>
            <w:tcW w:w="1559" w:type="dxa"/>
            <w:shd w:val="clear" w:color="auto" w:fill="auto"/>
            <w:vAlign w:val="center"/>
            <w:hideMark/>
          </w:tcPr>
          <w:p w14:paraId="49BBED92"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2 799 296,00   </w:t>
            </w:r>
          </w:p>
        </w:tc>
      </w:tr>
      <w:tr w:rsidR="00FB2E4F" w:rsidRPr="00471ABF" w14:paraId="4FB87A64" w14:textId="77777777" w:rsidTr="00471ABF">
        <w:trPr>
          <w:cantSplit/>
          <w:trHeight w:val="283"/>
          <w:jc w:val="center"/>
        </w:trPr>
        <w:tc>
          <w:tcPr>
            <w:tcW w:w="983" w:type="dxa"/>
            <w:shd w:val="clear" w:color="auto" w:fill="auto"/>
            <w:vAlign w:val="center"/>
            <w:hideMark/>
          </w:tcPr>
          <w:p w14:paraId="12DA3CD4"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595C5007"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CZ.1.06/3.1.00/07.08288</w:t>
            </w:r>
          </w:p>
        </w:tc>
        <w:tc>
          <w:tcPr>
            <w:tcW w:w="2677" w:type="dxa"/>
            <w:shd w:val="clear" w:color="auto" w:fill="auto"/>
            <w:vAlign w:val="center"/>
            <w:hideMark/>
          </w:tcPr>
          <w:p w14:paraId="45771387" w14:textId="267B8794"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Investiční podpora procesu transformace DOZP "PATA" </w:t>
            </w:r>
            <w:r w:rsidR="00A77409" w:rsidRPr="00471ABF">
              <w:rPr>
                <w:rFonts w:ascii="Calibri" w:hAnsi="Calibri" w:cs="Calibri"/>
                <w:color w:val="000000"/>
                <w:sz w:val="20"/>
                <w:szCs w:val="20"/>
              </w:rPr>
              <w:t>v </w:t>
            </w:r>
            <w:r w:rsidRPr="00471ABF">
              <w:rPr>
                <w:rFonts w:ascii="Calibri" w:hAnsi="Calibri" w:cs="Calibri"/>
                <w:color w:val="000000"/>
                <w:sz w:val="20"/>
                <w:szCs w:val="20"/>
              </w:rPr>
              <w:t xml:space="preserve">Hazlově, </w:t>
            </w:r>
            <w:proofErr w:type="spellStart"/>
            <w:proofErr w:type="gramStart"/>
            <w:r w:rsidRPr="00471ABF">
              <w:rPr>
                <w:rFonts w:ascii="Calibri" w:hAnsi="Calibri" w:cs="Calibri"/>
                <w:color w:val="000000"/>
                <w:sz w:val="20"/>
                <w:szCs w:val="20"/>
              </w:rPr>
              <w:t>p.o</w:t>
            </w:r>
            <w:proofErr w:type="spellEnd"/>
            <w:r w:rsidRPr="00471ABF">
              <w:rPr>
                <w:rFonts w:ascii="Calibri" w:hAnsi="Calibri" w:cs="Calibri"/>
                <w:color w:val="000000"/>
                <w:sz w:val="20"/>
                <w:szCs w:val="20"/>
              </w:rPr>
              <w:t>.</w:t>
            </w:r>
            <w:proofErr w:type="gramEnd"/>
            <w:r w:rsidRPr="00471ABF">
              <w:rPr>
                <w:rFonts w:ascii="Calibri" w:hAnsi="Calibri" w:cs="Calibri"/>
                <w:color w:val="000000"/>
                <w:sz w:val="20"/>
                <w:szCs w:val="20"/>
              </w:rPr>
              <w:t>,</w:t>
            </w:r>
            <w:r w:rsidR="00306E2B">
              <w:rPr>
                <w:rFonts w:ascii="Calibri" w:hAnsi="Calibri" w:cs="Calibri"/>
                <w:color w:val="000000"/>
                <w:sz w:val="20"/>
                <w:szCs w:val="20"/>
              </w:rPr>
              <w:t xml:space="preserve"> </w:t>
            </w:r>
            <w:r w:rsidRPr="00471ABF">
              <w:rPr>
                <w:rFonts w:ascii="Calibri" w:hAnsi="Calibri" w:cs="Calibri"/>
                <w:color w:val="000000"/>
                <w:sz w:val="20"/>
                <w:szCs w:val="20"/>
              </w:rPr>
              <w:t>1.etapa,</w:t>
            </w:r>
            <w:r w:rsidR="00306E2B">
              <w:rPr>
                <w:rFonts w:ascii="Calibri" w:hAnsi="Calibri" w:cs="Calibri"/>
                <w:color w:val="000000"/>
                <w:sz w:val="20"/>
                <w:szCs w:val="20"/>
              </w:rPr>
              <w:t xml:space="preserve"> </w:t>
            </w:r>
            <w:r w:rsidRPr="00471ABF">
              <w:rPr>
                <w:rFonts w:ascii="Calibri" w:hAnsi="Calibri" w:cs="Calibri"/>
                <w:color w:val="000000"/>
                <w:sz w:val="20"/>
                <w:szCs w:val="20"/>
              </w:rPr>
              <w:t>část I</w:t>
            </w:r>
          </w:p>
        </w:tc>
        <w:tc>
          <w:tcPr>
            <w:tcW w:w="2023" w:type="dxa"/>
            <w:shd w:val="clear" w:color="auto" w:fill="auto"/>
            <w:vAlign w:val="center"/>
            <w:hideMark/>
          </w:tcPr>
          <w:p w14:paraId="04350CF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Karlovarský kraj</w:t>
            </w:r>
          </w:p>
        </w:tc>
        <w:tc>
          <w:tcPr>
            <w:tcW w:w="1559" w:type="dxa"/>
            <w:shd w:val="clear" w:color="auto" w:fill="auto"/>
            <w:vAlign w:val="center"/>
            <w:hideMark/>
          </w:tcPr>
          <w:p w14:paraId="023F414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3 370 326,28   </w:t>
            </w:r>
          </w:p>
        </w:tc>
      </w:tr>
      <w:tr w:rsidR="00FB2E4F" w:rsidRPr="00471ABF" w14:paraId="63AD6E39" w14:textId="77777777" w:rsidTr="00471ABF">
        <w:trPr>
          <w:cantSplit/>
          <w:trHeight w:val="283"/>
          <w:jc w:val="center"/>
        </w:trPr>
        <w:tc>
          <w:tcPr>
            <w:tcW w:w="983" w:type="dxa"/>
            <w:shd w:val="clear" w:color="auto" w:fill="auto"/>
            <w:vAlign w:val="center"/>
            <w:hideMark/>
          </w:tcPr>
          <w:p w14:paraId="733C253F"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56DC756"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CZ.1.06/3.1.02/01.07551</w:t>
            </w:r>
          </w:p>
        </w:tc>
        <w:tc>
          <w:tcPr>
            <w:tcW w:w="2677" w:type="dxa"/>
            <w:shd w:val="clear" w:color="auto" w:fill="auto"/>
            <w:vAlign w:val="center"/>
            <w:hideMark/>
          </w:tcPr>
          <w:p w14:paraId="3F852C59" w14:textId="77777777" w:rsidR="00FB2E4F" w:rsidRPr="00471ABF" w:rsidRDefault="00FB2E4F" w:rsidP="002F0CFD">
            <w:pPr>
              <w:spacing w:before="20" w:after="20"/>
              <w:rPr>
                <w:rFonts w:ascii="Calibri" w:hAnsi="Calibri" w:cs="Calibri"/>
                <w:color w:val="000000"/>
                <w:sz w:val="20"/>
                <w:szCs w:val="20"/>
              </w:rPr>
            </w:pPr>
            <w:proofErr w:type="spellStart"/>
            <w:r w:rsidRPr="00471ABF">
              <w:rPr>
                <w:rFonts w:ascii="Calibri" w:hAnsi="Calibri" w:cs="Calibri"/>
                <w:color w:val="000000"/>
                <w:sz w:val="20"/>
                <w:szCs w:val="20"/>
              </w:rPr>
              <w:t>Křinický</w:t>
            </w:r>
            <w:proofErr w:type="spellEnd"/>
            <w:r w:rsidRPr="00471ABF">
              <w:rPr>
                <w:rFonts w:ascii="Calibri" w:hAnsi="Calibri" w:cs="Calibri"/>
                <w:color w:val="000000"/>
                <w:sz w:val="20"/>
                <w:szCs w:val="20"/>
              </w:rPr>
              <w:t xml:space="preserve"> pivovar Krásná Lípa</w:t>
            </w:r>
          </w:p>
        </w:tc>
        <w:tc>
          <w:tcPr>
            <w:tcW w:w="2023" w:type="dxa"/>
            <w:shd w:val="clear" w:color="auto" w:fill="auto"/>
            <w:vAlign w:val="center"/>
            <w:hideMark/>
          </w:tcPr>
          <w:p w14:paraId="730320B4" w14:textId="77777777" w:rsidR="00FB2E4F" w:rsidRPr="00471ABF" w:rsidRDefault="00FB2E4F" w:rsidP="002F0CFD">
            <w:pPr>
              <w:spacing w:before="20" w:after="20"/>
              <w:rPr>
                <w:rFonts w:ascii="Calibri" w:hAnsi="Calibri" w:cs="Calibri"/>
                <w:color w:val="000000"/>
                <w:sz w:val="20"/>
                <w:szCs w:val="20"/>
              </w:rPr>
            </w:pPr>
            <w:proofErr w:type="spellStart"/>
            <w:r w:rsidRPr="00471ABF">
              <w:rPr>
                <w:rFonts w:ascii="Calibri" w:hAnsi="Calibri" w:cs="Calibri"/>
                <w:color w:val="000000"/>
                <w:sz w:val="20"/>
                <w:szCs w:val="20"/>
              </w:rPr>
              <w:t>Křinický</w:t>
            </w:r>
            <w:proofErr w:type="spellEnd"/>
            <w:r w:rsidRPr="00471ABF">
              <w:rPr>
                <w:rFonts w:ascii="Calibri" w:hAnsi="Calibri" w:cs="Calibri"/>
                <w:color w:val="000000"/>
                <w:sz w:val="20"/>
                <w:szCs w:val="20"/>
              </w:rPr>
              <w:t xml:space="preserve"> pivovar s.r.o.</w:t>
            </w:r>
          </w:p>
        </w:tc>
        <w:tc>
          <w:tcPr>
            <w:tcW w:w="1559" w:type="dxa"/>
            <w:shd w:val="clear" w:color="auto" w:fill="auto"/>
            <w:vAlign w:val="center"/>
            <w:hideMark/>
          </w:tcPr>
          <w:p w14:paraId="5A0A9971"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4 546 073,00   </w:t>
            </w:r>
          </w:p>
        </w:tc>
      </w:tr>
      <w:tr w:rsidR="00FB2E4F" w:rsidRPr="00471ABF" w14:paraId="0D51FC5B" w14:textId="77777777" w:rsidTr="00471ABF">
        <w:trPr>
          <w:cantSplit/>
          <w:trHeight w:val="283"/>
          <w:jc w:val="center"/>
        </w:trPr>
        <w:tc>
          <w:tcPr>
            <w:tcW w:w="983" w:type="dxa"/>
            <w:shd w:val="clear" w:color="auto" w:fill="auto"/>
            <w:vAlign w:val="center"/>
            <w:hideMark/>
          </w:tcPr>
          <w:p w14:paraId="0F6A694F"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0056C50F"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CZ.1.06/3.2.01/02.06111</w:t>
            </w:r>
          </w:p>
        </w:tc>
        <w:tc>
          <w:tcPr>
            <w:tcW w:w="2677" w:type="dxa"/>
            <w:shd w:val="clear" w:color="auto" w:fill="auto"/>
            <w:vAlign w:val="center"/>
            <w:hideMark/>
          </w:tcPr>
          <w:p w14:paraId="1BD27D42" w14:textId="58D7E89E"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Modernizace a vybavení NRL pro výrobky určené pr</w:t>
            </w:r>
            <w:r w:rsidR="00A77409" w:rsidRPr="00471ABF">
              <w:rPr>
                <w:rFonts w:ascii="Calibri" w:hAnsi="Calibri" w:cs="Calibri"/>
                <w:color w:val="000000"/>
                <w:sz w:val="20"/>
                <w:szCs w:val="20"/>
              </w:rPr>
              <w:t>o styk s </w:t>
            </w:r>
            <w:r w:rsidRPr="00471ABF">
              <w:rPr>
                <w:rFonts w:ascii="Calibri" w:hAnsi="Calibri" w:cs="Calibri"/>
                <w:color w:val="000000"/>
                <w:sz w:val="20"/>
                <w:szCs w:val="20"/>
              </w:rPr>
              <w:t>potravinami a pro výrobky pro děti do 3 let</w:t>
            </w:r>
          </w:p>
        </w:tc>
        <w:tc>
          <w:tcPr>
            <w:tcW w:w="2023" w:type="dxa"/>
            <w:shd w:val="clear" w:color="auto" w:fill="auto"/>
            <w:vAlign w:val="center"/>
            <w:hideMark/>
          </w:tcPr>
          <w:p w14:paraId="751C1847"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Státní zdravotní ústav, příspěvková organizace</w:t>
            </w:r>
          </w:p>
        </w:tc>
        <w:tc>
          <w:tcPr>
            <w:tcW w:w="1559" w:type="dxa"/>
            <w:shd w:val="clear" w:color="auto" w:fill="auto"/>
            <w:vAlign w:val="center"/>
            <w:hideMark/>
          </w:tcPr>
          <w:p w14:paraId="51DC5913"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11 601 315,00   </w:t>
            </w:r>
          </w:p>
        </w:tc>
      </w:tr>
      <w:tr w:rsidR="00FB2E4F" w:rsidRPr="00471ABF" w14:paraId="78842953" w14:textId="77777777" w:rsidTr="00471ABF">
        <w:trPr>
          <w:cantSplit/>
          <w:trHeight w:val="283"/>
          <w:jc w:val="center"/>
        </w:trPr>
        <w:tc>
          <w:tcPr>
            <w:tcW w:w="983" w:type="dxa"/>
            <w:shd w:val="clear" w:color="auto" w:fill="auto"/>
            <w:vAlign w:val="center"/>
            <w:hideMark/>
          </w:tcPr>
          <w:p w14:paraId="1D4AE95B"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5DE707AC"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CZ.1.06/1.1.00/07.06410</w:t>
            </w:r>
          </w:p>
        </w:tc>
        <w:tc>
          <w:tcPr>
            <w:tcW w:w="2677" w:type="dxa"/>
            <w:shd w:val="clear" w:color="auto" w:fill="auto"/>
            <w:vAlign w:val="center"/>
            <w:hideMark/>
          </w:tcPr>
          <w:p w14:paraId="031E337F" w14:textId="23156A21"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Vytvoření soustavy </w:t>
            </w:r>
            <w:proofErr w:type="spellStart"/>
            <w:r w:rsidRPr="00471ABF">
              <w:rPr>
                <w:rFonts w:ascii="Calibri" w:hAnsi="Calibri" w:cs="Calibri"/>
                <w:color w:val="000000"/>
                <w:sz w:val="20"/>
                <w:szCs w:val="20"/>
              </w:rPr>
              <w:t>g</w:t>
            </w:r>
            <w:r w:rsidR="00A77409" w:rsidRPr="00471ABF">
              <w:rPr>
                <w:rFonts w:ascii="Calibri" w:hAnsi="Calibri" w:cs="Calibri"/>
                <w:color w:val="000000"/>
                <w:sz w:val="20"/>
                <w:szCs w:val="20"/>
              </w:rPr>
              <w:t>eoportálů</w:t>
            </w:r>
            <w:proofErr w:type="spellEnd"/>
            <w:r w:rsidR="00A77409" w:rsidRPr="00471ABF">
              <w:rPr>
                <w:rFonts w:ascii="Calibri" w:hAnsi="Calibri" w:cs="Calibri"/>
                <w:color w:val="000000"/>
                <w:sz w:val="20"/>
                <w:szCs w:val="20"/>
              </w:rPr>
              <w:t xml:space="preserve"> a datového úložiště v </w:t>
            </w:r>
            <w:r w:rsidRPr="00471ABF">
              <w:rPr>
                <w:rFonts w:ascii="Calibri" w:hAnsi="Calibri" w:cs="Calibri"/>
                <w:color w:val="000000"/>
                <w:sz w:val="20"/>
                <w:szCs w:val="20"/>
              </w:rPr>
              <w:t>návaznosti na Portál veřejné správy</w:t>
            </w:r>
          </w:p>
        </w:tc>
        <w:tc>
          <w:tcPr>
            <w:tcW w:w="2023" w:type="dxa"/>
            <w:shd w:val="clear" w:color="auto" w:fill="auto"/>
            <w:vAlign w:val="center"/>
            <w:hideMark/>
          </w:tcPr>
          <w:p w14:paraId="38AA32B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CENIA, česká informační agentura životního prostředí</w:t>
            </w:r>
          </w:p>
        </w:tc>
        <w:tc>
          <w:tcPr>
            <w:tcW w:w="1559" w:type="dxa"/>
            <w:shd w:val="clear" w:color="auto" w:fill="auto"/>
            <w:vAlign w:val="center"/>
            <w:hideMark/>
          </w:tcPr>
          <w:p w14:paraId="7468EE20"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2 648 675,20   </w:t>
            </w:r>
          </w:p>
        </w:tc>
      </w:tr>
      <w:tr w:rsidR="00FB2E4F" w:rsidRPr="00471ABF" w14:paraId="4A7F59D3" w14:textId="77777777" w:rsidTr="00471ABF">
        <w:trPr>
          <w:cantSplit/>
          <w:trHeight w:val="283"/>
          <w:jc w:val="center"/>
        </w:trPr>
        <w:tc>
          <w:tcPr>
            <w:tcW w:w="983" w:type="dxa"/>
            <w:shd w:val="clear" w:color="auto" w:fill="auto"/>
            <w:vAlign w:val="center"/>
            <w:hideMark/>
          </w:tcPr>
          <w:p w14:paraId="3BF0220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0656ED9F"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CZ.1.06/1.1.00/07.06407</w:t>
            </w:r>
          </w:p>
        </w:tc>
        <w:tc>
          <w:tcPr>
            <w:tcW w:w="2677" w:type="dxa"/>
            <w:shd w:val="clear" w:color="auto" w:fill="auto"/>
            <w:vAlign w:val="center"/>
            <w:hideMark/>
          </w:tcPr>
          <w:p w14:paraId="4FE69645" w14:textId="11551562"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Elektronická podání v </w:t>
            </w:r>
            <w:r w:rsidR="00FB2E4F" w:rsidRPr="00471ABF">
              <w:rPr>
                <w:rFonts w:ascii="Calibri" w:hAnsi="Calibri" w:cs="Calibri"/>
                <w:color w:val="000000"/>
                <w:sz w:val="20"/>
                <w:szCs w:val="20"/>
              </w:rPr>
              <w:t>procesu správního řízení</w:t>
            </w:r>
          </w:p>
        </w:tc>
        <w:tc>
          <w:tcPr>
            <w:tcW w:w="2023" w:type="dxa"/>
            <w:shd w:val="clear" w:color="auto" w:fill="auto"/>
            <w:vAlign w:val="center"/>
            <w:hideMark/>
          </w:tcPr>
          <w:p w14:paraId="5C1FC70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Český telekomunikační úřad</w:t>
            </w:r>
          </w:p>
        </w:tc>
        <w:tc>
          <w:tcPr>
            <w:tcW w:w="1559" w:type="dxa"/>
            <w:shd w:val="clear" w:color="auto" w:fill="auto"/>
            <w:vAlign w:val="center"/>
            <w:hideMark/>
          </w:tcPr>
          <w:p w14:paraId="4A23624F"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6 367 665,00   </w:t>
            </w:r>
          </w:p>
        </w:tc>
      </w:tr>
      <w:tr w:rsidR="00FB2E4F" w:rsidRPr="00471ABF" w14:paraId="250C8F62" w14:textId="77777777" w:rsidTr="00471ABF">
        <w:trPr>
          <w:cantSplit/>
          <w:trHeight w:val="283"/>
          <w:jc w:val="center"/>
        </w:trPr>
        <w:tc>
          <w:tcPr>
            <w:tcW w:w="983" w:type="dxa"/>
            <w:shd w:val="clear" w:color="auto" w:fill="auto"/>
            <w:vAlign w:val="center"/>
            <w:hideMark/>
          </w:tcPr>
          <w:p w14:paraId="12A5C76D"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lastRenderedPageBreak/>
              <w:t>IOP</w:t>
            </w:r>
          </w:p>
        </w:tc>
        <w:tc>
          <w:tcPr>
            <w:tcW w:w="2167" w:type="dxa"/>
            <w:shd w:val="clear" w:color="auto" w:fill="auto"/>
            <w:vAlign w:val="center"/>
            <w:hideMark/>
          </w:tcPr>
          <w:p w14:paraId="7CE056E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CZ.1.06/3.4.00/01.05949</w:t>
            </w:r>
          </w:p>
        </w:tc>
        <w:tc>
          <w:tcPr>
            <w:tcW w:w="2677" w:type="dxa"/>
            <w:shd w:val="clear" w:color="auto" w:fill="auto"/>
            <w:vAlign w:val="center"/>
            <w:hideMark/>
          </w:tcPr>
          <w:p w14:paraId="457369A9"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Národní základna humanitární pomoci</w:t>
            </w:r>
          </w:p>
        </w:tc>
        <w:tc>
          <w:tcPr>
            <w:tcW w:w="2023" w:type="dxa"/>
            <w:shd w:val="clear" w:color="auto" w:fill="auto"/>
            <w:vAlign w:val="center"/>
            <w:hideMark/>
          </w:tcPr>
          <w:p w14:paraId="77A94EA2"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VNITRA</w:t>
            </w:r>
          </w:p>
        </w:tc>
        <w:tc>
          <w:tcPr>
            <w:tcW w:w="1559" w:type="dxa"/>
            <w:shd w:val="clear" w:color="auto" w:fill="auto"/>
            <w:vAlign w:val="center"/>
            <w:hideMark/>
          </w:tcPr>
          <w:p w14:paraId="353A9FAD"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62 103 032,00   </w:t>
            </w:r>
          </w:p>
        </w:tc>
      </w:tr>
      <w:tr w:rsidR="00FB2E4F" w:rsidRPr="00471ABF" w14:paraId="4FD0D673" w14:textId="77777777" w:rsidTr="00471ABF">
        <w:trPr>
          <w:cantSplit/>
          <w:trHeight w:val="283"/>
          <w:jc w:val="center"/>
        </w:trPr>
        <w:tc>
          <w:tcPr>
            <w:tcW w:w="983" w:type="dxa"/>
            <w:shd w:val="clear" w:color="auto" w:fill="auto"/>
            <w:vAlign w:val="center"/>
            <w:hideMark/>
          </w:tcPr>
          <w:p w14:paraId="6DE56CC7"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58B07C1"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CZ.1.06/3.2.01/03.06018</w:t>
            </w:r>
          </w:p>
        </w:tc>
        <w:tc>
          <w:tcPr>
            <w:tcW w:w="2677" w:type="dxa"/>
            <w:shd w:val="clear" w:color="auto" w:fill="auto"/>
            <w:vAlign w:val="center"/>
            <w:hideMark/>
          </w:tcPr>
          <w:p w14:paraId="11B53B87" w14:textId="302B547D"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Zajištění procesních a </w:t>
            </w:r>
            <w:r w:rsidR="00FB2E4F" w:rsidRPr="00471ABF">
              <w:rPr>
                <w:rFonts w:ascii="Calibri" w:hAnsi="Calibri" w:cs="Calibri"/>
                <w:color w:val="000000"/>
                <w:sz w:val="20"/>
                <w:szCs w:val="20"/>
              </w:rPr>
              <w:t>personálních a</w:t>
            </w:r>
            <w:r w:rsidRPr="00471ABF">
              <w:rPr>
                <w:rFonts w:ascii="Calibri" w:hAnsi="Calibri" w:cs="Calibri"/>
                <w:color w:val="000000"/>
                <w:sz w:val="20"/>
                <w:szCs w:val="20"/>
              </w:rPr>
              <w:t>uditů Fakultní nemocnice Brno a </w:t>
            </w:r>
            <w:r w:rsidR="00FB2E4F" w:rsidRPr="00471ABF">
              <w:rPr>
                <w:rFonts w:ascii="Calibri" w:hAnsi="Calibri" w:cs="Calibri"/>
                <w:color w:val="000000"/>
                <w:sz w:val="20"/>
                <w:szCs w:val="20"/>
              </w:rPr>
              <w:t>Fakultní nemocnice Olomouc</w:t>
            </w:r>
          </w:p>
        </w:tc>
        <w:tc>
          <w:tcPr>
            <w:tcW w:w="2023" w:type="dxa"/>
            <w:shd w:val="clear" w:color="auto" w:fill="auto"/>
            <w:vAlign w:val="center"/>
            <w:hideMark/>
          </w:tcPr>
          <w:p w14:paraId="70B9574C"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ZDRAVOTNICTVÍ</w:t>
            </w:r>
          </w:p>
        </w:tc>
        <w:tc>
          <w:tcPr>
            <w:tcW w:w="1559" w:type="dxa"/>
            <w:shd w:val="clear" w:color="auto" w:fill="auto"/>
            <w:vAlign w:val="center"/>
            <w:hideMark/>
          </w:tcPr>
          <w:p w14:paraId="1156F3B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23 203 176,00   </w:t>
            </w:r>
          </w:p>
        </w:tc>
      </w:tr>
      <w:tr w:rsidR="00FB2E4F" w:rsidRPr="00471ABF" w14:paraId="6CBA0C27" w14:textId="77777777" w:rsidTr="00471ABF">
        <w:trPr>
          <w:cantSplit/>
          <w:trHeight w:val="283"/>
          <w:jc w:val="center"/>
        </w:trPr>
        <w:tc>
          <w:tcPr>
            <w:tcW w:w="983" w:type="dxa"/>
            <w:shd w:val="clear" w:color="auto" w:fill="auto"/>
            <w:vAlign w:val="center"/>
            <w:hideMark/>
          </w:tcPr>
          <w:p w14:paraId="19BFD63E"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F8AC18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CZ.1.06/3.2.01/03.06017</w:t>
            </w:r>
          </w:p>
        </w:tc>
        <w:tc>
          <w:tcPr>
            <w:tcW w:w="2677" w:type="dxa"/>
            <w:shd w:val="clear" w:color="auto" w:fill="auto"/>
            <w:vAlign w:val="center"/>
            <w:hideMark/>
          </w:tcPr>
          <w:p w14:paraId="392FD41A" w14:textId="2099AF1A"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Kultiva</w:t>
            </w:r>
            <w:r w:rsidR="007B2BF7" w:rsidRPr="00471ABF">
              <w:rPr>
                <w:rFonts w:ascii="Calibri" w:hAnsi="Calibri" w:cs="Calibri"/>
                <w:color w:val="000000"/>
                <w:sz w:val="20"/>
                <w:szCs w:val="20"/>
              </w:rPr>
              <w:t xml:space="preserve">ce </w:t>
            </w:r>
            <w:r w:rsidR="00690881" w:rsidRPr="00471ABF">
              <w:rPr>
                <w:rFonts w:ascii="Calibri" w:hAnsi="Calibri" w:cs="Calibri"/>
                <w:color w:val="000000"/>
                <w:sz w:val="20"/>
                <w:szCs w:val="20"/>
              </w:rPr>
              <w:t>s</w:t>
            </w:r>
            <w:r w:rsidR="007B2BF7" w:rsidRPr="00471ABF">
              <w:rPr>
                <w:rFonts w:ascii="Calibri" w:hAnsi="Calibri" w:cs="Calibri"/>
                <w:color w:val="000000"/>
                <w:sz w:val="20"/>
                <w:szCs w:val="20"/>
              </w:rPr>
              <w:t>eznamu zdravotních výkonů a </w:t>
            </w:r>
            <w:r w:rsidRPr="00471ABF">
              <w:rPr>
                <w:rFonts w:ascii="Calibri" w:hAnsi="Calibri" w:cs="Calibri"/>
                <w:color w:val="000000"/>
                <w:sz w:val="20"/>
                <w:szCs w:val="20"/>
              </w:rPr>
              <w:t>vytvoření nezávisl</w:t>
            </w:r>
            <w:r w:rsidR="00A77409" w:rsidRPr="00471ABF">
              <w:rPr>
                <w:rFonts w:ascii="Calibri" w:hAnsi="Calibri" w:cs="Calibri"/>
                <w:color w:val="000000"/>
                <w:sz w:val="20"/>
                <w:szCs w:val="20"/>
              </w:rPr>
              <w:t>ého SW pro jeho další údržbu a </w:t>
            </w:r>
            <w:r w:rsidRPr="00471ABF">
              <w:rPr>
                <w:rFonts w:ascii="Calibri" w:hAnsi="Calibri" w:cs="Calibri"/>
                <w:color w:val="000000"/>
                <w:sz w:val="20"/>
                <w:szCs w:val="20"/>
              </w:rPr>
              <w:t>modelace</w:t>
            </w:r>
          </w:p>
        </w:tc>
        <w:tc>
          <w:tcPr>
            <w:tcW w:w="2023" w:type="dxa"/>
            <w:shd w:val="clear" w:color="auto" w:fill="auto"/>
            <w:vAlign w:val="center"/>
            <w:hideMark/>
          </w:tcPr>
          <w:p w14:paraId="7AE8C4C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ZDRAVOTNICTVÍ</w:t>
            </w:r>
          </w:p>
        </w:tc>
        <w:tc>
          <w:tcPr>
            <w:tcW w:w="1559" w:type="dxa"/>
            <w:shd w:val="clear" w:color="auto" w:fill="auto"/>
            <w:vAlign w:val="center"/>
            <w:hideMark/>
          </w:tcPr>
          <w:p w14:paraId="4ED2169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13 928 571,43   </w:t>
            </w:r>
          </w:p>
        </w:tc>
      </w:tr>
      <w:tr w:rsidR="00FB2E4F" w:rsidRPr="00471ABF" w14:paraId="45415057" w14:textId="77777777" w:rsidTr="00471ABF">
        <w:trPr>
          <w:cantSplit/>
          <w:trHeight w:val="283"/>
          <w:jc w:val="center"/>
        </w:trPr>
        <w:tc>
          <w:tcPr>
            <w:tcW w:w="983" w:type="dxa"/>
            <w:shd w:val="clear" w:color="auto" w:fill="auto"/>
            <w:vAlign w:val="center"/>
            <w:hideMark/>
          </w:tcPr>
          <w:p w14:paraId="387117D3"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5ABC39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CZ.1.06/4.1.00/04.05916</w:t>
            </w:r>
          </w:p>
        </w:tc>
        <w:tc>
          <w:tcPr>
            <w:tcW w:w="2677" w:type="dxa"/>
            <w:shd w:val="clear" w:color="auto" w:fill="auto"/>
            <w:vAlign w:val="center"/>
            <w:hideMark/>
          </w:tcPr>
          <w:p w14:paraId="097BF5DE" w14:textId="2C23D35A"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Zkvalitnění informací o kongresovém a </w:t>
            </w:r>
            <w:r w:rsidR="00FB2E4F" w:rsidRPr="00471ABF">
              <w:rPr>
                <w:rFonts w:ascii="Calibri" w:hAnsi="Calibri" w:cs="Calibri"/>
                <w:color w:val="000000"/>
                <w:sz w:val="20"/>
                <w:szCs w:val="20"/>
              </w:rPr>
              <w:t>incentivním cestovním ruchu</w:t>
            </w:r>
          </w:p>
        </w:tc>
        <w:tc>
          <w:tcPr>
            <w:tcW w:w="2023" w:type="dxa"/>
            <w:shd w:val="clear" w:color="auto" w:fill="auto"/>
            <w:vAlign w:val="center"/>
            <w:hideMark/>
          </w:tcPr>
          <w:p w14:paraId="7393EFF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PRO MÍSTNÍ ROZVOJ</w:t>
            </w:r>
          </w:p>
        </w:tc>
        <w:tc>
          <w:tcPr>
            <w:tcW w:w="1559" w:type="dxa"/>
            <w:shd w:val="clear" w:color="auto" w:fill="auto"/>
            <w:vAlign w:val="center"/>
            <w:hideMark/>
          </w:tcPr>
          <w:p w14:paraId="0D6A6214"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10 048 479,82   </w:t>
            </w:r>
          </w:p>
        </w:tc>
      </w:tr>
      <w:tr w:rsidR="00FB2E4F" w:rsidRPr="00471ABF" w14:paraId="5B743E7E" w14:textId="77777777" w:rsidTr="00471ABF">
        <w:trPr>
          <w:cantSplit/>
          <w:trHeight w:val="283"/>
          <w:jc w:val="center"/>
        </w:trPr>
        <w:tc>
          <w:tcPr>
            <w:tcW w:w="983" w:type="dxa"/>
            <w:shd w:val="clear" w:color="auto" w:fill="auto"/>
            <w:vAlign w:val="center"/>
            <w:hideMark/>
          </w:tcPr>
          <w:p w14:paraId="75B3E07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0B7EECF"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CZ.1.06/4.1.00/04.05917</w:t>
            </w:r>
          </w:p>
        </w:tc>
        <w:tc>
          <w:tcPr>
            <w:tcW w:w="2677" w:type="dxa"/>
            <w:shd w:val="clear" w:color="auto" w:fill="auto"/>
            <w:vAlign w:val="center"/>
            <w:hideMark/>
          </w:tcPr>
          <w:p w14:paraId="7B51351E" w14:textId="617E638C"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Zkvalitnění informací o kongresovém a </w:t>
            </w:r>
            <w:r w:rsidR="00FB2E4F" w:rsidRPr="00471ABF">
              <w:rPr>
                <w:rFonts w:ascii="Calibri" w:hAnsi="Calibri" w:cs="Calibri"/>
                <w:color w:val="000000"/>
                <w:sz w:val="20"/>
                <w:szCs w:val="20"/>
              </w:rPr>
              <w:t>incentivním cestovním ruchu</w:t>
            </w:r>
          </w:p>
        </w:tc>
        <w:tc>
          <w:tcPr>
            <w:tcW w:w="2023" w:type="dxa"/>
            <w:shd w:val="clear" w:color="auto" w:fill="auto"/>
            <w:vAlign w:val="center"/>
            <w:hideMark/>
          </w:tcPr>
          <w:p w14:paraId="756FA965"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PRO MÍSTNÍ ROZVOJ</w:t>
            </w:r>
          </w:p>
        </w:tc>
        <w:tc>
          <w:tcPr>
            <w:tcW w:w="1559" w:type="dxa"/>
            <w:shd w:val="clear" w:color="auto" w:fill="auto"/>
            <w:vAlign w:val="center"/>
            <w:hideMark/>
          </w:tcPr>
          <w:p w14:paraId="57C27E4D"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772 951,05   </w:t>
            </w:r>
          </w:p>
        </w:tc>
      </w:tr>
      <w:tr w:rsidR="00FB2E4F" w:rsidRPr="00471ABF" w14:paraId="27934831" w14:textId="77777777" w:rsidTr="00471ABF">
        <w:trPr>
          <w:cantSplit/>
          <w:trHeight w:val="283"/>
          <w:jc w:val="center"/>
        </w:trPr>
        <w:tc>
          <w:tcPr>
            <w:tcW w:w="983" w:type="dxa"/>
            <w:shd w:val="clear" w:color="auto" w:fill="auto"/>
            <w:vAlign w:val="center"/>
            <w:hideMark/>
          </w:tcPr>
          <w:p w14:paraId="158E3E8B"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0D021B03"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CZ.1.06/4.1.00/12.08401</w:t>
            </w:r>
          </w:p>
        </w:tc>
        <w:tc>
          <w:tcPr>
            <w:tcW w:w="2677" w:type="dxa"/>
            <w:shd w:val="clear" w:color="auto" w:fill="auto"/>
            <w:vAlign w:val="center"/>
            <w:hideMark/>
          </w:tcPr>
          <w:p w14:paraId="24D304A1" w14:textId="078AFF6B"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Zkvalitnění informac</w:t>
            </w:r>
            <w:r w:rsidR="007B2BF7" w:rsidRPr="00471ABF">
              <w:rPr>
                <w:rFonts w:ascii="Calibri" w:hAnsi="Calibri" w:cs="Calibri"/>
                <w:color w:val="000000"/>
                <w:sz w:val="20"/>
                <w:szCs w:val="20"/>
              </w:rPr>
              <w:t>í o </w:t>
            </w:r>
            <w:r w:rsidR="00A77409" w:rsidRPr="00471ABF">
              <w:rPr>
                <w:rFonts w:ascii="Calibri" w:hAnsi="Calibri" w:cs="Calibri"/>
                <w:color w:val="000000"/>
                <w:sz w:val="20"/>
                <w:szCs w:val="20"/>
              </w:rPr>
              <w:t>sektoru stravovacích zařízení v </w:t>
            </w:r>
            <w:r w:rsidRPr="00471ABF">
              <w:rPr>
                <w:rFonts w:ascii="Calibri" w:hAnsi="Calibri" w:cs="Calibri"/>
                <w:color w:val="000000"/>
                <w:sz w:val="20"/>
                <w:szCs w:val="20"/>
              </w:rPr>
              <w:t>České republice</w:t>
            </w:r>
          </w:p>
        </w:tc>
        <w:tc>
          <w:tcPr>
            <w:tcW w:w="2023" w:type="dxa"/>
            <w:shd w:val="clear" w:color="auto" w:fill="auto"/>
            <w:vAlign w:val="center"/>
            <w:hideMark/>
          </w:tcPr>
          <w:p w14:paraId="4E65535A"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PRO MÍSTNÍ ROZVOJ</w:t>
            </w:r>
          </w:p>
        </w:tc>
        <w:tc>
          <w:tcPr>
            <w:tcW w:w="1559" w:type="dxa"/>
            <w:shd w:val="clear" w:color="auto" w:fill="auto"/>
            <w:vAlign w:val="center"/>
            <w:hideMark/>
          </w:tcPr>
          <w:p w14:paraId="203B8CBF"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1 232 333,89   </w:t>
            </w:r>
          </w:p>
        </w:tc>
      </w:tr>
      <w:tr w:rsidR="00FB2E4F" w:rsidRPr="00471ABF" w14:paraId="720C93AF" w14:textId="77777777" w:rsidTr="00471ABF">
        <w:trPr>
          <w:cantSplit/>
          <w:trHeight w:val="283"/>
          <w:jc w:val="center"/>
        </w:trPr>
        <w:tc>
          <w:tcPr>
            <w:tcW w:w="983" w:type="dxa"/>
            <w:shd w:val="clear" w:color="auto" w:fill="auto"/>
            <w:vAlign w:val="center"/>
            <w:hideMark/>
          </w:tcPr>
          <w:p w14:paraId="58453A3E"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72D8506F"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CZ.1.06/4.1.00/12.08402</w:t>
            </w:r>
          </w:p>
        </w:tc>
        <w:tc>
          <w:tcPr>
            <w:tcW w:w="2677" w:type="dxa"/>
            <w:shd w:val="clear" w:color="auto" w:fill="auto"/>
            <w:vAlign w:val="center"/>
            <w:hideMark/>
          </w:tcPr>
          <w:p w14:paraId="6F92B273" w14:textId="03D1EB44"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Zkvalitnění informací o </w:t>
            </w:r>
            <w:r w:rsidR="00A77409" w:rsidRPr="00471ABF">
              <w:rPr>
                <w:rFonts w:ascii="Calibri" w:hAnsi="Calibri" w:cs="Calibri"/>
                <w:color w:val="000000"/>
                <w:sz w:val="20"/>
                <w:szCs w:val="20"/>
              </w:rPr>
              <w:t>sektoru stravovacích zařízení v </w:t>
            </w:r>
            <w:r w:rsidR="00FB2E4F" w:rsidRPr="00471ABF">
              <w:rPr>
                <w:rFonts w:ascii="Calibri" w:hAnsi="Calibri" w:cs="Calibri"/>
                <w:color w:val="000000"/>
                <w:sz w:val="20"/>
                <w:szCs w:val="20"/>
              </w:rPr>
              <w:t>České republice</w:t>
            </w:r>
          </w:p>
        </w:tc>
        <w:tc>
          <w:tcPr>
            <w:tcW w:w="2023" w:type="dxa"/>
            <w:shd w:val="clear" w:color="auto" w:fill="auto"/>
            <w:vAlign w:val="center"/>
            <w:hideMark/>
          </w:tcPr>
          <w:p w14:paraId="69D4D6FE"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MINISTERSTVO PRO MÍSTNÍ ROZVOJ</w:t>
            </w:r>
          </w:p>
        </w:tc>
        <w:tc>
          <w:tcPr>
            <w:tcW w:w="1559" w:type="dxa"/>
            <w:shd w:val="clear" w:color="auto" w:fill="auto"/>
            <w:vAlign w:val="center"/>
            <w:hideMark/>
          </w:tcPr>
          <w:p w14:paraId="2548B9CC" w14:textId="42DF4AB7" w:rsidR="00FB2E4F" w:rsidRPr="00471ABF" w:rsidRDefault="00FB2E4F"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16 020 35</w:t>
            </w:r>
            <w:r w:rsidR="00235707" w:rsidRPr="00471ABF">
              <w:rPr>
                <w:rFonts w:ascii="Calibri" w:hAnsi="Calibri" w:cs="Calibri"/>
                <w:color w:val="000000"/>
                <w:sz w:val="20"/>
                <w:szCs w:val="20"/>
              </w:rPr>
              <w:t>6</w:t>
            </w:r>
            <w:r w:rsidRPr="00471ABF">
              <w:rPr>
                <w:rFonts w:ascii="Calibri" w:hAnsi="Calibri" w:cs="Calibri"/>
                <w:color w:val="000000"/>
                <w:sz w:val="20"/>
                <w:szCs w:val="20"/>
              </w:rPr>
              <w:t xml:space="preserve">,96   </w:t>
            </w:r>
          </w:p>
        </w:tc>
      </w:tr>
      <w:tr w:rsidR="00FB2E4F" w:rsidRPr="00471ABF" w14:paraId="415B2C02" w14:textId="77777777" w:rsidTr="00471ABF">
        <w:trPr>
          <w:cantSplit/>
          <w:trHeight w:val="283"/>
          <w:jc w:val="center"/>
        </w:trPr>
        <w:tc>
          <w:tcPr>
            <w:tcW w:w="983" w:type="dxa"/>
            <w:shd w:val="clear" w:color="auto" w:fill="auto"/>
            <w:vAlign w:val="center"/>
            <w:hideMark/>
          </w:tcPr>
          <w:p w14:paraId="678A92D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4A301C1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CZ.1.06/3.1.02/08.08230</w:t>
            </w:r>
          </w:p>
        </w:tc>
        <w:tc>
          <w:tcPr>
            <w:tcW w:w="2677" w:type="dxa"/>
            <w:shd w:val="clear" w:color="auto" w:fill="auto"/>
            <w:vAlign w:val="center"/>
            <w:hideMark/>
          </w:tcPr>
          <w:p w14:paraId="32B2A454"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Založení firmy pro OZP</w:t>
            </w:r>
          </w:p>
        </w:tc>
        <w:tc>
          <w:tcPr>
            <w:tcW w:w="2023" w:type="dxa"/>
            <w:shd w:val="clear" w:color="auto" w:fill="auto"/>
            <w:vAlign w:val="center"/>
            <w:hideMark/>
          </w:tcPr>
          <w:p w14:paraId="0A56FBAB" w14:textId="77777777" w:rsidR="00FB2E4F" w:rsidRPr="00471ABF" w:rsidRDefault="00FB2E4F" w:rsidP="002F0CFD">
            <w:pPr>
              <w:spacing w:before="20" w:after="20"/>
              <w:rPr>
                <w:rFonts w:ascii="Calibri" w:hAnsi="Calibri" w:cs="Calibri"/>
                <w:color w:val="000000"/>
                <w:sz w:val="20"/>
                <w:szCs w:val="20"/>
              </w:rPr>
            </w:pPr>
            <w:proofErr w:type="spellStart"/>
            <w:r w:rsidRPr="00471ABF">
              <w:rPr>
                <w:rFonts w:ascii="Calibri" w:hAnsi="Calibri" w:cs="Calibri"/>
                <w:color w:val="000000"/>
                <w:sz w:val="20"/>
                <w:szCs w:val="20"/>
              </w:rPr>
              <w:t>Apelo</w:t>
            </w:r>
            <w:proofErr w:type="spellEnd"/>
            <w:r w:rsidRPr="00471ABF">
              <w:rPr>
                <w:rFonts w:ascii="Calibri" w:hAnsi="Calibri" w:cs="Calibri"/>
                <w:color w:val="000000"/>
                <w:sz w:val="20"/>
                <w:szCs w:val="20"/>
              </w:rPr>
              <w:t xml:space="preserve"> s.r.o.</w:t>
            </w:r>
          </w:p>
        </w:tc>
        <w:tc>
          <w:tcPr>
            <w:tcW w:w="1559" w:type="dxa"/>
            <w:shd w:val="clear" w:color="auto" w:fill="auto"/>
            <w:vAlign w:val="center"/>
            <w:hideMark/>
          </w:tcPr>
          <w:p w14:paraId="460177B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2 560 000,00   </w:t>
            </w:r>
          </w:p>
        </w:tc>
      </w:tr>
      <w:tr w:rsidR="00FB2E4F" w:rsidRPr="00471ABF" w14:paraId="58FC291B" w14:textId="77777777" w:rsidTr="00471ABF">
        <w:trPr>
          <w:cantSplit/>
          <w:trHeight w:val="283"/>
          <w:jc w:val="center"/>
        </w:trPr>
        <w:tc>
          <w:tcPr>
            <w:tcW w:w="983" w:type="dxa"/>
            <w:shd w:val="clear" w:color="auto" w:fill="auto"/>
            <w:vAlign w:val="center"/>
            <w:hideMark/>
          </w:tcPr>
          <w:p w14:paraId="61B411DB"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541DE330"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CZ.1.06/3.2.01/07.06907</w:t>
            </w:r>
          </w:p>
        </w:tc>
        <w:tc>
          <w:tcPr>
            <w:tcW w:w="2677" w:type="dxa"/>
            <w:shd w:val="clear" w:color="auto" w:fill="auto"/>
            <w:vAlign w:val="center"/>
            <w:hideMark/>
          </w:tcPr>
          <w:p w14:paraId="19A1801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Modernizace rehabilitace ve Fakultní nemocnici Hradec Králové 2</w:t>
            </w:r>
          </w:p>
        </w:tc>
        <w:tc>
          <w:tcPr>
            <w:tcW w:w="2023" w:type="dxa"/>
            <w:shd w:val="clear" w:color="auto" w:fill="auto"/>
            <w:vAlign w:val="center"/>
            <w:hideMark/>
          </w:tcPr>
          <w:p w14:paraId="63BC5337"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Fakultní nemocnice Hradec Králové</w:t>
            </w:r>
          </w:p>
        </w:tc>
        <w:tc>
          <w:tcPr>
            <w:tcW w:w="1559" w:type="dxa"/>
            <w:shd w:val="clear" w:color="auto" w:fill="auto"/>
            <w:vAlign w:val="center"/>
            <w:hideMark/>
          </w:tcPr>
          <w:p w14:paraId="4AD142C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12 669 264,00   </w:t>
            </w:r>
          </w:p>
        </w:tc>
      </w:tr>
      <w:tr w:rsidR="00FB2E4F" w:rsidRPr="00471ABF" w14:paraId="24BBEF8F" w14:textId="77777777" w:rsidTr="00471ABF">
        <w:trPr>
          <w:cantSplit/>
          <w:trHeight w:val="283"/>
          <w:jc w:val="center"/>
        </w:trPr>
        <w:tc>
          <w:tcPr>
            <w:tcW w:w="983" w:type="dxa"/>
            <w:shd w:val="clear" w:color="auto" w:fill="auto"/>
            <w:vAlign w:val="center"/>
            <w:hideMark/>
          </w:tcPr>
          <w:p w14:paraId="5CC1D5F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33A2074"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CZ.1.06/5.2.00/07.07955</w:t>
            </w:r>
          </w:p>
        </w:tc>
        <w:tc>
          <w:tcPr>
            <w:tcW w:w="2677" w:type="dxa"/>
            <w:shd w:val="clear" w:color="auto" w:fill="auto"/>
            <w:vAlign w:val="center"/>
            <w:hideMark/>
          </w:tcPr>
          <w:p w14:paraId="37FBACB3" w14:textId="0DE23A8D"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Veřejná prostranství Náchod</w:t>
            </w:r>
            <w:r w:rsidR="00690881" w:rsidRPr="00471ABF">
              <w:rPr>
                <w:rFonts w:ascii="Calibri" w:hAnsi="Calibri" w:cs="Calibri"/>
                <w:color w:val="000000"/>
                <w:sz w:val="20"/>
                <w:szCs w:val="20"/>
              </w:rPr>
              <w:t> –</w:t>
            </w:r>
            <w:r w:rsidRPr="00471ABF">
              <w:rPr>
                <w:rFonts w:ascii="Calibri" w:hAnsi="Calibri" w:cs="Calibri"/>
                <w:color w:val="000000"/>
                <w:sz w:val="20"/>
                <w:szCs w:val="20"/>
              </w:rPr>
              <w:t xml:space="preserve"> II. etapa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SUN</w:t>
            </w:r>
          </w:p>
        </w:tc>
        <w:tc>
          <w:tcPr>
            <w:tcW w:w="2023" w:type="dxa"/>
            <w:shd w:val="clear" w:color="auto" w:fill="auto"/>
            <w:vAlign w:val="center"/>
            <w:hideMark/>
          </w:tcPr>
          <w:p w14:paraId="4D1D2F7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Město Náchod</w:t>
            </w:r>
          </w:p>
        </w:tc>
        <w:tc>
          <w:tcPr>
            <w:tcW w:w="1559" w:type="dxa"/>
            <w:shd w:val="clear" w:color="auto" w:fill="auto"/>
            <w:vAlign w:val="center"/>
            <w:hideMark/>
          </w:tcPr>
          <w:p w14:paraId="73B292F0"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6 541 129,00   </w:t>
            </w:r>
          </w:p>
        </w:tc>
      </w:tr>
      <w:tr w:rsidR="00FB2E4F" w:rsidRPr="00471ABF" w14:paraId="35A6730C" w14:textId="77777777" w:rsidTr="00471ABF">
        <w:trPr>
          <w:cantSplit/>
          <w:trHeight w:val="283"/>
          <w:jc w:val="center"/>
        </w:trPr>
        <w:tc>
          <w:tcPr>
            <w:tcW w:w="983" w:type="dxa"/>
            <w:shd w:val="clear" w:color="auto" w:fill="auto"/>
            <w:vAlign w:val="center"/>
            <w:hideMark/>
          </w:tcPr>
          <w:p w14:paraId="58E209DA"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72A0E64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CZ.1.06/3.1.02/01.07617</w:t>
            </w:r>
          </w:p>
        </w:tc>
        <w:tc>
          <w:tcPr>
            <w:tcW w:w="2677" w:type="dxa"/>
            <w:shd w:val="clear" w:color="auto" w:fill="auto"/>
            <w:vAlign w:val="center"/>
            <w:hideMark/>
          </w:tcPr>
          <w:p w14:paraId="21AF3C30"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Technické služby ve městě Jaroměř pomohou všem</w:t>
            </w:r>
          </w:p>
        </w:tc>
        <w:tc>
          <w:tcPr>
            <w:tcW w:w="2023" w:type="dxa"/>
            <w:shd w:val="clear" w:color="auto" w:fill="auto"/>
            <w:vAlign w:val="center"/>
            <w:hideMark/>
          </w:tcPr>
          <w:p w14:paraId="5AA4C3C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Rudolf Polák</w:t>
            </w:r>
          </w:p>
        </w:tc>
        <w:tc>
          <w:tcPr>
            <w:tcW w:w="1559" w:type="dxa"/>
            <w:shd w:val="clear" w:color="auto" w:fill="auto"/>
            <w:vAlign w:val="center"/>
            <w:hideMark/>
          </w:tcPr>
          <w:p w14:paraId="7DF83216"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1 830 104,00   </w:t>
            </w:r>
          </w:p>
        </w:tc>
      </w:tr>
      <w:tr w:rsidR="00FB2E4F" w:rsidRPr="00471ABF" w14:paraId="6E5C5970" w14:textId="77777777" w:rsidTr="00471ABF">
        <w:trPr>
          <w:cantSplit/>
          <w:trHeight w:val="283"/>
          <w:jc w:val="center"/>
        </w:trPr>
        <w:tc>
          <w:tcPr>
            <w:tcW w:w="983" w:type="dxa"/>
            <w:shd w:val="clear" w:color="auto" w:fill="auto"/>
            <w:vAlign w:val="center"/>
            <w:hideMark/>
          </w:tcPr>
          <w:p w14:paraId="4D98735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6C8DC49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CZ.1.06/2.1.00/06.06835</w:t>
            </w:r>
          </w:p>
        </w:tc>
        <w:tc>
          <w:tcPr>
            <w:tcW w:w="2677" w:type="dxa"/>
            <w:shd w:val="clear" w:color="auto" w:fill="auto"/>
            <w:vAlign w:val="center"/>
            <w:hideMark/>
          </w:tcPr>
          <w:p w14:paraId="15BBDBF4" w14:textId="3AECE307"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Technologické centrum ORP Hradec Králové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I., II.</w:t>
            </w:r>
          </w:p>
        </w:tc>
        <w:tc>
          <w:tcPr>
            <w:tcW w:w="2023" w:type="dxa"/>
            <w:shd w:val="clear" w:color="auto" w:fill="auto"/>
            <w:vAlign w:val="center"/>
            <w:hideMark/>
          </w:tcPr>
          <w:p w14:paraId="62F1E64C"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Statutární město Hradec Králové</w:t>
            </w:r>
          </w:p>
        </w:tc>
        <w:tc>
          <w:tcPr>
            <w:tcW w:w="1559" w:type="dxa"/>
            <w:shd w:val="clear" w:color="auto" w:fill="auto"/>
            <w:vAlign w:val="center"/>
            <w:hideMark/>
          </w:tcPr>
          <w:p w14:paraId="751CD676"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3 091 274,00   </w:t>
            </w:r>
          </w:p>
        </w:tc>
      </w:tr>
      <w:tr w:rsidR="00FB2E4F" w:rsidRPr="00471ABF" w14:paraId="659FA0C1" w14:textId="77777777" w:rsidTr="00471ABF">
        <w:trPr>
          <w:cantSplit/>
          <w:trHeight w:val="283"/>
          <w:jc w:val="center"/>
        </w:trPr>
        <w:tc>
          <w:tcPr>
            <w:tcW w:w="983" w:type="dxa"/>
            <w:shd w:val="clear" w:color="auto" w:fill="auto"/>
            <w:vAlign w:val="center"/>
            <w:hideMark/>
          </w:tcPr>
          <w:p w14:paraId="67DFFF2B"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IOP</w:t>
            </w:r>
          </w:p>
        </w:tc>
        <w:tc>
          <w:tcPr>
            <w:tcW w:w="2167" w:type="dxa"/>
            <w:shd w:val="clear" w:color="auto" w:fill="auto"/>
            <w:vAlign w:val="center"/>
            <w:hideMark/>
          </w:tcPr>
          <w:p w14:paraId="174CFA9A"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CZ.1.06/3.1.02/01.06963</w:t>
            </w:r>
          </w:p>
        </w:tc>
        <w:tc>
          <w:tcPr>
            <w:tcW w:w="2677" w:type="dxa"/>
            <w:shd w:val="clear" w:color="auto" w:fill="auto"/>
            <w:vAlign w:val="center"/>
            <w:hideMark/>
          </w:tcPr>
          <w:p w14:paraId="7F36A196" w14:textId="2CCE590A"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 xml:space="preserve">Lesní práce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sociální podnik rovných příležitostí</w:t>
            </w:r>
          </w:p>
        </w:tc>
        <w:tc>
          <w:tcPr>
            <w:tcW w:w="2023" w:type="dxa"/>
            <w:shd w:val="clear" w:color="auto" w:fill="auto"/>
            <w:vAlign w:val="center"/>
            <w:hideMark/>
          </w:tcPr>
          <w:p w14:paraId="6DE1E7CF"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Trutnovská zeleň, o.p.s.</w:t>
            </w:r>
          </w:p>
        </w:tc>
        <w:tc>
          <w:tcPr>
            <w:tcW w:w="1559" w:type="dxa"/>
            <w:shd w:val="clear" w:color="auto" w:fill="auto"/>
            <w:vAlign w:val="center"/>
            <w:hideMark/>
          </w:tcPr>
          <w:p w14:paraId="0E86D4D5"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1 980 000,00   </w:t>
            </w:r>
          </w:p>
        </w:tc>
      </w:tr>
      <w:tr w:rsidR="00FB2E4F" w:rsidRPr="00471ABF" w14:paraId="763DDB4E" w14:textId="77777777" w:rsidTr="00471ABF">
        <w:trPr>
          <w:cantSplit/>
          <w:trHeight w:val="283"/>
          <w:jc w:val="center"/>
        </w:trPr>
        <w:tc>
          <w:tcPr>
            <w:tcW w:w="983" w:type="dxa"/>
            <w:shd w:val="clear" w:color="auto" w:fill="auto"/>
            <w:vAlign w:val="center"/>
            <w:hideMark/>
          </w:tcPr>
          <w:p w14:paraId="37E700DA"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341884E3"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CZ.1.05/2.1.00/01.0007</w:t>
            </w:r>
          </w:p>
        </w:tc>
        <w:tc>
          <w:tcPr>
            <w:tcW w:w="2677" w:type="dxa"/>
            <w:shd w:val="clear" w:color="auto" w:fill="auto"/>
            <w:vAlign w:val="center"/>
            <w:hideMark/>
          </w:tcPr>
          <w:p w14:paraId="2BAEBC34" w14:textId="28B7FFEF"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Centrum regi</w:t>
            </w:r>
            <w:r w:rsidR="00A77409" w:rsidRPr="00471ABF">
              <w:rPr>
                <w:rFonts w:ascii="Calibri" w:hAnsi="Calibri" w:cs="Calibri"/>
                <w:color w:val="000000"/>
                <w:sz w:val="20"/>
                <w:szCs w:val="20"/>
              </w:rPr>
              <w:t>onu Haná pro biotechnologický a </w:t>
            </w:r>
            <w:r w:rsidRPr="00471ABF">
              <w:rPr>
                <w:rFonts w:ascii="Calibri" w:hAnsi="Calibri" w:cs="Calibri"/>
                <w:color w:val="000000"/>
                <w:sz w:val="20"/>
                <w:szCs w:val="20"/>
              </w:rPr>
              <w:t>zemědělský výzkum</w:t>
            </w:r>
          </w:p>
        </w:tc>
        <w:tc>
          <w:tcPr>
            <w:tcW w:w="2023" w:type="dxa"/>
            <w:shd w:val="clear" w:color="auto" w:fill="auto"/>
            <w:vAlign w:val="center"/>
            <w:hideMark/>
          </w:tcPr>
          <w:p w14:paraId="6976D228" w14:textId="3841792D" w:rsidR="00FB2E4F" w:rsidRPr="00471ABF" w:rsidRDefault="00A77409" w:rsidP="002F0CFD">
            <w:pPr>
              <w:spacing w:before="20" w:after="20"/>
              <w:rPr>
                <w:rFonts w:ascii="Calibri" w:hAnsi="Calibri" w:cs="Calibri"/>
                <w:color w:val="000000"/>
                <w:sz w:val="20"/>
                <w:szCs w:val="20"/>
              </w:rPr>
            </w:pPr>
            <w:r w:rsidRPr="00471ABF">
              <w:rPr>
                <w:rFonts w:ascii="Calibri" w:hAnsi="Calibri" w:cs="Calibri"/>
                <w:color w:val="000000"/>
                <w:sz w:val="20"/>
                <w:szCs w:val="20"/>
              </w:rPr>
              <w:t>Univerzita Palackého v </w:t>
            </w:r>
            <w:r w:rsidR="00FB2E4F" w:rsidRPr="00471ABF">
              <w:rPr>
                <w:rFonts w:ascii="Calibri" w:hAnsi="Calibri" w:cs="Calibri"/>
                <w:color w:val="000000"/>
                <w:sz w:val="20"/>
                <w:szCs w:val="20"/>
              </w:rPr>
              <w:t>Olomouci</w:t>
            </w:r>
          </w:p>
        </w:tc>
        <w:tc>
          <w:tcPr>
            <w:tcW w:w="1559" w:type="dxa"/>
            <w:shd w:val="clear" w:color="auto" w:fill="auto"/>
            <w:vAlign w:val="center"/>
            <w:hideMark/>
          </w:tcPr>
          <w:p w14:paraId="0E693C60"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806 927 481,82   </w:t>
            </w:r>
          </w:p>
        </w:tc>
      </w:tr>
      <w:tr w:rsidR="00FB2E4F" w:rsidRPr="00471ABF" w14:paraId="225D2CD1" w14:textId="77777777" w:rsidTr="00471ABF">
        <w:trPr>
          <w:cantSplit/>
          <w:trHeight w:val="283"/>
          <w:jc w:val="center"/>
        </w:trPr>
        <w:tc>
          <w:tcPr>
            <w:tcW w:w="983" w:type="dxa"/>
            <w:shd w:val="clear" w:color="auto" w:fill="auto"/>
            <w:vAlign w:val="center"/>
            <w:hideMark/>
          </w:tcPr>
          <w:p w14:paraId="3E13348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01D2D5D2"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CZ.1.05/2.1.00/01.0040</w:t>
            </w:r>
          </w:p>
        </w:tc>
        <w:tc>
          <w:tcPr>
            <w:tcW w:w="2677" w:type="dxa"/>
            <w:shd w:val="clear" w:color="auto" w:fill="auto"/>
            <w:vAlign w:val="center"/>
            <w:hideMark/>
          </w:tcPr>
          <w:p w14:paraId="1061844D"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Regionální materiálově technologické výzkumné centrum</w:t>
            </w:r>
          </w:p>
        </w:tc>
        <w:tc>
          <w:tcPr>
            <w:tcW w:w="2023" w:type="dxa"/>
            <w:shd w:val="clear" w:color="auto" w:fill="auto"/>
            <w:vAlign w:val="center"/>
            <w:hideMark/>
          </w:tcPr>
          <w:p w14:paraId="081D3B7F" w14:textId="033A91C7" w:rsidR="00FB2E4F" w:rsidRPr="00471ABF" w:rsidRDefault="00FB2E4F" w:rsidP="00077D57">
            <w:pPr>
              <w:spacing w:before="20" w:after="20"/>
              <w:rPr>
                <w:rFonts w:ascii="Calibri" w:hAnsi="Calibri" w:cs="Calibri"/>
                <w:color w:val="000000"/>
                <w:sz w:val="20"/>
                <w:szCs w:val="20"/>
              </w:rPr>
            </w:pPr>
            <w:r w:rsidRPr="00471ABF">
              <w:rPr>
                <w:rFonts w:ascii="Calibri" w:hAnsi="Calibri" w:cs="Calibri"/>
                <w:color w:val="000000"/>
                <w:sz w:val="20"/>
                <w:szCs w:val="20"/>
              </w:rPr>
              <w:t>VYSOKÁ ŠKOLA BÁŇSKÁ</w:t>
            </w:r>
            <w:r w:rsidR="00077D57" w:rsidRPr="00471ABF">
              <w:rPr>
                <w:rFonts w:ascii="Calibri" w:hAnsi="Calibri" w:cs="Calibri"/>
                <w:color w:val="000000"/>
                <w:sz w:val="20"/>
                <w:szCs w:val="20"/>
              </w:rPr>
              <w:t xml:space="preserve"> – </w:t>
            </w:r>
            <w:r w:rsidRPr="00471ABF">
              <w:rPr>
                <w:rFonts w:ascii="Calibri" w:hAnsi="Calibri" w:cs="Calibri"/>
                <w:color w:val="000000"/>
                <w:sz w:val="20"/>
                <w:szCs w:val="20"/>
              </w:rPr>
              <w:t>TECHNICKÁ UNIVERZITA OSTRAVA</w:t>
            </w:r>
          </w:p>
        </w:tc>
        <w:tc>
          <w:tcPr>
            <w:tcW w:w="1559" w:type="dxa"/>
            <w:shd w:val="clear" w:color="auto" w:fill="auto"/>
            <w:vAlign w:val="center"/>
            <w:hideMark/>
          </w:tcPr>
          <w:p w14:paraId="6480201F"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665 754 443,40   </w:t>
            </w:r>
          </w:p>
        </w:tc>
      </w:tr>
      <w:tr w:rsidR="00FB2E4F" w:rsidRPr="00471ABF" w14:paraId="0C8D4DCC" w14:textId="77777777" w:rsidTr="00471ABF">
        <w:trPr>
          <w:cantSplit/>
          <w:trHeight w:val="283"/>
          <w:jc w:val="center"/>
        </w:trPr>
        <w:tc>
          <w:tcPr>
            <w:tcW w:w="983" w:type="dxa"/>
            <w:shd w:val="clear" w:color="auto" w:fill="auto"/>
            <w:vAlign w:val="center"/>
            <w:hideMark/>
          </w:tcPr>
          <w:p w14:paraId="6B8D0273"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1BA3DC4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CZ.1.05/2.1.00/01.0030</w:t>
            </w:r>
          </w:p>
        </w:tc>
        <w:tc>
          <w:tcPr>
            <w:tcW w:w="2677" w:type="dxa"/>
            <w:shd w:val="clear" w:color="auto" w:fill="auto"/>
            <w:vAlign w:val="center"/>
            <w:hideMark/>
          </w:tcPr>
          <w:p w14:paraId="78467C36" w14:textId="78F73B28"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Biomedicína pro regionální rozvoj a lidské zdroje</w:t>
            </w:r>
          </w:p>
        </w:tc>
        <w:tc>
          <w:tcPr>
            <w:tcW w:w="2023" w:type="dxa"/>
            <w:shd w:val="clear" w:color="auto" w:fill="auto"/>
            <w:vAlign w:val="center"/>
            <w:hideMark/>
          </w:tcPr>
          <w:p w14:paraId="43181D73" w14:textId="4EEBE1FF" w:rsidR="00FB2E4F" w:rsidRPr="00471ABF" w:rsidRDefault="00FB2E4F" w:rsidP="00A77409">
            <w:pPr>
              <w:spacing w:before="20" w:after="20"/>
              <w:rPr>
                <w:rFonts w:ascii="Calibri" w:hAnsi="Calibri" w:cs="Calibri"/>
                <w:color w:val="000000"/>
                <w:sz w:val="20"/>
                <w:szCs w:val="20"/>
              </w:rPr>
            </w:pPr>
            <w:r w:rsidRPr="00471ABF">
              <w:rPr>
                <w:rFonts w:ascii="Calibri" w:hAnsi="Calibri" w:cs="Calibri"/>
                <w:color w:val="000000"/>
                <w:sz w:val="20"/>
                <w:szCs w:val="20"/>
              </w:rPr>
              <w:t>Univerzita Palackého v</w:t>
            </w:r>
            <w:r w:rsidR="00A77409" w:rsidRPr="00471ABF">
              <w:rPr>
                <w:rFonts w:ascii="Calibri" w:hAnsi="Calibri" w:cs="Calibri"/>
                <w:color w:val="000000"/>
                <w:sz w:val="20"/>
                <w:szCs w:val="20"/>
              </w:rPr>
              <w:t> </w:t>
            </w:r>
            <w:r w:rsidRPr="00471ABF">
              <w:rPr>
                <w:rFonts w:ascii="Calibri" w:hAnsi="Calibri" w:cs="Calibri"/>
                <w:color w:val="000000"/>
                <w:sz w:val="20"/>
                <w:szCs w:val="20"/>
              </w:rPr>
              <w:t>Olomouci</w:t>
            </w:r>
          </w:p>
        </w:tc>
        <w:tc>
          <w:tcPr>
            <w:tcW w:w="1559" w:type="dxa"/>
            <w:shd w:val="clear" w:color="auto" w:fill="auto"/>
            <w:vAlign w:val="center"/>
            <w:hideMark/>
          </w:tcPr>
          <w:p w14:paraId="0F2EAC1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845 067 684,90   </w:t>
            </w:r>
          </w:p>
        </w:tc>
      </w:tr>
      <w:tr w:rsidR="00FB2E4F" w:rsidRPr="00471ABF" w14:paraId="5FBB8899" w14:textId="77777777" w:rsidTr="00471ABF">
        <w:trPr>
          <w:cantSplit/>
          <w:trHeight w:val="283"/>
          <w:jc w:val="center"/>
        </w:trPr>
        <w:tc>
          <w:tcPr>
            <w:tcW w:w="983" w:type="dxa"/>
            <w:shd w:val="clear" w:color="auto" w:fill="auto"/>
            <w:vAlign w:val="center"/>
            <w:hideMark/>
          </w:tcPr>
          <w:p w14:paraId="23EE3140"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03E42930"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CZ.1.05/4.1.00/04.0136</w:t>
            </w:r>
          </w:p>
        </w:tc>
        <w:tc>
          <w:tcPr>
            <w:tcW w:w="2677" w:type="dxa"/>
            <w:shd w:val="clear" w:color="auto" w:fill="auto"/>
            <w:vAlign w:val="center"/>
            <w:hideMark/>
          </w:tcPr>
          <w:p w14:paraId="630CCE1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Rozvoj infrastruktury pro výzkum a výuku na Lékařské fakultě UP</w:t>
            </w:r>
          </w:p>
        </w:tc>
        <w:tc>
          <w:tcPr>
            <w:tcW w:w="2023" w:type="dxa"/>
            <w:shd w:val="clear" w:color="auto" w:fill="auto"/>
            <w:vAlign w:val="center"/>
            <w:hideMark/>
          </w:tcPr>
          <w:p w14:paraId="7D4BE06F" w14:textId="0F958DE1" w:rsidR="00FB2E4F" w:rsidRPr="00471ABF" w:rsidRDefault="00A77409" w:rsidP="002F0CFD">
            <w:pPr>
              <w:spacing w:before="20" w:after="20"/>
              <w:rPr>
                <w:rFonts w:ascii="Calibri" w:hAnsi="Calibri" w:cs="Calibri"/>
                <w:color w:val="000000"/>
                <w:sz w:val="20"/>
                <w:szCs w:val="20"/>
              </w:rPr>
            </w:pPr>
            <w:r w:rsidRPr="00471ABF">
              <w:rPr>
                <w:rFonts w:ascii="Calibri" w:hAnsi="Calibri" w:cs="Calibri"/>
                <w:color w:val="000000"/>
                <w:sz w:val="20"/>
                <w:szCs w:val="20"/>
              </w:rPr>
              <w:t>Univerzita Palackého v </w:t>
            </w:r>
            <w:r w:rsidR="00FB2E4F" w:rsidRPr="00471ABF">
              <w:rPr>
                <w:rFonts w:ascii="Calibri" w:hAnsi="Calibri" w:cs="Calibri"/>
                <w:color w:val="000000"/>
                <w:sz w:val="20"/>
                <w:szCs w:val="20"/>
              </w:rPr>
              <w:t>Olomouci</w:t>
            </w:r>
          </w:p>
        </w:tc>
        <w:tc>
          <w:tcPr>
            <w:tcW w:w="1559" w:type="dxa"/>
            <w:shd w:val="clear" w:color="auto" w:fill="auto"/>
            <w:vAlign w:val="center"/>
            <w:hideMark/>
          </w:tcPr>
          <w:p w14:paraId="62EE017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688 411 925,93   </w:t>
            </w:r>
          </w:p>
        </w:tc>
      </w:tr>
      <w:tr w:rsidR="00FB2E4F" w:rsidRPr="00471ABF" w14:paraId="2CF756B6" w14:textId="77777777" w:rsidTr="00471ABF">
        <w:trPr>
          <w:cantSplit/>
          <w:trHeight w:val="283"/>
          <w:jc w:val="center"/>
        </w:trPr>
        <w:tc>
          <w:tcPr>
            <w:tcW w:w="983" w:type="dxa"/>
            <w:shd w:val="clear" w:color="auto" w:fill="auto"/>
            <w:vAlign w:val="center"/>
            <w:hideMark/>
          </w:tcPr>
          <w:p w14:paraId="3874494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602BC74A"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CZ.1.05/4.1.00/04.0130</w:t>
            </w:r>
          </w:p>
        </w:tc>
        <w:tc>
          <w:tcPr>
            <w:tcW w:w="2677" w:type="dxa"/>
            <w:shd w:val="clear" w:color="auto" w:fill="auto"/>
            <w:vAlign w:val="center"/>
            <w:hideMark/>
          </w:tcPr>
          <w:p w14:paraId="0A8938F4" w14:textId="3FA572C2" w:rsidR="00FB2E4F" w:rsidRPr="00471ABF" w:rsidRDefault="00FB2E4F" w:rsidP="00690881">
            <w:pPr>
              <w:spacing w:before="20" w:after="20"/>
              <w:rPr>
                <w:rFonts w:ascii="Calibri" w:hAnsi="Calibri" w:cs="Calibri"/>
                <w:color w:val="000000"/>
                <w:sz w:val="20"/>
                <w:szCs w:val="20"/>
              </w:rPr>
            </w:pPr>
            <w:r w:rsidRPr="00471ABF">
              <w:rPr>
                <w:rFonts w:ascii="Calibri" w:hAnsi="Calibri" w:cs="Calibri"/>
                <w:color w:val="000000"/>
                <w:sz w:val="20"/>
                <w:szCs w:val="20"/>
              </w:rPr>
              <w:t>Nová FEI VŠB-TU Ostrava</w:t>
            </w:r>
          </w:p>
        </w:tc>
        <w:tc>
          <w:tcPr>
            <w:tcW w:w="2023" w:type="dxa"/>
            <w:shd w:val="clear" w:color="auto" w:fill="auto"/>
            <w:vAlign w:val="center"/>
            <w:hideMark/>
          </w:tcPr>
          <w:p w14:paraId="4D5A9EAA" w14:textId="49304562" w:rsidR="00FB2E4F" w:rsidRPr="00471ABF" w:rsidRDefault="00FB2E4F" w:rsidP="00077D57">
            <w:pPr>
              <w:spacing w:before="20" w:after="20"/>
              <w:rPr>
                <w:rFonts w:ascii="Calibri" w:hAnsi="Calibri" w:cs="Calibri"/>
                <w:color w:val="000000"/>
                <w:sz w:val="20"/>
                <w:szCs w:val="20"/>
              </w:rPr>
            </w:pPr>
            <w:r w:rsidRPr="00471ABF">
              <w:rPr>
                <w:rFonts w:ascii="Calibri" w:hAnsi="Calibri" w:cs="Calibri"/>
                <w:color w:val="000000"/>
                <w:sz w:val="20"/>
                <w:szCs w:val="20"/>
              </w:rPr>
              <w:t>VYSOKÁ ŠKOLA BÁŇSKÁ</w:t>
            </w:r>
            <w:r w:rsidR="00077D57" w:rsidRPr="00471ABF">
              <w:rPr>
                <w:rFonts w:ascii="Calibri" w:hAnsi="Calibri" w:cs="Calibri"/>
                <w:color w:val="000000"/>
                <w:sz w:val="20"/>
                <w:szCs w:val="20"/>
              </w:rPr>
              <w:t xml:space="preserve"> – </w:t>
            </w:r>
            <w:r w:rsidRPr="00471ABF">
              <w:rPr>
                <w:rFonts w:ascii="Calibri" w:hAnsi="Calibri" w:cs="Calibri"/>
                <w:color w:val="000000"/>
                <w:sz w:val="20"/>
                <w:szCs w:val="20"/>
              </w:rPr>
              <w:t>TECHNICKÁ UNIVERZITA OSTRAVA</w:t>
            </w:r>
          </w:p>
        </w:tc>
        <w:tc>
          <w:tcPr>
            <w:tcW w:w="1559" w:type="dxa"/>
            <w:shd w:val="clear" w:color="auto" w:fill="auto"/>
            <w:vAlign w:val="center"/>
            <w:hideMark/>
          </w:tcPr>
          <w:p w14:paraId="2885B82D"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846 274 156,65   </w:t>
            </w:r>
          </w:p>
        </w:tc>
      </w:tr>
      <w:tr w:rsidR="00FB2E4F" w:rsidRPr="00471ABF" w14:paraId="40DB00CF" w14:textId="77777777" w:rsidTr="00471ABF">
        <w:trPr>
          <w:cantSplit/>
          <w:trHeight w:val="283"/>
          <w:jc w:val="center"/>
        </w:trPr>
        <w:tc>
          <w:tcPr>
            <w:tcW w:w="983" w:type="dxa"/>
            <w:shd w:val="clear" w:color="auto" w:fill="auto"/>
            <w:vAlign w:val="center"/>
            <w:hideMark/>
          </w:tcPr>
          <w:p w14:paraId="6ADEA626"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7A98FB35"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CZ.1.05/1.1.00/02.0073</w:t>
            </w:r>
          </w:p>
        </w:tc>
        <w:tc>
          <w:tcPr>
            <w:tcW w:w="2677" w:type="dxa"/>
            <w:shd w:val="clear" w:color="auto" w:fill="auto"/>
            <w:vAlign w:val="center"/>
            <w:hideMark/>
          </w:tcPr>
          <w:p w14:paraId="59EA26C0" w14:textId="5BE29053" w:rsidR="00FB2E4F" w:rsidRPr="00471ABF" w:rsidRDefault="00FB2E4F" w:rsidP="00235707">
            <w:pPr>
              <w:spacing w:before="20" w:after="20"/>
              <w:rPr>
                <w:rFonts w:ascii="Calibri" w:hAnsi="Calibri" w:cs="Calibri"/>
                <w:color w:val="000000"/>
                <w:sz w:val="20"/>
                <w:szCs w:val="20"/>
              </w:rPr>
            </w:pPr>
            <w:proofErr w:type="spellStart"/>
            <w:r w:rsidRPr="00471ABF">
              <w:rPr>
                <w:rFonts w:ascii="Calibri" w:hAnsi="Calibri" w:cs="Calibri"/>
                <w:color w:val="000000"/>
                <w:sz w:val="20"/>
                <w:szCs w:val="20"/>
              </w:rPr>
              <w:t>CzechGlobe</w:t>
            </w:r>
            <w:proofErr w:type="spellEnd"/>
            <w:r w:rsidRPr="00471ABF">
              <w:rPr>
                <w:rFonts w:ascii="Calibri" w:hAnsi="Calibri" w:cs="Calibri"/>
                <w:color w:val="000000"/>
                <w:sz w:val="20"/>
                <w:szCs w:val="20"/>
              </w:rPr>
              <w:t xml:space="preserve"> </w:t>
            </w:r>
            <w:r w:rsidR="00690881" w:rsidRPr="00471ABF">
              <w:rPr>
                <w:rFonts w:ascii="Calibri" w:hAnsi="Calibri" w:cs="Calibri"/>
                <w:color w:val="000000"/>
                <w:sz w:val="20"/>
                <w:szCs w:val="20"/>
              </w:rPr>
              <w:t>–</w:t>
            </w:r>
            <w:r w:rsidRPr="00471ABF">
              <w:rPr>
                <w:rFonts w:ascii="Calibri" w:hAnsi="Calibri" w:cs="Calibri"/>
                <w:color w:val="000000"/>
                <w:sz w:val="20"/>
                <w:szCs w:val="20"/>
              </w:rPr>
              <w:t xml:space="preserve"> Centrum pro studium dopadů globální změny klimatu</w:t>
            </w:r>
          </w:p>
        </w:tc>
        <w:tc>
          <w:tcPr>
            <w:tcW w:w="2023" w:type="dxa"/>
            <w:shd w:val="clear" w:color="auto" w:fill="auto"/>
            <w:vAlign w:val="center"/>
            <w:hideMark/>
          </w:tcPr>
          <w:p w14:paraId="06DD6F64" w14:textId="1DC7A42F" w:rsidR="00FB2E4F" w:rsidRPr="00471ABF" w:rsidRDefault="00FB2E4F" w:rsidP="00235707">
            <w:pPr>
              <w:spacing w:before="20" w:after="20"/>
              <w:rPr>
                <w:rFonts w:ascii="Calibri" w:hAnsi="Calibri" w:cs="Calibri"/>
                <w:color w:val="000000"/>
                <w:sz w:val="20"/>
                <w:szCs w:val="20"/>
              </w:rPr>
            </w:pPr>
            <w:r w:rsidRPr="00471ABF">
              <w:rPr>
                <w:rFonts w:ascii="Calibri" w:hAnsi="Calibri" w:cs="Calibri"/>
                <w:color w:val="000000"/>
                <w:sz w:val="20"/>
                <w:szCs w:val="20"/>
              </w:rPr>
              <w:t>Centrum výzkumu globální změny AV</w:t>
            </w:r>
            <w:r w:rsidR="00235707" w:rsidRPr="00471ABF">
              <w:rPr>
                <w:rFonts w:ascii="Calibri" w:hAnsi="Calibri" w:cs="Calibri"/>
                <w:color w:val="000000"/>
                <w:sz w:val="20"/>
                <w:szCs w:val="20"/>
              </w:rPr>
              <w:t> </w:t>
            </w:r>
            <w:r w:rsidRPr="00471ABF">
              <w:rPr>
                <w:rFonts w:ascii="Calibri" w:hAnsi="Calibri" w:cs="Calibri"/>
                <w:color w:val="000000"/>
                <w:sz w:val="20"/>
                <w:szCs w:val="20"/>
              </w:rPr>
              <w:t>ČR, v. v. i.</w:t>
            </w:r>
          </w:p>
        </w:tc>
        <w:tc>
          <w:tcPr>
            <w:tcW w:w="1559" w:type="dxa"/>
            <w:shd w:val="clear" w:color="auto" w:fill="auto"/>
            <w:vAlign w:val="center"/>
            <w:hideMark/>
          </w:tcPr>
          <w:p w14:paraId="7807086C"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645 443 366,98   </w:t>
            </w:r>
          </w:p>
        </w:tc>
      </w:tr>
      <w:tr w:rsidR="00FB2E4F" w:rsidRPr="00471ABF" w14:paraId="075EE672" w14:textId="77777777" w:rsidTr="00471ABF">
        <w:trPr>
          <w:cantSplit/>
          <w:trHeight w:val="283"/>
          <w:jc w:val="center"/>
        </w:trPr>
        <w:tc>
          <w:tcPr>
            <w:tcW w:w="983" w:type="dxa"/>
            <w:shd w:val="clear" w:color="auto" w:fill="auto"/>
            <w:vAlign w:val="center"/>
            <w:hideMark/>
          </w:tcPr>
          <w:p w14:paraId="2CBADC7E"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17A998B4"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CZ.1.05/2.1.00/01.0012</w:t>
            </w:r>
          </w:p>
        </w:tc>
        <w:tc>
          <w:tcPr>
            <w:tcW w:w="2677" w:type="dxa"/>
            <w:shd w:val="clear" w:color="auto" w:fill="auto"/>
            <w:vAlign w:val="center"/>
            <w:hideMark/>
          </w:tcPr>
          <w:p w14:paraId="6053FD71"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Centra materiálového výzkumu na FCH VUT v Brně</w:t>
            </w:r>
          </w:p>
        </w:tc>
        <w:tc>
          <w:tcPr>
            <w:tcW w:w="2023" w:type="dxa"/>
            <w:shd w:val="clear" w:color="auto" w:fill="auto"/>
            <w:vAlign w:val="center"/>
            <w:hideMark/>
          </w:tcPr>
          <w:p w14:paraId="112EBFE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Vysoké učení technické v Brně</w:t>
            </w:r>
          </w:p>
        </w:tc>
        <w:tc>
          <w:tcPr>
            <w:tcW w:w="1559" w:type="dxa"/>
            <w:shd w:val="clear" w:color="auto" w:fill="auto"/>
            <w:vAlign w:val="center"/>
            <w:hideMark/>
          </w:tcPr>
          <w:p w14:paraId="4984D151" w14:textId="04273C70" w:rsidR="00FB2E4F" w:rsidRPr="00471ABF" w:rsidRDefault="00FB2E4F"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232 148 9</w:t>
            </w:r>
            <w:r w:rsidR="00235707" w:rsidRPr="00471ABF">
              <w:rPr>
                <w:rFonts w:ascii="Calibri" w:hAnsi="Calibri" w:cs="Calibri"/>
                <w:color w:val="000000"/>
                <w:sz w:val="20"/>
                <w:szCs w:val="20"/>
              </w:rPr>
              <w:t>49</w:t>
            </w:r>
            <w:r w:rsidRPr="00471ABF">
              <w:rPr>
                <w:rFonts w:ascii="Calibri" w:hAnsi="Calibri" w:cs="Calibri"/>
                <w:color w:val="000000"/>
                <w:sz w:val="20"/>
                <w:szCs w:val="20"/>
              </w:rPr>
              <w:t>,</w:t>
            </w:r>
            <w:r w:rsidR="00235707" w:rsidRPr="00471ABF">
              <w:rPr>
                <w:rFonts w:ascii="Calibri" w:hAnsi="Calibri" w:cs="Calibri"/>
                <w:color w:val="000000"/>
                <w:sz w:val="20"/>
                <w:szCs w:val="20"/>
              </w:rPr>
              <w:t>62</w:t>
            </w:r>
            <w:r w:rsidRPr="00471ABF">
              <w:rPr>
                <w:rFonts w:ascii="Calibri" w:hAnsi="Calibri" w:cs="Calibri"/>
                <w:color w:val="000000"/>
                <w:sz w:val="20"/>
                <w:szCs w:val="20"/>
              </w:rPr>
              <w:t xml:space="preserve">   </w:t>
            </w:r>
          </w:p>
        </w:tc>
      </w:tr>
      <w:tr w:rsidR="00FB2E4F" w:rsidRPr="00471ABF" w14:paraId="62A0E102" w14:textId="77777777" w:rsidTr="00471ABF">
        <w:trPr>
          <w:cantSplit/>
          <w:trHeight w:val="283"/>
          <w:jc w:val="center"/>
        </w:trPr>
        <w:tc>
          <w:tcPr>
            <w:tcW w:w="983" w:type="dxa"/>
            <w:shd w:val="clear" w:color="auto" w:fill="auto"/>
            <w:vAlign w:val="center"/>
            <w:hideMark/>
          </w:tcPr>
          <w:p w14:paraId="5EBB6AF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lastRenderedPageBreak/>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570397D7"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CZ.1.05/2.1.00/01.0014</w:t>
            </w:r>
          </w:p>
        </w:tc>
        <w:tc>
          <w:tcPr>
            <w:tcW w:w="2677" w:type="dxa"/>
            <w:shd w:val="clear" w:color="auto" w:fill="auto"/>
            <w:vAlign w:val="center"/>
            <w:hideMark/>
          </w:tcPr>
          <w:p w14:paraId="3FE4F49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Centrum výzkumu a využití obnovitelných zdrojů energie</w:t>
            </w:r>
          </w:p>
        </w:tc>
        <w:tc>
          <w:tcPr>
            <w:tcW w:w="2023" w:type="dxa"/>
            <w:shd w:val="clear" w:color="auto" w:fill="auto"/>
            <w:vAlign w:val="center"/>
            <w:hideMark/>
          </w:tcPr>
          <w:p w14:paraId="4D880465"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Vysoké učení technické v Brně</w:t>
            </w:r>
          </w:p>
        </w:tc>
        <w:tc>
          <w:tcPr>
            <w:tcW w:w="1559" w:type="dxa"/>
            <w:shd w:val="clear" w:color="auto" w:fill="auto"/>
            <w:vAlign w:val="center"/>
            <w:hideMark/>
          </w:tcPr>
          <w:p w14:paraId="761D71BA" w14:textId="70464922" w:rsidR="00FB2E4F" w:rsidRPr="00471ABF" w:rsidRDefault="00FB2E4F"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258 250 733,</w:t>
            </w:r>
            <w:r w:rsidR="00235707" w:rsidRPr="00471ABF">
              <w:rPr>
                <w:rFonts w:ascii="Calibri" w:hAnsi="Calibri" w:cs="Calibri"/>
                <w:color w:val="000000"/>
                <w:sz w:val="20"/>
                <w:szCs w:val="20"/>
              </w:rPr>
              <w:t>35</w:t>
            </w:r>
            <w:r w:rsidRPr="00471ABF">
              <w:rPr>
                <w:rFonts w:ascii="Calibri" w:hAnsi="Calibri" w:cs="Calibri"/>
                <w:color w:val="000000"/>
                <w:sz w:val="20"/>
                <w:szCs w:val="20"/>
              </w:rPr>
              <w:t xml:space="preserve">   </w:t>
            </w:r>
          </w:p>
        </w:tc>
      </w:tr>
      <w:tr w:rsidR="00FB2E4F" w:rsidRPr="00471ABF" w14:paraId="5C221F09" w14:textId="77777777" w:rsidTr="00471ABF">
        <w:trPr>
          <w:cantSplit/>
          <w:trHeight w:val="283"/>
          <w:jc w:val="center"/>
        </w:trPr>
        <w:tc>
          <w:tcPr>
            <w:tcW w:w="983" w:type="dxa"/>
            <w:shd w:val="clear" w:color="auto" w:fill="auto"/>
            <w:vAlign w:val="center"/>
            <w:hideMark/>
          </w:tcPr>
          <w:p w14:paraId="50E4EE0E"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798D713D"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CZ.1.05/2.1.00/03.0072</w:t>
            </w:r>
          </w:p>
        </w:tc>
        <w:tc>
          <w:tcPr>
            <w:tcW w:w="2677" w:type="dxa"/>
            <w:shd w:val="clear" w:color="auto" w:fill="auto"/>
            <w:vAlign w:val="center"/>
            <w:hideMark/>
          </w:tcPr>
          <w:p w14:paraId="423E2F6A" w14:textId="41FCDA25"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w:t>
            </w:r>
            <w:r w:rsidR="007B2BF7" w:rsidRPr="00471ABF">
              <w:rPr>
                <w:rFonts w:ascii="Calibri" w:hAnsi="Calibri" w:cs="Calibri"/>
                <w:color w:val="000000"/>
                <w:sz w:val="20"/>
                <w:szCs w:val="20"/>
              </w:rPr>
              <w:t>um senzorických, informačních a </w:t>
            </w:r>
            <w:r w:rsidRPr="00471ABF">
              <w:rPr>
                <w:rFonts w:ascii="Calibri" w:hAnsi="Calibri" w:cs="Calibri"/>
                <w:color w:val="000000"/>
                <w:sz w:val="20"/>
                <w:szCs w:val="20"/>
              </w:rPr>
              <w:t>komunikačních systémů (SIX)</w:t>
            </w:r>
          </w:p>
        </w:tc>
        <w:tc>
          <w:tcPr>
            <w:tcW w:w="2023" w:type="dxa"/>
            <w:shd w:val="clear" w:color="auto" w:fill="auto"/>
            <w:vAlign w:val="center"/>
            <w:hideMark/>
          </w:tcPr>
          <w:p w14:paraId="66ADD1E4"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Vysoké učení technické v Brně</w:t>
            </w:r>
          </w:p>
        </w:tc>
        <w:tc>
          <w:tcPr>
            <w:tcW w:w="1559" w:type="dxa"/>
            <w:shd w:val="clear" w:color="auto" w:fill="auto"/>
            <w:vAlign w:val="center"/>
            <w:hideMark/>
          </w:tcPr>
          <w:p w14:paraId="355A169C" w14:textId="23339882" w:rsidR="00FB2E4F" w:rsidRPr="00471ABF" w:rsidRDefault="00FB2E4F"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291 657 54</w:t>
            </w:r>
            <w:r w:rsidR="00235707" w:rsidRPr="00471ABF">
              <w:rPr>
                <w:rFonts w:ascii="Calibri" w:hAnsi="Calibri" w:cs="Calibri"/>
                <w:color w:val="000000"/>
                <w:sz w:val="20"/>
                <w:szCs w:val="20"/>
              </w:rPr>
              <w:t>6</w:t>
            </w:r>
            <w:r w:rsidRPr="00471ABF">
              <w:rPr>
                <w:rFonts w:ascii="Calibri" w:hAnsi="Calibri" w:cs="Calibri"/>
                <w:color w:val="000000"/>
                <w:sz w:val="20"/>
                <w:szCs w:val="20"/>
              </w:rPr>
              <w:t>,</w:t>
            </w:r>
            <w:r w:rsidR="00235707" w:rsidRPr="00471ABF">
              <w:rPr>
                <w:rFonts w:ascii="Calibri" w:hAnsi="Calibri" w:cs="Calibri"/>
                <w:color w:val="000000"/>
                <w:sz w:val="20"/>
                <w:szCs w:val="20"/>
              </w:rPr>
              <w:t>6</w:t>
            </w:r>
            <w:r w:rsidRPr="00471ABF">
              <w:rPr>
                <w:rFonts w:ascii="Calibri" w:hAnsi="Calibri" w:cs="Calibri"/>
                <w:color w:val="000000"/>
                <w:sz w:val="20"/>
                <w:szCs w:val="20"/>
              </w:rPr>
              <w:t xml:space="preserve">0   </w:t>
            </w:r>
          </w:p>
        </w:tc>
      </w:tr>
      <w:tr w:rsidR="00FB2E4F" w:rsidRPr="00471ABF" w14:paraId="4194C886" w14:textId="77777777" w:rsidTr="00471ABF">
        <w:trPr>
          <w:cantSplit/>
          <w:trHeight w:val="283"/>
          <w:jc w:val="center"/>
        </w:trPr>
        <w:tc>
          <w:tcPr>
            <w:tcW w:w="983" w:type="dxa"/>
            <w:shd w:val="clear" w:color="auto" w:fill="auto"/>
            <w:vAlign w:val="center"/>
            <w:hideMark/>
          </w:tcPr>
          <w:p w14:paraId="240D773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33A3FFE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CZ.1.05/2.1.00/01.0002</w:t>
            </w:r>
          </w:p>
        </w:tc>
        <w:tc>
          <w:tcPr>
            <w:tcW w:w="2677" w:type="dxa"/>
            <w:shd w:val="clear" w:color="auto" w:fill="auto"/>
            <w:vAlign w:val="center"/>
            <w:hideMark/>
          </w:tcPr>
          <w:p w14:paraId="359D293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NETME Centre (Nové technologie pro strojírenství)</w:t>
            </w:r>
          </w:p>
        </w:tc>
        <w:tc>
          <w:tcPr>
            <w:tcW w:w="2023" w:type="dxa"/>
            <w:shd w:val="clear" w:color="auto" w:fill="auto"/>
            <w:vAlign w:val="center"/>
            <w:hideMark/>
          </w:tcPr>
          <w:p w14:paraId="69431D30"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Vysoké učení technické v Brně</w:t>
            </w:r>
          </w:p>
        </w:tc>
        <w:tc>
          <w:tcPr>
            <w:tcW w:w="1559" w:type="dxa"/>
            <w:shd w:val="clear" w:color="auto" w:fill="auto"/>
            <w:vAlign w:val="center"/>
            <w:hideMark/>
          </w:tcPr>
          <w:p w14:paraId="4EC39E17" w14:textId="5F6F78AC" w:rsidR="00FB2E4F" w:rsidRPr="00471ABF" w:rsidRDefault="00FB2E4F" w:rsidP="00235707">
            <w:pPr>
              <w:spacing w:before="20" w:after="20"/>
              <w:jc w:val="right"/>
              <w:rPr>
                <w:rFonts w:ascii="Calibri" w:hAnsi="Calibri" w:cs="Calibri"/>
                <w:color w:val="000000"/>
                <w:sz w:val="20"/>
                <w:szCs w:val="20"/>
              </w:rPr>
            </w:pPr>
            <w:r w:rsidRPr="00471ABF">
              <w:rPr>
                <w:rFonts w:ascii="Calibri" w:hAnsi="Calibri" w:cs="Calibri"/>
                <w:color w:val="000000"/>
                <w:sz w:val="20"/>
                <w:szCs w:val="20"/>
              </w:rPr>
              <w:t>754 311 23</w:t>
            </w:r>
            <w:r w:rsidR="00235707" w:rsidRPr="00471ABF">
              <w:rPr>
                <w:rFonts w:ascii="Calibri" w:hAnsi="Calibri" w:cs="Calibri"/>
                <w:color w:val="000000"/>
                <w:sz w:val="20"/>
                <w:szCs w:val="20"/>
              </w:rPr>
              <w:t>3</w:t>
            </w:r>
            <w:r w:rsidRPr="00471ABF">
              <w:rPr>
                <w:rFonts w:ascii="Calibri" w:hAnsi="Calibri" w:cs="Calibri"/>
                <w:color w:val="000000"/>
                <w:sz w:val="20"/>
                <w:szCs w:val="20"/>
              </w:rPr>
              <w:t>,</w:t>
            </w:r>
            <w:r w:rsidR="00235707" w:rsidRPr="00471ABF">
              <w:rPr>
                <w:rFonts w:ascii="Calibri" w:hAnsi="Calibri" w:cs="Calibri"/>
                <w:color w:val="000000"/>
                <w:sz w:val="20"/>
                <w:szCs w:val="20"/>
              </w:rPr>
              <w:t>77</w:t>
            </w:r>
            <w:r w:rsidRPr="00471ABF">
              <w:rPr>
                <w:rFonts w:ascii="Calibri" w:hAnsi="Calibri" w:cs="Calibri"/>
                <w:color w:val="000000"/>
                <w:sz w:val="20"/>
                <w:szCs w:val="20"/>
              </w:rPr>
              <w:t xml:space="preserve">   </w:t>
            </w:r>
          </w:p>
        </w:tc>
      </w:tr>
      <w:tr w:rsidR="00FB2E4F" w:rsidRPr="00471ABF" w14:paraId="1642BD29" w14:textId="77777777" w:rsidTr="00471ABF">
        <w:trPr>
          <w:cantSplit/>
          <w:trHeight w:val="283"/>
          <w:jc w:val="center"/>
        </w:trPr>
        <w:tc>
          <w:tcPr>
            <w:tcW w:w="983" w:type="dxa"/>
            <w:shd w:val="clear" w:color="auto" w:fill="auto"/>
            <w:vAlign w:val="center"/>
            <w:hideMark/>
          </w:tcPr>
          <w:p w14:paraId="03DD934D"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6668A38C"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CZ.1.05/2.1.00/01.0006</w:t>
            </w:r>
          </w:p>
        </w:tc>
        <w:tc>
          <w:tcPr>
            <w:tcW w:w="2677" w:type="dxa"/>
            <w:shd w:val="clear" w:color="auto" w:fill="auto"/>
            <w:vAlign w:val="center"/>
            <w:hideMark/>
          </w:tcPr>
          <w:p w14:paraId="57572300"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Centrum pro aplikovanou mikrobiologii a imunologii ve veterinární medicíně</w:t>
            </w:r>
          </w:p>
        </w:tc>
        <w:tc>
          <w:tcPr>
            <w:tcW w:w="2023" w:type="dxa"/>
            <w:shd w:val="clear" w:color="auto" w:fill="auto"/>
            <w:vAlign w:val="center"/>
            <w:hideMark/>
          </w:tcPr>
          <w:p w14:paraId="44E69B7B" w14:textId="57DD9836"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Výzkumný ústav veterinárního lékařství, v.</w:t>
            </w:r>
            <w:r w:rsidR="00306E2B">
              <w:rPr>
                <w:rFonts w:ascii="Calibri" w:hAnsi="Calibri" w:cs="Calibri"/>
                <w:color w:val="000000"/>
                <w:sz w:val="20"/>
                <w:szCs w:val="20"/>
              </w:rPr>
              <w:t> </w:t>
            </w:r>
            <w:r w:rsidRPr="00471ABF">
              <w:rPr>
                <w:rFonts w:ascii="Calibri" w:hAnsi="Calibri" w:cs="Calibri"/>
                <w:color w:val="000000"/>
                <w:sz w:val="20"/>
                <w:szCs w:val="20"/>
              </w:rPr>
              <w:t>v.</w:t>
            </w:r>
            <w:r w:rsidR="00306E2B">
              <w:rPr>
                <w:rFonts w:ascii="Calibri" w:hAnsi="Calibri" w:cs="Calibri"/>
                <w:color w:val="000000"/>
                <w:sz w:val="20"/>
                <w:szCs w:val="20"/>
              </w:rPr>
              <w:t> </w:t>
            </w:r>
            <w:r w:rsidRPr="00471ABF">
              <w:rPr>
                <w:rFonts w:ascii="Calibri" w:hAnsi="Calibri" w:cs="Calibri"/>
                <w:color w:val="000000"/>
                <w:sz w:val="20"/>
                <w:szCs w:val="20"/>
              </w:rPr>
              <w:t>i.</w:t>
            </w:r>
          </w:p>
        </w:tc>
        <w:tc>
          <w:tcPr>
            <w:tcW w:w="1559" w:type="dxa"/>
            <w:shd w:val="clear" w:color="auto" w:fill="auto"/>
            <w:vAlign w:val="center"/>
            <w:hideMark/>
          </w:tcPr>
          <w:p w14:paraId="5DE78769"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359 571 992,00   </w:t>
            </w:r>
          </w:p>
        </w:tc>
      </w:tr>
      <w:tr w:rsidR="00FB2E4F" w:rsidRPr="00471ABF" w14:paraId="3640F715" w14:textId="77777777" w:rsidTr="00471ABF">
        <w:trPr>
          <w:cantSplit/>
          <w:trHeight w:val="283"/>
          <w:jc w:val="center"/>
        </w:trPr>
        <w:tc>
          <w:tcPr>
            <w:tcW w:w="983" w:type="dxa"/>
            <w:shd w:val="clear" w:color="auto" w:fill="auto"/>
            <w:vAlign w:val="center"/>
            <w:hideMark/>
          </w:tcPr>
          <w:p w14:paraId="195F849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006E85A0"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CZ.1.05/2.1.00/01.0017</w:t>
            </w:r>
          </w:p>
        </w:tc>
        <w:tc>
          <w:tcPr>
            <w:tcW w:w="2677" w:type="dxa"/>
            <w:shd w:val="clear" w:color="auto" w:fill="auto"/>
            <w:vAlign w:val="center"/>
            <w:hideMark/>
          </w:tcPr>
          <w:p w14:paraId="2B090CC4" w14:textId="4B521874"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APLIKAČNÍ A VÝVOJOVÉ LABORATOŘE</w:t>
            </w:r>
            <w:r w:rsidR="007B2BF7" w:rsidRPr="00471ABF">
              <w:rPr>
                <w:rFonts w:ascii="Calibri" w:hAnsi="Calibri" w:cs="Calibri"/>
                <w:color w:val="000000"/>
                <w:sz w:val="20"/>
                <w:szCs w:val="20"/>
              </w:rPr>
              <w:t xml:space="preserve"> POKROČILÝCH MIKROTECHNOLOGIÍ A </w:t>
            </w:r>
            <w:r w:rsidRPr="00471ABF">
              <w:rPr>
                <w:rFonts w:ascii="Calibri" w:hAnsi="Calibri" w:cs="Calibri"/>
                <w:color w:val="000000"/>
                <w:sz w:val="20"/>
                <w:szCs w:val="20"/>
              </w:rPr>
              <w:t>NANOTECHNOLOGIÍ</w:t>
            </w:r>
          </w:p>
        </w:tc>
        <w:tc>
          <w:tcPr>
            <w:tcW w:w="2023" w:type="dxa"/>
            <w:shd w:val="clear" w:color="auto" w:fill="auto"/>
            <w:vAlign w:val="center"/>
            <w:hideMark/>
          </w:tcPr>
          <w:p w14:paraId="153B732E" w14:textId="2C9EE82F"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Ústav přístrojové techniky AV ČR, v.</w:t>
            </w:r>
            <w:r w:rsidR="00306E2B">
              <w:rPr>
                <w:rFonts w:ascii="Calibri" w:hAnsi="Calibri" w:cs="Calibri"/>
                <w:color w:val="000000"/>
                <w:sz w:val="20"/>
                <w:szCs w:val="20"/>
              </w:rPr>
              <w:t> </w:t>
            </w:r>
            <w:r w:rsidRPr="00471ABF">
              <w:rPr>
                <w:rFonts w:ascii="Calibri" w:hAnsi="Calibri" w:cs="Calibri"/>
                <w:color w:val="000000"/>
                <w:sz w:val="20"/>
                <w:szCs w:val="20"/>
              </w:rPr>
              <w:t>v.</w:t>
            </w:r>
            <w:r w:rsidR="00306E2B">
              <w:rPr>
                <w:rFonts w:ascii="Calibri" w:hAnsi="Calibri" w:cs="Calibri"/>
                <w:color w:val="000000"/>
                <w:sz w:val="20"/>
                <w:szCs w:val="20"/>
              </w:rPr>
              <w:t> </w:t>
            </w:r>
            <w:r w:rsidRPr="00471ABF">
              <w:rPr>
                <w:rFonts w:ascii="Calibri" w:hAnsi="Calibri" w:cs="Calibri"/>
                <w:color w:val="000000"/>
                <w:sz w:val="20"/>
                <w:szCs w:val="20"/>
              </w:rPr>
              <w:t>i.</w:t>
            </w:r>
          </w:p>
        </w:tc>
        <w:tc>
          <w:tcPr>
            <w:tcW w:w="1559" w:type="dxa"/>
            <w:shd w:val="clear" w:color="auto" w:fill="auto"/>
            <w:vAlign w:val="center"/>
            <w:hideMark/>
          </w:tcPr>
          <w:p w14:paraId="24BE5EA0" w14:textId="77777777" w:rsidR="00FB2E4F" w:rsidRPr="00471ABF" w:rsidRDefault="005C525C"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429 966 333,00</w:t>
            </w:r>
          </w:p>
        </w:tc>
      </w:tr>
      <w:tr w:rsidR="00FB2E4F" w:rsidRPr="00471ABF" w14:paraId="75407023" w14:textId="77777777" w:rsidTr="00471ABF">
        <w:trPr>
          <w:cantSplit/>
          <w:trHeight w:val="283"/>
          <w:jc w:val="center"/>
        </w:trPr>
        <w:tc>
          <w:tcPr>
            <w:tcW w:w="983" w:type="dxa"/>
            <w:shd w:val="clear" w:color="auto" w:fill="auto"/>
            <w:vAlign w:val="center"/>
            <w:hideMark/>
          </w:tcPr>
          <w:p w14:paraId="75539F61"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24163DF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CZ.1.05/2.1.00/01.0001</w:t>
            </w:r>
          </w:p>
        </w:tc>
        <w:tc>
          <w:tcPr>
            <w:tcW w:w="2677" w:type="dxa"/>
            <w:shd w:val="clear" w:color="auto" w:fill="auto"/>
            <w:vAlign w:val="center"/>
            <w:hideMark/>
          </w:tcPr>
          <w:p w14:paraId="045495D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CETOCOEN</w:t>
            </w:r>
          </w:p>
        </w:tc>
        <w:tc>
          <w:tcPr>
            <w:tcW w:w="2023" w:type="dxa"/>
            <w:shd w:val="clear" w:color="auto" w:fill="auto"/>
            <w:vAlign w:val="center"/>
            <w:hideMark/>
          </w:tcPr>
          <w:p w14:paraId="3C04E971"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Masarykova univerzita</w:t>
            </w:r>
          </w:p>
        </w:tc>
        <w:tc>
          <w:tcPr>
            <w:tcW w:w="1559" w:type="dxa"/>
            <w:shd w:val="clear" w:color="auto" w:fill="auto"/>
            <w:vAlign w:val="center"/>
            <w:hideMark/>
          </w:tcPr>
          <w:p w14:paraId="237C5E75" w14:textId="77777777" w:rsidR="00FB2E4F" w:rsidRPr="00471ABF" w:rsidRDefault="005C525C"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490 460 014,51</w:t>
            </w:r>
            <w:r w:rsidR="00FB2E4F" w:rsidRPr="00471ABF">
              <w:rPr>
                <w:rFonts w:ascii="Calibri" w:hAnsi="Calibri" w:cs="Calibri"/>
                <w:color w:val="000000"/>
                <w:sz w:val="20"/>
                <w:szCs w:val="20"/>
              </w:rPr>
              <w:t xml:space="preserve">   </w:t>
            </w:r>
          </w:p>
        </w:tc>
      </w:tr>
      <w:tr w:rsidR="00FB2E4F" w:rsidRPr="00471ABF" w14:paraId="3F123E52" w14:textId="77777777" w:rsidTr="00471ABF">
        <w:trPr>
          <w:cantSplit/>
          <w:trHeight w:val="283"/>
          <w:jc w:val="center"/>
        </w:trPr>
        <w:tc>
          <w:tcPr>
            <w:tcW w:w="983" w:type="dxa"/>
            <w:shd w:val="clear" w:color="auto" w:fill="auto"/>
            <w:vAlign w:val="center"/>
            <w:hideMark/>
          </w:tcPr>
          <w:p w14:paraId="441AF36A"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58F8F75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CZ.1.05/4.1.00/04.0201</w:t>
            </w:r>
          </w:p>
        </w:tc>
        <w:tc>
          <w:tcPr>
            <w:tcW w:w="2677" w:type="dxa"/>
            <w:shd w:val="clear" w:color="auto" w:fill="auto"/>
            <w:vAlign w:val="center"/>
            <w:hideMark/>
          </w:tcPr>
          <w:p w14:paraId="623653B2"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Infrastruktura pro doktorské studium ESF MU</w:t>
            </w:r>
          </w:p>
        </w:tc>
        <w:tc>
          <w:tcPr>
            <w:tcW w:w="2023" w:type="dxa"/>
            <w:shd w:val="clear" w:color="auto" w:fill="auto"/>
            <w:vAlign w:val="center"/>
            <w:hideMark/>
          </w:tcPr>
          <w:p w14:paraId="5935B43F"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Masarykova univerzita</w:t>
            </w:r>
          </w:p>
        </w:tc>
        <w:tc>
          <w:tcPr>
            <w:tcW w:w="1559" w:type="dxa"/>
            <w:shd w:val="clear" w:color="auto" w:fill="auto"/>
            <w:vAlign w:val="center"/>
            <w:hideMark/>
          </w:tcPr>
          <w:p w14:paraId="7C50B3E4" w14:textId="527551E0" w:rsidR="00FB2E4F" w:rsidRPr="00471ABF" w:rsidRDefault="00235707"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46 435 122,75</w:t>
            </w:r>
            <w:r w:rsidR="00FB2E4F" w:rsidRPr="00471ABF">
              <w:rPr>
                <w:rFonts w:ascii="Calibri" w:hAnsi="Calibri" w:cs="Calibri"/>
                <w:color w:val="000000"/>
                <w:sz w:val="20"/>
                <w:szCs w:val="20"/>
              </w:rPr>
              <w:t xml:space="preserve">   </w:t>
            </w:r>
          </w:p>
        </w:tc>
      </w:tr>
      <w:tr w:rsidR="00FB2E4F" w:rsidRPr="00471ABF" w14:paraId="0B631107" w14:textId="77777777" w:rsidTr="00471ABF">
        <w:trPr>
          <w:cantSplit/>
          <w:trHeight w:val="283"/>
          <w:jc w:val="center"/>
        </w:trPr>
        <w:tc>
          <w:tcPr>
            <w:tcW w:w="983" w:type="dxa"/>
            <w:shd w:val="clear" w:color="auto" w:fill="auto"/>
            <w:vAlign w:val="center"/>
            <w:hideMark/>
          </w:tcPr>
          <w:p w14:paraId="39ED9972"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6B247318"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CZ.1.05/4.1.00/04.0139</w:t>
            </w:r>
          </w:p>
        </w:tc>
        <w:tc>
          <w:tcPr>
            <w:tcW w:w="2677" w:type="dxa"/>
            <w:shd w:val="clear" w:color="auto" w:fill="auto"/>
            <w:vAlign w:val="center"/>
            <w:hideMark/>
          </w:tcPr>
          <w:p w14:paraId="706040E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Laboratorní centrum Fakulty technologické</w:t>
            </w:r>
          </w:p>
        </w:tc>
        <w:tc>
          <w:tcPr>
            <w:tcW w:w="2023" w:type="dxa"/>
            <w:shd w:val="clear" w:color="auto" w:fill="auto"/>
            <w:vAlign w:val="center"/>
            <w:hideMark/>
          </w:tcPr>
          <w:p w14:paraId="37A6A80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Univerzita Tomáše Bati ve Zlíně</w:t>
            </w:r>
          </w:p>
        </w:tc>
        <w:tc>
          <w:tcPr>
            <w:tcW w:w="1559" w:type="dxa"/>
            <w:shd w:val="clear" w:color="auto" w:fill="auto"/>
            <w:vAlign w:val="center"/>
            <w:hideMark/>
          </w:tcPr>
          <w:p w14:paraId="0F88BA63"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503 946 090,00   </w:t>
            </w:r>
          </w:p>
        </w:tc>
      </w:tr>
      <w:tr w:rsidR="00FB2E4F" w:rsidRPr="00471ABF" w14:paraId="4ED5D14B" w14:textId="77777777" w:rsidTr="00471ABF">
        <w:trPr>
          <w:cantSplit/>
          <w:trHeight w:val="283"/>
          <w:jc w:val="center"/>
        </w:trPr>
        <w:tc>
          <w:tcPr>
            <w:tcW w:w="983" w:type="dxa"/>
            <w:shd w:val="clear" w:color="auto" w:fill="auto"/>
            <w:vAlign w:val="center"/>
            <w:hideMark/>
          </w:tcPr>
          <w:p w14:paraId="729101B2"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3FFB06CB"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CZ.1.05/4.1.00/04.0156</w:t>
            </w:r>
          </w:p>
        </w:tc>
        <w:tc>
          <w:tcPr>
            <w:tcW w:w="2677" w:type="dxa"/>
            <w:shd w:val="clear" w:color="auto" w:fill="auto"/>
            <w:vAlign w:val="center"/>
            <w:hideMark/>
          </w:tcPr>
          <w:p w14:paraId="1C4080C6" w14:textId="18A3FB4A" w:rsidR="00FB2E4F" w:rsidRPr="00471ABF" w:rsidRDefault="007B2BF7" w:rsidP="002F0CFD">
            <w:pPr>
              <w:spacing w:before="20" w:after="20"/>
              <w:rPr>
                <w:rFonts w:ascii="Calibri" w:hAnsi="Calibri" w:cs="Calibri"/>
                <w:color w:val="000000"/>
                <w:sz w:val="20"/>
                <w:szCs w:val="20"/>
              </w:rPr>
            </w:pPr>
            <w:r w:rsidRPr="00471ABF">
              <w:rPr>
                <w:rFonts w:ascii="Calibri" w:hAnsi="Calibri" w:cs="Calibri"/>
                <w:color w:val="000000"/>
                <w:sz w:val="20"/>
                <w:szCs w:val="20"/>
              </w:rPr>
              <w:t>Diagnostické, výukové a </w:t>
            </w:r>
            <w:r w:rsidR="00FB2E4F" w:rsidRPr="00471ABF">
              <w:rPr>
                <w:rFonts w:ascii="Calibri" w:hAnsi="Calibri" w:cs="Calibri"/>
                <w:color w:val="000000"/>
                <w:sz w:val="20"/>
                <w:szCs w:val="20"/>
              </w:rPr>
              <w:t>výzkumné centrum infekčních nemocí zvířat na VFU Brno: Centrum diagnostiky zoonóz</w:t>
            </w:r>
          </w:p>
        </w:tc>
        <w:tc>
          <w:tcPr>
            <w:tcW w:w="2023" w:type="dxa"/>
            <w:shd w:val="clear" w:color="auto" w:fill="auto"/>
            <w:vAlign w:val="center"/>
            <w:hideMark/>
          </w:tcPr>
          <w:p w14:paraId="7198FC66" w14:textId="75798EFF" w:rsidR="00FB2E4F" w:rsidRPr="00471ABF" w:rsidRDefault="00235707" w:rsidP="002F0CFD">
            <w:pPr>
              <w:spacing w:before="20" w:after="20"/>
              <w:rPr>
                <w:rFonts w:ascii="Calibri" w:hAnsi="Calibri" w:cs="Calibri"/>
                <w:color w:val="000000"/>
                <w:sz w:val="20"/>
                <w:szCs w:val="20"/>
              </w:rPr>
            </w:pPr>
            <w:r w:rsidRPr="00471ABF">
              <w:rPr>
                <w:rFonts w:ascii="Calibri" w:hAnsi="Calibri" w:cs="Calibri"/>
                <w:color w:val="000000"/>
                <w:sz w:val="20"/>
                <w:szCs w:val="20"/>
              </w:rPr>
              <w:t>Veterinární a </w:t>
            </w:r>
            <w:r w:rsidR="00FB2E4F" w:rsidRPr="00471ABF">
              <w:rPr>
                <w:rFonts w:ascii="Calibri" w:hAnsi="Calibri" w:cs="Calibri"/>
                <w:color w:val="000000"/>
                <w:sz w:val="20"/>
                <w:szCs w:val="20"/>
              </w:rPr>
              <w:t>farmaceutická univerzita Brno</w:t>
            </w:r>
          </w:p>
        </w:tc>
        <w:tc>
          <w:tcPr>
            <w:tcW w:w="1559" w:type="dxa"/>
            <w:shd w:val="clear" w:color="auto" w:fill="auto"/>
            <w:vAlign w:val="center"/>
            <w:hideMark/>
          </w:tcPr>
          <w:p w14:paraId="1517D868" w14:textId="79D2CDB9" w:rsidR="00FB2E4F" w:rsidRPr="00471ABF" w:rsidRDefault="00235707" w:rsidP="00471ABF">
            <w:pPr>
              <w:spacing w:before="20" w:after="20"/>
              <w:jc w:val="right"/>
              <w:rPr>
                <w:rFonts w:ascii="Calibri" w:hAnsi="Calibri" w:cs="Calibri"/>
                <w:color w:val="000000"/>
                <w:sz w:val="20"/>
                <w:szCs w:val="20"/>
              </w:rPr>
            </w:pPr>
            <w:r w:rsidRPr="00471ABF">
              <w:rPr>
                <w:rFonts w:ascii="Calibri" w:hAnsi="Calibri" w:cs="Calibri"/>
                <w:color w:val="000000"/>
                <w:sz w:val="20"/>
                <w:szCs w:val="20"/>
              </w:rPr>
              <w:t>104 912 900,0</w:t>
            </w:r>
            <w:r w:rsidR="00471ABF" w:rsidRPr="00471ABF">
              <w:rPr>
                <w:rFonts w:ascii="Calibri" w:hAnsi="Calibri" w:cs="Calibri"/>
                <w:color w:val="000000"/>
                <w:sz w:val="20"/>
                <w:szCs w:val="20"/>
              </w:rPr>
              <w:t>5</w:t>
            </w:r>
            <w:r w:rsidR="00FB2E4F" w:rsidRPr="00471ABF">
              <w:rPr>
                <w:rFonts w:ascii="Calibri" w:hAnsi="Calibri" w:cs="Calibri"/>
                <w:color w:val="000000"/>
                <w:sz w:val="20"/>
                <w:szCs w:val="20"/>
              </w:rPr>
              <w:t xml:space="preserve">   </w:t>
            </w:r>
          </w:p>
        </w:tc>
      </w:tr>
      <w:tr w:rsidR="00FB2E4F" w:rsidRPr="00471ABF" w14:paraId="71A78FF1" w14:textId="77777777" w:rsidTr="00471ABF">
        <w:trPr>
          <w:cantSplit/>
          <w:trHeight w:val="283"/>
          <w:jc w:val="center"/>
        </w:trPr>
        <w:tc>
          <w:tcPr>
            <w:tcW w:w="983" w:type="dxa"/>
            <w:shd w:val="clear" w:color="auto" w:fill="auto"/>
            <w:vAlign w:val="center"/>
            <w:hideMark/>
          </w:tcPr>
          <w:p w14:paraId="7BCAF6F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 xml:space="preserve">OP </w:t>
            </w:r>
            <w:proofErr w:type="spellStart"/>
            <w:r w:rsidRPr="00471ABF">
              <w:rPr>
                <w:rFonts w:ascii="Calibri" w:hAnsi="Calibri" w:cs="Calibri"/>
                <w:color w:val="000000"/>
                <w:sz w:val="20"/>
                <w:szCs w:val="20"/>
              </w:rPr>
              <w:t>VaVpI</w:t>
            </w:r>
            <w:proofErr w:type="spellEnd"/>
          </w:p>
        </w:tc>
        <w:tc>
          <w:tcPr>
            <w:tcW w:w="2167" w:type="dxa"/>
            <w:shd w:val="clear" w:color="auto" w:fill="auto"/>
            <w:vAlign w:val="center"/>
            <w:hideMark/>
          </w:tcPr>
          <w:p w14:paraId="3471884C"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CZ.1.05/1.1.00/02.0060</w:t>
            </w:r>
          </w:p>
        </w:tc>
        <w:tc>
          <w:tcPr>
            <w:tcW w:w="2677" w:type="dxa"/>
            <w:shd w:val="clear" w:color="auto" w:fill="auto"/>
            <w:vAlign w:val="center"/>
            <w:hideMark/>
          </w:tcPr>
          <w:p w14:paraId="02869D5C"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Centrum excelence Telč</w:t>
            </w:r>
          </w:p>
        </w:tc>
        <w:tc>
          <w:tcPr>
            <w:tcW w:w="2023" w:type="dxa"/>
            <w:shd w:val="clear" w:color="auto" w:fill="auto"/>
            <w:vAlign w:val="center"/>
            <w:hideMark/>
          </w:tcPr>
          <w:p w14:paraId="014F8C6C" w14:textId="48904405" w:rsidR="00FB2E4F" w:rsidRPr="00471ABF" w:rsidRDefault="00A77409" w:rsidP="002F0CFD">
            <w:pPr>
              <w:spacing w:before="20" w:after="20"/>
              <w:rPr>
                <w:rFonts w:ascii="Calibri" w:hAnsi="Calibri" w:cs="Calibri"/>
                <w:color w:val="000000"/>
                <w:sz w:val="20"/>
                <w:szCs w:val="20"/>
              </w:rPr>
            </w:pPr>
            <w:r w:rsidRPr="00471ABF">
              <w:rPr>
                <w:rFonts w:ascii="Calibri" w:hAnsi="Calibri" w:cs="Calibri"/>
                <w:color w:val="000000"/>
                <w:sz w:val="20"/>
                <w:szCs w:val="20"/>
              </w:rPr>
              <w:t>Ústav teoretické a </w:t>
            </w:r>
            <w:r w:rsidR="00FB2E4F" w:rsidRPr="00471ABF">
              <w:rPr>
                <w:rFonts w:ascii="Calibri" w:hAnsi="Calibri" w:cs="Calibri"/>
                <w:color w:val="000000"/>
                <w:sz w:val="20"/>
                <w:szCs w:val="20"/>
              </w:rPr>
              <w:t>aplikované mechaniky AV ČR, v.</w:t>
            </w:r>
            <w:r w:rsidR="00306E2B">
              <w:rPr>
                <w:rFonts w:ascii="Calibri" w:hAnsi="Calibri" w:cs="Calibri"/>
                <w:color w:val="000000"/>
                <w:sz w:val="20"/>
                <w:szCs w:val="20"/>
              </w:rPr>
              <w:t> </w:t>
            </w:r>
            <w:r w:rsidR="00FB2E4F" w:rsidRPr="00471ABF">
              <w:rPr>
                <w:rFonts w:ascii="Calibri" w:hAnsi="Calibri" w:cs="Calibri"/>
                <w:color w:val="000000"/>
                <w:sz w:val="20"/>
                <w:szCs w:val="20"/>
              </w:rPr>
              <w:t>v.</w:t>
            </w:r>
            <w:r w:rsidR="00306E2B">
              <w:rPr>
                <w:rFonts w:ascii="Calibri" w:hAnsi="Calibri" w:cs="Calibri"/>
                <w:color w:val="000000"/>
                <w:sz w:val="20"/>
                <w:szCs w:val="20"/>
              </w:rPr>
              <w:t> </w:t>
            </w:r>
            <w:r w:rsidR="00FB2E4F" w:rsidRPr="00471ABF">
              <w:rPr>
                <w:rFonts w:ascii="Calibri" w:hAnsi="Calibri" w:cs="Calibri"/>
                <w:color w:val="000000"/>
                <w:sz w:val="20"/>
                <w:szCs w:val="20"/>
              </w:rPr>
              <w:t>i.</w:t>
            </w:r>
          </w:p>
        </w:tc>
        <w:tc>
          <w:tcPr>
            <w:tcW w:w="1559" w:type="dxa"/>
            <w:shd w:val="clear" w:color="auto" w:fill="auto"/>
            <w:vAlign w:val="center"/>
            <w:hideMark/>
          </w:tcPr>
          <w:p w14:paraId="63CAAEFA"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230 158 358,97   </w:t>
            </w:r>
          </w:p>
        </w:tc>
      </w:tr>
      <w:tr w:rsidR="00FB2E4F" w:rsidRPr="00471ABF" w14:paraId="3EB0F408" w14:textId="77777777" w:rsidTr="00471ABF">
        <w:trPr>
          <w:cantSplit/>
          <w:trHeight w:val="283"/>
          <w:jc w:val="center"/>
        </w:trPr>
        <w:tc>
          <w:tcPr>
            <w:tcW w:w="983" w:type="dxa"/>
            <w:shd w:val="clear" w:color="auto" w:fill="auto"/>
            <w:vAlign w:val="center"/>
            <w:hideMark/>
          </w:tcPr>
          <w:p w14:paraId="444A098F"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OP VK</w:t>
            </w:r>
          </w:p>
        </w:tc>
        <w:tc>
          <w:tcPr>
            <w:tcW w:w="2167" w:type="dxa"/>
            <w:shd w:val="clear" w:color="auto" w:fill="auto"/>
            <w:vAlign w:val="center"/>
            <w:hideMark/>
          </w:tcPr>
          <w:p w14:paraId="675D9A46"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CZ.1.07/4.1.00/06.0013</w:t>
            </w:r>
          </w:p>
        </w:tc>
        <w:tc>
          <w:tcPr>
            <w:tcW w:w="2677" w:type="dxa"/>
            <w:shd w:val="clear" w:color="auto" w:fill="auto"/>
            <w:vAlign w:val="center"/>
            <w:hideMark/>
          </w:tcPr>
          <w:p w14:paraId="0CF45BC8"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Nová závěrečná zkouška</w:t>
            </w:r>
          </w:p>
        </w:tc>
        <w:tc>
          <w:tcPr>
            <w:tcW w:w="2023" w:type="dxa"/>
            <w:shd w:val="clear" w:color="auto" w:fill="auto"/>
            <w:vAlign w:val="center"/>
            <w:hideMark/>
          </w:tcPr>
          <w:p w14:paraId="1571ADCC"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MŠMT</w:t>
            </w:r>
          </w:p>
        </w:tc>
        <w:tc>
          <w:tcPr>
            <w:tcW w:w="1559" w:type="dxa"/>
            <w:shd w:val="clear" w:color="auto" w:fill="auto"/>
            <w:vAlign w:val="center"/>
            <w:hideMark/>
          </w:tcPr>
          <w:p w14:paraId="4525300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68 547 807,00   </w:t>
            </w:r>
          </w:p>
        </w:tc>
      </w:tr>
      <w:tr w:rsidR="00FB2E4F" w:rsidRPr="00471ABF" w14:paraId="1CB05CCC" w14:textId="77777777" w:rsidTr="00471ABF">
        <w:trPr>
          <w:cantSplit/>
          <w:trHeight w:val="283"/>
          <w:jc w:val="center"/>
        </w:trPr>
        <w:tc>
          <w:tcPr>
            <w:tcW w:w="983" w:type="dxa"/>
            <w:shd w:val="clear" w:color="auto" w:fill="auto"/>
            <w:vAlign w:val="center"/>
            <w:hideMark/>
          </w:tcPr>
          <w:p w14:paraId="258EAF2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OP VK</w:t>
            </w:r>
          </w:p>
        </w:tc>
        <w:tc>
          <w:tcPr>
            <w:tcW w:w="2167" w:type="dxa"/>
            <w:shd w:val="clear" w:color="auto" w:fill="auto"/>
            <w:vAlign w:val="center"/>
            <w:hideMark/>
          </w:tcPr>
          <w:p w14:paraId="6DE303C6"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CZ.1.07/4.1.00/06.0017</w:t>
            </w:r>
          </w:p>
        </w:tc>
        <w:tc>
          <w:tcPr>
            <w:tcW w:w="2677" w:type="dxa"/>
            <w:shd w:val="clear" w:color="auto" w:fill="auto"/>
            <w:vAlign w:val="center"/>
            <w:hideMark/>
          </w:tcPr>
          <w:p w14:paraId="3914A623"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Příprava podmínek reformované maturitní zkoušky</w:t>
            </w:r>
          </w:p>
        </w:tc>
        <w:tc>
          <w:tcPr>
            <w:tcW w:w="2023" w:type="dxa"/>
            <w:shd w:val="clear" w:color="auto" w:fill="auto"/>
            <w:vAlign w:val="center"/>
            <w:hideMark/>
          </w:tcPr>
          <w:p w14:paraId="68365312"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MŠMT</w:t>
            </w:r>
          </w:p>
        </w:tc>
        <w:tc>
          <w:tcPr>
            <w:tcW w:w="1559" w:type="dxa"/>
            <w:shd w:val="clear" w:color="auto" w:fill="auto"/>
            <w:vAlign w:val="center"/>
            <w:hideMark/>
          </w:tcPr>
          <w:p w14:paraId="071DC8E3"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381 029 293,00   </w:t>
            </w:r>
          </w:p>
        </w:tc>
      </w:tr>
      <w:tr w:rsidR="00FB2E4F" w:rsidRPr="00471ABF" w14:paraId="79CDB04A" w14:textId="77777777" w:rsidTr="00471ABF">
        <w:trPr>
          <w:cantSplit/>
          <w:trHeight w:val="283"/>
          <w:jc w:val="center"/>
        </w:trPr>
        <w:tc>
          <w:tcPr>
            <w:tcW w:w="983" w:type="dxa"/>
            <w:shd w:val="clear" w:color="auto" w:fill="auto"/>
            <w:vAlign w:val="center"/>
            <w:hideMark/>
          </w:tcPr>
          <w:p w14:paraId="34E4B7A8"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OP VK</w:t>
            </w:r>
          </w:p>
        </w:tc>
        <w:tc>
          <w:tcPr>
            <w:tcW w:w="2167" w:type="dxa"/>
            <w:shd w:val="clear" w:color="auto" w:fill="auto"/>
            <w:vAlign w:val="center"/>
            <w:hideMark/>
          </w:tcPr>
          <w:p w14:paraId="45666EB0"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CZ.1.07/4.1.00/06.0020</w:t>
            </w:r>
          </w:p>
        </w:tc>
        <w:tc>
          <w:tcPr>
            <w:tcW w:w="2677" w:type="dxa"/>
            <w:shd w:val="clear" w:color="auto" w:fill="auto"/>
            <w:vAlign w:val="center"/>
            <w:hideMark/>
          </w:tcPr>
          <w:p w14:paraId="05B13ACB"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Centra podpory inkluzivního vzdělávání</w:t>
            </w:r>
          </w:p>
        </w:tc>
        <w:tc>
          <w:tcPr>
            <w:tcW w:w="2023" w:type="dxa"/>
            <w:shd w:val="clear" w:color="auto" w:fill="auto"/>
            <w:vAlign w:val="center"/>
            <w:hideMark/>
          </w:tcPr>
          <w:p w14:paraId="7B2943F3"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MŠMT</w:t>
            </w:r>
          </w:p>
        </w:tc>
        <w:tc>
          <w:tcPr>
            <w:tcW w:w="1559" w:type="dxa"/>
            <w:shd w:val="clear" w:color="auto" w:fill="auto"/>
            <w:vAlign w:val="center"/>
            <w:hideMark/>
          </w:tcPr>
          <w:p w14:paraId="7920C90B"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133 898 418,00   </w:t>
            </w:r>
          </w:p>
        </w:tc>
      </w:tr>
      <w:tr w:rsidR="00FB2E4F" w:rsidRPr="00471ABF" w14:paraId="420B5501" w14:textId="77777777" w:rsidTr="00471ABF">
        <w:trPr>
          <w:cantSplit/>
          <w:trHeight w:val="283"/>
          <w:jc w:val="center"/>
        </w:trPr>
        <w:tc>
          <w:tcPr>
            <w:tcW w:w="983" w:type="dxa"/>
            <w:shd w:val="clear" w:color="auto" w:fill="auto"/>
            <w:vAlign w:val="center"/>
            <w:hideMark/>
          </w:tcPr>
          <w:p w14:paraId="62F10C7A"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OP VK</w:t>
            </w:r>
          </w:p>
        </w:tc>
        <w:tc>
          <w:tcPr>
            <w:tcW w:w="2167" w:type="dxa"/>
            <w:shd w:val="clear" w:color="auto" w:fill="auto"/>
            <w:vAlign w:val="center"/>
            <w:hideMark/>
          </w:tcPr>
          <w:p w14:paraId="54789F6D"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CZ.1.07/4.2.00/06.0003</w:t>
            </w:r>
          </w:p>
        </w:tc>
        <w:tc>
          <w:tcPr>
            <w:tcW w:w="2677" w:type="dxa"/>
            <w:shd w:val="clear" w:color="auto" w:fill="auto"/>
            <w:vAlign w:val="center"/>
            <w:hideMark/>
          </w:tcPr>
          <w:p w14:paraId="32890326"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Reforma terciárního vzdělávání</w:t>
            </w:r>
          </w:p>
        </w:tc>
        <w:tc>
          <w:tcPr>
            <w:tcW w:w="2023" w:type="dxa"/>
            <w:shd w:val="clear" w:color="auto" w:fill="auto"/>
            <w:vAlign w:val="center"/>
            <w:hideMark/>
          </w:tcPr>
          <w:p w14:paraId="4D4A8785"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MŠMT</w:t>
            </w:r>
          </w:p>
        </w:tc>
        <w:tc>
          <w:tcPr>
            <w:tcW w:w="1559" w:type="dxa"/>
            <w:shd w:val="clear" w:color="auto" w:fill="auto"/>
            <w:vAlign w:val="center"/>
            <w:hideMark/>
          </w:tcPr>
          <w:p w14:paraId="3F3DD46E"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48 693 789,00   </w:t>
            </w:r>
          </w:p>
        </w:tc>
      </w:tr>
      <w:tr w:rsidR="00FB2E4F" w:rsidRPr="00471ABF" w14:paraId="17EE1F99" w14:textId="77777777" w:rsidTr="00471ABF">
        <w:trPr>
          <w:cantSplit/>
          <w:trHeight w:val="283"/>
          <w:jc w:val="center"/>
        </w:trPr>
        <w:tc>
          <w:tcPr>
            <w:tcW w:w="983" w:type="dxa"/>
            <w:shd w:val="clear" w:color="auto" w:fill="auto"/>
            <w:vAlign w:val="center"/>
            <w:hideMark/>
          </w:tcPr>
          <w:p w14:paraId="47C8E76C" w14:textId="77777777" w:rsidR="00FB2E4F" w:rsidRPr="00471ABF" w:rsidRDefault="00FB2E4F" w:rsidP="002F0CFD">
            <w:pPr>
              <w:spacing w:before="20" w:after="20"/>
              <w:jc w:val="center"/>
              <w:rPr>
                <w:rFonts w:ascii="Calibri" w:hAnsi="Calibri" w:cs="Calibri"/>
                <w:color w:val="000000"/>
                <w:sz w:val="20"/>
                <w:szCs w:val="20"/>
              </w:rPr>
            </w:pPr>
            <w:r w:rsidRPr="00471ABF">
              <w:rPr>
                <w:rFonts w:ascii="Calibri" w:hAnsi="Calibri" w:cs="Calibri"/>
                <w:color w:val="000000"/>
                <w:sz w:val="20"/>
                <w:szCs w:val="20"/>
              </w:rPr>
              <w:t>OP VK</w:t>
            </w:r>
          </w:p>
        </w:tc>
        <w:tc>
          <w:tcPr>
            <w:tcW w:w="2167" w:type="dxa"/>
            <w:shd w:val="clear" w:color="auto" w:fill="auto"/>
            <w:vAlign w:val="center"/>
            <w:hideMark/>
          </w:tcPr>
          <w:p w14:paraId="0162EED5" w14:textId="77777777" w:rsidR="00FB2E4F" w:rsidRPr="00471ABF" w:rsidRDefault="00FB2E4F" w:rsidP="00471ABF">
            <w:pPr>
              <w:spacing w:before="20" w:after="20"/>
              <w:jc w:val="center"/>
              <w:rPr>
                <w:rFonts w:ascii="Calibri" w:hAnsi="Calibri" w:cs="Calibri"/>
                <w:color w:val="000000"/>
                <w:sz w:val="20"/>
                <w:szCs w:val="20"/>
              </w:rPr>
            </w:pPr>
            <w:r w:rsidRPr="00471ABF">
              <w:rPr>
                <w:rFonts w:ascii="Calibri" w:hAnsi="Calibri" w:cs="Calibri"/>
                <w:color w:val="000000"/>
                <w:sz w:val="20"/>
                <w:szCs w:val="20"/>
              </w:rPr>
              <w:t>CZ.1.07/4.2.00/06.0006</w:t>
            </w:r>
          </w:p>
        </w:tc>
        <w:tc>
          <w:tcPr>
            <w:tcW w:w="2677" w:type="dxa"/>
            <w:shd w:val="clear" w:color="auto" w:fill="auto"/>
            <w:vAlign w:val="center"/>
            <w:hideMark/>
          </w:tcPr>
          <w:p w14:paraId="4B7117A0" w14:textId="44BC1096"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 xml:space="preserve">Mezinárodní audit výzkumu, vývoje a inovací </w:t>
            </w:r>
            <w:r w:rsidR="007B2BF7" w:rsidRPr="00471ABF">
              <w:rPr>
                <w:rFonts w:ascii="Calibri" w:hAnsi="Calibri" w:cs="Calibri"/>
                <w:color w:val="000000"/>
                <w:sz w:val="20"/>
                <w:szCs w:val="20"/>
              </w:rPr>
              <w:t>v </w:t>
            </w:r>
            <w:r w:rsidR="00A77409" w:rsidRPr="00471ABF">
              <w:rPr>
                <w:rFonts w:ascii="Calibri" w:hAnsi="Calibri" w:cs="Calibri"/>
                <w:color w:val="000000"/>
                <w:sz w:val="20"/>
                <w:szCs w:val="20"/>
              </w:rPr>
              <w:t>ČR a </w:t>
            </w:r>
            <w:r w:rsidRPr="00471ABF">
              <w:rPr>
                <w:rFonts w:ascii="Calibri" w:hAnsi="Calibri" w:cs="Calibri"/>
                <w:color w:val="000000"/>
                <w:sz w:val="20"/>
                <w:szCs w:val="20"/>
              </w:rPr>
              <w:t>implementace jeho výsledků do strategických dokumentů</w:t>
            </w:r>
          </w:p>
        </w:tc>
        <w:tc>
          <w:tcPr>
            <w:tcW w:w="2023" w:type="dxa"/>
            <w:shd w:val="clear" w:color="auto" w:fill="auto"/>
            <w:vAlign w:val="center"/>
            <w:hideMark/>
          </w:tcPr>
          <w:p w14:paraId="4CA44272" w14:textId="77777777" w:rsidR="00FB2E4F" w:rsidRPr="00471ABF" w:rsidRDefault="00FB2E4F" w:rsidP="002F0CFD">
            <w:pPr>
              <w:spacing w:before="20" w:after="20"/>
              <w:rPr>
                <w:rFonts w:ascii="Calibri" w:hAnsi="Calibri" w:cs="Calibri"/>
                <w:color w:val="000000"/>
                <w:sz w:val="20"/>
                <w:szCs w:val="20"/>
              </w:rPr>
            </w:pPr>
            <w:r w:rsidRPr="00471ABF">
              <w:rPr>
                <w:rFonts w:ascii="Calibri" w:hAnsi="Calibri" w:cs="Calibri"/>
                <w:color w:val="000000"/>
                <w:sz w:val="20"/>
                <w:szCs w:val="20"/>
              </w:rPr>
              <w:t>MŠMT</w:t>
            </w:r>
          </w:p>
        </w:tc>
        <w:tc>
          <w:tcPr>
            <w:tcW w:w="1559" w:type="dxa"/>
            <w:shd w:val="clear" w:color="auto" w:fill="auto"/>
            <w:vAlign w:val="center"/>
            <w:hideMark/>
          </w:tcPr>
          <w:p w14:paraId="5495F53E" w14:textId="77777777" w:rsidR="00FB2E4F" w:rsidRPr="00471ABF" w:rsidRDefault="00FB2E4F" w:rsidP="002F0CFD">
            <w:pPr>
              <w:spacing w:before="20" w:after="20"/>
              <w:jc w:val="right"/>
              <w:rPr>
                <w:rFonts w:ascii="Calibri" w:hAnsi="Calibri" w:cs="Calibri"/>
                <w:color w:val="000000"/>
                <w:sz w:val="20"/>
                <w:szCs w:val="20"/>
              </w:rPr>
            </w:pPr>
            <w:r w:rsidRPr="00471ABF">
              <w:rPr>
                <w:rFonts w:ascii="Calibri" w:hAnsi="Calibri" w:cs="Calibri"/>
                <w:color w:val="000000"/>
                <w:sz w:val="20"/>
                <w:szCs w:val="20"/>
              </w:rPr>
              <w:t xml:space="preserve">61 447 660,00   </w:t>
            </w:r>
          </w:p>
        </w:tc>
      </w:tr>
      <w:tr w:rsidR="00FB2E4F" w:rsidRPr="00471ABF" w14:paraId="04B77ECF" w14:textId="77777777" w:rsidTr="00471ABF">
        <w:trPr>
          <w:cantSplit/>
          <w:trHeight w:val="283"/>
          <w:jc w:val="center"/>
        </w:trPr>
        <w:tc>
          <w:tcPr>
            <w:tcW w:w="7850" w:type="dxa"/>
            <w:gridSpan w:val="4"/>
            <w:shd w:val="clear" w:color="auto" w:fill="auto"/>
            <w:vAlign w:val="center"/>
          </w:tcPr>
          <w:p w14:paraId="253EDC6B" w14:textId="77777777" w:rsidR="00FB2E4F" w:rsidRPr="00471ABF" w:rsidRDefault="00FB2E4F" w:rsidP="00471ABF">
            <w:pPr>
              <w:spacing w:before="20" w:after="20"/>
              <w:jc w:val="center"/>
              <w:rPr>
                <w:rFonts w:ascii="Calibri" w:hAnsi="Calibri" w:cs="Calibri"/>
                <w:b/>
                <w:color w:val="000000"/>
                <w:sz w:val="20"/>
                <w:szCs w:val="20"/>
              </w:rPr>
            </w:pPr>
            <w:r w:rsidRPr="00471ABF">
              <w:rPr>
                <w:rFonts w:ascii="Calibri" w:hAnsi="Calibri" w:cs="Calibri"/>
                <w:b/>
                <w:color w:val="000000"/>
                <w:sz w:val="20"/>
                <w:szCs w:val="20"/>
              </w:rPr>
              <w:t>CELKEM</w:t>
            </w:r>
          </w:p>
        </w:tc>
        <w:tc>
          <w:tcPr>
            <w:tcW w:w="1559" w:type="dxa"/>
            <w:shd w:val="clear" w:color="auto" w:fill="auto"/>
            <w:vAlign w:val="center"/>
          </w:tcPr>
          <w:p w14:paraId="779AB24F" w14:textId="716C00B8" w:rsidR="00FB2E4F" w:rsidRPr="00471ABF" w:rsidRDefault="005C525C" w:rsidP="00235707">
            <w:pPr>
              <w:spacing w:before="20" w:after="20"/>
              <w:jc w:val="right"/>
              <w:rPr>
                <w:rFonts w:ascii="Calibri" w:hAnsi="Calibri" w:cs="Calibri"/>
                <w:b/>
                <w:color w:val="000000"/>
                <w:sz w:val="20"/>
                <w:szCs w:val="20"/>
              </w:rPr>
            </w:pPr>
            <w:r w:rsidRPr="00471ABF">
              <w:rPr>
                <w:rFonts w:ascii="Calibri" w:hAnsi="Calibri" w:cs="Calibri"/>
                <w:b/>
                <w:color w:val="000000"/>
                <w:sz w:val="20"/>
                <w:szCs w:val="20"/>
              </w:rPr>
              <w:t>9 3</w:t>
            </w:r>
            <w:r w:rsidR="00235707" w:rsidRPr="00471ABF">
              <w:rPr>
                <w:rFonts w:ascii="Calibri" w:hAnsi="Calibri" w:cs="Calibri"/>
                <w:b/>
                <w:color w:val="000000"/>
                <w:sz w:val="20"/>
                <w:szCs w:val="20"/>
              </w:rPr>
              <w:t>1</w:t>
            </w:r>
            <w:r w:rsidRPr="00471ABF">
              <w:rPr>
                <w:rFonts w:ascii="Calibri" w:hAnsi="Calibri" w:cs="Calibri"/>
                <w:b/>
                <w:color w:val="000000"/>
                <w:sz w:val="20"/>
                <w:szCs w:val="20"/>
              </w:rPr>
              <w:t xml:space="preserve">2 </w:t>
            </w:r>
            <w:r w:rsidR="00235707" w:rsidRPr="00471ABF">
              <w:rPr>
                <w:rFonts w:ascii="Calibri" w:hAnsi="Calibri" w:cs="Calibri"/>
                <w:b/>
                <w:color w:val="000000"/>
                <w:sz w:val="20"/>
                <w:szCs w:val="20"/>
              </w:rPr>
              <w:t>292</w:t>
            </w:r>
            <w:r w:rsidRPr="00471ABF">
              <w:rPr>
                <w:rFonts w:ascii="Calibri" w:hAnsi="Calibri" w:cs="Calibri"/>
                <w:b/>
                <w:color w:val="000000"/>
                <w:sz w:val="20"/>
                <w:szCs w:val="20"/>
              </w:rPr>
              <w:t xml:space="preserve"> </w:t>
            </w:r>
            <w:r w:rsidR="00235707" w:rsidRPr="00471ABF">
              <w:rPr>
                <w:rFonts w:ascii="Calibri" w:hAnsi="Calibri" w:cs="Calibri"/>
                <w:b/>
                <w:color w:val="000000"/>
                <w:sz w:val="20"/>
                <w:szCs w:val="20"/>
              </w:rPr>
              <w:t>161</w:t>
            </w:r>
            <w:r w:rsidRPr="00471ABF">
              <w:rPr>
                <w:rFonts w:ascii="Calibri" w:hAnsi="Calibri" w:cs="Calibri"/>
                <w:b/>
                <w:color w:val="000000"/>
                <w:sz w:val="20"/>
                <w:szCs w:val="20"/>
              </w:rPr>
              <w:t>,</w:t>
            </w:r>
            <w:r w:rsidR="00235707" w:rsidRPr="00471ABF">
              <w:rPr>
                <w:rFonts w:ascii="Calibri" w:hAnsi="Calibri" w:cs="Calibri"/>
                <w:b/>
                <w:color w:val="000000"/>
                <w:sz w:val="20"/>
                <w:szCs w:val="20"/>
              </w:rPr>
              <w:t>47</w:t>
            </w:r>
          </w:p>
        </w:tc>
      </w:tr>
    </w:tbl>
    <w:p w14:paraId="0E88734A" w14:textId="77777777" w:rsidR="00FB2E4F" w:rsidRDefault="00FB2E4F" w:rsidP="00FB2E4F">
      <w:pPr>
        <w:contextualSpacing/>
        <w:jc w:val="both"/>
        <w:rPr>
          <w:rFonts w:asciiTheme="minorHAnsi" w:eastAsiaTheme="minorHAnsi" w:hAnsiTheme="minorHAnsi" w:cstheme="minorBidi"/>
          <w:u w:val="single"/>
        </w:rPr>
        <w:sectPr w:rsidR="00FB2E4F" w:rsidSect="00D34DCA">
          <w:footerReference w:type="default" r:id="rId10"/>
          <w:pgSz w:w="11906" w:h="16838"/>
          <w:pgMar w:top="1417" w:right="1417" w:bottom="1417" w:left="1417" w:header="709" w:footer="709" w:gutter="0"/>
          <w:cols w:space="708"/>
          <w:titlePg/>
          <w:docGrid w:linePitch="360"/>
        </w:sectPr>
      </w:pPr>
    </w:p>
    <w:p w14:paraId="6BE9DBFD" w14:textId="47954EAD" w:rsidR="00690881" w:rsidRDefault="00CE7452" w:rsidP="00690881">
      <w:pPr>
        <w:spacing w:after="40"/>
        <w:jc w:val="right"/>
        <w:rPr>
          <w:rFonts w:asciiTheme="minorHAnsi" w:hAnsiTheme="minorHAnsi" w:cstheme="minorHAnsi"/>
          <w:b/>
        </w:rPr>
      </w:pPr>
      <w:r w:rsidRPr="00295827">
        <w:rPr>
          <w:rFonts w:asciiTheme="minorHAnsi" w:hAnsiTheme="minorHAnsi" w:cstheme="minorHAnsi"/>
          <w:b/>
        </w:rPr>
        <w:lastRenderedPageBreak/>
        <w:t>Příloha č. 2</w:t>
      </w:r>
    </w:p>
    <w:p w14:paraId="23BB982E" w14:textId="05A96C87" w:rsidR="00CE7452" w:rsidRPr="00295827" w:rsidRDefault="00CE7452" w:rsidP="00295827">
      <w:pPr>
        <w:spacing w:after="40"/>
        <w:jc w:val="both"/>
        <w:rPr>
          <w:rFonts w:asciiTheme="minorHAnsi" w:hAnsiTheme="minorHAnsi" w:cstheme="minorHAnsi"/>
          <w:b/>
        </w:rPr>
      </w:pPr>
      <w:r w:rsidRPr="00295827">
        <w:rPr>
          <w:rFonts w:asciiTheme="minorHAnsi" w:hAnsiTheme="minorHAnsi" w:cstheme="minorHAnsi"/>
          <w:b/>
        </w:rPr>
        <w:t>Přehled zjištěných nedostatků s možným finančním dopadem</w:t>
      </w:r>
    </w:p>
    <w:tbl>
      <w:tblPr>
        <w:tblW w:w="14050" w:type="dxa"/>
        <w:tblInd w:w="55" w:type="dxa"/>
        <w:tblCellMar>
          <w:left w:w="70" w:type="dxa"/>
          <w:right w:w="70" w:type="dxa"/>
        </w:tblCellMar>
        <w:tblLook w:val="04A0" w:firstRow="1" w:lastRow="0" w:firstColumn="1" w:lastColumn="0" w:noHBand="0" w:noVBand="1"/>
      </w:tblPr>
      <w:tblGrid>
        <w:gridCol w:w="1008"/>
        <w:gridCol w:w="2240"/>
        <w:gridCol w:w="2722"/>
        <w:gridCol w:w="1911"/>
        <w:gridCol w:w="1417"/>
        <w:gridCol w:w="2625"/>
        <w:gridCol w:w="2127"/>
      </w:tblGrid>
      <w:tr w:rsidR="00CE7452" w:rsidRPr="008D4C80" w14:paraId="7FA87EE2" w14:textId="77777777" w:rsidTr="00F2519F">
        <w:trPr>
          <w:trHeight w:val="283"/>
        </w:trPr>
        <w:tc>
          <w:tcPr>
            <w:tcW w:w="10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C9DC53" w14:textId="77777777" w:rsidR="00CE7452" w:rsidRPr="008D4C80" w:rsidRDefault="00CE7452" w:rsidP="007B2BF7">
            <w:pPr>
              <w:ind w:left="-55" w:right="-42"/>
              <w:jc w:val="center"/>
              <w:rPr>
                <w:rFonts w:ascii="Calibri" w:hAnsi="Calibri" w:cs="Calibri"/>
                <w:b/>
                <w:bCs/>
                <w:color w:val="000000"/>
                <w:sz w:val="20"/>
                <w:szCs w:val="20"/>
              </w:rPr>
            </w:pPr>
            <w:r w:rsidRPr="008D4C80">
              <w:rPr>
                <w:rFonts w:ascii="Calibri" w:hAnsi="Calibri" w:cs="Calibri"/>
                <w:b/>
                <w:bCs/>
                <w:color w:val="000000"/>
                <w:sz w:val="20"/>
                <w:szCs w:val="20"/>
              </w:rPr>
              <w:t>Operační program</w:t>
            </w:r>
          </w:p>
        </w:tc>
        <w:tc>
          <w:tcPr>
            <w:tcW w:w="2240" w:type="dxa"/>
            <w:tcBorders>
              <w:top w:val="single" w:sz="4" w:space="0" w:color="auto"/>
              <w:left w:val="nil"/>
              <w:bottom w:val="single" w:sz="4" w:space="0" w:color="auto"/>
              <w:right w:val="single" w:sz="4" w:space="0" w:color="auto"/>
            </w:tcBorders>
            <w:shd w:val="clear" w:color="000000" w:fill="F2F2F2"/>
            <w:vAlign w:val="center"/>
            <w:hideMark/>
          </w:tcPr>
          <w:p w14:paraId="51163E28" w14:textId="77777777" w:rsidR="00CE7452" w:rsidRPr="008D4C80" w:rsidRDefault="00CE7452" w:rsidP="003D75E4">
            <w:pPr>
              <w:jc w:val="center"/>
              <w:rPr>
                <w:rFonts w:ascii="Calibri" w:hAnsi="Calibri" w:cs="Calibri"/>
                <w:b/>
                <w:bCs/>
                <w:color w:val="000000"/>
                <w:sz w:val="20"/>
                <w:szCs w:val="20"/>
              </w:rPr>
            </w:pPr>
            <w:r w:rsidRPr="008D4C80">
              <w:rPr>
                <w:rFonts w:ascii="Calibri" w:hAnsi="Calibri" w:cs="Calibri"/>
                <w:b/>
                <w:bCs/>
                <w:color w:val="000000"/>
                <w:sz w:val="20"/>
                <w:szCs w:val="20"/>
              </w:rPr>
              <w:t>Registrační číslo</w:t>
            </w:r>
          </w:p>
        </w:tc>
        <w:tc>
          <w:tcPr>
            <w:tcW w:w="2722" w:type="dxa"/>
            <w:tcBorders>
              <w:top w:val="single" w:sz="4" w:space="0" w:color="auto"/>
              <w:left w:val="nil"/>
              <w:bottom w:val="single" w:sz="4" w:space="0" w:color="auto"/>
              <w:right w:val="single" w:sz="4" w:space="0" w:color="auto"/>
            </w:tcBorders>
            <w:shd w:val="clear" w:color="000000" w:fill="F2F2F2"/>
            <w:vAlign w:val="center"/>
            <w:hideMark/>
          </w:tcPr>
          <w:p w14:paraId="5D5B74D9" w14:textId="77777777" w:rsidR="00CE7452" w:rsidRPr="008D4C80" w:rsidRDefault="00CE7452" w:rsidP="003D75E4">
            <w:pPr>
              <w:jc w:val="center"/>
              <w:rPr>
                <w:rFonts w:ascii="Calibri" w:hAnsi="Calibri" w:cs="Calibri"/>
                <w:b/>
                <w:bCs/>
                <w:color w:val="000000"/>
                <w:sz w:val="20"/>
                <w:szCs w:val="20"/>
              </w:rPr>
            </w:pPr>
            <w:r w:rsidRPr="008D4C80">
              <w:rPr>
                <w:rFonts w:ascii="Calibri" w:hAnsi="Calibri" w:cs="Calibri"/>
                <w:b/>
                <w:bCs/>
                <w:color w:val="000000"/>
                <w:sz w:val="20"/>
                <w:szCs w:val="20"/>
              </w:rPr>
              <w:t>Název projektu</w:t>
            </w:r>
          </w:p>
        </w:tc>
        <w:tc>
          <w:tcPr>
            <w:tcW w:w="1911" w:type="dxa"/>
            <w:tcBorders>
              <w:top w:val="single" w:sz="4" w:space="0" w:color="auto"/>
              <w:left w:val="nil"/>
              <w:bottom w:val="single" w:sz="4" w:space="0" w:color="auto"/>
              <w:right w:val="single" w:sz="4" w:space="0" w:color="auto"/>
            </w:tcBorders>
            <w:shd w:val="clear" w:color="000000" w:fill="F2F2F2"/>
            <w:vAlign w:val="center"/>
            <w:hideMark/>
          </w:tcPr>
          <w:p w14:paraId="189E8D63" w14:textId="77777777" w:rsidR="00CE7452" w:rsidRPr="008D4C80" w:rsidRDefault="00CE7452" w:rsidP="003D75E4">
            <w:pPr>
              <w:jc w:val="center"/>
              <w:rPr>
                <w:rFonts w:ascii="Calibri" w:hAnsi="Calibri" w:cs="Calibri"/>
                <w:b/>
                <w:bCs/>
                <w:color w:val="000000"/>
                <w:sz w:val="20"/>
                <w:szCs w:val="20"/>
              </w:rPr>
            </w:pPr>
            <w:r w:rsidRPr="008D4C80">
              <w:rPr>
                <w:rFonts w:ascii="Calibri" w:hAnsi="Calibri" w:cs="Calibri"/>
                <w:b/>
                <w:bCs/>
                <w:color w:val="000000"/>
                <w:sz w:val="20"/>
                <w:szCs w:val="20"/>
              </w:rPr>
              <w:t>Příjemce</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15A2DFAA" w14:textId="77777777" w:rsidR="00CE7452" w:rsidRPr="008D4C80" w:rsidRDefault="00CE7452" w:rsidP="003D75E4">
            <w:pPr>
              <w:rPr>
                <w:rFonts w:ascii="Calibri" w:hAnsi="Calibri" w:cs="Calibri"/>
                <w:b/>
                <w:bCs/>
                <w:color w:val="000000"/>
                <w:sz w:val="20"/>
                <w:szCs w:val="20"/>
              </w:rPr>
            </w:pPr>
            <w:r>
              <w:rPr>
                <w:rFonts w:ascii="Calibri" w:hAnsi="Calibri" w:cs="Calibri"/>
                <w:b/>
                <w:bCs/>
                <w:color w:val="000000"/>
                <w:sz w:val="20"/>
                <w:szCs w:val="20"/>
              </w:rPr>
              <w:t>Vyplacená dotace (v Kč)</w:t>
            </w:r>
          </w:p>
        </w:tc>
        <w:tc>
          <w:tcPr>
            <w:tcW w:w="2625" w:type="dxa"/>
            <w:tcBorders>
              <w:top w:val="single" w:sz="4" w:space="0" w:color="auto"/>
              <w:left w:val="nil"/>
              <w:bottom w:val="single" w:sz="4" w:space="0" w:color="auto"/>
              <w:right w:val="single" w:sz="4" w:space="0" w:color="auto"/>
            </w:tcBorders>
            <w:shd w:val="clear" w:color="000000" w:fill="F2F2F2"/>
            <w:vAlign w:val="center"/>
          </w:tcPr>
          <w:p w14:paraId="246B484A" w14:textId="77777777" w:rsidR="00CE7452" w:rsidRPr="008D4C80" w:rsidRDefault="00CE7452" w:rsidP="003D75E4">
            <w:pPr>
              <w:jc w:val="center"/>
              <w:rPr>
                <w:rFonts w:ascii="Calibri" w:hAnsi="Calibri" w:cs="Calibri"/>
                <w:b/>
                <w:bCs/>
                <w:color w:val="000000"/>
                <w:sz w:val="20"/>
                <w:szCs w:val="20"/>
              </w:rPr>
            </w:pPr>
            <w:r>
              <w:rPr>
                <w:rFonts w:ascii="Calibri" w:hAnsi="Calibri" w:cs="Calibri"/>
                <w:b/>
                <w:bCs/>
                <w:color w:val="000000"/>
                <w:sz w:val="20"/>
                <w:szCs w:val="20"/>
              </w:rPr>
              <w:t>Zjištění NKÚ</w:t>
            </w:r>
          </w:p>
        </w:tc>
        <w:tc>
          <w:tcPr>
            <w:tcW w:w="2127" w:type="dxa"/>
            <w:tcBorders>
              <w:top w:val="single" w:sz="4" w:space="0" w:color="auto"/>
              <w:left w:val="nil"/>
              <w:bottom w:val="single" w:sz="4" w:space="0" w:color="auto"/>
              <w:right w:val="single" w:sz="4" w:space="0" w:color="auto"/>
            </w:tcBorders>
            <w:shd w:val="clear" w:color="000000" w:fill="F2F2F2"/>
            <w:vAlign w:val="center"/>
          </w:tcPr>
          <w:p w14:paraId="42C0F5F5" w14:textId="266D1EDB" w:rsidR="00CE7452" w:rsidRPr="008D4C80" w:rsidRDefault="00CE7452" w:rsidP="003D75E4">
            <w:pPr>
              <w:jc w:val="center"/>
              <w:rPr>
                <w:rFonts w:ascii="Calibri" w:hAnsi="Calibri" w:cs="Calibri"/>
                <w:b/>
                <w:bCs/>
                <w:color w:val="000000"/>
                <w:sz w:val="20"/>
                <w:szCs w:val="20"/>
              </w:rPr>
            </w:pPr>
            <w:r>
              <w:rPr>
                <w:rFonts w:ascii="Calibri" w:hAnsi="Calibri" w:cs="Calibri"/>
                <w:b/>
                <w:bCs/>
                <w:color w:val="000000"/>
                <w:sz w:val="20"/>
                <w:szCs w:val="20"/>
              </w:rPr>
              <w:t>Sa</w:t>
            </w:r>
            <w:r w:rsidR="007B2BF7">
              <w:rPr>
                <w:rFonts w:ascii="Calibri" w:hAnsi="Calibri" w:cs="Calibri"/>
                <w:b/>
                <w:bCs/>
                <w:color w:val="000000"/>
                <w:sz w:val="20"/>
                <w:szCs w:val="20"/>
              </w:rPr>
              <w:t>nkce stanovená v právním aktu o </w:t>
            </w:r>
            <w:r>
              <w:rPr>
                <w:rFonts w:ascii="Calibri" w:hAnsi="Calibri" w:cs="Calibri"/>
                <w:b/>
                <w:bCs/>
                <w:color w:val="000000"/>
                <w:sz w:val="20"/>
                <w:szCs w:val="20"/>
              </w:rPr>
              <w:t>poskytnutí dotace</w:t>
            </w:r>
          </w:p>
        </w:tc>
      </w:tr>
      <w:tr w:rsidR="00CE7452" w:rsidRPr="008D4C80" w14:paraId="6C270F5E" w14:textId="77777777" w:rsidTr="00F2519F">
        <w:trPr>
          <w:trHeight w:val="283"/>
        </w:trPr>
        <w:tc>
          <w:tcPr>
            <w:tcW w:w="1008" w:type="dxa"/>
            <w:vMerge w:val="restart"/>
            <w:tcBorders>
              <w:top w:val="nil"/>
              <w:left w:val="single" w:sz="4" w:space="0" w:color="auto"/>
              <w:right w:val="single" w:sz="4" w:space="0" w:color="auto"/>
            </w:tcBorders>
            <w:shd w:val="clear" w:color="auto" w:fill="auto"/>
            <w:vAlign w:val="center"/>
            <w:hideMark/>
          </w:tcPr>
          <w:p w14:paraId="7E189DDB"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vMerge w:val="restart"/>
            <w:tcBorders>
              <w:top w:val="nil"/>
              <w:left w:val="nil"/>
              <w:right w:val="single" w:sz="4" w:space="0" w:color="auto"/>
            </w:tcBorders>
            <w:shd w:val="clear" w:color="auto" w:fill="auto"/>
            <w:vAlign w:val="center"/>
            <w:hideMark/>
          </w:tcPr>
          <w:p w14:paraId="116CE135"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CZ.1.06/5.2.00/07.07682</w:t>
            </w:r>
          </w:p>
        </w:tc>
        <w:tc>
          <w:tcPr>
            <w:tcW w:w="2722" w:type="dxa"/>
            <w:vMerge w:val="restart"/>
            <w:tcBorders>
              <w:top w:val="nil"/>
              <w:left w:val="nil"/>
              <w:right w:val="single" w:sz="4" w:space="0" w:color="auto"/>
            </w:tcBorders>
            <w:shd w:val="clear" w:color="auto" w:fill="auto"/>
            <w:vAlign w:val="center"/>
            <w:hideMark/>
          </w:tcPr>
          <w:p w14:paraId="19087178" w14:textId="45F82142" w:rsidR="00CE7452" w:rsidRPr="008D4C80" w:rsidRDefault="00CE7452" w:rsidP="00690881">
            <w:pPr>
              <w:rPr>
                <w:rFonts w:ascii="Calibri" w:hAnsi="Calibri" w:cs="Calibri"/>
                <w:color w:val="000000"/>
                <w:sz w:val="20"/>
                <w:szCs w:val="20"/>
              </w:rPr>
            </w:pPr>
            <w:r w:rsidRPr="008D4C80">
              <w:rPr>
                <w:rFonts w:ascii="Calibri" w:hAnsi="Calibri" w:cs="Calibri"/>
                <w:color w:val="000000"/>
                <w:sz w:val="20"/>
                <w:szCs w:val="20"/>
              </w:rPr>
              <w:t xml:space="preserve">Regenerace sídliště Máj </w:t>
            </w:r>
            <w:r w:rsidR="00690881">
              <w:rPr>
                <w:rFonts w:ascii="Calibri" w:hAnsi="Calibri" w:cs="Calibri"/>
                <w:color w:val="000000"/>
                <w:sz w:val="20"/>
                <w:szCs w:val="20"/>
              </w:rPr>
              <w:t>–</w:t>
            </w:r>
            <w:r w:rsidRPr="008D4C80">
              <w:rPr>
                <w:rFonts w:ascii="Calibri" w:hAnsi="Calibri" w:cs="Calibri"/>
                <w:color w:val="000000"/>
                <w:sz w:val="20"/>
                <w:szCs w:val="20"/>
              </w:rPr>
              <w:t xml:space="preserve"> úsek 04 </w:t>
            </w:r>
            <w:r w:rsidR="00690881">
              <w:rPr>
                <w:rFonts w:ascii="Calibri" w:hAnsi="Calibri" w:cs="Calibri"/>
                <w:color w:val="000000"/>
                <w:sz w:val="20"/>
                <w:szCs w:val="20"/>
              </w:rPr>
              <w:t xml:space="preserve">– </w:t>
            </w:r>
            <w:r w:rsidRPr="008D4C80">
              <w:rPr>
                <w:rFonts w:ascii="Calibri" w:hAnsi="Calibri" w:cs="Calibri"/>
                <w:color w:val="000000"/>
                <w:sz w:val="20"/>
                <w:szCs w:val="20"/>
              </w:rPr>
              <w:t>západ</w:t>
            </w:r>
          </w:p>
        </w:tc>
        <w:tc>
          <w:tcPr>
            <w:tcW w:w="1911" w:type="dxa"/>
            <w:vMerge w:val="restart"/>
            <w:tcBorders>
              <w:top w:val="nil"/>
              <w:left w:val="nil"/>
              <w:right w:val="single" w:sz="4" w:space="0" w:color="auto"/>
            </w:tcBorders>
            <w:shd w:val="clear" w:color="auto" w:fill="auto"/>
            <w:vAlign w:val="center"/>
            <w:hideMark/>
          </w:tcPr>
          <w:p w14:paraId="73F5B972"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Statutární město České Budějovice</w:t>
            </w:r>
          </w:p>
        </w:tc>
        <w:tc>
          <w:tcPr>
            <w:tcW w:w="1417" w:type="dxa"/>
            <w:vMerge w:val="restart"/>
            <w:tcBorders>
              <w:top w:val="single" w:sz="4" w:space="0" w:color="auto"/>
              <w:left w:val="nil"/>
              <w:right w:val="single" w:sz="4" w:space="0" w:color="auto"/>
            </w:tcBorders>
            <w:shd w:val="clear" w:color="auto" w:fill="auto"/>
            <w:vAlign w:val="center"/>
            <w:hideMark/>
          </w:tcPr>
          <w:p w14:paraId="34D834BD"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30 137 484,00   </w:t>
            </w:r>
          </w:p>
        </w:tc>
        <w:tc>
          <w:tcPr>
            <w:tcW w:w="2625" w:type="dxa"/>
            <w:tcBorders>
              <w:top w:val="single" w:sz="4" w:space="0" w:color="auto"/>
              <w:left w:val="nil"/>
              <w:bottom w:val="single" w:sz="4" w:space="0" w:color="auto"/>
              <w:right w:val="single" w:sz="4" w:space="0" w:color="auto"/>
            </w:tcBorders>
            <w:vAlign w:val="center"/>
          </w:tcPr>
          <w:p w14:paraId="656C06E8" w14:textId="77777777" w:rsidR="00CE7452" w:rsidRPr="008D4C80" w:rsidRDefault="00CE7452" w:rsidP="003D75E4">
            <w:pPr>
              <w:rPr>
                <w:rFonts w:ascii="Calibri" w:hAnsi="Calibri" w:cs="Calibri"/>
                <w:color w:val="000000"/>
                <w:sz w:val="20"/>
                <w:szCs w:val="20"/>
              </w:rPr>
            </w:pPr>
            <w:r w:rsidRPr="00C649AF">
              <w:rPr>
                <w:rFonts w:ascii="Calibri" w:hAnsi="Calibri" w:cs="Calibri"/>
                <w:color w:val="000000"/>
                <w:sz w:val="20"/>
                <w:szCs w:val="20"/>
              </w:rPr>
              <w:t>Nesplnění</w:t>
            </w:r>
            <w:r>
              <w:rPr>
                <w:rFonts w:ascii="Calibri" w:hAnsi="Calibri" w:cs="Calibri"/>
                <w:color w:val="000000"/>
                <w:sz w:val="20"/>
                <w:szCs w:val="20"/>
              </w:rPr>
              <w:t xml:space="preserve"> oznamovací povinnosti</w:t>
            </w:r>
          </w:p>
        </w:tc>
        <w:tc>
          <w:tcPr>
            <w:tcW w:w="2127" w:type="dxa"/>
            <w:tcBorders>
              <w:top w:val="single" w:sz="4" w:space="0" w:color="auto"/>
              <w:left w:val="nil"/>
              <w:bottom w:val="single" w:sz="4" w:space="0" w:color="auto"/>
              <w:right w:val="single" w:sz="4" w:space="0" w:color="auto"/>
            </w:tcBorders>
            <w:vAlign w:val="center"/>
          </w:tcPr>
          <w:p w14:paraId="7C51E0B9"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10 % vyplacené dotace</w:t>
            </w:r>
          </w:p>
        </w:tc>
      </w:tr>
      <w:tr w:rsidR="00CE7452" w:rsidRPr="008D4C80" w14:paraId="02177BA2" w14:textId="77777777" w:rsidTr="00F2519F">
        <w:trPr>
          <w:trHeight w:val="283"/>
        </w:trPr>
        <w:tc>
          <w:tcPr>
            <w:tcW w:w="1008" w:type="dxa"/>
            <w:vMerge/>
            <w:tcBorders>
              <w:left w:val="single" w:sz="4" w:space="0" w:color="auto"/>
              <w:bottom w:val="single" w:sz="4" w:space="0" w:color="auto"/>
              <w:right w:val="single" w:sz="4" w:space="0" w:color="auto"/>
            </w:tcBorders>
            <w:shd w:val="clear" w:color="auto" w:fill="auto"/>
            <w:vAlign w:val="center"/>
          </w:tcPr>
          <w:p w14:paraId="31857439" w14:textId="77777777" w:rsidR="00CE7452" w:rsidRPr="008D4C80" w:rsidRDefault="00CE7452" w:rsidP="007B2BF7">
            <w:pPr>
              <w:ind w:left="-55" w:right="-42"/>
              <w:jc w:val="center"/>
              <w:rPr>
                <w:rFonts w:ascii="Calibri" w:hAnsi="Calibri" w:cs="Calibri"/>
                <w:color w:val="000000"/>
                <w:sz w:val="20"/>
                <w:szCs w:val="20"/>
              </w:rPr>
            </w:pPr>
          </w:p>
        </w:tc>
        <w:tc>
          <w:tcPr>
            <w:tcW w:w="2240" w:type="dxa"/>
            <w:vMerge/>
            <w:tcBorders>
              <w:left w:val="nil"/>
              <w:bottom w:val="single" w:sz="4" w:space="0" w:color="auto"/>
              <w:right w:val="single" w:sz="4" w:space="0" w:color="auto"/>
            </w:tcBorders>
            <w:shd w:val="clear" w:color="auto" w:fill="auto"/>
            <w:vAlign w:val="center"/>
          </w:tcPr>
          <w:p w14:paraId="67C877E9" w14:textId="77777777" w:rsidR="00CE7452" w:rsidRPr="008D4C80" w:rsidRDefault="00CE7452" w:rsidP="003D75E4">
            <w:pPr>
              <w:rPr>
                <w:rFonts w:ascii="Calibri" w:hAnsi="Calibri" w:cs="Calibri"/>
                <w:color w:val="000000"/>
                <w:sz w:val="20"/>
                <w:szCs w:val="20"/>
              </w:rPr>
            </w:pPr>
          </w:p>
        </w:tc>
        <w:tc>
          <w:tcPr>
            <w:tcW w:w="2722" w:type="dxa"/>
            <w:vMerge/>
            <w:tcBorders>
              <w:left w:val="nil"/>
              <w:bottom w:val="single" w:sz="4" w:space="0" w:color="auto"/>
              <w:right w:val="single" w:sz="4" w:space="0" w:color="auto"/>
            </w:tcBorders>
            <w:shd w:val="clear" w:color="auto" w:fill="auto"/>
            <w:vAlign w:val="center"/>
          </w:tcPr>
          <w:p w14:paraId="10AD113F" w14:textId="77777777" w:rsidR="00CE7452" w:rsidRPr="008D4C80" w:rsidRDefault="00CE7452" w:rsidP="003D75E4">
            <w:pPr>
              <w:rPr>
                <w:rFonts w:ascii="Calibri" w:hAnsi="Calibri" w:cs="Calibri"/>
                <w:color w:val="000000"/>
                <w:sz w:val="20"/>
                <w:szCs w:val="20"/>
              </w:rPr>
            </w:pPr>
          </w:p>
        </w:tc>
        <w:tc>
          <w:tcPr>
            <w:tcW w:w="1911" w:type="dxa"/>
            <w:vMerge/>
            <w:tcBorders>
              <w:left w:val="nil"/>
              <w:bottom w:val="single" w:sz="4" w:space="0" w:color="auto"/>
              <w:right w:val="single" w:sz="4" w:space="0" w:color="auto"/>
            </w:tcBorders>
            <w:shd w:val="clear" w:color="auto" w:fill="auto"/>
            <w:vAlign w:val="center"/>
          </w:tcPr>
          <w:p w14:paraId="5A7B4B11" w14:textId="77777777" w:rsidR="00CE7452" w:rsidRPr="008D4C80" w:rsidRDefault="00CE7452" w:rsidP="003D75E4">
            <w:pPr>
              <w:rPr>
                <w:rFonts w:ascii="Calibri" w:hAnsi="Calibri" w:cs="Calibri"/>
                <w:color w:val="000000"/>
                <w:sz w:val="20"/>
                <w:szCs w:val="20"/>
              </w:rPr>
            </w:pPr>
          </w:p>
        </w:tc>
        <w:tc>
          <w:tcPr>
            <w:tcW w:w="1417" w:type="dxa"/>
            <w:vMerge/>
            <w:tcBorders>
              <w:left w:val="nil"/>
              <w:bottom w:val="single" w:sz="4" w:space="0" w:color="auto"/>
              <w:right w:val="single" w:sz="4" w:space="0" w:color="auto"/>
            </w:tcBorders>
            <w:shd w:val="clear" w:color="auto" w:fill="auto"/>
            <w:vAlign w:val="center"/>
          </w:tcPr>
          <w:p w14:paraId="46FBB952" w14:textId="77777777" w:rsidR="00CE7452" w:rsidRPr="008D4C80" w:rsidRDefault="00CE7452" w:rsidP="003D75E4">
            <w:pPr>
              <w:jc w:val="right"/>
              <w:rPr>
                <w:rFonts w:ascii="Calibri" w:hAnsi="Calibri" w:cs="Calibri"/>
                <w:color w:val="000000"/>
                <w:sz w:val="20"/>
                <w:szCs w:val="20"/>
              </w:rPr>
            </w:pPr>
          </w:p>
        </w:tc>
        <w:tc>
          <w:tcPr>
            <w:tcW w:w="2625" w:type="dxa"/>
            <w:tcBorders>
              <w:top w:val="single" w:sz="4" w:space="0" w:color="auto"/>
              <w:left w:val="nil"/>
              <w:bottom w:val="single" w:sz="4" w:space="0" w:color="auto"/>
              <w:right w:val="single" w:sz="4" w:space="0" w:color="auto"/>
            </w:tcBorders>
            <w:vAlign w:val="center"/>
          </w:tcPr>
          <w:p w14:paraId="42015914" w14:textId="5B20B5B8" w:rsidR="00CE7452" w:rsidRPr="008D4C80" w:rsidRDefault="00CE7452" w:rsidP="00306E2B">
            <w:pPr>
              <w:rPr>
                <w:rFonts w:ascii="Calibri" w:hAnsi="Calibri" w:cs="Calibri"/>
                <w:color w:val="000000"/>
                <w:sz w:val="20"/>
                <w:szCs w:val="20"/>
              </w:rPr>
            </w:pPr>
            <w:r>
              <w:rPr>
                <w:rFonts w:ascii="Calibri" w:hAnsi="Calibri" w:cs="Calibri"/>
                <w:color w:val="000000"/>
                <w:sz w:val="20"/>
                <w:szCs w:val="20"/>
              </w:rPr>
              <w:t>Neoddělen</w:t>
            </w:r>
            <w:r w:rsidR="00306E2B">
              <w:rPr>
                <w:rFonts w:ascii="Calibri" w:hAnsi="Calibri" w:cs="Calibri"/>
                <w:color w:val="000000"/>
                <w:sz w:val="20"/>
                <w:szCs w:val="20"/>
              </w:rPr>
              <w:t>í</w:t>
            </w:r>
            <w:r>
              <w:rPr>
                <w:rFonts w:ascii="Calibri" w:hAnsi="Calibri" w:cs="Calibri"/>
                <w:color w:val="000000"/>
                <w:sz w:val="20"/>
                <w:szCs w:val="20"/>
              </w:rPr>
              <w:t xml:space="preserve"> účetnictví</w:t>
            </w:r>
          </w:p>
        </w:tc>
        <w:tc>
          <w:tcPr>
            <w:tcW w:w="2127" w:type="dxa"/>
            <w:tcBorders>
              <w:top w:val="single" w:sz="4" w:space="0" w:color="auto"/>
              <w:left w:val="nil"/>
              <w:bottom w:val="single" w:sz="4" w:space="0" w:color="auto"/>
              <w:right w:val="single" w:sz="4" w:space="0" w:color="auto"/>
            </w:tcBorders>
            <w:vAlign w:val="center"/>
          </w:tcPr>
          <w:p w14:paraId="48C32962"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10 % vyplacené dotace</w:t>
            </w:r>
          </w:p>
        </w:tc>
      </w:tr>
      <w:tr w:rsidR="00CE7452" w:rsidRPr="008D4C80" w14:paraId="19063414"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tcPr>
          <w:p w14:paraId="59EE9FF6"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tcBorders>
              <w:top w:val="nil"/>
              <w:left w:val="nil"/>
              <w:bottom w:val="single" w:sz="4" w:space="0" w:color="auto"/>
              <w:right w:val="single" w:sz="4" w:space="0" w:color="auto"/>
            </w:tcBorders>
            <w:shd w:val="clear" w:color="auto" w:fill="auto"/>
            <w:vAlign w:val="center"/>
          </w:tcPr>
          <w:p w14:paraId="327B7D5B"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CZ.1.06/5.2.00/07.08219</w:t>
            </w:r>
          </w:p>
        </w:tc>
        <w:tc>
          <w:tcPr>
            <w:tcW w:w="2722" w:type="dxa"/>
            <w:tcBorders>
              <w:top w:val="nil"/>
              <w:left w:val="nil"/>
              <w:bottom w:val="single" w:sz="4" w:space="0" w:color="auto"/>
              <w:right w:val="single" w:sz="4" w:space="0" w:color="auto"/>
            </w:tcBorders>
            <w:shd w:val="clear" w:color="auto" w:fill="auto"/>
            <w:vAlign w:val="center"/>
          </w:tcPr>
          <w:p w14:paraId="4684E67F" w14:textId="38AE6768" w:rsidR="00CE7452" w:rsidRPr="008D4C80" w:rsidRDefault="00CE7452" w:rsidP="00690881">
            <w:pPr>
              <w:rPr>
                <w:rFonts w:ascii="Calibri" w:hAnsi="Calibri" w:cs="Calibri"/>
                <w:color w:val="000000"/>
                <w:sz w:val="20"/>
                <w:szCs w:val="20"/>
              </w:rPr>
            </w:pPr>
            <w:r w:rsidRPr="008D4C80">
              <w:rPr>
                <w:rFonts w:ascii="Calibri" w:hAnsi="Calibri" w:cs="Calibri"/>
                <w:color w:val="000000"/>
                <w:sz w:val="20"/>
                <w:szCs w:val="20"/>
              </w:rPr>
              <w:t xml:space="preserve">Regenerace sídliště Máj </w:t>
            </w:r>
            <w:r w:rsidR="00690881">
              <w:rPr>
                <w:rFonts w:ascii="Calibri" w:hAnsi="Calibri" w:cs="Calibri"/>
                <w:color w:val="000000"/>
                <w:sz w:val="20"/>
                <w:szCs w:val="20"/>
              </w:rPr>
              <w:t>–</w:t>
            </w:r>
            <w:r w:rsidRPr="008D4C80">
              <w:rPr>
                <w:rFonts w:ascii="Calibri" w:hAnsi="Calibri" w:cs="Calibri"/>
                <w:color w:val="000000"/>
                <w:sz w:val="20"/>
                <w:szCs w:val="20"/>
              </w:rPr>
              <w:t xml:space="preserve"> úsek 05 </w:t>
            </w:r>
            <w:r w:rsidR="00690881">
              <w:rPr>
                <w:rFonts w:ascii="Calibri" w:hAnsi="Calibri" w:cs="Calibri"/>
                <w:color w:val="000000"/>
                <w:sz w:val="20"/>
                <w:szCs w:val="20"/>
              </w:rPr>
              <w:t>–</w:t>
            </w:r>
            <w:r w:rsidRPr="008D4C80">
              <w:rPr>
                <w:rFonts w:ascii="Calibri" w:hAnsi="Calibri" w:cs="Calibri"/>
                <w:color w:val="000000"/>
                <w:sz w:val="20"/>
                <w:szCs w:val="20"/>
              </w:rPr>
              <w:t xml:space="preserve"> sever</w:t>
            </w:r>
          </w:p>
        </w:tc>
        <w:tc>
          <w:tcPr>
            <w:tcW w:w="1911" w:type="dxa"/>
            <w:tcBorders>
              <w:top w:val="nil"/>
              <w:left w:val="nil"/>
              <w:bottom w:val="single" w:sz="4" w:space="0" w:color="auto"/>
              <w:right w:val="single" w:sz="4" w:space="0" w:color="auto"/>
            </w:tcBorders>
            <w:shd w:val="clear" w:color="auto" w:fill="auto"/>
            <w:vAlign w:val="center"/>
          </w:tcPr>
          <w:p w14:paraId="738B7930"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Statutární město České Budějovice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B52B96"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32 828 001,00   </w:t>
            </w:r>
          </w:p>
        </w:tc>
        <w:tc>
          <w:tcPr>
            <w:tcW w:w="2625" w:type="dxa"/>
            <w:tcBorders>
              <w:top w:val="single" w:sz="4" w:space="0" w:color="auto"/>
              <w:left w:val="nil"/>
              <w:bottom w:val="single" w:sz="4" w:space="0" w:color="auto"/>
              <w:right w:val="single" w:sz="4" w:space="0" w:color="auto"/>
            </w:tcBorders>
            <w:vAlign w:val="center"/>
          </w:tcPr>
          <w:p w14:paraId="6955EACA"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Nesplnění oznamovací povinnosti</w:t>
            </w:r>
          </w:p>
        </w:tc>
        <w:tc>
          <w:tcPr>
            <w:tcW w:w="2127" w:type="dxa"/>
            <w:tcBorders>
              <w:top w:val="single" w:sz="4" w:space="0" w:color="auto"/>
              <w:left w:val="nil"/>
              <w:bottom w:val="single" w:sz="4" w:space="0" w:color="auto"/>
              <w:right w:val="single" w:sz="4" w:space="0" w:color="auto"/>
            </w:tcBorders>
            <w:vAlign w:val="center"/>
          </w:tcPr>
          <w:p w14:paraId="201D244C" w14:textId="491DB53C"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10–12 % vyplacené dotace</w:t>
            </w:r>
          </w:p>
        </w:tc>
      </w:tr>
      <w:tr w:rsidR="00CE7452" w:rsidRPr="008D4C80" w14:paraId="6F7824FF"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E08AD26"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tcBorders>
              <w:top w:val="nil"/>
              <w:left w:val="nil"/>
              <w:bottom w:val="single" w:sz="4" w:space="0" w:color="auto"/>
              <w:right w:val="single" w:sz="4" w:space="0" w:color="auto"/>
            </w:tcBorders>
            <w:shd w:val="clear" w:color="auto" w:fill="auto"/>
            <w:vAlign w:val="center"/>
            <w:hideMark/>
          </w:tcPr>
          <w:p w14:paraId="4DE74207"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CZ.1.06/5.2.00/07.06624</w:t>
            </w:r>
          </w:p>
        </w:tc>
        <w:tc>
          <w:tcPr>
            <w:tcW w:w="2722" w:type="dxa"/>
            <w:tcBorders>
              <w:top w:val="nil"/>
              <w:left w:val="nil"/>
              <w:bottom w:val="single" w:sz="4" w:space="0" w:color="auto"/>
              <w:right w:val="single" w:sz="4" w:space="0" w:color="auto"/>
            </w:tcBorders>
            <w:shd w:val="clear" w:color="auto" w:fill="auto"/>
            <w:vAlign w:val="center"/>
            <w:hideMark/>
          </w:tcPr>
          <w:p w14:paraId="3BDCDB5D"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Víceúčelové hřiště</w:t>
            </w:r>
          </w:p>
        </w:tc>
        <w:tc>
          <w:tcPr>
            <w:tcW w:w="1911" w:type="dxa"/>
            <w:tcBorders>
              <w:top w:val="nil"/>
              <w:left w:val="nil"/>
              <w:bottom w:val="single" w:sz="4" w:space="0" w:color="auto"/>
              <w:right w:val="single" w:sz="4" w:space="0" w:color="auto"/>
            </w:tcBorders>
            <w:shd w:val="clear" w:color="auto" w:fill="auto"/>
            <w:vAlign w:val="center"/>
            <w:hideMark/>
          </w:tcPr>
          <w:p w14:paraId="22D849F1"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Město Znojmo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995D25" w14:textId="12E10C28" w:rsidR="00CE7452" w:rsidRPr="008D4C80" w:rsidRDefault="001B63E5" w:rsidP="003D75E4">
            <w:pPr>
              <w:jc w:val="right"/>
              <w:rPr>
                <w:rFonts w:ascii="Calibri" w:hAnsi="Calibri" w:cs="Calibri"/>
                <w:color w:val="000000"/>
                <w:sz w:val="20"/>
                <w:szCs w:val="20"/>
              </w:rPr>
            </w:pPr>
            <w:r>
              <w:rPr>
                <w:rFonts w:ascii="Calibri" w:hAnsi="Calibri" w:cs="Calibri"/>
                <w:color w:val="000000"/>
                <w:sz w:val="20"/>
                <w:szCs w:val="20"/>
              </w:rPr>
              <w:t>5</w:t>
            </w:r>
            <w:r w:rsidR="00CE7452" w:rsidRPr="008D4C80">
              <w:rPr>
                <w:rFonts w:ascii="Calibri" w:hAnsi="Calibri" w:cs="Calibri"/>
                <w:color w:val="000000"/>
                <w:sz w:val="20"/>
                <w:szCs w:val="20"/>
              </w:rPr>
              <w:t xml:space="preserve"> </w:t>
            </w:r>
            <w:r>
              <w:rPr>
                <w:rFonts w:ascii="Calibri" w:hAnsi="Calibri" w:cs="Calibri"/>
                <w:color w:val="000000"/>
                <w:sz w:val="20"/>
                <w:szCs w:val="20"/>
              </w:rPr>
              <w:t>802</w:t>
            </w:r>
            <w:r w:rsidR="00CE7452" w:rsidRPr="008D4C80">
              <w:rPr>
                <w:rFonts w:ascii="Calibri" w:hAnsi="Calibri" w:cs="Calibri"/>
                <w:color w:val="000000"/>
                <w:sz w:val="20"/>
                <w:szCs w:val="20"/>
              </w:rPr>
              <w:t xml:space="preserve"> 4</w:t>
            </w:r>
            <w:r>
              <w:rPr>
                <w:rFonts w:ascii="Calibri" w:hAnsi="Calibri" w:cs="Calibri"/>
                <w:color w:val="000000"/>
                <w:sz w:val="20"/>
                <w:szCs w:val="20"/>
              </w:rPr>
              <w:t>81</w:t>
            </w:r>
            <w:r w:rsidR="00CE7452" w:rsidRPr="008D4C80">
              <w:rPr>
                <w:rFonts w:ascii="Calibri" w:hAnsi="Calibri" w:cs="Calibri"/>
                <w:color w:val="000000"/>
                <w:sz w:val="20"/>
                <w:szCs w:val="20"/>
              </w:rPr>
              <w:t xml:space="preserve">,00   </w:t>
            </w:r>
          </w:p>
        </w:tc>
        <w:tc>
          <w:tcPr>
            <w:tcW w:w="2625" w:type="dxa"/>
            <w:tcBorders>
              <w:top w:val="single" w:sz="4" w:space="0" w:color="auto"/>
              <w:left w:val="nil"/>
              <w:bottom w:val="single" w:sz="4" w:space="0" w:color="auto"/>
              <w:right w:val="single" w:sz="4" w:space="0" w:color="auto"/>
            </w:tcBorders>
            <w:vAlign w:val="center"/>
          </w:tcPr>
          <w:p w14:paraId="3C972FEE"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Nezachování účelu projektu</w:t>
            </w:r>
          </w:p>
        </w:tc>
        <w:tc>
          <w:tcPr>
            <w:tcW w:w="2127" w:type="dxa"/>
            <w:tcBorders>
              <w:top w:val="single" w:sz="4" w:space="0" w:color="auto"/>
              <w:left w:val="nil"/>
              <w:bottom w:val="single" w:sz="4" w:space="0" w:color="auto"/>
              <w:right w:val="single" w:sz="4" w:space="0" w:color="auto"/>
            </w:tcBorders>
            <w:vAlign w:val="center"/>
          </w:tcPr>
          <w:p w14:paraId="0F168EFC"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100 % dotace</w:t>
            </w:r>
          </w:p>
        </w:tc>
      </w:tr>
      <w:tr w:rsidR="00CE7452" w:rsidRPr="008D4C80" w14:paraId="4DE5A820"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F304777"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tcBorders>
              <w:top w:val="nil"/>
              <w:left w:val="nil"/>
              <w:bottom w:val="single" w:sz="4" w:space="0" w:color="auto"/>
              <w:right w:val="single" w:sz="4" w:space="0" w:color="auto"/>
            </w:tcBorders>
            <w:shd w:val="clear" w:color="auto" w:fill="auto"/>
            <w:vAlign w:val="center"/>
            <w:hideMark/>
          </w:tcPr>
          <w:p w14:paraId="2A3291C0"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CZ.1.06/3.1.02/01.07541</w:t>
            </w:r>
          </w:p>
        </w:tc>
        <w:tc>
          <w:tcPr>
            <w:tcW w:w="2722" w:type="dxa"/>
            <w:tcBorders>
              <w:top w:val="nil"/>
              <w:left w:val="nil"/>
              <w:bottom w:val="single" w:sz="4" w:space="0" w:color="auto"/>
              <w:right w:val="single" w:sz="4" w:space="0" w:color="auto"/>
            </w:tcBorders>
            <w:shd w:val="clear" w:color="auto" w:fill="auto"/>
            <w:vAlign w:val="center"/>
            <w:hideMark/>
          </w:tcPr>
          <w:p w14:paraId="710E2D6B" w14:textId="5E9C10C7" w:rsidR="00CE7452" w:rsidRPr="008D4C80" w:rsidRDefault="00CE7452" w:rsidP="00690881">
            <w:pPr>
              <w:rPr>
                <w:rFonts w:ascii="Calibri" w:hAnsi="Calibri" w:cs="Calibri"/>
                <w:color w:val="000000"/>
                <w:sz w:val="20"/>
                <w:szCs w:val="20"/>
              </w:rPr>
            </w:pPr>
            <w:r w:rsidRPr="008D4C80">
              <w:rPr>
                <w:rFonts w:ascii="Calibri" w:hAnsi="Calibri" w:cs="Calibri"/>
                <w:color w:val="000000"/>
                <w:sz w:val="20"/>
                <w:szCs w:val="20"/>
              </w:rPr>
              <w:t xml:space="preserve">Sociální podnik </w:t>
            </w:r>
            <w:r w:rsidR="00690881">
              <w:rPr>
                <w:rFonts w:ascii="Calibri" w:hAnsi="Calibri" w:cs="Calibri"/>
                <w:color w:val="000000"/>
                <w:sz w:val="20"/>
                <w:szCs w:val="20"/>
              </w:rPr>
              <w:t>–</w:t>
            </w:r>
            <w:r w:rsidRPr="008D4C80">
              <w:rPr>
                <w:rFonts w:ascii="Calibri" w:hAnsi="Calibri" w:cs="Calibri"/>
                <w:color w:val="000000"/>
                <w:sz w:val="20"/>
                <w:szCs w:val="20"/>
              </w:rPr>
              <w:t xml:space="preserve"> Cukrárna Sedmička Strakonice</w:t>
            </w:r>
          </w:p>
        </w:tc>
        <w:tc>
          <w:tcPr>
            <w:tcW w:w="1911" w:type="dxa"/>
            <w:tcBorders>
              <w:top w:val="nil"/>
              <w:left w:val="nil"/>
              <w:bottom w:val="single" w:sz="4" w:space="0" w:color="auto"/>
              <w:right w:val="single" w:sz="4" w:space="0" w:color="auto"/>
            </w:tcBorders>
            <w:shd w:val="clear" w:color="auto" w:fill="auto"/>
            <w:vAlign w:val="center"/>
            <w:hideMark/>
          </w:tcPr>
          <w:p w14:paraId="47F14454"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Hober s.r.o.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D71812"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2 799 296,00   </w:t>
            </w:r>
          </w:p>
        </w:tc>
        <w:tc>
          <w:tcPr>
            <w:tcW w:w="2625" w:type="dxa"/>
            <w:tcBorders>
              <w:top w:val="single" w:sz="4" w:space="0" w:color="auto"/>
              <w:left w:val="nil"/>
              <w:bottom w:val="single" w:sz="4" w:space="0" w:color="auto"/>
              <w:right w:val="single" w:sz="4" w:space="0" w:color="auto"/>
            </w:tcBorders>
            <w:vAlign w:val="center"/>
          </w:tcPr>
          <w:p w14:paraId="0FC31DF1"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Nesplnění oznamovací povinnosti</w:t>
            </w:r>
          </w:p>
        </w:tc>
        <w:tc>
          <w:tcPr>
            <w:tcW w:w="2127" w:type="dxa"/>
            <w:tcBorders>
              <w:top w:val="single" w:sz="4" w:space="0" w:color="auto"/>
              <w:left w:val="nil"/>
              <w:bottom w:val="single" w:sz="4" w:space="0" w:color="auto"/>
              <w:right w:val="single" w:sz="4" w:space="0" w:color="auto"/>
            </w:tcBorders>
            <w:vAlign w:val="center"/>
          </w:tcPr>
          <w:p w14:paraId="4B607141"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5 % vyplacené dotace</w:t>
            </w:r>
          </w:p>
        </w:tc>
      </w:tr>
      <w:tr w:rsidR="00CE7452" w:rsidRPr="008D4C80" w14:paraId="201C24EC"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E6FA179"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tcBorders>
              <w:top w:val="nil"/>
              <w:left w:val="nil"/>
              <w:bottom w:val="single" w:sz="4" w:space="0" w:color="auto"/>
              <w:right w:val="single" w:sz="4" w:space="0" w:color="auto"/>
            </w:tcBorders>
            <w:shd w:val="clear" w:color="auto" w:fill="auto"/>
            <w:vAlign w:val="center"/>
            <w:hideMark/>
          </w:tcPr>
          <w:p w14:paraId="1B929499" w14:textId="77777777" w:rsidR="00CE7452" w:rsidRDefault="00CE7452" w:rsidP="003D75E4">
            <w:pPr>
              <w:rPr>
                <w:rFonts w:ascii="Calibri" w:hAnsi="Calibri" w:cs="Calibri"/>
                <w:color w:val="000000"/>
                <w:sz w:val="20"/>
                <w:szCs w:val="20"/>
              </w:rPr>
            </w:pPr>
            <w:r w:rsidRPr="008D4C80">
              <w:rPr>
                <w:rFonts w:ascii="Calibri" w:hAnsi="Calibri" w:cs="Calibri"/>
                <w:color w:val="000000"/>
                <w:sz w:val="20"/>
                <w:szCs w:val="20"/>
              </w:rPr>
              <w:t>CZ.1.06/4.1.00/04.05916</w:t>
            </w:r>
          </w:p>
          <w:p w14:paraId="615B6BF3"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CZ.1.06/4.1.00/04.05917</w:t>
            </w:r>
          </w:p>
        </w:tc>
        <w:tc>
          <w:tcPr>
            <w:tcW w:w="2722" w:type="dxa"/>
            <w:tcBorders>
              <w:top w:val="nil"/>
              <w:left w:val="nil"/>
              <w:bottom w:val="single" w:sz="4" w:space="0" w:color="auto"/>
              <w:right w:val="single" w:sz="4" w:space="0" w:color="auto"/>
            </w:tcBorders>
            <w:shd w:val="clear" w:color="auto" w:fill="auto"/>
            <w:vAlign w:val="center"/>
            <w:hideMark/>
          </w:tcPr>
          <w:p w14:paraId="0B49363A" w14:textId="1B9F8E2C" w:rsidR="00CE7452" w:rsidRPr="008D4C80" w:rsidRDefault="007B2BF7" w:rsidP="003D75E4">
            <w:pPr>
              <w:rPr>
                <w:rFonts w:ascii="Calibri" w:hAnsi="Calibri" w:cs="Calibri"/>
                <w:color w:val="000000"/>
                <w:sz w:val="20"/>
                <w:szCs w:val="20"/>
              </w:rPr>
            </w:pPr>
            <w:r>
              <w:rPr>
                <w:rFonts w:ascii="Calibri" w:hAnsi="Calibri" w:cs="Calibri"/>
                <w:color w:val="000000"/>
                <w:sz w:val="20"/>
                <w:szCs w:val="20"/>
              </w:rPr>
              <w:t>Zkvalitnění informací o </w:t>
            </w:r>
            <w:r w:rsidR="00CE7452" w:rsidRPr="008D4C80">
              <w:rPr>
                <w:rFonts w:ascii="Calibri" w:hAnsi="Calibri" w:cs="Calibri"/>
                <w:color w:val="000000"/>
                <w:sz w:val="20"/>
                <w:szCs w:val="20"/>
              </w:rPr>
              <w:t>kongresovém a incentivním cestovním ruchu</w:t>
            </w:r>
          </w:p>
        </w:tc>
        <w:tc>
          <w:tcPr>
            <w:tcW w:w="1911" w:type="dxa"/>
            <w:tcBorders>
              <w:top w:val="nil"/>
              <w:left w:val="nil"/>
              <w:bottom w:val="single" w:sz="4" w:space="0" w:color="auto"/>
              <w:right w:val="single" w:sz="4" w:space="0" w:color="auto"/>
            </w:tcBorders>
            <w:shd w:val="clear" w:color="auto" w:fill="auto"/>
            <w:vAlign w:val="center"/>
            <w:hideMark/>
          </w:tcPr>
          <w:p w14:paraId="12B20698"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Ministerstvo pro místní rozvoj</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3BF8C" w14:textId="77777777" w:rsidR="00CE7452" w:rsidRPr="008D4C80" w:rsidRDefault="00CE7452" w:rsidP="003D75E4">
            <w:pPr>
              <w:jc w:val="right"/>
              <w:rPr>
                <w:rFonts w:ascii="Calibri" w:hAnsi="Calibri" w:cs="Calibri"/>
                <w:color w:val="000000"/>
                <w:sz w:val="20"/>
                <w:szCs w:val="20"/>
              </w:rPr>
            </w:pPr>
            <w:r w:rsidRPr="002E4714">
              <w:rPr>
                <w:rFonts w:ascii="Calibri" w:hAnsi="Calibri" w:cs="Calibri"/>
                <w:color w:val="000000"/>
                <w:sz w:val="20"/>
                <w:szCs w:val="20"/>
              </w:rPr>
              <w:t>10 821 430,87</w:t>
            </w:r>
          </w:p>
        </w:tc>
        <w:tc>
          <w:tcPr>
            <w:tcW w:w="2625" w:type="dxa"/>
            <w:tcBorders>
              <w:top w:val="single" w:sz="4" w:space="0" w:color="auto"/>
              <w:left w:val="nil"/>
              <w:bottom w:val="single" w:sz="4" w:space="0" w:color="auto"/>
              <w:right w:val="single" w:sz="4" w:space="0" w:color="auto"/>
            </w:tcBorders>
            <w:vAlign w:val="center"/>
          </w:tcPr>
          <w:p w14:paraId="54C83EE4"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Nesplnění oznamovací povinnosti</w:t>
            </w:r>
          </w:p>
        </w:tc>
        <w:tc>
          <w:tcPr>
            <w:tcW w:w="2127" w:type="dxa"/>
            <w:tcBorders>
              <w:top w:val="single" w:sz="4" w:space="0" w:color="auto"/>
              <w:left w:val="nil"/>
              <w:bottom w:val="single" w:sz="4" w:space="0" w:color="auto"/>
              <w:right w:val="single" w:sz="4" w:space="0" w:color="auto"/>
            </w:tcBorders>
            <w:vAlign w:val="center"/>
          </w:tcPr>
          <w:p w14:paraId="21219349" w14:textId="425E5466"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0,5–2 % vyplacené dotace</w:t>
            </w:r>
          </w:p>
        </w:tc>
      </w:tr>
      <w:tr w:rsidR="00CE7452" w:rsidRPr="008D4C80" w14:paraId="3C197AD1"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2C13D8F"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IOP</w:t>
            </w:r>
          </w:p>
        </w:tc>
        <w:tc>
          <w:tcPr>
            <w:tcW w:w="2240" w:type="dxa"/>
            <w:tcBorders>
              <w:top w:val="nil"/>
              <w:left w:val="nil"/>
              <w:bottom w:val="single" w:sz="4" w:space="0" w:color="auto"/>
              <w:right w:val="single" w:sz="4" w:space="0" w:color="auto"/>
            </w:tcBorders>
            <w:shd w:val="clear" w:color="auto" w:fill="auto"/>
            <w:vAlign w:val="center"/>
            <w:hideMark/>
          </w:tcPr>
          <w:p w14:paraId="7A639041" w14:textId="77777777" w:rsidR="00CE7452" w:rsidRDefault="00CE7452" w:rsidP="003D75E4">
            <w:pPr>
              <w:rPr>
                <w:rFonts w:ascii="Calibri" w:hAnsi="Calibri" w:cs="Calibri"/>
                <w:color w:val="000000"/>
                <w:sz w:val="20"/>
                <w:szCs w:val="20"/>
              </w:rPr>
            </w:pPr>
            <w:r w:rsidRPr="008D4C80">
              <w:rPr>
                <w:rFonts w:ascii="Calibri" w:hAnsi="Calibri" w:cs="Calibri"/>
                <w:color w:val="000000"/>
                <w:sz w:val="20"/>
                <w:szCs w:val="20"/>
              </w:rPr>
              <w:t>CZ.1.06/4.1.00/12.08401</w:t>
            </w:r>
          </w:p>
          <w:p w14:paraId="58A210D0"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CZ.1.06/4.1.00/12.08402</w:t>
            </w:r>
          </w:p>
        </w:tc>
        <w:tc>
          <w:tcPr>
            <w:tcW w:w="2722" w:type="dxa"/>
            <w:tcBorders>
              <w:top w:val="nil"/>
              <w:left w:val="nil"/>
              <w:bottom w:val="single" w:sz="4" w:space="0" w:color="auto"/>
              <w:right w:val="single" w:sz="4" w:space="0" w:color="auto"/>
            </w:tcBorders>
            <w:shd w:val="clear" w:color="auto" w:fill="auto"/>
            <w:vAlign w:val="center"/>
          </w:tcPr>
          <w:p w14:paraId="5C6BD780"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Zkvalitnění informací o sektoru stravovacích zařízení v České republice</w:t>
            </w:r>
          </w:p>
        </w:tc>
        <w:tc>
          <w:tcPr>
            <w:tcW w:w="1911" w:type="dxa"/>
            <w:tcBorders>
              <w:top w:val="nil"/>
              <w:left w:val="nil"/>
              <w:bottom w:val="single" w:sz="4" w:space="0" w:color="auto"/>
              <w:right w:val="single" w:sz="4" w:space="0" w:color="auto"/>
            </w:tcBorders>
            <w:shd w:val="clear" w:color="auto" w:fill="auto"/>
            <w:vAlign w:val="center"/>
          </w:tcPr>
          <w:p w14:paraId="30371E78"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Ministerstvo pro místní rozvoj</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98BAAF" w14:textId="77777777" w:rsidR="00CE7452" w:rsidRPr="008D4C80" w:rsidRDefault="00CE7452" w:rsidP="003D75E4">
            <w:pPr>
              <w:jc w:val="right"/>
              <w:rPr>
                <w:rFonts w:ascii="Calibri" w:hAnsi="Calibri" w:cs="Calibri"/>
                <w:color w:val="000000"/>
                <w:sz w:val="20"/>
                <w:szCs w:val="20"/>
              </w:rPr>
            </w:pPr>
            <w:r w:rsidRPr="002E4714">
              <w:rPr>
                <w:rFonts w:ascii="Calibri" w:hAnsi="Calibri" w:cs="Calibri"/>
                <w:color w:val="000000"/>
                <w:sz w:val="20"/>
                <w:szCs w:val="20"/>
              </w:rPr>
              <w:t>17 252 689,85</w:t>
            </w:r>
          </w:p>
        </w:tc>
        <w:tc>
          <w:tcPr>
            <w:tcW w:w="2625" w:type="dxa"/>
            <w:tcBorders>
              <w:top w:val="single" w:sz="4" w:space="0" w:color="auto"/>
              <w:left w:val="nil"/>
              <w:bottom w:val="single" w:sz="4" w:space="0" w:color="auto"/>
              <w:right w:val="single" w:sz="4" w:space="0" w:color="auto"/>
            </w:tcBorders>
            <w:vAlign w:val="center"/>
          </w:tcPr>
          <w:p w14:paraId="773EA449"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Nezpůsobilé výdaje ve výši 30 000 Kč</w:t>
            </w:r>
          </w:p>
        </w:tc>
        <w:tc>
          <w:tcPr>
            <w:tcW w:w="2127" w:type="dxa"/>
            <w:tcBorders>
              <w:top w:val="single" w:sz="4" w:space="0" w:color="auto"/>
              <w:left w:val="nil"/>
              <w:bottom w:val="single" w:sz="4" w:space="0" w:color="auto"/>
              <w:right w:val="single" w:sz="4" w:space="0" w:color="auto"/>
            </w:tcBorders>
            <w:vAlign w:val="center"/>
          </w:tcPr>
          <w:p w14:paraId="3931871F"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100 % nezpůsobilých výdajů</w:t>
            </w:r>
          </w:p>
        </w:tc>
      </w:tr>
      <w:tr w:rsidR="00CE7452" w:rsidRPr="008D4C80" w14:paraId="623043CC"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8897380" w14:textId="77777777" w:rsidR="00CE7452" w:rsidRPr="008D4C80" w:rsidRDefault="00FB2E4F" w:rsidP="007B2BF7">
            <w:pPr>
              <w:ind w:left="-55" w:right="-42"/>
              <w:jc w:val="center"/>
              <w:rPr>
                <w:rFonts w:ascii="Calibri" w:hAnsi="Calibri" w:cs="Calibri"/>
                <w:color w:val="000000"/>
                <w:sz w:val="20"/>
                <w:szCs w:val="20"/>
              </w:rPr>
            </w:pPr>
            <w:r>
              <w:rPr>
                <w:rFonts w:ascii="Calibri" w:hAnsi="Calibri" w:cs="Calibri"/>
                <w:color w:val="000000"/>
                <w:sz w:val="20"/>
                <w:szCs w:val="20"/>
              </w:rPr>
              <w:t xml:space="preserve">OP </w:t>
            </w:r>
            <w:proofErr w:type="spellStart"/>
            <w:r w:rsidR="00CE7452" w:rsidRPr="008D4C80">
              <w:rPr>
                <w:rFonts w:ascii="Calibri" w:hAnsi="Calibri" w:cs="Calibri"/>
                <w:color w:val="000000"/>
                <w:sz w:val="20"/>
                <w:szCs w:val="20"/>
              </w:rPr>
              <w:t>VaVpI</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0C20CB99"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CZ.1.05/2.1.00/01.0007</w:t>
            </w:r>
          </w:p>
        </w:tc>
        <w:tc>
          <w:tcPr>
            <w:tcW w:w="2722" w:type="dxa"/>
            <w:tcBorders>
              <w:top w:val="nil"/>
              <w:left w:val="nil"/>
              <w:bottom w:val="single" w:sz="4" w:space="0" w:color="auto"/>
              <w:right w:val="single" w:sz="4" w:space="0" w:color="auto"/>
            </w:tcBorders>
            <w:shd w:val="clear" w:color="auto" w:fill="auto"/>
            <w:vAlign w:val="center"/>
            <w:hideMark/>
          </w:tcPr>
          <w:p w14:paraId="612F54BE"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Centrum regionu Haná pro biotechnologický a zemědělský výzkum</w:t>
            </w:r>
          </w:p>
        </w:tc>
        <w:tc>
          <w:tcPr>
            <w:tcW w:w="1911" w:type="dxa"/>
            <w:tcBorders>
              <w:top w:val="nil"/>
              <w:left w:val="nil"/>
              <w:bottom w:val="single" w:sz="4" w:space="0" w:color="auto"/>
              <w:right w:val="single" w:sz="4" w:space="0" w:color="auto"/>
            </w:tcBorders>
            <w:shd w:val="clear" w:color="auto" w:fill="auto"/>
            <w:vAlign w:val="center"/>
            <w:hideMark/>
          </w:tcPr>
          <w:p w14:paraId="6FD2E4A6"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Univerzita Palackého v Olomouci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9A962A"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806 927 481,82   </w:t>
            </w:r>
          </w:p>
        </w:tc>
        <w:tc>
          <w:tcPr>
            <w:tcW w:w="2625" w:type="dxa"/>
            <w:tcBorders>
              <w:top w:val="single" w:sz="4" w:space="0" w:color="auto"/>
              <w:left w:val="nil"/>
              <w:bottom w:val="single" w:sz="4" w:space="0" w:color="auto"/>
              <w:right w:val="single" w:sz="4" w:space="0" w:color="auto"/>
            </w:tcBorders>
            <w:vAlign w:val="center"/>
          </w:tcPr>
          <w:p w14:paraId="2D7F856D" w14:textId="77777777" w:rsidR="00CE7452" w:rsidRPr="008D4C80" w:rsidRDefault="00CE7452" w:rsidP="00F70131">
            <w:pPr>
              <w:rPr>
                <w:rFonts w:ascii="Calibri" w:hAnsi="Calibri" w:cs="Calibri"/>
                <w:color w:val="000000"/>
                <w:sz w:val="20"/>
                <w:szCs w:val="20"/>
              </w:rPr>
            </w:pPr>
            <w:r>
              <w:rPr>
                <w:rFonts w:ascii="Calibri" w:hAnsi="Calibri" w:cs="Calibri"/>
                <w:color w:val="000000"/>
                <w:sz w:val="20"/>
                <w:szCs w:val="20"/>
              </w:rPr>
              <w:t>Ne</w:t>
            </w:r>
            <w:r w:rsidR="00F70131">
              <w:rPr>
                <w:rFonts w:ascii="Calibri" w:hAnsi="Calibri" w:cs="Calibri"/>
                <w:color w:val="000000"/>
                <w:sz w:val="20"/>
                <w:szCs w:val="20"/>
              </w:rPr>
              <w:t xml:space="preserve">dostatečné </w:t>
            </w:r>
            <w:r>
              <w:rPr>
                <w:rFonts w:ascii="Calibri" w:hAnsi="Calibri" w:cs="Calibri"/>
                <w:color w:val="000000"/>
                <w:sz w:val="20"/>
                <w:szCs w:val="20"/>
              </w:rPr>
              <w:t>pojišt</w:t>
            </w:r>
            <w:r w:rsidR="00F70131">
              <w:rPr>
                <w:rFonts w:ascii="Calibri" w:hAnsi="Calibri" w:cs="Calibri"/>
                <w:color w:val="000000"/>
                <w:sz w:val="20"/>
                <w:szCs w:val="20"/>
              </w:rPr>
              <w:t>ění pořízeného movitého majetku</w:t>
            </w:r>
          </w:p>
        </w:tc>
        <w:tc>
          <w:tcPr>
            <w:tcW w:w="2127" w:type="dxa"/>
            <w:tcBorders>
              <w:top w:val="single" w:sz="4" w:space="0" w:color="auto"/>
              <w:left w:val="nil"/>
              <w:bottom w:val="single" w:sz="4" w:space="0" w:color="auto"/>
              <w:right w:val="single" w:sz="4" w:space="0" w:color="auto"/>
            </w:tcBorders>
            <w:vAlign w:val="center"/>
          </w:tcPr>
          <w:p w14:paraId="102E7AF8" w14:textId="0DDDACFD"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0–100 % vyplacené dotace, dle závažnosti</w:t>
            </w:r>
          </w:p>
        </w:tc>
      </w:tr>
      <w:tr w:rsidR="00CE7452" w:rsidRPr="008D4C80" w14:paraId="0F371FF9"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0A5E2CA" w14:textId="77777777" w:rsidR="00CE7452" w:rsidRPr="008D4C80" w:rsidRDefault="00FB2E4F" w:rsidP="007B2BF7">
            <w:pPr>
              <w:ind w:left="-55" w:right="-42"/>
              <w:jc w:val="center"/>
              <w:rPr>
                <w:rFonts w:ascii="Calibri" w:hAnsi="Calibri" w:cs="Calibri"/>
                <w:color w:val="000000"/>
                <w:sz w:val="20"/>
                <w:szCs w:val="20"/>
              </w:rPr>
            </w:pPr>
            <w:r>
              <w:rPr>
                <w:rFonts w:ascii="Calibri" w:hAnsi="Calibri" w:cs="Calibri"/>
                <w:color w:val="000000"/>
                <w:sz w:val="20"/>
                <w:szCs w:val="20"/>
              </w:rPr>
              <w:t xml:space="preserve">OP </w:t>
            </w:r>
            <w:proofErr w:type="spellStart"/>
            <w:r w:rsidR="00CE7452" w:rsidRPr="008D4C80">
              <w:rPr>
                <w:rFonts w:ascii="Calibri" w:hAnsi="Calibri" w:cs="Calibri"/>
                <w:color w:val="000000"/>
                <w:sz w:val="20"/>
                <w:szCs w:val="20"/>
              </w:rPr>
              <w:t>VaVpI</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26FA5EFD"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CZ.1.05/2.1.00/01.0030</w:t>
            </w:r>
          </w:p>
        </w:tc>
        <w:tc>
          <w:tcPr>
            <w:tcW w:w="2722" w:type="dxa"/>
            <w:tcBorders>
              <w:top w:val="nil"/>
              <w:left w:val="nil"/>
              <w:bottom w:val="single" w:sz="4" w:space="0" w:color="auto"/>
              <w:right w:val="single" w:sz="4" w:space="0" w:color="auto"/>
            </w:tcBorders>
            <w:shd w:val="clear" w:color="auto" w:fill="auto"/>
            <w:vAlign w:val="center"/>
          </w:tcPr>
          <w:p w14:paraId="6E1AD045" w14:textId="0C421066" w:rsidR="00CE7452" w:rsidRPr="008D4C80" w:rsidRDefault="00CE7452" w:rsidP="00306E2B">
            <w:pPr>
              <w:rPr>
                <w:rFonts w:ascii="Calibri" w:hAnsi="Calibri" w:cs="Calibri"/>
                <w:color w:val="000000"/>
                <w:sz w:val="20"/>
                <w:szCs w:val="20"/>
              </w:rPr>
            </w:pPr>
            <w:r w:rsidRPr="008D4C80">
              <w:rPr>
                <w:rFonts w:ascii="Calibri" w:hAnsi="Calibri" w:cs="Calibri"/>
                <w:color w:val="000000"/>
                <w:sz w:val="20"/>
                <w:szCs w:val="20"/>
              </w:rPr>
              <w:t>Biomedicína pro regionální rozvoj a lidské zdroje</w:t>
            </w:r>
          </w:p>
        </w:tc>
        <w:tc>
          <w:tcPr>
            <w:tcW w:w="1911" w:type="dxa"/>
            <w:tcBorders>
              <w:top w:val="nil"/>
              <w:left w:val="nil"/>
              <w:bottom w:val="single" w:sz="4" w:space="0" w:color="auto"/>
              <w:right w:val="single" w:sz="4" w:space="0" w:color="auto"/>
            </w:tcBorders>
            <w:shd w:val="clear" w:color="auto" w:fill="auto"/>
            <w:vAlign w:val="center"/>
          </w:tcPr>
          <w:p w14:paraId="15B4E865"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Univerzita Palackého v Olomouci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4431F2"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845 067 684,90   </w:t>
            </w:r>
          </w:p>
        </w:tc>
        <w:tc>
          <w:tcPr>
            <w:tcW w:w="2625" w:type="dxa"/>
            <w:tcBorders>
              <w:top w:val="single" w:sz="4" w:space="0" w:color="auto"/>
              <w:left w:val="nil"/>
              <w:bottom w:val="single" w:sz="4" w:space="0" w:color="auto"/>
              <w:right w:val="single" w:sz="4" w:space="0" w:color="auto"/>
            </w:tcBorders>
            <w:vAlign w:val="center"/>
          </w:tcPr>
          <w:p w14:paraId="4B3D0727"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w:t>
            </w:r>
            <w:r w:rsidR="00F70131">
              <w:rPr>
                <w:rFonts w:ascii="Calibri" w:hAnsi="Calibri" w:cs="Calibri"/>
                <w:color w:val="000000"/>
                <w:sz w:val="20"/>
                <w:szCs w:val="20"/>
              </w:rPr>
              <w:t xml:space="preserve">dostatečné </w:t>
            </w:r>
            <w:r>
              <w:rPr>
                <w:rFonts w:ascii="Calibri" w:hAnsi="Calibri" w:cs="Calibri"/>
                <w:color w:val="000000"/>
                <w:sz w:val="20"/>
                <w:szCs w:val="20"/>
              </w:rPr>
              <w:t xml:space="preserve">pojištění </w:t>
            </w:r>
            <w:r w:rsidR="00F70131">
              <w:rPr>
                <w:rFonts w:ascii="Calibri" w:hAnsi="Calibri" w:cs="Calibri"/>
                <w:color w:val="000000"/>
                <w:sz w:val="20"/>
                <w:szCs w:val="20"/>
              </w:rPr>
              <w:t xml:space="preserve">pořízeného </w:t>
            </w:r>
            <w:r>
              <w:rPr>
                <w:rFonts w:ascii="Calibri" w:hAnsi="Calibri" w:cs="Calibri"/>
                <w:color w:val="000000"/>
                <w:sz w:val="20"/>
                <w:szCs w:val="20"/>
              </w:rPr>
              <w:t>movi</w:t>
            </w:r>
            <w:r w:rsidR="00F70131">
              <w:rPr>
                <w:rFonts w:ascii="Calibri" w:hAnsi="Calibri" w:cs="Calibri"/>
                <w:color w:val="000000"/>
                <w:sz w:val="20"/>
                <w:szCs w:val="20"/>
              </w:rPr>
              <w:t xml:space="preserve">tého majetku </w:t>
            </w:r>
          </w:p>
        </w:tc>
        <w:tc>
          <w:tcPr>
            <w:tcW w:w="2127" w:type="dxa"/>
            <w:tcBorders>
              <w:top w:val="single" w:sz="4" w:space="0" w:color="auto"/>
              <w:left w:val="nil"/>
              <w:bottom w:val="single" w:sz="4" w:space="0" w:color="auto"/>
              <w:right w:val="single" w:sz="4" w:space="0" w:color="auto"/>
            </w:tcBorders>
            <w:vAlign w:val="center"/>
          </w:tcPr>
          <w:p w14:paraId="7F482EC4" w14:textId="7153EFB9"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0–100 % vyplacené dotace, dle závažnosti</w:t>
            </w:r>
          </w:p>
        </w:tc>
      </w:tr>
      <w:tr w:rsidR="00CE7452" w:rsidRPr="008D4C80" w14:paraId="32B3A961"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0D25638" w14:textId="77777777" w:rsidR="00CE7452" w:rsidRPr="008D4C80" w:rsidRDefault="00FB2E4F" w:rsidP="007B2BF7">
            <w:pPr>
              <w:ind w:left="-55" w:right="-42"/>
              <w:jc w:val="center"/>
              <w:rPr>
                <w:rFonts w:ascii="Calibri" w:hAnsi="Calibri" w:cs="Calibri"/>
                <w:color w:val="000000"/>
                <w:sz w:val="20"/>
                <w:szCs w:val="20"/>
              </w:rPr>
            </w:pPr>
            <w:r>
              <w:rPr>
                <w:rFonts w:ascii="Calibri" w:hAnsi="Calibri" w:cs="Calibri"/>
                <w:color w:val="000000"/>
                <w:sz w:val="20"/>
                <w:szCs w:val="20"/>
              </w:rPr>
              <w:t xml:space="preserve">OP </w:t>
            </w:r>
            <w:proofErr w:type="spellStart"/>
            <w:r w:rsidR="00CE7452" w:rsidRPr="008D4C80">
              <w:rPr>
                <w:rFonts w:ascii="Calibri" w:hAnsi="Calibri" w:cs="Calibri"/>
                <w:color w:val="000000"/>
                <w:sz w:val="20"/>
                <w:szCs w:val="20"/>
              </w:rPr>
              <w:t>VaVpI</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3042761D"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CZ.1.05/4.1.00/04.0136</w:t>
            </w:r>
          </w:p>
        </w:tc>
        <w:tc>
          <w:tcPr>
            <w:tcW w:w="2722" w:type="dxa"/>
            <w:tcBorders>
              <w:top w:val="nil"/>
              <w:left w:val="nil"/>
              <w:bottom w:val="single" w:sz="4" w:space="0" w:color="auto"/>
              <w:right w:val="single" w:sz="4" w:space="0" w:color="auto"/>
            </w:tcBorders>
            <w:shd w:val="clear" w:color="auto" w:fill="auto"/>
            <w:vAlign w:val="center"/>
            <w:hideMark/>
          </w:tcPr>
          <w:p w14:paraId="00BA133A"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Rozvoj infrastruktury pro výzkum a výuku na Lékařské fakultě UP</w:t>
            </w:r>
          </w:p>
        </w:tc>
        <w:tc>
          <w:tcPr>
            <w:tcW w:w="1911" w:type="dxa"/>
            <w:tcBorders>
              <w:top w:val="nil"/>
              <w:left w:val="nil"/>
              <w:bottom w:val="single" w:sz="4" w:space="0" w:color="auto"/>
              <w:right w:val="single" w:sz="4" w:space="0" w:color="auto"/>
            </w:tcBorders>
            <w:shd w:val="clear" w:color="auto" w:fill="auto"/>
            <w:vAlign w:val="center"/>
            <w:hideMark/>
          </w:tcPr>
          <w:p w14:paraId="7D803FA1"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Univerzita Palackého v Olomouci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160019"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688 411 925,93   </w:t>
            </w:r>
          </w:p>
        </w:tc>
        <w:tc>
          <w:tcPr>
            <w:tcW w:w="2625" w:type="dxa"/>
            <w:tcBorders>
              <w:top w:val="single" w:sz="4" w:space="0" w:color="auto"/>
              <w:left w:val="nil"/>
              <w:bottom w:val="single" w:sz="4" w:space="0" w:color="auto"/>
              <w:right w:val="single" w:sz="4" w:space="0" w:color="auto"/>
            </w:tcBorders>
            <w:vAlign w:val="center"/>
          </w:tcPr>
          <w:p w14:paraId="330E80CC"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w:t>
            </w:r>
            <w:r w:rsidR="00F70131">
              <w:rPr>
                <w:rFonts w:ascii="Calibri" w:hAnsi="Calibri" w:cs="Calibri"/>
                <w:color w:val="000000"/>
                <w:sz w:val="20"/>
                <w:szCs w:val="20"/>
              </w:rPr>
              <w:t xml:space="preserve">dostatečné </w:t>
            </w:r>
            <w:r>
              <w:rPr>
                <w:rFonts w:ascii="Calibri" w:hAnsi="Calibri" w:cs="Calibri"/>
                <w:color w:val="000000"/>
                <w:sz w:val="20"/>
                <w:szCs w:val="20"/>
              </w:rPr>
              <w:t xml:space="preserve">pojištění </w:t>
            </w:r>
            <w:r w:rsidR="00F70131">
              <w:rPr>
                <w:rFonts w:ascii="Calibri" w:hAnsi="Calibri" w:cs="Calibri"/>
                <w:color w:val="000000"/>
                <w:sz w:val="20"/>
                <w:szCs w:val="20"/>
              </w:rPr>
              <w:t>pořízeného movitého majetku</w:t>
            </w:r>
          </w:p>
        </w:tc>
        <w:tc>
          <w:tcPr>
            <w:tcW w:w="2127" w:type="dxa"/>
            <w:tcBorders>
              <w:top w:val="single" w:sz="4" w:space="0" w:color="auto"/>
              <w:left w:val="nil"/>
              <w:bottom w:val="single" w:sz="4" w:space="0" w:color="auto"/>
              <w:right w:val="single" w:sz="4" w:space="0" w:color="auto"/>
            </w:tcBorders>
            <w:vAlign w:val="center"/>
          </w:tcPr>
          <w:p w14:paraId="4E6FD10C" w14:textId="44FCE93E"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0–100 % vyplacené dotace, dle závažnosti</w:t>
            </w:r>
          </w:p>
        </w:tc>
      </w:tr>
      <w:tr w:rsidR="00CE7452" w:rsidRPr="008D4C80" w14:paraId="5A5213A8"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175B6EC"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OP</w:t>
            </w:r>
            <w:r w:rsidR="00FB2E4F">
              <w:rPr>
                <w:rFonts w:ascii="Calibri" w:hAnsi="Calibri" w:cs="Calibri"/>
                <w:color w:val="000000"/>
                <w:sz w:val="20"/>
                <w:szCs w:val="20"/>
              </w:rPr>
              <w:t xml:space="preserve"> </w:t>
            </w:r>
            <w:r w:rsidRPr="008D4C80">
              <w:rPr>
                <w:rFonts w:ascii="Calibri" w:hAnsi="Calibri" w:cs="Calibri"/>
                <w:color w:val="000000"/>
                <w:sz w:val="20"/>
                <w:szCs w:val="20"/>
              </w:rPr>
              <w:t>VK</w:t>
            </w:r>
          </w:p>
        </w:tc>
        <w:tc>
          <w:tcPr>
            <w:tcW w:w="2240" w:type="dxa"/>
            <w:tcBorders>
              <w:top w:val="nil"/>
              <w:left w:val="nil"/>
              <w:bottom w:val="single" w:sz="4" w:space="0" w:color="auto"/>
              <w:right w:val="single" w:sz="4" w:space="0" w:color="auto"/>
            </w:tcBorders>
            <w:shd w:val="clear" w:color="auto" w:fill="auto"/>
            <w:vAlign w:val="center"/>
            <w:hideMark/>
          </w:tcPr>
          <w:p w14:paraId="0BF7368E"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CZ.1.07/4.1.00/06.0020</w:t>
            </w:r>
          </w:p>
        </w:tc>
        <w:tc>
          <w:tcPr>
            <w:tcW w:w="2722" w:type="dxa"/>
            <w:tcBorders>
              <w:top w:val="nil"/>
              <w:left w:val="nil"/>
              <w:bottom w:val="single" w:sz="4" w:space="0" w:color="auto"/>
              <w:right w:val="single" w:sz="4" w:space="0" w:color="auto"/>
            </w:tcBorders>
            <w:shd w:val="clear" w:color="auto" w:fill="auto"/>
            <w:vAlign w:val="center"/>
            <w:hideMark/>
          </w:tcPr>
          <w:p w14:paraId="25F4AF9E"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Centra podpory inkluzivního vzdělávání</w:t>
            </w:r>
          </w:p>
        </w:tc>
        <w:tc>
          <w:tcPr>
            <w:tcW w:w="1911" w:type="dxa"/>
            <w:tcBorders>
              <w:top w:val="nil"/>
              <w:left w:val="nil"/>
              <w:bottom w:val="single" w:sz="4" w:space="0" w:color="auto"/>
              <w:right w:val="single" w:sz="4" w:space="0" w:color="auto"/>
            </w:tcBorders>
            <w:shd w:val="clear" w:color="auto" w:fill="auto"/>
            <w:vAlign w:val="center"/>
            <w:hideMark/>
          </w:tcPr>
          <w:p w14:paraId="3702058F"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MŠMT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9C0B86"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133 898 418,00   </w:t>
            </w:r>
          </w:p>
        </w:tc>
        <w:tc>
          <w:tcPr>
            <w:tcW w:w="2625" w:type="dxa"/>
            <w:tcBorders>
              <w:top w:val="single" w:sz="4" w:space="0" w:color="auto"/>
              <w:left w:val="nil"/>
              <w:bottom w:val="single" w:sz="4" w:space="0" w:color="auto"/>
              <w:right w:val="single" w:sz="4" w:space="0" w:color="auto"/>
            </w:tcBorders>
            <w:vAlign w:val="center"/>
          </w:tcPr>
          <w:p w14:paraId="747305F1"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Neúčelné vynaložení peněžních prostředků</w:t>
            </w:r>
          </w:p>
        </w:tc>
        <w:tc>
          <w:tcPr>
            <w:tcW w:w="2127" w:type="dxa"/>
            <w:tcBorders>
              <w:top w:val="single" w:sz="4" w:space="0" w:color="auto"/>
              <w:left w:val="nil"/>
              <w:bottom w:val="single" w:sz="4" w:space="0" w:color="auto"/>
              <w:right w:val="single" w:sz="4" w:space="0" w:color="auto"/>
            </w:tcBorders>
            <w:vAlign w:val="center"/>
          </w:tcPr>
          <w:p w14:paraId="7BB7EED3"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100 % vyplacené dotace</w:t>
            </w:r>
          </w:p>
        </w:tc>
      </w:tr>
      <w:tr w:rsidR="00CE7452" w:rsidRPr="008D4C80" w14:paraId="07A6FA51"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9C8E961"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OP</w:t>
            </w:r>
            <w:r w:rsidR="00FB2E4F">
              <w:rPr>
                <w:rFonts w:ascii="Calibri" w:hAnsi="Calibri" w:cs="Calibri"/>
                <w:color w:val="000000"/>
                <w:sz w:val="20"/>
                <w:szCs w:val="20"/>
              </w:rPr>
              <w:t xml:space="preserve"> </w:t>
            </w:r>
            <w:r w:rsidRPr="008D4C80">
              <w:rPr>
                <w:rFonts w:ascii="Calibri" w:hAnsi="Calibri" w:cs="Calibri"/>
                <w:color w:val="000000"/>
                <w:sz w:val="20"/>
                <w:szCs w:val="20"/>
              </w:rPr>
              <w:t>VK</w:t>
            </w:r>
          </w:p>
        </w:tc>
        <w:tc>
          <w:tcPr>
            <w:tcW w:w="2240" w:type="dxa"/>
            <w:tcBorders>
              <w:top w:val="nil"/>
              <w:left w:val="nil"/>
              <w:bottom w:val="single" w:sz="4" w:space="0" w:color="auto"/>
              <w:right w:val="single" w:sz="4" w:space="0" w:color="auto"/>
            </w:tcBorders>
            <w:shd w:val="clear" w:color="auto" w:fill="auto"/>
            <w:vAlign w:val="center"/>
            <w:hideMark/>
          </w:tcPr>
          <w:p w14:paraId="4BADDD71"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CZ.1.07/4.2.00/06.0003</w:t>
            </w:r>
          </w:p>
        </w:tc>
        <w:tc>
          <w:tcPr>
            <w:tcW w:w="2722" w:type="dxa"/>
            <w:tcBorders>
              <w:top w:val="nil"/>
              <w:left w:val="nil"/>
              <w:bottom w:val="single" w:sz="4" w:space="0" w:color="auto"/>
              <w:right w:val="single" w:sz="4" w:space="0" w:color="auto"/>
            </w:tcBorders>
            <w:shd w:val="clear" w:color="auto" w:fill="auto"/>
            <w:vAlign w:val="center"/>
            <w:hideMark/>
          </w:tcPr>
          <w:p w14:paraId="68152286"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Reforma terciárního vzdělávání</w:t>
            </w:r>
          </w:p>
        </w:tc>
        <w:tc>
          <w:tcPr>
            <w:tcW w:w="1911" w:type="dxa"/>
            <w:tcBorders>
              <w:top w:val="nil"/>
              <w:left w:val="nil"/>
              <w:bottom w:val="single" w:sz="4" w:space="0" w:color="auto"/>
              <w:right w:val="single" w:sz="4" w:space="0" w:color="auto"/>
            </w:tcBorders>
            <w:shd w:val="clear" w:color="auto" w:fill="auto"/>
            <w:vAlign w:val="center"/>
            <w:hideMark/>
          </w:tcPr>
          <w:p w14:paraId="0DDA4CCB"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MŠMT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0C09F"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48 693 789,00   </w:t>
            </w:r>
          </w:p>
        </w:tc>
        <w:tc>
          <w:tcPr>
            <w:tcW w:w="2625" w:type="dxa"/>
            <w:tcBorders>
              <w:top w:val="single" w:sz="4" w:space="0" w:color="auto"/>
              <w:left w:val="nil"/>
              <w:bottom w:val="single" w:sz="4" w:space="0" w:color="auto"/>
              <w:right w:val="single" w:sz="4" w:space="0" w:color="auto"/>
            </w:tcBorders>
            <w:vAlign w:val="center"/>
          </w:tcPr>
          <w:p w14:paraId="1FAA4212"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Neúčelné vynaložení peněžních prostředků</w:t>
            </w:r>
          </w:p>
        </w:tc>
        <w:tc>
          <w:tcPr>
            <w:tcW w:w="2127" w:type="dxa"/>
            <w:tcBorders>
              <w:top w:val="single" w:sz="4" w:space="0" w:color="auto"/>
              <w:left w:val="nil"/>
              <w:bottom w:val="single" w:sz="4" w:space="0" w:color="auto"/>
              <w:right w:val="single" w:sz="4" w:space="0" w:color="auto"/>
            </w:tcBorders>
            <w:vAlign w:val="center"/>
          </w:tcPr>
          <w:p w14:paraId="61B569C1"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100 % vyplacené dotace</w:t>
            </w:r>
          </w:p>
        </w:tc>
      </w:tr>
      <w:tr w:rsidR="00CE7452" w:rsidRPr="008D4C80" w14:paraId="581B43CD" w14:textId="77777777" w:rsidTr="00F2519F">
        <w:trPr>
          <w:trHeight w:val="283"/>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BDDA9CD" w14:textId="77777777" w:rsidR="00CE7452" w:rsidRPr="008D4C80" w:rsidRDefault="00CE7452" w:rsidP="007B2BF7">
            <w:pPr>
              <w:ind w:left="-55" w:right="-42"/>
              <w:jc w:val="center"/>
              <w:rPr>
                <w:rFonts w:ascii="Calibri" w:hAnsi="Calibri" w:cs="Calibri"/>
                <w:color w:val="000000"/>
                <w:sz w:val="20"/>
                <w:szCs w:val="20"/>
              </w:rPr>
            </w:pPr>
            <w:r w:rsidRPr="008D4C80">
              <w:rPr>
                <w:rFonts w:ascii="Calibri" w:hAnsi="Calibri" w:cs="Calibri"/>
                <w:color w:val="000000"/>
                <w:sz w:val="20"/>
                <w:szCs w:val="20"/>
              </w:rPr>
              <w:t>OP</w:t>
            </w:r>
            <w:r w:rsidR="00FB2E4F">
              <w:rPr>
                <w:rFonts w:ascii="Calibri" w:hAnsi="Calibri" w:cs="Calibri"/>
                <w:color w:val="000000"/>
                <w:sz w:val="20"/>
                <w:szCs w:val="20"/>
              </w:rPr>
              <w:t xml:space="preserve"> </w:t>
            </w:r>
            <w:r w:rsidRPr="008D4C80">
              <w:rPr>
                <w:rFonts w:ascii="Calibri" w:hAnsi="Calibri" w:cs="Calibri"/>
                <w:color w:val="000000"/>
                <w:sz w:val="20"/>
                <w:szCs w:val="20"/>
              </w:rPr>
              <w:t>VK</w:t>
            </w:r>
          </w:p>
        </w:tc>
        <w:tc>
          <w:tcPr>
            <w:tcW w:w="2240" w:type="dxa"/>
            <w:tcBorders>
              <w:top w:val="nil"/>
              <w:left w:val="nil"/>
              <w:bottom w:val="single" w:sz="4" w:space="0" w:color="auto"/>
              <w:right w:val="single" w:sz="4" w:space="0" w:color="auto"/>
            </w:tcBorders>
            <w:shd w:val="clear" w:color="auto" w:fill="auto"/>
            <w:vAlign w:val="center"/>
            <w:hideMark/>
          </w:tcPr>
          <w:p w14:paraId="71C7F609"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CZ.1.07/4.2.00/06.0006</w:t>
            </w:r>
          </w:p>
        </w:tc>
        <w:tc>
          <w:tcPr>
            <w:tcW w:w="2722" w:type="dxa"/>
            <w:tcBorders>
              <w:top w:val="nil"/>
              <w:left w:val="nil"/>
              <w:bottom w:val="single" w:sz="4" w:space="0" w:color="auto"/>
              <w:right w:val="single" w:sz="4" w:space="0" w:color="auto"/>
            </w:tcBorders>
            <w:shd w:val="clear" w:color="auto" w:fill="auto"/>
            <w:vAlign w:val="center"/>
            <w:hideMark/>
          </w:tcPr>
          <w:p w14:paraId="1F36ABEF" w14:textId="5CF39E3A"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Mezinárodní audit výzkumu, v</w:t>
            </w:r>
            <w:r w:rsidR="007B2BF7">
              <w:rPr>
                <w:rFonts w:ascii="Calibri" w:hAnsi="Calibri" w:cs="Calibri"/>
                <w:color w:val="000000"/>
                <w:sz w:val="20"/>
                <w:szCs w:val="20"/>
              </w:rPr>
              <w:t>ývoje a inovací v ČR a </w:t>
            </w:r>
            <w:r w:rsidRPr="008D4C80">
              <w:rPr>
                <w:rFonts w:ascii="Calibri" w:hAnsi="Calibri" w:cs="Calibri"/>
                <w:color w:val="000000"/>
                <w:sz w:val="20"/>
                <w:szCs w:val="20"/>
              </w:rPr>
              <w:t>implementace jeho výsledků do strategických dokumentů</w:t>
            </w:r>
          </w:p>
        </w:tc>
        <w:tc>
          <w:tcPr>
            <w:tcW w:w="1911" w:type="dxa"/>
            <w:tcBorders>
              <w:top w:val="nil"/>
              <w:left w:val="nil"/>
              <w:bottom w:val="single" w:sz="4" w:space="0" w:color="auto"/>
              <w:right w:val="single" w:sz="4" w:space="0" w:color="auto"/>
            </w:tcBorders>
            <w:shd w:val="clear" w:color="auto" w:fill="auto"/>
            <w:vAlign w:val="center"/>
            <w:hideMark/>
          </w:tcPr>
          <w:p w14:paraId="0F6EC2A0" w14:textId="77777777" w:rsidR="00CE7452" w:rsidRPr="008D4C80" w:rsidRDefault="00CE7452" w:rsidP="003D75E4">
            <w:pPr>
              <w:rPr>
                <w:rFonts w:ascii="Calibri" w:hAnsi="Calibri" w:cs="Calibri"/>
                <w:color w:val="000000"/>
                <w:sz w:val="20"/>
                <w:szCs w:val="20"/>
              </w:rPr>
            </w:pPr>
            <w:r w:rsidRPr="008D4C80">
              <w:rPr>
                <w:rFonts w:ascii="Calibri" w:hAnsi="Calibri" w:cs="Calibri"/>
                <w:color w:val="000000"/>
                <w:sz w:val="20"/>
                <w:szCs w:val="20"/>
              </w:rPr>
              <w:t>MŠMT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2D1C97" w14:textId="77777777" w:rsidR="00CE7452" w:rsidRPr="008D4C80" w:rsidRDefault="00CE7452" w:rsidP="003D75E4">
            <w:pPr>
              <w:jc w:val="right"/>
              <w:rPr>
                <w:rFonts w:ascii="Calibri" w:hAnsi="Calibri" w:cs="Calibri"/>
                <w:color w:val="000000"/>
                <w:sz w:val="20"/>
                <w:szCs w:val="20"/>
              </w:rPr>
            </w:pPr>
            <w:r w:rsidRPr="008D4C80">
              <w:rPr>
                <w:rFonts w:ascii="Calibri" w:hAnsi="Calibri" w:cs="Calibri"/>
                <w:color w:val="000000"/>
                <w:sz w:val="20"/>
                <w:szCs w:val="20"/>
              </w:rPr>
              <w:t xml:space="preserve">61 447 660,00   </w:t>
            </w:r>
          </w:p>
        </w:tc>
        <w:tc>
          <w:tcPr>
            <w:tcW w:w="2625" w:type="dxa"/>
            <w:tcBorders>
              <w:top w:val="single" w:sz="4" w:space="0" w:color="auto"/>
              <w:left w:val="nil"/>
              <w:bottom w:val="single" w:sz="4" w:space="0" w:color="auto"/>
              <w:right w:val="single" w:sz="4" w:space="0" w:color="auto"/>
            </w:tcBorders>
            <w:vAlign w:val="center"/>
          </w:tcPr>
          <w:p w14:paraId="08AE83A2"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Neúčelné vynaložení peněžních prostředků</w:t>
            </w:r>
          </w:p>
        </w:tc>
        <w:tc>
          <w:tcPr>
            <w:tcW w:w="2127" w:type="dxa"/>
            <w:tcBorders>
              <w:top w:val="single" w:sz="4" w:space="0" w:color="auto"/>
              <w:left w:val="nil"/>
              <w:bottom w:val="single" w:sz="4" w:space="0" w:color="auto"/>
              <w:right w:val="single" w:sz="4" w:space="0" w:color="auto"/>
            </w:tcBorders>
            <w:vAlign w:val="center"/>
          </w:tcPr>
          <w:p w14:paraId="29FC88DD" w14:textId="77777777" w:rsidR="00CE7452" w:rsidRPr="008D4C80" w:rsidRDefault="00CE7452" w:rsidP="003D75E4">
            <w:pPr>
              <w:rPr>
                <w:rFonts w:ascii="Calibri" w:hAnsi="Calibri" w:cs="Calibri"/>
                <w:color w:val="000000"/>
                <w:sz w:val="20"/>
                <w:szCs w:val="20"/>
              </w:rPr>
            </w:pPr>
            <w:r>
              <w:rPr>
                <w:rFonts w:ascii="Calibri" w:hAnsi="Calibri" w:cs="Calibri"/>
                <w:color w:val="000000"/>
                <w:sz w:val="20"/>
                <w:szCs w:val="20"/>
              </w:rPr>
              <w:t>100 % vyplacené dotace</w:t>
            </w:r>
          </w:p>
        </w:tc>
      </w:tr>
    </w:tbl>
    <w:p w14:paraId="2904EE2F" w14:textId="77777777" w:rsidR="00CE7452" w:rsidRPr="008D4C80" w:rsidRDefault="00CE7452" w:rsidP="00CE7452">
      <w:pPr>
        <w:rPr>
          <w:sz w:val="2"/>
          <w:szCs w:val="2"/>
        </w:rPr>
      </w:pPr>
    </w:p>
    <w:sectPr w:rsidR="00CE7452" w:rsidRPr="008D4C80" w:rsidSect="003D75E4">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F24F" w14:textId="77777777" w:rsidR="00BF1A26" w:rsidRDefault="00BF1A26" w:rsidP="00236C8C">
      <w:r>
        <w:separator/>
      </w:r>
    </w:p>
  </w:endnote>
  <w:endnote w:type="continuationSeparator" w:id="0">
    <w:p w14:paraId="47FDC2AC" w14:textId="77777777" w:rsidR="00BF1A26" w:rsidRDefault="00BF1A26" w:rsidP="00236C8C">
      <w:r>
        <w:continuationSeparator/>
      </w:r>
    </w:p>
  </w:endnote>
  <w:endnote w:type="continuationNotice" w:id="1">
    <w:p w14:paraId="52C2B805" w14:textId="77777777" w:rsidR="00BF1A26" w:rsidRDefault="00BF1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FCHLL+Verdana">
    <w:altName w:val="Verda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C902" w14:textId="60F33704" w:rsidR="00BF1A26" w:rsidRPr="00420E40" w:rsidRDefault="00BF1A26" w:rsidP="00D34DCA">
    <w:pPr>
      <w:pStyle w:val="Zpat"/>
      <w:jc w:val="center"/>
      <w:rPr>
        <w:rFonts w:ascii="Calibri" w:hAnsi="Calibri" w:cs="Calibri"/>
      </w:rPr>
    </w:pPr>
    <w:r w:rsidRPr="00420E40">
      <w:rPr>
        <w:rFonts w:ascii="Calibri" w:hAnsi="Calibri" w:cs="Calibri"/>
      </w:rPr>
      <w:fldChar w:fldCharType="begin"/>
    </w:r>
    <w:r w:rsidRPr="00420E40">
      <w:rPr>
        <w:rFonts w:ascii="Calibri" w:hAnsi="Calibri" w:cs="Calibri"/>
      </w:rPr>
      <w:instrText>PAGE   \* MERGEFORMAT</w:instrText>
    </w:r>
    <w:r w:rsidRPr="00420E40">
      <w:rPr>
        <w:rFonts w:ascii="Calibri" w:hAnsi="Calibri" w:cs="Calibri"/>
      </w:rPr>
      <w:fldChar w:fldCharType="separate"/>
    </w:r>
    <w:r w:rsidR="00A21111">
      <w:rPr>
        <w:rFonts w:ascii="Calibri" w:hAnsi="Calibri" w:cs="Calibri"/>
        <w:noProof/>
      </w:rPr>
      <w:t>21</w:t>
    </w:r>
    <w:r w:rsidRPr="00420E40">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93B7" w14:textId="77777777" w:rsidR="00BF1A26" w:rsidRDefault="00BF1A26">
    <w:pPr>
      <w:pStyle w:val="Zpat"/>
    </w:pPr>
  </w:p>
  <w:p w14:paraId="702D9CE8" w14:textId="77777777" w:rsidR="00BF1A26" w:rsidRDefault="00BF1A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F1AB" w14:textId="0AEC5332" w:rsidR="00BF1A26" w:rsidRDefault="00BF1A26" w:rsidP="007B2BF7">
    <w:pPr>
      <w:pStyle w:val="Zpat"/>
      <w:jc w:val="center"/>
    </w:pPr>
    <w:r w:rsidRPr="00420E40">
      <w:rPr>
        <w:rFonts w:ascii="Calibri" w:hAnsi="Calibri" w:cs="Calibri"/>
      </w:rPr>
      <w:fldChar w:fldCharType="begin"/>
    </w:r>
    <w:r w:rsidRPr="00420E40">
      <w:rPr>
        <w:rFonts w:ascii="Calibri" w:hAnsi="Calibri" w:cs="Calibri"/>
      </w:rPr>
      <w:instrText>PAGE   \* MERGEFORMAT</w:instrText>
    </w:r>
    <w:r w:rsidRPr="00420E40">
      <w:rPr>
        <w:rFonts w:ascii="Calibri" w:hAnsi="Calibri" w:cs="Calibri"/>
      </w:rPr>
      <w:fldChar w:fldCharType="separate"/>
    </w:r>
    <w:r w:rsidR="00A21111">
      <w:rPr>
        <w:rFonts w:ascii="Calibri" w:hAnsi="Calibri" w:cs="Calibri"/>
        <w:noProof/>
      </w:rPr>
      <w:t>22</w:t>
    </w:r>
    <w:r w:rsidRPr="00420E40">
      <w:rPr>
        <w:rFonts w:ascii="Calibri" w:hAnsi="Calibri" w:cs="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907F5" w14:textId="77777777" w:rsidR="00BF1A26" w:rsidRDefault="00BF1A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2808" w14:textId="77777777" w:rsidR="00BF1A26" w:rsidRDefault="00BF1A26" w:rsidP="00236C8C">
      <w:r>
        <w:separator/>
      </w:r>
    </w:p>
  </w:footnote>
  <w:footnote w:type="continuationSeparator" w:id="0">
    <w:p w14:paraId="3028A1C0" w14:textId="77777777" w:rsidR="00BF1A26" w:rsidRDefault="00BF1A26" w:rsidP="00236C8C">
      <w:r>
        <w:continuationSeparator/>
      </w:r>
    </w:p>
  </w:footnote>
  <w:footnote w:type="continuationNotice" w:id="1">
    <w:p w14:paraId="12D69318" w14:textId="77777777" w:rsidR="00BF1A26" w:rsidRDefault="00BF1A26"/>
  </w:footnote>
  <w:footnote w:id="2">
    <w:p w14:paraId="54506021" w14:textId="23FA02EE" w:rsidR="00BF1A26" w:rsidRPr="002D2C6A" w:rsidRDefault="00BF1A26" w:rsidP="009B1E5B">
      <w:pPr>
        <w:pStyle w:val="Textpoznpodarou"/>
        <w:ind w:left="284" w:hanging="284"/>
        <w:jc w:val="both"/>
        <w:rPr>
          <w:rFonts w:asciiTheme="minorHAnsi" w:hAnsiTheme="minorHAnsi" w:cstheme="minorHAnsi"/>
          <w:sz w:val="18"/>
          <w:szCs w:val="18"/>
        </w:rPr>
      </w:pPr>
      <w:r w:rsidRPr="002D2C6A">
        <w:rPr>
          <w:rStyle w:val="Znakapoznpodarou"/>
          <w:rFonts w:asciiTheme="minorHAnsi" w:hAnsiTheme="minorHAnsi" w:cstheme="minorHAnsi"/>
          <w:sz w:val="18"/>
          <w:szCs w:val="18"/>
        </w:rPr>
        <w:footnoteRef/>
      </w:r>
      <w:r>
        <w:rPr>
          <w:rFonts w:asciiTheme="minorHAnsi" w:hAnsiTheme="minorHAnsi" w:cstheme="minorHAnsi"/>
          <w:sz w:val="18"/>
          <w:szCs w:val="18"/>
        </w:rPr>
        <w:tab/>
        <w:t>Čl. 57 n</w:t>
      </w:r>
      <w:r w:rsidRPr="002D2C6A">
        <w:rPr>
          <w:rFonts w:asciiTheme="minorHAnsi" w:hAnsiTheme="minorHAnsi" w:cstheme="minorHAnsi"/>
          <w:sz w:val="18"/>
          <w:szCs w:val="18"/>
        </w:rPr>
        <w:t>ařízení Rady (ES) 1083/2006 ze dne 11. července 2006</w:t>
      </w:r>
      <w:r>
        <w:rPr>
          <w:rFonts w:asciiTheme="minorHAnsi" w:hAnsiTheme="minorHAnsi" w:cstheme="minorHAnsi"/>
          <w:sz w:val="18"/>
          <w:szCs w:val="18"/>
        </w:rPr>
        <w:t>,</w:t>
      </w:r>
      <w:r w:rsidRPr="002D2C6A">
        <w:rPr>
          <w:rFonts w:asciiTheme="minorHAnsi" w:hAnsiTheme="minorHAnsi" w:cstheme="minorHAnsi"/>
          <w:sz w:val="18"/>
          <w:szCs w:val="18"/>
        </w:rPr>
        <w:t xml:space="preserve"> o obecných ustanoveních o Evropském fondu pro regionální rozvoj, Evropském sociálním fondu a Fondu soudržnosti a o zrušení nařízení (ES) č. 1260/1999.</w:t>
      </w:r>
    </w:p>
  </w:footnote>
  <w:footnote w:id="3">
    <w:p w14:paraId="2A84A1DD" w14:textId="494F18E9" w:rsidR="00BF1A26" w:rsidRPr="005F0936" w:rsidRDefault="00BF1A26" w:rsidP="009B1E5B">
      <w:pPr>
        <w:pStyle w:val="Textpoznpodarou"/>
        <w:ind w:left="284" w:hanging="284"/>
        <w:jc w:val="both"/>
        <w:rPr>
          <w:rFonts w:asciiTheme="minorHAnsi" w:hAnsiTheme="minorHAnsi" w:cstheme="minorHAnsi"/>
          <w:sz w:val="18"/>
          <w:szCs w:val="18"/>
        </w:rPr>
      </w:pPr>
      <w:r w:rsidRPr="002D2C6A">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2D2C6A">
        <w:rPr>
          <w:rFonts w:asciiTheme="minorHAnsi" w:hAnsiTheme="minorHAnsi" w:cstheme="minorHAnsi"/>
          <w:sz w:val="18"/>
          <w:szCs w:val="18"/>
        </w:rPr>
        <w:t xml:space="preserve">Nařízení Evropského parlamentu a Rady (EU) č. 539/2010 ze dne 16. června 2010, kterým se mění nařízení Rady (ES) </w:t>
      </w:r>
      <w:r w:rsidRPr="005F0936">
        <w:rPr>
          <w:rFonts w:asciiTheme="minorHAnsi" w:hAnsiTheme="minorHAnsi" w:cstheme="minorHAnsi"/>
          <w:sz w:val="18"/>
          <w:szCs w:val="18"/>
        </w:rPr>
        <w:t>č. 1083/2006</w:t>
      </w:r>
      <w:r>
        <w:rPr>
          <w:rFonts w:asciiTheme="minorHAnsi" w:hAnsiTheme="minorHAnsi" w:cstheme="minorHAnsi"/>
          <w:sz w:val="18"/>
          <w:szCs w:val="18"/>
        </w:rPr>
        <w:t>,</w:t>
      </w:r>
      <w:r w:rsidRPr="005F0936">
        <w:rPr>
          <w:rFonts w:asciiTheme="minorHAnsi" w:hAnsiTheme="minorHAnsi" w:cstheme="minorHAnsi"/>
          <w:sz w:val="18"/>
          <w:szCs w:val="18"/>
        </w:rPr>
        <w:t xml:space="preserve"> o obecných ustanoveních o Evropském fondu pro regionální rozvoj, Evropském sociálním fondu a Fondu soudržnosti, pokud jde o zjednodušení určitých požadavků a o některá ustanovení týkající se finančního řízení.</w:t>
      </w:r>
    </w:p>
  </w:footnote>
  <w:footnote w:id="4">
    <w:p w14:paraId="3D4266E3" w14:textId="251BD194" w:rsidR="00BF1A26" w:rsidRPr="00700955" w:rsidRDefault="00BF1A26" w:rsidP="009B1E5B">
      <w:pPr>
        <w:pStyle w:val="Textpoznpodarou"/>
        <w:ind w:left="284" w:hanging="284"/>
        <w:jc w:val="both"/>
        <w:rPr>
          <w:rFonts w:asciiTheme="minorHAnsi" w:hAnsiTheme="minorHAnsi" w:cstheme="minorHAnsi"/>
          <w:sz w:val="18"/>
          <w:szCs w:val="18"/>
        </w:rPr>
      </w:pPr>
      <w:r w:rsidRPr="00700955">
        <w:rPr>
          <w:rStyle w:val="Znakapoznpodarou"/>
          <w:rFonts w:asciiTheme="minorHAnsi" w:hAnsiTheme="minorHAnsi" w:cstheme="minorHAnsi"/>
          <w:sz w:val="18"/>
          <w:szCs w:val="18"/>
        </w:rPr>
        <w:footnoteRef/>
      </w:r>
      <w:r>
        <w:rPr>
          <w:rFonts w:asciiTheme="minorHAnsi" w:hAnsiTheme="minorHAnsi" w:cstheme="minorHAnsi"/>
          <w:sz w:val="18"/>
          <w:szCs w:val="18"/>
        </w:rPr>
        <w:tab/>
        <w:t xml:space="preserve">Čl. 27 nařízení Rady (ES, Euratom) č. 1605/2002 ze dne 25. června 2002, </w:t>
      </w:r>
      <w:r w:rsidRPr="00700955">
        <w:rPr>
          <w:rFonts w:asciiTheme="minorHAnsi" w:hAnsiTheme="minorHAnsi" w:cstheme="minorHAnsi"/>
          <w:sz w:val="18"/>
          <w:szCs w:val="18"/>
        </w:rPr>
        <w:t>kterým</w:t>
      </w:r>
      <w:r>
        <w:rPr>
          <w:rFonts w:asciiTheme="minorHAnsi" w:hAnsiTheme="minorHAnsi" w:cstheme="minorHAnsi"/>
          <w:sz w:val="18"/>
          <w:szCs w:val="18"/>
        </w:rPr>
        <w:t xml:space="preserve"> se stanoví finanční nařízení o </w:t>
      </w:r>
      <w:r w:rsidRPr="00700955">
        <w:rPr>
          <w:rFonts w:asciiTheme="minorHAnsi" w:hAnsiTheme="minorHAnsi" w:cstheme="minorHAnsi"/>
          <w:sz w:val="18"/>
          <w:szCs w:val="18"/>
        </w:rPr>
        <w:t>souhrnném rozpočtu Evropských společenství</w:t>
      </w:r>
      <w:r>
        <w:rPr>
          <w:rFonts w:asciiTheme="minorHAnsi" w:hAnsiTheme="minorHAnsi" w:cstheme="minorHAnsi"/>
          <w:sz w:val="18"/>
          <w:szCs w:val="18"/>
        </w:rPr>
        <w:t>, resp. čl. 30 n</w:t>
      </w:r>
      <w:r w:rsidRPr="00700955">
        <w:rPr>
          <w:rFonts w:asciiTheme="minorHAnsi" w:hAnsiTheme="minorHAnsi" w:cstheme="minorHAnsi"/>
          <w:sz w:val="18"/>
          <w:szCs w:val="18"/>
        </w:rPr>
        <w:t>ařízení</w:t>
      </w:r>
      <w:r>
        <w:rPr>
          <w:rFonts w:asciiTheme="minorHAnsi" w:hAnsiTheme="minorHAnsi" w:cstheme="minorHAnsi"/>
          <w:sz w:val="18"/>
          <w:szCs w:val="18"/>
        </w:rPr>
        <w:t xml:space="preserve"> Evropského parlamentu a Rady (EU, Euratom) č. </w:t>
      </w:r>
      <w:r w:rsidRPr="00700955">
        <w:rPr>
          <w:rFonts w:asciiTheme="minorHAnsi" w:hAnsiTheme="minorHAnsi" w:cstheme="minorHAnsi"/>
          <w:sz w:val="18"/>
          <w:szCs w:val="18"/>
        </w:rPr>
        <w:t>966/2012 ze dne 25.</w:t>
      </w:r>
      <w:r>
        <w:rPr>
          <w:rFonts w:asciiTheme="minorHAnsi" w:hAnsiTheme="minorHAnsi" w:cstheme="minorHAnsi"/>
          <w:sz w:val="18"/>
          <w:szCs w:val="18"/>
        </w:rPr>
        <w:t> </w:t>
      </w:r>
      <w:r w:rsidRPr="00700955">
        <w:rPr>
          <w:rFonts w:asciiTheme="minorHAnsi" w:hAnsiTheme="minorHAnsi" w:cstheme="minorHAnsi"/>
          <w:sz w:val="18"/>
          <w:szCs w:val="18"/>
        </w:rPr>
        <w:t>října 2012, kterým se stanoví finanční pravidla o souhrnném rozpočtu Unie a o zrušení nařízení Rady (ES, Euratom) č.</w:t>
      </w:r>
      <w:r>
        <w:rPr>
          <w:rFonts w:asciiTheme="minorHAnsi" w:hAnsiTheme="minorHAnsi" w:cstheme="minorHAnsi"/>
          <w:sz w:val="18"/>
          <w:szCs w:val="18"/>
        </w:rPr>
        <w:t> </w:t>
      </w:r>
      <w:r w:rsidRPr="00700955">
        <w:rPr>
          <w:rFonts w:asciiTheme="minorHAnsi" w:hAnsiTheme="minorHAnsi" w:cstheme="minorHAnsi"/>
          <w:sz w:val="18"/>
          <w:szCs w:val="18"/>
        </w:rPr>
        <w:t>1605/2002</w:t>
      </w:r>
      <w:r>
        <w:rPr>
          <w:rFonts w:asciiTheme="minorHAnsi" w:hAnsiTheme="minorHAnsi" w:cstheme="minorHAnsi"/>
          <w:sz w:val="18"/>
          <w:szCs w:val="18"/>
        </w:rPr>
        <w:t>.</w:t>
      </w:r>
    </w:p>
  </w:footnote>
  <w:footnote w:id="5">
    <w:p w14:paraId="3771F6DF" w14:textId="70FEBC47" w:rsidR="00BF1A26" w:rsidRPr="00F0166B" w:rsidRDefault="00BF1A26" w:rsidP="009B1E5B">
      <w:pPr>
        <w:pStyle w:val="Textpoznpodarou"/>
        <w:ind w:left="284" w:hanging="284"/>
        <w:jc w:val="both"/>
        <w:rPr>
          <w:rFonts w:asciiTheme="minorHAnsi" w:hAnsiTheme="minorHAnsi" w:cstheme="minorHAnsi"/>
          <w:sz w:val="18"/>
          <w:szCs w:val="18"/>
        </w:rPr>
      </w:pPr>
      <w:r w:rsidRPr="00F0166B">
        <w:rPr>
          <w:rStyle w:val="Znakapoznpodarou"/>
          <w:rFonts w:asciiTheme="minorHAnsi" w:hAnsiTheme="minorHAnsi" w:cstheme="minorHAnsi"/>
          <w:sz w:val="18"/>
          <w:szCs w:val="18"/>
        </w:rPr>
        <w:footnoteRef/>
      </w:r>
      <w:r>
        <w:rPr>
          <w:rFonts w:asciiTheme="minorHAnsi" w:hAnsiTheme="minorHAnsi" w:cstheme="minorHAnsi"/>
          <w:sz w:val="18"/>
          <w:szCs w:val="18"/>
        </w:rPr>
        <w:tab/>
        <w:t>Udržitelnost projektu nelze zaměňovat s udržitelným rozvojem. Požadavky na ochranu životního prostředí patří mezi tzv. horizontální témata a tato oblast je předmětem hodnocení žádostí o podporu, je-li to pro daný projekt relevantní.</w:t>
      </w:r>
    </w:p>
  </w:footnote>
  <w:footnote w:id="6">
    <w:p w14:paraId="2A188BC6" w14:textId="531DA9B6" w:rsidR="00BF1A26" w:rsidRPr="00017C59" w:rsidRDefault="00BF1A26" w:rsidP="009B1E5B">
      <w:pPr>
        <w:pStyle w:val="Textpoznpodarou"/>
        <w:ind w:left="284" w:hanging="284"/>
        <w:jc w:val="both"/>
        <w:rPr>
          <w:rFonts w:asciiTheme="minorHAnsi" w:hAnsiTheme="minorHAnsi" w:cstheme="minorHAnsi"/>
          <w:sz w:val="18"/>
          <w:szCs w:val="18"/>
        </w:rPr>
      </w:pPr>
      <w:r w:rsidRPr="00017C59">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017C59">
        <w:rPr>
          <w:rFonts w:asciiTheme="minorHAnsi" w:hAnsiTheme="minorHAnsi" w:cstheme="minorHAnsi"/>
          <w:sz w:val="18"/>
          <w:szCs w:val="18"/>
        </w:rPr>
        <w:t>Společensky prospěšné podnikatelské aktivity, jejichž cílem je řešit otázky nezaměst</w:t>
      </w:r>
      <w:r>
        <w:rPr>
          <w:rFonts w:asciiTheme="minorHAnsi" w:hAnsiTheme="minorHAnsi" w:cstheme="minorHAnsi"/>
          <w:sz w:val="18"/>
          <w:szCs w:val="18"/>
        </w:rPr>
        <w:t>nanosti, sociální soudržnosti a </w:t>
      </w:r>
      <w:r w:rsidRPr="00017C59">
        <w:rPr>
          <w:rFonts w:asciiTheme="minorHAnsi" w:hAnsiTheme="minorHAnsi" w:cstheme="minorHAnsi"/>
          <w:sz w:val="18"/>
          <w:szCs w:val="18"/>
        </w:rPr>
        <w:t xml:space="preserve">místního rozvoje. Prostřednictvím sociálního podnikání je </w:t>
      </w:r>
      <w:r>
        <w:rPr>
          <w:rFonts w:asciiTheme="minorHAnsi" w:hAnsiTheme="minorHAnsi" w:cstheme="minorHAnsi"/>
          <w:sz w:val="18"/>
          <w:szCs w:val="18"/>
        </w:rPr>
        <w:t xml:space="preserve">znevýhodněným a sociálně </w:t>
      </w:r>
      <w:r w:rsidRPr="00017C59">
        <w:rPr>
          <w:rFonts w:asciiTheme="minorHAnsi" w:hAnsiTheme="minorHAnsi" w:cstheme="minorHAnsi"/>
          <w:sz w:val="18"/>
          <w:szCs w:val="18"/>
        </w:rPr>
        <w:t>vyloučeným osobám umožněn vstup na trh práce a do podnikatelského prostředí. Větší část zisku je investována zpět do rozvoje sociálního podniku.</w:t>
      </w:r>
    </w:p>
  </w:footnote>
  <w:footnote w:id="7">
    <w:p w14:paraId="34048C13" w14:textId="23FE17EC" w:rsidR="00BF1A26" w:rsidRPr="00A71200" w:rsidRDefault="00BF1A26" w:rsidP="002F0CFD">
      <w:pPr>
        <w:pStyle w:val="Textpoznpodarou"/>
        <w:ind w:left="284" w:hanging="284"/>
        <w:jc w:val="both"/>
        <w:rPr>
          <w:rFonts w:asciiTheme="minorHAnsi" w:hAnsiTheme="minorHAnsi" w:cstheme="minorHAnsi"/>
          <w:sz w:val="18"/>
          <w:szCs w:val="18"/>
        </w:rPr>
      </w:pPr>
      <w:r w:rsidRPr="00A71200">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A71200">
        <w:rPr>
          <w:rFonts w:asciiTheme="minorHAnsi" w:hAnsiTheme="minorHAnsi" w:cstheme="minorHAnsi"/>
          <w:sz w:val="18"/>
          <w:szCs w:val="18"/>
        </w:rPr>
        <w:t xml:space="preserve">Uvedený poměr navíc nezohledňuje malé šablonové projekty </w:t>
      </w:r>
      <w:proofErr w:type="spellStart"/>
      <w:r w:rsidRPr="00A71200">
        <w:rPr>
          <w:rFonts w:asciiTheme="minorHAnsi" w:hAnsiTheme="minorHAnsi" w:cstheme="minorHAnsi"/>
          <w:sz w:val="18"/>
          <w:szCs w:val="18"/>
        </w:rPr>
        <w:t>CzechPoint</w:t>
      </w:r>
      <w:proofErr w:type="spellEnd"/>
      <w:r w:rsidRPr="00A71200">
        <w:rPr>
          <w:rFonts w:asciiTheme="minorHAnsi" w:hAnsiTheme="minorHAnsi" w:cstheme="minorHAnsi"/>
          <w:sz w:val="18"/>
          <w:szCs w:val="18"/>
        </w:rPr>
        <w:t>, při jejichž započtení by podíl projektů v době udržitelnosti na konci roku 2011 z dosud ukončených projektů IOP činil více než 80 %.</w:t>
      </w:r>
    </w:p>
  </w:footnote>
  <w:footnote w:id="8">
    <w:p w14:paraId="2955F5B7" w14:textId="46403D4C" w:rsidR="00BF1A26" w:rsidRPr="007C7112" w:rsidRDefault="00BF1A26" w:rsidP="002F0CFD">
      <w:pPr>
        <w:pStyle w:val="Textpoznpodarou"/>
        <w:ind w:left="284" w:hanging="284"/>
        <w:jc w:val="both"/>
        <w:rPr>
          <w:rFonts w:asciiTheme="minorHAnsi" w:hAnsiTheme="minorHAnsi" w:cstheme="minorHAnsi"/>
          <w:sz w:val="18"/>
          <w:szCs w:val="18"/>
        </w:rPr>
      </w:pPr>
      <w:r w:rsidRPr="007C7112">
        <w:rPr>
          <w:rStyle w:val="Znakapoznpodarou"/>
          <w:rFonts w:asciiTheme="minorHAnsi" w:hAnsiTheme="minorHAnsi" w:cstheme="minorHAnsi"/>
          <w:sz w:val="18"/>
          <w:szCs w:val="18"/>
        </w:rPr>
        <w:footnoteRef/>
      </w:r>
      <w:r>
        <w:rPr>
          <w:rFonts w:asciiTheme="minorHAnsi" w:hAnsiTheme="minorHAnsi" w:cstheme="minorHAnsi"/>
          <w:sz w:val="18"/>
          <w:szCs w:val="18"/>
        </w:rPr>
        <w:tab/>
        <w:t>Incentivní turistika zahrnuje motivační cesty a cesty za odměnu nabízené nebo poskytované zaměstnavatelem pro vlastní zaměstnance, případně i pro klíčové zaměstnance obchodních partnerů.</w:t>
      </w:r>
    </w:p>
  </w:footnote>
  <w:footnote w:id="9">
    <w:p w14:paraId="61C03B67" w14:textId="714C9CEF" w:rsidR="00BF1A26" w:rsidRPr="005F2F23" w:rsidRDefault="00BF1A26" w:rsidP="002F0CFD">
      <w:pPr>
        <w:pStyle w:val="Textpoznpodarou"/>
        <w:ind w:left="284" w:hanging="284"/>
        <w:jc w:val="both"/>
        <w:rPr>
          <w:rFonts w:asciiTheme="minorHAnsi" w:hAnsiTheme="minorHAnsi" w:cstheme="minorHAnsi"/>
          <w:sz w:val="18"/>
          <w:szCs w:val="18"/>
        </w:rPr>
      </w:pPr>
      <w:r w:rsidRPr="005F2F23">
        <w:rPr>
          <w:rStyle w:val="Znakapoznpodarou"/>
          <w:rFonts w:asciiTheme="minorHAnsi" w:hAnsiTheme="minorHAnsi" w:cstheme="minorHAnsi"/>
          <w:sz w:val="18"/>
          <w:szCs w:val="18"/>
        </w:rPr>
        <w:footnoteRef/>
      </w:r>
      <w:r>
        <w:rPr>
          <w:rFonts w:asciiTheme="minorHAnsi" w:hAnsiTheme="minorHAnsi" w:cstheme="minorHAnsi"/>
          <w:sz w:val="18"/>
          <w:szCs w:val="18"/>
        </w:rPr>
        <w:tab/>
        <w:t xml:space="preserve">Internetové portály obsahující garantovaná geografická data (satelitní snímky, data z leteckého snímkování apod.). </w:t>
      </w:r>
    </w:p>
  </w:footnote>
  <w:footnote w:id="10">
    <w:p w14:paraId="26B3DB07" w14:textId="232D7982" w:rsidR="00BF1A26" w:rsidRPr="00F94683" w:rsidRDefault="00BF1A26" w:rsidP="002F0CFD">
      <w:pPr>
        <w:pStyle w:val="Textpoznpodarou"/>
        <w:ind w:left="284" w:hanging="284"/>
        <w:jc w:val="both"/>
        <w:rPr>
          <w:rFonts w:asciiTheme="minorHAnsi" w:hAnsiTheme="minorHAnsi" w:cstheme="minorHAnsi"/>
          <w:sz w:val="18"/>
          <w:szCs w:val="18"/>
        </w:rPr>
      </w:pPr>
      <w:r w:rsidRPr="00F94683">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F94683">
        <w:rPr>
          <w:rFonts w:asciiTheme="minorHAnsi" w:hAnsiTheme="minorHAnsi" w:cstheme="minorHAnsi"/>
          <w:sz w:val="18"/>
          <w:szCs w:val="18"/>
        </w:rPr>
        <w:t>Posouvání termínů vyhlášení výběrových řízení a jejich následné zrušení z důvodu p</w:t>
      </w:r>
      <w:r>
        <w:rPr>
          <w:rFonts w:asciiTheme="minorHAnsi" w:hAnsiTheme="minorHAnsi" w:cstheme="minorHAnsi"/>
          <w:sz w:val="18"/>
          <w:szCs w:val="18"/>
        </w:rPr>
        <w:t>lánovaných organizačních změn v </w:t>
      </w:r>
      <w:r w:rsidRPr="00F94683">
        <w:rPr>
          <w:rFonts w:asciiTheme="minorHAnsi" w:hAnsiTheme="minorHAnsi" w:cstheme="minorHAnsi"/>
          <w:sz w:val="18"/>
          <w:szCs w:val="18"/>
        </w:rPr>
        <w:t>re</w:t>
      </w:r>
      <w:r>
        <w:rPr>
          <w:rFonts w:asciiTheme="minorHAnsi" w:hAnsiTheme="minorHAnsi" w:cstheme="minorHAnsi"/>
          <w:sz w:val="18"/>
          <w:szCs w:val="18"/>
        </w:rPr>
        <w:t>s</w:t>
      </w:r>
      <w:r w:rsidRPr="00F94683">
        <w:rPr>
          <w:rFonts w:asciiTheme="minorHAnsi" w:hAnsiTheme="minorHAnsi" w:cstheme="minorHAnsi"/>
          <w:sz w:val="18"/>
          <w:szCs w:val="18"/>
        </w:rPr>
        <w:t>ortu Ministerstva životního prostředí</w:t>
      </w:r>
      <w:r>
        <w:rPr>
          <w:rFonts w:asciiTheme="minorHAnsi" w:hAnsiTheme="minorHAnsi" w:cstheme="minorHAnsi"/>
          <w:sz w:val="18"/>
          <w:szCs w:val="18"/>
        </w:rPr>
        <w:t xml:space="preserve"> (sloučení příjemce podpory s jinou příspěvkovou organizací). Přestože k těmto změnám nakonec nedošlo, příjemci se již nepodařilo získat souhlas svého zřizovatele s vyhlášením výběrových řízení.</w:t>
      </w:r>
    </w:p>
  </w:footnote>
  <w:footnote w:id="11">
    <w:p w14:paraId="5CE651A4" w14:textId="4D517940" w:rsidR="00BF1A26" w:rsidRPr="00EA5292" w:rsidRDefault="00BF1A26" w:rsidP="002F0CFD">
      <w:pPr>
        <w:pStyle w:val="Textpoznpodarou"/>
        <w:ind w:left="284" w:hanging="284"/>
        <w:jc w:val="both"/>
        <w:rPr>
          <w:rFonts w:asciiTheme="minorHAnsi" w:hAnsiTheme="minorHAnsi" w:cstheme="minorHAnsi"/>
          <w:sz w:val="18"/>
          <w:szCs w:val="18"/>
        </w:rPr>
      </w:pPr>
      <w:r w:rsidRPr="00EA5292">
        <w:rPr>
          <w:rStyle w:val="Znakapoznpodarou"/>
          <w:rFonts w:asciiTheme="minorHAnsi" w:hAnsiTheme="minorHAnsi" w:cstheme="minorHAnsi"/>
          <w:sz w:val="18"/>
          <w:szCs w:val="18"/>
        </w:rPr>
        <w:footnoteRef/>
      </w:r>
      <w:r>
        <w:rPr>
          <w:rFonts w:asciiTheme="minorHAnsi" w:hAnsiTheme="minorHAnsi" w:cstheme="minorHAnsi"/>
          <w:sz w:val="18"/>
          <w:szCs w:val="18"/>
        </w:rPr>
        <w:tab/>
        <w:t>Čl. 13 odst. 4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footnote>
  <w:footnote w:id="12">
    <w:p w14:paraId="0AD6DFF7" w14:textId="2DF9FD08" w:rsidR="00BF1A26" w:rsidRPr="00C83921" w:rsidRDefault="00BF1A26" w:rsidP="002F0CFD">
      <w:pPr>
        <w:pStyle w:val="Textpoznpodarou"/>
        <w:ind w:left="284" w:hanging="284"/>
        <w:jc w:val="both"/>
        <w:rPr>
          <w:rFonts w:asciiTheme="minorHAnsi" w:hAnsiTheme="minorHAnsi" w:cstheme="minorHAnsi"/>
          <w:sz w:val="18"/>
          <w:szCs w:val="18"/>
        </w:rPr>
      </w:pPr>
      <w:r w:rsidRPr="00C83921">
        <w:rPr>
          <w:rStyle w:val="Znakapoznpodarou"/>
          <w:rFonts w:asciiTheme="minorHAnsi" w:eastAsiaTheme="majorEastAsia" w:hAnsiTheme="minorHAnsi" w:cstheme="minorHAnsi"/>
          <w:sz w:val="18"/>
          <w:szCs w:val="18"/>
        </w:rPr>
        <w:footnoteRef/>
      </w:r>
      <w:r>
        <w:rPr>
          <w:rFonts w:asciiTheme="minorHAnsi" w:hAnsiTheme="minorHAnsi" w:cstheme="minorHAnsi"/>
          <w:sz w:val="18"/>
          <w:szCs w:val="18"/>
        </w:rPr>
        <w:tab/>
        <w:t>N</w:t>
      </w:r>
      <w:r w:rsidRPr="00C83921">
        <w:rPr>
          <w:rFonts w:asciiTheme="minorHAnsi" w:hAnsiTheme="minorHAnsi" w:cstheme="minorHAnsi"/>
          <w:sz w:val="18"/>
          <w:szCs w:val="18"/>
        </w:rPr>
        <w:t>ařízení</w:t>
      </w:r>
      <w:r>
        <w:rPr>
          <w:rFonts w:asciiTheme="minorHAnsi" w:hAnsiTheme="minorHAnsi" w:cstheme="minorHAnsi"/>
          <w:sz w:val="18"/>
          <w:szCs w:val="18"/>
        </w:rPr>
        <w:t xml:space="preserve"> Evropského parlamentu a Rady (EU) č. 539/2010.</w:t>
      </w:r>
    </w:p>
  </w:footnote>
  <w:footnote w:id="13">
    <w:p w14:paraId="705AC2F8" w14:textId="0DC14C34" w:rsidR="00BF1A26" w:rsidRPr="00C83921" w:rsidRDefault="00BF1A26" w:rsidP="002F0CFD">
      <w:pPr>
        <w:pStyle w:val="Textpoznpodarou"/>
        <w:ind w:left="284" w:hanging="284"/>
        <w:jc w:val="both"/>
        <w:rPr>
          <w:rFonts w:asciiTheme="minorHAnsi" w:hAnsiTheme="minorHAnsi" w:cstheme="minorHAnsi"/>
          <w:sz w:val="18"/>
          <w:szCs w:val="18"/>
        </w:rPr>
      </w:pPr>
      <w:r w:rsidRPr="00C83921">
        <w:rPr>
          <w:rStyle w:val="Znakapoznpodarou"/>
          <w:rFonts w:asciiTheme="minorHAnsi" w:eastAsiaTheme="majorEastAsia" w:hAnsiTheme="minorHAnsi" w:cstheme="minorHAnsi"/>
          <w:sz w:val="18"/>
          <w:szCs w:val="18"/>
        </w:rPr>
        <w:footnoteRef/>
      </w:r>
      <w:r>
        <w:rPr>
          <w:rFonts w:asciiTheme="minorHAnsi" w:hAnsiTheme="minorHAnsi" w:cstheme="minorHAnsi"/>
          <w:sz w:val="18"/>
          <w:szCs w:val="18"/>
        </w:rPr>
        <w:tab/>
      </w:r>
      <w:r w:rsidRPr="00C83921">
        <w:rPr>
          <w:rFonts w:asciiTheme="minorHAnsi" w:hAnsiTheme="minorHAnsi" w:cstheme="minorHAnsi"/>
          <w:sz w:val="18"/>
          <w:szCs w:val="18"/>
        </w:rPr>
        <w:t>Individuální projekty národní pokrývají oblast celé České republiky a jsou předkládány z centrální úrovně. Jsou zaměřeny především na realizaci nebo doplnění národní politiky a programu (</w:t>
      </w:r>
      <w:r>
        <w:rPr>
          <w:rFonts w:asciiTheme="minorHAnsi" w:hAnsiTheme="minorHAnsi" w:cstheme="minorHAnsi"/>
          <w:sz w:val="18"/>
          <w:szCs w:val="18"/>
        </w:rPr>
        <w:t xml:space="preserve">viz </w:t>
      </w:r>
      <w:hyperlink r:id="rId1" w:history="1">
        <w:r w:rsidRPr="00C83921">
          <w:rPr>
            <w:rStyle w:val="Hypertextovodkaz"/>
            <w:rFonts w:asciiTheme="minorHAnsi" w:hAnsiTheme="minorHAnsi" w:cstheme="minorHAnsi"/>
            <w:sz w:val="18"/>
            <w:szCs w:val="18"/>
          </w:rPr>
          <w:t>http://www.op-vk.cz/cs/siroka-verejnost/projekty/individualni-projekty-narodni-ipn/</w:t>
        </w:r>
      </w:hyperlink>
      <w:r>
        <w:rPr>
          <w:rStyle w:val="Hypertextovodkaz"/>
          <w:rFonts w:asciiTheme="minorHAnsi" w:hAnsiTheme="minorHAnsi" w:cstheme="minorHAnsi"/>
          <w:color w:val="000000" w:themeColor="text1"/>
          <w:sz w:val="18"/>
          <w:szCs w:val="18"/>
          <w:u w:val="none"/>
        </w:rPr>
        <w:t xml:space="preserve">, </w:t>
      </w:r>
      <w:r w:rsidRPr="007F3A9D">
        <w:rPr>
          <w:rStyle w:val="Hypertextovodkaz"/>
          <w:rFonts w:asciiTheme="minorHAnsi" w:hAnsiTheme="minorHAnsi" w:cstheme="minorHAnsi"/>
          <w:color w:val="000000" w:themeColor="text1"/>
          <w:sz w:val="18"/>
          <w:szCs w:val="18"/>
          <w:u w:val="none"/>
        </w:rPr>
        <w:t xml:space="preserve">verze ke dni </w:t>
      </w:r>
      <w:r w:rsidRPr="00C83921">
        <w:rPr>
          <w:rFonts w:asciiTheme="minorHAnsi" w:hAnsiTheme="minorHAnsi" w:cstheme="minorHAnsi"/>
          <w:sz w:val="18"/>
          <w:szCs w:val="18"/>
        </w:rPr>
        <w:t xml:space="preserve">22. 6. 2015). MŠMT schválilo v </w:t>
      </w:r>
      <w:proofErr w:type="gramStart"/>
      <w:r w:rsidRPr="00C83921">
        <w:rPr>
          <w:rFonts w:asciiTheme="minorHAnsi" w:hAnsiTheme="minorHAnsi" w:cstheme="minorHAnsi"/>
          <w:sz w:val="18"/>
          <w:szCs w:val="18"/>
        </w:rPr>
        <w:t>OP</w:t>
      </w:r>
      <w:proofErr w:type="gramEnd"/>
      <w:r w:rsidRPr="00C83921">
        <w:rPr>
          <w:rFonts w:asciiTheme="minorHAnsi" w:hAnsiTheme="minorHAnsi" w:cstheme="minorHAnsi"/>
          <w:sz w:val="18"/>
          <w:szCs w:val="18"/>
        </w:rPr>
        <w:t xml:space="preserve"> VK národní projekty za 6 983 028 655 Kč. Rozpočty projektů příjemci často nedočerpali.</w:t>
      </w:r>
    </w:p>
  </w:footnote>
  <w:footnote w:id="14">
    <w:p w14:paraId="64F6A5CB" w14:textId="77346223" w:rsidR="00BF1A26" w:rsidRPr="00C83921" w:rsidRDefault="00BF1A26" w:rsidP="002F0CFD">
      <w:pPr>
        <w:pStyle w:val="Textpoznpodarou"/>
        <w:ind w:left="284" w:hanging="284"/>
        <w:jc w:val="both"/>
        <w:rPr>
          <w:rFonts w:asciiTheme="minorHAnsi" w:hAnsiTheme="minorHAnsi" w:cstheme="minorHAnsi"/>
          <w:sz w:val="18"/>
          <w:szCs w:val="18"/>
        </w:rPr>
      </w:pPr>
      <w:r w:rsidRPr="00C83921">
        <w:rPr>
          <w:rStyle w:val="Znakapoznpodarou"/>
          <w:rFonts w:asciiTheme="minorHAnsi" w:eastAsiaTheme="majorEastAsia" w:hAnsiTheme="minorHAnsi" w:cstheme="minorHAnsi"/>
          <w:sz w:val="18"/>
          <w:szCs w:val="18"/>
        </w:rPr>
        <w:footnoteRef/>
      </w:r>
      <w:r>
        <w:rPr>
          <w:rFonts w:asciiTheme="minorHAnsi" w:hAnsiTheme="minorHAnsi" w:cstheme="minorHAnsi"/>
          <w:sz w:val="18"/>
          <w:szCs w:val="18"/>
        </w:rPr>
        <w:tab/>
      </w:r>
      <w:r w:rsidRPr="00C83921">
        <w:rPr>
          <w:rFonts w:asciiTheme="minorHAnsi" w:hAnsiTheme="minorHAnsi" w:cstheme="minorHAnsi"/>
          <w:sz w:val="18"/>
          <w:szCs w:val="18"/>
        </w:rPr>
        <w:t>Zpravidla se jedná o následující aktivity: a) analýzy, výzkumy a šetření, b) tvorbu metodik</w:t>
      </w:r>
      <w:r>
        <w:rPr>
          <w:rFonts w:asciiTheme="minorHAnsi" w:hAnsiTheme="minorHAnsi" w:cstheme="minorHAnsi"/>
          <w:sz w:val="18"/>
          <w:szCs w:val="18"/>
        </w:rPr>
        <w:t xml:space="preserve"> </w:t>
      </w:r>
      <w:r w:rsidRPr="00C83921">
        <w:rPr>
          <w:rFonts w:asciiTheme="minorHAnsi" w:hAnsiTheme="minorHAnsi" w:cstheme="minorHAnsi"/>
          <w:sz w:val="18"/>
          <w:szCs w:val="18"/>
        </w:rPr>
        <w:t>/</w:t>
      </w:r>
      <w:r>
        <w:rPr>
          <w:rFonts w:asciiTheme="minorHAnsi" w:hAnsiTheme="minorHAnsi" w:cstheme="minorHAnsi"/>
          <w:sz w:val="18"/>
          <w:szCs w:val="18"/>
        </w:rPr>
        <w:t xml:space="preserve"> </w:t>
      </w:r>
      <w:r w:rsidRPr="00C83921">
        <w:rPr>
          <w:rFonts w:asciiTheme="minorHAnsi" w:hAnsiTheme="minorHAnsi" w:cstheme="minorHAnsi"/>
          <w:sz w:val="18"/>
          <w:szCs w:val="18"/>
        </w:rPr>
        <w:t>navrhování systémů</w:t>
      </w:r>
      <w:r>
        <w:rPr>
          <w:rFonts w:asciiTheme="minorHAnsi" w:hAnsiTheme="minorHAnsi" w:cstheme="minorHAnsi"/>
          <w:sz w:val="18"/>
          <w:szCs w:val="18"/>
        </w:rPr>
        <w:t>,</w:t>
      </w:r>
      <w:r w:rsidRPr="00C83921">
        <w:rPr>
          <w:rFonts w:asciiTheme="minorHAnsi" w:hAnsiTheme="minorHAnsi" w:cstheme="minorHAnsi"/>
          <w:sz w:val="18"/>
          <w:szCs w:val="18"/>
        </w:rPr>
        <w:t xml:space="preserve"> c) jejich pilotní ověření.</w:t>
      </w:r>
    </w:p>
  </w:footnote>
  <w:footnote w:id="15">
    <w:p w14:paraId="654346C5" w14:textId="2166C1E8" w:rsidR="00BF1A26" w:rsidRPr="00C83921" w:rsidRDefault="00BF1A26" w:rsidP="002F0CFD">
      <w:pPr>
        <w:pStyle w:val="Textpoznpodarou"/>
        <w:ind w:left="284" w:hanging="284"/>
        <w:jc w:val="both"/>
        <w:rPr>
          <w:rFonts w:asciiTheme="minorHAnsi" w:hAnsiTheme="minorHAnsi" w:cstheme="minorHAnsi"/>
          <w:sz w:val="18"/>
          <w:szCs w:val="18"/>
        </w:rPr>
      </w:pPr>
      <w:r w:rsidRPr="00C83921">
        <w:rPr>
          <w:rStyle w:val="Znakapoznpodarou"/>
          <w:rFonts w:asciiTheme="minorHAnsi" w:eastAsiaTheme="majorEastAsia" w:hAnsiTheme="minorHAnsi" w:cstheme="minorHAnsi"/>
          <w:sz w:val="18"/>
          <w:szCs w:val="18"/>
        </w:rPr>
        <w:footnoteRef/>
      </w:r>
      <w:r>
        <w:rPr>
          <w:rFonts w:asciiTheme="minorHAnsi" w:hAnsiTheme="minorHAnsi" w:cstheme="minorHAnsi"/>
          <w:sz w:val="18"/>
          <w:szCs w:val="18"/>
        </w:rPr>
        <w:tab/>
      </w:r>
      <w:r w:rsidRPr="00C83921">
        <w:rPr>
          <w:rFonts w:asciiTheme="minorHAnsi" w:hAnsiTheme="minorHAnsi" w:cstheme="minorHAnsi"/>
          <w:sz w:val="18"/>
          <w:szCs w:val="18"/>
        </w:rPr>
        <w:t xml:space="preserve">Souhrnná </w:t>
      </w:r>
      <w:r w:rsidRPr="00C83921">
        <w:rPr>
          <w:rFonts w:asciiTheme="minorHAnsi" w:hAnsiTheme="minorHAnsi" w:cstheme="minorHAnsi"/>
          <w:color w:val="000000"/>
          <w:sz w:val="18"/>
          <w:szCs w:val="18"/>
        </w:rPr>
        <w:t xml:space="preserve">výše schváleného financování dotčených národních projektů činí </w:t>
      </w:r>
      <w:r w:rsidRPr="00C83921">
        <w:rPr>
          <w:rFonts w:asciiTheme="minorHAnsi" w:hAnsiTheme="minorHAnsi" w:cstheme="minorHAnsi"/>
          <w:sz w:val="18"/>
          <w:szCs w:val="18"/>
        </w:rPr>
        <w:t>3 547 242 087 Kč.</w:t>
      </w:r>
    </w:p>
  </w:footnote>
  <w:footnote w:id="16">
    <w:p w14:paraId="60FECE3A" w14:textId="7B245732" w:rsidR="00BF1A26" w:rsidRPr="00C83921" w:rsidRDefault="00BF1A26" w:rsidP="002F0CFD">
      <w:pPr>
        <w:pStyle w:val="Textpoznpodarou"/>
        <w:ind w:left="284" w:hanging="284"/>
        <w:jc w:val="both"/>
        <w:rPr>
          <w:rFonts w:asciiTheme="minorHAnsi" w:hAnsiTheme="minorHAnsi" w:cstheme="minorHAnsi"/>
          <w:sz w:val="18"/>
          <w:szCs w:val="18"/>
        </w:rPr>
      </w:pPr>
      <w:r w:rsidRPr="00C83921">
        <w:rPr>
          <w:rStyle w:val="Znakapoznpodarou"/>
          <w:rFonts w:asciiTheme="minorHAnsi" w:eastAsiaTheme="majorEastAsia" w:hAnsiTheme="minorHAnsi" w:cstheme="minorHAnsi"/>
          <w:sz w:val="18"/>
          <w:szCs w:val="18"/>
        </w:rPr>
        <w:footnoteRef/>
      </w:r>
      <w:r>
        <w:rPr>
          <w:rFonts w:asciiTheme="minorHAnsi" w:hAnsiTheme="minorHAnsi" w:cstheme="minorHAnsi"/>
          <w:sz w:val="18"/>
          <w:szCs w:val="18"/>
        </w:rPr>
        <w:tab/>
        <w:t>Čl. 13 odst. 3 a 4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Rovněž § 25 odst. 1 písm. b) zákona č. 320/2001 Sb., o finanční kontrole.</w:t>
      </w:r>
      <w:r w:rsidRPr="00C83921">
        <w:rPr>
          <w:rFonts w:asciiTheme="minorHAnsi" w:hAnsiTheme="minorHAnsi" w:cstheme="minorHAnsi"/>
          <w:sz w:val="18"/>
          <w:szCs w:val="18"/>
        </w:rPr>
        <w:t xml:space="preserve"> </w:t>
      </w:r>
    </w:p>
  </w:footnote>
  <w:footnote w:id="17">
    <w:p w14:paraId="2A3A7F08" w14:textId="08FFB69F" w:rsidR="00BF1A26" w:rsidRPr="00380E0E" w:rsidRDefault="00BF1A26" w:rsidP="002F0CFD">
      <w:pPr>
        <w:pStyle w:val="Textpoznpodarou"/>
        <w:ind w:left="284" w:hanging="284"/>
        <w:jc w:val="both"/>
        <w:rPr>
          <w:rFonts w:asciiTheme="minorHAnsi" w:hAnsiTheme="minorHAnsi" w:cstheme="minorHAnsi"/>
          <w:sz w:val="18"/>
        </w:rPr>
      </w:pPr>
      <w:r w:rsidRPr="00380E0E">
        <w:rPr>
          <w:rStyle w:val="Znakapoznpodarou"/>
          <w:rFonts w:asciiTheme="minorHAnsi" w:eastAsiaTheme="majorEastAsia" w:hAnsiTheme="minorHAnsi" w:cstheme="minorHAnsi"/>
          <w:sz w:val="18"/>
        </w:rPr>
        <w:footnoteRef/>
      </w:r>
      <w:r>
        <w:rPr>
          <w:rFonts w:asciiTheme="minorHAnsi" w:hAnsiTheme="minorHAnsi" w:cstheme="minorHAnsi"/>
          <w:sz w:val="18"/>
        </w:rPr>
        <w:tab/>
        <w:t>Náklady nevyplývající přímo z projektu, ale vyvolané projektem a jeho výstupy.</w:t>
      </w:r>
    </w:p>
  </w:footnote>
  <w:footnote w:id="18">
    <w:p w14:paraId="21282854" w14:textId="5DF3B923"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t>Inkluzivní vzdělávání neboli společné vzdělávání je založeno na přesvědčení, že všichni žáci mají právo být vzděláváni ve skupinách se svými vrstevníky a mohou mít anebo mají prospěch ze vzdělávání ve školách v místě bydliště.</w:t>
      </w:r>
    </w:p>
  </w:footnote>
  <w:footnote w:id="19">
    <w:p w14:paraId="1C9FF0DD" w14:textId="47B95749" w:rsidR="00BF1A26" w:rsidRDefault="00BF1A26" w:rsidP="002F0CFD">
      <w:pPr>
        <w:pStyle w:val="Textpoznpodarou"/>
        <w:ind w:left="284" w:hanging="284"/>
        <w:jc w:val="both"/>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Školní podpůrný program nastavuje podmínky pro vzdělávání žáků s různou potřebou podpůrných a vyrovnávacích opatření ve školách hlavního vzdělávacího proudu.</w:t>
      </w:r>
    </w:p>
  </w:footnote>
  <w:footnote w:id="20">
    <w:p w14:paraId="55F38EA9" w14:textId="6A124E9A" w:rsidR="00BF1A26" w:rsidRPr="00165B6F" w:rsidRDefault="00BF1A26" w:rsidP="002F0CFD">
      <w:pPr>
        <w:pStyle w:val="Textpoznpodarou"/>
        <w:ind w:left="284" w:hanging="284"/>
        <w:jc w:val="both"/>
        <w:rPr>
          <w:rFonts w:asciiTheme="minorHAnsi" w:hAnsiTheme="minorHAnsi" w:cstheme="minorHAnsi"/>
          <w:sz w:val="18"/>
          <w:szCs w:val="18"/>
        </w:rPr>
      </w:pPr>
      <w:r w:rsidRPr="00165B6F">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165B6F">
        <w:rPr>
          <w:rFonts w:asciiTheme="minorHAnsi" w:hAnsiTheme="minorHAnsi" w:cstheme="minorHAnsi"/>
          <w:sz w:val="18"/>
          <w:szCs w:val="18"/>
        </w:rPr>
        <w:t>MŠMT v červenci 2014 zprovoznilo veřejně přístupnou databázi (</w:t>
      </w:r>
      <w:hyperlink r:id="rId2" w:history="1">
        <w:r w:rsidRPr="00165B6F">
          <w:rPr>
            <w:rStyle w:val="Hypertextovodkaz"/>
            <w:rFonts w:asciiTheme="minorHAnsi" w:hAnsiTheme="minorHAnsi" w:cstheme="minorHAnsi"/>
            <w:sz w:val="18"/>
            <w:szCs w:val="18"/>
          </w:rPr>
          <w:t>https://databaze.op-vk.cz/</w:t>
        </w:r>
      </w:hyperlink>
      <w:r w:rsidRPr="007F3A9D">
        <w:rPr>
          <w:rStyle w:val="Hypertextovodkaz"/>
          <w:rFonts w:asciiTheme="minorHAnsi" w:hAnsiTheme="minorHAnsi" w:cstheme="minorHAnsi"/>
          <w:color w:val="000000" w:themeColor="text1"/>
          <w:sz w:val="18"/>
          <w:szCs w:val="18"/>
          <w:u w:val="none"/>
        </w:rPr>
        <w:t>)</w:t>
      </w:r>
      <w:r w:rsidRPr="00165B6F">
        <w:rPr>
          <w:rFonts w:asciiTheme="minorHAnsi" w:hAnsiTheme="minorHAnsi" w:cstheme="minorHAnsi"/>
          <w:sz w:val="18"/>
          <w:szCs w:val="18"/>
        </w:rPr>
        <w:t xml:space="preserve">, kam jsou umisťovány výstupy ze všech projektů OP VK. Databáze sleduje počty stažení jednotlivých materiálů, avšak </w:t>
      </w:r>
      <w:r>
        <w:rPr>
          <w:rFonts w:asciiTheme="minorHAnsi" w:hAnsiTheme="minorHAnsi" w:cstheme="minorHAnsi"/>
          <w:sz w:val="18"/>
          <w:szCs w:val="18"/>
        </w:rPr>
        <w:t xml:space="preserve"> do </w:t>
      </w:r>
      <w:r w:rsidRPr="00165B6F">
        <w:rPr>
          <w:rFonts w:asciiTheme="minorHAnsi" w:hAnsiTheme="minorHAnsi" w:cstheme="minorHAnsi"/>
          <w:sz w:val="18"/>
          <w:szCs w:val="18"/>
        </w:rPr>
        <w:t xml:space="preserve">1. 7. 2015 v ní výstupy projektu CPIV nebyly zpřístupněny. Podle MŠMT je cílem </w:t>
      </w:r>
      <w:r>
        <w:rPr>
          <w:rFonts w:asciiTheme="minorHAnsi" w:hAnsiTheme="minorHAnsi" w:cstheme="minorHAnsi"/>
          <w:sz w:val="18"/>
          <w:szCs w:val="18"/>
        </w:rPr>
        <w:t>zpřístupnit všechny materiály</w:t>
      </w:r>
      <w:r w:rsidRPr="00165B6F">
        <w:rPr>
          <w:rFonts w:asciiTheme="minorHAnsi" w:hAnsiTheme="minorHAnsi" w:cstheme="minorHAnsi"/>
          <w:sz w:val="18"/>
          <w:szCs w:val="18"/>
        </w:rPr>
        <w:t xml:space="preserve"> do konce roku 2015.</w:t>
      </w:r>
    </w:p>
  </w:footnote>
  <w:footnote w:id="21">
    <w:p w14:paraId="692D5E41" w14:textId="193EE607"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7F3A9D">
        <w:rPr>
          <w:rFonts w:asciiTheme="minorHAnsi" w:hAnsiTheme="minorHAnsi" w:cstheme="minorHAnsi"/>
          <w:i/>
          <w:sz w:val="18"/>
        </w:rPr>
        <w:t>Rovný přístup ke vzdělávání v České republice: situace a doporučení</w:t>
      </w:r>
      <w:r>
        <w:rPr>
          <w:rFonts w:asciiTheme="minorHAnsi" w:hAnsiTheme="minorHAnsi" w:cstheme="minorHAnsi"/>
          <w:sz w:val="18"/>
        </w:rPr>
        <w:t xml:space="preserve">, Česká školní inspekce 2014; výstup projektu </w:t>
      </w:r>
      <w:r w:rsidRPr="007F3A9D">
        <w:rPr>
          <w:rFonts w:asciiTheme="minorHAnsi" w:hAnsiTheme="minorHAnsi" w:cstheme="minorHAnsi"/>
          <w:i/>
          <w:sz w:val="18"/>
        </w:rPr>
        <w:t>Kompetence III</w:t>
      </w:r>
      <w:r>
        <w:rPr>
          <w:rFonts w:asciiTheme="minorHAnsi" w:hAnsiTheme="minorHAnsi" w:cstheme="minorHAnsi"/>
          <w:sz w:val="18"/>
        </w:rPr>
        <w:t xml:space="preserve"> v rámci OP VK, str. 36 a 44.</w:t>
      </w:r>
      <w:r w:rsidRPr="002E71FA">
        <w:rPr>
          <w:rFonts w:asciiTheme="minorHAnsi" w:hAnsiTheme="minorHAnsi" w:cstheme="minorHAnsi"/>
          <w:sz w:val="18"/>
        </w:rPr>
        <w:t xml:space="preserve"> </w:t>
      </w:r>
    </w:p>
  </w:footnote>
  <w:footnote w:id="22">
    <w:p w14:paraId="0C85D91B" w14:textId="1D0B4973"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 xml:space="preserve">Projekty měly podpořit třeba systém financování terciárního vzdělávání, řízení institucí terciárního vzdělávání nebo komplexní systém hodnocení kvality terciárního vzdělávání a </w:t>
      </w:r>
      <w:r>
        <w:rPr>
          <w:rFonts w:asciiTheme="minorHAnsi" w:hAnsiTheme="minorHAnsi" w:cstheme="minorHAnsi"/>
          <w:sz w:val="18"/>
        </w:rPr>
        <w:t>vědy a výzkumu</w:t>
      </w:r>
      <w:r w:rsidRPr="002E71FA">
        <w:rPr>
          <w:rFonts w:asciiTheme="minorHAnsi" w:hAnsiTheme="minorHAnsi" w:cstheme="minorHAnsi"/>
          <w:sz w:val="18"/>
        </w:rPr>
        <w:t xml:space="preserve">. </w:t>
      </w:r>
    </w:p>
  </w:footnote>
  <w:footnote w:id="23">
    <w:p w14:paraId="05E68D18" w14:textId="550D8F60" w:rsidR="00BF1A26" w:rsidRDefault="00BF1A26" w:rsidP="002F0CFD">
      <w:pPr>
        <w:pStyle w:val="Textpoznpodarou"/>
        <w:ind w:left="284" w:hanging="284"/>
        <w:jc w:val="both"/>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7F3A9D">
        <w:rPr>
          <w:rFonts w:asciiTheme="minorHAnsi" w:hAnsiTheme="minorHAnsi" w:cstheme="minorHAnsi"/>
          <w:i/>
          <w:sz w:val="18"/>
        </w:rPr>
        <w:t>Aktualizace Národní politiky výzkumu, vývoje a inovací České republiky na léta 2009 až 2015 s výhledem do roku 2020</w:t>
      </w:r>
      <w:r>
        <w:rPr>
          <w:rFonts w:asciiTheme="minorHAnsi" w:hAnsiTheme="minorHAnsi" w:cstheme="minorHAnsi"/>
          <w:sz w:val="18"/>
        </w:rPr>
        <w:t>, materiál schválený usnesením vlády České republiky ze dne 24. dubna 2013 č. 294.</w:t>
      </w:r>
    </w:p>
  </w:footnote>
  <w:footnote w:id="24">
    <w:p w14:paraId="78BF929B" w14:textId="01F5EFE1"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V době vzniku projektu RTV plánovala vláda zavedení školného na vysokých školách.</w:t>
      </w:r>
    </w:p>
  </w:footnote>
  <w:footnote w:id="25">
    <w:p w14:paraId="686829AF" w14:textId="4FA0A710"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 xml:space="preserve">Projekt RTV nebyl v době kontroly NKÚ </w:t>
      </w:r>
      <w:r>
        <w:rPr>
          <w:rFonts w:asciiTheme="minorHAnsi" w:hAnsiTheme="minorHAnsi" w:cstheme="minorHAnsi"/>
          <w:sz w:val="18"/>
        </w:rPr>
        <w:t>finančně vypořádán</w:t>
      </w:r>
      <w:r w:rsidRPr="002E71FA">
        <w:rPr>
          <w:rFonts w:asciiTheme="minorHAnsi" w:hAnsiTheme="minorHAnsi" w:cstheme="minorHAnsi"/>
          <w:sz w:val="18"/>
        </w:rPr>
        <w:t>. Uvedená částka nezahrnuje poslední žádost o platbu ve výši 924 815 Kč.</w:t>
      </w:r>
    </w:p>
  </w:footnote>
  <w:footnote w:id="26">
    <w:p w14:paraId="7F1415A2" w14:textId="3DF290C1" w:rsidR="00BF1A26" w:rsidRPr="002E71FA" w:rsidRDefault="00BF1A26" w:rsidP="002F0CFD">
      <w:pPr>
        <w:pStyle w:val="Textpoznpodarou"/>
        <w:ind w:left="284" w:hanging="284"/>
        <w:jc w:val="both"/>
        <w:rPr>
          <w:rFonts w:asciiTheme="minorHAnsi" w:hAnsiTheme="minorHAnsi" w:cstheme="minorHAnsi"/>
          <w:sz w:val="18"/>
        </w:rPr>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 xml:space="preserve">Projekty měly podpořit </w:t>
      </w:r>
      <w:r>
        <w:rPr>
          <w:rFonts w:asciiTheme="minorHAnsi" w:hAnsiTheme="minorHAnsi" w:cstheme="minorHAnsi"/>
          <w:sz w:val="18"/>
        </w:rPr>
        <w:t>například</w:t>
      </w:r>
      <w:r w:rsidRPr="002E71FA">
        <w:rPr>
          <w:rFonts w:asciiTheme="minorHAnsi" w:hAnsiTheme="minorHAnsi" w:cstheme="minorHAnsi"/>
          <w:sz w:val="18"/>
        </w:rPr>
        <w:t xml:space="preserve"> systém financování terciárního vzdělávání, řízení institucí terciárního vzdělávání nebo komplexní systém hodnocení kvality terciárního vzdělávání a </w:t>
      </w:r>
      <w:proofErr w:type="spellStart"/>
      <w:r w:rsidRPr="002E71FA">
        <w:rPr>
          <w:rFonts w:asciiTheme="minorHAnsi" w:hAnsiTheme="minorHAnsi" w:cstheme="minorHAnsi"/>
          <w:sz w:val="18"/>
        </w:rPr>
        <w:t>VaV</w:t>
      </w:r>
      <w:r>
        <w:rPr>
          <w:rFonts w:asciiTheme="minorHAnsi" w:hAnsiTheme="minorHAnsi" w:cstheme="minorHAnsi"/>
          <w:sz w:val="18"/>
        </w:rPr>
        <w:t>pI</w:t>
      </w:r>
      <w:proofErr w:type="spellEnd"/>
      <w:r w:rsidRPr="002E71FA">
        <w:rPr>
          <w:rFonts w:asciiTheme="minorHAnsi" w:hAnsiTheme="minorHAnsi" w:cstheme="minorHAnsi"/>
          <w:sz w:val="18"/>
        </w:rPr>
        <w:t xml:space="preserve">. </w:t>
      </w:r>
    </w:p>
  </w:footnote>
  <w:footnote w:id="27">
    <w:p w14:paraId="408ED9BE" w14:textId="2A30B9A9" w:rsidR="00BF1A26" w:rsidRPr="00952E15" w:rsidRDefault="00BF1A26" w:rsidP="002F0CFD">
      <w:pPr>
        <w:pStyle w:val="Textpoznpodarou"/>
        <w:ind w:left="284" w:hanging="284"/>
        <w:rPr>
          <w:rFonts w:asciiTheme="minorHAnsi" w:hAnsiTheme="minorHAnsi" w:cstheme="minorHAnsi"/>
          <w:sz w:val="18"/>
          <w:szCs w:val="18"/>
        </w:rPr>
      </w:pPr>
      <w:r w:rsidRPr="00952E15">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952E15">
        <w:rPr>
          <w:rFonts w:asciiTheme="minorHAnsi" w:hAnsiTheme="minorHAnsi" w:cstheme="minorHAnsi"/>
          <w:sz w:val="18"/>
          <w:szCs w:val="18"/>
        </w:rPr>
        <w:t>Národní</w:t>
      </w:r>
      <w:r>
        <w:rPr>
          <w:rFonts w:asciiTheme="minorHAnsi" w:hAnsiTheme="minorHAnsi" w:cstheme="minorHAnsi"/>
          <w:sz w:val="18"/>
          <w:szCs w:val="18"/>
        </w:rPr>
        <w:t xml:space="preserve"> číselník indikátorů.</w:t>
      </w:r>
    </w:p>
  </w:footnote>
  <w:footnote w:id="28">
    <w:p w14:paraId="43442B76" w14:textId="3DF7BD54" w:rsidR="00BF1A26" w:rsidRPr="007C7112" w:rsidRDefault="00BF1A26" w:rsidP="002F0CFD">
      <w:pPr>
        <w:pStyle w:val="Textpoznpodarou"/>
        <w:ind w:left="284" w:hanging="284"/>
        <w:jc w:val="both"/>
        <w:rPr>
          <w:rFonts w:asciiTheme="minorHAnsi" w:hAnsiTheme="minorHAnsi" w:cstheme="minorHAnsi"/>
          <w:sz w:val="18"/>
          <w:szCs w:val="18"/>
        </w:rPr>
      </w:pPr>
      <w:r w:rsidRPr="007C7112">
        <w:rPr>
          <w:rStyle w:val="Znakapoznpodarou"/>
          <w:rFonts w:asciiTheme="minorHAnsi" w:hAnsiTheme="minorHAnsi" w:cstheme="minorHAnsi"/>
          <w:sz w:val="18"/>
          <w:szCs w:val="18"/>
        </w:rPr>
        <w:footnoteRef/>
      </w:r>
      <w:r>
        <w:rPr>
          <w:rFonts w:asciiTheme="minorHAnsi" w:hAnsiTheme="minorHAnsi" w:cstheme="minorHAnsi"/>
          <w:sz w:val="18"/>
          <w:szCs w:val="18"/>
        </w:rPr>
        <w:tab/>
      </w:r>
      <w:r w:rsidRPr="007C7112">
        <w:rPr>
          <w:rFonts w:asciiTheme="minorHAnsi" w:hAnsiTheme="minorHAnsi" w:cstheme="minorHAnsi"/>
          <w:sz w:val="18"/>
          <w:szCs w:val="18"/>
        </w:rPr>
        <w:t xml:space="preserve">Projekt </w:t>
      </w:r>
      <w:proofErr w:type="gramStart"/>
      <w:r w:rsidRPr="007C7112">
        <w:rPr>
          <w:rFonts w:asciiTheme="minorHAnsi" w:hAnsiTheme="minorHAnsi" w:cstheme="minorHAnsi"/>
          <w:sz w:val="18"/>
          <w:szCs w:val="18"/>
        </w:rPr>
        <w:t>skončil</w:t>
      </w:r>
      <w:proofErr w:type="gramEnd"/>
      <w:r w:rsidRPr="007C7112">
        <w:rPr>
          <w:rFonts w:asciiTheme="minorHAnsi" w:hAnsiTheme="minorHAnsi" w:cstheme="minorHAnsi"/>
          <w:sz w:val="18"/>
          <w:szCs w:val="18"/>
        </w:rPr>
        <w:t xml:space="preserve"> k 25. 1. 2013. NKÚ </w:t>
      </w:r>
      <w:proofErr w:type="gramStart"/>
      <w:r w:rsidRPr="007C7112">
        <w:rPr>
          <w:rFonts w:asciiTheme="minorHAnsi" w:hAnsiTheme="minorHAnsi" w:cstheme="minorHAnsi"/>
          <w:sz w:val="18"/>
          <w:szCs w:val="18"/>
        </w:rPr>
        <w:t>zjistil</w:t>
      </w:r>
      <w:proofErr w:type="gramEnd"/>
      <w:r w:rsidRPr="007C7112">
        <w:rPr>
          <w:rFonts w:asciiTheme="minorHAnsi" w:hAnsiTheme="minorHAnsi" w:cstheme="minorHAnsi"/>
          <w:sz w:val="18"/>
          <w:szCs w:val="18"/>
        </w:rPr>
        <w:t>, že ke dni 3. 7. 2015 nebyla závěrečná monitorovací zpráva projektu schválena.</w:t>
      </w:r>
    </w:p>
  </w:footnote>
  <w:footnote w:id="29">
    <w:p w14:paraId="294414C0" w14:textId="4057798D" w:rsidR="00BF1A26" w:rsidRDefault="00BF1A26" w:rsidP="002F0CFD">
      <w:pPr>
        <w:pStyle w:val="Textpoznpodarou"/>
        <w:ind w:left="284" w:hanging="284"/>
        <w:jc w:val="both"/>
      </w:pPr>
      <w:r w:rsidRPr="002E71FA">
        <w:rPr>
          <w:rStyle w:val="Znakapoznpodarou"/>
          <w:rFonts w:asciiTheme="minorHAnsi" w:eastAsiaTheme="majorEastAsia" w:hAnsiTheme="minorHAnsi" w:cstheme="minorHAnsi"/>
          <w:sz w:val="18"/>
        </w:rPr>
        <w:footnoteRef/>
      </w:r>
      <w:r>
        <w:rPr>
          <w:rFonts w:asciiTheme="minorHAnsi" w:hAnsiTheme="minorHAnsi" w:cstheme="minorHAnsi"/>
          <w:sz w:val="18"/>
        </w:rPr>
        <w:tab/>
      </w:r>
      <w:r w:rsidRPr="002E71FA">
        <w:rPr>
          <w:rFonts w:asciiTheme="minorHAnsi" w:hAnsiTheme="minorHAnsi" w:cstheme="minorHAnsi"/>
          <w:sz w:val="18"/>
        </w:rPr>
        <w:t xml:space="preserve">Jedná se o tzv. princip </w:t>
      </w:r>
      <w:proofErr w:type="spellStart"/>
      <w:r w:rsidRPr="002E71FA">
        <w:rPr>
          <w:rFonts w:asciiTheme="minorHAnsi" w:hAnsiTheme="minorHAnsi" w:cstheme="minorHAnsi"/>
          <w:sz w:val="18"/>
        </w:rPr>
        <w:t>adicionality</w:t>
      </w:r>
      <w:proofErr w:type="spellEnd"/>
      <w:r w:rsidRPr="002E71FA">
        <w:rPr>
          <w:rFonts w:asciiTheme="minorHAnsi" w:hAnsiTheme="minorHAnsi" w:cstheme="minorHAnsi"/>
          <w:sz w:val="18"/>
        </w:rPr>
        <w:t xml:space="preserve"> (doplňkovosti) podle čl. 15 nařízení </w:t>
      </w:r>
      <w:r>
        <w:rPr>
          <w:rFonts w:asciiTheme="minorHAnsi" w:hAnsiTheme="minorHAnsi" w:cstheme="minorHAnsi"/>
          <w:sz w:val="18"/>
        </w:rPr>
        <w:t xml:space="preserve">Rady (ES) </w:t>
      </w:r>
      <w:r w:rsidRPr="002E71FA">
        <w:rPr>
          <w:rFonts w:asciiTheme="minorHAnsi" w:hAnsiTheme="minorHAnsi" w:cstheme="minorHAnsi"/>
          <w:sz w:val="18"/>
        </w:rPr>
        <w:t xml:space="preserve">č. 1083/2006, </w:t>
      </w:r>
      <w:r>
        <w:rPr>
          <w:rFonts w:asciiTheme="minorHAnsi" w:hAnsiTheme="minorHAnsi" w:cstheme="minorHAnsi"/>
          <w:sz w:val="18"/>
        </w:rPr>
        <w:t>kde je stanoveno:</w:t>
      </w:r>
      <w:r w:rsidRPr="002E71FA">
        <w:rPr>
          <w:rFonts w:asciiTheme="minorHAnsi" w:hAnsiTheme="minorHAnsi" w:cstheme="minorHAnsi"/>
          <w:sz w:val="18"/>
        </w:rPr>
        <w:t xml:space="preserve"> „</w:t>
      </w:r>
      <w:r w:rsidRPr="002E71FA">
        <w:rPr>
          <w:rFonts w:asciiTheme="minorHAnsi" w:hAnsiTheme="minorHAnsi" w:cstheme="minorHAnsi"/>
          <w:i/>
          <w:sz w:val="18"/>
        </w:rPr>
        <w:t>Příspěvky ze strukturálních fondů nenahrazují veřejné nebo rovnocenné strukturální výdaje členského státu</w:t>
      </w:r>
      <w:r>
        <w:rPr>
          <w:rFonts w:asciiTheme="minorHAnsi" w:hAnsiTheme="minorHAnsi" w:cstheme="minorHAnsi"/>
          <w:i/>
          <w:sz w:val="18"/>
        </w:rPr>
        <w:t>.</w:t>
      </w:r>
      <w:r w:rsidRPr="002E71FA">
        <w:rPr>
          <w:rFonts w:asciiTheme="minorHAnsi" w:hAnsiTheme="minorHAnsi" w:cstheme="minorHAnsi"/>
          <w:sz w:val="18"/>
        </w:rPr>
        <w:t>“</w:t>
      </w:r>
    </w:p>
  </w:footnote>
  <w:footnote w:id="30">
    <w:p w14:paraId="33DCDD25" w14:textId="28E67FDC" w:rsidR="00BF1A26" w:rsidRPr="00956784" w:rsidRDefault="00BF1A26" w:rsidP="002F0CFD">
      <w:pPr>
        <w:pStyle w:val="Textpoznpodarou"/>
        <w:ind w:left="284" w:hanging="284"/>
        <w:jc w:val="both"/>
        <w:rPr>
          <w:rFonts w:asciiTheme="minorHAnsi" w:hAnsiTheme="minorHAnsi" w:cstheme="minorHAnsi"/>
          <w:sz w:val="18"/>
          <w:szCs w:val="18"/>
        </w:rPr>
      </w:pPr>
      <w:r w:rsidRPr="00956784">
        <w:rPr>
          <w:rStyle w:val="Znakapoznpodarou"/>
          <w:rFonts w:asciiTheme="minorHAnsi" w:hAnsiTheme="minorHAnsi" w:cstheme="minorHAnsi"/>
          <w:sz w:val="18"/>
          <w:szCs w:val="18"/>
        </w:rPr>
        <w:footnoteRef/>
      </w:r>
      <w:r>
        <w:rPr>
          <w:rFonts w:asciiTheme="minorHAnsi" w:hAnsiTheme="minorHAnsi" w:cstheme="minorHAnsi"/>
          <w:sz w:val="18"/>
          <w:szCs w:val="18"/>
        </w:rPr>
        <w:tab/>
        <w:t>N</w:t>
      </w:r>
      <w:r w:rsidRPr="00956784">
        <w:rPr>
          <w:rFonts w:asciiTheme="minorHAnsi" w:hAnsiTheme="minorHAnsi" w:cstheme="minorHAnsi"/>
          <w:sz w:val="18"/>
          <w:szCs w:val="18"/>
        </w:rPr>
        <w:t xml:space="preserve">apř. </w:t>
      </w:r>
      <w:r>
        <w:rPr>
          <w:rFonts w:asciiTheme="minorHAnsi" w:hAnsiTheme="minorHAnsi" w:cstheme="minorHAnsi"/>
          <w:sz w:val="18"/>
          <w:szCs w:val="18"/>
        </w:rPr>
        <w:t xml:space="preserve">měli zajišťovat </w:t>
      </w:r>
      <w:r w:rsidRPr="00956784">
        <w:rPr>
          <w:rFonts w:asciiTheme="minorHAnsi" w:hAnsiTheme="minorHAnsi" w:cstheme="minorHAnsi"/>
          <w:sz w:val="18"/>
          <w:szCs w:val="18"/>
        </w:rPr>
        <w:t>přípravu paragrafového znění návrhů právních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DA7B" w14:textId="77777777" w:rsidR="00BF1A26" w:rsidRDefault="00BF1A26">
    <w:pPr>
      <w:pStyle w:val="Zhlav"/>
    </w:pPr>
  </w:p>
  <w:p w14:paraId="7EF46983" w14:textId="77777777" w:rsidR="00BF1A26" w:rsidRDefault="00BF1A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1210" w14:textId="77777777" w:rsidR="00BF1A26" w:rsidRPr="007B2BF7" w:rsidRDefault="00BF1A26" w:rsidP="007B2BF7">
    <w:pPr>
      <w:pStyle w:val="Zhlav"/>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AB59C" w14:textId="77777777" w:rsidR="00BF1A26" w:rsidRDefault="00BF1A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8CD"/>
    <w:multiLevelType w:val="hybridMultilevel"/>
    <w:tmpl w:val="85B61CBA"/>
    <w:lvl w:ilvl="0" w:tplc="061E24E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4794695"/>
    <w:multiLevelType w:val="multilevel"/>
    <w:tmpl w:val="BEA2BE62"/>
    <w:lvl w:ilvl="0">
      <w:start w:val="1"/>
      <w:numFmt w:val="decimal"/>
      <w:lvlText w:val="%1."/>
      <w:lvlJc w:val="left"/>
      <w:pPr>
        <w:ind w:left="720" w:hanging="360"/>
      </w:pPr>
      <w:rPr>
        <w:rFonts w:cs="Times New Roman"/>
      </w:rPr>
    </w:lvl>
    <w:lvl w:ilvl="1">
      <w:start w:val="1"/>
      <w:numFmt w:val="decimal"/>
      <w:pStyle w:val="Odstaveczpisu"/>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138179AC"/>
    <w:multiLevelType w:val="hybridMultilevel"/>
    <w:tmpl w:val="8F067F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D773BA"/>
    <w:multiLevelType w:val="hybridMultilevel"/>
    <w:tmpl w:val="CFE8B2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51B89"/>
    <w:multiLevelType w:val="hybridMultilevel"/>
    <w:tmpl w:val="DA2C6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B72B56"/>
    <w:multiLevelType w:val="hybridMultilevel"/>
    <w:tmpl w:val="75AA7DE0"/>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C553E2"/>
    <w:multiLevelType w:val="hybridMultilevel"/>
    <w:tmpl w:val="28B29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584F21"/>
    <w:multiLevelType w:val="hybridMultilevel"/>
    <w:tmpl w:val="7F3CB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830140"/>
    <w:multiLevelType w:val="hybridMultilevel"/>
    <w:tmpl w:val="516896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D70371"/>
    <w:multiLevelType w:val="hybridMultilevel"/>
    <w:tmpl w:val="8F867CCA"/>
    <w:lvl w:ilvl="0" w:tplc="84FAE45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63006D"/>
    <w:multiLevelType w:val="singleLevel"/>
    <w:tmpl w:val="4114E7CE"/>
    <w:lvl w:ilvl="0">
      <w:numFmt w:val="decimal"/>
      <w:pStyle w:val="AMpuntk"/>
      <w:lvlText w:val="%1"/>
      <w:legacy w:legacy="1" w:legacySpace="0" w:legacyIndent="0"/>
      <w:lvlJc w:val="left"/>
      <w:rPr>
        <w:rFonts w:cs="Times New Roman"/>
      </w:rPr>
    </w:lvl>
  </w:abstractNum>
  <w:abstractNum w:abstractNumId="11">
    <w:nsid w:val="3F6C52B5"/>
    <w:multiLevelType w:val="hybridMultilevel"/>
    <w:tmpl w:val="6D96A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E60108"/>
    <w:multiLevelType w:val="hybridMultilevel"/>
    <w:tmpl w:val="5F640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3265D4"/>
    <w:multiLevelType w:val="hybridMultilevel"/>
    <w:tmpl w:val="76E4694C"/>
    <w:lvl w:ilvl="0" w:tplc="17E050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E42A2"/>
    <w:multiLevelType w:val="hybridMultilevel"/>
    <w:tmpl w:val="EDF468EA"/>
    <w:lvl w:ilvl="0" w:tplc="061E24E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9E63AE1"/>
    <w:multiLevelType w:val="hybridMultilevel"/>
    <w:tmpl w:val="343C3C66"/>
    <w:lvl w:ilvl="0" w:tplc="04050001">
      <w:start w:val="1"/>
      <w:numFmt w:val="bullet"/>
      <w:lvlText w:val=""/>
      <w:lvlJc w:val="left"/>
      <w:pPr>
        <w:ind w:left="502" w:hanging="360"/>
      </w:pPr>
      <w:rPr>
        <w:rFonts w:ascii="Symbol" w:hAnsi="Symbol" w:hint="default"/>
        <w:b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nsid w:val="4C1C1E23"/>
    <w:multiLevelType w:val="hybridMultilevel"/>
    <w:tmpl w:val="A816F308"/>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291894"/>
    <w:multiLevelType w:val="multilevel"/>
    <w:tmpl w:val="1F6E28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90C4D"/>
    <w:multiLevelType w:val="hybridMultilevel"/>
    <w:tmpl w:val="A98E2582"/>
    <w:lvl w:ilvl="0" w:tplc="5A5E20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C90732"/>
    <w:multiLevelType w:val="multilevel"/>
    <w:tmpl w:val="F24E49F4"/>
    <w:styleLink w:val="Styl2"/>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772B0B"/>
    <w:multiLevelType w:val="hybridMultilevel"/>
    <w:tmpl w:val="6EA6688C"/>
    <w:lvl w:ilvl="0" w:tplc="2A30F160">
      <w:start w:val="72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222EF0"/>
    <w:multiLevelType w:val="hybridMultilevel"/>
    <w:tmpl w:val="E4C62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15126A"/>
    <w:multiLevelType w:val="hybridMultilevel"/>
    <w:tmpl w:val="312829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CB7976"/>
    <w:multiLevelType w:val="hybridMultilevel"/>
    <w:tmpl w:val="D714D4FC"/>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68586C"/>
    <w:multiLevelType w:val="hybridMultilevel"/>
    <w:tmpl w:val="C2863A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23700C"/>
    <w:multiLevelType w:val="hybridMultilevel"/>
    <w:tmpl w:val="8168E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24DB0"/>
    <w:multiLevelType w:val="hybridMultilevel"/>
    <w:tmpl w:val="5F32A03A"/>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160265"/>
    <w:multiLevelType w:val="hybridMultilevel"/>
    <w:tmpl w:val="275C58CC"/>
    <w:lvl w:ilvl="0" w:tplc="061E24E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B795BAF"/>
    <w:multiLevelType w:val="hybridMultilevel"/>
    <w:tmpl w:val="3DF675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FE3953"/>
    <w:multiLevelType w:val="hybridMultilevel"/>
    <w:tmpl w:val="EE9A0996"/>
    <w:lvl w:ilvl="0" w:tplc="061E24E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63775D4"/>
    <w:multiLevelType w:val="hybridMultilevel"/>
    <w:tmpl w:val="3A5AEF9A"/>
    <w:lvl w:ilvl="0" w:tplc="061E24E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76752601"/>
    <w:multiLevelType w:val="hybridMultilevel"/>
    <w:tmpl w:val="A90A8DDA"/>
    <w:lvl w:ilvl="0" w:tplc="C1EAA4D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800D44"/>
    <w:multiLevelType w:val="hybridMultilevel"/>
    <w:tmpl w:val="457E3E02"/>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A6707C"/>
    <w:multiLevelType w:val="hybridMultilevel"/>
    <w:tmpl w:val="0D40BC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5"/>
  </w:num>
  <w:num w:numId="5">
    <w:abstractNumId w:val="18"/>
  </w:num>
  <w:num w:numId="6">
    <w:abstractNumId w:val="33"/>
  </w:num>
  <w:num w:numId="7">
    <w:abstractNumId w:val="9"/>
  </w:num>
  <w:num w:numId="8">
    <w:abstractNumId w:val="13"/>
  </w:num>
  <w:num w:numId="9">
    <w:abstractNumId w:val="12"/>
  </w:num>
  <w:num w:numId="10">
    <w:abstractNumId w:val="22"/>
  </w:num>
  <w:num w:numId="11">
    <w:abstractNumId w:val="21"/>
  </w:num>
  <w:num w:numId="12">
    <w:abstractNumId w:val="28"/>
  </w:num>
  <w:num w:numId="13">
    <w:abstractNumId w:val="2"/>
  </w:num>
  <w:num w:numId="14">
    <w:abstractNumId w:val="8"/>
  </w:num>
  <w:num w:numId="15">
    <w:abstractNumId w:val="25"/>
  </w:num>
  <w:num w:numId="16">
    <w:abstractNumId w:val="17"/>
  </w:num>
  <w:num w:numId="17">
    <w:abstractNumId w:val="3"/>
  </w:num>
  <w:num w:numId="18">
    <w:abstractNumId w:val="5"/>
  </w:num>
  <w:num w:numId="19">
    <w:abstractNumId w:val="26"/>
  </w:num>
  <w:num w:numId="20">
    <w:abstractNumId w:val="16"/>
  </w:num>
  <w:num w:numId="21">
    <w:abstractNumId w:val="32"/>
  </w:num>
  <w:num w:numId="22">
    <w:abstractNumId w:val="7"/>
  </w:num>
  <w:num w:numId="23">
    <w:abstractNumId w:val="23"/>
  </w:num>
  <w:num w:numId="24">
    <w:abstractNumId w:val="6"/>
  </w:num>
  <w:num w:numId="25">
    <w:abstractNumId w:val="27"/>
  </w:num>
  <w:num w:numId="26">
    <w:abstractNumId w:val="29"/>
  </w:num>
  <w:num w:numId="27">
    <w:abstractNumId w:val="0"/>
  </w:num>
  <w:num w:numId="28">
    <w:abstractNumId w:val="14"/>
  </w:num>
  <w:num w:numId="29">
    <w:abstractNumId w:val="30"/>
  </w:num>
  <w:num w:numId="30">
    <w:abstractNumId w:val="24"/>
  </w:num>
  <w:num w:numId="31">
    <w:abstractNumId w:val="4"/>
  </w:num>
  <w:num w:numId="32">
    <w:abstractNumId w:val="11"/>
  </w:num>
  <w:num w:numId="33">
    <w:abstractNumId w:val="20"/>
  </w:num>
  <w:num w:numId="3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8C"/>
    <w:rsid w:val="000002B4"/>
    <w:rsid w:val="00001A06"/>
    <w:rsid w:val="00006C9B"/>
    <w:rsid w:val="000074D1"/>
    <w:rsid w:val="00017C59"/>
    <w:rsid w:val="00040B0F"/>
    <w:rsid w:val="00044FA2"/>
    <w:rsid w:val="00050574"/>
    <w:rsid w:val="000540EE"/>
    <w:rsid w:val="00063C55"/>
    <w:rsid w:val="00077D57"/>
    <w:rsid w:val="000827E5"/>
    <w:rsid w:val="0008606F"/>
    <w:rsid w:val="00092AA0"/>
    <w:rsid w:val="000936F1"/>
    <w:rsid w:val="0009373B"/>
    <w:rsid w:val="00096A5F"/>
    <w:rsid w:val="00097DB5"/>
    <w:rsid w:val="000A5CEB"/>
    <w:rsid w:val="000B0954"/>
    <w:rsid w:val="000C0CED"/>
    <w:rsid w:val="000C3995"/>
    <w:rsid w:val="000C543A"/>
    <w:rsid w:val="000D153E"/>
    <w:rsid w:val="000D494C"/>
    <w:rsid w:val="000D6B8F"/>
    <w:rsid w:val="000E7C61"/>
    <w:rsid w:val="000F3949"/>
    <w:rsid w:val="00103227"/>
    <w:rsid w:val="001073CA"/>
    <w:rsid w:val="00110E11"/>
    <w:rsid w:val="0011166A"/>
    <w:rsid w:val="00112B52"/>
    <w:rsid w:val="00124BC5"/>
    <w:rsid w:val="00125CFD"/>
    <w:rsid w:val="00126CB9"/>
    <w:rsid w:val="001430A6"/>
    <w:rsid w:val="0014493E"/>
    <w:rsid w:val="00145730"/>
    <w:rsid w:val="00160152"/>
    <w:rsid w:val="0016067E"/>
    <w:rsid w:val="00173F65"/>
    <w:rsid w:val="0017770F"/>
    <w:rsid w:val="00177FDD"/>
    <w:rsid w:val="00184A9F"/>
    <w:rsid w:val="00186431"/>
    <w:rsid w:val="00193FB2"/>
    <w:rsid w:val="001A219D"/>
    <w:rsid w:val="001B164A"/>
    <w:rsid w:val="001B1D1C"/>
    <w:rsid w:val="001B63E5"/>
    <w:rsid w:val="001C3F28"/>
    <w:rsid w:val="001C70B6"/>
    <w:rsid w:val="001C79C0"/>
    <w:rsid w:val="001D1A09"/>
    <w:rsid w:val="001D47B0"/>
    <w:rsid w:val="001E6831"/>
    <w:rsid w:val="001F1B7E"/>
    <w:rsid w:val="001F22FE"/>
    <w:rsid w:val="001F2B8D"/>
    <w:rsid w:val="00205951"/>
    <w:rsid w:val="00210A21"/>
    <w:rsid w:val="002161A6"/>
    <w:rsid w:val="0021686E"/>
    <w:rsid w:val="00224378"/>
    <w:rsid w:val="00226047"/>
    <w:rsid w:val="00233C6B"/>
    <w:rsid w:val="0023445A"/>
    <w:rsid w:val="00235707"/>
    <w:rsid w:val="00236C8C"/>
    <w:rsid w:val="00243A35"/>
    <w:rsid w:val="00246CC0"/>
    <w:rsid w:val="00250073"/>
    <w:rsid w:val="0025024F"/>
    <w:rsid w:val="00254D59"/>
    <w:rsid w:val="00256791"/>
    <w:rsid w:val="00260E19"/>
    <w:rsid w:val="0026231D"/>
    <w:rsid w:val="00281B2A"/>
    <w:rsid w:val="00282173"/>
    <w:rsid w:val="00285FDB"/>
    <w:rsid w:val="00287F8C"/>
    <w:rsid w:val="002912D0"/>
    <w:rsid w:val="00291894"/>
    <w:rsid w:val="00295827"/>
    <w:rsid w:val="00296D10"/>
    <w:rsid w:val="002A0E8A"/>
    <w:rsid w:val="002A6722"/>
    <w:rsid w:val="002B5DC7"/>
    <w:rsid w:val="002C2536"/>
    <w:rsid w:val="002C5042"/>
    <w:rsid w:val="002D13F9"/>
    <w:rsid w:val="002D243A"/>
    <w:rsid w:val="002D2C6A"/>
    <w:rsid w:val="002D3601"/>
    <w:rsid w:val="002D3B17"/>
    <w:rsid w:val="002D4A95"/>
    <w:rsid w:val="002D5DE9"/>
    <w:rsid w:val="002E0912"/>
    <w:rsid w:val="002F0CFD"/>
    <w:rsid w:val="002F36D8"/>
    <w:rsid w:val="00302608"/>
    <w:rsid w:val="00303D8B"/>
    <w:rsid w:val="00306E2B"/>
    <w:rsid w:val="003129A6"/>
    <w:rsid w:val="00312C64"/>
    <w:rsid w:val="003241ED"/>
    <w:rsid w:val="00326DD9"/>
    <w:rsid w:val="00327154"/>
    <w:rsid w:val="00327540"/>
    <w:rsid w:val="003335D2"/>
    <w:rsid w:val="00341F7E"/>
    <w:rsid w:val="003446BB"/>
    <w:rsid w:val="00345A0B"/>
    <w:rsid w:val="0035466F"/>
    <w:rsid w:val="00354C88"/>
    <w:rsid w:val="003550E5"/>
    <w:rsid w:val="003567C0"/>
    <w:rsid w:val="00361EAB"/>
    <w:rsid w:val="003643D7"/>
    <w:rsid w:val="003666D4"/>
    <w:rsid w:val="00374B0C"/>
    <w:rsid w:val="00381DC0"/>
    <w:rsid w:val="0039207F"/>
    <w:rsid w:val="003A3239"/>
    <w:rsid w:val="003A4A53"/>
    <w:rsid w:val="003A71A3"/>
    <w:rsid w:val="003A74B4"/>
    <w:rsid w:val="003B50CA"/>
    <w:rsid w:val="003C4CAC"/>
    <w:rsid w:val="003C71FC"/>
    <w:rsid w:val="003C77E3"/>
    <w:rsid w:val="003D2796"/>
    <w:rsid w:val="003D5E0D"/>
    <w:rsid w:val="003D75E4"/>
    <w:rsid w:val="003E61A6"/>
    <w:rsid w:val="003F3ECA"/>
    <w:rsid w:val="003F59FC"/>
    <w:rsid w:val="004006AA"/>
    <w:rsid w:val="00400D2B"/>
    <w:rsid w:val="004065B9"/>
    <w:rsid w:val="004067BA"/>
    <w:rsid w:val="00407692"/>
    <w:rsid w:val="00422C2D"/>
    <w:rsid w:val="00422EC9"/>
    <w:rsid w:val="00423CC8"/>
    <w:rsid w:val="00431124"/>
    <w:rsid w:val="00432FF7"/>
    <w:rsid w:val="00433F9D"/>
    <w:rsid w:val="00446440"/>
    <w:rsid w:val="00447EAD"/>
    <w:rsid w:val="0045362B"/>
    <w:rsid w:val="004563F9"/>
    <w:rsid w:val="00460CBF"/>
    <w:rsid w:val="004651BC"/>
    <w:rsid w:val="00465BEB"/>
    <w:rsid w:val="00471ABF"/>
    <w:rsid w:val="00481A9B"/>
    <w:rsid w:val="004B4A29"/>
    <w:rsid w:val="004B74D8"/>
    <w:rsid w:val="004B78B2"/>
    <w:rsid w:val="004C091F"/>
    <w:rsid w:val="004D18E8"/>
    <w:rsid w:val="004D1CC7"/>
    <w:rsid w:val="004E0C08"/>
    <w:rsid w:val="004E162F"/>
    <w:rsid w:val="004E38C6"/>
    <w:rsid w:val="004F11B4"/>
    <w:rsid w:val="004F1328"/>
    <w:rsid w:val="004F4CE5"/>
    <w:rsid w:val="004F69A9"/>
    <w:rsid w:val="00500015"/>
    <w:rsid w:val="00502D74"/>
    <w:rsid w:val="005058F0"/>
    <w:rsid w:val="00510AE6"/>
    <w:rsid w:val="00511094"/>
    <w:rsid w:val="00511ED2"/>
    <w:rsid w:val="005122AC"/>
    <w:rsid w:val="005150E8"/>
    <w:rsid w:val="00521D55"/>
    <w:rsid w:val="00526DAE"/>
    <w:rsid w:val="00527102"/>
    <w:rsid w:val="005322D9"/>
    <w:rsid w:val="00534649"/>
    <w:rsid w:val="00534DFF"/>
    <w:rsid w:val="005528A4"/>
    <w:rsid w:val="00582253"/>
    <w:rsid w:val="00584DE6"/>
    <w:rsid w:val="00586D0A"/>
    <w:rsid w:val="00587F43"/>
    <w:rsid w:val="00592859"/>
    <w:rsid w:val="005929A9"/>
    <w:rsid w:val="00593773"/>
    <w:rsid w:val="005943F5"/>
    <w:rsid w:val="0059567B"/>
    <w:rsid w:val="005A76DA"/>
    <w:rsid w:val="005B2C41"/>
    <w:rsid w:val="005B5F3A"/>
    <w:rsid w:val="005B6CCC"/>
    <w:rsid w:val="005C315C"/>
    <w:rsid w:val="005C3275"/>
    <w:rsid w:val="005C460D"/>
    <w:rsid w:val="005C461E"/>
    <w:rsid w:val="005C525C"/>
    <w:rsid w:val="005D59B1"/>
    <w:rsid w:val="005D7C69"/>
    <w:rsid w:val="005E2C68"/>
    <w:rsid w:val="005F0936"/>
    <w:rsid w:val="005F2A83"/>
    <w:rsid w:val="005F2EB3"/>
    <w:rsid w:val="005F2F23"/>
    <w:rsid w:val="005F350D"/>
    <w:rsid w:val="00604F78"/>
    <w:rsid w:val="00605BF1"/>
    <w:rsid w:val="00606638"/>
    <w:rsid w:val="0061224C"/>
    <w:rsid w:val="006151AD"/>
    <w:rsid w:val="00616DCE"/>
    <w:rsid w:val="00623405"/>
    <w:rsid w:val="00623E12"/>
    <w:rsid w:val="0062799A"/>
    <w:rsid w:val="00631D88"/>
    <w:rsid w:val="00646A7B"/>
    <w:rsid w:val="006472FB"/>
    <w:rsid w:val="00652678"/>
    <w:rsid w:val="00663BFC"/>
    <w:rsid w:val="00666B8C"/>
    <w:rsid w:val="00681ADF"/>
    <w:rsid w:val="006871B7"/>
    <w:rsid w:val="00687B81"/>
    <w:rsid w:val="00690881"/>
    <w:rsid w:val="00691699"/>
    <w:rsid w:val="006920F5"/>
    <w:rsid w:val="0069544C"/>
    <w:rsid w:val="006A1FA4"/>
    <w:rsid w:val="006B096A"/>
    <w:rsid w:val="006B2201"/>
    <w:rsid w:val="006B478A"/>
    <w:rsid w:val="006B4B45"/>
    <w:rsid w:val="006C3104"/>
    <w:rsid w:val="006C7059"/>
    <w:rsid w:val="006D08C4"/>
    <w:rsid w:val="006F732A"/>
    <w:rsid w:val="00700955"/>
    <w:rsid w:val="0070438B"/>
    <w:rsid w:val="007061FA"/>
    <w:rsid w:val="00711F70"/>
    <w:rsid w:val="007154BF"/>
    <w:rsid w:val="007159C4"/>
    <w:rsid w:val="00717297"/>
    <w:rsid w:val="00717D8F"/>
    <w:rsid w:val="007206F8"/>
    <w:rsid w:val="0073246E"/>
    <w:rsid w:val="00734458"/>
    <w:rsid w:val="00737FA6"/>
    <w:rsid w:val="007425F7"/>
    <w:rsid w:val="00746870"/>
    <w:rsid w:val="007468EE"/>
    <w:rsid w:val="00752F5A"/>
    <w:rsid w:val="00753D1E"/>
    <w:rsid w:val="00762024"/>
    <w:rsid w:val="00762652"/>
    <w:rsid w:val="00780F72"/>
    <w:rsid w:val="00782109"/>
    <w:rsid w:val="00786447"/>
    <w:rsid w:val="00786AF7"/>
    <w:rsid w:val="00794654"/>
    <w:rsid w:val="00795E85"/>
    <w:rsid w:val="007A1AD3"/>
    <w:rsid w:val="007B2BF7"/>
    <w:rsid w:val="007B7CA2"/>
    <w:rsid w:val="007C55A5"/>
    <w:rsid w:val="007C7112"/>
    <w:rsid w:val="007D0331"/>
    <w:rsid w:val="007D3A38"/>
    <w:rsid w:val="007D4401"/>
    <w:rsid w:val="007D67B9"/>
    <w:rsid w:val="007D7677"/>
    <w:rsid w:val="007E3360"/>
    <w:rsid w:val="007E695A"/>
    <w:rsid w:val="007F063A"/>
    <w:rsid w:val="007F3A9D"/>
    <w:rsid w:val="00817774"/>
    <w:rsid w:val="0082219D"/>
    <w:rsid w:val="00824E07"/>
    <w:rsid w:val="00834360"/>
    <w:rsid w:val="0084332A"/>
    <w:rsid w:val="00843FA9"/>
    <w:rsid w:val="0085072B"/>
    <w:rsid w:val="008551B9"/>
    <w:rsid w:val="008553C1"/>
    <w:rsid w:val="008567EA"/>
    <w:rsid w:val="008574E9"/>
    <w:rsid w:val="00861790"/>
    <w:rsid w:val="008624A4"/>
    <w:rsid w:val="00865D2F"/>
    <w:rsid w:val="008731B4"/>
    <w:rsid w:val="0087597D"/>
    <w:rsid w:val="00876B23"/>
    <w:rsid w:val="00882911"/>
    <w:rsid w:val="00895C5B"/>
    <w:rsid w:val="0089670B"/>
    <w:rsid w:val="008A6EB7"/>
    <w:rsid w:val="008B51FC"/>
    <w:rsid w:val="008B7E01"/>
    <w:rsid w:val="008C0B33"/>
    <w:rsid w:val="008C2822"/>
    <w:rsid w:val="008E2B8F"/>
    <w:rsid w:val="008E5176"/>
    <w:rsid w:val="008F53DB"/>
    <w:rsid w:val="00910373"/>
    <w:rsid w:val="0091147B"/>
    <w:rsid w:val="00915AC4"/>
    <w:rsid w:val="009177E7"/>
    <w:rsid w:val="009236B8"/>
    <w:rsid w:val="00924C14"/>
    <w:rsid w:val="00931707"/>
    <w:rsid w:val="00941A30"/>
    <w:rsid w:val="00944F7B"/>
    <w:rsid w:val="009512B0"/>
    <w:rsid w:val="00952277"/>
    <w:rsid w:val="00952E15"/>
    <w:rsid w:val="00953E5A"/>
    <w:rsid w:val="00956507"/>
    <w:rsid w:val="00962559"/>
    <w:rsid w:val="00966AB7"/>
    <w:rsid w:val="0096795C"/>
    <w:rsid w:val="009702FB"/>
    <w:rsid w:val="00970DD3"/>
    <w:rsid w:val="0097765C"/>
    <w:rsid w:val="00995B47"/>
    <w:rsid w:val="00996E12"/>
    <w:rsid w:val="009B1E5B"/>
    <w:rsid w:val="009B4CCE"/>
    <w:rsid w:val="009B5248"/>
    <w:rsid w:val="009B6B41"/>
    <w:rsid w:val="009B73C0"/>
    <w:rsid w:val="009C4F8C"/>
    <w:rsid w:val="009D1436"/>
    <w:rsid w:val="009F19DA"/>
    <w:rsid w:val="009F3751"/>
    <w:rsid w:val="009F7394"/>
    <w:rsid w:val="00A03126"/>
    <w:rsid w:val="00A06C81"/>
    <w:rsid w:val="00A07BBD"/>
    <w:rsid w:val="00A13550"/>
    <w:rsid w:val="00A17B81"/>
    <w:rsid w:val="00A20EA6"/>
    <w:rsid w:val="00A21111"/>
    <w:rsid w:val="00A2226C"/>
    <w:rsid w:val="00A224D5"/>
    <w:rsid w:val="00A3329C"/>
    <w:rsid w:val="00A33DB9"/>
    <w:rsid w:val="00A547AE"/>
    <w:rsid w:val="00A55F3F"/>
    <w:rsid w:val="00A6463B"/>
    <w:rsid w:val="00A70A63"/>
    <w:rsid w:val="00A771A2"/>
    <w:rsid w:val="00A77409"/>
    <w:rsid w:val="00A81969"/>
    <w:rsid w:val="00A833C3"/>
    <w:rsid w:val="00AA72C9"/>
    <w:rsid w:val="00AB6F4E"/>
    <w:rsid w:val="00AB7EFA"/>
    <w:rsid w:val="00AC2315"/>
    <w:rsid w:val="00AC2C09"/>
    <w:rsid w:val="00AC75AD"/>
    <w:rsid w:val="00AD3F37"/>
    <w:rsid w:val="00AD6FB3"/>
    <w:rsid w:val="00AE1F83"/>
    <w:rsid w:val="00AE49A7"/>
    <w:rsid w:val="00AE7580"/>
    <w:rsid w:val="00AF756A"/>
    <w:rsid w:val="00B02EFF"/>
    <w:rsid w:val="00B0720A"/>
    <w:rsid w:val="00B1263F"/>
    <w:rsid w:val="00B253CB"/>
    <w:rsid w:val="00B42723"/>
    <w:rsid w:val="00B46193"/>
    <w:rsid w:val="00B46356"/>
    <w:rsid w:val="00B51BAC"/>
    <w:rsid w:val="00B5769F"/>
    <w:rsid w:val="00B712D6"/>
    <w:rsid w:val="00B72D08"/>
    <w:rsid w:val="00B76E12"/>
    <w:rsid w:val="00B80E80"/>
    <w:rsid w:val="00B836FB"/>
    <w:rsid w:val="00B84475"/>
    <w:rsid w:val="00B8731C"/>
    <w:rsid w:val="00B94709"/>
    <w:rsid w:val="00BA6ED7"/>
    <w:rsid w:val="00BC0A2E"/>
    <w:rsid w:val="00BC26F1"/>
    <w:rsid w:val="00BC2AD3"/>
    <w:rsid w:val="00BD3F0A"/>
    <w:rsid w:val="00BE0957"/>
    <w:rsid w:val="00BF1A26"/>
    <w:rsid w:val="00BF2C5A"/>
    <w:rsid w:val="00BF4B95"/>
    <w:rsid w:val="00C01238"/>
    <w:rsid w:val="00C15920"/>
    <w:rsid w:val="00C229FE"/>
    <w:rsid w:val="00C23DB0"/>
    <w:rsid w:val="00C319AA"/>
    <w:rsid w:val="00C3694E"/>
    <w:rsid w:val="00C46D2D"/>
    <w:rsid w:val="00C5147C"/>
    <w:rsid w:val="00C542BF"/>
    <w:rsid w:val="00C557B3"/>
    <w:rsid w:val="00C56067"/>
    <w:rsid w:val="00C578F7"/>
    <w:rsid w:val="00C604DC"/>
    <w:rsid w:val="00C606E5"/>
    <w:rsid w:val="00C75FD6"/>
    <w:rsid w:val="00C77A36"/>
    <w:rsid w:val="00C77AD2"/>
    <w:rsid w:val="00C80AE6"/>
    <w:rsid w:val="00C845DD"/>
    <w:rsid w:val="00C86804"/>
    <w:rsid w:val="00C9251B"/>
    <w:rsid w:val="00C97459"/>
    <w:rsid w:val="00CA3F1D"/>
    <w:rsid w:val="00CA68F1"/>
    <w:rsid w:val="00CC3B1D"/>
    <w:rsid w:val="00CC571E"/>
    <w:rsid w:val="00CE6D09"/>
    <w:rsid w:val="00CE7452"/>
    <w:rsid w:val="00CE7742"/>
    <w:rsid w:val="00D113D5"/>
    <w:rsid w:val="00D174CC"/>
    <w:rsid w:val="00D2350D"/>
    <w:rsid w:val="00D3410F"/>
    <w:rsid w:val="00D34DC5"/>
    <w:rsid w:val="00D34DCA"/>
    <w:rsid w:val="00D40EE9"/>
    <w:rsid w:val="00D41106"/>
    <w:rsid w:val="00D47217"/>
    <w:rsid w:val="00D51BD1"/>
    <w:rsid w:val="00D53EC0"/>
    <w:rsid w:val="00D560E7"/>
    <w:rsid w:val="00D56F5D"/>
    <w:rsid w:val="00D763C0"/>
    <w:rsid w:val="00D90027"/>
    <w:rsid w:val="00D93ADF"/>
    <w:rsid w:val="00D95ABA"/>
    <w:rsid w:val="00D95B06"/>
    <w:rsid w:val="00D96E68"/>
    <w:rsid w:val="00DA0372"/>
    <w:rsid w:val="00DA2326"/>
    <w:rsid w:val="00DA2B9A"/>
    <w:rsid w:val="00DB3054"/>
    <w:rsid w:val="00DB35DD"/>
    <w:rsid w:val="00DB6ACB"/>
    <w:rsid w:val="00DC70EF"/>
    <w:rsid w:val="00DD235A"/>
    <w:rsid w:val="00DD4C90"/>
    <w:rsid w:val="00DD6C9B"/>
    <w:rsid w:val="00DE40A7"/>
    <w:rsid w:val="00DE4837"/>
    <w:rsid w:val="00DE49E3"/>
    <w:rsid w:val="00DF51CF"/>
    <w:rsid w:val="00DF7D86"/>
    <w:rsid w:val="00E01029"/>
    <w:rsid w:val="00E052FC"/>
    <w:rsid w:val="00E164E1"/>
    <w:rsid w:val="00E174DA"/>
    <w:rsid w:val="00E2187A"/>
    <w:rsid w:val="00E222CD"/>
    <w:rsid w:val="00E24FE0"/>
    <w:rsid w:val="00E27400"/>
    <w:rsid w:val="00E27A8C"/>
    <w:rsid w:val="00E3052F"/>
    <w:rsid w:val="00E4507A"/>
    <w:rsid w:val="00E47A75"/>
    <w:rsid w:val="00E6014D"/>
    <w:rsid w:val="00E62945"/>
    <w:rsid w:val="00E67F8E"/>
    <w:rsid w:val="00E758B8"/>
    <w:rsid w:val="00E8167E"/>
    <w:rsid w:val="00E82600"/>
    <w:rsid w:val="00E90A94"/>
    <w:rsid w:val="00E9358D"/>
    <w:rsid w:val="00EA3499"/>
    <w:rsid w:val="00EA4F1E"/>
    <w:rsid w:val="00EA5292"/>
    <w:rsid w:val="00EB3812"/>
    <w:rsid w:val="00EC3501"/>
    <w:rsid w:val="00EC7A3E"/>
    <w:rsid w:val="00ED1009"/>
    <w:rsid w:val="00ED2E9A"/>
    <w:rsid w:val="00ED5206"/>
    <w:rsid w:val="00EF01D8"/>
    <w:rsid w:val="00EF396C"/>
    <w:rsid w:val="00F01F6C"/>
    <w:rsid w:val="00F021C5"/>
    <w:rsid w:val="00F04F60"/>
    <w:rsid w:val="00F066C5"/>
    <w:rsid w:val="00F126BC"/>
    <w:rsid w:val="00F2519F"/>
    <w:rsid w:val="00F33079"/>
    <w:rsid w:val="00F40C78"/>
    <w:rsid w:val="00F447D5"/>
    <w:rsid w:val="00F45448"/>
    <w:rsid w:val="00F45AEA"/>
    <w:rsid w:val="00F641D5"/>
    <w:rsid w:val="00F70131"/>
    <w:rsid w:val="00F74376"/>
    <w:rsid w:val="00F84F1D"/>
    <w:rsid w:val="00F85D80"/>
    <w:rsid w:val="00F92C7B"/>
    <w:rsid w:val="00F92DF7"/>
    <w:rsid w:val="00F94683"/>
    <w:rsid w:val="00FA058B"/>
    <w:rsid w:val="00FA0863"/>
    <w:rsid w:val="00FA3C06"/>
    <w:rsid w:val="00FA3E0F"/>
    <w:rsid w:val="00FA6E4C"/>
    <w:rsid w:val="00FA78A3"/>
    <w:rsid w:val="00FB2E4F"/>
    <w:rsid w:val="00FC0E5A"/>
    <w:rsid w:val="00FD2419"/>
    <w:rsid w:val="00FD60D3"/>
    <w:rsid w:val="00FD629B"/>
    <w:rsid w:val="00FE001F"/>
    <w:rsid w:val="00FE2E50"/>
    <w:rsid w:val="00FF19C8"/>
    <w:rsid w:val="00FF7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7514"/>
  <w15:docId w15:val="{EE3A2152-35E2-4FC8-96C8-96770A1A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4CAC"/>
    <w:rPr>
      <w:sz w:val="24"/>
      <w:szCs w:val="24"/>
    </w:rPr>
  </w:style>
  <w:style w:type="paragraph" w:styleId="Nadpis1">
    <w:name w:val="heading 1"/>
    <w:basedOn w:val="Normln"/>
    <w:next w:val="Normln"/>
    <w:link w:val="Nadpis1Char"/>
    <w:uiPriority w:val="9"/>
    <w:qFormat/>
    <w:rsid w:val="003C4CAC"/>
    <w:pPr>
      <w:keepNext/>
      <w:spacing w:before="120" w:line="200" w:lineRule="atLeast"/>
      <w:jc w:val="center"/>
      <w:outlineLvl w:val="0"/>
    </w:pPr>
    <w:rPr>
      <w:rFonts w:ascii="Arial" w:hAnsi="Arial" w:cs="Arial"/>
      <w:b/>
      <w:sz w:val="28"/>
    </w:rPr>
  </w:style>
  <w:style w:type="paragraph" w:styleId="Nadpis2">
    <w:name w:val="heading 2"/>
    <w:basedOn w:val="Normln"/>
    <w:next w:val="Normln"/>
    <w:link w:val="Nadpis2Char"/>
    <w:unhideWhenUsed/>
    <w:qFormat/>
    <w:rsid w:val="003C4C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C4CA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3C4CA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3C4CAC"/>
    <w:pPr>
      <w:keepNext/>
      <w:jc w:val="both"/>
      <w:outlineLvl w:val="4"/>
    </w:pPr>
    <w:rPr>
      <w:rFonts w:ascii="Arial" w:hAnsi="Arial"/>
      <w:b/>
      <w:bCs/>
      <w:sz w:val="22"/>
    </w:rPr>
  </w:style>
  <w:style w:type="paragraph" w:styleId="Nadpis6">
    <w:name w:val="heading 6"/>
    <w:basedOn w:val="Normln"/>
    <w:next w:val="Normln"/>
    <w:link w:val="Nadpis6Char"/>
    <w:qFormat/>
    <w:rsid w:val="003C4CAC"/>
    <w:pPr>
      <w:keepNext/>
      <w:jc w:val="center"/>
      <w:outlineLvl w:val="5"/>
    </w:pPr>
    <w:rPr>
      <w:rFonts w:ascii="Arial" w:hAnsi="Arial" w:cs="Arial"/>
      <w:sz w:val="36"/>
    </w:rPr>
  </w:style>
  <w:style w:type="paragraph" w:styleId="Nadpis7">
    <w:name w:val="heading 7"/>
    <w:basedOn w:val="Normln"/>
    <w:next w:val="Normln"/>
    <w:link w:val="Nadpis7Char"/>
    <w:qFormat/>
    <w:rsid w:val="003C4CAC"/>
    <w:pPr>
      <w:keepNext/>
      <w:spacing w:before="120" w:line="200" w:lineRule="atLeast"/>
      <w:jc w:val="center"/>
      <w:outlineLvl w:val="6"/>
    </w:pPr>
    <w:rPr>
      <w:rFonts w:ascii="Arial" w:hAnsi="Arial" w:cs="Arial"/>
      <w:b/>
      <w:bCs/>
      <w:sz w:val="28"/>
    </w:rPr>
  </w:style>
  <w:style w:type="paragraph" w:styleId="Nadpis8">
    <w:name w:val="heading 8"/>
    <w:basedOn w:val="Normln"/>
    <w:next w:val="Normln"/>
    <w:link w:val="Nadpis8Char"/>
    <w:qFormat/>
    <w:rsid w:val="003C4CAC"/>
    <w:pPr>
      <w:keepNext/>
      <w:spacing w:before="120"/>
      <w:ind w:left="360"/>
      <w:jc w:val="both"/>
      <w:outlineLvl w:val="7"/>
    </w:pPr>
    <w:rPr>
      <w:rFonts w:ascii="Arial" w:hAnsi="Arial" w:cs="Arial"/>
      <w:b/>
      <w:bCs/>
      <w:sz w:val="22"/>
    </w:rPr>
  </w:style>
  <w:style w:type="paragraph" w:styleId="Nadpis9">
    <w:name w:val="heading 9"/>
    <w:basedOn w:val="Normln"/>
    <w:next w:val="Normln"/>
    <w:link w:val="Nadpis9Char"/>
    <w:qFormat/>
    <w:rsid w:val="003C4CAC"/>
    <w:pPr>
      <w:keepNext/>
      <w:jc w:val="both"/>
      <w:outlineLvl w:val="8"/>
    </w:pPr>
    <w:rPr>
      <w:rFonts w:ascii="Arial" w:hAnsi="Arial"/>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podarou">
    <w:name w:val="poznámka pod čarou"/>
    <w:basedOn w:val="Textpoznpodarou"/>
    <w:link w:val="poznmkapodarouChar"/>
    <w:qFormat/>
    <w:rsid w:val="003C4CAC"/>
    <w:pPr>
      <w:tabs>
        <w:tab w:val="left" w:pos="284"/>
      </w:tabs>
      <w:ind w:left="284" w:hanging="284"/>
      <w:jc w:val="both"/>
    </w:pPr>
    <w:rPr>
      <w:rFonts w:ascii="Arial" w:eastAsia="Arial Unicode MS" w:hAnsi="Arial" w:cs="Arial"/>
      <w:sz w:val="18"/>
      <w:szCs w:val="20"/>
    </w:rPr>
  </w:style>
  <w:style w:type="character" w:customStyle="1" w:styleId="poznmkapodarouChar">
    <w:name w:val="poznámka pod čarou Char"/>
    <w:basedOn w:val="Standardnpsmoodstavce"/>
    <w:link w:val="poznmkapodarou"/>
    <w:rsid w:val="003C4CAC"/>
    <w:rPr>
      <w:rFonts w:ascii="Arial" w:eastAsia="Arial Unicode MS" w:hAnsi="Arial" w:cs="Arial"/>
      <w:sz w:val="18"/>
    </w:rPr>
  </w:style>
  <w:style w:type="paragraph" w:styleId="Textpoznpodarou">
    <w:name w:val="footnote text"/>
    <w:aliases w:val="Text poznámky pod čiarou 007,Footnote,pozn. pod čarou,Schriftart: 9 pt,Schriftart: 10 pt,Schriftart: 8 pt,Podrozdział,Podrozdzia3,Fußnotentextf,Geneva 9,Font: Geneva 9,Boston 10,f"/>
    <w:basedOn w:val="Normln"/>
    <w:link w:val="TextpoznpodarouChar"/>
    <w:uiPriority w:val="99"/>
    <w:unhideWhenUsed/>
    <w:rsid w:val="003C4CAC"/>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Fußnotentextf Char,Geneva 9 Char,Font: Geneva 9 Char"/>
    <w:basedOn w:val="Standardnpsmoodstavce"/>
    <w:link w:val="Textpoznpodarou"/>
    <w:uiPriority w:val="99"/>
    <w:rsid w:val="003C4CAC"/>
  </w:style>
  <w:style w:type="character" w:customStyle="1" w:styleId="Nadpis1Char">
    <w:name w:val="Nadpis 1 Char"/>
    <w:basedOn w:val="Standardnpsmoodstavce"/>
    <w:link w:val="Nadpis1"/>
    <w:uiPriority w:val="9"/>
    <w:rsid w:val="003C4CAC"/>
    <w:rPr>
      <w:rFonts w:ascii="Arial" w:hAnsi="Arial" w:cs="Arial"/>
      <w:b/>
      <w:sz w:val="28"/>
      <w:szCs w:val="24"/>
    </w:rPr>
  </w:style>
  <w:style w:type="character" w:customStyle="1" w:styleId="Nadpis2Char">
    <w:name w:val="Nadpis 2 Char"/>
    <w:basedOn w:val="Standardnpsmoodstavce"/>
    <w:link w:val="Nadpis2"/>
    <w:rsid w:val="003C4CA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C4CA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rsid w:val="003C4CAC"/>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3C4CAC"/>
    <w:rPr>
      <w:rFonts w:ascii="Arial" w:hAnsi="Arial"/>
      <w:b/>
      <w:bCs/>
      <w:sz w:val="22"/>
      <w:szCs w:val="24"/>
    </w:rPr>
  </w:style>
  <w:style w:type="character" w:customStyle="1" w:styleId="Nadpis6Char">
    <w:name w:val="Nadpis 6 Char"/>
    <w:basedOn w:val="Standardnpsmoodstavce"/>
    <w:link w:val="Nadpis6"/>
    <w:rsid w:val="003C4CAC"/>
    <w:rPr>
      <w:rFonts w:ascii="Arial" w:hAnsi="Arial" w:cs="Arial"/>
      <w:sz w:val="36"/>
      <w:szCs w:val="24"/>
    </w:rPr>
  </w:style>
  <w:style w:type="character" w:customStyle="1" w:styleId="Nadpis7Char">
    <w:name w:val="Nadpis 7 Char"/>
    <w:basedOn w:val="Standardnpsmoodstavce"/>
    <w:link w:val="Nadpis7"/>
    <w:rsid w:val="003C4CAC"/>
    <w:rPr>
      <w:rFonts w:ascii="Arial" w:hAnsi="Arial" w:cs="Arial"/>
      <w:b/>
      <w:bCs/>
      <w:sz w:val="28"/>
      <w:szCs w:val="24"/>
    </w:rPr>
  </w:style>
  <w:style w:type="character" w:customStyle="1" w:styleId="Nadpis8Char">
    <w:name w:val="Nadpis 8 Char"/>
    <w:basedOn w:val="Standardnpsmoodstavce"/>
    <w:link w:val="Nadpis8"/>
    <w:rsid w:val="003C4CAC"/>
    <w:rPr>
      <w:rFonts w:ascii="Arial" w:hAnsi="Arial" w:cs="Arial"/>
      <w:b/>
      <w:bCs/>
      <w:sz w:val="22"/>
      <w:szCs w:val="24"/>
    </w:rPr>
  </w:style>
  <w:style w:type="character" w:customStyle="1" w:styleId="Nadpis9Char">
    <w:name w:val="Nadpis 9 Char"/>
    <w:basedOn w:val="Standardnpsmoodstavce"/>
    <w:link w:val="Nadpis9"/>
    <w:rsid w:val="003C4CAC"/>
    <w:rPr>
      <w:rFonts w:ascii="Arial" w:hAnsi="Arial"/>
      <w:sz w:val="22"/>
      <w:szCs w:val="24"/>
      <w:u w:val="single"/>
    </w:rPr>
  </w:style>
  <w:style w:type="paragraph" w:styleId="Titulek">
    <w:name w:val="caption"/>
    <w:basedOn w:val="Normln"/>
    <w:next w:val="Normln"/>
    <w:uiPriority w:val="99"/>
    <w:qFormat/>
    <w:rsid w:val="003C4CAC"/>
    <w:pPr>
      <w:spacing w:before="80" w:after="80"/>
    </w:pPr>
    <w:rPr>
      <w:i/>
      <w:iCs/>
      <w:sz w:val="18"/>
      <w:szCs w:val="18"/>
      <w:lang w:eastAsia="cs-CZ"/>
    </w:rPr>
  </w:style>
  <w:style w:type="paragraph" w:styleId="Nzev">
    <w:name w:val="Title"/>
    <w:aliases w:val="Nadpis 10"/>
    <w:basedOn w:val="Normln"/>
    <w:link w:val="NzevChar"/>
    <w:qFormat/>
    <w:rsid w:val="003C4CAC"/>
    <w:pPr>
      <w:jc w:val="center"/>
    </w:pPr>
    <w:rPr>
      <w:rFonts w:ascii="Arial" w:hAnsi="Arial"/>
      <w:b/>
      <w:bCs/>
      <w:sz w:val="22"/>
      <w:u w:val="single"/>
    </w:rPr>
  </w:style>
  <w:style w:type="character" w:customStyle="1" w:styleId="NzevChar">
    <w:name w:val="Název Char"/>
    <w:aliases w:val="Nadpis 10 Char"/>
    <w:basedOn w:val="Standardnpsmoodstavce"/>
    <w:link w:val="Nzev"/>
    <w:rsid w:val="003C4CAC"/>
    <w:rPr>
      <w:rFonts w:ascii="Arial" w:hAnsi="Arial"/>
      <w:b/>
      <w:bCs/>
      <w:sz w:val="22"/>
      <w:szCs w:val="24"/>
      <w:u w:val="single"/>
    </w:rPr>
  </w:style>
  <w:style w:type="character" w:styleId="Siln">
    <w:name w:val="Strong"/>
    <w:basedOn w:val="Standardnpsmoodstavce"/>
    <w:uiPriority w:val="99"/>
    <w:qFormat/>
    <w:rsid w:val="003C4CAC"/>
    <w:rPr>
      <w:b/>
      <w:bCs/>
    </w:rPr>
  </w:style>
  <w:style w:type="character" w:styleId="Zdraznn">
    <w:name w:val="Emphasis"/>
    <w:basedOn w:val="Standardnpsmoodstavce"/>
    <w:uiPriority w:val="20"/>
    <w:qFormat/>
    <w:rsid w:val="003C4CAC"/>
    <w:rPr>
      <w:i/>
      <w:iCs/>
    </w:rPr>
  </w:style>
  <w:style w:type="paragraph" w:styleId="Bezmezer">
    <w:name w:val="No Spacing"/>
    <w:aliases w:val="číslovaný odstavec"/>
    <w:uiPriority w:val="1"/>
    <w:qFormat/>
    <w:rsid w:val="003C4CAC"/>
    <w:rPr>
      <w:sz w:val="24"/>
      <w:szCs w:val="24"/>
    </w:rPr>
  </w:style>
  <w:style w:type="paragraph" w:styleId="Odstavecseseznamem">
    <w:name w:val="List Paragraph"/>
    <w:aliases w:val="odrážky"/>
    <w:basedOn w:val="Normln"/>
    <w:link w:val="OdstavecseseznamemChar"/>
    <w:uiPriority w:val="34"/>
    <w:qFormat/>
    <w:rsid w:val="003C4CAC"/>
    <w:pPr>
      <w:ind w:left="720"/>
      <w:contextualSpacing/>
    </w:pPr>
  </w:style>
  <w:style w:type="paragraph" w:styleId="Nadpisobsahu">
    <w:name w:val="TOC Heading"/>
    <w:basedOn w:val="Nadpis1"/>
    <w:next w:val="Normln"/>
    <w:uiPriority w:val="39"/>
    <w:unhideWhenUsed/>
    <w:qFormat/>
    <w:rsid w:val="003C4CAC"/>
    <w:pPr>
      <w:keepLines/>
      <w:spacing w:before="480" w:line="276" w:lineRule="auto"/>
      <w:jc w:val="left"/>
      <w:outlineLvl w:val="9"/>
    </w:pPr>
    <w:rPr>
      <w:rFonts w:ascii="Cambria" w:hAnsi="Cambria" w:cs="Times New Roman"/>
      <w:bCs/>
      <w:color w:val="365F91"/>
      <w:szCs w:val="28"/>
    </w:rPr>
  </w:style>
  <w:style w:type="numbering" w:customStyle="1" w:styleId="Bezseznamu1">
    <w:name w:val="Bez seznamu1"/>
    <w:next w:val="Bezseznamu"/>
    <w:uiPriority w:val="99"/>
    <w:semiHidden/>
    <w:unhideWhenUsed/>
    <w:rsid w:val="00236C8C"/>
  </w:style>
  <w:style w:type="paragraph" w:styleId="Zkladntext">
    <w:name w:val="Body Text"/>
    <w:aliases w:val="Standard paragraph,Body Text1,b,block style,?????1"/>
    <w:basedOn w:val="Normln"/>
    <w:link w:val="ZkladntextChar"/>
    <w:semiHidden/>
    <w:rsid w:val="00236C8C"/>
    <w:pPr>
      <w:jc w:val="both"/>
    </w:pPr>
    <w:rPr>
      <w:szCs w:val="20"/>
      <w:lang w:eastAsia="cs-CZ"/>
    </w:rPr>
  </w:style>
  <w:style w:type="character" w:customStyle="1" w:styleId="ZkladntextChar">
    <w:name w:val="Základní text Char"/>
    <w:aliases w:val="Standard paragraph Char,Body Text1 Char,b Char,block style Char,?????1 Char"/>
    <w:basedOn w:val="Standardnpsmoodstavce"/>
    <w:link w:val="Zkladntext"/>
    <w:semiHidden/>
    <w:rsid w:val="00236C8C"/>
    <w:rPr>
      <w:sz w:val="24"/>
      <w:lang w:eastAsia="cs-CZ"/>
    </w:rPr>
  </w:style>
  <w:style w:type="paragraph" w:customStyle="1" w:styleId="Zkladntext2">
    <w:name w:val="Z‡kladn’ text 2"/>
    <w:basedOn w:val="Normln"/>
    <w:rsid w:val="00236C8C"/>
    <w:pPr>
      <w:overflowPunct w:val="0"/>
      <w:autoSpaceDE w:val="0"/>
      <w:autoSpaceDN w:val="0"/>
      <w:adjustRightInd w:val="0"/>
      <w:spacing w:after="120"/>
      <w:jc w:val="both"/>
      <w:textAlignment w:val="baseline"/>
    </w:pPr>
    <w:rPr>
      <w:rFonts w:ascii="Arial" w:hAnsi="Arial"/>
      <w:sz w:val="22"/>
      <w:szCs w:val="20"/>
      <w:lang w:eastAsia="cs-CZ"/>
    </w:rPr>
  </w:style>
  <w:style w:type="paragraph" w:customStyle="1" w:styleId="NormlnKZ">
    <w:name w:val="Normální KZ"/>
    <w:basedOn w:val="Normln"/>
    <w:rsid w:val="00236C8C"/>
    <w:pPr>
      <w:spacing w:after="120"/>
      <w:ind w:firstLine="425"/>
      <w:jc w:val="both"/>
    </w:pPr>
    <w:rPr>
      <w:rFonts w:ascii="Arial" w:hAnsi="Arial"/>
      <w:sz w:val="22"/>
      <w:lang w:eastAsia="cs-CZ"/>
    </w:rPr>
  </w:style>
  <w:style w:type="paragraph" w:customStyle="1" w:styleId="Pa10">
    <w:name w:val="Pa10"/>
    <w:basedOn w:val="Normln"/>
    <w:next w:val="Normln"/>
    <w:rsid w:val="00236C8C"/>
    <w:pPr>
      <w:autoSpaceDE w:val="0"/>
      <w:autoSpaceDN w:val="0"/>
      <w:adjustRightInd w:val="0"/>
      <w:spacing w:before="360" w:after="100" w:line="281" w:lineRule="atLeast"/>
      <w:jc w:val="both"/>
    </w:pPr>
    <w:rPr>
      <w:rFonts w:ascii="Arial" w:hAnsi="Arial" w:cs="Arial"/>
      <w:sz w:val="22"/>
      <w:lang w:val="en-US"/>
    </w:rPr>
  </w:style>
  <w:style w:type="paragraph" w:styleId="Zhlav">
    <w:name w:val="header"/>
    <w:basedOn w:val="Normln"/>
    <w:link w:val="ZhlavChar"/>
    <w:uiPriority w:val="99"/>
    <w:unhideWhenUsed/>
    <w:rsid w:val="00236C8C"/>
    <w:pPr>
      <w:tabs>
        <w:tab w:val="center" w:pos="4536"/>
        <w:tab w:val="right" w:pos="9072"/>
      </w:tabs>
      <w:jc w:val="both"/>
    </w:pPr>
  </w:style>
  <w:style w:type="character" w:customStyle="1" w:styleId="ZhlavChar">
    <w:name w:val="Záhlaví Char"/>
    <w:basedOn w:val="Standardnpsmoodstavce"/>
    <w:link w:val="Zhlav"/>
    <w:uiPriority w:val="99"/>
    <w:rsid w:val="00236C8C"/>
    <w:rPr>
      <w:sz w:val="24"/>
      <w:szCs w:val="24"/>
    </w:rPr>
  </w:style>
  <w:style w:type="paragraph" w:styleId="Zpat">
    <w:name w:val="footer"/>
    <w:basedOn w:val="Normln"/>
    <w:link w:val="ZpatChar"/>
    <w:uiPriority w:val="99"/>
    <w:unhideWhenUsed/>
    <w:rsid w:val="00236C8C"/>
    <w:pPr>
      <w:tabs>
        <w:tab w:val="center" w:pos="4536"/>
        <w:tab w:val="right" w:pos="9072"/>
      </w:tabs>
      <w:jc w:val="both"/>
    </w:pPr>
  </w:style>
  <w:style w:type="character" w:customStyle="1" w:styleId="ZpatChar">
    <w:name w:val="Zápatí Char"/>
    <w:basedOn w:val="Standardnpsmoodstavce"/>
    <w:link w:val="Zpat"/>
    <w:uiPriority w:val="99"/>
    <w:rsid w:val="00236C8C"/>
    <w:rPr>
      <w:sz w:val="24"/>
      <w:szCs w:val="24"/>
    </w:rPr>
  </w:style>
  <w:style w:type="paragraph" w:styleId="Textvysvtlivek">
    <w:name w:val="endnote text"/>
    <w:basedOn w:val="Normln"/>
    <w:link w:val="TextvysvtlivekChar"/>
    <w:uiPriority w:val="99"/>
    <w:semiHidden/>
    <w:unhideWhenUsed/>
    <w:rsid w:val="00236C8C"/>
    <w:pPr>
      <w:jc w:val="both"/>
    </w:pPr>
    <w:rPr>
      <w:sz w:val="20"/>
      <w:szCs w:val="20"/>
    </w:rPr>
  </w:style>
  <w:style w:type="character" w:customStyle="1" w:styleId="TextvysvtlivekChar">
    <w:name w:val="Text vysvětlivek Char"/>
    <w:basedOn w:val="Standardnpsmoodstavce"/>
    <w:link w:val="Textvysvtlivek"/>
    <w:uiPriority w:val="99"/>
    <w:semiHidden/>
    <w:rsid w:val="00236C8C"/>
  </w:style>
  <w:style w:type="character" w:styleId="Odkaznavysvtlivky">
    <w:name w:val="endnote reference"/>
    <w:basedOn w:val="Standardnpsmoodstavce"/>
    <w:uiPriority w:val="99"/>
    <w:semiHidden/>
    <w:unhideWhenUsed/>
    <w:rsid w:val="00236C8C"/>
    <w:rPr>
      <w:vertAlign w:val="superscript"/>
    </w:rPr>
  </w:style>
  <w:style w:type="character" w:styleId="Znakapoznpodarou">
    <w:name w:val="footnote reference"/>
    <w:aliases w:val="PGI Fußnote Ziffer + Times New Roman,12 b.,Zúžené o ...,PGI Fußnote Ziffer,EN Footnote Reference"/>
    <w:basedOn w:val="Standardnpsmoodstavce"/>
    <w:uiPriority w:val="99"/>
    <w:unhideWhenUsed/>
    <w:rsid w:val="00236C8C"/>
    <w:rPr>
      <w:vertAlign w:val="superscript"/>
    </w:rPr>
  </w:style>
  <w:style w:type="character" w:styleId="Odkaznakoment">
    <w:name w:val="annotation reference"/>
    <w:basedOn w:val="Standardnpsmoodstavce"/>
    <w:uiPriority w:val="99"/>
    <w:semiHidden/>
    <w:unhideWhenUsed/>
    <w:rsid w:val="00236C8C"/>
    <w:rPr>
      <w:sz w:val="16"/>
    </w:rPr>
  </w:style>
  <w:style w:type="paragraph" w:styleId="Textkomente">
    <w:name w:val="annotation text"/>
    <w:basedOn w:val="Normln"/>
    <w:link w:val="TextkomenteChar"/>
    <w:uiPriority w:val="99"/>
    <w:unhideWhenUsed/>
    <w:rsid w:val="00236C8C"/>
    <w:pPr>
      <w:jc w:val="both"/>
    </w:pPr>
    <w:rPr>
      <w:sz w:val="20"/>
      <w:szCs w:val="20"/>
    </w:rPr>
  </w:style>
  <w:style w:type="character" w:customStyle="1" w:styleId="TextkomenteChar">
    <w:name w:val="Text komentáře Char"/>
    <w:basedOn w:val="Standardnpsmoodstavce"/>
    <w:link w:val="Textkomente"/>
    <w:uiPriority w:val="99"/>
    <w:rsid w:val="00236C8C"/>
  </w:style>
  <w:style w:type="paragraph" w:styleId="Textbubliny">
    <w:name w:val="Balloon Text"/>
    <w:basedOn w:val="Normln"/>
    <w:link w:val="TextbublinyChar"/>
    <w:uiPriority w:val="99"/>
    <w:semiHidden/>
    <w:unhideWhenUsed/>
    <w:rsid w:val="00236C8C"/>
    <w:pPr>
      <w:jc w:val="both"/>
    </w:pPr>
    <w:rPr>
      <w:rFonts w:ascii="Tahoma" w:hAnsi="Tahoma"/>
      <w:sz w:val="16"/>
      <w:szCs w:val="16"/>
    </w:rPr>
  </w:style>
  <w:style w:type="character" w:customStyle="1" w:styleId="TextbublinyChar">
    <w:name w:val="Text bubliny Char"/>
    <w:basedOn w:val="Standardnpsmoodstavce"/>
    <w:link w:val="Textbubliny"/>
    <w:uiPriority w:val="99"/>
    <w:semiHidden/>
    <w:rsid w:val="00236C8C"/>
    <w:rPr>
      <w:rFonts w:ascii="Tahoma" w:hAnsi="Tahoma"/>
      <w:sz w:val="16"/>
      <w:szCs w:val="16"/>
    </w:rPr>
  </w:style>
  <w:style w:type="character" w:customStyle="1" w:styleId="OdstavecseseznamemChar">
    <w:name w:val="Odstavec se seznamem Char"/>
    <w:aliases w:val="odrážky Char"/>
    <w:link w:val="Odstavecseseznamem"/>
    <w:uiPriority w:val="34"/>
    <w:locked/>
    <w:rsid w:val="00236C8C"/>
    <w:rPr>
      <w:sz w:val="24"/>
      <w:szCs w:val="24"/>
    </w:rPr>
  </w:style>
  <w:style w:type="paragraph" w:customStyle="1" w:styleId="KP-normlntext">
    <w:name w:val="KP-normální text"/>
    <w:basedOn w:val="Normln"/>
    <w:link w:val="KP-normlntextChar"/>
    <w:uiPriority w:val="99"/>
    <w:qFormat/>
    <w:rsid w:val="00236C8C"/>
    <w:pPr>
      <w:spacing w:before="120" w:after="120"/>
      <w:ind w:firstLine="720"/>
      <w:jc w:val="both"/>
    </w:pPr>
    <w:rPr>
      <w:rFonts w:ascii="Arial" w:hAnsi="Arial"/>
      <w:color w:val="000000"/>
      <w:sz w:val="22"/>
      <w:szCs w:val="22"/>
    </w:rPr>
  </w:style>
  <w:style w:type="character" w:customStyle="1" w:styleId="KP-normlntextChar">
    <w:name w:val="KP-normální text Char"/>
    <w:link w:val="KP-normlntext"/>
    <w:uiPriority w:val="99"/>
    <w:locked/>
    <w:rsid w:val="00236C8C"/>
    <w:rPr>
      <w:rFonts w:ascii="Arial" w:hAnsi="Arial"/>
      <w:color w:val="000000"/>
      <w:sz w:val="22"/>
      <w:szCs w:val="22"/>
    </w:rPr>
  </w:style>
  <w:style w:type="paragraph" w:styleId="Pedmtkomente">
    <w:name w:val="annotation subject"/>
    <w:basedOn w:val="Textkomente"/>
    <w:next w:val="Textkomente"/>
    <w:link w:val="PedmtkomenteChar"/>
    <w:uiPriority w:val="99"/>
    <w:semiHidden/>
    <w:unhideWhenUsed/>
    <w:rsid w:val="00236C8C"/>
    <w:rPr>
      <w:rFonts w:ascii="Arial" w:hAnsi="Arial"/>
      <w:b/>
      <w:bCs/>
    </w:rPr>
  </w:style>
  <w:style w:type="character" w:customStyle="1" w:styleId="PedmtkomenteChar">
    <w:name w:val="Předmět komentáře Char"/>
    <w:basedOn w:val="TextkomenteChar"/>
    <w:link w:val="Pedmtkomente"/>
    <w:uiPriority w:val="99"/>
    <w:semiHidden/>
    <w:rsid w:val="00236C8C"/>
    <w:rPr>
      <w:rFonts w:ascii="Arial" w:hAnsi="Arial"/>
      <w:b/>
      <w:bCs/>
    </w:rPr>
  </w:style>
  <w:style w:type="character" w:styleId="Hypertextovodkaz">
    <w:name w:val="Hyperlink"/>
    <w:basedOn w:val="Standardnpsmoodstavce"/>
    <w:uiPriority w:val="99"/>
    <w:unhideWhenUsed/>
    <w:rsid w:val="00236C8C"/>
    <w:rPr>
      <w:color w:val="0000FF"/>
      <w:u w:val="single"/>
    </w:rPr>
  </w:style>
  <w:style w:type="paragraph" w:customStyle="1" w:styleId="Pa13">
    <w:name w:val="Pa13"/>
    <w:basedOn w:val="Normln"/>
    <w:next w:val="Normln"/>
    <w:rsid w:val="00236C8C"/>
    <w:pPr>
      <w:autoSpaceDE w:val="0"/>
      <w:autoSpaceDN w:val="0"/>
      <w:adjustRightInd w:val="0"/>
      <w:spacing w:after="80" w:line="181" w:lineRule="atLeast"/>
    </w:pPr>
    <w:rPr>
      <w:rFonts w:ascii="Arial" w:hAnsi="Arial"/>
      <w:lang w:val="en-US"/>
    </w:rPr>
  </w:style>
  <w:style w:type="paragraph" w:customStyle="1" w:styleId="Default">
    <w:name w:val="Default"/>
    <w:rsid w:val="00236C8C"/>
    <w:pPr>
      <w:autoSpaceDE w:val="0"/>
      <w:autoSpaceDN w:val="0"/>
      <w:adjustRightInd w:val="0"/>
    </w:pPr>
    <w:rPr>
      <w:rFonts w:ascii="KFCHLL+Verdana" w:hAnsi="KFCHLL+Verdana"/>
      <w:color w:val="000000"/>
      <w:sz w:val="24"/>
      <w:szCs w:val="24"/>
      <w:lang w:val="en-US"/>
    </w:rPr>
  </w:style>
  <w:style w:type="paragraph" w:styleId="Revize">
    <w:name w:val="Revision"/>
    <w:hidden/>
    <w:uiPriority w:val="99"/>
    <w:semiHidden/>
    <w:rsid w:val="00236C8C"/>
    <w:rPr>
      <w:rFonts w:ascii="Arial" w:hAnsi="Arial"/>
      <w:sz w:val="22"/>
      <w:szCs w:val="24"/>
    </w:rPr>
  </w:style>
  <w:style w:type="table" w:styleId="Mkatabulky">
    <w:name w:val="Table Grid"/>
    <w:basedOn w:val="Normlntabulka"/>
    <w:uiPriority w:val="59"/>
    <w:rsid w:val="00236C8C"/>
    <w:rPr>
      <w:rFonts w:ascii="Calibri" w:hAnsi="Calibri"/>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rovenadpisuChar">
    <w:name w:val="1. úroveň nadpisu Char"/>
    <w:link w:val="1rovenadpisu"/>
    <w:uiPriority w:val="99"/>
    <w:locked/>
    <w:rsid w:val="00236C8C"/>
    <w:rPr>
      <w:b/>
      <w:sz w:val="28"/>
    </w:rPr>
  </w:style>
  <w:style w:type="paragraph" w:customStyle="1" w:styleId="1rovenadpisu">
    <w:name w:val="1. úroveň nadpisu"/>
    <w:basedOn w:val="Nadpis1"/>
    <w:link w:val="1rovenadpisuChar"/>
    <w:uiPriority w:val="99"/>
    <w:rsid w:val="00236C8C"/>
    <w:pPr>
      <w:overflowPunct w:val="0"/>
      <w:autoSpaceDE w:val="0"/>
      <w:autoSpaceDN w:val="0"/>
      <w:adjustRightInd w:val="0"/>
      <w:spacing w:before="240" w:after="180" w:line="240" w:lineRule="auto"/>
      <w:jc w:val="both"/>
    </w:pPr>
    <w:rPr>
      <w:rFonts w:ascii="Times New Roman" w:hAnsi="Times New Roman" w:cs="Times New Roman"/>
      <w:szCs w:val="20"/>
    </w:rPr>
  </w:style>
  <w:style w:type="character" w:customStyle="1" w:styleId="2rovenadpisuChar">
    <w:name w:val="2. úroveň nadpisu Char"/>
    <w:link w:val="2rovenadpisu"/>
    <w:uiPriority w:val="99"/>
    <w:locked/>
    <w:rsid w:val="00236C8C"/>
    <w:rPr>
      <w:b/>
      <w:sz w:val="24"/>
    </w:rPr>
  </w:style>
  <w:style w:type="paragraph" w:customStyle="1" w:styleId="2rovenadpisu">
    <w:name w:val="2. úroveň nadpisu"/>
    <w:basedOn w:val="Nadpis2"/>
    <w:link w:val="2rovenadpisuChar"/>
    <w:uiPriority w:val="99"/>
    <w:rsid w:val="00236C8C"/>
    <w:pPr>
      <w:keepLines w:val="0"/>
      <w:spacing w:before="0"/>
      <w:jc w:val="both"/>
    </w:pPr>
    <w:rPr>
      <w:rFonts w:ascii="Times New Roman" w:eastAsia="Times New Roman" w:hAnsi="Times New Roman" w:cs="Times New Roman"/>
      <w:bCs w:val="0"/>
      <w:color w:val="auto"/>
      <w:sz w:val="24"/>
      <w:szCs w:val="20"/>
    </w:rPr>
  </w:style>
  <w:style w:type="character" w:customStyle="1" w:styleId="3rovenadpisuChar">
    <w:name w:val="3. úroveň nadpisu Char"/>
    <w:link w:val="3rovenadpisu"/>
    <w:uiPriority w:val="99"/>
    <w:locked/>
    <w:rsid w:val="00236C8C"/>
    <w:rPr>
      <w:b/>
      <w:sz w:val="22"/>
    </w:rPr>
  </w:style>
  <w:style w:type="paragraph" w:customStyle="1" w:styleId="3rovenadpisu">
    <w:name w:val="3. úroveň nadpisu"/>
    <w:basedOn w:val="Nadpis3"/>
    <w:link w:val="3rovenadpisuChar"/>
    <w:uiPriority w:val="99"/>
    <w:rsid w:val="00236C8C"/>
    <w:pPr>
      <w:keepLines w:val="0"/>
      <w:spacing w:before="60" w:after="60"/>
      <w:jc w:val="both"/>
    </w:pPr>
    <w:rPr>
      <w:rFonts w:ascii="Times New Roman" w:eastAsia="Times New Roman" w:hAnsi="Times New Roman" w:cs="Times New Roman"/>
      <w:bCs w:val="0"/>
      <w:color w:val="auto"/>
      <w:sz w:val="22"/>
      <w:szCs w:val="20"/>
    </w:rPr>
  </w:style>
  <w:style w:type="paragraph" w:customStyle="1" w:styleId="4rovenadpisu">
    <w:name w:val="4. úroveň nadpisu"/>
    <w:basedOn w:val="Nadpis4"/>
    <w:uiPriority w:val="99"/>
    <w:rsid w:val="00236C8C"/>
    <w:pPr>
      <w:keepLines w:val="0"/>
      <w:spacing w:before="60" w:after="60"/>
      <w:jc w:val="both"/>
    </w:pPr>
    <w:rPr>
      <w:rFonts w:ascii="Arial" w:eastAsia="Times New Roman" w:hAnsi="Arial" w:cs="Arial"/>
      <w:i w:val="0"/>
      <w:iCs w:val="0"/>
      <w:color w:val="auto"/>
      <w:sz w:val="22"/>
      <w:szCs w:val="22"/>
      <w:lang w:eastAsia="cs-CZ"/>
    </w:rPr>
  </w:style>
  <w:style w:type="character" w:customStyle="1" w:styleId="OdstaveczpisuChar">
    <w:name w:val="Odstavec zápisu Char"/>
    <w:link w:val="Odstaveczpisu"/>
    <w:uiPriority w:val="99"/>
    <w:locked/>
    <w:rsid w:val="00236C8C"/>
  </w:style>
  <w:style w:type="paragraph" w:customStyle="1" w:styleId="Odstaveczpisu">
    <w:name w:val="Odstavec zápisu"/>
    <w:basedOn w:val="Normln"/>
    <w:link w:val="OdstaveczpisuChar"/>
    <w:uiPriority w:val="99"/>
    <w:rsid w:val="00236C8C"/>
    <w:pPr>
      <w:numPr>
        <w:ilvl w:val="1"/>
        <w:numId w:val="1"/>
      </w:numPr>
      <w:contextualSpacing/>
      <w:jc w:val="both"/>
    </w:pPr>
    <w:rPr>
      <w:sz w:val="20"/>
      <w:szCs w:val="20"/>
    </w:rPr>
  </w:style>
  <w:style w:type="paragraph" w:customStyle="1" w:styleId="Text">
    <w:name w:val="+Text"/>
    <w:basedOn w:val="Normln"/>
    <w:uiPriority w:val="99"/>
    <w:rsid w:val="00236C8C"/>
    <w:pPr>
      <w:spacing w:after="240"/>
      <w:jc w:val="both"/>
    </w:pPr>
    <w:rPr>
      <w:rFonts w:ascii="Arial" w:hAnsi="Arial" w:cs="Arial"/>
      <w:lang w:eastAsia="cs-CZ"/>
    </w:rPr>
  </w:style>
  <w:style w:type="paragraph" w:customStyle="1" w:styleId="AMpuntk">
    <w:name w:val="AM_puntík"/>
    <w:basedOn w:val="Normln"/>
    <w:uiPriority w:val="99"/>
    <w:rsid w:val="00236C8C"/>
    <w:pPr>
      <w:numPr>
        <w:numId w:val="2"/>
      </w:numPr>
      <w:overflowPunct w:val="0"/>
      <w:autoSpaceDE w:val="0"/>
      <w:autoSpaceDN w:val="0"/>
      <w:adjustRightInd w:val="0"/>
      <w:spacing w:after="40"/>
      <w:textAlignment w:val="baseline"/>
    </w:pPr>
    <w:rPr>
      <w:lang w:eastAsia="cs-CZ"/>
    </w:rPr>
  </w:style>
  <w:style w:type="table" w:styleId="Barevnmkazvraznn1">
    <w:name w:val="Colorful Grid Accent 1"/>
    <w:basedOn w:val="Normlntabulka"/>
    <w:uiPriority w:val="73"/>
    <w:rsid w:val="00236C8C"/>
    <w:rPr>
      <w:rFonts w:ascii="Calibri" w:hAnsi="Calibri"/>
      <w:color w:val="000000"/>
      <w:lang w:eastAsia="cs-CZ"/>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AMpuntkChar1">
    <w:name w:val="AM_puntík Char1"/>
    <w:uiPriority w:val="99"/>
    <w:rsid w:val="00236C8C"/>
    <w:rPr>
      <w:rFonts w:ascii="Arial" w:hAnsi="Arial"/>
      <w:lang w:val="cs-CZ" w:eastAsia="ar-SA" w:bidi="ar-SA"/>
    </w:rPr>
  </w:style>
  <w:style w:type="paragraph" w:customStyle="1" w:styleId="Pa22">
    <w:name w:val="Pa22"/>
    <w:basedOn w:val="Default"/>
    <w:next w:val="Default"/>
    <w:uiPriority w:val="99"/>
    <w:rsid w:val="00236C8C"/>
    <w:pPr>
      <w:spacing w:line="151" w:lineRule="atLeast"/>
    </w:pPr>
    <w:rPr>
      <w:rFonts w:ascii="Arial" w:hAnsi="Arial" w:cs="Arial"/>
      <w:color w:val="auto"/>
      <w:lang w:val="cs-CZ" w:eastAsia="cs-CZ"/>
    </w:rPr>
  </w:style>
  <w:style w:type="character" w:styleId="Sledovanodkaz">
    <w:name w:val="FollowedHyperlink"/>
    <w:basedOn w:val="Standardnpsmoodstavce"/>
    <w:uiPriority w:val="99"/>
    <w:semiHidden/>
    <w:unhideWhenUsed/>
    <w:rsid w:val="00236C8C"/>
    <w:rPr>
      <w:color w:val="800080"/>
      <w:u w:val="single"/>
    </w:rPr>
  </w:style>
  <w:style w:type="paragraph" w:customStyle="1" w:styleId="KPnormln">
    <w:name w:val="KP normální"/>
    <w:basedOn w:val="Normln"/>
    <w:link w:val="KPnormlnChar"/>
    <w:qFormat/>
    <w:rsid w:val="00236C8C"/>
    <w:pPr>
      <w:spacing w:before="120" w:after="120"/>
      <w:ind w:firstLine="720"/>
      <w:jc w:val="both"/>
    </w:pPr>
    <w:rPr>
      <w:rFonts w:ascii="Calibri" w:hAnsi="Calibri" w:cs="Calibri"/>
      <w:color w:val="000000"/>
      <w:szCs w:val="22"/>
    </w:rPr>
  </w:style>
  <w:style w:type="character" w:customStyle="1" w:styleId="KPnormlnChar">
    <w:name w:val="KP normální Char"/>
    <w:link w:val="KPnormln"/>
    <w:locked/>
    <w:rsid w:val="00236C8C"/>
    <w:rPr>
      <w:rFonts w:ascii="Calibri" w:hAnsi="Calibri" w:cs="Calibri"/>
      <w:color w:val="000000"/>
      <w:sz w:val="24"/>
      <w:szCs w:val="22"/>
    </w:rPr>
  </w:style>
  <w:style w:type="numbering" w:customStyle="1" w:styleId="Styl2">
    <w:name w:val="Styl2"/>
    <w:rsid w:val="00236C8C"/>
    <w:pPr>
      <w:numPr>
        <w:numId w:val="3"/>
      </w:numPr>
    </w:pPr>
  </w:style>
  <w:style w:type="table" w:customStyle="1" w:styleId="Mkatabulky1">
    <w:name w:val="Mřížka tabulky1"/>
    <w:basedOn w:val="Normlntabulka"/>
    <w:next w:val="Mkatabulky"/>
    <w:uiPriority w:val="59"/>
    <w:rsid w:val="00E24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atabaze.op-vk.cz/" TargetMode="External"/><Relationship Id="rId1" Type="http://schemas.openxmlformats.org/officeDocument/2006/relationships/hyperlink" Target="http://www.op-vk.cz/cs/siroka-verejnost/projekty/individualni-projekty-narodni-ip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EF4534-2FC8-44A8-90AC-EFDDEF2E5F4F}"/>
</file>

<file path=customXml/itemProps2.xml><?xml version="1.0" encoding="utf-8"?>
<ds:datastoreItem xmlns:ds="http://schemas.openxmlformats.org/officeDocument/2006/customXml" ds:itemID="{2A43641E-CB37-4574-8D05-88441248E1EE}"/>
</file>

<file path=customXml/itemProps3.xml><?xml version="1.0" encoding="utf-8"?>
<ds:datastoreItem xmlns:ds="http://schemas.openxmlformats.org/officeDocument/2006/customXml" ds:itemID="{3BB06EBE-9775-4CC5-922C-77F3C8351518}"/>
</file>

<file path=customXml/itemProps4.xml><?xml version="1.0" encoding="utf-8"?>
<ds:datastoreItem xmlns:ds="http://schemas.openxmlformats.org/officeDocument/2006/customXml" ds:itemID="{A4A095AB-DEE2-4A36-8C2B-900144359EC1}"/>
</file>

<file path=customXml/itemProps5.xml><?xml version="1.0" encoding="utf-8"?>
<ds:datastoreItem xmlns:ds="http://schemas.openxmlformats.org/officeDocument/2006/customXml" ds:itemID="{A2B31AD2-9413-44B8-86F5-5938BD1E796E}"/>
</file>

<file path=docProps/app.xml><?xml version="1.0" encoding="utf-8"?>
<Properties xmlns="http://schemas.openxmlformats.org/officeDocument/2006/extended-properties" xmlns:vt="http://schemas.openxmlformats.org/officeDocument/2006/docPropsVTypes">
  <Template>A85A985A.dotm</Template>
  <TotalTime>2</TotalTime>
  <Pages>22</Pages>
  <Words>8557</Words>
  <Characters>50492</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58932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15/06</dc:title>
  <dc:subject>Kontrolní závěr z kontrolní akce NKÚ č. 15/06 - Peněžní prostředky strukturálních fondů Evropské unie a státního rozpočtu určené na financování operačních programů z hlediska udržitelnosti projektů</dc:subject>
  <dc:creator>Nejvyšší kontrolní úřad</dc:creator>
  <cp:keywords>strukturální fondy, fondy EU, evropské dotace, operační programy, udržitelnost projektů, NKÚ</cp:keywords>
  <dc:description/>
  <cp:lastModifiedBy>KOKRDA Daniel</cp:lastModifiedBy>
  <cp:revision>3</cp:revision>
  <cp:lastPrinted>2016-01-11T13:49:00Z</cp:lastPrinted>
  <dcterms:created xsi:type="dcterms:W3CDTF">2016-01-11T13:49:00Z</dcterms:created>
  <dcterms:modified xsi:type="dcterms:W3CDTF">2016-01-11T13:50:00Z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114/15-NKU200/804/15</vt:lpwstr>
  </property>
  <property fmtid="{D5CDD505-2E9C-101B-9397-08002B2CF9AE}" pid="3" name="Contact_PostaOdes_All">
    <vt:lpwstr>ROZDĚLOVNÍK...</vt:lpwstr>
  </property>
  <property fmtid="{D5CDD505-2E9C-101B-9397-08002B2CF9AE}" pid="4" name="SZ_Spis_Pisemnost">
    <vt:lpwstr>114/15</vt:lpwstr>
  </property>
  <property fmtid="{D5CDD505-2E9C-101B-9397-08002B2CF9AE}" pid="5" name="DisplayName_SpisovyUzel_PoziceZodpo_Pisemnost">
    <vt:lpwstr>200</vt:lpwstr>
  </property>
  <property fmtid="{D5CDD505-2E9C-101B-9397-08002B2CF9AE}" pid="6" name="Zkratka_SpisovyUzel_PoziceZodpo_Pisemnost">
    <vt:lpwstr>200</vt:lpwstr>
  </property>
  <property fmtid="{D5CDD505-2E9C-101B-9397-08002B2CF9AE}" pid="7" name="Key_BarCode_Pisemnost">
    <vt:lpwstr>*B000252892*</vt:lpwstr>
  </property>
  <property fmtid="{D5CDD505-2E9C-101B-9397-08002B2CF9AE}" pid="8" name="EC_Pisemnost">
    <vt:lpwstr>15-20721/NKU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KZ 15/06 - připomínkové řízení</vt:lpwstr>
  </property>
  <property fmtid="{D5CDD505-2E9C-101B-9397-08002B2CF9AE}" pid="18" name="DatumPoriz_Pisemnost">
    <vt:lpwstr>25.11.2015</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Ivana Růžičková</vt:lpwstr>
  </property>
  <property fmtid="{D5CDD505-2E9C-101B-9397-08002B2CF9AE}" pid="24" name="Podpis">
    <vt:lpwstr/>
  </property>
  <property fmtid="{D5CDD505-2E9C-101B-9397-08002B2CF9AE}" pid="25" name="SmlouvaCislo">
    <vt:lpwstr>ČÍSLO SMLOUVY</vt:lpwstr>
  </property>
  <property fmtid="{D5CDD505-2E9C-101B-9397-08002B2CF9AE}" pid="26" name="ContentTypeId">
    <vt:lpwstr>0x0101002F7A625AE9F5AB4A939F92BCAA7FEC02</vt:lpwstr>
  </property>
</Properties>
</file>