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45876" w14:textId="77777777" w:rsidR="00B96308" w:rsidRPr="00E667AD" w:rsidRDefault="00544832" w:rsidP="001247F1">
      <w:pPr>
        <w:pStyle w:val="Normlnweb"/>
        <w:jc w:val="center"/>
        <w:rPr>
          <w:rFonts w:ascii="Calibri" w:hAnsi="Calibri" w:cs="Calibri"/>
          <w:b/>
        </w:rPr>
      </w:pPr>
      <w:r w:rsidRPr="00E667AD">
        <w:rPr>
          <w:rFonts w:ascii="Calibri" w:hAnsi="Calibri" w:cs="Calibri"/>
          <w:bCs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958D8A2" wp14:editId="307B6EBB">
            <wp:simplePos x="0" y="0"/>
            <wp:positionH relativeFrom="column">
              <wp:posOffset>2611120</wp:posOffset>
            </wp:positionH>
            <wp:positionV relativeFrom="paragraph">
              <wp:posOffset>-22225</wp:posOffset>
            </wp:positionV>
            <wp:extent cx="720000" cy="509085"/>
            <wp:effectExtent l="0" t="0" r="4445" b="5715"/>
            <wp:wrapTopAndBottom/>
            <wp:docPr id="1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50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2673A" w14:textId="77777777" w:rsidR="00B96308" w:rsidRPr="00E667AD" w:rsidRDefault="00B96308" w:rsidP="001247F1">
      <w:pPr>
        <w:pStyle w:val="Normlnweb"/>
        <w:jc w:val="center"/>
        <w:rPr>
          <w:rFonts w:ascii="Calibri" w:hAnsi="Calibri" w:cs="Calibri"/>
          <w:b/>
        </w:rPr>
      </w:pPr>
    </w:p>
    <w:p w14:paraId="35AF1D66" w14:textId="77777777" w:rsidR="00E667AD" w:rsidRPr="00E667AD" w:rsidRDefault="00E667AD" w:rsidP="001247F1">
      <w:pPr>
        <w:pStyle w:val="Normlnweb"/>
        <w:jc w:val="center"/>
        <w:rPr>
          <w:rFonts w:ascii="Calibri" w:hAnsi="Calibri" w:cs="Calibri"/>
          <w:b/>
        </w:rPr>
      </w:pPr>
    </w:p>
    <w:p w14:paraId="1A079950" w14:textId="77777777" w:rsidR="00803173" w:rsidRPr="00F430D3" w:rsidRDefault="00A1387A" w:rsidP="001247F1">
      <w:pPr>
        <w:pStyle w:val="Normlnweb"/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F430D3">
        <w:rPr>
          <w:rFonts w:asciiTheme="minorHAnsi" w:hAnsiTheme="minorHAnsi" w:cstheme="minorHAnsi"/>
          <w:b/>
          <w:sz w:val="28"/>
          <w:szCs w:val="28"/>
        </w:rPr>
        <w:t>K</w:t>
      </w:r>
      <w:r w:rsidR="005508F9" w:rsidRPr="00F430D3">
        <w:rPr>
          <w:rFonts w:asciiTheme="minorHAnsi" w:hAnsiTheme="minorHAnsi" w:cstheme="minorHAnsi"/>
          <w:b/>
          <w:sz w:val="28"/>
          <w:szCs w:val="28"/>
        </w:rPr>
        <w:t>ontrolní závěr</w:t>
      </w:r>
      <w:r w:rsidR="00803173" w:rsidRPr="00F430D3">
        <w:rPr>
          <w:rFonts w:asciiTheme="minorHAnsi" w:hAnsiTheme="minorHAnsi" w:cstheme="minorHAnsi"/>
          <w:b/>
          <w:sz w:val="28"/>
          <w:szCs w:val="28"/>
        </w:rPr>
        <w:t xml:space="preserve"> z</w:t>
      </w:r>
      <w:r w:rsidR="0043090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803173" w:rsidRPr="00F430D3">
        <w:rPr>
          <w:rFonts w:asciiTheme="minorHAnsi" w:hAnsiTheme="minorHAnsi" w:cstheme="minorHAnsi"/>
          <w:b/>
          <w:sz w:val="28"/>
          <w:szCs w:val="28"/>
        </w:rPr>
        <w:t>kontrolní akce</w:t>
      </w:r>
      <w:r w:rsidR="005508F9" w:rsidRPr="00F430D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09161F0" w14:textId="77777777" w:rsidR="00646102" w:rsidRPr="00F430D3" w:rsidRDefault="00646102" w:rsidP="001247F1">
      <w:pPr>
        <w:pStyle w:val="Normlnweb"/>
        <w:jc w:val="center"/>
        <w:rPr>
          <w:rFonts w:asciiTheme="minorHAnsi" w:hAnsiTheme="minorHAnsi" w:cstheme="minorHAnsi"/>
          <w:b/>
        </w:rPr>
      </w:pPr>
    </w:p>
    <w:p w14:paraId="5466FFCA" w14:textId="77777777" w:rsidR="005508F9" w:rsidRPr="00F430D3" w:rsidRDefault="005508F9" w:rsidP="001247F1">
      <w:pPr>
        <w:pStyle w:val="Normlnweb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30D3">
        <w:rPr>
          <w:rFonts w:asciiTheme="minorHAnsi" w:hAnsiTheme="minorHAnsi" w:cstheme="minorHAnsi"/>
          <w:b/>
          <w:sz w:val="28"/>
          <w:szCs w:val="28"/>
        </w:rPr>
        <w:t>1</w:t>
      </w:r>
      <w:r w:rsidR="00BE2029" w:rsidRPr="00F430D3">
        <w:rPr>
          <w:rFonts w:asciiTheme="minorHAnsi" w:hAnsiTheme="minorHAnsi" w:cstheme="minorHAnsi"/>
          <w:b/>
          <w:sz w:val="28"/>
          <w:szCs w:val="28"/>
        </w:rPr>
        <w:t>5</w:t>
      </w:r>
      <w:r w:rsidRPr="00F430D3">
        <w:rPr>
          <w:rFonts w:asciiTheme="minorHAnsi" w:hAnsiTheme="minorHAnsi" w:cstheme="minorHAnsi"/>
          <w:b/>
          <w:sz w:val="28"/>
          <w:szCs w:val="28"/>
        </w:rPr>
        <w:t>/</w:t>
      </w:r>
      <w:r w:rsidR="00BE2029" w:rsidRPr="00F430D3">
        <w:rPr>
          <w:rFonts w:asciiTheme="minorHAnsi" w:hAnsiTheme="minorHAnsi" w:cstheme="minorHAnsi"/>
          <w:b/>
          <w:sz w:val="28"/>
          <w:szCs w:val="28"/>
        </w:rPr>
        <w:t>13</w:t>
      </w:r>
    </w:p>
    <w:p w14:paraId="0E6FCCCA" w14:textId="77777777" w:rsidR="00646102" w:rsidRPr="00F430D3" w:rsidRDefault="00646102" w:rsidP="001247F1">
      <w:pPr>
        <w:pStyle w:val="Normlnweb"/>
        <w:jc w:val="center"/>
        <w:rPr>
          <w:rFonts w:asciiTheme="minorHAnsi" w:hAnsiTheme="minorHAnsi" w:cstheme="minorHAnsi"/>
          <w:b/>
        </w:rPr>
      </w:pPr>
    </w:p>
    <w:p w14:paraId="72102424" w14:textId="77777777" w:rsidR="005508F9" w:rsidRPr="00F430D3" w:rsidRDefault="00BE2029" w:rsidP="00BE202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F430D3">
        <w:rPr>
          <w:rFonts w:cstheme="minorHAnsi"/>
          <w:b/>
          <w:bCs/>
          <w:iCs/>
          <w:sz w:val="28"/>
          <w:szCs w:val="28"/>
        </w:rPr>
        <w:t>Státní dluh a výdaje na jeho financování</w:t>
      </w:r>
    </w:p>
    <w:bookmarkEnd w:id="0"/>
    <w:p w14:paraId="70477335" w14:textId="77777777" w:rsidR="006E64C7" w:rsidRDefault="006E64C7" w:rsidP="00DA0E83">
      <w:pPr>
        <w:spacing w:after="0" w:line="240" w:lineRule="auto"/>
        <w:rPr>
          <w:rFonts w:cstheme="minorHAnsi"/>
          <w:sz w:val="24"/>
          <w:szCs w:val="24"/>
        </w:rPr>
      </w:pPr>
    </w:p>
    <w:p w14:paraId="001BBB75" w14:textId="77777777" w:rsidR="00430901" w:rsidRPr="00F430D3" w:rsidRDefault="00430901" w:rsidP="00DA0E83">
      <w:pPr>
        <w:spacing w:after="0" w:line="240" w:lineRule="auto"/>
        <w:rPr>
          <w:rFonts w:cstheme="minorHAnsi"/>
          <w:sz w:val="24"/>
          <w:szCs w:val="24"/>
        </w:rPr>
      </w:pPr>
    </w:p>
    <w:p w14:paraId="42F32D14" w14:textId="77777777" w:rsidR="005508F9" w:rsidRPr="00F430D3" w:rsidRDefault="005508F9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30D3">
        <w:rPr>
          <w:rFonts w:cstheme="minorHAnsi"/>
          <w:sz w:val="24"/>
          <w:szCs w:val="24"/>
        </w:rPr>
        <w:t>Kontrolní akce byla zařazena do plánu kontrolní činnosti Nejvyššího kontrolního úřadu (dále jen „NKÚ“) na rok 201</w:t>
      </w:r>
      <w:r w:rsidR="00DA2E78" w:rsidRPr="00F430D3">
        <w:rPr>
          <w:rFonts w:cstheme="minorHAnsi"/>
          <w:sz w:val="24"/>
          <w:szCs w:val="24"/>
        </w:rPr>
        <w:t>5</w:t>
      </w:r>
      <w:r w:rsidRPr="00F430D3">
        <w:rPr>
          <w:rFonts w:cstheme="minorHAnsi"/>
          <w:sz w:val="24"/>
          <w:szCs w:val="24"/>
        </w:rPr>
        <w:t xml:space="preserve"> pod číslem 1</w:t>
      </w:r>
      <w:r w:rsidR="00445F0E" w:rsidRPr="00F430D3">
        <w:rPr>
          <w:rFonts w:cstheme="minorHAnsi"/>
          <w:sz w:val="24"/>
          <w:szCs w:val="24"/>
        </w:rPr>
        <w:t>5</w:t>
      </w:r>
      <w:r w:rsidRPr="00F430D3">
        <w:rPr>
          <w:rFonts w:cstheme="minorHAnsi"/>
          <w:sz w:val="24"/>
          <w:szCs w:val="24"/>
        </w:rPr>
        <w:t>/</w:t>
      </w:r>
      <w:r w:rsidR="00445F0E" w:rsidRPr="00F430D3">
        <w:rPr>
          <w:rFonts w:cstheme="minorHAnsi"/>
          <w:sz w:val="24"/>
          <w:szCs w:val="24"/>
        </w:rPr>
        <w:t>13</w:t>
      </w:r>
      <w:r w:rsidRPr="00F430D3">
        <w:rPr>
          <w:rFonts w:cstheme="minorHAnsi"/>
          <w:sz w:val="24"/>
          <w:szCs w:val="24"/>
        </w:rPr>
        <w:t>. Kontrolní akci řídil a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kontrolní zá</w:t>
      </w:r>
      <w:r w:rsidR="001247F1" w:rsidRPr="00F430D3">
        <w:rPr>
          <w:rFonts w:cstheme="minorHAnsi"/>
          <w:sz w:val="24"/>
          <w:szCs w:val="24"/>
        </w:rPr>
        <w:t>věr vypracoval člen</w:t>
      </w:r>
      <w:r w:rsidR="00430901">
        <w:rPr>
          <w:rFonts w:cstheme="minorHAnsi"/>
          <w:sz w:val="24"/>
          <w:szCs w:val="24"/>
        </w:rPr>
        <w:t xml:space="preserve"> </w:t>
      </w:r>
      <w:r w:rsidR="001247F1" w:rsidRPr="00F430D3">
        <w:rPr>
          <w:rFonts w:cstheme="minorHAnsi"/>
          <w:sz w:val="24"/>
          <w:szCs w:val="24"/>
        </w:rPr>
        <w:t xml:space="preserve">NKÚ </w:t>
      </w:r>
      <w:r w:rsidR="00D5578C" w:rsidRPr="00F430D3">
        <w:rPr>
          <w:rFonts w:cstheme="minorHAnsi"/>
          <w:sz w:val="24"/>
          <w:szCs w:val="24"/>
        </w:rPr>
        <w:t>Ing</w:t>
      </w:r>
      <w:r w:rsidR="001247F1" w:rsidRPr="00F430D3">
        <w:rPr>
          <w:rFonts w:cstheme="minorHAnsi"/>
          <w:sz w:val="24"/>
          <w:szCs w:val="24"/>
        </w:rPr>
        <w:t>.</w:t>
      </w:r>
      <w:r w:rsidR="00430901">
        <w:rPr>
          <w:rFonts w:cstheme="minorHAnsi"/>
          <w:sz w:val="24"/>
          <w:szCs w:val="24"/>
        </w:rPr>
        <w:t xml:space="preserve"> </w:t>
      </w:r>
      <w:r w:rsidR="00D5578C" w:rsidRPr="00F430D3">
        <w:rPr>
          <w:rFonts w:cstheme="minorHAnsi"/>
          <w:sz w:val="24"/>
          <w:szCs w:val="24"/>
        </w:rPr>
        <w:t>Daniel Reisiegel, MPA</w:t>
      </w:r>
      <w:r w:rsidRPr="00F430D3">
        <w:rPr>
          <w:rFonts w:cstheme="minorHAnsi"/>
          <w:sz w:val="24"/>
          <w:szCs w:val="24"/>
        </w:rPr>
        <w:t>.</w:t>
      </w:r>
    </w:p>
    <w:p w14:paraId="06152D3D" w14:textId="77777777" w:rsidR="00646102" w:rsidRPr="00F430D3" w:rsidRDefault="00646102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753E45" w14:textId="77777777" w:rsidR="00646102" w:rsidRDefault="003A3BD5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Cílem kontroly bylo p</w:t>
      </w:r>
      <w:r w:rsidRPr="003A3BD5">
        <w:rPr>
          <w:rFonts w:cstheme="minorHAnsi"/>
          <w:sz w:val="24"/>
          <w:szCs w:val="24"/>
        </w:rPr>
        <w:t>rověřit údaje vykazované ve státním závěrečném účtu a ve finančních výkazech v souvislosti se státním dluhem a prověřit výdaje spojené s jeho financováním; prověřit tvorbu rezervy peněžních prostředků a její užití při financování státního dluhu; prověřit vykazování operací s finančními deriváty u cizoměnových dluhopisů a další operace související s</w:t>
      </w:r>
      <w:r w:rsidR="00BD03CD">
        <w:rPr>
          <w:rFonts w:cstheme="minorHAnsi"/>
          <w:sz w:val="24"/>
          <w:szCs w:val="24"/>
        </w:rPr>
        <w:t> </w:t>
      </w:r>
      <w:r w:rsidRPr="003A3BD5">
        <w:rPr>
          <w:rFonts w:cstheme="minorHAnsi"/>
          <w:sz w:val="24"/>
          <w:szCs w:val="24"/>
        </w:rPr>
        <w:t>řízením státního dluhu; ověřit plnění opatření přijatých v návaznosti na zjištění z předchozí kontrolní akce v oblasti státního dluhu.</w:t>
      </w:r>
    </w:p>
    <w:p w14:paraId="2DE2D75A" w14:textId="77777777" w:rsidR="003A3BD5" w:rsidRPr="00F430D3" w:rsidRDefault="003A3BD5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BC985D" w14:textId="5EB8FB1F" w:rsidR="00095178" w:rsidRDefault="005508F9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30D3">
        <w:rPr>
          <w:rFonts w:cstheme="minorHAnsi"/>
          <w:sz w:val="24"/>
          <w:szCs w:val="24"/>
        </w:rPr>
        <w:t>Kontrolovan</w:t>
      </w:r>
      <w:r w:rsidR="00095178">
        <w:rPr>
          <w:rFonts w:cstheme="minorHAnsi"/>
          <w:sz w:val="24"/>
          <w:szCs w:val="24"/>
        </w:rPr>
        <w:t>á</w:t>
      </w:r>
      <w:r w:rsidRPr="00F430D3">
        <w:rPr>
          <w:rFonts w:cstheme="minorHAnsi"/>
          <w:sz w:val="24"/>
          <w:szCs w:val="24"/>
        </w:rPr>
        <w:t xml:space="preserve"> osob</w:t>
      </w:r>
      <w:r w:rsidR="00095178">
        <w:rPr>
          <w:rFonts w:cstheme="minorHAnsi"/>
          <w:sz w:val="24"/>
          <w:szCs w:val="24"/>
        </w:rPr>
        <w:t>a:</w:t>
      </w:r>
      <w:r w:rsidRPr="00F430D3">
        <w:rPr>
          <w:rFonts w:cstheme="minorHAnsi"/>
          <w:sz w:val="24"/>
          <w:szCs w:val="24"/>
        </w:rPr>
        <w:t xml:space="preserve"> </w:t>
      </w:r>
    </w:p>
    <w:p w14:paraId="726C5BF4" w14:textId="162DE036" w:rsidR="005508F9" w:rsidRPr="00F430D3" w:rsidRDefault="005508F9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30D3">
        <w:rPr>
          <w:rFonts w:cstheme="minorHAnsi"/>
          <w:sz w:val="24"/>
          <w:szCs w:val="24"/>
        </w:rPr>
        <w:t>Ministerstvo financí (dále také „MF“).</w:t>
      </w:r>
    </w:p>
    <w:p w14:paraId="42108BB0" w14:textId="77777777" w:rsidR="00646102" w:rsidRPr="00F430D3" w:rsidRDefault="00646102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CBB615" w14:textId="77777777" w:rsidR="00763019" w:rsidRPr="00F430D3" w:rsidRDefault="005508F9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30D3">
        <w:rPr>
          <w:rFonts w:cstheme="minorHAnsi"/>
          <w:sz w:val="24"/>
          <w:szCs w:val="24"/>
        </w:rPr>
        <w:t>Kontrola byla prováděna</w:t>
      </w:r>
      <w:r w:rsidR="00555229">
        <w:rPr>
          <w:rFonts w:cstheme="minorHAnsi"/>
          <w:sz w:val="24"/>
          <w:szCs w:val="24"/>
        </w:rPr>
        <w:t xml:space="preserve"> u kontrolované osoby od </w:t>
      </w:r>
      <w:r w:rsidR="005C1C10">
        <w:rPr>
          <w:rFonts w:cstheme="minorHAnsi"/>
          <w:sz w:val="24"/>
          <w:szCs w:val="24"/>
        </w:rPr>
        <w:t>května</w:t>
      </w:r>
      <w:r w:rsidR="00555229">
        <w:rPr>
          <w:rFonts w:cstheme="minorHAnsi"/>
          <w:sz w:val="24"/>
          <w:szCs w:val="24"/>
        </w:rPr>
        <w:t xml:space="preserve"> do listopadu 2015.</w:t>
      </w:r>
      <w:r w:rsidRPr="00F430D3">
        <w:rPr>
          <w:rFonts w:cstheme="minorHAnsi"/>
          <w:sz w:val="24"/>
          <w:szCs w:val="24"/>
        </w:rPr>
        <w:t xml:space="preserve"> </w:t>
      </w:r>
    </w:p>
    <w:p w14:paraId="151500A0" w14:textId="77777777" w:rsidR="00763019" w:rsidRPr="00F430D3" w:rsidRDefault="00763019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C5A80E" w14:textId="77777777" w:rsidR="005508F9" w:rsidRPr="00F430D3" w:rsidRDefault="005508F9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30D3">
        <w:rPr>
          <w:rFonts w:cstheme="minorHAnsi"/>
          <w:sz w:val="24"/>
          <w:szCs w:val="24"/>
        </w:rPr>
        <w:t>Kontrolov</w:t>
      </w:r>
      <w:r w:rsidR="003D155A" w:rsidRPr="00F430D3">
        <w:rPr>
          <w:rFonts w:cstheme="minorHAnsi"/>
          <w:sz w:val="24"/>
          <w:szCs w:val="24"/>
        </w:rPr>
        <w:t>áno bylo</w:t>
      </w:r>
      <w:r w:rsidRPr="00F430D3">
        <w:rPr>
          <w:rFonts w:cstheme="minorHAnsi"/>
          <w:sz w:val="24"/>
          <w:szCs w:val="24"/>
        </w:rPr>
        <w:t xml:space="preserve"> období rok</w:t>
      </w:r>
      <w:r w:rsidR="003D155A" w:rsidRPr="00F430D3">
        <w:rPr>
          <w:rFonts w:cstheme="minorHAnsi"/>
          <w:sz w:val="24"/>
          <w:szCs w:val="24"/>
        </w:rPr>
        <w:t>u</w:t>
      </w:r>
      <w:r w:rsidRPr="00F430D3">
        <w:rPr>
          <w:rFonts w:cstheme="minorHAnsi"/>
          <w:sz w:val="24"/>
          <w:szCs w:val="24"/>
        </w:rPr>
        <w:t xml:space="preserve"> 201</w:t>
      </w:r>
      <w:r w:rsidR="00DA2E78" w:rsidRPr="00F430D3">
        <w:rPr>
          <w:rFonts w:cstheme="minorHAnsi"/>
          <w:sz w:val="24"/>
          <w:szCs w:val="24"/>
        </w:rPr>
        <w:t>4</w:t>
      </w:r>
      <w:r w:rsidRPr="00F430D3">
        <w:rPr>
          <w:rFonts w:cstheme="minorHAnsi"/>
          <w:sz w:val="24"/>
          <w:szCs w:val="24"/>
        </w:rPr>
        <w:t>, v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 xml:space="preserve">případě </w:t>
      </w:r>
      <w:r w:rsidR="008340A0">
        <w:rPr>
          <w:rFonts w:cstheme="minorHAnsi"/>
          <w:sz w:val="24"/>
          <w:szCs w:val="24"/>
        </w:rPr>
        <w:t xml:space="preserve">věcných souvislostí i </w:t>
      </w:r>
      <w:r w:rsidRPr="00F430D3">
        <w:rPr>
          <w:rFonts w:cstheme="minorHAnsi"/>
          <w:sz w:val="24"/>
          <w:szCs w:val="24"/>
        </w:rPr>
        <w:t xml:space="preserve">skutečnosti </w:t>
      </w:r>
      <w:r w:rsidR="003D155A" w:rsidRPr="00F430D3">
        <w:rPr>
          <w:rFonts w:cstheme="minorHAnsi"/>
          <w:sz w:val="24"/>
          <w:szCs w:val="24"/>
        </w:rPr>
        <w:t>z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 xml:space="preserve">let předchozích </w:t>
      </w:r>
      <w:r w:rsidR="00AB69C2">
        <w:rPr>
          <w:rFonts w:cstheme="minorHAnsi"/>
          <w:sz w:val="24"/>
          <w:szCs w:val="24"/>
        </w:rPr>
        <w:t>a</w:t>
      </w:r>
      <w:r w:rsidR="00B11CD4" w:rsidRPr="00F430D3">
        <w:rPr>
          <w:rFonts w:cstheme="minorHAnsi"/>
          <w:sz w:val="24"/>
          <w:szCs w:val="24"/>
        </w:rPr>
        <w:t xml:space="preserve"> </w:t>
      </w:r>
      <w:r w:rsidR="001E6873">
        <w:rPr>
          <w:rFonts w:cstheme="minorHAnsi"/>
          <w:sz w:val="24"/>
          <w:szCs w:val="24"/>
        </w:rPr>
        <w:t>z</w:t>
      </w:r>
      <w:r w:rsidR="00430901">
        <w:rPr>
          <w:rFonts w:cstheme="minorHAnsi"/>
          <w:sz w:val="24"/>
          <w:szCs w:val="24"/>
        </w:rPr>
        <w:t xml:space="preserve"> </w:t>
      </w:r>
      <w:r w:rsidR="001E6873">
        <w:rPr>
          <w:rFonts w:cstheme="minorHAnsi"/>
          <w:sz w:val="24"/>
          <w:szCs w:val="24"/>
        </w:rPr>
        <w:t xml:space="preserve">roku </w:t>
      </w:r>
      <w:r w:rsidR="00B11CD4" w:rsidRPr="00F430D3">
        <w:rPr>
          <w:rFonts w:cstheme="minorHAnsi"/>
          <w:sz w:val="24"/>
          <w:szCs w:val="24"/>
        </w:rPr>
        <w:t>následujícíh</w:t>
      </w:r>
      <w:r w:rsidR="001E6873">
        <w:rPr>
          <w:rFonts w:cstheme="minorHAnsi"/>
          <w:sz w:val="24"/>
          <w:szCs w:val="24"/>
        </w:rPr>
        <w:t>o</w:t>
      </w:r>
      <w:r w:rsidRPr="00F430D3">
        <w:rPr>
          <w:rFonts w:cstheme="minorHAnsi"/>
          <w:sz w:val="24"/>
          <w:szCs w:val="24"/>
        </w:rPr>
        <w:t>.</w:t>
      </w:r>
    </w:p>
    <w:p w14:paraId="76CD082F" w14:textId="77777777" w:rsidR="00646102" w:rsidRPr="00F430D3" w:rsidRDefault="00646102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BFF0E1" w14:textId="77777777" w:rsidR="005508F9" w:rsidRPr="00F430D3" w:rsidRDefault="005508F9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30D3">
        <w:rPr>
          <w:rFonts w:cstheme="minorHAnsi"/>
          <w:sz w:val="24"/>
          <w:szCs w:val="24"/>
        </w:rPr>
        <w:t xml:space="preserve">Námitky proti kontrolnímu protokolu, které MF </w:t>
      </w:r>
      <w:r w:rsidR="00674521" w:rsidRPr="00F430D3">
        <w:rPr>
          <w:rFonts w:cstheme="minorHAnsi"/>
          <w:sz w:val="24"/>
          <w:szCs w:val="24"/>
        </w:rPr>
        <w:t>podalo, vypořád</w:t>
      </w:r>
      <w:r w:rsidR="000E59A2" w:rsidRPr="00F430D3">
        <w:rPr>
          <w:rFonts w:cstheme="minorHAnsi"/>
          <w:sz w:val="24"/>
          <w:szCs w:val="24"/>
        </w:rPr>
        <w:t>al</w:t>
      </w:r>
      <w:r w:rsidR="00674521" w:rsidRPr="00F430D3">
        <w:rPr>
          <w:rFonts w:cstheme="minorHAnsi"/>
          <w:sz w:val="24"/>
          <w:szCs w:val="24"/>
        </w:rPr>
        <w:t xml:space="preserve"> vedoucí</w:t>
      </w:r>
      <w:r w:rsidRPr="00F430D3">
        <w:rPr>
          <w:rFonts w:cstheme="minorHAnsi"/>
          <w:sz w:val="24"/>
          <w:szCs w:val="24"/>
        </w:rPr>
        <w:t xml:space="preserve"> skupiny kontrolujících rozhodnutím o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 xml:space="preserve">námitkách. </w:t>
      </w:r>
    </w:p>
    <w:p w14:paraId="0888C0AF" w14:textId="77777777" w:rsidR="005508F9" w:rsidRPr="00F430D3" w:rsidRDefault="005508F9" w:rsidP="00DA0E83">
      <w:pPr>
        <w:spacing w:after="0" w:line="240" w:lineRule="auto"/>
        <w:rPr>
          <w:rFonts w:cstheme="minorHAnsi"/>
          <w:sz w:val="24"/>
          <w:szCs w:val="24"/>
        </w:rPr>
      </w:pPr>
    </w:p>
    <w:p w14:paraId="01549DFE" w14:textId="77777777" w:rsidR="006E64C7" w:rsidRPr="00F430D3" w:rsidRDefault="006E64C7" w:rsidP="00DA0E83">
      <w:pPr>
        <w:spacing w:after="0" w:line="240" w:lineRule="auto"/>
        <w:rPr>
          <w:rFonts w:cstheme="minorHAnsi"/>
          <w:sz w:val="24"/>
          <w:szCs w:val="24"/>
        </w:rPr>
      </w:pPr>
    </w:p>
    <w:p w14:paraId="263DD764" w14:textId="7986ABA0" w:rsidR="005508F9" w:rsidRPr="00F430D3" w:rsidRDefault="005508F9" w:rsidP="00DA0E83">
      <w:pPr>
        <w:spacing w:after="0" w:line="240" w:lineRule="auto"/>
        <w:rPr>
          <w:rFonts w:cstheme="minorHAnsi"/>
          <w:sz w:val="24"/>
          <w:szCs w:val="24"/>
        </w:rPr>
      </w:pPr>
      <w:r w:rsidRPr="00F430D3">
        <w:rPr>
          <w:rFonts w:cstheme="minorHAnsi"/>
          <w:b/>
          <w:bCs/>
          <w:i/>
          <w:iCs/>
          <w:sz w:val="24"/>
          <w:szCs w:val="24"/>
        </w:rPr>
        <w:t>K o l e g i u m   N K Ú</w:t>
      </w:r>
      <w:r w:rsidRPr="00F430D3">
        <w:rPr>
          <w:rFonts w:cstheme="minorHAnsi"/>
          <w:sz w:val="24"/>
          <w:szCs w:val="24"/>
        </w:rPr>
        <w:t xml:space="preserve">   na svém</w:t>
      </w:r>
      <w:r w:rsidR="00C44615" w:rsidRPr="00F430D3">
        <w:rPr>
          <w:rFonts w:cstheme="minorHAnsi"/>
          <w:sz w:val="24"/>
          <w:szCs w:val="24"/>
        </w:rPr>
        <w:t xml:space="preserve"> </w:t>
      </w:r>
      <w:r w:rsidR="009C6606">
        <w:rPr>
          <w:rFonts w:cstheme="minorHAnsi"/>
          <w:sz w:val="24"/>
          <w:szCs w:val="24"/>
        </w:rPr>
        <w:t xml:space="preserve">II. </w:t>
      </w:r>
      <w:r w:rsidR="00F56028" w:rsidRPr="00F430D3">
        <w:rPr>
          <w:rFonts w:cstheme="minorHAnsi"/>
          <w:sz w:val="24"/>
          <w:szCs w:val="24"/>
        </w:rPr>
        <w:t>jednání</w:t>
      </w:r>
      <w:r w:rsidRPr="00F430D3">
        <w:rPr>
          <w:rFonts w:cstheme="minorHAnsi"/>
          <w:sz w:val="24"/>
          <w:szCs w:val="24"/>
        </w:rPr>
        <w:t xml:space="preserve">, </w:t>
      </w:r>
      <w:r w:rsidR="003D155A" w:rsidRPr="00F430D3">
        <w:rPr>
          <w:rFonts w:cstheme="minorHAnsi"/>
          <w:sz w:val="24"/>
          <w:szCs w:val="24"/>
        </w:rPr>
        <w:t xml:space="preserve">které se </w:t>
      </w:r>
      <w:r w:rsidRPr="00F430D3">
        <w:rPr>
          <w:rFonts w:cstheme="minorHAnsi"/>
          <w:sz w:val="24"/>
          <w:szCs w:val="24"/>
        </w:rPr>
        <w:t>kona</w:t>
      </w:r>
      <w:r w:rsidR="003D155A" w:rsidRPr="00F430D3">
        <w:rPr>
          <w:rFonts w:cstheme="minorHAnsi"/>
          <w:sz w:val="24"/>
          <w:szCs w:val="24"/>
        </w:rPr>
        <w:t>lo</w:t>
      </w:r>
      <w:r w:rsidRPr="00F430D3">
        <w:rPr>
          <w:rFonts w:cstheme="minorHAnsi"/>
          <w:sz w:val="24"/>
          <w:szCs w:val="24"/>
        </w:rPr>
        <w:t xml:space="preserve"> dne </w:t>
      </w:r>
      <w:r w:rsidR="009C6606">
        <w:rPr>
          <w:rFonts w:cstheme="minorHAnsi"/>
          <w:sz w:val="24"/>
          <w:szCs w:val="24"/>
        </w:rPr>
        <w:t>15. února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201</w:t>
      </w:r>
      <w:r w:rsidR="00DA2E78" w:rsidRPr="00F430D3">
        <w:rPr>
          <w:rFonts w:cstheme="minorHAnsi"/>
          <w:sz w:val="24"/>
          <w:szCs w:val="24"/>
        </w:rPr>
        <w:t>6</w:t>
      </w:r>
      <w:r w:rsidRPr="00F430D3">
        <w:rPr>
          <w:rFonts w:cstheme="minorHAnsi"/>
          <w:sz w:val="24"/>
          <w:szCs w:val="24"/>
        </w:rPr>
        <w:t>,</w:t>
      </w:r>
    </w:p>
    <w:p w14:paraId="2D7CE10F" w14:textId="77777777" w:rsidR="005508F9" w:rsidRPr="00F430D3" w:rsidRDefault="005508F9" w:rsidP="00DA0E83">
      <w:pPr>
        <w:spacing w:after="0" w:line="240" w:lineRule="auto"/>
        <w:rPr>
          <w:rFonts w:cstheme="minorHAnsi"/>
          <w:sz w:val="24"/>
          <w:szCs w:val="24"/>
        </w:rPr>
      </w:pPr>
      <w:r w:rsidRPr="00F430D3">
        <w:rPr>
          <w:rFonts w:cstheme="minorHAnsi"/>
          <w:b/>
          <w:bCs/>
          <w:i/>
          <w:iCs/>
          <w:sz w:val="24"/>
          <w:szCs w:val="24"/>
        </w:rPr>
        <w:t>s c h v á l i l o</w:t>
      </w:r>
      <w:r w:rsidRPr="00F430D3">
        <w:rPr>
          <w:rFonts w:cstheme="minorHAnsi"/>
          <w:sz w:val="24"/>
          <w:szCs w:val="24"/>
        </w:rPr>
        <w:t xml:space="preserve">   usnesením č.</w:t>
      </w:r>
      <w:r w:rsidR="00D9058D" w:rsidRPr="00F430D3">
        <w:rPr>
          <w:rFonts w:cstheme="minorHAnsi"/>
          <w:sz w:val="24"/>
          <w:szCs w:val="24"/>
        </w:rPr>
        <w:t xml:space="preserve"> </w:t>
      </w:r>
      <w:r w:rsidR="00BD03CD">
        <w:rPr>
          <w:rFonts w:cstheme="minorHAnsi"/>
          <w:sz w:val="24"/>
          <w:szCs w:val="24"/>
        </w:rPr>
        <w:t>7</w:t>
      </w:r>
      <w:r w:rsidR="00430901">
        <w:rPr>
          <w:rFonts w:cstheme="minorHAnsi"/>
          <w:sz w:val="24"/>
          <w:szCs w:val="24"/>
        </w:rPr>
        <w:t>/</w:t>
      </w:r>
      <w:r w:rsidR="009C6606">
        <w:rPr>
          <w:rFonts w:cstheme="minorHAnsi"/>
          <w:sz w:val="24"/>
          <w:szCs w:val="24"/>
        </w:rPr>
        <w:t>II</w:t>
      </w:r>
      <w:r w:rsidRPr="00F430D3">
        <w:rPr>
          <w:rFonts w:cstheme="minorHAnsi"/>
          <w:sz w:val="24"/>
          <w:szCs w:val="24"/>
        </w:rPr>
        <w:t>/201</w:t>
      </w:r>
      <w:r w:rsidR="00DA2E78" w:rsidRPr="00F430D3">
        <w:rPr>
          <w:rFonts w:cstheme="minorHAnsi"/>
          <w:sz w:val="24"/>
          <w:szCs w:val="24"/>
        </w:rPr>
        <w:t>6</w:t>
      </w:r>
    </w:p>
    <w:p w14:paraId="2AD2D79A" w14:textId="77777777" w:rsidR="005508F9" w:rsidRPr="00F430D3" w:rsidRDefault="005508F9" w:rsidP="00DA0E83">
      <w:pPr>
        <w:spacing w:after="0" w:line="240" w:lineRule="auto"/>
        <w:rPr>
          <w:rFonts w:cstheme="minorHAnsi"/>
          <w:sz w:val="24"/>
          <w:szCs w:val="24"/>
        </w:rPr>
      </w:pPr>
      <w:r w:rsidRPr="00F430D3">
        <w:rPr>
          <w:rFonts w:cstheme="minorHAnsi"/>
          <w:b/>
          <w:bCs/>
          <w:i/>
          <w:iCs/>
          <w:sz w:val="24"/>
          <w:szCs w:val="24"/>
        </w:rPr>
        <w:t>k o n t r o l n í   z á v ě r</w:t>
      </w:r>
      <w:r w:rsidRPr="00F430D3">
        <w:rPr>
          <w:rFonts w:cstheme="minorHAnsi"/>
          <w:sz w:val="24"/>
          <w:szCs w:val="24"/>
        </w:rPr>
        <w:t xml:space="preserve">   v</w:t>
      </w:r>
      <w:r w:rsidR="00D9058D" w:rsidRPr="00F430D3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tomto znění:</w:t>
      </w:r>
    </w:p>
    <w:p w14:paraId="75A5F44A" w14:textId="77777777" w:rsidR="00646102" w:rsidRPr="00F430D3" w:rsidRDefault="00646102" w:rsidP="00DA0E83">
      <w:pPr>
        <w:spacing w:after="0" w:line="240" w:lineRule="auto"/>
        <w:rPr>
          <w:rFonts w:cstheme="minorHAnsi"/>
          <w:sz w:val="24"/>
          <w:szCs w:val="24"/>
        </w:rPr>
      </w:pPr>
    </w:p>
    <w:p w14:paraId="7A99AC0F" w14:textId="77777777" w:rsidR="00646102" w:rsidRPr="00F430D3" w:rsidRDefault="00646102" w:rsidP="00DA0E83">
      <w:pPr>
        <w:spacing w:after="0" w:line="240" w:lineRule="auto"/>
        <w:rPr>
          <w:rFonts w:cstheme="minorHAnsi"/>
          <w:sz w:val="24"/>
          <w:szCs w:val="24"/>
        </w:rPr>
      </w:pPr>
    </w:p>
    <w:p w14:paraId="746AB6B4" w14:textId="77777777" w:rsidR="00386E53" w:rsidRPr="00F430D3" w:rsidRDefault="00386E53" w:rsidP="00DA0E83">
      <w:pPr>
        <w:spacing w:after="0" w:line="240" w:lineRule="auto"/>
        <w:rPr>
          <w:rFonts w:cstheme="minorHAnsi"/>
          <w:sz w:val="24"/>
          <w:szCs w:val="24"/>
        </w:rPr>
      </w:pPr>
      <w:r w:rsidRPr="00F430D3">
        <w:rPr>
          <w:rFonts w:cstheme="minorHAnsi"/>
          <w:sz w:val="24"/>
          <w:szCs w:val="24"/>
        </w:rPr>
        <w:br w:type="page"/>
      </w:r>
    </w:p>
    <w:p w14:paraId="3CF00FF3" w14:textId="77777777" w:rsidR="005508F9" w:rsidRPr="00F430D3" w:rsidRDefault="00D2135B" w:rsidP="00DA0E8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F430D3">
        <w:rPr>
          <w:rFonts w:cstheme="minorHAnsi"/>
          <w:b/>
          <w:sz w:val="28"/>
          <w:szCs w:val="28"/>
        </w:rPr>
        <w:lastRenderedPageBreak/>
        <w:t>I. Úvod</w:t>
      </w:r>
    </w:p>
    <w:p w14:paraId="60A0C128" w14:textId="77777777" w:rsidR="00646102" w:rsidRPr="00F430D3" w:rsidRDefault="00646102" w:rsidP="00DA0E8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1EFA3E" w14:textId="04F7D4F8" w:rsidR="00A11DB5" w:rsidRPr="00F430D3" w:rsidRDefault="00A11DB5" w:rsidP="00A11DB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430D3">
        <w:rPr>
          <w:rFonts w:ascii="Calibri" w:hAnsi="Calibri" w:cs="Calibri"/>
          <w:bCs/>
          <w:sz w:val="24"/>
          <w:szCs w:val="24"/>
        </w:rPr>
        <w:t>Ministerstvo financí</w:t>
      </w:r>
      <w:r w:rsidRPr="00F430D3">
        <w:rPr>
          <w:rFonts w:ascii="Calibri" w:hAnsi="Calibri" w:cs="Calibri"/>
          <w:sz w:val="24"/>
          <w:szCs w:val="24"/>
        </w:rPr>
        <w:t xml:space="preserve"> je dle zákona č. 2/1969 Sb.</w:t>
      </w:r>
      <w:r w:rsidR="008340A0">
        <w:rPr>
          <w:rStyle w:val="Znakapoznpodarou"/>
          <w:rFonts w:ascii="Calibri" w:hAnsi="Calibri" w:cs="Calibri"/>
          <w:sz w:val="24"/>
          <w:szCs w:val="24"/>
        </w:rPr>
        <w:footnoteReference w:id="2"/>
      </w:r>
      <w:r w:rsidRPr="00F430D3">
        <w:rPr>
          <w:rFonts w:ascii="Calibri" w:hAnsi="Calibri" w:cs="Calibri"/>
          <w:sz w:val="24"/>
          <w:szCs w:val="24"/>
        </w:rPr>
        <w:t xml:space="preserve"> ústředním orgánem státní správy, do jehož působnosti </w:t>
      </w:r>
      <w:r w:rsidR="0005132E" w:rsidRPr="00F430D3">
        <w:rPr>
          <w:rFonts w:ascii="Calibri" w:hAnsi="Calibri" w:cs="Calibri"/>
          <w:sz w:val="24"/>
          <w:szCs w:val="24"/>
        </w:rPr>
        <w:t xml:space="preserve">náleží </w:t>
      </w:r>
      <w:r w:rsidRPr="00F430D3">
        <w:rPr>
          <w:rFonts w:ascii="Calibri" w:hAnsi="Calibri" w:cs="Calibri"/>
          <w:sz w:val="24"/>
          <w:szCs w:val="24"/>
        </w:rPr>
        <w:t>mimo jiné státní rozpočet České republiky, státní závěrečný účet České republiky, státní pokladna České republiky, finanční trh, věci devizové včetně pohledávek a</w:t>
      </w:r>
      <w:r w:rsidR="00BD03CD">
        <w:rPr>
          <w:rFonts w:ascii="Calibri" w:hAnsi="Calibri" w:cs="Calibri"/>
          <w:sz w:val="24"/>
          <w:szCs w:val="24"/>
        </w:rPr>
        <w:t> </w:t>
      </w:r>
      <w:r w:rsidRPr="00F430D3">
        <w:rPr>
          <w:rFonts w:ascii="Calibri" w:hAnsi="Calibri" w:cs="Calibri"/>
          <w:sz w:val="24"/>
          <w:szCs w:val="24"/>
        </w:rPr>
        <w:t>závazků státu vůči zahraničí a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hospodaření s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 xml:space="preserve">majetkem státu. MF je organizační složkou státu, účetní jednotkou a vykonává správu čtyř kapitol státního rozpočtu: </w:t>
      </w:r>
      <w:r w:rsidRPr="000D5096">
        <w:rPr>
          <w:rFonts w:ascii="Calibri" w:hAnsi="Calibri" w:cs="Calibri"/>
          <w:sz w:val="24"/>
          <w:szCs w:val="24"/>
        </w:rPr>
        <w:t>312</w:t>
      </w:r>
      <w:r w:rsidR="00E414A1">
        <w:rPr>
          <w:rFonts w:ascii="Calibri" w:hAnsi="Calibri" w:cs="Calibri"/>
          <w:sz w:val="24"/>
          <w:szCs w:val="24"/>
        </w:rPr>
        <w:t> –</w:t>
      </w:r>
      <w:r w:rsidR="00430901">
        <w:rPr>
          <w:rFonts w:ascii="Calibri" w:hAnsi="Calibri" w:cs="Calibri"/>
          <w:i/>
          <w:sz w:val="24"/>
          <w:szCs w:val="24"/>
        </w:rPr>
        <w:t xml:space="preserve"> </w:t>
      </w:r>
      <w:r w:rsidRPr="00F430D3">
        <w:rPr>
          <w:rFonts w:ascii="Calibri" w:hAnsi="Calibri" w:cs="Calibri"/>
          <w:i/>
          <w:sz w:val="24"/>
          <w:szCs w:val="24"/>
        </w:rPr>
        <w:t>Ministerstvo financí</w:t>
      </w:r>
      <w:r w:rsidRPr="00F430D3">
        <w:rPr>
          <w:rFonts w:ascii="Calibri" w:hAnsi="Calibri" w:cs="Calibri"/>
          <w:sz w:val="24"/>
          <w:szCs w:val="24"/>
        </w:rPr>
        <w:t xml:space="preserve">, </w:t>
      </w:r>
      <w:r w:rsidRPr="000D5096">
        <w:rPr>
          <w:rFonts w:ascii="Calibri" w:hAnsi="Calibri" w:cs="Calibri"/>
          <w:sz w:val="24"/>
          <w:szCs w:val="24"/>
        </w:rPr>
        <w:t>396</w:t>
      </w:r>
      <w:r w:rsidR="00E414A1">
        <w:rPr>
          <w:rFonts w:ascii="Calibri" w:hAnsi="Calibri" w:cs="Calibri"/>
          <w:sz w:val="24"/>
          <w:szCs w:val="24"/>
        </w:rPr>
        <w:t> –</w:t>
      </w:r>
      <w:r w:rsidR="00430901">
        <w:rPr>
          <w:rFonts w:ascii="Calibri" w:hAnsi="Calibri" w:cs="Calibri"/>
          <w:i/>
          <w:sz w:val="24"/>
          <w:szCs w:val="24"/>
        </w:rPr>
        <w:t xml:space="preserve"> </w:t>
      </w:r>
      <w:r w:rsidRPr="00F430D3">
        <w:rPr>
          <w:rFonts w:ascii="Calibri" w:hAnsi="Calibri" w:cs="Calibri"/>
          <w:i/>
          <w:sz w:val="24"/>
          <w:szCs w:val="24"/>
        </w:rPr>
        <w:t>Státní dluh</w:t>
      </w:r>
      <w:r w:rsidRPr="00F430D3">
        <w:rPr>
          <w:rFonts w:ascii="Calibri" w:hAnsi="Calibri" w:cs="Calibri"/>
          <w:sz w:val="24"/>
          <w:szCs w:val="24"/>
        </w:rPr>
        <w:t xml:space="preserve">, </w:t>
      </w:r>
      <w:r w:rsidRPr="000D5096">
        <w:rPr>
          <w:rFonts w:ascii="Calibri" w:hAnsi="Calibri" w:cs="Calibri"/>
          <w:sz w:val="24"/>
          <w:szCs w:val="24"/>
        </w:rPr>
        <w:t>397</w:t>
      </w:r>
      <w:r w:rsidR="00E414A1">
        <w:rPr>
          <w:rFonts w:ascii="Calibri" w:hAnsi="Calibri" w:cs="Calibri"/>
          <w:sz w:val="24"/>
          <w:szCs w:val="24"/>
        </w:rPr>
        <w:t> –</w:t>
      </w:r>
      <w:r w:rsidRPr="000D5096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i/>
          <w:sz w:val="24"/>
          <w:szCs w:val="24"/>
        </w:rPr>
        <w:t>Operace státních finančních aktiv</w:t>
      </w:r>
      <w:r w:rsidR="002A6449">
        <w:rPr>
          <w:rFonts w:ascii="Calibri" w:hAnsi="Calibri" w:cs="Calibri"/>
          <w:sz w:val="24"/>
          <w:szCs w:val="24"/>
        </w:rPr>
        <w:t xml:space="preserve"> a</w:t>
      </w:r>
      <w:r w:rsidRPr="00F430D3">
        <w:rPr>
          <w:rFonts w:ascii="Calibri" w:hAnsi="Calibri" w:cs="Calibri"/>
          <w:sz w:val="24"/>
          <w:szCs w:val="24"/>
        </w:rPr>
        <w:t xml:space="preserve"> </w:t>
      </w:r>
      <w:r w:rsidRPr="000D5096">
        <w:rPr>
          <w:rFonts w:ascii="Calibri" w:hAnsi="Calibri" w:cs="Calibri"/>
          <w:sz w:val="24"/>
          <w:szCs w:val="24"/>
        </w:rPr>
        <w:t>398</w:t>
      </w:r>
      <w:r w:rsidR="00E414A1">
        <w:rPr>
          <w:rFonts w:ascii="Calibri" w:hAnsi="Calibri" w:cs="Calibri"/>
          <w:sz w:val="24"/>
          <w:szCs w:val="24"/>
        </w:rPr>
        <w:t> –</w:t>
      </w:r>
      <w:r w:rsidR="00430901">
        <w:rPr>
          <w:rFonts w:ascii="Calibri" w:hAnsi="Calibri" w:cs="Calibri"/>
          <w:i/>
          <w:sz w:val="24"/>
          <w:szCs w:val="24"/>
        </w:rPr>
        <w:t xml:space="preserve"> </w:t>
      </w:r>
      <w:r w:rsidRPr="00F430D3">
        <w:rPr>
          <w:rFonts w:ascii="Calibri" w:hAnsi="Calibri" w:cs="Calibri"/>
          <w:i/>
          <w:sz w:val="24"/>
          <w:szCs w:val="24"/>
        </w:rPr>
        <w:t>Všeobecná pokladní správa</w:t>
      </w:r>
      <w:r w:rsidRPr="00F430D3">
        <w:rPr>
          <w:rFonts w:ascii="Calibri" w:hAnsi="Calibri" w:cs="Calibri"/>
          <w:sz w:val="24"/>
          <w:szCs w:val="24"/>
        </w:rPr>
        <w:t>. Podle ustanovení § 35 a § 36 zákona č.</w:t>
      </w:r>
      <w:r w:rsidR="00430901">
        <w:rPr>
          <w:rFonts w:ascii="Calibri" w:hAnsi="Calibri" w:cs="Calibri"/>
          <w:iCs/>
          <w:sz w:val="24"/>
          <w:szCs w:val="24"/>
        </w:rPr>
        <w:t xml:space="preserve"> </w:t>
      </w:r>
      <w:r w:rsidRPr="00F430D3">
        <w:rPr>
          <w:rFonts w:ascii="Calibri" w:hAnsi="Calibri" w:cs="Calibri"/>
          <w:iCs/>
          <w:sz w:val="24"/>
          <w:szCs w:val="24"/>
        </w:rPr>
        <w:t>218/2000</w:t>
      </w:r>
      <w:r w:rsidR="00430901">
        <w:rPr>
          <w:rFonts w:ascii="Calibri" w:hAnsi="Calibri" w:cs="Calibri"/>
          <w:iCs/>
          <w:sz w:val="24"/>
          <w:szCs w:val="24"/>
        </w:rPr>
        <w:t xml:space="preserve"> </w:t>
      </w:r>
      <w:r w:rsidRPr="00F430D3">
        <w:rPr>
          <w:rFonts w:ascii="Calibri" w:hAnsi="Calibri" w:cs="Calibri"/>
          <w:iCs/>
          <w:sz w:val="24"/>
          <w:szCs w:val="24"/>
        </w:rPr>
        <w:t>Sb.</w:t>
      </w:r>
      <w:r w:rsidR="008340A0">
        <w:rPr>
          <w:rStyle w:val="Znakapoznpodarou"/>
          <w:rFonts w:ascii="Calibri" w:hAnsi="Calibri" w:cs="Calibri"/>
          <w:iCs/>
          <w:sz w:val="24"/>
          <w:szCs w:val="24"/>
        </w:rPr>
        <w:footnoteReference w:id="3"/>
      </w:r>
      <w:r w:rsidR="008340A0">
        <w:rPr>
          <w:rFonts w:ascii="Calibri" w:hAnsi="Calibri" w:cs="Calibri"/>
          <w:iCs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provádí MF činnosti související s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řízením státního dluhu a vykonává správu státních finančních aktiv a</w:t>
      </w:r>
      <w:r w:rsidR="00E414A1">
        <w:rPr>
          <w:rFonts w:ascii="Calibri" w:hAnsi="Calibri" w:cs="Calibri"/>
          <w:sz w:val="24"/>
          <w:szCs w:val="24"/>
        </w:rPr>
        <w:t> </w:t>
      </w:r>
      <w:r w:rsidRPr="00F430D3">
        <w:rPr>
          <w:rFonts w:ascii="Calibri" w:hAnsi="Calibri" w:cs="Calibri"/>
          <w:sz w:val="24"/>
          <w:szCs w:val="24"/>
        </w:rPr>
        <w:t>pasiv.</w:t>
      </w:r>
      <w:r w:rsidR="00833EB3">
        <w:rPr>
          <w:rStyle w:val="Znakapoznpodarou"/>
          <w:rFonts w:ascii="Calibri" w:hAnsi="Calibri" w:cs="Calibri"/>
          <w:sz w:val="24"/>
          <w:szCs w:val="24"/>
        </w:rPr>
        <w:footnoteReference w:id="4"/>
      </w:r>
    </w:p>
    <w:p w14:paraId="4972E6C7" w14:textId="77777777" w:rsidR="00A11DB5" w:rsidRPr="00F430D3" w:rsidRDefault="00A11DB5" w:rsidP="00A11DB5">
      <w:pPr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80C3A5B" w14:textId="77777777" w:rsidR="00A11DB5" w:rsidRPr="00F430D3" w:rsidRDefault="00A11DB5" w:rsidP="00A11DB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430D3">
        <w:rPr>
          <w:rFonts w:ascii="Calibri" w:hAnsi="Calibri" w:cs="Calibri"/>
          <w:b/>
          <w:bCs/>
          <w:sz w:val="24"/>
          <w:szCs w:val="24"/>
        </w:rPr>
        <w:t xml:space="preserve">Kapitola </w:t>
      </w:r>
      <w:r w:rsidRPr="000D5096">
        <w:rPr>
          <w:rFonts w:ascii="Calibri" w:hAnsi="Calibri" w:cs="Calibri"/>
          <w:b/>
          <w:bCs/>
          <w:i/>
          <w:sz w:val="24"/>
          <w:szCs w:val="24"/>
        </w:rPr>
        <w:t>Státní dluh</w:t>
      </w:r>
      <w:r w:rsidRPr="00F430D3">
        <w:rPr>
          <w:rFonts w:ascii="Calibri" w:hAnsi="Calibri" w:cs="Calibri"/>
          <w:sz w:val="24"/>
          <w:szCs w:val="24"/>
        </w:rPr>
        <w:t xml:space="preserve"> </w:t>
      </w:r>
    </w:p>
    <w:p w14:paraId="68279BA2" w14:textId="77777777" w:rsidR="00A11DB5" w:rsidRPr="00F430D3" w:rsidRDefault="00A11DB5" w:rsidP="00A11DB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28A893E" w14:textId="32B1CF5D" w:rsidR="00A11DB5" w:rsidRPr="00F430D3" w:rsidRDefault="00A11DB5" w:rsidP="00A11DB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430D3">
        <w:rPr>
          <w:rFonts w:ascii="Calibri" w:hAnsi="Calibri" w:cs="Calibri"/>
          <w:sz w:val="24"/>
          <w:szCs w:val="24"/>
        </w:rPr>
        <w:t xml:space="preserve">Kapitola </w:t>
      </w:r>
      <w:r w:rsidRPr="000D5096">
        <w:rPr>
          <w:rFonts w:ascii="Calibri" w:hAnsi="Calibri" w:cs="Calibri"/>
          <w:sz w:val="24"/>
          <w:szCs w:val="24"/>
        </w:rPr>
        <w:t>396</w:t>
      </w:r>
      <w:r w:rsidR="00E414A1">
        <w:rPr>
          <w:rFonts w:ascii="Calibri" w:hAnsi="Calibri" w:cs="Calibri"/>
          <w:sz w:val="24"/>
          <w:szCs w:val="24"/>
        </w:rPr>
        <w:t> –</w:t>
      </w:r>
      <w:r w:rsidRPr="00F430D3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i/>
          <w:sz w:val="24"/>
          <w:szCs w:val="24"/>
        </w:rPr>
        <w:t>Státní dluh</w:t>
      </w:r>
      <w:r w:rsidRPr="00F430D3">
        <w:rPr>
          <w:rFonts w:ascii="Calibri" w:hAnsi="Calibri" w:cs="Calibri"/>
          <w:sz w:val="24"/>
          <w:szCs w:val="24"/>
        </w:rPr>
        <w:t xml:space="preserve"> (dále také „kapitola SD“ nebo „kapitola </w:t>
      </w:r>
      <w:r w:rsidRPr="000D5096">
        <w:rPr>
          <w:rFonts w:ascii="Calibri" w:hAnsi="Calibri" w:cs="Calibri"/>
          <w:i/>
          <w:sz w:val="24"/>
          <w:szCs w:val="24"/>
        </w:rPr>
        <w:t>Státní dluh</w:t>
      </w:r>
      <w:r w:rsidRPr="00F430D3">
        <w:rPr>
          <w:rFonts w:ascii="Calibri" w:hAnsi="Calibri" w:cs="Calibri"/>
          <w:sz w:val="24"/>
          <w:szCs w:val="24"/>
        </w:rPr>
        <w:t>“) byla začleněna do státního rozpočtu 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roce 2001 zákon</w:t>
      </w:r>
      <w:r w:rsidR="00166398">
        <w:rPr>
          <w:rFonts w:ascii="Calibri" w:hAnsi="Calibri" w:cs="Calibri"/>
          <w:sz w:val="24"/>
          <w:szCs w:val="24"/>
        </w:rPr>
        <w:t>em</w:t>
      </w:r>
      <w:r w:rsidRPr="00F430D3">
        <w:rPr>
          <w:rFonts w:ascii="Calibri" w:hAnsi="Calibri" w:cs="Calibri"/>
          <w:sz w:val="24"/>
          <w:szCs w:val="24"/>
        </w:rPr>
        <w:t xml:space="preserve"> č.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 xml:space="preserve">218/2000 Sb. Podle ustanovení § 10 odst. 4 </w:t>
      </w:r>
      <w:r w:rsidR="002A6449">
        <w:rPr>
          <w:rFonts w:ascii="Calibri" w:hAnsi="Calibri" w:cs="Calibri"/>
          <w:sz w:val="24"/>
          <w:szCs w:val="24"/>
        </w:rPr>
        <w:t>tohoto zákona</w:t>
      </w:r>
      <w:r w:rsidRPr="00F430D3">
        <w:rPr>
          <w:rFonts w:ascii="Calibri" w:hAnsi="Calibri" w:cs="Calibri"/>
          <w:sz w:val="24"/>
          <w:szCs w:val="24"/>
        </w:rPr>
        <w:t xml:space="preserve"> účinného do 19. 2. 2015 ji tvořily příjmy a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výdaje státního rozpočtu spojené s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obsluhou a</w:t>
      </w:r>
      <w:r w:rsidR="00BD03CD">
        <w:rPr>
          <w:rFonts w:ascii="Calibri" w:hAnsi="Calibri" w:cs="Calibri"/>
          <w:sz w:val="24"/>
          <w:szCs w:val="24"/>
        </w:rPr>
        <w:t> </w:t>
      </w:r>
      <w:r w:rsidRPr="00F430D3">
        <w:rPr>
          <w:rFonts w:ascii="Calibri" w:hAnsi="Calibri" w:cs="Calibri"/>
          <w:sz w:val="24"/>
          <w:szCs w:val="24"/>
        </w:rPr>
        <w:t>s</w:t>
      </w:r>
      <w:r w:rsidR="00E414A1">
        <w:rPr>
          <w:rFonts w:ascii="Calibri" w:hAnsi="Calibri" w:cs="Calibri"/>
          <w:sz w:val="24"/>
          <w:szCs w:val="24"/>
        </w:rPr>
        <w:t> </w:t>
      </w:r>
      <w:r w:rsidRPr="00F430D3">
        <w:rPr>
          <w:rFonts w:ascii="Calibri" w:hAnsi="Calibri" w:cs="Calibri"/>
          <w:sz w:val="24"/>
          <w:szCs w:val="24"/>
        </w:rPr>
        <w:t>umořováním státního dluhu. S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 xml:space="preserve">účinností od 20. 2. 2015 tvoří kapitolu </w:t>
      </w:r>
      <w:r w:rsidRPr="000D5096">
        <w:rPr>
          <w:rFonts w:ascii="Calibri" w:hAnsi="Calibri" w:cs="Calibri"/>
          <w:i/>
          <w:sz w:val="24"/>
          <w:szCs w:val="24"/>
        </w:rPr>
        <w:t>Státní dluh</w:t>
      </w:r>
      <w:r w:rsidRPr="00F430D3">
        <w:rPr>
          <w:rFonts w:ascii="Calibri" w:hAnsi="Calibri" w:cs="Calibri"/>
          <w:sz w:val="24"/>
          <w:szCs w:val="24"/>
        </w:rPr>
        <w:t xml:space="preserve"> dle ustanovení § 10 odst. 4 rozpočtových pravidel</w:t>
      </w:r>
      <w:r w:rsidR="00ED451A">
        <w:rPr>
          <w:rStyle w:val="Znakapoznpodarou"/>
          <w:rFonts w:ascii="Calibri" w:hAnsi="Calibri" w:cs="Calibri"/>
          <w:sz w:val="24"/>
          <w:szCs w:val="24"/>
        </w:rPr>
        <w:footnoteReference w:id="5"/>
      </w:r>
      <w:r w:rsidRPr="00F430D3">
        <w:rPr>
          <w:rFonts w:ascii="Calibri" w:hAnsi="Calibri" w:cs="Calibri"/>
          <w:sz w:val="24"/>
          <w:szCs w:val="24"/>
        </w:rPr>
        <w:t xml:space="preserve"> příjmy a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výdaje státního rozpočtu spojené s</w:t>
      </w:r>
      <w:r w:rsidR="00BD03CD">
        <w:rPr>
          <w:rFonts w:ascii="Calibri" w:hAnsi="Calibri" w:cs="Calibri"/>
          <w:sz w:val="24"/>
          <w:szCs w:val="24"/>
        </w:rPr>
        <w:t> </w:t>
      </w:r>
      <w:r w:rsidRPr="00F430D3">
        <w:rPr>
          <w:rFonts w:ascii="Calibri" w:hAnsi="Calibri" w:cs="Calibri"/>
          <w:sz w:val="24"/>
          <w:szCs w:val="24"/>
        </w:rPr>
        <w:t xml:space="preserve">řízením likvidity státní pokladny a řízením státního dluhu. </w:t>
      </w:r>
    </w:p>
    <w:p w14:paraId="27BFDEE0" w14:textId="77777777" w:rsidR="00A11DB5" w:rsidRPr="00F430D3" w:rsidRDefault="00A11DB5" w:rsidP="00A11DB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6D5F891" w14:textId="77777777" w:rsidR="00A11DB5" w:rsidRPr="00E667AD" w:rsidRDefault="00A11DB5" w:rsidP="00E667AD">
      <w:pPr>
        <w:spacing w:after="0" w:line="240" w:lineRule="auto"/>
        <w:rPr>
          <w:rFonts w:ascii="Calibri" w:hAnsi="Calibri" w:cs="Calibri"/>
          <w:b/>
          <w:sz w:val="24"/>
        </w:rPr>
      </w:pPr>
      <w:r w:rsidRPr="00E667AD">
        <w:rPr>
          <w:rFonts w:ascii="Calibri" w:hAnsi="Calibri" w:cs="Calibri"/>
          <w:b/>
          <w:sz w:val="24"/>
        </w:rPr>
        <w:t xml:space="preserve">Vymezení státního dluhu zákonem č. 218/2000 Sb. </w:t>
      </w:r>
    </w:p>
    <w:p w14:paraId="59AD8733" w14:textId="77777777" w:rsidR="00E667AD" w:rsidRPr="00F430D3" w:rsidRDefault="00E667AD" w:rsidP="00E667AD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1289607" w14:textId="75E2C64D" w:rsidR="00A11DB5" w:rsidRPr="00F430D3" w:rsidRDefault="00E8320E" w:rsidP="00A11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Výkon činností MF v souvislosti s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řízením státního dluhu je vymezen v</w:t>
      </w:r>
      <w:r w:rsidR="0005132E">
        <w:rPr>
          <w:rFonts w:ascii="Calibri" w:hAnsi="Calibri" w:cs="Calibri"/>
          <w:sz w:val="24"/>
          <w:szCs w:val="24"/>
        </w:rPr>
        <w:t> ustanovení</w:t>
      </w:r>
      <w:r>
        <w:rPr>
          <w:rFonts w:ascii="Calibri" w:hAnsi="Calibri" w:cs="Calibri"/>
          <w:sz w:val="24"/>
          <w:szCs w:val="24"/>
        </w:rPr>
        <w:t xml:space="preserve"> § 35 rozpočtových pravidel. Státní dluh byl do</w:t>
      </w:r>
      <w:r w:rsidR="00A11DB5" w:rsidRPr="00F430D3">
        <w:rPr>
          <w:rFonts w:ascii="Calibri" w:hAnsi="Calibri" w:cs="Calibri"/>
          <w:sz w:val="24"/>
          <w:szCs w:val="24"/>
        </w:rPr>
        <w:t xml:space="preserve"> 19. 2. 2015 rozpočtov</w:t>
      </w:r>
      <w:r>
        <w:rPr>
          <w:rFonts w:ascii="Calibri" w:hAnsi="Calibri" w:cs="Calibri"/>
          <w:sz w:val="24"/>
          <w:szCs w:val="24"/>
        </w:rPr>
        <w:t>ými</w:t>
      </w:r>
      <w:r w:rsidR="00A11DB5" w:rsidRPr="00F430D3">
        <w:rPr>
          <w:rFonts w:ascii="Calibri" w:hAnsi="Calibri" w:cs="Calibri"/>
          <w:sz w:val="24"/>
          <w:szCs w:val="24"/>
        </w:rPr>
        <w:t xml:space="preserve"> pravidl</w:t>
      </w:r>
      <w:r>
        <w:rPr>
          <w:rFonts w:ascii="Calibri" w:hAnsi="Calibri" w:cs="Calibri"/>
          <w:sz w:val="24"/>
          <w:szCs w:val="24"/>
        </w:rPr>
        <w:t>y definován</w:t>
      </w:r>
      <w:r w:rsidR="00A11DB5" w:rsidRPr="00F430D3">
        <w:rPr>
          <w:rFonts w:ascii="Calibri" w:hAnsi="Calibri" w:cs="Calibri"/>
          <w:sz w:val="24"/>
          <w:szCs w:val="24"/>
        </w:rPr>
        <w:t xml:space="preserve"> v</w:t>
      </w:r>
      <w:r w:rsidR="0005132E">
        <w:rPr>
          <w:rFonts w:ascii="Calibri" w:hAnsi="Calibri" w:cs="Calibri"/>
          <w:sz w:val="24"/>
          <w:szCs w:val="24"/>
        </w:rPr>
        <w:t> </w:t>
      </w:r>
      <w:r w:rsidR="00A11DB5" w:rsidRPr="00F430D3">
        <w:rPr>
          <w:rFonts w:ascii="Calibri" w:hAnsi="Calibri" w:cs="Calibri"/>
          <w:sz w:val="24"/>
          <w:szCs w:val="24"/>
        </w:rPr>
        <w:t>ustanovení § 36 odst.</w:t>
      </w:r>
      <w:r w:rsidR="00E414A1">
        <w:rPr>
          <w:rFonts w:ascii="Calibri" w:hAnsi="Calibri" w:cs="Calibri"/>
          <w:sz w:val="24"/>
          <w:szCs w:val="24"/>
        </w:rPr>
        <w:t> </w:t>
      </w:r>
      <w:r w:rsidR="00A11DB5" w:rsidRPr="00F430D3">
        <w:rPr>
          <w:rFonts w:ascii="Calibri" w:hAnsi="Calibri" w:cs="Calibri"/>
          <w:sz w:val="24"/>
          <w:szCs w:val="24"/>
        </w:rPr>
        <w:t>9 jako souhrn státních finančních pasiv. Státními finančními pasivy byly dle ustanovení §</w:t>
      </w:r>
      <w:r w:rsidR="00E414A1">
        <w:rPr>
          <w:rFonts w:ascii="Calibri" w:hAnsi="Calibri" w:cs="Calibri"/>
          <w:sz w:val="24"/>
          <w:szCs w:val="24"/>
        </w:rPr>
        <w:t> </w:t>
      </w:r>
      <w:r w:rsidR="00A11DB5" w:rsidRPr="00F430D3">
        <w:rPr>
          <w:rFonts w:ascii="Calibri" w:hAnsi="Calibri" w:cs="Calibri"/>
          <w:sz w:val="24"/>
          <w:szCs w:val="24"/>
        </w:rPr>
        <w:t>36 odst.</w:t>
      </w:r>
      <w:r w:rsidR="00E414A1">
        <w:rPr>
          <w:rFonts w:ascii="Calibri" w:hAnsi="Calibri" w:cs="Calibri"/>
          <w:sz w:val="24"/>
          <w:szCs w:val="24"/>
        </w:rPr>
        <w:t> </w:t>
      </w:r>
      <w:r w:rsidR="00A11DB5" w:rsidRPr="00F430D3">
        <w:rPr>
          <w:rFonts w:ascii="Calibri" w:hAnsi="Calibri" w:cs="Calibri"/>
          <w:sz w:val="24"/>
          <w:szCs w:val="24"/>
        </w:rPr>
        <w:t>8 rozpočtových pravidel</w:t>
      </w:r>
      <w:r w:rsidR="00E414A1">
        <w:rPr>
          <w:rFonts w:ascii="Calibri" w:hAnsi="Calibri" w:cs="Calibri"/>
          <w:sz w:val="24"/>
          <w:szCs w:val="24"/>
        </w:rPr>
        <w:t>:</w:t>
      </w:r>
    </w:p>
    <w:p w14:paraId="3D1076F7" w14:textId="77777777" w:rsidR="00A11DB5" w:rsidRPr="00F430D3" w:rsidRDefault="00A11DB5" w:rsidP="004309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430D3">
        <w:rPr>
          <w:rFonts w:ascii="Calibri" w:hAnsi="Calibri" w:cs="Calibri"/>
          <w:sz w:val="24"/>
          <w:szCs w:val="24"/>
        </w:rPr>
        <w:t>závazky státu vzniklé ze státem přijatých zahraničních půjček, úvěrů od bank a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z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vydaných státních dluhopisů,</w:t>
      </w:r>
    </w:p>
    <w:p w14:paraId="3BB0B547" w14:textId="77777777" w:rsidR="00A11DB5" w:rsidRPr="00F430D3" w:rsidRDefault="00A11DB5" w:rsidP="00430901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430D3">
        <w:rPr>
          <w:rFonts w:ascii="Calibri" w:hAnsi="Calibri" w:cs="Calibri"/>
          <w:sz w:val="24"/>
          <w:szCs w:val="24"/>
        </w:rPr>
        <w:t>jiné závazky státu.</w:t>
      </w:r>
    </w:p>
    <w:p w14:paraId="05272C94" w14:textId="77777777" w:rsidR="00A11DB5" w:rsidRDefault="00A11DB5" w:rsidP="00A11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AE5DDB1" w14:textId="77777777" w:rsidR="00EB7C7B" w:rsidRDefault="00EB7C7B" w:rsidP="00EB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430D3">
        <w:rPr>
          <w:rFonts w:ascii="Calibri" w:hAnsi="Calibri" w:cs="Calibri"/>
          <w:sz w:val="24"/>
          <w:szCs w:val="24"/>
        </w:rPr>
        <w:t>Podle právní úpravy účinné od 20. 2. 2015 je státní dluh vymezen v ustanovení § 36 odst. 7 a 8</w:t>
      </w:r>
      <w:r w:rsidR="00ED451A">
        <w:rPr>
          <w:rFonts w:ascii="Calibri" w:hAnsi="Calibri" w:cs="Calibri"/>
          <w:sz w:val="24"/>
          <w:szCs w:val="24"/>
        </w:rPr>
        <w:t xml:space="preserve"> rozpočtových pravidel</w:t>
      </w:r>
      <w:r w:rsidRPr="00F430D3">
        <w:rPr>
          <w:rFonts w:ascii="Calibri" w:hAnsi="Calibri" w:cs="Calibri"/>
          <w:sz w:val="24"/>
          <w:szCs w:val="24"/>
        </w:rPr>
        <w:t xml:space="preserve">. Státní dluh tvoří státní finanční pasiva uvedená v </w:t>
      </w:r>
      <w:r w:rsidR="00ED451A">
        <w:rPr>
          <w:rFonts w:ascii="Calibri" w:hAnsi="Calibri" w:cs="Calibri"/>
          <w:sz w:val="24"/>
          <w:szCs w:val="24"/>
        </w:rPr>
        <w:t xml:space="preserve">§ 36 </w:t>
      </w:r>
      <w:r w:rsidRPr="00F430D3">
        <w:rPr>
          <w:rFonts w:ascii="Calibri" w:hAnsi="Calibri" w:cs="Calibri"/>
          <w:sz w:val="24"/>
          <w:szCs w:val="24"/>
        </w:rPr>
        <w:t>odst</w:t>
      </w:r>
      <w:r w:rsidR="00ED451A">
        <w:rPr>
          <w:rFonts w:ascii="Calibri" w:hAnsi="Calibri" w:cs="Calibri"/>
          <w:sz w:val="24"/>
          <w:szCs w:val="24"/>
        </w:rPr>
        <w:t>.</w:t>
      </w:r>
      <w:r w:rsidR="00E667AD">
        <w:rPr>
          <w:rFonts w:ascii="Calibri" w:hAnsi="Calibri" w:cs="Calibri"/>
          <w:sz w:val="24"/>
          <w:szCs w:val="24"/>
        </w:rPr>
        <w:t xml:space="preserve"> 7 písm. a) až </w:t>
      </w:r>
      <w:r w:rsidRPr="00F430D3">
        <w:rPr>
          <w:rFonts w:ascii="Calibri" w:hAnsi="Calibri" w:cs="Calibri"/>
          <w:sz w:val="24"/>
          <w:szCs w:val="24"/>
        </w:rPr>
        <w:t xml:space="preserve">c) zohledňující jmenovité hodnoty nebo jistiny derivátů a jmenovité hodnoty státních dluhopisů, které jsou předmětem finančního zajištění nebo srovnatelného zajištění podle práva cizího státu. </w:t>
      </w:r>
    </w:p>
    <w:p w14:paraId="6F76A46B" w14:textId="77777777" w:rsidR="00E667AD" w:rsidRDefault="00E667AD" w:rsidP="00EB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5301F68" w14:textId="77777777" w:rsidR="00275749" w:rsidRPr="00F430D3" w:rsidRDefault="00275749" w:rsidP="00EB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58E83E6" w14:textId="77777777" w:rsidR="00EB7C7B" w:rsidRPr="00F430D3" w:rsidRDefault="00EB7C7B" w:rsidP="00EB7C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430D3">
        <w:rPr>
          <w:rFonts w:ascii="Calibri" w:hAnsi="Calibri" w:cs="Calibri"/>
          <w:sz w:val="24"/>
          <w:szCs w:val="24"/>
        </w:rPr>
        <w:lastRenderedPageBreak/>
        <w:t xml:space="preserve">Státními finančními pasivy jsou: </w:t>
      </w:r>
    </w:p>
    <w:p w14:paraId="3766DF1A" w14:textId="77777777" w:rsidR="00EB7C7B" w:rsidRPr="00F430D3" w:rsidRDefault="00EB7C7B" w:rsidP="0043090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430D3">
        <w:rPr>
          <w:rFonts w:ascii="Calibri" w:hAnsi="Calibri" w:cs="Calibri"/>
          <w:sz w:val="24"/>
          <w:szCs w:val="24"/>
        </w:rPr>
        <w:t>a)</w:t>
      </w:r>
      <w:r w:rsidR="00430901">
        <w:rPr>
          <w:rFonts w:ascii="Calibri" w:hAnsi="Calibri" w:cs="Calibri"/>
          <w:sz w:val="24"/>
          <w:szCs w:val="24"/>
        </w:rPr>
        <w:tab/>
      </w:r>
      <w:r w:rsidRPr="00F430D3">
        <w:rPr>
          <w:rFonts w:ascii="Calibri" w:hAnsi="Calibri" w:cs="Calibri"/>
          <w:sz w:val="24"/>
          <w:szCs w:val="24"/>
        </w:rPr>
        <w:t xml:space="preserve">dluhy státu odpovídající jmenovitým hodnotám jím vydaných dluhopisů; do státních finančních pasiv však nevstupují dluhy státu z dluhopisů, které byly při jejich vydání zapsány nejprve na majetkový účet, který vede Ministerstvo financí v příslušné evidenci, po dobu, co jsou na tomto účtu zapsány, jakož i vlastní dluhopisy nabyté státem jako jejich emitentem před datem jejich splatnosti, </w:t>
      </w:r>
    </w:p>
    <w:p w14:paraId="0089CC67" w14:textId="77777777" w:rsidR="00EB7C7B" w:rsidRPr="00F430D3" w:rsidRDefault="00EB7C7B" w:rsidP="00430901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430D3">
        <w:rPr>
          <w:rFonts w:ascii="Calibri" w:hAnsi="Calibri" w:cs="Calibri"/>
          <w:sz w:val="24"/>
          <w:szCs w:val="24"/>
        </w:rPr>
        <w:t>b)</w:t>
      </w:r>
      <w:r w:rsidR="00430901">
        <w:rPr>
          <w:rFonts w:ascii="Calibri" w:hAnsi="Calibri" w:cs="Calibri"/>
          <w:sz w:val="24"/>
          <w:szCs w:val="24"/>
        </w:rPr>
        <w:tab/>
      </w:r>
      <w:r w:rsidRPr="00F430D3">
        <w:rPr>
          <w:rFonts w:ascii="Calibri" w:hAnsi="Calibri" w:cs="Calibri"/>
          <w:sz w:val="24"/>
          <w:szCs w:val="24"/>
        </w:rPr>
        <w:t xml:space="preserve">dluhy ze státem přijatých zápůjček a úvěrů, </w:t>
      </w:r>
    </w:p>
    <w:p w14:paraId="41734ABC" w14:textId="77777777" w:rsidR="00EB7C7B" w:rsidRPr="00F430D3" w:rsidRDefault="00EB7C7B" w:rsidP="00E667A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430D3">
        <w:rPr>
          <w:rFonts w:ascii="Calibri" w:hAnsi="Calibri" w:cs="Calibri"/>
          <w:sz w:val="24"/>
          <w:szCs w:val="24"/>
        </w:rPr>
        <w:t>c)</w:t>
      </w:r>
      <w:r w:rsidR="00430901">
        <w:rPr>
          <w:rFonts w:ascii="Calibri" w:hAnsi="Calibri" w:cs="Calibri"/>
          <w:sz w:val="24"/>
          <w:szCs w:val="24"/>
        </w:rPr>
        <w:tab/>
      </w:r>
      <w:r w:rsidRPr="00F430D3">
        <w:rPr>
          <w:rFonts w:ascii="Calibri" w:hAnsi="Calibri" w:cs="Calibri"/>
          <w:sz w:val="24"/>
          <w:szCs w:val="24"/>
        </w:rPr>
        <w:t xml:space="preserve">dluhy ze státem vystavených směnek, </w:t>
      </w:r>
    </w:p>
    <w:p w14:paraId="7F06D46D" w14:textId="77777777" w:rsidR="00EB7C7B" w:rsidRPr="00F430D3" w:rsidRDefault="00EB7C7B" w:rsidP="00430901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 w:rsidRPr="00F430D3">
        <w:rPr>
          <w:rFonts w:ascii="Calibri" w:hAnsi="Calibri" w:cs="Calibri"/>
          <w:sz w:val="24"/>
          <w:szCs w:val="24"/>
        </w:rPr>
        <w:t>d)</w:t>
      </w:r>
      <w:r w:rsidR="00430901">
        <w:rPr>
          <w:rFonts w:ascii="Calibri" w:hAnsi="Calibri" w:cs="Calibri"/>
          <w:sz w:val="24"/>
          <w:szCs w:val="24"/>
        </w:rPr>
        <w:tab/>
      </w:r>
      <w:r w:rsidRPr="00F430D3">
        <w:rPr>
          <w:rFonts w:ascii="Calibri" w:hAnsi="Calibri" w:cs="Calibri"/>
          <w:sz w:val="24"/>
          <w:szCs w:val="24"/>
        </w:rPr>
        <w:t xml:space="preserve">dluhy z nesplacené části upsaného kapitálu majetkových účastí evidovaných ve státních finančních aktivech. </w:t>
      </w:r>
    </w:p>
    <w:p w14:paraId="441065DD" w14:textId="77777777" w:rsidR="00EB7C7B" w:rsidRPr="00F430D3" w:rsidRDefault="00EB7C7B" w:rsidP="00A11D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420AA53" w14:textId="77777777" w:rsidR="00A11DB5" w:rsidRPr="00430901" w:rsidRDefault="00A11DB5" w:rsidP="00E667AD">
      <w:pPr>
        <w:tabs>
          <w:tab w:val="right" w:pos="9356"/>
        </w:tabs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cs-CZ"/>
        </w:rPr>
      </w:pPr>
      <w:r w:rsidRPr="00430901">
        <w:rPr>
          <w:rFonts w:ascii="Calibri" w:eastAsia="Calibri" w:hAnsi="Calibri" w:cs="Calibri"/>
          <w:b/>
          <w:sz w:val="24"/>
          <w:szCs w:val="24"/>
        </w:rPr>
        <w:t xml:space="preserve">Tabulka č. 1 </w:t>
      </w:r>
      <w:r w:rsidR="00430901">
        <w:rPr>
          <w:rFonts w:ascii="Calibri" w:eastAsia="Calibri" w:hAnsi="Calibri" w:cs="Calibri"/>
          <w:b/>
          <w:sz w:val="24"/>
          <w:szCs w:val="24"/>
        </w:rPr>
        <w:t>–</w:t>
      </w:r>
      <w:r w:rsidRPr="0043090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430901">
        <w:rPr>
          <w:rFonts w:ascii="Calibri" w:eastAsia="Calibri" w:hAnsi="Calibri" w:cs="Calibri"/>
          <w:b/>
          <w:sz w:val="24"/>
          <w:szCs w:val="24"/>
          <w:lang w:eastAsia="cs-CZ"/>
        </w:rPr>
        <w:t xml:space="preserve">Stav a struktura dluhového portfolia </w:t>
      </w:r>
      <w:r w:rsidR="00430901">
        <w:rPr>
          <w:rFonts w:ascii="Calibri" w:eastAsia="Calibri" w:hAnsi="Calibri" w:cs="Calibri"/>
          <w:b/>
          <w:sz w:val="24"/>
          <w:szCs w:val="24"/>
          <w:lang w:eastAsia="cs-CZ"/>
        </w:rPr>
        <w:tab/>
      </w:r>
      <w:r w:rsidRPr="00430901">
        <w:rPr>
          <w:rFonts w:ascii="Calibri" w:eastAsia="Calibri" w:hAnsi="Calibri" w:cs="Calibri"/>
          <w:b/>
          <w:sz w:val="24"/>
          <w:szCs w:val="24"/>
          <w:lang w:eastAsia="cs-CZ"/>
        </w:rPr>
        <w:t>(v mld. Kč)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311"/>
        <w:gridCol w:w="1311"/>
        <w:gridCol w:w="1311"/>
        <w:gridCol w:w="1312"/>
      </w:tblGrid>
      <w:tr w:rsidR="00E667AD" w:rsidRPr="00E667AD" w14:paraId="6B598ED7" w14:textId="77777777" w:rsidTr="00E667AD">
        <w:trPr>
          <w:trHeight w:val="227"/>
        </w:trPr>
        <w:tc>
          <w:tcPr>
            <w:tcW w:w="4111" w:type="dxa"/>
            <w:shd w:val="clear" w:color="auto" w:fill="auto"/>
          </w:tcPr>
          <w:p w14:paraId="3433003B" w14:textId="77777777" w:rsidR="00A11DB5" w:rsidRPr="00E667AD" w:rsidRDefault="00A11DB5" w:rsidP="00E667AD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39C9540" w14:textId="77777777" w:rsidR="00A11DB5" w:rsidRPr="00E667AD" w:rsidRDefault="00A11DB5" w:rsidP="00E667A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9168C78" w14:textId="77777777" w:rsidR="00A11DB5" w:rsidRPr="00E667AD" w:rsidRDefault="00A11DB5" w:rsidP="00E667A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117B7BB" w14:textId="77777777" w:rsidR="00A11DB5" w:rsidRPr="00E667AD" w:rsidRDefault="00A11DB5" w:rsidP="00E667A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05F03623" w14:textId="77777777" w:rsidR="00A11DB5" w:rsidRPr="00E667AD" w:rsidRDefault="00A11DB5" w:rsidP="00E667AD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2014</w:t>
            </w:r>
          </w:p>
        </w:tc>
      </w:tr>
      <w:tr w:rsidR="00E667AD" w:rsidRPr="00E667AD" w14:paraId="41966783" w14:textId="77777777" w:rsidTr="00E667AD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14:paraId="65C9C74C" w14:textId="77777777" w:rsidR="00A11DB5" w:rsidRPr="00E667AD" w:rsidRDefault="00A11DB5" w:rsidP="00E667AD">
            <w:pPr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Hrubý státní dluh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8EF8C80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1</w:t>
            </w:r>
            <w:r w:rsidR="00430901" w:rsidRPr="00E667A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E667A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499,4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8EDAE77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1</w:t>
            </w:r>
            <w:r w:rsidR="00430901" w:rsidRPr="00E667A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E667A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667,6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14AEC44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1</w:t>
            </w:r>
            <w:r w:rsidR="00430901" w:rsidRPr="00E667A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E667A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683,4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256A8CC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1</w:t>
            </w:r>
            <w:r w:rsidR="0053110A" w:rsidRPr="00E667A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E667AD">
              <w:rPr>
                <w:rFonts w:ascii="Calibri" w:hAnsi="Calibri" w:cs="Calibri"/>
                <w:b/>
                <w:color w:val="000000" w:themeColor="text1"/>
                <w:sz w:val="20"/>
                <w:szCs w:val="20"/>
                <w:lang w:eastAsia="cs-CZ"/>
              </w:rPr>
              <w:t>663,7</w:t>
            </w:r>
          </w:p>
        </w:tc>
      </w:tr>
      <w:tr w:rsidR="00E667AD" w:rsidRPr="00E667AD" w14:paraId="4984E3CA" w14:textId="77777777" w:rsidTr="00E667AD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14:paraId="420DE3EB" w14:textId="77777777" w:rsidR="00A11DB5" w:rsidRPr="000D5096" w:rsidRDefault="00A11DB5" w:rsidP="00E667AD">
            <w:pPr>
              <w:spacing w:after="0" w:line="240" w:lineRule="auto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0D5096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z toho: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9ED8FEE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9B763F9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2B82F803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</w:p>
        </w:tc>
        <w:tc>
          <w:tcPr>
            <w:tcW w:w="1312" w:type="dxa"/>
            <w:shd w:val="clear" w:color="auto" w:fill="auto"/>
            <w:vAlign w:val="center"/>
          </w:tcPr>
          <w:p w14:paraId="5A71598A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</w:p>
        </w:tc>
      </w:tr>
      <w:tr w:rsidR="00E667AD" w:rsidRPr="00E667AD" w14:paraId="47143A9E" w14:textId="77777777" w:rsidTr="00E667AD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14:paraId="0A23A25D" w14:textId="77777777" w:rsidR="00A11DB5" w:rsidRPr="00E667AD" w:rsidRDefault="00A11DB5" w:rsidP="000D5096">
            <w:pPr>
              <w:spacing w:after="0" w:line="240" w:lineRule="auto"/>
              <w:ind w:left="176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Instrumenty peněžního trhu</w:t>
            </w:r>
            <w:r w:rsidR="00ED451A"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(SPP)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418856E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162,6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BC396EB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189,1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981738F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120,9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63B2C03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107,6</w:t>
            </w:r>
          </w:p>
        </w:tc>
      </w:tr>
      <w:tr w:rsidR="00E667AD" w:rsidRPr="00E667AD" w14:paraId="55D2CA64" w14:textId="77777777" w:rsidTr="00E667AD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14:paraId="6E199CD5" w14:textId="77777777" w:rsidR="00A11DB5" w:rsidRPr="00E667AD" w:rsidRDefault="00A11DB5" w:rsidP="000D5096">
            <w:pPr>
              <w:spacing w:after="0" w:line="240" w:lineRule="auto"/>
              <w:ind w:left="176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Ostatní instrumenty peněžního trhu</w:t>
            </w:r>
            <w:r w:rsidR="00CA556B"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(repo)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7A2849F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0C6C1AB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400AB44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0,0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8B729FD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2,5</w:t>
            </w:r>
          </w:p>
        </w:tc>
      </w:tr>
      <w:tr w:rsidR="00E667AD" w:rsidRPr="00E667AD" w14:paraId="41A68859" w14:textId="77777777" w:rsidTr="00E667AD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14:paraId="12AB455C" w14:textId="77777777" w:rsidR="00A11DB5" w:rsidRPr="00E667AD" w:rsidRDefault="00A11DB5" w:rsidP="000D5096">
            <w:pPr>
              <w:spacing w:after="0" w:line="240" w:lineRule="auto"/>
              <w:ind w:left="176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Střednědobé a dlouhodobé státní dluhopisy </w:t>
            </w:r>
            <w:r w:rsidR="000D3F68"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(SDD) </w:t>
            </w: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vydané na domácím trhu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F908488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999,1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6393264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1</w:t>
            </w:r>
            <w:r w:rsidR="00430901"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042,0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B4F1021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1</w:t>
            </w:r>
            <w:r w:rsidR="00430901"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079,7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732A87BE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1</w:t>
            </w:r>
            <w:r w:rsidR="0053110A"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175,7</w:t>
            </w:r>
          </w:p>
        </w:tc>
      </w:tr>
      <w:tr w:rsidR="00E667AD" w:rsidRPr="00E667AD" w14:paraId="4CE8E038" w14:textId="77777777" w:rsidTr="00E667AD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14:paraId="2CC98FC8" w14:textId="77777777" w:rsidR="00A11DB5" w:rsidRPr="00E667AD" w:rsidRDefault="00A11DB5" w:rsidP="000D5096">
            <w:pPr>
              <w:spacing w:after="0" w:line="240" w:lineRule="auto"/>
              <w:ind w:left="176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Střednědobé a dlouhodobé státní dluhopisy vydané na zahraničních trzích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B9DB024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245,7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7B7B2FAA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310,3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FE07DC0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323,7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2245054B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239,6</w:t>
            </w:r>
          </w:p>
        </w:tc>
      </w:tr>
      <w:tr w:rsidR="00E667AD" w:rsidRPr="00E667AD" w14:paraId="0B0EC22E" w14:textId="77777777" w:rsidTr="00E667AD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14:paraId="1CEE933F" w14:textId="17DE5EDA" w:rsidR="00A11DB5" w:rsidRPr="00E667AD" w:rsidRDefault="00A11DB5" w:rsidP="000D5096">
            <w:pPr>
              <w:spacing w:after="0" w:line="240" w:lineRule="auto"/>
              <w:ind w:left="176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Spoř</w:t>
            </w:r>
            <w:r w:rsidR="0005132E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i</w:t>
            </w: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cí státní dluhopisy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79395A2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20,4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3E00EBD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56,2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05A24CEB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87,6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3E6D8832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77,8</w:t>
            </w:r>
          </w:p>
        </w:tc>
      </w:tr>
      <w:tr w:rsidR="00E667AD" w:rsidRPr="00E667AD" w14:paraId="3A235CE6" w14:textId="77777777" w:rsidTr="00E667AD">
        <w:trPr>
          <w:trHeight w:val="227"/>
        </w:trPr>
        <w:tc>
          <w:tcPr>
            <w:tcW w:w="4111" w:type="dxa"/>
            <w:shd w:val="clear" w:color="auto" w:fill="auto"/>
            <w:vAlign w:val="center"/>
          </w:tcPr>
          <w:p w14:paraId="503C1449" w14:textId="77777777" w:rsidR="00A11DB5" w:rsidRPr="00E667AD" w:rsidRDefault="00A11DB5" w:rsidP="000D5096">
            <w:pPr>
              <w:spacing w:after="0" w:line="240" w:lineRule="auto"/>
              <w:ind w:left="176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Úvěry EIB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2BE3097D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71,3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3FEFD980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70,0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F77DC36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71,5</w:t>
            </w:r>
          </w:p>
        </w:tc>
        <w:tc>
          <w:tcPr>
            <w:tcW w:w="1312" w:type="dxa"/>
            <w:shd w:val="clear" w:color="auto" w:fill="auto"/>
            <w:vAlign w:val="center"/>
          </w:tcPr>
          <w:p w14:paraId="64480637" w14:textId="77777777" w:rsidR="00A11DB5" w:rsidRPr="00E667AD" w:rsidRDefault="00A11DB5" w:rsidP="00E667AD">
            <w:pPr>
              <w:spacing w:after="0" w:line="240" w:lineRule="auto"/>
              <w:ind w:right="186"/>
              <w:jc w:val="right"/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color w:val="000000" w:themeColor="text1"/>
                <w:sz w:val="20"/>
                <w:szCs w:val="20"/>
                <w:lang w:eastAsia="cs-CZ"/>
              </w:rPr>
              <w:t>60,4</w:t>
            </w:r>
          </w:p>
        </w:tc>
      </w:tr>
    </w:tbl>
    <w:p w14:paraId="79AFB320" w14:textId="77777777" w:rsidR="00A11DB5" w:rsidRPr="00430901" w:rsidRDefault="00A11DB5" w:rsidP="00E667AD">
      <w:pPr>
        <w:spacing w:before="40" w:after="0" w:line="240" w:lineRule="auto"/>
        <w:rPr>
          <w:rFonts w:ascii="Calibri" w:eastAsia="Calibri" w:hAnsi="Calibri" w:cs="Calibri"/>
          <w:sz w:val="20"/>
          <w:szCs w:val="20"/>
          <w:lang w:eastAsia="cs-CZ"/>
        </w:rPr>
      </w:pPr>
      <w:r w:rsidRPr="00166B7D">
        <w:rPr>
          <w:rFonts w:ascii="Calibri" w:eastAsia="Calibri" w:hAnsi="Calibri" w:cs="Calibri"/>
          <w:b/>
          <w:sz w:val="20"/>
          <w:szCs w:val="20"/>
          <w:lang w:eastAsia="cs-CZ"/>
        </w:rPr>
        <w:t>Zdroj:</w:t>
      </w:r>
      <w:r w:rsidRPr="00430901">
        <w:rPr>
          <w:rFonts w:ascii="Calibri" w:eastAsia="Calibri" w:hAnsi="Calibri" w:cs="Calibri"/>
          <w:sz w:val="20"/>
          <w:szCs w:val="20"/>
          <w:lang w:eastAsia="cs-CZ"/>
        </w:rPr>
        <w:t xml:space="preserve"> </w:t>
      </w:r>
      <w:r w:rsidR="009435F8" w:rsidRPr="000D5096">
        <w:rPr>
          <w:rFonts w:ascii="Calibri" w:eastAsia="Calibri" w:hAnsi="Calibri" w:cs="Calibri"/>
          <w:i/>
          <w:sz w:val="20"/>
          <w:szCs w:val="20"/>
          <w:lang w:eastAsia="cs-CZ"/>
        </w:rPr>
        <w:t>Zpráva o řízení státního dluhu České republiky v</w:t>
      </w:r>
      <w:r w:rsidR="00430901" w:rsidRPr="000D5096">
        <w:rPr>
          <w:rFonts w:ascii="Calibri" w:eastAsia="Calibri" w:hAnsi="Calibri" w:cs="Calibri"/>
          <w:i/>
          <w:sz w:val="20"/>
          <w:szCs w:val="20"/>
          <w:lang w:eastAsia="cs-CZ"/>
        </w:rPr>
        <w:t xml:space="preserve"> </w:t>
      </w:r>
      <w:r w:rsidR="009435F8" w:rsidRPr="000D5096">
        <w:rPr>
          <w:rFonts w:ascii="Calibri" w:eastAsia="Calibri" w:hAnsi="Calibri" w:cs="Calibri"/>
          <w:i/>
          <w:sz w:val="20"/>
          <w:szCs w:val="20"/>
          <w:lang w:eastAsia="cs-CZ"/>
        </w:rPr>
        <w:t>roce 2014</w:t>
      </w:r>
      <w:r w:rsidR="00430901">
        <w:rPr>
          <w:rFonts w:ascii="Calibri" w:eastAsia="Calibri" w:hAnsi="Calibri" w:cs="Calibri"/>
          <w:sz w:val="20"/>
          <w:szCs w:val="20"/>
          <w:lang w:eastAsia="cs-CZ"/>
        </w:rPr>
        <w:t>.</w:t>
      </w:r>
    </w:p>
    <w:p w14:paraId="6477CF14" w14:textId="77777777" w:rsidR="00E667AD" w:rsidRPr="00E667AD" w:rsidRDefault="00E667AD" w:rsidP="00A11DB5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350273A" w14:textId="77777777" w:rsidR="00A11DB5" w:rsidRPr="00430901" w:rsidRDefault="00A11DB5" w:rsidP="00E667AD">
      <w:pPr>
        <w:tabs>
          <w:tab w:val="right" w:pos="9356"/>
        </w:tabs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eastAsia="cs-CZ"/>
        </w:rPr>
      </w:pPr>
      <w:r w:rsidRPr="00430901">
        <w:rPr>
          <w:rFonts w:ascii="Calibri" w:eastAsia="Calibri" w:hAnsi="Calibri" w:cs="Calibri"/>
          <w:b/>
          <w:sz w:val="24"/>
          <w:szCs w:val="24"/>
        </w:rPr>
        <w:t xml:space="preserve">Tabulka č. 2 </w:t>
      </w:r>
      <w:r w:rsidR="00430901">
        <w:rPr>
          <w:rFonts w:ascii="Calibri" w:eastAsia="Calibri" w:hAnsi="Calibri" w:cs="Calibri"/>
          <w:b/>
          <w:sz w:val="24"/>
          <w:szCs w:val="24"/>
        </w:rPr>
        <w:t>–</w:t>
      </w:r>
      <w:r w:rsidRPr="0043090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430901">
        <w:rPr>
          <w:rFonts w:ascii="Calibri" w:eastAsia="Calibri" w:hAnsi="Calibri" w:cs="Calibri"/>
          <w:b/>
          <w:sz w:val="24"/>
          <w:szCs w:val="24"/>
          <w:lang w:eastAsia="cs-CZ"/>
        </w:rPr>
        <w:t>Vývoj výdajů na státní dluh</w:t>
      </w:r>
      <w:r w:rsidR="00430901">
        <w:rPr>
          <w:rFonts w:ascii="Calibri" w:eastAsia="Calibri" w:hAnsi="Calibri" w:cs="Calibri"/>
          <w:b/>
          <w:sz w:val="24"/>
          <w:szCs w:val="24"/>
          <w:lang w:eastAsia="cs-CZ"/>
        </w:rPr>
        <w:tab/>
      </w:r>
      <w:r w:rsidR="00D7015A" w:rsidRPr="00430901">
        <w:rPr>
          <w:rFonts w:ascii="Calibri" w:eastAsia="Calibri" w:hAnsi="Calibri" w:cs="Calibri"/>
          <w:b/>
          <w:sz w:val="24"/>
          <w:szCs w:val="24"/>
          <w:lang w:eastAsia="cs-CZ"/>
        </w:rPr>
        <w:t>(mil. Kč)</w:t>
      </w:r>
    </w:p>
    <w:tbl>
      <w:tblPr>
        <w:tblW w:w="490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2"/>
        <w:gridCol w:w="1307"/>
        <w:gridCol w:w="1308"/>
        <w:gridCol w:w="1308"/>
        <w:gridCol w:w="1308"/>
      </w:tblGrid>
      <w:tr w:rsidR="00A11DB5" w:rsidRPr="00E667AD" w14:paraId="41D8DECC" w14:textId="77777777" w:rsidTr="00E667AD">
        <w:trPr>
          <w:trHeight w:val="227"/>
        </w:trPr>
        <w:tc>
          <w:tcPr>
            <w:tcW w:w="2204" w:type="pct"/>
            <w:shd w:val="clear" w:color="auto" w:fill="auto"/>
            <w:vAlign w:val="center"/>
            <w:hideMark/>
          </w:tcPr>
          <w:p w14:paraId="14FDCAAB" w14:textId="77777777" w:rsidR="00A11DB5" w:rsidRPr="00E667AD" w:rsidRDefault="00430901" w:rsidP="00E667A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6754B97E" w14:textId="77777777" w:rsidR="00A11DB5" w:rsidRPr="00E667AD" w:rsidRDefault="00A11DB5" w:rsidP="00E667A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2011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385CF988" w14:textId="77777777" w:rsidR="00A11DB5" w:rsidRPr="00E667AD" w:rsidRDefault="00A11DB5" w:rsidP="00E667A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2012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61DD9951" w14:textId="77777777" w:rsidR="00A11DB5" w:rsidRPr="00E667AD" w:rsidRDefault="00A11DB5" w:rsidP="00E667A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2013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0D4F9A23" w14:textId="77777777" w:rsidR="00A11DB5" w:rsidRPr="00E667AD" w:rsidRDefault="00A11DB5" w:rsidP="00E667AD">
            <w:pPr>
              <w:spacing w:after="0" w:line="240" w:lineRule="auto"/>
              <w:jc w:val="center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2014</w:t>
            </w:r>
          </w:p>
        </w:tc>
      </w:tr>
      <w:tr w:rsidR="00A11DB5" w:rsidRPr="00E667AD" w14:paraId="4F08160F" w14:textId="77777777" w:rsidTr="00E667AD">
        <w:trPr>
          <w:trHeight w:val="227"/>
        </w:trPr>
        <w:tc>
          <w:tcPr>
            <w:tcW w:w="2204" w:type="pct"/>
            <w:shd w:val="clear" w:color="auto" w:fill="auto"/>
            <w:vAlign w:val="center"/>
            <w:hideMark/>
          </w:tcPr>
          <w:p w14:paraId="37E806C9" w14:textId="77777777" w:rsidR="00A11DB5" w:rsidRPr="00E667AD" w:rsidRDefault="00D7015A" w:rsidP="00E667AD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 xml:space="preserve">Výdaje na státní dluh 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5B591C38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55 633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049C69F6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57 089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F99BF21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57 843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4846611B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55 895</w:t>
            </w:r>
          </w:p>
        </w:tc>
      </w:tr>
      <w:tr w:rsidR="00A11DB5" w:rsidRPr="00E667AD" w14:paraId="02653083" w14:textId="77777777" w:rsidTr="00E667AD">
        <w:trPr>
          <w:trHeight w:val="227"/>
        </w:trPr>
        <w:tc>
          <w:tcPr>
            <w:tcW w:w="2204" w:type="pct"/>
            <w:shd w:val="clear" w:color="auto" w:fill="auto"/>
            <w:vAlign w:val="center"/>
            <w:hideMark/>
          </w:tcPr>
          <w:p w14:paraId="044321B5" w14:textId="77777777" w:rsidR="00A11DB5" w:rsidRPr="00E667AD" w:rsidRDefault="00A11DB5" w:rsidP="00E667A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z toho: úroky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1E70D195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55 481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6924F6C6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56 742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4A1C0C3B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57 516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310E0867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55 694</w:t>
            </w:r>
          </w:p>
        </w:tc>
      </w:tr>
      <w:tr w:rsidR="00A11DB5" w:rsidRPr="00E667AD" w14:paraId="74B92FE4" w14:textId="77777777" w:rsidTr="00E667AD">
        <w:trPr>
          <w:trHeight w:val="227"/>
        </w:trPr>
        <w:tc>
          <w:tcPr>
            <w:tcW w:w="2204" w:type="pct"/>
            <w:shd w:val="clear" w:color="auto" w:fill="auto"/>
            <w:vAlign w:val="center"/>
            <w:hideMark/>
          </w:tcPr>
          <w:p w14:paraId="7F02C3F0" w14:textId="77777777" w:rsidR="00A11DB5" w:rsidRPr="00E667AD" w:rsidRDefault="00D7015A" w:rsidP="00E667AD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 xml:space="preserve">Příjmy státního dluhu 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2823D0CB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10 506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010DB6DE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15 687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062D2231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6 952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0C85667B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7 402</w:t>
            </w:r>
          </w:p>
        </w:tc>
      </w:tr>
      <w:tr w:rsidR="00A11DB5" w:rsidRPr="00E667AD" w14:paraId="7D5809EC" w14:textId="77777777" w:rsidTr="00E667AD">
        <w:trPr>
          <w:trHeight w:val="227"/>
        </w:trPr>
        <w:tc>
          <w:tcPr>
            <w:tcW w:w="2204" w:type="pct"/>
            <w:shd w:val="clear" w:color="auto" w:fill="auto"/>
            <w:vAlign w:val="center"/>
            <w:hideMark/>
          </w:tcPr>
          <w:p w14:paraId="7F6F2907" w14:textId="77777777" w:rsidR="00A11DB5" w:rsidRPr="00E667AD" w:rsidRDefault="00266957" w:rsidP="00E667A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z toho: úroky</w:t>
            </w:r>
            <w:r w:rsidRPr="00E667AD">
              <w:rPr>
                <w:rFonts w:ascii="Calibri" w:hAnsi="Calibri" w:cs="Calibri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6685F6D7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10 506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3C5B7557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15 687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1BB15F47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6 952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EA0E402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7 402</w:t>
            </w:r>
          </w:p>
        </w:tc>
      </w:tr>
      <w:tr w:rsidR="00A11DB5" w:rsidRPr="00E667AD" w14:paraId="3496E74F" w14:textId="77777777" w:rsidTr="00E667AD">
        <w:trPr>
          <w:trHeight w:val="227"/>
        </w:trPr>
        <w:tc>
          <w:tcPr>
            <w:tcW w:w="2204" w:type="pct"/>
            <w:shd w:val="clear" w:color="auto" w:fill="auto"/>
            <w:vAlign w:val="center"/>
            <w:hideMark/>
          </w:tcPr>
          <w:p w14:paraId="3581A3D6" w14:textId="77777777" w:rsidR="00A11DB5" w:rsidRPr="00E667AD" w:rsidRDefault="00A11DB5" w:rsidP="00E667AD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 xml:space="preserve">Čisté výdaje na státní dluh 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49772162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45 127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A4881DE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41 402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4AAB169C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50 891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208F4D58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b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b/>
                <w:sz w:val="20"/>
                <w:szCs w:val="20"/>
                <w:lang w:eastAsia="cs-CZ"/>
              </w:rPr>
              <w:t>48 493</w:t>
            </w:r>
          </w:p>
        </w:tc>
      </w:tr>
      <w:tr w:rsidR="00A11DB5" w:rsidRPr="00E667AD" w14:paraId="77A605D9" w14:textId="77777777" w:rsidTr="00E667AD">
        <w:trPr>
          <w:trHeight w:val="227"/>
        </w:trPr>
        <w:tc>
          <w:tcPr>
            <w:tcW w:w="2204" w:type="pct"/>
            <w:shd w:val="clear" w:color="auto" w:fill="auto"/>
            <w:vAlign w:val="center"/>
            <w:hideMark/>
          </w:tcPr>
          <w:p w14:paraId="1C34A056" w14:textId="77777777" w:rsidR="00A11DB5" w:rsidRPr="00E667AD" w:rsidRDefault="00A11DB5" w:rsidP="00E667A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z</w:t>
            </w:r>
            <w:r w:rsidR="00430901"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 xml:space="preserve"> </w:t>
            </w: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toho: úroky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29F7C688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44 975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2188073B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41 055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A8A2245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50 564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2051A7FB" w14:textId="77777777" w:rsidR="00A11DB5" w:rsidRPr="00E667AD" w:rsidRDefault="00A11DB5" w:rsidP="00E667AD">
            <w:pPr>
              <w:spacing w:after="0" w:line="240" w:lineRule="auto"/>
              <w:ind w:right="256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48 292</w:t>
            </w:r>
          </w:p>
        </w:tc>
      </w:tr>
      <w:tr w:rsidR="00A11DB5" w:rsidRPr="00E667AD" w14:paraId="6F266325" w14:textId="77777777" w:rsidTr="00E667AD">
        <w:trPr>
          <w:trHeight w:val="227"/>
        </w:trPr>
        <w:tc>
          <w:tcPr>
            <w:tcW w:w="2204" w:type="pct"/>
            <w:shd w:val="clear" w:color="auto" w:fill="auto"/>
            <w:vAlign w:val="center"/>
            <w:hideMark/>
          </w:tcPr>
          <w:p w14:paraId="373B427B" w14:textId="77777777" w:rsidR="00A11DB5" w:rsidRPr="00E667AD" w:rsidRDefault="00A11DB5" w:rsidP="00E667AD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Podíl úroků na HDP (%)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7722AD8" w14:textId="77777777" w:rsidR="00A11DB5" w:rsidRPr="00E667AD" w:rsidRDefault="00A11DB5" w:rsidP="00E667AD">
            <w:pPr>
              <w:spacing w:after="0" w:line="240" w:lineRule="auto"/>
              <w:ind w:right="-28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1,18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1E28937" w14:textId="77777777" w:rsidR="00A11DB5" w:rsidRPr="00E667AD" w:rsidRDefault="00A11DB5" w:rsidP="00E667AD">
            <w:pPr>
              <w:spacing w:after="0" w:line="240" w:lineRule="auto"/>
              <w:ind w:right="-28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1,07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1AB700CA" w14:textId="77777777" w:rsidR="00A11DB5" w:rsidRPr="00E667AD" w:rsidRDefault="00A11DB5" w:rsidP="00E667AD">
            <w:pPr>
              <w:spacing w:after="0" w:line="240" w:lineRule="auto"/>
              <w:ind w:right="-28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1,31</w:t>
            </w:r>
          </w:p>
        </w:tc>
        <w:tc>
          <w:tcPr>
            <w:tcW w:w="699" w:type="pct"/>
            <w:shd w:val="clear" w:color="auto" w:fill="auto"/>
            <w:vAlign w:val="center"/>
            <w:hideMark/>
          </w:tcPr>
          <w:p w14:paraId="79A5F7F5" w14:textId="77777777" w:rsidR="00A11DB5" w:rsidRPr="00E667AD" w:rsidRDefault="00A11DB5" w:rsidP="00E667AD">
            <w:pPr>
              <w:spacing w:after="0" w:line="240" w:lineRule="auto"/>
              <w:ind w:right="-28"/>
              <w:jc w:val="right"/>
              <w:rPr>
                <w:rFonts w:ascii="Calibri" w:hAnsi="Calibri" w:cs="Calibri"/>
                <w:sz w:val="20"/>
                <w:szCs w:val="20"/>
                <w:lang w:eastAsia="cs-CZ"/>
              </w:rPr>
            </w:pPr>
            <w:r w:rsidRPr="00E667AD">
              <w:rPr>
                <w:rFonts w:ascii="Calibri" w:hAnsi="Calibri" w:cs="Calibri"/>
                <w:sz w:val="20"/>
                <w:szCs w:val="20"/>
                <w:lang w:eastAsia="cs-CZ"/>
              </w:rPr>
              <w:t>1,13</w:t>
            </w:r>
          </w:p>
        </w:tc>
      </w:tr>
    </w:tbl>
    <w:p w14:paraId="2EB66712" w14:textId="48E993CE" w:rsidR="00A11DB5" w:rsidRPr="00430901" w:rsidRDefault="00A11DB5" w:rsidP="00E667AD">
      <w:pPr>
        <w:spacing w:before="40" w:after="0" w:line="240" w:lineRule="auto"/>
        <w:rPr>
          <w:rFonts w:ascii="Calibri" w:eastAsia="Calibri" w:hAnsi="Calibri" w:cs="Calibri"/>
          <w:sz w:val="20"/>
          <w:szCs w:val="20"/>
          <w:lang w:eastAsia="cs-CZ"/>
        </w:rPr>
      </w:pPr>
      <w:r w:rsidRPr="00166B7D">
        <w:rPr>
          <w:rFonts w:ascii="Calibri" w:eastAsia="Calibri" w:hAnsi="Calibri" w:cs="Calibri"/>
          <w:b/>
          <w:sz w:val="20"/>
          <w:szCs w:val="20"/>
          <w:lang w:eastAsia="cs-CZ"/>
        </w:rPr>
        <w:t>Zdroj:</w:t>
      </w:r>
      <w:r w:rsidRPr="00430901">
        <w:rPr>
          <w:rFonts w:ascii="Calibri" w:eastAsia="Calibri" w:hAnsi="Calibri" w:cs="Calibri"/>
          <w:sz w:val="20"/>
          <w:szCs w:val="20"/>
          <w:lang w:eastAsia="cs-CZ"/>
        </w:rPr>
        <w:t xml:space="preserve"> </w:t>
      </w:r>
      <w:r w:rsidR="00E414A1">
        <w:rPr>
          <w:rFonts w:ascii="Calibri" w:eastAsia="Calibri" w:hAnsi="Calibri" w:cs="Calibri"/>
          <w:sz w:val="20"/>
          <w:szCs w:val="20"/>
          <w:lang w:eastAsia="cs-CZ"/>
        </w:rPr>
        <w:t>z</w:t>
      </w:r>
      <w:r w:rsidR="009435F8" w:rsidRPr="00430901">
        <w:rPr>
          <w:rFonts w:ascii="Calibri" w:eastAsia="Calibri" w:hAnsi="Calibri" w:cs="Calibri"/>
          <w:sz w:val="20"/>
          <w:szCs w:val="20"/>
          <w:lang w:eastAsia="cs-CZ"/>
        </w:rPr>
        <w:t>ávěrečný účet rozpočtov</w:t>
      </w:r>
      <w:r w:rsidR="003B7716">
        <w:rPr>
          <w:rFonts w:ascii="Calibri" w:eastAsia="Calibri" w:hAnsi="Calibri" w:cs="Calibri"/>
          <w:sz w:val="20"/>
          <w:szCs w:val="20"/>
          <w:lang w:eastAsia="cs-CZ"/>
        </w:rPr>
        <w:t>é</w:t>
      </w:r>
      <w:r w:rsidR="009435F8" w:rsidRPr="00430901">
        <w:rPr>
          <w:rFonts w:ascii="Calibri" w:eastAsia="Calibri" w:hAnsi="Calibri" w:cs="Calibri"/>
          <w:sz w:val="20"/>
          <w:szCs w:val="20"/>
          <w:lang w:eastAsia="cs-CZ"/>
        </w:rPr>
        <w:t xml:space="preserve"> kapitol</w:t>
      </w:r>
      <w:r w:rsidR="003B7716">
        <w:rPr>
          <w:rFonts w:ascii="Calibri" w:eastAsia="Calibri" w:hAnsi="Calibri" w:cs="Calibri"/>
          <w:sz w:val="20"/>
          <w:szCs w:val="20"/>
          <w:lang w:eastAsia="cs-CZ"/>
        </w:rPr>
        <w:t>y</w:t>
      </w:r>
      <w:r w:rsidR="009435F8" w:rsidRPr="00430901">
        <w:rPr>
          <w:rFonts w:ascii="Calibri" w:eastAsia="Calibri" w:hAnsi="Calibri" w:cs="Calibri"/>
          <w:sz w:val="20"/>
          <w:szCs w:val="20"/>
          <w:lang w:eastAsia="cs-CZ"/>
        </w:rPr>
        <w:t xml:space="preserve"> 396</w:t>
      </w:r>
      <w:r w:rsidR="00E414A1">
        <w:rPr>
          <w:rFonts w:ascii="Calibri" w:eastAsia="Calibri" w:hAnsi="Calibri" w:cs="Calibri"/>
          <w:sz w:val="20"/>
          <w:szCs w:val="20"/>
          <w:lang w:eastAsia="cs-CZ"/>
        </w:rPr>
        <w:t> –</w:t>
      </w:r>
      <w:r w:rsidR="00C96771">
        <w:rPr>
          <w:rFonts w:ascii="Calibri" w:eastAsia="Calibri" w:hAnsi="Calibri" w:cs="Calibri"/>
          <w:sz w:val="20"/>
          <w:szCs w:val="20"/>
          <w:lang w:eastAsia="cs-CZ"/>
        </w:rPr>
        <w:t xml:space="preserve"> </w:t>
      </w:r>
      <w:r w:rsidR="009435F8" w:rsidRPr="000D5096">
        <w:rPr>
          <w:rFonts w:ascii="Calibri" w:eastAsia="Calibri" w:hAnsi="Calibri" w:cs="Calibri"/>
          <w:i/>
          <w:sz w:val="20"/>
          <w:szCs w:val="20"/>
          <w:lang w:eastAsia="cs-CZ"/>
        </w:rPr>
        <w:t>Státní dluh</w:t>
      </w:r>
      <w:r w:rsidR="009435F8" w:rsidRPr="00430901">
        <w:rPr>
          <w:rFonts w:ascii="Calibri" w:eastAsia="Calibri" w:hAnsi="Calibri" w:cs="Calibri"/>
          <w:sz w:val="20"/>
          <w:szCs w:val="20"/>
          <w:lang w:eastAsia="cs-CZ"/>
        </w:rPr>
        <w:t xml:space="preserve"> za rok 2014</w:t>
      </w:r>
      <w:r w:rsidR="00430901">
        <w:rPr>
          <w:rFonts w:ascii="Calibri" w:eastAsia="Calibri" w:hAnsi="Calibri" w:cs="Calibri"/>
          <w:sz w:val="20"/>
          <w:szCs w:val="20"/>
          <w:lang w:eastAsia="cs-CZ"/>
        </w:rPr>
        <w:t>.</w:t>
      </w:r>
    </w:p>
    <w:p w14:paraId="269CF548" w14:textId="580441D5" w:rsidR="000B271B" w:rsidRPr="0058191E" w:rsidRDefault="000B271B" w:rsidP="0005132E">
      <w:pPr>
        <w:spacing w:after="0" w:line="240" w:lineRule="auto"/>
        <w:ind w:left="142" w:hanging="142"/>
        <w:jc w:val="both"/>
        <w:rPr>
          <w:rFonts w:cstheme="minorHAnsi"/>
        </w:rPr>
      </w:pPr>
      <w:r w:rsidRPr="0005132E">
        <w:rPr>
          <w:rFonts w:cstheme="minorHAnsi"/>
          <w:b/>
          <w:sz w:val="20"/>
          <w:szCs w:val="20"/>
          <w:vertAlign w:val="superscript"/>
        </w:rPr>
        <w:t>1</w:t>
      </w:r>
      <w:r w:rsidR="0005132E">
        <w:rPr>
          <w:rFonts w:cstheme="minorHAnsi"/>
          <w:b/>
          <w:sz w:val="20"/>
          <w:szCs w:val="20"/>
          <w:vertAlign w:val="superscript"/>
        </w:rPr>
        <w:tab/>
      </w:r>
      <w:r w:rsidRPr="0058191E">
        <w:rPr>
          <w:rFonts w:cstheme="minorHAnsi"/>
          <w:sz w:val="20"/>
          <w:szCs w:val="20"/>
        </w:rPr>
        <w:t>Hlavní složkou příjmů v</w:t>
      </w:r>
      <w:r w:rsidR="00BD03CD">
        <w:rPr>
          <w:rFonts w:cstheme="minorHAnsi"/>
          <w:sz w:val="20"/>
          <w:szCs w:val="20"/>
        </w:rPr>
        <w:t xml:space="preserve"> </w:t>
      </w:r>
      <w:r w:rsidRPr="0058191E">
        <w:rPr>
          <w:rFonts w:cstheme="minorHAnsi"/>
          <w:sz w:val="20"/>
          <w:szCs w:val="20"/>
        </w:rPr>
        <w:t>roce 2014 byly příjmy z</w:t>
      </w:r>
      <w:r w:rsidR="00BD03CD">
        <w:rPr>
          <w:rFonts w:cstheme="minorHAnsi"/>
          <w:sz w:val="20"/>
          <w:szCs w:val="20"/>
        </w:rPr>
        <w:t xml:space="preserve"> </w:t>
      </w:r>
      <w:r w:rsidRPr="0058191E">
        <w:rPr>
          <w:rFonts w:cstheme="minorHAnsi"/>
          <w:sz w:val="20"/>
          <w:szCs w:val="20"/>
        </w:rPr>
        <w:t>SDD (zejména prémie spojené s</w:t>
      </w:r>
      <w:r w:rsidR="00BD03CD">
        <w:rPr>
          <w:rFonts w:cstheme="minorHAnsi"/>
          <w:sz w:val="20"/>
          <w:szCs w:val="20"/>
        </w:rPr>
        <w:t xml:space="preserve"> </w:t>
      </w:r>
      <w:r w:rsidRPr="0058191E">
        <w:rPr>
          <w:rFonts w:cstheme="minorHAnsi"/>
          <w:sz w:val="20"/>
          <w:szCs w:val="20"/>
        </w:rPr>
        <w:t>emisemi SDD).</w:t>
      </w:r>
    </w:p>
    <w:p w14:paraId="6E7A9987" w14:textId="77777777" w:rsidR="000E58CE" w:rsidRPr="00E667AD" w:rsidRDefault="000E58CE" w:rsidP="00E667AD">
      <w:pPr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7060D018" w14:textId="77777777" w:rsidR="00EB052F" w:rsidRPr="00E667AD" w:rsidRDefault="00EB052F" w:rsidP="00E667AD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E667AD">
        <w:rPr>
          <w:rFonts w:ascii="Calibri" w:hAnsi="Calibri" w:cs="Calibri"/>
          <w:color w:val="000000" w:themeColor="text1"/>
          <w:sz w:val="24"/>
          <w:szCs w:val="24"/>
        </w:rPr>
        <w:t>V</w:t>
      </w:r>
      <w:r w:rsidR="00BD03CD" w:rsidRPr="00E667AD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E667AD">
        <w:rPr>
          <w:rFonts w:ascii="Calibri" w:hAnsi="Calibri" w:cs="Calibri"/>
          <w:color w:val="000000" w:themeColor="text1"/>
          <w:sz w:val="24"/>
          <w:szCs w:val="24"/>
        </w:rPr>
        <w:t>průběhu kontrolní akce byly na základě vyhodnocení rizik a významnosti prověřeny úrokové výdaje v celkové výši 17,5 mld. Kč, emise a splátky jistin dluhových cenných papírů a úvěrů v</w:t>
      </w:r>
      <w:r w:rsidR="00F27498" w:rsidRPr="00E667AD">
        <w:rPr>
          <w:rFonts w:ascii="Calibri" w:hAnsi="Calibri" w:cs="Calibri"/>
          <w:color w:val="000000" w:themeColor="text1"/>
          <w:sz w:val="24"/>
          <w:szCs w:val="24"/>
        </w:rPr>
        <w:t> </w:t>
      </w:r>
      <w:r w:rsidRPr="00E667AD">
        <w:rPr>
          <w:rFonts w:ascii="Calibri" w:hAnsi="Calibri" w:cs="Calibri"/>
          <w:color w:val="000000" w:themeColor="text1"/>
          <w:sz w:val="24"/>
          <w:szCs w:val="24"/>
        </w:rPr>
        <w:t xml:space="preserve">celkové hodnotě 220,6 mld. Kč hrazené v kontrolovaném období.  </w:t>
      </w:r>
    </w:p>
    <w:p w14:paraId="4D1C12E4" w14:textId="77777777" w:rsidR="00EB052F" w:rsidRPr="00E667AD" w:rsidRDefault="00EB052F" w:rsidP="00E667AD">
      <w:pPr>
        <w:spacing w:after="0" w:line="240" w:lineRule="auto"/>
        <w:rPr>
          <w:rFonts w:ascii="Calibri" w:hAnsi="Calibri" w:cs="Calibri"/>
          <w:b/>
          <w:color w:val="000000" w:themeColor="text1"/>
          <w:sz w:val="24"/>
          <w:szCs w:val="24"/>
        </w:rPr>
      </w:pPr>
    </w:p>
    <w:p w14:paraId="490D9D81" w14:textId="112EE250" w:rsidR="00275749" w:rsidRDefault="00275749">
      <w:pPr>
        <w:rPr>
          <w:rFonts w:ascii="Calibri" w:hAnsi="Calibri" w:cs="Calibri"/>
          <w:b/>
          <w:color w:val="000000" w:themeColor="text1"/>
          <w:sz w:val="24"/>
          <w:szCs w:val="24"/>
        </w:rPr>
      </w:pPr>
      <w:r>
        <w:rPr>
          <w:rFonts w:ascii="Calibri" w:hAnsi="Calibri" w:cs="Calibri"/>
          <w:b/>
          <w:color w:val="000000" w:themeColor="text1"/>
          <w:sz w:val="24"/>
          <w:szCs w:val="24"/>
        </w:rPr>
        <w:br w:type="page"/>
      </w:r>
    </w:p>
    <w:p w14:paraId="2A602E30" w14:textId="77777777" w:rsidR="00925465" w:rsidRDefault="00925465" w:rsidP="00925465">
      <w:pPr>
        <w:spacing w:after="0" w:line="240" w:lineRule="auto"/>
        <w:ind w:left="567" w:hanging="567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526F62">
        <w:rPr>
          <w:rFonts w:cstheme="minorHAnsi"/>
          <w:b/>
          <w:color w:val="000000" w:themeColor="text1"/>
          <w:sz w:val="28"/>
          <w:szCs w:val="28"/>
        </w:rPr>
        <w:lastRenderedPageBreak/>
        <w:t>II. Shrnutí a vyhodnocení skutečností zjištěných při kontrole</w:t>
      </w:r>
    </w:p>
    <w:p w14:paraId="46D8B67D" w14:textId="77777777" w:rsidR="00EF5DA2" w:rsidRDefault="00EF5DA2" w:rsidP="00E711E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2DDA517" w14:textId="55F05A62" w:rsidR="00E711E3" w:rsidRPr="00F430D3" w:rsidRDefault="00925465" w:rsidP="00E711E3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sz w:val="24"/>
          <w:szCs w:val="24"/>
        </w:rPr>
        <w:t>MF postupovalo v</w:t>
      </w:r>
      <w:r w:rsidR="00BD03C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kontrolovaném období v</w:t>
      </w:r>
      <w:r w:rsidR="00BD03C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souladu s</w:t>
      </w:r>
      <w:r w:rsidR="00BD03C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právními předpisy </w:t>
      </w:r>
      <w:r w:rsidR="00FB1932">
        <w:rPr>
          <w:rFonts w:cstheme="minorHAnsi"/>
          <w:sz w:val="24"/>
          <w:szCs w:val="24"/>
        </w:rPr>
        <w:t>s</w:t>
      </w:r>
      <w:r w:rsidR="00BD03CD">
        <w:rPr>
          <w:rFonts w:cstheme="minorHAnsi"/>
          <w:sz w:val="24"/>
          <w:szCs w:val="24"/>
        </w:rPr>
        <w:t xml:space="preserve"> </w:t>
      </w:r>
      <w:r w:rsidR="00FB1932">
        <w:rPr>
          <w:rFonts w:cstheme="minorHAnsi"/>
          <w:sz w:val="24"/>
          <w:szCs w:val="24"/>
        </w:rPr>
        <w:t xml:space="preserve">výjimkou nevýznamného </w:t>
      </w:r>
      <w:r>
        <w:rPr>
          <w:rFonts w:cstheme="minorHAnsi"/>
          <w:sz w:val="24"/>
          <w:szCs w:val="24"/>
        </w:rPr>
        <w:t xml:space="preserve">pochybení při inventarizaci některých bankovních účtů. MF </w:t>
      </w:r>
      <w:r w:rsidR="006F0F6A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plnilo opatření přijatá </w:t>
      </w:r>
      <w:r w:rsidR="0005132E">
        <w:rPr>
          <w:rFonts w:cstheme="minorHAnsi"/>
          <w:sz w:val="24"/>
          <w:szCs w:val="24"/>
        </w:rPr>
        <w:t xml:space="preserve">k odstranění nedostatků zjištěných při </w:t>
      </w:r>
      <w:r>
        <w:rPr>
          <w:rFonts w:cstheme="minorHAnsi"/>
          <w:sz w:val="24"/>
          <w:szCs w:val="24"/>
        </w:rPr>
        <w:t>předchozí kontrolní akc</w:t>
      </w:r>
      <w:r w:rsidR="0005132E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 č. 10/11. </w:t>
      </w:r>
      <w:r w:rsidR="00526F62" w:rsidRPr="00526F62">
        <w:rPr>
          <w:rFonts w:cstheme="minorHAnsi"/>
          <w:sz w:val="24"/>
          <w:szCs w:val="24"/>
        </w:rPr>
        <w:t>Řízení státního dluhu vykazuj</w:t>
      </w:r>
      <w:r w:rsidR="00526F62">
        <w:rPr>
          <w:rFonts w:cstheme="minorHAnsi"/>
          <w:sz w:val="24"/>
          <w:szCs w:val="24"/>
        </w:rPr>
        <w:t>e</w:t>
      </w:r>
      <w:r w:rsidR="00526F62" w:rsidRPr="00526F62">
        <w:rPr>
          <w:rFonts w:cstheme="minorHAnsi"/>
          <w:sz w:val="24"/>
          <w:szCs w:val="24"/>
        </w:rPr>
        <w:t xml:space="preserve"> v</w:t>
      </w:r>
      <w:r w:rsidR="00BD03CD">
        <w:rPr>
          <w:rFonts w:cstheme="minorHAnsi"/>
          <w:sz w:val="24"/>
          <w:szCs w:val="24"/>
        </w:rPr>
        <w:t xml:space="preserve"> </w:t>
      </w:r>
      <w:r w:rsidR="00526F62" w:rsidRPr="00526F62">
        <w:rPr>
          <w:rFonts w:cstheme="minorHAnsi"/>
          <w:sz w:val="24"/>
          <w:szCs w:val="24"/>
        </w:rPr>
        <w:t>kontrolovaném období posun k</w:t>
      </w:r>
      <w:r w:rsidR="0005132E">
        <w:rPr>
          <w:rFonts w:cstheme="minorHAnsi"/>
          <w:sz w:val="24"/>
          <w:szCs w:val="24"/>
        </w:rPr>
        <w:t> vyšší efektivitě</w:t>
      </w:r>
      <w:r w:rsidR="00526F62" w:rsidRPr="00526F62">
        <w:rPr>
          <w:rFonts w:cstheme="minorHAnsi"/>
          <w:sz w:val="24"/>
          <w:szCs w:val="24"/>
        </w:rPr>
        <w:t xml:space="preserve"> správ</w:t>
      </w:r>
      <w:r w:rsidR="0005132E">
        <w:rPr>
          <w:rFonts w:cstheme="minorHAnsi"/>
          <w:sz w:val="24"/>
          <w:szCs w:val="24"/>
        </w:rPr>
        <w:t>y</w:t>
      </w:r>
      <w:r w:rsidR="00526F62" w:rsidRPr="00526F62">
        <w:rPr>
          <w:rFonts w:cstheme="minorHAnsi"/>
          <w:sz w:val="24"/>
          <w:szCs w:val="24"/>
        </w:rPr>
        <w:t xml:space="preserve"> státního dluhu. </w:t>
      </w:r>
    </w:p>
    <w:p w14:paraId="0C13285E" w14:textId="77777777" w:rsidR="00925465" w:rsidRDefault="00925465" w:rsidP="0092546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005CCA" w14:textId="50EA8886" w:rsidR="00925465" w:rsidRPr="00F430D3" w:rsidRDefault="00925465" w:rsidP="0092546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BD03C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roce 2014 došlo v</w:t>
      </w:r>
      <w:r w:rsidR="00BD03C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rozpočtu kapitoly SD opět k</w:t>
      </w:r>
      <w:r w:rsidR="00BD03C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postupu opakovaně kritizovanému ze strany NKÚ, kdy nečerpané úrokové výdaje byly ve výši 5,1 mld. Kč využity k</w:t>
      </w:r>
      <w:r w:rsidR="00BD03C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převodům do rozpočtů jiných kapitol státního rozpočtu</w:t>
      </w:r>
      <w:r w:rsidR="004C2361">
        <w:rPr>
          <w:rFonts w:cstheme="minorHAnsi"/>
          <w:sz w:val="24"/>
          <w:szCs w:val="24"/>
        </w:rPr>
        <w:t>.</w:t>
      </w:r>
      <w:r w:rsidR="004C2361" w:rsidRPr="004C2361">
        <w:rPr>
          <w:rFonts w:cstheme="minorHAnsi"/>
          <w:sz w:val="24"/>
          <w:szCs w:val="24"/>
        </w:rPr>
        <w:t xml:space="preserve"> </w:t>
      </w:r>
      <w:r w:rsidR="00132DD5">
        <w:rPr>
          <w:rFonts w:cstheme="minorHAnsi"/>
          <w:sz w:val="24"/>
          <w:szCs w:val="24"/>
        </w:rPr>
        <w:t>O částce 1,7 mld. Kč rozhodla vláda</w:t>
      </w:r>
      <w:r w:rsidR="001E6B2D">
        <w:rPr>
          <w:rFonts w:cstheme="minorHAnsi"/>
          <w:sz w:val="24"/>
          <w:szCs w:val="24"/>
        </w:rPr>
        <w:t>,</w:t>
      </w:r>
      <w:r w:rsidR="00132DD5">
        <w:rPr>
          <w:rFonts w:cstheme="minorHAnsi"/>
          <w:sz w:val="24"/>
          <w:szCs w:val="24"/>
        </w:rPr>
        <w:t xml:space="preserve"> </w:t>
      </w:r>
      <w:r w:rsidR="001E6B2D">
        <w:rPr>
          <w:rFonts w:cstheme="minorHAnsi"/>
          <w:sz w:val="24"/>
          <w:szCs w:val="24"/>
        </w:rPr>
        <w:t>m</w:t>
      </w:r>
      <w:r w:rsidR="004C2361">
        <w:rPr>
          <w:rFonts w:cstheme="minorHAnsi"/>
          <w:sz w:val="24"/>
          <w:szCs w:val="24"/>
        </w:rPr>
        <w:t xml:space="preserve">inistr financí povolil </w:t>
      </w:r>
      <w:r w:rsidR="004C2361" w:rsidRPr="00F430D3">
        <w:rPr>
          <w:rFonts w:cstheme="minorHAnsi"/>
          <w:sz w:val="24"/>
          <w:szCs w:val="24"/>
        </w:rPr>
        <w:t xml:space="preserve">rozpočtová opatření </w:t>
      </w:r>
      <w:r w:rsidR="004C2361">
        <w:rPr>
          <w:rFonts w:cstheme="minorHAnsi"/>
          <w:sz w:val="24"/>
          <w:szCs w:val="24"/>
        </w:rPr>
        <w:t xml:space="preserve">ve výši 3,4 mld. Kč, </w:t>
      </w:r>
      <w:r w:rsidR="004C2361" w:rsidRPr="00526F62">
        <w:rPr>
          <w:rFonts w:cstheme="minorHAnsi"/>
          <w:sz w:val="24"/>
          <w:szCs w:val="24"/>
        </w:rPr>
        <w:t>z</w:t>
      </w:r>
      <w:r w:rsidR="00BD03CD">
        <w:rPr>
          <w:rFonts w:cstheme="minorHAnsi"/>
          <w:sz w:val="24"/>
          <w:szCs w:val="24"/>
        </w:rPr>
        <w:t xml:space="preserve"> </w:t>
      </w:r>
      <w:r w:rsidR="004C2361" w:rsidRPr="00526F62">
        <w:rPr>
          <w:rFonts w:cstheme="minorHAnsi"/>
          <w:sz w:val="24"/>
          <w:szCs w:val="24"/>
        </w:rPr>
        <w:t>toho 92 % prostředků směřovalo do kapitol spravovaných MF</w:t>
      </w:r>
      <w:r>
        <w:rPr>
          <w:rFonts w:cstheme="minorHAnsi"/>
          <w:sz w:val="24"/>
          <w:szCs w:val="24"/>
        </w:rPr>
        <w:t>. Na tuto skutečnost NKÚ upozorňoval mj. i v</w:t>
      </w:r>
      <w:r w:rsidR="0005132E">
        <w:rPr>
          <w:rFonts w:cstheme="minorHAnsi"/>
          <w:sz w:val="24"/>
          <w:szCs w:val="24"/>
        </w:rPr>
        <w:t> kontrolním</w:t>
      </w:r>
      <w:r w:rsidR="00BD03C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závěru </w:t>
      </w:r>
      <w:r w:rsidR="0005132E">
        <w:rPr>
          <w:rFonts w:cstheme="minorHAnsi"/>
          <w:sz w:val="24"/>
          <w:szCs w:val="24"/>
        </w:rPr>
        <w:t>z </w:t>
      </w:r>
      <w:r>
        <w:rPr>
          <w:rFonts w:cstheme="minorHAnsi"/>
          <w:sz w:val="24"/>
          <w:szCs w:val="24"/>
        </w:rPr>
        <w:t>kontrolní akce č. 14/14</w:t>
      </w:r>
      <w:r w:rsidR="006F0F6A">
        <w:rPr>
          <w:rStyle w:val="Znakapoznpodarou"/>
          <w:rFonts w:cstheme="minorHAnsi"/>
          <w:sz w:val="24"/>
          <w:szCs w:val="24"/>
        </w:rPr>
        <w:footnoteReference w:id="6"/>
      </w:r>
      <w:r>
        <w:rPr>
          <w:rFonts w:cstheme="minorHAnsi"/>
          <w:sz w:val="24"/>
          <w:szCs w:val="24"/>
        </w:rPr>
        <w:t>.</w:t>
      </w:r>
    </w:p>
    <w:p w14:paraId="66F49C85" w14:textId="77777777" w:rsidR="00925465" w:rsidRPr="00F430D3" w:rsidRDefault="00925465" w:rsidP="0092546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125817E" w14:textId="00C83440" w:rsidR="001A102A" w:rsidRDefault="005E3036" w:rsidP="0092546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MF vytváří </w:t>
      </w:r>
      <w:r>
        <w:rPr>
          <w:rFonts w:cstheme="minorHAnsi"/>
          <w:sz w:val="24"/>
          <w:szCs w:val="24"/>
        </w:rPr>
        <w:t>rezervu</w:t>
      </w:r>
      <w:r w:rsidRPr="00F430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peněžních</w:t>
      </w:r>
      <w:r w:rsidRPr="00F430D3">
        <w:rPr>
          <w:rFonts w:cstheme="minorHAnsi"/>
          <w:sz w:val="24"/>
          <w:szCs w:val="24"/>
        </w:rPr>
        <w:t xml:space="preserve"> prostředků </w:t>
      </w:r>
      <w:r w:rsidRPr="00411695">
        <w:rPr>
          <w:rFonts w:ascii="Calibri" w:hAnsi="Calibri" w:cs="Calibri"/>
          <w:sz w:val="24"/>
          <w:szCs w:val="24"/>
        </w:rPr>
        <w:t>pro vyloučení rizik</w:t>
      </w:r>
      <w:r>
        <w:rPr>
          <w:rFonts w:ascii="Calibri" w:hAnsi="Calibri" w:cs="Calibri"/>
          <w:sz w:val="24"/>
          <w:szCs w:val="24"/>
        </w:rPr>
        <w:t xml:space="preserve"> souvisejících s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financováním schodku státního rozpočtu a státního dluhu</w:t>
      </w:r>
      <w:r w:rsidR="00DA6EFD">
        <w:rPr>
          <w:rFonts w:ascii="Calibri" w:hAnsi="Calibri" w:cs="Calibri"/>
          <w:sz w:val="24"/>
          <w:szCs w:val="24"/>
        </w:rPr>
        <w:t>.</w:t>
      </w:r>
      <w:r w:rsidRPr="00F430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</w:t>
      </w:r>
      <w:r w:rsidR="00BD03C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rezervy vytvořené v</w:t>
      </w:r>
      <w:r w:rsidR="00BD03C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minulých letech</w:t>
      </w:r>
      <w:r w:rsidR="00DA6EFD">
        <w:rPr>
          <w:rFonts w:cstheme="minorHAnsi"/>
          <w:sz w:val="24"/>
          <w:szCs w:val="24"/>
        </w:rPr>
        <w:t xml:space="preserve">, kdy </w:t>
      </w:r>
      <w:r w:rsidR="00477802" w:rsidRPr="00F430D3">
        <w:rPr>
          <w:rFonts w:cstheme="minorHAnsi"/>
          <w:sz w:val="24"/>
          <w:szCs w:val="24"/>
        </w:rPr>
        <w:t>dosáhla maxima</w:t>
      </w:r>
      <w:r w:rsidR="00132DD5">
        <w:rPr>
          <w:rFonts w:cstheme="minorHAnsi"/>
          <w:sz w:val="24"/>
          <w:szCs w:val="24"/>
        </w:rPr>
        <w:t xml:space="preserve"> ve výši</w:t>
      </w:r>
      <w:r w:rsidR="00477802" w:rsidRPr="00F430D3">
        <w:rPr>
          <w:rFonts w:cstheme="minorHAnsi"/>
          <w:sz w:val="24"/>
          <w:szCs w:val="24"/>
        </w:rPr>
        <w:t xml:space="preserve"> </w:t>
      </w:r>
      <w:r w:rsidR="00477802">
        <w:rPr>
          <w:rFonts w:cstheme="minorHAnsi"/>
          <w:sz w:val="24"/>
          <w:szCs w:val="24"/>
        </w:rPr>
        <w:t>139,9 mld.</w:t>
      </w:r>
      <w:r w:rsidR="00477802" w:rsidRPr="00F430D3">
        <w:rPr>
          <w:rFonts w:cstheme="minorHAnsi"/>
          <w:sz w:val="24"/>
          <w:szCs w:val="24"/>
        </w:rPr>
        <w:t xml:space="preserve"> Kč v</w:t>
      </w:r>
      <w:r w:rsidR="00BD03CD">
        <w:rPr>
          <w:rFonts w:cstheme="minorHAnsi"/>
          <w:sz w:val="24"/>
          <w:szCs w:val="24"/>
        </w:rPr>
        <w:t xml:space="preserve"> </w:t>
      </w:r>
      <w:r w:rsidR="00477802" w:rsidRPr="00F430D3">
        <w:rPr>
          <w:rFonts w:cstheme="minorHAnsi"/>
          <w:sz w:val="24"/>
          <w:szCs w:val="24"/>
        </w:rPr>
        <w:t>roce 2012</w:t>
      </w:r>
      <w:r w:rsidR="00477802">
        <w:rPr>
          <w:rFonts w:cstheme="minorHAnsi"/>
          <w:sz w:val="24"/>
          <w:szCs w:val="24"/>
        </w:rPr>
        <w:t xml:space="preserve">, </w:t>
      </w:r>
      <w:r w:rsidR="00925465" w:rsidRPr="00F430D3">
        <w:rPr>
          <w:rFonts w:cstheme="minorHAnsi"/>
          <w:sz w:val="24"/>
          <w:szCs w:val="24"/>
        </w:rPr>
        <w:t xml:space="preserve">využilo </w:t>
      </w:r>
      <w:r w:rsidR="00477802" w:rsidRPr="00F430D3">
        <w:rPr>
          <w:rFonts w:cstheme="minorHAnsi"/>
          <w:sz w:val="24"/>
          <w:szCs w:val="24"/>
        </w:rPr>
        <w:t>MF</w:t>
      </w:r>
      <w:r w:rsidR="00477802">
        <w:rPr>
          <w:rFonts w:cstheme="minorHAnsi"/>
          <w:sz w:val="24"/>
          <w:szCs w:val="24"/>
        </w:rPr>
        <w:t xml:space="preserve"> v</w:t>
      </w:r>
      <w:r w:rsidR="00BD03CD">
        <w:rPr>
          <w:rFonts w:cstheme="minorHAnsi"/>
          <w:sz w:val="24"/>
          <w:szCs w:val="24"/>
        </w:rPr>
        <w:t xml:space="preserve"> </w:t>
      </w:r>
      <w:r w:rsidR="00477802">
        <w:rPr>
          <w:rFonts w:cstheme="minorHAnsi"/>
          <w:sz w:val="24"/>
          <w:szCs w:val="24"/>
        </w:rPr>
        <w:t>letech 2013 a 2014</w:t>
      </w:r>
      <w:r w:rsidR="00477802" w:rsidRPr="00F430D3">
        <w:rPr>
          <w:rFonts w:cstheme="minorHAnsi"/>
          <w:sz w:val="24"/>
          <w:szCs w:val="24"/>
        </w:rPr>
        <w:t xml:space="preserve"> </w:t>
      </w:r>
      <w:r w:rsidR="00477802">
        <w:rPr>
          <w:rFonts w:cstheme="minorHAnsi"/>
          <w:sz w:val="24"/>
          <w:szCs w:val="24"/>
        </w:rPr>
        <w:t>celkem</w:t>
      </w:r>
      <w:r w:rsidR="006E4DC5">
        <w:rPr>
          <w:rFonts w:cstheme="minorHAnsi"/>
          <w:sz w:val="24"/>
          <w:szCs w:val="24"/>
        </w:rPr>
        <w:t xml:space="preserve"> </w:t>
      </w:r>
      <w:r w:rsidR="00925465" w:rsidRPr="00F430D3">
        <w:rPr>
          <w:rFonts w:cstheme="minorHAnsi"/>
          <w:sz w:val="24"/>
          <w:szCs w:val="24"/>
        </w:rPr>
        <w:t>128</w:t>
      </w:r>
      <w:r w:rsidR="00925465">
        <w:rPr>
          <w:rFonts w:cstheme="minorHAnsi"/>
          <w:sz w:val="24"/>
          <w:szCs w:val="24"/>
        </w:rPr>
        <w:t xml:space="preserve">,4 </w:t>
      </w:r>
      <w:r w:rsidR="00925465" w:rsidRPr="00F430D3">
        <w:rPr>
          <w:rFonts w:cstheme="minorHAnsi"/>
          <w:sz w:val="24"/>
          <w:szCs w:val="24"/>
        </w:rPr>
        <w:t>m</w:t>
      </w:r>
      <w:r w:rsidR="00925465">
        <w:rPr>
          <w:rFonts w:cstheme="minorHAnsi"/>
          <w:sz w:val="24"/>
          <w:szCs w:val="24"/>
        </w:rPr>
        <w:t xml:space="preserve">ld. </w:t>
      </w:r>
      <w:r w:rsidR="00925465" w:rsidRPr="00F430D3">
        <w:rPr>
          <w:rFonts w:cstheme="minorHAnsi"/>
          <w:sz w:val="24"/>
          <w:szCs w:val="24"/>
        </w:rPr>
        <w:t>Kč (7</w:t>
      </w:r>
      <w:r w:rsidR="00925465">
        <w:rPr>
          <w:rFonts w:cstheme="minorHAnsi"/>
          <w:sz w:val="24"/>
          <w:szCs w:val="24"/>
        </w:rPr>
        <w:t>7,2</w:t>
      </w:r>
      <w:r w:rsidR="00BD03CD">
        <w:rPr>
          <w:rFonts w:cstheme="minorHAnsi"/>
          <w:sz w:val="24"/>
          <w:szCs w:val="24"/>
        </w:rPr>
        <w:t xml:space="preserve"> </w:t>
      </w:r>
      <w:r w:rsidR="00925465" w:rsidRPr="00F430D3">
        <w:rPr>
          <w:rFonts w:cstheme="minorHAnsi"/>
          <w:sz w:val="24"/>
          <w:szCs w:val="24"/>
        </w:rPr>
        <w:t>m</w:t>
      </w:r>
      <w:r w:rsidR="00925465">
        <w:rPr>
          <w:rFonts w:cstheme="minorHAnsi"/>
          <w:sz w:val="24"/>
          <w:szCs w:val="24"/>
        </w:rPr>
        <w:t>ld.</w:t>
      </w:r>
      <w:r w:rsidR="00925465" w:rsidRPr="00F430D3">
        <w:rPr>
          <w:rFonts w:cstheme="minorHAnsi"/>
          <w:sz w:val="24"/>
          <w:szCs w:val="24"/>
        </w:rPr>
        <w:t xml:space="preserve"> Kč v</w:t>
      </w:r>
      <w:r w:rsidR="00925465">
        <w:rPr>
          <w:rFonts w:cstheme="minorHAnsi"/>
          <w:sz w:val="24"/>
          <w:szCs w:val="24"/>
        </w:rPr>
        <w:t xml:space="preserve"> </w:t>
      </w:r>
      <w:r w:rsidR="00925465" w:rsidRPr="00F430D3">
        <w:rPr>
          <w:rFonts w:cstheme="minorHAnsi"/>
          <w:sz w:val="24"/>
          <w:szCs w:val="24"/>
        </w:rPr>
        <w:t>roce 2013 a</w:t>
      </w:r>
      <w:r w:rsidR="00925465">
        <w:rPr>
          <w:rFonts w:cstheme="minorHAnsi"/>
          <w:sz w:val="24"/>
          <w:szCs w:val="24"/>
        </w:rPr>
        <w:t xml:space="preserve"> </w:t>
      </w:r>
      <w:r w:rsidR="00925465" w:rsidRPr="00F430D3">
        <w:rPr>
          <w:rFonts w:cstheme="minorHAnsi"/>
          <w:sz w:val="24"/>
          <w:szCs w:val="24"/>
        </w:rPr>
        <w:t>51</w:t>
      </w:r>
      <w:r w:rsidR="00925465">
        <w:rPr>
          <w:rFonts w:cstheme="minorHAnsi"/>
          <w:sz w:val="24"/>
          <w:szCs w:val="24"/>
        </w:rPr>
        <w:t>,2</w:t>
      </w:r>
      <w:r w:rsidR="00925465" w:rsidRPr="00F430D3">
        <w:rPr>
          <w:rFonts w:cstheme="minorHAnsi"/>
          <w:sz w:val="24"/>
          <w:szCs w:val="24"/>
        </w:rPr>
        <w:t xml:space="preserve"> ml</w:t>
      </w:r>
      <w:r w:rsidR="00925465">
        <w:rPr>
          <w:rFonts w:cstheme="minorHAnsi"/>
          <w:sz w:val="24"/>
          <w:szCs w:val="24"/>
        </w:rPr>
        <w:t>d</w:t>
      </w:r>
      <w:r w:rsidR="00925465" w:rsidRPr="00F430D3">
        <w:rPr>
          <w:rFonts w:cstheme="minorHAnsi"/>
          <w:sz w:val="24"/>
          <w:szCs w:val="24"/>
        </w:rPr>
        <w:t>. Kč v</w:t>
      </w:r>
      <w:r w:rsidR="00925465">
        <w:rPr>
          <w:rFonts w:cstheme="minorHAnsi"/>
          <w:sz w:val="24"/>
          <w:szCs w:val="24"/>
        </w:rPr>
        <w:t xml:space="preserve"> </w:t>
      </w:r>
      <w:r w:rsidR="00925465" w:rsidRPr="00F430D3">
        <w:rPr>
          <w:rFonts w:cstheme="minorHAnsi"/>
          <w:sz w:val="24"/>
          <w:szCs w:val="24"/>
        </w:rPr>
        <w:t>roce 2014).</w:t>
      </w:r>
      <w:r w:rsidR="00925465" w:rsidRPr="00F430D3">
        <w:rPr>
          <w:rFonts w:cstheme="minorHAnsi"/>
          <w:color w:val="000000" w:themeColor="text1"/>
          <w:sz w:val="24"/>
          <w:szCs w:val="24"/>
        </w:rPr>
        <w:t xml:space="preserve"> </w:t>
      </w:r>
      <w:r w:rsidR="00925465">
        <w:rPr>
          <w:rFonts w:cstheme="minorHAnsi"/>
          <w:color w:val="000000" w:themeColor="text1"/>
          <w:sz w:val="24"/>
          <w:szCs w:val="24"/>
        </w:rPr>
        <w:t>Skutečn</w:t>
      </w:r>
      <w:r w:rsidR="006F0F6A">
        <w:rPr>
          <w:rFonts w:cstheme="minorHAnsi"/>
          <w:color w:val="000000" w:themeColor="text1"/>
          <w:sz w:val="24"/>
          <w:szCs w:val="24"/>
        </w:rPr>
        <w:t>á</w:t>
      </w:r>
      <w:r w:rsidR="00925465">
        <w:rPr>
          <w:rFonts w:cstheme="minorHAnsi"/>
          <w:color w:val="000000" w:themeColor="text1"/>
          <w:sz w:val="24"/>
          <w:szCs w:val="24"/>
        </w:rPr>
        <w:t xml:space="preserve"> </w:t>
      </w:r>
      <w:r w:rsidR="006F0F6A">
        <w:rPr>
          <w:rFonts w:cstheme="minorHAnsi"/>
          <w:color w:val="000000" w:themeColor="text1"/>
          <w:sz w:val="24"/>
          <w:szCs w:val="24"/>
        </w:rPr>
        <w:t xml:space="preserve">výše </w:t>
      </w:r>
      <w:r w:rsidR="00925465">
        <w:rPr>
          <w:rFonts w:cstheme="minorHAnsi"/>
          <w:color w:val="000000" w:themeColor="text1"/>
          <w:sz w:val="24"/>
          <w:szCs w:val="24"/>
        </w:rPr>
        <w:t xml:space="preserve">rezervy </w:t>
      </w:r>
      <w:r w:rsidR="00132DD5">
        <w:rPr>
          <w:rFonts w:cstheme="minorHAnsi"/>
          <w:color w:val="000000" w:themeColor="text1"/>
          <w:sz w:val="24"/>
          <w:szCs w:val="24"/>
        </w:rPr>
        <w:t xml:space="preserve">se </w:t>
      </w:r>
      <w:r w:rsidR="00925465">
        <w:rPr>
          <w:rFonts w:cstheme="minorHAnsi"/>
          <w:color w:val="000000" w:themeColor="text1"/>
          <w:sz w:val="24"/>
          <w:szCs w:val="24"/>
        </w:rPr>
        <w:t>v</w:t>
      </w:r>
      <w:r w:rsidR="00BD03CD">
        <w:rPr>
          <w:rFonts w:cstheme="minorHAnsi"/>
          <w:color w:val="000000" w:themeColor="text1"/>
          <w:sz w:val="24"/>
          <w:szCs w:val="24"/>
        </w:rPr>
        <w:t xml:space="preserve"> </w:t>
      </w:r>
      <w:r w:rsidR="00925465">
        <w:rPr>
          <w:rFonts w:cstheme="minorHAnsi"/>
          <w:color w:val="000000" w:themeColor="text1"/>
          <w:sz w:val="24"/>
          <w:szCs w:val="24"/>
        </w:rPr>
        <w:t>těchto letech</w:t>
      </w:r>
      <w:r w:rsidR="00477802">
        <w:rPr>
          <w:rFonts w:cstheme="minorHAnsi"/>
          <w:color w:val="000000" w:themeColor="text1"/>
          <w:sz w:val="24"/>
          <w:szCs w:val="24"/>
        </w:rPr>
        <w:t xml:space="preserve"> </w:t>
      </w:r>
      <w:r w:rsidR="00132DD5">
        <w:rPr>
          <w:rFonts w:cstheme="minorHAnsi"/>
          <w:color w:val="000000" w:themeColor="text1"/>
          <w:sz w:val="24"/>
          <w:szCs w:val="24"/>
        </w:rPr>
        <w:t xml:space="preserve">významně </w:t>
      </w:r>
      <w:r w:rsidR="00925465">
        <w:rPr>
          <w:rFonts w:cstheme="minorHAnsi"/>
          <w:color w:val="000000" w:themeColor="text1"/>
          <w:sz w:val="24"/>
          <w:szCs w:val="24"/>
        </w:rPr>
        <w:t>lišil</w:t>
      </w:r>
      <w:r w:rsidR="006F0F6A">
        <w:rPr>
          <w:rFonts w:cstheme="minorHAnsi"/>
          <w:color w:val="000000" w:themeColor="text1"/>
          <w:sz w:val="24"/>
          <w:szCs w:val="24"/>
        </w:rPr>
        <w:t>a</w:t>
      </w:r>
      <w:r w:rsidR="00925465">
        <w:rPr>
          <w:rFonts w:cstheme="minorHAnsi"/>
          <w:color w:val="000000" w:themeColor="text1"/>
          <w:sz w:val="24"/>
          <w:szCs w:val="24"/>
        </w:rPr>
        <w:t xml:space="preserve"> od plánovaného stavu uváděného ve</w:t>
      </w:r>
      <w:r w:rsidR="00925465" w:rsidRPr="00925465">
        <w:rPr>
          <w:rFonts w:cstheme="minorHAnsi"/>
          <w:color w:val="000000" w:themeColor="text1"/>
          <w:sz w:val="24"/>
          <w:szCs w:val="24"/>
        </w:rPr>
        <w:t xml:space="preserve"> </w:t>
      </w:r>
      <w:r w:rsidR="009B68CE">
        <w:rPr>
          <w:rFonts w:cstheme="minorHAnsi"/>
          <w:color w:val="000000" w:themeColor="text1"/>
          <w:sz w:val="24"/>
          <w:szCs w:val="24"/>
        </w:rPr>
        <w:t>s</w:t>
      </w:r>
      <w:r w:rsidR="00925465">
        <w:rPr>
          <w:rFonts w:cstheme="minorHAnsi"/>
          <w:color w:val="000000" w:themeColor="text1"/>
          <w:sz w:val="24"/>
          <w:szCs w:val="24"/>
        </w:rPr>
        <w:t>trategiích řízení a</w:t>
      </w:r>
      <w:r w:rsidR="00BD03CD">
        <w:rPr>
          <w:rFonts w:cstheme="minorHAnsi"/>
          <w:color w:val="000000" w:themeColor="text1"/>
          <w:sz w:val="24"/>
          <w:szCs w:val="24"/>
        </w:rPr>
        <w:t xml:space="preserve"> </w:t>
      </w:r>
      <w:r w:rsidR="00925465">
        <w:rPr>
          <w:rFonts w:cstheme="minorHAnsi"/>
          <w:color w:val="000000" w:themeColor="text1"/>
          <w:sz w:val="24"/>
          <w:szCs w:val="24"/>
        </w:rPr>
        <w:t xml:space="preserve">financování státního dluhu České republiky. </w:t>
      </w:r>
      <w:r w:rsidR="00FB1932">
        <w:rPr>
          <w:rFonts w:cstheme="minorHAnsi"/>
          <w:color w:val="000000" w:themeColor="text1"/>
          <w:sz w:val="24"/>
          <w:szCs w:val="24"/>
        </w:rPr>
        <w:t>R</w:t>
      </w:r>
      <w:r w:rsidR="00925465" w:rsidRPr="00F430D3">
        <w:rPr>
          <w:rFonts w:cstheme="minorHAnsi"/>
          <w:color w:val="000000" w:themeColor="text1"/>
          <w:sz w:val="24"/>
          <w:szCs w:val="24"/>
        </w:rPr>
        <w:t>ozpočtov</w:t>
      </w:r>
      <w:r w:rsidR="00FB1932">
        <w:rPr>
          <w:rFonts w:cstheme="minorHAnsi"/>
          <w:color w:val="000000" w:themeColor="text1"/>
          <w:sz w:val="24"/>
          <w:szCs w:val="24"/>
        </w:rPr>
        <w:t>á</w:t>
      </w:r>
      <w:r w:rsidR="00925465" w:rsidRPr="00F430D3">
        <w:rPr>
          <w:rFonts w:cstheme="minorHAnsi"/>
          <w:color w:val="000000" w:themeColor="text1"/>
          <w:sz w:val="24"/>
          <w:szCs w:val="24"/>
        </w:rPr>
        <w:t xml:space="preserve"> pravidl</w:t>
      </w:r>
      <w:r w:rsidR="00FB1932">
        <w:rPr>
          <w:rFonts w:cstheme="minorHAnsi"/>
          <w:color w:val="000000" w:themeColor="text1"/>
          <w:sz w:val="24"/>
          <w:szCs w:val="24"/>
        </w:rPr>
        <w:t>a</w:t>
      </w:r>
      <w:r w:rsidR="00925465" w:rsidRPr="00F430D3">
        <w:rPr>
          <w:rFonts w:cstheme="minorHAnsi"/>
          <w:color w:val="000000" w:themeColor="text1"/>
          <w:sz w:val="24"/>
          <w:szCs w:val="24"/>
        </w:rPr>
        <w:t xml:space="preserve"> umožňuj</w:t>
      </w:r>
      <w:r w:rsidR="00FB1932">
        <w:rPr>
          <w:rFonts w:cstheme="minorHAnsi"/>
          <w:color w:val="000000" w:themeColor="text1"/>
          <w:sz w:val="24"/>
          <w:szCs w:val="24"/>
        </w:rPr>
        <w:t>í</w:t>
      </w:r>
      <w:r w:rsidR="00925465" w:rsidRPr="00F430D3">
        <w:rPr>
          <w:rFonts w:cstheme="minorHAnsi"/>
          <w:color w:val="000000" w:themeColor="text1"/>
          <w:sz w:val="24"/>
          <w:szCs w:val="24"/>
        </w:rPr>
        <w:t xml:space="preserve"> MF od února 2015 vydávat státní dluhopisy za účelem vytváření rezervy peněžních prostředků v jakékoliv výši bez nutnosti schvalovacího procesu v</w:t>
      </w:r>
      <w:r w:rsidR="00BD03CD">
        <w:rPr>
          <w:rFonts w:cstheme="minorHAnsi"/>
          <w:color w:val="000000" w:themeColor="text1"/>
          <w:sz w:val="24"/>
          <w:szCs w:val="24"/>
        </w:rPr>
        <w:t xml:space="preserve"> </w:t>
      </w:r>
      <w:r w:rsidR="00925465" w:rsidRPr="00F430D3">
        <w:rPr>
          <w:rFonts w:cstheme="minorHAnsi"/>
          <w:color w:val="000000" w:themeColor="text1"/>
          <w:sz w:val="24"/>
          <w:szCs w:val="24"/>
        </w:rPr>
        <w:t xml:space="preserve">Parlamentu ČR a ani vnitřní předpisy MF žádným způsobem </w:t>
      </w:r>
      <w:r w:rsidR="00FB1932">
        <w:rPr>
          <w:rFonts w:cstheme="minorHAnsi"/>
          <w:color w:val="000000" w:themeColor="text1"/>
          <w:sz w:val="24"/>
          <w:szCs w:val="24"/>
        </w:rPr>
        <w:t xml:space="preserve">tuto oblast </w:t>
      </w:r>
      <w:r w:rsidR="00925465" w:rsidRPr="00F430D3">
        <w:rPr>
          <w:rFonts w:cstheme="minorHAnsi"/>
          <w:color w:val="000000" w:themeColor="text1"/>
          <w:sz w:val="24"/>
          <w:szCs w:val="24"/>
        </w:rPr>
        <w:t>neregulují</w:t>
      </w:r>
      <w:r w:rsidR="00FB1932">
        <w:rPr>
          <w:rFonts w:cstheme="minorHAnsi"/>
          <w:color w:val="000000" w:themeColor="text1"/>
          <w:sz w:val="24"/>
          <w:szCs w:val="24"/>
        </w:rPr>
        <w:t>.</w:t>
      </w:r>
      <w:r w:rsidR="00925465" w:rsidRPr="00F430D3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26E59D2F" w14:textId="77777777" w:rsidR="00854B25" w:rsidRDefault="00854B25" w:rsidP="0092546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1CBE8D1" w14:textId="1B893C24" w:rsidR="00925465" w:rsidRPr="00F430D3" w:rsidRDefault="006F0F6A" w:rsidP="0092546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26F62">
        <w:rPr>
          <w:rFonts w:cstheme="minorHAnsi"/>
          <w:color w:val="000000" w:themeColor="text1"/>
          <w:sz w:val="24"/>
          <w:szCs w:val="24"/>
        </w:rPr>
        <w:t>Využití rezervy peněžních prostředků</w:t>
      </w:r>
      <w:r w:rsidR="00FB1932">
        <w:rPr>
          <w:rFonts w:cstheme="minorHAnsi"/>
          <w:color w:val="000000" w:themeColor="text1"/>
          <w:sz w:val="24"/>
          <w:szCs w:val="24"/>
        </w:rPr>
        <w:t xml:space="preserve"> ve výši </w:t>
      </w:r>
      <w:r w:rsidR="00FB1932" w:rsidRPr="00F430D3">
        <w:rPr>
          <w:rFonts w:cstheme="minorHAnsi"/>
          <w:sz w:val="24"/>
          <w:szCs w:val="24"/>
        </w:rPr>
        <w:t>51</w:t>
      </w:r>
      <w:r w:rsidR="00FB1932">
        <w:rPr>
          <w:rFonts w:cstheme="minorHAnsi"/>
          <w:sz w:val="24"/>
          <w:szCs w:val="24"/>
        </w:rPr>
        <w:t>,2</w:t>
      </w:r>
      <w:r w:rsidR="00FB1932" w:rsidRPr="00F430D3">
        <w:rPr>
          <w:rFonts w:cstheme="minorHAnsi"/>
          <w:sz w:val="24"/>
          <w:szCs w:val="24"/>
        </w:rPr>
        <w:t xml:space="preserve"> ml</w:t>
      </w:r>
      <w:r w:rsidR="00FB1932">
        <w:rPr>
          <w:rFonts w:cstheme="minorHAnsi"/>
          <w:sz w:val="24"/>
          <w:szCs w:val="24"/>
        </w:rPr>
        <w:t>d</w:t>
      </w:r>
      <w:r w:rsidR="00FB1932" w:rsidRPr="00F430D3">
        <w:rPr>
          <w:rFonts w:cstheme="minorHAnsi"/>
          <w:sz w:val="24"/>
          <w:szCs w:val="24"/>
        </w:rPr>
        <w:t>. Kč v</w:t>
      </w:r>
      <w:r w:rsidR="00FB1932">
        <w:rPr>
          <w:rFonts w:cstheme="minorHAnsi"/>
          <w:sz w:val="24"/>
          <w:szCs w:val="24"/>
        </w:rPr>
        <w:t xml:space="preserve"> </w:t>
      </w:r>
      <w:r w:rsidR="00FB1932" w:rsidRPr="00F430D3">
        <w:rPr>
          <w:rFonts w:cstheme="minorHAnsi"/>
          <w:sz w:val="24"/>
          <w:szCs w:val="24"/>
        </w:rPr>
        <w:t>roce 2014</w:t>
      </w:r>
      <w:r w:rsidR="00FB1932">
        <w:rPr>
          <w:rFonts w:cstheme="minorHAnsi"/>
          <w:color w:val="000000" w:themeColor="text1"/>
          <w:sz w:val="24"/>
          <w:szCs w:val="24"/>
        </w:rPr>
        <w:t xml:space="preserve"> </w:t>
      </w:r>
      <w:r w:rsidRPr="00526F62">
        <w:rPr>
          <w:rFonts w:cstheme="minorHAnsi"/>
          <w:color w:val="000000" w:themeColor="text1"/>
          <w:sz w:val="24"/>
          <w:szCs w:val="24"/>
        </w:rPr>
        <w:t xml:space="preserve">a </w:t>
      </w:r>
      <w:r w:rsidR="0005132E">
        <w:rPr>
          <w:rFonts w:cstheme="minorHAnsi"/>
          <w:sz w:val="24"/>
          <w:szCs w:val="24"/>
        </w:rPr>
        <w:t>použití</w:t>
      </w:r>
      <w:r w:rsidR="00731102">
        <w:rPr>
          <w:rFonts w:cstheme="minorHAnsi"/>
          <w:sz w:val="24"/>
          <w:szCs w:val="24"/>
        </w:rPr>
        <w:t xml:space="preserve"> peněžních prostředků uložených na bankovních účtech státní pokladny na </w:t>
      </w:r>
      <w:r w:rsidR="00731102">
        <w:rPr>
          <w:sz w:val="24"/>
          <w:szCs w:val="24"/>
        </w:rPr>
        <w:t>přechodné krytí potřeb financování státu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132DD5">
        <w:rPr>
          <w:rFonts w:cstheme="minorHAnsi"/>
          <w:color w:val="000000" w:themeColor="text1"/>
          <w:sz w:val="24"/>
          <w:szCs w:val="24"/>
        </w:rPr>
        <w:t>ve výši 50,7</w:t>
      </w:r>
      <w:r w:rsidR="00BD03CD">
        <w:rPr>
          <w:rFonts w:cstheme="minorHAnsi"/>
          <w:color w:val="000000" w:themeColor="text1"/>
          <w:sz w:val="24"/>
          <w:szCs w:val="24"/>
        </w:rPr>
        <w:t xml:space="preserve"> </w:t>
      </w:r>
      <w:r w:rsidR="00132DD5">
        <w:rPr>
          <w:rFonts w:cstheme="minorHAnsi"/>
          <w:color w:val="000000" w:themeColor="text1"/>
          <w:sz w:val="24"/>
          <w:szCs w:val="24"/>
        </w:rPr>
        <w:t>mld.</w:t>
      </w:r>
      <w:r w:rsidR="00BD03CD">
        <w:rPr>
          <w:rFonts w:cstheme="minorHAnsi"/>
          <w:color w:val="000000" w:themeColor="text1"/>
          <w:sz w:val="24"/>
          <w:szCs w:val="24"/>
        </w:rPr>
        <w:t xml:space="preserve"> </w:t>
      </w:r>
      <w:r w:rsidR="00132DD5">
        <w:rPr>
          <w:rFonts w:cstheme="minorHAnsi"/>
          <w:color w:val="000000" w:themeColor="text1"/>
          <w:sz w:val="24"/>
          <w:szCs w:val="24"/>
        </w:rPr>
        <w:t xml:space="preserve">Kč </w:t>
      </w:r>
      <w:r>
        <w:rPr>
          <w:rFonts w:cstheme="minorHAnsi"/>
          <w:color w:val="000000" w:themeColor="text1"/>
          <w:sz w:val="24"/>
          <w:szCs w:val="24"/>
        </w:rPr>
        <w:t>umožnilo Ministerstvu financí k</w:t>
      </w:r>
      <w:r w:rsidR="00BD03CD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31.</w:t>
      </w:r>
      <w:r w:rsidR="00BD03CD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12.</w:t>
      </w:r>
      <w:r w:rsidR="00BD03CD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2014 snížit státní dluh i</w:t>
      </w:r>
      <w:r w:rsidR="00BD03CD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přes vykázaný schodek státního rozpočtu 77,8 mld. Kč. </w:t>
      </w:r>
      <w:r w:rsidRPr="003D2145">
        <w:rPr>
          <w:rFonts w:cstheme="minorHAnsi"/>
          <w:color w:val="000000" w:themeColor="text1"/>
          <w:sz w:val="24"/>
          <w:szCs w:val="24"/>
        </w:rPr>
        <w:t xml:space="preserve">Při přetrvávajícím schodkovém hospodaření </w:t>
      </w:r>
      <w:r>
        <w:rPr>
          <w:rFonts w:cstheme="minorHAnsi"/>
          <w:color w:val="000000" w:themeColor="text1"/>
          <w:sz w:val="24"/>
          <w:szCs w:val="24"/>
        </w:rPr>
        <w:t>státního rozpočtu</w:t>
      </w:r>
      <w:r w:rsidRPr="003D2145">
        <w:rPr>
          <w:rFonts w:cstheme="minorHAnsi"/>
          <w:color w:val="000000" w:themeColor="text1"/>
          <w:sz w:val="24"/>
          <w:szCs w:val="24"/>
        </w:rPr>
        <w:t xml:space="preserve"> bude potenciál těchto nástrojů</w:t>
      </w:r>
      <w:r>
        <w:rPr>
          <w:rFonts w:cstheme="minorHAnsi"/>
          <w:color w:val="000000" w:themeColor="text1"/>
          <w:sz w:val="24"/>
          <w:szCs w:val="24"/>
        </w:rPr>
        <w:t xml:space="preserve"> brzy </w:t>
      </w:r>
      <w:r w:rsidRPr="003D2145">
        <w:rPr>
          <w:rFonts w:cstheme="minorHAnsi"/>
          <w:color w:val="000000" w:themeColor="text1"/>
          <w:sz w:val="24"/>
          <w:szCs w:val="24"/>
        </w:rPr>
        <w:t>vyčerpán.</w:t>
      </w:r>
    </w:p>
    <w:p w14:paraId="16AF847A" w14:textId="77777777" w:rsidR="001A102A" w:rsidRDefault="001A102A" w:rsidP="0092546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679FB09" w14:textId="77777777" w:rsidR="00B07600" w:rsidRDefault="00925465" w:rsidP="0092546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Negativní dopad swapových</w:t>
      </w:r>
      <w:r w:rsidR="00275090">
        <w:rPr>
          <w:rStyle w:val="Znakapoznpodarou"/>
          <w:rFonts w:ascii="Calibri" w:hAnsi="Calibri" w:cs="Calibri"/>
          <w:sz w:val="24"/>
          <w:szCs w:val="24"/>
        </w:rPr>
        <w:footnoteReference w:id="7"/>
      </w:r>
      <w:r>
        <w:rPr>
          <w:rFonts w:ascii="Calibri" w:hAnsi="Calibri" w:cs="Calibri"/>
          <w:sz w:val="24"/>
          <w:szCs w:val="24"/>
        </w:rPr>
        <w:t xml:space="preserve"> transakcí u 1. a 4. emise eurobondu na úrokové výdaje činil k</w:t>
      </w:r>
      <w:r w:rsidR="00F27498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31.</w:t>
      </w:r>
      <w:r w:rsidR="00F27498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12. 2014 celkem 936,9 mil. Kč v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porovnání s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teoretickým výpočtem v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případě neprovedení zajišťovacích transakcí.</w:t>
      </w:r>
      <w:r w:rsidRPr="00522099">
        <w:rPr>
          <w:rFonts w:ascii="Calibri" w:hAnsi="Calibri" w:cs="Calibri"/>
          <w:sz w:val="24"/>
          <w:szCs w:val="24"/>
        </w:rPr>
        <w:t xml:space="preserve"> </w:t>
      </w:r>
    </w:p>
    <w:p w14:paraId="70A06361" w14:textId="77777777" w:rsidR="00854B25" w:rsidRDefault="00854B25" w:rsidP="0092546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4117BA5" w14:textId="7AD4F017" w:rsidR="00FB1932" w:rsidRDefault="00FB1932" w:rsidP="00FB193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430D3">
        <w:rPr>
          <w:rFonts w:ascii="Calibri" w:hAnsi="Calibri" w:cs="Calibri"/>
          <w:sz w:val="24"/>
          <w:szCs w:val="24"/>
        </w:rPr>
        <w:t>Úrokové výdaje specifikované u</w:t>
      </w:r>
      <w:r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emise eurobondu v</w:t>
      </w:r>
      <w:r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 xml:space="preserve">návrhu </w:t>
      </w:r>
      <w:r w:rsidR="00E806CF" w:rsidRPr="00E806CF">
        <w:rPr>
          <w:rFonts w:ascii="Calibri" w:hAnsi="Calibri" w:cs="Calibri"/>
          <w:sz w:val="24"/>
          <w:szCs w:val="24"/>
        </w:rPr>
        <w:t>státního závěrečného účtu</w:t>
      </w:r>
      <w:r>
        <w:rPr>
          <w:rFonts w:ascii="Calibri" w:hAnsi="Calibri" w:cs="Calibri"/>
          <w:sz w:val="24"/>
          <w:szCs w:val="24"/>
        </w:rPr>
        <w:t xml:space="preserve"> za rok 2014</w:t>
      </w:r>
      <w:r w:rsidRPr="00F430D3">
        <w:rPr>
          <w:rFonts w:ascii="Calibri" w:hAnsi="Calibri" w:cs="Calibri"/>
          <w:sz w:val="24"/>
          <w:szCs w:val="24"/>
        </w:rPr>
        <w:t xml:space="preserve"> nebyly uvedeny ve správné výši, </w:t>
      </w:r>
      <w:r w:rsidR="0005132E">
        <w:rPr>
          <w:rFonts w:ascii="Calibri" w:hAnsi="Calibri" w:cs="Calibri"/>
          <w:sz w:val="24"/>
          <w:szCs w:val="24"/>
        </w:rPr>
        <w:t>neboť</w:t>
      </w:r>
      <w:r w:rsidRPr="00F430D3">
        <w:rPr>
          <w:rFonts w:ascii="Calibri" w:hAnsi="Calibri" w:cs="Calibri"/>
          <w:sz w:val="24"/>
          <w:szCs w:val="24"/>
        </w:rPr>
        <w:t xml:space="preserve"> MF do nich započítalo také úrokové platby z</w:t>
      </w:r>
      <w:r>
        <w:rPr>
          <w:rFonts w:ascii="Calibri" w:hAnsi="Calibri" w:cs="Calibri"/>
          <w:sz w:val="24"/>
          <w:szCs w:val="24"/>
        </w:rPr>
        <w:t>e swapů</w:t>
      </w:r>
      <w:r w:rsidRPr="00F430D3">
        <w:rPr>
          <w:rFonts w:ascii="Calibri" w:hAnsi="Calibri" w:cs="Calibri"/>
          <w:sz w:val="24"/>
          <w:szCs w:val="24"/>
        </w:rPr>
        <w:t>, které se nevztahovaly k</w:t>
      </w:r>
      <w:r>
        <w:rPr>
          <w:rFonts w:ascii="Calibri" w:hAnsi="Calibri" w:cs="Calibri"/>
          <w:sz w:val="24"/>
          <w:szCs w:val="24"/>
        </w:rPr>
        <w:t xml:space="preserve"> této emisi </w:t>
      </w:r>
      <w:r w:rsidRPr="00F430D3">
        <w:rPr>
          <w:rFonts w:ascii="Calibri" w:hAnsi="Calibri" w:cs="Calibri"/>
          <w:sz w:val="24"/>
          <w:szCs w:val="24"/>
        </w:rPr>
        <w:t xml:space="preserve">dluhopisů. </w:t>
      </w:r>
    </w:p>
    <w:p w14:paraId="3DC14913" w14:textId="77777777" w:rsidR="00854B25" w:rsidRDefault="00854B25" w:rsidP="00FB193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B1D3977" w14:textId="458EB6A5" w:rsidR="00925465" w:rsidRPr="00F430D3" w:rsidRDefault="00925465" w:rsidP="0092546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R</w:t>
      </w:r>
      <w:r w:rsidRPr="00F430D3">
        <w:rPr>
          <w:rFonts w:ascii="Calibri" w:hAnsi="Calibri" w:cs="Calibri"/>
          <w:sz w:val="24"/>
          <w:szCs w:val="24"/>
        </w:rPr>
        <w:t>estrukturalizace</w:t>
      </w:r>
      <w:r w:rsidRPr="00D04D0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podmínek swapové operace pro zajištění kupónových plateb dluhopisu denominovaného v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japonských jenech</w:t>
      </w:r>
      <w:r w:rsidRPr="00F430D3">
        <w:rPr>
          <w:rFonts w:ascii="Calibri" w:hAnsi="Calibri" w:cs="Calibri"/>
          <w:sz w:val="24"/>
          <w:szCs w:val="24"/>
        </w:rPr>
        <w:t xml:space="preserve"> umožnila protistraně v lednu 2011 volbu, zda MF bude zavázáno až do doby ukončení swapov</w:t>
      </w:r>
      <w:r>
        <w:rPr>
          <w:rFonts w:ascii="Calibri" w:hAnsi="Calibri" w:cs="Calibri"/>
          <w:sz w:val="24"/>
          <w:szCs w:val="24"/>
        </w:rPr>
        <w:t>é</w:t>
      </w:r>
      <w:r w:rsidRPr="00F430D3" w:rsidDel="00B272E4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transakce v</w:t>
      </w:r>
      <w:r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roce 2036 platit dohodnutou plovoucí sazbu</w:t>
      </w:r>
      <w:r w:rsidR="0005132E">
        <w:rPr>
          <w:rFonts w:ascii="Calibri" w:hAnsi="Calibri" w:cs="Calibri"/>
          <w:sz w:val="24"/>
          <w:szCs w:val="24"/>
        </w:rPr>
        <w:t>,</w:t>
      </w:r>
      <w:r w:rsidR="00EA7997" w:rsidRPr="00EA7997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nebo fixní sazbu ve výši 3,20</w:t>
      </w:r>
      <w:r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%</w:t>
      </w:r>
      <w:r w:rsidR="00EA7997">
        <w:rPr>
          <w:rFonts w:ascii="Calibri" w:hAnsi="Calibri" w:cs="Calibri"/>
          <w:sz w:val="24"/>
          <w:szCs w:val="24"/>
        </w:rPr>
        <w:t xml:space="preserve"> </w:t>
      </w:r>
      <w:r w:rsidR="00397F80" w:rsidRPr="00397F80">
        <w:rPr>
          <w:rFonts w:ascii="Calibri" w:hAnsi="Calibri" w:cs="Calibri"/>
          <w:sz w:val="24"/>
          <w:szCs w:val="24"/>
        </w:rPr>
        <w:t xml:space="preserve">(v době uzavření dodatku by původně dohodnutá </w:t>
      </w:r>
      <w:r w:rsidR="00D07980">
        <w:rPr>
          <w:rFonts w:ascii="Calibri" w:hAnsi="Calibri" w:cs="Calibri"/>
          <w:sz w:val="24"/>
          <w:szCs w:val="24"/>
        </w:rPr>
        <w:t xml:space="preserve">pohyblivá </w:t>
      </w:r>
      <w:r w:rsidR="00397F80" w:rsidRPr="00397F80">
        <w:rPr>
          <w:rFonts w:ascii="Calibri" w:hAnsi="Calibri" w:cs="Calibri"/>
          <w:sz w:val="24"/>
          <w:szCs w:val="24"/>
        </w:rPr>
        <w:t>sazba se zápornou marží teoreticky průměrně činila cca 0,9 %)</w:t>
      </w:r>
      <w:r w:rsidRPr="00F430D3">
        <w:rPr>
          <w:rFonts w:ascii="Calibri" w:hAnsi="Calibri" w:cs="Calibri"/>
          <w:sz w:val="24"/>
          <w:szCs w:val="24"/>
        </w:rPr>
        <w:t>, čehož protistrana využila</w:t>
      </w:r>
      <w:r>
        <w:rPr>
          <w:rFonts w:ascii="Calibri" w:hAnsi="Calibri" w:cs="Calibri"/>
          <w:sz w:val="24"/>
          <w:szCs w:val="24"/>
        </w:rPr>
        <w:t xml:space="preserve"> a</w:t>
      </w:r>
      <w:r w:rsidR="00F27498">
        <w:rPr>
          <w:rFonts w:ascii="Calibri" w:hAnsi="Calibri" w:cs="Calibri"/>
          <w:sz w:val="24"/>
          <w:szCs w:val="24"/>
        </w:rPr>
        <w:t> </w:t>
      </w:r>
      <w:r>
        <w:rPr>
          <w:rFonts w:ascii="Calibri" w:hAnsi="Calibri" w:cs="Calibri"/>
          <w:sz w:val="24"/>
          <w:szCs w:val="24"/>
        </w:rPr>
        <w:t>zvolila fixní úrok</w:t>
      </w:r>
      <w:r w:rsidRPr="00F430D3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Podle </w:t>
      </w:r>
      <w:r w:rsidRPr="00F430D3">
        <w:rPr>
          <w:rFonts w:ascii="Calibri" w:hAnsi="Calibri" w:cs="Calibri"/>
          <w:sz w:val="24"/>
          <w:szCs w:val="24"/>
        </w:rPr>
        <w:t>NKÚ přestala předmětná swapov</w:t>
      </w:r>
      <w:r>
        <w:rPr>
          <w:rFonts w:ascii="Calibri" w:hAnsi="Calibri" w:cs="Calibri"/>
          <w:sz w:val="24"/>
          <w:szCs w:val="24"/>
        </w:rPr>
        <w:t>á</w:t>
      </w:r>
      <w:r w:rsidRPr="00F430D3">
        <w:rPr>
          <w:rFonts w:ascii="Calibri" w:hAnsi="Calibri" w:cs="Calibri"/>
          <w:sz w:val="24"/>
          <w:szCs w:val="24"/>
        </w:rPr>
        <w:t xml:space="preserve"> transakce po uplatnění opce protistranou plnit charakter zajišťující operace proti tržním rizikům. Očekávaný</w:t>
      </w:r>
      <w:r>
        <w:rPr>
          <w:rFonts w:ascii="Calibri" w:hAnsi="Calibri" w:cs="Calibri"/>
          <w:sz w:val="24"/>
          <w:szCs w:val="24"/>
        </w:rPr>
        <w:t xml:space="preserve"> negativní</w:t>
      </w:r>
      <w:r w:rsidRPr="00F430D3">
        <w:rPr>
          <w:rFonts w:ascii="Calibri" w:hAnsi="Calibri" w:cs="Calibri"/>
          <w:sz w:val="24"/>
          <w:szCs w:val="24"/>
        </w:rPr>
        <w:t xml:space="preserve"> dopad transakce na čisté úrokové výdaje státního rozpočtu přes</w:t>
      </w:r>
      <w:r>
        <w:rPr>
          <w:rFonts w:ascii="Calibri" w:hAnsi="Calibri" w:cs="Calibri"/>
          <w:sz w:val="24"/>
          <w:szCs w:val="24"/>
        </w:rPr>
        <w:t>ahuje</w:t>
      </w:r>
      <w:r w:rsidRPr="00F430D3">
        <w:rPr>
          <w:rFonts w:ascii="Calibri" w:hAnsi="Calibri" w:cs="Calibri"/>
          <w:sz w:val="24"/>
          <w:szCs w:val="24"/>
        </w:rPr>
        <w:t xml:space="preserve"> 1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mld.</w:t>
      </w:r>
      <w:r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 xml:space="preserve">Kč. </w:t>
      </w:r>
    </w:p>
    <w:p w14:paraId="6B3262B8" w14:textId="77777777" w:rsidR="00925465" w:rsidRDefault="00925465" w:rsidP="0092546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7021A8B" w14:textId="560BA4D8" w:rsidR="00925465" w:rsidRDefault="00925465" w:rsidP="0092546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 kontrolovaných emisí státních pokladničních poukázek (dále také „SPP“) včetně jejich splátek a souvisejících výdajů, u úrokových výdajů</w:t>
      </w:r>
      <w:r w:rsidR="00BD03CD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tuzemských emisí střednědobých a dlouhodobých dluhopisů (dále také „SDD“)</w:t>
      </w:r>
      <w:r>
        <w:rPr>
          <w:rFonts w:cstheme="minorHAnsi"/>
          <w:sz w:val="24"/>
          <w:szCs w:val="24"/>
        </w:rPr>
        <w:t xml:space="preserve">, u úrokových výdajů </w:t>
      </w:r>
      <w:r w:rsidRPr="00F430D3">
        <w:rPr>
          <w:rFonts w:cstheme="minorHAnsi"/>
          <w:color w:val="000000" w:themeColor="text1"/>
          <w:sz w:val="24"/>
          <w:szCs w:val="24"/>
        </w:rPr>
        <w:t>emis</w:t>
      </w:r>
      <w:r>
        <w:rPr>
          <w:rFonts w:cstheme="minorHAnsi"/>
          <w:color w:val="000000" w:themeColor="text1"/>
          <w:sz w:val="24"/>
          <w:szCs w:val="24"/>
        </w:rPr>
        <w:t>í</w:t>
      </w:r>
      <w:r w:rsidRPr="00F430D3">
        <w:rPr>
          <w:rFonts w:cstheme="minorHAnsi"/>
          <w:color w:val="000000" w:themeColor="text1"/>
          <w:sz w:val="24"/>
          <w:szCs w:val="24"/>
        </w:rPr>
        <w:t xml:space="preserve"> státních spoř</w:t>
      </w:r>
      <w:r w:rsidR="0005132E">
        <w:rPr>
          <w:rFonts w:cstheme="minorHAnsi"/>
          <w:color w:val="000000" w:themeColor="text1"/>
          <w:sz w:val="24"/>
          <w:szCs w:val="24"/>
        </w:rPr>
        <w:t>i</w:t>
      </w:r>
      <w:r w:rsidRPr="00F430D3">
        <w:rPr>
          <w:rFonts w:cstheme="minorHAnsi"/>
          <w:color w:val="000000" w:themeColor="text1"/>
          <w:sz w:val="24"/>
          <w:szCs w:val="24"/>
        </w:rPr>
        <w:t>cích dluhopisů (dále také „SSD“)</w:t>
      </w:r>
      <w:r>
        <w:rPr>
          <w:rFonts w:cstheme="minorHAnsi"/>
          <w:color w:val="000000" w:themeColor="text1"/>
          <w:sz w:val="24"/>
          <w:szCs w:val="24"/>
        </w:rPr>
        <w:t xml:space="preserve"> včetně operací souvisejících s</w:t>
      </w:r>
      <w:r w:rsidR="00BD03CD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emisemi a splátkami jistin SSD a u </w:t>
      </w:r>
      <w:r w:rsidRPr="00F430D3">
        <w:rPr>
          <w:rFonts w:cstheme="minorHAnsi"/>
          <w:color w:val="000000" w:themeColor="text1"/>
          <w:sz w:val="24"/>
          <w:szCs w:val="24"/>
        </w:rPr>
        <w:t>úrokov</w:t>
      </w:r>
      <w:r>
        <w:rPr>
          <w:rFonts w:cstheme="minorHAnsi"/>
          <w:color w:val="000000" w:themeColor="text1"/>
          <w:sz w:val="24"/>
          <w:szCs w:val="24"/>
        </w:rPr>
        <w:t>ých výdajů</w:t>
      </w:r>
      <w:r w:rsidRPr="00F430D3">
        <w:rPr>
          <w:rFonts w:cstheme="minorHAnsi"/>
          <w:color w:val="000000" w:themeColor="text1"/>
          <w:sz w:val="24"/>
          <w:szCs w:val="24"/>
        </w:rPr>
        <w:t xml:space="preserve"> související</w:t>
      </w:r>
      <w:r>
        <w:rPr>
          <w:rFonts w:cstheme="minorHAnsi"/>
          <w:color w:val="000000" w:themeColor="text1"/>
          <w:sz w:val="24"/>
          <w:szCs w:val="24"/>
        </w:rPr>
        <w:t>ch</w:t>
      </w:r>
      <w:r w:rsidRPr="00F430D3">
        <w:rPr>
          <w:rFonts w:cstheme="minorHAnsi"/>
          <w:color w:val="000000" w:themeColor="text1"/>
          <w:sz w:val="24"/>
          <w:szCs w:val="24"/>
        </w:rPr>
        <w:t xml:space="preserve"> s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F430D3">
        <w:rPr>
          <w:rFonts w:cstheme="minorHAnsi"/>
          <w:color w:val="000000" w:themeColor="text1"/>
          <w:sz w:val="24"/>
          <w:szCs w:val="24"/>
        </w:rPr>
        <w:t xml:space="preserve">úvěry od Evropské investiční banky (dále také „EIB“) </w:t>
      </w:r>
      <w:r>
        <w:rPr>
          <w:rFonts w:cstheme="minorHAnsi"/>
          <w:color w:val="000000" w:themeColor="text1"/>
          <w:sz w:val="24"/>
          <w:szCs w:val="24"/>
        </w:rPr>
        <w:t>nebyly zjištěny nedostatky.</w:t>
      </w:r>
    </w:p>
    <w:p w14:paraId="76C0F6F9" w14:textId="77777777" w:rsidR="007C2570" w:rsidRPr="00E667AD" w:rsidRDefault="007C2570" w:rsidP="00E667A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3CF9C4D" w14:textId="77777777" w:rsidR="00EF5DA2" w:rsidRPr="00E667AD" w:rsidRDefault="00EF5DA2" w:rsidP="00E667A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EAC1AE7" w14:textId="77777777" w:rsidR="00295ABB" w:rsidRPr="00F430D3" w:rsidRDefault="001A1827" w:rsidP="00DA0E83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F430D3">
        <w:rPr>
          <w:rFonts w:cstheme="minorHAnsi"/>
          <w:b/>
          <w:color w:val="000000" w:themeColor="text1"/>
          <w:sz w:val="28"/>
          <w:szCs w:val="28"/>
        </w:rPr>
        <w:t>I</w:t>
      </w:r>
      <w:r w:rsidR="00B1356C" w:rsidRPr="00F430D3">
        <w:rPr>
          <w:rFonts w:cstheme="minorHAnsi"/>
          <w:b/>
          <w:color w:val="000000" w:themeColor="text1"/>
          <w:sz w:val="28"/>
          <w:szCs w:val="28"/>
        </w:rPr>
        <w:t>I</w:t>
      </w:r>
      <w:r w:rsidR="000F2403" w:rsidRPr="00F430D3">
        <w:rPr>
          <w:rFonts w:cstheme="minorHAnsi"/>
          <w:b/>
          <w:color w:val="000000" w:themeColor="text1"/>
          <w:sz w:val="28"/>
          <w:szCs w:val="28"/>
        </w:rPr>
        <w:t>I</w:t>
      </w:r>
      <w:r w:rsidR="00B1356C" w:rsidRPr="00F430D3">
        <w:rPr>
          <w:rFonts w:cstheme="minorHAnsi"/>
          <w:b/>
          <w:color w:val="000000" w:themeColor="text1"/>
          <w:sz w:val="28"/>
          <w:szCs w:val="28"/>
        </w:rPr>
        <w:t xml:space="preserve">. </w:t>
      </w:r>
      <w:r w:rsidR="009F23D0" w:rsidRPr="00F430D3">
        <w:rPr>
          <w:rFonts w:cstheme="minorHAnsi"/>
          <w:b/>
          <w:color w:val="000000" w:themeColor="text1"/>
          <w:sz w:val="28"/>
          <w:szCs w:val="28"/>
        </w:rPr>
        <w:t>Podrobné i</w:t>
      </w:r>
      <w:r w:rsidR="00DF62C0" w:rsidRPr="00F430D3">
        <w:rPr>
          <w:rFonts w:cstheme="minorHAnsi"/>
          <w:b/>
          <w:color w:val="000000" w:themeColor="text1"/>
          <w:sz w:val="28"/>
          <w:szCs w:val="28"/>
        </w:rPr>
        <w:t>nformace ke zjištěným skutečnostem</w:t>
      </w:r>
    </w:p>
    <w:p w14:paraId="1B90DD19" w14:textId="77777777" w:rsidR="00EF5DA2" w:rsidRDefault="00EF5DA2" w:rsidP="00671E1E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F7EBF02" w14:textId="77777777" w:rsidR="00671E1E" w:rsidRPr="00F430D3" w:rsidRDefault="00671E1E" w:rsidP="00671E1E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F430D3">
        <w:rPr>
          <w:rFonts w:ascii="Calibri" w:hAnsi="Calibri" w:cs="Calibri"/>
          <w:b/>
          <w:bCs/>
          <w:sz w:val="24"/>
          <w:szCs w:val="24"/>
        </w:rPr>
        <w:t>Rozpočet kapitoly SD v kontrolovaném období a provádění rozpočtových opatření</w:t>
      </w:r>
    </w:p>
    <w:p w14:paraId="5C7268AC" w14:textId="77777777" w:rsidR="00854B25" w:rsidRDefault="00854B25" w:rsidP="00671E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C266A20" w14:textId="17BFC5B8" w:rsidR="00671E1E" w:rsidRDefault="00671E1E" w:rsidP="00671E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430D3">
        <w:rPr>
          <w:rFonts w:ascii="Calibri" w:hAnsi="Calibri" w:cs="Calibri"/>
          <w:sz w:val="24"/>
          <w:szCs w:val="24"/>
        </w:rPr>
        <w:t>Rozpočet výdajů kapitoly 396</w:t>
      </w:r>
      <w:r w:rsidR="009B68CE">
        <w:rPr>
          <w:rFonts w:ascii="Calibri" w:hAnsi="Calibri" w:cs="Calibri"/>
          <w:sz w:val="24"/>
          <w:szCs w:val="24"/>
        </w:rPr>
        <w:t> –</w:t>
      </w:r>
      <w:r w:rsidRPr="00F430D3">
        <w:rPr>
          <w:rFonts w:ascii="Calibri" w:hAnsi="Calibri" w:cs="Calibri"/>
          <w:sz w:val="24"/>
          <w:szCs w:val="24"/>
        </w:rPr>
        <w:t xml:space="preserve"> </w:t>
      </w:r>
      <w:r w:rsidRPr="000D5096">
        <w:rPr>
          <w:rFonts w:ascii="Calibri" w:hAnsi="Calibri" w:cs="Calibri"/>
          <w:i/>
          <w:sz w:val="24"/>
          <w:szCs w:val="24"/>
        </w:rPr>
        <w:t>Státní dluh</w:t>
      </w:r>
      <w:r w:rsidRPr="00F430D3">
        <w:rPr>
          <w:rFonts w:ascii="Calibri" w:hAnsi="Calibri" w:cs="Calibri"/>
          <w:sz w:val="24"/>
          <w:szCs w:val="24"/>
        </w:rPr>
        <w:t xml:space="preserve"> je každoročně sestavován na základě analýzy úrokových výdajů pomocí modelu </w:t>
      </w:r>
      <w:r w:rsidRPr="000D5096">
        <w:rPr>
          <w:rFonts w:ascii="Calibri" w:hAnsi="Calibri" w:cs="Calibri"/>
          <w:i/>
          <w:sz w:val="24"/>
          <w:szCs w:val="24"/>
        </w:rPr>
        <w:t>Cost-at-Risk</w:t>
      </w:r>
      <w:r w:rsidRPr="00F430D3">
        <w:rPr>
          <w:rFonts w:ascii="Calibri" w:hAnsi="Calibri" w:cs="Calibri"/>
          <w:sz w:val="24"/>
          <w:szCs w:val="24"/>
        </w:rPr>
        <w:t>, který simuluje předpokládaný vývoj úrokových sazeb, budoucí očekávané úrokové výdaje a hranici úrokových výdajů při daném stupni rizika. Pro rok 2014 byl založen na 96procentním kvantilu čistých úrokových výdajů, což znamenalo, že s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pravděpodobností 96 % nebudou tyto výdaje překročeny. 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praxi posledních let to vede k</w:t>
      </w:r>
      <w:r w:rsidR="00F27498">
        <w:rPr>
          <w:rFonts w:ascii="Calibri" w:hAnsi="Calibri" w:cs="Calibri"/>
          <w:sz w:val="24"/>
          <w:szCs w:val="24"/>
        </w:rPr>
        <w:t> </w:t>
      </w:r>
      <w:r w:rsidRPr="00F430D3">
        <w:rPr>
          <w:rFonts w:ascii="Calibri" w:hAnsi="Calibri" w:cs="Calibri"/>
          <w:sz w:val="24"/>
          <w:szCs w:val="24"/>
        </w:rPr>
        <w:t>tomu, že skutečné výdaje bývají nižší než rozpočtované a 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průběhu roku dochází k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přesunům prostředků do jiných kapitol st</w:t>
      </w:r>
      <w:r w:rsidR="00854B25">
        <w:rPr>
          <w:rFonts w:ascii="Calibri" w:hAnsi="Calibri" w:cs="Calibri"/>
          <w:sz w:val="24"/>
          <w:szCs w:val="24"/>
        </w:rPr>
        <w:t>átního rozpočtu.</w:t>
      </w:r>
    </w:p>
    <w:p w14:paraId="58C206B8" w14:textId="77777777" w:rsidR="00854B25" w:rsidRPr="00F430D3" w:rsidRDefault="00854B25" w:rsidP="00671E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A9D1051" w14:textId="28B70B07" w:rsidR="00671E1E" w:rsidRPr="00F430D3" w:rsidRDefault="00671E1E" w:rsidP="00671E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F36B23">
        <w:rPr>
          <w:rFonts w:ascii="Calibri" w:hAnsi="Calibri" w:cs="Calibri"/>
          <w:sz w:val="24"/>
          <w:szCs w:val="24"/>
        </w:rPr>
        <w:t>Zákon č. 475/2013 Sb.</w:t>
      </w:r>
      <w:r w:rsidR="00CE44D6" w:rsidRPr="00F36B23">
        <w:rPr>
          <w:rStyle w:val="Znakapoznpodarou"/>
          <w:rFonts w:ascii="Calibri" w:hAnsi="Calibri" w:cs="Calibri"/>
          <w:sz w:val="24"/>
          <w:szCs w:val="24"/>
        </w:rPr>
        <w:footnoteReference w:id="8"/>
      </w:r>
      <w:r w:rsidRPr="00F36B23">
        <w:rPr>
          <w:rFonts w:ascii="Calibri" w:hAnsi="Calibri" w:cs="Calibri"/>
          <w:sz w:val="24"/>
          <w:szCs w:val="24"/>
        </w:rPr>
        <w:t xml:space="preserve"> stanovil </w:t>
      </w:r>
      <w:r w:rsidR="00DD657D" w:rsidRPr="00F36B23">
        <w:rPr>
          <w:rFonts w:ascii="Calibri" w:hAnsi="Calibri" w:cs="Calibri"/>
          <w:sz w:val="24"/>
          <w:szCs w:val="24"/>
        </w:rPr>
        <w:t xml:space="preserve">na rok 2014 </w:t>
      </w:r>
      <w:r w:rsidRPr="00F36B23">
        <w:rPr>
          <w:rFonts w:ascii="Calibri" w:hAnsi="Calibri" w:cs="Calibri"/>
          <w:sz w:val="24"/>
          <w:szCs w:val="24"/>
        </w:rPr>
        <w:t xml:space="preserve">celkové výdaje </w:t>
      </w:r>
      <w:r w:rsidR="003B679A" w:rsidRPr="00F36B23">
        <w:rPr>
          <w:rFonts w:ascii="Calibri" w:hAnsi="Calibri" w:cs="Calibri"/>
          <w:sz w:val="24"/>
          <w:szCs w:val="24"/>
        </w:rPr>
        <w:t xml:space="preserve">kapitoly SD </w:t>
      </w:r>
      <w:r w:rsidRPr="00F36B23">
        <w:rPr>
          <w:rFonts w:ascii="Calibri" w:hAnsi="Calibri" w:cs="Calibri"/>
          <w:sz w:val="24"/>
          <w:szCs w:val="24"/>
        </w:rPr>
        <w:t>na 65</w:t>
      </w:r>
      <w:r w:rsidR="00F36B23">
        <w:rPr>
          <w:rFonts w:ascii="Calibri" w:hAnsi="Calibri" w:cs="Calibri"/>
          <w:sz w:val="24"/>
          <w:szCs w:val="24"/>
        </w:rPr>
        <w:t>,</w:t>
      </w:r>
      <w:r w:rsidRPr="00F36B23">
        <w:rPr>
          <w:rFonts w:ascii="Calibri" w:hAnsi="Calibri" w:cs="Calibri"/>
          <w:sz w:val="24"/>
          <w:szCs w:val="24"/>
        </w:rPr>
        <w:t>797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="00F36B23">
        <w:rPr>
          <w:rFonts w:ascii="Calibri" w:hAnsi="Calibri" w:cs="Calibri"/>
          <w:sz w:val="24"/>
          <w:szCs w:val="24"/>
        </w:rPr>
        <w:t>mld.</w:t>
      </w:r>
      <w:r w:rsidRPr="00F36B23">
        <w:rPr>
          <w:rFonts w:ascii="Calibri" w:hAnsi="Calibri" w:cs="Calibri"/>
          <w:sz w:val="24"/>
          <w:szCs w:val="24"/>
        </w:rPr>
        <w:t xml:space="preserve"> Kč. Zákonem č. 318/2014 Sb.</w:t>
      </w:r>
      <w:r w:rsidR="00CE44D6" w:rsidRPr="00F36B23">
        <w:rPr>
          <w:rStyle w:val="Znakapoznpodarou"/>
          <w:rFonts w:ascii="Calibri" w:hAnsi="Calibri" w:cs="Calibri"/>
          <w:sz w:val="24"/>
          <w:szCs w:val="24"/>
        </w:rPr>
        <w:footnoteReference w:id="9"/>
      </w:r>
      <w:r w:rsidR="00CE44D6" w:rsidRPr="00F36B23">
        <w:rPr>
          <w:rFonts w:ascii="Calibri" w:hAnsi="Calibri" w:cs="Calibri"/>
          <w:sz w:val="24"/>
          <w:szCs w:val="24"/>
        </w:rPr>
        <w:t xml:space="preserve"> </w:t>
      </w:r>
      <w:r w:rsidRPr="006E2FCF">
        <w:rPr>
          <w:rFonts w:ascii="Calibri" w:hAnsi="Calibri" w:cs="Calibri"/>
          <w:sz w:val="24"/>
          <w:szCs w:val="24"/>
        </w:rPr>
        <w:t>ze dne 5.</w:t>
      </w:r>
      <w:r w:rsidR="00430901" w:rsidRPr="00F36B23">
        <w:rPr>
          <w:rFonts w:ascii="Calibri" w:hAnsi="Calibri" w:cs="Calibri"/>
          <w:sz w:val="24"/>
          <w:szCs w:val="24"/>
        </w:rPr>
        <w:t xml:space="preserve"> </w:t>
      </w:r>
      <w:r w:rsidR="00C96771" w:rsidRPr="00F36B23">
        <w:rPr>
          <w:rFonts w:ascii="Calibri" w:hAnsi="Calibri" w:cs="Calibri"/>
          <w:sz w:val="24"/>
          <w:szCs w:val="24"/>
        </w:rPr>
        <w:t xml:space="preserve">12. </w:t>
      </w:r>
      <w:r w:rsidRPr="00F36B23">
        <w:rPr>
          <w:rFonts w:ascii="Calibri" w:hAnsi="Calibri" w:cs="Calibri"/>
          <w:sz w:val="24"/>
          <w:szCs w:val="24"/>
        </w:rPr>
        <w:t>2014 byl</w:t>
      </w:r>
      <w:r w:rsidR="00363194">
        <w:rPr>
          <w:rFonts w:ascii="Calibri" w:hAnsi="Calibri" w:cs="Calibri"/>
          <w:sz w:val="24"/>
          <w:szCs w:val="24"/>
        </w:rPr>
        <w:t>y</w:t>
      </w:r>
      <w:r w:rsidRPr="00F36B23">
        <w:rPr>
          <w:rFonts w:ascii="Calibri" w:hAnsi="Calibri" w:cs="Calibri"/>
          <w:sz w:val="24"/>
          <w:szCs w:val="24"/>
        </w:rPr>
        <w:t xml:space="preserve"> celkové výdaje kapitoly</w:t>
      </w:r>
      <w:r w:rsidR="00912FE9">
        <w:rPr>
          <w:rFonts w:ascii="Calibri" w:hAnsi="Calibri" w:cs="Calibri"/>
          <w:sz w:val="24"/>
          <w:szCs w:val="24"/>
        </w:rPr>
        <w:t xml:space="preserve"> SD</w:t>
      </w:r>
      <w:r w:rsidRPr="00F36B23">
        <w:rPr>
          <w:rFonts w:ascii="Calibri" w:hAnsi="Calibri" w:cs="Calibri"/>
          <w:sz w:val="24"/>
          <w:szCs w:val="24"/>
        </w:rPr>
        <w:t xml:space="preserve"> v</w:t>
      </w:r>
      <w:r w:rsidR="00430901" w:rsidRPr="00F36B23">
        <w:rPr>
          <w:rFonts w:ascii="Calibri" w:hAnsi="Calibri" w:cs="Calibri"/>
          <w:sz w:val="24"/>
          <w:szCs w:val="24"/>
        </w:rPr>
        <w:t xml:space="preserve"> </w:t>
      </w:r>
      <w:r w:rsidRPr="00F36B23">
        <w:rPr>
          <w:rFonts w:ascii="Calibri" w:hAnsi="Calibri" w:cs="Calibri"/>
          <w:sz w:val="24"/>
          <w:szCs w:val="24"/>
        </w:rPr>
        <w:t xml:space="preserve">roce 2014 sníženy </w:t>
      </w:r>
      <w:r w:rsidR="00363194" w:rsidRPr="00F36B23">
        <w:rPr>
          <w:rFonts w:ascii="Calibri" w:hAnsi="Calibri" w:cs="Calibri"/>
          <w:sz w:val="24"/>
          <w:szCs w:val="24"/>
        </w:rPr>
        <w:t>o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="00363194">
        <w:rPr>
          <w:rFonts w:ascii="Calibri" w:hAnsi="Calibri" w:cs="Calibri"/>
          <w:sz w:val="24"/>
          <w:szCs w:val="24"/>
        </w:rPr>
        <w:t>0,</w:t>
      </w:r>
      <w:r w:rsidR="00363194" w:rsidRPr="00F36B23">
        <w:rPr>
          <w:rFonts w:ascii="Calibri" w:hAnsi="Calibri" w:cs="Calibri"/>
          <w:sz w:val="24"/>
          <w:szCs w:val="24"/>
        </w:rPr>
        <w:t xml:space="preserve">920 </w:t>
      </w:r>
      <w:r w:rsidR="00363194">
        <w:rPr>
          <w:rFonts w:ascii="Calibri" w:hAnsi="Calibri" w:cs="Calibri"/>
          <w:sz w:val="24"/>
          <w:szCs w:val="24"/>
        </w:rPr>
        <w:t>mld.</w:t>
      </w:r>
      <w:r w:rsidR="00363194" w:rsidRPr="00F36B23">
        <w:rPr>
          <w:rFonts w:ascii="Calibri" w:hAnsi="Calibri" w:cs="Calibri"/>
          <w:sz w:val="24"/>
          <w:szCs w:val="24"/>
        </w:rPr>
        <w:t xml:space="preserve"> Kč </w:t>
      </w:r>
      <w:r w:rsidRPr="00F36B23">
        <w:rPr>
          <w:rFonts w:ascii="Calibri" w:hAnsi="Calibri" w:cs="Calibri"/>
          <w:sz w:val="24"/>
          <w:szCs w:val="24"/>
        </w:rPr>
        <w:t>na 64</w:t>
      </w:r>
      <w:r w:rsidR="00F36B23">
        <w:rPr>
          <w:rFonts w:ascii="Calibri" w:hAnsi="Calibri" w:cs="Calibri"/>
          <w:sz w:val="24"/>
          <w:szCs w:val="24"/>
        </w:rPr>
        <w:t>,</w:t>
      </w:r>
      <w:r w:rsidRPr="00F36B23">
        <w:rPr>
          <w:rFonts w:ascii="Calibri" w:hAnsi="Calibri" w:cs="Calibri"/>
          <w:sz w:val="24"/>
          <w:szCs w:val="24"/>
        </w:rPr>
        <w:t>877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="00F36B23">
        <w:rPr>
          <w:rFonts w:ascii="Calibri" w:hAnsi="Calibri" w:cs="Calibri"/>
          <w:sz w:val="24"/>
          <w:szCs w:val="24"/>
        </w:rPr>
        <w:t>mld.</w:t>
      </w:r>
      <w:r w:rsidR="00854B25">
        <w:rPr>
          <w:rFonts w:ascii="Calibri" w:hAnsi="Calibri" w:cs="Calibri"/>
          <w:sz w:val="24"/>
          <w:szCs w:val="24"/>
        </w:rPr>
        <w:t xml:space="preserve"> Kč.</w:t>
      </w:r>
      <w:r w:rsidR="0005132E">
        <w:rPr>
          <w:rFonts w:ascii="Calibri" w:hAnsi="Calibri" w:cs="Calibri"/>
          <w:sz w:val="24"/>
          <w:szCs w:val="24"/>
        </w:rPr>
        <w:t xml:space="preserve"> </w:t>
      </w:r>
      <w:r w:rsidRPr="006E2FCF">
        <w:rPr>
          <w:rFonts w:ascii="Calibri" w:hAnsi="Calibri" w:cs="Calibri"/>
          <w:sz w:val="24"/>
          <w:szCs w:val="24"/>
        </w:rPr>
        <w:t xml:space="preserve">Schválený rozpočet výdajů kapitoly </w:t>
      </w:r>
      <w:r w:rsidR="00912FE9">
        <w:rPr>
          <w:rFonts w:ascii="Calibri" w:hAnsi="Calibri" w:cs="Calibri"/>
          <w:sz w:val="24"/>
          <w:szCs w:val="24"/>
        </w:rPr>
        <w:t xml:space="preserve">SD </w:t>
      </w:r>
      <w:r w:rsidRPr="00F36B23">
        <w:rPr>
          <w:rFonts w:ascii="Calibri" w:hAnsi="Calibri" w:cs="Calibri"/>
          <w:sz w:val="24"/>
          <w:szCs w:val="24"/>
        </w:rPr>
        <w:t>byl rozpočtovými opatřeními v</w:t>
      </w:r>
      <w:r w:rsidR="00430901" w:rsidRPr="00F36B23">
        <w:rPr>
          <w:rFonts w:ascii="Calibri" w:hAnsi="Calibri" w:cs="Calibri"/>
          <w:sz w:val="24"/>
          <w:szCs w:val="24"/>
        </w:rPr>
        <w:t xml:space="preserve"> </w:t>
      </w:r>
      <w:r w:rsidRPr="00F36B23">
        <w:rPr>
          <w:rFonts w:ascii="Calibri" w:hAnsi="Calibri" w:cs="Calibri"/>
          <w:sz w:val="24"/>
          <w:szCs w:val="24"/>
        </w:rPr>
        <w:t>roce 2014 dále snížen o</w:t>
      </w:r>
      <w:r w:rsidR="00F27498">
        <w:rPr>
          <w:rFonts w:ascii="Calibri" w:hAnsi="Calibri" w:cs="Calibri"/>
          <w:sz w:val="24"/>
          <w:szCs w:val="24"/>
        </w:rPr>
        <w:t> </w:t>
      </w:r>
      <w:r w:rsidRPr="00F36B23">
        <w:rPr>
          <w:rFonts w:ascii="Calibri" w:hAnsi="Calibri" w:cs="Calibri"/>
          <w:sz w:val="24"/>
          <w:szCs w:val="24"/>
        </w:rPr>
        <w:t>částku 5</w:t>
      </w:r>
      <w:r w:rsidR="00F36B23">
        <w:rPr>
          <w:rFonts w:ascii="Calibri" w:hAnsi="Calibri" w:cs="Calibri"/>
          <w:sz w:val="24"/>
          <w:szCs w:val="24"/>
        </w:rPr>
        <w:t>,</w:t>
      </w:r>
      <w:r w:rsidRPr="00F36B23">
        <w:rPr>
          <w:rFonts w:ascii="Calibri" w:hAnsi="Calibri" w:cs="Calibri"/>
          <w:sz w:val="24"/>
          <w:szCs w:val="24"/>
        </w:rPr>
        <w:t>115</w:t>
      </w:r>
      <w:r w:rsidR="00F36B23">
        <w:rPr>
          <w:rFonts w:ascii="Calibri" w:hAnsi="Calibri" w:cs="Calibri"/>
          <w:sz w:val="24"/>
          <w:szCs w:val="24"/>
        </w:rPr>
        <w:t xml:space="preserve"> mld.</w:t>
      </w:r>
      <w:r w:rsidR="00430901" w:rsidRPr="00F36B23">
        <w:rPr>
          <w:rFonts w:ascii="Calibri" w:hAnsi="Calibri" w:cs="Calibri"/>
          <w:sz w:val="24"/>
          <w:szCs w:val="24"/>
        </w:rPr>
        <w:t xml:space="preserve"> </w:t>
      </w:r>
      <w:r w:rsidRPr="00F36B23">
        <w:rPr>
          <w:rFonts w:ascii="Calibri" w:hAnsi="Calibri" w:cs="Calibri"/>
          <w:sz w:val="24"/>
          <w:szCs w:val="24"/>
        </w:rPr>
        <w:t>Kč. Rozpočet výdajů kapitoly</w:t>
      </w:r>
      <w:r w:rsidR="0005132E">
        <w:rPr>
          <w:rFonts w:ascii="Calibri" w:hAnsi="Calibri" w:cs="Calibri"/>
          <w:sz w:val="24"/>
          <w:szCs w:val="24"/>
        </w:rPr>
        <w:t> SD</w:t>
      </w:r>
      <w:r w:rsidRPr="00F36B23">
        <w:rPr>
          <w:rFonts w:ascii="Calibri" w:hAnsi="Calibri" w:cs="Calibri"/>
          <w:sz w:val="24"/>
          <w:szCs w:val="24"/>
        </w:rPr>
        <w:t xml:space="preserve"> po přesunu této částky do jiných kapitol státního rozpočtu (rozpočet po změnách) činil 59</w:t>
      </w:r>
      <w:r w:rsidR="00F36B23">
        <w:rPr>
          <w:rFonts w:ascii="Calibri" w:hAnsi="Calibri" w:cs="Calibri"/>
          <w:sz w:val="24"/>
          <w:szCs w:val="24"/>
        </w:rPr>
        <w:t>,</w:t>
      </w:r>
      <w:r w:rsidRPr="00F36B23">
        <w:rPr>
          <w:rFonts w:ascii="Calibri" w:hAnsi="Calibri" w:cs="Calibri"/>
          <w:sz w:val="24"/>
          <w:szCs w:val="24"/>
        </w:rPr>
        <w:t>76</w:t>
      </w:r>
      <w:r w:rsidR="00F36B23">
        <w:rPr>
          <w:rFonts w:ascii="Calibri" w:hAnsi="Calibri" w:cs="Calibri"/>
          <w:sz w:val="24"/>
          <w:szCs w:val="24"/>
        </w:rPr>
        <w:t>2 mld.</w:t>
      </w:r>
      <w:r w:rsidRPr="00F36B23">
        <w:rPr>
          <w:rFonts w:ascii="Calibri" w:hAnsi="Calibri" w:cs="Calibri"/>
          <w:sz w:val="24"/>
          <w:szCs w:val="24"/>
        </w:rPr>
        <w:t xml:space="preserve"> Kč. </w:t>
      </w:r>
      <w:r w:rsidRPr="00F430D3">
        <w:rPr>
          <w:rFonts w:ascii="Calibri" w:hAnsi="Calibri" w:cs="Calibri"/>
          <w:sz w:val="24"/>
          <w:szCs w:val="24"/>
        </w:rPr>
        <w:t>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 xml:space="preserve">kapitole </w:t>
      </w:r>
      <w:r w:rsidRPr="000D5096">
        <w:rPr>
          <w:rFonts w:ascii="Calibri" w:hAnsi="Calibri" w:cs="Calibri"/>
          <w:i/>
          <w:sz w:val="24"/>
          <w:szCs w:val="24"/>
        </w:rPr>
        <w:t>Státní dluh</w:t>
      </w:r>
      <w:r w:rsidRPr="00F430D3">
        <w:rPr>
          <w:rFonts w:ascii="Calibri" w:hAnsi="Calibri" w:cs="Calibri"/>
          <w:sz w:val="24"/>
          <w:szCs w:val="24"/>
        </w:rPr>
        <w:t xml:space="preserve"> bylo 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roce 2014 provedeno 16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rozpočtových opatření, z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toho dvě vnitřní</w:t>
      </w:r>
      <w:r w:rsidR="00C92C04">
        <w:rPr>
          <w:rFonts w:ascii="Calibri" w:hAnsi="Calibri" w:cs="Calibri"/>
          <w:sz w:val="24"/>
          <w:szCs w:val="24"/>
        </w:rPr>
        <w:t xml:space="preserve"> v rámci kapitoly SD</w:t>
      </w:r>
      <w:r w:rsidRPr="00F430D3">
        <w:rPr>
          <w:rFonts w:ascii="Calibri" w:hAnsi="Calibri" w:cs="Calibri"/>
          <w:sz w:val="24"/>
          <w:szCs w:val="24"/>
        </w:rPr>
        <w:t>.</w:t>
      </w:r>
      <w:r w:rsidR="004173D6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 xml:space="preserve">Do </w:t>
      </w:r>
      <w:r w:rsidR="00014164">
        <w:rPr>
          <w:rFonts w:ascii="Calibri" w:hAnsi="Calibri" w:cs="Calibri"/>
          <w:sz w:val="24"/>
          <w:szCs w:val="24"/>
        </w:rPr>
        <w:t xml:space="preserve">jedenácti </w:t>
      </w:r>
      <w:r w:rsidRPr="00F430D3">
        <w:rPr>
          <w:rFonts w:ascii="Calibri" w:hAnsi="Calibri" w:cs="Calibri"/>
          <w:sz w:val="24"/>
          <w:szCs w:val="24"/>
        </w:rPr>
        <w:t xml:space="preserve">kapitol </w:t>
      </w:r>
      <w:r w:rsidR="00014164">
        <w:rPr>
          <w:rFonts w:ascii="Calibri" w:hAnsi="Calibri" w:cs="Calibri"/>
          <w:sz w:val="24"/>
          <w:szCs w:val="24"/>
        </w:rPr>
        <w:t xml:space="preserve">státního rozpočtu </w:t>
      </w:r>
      <w:r w:rsidRPr="00F430D3">
        <w:rPr>
          <w:rFonts w:ascii="Calibri" w:hAnsi="Calibri" w:cs="Calibri"/>
          <w:sz w:val="24"/>
          <w:szCs w:val="24"/>
        </w:rPr>
        <w:t>byla 14</w:t>
      </w:r>
      <w:r w:rsidR="00275749">
        <w:rPr>
          <w:rFonts w:ascii="Calibri" w:hAnsi="Calibri" w:cs="Calibri"/>
          <w:sz w:val="24"/>
          <w:szCs w:val="24"/>
        </w:rPr>
        <w:t> </w:t>
      </w:r>
      <w:r w:rsidRPr="00F430D3">
        <w:rPr>
          <w:rFonts w:ascii="Calibri" w:hAnsi="Calibri" w:cs="Calibri"/>
          <w:sz w:val="24"/>
          <w:szCs w:val="24"/>
        </w:rPr>
        <w:t xml:space="preserve">rozpočtovými opatřeními převedena </w:t>
      </w:r>
      <w:r w:rsidR="00E77131">
        <w:rPr>
          <w:rFonts w:ascii="Calibri" w:hAnsi="Calibri" w:cs="Calibri"/>
          <w:sz w:val="24"/>
          <w:szCs w:val="24"/>
        </w:rPr>
        <w:t xml:space="preserve">výše zmíněná </w:t>
      </w:r>
      <w:r w:rsidRPr="00F430D3">
        <w:rPr>
          <w:rFonts w:ascii="Calibri" w:hAnsi="Calibri" w:cs="Calibri"/>
          <w:sz w:val="24"/>
          <w:szCs w:val="24"/>
        </w:rPr>
        <w:t>částka 5</w:t>
      </w:r>
      <w:r w:rsidR="00F36B23">
        <w:rPr>
          <w:rFonts w:ascii="Calibri" w:hAnsi="Calibri" w:cs="Calibri"/>
          <w:sz w:val="24"/>
          <w:szCs w:val="24"/>
        </w:rPr>
        <w:t>,</w:t>
      </w:r>
      <w:r w:rsidRPr="00F430D3">
        <w:rPr>
          <w:rFonts w:ascii="Calibri" w:hAnsi="Calibri" w:cs="Calibri"/>
          <w:sz w:val="24"/>
          <w:szCs w:val="24"/>
        </w:rPr>
        <w:t>115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="00F36B23">
        <w:rPr>
          <w:rFonts w:ascii="Calibri" w:hAnsi="Calibri" w:cs="Calibri"/>
          <w:sz w:val="24"/>
          <w:szCs w:val="24"/>
        </w:rPr>
        <w:t>mld.</w:t>
      </w:r>
      <w:r w:rsidRPr="00F430D3">
        <w:rPr>
          <w:rFonts w:ascii="Calibri" w:hAnsi="Calibri" w:cs="Calibri"/>
          <w:sz w:val="24"/>
          <w:szCs w:val="24"/>
        </w:rPr>
        <w:t xml:space="preserve"> Kč</w:t>
      </w:r>
      <w:r w:rsidRPr="00F430D3">
        <w:rPr>
          <w:rFonts w:ascii="Calibri" w:hAnsi="Calibri" w:cs="Calibri"/>
          <w:sz w:val="24"/>
          <w:szCs w:val="24"/>
          <w:shd w:val="clear" w:color="auto" w:fill="FFFFFF" w:themeFill="background1"/>
        </w:rPr>
        <w:t>. Z</w:t>
      </w:r>
      <w:r w:rsidR="00BD03CD">
        <w:rPr>
          <w:rFonts w:ascii="Calibri" w:hAnsi="Calibri" w:cs="Calibri"/>
          <w:sz w:val="24"/>
          <w:szCs w:val="24"/>
          <w:shd w:val="clear" w:color="auto" w:fill="FFFFFF" w:themeFill="background1"/>
        </w:rPr>
        <w:t xml:space="preserve"> </w:t>
      </w:r>
      <w:r w:rsidRPr="00F430D3">
        <w:rPr>
          <w:rFonts w:ascii="Calibri" w:hAnsi="Calibri" w:cs="Calibri"/>
          <w:sz w:val="24"/>
          <w:szCs w:val="24"/>
          <w:shd w:val="clear" w:color="auto" w:fill="FFFFFF" w:themeFill="background1"/>
        </w:rPr>
        <w:t>toho 10</w:t>
      </w:r>
      <w:r w:rsidR="00275749">
        <w:rPr>
          <w:rFonts w:ascii="Calibri" w:hAnsi="Calibri" w:cs="Calibri"/>
          <w:sz w:val="24"/>
          <w:szCs w:val="24"/>
          <w:shd w:val="clear" w:color="auto" w:fill="FFFFFF" w:themeFill="background1"/>
        </w:rPr>
        <w:t> </w:t>
      </w:r>
      <w:r w:rsidRPr="00F430D3">
        <w:rPr>
          <w:rFonts w:ascii="Calibri" w:hAnsi="Calibri" w:cs="Calibri"/>
          <w:sz w:val="24"/>
          <w:szCs w:val="24"/>
          <w:shd w:val="clear" w:color="auto" w:fill="FFFFFF" w:themeFill="background1"/>
        </w:rPr>
        <w:t>rozpočtových opatření v</w:t>
      </w:r>
      <w:r w:rsidR="00430901">
        <w:rPr>
          <w:rFonts w:ascii="Calibri" w:hAnsi="Calibri" w:cs="Calibri"/>
          <w:sz w:val="24"/>
          <w:szCs w:val="24"/>
          <w:shd w:val="clear" w:color="auto" w:fill="FFFFFF" w:themeFill="background1"/>
        </w:rPr>
        <w:t xml:space="preserve"> </w:t>
      </w:r>
      <w:r w:rsidRPr="00F430D3">
        <w:rPr>
          <w:rFonts w:ascii="Calibri" w:hAnsi="Calibri" w:cs="Calibri"/>
          <w:sz w:val="24"/>
          <w:szCs w:val="24"/>
          <w:shd w:val="clear" w:color="auto" w:fill="FFFFFF" w:themeFill="background1"/>
        </w:rPr>
        <w:t>celkové částce 4</w:t>
      </w:r>
      <w:r w:rsidR="00F36B23">
        <w:rPr>
          <w:rFonts w:ascii="Calibri" w:hAnsi="Calibri" w:cs="Calibri"/>
          <w:sz w:val="24"/>
          <w:szCs w:val="24"/>
          <w:shd w:val="clear" w:color="auto" w:fill="FFFFFF" w:themeFill="background1"/>
        </w:rPr>
        <w:t>,</w:t>
      </w:r>
      <w:r w:rsidRPr="00F430D3">
        <w:rPr>
          <w:rFonts w:ascii="Calibri" w:hAnsi="Calibri" w:cs="Calibri"/>
          <w:sz w:val="24"/>
          <w:szCs w:val="24"/>
          <w:shd w:val="clear" w:color="auto" w:fill="FFFFFF" w:themeFill="background1"/>
        </w:rPr>
        <w:t>143</w:t>
      </w:r>
      <w:r w:rsidR="00F36B23">
        <w:rPr>
          <w:rFonts w:ascii="Calibri" w:hAnsi="Calibri" w:cs="Calibri"/>
          <w:sz w:val="24"/>
          <w:szCs w:val="24"/>
          <w:shd w:val="clear" w:color="auto" w:fill="FFFFFF" w:themeFill="background1"/>
        </w:rPr>
        <w:t xml:space="preserve"> mld.</w:t>
      </w:r>
      <w:r w:rsidRPr="00F430D3">
        <w:rPr>
          <w:rFonts w:ascii="Calibri" w:hAnsi="Calibri" w:cs="Calibri"/>
          <w:sz w:val="24"/>
          <w:szCs w:val="24"/>
          <w:shd w:val="clear" w:color="auto" w:fill="FFFFFF" w:themeFill="background1"/>
        </w:rPr>
        <w:t xml:space="preserve"> Kč bylo provedeno ve 4. čtvrtletí roku 2014.</w:t>
      </w:r>
      <w:r w:rsidRPr="00F430D3">
        <w:rPr>
          <w:rFonts w:ascii="Calibri" w:hAnsi="Calibri" w:cs="Calibri"/>
          <w:sz w:val="24"/>
          <w:szCs w:val="24"/>
        </w:rPr>
        <w:t xml:space="preserve"> </w:t>
      </w:r>
    </w:p>
    <w:p w14:paraId="1167AC10" w14:textId="076E6F37" w:rsidR="00671E1E" w:rsidRPr="00430901" w:rsidRDefault="00671E1E" w:rsidP="00E667AD">
      <w:pPr>
        <w:spacing w:after="40" w:line="240" w:lineRule="auto"/>
        <w:ind w:left="1418" w:hanging="1418"/>
        <w:rPr>
          <w:rFonts w:cstheme="minorHAnsi"/>
          <w:b/>
          <w:sz w:val="24"/>
          <w:szCs w:val="24"/>
        </w:rPr>
      </w:pPr>
      <w:r w:rsidRPr="00430901">
        <w:rPr>
          <w:rFonts w:cstheme="minorHAnsi"/>
          <w:b/>
          <w:sz w:val="24"/>
          <w:szCs w:val="24"/>
        </w:rPr>
        <w:lastRenderedPageBreak/>
        <w:t xml:space="preserve">Tabulka č. </w:t>
      </w:r>
      <w:r w:rsidR="00C31D5F">
        <w:rPr>
          <w:rFonts w:cstheme="minorHAnsi"/>
          <w:b/>
          <w:sz w:val="24"/>
          <w:szCs w:val="24"/>
        </w:rPr>
        <w:t>3</w:t>
      </w:r>
      <w:r w:rsidR="00C31D5F" w:rsidRPr="00430901">
        <w:rPr>
          <w:rFonts w:cstheme="minorHAnsi"/>
          <w:b/>
          <w:sz w:val="24"/>
          <w:szCs w:val="24"/>
        </w:rPr>
        <w:t xml:space="preserve"> </w:t>
      </w:r>
      <w:r w:rsidRPr="00430901">
        <w:rPr>
          <w:rFonts w:cstheme="minorHAnsi"/>
          <w:b/>
          <w:sz w:val="24"/>
          <w:szCs w:val="24"/>
        </w:rPr>
        <w:t>–</w:t>
      </w:r>
      <w:r w:rsidR="00430901">
        <w:rPr>
          <w:rFonts w:cstheme="minorHAnsi"/>
          <w:b/>
          <w:sz w:val="24"/>
          <w:szCs w:val="24"/>
        </w:rPr>
        <w:tab/>
      </w:r>
      <w:r w:rsidRPr="00430901">
        <w:rPr>
          <w:rFonts w:cstheme="minorHAnsi"/>
          <w:b/>
          <w:sz w:val="24"/>
          <w:szCs w:val="24"/>
        </w:rPr>
        <w:t>Převody prostředků formou rozpočtových opatření (ROP) z</w:t>
      </w:r>
      <w:r w:rsidR="00430901">
        <w:rPr>
          <w:rFonts w:cstheme="minorHAnsi"/>
          <w:b/>
          <w:sz w:val="24"/>
          <w:szCs w:val="24"/>
        </w:rPr>
        <w:t xml:space="preserve"> </w:t>
      </w:r>
      <w:r w:rsidRPr="00430901">
        <w:rPr>
          <w:rFonts w:cstheme="minorHAnsi"/>
          <w:b/>
          <w:sz w:val="24"/>
          <w:szCs w:val="24"/>
        </w:rPr>
        <w:t>kapitoly SD do jiných kapitol v</w:t>
      </w:r>
      <w:r w:rsidR="00430901">
        <w:rPr>
          <w:rFonts w:cstheme="minorHAnsi"/>
          <w:b/>
          <w:sz w:val="24"/>
          <w:szCs w:val="24"/>
        </w:rPr>
        <w:t xml:space="preserve"> </w:t>
      </w:r>
      <w:r w:rsidRPr="00430901">
        <w:rPr>
          <w:rFonts w:cstheme="minorHAnsi"/>
          <w:b/>
          <w:sz w:val="24"/>
          <w:szCs w:val="24"/>
        </w:rPr>
        <w:t>jednotlivých čtvrtletích roku 2014</w:t>
      </w:r>
    </w:p>
    <w:tbl>
      <w:tblPr>
        <w:tblStyle w:val="Mkatabulky6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1417"/>
        <w:gridCol w:w="1417"/>
        <w:gridCol w:w="1417"/>
        <w:gridCol w:w="1701"/>
      </w:tblGrid>
      <w:tr w:rsidR="00430901" w:rsidRPr="00E667AD" w14:paraId="6E85DCE7" w14:textId="77777777" w:rsidTr="00E667AD">
        <w:trPr>
          <w:trHeight w:val="22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1408F5E" w14:textId="77777777" w:rsidR="00430901" w:rsidRPr="00E667AD" w:rsidRDefault="00430901" w:rsidP="00E667AD">
            <w:pPr>
              <w:rPr>
                <w:rFonts w:eastAsiaTheme="minorHAnsi" w:cstheme="minorHAnsi"/>
                <w:sz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4C8F3C6" w14:textId="77777777" w:rsidR="00430901" w:rsidRPr="000D5096" w:rsidRDefault="00430901" w:rsidP="003C0F64">
            <w:pPr>
              <w:jc w:val="center"/>
              <w:rPr>
                <w:rFonts w:eastAsiaTheme="minorHAnsi" w:cstheme="minorHAnsi"/>
                <w:b/>
                <w:sz w:val="20"/>
              </w:rPr>
            </w:pPr>
            <w:r w:rsidRPr="000D5096">
              <w:rPr>
                <w:rFonts w:eastAsiaTheme="minorHAnsi" w:cstheme="minorHAnsi"/>
                <w:b/>
                <w:sz w:val="20"/>
              </w:rPr>
              <w:t>II. čtvrtletí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C3CB89E" w14:textId="77777777" w:rsidR="00430901" w:rsidRPr="000D5096" w:rsidRDefault="00430901" w:rsidP="003C0F64">
            <w:pPr>
              <w:jc w:val="center"/>
              <w:rPr>
                <w:rFonts w:eastAsiaTheme="minorHAnsi" w:cstheme="minorHAnsi"/>
                <w:b/>
                <w:sz w:val="20"/>
              </w:rPr>
            </w:pPr>
            <w:r w:rsidRPr="000D5096">
              <w:rPr>
                <w:rFonts w:eastAsiaTheme="minorHAnsi" w:cstheme="minorHAnsi"/>
                <w:b/>
                <w:sz w:val="20"/>
              </w:rPr>
              <w:t>III. čtvrtletí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0833606" w14:textId="77777777" w:rsidR="00430901" w:rsidRPr="000D5096" w:rsidRDefault="00430901" w:rsidP="003C0F64">
            <w:pPr>
              <w:jc w:val="center"/>
              <w:rPr>
                <w:rFonts w:eastAsiaTheme="minorHAnsi" w:cstheme="minorHAnsi"/>
                <w:b/>
                <w:sz w:val="20"/>
              </w:rPr>
            </w:pPr>
            <w:r w:rsidRPr="000D5096">
              <w:rPr>
                <w:rFonts w:eastAsiaTheme="minorHAnsi" w:cstheme="minorHAnsi"/>
                <w:b/>
                <w:sz w:val="20"/>
              </w:rPr>
              <w:t>IV. čtvrtletí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4BC7FF7" w14:textId="77777777" w:rsidR="00430901" w:rsidRPr="000D5096" w:rsidRDefault="00430901" w:rsidP="003C0F64">
            <w:pPr>
              <w:jc w:val="center"/>
              <w:rPr>
                <w:rFonts w:eastAsiaTheme="minorHAnsi" w:cstheme="minorHAnsi"/>
                <w:b/>
                <w:sz w:val="20"/>
              </w:rPr>
            </w:pPr>
            <w:r w:rsidRPr="000D5096">
              <w:rPr>
                <w:rFonts w:eastAsiaTheme="minorHAnsi" w:cstheme="minorHAnsi"/>
                <w:b/>
                <w:sz w:val="20"/>
              </w:rPr>
              <w:t>Rok 2014 celkem</w:t>
            </w:r>
          </w:p>
        </w:tc>
      </w:tr>
      <w:tr w:rsidR="00430901" w:rsidRPr="00E667AD" w14:paraId="2DE61BB9" w14:textId="77777777" w:rsidTr="00E667AD">
        <w:trPr>
          <w:trHeight w:val="22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0787046" w14:textId="77777777" w:rsidR="00430901" w:rsidRPr="00E667AD" w:rsidRDefault="00430901" w:rsidP="00E667AD">
            <w:pPr>
              <w:rPr>
                <w:rFonts w:eastAsiaTheme="minorHAnsi" w:cstheme="minorHAnsi"/>
                <w:sz w:val="20"/>
              </w:rPr>
            </w:pPr>
            <w:r w:rsidRPr="00E667AD">
              <w:rPr>
                <w:rFonts w:eastAsiaTheme="minorHAnsi" w:cstheme="minorHAnsi"/>
                <w:sz w:val="20"/>
              </w:rPr>
              <w:t>Počet ROP</w:t>
            </w:r>
          </w:p>
        </w:tc>
        <w:tc>
          <w:tcPr>
            <w:tcW w:w="1417" w:type="dxa"/>
            <w:vAlign w:val="center"/>
          </w:tcPr>
          <w:p w14:paraId="4777E5B3" w14:textId="77777777" w:rsidR="00430901" w:rsidRPr="00E667AD" w:rsidRDefault="00430901" w:rsidP="003C0F64">
            <w:pPr>
              <w:jc w:val="center"/>
              <w:rPr>
                <w:rFonts w:eastAsiaTheme="minorHAnsi" w:cstheme="minorHAnsi"/>
                <w:sz w:val="20"/>
              </w:rPr>
            </w:pPr>
            <w:r w:rsidRPr="00E667AD">
              <w:rPr>
                <w:rFonts w:eastAsiaTheme="minorHAnsi" w:cstheme="minorHAnsi"/>
                <w:sz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5DB3EDAD" w14:textId="77777777" w:rsidR="00430901" w:rsidRPr="00E667AD" w:rsidRDefault="00430901" w:rsidP="003C0F64">
            <w:pPr>
              <w:jc w:val="center"/>
              <w:rPr>
                <w:rFonts w:eastAsiaTheme="minorHAnsi" w:cstheme="minorHAnsi"/>
                <w:sz w:val="20"/>
              </w:rPr>
            </w:pPr>
            <w:r w:rsidRPr="00E667AD">
              <w:rPr>
                <w:rFonts w:eastAsiaTheme="minorHAnsi" w:cstheme="minorHAnsi"/>
                <w:sz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5AB1E408" w14:textId="77777777" w:rsidR="00430901" w:rsidRPr="00E667AD" w:rsidRDefault="00430901" w:rsidP="003C0F64">
            <w:pPr>
              <w:jc w:val="center"/>
              <w:rPr>
                <w:rFonts w:eastAsiaTheme="minorHAnsi" w:cstheme="minorHAnsi"/>
                <w:sz w:val="20"/>
              </w:rPr>
            </w:pPr>
            <w:r w:rsidRPr="00E667AD">
              <w:rPr>
                <w:rFonts w:eastAsiaTheme="minorHAnsi" w:cstheme="minorHAnsi"/>
                <w:sz w:val="20"/>
              </w:rPr>
              <w:t>10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585ED1B" w14:textId="77777777" w:rsidR="00430901" w:rsidRPr="00E667AD" w:rsidRDefault="00430901" w:rsidP="003C0F64">
            <w:pPr>
              <w:jc w:val="center"/>
              <w:rPr>
                <w:rFonts w:eastAsiaTheme="minorHAnsi" w:cstheme="minorHAnsi"/>
                <w:sz w:val="20"/>
              </w:rPr>
            </w:pPr>
            <w:r w:rsidRPr="00E667AD">
              <w:rPr>
                <w:rFonts w:eastAsiaTheme="minorHAnsi" w:cstheme="minorHAnsi"/>
                <w:sz w:val="20"/>
              </w:rPr>
              <w:t>14</w:t>
            </w:r>
          </w:p>
        </w:tc>
      </w:tr>
      <w:tr w:rsidR="00430901" w:rsidRPr="00E667AD" w14:paraId="74DFE5B2" w14:textId="77777777" w:rsidTr="00E667AD">
        <w:trPr>
          <w:trHeight w:val="22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6FC245DF" w14:textId="45329599" w:rsidR="00430901" w:rsidRPr="00E667AD" w:rsidRDefault="00430901" w:rsidP="00E667AD">
            <w:pPr>
              <w:rPr>
                <w:rFonts w:eastAsiaTheme="minorHAnsi" w:cstheme="minorHAnsi"/>
                <w:sz w:val="20"/>
              </w:rPr>
            </w:pPr>
            <w:r w:rsidRPr="00E667AD">
              <w:rPr>
                <w:rFonts w:eastAsiaTheme="minorHAnsi" w:cstheme="minorHAnsi"/>
                <w:sz w:val="20"/>
              </w:rPr>
              <w:t xml:space="preserve">Celková částka </w:t>
            </w:r>
            <w:r w:rsidR="00642A70">
              <w:rPr>
                <w:rFonts w:eastAsiaTheme="minorHAnsi" w:cstheme="minorHAnsi"/>
                <w:sz w:val="20"/>
              </w:rPr>
              <w:t>(</w:t>
            </w:r>
            <w:r w:rsidRPr="00E667AD">
              <w:rPr>
                <w:rFonts w:eastAsiaTheme="minorHAnsi" w:cstheme="minorHAnsi"/>
                <w:sz w:val="20"/>
              </w:rPr>
              <w:t>v mil. Kč</w:t>
            </w:r>
            <w:r w:rsidR="00642A70">
              <w:rPr>
                <w:rFonts w:eastAsiaTheme="minorHAnsi" w:cstheme="minorHAnsi"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0AFF68A9" w14:textId="77777777" w:rsidR="00430901" w:rsidRPr="00E667AD" w:rsidRDefault="00430901" w:rsidP="003C0F64">
            <w:pPr>
              <w:jc w:val="center"/>
              <w:rPr>
                <w:rFonts w:eastAsiaTheme="minorHAnsi" w:cstheme="minorHAnsi"/>
                <w:sz w:val="20"/>
              </w:rPr>
            </w:pPr>
            <w:r w:rsidRPr="00E667AD">
              <w:rPr>
                <w:rFonts w:eastAsiaTheme="minorHAnsi" w:cstheme="minorHAnsi"/>
                <w:sz w:val="20"/>
              </w:rPr>
              <w:t>365</w:t>
            </w:r>
          </w:p>
        </w:tc>
        <w:tc>
          <w:tcPr>
            <w:tcW w:w="1417" w:type="dxa"/>
            <w:vAlign w:val="center"/>
          </w:tcPr>
          <w:p w14:paraId="035EDD8F" w14:textId="77777777" w:rsidR="00430901" w:rsidRPr="00E667AD" w:rsidRDefault="00430901" w:rsidP="003C0F64">
            <w:pPr>
              <w:jc w:val="center"/>
              <w:rPr>
                <w:rFonts w:eastAsiaTheme="minorHAnsi" w:cstheme="minorHAnsi"/>
                <w:sz w:val="20"/>
              </w:rPr>
            </w:pPr>
            <w:r w:rsidRPr="00E667AD">
              <w:rPr>
                <w:rFonts w:eastAsiaTheme="minorHAnsi" w:cstheme="minorHAnsi"/>
                <w:sz w:val="20"/>
              </w:rPr>
              <w:t>607</w:t>
            </w:r>
          </w:p>
        </w:tc>
        <w:tc>
          <w:tcPr>
            <w:tcW w:w="1417" w:type="dxa"/>
            <w:vAlign w:val="center"/>
          </w:tcPr>
          <w:p w14:paraId="69667955" w14:textId="77777777" w:rsidR="00430901" w:rsidRPr="00E667AD" w:rsidRDefault="00430901" w:rsidP="003C0F64">
            <w:pPr>
              <w:jc w:val="center"/>
              <w:rPr>
                <w:rFonts w:eastAsiaTheme="minorHAnsi" w:cstheme="minorHAnsi"/>
                <w:sz w:val="20"/>
              </w:rPr>
            </w:pPr>
            <w:r w:rsidRPr="00E667AD">
              <w:rPr>
                <w:rFonts w:eastAsiaTheme="minorHAnsi" w:cstheme="minorHAnsi"/>
                <w:sz w:val="20"/>
              </w:rPr>
              <w:t>4 143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B49AF89" w14:textId="77777777" w:rsidR="00430901" w:rsidRPr="00E667AD" w:rsidRDefault="00430901" w:rsidP="003C0F64">
            <w:pPr>
              <w:jc w:val="center"/>
              <w:rPr>
                <w:rFonts w:eastAsiaTheme="minorHAnsi" w:cstheme="minorHAnsi"/>
                <w:sz w:val="20"/>
              </w:rPr>
            </w:pPr>
            <w:r w:rsidRPr="00E667AD">
              <w:rPr>
                <w:rFonts w:eastAsiaTheme="minorHAnsi" w:cstheme="minorHAnsi"/>
                <w:sz w:val="20"/>
              </w:rPr>
              <w:t>5 115</w:t>
            </w:r>
          </w:p>
        </w:tc>
      </w:tr>
      <w:tr w:rsidR="00430901" w:rsidRPr="00E667AD" w14:paraId="4AFF040F" w14:textId="77777777" w:rsidTr="00E667AD">
        <w:trPr>
          <w:trHeight w:val="22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4C7BD014" w14:textId="0133DBBA" w:rsidR="00430901" w:rsidRPr="00E667AD" w:rsidRDefault="00430901" w:rsidP="0005132E">
            <w:pPr>
              <w:rPr>
                <w:rFonts w:eastAsiaTheme="minorHAnsi" w:cstheme="minorHAnsi"/>
                <w:sz w:val="20"/>
              </w:rPr>
            </w:pPr>
            <w:r w:rsidRPr="00E667AD">
              <w:rPr>
                <w:rFonts w:eastAsiaTheme="minorHAnsi" w:cstheme="minorHAnsi"/>
                <w:sz w:val="20"/>
              </w:rPr>
              <w:t xml:space="preserve">Podíl </w:t>
            </w:r>
            <w:r w:rsidR="0005132E">
              <w:rPr>
                <w:rFonts w:eastAsiaTheme="minorHAnsi" w:cstheme="minorHAnsi"/>
                <w:sz w:val="20"/>
              </w:rPr>
              <w:t>ROP na celkové částce převedené za rok 2014</w:t>
            </w:r>
            <w:r w:rsidRPr="00E667AD">
              <w:rPr>
                <w:rFonts w:eastAsiaTheme="minorHAnsi" w:cstheme="minorHAnsi"/>
                <w:sz w:val="20"/>
              </w:rPr>
              <w:t xml:space="preserve"> </w:t>
            </w:r>
            <w:r w:rsidR="0005132E">
              <w:rPr>
                <w:rFonts w:eastAsiaTheme="minorHAnsi" w:cstheme="minorHAnsi"/>
                <w:sz w:val="20"/>
              </w:rPr>
              <w:t>(</w:t>
            </w:r>
            <w:r w:rsidRPr="00E667AD">
              <w:rPr>
                <w:rFonts w:eastAsiaTheme="minorHAnsi" w:cstheme="minorHAnsi"/>
                <w:sz w:val="20"/>
              </w:rPr>
              <w:t>v %</w:t>
            </w:r>
            <w:r w:rsidR="0005132E">
              <w:rPr>
                <w:rFonts w:eastAsiaTheme="minorHAnsi" w:cstheme="minorHAnsi"/>
                <w:sz w:val="20"/>
              </w:rPr>
              <w:t>)</w:t>
            </w:r>
          </w:p>
        </w:tc>
        <w:tc>
          <w:tcPr>
            <w:tcW w:w="1417" w:type="dxa"/>
            <w:vAlign w:val="center"/>
          </w:tcPr>
          <w:p w14:paraId="44EA7731" w14:textId="77777777" w:rsidR="00430901" w:rsidRPr="00E667AD" w:rsidRDefault="00430901" w:rsidP="003C0F64">
            <w:pPr>
              <w:jc w:val="center"/>
              <w:rPr>
                <w:rFonts w:eastAsiaTheme="minorHAnsi" w:cstheme="minorHAnsi"/>
                <w:sz w:val="20"/>
              </w:rPr>
            </w:pPr>
            <w:r w:rsidRPr="00E667AD">
              <w:rPr>
                <w:rFonts w:eastAsiaTheme="minorHAnsi" w:cstheme="minorHAnsi"/>
                <w:sz w:val="20"/>
              </w:rPr>
              <w:t>7 %</w:t>
            </w:r>
          </w:p>
        </w:tc>
        <w:tc>
          <w:tcPr>
            <w:tcW w:w="1417" w:type="dxa"/>
            <w:vAlign w:val="center"/>
          </w:tcPr>
          <w:p w14:paraId="71EB6A2A" w14:textId="77777777" w:rsidR="00430901" w:rsidRPr="00E667AD" w:rsidRDefault="00430901" w:rsidP="003C0F64">
            <w:pPr>
              <w:jc w:val="center"/>
              <w:rPr>
                <w:rFonts w:eastAsiaTheme="minorHAnsi" w:cstheme="minorHAnsi"/>
                <w:sz w:val="20"/>
              </w:rPr>
            </w:pPr>
            <w:r w:rsidRPr="00E667AD">
              <w:rPr>
                <w:rFonts w:eastAsiaTheme="minorHAnsi" w:cstheme="minorHAnsi"/>
                <w:sz w:val="20"/>
              </w:rPr>
              <w:t>12 %</w:t>
            </w:r>
          </w:p>
        </w:tc>
        <w:tc>
          <w:tcPr>
            <w:tcW w:w="1417" w:type="dxa"/>
            <w:vAlign w:val="center"/>
          </w:tcPr>
          <w:p w14:paraId="6F54C584" w14:textId="77777777" w:rsidR="00430901" w:rsidRPr="00E667AD" w:rsidRDefault="00430901" w:rsidP="003C0F64">
            <w:pPr>
              <w:jc w:val="center"/>
              <w:rPr>
                <w:rFonts w:eastAsiaTheme="minorHAnsi" w:cstheme="minorHAnsi"/>
                <w:sz w:val="20"/>
              </w:rPr>
            </w:pPr>
            <w:r w:rsidRPr="00E667AD">
              <w:rPr>
                <w:rFonts w:eastAsiaTheme="minorHAnsi" w:cstheme="minorHAnsi"/>
                <w:sz w:val="20"/>
              </w:rPr>
              <w:t>81 %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22A4753" w14:textId="77777777" w:rsidR="00430901" w:rsidRPr="00E667AD" w:rsidRDefault="00430901" w:rsidP="003C0F64">
            <w:pPr>
              <w:jc w:val="center"/>
              <w:rPr>
                <w:rFonts w:eastAsiaTheme="minorHAnsi" w:cstheme="minorHAnsi"/>
                <w:sz w:val="20"/>
              </w:rPr>
            </w:pPr>
            <w:r w:rsidRPr="00E667AD">
              <w:rPr>
                <w:rFonts w:eastAsiaTheme="minorHAnsi" w:cstheme="minorHAnsi"/>
                <w:sz w:val="20"/>
              </w:rPr>
              <w:t>100 %</w:t>
            </w:r>
          </w:p>
        </w:tc>
      </w:tr>
    </w:tbl>
    <w:p w14:paraId="344B832D" w14:textId="3D811E60" w:rsidR="00671E1E" w:rsidRPr="00430901" w:rsidRDefault="00671E1E" w:rsidP="00E667AD">
      <w:pPr>
        <w:spacing w:before="40" w:after="0" w:line="240" w:lineRule="auto"/>
        <w:rPr>
          <w:rFonts w:cstheme="minorHAnsi"/>
          <w:sz w:val="20"/>
          <w:szCs w:val="20"/>
        </w:rPr>
      </w:pPr>
      <w:r w:rsidRPr="00E34946">
        <w:rPr>
          <w:rFonts w:cstheme="minorHAnsi"/>
          <w:b/>
          <w:sz w:val="20"/>
          <w:szCs w:val="20"/>
        </w:rPr>
        <w:t>Zdroj:</w:t>
      </w:r>
      <w:r w:rsidRPr="00430901">
        <w:rPr>
          <w:rFonts w:cstheme="minorHAnsi"/>
          <w:sz w:val="20"/>
          <w:szCs w:val="20"/>
        </w:rPr>
        <w:t xml:space="preserve"> </w:t>
      </w:r>
      <w:r w:rsidR="009B68CE">
        <w:rPr>
          <w:rFonts w:cstheme="minorHAnsi"/>
          <w:sz w:val="20"/>
          <w:szCs w:val="20"/>
        </w:rPr>
        <w:t>s</w:t>
      </w:r>
      <w:r w:rsidRPr="00430901">
        <w:rPr>
          <w:rFonts w:cstheme="minorHAnsi"/>
          <w:sz w:val="20"/>
          <w:szCs w:val="20"/>
        </w:rPr>
        <w:t>pisy MF</w:t>
      </w:r>
      <w:r w:rsidR="00430901">
        <w:rPr>
          <w:rFonts w:cstheme="minorHAnsi"/>
          <w:sz w:val="20"/>
          <w:szCs w:val="20"/>
        </w:rPr>
        <w:t>.</w:t>
      </w:r>
    </w:p>
    <w:p w14:paraId="4FF41303" w14:textId="77777777" w:rsidR="00671E1E" w:rsidRPr="00E667AD" w:rsidRDefault="00671E1E" w:rsidP="00671E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18A46BC" w14:textId="6FA87DCC" w:rsidR="00671E1E" w:rsidRDefault="00671E1E" w:rsidP="00671E1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30D3">
        <w:rPr>
          <w:rFonts w:cstheme="minorHAnsi"/>
          <w:sz w:val="24"/>
          <w:szCs w:val="24"/>
        </w:rPr>
        <w:t>Na základě usnesení vlády bylo provedeno šest rozpočtových opatření v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celkové částce 1</w:t>
      </w:r>
      <w:r w:rsidR="00F36B23">
        <w:rPr>
          <w:rFonts w:cstheme="minorHAnsi"/>
          <w:sz w:val="24"/>
          <w:szCs w:val="24"/>
        </w:rPr>
        <w:t>,</w:t>
      </w:r>
      <w:r w:rsidR="00FB1932">
        <w:rPr>
          <w:rFonts w:cstheme="minorHAnsi"/>
          <w:sz w:val="24"/>
          <w:szCs w:val="24"/>
        </w:rPr>
        <w:t>755</w:t>
      </w:r>
      <w:r w:rsidR="00F27498">
        <w:rPr>
          <w:rFonts w:cstheme="minorHAnsi"/>
          <w:sz w:val="24"/>
          <w:szCs w:val="24"/>
        </w:rPr>
        <w:t> </w:t>
      </w:r>
      <w:r w:rsidR="00F36B23">
        <w:rPr>
          <w:rFonts w:cstheme="minorHAnsi"/>
          <w:sz w:val="24"/>
          <w:szCs w:val="24"/>
        </w:rPr>
        <w:t>mld.</w:t>
      </w:r>
      <w:r w:rsidRPr="00F430D3">
        <w:rPr>
          <w:rFonts w:cstheme="minorHAnsi"/>
          <w:sz w:val="24"/>
          <w:szCs w:val="24"/>
        </w:rPr>
        <w:t xml:space="preserve"> Kč</w:t>
      </w:r>
      <w:r w:rsidR="00C95CF3">
        <w:rPr>
          <w:rFonts w:cstheme="minorHAnsi"/>
          <w:sz w:val="24"/>
          <w:szCs w:val="24"/>
        </w:rPr>
        <w:t>.</w:t>
      </w:r>
      <w:r w:rsidRPr="00F430D3">
        <w:rPr>
          <w:rFonts w:cstheme="minorHAnsi"/>
          <w:sz w:val="24"/>
          <w:szCs w:val="24"/>
        </w:rPr>
        <w:t xml:space="preserve"> </w:t>
      </w:r>
      <w:r w:rsidR="00C95CF3">
        <w:rPr>
          <w:rFonts w:cstheme="minorHAnsi"/>
          <w:sz w:val="24"/>
          <w:szCs w:val="24"/>
        </w:rPr>
        <w:t>O</w:t>
      </w:r>
      <w:r w:rsidRPr="00F430D3">
        <w:rPr>
          <w:rFonts w:cstheme="minorHAnsi"/>
          <w:sz w:val="24"/>
          <w:szCs w:val="24"/>
        </w:rPr>
        <w:t xml:space="preserve">statní rozpočtová opatření </w:t>
      </w:r>
      <w:r w:rsidR="00795C6B">
        <w:rPr>
          <w:rFonts w:cstheme="minorHAnsi"/>
          <w:sz w:val="24"/>
          <w:szCs w:val="24"/>
        </w:rPr>
        <w:t xml:space="preserve">ve výši 3,36 mld. Kč </w:t>
      </w:r>
      <w:r w:rsidRPr="00F430D3">
        <w:rPr>
          <w:rFonts w:cstheme="minorHAnsi"/>
          <w:sz w:val="24"/>
          <w:szCs w:val="24"/>
        </w:rPr>
        <w:t xml:space="preserve">byla </w:t>
      </w:r>
      <w:r w:rsidR="005D28B4">
        <w:rPr>
          <w:rFonts w:cstheme="minorHAnsi"/>
          <w:sz w:val="24"/>
          <w:szCs w:val="24"/>
        </w:rPr>
        <w:t>povolena</w:t>
      </w:r>
      <w:r w:rsidR="005D28B4" w:rsidRPr="00F430D3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ministrem financí</w:t>
      </w:r>
      <w:r w:rsidR="00C95CF3">
        <w:rPr>
          <w:rFonts w:cstheme="minorHAnsi"/>
          <w:sz w:val="24"/>
          <w:szCs w:val="24"/>
        </w:rPr>
        <w:t xml:space="preserve"> </w:t>
      </w:r>
      <w:r w:rsidR="00C95CF3" w:rsidRPr="00526F62">
        <w:rPr>
          <w:rFonts w:cstheme="minorHAnsi"/>
          <w:sz w:val="24"/>
          <w:szCs w:val="24"/>
        </w:rPr>
        <w:t>(z toho 92 %</w:t>
      </w:r>
      <w:r w:rsidR="00E33EBD" w:rsidRPr="00526F62">
        <w:rPr>
          <w:rFonts w:cstheme="minorHAnsi"/>
          <w:sz w:val="24"/>
          <w:szCs w:val="24"/>
        </w:rPr>
        <w:t xml:space="preserve"> prostředků</w:t>
      </w:r>
      <w:r w:rsidR="00AC45B1" w:rsidRPr="00526F62">
        <w:rPr>
          <w:rFonts w:cstheme="minorHAnsi"/>
          <w:sz w:val="24"/>
          <w:szCs w:val="24"/>
        </w:rPr>
        <w:t xml:space="preserve"> směřovalo do kapitol spravovaných MF)</w:t>
      </w:r>
      <w:r w:rsidRPr="00F430D3">
        <w:rPr>
          <w:rFonts w:cstheme="minorHAnsi"/>
          <w:sz w:val="24"/>
          <w:szCs w:val="24"/>
        </w:rPr>
        <w:t>. Rozpočtovými opatřeními bylo v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roce 2014 převedeno z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kapitoly SD do rozpočtu jiných kapitol 7,8</w:t>
      </w:r>
      <w:r w:rsidR="00BA5AF0">
        <w:rPr>
          <w:rFonts w:cstheme="minorHAnsi"/>
          <w:sz w:val="24"/>
          <w:szCs w:val="24"/>
        </w:rPr>
        <w:t>8 % schváleného rozpočtu výdajů</w:t>
      </w:r>
      <w:r w:rsidR="00073ACF" w:rsidRPr="00073ACF">
        <w:rPr>
          <w:rFonts w:cstheme="minorHAnsi"/>
          <w:sz w:val="24"/>
          <w:szCs w:val="24"/>
        </w:rPr>
        <w:t xml:space="preserve"> </w:t>
      </w:r>
      <w:r w:rsidR="00073ACF" w:rsidRPr="00F430D3">
        <w:rPr>
          <w:rFonts w:cstheme="minorHAnsi"/>
          <w:sz w:val="24"/>
          <w:szCs w:val="24"/>
        </w:rPr>
        <w:t>kapitoly SD</w:t>
      </w:r>
      <w:r w:rsidRPr="00F430D3">
        <w:rPr>
          <w:rFonts w:cstheme="minorHAnsi"/>
          <w:sz w:val="24"/>
          <w:szCs w:val="24"/>
        </w:rPr>
        <w:t xml:space="preserve">. </w:t>
      </w:r>
      <w:r w:rsidR="00F5455C">
        <w:rPr>
          <w:rFonts w:cstheme="minorHAnsi"/>
          <w:sz w:val="24"/>
          <w:szCs w:val="24"/>
        </w:rPr>
        <w:t>N</w:t>
      </w:r>
      <w:r w:rsidRPr="00F430D3">
        <w:rPr>
          <w:rFonts w:cstheme="minorHAnsi"/>
          <w:sz w:val="24"/>
          <w:szCs w:val="24"/>
        </w:rPr>
        <w:t xml:space="preserve">ejvětší objem prostředků </w:t>
      </w:r>
      <w:r w:rsidR="00F5455C" w:rsidRPr="00F430D3">
        <w:rPr>
          <w:rFonts w:cstheme="minorHAnsi"/>
          <w:sz w:val="24"/>
          <w:szCs w:val="24"/>
        </w:rPr>
        <w:t xml:space="preserve">byl </w:t>
      </w:r>
      <w:r w:rsidRPr="00F430D3">
        <w:rPr>
          <w:rFonts w:cstheme="minorHAnsi"/>
          <w:sz w:val="24"/>
          <w:szCs w:val="24"/>
        </w:rPr>
        <w:t>převeden do kapitol 398</w:t>
      </w:r>
      <w:r w:rsidR="00935447">
        <w:rPr>
          <w:rFonts w:cstheme="minorHAnsi"/>
          <w:sz w:val="24"/>
          <w:szCs w:val="24"/>
        </w:rPr>
        <w:t> –</w:t>
      </w:r>
      <w:r w:rsidR="00430901">
        <w:rPr>
          <w:rFonts w:cstheme="minorHAnsi"/>
          <w:sz w:val="24"/>
          <w:szCs w:val="24"/>
        </w:rPr>
        <w:t xml:space="preserve"> </w:t>
      </w:r>
      <w:r w:rsidR="00363194" w:rsidRPr="000D5096">
        <w:rPr>
          <w:rFonts w:cstheme="minorHAnsi"/>
          <w:i/>
          <w:sz w:val="24"/>
          <w:szCs w:val="24"/>
        </w:rPr>
        <w:t>Všeobecná pokladní správa</w:t>
      </w:r>
      <w:r w:rsidRPr="00F430D3">
        <w:rPr>
          <w:rFonts w:cstheme="minorHAnsi"/>
          <w:sz w:val="24"/>
          <w:szCs w:val="24"/>
        </w:rPr>
        <w:t xml:space="preserve"> (2</w:t>
      </w:r>
      <w:r w:rsidR="00F36B23">
        <w:rPr>
          <w:rFonts w:cstheme="minorHAnsi"/>
          <w:sz w:val="24"/>
          <w:szCs w:val="24"/>
        </w:rPr>
        <w:t>,</w:t>
      </w:r>
      <w:r w:rsidRPr="00F430D3">
        <w:rPr>
          <w:rFonts w:cstheme="minorHAnsi"/>
          <w:sz w:val="24"/>
          <w:szCs w:val="24"/>
        </w:rPr>
        <w:t>52</w:t>
      </w:r>
      <w:r w:rsidR="00F36B23">
        <w:rPr>
          <w:rFonts w:cstheme="minorHAnsi"/>
          <w:sz w:val="24"/>
          <w:szCs w:val="24"/>
        </w:rPr>
        <w:t>8 mld.</w:t>
      </w:r>
      <w:r w:rsidR="00BD03CD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Kč), 312</w:t>
      </w:r>
      <w:r w:rsidR="00935447">
        <w:rPr>
          <w:rFonts w:cstheme="minorHAnsi"/>
          <w:sz w:val="24"/>
          <w:szCs w:val="24"/>
        </w:rPr>
        <w:t> –</w:t>
      </w:r>
      <w:r w:rsidR="00C96771">
        <w:rPr>
          <w:rFonts w:cstheme="minorHAnsi"/>
          <w:sz w:val="24"/>
          <w:szCs w:val="24"/>
        </w:rPr>
        <w:t xml:space="preserve"> </w:t>
      </w:r>
      <w:r w:rsidR="00363194" w:rsidRPr="000D5096">
        <w:rPr>
          <w:rFonts w:cstheme="minorHAnsi"/>
          <w:i/>
          <w:sz w:val="24"/>
          <w:szCs w:val="24"/>
        </w:rPr>
        <w:t>Ministerstvo financí</w:t>
      </w:r>
      <w:r w:rsidRPr="00F430D3">
        <w:rPr>
          <w:rFonts w:cstheme="minorHAnsi"/>
          <w:sz w:val="24"/>
          <w:szCs w:val="24"/>
        </w:rPr>
        <w:t xml:space="preserve"> (</w:t>
      </w:r>
      <w:r w:rsidR="00F36B23">
        <w:rPr>
          <w:rFonts w:cstheme="minorHAnsi"/>
          <w:sz w:val="24"/>
          <w:szCs w:val="24"/>
        </w:rPr>
        <w:t>0,</w:t>
      </w:r>
      <w:r w:rsidRPr="00F430D3">
        <w:rPr>
          <w:rFonts w:cstheme="minorHAnsi"/>
          <w:sz w:val="24"/>
          <w:szCs w:val="24"/>
        </w:rPr>
        <w:t>570</w:t>
      </w:r>
      <w:r w:rsidR="00F36B23">
        <w:rPr>
          <w:rFonts w:cstheme="minorHAnsi"/>
          <w:sz w:val="24"/>
          <w:szCs w:val="24"/>
        </w:rPr>
        <w:t xml:space="preserve"> mld.</w:t>
      </w:r>
      <w:r w:rsidRPr="00F430D3">
        <w:rPr>
          <w:rFonts w:cstheme="minorHAnsi"/>
          <w:sz w:val="24"/>
          <w:szCs w:val="24"/>
        </w:rPr>
        <w:t xml:space="preserve"> Kč) a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314</w:t>
      </w:r>
      <w:r w:rsidR="00935447">
        <w:rPr>
          <w:rFonts w:cstheme="minorHAnsi"/>
          <w:sz w:val="24"/>
          <w:szCs w:val="24"/>
        </w:rPr>
        <w:t> –</w:t>
      </w:r>
      <w:r w:rsidR="00C96771">
        <w:rPr>
          <w:rFonts w:cstheme="minorHAnsi"/>
          <w:sz w:val="24"/>
          <w:szCs w:val="24"/>
        </w:rPr>
        <w:t xml:space="preserve"> </w:t>
      </w:r>
      <w:r w:rsidRPr="000D5096">
        <w:rPr>
          <w:rFonts w:cstheme="minorHAnsi"/>
          <w:i/>
          <w:sz w:val="24"/>
          <w:szCs w:val="24"/>
        </w:rPr>
        <w:t>M</w:t>
      </w:r>
      <w:r w:rsidR="00E77131" w:rsidRPr="000D5096">
        <w:rPr>
          <w:rFonts w:cstheme="minorHAnsi"/>
          <w:i/>
          <w:sz w:val="24"/>
          <w:szCs w:val="24"/>
        </w:rPr>
        <w:t>inisterstvo vnitra</w:t>
      </w:r>
      <w:r w:rsidRPr="00F430D3">
        <w:rPr>
          <w:rFonts w:cstheme="minorHAnsi"/>
          <w:sz w:val="24"/>
          <w:szCs w:val="24"/>
        </w:rPr>
        <w:t xml:space="preserve"> (</w:t>
      </w:r>
      <w:r w:rsidR="00F36B23">
        <w:rPr>
          <w:rFonts w:cstheme="minorHAnsi"/>
          <w:sz w:val="24"/>
          <w:szCs w:val="24"/>
        </w:rPr>
        <w:t>0,</w:t>
      </w:r>
      <w:r w:rsidRPr="00F430D3">
        <w:rPr>
          <w:rFonts w:cstheme="minorHAnsi"/>
          <w:sz w:val="24"/>
          <w:szCs w:val="24"/>
        </w:rPr>
        <w:t>41</w:t>
      </w:r>
      <w:r w:rsidR="00F36B23">
        <w:rPr>
          <w:rFonts w:cstheme="minorHAnsi"/>
          <w:sz w:val="24"/>
          <w:szCs w:val="24"/>
        </w:rPr>
        <w:t>6</w:t>
      </w:r>
      <w:r w:rsidR="00F27498">
        <w:rPr>
          <w:rFonts w:cstheme="minorHAnsi"/>
          <w:sz w:val="24"/>
          <w:szCs w:val="24"/>
        </w:rPr>
        <w:t> </w:t>
      </w:r>
      <w:r w:rsidR="00F36B23">
        <w:rPr>
          <w:rFonts w:cstheme="minorHAnsi"/>
          <w:sz w:val="24"/>
          <w:szCs w:val="24"/>
        </w:rPr>
        <w:t>mld.</w:t>
      </w:r>
      <w:r w:rsidRPr="00F430D3">
        <w:rPr>
          <w:rFonts w:cstheme="minorHAnsi"/>
          <w:sz w:val="24"/>
          <w:szCs w:val="24"/>
        </w:rPr>
        <w:t xml:space="preserve"> Kč). Do</w:t>
      </w:r>
      <w:r w:rsidR="00BD03CD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kapitol spravovaných Ministerstvem financí tak směřovalo</w:t>
      </w:r>
      <w:r w:rsidR="00AC45B1">
        <w:rPr>
          <w:rFonts w:cstheme="minorHAnsi"/>
          <w:sz w:val="24"/>
          <w:szCs w:val="24"/>
        </w:rPr>
        <w:t xml:space="preserve"> celkem</w:t>
      </w:r>
      <w:r w:rsidRPr="00F430D3">
        <w:rPr>
          <w:rFonts w:cstheme="minorHAnsi"/>
          <w:sz w:val="24"/>
          <w:szCs w:val="24"/>
        </w:rPr>
        <w:t xml:space="preserve"> 3</w:t>
      </w:r>
      <w:r w:rsidR="00F36B23">
        <w:rPr>
          <w:rFonts w:cstheme="minorHAnsi"/>
          <w:sz w:val="24"/>
          <w:szCs w:val="24"/>
        </w:rPr>
        <w:t>,</w:t>
      </w:r>
      <w:r w:rsidRPr="00F430D3">
        <w:rPr>
          <w:rFonts w:cstheme="minorHAnsi"/>
          <w:sz w:val="24"/>
          <w:szCs w:val="24"/>
        </w:rPr>
        <w:t>09</w:t>
      </w:r>
      <w:r w:rsidR="00F36B23">
        <w:rPr>
          <w:rFonts w:cstheme="minorHAnsi"/>
          <w:sz w:val="24"/>
          <w:szCs w:val="24"/>
        </w:rPr>
        <w:t>8</w:t>
      </w:r>
      <w:r w:rsidR="00F27498">
        <w:rPr>
          <w:rFonts w:cstheme="minorHAnsi"/>
          <w:sz w:val="24"/>
          <w:szCs w:val="24"/>
        </w:rPr>
        <w:t> </w:t>
      </w:r>
      <w:r w:rsidR="00F36B23">
        <w:rPr>
          <w:rFonts w:cstheme="minorHAnsi"/>
          <w:sz w:val="24"/>
          <w:szCs w:val="24"/>
        </w:rPr>
        <w:t>mld.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Kč, tj. 60,</w:t>
      </w:r>
      <w:r w:rsidR="00F36B23">
        <w:rPr>
          <w:rFonts w:cstheme="minorHAnsi"/>
          <w:sz w:val="24"/>
          <w:szCs w:val="24"/>
        </w:rPr>
        <w:t>6</w:t>
      </w:r>
      <w:r w:rsidRPr="00F430D3">
        <w:rPr>
          <w:rFonts w:cstheme="minorHAnsi"/>
          <w:sz w:val="24"/>
          <w:szCs w:val="24"/>
        </w:rPr>
        <w:t xml:space="preserve"> % prostředků převáděných na základě rozpočtových opatření.</w:t>
      </w:r>
    </w:p>
    <w:p w14:paraId="10C882AD" w14:textId="77777777" w:rsidR="00AF24BB" w:rsidRPr="00F430D3" w:rsidRDefault="00AF24BB" w:rsidP="00671E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749DB4B" w14:textId="77777777" w:rsidR="00671E1E" w:rsidRPr="00F430D3" w:rsidRDefault="009C40B3" w:rsidP="000D509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</w:t>
      </w:r>
      <w:r w:rsidR="00671E1E" w:rsidRPr="00F430D3">
        <w:rPr>
          <w:rFonts w:ascii="Calibri" w:hAnsi="Calibri" w:cs="Calibri"/>
          <w:b/>
          <w:bCs/>
          <w:sz w:val="24"/>
          <w:szCs w:val="24"/>
        </w:rPr>
        <w:t>ávrhy zákonů o dluhopisových programech na úhradu schodku státního rozpočtu na rok 2013 a 2014</w:t>
      </w:r>
    </w:p>
    <w:p w14:paraId="676ED224" w14:textId="77777777" w:rsidR="00854B25" w:rsidRDefault="00854B25" w:rsidP="00671E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1809FB3" w14:textId="061F634D" w:rsidR="00671E1E" w:rsidRDefault="008077C4" w:rsidP="00671E1E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Ministerstv</w:t>
      </w:r>
      <w:r w:rsidR="00B62CB0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 xml:space="preserve"> financí byl</w:t>
      </w:r>
      <w:r w:rsidR="00B62CB0">
        <w:rPr>
          <w:rFonts w:ascii="Calibri" w:hAnsi="Calibri" w:cs="Calibri"/>
          <w:sz w:val="24"/>
          <w:szCs w:val="24"/>
        </w:rPr>
        <w:t xml:space="preserve">o </w:t>
      </w:r>
      <w:r w:rsidR="00B62CB0" w:rsidRPr="00F430D3">
        <w:rPr>
          <w:rFonts w:cstheme="minorHAnsi"/>
          <w:sz w:val="24"/>
          <w:szCs w:val="24"/>
        </w:rPr>
        <w:t>oprávněno</w:t>
      </w:r>
      <w:r w:rsidR="00B62CB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A60EFD">
        <w:rPr>
          <w:rFonts w:ascii="Calibri" w:hAnsi="Calibri" w:cs="Calibri"/>
          <w:sz w:val="24"/>
          <w:szCs w:val="24"/>
        </w:rPr>
        <w:t xml:space="preserve">kontrolovaném období </w:t>
      </w:r>
      <w:r w:rsidR="00B62CB0" w:rsidRPr="00A60EFD">
        <w:rPr>
          <w:rFonts w:ascii="Calibri" w:hAnsi="Calibri" w:cs="Calibri"/>
          <w:sz w:val="24"/>
          <w:szCs w:val="24"/>
        </w:rPr>
        <w:t>vydáv</w:t>
      </w:r>
      <w:r w:rsidR="00B62CB0">
        <w:rPr>
          <w:rFonts w:ascii="Calibri" w:hAnsi="Calibri" w:cs="Calibri"/>
          <w:sz w:val="24"/>
          <w:szCs w:val="24"/>
        </w:rPr>
        <w:t>at</w:t>
      </w:r>
      <w:r w:rsidR="00B62CB0" w:rsidRPr="00A60EFD">
        <w:rPr>
          <w:rFonts w:ascii="Calibri" w:hAnsi="Calibri" w:cs="Calibri"/>
          <w:sz w:val="24"/>
          <w:szCs w:val="24"/>
        </w:rPr>
        <w:t xml:space="preserve"> dluhopis</w:t>
      </w:r>
      <w:r w:rsidR="00B62CB0">
        <w:rPr>
          <w:rFonts w:ascii="Calibri" w:hAnsi="Calibri" w:cs="Calibri"/>
          <w:sz w:val="24"/>
          <w:szCs w:val="24"/>
        </w:rPr>
        <w:t>y pouze na základě</w:t>
      </w:r>
      <w:r w:rsidR="00B62CB0" w:rsidRPr="00A60EF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zákon</w:t>
      </w:r>
      <w:r w:rsidR="00B62CB0">
        <w:rPr>
          <w:rFonts w:ascii="Calibri" w:hAnsi="Calibri" w:cs="Calibri"/>
          <w:sz w:val="24"/>
          <w:szCs w:val="24"/>
        </w:rPr>
        <w:t>a</w:t>
      </w:r>
      <w:r w:rsidR="00A60EFD" w:rsidRPr="00A60EFD">
        <w:rPr>
          <w:rFonts w:ascii="Calibri" w:hAnsi="Calibri" w:cs="Calibri"/>
          <w:sz w:val="24"/>
          <w:szCs w:val="24"/>
        </w:rPr>
        <w:t xml:space="preserve"> o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="00A60EFD" w:rsidRPr="00A60EFD">
        <w:rPr>
          <w:rFonts w:ascii="Calibri" w:hAnsi="Calibri" w:cs="Calibri"/>
          <w:sz w:val="24"/>
          <w:szCs w:val="24"/>
        </w:rPr>
        <w:t>státním dluhopisovém programu</w:t>
      </w:r>
      <w:r w:rsidR="00B62CB0">
        <w:rPr>
          <w:rFonts w:ascii="Calibri" w:hAnsi="Calibri" w:cs="Calibri"/>
          <w:sz w:val="24"/>
          <w:szCs w:val="24"/>
        </w:rPr>
        <w:t>, případně p</w:t>
      </w:r>
      <w:r w:rsidR="00284BF4" w:rsidRPr="00F430D3">
        <w:rPr>
          <w:rFonts w:cstheme="minorHAnsi"/>
          <w:sz w:val="24"/>
          <w:szCs w:val="24"/>
        </w:rPr>
        <w:t xml:space="preserve">odle rozpočtových pravidel </w:t>
      </w:r>
      <w:r w:rsidR="00B62CB0">
        <w:rPr>
          <w:rFonts w:cstheme="minorHAnsi"/>
          <w:sz w:val="24"/>
          <w:szCs w:val="24"/>
        </w:rPr>
        <w:t>mohlo dočasně řešit</w:t>
      </w:r>
      <w:r w:rsidR="00284BF4" w:rsidRPr="00F430D3">
        <w:rPr>
          <w:rFonts w:cstheme="minorHAnsi"/>
          <w:sz w:val="24"/>
          <w:szCs w:val="24"/>
        </w:rPr>
        <w:t xml:space="preserve"> krytí schodku státního rozpočtu předchozího roku vydáním státních dluhopisů až do doby konečného rozhodnutí Poslanecké sněmovny</w:t>
      </w:r>
      <w:r w:rsidR="00681A8C">
        <w:rPr>
          <w:rFonts w:cstheme="minorHAnsi"/>
          <w:sz w:val="24"/>
          <w:szCs w:val="24"/>
        </w:rPr>
        <w:t xml:space="preserve"> P</w:t>
      </w:r>
      <w:r w:rsidR="0005132E">
        <w:rPr>
          <w:rFonts w:cstheme="minorHAnsi"/>
          <w:sz w:val="24"/>
          <w:szCs w:val="24"/>
        </w:rPr>
        <w:t xml:space="preserve">arlamentu </w:t>
      </w:r>
      <w:r w:rsidR="00681A8C">
        <w:rPr>
          <w:rFonts w:cstheme="minorHAnsi"/>
          <w:sz w:val="24"/>
          <w:szCs w:val="24"/>
        </w:rPr>
        <w:t>ČR</w:t>
      </w:r>
      <w:r w:rsidR="00284BF4" w:rsidRPr="00F430D3">
        <w:rPr>
          <w:rFonts w:cstheme="minorHAnsi"/>
          <w:sz w:val="24"/>
          <w:szCs w:val="24"/>
        </w:rPr>
        <w:t xml:space="preserve"> o způsobu řešení tohoto schodku.</w:t>
      </w:r>
    </w:p>
    <w:p w14:paraId="5E7B49BA" w14:textId="77777777" w:rsidR="00854B25" w:rsidRPr="00A60EFD" w:rsidRDefault="00854B25" w:rsidP="00671E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3AC84B26" w14:textId="563FFEAF" w:rsidR="00671E1E" w:rsidRPr="00F430D3" w:rsidRDefault="00671E1E" w:rsidP="00671E1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30D3">
        <w:rPr>
          <w:rFonts w:cstheme="minorHAnsi"/>
          <w:sz w:val="24"/>
          <w:szCs w:val="24"/>
        </w:rPr>
        <w:t xml:space="preserve">Schodek státního rozpočtu </w:t>
      </w:r>
      <w:r w:rsidR="003A72D8">
        <w:rPr>
          <w:rFonts w:cstheme="minorHAnsi"/>
          <w:sz w:val="24"/>
          <w:szCs w:val="24"/>
        </w:rPr>
        <w:t>za rok</w:t>
      </w:r>
      <w:r w:rsidRPr="00F430D3">
        <w:rPr>
          <w:rFonts w:cstheme="minorHAnsi"/>
          <w:sz w:val="24"/>
          <w:szCs w:val="24"/>
        </w:rPr>
        <w:t xml:space="preserve"> 2013 </w:t>
      </w:r>
      <w:r w:rsidR="00D6121D">
        <w:rPr>
          <w:rFonts w:cstheme="minorHAnsi"/>
          <w:sz w:val="24"/>
          <w:szCs w:val="24"/>
        </w:rPr>
        <w:t xml:space="preserve">a </w:t>
      </w:r>
      <w:r w:rsidR="00D6121D" w:rsidRPr="00D6121D">
        <w:rPr>
          <w:rFonts w:cstheme="minorHAnsi"/>
          <w:sz w:val="24"/>
          <w:szCs w:val="24"/>
        </w:rPr>
        <w:t>rozpočtovaný schodek</w:t>
      </w:r>
      <w:r w:rsidR="00D6121D">
        <w:rPr>
          <w:rFonts w:cstheme="minorHAnsi"/>
          <w:sz w:val="24"/>
          <w:szCs w:val="24"/>
        </w:rPr>
        <w:t xml:space="preserve"> na rok 2014</w:t>
      </w:r>
      <w:r w:rsidR="00D6121D" w:rsidRPr="00D6121D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nebyl</w:t>
      </w:r>
      <w:r w:rsidR="00935447">
        <w:rPr>
          <w:rFonts w:cstheme="minorHAnsi"/>
          <w:sz w:val="24"/>
          <w:szCs w:val="24"/>
        </w:rPr>
        <w:t>y</w:t>
      </w:r>
      <w:r w:rsidRPr="00F430D3">
        <w:rPr>
          <w:rFonts w:cstheme="minorHAnsi"/>
          <w:sz w:val="24"/>
          <w:szCs w:val="24"/>
        </w:rPr>
        <w:t xml:space="preserve"> financován</w:t>
      </w:r>
      <w:r w:rsidR="00935447">
        <w:rPr>
          <w:rFonts w:cstheme="minorHAnsi"/>
          <w:sz w:val="24"/>
          <w:szCs w:val="24"/>
        </w:rPr>
        <w:t>y</w:t>
      </w:r>
      <w:r w:rsidRPr="00F430D3">
        <w:rPr>
          <w:rFonts w:cstheme="minorHAnsi"/>
          <w:sz w:val="24"/>
          <w:szCs w:val="24"/>
        </w:rPr>
        <w:t xml:space="preserve"> na základě zákona o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dluhopisovém programu, neboť návrh zákona</w:t>
      </w:r>
      <w:r w:rsidR="00D7015A">
        <w:rPr>
          <w:rFonts w:cstheme="minorHAnsi"/>
          <w:sz w:val="24"/>
          <w:szCs w:val="24"/>
        </w:rPr>
        <w:t xml:space="preserve"> předložený vládou</w:t>
      </w:r>
      <w:r w:rsidRPr="00F430D3">
        <w:rPr>
          <w:rFonts w:cstheme="minorHAnsi"/>
          <w:sz w:val="24"/>
          <w:szCs w:val="24"/>
        </w:rPr>
        <w:t xml:space="preserve"> v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 xml:space="preserve">roce 2014 </w:t>
      </w:r>
      <w:r w:rsidR="0005132E">
        <w:rPr>
          <w:rFonts w:cstheme="minorHAnsi"/>
          <w:sz w:val="24"/>
          <w:szCs w:val="24"/>
        </w:rPr>
        <w:t>p</w:t>
      </w:r>
      <w:r w:rsidRPr="00F430D3">
        <w:rPr>
          <w:rFonts w:cstheme="minorHAnsi"/>
          <w:sz w:val="24"/>
          <w:szCs w:val="24"/>
        </w:rPr>
        <w:t>oslanecká sněmovna neschválila.</w:t>
      </w:r>
      <w:r w:rsidR="00D6121D" w:rsidRPr="00D6121D">
        <w:t xml:space="preserve"> </w:t>
      </w:r>
      <w:r w:rsidR="00D6121D" w:rsidRPr="00D6121D">
        <w:rPr>
          <w:rFonts w:cstheme="minorHAnsi"/>
          <w:sz w:val="24"/>
          <w:szCs w:val="24"/>
        </w:rPr>
        <w:t xml:space="preserve">Celkově se jednalo o částku </w:t>
      </w:r>
      <w:r w:rsidR="00D6121D">
        <w:rPr>
          <w:rFonts w:cstheme="minorHAnsi"/>
          <w:sz w:val="24"/>
          <w:szCs w:val="24"/>
        </w:rPr>
        <w:t>192,2</w:t>
      </w:r>
      <w:r w:rsidR="00430901">
        <w:rPr>
          <w:rFonts w:cstheme="minorHAnsi"/>
          <w:sz w:val="24"/>
          <w:szCs w:val="24"/>
        </w:rPr>
        <w:t xml:space="preserve"> </w:t>
      </w:r>
      <w:r w:rsidR="00D6121D" w:rsidRPr="00D6121D">
        <w:rPr>
          <w:rFonts w:cstheme="minorHAnsi"/>
          <w:sz w:val="24"/>
          <w:szCs w:val="24"/>
        </w:rPr>
        <w:t xml:space="preserve">mld. Kč. </w:t>
      </w:r>
      <w:r w:rsidRPr="00F430D3">
        <w:rPr>
          <w:rFonts w:cstheme="minorHAnsi"/>
          <w:sz w:val="24"/>
          <w:szCs w:val="24"/>
        </w:rPr>
        <w:t xml:space="preserve">Dle sdělení MF proběhlo vypořádání schodku státního rozpočtu za rok 2013 </w:t>
      </w:r>
      <w:r w:rsidR="003A72D8">
        <w:rPr>
          <w:rFonts w:cstheme="minorHAnsi"/>
          <w:sz w:val="24"/>
          <w:szCs w:val="24"/>
        </w:rPr>
        <w:t xml:space="preserve">a rozpočtovaného schodku na rok 2014 </w:t>
      </w:r>
      <w:r w:rsidRPr="00F430D3">
        <w:rPr>
          <w:rFonts w:cstheme="minorHAnsi"/>
          <w:sz w:val="24"/>
          <w:szCs w:val="24"/>
        </w:rPr>
        <w:t>podle</w:t>
      </w:r>
      <w:r w:rsidR="003A72D8">
        <w:rPr>
          <w:rFonts w:cstheme="minorHAnsi"/>
          <w:sz w:val="24"/>
          <w:szCs w:val="24"/>
        </w:rPr>
        <w:t xml:space="preserve"> ustanovení</w:t>
      </w:r>
      <w:r w:rsidRPr="00F430D3">
        <w:rPr>
          <w:rFonts w:cstheme="minorHAnsi"/>
          <w:sz w:val="24"/>
          <w:szCs w:val="24"/>
        </w:rPr>
        <w:t xml:space="preserve"> rozpočtových pravid</w:t>
      </w:r>
      <w:r w:rsidR="0005132E">
        <w:rPr>
          <w:rFonts w:cstheme="minorHAnsi"/>
          <w:sz w:val="24"/>
          <w:szCs w:val="24"/>
        </w:rPr>
        <w:t>e</w:t>
      </w:r>
      <w:r w:rsidRPr="00F430D3">
        <w:rPr>
          <w:rFonts w:cstheme="minorHAnsi"/>
          <w:sz w:val="24"/>
          <w:szCs w:val="24"/>
        </w:rPr>
        <w:t>l účinného od 20.</w:t>
      </w:r>
      <w:r w:rsidR="00DD749A">
        <w:rPr>
          <w:rFonts w:cstheme="minorHAnsi"/>
          <w:sz w:val="24"/>
          <w:szCs w:val="24"/>
        </w:rPr>
        <w:t> 2. </w:t>
      </w:r>
      <w:r w:rsidRPr="00F430D3">
        <w:rPr>
          <w:rFonts w:cstheme="minorHAnsi"/>
          <w:sz w:val="24"/>
          <w:szCs w:val="24"/>
        </w:rPr>
        <w:t>2015</w:t>
      </w:r>
      <w:r w:rsidR="003A72D8">
        <w:rPr>
          <w:rFonts w:cstheme="minorHAnsi"/>
          <w:sz w:val="24"/>
          <w:szCs w:val="24"/>
        </w:rPr>
        <w:t xml:space="preserve">, </w:t>
      </w:r>
      <w:r w:rsidRPr="00F430D3">
        <w:rPr>
          <w:rFonts w:cstheme="minorHAnsi"/>
          <w:sz w:val="24"/>
          <w:szCs w:val="24"/>
        </w:rPr>
        <w:t>kter</w:t>
      </w:r>
      <w:r w:rsidR="00BF7658">
        <w:rPr>
          <w:rFonts w:cstheme="minorHAnsi"/>
          <w:sz w:val="24"/>
          <w:szCs w:val="24"/>
        </w:rPr>
        <w:t>é</w:t>
      </w:r>
      <w:r w:rsidRPr="00F430D3">
        <w:rPr>
          <w:rFonts w:cstheme="minorHAnsi"/>
          <w:sz w:val="24"/>
          <w:szCs w:val="24"/>
        </w:rPr>
        <w:t xml:space="preserve"> MF </w:t>
      </w:r>
      <w:r w:rsidR="00681A8C" w:rsidRPr="00F430D3">
        <w:rPr>
          <w:rFonts w:cstheme="minorHAnsi"/>
          <w:sz w:val="24"/>
          <w:szCs w:val="24"/>
        </w:rPr>
        <w:t xml:space="preserve">opravňuje </w:t>
      </w:r>
      <w:r w:rsidRPr="00F430D3">
        <w:rPr>
          <w:rFonts w:cstheme="minorHAnsi"/>
          <w:sz w:val="24"/>
          <w:szCs w:val="24"/>
        </w:rPr>
        <w:t>k</w:t>
      </w:r>
      <w:r w:rsidR="00BD03CD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 xml:space="preserve">vydávání státních dluhopisů mimo jiné na úhradu </w:t>
      </w:r>
      <w:r w:rsidR="003A72D8">
        <w:rPr>
          <w:rFonts w:cstheme="minorHAnsi"/>
          <w:sz w:val="24"/>
          <w:szCs w:val="24"/>
        </w:rPr>
        <w:t xml:space="preserve">rozpočtovaného </w:t>
      </w:r>
      <w:r w:rsidRPr="00F430D3">
        <w:rPr>
          <w:rFonts w:cstheme="minorHAnsi"/>
          <w:sz w:val="24"/>
          <w:szCs w:val="24"/>
        </w:rPr>
        <w:t xml:space="preserve">schodku státního rozpočtu. </w:t>
      </w:r>
    </w:p>
    <w:p w14:paraId="30F7BDD5" w14:textId="77777777" w:rsidR="00671E1E" w:rsidRPr="00854B25" w:rsidRDefault="00671E1E" w:rsidP="00671E1E">
      <w:pPr>
        <w:spacing w:after="0" w:line="24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</w:p>
    <w:p w14:paraId="2B3A63BB" w14:textId="77777777" w:rsidR="00671E1E" w:rsidRPr="00F430D3" w:rsidRDefault="00671E1E" w:rsidP="00671E1E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F430D3">
        <w:rPr>
          <w:rFonts w:ascii="Calibri" w:hAnsi="Calibri" w:cs="Calibri"/>
          <w:b/>
          <w:bCs/>
          <w:sz w:val="24"/>
          <w:szCs w:val="24"/>
        </w:rPr>
        <w:t>Rezerva peněžních prostředků pro vyloučení rizik</w:t>
      </w:r>
    </w:p>
    <w:p w14:paraId="7A10BE1E" w14:textId="77777777" w:rsidR="00854B25" w:rsidRDefault="00854B25" w:rsidP="00671E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5A8626" w14:textId="77777777" w:rsidR="00671E1E" w:rsidRPr="00F430D3" w:rsidRDefault="00671E1E" w:rsidP="00671E1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30D3">
        <w:rPr>
          <w:rFonts w:cstheme="minorHAnsi"/>
          <w:sz w:val="24"/>
          <w:szCs w:val="24"/>
        </w:rPr>
        <w:t xml:space="preserve">Rezerva </w:t>
      </w:r>
      <w:r w:rsidR="004173D6" w:rsidRPr="004173D6">
        <w:rPr>
          <w:rFonts w:cstheme="minorHAnsi"/>
          <w:sz w:val="24"/>
          <w:szCs w:val="24"/>
        </w:rPr>
        <w:t>peněžních</w:t>
      </w:r>
      <w:r w:rsidRPr="00F430D3">
        <w:rPr>
          <w:rFonts w:cstheme="minorHAnsi"/>
          <w:sz w:val="24"/>
          <w:szCs w:val="24"/>
        </w:rPr>
        <w:t xml:space="preserve"> prostředků </w:t>
      </w:r>
      <w:r w:rsidR="003A72D8" w:rsidRPr="00411695">
        <w:rPr>
          <w:rFonts w:ascii="Calibri" w:hAnsi="Calibri" w:cs="Calibri"/>
          <w:sz w:val="24"/>
          <w:szCs w:val="24"/>
        </w:rPr>
        <w:t>pro vyloučení rizik</w:t>
      </w:r>
      <w:r w:rsidR="003A72D8">
        <w:rPr>
          <w:rFonts w:ascii="Calibri" w:hAnsi="Calibri" w:cs="Calibri"/>
          <w:sz w:val="24"/>
          <w:szCs w:val="24"/>
        </w:rPr>
        <w:t xml:space="preserve"> souvisejících s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="003A72D8">
        <w:rPr>
          <w:rFonts w:ascii="Calibri" w:hAnsi="Calibri" w:cs="Calibri"/>
          <w:sz w:val="24"/>
          <w:szCs w:val="24"/>
        </w:rPr>
        <w:t xml:space="preserve">financováním schodku státního rozpočtu a státního dluhu </w:t>
      </w:r>
      <w:r w:rsidRPr="00F430D3">
        <w:rPr>
          <w:rFonts w:cstheme="minorHAnsi"/>
          <w:sz w:val="24"/>
          <w:szCs w:val="24"/>
        </w:rPr>
        <w:t>dosáhla svého maxima 139,9 mld. Kč v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 xml:space="preserve">roce 2012. Od roku 2013 byla </w:t>
      </w:r>
      <w:r w:rsidR="00533DB7">
        <w:rPr>
          <w:rFonts w:cstheme="minorHAnsi"/>
          <w:sz w:val="24"/>
          <w:szCs w:val="24"/>
        </w:rPr>
        <w:t xml:space="preserve">tato </w:t>
      </w:r>
      <w:r w:rsidRPr="00F430D3">
        <w:rPr>
          <w:rFonts w:cstheme="minorHAnsi"/>
          <w:sz w:val="24"/>
          <w:szCs w:val="24"/>
        </w:rPr>
        <w:t>rezerva zapojována jako zdroj krytí financování</w:t>
      </w:r>
      <w:r w:rsidR="005E0835">
        <w:rPr>
          <w:rFonts w:cstheme="minorHAnsi"/>
          <w:sz w:val="24"/>
          <w:szCs w:val="24"/>
        </w:rPr>
        <w:t xml:space="preserve"> potřeb státu</w:t>
      </w:r>
      <w:r w:rsidRPr="00F430D3">
        <w:rPr>
          <w:rFonts w:cstheme="minorHAnsi"/>
          <w:sz w:val="24"/>
          <w:szCs w:val="24"/>
        </w:rPr>
        <w:t xml:space="preserve">, a tak </w:t>
      </w:r>
      <w:r w:rsidR="004173D6">
        <w:rPr>
          <w:rFonts w:cstheme="minorHAnsi"/>
          <w:sz w:val="24"/>
          <w:szCs w:val="24"/>
        </w:rPr>
        <w:t>postupně došlo</w:t>
      </w:r>
      <w:r w:rsidRPr="00F430D3">
        <w:rPr>
          <w:rFonts w:cstheme="minorHAnsi"/>
          <w:sz w:val="24"/>
          <w:szCs w:val="24"/>
        </w:rPr>
        <w:t xml:space="preserve"> k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jejímu snížení až na 11,5 mld. Kč ke konci roku 2014. Za dva roky tak MF využilo z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rezervy 128,4 mld. Kč (7</w:t>
      </w:r>
      <w:r w:rsidR="00D43ECC">
        <w:rPr>
          <w:rFonts w:cstheme="minorHAnsi"/>
          <w:sz w:val="24"/>
          <w:szCs w:val="24"/>
        </w:rPr>
        <w:t>7</w:t>
      </w:r>
      <w:r w:rsidRPr="00F430D3">
        <w:rPr>
          <w:rFonts w:cstheme="minorHAnsi"/>
          <w:sz w:val="24"/>
          <w:szCs w:val="24"/>
        </w:rPr>
        <w:t>,2 mld. Kč v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roce 2013 a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51,2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mld. Kč v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>roce 2014).</w:t>
      </w:r>
    </w:p>
    <w:p w14:paraId="7ED94661" w14:textId="77777777" w:rsidR="00671E1E" w:rsidRPr="00F430D3" w:rsidRDefault="00671E1E" w:rsidP="00671E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B737558" w14:textId="77777777" w:rsidR="00DD749A" w:rsidRDefault="00DD749A">
      <w:pPr>
        <w:rPr>
          <w:rFonts w:eastAsiaTheme="minorHAnsi" w:cstheme="minorHAnsi"/>
          <w:b/>
          <w:sz w:val="24"/>
          <w:szCs w:val="24"/>
        </w:rPr>
      </w:pPr>
      <w:r>
        <w:rPr>
          <w:rFonts w:eastAsiaTheme="minorHAnsi" w:cstheme="minorHAnsi"/>
          <w:b/>
          <w:sz w:val="24"/>
          <w:szCs w:val="24"/>
        </w:rPr>
        <w:br w:type="page"/>
      </w:r>
    </w:p>
    <w:p w14:paraId="706DEAB3" w14:textId="701A6ACB" w:rsidR="00671E1E" w:rsidRPr="00430901" w:rsidRDefault="00671E1E" w:rsidP="00E667AD">
      <w:pPr>
        <w:tabs>
          <w:tab w:val="right" w:pos="9356"/>
        </w:tabs>
        <w:spacing w:after="40" w:line="240" w:lineRule="auto"/>
        <w:ind w:left="1418" w:hanging="1418"/>
        <w:jc w:val="both"/>
        <w:rPr>
          <w:rFonts w:eastAsiaTheme="minorHAnsi" w:cstheme="minorHAnsi"/>
          <w:b/>
          <w:sz w:val="24"/>
          <w:szCs w:val="24"/>
        </w:rPr>
      </w:pPr>
      <w:r w:rsidRPr="00430901">
        <w:rPr>
          <w:rFonts w:eastAsiaTheme="minorHAnsi" w:cstheme="minorHAnsi"/>
          <w:b/>
          <w:sz w:val="24"/>
          <w:szCs w:val="24"/>
        </w:rPr>
        <w:lastRenderedPageBreak/>
        <w:t xml:space="preserve">Tabulka č. </w:t>
      </w:r>
      <w:r w:rsidR="00C31D5F">
        <w:rPr>
          <w:rFonts w:eastAsiaTheme="minorHAnsi" w:cstheme="minorHAnsi"/>
          <w:b/>
          <w:sz w:val="24"/>
          <w:szCs w:val="24"/>
        </w:rPr>
        <w:t>4</w:t>
      </w:r>
      <w:r w:rsidR="00C31D5F" w:rsidRPr="00430901">
        <w:rPr>
          <w:rFonts w:eastAsiaTheme="minorHAnsi" w:cstheme="minorHAnsi"/>
          <w:b/>
          <w:sz w:val="24"/>
          <w:szCs w:val="24"/>
        </w:rPr>
        <w:t xml:space="preserve"> </w:t>
      </w:r>
      <w:r w:rsidRPr="00430901">
        <w:rPr>
          <w:rFonts w:eastAsiaTheme="minorHAnsi" w:cstheme="minorHAnsi"/>
          <w:b/>
          <w:sz w:val="24"/>
          <w:szCs w:val="24"/>
        </w:rPr>
        <w:t>–</w:t>
      </w:r>
      <w:r w:rsidR="00F27498">
        <w:rPr>
          <w:rFonts w:eastAsiaTheme="minorHAnsi" w:cstheme="minorHAnsi"/>
          <w:b/>
          <w:sz w:val="24"/>
          <w:szCs w:val="24"/>
        </w:rPr>
        <w:tab/>
      </w:r>
      <w:r w:rsidRPr="00430901">
        <w:rPr>
          <w:rFonts w:eastAsiaTheme="minorHAnsi" w:cstheme="minorHAnsi"/>
          <w:b/>
          <w:sz w:val="24"/>
          <w:szCs w:val="24"/>
        </w:rPr>
        <w:t xml:space="preserve">Plánované změny rezervy peněžních prostředků či její výše ve </w:t>
      </w:r>
      <w:r w:rsidR="00DD749A">
        <w:rPr>
          <w:rFonts w:eastAsiaTheme="minorHAnsi" w:cstheme="minorHAnsi"/>
          <w:b/>
          <w:sz w:val="24"/>
          <w:szCs w:val="24"/>
        </w:rPr>
        <w:t>s</w:t>
      </w:r>
      <w:r w:rsidRPr="00430901">
        <w:rPr>
          <w:rFonts w:eastAsiaTheme="minorHAnsi" w:cstheme="minorHAnsi"/>
          <w:b/>
          <w:sz w:val="24"/>
          <w:szCs w:val="24"/>
        </w:rPr>
        <w:t>trategiích</w:t>
      </w:r>
      <w:r w:rsidR="004173D6" w:rsidRPr="00430901">
        <w:rPr>
          <w:rFonts w:eastAsiaTheme="minorHAnsi" w:cstheme="minorHAnsi"/>
          <w:b/>
          <w:sz w:val="24"/>
          <w:szCs w:val="24"/>
        </w:rPr>
        <w:t xml:space="preserve"> MF</w:t>
      </w:r>
      <w:r w:rsidRPr="00430901">
        <w:rPr>
          <w:rFonts w:eastAsiaTheme="minorHAnsi" w:cstheme="minorHAnsi"/>
          <w:b/>
          <w:sz w:val="24"/>
          <w:szCs w:val="24"/>
        </w:rPr>
        <w:t xml:space="preserve"> v</w:t>
      </w:r>
      <w:r w:rsidR="00F27498">
        <w:rPr>
          <w:rFonts w:eastAsiaTheme="minorHAnsi" w:cstheme="minorHAnsi"/>
          <w:b/>
          <w:sz w:val="24"/>
          <w:szCs w:val="24"/>
        </w:rPr>
        <w:t> </w:t>
      </w:r>
      <w:r w:rsidRPr="00430901">
        <w:rPr>
          <w:rFonts w:eastAsiaTheme="minorHAnsi" w:cstheme="minorHAnsi"/>
          <w:b/>
          <w:sz w:val="24"/>
          <w:szCs w:val="24"/>
        </w:rPr>
        <w:t xml:space="preserve">porovnání se skutečností </w:t>
      </w:r>
      <w:r w:rsidR="00430901">
        <w:rPr>
          <w:rFonts w:eastAsiaTheme="minorHAnsi" w:cstheme="minorHAnsi"/>
          <w:b/>
          <w:sz w:val="24"/>
          <w:szCs w:val="24"/>
        </w:rPr>
        <w:tab/>
      </w:r>
      <w:r w:rsidRPr="00430901">
        <w:rPr>
          <w:rFonts w:eastAsiaTheme="minorHAnsi" w:cstheme="minorHAnsi"/>
          <w:b/>
          <w:sz w:val="24"/>
          <w:szCs w:val="24"/>
        </w:rPr>
        <w:t>(v</w:t>
      </w:r>
      <w:r w:rsidR="00430901">
        <w:rPr>
          <w:rFonts w:eastAsiaTheme="minorHAnsi" w:cstheme="minorHAnsi"/>
          <w:b/>
          <w:sz w:val="24"/>
          <w:szCs w:val="24"/>
        </w:rPr>
        <w:t xml:space="preserve"> </w:t>
      </w:r>
      <w:r w:rsidRPr="00430901">
        <w:rPr>
          <w:rFonts w:eastAsiaTheme="minorHAnsi" w:cstheme="minorHAnsi"/>
          <w:b/>
          <w:sz w:val="24"/>
          <w:szCs w:val="24"/>
        </w:rPr>
        <w:t>mld. Kč)</w:t>
      </w:r>
    </w:p>
    <w:tbl>
      <w:tblPr>
        <w:tblStyle w:val="Mkatabulky2"/>
        <w:tblW w:w="9356" w:type="dxa"/>
        <w:tblInd w:w="108" w:type="dxa"/>
        <w:tblLook w:val="04A0" w:firstRow="1" w:lastRow="0" w:firstColumn="1" w:lastColumn="0" w:noHBand="0" w:noVBand="1"/>
      </w:tblPr>
      <w:tblGrid>
        <w:gridCol w:w="4820"/>
        <w:gridCol w:w="2410"/>
        <w:gridCol w:w="2126"/>
      </w:tblGrid>
      <w:tr w:rsidR="00671E1E" w:rsidRPr="00E667AD" w14:paraId="720D7E50" w14:textId="77777777" w:rsidTr="00E667AD">
        <w:trPr>
          <w:trHeight w:val="227"/>
        </w:trPr>
        <w:tc>
          <w:tcPr>
            <w:tcW w:w="4820" w:type="dxa"/>
            <w:vAlign w:val="center"/>
          </w:tcPr>
          <w:p w14:paraId="43D1D1C8" w14:textId="77777777" w:rsidR="00671E1E" w:rsidRPr="00E667AD" w:rsidRDefault="00671E1E" w:rsidP="00E667AD">
            <w:pPr>
              <w:rPr>
                <w:rFonts w:ascii="Calibri" w:eastAsiaTheme="minorHAnsi" w:hAnsi="Calibri" w:cs="Calibri"/>
                <w:sz w:val="20"/>
              </w:rPr>
            </w:pPr>
          </w:p>
        </w:tc>
        <w:tc>
          <w:tcPr>
            <w:tcW w:w="2410" w:type="dxa"/>
            <w:vAlign w:val="center"/>
          </w:tcPr>
          <w:p w14:paraId="6369D021" w14:textId="77777777" w:rsidR="00671E1E" w:rsidRPr="00E667AD" w:rsidRDefault="00671E1E" w:rsidP="003C0F64">
            <w:pPr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Plán</w:t>
            </w:r>
          </w:p>
        </w:tc>
        <w:tc>
          <w:tcPr>
            <w:tcW w:w="2126" w:type="dxa"/>
            <w:vAlign w:val="center"/>
          </w:tcPr>
          <w:p w14:paraId="6D626019" w14:textId="77777777" w:rsidR="00671E1E" w:rsidRPr="00E667AD" w:rsidRDefault="00671E1E" w:rsidP="003C0F64">
            <w:pPr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Skutečnost</w:t>
            </w:r>
          </w:p>
        </w:tc>
      </w:tr>
      <w:tr w:rsidR="00671E1E" w:rsidRPr="00E667AD" w14:paraId="2B4A4808" w14:textId="77777777" w:rsidTr="00E667AD">
        <w:trPr>
          <w:trHeight w:val="227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0AB3BE2C" w14:textId="77777777" w:rsidR="00671E1E" w:rsidRPr="00E667AD" w:rsidRDefault="00671E1E" w:rsidP="00E667AD">
            <w:pPr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Strategie na rok 2012 – 12. 12. 2011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C93623F" w14:textId="77777777" w:rsidR="00671E1E" w:rsidRPr="00E667AD" w:rsidRDefault="00671E1E" w:rsidP="003C0F64">
            <w:pPr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2012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D2CD092" w14:textId="77777777" w:rsidR="00671E1E" w:rsidRPr="00E667AD" w:rsidRDefault="00671E1E" w:rsidP="003C0F64">
            <w:pPr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2012</w:t>
            </w:r>
          </w:p>
        </w:tc>
      </w:tr>
      <w:tr w:rsidR="00671E1E" w:rsidRPr="00E667AD" w14:paraId="44DBFF5E" w14:textId="77777777" w:rsidTr="00DD749A">
        <w:trPr>
          <w:trHeight w:val="227"/>
        </w:trPr>
        <w:tc>
          <w:tcPr>
            <w:tcW w:w="4820" w:type="dxa"/>
            <w:vAlign w:val="center"/>
          </w:tcPr>
          <w:p w14:paraId="5BBA3053" w14:textId="77777777" w:rsidR="00671E1E" w:rsidRPr="00E667AD" w:rsidRDefault="00671E1E" w:rsidP="00E667AD">
            <w:pPr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Rezerva financování (čistá změna)</w:t>
            </w:r>
            <w:r w:rsidR="003A72D8" w:rsidRPr="00DD749A">
              <w:rPr>
                <w:rFonts w:ascii="Calibri" w:eastAsiaTheme="minorHAnsi" w:hAnsi="Calibri" w:cs="Calibri"/>
                <w:b/>
                <w:sz w:val="20"/>
                <w:vertAlign w:val="superscript"/>
              </w:rPr>
              <w:t>1</w:t>
            </w:r>
          </w:p>
        </w:tc>
        <w:tc>
          <w:tcPr>
            <w:tcW w:w="2410" w:type="dxa"/>
            <w:vAlign w:val="center"/>
          </w:tcPr>
          <w:p w14:paraId="10DCBCB1" w14:textId="77777777" w:rsidR="00671E1E" w:rsidRPr="00E667AD" w:rsidRDefault="00671E1E" w:rsidP="00DD749A">
            <w:pPr>
              <w:ind w:right="743"/>
              <w:jc w:val="right"/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0,0</w:t>
            </w:r>
          </w:p>
        </w:tc>
        <w:tc>
          <w:tcPr>
            <w:tcW w:w="2126" w:type="dxa"/>
            <w:vAlign w:val="center"/>
          </w:tcPr>
          <w:p w14:paraId="7F3F9249" w14:textId="77777777" w:rsidR="00671E1E" w:rsidRPr="00E667AD" w:rsidRDefault="00671E1E" w:rsidP="00DD749A">
            <w:pPr>
              <w:ind w:right="601"/>
              <w:jc w:val="right"/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69,3</w:t>
            </w:r>
          </w:p>
        </w:tc>
      </w:tr>
      <w:tr w:rsidR="00671E1E" w:rsidRPr="00E667AD" w14:paraId="03ACE7D1" w14:textId="77777777" w:rsidTr="00E667AD">
        <w:trPr>
          <w:trHeight w:val="227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46E094EF" w14:textId="77777777" w:rsidR="00671E1E" w:rsidRPr="00E667AD" w:rsidRDefault="00671E1E" w:rsidP="00E667AD">
            <w:pPr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Strategie na rok 2013 – 12. 12. 2012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0BE8239" w14:textId="77777777" w:rsidR="00671E1E" w:rsidRPr="00E667AD" w:rsidRDefault="00671E1E" w:rsidP="003C0F64">
            <w:pPr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2013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967FAE" w14:textId="77777777" w:rsidR="00671E1E" w:rsidRPr="00E667AD" w:rsidRDefault="00671E1E" w:rsidP="003C0F64">
            <w:pPr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2013</w:t>
            </w:r>
          </w:p>
        </w:tc>
      </w:tr>
      <w:tr w:rsidR="00671E1E" w:rsidRPr="00E667AD" w14:paraId="1ACFDF2A" w14:textId="77777777" w:rsidTr="00DD749A">
        <w:trPr>
          <w:trHeight w:val="227"/>
        </w:trPr>
        <w:tc>
          <w:tcPr>
            <w:tcW w:w="4820" w:type="dxa"/>
            <w:vAlign w:val="center"/>
          </w:tcPr>
          <w:p w14:paraId="1B45F9D8" w14:textId="77777777" w:rsidR="00671E1E" w:rsidRPr="00E667AD" w:rsidRDefault="00671E1E" w:rsidP="00E667AD">
            <w:pPr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Rezerva peněžních prostředků (čistá změna)</w:t>
            </w:r>
            <w:r w:rsidR="003A72D8" w:rsidRPr="00DD749A">
              <w:rPr>
                <w:rFonts w:ascii="Calibri" w:eastAsiaTheme="minorHAnsi" w:hAnsi="Calibri" w:cs="Calibri"/>
                <w:b/>
                <w:sz w:val="20"/>
                <w:vertAlign w:val="superscript"/>
              </w:rPr>
              <w:t>2</w:t>
            </w:r>
          </w:p>
        </w:tc>
        <w:tc>
          <w:tcPr>
            <w:tcW w:w="2410" w:type="dxa"/>
            <w:vAlign w:val="center"/>
          </w:tcPr>
          <w:p w14:paraId="668EA0CB" w14:textId="77777777" w:rsidR="00671E1E" w:rsidRPr="00E667AD" w:rsidRDefault="00671E1E" w:rsidP="00DD749A">
            <w:pPr>
              <w:ind w:right="743"/>
              <w:jc w:val="right"/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0,0</w:t>
            </w:r>
          </w:p>
        </w:tc>
        <w:tc>
          <w:tcPr>
            <w:tcW w:w="2126" w:type="dxa"/>
            <w:vAlign w:val="center"/>
          </w:tcPr>
          <w:p w14:paraId="08BB76F9" w14:textId="407FEB2D" w:rsidR="00671E1E" w:rsidRPr="00E667AD" w:rsidRDefault="0005132E" w:rsidP="00DD749A">
            <w:pPr>
              <w:ind w:right="601"/>
              <w:jc w:val="right"/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‒</w:t>
            </w:r>
            <w:r w:rsidR="00671E1E" w:rsidRPr="00E667AD">
              <w:rPr>
                <w:rFonts w:ascii="Calibri" w:eastAsiaTheme="minorHAnsi" w:hAnsi="Calibri" w:cs="Calibri"/>
                <w:sz w:val="20"/>
              </w:rPr>
              <w:t>77,2</w:t>
            </w:r>
          </w:p>
        </w:tc>
      </w:tr>
      <w:tr w:rsidR="00671E1E" w:rsidRPr="00E667AD" w14:paraId="5013CB2A" w14:textId="77777777" w:rsidTr="00E667AD">
        <w:trPr>
          <w:trHeight w:val="227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33B10448" w14:textId="77777777" w:rsidR="00671E1E" w:rsidRPr="00E667AD" w:rsidRDefault="00671E1E" w:rsidP="00E667AD">
            <w:pPr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Strategie na rok 2014</w:t>
            </w:r>
            <w:r w:rsidR="00446FE4" w:rsidRPr="00E667AD">
              <w:rPr>
                <w:rFonts w:ascii="Calibri" w:eastAsiaTheme="minorHAnsi" w:hAnsi="Calibri" w:cs="Calibri"/>
                <w:sz w:val="20"/>
              </w:rPr>
              <w:t xml:space="preserve"> </w:t>
            </w:r>
            <w:r w:rsidRPr="00E667AD">
              <w:rPr>
                <w:rFonts w:ascii="Calibri" w:eastAsiaTheme="minorHAnsi" w:hAnsi="Calibri" w:cs="Calibri"/>
                <w:sz w:val="20"/>
              </w:rPr>
              <w:t>– 16. 12. 2013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8FE1693" w14:textId="77777777" w:rsidR="00671E1E" w:rsidRPr="00E667AD" w:rsidRDefault="00671E1E" w:rsidP="003C0F64">
            <w:pPr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2014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6B4C5C4" w14:textId="77777777" w:rsidR="00671E1E" w:rsidRPr="00E667AD" w:rsidRDefault="00671E1E" w:rsidP="003C0F64">
            <w:pPr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2014</w:t>
            </w:r>
          </w:p>
        </w:tc>
      </w:tr>
      <w:tr w:rsidR="00671E1E" w:rsidRPr="00E667AD" w14:paraId="29134D37" w14:textId="77777777" w:rsidTr="00DD749A">
        <w:trPr>
          <w:trHeight w:val="227"/>
        </w:trPr>
        <w:tc>
          <w:tcPr>
            <w:tcW w:w="4820" w:type="dxa"/>
            <w:vAlign w:val="center"/>
          </w:tcPr>
          <w:p w14:paraId="2265F7BB" w14:textId="77777777" w:rsidR="00671E1E" w:rsidRPr="00E667AD" w:rsidRDefault="00671E1E" w:rsidP="00E667AD">
            <w:pPr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Rezerva peněžních prostředků</w:t>
            </w:r>
            <w:r w:rsidR="003A72D8" w:rsidRPr="00DD749A">
              <w:rPr>
                <w:rFonts w:ascii="Calibri" w:eastAsiaTheme="minorHAnsi" w:hAnsi="Calibri" w:cs="Calibri"/>
                <w:b/>
                <w:sz w:val="20"/>
                <w:vertAlign w:val="superscript"/>
              </w:rPr>
              <w:t>3</w:t>
            </w:r>
            <w:r w:rsidR="00851075" w:rsidRPr="00DD749A">
              <w:rPr>
                <w:rFonts w:ascii="Calibri" w:eastAsiaTheme="minorHAnsi" w:hAnsi="Calibri" w:cs="Calibri"/>
                <w:b/>
                <w:sz w:val="20"/>
                <w:vertAlign w:val="superscript"/>
              </w:rPr>
              <w:t xml:space="preserve"> </w:t>
            </w:r>
            <w:r w:rsidR="00851075" w:rsidRPr="00E667AD">
              <w:rPr>
                <w:rFonts w:ascii="Calibri" w:eastAsiaTheme="minorHAnsi" w:hAnsi="Calibri" w:cs="Calibri"/>
                <w:sz w:val="20"/>
              </w:rPr>
              <w:t>(stav</w:t>
            </w:r>
            <w:r w:rsidR="005C3B2B" w:rsidRPr="00E667AD">
              <w:rPr>
                <w:rFonts w:ascii="Calibri" w:eastAsiaTheme="minorHAnsi" w:hAnsi="Calibri" w:cs="Calibri"/>
                <w:sz w:val="20"/>
              </w:rPr>
              <w:t xml:space="preserve"> ke konci roku)</w:t>
            </w:r>
          </w:p>
        </w:tc>
        <w:tc>
          <w:tcPr>
            <w:tcW w:w="2410" w:type="dxa"/>
            <w:vAlign w:val="center"/>
          </w:tcPr>
          <w:p w14:paraId="3CDD82DF" w14:textId="77777777" w:rsidR="00671E1E" w:rsidRPr="00E667AD" w:rsidRDefault="00671E1E" w:rsidP="00DD749A">
            <w:pPr>
              <w:ind w:right="743"/>
              <w:jc w:val="right"/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44,0</w:t>
            </w:r>
          </w:p>
        </w:tc>
        <w:tc>
          <w:tcPr>
            <w:tcW w:w="2126" w:type="dxa"/>
            <w:vAlign w:val="center"/>
          </w:tcPr>
          <w:p w14:paraId="18F278DC" w14:textId="77777777" w:rsidR="00671E1E" w:rsidRPr="00E667AD" w:rsidRDefault="00671E1E" w:rsidP="00DD749A">
            <w:pPr>
              <w:ind w:right="601"/>
              <w:jc w:val="right"/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11,5</w:t>
            </w:r>
          </w:p>
        </w:tc>
      </w:tr>
      <w:tr w:rsidR="00671E1E" w:rsidRPr="00E667AD" w14:paraId="7D3A944E" w14:textId="77777777" w:rsidTr="00E667AD">
        <w:trPr>
          <w:trHeight w:val="227"/>
        </w:trPr>
        <w:tc>
          <w:tcPr>
            <w:tcW w:w="4820" w:type="dxa"/>
            <w:shd w:val="clear" w:color="auto" w:fill="F2F2F2" w:themeFill="background1" w:themeFillShade="F2"/>
            <w:vAlign w:val="center"/>
          </w:tcPr>
          <w:p w14:paraId="648600C8" w14:textId="77777777" w:rsidR="00671E1E" w:rsidRPr="00E667AD" w:rsidRDefault="00671E1E" w:rsidP="00E667AD">
            <w:pPr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Strategie na rok 2015 – 17. 12. 2014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3D8F5A4" w14:textId="77777777" w:rsidR="00671E1E" w:rsidRPr="00E667AD" w:rsidRDefault="00671E1E" w:rsidP="003C0F64">
            <w:pPr>
              <w:jc w:val="center"/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2015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5544728" w14:textId="77777777" w:rsidR="00671E1E" w:rsidRPr="00E667AD" w:rsidRDefault="00671E1E" w:rsidP="003C0F64">
            <w:pPr>
              <w:jc w:val="center"/>
              <w:rPr>
                <w:rFonts w:ascii="Calibri" w:eastAsiaTheme="minorHAnsi" w:hAnsi="Calibri" w:cs="Calibri"/>
                <w:sz w:val="20"/>
              </w:rPr>
            </w:pPr>
          </w:p>
        </w:tc>
      </w:tr>
      <w:tr w:rsidR="00671E1E" w:rsidRPr="00E667AD" w14:paraId="324C38FB" w14:textId="77777777" w:rsidTr="00E667AD">
        <w:trPr>
          <w:trHeight w:val="227"/>
        </w:trPr>
        <w:tc>
          <w:tcPr>
            <w:tcW w:w="4820" w:type="dxa"/>
            <w:vAlign w:val="center"/>
          </w:tcPr>
          <w:p w14:paraId="4B587F2D" w14:textId="77777777" w:rsidR="00671E1E" w:rsidRPr="00E667AD" w:rsidRDefault="00671E1E" w:rsidP="00E667AD">
            <w:pPr>
              <w:rPr>
                <w:rFonts w:ascii="Calibri" w:eastAsiaTheme="minorHAnsi" w:hAnsi="Calibri" w:cs="Calibri"/>
                <w:sz w:val="20"/>
              </w:rPr>
            </w:pPr>
            <w:r w:rsidRPr="00E667AD">
              <w:rPr>
                <w:rFonts w:ascii="Calibri" w:eastAsiaTheme="minorHAnsi" w:hAnsi="Calibri" w:cs="Calibri"/>
                <w:sz w:val="20"/>
              </w:rPr>
              <w:t>Rezerva peněžních prostředků</w:t>
            </w:r>
          </w:p>
        </w:tc>
        <w:tc>
          <w:tcPr>
            <w:tcW w:w="2410" w:type="dxa"/>
            <w:vAlign w:val="center"/>
          </w:tcPr>
          <w:p w14:paraId="1D13D185" w14:textId="066DF9E3" w:rsidR="00671E1E" w:rsidRPr="00E667AD" w:rsidRDefault="0005132E" w:rsidP="003C0F64">
            <w:pPr>
              <w:jc w:val="center"/>
              <w:rPr>
                <w:rFonts w:ascii="Calibri" w:eastAsiaTheme="minorHAnsi" w:hAnsi="Calibri" w:cs="Calibri"/>
                <w:sz w:val="20"/>
              </w:rPr>
            </w:pPr>
            <w:r>
              <w:rPr>
                <w:rFonts w:ascii="Calibri" w:eastAsiaTheme="minorHAnsi" w:hAnsi="Calibri" w:cs="Calibri"/>
                <w:sz w:val="20"/>
              </w:rPr>
              <w:t>N</w:t>
            </w:r>
            <w:r w:rsidR="00671E1E" w:rsidRPr="00E667AD">
              <w:rPr>
                <w:rFonts w:ascii="Calibri" w:eastAsiaTheme="minorHAnsi" w:hAnsi="Calibri" w:cs="Calibri"/>
                <w:sz w:val="20"/>
              </w:rPr>
              <w:t>ení uvedena</w:t>
            </w:r>
            <w:r>
              <w:rPr>
                <w:rFonts w:ascii="Calibri" w:eastAsiaTheme="minorHAnsi" w:hAnsi="Calibri" w:cs="Calibri"/>
                <w:sz w:val="20"/>
              </w:rPr>
              <w:t>.</w:t>
            </w:r>
          </w:p>
        </w:tc>
        <w:tc>
          <w:tcPr>
            <w:tcW w:w="2126" w:type="dxa"/>
            <w:vAlign w:val="center"/>
          </w:tcPr>
          <w:p w14:paraId="1C598B93" w14:textId="77777777" w:rsidR="00671E1E" w:rsidRPr="00E667AD" w:rsidRDefault="00671E1E" w:rsidP="003C0F64">
            <w:pPr>
              <w:jc w:val="center"/>
              <w:rPr>
                <w:rFonts w:ascii="Calibri" w:eastAsiaTheme="minorHAnsi" w:hAnsi="Calibri" w:cs="Calibri"/>
                <w:sz w:val="20"/>
              </w:rPr>
            </w:pPr>
          </w:p>
        </w:tc>
      </w:tr>
    </w:tbl>
    <w:p w14:paraId="3132BFF7" w14:textId="44183974" w:rsidR="00671E1E" w:rsidRPr="00430901" w:rsidRDefault="00671E1E" w:rsidP="00E667AD">
      <w:pPr>
        <w:spacing w:before="40" w:after="0" w:line="240" w:lineRule="auto"/>
        <w:jc w:val="both"/>
        <w:rPr>
          <w:rFonts w:eastAsiaTheme="minorHAnsi" w:cstheme="minorHAnsi"/>
          <w:sz w:val="20"/>
          <w:szCs w:val="20"/>
        </w:rPr>
      </w:pPr>
      <w:r w:rsidRPr="0039111E">
        <w:rPr>
          <w:rFonts w:eastAsiaTheme="minorHAnsi" w:cstheme="minorHAnsi"/>
          <w:b/>
          <w:sz w:val="20"/>
          <w:szCs w:val="20"/>
        </w:rPr>
        <w:t>Zdroj:</w:t>
      </w:r>
      <w:r w:rsidRPr="00430901">
        <w:rPr>
          <w:rFonts w:eastAsiaTheme="minorHAnsi" w:cstheme="minorHAnsi"/>
          <w:sz w:val="20"/>
          <w:szCs w:val="20"/>
        </w:rPr>
        <w:t xml:space="preserve"> </w:t>
      </w:r>
      <w:r w:rsidR="00DD749A">
        <w:rPr>
          <w:rFonts w:eastAsiaTheme="minorHAnsi" w:cstheme="minorHAnsi"/>
          <w:sz w:val="20"/>
          <w:szCs w:val="20"/>
        </w:rPr>
        <w:t>s</w:t>
      </w:r>
      <w:r w:rsidRPr="00430901">
        <w:rPr>
          <w:rFonts w:eastAsiaTheme="minorHAnsi" w:cstheme="minorHAnsi"/>
          <w:sz w:val="20"/>
          <w:szCs w:val="20"/>
        </w:rPr>
        <w:t xml:space="preserve">trategie financování a řízení státního dluhu České republiky </w:t>
      </w:r>
      <w:r w:rsidR="00DD749A">
        <w:rPr>
          <w:rFonts w:eastAsiaTheme="minorHAnsi" w:cstheme="minorHAnsi"/>
          <w:sz w:val="20"/>
          <w:szCs w:val="20"/>
        </w:rPr>
        <w:t xml:space="preserve">na roky </w:t>
      </w:r>
      <w:r w:rsidRPr="00430901">
        <w:rPr>
          <w:rFonts w:eastAsiaTheme="minorHAnsi" w:cstheme="minorHAnsi"/>
          <w:sz w:val="20"/>
          <w:szCs w:val="20"/>
        </w:rPr>
        <w:t>2012, 2013, 2014 a 2015</w:t>
      </w:r>
      <w:r w:rsidR="007911E1">
        <w:rPr>
          <w:rFonts w:eastAsiaTheme="minorHAnsi" w:cstheme="minorHAnsi"/>
          <w:sz w:val="20"/>
          <w:szCs w:val="20"/>
        </w:rPr>
        <w:t>.</w:t>
      </w:r>
    </w:p>
    <w:p w14:paraId="02FB24DA" w14:textId="52BBD6D6" w:rsidR="00380B78" w:rsidRPr="008F4844" w:rsidRDefault="003A72D8" w:rsidP="005549AA">
      <w:pPr>
        <w:spacing w:after="0" w:line="240" w:lineRule="auto"/>
        <w:ind w:left="142" w:hanging="142"/>
        <w:jc w:val="both"/>
        <w:rPr>
          <w:rFonts w:eastAsiaTheme="minorHAnsi" w:cstheme="minorHAnsi"/>
        </w:rPr>
      </w:pPr>
      <w:r w:rsidRPr="00DD749A">
        <w:rPr>
          <w:rFonts w:eastAsiaTheme="minorHAnsi" w:cstheme="minorHAnsi"/>
          <w:b/>
          <w:sz w:val="20"/>
          <w:szCs w:val="20"/>
          <w:vertAlign w:val="superscript"/>
        </w:rPr>
        <w:t>1</w:t>
      </w:r>
      <w:r w:rsidR="0005132E">
        <w:rPr>
          <w:rFonts w:eastAsiaTheme="minorHAnsi" w:cstheme="minorHAnsi"/>
          <w:b/>
          <w:sz w:val="20"/>
          <w:szCs w:val="20"/>
          <w:vertAlign w:val="superscript"/>
        </w:rPr>
        <w:t xml:space="preserve"> </w:t>
      </w:r>
      <w:r w:rsidR="0005132E">
        <w:rPr>
          <w:rFonts w:eastAsiaTheme="minorHAnsi" w:cstheme="minorHAnsi"/>
          <w:b/>
          <w:sz w:val="20"/>
          <w:szCs w:val="20"/>
          <w:vertAlign w:val="superscript"/>
        </w:rPr>
        <w:tab/>
      </w:r>
      <w:r w:rsidRPr="0058191E">
        <w:rPr>
          <w:rFonts w:eastAsiaTheme="minorHAnsi" w:cstheme="minorHAnsi"/>
          <w:sz w:val="20"/>
          <w:szCs w:val="20"/>
        </w:rPr>
        <w:t xml:space="preserve">Rezerva peněžních prostředků vytvářená z emisní činnosti dle § 35 odst. 4 </w:t>
      </w:r>
      <w:r w:rsidR="00380B78" w:rsidRPr="0058191E">
        <w:rPr>
          <w:rFonts w:eastAsiaTheme="minorHAnsi" w:cstheme="minorHAnsi"/>
          <w:sz w:val="20"/>
          <w:szCs w:val="20"/>
        </w:rPr>
        <w:t>rozpočtových pravidel</w:t>
      </w:r>
      <w:r w:rsidR="0058191E" w:rsidRPr="0058191E">
        <w:t xml:space="preserve"> </w:t>
      </w:r>
      <w:r w:rsidR="0058191E" w:rsidRPr="0058191E">
        <w:rPr>
          <w:rFonts w:eastAsiaTheme="minorHAnsi" w:cstheme="minorHAnsi"/>
          <w:sz w:val="20"/>
          <w:szCs w:val="20"/>
        </w:rPr>
        <w:t>ve znění účinném do 19. 2. 2015</w:t>
      </w:r>
      <w:r w:rsidR="007C73E6" w:rsidRPr="0058191E">
        <w:rPr>
          <w:rFonts w:eastAsiaTheme="minorHAnsi" w:cstheme="minorHAnsi"/>
          <w:sz w:val="20"/>
          <w:szCs w:val="20"/>
        </w:rPr>
        <w:t>.</w:t>
      </w:r>
      <w:r w:rsidR="00380B78" w:rsidRPr="0058191E">
        <w:rPr>
          <w:rFonts w:eastAsiaTheme="minorHAnsi" w:cstheme="minorHAnsi"/>
          <w:sz w:val="20"/>
          <w:szCs w:val="20"/>
        </w:rPr>
        <w:t xml:space="preserve"> </w:t>
      </w:r>
    </w:p>
    <w:p w14:paraId="77C1628F" w14:textId="77777777" w:rsidR="003A72D8" w:rsidRDefault="003A72D8" w:rsidP="005549AA">
      <w:pPr>
        <w:pStyle w:val="Textpoznpodarou"/>
        <w:ind w:left="142" w:hanging="142"/>
        <w:jc w:val="both"/>
        <w:rPr>
          <w:rFonts w:asciiTheme="minorHAnsi" w:eastAsiaTheme="minorHAnsi" w:hAnsiTheme="minorHAnsi" w:cstheme="minorHAnsi"/>
        </w:rPr>
      </w:pPr>
      <w:r w:rsidRPr="00DD749A">
        <w:rPr>
          <w:rFonts w:asciiTheme="minorHAnsi" w:eastAsiaTheme="minorHAnsi" w:hAnsiTheme="minorHAnsi" w:cstheme="minorHAnsi"/>
          <w:b/>
          <w:vertAlign w:val="superscript"/>
        </w:rPr>
        <w:t>2</w:t>
      </w:r>
      <w:r w:rsidRPr="00430901">
        <w:rPr>
          <w:rFonts w:asciiTheme="minorHAnsi" w:eastAsiaTheme="minorHAnsi" w:hAnsiTheme="minorHAnsi" w:cstheme="minorHAnsi"/>
        </w:rPr>
        <w:t xml:space="preserve"> </w:t>
      </w:r>
      <w:r w:rsidR="00430901">
        <w:rPr>
          <w:rFonts w:asciiTheme="minorHAnsi" w:eastAsiaTheme="minorHAnsi" w:hAnsiTheme="minorHAnsi" w:cstheme="minorHAnsi"/>
        </w:rPr>
        <w:tab/>
      </w:r>
      <w:r w:rsidRPr="00430901">
        <w:rPr>
          <w:rFonts w:asciiTheme="minorHAnsi" w:eastAsiaTheme="minorHAnsi" w:hAnsiTheme="minorHAnsi" w:cstheme="minorHAnsi"/>
        </w:rPr>
        <w:t xml:space="preserve">Rezerva peněžních prostředků vytvářená z emisní činnosti dle § 35 odst. 4 </w:t>
      </w:r>
      <w:r w:rsidR="00380B78">
        <w:rPr>
          <w:rFonts w:asciiTheme="minorHAnsi" w:eastAsiaTheme="minorHAnsi" w:hAnsiTheme="minorHAnsi" w:cstheme="minorHAnsi"/>
        </w:rPr>
        <w:t xml:space="preserve">rozpočtových </w:t>
      </w:r>
      <w:r w:rsidR="006F0F6A">
        <w:rPr>
          <w:rFonts w:asciiTheme="minorHAnsi" w:eastAsiaTheme="minorHAnsi" w:hAnsiTheme="minorHAnsi" w:cstheme="minorHAnsi"/>
        </w:rPr>
        <w:t>pravidel</w:t>
      </w:r>
      <w:r w:rsidR="0058191E">
        <w:rPr>
          <w:rFonts w:asciiTheme="minorHAnsi" w:eastAsiaTheme="minorHAnsi" w:hAnsiTheme="minorHAnsi" w:cstheme="minorHAnsi"/>
        </w:rPr>
        <w:t xml:space="preserve"> </w:t>
      </w:r>
      <w:r w:rsidR="0058191E" w:rsidRPr="00E121AE">
        <w:rPr>
          <w:rFonts w:asciiTheme="minorHAnsi" w:hAnsiTheme="minorHAnsi" w:cstheme="minorHAnsi"/>
        </w:rPr>
        <w:t xml:space="preserve">ve </w:t>
      </w:r>
      <w:r w:rsidR="0058191E" w:rsidRPr="00681A8C">
        <w:rPr>
          <w:rFonts w:asciiTheme="minorHAnsi" w:eastAsiaTheme="minorHAnsi" w:hAnsiTheme="minorHAnsi" w:cstheme="minorHAnsi"/>
        </w:rPr>
        <w:t>znění účinné</w:t>
      </w:r>
      <w:r w:rsidR="0058191E" w:rsidRPr="00380B78">
        <w:rPr>
          <w:rFonts w:asciiTheme="minorHAnsi" w:eastAsiaTheme="minorHAnsi" w:hAnsiTheme="minorHAnsi" w:cstheme="minorHAnsi"/>
        </w:rPr>
        <w:t>m do 19. 2. 2015</w:t>
      </w:r>
      <w:r w:rsidR="006F0F6A">
        <w:rPr>
          <w:rFonts w:asciiTheme="minorHAnsi" w:eastAsiaTheme="minorHAnsi" w:hAnsiTheme="minorHAnsi" w:cstheme="minorHAnsi"/>
        </w:rPr>
        <w:t xml:space="preserve"> </w:t>
      </w:r>
      <w:r w:rsidR="00380B78">
        <w:rPr>
          <w:rFonts w:asciiTheme="minorHAnsi" w:eastAsiaTheme="minorHAnsi" w:hAnsiTheme="minorHAnsi" w:cstheme="minorHAnsi"/>
        </w:rPr>
        <w:t>(</w:t>
      </w:r>
      <w:r w:rsidRPr="00430901">
        <w:rPr>
          <w:rFonts w:asciiTheme="minorHAnsi" w:eastAsiaTheme="minorHAnsi" w:hAnsiTheme="minorHAnsi" w:cstheme="minorHAnsi"/>
        </w:rPr>
        <w:t>změna bez přecenění cizoměnové části vlivem kurzových rozdílů</w:t>
      </w:r>
      <w:r w:rsidR="00380B78">
        <w:rPr>
          <w:rFonts w:asciiTheme="minorHAnsi" w:eastAsiaTheme="minorHAnsi" w:hAnsiTheme="minorHAnsi" w:cstheme="minorHAnsi"/>
        </w:rPr>
        <w:t>)</w:t>
      </w:r>
      <w:r w:rsidRPr="00430901">
        <w:rPr>
          <w:rFonts w:asciiTheme="minorHAnsi" w:eastAsiaTheme="minorHAnsi" w:hAnsiTheme="minorHAnsi" w:cstheme="minorHAnsi"/>
        </w:rPr>
        <w:t>.</w:t>
      </w:r>
    </w:p>
    <w:p w14:paraId="410A5D5E" w14:textId="73B27512" w:rsidR="005549AA" w:rsidRPr="00430901" w:rsidRDefault="005549AA" w:rsidP="005549AA">
      <w:pPr>
        <w:pStyle w:val="Textpoznpodarou"/>
        <w:ind w:left="142" w:hanging="142"/>
        <w:jc w:val="both"/>
        <w:rPr>
          <w:rFonts w:asciiTheme="minorHAnsi" w:eastAsiaTheme="minorHAnsi" w:hAnsiTheme="minorHAnsi" w:cstheme="minorHAnsi"/>
        </w:rPr>
      </w:pPr>
      <w:r w:rsidRPr="00DD749A">
        <w:rPr>
          <w:rFonts w:asciiTheme="minorHAnsi" w:eastAsiaTheme="minorHAnsi" w:hAnsiTheme="minorHAnsi" w:cstheme="minorHAnsi"/>
          <w:b/>
          <w:vertAlign w:val="superscript"/>
        </w:rPr>
        <w:t xml:space="preserve">3 </w:t>
      </w:r>
      <w:r>
        <w:rPr>
          <w:rFonts w:asciiTheme="minorHAnsi" w:eastAsiaTheme="minorHAnsi" w:hAnsiTheme="minorHAnsi" w:cstheme="minorHAnsi"/>
          <w:vertAlign w:val="superscript"/>
        </w:rPr>
        <w:tab/>
      </w:r>
      <w:r w:rsidRPr="00430901">
        <w:rPr>
          <w:rFonts w:asciiTheme="minorHAnsi" w:eastAsiaTheme="minorHAnsi" w:hAnsiTheme="minorHAnsi" w:cstheme="minorHAnsi"/>
        </w:rPr>
        <w:t xml:space="preserve">Volné peněžní prostředky vytvářené z emisní činnosti dle § 35 odst. 4 </w:t>
      </w:r>
      <w:r>
        <w:rPr>
          <w:rFonts w:asciiTheme="minorHAnsi" w:eastAsiaTheme="minorHAnsi" w:hAnsiTheme="minorHAnsi" w:cstheme="minorHAnsi"/>
        </w:rPr>
        <w:t>rozpočtových pravidel</w:t>
      </w:r>
      <w:r w:rsidRPr="0058191E">
        <w:rPr>
          <w:rFonts w:cstheme="minorHAnsi"/>
        </w:rPr>
        <w:t xml:space="preserve"> </w:t>
      </w:r>
      <w:r w:rsidRPr="00E121AE">
        <w:rPr>
          <w:rFonts w:asciiTheme="minorHAnsi" w:hAnsiTheme="minorHAnsi" w:cstheme="minorHAnsi"/>
        </w:rPr>
        <w:t xml:space="preserve">ve </w:t>
      </w:r>
      <w:r w:rsidRPr="00681A8C">
        <w:rPr>
          <w:rFonts w:asciiTheme="minorHAnsi" w:eastAsiaTheme="minorHAnsi" w:hAnsiTheme="minorHAnsi" w:cstheme="minorHAnsi"/>
        </w:rPr>
        <w:t>znění účinné</w:t>
      </w:r>
      <w:r w:rsidRPr="00380B78">
        <w:rPr>
          <w:rFonts w:asciiTheme="minorHAnsi" w:eastAsiaTheme="minorHAnsi" w:hAnsiTheme="minorHAnsi" w:cstheme="minorHAnsi"/>
        </w:rPr>
        <w:t>m do 19. 2. 2015</w:t>
      </w:r>
      <w:r>
        <w:rPr>
          <w:rFonts w:asciiTheme="minorHAnsi" w:eastAsiaTheme="minorHAnsi" w:hAnsiTheme="minorHAnsi" w:cstheme="minorHAnsi"/>
        </w:rPr>
        <w:t xml:space="preserve"> (</w:t>
      </w:r>
      <w:r w:rsidRPr="00430901">
        <w:rPr>
          <w:rFonts w:asciiTheme="minorHAnsi" w:eastAsiaTheme="minorHAnsi" w:hAnsiTheme="minorHAnsi" w:cstheme="minorHAnsi"/>
        </w:rPr>
        <w:t xml:space="preserve">včetně vlivu kurzových rozdílů </w:t>
      </w:r>
      <w:r>
        <w:rPr>
          <w:rFonts w:asciiTheme="minorHAnsi" w:eastAsiaTheme="minorHAnsi" w:hAnsiTheme="minorHAnsi" w:cstheme="minorHAnsi"/>
        </w:rPr>
        <w:t>při přepočtu</w:t>
      </w:r>
      <w:r w:rsidRPr="00430901">
        <w:rPr>
          <w:rFonts w:asciiTheme="minorHAnsi" w:eastAsiaTheme="minorHAnsi" w:hAnsiTheme="minorHAnsi" w:cstheme="minorHAnsi"/>
        </w:rPr>
        <w:t xml:space="preserve"> cizoměnové části rezervy peněžních prostředků</w:t>
      </w:r>
      <w:r>
        <w:rPr>
          <w:rFonts w:asciiTheme="minorHAnsi" w:eastAsiaTheme="minorHAnsi" w:hAnsiTheme="minorHAnsi" w:cstheme="minorHAnsi"/>
        </w:rPr>
        <w:t>)</w:t>
      </w:r>
      <w:r w:rsidRPr="00430901">
        <w:rPr>
          <w:rFonts w:asciiTheme="minorHAnsi" w:eastAsiaTheme="minorHAnsi" w:hAnsiTheme="minorHAnsi" w:cstheme="minorHAnsi"/>
        </w:rPr>
        <w:t>.</w:t>
      </w:r>
    </w:p>
    <w:p w14:paraId="7B91BA6E" w14:textId="77777777" w:rsidR="003A72D8" w:rsidRDefault="003A72D8" w:rsidP="00671E1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0A9F5AA" w14:textId="2042317F" w:rsidR="00671E1E" w:rsidRPr="00F430D3" w:rsidRDefault="00671E1E" w:rsidP="00671E1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30D3">
        <w:rPr>
          <w:rFonts w:cstheme="minorHAnsi"/>
          <w:color w:val="000000" w:themeColor="text1"/>
          <w:sz w:val="24"/>
          <w:szCs w:val="24"/>
        </w:rPr>
        <w:t xml:space="preserve">Z tabulky č. </w:t>
      </w:r>
      <w:r w:rsidR="00C31D5F">
        <w:rPr>
          <w:rFonts w:cstheme="minorHAnsi"/>
          <w:color w:val="000000" w:themeColor="text1"/>
          <w:sz w:val="24"/>
          <w:szCs w:val="24"/>
        </w:rPr>
        <w:t>4</w:t>
      </w:r>
      <w:r w:rsidR="00C31D5F" w:rsidRPr="00F430D3">
        <w:rPr>
          <w:rFonts w:cstheme="minorHAnsi"/>
          <w:color w:val="000000" w:themeColor="text1"/>
          <w:sz w:val="24"/>
          <w:szCs w:val="24"/>
        </w:rPr>
        <w:t xml:space="preserve"> </w:t>
      </w:r>
      <w:r w:rsidRPr="00F430D3">
        <w:rPr>
          <w:rFonts w:cstheme="minorHAnsi"/>
          <w:color w:val="000000" w:themeColor="text1"/>
          <w:sz w:val="24"/>
          <w:szCs w:val="24"/>
        </w:rPr>
        <w:t xml:space="preserve">vyplývá, že plán změny či výše rezervy </w:t>
      </w:r>
      <w:r w:rsidR="004173D6" w:rsidRPr="00F430D3">
        <w:rPr>
          <w:rFonts w:cstheme="minorHAnsi"/>
          <w:sz w:val="24"/>
          <w:szCs w:val="24"/>
        </w:rPr>
        <w:t xml:space="preserve">peněžních prostředků </w:t>
      </w:r>
      <w:r w:rsidRPr="00F430D3">
        <w:rPr>
          <w:rFonts w:cstheme="minorHAnsi"/>
          <w:color w:val="000000" w:themeColor="text1"/>
          <w:sz w:val="24"/>
          <w:szCs w:val="24"/>
        </w:rPr>
        <w:t xml:space="preserve">se v letech 2012 až 2014 od skutečnosti značně lišil. Ve </w:t>
      </w:r>
      <w:r w:rsidR="00DD749A">
        <w:rPr>
          <w:rFonts w:cstheme="minorHAnsi"/>
          <w:color w:val="000000" w:themeColor="text1"/>
          <w:sz w:val="24"/>
          <w:szCs w:val="24"/>
        </w:rPr>
        <w:t>s</w:t>
      </w:r>
      <w:r w:rsidRPr="00F430D3">
        <w:rPr>
          <w:rFonts w:cstheme="minorHAnsi"/>
          <w:color w:val="000000" w:themeColor="text1"/>
          <w:sz w:val="24"/>
          <w:szCs w:val="24"/>
        </w:rPr>
        <w:t>trategii na rok 2015 vydané v prosinci 2014 ani v její aktualizaci na 2. pololetí vydané v červnu 2015 MF údaje o rezervě již neuv</w:t>
      </w:r>
      <w:r w:rsidR="00A37B79">
        <w:rPr>
          <w:rFonts w:cstheme="minorHAnsi"/>
          <w:color w:val="000000" w:themeColor="text1"/>
          <w:sz w:val="24"/>
          <w:szCs w:val="24"/>
        </w:rPr>
        <w:t>edlo</w:t>
      </w:r>
      <w:r w:rsidRPr="00F430D3">
        <w:rPr>
          <w:rFonts w:cstheme="minorHAnsi"/>
          <w:color w:val="000000" w:themeColor="text1"/>
          <w:sz w:val="24"/>
          <w:szCs w:val="24"/>
        </w:rPr>
        <w:t>.</w:t>
      </w:r>
    </w:p>
    <w:p w14:paraId="33423D38" w14:textId="77777777" w:rsidR="00671E1E" w:rsidRPr="00F430D3" w:rsidRDefault="00671E1E" w:rsidP="00671E1E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F336B9B" w14:textId="77777777" w:rsidR="00671E1E" w:rsidRPr="00430901" w:rsidRDefault="00671E1E" w:rsidP="00093B2F">
      <w:pPr>
        <w:tabs>
          <w:tab w:val="right" w:pos="9356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30901">
        <w:rPr>
          <w:rFonts w:cstheme="minorHAnsi"/>
          <w:b/>
          <w:sz w:val="24"/>
          <w:szCs w:val="24"/>
        </w:rPr>
        <w:t xml:space="preserve">Tabulka č. </w:t>
      </w:r>
      <w:r w:rsidR="00C31D5F">
        <w:rPr>
          <w:rFonts w:cstheme="minorHAnsi"/>
          <w:b/>
          <w:sz w:val="24"/>
          <w:szCs w:val="24"/>
        </w:rPr>
        <w:t>5</w:t>
      </w:r>
      <w:r w:rsidR="00C31D5F" w:rsidRPr="00430901">
        <w:rPr>
          <w:rFonts w:cstheme="minorHAnsi"/>
          <w:b/>
          <w:sz w:val="24"/>
          <w:szCs w:val="24"/>
        </w:rPr>
        <w:t xml:space="preserve"> </w:t>
      </w:r>
      <w:r w:rsidRPr="00430901">
        <w:rPr>
          <w:rFonts w:cstheme="minorHAnsi"/>
          <w:b/>
          <w:sz w:val="24"/>
          <w:szCs w:val="24"/>
        </w:rPr>
        <w:t>– Rezerva peněžních prostředků</w:t>
      </w:r>
      <w:r w:rsidR="00D7015A" w:rsidRPr="00430901">
        <w:rPr>
          <w:rFonts w:cstheme="minorHAnsi"/>
          <w:b/>
          <w:sz w:val="24"/>
          <w:szCs w:val="24"/>
        </w:rPr>
        <w:t xml:space="preserve"> podle bankovních účtů MF</w:t>
      </w:r>
      <w:r w:rsidRPr="00430901">
        <w:rPr>
          <w:rFonts w:cstheme="minorHAnsi"/>
          <w:b/>
          <w:sz w:val="24"/>
          <w:szCs w:val="24"/>
        </w:rPr>
        <w:t xml:space="preserve"> </w:t>
      </w:r>
      <w:r w:rsidR="00430901">
        <w:rPr>
          <w:rFonts w:cstheme="minorHAnsi"/>
          <w:b/>
          <w:sz w:val="24"/>
          <w:szCs w:val="24"/>
        </w:rPr>
        <w:tab/>
      </w:r>
      <w:r w:rsidRPr="00430901">
        <w:rPr>
          <w:rFonts w:cstheme="minorHAnsi"/>
          <w:b/>
          <w:sz w:val="24"/>
          <w:szCs w:val="24"/>
        </w:rPr>
        <w:t>(v Kč)</w:t>
      </w:r>
    </w:p>
    <w:tbl>
      <w:tblPr>
        <w:tblStyle w:val="Mkatabulky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031"/>
        <w:gridCol w:w="2032"/>
        <w:gridCol w:w="2032"/>
      </w:tblGrid>
      <w:tr w:rsidR="00FD0884" w:rsidRPr="00093B2F" w14:paraId="703C6AFE" w14:textId="77777777" w:rsidTr="00093B2F">
        <w:trPr>
          <w:trHeight w:val="22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2B3E01E" w14:textId="77777777" w:rsidR="00671E1E" w:rsidRPr="00093B2F" w:rsidRDefault="00671E1E" w:rsidP="00093B2F">
            <w:pPr>
              <w:rPr>
                <w:rFonts w:ascii="Calibri" w:eastAsiaTheme="minorHAnsi" w:hAnsi="Calibri" w:cs="Calibri"/>
                <w:sz w:val="20"/>
                <w:szCs w:val="20"/>
              </w:rPr>
            </w:pP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09A9AB54" w14:textId="77777777" w:rsidR="00671E1E" w:rsidRPr="00093B2F" w:rsidRDefault="00671E1E" w:rsidP="003C0F64">
            <w:pPr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k 31. 12. 2012</w:t>
            </w:r>
          </w:p>
        </w:tc>
        <w:tc>
          <w:tcPr>
            <w:tcW w:w="2032" w:type="dxa"/>
            <w:shd w:val="clear" w:color="auto" w:fill="F2F2F2" w:themeFill="background1" w:themeFillShade="F2"/>
            <w:vAlign w:val="center"/>
          </w:tcPr>
          <w:p w14:paraId="4D1E737B" w14:textId="77777777" w:rsidR="00671E1E" w:rsidRPr="00093B2F" w:rsidRDefault="00671E1E" w:rsidP="003C0F64">
            <w:pPr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k 31. 12. 2013</w:t>
            </w:r>
          </w:p>
        </w:tc>
        <w:tc>
          <w:tcPr>
            <w:tcW w:w="2032" w:type="dxa"/>
            <w:shd w:val="clear" w:color="auto" w:fill="F2F2F2" w:themeFill="background1" w:themeFillShade="F2"/>
            <w:vAlign w:val="center"/>
          </w:tcPr>
          <w:p w14:paraId="244117D7" w14:textId="77777777" w:rsidR="00671E1E" w:rsidRPr="00093B2F" w:rsidRDefault="00671E1E" w:rsidP="003C0F64">
            <w:pPr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k 31. 12. 2014</w:t>
            </w:r>
          </w:p>
        </w:tc>
      </w:tr>
      <w:tr w:rsidR="00FD0884" w:rsidRPr="00093B2F" w14:paraId="2BDCC7DD" w14:textId="77777777" w:rsidTr="00093B2F">
        <w:trPr>
          <w:trHeight w:val="227"/>
        </w:trPr>
        <w:tc>
          <w:tcPr>
            <w:tcW w:w="3261" w:type="dxa"/>
            <w:vAlign w:val="center"/>
          </w:tcPr>
          <w:p w14:paraId="58E194F2" w14:textId="77777777" w:rsidR="00671E1E" w:rsidRPr="00093B2F" w:rsidRDefault="00671E1E" w:rsidP="00093B2F">
            <w:pPr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1978-23927001/0710</w:t>
            </w:r>
          </w:p>
          <w:p w14:paraId="611BFFB9" w14:textId="77777777" w:rsidR="00671E1E" w:rsidRPr="00093B2F" w:rsidRDefault="00671E1E" w:rsidP="00093B2F">
            <w:pPr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Umořovací účet I.</w:t>
            </w:r>
          </w:p>
        </w:tc>
        <w:tc>
          <w:tcPr>
            <w:tcW w:w="2031" w:type="dxa"/>
            <w:vAlign w:val="center"/>
          </w:tcPr>
          <w:p w14:paraId="0A2E470F" w14:textId="77777777" w:rsidR="00671E1E" w:rsidRPr="00093B2F" w:rsidRDefault="00671E1E" w:rsidP="00093B2F">
            <w:pPr>
              <w:ind w:right="81"/>
              <w:jc w:val="right"/>
              <w:rPr>
                <w:rFonts w:ascii="Calibri" w:eastAsiaTheme="minorHAnsi" w:hAnsi="Calibri" w:cs="Calibri"/>
                <w:sz w:val="20"/>
                <w:szCs w:val="20"/>
                <w:highlight w:val="yellow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107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364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291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846,42</w:t>
            </w:r>
          </w:p>
        </w:tc>
        <w:tc>
          <w:tcPr>
            <w:tcW w:w="2032" w:type="dxa"/>
            <w:vAlign w:val="center"/>
          </w:tcPr>
          <w:p w14:paraId="2C68BEAD" w14:textId="77777777" w:rsidR="00671E1E" w:rsidRPr="00093B2F" w:rsidRDefault="00671E1E" w:rsidP="00093B2F">
            <w:pPr>
              <w:ind w:right="81"/>
              <w:jc w:val="right"/>
              <w:rPr>
                <w:rFonts w:ascii="Calibri" w:eastAsiaTheme="minorHAnsi" w:hAnsi="Calibri" w:cs="Calibri"/>
                <w:sz w:val="20"/>
                <w:szCs w:val="20"/>
                <w:highlight w:val="yellow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39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701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997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776,90</w:t>
            </w:r>
          </w:p>
        </w:tc>
        <w:tc>
          <w:tcPr>
            <w:tcW w:w="2032" w:type="dxa"/>
            <w:vAlign w:val="center"/>
          </w:tcPr>
          <w:p w14:paraId="4967BD7A" w14:textId="267195A7" w:rsidR="00671E1E" w:rsidRPr="00093B2F" w:rsidRDefault="005549AA" w:rsidP="005549AA">
            <w:pPr>
              <w:ind w:right="81"/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>–</w:t>
            </w:r>
          </w:p>
        </w:tc>
      </w:tr>
      <w:tr w:rsidR="00FD0884" w:rsidRPr="00093B2F" w14:paraId="2B40A628" w14:textId="77777777" w:rsidTr="00093B2F">
        <w:trPr>
          <w:trHeight w:val="227"/>
        </w:trPr>
        <w:tc>
          <w:tcPr>
            <w:tcW w:w="3261" w:type="dxa"/>
            <w:vAlign w:val="center"/>
          </w:tcPr>
          <w:p w14:paraId="4FEC3B42" w14:textId="77777777" w:rsidR="00671E1E" w:rsidRPr="00093B2F" w:rsidRDefault="00671E1E" w:rsidP="00093B2F">
            <w:pPr>
              <w:rPr>
                <w:rFonts w:ascii="Calibri" w:eastAsiaTheme="minorHAnsi" w:hAnsi="Calibri" w:cs="Calibri"/>
                <w:sz w:val="20"/>
                <w:szCs w:val="20"/>
                <w:vertAlign w:val="superscript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   z toho: nevyplacené jistiny SSD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31" w:type="dxa"/>
            <w:vAlign w:val="center"/>
          </w:tcPr>
          <w:p w14:paraId="34AA21E1" w14:textId="6E86EA34" w:rsidR="00671E1E" w:rsidRPr="00093B2F" w:rsidRDefault="005549AA" w:rsidP="00093B2F">
            <w:pPr>
              <w:ind w:right="81"/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>‒</w:t>
            </w:r>
            <w:r w:rsidR="00671E1E" w:rsidRPr="00093B2F">
              <w:rPr>
                <w:rFonts w:ascii="Calibri" w:eastAsiaTheme="minorHAnsi" w:hAnsi="Calibri" w:cs="Calibri"/>
                <w:sz w:val="20"/>
                <w:szCs w:val="20"/>
              </w:rPr>
              <w:t>6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="00671E1E" w:rsidRPr="00093B2F">
              <w:rPr>
                <w:rFonts w:ascii="Calibri" w:eastAsiaTheme="minorHAnsi" w:hAnsi="Calibri" w:cs="Calibri"/>
                <w:sz w:val="20"/>
                <w:szCs w:val="20"/>
              </w:rPr>
              <w:t>134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="00671E1E" w:rsidRPr="00093B2F">
              <w:rPr>
                <w:rFonts w:ascii="Calibri" w:eastAsiaTheme="minorHAnsi" w:hAnsi="Calibri" w:cs="Calibri"/>
                <w:sz w:val="20"/>
                <w:szCs w:val="20"/>
              </w:rPr>
              <w:t>154,00</w:t>
            </w:r>
          </w:p>
        </w:tc>
        <w:tc>
          <w:tcPr>
            <w:tcW w:w="2032" w:type="dxa"/>
            <w:vAlign w:val="center"/>
          </w:tcPr>
          <w:p w14:paraId="7DE2727A" w14:textId="48D3B21E" w:rsidR="00671E1E" w:rsidRPr="00093B2F" w:rsidRDefault="005549AA" w:rsidP="00093B2F">
            <w:pPr>
              <w:ind w:right="81"/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>‒</w:t>
            </w:r>
            <w:r w:rsidR="00671E1E" w:rsidRPr="00093B2F">
              <w:rPr>
                <w:rFonts w:ascii="Calibri" w:eastAsiaTheme="minorHAnsi" w:hAnsi="Calibri" w:cs="Calibri"/>
                <w:sz w:val="20"/>
                <w:szCs w:val="20"/>
              </w:rPr>
              <w:t>35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="00671E1E" w:rsidRPr="00093B2F">
              <w:rPr>
                <w:rFonts w:ascii="Calibri" w:eastAsiaTheme="minorHAnsi" w:hAnsi="Calibri" w:cs="Calibri"/>
                <w:sz w:val="20"/>
                <w:szCs w:val="20"/>
              </w:rPr>
              <w:t>946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="00671E1E" w:rsidRPr="00093B2F">
              <w:rPr>
                <w:rFonts w:ascii="Calibri" w:eastAsiaTheme="minorHAnsi" w:hAnsi="Calibri" w:cs="Calibri"/>
                <w:sz w:val="20"/>
                <w:szCs w:val="20"/>
              </w:rPr>
              <w:t>068,00</w:t>
            </w:r>
          </w:p>
        </w:tc>
        <w:tc>
          <w:tcPr>
            <w:tcW w:w="2032" w:type="dxa"/>
            <w:vAlign w:val="center"/>
          </w:tcPr>
          <w:p w14:paraId="734EA5EF" w14:textId="7C651205" w:rsidR="00671E1E" w:rsidRPr="00093B2F" w:rsidRDefault="005549AA" w:rsidP="005549AA">
            <w:pPr>
              <w:ind w:right="81"/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>–</w:t>
            </w:r>
          </w:p>
        </w:tc>
      </w:tr>
      <w:tr w:rsidR="00FD0884" w:rsidRPr="00093B2F" w14:paraId="52ADB460" w14:textId="77777777" w:rsidTr="00093B2F">
        <w:trPr>
          <w:trHeight w:val="227"/>
        </w:trPr>
        <w:tc>
          <w:tcPr>
            <w:tcW w:w="3261" w:type="dxa"/>
            <w:vAlign w:val="center"/>
          </w:tcPr>
          <w:p w14:paraId="6A330866" w14:textId="77777777" w:rsidR="00671E1E" w:rsidRPr="00093B2F" w:rsidRDefault="00671E1E" w:rsidP="00093B2F">
            <w:pPr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1978-28621001/0710</w:t>
            </w:r>
          </w:p>
          <w:p w14:paraId="42D60FEA" w14:textId="77777777" w:rsidR="00671E1E" w:rsidRPr="00093B2F" w:rsidRDefault="00671E1E" w:rsidP="00093B2F">
            <w:pPr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Umořovací účet III. – prostředky EIB</w:t>
            </w:r>
          </w:p>
        </w:tc>
        <w:tc>
          <w:tcPr>
            <w:tcW w:w="2031" w:type="dxa"/>
            <w:vAlign w:val="center"/>
          </w:tcPr>
          <w:p w14:paraId="292D5C33" w14:textId="77777777" w:rsidR="00671E1E" w:rsidRPr="00093B2F" w:rsidRDefault="00671E1E" w:rsidP="00093B2F">
            <w:pPr>
              <w:ind w:right="81"/>
              <w:jc w:val="right"/>
              <w:rPr>
                <w:rFonts w:ascii="Calibri" w:eastAsiaTheme="minorHAnsi" w:hAnsi="Calibri" w:cs="Calibri"/>
                <w:sz w:val="20"/>
                <w:szCs w:val="20"/>
                <w:highlight w:val="yellow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501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805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443,79</w:t>
            </w:r>
          </w:p>
        </w:tc>
        <w:tc>
          <w:tcPr>
            <w:tcW w:w="2032" w:type="dxa"/>
            <w:vAlign w:val="center"/>
          </w:tcPr>
          <w:p w14:paraId="4C36E259" w14:textId="77777777" w:rsidR="00671E1E" w:rsidRPr="00093B2F" w:rsidRDefault="00671E1E" w:rsidP="00093B2F">
            <w:pPr>
              <w:ind w:right="81"/>
              <w:jc w:val="right"/>
              <w:rPr>
                <w:rFonts w:ascii="Calibri" w:eastAsiaTheme="minorHAnsi" w:hAnsi="Calibri" w:cs="Calibri"/>
                <w:sz w:val="20"/>
                <w:szCs w:val="20"/>
                <w:highlight w:val="yellow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363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873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933,02</w:t>
            </w:r>
          </w:p>
        </w:tc>
        <w:tc>
          <w:tcPr>
            <w:tcW w:w="2032" w:type="dxa"/>
            <w:vAlign w:val="center"/>
          </w:tcPr>
          <w:p w14:paraId="709657A8" w14:textId="4C7143F3" w:rsidR="00671E1E" w:rsidRPr="00093B2F" w:rsidRDefault="005549AA" w:rsidP="005549AA">
            <w:pPr>
              <w:ind w:right="81"/>
              <w:jc w:val="center"/>
              <w:rPr>
                <w:rFonts w:ascii="Calibri" w:eastAsiaTheme="minorHAnsi" w:hAnsi="Calibri" w:cs="Calibri"/>
                <w:sz w:val="20"/>
                <w:szCs w:val="20"/>
                <w:highlight w:val="yellow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>–</w:t>
            </w:r>
          </w:p>
        </w:tc>
      </w:tr>
      <w:tr w:rsidR="00FD0884" w:rsidRPr="00093B2F" w14:paraId="540884BC" w14:textId="77777777" w:rsidTr="00093B2F">
        <w:trPr>
          <w:trHeight w:val="227"/>
        </w:trPr>
        <w:tc>
          <w:tcPr>
            <w:tcW w:w="3261" w:type="dxa"/>
            <w:vAlign w:val="center"/>
          </w:tcPr>
          <w:p w14:paraId="579397F8" w14:textId="30489E1D" w:rsidR="00007432" w:rsidRDefault="005E0835" w:rsidP="00007432">
            <w:pPr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34534-2055021/0710 </w:t>
            </w:r>
          </w:p>
          <w:p w14:paraId="6CEDB9E3" w14:textId="6CE69A65" w:rsidR="005E0835" w:rsidRPr="00093B2F" w:rsidRDefault="005E0835" w:rsidP="000C09F8">
            <w:pPr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Účet dluhové služby (</w:t>
            </w:r>
            <w:r w:rsidR="00007432">
              <w:rPr>
                <w:rFonts w:ascii="Calibri" w:eastAsiaTheme="minorHAnsi" w:hAnsi="Calibri" w:cs="Calibri"/>
                <w:sz w:val="20"/>
                <w:szCs w:val="20"/>
              </w:rPr>
              <w:t>v </w:t>
            </w:r>
            <w:r w:rsidR="000C09F8">
              <w:rPr>
                <w:rFonts w:ascii="Calibri" w:eastAsiaTheme="minorHAnsi" w:hAnsi="Calibri" w:cs="Calibri"/>
                <w:sz w:val="20"/>
                <w:szCs w:val="20"/>
              </w:rPr>
              <w:t>€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)</w:t>
            </w:r>
          </w:p>
        </w:tc>
        <w:tc>
          <w:tcPr>
            <w:tcW w:w="2031" w:type="dxa"/>
            <w:vAlign w:val="center"/>
          </w:tcPr>
          <w:p w14:paraId="770132B2" w14:textId="77777777" w:rsidR="005E0835" w:rsidRPr="00093B2F" w:rsidRDefault="005E0835" w:rsidP="00093B2F">
            <w:pPr>
              <w:ind w:right="81"/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31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064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509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711,66</w:t>
            </w:r>
          </w:p>
        </w:tc>
        <w:tc>
          <w:tcPr>
            <w:tcW w:w="2032" w:type="dxa"/>
            <w:vAlign w:val="center"/>
          </w:tcPr>
          <w:p w14:paraId="0402D2F9" w14:textId="77777777" w:rsidR="005E0835" w:rsidRPr="00093B2F" w:rsidRDefault="005E0835" w:rsidP="00093B2F">
            <w:pPr>
              <w:ind w:right="81"/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22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663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750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692,26</w:t>
            </w:r>
          </w:p>
        </w:tc>
        <w:tc>
          <w:tcPr>
            <w:tcW w:w="2032" w:type="dxa"/>
            <w:vAlign w:val="center"/>
          </w:tcPr>
          <w:p w14:paraId="7B645B1E" w14:textId="77777777" w:rsidR="005E0835" w:rsidRPr="00093B2F" w:rsidRDefault="005E0835" w:rsidP="00093B2F">
            <w:pPr>
              <w:ind w:right="81"/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11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547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090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233,10</w:t>
            </w:r>
          </w:p>
        </w:tc>
      </w:tr>
      <w:tr w:rsidR="00FD0884" w:rsidRPr="00093B2F" w14:paraId="54A19E82" w14:textId="77777777" w:rsidTr="00093B2F">
        <w:trPr>
          <w:trHeight w:val="227"/>
        </w:trPr>
        <w:tc>
          <w:tcPr>
            <w:tcW w:w="3261" w:type="dxa"/>
            <w:vAlign w:val="center"/>
          </w:tcPr>
          <w:p w14:paraId="65D8FD6E" w14:textId="65BE090E" w:rsidR="005E0835" w:rsidRPr="00093B2F" w:rsidRDefault="005E0835" w:rsidP="000C09F8">
            <w:pPr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3132200147/7910 – účet u Deutsche Bank (</w:t>
            </w:r>
            <w:r w:rsidR="00007432">
              <w:rPr>
                <w:rFonts w:ascii="Calibri" w:eastAsiaTheme="minorHAnsi" w:hAnsi="Calibri" w:cs="Calibri"/>
                <w:sz w:val="20"/>
                <w:szCs w:val="20"/>
              </w:rPr>
              <w:t>v </w:t>
            </w:r>
            <w:r w:rsidR="000C09F8">
              <w:rPr>
                <w:rFonts w:ascii="Calibri" w:eastAsiaTheme="minorHAnsi" w:hAnsi="Calibri" w:cs="Calibri"/>
                <w:sz w:val="20"/>
                <w:szCs w:val="20"/>
              </w:rPr>
              <w:t>€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) </w:t>
            </w:r>
          </w:p>
        </w:tc>
        <w:tc>
          <w:tcPr>
            <w:tcW w:w="2031" w:type="dxa"/>
            <w:vAlign w:val="center"/>
          </w:tcPr>
          <w:p w14:paraId="507F5CB2" w14:textId="77777777" w:rsidR="005E0835" w:rsidRPr="00093B2F" w:rsidRDefault="005E0835" w:rsidP="00093B2F">
            <w:pPr>
              <w:ind w:right="81"/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44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736,63</w:t>
            </w:r>
          </w:p>
        </w:tc>
        <w:tc>
          <w:tcPr>
            <w:tcW w:w="2032" w:type="dxa"/>
            <w:vAlign w:val="center"/>
          </w:tcPr>
          <w:p w14:paraId="4113FC8B" w14:textId="77777777" w:rsidR="005E0835" w:rsidRPr="00093B2F" w:rsidRDefault="000473A5" w:rsidP="00093B2F">
            <w:pPr>
              <w:ind w:right="81"/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48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802,79</w:t>
            </w:r>
          </w:p>
        </w:tc>
        <w:tc>
          <w:tcPr>
            <w:tcW w:w="2032" w:type="dxa"/>
            <w:vAlign w:val="center"/>
          </w:tcPr>
          <w:p w14:paraId="36CC3F35" w14:textId="466E3B5F" w:rsidR="005E0835" w:rsidRPr="00093B2F" w:rsidRDefault="005549AA" w:rsidP="005549AA">
            <w:pPr>
              <w:ind w:right="81"/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>–</w:t>
            </w:r>
          </w:p>
        </w:tc>
      </w:tr>
      <w:tr w:rsidR="00FD0884" w:rsidRPr="00093B2F" w14:paraId="0C1D64B0" w14:textId="77777777" w:rsidTr="00093B2F">
        <w:trPr>
          <w:trHeight w:val="227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574ABB4A" w14:textId="77777777" w:rsidR="00671E1E" w:rsidRPr="00093B2F" w:rsidRDefault="00671E1E" w:rsidP="00093B2F">
            <w:pPr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Rezerva peněžních prostředků</w:t>
            </w:r>
          </w:p>
        </w:tc>
        <w:tc>
          <w:tcPr>
            <w:tcW w:w="2031" w:type="dxa"/>
            <w:shd w:val="clear" w:color="auto" w:fill="F2F2F2" w:themeFill="background1" w:themeFillShade="F2"/>
            <w:vAlign w:val="center"/>
          </w:tcPr>
          <w:p w14:paraId="68FFEC75" w14:textId="77777777" w:rsidR="00671E1E" w:rsidRPr="00093B2F" w:rsidRDefault="00671E1E" w:rsidP="00093B2F">
            <w:pPr>
              <w:ind w:right="81"/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139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924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517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584,50</w:t>
            </w:r>
          </w:p>
        </w:tc>
        <w:tc>
          <w:tcPr>
            <w:tcW w:w="2032" w:type="dxa"/>
            <w:shd w:val="clear" w:color="auto" w:fill="F2F2F2" w:themeFill="background1" w:themeFillShade="F2"/>
            <w:vAlign w:val="center"/>
          </w:tcPr>
          <w:p w14:paraId="3D1F37E5" w14:textId="77777777" w:rsidR="00671E1E" w:rsidRPr="00093B2F" w:rsidRDefault="00671E1E" w:rsidP="00093B2F">
            <w:pPr>
              <w:ind w:right="81"/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62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693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725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136,97</w:t>
            </w:r>
          </w:p>
        </w:tc>
        <w:tc>
          <w:tcPr>
            <w:tcW w:w="2032" w:type="dxa"/>
            <w:shd w:val="clear" w:color="auto" w:fill="F2F2F2" w:themeFill="background1" w:themeFillShade="F2"/>
            <w:vAlign w:val="center"/>
          </w:tcPr>
          <w:p w14:paraId="71B01B8A" w14:textId="77777777" w:rsidR="00671E1E" w:rsidRPr="00093B2F" w:rsidRDefault="00671E1E" w:rsidP="00093B2F">
            <w:pPr>
              <w:ind w:right="81"/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11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547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090</w:t>
            </w:r>
            <w:r w:rsidR="00430901"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 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233,10</w:t>
            </w:r>
          </w:p>
        </w:tc>
      </w:tr>
    </w:tbl>
    <w:p w14:paraId="5EAC689C" w14:textId="2D2275EE" w:rsidR="00671E1E" w:rsidRPr="00430901" w:rsidRDefault="00671E1E" w:rsidP="00093B2F">
      <w:pPr>
        <w:spacing w:before="40" w:after="0" w:line="240" w:lineRule="auto"/>
        <w:jc w:val="both"/>
        <w:rPr>
          <w:rFonts w:cstheme="minorHAnsi"/>
          <w:sz w:val="20"/>
          <w:szCs w:val="20"/>
        </w:rPr>
      </w:pPr>
      <w:r w:rsidRPr="00C843E8">
        <w:rPr>
          <w:rFonts w:cstheme="minorHAnsi"/>
          <w:b/>
          <w:sz w:val="20"/>
          <w:szCs w:val="20"/>
        </w:rPr>
        <w:t>Zdroj:</w:t>
      </w:r>
      <w:r w:rsidRPr="00430901">
        <w:rPr>
          <w:rFonts w:cstheme="minorHAnsi"/>
          <w:sz w:val="20"/>
          <w:szCs w:val="20"/>
        </w:rPr>
        <w:t xml:space="preserve"> </w:t>
      </w:r>
      <w:r w:rsidR="00DD749A">
        <w:rPr>
          <w:rFonts w:cstheme="minorHAnsi"/>
          <w:sz w:val="20"/>
          <w:szCs w:val="20"/>
        </w:rPr>
        <w:t>v</w:t>
      </w:r>
      <w:r w:rsidRPr="00430901">
        <w:rPr>
          <w:rFonts w:cstheme="minorHAnsi"/>
          <w:sz w:val="20"/>
          <w:szCs w:val="20"/>
        </w:rPr>
        <w:t>ýpisy z bankovních účtů, odpověď MF čj. MF-21032/2015/2003-11 k žádosti NKÚ</w:t>
      </w:r>
      <w:r w:rsidR="00430901">
        <w:rPr>
          <w:rFonts w:cstheme="minorHAnsi"/>
          <w:sz w:val="20"/>
          <w:szCs w:val="20"/>
        </w:rPr>
        <w:t>.</w:t>
      </w:r>
    </w:p>
    <w:p w14:paraId="17361D1D" w14:textId="55D70529" w:rsidR="00671E1E" w:rsidRPr="00430901" w:rsidRDefault="00671E1E" w:rsidP="005549AA">
      <w:pPr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430901">
        <w:rPr>
          <w:rFonts w:cstheme="minorHAnsi"/>
          <w:b/>
          <w:sz w:val="20"/>
          <w:szCs w:val="20"/>
          <w:vertAlign w:val="superscript"/>
        </w:rPr>
        <w:t>1</w:t>
      </w:r>
      <w:r w:rsidRPr="00430901">
        <w:rPr>
          <w:rFonts w:cstheme="minorHAnsi"/>
          <w:sz w:val="20"/>
          <w:szCs w:val="20"/>
          <w:vertAlign w:val="superscript"/>
        </w:rPr>
        <w:t xml:space="preserve"> </w:t>
      </w:r>
      <w:r w:rsidR="005549AA">
        <w:rPr>
          <w:rFonts w:cstheme="minorHAnsi"/>
          <w:sz w:val="20"/>
          <w:szCs w:val="20"/>
          <w:vertAlign w:val="superscript"/>
        </w:rPr>
        <w:tab/>
      </w:r>
      <w:r w:rsidR="0058191E" w:rsidRPr="00DD749A">
        <w:rPr>
          <w:rFonts w:cstheme="minorHAnsi"/>
          <w:sz w:val="20"/>
          <w:szCs w:val="20"/>
        </w:rPr>
        <w:t>N</w:t>
      </w:r>
      <w:r w:rsidR="000B2640" w:rsidRPr="00430901">
        <w:rPr>
          <w:rFonts w:cstheme="minorHAnsi"/>
          <w:sz w:val="20"/>
          <w:szCs w:val="20"/>
        </w:rPr>
        <w:t>epatří do r</w:t>
      </w:r>
      <w:r w:rsidRPr="00430901">
        <w:rPr>
          <w:rFonts w:cstheme="minorHAnsi"/>
          <w:sz w:val="20"/>
          <w:szCs w:val="20"/>
        </w:rPr>
        <w:t>ezervy peněžních prostředků, má charakter cizích prostředků</w:t>
      </w:r>
      <w:r w:rsidR="00430901">
        <w:rPr>
          <w:rFonts w:cstheme="minorHAnsi"/>
          <w:sz w:val="20"/>
          <w:szCs w:val="20"/>
        </w:rPr>
        <w:t>.</w:t>
      </w:r>
    </w:p>
    <w:p w14:paraId="12079F5B" w14:textId="77777777" w:rsidR="00D115EB" w:rsidRDefault="00D115EB" w:rsidP="00D115EB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97913EA" w14:textId="240FF869" w:rsidR="00A30446" w:rsidRDefault="00D115EB" w:rsidP="00D115E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30D3">
        <w:rPr>
          <w:rFonts w:cstheme="minorHAnsi"/>
          <w:color w:val="000000" w:themeColor="text1"/>
          <w:sz w:val="24"/>
          <w:szCs w:val="24"/>
        </w:rPr>
        <w:t>Vzhledem k tomu, že v roce 2014 byl zůstatek účtu č.</w:t>
      </w:r>
      <w:r w:rsidR="00430901">
        <w:rPr>
          <w:rFonts w:cstheme="minorHAnsi"/>
          <w:color w:val="000000" w:themeColor="text1"/>
          <w:sz w:val="24"/>
          <w:szCs w:val="24"/>
        </w:rPr>
        <w:t xml:space="preserve"> </w:t>
      </w:r>
      <w:r w:rsidRPr="00F430D3">
        <w:rPr>
          <w:rFonts w:cstheme="minorHAnsi"/>
          <w:color w:val="000000" w:themeColor="text1"/>
          <w:sz w:val="24"/>
          <w:szCs w:val="24"/>
        </w:rPr>
        <w:t>1978-23927001/0710 zahrnut do ukazatele refinancování z</w:t>
      </w:r>
      <w:r w:rsidR="00430901">
        <w:rPr>
          <w:rFonts w:cstheme="minorHAnsi"/>
          <w:color w:val="000000" w:themeColor="text1"/>
          <w:sz w:val="24"/>
          <w:szCs w:val="24"/>
        </w:rPr>
        <w:t xml:space="preserve"> </w:t>
      </w:r>
      <w:r w:rsidRPr="00F430D3">
        <w:rPr>
          <w:rFonts w:cstheme="minorHAnsi"/>
          <w:color w:val="000000" w:themeColor="text1"/>
          <w:sz w:val="24"/>
          <w:szCs w:val="24"/>
        </w:rPr>
        <w:t>korunové státní pokladny, ne</w:t>
      </w:r>
      <w:r w:rsidR="00D7015A">
        <w:rPr>
          <w:rFonts w:cstheme="minorHAnsi"/>
          <w:color w:val="000000" w:themeColor="text1"/>
          <w:sz w:val="24"/>
          <w:szCs w:val="24"/>
        </w:rPr>
        <w:t xml:space="preserve">zahrnovalo již MF </w:t>
      </w:r>
      <w:r w:rsidRPr="00F430D3">
        <w:rPr>
          <w:rFonts w:cstheme="minorHAnsi"/>
          <w:color w:val="000000" w:themeColor="text1"/>
          <w:sz w:val="24"/>
          <w:szCs w:val="24"/>
        </w:rPr>
        <w:t xml:space="preserve">tento zůstatek do výpočtu korunové rezervy peněžních prostředků </w:t>
      </w:r>
      <w:r w:rsidR="00363194">
        <w:rPr>
          <w:rFonts w:cstheme="minorHAnsi"/>
          <w:color w:val="000000" w:themeColor="text1"/>
          <w:sz w:val="24"/>
          <w:szCs w:val="24"/>
        </w:rPr>
        <w:t>(</w:t>
      </w:r>
      <w:r w:rsidR="005A49BE">
        <w:rPr>
          <w:rFonts w:cstheme="minorHAnsi"/>
          <w:color w:val="000000" w:themeColor="text1"/>
          <w:sz w:val="24"/>
          <w:szCs w:val="24"/>
        </w:rPr>
        <w:t>oproti rokům</w:t>
      </w:r>
      <w:r w:rsidRPr="00F430D3">
        <w:rPr>
          <w:rFonts w:cstheme="minorHAnsi"/>
          <w:color w:val="000000" w:themeColor="text1"/>
          <w:sz w:val="24"/>
          <w:szCs w:val="24"/>
        </w:rPr>
        <w:t xml:space="preserve"> 2012 a 2013</w:t>
      </w:r>
      <w:r w:rsidR="00363194">
        <w:rPr>
          <w:rFonts w:cstheme="minorHAnsi"/>
          <w:color w:val="000000" w:themeColor="text1"/>
          <w:sz w:val="24"/>
          <w:szCs w:val="24"/>
        </w:rPr>
        <w:t>)</w:t>
      </w:r>
      <w:r w:rsidRPr="00F430D3">
        <w:rPr>
          <w:rFonts w:cstheme="minorHAnsi"/>
          <w:color w:val="000000" w:themeColor="text1"/>
          <w:sz w:val="24"/>
          <w:szCs w:val="24"/>
        </w:rPr>
        <w:t>.</w:t>
      </w:r>
      <w:r w:rsidR="00171211" w:rsidRPr="00171211">
        <w:rPr>
          <w:rFonts w:cstheme="minorHAnsi"/>
          <w:color w:val="000000" w:themeColor="text1"/>
          <w:sz w:val="24"/>
          <w:szCs w:val="24"/>
        </w:rPr>
        <w:t xml:space="preserve"> Stav rezervy vykázaný v návrhu </w:t>
      </w:r>
      <w:r w:rsidR="005549AA">
        <w:rPr>
          <w:rFonts w:cstheme="minorHAnsi"/>
          <w:color w:val="000000" w:themeColor="text1"/>
          <w:sz w:val="24"/>
          <w:szCs w:val="24"/>
        </w:rPr>
        <w:t>státního závěrečného účtu (dále jen „</w:t>
      </w:r>
      <w:r w:rsidR="00171211" w:rsidRPr="00171211">
        <w:rPr>
          <w:rFonts w:cstheme="minorHAnsi"/>
          <w:color w:val="000000" w:themeColor="text1"/>
          <w:sz w:val="24"/>
          <w:szCs w:val="24"/>
        </w:rPr>
        <w:t>SZÚ</w:t>
      </w:r>
      <w:r w:rsidR="005549AA">
        <w:rPr>
          <w:rFonts w:cstheme="minorHAnsi"/>
          <w:color w:val="000000" w:themeColor="text1"/>
          <w:sz w:val="24"/>
          <w:szCs w:val="24"/>
        </w:rPr>
        <w:t>“)</w:t>
      </w:r>
      <w:r w:rsidR="00171211" w:rsidRPr="00171211">
        <w:rPr>
          <w:rFonts w:cstheme="minorHAnsi"/>
          <w:color w:val="000000" w:themeColor="text1"/>
          <w:sz w:val="24"/>
          <w:szCs w:val="24"/>
        </w:rPr>
        <w:t xml:space="preserve"> </w:t>
      </w:r>
      <w:r w:rsidR="005A49BE">
        <w:rPr>
          <w:rFonts w:cstheme="minorHAnsi"/>
          <w:color w:val="000000" w:themeColor="text1"/>
          <w:sz w:val="24"/>
          <w:szCs w:val="24"/>
        </w:rPr>
        <w:t xml:space="preserve">za rok 2014 </w:t>
      </w:r>
      <w:r w:rsidR="00171211" w:rsidRPr="00171211">
        <w:rPr>
          <w:rFonts w:cstheme="minorHAnsi"/>
          <w:color w:val="000000" w:themeColor="text1"/>
          <w:sz w:val="24"/>
          <w:szCs w:val="24"/>
        </w:rPr>
        <w:t>odpovídal údajům zjištěným kontrolou.</w:t>
      </w:r>
      <w:r w:rsidR="00A30446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4FDD824" w14:textId="77777777" w:rsidR="00854B25" w:rsidRDefault="00854B25" w:rsidP="00D115E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5959B8A4" w14:textId="21E2957F" w:rsidR="00671E1E" w:rsidRPr="00F430D3" w:rsidRDefault="00A30446" w:rsidP="00671E1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Rezervu peněžních prostředků vytváří</w:t>
      </w:r>
      <w:r w:rsidR="005549AA" w:rsidRPr="005549AA">
        <w:rPr>
          <w:rFonts w:cstheme="minorHAnsi"/>
          <w:color w:val="000000" w:themeColor="text1"/>
          <w:sz w:val="24"/>
          <w:szCs w:val="24"/>
        </w:rPr>
        <w:t xml:space="preserve"> </w:t>
      </w:r>
      <w:r w:rsidR="005549AA">
        <w:rPr>
          <w:rFonts w:cstheme="minorHAnsi"/>
          <w:color w:val="000000" w:themeColor="text1"/>
          <w:sz w:val="24"/>
          <w:szCs w:val="24"/>
        </w:rPr>
        <w:t>MF</w:t>
      </w:r>
      <w:r>
        <w:rPr>
          <w:rFonts w:cstheme="minorHAnsi"/>
          <w:color w:val="000000" w:themeColor="text1"/>
          <w:sz w:val="24"/>
          <w:szCs w:val="24"/>
        </w:rPr>
        <w:t xml:space="preserve"> na bankovních účtech pro řízení likvidity státní pokladny a pro řízení státního dluhu</w:t>
      </w:r>
      <w:r w:rsidR="00B9509B">
        <w:rPr>
          <w:rFonts w:cstheme="minorHAnsi"/>
          <w:color w:val="000000" w:themeColor="text1"/>
          <w:sz w:val="24"/>
          <w:szCs w:val="24"/>
        </w:rPr>
        <w:t xml:space="preserve"> zejména </w:t>
      </w:r>
      <w:r>
        <w:rPr>
          <w:rFonts w:cstheme="minorHAnsi"/>
          <w:color w:val="000000" w:themeColor="text1"/>
          <w:sz w:val="24"/>
          <w:szCs w:val="24"/>
        </w:rPr>
        <w:t>z</w:t>
      </w:r>
      <w:r w:rsidR="00430901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vydávání a prodeje státních dluhopisů. </w:t>
      </w:r>
      <w:r w:rsidR="000B2640">
        <w:rPr>
          <w:rFonts w:cstheme="minorHAnsi"/>
          <w:color w:val="000000" w:themeColor="text1"/>
          <w:sz w:val="24"/>
          <w:szCs w:val="24"/>
        </w:rPr>
        <w:t>S</w:t>
      </w:r>
      <w:r w:rsidR="00F27498">
        <w:rPr>
          <w:rFonts w:cstheme="minorHAnsi"/>
          <w:color w:val="000000" w:themeColor="text1"/>
          <w:sz w:val="24"/>
          <w:szCs w:val="24"/>
        </w:rPr>
        <w:t> </w:t>
      </w:r>
      <w:r w:rsidR="000B2640">
        <w:rPr>
          <w:rFonts w:cstheme="minorHAnsi"/>
          <w:color w:val="000000" w:themeColor="text1"/>
          <w:sz w:val="24"/>
          <w:szCs w:val="24"/>
        </w:rPr>
        <w:t xml:space="preserve">účinností </w:t>
      </w:r>
      <w:r w:rsidR="00671E1E" w:rsidRPr="00F430D3">
        <w:rPr>
          <w:rFonts w:cstheme="minorHAnsi"/>
          <w:color w:val="000000" w:themeColor="text1"/>
          <w:sz w:val="24"/>
          <w:szCs w:val="24"/>
        </w:rPr>
        <w:t xml:space="preserve">od </w:t>
      </w:r>
      <w:r w:rsidR="009B4397" w:rsidRPr="00F430D3">
        <w:rPr>
          <w:rFonts w:cstheme="minorHAnsi"/>
          <w:color w:val="000000" w:themeColor="text1"/>
          <w:sz w:val="24"/>
          <w:szCs w:val="24"/>
        </w:rPr>
        <w:t>20.</w:t>
      </w:r>
      <w:r w:rsidR="00BD03CD">
        <w:rPr>
          <w:rFonts w:cstheme="minorHAnsi"/>
          <w:color w:val="000000" w:themeColor="text1"/>
          <w:sz w:val="24"/>
          <w:szCs w:val="24"/>
        </w:rPr>
        <w:t xml:space="preserve"> </w:t>
      </w:r>
      <w:r w:rsidR="007911E1">
        <w:rPr>
          <w:rFonts w:cstheme="minorHAnsi"/>
          <w:color w:val="000000" w:themeColor="text1"/>
          <w:sz w:val="24"/>
          <w:szCs w:val="24"/>
        </w:rPr>
        <w:t xml:space="preserve">2. </w:t>
      </w:r>
      <w:r w:rsidR="00671E1E" w:rsidRPr="00F430D3">
        <w:rPr>
          <w:rFonts w:cstheme="minorHAnsi"/>
          <w:color w:val="000000" w:themeColor="text1"/>
          <w:sz w:val="24"/>
          <w:szCs w:val="24"/>
        </w:rPr>
        <w:t xml:space="preserve">2015 </w:t>
      </w:r>
      <w:r w:rsidR="005549AA">
        <w:rPr>
          <w:rFonts w:cstheme="minorHAnsi"/>
          <w:color w:val="000000" w:themeColor="text1"/>
          <w:sz w:val="24"/>
          <w:szCs w:val="24"/>
        </w:rPr>
        <w:t xml:space="preserve">Ministerstvu financí </w:t>
      </w:r>
      <w:r w:rsidR="000B2640">
        <w:rPr>
          <w:rFonts w:cstheme="minorHAnsi"/>
          <w:color w:val="000000" w:themeColor="text1"/>
          <w:sz w:val="24"/>
          <w:szCs w:val="24"/>
        </w:rPr>
        <w:t xml:space="preserve">umožňují rozpočtová pravidla </w:t>
      </w:r>
      <w:r w:rsidR="00671E1E" w:rsidRPr="00F430D3">
        <w:rPr>
          <w:rFonts w:cstheme="minorHAnsi"/>
          <w:color w:val="000000" w:themeColor="text1"/>
          <w:sz w:val="24"/>
          <w:szCs w:val="24"/>
        </w:rPr>
        <w:t xml:space="preserve">vydávat státní dluhopisy za účelem vytváření rezervy peněžních prostředků v jakékoliv výši bez nutnosti </w:t>
      </w:r>
      <w:r w:rsidR="00671E1E" w:rsidRPr="00F430D3">
        <w:rPr>
          <w:rFonts w:cstheme="minorHAnsi"/>
          <w:color w:val="000000" w:themeColor="text1"/>
          <w:sz w:val="24"/>
          <w:szCs w:val="24"/>
        </w:rPr>
        <w:lastRenderedPageBreak/>
        <w:t>schvalovacího procesu v</w:t>
      </w:r>
      <w:r w:rsidR="00F27498">
        <w:rPr>
          <w:rFonts w:cstheme="minorHAnsi"/>
          <w:color w:val="000000" w:themeColor="text1"/>
          <w:sz w:val="24"/>
          <w:szCs w:val="24"/>
        </w:rPr>
        <w:t> </w:t>
      </w:r>
      <w:r w:rsidR="00671E1E" w:rsidRPr="00F430D3">
        <w:rPr>
          <w:rFonts w:cstheme="minorHAnsi"/>
          <w:color w:val="000000" w:themeColor="text1"/>
          <w:sz w:val="24"/>
          <w:szCs w:val="24"/>
        </w:rPr>
        <w:t xml:space="preserve">Parlamentu ČR a ani vnitřní předpisy MF žádným způsobem neregulují </w:t>
      </w:r>
      <w:r w:rsidR="005549AA">
        <w:rPr>
          <w:rFonts w:cstheme="minorHAnsi"/>
          <w:color w:val="000000" w:themeColor="text1"/>
          <w:sz w:val="24"/>
          <w:szCs w:val="24"/>
        </w:rPr>
        <w:t>objem</w:t>
      </w:r>
      <w:r w:rsidR="00671E1E" w:rsidRPr="00F430D3">
        <w:rPr>
          <w:rFonts w:cstheme="minorHAnsi"/>
          <w:color w:val="000000" w:themeColor="text1"/>
          <w:sz w:val="24"/>
          <w:szCs w:val="24"/>
        </w:rPr>
        <w:t xml:space="preserve"> vydávaných státních dluhopisů za účelem vytváření rezervy peněžních prostředků.</w:t>
      </w:r>
    </w:p>
    <w:p w14:paraId="620D4411" w14:textId="77777777" w:rsidR="00C80361" w:rsidRPr="00854B25" w:rsidRDefault="00C80361" w:rsidP="00671E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1F92DDF" w14:textId="77777777" w:rsidR="00671E1E" w:rsidRPr="00F430D3" w:rsidRDefault="00671E1E" w:rsidP="000D5096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F430D3">
        <w:rPr>
          <w:rFonts w:ascii="Calibri" w:hAnsi="Calibri" w:cs="Calibri"/>
          <w:b/>
          <w:bCs/>
          <w:sz w:val="24"/>
          <w:szCs w:val="24"/>
        </w:rPr>
        <w:t>Refinanční mechanismus souhrnných účtů státní pokladny a jeho využití pro krytí potřeb financování státu</w:t>
      </w:r>
    </w:p>
    <w:p w14:paraId="3F619ADB" w14:textId="77777777" w:rsidR="00854B25" w:rsidRDefault="00854B25" w:rsidP="00671E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eastAsia="cs-CZ"/>
        </w:rPr>
      </w:pPr>
    </w:p>
    <w:p w14:paraId="1E7E8B0B" w14:textId="0C8DF950" w:rsidR="009F4BAF" w:rsidRDefault="00F44480" w:rsidP="00671E1E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  <w:lang w:eastAsia="cs-CZ"/>
        </w:rPr>
      </w:pPr>
      <w:r w:rsidRPr="00F44480">
        <w:rPr>
          <w:rFonts w:ascii="Calibri" w:hAnsi="Calibri" w:cs="Calibri"/>
          <w:bCs/>
          <w:sz w:val="24"/>
          <w:szCs w:val="24"/>
          <w:lang w:eastAsia="cs-CZ"/>
        </w:rPr>
        <w:t xml:space="preserve">V kontrolovaném období vedla </w:t>
      </w:r>
      <w:r w:rsidR="005549AA">
        <w:rPr>
          <w:rFonts w:ascii="Calibri" w:hAnsi="Calibri" w:cs="Calibri"/>
          <w:bCs/>
          <w:sz w:val="24"/>
          <w:szCs w:val="24"/>
          <w:lang w:eastAsia="cs-CZ"/>
        </w:rPr>
        <w:t>Česká národní banka (dále také „</w:t>
      </w:r>
      <w:r w:rsidRPr="00F44480">
        <w:rPr>
          <w:rFonts w:ascii="Calibri" w:hAnsi="Calibri" w:cs="Calibri"/>
          <w:bCs/>
          <w:sz w:val="24"/>
          <w:szCs w:val="24"/>
          <w:lang w:eastAsia="cs-CZ"/>
        </w:rPr>
        <w:t>ČNB</w:t>
      </w:r>
      <w:r w:rsidR="005549AA">
        <w:rPr>
          <w:rFonts w:ascii="Calibri" w:hAnsi="Calibri" w:cs="Calibri"/>
          <w:bCs/>
          <w:sz w:val="24"/>
          <w:szCs w:val="24"/>
          <w:lang w:eastAsia="cs-CZ"/>
        </w:rPr>
        <w:t>“)</w:t>
      </w:r>
      <w:r w:rsidRPr="00F44480">
        <w:rPr>
          <w:rFonts w:ascii="Calibri" w:hAnsi="Calibri" w:cs="Calibri"/>
          <w:bCs/>
          <w:sz w:val="24"/>
          <w:szCs w:val="24"/>
          <w:lang w:eastAsia="cs-CZ"/>
        </w:rPr>
        <w:t xml:space="preserve"> souhrnný účet státní pokladny v českých korunách a</w:t>
      </w:r>
      <w:r w:rsidR="00F27498">
        <w:rPr>
          <w:rFonts w:ascii="Calibri" w:hAnsi="Calibri" w:cs="Calibri"/>
          <w:bCs/>
          <w:sz w:val="24"/>
          <w:szCs w:val="24"/>
          <w:lang w:eastAsia="cs-CZ"/>
        </w:rPr>
        <w:t> </w:t>
      </w:r>
      <w:r w:rsidRPr="00F44480">
        <w:rPr>
          <w:rFonts w:ascii="Calibri" w:hAnsi="Calibri" w:cs="Calibri"/>
          <w:bCs/>
          <w:sz w:val="24"/>
          <w:szCs w:val="24"/>
          <w:lang w:eastAsia="cs-CZ"/>
        </w:rPr>
        <w:t>souhrnný účet v jednotné evropské měně. Peněžní prostředky podřízené souhrnným účtům státní pokladny jsou uložen</w:t>
      </w:r>
      <w:r w:rsidR="005549AA">
        <w:rPr>
          <w:rFonts w:ascii="Calibri" w:hAnsi="Calibri" w:cs="Calibri"/>
          <w:bCs/>
          <w:sz w:val="24"/>
          <w:szCs w:val="24"/>
          <w:lang w:eastAsia="cs-CZ"/>
        </w:rPr>
        <w:t>y</w:t>
      </w:r>
      <w:r w:rsidRPr="00F44480">
        <w:rPr>
          <w:rFonts w:ascii="Calibri" w:hAnsi="Calibri" w:cs="Calibri"/>
          <w:bCs/>
          <w:sz w:val="24"/>
          <w:szCs w:val="24"/>
          <w:lang w:eastAsia="cs-CZ"/>
        </w:rPr>
        <w:t xml:space="preserve"> na</w:t>
      </w:r>
      <w:r w:rsidR="009F4BAF">
        <w:rPr>
          <w:rFonts w:ascii="Calibri" w:hAnsi="Calibri" w:cs="Calibri"/>
          <w:bCs/>
          <w:sz w:val="24"/>
          <w:szCs w:val="24"/>
          <w:lang w:eastAsia="cs-CZ"/>
        </w:rPr>
        <w:t>:</w:t>
      </w:r>
    </w:p>
    <w:p w14:paraId="77A8E369" w14:textId="77777777" w:rsidR="009F4BAF" w:rsidRPr="00093B2F" w:rsidRDefault="00F44480" w:rsidP="00093B2F">
      <w:pPr>
        <w:pStyle w:val="Odstavecseseznamem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cs-CZ"/>
        </w:rPr>
      </w:pPr>
      <w:r w:rsidRPr="00093B2F">
        <w:rPr>
          <w:rFonts w:ascii="Calibri" w:hAnsi="Calibri" w:cs="Calibri"/>
          <w:bCs/>
          <w:sz w:val="24"/>
          <w:szCs w:val="24"/>
          <w:lang w:eastAsia="cs-CZ"/>
        </w:rPr>
        <w:t>účtech tzv. povinných klientů, kteří nejsou oprávněni ukládat peněžní prostředky mimo ČNB, tj.</w:t>
      </w:r>
      <w:r w:rsidR="00430901" w:rsidRPr="00093B2F">
        <w:rPr>
          <w:rFonts w:ascii="Calibri" w:hAnsi="Calibri" w:cs="Calibri"/>
          <w:bCs/>
          <w:sz w:val="24"/>
          <w:szCs w:val="24"/>
          <w:lang w:eastAsia="cs-CZ"/>
        </w:rPr>
        <w:t xml:space="preserve"> </w:t>
      </w:r>
      <w:r w:rsidRPr="00093B2F">
        <w:rPr>
          <w:rFonts w:ascii="Calibri" w:hAnsi="Calibri" w:cs="Calibri"/>
          <w:bCs/>
          <w:sz w:val="24"/>
          <w:szCs w:val="24"/>
          <w:lang w:eastAsia="cs-CZ"/>
        </w:rPr>
        <w:t>zejména organizační složky státu, státní fondy, Národní fond a</w:t>
      </w:r>
      <w:r w:rsidR="00430901" w:rsidRPr="00093B2F">
        <w:rPr>
          <w:rFonts w:ascii="Calibri" w:hAnsi="Calibri" w:cs="Calibri"/>
          <w:bCs/>
          <w:sz w:val="24"/>
          <w:szCs w:val="24"/>
          <w:lang w:eastAsia="cs-CZ"/>
        </w:rPr>
        <w:t xml:space="preserve"> </w:t>
      </w:r>
      <w:r w:rsidRPr="00093B2F">
        <w:rPr>
          <w:rFonts w:ascii="Calibri" w:hAnsi="Calibri" w:cs="Calibri"/>
          <w:bCs/>
          <w:sz w:val="24"/>
          <w:szCs w:val="24"/>
          <w:lang w:eastAsia="cs-CZ"/>
        </w:rPr>
        <w:t>státní příspěvkové organizace</w:t>
      </w:r>
      <w:r w:rsidR="00E33F85" w:rsidRPr="00093B2F">
        <w:rPr>
          <w:rFonts w:ascii="Calibri" w:hAnsi="Calibri" w:cs="Calibri"/>
          <w:bCs/>
          <w:sz w:val="24"/>
          <w:szCs w:val="24"/>
          <w:lang w:eastAsia="cs-CZ"/>
        </w:rPr>
        <w:t>, které mu</w:t>
      </w:r>
      <w:r w:rsidR="00033900" w:rsidRPr="00093B2F">
        <w:rPr>
          <w:rFonts w:ascii="Calibri" w:hAnsi="Calibri" w:cs="Calibri"/>
          <w:bCs/>
          <w:sz w:val="24"/>
          <w:szCs w:val="24"/>
          <w:lang w:eastAsia="cs-CZ"/>
        </w:rPr>
        <w:t>s</w:t>
      </w:r>
      <w:r w:rsidR="00E33F85" w:rsidRPr="00093B2F">
        <w:rPr>
          <w:rFonts w:ascii="Calibri" w:hAnsi="Calibri" w:cs="Calibri"/>
          <w:bCs/>
          <w:sz w:val="24"/>
          <w:szCs w:val="24"/>
          <w:lang w:eastAsia="cs-CZ"/>
        </w:rPr>
        <w:t>í zřídit účty u ČNB nejpozději do 31. 12. 2017;</w:t>
      </w:r>
    </w:p>
    <w:p w14:paraId="252918C0" w14:textId="77777777" w:rsidR="00BA1AEC" w:rsidRPr="00093B2F" w:rsidRDefault="00F44480" w:rsidP="00093B2F">
      <w:pPr>
        <w:pStyle w:val="Odstavecseseznamem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hAnsi="Calibri" w:cs="Calibri"/>
          <w:bCs/>
          <w:sz w:val="24"/>
          <w:szCs w:val="24"/>
          <w:lang w:eastAsia="cs-CZ"/>
        </w:rPr>
      </w:pPr>
      <w:r w:rsidRPr="00093B2F">
        <w:rPr>
          <w:rFonts w:ascii="Calibri" w:hAnsi="Calibri" w:cs="Calibri"/>
          <w:bCs/>
          <w:sz w:val="24"/>
          <w:szCs w:val="24"/>
          <w:lang w:eastAsia="cs-CZ"/>
        </w:rPr>
        <w:t>účtech tzv. nepovinných klientů, tj. zejména územn</w:t>
      </w:r>
      <w:r w:rsidR="00681A8C" w:rsidRPr="00093B2F">
        <w:rPr>
          <w:rFonts w:ascii="Calibri" w:hAnsi="Calibri" w:cs="Calibri"/>
          <w:bCs/>
          <w:sz w:val="24"/>
          <w:szCs w:val="24"/>
          <w:lang w:eastAsia="cs-CZ"/>
        </w:rPr>
        <w:t>í</w:t>
      </w:r>
      <w:r w:rsidRPr="00093B2F">
        <w:rPr>
          <w:rFonts w:ascii="Calibri" w:hAnsi="Calibri" w:cs="Calibri"/>
          <w:bCs/>
          <w:sz w:val="24"/>
          <w:szCs w:val="24"/>
          <w:lang w:eastAsia="cs-CZ"/>
        </w:rPr>
        <w:t xml:space="preserve"> samosprávné celky, regionální rady regionů soudržnosti, veřejné výzkumné instituce a vysoké školy a další právnické osoby se souhlasem Ministerstva financí, kte</w:t>
      </w:r>
      <w:r w:rsidR="00033900" w:rsidRPr="00093B2F">
        <w:rPr>
          <w:rFonts w:ascii="Calibri" w:hAnsi="Calibri" w:cs="Calibri"/>
          <w:bCs/>
          <w:sz w:val="24"/>
          <w:szCs w:val="24"/>
          <w:lang w:eastAsia="cs-CZ"/>
        </w:rPr>
        <w:t>ré</w:t>
      </w:r>
      <w:r w:rsidRPr="00093B2F">
        <w:rPr>
          <w:rFonts w:ascii="Calibri" w:hAnsi="Calibri" w:cs="Calibri"/>
          <w:bCs/>
          <w:sz w:val="24"/>
          <w:szCs w:val="24"/>
          <w:lang w:eastAsia="cs-CZ"/>
        </w:rPr>
        <w:t xml:space="preserve"> povinně zřizují účty v ČNB pouze pro příjem peněžních prostředků ze státního rozpočtu, ze státních fondů nebo Národního fondu.</w:t>
      </w:r>
      <w:r w:rsidR="00E73FF5" w:rsidRPr="00093B2F">
        <w:rPr>
          <w:rFonts w:ascii="Calibri" w:hAnsi="Calibri" w:cs="Calibri"/>
          <w:bCs/>
          <w:sz w:val="24"/>
          <w:szCs w:val="24"/>
          <w:lang w:eastAsia="cs-CZ"/>
        </w:rPr>
        <w:t xml:space="preserve"> </w:t>
      </w:r>
    </w:p>
    <w:p w14:paraId="34A73CEA" w14:textId="77777777" w:rsidR="00E73FF5" w:rsidRDefault="00E73FF5" w:rsidP="00430901">
      <w:pPr>
        <w:spacing w:after="0" w:line="240" w:lineRule="auto"/>
        <w:ind w:left="284" w:hanging="284"/>
        <w:jc w:val="both"/>
        <w:rPr>
          <w:rFonts w:cstheme="minorHAnsi"/>
        </w:rPr>
      </w:pPr>
    </w:p>
    <w:p w14:paraId="0ED8BB92" w14:textId="3DA2332D" w:rsidR="00671E1E" w:rsidRPr="00430901" w:rsidRDefault="00E73FF5" w:rsidP="00854B25">
      <w:pPr>
        <w:tabs>
          <w:tab w:val="right" w:pos="9356"/>
        </w:tabs>
        <w:spacing w:after="40" w:line="240" w:lineRule="auto"/>
        <w:jc w:val="both"/>
        <w:rPr>
          <w:rFonts w:cstheme="minorHAnsi"/>
          <w:b/>
          <w:sz w:val="24"/>
          <w:szCs w:val="24"/>
        </w:rPr>
      </w:pPr>
      <w:r w:rsidRPr="00430901">
        <w:rPr>
          <w:rFonts w:cstheme="minorHAnsi"/>
          <w:b/>
          <w:sz w:val="24"/>
          <w:szCs w:val="24"/>
        </w:rPr>
        <w:t>Tab</w:t>
      </w:r>
      <w:r w:rsidR="00671E1E" w:rsidRPr="00430901">
        <w:rPr>
          <w:rFonts w:cstheme="minorHAnsi"/>
          <w:b/>
          <w:sz w:val="24"/>
          <w:szCs w:val="24"/>
        </w:rPr>
        <w:t xml:space="preserve">ulka č. </w:t>
      </w:r>
      <w:r w:rsidR="00912B79">
        <w:rPr>
          <w:rFonts w:cstheme="minorHAnsi"/>
          <w:b/>
          <w:sz w:val="24"/>
          <w:szCs w:val="24"/>
        </w:rPr>
        <w:t>6</w:t>
      </w:r>
      <w:r w:rsidR="00912B79" w:rsidRPr="00430901">
        <w:rPr>
          <w:rFonts w:cstheme="minorHAnsi"/>
          <w:b/>
          <w:sz w:val="24"/>
          <w:szCs w:val="24"/>
        </w:rPr>
        <w:t xml:space="preserve"> </w:t>
      </w:r>
      <w:r w:rsidR="00671E1E" w:rsidRPr="00430901">
        <w:rPr>
          <w:rFonts w:cstheme="minorHAnsi"/>
          <w:b/>
          <w:sz w:val="24"/>
          <w:szCs w:val="24"/>
        </w:rPr>
        <w:t xml:space="preserve">– Stav a struktura zdrojů a investiční pozice státní pokladny </w:t>
      </w:r>
      <w:r w:rsidR="00093B2F">
        <w:rPr>
          <w:rFonts w:cstheme="minorHAnsi"/>
          <w:b/>
          <w:sz w:val="24"/>
          <w:szCs w:val="24"/>
        </w:rPr>
        <w:tab/>
      </w:r>
      <w:r w:rsidR="00671E1E" w:rsidRPr="00430901">
        <w:rPr>
          <w:rFonts w:cstheme="minorHAnsi"/>
          <w:b/>
          <w:sz w:val="24"/>
          <w:szCs w:val="24"/>
        </w:rPr>
        <w:t>(</w:t>
      </w:r>
      <w:r w:rsidR="00DD749A">
        <w:rPr>
          <w:rFonts w:cstheme="minorHAnsi"/>
          <w:b/>
          <w:sz w:val="24"/>
          <w:szCs w:val="24"/>
        </w:rPr>
        <w:t>v </w:t>
      </w:r>
      <w:r w:rsidR="00671E1E" w:rsidRPr="00430901">
        <w:rPr>
          <w:rFonts w:cstheme="minorHAnsi"/>
          <w:b/>
          <w:sz w:val="24"/>
          <w:szCs w:val="24"/>
        </w:rPr>
        <w:t xml:space="preserve">mld. Kč, mld. </w:t>
      </w:r>
      <w:r w:rsidR="005549AA">
        <w:rPr>
          <w:rFonts w:cstheme="minorHAnsi"/>
          <w:b/>
          <w:sz w:val="24"/>
          <w:szCs w:val="24"/>
        </w:rPr>
        <w:t>€</w:t>
      </w:r>
      <w:r w:rsidR="00671E1E" w:rsidRPr="00430901">
        <w:rPr>
          <w:rFonts w:cstheme="minorHAnsi"/>
          <w:b/>
          <w:sz w:val="24"/>
          <w:szCs w:val="24"/>
        </w:rPr>
        <w:t>)</w:t>
      </w:r>
    </w:p>
    <w:tbl>
      <w:tblPr>
        <w:tblStyle w:val="Mkatabulky3"/>
        <w:tblW w:w="0" w:type="auto"/>
        <w:tblInd w:w="108" w:type="dxa"/>
        <w:tblLook w:val="04A0" w:firstRow="1" w:lastRow="0" w:firstColumn="1" w:lastColumn="0" w:noHBand="0" w:noVBand="1"/>
      </w:tblPr>
      <w:tblGrid>
        <w:gridCol w:w="4989"/>
        <w:gridCol w:w="850"/>
        <w:gridCol w:w="622"/>
        <w:gridCol w:w="850"/>
        <w:gridCol w:w="624"/>
        <w:gridCol w:w="850"/>
        <w:gridCol w:w="624"/>
      </w:tblGrid>
      <w:tr w:rsidR="005549AA" w:rsidRPr="00093B2F" w14:paraId="0CB4DEBF" w14:textId="77777777" w:rsidTr="005549AA">
        <w:trPr>
          <w:trHeight w:val="227"/>
        </w:trPr>
        <w:tc>
          <w:tcPr>
            <w:tcW w:w="4989" w:type="dxa"/>
            <w:vMerge w:val="restart"/>
            <w:shd w:val="clear" w:color="auto" w:fill="F2F2F2" w:themeFill="background1" w:themeFillShade="F2"/>
            <w:vAlign w:val="center"/>
          </w:tcPr>
          <w:p w14:paraId="65A15DAC" w14:textId="77777777" w:rsidR="005549AA" w:rsidRPr="00093B2F" w:rsidRDefault="005549AA" w:rsidP="005549AA">
            <w:pPr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</w:p>
        </w:tc>
        <w:tc>
          <w:tcPr>
            <w:tcW w:w="1472" w:type="dxa"/>
            <w:gridSpan w:val="2"/>
            <w:shd w:val="clear" w:color="auto" w:fill="F2F2F2" w:themeFill="background1" w:themeFillShade="F2"/>
            <w:vAlign w:val="center"/>
          </w:tcPr>
          <w:p w14:paraId="04AC81C9" w14:textId="0DB12875" w:rsidR="005549AA" w:rsidRPr="00093B2F" w:rsidRDefault="005549AA" w:rsidP="005549AA">
            <w:pPr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2012</w:t>
            </w:r>
          </w:p>
        </w:tc>
        <w:tc>
          <w:tcPr>
            <w:tcW w:w="1474" w:type="dxa"/>
            <w:gridSpan w:val="2"/>
            <w:shd w:val="clear" w:color="auto" w:fill="F2F2F2" w:themeFill="background1" w:themeFillShade="F2"/>
            <w:vAlign w:val="center"/>
          </w:tcPr>
          <w:p w14:paraId="19633A01" w14:textId="6069C04E" w:rsidR="005549AA" w:rsidRPr="00093B2F" w:rsidRDefault="005549AA" w:rsidP="005549AA">
            <w:pPr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2013</w:t>
            </w:r>
          </w:p>
        </w:tc>
        <w:tc>
          <w:tcPr>
            <w:tcW w:w="1474" w:type="dxa"/>
            <w:gridSpan w:val="2"/>
            <w:shd w:val="clear" w:color="auto" w:fill="F2F2F2" w:themeFill="background1" w:themeFillShade="F2"/>
            <w:vAlign w:val="center"/>
          </w:tcPr>
          <w:p w14:paraId="4D77EC66" w14:textId="54036C31" w:rsidR="005549AA" w:rsidRPr="00093B2F" w:rsidRDefault="005549AA" w:rsidP="005549AA">
            <w:pPr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2014</w:t>
            </w:r>
          </w:p>
        </w:tc>
      </w:tr>
      <w:tr w:rsidR="00093B2F" w:rsidRPr="00093B2F" w14:paraId="2940D3A6" w14:textId="77777777" w:rsidTr="005549AA">
        <w:trPr>
          <w:trHeight w:val="227"/>
        </w:trPr>
        <w:tc>
          <w:tcPr>
            <w:tcW w:w="4989" w:type="dxa"/>
            <w:vMerge/>
            <w:shd w:val="clear" w:color="auto" w:fill="F2F2F2" w:themeFill="background1" w:themeFillShade="F2"/>
            <w:vAlign w:val="center"/>
          </w:tcPr>
          <w:p w14:paraId="68657D2A" w14:textId="77777777" w:rsidR="00093B2F" w:rsidRPr="00093B2F" w:rsidRDefault="00093B2F" w:rsidP="00093B2F">
            <w:pPr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87FB25D" w14:textId="77777777" w:rsidR="00093B2F" w:rsidRPr="00093B2F" w:rsidRDefault="00093B2F" w:rsidP="00093B2F">
            <w:pPr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CZK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75EA6828" w14:textId="77777777" w:rsidR="00093B2F" w:rsidRPr="00093B2F" w:rsidRDefault="00093B2F" w:rsidP="00093B2F">
            <w:pPr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EUR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CAAC696" w14:textId="77777777" w:rsidR="00093B2F" w:rsidRPr="00093B2F" w:rsidRDefault="00093B2F" w:rsidP="00093B2F">
            <w:pPr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CZK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7E912C4C" w14:textId="77777777" w:rsidR="00093B2F" w:rsidRPr="00093B2F" w:rsidRDefault="00093B2F" w:rsidP="00093B2F">
            <w:pPr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EUR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25D6E93" w14:textId="77777777" w:rsidR="00093B2F" w:rsidRPr="00093B2F" w:rsidRDefault="00093B2F" w:rsidP="00093B2F">
            <w:pPr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CZK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7567C6C1" w14:textId="77777777" w:rsidR="00093B2F" w:rsidRPr="00093B2F" w:rsidRDefault="00093B2F" w:rsidP="00093B2F">
            <w:pPr>
              <w:jc w:val="center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EUR</w:t>
            </w:r>
          </w:p>
        </w:tc>
      </w:tr>
      <w:tr w:rsidR="00671E1E" w:rsidRPr="00093B2F" w14:paraId="6B04DF34" w14:textId="77777777" w:rsidTr="005549AA">
        <w:trPr>
          <w:trHeight w:val="227"/>
        </w:trPr>
        <w:tc>
          <w:tcPr>
            <w:tcW w:w="4989" w:type="dxa"/>
            <w:vAlign w:val="center"/>
          </w:tcPr>
          <w:p w14:paraId="370452C2" w14:textId="77777777" w:rsidR="00671E1E" w:rsidRPr="00093B2F" w:rsidRDefault="00671E1E" w:rsidP="00093B2F">
            <w:pPr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Likvidní státní finanční aktiva</w:t>
            </w:r>
          </w:p>
        </w:tc>
        <w:tc>
          <w:tcPr>
            <w:tcW w:w="850" w:type="dxa"/>
            <w:vAlign w:val="center"/>
          </w:tcPr>
          <w:p w14:paraId="3BE7B2F2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162,3</w:t>
            </w:r>
          </w:p>
        </w:tc>
        <w:tc>
          <w:tcPr>
            <w:tcW w:w="622" w:type="dxa"/>
            <w:vAlign w:val="center"/>
          </w:tcPr>
          <w:p w14:paraId="42C8B8EB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1,2</w:t>
            </w:r>
          </w:p>
        </w:tc>
        <w:tc>
          <w:tcPr>
            <w:tcW w:w="850" w:type="dxa"/>
            <w:vAlign w:val="center"/>
          </w:tcPr>
          <w:p w14:paraId="296AE265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94,0</w:t>
            </w:r>
          </w:p>
        </w:tc>
        <w:tc>
          <w:tcPr>
            <w:tcW w:w="624" w:type="dxa"/>
            <w:vAlign w:val="center"/>
          </w:tcPr>
          <w:p w14:paraId="047BFA10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0,8</w:t>
            </w:r>
          </w:p>
        </w:tc>
        <w:tc>
          <w:tcPr>
            <w:tcW w:w="850" w:type="dxa"/>
            <w:vAlign w:val="center"/>
          </w:tcPr>
          <w:p w14:paraId="2334E239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56,3</w:t>
            </w:r>
          </w:p>
        </w:tc>
        <w:tc>
          <w:tcPr>
            <w:tcW w:w="624" w:type="dxa"/>
            <w:vAlign w:val="center"/>
          </w:tcPr>
          <w:p w14:paraId="3ED77734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0,4</w:t>
            </w:r>
          </w:p>
        </w:tc>
      </w:tr>
      <w:tr w:rsidR="00671E1E" w:rsidRPr="00093B2F" w14:paraId="166EB8C1" w14:textId="77777777" w:rsidTr="005549AA">
        <w:trPr>
          <w:trHeight w:val="227"/>
        </w:trPr>
        <w:tc>
          <w:tcPr>
            <w:tcW w:w="4989" w:type="dxa"/>
            <w:vAlign w:val="center"/>
          </w:tcPr>
          <w:p w14:paraId="34F3BB83" w14:textId="77777777" w:rsidR="00671E1E" w:rsidRPr="00093B2F" w:rsidRDefault="00671E1E" w:rsidP="00093B2F">
            <w:pPr>
              <w:rPr>
                <w:rFonts w:ascii="Calibri" w:eastAsiaTheme="minorHAnsi" w:hAnsi="Calibri" w:cs="Calibri"/>
                <w:sz w:val="20"/>
                <w:szCs w:val="20"/>
                <w:vertAlign w:val="superscript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Povinní klienti státní pokladny</w:t>
            </w:r>
            <w:r w:rsidRPr="005549AA">
              <w:rPr>
                <w:rFonts w:ascii="Calibri" w:eastAsiaTheme="minorHAnsi" w:hAnsi="Calibri" w:cs="Calibri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vAlign w:val="center"/>
          </w:tcPr>
          <w:p w14:paraId="056D608B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36,4</w:t>
            </w:r>
          </w:p>
        </w:tc>
        <w:tc>
          <w:tcPr>
            <w:tcW w:w="622" w:type="dxa"/>
            <w:vAlign w:val="center"/>
          </w:tcPr>
          <w:p w14:paraId="501D60B4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1213B9AD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96,1</w:t>
            </w:r>
          </w:p>
        </w:tc>
        <w:tc>
          <w:tcPr>
            <w:tcW w:w="624" w:type="dxa"/>
            <w:vAlign w:val="center"/>
          </w:tcPr>
          <w:p w14:paraId="19C6E4FC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2,2</w:t>
            </w:r>
          </w:p>
        </w:tc>
        <w:tc>
          <w:tcPr>
            <w:tcW w:w="850" w:type="dxa"/>
            <w:vAlign w:val="center"/>
          </w:tcPr>
          <w:p w14:paraId="7E4B67CB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99,3</w:t>
            </w:r>
          </w:p>
        </w:tc>
        <w:tc>
          <w:tcPr>
            <w:tcW w:w="624" w:type="dxa"/>
            <w:vAlign w:val="center"/>
          </w:tcPr>
          <w:p w14:paraId="2DD9C531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1,8</w:t>
            </w:r>
          </w:p>
        </w:tc>
      </w:tr>
      <w:tr w:rsidR="00671E1E" w:rsidRPr="00093B2F" w14:paraId="750B1040" w14:textId="77777777" w:rsidTr="005549AA">
        <w:trPr>
          <w:trHeight w:val="227"/>
        </w:trPr>
        <w:tc>
          <w:tcPr>
            <w:tcW w:w="4989" w:type="dxa"/>
            <w:vAlign w:val="center"/>
          </w:tcPr>
          <w:p w14:paraId="30B27052" w14:textId="77777777" w:rsidR="00671E1E" w:rsidRPr="00093B2F" w:rsidRDefault="00671E1E" w:rsidP="00093B2F">
            <w:pPr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Nepovinní klienti státní pokladny</w:t>
            </w:r>
          </w:p>
        </w:tc>
        <w:tc>
          <w:tcPr>
            <w:tcW w:w="850" w:type="dxa"/>
            <w:vAlign w:val="center"/>
          </w:tcPr>
          <w:p w14:paraId="488BDA12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622" w:type="dxa"/>
            <w:vAlign w:val="center"/>
          </w:tcPr>
          <w:p w14:paraId="3839CE0A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1CA225E2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4,4</w:t>
            </w:r>
          </w:p>
        </w:tc>
        <w:tc>
          <w:tcPr>
            <w:tcW w:w="624" w:type="dxa"/>
            <w:vAlign w:val="center"/>
          </w:tcPr>
          <w:p w14:paraId="13941730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334A35E0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5,6</w:t>
            </w:r>
          </w:p>
        </w:tc>
        <w:tc>
          <w:tcPr>
            <w:tcW w:w="624" w:type="dxa"/>
            <w:vAlign w:val="center"/>
          </w:tcPr>
          <w:p w14:paraId="41019702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</w:tr>
      <w:tr w:rsidR="00671E1E" w:rsidRPr="00093B2F" w14:paraId="0AFB894D" w14:textId="77777777" w:rsidTr="005549AA">
        <w:trPr>
          <w:trHeight w:val="227"/>
        </w:trPr>
        <w:tc>
          <w:tcPr>
            <w:tcW w:w="4989" w:type="dxa"/>
            <w:shd w:val="clear" w:color="auto" w:fill="auto"/>
            <w:vAlign w:val="center"/>
          </w:tcPr>
          <w:p w14:paraId="447B5000" w14:textId="12921945" w:rsidR="00671E1E" w:rsidRPr="00093B2F" w:rsidRDefault="00671E1E" w:rsidP="005549AA">
            <w:pPr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Refinancování ze státní pokladny (</w:t>
            </w:r>
            <w:r w:rsidR="005549AA">
              <w:rPr>
                <w:rFonts w:ascii="Calibri" w:eastAsiaTheme="minorHAnsi" w:hAnsi="Calibri" w:cs="Calibri"/>
                <w:sz w:val="20"/>
                <w:szCs w:val="20"/>
              </w:rPr>
              <w:t>‒</w:t>
            </w: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B8E771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622" w:type="dxa"/>
            <w:shd w:val="clear" w:color="auto" w:fill="auto"/>
            <w:vAlign w:val="center"/>
          </w:tcPr>
          <w:p w14:paraId="5593B2EA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43A52F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424BE50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A5CC6B" w14:textId="09E03054" w:rsidR="00671E1E" w:rsidRPr="00093B2F" w:rsidRDefault="005549AA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>
              <w:rPr>
                <w:rFonts w:ascii="Calibri" w:eastAsiaTheme="minorHAnsi" w:hAnsi="Calibri" w:cs="Calibri"/>
                <w:sz w:val="20"/>
                <w:szCs w:val="20"/>
              </w:rPr>
              <w:t>‒</w:t>
            </w:r>
            <w:r w:rsidR="00671E1E" w:rsidRPr="00093B2F">
              <w:rPr>
                <w:rFonts w:ascii="Calibri" w:eastAsiaTheme="minorHAnsi" w:hAnsi="Calibri" w:cs="Calibri"/>
                <w:sz w:val="20"/>
                <w:szCs w:val="20"/>
              </w:rPr>
              <w:t>50,7</w:t>
            </w:r>
          </w:p>
        </w:tc>
        <w:tc>
          <w:tcPr>
            <w:tcW w:w="624" w:type="dxa"/>
            <w:vAlign w:val="center"/>
          </w:tcPr>
          <w:p w14:paraId="639FF80A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</w:tr>
      <w:tr w:rsidR="00671E1E" w:rsidRPr="00093B2F" w14:paraId="23C7F024" w14:textId="77777777" w:rsidTr="005549AA">
        <w:trPr>
          <w:trHeight w:val="227"/>
        </w:trPr>
        <w:tc>
          <w:tcPr>
            <w:tcW w:w="4989" w:type="dxa"/>
            <w:shd w:val="clear" w:color="auto" w:fill="F2F2F2" w:themeFill="background1" w:themeFillShade="F2"/>
            <w:vAlign w:val="center"/>
          </w:tcPr>
          <w:p w14:paraId="6ECF1780" w14:textId="77777777" w:rsidR="00671E1E" w:rsidRPr="00093B2F" w:rsidRDefault="00671E1E" w:rsidP="00093B2F">
            <w:pPr>
              <w:rPr>
                <w:rFonts w:ascii="Calibri" w:eastAsiaTheme="minorHAnsi" w:hAnsi="Calibri" w:cs="Calibri"/>
                <w:sz w:val="20"/>
                <w:szCs w:val="20"/>
                <w:vertAlign w:val="superscript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Celková likviditní pozice státní pokladny</w:t>
            </w:r>
            <w:r w:rsidRPr="005549AA">
              <w:rPr>
                <w:rFonts w:ascii="Calibri" w:eastAsiaTheme="minorHAnsi" w:hAnsi="Calibri" w:cs="Calibr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19C5831C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198,7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49439B85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1,2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1B208B2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194,5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66046429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1836E62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110,5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3A2E7840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2,2</w:t>
            </w:r>
          </w:p>
        </w:tc>
      </w:tr>
      <w:tr w:rsidR="00671E1E" w:rsidRPr="00093B2F" w14:paraId="77ABF936" w14:textId="77777777" w:rsidTr="005549AA">
        <w:trPr>
          <w:trHeight w:val="227"/>
        </w:trPr>
        <w:tc>
          <w:tcPr>
            <w:tcW w:w="4989" w:type="dxa"/>
            <w:vAlign w:val="center"/>
          </w:tcPr>
          <w:p w14:paraId="48545418" w14:textId="77777777" w:rsidR="00671E1E" w:rsidRPr="00093B2F" w:rsidRDefault="00671E1E" w:rsidP="00093B2F">
            <w:pPr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Reversní repo operace (kolaterál SPP)</w:t>
            </w:r>
          </w:p>
        </w:tc>
        <w:tc>
          <w:tcPr>
            <w:tcW w:w="850" w:type="dxa"/>
            <w:vAlign w:val="center"/>
          </w:tcPr>
          <w:p w14:paraId="662AED57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5,2</w:t>
            </w:r>
          </w:p>
        </w:tc>
        <w:tc>
          <w:tcPr>
            <w:tcW w:w="622" w:type="dxa"/>
            <w:vAlign w:val="center"/>
          </w:tcPr>
          <w:p w14:paraId="17E00D88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973D59A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18,0</w:t>
            </w:r>
          </w:p>
        </w:tc>
        <w:tc>
          <w:tcPr>
            <w:tcW w:w="624" w:type="dxa"/>
            <w:vAlign w:val="center"/>
          </w:tcPr>
          <w:p w14:paraId="3BD63B74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24B3A80F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624" w:type="dxa"/>
            <w:vAlign w:val="center"/>
          </w:tcPr>
          <w:p w14:paraId="1B4315E7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</w:tr>
      <w:tr w:rsidR="00671E1E" w:rsidRPr="00093B2F" w14:paraId="69EADDB3" w14:textId="77777777" w:rsidTr="005549AA">
        <w:trPr>
          <w:trHeight w:val="227"/>
        </w:trPr>
        <w:tc>
          <w:tcPr>
            <w:tcW w:w="4989" w:type="dxa"/>
            <w:vAlign w:val="center"/>
          </w:tcPr>
          <w:p w14:paraId="1B847299" w14:textId="77777777" w:rsidR="00671E1E" w:rsidRPr="00093B2F" w:rsidRDefault="00671E1E" w:rsidP="00093B2F">
            <w:pPr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Reversní repo operace (kolaterál SDD)</w:t>
            </w:r>
          </w:p>
        </w:tc>
        <w:tc>
          <w:tcPr>
            <w:tcW w:w="850" w:type="dxa"/>
            <w:vAlign w:val="center"/>
          </w:tcPr>
          <w:p w14:paraId="432D134D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622" w:type="dxa"/>
            <w:vAlign w:val="center"/>
          </w:tcPr>
          <w:p w14:paraId="334A41E5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42CECEA0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624" w:type="dxa"/>
            <w:vAlign w:val="center"/>
          </w:tcPr>
          <w:p w14:paraId="12D9A133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1,4</w:t>
            </w:r>
          </w:p>
        </w:tc>
        <w:tc>
          <w:tcPr>
            <w:tcW w:w="850" w:type="dxa"/>
            <w:vAlign w:val="center"/>
          </w:tcPr>
          <w:p w14:paraId="4209E989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624" w:type="dxa"/>
            <w:vAlign w:val="center"/>
          </w:tcPr>
          <w:p w14:paraId="1150F59A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0,8</w:t>
            </w:r>
          </w:p>
        </w:tc>
      </w:tr>
      <w:tr w:rsidR="00671E1E" w:rsidRPr="00093B2F" w14:paraId="34CF21D6" w14:textId="77777777" w:rsidTr="005549AA">
        <w:trPr>
          <w:trHeight w:val="227"/>
        </w:trPr>
        <w:tc>
          <w:tcPr>
            <w:tcW w:w="4989" w:type="dxa"/>
            <w:vAlign w:val="center"/>
          </w:tcPr>
          <w:p w14:paraId="7248042D" w14:textId="77777777" w:rsidR="00671E1E" w:rsidRPr="00093B2F" w:rsidRDefault="00671E1E" w:rsidP="00093B2F">
            <w:pPr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Reversní repo operace (kolaterál poukázka ČNB)</w:t>
            </w:r>
          </w:p>
        </w:tc>
        <w:tc>
          <w:tcPr>
            <w:tcW w:w="850" w:type="dxa"/>
            <w:vAlign w:val="center"/>
          </w:tcPr>
          <w:p w14:paraId="4FD51E9E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158,5</w:t>
            </w:r>
          </w:p>
        </w:tc>
        <w:tc>
          <w:tcPr>
            <w:tcW w:w="622" w:type="dxa"/>
            <w:vAlign w:val="center"/>
          </w:tcPr>
          <w:p w14:paraId="3E047F5F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4D972F89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141,5</w:t>
            </w:r>
          </w:p>
        </w:tc>
        <w:tc>
          <w:tcPr>
            <w:tcW w:w="624" w:type="dxa"/>
            <w:vAlign w:val="center"/>
          </w:tcPr>
          <w:p w14:paraId="3C07744F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0505D6DD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71,3</w:t>
            </w:r>
          </w:p>
        </w:tc>
        <w:tc>
          <w:tcPr>
            <w:tcW w:w="624" w:type="dxa"/>
            <w:vAlign w:val="center"/>
          </w:tcPr>
          <w:p w14:paraId="4C109FCC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0,5</w:t>
            </w:r>
          </w:p>
        </w:tc>
      </w:tr>
      <w:tr w:rsidR="00671E1E" w:rsidRPr="00093B2F" w14:paraId="0BEE3CA2" w14:textId="77777777" w:rsidTr="005549AA">
        <w:trPr>
          <w:trHeight w:val="227"/>
        </w:trPr>
        <w:tc>
          <w:tcPr>
            <w:tcW w:w="4989" w:type="dxa"/>
            <w:vAlign w:val="center"/>
          </w:tcPr>
          <w:p w14:paraId="0951E896" w14:textId="77777777" w:rsidR="00671E1E" w:rsidRPr="00093B2F" w:rsidRDefault="00671E1E" w:rsidP="00093B2F">
            <w:pPr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Poskytnutá depa a krátkodobé zápůjčky a úvěry</w:t>
            </w:r>
          </w:p>
        </w:tc>
        <w:tc>
          <w:tcPr>
            <w:tcW w:w="850" w:type="dxa"/>
            <w:vAlign w:val="center"/>
          </w:tcPr>
          <w:p w14:paraId="26546DCD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13,1</w:t>
            </w:r>
          </w:p>
        </w:tc>
        <w:tc>
          <w:tcPr>
            <w:tcW w:w="622" w:type="dxa"/>
            <w:vAlign w:val="center"/>
          </w:tcPr>
          <w:p w14:paraId="10052ADE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314A2E83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14,0</w:t>
            </w:r>
          </w:p>
        </w:tc>
        <w:tc>
          <w:tcPr>
            <w:tcW w:w="624" w:type="dxa"/>
            <w:vAlign w:val="center"/>
          </w:tcPr>
          <w:p w14:paraId="05E72359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1,0</w:t>
            </w:r>
          </w:p>
        </w:tc>
        <w:tc>
          <w:tcPr>
            <w:tcW w:w="850" w:type="dxa"/>
            <w:vAlign w:val="center"/>
          </w:tcPr>
          <w:p w14:paraId="0F43B2F3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22,1</w:t>
            </w:r>
          </w:p>
        </w:tc>
        <w:tc>
          <w:tcPr>
            <w:tcW w:w="624" w:type="dxa"/>
            <w:vAlign w:val="center"/>
          </w:tcPr>
          <w:p w14:paraId="3334CECC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0,8</w:t>
            </w:r>
          </w:p>
        </w:tc>
      </w:tr>
      <w:tr w:rsidR="00671E1E" w:rsidRPr="00093B2F" w14:paraId="15DF61F9" w14:textId="77777777" w:rsidTr="005549AA">
        <w:trPr>
          <w:trHeight w:val="227"/>
        </w:trPr>
        <w:tc>
          <w:tcPr>
            <w:tcW w:w="4989" w:type="dxa"/>
            <w:vAlign w:val="center"/>
          </w:tcPr>
          <w:p w14:paraId="4D98C221" w14:textId="78AACC32" w:rsidR="00671E1E" w:rsidRPr="00093B2F" w:rsidRDefault="00671E1E" w:rsidP="005549AA">
            <w:pPr>
              <w:rPr>
                <w:rFonts w:ascii="Calibri" w:eastAsiaTheme="minorHAnsi" w:hAnsi="Calibri" w:cs="Calibri"/>
                <w:sz w:val="20"/>
                <w:szCs w:val="20"/>
                <w:vertAlign w:val="superscript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Přepůjčování</w:t>
            </w:r>
            <w:r w:rsidRPr="005549AA">
              <w:rPr>
                <w:rFonts w:ascii="Calibri" w:eastAsiaTheme="minorHAnsi" w:hAnsi="Calibri" w:cs="Calibri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50" w:type="dxa"/>
            <w:vAlign w:val="center"/>
          </w:tcPr>
          <w:p w14:paraId="785C5D6D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1,7</w:t>
            </w:r>
          </w:p>
        </w:tc>
        <w:tc>
          <w:tcPr>
            <w:tcW w:w="622" w:type="dxa"/>
            <w:vAlign w:val="center"/>
          </w:tcPr>
          <w:p w14:paraId="0A791EF4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63A52FF5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624" w:type="dxa"/>
            <w:vAlign w:val="center"/>
          </w:tcPr>
          <w:p w14:paraId="532DC87B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1E7107E7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624" w:type="dxa"/>
            <w:vAlign w:val="center"/>
          </w:tcPr>
          <w:p w14:paraId="7148EE00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</w:tr>
      <w:tr w:rsidR="00671E1E" w:rsidRPr="00093B2F" w14:paraId="38794AA3" w14:textId="77777777" w:rsidTr="005549AA">
        <w:trPr>
          <w:trHeight w:val="227"/>
        </w:trPr>
        <w:tc>
          <w:tcPr>
            <w:tcW w:w="4989" w:type="dxa"/>
            <w:vAlign w:val="center"/>
          </w:tcPr>
          <w:p w14:paraId="35BE5D8E" w14:textId="77777777" w:rsidR="00671E1E" w:rsidRPr="00093B2F" w:rsidRDefault="00671E1E" w:rsidP="00093B2F">
            <w:pPr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Investování do SPP a SDD</w:t>
            </w:r>
          </w:p>
        </w:tc>
        <w:tc>
          <w:tcPr>
            <w:tcW w:w="850" w:type="dxa"/>
            <w:vAlign w:val="center"/>
          </w:tcPr>
          <w:p w14:paraId="6317F117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18,5</w:t>
            </w:r>
          </w:p>
        </w:tc>
        <w:tc>
          <w:tcPr>
            <w:tcW w:w="622" w:type="dxa"/>
            <w:vAlign w:val="center"/>
          </w:tcPr>
          <w:p w14:paraId="2888FDC3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2A7BE5BA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19,2</w:t>
            </w:r>
          </w:p>
        </w:tc>
        <w:tc>
          <w:tcPr>
            <w:tcW w:w="624" w:type="dxa"/>
            <w:vAlign w:val="center"/>
          </w:tcPr>
          <w:p w14:paraId="6E28D9C6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  <w:tc>
          <w:tcPr>
            <w:tcW w:w="850" w:type="dxa"/>
            <w:vAlign w:val="center"/>
          </w:tcPr>
          <w:p w14:paraId="30376C87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15,5</w:t>
            </w:r>
          </w:p>
        </w:tc>
        <w:tc>
          <w:tcPr>
            <w:tcW w:w="624" w:type="dxa"/>
            <w:vAlign w:val="center"/>
          </w:tcPr>
          <w:p w14:paraId="594B4A96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</w:tr>
      <w:tr w:rsidR="00671E1E" w:rsidRPr="00093B2F" w14:paraId="1F4854FC" w14:textId="77777777" w:rsidTr="005549AA">
        <w:trPr>
          <w:trHeight w:val="227"/>
        </w:trPr>
        <w:tc>
          <w:tcPr>
            <w:tcW w:w="4989" w:type="dxa"/>
            <w:vAlign w:val="center"/>
          </w:tcPr>
          <w:p w14:paraId="20312981" w14:textId="4B689785" w:rsidR="00671E1E" w:rsidRPr="00093B2F" w:rsidRDefault="00671E1E" w:rsidP="005549AA">
            <w:pPr>
              <w:rPr>
                <w:rFonts w:ascii="Calibri" w:eastAsiaTheme="minorHAnsi" w:hAnsi="Calibri" w:cs="Calibri"/>
                <w:sz w:val="20"/>
                <w:szCs w:val="20"/>
                <w:vertAlign w:val="superscript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 xml:space="preserve">Peněžní prostředky na souhrnném účtu </w:t>
            </w:r>
            <w:r w:rsidR="005549AA">
              <w:rPr>
                <w:rFonts w:ascii="Calibri" w:eastAsiaTheme="minorHAnsi" w:hAnsi="Calibri" w:cs="Calibri"/>
                <w:sz w:val="20"/>
                <w:szCs w:val="20"/>
              </w:rPr>
              <w:t>státní pokladny</w:t>
            </w:r>
            <w:r w:rsidRPr="005549AA">
              <w:rPr>
                <w:rFonts w:ascii="Calibri" w:eastAsiaTheme="minorHAnsi" w:hAnsi="Calibri" w:cs="Calibri"/>
                <w:b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850" w:type="dxa"/>
            <w:vAlign w:val="center"/>
          </w:tcPr>
          <w:p w14:paraId="19120EFC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1,6</w:t>
            </w:r>
          </w:p>
        </w:tc>
        <w:tc>
          <w:tcPr>
            <w:tcW w:w="622" w:type="dxa"/>
            <w:vAlign w:val="center"/>
          </w:tcPr>
          <w:p w14:paraId="64D59A35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1,2</w:t>
            </w:r>
          </w:p>
        </w:tc>
        <w:tc>
          <w:tcPr>
            <w:tcW w:w="850" w:type="dxa"/>
            <w:vAlign w:val="center"/>
          </w:tcPr>
          <w:p w14:paraId="7189DA16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1,8</w:t>
            </w:r>
          </w:p>
        </w:tc>
        <w:tc>
          <w:tcPr>
            <w:tcW w:w="624" w:type="dxa"/>
            <w:vAlign w:val="center"/>
          </w:tcPr>
          <w:p w14:paraId="50808157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0,7</w:t>
            </w:r>
          </w:p>
        </w:tc>
        <w:tc>
          <w:tcPr>
            <w:tcW w:w="850" w:type="dxa"/>
            <w:vAlign w:val="center"/>
          </w:tcPr>
          <w:p w14:paraId="6CEED07A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1,7</w:t>
            </w:r>
          </w:p>
        </w:tc>
        <w:tc>
          <w:tcPr>
            <w:tcW w:w="624" w:type="dxa"/>
            <w:vAlign w:val="center"/>
          </w:tcPr>
          <w:p w14:paraId="20C0CB6A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0,0</w:t>
            </w:r>
          </w:p>
        </w:tc>
      </w:tr>
      <w:tr w:rsidR="00671E1E" w:rsidRPr="00093B2F" w14:paraId="354B4F48" w14:textId="77777777" w:rsidTr="005549AA">
        <w:trPr>
          <w:trHeight w:val="227"/>
        </w:trPr>
        <w:tc>
          <w:tcPr>
            <w:tcW w:w="4989" w:type="dxa"/>
            <w:shd w:val="clear" w:color="auto" w:fill="F2F2F2" w:themeFill="background1" w:themeFillShade="F2"/>
            <w:vAlign w:val="center"/>
          </w:tcPr>
          <w:p w14:paraId="34F11938" w14:textId="77777777" w:rsidR="00671E1E" w:rsidRPr="00093B2F" w:rsidRDefault="00671E1E" w:rsidP="00093B2F">
            <w:pPr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Celková investiční pozice státní pokladny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206152BC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198,7</w:t>
            </w:r>
          </w:p>
        </w:tc>
        <w:tc>
          <w:tcPr>
            <w:tcW w:w="622" w:type="dxa"/>
            <w:shd w:val="clear" w:color="auto" w:fill="F2F2F2" w:themeFill="background1" w:themeFillShade="F2"/>
            <w:vAlign w:val="center"/>
          </w:tcPr>
          <w:p w14:paraId="50AFC485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1,2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2131470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194,5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3103B24E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3,0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5DC14DB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110,5</w:t>
            </w:r>
          </w:p>
        </w:tc>
        <w:tc>
          <w:tcPr>
            <w:tcW w:w="624" w:type="dxa"/>
            <w:shd w:val="clear" w:color="auto" w:fill="F2F2F2" w:themeFill="background1" w:themeFillShade="F2"/>
            <w:vAlign w:val="center"/>
          </w:tcPr>
          <w:p w14:paraId="17190115" w14:textId="77777777" w:rsidR="00671E1E" w:rsidRPr="00093B2F" w:rsidRDefault="00671E1E" w:rsidP="00093B2F">
            <w:pPr>
              <w:jc w:val="right"/>
              <w:rPr>
                <w:rFonts w:ascii="Calibri" w:eastAsiaTheme="minorHAnsi" w:hAnsi="Calibri" w:cs="Calibri"/>
                <w:sz w:val="20"/>
                <w:szCs w:val="20"/>
              </w:rPr>
            </w:pPr>
            <w:r w:rsidRPr="00093B2F">
              <w:rPr>
                <w:rFonts w:ascii="Calibri" w:eastAsiaTheme="minorHAnsi" w:hAnsi="Calibri" w:cs="Calibri"/>
                <w:sz w:val="20"/>
                <w:szCs w:val="20"/>
              </w:rPr>
              <w:t>2,2</w:t>
            </w:r>
          </w:p>
        </w:tc>
      </w:tr>
    </w:tbl>
    <w:p w14:paraId="252D5007" w14:textId="77777777" w:rsidR="00671E1E" w:rsidRPr="00430901" w:rsidRDefault="00671E1E" w:rsidP="00093B2F">
      <w:pPr>
        <w:spacing w:before="40" w:after="0" w:line="240" w:lineRule="auto"/>
        <w:jc w:val="both"/>
        <w:rPr>
          <w:rFonts w:cstheme="minorHAnsi"/>
          <w:sz w:val="20"/>
          <w:szCs w:val="20"/>
        </w:rPr>
      </w:pPr>
      <w:r w:rsidRPr="00C843E8">
        <w:rPr>
          <w:rFonts w:cstheme="minorHAnsi"/>
          <w:b/>
          <w:sz w:val="20"/>
          <w:szCs w:val="20"/>
        </w:rPr>
        <w:t>Zdroj:</w:t>
      </w:r>
      <w:r w:rsidRPr="00430901">
        <w:rPr>
          <w:rFonts w:cstheme="minorHAnsi"/>
          <w:sz w:val="20"/>
          <w:szCs w:val="20"/>
        </w:rPr>
        <w:t xml:space="preserve"> </w:t>
      </w:r>
      <w:r w:rsidRPr="000D5096">
        <w:rPr>
          <w:rFonts w:cstheme="minorHAnsi"/>
          <w:i/>
          <w:sz w:val="20"/>
          <w:szCs w:val="20"/>
        </w:rPr>
        <w:t>Zpráva o řízení státního dluhu Č</w:t>
      </w:r>
      <w:r w:rsidR="00132DD5" w:rsidRPr="000D5096">
        <w:rPr>
          <w:rFonts w:cstheme="minorHAnsi"/>
          <w:i/>
          <w:sz w:val="20"/>
          <w:szCs w:val="20"/>
        </w:rPr>
        <w:t>eské republiky</w:t>
      </w:r>
      <w:r w:rsidRPr="000D5096">
        <w:rPr>
          <w:rFonts w:cstheme="minorHAnsi"/>
          <w:i/>
          <w:sz w:val="20"/>
          <w:szCs w:val="20"/>
        </w:rPr>
        <w:t xml:space="preserve"> v</w:t>
      </w:r>
      <w:r w:rsidR="00430901" w:rsidRPr="000D5096">
        <w:rPr>
          <w:rFonts w:cstheme="minorHAnsi"/>
          <w:i/>
          <w:sz w:val="20"/>
          <w:szCs w:val="20"/>
        </w:rPr>
        <w:t xml:space="preserve"> </w:t>
      </w:r>
      <w:r w:rsidRPr="000D5096">
        <w:rPr>
          <w:rFonts w:cstheme="minorHAnsi"/>
          <w:i/>
          <w:sz w:val="20"/>
          <w:szCs w:val="20"/>
        </w:rPr>
        <w:t>roce 2014</w:t>
      </w:r>
      <w:r w:rsidR="00E77131">
        <w:rPr>
          <w:rFonts w:cstheme="minorHAnsi"/>
          <w:sz w:val="20"/>
          <w:szCs w:val="20"/>
        </w:rPr>
        <w:t>.</w:t>
      </w:r>
    </w:p>
    <w:p w14:paraId="5663F256" w14:textId="1C3E31A0" w:rsidR="00671E1E" w:rsidRPr="00430901" w:rsidRDefault="00671E1E" w:rsidP="005549AA">
      <w:pPr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5549AA">
        <w:rPr>
          <w:rFonts w:cstheme="minorHAnsi"/>
          <w:b/>
          <w:sz w:val="20"/>
          <w:szCs w:val="20"/>
          <w:vertAlign w:val="superscript"/>
        </w:rPr>
        <w:t>1</w:t>
      </w:r>
      <w:r w:rsidR="00960ACC">
        <w:rPr>
          <w:rFonts w:cstheme="minorHAnsi"/>
          <w:sz w:val="20"/>
          <w:szCs w:val="20"/>
          <w:vertAlign w:val="superscript"/>
        </w:rPr>
        <w:t xml:space="preserve"> </w:t>
      </w:r>
      <w:r w:rsidR="005549AA">
        <w:rPr>
          <w:rFonts w:cstheme="minorHAnsi"/>
          <w:sz w:val="20"/>
          <w:szCs w:val="20"/>
          <w:vertAlign w:val="superscript"/>
        </w:rPr>
        <w:tab/>
      </w:r>
      <w:r w:rsidRPr="00430901">
        <w:rPr>
          <w:rFonts w:cstheme="minorHAnsi"/>
          <w:sz w:val="20"/>
          <w:szCs w:val="20"/>
        </w:rPr>
        <w:t xml:space="preserve">Bez zahrnutí kvazi-klientů SD a </w:t>
      </w:r>
      <w:r w:rsidR="00DD749A">
        <w:rPr>
          <w:rFonts w:cstheme="minorHAnsi"/>
          <w:sz w:val="20"/>
          <w:szCs w:val="20"/>
        </w:rPr>
        <w:t>s</w:t>
      </w:r>
      <w:r w:rsidR="00D21642" w:rsidRPr="00430901">
        <w:rPr>
          <w:rFonts w:cstheme="minorHAnsi"/>
          <w:sz w:val="20"/>
          <w:szCs w:val="20"/>
        </w:rPr>
        <w:t>tátních finančních aktiv</w:t>
      </w:r>
      <w:r w:rsidRPr="00430901">
        <w:rPr>
          <w:rFonts w:cstheme="minorHAnsi"/>
          <w:sz w:val="20"/>
          <w:szCs w:val="20"/>
        </w:rPr>
        <w:t>.</w:t>
      </w:r>
    </w:p>
    <w:p w14:paraId="5354A642" w14:textId="6583D1FB" w:rsidR="00671E1E" w:rsidRPr="00430901" w:rsidRDefault="00671E1E" w:rsidP="005549AA">
      <w:pPr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5549AA">
        <w:rPr>
          <w:rFonts w:cstheme="minorHAnsi"/>
          <w:b/>
          <w:sz w:val="20"/>
          <w:szCs w:val="20"/>
          <w:vertAlign w:val="superscript"/>
        </w:rPr>
        <w:t>2</w:t>
      </w:r>
      <w:r w:rsidR="00960ACC">
        <w:rPr>
          <w:rFonts w:cstheme="minorHAnsi"/>
          <w:sz w:val="20"/>
          <w:szCs w:val="20"/>
          <w:vertAlign w:val="superscript"/>
        </w:rPr>
        <w:t xml:space="preserve"> </w:t>
      </w:r>
      <w:r w:rsidR="005549AA">
        <w:rPr>
          <w:rFonts w:cstheme="minorHAnsi"/>
          <w:sz w:val="20"/>
          <w:szCs w:val="20"/>
          <w:vertAlign w:val="superscript"/>
        </w:rPr>
        <w:tab/>
      </w:r>
      <w:r w:rsidRPr="00430901">
        <w:rPr>
          <w:rFonts w:cstheme="minorHAnsi"/>
          <w:sz w:val="20"/>
          <w:szCs w:val="20"/>
        </w:rPr>
        <w:t>Disponibilní likvidita státní pokladny včetně investování mimo účty řízení likvidity státní pokladny.</w:t>
      </w:r>
    </w:p>
    <w:p w14:paraId="717B03B8" w14:textId="0FE6CEF5" w:rsidR="00671E1E" w:rsidRPr="00430901" w:rsidRDefault="00671E1E" w:rsidP="005549AA">
      <w:pPr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5549AA">
        <w:rPr>
          <w:rFonts w:cstheme="minorHAnsi"/>
          <w:b/>
          <w:sz w:val="20"/>
          <w:szCs w:val="20"/>
          <w:vertAlign w:val="superscript"/>
        </w:rPr>
        <w:t>3</w:t>
      </w:r>
      <w:r w:rsidR="00960ACC">
        <w:rPr>
          <w:rFonts w:cstheme="minorHAnsi"/>
          <w:sz w:val="20"/>
          <w:szCs w:val="20"/>
          <w:vertAlign w:val="superscript"/>
        </w:rPr>
        <w:t xml:space="preserve"> </w:t>
      </w:r>
      <w:r w:rsidR="005549AA">
        <w:rPr>
          <w:rFonts w:cstheme="minorHAnsi"/>
          <w:sz w:val="20"/>
          <w:szCs w:val="20"/>
          <w:vertAlign w:val="superscript"/>
        </w:rPr>
        <w:tab/>
      </w:r>
      <w:r w:rsidRPr="00430901">
        <w:rPr>
          <w:rFonts w:cstheme="minorHAnsi"/>
          <w:sz w:val="20"/>
          <w:szCs w:val="20"/>
        </w:rPr>
        <w:t>Poskytnuté mimorozpočtové zápůjčky s</w:t>
      </w:r>
      <w:r w:rsidR="00430901" w:rsidRPr="00430901">
        <w:rPr>
          <w:rFonts w:cstheme="minorHAnsi"/>
          <w:sz w:val="20"/>
          <w:szCs w:val="20"/>
        </w:rPr>
        <w:t xml:space="preserve"> </w:t>
      </w:r>
      <w:r w:rsidRPr="00430901">
        <w:rPr>
          <w:rFonts w:cstheme="minorHAnsi"/>
          <w:sz w:val="20"/>
          <w:szCs w:val="20"/>
        </w:rPr>
        <w:t>původní dobou splatnosti nad 1 rok ostatním státům a domácím právnickým osobám, jejichž předpokládaná zbytková splatnost činí méně než 12 měsíců.</w:t>
      </w:r>
    </w:p>
    <w:p w14:paraId="174AB091" w14:textId="64E8EE31" w:rsidR="00671E1E" w:rsidRPr="00430901" w:rsidRDefault="00671E1E" w:rsidP="005549AA">
      <w:pPr>
        <w:spacing w:after="0" w:line="240" w:lineRule="auto"/>
        <w:ind w:left="142" w:hanging="142"/>
        <w:jc w:val="both"/>
        <w:rPr>
          <w:rFonts w:cstheme="minorHAnsi"/>
          <w:sz w:val="20"/>
          <w:szCs w:val="20"/>
        </w:rPr>
      </w:pPr>
      <w:r w:rsidRPr="005549AA">
        <w:rPr>
          <w:rFonts w:cstheme="minorHAnsi"/>
          <w:b/>
          <w:sz w:val="20"/>
          <w:szCs w:val="20"/>
          <w:vertAlign w:val="superscript"/>
        </w:rPr>
        <w:t>4</w:t>
      </w:r>
      <w:r w:rsidR="00960ACC">
        <w:rPr>
          <w:rFonts w:cstheme="minorHAnsi"/>
          <w:sz w:val="20"/>
          <w:szCs w:val="20"/>
          <w:vertAlign w:val="superscript"/>
        </w:rPr>
        <w:t xml:space="preserve"> </w:t>
      </w:r>
      <w:r w:rsidR="005549AA">
        <w:rPr>
          <w:rFonts w:cstheme="minorHAnsi"/>
          <w:sz w:val="20"/>
          <w:szCs w:val="20"/>
          <w:vertAlign w:val="superscript"/>
        </w:rPr>
        <w:tab/>
      </w:r>
      <w:r w:rsidRPr="00430901">
        <w:rPr>
          <w:rFonts w:cstheme="minorHAnsi"/>
          <w:sz w:val="20"/>
          <w:szCs w:val="20"/>
        </w:rPr>
        <w:t>Do 31. 3. 2013 se jedn</w:t>
      </w:r>
      <w:r w:rsidR="00035C17">
        <w:rPr>
          <w:rFonts w:cstheme="minorHAnsi"/>
          <w:sz w:val="20"/>
          <w:szCs w:val="20"/>
        </w:rPr>
        <w:t>alo</w:t>
      </w:r>
      <w:r w:rsidRPr="00430901">
        <w:rPr>
          <w:rFonts w:cstheme="minorHAnsi"/>
          <w:sz w:val="20"/>
          <w:szCs w:val="20"/>
        </w:rPr>
        <w:t xml:space="preserve"> o část rezervy finančních prostředků denominovanou v</w:t>
      </w:r>
      <w:r w:rsidR="00430901" w:rsidRPr="00430901">
        <w:rPr>
          <w:rFonts w:cstheme="minorHAnsi"/>
          <w:sz w:val="20"/>
          <w:szCs w:val="20"/>
        </w:rPr>
        <w:t xml:space="preserve"> </w:t>
      </w:r>
      <w:r w:rsidRPr="00430901">
        <w:rPr>
          <w:rFonts w:cstheme="minorHAnsi"/>
          <w:sz w:val="20"/>
          <w:szCs w:val="20"/>
        </w:rPr>
        <w:t>eur</w:t>
      </w:r>
      <w:r w:rsidR="00DD749A">
        <w:rPr>
          <w:rFonts w:cstheme="minorHAnsi"/>
          <w:sz w:val="20"/>
          <w:szCs w:val="20"/>
        </w:rPr>
        <w:t>ech</w:t>
      </w:r>
      <w:r w:rsidRPr="00430901">
        <w:rPr>
          <w:rFonts w:cstheme="minorHAnsi"/>
          <w:sz w:val="20"/>
          <w:szCs w:val="20"/>
        </w:rPr>
        <w:t>, jelikož ČNB technicky zřídila Ministerstvu</w:t>
      </w:r>
      <w:r w:rsidR="00681A8C">
        <w:rPr>
          <w:rFonts w:cstheme="minorHAnsi"/>
          <w:sz w:val="20"/>
          <w:szCs w:val="20"/>
        </w:rPr>
        <w:t xml:space="preserve"> financí</w:t>
      </w:r>
      <w:r w:rsidRPr="00430901">
        <w:rPr>
          <w:rFonts w:cstheme="minorHAnsi"/>
          <w:sz w:val="20"/>
          <w:szCs w:val="20"/>
        </w:rPr>
        <w:t xml:space="preserve"> souhrnný účet státní pokladny v</w:t>
      </w:r>
      <w:r w:rsidR="00430901" w:rsidRPr="00430901">
        <w:rPr>
          <w:rFonts w:cstheme="minorHAnsi"/>
          <w:sz w:val="20"/>
          <w:szCs w:val="20"/>
        </w:rPr>
        <w:t xml:space="preserve"> </w:t>
      </w:r>
      <w:r w:rsidRPr="00430901">
        <w:rPr>
          <w:rFonts w:cstheme="minorHAnsi"/>
          <w:sz w:val="20"/>
          <w:szCs w:val="20"/>
        </w:rPr>
        <w:t>eur</w:t>
      </w:r>
      <w:r w:rsidR="00DD749A">
        <w:rPr>
          <w:rFonts w:cstheme="minorHAnsi"/>
          <w:sz w:val="20"/>
          <w:szCs w:val="20"/>
        </w:rPr>
        <w:t>ech</w:t>
      </w:r>
      <w:r w:rsidRPr="00430901">
        <w:rPr>
          <w:rFonts w:cstheme="minorHAnsi"/>
          <w:sz w:val="20"/>
          <w:szCs w:val="20"/>
        </w:rPr>
        <w:t xml:space="preserve"> od 2. 4. 2013.</w:t>
      </w:r>
    </w:p>
    <w:p w14:paraId="276474EE" w14:textId="77777777" w:rsidR="00671E1E" w:rsidRPr="00F430D3" w:rsidRDefault="00671E1E" w:rsidP="00671E1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3E6A886" w14:textId="3820104F" w:rsidR="00671E1E" w:rsidRPr="00F430D3" w:rsidRDefault="00671E1E" w:rsidP="00671E1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430D3">
        <w:rPr>
          <w:rFonts w:cstheme="minorHAnsi"/>
          <w:sz w:val="24"/>
          <w:szCs w:val="24"/>
        </w:rPr>
        <w:t>Jak vyplývá z</w:t>
      </w:r>
      <w:r w:rsidR="00430901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sz w:val="24"/>
          <w:szCs w:val="24"/>
        </w:rPr>
        <w:t xml:space="preserve">tabulky č. </w:t>
      </w:r>
      <w:r w:rsidR="00912B79">
        <w:rPr>
          <w:rFonts w:cstheme="minorHAnsi"/>
          <w:sz w:val="24"/>
          <w:szCs w:val="24"/>
        </w:rPr>
        <w:t>6</w:t>
      </w:r>
      <w:r w:rsidRPr="00F430D3">
        <w:rPr>
          <w:rFonts w:cstheme="minorHAnsi"/>
          <w:sz w:val="24"/>
          <w:szCs w:val="24"/>
        </w:rPr>
        <w:t xml:space="preserve">, ve struktuře zdrojů státní pokladny </w:t>
      </w:r>
      <w:r w:rsidR="00EF31A1">
        <w:rPr>
          <w:rFonts w:cstheme="minorHAnsi"/>
          <w:sz w:val="24"/>
          <w:szCs w:val="24"/>
        </w:rPr>
        <w:t>evidovalo</w:t>
      </w:r>
      <w:r w:rsidR="00752593" w:rsidRPr="00752593">
        <w:rPr>
          <w:rFonts w:cstheme="minorHAnsi"/>
          <w:sz w:val="24"/>
          <w:szCs w:val="24"/>
        </w:rPr>
        <w:t xml:space="preserve"> </w:t>
      </w:r>
      <w:r w:rsidR="00752593">
        <w:rPr>
          <w:rFonts w:cstheme="minorHAnsi"/>
          <w:sz w:val="24"/>
          <w:szCs w:val="24"/>
        </w:rPr>
        <w:t>MF</w:t>
      </w:r>
      <w:r w:rsidRPr="00F430D3">
        <w:rPr>
          <w:rFonts w:cstheme="minorHAnsi"/>
          <w:sz w:val="24"/>
          <w:szCs w:val="24"/>
        </w:rPr>
        <w:t xml:space="preserve"> </w:t>
      </w:r>
      <w:r w:rsidR="005A49BE">
        <w:rPr>
          <w:rFonts w:cstheme="minorHAnsi"/>
          <w:sz w:val="24"/>
          <w:szCs w:val="24"/>
        </w:rPr>
        <w:t>k</w:t>
      </w:r>
      <w:r w:rsidR="00430901">
        <w:rPr>
          <w:rFonts w:cstheme="minorHAnsi"/>
          <w:sz w:val="24"/>
          <w:szCs w:val="24"/>
        </w:rPr>
        <w:t xml:space="preserve"> </w:t>
      </w:r>
      <w:r w:rsidR="005A49BE">
        <w:rPr>
          <w:rFonts w:cstheme="minorHAnsi"/>
          <w:sz w:val="24"/>
          <w:szCs w:val="24"/>
        </w:rPr>
        <w:t>31. 12.</w:t>
      </w:r>
      <w:r w:rsidRPr="00F430D3">
        <w:rPr>
          <w:rFonts w:cstheme="minorHAnsi"/>
          <w:sz w:val="24"/>
          <w:szCs w:val="24"/>
        </w:rPr>
        <w:t xml:space="preserve"> 2014 nov</w:t>
      </w:r>
      <w:r w:rsidR="00EF31A1">
        <w:rPr>
          <w:rFonts w:cstheme="minorHAnsi"/>
          <w:sz w:val="24"/>
          <w:szCs w:val="24"/>
        </w:rPr>
        <w:t>ou</w:t>
      </w:r>
      <w:r w:rsidRPr="00F430D3">
        <w:rPr>
          <w:rFonts w:cstheme="minorHAnsi"/>
          <w:sz w:val="24"/>
          <w:szCs w:val="24"/>
        </w:rPr>
        <w:t xml:space="preserve"> položk</w:t>
      </w:r>
      <w:r w:rsidR="00EF31A1">
        <w:rPr>
          <w:rFonts w:cstheme="minorHAnsi"/>
          <w:sz w:val="24"/>
          <w:szCs w:val="24"/>
        </w:rPr>
        <w:t>u</w:t>
      </w:r>
      <w:r w:rsidRPr="00F430D3">
        <w:rPr>
          <w:rFonts w:cstheme="minorHAnsi"/>
          <w:sz w:val="24"/>
          <w:szCs w:val="24"/>
        </w:rPr>
        <w:t xml:space="preserve"> </w:t>
      </w:r>
      <w:r w:rsidRPr="00F430D3">
        <w:rPr>
          <w:rFonts w:cstheme="minorHAnsi"/>
          <w:i/>
          <w:sz w:val="24"/>
          <w:szCs w:val="24"/>
        </w:rPr>
        <w:t>Refinancování ze státní pokladny</w:t>
      </w:r>
      <w:r w:rsidR="001D1AE8">
        <w:rPr>
          <w:rFonts w:cstheme="minorHAnsi"/>
          <w:sz w:val="24"/>
          <w:szCs w:val="24"/>
        </w:rPr>
        <w:t xml:space="preserve"> ve výši </w:t>
      </w:r>
      <w:r w:rsidR="00DD749A">
        <w:rPr>
          <w:rFonts w:cstheme="minorHAnsi"/>
          <w:sz w:val="24"/>
          <w:szCs w:val="24"/>
        </w:rPr>
        <w:t>‒</w:t>
      </w:r>
      <w:r w:rsidR="001D1AE8">
        <w:rPr>
          <w:rFonts w:cstheme="minorHAnsi"/>
          <w:sz w:val="24"/>
          <w:szCs w:val="24"/>
        </w:rPr>
        <w:t xml:space="preserve">50,7 mld. Kč, jejíž stav odpovídal </w:t>
      </w:r>
      <w:r w:rsidR="00EF31A1">
        <w:rPr>
          <w:rFonts w:cstheme="minorHAnsi"/>
          <w:sz w:val="24"/>
          <w:szCs w:val="24"/>
        </w:rPr>
        <w:t xml:space="preserve">zkontrolovaným </w:t>
      </w:r>
      <w:r w:rsidR="001D1AE8">
        <w:rPr>
          <w:rFonts w:cstheme="minorHAnsi"/>
          <w:sz w:val="24"/>
          <w:szCs w:val="24"/>
        </w:rPr>
        <w:t>stavům bankovních účtů</w:t>
      </w:r>
      <w:r w:rsidR="00D21642">
        <w:rPr>
          <w:rFonts w:cstheme="minorHAnsi"/>
          <w:sz w:val="24"/>
          <w:szCs w:val="24"/>
        </w:rPr>
        <w:t>.</w:t>
      </w:r>
      <w:r w:rsidR="00B04E68" w:rsidRPr="00B04E68">
        <w:rPr>
          <w:rFonts w:cstheme="minorHAnsi"/>
          <w:sz w:val="24"/>
          <w:szCs w:val="24"/>
        </w:rPr>
        <w:t xml:space="preserve"> </w:t>
      </w:r>
      <w:r w:rsidR="00EF31A1">
        <w:rPr>
          <w:rFonts w:cstheme="minorHAnsi"/>
          <w:sz w:val="24"/>
          <w:szCs w:val="24"/>
        </w:rPr>
        <w:t xml:space="preserve">Tato položka zobrazuje </w:t>
      </w:r>
      <w:r w:rsidR="00B04E68">
        <w:rPr>
          <w:rFonts w:cstheme="minorHAnsi"/>
          <w:sz w:val="24"/>
          <w:szCs w:val="24"/>
        </w:rPr>
        <w:t xml:space="preserve">zapojení peněžních prostředků uložených na bankovních účtech podřízených souhrnným účtům státní pokladny na </w:t>
      </w:r>
      <w:r w:rsidR="00B04E68">
        <w:rPr>
          <w:sz w:val="24"/>
          <w:szCs w:val="24"/>
        </w:rPr>
        <w:t>přechodné krytí potřeb financování státu</w:t>
      </w:r>
      <w:r w:rsidR="005A49BE">
        <w:rPr>
          <w:sz w:val="24"/>
          <w:szCs w:val="24"/>
        </w:rPr>
        <w:t>.</w:t>
      </w:r>
    </w:p>
    <w:p w14:paraId="52DC0341" w14:textId="77777777" w:rsidR="002956F7" w:rsidRDefault="002956F7" w:rsidP="005C1C10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D75C800" w14:textId="77777777" w:rsidR="005C1C10" w:rsidRPr="005C1C10" w:rsidRDefault="005C1C10" w:rsidP="000D5096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5C1C10">
        <w:rPr>
          <w:rFonts w:ascii="Calibri" w:hAnsi="Calibri" w:cs="Calibri"/>
          <w:b/>
          <w:bCs/>
          <w:sz w:val="24"/>
          <w:szCs w:val="24"/>
        </w:rPr>
        <w:lastRenderedPageBreak/>
        <w:t>Výdaje kapitoly SD související se</w:t>
      </w:r>
      <w:r w:rsidR="0043090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C1C10">
        <w:rPr>
          <w:rFonts w:ascii="Calibri" w:hAnsi="Calibri" w:cs="Calibri"/>
          <w:b/>
          <w:bCs/>
          <w:sz w:val="24"/>
          <w:szCs w:val="24"/>
        </w:rPr>
        <w:t>zahraničními emisemi dluhopisů a na nich navázan</w:t>
      </w:r>
      <w:r w:rsidR="00033900">
        <w:rPr>
          <w:rFonts w:ascii="Calibri" w:hAnsi="Calibri" w:cs="Calibri"/>
          <w:b/>
          <w:bCs/>
          <w:sz w:val="24"/>
          <w:szCs w:val="24"/>
        </w:rPr>
        <w:t>é</w:t>
      </w:r>
      <w:r w:rsidRPr="005C1C10">
        <w:rPr>
          <w:rFonts w:ascii="Calibri" w:hAnsi="Calibri" w:cs="Calibri"/>
          <w:b/>
          <w:bCs/>
          <w:sz w:val="24"/>
          <w:szCs w:val="24"/>
        </w:rPr>
        <w:t xml:space="preserve"> operac</w:t>
      </w:r>
      <w:r w:rsidR="00033900">
        <w:rPr>
          <w:rFonts w:ascii="Calibri" w:hAnsi="Calibri" w:cs="Calibri"/>
          <w:b/>
          <w:bCs/>
          <w:sz w:val="24"/>
          <w:szCs w:val="24"/>
        </w:rPr>
        <w:t>e</w:t>
      </w:r>
      <w:r w:rsidRPr="005C1C10">
        <w:rPr>
          <w:rFonts w:ascii="Calibri" w:hAnsi="Calibri" w:cs="Calibri"/>
          <w:b/>
          <w:bCs/>
          <w:sz w:val="24"/>
          <w:szCs w:val="24"/>
        </w:rPr>
        <w:t xml:space="preserve"> s</w:t>
      </w:r>
      <w:r w:rsidR="0043090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C1C10">
        <w:rPr>
          <w:rFonts w:ascii="Calibri" w:hAnsi="Calibri" w:cs="Calibri"/>
          <w:b/>
          <w:bCs/>
          <w:sz w:val="24"/>
          <w:szCs w:val="24"/>
        </w:rPr>
        <w:t>finančními deriváty</w:t>
      </w:r>
    </w:p>
    <w:p w14:paraId="0A869DB7" w14:textId="77777777" w:rsidR="00A11AFD" w:rsidRDefault="00A11AFD" w:rsidP="005C1C10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95D36AA" w14:textId="0D5761DE" w:rsidR="005C1C10" w:rsidRDefault="005C1C10" w:rsidP="005C1C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C1C10">
        <w:rPr>
          <w:rFonts w:cstheme="minorHAnsi"/>
          <w:color w:val="000000" w:themeColor="text1"/>
          <w:sz w:val="24"/>
          <w:szCs w:val="24"/>
        </w:rPr>
        <w:t>NKÚ prověřil úrokové výdaje zahraničních emisí státních dluhopisů České republiky v</w:t>
      </w:r>
      <w:r w:rsidR="00430901">
        <w:rPr>
          <w:rFonts w:cstheme="minorHAnsi"/>
          <w:color w:val="000000" w:themeColor="text1"/>
          <w:sz w:val="24"/>
          <w:szCs w:val="24"/>
        </w:rPr>
        <w:t xml:space="preserve"> </w:t>
      </w:r>
      <w:r w:rsidRPr="005C1C10">
        <w:rPr>
          <w:rFonts w:cstheme="minorHAnsi"/>
          <w:color w:val="000000" w:themeColor="text1"/>
          <w:sz w:val="24"/>
          <w:szCs w:val="24"/>
        </w:rPr>
        <w:t>celkové výši 3</w:t>
      </w:r>
      <w:r w:rsidR="00950E09">
        <w:rPr>
          <w:rFonts w:cstheme="minorHAnsi"/>
          <w:color w:val="000000" w:themeColor="text1"/>
          <w:sz w:val="24"/>
          <w:szCs w:val="24"/>
        </w:rPr>
        <w:t>,2</w:t>
      </w:r>
      <w:r w:rsidRPr="005C1C10">
        <w:rPr>
          <w:rFonts w:cstheme="minorHAnsi"/>
          <w:color w:val="000000" w:themeColor="text1"/>
          <w:sz w:val="24"/>
          <w:szCs w:val="24"/>
        </w:rPr>
        <w:t xml:space="preserve"> ml</w:t>
      </w:r>
      <w:r w:rsidR="00950E09">
        <w:rPr>
          <w:rFonts w:cstheme="minorHAnsi"/>
          <w:color w:val="000000" w:themeColor="text1"/>
          <w:sz w:val="24"/>
          <w:szCs w:val="24"/>
        </w:rPr>
        <w:t>d</w:t>
      </w:r>
      <w:r w:rsidRPr="005C1C10">
        <w:rPr>
          <w:rFonts w:cstheme="minorHAnsi"/>
          <w:color w:val="000000" w:themeColor="text1"/>
          <w:sz w:val="24"/>
          <w:szCs w:val="24"/>
        </w:rPr>
        <w:t>. Kč a splátky jistin v</w:t>
      </w:r>
      <w:r w:rsidR="00430901">
        <w:rPr>
          <w:rFonts w:cstheme="minorHAnsi"/>
          <w:color w:val="000000" w:themeColor="text1"/>
          <w:sz w:val="24"/>
          <w:szCs w:val="24"/>
        </w:rPr>
        <w:t xml:space="preserve"> </w:t>
      </w:r>
      <w:r w:rsidRPr="005C1C10">
        <w:rPr>
          <w:rFonts w:cstheme="minorHAnsi"/>
          <w:color w:val="000000" w:themeColor="text1"/>
          <w:sz w:val="24"/>
          <w:szCs w:val="24"/>
        </w:rPr>
        <w:t>celkové hodnotě 86</w:t>
      </w:r>
      <w:r w:rsidR="00950E09">
        <w:rPr>
          <w:rFonts w:cstheme="minorHAnsi"/>
          <w:color w:val="000000" w:themeColor="text1"/>
          <w:sz w:val="24"/>
          <w:szCs w:val="24"/>
        </w:rPr>
        <w:t>,4</w:t>
      </w:r>
      <w:r w:rsidRPr="005C1C10">
        <w:rPr>
          <w:rFonts w:cstheme="minorHAnsi"/>
          <w:color w:val="000000" w:themeColor="text1"/>
          <w:sz w:val="24"/>
          <w:szCs w:val="24"/>
        </w:rPr>
        <w:t xml:space="preserve"> ml</w:t>
      </w:r>
      <w:r w:rsidR="00950E09">
        <w:rPr>
          <w:rFonts w:cstheme="minorHAnsi"/>
          <w:color w:val="000000" w:themeColor="text1"/>
          <w:sz w:val="24"/>
          <w:szCs w:val="24"/>
        </w:rPr>
        <w:t>d</w:t>
      </w:r>
      <w:r w:rsidRPr="005C1C10">
        <w:rPr>
          <w:rFonts w:cstheme="minorHAnsi"/>
          <w:color w:val="000000" w:themeColor="text1"/>
          <w:sz w:val="24"/>
          <w:szCs w:val="24"/>
        </w:rPr>
        <w:t>. Kč uhrazené MF v</w:t>
      </w:r>
      <w:r w:rsidR="00430901">
        <w:rPr>
          <w:rFonts w:cstheme="minorHAnsi"/>
          <w:color w:val="000000" w:themeColor="text1"/>
          <w:sz w:val="24"/>
          <w:szCs w:val="24"/>
        </w:rPr>
        <w:t xml:space="preserve"> </w:t>
      </w:r>
      <w:r w:rsidRPr="005C1C10">
        <w:rPr>
          <w:rFonts w:cstheme="minorHAnsi"/>
          <w:color w:val="000000" w:themeColor="text1"/>
          <w:sz w:val="24"/>
          <w:szCs w:val="24"/>
        </w:rPr>
        <w:t xml:space="preserve">průběhu roku 2014. </w:t>
      </w:r>
      <w:r w:rsidRPr="005C1C10">
        <w:rPr>
          <w:rFonts w:ascii="Calibri" w:hAnsi="Calibri" w:cs="Calibri"/>
          <w:sz w:val="24"/>
          <w:szCs w:val="24"/>
        </w:rPr>
        <w:t>Ke kontrole byly vybrány splátky jistin a úrokové výdaje 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roce 2014 související s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1.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emisí eurobond</w:t>
      </w:r>
      <w:r w:rsidR="00752593">
        <w:rPr>
          <w:rFonts w:ascii="Calibri" w:hAnsi="Calibri" w:cs="Calibri"/>
          <w:sz w:val="24"/>
          <w:szCs w:val="24"/>
        </w:rPr>
        <w:t>u</w:t>
      </w:r>
      <w:r w:rsidRPr="005C1C10">
        <w:rPr>
          <w:rFonts w:ascii="Calibri" w:hAnsi="Calibri" w:cs="Calibri"/>
          <w:sz w:val="24"/>
          <w:szCs w:val="24"/>
        </w:rPr>
        <w:t>, se 4. emisí eurobond</w:t>
      </w:r>
      <w:r w:rsidR="00752593">
        <w:rPr>
          <w:rFonts w:ascii="Calibri" w:hAnsi="Calibri" w:cs="Calibri"/>
          <w:sz w:val="24"/>
          <w:szCs w:val="24"/>
        </w:rPr>
        <w:t>u</w:t>
      </w:r>
      <w:r w:rsidRPr="005C1C10">
        <w:rPr>
          <w:rFonts w:ascii="Calibri" w:hAnsi="Calibri" w:cs="Calibri"/>
          <w:sz w:val="24"/>
          <w:szCs w:val="24"/>
        </w:rPr>
        <w:t xml:space="preserve"> </w:t>
      </w:r>
      <w:r w:rsidR="00752593">
        <w:rPr>
          <w:rFonts w:ascii="Calibri" w:hAnsi="Calibri" w:cs="Calibri"/>
          <w:sz w:val="24"/>
          <w:szCs w:val="24"/>
        </w:rPr>
        <w:t>a </w:t>
      </w:r>
      <w:r w:rsidRPr="005C1C10">
        <w:rPr>
          <w:rFonts w:ascii="Calibri" w:hAnsi="Calibri" w:cs="Calibri"/>
          <w:sz w:val="24"/>
          <w:szCs w:val="24"/>
        </w:rPr>
        <w:t>s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1. emisí švýcarských bondů</w:t>
      </w:r>
      <w:r w:rsidR="00752593">
        <w:rPr>
          <w:rFonts w:ascii="Calibri" w:hAnsi="Calibri" w:cs="Calibri"/>
          <w:sz w:val="24"/>
          <w:szCs w:val="24"/>
        </w:rPr>
        <w:t>, dále</w:t>
      </w:r>
      <w:r w:rsidRPr="005C1C10">
        <w:rPr>
          <w:rFonts w:ascii="Calibri" w:hAnsi="Calibri" w:cs="Calibri"/>
          <w:sz w:val="24"/>
          <w:szCs w:val="24"/>
        </w:rPr>
        <w:t xml:space="preserve"> operac</w:t>
      </w:r>
      <w:r w:rsidR="00033900">
        <w:rPr>
          <w:rFonts w:ascii="Calibri" w:hAnsi="Calibri" w:cs="Calibri"/>
          <w:sz w:val="24"/>
          <w:szCs w:val="24"/>
        </w:rPr>
        <w:t>e</w:t>
      </w:r>
      <w:r w:rsidRPr="005C1C10">
        <w:rPr>
          <w:rFonts w:ascii="Calibri" w:hAnsi="Calibri" w:cs="Calibri"/>
          <w:sz w:val="24"/>
          <w:szCs w:val="24"/>
        </w:rPr>
        <w:t xml:space="preserve"> s</w:t>
      </w:r>
      <w:r w:rsidR="00960ACC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>finančními deriváty</w:t>
      </w:r>
      <w:r w:rsidR="00752593">
        <w:rPr>
          <w:rFonts w:ascii="Calibri" w:hAnsi="Calibri" w:cs="Calibri"/>
          <w:sz w:val="24"/>
          <w:szCs w:val="24"/>
        </w:rPr>
        <w:t xml:space="preserve"> navázané na tyto emise</w:t>
      </w:r>
      <w:r w:rsidRPr="005C1C10">
        <w:rPr>
          <w:rFonts w:ascii="Calibri" w:hAnsi="Calibri" w:cs="Calibri"/>
          <w:sz w:val="24"/>
          <w:szCs w:val="24"/>
        </w:rPr>
        <w:t xml:space="preserve"> a </w:t>
      </w:r>
      <w:r w:rsidR="00752593">
        <w:rPr>
          <w:rFonts w:ascii="Calibri" w:hAnsi="Calibri" w:cs="Calibri"/>
          <w:sz w:val="24"/>
          <w:szCs w:val="24"/>
        </w:rPr>
        <w:t>také</w:t>
      </w:r>
      <w:r w:rsidRPr="005C1C10">
        <w:rPr>
          <w:rFonts w:ascii="Calibri" w:hAnsi="Calibri" w:cs="Calibri"/>
          <w:sz w:val="24"/>
          <w:szCs w:val="24"/>
        </w:rPr>
        <w:t xml:space="preserve"> vybrané swapové transakce.</w:t>
      </w:r>
    </w:p>
    <w:p w14:paraId="38071903" w14:textId="77777777" w:rsidR="00EF31A1" w:rsidRPr="005C1C10" w:rsidRDefault="00EF31A1" w:rsidP="005C1C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357483C" w14:textId="77777777" w:rsidR="005C1C10" w:rsidRPr="000D5096" w:rsidRDefault="00E4163A" w:rsidP="00EF31A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D5096">
        <w:rPr>
          <w:rFonts w:ascii="Calibri" w:hAnsi="Calibri" w:cs="Calibri"/>
          <w:b/>
          <w:sz w:val="24"/>
          <w:szCs w:val="24"/>
        </w:rPr>
        <w:t xml:space="preserve">1. </w:t>
      </w:r>
      <w:r w:rsidR="005C1C10" w:rsidRPr="000D5096">
        <w:rPr>
          <w:rFonts w:ascii="Calibri" w:hAnsi="Calibri" w:cs="Calibri"/>
          <w:b/>
          <w:sz w:val="24"/>
          <w:szCs w:val="24"/>
        </w:rPr>
        <w:t>emise eurobondu</w:t>
      </w:r>
    </w:p>
    <w:p w14:paraId="467AC57E" w14:textId="77777777" w:rsidR="00A11AFD" w:rsidRDefault="00A11AFD" w:rsidP="005C1C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EF7463E" w14:textId="2C05D92F" w:rsidR="005C1C10" w:rsidRDefault="005C1C10" w:rsidP="005C1C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C1C10">
        <w:rPr>
          <w:rFonts w:ascii="Calibri" w:hAnsi="Calibri" w:cs="Calibri"/>
          <w:sz w:val="24"/>
          <w:szCs w:val="24"/>
        </w:rPr>
        <w:t>Eurobond České republiky 4,625 % ISIN: XS0194957527 (dále také „1. emise eurobondu“) byl vydán dne 23. června 2004 v celkové jmenovité hodnotě 1</w:t>
      </w:r>
      <w:r w:rsidR="00DD6902">
        <w:rPr>
          <w:rFonts w:ascii="Calibri" w:hAnsi="Calibri" w:cs="Calibri"/>
          <w:sz w:val="24"/>
          <w:szCs w:val="24"/>
        </w:rPr>
        <w:t>,</w:t>
      </w:r>
      <w:r w:rsidRPr="005C1C10">
        <w:rPr>
          <w:rFonts w:ascii="Calibri" w:hAnsi="Calibri" w:cs="Calibri"/>
          <w:sz w:val="24"/>
          <w:szCs w:val="24"/>
        </w:rPr>
        <w:t>5</w:t>
      </w:r>
      <w:r w:rsidR="00DD6902">
        <w:rPr>
          <w:rFonts w:ascii="Calibri" w:hAnsi="Calibri" w:cs="Calibri"/>
          <w:sz w:val="24"/>
          <w:szCs w:val="24"/>
        </w:rPr>
        <w:t xml:space="preserve"> mld. </w:t>
      </w:r>
      <w:r w:rsidR="00752593">
        <w:rPr>
          <w:rFonts w:ascii="Calibri" w:hAnsi="Calibri" w:cs="Calibri"/>
          <w:sz w:val="24"/>
          <w:szCs w:val="24"/>
        </w:rPr>
        <w:t>€</w:t>
      </w:r>
      <w:r w:rsidRPr="005C1C10">
        <w:rPr>
          <w:rFonts w:ascii="Calibri" w:hAnsi="Calibri" w:cs="Calibri"/>
          <w:sz w:val="24"/>
          <w:szCs w:val="24"/>
        </w:rPr>
        <w:t>. K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zajištění měnového a</w:t>
      </w:r>
      <w:r w:rsidR="00960ACC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 xml:space="preserve">úrokového rizika při splátce jistiny a 10. kupónu této emise eurobondu uzavřelo Ministerstvo financí 12 </w:t>
      </w:r>
      <w:r w:rsidR="004F7CB4">
        <w:rPr>
          <w:rFonts w:ascii="Calibri" w:hAnsi="Calibri" w:cs="Calibri"/>
          <w:sz w:val="24"/>
          <w:szCs w:val="24"/>
        </w:rPr>
        <w:t>swapových</w:t>
      </w:r>
      <w:r w:rsidRPr="005C1C10">
        <w:rPr>
          <w:rFonts w:ascii="Calibri" w:hAnsi="Calibri" w:cs="Calibri"/>
          <w:sz w:val="24"/>
          <w:szCs w:val="24"/>
        </w:rPr>
        <w:t xml:space="preserve"> operací – devět úrokových swapů (7</w:t>
      </w:r>
      <w:r w:rsidR="00DD749A">
        <w:rPr>
          <w:rFonts w:ascii="Calibri" w:hAnsi="Calibri" w:cs="Calibri"/>
          <w:sz w:val="24"/>
          <w:szCs w:val="24"/>
        </w:rPr>
        <w:t>krát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0D5096">
        <w:rPr>
          <w:rFonts w:ascii="Calibri" w:hAnsi="Calibri" w:cs="Calibri"/>
          <w:i/>
          <w:sz w:val="24"/>
          <w:szCs w:val="24"/>
        </w:rPr>
        <w:t>Fix-Float</w:t>
      </w:r>
      <w:r w:rsidRPr="005C1C10">
        <w:rPr>
          <w:rFonts w:ascii="Calibri" w:hAnsi="Calibri" w:cs="Calibri"/>
          <w:sz w:val="24"/>
          <w:szCs w:val="24"/>
        </w:rPr>
        <w:t>, 2</w:t>
      </w:r>
      <w:r w:rsidR="00DD749A">
        <w:rPr>
          <w:rFonts w:ascii="Calibri" w:hAnsi="Calibri" w:cs="Calibri"/>
          <w:sz w:val="24"/>
          <w:szCs w:val="24"/>
        </w:rPr>
        <w:t>krát</w:t>
      </w:r>
      <w:r w:rsidRPr="005C1C10">
        <w:rPr>
          <w:rFonts w:ascii="Calibri" w:hAnsi="Calibri" w:cs="Calibri"/>
          <w:sz w:val="24"/>
          <w:szCs w:val="24"/>
        </w:rPr>
        <w:t xml:space="preserve"> </w:t>
      </w:r>
      <w:r w:rsidRPr="000D5096">
        <w:rPr>
          <w:rFonts w:ascii="Calibri" w:hAnsi="Calibri" w:cs="Calibri"/>
          <w:i/>
          <w:sz w:val="24"/>
          <w:szCs w:val="24"/>
        </w:rPr>
        <w:t>Float-Float</w:t>
      </w:r>
      <w:r w:rsidRPr="005C1C10">
        <w:rPr>
          <w:rFonts w:ascii="Calibri" w:hAnsi="Calibri" w:cs="Calibri"/>
          <w:sz w:val="24"/>
          <w:szCs w:val="24"/>
        </w:rPr>
        <w:t xml:space="preserve">) a tři měnové swapy (EUR-CZK, 1 </w:t>
      </w:r>
      <w:r w:rsidRPr="000D5096">
        <w:rPr>
          <w:rFonts w:ascii="Calibri" w:hAnsi="Calibri" w:cs="Calibri"/>
          <w:i/>
          <w:sz w:val="24"/>
          <w:szCs w:val="24"/>
        </w:rPr>
        <w:t>Fix-Float</w:t>
      </w:r>
      <w:r w:rsidRPr="005C1C10">
        <w:rPr>
          <w:rFonts w:ascii="Calibri" w:hAnsi="Calibri" w:cs="Calibri"/>
          <w:sz w:val="24"/>
          <w:szCs w:val="24"/>
        </w:rPr>
        <w:t>, 2</w:t>
      </w:r>
      <w:r w:rsidR="00DD749A">
        <w:rPr>
          <w:rFonts w:ascii="Calibri" w:hAnsi="Calibri" w:cs="Calibri"/>
          <w:sz w:val="24"/>
          <w:szCs w:val="24"/>
        </w:rPr>
        <w:t>krát</w:t>
      </w:r>
      <w:r w:rsidRPr="005C1C10">
        <w:rPr>
          <w:rFonts w:ascii="Calibri" w:hAnsi="Calibri" w:cs="Calibri"/>
          <w:sz w:val="24"/>
          <w:szCs w:val="24"/>
        </w:rPr>
        <w:t xml:space="preserve"> </w:t>
      </w:r>
      <w:r w:rsidRPr="000D5096">
        <w:rPr>
          <w:rFonts w:ascii="Calibri" w:hAnsi="Calibri" w:cs="Calibri"/>
          <w:i/>
          <w:sz w:val="24"/>
          <w:szCs w:val="24"/>
        </w:rPr>
        <w:t>Float-Float</w:t>
      </w:r>
      <w:r w:rsidRPr="005C1C10">
        <w:rPr>
          <w:rFonts w:ascii="Calibri" w:hAnsi="Calibri" w:cs="Calibri"/>
          <w:sz w:val="24"/>
          <w:szCs w:val="24"/>
        </w:rPr>
        <w:t xml:space="preserve">). Ve dnech 20. a 23. </w:t>
      </w:r>
      <w:r w:rsidR="003B55E6">
        <w:rPr>
          <w:rFonts w:ascii="Calibri" w:hAnsi="Calibri" w:cs="Calibri"/>
          <w:sz w:val="24"/>
          <w:szCs w:val="24"/>
        </w:rPr>
        <w:t xml:space="preserve">6. </w:t>
      </w:r>
      <w:r w:rsidRPr="005C1C10">
        <w:rPr>
          <w:rFonts w:ascii="Calibri" w:hAnsi="Calibri" w:cs="Calibri"/>
          <w:sz w:val="24"/>
          <w:szCs w:val="24"/>
        </w:rPr>
        <w:t>2014 došlo ke splacení jistiny a</w:t>
      </w:r>
      <w:r w:rsidR="00960ACC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>10. kupónu a k vypořádání souvisejících operací sloužících k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zajištění tržního rizika jistiny a</w:t>
      </w:r>
      <w:r w:rsidR="00960ACC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 xml:space="preserve">kupónů dluhopisu. </w:t>
      </w:r>
    </w:p>
    <w:p w14:paraId="1F4E9FB4" w14:textId="77777777" w:rsidR="00854B25" w:rsidRPr="005C1C10" w:rsidRDefault="00854B25" w:rsidP="005C1C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6517484" w14:textId="3A0C88F2" w:rsidR="005C1C10" w:rsidRDefault="005C1C10" w:rsidP="005C1C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C1C10">
        <w:rPr>
          <w:rFonts w:ascii="Calibri" w:hAnsi="Calibri" w:cs="Calibri"/>
          <w:sz w:val="24"/>
          <w:szCs w:val="24"/>
        </w:rPr>
        <w:t>Úrokové výdaje z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 xml:space="preserve">těchto </w:t>
      </w:r>
      <w:r w:rsidR="00567651">
        <w:rPr>
          <w:rFonts w:ascii="Calibri" w:hAnsi="Calibri" w:cs="Calibri"/>
          <w:sz w:val="24"/>
          <w:szCs w:val="24"/>
        </w:rPr>
        <w:t xml:space="preserve">swapových </w:t>
      </w:r>
      <w:r w:rsidRPr="005C1C10">
        <w:rPr>
          <w:rFonts w:ascii="Calibri" w:hAnsi="Calibri" w:cs="Calibri"/>
          <w:sz w:val="24"/>
          <w:szCs w:val="24"/>
        </w:rPr>
        <w:t>transakcí za rok 2014 činily 988,9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mil.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Kč. Úrokové výdaje specifikované u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1.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emise eurobondu 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návrhu SZÚ</w:t>
      </w:r>
      <w:r w:rsidR="00114F13">
        <w:rPr>
          <w:rFonts w:ascii="Calibri" w:hAnsi="Calibri" w:cs="Calibri"/>
          <w:sz w:val="24"/>
          <w:szCs w:val="24"/>
        </w:rPr>
        <w:t xml:space="preserve"> za rok 2014</w:t>
      </w:r>
      <w:r w:rsidRPr="005C1C10">
        <w:rPr>
          <w:rFonts w:ascii="Calibri" w:hAnsi="Calibri" w:cs="Calibri"/>
          <w:sz w:val="24"/>
          <w:szCs w:val="24"/>
        </w:rPr>
        <w:t xml:space="preserve">, </w:t>
      </w:r>
      <w:r w:rsidR="00752593">
        <w:rPr>
          <w:rFonts w:ascii="Calibri" w:hAnsi="Calibri" w:cs="Calibri"/>
          <w:sz w:val="24"/>
          <w:szCs w:val="24"/>
        </w:rPr>
        <w:t>v příloze č. 3 v </w:t>
      </w:r>
      <w:r w:rsidRPr="005C1C10">
        <w:rPr>
          <w:rFonts w:ascii="Calibri" w:hAnsi="Calibri" w:cs="Calibri"/>
          <w:sz w:val="24"/>
          <w:szCs w:val="24"/>
        </w:rPr>
        <w:t xml:space="preserve">části E. </w:t>
      </w:r>
      <w:r w:rsidRPr="000D5096">
        <w:rPr>
          <w:rFonts w:ascii="Calibri" w:hAnsi="Calibri" w:cs="Calibri"/>
          <w:i/>
          <w:sz w:val="24"/>
          <w:szCs w:val="24"/>
        </w:rPr>
        <w:t>Zpráva o</w:t>
      </w:r>
      <w:r w:rsidR="00752593" w:rsidRPr="000D5096">
        <w:rPr>
          <w:rFonts w:ascii="Calibri" w:hAnsi="Calibri" w:cs="Calibri"/>
          <w:i/>
          <w:sz w:val="24"/>
          <w:szCs w:val="24"/>
        </w:rPr>
        <w:t> </w:t>
      </w:r>
      <w:r w:rsidRPr="000D5096">
        <w:rPr>
          <w:rFonts w:ascii="Calibri" w:hAnsi="Calibri" w:cs="Calibri"/>
          <w:i/>
          <w:sz w:val="24"/>
          <w:szCs w:val="24"/>
        </w:rPr>
        <w:t>řízení státního dluhu</w:t>
      </w:r>
      <w:r w:rsidRPr="005C1C10">
        <w:rPr>
          <w:rFonts w:ascii="Calibri" w:hAnsi="Calibri" w:cs="Calibri"/>
          <w:sz w:val="24"/>
          <w:szCs w:val="24"/>
        </w:rPr>
        <w:t xml:space="preserve"> nebyly uvedeny ve správné výši, </w:t>
      </w:r>
      <w:r w:rsidR="00752593">
        <w:rPr>
          <w:rFonts w:ascii="Calibri" w:hAnsi="Calibri" w:cs="Calibri"/>
          <w:sz w:val="24"/>
          <w:szCs w:val="24"/>
        </w:rPr>
        <w:t>neboť</w:t>
      </w:r>
      <w:r w:rsidRPr="005C1C10">
        <w:rPr>
          <w:rFonts w:ascii="Calibri" w:hAnsi="Calibri" w:cs="Calibri"/>
          <w:sz w:val="24"/>
          <w:szCs w:val="24"/>
        </w:rPr>
        <w:t xml:space="preserve"> MF mimo úrokových výdajů z</w:t>
      </w:r>
      <w:r w:rsidR="00960ACC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>12</w:t>
      </w:r>
      <w:r w:rsidR="00960ACC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>uvedených swapových operací ukončených 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 xml:space="preserve">roce 2014 započítalo také úrokové platby ve výši 281,6 mil. Kč ze swapů, které se nevztahovaly k </w:t>
      </w:r>
      <w:r w:rsidR="002D3A82">
        <w:rPr>
          <w:rFonts w:ascii="Calibri" w:hAnsi="Calibri" w:cs="Calibri"/>
          <w:sz w:val="24"/>
          <w:szCs w:val="24"/>
        </w:rPr>
        <w:t>1</w:t>
      </w:r>
      <w:r w:rsidR="002D3A82" w:rsidRPr="005C1C10">
        <w:rPr>
          <w:rFonts w:ascii="Calibri" w:hAnsi="Calibri" w:cs="Calibri"/>
          <w:sz w:val="24"/>
          <w:szCs w:val="24"/>
        </w:rPr>
        <w:t>.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="002D3A82" w:rsidRPr="005C1C10">
        <w:rPr>
          <w:rFonts w:ascii="Calibri" w:hAnsi="Calibri" w:cs="Calibri"/>
          <w:sz w:val="24"/>
          <w:szCs w:val="24"/>
        </w:rPr>
        <w:t>emis</w:t>
      </w:r>
      <w:r w:rsidR="002D3A82">
        <w:rPr>
          <w:rFonts w:ascii="Calibri" w:hAnsi="Calibri" w:cs="Calibri"/>
          <w:sz w:val="24"/>
          <w:szCs w:val="24"/>
        </w:rPr>
        <w:t>i</w:t>
      </w:r>
      <w:r w:rsidR="002D3A82" w:rsidRPr="005C1C10">
        <w:rPr>
          <w:rFonts w:ascii="Calibri" w:hAnsi="Calibri" w:cs="Calibri"/>
          <w:sz w:val="24"/>
          <w:szCs w:val="24"/>
        </w:rPr>
        <w:t xml:space="preserve"> eurobondu</w:t>
      </w:r>
      <w:r w:rsidRPr="005C1C10">
        <w:rPr>
          <w:rFonts w:ascii="Calibri" w:hAnsi="Calibri" w:cs="Calibri"/>
          <w:sz w:val="24"/>
          <w:szCs w:val="24"/>
        </w:rPr>
        <w:t xml:space="preserve">. </w:t>
      </w:r>
    </w:p>
    <w:p w14:paraId="1DEFA14E" w14:textId="77777777" w:rsidR="00854B25" w:rsidRPr="005C1C10" w:rsidRDefault="00854B25" w:rsidP="005C1C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D0BED67" w14:textId="4C0273B9" w:rsidR="00F07650" w:rsidRDefault="005C1C10" w:rsidP="00F0765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C1C10">
        <w:rPr>
          <w:rFonts w:ascii="Calibri" w:hAnsi="Calibri" w:cs="Calibri"/>
          <w:sz w:val="24"/>
          <w:szCs w:val="24"/>
        </w:rPr>
        <w:t>Ministerstv</w:t>
      </w:r>
      <w:r w:rsidR="00D00C5D">
        <w:rPr>
          <w:rFonts w:ascii="Calibri" w:hAnsi="Calibri" w:cs="Calibri"/>
          <w:sz w:val="24"/>
          <w:szCs w:val="24"/>
        </w:rPr>
        <w:t>o</w:t>
      </w:r>
      <w:r w:rsidRPr="005C1C10">
        <w:rPr>
          <w:rFonts w:ascii="Calibri" w:hAnsi="Calibri" w:cs="Calibri"/>
          <w:sz w:val="24"/>
          <w:szCs w:val="24"/>
        </w:rPr>
        <w:t xml:space="preserve"> financí </w:t>
      </w:r>
      <w:r w:rsidR="00D00C5D" w:rsidRPr="005C1C10">
        <w:rPr>
          <w:rFonts w:ascii="Calibri" w:hAnsi="Calibri" w:cs="Calibri"/>
          <w:sz w:val="24"/>
          <w:szCs w:val="24"/>
        </w:rPr>
        <w:t>vyčísl</w:t>
      </w:r>
      <w:r w:rsidR="00D00C5D">
        <w:rPr>
          <w:rFonts w:ascii="Calibri" w:hAnsi="Calibri" w:cs="Calibri"/>
          <w:sz w:val="24"/>
          <w:szCs w:val="24"/>
        </w:rPr>
        <w:t>ilo</w:t>
      </w:r>
      <w:r w:rsidR="00D00C5D" w:rsidRPr="005C1C10">
        <w:rPr>
          <w:rFonts w:ascii="Calibri" w:hAnsi="Calibri" w:cs="Calibri"/>
          <w:sz w:val="24"/>
          <w:szCs w:val="24"/>
        </w:rPr>
        <w:t xml:space="preserve"> k 31. 12. 2014 </w:t>
      </w:r>
      <w:r w:rsidRPr="005C1C10">
        <w:rPr>
          <w:rFonts w:ascii="Calibri" w:hAnsi="Calibri" w:cs="Calibri"/>
          <w:sz w:val="24"/>
          <w:szCs w:val="24"/>
        </w:rPr>
        <w:t xml:space="preserve">celkový dopad </w:t>
      </w:r>
      <w:r w:rsidR="00D00C5D">
        <w:rPr>
          <w:rFonts w:ascii="Calibri" w:hAnsi="Calibri" w:cs="Calibri"/>
          <w:sz w:val="24"/>
          <w:szCs w:val="24"/>
        </w:rPr>
        <w:t xml:space="preserve">zajišťujících </w:t>
      </w:r>
      <w:r w:rsidRPr="005C1C10">
        <w:rPr>
          <w:rFonts w:ascii="Calibri" w:hAnsi="Calibri" w:cs="Calibri"/>
          <w:sz w:val="24"/>
          <w:szCs w:val="24"/>
        </w:rPr>
        <w:t xml:space="preserve">swapových transakcí na čisté úrokové výdaje státního rozpočtu </w:t>
      </w:r>
      <w:r w:rsidR="004D47F8">
        <w:rPr>
          <w:rFonts w:ascii="Calibri" w:hAnsi="Calibri" w:cs="Calibri"/>
          <w:sz w:val="24"/>
          <w:szCs w:val="24"/>
        </w:rPr>
        <w:t>o</w:t>
      </w:r>
      <w:r w:rsidR="001946CC" w:rsidRPr="005C1C10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321 mil. Kč vyšší oproti teoretickým výdajům bez zajišťujících operací. MF do této kalkulace zahrnulo také transakci</w:t>
      </w:r>
      <w:r w:rsidRPr="005C1C10">
        <w:rPr>
          <w:rFonts w:ascii="Times New Roman" w:hAnsi="Times New Roman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označenou 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cstheme="minorHAnsi"/>
          <w:color w:val="000000" w:themeColor="text1"/>
          <w:sz w:val="24"/>
          <w:szCs w:val="24"/>
        </w:rPr>
        <w:t>informačním systému</w:t>
      </w:r>
      <w:r w:rsidR="00114F13">
        <w:rPr>
          <w:rFonts w:cstheme="minorHAnsi"/>
          <w:color w:val="000000" w:themeColor="text1"/>
          <w:sz w:val="24"/>
          <w:szCs w:val="24"/>
        </w:rPr>
        <w:t xml:space="preserve"> MF</w:t>
      </w:r>
      <w:r w:rsidRPr="005C1C10">
        <w:rPr>
          <w:rFonts w:cstheme="minorHAnsi"/>
          <w:color w:val="000000" w:themeColor="text1"/>
          <w:sz w:val="24"/>
          <w:szCs w:val="24"/>
        </w:rPr>
        <w:t xml:space="preserve"> </w:t>
      </w:r>
      <w:r w:rsidRPr="000D5096">
        <w:rPr>
          <w:rFonts w:cstheme="minorHAnsi"/>
          <w:i/>
          <w:color w:val="000000" w:themeColor="text1"/>
          <w:sz w:val="24"/>
          <w:szCs w:val="24"/>
        </w:rPr>
        <w:t>Wallstreet Suite</w:t>
      </w:r>
      <w:r w:rsidRPr="005C1C10">
        <w:rPr>
          <w:rFonts w:ascii="Calibri" w:hAnsi="Calibri" w:cs="Calibri"/>
          <w:sz w:val="24"/>
          <w:szCs w:val="24"/>
        </w:rPr>
        <w:t xml:space="preserve"> č</w:t>
      </w:r>
      <w:r w:rsidR="00DD749A">
        <w:rPr>
          <w:rFonts w:ascii="Calibri" w:hAnsi="Calibri" w:cs="Calibri"/>
          <w:sz w:val="24"/>
          <w:szCs w:val="24"/>
        </w:rPr>
        <w:t>íslem</w:t>
      </w:r>
      <w:r w:rsidRPr="005C1C10">
        <w:rPr>
          <w:rFonts w:ascii="Calibri" w:hAnsi="Calibri" w:cs="Calibri"/>
          <w:sz w:val="24"/>
          <w:szCs w:val="24"/>
        </w:rPr>
        <w:t xml:space="preserve"> 89136, tzv.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úrokovou swapci (úrokový swap s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opcí)</w:t>
      </w:r>
      <w:r w:rsidR="00DD749A">
        <w:rPr>
          <w:rFonts w:ascii="Calibri" w:hAnsi="Calibri" w:cs="Calibri"/>
          <w:sz w:val="24"/>
          <w:szCs w:val="24"/>
        </w:rPr>
        <w:t>,</w:t>
      </w:r>
      <w:r w:rsidRPr="005C1C10">
        <w:rPr>
          <w:rFonts w:ascii="Calibri" w:hAnsi="Calibri" w:cs="Calibri"/>
          <w:sz w:val="24"/>
          <w:szCs w:val="24"/>
        </w:rPr>
        <w:t xml:space="preserve"> uzavřenou dne 28. 6. 2004, z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 xml:space="preserve">níž </w:t>
      </w:r>
      <w:r w:rsidR="00752593">
        <w:rPr>
          <w:rFonts w:ascii="Calibri" w:hAnsi="Calibri" w:cs="Calibri"/>
          <w:sz w:val="24"/>
          <w:szCs w:val="24"/>
        </w:rPr>
        <w:t xml:space="preserve">se </w:t>
      </w:r>
      <w:r w:rsidRPr="005C1C10">
        <w:rPr>
          <w:rFonts w:ascii="Calibri" w:hAnsi="Calibri" w:cs="Calibri"/>
          <w:sz w:val="24"/>
          <w:szCs w:val="24"/>
        </w:rPr>
        <w:t>úrokové platby</w:t>
      </w:r>
      <w:r w:rsidR="006E2FCF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 xml:space="preserve">začaly </w:t>
      </w:r>
      <w:r w:rsidR="006E2FCF">
        <w:rPr>
          <w:rFonts w:ascii="Calibri" w:hAnsi="Calibri" w:cs="Calibri"/>
          <w:sz w:val="24"/>
          <w:szCs w:val="24"/>
        </w:rPr>
        <w:t>realizovat</w:t>
      </w:r>
      <w:r w:rsidR="006E2FCF" w:rsidRPr="005C1C10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až v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prosinci 2014, tedy po splatnosti emise eurobondu (červen 2014)</w:t>
      </w:r>
      <w:r w:rsidR="00752593">
        <w:rPr>
          <w:rFonts w:ascii="Calibri" w:hAnsi="Calibri" w:cs="Calibri"/>
          <w:sz w:val="24"/>
          <w:szCs w:val="24"/>
        </w:rPr>
        <w:t>,</w:t>
      </w:r>
      <w:r w:rsidRPr="005C1C10">
        <w:rPr>
          <w:rFonts w:ascii="Calibri" w:hAnsi="Calibri" w:cs="Calibri"/>
          <w:sz w:val="24"/>
          <w:szCs w:val="24"/>
        </w:rPr>
        <w:t xml:space="preserve"> a platby budou probíhat až do roku 2024. Tržní hodnota </w:t>
      </w:r>
      <w:r w:rsidR="00DC3443">
        <w:rPr>
          <w:rFonts w:ascii="Calibri" w:hAnsi="Calibri" w:cs="Calibri"/>
          <w:sz w:val="24"/>
          <w:szCs w:val="24"/>
        </w:rPr>
        <w:t>swapce</w:t>
      </w:r>
      <w:r w:rsidRPr="005C1C10">
        <w:rPr>
          <w:rFonts w:ascii="Calibri" w:hAnsi="Calibri" w:cs="Calibri"/>
          <w:sz w:val="24"/>
          <w:szCs w:val="24"/>
        </w:rPr>
        <w:t xml:space="preserve"> ke dni 31.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12.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2014 uvedená 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dokumentaci inventarizace za rok 2014 činila minus 2</w:t>
      </w:r>
      <w:r w:rsidR="00960ACC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>647,9</w:t>
      </w:r>
      <w:r w:rsidR="00960ACC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>mil.</w:t>
      </w:r>
      <w:r w:rsidR="00960ACC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 xml:space="preserve">Kč </w:t>
      </w:r>
      <w:r w:rsidR="00974F22">
        <w:rPr>
          <w:rFonts w:ascii="Calibri" w:hAnsi="Calibri" w:cs="Calibri"/>
          <w:sz w:val="24"/>
          <w:szCs w:val="24"/>
        </w:rPr>
        <w:t>z pohledu</w:t>
      </w:r>
      <w:r w:rsidRPr="005C1C10">
        <w:rPr>
          <w:rFonts w:ascii="Calibri" w:hAnsi="Calibri" w:cs="Calibri"/>
          <w:sz w:val="24"/>
          <w:szCs w:val="24"/>
        </w:rPr>
        <w:t xml:space="preserve"> MF. Konečný výsledek je závislý na dalším vývoji eurových úrokových sazeb a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 xml:space="preserve">závěrečné vyhodnocení swapcové transakce je možné učinit až po ukončení úrokových plateb v roce 2024. </w:t>
      </w:r>
      <w:r w:rsidR="00F07650">
        <w:rPr>
          <w:rFonts w:ascii="Calibri" w:hAnsi="Calibri" w:cs="Calibri"/>
          <w:sz w:val="24"/>
          <w:szCs w:val="24"/>
        </w:rPr>
        <w:t>Úr</w:t>
      </w:r>
      <w:r w:rsidR="00F07650" w:rsidRPr="00F430D3">
        <w:rPr>
          <w:rFonts w:ascii="Calibri" w:hAnsi="Calibri" w:cs="Calibri"/>
          <w:sz w:val="24"/>
          <w:szCs w:val="24"/>
        </w:rPr>
        <w:t>okové výdaje státního rozpočtu</w:t>
      </w:r>
      <w:r w:rsidR="00F07650">
        <w:rPr>
          <w:rFonts w:ascii="Calibri" w:hAnsi="Calibri" w:cs="Calibri"/>
          <w:sz w:val="24"/>
          <w:szCs w:val="24"/>
        </w:rPr>
        <w:t xml:space="preserve"> a dopady swapových transakcí u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="00F07650" w:rsidRPr="00F430D3">
        <w:rPr>
          <w:rFonts w:ascii="Calibri" w:hAnsi="Calibri" w:cs="Calibri"/>
          <w:sz w:val="24"/>
          <w:szCs w:val="24"/>
        </w:rPr>
        <w:t>1.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="00F07650" w:rsidRPr="00F430D3">
        <w:rPr>
          <w:rFonts w:ascii="Calibri" w:hAnsi="Calibri" w:cs="Calibri"/>
          <w:sz w:val="24"/>
          <w:szCs w:val="24"/>
        </w:rPr>
        <w:t>emis</w:t>
      </w:r>
      <w:r w:rsidR="00F07650">
        <w:rPr>
          <w:rFonts w:ascii="Calibri" w:hAnsi="Calibri" w:cs="Calibri"/>
          <w:sz w:val="24"/>
          <w:szCs w:val="24"/>
        </w:rPr>
        <w:t>e</w:t>
      </w:r>
      <w:r w:rsidR="00F07650" w:rsidRPr="00F430D3">
        <w:rPr>
          <w:rFonts w:ascii="Calibri" w:hAnsi="Calibri" w:cs="Calibri"/>
          <w:sz w:val="24"/>
          <w:szCs w:val="24"/>
        </w:rPr>
        <w:t xml:space="preserve"> eurobondu</w:t>
      </w:r>
      <w:r w:rsidR="00F07650">
        <w:rPr>
          <w:rFonts w:ascii="Calibri" w:hAnsi="Calibri" w:cs="Calibri"/>
          <w:sz w:val="24"/>
          <w:szCs w:val="24"/>
        </w:rPr>
        <w:t xml:space="preserve"> jsou uvedeny v tabul</w:t>
      </w:r>
      <w:r w:rsidR="00C31D5F">
        <w:rPr>
          <w:rFonts w:ascii="Calibri" w:hAnsi="Calibri" w:cs="Calibri"/>
          <w:sz w:val="24"/>
          <w:szCs w:val="24"/>
        </w:rPr>
        <w:t>ce</w:t>
      </w:r>
      <w:r w:rsidR="00F07650">
        <w:rPr>
          <w:rFonts w:ascii="Calibri" w:hAnsi="Calibri" w:cs="Calibri"/>
          <w:sz w:val="24"/>
          <w:szCs w:val="24"/>
        </w:rPr>
        <w:t xml:space="preserve"> č. </w:t>
      </w:r>
      <w:r w:rsidR="00912B79">
        <w:rPr>
          <w:rFonts w:ascii="Calibri" w:hAnsi="Calibri" w:cs="Calibri"/>
          <w:sz w:val="24"/>
          <w:szCs w:val="24"/>
        </w:rPr>
        <w:t>7</w:t>
      </w:r>
      <w:r w:rsidR="00F07650">
        <w:rPr>
          <w:rFonts w:ascii="Calibri" w:hAnsi="Calibri" w:cs="Calibri"/>
          <w:sz w:val="24"/>
          <w:szCs w:val="24"/>
        </w:rPr>
        <w:t>.</w:t>
      </w:r>
    </w:p>
    <w:p w14:paraId="1D9F4783" w14:textId="687591B7" w:rsidR="00D80365" w:rsidRDefault="00D80365">
      <w:pPr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br w:type="page"/>
      </w:r>
    </w:p>
    <w:p w14:paraId="02871DD2" w14:textId="06520719" w:rsidR="00F07650" w:rsidRPr="00430901" w:rsidRDefault="00F07650" w:rsidP="00F07650">
      <w:pPr>
        <w:spacing w:after="0" w:line="240" w:lineRule="auto"/>
        <w:ind w:left="1418" w:hanging="1418"/>
        <w:jc w:val="both"/>
        <w:rPr>
          <w:b/>
          <w:sz w:val="24"/>
          <w:szCs w:val="24"/>
        </w:rPr>
      </w:pPr>
      <w:r w:rsidRPr="00430901">
        <w:rPr>
          <w:b/>
          <w:sz w:val="24"/>
          <w:szCs w:val="24"/>
        </w:rPr>
        <w:lastRenderedPageBreak/>
        <w:t xml:space="preserve">Tabulka č. </w:t>
      </w:r>
      <w:r w:rsidR="00912B79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 –</w:t>
      </w:r>
      <w:r>
        <w:rPr>
          <w:b/>
          <w:sz w:val="24"/>
          <w:szCs w:val="24"/>
        </w:rPr>
        <w:tab/>
      </w:r>
      <w:r w:rsidRPr="00430901">
        <w:rPr>
          <w:b/>
          <w:sz w:val="24"/>
          <w:szCs w:val="24"/>
        </w:rPr>
        <w:t xml:space="preserve">1. emise eurobondu (XS0194957527) </w:t>
      </w:r>
      <w:r>
        <w:rPr>
          <w:b/>
          <w:sz w:val="24"/>
          <w:szCs w:val="24"/>
        </w:rPr>
        <w:t>–</w:t>
      </w:r>
      <w:r w:rsidRPr="00430901">
        <w:rPr>
          <w:b/>
          <w:sz w:val="24"/>
          <w:szCs w:val="24"/>
        </w:rPr>
        <w:t xml:space="preserve"> nákladovost pro státní rozpočet se zahrnutím swapce</w:t>
      </w:r>
    </w:p>
    <w:tbl>
      <w:tblPr>
        <w:tblStyle w:val="Mkatabulky"/>
        <w:tblW w:w="4862" w:type="pct"/>
        <w:jc w:val="center"/>
        <w:tblLook w:val="04A0" w:firstRow="1" w:lastRow="0" w:firstColumn="1" w:lastColumn="0" w:noHBand="0" w:noVBand="1"/>
      </w:tblPr>
      <w:tblGrid>
        <w:gridCol w:w="7087"/>
        <w:gridCol w:w="2267"/>
      </w:tblGrid>
      <w:tr w:rsidR="00A11AFD" w:rsidRPr="00A11AFD" w14:paraId="4AEFD4DA" w14:textId="77777777" w:rsidTr="00A11AFD">
        <w:trPr>
          <w:trHeight w:val="227"/>
          <w:jc w:val="center"/>
        </w:trPr>
        <w:tc>
          <w:tcPr>
            <w:tcW w:w="3788" w:type="pct"/>
            <w:vAlign w:val="center"/>
          </w:tcPr>
          <w:p w14:paraId="148FC1BB" w14:textId="13FBFCC7" w:rsidR="00F07650" w:rsidRPr="00A11AFD" w:rsidRDefault="00F07650" w:rsidP="00A11AFD">
            <w:pPr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Čisté úrokové výdaje – po zahrnutí uplatněné swapce (</w:t>
            </w:r>
            <w:r w:rsidR="00DD749A">
              <w:rPr>
                <w:rFonts w:ascii="Calibri" w:hAnsi="Calibri" w:cs="Calibri"/>
                <w:sz w:val="20"/>
                <w:szCs w:val="20"/>
              </w:rPr>
              <w:t>v </w:t>
            </w:r>
            <w:r w:rsidRPr="00A11AFD">
              <w:rPr>
                <w:rFonts w:ascii="Calibri" w:hAnsi="Calibri" w:cs="Calibri"/>
                <w:sz w:val="20"/>
                <w:szCs w:val="20"/>
              </w:rPr>
              <w:t>Kč)</w:t>
            </w:r>
          </w:p>
        </w:tc>
        <w:tc>
          <w:tcPr>
            <w:tcW w:w="1212" w:type="pct"/>
            <w:vAlign w:val="center"/>
          </w:tcPr>
          <w:p w14:paraId="6A07DE80" w14:textId="77777777" w:rsidR="00F07650" w:rsidRPr="00A11AFD" w:rsidRDefault="00F07650" w:rsidP="00A11A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18 814 656 639</w:t>
            </w:r>
          </w:p>
        </w:tc>
      </w:tr>
      <w:tr w:rsidR="00A11AFD" w:rsidRPr="00A11AFD" w14:paraId="71FDA398" w14:textId="77777777" w:rsidTr="00A11AFD">
        <w:trPr>
          <w:trHeight w:val="227"/>
          <w:jc w:val="center"/>
        </w:trPr>
        <w:tc>
          <w:tcPr>
            <w:tcW w:w="3788" w:type="pct"/>
            <w:vAlign w:val="center"/>
          </w:tcPr>
          <w:p w14:paraId="6DC58ECD" w14:textId="77777777" w:rsidR="00F07650" w:rsidRPr="00A11AFD" w:rsidRDefault="00F07650" w:rsidP="00A11AFD">
            <w:pPr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Čisté úrokové výdaje (p. a.)</w:t>
            </w:r>
          </w:p>
        </w:tc>
        <w:tc>
          <w:tcPr>
            <w:tcW w:w="1212" w:type="pct"/>
            <w:vAlign w:val="center"/>
          </w:tcPr>
          <w:p w14:paraId="4F0445FC" w14:textId="77777777" w:rsidR="00F07650" w:rsidRPr="00A11AFD" w:rsidRDefault="00F07650" w:rsidP="00A11A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3,85 %</w:t>
            </w:r>
          </w:p>
        </w:tc>
      </w:tr>
      <w:tr w:rsidR="00A11AFD" w:rsidRPr="00A11AFD" w14:paraId="45109E14" w14:textId="77777777" w:rsidTr="00A11AFD">
        <w:trPr>
          <w:trHeight w:val="227"/>
          <w:jc w:val="center"/>
        </w:trPr>
        <w:tc>
          <w:tcPr>
            <w:tcW w:w="3788" w:type="pct"/>
            <w:vAlign w:val="center"/>
          </w:tcPr>
          <w:p w14:paraId="2A79F043" w14:textId="1D51944F" w:rsidR="00F07650" w:rsidRPr="00A11AFD" w:rsidRDefault="00F07650" w:rsidP="00A11AFD">
            <w:pPr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Teoretické výdaje bez zajišťovacích swapových operací (</w:t>
            </w:r>
            <w:r w:rsidR="00DD749A">
              <w:rPr>
                <w:rFonts w:ascii="Calibri" w:hAnsi="Calibri" w:cs="Calibri"/>
                <w:sz w:val="20"/>
                <w:szCs w:val="20"/>
              </w:rPr>
              <w:t>v </w:t>
            </w:r>
            <w:r w:rsidRPr="00A11AFD">
              <w:rPr>
                <w:rFonts w:ascii="Calibri" w:hAnsi="Calibri" w:cs="Calibri"/>
                <w:sz w:val="20"/>
                <w:szCs w:val="20"/>
              </w:rPr>
              <w:t>Kč)</w:t>
            </w:r>
          </w:p>
        </w:tc>
        <w:tc>
          <w:tcPr>
            <w:tcW w:w="1212" w:type="pct"/>
            <w:vAlign w:val="center"/>
          </w:tcPr>
          <w:p w14:paraId="2302FF80" w14:textId="77777777" w:rsidR="00F07650" w:rsidRPr="00A11AFD" w:rsidRDefault="00F07650" w:rsidP="00A11A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18 493 640 625</w:t>
            </w:r>
          </w:p>
        </w:tc>
      </w:tr>
      <w:tr w:rsidR="00A11AFD" w:rsidRPr="00A11AFD" w14:paraId="3A4E1869" w14:textId="77777777" w:rsidTr="00A11AFD">
        <w:trPr>
          <w:trHeight w:val="227"/>
          <w:jc w:val="center"/>
        </w:trPr>
        <w:tc>
          <w:tcPr>
            <w:tcW w:w="3788" w:type="pct"/>
            <w:vAlign w:val="center"/>
          </w:tcPr>
          <w:p w14:paraId="298D312B" w14:textId="54D4D313" w:rsidR="00F07650" w:rsidRPr="00A11AFD" w:rsidRDefault="00F07650" w:rsidP="00A11AFD">
            <w:pPr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Teoretická nákladovost bez zajišťovacích swapových operací (</w:t>
            </w:r>
            <w:r w:rsidR="00DD749A">
              <w:rPr>
                <w:rFonts w:ascii="Calibri" w:hAnsi="Calibri" w:cs="Calibri"/>
                <w:sz w:val="20"/>
                <w:szCs w:val="20"/>
              </w:rPr>
              <w:t>v </w:t>
            </w:r>
            <w:r w:rsidRPr="00A11AFD">
              <w:rPr>
                <w:rFonts w:ascii="Calibri" w:hAnsi="Calibri" w:cs="Calibri"/>
                <w:sz w:val="20"/>
                <w:szCs w:val="20"/>
              </w:rPr>
              <w:t>p. a.)</w:t>
            </w:r>
          </w:p>
        </w:tc>
        <w:tc>
          <w:tcPr>
            <w:tcW w:w="1212" w:type="pct"/>
            <w:vAlign w:val="center"/>
          </w:tcPr>
          <w:p w14:paraId="28A41889" w14:textId="77777777" w:rsidR="00F07650" w:rsidRPr="00A11AFD" w:rsidRDefault="00F07650" w:rsidP="00A11A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3,79 %</w:t>
            </w:r>
          </w:p>
        </w:tc>
      </w:tr>
      <w:tr w:rsidR="00A11AFD" w:rsidRPr="00A11AFD" w14:paraId="34849867" w14:textId="77777777" w:rsidTr="00A11AFD">
        <w:trPr>
          <w:trHeight w:val="227"/>
          <w:jc w:val="center"/>
        </w:trPr>
        <w:tc>
          <w:tcPr>
            <w:tcW w:w="3788" w:type="pct"/>
            <w:vAlign w:val="center"/>
          </w:tcPr>
          <w:p w14:paraId="610B4969" w14:textId="61F41615" w:rsidR="00F07650" w:rsidRPr="00A11AFD" w:rsidRDefault="00F07650" w:rsidP="00A11AFD">
            <w:pPr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Dopad swapových operací na státní rozpočet se zahrnutím očekávaných nákladů na uplatněnou swapci (realizované peněžní toky a tržní hodnota k</w:t>
            </w:r>
            <w:r w:rsidR="00BD03CD" w:rsidRPr="00A11AF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11AFD">
              <w:rPr>
                <w:rFonts w:ascii="Calibri" w:hAnsi="Calibri" w:cs="Calibri"/>
                <w:sz w:val="20"/>
                <w:szCs w:val="20"/>
              </w:rPr>
              <w:t>31. 12. 2014) (</w:t>
            </w:r>
            <w:r w:rsidR="00DD749A">
              <w:rPr>
                <w:rFonts w:ascii="Calibri" w:hAnsi="Calibri" w:cs="Calibri"/>
                <w:sz w:val="20"/>
                <w:szCs w:val="20"/>
              </w:rPr>
              <w:t>v </w:t>
            </w:r>
            <w:r w:rsidRPr="00A11AFD">
              <w:rPr>
                <w:rFonts w:ascii="Calibri" w:hAnsi="Calibri" w:cs="Calibri"/>
                <w:sz w:val="20"/>
                <w:szCs w:val="20"/>
              </w:rPr>
              <w:t>Kč)</w:t>
            </w:r>
          </w:p>
        </w:tc>
        <w:tc>
          <w:tcPr>
            <w:tcW w:w="1212" w:type="pct"/>
            <w:vAlign w:val="center"/>
          </w:tcPr>
          <w:p w14:paraId="090C361C" w14:textId="77777777" w:rsidR="00F07650" w:rsidRPr="00A11AFD" w:rsidRDefault="00F07650" w:rsidP="00A11A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321</w:t>
            </w:r>
            <w:r w:rsidR="00BD03CD" w:rsidRPr="00A11AF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11AFD">
              <w:rPr>
                <w:rFonts w:ascii="Calibri" w:hAnsi="Calibri" w:cs="Calibri"/>
                <w:sz w:val="20"/>
                <w:szCs w:val="20"/>
              </w:rPr>
              <w:t>016 014</w:t>
            </w:r>
          </w:p>
        </w:tc>
      </w:tr>
      <w:tr w:rsidR="00A11AFD" w:rsidRPr="00A11AFD" w14:paraId="55449C6F" w14:textId="77777777" w:rsidTr="00A11AFD">
        <w:trPr>
          <w:trHeight w:val="227"/>
          <w:jc w:val="center"/>
        </w:trPr>
        <w:tc>
          <w:tcPr>
            <w:tcW w:w="3788" w:type="pct"/>
            <w:vAlign w:val="center"/>
          </w:tcPr>
          <w:p w14:paraId="5DD78527" w14:textId="3F2B7346" w:rsidR="00F07650" w:rsidRPr="00A11AFD" w:rsidRDefault="00F07650" w:rsidP="00A11AFD">
            <w:pPr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Splátka jmenovité hodnoty zajišťujícím kurzem:</w:t>
            </w:r>
          </w:p>
          <w:p w14:paraId="301C0BED" w14:textId="151E6EE1" w:rsidR="00F07650" w:rsidRPr="00A11AFD" w:rsidRDefault="00F07650" w:rsidP="00A11AFD">
            <w:pPr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teoretická úspora (+) nebo ztráta (</w:t>
            </w:r>
            <w:r w:rsidR="00DD749A">
              <w:rPr>
                <w:rFonts w:ascii="Calibri" w:hAnsi="Calibri" w:cs="Calibri"/>
                <w:sz w:val="20"/>
                <w:szCs w:val="20"/>
              </w:rPr>
              <w:t>‒</w:t>
            </w:r>
            <w:r w:rsidRPr="00A11AFD">
              <w:rPr>
                <w:rFonts w:ascii="Calibri" w:hAnsi="Calibri" w:cs="Calibri"/>
                <w:sz w:val="20"/>
                <w:szCs w:val="20"/>
              </w:rPr>
              <w:t>) vlivem uzavření swapových operací</w:t>
            </w:r>
            <w:r w:rsidR="0058191E" w:rsidRPr="00DD749A">
              <w:rPr>
                <w:rFonts w:ascii="Calibri" w:hAnsi="Calibri" w:cs="Calibri"/>
                <w:b/>
                <w:sz w:val="20"/>
                <w:szCs w:val="20"/>
                <w:vertAlign w:val="superscript"/>
              </w:rPr>
              <w:t>1</w:t>
            </w:r>
            <w:r w:rsidRPr="00DD749A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A11AFD">
              <w:rPr>
                <w:rFonts w:ascii="Calibri" w:hAnsi="Calibri" w:cs="Calibri"/>
                <w:sz w:val="20"/>
                <w:szCs w:val="20"/>
              </w:rPr>
              <w:t>(</w:t>
            </w:r>
            <w:r w:rsidR="00DD749A">
              <w:rPr>
                <w:rFonts w:ascii="Calibri" w:hAnsi="Calibri" w:cs="Calibri"/>
                <w:sz w:val="20"/>
                <w:szCs w:val="20"/>
              </w:rPr>
              <w:t>v </w:t>
            </w:r>
            <w:r w:rsidRPr="00A11AFD">
              <w:rPr>
                <w:rFonts w:ascii="Calibri" w:hAnsi="Calibri" w:cs="Calibri"/>
                <w:sz w:val="20"/>
                <w:szCs w:val="20"/>
              </w:rPr>
              <w:t>Kč)</w:t>
            </w:r>
          </w:p>
        </w:tc>
        <w:tc>
          <w:tcPr>
            <w:tcW w:w="1212" w:type="pct"/>
            <w:vAlign w:val="center"/>
          </w:tcPr>
          <w:p w14:paraId="3F024602" w14:textId="4B906C14" w:rsidR="00F07650" w:rsidRPr="00A11AFD" w:rsidRDefault="00DD749A" w:rsidP="00A11AF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‒</w:t>
            </w:r>
            <w:r w:rsidR="00F07650" w:rsidRPr="00A11AFD">
              <w:rPr>
                <w:rFonts w:ascii="Calibri" w:hAnsi="Calibri" w:cs="Calibri"/>
                <w:sz w:val="20"/>
                <w:szCs w:val="20"/>
              </w:rPr>
              <w:t>7 635 000 000</w:t>
            </w:r>
          </w:p>
        </w:tc>
      </w:tr>
    </w:tbl>
    <w:p w14:paraId="443222C5" w14:textId="7E8F19E6" w:rsidR="00F07650" w:rsidRPr="00430901" w:rsidRDefault="00F07650" w:rsidP="00A11AFD">
      <w:pPr>
        <w:spacing w:before="40" w:after="0" w:line="240" w:lineRule="auto"/>
        <w:rPr>
          <w:rFonts w:cstheme="minorHAnsi"/>
          <w:sz w:val="20"/>
          <w:szCs w:val="20"/>
        </w:rPr>
      </w:pPr>
      <w:r w:rsidRPr="00A91312">
        <w:rPr>
          <w:rFonts w:cstheme="minorHAnsi"/>
          <w:b/>
          <w:sz w:val="20"/>
          <w:szCs w:val="20"/>
        </w:rPr>
        <w:t>Zdroj:</w:t>
      </w:r>
      <w:r w:rsidRPr="00430901">
        <w:rPr>
          <w:rFonts w:cstheme="minorHAnsi"/>
          <w:sz w:val="20"/>
          <w:szCs w:val="20"/>
        </w:rPr>
        <w:t xml:space="preserve"> MF </w:t>
      </w:r>
      <w:r>
        <w:rPr>
          <w:rFonts w:cstheme="minorHAnsi"/>
          <w:sz w:val="20"/>
          <w:szCs w:val="20"/>
        </w:rPr>
        <w:t>–</w:t>
      </w:r>
      <w:r w:rsidRPr="00430901">
        <w:rPr>
          <w:rFonts w:cstheme="minorHAnsi"/>
          <w:sz w:val="20"/>
          <w:szCs w:val="20"/>
        </w:rPr>
        <w:t xml:space="preserve"> dokumentace čj. MF-21032/2015/2003-23 ze dne 15. 10. 2015</w:t>
      </w:r>
      <w:r>
        <w:rPr>
          <w:rFonts w:cstheme="minorHAnsi"/>
          <w:sz w:val="20"/>
          <w:szCs w:val="20"/>
        </w:rPr>
        <w:t>.</w:t>
      </w:r>
    </w:p>
    <w:p w14:paraId="526CAE3E" w14:textId="42451223" w:rsidR="0058191E" w:rsidRPr="00430901" w:rsidRDefault="0058191E" w:rsidP="00752593">
      <w:pPr>
        <w:pStyle w:val="Textpoznpodarou"/>
        <w:ind w:left="142" w:hanging="142"/>
        <w:jc w:val="both"/>
        <w:rPr>
          <w:rFonts w:asciiTheme="minorHAnsi" w:hAnsiTheme="minorHAnsi" w:cstheme="minorHAnsi"/>
        </w:rPr>
      </w:pPr>
      <w:r w:rsidRPr="00DD749A">
        <w:rPr>
          <w:rFonts w:asciiTheme="minorHAnsi" w:hAnsiTheme="minorHAnsi" w:cstheme="minorHAnsi"/>
          <w:b/>
          <w:vertAlign w:val="superscript"/>
        </w:rPr>
        <w:t>1</w:t>
      </w:r>
      <w:r w:rsidR="00960ACC">
        <w:rPr>
          <w:rFonts w:asciiTheme="minorHAnsi" w:hAnsiTheme="minorHAnsi" w:cstheme="minorHAnsi"/>
          <w:vertAlign w:val="superscript"/>
        </w:rPr>
        <w:t xml:space="preserve"> </w:t>
      </w:r>
      <w:r w:rsidR="00752593">
        <w:rPr>
          <w:rFonts w:asciiTheme="minorHAnsi" w:hAnsiTheme="minorHAnsi" w:cstheme="minorHAnsi"/>
          <w:vertAlign w:val="superscript"/>
        </w:rPr>
        <w:tab/>
      </w:r>
      <w:r w:rsidRPr="0058191E">
        <w:rPr>
          <w:rFonts w:asciiTheme="minorHAnsi" w:hAnsiTheme="minorHAnsi" w:cstheme="minorHAnsi"/>
        </w:rPr>
        <w:t>Teoretická úspora</w:t>
      </w:r>
      <w:r w:rsidRPr="00430901">
        <w:rPr>
          <w:rFonts w:asciiTheme="minorHAnsi" w:hAnsiTheme="minorHAnsi" w:cstheme="minorHAnsi"/>
        </w:rPr>
        <w:t xml:space="preserve"> (+) nebo ztráta (</w:t>
      </w:r>
      <w:r w:rsidR="00007432">
        <w:rPr>
          <w:rFonts w:asciiTheme="minorHAnsi" w:hAnsiTheme="minorHAnsi" w:cstheme="minorHAnsi"/>
        </w:rPr>
        <w:t>‒</w:t>
      </w:r>
      <w:r w:rsidRPr="00430901">
        <w:rPr>
          <w:rFonts w:asciiTheme="minorHAnsi" w:hAnsiTheme="minorHAnsi" w:cstheme="minorHAnsi"/>
        </w:rPr>
        <w:t>) = (devizový kurz ČNB ke dni splatnosti emise minus konverzní kurz MF v</w:t>
      </w:r>
      <w:r w:rsidR="000C09F8">
        <w:rPr>
          <w:rFonts w:asciiTheme="minorHAnsi" w:hAnsiTheme="minorHAnsi" w:cstheme="minorHAnsi"/>
        </w:rPr>
        <w:t> </w:t>
      </w:r>
      <w:r w:rsidRPr="00430901">
        <w:rPr>
          <w:rFonts w:asciiTheme="minorHAnsi" w:hAnsiTheme="minorHAnsi" w:cstheme="minorHAnsi"/>
        </w:rPr>
        <w:t>počáteční den swapů) x nominální částka v</w:t>
      </w:r>
      <w:r w:rsidR="00BD03CD">
        <w:rPr>
          <w:rFonts w:asciiTheme="minorHAnsi" w:hAnsiTheme="minorHAnsi" w:cstheme="minorHAnsi"/>
        </w:rPr>
        <w:t xml:space="preserve"> </w:t>
      </w:r>
      <w:r w:rsidR="00DD749A">
        <w:rPr>
          <w:rFonts w:asciiTheme="minorHAnsi" w:hAnsiTheme="minorHAnsi" w:cstheme="minorHAnsi"/>
        </w:rPr>
        <w:t>eurech</w:t>
      </w:r>
      <w:r>
        <w:rPr>
          <w:rFonts w:asciiTheme="minorHAnsi" w:hAnsiTheme="minorHAnsi" w:cstheme="minorHAnsi"/>
        </w:rPr>
        <w:t>.</w:t>
      </w:r>
    </w:p>
    <w:p w14:paraId="2E654FB9" w14:textId="77777777" w:rsidR="00F07650" w:rsidRPr="00A11AFD" w:rsidRDefault="00F07650" w:rsidP="00EF31A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FB045D1" w14:textId="77777777" w:rsidR="005C1C10" w:rsidRPr="000D5096" w:rsidRDefault="005C1C10" w:rsidP="00EF31A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D5096">
        <w:rPr>
          <w:rFonts w:ascii="Calibri" w:hAnsi="Calibri" w:cs="Calibri"/>
          <w:b/>
          <w:sz w:val="24"/>
          <w:szCs w:val="24"/>
        </w:rPr>
        <w:t>4. emise eurobondu</w:t>
      </w:r>
    </w:p>
    <w:p w14:paraId="28736C6C" w14:textId="77777777" w:rsidR="00A11AFD" w:rsidRDefault="00A11AFD" w:rsidP="005C1C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F132AB2" w14:textId="689EA5A5" w:rsidR="005C1C10" w:rsidRDefault="005C1C10" w:rsidP="005C1C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C1C10">
        <w:rPr>
          <w:rFonts w:ascii="Calibri" w:hAnsi="Calibri" w:cs="Calibri"/>
          <w:sz w:val="24"/>
          <w:szCs w:val="24"/>
        </w:rPr>
        <w:t>Eurobond České republiky 4,5 % ISIN XS0427020309 (dále také „4. emise eurobondu“) byl vydán dne 5. 5. 2009 v celkové jmenovité hodnotě 1</w:t>
      </w:r>
      <w:r w:rsidR="002D3A82">
        <w:rPr>
          <w:rFonts w:ascii="Calibri" w:hAnsi="Calibri" w:cs="Calibri"/>
          <w:sz w:val="24"/>
          <w:szCs w:val="24"/>
        </w:rPr>
        <w:t>,</w:t>
      </w:r>
      <w:r w:rsidRPr="005C1C10">
        <w:rPr>
          <w:rFonts w:ascii="Calibri" w:hAnsi="Calibri" w:cs="Calibri"/>
          <w:sz w:val="24"/>
          <w:szCs w:val="24"/>
        </w:rPr>
        <w:t>5</w:t>
      </w:r>
      <w:r w:rsidR="002D3A82">
        <w:rPr>
          <w:rFonts w:ascii="Calibri" w:hAnsi="Calibri" w:cs="Calibri"/>
          <w:sz w:val="24"/>
          <w:szCs w:val="24"/>
        </w:rPr>
        <w:t xml:space="preserve"> mld. </w:t>
      </w:r>
      <w:r w:rsidR="00752593">
        <w:rPr>
          <w:rFonts w:ascii="Calibri" w:hAnsi="Calibri" w:cs="Calibri"/>
          <w:sz w:val="24"/>
          <w:szCs w:val="24"/>
        </w:rPr>
        <w:t>€</w:t>
      </w:r>
      <w:r w:rsidRPr="005C1C10">
        <w:rPr>
          <w:rFonts w:ascii="Calibri" w:hAnsi="Calibri" w:cs="Calibri"/>
          <w:sz w:val="24"/>
          <w:szCs w:val="24"/>
        </w:rPr>
        <w:t>. K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 xml:space="preserve">zajištění měnového rizika při splátce jistiny a 6. kupónu uzavřelo Ministerstvo financí celkem devět měnových swapů </w:t>
      </w:r>
      <w:r w:rsidR="001E3015">
        <w:rPr>
          <w:rFonts w:ascii="Calibri" w:hAnsi="Calibri" w:cs="Calibri"/>
          <w:sz w:val="24"/>
          <w:szCs w:val="24"/>
        </w:rPr>
        <w:br/>
      </w:r>
      <w:r w:rsidRPr="005C1C10">
        <w:rPr>
          <w:rFonts w:ascii="Calibri" w:hAnsi="Calibri" w:cs="Calibri"/>
          <w:sz w:val="24"/>
          <w:szCs w:val="24"/>
        </w:rPr>
        <w:t xml:space="preserve">(EUR-CZK, </w:t>
      </w:r>
      <w:r w:rsidRPr="000D5096">
        <w:rPr>
          <w:rFonts w:ascii="Calibri" w:hAnsi="Calibri" w:cs="Calibri"/>
          <w:i/>
          <w:sz w:val="24"/>
          <w:szCs w:val="24"/>
        </w:rPr>
        <w:t>Float-Float</w:t>
      </w:r>
      <w:r w:rsidRPr="005C1C10">
        <w:rPr>
          <w:rFonts w:ascii="Calibri" w:hAnsi="Calibri" w:cs="Calibri"/>
          <w:sz w:val="24"/>
          <w:szCs w:val="24"/>
        </w:rPr>
        <w:t xml:space="preserve">). Ve dnech 3. až 5. </w:t>
      </w:r>
      <w:r w:rsidR="0063441C">
        <w:rPr>
          <w:rFonts w:ascii="Calibri" w:hAnsi="Calibri" w:cs="Calibri"/>
          <w:sz w:val="24"/>
          <w:szCs w:val="24"/>
        </w:rPr>
        <w:t xml:space="preserve">11. </w:t>
      </w:r>
      <w:r w:rsidRPr="005C1C10">
        <w:rPr>
          <w:rFonts w:ascii="Calibri" w:hAnsi="Calibri" w:cs="Calibri"/>
          <w:sz w:val="24"/>
          <w:szCs w:val="24"/>
        </w:rPr>
        <w:t>2014 došlo k výplatě kupónové platby</w:t>
      </w:r>
      <w:r w:rsidR="00117490">
        <w:rPr>
          <w:rFonts w:ascii="Calibri" w:hAnsi="Calibri" w:cs="Calibri"/>
          <w:sz w:val="24"/>
          <w:szCs w:val="24"/>
        </w:rPr>
        <w:t>,</w:t>
      </w:r>
      <w:r w:rsidRPr="005C1C10">
        <w:rPr>
          <w:rFonts w:ascii="Calibri" w:hAnsi="Calibri" w:cs="Calibri"/>
          <w:sz w:val="24"/>
          <w:szCs w:val="24"/>
        </w:rPr>
        <w:t xml:space="preserve"> k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vypořádání operací sloužících k zajištění kurzového rizika jistiny dluhopisu</w:t>
      </w:r>
      <w:r w:rsidR="00117490">
        <w:rPr>
          <w:rFonts w:ascii="Calibri" w:hAnsi="Calibri" w:cs="Calibri"/>
          <w:sz w:val="24"/>
          <w:szCs w:val="24"/>
        </w:rPr>
        <w:t xml:space="preserve"> a </w:t>
      </w:r>
      <w:r w:rsidR="00114F13">
        <w:rPr>
          <w:rFonts w:ascii="Calibri" w:hAnsi="Calibri" w:cs="Calibri"/>
          <w:sz w:val="24"/>
          <w:szCs w:val="24"/>
        </w:rPr>
        <w:t xml:space="preserve">ke </w:t>
      </w:r>
      <w:r w:rsidR="00117490">
        <w:rPr>
          <w:rFonts w:ascii="Calibri" w:hAnsi="Calibri" w:cs="Calibri"/>
          <w:sz w:val="24"/>
          <w:szCs w:val="24"/>
        </w:rPr>
        <w:t>splacení emise.</w:t>
      </w:r>
      <w:r w:rsidRPr="005C1C10">
        <w:rPr>
          <w:rFonts w:ascii="Calibri" w:hAnsi="Calibri" w:cs="Calibri"/>
          <w:sz w:val="24"/>
          <w:szCs w:val="24"/>
        </w:rPr>
        <w:t xml:space="preserve"> Úrokový výdaj za rok 2014 z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uvedených swapových transakcí dosáhl 148,15 mil. Kč. Výdaj spojený se splátkou 6.</w:t>
      </w:r>
      <w:r w:rsidR="001E3015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>kupónu činil 1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802,925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mil. Kč. Celkový výdaj za rok 2014 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souvislosti s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4.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emisí eurobond</w:t>
      </w:r>
      <w:r w:rsidR="00752593">
        <w:rPr>
          <w:rFonts w:ascii="Calibri" w:hAnsi="Calibri" w:cs="Calibri"/>
          <w:sz w:val="24"/>
          <w:szCs w:val="24"/>
        </w:rPr>
        <w:t>u</w:t>
      </w:r>
      <w:r w:rsidRPr="005C1C10">
        <w:rPr>
          <w:rFonts w:ascii="Calibri" w:hAnsi="Calibri" w:cs="Calibri"/>
          <w:sz w:val="24"/>
          <w:szCs w:val="24"/>
        </w:rPr>
        <w:t xml:space="preserve"> tak činil 1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951,07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mil. Kč a odpovídá údaji uvedenému 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 xml:space="preserve">návrhu SZÚ. </w:t>
      </w:r>
    </w:p>
    <w:p w14:paraId="4D59E919" w14:textId="77777777" w:rsidR="00854B25" w:rsidRPr="005C1C10" w:rsidRDefault="00854B25" w:rsidP="005C1C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D50366F" w14:textId="77777777" w:rsidR="00912B79" w:rsidRDefault="00912B79" w:rsidP="00912B7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C1C10">
        <w:rPr>
          <w:rFonts w:ascii="Calibri" w:hAnsi="Calibri" w:cs="Calibri"/>
          <w:sz w:val="24"/>
          <w:szCs w:val="24"/>
        </w:rPr>
        <w:t xml:space="preserve">Čisté úrokové výdaje </w:t>
      </w:r>
      <w:r>
        <w:rPr>
          <w:rFonts w:ascii="Calibri" w:hAnsi="Calibri" w:cs="Calibri"/>
          <w:sz w:val="24"/>
          <w:szCs w:val="24"/>
        </w:rPr>
        <w:t>u</w:t>
      </w:r>
      <w:r w:rsidRPr="005C1C10">
        <w:rPr>
          <w:rFonts w:ascii="Calibri" w:hAnsi="Calibri" w:cs="Calibri"/>
          <w:sz w:val="24"/>
          <w:szCs w:val="24"/>
        </w:rPr>
        <w:t xml:space="preserve"> swapů zajišťujících </w:t>
      </w:r>
      <w:r>
        <w:rPr>
          <w:rFonts w:ascii="Calibri" w:hAnsi="Calibri" w:cs="Calibri"/>
          <w:sz w:val="24"/>
          <w:szCs w:val="24"/>
        </w:rPr>
        <w:t>k</w:t>
      </w:r>
      <w:r w:rsidR="005C1C10" w:rsidRPr="005C1C10">
        <w:rPr>
          <w:rFonts w:ascii="Calibri" w:hAnsi="Calibri" w:cs="Calibri"/>
          <w:sz w:val="24"/>
          <w:szCs w:val="24"/>
        </w:rPr>
        <w:t xml:space="preserve">upónové platby eurobondu činily celkem </w:t>
      </w:r>
      <w:r w:rsidRPr="005C1C10">
        <w:rPr>
          <w:rFonts w:ascii="Calibri" w:hAnsi="Calibri" w:cs="Calibri"/>
          <w:sz w:val="24"/>
          <w:szCs w:val="24"/>
        </w:rPr>
        <w:t>481,0</w:t>
      </w:r>
      <w:r w:rsidR="00960ACC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>mil.</w:t>
      </w:r>
      <w:r w:rsidR="00960ACC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>Kč</w:t>
      </w:r>
      <w:r w:rsidR="005C1C10" w:rsidRPr="005C1C10">
        <w:rPr>
          <w:rFonts w:ascii="Calibri" w:hAnsi="Calibri" w:cs="Calibri"/>
          <w:sz w:val="24"/>
          <w:szCs w:val="24"/>
        </w:rPr>
        <w:t>. Čisté úrokové výdaje za dobu životnosti swapů zajišťujících jistinu eurobondu činily celkem 134,9 mil. Kč. Celkový dopad swapových transakcí na čisté úrokové výdaje státního rozpočtu tak byl o 615,9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="005C1C10" w:rsidRPr="005C1C10">
        <w:rPr>
          <w:rFonts w:ascii="Calibri" w:hAnsi="Calibri" w:cs="Calibri"/>
          <w:sz w:val="24"/>
          <w:szCs w:val="24"/>
        </w:rPr>
        <w:t xml:space="preserve">mil. Kč vyšší oproti teoretickým výdajům bez zajišťujících operací. </w:t>
      </w:r>
      <w:r>
        <w:rPr>
          <w:rFonts w:ascii="Calibri" w:hAnsi="Calibri" w:cs="Calibri"/>
          <w:sz w:val="24"/>
          <w:szCs w:val="24"/>
        </w:rPr>
        <w:t>Úr</w:t>
      </w:r>
      <w:r w:rsidRPr="00F430D3">
        <w:rPr>
          <w:rFonts w:ascii="Calibri" w:hAnsi="Calibri" w:cs="Calibri"/>
          <w:sz w:val="24"/>
          <w:szCs w:val="24"/>
        </w:rPr>
        <w:t>okové výdaje státního rozpočtu</w:t>
      </w:r>
      <w:r>
        <w:rPr>
          <w:rFonts w:ascii="Calibri" w:hAnsi="Calibri" w:cs="Calibri"/>
          <w:sz w:val="24"/>
          <w:szCs w:val="24"/>
        </w:rPr>
        <w:t xml:space="preserve"> a dopady swapových transakcí u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4</w:t>
      </w:r>
      <w:r w:rsidRPr="00F430D3">
        <w:rPr>
          <w:rFonts w:ascii="Calibri" w:hAnsi="Calibri" w:cs="Calibri"/>
          <w:sz w:val="24"/>
          <w:szCs w:val="24"/>
        </w:rPr>
        <w:t>.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emis</w:t>
      </w:r>
      <w:r>
        <w:rPr>
          <w:rFonts w:ascii="Calibri" w:hAnsi="Calibri" w:cs="Calibri"/>
          <w:sz w:val="24"/>
          <w:szCs w:val="24"/>
        </w:rPr>
        <w:t>e</w:t>
      </w:r>
      <w:r w:rsidRPr="00F430D3">
        <w:rPr>
          <w:rFonts w:ascii="Calibri" w:hAnsi="Calibri" w:cs="Calibri"/>
          <w:sz w:val="24"/>
          <w:szCs w:val="24"/>
        </w:rPr>
        <w:t xml:space="preserve"> eurobondu</w:t>
      </w:r>
      <w:r>
        <w:rPr>
          <w:rFonts w:ascii="Calibri" w:hAnsi="Calibri" w:cs="Calibri"/>
          <w:sz w:val="24"/>
          <w:szCs w:val="24"/>
        </w:rPr>
        <w:t xml:space="preserve"> jsou uvedeny v tabulce č. 8.</w:t>
      </w:r>
    </w:p>
    <w:p w14:paraId="5944E556" w14:textId="77777777" w:rsidR="005C1C10" w:rsidRPr="005C1C10" w:rsidRDefault="005C1C10" w:rsidP="005C1C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31F0A1B" w14:textId="77777777" w:rsidR="00912B79" w:rsidRPr="00430901" w:rsidRDefault="00912B79" w:rsidP="00A11AFD">
      <w:pPr>
        <w:spacing w:after="40" w:line="240" w:lineRule="auto"/>
        <w:rPr>
          <w:b/>
          <w:sz w:val="24"/>
          <w:szCs w:val="24"/>
        </w:rPr>
      </w:pPr>
      <w:r w:rsidRPr="00430901">
        <w:rPr>
          <w:b/>
          <w:sz w:val="24"/>
          <w:szCs w:val="24"/>
        </w:rPr>
        <w:t xml:space="preserve">Tabulka č. </w:t>
      </w:r>
      <w:r>
        <w:rPr>
          <w:b/>
          <w:sz w:val="24"/>
          <w:szCs w:val="24"/>
        </w:rPr>
        <w:t>8</w:t>
      </w:r>
      <w:r w:rsidRPr="00430901">
        <w:rPr>
          <w:b/>
          <w:sz w:val="24"/>
          <w:szCs w:val="24"/>
        </w:rPr>
        <w:t xml:space="preserve"> – 4. emise eurobondu (XS0427020309) </w:t>
      </w:r>
      <w:r>
        <w:rPr>
          <w:b/>
          <w:sz w:val="24"/>
          <w:szCs w:val="24"/>
        </w:rPr>
        <w:t>–</w:t>
      </w:r>
      <w:r w:rsidRPr="00430901">
        <w:rPr>
          <w:b/>
          <w:sz w:val="24"/>
          <w:szCs w:val="24"/>
        </w:rPr>
        <w:t xml:space="preserve"> nákladovost pro státní rozpočet</w:t>
      </w:r>
    </w:p>
    <w:tbl>
      <w:tblPr>
        <w:tblStyle w:val="Mkatabulky"/>
        <w:tblW w:w="9464" w:type="dxa"/>
        <w:jc w:val="center"/>
        <w:tblLook w:val="04A0" w:firstRow="1" w:lastRow="0" w:firstColumn="1" w:lastColumn="0" w:noHBand="0" w:noVBand="1"/>
      </w:tblPr>
      <w:tblGrid>
        <w:gridCol w:w="7196"/>
        <w:gridCol w:w="2268"/>
      </w:tblGrid>
      <w:tr w:rsidR="00912B79" w:rsidRPr="00A11AFD" w14:paraId="589475D8" w14:textId="77777777" w:rsidTr="00752593">
        <w:trPr>
          <w:trHeight w:val="227"/>
          <w:jc w:val="center"/>
        </w:trPr>
        <w:tc>
          <w:tcPr>
            <w:tcW w:w="7196" w:type="dxa"/>
            <w:vAlign w:val="center"/>
          </w:tcPr>
          <w:p w14:paraId="18D37CF0" w14:textId="6410EBE5" w:rsidR="00912B79" w:rsidRPr="00A11AFD" w:rsidRDefault="00912B79" w:rsidP="00A11AFD">
            <w:pPr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Čisté úrokové výdaje – skutečnost (</w:t>
            </w:r>
            <w:r w:rsidR="00696C8F">
              <w:rPr>
                <w:rFonts w:ascii="Calibri" w:hAnsi="Calibri" w:cs="Calibri"/>
                <w:sz w:val="20"/>
                <w:szCs w:val="20"/>
              </w:rPr>
              <w:t>v </w:t>
            </w:r>
            <w:r w:rsidRPr="00A11AFD">
              <w:rPr>
                <w:rFonts w:ascii="Calibri" w:hAnsi="Calibri" w:cs="Calibri"/>
                <w:sz w:val="20"/>
                <w:szCs w:val="20"/>
              </w:rPr>
              <w:t>Kč)</w:t>
            </w:r>
          </w:p>
        </w:tc>
        <w:tc>
          <w:tcPr>
            <w:tcW w:w="2268" w:type="dxa"/>
            <w:vAlign w:val="center"/>
          </w:tcPr>
          <w:p w14:paraId="046CAF79" w14:textId="77777777" w:rsidR="00912B79" w:rsidRPr="00A11AFD" w:rsidRDefault="00912B79" w:rsidP="00671264">
            <w:pPr>
              <w:ind w:right="395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10 167 726 691</w:t>
            </w:r>
          </w:p>
        </w:tc>
      </w:tr>
      <w:tr w:rsidR="00912B79" w:rsidRPr="00A11AFD" w14:paraId="18831211" w14:textId="77777777" w:rsidTr="00A11AFD">
        <w:trPr>
          <w:trHeight w:val="227"/>
          <w:jc w:val="center"/>
        </w:trPr>
        <w:tc>
          <w:tcPr>
            <w:tcW w:w="7196" w:type="dxa"/>
            <w:vAlign w:val="center"/>
          </w:tcPr>
          <w:p w14:paraId="5279C4D9" w14:textId="5C1B7967" w:rsidR="00912B79" w:rsidRPr="00A11AFD" w:rsidRDefault="00912B79" w:rsidP="00A11AFD">
            <w:pPr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Čisté úrokové výdaje – skutečnost (</w:t>
            </w:r>
            <w:r w:rsidR="00696C8F">
              <w:rPr>
                <w:rFonts w:ascii="Calibri" w:hAnsi="Calibri" w:cs="Calibri"/>
                <w:sz w:val="20"/>
                <w:szCs w:val="20"/>
              </w:rPr>
              <w:t>v </w:t>
            </w:r>
            <w:r w:rsidRPr="00A11AFD">
              <w:rPr>
                <w:rFonts w:ascii="Calibri" w:hAnsi="Calibri" w:cs="Calibri"/>
                <w:sz w:val="20"/>
                <w:szCs w:val="20"/>
              </w:rPr>
              <w:t>p. a.)</w:t>
            </w:r>
          </w:p>
        </w:tc>
        <w:tc>
          <w:tcPr>
            <w:tcW w:w="2268" w:type="dxa"/>
            <w:vAlign w:val="center"/>
          </w:tcPr>
          <w:p w14:paraId="24818975" w14:textId="77777777" w:rsidR="00912B79" w:rsidRPr="00A11AFD" w:rsidRDefault="00912B79" w:rsidP="006712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4,72 %</w:t>
            </w:r>
          </w:p>
        </w:tc>
      </w:tr>
      <w:tr w:rsidR="00912B79" w:rsidRPr="00A11AFD" w14:paraId="2C58C6CF" w14:textId="77777777" w:rsidTr="00752593">
        <w:trPr>
          <w:trHeight w:val="227"/>
          <w:jc w:val="center"/>
        </w:trPr>
        <w:tc>
          <w:tcPr>
            <w:tcW w:w="7196" w:type="dxa"/>
            <w:vAlign w:val="center"/>
          </w:tcPr>
          <w:p w14:paraId="7758D15E" w14:textId="73934D6C" w:rsidR="00912B79" w:rsidRPr="00A11AFD" w:rsidRDefault="00912B79" w:rsidP="00A11AFD">
            <w:pPr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Teoretické výdaje bez zajišťovacích swapových operací (</w:t>
            </w:r>
            <w:r w:rsidR="00696C8F">
              <w:rPr>
                <w:rFonts w:ascii="Calibri" w:hAnsi="Calibri" w:cs="Calibri"/>
                <w:sz w:val="20"/>
                <w:szCs w:val="20"/>
              </w:rPr>
              <w:t>v </w:t>
            </w:r>
            <w:r w:rsidRPr="00A11AFD">
              <w:rPr>
                <w:rFonts w:ascii="Calibri" w:hAnsi="Calibri" w:cs="Calibri"/>
                <w:sz w:val="20"/>
                <w:szCs w:val="20"/>
              </w:rPr>
              <w:t>Kč)</w:t>
            </w:r>
          </w:p>
        </w:tc>
        <w:tc>
          <w:tcPr>
            <w:tcW w:w="2268" w:type="dxa"/>
            <w:vAlign w:val="center"/>
          </w:tcPr>
          <w:p w14:paraId="2564F005" w14:textId="77777777" w:rsidR="00912B79" w:rsidRPr="00A11AFD" w:rsidRDefault="00912B79" w:rsidP="00671264">
            <w:pPr>
              <w:ind w:right="395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9 551 822 400</w:t>
            </w:r>
          </w:p>
        </w:tc>
      </w:tr>
      <w:tr w:rsidR="00912B79" w:rsidRPr="00A11AFD" w14:paraId="2998842E" w14:textId="77777777" w:rsidTr="00A11AFD">
        <w:trPr>
          <w:trHeight w:val="227"/>
          <w:jc w:val="center"/>
        </w:trPr>
        <w:tc>
          <w:tcPr>
            <w:tcW w:w="7196" w:type="dxa"/>
            <w:vAlign w:val="center"/>
          </w:tcPr>
          <w:p w14:paraId="64CFC89E" w14:textId="7613853D" w:rsidR="00912B79" w:rsidRPr="00A11AFD" w:rsidRDefault="00912B79" w:rsidP="00A11AFD">
            <w:pPr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Teoretická nákladovost bez zajišťovacích swapových operací (</w:t>
            </w:r>
            <w:r w:rsidR="00696C8F">
              <w:rPr>
                <w:rFonts w:ascii="Calibri" w:hAnsi="Calibri" w:cs="Calibri"/>
                <w:sz w:val="20"/>
                <w:szCs w:val="20"/>
              </w:rPr>
              <w:t>v </w:t>
            </w:r>
            <w:r w:rsidRPr="00A11AFD">
              <w:rPr>
                <w:rFonts w:ascii="Calibri" w:hAnsi="Calibri" w:cs="Calibri"/>
                <w:sz w:val="20"/>
                <w:szCs w:val="20"/>
              </w:rPr>
              <w:t>p. a.)</w:t>
            </w:r>
          </w:p>
        </w:tc>
        <w:tc>
          <w:tcPr>
            <w:tcW w:w="2268" w:type="dxa"/>
            <w:vAlign w:val="center"/>
          </w:tcPr>
          <w:p w14:paraId="125031F0" w14:textId="77777777" w:rsidR="00912B79" w:rsidRPr="00A11AFD" w:rsidRDefault="00912B79" w:rsidP="0067126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4,23 %</w:t>
            </w:r>
          </w:p>
        </w:tc>
      </w:tr>
      <w:tr w:rsidR="00912B79" w:rsidRPr="00A11AFD" w14:paraId="038AB3C9" w14:textId="77777777" w:rsidTr="00752593">
        <w:trPr>
          <w:trHeight w:val="227"/>
          <w:jc w:val="center"/>
        </w:trPr>
        <w:tc>
          <w:tcPr>
            <w:tcW w:w="7196" w:type="dxa"/>
            <w:vAlign w:val="center"/>
          </w:tcPr>
          <w:p w14:paraId="5B1390D5" w14:textId="5771EE96" w:rsidR="00912B79" w:rsidRPr="00A11AFD" w:rsidRDefault="00912B79" w:rsidP="00A11AFD">
            <w:pPr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Dopad swapových operací na státní rozpočet – čisté výdaje (</w:t>
            </w:r>
            <w:r w:rsidR="00696C8F">
              <w:rPr>
                <w:rFonts w:ascii="Calibri" w:hAnsi="Calibri" w:cs="Calibri"/>
                <w:sz w:val="20"/>
                <w:szCs w:val="20"/>
              </w:rPr>
              <w:t>v </w:t>
            </w:r>
            <w:r w:rsidRPr="00A11AFD">
              <w:rPr>
                <w:rFonts w:ascii="Calibri" w:hAnsi="Calibri" w:cs="Calibri"/>
                <w:sz w:val="20"/>
                <w:szCs w:val="20"/>
              </w:rPr>
              <w:t>Kč)</w:t>
            </w:r>
          </w:p>
        </w:tc>
        <w:tc>
          <w:tcPr>
            <w:tcW w:w="2268" w:type="dxa"/>
            <w:vAlign w:val="center"/>
          </w:tcPr>
          <w:p w14:paraId="18A81718" w14:textId="77777777" w:rsidR="00912B79" w:rsidRPr="00A11AFD" w:rsidRDefault="00912B79" w:rsidP="00671264">
            <w:pPr>
              <w:ind w:right="395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615 904 291</w:t>
            </w:r>
          </w:p>
        </w:tc>
      </w:tr>
      <w:tr w:rsidR="00912B79" w:rsidRPr="00A11AFD" w14:paraId="569C2261" w14:textId="77777777" w:rsidTr="00752593">
        <w:trPr>
          <w:trHeight w:val="227"/>
          <w:jc w:val="center"/>
        </w:trPr>
        <w:tc>
          <w:tcPr>
            <w:tcW w:w="7196" w:type="dxa"/>
            <w:vAlign w:val="center"/>
          </w:tcPr>
          <w:p w14:paraId="7B1FE51B" w14:textId="77777777" w:rsidR="00912B79" w:rsidRPr="00A11AFD" w:rsidRDefault="00912B79" w:rsidP="00A11AFD">
            <w:pPr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Splátka jmenovité hodnoty zajišťujícím kurzem:</w:t>
            </w:r>
          </w:p>
          <w:p w14:paraId="11A53AC4" w14:textId="29458D06" w:rsidR="00912B79" w:rsidRPr="00A11AFD" w:rsidRDefault="00912B79" w:rsidP="00A11AFD">
            <w:pPr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teoretická úspora (+) nebo ztráta (</w:t>
            </w:r>
            <w:r w:rsidR="00696C8F">
              <w:rPr>
                <w:rFonts w:ascii="Calibri" w:hAnsi="Calibri" w:cs="Calibri"/>
                <w:sz w:val="20"/>
                <w:szCs w:val="20"/>
              </w:rPr>
              <w:t>‒</w:t>
            </w:r>
            <w:r w:rsidRPr="00A11AFD">
              <w:rPr>
                <w:rFonts w:ascii="Calibri" w:hAnsi="Calibri" w:cs="Calibri"/>
                <w:sz w:val="20"/>
                <w:szCs w:val="20"/>
              </w:rPr>
              <w:t xml:space="preserve">) vlivem uzavření swapových </w:t>
            </w:r>
            <w:r w:rsidR="00E77131" w:rsidRPr="00A11AFD">
              <w:rPr>
                <w:rFonts w:ascii="Calibri" w:hAnsi="Calibri" w:cs="Calibri"/>
                <w:sz w:val="20"/>
                <w:szCs w:val="20"/>
              </w:rPr>
              <w:t>operací</w:t>
            </w:r>
            <w:r w:rsidR="00E77131" w:rsidRPr="00696C8F">
              <w:rPr>
                <w:rStyle w:val="Znakapoznpodarou"/>
                <w:rFonts w:ascii="Calibri" w:hAnsi="Calibri" w:cs="Calibri"/>
                <w:b/>
                <w:sz w:val="20"/>
                <w:szCs w:val="20"/>
              </w:rPr>
              <w:t>1</w:t>
            </w:r>
            <w:r w:rsidR="00E77131" w:rsidRPr="00A11AF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11AFD">
              <w:rPr>
                <w:rFonts w:ascii="Calibri" w:hAnsi="Calibri" w:cs="Calibri"/>
                <w:sz w:val="20"/>
                <w:szCs w:val="20"/>
              </w:rPr>
              <w:t>(</w:t>
            </w:r>
            <w:r w:rsidR="00696C8F">
              <w:rPr>
                <w:rFonts w:ascii="Calibri" w:hAnsi="Calibri" w:cs="Calibri"/>
                <w:sz w:val="20"/>
                <w:szCs w:val="20"/>
              </w:rPr>
              <w:t>v </w:t>
            </w:r>
            <w:r w:rsidRPr="00A11AFD">
              <w:rPr>
                <w:rFonts w:ascii="Calibri" w:hAnsi="Calibri" w:cs="Calibri"/>
                <w:sz w:val="20"/>
                <w:szCs w:val="20"/>
              </w:rPr>
              <w:t>Kč)</w:t>
            </w:r>
          </w:p>
        </w:tc>
        <w:tc>
          <w:tcPr>
            <w:tcW w:w="2268" w:type="dxa"/>
            <w:vAlign w:val="center"/>
          </w:tcPr>
          <w:p w14:paraId="0ACC31B8" w14:textId="77777777" w:rsidR="00912B79" w:rsidRPr="00A11AFD" w:rsidRDefault="00912B79" w:rsidP="00671264">
            <w:pPr>
              <w:ind w:right="395"/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11AFD">
              <w:rPr>
                <w:rFonts w:ascii="Calibri" w:hAnsi="Calibri" w:cs="Calibri"/>
                <w:sz w:val="20"/>
                <w:szCs w:val="20"/>
              </w:rPr>
              <w:t>+4 185 000 000</w:t>
            </w:r>
          </w:p>
        </w:tc>
      </w:tr>
    </w:tbl>
    <w:p w14:paraId="3EDFC878" w14:textId="77777777" w:rsidR="00912B79" w:rsidRDefault="00912B79" w:rsidP="00A11AFD">
      <w:pPr>
        <w:spacing w:before="40" w:after="0" w:line="240" w:lineRule="auto"/>
        <w:rPr>
          <w:rFonts w:cstheme="minorHAnsi"/>
          <w:sz w:val="20"/>
          <w:szCs w:val="20"/>
        </w:rPr>
      </w:pPr>
      <w:r w:rsidRPr="00A91312">
        <w:rPr>
          <w:rFonts w:cstheme="minorHAnsi"/>
          <w:b/>
          <w:sz w:val="20"/>
          <w:szCs w:val="20"/>
        </w:rPr>
        <w:t>Zdroj:</w:t>
      </w:r>
      <w:r w:rsidRPr="00430901">
        <w:rPr>
          <w:rFonts w:cstheme="minorHAnsi"/>
          <w:sz w:val="20"/>
          <w:szCs w:val="20"/>
        </w:rPr>
        <w:t xml:space="preserve"> MF </w:t>
      </w:r>
      <w:r>
        <w:rPr>
          <w:rFonts w:cstheme="minorHAnsi"/>
          <w:sz w:val="20"/>
          <w:szCs w:val="20"/>
        </w:rPr>
        <w:t>–</w:t>
      </w:r>
      <w:r w:rsidRPr="00430901">
        <w:rPr>
          <w:rFonts w:cstheme="minorHAnsi"/>
          <w:sz w:val="20"/>
          <w:szCs w:val="20"/>
        </w:rPr>
        <w:t xml:space="preserve"> dokumentace č.j. MF-21032/2015/2003-23 ze dne 15. 10. 2015</w:t>
      </w:r>
      <w:r>
        <w:rPr>
          <w:rFonts w:cstheme="minorHAnsi"/>
          <w:sz w:val="20"/>
          <w:szCs w:val="20"/>
        </w:rPr>
        <w:t>.</w:t>
      </w:r>
    </w:p>
    <w:p w14:paraId="2A1A6648" w14:textId="60A19883" w:rsidR="0058191E" w:rsidRPr="00430901" w:rsidRDefault="0058191E" w:rsidP="00671264">
      <w:pPr>
        <w:pStyle w:val="Textpoznpodarou"/>
        <w:ind w:left="142" w:hanging="142"/>
        <w:jc w:val="both"/>
        <w:rPr>
          <w:rFonts w:asciiTheme="minorHAnsi" w:hAnsiTheme="minorHAnsi" w:cstheme="minorHAnsi"/>
        </w:rPr>
      </w:pPr>
      <w:r w:rsidRPr="00696C8F">
        <w:rPr>
          <w:rFonts w:asciiTheme="minorHAnsi" w:hAnsiTheme="minorHAnsi" w:cstheme="minorHAnsi"/>
          <w:b/>
          <w:vertAlign w:val="superscript"/>
        </w:rPr>
        <w:t>1</w:t>
      </w:r>
      <w:r w:rsidR="00960ACC">
        <w:rPr>
          <w:rFonts w:asciiTheme="minorHAnsi" w:hAnsiTheme="minorHAnsi" w:cstheme="minorHAnsi"/>
          <w:vertAlign w:val="superscript"/>
        </w:rPr>
        <w:t xml:space="preserve"> </w:t>
      </w:r>
      <w:r w:rsidR="00671264">
        <w:rPr>
          <w:rFonts w:asciiTheme="minorHAnsi" w:hAnsiTheme="minorHAnsi" w:cstheme="minorHAnsi"/>
          <w:vertAlign w:val="superscript"/>
        </w:rPr>
        <w:tab/>
      </w:r>
      <w:r w:rsidRPr="00BD6B47">
        <w:rPr>
          <w:rFonts w:asciiTheme="minorHAnsi" w:hAnsiTheme="minorHAnsi" w:cstheme="minorHAnsi"/>
        </w:rPr>
        <w:t>Teoretická úspora</w:t>
      </w:r>
      <w:r w:rsidRPr="00430901">
        <w:rPr>
          <w:rFonts w:asciiTheme="minorHAnsi" w:hAnsiTheme="minorHAnsi" w:cstheme="minorHAnsi"/>
        </w:rPr>
        <w:t xml:space="preserve"> (+) nebo ztráta (</w:t>
      </w:r>
      <w:r w:rsidR="00696C8F">
        <w:rPr>
          <w:rFonts w:asciiTheme="minorHAnsi" w:hAnsiTheme="minorHAnsi" w:cstheme="minorHAnsi"/>
        </w:rPr>
        <w:t>‒</w:t>
      </w:r>
      <w:r w:rsidRPr="00430901">
        <w:rPr>
          <w:rFonts w:asciiTheme="minorHAnsi" w:hAnsiTheme="minorHAnsi" w:cstheme="minorHAnsi"/>
        </w:rPr>
        <w:t>) = (devizový kurz ČNB ke dni splatnosti emise minus konverzní kurz MF v</w:t>
      </w:r>
      <w:r w:rsidR="003B17E0">
        <w:rPr>
          <w:rFonts w:asciiTheme="minorHAnsi" w:hAnsiTheme="minorHAnsi" w:cstheme="minorHAnsi"/>
        </w:rPr>
        <w:t> </w:t>
      </w:r>
      <w:r w:rsidRPr="00430901">
        <w:rPr>
          <w:rFonts w:asciiTheme="minorHAnsi" w:hAnsiTheme="minorHAnsi" w:cstheme="minorHAnsi"/>
        </w:rPr>
        <w:t>počáteční den swapů) x nominální částka v</w:t>
      </w:r>
      <w:r w:rsidR="00BD03CD">
        <w:rPr>
          <w:rFonts w:asciiTheme="minorHAnsi" w:hAnsiTheme="minorHAnsi" w:cstheme="minorHAnsi"/>
        </w:rPr>
        <w:t xml:space="preserve"> </w:t>
      </w:r>
      <w:r w:rsidR="00696C8F">
        <w:rPr>
          <w:rFonts w:asciiTheme="minorHAnsi" w:hAnsiTheme="minorHAnsi" w:cstheme="minorHAnsi"/>
        </w:rPr>
        <w:t>eurech</w:t>
      </w:r>
      <w:r>
        <w:rPr>
          <w:rFonts w:asciiTheme="minorHAnsi" w:hAnsiTheme="minorHAnsi" w:cstheme="minorHAnsi"/>
        </w:rPr>
        <w:t>.</w:t>
      </w:r>
    </w:p>
    <w:p w14:paraId="51D2A4F5" w14:textId="759C5E60" w:rsidR="00D80365" w:rsidRDefault="00D80365">
      <w:r>
        <w:br w:type="page"/>
      </w:r>
    </w:p>
    <w:p w14:paraId="190F2BD0" w14:textId="77777777" w:rsidR="005C1C10" w:rsidRPr="000D5096" w:rsidRDefault="00EF31A1" w:rsidP="000D50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0D5096">
        <w:rPr>
          <w:rFonts w:ascii="Calibri" w:hAnsi="Calibri" w:cs="Calibri"/>
          <w:b/>
          <w:sz w:val="24"/>
          <w:szCs w:val="24"/>
        </w:rPr>
        <w:lastRenderedPageBreak/>
        <w:t>S</w:t>
      </w:r>
      <w:r w:rsidR="005C1C10" w:rsidRPr="000D5096">
        <w:rPr>
          <w:rFonts w:ascii="Calibri" w:hAnsi="Calibri" w:cs="Calibri"/>
          <w:b/>
          <w:sz w:val="24"/>
          <w:szCs w:val="24"/>
        </w:rPr>
        <w:t>wapová operace uzavřená dne 22. 12. 2005 pro zajištění kupónových plateb dluhopisu denominovaného v</w:t>
      </w:r>
      <w:r w:rsidR="00430901" w:rsidRPr="000D5096">
        <w:rPr>
          <w:rFonts w:ascii="Calibri" w:hAnsi="Calibri" w:cs="Calibri"/>
          <w:b/>
          <w:sz w:val="24"/>
          <w:szCs w:val="24"/>
        </w:rPr>
        <w:t xml:space="preserve"> </w:t>
      </w:r>
      <w:r w:rsidR="005C1C10" w:rsidRPr="000D5096">
        <w:rPr>
          <w:rFonts w:ascii="Calibri" w:hAnsi="Calibri" w:cs="Calibri"/>
          <w:b/>
          <w:sz w:val="24"/>
          <w:szCs w:val="24"/>
        </w:rPr>
        <w:t xml:space="preserve">japonských jenech </w:t>
      </w:r>
    </w:p>
    <w:p w14:paraId="7610981C" w14:textId="77777777" w:rsidR="00A11AFD" w:rsidRDefault="00A11AFD" w:rsidP="005C1C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5A86A4C" w14:textId="2B557E57" w:rsidR="005C1C10" w:rsidRDefault="005C1C10" w:rsidP="005C1C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C1C10">
        <w:rPr>
          <w:rFonts w:ascii="Calibri" w:hAnsi="Calibri" w:cs="Calibri"/>
          <w:sz w:val="24"/>
          <w:szCs w:val="24"/>
        </w:rPr>
        <w:t>MF emitovalo 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lednu 2006 státní dluhopis denominovaný 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="006E2FCF" w:rsidRPr="006E2FCF">
        <w:rPr>
          <w:rFonts w:ascii="Calibri" w:hAnsi="Calibri" w:cs="Calibri"/>
          <w:sz w:val="24"/>
          <w:szCs w:val="24"/>
        </w:rPr>
        <w:t xml:space="preserve">japonských jenech </w:t>
      </w:r>
      <w:r w:rsidRPr="005C1C10">
        <w:rPr>
          <w:rFonts w:ascii="Calibri" w:hAnsi="Calibri" w:cs="Calibri"/>
          <w:sz w:val="24"/>
          <w:szCs w:val="24"/>
        </w:rPr>
        <w:t>o jmenovité hodnotě 30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mld.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="00662BC0">
        <w:rPr>
          <w:rFonts w:ascii="Calibri" w:hAnsi="Calibri" w:cs="Calibri"/>
          <w:sz w:val="24"/>
          <w:szCs w:val="24"/>
        </w:rPr>
        <w:t>¥</w:t>
      </w:r>
      <w:r w:rsidRPr="005C1C10">
        <w:rPr>
          <w:rFonts w:ascii="Calibri" w:hAnsi="Calibri" w:cs="Calibri"/>
          <w:sz w:val="24"/>
          <w:szCs w:val="24"/>
        </w:rPr>
        <w:t xml:space="preserve"> se splatností 30 let. 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souvislosti se zajištěním kupónových plateb uzavřelo</w:t>
      </w:r>
      <w:r w:rsidR="006F5FD4" w:rsidRPr="006F5FD4">
        <w:rPr>
          <w:rFonts w:ascii="Calibri" w:hAnsi="Calibri" w:cs="Calibri"/>
          <w:sz w:val="24"/>
          <w:szCs w:val="24"/>
        </w:rPr>
        <w:t xml:space="preserve"> </w:t>
      </w:r>
      <w:r w:rsidR="006F5FD4" w:rsidRPr="005C1C10">
        <w:rPr>
          <w:rFonts w:ascii="Calibri" w:hAnsi="Calibri" w:cs="Calibri"/>
          <w:sz w:val="24"/>
          <w:szCs w:val="24"/>
        </w:rPr>
        <w:t>MF</w:t>
      </w:r>
      <w:r w:rsidRPr="005C1C10">
        <w:rPr>
          <w:rFonts w:ascii="Calibri" w:hAnsi="Calibri" w:cs="Calibri"/>
          <w:sz w:val="24"/>
          <w:szCs w:val="24"/>
        </w:rPr>
        <w:t xml:space="preserve"> dne 22.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12. 2005 swapovou operaci, kdy protistrana platí fixní úrokovou sazbu 2,75</w:t>
      </w:r>
      <w:r w:rsidR="00443623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>% z</w:t>
      </w:r>
      <w:r w:rsidR="00960ACC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>referenční měny 30 mld. JPY</w:t>
      </w:r>
      <w:r w:rsidR="00D57B91">
        <w:rPr>
          <w:rFonts w:ascii="Calibri" w:hAnsi="Calibri" w:cs="Calibri"/>
          <w:sz w:val="24"/>
          <w:szCs w:val="24"/>
        </w:rPr>
        <w:t>,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 xml:space="preserve">MF </w:t>
      </w:r>
      <w:r w:rsidR="00B30745">
        <w:rPr>
          <w:rFonts w:ascii="Calibri" w:hAnsi="Calibri" w:cs="Calibri"/>
          <w:sz w:val="24"/>
          <w:szCs w:val="24"/>
        </w:rPr>
        <w:t>do roku 2011</w:t>
      </w:r>
      <w:r w:rsidR="00B30745" w:rsidRPr="005C1C10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platilo pohyblivou úrokovou sazbu z</w:t>
      </w:r>
      <w:r w:rsidR="00443623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>referenční měny 6</w:t>
      </w:r>
      <w:r w:rsidR="00230CBB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>248</w:t>
      </w:r>
      <w:r w:rsidR="00230CBB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 xml:space="preserve">mil. </w:t>
      </w:r>
      <w:r w:rsidR="00443623">
        <w:rPr>
          <w:rFonts w:ascii="Calibri" w:hAnsi="Calibri" w:cs="Calibri"/>
          <w:sz w:val="24"/>
          <w:szCs w:val="24"/>
        </w:rPr>
        <w:t>Kč</w:t>
      </w:r>
      <w:r w:rsidR="00D57B91">
        <w:rPr>
          <w:rFonts w:ascii="Calibri" w:hAnsi="Calibri" w:cs="Calibri"/>
          <w:sz w:val="24"/>
          <w:szCs w:val="24"/>
        </w:rPr>
        <w:t xml:space="preserve"> a</w:t>
      </w:r>
      <w:r w:rsidR="00B30745">
        <w:rPr>
          <w:rFonts w:ascii="Calibri" w:hAnsi="Calibri" w:cs="Calibri"/>
          <w:sz w:val="24"/>
          <w:szCs w:val="24"/>
        </w:rPr>
        <w:t xml:space="preserve"> od roku 2012 mělo platit pohyblivou sazbu</w:t>
      </w:r>
      <w:r w:rsidR="00D07980">
        <w:rPr>
          <w:rFonts w:ascii="Calibri" w:hAnsi="Calibri" w:cs="Calibri"/>
          <w:sz w:val="24"/>
          <w:szCs w:val="24"/>
        </w:rPr>
        <w:t xml:space="preserve"> 12M EUR-EURIBOR minus marže 0,725 </w:t>
      </w:r>
      <w:r w:rsidR="00B30745" w:rsidRPr="00EB59D3">
        <w:rPr>
          <w:rFonts w:ascii="Calibri" w:hAnsi="Calibri" w:cs="Calibri"/>
          <w:sz w:val="24"/>
          <w:szCs w:val="24"/>
        </w:rPr>
        <w:t>z referenční měny 243</w:t>
      </w:r>
      <w:r w:rsidR="00B30745">
        <w:rPr>
          <w:rFonts w:ascii="Calibri" w:hAnsi="Calibri" w:cs="Calibri"/>
          <w:sz w:val="24"/>
          <w:szCs w:val="24"/>
        </w:rPr>
        <w:t>,</w:t>
      </w:r>
      <w:r w:rsidR="00B30745" w:rsidRPr="00EB59D3">
        <w:rPr>
          <w:rFonts w:ascii="Calibri" w:hAnsi="Calibri" w:cs="Calibri"/>
          <w:sz w:val="24"/>
          <w:szCs w:val="24"/>
        </w:rPr>
        <w:t>2</w:t>
      </w:r>
      <w:r w:rsidR="00B30745">
        <w:rPr>
          <w:rFonts w:ascii="Calibri" w:hAnsi="Calibri" w:cs="Calibri"/>
          <w:sz w:val="24"/>
          <w:szCs w:val="24"/>
        </w:rPr>
        <w:t xml:space="preserve"> mil.</w:t>
      </w:r>
      <w:r w:rsidR="00B30745" w:rsidRPr="00EB59D3">
        <w:rPr>
          <w:rFonts w:ascii="Calibri" w:hAnsi="Calibri" w:cs="Calibri"/>
          <w:sz w:val="24"/>
          <w:szCs w:val="24"/>
        </w:rPr>
        <w:t xml:space="preserve"> </w:t>
      </w:r>
      <w:r w:rsidR="006F5FD4">
        <w:rPr>
          <w:rFonts w:ascii="Calibri" w:hAnsi="Calibri" w:cs="Calibri"/>
          <w:sz w:val="24"/>
          <w:szCs w:val="24"/>
        </w:rPr>
        <w:t>€</w:t>
      </w:r>
      <w:r w:rsidRPr="005C1C10">
        <w:rPr>
          <w:rFonts w:ascii="Calibri" w:hAnsi="Calibri" w:cs="Calibri"/>
          <w:sz w:val="24"/>
          <w:szCs w:val="24"/>
        </w:rPr>
        <w:t>. Dne 15.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6.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2009 uzavřelo MF s</w:t>
      </w:r>
      <w:r w:rsidR="00662BC0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>protistranou tzv.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 xml:space="preserve">restrukturalizaci výše uvedené swapové transakce. </w:t>
      </w:r>
      <w:r w:rsidR="005C0E1C">
        <w:rPr>
          <w:rFonts w:ascii="Calibri" w:hAnsi="Calibri" w:cs="Calibri"/>
          <w:sz w:val="24"/>
          <w:szCs w:val="24"/>
        </w:rPr>
        <w:t>V</w:t>
      </w:r>
      <w:r w:rsidRPr="005C1C10">
        <w:rPr>
          <w:rFonts w:ascii="Calibri" w:hAnsi="Calibri" w:cs="Calibri"/>
          <w:sz w:val="24"/>
          <w:szCs w:val="24"/>
        </w:rPr>
        <w:t xml:space="preserve"> nových smluvních podmínkách kontraktu byl</w:t>
      </w:r>
      <w:r w:rsidR="005C0E1C">
        <w:rPr>
          <w:rFonts w:ascii="Calibri" w:hAnsi="Calibri" w:cs="Calibri"/>
          <w:sz w:val="24"/>
          <w:szCs w:val="24"/>
        </w:rPr>
        <w:t>a</w:t>
      </w:r>
      <w:r w:rsidRPr="005C1C10">
        <w:rPr>
          <w:rFonts w:ascii="Calibri" w:hAnsi="Calibri" w:cs="Calibri"/>
          <w:sz w:val="24"/>
          <w:szCs w:val="24"/>
        </w:rPr>
        <w:t xml:space="preserve"> začleněn</w:t>
      </w:r>
      <w:r w:rsidR="005C0E1C">
        <w:rPr>
          <w:rFonts w:ascii="Calibri" w:hAnsi="Calibri" w:cs="Calibri"/>
          <w:sz w:val="24"/>
          <w:szCs w:val="24"/>
        </w:rPr>
        <w:t>a</w:t>
      </w:r>
      <w:r w:rsidRPr="005C1C10">
        <w:rPr>
          <w:rFonts w:ascii="Calibri" w:hAnsi="Calibri" w:cs="Calibri"/>
          <w:sz w:val="24"/>
          <w:szCs w:val="24"/>
        </w:rPr>
        <w:t xml:space="preserve"> jednorázov</w:t>
      </w:r>
      <w:r w:rsidR="005C0E1C">
        <w:rPr>
          <w:rFonts w:ascii="Calibri" w:hAnsi="Calibri" w:cs="Calibri"/>
          <w:sz w:val="24"/>
          <w:szCs w:val="24"/>
        </w:rPr>
        <w:t>á</w:t>
      </w:r>
      <w:r w:rsidRPr="005C1C10">
        <w:rPr>
          <w:rFonts w:ascii="Calibri" w:hAnsi="Calibri" w:cs="Calibri"/>
          <w:sz w:val="24"/>
          <w:szCs w:val="24"/>
        </w:rPr>
        <w:t xml:space="preserve"> opce ve prospěch protistrany, která jí umožnila v lednu 2011 volbu, zda MF bude zavázáno do doby ukončení </w:t>
      </w:r>
      <w:r w:rsidR="00C90E0B">
        <w:rPr>
          <w:rFonts w:ascii="Calibri" w:hAnsi="Calibri" w:cs="Calibri"/>
          <w:sz w:val="24"/>
          <w:szCs w:val="24"/>
        </w:rPr>
        <w:t>swapové</w:t>
      </w:r>
      <w:r w:rsidRPr="005C1C10">
        <w:rPr>
          <w:rFonts w:ascii="Calibri" w:hAnsi="Calibri" w:cs="Calibri"/>
          <w:sz w:val="24"/>
          <w:szCs w:val="24"/>
        </w:rPr>
        <w:t xml:space="preserve"> transakce platit plovoucí sazbu</w:t>
      </w:r>
      <w:r w:rsidR="00DD37A4">
        <w:rPr>
          <w:rFonts w:ascii="Calibri" w:hAnsi="Calibri" w:cs="Calibri"/>
          <w:sz w:val="24"/>
          <w:szCs w:val="24"/>
        </w:rPr>
        <w:t xml:space="preserve"> </w:t>
      </w:r>
      <w:r w:rsidR="00D7513F">
        <w:rPr>
          <w:rFonts w:ascii="Calibri" w:hAnsi="Calibri" w:cs="Calibri"/>
          <w:sz w:val="24"/>
          <w:szCs w:val="24"/>
        </w:rPr>
        <w:br/>
      </w:r>
      <w:r w:rsidR="00D07980">
        <w:rPr>
          <w:rFonts w:ascii="Calibri" w:hAnsi="Calibri" w:cs="Calibri"/>
          <w:sz w:val="24"/>
          <w:szCs w:val="24"/>
        </w:rPr>
        <w:t>12M EUR-EURIBOR minus marže 0,90</w:t>
      </w:r>
      <w:r w:rsidR="006F5FD4">
        <w:rPr>
          <w:rFonts w:ascii="Calibri" w:hAnsi="Calibri" w:cs="Calibri"/>
          <w:sz w:val="24"/>
          <w:szCs w:val="24"/>
        </w:rPr>
        <w:t>,</w:t>
      </w:r>
      <w:r w:rsidR="00D07980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nebo fixní sazbu ve výši 3,20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%</w:t>
      </w:r>
      <w:r w:rsidR="00903308">
        <w:rPr>
          <w:rFonts w:ascii="Calibri" w:hAnsi="Calibri" w:cs="Calibri"/>
          <w:sz w:val="24"/>
          <w:szCs w:val="24"/>
        </w:rPr>
        <w:t xml:space="preserve">. </w:t>
      </w:r>
      <w:r w:rsidR="00923F66">
        <w:rPr>
          <w:rFonts w:ascii="Calibri" w:hAnsi="Calibri" w:cs="Calibri"/>
          <w:sz w:val="24"/>
          <w:szCs w:val="24"/>
        </w:rPr>
        <w:t>Referenční p</w:t>
      </w:r>
      <w:r w:rsidR="00910B20">
        <w:rPr>
          <w:rFonts w:ascii="Calibri" w:hAnsi="Calibri" w:cs="Calibri"/>
          <w:sz w:val="24"/>
          <w:szCs w:val="24"/>
        </w:rPr>
        <w:t xml:space="preserve">ohyblivá sazba </w:t>
      </w:r>
      <w:r w:rsidR="00910B20" w:rsidRPr="003A26A5">
        <w:rPr>
          <w:rFonts w:ascii="Calibri" w:hAnsi="Calibri" w:cs="Calibri"/>
          <w:sz w:val="24"/>
          <w:szCs w:val="24"/>
        </w:rPr>
        <w:t>12M EURIBOR</w:t>
      </w:r>
      <w:r w:rsidR="00910B20">
        <w:rPr>
          <w:rFonts w:ascii="Calibri" w:hAnsi="Calibri" w:cs="Calibri"/>
          <w:sz w:val="24"/>
          <w:szCs w:val="24"/>
        </w:rPr>
        <w:t xml:space="preserve"> měla po celý rok 2009 klesající tendenci (průměrná sazba </w:t>
      </w:r>
      <w:r w:rsidR="00910B20" w:rsidRPr="003A26A5">
        <w:rPr>
          <w:rFonts w:ascii="Calibri" w:hAnsi="Calibri" w:cs="Calibri"/>
          <w:sz w:val="24"/>
          <w:szCs w:val="24"/>
        </w:rPr>
        <w:t>12M EURIBOR v</w:t>
      </w:r>
      <w:r w:rsidR="00D7513F">
        <w:rPr>
          <w:rFonts w:ascii="Calibri" w:hAnsi="Calibri" w:cs="Calibri"/>
          <w:sz w:val="24"/>
          <w:szCs w:val="24"/>
        </w:rPr>
        <w:t> </w:t>
      </w:r>
      <w:r w:rsidR="00910B20" w:rsidRPr="003A26A5">
        <w:rPr>
          <w:rFonts w:ascii="Calibri" w:hAnsi="Calibri" w:cs="Calibri"/>
          <w:sz w:val="24"/>
          <w:szCs w:val="24"/>
        </w:rPr>
        <w:t xml:space="preserve">lednu 2009 </w:t>
      </w:r>
      <w:r w:rsidR="00DD41F1">
        <w:rPr>
          <w:rFonts w:ascii="Calibri" w:hAnsi="Calibri" w:cs="Calibri"/>
          <w:sz w:val="24"/>
          <w:szCs w:val="24"/>
        </w:rPr>
        <w:t>byla</w:t>
      </w:r>
      <w:r w:rsidR="00910B20" w:rsidRPr="003A26A5">
        <w:rPr>
          <w:rFonts w:ascii="Calibri" w:hAnsi="Calibri" w:cs="Calibri"/>
          <w:sz w:val="24"/>
          <w:szCs w:val="24"/>
        </w:rPr>
        <w:t xml:space="preserve"> 2,622 %</w:t>
      </w:r>
      <w:r w:rsidR="003E10BC">
        <w:rPr>
          <w:rFonts w:ascii="Calibri" w:hAnsi="Calibri" w:cs="Calibri"/>
          <w:sz w:val="24"/>
          <w:szCs w:val="24"/>
        </w:rPr>
        <w:t>,</w:t>
      </w:r>
      <w:r w:rsidR="00910B20" w:rsidRPr="003A26A5">
        <w:rPr>
          <w:rFonts w:ascii="Calibri" w:hAnsi="Calibri" w:cs="Calibri"/>
          <w:sz w:val="24"/>
          <w:szCs w:val="24"/>
        </w:rPr>
        <w:t xml:space="preserve"> 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="00910B20" w:rsidRPr="003A26A5">
        <w:rPr>
          <w:rFonts w:ascii="Calibri" w:hAnsi="Calibri" w:cs="Calibri"/>
          <w:sz w:val="24"/>
          <w:szCs w:val="24"/>
        </w:rPr>
        <w:t>červnu 2009</w:t>
      </w:r>
      <w:r w:rsidR="00910B20">
        <w:rPr>
          <w:rFonts w:ascii="Calibri" w:hAnsi="Calibri" w:cs="Calibri"/>
          <w:sz w:val="24"/>
          <w:szCs w:val="24"/>
        </w:rPr>
        <w:t xml:space="preserve">, kdy MF uzavřelo restrukturalizaci swapu, </w:t>
      </w:r>
      <w:r w:rsidR="00667BE2" w:rsidRPr="003A26A5">
        <w:rPr>
          <w:rFonts w:ascii="Calibri" w:hAnsi="Calibri" w:cs="Calibri"/>
          <w:sz w:val="24"/>
          <w:szCs w:val="24"/>
        </w:rPr>
        <w:t>činila</w:t>
      </w:r>
      <w:r w:rsidR="00667BE2">
        <w:rPr>
          <w:rFonts w:ascii="Calibri" w:hAnsi="Calibri" w:cs="Calibri"/>
          <w:sz w:val="24"/>
          <w:szCs w:val="24"/>
        </w:rPr>
        <w:t xml:space="preserve"> </w:t>
      </w:r>
      <w:r w:rsidR="00910B20">
        <w:rPr>
          <w:rFonts w:ascii="Calibri" w:hAnsi="Calibri" w:cs="Calibri"/>
          <w:sz w:val="24"/>
          <w:szCs w:val="24"/>
        </w:rPr>
        <w:t>průměrná sazba</w:t>
      </w:r>
      <w:r w:rsidR="00910B20" w:rsidRPr="00910B20">
        <w:rPr>
          <w:rFonts w:ascii="Calibri" w:hAnsi="Calibri" w:cs="Calibri"/>
          <w:sz w:val="24"/>
          <w:szCs w:val="24"/>
        </w:rPr>
        <w:t xml:space="preserve"> </w:t>
      </w:r>
      <w:r w:rsidR="00910B20" w:rsidRPr="003A26A5">
        <w:rPr>
          <w:rFonts w:ascii="Calibri" w:hAnsi="Calibri" w:cs="Calibri"/>
          <w:sz w:val="24"/>
          <w:szCs w:val="24"/>
        </w:rPr>
        <w:t>1</w:t>
      </w:r>
      <w:r w:rsidR="00910B20">
        <w:rPr>
          <w:rFonts w:ascii="Calibri" w:hAnsi="Calibri" w:cs="Calibri"/>
          <w:sz w:val="24"/>
          <w:szCs w:val="24"/>
        </w:rPr>
        <w:t>,610 %</w:t>
      </w:r>
      <w:r w:rsidR="003E10BC">
        <w:rPr>
          <w:rFonts w:ascii="Calibri" w:hAnsi="Calibri" w:cs="Calibri"/>
          <w:sz w:val="24"/>
          <w:szCs w:val="24"/>
        </w:rPr>
        <w:t xml:space="preserve"> a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="00910B20">
        <w:rPr>
          <w:rFonts w:ascii="Calibri" w:hAnsi="Calibri" w:cs="Calibri"/>
          <w:sz w:val="24"/>
          <w:szCs w:val="24"/>
        </w:rPr>
        <w:t>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="00910B20">
        <w:rPr>
          <w:rFonts w:ascii="Calibri" w:hAnsi="Calibri" w:cs="Calibri"/>
          <w:sz w:val="24"/>
          <w:szCs w:val="24"/>
        </w:rPr>
        <w:t xml:space="preserve">prosinci </w:t>
      </w:r>
      <w:r w:rsidR="006F5FD4">
        <w:rPr>
          <w:rFonts w:ascii="Calibri" w:hAnsi="Calibri" w:cs="Calibri"/>
          <w:sz w:val="24"/>
          <w:szCs w:val="24"/>
        </w:rPr>
        <w:t>téhož roku</w:t>
      </w:r>
      <w:r w:rsidR="00910B20">
        <w:rPr>
          <w:rFonts w:ascii="Calibri" w:hAnsi="Calibri" w:cs="Calibri"/>
          <w:sz w:val="24"/>
          <w:szCs w:val="24"/>
        </w:rPr>
        <w:t xml:space="preserve"> 1,242 %)</w:t>
      </w:r>
      <w:r w:rsidR="00910B20" w:rsidRPr="003A26A5">
        <w:rPr>
          <w:rFonts w:ascii="Calibri" w:hAnsi="Calibri" w:cs="Calibri"/>
          <w:sz w:val="24"/>
          <w:szCs w:val="24"/>
        </w:rPr>
        <w:t>.</w:t>
      </w:r>
      <w:r w:rsidR="00910B20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Protistrana opci využila, takže MF platí v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období od 17.</w:t>
      </w:r>
      <w:r w:rsidR="00960ACC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>1.</w:t>
      </w:r>
      <w:r w:rsidR="00960ACC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>2012 do 16.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 xml:space="preserve">1. 2036 místo </w:t>
      </w:r>
      <w:r w:rsidR="00524D4F">
        <w:rPr>
          <w:rFonts w:ascii="Calibri" w:hAnsi="Calibri" w:cs="Calibri"/>
          <w:sz w:val="24"/>
          <w:szCs w:val="24"/>
        </w:rPr>
        <w:t xml:space="preserve">původně dohodnuté </w:t>
      </w:r>
      <w:r w:rsidRPr="005C1C10">
        <w:rPr>
          <w:rFonts w:ascii="Calibri" w:hAnsi="Calibri" w:cs="Calibri"/>
          <w:sz w:val="24"/>
          <w:szCs w:val="24"/>
        </w:rPr>
        <w:t xml:space="preserve">pohyblivé sazby </w:t>
      </w:r>
      <w:r w:rsidR="00D7513F">
        <w:rPr>
          <w:rFonts w:ascii="Calibri" w:hAnsi="Calibri" w:cs="Calibri"/>
          <w:sz w:val="24"/>
          <w:szCs w:val="24"/>
        </w:rPr>
        <w:br/>
      </w:r>
      <w:r w:rsidR="00D07980">
        <w:rPr>
          <w:rFonts w:ascii="Calibri" w:hAnsi="Calibri" w:cs="Calibri"/>
          <w:sz w:val="24"/>
          <w:szCs w:val="24"/>
        </w:rPr>
        <w:t>12M EUR-EURIBOR minus marže 0,725</w:t>
      </w:r>
      <w:r w:rsidR="00D07980" w:rsidRPr="00524D4F" w:rsidDel="00D07980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 xml:space="preserve">fixní sazbu </w:t>
      </w:r>
      <w:r w:rsidR="00FF31CE">
        <w:rPr>
          <w:rFonts w:ascii="Calibri" w:hAnsi="Calibri" w:cs="Calibri"/>
          <w:sz w:val="24"/>
          <w:szCs w:val="24"/>
        </w:rPr>
        <w:t xml:space="preserve">ve výši </w:t>
      </w:r>
      <w:r w:rsidRPr="005C1C10">
        <w:rPr>
          <w:rFonts w:ascii="Calibri" w:hAnsi="Calibri" w:cs="Calibri"/>
          <w:sz w:val="24"/>
          <w:szCs w:val="24"/>
        </w:rPr>
        <w:t xml:space="preserve">3,20 % </w:t>
      </w:r>
      <w:r w:rsidR="00923F66" w:rsidRPr="005C1C10">
        <w:rPr>
          <w:rFonts w:ascii="Calibri" w:hAnsi="Calibri" w:cs="Calibri"/>
          <w:sz w:val="24"/>
          <w:szCs w:val="24"/>
        </w:rPr>
        <w:t>z</w:t>
      </w:r>
      <w:r w:rsidR="007A3C87">
        <w:rPr>
          <w:rFonts w:ascii="Calibri" w:hAnsi="Calibri" w:cs="Calibri"/>
          <w:sz w:val="24"/>
          <w:szCs w:val="24"/>
        </w:rPr>
        <w:t> </w:t>
      </w:r>
      <w:r w:rsidR="00923F66" w:rsidRPr="005C1C10">
        <w:rPr>
          <w:rFonts w:ascii="Calibri" w:hAnsi="Calibri" w:cs="Calibri"/>
          <w:sz w:val="24"/>
          <w:szCs w:val="24"/>
        </w:rPr>
        <w:t>referenční částky 243,2</w:t>
      </w:r>
      <w:r w:rsidR="00662BC0">
        <w:rPr>
          <w:rFonts w:ascii="Calibri" w:hAnsi="Calibri" w:cs="Calibri"/>
          <w:sz w:val="24"/>
          <w:szCs w:val="24"/>
        </w:rPr>
        <w:t> </w:t>
      </w:r>
      <w:r w:rsidR="00923F66" w:rsidRPr="005C1C10">
        <w:rPr>
          <w:rFonts w:ascii="Calibri" w:hAnsi="Calibri" w:cs="Calibri"/>
          <w:sz w:val="24"/>
          <w:szCs w:val="24"/>
        </w:rPr>
        <w:t>mil.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="006F5FD4">
        <w:rPr>
          <w:rFonts w:ascii="Calibri" w:hAnsi="Calibri" w:cs="Calibri"/>
          <w:sz w:val="24"/>
          <w:szCs w:val="24"/>
        </w:rPr>
        <w:t>€</w:t>
      </w:r>
      <w:r w:rsidR="00923F66">
        <w:rPr>
          <w:rFonts w:ascii="Calibri" w:hAnsi="Calibri" w:cs="Calibri"/>
          <w:sz w:val="24"/>
          <w:szCs w:val="24"/>
        </w:rPr>
        <w:t xml:space="preserve">. </w:t>
      </w:r>
      <w:r w:rsidR="003E10BC">
        <w:rPr>
          <w:rFonts w:ascii="Calibri" w:hAnsi="Calibri" w:cs="Calibri"/>
          <w:sz w:val="24"/>
          <w:szCs w:val="24"/>
        </w:rPr>
        <w:t>Pokud by MF neuzavřelo 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="003E10BC">
        <w:rPr>
          <w:rFonts w:ascii="Calibri" w:hAnsi="Calibri" w:cs="Calibri"/>
          <w:sz w:val="24"/>
          <w:szCs w:val="24"/>
        </w:rPr>
        <w:t>červnu 2009 restrukturalizaci swapu, úspora ú</w:t>
      </w:r>
      <w:r w:rsidR="003E10BC" w:rsidRPr="005C1C10">
        <w:rPr>
          <w:rFonts w:ascii="Calibri" w:hAnsi="Calibri" w:cs="Calibri"/>
          <w:sz w:val="24"/>
          <w:szCs w:val="24"/>
        </w:rPr>
        <w:t>rokov</w:t>
      </w:r>
      <w:r w:rsidR="003E10BC">
        <w:rPr>
          <w:rFonts w:ascii="Calibri" w:hAnsi="Calibri" w:cs="Calibri"/>
          <w:sz w:val="24"/>
          <w:szCs w:val="24"/>
        </w:rPr>
        <w:t xml:space="preserve">ých výdajů </w:t>
      </w:r>
      <w:r w:rsidR="003E10BC" w:rsidRPr="005C1C10">
        <w:rPr>
          <w:rFonts w:ascii="Calibri" w:hAnsi="Calibri" w:cs="Calibri"/>
          <w:sz w:val="24"/>
          <w:szCs w:val="24"/>
        </w:rPr>
        <w:t xml:space="preserve">za </w:t>
      </w:r>
      <w:r w:rsidR="003E10BC">
        <w:rPr>
          <w:rFonts w:ascii="Calibri" w:hAnsi="Calibri" w:cs="Calibri"/>
          <w:sz w:val="24"/>
          <w:szCs w:val="24"/>
        </w:rPr>
        <w:t>kontrolovaný rok</w:t>
      </w:r>
      <w:r w:rsidR="003E10BC" w:rsidRPr="005C1C10">
        <w:rPr>
          <w:rFonts w:ascii="Calibri" w:hAnsi="Calibri" w:cs="Calibri"/>
          <w:sz w:val="24"/>
          <w:szCs w:val="24"/>
        </w:rPr>
        <w:t xml:space="preserve"> 2014 </w:t>
      </w:r>
      <w:r w:rsidR="003E10BC">
        <w:rPr>
          <w:rFonts w:ascii="Calibri" w:hAnsi="Calibri" w:cs="Calibri"/>
          <w:sz w:val="24"/>
          <w:szCs w:val="24"/>
        </w:rPr>
        <w:t xml:space="preserve">by </w:t>
      </w:r>
      <w:r w:rsidR="003E10BC" w:rsidRPr="005C1C10">
        <w:rPr>
          <w:rFonts w:ascii="Calibri" w:hAnsi="Calibri" w:cs="Calibri"/>
          <w:sz w:val="24"/>
          <w:szCs w:val="24"/>
        </w:rPr>
        <w:t>činil</w:t>
      </w:r>
      <w:r w:rsidR="003E10BC">
        <w:rPr>
          <w:rFonts w:ascii="Calibri" w:hAnsi="Calibri" w:cs="Calibri"/>
          <w:sz w:val="24"/>
          <w:szCs w:val="24"/>
        </w:rPr>
        <w:t>a</w:t>
      </w:r>
      <w:r w:rsidR="003E10BC" w:rsidRPr="005C1C10">
        <w:rPr>
          <w:rFonts w:ascii="Calibri" w:hAnsi="Calibri" w:cs="Calibri"/>
          <w:sz w:val="24"/>
          <w:szCs w:val="24"/>
        </w:rPr>
        <w:t xml:space="preserve"> 216,9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="003E10BC" w:rsidRPr="005C1C10">
        <w:rPr>
          <w:rFonts w:ascii="Calibri" w:hAnsi="Calibri" w:cs="Calibri"/>
          <w:sz w:val="24"/>
          <w:szCs w:val="24"/>
        </w:rPr>
        <w:t>mil.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="003E10BC" w:rsidRPr="005C1C10">
        <w:rPr>
          <w:rFonts w:ascii="Calibri" w:hAnsi="Calibri" w:cs="Calibri"/>
          <w:sz w:val="24"/>
          <w:szCs w:val="24"/>
        </w:rPr>
        <w:t>Kč.</w:t>
      </w:r>
    </w:p>
    <w:p w14:paraId="5902D6D3" w14:textId="77777777" w:rsidR="00854B25" w:rsidRDefault="00854B25" w:rsidP="005C1C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CF8482C" w14:textId="3F5B99F0" w:rsidR="00AC032F" w:rsidRDefault="00AC032F" w:rsidP="00AC032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C1C10">
        <w:rPr>
          <w:rFonts w:ascii="Calibri" w:hAnsi="Calibri" w:cs="Calibri"/>
          <w:sz w:val="24"/>
          <w:szCs w:val="24"/>
        </w:rPr>
        <w:t>K žádosti NKÚ o poskytnutí informac</w:t>
      </w:r>
      <w:r w:rsidR="006F5FD4">
        <w:rPr>
          <w:rFonts w:ascii="Calibri" w:hAnsi="Calibri" w:cs="Calibri"/>
          <w:sz w:val="24"/>
          <w:szCs w:val="24"/>
        </w:rPr>
        <w:t>í</w:t>
      </w:r>
      <w:r w:rsidRPr="005C1C10">
        <w:rPr>
          <w:rFonts w:ascii="Calibri" w:hAnsi="Calibri" w:cs="Calibri"/>
          <w:sz w:val="24"/>
          <w:szCs w:val="24"/>
        </w:rPr>
        <w:t xml:space="preserve"> o důvodech pro uzavření restrukturalizace swapu MF ve svém sdělení uvedlo, že se lze domnívat, že tehdejší vedení MF v krizovém roce 2009 očekávalo růst úrokových sazeb, a proto se pokusilo zafixovat platby MF v přesvědčení, že ČR bude v brzké době členem eurozóny. Restrukturalizace podmínek swapové transakce však umožnila </w:t>
      </w:r>
      <w:r w:rsidR="00E12E60">
        <w:rPr>
          <w:rFonts w:ascii="Calibri" w:hAnsi="Calibri" w:cs="Calibri"/>
          <w:sz w:val="24"/>
          <w:szCs w:val="24"/>
        </w:rPr>
        <w:t>jen</w:t>
      </w:r>
      <w:r w:rsidRPr="005C1C10">
        <w:rPr>
          <w:rFonts w:ascii="Calibri" w:hAnsi="Calibri" w:cs="Calibri"/>
          <w:sz w:val="24"/>
          <w:szCs w:val="24"/>
        </w:rPr>
        <w:t xml:space="preserve"> protistraně možnost výběru typu úrokové sazby</w:t>
      </w:r>
      <w:r w:rsidR="003E10BC">
        <w:rPr>
          <w:rFonts w:ascii="Calibri" w:hAnsi="Calibri" w:cs="Calibri"/>
          <w:sz w:val="24"/>
          <w:szCs w:val="24"/>
        </w:rPr>
        <w:t>. D</w:t>
      </w:r>
      <w:r w:rsidR="003E10BC" w:rsidRPr="005C1C10">
        <w:rPr>
          <w:rFonts w:ascii="Calibri" w:hAnsi="Calibri" w:cs="Calibri"/>
          <w:sz w:val="24"/>
          <w:szCs w:val="24"/>
        </w:rPr>
        <w:t>le názoru NKÚ</w:t>
      </w:r>
      <w:r w:rsidR="003E10BC" w:rsidRPr="003E10BC">
        <w:rPr>
          <w:rFonts w:ascii="Calibri" w:hAnsi="Calibri" w:cs="Calibri"/>
          <w:sz w:val="24"/>
          <w:szCs w:val="24"/>
        </w:rPr>
        <w:t xml:space="preserve"> </w:t>
      </w:r>
      <w:r w:rsidR="003E10BC" w:rsidRPr="005C1C10">
        <w:rPr>
          <w:rFonts w:ascii="Calibri" w:hAnsi="Calibri" w:cs="Calibri"/>
          <w:sz w:val="24"/>
          <w:szCs w:val="24"/>
        </w:rPr>
        <w:t xml:space="preserve">při uzavření </w:t>
      </w:r>
      <w:r w:rsidR="003E10BC">
        <w:rPr>
          <w:rFonts w:ascii="Calibri" w:hAnsi="Calibri" w:cs="Calibri"/>
          <w:sz w:val="24"/>
          <w:szCs w:val="24"/>
        </w:rPr>
        <w:t xml:space="preserve">restrukturalizace swapu </w:t>
      </w:r>
      <w:r w:rsidR="003E10BC" w:rsidRPr="005C1C10">
        <w:rPr>
          <w:rFonts w:ascii="Calibri" w:hAnsi="Calibri" w:cs="Calibri"/>
          <w:sz w:val="24"/>
          <w:szCs w:val="24"/>
        </w:rPr>
        <w:t>v červnu 2009</w:t>
      </w:r>
      <w:r w:rsidR="003E10BC">
        <w:rPr>
          <w:rFonts w:ascii="Calibri" w:hAnsi="Calibri" w:cs="Calibri"/>
          <w:sz w:val="24"/>
          <w:szCs w:val="24"/>
        </w:rPr>
        <w:t xml:space="preserve"> </w:t>
      </w:r>
      <w:r w:rsidR="00B80FB2">
        <w:rPr>
          <w:rFonts w:ascii="Calibri" w:hAnsi="Calibri" w:cs="Calibri"/>
          <w:sz w:val="24"/>
          <w:szCs w:val="24"/>
        </w:rPr>
        <w:t>fakticky</w:t>
      </w:r>
      <w:r w:rsidR="003E10BC" w:rsidRPr="005C1C10">
        <w:rPr>
          <w:rFonts w:ascii="Calibri" w:hAnsi="Calibri" w:cs="Calibri"/>
          <w:sz w:val="24"/>
          <w:szCs w:val="24"/>
        </w:rPr>
        <w:t xml:space="preserve"> k fixaci plateb</w:t>
      </w:r>
      <w:r w:rsidR="00B80FB2">
        <w:rPr>
          <w:rFonts w:ascii="Calibri" w:hAnsi="Calibri" w:cs="Calibri"/>
          <w:sz w:val="24"/>
          <w:szCs w:val="24"/>
        </w:rPr>
        <w:t xml:space="preserve"> z</w:t>
      </w:r>
      <w:r w:rsidR="00BD03CD">
        <w:rPr>
          <w:rFonts w:ascii="Calibri" w:hAnsi="Calibri" w:cs="Calibri"/>
          <w:sz w:val="24"/>
          <w:szCs w:val="24"/>
        </w:rPr>
        <w:t xml:space="preserve"> </w:t>
      </w:r>
      <w:r w:rsidR="00B80FB2">
        <w:rPr>
          <w:rFonts w:ascii="Calibri" w:hAnsi="Calibri" w:cs="Calibri"/>
          <w:sz w:val="24"/>
          <w:szCs w:val="24"/>
        </w:rPr>
        <w:t>pohledu MF nedošlo</w:t>
      </w:r>
      <w:r w:rsidRPr="005C1C10">
        <w:rPr>
          <w:rFonts w:ascii="Calibri" w:hAnsi="Calibri" w:cs="Calibri"/>
          <w:sz w:val="24"/>
          <w:szCs w:val="24"/>
        </w:rPr>
        <w:t xml:space="preserve">, </w:t>
      </w:r>
      <w:r w:rsidR="00C90E0B">
        <w:rPr>
          <w:rFonts w:ascii="Calibri" w:hAnsi="Calibri" w:cs="Calibri"/>
          <w:sz w:val="24"/>
          <w:szCs w:val="24"/>
        </w:rPr>
        <w:t>protože</w:t>
      </w:r>
      <w:r w:rsidRPr="005C1C10">
        <w:rPr>
          <w:rFonts w:ascii="Calibri" w:hAnsi="Calibri" w:cs="Calibri"/>
          <w:sz w:val="24"/>
          <w:szCs w:val="24"/>
        </w:rPr>
        <w:t xml:space="preserve"> MF</w:t>
      </w:r>
      <w:r w:rsidR="00C90E0B">
        <w:rPr>
          <w:rFonts w:ascii="Calibri" w:hAnsi="Calibri" w:cs="Calibri"/>
          <w:sz w:val="24"/>
          <w:szCs w:val="24"/>
        </w:rPr>
        <w:t xml:space="preserve"> nemělo žádnou možnost, jak </w:t>
      </w:r>
      <w:r w:rsidRPr="005C1C10">
        <w:rPr>
          <w:rFonts w:ascii="Calibri" w:hAnsi="Calibri" w:cs="Calibri"/>
          <w:sz w:val="24"/>
          <w:szCs w:val="24"/>
        </w:rPr>
        <w:t xml:space="preserve">ovlivnit </w:t>
      </w:r>
      <w:r w:rsidR="00C90E0B">
        <w:rPr>
          <w:rFonts w:ascii="Calibri" w:hAnsi="Calibri" w:cs="Calibri"/>
          <w:sz w:val="24"/>
          <w:szCs w:val="24"/>
        </w:rPr>
        <w:t xml:space="preserve">rozhodnutí </w:t>
      </w:r>
      <w:r w:rsidRPr="005C1C10">
        <w:rPr>
          <w:rFonts w:ascii="Calibri" w:hAnsi="Calibri" w:cs="Calibri"/>
          <w:sz w:val="24"/>
          <w:szCs w:val="24"/>
        </w:rPr>
        <w:t>protistran</w:t>
      </w:r>
      <w:r w:rsidR="00C90E0B">
        <w:rPr>
          <w:rFonts w:ascii="Calibri" w:hAnsi="Calibri" w:cs="Calibri"/>
          <w:sz w:val="24"/>
          <w:szCs w:val="24"/>
        </w:rPr>
        <w:t xml:space="preserve">y o volbě typu úrokové sazby v </w:t>
      </w:r>
      <w:r w:rsidRPr="005C1C10">
        <w:rPr>
          <w:rFonts w:ascii="Calibri" w:hAnsi="Calibri" w:cs="Calibri"/>
          <w:sz w:val="24"/>
          <w:szCs w:val="24"/>
        </w:rPr>
        <w:t xml:space="preserve">lednu 2011. </w:t>
      </w:r>
    </w:p>
    <w:p w14:paraId="3BF5B2ED" w14:textId="77777777" w:rsidR="00854B25" w:rsidRPr="005C1C10" w:rsidRDefault="00854B25" w:rsidP="00AC032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BDDFA00" w14:textId="347981DC" w:rsidR="00041A0C" w:rsidRDefault="005C1C10" w:rsidP="005C1C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C1C10">
        <w:rPr>
          <w:rFonts w:ascii="Calibri" w:hAnsi="Calibri" w:cs="Calibri"/>
          <w:sz w:val="24"/>
          <w:szCs w:val="24"/>
        </w:rPr>
        <w:t xml:space="preserve">Vzhledem k tomu, že na základě emisních podmínek </w:t>
      </w:r>
      <w:r w:rsidR="00C90E0B">
        <w:rPr>
          <w:rFonts w:ascii="Calibri" w:hAnsi="Calibri" w:cs="Calibri"/>
          <w:sz w:val="24"/>
          <w:szCs w:val="24"/>
        </w:rPr>
        <w:t>předmětných</w:t>
      </w:r>
      <w:r w:rsidRPr="005C1C10">
        <w:rPr>
          <w:rFonts w:ascii="Calibri" w:hAnsi="Calibri" w:cs="Calibri"/>
          <w:sz w:val="24"/>
          <w:szCs w:val="24"/>
        </w:rPr>
        <w:t xml:space="preserve"> dluhopisů by v případě neuzavření </w:t>
      </w:r>
      <w:r w:rsidR="00F92AE7">
        <w:rPr>
          <w:rFonts w:ascii="Calibri" w:hAnsi="Calibri" w:cs="Calibri"/>
          <w:sz w:val="24"/>
          <w:szCs w:val="24"/>
        </w:rPr>
        <w:t xml:space="preserve">žádné </w:t>
      </w:r>
      <w:r w:rsidR="00F524A6">
        <w:rPr>
          <w:rFonts w:ascii="Calibri" w:hAnsi="Calibri" w:cs="Calibri"/>
          <w:sz w:val="24"/>
          <w:szCs w:val="24"/>
        </w:rPr>
        <w:t>swapo</w:t>
      </w:r>
      <w:r w:rsidRPr="005C1C10">
        <w:rPr>
          <w:rFonts w:ascii="Calibri" w:hAnsi="Calibri" w:cs="Calibri"/>
          <w:sz w:val="24"/>
          <w:szCs w:val="24"/>
        </w:rPr>
        <w:t>vé operace platilo</w:t>
      </w:r>
      <w:r w:rsidR="006F5FD4" w:rsidRPr="006F5FD4">
        <w:rPr>
          <w:rFonts w:ascii="Calibri" w:hAnsi="Calibri" w:cs="Calibri"/>
          <w:sz w:val="24"/>
          <w:szCs w:val="24"/>
        </w:rPr>
        <w:t xml:space="preserve"> </w:t>
      </w:r>
      <w:r w:rsidR="006F5FD4" w:rsidRPr="005C1C10">
        <w:rPr>
          <w:rFonts w:ascii="Calibri" w:hAnsi="Calibri" w:cs="Calibri"/>
          <w:sz w:val="24"/>
          <w:szCs w:val="24"/>
        </w:rPr>
        <w:t>MF</w:t>
      </w:r>
      <w:r w:rsidRPr="005C1C10">
        <w:rPr>
          <w:rFonts w:ascii="Calibri" w:hAnsi="Calibri" w:cs="Calibri"/>
          <w:sz w:val="24"/>
          <w:szCs w:val="24"/>
        </w:rPr>
        <w:t xml:space="preserve"> fixní úrok z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cizoměnové částky (roční úrok 2,75 % z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jistiny 30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 xml:space="preserve">mld. </w:t>
      </w:r>
      <w:r w:rsidR="00A70D2F">
        <w:rPr>
          <w:rFonts w:ascii="Calibri" w:hAnsi="Calibri" w:cs="Calibri"/>
          <w:sz w:val="24"/>
          <w:szCs w:val="24"/>
        </w:rPr>
        <w:t>jenů</w:t>
      </w:r>
      <w:r w:rsidRPr="005C1C10">
        <w:rPr>
          <w:rFonts w:ascii="Calibri" w:hAnsi="Calibri" w:cs="Calibri"/>
          <w:sz w:val="24"/>
          <w:szCs w:val="24"/>
        </w:rPr>
        <w:t>, tj. v přepočtu k 30. 9. 2015 z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jistiny cca 222,7 mil.</w:t>
      </w:r>
      <w:r w:rsidR="006F5FD4">
        <w:rPr>
          <w:rFonts w:ascii="Calibri" w:hAnsi="Calibri" w:cs="Calibri"/>
          <w:sz w:val="24"/>
          <w:szCs w:val="24"/>
        </w:rPr>
        <w:t>€</w:t>
      </w:r>
      <w:r w:rsidRPr="005C1C10">
        <w:rPr>
          <w:rFonts w:ascii="Calibri" w:hAnsi="Calibri" w:cs="Calibri"/>
          <w:sz w:val="24"/>
          <w:szCs w:val="24"/>
        </w:rPr>
        <w:t xml:space="preserve">) a po restrukturalizaci </w:t>
      </w:r>
      <w:r w:rsidR="00F524A6">
        <w:rPr>
          <w:rFonts w:ascii="Calibri" w:hAnsi="Calibri" w:cs="Calibri"/>
          <w:sz w:val="24"/>
          <w:szCs w:val="24"/>
        </w:rPr>
        <w:t>swapo</w:t>
      </w:r>
      <w:r w:rsidR="00F524A6" w:rsidRPr="005C1C10">
        <w:rPr>
          <w:rFonts w:ascii="Calibri" w:hAnsi="Calibri" w:cs="Calibri"/>
          <w:sz w:val="24"/>
          <w:szCs w:val="24"/>
        </w:rPr>
        <w:t>vé</w:t>
      </w:r>
      <w:r w:rsidRPr="005C1C10">
        <w:rPr>
          <w:rFonts w:ascii="Calibri" w:hAnsi="Calibri" w:cs="Calibri"/>
          <w:sz w:val="24"/>
          <w:szCs w:val="24"/>
        </w:rPr>
        <w:t xml:space="preserve"> operace je MF zavázáno platit od 17.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1.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2012 do 16. 1. 2036 rovněž fixní úrok z</w:t>
      </w:r>
      <w:r w:rsidR="007A3C87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 xml:space="preserve">cizoměnové částky (roční úrok 3,20 % z částky 243,2 mil. </w:t>
      </w:r>
      <w:r w:rsidR="006F5FD4">
        <w:rPr>
          <w:rFonts w:ascii="Calibri" w:hAnsi="Calibri" w:cs="Calibri"/>
          <w:sz w:val="24"/>
          <w:szCs w:val="24"/>
        </w:rPr>
        <w:t>€</w:t>
      </w:r>
      <w:r w:rsidRPr="005C1C10">
        <w:rPr>
          <w:rFonts w:ascii="Calibri" w:hAnsi="Calibri" w:cs="Calibri"/>
          <w:sz w:val="24"/>
          <w:szCs w:val="24"/>
        </w:rPr>
        <w:t xml:space="preserve">), </w:t>
      </w:r>
      <w:r w:rsidR="006F5FD4" w:rsidRPr="005C1C10">
        <w:rPr>
          <w:rFonts w:ascii="Calibri" w:hAnsi="Calibri" w:cs="Calibri"/>
          <w:sz w:val="24"/>
          <w:szCs w:val="24"/>
        </w:rPr>
        <w:t xml:space="preserve">je </w:t>
      </w:r>
      <w:r w:rsidRPr="005C1C10">
        <w:rPr>
          <w:rFonts w:ascii="Calibri" w:hAnsi="Calibri" w:cs="Calibri"/>
          <w:sz w:val="24"/>
          <w:szCs w:val="24"/>
        </w:rPr>
        <w:t xml:space="preserve">NKÚ </w:t>
      </w:r>
      <w:r w:rsidR="00935CB9">
        <w:rPr>
          <w:rFonts w:ascii="Calibri" w:hAnsi="Calibri" w:cs="Calibri"/>
          <w:sz w:val="24"/>
          <w:szCs w:val="24"/>
        </w:rPr>
        <w:t xml:space="preserve">dále </w:t>
      </w:r>
      <w:r w:rsidRPr="005C1C10">
        <w:rPr>
          <w:rFonts w:ascii="Calibri" w:hAnsi="Calibri" w:cs="Calibri"/>
          <w:sz w:val="24"/>
          <w:szCs w:val="24"/>
        </w:rPr>
        <w:t xml:space="preserve">toho názoru, že předmětná </w:t>
      </w:r>
      <w:r w:rsidR="00F524A6">
        <w:rPr>
          <w:rFonts w:ascii="Calibri" w:hAnsi="Calibri" w:cs="Calibri"/>
          <w:sz w:val="24"/>
          <w:szCs w:val="24"/>
        </w:rPr>
        <w:t>swapová</w:t>
      </w:r>
      <w:r w:rsidRPr="005C1C10">
        <w:rPr>
          <w:rFonts w:ascii="Calibri" w:hAnsi="Calibri" w:cs="Calibri"/>
          <w:sz w:val="24"/>
          <w:szCs w:val="24"/>
        </w:rPr>
        <w:t xml:space="preserve"> transakce přestala po uplatnění opce protistranou plnit charakter zajišťujíc</w:t>
      </w:r>
      <w:r w:rsidR="00041A0C">
        <w:rPr>
          <w:rFonts w:ascii="Calibri" w:hAnsi="Calibri" w:cs="Calibri"/>
          <w:sz w:val="24"/>
          <w:szCs w:val="24"/>
        </w:rPr>
        <w:t xml:space="preserve">í operace proti tržním rizikům. </w:t>
      </w:r>
    </w:p>
    <w:p w14:paraId="6DCCABE9" w14:textId="77777777" w:rsidR="00854B25" w:rsidRDefault="00854B25" w:rsidP="005C1C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FEC08A5" w14:textId="00A93FA4" w:rsidR="005C1C10" w:rsidRPr="005C1C10" w:rsidRDefault="005C1C10" w:rsidP="005C1C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C1C10">
        <w:rPr>
          <w:rFonts w:ascii="Calibri" w:hAnsi="Calibri" w:cs="Calibri"/>
          <w:sz w:val="24"/>
          <w:szCs w:val="24"/>
        </w:rPr>
        <w:t>V období od 16. 1. 2016 do 16.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1.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2036 budou v souvislosti s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 xml:space="preserve">touto </w:t>
      </w:r>
      <w:r w:rsidR="00935CB9">
        <w:rPr>
          <w:rFonts w:ascii="Calibri" w:hAnsi="Calibri" w:cs="Calibri"/>
          <w:sz w:val="24"/>
          <w:szCs w:val="24"/>
        </w:rPr>
        <w:t xml:space="preserve">restrukturalizovanou </w:t>
      </w:r>
      <w:r w:rsidR="00F524A6">
        <w:rPr>
          <w:rFonts w:ascii="Calibri" w:hAnsi="Calibri" w:cs="Calibri"/>
          <w:sz w:val="24"/>
          <w:szCs w:val="24"/>
        </w:rPr>
        <w:t>swapo</w:t>
      </w:r>
      <w:r w:rsidR="00F524A6" w:rsidRPr="005C1C10">
        <w:rPr>
          <w:rFonts w:ascii="Calibri" w:hAnsi="Calibri" w:cs="Calibri"/>
          <w:sz w:val="24"/>
          <w:szCs w:val="24"/>
        </w:rPr>
        <w:t>v</w:t>
      </w:r>
      <w:r w:rsidRPr="005C1C10">
        <w:rPr>
          <w:rFonts w:ascii="Calibri" w:hAnsi="Calibri" w:cs="Calibri"/>
          <w:sz w:val="24"/>
          <w:szCs w:val="24"/>
        </w:rPr>
        <w:t>ou transakcí činit závazky MF celkem 165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808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 xml:space="preserve">355,59 </w:t>
      </w:r>
      <w:r w:rsidR="006F5FD4">
        <w:rPr>
          <w:rFonts w:ascii="Calibri" w:hAnsi="Calibri" w:cs="Calibri"/>
          <w:sz w:val="24"/>
          <w:szCs w:val="24"/>
        </w:rPr>
        <w:t>€</w:t>
      </w:r>
      <w:r w:rsidRPr="005C1C10">
        <w:rPr>
          <w:rFonts w:ascii="Calibri" w:hAnsi="Calibri" w:cs="Calibri"/>
          <w:sz w:val="24"/>
          <w:szCs w:val="24"/>
        </w:rPr>
        <w:t>, pohledávky MF budou činit 16</w:t>
      </w:r>
      <w:r w:rsidR="00960ACC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 xml:space="preserve">912 500 000 </w:t>
      </w:r>
      <w:r w:rsidR="006F5FD4">
        <w:rPr>
          <w:rFonts w:ascii="Calibri" w:hAnsi="Calibri" w:cs="Calibri"/>
          <w:sz w:val="24"/>
          <w:szCs w:val="24"/>
        </w:rPr>
        <w:t>¥</w:t>
      </w:r>
      <w:r w:rsidRPr="005C1C10">
        <w:rPr>
          <w:rFonts w:ascii="Calibri" w:hAnsi="Calibri" w:cs="Calibri"/>
          <w:sz w:val="24"/>
          <w:szCs w:val="24"/>
        </w:rPr>
        <w:t>. Přepočteme-li tyto cizoměnov</w:t>
      </w:r>
      <w:r w:rsidR="00A70D2F">
        <w:rPr>
          <w:rFonts w:ascii="Calibri" w:hAnsi="Calibri" w:cs="Calibri"/>
          <w:sz w:val="24"/>
          <w:szCs w:val="24"/>
        </w:rPr>
        <w:t>é částky devizovým kurzem ČNB k </w:t>
      </w:r>
      <w:r w:rsidRPr="005C1C10">
        <w:rPr>
          <w:rFonts w:ascii="Calibri" w:hAnsi="Calibri" w:cs="Calibri"/>
          <w:sz w:val="24"/>
          <w:szCs w:val="24"/>
        </w:rPr>
        <w:t>30.</w:t>
      </w:r>
      <w:r w:rsidR="00A70D2F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>9.</w:t>
      </w:r>
      <w:r w:rsidR="00A70D2F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 xml:space="preserve">2015, závazky MF by převýšily pohledávky MF o 1 094 mil. Kč. Tržní hodnota </w:t>
      </w:r>
      <w:r w:rsidR="00935CB9">
        <w:rPr>
          <w:rFonts w:ascii="Calibri" w:hAnsi="Calibri" w:cs="Calibri"/>
          <w:sz w:val="24"/>
          <w:szCs w:val="24"/>
        </w:rPr>
        <w:t xml:space="preserve">tohoto </w:t>
      </w:r>
      <w:r w:rsidRPr="005C1C10">
        <w:rPr>
          <w:rFonts w:ascii="Calibri" w:hAnsi="Calibri" w:cs="Calibri"/>
          <w:sz w:val="24"/>
          <w:szCs w:val="24"/>
        </w:rPr>
        <w:t>kontraktu ke dni 31. 12. 2014 uvedená v dokumentaci inventari</w:t>
      </w:r>
      <w:r w:rsidR="00A70D2F">
        <w:rPr>
          <w:rFonts w:ascii="Calibri" w:hAnsi="Calibri" w:cs="Calibri"/>
          <w:sz w:val="24"/>
          <w:szCs w:val="24"/>
        </w:rPr>
        <w:t>zace za rok 2014 činila ‒1 </w:t>
      </w:r>
      <w:r w:rsidRPr="005C1C10">
        <w:rPr>
          <w:rFonts w:ascii="Calibri" w:hAnsi="Calibri" w:cs="Calibri"/>
          <w:sz w:val="24"/>
          <w:szCs w:val="24"/>
        </w:rPr>
        <w:t>207,8</w:t>
      </w:r>
      <w:r w:rsidR="00A70D2F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>mil.</w:t>
      </w:r>
      <w:r w:rsidR="00A70D2F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 xml:space="preserve">Kč </w:t>
      </w:r>
      <w:r w:rsidR="00974F22">
        <w:rPr>
          <w:rFonts w:ascii="Calibri" w:hAnsi="Calibri" w:cs="Calibri"/>
          <w:sz w:val="24"/>
          <w:szCs w:val="24"/>
        </w:rPr>
        <w:t>z</w:t>
      </w:r>
      <w:r w:rsidR="00960ACC">
        <w:rPr>
          <w:rFonts w:ascii="Calibri" w:hAnsi="Calibri" w:cs="Calibri"/>
          <w:sz w:val="24"/>
          <w:szCs w:val="24"/>
        </w:rPr>
        <w:t> </w:t>
      </w:r>
      <w:r w:rsidR="00974F22">
        <w:rPr>
          <w:rFonts w:ascii="Calibri" w:hAnsi="Calibri" w:cs="Calibri"/>
          <w:sz w:val="24"/>
          <w:szCs w:val="24"/>
        </w:rPr>
        <w:t>pohledu</w:t>
      </w:r>
      <w:r w:rsidRPr="005C1C10">
        <w:rPr>
          <w:rFonts w:ascii="Calibri" w:hAnsi="Calibri" w:cs="Calibri"/>
          <w:sz w:val="24"/>
          <w:szCs w:val="24"/>
        </w:rPr>
        <w:t xml:space="preserve"> MF.</w:t>
      </w:r>
    </w:p>
    <w:p w14:paraId="7D149DA5" w14:textId="77777777" w:rsidR="00246428" w:rsidRPr="00A11AFD" w:rsidRDefault="00246428" w:rsidP="00EF31A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AF0BEE0" w14:textId="77777777" w:rsidR="005C1C10" w:rsidRPr="000D5096" w:rsidRDefault="00EF31A1" w:rsidP="00EF31A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D5096">
        <w:rPr>
          <w:rFonts w:ascii="Calibri" w:hAnsi="Calibri" w:cs="Calibri"/>
          <w:b/>
          <w:sz w:val="24"/>
          <w:szCs w:val="24"/>
        </w:rPr>
        <w:lastRenderedPageBreak/>
        <w:t>P</w:t>
      </w:r>
      <w:r w:rsidR="005C1C10" w:rsidRPr="000D5096">
        <w:rPr>
          <w:rFonts w:ascii="Calibri" w:hAnsi="Calibri" w:cs="Calibri"/>
          <w:b/>
          <w:sz w:val="24"/>
          <w:szCs w:val="24"/>
        </w:rPr>
        <w:t>ortfolio cizoměnových dluhopisů a jeho měnové zajištění k 31. 12. 2014</w:t>
      </w:r>
    </w:p>
    <w:p w14:paraId="20D75BA3" w14:textId="77777777" w:rsidR="00A11AFD" w:rsidRDefault="00A11AFD" w:rsidP="00AC032F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0E341E7" w14:textId="77FB1C44" w:rsidR="00AC032F" w:rsidRPr="00F430D3" w:rsidRDefault="005C1C10" w:rsidP="00AC032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C1C10">
        <w:rPr>
          <w:rFonts w:cstheme="minorHAnsi"/>
          <w:color w:val="000000" w:themeColor="text1"/>
          <w:sz w:val="24"/>
          <w:szCs w:val="24"/>
        </w:rPr>
        <w:t>Stav jistin cizoměnových státních dluhopisů k 31. 12. 2014 činil celkem 239,58 mld. Kč. Z tohoto</w:t>
      </w:r>
      <w:r w:rsidRPr="005C1C10">
        <w:rPr>
          <w:rFonts w:ascii="Calibri" w:hAnsi="Calibri" w:cs="Calibri"/>
          <w:sz w:val="24"/>
          <w:szCs w:val="24"/>
        </w:rPr>
        <w:t xml:space="preserve"> objemu vydaných a dosud nesplacených cizoměnových dluhopisů k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datu 31. 12. 2014 zajistilo MF pomocí měnových swapů jistiny těchto dluhopisů proti měnovému riziku v celkové výši 22,6</w:t>
      </w:r>
      <w:r w:rsidR="00960ACC">
        <w:rPr>
          <w:rFonts w:ascii="Calibri" w:hAnsi="Calibri" w:cs="Calibri"/>
          <w:sz w:val="24"/>
          <w:szCs w:val="24"/>
        </w:rPr>
        <w:t> </w:t>
      </w:r>
      <w:r w:rsidRPr="005C1C10">
        <w:rPr>
          <w:rFonts w:ascii="Calibri" w:hAnsi="Calibri" w:cs="Calibri"/>
          <w:sz w:val="24"/>
          <w:szCs w:val="24"/>
        </w:rPr>
        <w:t>% objemu těchto dluhopisů, 77,4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 xml:space="preserve">% objemu cizoměnových dluhopisů </w:t>
      </w:r>
      <w:r w:rsidR="006F5FD4">
        <w:rPr>
          <w:rFonts w:ascii="Calibri" w:hAnsi="Calibri" w:cs="Calibri"/>
          <w:sz w:val="24"/>
          <w:szCs w:val="24"/>
        </w:rPr>
        <w:t xml:space="preserve">tedy </w:t>
      </w:r>
      <w:r w:rsidRPr="005C1C10">
        <w:rPr>
          <w:rFonts w:ascii="Calibri" w:hAnsi="Calibri" w:cs="Calibri"/>
          <w:sz w:val="24"/>
          <w:szCs w:val="24"/>
        </w:rPr>
        <w:t xml:space="preserve">nebylo měnovými swapy zajištěno. </w:t>
      </w:r>
      <w:r w:rsidR="00AC032F" w:rsidRPr="00F430D3">
        <w:rPr>
          <w:rFonts w:ascii="Calibri" w:hAnsi="Calibri" w:cs="Calibri"/>
          <w:sz w:val="24"/>
          <w:szCs w:val="24"/>
        </w:rPr>
        <w:t>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="00AC032F" w:rsidRPr="00F430D3">
        <w:rPr>
          <w:rFonts w:ascii="Calibri" w:hAnsi="Calibri" w:cs="Calibri"/>
          <w:sz w:val="24"/>
          <w:szCs w:val="24"/>
        </w:rPr>
        <w:t xml:space="preserve">roce 2014 neuzavřelo MF žádnou </w:t>
      </w:r>
      <w:r w:rsidR="00AC032F">
        <w:rPr>
          <w:rFonts w:ascii="Calibri" w:hAnsi="Calibri" w:cs="Calibri"/>
          <w:sz w:val="24"/>
          <w:szCs w:val="24"/>
        </w:rPr>
        <w:t>zajišťující měnovou swapovou</w:t>
      </w:r>
      <w:r w:rsidR="00AC032F" w:rsidRPr="00F430D3">
        <w:rPr>
          <w:rFonts w:ascii="Calibri" w:hAnsi="Calibri" w:cs="Calibri"/>
          <w:sz w:val="24"/>
          <w:szCs w:val="24"/>
        </w:rPr>
        <w:t xml:space="preserve"> operaci s</w:t>
      </w:r>
      <w:r w:rsidR="00E12E60">
        <w:rPr>
          <w:rFonts w:ascii="Calibri" w:hAnsi="Calibri" w:cs="Calibri"/>
          <w:sz w:val="24"/>
          <w:szCs w:val="24"/>
        </w:rPr>
        <w:t>e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="00AC032F" w:rsidRPr="00F430D3">
        <w:rPr>
          <w:rFonts w:ascii="Calibri" w:hAnsi="Calibri" w:cs="Calibri"/>
          <w:sz w:val="24"/>
          <w:szCs w:val="24"/>
        </w:rPr>
        <w:t>splatností</w:t>
      </w:r>
      <w:r w:rsidR="00E12E60">
        <w:rPr>
          <w:rFonts w:ascii="Calibri" w:hAnsi="Calibri" w:cs="Calibri"/>
          <w:sz w:val="24"/>
          <w:szCs w:val="24"/>
        </w:rPr>
        <w:t xml:space="preserve"> delší než jeden rok.</w:t>
      </w:r>
      <w:r w:rsidR="00AC032F" w:rsidRPr="00411695">
        <w:rPr>
          <w:rFonts w:ascii="Calibri" w:hAnsi="Calibri" w:cs="Calibri"/>
          <w:sz w:val="24"/>
          <w:szCs w:val="24"/>
        </w:rPr>
        <w:t xml:space="preserve"> </w:t>
      </w:r>
      <w:r w:rsidR="00AC032F" w:rsidRPr="00411695">
        <w:rPr>
          <w:rFonts w:cstheme="minorHAnsi"/>
          <w:color w:val="000000" w:themeColor="text1"/>
          <w:sz w:val="24"/>
          <w:szCs w:val="24"/>
        </w:rPr>
        <w:t xml:space="preserve">Česká národní banka </w:t>
      </w:r>
      <w:r w:rsidR="00E12E60" w:rsidRPr="00411695">
        <w:rPr>
          <w:rFonts w:cstheme="minorHAnsi"/>
          <w:color w:val="000000" w:themeColor="text1"/>
          <w:sz w:val="24"/>
          <w:szCs w:val="24"/>
        </w:rPr>
        <w:t xml:space="preserve">opakovaně </w:t>
      </w:r>
      <w:r w:rsidR="00AC032F" w:rsidRPr="00411695">
        <w:rPr>
          <w:rFonts w:cstheme="minorHAnsi"/>
          <w:color w:val="000000" w:themeColor="text1"/>
          <w:sz w:val="24"/>
          <w:szCs w:val="24"/>
        </w:rPr>
        <w:t xml:space="preserve">od listopadu 2013 </w:t>
      </w:r>
      <w:r w:rsidR="006F5FD4">
        <w:rPr>
          <w:rFonts w:cstheme="minorHAnsi"/>
          <w:color w:val="000000" w:themeColor="text1"/>
          <w:sz w:val="24"/>
          <w:szCs w:val="24"/>
        </w:rPr>
        <w:t>potvrzovala</w:t>
      </w:r>
      <w:r w:rsidR="00AC032F" w:rsidRPr="00411695">
        <w:rPr>
          <w:rFonts w:cstheme="minorHAnsi"/>
          <w:color w:val="000000" w:themeColor="text1"/>
          <w:sz w:val="24"/>
          <w:szCs w:val="24"/>
        </w:rPr>
        <w:t xml:space="preserve"> svůj závazek intervenovat v případě potřeby na devizovém trhu na oslabení kurzu tak,</w:t>
      </w:r>
      <w:r w:rsidR="00AC032F" w:rsidRPr="00411695">
        <w:rPr>
          <w:rFonts w:ascii="Calibri" w:hAnsi="Calibri" w:cs="Calibri"/>
          <w:sz w:val="24"/>
          <w:szCs w:val="24"/>
        </w:rPr>
        <w:t xml:space="preserve"> aby udržovala kurz koruny vůči euru poblíž hladiny 27 korun za euro.</w:t>
      </w:r>
      <w:r w:rsidR="00606E91" w:rsidRPr="00606E91">
        <w:t xml:space="preserve"> </w:t>
      </w:r>
    </w:p>
    <w:p w14:paraId="2963EB8C" w14:textId="77777777" w:rsidR="00EF5DA2" w:rsidRPr="00A11AFD" w:rsidRDefault="00EF5DA2" w:rsidP="00EF31A1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9502F47" w14:textId="77777777" w:rsidR="005C1C10" w:rsidRPr="000D5096" w:rsidRDefault="00EF31A1" w:rsidP="00EF31A1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0D5096">
        <w:rPr>
          <w:rFonts w:ascii="Calibri" w:hAnsi="Calibri" w:cs="Calibri"/>
          <w:b/>
          <w:sz w:val="24"/>
          <w:szCs w:val="24"/>
        </w:rPr>
        <w:t>H</w:t>
      </w:r>
      <w:r w:rsidR="005C1C10" w:rsidRPr="000D5096">
        <w:rPr>
          <w:rFonts w:ascii="Calibri" w:hAnsi="Calibri" w:cs="Calibri"/>
          <w:b/>
          <w:sz w:val="24"/>
          <w:szCs w:val="24"/>
        </w:rPr>
        <w:t xml:space="preserve">odnota </w:t>
      </w:r>
      <w:r w:rsidR="00E4163A" w:rsidRPr="000D5096">
        <w:rPr>
          <w:rFonts w:ascii="Calibri" w:hAnsi="Calibri" w:cs="Calibri"/>
          <w:b/>
          <w:sz w:val="24"/>
          <w:szCs w:val="24"/>
        </w:rPr>
        <w:t xml:space="preserve">existujících </w:t>
      </w:r>
      <w:r w:rsidR="00533DB7" w:rsidRPr="000D5096">
        <w:rPr>
          <w:rFonts w:ascii="Calibri" w:hAnsi="Calibri" w:cs="Calibri"/>
          <w:b/>
          <w:sz w:val="24"/>
          <w:szCs w:val="24"/>
        </w:rPr>
        <w:t>swapových</w:t>
      </w:r>
      <w:r w:rsidR="005C1C10" w:rsidRPr="000D5096">
        <w:rPr>
          <w:rFonts w:ascii="Calibri" w:hAnsi="Calibri" w:cs="Calibri"/>
          <w:b/>
          <w:sz w:val="24"/>
          <w:szCs w:val="24"/>
        </w:rPr>
        <w:t xml:space="preserve"> operací </w:t>
      </w:r>
      <w:r w:rsidR="00E4163A" w:rsidRPr="000D5096">
        <w:rPr>
          <w:rFonts w:ascii="Calibri" w:hAnsi="Calibri" w:cs="Calibri"/>
          <w:b/>
          <w:sz w:val="24"/>
          <w:szCs w:val="24"/>
        </w:rPr>
        <w:t xml:space="preserve">MF </w:t>
      </w:r>
      <w:r w:rsidR="005C1C10" w:rsidRPr="000D5096">
        <w:rPr>
          <w:rFonts w:ascii="Calibri" w:hAnsi="Calibri" w:cs="Calibri"/>
          <w:b/>
          <w:sz w:val="24"/>
          <w:szCs w:val="24"/>
        </w:rPr>
        <w:t>ke dni 31. 12. 2014</w:t>
      </w:r>
    </w:p>
    <w:p w14:paraId="14329ED5" w14:textId="77777777" w:rsidR="00A11AFD" w:rsidRDefault="00A11AFD" w:rsidP="005C1C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5042020" w14:textId="5BEAD786" w:rsidR="005C1C10" w:rsidRPr="005C1C10" w:rsidRDefault="005C1C10" w:rsidP="005C1C10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5C1C10">
        <w:rPr>
          <w:rFonts w:ascii="Calibri" w:hAnsi="Calibri" w:cs="Calibri"/>
          <w:sz w:val="24"/>
          <w:szCs w:val="24"/>
        </w:rPr>
        <w:t>Tržní hodnota existujících swapových operací</w:t>
      </w:r>
      <w:r w:rsidR="001F4B6D">
        <w:rPr>
          <w:rStyle w:val="Znakapoznpodarou"/>
          <w:rFonts w:ascii="Calibri" w:hAnsi="Calibri" w:cs="Calibri"/>
          <w:sz w:val="24"/>
          <w:szCs w:val="24"/>
        </w:rPr>
        <w:footnoteReference w:id="10"/>
      </w:r>
      <w:r w:rsidRPr="005C1C10">
        <w:rPr>
          <w:rFonts w:ascii="Calibri" w:hAnsi="Calibri" w:cs="Calibri"/>
          <w:sz w:val="24"/>
          <w:szCs w:val="24"/>
        </w:rPr>
        <w:t xml:space="preserve"> ke dni 31. 12. 2014 zajišťujících portfolio státního dluhu činila </w:t>
      </w:r>
      <w:r w:rsidR="00A70D2F">
        <w:rPr>
          <w:rFonts w:ascii="Calibri" w:hAnsi="Calibri" w:cs="Calibri"/>
          <w:sz w:val="24"/>
          <w:szCs w:val="24"/>
        </w:rPr>
        <w:t>‒</w:t>
      </w:r>
      <w:r w:rsidRPr="005C1C10">
        <w:rPr>
          <w:rFonts w:ascii="Calibri" w:hAnsi="Calibri" w:cs="Calibri"/>
          <w:sz w:val="24"/>
          <w:szCs w:val="24"/>
        </w:rPr>
        <w:t>2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069,4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mil.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Kč z pohledu MF. Záporné hodnoty vykazují zejména swapové operace uzavírané před více než 10 roky v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 w:rsidRPr="005C1C10">
        <w:rPr>
          <w:rFonts w:ascii="Calibri" w:hAnsi="Calibri" w:cs="Calibri"/>
          <w:sz w:val="24"/>
          <w:szCs w:val="24"/>
        </w:rPr>
        <w:t>letech 2003 až 2005</w:t>
      </w:r>
      <w:r w:rsidR="00B3371C">
        <w:rPr>
          <w:rFonts w:ascii="Calibri" w:hAnsi="Calibri" w:cs="Calibri"/>
          <w:sz w:val="24"/>
          <w:szCs w:val="24"/>
        </w:rPr>
        <w:t xml:space="preserve"> (</w:t>
      </w:r>
      <w:r w:rsidR="00A70D2F">
        <w:rPr>
          <w:rFonts w:ascii="Calibri" w:hAnsi="Calibri" w:cs="Calibri"/>
          <w:sz w:val="24"/>
          <w:szCs w:val="24"/>
        </w:rPr>
        <w:t>‒</w:t>
      </w:r>
      <w:r w:rsidR="00B3371C">
        <w:rPr>
          <w:rFonts w:ascii="Calibri" w:hAnsi="Calibri" w:cs="Calibri"/>
          <w:sz w:val="24"/>
          <w:szCs w:val="24"/>
        </w:rPr>
        <w:t>9,1 mld. Kč k</w:t>
      </w:r>
      <w:r w:rsidR="00960ACC">
        <w:rPr>
          <w:rFonts w:ascii="Calibri" w:hAnsi="Calibri" w:cs="Calibri"/>
          <w:sz w:val="24"/>
          <w:szCs w:val="24"/>
        </w:rPr>
        <w:t> </w:t>
      </w:r>
      <w:r w:rsidR="00B3371C">
        <w:rPr>
          <w:rFonts w:ascii="Calibri" w:hAnsi="Calibri" w:cs="Calibri"/>
          <w:sz w:val="24"/>
          <w:szCs w:val="24"/>
        </w:rPr>
        <w:t>31.</w:t>
      </w:r>
      <w:r w:rsidR="00960ACC">
        <w:rPr>
          <w:rFonts w:ascii="Calibri" w:hAnsi="Calibri" w:cs="Calibri"/>
          <w:sz w:val="24"/>
          <w:szCs w:val="24"/>
        </w:rPr>
        <w:t> </w:t>
      </w:r>
      <w:r w:rsidR="00B3371C">
        <w:rPr>
          <w:rFonts w:ascii="Calibri" w:hAnsi="Calibri" w:cs="Calibri"/>
          <w:sz w:val="24"/>
          <w:szCs w:val="24"/>
        </w:rPr>
        <w:t>12.</w:t>
      </w:r>
      <w:r w:rsidR="00960ACC">
        <w:rPr>
          <w:rFonts w:ascii="Calibri" w:hAnsi="Calibri" w:cs="Calibri"/>
          <w:sz w:val="24"/>
          <w:szCs w:val="24"/>
        </w:rPr>
        <w:t> </w:t>
      </w:r>
      <w:r w:rsidR="00B3371C">
        <w:rPr>
          <w:rFonts w:ascii="Calibri" w:hAnsi="Calibri" w:cs="Calibri"/>
          <w:sz w:val="24"/>
          <w:szCs w:val="24"/>
        </w:rPr>
        <w:t>2014)</w:t>
      </w:r>
      <w:r w:rsidRPr="005C1C10">
        <w:rPr>
          <w:rFonts w:ascii="Calibri" w:hAnsi="Calibri" w:cs="Calibri"/>
          <w:sz w:val="24"/>
          <w:szCs w:val="24"/>
        </w:rPr>
        <w:t xml:space="preserve">. </w:t>
      </w:r>
    </w:p>
    <w:p w14:paraId="3A516828" w14:textId="77777777" w:rsidR="00832603" w:rsidRPr="00F430D3" w:rsidRDefault="00832603" w:rsidP="00882EDD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0159C2C" w14:textId="77777777" w:rsidR="00671E1E" w:rsidRPr="005410BF" w:rsidRDefault="00671E1E" w:rsidP="00671E1E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5410BF">
        <w:rPr>
          <w:rFonts w:ascii="Calibri" w:hAnsi="Calibri" w:cs="Calibri"/>
          <w:b/>
          <w:bCs/>
          <w:sz w:val="24"/>
          <w:szCs w:val="24"/>
        </w:rPr>
        <w:t>Výdaje a operace kapitoly SD související s</w:t>
      </w:r>
      <w:r w:rsidR="00430901" w:rsidRPr="005410B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410BF">
        <w:rPr>
          <w:rFonts w:ascii="Calibri" w:hAnsi="Calibri" w:cs="Calibri"/>
          <w:b/>
          <w:bCs/>
          <w:sz w:val="24"/>
          <w:szCs w:val="24"/>
        </w:rPr>
        <w:t xml:space="preserve">emisemi státních pokladničních poukázek </w:t>
      </w:r>
    </w:p>
    <w:p w14:paraId="3815356D" w14:textId="77777777" w:rsidR="00A11AFD" w:rsidRDefault="00A11AFD" w:rsidP="007C10B3">
      <w:pPr>
        <w:spacing w:after="0" w:line="240" w:lineRule="auto"/>
        <w:ind w:left="44"/>
        <w:jc w:val="both"/>
        <w:rPr>
          <w:rFonts w:ascii="Calibri" w:eastAsiaTheme="minorHAnsi" w:hAnsi="Calibri" w:cs="Calibri"/>
          <w:sz w:val="24"/>
          <w:szCs w:val="24"/>
        </w:rPr>
      </w:pPr>
    </w:p>
    <w:p w14:paraId="20AF7097" w14:textId="781956AC" w:rsidR="00671E1E" w:rsidRPr="005410BF" w:rsidRDefault="00671E1E" w:rsidP="007C10B3">
      <w:pPr>
        <w:spacing w:after="0" w:line="240" w:lineRule="auto"/>
        <w:ind w:left="44"/>
        <w:jc w:val="both"/>
        <w:rPr>
          <w:rFonts w:cstheme="minorHAnsi"/>
          <w:color w:val="000000"/>
          <w:sz w:val="24"/>
          <w:szCs w:val="24"/>
        </w:rPr>
      </w:pPr>
      <w:r w:rsidRPr="005410BF">
        <w:rPr>
          <w:rFonts w:ascii="Calibri" w:eastAsiaTheme="minorHAnsi" w:hAnsi="Calibri" w:cs="Calibri"/>
          <w:sz w:val="24"/>
          <w:szCs w:val="24"/>
        </w:rPr>
        <w:t xml:space="preserve">Z celkového počtu </w:t>
      </w:r>
      <w:r w:rsidR="00A70D2F">
        <w:rPr>
          <w:rFonts w:ascii="Calibri" w:eastAsiaTheme="minorHAnsi" w:hAnsi="Calibri" w:cs="Calibri"/>
          <w:sz w:val="24"/>
          <w:szCs w:val="24"/>
        </w:rPr>
        <w:t>16</w:t>
      </w:r>
      <w:r w:rsidRPr="005410BF">
        <w:rPr>
          <w:rFonts w:ascii="Calibri" w:eastAsiaTheme="minorHAnsi" w:hAnsi="Calibri" w:cs="Calibri"/>
          <w:sz w:val="24"/>
          <w:szCs w:val="24"/>
        </w:rPr>
        <w:t xml:space="preserve"> emisí SPP splatných v roce 2014 bylo ke kontrole vybráno šest emisí. U</w:t>
      </w:r>
      <w:r w:rsidR="00D80365">
        <w:rPr>
          <w:rFonts w:ascii="Calibri" w:eastAsiaTheme="minorHAnsi" w:hAnsi="Calibri" w:cs="Calibri"/>
          <w:sz w:val="24"/>
          <w:szCs w:val="24"/>
        </w:rPr>
        <w:t> </w:t>
      </w:r>
      <w:r w:rsidRPr="005410BF">
        <w:rPr>
          <w:rFonts w:ascii="Calibri" w:eastAsiaTheme="minorHAnsi" w:hAnsi="Calibri" w:cs="Calibri"/>
          <w:sz w:val="24"/>
          <w:szCs w:val="24"/>
        </w:rPr>
        <w:t>emisí SPP realizovaných v roce 2014 bylo ke kontrole vybráno sedm emisí z</w:t>
      </w:r>
      <w:r w:rsidR="00430901" w:rsidRPr="005410BF">
        <w:rPr>
          <w:rFonts w:ascii="Calibri" w:eastAsiaTheme="minorHAnsi" w:hAnsi="Calibri" w:cs="Calibri"/>
          <w:sz w:val="24"/>
          <w:szCs w:val="24"/>
        </w:rPr>
        <w:t xml:space="preserve"> </w:t>
      </w:r>
      <w:r w:rsidRPr="005410BF">
        <w:rPr>
          <w:rFonts w:ascii="Calibri" w:eastAsiaTheme="minorHAnsi" w:hAnsi="Calibri" w:cs="Calibri"/>
          <w:sz w:val="24"/>
          <w:szCs w:val="24"/>
        </w:rPr>
        <w:t>celkov</w:t>
      </w:r>
      <w:r w:rsidR="00A70D2F">
        <w:rPr>
          <w:rFonts w:ascii="Calibri" w:eastAsiaTheme="minorHAnsi" w:hAnsi="Calibri" w:cs="Calibri"/>
          <w:sz w:val="24"/>
          <w:szCs w:val="24"/>
        </w:rPr>
        <w:t>ých</w:t>
      </w:r>
      <w:r w:rsidRPr="005410BF">
        <w:rPr>
          <w:rFonts w:ascii="Calibri" w:eastAsiaTheme="minorHAnsi" w:hAnsi="Calibri" w:cs="Calibri"/>
          <w:sz w:val="24"/>
          <w:szCs w:val="24"/>
        </w:rPr>
        <w:t xml:space="preserve"> </w:t>
      </w:r>
      <w:r w:rsidR="00A70D2F">
        <w:rPr>
          <w:rFonts w:ascii="Calibri" w:eastAsiaTheme="minorHAnsi" w:hAnsi="Calibri" w:cs="Calibri"/>
          <w:sz w:val="24"/>
          <w:szCs w:val="24"/>
        </w:rPr>
        <w:t>17</w:t>
      </w:r>
      <w:r w:rsidRPr="005410BF">
        <w:rPr>
          <w:rFonts w:ascii="Calibri" w:eastAsiaTheme="minorHAnsi" w:hAnsi="Calibri" w:cs="Calibri"/>
          <w:sz w:val="24"/>
          <w:szCs w:val="24"/>
        </w:rPr>
        <w:t>. Dosažené úrokové sazby se pohybovaly v</w:t>
      </w:r>
      <w:r w:rsidR="00430901" w:rsidRPr="005410BF">
        <w:rPr>
          <w:rFonts w:ascii="Calibri" w:eastAsiaTheme="minorHAnsi" w:hAnsi="Calibri" w:cs="Calibri"/>
          <w:sz w:val="24"/>
          <w:szCs w:val="24"/>
        </w:rPr>
        <w:t xml:space="preserve"> </w:t>
      </w:r>
      <w:r w:rsidR="00A70D2F">
        <w:rPr>
          <w:rFonts w:ascii="Calibri" w:eastAsiaTheme="minorHAnsi" w:hAnsi="Calibri" w:cs="Calibri"/>
          <w:sz w:val="24"/>
          <w:szCs w:val="24"/>
        </w:rPr>
        <w:t>intervalu od 0,07 </w:t>
      </w:r>
      <w:r w:rsidR="00A70D2F" w:rsidRPr="005410BF">
        <w:rPr>
          <w:rFonts w:ascii="Calibri" w:eastAsiaTheme="minorHAnsi" w:hAnsi="Calibri" w:cs="Calibri"/>
          <w:sz w:val="24"/>
          <w:szCs w:val="24"/>
        </w:rPr>
        <w:t>%</w:t>
      </w:r>
      <w:r w:rsidR="00A70D2F">
        <w:rPr>
          <w:rFonts w:ascii="Calibri" w:eastAsiaTheme="minorHAnsi" w:hAnsi="Calibri" w:cs="Calibri"/>
          <w:sz w:val="24"/>
          <w:szCs w:val="24"/>
        </w:rPr>
        <w:t> p. </w:t>
      </w:r>
      <w:r w:rsidR="00A70D2F" w:rsidRPr="005410BF">
        <w:rPr>
          <w:rFonts w:ascii="Calibri" w:eastAsiaTheme="minorHAnsi" w:hAnsi="Calibri" w:cs="Calibri"/>
          <w:sz w:val="24"/>
          <w:szCs w:val="24"/>
        </w:rPr>
        <w:t>a</w:t>
      </w:r>
      <w:r w:rsidR="00A70D2F">
        <w:rPr>
          <w:rFonts w:ascii="Calibri" w:eastAsiaTheme="minorHAnsi" w:hAnsi="Calibri" w:cs="Calibri"/>
          <w:sz w:val="24"/>
          <w:szCs w:val="24"/>
        </w:rPr>
        <w:t xml:space="preserve"> do 0,09 </w:t>
      </w:r>
      <w:r w:rsidRPr="005410BF">
        <w:rPr>
          <w:rFonts w:ascii="Calibri" w:eastAsiaTheme="minorHAnsi" w:hAnsi="Calibri" w:cs="Calibri"/>
          <w:sz w:val="24"/>
          <w:szCs w:val="24"/>
        </w:rPr>
        <w:t>%</w:t>
      </w:r>
      <w:r w:rsidR="00A70D2F">
        <w:rPr>
          <w:rFonts w:ascii="Calibri" w:eastAsiaTheme="minorHAnsi" w:hAnsi="Calibri" w:cs="Calibri"/>
          <w:sz w:val="24"/>
          <w:szCs w:val="24"/>
        </w:rPr>
        <w:t> p. </w:t>
      </w:r>
      <w:r w:rsidR="00440DB0" w:rsidRPr="005410BF">
        <w:rPr>
          <w:rFonts w:ascii="Calibri" w:eastAsiaTheme="minorHAnsi" w:hAnsi="Calibri" w:cs="Calibri"/>
          <w:sz w:val="24"/>
          <w:szCs w:val="24"/>
        </w:rPr>
        <w:t>a</w:t>
      </w:r>
      <w:r w:rsidRPr="005410BF">
        <w:rPr>
          <w:rFonts w:ascii="Calibri" w:eastAsiaTheme="minorHAnsi" w:hAnsi="Calibri" w:cs="Calibri"/>
          <w:sz w:val="24"/>
          <w:szCs w:val="24"/>
        </w:rPr>
        <w:t xml:space="preserve">. </w:t>
      </w:r>
      <w:r w:rsidRPr="005410BF">
        <w:rPr>
          <w:rFonts w:cstheme="minorHAnsi"/>
          <w:color w:val="000000" w:themeColor="text1"/>
          <w:sz w:val="24"/>
          <w:szCs w:val="24"/>
        </w:rPr>
        <w:t>NKÚ prověřil výdaje související s</w:t>
      </w:r>
      <w:r w:rsidR="006F5FD4">
        <w:rPr>
          <w:rFonts w:cstheme="minorHAnsi"/>
          <w:color w:val="000000" w:themeColor="text1"/>
          <w:sz w:val="24"/>
          <w:szCs w:val="24"/>
        </w:rPr>
        <w:t>e</w:t>
      </w:r>
      <w:r w:rsidRPr="005410BF">
        <w:rPr>
          <w:rFonts w:cstheme="minorHAnsi"/>
          <w:color w:val="000000" w:themeColor="text1"/>
          <w:sz w:val="24"/>
          <w:szCs w:val="24"/>
        </w:rPr>
        <w:t xml:space="preserve"> SPP v</w:t>
      </w:r>
      <w:r w:rsidR="00430901" w:rsidRPr="005410BF">
        <w:rPr>
          <w:rFonts w:cstheme="minorHAnsi"/>
          <w:color w:val="000000" w:themeColor="text1"/>
          <w:sz w:val="24"/>
          <w:szCs w:val="24"/>
        </w:rPr>
        <w:t xml:space="preserve"> </w:t>
      </w:r>
      <w:r w:rsidRPr="005410BF">
        <w:rPr>
          <w:rFonts w:cstheme="minorHAnsi"/>
          <w:color w:val="000000" w:themeColor="text1"/>
          <w:sz w:val="24"/>
          <w:szCs w:val="24"/>
        </w:rPr>
        <w:t xml:space="preserve">celkové výši 34,5 mil. Kč a </w:t>
      </w:r>
      <w:r w:rsidR="007C10B3" w:rsidRPr="005410BF">
        <w:rPr>
          <w:rFonts w:cstheme="minorHAnsi"/>
          <w:color w:val="000000" w:themeColor="text1"/>
          <w:sz w:val="24"/>
          <w:szCs w:val="24"/>
        </w:rPr>
        <w:t xml:space="preserve">emise včetně </w:t>
      </w:r>
      <w:r w:rsidRPr="005410BF">
        <w:rPr>
          <w:rFonts w:cstheme="minorHAnsi"/>
          <w:color w:val="000000" w:themeColor="text1"/>
          <w:sz w:val="24"/>
          <w:szCs w:val="24"/>
        </w:rPr>
        <w:t>splát</w:t>
      </w:r>
      <w:r w:rsidR="007C10B3" w:rsidRPr="005410BF">
        <w:rPr>
          <w:rFonts w:cstheme="minorHAnsi"/>
          <w:color w:val="000000" w:themeColor="text1"/>
          <w:sz w:val="24"/>
          <w:szCs w:val="24"/>
        </w:rPr>
        <w:t>e</w:t>
      </w:r>
      <w:r w:rsidRPr="005410BF">
        <w:rPr>
          <w:rFonts w:cstheme="minorHAnsi"/>
          <w:color w:val="000000" w:themeColor="text1"/>
          <w:sz w:val="24"/>
          <w:szCs w:val="24"/>
        </w:rPr>
        <w:t>k SPP v</w:t>
      </w:r>
      <w:r w:rsidR="00960ACC">
        <w:rPr>
          <w:rFonts w:cstheme="minorHAnsi"/>
          <w:color w:val="000000" w:themeColor="text1"/>
          <w:sz w:val="24"/>
          <w:szCs w:val="24"/>
        </w:rPr>
        <w:t> </w:t>
      </w:r>
      <w:r w:rsidRPr="005410BF">
        <w:rPr>
          <w:rFonts w:cstheme="minorHAnsi"/>
          <w:color w:val="000000" w:themeColor="text1"/>
          <w:sz w:val="24"/>
          <w:szCs w:val="24"/>
        </w:rPr>
        <w:t xml:space="preserve">celkové hodnotě </w:t>
      </w:r>
      <w:r w:rsidR="00E23762" w:rsidRPr="005410BF">
        <w:rPr>
          <w:rFonts w:cstheme="minorHAnsi"/>
          <w:color w:val="000000" w:themeColor="text1"/>
          <w:sz w:val="24"/>
          <w:szCs w:val="24"/>
        </w:rPr>
        <w:t xml:space="preserve">102,9 mld. </w:t>
      </w:r>
      <w:r w:rsidRPr="005410BF">
        <w:rPr>
          <w:rFonts w:cstheme="minorHAnsi"/>
          <w:color w:val="000000" w:themeColor="text1"/>
          <w:sz w:val="24"/>
          <w:szCs w:val="24"/>
        </w:rPr>
        <w:t xml:space="preserve">Kč. </w:t>
      </w:r>
      <w:r w:rsidRPr="005410BF">
        <w:rPr>
          <w:rFonts w:cstheme="minorHAnsi"/>
          <w:color w:val="000000"/>
          <w:sz w:val="24"/>
          <w:szCs w:val="24"/>
        </w:rPr>
        <w:t>Zůstatky SPP k 31. 12. 2014 se shodovaly se zůstatky ověřenými kontrolou a</w:t>
      </w:r>
      <w:r w:rsidR="00430901" w:rsidRPr="005410BF">
        <w:rPr>
          <w:rFonts w:cstheme="minorHAnsi"/>
          <w:color w:val="000000"/>
          <w:sz w:val="24"/>
          <w:szCs w:val="24"/>
        </w:rPr>
        <w:t xml:space="preserve"> </w:t>
      </w:r>
      <w:r w:rsidRPr="005410BF">
        <w:rPr>
          <w:rFonts w:cstheme="minorHAnsi"/>
          <w:color w:val="000000"/>
          <w:sz w:val="24"/>
          <w:szCs w:val="24"/>
        </w:rPr>
        <w:t>potvrzenými inventarizací. Údaje o počtu emitovaných SPP všech kontrolovaných emisí souhlasily s údaji uvedenými v návrhu SZÚ</w:t>
      </w:r>
      <w:r w:rsidR="00EA40F0" w:rsidRPr="005410BF">
        <w:rPr>
          <w:rFonts w:cstheme="minorHAnsi"/>
          <w:color w:val="000000"/>
          <w:sz w:val="24"/>
          <w:szCs w:val="24"/>
        </w:rPr>
        <w:t xml:space="preserve"> </w:t>
      </w:r>
      <w:r w:rsidR="00950E09" w:rsidRPr="005410BF">
        <w:rPr>
          <w:rFonts w:cstheme="minorHAnsi"/>
          <w:color w:val="000000"/>
          <w:sz w:val="24"/>
          <w:szCs w:val="24"/>
        </w:rPr>
        <w:t>za</w:t>
      </w:r>
      <w:r w:rsidR="00EA40F0" w:rsidRPr="005410BF">
        <w:rPr>
          <w:rFonts w:cstheme="minorHAnsi"/>
          <w:color w:val="000000"/>
          <w:sz w:val="24"/>
          <w:szCs w:val="24"/>
        </w:rPr>
        <w:t xml:space="preserve"> rok 2014</w:t>
      </w:r>
      <w:r w:rsidR="00807621" w:rsidRPr="005410BF">
        <w:rPr>
          <w:rFonts w:cstheme="minorHAnsi"/>
          <w:color w:val="000000"/>
          <w:sz w:val="24"/>
          <w:szCs w:val="24"/>
        </w:rPr>
        <w:t>.</w:t>
      </w:r>
    </w:p>
    <w:p w14:paraId="057F0A1B" w14:textId="77777777" w:rsidR="00D115EB" w:rsidRPr="005410BF" w:rsidRDefault="00D115EB" w:rsidP="00854B25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5B35897" w14:textId="77777777" w:rsidR="00671E1E" w:rsidRPr="005410BF" w:rsidRDefault="00671E1E" w:rsidP="000D5096">
      <w:pPr>
        <w:spacing w:after="0" w:line="240" w:lineRule="auto"/>
        <w:contextualSpacing/>
        <w:rPr>
          <w:rFonts w:ascii="Calibri" w:hAnsi="Calibri" w:cs="Calibri"/>
          <w:b/>
          <w:bCs/>
          <w:sz w:val="24"/>
          <w:szCs w:val="24"/>
        </w:rPr>
      </w:pPr>
      <w:r w:rsidRPr="005410BF">
        <w:rPr>
          <w:rFonts w:ascii="Calibri" w:hAnsi="Calibri" w:cs="Calibri"/>
          <w:b/>
          <w:bCs/>
          <w:sz w:val="24"/>
          <w:szCs w:val="24"/>
        </w:rPr>
        <w:t>Výdaje a operace kapitoly SD související s</w:t>
      </w:r>
      <w:r w:rsidR="00430901" w:rsidRPr="005410B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410BF">
        <w:rPr>
          <w:rFonts w:ascii="Calibri" w:hAnsi="Calibri" w:cs="Calibri"/>
          <w:b/>
          <w:bCs/>
          <w:sz w:val="24"/>
          <w:szCs w:val="24"/>
        </w:rPr>
        <w:t>tuzemskými emisemi střednědobých a</w:t>
      </w:r>
      <w:r w:rsidR="00960ACC">
        <w:rPr>
          <w:rFonts w:ascii="Calibri" w:hAnsi="Calibri" w:cs="Calibri"/>
          <w:b/>
          <w:bCs/>
          <w:sz w:val="24"/>
          <w:szCs w:val="24"/>
        </w:rPr>
        <w:t> </w:t>
      </w:r>
      <w:r w:rsidRPr="005410BF">
        <w:rPr>
          <w:rFonts w:ascii="Calibri" w:hAnsi="Calibri" w:cs="Calibri"/>
          <w:b/>
          <w:bCs/>
          <w:sz w:val="24"/>
          <w:szCs w:val="24"/>
        </w:rPr>
        <w:t xml:space="preserve">dlouhodobých dluhopisů </w:t>
      </w:r>
    </w:p>
    <w:p w14:paraId="7C5A8E31" w14:textId="77777777" w:rsidR="00A11AFD" w:rsidRDefault="00A11AFD" w:rsidP="00854B25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90DD906" w14:textId="6F76B732" w:rsidR="00671E1E" w:rsidRDefault="00671E1E" w:rsidP="00854B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10BF">
        <w:rPr>
          <w:rFonts w:cstheme="minorHAnsi"/>
          <w:color w:val="000000"/>
          <w:sz w:val="24"/>
          <w:szCs w:val="24"/>
        </w:rPr>
        <w:t xml:space="preserve">V roce 2014 </w:t>
      </w:r>
      <w:r w:rsidR="002D755F" w:rsidRPr="005410BF">
        <w:rPr>
          <w:rFonts w:cstheme="minorHAnsi"/>
          <w:color w:val="000000"/>
          <w:sz w:val="24"/>
          <w:szCs w:val="24"/>
        </w:rPr>
        <w:t xml:space="preserve">byly emitovány </w:t>
      </w:r>
      <w:r w:rsidRPr="005410BF">
        <w:rPr>
          <w:rFonts w:cstheme="minorHAnsi"/>
          <w:color w:val="000000"/>
          <w:sz w:val="24"/>
          <w:szCs w:val="24"/>
        </w:rPr>
        <w:t>SDD na primárním (tuzemském) trhu</w:t>
      </w:r>
      <w:r w:rsidR="002D755F" w:rsidRPr="005410BF">
        <w:rPr>
          <w:rFonts w:cstheme="minorHAnsi"/>
          <w:color w:val="000000"/>
          <w:sz w:val="24"/>
          <w:szCs w:val="24"/>
        </w:rPr>
        <w:t xml:space="preserve"> </w:t>
      </w:r>
      <w:r w:rsidRPr="005410BF">
        <w:rPr>
          <w:rFonts w:cstheme="minorHAnsi"/>
          <w:color w:val="000000"/>
          <w:sz w:val="24"/>
          <w:szCs w:val="24"/>
        </w:rPr>
        <w:t>ve jmenovité hodnotě 144</w:t>
      </w:r>
      <w:r w:rsidR="00950E09" w:rsidRPr="005410BF">
        <w:rPr>
          <w:rFonts w:cstheme="minorHAnsi"/>
          <w:color w:val="000000"/>
          <w:sz w:val="24"/>
          <w:szCs w:val="24"/>
        </w:rPr>
        <w:t>,3</w:t>
      </w:r>
      <w:r w:rsidR="00960ACC">
        <w:rPr>
          <w:rFonts w:cstheme="minorHAnsi"/>
          <w:color w:val="000000"/>
          <w:sz w:val="24"/>
          <w:szCs w:val="24"/>
        </w:rPr>
        <w:t> </w:t>
      </w:r>
      <w:r w:rsidRPr="005410BF">
        <w:rPr>
          <w:rFonts w:cstheme="minorHAnsi"/>
          <w:color w:val="000000"/>
          <w:sz w:val="24"/>
          <w:szCs w:val="24"/>
        </w:rPr>
        <w:t>ml</w:t>
      </w:r>
      <w:r w:rsidR="00950E09" w:rsidRPr="005410BF">
        <w:rPr>
          <w:rFonts w:cstheme="minorHAnsi"/>
          <w:color w:val="000000"/>
          <w:sz w:val="24"/>
          <w:szCs w:val="24"/>
        </w:rPr>
        <w:t>d</w:t>
      </w:r>
      <w:r w:rsidRPr="005410BF">
        <w:rPr>
          <w:rFonts w:cstheme="minorHAnsi"/>
          <w:color w:val="000000"/>
          <w:sz w:val="24"/>
          <w:szCs w:val="24"/>
        </w:rPr>
        <w:t>. Kč, z toho 110</w:t>
      </w:r>
      <w:r w:rsidR="00950E09" w:rsidRPr="005410BF">
        <w:rPr>
          <w:rFonts w:cstheme="minorHAnsi"/>
          <w:color w:val="000000"/>
          <w:sz w:val="24"/>
          <w:szCs w:val="24"/>
        </w:rPr>
        <w:t>,</w:t>
      </w:r>
      <w:r w:rsidRPr="005410BF">
        <w:rPr>
          <w:rFonts w:cstheme="minorHAnsi"/>
          <w:color w:val="000000"/>
          <w:sz w:val="24"/>
          <w:szCs w:val="24"/>
        </w:rPr>
        <w:t>4 ml</w:t>
      </w:r>
      <w:r w:rsidR="00950E09" w:rsidRPr="005410BF">
        <w:rPr>
          <w:rFonts w:cstheme="minorHAnsi"/>
          <w:color w:val="000000"/>
          <w:sz w:val="24"/>
          <w:szCs w:val="24"/>
        </w:rPr>
        <w:t>d</w:t>
      </w:r>
      <w:r w:rsidRPr="005410BF">
        <w:rPr>
          <w:rFonts w:cstheme="minorHAnsi"/>
          <w:color w:val="000000"/>
          <w:sz w:val="24"/>
          <w:szCs w:val="24"/>
        </w:rPr>
        <w:t>. Kč činily emise fixně úročených a 33</w:t>
      </w:r>
      <w:r w:rsidR="00950E09" w:rsidRPr="005410BF">
        <w:rPr>
          <w:rFonts w:cstheme="minorHAnsi"/>
          <w:color w:val="000000"/>
          <w:sz w:val="24"/>
          <w:szCs w:val="24"/>
        </w:rPr>
        <w:t>,9</w:t>
      </w:r>
      <w:r w:rsidRPr="005410BF">
        <w:rPr>
          <w:rFonts w:cstheme="minorHAnsi"/>
          <w:color w:val="000000"/>
          <w:sz w:val="24"/>
          <w:szCs w:val="24"/>
        </w:rPr>
        <w:t xml:space="preserve"> ml</w:t>
      </w:r>
      <w:r w:rsidR="00950E09" w:rsidRPr="005410BF">
        <w:rPr>
          <w:rFonts w:cstheme="minorHAnsi"/>
          <w:color w:val="000000"/>
          <w:sz w:val="24"/>
          <w:szCs w:val="24"/>
        </w:rPr>
        <w:t>d</w:t>
      </w:r>
      <w:r w:rsidRPr="005410BF">
        <w:rPr>
          <w:rFonts w:cstheme="minorHAnsi"/>
          <w:color w:val="000000"/>
          <w:sz w:val="24"/>
          <w:szCs w:val="24"/>
        </w:rPr>
        <w:t>. Kč variabilně úročených dluhopisů.</w:t>
      </w:r>
      <w:r w:rsidRPr="005410BF">
        <w:t xml:space="preserve"> </w:t>
      </w:r>
      <w:r w:rsidRPr="005410BF">
        <w:rPr>
          <w:rFonts w:cstheme="minorHAnsi"/>
          <w:color w:val="000000"/>
          <w:sz w:val="24"/>
          <w:szCs w:val="24"/>
        </w:rPr>
        <w:t>Splátky SDD na tuzemském trhu v roce 2014 činily 57</w:t>
      </w:r>
      <w:r w:rsidR="00950E09" w:rsidRPr="005410BF">
        <w:rPr>
          <w:rFonts w:cstheme="minorHAnsi"/>
          <w:color w:val="000000"/>
          <w:sz w:val="24"/>
          <w:szCs w:val="24"/>
        </w:rPr>
        <w:t>,3</w:t>
      </w:r>
      <w:r w:rsidRPr="005410BF">
        <w:rPr>
          <w:rFonts w:cstheme="minorHAnsi"/>
          <w:color w:val="000000"/>
          <w:sz w:val="24"/>
          <w:szCs w:val="24"/>
        </w:rPr>
        <w:t xml:space="preserve"> ml</w:t>
      </w:r>
      <w:r w:rsidR="00950E09" w:rsidRPr="005410BF">
        <w:rPr>
          <w:rFonts w:cstheme="minorHAnsi"/>
          <w:color w:val="000000"/>
          <w:sz w:val="24"/>
          <w:szCs w:val="24"/>
        </w:rPr>
        <w:t>d</w:t>
      </w:r>
      <w:r w:rsidRPr="005410BF">
        <w:rPr>
          <w:rFonts w:cstheme="minorHAnsi"/>
          <w:color w:val="000000"/>
          <w:sz w:val="24"/>
          <w:szCs w:val="24"/>
        </w:rPr>
        <w:t>. Kč. Z této částky činila 46</w:t>
      </w:r>
      <w:r w:rsidR="00950E09" w:rsidRPr="005410BF">
        <w:rPr>
          <w:rFonts w:cstheme="minorHAnsi"/>
          <w:color w:val="000000"/>
          <w:sz w:val="24"/>
          <w:szCs w:val="24"/>
        </w:rPr>
        <w:t>,</w:t>
      </w:r>
      <w:r w:rsidRPr="005410BF">
        <w:rPr>
          <w:rFonts w:cstheme="minorHAnsi"/>
          <w:color w:val="000000"/>
          <w:sz w:val="24"/>
          <w:szCs w:val="24"/>
        </w:rPr>
        <w:t>0 ml</w:t>
      </w:r>
      <w:r w:rsidR="00950E09" w:rsidRPr="005410BF">
        <w:rPr>
          <w:rFonts w:cstheme="minorHAnsi"/>
          <w:color w:val="000000"/>
          <w:sz w:val="24"/>
          <w:szCs w:val="24"/>
        </w:rPr>
        <w:t>d</w:t>
      </w:r>
      <w:r w:rsidRPr="005410BF">
        <w:rPr>
          <w:rFonts w:cstheme="minorHAnsi"/>
          <w:color w:val="000000"/>
          <w:sz w:val="24"/>
          <w:szCs w:val="24"/>
        </w:rPr>
        <w:t>. Kč splátka jistiny 62. emise tříletých státních dluhopisů z roku 2011 a</w:t>
      </w:r>
      <w:r w:rsidR="00960ACC">
        <w:rPr>
          <w:rFonts w:cstheme="minorHAnsi"/>
          <w:color w:val="000000"/>
          <w:sz w:val="24"/>
          <w:szCs w:val="24"/>
        </w:rPr>
        <w:t> </w:t>
      </w:r>
      <w:r w:rsidRPr="005410BF">
        <w:rPr>
          <w:rFonts w:cstheme="minorHAnsi"/>
          <w:color w:val="000000"/>
          <w:sz w:val="24"/>
          <w:szCs w:val="24"/>
        </w:rPr>
        <w:t>11</w:t>
      </w:r>
      <w:r w:rsidR="00950E09" w:rsidRPr="005410BF">
        <w:rPr>
          <w:rFonts w:cstheme="minorHAnsi"/>
          <w:color w:val="000000"/>
          <w:sz w:val="24"/>
          <w:szCs w:val="24"/>
        </w:rPr>
        <w:t>,3</w:t>
      </w:r>
      <w:r w:rsidR="00960ACC">
        <w:rPr>
          <w:rFonts w:cstheme="minorHAnsi"/>
          <w:color w:val="000000"/>
          <w:sz w:val="24"/>
          <w:szCs w:val="24"/>
        </w:rPr>
        <w:t> </w:t>
      </w:r>
      <w:r w:rsidRPr="005410BF">
        <w:rPr>
          <w:rFonts w:cstheme="minorHAnsi"/>
          <w:color w:val="000000"/>
          <w:sz w:val="24"/>
          <w:szCs w:val="24"/>
        </w:rPr>
        <w:t>ml</w:t>
      </w:r>
      <w:r w:rsidR="00950E09" w:rsidRPr="005410BF">
        <w:rPr>
          <w:rFonts w:cstheme="minorHAnsi"/>
          <w:color w:val="000000"/>
          <w:sz w:val="24"/>
          <w:szCs w:val="24"/>
        </w:rPr>
        <w:t>d</w:t>
      </w:r>
      <w:r w:rsidRPr="005410BF">
        <w:rPr>
          <w:rFonts w:cstheme="minorHAnsi"/>
          <w:color w:val="000000"/>
          <w:sz w:val="24"/>
          <w:szCs w:val="24"/>
        </w:rPr>
        <w:t xml:space="preserve">. Kč </w:t>
      </w:r>
      <w:r w:rsidR="00843F5C">
        <w:rPr>
          <w:rFonts w:cstheme="minorHAnsi"/>
          <w:color w:val="000000"/>
          <w:sz w:val="24"/>
          <w:szCs w:val="24"/>
        </w:rPr>
        <w:t>tvořila</w:t>
      </w:r>
      <w:r w:rsidRPr="005410BF">
        <w:rPr>
          <w:rFonts w:cstheme="minorHAnsi"/>
          <w:color w:val="000000"/>
          <w:sz w:val="24"/>
          <w:szCs w:val="24"/>
        </w:rPr>
        <w:t xml:space="preserve"> celková suma zpětných odkupů SDD realizovaných v roce 2014.</w:t>
      </w:r>
      <w:r w:rsidRPr="005410BF">
        <w:rPr>
          <w:rFonts w:cstheme="minorHAnsi"/>
          <w:sz w:val="24"/>
          <w:szCs w:val="24"/>
        </w:rPr>
        <w:t xml:space="preserve"> </w:t>
      </w:r>
      <w:r w:rsidR="00843F5C" w:rsidRPr="005410BF">
        <w:rPr>
          <w:rFonts w:cstheme="minorHAnsi"/>
          <w:sz w:val="24"/>
          <w:szCs w:val="24"/>
        </w:rPr>
        <w:t xml:space="preserve">NKÚ </w:t>
      </w:r>
      <w:r w:rsidR="00843F5C">
        <w:rPr>
          <w:rFonts w:cstheme="minorHAnsi"/>
          <w:sz w:val="24"/>
          <w:szCs w:val="24"/>
        </w:rPr>
        <w:t>v</w:t>
      </w:r>
      <w:r w:rsidR="00960ACC">
        <w:rPr>
          <w:rFonts w:cstheme="minorHAnsi"/>
          <w:sz w:val="24"/>
          <w:szCs w:val="24"/>
        </w:rPr>
        <w:t> </w:t>
      </w:r>
      <w:r w:rsidRPr="005410BF">
        <w:rPr>
          <w:rFonts w:cstheme="minorHAnsi"/>
          <w:sz w:val="24"/>
          <w:szCs w:val="24"/>
        </w:rPr>
        <w:t xml:space="preserve">průběhu kontrolní akce </w:t>
      </w:r>
      <w:r w:rsidR="00843F5C">
        <w:rPr>
          <w:rFonts w:cstheme="minorHAnsi"/>
          <w:sz w:val="24"/>
          <w:szCs w:val="24"/>
        </w:rPr>
        <w:t>prověřil</w:t>
      </w:r>
      <w:r w:rsidRPr="005410BF">
        <w:rPr>
          <w:rFonts w:cstheme="minorHAnsi"/>
          <w:sz w:val="24"/>
          <w:szCs w:val="24"/>
        </w:rPr>
        <w:t xml:space="preserve"> úrokové výdaje SDD v celkové výši 13</w:t>
      </w:r>
      <w:r w:rsidR="00950E09" w:rsidRPr="005410BF">
        <w:rPr>
          <w:rFonts w:cstheme="minorHAnsi"/>
          <w:sz w:val="24"/>
          <w:szCs w:val="24"/>
        </w:rPr>
        <w:t>,</w:t>
      </w:r>
      <w:r w:rsidRPr="005410BF">
        <w:rPr>
          <w:rFonts w:cstheme="minorHAnsi"/>
          <w:sz w:val="24"/>
          <w:szCs w:val="24"/>
        </w:rPr>
        <w:t>0 ml</w:t>
      </w:r>
      <w:r w:rsidR="00950E09" w:rsidRPr="005410BF">
        <w:rPr>
          <w:rFonts w:cstheme="minorHAnsi"/>
          <w:sz w:val="24"/>
          <w:szCs w:val="24"/>
        </w:rPr>
        <w:t>d</w:t>
      </w:r>
      <w:r w:rsidRPr="005410BF">
        <w:rPr>
          <w:rFonts w:cstheme="minorHAnsi"/>
          <w:sz w:val="24"/>
          <w:szCs w:val="24"/>
        </w:rPr>
        <w:t>. Kč. Kontrolou nebyly zjištěny nedostatky.</w:t>
      </w:r>
    </w:p>
    <w:p w14:paraId="634B9252" w14:textId="7F1F0DF9" w:rsidR="00D80365" w:rsidRDefault="00D803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5393724" w14:textId="385EDC38" w:rsidR="00671E1E" w:rsidRPr="005410BF" w:rsidRDefault="00671E1E" w:rsidP="00854B25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5410BF">
        <w:rPr>
          <w:rFonts w:ascii="Calibri" w:hAnsi="Calibri" w:cs="Calibri"/>
          <w:b/>
          <w:bCs/>
          <w:sz w:val="24"/>
          <w:szCs w:val="24"/>
        </w:rPr>
        <w:lastRenderedPageBreak/>
        <w:t>Výdaje a operace kapitoly SD související s</w:t>
      </w:r>
      <w:r w:rsidR="00430901" w:rsidRPr="005410B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410BF">
        <w:rPr>
          <w:rFonts w:ascii="Calibri" w:hAnsi="Calibri" w:cs="Calibri"/>
          <w:b/>
          <w:bCs/>
          <w:sz w:val="24"/>
          <w:szCs w:val="24"/>
        </w:rPr>
        <w:t>emisemi státních spoř</w:t>
      </w:r>
      <w:r w:rsidR="00843F5C">
        <w:rPr>
          <w:rFonts w:ascii="Calibri" w:hAnsi="Calibri" w:cs="Calibri"/>
          <w:b/>
          <w:bCs/>
          <w:sz w:val="24"/>
          <w:szCs w:val="24"/>
        </w:rPr>
        <w:t>i</w:t>
      </w:r>
      <w:r w:rsidRPr="005410BF">
        <w:rPr>
          <w:rFonts w:ascii="Calibri" w:hAnsi="Calibri" w:cs="Calibri"/>
          <w:b/>
          <w:bCs/>
          <w:sz w:val="24"/>
          <w:szCs w:val="24"/>
        </w:rPr>
        <w:t xml:space="preserve">cích dluhopisů </w:t>
      </w:r>
    </w:p>
    <w:p w14:paraId="5F055ABC" w14:textId="77777777" w:rsidR="00A11AFD" w:rsidRDefault="00A11AFD" w:rsidP="00854B25">
      <w:pPr>
        <w:spacing w:after="0" w:line="240" w:lineRule="auto"/>
        <w:jc w:val="both"/>
        <w:rPr>
          <w:rFonts w:ascii="Calibri" w:eastAsiaTheme="minorHAnsi" w:hAnsi="Calibri" w:cs="Calibri"/>
          <w:sz w:val="24"/>
          <w:szCs w:val="24"/>
        </w:rPr>
      </w:pPr>
    </w:p>
    <w:p w14:paraId="6B76C565" w14:textId="2A332F48" w:rsidR="00671E1E" w:rsidRDefault="00671E1E" w:rsidP="00854B25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410BF">
        <w:rPr>
          <w:rFonts w:ascii="Calibri" w:eastAsiaTheme="minorHAnsi" w:hAnsi="Calibri" w:cs="Calibri"/>
          <w:sz w:val="24"/>
          <w:szCs w:val="24"/>
        </w:rPr>
        <w:t>Z</w:t>
      </w:r>
      <w:r w:rsidR="00430901" w:rsidRPr="005410BF">
        <w:rPr>
          <w:rFonts w:ascii="Calibri" w:eastAsiaTheme="minorHAnsi" w:hAnsi="Calibri" w:cs="Calibri"/>
          <w:sz w:val="24"/>
          <w:szCs w:val="24"/>
        </w:rPr>
        <w:t xml:space="preserve"> </w:t>
      </w:r>
      <w:r w:rsidRPr="005410BF">
        <w:rPr>
          <w:rFonts w:ascii="Calibri" w:eastAsiaTheme="minorHAnsi" w:hAnsi="Calibri" w:cs="Calibri"/>
          <w:sz w:val="24"/>
          <w:szCs w:val="24"/>
        </w:rPr>
        <w:t>celkového počtu dvaceti emisí realizovaných postupně v</w:t>
      </w:r>
      <w:r w:rsidR="00430901" w:rsidRPr="005410BF">
        <w:rPr>
          <w:rFonts w:ascii="Calibri" w:eastAsiaTheme="minorHAnsi" w:hAnsi="Calibri" w:cs="Calibri"/>
          <w:sz w:val="24"/>
          <w:szCs w:val="24"/>
        </w:rPr>
        <w:t xml:space="preserve"> </w:t>
      </w:r>
      <w:r w:rsidRPr="005410BF">
        <w:rPr>
          <w:rFonts w:ascii="Calibri" w:eastAsiaTheme="minorHAnsi" w:hAnsi="Calibri" w:cs="Calibri"/>
          <w:sz w:val="24"/>
          <w:szCs w:val="24"/>
        </w:rPr>
        <w:t>šesti různých obdobích od roku 2011 do konce roku 2014 bylo ke kontrole vybráno šest emisí. Hlavním kritériem pro výběr kontrol</w:t>
      </w:r>
      <w:r w:rsidR="000C71E1">
        <w:rPr>
          <w:rFonts w:ascii="Calibri" w:eastAsiaTheme="minorHAnsi" w:hAnsi="Calibri" w:cs="Calibri"/>
          <w:sz w:val="24"/>
          <w:szCs w:val="24"/>
        </w:rPr>
        <w:t>ního</w:t>
      </w:r>
      <w:r w:rsidRPr="005410BF">
        <w:rPr>
          <w:rFonts w:ascii="Calibri" w:eastAsiaTheme="minorHAnsi" w:hAnsi="Calibri" w:cs="Calibri"/>
          <w:sz w:val="24"/>
          <w:szCs w:val="24"/>
        </w:rPr>
        <w:t xml:space="preserve"> vzorku byly různé typy emisí (diskontovaný SSD, reinvestiční SSD, protiinflační SSD, variabilní SSD) a v</w:t>
      </w:r>
      <w:r w:rsidR="00430901" w:rsidRPr="005410BF">
        <w:rPr>
          <w:rFonts w:ascii="Calibri" w:eastAsiaTheme="minorHAnsi" w:hAnsi="Calibri" w:cs="Calibri"/>
          <w:sz w:val="24"/>
          <w:szCs w:val="24"/>
        </w:rPr>
        <w:t xml:space="preserve"> </w:t>
      </w:r>
      <w:r w:rsidRPr="005410BF">
        <w:rPr>
          <w:rFonts w:ascii="Calibri" w:eastAsiaTheme="minorHAnsi" w:hAnsi="Calibri" w:cs="Calibri"/>
          <w:sz w:val="24"/>
          <w:szCs w:val="24"/>
        </w:rPr>
        <w:t xml:space="preserve">rámci tohoto kritéria </w:t>
      </w:r>
      <w:r w:rsidR="00843F5C">
        <w:rPr>
          <w:rFonts w:ascii="Calibri" w:eastAsiaTheme="minorHAnsi" w:hAnsi="Calibri" w:cs="Calibri"/>
          <w:sz w:val="24"/>
          <w:szCs w:val="24"/>
        </w:rPr>
        <w:t xml:space="preserve">pak byly vybírány </w:t>
      </w:r>
      <w:r w:rsidRPr="005410BF">
        <w:rPr>
          <w:rFonts w:ascii="Calibri" w:eastAsiaTheme="minorHAnsi" w:hAnsi="Calibri" w:cs="Calibri"/>
          <w:sz w:val="24"/>
          <w:szCs w:val="24"/>
        </w:rPr>
        <w:t>t</w:t>
      </w:r>
      <w:r w:rsidR="007C10B3" w:rsidRPr="005410BF">
        <w:rPr>
          <w:rFonts w:ascii="Calibri" w:eastAsiaTheme="minorHAnsi" w:hAnsi="Calibri" w:cs="Calibri"/>
          <w:sz w:val="24"/>
          <w:szCs w:val="24"/>
        </w:rPr>
        <w:t>akové</w:t>
      </w:r>
      <w:r w:rsidRPr="005410BF">
        <w:rPr>
          <w:rFonts w:ascii="Calibri" w:eastAsiaTheme="minorHAnsi" w:hAnsi="Calibri" w:cs="Calibri"/>
          <w:sz w:val="24"/>
          <w:szCs w:val="24"/>
        </w:rPr>
        <w:t xml:space="preserve"> emise, kterým v</w:t>
      </w:r>
      <w:r w:rsidR="00430901" w:rsidRPr="005410BF">
        <w:rPr>
          <w:rFonts w:ascii="Calibri" w:eastAsiaTheme="minorHAnsi" w:hAnsi="Calibri" w:cs="Calibri"/>
          <w:sz w:val="24"/>
          <w:szCs w:val="24"/>
        </w:rPr>
        <w:t xml:space="preserve"> </w:t>
      </w:r>
      <w:r w:rsidRPr="005410BF">
        <w:rPr>
          <w:rFonts w:ascii="Calibri" w:eastAsiaTheme="minorHAnsi" w:hAnsi="Calibri" w:cs="Calibri"/>
          <w:sz w:val="24"/>
          <w:szCs w:val="24"/>
        </w:rPr>
        <w:t>roce 2014 uplynula řádná lhůta splatnosti</w:t>
      </w:r>
      <w:r w:rsidR="00BA118E">
        <w:rPr>
          <w:rFonts w:ascii="Calibri" w:eastAsiaTheme="minorHAnsi" w:hAnsi="Calibri" w:cs="Calibri"/>
          <w:sz w:val="24"/>
          <w:szCs w:val="24"/>
        </w:rPr>
        <w:t>,</w:t>
      </w:r>
      <w:r w:rsidRPr="005410BF">
        <w:rPr>
          <w:rFonts w:ascii="Calibri" w:eastAsiaTheme="minorHAnsi" w:hAnsi="Calibri" w:cs="Calibri"/>
          <w:sz w:val="24"/>
          <w:szCs w:val="24"/>
        </w:rPr>
        <w:t xml:space="preserve"> nebo emise, které byly v</w:t>
      </w:r>
      <w:r w:rsidR="00430901" w:rsidRPr="005410BF">
        <w:rPr>
          <w:rFonts w:ascii="Calibri" w:eastAsiaTheme="minorHAnsi" w:hAnsi="Calibri" w:cs="Calibri"/>
          <w:sz w:val="24"/>
          <w:szCs w:val="24"/>
        </w:rPr>
        <w:t xml:space="preserve"> </w:t>
      </w:r>
      <w:r w:rsidRPr="005410BF">
        <w:rPr>
          <w:rFonts w:ascii="Calibri" w:eastAsiaTheme="minorHAnsi" w:hAnsi="Calibri" w:cs="Calibri"/>
          <w:sz w:val="24"/>
          <w:szCs w:val="24"/>
        </w:rPr>
        <w:t>roce 2014 emitovány. Kontrolními výpočty byla ověřena mj.</w:t>
      </w:r>
      <w:r w:rsidR="00BD03CD">
        <w:rPr>
          <w:rFonts w:ascii="Calibri" w:eastAsiaTheme="minorHAnsi" w:hAnsi="Calibri" w:cs="Calibri"/>
          <w:sz w:val="24"/>
          <w:szCs w:val="24"/>
        </w:rPr>
        <w:t xml:space="preserve"> </w:t>
      </w:r>
      <w:r w:rsidRPr="005410BF">
        <w:rPr>
          <w:rFonts w:ascii="Calibri" w:eastAsiaTheme="minorHAnsi" w:hAnsi="Calibri" w:cs="Calibri"/>
          <w:sz w:val="24"/>
          <w:szCs w:val="24"/>
        </w:rPr>
        <w:t xml:space="preserve">správnost výše výdajů a v případě předčasného splacení správnost vyplaceného poměrného výnosu a vratky výnosu za dobu od předčasného splacení do řádné splatnosti. </w:t>
      </w:r>
      <w:r w:rsidRPr="005410BF">
        <w:rPr>
          <w:rFonts w:cstheme="minorHAnsi"/>
          <w:color w:val="000000" w:themeColor="text1"/>
          <w:sz w:val="24"/>
          <w:szCs w:val="24"/>
        </w:rPr>
        <w:t>NKÚ prověř</w:t>
      </w:r>
      <w:r w:rsidR="007C10B3" w:rsidRPr="005410BF">
        <w:rPr>
          <w:rFonts w:cstheme="minorHAnsi"/>
          <w:color w:val="000000" w:themeColor="text1"/>
          <w:sz w:val="24"/>
          <w:szCs w:val="24"/>
        </w:rPr>
        <w:t>il</w:t>
      </w:r>
      <w:r w:rsidRPr="005410BF">
        <w:rPr>
          <w:rFonts w:cstheme="minorHAnsi"/>
          <w:color w:val="000000" w:themeColor="text1"/>
          <w:sz w:val="24"/>
          <w:szCs w:val="24"/>
        </w:rPr>
        <w:t xml:space="preserve"> úrokové výdaje u SSD v</w:t>
      </w:r>
      <w:r w:rsidR="00430901" w:rsidRPr="005410BF">
        <w:rPr>
          <w:rFonts w:cstheme="minorHAnsi"/>
          <w:color w:val="000000" w:themeColor="text1"/>
          <w:sz w:val="24"/>
          <w:szCs w:val="24"/>
        </w:rPr>
        <w:t xml:space="preserve"> </w:t>
      </w:r>
      <w:r w:rsidRPr="005410BF">
        <w:rPr>
          <w:rFonts w:cstheme="minorHAnsi"/>
          <w:color w:val="000000" w:themeColor="text1"/>
          <w:sz w:val="24"/>
          <w:szCs w:val="24"/>
        </w:rPr>
        <w:t xml:space="preserve">celkové výši 663 mil. Kč a </w:t>
      </w:r>
      <w:r w:rsidR="007C10B3" w:rsidRPr="005410BF">
        <w:rPr>
          <w:rFonts w:cstheme="minorHAnsi"/>
          <w:color w:val="000000" w:themeColor="text1"/>
          <w:sz w:val="24"/>
          <w:szCs w:val="24"/>
        </w:rPr>
        <w:t>operace související s</w:t>
      </w:r>
      <w:r w:rsidR="007A3C87">
        <w:rPr>
          <w:rFonts w:cstheme="minorHAnsi"/>
          <w:color w:val="000000" w:themeColor="text1"/>
          <w:sz w:val="24"/>
          <w:szCs w:val="24"/>
        </w:rPr>
        <w:t> </w:t>
      </w:r>
      <w:r w:rsidR="007C10B3" w:rsidRPr="005410BF">
        <w:rPr>
          <w:rFonts w:cstheme="minorHAnsi"/>
          <w:color w:val="000000" w:themeColor="text1"/>
          <w:sz w:val="24"/>
          <w:szCs w:val="24"/>
        </w:rPr>
        <w:t xml:space="preserve">emisemi a </w:t>
      </w:r>
      <w:r w:rsidRPr="005410BF">
        <w:rPr>
          <w:rFonts w:cstheme="minorHAnsi"/>
          <w:color w:val="000000" w:themeColor="text1"/>
          <w:sz w:val="24"/>
          <w:szCs w:val="24"/>
        </w:rPr>
        <w:t>splátk</w:t>
      </w:r>
      <w:r w:rsidR="007C10B3" w:rsidRPr="005410BF">
        <w:rPr>
          <w:rFonts w:cstheme="minorHAnsi"/>
          <w:color w:val="000000" w:themeColor="text1"/>
          <w:sz w:val="24"/>
          <w:szCs w:val="24"/>
        </w:rPr>
        <w:t>ami</w:t>
      </w:r>
      <w:r w:rsidRPr="005410BF">
        <w:rPr>
          <w:rFonts w:cstheme="minorHAnsi"/>
          <w:color w:val="000000" w:themeColor="text1"/>
          <w:sz w:val="24"/>
          <w:szCs w:val="24"/>
        </w:rPr>
        <w:t xml:space="preserve"> jistin SSD v</w:t>
      </w:r>
      <w:r w:rsidR="00430901" w:rsidRPr="005410BF">
        <w:rPr>
          <w:rFonts w:cstheme="minorHAnsi"/>
          <w:color w:val="000000" w:themeColor="text1"/>
          <w:sz w:val="24"/>
          <w:szCs w:val="24"/>
        </w:rPr>
        <w:t xml:space="preserve"> </w:t>
      </w:r>
      <w:r w:rsidRPr="005410BF">
        <w:rPr>
          <w:rFonts w:cstheme="minorHAnsi"/>
          <w:color w:val="000000" w:themeColor="text1"/>
          <w:sz w:val="24"/>
          <w:szCs w:val="24"/>
        </w:rPr>
        <w:t xml:space="preserve">celkové hodnotě </w:t>
      </w:r>
      <w:r w:rsidR="00E23762" w:rsidRPr="005410BF">
        <w:rPr>
          <w:rFonts w:cstheme="minorHAnsi"/>
          <w:color w:val="000000" w:themeColor="text1"/>
          <w:sz w:val="24"/>
          <w:szCs w:val="24"/>
        </w:rPr>
        <w:t>20,3 mld.</w:t>
      </w:r>
      <w:r w:rsidRPr="005410BF">
        <w:rPr>
          <w:rFonts w:cstheme="minorHAnsi"/>
          <w:color w:val="000000" w:themeColor="text1"/>
          <w:sz w:val="24"/>
          <w:szCs w:val="24"/>
        </w:rPr>
        <w:t xml:space="preserve"> Kč.</w:t>
      </w:r>
    </w:p>
    <w:p w14:paraId="467FB17F" w14:textId="77777777" w:rsidR="00854B25" w:rsidRPr="005410BF" w:rsidRDefault="00854B25" w:rsidP="00671E1E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BC92E14" w14:textId="08A995F5" w:rsidR="00671E1E" w:rsidRPr="005410BF" w:rsidRDefault="00671E1E" w:rsidP="00AC032F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410BF">
        <w:rPr>
          <w:rFonts w:cstheme="minorHAnsi"/>
          <w:color w:val="000000" w:themeColor="text1"/>
          <w:sz w:val="24"/>
          <w:szCs w:val="24"/>
        </w:rPr>
        <w:t xml:space="preserve">NKÚ prověřil také postupy MF při výběru bank, se kterými byly uzavřeny smlouvy o poskytování služeb distributora SSD. V roce 2014 byly bankám uhrazeny poplatky za distribuci SSD v celkové výši 101,7 mil. Kč. V letech 2015 až 2020 MF očekává výdaje na poplatky hrazené distributorům ve výši cca 278 mil. Kč. </w:t>
      </w:r>
      <w:r w:rsidR="00EA3D9F" w:rsidRPr="005410BF">
        <w:rPr>
          <w:rFonts w:cstheme="minorHAnsi"/>
          <w:color w:val="000000" w:themeColor="text1"/>
          <w:sz w:val="24"/>
          <w:szCs w:val="24"/>
        </w:rPr>
        <w:t>O</w:t>
      </w:r>
      <w:r w:rsidRPr="005410BF">
        <w:rPr>
          <w:rFonts w:cstheme="minorHAnsi"/>
          <w:color w:val="000000" w:themeColor="text1"/>
          <w:sz w:val="24"/>
          <w:szCs w:val="24"/>
        </w:rPr>
        <w:t>d pilotní emise SSD v roce 2011 mají náklady na poplatky distributorům sestupnou tendenci. Díky očekávanému zvyšování upsané jmenovité hodnoty SSD prostřednictvím elektronického přístupu ke správě majetkového účtu v</w:t>
      </w:r>
      <w:r w:rsidR="00430901" w:rsidRPr="005410BF">
        <w:rPr>
          <w:rFonts w:cstheme="minorHAnsi"/>
          <w:color w:val="000000" w:themeColor="text1"/>
          <w:sz w:val="24"/>
          <w:szCs w:val="24"/>
        </w:rPr>
        <w:t xml:space="preserve"> </w:t>
      </w:r>
      <w:r w:rsidRPr="005410BF">
        <w:rPr>
          <w:rFonts w:cstheme="minorHAnsi"/>
          <w:color w:val="000000" w:themeColor="text1"/>
          <w:sz w:val="24"/>
          <w:szCs w:val="24"/>
        </w:rPr>
        <w:t>samostatné evidenci SSD u MF a naopak snižování jmenovité hodnoty SSD prostřednictvím distributorů bude docházet k</w:t>
      </w:r>
      <w:r w:rsidR="00877D6C">
        <w:rPr>
          <w:rFonts w:cstheme="minorHAnsi"/>
          <w:color w:val="000000" w:themeColor="text1"/>
          <w:sz w:val="24"/>
          <w:szCs w:val="24"/>
        </w:rPr>
        <w:t> </w:t>
      </w:r>
      <w:r w:rsidR="00EA3D9F" w:rsidRPr="005410BF">
        <w:rPr>
          <w:rFonts w:cstheme="minorHAnsi"/>
          <w:color w:val="000000" w:themeColor="text1"/>
          <w:sz w:val="24"/>
          <w:szCs w:val="24"/>
        </w:rPr>
        <w:t xml:space="preserve">dalšímu </w:t>
      </w:r>
      <w:r w:rsidRPr="005410BF">
        <w:rPr>
          <w:rFonts w:cstheme="minorHAnsi"/>
          <w:color w:val="000000" w:themeColor="text1"/>
          <w:sz w:val="24"/>
          <w:szCs w:val="24"/>
        </w:rPr>
        <w:t xml:space="preserve">postupnému snižování absolutní výše poplatků </w:t>
      </w:r>
      <w:r w:rsidR="002F3958" w:rsidRPr="005410BF">
        <w:rPr>
          <w:rFonts w:cstheme="minorHAnsi"/>
          <w:color w:val="000000" w:themeColor="text1"/>
          <w:sz w:val="24"/>
          <w:szCs w:val="24"/>
        </w:rPr>
        <w:t>hrazen</w:t>
      </w:r>
      <w:r w:rsidR="00DB3277">
        <w:rPr>
          <w:rFonts w:cstheme="minorHAnsi"/>
          <w:color w:val="000000" w:themeColor="text1"/>
          <w:sz w:val="24"/>
          <w:szCs w:val="24"/>
        </w:rPr>
        <w:t>ých</w:t>
      </w:r>
      <w:r w:rsidR="002F3958" w:rsidRPr="005410BF">
        <w:rPr>
          <w:rFonts w:cstheme="minorHAnsi"/>
          <w:color w:val="000000" w:themeColor="text1"/>
          <w:sz w:val="24"/>
          <w:szCs w:val="24"/>
        </w:rPr>
        <w:t xml:space="preserve"> </w:t>
      </w:r>
      <w:r w:rsidRPr="005410BF">
        <w:rPr>
          <w:rFonts w:cstheme="minorHAnsi"/>
          <w:color w:val="000000" w:themeColor="text1"/>
          <w:sz w:val="24"/>
          <w:szCs w:val="24"/>
        </w:rPr>
        <w:t>distributorům. Kontrolou nebyly zjištěny nedostatky.</w:t>
      </w:r>
    </w:p>
    <w:p w14:paraId="5FF9800B" w14:textId="77777777" w:rsidR="00EF31A1" w:rsidRPr="005410BF" w:rsidRDefault="00EF31A1" w:rsidP="00F8459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1B20A7B" w14:textId="77777777" w:rsidR="00F8459C" w:rsidRPr="005410BF" w:rsidRDefault="00F8459C" w:rsidP="00F8459C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5410BF">
        <w:rPr>
          <w:rFonts w:cstheme="minorHAnsi"/>
          <w:b/>
          <w:color w:val="000000" w:themeColor="text1"/>
          <w:sz w:val="24"/>
          <w:szCs w:val="24"/>
        </w:rPr>
        <w:t>Výdaje a operace kapitoly SD související s</w:t>
      </w:r>
      <w:r w:rsidR="00430901" w:rsidRPr="005410BF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5410BF">
        <w:rPr>
          <w:rFonts w:cstheme="minorHAnsi"/>
          <w:b/>
          <w:color w:val="000000" w:themeColor="text1"/>
          <w:sz w:val="24"/>
          <w:szCs w:val="24"/>
        </w:rPr>
        <w:t xml:space="preserve">úvěry od Evropské investiční banky </w:t>
      </w:r>
    </w:p>
    <w:p w14:paraId="2648B40D" w14:textId="77777777" w:rsidR="00A11AFD" w:rsidRDefault="00A11AFD" w:rsidP="00F8459C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E302660" w14:textId="6D094135" w:rsidR="00894BEC" w:rsidRDefault="00F8459C" w:rsidP="00F8459C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5410BF">
        <w:rPr>
          <w:rFonts w:cstheme="minorHAnsi"/>
          <w:color w:val="000000" w:themeColor="text1"/>
          <w:sz w:val="24"/>
          <w:szCs w:val="24"/>
        </w:rPr>
        <w:t>Česká</w:t>
      </w:r>
      <w:r w:rsidRPr="005410BF">
        <w:rPr>
          <w:rFonts w:ascii="Calibri" w:hAnsi="Calibri" w:cs="Calibri"/>
          <w:bCs/>
          <w:sz w:val="24"/>
          <w:szCs w:val="24"/>
        </w:rPr>
        <w:t xml:space="preserve"> republika </w:t>
      </w:r>
      <w:r w:rsidR="00DB3277" w:rsidRPr="005410BF">
        <w:rPr>
          <w:rFonts w:ascii="Calibri" w:hAnsi="Calibri" w:cs="Calibri"/>
          <w:bCs/>
          <w:sz w:val="24"/>
          <w:szCs w:val="24"/>
        </w:rPr>
        <w:t xml:space="preserve">přijala </w:t>
      </w:r>
      <w:r w:rsidRPr="005410BF">
        <w:rPr>
          <w:rFonts w:ascii="Calibri" w:hAnsi="Calibri" w:cs="Calibri"/>
          <w:bCs/>
          <w:sz w:val="24"/>
          <w:szCs w:val="24"/>
        </w:rPr>
        <w:t xml:space="preserve">prostřednictvím Ministerstva financí celkem 15 přímých úvěrů od EIB. Financování výdajů prostřednictvím úvěrů od EIB </w:t>
      </w:r>
      <w:r w:rsidR="00DB3277" w:rsidRPr="005410BF">
        <w:rPr>
          <w:rFonts w:ascii="Calibri" w:hAnsi="Calibri" w:cs="Calibri"/>
          <w:bCs/>
          <w:sz w:val="24"/>
          <w:szCs w:val="24"/>
        </w:rPr>
        <w:t xml:space="preserve">bylo </w:t>
      </w:r>
      <w:r w:rsidRPr="005410BF">
        <w:rPr>
          <w:rFonts w:ascii="Calibri" w:hAnsi="Calibri" w:cs="Calibri"/>
          <w:bCs/>
          <w:sz w:val="24"/>
          <w:szCs w:val="24"/>
        </w:rPr>
        <w:t xml:space="preserve">v roce 2014 realizováno na základě </w:t>
      </w:r>
      <w:r w:rsidRPr="000D5096">
        <w:rPr>
          <w:rFonts w:ascii="Calibri" w:hAnsi="Calibri" w:cs="Calibri"/>
          <w:bCs/>
          <w:i/>
          <w:sz w:val="24"/>
          <w:szCs w:val="24"/>
        </w:rPr>
        <w:t>Metodiky Ministerstva financí pro čerpání a uvolňování prostředků z úvěrů od Evropské investiční banky a pro rozpočtování návazných financujících položek od roku 201</w:t>
      </w:r>
      <w:r w:rsidR="00A11AFD" w:rsidRPr="000D5096">
        <w:rPr>
          <w:rFonts w:ascii="Calibri" w:hAnsi="Calibri" w:cs="Calibri"/>
          <w:bCs/>
          <w:i/>
          <w:sz w:val="24"/>
          <w:szCs w:val="24"/>
        </w:rPr>
        <w:t>2</w:t>
      </w:r>
      <w:r w:rsidR="007A3C87">
        <w:rPr>
          <w:rFonts w:ascii="Calibri" w:hAnsi="Calibri" w:cs="Calibri"/>
          <w:bCs/>
          <w:sz w:val="24"/>
          <w:szCs w:val="24"/>
        </w:rPr>
        <w:t xml:space="preserve"> schválené dne 22. 2. </w:t>
      </w:r>
      <w:r w:rsidR="00A11AFD">
        <w:rPr>
          <w:rFonts w:ascii="Calibri" w:hAnsi="Calibri" w:cs="Calibri"/>
          <w:bCs/>
          <w:sz w:val="24"/>
          <w:szCs w:val="24"/>
        </w:rPr>
        <w:t>2012.</w:t>
      </w:r>
    </w:p>
    <w:p w14:paraId="283CFE94" w14:textId="77777777" w:rsidR="00854B25" w:rsidRPr="005410BF" w:rsidRDefault="00854B25" w:rsidP="00F8459C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46FF351A" w14:textId="2939F280" w:rsidR="00F8459C" w:rsidRDefault="00F8459C" w:rsidP="00F8459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10BF">
        <w:rPr>
          <w:rFonts w:cstheme="minorHAnsi"/>
          <w:color w:val="000000" w:themeColor="text1"/>
          <w:sz w:val="24"/>
          <w:szCs w:val="24"/>
        </w:rPr>
        <w:t>Celková výše poskytnutých přímých úvěrů od EIB dosáhla do 31. 12. 2014 částky 3</w:t>
      </w:r>
      <w:r w:rsidR="00950E09" w:rsidRPr="005410BF">
        <w:rPr>
          <w:rFonts w:cstheme="minorHAnsi"/>
          <w:color w:val="000000" w:themeColor="text1"/>
          <w:sz w:val="24"/>
          <w:szCs w:val="24"/>
        </w:rPr>
        <w:t>,5</w:t>
      </w:r>
      <w:r w:rsidRPr="005410BF">
        <w:rPr>
          <w:rFonts w:cstheme="minorHAnsi"/>
          <w:color w:val="000000" w:themeColor="text1"/>
          <w:sz w:val="24"/>
          <w:szCs w:val="24"/>
        </w:rPr>
        <w:t xml:space="preserve"> ml</w:t>
      </w:r>
      <w:r w:rsidR="00950E09" w:rsidRPr="005410BF">
        <w:rPr>
          <w:rFonts w:cstheme="minorHAnsi"/>
          <w:color w:val="000000" w:themeColor="text1"/>
          <w:sz w:val="24"/>
          <w:szCs w:val="24"/>
        </w:rPr>
        <w:t>d</w:t>
      </w:r>
      <w:r w:rsidRPr="005410BF">
        <w:rPr>
          <w:rFonts w:cstheme="minorHAnsi"/>
          <w:color w:val="000000" w:themeColor="text1"/>
          <w:sz w:val="24"/>
          <w:szCs w:val="24"/>
        </w:rPr>
        <w:t xml:space="preserve">. </w:t>
      </w:r>
      <w:r w:rsidR="00DB3277">
        <w:rPr>
          <w:rFonts w:cstheme="minorHAnsi"/>
          <w:color w:val="000000" w:themeColor="text1"/>
          <w:sz w:val="24"/>
          <w:szCs w:val="24"/>
        </w:rPr>
        <w:t>€</w:t>
      </w:r>
      <w:r w:rsidR="005A37DB" w:rsidRPr="005410BF">
        <w:rPr>
          <w:rFonts w:cstheme="minorHAnsi"/>
          <w:color w:val="000000" w:themeColor="text1"/>
          <w:sz w:val="24"/>
          <w:szCs w:val="24"/>
        </w:rPr>
        <w:t>.</w:t>
      </w:r>
      <w:r w:rsidRPr="005410BF">
        <w:rPr>
          <w:rFonts w:cstheme="minorHAnsi"/>
          <w:color w:val="000000" w:themeColor="text1"/>
          <w:sz w:val="24"/>
          <w:szCs w:val="24"/>
        </w:rPr>
        <w:t xml:space="preserve"> </w:t>
      </w:r>
      <w:r w:rsidR="00D46752" w:rsidRPr="005410BF">
        <w:rPr>
          <w:rFonts w:cstheme="minorHAnsi"/>
          <w:color w:val="000000" w:themeColor="text1"/>
          <w:sz w:val="24"/>
          <w:szCs w:val="24"/>
        </w:rPr>
        <w:t>Část úvěrů byla poskytnuta v</w:t>
      </w:r>
      <w:r w:rsidR="00430901" w:rsidRPr="005410BF">
        <w:rPr>
          <w:rFonts w:cstheme="minorHAnsi"/>
          <w:color w:val="000000" w:themeColor="text1"/>
          <w:sz w:val="24"/>
          <w:szCs w:val="24"/>
        </w:rPr>
        <w:t xml:space="preserve"> </w:t>
      </w:r>
      <w:r w:rsidR="00D46752" w:rsidRPr="005410BF">
        <w:rPr>
          <w:rFonts w:cstheme="minorHAnsi"/>
          <w:color w:val="000000" w:themeColor="text1"/>
          <w:sz w:val="24"/>
          <w:szCs w:val="24"/>
        </w:rPr>
        <w:t>eurech (</w:t>
      </w:r>
      <w:r w:rsidR="00B21B4E" w:rsidRPr="005410BF">
        <w:rPr>
          <w:rFonts w:cstheme="minorHAnsi"/>
          <w:color w:val="000000" w:themeColor="text1"/>
          <w:sz w:val="24"/>
          <w:szCs w:val="24"/>
        </w:rPr>
        <w:t>1</w:t>
      </w:r>
      <w:r w:rsidR="00950E09" w:rsidRPr="005410BF">
        <w:rPr>
          <w:rFonts w:cstheme="minorHAnsi"/>
          <w:color w:val="000000" w:themeColor="text1"/>
          <w:sz w:val="24"/>
          <w:szCs w:val="24"/>
        </w:rPr>
        <w:t>,3</w:t>
      </w:r>
      <w:r w:rsidR="00B21B4E" w:rsidRPr="005410BF">
        <w:rPr>
          <w:rFonts w:cstheme="minorHAnsi"/>
          <w:color w:val="000000" w:themeColor="text1"/>
          <w:sz w:val="24"/>
          <w:szCs w:val="24"/>
        </w:rPr>
        <w:t xml:space="preserve"> ml</w:t>
      </w:r>
      <w:r w:rsidR="00950E09" w:rsidRPr="005410BF">
        <w:rPr>
          <w:rFonts w:cstheme="minorHAnsi"/>
          <w:color w:val="000000" w:themeColor="text1"/>
          <w:sz w:val="24"/>
          <w:szCs w:val="24"/>
        </w:rPr>
        <w:t>d</w:t>
      </w:r>
      <w:r w:rsidR="00B21B4E" w:rsidRPr="005410BF">
        <w:rPr>
          <w:rFonts w:cstheme="minorHAnsi"/>
          <w:color w:val="000000" w:themeColor="text1"/>
          <w:sz w:val="24"/>
          <w:szCs w:val="24"/>
        </w:rPr>
        <w:t xml:space="preserve">. </w:t>
      </w:r>
      <w:r w:rsidR="00DB3277">
        <w:rPr>
          <w:rFonts w:cstheme="minorHAnsi"/>
          <w:color w:val="000000" w:themeColor="text1"/>
          <w:sz w:val="24"/>
          <w:szCs w:val="24"/>
        </w:rPr>
        <w:t>€</w:t>
      </w:r>
      <w:r w:rsidR="00D46752" w:rsidRPr="005410BF">
        <w:rPr>
          <w:rFonts w:cstheme="minorHAnsi"/>
          <w:color w:val="000000" w:themeColor="text1"/>
          <w:sz w:val="24"/>
          <w:szCs w:val="24"/>
        </w:rPr>
        <w:t>) a část v</w:t>
      </w:r>
      <w:r w:rsidR="00430901" w:rsidRPr="005410BF">
        <w:rPr>
          <w:rFonts w:cstheme="minorHAnsi"/>
          <w:color w:val="000000" w:themeColor="text1"/>
          <w:sz w:val="24"/>
          <w:szCs w:val="24"/>
        </w:rPr>
        <w:t xml:space="preserve"> </w:t>
      </w:r>
      <w:r w:rsidR="00D46752" w:rsidRPr="005410BF">
        <w:rPr>
          <w:rFonts w:cstheme="minorHAnsi"/>
          <w:color w:val="000000" w:themeColor="text1"/>
          <w:sz w:val="24"/>
          <w:szCs w:val="24"/>
        </w:rPr>
        <w:t xml:space="preserve">českých </w:t>
      </w:r>
      <w:r w:rsidR="007A3C87">
        <w:rPr>
          <w:rFonts w:cstheme="minorHAnsi"/>
          <w:color w:val="000000" w:themeColor="text1"/>
          <w:sz w:val="24"/>
          <w:szCs w:val="24"/>
        </w:rPr>
        <w:t>korunách (61 mld. Kč, resp. 2,2 </w:t>
      </w:r>
      <w:r w:rsidR="00D46752" w:rsidRPr="005410BF">
        <w:rPr>
          <w:rFonts w:cstheme="minorHAnsi"/>
          <w:color w:val="000000" w:themeColor="text1"/>
          <w:sz w:val="24"/>
          <w:szCs w:val="24"/>
        </w:rPr>
        <w:t>ml</w:t>
      </w:r>
      <w:r w:rsidR="00950E09" w:rsidRPr="005410BF">
        <w:rPr>
          <w:rFonts w:cstheme="minorHAnsi"/>
          <w:color w:val="000000" w:themeColor="text1"/>
          <w:sz w:val="24"/>
          <w:szCs w:val="24"/>
        </w:rPr>
        <w:t>d</w:t>
      </w:r>
      <w:r w:rsidR="00D46752" w:rsidRPr="005410BF">
        <w:rPr>
          <w:rFonts w:cstheme="minorHAnsi"/>
          <w:color w:val="000000" w:themeColor="text1"/>
          <w:sz w:val="24"/>
          <w:szCs w:val="24"/>
        </w:rPr>
        <w:t>.</w:t>
      </w:r>
      <w:r w:rsidR="007A3C87">
        <w:rPr>
          <w:rFonts w:cstheme="minorHAnsi"/>
          <w:color w:val="000000" w:themeColor="text1"/>
          <w:sz w:val="24"/>
          <w:szCs w:val="24"/>
        </w:rPr>
        <w:t> </w:t>
      </w:r>
      <w:r w:rsidR="00DB3277">
        <w:rPr>
          <w:rFonts w:cstheme="minorHAnsi"/>
          <w:color w:val="000000" w:themeColor="text1"/>
          <w:sz w:val="24"/>
          <w:szCs w:val="24"/>
        </w:rPr>
        <w:t>€</w:t>
      </w:r>
      <w:r w:rsidR="00D46752" w:rsidRPr="005410BF">
        <w:rPr>
          <w:rFonts w:cstheme="minorHAnsi"/>
          <w:color w:val="000000" w:themeColor="text1"/>
          <w:sz w:val="24"/>
          <w:szCs w:val="24"/>
        </w:rPr>
        <w:t xml:space="preserve"> </w:t>
      </w:r>
      <w:r w:rsidR="00DB3277">
        <w:rPr>
          <w:rFonts w:cstheme="minorHAnsi"/>
          <w:color w:val="000000" w:themeColor="text1"/>
          <w:sz w:val="24"/>
          <w:szCs w:val="24"/>
        </w:rPr>
        <w:t>při</w:t>
      </w:r>
      <w:r w:rsidR="00D46752" w:rsidRPr="005410BF">
        <w:rPr>
          <w:rFonts w:cstheme="minorHAnsi"/>
          <w:color w:val="000000" w:themeColor="text1"/>
          <w:sz w:val="24"/>
          <w:szCs w:val="24"/>
        </w:rPr>
        <w:t xml:space="preserve"> kurz</w:t>
      </w:r>
      <w:r w:rsidR="00DB3277">
        <w:rPr>
          <w:rFonts w:cstheme="minorHAnsi"/>
          <w:color w:val="000000" w:themeColor="text1"/>
          <w:sz w:val="24"/>
          <w:szCs w:val="24"/>
        </w:rPr>
        <w:t>u</w:t>
      </w:r>
      <w:r w:rsidR="00D46752" w:rsidRPr="005410BF">
        <w:rPr>
          <w:rFonts w:cstheme="minorHAnsi"/>
          <w:color w:val="000000" w:themeColor="text1"/>
          <w:sz w:val="24"/>
          <w:szCs w:val="24"/>
        </w:rPr>
        <w:t xml:space="preserve"> 27,5 CZK/EUR). </w:t>
      </w:r>
      <w:r w:rsidRPr="005410BF">
        <w:rPr>
          <w:rFonts w:cstheme="minorHAnsi"/>
          <w:sz w:val="24"/>
          <w:szCs w:val="24"/>
        </w:rPr>
        <w:t>V</w:t>
      </w:r>
      <w:r w:rsidR="00430901" w:rsidRPr="005410BF">
        <w:rPr>
          <w:rFonts w:cstheme="minorHAnsi"/>
          <w:sz w:val="24"/>
          <w:szCs w:val="24"/>
        </w:rPr>
        <w:t xml:space="preserve"> </w:t>
      </w:r>
      <w:r w:rsidRPr="005410BF">
        <w:rPr>
          <w:rFonts w:cstheme="minorHAnsi"/>
          <w:sz w:val="24"/>
          <w:szCs w:val="24"/>
        </w:rPr>
        <w:t>roce 2014 nedošlo k</w:t>
      </w:r>
      <w:r w:rsidR="00430901" w:rsidRPr="005410BF">
        <w:rPr>
          <w:rFonts w:cstheme="minorHAnsi"/>
          <w:sz w:val="24"/>
          <w:szCs w:val="24"/>
        </w:rPr>
        <w:t xml:space="preserve"> </w:t>
      </w:r>
      <w:r w:rsidRPr="005410BF">
        <w:rPr>
          <w:rFonts w:cstheme="minorHAnsi"/>
          <w:sz w:val="24"/>
          <w:szCs w:val="24"/>
        </w:rPr>
        <w:t xml:space="preserve">čerpání (tzn. přijetí) žádné nové tranše úvěrů od EIB. </w:t>
      </w:r>
      <w:r w:rsidRPr="005410BF">
        <w:rPr>
          <w:rFonts w:ascii="Calibri" w:hAnsi="Calibri" w:cs="Calibri"/>
          <w:sz w:val="24"/>
          <w:szCs w:val="24"/>
        </w:rPr>
        <w:t>V průběhu roku 2014 naopak došlo jak k řádným splátkám tranší úvěrů EIB v</w:t>
      </w:r>
      <w:r w:rsidR="00BA118E">
        <w:rPr>
          <w:rFonts w:ascii="Calibri" w:hAnsi="Calibri" w:cs="Calibri"/>
          <w:sz w:val="24"/>
          <w:szCs w:val="24"/>
        </w:rPr>
        <w:t> </w:t>
      </w:r>
      <w:r w:rsidRPr="005410BF">
        <w:rPr>
          <w:rFonts w:ascii="Calibri" w:hAnsi="Calibri" w:cs="Calibri"/>
          <w:sz w:val="24"/>
          <w:szCs w:val="24"/>
        </w:rPr>
        <w:t>celkové výši 1</w:t>
      </w:r>
      <w:r w:rsidR="00950E09" w:rsidRPr="005410BF">
        <w:rPr>
          <w:rFonts w:ascii="Calibri" w:hAnsi="Calibri" w:cs="Calibri"/>
          <w:sz w:val="24"/>
          <w:szCs w:val="24"/>
        </w:rPr>
        <w:t>,7</w:t>
      </w:r>
      <w:r w:rsidR="00AA391A" w:rsidRPr="005410BF">
        <w:rPr>
          <w:rFonts w:ascii="Calibri" w:hAnsi="Calibri" w:cs="Calibri"/>
          <w:sz w:val="24"/>
          <w:szCs w:val="24"/>
        </w:rPr>
        <w:t xml:space="preserve"> </w:t>
      </w:r>
      <w:r w:rsidRPr="005410BF">
        <w:rPr>
          <w:rFonts w:ascii="Calibri" w:hAnsi="Calibri" w:cs="Calibri"/>
          <w:sz w:val="24"/>
          <w:szCs w:val="24"/>
        </w:rPr>
        <w:t>ml</w:t>
      </w:r>
      <w:r w:rsidR="00950E09" w:rsidRPr="005410BF">
        <w:rPr>
          <w:rFonts w:ascii="Calibri" w:hAnsi="Calibri" w:cs="Calibri"/>
          <w:sz w:val="24"/>
          <w:szCs w:val="24"/>
        </w:rPr>
        <w:t>d</w:t>
      </w:r>
      <w:r w:rsidRPr="005410BF">
        <w:rPr>
          <w:rFonts w:ascii="Calibri" w:hAnsi="Calibri" w:cs="Calibri"/>
          <w:sz w:val="24"/>
          <w:szCs w:val="24"/>
        </w:rPr>
        <w:t>. Kč v</w:t>
      </w:r>
      <w:r w:rsidR="00430901" w:rsidRPr="005410BF">
        <w:rPr>
          <w:rFonts w:ascii="Calibri" w:hAnsi="Calibri" w:cs="Calibri"/>
          <w:sz w:val="24"/>
          <w:szCs w:val="24"/>
        </w:rPr>
        <w:t xml:space="preserve"> </w:t>
      </w:r>
      <w:r w:rsidRPr="005410BF">
        <w:rPr>
          <w:rFonts w:ascii="Calibri" w:hAnsi="Calibri" w:cs="Calibri"/>
          <w:sz w:val="24"/>
          <w:szCs w:val="24"/>
        </w:rPr>
        <w:t>souladu s</w:t>
      </w:r>
      <w:r w:rsidR="00430901" w:rsidRPr="005410BF">
        <w:rPr>
          <w:rFonts w:ascii="Calibri" w:hAnsi="Calibri" w:cs="Calibri"/>
          <w:sz w:val="24"/>
          <w:szCs w:val="24"/>
        </w:rPr>
        <w:t xml:space="preserve"> </w:t>
      </w:r>
      <w:r w:rsidRPr="005410BF">
        <w:rPr>
          <w:rFonts w:ascii="Calibri" w:hAnsi="Calibri" w:cs="Calibri"/>
          <w:sz w:val="24"/>
          <w:szCs w:val="24"/>
        </w:rPr>
        <w:t>podmínkami splácení jistiny jednotlivých smluv o</w:t>
      </w:r>
      <w:r w:rsidR="00430901" w:rsidRPr="005410BF">
        <w:rPr>
          <w:rFonts w:ascii="Calibri" w:hAnsi="Calibri" w:cs="Calibri"/>
          <w:sz w:val="24"/>
          <w:szCs w:val="24"/>
        </w:rPr>
        <w:t xml:space="preserve"> </w:t>
      </w:r>
      <w:r w:rsidRPr="005410BF">
        <w:rPr>
          <w:rFonts w:ascii="Calibri" w:hAnsi="Calibri" w:cs="Calibri"/>
          <w:sz w:val="24"/>
          <w:szCs w:val="24"/>
        </w:rPr>
        <w:t>úvěru, tak i</w:t>
      </w:r>
      <w:r w:rsidR="00BA118E">
        <w:rPr>
          <w:rFonts w:ascii="Calibri" w:hAnsi="Calibri" w:cs="Calibri"/>
          <w:sz w:val="24"/>
          <w:szCs w:val="24"/>
        </w:rPr>
        <w:t> </w:t>
      </w:r>
      <w:r w:rsidRPr="005410BF">
        <w:rPr>
          <w:rFonts w:ascii="Calibri" w:hAnsi="Calibri" w:cs="Calibri"/>
          <w:sz w:val="24"/>
          <w:szCs w:val="24"/>
        </w:rPr>
        <w:t>k</w:t>
      </w:r>
      <w:r w:rsidR="00BA118E">
        <w:rPr>
          <w:rFonts w:ascii="Calibri" w:hAnsi="Calibri" w:cs="Calibri"/>
          <w:sz w:val="24"/>
          <w:szCs w:val="24"/>
        </w:rPr>
        <w:t> </w:t>
      </w:r>
      <w:r w:rsidRPr="005410BF">
        <w:rPr>
          <w:rFonts w:ascii="Calibri" w:hAnsi="Calibri" w:cs="Calibri"/>
          <w:sz w:val="24"/>
          <w:szCs w:val="24"/>
        </w:rPr>
        <w:t>předčasnému splacení některých tranší úvěrů EIB v celkové výši 9</w:t>
      </w:r>
      <w:r w:rsidR="00950E09" w:rsidRPr="005410BF">
        <w:rPr>
          <w:rFonts w:ascii="Calibri" w:hAnsi="Calibri" w:cs="Calibri"/>
          <w:sz w:val="24"/>
          <w:szCs w:val="24"/>
        </w:rPr>
        <w:t>,4</w:t>
      </w:r>
      <w:r w:rsidRPr="005410BF">
        <w:rPr>
          <w:rFonts w:ascii="Calibri" w:hAnsi="Calibri" w:cs="Calibri"/>
          <w:sz w:val="24"/>
          <w:szCs w:val="24"/>
        </w:rPr>
        <w:t xml:space="preserve"> ml</w:t>
      </w:r>
      <w:r w:rsidR="00950E09" w:rsidRPr="005410BF">
        <w:rPr>
          <w:rFonts w:ascii="Calibri" w:hAnsi="Calibri" w:cs="Calibri"/>
          <w:sz w:val="24"/>
          <w:szCs w:val="24"/>
        </w:rPr>
        <w:t>d</w:t>
      </w:r>
      <w:r w:rsidRPr="005410BF">
        <w:rPr>
          <w:rFonts w:ascii="Calibri" w:hAnsi="Calibri" w:cs="Calibri"/>
          <w:sz w:val="24"/>
          <w:szCs w:val="24"/>
        </w:rPr>
        <w:t>. Kč. V</w:t>
      </w:r>
      <w:r w:rsidR="00430901" w:rsidRPr="005410BF">
        <w:rPr>
          <w:rFonts w:ascii="Calibri" w:hAnsi="Calibri" w:cs="Calibri"/>
          <w:sz w:val="24"/>
          <w:szCs w:val="24"/>
        </w:rPr>
        <w:t xml:space="preserve"> </w:t>
      </w:r>
      <w:r w:rsidRPr="005410BF">
        <w:rPr>
          <w:rFonts w:ascii="Calibri" w:hAnsi="Calibri" w:cs="Calibri"/>
          <w:sz w:val="24"/>
          <w:szCs w:val="24"/>
        </w:rPr>
        <w:t xml:space="preserve">roce 2014 tak byly splaceny </w:t>
      </w:r>
      <w:r w:rsidR="00DB3277">
        <w:rPr>
          <w:rFonts w:ascii="Calibri" w:hAnsi="Calibri" w:cs="Calibri"/>
          <w:sz w:val="24"/>
          <w:szCs w:val="24"/>
        </w:rPr>
        <w:t>(</w:t>
      </w:r>
      <w:r w:rsidRPr="005410BF">
        <w:rPr>
          <w:rFonts w:ascii="Calibri" w:hAnsi="Calibri" w:cs="Calibri"/>
          <w:sz w:val="24"/>
          <w:szCs w:val="24"/>
        </w:rPr>
        <w:t>ať už řádnými</w:t>
      </w:r>
      <w:r w:rsidR="00DB3277">
        <w:rPr>
          <w:rFonts w:ascii="Calibri" w:hAnsi="Calibri" w:cs="Calibri"/>
          <w:sz w:val="24"/>
          <w:szCs w:val="24"/>
        </w:rPr>
        <w:t>,</w:t>
      </w:r>
      <w:r w:rsidRPr="005410BF">
        <w:rPr>
          <w:rFonts w:ascii="Calibri" w:hAnsi="Calibri" w:cs="Calibri"/>
          <w:sz w:val="24"/>
          <w:szCs w:val="24"/>
        </w:rPr>
        <w:t xml:space="preserve"> či předčasnými splátkami</w:t>
      </w:r>
      <w:r w:rsidR="00DB3277">
        <w:rPr>
          <w:rFonts w:ascii="Calibri" w:hAnsi="Calibri" w:cs="Calibri"/>
          <w:sz w:val="24"/>
          <w:szCs w:val="24"/>
        </w:rPr>
        <w:t>)</w:t>
      </w:r>
      <w:r w:rsidRPr="005410BF">
        <w:rPr>
          <w:rFonts w:ascii="Calibri" w:hAnsi="Calibri" w:cs="Calibri"/>
          <w:sz w:val="24"/>
          <w:szCs w:val="24"/>
        </w:rPr>
        <w:t xml:space="preserve"> tranše úvěrů v</w:t>
      </w:r>
      <w:r w:rsidR="00430901" w:rsidRPr="005410BF">
        <w:rPr>
          <w:rFonts w:ascii="Calibri" w:hAnsi="Calibri" w:cs="Calibri"/>
          <w:sz w:val="24"/>
          <w:szCs w:val="24"/>
        </w:rPr>
        <w:t xml:space="preserve"> </w:t>
      </w:r>
      <w:r w:rsidRPr="005410BF">
        <w:rPr>
          <w:rFonts w:ascii="Calibri" w:hAnsi="Calibri" w:cs="Calibri"/>
          <w:sz w:val="24"/>
          <w:szCs w:val="24"/>
        </w:rPr>
        <w:t>celkové výši 11</w:t>
      </w:r>
      <w:r w:rsidR="00950E09" w:rsidRPr="005410BF">
        <w:rPr>
          <w:rFonts w:ascii="Calibri" w:hAnsi="Calibri" w:cs="Calibri"/>
          <w:sz w:val="24"/>
          <w:szCs w:val="24"/>
        </w:rPr>
        <w:t>,1</w:t>
      </w:r>
      <w:r w:rsidR="00877D6C">
        <w:rPr>
          <w:rFonts w:ascii="Calibri" w:hAnsi="Calibri" w:cs="Calibri"/>
          <w:sz w:val="24"/>
          <w:szCs w:val="24"/>
        </w:rPr>
        <w:t> </w:t>
      </w:r>
      <w:r w:rsidRPr="005410BF">
        <w:rPr>
          <w:rFonts w:ascii="Calibri" w:hAnsi="Calibri" w:cs="Calibri"/>
          <w:sz w:val="24"/>
          <w:szCs w:val="24"/>
        </w:rPr>
        <w:t>m</w:t>
      </w:r>
      <w:r w:rsidR="00AA391A" w:rsidRPr="005410BF">
        <w:rPr>
          <w:rFonts w:ascii="Calibri" w:hAnsi="Calibri" w:cs="Calibri"/>
          <w:sz w:val="24"/>
          <w:szCs w:val="24"/>
        </w:rPr>
        <w:t>l</w:t>
      </w:r>
      <w:r w:rsidR="00950E09" w:rsidRPr="005410BF">
        <w:rPr>
          <w:rFonts w:ascii="Calibri" w:hAnsi="Calibri" w:cs="Calibri"/>
          <w:sz w:val="24"/>
          <w:szCs w:val="24"/>
        </w:rPr>
        <w:t>d</w:t>
      </w:r>
      <w:r w:rsidRPr="005410BF">
        <w:rPr>
          <w:rFonts w:ascii="Calibri" w:hAnsi="Calibri" w:cs="Calibri"/>
          <w:sz w:val="24"/>
          <w:szCs w:val="24"/>
        </w:rPr>
        <w:t>.</w:t>
      </w:r>
      <w:r w:rsidR="00877D6C">
        <w:rPr>
          <w:rFonts w:ascii="Calibri" w:hAnsi="Calibri" w:cs="Calibri"/>
          <w:sz w:val="24"/>
          <w:szCs w:val="24"/>
        </w:rPr>
        <w:t> </w:t>
      </w:r>
      <w:r w:rsidRPr="005410BF">
        <w:rPr>
          <w:rFonts w:ascii="Calibri" w:hAnsi="Calibri" w:cs="Calibri"/>
          <w:sz w:val="24"/>
          <w:szCs w:val="24"/>
        </w:rPr>
        <w:t>Kč.</w:t>
      </w:r>
      <w:r w:rsidR="00950E09" w:rsidRPr="005410BF">
        <w:rPr>
          <w:rFonts w:ascii="Calibri" w:hAnsi="Calibri" w:cs="Calibri"/>
          <w:sz w:val="24"/>
          <w:szCs w:val="24"/>
        </w:rPr>
        <w:t xml:space="preserve"> </w:t>
      </w:r>
      <w:r w:rsidRPr="005410BF">
        <w:rPr>
          <w:rFonts w:cstheme="minorHAnsi"/>
          <w:sz w:val="24"/>
          <w:szCs w:val="24"/>
        </w:rPr>
        <w:t>Důvodem, proč MF přistoupilo k</w:t>
      </w:r>
      <w:r w:rsidR="00430901" w:rsidRPr="005410BF">
        <w:rPr>
          <w:rFonts w:cstheme="minorHAnsi"/>
          <w:sz w:val="24"/>
          <w:szCs w:val="24"/>
        </w:rPr>
        <w:t xml:space="preserve"> </w:t>
      </w:r>
      <w:r w:rsidRPr="005410BF">
        <w:rPr>
          <w:rFonts w:cstheme="minorHAnsi"/>
          <w:sz w:val="24"/>
          <w:szCs w:val="24"/>
        </w:rPr>
        <w:t>předčasnému splacení některých tranší úvěrů od EIB, byla skutečnost, že</w:t>
      </w:r>
      <w:r w:rsidR="00D46752" w:rsidRPr="005410BF">
        <w:rPr>
          <w:rFonts w:cstheme="minorHAnsi"/>
          <w:sz w:val="24"/>
          <w:szCs w:val="24"/>
        </w:rPr>
        <w:t xml:space="preserve"> úrokové sazby úvěrů </w:t>
      </w:r>
      <w:r w:rsidR="00DB3277">
        <w:rPr>
          <w:rFonts w:cstheme="minorHAnsi"/>
          <w:sz w:val="24"/>
          <w:szCs w:val="24"/>
        </w:rPr>
        <w:t>od</w:t>
      </w:r>
      <w:r w:rsidR="00D46752" w:rsidRPr="005410BF">
        <w:rPr>
          <w:rFonts w:cstheme="minorHAnsi"/>
          <w:sz w:val="24"/>
          <w:szCs w:val="24"/>
        </w:rPr>
        <w:t xml:space="preserve"> EIB byly nevýhodné</w:t>
      </w:r>
      <w:r w:rsidR="00A71793" w:rsidRPr="005410BF">
        <w:rPr>
          <w:rFonts w:cstheme="minorHAnsi"/>
          <w:sz w:val="24"/>
          <w:szCs w:val="24"/>
        </w:rPr>
        <w:t>, tj. vyšší</w:t>
      </w:r>
      <w:r w:rsidR="00D46752" w:rsidRPr="005410BF">
        <w:rPr>
          <w:rFonts w:cstheme="minorHAnsi"/>
          <w:sz w:val="24"/>
          <w:szCs w:val="24"/>
        </w:rPr>
        <w:t xml:space="preserve"> oproti sazbám dosahovaným na trhu českých dluhopisů se stejnou dobou splatnosti.</w:t>
      </w:r>
    </w:p>
    <w:p w14:paraId="47A50F45" w14:textId="77777777" w:rsidR="00854B25" w:rsidRPr="005410BF" w:rsidRDefault="00854B25" w:rsidP="00F8459C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47A854" w14:textId="77777777" w:rsidR="004E2CD3" w:rsidRPr="00F430D3" w:rsidRDefault="004D54BC" w:rsidP="004E2CD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410BF">
        <w:rPr>
          <w:rFonts w:cstheme="minorHAnsi"/>
          <w:color w:val="000000" w:themeColor="text1"/>
          <w:sz w:val="24"/>
          <w:szCs w:val="24"/>
        </w:rPr>
        <w:t>NKÚ prověřil úrokové výdaje související s</w:t>
      </w:r>
      <w:r w:rsidR="00430901" w:rsidRPr="005410BF">
        <w:rPr>
          <w:rFonts w:cstheme="minorHAnsi"/>
          <w:color w:val="000000" w:themeColor="text1"/>
          <w:sz w:val="24"/>
          <w:szCs w:val="24"/>
        </w:rPr>
        <w:t xml:space="preserve"> </w:t>
      </w:r>
      <w:r w:rsidRPr="005410BF">
        <w:rPr>
          <w:rFonts w:cstheme="minorHAnsi"/>
          <w:color w:val="000000" w:themeColor="text1"/>
          <w:sz w:val="24"/>
          <w:szCs w:val="24"/>
        </w:rPr>
        <w:t>úvěry EIB v</w:t>
      </w:r>
      <w:r w:rsidR="00430901" w:rsidRPr="005410BF">
        <w:rPr>
          <w:rFonts w:cstheme="minorHAnsi"/>
          <w:color w:val="000000" w:themeColor="text1"/>
          <w:sz w:val="24"/>
          <w:szCs w:val="24"/>
        </w:rPr>
        <w:t xml:space="preserve"> </w:t>
      </w:r>
      <w:r w:rsidRPr="005410BF">
        <w:rPr>
          <w:rFonts w:cstheme="minorHAnsi"/>
          <w:color w:val="000000" w:themeColor="text1"/>
          <w:sz w:val="24"/>
          <w:szCs w:val="24"/>
        </w:rPr>
        <w:t>celkové výši 560 mil. Kč a splátky jistiny úvěrů v</w:t>
      </w:r>
      <w:r w:rsidR="00430901" w:rsidRPr="005410BF">
        <w:rPr>
          <w:rFonts w:cstheme="minorHAnsi"/>
          <w:color w:val="000000" w:themeColor="text1"/>
          <w:sz w:val="24"/>
          <w:szCs w:val="24"/>
        </w:rPr>
        <w:t xml:space="preserve"> </w:t>
      </w:r>
      <w:r w:rsidRPr="005410BF">
        <w:rPr>
          <w:rFonts w:cstheme="minorHAnsi"/>
          <w:color w:val="000000" w:themeColor="text1"/>
          <w:sz w:val="24"/>
          <w:szCs w:val="24"/>
        </w:rPr>
        <w:t>celkové hodnotě 11</w:t>
      </w:r>
      <w:r w:rsidR="00950E09" w:rsidRPr="005410BF">
        <w:rPr>
          <w:rFonts w:cstheme="minorHAnsi"/>
          <w:color w:val="000000" w:themeColor="text1"/>
          <w:sz w:val="24"/>
          <w:szCs w:val="24"/>
        </w:rPr>
        <w:t>,1</w:t>
      </w:r>
      <w:r w:rsidRPr="005410BF">
        <w:rPr>
          <w:rFonts w:cstheme="minorHAnsi"/>
          <w:color w:val="000000" w:themeColor="text1"/>
          <w:sz w:val="24"/>
          <w:szCs w:val="24"/>
        </w:rPr>
        <w:t xml:space="preserve"> ml</w:t>
      </w:r>
      <w:r w:rsidR="00950E09" w:rsidRPr="005410BF">
        <w:rPr>
          <w:rFonts w:cstheme="minorHAnsi"/>
          <w:color w:val="000000" w:themeColor="text1"/>
          <w:sz w:val="24"/>
          <w:szCs w:val="24"/>
        </w:rPr>
        <w:t>d</w:t>
      </w:r>
      <w:r w:rsidRPr="005410BF">
        <w:rPr>
          <w:rFonts w:cstheme="minorHAnsi"/>
          <w:color w:val="000000" w:themeColor="text1"/>
          <w:sz w:val="24"/>
          <w:szCs w:val="24"/>
        </w:rPr>
        <w:t xml:space="preserve">. Kč. </w:t>
      </w:r>
      <w:r w:rsidR="004E2CD3" w:rsidRPr="005410BF">
        <w:rPr>
          <w:rFonts w:cstheme="minorHAnsi"/>
          <w:sz w:val="24"/>
          <w:szCs w:val="24"/>
        </w:rPr>
        <w:t>Kontrolou nebyly zjištěny nedostatky.</w:t>
      </w:r>
    </w:p>
    <w:p w14:paraId="32116553" w14:textId="77777777" w:rsidR="00E33EBD" w:rsidRPr="00854B25" w:rsidRDefault="00E33EBD" w:rsidP="00924845">
      <w:pPr>
        <w:spacing w:after="0" w:line="240" w:lineRule="auto"/>
        <w:contextualSpacing/>
        <w:jc w:val="both"/>
        <w:rPr>
          <w:rFonts w:ascii="Calibri" w:hAnsi="Calibri" w:cs="Calibri"/>
          <w:bCs/>
          <w:sz w:val="24"/>
          <w:szCs w:val="24"/>
        </w:rPr>
      </w:pPr>
    </w:p>
    <w:p w14:paraId="6068ED94" w14:textId="77777777" w:rsidR="00924845" w:rsidRPr="00F430D3" w:rsidRDefault="00924845" w:rsidP="00924845">
      <w:pPr>
        <w:spacing w:after="0" w:line="240" w:lineRule="auto"/>
        <w:contextualSpacing/>
        <w:jc w:val="both"/>
        <w:rPr>
          <w:rFonts w:ascii="Calibri" w:hAnsi="Calibri" w:cs="Calibri"/>
          <w:b/>
          <w:bCs/>
          <w:sz w:val="24"/>
          <w:szCs w:val="24"/>
        </w:rPr>
      </w:pPr>
      <w:r w:rsidRPr="00F430D3">
        <w:rPr>
          <w:rFonts w:ascii="Calibri" w:hAnsi="Calibri" w:cs="Calibri"/>
          <w:b/>
          <w:bCs/>
          <w:sz w:val="24"/>
          <w:szCs w:val="24"/>
        </w:rPr>
        <w:lastRenderedPageBreak/>
        <w:t>Inventarizace majetku a závazků k 31. 12. 2014 vztahující se ke kontrolované oblasti</w:t>
      </w:r>
    </w:p>
    <w:p w14:paraId="346F2B18" w14:textId="77777777" w:rsidR="00854B25" w:rsidRDefault="00854B25" w:rsidP="0092484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F4ED304" w14:textId="0502263E" w:rsidR="002B356B" w:rsidRDefault="00924845" w:rsidP="00924845">
      <w:pPr>
        <w:spacing w:after="0" w:line="240" w:lineRule="auto"/>
        <w:jc w:val="both"/>
        <w:rPr>
          <w:rFonts w:ascii="Calibri" w:eastAsiaTheme="minorHAnsi" w:hAnsi="Calibri" w:cs="Calibri"/>
          <w:sz w:val="24"/>
          <w:szCs w:val="24"/>
        </w:rPr>
      </w:pPr>
      <w:r w:rsidRPr="00F430D3">
        <w:rPr>
          <w:rFonts w:ascii="Calibri" w:hAnsi="Calibri" w:cs="Calibri"/>
          <w:sz w:val="24"/>
          <w:szCs w:val="24"/>
        </w:rPr>
        <w:t>NKÚ prověřil inventarizaci bankovních účtů používaných v kapitole SD a</w:t>
      </w:r>
      <w:r w:rsidR="00E660F4">
        <w:rPr>
          <w:rFonts w:ascii="Calibri" w:hAnsi="Calibri" w:cs="Calibri"/>
          <w:sz w:val="24"/>
          <w:szCs w:val="24"/>
        </w:rPr>
        <w:t xml:space="preserve"> </w:t>
      </w:r>
      <w:r w:rsidRPr="00F430D3">
        <w:rPr>
          <w:rFonts w:ascii="Calibri" w:hAnsi="Calibri" w:cs="Calibri"/>
          <w:sz w:val="24"/>
          <w:szCs w:val="24"/>
        </w:rPr>
        <w:t>dluhových instrumentů k 31. 12. 2014</w:t>
      </w:r>
      <w:r>
        <w:rPr>
          <w:rFonts w:ascii="Calibri" w:hAnsi="Calibri" w:cs="Calibri"/>
          <w:sz w:val="24"/>
          <w:szCs w:val="24"/>
        </w:rPr>
        <w:t>, případně k</w:t>
      </w:r>
      <w:r w:rsidR="0043090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31. 12. 2013</w:t>
      </w:r>
      <w:r w:rsidRPr="00F430D3">
        <w:rPr>
          <w:rFonts w:ascii="Calibri" w:hAnsi="Calibri" w:cs="Calibri"/>
          <w:sz w:val="24"/>
          <w:szCs w:val="24"/>
        </w:rPr>
        <w:t xml:space="preserve">. </w:t>
      </w:r>
      <w:r w:rsidR="00BD132C" w:rsidRPr="00D92412">
        <w:rPr>
          <w:rFonts w:ascii="Calibri" w:eastAsiaTheme="minorHAnsi" w:hAnsi="Calibri" w:cs="Calibri"/>
          <w:sz w:val="24"/>
          <w:szCs w:val="24"/>
        </w:rPr>
        <w:t>MF nepostupovalo v</w:t>
      </w:r>
      <w:r w:rsidR="00430901">
        <w:rPr>
          <w:rFonts w:ascii="Calibri" w:eastAsiaTheme="minorHAnsi" w:hAnsi="Calibri" w:cs="Calibri"/>
          <w:sz w:val="24"/>
          <w:szCs w:val="24"/>
        </w:rPr>
        <w:t xml:space="preserve"> </w:t>
      </w:r>
      <w:r w:rsidR="00BD132C" w:rsidRPr="00D92412">
        <w:rPr>
          <w:rFonts w:ascii="Calibri" w:eastAsiaTheme="minorHAnsi" w:hAnsi="Calibri" w:cs="Calibri"/>
          <w:sz w:val="24"/>
          <w:szCs w:val="24"/>
        </w:rPr>
        <w:t>souladu s</w:t>
      </w:r>
      <w:r w:rsidR="00430901">
        <w:rPr>
          <w:rFonts w:ascii="Calibri" w:eastAsiaTheme="minorHAnsi" w:hAnsi="Calibri" w:cs="Calibri"/>
          <w:sz w:val="24"/>
          <w:szCs w:val="24"/>
        </w:rPr>
        <w:t xml:space="preserve"> </w:t>
      </w:r>
      <w:r w:rsidR="00BD132C" w:rsidRPr="00D92412">
        <w:rPr>
          <w:rFonts w:ascii="Calibri" w:eastAsiaTheme="minorHAnsi" w:hAnsi="Calibri" w:cs="Calibri"/>
          <w:sz w:val="24"/>
          <w:szCs w:val="24"/>
        </w:rPr>
        <w:t>ustanovením § 30 odst. 1 písm. b) zákona</w:t>
      </w:r>
      <w:r w:rsidR="00DB3277">
        <w:rPr>
          <w:rFonts w:ascii="Calibri" w:eastAsiaTheme="minorHAnsi" w:hAnsi="Calibri" w:cs="Calibri"/>
          <w:sz w:val="24"/>
          <w:szCs w:val="24"/>
        </w:rPr>
        <w:t xml:space="preserve"> č. 563/1991 Sb.,</w:t>
      </w:r>
      <w:r w:rsidR="00BD132C" w:rsidRPr="00D92412">
        <w:rPr>
          <w:rFonts w:ascii="Calibri" w:eastAsiaTheme="minorHAnsi" w:hAnsi="Calibri" w:cs="Calibri"/>
          <w:sz w:val="24"/>
          <w:szCs w:val="24"/>
        </w:rPr>
        <w:t xml:space="preserve"> o</w:t>
      </w:r>
      <w:r w:rsidR="00DB3277">
        <w:rPr>
          <w:rFonts w:ascii="Calibri" w:eastAsiaTheme="minorHAnsi" w:hAnsi="Calibri" w:cs="Calibri"/>
          <w:sz w:val="24"/>
          <w:szCs w:val="24"/>
        </w:rPr>
        <w:t> </w:t>
      </w:r>
      <w:r w:rsidR="00BD132C" w:rsidRPr="00D92412">
        <w:rPr>
          <w:rFonts w:ascii="Calibri" w:eastAsiaTheme="minorHAnsi" w:hAnsi="Calibri" w:cs="Calibri"/>
          <w:sz w:val="24"/>
          <w:szCs w:val="24"/>
        </w:rPr>
        <w:t>účetnictví</w:t>
      </w:r>
      <w:r w:rsidR="00DB3277">
        <w:rPr>
          <w:rFonts w:ascii="Calibri" w:eastAsiaTheme="minorHAnsi" w:hAnsi="Calibri" w:cs="Calibri"/>
          <w:sz w:val="24"/>
          <w:szCs w:val="24"/>
        </w:rPr>
        <w:t>, neboť</w:t>
      </w:r>
      <w:r w:rsidR="00BD132C" w:rsidRPr="00D92412">
        <w:rPr>
          <w:rFonts w:ascii="Calibri" w:eastAsiaTheme="minorHAnsi" w:hAnsi="Calibri" w:cs="Calibri"/>
          <w:sz w:val="24"/>
          <w:szCs w:val="24"/>
        </w:rPr>
        <w:t xml:space="preserve"> </w:t>
      </w:r>
      <w:r w:rsidR="00B80FB2" w:rsidRPr="00D92412">
        <w:rPr>
          <w:rFonts w:ascii="Calibri" w:eastAsiaTheme="minorHAnsi" w:hAnsi="Calibri" w:cs="Calibri"/>
          <w:sz w:val="24"/>
          <w:szCs w:val="24"/>
        </w:rPr>
        <w:t>v</w:t>
      </w:r>
      <w:r w:rsidR="00877D6C">
        <w:rPr>
          <w:rFonts w:ascii="Calibri" w:eastAsiaTheme="minorHAnsi" w:hAnsi="Calibri" w:cs="Calibri"/>
          <w:sz w:val="24"/>
          <w:szCs w:val="24"/>
        </w:rPr>
        <w:t> </w:t>
      </w:r>
      <w:r w:rsidR="00B80FB2" w:rsidRPr="00D92412">
        <w:rPr>
          <w:rFonts w:ascii="Calibri" w:eastAsiaTheme="minorHAnsi" w:hAnsi="Calibri" w:cs="Calibri"/>
          <w:sz w:val="24"/>
          <w:szCs w:val="24"/>
        </w:rPr>
        <w:t xml:space="preserve">roce 2013 </w:t>
      </w:r>
      <w:r w:rsidR="00BD132C" w:rsidRPr="00D92412">
        <w:rPr>
          <w:rFonts w:ascii="Calibri" w:eastAsiaTheme="minorHAnsi" w:hAnsi="Calibri" w:cs="Calibri"/>
          <w:sz w:val="24"/>
          <w:szCs w:val="24"/>
        </w:rPr>
        <w:t>neprovedlo dokladovou inventuru osmi bankovních účtů s</w:t>
      </w:r>
      <w:r w:rsidR="00DB3277">
        <w:rPr>
          <w:rFonts w:ascii="Calibri" w:eastAsiaTheme="minorHAnsi" w:hAnsi="Calibri" w:cs="Calibri"/>
          <w:sz w:val="24"/>
          <w:szCs w:val="24"/>
        </w:rPr>
        <w:t> </w:t>
      </w:r>
      <w:r w:rsidR="00BD132C" w:rsidRPr="00D92412">
        <w:rPr>
          <w:rFonts w:ascii="Calibri" w:eastAsiaTheme="minorHAnsi" w:hAnsi="Calibri" w:cs="Calibri"/>
          <w:sz w:val="24"/>
          <w:szCs w:val="24"/>
        </w:rPr>
        <w:t>nulovým zůstatkem a</w:t>
      </w:r>
      <w:r w:rsidR="00877D6C">
        <w:rPr>
          <w:rFonts w:ascii="Calibri" w:eastAsiaTheme="minorHAnsi" w:hAnsi="Calibri" w:cs="Calibri"/>
          <w:sz w:val="24"/>
          <w:szCs w:val="24"/>
        </w:rPr>
        <w:t> </w:t>
      </w:r>
      <w:r w:rsidR="00BD132C" w:rsidRPr="00D92412">
        <w:rPr>
          <w:rFonts w:ascii="Calibri" w:eastAsiaTheme="minorHAnsi" w:hAnsi="Calibri" w:cs="Calibri"/>
          <w:sz w:val="24"/>
          <w:szCs w:val="24"/>
        </w:rPr>
        <w:t>v</w:t>
      </w:r>
      <w:r w:rsidR="00877D6C">
        <w:rPr>
          <w:rFonts w:ascii="Calibri" w:eastAsiaTheme="minorHAnsi" w:hAnsi="Calibri" w:cs="Calibri"/>
          <w:sz w:val="24"/>
          <w:szCs w:val="24"/>
        </w:rPr>
        <w:t> </w:t>
      </w:r>
      <w:r w:rsidR="00BD132C" w:rsidRPr="00D92412">
        <w:rPr>
          <w:rFonts w:ascii="Calibri" w:eastAsiaTheme="minorHAnsi" w:hAnsi="Calibri" w:cs="Calibri"/>
          <w:sz w:val="24"/>
          <w:szCs w:val="24"/>
        </w:rPr>
        <w:t xml:space="preserve">roce 2014 dvou bankovních účtů. </w:t>
      </w:r>
    </w:p>
    <w:p w14:paraId="08117517" w14:textId="20C5B79E" w:rsidR="00DB3277" w:rsidRDefault="00DB3277">
      <w:pPr>
        <w:rPr>
          <w:rFonts w:ascii="Calibri" w:eastAsiaTheme="minorHAnsi" w:hAnsi="Calibri" w:cs="Calibri"/>
          <w:sz w:val="24"/>
          <w:szCs w:val="24"/>
        </w:rPr>
      </w:pPr>
      <w:r>
        <w:rPr>
          <w:rFonts w:ascii="Calibri" w:eastAsiaTheme="minorHAnsi" w:hAnsi="Calibri" w:cs="Calibri"/>
          <w:sz w:val="24"/>
          <w:szCs w:val="24"/>
        </w:rPr>
        <w:br w:type="page"/>
      </w:r>
    </w:p>
    <w:p w14:paraId="5C21EE15" w14:textId="44B5132E" w:rsidR="00DB3277" w:rsidRDefault="00DB3277" w:rsidP="00924845">
      <w:pPr>
        <w:spacing w:after="0" w:line="240" w:lineRule="auto"/>
        <w:jc w:val="both"/>
        <w:rPr>
          <w:rFonts w:eastAsiaTheme="minorHAnsi" w:cstheme="minorHAnsi"/>
          <w:b/>
          <w:sz w:val="24"/>
          <w:szCs w:val="24"/>
        </w:rPr>
      </w:pPr>
      <w:r>
        <w:rPr>
          <w:rFonts w:eastAsiaTheme="minorHAnsi" w:cstheme="minorHAnsi"/>
          <w:b/>
          <w:sz w:val="24"/>
          <w:szCs w:val="24"/>
        </w:rPr>
        <w:lastRenderedPageBreak/>
        <w:t>Seznam zkratek</w:t>
      </w:r>
    </w:p>
    <w:p w14:paraId="1CB772A0" w14:textId="77777777" w:rsidR="00DB3277" w:rsidRPr="004F2049" w:rsidRDefault="00DB3277" w:rsidP="00924845">
      <w:pPr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</w:p>
    <w:p w14:paraId="71ADA83F" w14:textId="027A2717" w:rsidR="00DB3277" w:rsidRPr="004F2049" w:rsidRDefault="00DB3277" w:rsidP="00DB3277">
      <w:pPr>
        <w:tabs>
          <w:tab w:val="left" w:pos="4111"/>
        </w:tabs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4F2049">
        <w:rPr>
          <w:rFonts w:eastAsiaTheme="minorHAnsi" w:cstheme="minorHAnsi"/>
          <w:sz w:val="24"/>
          <w:szCs w:val="24"/>
        </w:rPr>
        <w:t>EIB</w:t>
      </w:r>
      <w:r w:rsidRPr="004F2049">
        <w:rPr>
          <w:rFonts w:eastAsiaTheme="minorHAnsi" w:cstheme="minorHAnsi"/>
          <w:sz w:val="24"/>
          <w:szCs w:val="24"/>
        </w:rPr>
        <w:tab/>
        <w:t>Evropská investiční banka</w:t>
      </w:r>
    </w:p>
    <w:p w14:paraId="2E1C5F3D" w14:textId="061B8BB4" w:rsidR="00DB3277" w:rsidRPr="004F2049" w:rsidRDefault="00DB3277" w:rsidP="00DB3277">
      <w:pPr>
        <w:tabs>
          <w:tab w:val="left" w:pos="4111"/>
        </w:tabs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4F2049">
        <w:rPr>
          <w:rFonts w:eastAsiaTheme="minorHAnsi" w:cstheme="minorHAnsi"/>
          <w:sz w:val="24"/>
          <w:szCs w:val="24"/>
        </w:rPr>
        <w:t xml:space="preserve">kapitola SD, kapitola </w:t>
      </w:r>
      <w:r w:rsidRPr="004F2049">
        <w:rPr>
          <w:rFonts w:eastAsiaTheme="minorHAnsi" w:cstheme="minorHAnsi"/>
          <w:i/>
          <w:sz w:val="24"/>
          <w:szCs w:val="24"/>
        </w:rPr>
        <w:t>Státní dluh</w:t>
      </w:r>
      <w:r w:rsidRPr="004F2049">
        <w:rPr>
          <w:rFonts w:eastAsiaTheme="minorHAnsi" w:cstheme="minorHAnsi"/>
          <w:sz w:val="24"/>
          <w:szCs w:val="24"/>
        </w:rPr>
        <w:tab/>
        <w:t xml:space="preserve">kapitola státního rozpočtu </w:t>
      </w:r>
      <w:r w:rsidR="004F2049" w:rsidRPr="004F2049">
        <w:rPr>
          <w:rFonts w:eastAsiaTheme="minorHAnsi" w:cstheme="minorHAnsi"/>
          <w:sz w:val="24"/>
          <w:szCs w:val="24"/>
        </w:rPr>
        <w:t xml:space="preserve">396 – </w:t>
      </w:r>
      <w:r w:rsidR="004F2049" w:rsidRPr="004F2049">
        <w:rPr>
          <w:rFonts w:eastAsiaTheme="minorHAnsi" w:cstheme="minorHAnsi"/>
          <w:i/>
          <w:sz w:val="24"/>
          <w:szCs w:val="24"/>
        </w:rPr>
        <w:t>Státní dluh</w:t>
      </w:r>
    </w:p>
    <w:p w14:paraId="47FF4EE0" w14:textId="32DD2FA2" w:rsidR="00DB3277" w:rsidRPr="004F2049" w:rsidRDefault="00DB3277" w:rsidP="00DB3277">
      <w:pPr>
        <w:tabs>
          <w:tab w:val="left" w:pos="4111"/>
        </w:tabs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4F2049">
        <w:rPr>
          <w:rFonts w:eastAsiaTheme="minorHAnsi" w:cstheme="minorHAnsi"/>
          <w:sz w:val="24"/>
          <w:szCs w:val="24"/>
        </w:rPr>
        <w:t>MF</w:t>
      </w:r>
      <w:r w:rsidR="004F2049" w:rsidRPr="004F2049">
        <w:rPr>
          <w:rFonts w:eastAsiaTheme="minorHAnsi" w:cstheme="minorHAnsi"/>
          <w:sz w:val="24"/>
          <w:szCs w:val="24"/>
        </w:rPr>
        <w:tab/>
        <w:t>Ministerstvo financí</w:t>
      </w:r>
    </w:p>
    <w:p w14:paraId="2881CD94" w14:textId="42824FDC" w:rsidR="00DB3277" w:rsidRPr="004F2049" w:rsidRDefault="00DB3277" w:rsidP="00DB3277">
      <w:pPr>
        <w:tabs>
          <w:tab w:val="left" w:pos="4111"/>
        </w:tabs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4F2049">
        <w:rPr>
          <w:rFonts w:eastAsiaTheme="minorHAnsi" w:cstheme="minorHAnsi"/>
          <w:sz w:val="24"/>
          <w:szCs w:val="24"/>
        </w:rPr>
        <w:t>NKÚ</w:t>
      </w:r>
      <w:r w:rsidR="004F2049" w:rsidRPr="004F2049">
        <w:rPr>
          <w:rFonts w:eastAsiaTheme="minorHAnsi" w:cstheme="minorHAnsi"/>
          <w:sz w:val="24"/>
          <w:szCs w:val="24"/>
        </w:rPr>
        <w:tab/>
        <w:t>Nejvyšší kontrolní úřad</w:t>
      </w:r>
    </w:p>
    <w:p w14:paraId="742DAB21" w14:textId="2322196A" w:rsidR="00DB3277" w:rsidRPr="004F2049" w:rsidRDefault="00DB3277" w:rsidP="00DB3277">
      <w:pPr>
        <w:tabs>
          <w:tab w:val="left" w:pos="4111"/>
        </w:tabs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4F2049">
        <w:rPr>
          <w:rFonts w:eastAsiaTheme="minorHAnsi" w:cstheme="minorHAnsi"/>
          <w:sz w:val="24"/>
          <w:szCs w:val="24"/>
        </w:rPr>
        <w:t>ROP</w:t>
      </w:r>
      <w:r w:rsidR="004F2049" w:rsidRPr="004F2049">
        <w:rPr>
          <w:rFonts w:eastAsiaTheme="minorHAnsi" w:cstheme="minorHAnsi"/>
          <w:sz w:val="24"/>
          <w:szCs w:val="24"/>
        </w:rPr>
        <w:tab/>
        <w:t>rozpočtové opatření</w:t>
      </w:r>
    </w:p>
    <w:p w14:paraId="1BAB587D" w14:textId="1DD6013C" w:rsidR="00DB3277" w:rsidRPr="004F2049" w:rsidRDefault="00DB3277" w:rsidP="00DB3277">
      <w:pPr>
        <w:tabs>
          <w:tab w:val="left" w:pos="4111"/>
        </w:tabs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4F2049">
        <w:rPr>
          <w:rFonts w:eastAsiaTheme="minorHAnsi" w:cstheme="minorHAnsi"/>
          <w:sz w:val="24"/>
          <w:szCs w:val="24"/>
        </w:rPr>
        <w:t>SD</w:t>
      </w:r>
      <w:r w:rsidR="004F2049" w:rsidRPr="004F2049">
        <w:rPr>
          <w:rFonts w:eastAsiaTheme="minorHAnsi" w:cstheme="minorHAnsi"/>
          <w:sz w:val="24"/>
          <w:szCs w:val="24"/>
        </w:rPr>
        <w:tab/>
        <w:t>státní dluh</w:t>
      </w:r>
    </w:p>
    <w:p w14:paraId="02CF743C" w14:textId="2A01CE0F" w:rsidR="00DB3277" w:rsidRPr="004F2049" w:rsidRDefault="00DB3277" w:rsidP="00DB3277">
      <w:pPr>
        <w:tabs>
          <w:tab w:val="left" w:pos="4111"/>
        </w:tabs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4F2049">
        <w:rPr>
          <w:rFonts w:eastAsiaTheme="minorHAnsi" w:cstheme="minorHAnsi"/>
          <w:sz w:val="24"/>
          <w:szCs w:val="24"/>
        </w:rPr>
        <w:t>SDD</w:t>
      </w:r>
      <w:r w:rsidR="004F2049" w:rsidRPr="004F2049">
        <w:rPr>
          <w:rFonts w:eastAsiaTheme="minorHAnsi" w:cstheme="minorHAnsi"/>
          <w:sz w:val="24"/>
          <w:szCs w:val="24"/>
        </w:rPr>
        <w:tab/>
        <w:t>střednědobé a dlouhodobé státní dluhopisy</w:t>
      </w:r>
    </w:p>
    <w:p w14:paraId="127A1EFB" w14:textId="33ACBB3E" w:rsidR="00DB3277" w:rsidRPr="004F2049" w:rsidRDefault="00DB3277" w:rsidP="00DB3277">
      <w:pPr>
        <w:tabs>
          <w:tab w:val="left" w:pos="4111"/>
        </w:tabs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4F2049">
        <w:rPr>
          <w:rFonts w:eastAsiaTheme="minorHAnsi" w:cstheme="minorHAnsi"/>
          <w:sz w:val="24"/>
          <w:szCs w:val="24"/>
        </w:rPr>
        <w:t>SP</w:t>
      </w:r>
      <w:r w:rsidR="004F2049" w:rsidRPr="004F2049">
        <w:rPr>
          <w:rFonts w:eastAsiaTheme="minorHAnsi" w:cstheme="minorHAnsi"/>
          <w:sz w:val="24"/>
          <w:szCs w:val="24"/>
        </w:rPr>
        <w:tab/>
        <w:t>státní pokladna</w:t>
      </w:r>
    </w:p>
    <w:p w14:paraId="3ABB9079" w14:textId="5E54DA89" w:rsidR="00DB3277" w:rsidRPr="004F2049" w:rsidRDefault="00DB3277" w:rsidP="00DB3277">
      <w:pPr>
        <w:tabs>
          <w:tab w:val="left" w:pos="4111"/>
        </w:tabs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4F2049">
        <w:rPr>
          <w:rFonts w:eastAsiaTheme="minorHAnsi" w:cstheme="minorHAnsi"/>
          <w:sz w:val="24"/>
          <w:szCs w:val="24"/>
        </w:rPr>
        <w:t>SPP</w:t>
      </w:r>
      <w:r w:rsidR="004F2049" w:rsidRPr="004F2049">
        <w:rPr>
          <w:rFonts w:eastAsiaTheme="minorHAnsi" w:cstheme="minorHAnsi"/>
          <w:sz w:val="24"/>
          <w:szCs w:val="24"/>
        </w:rPr>
        <w:tab/>
        <w:t>státní pokladniční poukázky</w:t>
      </w:r>
    </w:p>
    <w:p w14:paraId="7FFE86F1" w14:textId="2BCE4978" w:rsidR="00DB3277" w:rsidRDefault="00DB3277" w:rsidP="00DB3277">
      <w:pPr>
        <w:tabs>
          <w:tab w:val="left" w:pos="4111"/>
        </w:tabs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  <w:r w:rsidRPr="004F2049">
        <w:rPr>
          <w:rFonts w:eastAsiaTheme="minorHAnsi" w:cstheme="minorHAnsi"/>
          <w:sz w:val="24"/>
          <w:szCs w:val="24"/>
        </w:rPr>
        <w:t>SSD</w:t>
      </w:r>
      <w:r w:rsidR="004F2049" w:rsidRPr="004F2049">
        <w:rPr>
          <w:rFonts w:eastAsiaTheme="minorHAnsi" w:cstheme="minorHAnsi"/>
          <w:sz w:val="24"/>
          <w:szCs w:val="24"/>
        </w:rPr>
        <w:tab/>
        <w:t>státní spořicí dluhopisy</w:t>
      </w:r>
    </w:p>
    <w:p w14:paraId="23E538CB" w14:textId="77777777" w:rsidR="004F2049" w:rsidRPr="004F2049" w:rsidRDefault="004F2049" w:rsidP="00DB3277">
      <w:pPr>
        <w:tabs>
          <w:tab w:val="left" w:pos="4111"/>
        </w:tabs>
        <w:spacing w:after="0" w:line="240" w:lineRule="auto"/>
        <w:jc w:val="both"/>
        <w:rPr>
          <w:rFonts w:eastAsiaTheme="minorHAnsi" w:cstheme="minorHAnsi"/>
          <w:sz w:val="24"/>
          <w:szCs w:val="24"/>
        </w:rPr>
      </w:pPr>
    </w:p>
    <w:sectPr w:rsidR="004F2049" w:rsidRPr="004F2049" w:rsidSect="00E667AD">
      <w:footerReference w:type="default" r:id="rId13"/>
      <w:pgSz w:w="12240" w:h="15840"/>
      <w:pgMar w:top="1418" w:right="1418" w:bottom="1418" w:left="1418" w:header="709" w:footer="65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4B1118" w14:textId="77777777" w:rsidR="00275749" w:rsidRDefault="00275749">
      <w:pPr>
        <w:spacing w:after="0" w:line="240" w:lineRule="auto"/>
      </w:pPr>
      <w:r>
        <w:separator/>
      </w:r>
    </w:p>
  </w:endnote>
  <w:endnote w:type="continuationSeparator" w:id="0">
    <w:p w14:paraId="0631A660" w14:textId="77777777" w:rsidR="00275749" w:rsidRDefault="00275749">
      <w:pPr>
        <w:spacing w:after="0" w:line="240" w:lineRule="auto"/>
      </w:pPr>
      <w:r>
        <w:continuationSeparator/>
      </w:r>
    </w:p>
  </w:endnote>
  <w:endnote w:type="continuationNotice" w:id="1">
    <w:p w14:paraId="5859DB62" w14:textId="77777777" w:rsidR="00275749" w:rsidRDefault="002757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2376251"/>
      <w:docPartObj>
        <w:docPartGallery w:val="Page Numbers (Bottom of Page)"/>
        <w:docPartUnique/>
      </w:docPartObj>
    </w:sdtPr>
    <w:sdtEndPr>
      <w:rPr>
        <w:rFonts w:ascii="Calibri" w:hAnsi="Calibri" w:cs="Calibri"/>
        <w:sz w:val="24"/>
        <w:szCs w:val="24"/>
      </w:rPr>
    </w:sdtEndPr>
    <w:sdtContent>
      <w:p w14:paraId="25C46C4F" w14:textId="77777777" w:rsidR="00275749" w:rsidRPr="00646102" w:rsidRDefault="00275749">
        <w:pPr>
          <w:pStyle w:val="Zpat"/>
          <w:jc w:val="center"/>
          <w:rPr>
            <w:rFonts w:ascii="Calibri" w:hAnsi="Calibri" w:cs="Calibri"/>
            <w:sz w:val="24"/>
            <w:szCs w:val="24"/>
          </w:rPr>
        </w:pPr>
        <w:r w:rsidRPr="00646102">
          <w:rPr>
            <w:rFonts w:ascii="Calibri" w:hAnsi="Calibri" w:cs="Calibri"/>
            <w:sz w:val="24"/>
            <w:szCs w:val="24"/>
          </w:rPr>
          <w:fldChar w:fldCharType="begin"/>
        </w:r>
        <w:r w:rsidRPr="00646102">
          <w:rPr>
            <w:rFonts w:ascii="Calibri" w:hAnsi="Calibri" w:cs="Calibri"/>
            <w:sz w:val="24"/>
            <w:szCs w:val="24"/>
          </w:rPr>
          <w:instrText>PAGE   \* MERGEFORMAT</w:instrText>
        </w:r>
        <w:r w:rsidRPr="00646102">
          <w:rPr>
            <w:rFonts w:ascii="Calibri" w:hAnsi="Calibri" w:cs="Calibri"/>
            <w:sz w:val="24"/>
            <w:szCs w:val="24"/>
          </w:rPr>
          <w:fldChar w:fldCharType="separate"/>
        </w:r>
        <w:r w:rsidR="00014D94">
          <w:rPr>
            <w:rFonts w:ascii="Calibri" w:hAnsi="Calibri" w:cs="Calibri"/>
            <w:noProof/>
            <w:sz w:val="24"/>
            <w:szCs w:val="24"/>
          </w:rPr>
          <w:t>3</w:t>
        </w:r>
        <w:r w:rsidRPr="00646102">
          <w:rPr>
            <w:rFonts w:ascii="Calibri" w:hAnsi="Calibri" w:cs="Calibri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50D82" w14:textId="77777777" w:rsidR="00275749" w:rsidRDefault="00275749">
      <w:pPr>
        <w:spacing w:after="0" w:line="240" w:lineRule="auto"/>
      </w:pPr>
      <w:r>
        <w:separator/>
      </w:r>
    </w:p>
  </w:footnote>
  <w:footnote w:type="continuationSeparator" w:id="0">
    <w:p w14:paraId="5D85F142" w14:textId="77777777" w:rsidR="00275749" w:rsidRDefault="00275749">
      <w:pPr>
        <w:spacing w:after="0" w:line="240" w:lineRule="auto"/>
      </w:pPr>
      <w:r>
        <w:continuationSeparator/>
      </w:r>
    </w:p>
  </w:footnote>
  <w:footnote w:type="continuationNotice" w:id="1">
    <w:p w14:paraId="776DCDBA" w14:textId="77777777" w:rsidR="00275749" w:rsidRDefault="00275749">
      <w:pPr>
        <w:spacing w:after="0" w:line="240" w:lineRule="auto"/>
      </w:pPr>
    </w:p>
  </w:footnote>
  <w:footnote w:id="2">
    <w:p w14:paraId="73107D5F" w14:textId="77777777" w:rsidR="00275749" w:rsidRPr="00E667AD" w:rsidRDefault="00275749" w:rsidP="00F27498">
      <w:pPr>
        <w:pStyle w:val="Textpoznpodarou"/>
        <w:ind w:left="284" w:hanging="284"/>
        <w:rPr>
          <w:rFonts w:ascii="Calibri" w:hAnsi="Calibri" w:cs="Calibri"/>
        </w:rPr>
      </w:pPr>
      <w:r w:rsidRPr="00E667AD">
        <w:rPr>
          <w:rStyle w:val="Znakapoznpodarou"/>
          <w:rFonts w:ascii="Calibri" w:hAnsi="Calibri" w:cs="Calibri"/>
        </w:rPr>
        <w:footnoteRef/>
      </w:r>
      <w:r w:rsidRPr="00E667AD">
        <w:rPr>
          <w:rFonts w:ascii="Calibri" w:hAnsi="Calibri" w:cs="Calibri"/>
        </w:rPr>
        <w:t xml:space="preserve"> </w:t>
      </w:r>
      <w:r w:rsidRPr="00E667AD">
        <w:rPr>
          <w:rFonts w:ascii="Calibri" w:hAnsi="Calibri" w:cs="Calibri"/>
        </w:rPr>
        <w:tab/>
        <w:t>Zákon č. 2/1969 Sb., o zřízení ministerstev a jiných ústředních orgánů státní správy České republiky.</w:t>
      </w:r>
    </w:p>
  </w:footnote>
  <w:footnote w:id="3">
    <w:p w14:paraId="5AA6A8A3" w14:textId="77777777" w:rsidR="00275749" w:rsidRPr="00E667AD" w:rsidRDefault="00275749" w:rsidP="00F27498">
      <w:pPr>
        <w:pStyle w:val="Textpoznpodarou"/>
        <w:ind w:left="284" w:hanging="284"/>
        <w:rPr>
          <w:rFonts w:ascii="Calibri" w:hAnsi="Calibri" w:cs="Calibri"/>
        </w:rPr>
      </w:pPr>
      <w:r w:rsidRPr="00E667AD">
        <w:rPr>
          <w:rStyle w:val="Znakapoznpodarou"/>
          <w:rFonts w:ascii="Calibri" w:hAnsi="Calibri" w:cs="Calibri"/>
        </w:rPr>
        <w:footnoteRef/>
      </w:r>
      <w:r w:rsidRPr="00E667AD">
        <w:rPr>
          <w:rFonts w:ascii="Calibri" w:hAnsi="Calibri" w:cs="Calibri"/>
        </w:rPr>
        <w:t xml:space="preserve"> </w:t>
      </w:r>
      <w:r w:rsidRPr="00E667AD">
        <w:rPr>
          <w:rFonts w:ascii="Calibri" w:hAnsi="Calibri" w:cs="Calibri"/>
        </w:rPr>
        <w:tab/>
        <w:t>Zákon č.</w:t>
      </w:r>
      <w:r w:rsidRPr="00E667AD">
        <w:rPr>
          <w:rFonts w:ascii="Calibri" w:hAnsi="Calibri" w:cs="Calibri"/>
          <w:iCs/>
        </w:rPr>
        <w:t xml:space="preserve"> 218/2000 Sb., o rozpočtových pravidlech a o změně některých souvisejících zákonů (rozpočtová pravidla).</w:t>
      </w:r>
    </w:p>
  </w:footnote>
  <w:footnote w:id="4">
    <w:p w14:paraId="46A04A42" w14:textId="77777777" w:rsidR="00275749" w:rsidRPr="00E667AD" w:rsidRDefault="00275749" w:rsidP="00F27498">
      <w:pPr>
        <w:pStyle w:val="Textpoznpodarou"/>
        <w:ind w:left="284" w:hanging="284"/>
        <w:rPr>
          <w:rFonts w:ascii="Calibri" w:hAnsi="Calibri" w:cs="Calibri"/>
        </w:rPr>
      </w:pPr>
      <w:r w:rsidRPr="00E667AD">
        <w:rPr>
          <w:rStyle w:val="Znakapoznpodarou"/>
          <w:rFonts w:ascii="Calibri" w:hAnsi="Calibri" w:cs="Calibri"/>
        </w:rPr>
        <w:footnoteRef/>
      </w:r>
      <w:r w:rsidRPr="00E667AD">
        <w:rPr>
          <w:rFonts w:ascii="Calibri" w:hAnsi="Calibri" w:cs="Calibri"/>
        </w:rPr>
        <w:t xml:space="preserve"> </w:t>
      </w:r>
      <w:r w:rsidRPr="00E667AD">
        <w:rPr>
          <w:rFonts w:ascii="Calibri" w:hAnsi="Calibri" w:cs="Calibri"/>
        </w:rPr>
        <w:tab/>
        <w:t>Právní předpisy uvedené v tomto kontrolním závěru jsou aplikovány ve znění účinném pro kontrolované období.</w:t>
      </w:r>
    </w:p>
  </w:footnote>
  <w:footnote w:id="5">
    <w:p w14:paraId="0E4DA60A" w14:textId="77777777" w:rsidR="00275749" w:rsidRPr="00E667AD" w:rsidRDefault="00275749" w:rsidP="00F27498">
      <w:pPr>
        <w:pStyle w:val="Textpoznpodarou"/>
        <w:ind w:left="284" w:hanging="284"/>
        <w:rPr>
          <w:rFonts w:ascii="Calibri" w:hAnsi="Calibri" w:cs="Calibri"/>
        </w:rPr>
      </w:pPr>
      <w:r w:rsidRPr="00E667AD">
        <w:rPr>
          <w:rStyle w:val="Znakapoznpodarou"/>
          <w:rFonts w:ascii="Calibri" w:hAnsi="Calibri" w:cs="Calibri"/>
        </w:rPr>
        <w:footnoteRef/>
      </w:r>
      <w:r w:rsidRPr="00E667AD">
        <w:rPr>
          <w:rFonts w:ascii="Calibri" w:hAnsi="Calibri" w:cs="Calibri"/>
        </w:rPr>
        <w:t xml:space="preserve"> </w:t>
      </w:r>
      <w:r w:rsidRPr="00E667AD">
        <w:rPr>
          <w:rFonts w:ascii="Calibri" w:hAnsi="Calibri" w:cs="Calibri"/>
        </w:rPr>
        <w:tab/>
        <w:t>Zákon č. 25/2015 Sb., kterým se mění zákon č. 218/2000 Sb., o rozpočtových pravidlech a o změně některých souvisejících zákonů (rozpočtová pravidla), ve znění pozdějších předpisů.</w:t>
      </w:r>
    </w:p>
  </w:footnote>
  <w:footnote w:id="6">
    <w:p w14:paraId="53E77BDD" w14:textId="4575FDB5" w:rsidR="00275749" w:rsidRPr="00E667AD" w:rsidRDefault="00275749" w:rsidP="00F27498">
      <w:pPr>
        <w:pStyle w:val="Textpoznpodarou"/>
        <w:ind w:left="284" w:hanging="284"/>
        <w:rPr>
          <w:rFonts w:ascii="Calibri" w:hAnsi="Calibri" w:cs="Calibri"/>
        </w:rPr>
      </w:pPr>
      <w:r w:rsidRPr="00E667AD">
        <w:rPr>
          <w:rStyle w:val="Znakapoznpodarou"/>
          <w:rFonts w:ascii="Calibri" w:hAnsi="Calibri" w:cs="Calibri"/>
        </w:rPr>
        <w:footnoteRef/>
      </w:r>
      <w:r w:rsidRPr="00E667AD">
        <w:rPr>
          <w:rFonts w:ascii="Calibri" w:hAnsi="Calibri" w:cs="Calibri"/>
        </w:rPr>
        <w:t xml:space="preserve"> </w:t>
      </w:r>
      <w:r w:rsidRPr="00E667A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Kontrolní akce č. 14/14 – </w:t>
      </w:r>
      <w:r w:rsidRPr="000D5096">
        <w:rPr>
          <w:rFonts w:ascii="Calibri" w:hAnsi="Calibri" w:cs="Calibri"/>
          <w:i/>
        </w:rPr>
        <w:t>Peněžní prostředky státního rozpočtu zahrnuté do kapitoly státního rozpočtu Všeobecná pokladní správa</w:t>
      </w:r>
      <w:r>
        <w:rPr>
          <w:rFonts w:ascii="Calibri" w:hAnsi="Calibri" w:cs="Calibri"/>
        </w:rPr>
        <w:t xml:space="preserve"> (kontrolní závěr </w:t>
      </w:r>
      <w:r w:rsidRPr="009B68CE">
        <w:rPr>
          <w:rFonts w:ascii="Calibri" w:hAnsi="Calibri" w:cs="Calibri"/>
        </w:rPr>
        <w:t xml:space="preserve">zveřejněn v částce 1/2015 </w:t>
      </w:r>
      <w:r w:rsidRPr="000D5096">
        <w:rPr>
          <w:rFonts w:ascii="Calibri" w:hAnsi="Calibri" w:cs="Calibri"/>
          <w:i/>
        </w:rPr>
        <w:t>Věstníku NKÚ</w:t>
      </w:r>
      <w:r>
        <w:rPr>
          <w:rFonts w:ascii="Calibri" w:hAnsi="Calibri" w:cs="Calibri"/>
        </w:rPr>
        <w:t>)</w:t>
      </w:r>
      <w:r w:rsidRPr="00E667AD">
        <w:rPr>
          <w:rFonts w:ascii="Calibri" w:hAnsi="Calibri" w:cs="Calibri"/>
        </w:rPr>
        <w:t>.</w:t>
      </w:r>
    </w:p>
  </w:footnote>
  <w:footnote w:id="7">
    <w:p w14:paraId="7287A9E5" w14:textId="77777777" w:rsidR="00275749" w:rsidRPr="00E667AD" w:rsidRDefault="00275749" w:rsidP="00D80365">
      <w:pPr>
        <w:spacing w:after="0" w:line="240" w:lineRule="auto"/>
        <w:ind w:left="284" w:hanging="284"/>
        <w:rPr>
          <w:rFonts w:ascii="Calibri" w:hAnsi="Calibri" w:cs="Calibri"/>
        </w:rPr>
      </w:pPr>
      <w:r w:rsidRPr="00E667AD">
        <w:rPr>
          <w:rStyle w:val="Znakapoznpodarou"/>
          <w:rFonts w:ascii="Calibri" w:hAnsi="Calibri" w:cs="Calibri"/>
          <w:sz w:val="20"/>
          <w:szCs w:val="20"/>
        </w:rPr>
        <w:footnoteRef/>
      </w:r>
      <w:r w:rsidRPr="00E667AD">
        <w:rPr>
          <w:rFonts w:ascii="Calibri" w:hAnsi="Calibri" w:cs="Calibri"/>
          <w:sz w:val="20"/>
          <w:szCs w:val="20"/>
        </w:rPr>
        <w:t xml:space="preserve"> </w:t>
      </w:r>
      <w:r w:rsidRPr="00E667AD">
        <w:rPr>
          <w:rFonts w:ascii="Calibri" w:hAnsi="Calibri" w:cs="Calibri"/>
          <w:sz w:val="20"/>
          <w:szCs w:val="20"/>
        </w:rPr>
        <w:tab/>
        <w:t>Swap je termínovaná smlouva, kterou se subjekty zavazují vyměnit si mezi sebou buď dohodnutá podkladová aktiva či finanční toky za předem pevně stanovených podmínek a je mj. využívaná na zajišťování proti prudkým výkyvům podkladového nástroje v rámci řízení rizika.</w:t>
      </w:r>
    </w:p>
  </w:footnote>
  <w:footnote w:id="8">
    <w:p w14:paraId="598DA383" w14:textId="77777777" w:rsidR="00275749" w:rsidRPr="00E667AD" w:rsidRDefault="00275749" w:rsidP="00F27498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E667AD">
        <w:rPr>
          <w:rStyle w:val="Znakapoznpodarou"/>
          <w:rFonts w:ascii="Calibri" w:hAnsi="Calibri" w:cs="Calibri"/>
        </w:rPr>
        <w:footnoteRef/>
      </w:r>
      <w:r w:rsidRPr="00E667AD">
        <w:rPr>
          <w:rFonts w:ascii="Calibri" w:hAnsi="Calibri" w:cs="Calibri"/>
        </w:rPr>
        <w:t xml:space="preserve"> </w:t>
      </w:r>
      <w:r w:rsidRPr="00E667AD">
        <w:rPr>
          <w:rFonts w:ascii="Calibri" w:hAnsi="Calibri" w:cs="Calibri"/>
        </w:rPr>
        <w:tab/>
        <w:t>Zákon č. 475/2013 Sb., o státním rozpočtu České republiky na rok 2014 a o změně zákona č. 504/2012 Sb., o státním rozpočtu České republiky na rok 2013, ve znění zákona č. 258/2013 Sb.</w:t>
      </w:r>
    </w:p>
  </w:footnote>
  <w:footnote w:id="9">
    <w:p w14:paraId="29C6B308" w14:textId="77777777" w:rsidR="00275749" w:rsidRPr="00E667AD" w:rsidRDefault="00275749" w:rsidP="00F27498">
      <w:pPr>
        <w:pStyle w:val="Textpoznpodarou"/>
        <w:ind w:left="284" w:hanging="284"/>
        <w:jc w:val="both"/>
        <w:rPr>
          <w:rFonts w:ascii="Calibri" w:hAnsi="Calibri" w:cs="Calibri"/>
        </w:rPr>
      </w:pPr>
      <w:r w:rsidRPr="00E667AD">
        <w:rPr>
          <w:rStyle w:val="Znakapoznpodarou"/>
          <w:rFonts w:ascii="Calibri" w:hAnsi="Calibri" w:cs="Calibri"/>
        </w:rPr>
        <w:footnoteRef/>
      </w:r>
      <w:r w:rsidRPr="00E667AD">
        <w:rPr>
          <w:rFonts w:ascii="Calibri" w:hAnsi="Calibri" w:cs="Calibri"/>
        </w:rPr>
        <w:t xml:space="preserve"> </w:t>
      </w:r>
      <w:r w:rsidRPr="00E667AD">
        <w:rPr>
          <w:rFonts w:ascii="Calibri" w:hAnsi="Calibri" w:cs="Calibri"/>
        </w:rPr>
        <w:tab/>
        <w:t>Zákon č. 318/2014 Sb., kterým se mění zákon č. 475/2013 Sb., o státním rozpočtu České republiky na rok 2014 a o změně zákona č. 504/2012 Sb., o státním rozpočtu České republiky na rok 2013, ve znění zákona č. 258/2013 Sb.</w:t>
      </w:r>
    </w:p>
  </w:footnote>
  <w:footnote w:id="10">
    <w:p w14:paraId="46CEF699" w14:textId="77777777" w:rsidR="00275749" w:rsidRPr="00A11AFD" w:rsidRDefault="00275749" w:rsidP="00877D6C">
      <w:pPr>
        <w:pStyle w:val="Textpoznpodarou"/>
        <w:ind w:left="284" w:hanging="284"/>
        <w:rPr>
          <w:rFonts w:ascii="Calibri" w:hAnsi="Calibri" w:cs="Calibri"/>
        </w:rPr>
      </w:pPr>
      <w:r w:rsidRPr="00A11AFD">
        <w:rPr>
          <w:rStyle w:val="Znakapoznpodarou"/>
          <w:rFonts w:ascii="Calibri" w:hAnsi="Calibri" w:cs="Calibri"/>
        </w:rPr>
        <w:footnoteRef/>
      </w:r>
      <w:r w:rsidRPr="00A11AFD">
        <w:rPr>
          <w:rFonts w:ascii="Calibri" w:hAnsi="Calibri" w:cs="Calibri"/>
        </w:rPr>
        <w:tab/>
        <w:t>Reálná hodnota neukončených swapů k datu ocenění z hlediska MF.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562F"/>
    <w:multiLevelType w:val="hybridMultilevel"/>
    <w:tmpl w:val="0DDC0E2C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53F51"/>
    <w:multiLevelType w:val="hybridMultilevel"/>
    <w:tmpl w:val="AAA2A214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B664D"/>
    <w:multiLevelType w:val="hybridMultilevel"/>
    <w:tmpl w:val="B0DA28BA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97D3D"/>
    <w:multiLevelType w:val="hybridMultilevel"/>
    <w:tmpl w:val="308CD8C6"/>
    <w:lvl w:ilvl="0" w:tplc="B5EA445A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4B5A38"/>
    <w:multiLevelType w:val="hybridMultilevel"/>
    <w:tmpl w:val="AD1449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E7B42"/>
    <w:multiLevelType w:val="hybridMultilevel"/>
    <w:tmpl w:val="0652D91C"/>
    <w:lvl w:ilvl="0" w:tplc="98DA56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9120D"/>
    <w:multiLevelType w:val="hybridMultilevel"/>
    <w:tmpl w:val="60BA4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195ECA"/>
    <w:multiLevelType w:val="hybridMultilevel"/>
    <w:tmpl w:val="6D9E9D80"/>
    <w:lvl w:ilvl="0" w:tplc="78D283E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763C52"/>
    <w:multiLevelType w:val="hybridMultilevel"/>
    <w:tmpl w:val="91D06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928A2"/>
    <w:multiLevelType w:val="hybridMultilevel"/>
    <w:tmpl w:val="25D23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02CFB"/>
    <w:multiLevelType w:val="hybridMultilevel"/>
    <w:tmpl w:val="B958FD24"/>
    <w:lvl w:ilvl="0" w:tplc="43A2FA02"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D3736F4"/>
    <w:multiLevelType w:val="hybridMultilevel"/>
    <w:tmpl w:val="60D075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BB6CC3"/>
    <w:multiLevelType w:val="hybridMultilevel"/>
    <w:tmpl w:val="A426B2DA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617B5"/>
    <w:multiLevelType w:val="hybridMultilevel"/>
    <w:tmpl w:val="6BA4F3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AD5925"/>
    <w:multiLevelType w:val="hybridMultilevel"/>
    <w:tmpl w:val="5D24B2A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A092C"/>
    <w:multiLevelType w:val="hybridMultilevel"/>
    <w:tmpl w:val="3E0A79A6"/>
    <w:lvl w:ilvl="0" w:tplc="7262B8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D5498F"/>
    <w:multiLevelType w:val="hybridMultilevel"/>
    <w:tmpl w:val="78909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141D83"/>
    <w:multiLevelType w:val="hybridMultilevel"/>
    <w:tmpl w:val="A0F099CE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6D78F6"/>
    <w:multiLevelType w:val="hybridMultilevel"/>
    <w:tmpl w:val="09B27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5638B7"/>
    <w:multiLevelType w:val="hybridMultilevel"/>
    <w:tmpl w:val="0DB8BB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D2A44"/>
    <w:multiLevelType w:val="hybridMultilevel"/>
    <w:tmpl w:val="51F0B2EC"/>
    <w:lvl w:ilvl="0" w:tplc="7262B82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260F1F"/>
    <w:multiLevelType w:val="multilevel"/>
    <w:tmpl w:val="EDC05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6F461C0B"/>
    <w:multiLevelType w:val="hybridMultilevel"/>
    <w:tmpl w:val="EEA26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C7281"/>
    <w:multiLevelType w:val="hybridMultilevel"/>
    <w:tmpl w:val="0C28D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1"/>
  </w:num>
  <w:num w:numId="4">
    <w:abstractNumId w:val="2"/>
  </w:num>
  <w:num w:numId="5">
    <w:abstractNumId w:val="17"/>
  </w:num>
  <w:num w:numId="6">
    <w:abstractNumId w:val="13"/>
  </w:num>
  <w:num w:numId="7">
    <w:abstractNumId w:val="9"/>
  </w:num>
  <w:num w:numId="8">
    <w:abstractNumId w:val="16"/>
  </w:num>
  <w:num w:numId="9">
    <w:abstractNumId w:val="23"/>
  </w:num>
  <w:num w:numId="10">
    <w:abstractNumId w:val="8"/>
  </w:num>
  <w:num w:numId="11">
    <w:abstractNumId w:val="6"/>
  </w:num>
  <w:num w:numId="12">
    <w:abstractNumId w:val="3"/>
  </w:num>
  <w:num w:numId="13">
    <w:abstractNumId w:val="21"/>
  </w:num>
  <w:num w:numId="14">
    <w:abstractNumId w:val="7"/>
  </w:num>
  <w:num w:numId="15">
    <w:abstractNumId w:val="4"/>
  </w:num>
  <w:num w:numId="16">
    <w:abstractNumId w:val="11"/>
  </w:num>
  <w:num w:numId="17">
    <w:abstractNumId w:val="14"/>
  </w:num>
  <w:num w:numId="18">
    <w:abstractNumId w:val="10"/>
  </w:num>
  <w:num w:numId="19">
    <w:abstractNumId w:val="20"/>
  </w:num>
  <w:num w:numId="20">
    <w:abstractNumId w:val="22"/>
  </w:num>
  <w:num w:numId="21">
    <w:abstractNumId w:val="15"/>
  </w:num>
  <w:num w:numId="22">
    <w:abstractNumId w:val="19"/>
  </w:num>
  <w:num w:numId="23">
    <w:abstractNumId w:val="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8F9"/>
    <w:rsid w:val="00001E98"/>
    <w:rsid w:val="00002B7A"/>
    <w:rsid w:val="00003CAF"/>
    <w:rsid w:val="000045A5"/>
    <w:rsid w:val="00007432"/>
    <w:rsid w:val="00007CA3"/>
    <w:rsid w:val="000137E8"/>
    <w:rsid w:val="00014164"/>
    <w:rsid w:val="000148CD"/>
    <w:rsid w:val="00014D94"/>
    <w:rsid w:val="000171DE"/>
    <w:rsid w:val="00017BFA"/>
    <w:rsid w:val="0002089C"/>
    <w:rsid w:val="00021DAB"/>
    <w:rsid w:val="000230B6"/>
    <w:rsid w:val="000244C1"/>
    <w:rsid w:val="000261F1"/>
    <w:rsid w:val="00030444"/>
    <w:rsid w:val="00031353"/>
    <w:rsid w:val="00033900"/>
    <w:rsid w:val="00035C17"/>
    <w:rsid w:val="00036047"/>
    <w:rsid w:val="00041A0C"/>
    <w:rsid w:val="000473A5"/>
    <w:rsid w:val="0005132E"/>
    <w:rsid w:val="0005158B"/>
    <w:rsid w:val="00055BFA"/>
    <w:rsid w:val="00056F71"/>
    <w:rsid w:val="00057DC7"/>
    <w:rsid w:val="00063593"/>
    <w:rsid w:val="00072F3A"/>
    <w:rsid w:val="00073ACF"/>
    <w:rsid w:val="00076A00"/>
    <w:rsid w:val="000777BB"/>
    <w:rsid w:val="000842EE"/>
    <w:rsid w:val="0009085D"/>
    <w:rsid w:val="000925FF"/>
    <w:rsid w:val="0009343F"/>
    <w:rsid w:val="00093B2F"/>
    <w:rsid w:val="00094C0F"/>
    <w:rsid w:val="00095178"/>
    <w:rsid w:val="000A2160"/>
    <w:rsid w:val="000A2839"/>
    <w:rsid w:val="000A3D6A"/>
    <w:rsid w:val="000A4264"/>
    <w:rsid w:val="000A5189"/>
    <w:rsid w:val="000A5FAA"/>
    <w:rsid w:val="000B0BFE"/>
    <w:rsid w:val="000B1346"/>
    <w:rsid w:val="000B1592"/>
    <w:rsid w:val="000B230F"/>
    <w:rsid w:val="000B2640"/>
    <w:rsid w:val="000B271B"/>
    <w:rsid w:val="000B314D"/>
    <w:rsid w:val="000B5358"/>
    <w:rsid w:val="000C07BB"/>
    <w:rsid w:val="000C09F8"/>
    <w:rsid w:val="000C0EE1"/>
    <w:rsid w:val="000C34A0"/>
    <w:rsid w:val="000C6A9D"/>
    <w:rsid w:val="000C71E1"/>
    <w:rsid w:val="000D3F68"/>
    <w:rsid w:val="000D5096"/>
    <w:rsid w:val="000E1097"/>
    <w:rsid w:val="000E1217"/>
    <w:rsid w:val="000E2C13"/>
    <w:rsid w:val="000E2D0D"/>
    <w:rsid w:val="000E3EF9"/>
    <w:rsid w:val="000E4DC7"/>
    <w:rsid w:val="000E58CE"/>
    <w:rsid w:val="000E59A2"/>
    <w:rsid w:val="000E6459"/>
    <w:rsid w:val="000E6C6C"/>
    <w:rsid w:val="000F178E"/>
    <w:rsid w:val="000F2403"/>
    <w:rsid w:val="000F3188"/>
    <w:rsid w:val="000F459D"/>
    <w:rsid w:val="000F7298"/>
    <w:rsid w:val="001018CB"/>
    <w:rsid w:val="00104E97"/>
    <w:rsid w:val="001062A0"/>
    <w:rsid w:val="00107EBC"/>
    <w:rsid w:val="00110508"/>
    <w:rsid w:val="00112488"/>
    <w:rsid w:val="00112BA1"/>
    <w:rsid w:val="0011381A"/>
    <w:rsid w:val="00114F13"/>
    <w:rsid w:val="00115241"/>
    <w:rsid w:val="00117490"/>
    <w:rsid w:val="00121552"/>
    <w:rsid w:val="001236E2"/>
    <w:rsid w:val="001247F1"/>
    <w:rsid w:val="0012516D"/>
    <w:rsid w:val="00131AEE"/>
    <w:rsid w:val="00132C2C"/>
    <w:rsid w:val="00132DD5"/>
    <w:rsid w:val="00132E18"/>
    <w:rsid w:val="001334B2"/>
    <w:rsid w:val="00135410"/>
    <w:rsid w:val="00136922"/>
    <w:rsid w:val="00141A0A"/>
    <w:rsid w:val="00144879"/>
    <w:rsid w:val="0014644C"/>
    <w:rsid w:val="00150114"/>
    <w:rsid w:val="0015547B"/>
    <w:rsid w:val="001564BA"/>
    <w:rsid w:val="0015676F"/>
    <w:rsid w:val="0015681D"/>
    <w:rsid w:val="00157E1F"/>
    <w:rsid w:val="00161AB2"/>
    <w:rsid w:val="001624BF"/>
    <w:rsid w:val="00162946"/>
    <w:rsid w:val="00163753"/>
    <w:rsid w:val="00163831"/>
    <w:rsid w:val="00166398"/>
    <w:rsid w:val="001668D9"/>
    <w:rsid w:val="00166B7D"/>
    <w:rsid w:val="00171211"/>
    <w:rsid w:val="00173027"/>
    <w:rsid w:val="001777FD"/>
    <w:rsid w:val="001809C9"/>
    <w:rsid w:val="001825CF"/>
    <w:rsid w:val="00183F7C"/>
    <w:rsid w:val="00184102"/>
    <w:rsid w:val="00185EBE"/>
    <w:rsid w:val="00186F10"/>
    <w:rsid w:val="00190A85"/>
    <w:rsid w:val="00190C6E"/>
    <w:rsid w:val="00193E7D"/>
    <w:rsid w:val="001946CC"/>
    <w:rsid w:val="001A08E8"/>
    <w:rsid w:val="001A102A"/>
    <w:rsid w:val="001A1827"/>
    <w:rsid w:val="001A662B"/>
    <w:rsid w:val="001A688C"/>
    <w:rsid w:val="001A7715"/>
    <w:rsid w:val="001B102C"/>
    <w:rsid w:val="001B4488"/>
    <w:rsid w:val="001B493C"/>
    <w:rsid w:val="001B4F48"/>
    <w:rsid w:val="001B71BF"/>
    <w:rsid w:val="001C017F"/>
    <w:rsid w:val="001C1AE3"/>
    <w:rsid w:val="001C2FAA"/>
    <w:rsid w:val="001C572E"/>
    <w:rsid w:val="001D1AE8"/>
    <w:rsid w:val="001D500B"/>
    <w:rsid w:val="001D5AEB"/>
    <w:rsid w:val="001D60EC"/>
    <w:rsid w:val="001D7BCE"/>
    <w:rsid w:val="001E1BC3"/>
    <w:rsid w:val="001E229D"/>
    <w:rsid w:val="001E3015"/>
    <w:rsid w:val="001E484C"/>
    <w:rsid w:val="001E4F29"/>
    <w:rsid w:val="001E524C"/>
    <w:rsid w:val="001E6873"/>
    <w:rsid w:val="001E6B2D"/>
    <w:rsid w:val="001F1561"/>
    <w:rsid w:val="001F2352"/>
    <w:rsid w:val="001F4B6D"/>
    <w:rsid w:val="00200E46"/>
    <w:rsid w:val="0020533A"/>
    <w:rsid w:val="002113C5"/>
    <w:rsid w:val="0021184A"/>
    <w:rsid w:val="002124CB"/>
    <w:rsid w:val="00212882"/>
    <w:rsid w:val="00213458"/>
    <w:rsid w:val="002150FB"/>
    <w:rsid w:val="00220171"/>
    <w:rsid w:val="0022134F"/>
    <w:rsid w:val="00224F56"/>
    <w:rsid w:val="00230CBB"/>
    <w:rsid w:val="00233F27"/>
    <w:rsid w:val="00234ABF"/>
    <w:rsid w:val="00235A6F"/>
    <w:rsid w:val="00235BDD"/>
    <w:rsid w:val="0023608B"/>
    <w:rsid w:val="0023673E"/>
    <w:rsid w:val="00236E82"/>
    <w:rsid w:val="002425A2"/>
    <w:rsid w:val="002436B2"/>
    <w:rsid w:val="00243EF2"/>
    <w:rsid w:val="00246428"/>
    <w:rsid w:val="00250AF6"/>
    <w:rsid w:val="00253740"/>
    <w:rsid w:val="00255093"/>
    <w:rsid w:val="00255ABD"/>
    <w:rsid w:val="002601AB"/>
    <w:rsid w:val="00261624"/>
    <w:rsid w:val="00261A64"/>
    <w:rsid w:val="00262E97"/>
    <w:rsid w:val="00263AA4"/>
    <w:rsid w:val="00266275"/>
    <w:rsid w:val="00266957"/>
    <w:rsid w:val="0027500E"/>
    <w:rsid w:val="00275090"/>
    <w:rsid w:val="00275749"/>
    <w:rsid w:val="00276ED8"/>
    <w:rsid w:val="00283FB1"/>
    <w:rsid w:val="00284BF4"/>
    <w:rsid w:val="00284EFC"/>
    <w:rsid w:val="00285BAE"/>
    <w:rsid w:val="00287944"/>
    <w:rsid w:val="00290FF8"/>
    <w:rsid w:val="00293251"/>
    <w:rsid w:val="002956F7"/>
    <w:rsid w:val="00295ABB"/>
    <w:rsid w:val="00297196"/>
    <w:rsid w:val="00297199"/>
    <w:rsid w:val="002A3327"/>
    <w:rsid w:val="002A6449"/>
    <w:rsid w:val="002B1663"/>
    <w:rsid w:val="002B1B9D"/>
    <w:rsid w:val="002B356B"/>
    <w:rsid w:val="002B7AEE"/>
    <w:rsid w:val="002C11DE"/>
    <w:rsid w:val="002C5893"/>
    <w:rsid w:val="002D3A82"/>
    <w:rsid w:val="002D64D3"/>
    <w:rsid w:val="002D7528"/>
    <w:rsid w:val="002D755F"/>
    <w:rsid w:val="002F3958"/>
    <w:rsid w:val="003043E2"/>
    <w:rsid w:val="003056DB"/>
    <w:rsid w:val="003060FD"/>
    <w:rsid w:val="00306825"/>
    <w:rsid w:val="00315EC3"/>
    <w:rsid w:val="00316286"/>
    <w:rsid w:val="00317382"/>
    <w:rsid w:val="00317D48"/>
    <w:rsid w:val="003241CE"/>
    <w:rsid w:val="003243E7"/>
    <w:rsid w:val="00325DF0"/>
    <w:rsid w:val="0033027A"/>
    <w:rsid w:val="003324C6"/>
    <w:rsid w:val="00333318"/>
    <w:rsid w:val="003345E3"/>
    <w:rsid w:val="003362C0"/>
    <w:rsid w:val="003378A3"/>
    <w:rsid w:val="0034034B"/>
    <w:rsid w:val="00346778"/>
    <w:rsid w:val="00353137"/>
    <w:rsid w:val="0035449B"/>
    <w:rsid w:val="00356F24"/>
    <w:rsid w:val="0036167A"/>
    <w:rsid w:val="00361E23"/>
    <w:rsid w:val="00363194"/>
    <w:rsid w:val="0036361F"/>
    <w:rsid w:val="0037017C"/>
    <w:rsid w:val="00371470"/>
    <w:rsid w:val="003723BE"/>
    <w:rsid w:val="00380B78"/>
    <w:rsid w:val="00386E53"/>
    <w:rsid w:val="0038711F"/>
    <w:rsid w:val="00387D69"/>
    <w:rsid w:val="00390989"/>
    <w:rsid w:val="0039111E"/>
    <w:rsid w:val="00392C5A"/>
    <w:rsid w:val="00396729"/>
    <w:rsid w:val="00397F80"/>
    <w:rsid w:val="003A014B"/>
    <w:rsid w:val="003A25B3"/>
    <w:rsid w:val="003A26A5"/>
    <w:rsid w:val="003A3BD5"/>
    <w:rsid w:val="003A4681"/>
    <w:rsid w:val="003A6E1E"/>
    <w:rsid w:val="003A71F6"/>
    <w:rsid w:val="003A72D8"/>
    <w:rsid w:val="003A7608"/>
    <w:rsid w:val="003B0933"/>
    <w:rsid w:val="003B17E0"/>
    <w:rsid w:val="003B1A40"/>
    <w:rsid w:val="003B2243"/>
    <w:rsid w:val="003B4D52"/>
    <w:rsid w:val="003B5285"/>
    <w:rsid w:val="003B55E6"/>
    <w:rsid w:val="003B58F3"/>
    <w:rsid w:val="003B679A"/>
    <w:rsid w:val="003B7716"/>
    <w:rsid w:val="003C08FF"/>
    <w:rsid w:val="003C09D9"/>
    <w:rsid w:val="003C0F64"/>
    <w:rsid w:val="003C2FE7"/>
    <w:rsid w:val="003C3CF3"/>
    <w:rsid w:val="003C58FF"/>
    <w:rsid w:val="003C6706"/>
    <w:rsid w:val="003C7D37"/>
    <w:rsid w:val="003D14F4"/>
    <w:rsid w:val="003D155A"/>
    <w:rsid w:val="003D2145"/>
    <w:rsid w:val="003D32F9"/>
    <w:rsid w:val="003D5AB9"/>
    <w:rsid w:val="003D6144"/>
    <w:rsid w:val="003D6EAC"/>
    <w:rsid w:val="003D774C"/>
    <w:rsid w:val="003E10BC"/>
    <w:rsid w:val="003E406E"/>
    <w:rsid w:val="003E6996"/>
    <w:rsid w:val="003F1E2F"/>
    <w:rsid w:val="003F2622"/>
    <w:rsid w:val="003F39D3"/>
    <w:rsid w:val="003F4D19"/>
    <w:rsid w:val="003F7D41"/>
    <w:rsid w:val="004022B9"/>
    <w:rsid w:val="00404122"/>
    <w:rsid w:val="00410038"/>
    <w:rsid w:val="00411695"/>
    <w:rsid w:val="004143B3"/>
    <w:rsid w:val="004163C4"/>
    <w:rsid w:val="004173D6"/>
    <w:rsid w:val="00417E0C"/>
    <w:rsid w:val="00421EF9"/>
    <w:rsid w:val="0042244E"/>
    <w:rsid w:val="00424201"/>
    <w:rsid w:val="004307D1"/>
    <w:rsid w:val="00430901"/>
    <w:rsid w:val="0043174F"/>
    <w:rsid w:val="004321B1"/>
    <w:rsid w:val="00433656"/>
    <w:rsid w:val="0043672C"/>
    <w:rsid w:val="00440DB0"/>
    <w:rsid w:val="004410A1"/>
    <w:rsid w:val="004427BE"/>
    <w:rsid w:val="00442CF5"/>
    <w:rsid w:val="00442FAD"/>
    <w:rsid w:val="00443599"/>
    <w:rsid w:val="00443623"/>
    <w:rsid w:val="004442DA"/>
    <w:rsid w:val="00445F0E"/>
    <w:rsid w:val="004464BC"/>
    <w:rsid w:val="00446D81"/>
    <w:rsid w:val="00446FE4"/>
    <w:rsid w:val="00451981"/>
    <w:rsid w:val="00454FBF"/>
    <w:rsid w:val="00462012"/>
    <w:rsid w:val="004651CC"/>
    <w:rsid w:val="00472678"/>
    <w:rsid w:val="00477089"/>
    <w:rsid w:val="00477802"/>
    <w:rsid w:val="00477FDC"/>
    <w:rsid w:val="00480C3B"/>
    <w:rsid w:val="00483621"/>
    <w:rsid w:val="00484A00"/>
    <w:rsid w:val="00494200"/>
    <w:rsid w:val="0049536C"/>
    <w:rsid w:val="0049615F"/>
    <w:rsid w:val="004975A1"/>
    <w:rsid w:val="004A29BC"/>
    <w:rsid w:val="004A3ACE"/>
    <w:rsid w:val="004A51FE"/>
    <w:rsid w:val="004A7C9C"/>
    <w:rsid w:val="004B0C6A"/>
    <w:rsid w:val="004B2AEE"/>
    <w:rsid w:val="004B69CB"/>
    <w:rsid w:val="004C146B"/>
    <w:rsid w:val="004C2361"/>
    <w:rsid w:val="004C4FB0"/>
    <w:rsid w:val="004C5047"/>
    <w:rsid w:val="004C6F22"/>
    <w:rsid w:val="004D1DDC"/>
    <w:rsid w:val="004D3CBA"/>
    <w:rsid w:val="004D47F8"/>
    <w:rsid w:val="004D4E81"/>
    <w:rsid w:val="004D54BC"/>
    <w:rsid w:val="004D761D"/>
    <w:rsid w:val="004D7B6C"/>
    <w:rsid w:val="004E1870"/>
    <w:rsid w:val="004E2A00"/>
    <w:rsid w:val="004E2CD3"/>
    <w:rsid w:val="004E7660"/>
    <w:rsid w:val="004E7AEF"/>
    <w:rsid w:val="004F02F9"/>
    <w:rsid w:val="004F0F3A"/>
    <w:rsid w:val="004F152E"/>
    <w:rsid w:val="004F2049"/>
    <w:rsid w:val="004F285A"/>
    <w:rsid w:val="004F3DF8"/>
    <w:rsid w:val="004F52BE"/>
    <w:rsid w:val="004F7AA3"/>
    <w:rsid w:val="004F7CB4"/>
    <w:rsid w:val="00500A16"/>
    <w:rsid w:val="0050269D"/>
    <w:rsid w:val="00507E22"/>
    <w:rsid w:val="005102E8"/>
    <w:rsid w:val="00511477"/>
    <w:rsid w:val="00516217"/>
    <w:rsid w:val="0051728E"/>
    <w:rsid w:val="00520039"/>
    <w:rsid w:val="00520191"/>
    <w:rsid w:val="00522099"/>
    <w:rsid w:val="00522256"/>
    <w:rsid w:val="005239A6"/>
    <w:rsid w:val="00523A88"/>
    <w:rsid w:val="00524D4F"/>
    <w:rsid w:val="00525F67"/>
    <w:rsid w:val="005266C4"/>
    <w:rsid w:val="00526F62"/>
    <w:rsid w:val="00530164"/>
    <w:rsid w:val="00530F84"/>
    <w:rsid w:val="0053110A"/>
    <w:rsid w:val="00532B5B"/>
    <w:rsid w:val="00533DB7"/>
    <w:rsid w:val="00536382"/>
    <w:rsid w:val="00536559"/>
    <w:rsid w:val="005370AF"/>
    <w:rsid w:val="00537939"/>
    <w:rsid w:val="0054072E"/>
    <w:rsid w:val="005410BF"/>
    <w:rsid w:val="00541E65"/>
    <w:rsid w:val="00542EF3"/>
    <w:rsid w:val="005435B4"/>
    <w:rsid w:val="00544832"/>
    <w:rsid w:val="005450AA"/>
    <w:rsid w:val="005452DA"/>
    <w:rsid w:val="005465C7"/>
    <w:rsid w:val="005470B1"/>
    <w:rsid w:val="005477D5"/>
    <w:rsid w:val="005508F9"/>
    <w:rsid w:val="0055093C"/>
    <w:rsid w:val="00551FFA"/>
    <w:rsid w:val="005549AA"/>
    <w:rsid w:val="00555229"/>
    <w:rsid w:val="00555E9F"/>
    <w:rsid w:val="00556196"/>
    <w:rsid w:val="0056055E"/>
    <w:rsid w:val="005612C3"/>
    <w:rsid w:val="00561312"/>
    <w:rsid w:val="0056185A"/>
    <w:rsid w:val="00563654"/>
    <w:rsid w:val="00567651"/>
    <w:rsid w:val="00567654"/>
    <w:rsid w:val="00567F44"/>
    <w:rsid w:val="0057354D"/>
    <w:rsid w:val="00580140"/>
    <w:rsid w:val="00580350"/>
    <w:rsid w:val="00580EF8"/>
    <w:rsid w:val="0058191E"/>
    <w:rsid w:val="00584E9C"/>
    <w:rsid w:val="005866A5"/>
    <w:rsid w:val="00590947"/>
    <w:rsid w:val="00592AFB"/>
    <w:rsid w:val="00593417"/>
    <w:rsid w:val="0059693D"/>
    <w:rsid w:val="005A0866"/>
    <w:rsid w:val="005A37DB"/>
    <w:rsid w:val="005A49BE"/>
    <w:rsid w:val="005A5B58"/>
    <w:rsid w:val="005B16EC"/>
    <w:rsid w:val="005B47F1"/>
    <w:rsid w:val="005B6572"/>
    <w:rsid w:val="005C0E1C"/>
    <w:rsid w:val="005C1C10"/>
    <w:rsid w:val="005C227D"/>
    <w:rsid w:val="005C23E9"/>
    <w:rsid w:val="005C326C"/>
    <w:rsid w:val="005C3B00"/>
    <w:rsid w:val="005C3B2B"/>
    <w:rsid w:val="005C4446"/>
    <w:rsid w:val="005C5244"/>
    <w:rsid w:val="005C65FB"/>
    <w:rsid w:val="005D05EC"/>
    <w:rsid w:val="005D28B4"/>
    <w:rsid w:val="005D4C4F"/>
    <w:rsid w:val="005D4C92"/>
    <w:rsid w:val="005D5047"/>
    <w:rsid w:val="005D59AF"/>
    <w:rsid w:val="005D7132"/>
    <w:rsid w:val="005E0835"/>
    <w:rsid w:val="005E3036"/>
    <w:rsid w:val="005E4A29"/>
    <w:rsid w:val="005E7E83"/>
    <w:rsid w:val="005F1328"/>
    <w:rsid w:val="005F2218"/>
    <w:rsid w:val="005F31EE"/>
    <w:rsid w:val="005F340F"/>
    <w:rsid w:val="005F5586"/>
    <w:rsid w:val="006007E7"/>
    <w:rsid w:val="00601B51"/>
    <w:rsid w:val="00601D6F"/>
    <w:rsid w:val="00602E6D"/>
    <w:rsid w:val="00606A2C"/>
    <w:rsid w:val="00606B78"/>
    <w:rsid w:val="00606E91"/>
    <w:rsid w:val="00606EDD"/>
    <w:rsid w:val="00607615"/>
    <w:rsid w:val="00607D43"/>
    <w:rsid w:val="00613209"/>
    <w:rsid w:val="00614EA6"/>
    <w:rsid w:val="006152E3"/>
    <w:rsid w:val="006160E6"/>
    <w:rsid w:val="00616560"/>
    <w:rsid w:val="006225C0"/>
    <w:rsid w:val="00622ABC"/>
    <w:rsid w:val="006265D9"/>
    <w:rsid w:val="00626866"/>
    <w:rsid w:val="0063024E"/>
    <w:rsid w:val="00633171"/>
    <w:rsid w:val="0063441C"/>
    <w:rsid w:val="00641489"/>
    <w:rsid w:val="00642A70"/>
    <w:rsid w:val="006452CA"/>
    <w:rsid w:val="00646102"/>
    <w:rsid w:val="00646A7A"/>
    <w:rsid w:val="006513A5"/>
    <w:rsid w:val="00651C3A"/>
    <w:rsid w:val="00651CC8"/>
    <w:rsid w:val="00652544"/>
    <w:rsid w:val="00654806"/>
    <w:rsid w:val="006601AD"/>
    <w:rsid w:val="00662BC0"/>
    <w:rsid w:val="006675E1"/>
    <w:rsid w:val="00667BE2"/>
    <w:rsid w:val="006705E5"/>
    <w:rsid w:val="00671264"/>
    <w:rsid w:val="00671E1E"/>
    <w:rsid w:val="00672549"/>
    <w:rsid w:val="00672F7B"/>
    <w:rsid w:val="00674521"/>
    <w:rsid w:val="00677A51"/>
    <w:rsid w:val="00680120"/>
    <w:rsid w:val="00681A8C"/>
    <w:rsid w:val="00682ED0"/>
    <w:rsid w:val="00683859"/>
    <w:rsid w:val="0068404C"/>
    <w:rsid w:val="00684067"/>
    <w:rsid w:val="006840C9"/>
    <w:rsid w:val="00687764"/>
    <w:rsid w:val="00690A5A"/>
    <w:rsid w:val="00693FFE"/>
    <w:rsid w:val="00696C8F"/>
    <w:rsid w:val="006A0068"/>
    <w:rsid w:val="006A10E0"/>
    <w:rsid w:val="006A5192"/>
    <w:rsid w:val="006A5BE3"/>
    <w:rsid w:val="006B12D9"/>
    <w:rsid w:val="006B1926"/>
    <w:rsid w:val="006B3DA6"/>
    <w:rsid w:val="006B520F"/>
    <w:rsid w:val="006B53B1"/>
    <w:rsid w:val="006B627A"/>
    <w:rsid w:val="006C097A"/>
    <w:rsid w:val="006C5898"/>
    <w:rsid w:val="006C770E"/>
    <w:rsid w:val="006D0F66"/>
    <w:rsid w:val="006D2B60"/>
    <w:rsid w:val="006D35AC"/>
    <w:rsid w:val="006D47D7"/>
    <w:rsid w:val="006D73A2"/>
    <w:rsid w:val="006E2FCF"/>
    <w:rsid w:val="006E3184"/>
    <w:rsid w:val="006E4DC5"/>
    <w:rsid w:val="006E5832"/>
    <w:rsid w:val="006E64C7"/>
    <w:rsid w:val="006F0F6A"/>
    <w:rsid w:val="006F1D6B"/>
    <w:rsid w:val="006F27C1"/>
    <w:rsid w:val="006F5244"/>
    <w:rsid w:val="006F546A"/>
    <w:rsid w:val="006F5731"/>
    <w:rsid w:val="006F5FD4"/>
    <w:rsid w:val="006F7209"/>
    <w:rsid w:val="00702750"/>
    <w:rsid w:val="007064F4"/>
    <w:rsid w:val="007158D5"/>
    <w:rsid w:val="007173B0"/>
    <w:rsid w:val="00722FC4"/>
    <w:rsid w:val="00725847"/>
    <w:rsid w:val="007274FB"/>
    <w:rsid w:val="00727572"/>
    <w:rsid w:val="00730941"/>
    <w:rsid w:val="00731102"/>
    <w:rsid w:val="007324D8"/>
    <w:rsid w:val="00734A20"/>
    <w:rsid w:val="0074052A"/>
    <w:rsid w:val="00741B14"/>
    <w:rsid w:val="00741CF8"/>
    <w:rsid w:val="007453EC"/>
    <w:rsid w:val="00747458"/>
    <w:rsid w:val="00750ECC"/>
    <w:rsid w:val="007517C2"/>
    <w:rsid w:val="00752593"/>
    <w:rsid w:val="007571D6"/>
    <w:rsid w:val="00760C9A"/>
    <w:rsid w:val="00761C4B"/>
    <w:rsid w:val="00763019"/>
    <w:rsid w:val="00765104"/>
    <w:rsid w:val="007711FA"/>
    <w:rsid w:val="0077261C"/>
    <w:rsid w:val="00773A5D"/>
    <w:rsid w:val="00773B45"/>
    <w:rsid w:val="007740FE"/>
    <w:rsid w:val="00774E20"/>
    <w:rsid w:val="00775B71"/>
    <w:rsid w:val="007775D7"/>
    <w:rsid w:val="0078143D"/>
    <w:rsid w:val="0078240E"/>
    <w:rsid w:val="00790D25"/>
    <w:rsid w:val="007911E1"/>
    <w:rsid w:val="00793940"/>
    <w:rsid w:val="00795C6B"/>
    <w:rsid w:val="007A0796"/>
    <w:rsid w:val="007A1882"/>
    <w:rsid w:val="007A34FA"/>
    <w:rsid w:val="007A3C87"/>
    <w:rsid w:val="007A63C0"/>
    <w:rsid w:val="007B05A2"/>
    <w:rsid w:val="007B550C"/>
    <w:rsid w:val="007B7BE9"/>
    <w:rsid w:val="007C10B3"/>
    <w:rsid w:val="007C19C5"/>
    <w:rsid w:val="007C2570"/>
    <w:rsid w:val="007C68D4"/>
    <w:rsid w:val="007C73E6"/>
    <w:rsid w:val="007C7B7B"/>
    <w:rsid w:val="007D02EE"/>
    <w:rsid w:val="007D7AF3"/>
    <w:rsid w:val="007E1075"/>
    <w:rsid w:val="007E23A9"/>
    <w:rsid w:val="007E40EA"/>
    <w:rsid w:val="007E532E"/>
    <w:rsid w:val="007F058F"/>
    <w:rsid w:val="007F3515"/>
    <w:rsid w:val="007F4795"/>
    <w:rsid w:val="007F4E72"/>
    <w:rsid w:val="007F6B1B"/>
    <w:rsid w:val="00800863"/>
    <w:rsid w:val="00803173"/>
    <w:rsid w:val="0080461B"/>
    <w:rsid w:val="00804A75"/>
    <w:rsid w:val="008060D2"/>
    <w:rsid w:val="0080623B"/>
    <w:rsid w:val="00807621"/>
    <w:rsid w:val="008077C4"/>
    <w:rsid w:val="0081055A"/>
    <w:rsid w:val="00810708"/>
    <w:rsid w:val="0081424F"/>
    <w:rsid w:val="008143C2"/>
    <w:rsid w:val="00816D73"/>
    <w:rsid w:val="008179F9"/>
    <w:rsid w:val="00821D6C"/>
    <w:rsid w:val="0082222C"/>
    <w:rsid w:val="00822BB3"/>
    <w:rsid w:val="00823629"/>
    <w:rsid w:val="0083018D"/>
    <w:rsid w:val="008301C8"/>
    <w:rsid w:val="00830ADA"/>
    <w:rsid w:val="00830BE2"/>
    <w:rsid w:val="00832603"/>
    <w:rsid w:val="00832643"/>
    <w:rsid w:val="00832AD0"/>
    <w:rsid w:val="00833EB3"/>
    <w:rsid w:val="008340A0"/>
    <w:rsid w:val="00834E9C"/>
    <w:rsid w:val="00835EB3"/>
    <w:rsid w:val="00837DDC"/>
    <w:rsid w:val="008407F4"/>
    <w:rsid w:val="00841C16"/>
    <w:rsid w:val="0084312E"/>
    <w:rsid w:val="00843F5C"/>
    <w:rsid w:val="00844726"/>
    <w:rsid w:val="008473B9"/>
    <w:rsid w:val="00847EE6"/>
    <w:rsid w:val="00850931"/>
    <w:rsid w:val="00851075"/>
    <w:rsid w:val="008518A8"/>
    <w:rsid w:val="008529E6"/>
    <w:rsid w:val="00854B25"/>
    <w:rsid w:val="00860CA3"/>
    <w:rsid w:val="00861003"/>
    <w:rsid w:val="00862099"/>
    <w:rsid w:val="00863B74"/>
    <w:rsid w:val="00865229"/>
    <w:rsid w:val="00866005"/>
    <w:rsid w:val="008667E5"/>
    <w:rsid w:val="00866B91"/>
    <w:rsid w:val="0086724F"/>
    <w:rsid w:val="00873B11"/>
    <w:rsid w:val="00877D6C"/>
    <w:rsid w:val="00882EDD"/>
    <w:rsid w:val="0088586A"/>
    <w:rsid w:val="00885BB7"/>
    <w:rsid w:val="00887FDA"/>
    <w:rsid w:val="008911F1"/>
    <w:rsid w:val="00892481"/>
    <w:rsid w:val="00894BEC"/>
    <w:rsid w:val="00896A3F"/>
    <w:rsid w:val="008A0B7B"/>
    <w:rsid w:val="008A17E7"/>
    <w:rsid w:val="008A1EC8"/>
    <w:rsid w:val="008B2D6D"/>
    <w:rsid w:val="008B5540"/>
    <w:rsid w:val="008C00B5"/>
    <w:rsid w:val="008C136D"/>
    <w:rsid w:val="008C44C3"/>
    <w:rsid w:val="008C5CAE"/>
    <w:rsid w:val="008C676C"/>
    <w:rsid w:val="008C6932"/>
    <w:rsid w:val="008C7F28"/>
    <w:rsid w:val="008D1316"/>
    <w:rsid w:val="008D2606"/>
    <w:rsid w:val="008D472A"/>
    <w:rsid w:val="008D6BD3"/>
    <w:rsid w:val="008E2C4F"/>
    <w:rsid w:val="008E5CF5"/>
    <w:rsid w:val="008E6E9C"/>
    <w:rsid w:val="008E7A30"/>
    <w:rsid w:val="008F2838"/>
    <w:rsid w:val="008F33F4"/>
    <w:rsid w:val="008F41E4"/>
    <w:rsid w:val="008F4844"/>
    <w:rsid w:val="008F65A6"/>
    <w:rsid w:val="00900E2A"/>
    <w:rsid w:val="00903308"/>
    <w:rsid w:val="00910B20"/>
    <w:rsid w:val="00912B79"/>
    <w:rsid w:val="00912FE9"/>
    <w:rsid w:val="00913D9A"/>
    <w:rsid w:val="00914074"/>
    <w:rsid w:val="009207BF"/>
    <w:rsid w:val="00923F66"/>
    <w:rsid w:val="00924845"/>
    <w:rsid w:val="009253EB"/>
    <w:rsid w:val="00925465"/>
    <w:rsid w:val="00931EE4"/>
    <w:rsid w:val="0093301A"/>
    <w:rsid w:val="00934B17"/>
    <w:rsid w:val="00934E38"/>
    <w:rsid w:val="00935447"/>
    <w:rsid w:val="00935541"/>
    <w:rsid w:val="00935CB9"/>
    <w:rsid w:val="00936849"/>
    <w:rsid w:val="00940426"/>
    <w:rsid w:val="009426B6"/>
    <w:rsid w:val="009435F8"/>
    <w:rsid w:val="00943C93"/>
    <w:rsid w:val="00944CFC"/>
    <w:rsid w:val="00945BEA"/>
    <w:rsid w:val="00950E09"/>
    <w:rsid w:val="00951CF3"/>
    <w:rsid w:val="009564CB"/>
    <w:rsid w:val="00960040"/>
    <w:rsid w:val="00960ACC"/>
    <w:rsid w:val="00962CEC"/>
    <w:rsid w:val="009651BA"/>
    <w:rsid w:val="00965FBE"/>
    <w:rsid w:val="0096652C"/>
    <w:rsid w:val="00967295"/>
    <w:rsid w:val="0097229B"/>
    <w:rsid w:val="00974F22"/>
    <w:rsid w:val="009823C2"/>
    <w:rsid w:val="00983874"/>
    <w:rsid w:val="009908B0"/>
    <w:rsid w:val="00992CA0"/>
    <w:rsid w:val="00994120"/>
    <w:rsid w:val="00994F9D"/>
    <w:rsid w:val="009A0184"/>
    <w:rsid w:val="009A0E82"/>
    <w:rsid w:val="009A1E92"/>
    <w:rsid w:val="009A6918"/>
    <w:rsid w:val="009A6D52"/>
    <w:rsid w:val="009B4397"/>
    <w:rsid w:val="009B5409"/>
    <w:rsid w:val="009B6107"/>
    <w:rsid w:val="009B68CE"/>
    <w:rsid w:val="009C04AA"/>
    <w:rsid w:val="009C2397"/>
    <w:rsid w:val="009C348B"/>
    <w:rsid w:val="009C39ED"/>
    <w:rsid w:val="009C40B3"/>
    <w:rsid w:val="009C6606"/>
    <w:rsid w:val="009C6D7D"/>
    <w:rsid w:val="009D0336"/>
    <w:rsid w:val="009D5149"/>
    <w:rsid w:val="009D5832"/>
    <w:rsid w:val="009D6219"/>
    <w:rsid w:val="009D67E5"/>
    <w:rsid w:val="009D7436"/>
    <w:rsid w:val="009E34D2"/>
    <w:rsid w:val="009E5FD9"/>
    <w:rsid w:val="009E62EE"/>
    <w:rsid w:val="009E791E"/>
    <w:rsid w:val="009F0598"/>
    <w:rsid w:val="009F23D0"/>
    <w:rsid w:val="009F2A9D"/>
    <w:rsid w:val="009F2D7F"/>
    <w:rsid w:val="009F2E7A"/>
    <w:rsid w:val="009F4BAF"/>
    <w:rsid w:val="009F704D"/>
    <w:rsid w:val="00A001A8"/>
    <w:rsid w:val="00A00266"/>
    <w:rsid w:val="00A01415"/>
    <w:rsid w:val="00A11AFD"/>
    <w:rsid w:val="00A11DB5"/>
    <w:rsid w:val="00A1387A"/>
    <w:rsid w:val="00A1506E"/>
    <w:rsid w:val="00A173ED"/>
    <w:rsid w:val="00A17C99"/>
    <w:rsid w:val="00A20858"/>
    <w:rsid w:val="00A23B31"/>
    <w:rsid w:val="00A25D10"/>
    <w:rsid w:val="00A27F0B"/>
    <w:rsid w:val="00A30446"/>
    <w:rsid w:val="00A33F64"/>
    <w:rsid w:val="00A35388"/>
    <w:rsid w:val="00A35CDB"/>
    <w:rsid w:val="00A37566"/>
    <w:rsid w:val="00A37B79"/>
    <w:rsid w:val="00A400A5"/>
    <w:rsid w:val="00A420D6"/>
    <w:rsid w:val="00A433E5"/>
    <w:rsid w:val="00A45036"/>
    <w:rsid w:val="00A4685D"/>
    <w:rsid w:val="00A502E1"/>
    <w:rsid w:val="00A50AAD"/>
    <w:rsid w:val="00A52B7F"/>
    <w:rsid w:val="00A530A6"/>
    <w:rsid w:val="00A56541"/>
    <w:rsid w:val="00A57726"/>
    <w:rsid w:val="00A60EFD"/>
    <w:rsid w:val="00A620A8"/>
    <w:rsid w:val="00A626E2"/>
    <w:rsid w:val="00A70D2F"/>
    <w:rsid w:val="00A71793"/>
    <w:rsid w:val="00A7536F"/>
    <w:rsid w:val="00A76411"/>
    <w:rsid w:val="00A779A2"/>
    <w:rsid w:val="00A814A0"/>
    <w:rsid w:val="00A848E5"/>
    <w:rsid w:val="00A85125"/>
    <w:rsid w:val="00A862E1"/>
    <w:rsid w:val="00A86495"/>
    <w:rsid w:val="00A86769"/>
    <w:rsid w:val="00A875A4"/>
    <w:rsid w:val="00A91312"/>
    <w:rsid w:val="00A923F9"/>
    <w:rsid w:val="00A955B3"/>
    <w:rsid w:val="00A96A85"/>
    <w:rsid w:val="00AA28E1"/>
    <w:rsid w:val="00AA2956"/>
    <w:rsid w:val="00AA391A"/>
    <w:rsid w:val="00AA424E"/>
    <w:rsid w:val="00AA489A"/>
    <w:rsid w:val="00AA4EDD"/>
    <w:rsid w:val="00AA71DA"/>
    <w:rsid w:val="00AA7950"/>
    <w:rsid w:val="00AB2F1E"/>
    <w:rsid w:val="00AB4F2A"/>
    <w:rsid w:val="00AB56AB"/>
    <w:rsid w:val="00AB69C2"/>
    <w:rsid w:val="00AB6BC0"/>
    <w:rsid w:val="00AC032F"/>
    <w:rsid w:val="00AC2937"/>
    <w:rsid w:val="00AC2B4B"/>
    <w:rsid w:val="00AC45B1"/>
    <w:rsid w:val="00AC473E"/>
    <w:rsid w:val="00AC52C0"/>
    <w:rsid w:val="00AC71CD"/>
    <w:rsid w:val="00AD6B28"/>
    <w:rsid w:val="00AD7D34"/>
    <w:rsid w:val="00AE3402"/>
    <w:rsid w:val="00AE38CF"/>
    <w:rsid w:val="00AE7AF3"/>
    <w:rsid w:val="00AF24BB"/>
    <w:rsid w:val="00AF4D8C"/>
    <w:rsid w:val="00B02F38"/>
    <w:rsid w:val="00B04C7F"/>
    <w:rsid w:val="00B04E68"/>
    <w:rsid w:val="00B06460"/>
    <w:rsid w:val="00B07600"/>
    <w:rsid w:val="00B10058"/>
    <w:rsid w:val="00B11CD4"/>
    <w:rsid w:val="00B1356C"/>
    <w:rsid w:val="00B1378A"/>
    <w:rsid w:val="00B164C1"/>
    <w:rsid w:val="00B20361"/>
    <w:rsid w:val="00B218B8"/>
    <w:rsid w:val="00B21B4E"/>
    <w:rsid w:val="00B25EBA"/>
    <w:rsid w:val="00B27514"/>
    <w:rsid w:val="00B30745"/>
    <w:rsid w:val="00B322E3"/>
    <w:rsid w:val="00B32C47"/>
    <w:rsid w:val="00B3371C"/>
    <w:rsid w:val="00B35B34"/>
    <w:rsid w:val="00B42BE8"/>
    <w:rsid w:val="00B44056"/>
    <w:rsid w:val="00B458E7"/>
    <w:rsid w:val="00B45E65"/>
    <w:rsid w:val="00B460BC"/>
    <w:rsid w:val="00B46352"/>
    <w:rsid w:val="00B4791A"/>
    <w:rsid w:val="00B47B48"/>
    <w:rsid w:val="00B62CB0"/>
    <w:rsid w:val="00B70929"/>
    <w:rsid w:val="00B70EFC"/>
    <w:rsid w:val="00B712C1"/>
    <w:rsid w:val="00B7724F"/>
    <w:rsid w:val="00B8069F"/>
    <w:rsid w:val="00B80DA9"/>
    <w:rsid w:val="00B80EB3"/>
    <w:rsid w:val="00B80FB2"/>
    <w:rsid w:val="00B82952"/>
    <w:rsid w:val="00B83D35"/>
    <w:rsid w:val="00B84155"/>
    <w:rsid w:val="00B85A63"/>
    <w:rsid w:val="00B91F00"/>
    <w:rsid w:val="00B9509B"/>
    <w:rsid w:val="00B96308"/>
    <w:rsid w:val="00B971C8"/>
    <w:rsid w:val="00BA0867"/>
    <w:rsid w:val="00BA118E"/>
    <w:rsid w:val="00BA1AEC"/>
    <w:rsid w:val="00BA23BF"/>
    <w:rsid w:val="00BA5AF0"/>
    <w:rsid w:val="00BA5CFD"/>
    <w:rsid w:val="00BB0709"/>
    <w:rsid w:val="00BB07A6"/>
    <w:rsid w:val="00BB208D"/>
    <w:rsid w:val="00BB4740"/>
    <w:rsid w:val="00BB4DEF"/>
    <w:rsid w:val="00BB58B1"/>
    <w:rsid w:val="00BC1B87"/>
    <w:rsid w:val="00BD03CD"/>
    <w:rsid w:val="00BD132C"/>
    <w:rsid w:val="00BD141F"/>
    <w:rsid w:val="00BD2FCE"/>
    <w:rsid w:val="00BD310C"/>
    <w:rsid w:val="00BD6C09"/>
    <w:rsid w:val="00BD7E2A"/>
    <w:rsid w:val="00BE12B4"/>
    <w:rsid w:val="00BE2029"/>
    <w:rsid w:val="00BE2E5F"/>
    <w:rsid w:val="00BE44BC"/>
    <w:rsid w:val="00BE4F08"/>
    <w:rsid w:val="00BF171E"/>
    <w:rsid w:val="00BF6A53"/>
    <w:rsid w:val="00BF752D"/>
    <w:rsid w:val="00BF7658"/>
    <w:rsid w:val="00C00115"/>
    <w:rsid w:val="00C02E5D"/>
    <w:rsid w:val="00C0432A"/>
    <w:rsid w:val="00C050ED"/>
    <w:rsid w:val="00C07BDB"/>
    <w:rsid w:val="00C10824"/>
    <w:rsid w:val="00C1155A"/>
    <w:rsid w:val="00C12516"/>
    <w:rsid w:val="00C129C3"/>
    <w:rsid w:val="00C16956"/>
    <w:rsid w:val="00C20A25"/>
    <w:rsid w:val="00C20B8D"/>
    <w:rsid w:val="00C20DA4"/>
    <w:rsid w:val="00C210D6"/>
    <w:rsid w:val="00C22063"/>
    <w:rsid w:val="00C23705"/>
    <w:rsid w:val="00C244DE"/>
    <w:rsid w:val="00C25E78"/>
    <w:rsid w:val="00C27FC3"/>
    <w:rsid w:val="00C313AC"/>
    <w:rsid w:val="00C31457"/>
    <w:rsid w:val="00C31D5F"/>
    <w:rsid w:val="00C33060"/>
    <w:rsid w:val="00C339AB"/>
    <w:rsid w:val="00C4123C"/>
    <w:rsid w:val="00C41332"/>
    <w:rsid w:val="00C41489"/>
    <w:rsid w:val="00C41A61"/>
    <w:rsid w:val="00C41F98"/>
    <w:rsid w:val="00C4217D"/>
    <w:rsid w:val="00C4332B"/>
    <w:rsid w:val="00C44615"/>
    <w:rsid w:val="00C4509B"/>
    <w:rsid w:val="00C454D6"/>
    <w:rsid w:val="00C5123D"/>
    <w:rsid w:val="00C52DE8"/>
    <w:rsid w:val="00C52EA2"/>
    <w:rsid w:val="00C55D04"/>
    <w:rsid w:val="00C5604A"/>
    <w:rsid w:val="00C56565"/>
    <w:rsid w:val="00C568D9"/>
    <w:rsid w:val="00C64F26"/>
    <w:rsid w:val="00C65299"/>
    <w:rsid w:val="00C654CC"/>
    <w:rsid w:val="00C704CB"/>
    <w:rsid w:val="00C705D0"/>
    <w:rsid w:val="00C7129A"/>
    <w:rsid w:val="00C71A9E"/>
    <w:rsid w:val="00C71E0C"/>
    <w:rsid w:val="00C7391F"/>
    <w:rsid w:val="00C75C56"/>
    <w:rsid w:val="00C80361"/>
    <w:rsid w:val="00C807F3"/>
    <w:rsid w:val="00C80CC3"/>
    <w:rsid w:val="00C8184B"/>
    <w:rsid w:val="00C8252E"/>
    <w:rsid w:val="00C82CAA"/>
    <w:rsid w:val="00C83133"/>
    <w:rsid w:val="00C83E3D"/>
    <w:rsid w:val="00C843E8"/>
    <w:rsid w:val="00C860D2"/>
    <w:rsid w:val="00C87FC5"/>
    <w:rsid w:val="00C90E0B"/>
    <w:rsid w:val="00C92C04"/>
    <w:rsid w:val="00C95252"/>
    <w:rsid w:val="00C95CF3"/>
    <w:rsid w:val="00C96557"/>
    <w:rsid w:val="00C96771"/>
    <w:rsid w:val="00C96FD7"/>
    <w:rsid w:val="00CA0E51"/>
    <w:rsid w:val="00CA166B"/>
    <w:rsid w:val="00CA3FA7"/>
    <w:rsid w:val="00CA46D2"/>
    <w:rsid w:val="00CA4C26"/>
    <w:rsid w:val="00CA556B"/>
    <w:rsid w:val="00CA6CCC"/>
    <w:rsid w:val="00CB210C"/>
    <w:rsid w:val="00CC1CFA"/>
    <w:rsid w:val="00CC3DA4"/>
    <w:rsid w:val="00CC4D00"/>
    <w:rsid w:val="00CC7A08"/>
    <w:rsid w:val="00CD1A24"/>
    <w:rsid w:val="00CD1ABC"/>
    <w:rsid w:val="00CD7A48"/>
    <w:rsid w:val="00CE05B6"/>
    <w:rsid w:val="00CE44D6"/>
    <w:rsid w:val="00CE5AA6"/>
    <w:rsid w:val="00CF028D"/>
    <w:rsid w:val="00CF1DD5"/>
    <w:rsid w:val="00CF21CB"/>
    <w:rsid w:val="00CF22C1"/>
    <w:rsid w:val="00CF36AD"/>
    <w:rsid w:val="00CF4960"/>
    <w:rsid w:val="00D00C5D"/>
    <w:rsid w:val="00D00F9A"/>
    <w:rsid w:val="00D022DC"/>
    <w:rsid w:val="00D04D00"/>
    <w:rsid w:val="00D06446"/>
    <w:rsid w:val="00D075F9"/>
    <w:rsid w:val="00D07980"/>
    <w:rsid w:val="00D10843"/>
    <w:rsid w:val="00D115EB"/>
    <w:rsid w:val="00D11712"/>
    <w:rsid w:val="00D14DEC"/>
    <w:rsid w:val="00D17ACF"/>
    <w:rsid w:val="00D17D2B"/>
    <w:rsid w:val="00D2135B"/>
    <w:rsid w:val="00D21642"/>
    <w:rsid w:val="00D23DE1"/>
    <w:rsid w:val="00D259DA"/>
    <w:rsid w:val="00D2608C"/>
    <w:rsid w:val="00D27B09"/>
    <w:rsid w:val="00D31DE6"/>
    <w:rsid w:val="00D35273"/>
    <w:rsid w:val="00D43ECC"/>
    <w:rsid w:val="00D4491E"/>
    <w:rsid w:val="00D44FB5"/>
    <w:rsid w:val="00D46752"/>
    <w:rsid w:val="00D54EE6"/>
    <w:rsid w:val="00D5578C"/>
    <w:rsid w:val="00D5737F"/>
    <w:rsid w:val="00D57B91"/>
    <w:rsid w:val="00D6121D"/>
    <w:rsid w:val="00D7015A"/>
    <w:rsid w:val="00D7513F"/>
    <w:rsid w:val="00D80365"/>
    <w:rsid w:val="00D809FE"/>
    <w:rsid w:val="00D83158"/>
    <w:rsid w:val="00D84BB6"/>
    <w:rsid w:val="00D9058D"/>
    <w:rsid w:val="00D93D3D"/>
    <w:rsid w:val="00D93F1D"/>
    <w:rsid w:val="00D95577"/>
    <w:rsid w:val="00D95B0B"/>
    <w:rsid w:val="00D96C76"/>
    <w:rsid w:val="00D971D3"/>
    <w:rsid w:val="00DA0E83"/>
    <w:rsid w:val="00DA172E"/>
    <w:rsid w:val="00DA2E78"/>
    <w:rsid w:val="00DA46F8"/>
    <w:rsid w:val="00DA6A09"/>
    <w:rsid w:val="00DA6EFD"/>
    <w:rsid w:val="00DA76B3"/>
    <w:rsid w:val="00DB3277"/>
    <w:rsid w:val="00DB6197"/>
    <w:rsid w:val="00DC2533"/>
    <w:rsid w:val="00DC3443"/>
    <w:rsid w:val="00DC5D5D"/>
    <w:rsid w:val="00DC78FB"/>
    <w:rsid w:val="00DD2353"/>
    <w:rsid w:val="00DD37A4"/>
    <w:rsid w:val="00DD41F1"/>
    <w:rsid w:val="00DD4835"/>
    <w:rsid w:val="00DD57FE"/>
    <w:rsid w:val="00DD5F94"/>
    <w:rsid w:val="00DD657D"/>
    <w:rsid w:val="00DD6902"/>
    <w:rsid w:val="00DD749A"/>
    <w:rsid w:val="00DE305E"/>
    <w:rsid w:val="00DE5108"/>
    <w:rsid w:val="00DE6577"/>
    <w:rsid w:val="00DE749B"/>
    <w:rsid w:val="00DF0D95"/>
    <w:rsid w:val="00DF44B0"/>
    <w:rsid w:val="00DF62C0"/>
    <w:rsid w:val="00E03928"/>
    <w:rsid w:val="00E03B54"/>
    <w:rsid w:val="00E05D82"/>
    <w:rsid w:val="00E05DA5"/>
    <w:rsid w:val="00E07623"/>
    <w:rsid w:val="00E11AA5"/>
    <w:rsid w:val="00E11CB9"/>
    <w:rsid w:val="00E11D66"/>
    <w:rsid w:val="00E121AE"/>
    <w:rsid w:val="00E12E60"/>
    <w:rsid w:val="00E20481"/>
    <w:rsid w:val="00E22957"/>
    <w:rsid w:val="00E23762"/>
    <w:rsid w:val="00E249AB"/>
    <w:rsid w:val="00E25242"/>
    <w:rsid w:val="00E26A09"/>
    <w:rsid w:val="00E27A0A"/>
    <w:rsid w:val="00E3071F"/>
    <w:rsid w:val="00E31773"/>
    <w:rsid w:val="00E321C9"/>
    <w:rsid w:val="00E32268"/>
    <w:rsid w:val="00E33EBD"/>
    <w:rsid w:val="00E33F85"/>
    <w:rsid w:val="00E34946"/>
    <w:rsid w:val="00E3509F"/>
    <w:rsid w:val="00E37FB8"/>
    <w:rsid w:val="00E40F9A"/>
    <w:rsid w:val="00E414A1"/>
    <w:rsid w:val="00E4163A"/>
    <w:rsid w:val="00E41C64"/>
    <w:rsid w:val="00E41C7C"/>
    <w:rsid w:val="00E42C78"/>
    <w:rsid w:val="00E50D5B"/>
    <w:rsid w:val="00E51B2C"/>
    <w:rsid w:val="00E52861"/>
    <w:rsid w:val="00E54582"/>
    <w:rsid w:val="00E54CA4"/>
    <w:rsid w:val="00E56652"/>
    <w:rsid w:val="00E61E74"/>
    <w:rsid w:val="00E6411E"/>
    <w:rsid w:val="00E660F4"/>
    <w:rsid w:val="00E661D4"/>
    <w:rsid w:val="00E667AD"/>
    <w:rsid w:val="00E711E3"/>
    <w:rsid w:val="00E723D4"/>
    <w:rsid w:val="00E73FF5"/>
    <w:rsid w:val="00E74B52"/>
    <w:rsid w:val="00E77131"/>
    <w:rsid w:val="00E806CF"/>
    <w:rsid w:val="00E819C7"/>
    <w:rsid w:val="00E8320E"/>
    <w:rsid w:val="00E8474B"/>
    <w:rsid w:val="00E84E51"/>
    <w:rsid w:val="00E8607C"/>
    <w:rsid w:val="00E91B21"/>
    <w:rsid w:val="00E920C8"/>
    <w:rsid w:val="00E9542E"/>
    <w:rsid w:val="00EA0A8A"/>
    <w:rsid w:val="00EA0DE2"/>
    <w:rsid w:val="00EA12E3"/>
    <w:rsid w:val="00EA1496"/>
    <w:rsid w:val="00EA217E"/>
    <w:rsid w:val="00EA3D9F"/>
    <w:rsid w:val="00EA40F0"/>
    <w:rsid w:val="00EA5318"/>
    <w:rsid w:val="00EA640B"/>
    <w:rsid w:val="00EA7997"/>
    <w:rsid w:val="00EB052F"/>
    <w:rsid w:val="00EB59D3"/>
    <w:rsid w:val="00EB7C7B"/>
    <w:rsid w:val="00EC02CA"/>
    <w:rsid w:val="00EC2396"/>
    <w:rsid w:val="00EC4A3A"/>
    <w:rsid w:val="00EC7BD3"/>
    <w:rsid w:val="00ED451A"/>
    <w:rsid w:val="00ED459E"/>
    <w:rsid w:val="00ED45F9"/>
    <w:rsid w:val="00EE2F50"/>
    <w:rsid w:val="00EE4A9C"/>
    <w:rsid w:val="00EE4B5B"/>
    <w:rsid w:val="00EF0B87"/>
    <w:rsid w:val="00EF1AEF"/>
    <w:rsid w:val="00EF1E96"/>
    <w:rsid w:val="00EF2F15"/>
    <w:rsid w:val="00EF31A1"/>
    <w:rsid w:val="00EF4DF3"/>
    <w:rsid w:val="00EF5DA2"/>
    <w:rsid w:val="00F001A7"/>
    <w:rsid w:val="00F00F29"/>
    <w:rsid w:val="00F03A00"/>
    <w:rsid w:val="00F05A0C"/>
    <w:rsid w:val="00F073FB"/>
    <w:rsid w:val="00F07650"/>
    <w:rsid w:val="00F078F5"/>
    <w:rsid w:val="00F126EA"/>
    <w:rsid w:val="00F12E43"/>
    <w:rsid w:val="00F1512C"/>
    <w:rsid w:val="00F2112E"/>
    <w:rsid w:val="00F214E9"/>
    <w:rsid w:val="00F21F7D"/>
    <w:rsid w:val="00F24AB5"/>
    <w:rsid w:val="00F24DC8"/>
    <w:rsid w:val="00F27498"/>
    <w:rsid w:val="00F31582"/>
    <w:rsid w:val="00F331D9"/>
    <w:rsid w:val="00F3325B"/>
    <w:rsid w:val="00F3434D"/>
    <w:rsid w:val="00F36B23"/>
    <w:rsid w:val="00F414F5"/>
    <w:rsid w:val="00F424B3"/>
    <w:rsid w:val="00F430D3"/>
    <w:rsid w:val="00F438CA"/>
    <w:rsid w:val="00F44480"/>
    <w:rsid w:val="00F44E2B"/>
    <w:rsid w:val="00F46F6C"/>
    <w:rsid w:val="00F4726D"/>
    <w:rsid w:val="00F51FEE"/>
    <w:rsid w:val="00F524A6"/>
    <w:rsid w:val="00F5455C"/>
    <w:rsid w:val="00F56028"/>
    <w:rsid w:val="00F566BD"/>
    <w:rsid w:val="00F56D45"/>
    <w:rsid w:val="00F56DAF"/>
    <w:rsid w:val="00F609C6"/>
    <w:rsid w:val="00F6385B"/>
    <w:rsid w:val="00F63892"/>
    <w:rsid w:val="00F65489"/>
    <w:rsid w:val="00F70A76"/>
    <w:rsid w:val="00F70CDF"/>
    <w:rsid w:val="00F73FF7"/>
    <w:rsid w:val="00F815D6"/>
    <w:rsid w:val="00F8459C"/>
    <w:rsid w:val="00F916FE"/>
    <w:rsid w:val="00F91ECE"/>
    <w:rsid w:val="00F92579"/>
    <w:rsid w:val="00F92AE7"/>
    <w:rsid w:val="00F93863"/>
    <w:rsid w:val="00FA0829"/>
    <w:rsid w:val="00FA2BE6"/>
    <w:rsid w:val="00FA3C99"/>
    <w:rsid w:val="00FA3CB2"/>
    <w:rsid w:val="00FA3FFC"/>
    <w:rsid w:val="00FA4406"/>
    <w:rsid w:val="00FA47B4"/>
    <w:rsid w:val="00FA4E41"/>
    <w:rsid w:val="00FA53E2"/>
    <w:rsid w:val="00FA778A"/>
    <w:rsid w:val="00FB0A16"/>
    <w:rsid w:val="00FB1932"/>
    <w:rsid w:val="00FB1A05"/>
    <w:rsid w:val="00FB6FAB"/>
    <w:rsid w:val="00FB7169"/>
    <w:rsid w:val="00FC692E"/>
    <w:rsid w:val="00FD0884"/>
    <w:rsid w:val="00FD1E71"/>
    <w:rsid w:val="00FD302C"/>
    <w:rsid w:val="00FD3649"/>
    <w:rsid w:val="00FD431D"/>
    <w:rsid w:val="00FD4F1C"/>
    <w:rsid w:val="00FD64E1"/>
    <w:rsid w:val="00FD6577"/>
    <w:rsid w:val="00FD6D68"/>
    <w:rsid w:val="00FE1E50"/>
    <w:rsid w:val="00FE2100"/>
    <w:rsid w:val="00FE3C87"/>
    <w:rsid w:val="00FE3E36"/>
    <w:rsid w:val="00FE41B9"/>
    <w:rsid w:val="00FF01F7"/>
    <w:rsid w:val="00FF0924"/>
    <w:rsid w:val="00FF1271"/>
    <w:rsid w:val="00FF25F4"/>
    <w:rsid w:val="00FF31CE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16739215"/>
  <w15:docId w15:val="{24646B44-EC92-4A96-A5A7-B06F0535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7950"/>
    <w:rPr>
      <w:rFonts w:eastAsia="Times New Roman" w:cs="Times New Roman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508F9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4A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508F9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508F9"/>
    <w:pPr>
      <w:ind w:left="720"/>
      <w:contextualSpacing/>
    </w:pPr>
  </w:style>
  <w:style w:type="paragraph" w:styleId="Normlnweb">
    <w:name w:val="Normal (Web)"/>
    <w:basedOn w:val="Normln"/>
    <w:uiPriority w:val="99"/>
    <w:semiHidden/>
    <w:rsid w:val="005508F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50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08F9"/>
    <w:rPr>
      <w:rFonts w:eastAsia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3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3649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basedOn w:val="Normln"/>
    <w:uiPriority w:val="1"/>
    <w:qFormat/>
    <w:rsid w:val="00580350"/>
    <w:pPr>
      <w:spacing w:after="0" w:line="240" w:lineRule="auto"/>
    </w:pPr>
    <w:rPr>
      <w:rFonts w:ascii="Calibri" w:eastAsiaTheme="minorHAnsi" w:hAnsi="Calibri" w:cs="Calibri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584E9C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84E9C"/>
    <w:rPr>
      <w:rFonts w:ascii="Times New Roman" w:eastAsia="Times New Roman" w:hAnsi="Times New Roman"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E5FD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E5FD9"/>
    <w:rPr>
      <w:rFonts w:eastAsia="Times New Roman" w:cs="Times New Roman"/>
    </w:rPr>
  </w:style>
  <w:style w:type="table" w:styleId="Mkatabulky">
    <w:name w:val="Table Grid"/>
    <w:basedOn w:val="Normlntabulka"/>
    <w:uiPriority w:val="59"/>
    <w:rsid w:val="00FD6D6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B96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308"/>
    <w:rPr>
      <w:rFonts w:eastAsia="Times New Roman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636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636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63654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636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63654"/>
    <w:rPr>
      <w:rFonts w:eastAsia="Times New Roman" w:cs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rsid w:val="00D2135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2135B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2135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D2135B"/>
    <w:pPr>
      <w:spacing w:line="240" w:lineRule="auto"/>
    </w:pPr>
    <w:rPr>
      <w:rFonts w:ascii="Times New Roman" w:hAnsi="Times New Roman"/>
      <w:b/>
      <w:bCs/>
      <w:color w:val="4F81BD" w:themeColor="accent1"/>
      <w:sz w:val="18"/>
      <w:szCs w:val="18"/>
    </w:rPr>
  </w:style>
  <w:style w:type="paragraph" w:customStyle="1" w:styleId="Text">
    <w:name w:val="Text"/>
    <w:basedOn w:val="Normln"/>
    <w:link w:val="TextChar"/>
    <w:qFormat/>
    <w:rsid w:val="00295ABB"/>
    <w:pPr>
      <w:spacing w:after="120" w:line="240" w:lineRule="auto"/>
      <w:jc w:val="both"/>
    </w:pPr>
    <w:rPr>
      <w:rFonts w:cstheme="minorHAnsi"/>
      <w:sz w:val="24"/>
      <w:szCs w:val="24"/>
    </w:rPr>
  </w:style>
  <w:style w:type="character" w:customStyle="1" w:styleId="TextChar">
    <w:name w:val="Text Char"/>
    <w:basedOn w:val="Standardnpsmoodstavce"/>
    <w:link w:val="Text"/>
    <w:rsid w:val="00295ABB"/>
    <w:rPr>
      <w:rFonts w:eastAsia="Times New Roman" w:cstheme="minorHAnsi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C4A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evize">
    <w:name w:val="Revision"/>
    <w:hidden/>
    <w:uiPriority w:val="99"/>
    <w:semiHidden/>
    <w:rsid w:val="0015681D"/>
    <w:pPr>
      <w:spacing w:after="0" w:line="240" w:lineRule="auto"/>
    </w:pPr>
    <w:rPr>
      <w:rFonts w:eastAsia="Times New Roman" w:cs="Times New Roman"/>
    </w:rPr>
  </w:style>
  <w:style w:type="table" w:customStyle="1" w:styleId="Mkatabulky1">
    <w:name w:val="Mřížka tabulky1"/>
    <w:basedOn w:val="Normlntabulka"/>
    <w:next w:val="Mkatabulky"/>
    <w:uiPriority w:val="59"/>
    <w:rsid w:val="007F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021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3">
    <w:name w:val="Mřížka tabulky3"/>
    <w:basedOn w:val="Normlntabulka"/>
    <w:next w:val="Mkatabulky"/>
    <w:uiPriority w:val="59"/>
    <w:rsid w:val="009B5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4">
    <w:name w:val="Mřížka tabulky4"/>
    <w:basedOn w:val="Normlntabulka"/>
    <w:next w:val="Mkatabulky"/>
    <w:uiPriority w:val="59"/>
    <w:rsid w:val="009B54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5">
    <w:name w:val="Mřížka tabulky5"/>
    <w:basedOn w:val="Normlntabulka"/>
    <w:next w:val="Mkatabulky"/>
    <w:uiPriority w:val="59"/>
    <w:rsid w:val="00866B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6">
    <w:name w:val="Mřížka tabulky6"/>
    <w:basedOn w:val="Normlntabulka"/>
    <w:next w:val="Mkatabulky"/>
    <w:uiPriority w:val="59"/>
    <w:rsid w:val="00146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22B38-BBBD-4494-A923-F64E333ABFC4}"/>
</file>

<file path=customXml/itemProps2.xml><?xml version="1.0" encoding="utf-8"?>
<ds:datastoreItem xmlns:ds="http://schemas.openxmlformats.org/officeDocument/2006/customXml" ds:itemID="{5694948B-97FF-4774-8350-8D5395662119}"/>
</file>

<file path=customXml/itemProps3.xml><?xml version="1.0" encoding="utf-8"?>
<ds:datastoreItem xmlns:ds="http://schemas.openxmlformats.org/officeDocument/2006/customXml" ds:itemID="{6FA392A9-88DC-4284-9D43-725FE27F7C18}"/>
</file>

<file path=customXml/itemProps4.xml><?xml version="1.0" encoding="utf-8"?>
<ds:datastoreItem xmlns:ds="http://schemas.openxmlformats.org/officeDocument/2006/customXml" ds:itemID="{6F350B6A-ED36-4BC4-8EA3-05932ADAAB55}"/>
</file>

<file path=customXml/itemProps5.xml><?xml version="1.0" encoding="utf-8"?>
<ds:datastoreItem xmlns:ds="http://schemas.openxmlformats.org/officeDocument/2006/customXml" ds:itemID="{D3697A99-4C8B-4CAB-A6B2-D04172A370DB}"/>
</file>

<file path=docProps/app.xml><?xml version="1.0" encoding="utf-8"?>
<Properties xmlns="http://schemas.openxmlformats.org/officeDocument/2006/extended-properties" xmlns:vt="http://schemas.openxmlformats.org/officeDocument/2006/docPropsVTypes">
  <Template>299F5E88.dotm</Template>
  <TotalTime>0</TotalTime>
  <Pages>15</Pages>
  <Words>5031</Words>
  <Characters>29685</Characters>
  <Application>Microsoft Office Word</Application>
  <DocSecurity>4</DocSecurity>
  <Lines>247</Lines>
  <Paragraphs>69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15/13</vt:lpstr>
    </vt:vector>
  </TitlesOfParts>
  <Company>NKU</Company>
  <LinksUpToDate>false</LinksUpToDate>
  <CharactersWithSpaces>34647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15/13 - Státní dluh a výdaje na jeho financování</dc:title>
  <dc:subject>Kontrolní závěr z kontrolní akce NKÚ č. 15/13 - Státní dluh a výdaje na jeho financování</dc:subject>
  <dc:creator>Nejvyšší kontrolní úřad</dc:creator>
  <cp:keywords>kontrolní závěr, státní dluh, státní rozpočet</cp:keywords>
  <dc:description/>
  <cp:lastModifiedBy>KOKRDA Daniel</cp:lastModifiedBy>
  <cp:revision>2</cp:revision>
  <cp:lastPrinted>2016-02-09T06:11:00Z</cp:lastPrinted>
  <dcterms:created xsi:type="dcterms:W3CDTF">2016-03-02T07:29:00Z</dcterms:created>
  <dcterms:modified xsi:type="dcterms:W3CDTF">2016-03-02T07:29:00Z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  <property fmtid="{D5CDD505-2E9C-101B-9397-08002B2CF9AE}" pid="3" name="CJ">
    <vt:lpwstr>XXX-XXX-XXX</vt:lpwstr>
  </property>
</Properties>
</file>