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20E03" w14:textId="77777777" w:rsidR="00092D1F" w:rsidRPr="00362BC6" w:rsidRDefault="00092D1F" w:rsidP="00092D1F">
      <w:pPr>
        <w:jc w:val="center"/>
        <w:rPr>
          <w:rFonts w:ascii="Calibri" w:hAnsi="Calibri" w:cs="Calibri"/>
          <w:b/>
          <w:lang w:val="cs-CZ"/>
        </w:rPr>
      </w:pPr>
      <w:r w:rsidRPr="00362BC6">
        <w:rPr>
          <w:rFonts w:ascii="Calibri" w:hAnsi="Calibri" w:cs="Calibri"/>
          <w:b/>
          <w:noProof/>
          <w:lang w:val="cs-CZ" w:eastAsia="cs-CZ"/>
        </w:rPr>
        <w:drawing>
          <wp:anchor distT="0" distB="0" distL="114300" distR="114300" simplePos="0" relativeHeight="251658752" behindDoc="0" locked="0" layoutInCell="1" allowOverlap="1" wp14:anchorId="788F7B44" wp14:editId="3378EA52">
            <wp:simplePos x="0" y="0"/>
            <wp:positionH relativeFrom="margin">
              <wp:posOffset>2520315</wp:posOffset>
            </wp:positionH>
            <wp:positionV relativeFrom="paragraph">
              <wp:posOffset>-263525</wp:posOffset>
            </wp:positionV>
            <wp:extent cx="713740" cy="504190"/>
            <wp:effectExtent l="0" t="0" r="0" b="0"/>
            <wp:wrapTopAndBottom/>
            <wp:docPr id="2" name="obrázek 4" descr="http://rozcestnik/intranet/utvary/odborKomunikace/jednotVizualStylNKU/documents/LOGO/LOGO bez textu/NKU_logo-transp-rgb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ozcestnik/intranet/utvary/odborKomunikace/jednotVizualStylNKU/documents/LOGO/LOGO bez textu/NKU_logo-transp-rgb300dp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740" cy="504190"/>
                    </a:xfrm>
                    <a:prstGeom prst="rect">
                      <a:avLst/>
                    </a:prstGeom>
                    <a:noFill/>
                  </pic:spPr>
                </pic:pic>
              </a:graphicData>
            </a:graphic>
            <wp14:sizeRelH relativeFrom="page">
              <wp14:pctWidth>0</wp14:pctWidth>
            </wp14:sizeRelH>
            <wp14:sizeRelV relativeFrom="page">
              <wp14:pctHeight>0</wp14:pctHeight>
            </wp14:sizeRelV>
          </wp:anchor>
        </w:drawing>
      </w:r>
    </w:p>
    <w:p w14:paraId="08C07EE1" w14:textId="77777777" w:rsidR="00092D1F" w:rsidRPr="00362BC6" w:rsidRDefault="00092D1F" w:rsidP="00092D1F">
      <w:pPr>
        <w:jc w:val="center"/>
        <w:rPr>
          <w:rFonts w:ascii="Calibri" w:hAnsi="Calibri" w:cs="Calibri"/>
          <w:b/>
          <w:lang w:val="cs-CZ"/>
        </w:rPr>
      </w:pPr>
    </w:p>
    <w:p w14:paraId="5BD045E5" w14:textId="77777777" w:rsidR="00092D1F" w:rsidRPr="00362BC6" w:rsidRDefault="00092D1F" w:rsidP="00092D1F">
      <w:pPr>
        <w:jc w:val="center"/>
        <w:rPr>
          <w:rFonts w:ascii="Calibri" w:hAnsi="Calibri" w:cs="Calibri"/>
          <w:b/>
          <w:color w:val="000000"/>
          <w:lang w:val="cs-CZ"/>
        </w:rPr>
      </w:pPr>
    </w:p>
    <w:p w14:paraId="601638F5" w14:textId="77777777" w:rsidR="00092D1F" w:rsidRPr="00F0552C" w:rsidRDefault="00092D1F" w:rsidP="00092D1F">
      <w:pPr>
        <w:jc w:val="center"/>
        <w:rPr>
          <w:rFonts w:asciiTheme="minorHAnsi" w:hAnsiTheme="minorHAnsi" w:cs="Calibri"/>
          <w:b/>
          <w:color w:val="000000"/>
          <w:sz w:val="28"/>
          <w:szCs w:val="28"/>
          <w:lang w:val="cs-CZ"/>
        </w:rPr>
      </w:pPr>
      <w:bookmarkStart w:id="0" w:name="_GoBack"/>
      <w:r w:rsidRPr="00F0552C">
        <w:rPr>
          <w:rFonts w:asciiTheme="minorHAnsi" w:hAnsiTheme="minorHAnsi" w:cs="Calibri"/>
          <w:b/>
          <w:color w:val="000000"/>
          <w:sz w:val="28"/>
          <w:szCs w:val="28"/>
          <w:lang w:val="cs-CZ"/>
        </w:rPr>
        <w:t>Kontrolní závěr z kontrolní akce</w:t>
      </w:r>
    </w:p>
    <w:p w14:paraId="4F93F5E1" w14:textId="77777777" w:rsidR="00092D1F" w:rsidRPr="00F0552C" w:rsidRDefault="00092D1F" w:rsidP="00092D1F">
      <w:pPr>
        <w:jc w:val="center"/>
        <w:rPr>
          <w:rFonts w:asciiTheme="minorHAnsi" w:hAnsiTheme="minorHAnsi" w:cs="Calibri"/>
          <w:color w:val="000000"/>
          <w:sz w:val="28"/>
          <w:szCs w:val="28"/>
          <w:lang w:val="cs-CZ"/>
        </w:rPr>
      </w:pPr>
    </w:p>
    <w:p w14:paraId="7A4CA1A2" w14:textId="77777777" w:rsidR="00092D1F" w:rsidRPr="00F0552C" w:rsidRDefault="00092D1F" w:rsidP="00092D1F">
      <w:pPr>
        <w:jc w:val="center"/>
        <w:rPr>
          <w:rFonts w:asciiTheme="minorHAnsi" w:hAnsiTheme="minorHAnsi" w:cs="Calibri"/>
          <w:b/>
          <w:color w:val="000000"/>
          <w:sz w:val="28"/>
          <w:szCs w:val="28"/>
          <w:lang w:val="cs-CZ"/>
        </w:rPr>
      </w:pPr>
      <w:r w:rsidRPr="00F0552C">
        <w:rPr>
          <w:rFonts w:asciiTheme="minorHAnsi" w:hAnsiTheme="minorHAnsi" w:cs="Calibri"/>
          <w:b/>
          <w:color w:val="000000"/>
          <w:sz w:val="28"/>
          <w:szCs w:val="28"/>
          <w:lang w:val="cs-CZ"/>
        </w:rPr>
        <w:t>15/31</w:t>
      </w:r>
    </w:p>
    <w:p w14:paraId="68E1CF71" w14:textId="77777777" w:rsidR="00092D1F" w:rsidRPr="00F0552C" w:rsidRDefault="00092D1F" w:rsidP="00092D1F">
      <w:pPr>
        <w:jc w:val="center"/>
        <w:rPr>
          <w:rFonts w:asciiTheme="minorHAnsi" w:hAnsiTheme="minorHAnsi" w:cs="Calibri"/>
          <w:color w:val="000000"/>
          <w:sz w:val="28"/>
          <w:szCs w:val="28"/>
          <w:lang w:val="cs-CZ"/>
        </w:rPr>
      </w:pPr>
    </w:p>
    <w:p w14:paraId="39E00B2D" w14:textId="77777777" w:rsidR="00714DA7" w:rsidRDefault="00092D1F" w:rsidP="00092D1F">
      <w:pPr>
        <w:jc w:val="center"/>
        <w:rPr>
          <w:rFonts w:asciiTheme="minorHAnsi" w:hAnsiTheme="minorHAnsi" w:cstheme="minorHAnsi"/>
          <w:b/>
          <w:bCs/>
          <w:color w:val="000000"/>
          <w:sz w:val="28"/>
          <w:szCs w:val="28"/>
          <w:lang w:val="cs-CZ"/>
        </w:rPr>
      </w:pPr>
      <w:r w:rsidRPr="00F0552C">
        <w:rPr>
          <w:rFonts w:asciiTheme="minorHAnsi" w:hAnsiTheme="minorHAnsi" w:cstheme="minorHAnsi"/>
          <w:b/>
          <w:bCs/>
          <w:color w:val="000000"/>
          <w:sz w:val="28"/>
          <w:szCs w:val="28"/>
          <w:lang w:val="cs-CZ"/>
        </w:rPr>
        <w:t xml:space="preserve">Peněžní prostředky určené na zajištění informační podpory </w:t>
      </w:r>
    </w:p>
    <w:p w14:paraId="6319911E" w14:textId="77777777" w:rsidR="00714DA7" w:rsidRDefault="00092D1F" w:rsidP="00092D1F">
      <w:pPr>
        <w:jc w:val="center"/>
        <w:rPr>
          <w:rFonts w:asciiTheme="minorHAnsi" w:hAnsiTheme="minorHAnsi" w:cstheme="minorHAnsi"/>
          <w:b/>
          <w:bCs/>
          <w:color w:val="000000"/>
          <w:sz w:val="28"/>
          <w:szCs w:val="28"/>
          <w:lang w:val="cs-CZ"/>
        </w:rPr>
      </w:pPr>
      <w:r w:rsidRPr="00F0552C">
        <w:rPr>
          <w:rFonts w:asciiTheme="minorHAnsi" w:hAnsiTheme="minorHAnsi" w:cstheme="minorHAnsi"/>
          <w:b/>
          <w:bCs/>
          <w:color w:val="000000"/>
          <w:sz w:val="28"/>
          <w:szCs w:val="28"/>
          <w:lang w:val="cs-CZ"/>
        </w:rPr>
        <w:t xml:space="preserve">systému financování programů a dotací a vybrané dotace </w:t>
      </w:r>
    </w:p>
    <w:p w14:paraId="66E10895" w14:textId="77777777" w:rsidR="00945821" w:rsidRPr="00F0552C" w:rsidRDefault="00092D1F" w:rsidP="00092D1F">
      <w:pPr>
        <w:jc w:val="center"/>
        <w:rPr>
          <w:rFonts w:asciiTheme="minorHAnsi" w:hAnsiTheme="minorHAnsi" w:cs="Calibri"/>
          <w:lang w:val="cs-CZ"/>
        </w:rPr>
      </w:pPr>
      <w:r w:rsidRPr="00F0552C">
        <w:rPr>
          <w:rFonts w:asciiTheme="minorHAnsi" w:hAnsiTheme="minorHAnsi" w:cstheme="minorHAnsi"/>
          <w:b/>
          <w:bCs/>
          <w:color w:val="000000"/>
          <w:sz w:val="28"/>
          <w:szCs w:val="28"/>
          <w:lang w:val="cs-CZ"/>
        </w:rPr>
        <w:t>a programy reprodukce majetku</w:t>
      </w:r>
    </w:p>
    <w:bookmarkEnd w:id="0"/>
    <w:p w14:paraId="6213306A" w14:textId="77777777" w:rsidR="00945821" w:rsidRPr="00362BC6" w:rsidRDefault="00945821" w:rsidP="00362BC6">
      <w:pPr>
        <w:jc w:val="both"/>
        <w:rPr>
          <w:rFonts w:ascii="Calibri" w:hAnsi="Calibri" w:cs="Calibri"/>
          <w:color w:val="000000"/>
          <w:lang w:val="cs-CZ"/>
        </w:rPr>
      </w:pPr>
    </w:p>
    <w:p w14:paraId="15354F1E" w14:textId="77777777" w:rsidR="00092D1F" w:rsidRPr="00362BC6" w:rsidRDefault="00092D1F" w:rsidP="00362BC6">
      <w:pPr>
        <w:jc w:val="both"/>
        <w:rPr>
          <w:rFonts w:ascii="Calibri" w:hAnsi="Calibri" w:cs="Calibri"/>
          <w:color w:val="000000"/>
          <w:lang w:val="cs-CZ"/>
        </w:rPr>
      </w:pPr>
    </w:p>
    <w:p w14:paraId="3928E7FF" w14:textId="77777777" w:rsidR="00945821" w:rsidRDefault="00B071E1" w:rsidP="00362BC6">
      <w:pPr>
        <w:jc w:val="both"/>
        <w:rPr>
          <w:rFonts w:asciiTheme="minorHAnsi" w:hAnsiTheme="minorHAnsi" w:cstheme="minorHAnsi"/>
          <w:color w:val="000000"/>
          <w:lang w:val="cs-CZ"/>
        </w:rPr>
      </w:pPr>
      <w:r w:rsidRPr="00362BC6">
        <w:rPr>
          <w:rFonts w:asciiTheme="minorHAnsi" w:hAnsiTheme="minorHAnsi" w:cstheme="minorHAnsi"/>
          <w:color w:val="000000"/>
          <w:lang w:val="cs-CZ"/>
        </w:rPr>
        <w:t>Kontrolní akce byla zařazena do plánu kontrolní činnosti Nejvyššího kontrolního úřadu (</w:t>
      </w:r>
      <w:r w:rsidR="00433CBF" w:rsidRPr="00362BC6">
        <w:rPr>
          <w:rFonts w:asciiTheme="minorHAnsi" w:hAnsiTheme="minorHAnsi" w:cstheme="minorHAnsi"/>
          <w:color w:val="000000"/>
          <w:lang w:val="cs-CZ"/>
        </w:rPr>
        <w:t>dále také „</w:t>
      </w:r>
      <w:r w:rsidRPr="00362BC6">
        <w:rPr>
          <w:rFonts w:asciiTheme="minorHAnsi" w:hAnsiTheme="minorHAnsi" w:cstheme="minorHAnsi"/>
          <w:color w:val="000000"/>
          <w:lang w:val="cs-CZ"/>
        </w:rPr>
        <w:t>NKÚ</w:t>
      </w:r>
      <w:r w:rsidR="00433CBF" w:rsidRPr="00362BC6">
        <w:rPr>
          <w:rFonts w:asciiTheme="minorHAnsi" w:hAnsiTheme="minorHAnsi" w:cstheme="minorHAnsi"/>
          <w:color w:val="000000"/>
          <w:lang w:val="cs-CZ"/>
        </w:rPr>
        <w:t>“</w:t>
      </w:r>
      <w:r w:rsidRPr="00362BC6">
        <w:rPr>
          <w:rFonts w:asciiTheme="minorHAnsi" w:hAnsiTheme="minorHAnsi" w:cstheme="minorHAnsi"/>
          <w:color w:val="000000"/>
          <w:lang w:val="cs-CZ"/>
        </w:rPr>
        <w:t>) na rok 2015 pod číslem 15/</w:t>
      </w:r>
      <w:r w:rsidR="0040571B" w:rsidRPr="00362BC6">
        <w:rPr>
          <w:rFonts w:asciiTheme="minorHAnsi" w:hAnsiTheme="minorHAnsi" w:cstheme="minorHAnsi"/>
          <w:color w:val="000000"/>
          <w:lang w:val="cs-CZ"/>
        </w:rPr>
        <w:t>3</w:t>
      </w:r>
      <w:r w:rsidRPr="00362BC6">
        <w:rPr>
          <w:rFonts w:asciiTheme="minorHAnsi" w:hAnsiTheme="minorHAnsi" w:cstheme="minorHAnsi"/>
          <w:color w:val="000000"/>
          <w:lang w:val="cs-CZ"/>
        </w:rPr>
        <w:t xml:space="preserve">1. Kontrolní akci </w:t>
      </w:r>
      <w:r w:rsidR="00BE79FD" w:rsidRPr="00362BC6">
        <w:rPr>
          <w:rFonts w:asciiTheme="minorHAnsi" w:hAnsiTheme="minorHAnsi" w:cstheme="minorHAnsi"/>
          <w:color w:val="000000"/>
          <w:lang w:val="cs-CZ"/>
        </w:rPr>
        <w:t>(</w:t>
      </w:r>
      <w:r w:rsidR="00310D97" w:rsidRPr="00362BC6">
        <w:rPr>
          <w:rFonts w:asciiTheme="minorHAnsi" w:hAnsiTheme="minorHAnsi" w:cstheme="minorHAnsi"/>
          <w:color w:val="000000"/>
          <w:lang w:val="cs-CZ"/>
        </w:rPr>
        <w:t>dále také „</w:t>
      </w:r>
      <w:r w:rsidR="00BE79FD" w:rsidRPr="00362BC6">
        <w:rPr>
          <w:rFonts w:asciiTheme="minorHAnsi" w:hAnsiTheme="minorHAnsi" w:cstheme="minorHAnsi"/>
          <w:color w:val="000000"/>
          <w:lang w:val="cs-CZ"/>
        </w:rPr>
        <w:t>KA</w:t>
      </w:r>
      <w:r w:rsidR="00310D97" w:rsidRPr="00362BC6">
        <w:rPr>
          <w:rFonts w:asciiTheme="minorHAnsi" w:hAnsiTheme="minorHAnsi" w:cstheme="minorHAnsi"/>
          <w:color w:val="000000"/>
          <w:lang w:val="cs-CZ"/>
        </w:rPr>
        <w:t>“</w:t>
      </w:r>
      <w:r w:rsidR="00BE79FD" w:rsidRPr="00362BC6">
        <w:rPr>
          <w:rFonts w:asciiTheme="minorHAnsi" w:hAnsiTheme="minorHAnsi" w:cstheme="minorHAnsi"/>
          <w:color w:val="000000"/>
          <w:lang w:val="cs-CZ"/>
        </w:rPr>
        <w:t xml:space="preserve">) </w:t>
      </w:r>
      <w:r w:rsidRPr="00362BC6">
        <w:rPr>
          <w:rFonts w:asciiTheme="minorHAnsi" w:hAnsiTheme="minorHAnsi" w:cstheme="minorHAnsi"/>
          <w:color w:val="000000"/>
          <w:lang w:val="cs-CZ"/>
        </w:rPr>
        <w:t>řídil a kontrolní závěr vypracoval člen NKÚ Ing. </w:t>
      </w:r>
      <w:r w:rsidR="0040571B" w:rsidRPr="00362BC6">
        <w:rPr>
          <w:rFonts w:asciiTheme="minorHAnsi" w:hAnsiTheme="minorHAnsi" w:cstheme="minorHAnsi"/>
          <w:color w:val="000000"/>
          <w:lang w:val="cs-CZ"/>
        </w:rPr>
        <w:t>Daniel</w:t>
      </w:r>
      <w:r w:rsidRPr="00362BC6">
        <w:rPr>
          <w:rFonts w:asciiTheme="minorHAnsi" w:hAnsiTheme="minorHAnsi" w:cstheme="minorHAnsi"/>
          <w:color w:val="000000"/>
          <w:lang w:val="cs-CZ"/>
        </w:rPr>
        <w:t xml:space="preserve"> </w:t>
      </w:r>
      <w:r w:rsidR="0040571B" w:rsidRPr="00362BC6">
        <w:rPr>
          <w:rFonts w:asciiTheme="minorHAnsi" w:hAnsiTheme="minorHAnsi" w:cstheme="minorHAnsi"/>
          <w:color w:val="000000"/>
          <w:lang w:val="cs-CZ"/>
        </w:rPr>
        <w:t>R</w:t>
      </w:r>
      <w:r w:rsidRPr="00362BC6">
        <w:rPr>
          <w:rFonts w:asciiTheme="minorHAnsi" w:hAnsiTheme="minorHAnsi" w:cstheme="minorHAnsi"/>
          <w:color w:val="000000"/>
          <w:lang w:val="cs-CZ"/>
        </w:rPr>
        <w:t>e</w:t>
      </w:r>
      <w:r w:rsidR="0040571B" w:rsidRPr="00362BC6">
        <w:rPr>
          <w:rFonts w:asciiTheme="minorHAnsi" w:hAnsiTheme="minorHAnsi" w:cstheme="minorHAnsi"/>
          <w:color w:val="000000"/>
          <w:lang w:val="cs-CZ"/>
        </w:rPr>
        <w:t>isiegel, MPA</w:t>
      </w:r>
      <w:r w:rsidRPr="00362BC6">
        <w:rPr>
          <w:rFonts w:asciiTheme="minorHAnsi" w:hAnsiTheme="minorHAnsi" w:cstheme="minorHAnsi"/>
          <w:color w:val="000000"/>
          <w:lang w:val="cs-CZ"/>
        </w:rPr>
        <w:t>.</w:t>
      </w:r>
    </w:p>
    <w:p w14:paraId="71590105" w14:textId="77777777" w:rsidR="00362BC6" w:rsidRPr="00362BC6" w:rsidRDefault="00362BC6" w:rsidP="00362BC6">
      <w:pPr>
        <w:jc w:val="both"/>
        <w:rPr>
          <w:rFonts w:asciiTheme="minorHAnsi" w:hAnsiTheme="minorHAnsi" w:cstheme="minorHAnsi"/>
          <w:color w:val="000000"/>
          <w:lang w:val="cs-CZ"/>
        </w:rPr>
      </w:pPr>
    </w:p>
    <w:p w14:paraId="7E88FF6B" w14:textId="77777777" w:rsidR="00F85D93" w:rsidRDefault="00F85D93" w:rsidP="00362BC6">
      <w:pPr>
        <w:jc w:val="both"/>
        <w:rPr>
          <w:rFonts w:asciiTheme="minorHAnsi" w:hAnsiTheme="minorHAnsi" w:cstheme="minorHAnsi"/>
          <w:color w:val="000000"/>
          <w:lang w:val="cs-CZ"/>
        </w:rPr>
      </w:pPr>
      <w:r w:rsidRPr="00362BC6">
        <w:rPr>
          <w:rFonts w:asciiTheme="minorHAnsi" w:hAnsiTheme="minorHAnsi" w:cstheme="minorHAnsi"/>
          <w:b/>
          <w:color w:val="000000"/>
          <w:lang w:val="cs-CZ"/>
        </w:rPr>
        <w:t>Cílem kontroly</w:t>
      </w:r>
      <w:r w:rsidRPr="00362BC6">
        <w:rPr>
          <w:rFonts w:asciiTheme="minorHAnsi" w:hAnsiTheme="minorHAnsi" w:cstheme="minorHAnsi"/>
          <w:color w:val="000000"/>
          <w:lang w:val="cs-CZ"/>
        </w:rPr>
        <w:t xml:space="preserve"> bylo prověřit </w:t>
      </w:r>
      <w:r w:rsidR="0040571B" w:rsidRPr="00362BC6">
        <w:rPr>
          <w:rFonts w:asciiTheme="minorHAnsi" w:hAnsiTheme="minorHAnsi" w:cstheme="minorHAnsi"/>
          <w:color w:val="000000"/>
          <w:lang w:val="cs-CZ"/>
        </w:rPr>
        <w:t xml:space="preserve">hospodárnost, efektivnost a </w:t>
      </w:r>
      <w:r w:rsidR="00352BE8" w:rsidRPr="00362BC6">
        <w:rPr>
          <w:rFonts w:asciiTheme="minorHAnsi" w:hAnsiTheme="minorHAnsi" w:cstheme="minorHAnsi"/>
          <w:color w:val="000000"/>
          <w:lang w:val="cs-CZ"/>
        </w:rPr>
        <w:t>účelnost výdajů v souvislosti s </w:t>
      </w:r>
      <w:r w:rsidR="0040571B" w:rsidRPr="00362BC6">
        <w:rPr>
          <w:rFonts w:asciiTheme="minorHAnsi" w:hAnsiTheme="minorHAnsi" w:cstheme="minorHAnsi"/>
          <w:color w:val="000000"/>
          <w:lang w:val="cs-CZ"/>
        </w:rPr>
        <w:t>vytvářením, provozem a rozvojem informační podpory</w:t>
      </w:r>
      <w:r w:rsidR="00352BE8" w:rsidRPr="00362BC6">
        <w:rPr>
          <w:rFonts w:asciiTheme="minorHAnsi" w:hAnsiTheme="minorHAnsi" w:cstheme="minorHAnsi"/>
          <w:color w:val="000000"/>
          <w:lang w:val="cs-CZ"/>
        </w:rPr>
        <w:t xml:space="preserve"> systému financování programů a </w:t>
      </w:r>
      <w:r w:rsidR="0040571B" w:rsidRPr="00362BC6">
        <w:rPr>
          <w:rFonts w:asciiTheme="minorHAnsi" w:hAnsiTheme="minorHAnsi" w:cstheme="minorHAnsi"/>
          <w:color w:val="000000"/>
          <w:lang w:val="cs-CZ"/>
        </w:rPr>
        <w:t>dotací a ověřit přínosy této informační podpory ve vazbě na konkrétní programy</w:t>
      </w:r>
      <w:r w:rsidRPr="00362BC6">
        <w:rPr>
          <w:rFonts w:asciiTheme="minorHAnsi" w:hAnsiTheme="minorHAnsi" w:cstheme="minorHAnsi"/>
          <w:color w:val="000000"/>
          <w:lang w:val="cs-CZ"/>
        </w:rPr>
        <w:t>.</w:t>
      </w:r>
    </w:p>
    <w:p w14:paraId="68BBAD92" w14:textId="77777777" w:rsidR="00362BC6" w:rsidRPr="00362BC6" w:rsidRDefault="00362BC6" w:rsidP="00362BC6">
      <w:pPr>
        <w:jc w:val="both"/>
        <w:rPr>
          <w:rFonts w:asciiTheme="minorHAnsi" w:hAnsiTheme="minorHAnsi" w:cstheme="minorHAnsi"/>
          <w:color w:val="000000"/>
          <w:lang w:val="cs-CZ"/>
        </w:rPr>
      </w:pPr>
    </w:p>
    <w:p w14:paraId="02FEA411" w14:textId="77777777" w:rsidR="008D3BA5" w:rsidRDefault="00B071E1" w:rsidP="00362BC6">
      <w:pPr>
        <w:jc w:val="both"/>
        <w:rPr>
          <w:rFonts w:asciiTheme="minorHAnsi" w:hAnsiTheme="minorHAnsi" w:cstheme="minorHAnsi"/>
          <w:noProof/>
          <w:color w:val="000000"/>
          <w:lang w:val="cs-CZ" w:eastAsia="cs-CZ"/>
        </w:rPr>
      </w:pPr>
      <w:r w:rsidRPr="00362BC6">
        <w:rPr>
          <w:rFonts w:asciiTheme="minorHAnsi" w:hAnsiTheme="minorHAnsi" w:cstheme="minorHAnsi"/>
          <w:b/>
          <w:noProof/>
          <w:color w:val="000000"/>
          <w:lang w:val="cs-CZ" w:eastAsia="cs-CZ"/>
        </w:rPr>
        <w:t>K</w:t>
      </w:r>
      <w:r w:rsidR="0040571B" w:rsidRPr="00362BC6">
        <w:rPr>
          <w:rFonts w:asciiTheme="minorHAnsi" w:hAnsiTheme="minorHAnsi" w:cstheme="minorHAnsi"/>
          <w:b/>
          <w:noProof/>
          <w:color w:val="000000"/>
          <w:lang w:val="cs-CZ" w:eastAsia="cs-CZ"/>
        </w:rPr>
        <w:t>ontrolované osoby</w:t>
      </w:r>
      <w:r w:rsidRPr="00362BC6">
        <w:rPr>
          <w:rFonts w:asciiTheme="minorHAnsi" w:hAnsiTheme="minorHAnsi" w:cstheme="minorHAnsi"/>
          <w:noProof/>
          <w:color w:val="000000"/>
          <w:lang w:val="cs-CZ" w:eastAsia="cs-CZ"/>
        </w:rPr>
        <w:t xml:space="preserve">: </w:t>
      </w:r>
    </w:p>
    <w:p w14:paraId="7DE8D479" w14:textId="77777777" w:rsidR="008D3BA5" w:rsidRDefault="00B071E1" w:rsidP="00362BC6">
      <w:pPr>
        <w:jc w:val="both"/>
        <w:rPr>
          <w:rFonts w:asciiTheme="minorHAnsi" w:hAnsiTheme="minorHAnsi" w:cstheme="minorHAnsi"/>
          <w:noProof/>
          <w:color w:val="000000"/>
          <w:lang w:val="cs-CZ" w:eastAsia="cs-CZ"/>
        </w:rPr>
      </w:pPr>
      <w:r w:rsidRPr="00362BC6">
        <w:rPr>
          <w:rFonts w:asciiTheme="minorHAnsi" w:hAnsiTheme="minorHAnsi" w:cstheme="minorHAnsi"/>
          <w:noProof/>
          <w:color w:val="000000"/>
          <w:lang w:val="cs-CZ" w:eastAsia="cs-CZ"/>
        </w:rPr>
        <w:t xml:space="preserve">Ministerstvo </w:t>
      </w:r>
      <w:r w:rsidR="0040571B" w:rsidRPr="00362BC6">
        <w:rPr>
          <w:rFonts w:asciiTheme="minorHAnsi" w:hAnsiTheme="minorHAnsi" w:cstheme="minorHAnsi"/>
          <w:noProof/>
          <w:color w:val="000000"/>
          <w:lang w:val="cs-CZ" w:eastAsia="cs-CZ"/>
        </w:rPr>
        <w:t>financí</w:t>
      </w:r>
      <w:r w:rsidR="006A27B8" w:rsidRPr="00362BC6">
        <w:rPr>
          <w:rFonts w:asciiTheme="minorHAnsi" w:hAnsiTheme="minorHAnsi" w:cstheme="minorHAnsi"/>
          <w:noProof/>
          <w:color w:val="000000"/>
          <w:lang w:val="cs-CZ" w:eastAsia="cs-CZ"/>
        </w:rPr>
        <w:t xml:space="preserve"> (</w:t>
      </w:r>
      <w:r w:rsidR="000B6014" w:rsidRPr="00362BC6">
        <w:rPr>
          <w:rFonts w:asciiTheme="minorHAnsi" w:hAnsiTheme="minorHAnsi" w:cstheme="minorHAnsi"/>
          <w:noProof/>
          <w:color w:val="000000"/>
          <w:lang w:val="cs-CZ" w:eastAsia="cs-CZ"/>
        </w:rPr>
        <w:t>dále také „</w:t>
      </w:r>
      <w:r w:rsidR="006A27B8" w:rsidRPr="00362BC6">
        <w:rPr>
          <w:rFonts w:asciiTheme="minorHAnsi" w:hAnsiTheme="minorHAnsi" w:cstheme="minorHAnsi"/>
          <w:noProof/>
          <w:color w:val="000000"/>
          <w:lang w:val="cs-CZ" w:eastAsia="cs-CZ"/>
        </w:rPr>
        <w:t>M</w:t>
      </w:r>
      <w:r w:rsidR="0040571B" w:rsidRPr="00362BC6">
        <w:rPr>
          <w:rFonts w:asciiTheme="minorHAnsi" w:hAnsiTheme="minorHAnsi" w:cstheme="minorHAnsi"/>
          <w:noProof/>
          <w:color w:val="000000"/>
          <w:lang w:val="cs-CZ" w:eastAsia="cs-CZ"/>
        </w:rPr>
        <w:t>F</w:t>
      </w:r>
      <w:r w:rsidR="000B6014" w:rsidRPr="00362BC6">
        <w:rPr>
          <w:rFonts w:asciiTheme="minorHAnsi" w:hAnsiTheme="minorHAnsi" w:cstheme="minorHAnsi"/>
          <w:noProof/>
          <w:color w:val="000000"/>
          <w:lang w:val="cs-CZ" w:eastAsia="cs-CZ"/>
        </w:rPr>
        <w:t>“</w:t>
      </w:r>
      <w:r w:rsidR="006A27B8" w:rsidRPr="00362BC6">
        <w:rPr>
          <w:rFonts w:asciiTheme="minorHAnsi" w:hAnsiTheme="minorHAnsi" w:cstheme="minorHAnsi"/>
          <w:noProof/>
          <w:color w:val="000000"/>
          <w:lang w:val="cs-CZ" w:eastAsia="cs-CZ"/>
        </w:rPr>
        <w:t>)</w:t>
      </w:r>
      <w:r w:rsidR="008D3BA5">
        <w:rPr>
          <w:rFonts w:asciiTheme="minorHAnsi" w:hAnsiTheme="minorHAnsi" w:cstheme="minorHAnsi"/>
          <w:noProof/>
          <w:color w:val="000000"/>
          <w:lang w:val="cs-CZ" w:eastAsia="cs-CZ"/>
        </w:rPr>
        <w:t>;</w:t>
      </w:r>
      <w:r w:rsidR="0040571B" w:rsidRPr="00362BC6">
        <w:rPr>
          <w:rFonts w:asciiTheme="minorHAnsi" w:hAnsiTheme="minorHAnsi" w:cstheme="minorHAnsi"/>
          <w:noProof/>
          <w:color w:val="000000"/>
          <w:lang w:val="cs-CZ" w:eastAsia="cs-CZ"/>
        </w:rPr>
        <w:t xml:space="preserve"> </w:t>
      </w:r>
    </w:p>
    <w:p w14:paraId="682C1DEB" w14:textId="77777777" w:rsidR="00945821" w:rsidRDefault="0040571B" w:rsidP="00362BC6">
      <w:pPr>
        <w:jc w:val="both"/>
        <w:rPr>
          <w:rFonts w:asciiTheme="minorHAnsi" w:hAnsiTheme="minorHAnsi" w:cstheme="minorHAnsi"/>
          <w:noProof/>
          <w:color w:val="000000"/>
          <w:lang w:val="cs-CZ" w:eastAsia="cs-CZ"/>
        </w:rPr>
      </w:pPr>
      <w:r w:rsidRPr="00362BC6">
        <w:rPr>
          <w:rFonts w:asciiTheme="minorHAnsi" w:hAnsiTheme="minorHAnsi" w:cstheme="minorHAnsi"/>
          <w:noProof/>
          <w:color w:val="000000"/>
          <w:lang w:val="cs-CZ" w:eastAsia="cs-CZ"/>
        </w:rPr>
        <w:t>Generální finanční ředitelství (</w:t>
      </w:r>
      <w:r w:rsidR="000B6014" w:rsidRPr="00362BC6">
        <w:rPr>
          <w:rFonts w:asciiTheme="minorHAnsi" w:hAnsiTheme="minorHAnsi" w:cstheme="minorHAnsi"/>
          <w:noProof/>
          <w:color w:val="000000"/>
          <w:lang w:val="cs-CZ" w:eastAsia="cs-CZ"/>
        </w:rPr>
        <w:t>dále také „</w:t>
      </w:r>
      <w:r w:rsidRPr="00362BC6">
        <w:rPr>
          <w:rFonts w:asciiTheme="minorHAnsi" w:hAnsiTheme="minorHAnsi" w:cstheme="minorHAnsi"/>
          <w:noProof/>
          <w:color w:val="000000"/>
          <w:lang w:val="cs-CZ" w:eastAsia="cs-CZ"/>
        </w:rPr>
        <w:t>GFŘ</w:t>
      </w:r>
      <w:r w:rsidR="000B6014" w:rsidRPr="00362BC6">
        <w:rPr>
          <w:rFonts w:asciiTheme="minorHAnsi" w:hAnsiTheme="minorHAnsi" w:cstheme="minorHAnsi"/>
          <w:noProof/>
          <w:color w:val="000000"/>
          <w:lang w:val="cs-CZ" w:eastAsia="cs-CZ"/>
        </w:rPr>
        <w:t>“</w:t>
      </w:r>
      <w:r w:rsidRPr="00362BC6">
        <w:rPr>
          <w:rFonts w:asciiTheme="minorHAnsi" w:hAnsiTheme="minorHAnsi" w:cstheme="minorHAnsi"/>
          <w:noProof/>
          <w:color w:val="000000"/>
          <w:lang w:val="cs-CZ" w:eastAsia="cs-CZ"/>
        </w:rPr>
        <w:t>)</w:t>
      </w:r>
      <w:r w:rsidR="005C38F4" w:rsidRPr="00362BC6">
        <w:rPr>
          <w:rFonts w:asciiTheme="minorHAnsi" w:hAnsiTheme="minorHAnsi" w:cstheme="minorHAnsi"/>
          <w:noProof/>
          <w:color w:val="000000"/>
          <w:lang w:val="cs-CZ" w:eastAsia="cs-CZ"/>
        </w:rPr>
        <w:t>.</w:t>
      </w:r>
    </w:p>
    <w:p w14:paraId="7F84A9CB" w14:textId="77777777" w:rsidR="00362BC6" w:rsidRPr="00362BC6" w:rsidRDefault="00362BC6" w:rsidP="00362BC6">
      <w:pPr>
        <w:jc w:val="both"/>
        <w:rPr>
          <w:rFonts w:asciiTheme="minorHAnsi" w:hAnsiTheme="minorHAnsi" w:cstheme="minorHAnsi"/>
          <w:noProof/>
          <w:color w:val="000000"/>
          <w:lang w:val="cs-CZ" w:eastAsia="cs-CZ"/>
        </w:rPr>
      </w:pPr>
    </w:p>
    <w:p w14:paraId="1F72C064" w14:textId="77777777" w:rsidR="00191129" w:rsidRDefault="00191129" w:rsidP="00362BC6">
      <w:pPr>
        <w:jc w:val="both"/>
        <w:rPr>
          <w:rFonts w:asciiTheme="minorHAnsi" w:hAnsiTheme="minorHAnsi" w:cstheme="minorHAnsi"/>
          <w:noProof/>
          <w:color w:val="000000"/>
          <w:lang w:val="cs-CZ" w:eastAsia="cs-CZ"/>
        </w:rPr>
      </w:pPr>
      <w:r w:rsidRPr="00362BC6">
        <w:rPr>
          <w:rFonts w:asciiTheme="minorHAnsi" w:hAnsiTheme="minorHAnsi" w:cstheme="minorHAnsi"/>
          <w:noProof/>
          <w:color w:val="000000"/>
          <w:lang w:val="cs-CZ" w:eastAsia="cs-CZ"/>
        </w:rPr>
        <w:t xml:space="preserve">Kontrola </w:t>
      </w:r>
      <w:r w:rsidR="00451E1E" w:rsidRPr="00362BC6">
        <w:rPr>
          <w:rFonts w:asciiTheme="minorHAnsi" w:hAnsiTheme="minorHAnsi" w:cstheme="minorHAnsi"/>
          <w:noProof/>
          <w:color w:val="000000"/>
          <w:lang w:val="cs-CZ" w:eastAsia="cs-CZ"/>
        </w:rPr>
        <w:t xml:space="preserve">byla </w:t>
      </w:r>
      <w:r w:rsidR="008D3BA5">
        <w:rPr>
          <w:rFonts w:asciiTheme="minorHAnsi" w:hAnsiTheme="minorHAnsi" w:cstheme="minorHAnsi"/>
          <w:noProof/>
          <w:color w:val="000000"/>
          <w:lang w:val="cs-CZ" w:eastAsia="cs-CZ"/>
        </w:rPr>
        <w:t xml:space="preserve">prováděna </w:t>
      </w:r>
      <w:r w:rsidRPr="00362BC6">
        <w:rPr>
          <w:rFonts w:asciiTheme="minorHAnsi" w:hAnsiTheme="minorHAnsi" w:cstheme="minorHAnsi"/>
          <w:noProof/>
          <w:color w:val="000000"/>
          <w:lang w:val="cs-CZ" w:eastAsia="cs-CZ"/>
        </w:rPr>
        <w:t xml:space="preserve">u </w:t>
      </w:r>
      <w:r w:rsidR="00F757C8" w:rsidRPr="00362BC6">
        <w:rPr>
          <w:rFonts w:asciiTheme="minorHAnsi" w:hAnsiTheme="minorHAnsi" w:cstheme="minorHAnsi"/>
          <w:noProof/>
          <w:color w:val="000000"/>
          <w:lang w:val="cs-CZ" w:eastAsia="cs-CZ"/>
        </w:rPr>
        <w:t>kontrolovaných osob</w:t>
      </w:r>
      <w:r w:rsidRPr="00362BC6">
        <w:rPr>
          <w:rFonts w:asciiTheme="minorHAnsi" w:hAnsiTheme="minorHAnsi" w:cstheme="minorHAnsi"/>
          <w:noProof/>
          <w:color w:val="000000"/>
          <w:lang w:val="cs-CZ" w:eastAsia="cs-CZ"/>
        </w:rPr>
        <w:t xml:space="preserve"> od </w:t>
      </w:r>
      <w:r w:rsidR="0040571B" w:rsidRPr="00362BC6">
        <w:rPr>
          <w:rFonts w:asciiTheme="minorHAnsi" w:hAnsiTheme="minorHAnsi" w:cstheme="minorHAnsi"/>
          <w:noProof/>
          <w:color w:val="000000"/>
          <w:lang w:val="cs-CZ" w:eastAsia="cs-CZ"/>
        </w:rPr>
        <w:t>srpna</w:t>
      </w:r>
      <w:r w:rsidRPr="00362BC6">
        <w:rPr>
          <w:rFonts w:asciiTheme="minorHAnsi" w:hAnsiTheme="minorHAnsi" w:cstheme="minorHAnsi"/>
          <w:noProof/>
          <w:color w:val="000000"/>
          <w:lang w:val="cs-CZ" w:eastAsia="cs-CZ"/>
        </w:rPr>
        <w:t xml:space="preserve"> 2015 do </w:t>
      </w:r>
      <w:r w:rsidR="0040571B" w:rsidRPr="00362BC6">
        <w:rPr>
          <w:rFonts w:asciiTheme="minorHAnsi" w:hAnsiTheme="minorHAnsi" w:cstheme="minorHAnsi"/>
          <w:noProof/>
          <w:color w:val="000000"/>
          <w:lang w:val="cs-CZ" w:eastAsia="cs-CZ"/>
        </w:rPr>
        <w:t>března</w:t>
      </w:r>
      <w:r w:rsidRPr="00362BC6">
        <w:rPr>
          <w:rFonts w:asciiTheme="minorHAnsi" w:hAnsiTheme="minorHAnsi" w:cstheme="minorHAnsi"/>
          <w:noProof/>
          <w:color w:val="000000"/>
          <w:lang w:val="cs-CZ" w:eastAsia="cs-CZ"/>
        </w:rPr>
        <w:t xml:space="preserve"> 201</w:t>
      </w:r>
      <w:r w:rsidR="0040571B" w:rsidRPr="00362BC6">
        <w:rPr>
          <w:rFonts w:asciiTheme="minorHAnsi" w:hAnsiTheme="minorHAnsi" w:cstheme="minorHAnsi"/>
          <w:noProof/>
          <w:color w:val="000000"/>
          <w:lang w:val="cs-CZ" w:eastAsia="cs-CZ"/>
        </w:rPr>
        <w:t>6</w:t>
      </w:r>
      <w:r w:rsidR="006A27B8" w:rsidRPr="00362BC6">
        <w:rPr>
          <w:rFonts w:asciiTheme="minorHAnsi" w:hAnsiTheme="minorHAnsi" w:cstheme="minorHAnsi"/>
          <w:noProof/>
          <w:color w:val="000000"/>
          <w:lang w:val="cs-CZ" w:eastAsia="cs-CZ"/>
        </w:rPr>
        <w:t>.</w:t>
      </w:r>
    </w:p>
    <w:p w14:paraId="104B88AF" w14:textId="77777777" w:rsidR="00362BC6" w:rsidRPr="00362BC6" w:rsidRDefault="00362BC6" w:rsidP="00362BC6">
      <w:pPr>
        <w:jc w:val="both"/>
        <w:rPr>
          <w:rFonts w:asciiTheme="minorHAnsi" w:hAnsiTheme="minorHAnsi" w:cstheme="minorHAnsi"/>
          <w:noProof/>
          <w:color w:val="000000"/>
          <w:lang w:val="cs-CZ" w:eastAsia="cs-CZ"/>
        </w:rPr>
      </w:pPr>
    </w:p>
    <w:p w14:paraId="3CC75892" w14:textId="77777777" w:rsidR="00B071E1" w:rsidRDefault="00B071E1" w:rsidP="00362BC6">
      <w:pPr>
        <w:jc w:val="both"/>
        <w:rPr>
          <w:rFonts w:asciiTheme="minorHAnsi" w:hAnsiTheme="minorHAnsi" w:cstheme="minorHAnsi"/>
          <w:noProof/>
          <w:color w:val="000000"/>
          <w:lang w:val="cs-CZ" w:eastAsia="cs-CZ"/>
        </w:rPr>
      </w:pPr>
      <w:r w:rsidRPr="00362BC6">
        <w:rPr>
          <w:rFonts w:asciiTheme="minorHAnsi" w:hAnsiTheme="minorHAnsi" w:cstheme="minorHAnsi"/>
          <w:b/>
          <w:noProof/>
          <w:color w:val="000000"/>
          <w:lang w:val="cs-CZ" w:eastAsia="cs-CZ"/>
        </w:rPr>
        <w:t>Kontrolov</w:t>
      </w:r>
      <w:r w:rsidR="008D3BA5">
        <w:rPr>
          <w:rFonts w:asciiTheme="minorHAnsi" w:hAnsiTheme="minorHAnsi" w:cstheme="minorHAnsi"/>
          <w:b/>
          <w:noProof/>
          <w:color w:val="000000"/>
          <w:lang w:val="cs-CZ" w:eastAsia="cs-CZ"/>
        </w:rPr>
        <w:t>áno bylo</w:t>
      </w:r>
      <w:r w:rsidRPr="00362BC6">
        <w:rPr>
          <w:rFonts w:asciiTheme="minorHAnsi" w:hAnsiTheme="minorHAnsi" w:cstheme="minorHAnsi"/>
          <w:b/>
          <w:noProof/>
          <w:color w:val="000000"/>
          <w:lang w:val="cs-CZ" w:eastAsia="cs-CZ"/>
        </w:rPr>
        <w:t xml:space="preserve"> období</w:t>
      </w:r>
      <w:r w:rsidRPr="00362BC6">
        <w:rPr>
          <w:rFonts w:asciiTheme="minorHAnsi" w:hAnsiTheme="minorHAnsi" w:cstheme="minorHAnsi"/>
          <w:noProof/>
          <w:color w:val="000000"/>
          <w:lang w:val="cs-CZ" w:eastAsia="cs-CZ"/>
        </w:rPr>
        <w:t xml:space="preserve"> od </w:t>
      </w:r>
      <w:r w:rsidR="00191129" w:rsidRPr="00362BC6">
        <w:rPr>
          <w:rFonts w:asciiTheme="minorHAnsi" w:hAnsiTheme="minorHAnsi" w:cstheme="minorHAnsi"/>
          <w:noProof/>
          <w:color w:val="000000"/>
          <w:lang w:val="cs-CZ" w:eastAsia="cs-CZ"/>
        </w:rPr>
        <w:t>roku 20</w:t>
      </w:r>
      <w:r w:rsidR="0040571B" w:rsidRPr="00362BC6">
        <w:rPr>
          <w:rFonts w:asciiTheme="minorHAnsi" w:hAnsiTheme="minorHAnsi" w:cstheme="minorHAnsi"/>
          <w:noProof/>
          <w:color w:val="000000"/>
          <w:lang w:val="cs-CZ" w:eastAsia="cs-CZ"/>
        </w:rPr>
        <w:t>09</w:t>
      </w:r>
      <w:r w:rsidR="00191129" w:rsidRPr="00362BC6">
        <w:rPr>
          <w:rFonts w:asciiTheme="minorHAnsi" w:hAnsiTheme="minorHAnsi" w:cstheme="minorHAnsi"/>
          <w:noProof/>
          <w:color w:val="000000"/>
          <w:lang w:val="cs-CZ" w:eastAsia="cs-CZ"/>
        </w:rPr>
        <w:t xml:space="preserve"> </w:t>
      </w:r>
      <w:r w:rsidR="00974BCB" w:rsidRPr="00362BC6">
        <w:rPr>
          <w:rFonts w:asciiTheme="minorHAnsi" w:hAnsiTheme="minorHAnsi" w:cstheme="minorHAnsi"/>
          <w:noProof/>
          <w:color w:val="000000"/>
          <w:lang w:val="cs-CZ" w:eastAsia="cs-CZ"/>
        </w:rPr>
        <w:t>do</w:t>
      </w:r>
      <w:r w:rsidR="00191129" w:rsidRPr="00362BC6">
        <w:rPr>
          <w:rFonts w:asciiTheme="minorHAnsi" w:hAnsiTheme="minorHAnsi" w:cstheme="minorHAnsi"/>
          <w:noProof/>
          <w:color w:val="000000"/>
          <w:lang w:val="cs-CZ" w:eastAsia="cs-CZ"/>
        </w:rPr>
        <w:t xml:space="preserve"> </w:t>
      </w:r>
      <w:r w:rsidR="0040571B" w:rsidRPr="00362BC6">
        <w:rPr>
          <w:rFonts w:asciiTheme="minorHAnsi" w:hAnsiTheme="minorHAnsi" w:cstheme="minorHAnsi"/>
          <w:noProof/>
          <w:color w:val="000000"/>
          <w:lang w:val="cs-CZ" w:eastAsia="cs-CZ"/>
        </w:rPr>
        <w:t>doby ukončení kontroly</w:t>
      </w:r>
      <w:r w:rsidR="00191129" w:rsidRPr="00362BC6">
        <w:rPr>
          <w:rFonts w:asciiTheme="minorHAnsi" w:hAnsiTheme="minorHAnsi" w:cstheme="minorHAnsi"/>
          <w:noProof/>
          <w:color w:val="000000"/>
          <w:lang w:val="cs-CZ" w:eastAsia="cs-CZ"/>
        </w:rPr>
        <w:t>, v případě věcných souvislostí i období předcházející</w:t>
      </w:r>
      <w:r w:rsidR="006A27B8" w:rsidRPr="00362BC6">
        <w:rPr>
          <w:rFonts w:asciiTheme="minorHAnsi" w:hAnsiTheme="minorHAnsi" w:cstheme="minorHAnsi"/>
          <w:noProof/>
          <w:color w:val="000000"/>
          <w:lang w:val="cs-CZ" w:eastAsia="cs-CZ"/>
        </w:rPr>
        <w:t>.</w:t>
      </w:r>
    </w:p>
    <w:p w14:paraId="469DBF51" w14:textId="77777777" w:rsidR="00362BC6" w:rsidRPr="00362BC6" w:rsidRDefault="00362BC6" w:rsidP="00362BC6">
      <w:pPr>
        <w:jc w:val="both"/>
        <w:rPr>
          <w:rFonts w:asciiTheme="minorHAnsi" w:hAnsiTheme="minorHAnsi" w:cstheme="minorHAnsi"/>
          <w:noProof/>
          <w:color w:val="000000"/>
          <w:lang w:val="cs-CZ" w:eastAsia="cs-CZ"/>
        </w:rPr>
      </w:pPr>
    </w:p>
    <w:p w14:paraId="2CC15DF2" w14:textId="77777777" w:rsidR="00C62DB7" w:rsidRDefault="00C62DB7" w:rsidP="00362BC6">
      <w:pPr>
        <w:jc w:val="both"/>
        <w:rPr>
          <w:rFonts w:asciiTheme="minorHAnsi" w:hAnsiTheme="minorHAnsi" w:cstheme="minorHAnsi"/>
          <w:noProof/>
          <w:color w:val="000000"/>
          <w:lang w:val="cs-CZ" w:eastAsia="cs-CZ"/>
        </w:rPr>
      </w:pPr>
      <w:r w:rsidRPr="00362BC6">
        <w:rPr>
          <w:rFonts w:asciiTheme="minorHAnsi" w:hAnsiTheme="minorHAnsi" w:cstheme="minorHAnsi"/>
          <w:noProof/>
          <w:color w:val="000000"/>
          <w:lang w:val="cs-CZ" w:eastAsia="cs-CZ"/>
        </w:rPr>
        <w:t>Námitky proti kontrolnímu protokolu, které podaly MF a GFŘ</w:t>
      </w:r>
      <w:r w:rsidR="00D936B1" w:rsidRPr="00362BC6">
        <w:rPr>
          <w:rFonts w:asciiTheme="minorHAnsi" w:hAnsiTheme="minorHAnsi" w:cstheme="minorHAnsi"/>
          <w:noProof/>
          <w:color w:val="000000"/>
          <w:lang w:val="cs-CZ" w:eastAsia="cs-CZ"/>
        </w:rPr>
        <w:t>,</w:t>
      </w:r>
      <w:r w:rsidRPr="00362BC6">
        <w:rPr>
          <w:rFonts w:asciiTheme="minorHAnsi" w:hAnsiTheme="minorHAnsi" w:cstheme="minorHAnsi"/>
          <w:noProof/>
          <w:color w:val="000000"/>
          <w:lang w:val="cs-CZ" w:eastAsia="cs-CZ"/>
        </w:rPr>
        <w:t xml:space="preserve"> byly vypořádány vedoucím</w:t>
      </w:r>
      <w:r w:rsidR="00DF47EB" w:rsidRPr="00362BC6">
        <w:rPr>
          <w:rFonts w:asciiTheme="minorHAnsi" w:hAnsiTheme="minorHAnsi" w:cstheme="minorHAnsi"/>
          <w:noProof/>
          <w:color w:val="000000"/>
          <w:lang w:val="cs-CZ" w:eastAsia="cs-CZ"/>
        </w:rPr>
        <w:t>i skupin</w:t>
      </w:r>
      <w:r w:rsidRPr="00362BC6">
        <w:rPr>
          <w:rFonts w:asciiTheme="minorHAnsi" w:hAnsiTheme="minorHAnsi" w:cstheme="minorHAnsi"/>
          <w:noProof/>
          <w:color w:val="000000"/>
          <w:lang w:val="cs-CZ" w:eastAsia="cs-CZ"/>
        </w:rPr>
        <w:t xml:space="preserve"> kontrolujících rozhodnutími o námitkách. Odvolání proti rozhodnutí</w:t>
      </w:r>
      <w:r w:rsidR="008D3BA5">
        <w:rPr>
          <w:rFonts w:asciiTheme="minorHAnsi" w:hAnsiTheme="minorHAnsi" w:cstheme="minorHAnsi"/>
          <w:noProof/>
          <w:color w:val="000000"/>
          <w:lang w:val="cs-CZ" w:eastAsia="cs-CZ"/>
        </w:rPr>
        <w:t>m</w:t>
      </w:r>
      <w:r w:rsidRPr="00362BC6">
        <w:rPr>
          <w:rFonts w:asciiTheme="minorHAnsi" w:hAnsiTheme="minorHAnsi" w:cstheme="minorHAnsi"/>
          <w:noProof/>
          <w:color w:val="000000"/>
          <w:lang w:val="cs-CZ" w:eastAsia="cs-CZ"/>
        </w:rPr>
        <w:t xml:space="preserve"> o námitkách, kter</w:t>
      </w:r>
      <w:r w:rsidR="00861DBD" w:rsidRPr="00362BC6">
        <w:rPr>
          <w:rFonts w:asciiTheme="minorHAnsi" w:hAnsiTheme="minorHAnsi" w:cstheme="minorHAnsi"/>
          <w:noProof/>
          <w:color w:val="000000"/>
          <w:lang w:val="cs-CZ" w:eastAsia="cs-CZ"/>
        </w:rPr>
        <w:t>á</w:t>
      </w:r>
      <w:r w:rsidRPr="00362BC6">
        <w:rPr>
          <w:rFonts w:asciiTheme="minorHAnsi" w:hAnsiTheme="minorHAnsi" w:cstheme="minorHAnsi"/>
          <w:noProof/>
          <w:color w:val="000000"/>
          <w:lang w:val="cs-CZ" w:eastAsia="cs-CZ"/>
        </w:rPr>
        <w:t xml:space="preserve"> podaly MF a GF</w:t>
      </w:r>
      <w:r w:rsidR="006C48E6" w:rsidRPr="00362BC6">
        <w:rPr>
          <w:rFonts w:asciiTheme="minorHAnsi" w:hAnsiTheme="minorHAnsi" w:cstheme="minorHAnsi"/>
          <w:noProof/>
          <w:color w:val="000000"/>
          <w:lang w:val="cs-CZ" w:eastAsia="cs-CZ"/>
        </w:rPr>
        <w:t>Ř</w:t>
      </w:r>
      <w:r w:rsidR="00F757C8" w:rsidRPr="00362BC6">
        <w:rPr>
          <w:rFonts w:asciiTheme="minorHAnsi" w:hAnsiTheme="minorHAnsi" w:cstheme="minorHAnsi"/>
          <w:noProof/>
          <w:color w:val="000000"/>
          <w:lang w:val="cs-CZ" w:eastAsia="cs-CZ"/>
        </w:rPr>
        <w:t>,</w:t>
      </w:r>
      <w:r w:rsidR="006C48E6" w:rsidRPr="00362BC6">
        <w:rPr>
          <w:rFonts w:asciiTheme="minorHAnsi" w:hAnsiTheme="minorHAnsi" w:cstheme="minorHAnsi"/>
          <w:noProof/>
          <w:color w:val="000000"/>
          <w:lang w:val="cs-CZ" w:eastAsia="cs-CZ"/>
        </w:rPr>
        <w:t xml:space="preserve"> byla</w:t>
      </w:r>
      <w:r w:rsidR="000A302F" w:rsidRPr="00362BC6">
        <w:rPr>
          <w:rFonts w:asciiTheme="minorHAnsi" w:hAnsiTheme="minorHAnsi" w:cstheme="minorHAnsi"/>
          <w:noProof/>
          <w:color w:val="000000"/>
          <w:lang w:val="cs-CZ" w:eastAsia="cs-CZ"/>
        </w:rPr>
        <w:t xml:space="preserve"> vypořádá</w:t>
      </w:r>
      <w:r w:rsidR="006C48E6" w:rsidRPr="00362BC6">
        <w:rPr>
          <w:rFonts w:asciiTheme="minorHAnsi" w:hAnsiTheme="minorHAnsi" w:cstheme="minorHAnsi"/>
          <w:noProof/>
          <w:color w:val="000000"/>
          <w:lang w:val="cs-CZ" w:eastAsia="cs-CZ"/>
        </w:rPr>
        <w:t>na</w:t>
      </w:r>
      <w:r w:rsidRPr="00362BC6">
        <w:rPr>
          <w:rFonts w:asciiTheme="minorHAnsi" w:hAnsiTheme="minorHAnsi" w:cstheme="minorHAnsi"/>
          <w:noProof/>
          <w:color w:val="000000"/>
          <w:lang w:val="cs-CZ" w:eastAsia="cs-CZ"/>
        </w:rPr>
        <w:t xml:space="preserve"> usnesením</w:t>
      </w:r>
      <w:r w:rsidR="00DB7276" w:rsidRPr="00362BC6">
        <w:rPr>
          <w:rFonts w:asciiTheme="minorHAnsi" w:hAnsiTheme="minorHAnsi" w:cstheme="minorHAnsi"/>
          <w:noProof/>
          <w:color w:val="000000"/>
          <w:lang w:val="cs-CZ" w:eastAsia="cs-CZ"/>
        </w:rPr>
        <w:t>i</w:t>
      </w:r>
      <w:r w:rsidRPr="00362BC6">
        <w:rPr>
          <w:rFonts w:asciiTheme="minorHAnsi" w:hAnsiTheme="minorHAnsi" w:cstheme="minorHAnsi"/>
          <w:noProof/>
          <w:color w:val="000000"/>
          <w:lang w:val="cs-CZ" w:eastAsia="cs-CZ"/>
        </w:rPr>
        <w:t xml:space="preserve"> Kolegia NKÚ.</w:t>
      </w:r>
    </w:p>
    <w:p w14:paraId="113DC663" w14:textId="77777777" w:rsidR="00362BC6" w:rsidRDefault="00362BC6" w:rsidP="00362BC6">
      <w:pPr>
        <w:jc w:val="both"/>
        <w:rPr>
          <w:rFonts w:asciiTheme="minorHAnsi" w:hAnsiTheme="minorHAnsi" w:cstheme="minorHAnsi"/>
          <w:noProof/>
          <w:color w:val="000000"/>
          <w:lang w:val="cs-CZ" w:eastAsia="cs-CZ"/>
        </w:rPr>
      </w:pPr>
    </w:p>
    <w:p w14:paraId="09F083A8" w14:textId="77777777" w:rsidR="00362BC6" w:rsidRPr="00362BC6" w:rsidRDefault="00362BC6" w:rsidP="00362BC6">
      <w:pPr>
        <w:jc w:val="both"/>
        <w:rPr>
          <w:rFonts w:asciiTheme="minorHAnsi" w:hAnsiTheme="minorHAnsi" w:cstheme="minorHAnsi"/>
          <w:noProof/>
          <w:color w:val="000000"/>
          <w:lang w:val="cs-CZ" w:eastAsia="cs-CZ"/>
        </w:rPr>
      </w:pPr>
    </w:p>
    <w:p w14:paraId="6AF786A4" w14:textId="77777777" w:rsidR="008D3BA5" w:rsidRPr="00E9785A" w:rsidRDefault="008D3BA5" w:rsidP="008D3BA5">
      <w:pPr>
        <w:jc w:val="both"/>
        <w:rPr>
          <w:rFonts w:asciiTheme="minorHAnsi" w:hAnsiTheme="minorHAnsi" w:cstheme="minorHAnsi"/>
          <w:color w:val="000000"/>
          <w:lang w:val="cs-CZ"/>
        </w:rPr>
      </w:pPr>
      <w:r w:rsidRPr="00A17659">
        <w:rPr>
          <w:rFonts w:asciiTheme="minorHAnsi" w:hAnsiTheme="minorHAnsi" w:cstheme="minorHAnsi"/>
          <w:b/>
          <w:i/>
          <w:color w:val="000000"/>
          <w:spacing w:val="40"/>
          <w:lang w:val="cs-CZ"/>
        </w:rPr>
        <w:t>Kolegium</w:t>
      </w:r>
      <w:r w:rsidRPr="00A17659">
        <w:rPr>
          <w:rFonts w:asciiTheme="minorHAnsi" w:hAnsiTheme="minorHAnsi" w:cstheme="minorHAnsi"/>
          <w:b/>
          <w:i/>
          <w:color w:val="000000"/>
          <w:lang w:val="cs-CZ"/>
        </w:rPr>
        <w:t xml:space="preserve">   </w:t>
      </w:r>
      <w:r w:rsidRPr="00A17659">
        <w:rPr>
          <w:rFonts w:asciiTheme="minorHAnsi" w:hAnsiTheme="minorHAnsi" w:cstheme="minorHAnsi"/>
          <w:b/>
          <w:i/>
          <w:color w:val="000000"/>
          <w:spacing w:val="40"/>
          <w:lang w:val="cs-CZ"/>
        </w:rPr>
        <w:t>NKÚ</w:t>
      </w:r>
      <w:r w:rsidRPr="00A17659">
        <w:rPr>
          <w:rFonts w:asciiTheme="minorHAnsi" w:hAnsiTheme="minorHAnsi" w:cstheme="minorHAnsi"/>
          <w:b/>
          <w:i/>
          <w:color w:val="000000"/>
          <w:lang w:val="cs-CZ"/>
        </w:rPr>
        <w:t xml:space="preserve">   </w:t>
      </w:r>
      <w:r w:rsidRPr="00A17659">
        <w:rPr>
          <w:rFonts w:asciiTheme="minorHAnsi" w:hAnsiTheme="minorHAnsi" w:cstheme="minorHAnsi"/>
          <w:color w:val="000000"/>
          <w:lang w:val="cs-CZ"/>
        </w:rPr>
        <w:t xml:space="preserve">na </w:t>
      </w:r>
      <w:r w:rsidRPr="00E9785A">
        <w:rPr>
          <w:rFonts w:asciiTheme="minorHAnsi" w:hAnsiTheme="minorHAnsi" w:cstheme="minorHAnsi"/>
          <w:color w:val="000000"/>
          <w:lang w:val="cs-CZ"/>
        </w:rPr>
        <w:t xml:space="preserve">svém </w:t>
      </w:r>
      <w:r>
        <w:rPr>
          <w:rFonts w:asciiTheme="minorHAnsi" w:hAnsiTheme="minorHAnsi" w:cstheme="minorHAnsi"/>
          <w:color w:val="000000"/>
          <w:lang w:val="cs-CZ"/>
        </w:rPr>
        <w:t>X</w:t>
      </w:r>
      <w:r w:rsidRPr="00E9785A">
        <w:rPr>
          <w:rFonts w:asciiTheme="minorHAnsi" w:hAnsiTheme="minorHAnsi" w:cstheme="minorHAnsi"/>
          <w:color w:val="000000"/>
          <w:lang w:val="cs-CZ"/>
        </w:rPr>
        <w:t xml:space="preserve">. jednání, které se konalo dne </w:t>
      </w:r>
      <w:r>
        <w:rPr>
          <w:rFonts w:asciiTheme="minorHAnsi" w:hAnsiTheme="minorHAnsi" w:cstheme="minorHAnsi"/>
          <w:color w:val="000000"/>
          <w:lang w:val="cs-CZ"/>
        </w:rPr>
        <w:t xml:space="preserve">18. července </w:t>
      </w:r>
      <w:r w:rsidRPr="00E9785A">
        <w:rPr>
          <w:rFonts w:asciiTheme="minorHAnsi" w:hAnsiTheme="minorHAnsi" w:cstheme="minorHAnsi"/>
          <w:color w:val="000000"/>
          <w:lang w:val="cs-CZ"/>
        </w:rPr>
        <w:t>2016,</w:t>
      </w:r>
    </w:p>
    <w:p w14:paraId="34F52DC7" w14:textId="77777777" w:rsidR="008D3BA5" w:rsidRPr="00A17659" w:rsidRDefault="008D3BA5" w:rsidP="008D3BA5">
      <w:pPr>
        <w:jc w:val="both"/>
        <w:rPr>
          <w:rFonts w:asciiTheme="minorHAnsi" w:hAnsiTheme="minorHAnsi" w:cstheme="minorHAnsi"/>
          <w:color w:val="000000"/>
          <w:lang w:val="cs-CZ"/>
        </w:rPr>
      </w:pPr>
      <w:r w:rsidRPr="00E9785A">
        <w:rPr>
          <w:rFonts w:asciiTheme="minorHAnsi" w:hAnsiTheme="minorHAnsi" w:cstheme="minorHAnsi"/>
          <w:b/>
          <w:i/>
          <w:color w:val="000000"/>
          <w:spacing w:val="40"/>
          <w:lang w:val="cs-CZ"/>
        </w:rPr>
        <w:t>schválilo</w:t>
      </w:r>
      <w:r w:rsidRPr="00E9785A">
        <w:rPr>
          <w:rFonts w:asciiTheme="minorHAnsi" w:hAnsiTheme="minorHAnsi" w:cstheme="minorHAnsi"/>
          <w:b/>
          <w:i/>
          <w:color w:val="000000"/>
          <w:lang w:val="cs-CZ"/>
        </w:rPr>
        <w:t xml:space="preserve">   </w:t>
      </w:r>
      <w:r w:rsidRPr="00E9785A">
        <w:rPr>
          <w:rFonts w:asciiTheme="minorHAnsi" w:hAnsiTheme="minorHAnsi" w:cstheme="minorHAnsi"/>
          <w:color w:val="000000"/>
          <w:lang w:val="cs-CZ"/>
        </w:rPr>
        <w:t xml:space="preserve">usnesením č. </w:t>
      </w:r>
      <w:r>
        <w:rPr>
          <w:rFonts w:asciiTheme="minorHAnsi" w:hAnsiTheme="minorHAnsi" w:cstheme="minorHAnsi"/>
          <w:color w:val="000000"/>
          <w:lang w:val="cs-CZ"/>
        </w:rPr>
        <w:t>9</w:t>
      </w:r>
      <w:r w:rsidRPr="00E9785A">
        <w:rPr>
          <w:rFonts w:asciiTheme="minorHAnsi" w:hAnsiTheme="minorHAnsi" w:cstheme="minorHAnsi"/>
          <w:color w:val="000000"/>
          <w:lang w:val="cs-CZ"/>
        </w:rPr>
        <w:t>/</w:t>
      </w:r>
      <w:r>
        <w:rPr>
          <w:rFonts w:asciiTheme="minorHAnsi" w:hAnsiTheme="minorHAnsi" w:cstheme="minorHAnsi"/>
          <w:color w:val="000000"/>
          <w:lang w:val="cs-CZ"/>
        </w:rPr>
        <w:t>X</w:t>
      </w:r>
      <w:r w:rsidRPr="00E9785A">
        <w:rPr>
          <w:rFonts w:asciiTheme="minorHAnsi" w:hAnsiTheme="minorHAnsi" w:cstheme="minorHAnsi"/>
          <w:color w:val="000000"/>
          <w:lang w:val="cs-CZ"/>
        </w:rPr>
        <w:t>/2016</w:t>
      </w:r>
    </w:p>
    <w:p w14:paraId="3CE9E9DC" w14:textId="77777777" w:rsidR="008D3BA5" w:rsidRPr="00A17659" w:rsidRDefault="008D3BA5" w:rsidP="008D3BA5">
      <w:pPr>
        <w:jc w:val="both"/>
        <w:rPr>
          <w:rFonts w:asciiTheme="minorHAnsi" w:hAnsiTheme="minorHAnsi" w:cstheme="minorHAnsi"/>
          <w:color w:val="000000"/>
          <w:lang w:val="cs-CZ"/>
        </w:rPr>
      </w:pPr>
      <w:r w:rsidRPr="00A17659">
        <w:rPr>
          <w:rFonts w:asciiTheme="minorHAnsi" w:hAnsiTheme="minorHAnsi" w:cstheme="minorHAnsi"/>
          <w:b/>
          <w:i/>
          <w:color w:val="000000"/>
          <w:spacing w:val="40"/>
          <w:lang w:val="cs-CZ"/>
        </w:rPr>
        <w:t>kontrolní</w:t>
      </w:r>
      <w:r w:rsidRPr="00A17659">
        <w:rPr>
          <w:rFonts w:asciiTheme="minorHAnsi" w:hAnsiTheme="minorHAnsi" w:cstheme="minorHAnsi"/>
          <w:b/>
          <w:i/>
          <w:color w:val="000000"/>
          <w:lang w:val="cs-CZ"/>
        </w:rPr>
        <w:t xml:space="preserve">   </w:t>
      </w:r>
      <w:r w:rsidRPr="00A17659">
        <w:rPr>
          <w:rFonts w:asciiTheme="minorHAnsi" w:hAnsiTheme="minorHAnsi" w:cstheme="minorHAnsi"/>
          <w:b/>
          <w:i/>
          <w:color w:val="000000"/>
          <w:spacing w:val="40"/>
          <w:lang w:val="cs-CZ"/>
        </w:rPr>
        <w:t>závěr</w:t>
      </w:r>
      <w:r w:rsidRPr="00A17659">
        <w:rPr>
          <w:rFonts w:asciiTheme="minorHAnsi" w:hAnsiTheme="minorHAnsi" w:cstheme="minorHAnsi"/>
          <w:b/>
          <w:i/>
          <w:color w:val="000000"/>
          <w:lang w:val="cs-CZ"/>
        </w:rPr>
        <w:t xml:space="preserve">   </w:t>
      </w:r>
      <w:r w:rsidRPr="00A17659">
        <w:rPr>
          <w:rFonts w:asciiTheme="minorHAnsi" w:hAnsiTheme="minorHAnsi" w:cstheme="minorHAnsi"/>
          <w:color w:val="000000"/>
          <w:lang w:val="cs-CZ"/>
        </w:rPr>
        <w:t>v tomto znění:</w:t>
      </w:r>
    </w:p>
    <w:p w14:paraId="74BD6A18" w14:textId="77777777" w:rsidR="00050D4C" w:rsidRPr="00362BC6" w:rsidRDefault="00050D4C" w:rsidP="00362BC6">
      <w:pPr>
        <w:jc w:val="both"/>
        <w:rPr>
          <w:rFonts w:asciiTheme="minorHAnsi" w:hAnsiTheme="minorHAnsi" w:cstheme="minorHAnsi"/>
          <w:color w:val="000000"/>
          <w:lang w:val="cs-CZ"/>
        </w:rPr>
      </w:pPr>
    </w:p>
    <w:p w14:paraId="219C1E5F" w14:textId="77777777" w:rsidR="00092D1F" w:rsidRPr="00362BC6" w:rsidRDefault="00092D1F" w:rsidP="00362BC6">
      <w:pPr>
        <w:rPr>
          <w:rFonts w:asciiTheme="minorHAnsi" w:hAnsiTheme="minorHAnsi" w:cstheme="minorHAnsi"/>
          <w:b/>
          <w:color w:val="000000"/>
          <w:lang w:val="cs-CZ"/>
        </w:rPr>
      </w:pPr>
      <w:r w:rsidRPr="00362BC6">
        <w:rPr>
          <w:rFonts w:asciiTheme="minorHAnsi" w:hAnsiTheme="minorHAnsi" w:cstheme="minorHAnsi"/>
          <w:b/>
          <w:color w:val="000000"/>
          <w:lang w:val="cs-CZ"/>
        </w:rPr>
        <w:br w:type="page"/>
      </w:r>
    </w:p>
    <w:p w14:paraId="7D45DB87" w14:textId="77777777" w:rsidR="007D5598" w:rsidRPr="00D92ED2" w:rsidRDefault="005C3DF0" w:rsidP="00F87B46">
      <w:pPr>
        <w:jc w:val="center"/>
        <w:rPr>
          <w:rFonts w:asciiTheme="minorHAnsi" w:hAnsiTheme="minorHAnsi" w:cstheme="minorHAnsi"/>
          <w:b/>
          <w:color w:val="000000"/>
          <w:sz w:val="28"/>
          <w:szCs w:val="28"/>
          <w:lang w:val="cs-CZ"/>
        </w:rPr>
      </w:pPr>
      <w:r w:rsidRPr="00D92ED2">
        <w:rPr>
          <w:rFonts w:asciiTheme="minorHAnsi" w:hAnsiTheme="minorHAnsi" w:cstheme="minorHAnsi"/>
          <w:b/>
          <w:color w:val="000000"/>
          <w:sz w:val="28"/>
          <w:szCs w:val="28"/>
          <w:lang w:val="cs-CZ"/>
        </w:rPr>
        <w:lastRenderedPageBreak/>
        <w:t xml:space="preserve">I. </w:t>
      </w:r>
      <w:r w:rsidR="007D5598" w:rsidRPr="00D92ED2">
        <w:rPr>
          <w:rFonts w:asciiTheme="minorHAnsi" w:hAnsiTheme="minorHAnsi" w:cstheme="minorHAnsi"/>
          <w:b/>
          <w:color w:val="000000"/>
          <w:sz w:val="28"/>
          <w:szCs w:val="28"/>
          <w:lang w:val="cs-CZ"/>
        </w:rPr>
        <w:t>Úvod</w:t>
      </w:r>
    </w:p>
    <w:p w14:paraId="7C03D302" w14:textId="77777777" w:rsidR="00345887" w:rsidRPr="00362BC6" w:rsidRDefault="00345887" w:rsidP="00362BC6">
      <w:pPr>
        <w:jc w:val="both"/>
        <w:rPr>
          <w:rFonts w:asciiTheme="minorHAnsi" w:hAnsiTheme="minorHAnsi" w:cstheme="minorHAnsi"/>
          <w:color w:val="000000"/>
          <w:szCs w:val="28"/>
          <w:lang w:val="cs-CZ"/>
        </w:rPr>
      </w:pPr>
    </w:p>
    <w:p w14:paraId="39C2F56E" w14:textId="77777777" w:rsidR="00AA0471" w:rsidRDefault="006C5FA5" w:rsidP="00362BC6">
      <w:pPr>
        <w:jc w:val="both"/>
        <w:rPr>
          <w:rFonts w:asciiTheme="minorHAnsi" w:hAnsiTheme="minorHAnsi" w:cstheme="minorHAnsi"/>
          <w:color w:val="000000"/>
          <w:lang w:val="cs-CZ"/>
        </w:rPr>
      </w:pPr>
      <w:r w:rsidRPr="006C5FA5">
        <w:rPr>
          <w:rFonts w:asciiTheme="minorHAnsi" w:hAnsiTheme="minorHAnsi" w:cstheme="minorHAnsi"/>
          <w:b/>
          <w:color w:val="000000"/>
          <w:lang w:val="cs-CZ"/>
        </w:rPr>
        <w:t>Financování programů reprodukce majetku</w:t>
      </w:r>
      <w:r>
        <w:rPr>
          <w:rFonts w:asciiTheme="minorHAnsi" w:hAnsiTheme="minorHAnsi" w:cstheme="minorHAnsi"/>
          <w:color w:val="000000"/>
          <w:lang w:val="cs-CZ"/>
        </w:rPr>
        <w:t xml:space="preserve"> </w:t>
      </w:r>
      <w:r w:rsidR="00165160">
        <w:rPr>
          <w:rFonts w:asciiTheme="minorHAnsi" w:hAnsiTheme="minorHAnsi" w:cstheme="minorHAnsi"/>
          <w:color w:val="000000"/>
          <w:lang w:val="cs-CZ"/>
        </w:rPr>
        <w:t xml:space="preserve">(dále také „programové financování“) </w:t>
      </w:r>
      <w:r>
        <w:rPr>
          <w:rFonts w:asciiTheme="minorHAnsi" w:hAnsiTheme="minorHAnsi" w:cstheme="minorHAnsi"/>
          <w:color w:val="000000"/>
          <w:lang w:val="cs-CZ"/>
        </w:rPr>
        <w:t>v České republice (dále také „ČR“)</w:t>
      </w:r>
      <w:r w:rsidR="00DA176D">
        <w:rPr>
          <w:rFonts w:asciiTheme="minorHAnsi" w:hAnsiTheme="minorHAnsi" w:cstheme="minorHAnsi"/>
          <w:color w:val="000000"/>
          <w:lang w:val="cs-CZ"/>
        </w:rPr>
        <w:t xml:space="preserve"> </w:t>
      </w:r>
      <w:r w:rsidR="009209A7">
        <w:rPr>
          <w:rFonts w:asciiTheme="minorHAnsi" w:hAnsiTheme="minorHAnsi" w:cstheme="minorHAnsi"/>
          <w:color w:val="000000"/>
          <w:lang w:val="cs-CZ"/>
        </w:rPr>
        <w:t xml:space="preserve">slouží </w:t>
      </w:r>
      <w:r w:rsidR="00FF5ED1">
        <w:rPr>
          <w:rFonts w:asciiTheme="minorHAnsi" w:hAnsiTheme="minorHAnsi" w:cstheme="minorHAnsi"/>
          <w:color w:val="000000"/>
          <w:lang w:val="cs-CZ"/>
        </w:rPr>
        <w:t xml:space="preserve">k </w:t>
      </w:r>
      <w:r w:rsidR="00FF5ED1" w:rsidRPr="00DB226C">
        <w:rPr>
          <w:rFonts w:asciiTheme="minorHAnsi" w:hAnsiTheme="minorHAnsi" w:cstheme="minorHAnsi"/>
          <w:color w:val="000000"/>
          <w:lang w:val="cs-CZ"/>
        </w:rPr>
        <w:t>alokaci</w:t>
      </w:r>
      <w:r w:rsidR="001E0066" w:rsidRPr="00DB226C">
        <w:rPr>
          <w:rStyle w:val="Znakapoznpodarou"/>
          <w:rFonts w:asciiTheme="minorHAnsi" w:hAnsiTheme="minorHAnsi" w:cstheme="minorHAnsi"/>
          <w:color w:val="000000"/>
          <w:lang w:val="cs-CZ"/>
        </w:rPr>
        <w:footnoteReference w:id="1"/>
      </w:r>
      <w:r w:rsidR="00FF5ED1" w:rsidRPr="00DB226C">
        <w:rPr>
          <w:rFonts w:asciiTheme="minorHAnsi" w:hAnsiTheme="minorHAnsi" w:cstheme="minorHAnsi"/>
          <w:color w:val="000000"/>
          <w:lang w:val="cs-CZ"/>
        </w:rPr>
        <w:t xml:space="preserve"> </w:t>
      </w:r>
      <w:r w:rsidR="00C93FEA" w:rsidRPr="00DB226C">
        <w:rPr>
          <w:rFonts w:asciiTheme="minorHAnsi" w:hAnsiTheme="minorHAnsi" w:cstheme="minorHAnsi"/>
          <w:color w:val="000000"/>
          <w:lang w:val="cs-CZ"/>
        </w:rPr>
        <w:t>peněžních</w:t>
      </w:r>
      <w:r w:rsidR="00C93FEA">
        <w:rPr>
          <w:rFonts w:asciiTheme="minorHAnsi" w:hAnsiTheme="minorHAnsi" w:cstheme="minorHAnsi"/>
          <w:color w:val="000000"/>
          <w:lang w:val="cs-CZ"/>
        </w:rPr>
        <w:t xml:space="preserve"> </w:t>
      </w:r>
      <w:r w:rsidR="00FF5ED1">
        <w:rPr>
          <w:rFonts w:asciiTheme="minorHAnsi" w:hAnsiTheme="minorHAnsi" w:cstheme="minorHAnsi"/>
          <w:color w:val="000000"/>
          <w:lang w:val="cs-CZ"/>
        </w:rPr>
        <w:t>prostředků</w:t>
      </w:r>
      <w:r w:rsidR="00C93FEA">
        <w:rPr>
          <w:rFonts w:asciiTheme="minorHAnsi" w:hAnsiTheme="minorHAnsi" w:cstheme="minorHAnsi"/>
          <w:color w:val="000000"/>
          <w:lang w:val="cs-CZ"/>
        </w:rPr>
        <w:t xml:space="preserve"> ze zdrojů státního rozpočtu</w:t>
      </w:r>
      <w:r w:rsidR="001E0066">
        <w:rPr>
          <w:rFonts w:asciiTheme="minorHAnsi" w:hAnsiTheme="minorHAnsi" w:cstheme="minorHAnsi"/>
          <w:color w:val="000000"/>
          <w:lang w:val="cs-CZ"/>
        </w:rPr>
        <w:t xml:space="preserve"> </w:t>
      </w:r>
      <w:r w:rsidR="00D66489">
        <w:rPr>
          <w:rFonts w:asciiTheme="minorHAnsi" w:hAnsiTheme="minorHAnsi" w:cstheme="minorHAnsi"/>
          <w:color w:val="000000"/>
          <w:lang w:val="cs-CZ"/>
        </w:rPr>
        <w:t>s ohledem na</w:t>
      </w:r>
      <w:r w:rsidR="00A21FFC">
        <w:rPr>
          <w:rFonts w:asciiTheme="minorHAnsi" w:hAnsiTheme="minorHAnsi" w:cstheme="minorHAnsi"/>
          <w:color w:val="000000"/>
          <w:lang w:val="cs-CZ"/>
        </w:rPr>
        <w:t xml:space="preserve"> stanoven</w:t>
      </w:r>
      <w:r w:rsidR="00D66489">
        <w:rPr>
          <w:rFonts w:asciiTheme="minorHAnsi" w:hAnsiTheme="minorHAnsi" w:cstheme="minorHAnsi"/>
          <w:color w:val="000000"/>
          <w:lang w:val="cs-CZ"/>
        </w:rPr>
        <w:t>é</w:t>
      </w:r>
      <w:r w:rsidR="00A21FFC">
        <w:rPr>
          <w:rFonts w:asciiTheme="minorHAnsi" w:hAnsiTheme="minorHAnsi" w:cstheme="minorHAnsi"/>
          <w:color w:val="000000"/>
          <w:lang w:val="cs-CZ"/>
        </w:rPr>
        <w:t xml:space="preserve"> </w:t>
      </w:r>
      <w:r w:rsidR="001E0066">
        <w:rPr>
          <w:rFonts w:asciiTheme="minorHAnsi" w:hAnsiTheme="minorHAnsi" w:cstheme="minorHAnsi"/>
          <w:color w:val="000000"/>
          <w:lang w:val="cs-CZ"/>
        </w:rPr>
        <w:t>c</w:t>
      </w:r>
      <w:r w:rsidR="00A21FFC">
        <w:rPr>
          <w:rFonts w:asciiTheme="minorHAnsi" w:hAnsiTheme="minorHAnsi" w:cstheme="minorHAnsi"/>
          <w:color w:val="000000"/>
          <w:lang w:val="cs-CZ"/>
        </w:rPr>
        <w:t>íl</w:t>
      </w:r>
      <w:r w:rsidR="00D66489">
        <w:rPr>
          <w:rFonts w:asciiTheme="minorHAnsi" w:hAnsiTheme="minorHAnsi" w:cstheme="minorHAnsi"/>
          <w:color w:val="000000"/>
          <w:lang w:val="cs-CZ"/>
        </w:rPr>
        <w:t>e</w:t>
      </w:r>
      <w:r w:rsidR="00A21FFC">
        <w:rPr>
          <w:rFonts w:asciiTheme="minorHAnsi" w:hAnsiTheme="minorHAnsi" w:cstheme="minorHAnsi"/>
          <w:color w:val="000000"/>
          <w:lang w:val="cs-CZ"/>
        </w:rPr>
        <w:t xml:space="preserve"> </w:t>
      </w:r>
      <w:r w:rsidR="00D66489">
        <w:rPr>
          <w:rFonts w:asciiTheme="minorHAnsi" w:hAnsiTheme="minorHAnsi" w:cstheme="minorHAnsi"/>
          <w:color w:val="000000"/>
          <w:lang w:val="cs-CZ"/>
        </w:rPr>
        <w:t>podle</w:t>
      </w:r>
      <w:r w:rsidR="00A21FFC">
        <w:rPr>
          <w:rFonts w:asciiTheme="minorHAnsi" w:hAnsiTheme="minorHAnsi" w:cstheme="minorHAnsi"/>
          <w:color w:val="000000"/>
          <w:lang w:val="cs-CZ"/>
        </w:rPr>
        <w:t xml:space="preserve"> </w:t>
      </w:r>
      <w:r w:rsidR="00A32991">
        <w:rPr>
          <w:rFonts w:asciiTheme="minorHAnsi" w:hAnsiTheme="minorHAnsi" w:cstheme="minorHAnsi"/>
          <w:color w:val="000000"/>
          <w:lang w:val="cs-CZ"/>
        </w:rPr>
        <w:t>jejich</w:t>
      </w:r>
      <w:r w:rsidR="001E0066">
        <w:rPr>
          <w:rFonts w:asciiTheme="minorHAnsi" w:hAnsiTheme="minorHAnsi" w:cstheme="minorHAnsi"/>
          <w:color w:val="000000"/>
          <w:lang w:val="cs-CZ"/>
        </w:rPr>
        <w:t xml:space="preserve"> priorit.</w:t>
      </w:r>
      <w:r w:rsidR="00DA176D">
        <w:rPr>
          <w:rFonts w:asciiTheme="minorHAnsi" w:hAnsiTheme="minorHAnsi" w:cstheme="minorHAnsi"/>
          <w:color w:val="000000"/>
          <w:lang w:val="cs-CZ"/>
        </w:rPr>
        <w:t xml:space="preserve"> Programové financování </w:t>
      </w:r>
      <w:r w:rsidR="001A3709">
        <w:rPr>
          <w:rFonts w:asciiTheme="minorHAnsi" w:hAnsiTheme="minorHAnsi" w:cstheme="minorHAnsi"/>
          <w:color w:val="000000"/>
          <w:lang w:val="cs-CZ"/>
        </w:rPr>
        <w:t>při správném fungování</w:t>
      </w:r>
      <w:r w:rsidR="00F80509">
        <w:rPr>
          <w:rFonts w:asciiTheme="minorHAnsi" w:hAnsiTheme="minorHAnsi" w:cstheme="minorHAnsi"/>
          <w:color w:val="000000"/>
          <w:lang w:val="cs-CZ"/>
        </w:rPr>
        <w:t>, tj.</w:t>
      </w:r>
      <w:r w:rsidR="001A3709">
        <w:rPr>
          <w:rFonts w:asciiTheme="minorHAnsi" w:hAnsiTheme="minorHAnsi" w:cstheme="minorHAnsi"/>
          <w:color w:val="000000"/>
          <w:lang w:val="cs-CZ"/>
        </w:rPr>
        <w:t xml:space="preserve"> </w:t>
      </w:r>
      <w:r w:rsidR="00454026">
        <w:rPr>
          <w:rFonts w:asciiTheme="minorHAnsi" w:hAnsiTheme="minorHAnsi" w:cstheme="minorHAnsi"/>
          <w:color w:val="000000"/>
          <w:lang w:val="cs-CZ"/>
        </w:rPr>
        <w:t xml:space="preserve">zejména </w:t>
      </w:r>
      <w:r w:rsidR="005D0258" w:rsidRPr="00D92ED2">
        <w:rPr>
          <w:rFonts w:asciiTheme="minorHAnsi" w:hAnsiTheme="minorHAnsi" w:cstheme="minorHAnsi"/>
          <w:color w:val="000000"/>
          <w:lang w:val="cs-CZ"/>
        </w:rPr>
        <w:t>v souladu s principy cílově orientovaného rozpočtování</w:t>
      </w:r>
      <w:r w:rsidR="00F80509">
        <w:rPr>
          <w:rFonts w:asciiTheme="minorHAnsi" w:hAnsiTheme="minorHAnsi" w:cstheme="minorHAnsi"/>
          <w:color w:val="000000"/>
          <w:lang w:val="cs-CZ"/>
        </w:rPr>
        <w:t>,</w:t>
      </w:r>
      <w:r w:rsidR="007E4351">
        <w:rPr>
          <w:rFonts w:asciiTheme="minorHAnsi" w:hAnsiTheme="minorHAnsi" w:cstheme="minorHAnsi"/>
          <w:color w:val="000000"/>
          <w:lang w:val="cs-CZ"/>
        </w:rPr>
        <w:t xml:space="preserve"> </w:t>
      </w:r>
      <w:r w:rsidR="00C93FEA">
        <w:rPr>
          <w:rFonts w:asciiTheme="minorHAnsi" w:hAnsiTheme="minorHAnsi" w:cstheme="minorHAnsi"/>
          <w:color w:val="000000"/>
          <w:lang w:val="cs-CZ"/>
        </w:rPr>
        <w:t>umožň</w:t>
      </w:r>
      <w:r w:rsidR="00A32991">
        <w:rPr>
          <w:rFonts w:asciiTheme="minorHAnsi" w:hAnsiTheme="minorHAnsi" w:cstheme="minorHAnsi"/>
          <w:color w:val="000000"/>
          <w:lang w:val="cs-CZ"/>
        </w:rPr>
        <w:t>uje</w:t>
      </w:r>
      <w:r w:rsidR="00C93FEA">
        <w:rPr>
          <w:rFonts w:asciiTheme="minorHAnsi" w:hAnsiTheme="minorHAnsi" w:cstheme="minorHAnsi"/>
          <w:color w:val="000000"/>
          <w:lang w:val="cs-CZ"/>
        </w:rPr>
        <w:t xml:space="preserve"> posouzení</w:t>
      </w:r>
      <w:r w:rsidR="00F80509">
        <w:rPr>
          <w:rFonts w:asciiTheme="minorHAnsi" w:hAnsiTheme="minorHAnsi" w:cstheme="minorHAnsi"/>
          <w:color w:val="000000"/>
          <w:lang w:val="cs-CZ"/>
        </w:rPr>
        <w:t xml:space="preserve"> účelnost</w:t>
      </w:r>
      <w:r w:rsidR="00A32991">
        <w:rPr>
          <w:rFonts w:asciiTheme="minorHAnsi" w:hAnsiTheme="minorHAnsi" w:cstheme="minorHAnsi"/>
          <w:color w:val="000000"/>
          <w:lang w:val="cs-CZ"/>
        </w:rPr>
        <w:t>i</w:t>
      </w:r>
      <w:r w:rsidR="00F80509">
        <w:rPr>
          <w:rFonts w:asciiTheme="minorHAnsi" w:hAnsiTheme="minorHAnsi" w:cstheme="minorHAnsi"/>
          <w:color w:val="000000"/>
          <w:lang w:val="cs-CZ"/>
        </w:rPr>
        <w:t xml:space="preserve"> a efektivnost</w:t>
      </w:r>
      <w:r w:rsidR="00A32991">
        <w:rPr>
          <w:rFonts w:asciiTheme="minorHAnsi" w:hAnsiTheme="minorHAnsi" w:cstheme="minorHAnsi"/>
          <w:color w:val="000000"/>
          <w:lang w:val="cs-CZ"/>
        </w:rPr>
        <w:t>i</w:t>
      </w:r>
      <w:r w:rsidR="00F80509">
        <w:rPr>
          <w:rFonts w:asciiTheme="minorHAnsi" w:hAnsiTheme="minorHAnsi" w:cstheme="minorHAnsi"/>
          <w:color w:val="000000"/>
          <w:lang w:val="cs-CZ"/>
        </w:rPr>
        <w:t xml:space="preserve"> </w:t>
      </w:r>
      <w:r w:rsidR="00C93FEA">
        <w:rPr>
          <w:rFonts w:asciiTheme="minorHAnsi" w:hAnsiTheme="minorHAnsi" w:cstheme="minorHAnsi"/>
          <w:color w:val="000000"/>
          <w:lang w:val="cs-CZ"/>
        </w:rPr>
        <w:t xml:space="preserve">plánovaných </w:t>
      </w:r>
      <w:r w:rsidR="00F80509">
        <w:rPr>
          <w:rFonts w:asciiTheme="minorHAnsi" w:hAnsiTheme="minorHAnsi" w:cstheme="minorHAnsi"/>
          <w:color w:val="000000"/>
          <w:lang w:val="cs-CZ"/>
        </w:rPr>
        <w:t>výdajů státního rozpočtu</w:t>
      </w:r>
      <w:r w:rsidR="00FE433E">
        <w:rPr>
          <w:rFonts w:asciiTheme="minorHAnsi" w:hAnsiTheme="minorHAnsi" w:cstheme="minorHAnsi"/>
          <w:color w:val="000000"/>
          <w:lang w:val="cs-CZ"/>
        </w:rPr>
        <w:t xml:space="preserve"> (dále také „SR“)</w:t>
      </w:r>
      <w:r w:rsidR="00F80509">
        <w:rPr>
          <w:rFonts w:asciiTheme="minorHAnsi" w:hAnsiTheme="minorHAnsi" w:cstheme="minorHAnsi"/>
          <w:color w:val="000000"/>
          <w:lang w:val="cs-CZ"/>
        </w:rPr>
        <w:t xml:space="preserve"> </w:t>
      </w:r>
      <w:r w:rsidR="00C93FEA">
        <w:rPr>
          <w:rFonts w:asciiTheme="minorHAnsi" w:hAnsiTheme="minorHAnsi" w:cstheme="minorHAnsi"/>
          <w:color w:val="000000"/>
          <w:lang w:val="cs-CZ"/>
        </w:rPr>
        <w:t xml:space="preserve">při </w:t>
      </w:r>
      <w:r w:rsidR="00A32991">
        <w:rPr>
          <w:rFonts w:asciiTheme="minorHAnsi" w:hAnsiTheme="minorHAnsi" w:cstheme="minorHAnsi"/>
          <w:color w:val="000000"/>
          <w:lang w:val="cs-CZ"/>
        </w:rPr>
        <w:t xml:space="preserve">jeho </w:t>
      </w:r>
      <w:r w:rsidR="00F80509">
        <w:rPr>
          <w:rFonts w:asciiTheme="minorHAnsi" w:hAnsiTheme="minorHAnsi" w:cstheme="minorHAnsi"/>
          <w:color w:val="000000"/>
          <w:lang w:val="cs-CZ"/>
        </w:rPr>
        <w:t>příprav</w:t>
      </w:r>
      <w:r w:rsidR="00561C20">
        <w:rPr>
          <w:rFonts w:asciiTheme="minorHAnsi" w:hAnsiTheme="minorHAnsi" w:cstheme="minorHAnsi"/>
          <w:color w:val="000000"/>
          <w:lang w:val="cs-CZ"/>
        </w:rPr>
        <w:t>ě</w:t>
      </w:r>
      <w:r w:rsidR="00F80509">
        <w:rPr>
          <w:rFonts w:asciiTheme="minorHAnsi" w:hAnsiTheme="minorHAnsi" w:cstheme="minorHAnsi"/>
          <w:color w:val="000000"/>
          <w:lang w:val="cs-CZ"/>
        </w:rPr>
        <w:t xml:space="preserve"> na příslušný rok, ale i </w:t>
      </w:r>
      <w:r w:rsidR="00B43A26">
        <w:rPr>
          <w:rFonts w:asciiTheme="minorHAnsi" w:hAnsiTheme="minorHAnsi" w:cstheme="minorHAnsi"/>
          <w:color w:val="000000"/>
          <w:lang w:val="cs-CZ"/>
        </w:rPr>
        <w:t xml:space="preserve">v </w:t>
      </w:r>
      <w:r w:rsidR="00F80509">
        <w:rPr>
          <w:rFonts w:asciiTheme="minorHAnsi" w:hAnsiTheme="minorHAnsi" w:cstheme="minorHAnsi"/>
          <w:color w:val="000000"/>
          <w:lang w:val="cs-CZ"/>
        </w:rPr>
        <w:t xml:space="preserve">horizontu střednědobého </w:t>
      </w:r>
      <w:r w:rsidR="00C93FEA">
        <w:rPr>
          <w:rFonts w:asciiTheme="minorHAnsi" w:hAnsiTheme="minorHAnsi" w:cstheme="minorHAnsi"/>
          <w:color w:val="000000"/>
          <w:lang w:val="cs-CZ"/>
        </w:rPr>
        <w:t xml:space="preserve">rozpočtového </w:t>
      </w:r>
      <w:r w:rsidR="00F80509">
        <w:rPr>
          <w:rFonts w:asciiTheme="minorHAnsi" w:hAnsiTheme="minorHAnsi" w:cstheme="minorHAnsi"/>
          <w:color w:val="000000"/>
          <w:lang w:val="cs-CZ"/>
        </w:rPr>
        <w:t>výhledu.</w:t>
      </w:r>
      <w:r w:rsidR="00DA176D">
        <w:rPr>
          <w:rFonts w:asciiTheme="minorHAnsi" w:hAnsiTheme="minorHAnsi" w:cstheme="minorHAnsi"/>
          <w:color w:val="000000"/>
          <w:lang w:val="cs-CZ"/>
        </w:rPr>
        <w:t xml:space="preserve"> </w:t>
      </w:r>
      <w:r w:rsidR="00C93FEA">
        <w:rPr>
          <w:rFonts w:asciiTheme="minorHAnsi" w:hAnsiTheme="minorHAnsi" w:cstheme="minorHAnsi"/>
          <w:color w:val="000000"/>
          <w:lang w:val="cs-CZ"/>
        </w:rPr>
        <w:t>Principy c</w:t>
      </w:r>
      <w:r w:rsidR="00DA176D">
        <w:rPr>
          <w:rFonts w:asciiTheme="minorHAnsi" w:hAnsiTheme="minorHAnsi" w:cstheme="minorHAnsi"/>
          <w:color w:val="000000"/>
          <w:lang w:val="cs-CZ"/>
        </w:rPr>
        <w:t>ílově orientované</w:t>
      </w:r>
      <w:r w:rsidR="00A32991">
        <w:rPr>
          <w:rFonts w:asciiTheme="minorHAnsi" w:hAnsiTheme="minorHAnsi" w:cstheme="minorHAnsi"/>
          <w:color w:val="000000"/>
          <w:lang w:val="cs-CZ"/>
        </w:rPr>
        <w:t>ho</w:t>
      </w:r>
      <w:r w:rsidR="00DA176D">
        <w:rPr>
          <w:rFonts w:asciiTheme="minorHAnsi" w:hAnsiTheme="minorHAnsi" w:cstheme="minorHAnsi"/>
          <w:color w:val="000000"/>
          <w:lang w:val="cs-CZ"/>
        </w:rPr>
        <w:t xml:space="preserve"> rozpočtování </w:t>
      </w:r>
      <w:r w:rsidR="00C93FEA">
        <w:rPr>
          <w:rFonts w:asciiTheme="minorHAnsi" w:hAnsiTheme="minorHAnsi" w:cstheme="minorHAnsi"/>
          <w:color w:val="000000"/>
          <w:lang w:val="cs-CZ"/>
        </w:rPr>
        <w:t>spočívají</w:t>
      </w:r>
      <w:r w:rsidR="007E4351">
        <w:rPr>
          <w:rFonts w:asciiTheme="minorHAnsi" w:hAnsiTheme="minorHAnsi" w:cstheme="minorHAnsi"/>
          <w:color w:val="000000"/>
          <w:lang w:val="cs-CZ"/>
        </w:rPr>
        <w:t xml:space="preserve"> </w:t>
      </w:r>
      <w:r w:rsidR="00C93FEA">
        <w:rPr>
          <w:rFonts w:asciiTheme="minorHAnsi" w:hAnsiTheme="minorHAnsi" w:cstheme="minorHAnsi"/>
          <w:color w:val="000000"/>
          <w:lang w:val="cs-CZ"/>
        </w:rPr>
        <w:t>v</w:t>
      </w:r>
      <w:r w:rsidR="00DA176D">
        <w:rPr>
          <w:rFonts w:asciiTheme="minorHAnsi" w:hAnsiTheme="minorHAnsi" w:cstheme="minorHAnsi"/>
          <w:color w:val="000000"/>
          <w:lang w:val="cs-CZ"/>
        </w:rPr>
        <w:t> definování cílového stavu</w:t>
      </w:r>
      <w:r w:rsidR="00A14311">
        <w:rPr>
          <w:rFonts w:asciiTheme="minorHAnsi" w:hAnsiTheme="minorHAnsi" w:cstheme="minorHAnsi"/>
          <w:color w:val="000000"/>
          <w:lang w:val="cs-CZ"/>
        </w:rPr>
        <w:t xml:space="preserve"> výdajových politik</w:t>
      </w:r>
      <w:r w:rsidR="00DA176D">
        <w:rPr>
          <w:rFonts w:asciiTheme="minorHAnsi" w:hAnsiTheme="minorHAnsi" w:cstheme="minorHAnsi"/>
          <w:color w:val="000000"/>
          <w:lang w:val="cs-CZ"/>
        </w:rPr>
        <w:t>,</w:t>
      </w:r>
      <w:r w:rsidR="004F28FD">
        <w:rPr>
          <w:rFonts w:asciiTheme="minorHAnsi" w:hAnsiTheme="minorHAnsi" w:cstheme="minorHAnsi"/>
          <w:color w:val="000000"/>
          <w:lang w:val="cs-CZ"/>
        </w:rPr>
        <w:t xml:space="preserve"> stanovení způsobu, kterým bude cílového stavu dosaženo</w:t>
      </w:r>
      <w:r w:rsidR="00D66489">
        <w:rPr>
          <w:rFonts w:asciiTheme="minorHAnsi" w:hAnsiTheme="minorHAnsi" w:cstheme="minorHAnsi"/>
          <w:color w:val="000000"/>
          <w:lang w:val="cs-CZ"/>
        </w:rPr>
        <w:t>,</w:t>
      </w:r>
      <w:r w:rsidR="004F28FD">
        <w:rPr>
          <w:rFonts w:asciiTheme="minorHAnsi" w:hAnsiTheme="minorHAnsi" w:cstheme="minorHAnsi"/>
          <w:color w:val="000000"/>
          <w:lang w:val="cs-CZ"/>
        </w:rPr>
        <w:t xml:space="preserve"> a určení peněžních prostředků na jeho realizaci</w:t>
      </w:r>
      <w:r w:rsidR="00C93FEA">
        <w:rPr>
          <w:rFonts w:asciiTheme="minorHAnsi" w:hAnsiTheme="minorHAnsi" w:cstheme="minorHAnsi"/>
          <w:color w:val="000000"/>
          <w:lang w:val="cs-CZ"/>
        </w:rPr>
        <w:t xml:space="preserve">. Cílově orientované rozpočtování </w:t>
      </w:r>
      <w:r w:rsidR="001A61AB">
        <w:rPr>
          <w:rFonts w:asciiTheme="minorHAnsi" w:hAnsiTheme="minorHAnsi" w:cstheme="minorHAnsi"/>
          <w:color w:val="000000"/>
          <w:lang w:val="cs-CZ"/>
        </w:rPr>
        <w:t>tak podává</w:t>
      </w:r>
      <w:r w:rsidR="007A7D63">
        <w:rPr>
          <w:rFonts w:asciiTheme="minorHAnsi" w:hAnsiTheme="minorHAnsi" w:cstheme="minorHAnsi"/>
          <w:color w:val="000000"/>
          <w:lang w:val="cs-CZ"/>
        </w:rPr>
        <w:t xml:space="preserve"> odpově</w:t>
      </w:r>
      <w:r w:rsidR="00A32991">
        <w:rPr>
          <w:rFonts w:asciiTheme="minorHAnsi" w:hAnsiTheme="minorHAnsi" w:cstheme="minorHAnsi"/>
          <w:color w:val="000000"/>
          <w:lang w:val="cs-CZ"/>
        </w:rPr>
        <w:t>ď</w:t>
      </w:r>
      <w:r w:rsidR="007A7D63">
        <w:rPr>
          <w:rFonts w:asciiTheme="minorHAnsi" w:hAnsiTheme="minorHAnsi" w:cstheme="minorHAnsi"/>
          <w:color w:val="000000"/>
          <w:lang w:val="cs-CZ"/>
        </w:rPr>
        <w:t xml:space="preserve"> na otázku </w:t>
      </w:r>
      <w:r w:rsidR="007A7D63" w:rsidRPr="00454026">
        <w:rPr>
          <w:rFonts w:asciiTheme="minorHAnsi" w:hAnsiTheme="minorHAnsi" w:cstheme="minorHAnsi"/>
          <w:i/>
          <w:color w:val="000000"/>
          <w:lang w:val="cs-CZ"/>
        </w:rPr>
        <w:t xml:space="preserve">„Čeho </w:t>
      </w:r>
      <w:r w:rsidR="00D66489" w:rsidRPr="00454026">
        <w:rPr>
          <w:rFonts w:asciiTheme="minorHAnsi" w:hAnsiTheme="minorHAnsi" w:cstheme="minorHAnsi"/>
          <w:i/>
          <w:color w:val="000000"/>
          <w:lang w:val="cs-CZ"/>
        </w:rPr>
        <w:t>chceme</w:t>
      </w:r>
      <w:r w:rsidR="007A7D63" w:rsidRPr="00454026">
        <w:rPr>
          <w:rFonts w:asciiTheme="minorHAnsi" w:hAnsiTheme="minorHAnsi" w:cstheme="minorHAnsi"/>
          <w:i/>
          <w:color w:val="000000"/>
          <w:lang w:val="cs-CZ"/>
        </w:rPr>
        <w:t xml:space="preserve"> dosáhnout, jak a </w:t>
      </w:r>
      <w:r w:rsidR="00D66489" w:rsidRPr="00454026">
        <w:rPr>
          <w:rFonts w:asciiTheme="minorHAnsi" w:hAnsiTheme="minorHAnsi" w:cstheme="minorHAnsi"/>
          <w:i/>
          <w:color w:val="000000"/>
          <w:lang w:val="cs-CZ"/>
        </w:rPr>
        <w:t>za kolik</w:t>
      </w:r>
      <w:r w:rsidR="007A7D63" w:rsidRPr="00454026">
        <w:rPr>
          <w:rFonts w:asciiTheme="minorHAnsi" w:hAnsiTheme="minorHAnsi" w:cstheme="minorHAnsi"/>
          <w:i/>
          <w:color w:val="000000"/>
          <w:lang w:val="cs-CZ"/>
        </w:rPr>
        <w:t>?“</w:t>
      </w:r>
      <w:r w:rsidR="004F28FD">
        <w:rPr>
          <w:rFonts w:asciiTheme="minorHAnsi" w:hAnsiTheme="minorHAnsi" w:cstheme="minorHAnsi"/>
          <w:color w:val="000000"/>
          <w:lang w:val="cs-CZ"/>
        </w:rPr>
        <w:t>.</w:t>
      </w:r>
      <w:r w:rsidR="00DA176D">
        <w:rPr>
          <w:rFonts w:asciiTheme="minorHAnsi" w:hAnsiTheme="minorHAnsi" w:cstheme="minorHAnsi"/>
          <w:color w:val="000000"/>
          <w:lang w:val="cs-CZ"/>
        </w:rPr>
        <w:t xml:space="preserve"> </w:t>
      </w:r>
      <w:r w:rsidR="00886758">
        <w:rPr>
          <w:rFonts w:asciiTheme="minorHAnsi" w:hAnsiTheme="minorHAnsi" w:cstheme="minorHAnsi"/>
          <w:color w:val="000000"/>
          <w:lang w:val="cs-CZ"/>
        </w:rPr>
        <w:t>N</w:t>
      </w:r>
      <w:r w:rsidR="004773BF" w:rsidRPr="007B159B">
        <w:rPr>
          <w:rFonts w:asciiTheme="minorHAnsi" w:hAnsiTheme="minorHAnsi" w:cstheme="minorHAnsi"/>
          <w:color w:val="000000"/>
          <w:lang w:val="cs-CZ"/>
        </w:rPr>
        <w:t>ástroj</w:t>
      </w:r>
      <w:r w:rsidR="004773BF">
        <w:rPr>
          <w:rFonts w:asciiTheme="minorHAnsi" w:hAnsiTheme="minorHAnsi" w:cstheme="minorHAnsi"/>
          <w:color w:val="000000"/>
          <w:lang w:val="cs-CZ"/>
        </w:rPr>
        <w:t>em</w:t>
      </w:r>
      <w:r w:rsidR="004773BF" w:rsidRPr="00D92ED2">
        <w:rPr>
          <w:rFonts w:asciiTheme="minorHAnsi" w:hAnsiTheme="minorHAnsi" w:cstheme="minorHAnsi"/>
          <w:color w:val="000000"/>
          <w:lang w:val="cs-CZ"/>
        </w:rPr>
        <w:t xml:space="preserve"> programového financování</w:t>
      </w:r>
      <w:r w:rsidR="004773BF" w:rsidRPr="00D92ED2" w:rsidDel="001A61AB">
        <w:rPr>
          <w:rFonts w:asciiTheme="minorHAnsi" w:hAnsiTheme="minorHAnsi" w:cstheme="minorHAnsi"/>
          <w:color w:val="000000"/>
          <w:lang w:val="cs-CZ"/>
        </w:rPr>
        <w:t xml:space="preserve"> </w:t>
      </w:r>
      <w:r w:rsidR="00521958">
        <w:rPr>
          <w:rFonts w:asciiTheme="minorHAnsi" w:hAnsiTheme="minorHAnsi" w:cstheme="minorHAnsi"/>
          <w:color w:val="000000"/>
          <w:lang w:val="cs-CZ"/>
        </w:rPr>
        <w:t xml:space="preserve">jsou </w:t>
      </w:r>
      <w:r w:rsidR="001A61AB">
        <w:rPr>
          <w:rFonts w:asciiTheme="minorHAnsi" w:hAnsiTheme="minorHAnsi" w:cstheme="minorHAnsi"/>
          <w:color w:val="000000"/>
          <w:lang w:val="cs-CZ"/>
        </w:rPr>
        <w:t>p</w:t>
      </w:r>
      <w:r w:rsidR="004450B9" w:rsidRPr="00D92ED2">
        <w:rPr>
          <w:rFonts w:asciiTheme="minorHAnsi" w:hAnsiTheme="minorHAnsi" w:cstheme="minorHAnsi"/>
          <w:color w:val="000000"/>
          <w:lang w:val="cs-CZ"/>
        </w:rPr>
        <w:t>rogramy</w:t>
      </w:r>
      <w:r w:rsidR="00063A97">
        <w:rPr>
          <w:rFonts w:asciiTheme="minorHAnsi" w:hAnsiTheme="minorHAnsi" w:cstheme="minorHAnsi"/>
          <w:color w:val="000000"/>
          <w:lang w:val="cs-CZ"/>
        </w:rPr>
        <w:t xml:space="preserve"> reprodukce majetku (dále také „programy“)</w:t>
      </w:r>
      <w:r w:rsidR="004773BF">
        <w:rPr>
          <w:rFonts w:asciiTheme="minorHAnsi" w:hAnsiTheme="minorHAnsi" w:cstheme="minorHAnsi"/>
          <w:color w:val="000000"/>
          <w:lang w:val="cs-CZ"/>
        </w:rPr>
        <w:t>.</w:t>
      </w:r>
      <w:r w:rsidR="001A61AB">
        <w:rPr>
          <w:rFonts w:asciiTheme="minorHAnsi" w:hAnsiTheme="minorHAnsi" w:cstheme="minorHAnsi"/>
          <w:color w:val="000000"/>
          <w:lang w:val="cs-CZ"/>
        </w:rPr>
        <w:t xml:space="preserve"> </w:t>
      </w:r>
      <w:r w:rsidR="004773BF">
        <w:rPr>
          <w:rFonts w:asciiTheme="minorHAnsi" w:hAnsiTheme="minorHAnsi" w:cstheme="minorHAnsi"/>
          <w:color w:val="000000"/>
          <w:lang w:val="cs-CZ"/>
        </w:rPr>
        <w:t>P</w:t>
      </w:r>
      <w:r w:rsidR="001A61AB">
        <w:rPr>
          <w:rFonts w:asciiTheme="minorHAnsi" w:hAnsiTheme="minorHAnsi" w:cstheme="minorHAnsi"/>
          <w:color w:val="000000"/>
          <w:lang w:val="cs-CZ"/>
        </w:rPr>
        <w:t>ředstavují</w:t>
      </w:r>
      <w:r w:rsidR="00994637" w:rsidRPr="00D92ED2">
        <w:rPr>
          <w:rFonts w:asciiTheme="minorHAnsi" w:hAnsiTheme="minorHAnsi" w:cstheme="minorHAnsi"/>
          <w:color w:val="000000"/>
          <w:lang w:val="cs-CZ"/>
        </w:rPr>
        <w:t xml:space="preserve"> </w:t>
      </w:r>
      <w:r w:rsidR="00406B58" w:rsidRPr="00D92ED2">
        <w:rPr>
          <w:rFonts w:asciiTheme="minorHAnsi" w:hAnsiTheme="minorHAnsi" w:cstheme="minorHAnsi"/>
          <w:color w:val="000000"/>
          <w:lang w:val="cs-CZ"/>
        </w:rPr>
        <w:t>soubor</w:t>
      </w:r>
      <w:r w:rsidR="00A922EB" w:rsidRPr="00D92ED2">
        <w:rPr>
          <w:rFonts w:asciiTheme="minorHAnsi" w:hAnsiTheme="minorHAnsi" w:cstheme="minorHAnsi"/>
          <w:color w:val="000000"/>
          <w:lang w:val="cs-CZ"/>
        </w:rPr>
        <w:t xml:space="preserve"> věcných, časových a </w:t>
      </w:r>
      <w:r w:rsidR="00406B58" w:rsidRPr="00D92ED2">
        <w:rPr>
          <w:rFonts w:asciiTheme="minorHAnsi" w:hAnsiTheme="minorHAnsi" w:cstheme="minorHAnsi"/>
          <w:color w:val="000000"/>
          <w:lang w:val="cs-CZ"/>
        </w:rPr>
        <w:t xml:space="preserve">finančních podmínek na pořízení nebo technické zhodnocení </w:t>
      </w:r>
      <w:r w:rsidR="00E05504" w:rsidRPr="00E05504">
        <w:rPr>
          <w:rFonts w:asciiTheme="minorHAnsi" w:hAnsiTheme="minorHAnsi" w:cstheme="minorHAnsi"/>
          <w:color w:val="000000"/>
          <w:lang w:val="cs-CZ"/>
        </w:rPr>
        <w:t xml:space="preserve">hmotného </w:t>
      </w:r>
      <w:r w:rsidR="00E05504">
        <w:rPr>
          <w:rFonts w:asciiTheme="minorHAnsi" w:hAnsiTheme="minorHAnsi" w:cstheme="minorHAnsi"/>
          <w:color w:val="000000"/>
          <w:lang w:val="cs-CZ"/>
        </w:rPr>
        <w:t xml:space="preserve">a nehmotného dlouhodobého </w:t>
      </w:r>
      <w:r w:rsidR="00406B58" w:rsidRPr="00D92ED2">
        <w:rPr>
          <w:rFonts w:asciiTheme="minorHAnsi" w:hAnsiTheme="minorHAnsi" w:cstheme="minorHAnsi"/>
          <w:color w:val="000000"/>
          <w:lang w:val="cs-CZ"/>
        </w:rPr>
        <w:t xml:space="preserve">majetku. </w:t>
      </w:r>
      <w:r w:rsidR="009E2C79" w:rsidRPr="00D92ED2">
        <w:rPr>
          <w:rFonts w:asciiTheme="minorHAnsi" w:hAnsiTheme="minorHAnsi" w:cstheme="minorHAnsi"/>
          <w:color w:val="000000"/>
          <w:lang w:val="cs-CZ"/>
        </w:rPr>
        <w:t>Program</w:t>
      </w:r>
      <w:r w:rsidR="003712C9">
        <w:rPr>
          <w:rFonts w:asciiTheme="minorHAnsi" w:hAnsiTheme="minorHAnsi" w:cstheme="minorHAnsi"/>
          <w:color w:val="000000"/>
          <w:lang w:val="cs-CZ"/>
        </w:rPr>
        <w:t>y</w:t>
      </w:r>
      <w:r w:rsidR="001105AB" w:rsidRPr="00D92ED2">
        <w:rPr>
          <w:rFonts w:asciiTheme="minorHAnsi" w:hAnsiTheme="minorHAnsi" w:cstheme="minorHAnsi"/>
          <w:color w:val="000000"/>
          <w:lang w:val="cs-CZ"/>
        </w:rPr>
        <w:t xml:space="preserve"> </w:t>
      </w:r>
      <w:r w:rsidR="009E2C79" w:rsidRPr="00D92ED2">
        <w:rPr>
          <w:rFonts w:asciiTheme="minorHAnsi" w:hAnsiTheme="minorHAnsi" w:cstheme="minorHAnsi"/>
          <w:color w:val="000000"/>
          <w:lang w:val="cs-CZ"/>
        </w:rPr>
        <w:t xml:space="preserve">se dále člení na podprogramy, které </w:t>
      </w:r>
      <w:r w:rsidR="00406B58" w:rsidRPr="00D92ED2">
        <w:rPr>
          <w:rFonts w:asciiTheme="minorHAnsi" w:hAnsiTheme="minorHAnsi" w:cstheme="minorHAnsi"/>
          <w:color w:val="000000"/>
          <w:lang w:val="cs-CZ"/>
        </w:rPr>
        <w:t>se skládají z</w:t>
      </w:r>
      <w:r w:rsidR="00DE6FBB">
        <w:rPr>
          <w:rFonts w:asciiTheme="minorHAnsi" w:hAnsiTheme="minorHAnsi" w:cstheme="minorHAnsi"/>
          <w:color w:val="000000"/>
          <w:lang w:val="cs-CZ"/>
        </w:rPr>
        <w:t> </w:t>
      </w:r>
      <w:r w:rsidR="009E2C79" w:rsidRPr="00D92ED2">
        <w:rPr>
          <w:rFonts w:asciiTheme="minorHAnsi" w:hAnsiTheme="minorHAnsi" w:cstheme="minorHAnsi"/>
          <w:color w:val="000000"/>
          <w:lang w:val="cs-CZ"/>
        </w:rPr>
        <w:t>jednotliv</w:t>
      </w:r>
      <w:r w:rsidR="00406B58" w:rsidRPr="00D92ED2">
        <w:rPr>
          <w:rFonts w:asciiTheme="minorHAnsi" w:hAnsiTheme="minorHAnsi" w:cstheme="minorHAnsi"/>
          <w:color w:val="000000"/>
          <w:lang w:val="cs-CZ"/>
        </w:rPr>
        <w:t>ých</w:t>
      </w:r>
      <w:r w:rsidR="009E2C79" w:rsidRPr="00D92ED2">
        <w:rPr>
          <w:rFonts w:asciiTheme="minorHAnsi" w:hAnsiTheme="minorHAnsi" w:cstheme="minorHAnsi"/>
          <w:color w:val="000000"/>
          <w:lang w:val="cs-CZ"/>
        </w:rPr>
        <w:t xml:space="preserve"> akc</w:t>
      </w:r>
      <w:r w:rsidR="00406B58" w:rsidRPr="00D92ED2">
        <w:rPr>
          <w:rFonts w:asciiTheme="minorHAnsi" w:hAnsiTheme="minorHAnsi" w:cstheme="minorHAnsi"/>
          <w:color w:val="000000"/>
          <w:lang w:val="cs-CZ"/>
        </w:rPr>
        <w:t>í</w:t>
      </w:r>
      <w:r w:rsidR="00655BC2" w:rsidRPr="00D92ED2">
        <w:rPr>
          <w:rFonts w:asciiTheme="minorHAnsi" w:hAnsiTheme="minorHAnsi" w:cstheme="minorHAnsi"/>
          <w:color w:val="000000"/>
          <w:lang w:val="cs-CZ"/>
        </w:rPr>
        <w:t>/projektů</w:t>
      </w:r>
      <w:r w:rsidR="009E2C79" w:rsidRPr="00D92ED2">
        <w:rPr>
          <w:rFonts w:asciiTheme="minorHAnsi" w:hAnsiTheme="minorHAnsi" w:cstheme="minorHAnsi"/>
          <w:color w:val="000000"/>
          <w:lang w:val="cs-CZ"/>
        </w:rPr>
        <w:t>.</w:t>
      </w:r>
      <w:r w:rsidR="00F80509">
        <w:rPr>
          <w:rFonts w:asciiTheme="minorHAnsi" w:hAnsiTheme="minorHAnsi" w:cstheme="minorHAnsi"/>
          <w:color w:val="000000"/>
          <w:lang w:val="cs-CZ"/>
        </w:rPr>
        <w:t xml:space="preserve"> </w:t>
      </w:r>
    </w:p>
    <w:p w14:paraId="074E40A0" w14:textId="77777777" w:rsidR="00362BC6" w:rsidRDefault="00362BC6" w:rsidP="00362BC6">
      <w:pPr>
        <w:jc w:val="both"/>
        <w:rPr>
          <w:rFonts w:asciiTheme="minorHAnsi" w:hAnsiTheme="minorHAnsi" w:cstheme="minorHAnsi"/>
          <w:color w:val="000000"/>
          <w:lang w:val="cs-CZ"/>
        </w:rPr>
      </w:pPr>
    </w:p>
    <w:p w14:paraId="6011EE6C" w14:textId="77777777" w:rsidR="00AA0471" w:rsidRDefault="00561C20" w:rsidP="00362BC6">
      <w:pPr>
        <w:jc w:val="both"/>
        <w:rPr>
          <w:rFonts w:asciiTheme="minorHAnsi" w:hAnsiTheme="minorHAnsi" w:cstheme="minorHAnsi"/>
          <w:color w:val="000000"/>
          <w:lang w:val="cs-CZ"/>
        </w:rPr>
      </w:pPr>
      <w:r>
        <w:rPr>
          <w:rFonts w:asciiTheme="minorHAnsi" w:hAnsiTheme="minorHAnsi" w:cstheme="minorHAnsi"/>
          <w:color w:val="000000"/>
          <w:lang w:val="cs-CZ"/>
        </w:rPr>
        <w:t xml:space="preserve">Pro efektivní fungování programového financování je klíčový </w:t>
      </w:r>
      <w:r w:rsidR="001105AB" w:rsidRPr="00D92ED2">
        <w:rPr>
          <w:rFonts w:asciiTheme="minorHAnsi" w:hAnsiTheme="minorHAnsi" w:cstheme="minorHAnsi"/>
          <w:color w:val="000000"/>
          <w:lang w:val="cs-CZ"/>
        </w:rPr>
        <w:t xml:space="preserve">informační systém </w:t>
      </w:r>
      <w:r w:rsidR="001105AB" w:rsidRPr="00705103">
        <w:rPr>
          <w:rFonts w:asciiTheme="minorHAnsi" w:hAnsiTheme="minorHAnsi" w:cstheme="minorHAnsi"/>
          <w:b/>
          <w:color w:val="000000"/>
          <w:lang w:val="cs-CZ"/>
        </w:rPr>
        <w:t>Evidenční dotační systém</w:t>
      </w:r>
      <w:r w:rsidR="00CF42E3">
        <w:rPr>
          <w:rFonts w:asciiTheme="minorHAnsi" w:hAnsiTheme="minorHAnsi" w:cstheme="minorHAnsi"/>
          <w:b/>
          <w:color w:val="000000"/>
          <w:lang w:val="cs-CZ"/>
        </w:rPr>
        <w:t xml:space="preserve"> </w:t>
      </w:r>
      <w:r w:rsidR="00CF42E3">
        <w:rPr>
          <w:rFonts w:asciiTheme="minorHAnsi" w:hAnsiTheme="minorHAnsi" w:cstheme="minorHAnsi"/>
          <w:color w:val="000000"/>
          <w:lang w:val="cs-CZ"/>
        </w:rPr>
        <w:t>(dále také „</w:t>
      </w:r>
      <w:r w:rsidR="00CF42E3" w:rsidRPr="00A6263F">
        <w:rPr>
          <w:rFonts w:asciiTheme="minorHAnsi" w:hAnsiTheme="minorHAnsi" w:cstheme="minorHAnsi"/>
          <w:b/>
          <w:color w:val="000000"/>
          <w:lang w:val="cs-CZ"/>
        </w:rPr>
        <w:t>IS EDS</w:t>
      </w:r>
      <w:r w:rsidR="00CF42E3">
        <w:rPr>
          <w:rFonts w:asciiTheme="minorHAnsi" w:hAnsiTheme="minorHAnsi" w:cstheme="minorHAnsi"/>
          <w:color w:val="000000"/>
          <w:lang w:val="cs-CZ"/>
        </w:rPr>
        <w:t xml:space="preserve">“) a </w:t>
      </w:r>
      <w:r w:rsidR="00CF42E3" w:rsidRPr="00A6263F">
        <w:rPr>
          <w:rFonts w:asciiTheme="minorHAnsi" w:hAnsiTheme="minorHAnsi" w:cstheme="minorHAnsi"/>
          <w:b/>
          <w:color w:val="000000"/>
          <w:lang w:val="cs-CZ"/>
        </w:rPr>
        <w:t>Správa majetku ve vlastnictví státu</w:t>
      </w:r>
      <w:r w:rsidR="00CF42E3">
        <w:rPr>
          <w:rFonts w:asciiTheme="minorHAnsi" w:hAnsiTheme="minorHAnsi" w:cstheme="minorHAnsi"/>
          <w:color w:val="000000"/>
          <w:lang w:val="cs-CZ"/>
        </w:rPr>
        <w:t xml:space="preserve"> (dále také „</w:t>
      </w:r>
      <w:r w:rsidR="00FF7220">
        <w:rPr>
          <w:rFonts w:asciiTheme="minorHAnsi" w:hAnsiTheme="minorHAnsi" w:cstheme="minorHAnsi"/>
          <w:b/>
          <w:color w:val="000000"/>
          <w:lang w:val="cs-CZ"/>
        </w:rPr>
        <w:t>IS </w:t>
      </w:r>
      <w:r w:rsidR="00CF42E3" w:rsidRPr="00A6263F">
        <w:rPr>
          <w:rFonts w:asciiTheme="minorHAnsi" w:hAnsiTheme="minorHAnsi" w:cstheme="minorHAnsi"/>
          <w:b/>
          <w:color w:val="000000"/>
          <w:lang w:val="cs-CZ"/>
        </w:rPr>
        <w:t>SMVS</w:t>
      </w:r>
      <w:r w:rsidR="00CF42E3">
        <w:rPr>
          <w:rFonts w:asciiTheme="minorHAnsi" w:hAnsiTheme="minorHAnsi" w:cstheme="minorHAnsi"/>
          <w:color w:val="000000"/>
          <w:lang w:val="cs-CZ"/>
        </w:rPr>
        <w:t>“)</w:t>
      </w:r>
      <w:r w:rsidR="006415D1" w:rsidRPr="00D92ED2">
        <w:rPr>
          <w:rStyle w:val="Znakapoznpodarou"/>
          <w:rFonts w:asciiTheme="minorHAnsi" w:hAnsiTheme="minorHAnsi" w:cstheme="minorHAnsi"/>
          <w:color w:val="000000"/>
          <w:lang w:val="cs-CZ"/>
        </w:rPr>
        <w:footnoteReference w:id="2"/>
      </w:r>
      <w:r w:rsidR="00CA4BE4">
        <w:rPr>
          <w:rFonts w:asciiTheme="minorHAnsi" w:hAnsiTheme="minorHAnsi" w:cstheme="minorHAnsi"/>
          <w:color w:val="000000"/>
          <w:lang w:val="cs-CZ"/>
        </w:rPr>
        <w:t xml:space="preserve">, </w:t>
      </w:r>
      <w:r>
        <w:rPr>
          <w:rFonts w:asciiTheme="minorHAnsi" w:hAnsiTheme="minorHAnsi" w:cstheme="minorHAnsi"/>
          <w:color w:val="000000"/>
          <w:lang w:val="cs-CZ"/>
        </w:rPr>
        <w:t>v němž se evidují data o jednotlivých akcí</w:t>
      </w:r>
      <w:r w:rsidR="00F12650">
        <w:rPr>
          <w:rFonts w:asciiTheme="minorHAnsi" w:hAnsiTheme="minorHAnsi" w:cstheme="minorHAnsi"/>
          <w:color w:val="000000"/>
          <w:lang w:val="cs-CZ"/>
        </w:rPr>
        <w:t>ch</w:t>
      </w:r>
      <w:r>
        <w:rPr>
          <w:rFonts w:asciiTheme="minorHAnsi" w:hAnsiTheme="minorHAnsi" w:cstheme="minorHAnsi"/>
          <w:color w:val="000000"/>
          <w:lang w:val="cs-CZ"/>
        </w:rPr>
        <w:t>/projektech</w:t>
      </w:r>
      <w:r w:rsidR="00CF42E3">
        <w:rPr>
          <w:rFonts w:asciiTheme="minorHAnsi" w:hAnsiTheme="minorHAnsi" w:cstheme="minorHAnsi"/>
          <w:color w:val="000000"/>
          <w:lang w:val="cs-CZ"/>
        </w:rPr>
        <w:t>.</w:t>
      </w:r>
      <w:r w:rsidR="002702C6">
        <w:rPr>
          <w:rFonts w:asciiTheme="minorHAnsi" w:hAnsiTheme="minorHAnsi" w:cstheme="minorHAnsi"/>
          <w:color w:val="000000"/>
          <w:lang w:val="cs-CZ"/>
        </w:rPr>
        <w:t xml:space="preserve"> </w:t>
      </w:r>
      <w:r w:rsidR="00CF42E3">
        <w:rPr>
          <w:rFonts w:asciiTheme="minorHAnsi" w:hAnsiTheme="minorHAnsi" w:cstheme="minorHAnsi"/>
          <w:color w:val="000000"/>
          <w:lang w:val="cs-CZ"/>
        </w:rPr>
        <w:t xml:space="preserve">IS EDS </w:t>
      </w:r>
      <w:r w:rsidR="007E4351">
        <w:rPr>
          <w:rFonts w:asciiTheme="minorHAnsi" w:hAnsiTheme="minorHAnsi" w:cstheme="minorHAnsi"/>
          <w:color w:val="000000"/>
          <w:lang w:val="cs-CZ"/>
        </w:rPr>
        <w:t xml:space="preserve">by měl </w:t>
      </w:r>
      <w:r w:rsidR="00A653B5">
        <w:rPr>
          <w:rFonts w:asciiTheme="minorHAnsi" w:hAnsiTheme="minorHAnsi" w:cstheme="minorHAnsi"/>
          <w:color w:val="000000"/>
          <w:lang w:val="cs-CZ"/>
        </w:rPr>
        <w:t>evid</w:t>
      </w:r>
      <w:r w:rsidR="007E4351">
        <w:rPr>
          <w:rFonts w:asciiTheme="minorHAnsi" w:hAnsiTheme="minorHAnsi" w:cstheme="minorHAnsi"/>
          <w:color w:val="000000"/>
          <w:lang w:val="cs-CZ"/>
        </w:rPr>
        <w:t>ovat</w:t>
      </w:r>
      <w:r w:rsidR="00521958">
        <w:rPr>
          <w:rFonts w:asciiTheme="minorHAnsi" w:hAnsiTheme="minorHAnsi" w:cstheme="minorHAnsi"/>
          <w:color w:val="000000"/>
          <w:lang w:val="cs-CZ"/>
        </w:rPr>
        <w:t xml:space="preserve"> a </w:t>
      </w:r>
      <w:r w:rsidR="00A653B5">
        <w:rPr>
          <w:rFonts w:asciiTheme="minorHAnsi" w:hAnsiTheme="minorHAnsi" w:cstheme="minorHAnsi"/>
          <w:color w:val="000000"/>
          <w:lang w:val="cs-CZ"/>
        </w:rPr>
        <w:t>říd</w:t>
      </w:r>
      <w:r w:rsidR="007E4351">
        <w:rPr>
          <w:rFonts w:asciiTheme="minorHAnsi" w:hAnsiTheme="minorHAnsi" w:cstheme="minorHAnsi"/>
          <w:color w:val="000000"/>
          <w:lang w:val="cs-CZ"/>
        </w:rPr>
        <w:t>it</w:t>
      </w:r>
      <w:r w:rsidR="00A653B5">
        <w:rPr>
          <w:rFonts w:asciiTheme="minorHAnsi" w:hAnsiTheme="minorHAnsi" w:cstheme="minorHAnsi"/>
          <w:color w:val="000000"/>
          <w:lang w:val="cs-CZ"/>
        </w:rPr>
        <w:t xml:space="preserve"> </w:t>
      </w:r>
      <w:r w:rsidR="003968D3">
        <w:rPr>
          <w:rFonts w:asciiTheme="minorHAnsi" w:hAnsiTheme="minorHAnsi" w:cstheme="minorHAnsi"/>
          <w:color w:val="000000"/>
          <w:lang w:val="cs-CZ"/>
        </w:rPr>
        <w:t>poskyt</w:t>
      </w:r>
      <w:r w:rsidR="00693B6E">
        <w:rPr>
          <w:rFonts w:asciiTheme="minorHAnsi" w:hAnsiTheme="minorHAnsi" w:cstheme="minorHAnsi"/>
          <w:color w:val="000000"/>
          <w:lang w:val="cs-CZ"/>
        </w:rPr>
        <w:t>ování</w:t>
      </w:r>
      <w:r w:rsidR="003968D3">
        <w:rPr>
          <w:rFonts w:asciiTheme="minorHAnsi" w:hAnsiTheme="minorHAnsi" w:cstheme="minorHAnsi"/>
          <w:color w:val="000000"/>
          <w:lang w:val="cs-CZ"/>
        </w:rPr>
        <w:t xml:space="preserve"> </w:t>
      </w:r>
      <w:r w:rsidR="00A653B5">
        <w:rPr>
          <w:rFonts w:asciiTheme="minorHAnsi" w:hAnsiTheme="minorHAnsi" w:cstheme="minorHAnsi"/>
          <w:color w:val="000000"/>
          <w:lang w:val="cs-CZ"/>
        </w:rPr>
        <w:t>návratn</w:t>
      </w:r>
      <w:r w:rsidR="00693B6E">
        <w:rPr>
          <w:rFonts w:asciiTheme="minorHAnsi" w:hAnsiTheme="minorHAnsi" w:cstheme="minorHAnsi"/>
          <w:color w:val="000000"/>
          <w:lang w:val="cs-CZ"/>
        </w:rPr>
        <w:t>ých</w:t>
      </w:r>
      <w:r w:rsidR="00A653B5">
        <w:rPr>
          <w:rFonts w:asciiTheme="minorHAnsi" w:hAnsiTheme="minorHAnsi" w:cstheme="minorHAnsi"/>
          <w:color w:val="000000"/>
          <w:lang w:val="cs-CZ"/>
        </w:rPr>
        <w:t xml:space="preserve"> finanční</w:t>
      </w:r>
      <w:r w:rsidR="00693B6E">
        <w:rPr>
          <w:rFonts w:asciiTheme="minorHAnsi" w:hAnsiTheme="minorHAnsi" w:cstheme="minorHAnsi"/>
          <w:color w:val="000000"/>
          <w:lang w:val="cs-CZ"/>
        </w:rPr>
        <w:t>ch</w:t>
      </w:r>
      <w:r w:rsidR="00A653B5">
        <w:rPr>
          <w:rFonts w:asciiTheme="minorHAnsi" w:hAnsiTheme="minorHAnsi" w:cstheme="minorHAnsi"/>
          <w:color w:val="000000"/>
          <w:lang w:val="cs-CZ"/>
        </w:rPr>
        <w:t xml:space="preserve"> výpomoc</w:t>
      </w:r>
      <w:r w:rsidR="00693B6E">
        <w:rPr>
          <w:rFonts w:asciiTheme="minorHAnsi" w:hAnsiTheme="minorHAnsi" w:cstheme="minorHAnsi"/>
          <w:color w:val="000000"/>
          <w:lang w:val="cs-CZ"/>
        </w:rPr>
        <w:t>í</w:t>
      </w:r>
      <w:r w:rsidR="003968D3">
        <w:rPr>
          <w:rFonts w:asciiTheme="minorHAnsi" w:hAnsiTheme="minorHAnsi" w:cstheme="minorHAnsi"/>
          <w:color w:val="000000"/>
          <w:lang w:val="cs-CZ"/>
        </w:rPr>
        <w:t xml:space="preserve"> a dotac</w:t>
      </w:r>
      <w:r w:rsidR="00693B6E">
        <w:rPr>
          <w:rFonts w:asciiTheme="minorHAnsi" w:hAnsiTheme="minorHAnsi" w:cstheme="minorHAnsi"/>
          <w:color w:val="000000"/>
          <w:lang w:val="cs-CZ"/>
        </w:rPr>
        <w:t xml:space="preserve">í </w:t>
      </w:r>
      <w:r w:rsidR="00693B6E" w:rsidRPr="00693B6E">
        <w:rPr>
          <w:rFonts w:asciiTheme="minorHAnsi" w:hAnsiTheme="minorHAnsi" w:cstheme="minorHAnsi"/>
          <w:color w:val="000000"/>
          <w:lang w:val="cs-CZ"/>
        </w:rPr>
        <w:t xml:space="preserve">ze </w:t>
      </w:r>
      <w:r w:rsidR="007E4351">
        <w:rPr>
          <w:rFonts w:asciiTheme="minorHAnsi" w:hAnsiTheme="minorHAnsi" w:cstheme="minorHAnsi"/>
          <w:color w:val="000000"/>
          <w:lang w:val="cs-CZ"/>
        </w:rPr>
        <w:t>SR</w:t>
      </w:r>
      <w:r w:rsidR="00693B6E" w:rsidRPr="00693B6E">
        <w:rPr>
          <w:rFonts w:asciiTheme="minorHAnsi" w:hAnsiTheme="minorHAnsi" w:cstheme="minorHAnsi"/>
          <w:color w:val="000000"/>
          <w:lang w:val="cs-CZ"/>
        </w:rPr>
        <w:t xml:space="preserve"> na pořízení nebo technické zhodnocení dlouhodobého hmotného a nehmotného majetku</w:t>
      </w:r>
      <w:r w:rsidR="00A653B5">
        <w:rPr>
          <w:rFonts w:asciiTheme="minorHAnsi" w:hAnsiTheme="minorHAnsi" w:cstheme="minorHAnsi"/>
          <w:color w:val="000000"/>
          <w:lang w:val="cs-CZ"/>
        </w:rPr>
        <w:t xml:space="preserve"> </w:t>
      </w:r>
      <w:r w:rsidR="00EC4C5A">
        <w:rPr>
          <w:rFonts w:asciiTheme="minorHAnsi" w:hAnsiTheme="minorHAnsi" w:cstheme="minorHAnsi"/>
          <w:color w:val="000000"/>
          <w:lang w:val="cs-CZ"/>
        </w:rPr>
        <w:t xml:space="preserve">jiným </w:t>
      </w:r>
      <w:r w:rsidR="00EC4C5A" w:rsidRPr="00EC4C5A">
        <w:rPr>
          <w:rFonts w:asciiTheme="minorHAnsi" w:hAnsiTheme="minorHAnsi" w:cstheme="minorHAnsi"/>
          <w:color w:val="000000"/>
          <w:lang w:val="cs-CZ"/>
        </w:rPr>
        <w:t xml:space="preserve">subjektům než </w:t>
      </w:r>
      <w:r w:rsidR="00522EFD">
        <w:rPr>
          <w:rFonts w:asciiTheme="minorHAnsi" w:hAnsiTheme="minorHAnsi" w:cstheme="minorHAnsi"/>
          <w:color w:val="000000"/>
          <w:lang w:val="cs-CZ"/>
        </w:rPr>
        <w:t>organizačním složkám státu a jimi zřízeným příspěvkovým organizacím</w:t>
      </w:r>
      <w:r w:rsidR="00693B6E" w:rsidRPr="00A512AE">
        <w:rPr>
          <w:rFonts w:asciiTheme="minorHAnsi" w:hAnsiTheme="minorHAnsi" w:cstheme="minorHAnsi"/>
          <w:color w:val="000000"/>
          <w:lang w:val="cs-CZ"/>
        </w:rPr>
        <w:t xml:space="preserve">. </w:t>
      </w:r>
      <w:r w:rsidR="003968D3" w:rsidRPr="00A512AE">
        <w:rPr>
          <w:rFonts w:asciiTheme="minorHAnsi" w:hAnsiTheme="minorHAnsi" w:cstheme="minorHAnsi"/>
          <w:color w:val="000000"/>
          <w:lang w:val="cs-CZ"/>
        </w:rPr>
        <w:t>IS SMVS</w:t>
      </w:r>
      <w:r w:rsidR="003968D3">
        <w:rPr>
          <w:rFonts w:asciiTheme="minorHAnsi" w:hAnsiTheme="minorHAnsi" w:cstheme="minorHAnsi"/>
          <w:color w:val="000000"/>
          <w:lang w:val="cs-CZ"/>
        </w:rPr>
        <w:t xml:space="preserve"> </w:t>
      </w:r>
      <w:r w:rsidR="007E4351">
        <w:rPr>
          <w:rFonts w:asciiTheme="minorHAnsi" w:hAnsiTheme="minorHAnsi" w:cstheme="minorHAnsi"/>
          <w:color w:val="000000"/>
          <w:lang w:val="cs-CZ"/>
        </w:rPr>
        <w:t xml:space="preserve">by měl </w:t>
      </w:r>
      <w:r w:rsidR="00693B6E" w:rsidRPr="00693B6E">
        <w:rPr>
          <w:rFonts w:asciiTheme="minorHAnsi" w:hAnsiTheme="minorHAnsi" w:cstheme="minorHAnsi"/>
          <w:color w:val="000000"/>
          <w:lang w:val="cs-CZ"/>
        </w:rPr>
        <w:t>říd</w:t>
      </w:r>
      <w:r w:rsidR="007E4351">
        <w:rPr>
          <w:rFonts w:asciiTheme="minorHAnsi" w:hAnsiTheme="minorHAnsi" w:cstheme="minorHAnsi"/>
          <w:color w:val="000000"/>
          <w:lang w:val="cs-CZ"/>
        </w:rPr>
        <w:t>it</w:t>
      </w:r>
      <w:r w:rsidR="00693B6E" w:rsidRPr="00693B6E">
        <w:rPr>
          <w:rFonts w:asciiTheme="minorHAnsi" w:hAnsiTheme="minorHAnsi" w:cstheme="minorHAnsi"/>
          <w:color w:val="000000"/>
          <w:lang w:val="cs-CZ"/>
        </w:rPr>
        <w:t xml:space="preserve"> poskytování prostředků ze </w:t>
      </w:r>
      <w:r w:rsidR="007E4351">
        <w:rPr>
          <w:rFonts w:asciiTheme="minorHAnsi" w:hAnsiTheme="minorHAnsi" w:cstheme="minorHAnsi"/>
          <w:color w:val="000000"/>
          <w:lang w:val="cs-CZ"/>
        </w:rPr>
        <w:t>SR</w:t>
      </w:r>
      <w:r w:rsidR="00693B6E" w:rsidRPr="00693B6E">
        <w:rPr>
          <w:rFonts w:asciiTheme="minorHAnsi" w:hAnsiTheme="minorHAnsi" w:cstheme="minorHAnsi"/>
          <w:color w:val="000000"/>
          <w:lang w:val="cs-CZ"/>
        </w:rPr>
        <w:t xml:space="preserve"> na pořízení nebo </w:t>
      </w:r>
      <w:r w:rsidR="00521958">
        <w:rPr>
          <w:rFonts w:asciiTheme="minorHAnsi" w:hAnsiTheme="minorHAnsi" w:cstheme="minorHAnsi"/>
          <w:color w:val="000000"/>
          <w:lang w:val="cs-CZ"/>
        </w:rPr>
        <w:t>technické zhodnocení hmotného a </w:t>
      </w:r>
      <w:r w:rsidR="00693B6E" w:rsidRPr="00693B6E">
        <w:rPr>
          <w:rFonts w:asciiTheme="minorHAnsi" w:hAnsiTheme="minorHAnsi" w:cstheme="minorHAnsi"/>
          <w:color w:val="000000"/>
          <w:lang w:val="cs-CZ"/>
        </w:rPr>
        <w:t>nehmotného dlouhodobého majetku státu</w:t>
      </w:r>
      <w:r w:rsidR="00586F4D">
        <w:rPr>
          <w:rFonts w:asciiTheme="minorHAnsi" w:hAnsiTheme="minorHAnsi" w:cstheme="minorHAnsi"/>
          <w:color w:val="000000"/>
          <w:lang w:val="cs-CZ"/>
        </w:rPr>
        <w:t xml:space="preserve"> (</w:t>
      </w:r>
      <w:r w:rsidR="00693B6E">
        <w:rPr>
          <w:rFonts w:asciiTheme="minorHAnsi" w:hAnsiTheme="minorHAnsi" w:cstheme="minorHAnsi"/>
          <w:color w:val="000000"/>
          <w:lang w:val="cs-CZ"/>
        </w:rPr>
        <w:t>na rozdíl od IS EDS</w:t>
      </w:r>
      <w:r w:rsidR="00522EFD">
        <w:rPr>
          <w:rFonts w:asciiTheme="minorHAnsi" w:hAnsiTheme="minorHAnsi" w:cstheme="minorHAnsi"/>
          <w:color w:val="000000"/>
          <w:lang w:val="cs-CZ"/>
        </w:rPr>
        <w:t xml:space="preserve"> </w:t>
      </w:r>
      <w:r w:rsidR="007E4351">
        <w:rPr>
          <w:rFonts w:asciiTheme="minorHAnsi" w:hAnsiTheme="minorHAnsi" w:cstheme="minorHAnsi"/>
          <w:color w:val="000000"/>
          <w:lang w:val="cs-CZ"/>
        </w:rPr>
        <w:t xml:space="preserve">by měl </w:t>
      </w:r>
      <w:r w:rsidR="003968D3">
        <w:rPr>
          <w:rFonts w:asciiTheme="minorHAnsi" w:hAnsiTheme="minorHAnsi" w:cstheme="minorHAnsi"/>
          <w:color w:val="000000"/>
          <w:lang w:val="cs-CZ"/>
        </w:rPr>
        <w:t>říd</w:t>
      </w:r>
      <w:r w:rsidR="007E4351">
        <w:rPr>
          <w:rFonts w:asciiTheme="minorHAnsi" w:hAnsiTheme="minorHAnsi" w:cstheme="minorHAnsi"/>
          <w:color w:val="000000"/>
          <w:lang w:val="cs-CZ"/>
        </w:rPr>
        <w:t>it</w:t>
      </w:r>
      <w:r w:rsidR="003968D3">
        <w:rPr>
          <w:rFonts w:asciiTheme="minorHAnsi" w:hAnsiTheme="minorHAnsi" w:cstheme="minorHAnsi"/>
          <w:color w:val="000000"/>
          <w:lang w:val="cs-CZ"/>
        </w:rPr>
        <w:t xml:space="preserve"> prostředky </w:t>
      </w:r>
      <w:r w:rsidR="00586F4D">
        <w:rPr>
          <w:rFonts w:asciiTheme="minorHAnsi" w:hAnsiTheme="minorHAnsi" w:cstheme="minorHAnsi"/>
          <w:color w:val="000000"/>
          <w:lang w:val="cs-CZ"/>
        </w:rPr>
        <w:t xml:space="preserve">poskytnuté </w:t>
      </w:r>
      <w:r w:rsidR="00E05504" w:rsidRPr="00E05504">
        <w:rPr>
          <w:rFonts w:asciiTheme="minorHAnsi" w:hAnsiTheme="minorHAnsi" w:cstheme="minorHAnsi"/>
          <w:color w:val="000000"/>
          <w:lang w:val="cs-CZ"/>
        </w:rPr>
        <w:t>organizačním složkám státu a jim</w:t>
      </w:r>
      <w:r w:rsidR="006415D1">
        <w:rPr>
          <w:rFonts w:asciiTheme="minorHAnsi" w:hAnsiTheme="minorHAnsi" w:cstheme="minorHAnsi"/>
          <w:color w:val="000000"/>
          <w:lang w:val="cs-CZ"/>
        </w:rPr>
        <w:t>i</w:t>
      </w:r>
      <w:r w:rsidR="00E05504" w:rsidRPr="00E05504">
        <w:rPr>
          <w:rFonts w:asciiTheme="minorHAnsi" w:hAnsiTheme="minorHAnsi" w:cstheme="minorHAnsi"/>
          <w:color w:val="000000"/>
          <w:lang w:val="cs-CZ"/>
        </w:rPr>
        <w:t xml:space="preserve"> zřízeným příspěvkovým organizacím</w:t>
      </w:r>
      <w:r w:rsidR="00586F4D">
        <w:rPr>
          <w:rFonts w:asciiTheme="minorHAnsi" w:hAnsiTheme="minorHAnsi" w:cstheme="minorHAnsi"/>
          <w:color w:val="000000"/>
          <w:lang w:val="cs-CZ"/>
        </w:rPr>
        <w:t>)</w:t>
      </w:r>
      <w:r w:rsidR="001105AB" w:rsidRPr="00D92ED2">
        <w:rPr>
          <w:rFonts w:asciiTheme="minorHAnsi" w:hAnsiTheme="minorHAnsi" w:cstheme="minorHAnsi"/>
          <w:color w:val="000000"/>
          <w:lang w:val="cs-CZ"/>
        </w:rPr>
        <w:t>.</w:t>
      </w:r>
    </w:p>
    <w:p w14:paraId="2AF49D32" w14:textId="77777777" w:rsidR="00362BC6" w:rsidRDefault="00362BC6" w:rsidP="00362BC6">
      <w:pPr>
        <w:jc w:val="both"/>
        <w:rPr>
          <w:rFonts w:asciiTheme="minorHAnsi" w:hAnsiTheme="minorHAnsi" w:cstheme="minorHAnsi"/>
          <w:color w:val="000000"/>
          <w:lang w:val="cs-CZ"/>
        </w:rPr>
      </w:pPr>
    </w:p>
    <w:p w14:paraId="053F5997" w14:textId="77777777" w:rsidR="00586F4D" w:rsidRDefault="00B43A26" w:rsidP="00362BC6">
      <w:pPr>
        <w:jc w:val="both"/>
        <w:rPr>
          <w:rFonts w:asciiTheme="minorHAnsi" w:hAnsiTheme="minorHAnsi" w:cstheme="minorHAnsi"/>
          <w:color w:val="000000"/>
          <w:lang w:val="cs-CZ"/>
        </w:rPr>
      </w:pPr>
      <w:r>
        <w:rPr>
          <w:rFonts w:asciiTheme="minorHAnsi" w:hAnsiTheme="minorHAnsi" w:cstheme="minorHAnsi"/>
          <w:color w:val="000000"/>
          <w:lang w:val="cs-CZ"/>
        </w:rPr>
        <w:t>V</w:t>
      </w:r>
      <w:r w:rsidR="00CA7ED3">
        <w:rPr>
          <w:rFonts w:asciiTheme="minorHAnsi" w:hAnsiTheme="minorHAnsi" w:cstheme="minorHAnsi"/>
          <w:color w:val="000000"/>
          <w:lang w:val="cs-CZ"/>
        </w:rPr>
        <w:t xml:space="preserve"> IS EDS/SMVS se mají evidovat měřitelné věcné, časové a finanční podmínky jednotlivých akcí (projektů). Pro sledování věcných podmínek </w:t>
      </w:r>
      <w:r w:rsidR="00D662C1">
        <w:rPr>
          <w:rFonts w:asciiTheme="minorHAnsi" w:hAnsiTheme="minorHAnsi" w:cstheme="minorHAnsi"/>
          <w:color w:val="000000"/>
          <w:lang w:val="cs-CZ"/>
        </w:rPr>
        <w:t xml:space="preserve">mají sloužit cíle, indikátory a </w:t>
      </w:r>
      <w:r w:rsidR="00FF7220">
        <w:rPr>
          <w:rFonts w:asciiTheme="minorHAnsi" w:hAnsiTheme="minorHAnsi" w:cstheme="minorHAnsi"/>
          <w:color w:val="000000"/>
          <w:lang w:val="cs-CZ"/>
        </w:rPr>
        <w:t>parametry. Pro</w:t>
      </w:r>
      <w:r w:rsidR="00701D3A">
        <w:rPr>
          <w:rFonts w:asciiTheme="minorHAnsi" w:hAnsiTheme="minorHAnsi" w:cstheme="minorHAnsi"/>
          <w:color w:val="000000"/>
          <w:lang w:val="cs-CZ"/>
        </w:rPr>
        <w:t xml:space="preserve"> </w:t>
      </w:r>
      <w:r w:rsidR="00D662C1">
        <w:rPr>
          <w:rFonts w:asciiTheme="minorHAnsi" w:hAnsiTheme="minorHAnsi" w:cstheme="minorHAnsi"/>
          <w:color w:val="000000"/>
          <w:lang w:val="cs-CZ"/>
        </w:rPr>
        <w:t>vyhodnocování časového hlediska jsou v programovém financování sledovány termíny, kdy byla investice zahájena, kdy byla ukončena</w:t>
      </w:r>
      <w:r w:rsidR="00F12650">
        <w:rPr>
          <w:rFonts w:asciiTheme="minorHAnsi" w:hAnsiTheme="minorHAnsi" w:cstheme="minorHAnsi"/>
          <w:color w:val="000000"/>
          <w:lang w:val="cs-CZ"/>
        </w:rPr>
        <w:t>,</w:t>
      </w:r>
      <w:r w:rsidR="00D662C1">
        <w:rPr>
          <w:rFonts w:asciiTheme="minorHAnsi" w:hAnsiTheme="minorHAnsi" w:cstheme="minorHAnsi"/>
          <w:color w:val="000000"/>
          <w:lang w:val="cs-CZ"/>
        </w:rPr>
        <w:t xml:space="preserve"> a to včetně termínu pro předložení dokumentace k závěrečnému vyhodnocení akce (projektu). Finanční podmínky by měly vyjadřovat náklady na zajištění potřeb realizace akce (projektů) ze SR.</w:t>
      </w:r>
    </w:p>
    <w:p w14:paraId="6A5CA1D6" w14:textId="77777777" w:rsidR="00362BC6" w:rsidRPr="00DB226C" w:rsidRDefault="00362BC6" w:rsidP="00362BC6">
      <w:pPr>
        <w:jc w:val="both"/>
        <w:rPr>
          <w:rFonts w:asciiTheme="minorHAnsi" w:hAnsiTheme="minorHAnsi" w:cstheme="minorHAnsi"/>
          <w:color w:val="000000"/>
          <w:lang w:val="cs-CZ"/>
        </w:rPr>
      </w:pPr>
    </w:p>
    <w:p w14:paraId="7EB9807B" w14:textId="77777777" w:rsidR="00AA0471" w:rsidRDefault="005334A7" w:rsidP="00362BC6">
      <w:pPr>
        <w:jc w:val="both"/>
        <w:rPr>
          <w:rFonts w:asciiTheme="minorHAnsi" w:hAnsiTheme="minorHAnsi" w:cstheme="minorHAnsi"/>
          <w:color w:val="000000"/>
          <w:lang w:val="cs-CZ"/>
        </w:rPr>
      </w:pPr>
      <w:r w:rsidRPr="00D92ED2">
        <w:rPr>
          <w:rFonts w:asciiTheme="minorHAnsi" w:hAnsiTheme="minorHAnsi" w:cstheme="minorHAnsi"/>
          <w:color w:val="000000"/>
          <w:lang w:val="cs-CZ"/>
        </w:rPr>
        <w:t xml:space="preserve">Výdaje </w:t>
      </w:r>
      <w:r w:rsidR="00705103">
        <w:rPr>
          <w:rFonts w:asciiTheme="minorHAnsi" w:hAnsiTheme="minorHAnsi" w:cstheme="minorHAnsi"/>
          <w:color w:val="000000"/>
          <w:lang w:val="cs-CZ"/>
        </w:rPr>
        <w:t>r</w:t>
      </w:r>
      <w:r w:rsidR="003E4E13">
        <w:rPr>
          <w:rFonts w:asciiTheme="minorHAnsi" w:hAnsiTheme="minorHAnsi" w:cstheme="minorHAnsi"/>
          <w:color w:val="000000"/>
          <w:lang w:val="cs-CZ"/>
        </w:rPr>
        <w:t>ealizované prostřednictvím</w:t>
      </w:r>
      <w:r w:rsidR="00455753" w:rsidRPr="00D92ED2">
        <w:rPr>
          <w:rFonts w:asciiTheme="minorHAnsi" w:hAnsiTheme="minorHAnsi" w:cstheme="minorHAnsi"/>
          <w:color w:val="000000"/>
          <w:lang w:val="cs-CZ"/>
        </w:rPr>
        <w:t xml:space="preserve"> programového fi</w:t>
      </w:r>
      <w:r w:rsidR="004C3DF5" w:rsidRPr="00D92ED2">
        <w:rPr>
          <w:rFonts w:asciiTheme="minorHAnsi" w:hAnsiTheme="minorHAnsi" w:cstheme="minorHAnsi"/>
          <w:color w:val="000000"/>
          <w:lang w:val="cs-CZ"/>
        </w:rPr>
        <w:t>nancování činily za období 2009–</w:t>
      </w:r>
      <w:r w:rsidR="00455753" w:rsidRPr="00D92ED2">
        <w:rPr>
          <w:rFonts w:asciiTheme="minorHAnsi" w:hAnsiTheme="minorHAnsi" w:cstheme="minorHAnsi"/>
          <w:color w:val="000000"/>
          <w:lang w:val="cs-CZ"/>
        </w:rPr>
        <w:t xml:space="preserve">2015 </w:t>
      </w:r>
      <w:r w:rsidR="00584026" w:rsidRPr="00D92ED2">
        <w:rPr>
          <w:rFonts w:asciiTheme="minorHAnsi" w:hAnsiTheme="minorHAnsi" w:cstheme="minorHAnsi"/>
          <w:color w:val="000000"/>
          <w:lang w:val="cs-CZ"/>
        </w:rPr>
        <w:t>celkem 415</w:t>
      </w:r>
      <w:r w:rsidR="00455753" w:rsidRPr="00D92ED2">
        <w:rPr>
          <w:rFonts w:asciiTheme="minorHAnsi" w:hAnsiTheme="minorHAnsi" w:cstheme="minorHAnsi"/>
          <w:color w:val="000000"/>
          <w:lang w:val="cs-CZ"/>
        </w:rPr>
        <w:t xml:space="preserve"> mld. Kč.</w:t>
      </w:r>
      <w:r w:rsidR="00A922EB" w:rsidRPr="00D92ED2">
        <w:rPr>
          <w:rFonts w:asciiTheme="minorHAnsi" w:hAnsiTheme="minorHAnsi" w:cstheme="minorHAnsi"/>
          <w:color w:val="000000"/>
          <w:lang w:val="cs-CZ"/>
        </w:rPr>
        <w:t xml:space="preserve"> V </w:t>
      </w:r>
      <w:r w:rsidR="00EC22F7" w:rsidRPr="00D92ED2">
        <w:rPr>
          <w:rFonts w:asciiTheme="minorHAnsi" w:hAnsiTheme="minorHAnsi" w:cstheme="minorHAnsi"/>
          <w:color w:val="000000"/>
          <w:lang w:val="cs-CZ"/>
        </w:rPr>
        <w:t xml:space="preserve">roce 2015 bylo v IS EDS/SMVS evidováno více než </w:t>
      </w:r>
      <w:r w:rsidR="00904E31" w:rsidRPr="00D92ED2">
        <w:rPr>
          <w:rFonts w:asciiTheme="minorHAnsi" w:hAnsiTheme="minorHAnsi" w:cstheme="minorHAnsi"/>
          <w:color w:val="000000"/>
          <w:lang w:val="cs-CZ"/>
        </w:rPr>
        <w:t>17,4</w:t>
      </w:r>
      <w:r w:rsidR="00EC22F7" w:rsidRPr="00D92ED2">
        <w:rPr>
          <w:rFonts w:asciiTheme="minorHAnsi" w:hAnsiTheme="minorHAnsi" w:cstheme="minorHAnsi"/>
          <w:color w:val="000000"/>
          <w:lang w:val="cs-CZ"/>
        </w:rPr>
        <w:t xml:space="preserve"> tis. </w:t>
      </w:r>
      <w:r w:rsidR="00793012">
        <w:rPr>
          <w:rFonts w:asciiTheme="minorHAnsi" w:hAnsiTheme="minorHAnsi" w:cstheme="minorHAnsi"/>
          <w:color w:val="000000"/>
          <w:lang w:val="cs-CZ"/>
        </w:rPr>
        <w:t>probíhajíc</w:t>
      </w:r>
      <w:r w:rsidR="00793012" w:rsidRPr="00D92ED2">
        <w:rPr>
          <w:rFonts w:asciiTheme="minorHAnsi" w:hAnsiTheme="minorHAnsi" w:cstheme="minorHAnsi"/>
          <w:color w:val="000000"/>
          <w:lang w:val="cs-CZ"/>
        </w:rPr>
        <w:t xml:space="preserve">ích </w:t>
      </w:r>
      <w:r w:rsidR="00EC22F7" w:rsidRPr="00D92ED2">
        <w:rPr>
          <w:rFonts w:asciiTheme="minorHAnsi" w:hAnsiTheme="minorHAnsi" w:cstheme="minorHAnsi"/>
          <w:color w:val="000000"/>
          <w:lang w:val="cs-CZ"/>
        </w:rPr>
        <w:t xml:space="preserve">akcí ve </w:t>
      </w:r>
      <w:r w:rsidR="00904E31" w:rsidRPr="00D92ED2">
        <w:rPr>
          <w:rFonts w:asciiTheme="minorHAnsi" w:hAnsiTheme="minorHAnsi" w:cstheme="minorHAnsi"/>
          <w:color w:val="000000"/>
          <w:lang w:val="cs-CZ"/>
        </w:rPr>
        <w:t>207</w:t>
      </w:r>
      <w:r w:rsidR="002B47DE">
        <w:rPr>
          <w:rFonts w:asciiTheme="minorHAnsi" w:hAnsiTheme="minorHAnsi" w:cstheme="minorHAnsi"/>
          <w:color w:val="000000"/>
          <w:lang w:val="cs-CZ"/>
        </w:rPr>
        <w:t> </w:t>
      </w:r>
      <w:r w:rsidR="00EC22F7" w:rsidRPr="00D92ED2">
        <w:rPr>
          <w:rFonts w:asciiTheme="minorHAnsi" w:hAnsiTheme="minorHAnsi" w:cstheme="minorHAnsi"/>
          <w:color w:val="000000"/>
          <w:lang w:val="cs-CZ"/>
        </w:rPr>
        <w:t>programech.</w:t>
      </w:r>
      <w:r w:rsidR="008824F2" w:rsidRPr="00D92ED2">
        <w:rPr>
          <w:rFonts w:asciiTheme="minorHAnsi" w:hAnsiTheme="minorHAnsi" w:cstheme="minorHAnsi"/>
          <w:color w:val="000000"/>
          <w:lang w:val="cs-CZ"/>
        </w:rPr>
        <w:t xml:space="preserve"> Metodickým a řídi</w:t>
      </w:r>
      <w:r w:rsidR="00455753" w:rsidRPr="00D92ED2">
        <w:rPr>
          <w:rFonts w:asciiTheme="minorHAnsi" w:hAnsiTheme="minorHAnsi" w:cstheme="minorHAnsi"/>
          <w:color w:val="000000"/>
          <w:lang w:val="cs-CZ"/>
        </w:rPr>
        <w:t xml:space="preserve">cím orgánem v této oblasti je MF, které </w:t>
      </w:r>
      <w:r w:rsidR="00A30231" w:rsidRPr="00D92ED2">
        <w:rPr>
          <w:rFonts w:asciiTheme="minorHAnsi" w:hAnsiTheme="minorHAnsi" w:cstheme="minorHAnsi"/>
          <w:color w:val="000000"/>
          <w:lang w:val="cs-CZ"/>
        </w:rPr>
        <w:t>j</w:t>
      </w:r>
      <w:r w:rsidR="00AA258E" w:rsidRPr="00D92ED2">
        <w:rPr>
          <w:rFonts w:asciiTheme="minorHAnsi" w:hAnsiTheme="minorHAnsi" w:cstheme="minorHAnsi"/>
          <w:color w:val="000000"/>
          <w:lang w:val="cs-CZ"/>
        </w:rPr>
        <w:t>e</w:t>
      </w:r>
      <w:r w:rsidR="002B47DE">
        <w:rPr>
          <w:rFonts w:asciiTheme="minorHAnsi" w:hAnsiTheme="minorHAnsi" w:cstheme="minorHAnsi"/>
          <w:color w:val="000000"/>
          <w:lang w:val="cs-CZ"/>
        </w:rPr>
        <w:t xml:space="preserve"> správce</w:t>
      </w:r>
      <w:r w:rsidR="0051578E">
        <w:rPr>
          <w:rFonts w:asciiTheme="minorHAnsi" w:hAnsiTheme="minorHAnsi" w:cstheme="minorHAnsi"/>
          <w:color w:val="000000"/>
          <w:lang w:val="cs-CZ"/>
        </w:rPr>
        <w:t>m</w:t>
      </w:r>
      <w:r w:rsidR="002B47DE">
        <w:rPr>
          <w:rFonts w:asciiTheme="minorHAnsi" w:hAnsiTheme="minorHAnsi" w:cstheme="minorHAnsi"/>
          <w:color w:val="000000"/>
          <w:lang w:val="cs-CZ"/>
        </w:rPr>
        <w:t xml:space="preserve"> IS </w:t>
      </w:r>
      <w:r w:rsidR="00A30231" w:rsidRPr="00D92ED2">
        <w:rPr>
          <w:rFonts w:asciiTheme="minorHAnsi" w:hAnsiTheme="minorHAnsi" w:cstheme="minorHAnsi"/>
          <w:color w:val="000000"/>
          <w:lang w:val="cs-CZ"/>
        </w:rPr>
        <w:t>EDS/SMVS</w:t>
      </w:r>
      <w:r w:rsidR="00AA258E" w:rsidRPr="00D92ED2">
        <w:rPr>
          <w:rFonts w:asciiTheme="minorHAnsi" w:hAnsiTheme="minorHAnsi" w:cstheme="minorHAnsi"/>
          <w:color w:val="000000"/>
          <w:lang w:val="cs-CZ"/>
        </w:rPr>
        <w:t>.</w:t>
      </w:r>
      <w:r w:rsidR="00A30231" w:rsidRPr="00D92ED2">
        <w:rPr>
          <w:rFonts w:asciiTheme="minorHAnsi" w:hAnsiTheme="minorHAnsi" w:cstheme="minorHAnsi"/>
          <w:color w:val="000000"/>
          <w:lang w:val="cs-CZ"/>
        </w:rPr>
        <w:t xml:space="preserve"> </w:t>
      </w:r>
      <w:r w:rsidR="00AA258E" w:rsidRPr="00D92ED2">
        <w:rPr>
          <w:rFonts w:asciiTheme="minorHAnsi" w:hAnsiTheme="minorHAnsi" w:cstheme="minorHAnsi"/>
          <w:color w:val="000000"/>
          <w:lang w:val="cs-CZ"/>
        </w:rPr>
        <w:t>N</w:t>
      </w:r>
      <w:r w:rsidR="00455753" w:rsidRPr="00D92ED2">
        <w:rPr>
          <w:rFonts w:asciiTheme="minorHAnsi" w:hAnsiTheme="minorHAnsi" w:cstheme="minorHAnsi"/>
          <w:color w:val="000000"/>
          <w:lang w:val="cs-CZ"/>
        </w:rPr>
        <w:t>a rozvoj, provoz a</w:t>
      </w:r>
      <w:r w:rsidR="001D71E4" w:rsidRPr="00D92ED2">
        <w:rPr>
          <w:rFonts w:asciiTheme="minorHAnsi" w:hAnsiTheme="minorHAnsi" w:cstheme="minorHAnsi"/>
          <w:color w:val="000000"/>
          <w:lang w:val="cs-CZ"/>
        </w:rPr>
        <w:t xml:space="preserve"> vývoj informační podpo</w:t>
      </w:r>
      <w:r w:rsidR="00AA258E" w:rsidRPr="00D92ED2">
        <w:rPr>
          <w:rFonts w:asciiTheme="minorHAnsi" w:hAnsiTheme="minorHAnsi" w:cstheme="minorHAnsi"/>
          <w:color w:val="000000"/>
          <w:lang w:val="cs-CZ"/>
        </w:rPr>
        <w:t xml:space="preserve">ry systému financování programů </w:t>
      </w:r>
      <w:r w:rsidR="001D71E4" w:rsidRPr="00D92ED2">
        <w:rPr>
          <w:rFonts w:asciiTheme="minorHAnsi" w:hAnsiTheme="minorHAnsi" w:cstheme="minorHAnsi"/>
          <w:color w:val="000000"/>
          <w:lang w:val="cs-CZ"/>
        </w:rPr>
        <w:t>vynaložilo za období 2009</w:t>
      </w:r>
      <w:r w:rsidR="00A922EB" w:rsidRPr="00D92ED2">
        <w:rPr>
          <w:rFonts w:asciiTheme="minorHAnsi" w:hAnsiTheme="minorHAnsi" w:cstheme="minorHAnsi"/>
          <w:color w:val="000000"/>
          <w:lang w:val="cs-CZ"/>
        </w:rPr>
        <w:t>–</w:t>
      </w:r>
      <w:r w:rsidR="001D71E4" w:rsidRPr="00D92ED2">
        <w:rPr>
          <w:rFonts w:asciiTheme="minorHAnsi" w:hAnsiTheme="minorHAnsi" w:cstheme="minorHAnsi"/>
          <w:color w:val="000000"/>
          <w:lang w:val="cs-CZ"/>
        </w:rPr>
        <w:t>2015 celkem 184 mil. Kč</w:t>
      </w:r>
      <w:r w:rsidR="00103413" w:rsidRPr="00D92ED2">
        <w:rPr>
          <w:rStyle w:val="Znakapoznpodarou"/>
          <w:rFonts w:asciiTheme="minorHAnsi" w:hAnsiTheme="minorHAnsi" w:cstheme="minorHAnsi"/>
          <w:color w:val="000000"/>
          <w:lang w:val="cs-CZ"/>
        </w:rPr>
        <w:footnoteReference w:id="3"/>
      </w:r>
      <w:r w:rsidR="001D71E4" w:rsidRPr="00D92ED2">
        <w:rPr>
          <w:rFonts w:asciiTheme="minorHAnsi" w:hAnsiTheme="minorHAnsi" w:cstheme="minorHAnsi"/>
          <w:color w:val="000000"/>
          <w:lang w:val="cs-CZ"/>
        </w:rPr>
        <w:t>.</w:t>
      </w:r>
    </w:p>
    <w:p w14:paraId="2D82E48C" w14:textId="77777777" w:rsidR="00362BC6" w:rsidRDefault="00362BC6" w:rsidP="00362BC6">
      <w:pPr>
        <w:jc w:val="both"/>
        <w:rPr>
          <w:rFonts w:asciiTheme="minorHAnsi" w:hAnsiTheme="minorHAnsi" w:cstheme="minorHAnsi"/>
          <w:b/>
          <w:color w:val="000000"/>
          <w:lang w:val="cs-CZ"/>
        </w:rPr>
      </w:pPr>
    </w:p>
    <w:p w14:paraId="11869E10" w14:textId="77777777" w:rsidR="00371BD5" w:rsidRPr="00D92ED2" w:rsidRDefault="004F28FD" w:rsidP="00362BC6">
      <w:pPr>
        <w:jc w:val="both"/>
        <w:rPr>
          <w:rFonts w:asciiTheme="minorHAnsi" w:hAnsiTheme="minorHAnsi" w:cstheme="minorHAnsi"/>
          <w:color w:val="000000"/>
          <w:lang w:val="cs-CZ"/>
        </w:rPr>
      </w:pPr>
      <w:r w:rsidRPr="004F28FD">
        <w:rPr>
          <w:rFonts w:asciiTheme="minorHAnsi" w:hAnsiTheme="minorHAnsi" w:cstheme="minorHAnsi"/>
          <w:b/>
          <w:color w:val="000000"/>
          <w:lang w:val="cs-CZ"/>
        </w:rPr>
        <w:lastRenderedPageBreak/>
        <w:t>Dotace</w:t>
      </w:r>
      <w:r>
        <w:rPr>
          <w:rFonts w:asciiTheme="minorHAnsi" w:hAnsiTheme="minorHAnsi" w:cstheme="minorHAnsi"/>
          <w:color w:val="000000"/>
          <w:lang w:val="cs-CZ"/>
        </w:rPr>
        <w:t xml:space="preserve"> jsou peněžní prostředky SR, státních finančních aktiv nebo Národního fondu poskytované </w:t>
      </w:r>
      <w:r w:rsidR="002A3147">
        <w:rPr>
          <w:rFonts w:asciiTheme="minorHAnsi" w:hAnsiTheme="minorHAnsi" w:cstheme="minorHAnsi"/>
          <w:color w:val="000000"/>
          <w:lang w:val="cs-CZ"/>
        </w:rPr>
        <w:t>právnickým nebo fyzickým osobám</w:t>
      </w:r>
      <w:r>
        <w:rPr>
          <w:rFonts w:asciiTheme="minorHAnsi" w:hAnsiTheme="minorHAnsi" w:cstheme="minorHAnsi"/>
          <w:color w:val="000000"/>
          <w:lang w:val="cs-CZ"/>
        </w:rPr>
        <w:t xml:space="preserve"> na konkrétní stanovený účel</w:t>
      </w:r>
      <w:r w:rsidR="003E4E13">
        <w:rPr>
          <w:rFonts w:asciiTheme="minorHAnsi" w:hAnsiTheme="minorHAnsi" w:cstheme="minorHAnsi"/>
          <w:color w:val="000000"/>
          <w:lang w:val="cs-CZ"/>
        </w:rPr>
        <w:t xml:space="preserve">. </w:t>
      </w:r>
      <w:r w:rsidR="00371BD5" w:rsidRPr="00705103">
        <w:rPr>
          <w:rFonts w:asciiTheme="minorHAnsi" w:hAnsiTheme="minorHAnsi" w:cstheme="minorHAnsi"/>
          <w:b/>
          <w:color w:val="000000"/>
          <w:lang w:val="cs-CZ"/>
        </w:rPr>
        <w:t xml:space="preserve">Centrální evidence dotací </w:t>
      </w:r>
      <w:r w:rsidR="000416B4" w:rsidRPr="00705103">
        <w:rPr>
          <w:rFonts w:asciiTheme="minorHAnsi" w:hAnsiTheme="minorHAnsi" w:cstheme="minorHAnsi"/>
          <w:b/>
          <w:color w:val="000000"/>
          <w:lang w:val="cs-CZ"/>
        </w:rPr>
        <w:t>z rozpočtu</w:t>
      </w:r>
      <w:r w:rsidR="000416B4">
        <w:rPr>
          <w:rFonts w:asciiTheme="minorHAnsi" w:hAnsiTheme="minorHAnsi" w:cstheme="minorHAnsi"/>
          <w:color w:val="000000"/>
          <w:lang w:val="cs-CZ"/>
        </w:rPr>
        <w:t xml:space="preserve"> (dále také „IS CEDR III“) </w:t>
      </w:r>
      <w:r w:rsidR="00371BD5" w:rsidRPr="00D92ED2">
        <w:rPr>
          <w:rFonts w:asciiTheme="minorHAnsi" w:hAnsiTheme="minorHAnsi" w:cstheme="minorHAnsi"/>
          <w:color w:val="000000"/>
          <w:lang w:val="cs-CZ"/>
        </w:rPr>
        <w:t>slouž</w:t>
      </w:r>
      <w:r w:rsidR="001753B0" w:rsidRPr="00D92ED2">
        <w:rPr>
          <w:rFonts w:asciiTheme="minorHAnsi" w:hAnsiTheme="minorHAnsi" w:cstheme="minorHAnsi"/>
          <w:color w:val="000000"/>
          <w:lang w:val="cs-CZ"/>
        </w:rPr>
        <w:t>í</w:t>
      </w:r>
      <w:r w:rsidR="00371BD5" w:rsidRPr="00D92ED2">
        <w:rPr>
          <w:rFonts w:asciiTheme="minorHAnsi" w:hAnsiTheme="minorHAnsi" w:cstheme="minorHAnsi"/>
          <w:color w:val="000000"/>
          <w:lang w:val="cs-CZ"/>
        </w:rPr>
        <w:t xml:space="preserve"> jako podpůrný nástroj pro </w:t>
      </w:r>
      <w:r w:rsidR="007D4EAA" w:rsidRPr="00D92ED2">
        <w:rPr>
          <w:rFonts w:asciiTheme="minorHAnsi" w:hAnsiTheme="minorHAnsi" w:cstheme="minorHAnsi"/>
          <w:color w:val="000000"/>
          <w:lang w:val="cs-CZ"/>
        </w:rPr>
        <w:t xml:space="preserve">evidenci, </w:t>
      </w:r>
      <w:r w:rsidR="003B696D" w:rsidRPr="00D92ED2">
        <w:rPr>
          <w:rFonts w:asciiTheme="minorHAnsi" w:hAnsiTheme="minorHAnsi" w:cstheme="minorHAnsi"/>
          <w:color w:val="000000"/>
          <w:lang w:val="cs-CZ"/>
        </w:rPr>
        <w:t xml:space="preserve">sledování </w:t>
      </w:r>
      <w:r w:rsidR="007D4EAA" w:rsidRPr="00D92ED2">
        <w:rPr>
          <w:rFonts w:asciiTheme="minorHAnsi" w:hAnsiTheme="minorHAnsi" w:cstheme="minorHAnsi"/>
          <w:color w:val="000000"/>
          <w:lang w:val="cs-CZ"/>
        </w:rPr>
        <w:t>a </w:t>
      </w:r>
      <w:r w:rsidR="00371BD5" w:rsidRPr="00D92ED2">
        <w:rPr>
          <w:rFonts w:asciiTheme="minorHAnsi" w:hAnsiTheme="minorHAnsi" w:cstheme="minorHAnsi"/>
          <w:color w:val="000000"/>
          <w:lang w:val="cs-CZ"/>
        </w:rPr>
        <w:t xml:space="preserve">kontrolu dotací, návratných finančních výpomocí a obdobných transferů poskytnutých ze SR, prostředků </w:t>
      </w:r>
      <w:r w:rsidR="000E3341" w:rsidRPr="00D92ED2">
        <w:rPr>
          <w:rFonts w:asciiTheme="minorHAnsi" w:hAnsiTheme="minorHAnsi" w:cstheme="minorHAnsi"/>
          <w:color w:val="000000"/>
          <w:lang w:val="cs-CZ"/>
        </w:rPr>
        <w:t>Evropské unie (dále také „</w:t>
      </w:r>
      <w:r w:rsidR="00371BD5" w:rsidRPr="00D92ED2">
        <w:rPr>
          <w:rFonts w:asciiTheme="minorHAnsi" w:hAnsiTheme="minorHAnsi" w:cstheme="minorHAnsi"/>
          <w:color w:val="000000"/>
          <w:lang w:val="cs-CZ"/>
        </w:rPr>
        <w:t>EU</w:t>
      </w:r>
      <w:r w:rsidR="000E3341" w:rsidRPr="00D92ED2">
        <w:rPr>
          <w:rFonts w:asciiTheme="minorHAnsi" w:hAnsiTheme="minorHAnsi" w:cstheme="minorHAnsi"/>
          <w:color w:val="000000"/>
          <w:lang w:val="cs-CZ"/>
        </w:rPr>
        <w:t>“)</w:t>
      </w:r>
      <w:r w:rsidR="00371BD5" w:rsidRPr="00D92ED2">
        <w:rPr>
          <w:rFonts w:asciiTheme="minorHAnsi" w:hAnsiTheme="minorHAnsi" w:cstheme="minorHAnsi"/>
          <w:color w:val="000000"/>
          <w:lang w:val="cs-CZ"/>
        </w:rPr>
        <w:t xml:space="preserve"> a jiných finančních mechanismů. </w:t>
      </w:r>
      <w:r w:rsidR="00556791" w:rsidRPr="00D92ED2">
        <w:rPr>
          <w:rFonts w:asciiTheme="minorHAnsi" w:hAnsiTheme="minorHAnsi" w:cstheme="minorHAnsi"/>
          <w:color w:val="000000"/>
          <w:lang w:val="cs-CZ"/>
        </w:rPr>
        <w:t>Výše poskytnutých dotací evidovan</w:t>
      </w:r>
      <w:r w:rsidR="000E3341" w:rsidRPr="00D92ED2">
        <w:rPr>
          <w:rFonts w:asciiTheme="minorHAnsi" w:hAnsiTheme="minorHAnsi" w:cstheme="minorHAnsi"/>
          <w:color w:val="000000"/>
          <w:lang w:val="cs-CZ"/>
        </w:rPr>
        <w:t>ých</w:t>
      </w:r>
      <w:r w:rsidR="00556791" w:rsidRPr="00D92ED2">
        <w:rPr>
          <w:rFonts w:asciiTheme="minorHAnsi" w:hAnsiTheme="minorHAnsi" w:cstheme="minorHAnsi"/>
          <w:color w:val="000000"/>
          <w:lang w:val="cs-CZ"/>
        </w:rPr>
        <w:t xml:space="preserve"> v </w:t>
      </w:r>
      <w:r w:rsidR="007F060A" w:rsidRPr="00D92ED2">
        <w:rPr>
          <w:rFonts w:asciiTheme="minorHAnsi" w:hAnsiTheme="minorHAnsi" w:cstheme="minorHAnsi"/>
          <w:color w:val="000000"/>
          <w:lang w:val="cs-CZ"/>
        </w:rPr>
        <w:t>IS CEDR</w:t>
      </w:r>
      <w:r w:rsidR="009E2C79" w:rsidRPr="00D92ED2">
        <w:rPr>
          <w:rFonts w:asciiTheme="minorHAnsi" w:hAnsiTheme="minorHAnsi" w:cstheme="minorHAnsi"/>
          <w:color w:val="000000"/>
          <w:lang w:val="cs-CZ"/>
        </w:rPr>
        <w:t xml:space="preserve"> III</w:t>
      </w:r>
      <w:r w:rsidR="00556791" w:rsidRPr="00D92ED2">
        <w:rPr>
          <w:rFonts w:asciiTheme="minorHAnsi" w:hAnsiTheme="minorHAnsi" w:cstheme="minorHAnsi"/>
          <w:color w:val="000000"/>
          <w:lang w:val="cs-CZ"/>
        </w:rPr>
        <w:t xml:space="preserve"> za období 2009</w:t>
      </w:r>
      <w:r w:rsidR="004C3DF5" w:rsidRPr="00D92ED2">
        <w:rPr>
          <w:rFonts w:asciiTheme="minorHAnsi" w:hAnsiTheme="minorHAnsi" w:cstheme="minorHAnsi"/>
          <w:color w:val="000000"/>
          <w:lang w:val="cs-CZ"/>
        </w:rPr>
        <w:t>–</w:t>
      </w:r>
      <w:r w:rsidR="00556791" w:rsidRPr="00D92ED2">
        <w:rPr>
          <w:rFonts w:asciiTheme="minorHAnsi" w:hAnsiTheme="minorHAnsi" w:cstheme="minorHAnsi"/>
          <w:color w:val="000000"/>
          <w:lang w:val="cs-CZ"/>
        </w:rPr>
        <w:t xml:space="preserve">2015 </w:t>
      </w:r>
      <w:r w:rsidR="00956351" w:rsidRPr="00D92ED2">
        <w:rPr>
          <w:rFonts w:asciiTheme="minorHAnsi" w:hAnsiTheme="minorHAnsi" w:cstheme="minorHAnsi"/>
          <w:color w:val="000000"/>
          <w:lang w:val="cs-CZ"/>
        </w:rPr>
        <w:t>činila</w:t>
      </w:r>
      <w:r w:rsidR="009E2C79" w:rsidRPr="00D92ED2">
        <w:rPr>
          <w:rFonts w:asciiTheme="minorHAnsi" w:hAnsiTheme="minorHAnsi" w:cstheme="minorHAnsi"/>
          <w:color w:val="000000"/>
          <w:lang w:val="cs-CZ"/>
        </w:rPr>
        <w:t xml:space="preserve"> </w:t>
      </w:r>
      <w:r w:rsidR="00556791" w:rsidRPr="00D92ED2">
        <w:rPr>
          <w:rFonts w:asciiTheme="minorHAnsi" w:hAnsiTheme="minorHAnsi" w:cstheme="minorHAnsi"/>
          <w:color w:val="000000"/>
          <w:lang w:val="cs-CZ"/>
        </w:rPr>
        <w:t>2 083 mld. Kč</w:t>
      </w:r>
      <w:r w:rsidR="004577C0" w:rsidRPr="00D92ED2">
        <w:rPr>
          <w:rFonts w:asciiTheme="minorHAnsi" w:hAnsiTheme="minorHAnsi" w:cstheme="minorHAnsi"/>
          <w:color w:val="000000"/>
          <w:lang w:val="cs-CZ"/>
        </w:rPr>
        <w:t xml:space="preserve">. </w:t>
      </w:r>
      <w:r w:rsidR="00310D97" w:rsidRPr="00D92ED2">
        <w:rPr>
          <w:rFonts w:asciiTheme="minorHAnsi" w:hAnsiTheme="minorHAnsi" w:cstheme="minorHAnsi"/>
          <w:color w:val="000000"/>
          <w:lang w:val="cs-CZ"/>
        </w:rPr>
        <w:t>Podle IS CEDR III bylo v </w:t>
      </w:r>
      <w:r w:rsidR="00EC22F7" w:rsidRPr="00D92ED2">
        <w:rPr>
          <w:rFonts w:asciiTheme="minorHAnsi" w:hAnsiTheme="minorHAnsi" w:cstheme="minorHAnsi"/>
          <w:color w:val="000000"/>
          <w:lang w:val="cs-CZ"/>
        </w:rPr>
        <w:t xml:space="preserve">roce 2015 </w:t>
      </w:r>
      <w:r w:rsidR="00310D97" w:rsidRPr="00D92ED2">
        <w:rPr>
          <w:rFonts w:asciiTheme="minorHAnsi" w:hAnsiTheme="minorHAnsi" w:cstheme="minorHAnsi"/>
          <w:color w:val="000000"/>
          <w:lang w:val="cs-CZ"/>
        </w:rPr>
        <w:t>poskytnuto</w:t>
      </w:r>
      <w:r w:rsidR="00EC22F7" w:rsidRPr="00D92ED2">
        <w:rPr>
          <w:rFonts w:asciiTheme="minorHAnsi" w:hAnsiTheme="minorHAnsi" w:cstheme="minorHAnsi"/>
          <w:color w:val="000000"/>
          <w:lang w:val="cs-CZ"/>
        </w:rPr>
        <w:t xml:space="preserve"> více než 169 tis. </w:t>
      </w:r>
      <w:r w:rsidR="001C6F5F" w:rsidRPr="00D92ED2">
        <w:rPr>
          <w:rFonts w:asciiTheme="minorHAnsi" w:hAnsiTheme="minorHAnsi" w:cstheme="minorHAnsi"/>
          <w:color w:val="000000"/>
          <w:lang w:val="cs-CZ"/>
        </w:rPr>
        <w:t>do</w:t>
      </w:r>
      <w:r w:rsidR="0090528B" w:rsidRPr="00D92ED2">
        <w:rPr>
          <w:rFonts w:asciiTheme="minorHAnsi" w:hAnsiTheme="minorHAnsi" w:cstheme="minorHAnsi"/>
          <w:color w:val="000000"/>
          <w:lang w:val="cs-CZ"/>
        </w:rPr>
        <w:t>tací včetně výdajových titulů o</w:t>
      </w:r>
      <w:r w:rsidR="00E218A0" w:rsidRPr="00D92ED2">
        <w:rPr>
          <w:rFonts w:asciiTheme="minorHAnsi" w:hAnsiTheme="minorHAnsi" w:cstheme="minorHAnsi"/>
          <w:color w:val="000000"/>
          <w:lang w:val="cs-CZ"/>
        </w:rPr>
        <w:t> celkové</w:t>
      </w:r>
      <w:r w:rsidR="00701D3A">
        <w:rPr>
          <w:rFonts w:asciiTheme="minorHAnsi" w:hAnsiTheme="minorHAnsi" w:cstheme="minorHAnsi"/>
          <w:color w:val="000000"/>
          <w:lang w:val="cs-CZ"/>
        </w:rPr>
        <w:t>m</w:t>
      </w:r>
      <w:r w:rsidR="00E218A0" w:rsidRPr="00D92ED2">
        <w:rPr>
          <w:rFonts w:asciiTheme="minorHAnsi" w:hAnsiTheme="minorHAnsi" w:cstheme="minorHAnsi"/>
          <w:color w:val="000000"/>
          <w:lang w:val="cs-CZ"/>
        </w:rPr>
        <w:t xml:space="preserve"> </w:t>
      </w:r>
      <w:r w:rsidR="00701D3A">
        <w:rPr>
          <w:rFonts w:asciiTheme="minorHAnsi" w:hAnsiTheme="minorHAnsi" w:cstheme="minorHAnsi"/>
          <w:color w:val="000000"/>
          <w:lang w:val="cs-CZ"/>
        </w:rPr>
        <w:t>objemu</w:t>
      </w:r>
      <w:r w:rsidR="00E218A0" w:rsidRPr="00D92ED2">
        <w:rPr>
          <w:rFonts w:asciiTheme="minorHAnsi" w:hAnsiTheme="minorHAnsi" w:cstheme="minorHAnsi"/>
          <w:color w:val="000000"/>
          <w:lang w:val="cs-CZ"/>
        </w:rPr>
        <w:t xml:space="preserve"> 266,4 mld. Kč</w:t>
      </w:r>
      <w:r w:rsidR="00EC22F7" w:rsidRPr="00D92ED2">
        <w:rPr>
          <w:rFonts w:asciiTheme="minorHAnsi" w:hAnsiTheme="minorHAnsi" w:cstheme="minorHAnsi"/>
          <w:color w:val="000000"/>
          <w:lang w:val="cs-CZ"/>
        </w:rPr>
        <w:t xml:space="preserve">. </w:t>
      </w:r>
      <w:r w:rsidR="004577C0" w:rsidRPr="00D92ED2">
        <w:rPr>
          <w:rFonts w:asciiTheme="minorHAnsi" w:hAnsiTheme="minorHAnsi" w:cstheme="minorHAnsi"/>
          <w:color w:val="000000"/>
          <w:lang w:val="cs-CZ"/>
        </w:rPr>
        <w:t xml:space="preserve">Správcem tohoto systému </w:t>
      </w:r>
      <w:r w:rsidR="00DF75C9" w:rsidRPr="00D92ED2">
        <w:rPr>
          <w:rFonts w:asciiTheme="minorHAnsi" w:hAnsiTheme="minorHAnsi" w:cstheme="minorHAnsi"/>
          <w:color w:val="000000"/>
          <w:lang w:val="cs-CZ"/>
        </w:rPr>
        <w:t>bylo</w:t>
      </w:r>
      <w:r w:rsidR="00F757C8" w:rsidRPr="00D92ED2">
        <w:rPr>
          <w:rFonts w:asciiTheme="minorHAnsi" w:hAnsiTheme="minorHAnsi" w:cstheme="minorHAnsi"/>
          <w:color w:val="000000"/>
          <w:lang w:val="cs-CZ"/>
        </w:rPr>
        <w:t xml:space="preserve"> původně</w:t>
      </w:r>
      <w:r w:rsidR="00DF75C9" w:rsidRPr="00D92ED2">
        <w:rPr>
          <w:rFonts w:asciiTheme="minorHAnsi" w:hAnsiTheme="minorHAnsi" w:cstheme="minorHAnsi"/>
          <w:color w:val="000000"/>
          <w:lang w:val="cs-CZ"/>
        </w:rPr>
        <w:t xml:space="preserve"> MF</w:t>
      </w:r>
      <w:r w:rsidR="004C3DF5" w:rsidRPr="00D92ED2">
        <w:rPr>
          <w:rFonts w:asciiTheme="minorHAnsi" w:hAnsiTheme="minorHAnsi" w:cstheme="minorHAnsi"/>
          <w:color w:val="000000"/>
          <w:lang w:val="cs-CZ"/>
        </w:rPr>
        <w:t>.</w:t>
      </w:r>
      <w:r w:rsidR="00F757C8" w:rsidRPr="00D92ED2">
        <w:rPr>
          <w:rFonts w:asciiTheme="minorHAnsi" w:hAnsiTheme="minorHAnsi"/>
          <w:lang w:val="cs-CZ"/>
        </w:rPr>
        <w:t xml:space="preserve"> </w:t>
      </w:r>
      <w:r w:rsidR="004C3DF5" w:rsidRPr="00D92ED2">
        <w:rPr>
          <w:rFonts w:asciiTheme="minorHAnsi" w:hAnsiTheme="minorHAnsi" w:cstheme="minorHAnsi"/>
          <w:color w:val="000000"/>
          <w:lang w:val="cs-CZ"/>
        </w:rPr>
        <w:t>V</w:t>
      </w:r>
      <w:r w:rsidR="009E2C79" w:rsidRPr="00D92ED2">
        <w:rPr>
          <w:rFonts w:asciiTheme="minorHAnsi" w:hAnsiTheme="minorHAnsi"/>
          <w:lang w:val="cs-CZ"/>
        </w:rPr>
        <w:t> rámci reformy daňové správy ČR</w:t>
      </w:r>
      <w:r w:rsidR="004C3DF5" w:rsidRPr="00D92ED2">
        <w:rPr>
          <w:rFonts w:asciiTheme="minorHAnsi" w:hAnsiTheme="minorHAnsi"/>
          <w:lang w:val="cs-CZ"/>
        </w:rPr>
        <w:t xml:space="preserve"> jej </w:t>
      </w:r>
      <w:r w:rsidR="00063A97">
        <w:rPr>
          <w:rFonts w:asciiTheme="minorHAnsi" w:hAnsiTheme="minorHAnsi"/>
          <w:lang w:val="cs-CZ"/>
        </w:rPr>
        <w:t xml:space="preserve">k 1. 1. 2011 </w:t>
      </w:r>
      <w:r w:rsidR="004C3DF5" w:rsidRPr="00D92ED2">
        <w:rPr>
          <w:rFonts w:asciiTheme="minorHAnsi" w:hAnsiTheme="minorHAnsi"/>
          <w:lang w:val="cs-CZ"/>
        </w:rPr>
        <w:t xml:space="preserve">do správy </w:t>
      </w:r>
      <w:r w:rsidR="00513FBE" w:rsidRPr="00D92ED2">
        <w:rPr>
          <w:rFonts w:asciiTheme="minorHAnsi" w:hAnsiTheme="minorHAnsi"/>
          <w:lang w:val="cs-CZ"/>
        </w:rPr>
        <w:t xml:space="preserve">převzalo </w:t>
      </w:r>
      <w:r w:rsidR="004C3DF5" w:rsidRPr="00D92ED2">
        <w:rPr>
          <w:rFonts w:asciiTheme="minorHAnsi" w:hAnsiTheme="minorHAnsi"/>
          <w:lang w:val="cs-CZ"/>
        </w:rPr>
        <w:t>GFŘ</w:t>
      </w:r>
      <w:r w:rsidR="009E2C79" w:rsidRPr="00D92ED2">
        <w:rPr>
          <w:rFonts w:asciiTheme="minorHAnsi" w:hAnsiTheme="minorHAnsi"/>
          <w:lang w:val="cs-CZ"/>
        </w:rPr>
        <w:t xml:space="preserve">. MF a GFŘ vynaložily </w:t>
      </w:r>
      <w:r w:rsidR="009E2C79" w:rsidRPr="00D92ED2">
        <w:rPr>
          <w:rFonts w:asciiTheme="minorHAnsi" w:hAnsiTheme="minorHAnsi" w:cstheme="minorHAnsi"/>
          <w:color w:val="000000"/>
          <w:lang w:val="cs-CZ"/>
        </w:rPr>
        <w:t>na rozvoj, provoz a vývoj informační podpor</w:t>
      </w:r>
      <w:r w:rsidR="00A922EB" w:rsidRPr="00D92ED2">
        <w:rPr>
          <w:rFonts w:asciiTheme="minorHAnsi" w:hAnsiTheme="minorHAnsi" w:cstheme="minorHAnsi"/>
          <w:color w:val="000000"/>
          <w:lang w:val="cs-CZ"/>
        </w:rPr>
        <w:t>y systému dotací za období 2009–</w:t>
      </w:r>
      <w:r w:rsidR="009E2C79" w:rsidRPr="00D92ED2">
        <w:rPr>
          <w:rFonts w:asciiTheme="minorHAnsi" w:hAnsiTheme="minorHAnsi" w:cstheme="minorHAnsi"/>
          <w:color w:val="000000"/>
          <w:lang w:val="cs-CZ"/>
        </w:rPr>
        <w:t xml:space="preserve">2015 celkem </w:t>
      </w:r>
      <w:r w:rsidR="0069204D" w:rsidRPr="00D92ED2">
        <w:rPr>
          <w:rFonts w:asciiTheme="minorHAnsi" w:hAnsiTheme="minorHAnsi" w:cstheme="minorHAnsi"/>
          <w:color w:val="000000"/>
          <w:lang w:val="cs-CZ"/>
        </w:rPr>
        <w:t>154</w:t>
      </w:r>
      <w:r w:rsidR="009E2C79" w:rsidRPr="00D92ED2">
        <w:rPr>
          <w:rFonts w:asciiTheme="minorHAnsi" w:hAnsiTheme="minorHAnsi" w:cstheme="minorHAnsi"/>
          <w:color w:val="000000"/>
          <w:lang w:val="cs-CZ"/>
        </w:rPr>
        <w:t xml:space="preserve"> mil. Kč.</w:t>
      </w:r>
      <w:r w:rsidR="0069204D" w:rsidRPr="00D92ED2">
        <w:rPr>
          <w:rFonts w:asciiTheme="minorHAnsi" w:hAnsiTheme="minorHAnsi" w:cstheme="minorHAnsi"/>
          <w:color w:val="000000"/>
          <w:lang w:val="cs-CZ"/>
        </w:rPr>
        <w:t xml:space="preserve"> </w:t>
      </w:r>
      <w:r w:rsidR="00580D2E" w:rsidRPr="00D92ED2">
        <w:rPr>
          <w:rFonts w:asciiTheme="minorHAnsi" w:hAnsiTheme="minorHAnsi" w:cstheme="minorHAnsi"/>
          <w:color w:val="000000"/>
          <w:lang w:val="cs-CZ"/>
        </w:rPr>
        <w:t xml:space="preserve">Pro zveřejňování informací o dotacích </w:t>
      </w:r>
      <w:r w:rsidR="007D4EAA" w:rsidRPr="00D92ED2">
        <w:rPr>
          <w:rFonts w:asciiTheme="minorHAnsi" w:hAnsiTheme="minorHAnsi" w:cstheme="minorHAnsi"/>
          <w:color w:val="000000"/>
          <w:lang w:val="cs-CZ"/>
        </w:rPr>
        <w:t>a </w:t>
      </w:r>
      <w:r w:rsidR="00580D2E" w:rsidRPr="00D92ED2">
        <w:rPr>
          <w:rFonts w:asciiTheme="minorHAnsi" w:hAnsiTheme="minorHAnsi" w:cstheme="minorHAnsi"/>
          <w:color w:val="000000"/>
          <w:lang w:val="cs-CZ"/>
        </w:rPr>
        <w:t>návratných finančních výpomocí</w:t>
      </w:r>
      <w:r w:rsidR="00063A97">
        <w:rPr>
          <w:rFonts w:asciiTheme="minorHAnsi" w:hAnsiTheme="minorHAnsi" w:cstheme="minorHAnsi"/>
          <w:color w:val="000000"/>
          <w:lang w:val="cs-CZ"/>
        </w:rPr>
        <w:t>ch</w:t>
      </w:r>
      <w:r w:rsidR="00580D2E" w:rsidRPr="00D92ED2">
        <w:rPr>
          <w:rFonts w:asciiTheme="minorHAnsi" w:hAnsiTheme="minorHAnsi" w:cstheme="minorHAnsi"/>
          <w:color w:val="000000"/>
          <w:lang w:val="cs-CZ"/>
        </w:rPr>
        <w:t xml:space="preserve"> </w:t>
      </w:r>
      <w:r w:rsidR="0069204D" w:rsidRPr="00D92ED2">
        <w:rPr>
          <w:rFonts w:asciiTheme="minorHAnsi" w:hAnsiTheme="minorHAnsi" w:cstheme="minorHAnsi"/>
          <w:color w:val="000000"/>
          <w:lang w:val="cs-CZ"/>
        </w:rPr>
        <w:t xml:space="preserve">MF dále </w:t>
      </w:r>
      <w:r w:rsidR="00556791" w:rsidRPr="00D92ED2">
        <w:rPr>
          <w:rFonts w:asciiTheme="minorHAnsi" w:hAnsiTheme="minorHAnsi" w:cstheme="minorHAnsi"/>
          <w:color w:val="000000"/>
          <w:lang w:val="cs-CZ"/>
        </w:rPr>
        <w:t>pořídilo v roce 2012</w:t>
      </w:r>
      <w:r w:rsidR="004450B9" w:rsidRPr="00D92ED2">
        <w:rPr>
          <w:rFonts w:asciiTheme="minorHAnsi" w:hAnsiTheme="minorHAnsi" w:cstheme="minorHAnsi"/>
          <w:color w:val="000000"/>
          <w:lang w:val="cs-CZ"/>
        </w:rPr>
        <w:t xml:space="preserve"> nový </w:t>
      </w:r>
      <w:r w:rsidR="00580D2E" w:rsidRPr="00D92ED2">
        <w:rPr>
          <w:rFonts w:asciiTheme="minorHAnsi" w:hAnsiTheme="minorHAnsi" w:cstheme="minorHAnsi"/>
          <w:color w:val="000000"/>
          <w:lang w:val="cs-CZ"/>
        </w:rPr>
        <w:t>i</w:t>
      </w:r>
      <w:r w:rsidR="00556791" w:rsidRPr="00D92ED2">
        <w:rPr>
          <w:rFonts w:asciiTheme="minorHAnsi" w:hAnsiTheme="minorHAnsi" w:cstheme="minorHAnsi"/>
          <w:color w:val="000000"/>
          <w:lang w:val="cs-CZ"/>
        </w:rPr>
        <w:t>nformační systém</w:t>
      </w:r>
      <w:r w:rsidR="00580D2E" w:rsidRPr="00D92ED2">
        <w:rPr>
          <w:rFonts w:asciiTheme="minorHAnsi" w:hAnsiTheme="minorHAnsi" w:cstheme="minorHAnsi"/>
          <w:color w:val="000000"/>
          <w:lang w:val="cs-CZ"/>
        </w:rPr>
        <w:t xml:space="preserve"> </w:t>
      </w:r>
      <w:r w:rsidR="00E03F78">
        <w:rPr>
          <w:rFonts w:asciiTheme="minorHAnsi" w:hAnsiTheme="minorHAnsi" w:cstheme="minorHAnsi"/>
          <w:color w:val="000000"/>
          <w:lang w:val="cs-CZ"/>
        </w:rPr>
        <w:t>(dále také</w:t>
      </w:r>
      <w:r w:rsidR="00E03F78" w:rsidRPr="00D92ED2">
        <w:rPr>
          <w:rFonts w:asciiTheme="minorHAnsi" w:hAnsiTheme="minorHAnsi" w:cstheme="minorHAnsi"/>
          <w:color w:val="000000"/>
          <w:lang w:val="cs-CZ"/>
        </w:rPr>
        <w:t xml:space="preserve"> </w:t>
      </w:r>
      <w:r w:rsidR="00E03F78">
        <w:rPr>
          <w:rFonts w:asciiTheme="minorHAnsi" w:hAnsiTheme="minorHAnsi" w:cstheme="minorHAnsi"/>
          <w:color w:val="000000"/>
          <w:lang w:val="cs-CZ"/>
        </w:rPr>
        <w:t>„</w:t>
      </w:r>
      <w:r w:rsidR="00E03F78" w:rsidRPr="00D92ED2">
        <w:rPr>
          <w:rFonts w:asciiTheme="minorHAnsi" w:hAnsiTheme="minorHAnsi" w:cstheme="minorHAnsi"/>
          <w:color w:val="000000"/>
          <w:lang w:val="cs-CZ"/>
        </w:rPr>
        <w:t>IS</w:t>
      </w:r>
      <w:r w:rsidR="00E03F78">
        <w:rPr>
          <w:rFonts w:asciiTheme="minorHAnsi" w:hAnsiTheme="minorHAnsi" w:cstheme="minorHAnsi"/>
          <w:color w:val="000000"/>
          <w:lang w:val="cs-CZ"/>
        </w:rPr>
        <w:t>“)</w:t>
      </w:r>
      <w:r w:rsidR="00E03F78" w:rsidRPr="00D92ED2">
        <w:rPr>
          <w:rFonts w:asciiTheme="minorHAnsi" w:hAnsiTheme="minorHAnsi" w:cstheme="minorHAnsi"/>
          <w:color w:val="000000"/>
          <w:lang w:val="cs-CZ"/>
        </w:rPr>
        <w:t xml:space="preserve"> </w:t>
      </w:r>
      <w:r w:rsidR="00580D2E" w:rsidRPr="00D92ED2">
        <w:rPr>
          <w:rFonts w:asciiTheme="minorHAnsi" w:hAnsiTheme="minorHAnsi" w:cstheme="minorHAnsi"/>
          <w:color w:val="000000"/>
          <w:lang w:val="cs-CZ"/>
        </w:rPr>
        <w:t xml:space="preserve">označovaný zkratkou </w:t>
      </w:r>
      <w:r w:rsidR="00556791" w:rsidRPr="00AA0471">
        <w:rPr>
          <w:rFonts w:asciiTheme="minorHAnsi" w:hAnsiTheme="minorHAnsi" w:cstheme="minorHAnsi"/>
          <w:b/>
          <w:color w:val="000000"/>
          <w:lang w:val="cs-CZ"/>
        </w:rPr>
        <w:t>IS DotInfo EDS</w:t>
      </w:r>
      <w:r w:rsidR="00556791" w:rsidRPr="009C4A68">
        <w:rPr>
          <w:rFonts w:asciiTheme="minorHAnsi" w:hAnsiTheme="minorHAnsi" w:cstheme="minorHAnsi"/>
          <w:b/>
          <w:color w:val="000000"/>
          <w:lang w:val="cs-CZ"/>
        </w:rPr>
        <w:t>.</w:t>
      </w:r>
    </w:p>
    <w:p w14:paraId="746A7F10" w14:textId="77777777" w:rsidR="007D5598" w:rsidRPr="00D92ED2" w:rsidRDefault="007D5598" w:rsidP="00362BC6">
      <w:pPr>
        <w:jc w:val="both"/>
        <w:rPr>
          <w:rFonts w:asciiTheme="minorHAnsi" w:hAnsiTheme="minorHAnsi" w:cstheme="minorHAnsi"/>
          <w:color w:val="000000"/>
          <w:lang w:val="cs-CZ"/>
        </w:rPr>
      </w:pPr>
    </w:p>
    <w:p w14:paraId="34996BF2" w14:textId="77777777" w:rsidR="00CD11C6" w:rsidRPr="00D92ED2" w:rsidRDefault="00945821" w:rsidP="00362BC6">
      <w:pPr>
        <w:jc w:val="both"/>
        <w:rPr>
          <w:rFonts w:asciiTheme="minorHAnsi" w:hAnsiTheme="minorHAnsi" w:cstheme="minorHAnsi"/>
          <w:b/>
          <w:color w:val="000000"/>
          <w:lang w:val="cs-CZ"/>
        </w:rPr>
      </w:pPr>
      <w:r w:rsidRPr="00D92ED2">
        <w:rPr>
          <w:rFonts w:asciiTheme="minorHAnsi" w:hAnsiTheme="minorHAnsi" w:cstheme="minorHAnsi"/>
          <w:b/>
          <w:color w:val="000000"/>
          <w:lang w:val="cs-CZ"/>
        </w:rPr>
        <w:t xml:space="preserve">Nejvyšší kontrolní úřad </w:t>
      </w:r>
      <w:r w:rsidR="004D24CE" w:rsidRPr="00D92ED2">
        <w:rPr>
          <w:rFonts w:asciiTheme="minorHAnsi" w:hAnsiTheme="minorHAnsi" w:cstheme="minorHAnsi"/>
          <w:b/>
          <w:color w:val="000000"/>
          <w:lang w:val="cs-CZ"/>
        </w:rPr>
        <w:t>posuzoval</w:t>
      </w:r>
      <w:r w:rsidRPr="00D92ED2">
        <w:rPr>
          <w:rFonts w:asciiTheme="minorHAnsi" w:hAnsiTheme="minorHAnsi" w:cstheme="minorHAnsi"/>
          <w:b/>
          <w:color w:val="000000"/>
          <w:lang w:val="cs-CZ"/>
        </w:rPr>
        <w:t xml:space="preserve"> </w:t>
      </w:r>
      <w:r w:rsidR="00E64CBE" w:rsidRPr="00D92ED2">
        <w:rPr>
          <w:rFonts w:asciiTheme="minorHAnsi" w:hAnsiTheme="minorHAnsi" w:cstheme="minorHAnsi"/>
          <w:b/>
          <w:color w:val="000000"/>
          <w:lang w:val="cs-CZ"/>
        </w:rPr>
        <w:t xml:space="preserve">u </w:t>
      </w:r>
      <w:r w:rsidR="008F7D61" w:rsidRPr="00D92ED2">
        <w:rPr>
          <w:rFonts w:asciiTheme="minorHAnsi" w:hAnsiTheme="minorHAnsi" w:cstheme="minorHAnsi"/>
          <w:b/>
          <w:color w:val="000000"/>
          <w:lang w:val="cs-CZ"/>
        </w:rPr>
        <w:t>kontrolovaných osob</w:t>
      </w:r>
      <w:r w:rsidR="00451E1E" w:rsidRPr="00D92ED2">
        <w:rPr>
          <w:rFonts w:asciiTheme="minorHAnsi" w:hAnsiTheme="minorHAnsi" w:cstheme="minorHAnsi"/>
          <w:b/>
          <w:color w:val="000000"/>
          <w:lang w:val="cs-CZ"/>
        </w:rPr>
        <w:t>:</w:t>
      </w:r>
    </w:p>
    <w:p w14:paraId="7CCEE260" w14:textId="77777777" w:rsidR="00496E33" w:rsidRPr="00D92ED2" w:rsidRDefault="004C3DF5" w:rsidP="00362BC6">
      <w:pPr>
        <w:pStyle w:val="Odstavecseseznamem"/>
        <w:numPr>
          <w:ilvl w:val="0"/>
          <w:numId w:val="1"/>
        </w:numPr>
        <w:ind w:left="425" w:hanging="425"/>
        <w:contextualSpacing w:val="0"/>
        <w:jc w:val="both"/>
        <w:rPr>
          <w:rFonts w:asciiTheme="minorHAnsi" w:hAnsiTheme="minorHAnsi" w:cstheme="minorHAnsi"/>
          <w:color w:val="000000"/>
          <w:lang w:val="cs-CZ"/>
        </w:rPr>
      </w:pPr>
      <w:r w:rsidRPr="00D92ED2">
        <w:rPr>
          <w:rFonts w:asciiTheme="minorHAnsi" w:hAnsiTheme="minorHAnsi" w:cstheme="minorHAnsi"/>
          <w:color w:val="000000"/>
          <w:lang w:val="cs-CZ"/>
        </w:rPr>
        <w:t>z</w:t>
      </w:r>
      <w:r w:rsidR="00496E33" w:rsidRPr="00D92ED2">
        <w:rPr>
          <w:rFonts w:asciiTheme="minorHAnsi" w:hAnsiTheme="minorHAnsi" w:cstheme="minorHAnsi"/>
          <w:color w:val="000000"/>
          <w:lang w:val="cs-CZ"/>
        </w:rPr>
        <w:t>da strategické, koncepční a metodické řízení zajistilo účelný rozvoj informační podpory procesů poskytování a správy prostředků na programy</w:t>
      </w:r>
      <w:r w:rsidR="00A922EB" w:rsidRPr="00D92ED2">
        <w:rPr>
          <w:rFonts w:asciiTheme="minorHAnsi" w:hAnsiTheme="minorHAnsi" w:cstheme="minorHAnsi"/>
          <w:color w:val="000000"/>
          <w:lang w:val="cs-CZ"/>
        </w:rPr>
        <w:t xml:space="preserve"> reprodukce majetku u IS SMVS a </w:t>
      </w:r>
      <w:r w:rsidR="00496E33" w:rsidRPr="00D92ED2">
        <w:rPr>
          <w:rFonts w:asciiTheme="minorHAnsi" w:hAnsiTheme="minorHAnsi" w:cstheme="minorHAnsi"/>
          <w:color w:val="000000"/>
          <w:lang w:val="cs-CZ"/>
        </w:rPr>
        <w:t>dotací u IS ED</w:t>
      </w:r>
      <w:r w:rsidR="00836F32" w:rsidRPr="00D92ED2">
        <w:rPr>
          <w:rFonts w:asciiTheme="minorHAnsi" w:hAnsiTheme="minorHAnsi" w:cstheme="minorHAnsi"/>
          <w:color w:val="000000"/>
          <w:lang w:val="cs-CZ"/>
        </w:rPr>
        <w:t>S, IS CEDR III a IS DotInfo EDS</w:t>
      </w:r>
      <w:r w:rsidR="00CE288C">
        <w:rPr>
          <w:rFonts w:asciiTheme="minorHAnsi" w:hAnsiTheme="minorHAnsi" w:cstheme="minorHAnsi"/>
          <w:color w:val="000000"/>
          <w:lang w:val="cs-CZ"/>
        </w:rPr>
        <w:t xml:space="preserve"> </w:t>
      </w:r>
      <w:r w:rsidR="00CE288C" w:rsidRPr="00D92ED2">
        <w:rPr>
          <w:rFonts w:asciiTheme="minorHAnsi" w:hAnsiTheme="minorHAnsi" w:cstheme="minorHAnsi"/>
          <w:lang w:val="cs-CZ"/>
        </w:rPr>
        <w:t>(</w:t>
      </w:r>
      <w:r w:rsidR="00C01646">
        <w:rPr>
          <w:rFonts w:asciiTheme="minorHAnsi" w:hAnsiTheme="minorHAnsi" w:cstheme="minorHAnsi"/>
          <w:lang w:val="cs-CZ"/>
        </w:rPr>
        <w:t xml:space="preserve">viz </w:t>
      </w:r>
      <w:r w:rsidR="00CE288C" w:rsidRPr="00D92ED2">
        <w:rPr>
          <w:rFonts w:asciiTheme="minorHAnsi" w:hAnsiTheme="minorHAnsi" w:cstheme="minorHAnsi"/>
          <w:lang w:val="cs-CZ"/>
        </w:rPr>
        <w:t>příloha</w:t>
      </w:r>
      <w:r w:rsidR="00C01646">
        <w:rPr>
          <w:rFonts w:asciiTheme="minorHAnsi" w:hAnsiTheme="minorHAnsi" w:cstheme="minorHAnsi"/>
          <w:lang w:val="cs-CZ"/>
        </w:rPr>
        <w:t xml:space="preserve"> č. 1</w:t>
      </w:r>
      <w:r w:rsidR="00CE288C" w:rsidRPr="00D92ED2">
        <w:rPr>
          <w:rFonts w:asciiTheme="minorHAnsi" w:hAnsiTheme="minorHAnsi" w:cstheme="minorHAnsi"/>
          <w:lang w:val="cs-CZ"/>
        </w:rPr>
        <w:t>)</w:t>
      </w:r>
      <w:r w:rsidR="00974BCB" w:rsidRPr="00D92ED2">
        <w:rPr>
          <w:rFonts w:asciiTheme="minorHAnsi" w:hAnsiTheme="minorHAnsi" w:cstheme="minorHAnsi"/>
          <w:color w:val="000000"/>
          <w:lang w:val="cs-CZ"/>
        </w:rPr>
        <w:t>;</w:t>
      </w:r>
      <w:r w:rsidR="004A11D8" w:rsidRPr="00D92ED2">
        <w:rPr>
          <w:rFonts w:asciiTheme="minorHAnsi" w:hAnsiTheme="minorHAnsi" w:cstheme="minorHAnsi"/>
          <w:color w:val="000000"/>
          <w:lang w:val="cs-CZ"/>
        </w:rPr>
        <w:t xml:space="preserve"> </w:t>
      </w:r>
    </w:p>
    <w:p w14:paraId="27CF774F" w14:textId="77777777" w:rsidR="00836F32" w:rsidRPr="00D92ED2" w:rsidRDefault="004C3DF5" w:rsidP="00362BC6">
      <w:pPr>
        <w:pStyle w:val="Odstavecseseznamem"/>
        <w:numPr>
          <w:ilvl w:val="0"/>
          <w:numId w:val="1"/>
        </w:numPr>
        <w:ind w:left="425" w:hanging="425"/>
        <w:contextualSpacing w:val="0"/>
        <w:jc w:val="both"/>
        <w:rPr>
          <w:rFonts w:asciiTheme="minorHAnsi" w:hAnsiTheme="minorHAnsi" w:cstheme="minorHAnsi"/>
          <w:color w:val="000000"/>
          <w:lang w:val="cs-CZ"/>
        </w:rPr>
      </w:pPr>
      <w:r w:rsidRPr="00D92ED2">
        <w:rPr>
          <w:rFonts w:asciiTheme="minorHAnsi" w:hAnsiTheme="minorHAnsi" w:cstheme="minorHAnsi"/>
          <w:color w:val="000000"/>
          <w:lang w:val="cs-CZ"/>
        </w:rPr>
        <w:t>v</w:t>
      </w:r>
      <w:r w:rsidR="004450B9" w:rsidRPr="00D92ED2">
        <w:rPr>
          <w:rFonts w:asciiTheme="minorHAnsi" w:hAnsiTheme="minorHAnsi" w:cstheme="minorHAnsi"/>
          <w:color w:val="000000"/>
          <w:lang w:val="cs-CZ"/>
        </w:rPr>
        <w:t xml:space="preserve">yužitelnost a vypovídací hodnotu </w:t>
      </w:r>
      <w:r w:rsidR="00836F32" w:rsidRPr="00D92ED2">
        <w:rPr>
          <w:rFonts w:asciiTheme="minorHAnsi" w:hAnsiTheme="minorHAnsi" w:cstheme="minorHAnsi"/>
          <w:color w:val="000000"/>
          <w:lang w:val="cs-CZ"/>
        </w:rPr>
        <w:t>dat obsažen</w:t>
      </w:r>
      <w:r w:rsidR="004450B9" w:rsidRPr="00D92ED2">
        <w:rPr>
          <w:rFonts w:asciiTheme="minorHAnsi" w:hAnsiTheme="minorHAnsi" w:cstheme="minorHAnsi"/>
          <w:color w:val="000000"/>
          <w:lang w:val="cs-CZ"/>
        </w:rPr>
        <w:t>ých</w:t>
      </w:r>
      <w:r w:rsidR="00836F32" w:rsidRPr="00D92ED2">
        <w:rPr>
          <w:rFonts w:asciiTheme="minorHAnsi" w:hAnsiTheme="minorHAnsi" w:cstheme="minorHAnsi"/>
          <w:color w:val="000000"/>
          <w:lang w:val="cs-CZ"/>
        </w:rPr>
        <w:t xml:space="preserve"> v IS CEDR III, IS EDS/SMVS a IS DotInfo EDS</w:t>
      </w:r>
      <w:r w:rsidR="00D84112" w:rsidRPr="00D92ED2">
        <w:rPr>
          <w:rFonts w:asciiTheme="minorHAnsi" w:hAnsiTheme="minorHAnsi" w:cstheme="minorHAnsi"/>
          <w:color w:val="000000"/>
          <w:lang w:val="cs-CZ"/>
        </w:rPr>
        <w:t>,</w:t>
      </w:r>
      <w:r w:rsidR="00836F32" w:rsidRPr="00D92ED2">
        <w:rPr>
          <w:rFonts w:asciiTheme="minorHAnsi" w:hAnsiTheme="minorHAnsi" w:cstheme="minorHAnsi"/>
          <w:color w:val="000000"/>
          <w:lang w:val="cs-CZ"/>
        </w:rPr>
        <w:t xml:space="preserve"> </w:t>
      </w:r>
      <w:r w:rsidR="004450B9" w:rsidRPr="00D92ED2">
        <w:rPr>
          <w:rFonts w:asciiTheme="minorHAnsi" w:hAnsiTheme="minorHAnsi" w:cstheme="minorHAnsi"/>
          <w:color w:val="000000"/>
          <w:lang w:val="cs-CZ"/>
        </w:rPr>
        <w:t xml:space="preserve">a to z hlediska </w:t>
      </w:r>
      <w:r w:rsidR="00F50A27" w:rsidRPr="00D92ED2">
        <w:rPr>
          <w:rFonts w:asciiTheme="minorHAnsi" w:hAnsiTheme="minorHAnsi" w:cstheme="minorHAnsi"/>
          <w:color w:val="000000"/>
          <w:lang w:val="cs-CZ"/>
        </w:rPr>
        <w:t xml:space="preserve">účelu </w:t>
      </w:r>
      <w:r w:rsidR="004450B9" w:rsidRPr="00D92ED2">
        <w:rPr>
          <w:rFonts w:asciiTheme="minorHAnsi" w:hAnsiTheme="minorHAnsi" w:cstheme="minorHAnsi"/>
          <w:color w:val="000000"/>
          <w:lang w:val="cs-CZ"/>
        </w:rPr>
        <w:t>budovaných informačních systémů</w:t>
      </w:r>
      <w:r w:rsidR="00974BCB" w:rsidRPr="00D92ED2">
        <w:rPr>
          <w:rFonts w:asciiTheme="minorHAnsi" w:hAnsiTheme="minorHAnsi" w:cstheme="minorHAnsi"/>
          <w:color w:val="000000"/>
          <w:lang w:val="cs-CZ"/>
        </w:rPr>
        <w:t>;</w:t>
      </w:r>
    </w:p>
    <w:p w14:paraId="5D20E40B" w14:textId="77777777" w:rsidR="00496E33" w:rsidRPr="00D92ED2" w:rsidRDefault="004C3DF5" w:rsidP="00362BC6">
      <w:pPr>
        <w:pStyle w:val="Odstavecseseznamem"/>
        <w:numPr>
          <w:ilvl w:val="0"/>
          <w:numId w:val="1"/>
        </w:numPr>
        <w:ind w:left="425" w:hanging="425"/>
        <w:contextualSpacing w:val="0"/>
        <w:jc w:val="both"/>
        <w:rPr>
          <w:rFonts w:asciiTheme="minorHAnsi" w:hAnsiTheme="minorHAnsi" w:cstheme="minorHAnsi"/>
          <w:color w:val="000000"/>
          <w:lang w:val="cs-CZ"/>
        </w:rPr>
      </w:pPr>
      <w:r w:rsidRPr="00D92ED2">
        <w:rPr>
          <w:rFonts w:asciiTheme="minorHAnsi" w:hAnsiTheme="minorHAnsi" w:cstheme="minorHAnsi"/>
          <w:color w:val="000000"/>
          <w:lang w:val="cs-CZ"/>
        </w:rPr>
        <w:t>z</w:t>
      </w:r>
      <w:r w:rsidR="00496E33" w:rsidRPr="00D92ED2">
        <w:rPr>
          <w:rFonts w:asciiTheme="minorHAnsi" w:hAnsiTheme="minorHAnsi" w:cstheme="minorHAnsi"/>
          <w:color w:val="000000"/>
          <w:lang w:val="cs-CZ"/>
        </w:rPr>
        <w:t xml:space="preserve">da veřejné zakázky </w:t>
      </w:r>
      <w:r w:rsidR="00E74BBB" w:rsidRPr="00D92ED2">
        <w:rPr>
          <w:rFonts w:asciiTheme="minorHAnsi" w:hAnsiTheme="minorHAnsi" w:cs="Calibri"/>
          <w:color w:val="000000"/>
          <w:lang w:val="cs-CZ"/>
        </w:rPr>
        <w:t xml:space="preserve">(dále také „VZ“) </w:t>
      </w:r>
      <w:r w:rsidR="00496E33" w:rsidRPr="00D92ED2">
        <w:rPr>
          <w:rFonts w:asciiTheme="minorHAnsi" w:hAnsiTheme="minorHAnsi" w:cstheme="minorHAnsi"/>
          <w:color w:val="000000"/>
          <w:lang w:val="cs-CZ"/>
        </w:rPr>
        <w:t xml:space="preserve">na zajištění informační podpory </w:t>
      </w:r>
      <w:r w:rsidR="00A922EB" w:rsidRPr="00D92ED2">
        <w:rPr>
          <w:rFonts w:asciiTheme="minorHAnsi" w:hAnsiTheme="minorHAnsi" w:cstheme="minorHAnsi"/>
          <w:color w:val="000000"/>
          <w:lang w:val="cs-CZ"/>
        </w:rPr>
        <w:t>systému financování programů a </w:t>
      </w:r>
      <w:r w:rsidR="00612535" w:rsidRPr="00D92ED2">
        <w:rPr>
          <w:rFonts w:asciiTheme="minorHAnsi" w:hAnsiTheme="minorHAnsi" w:cstheme="minorHAnsi"/>
          <w:color w:val="000000"/>
          <w:lang w:val="cs-CZ"/>
        </w:rPr>
        <w:t xml:space="preserve">dotací </w:t>
      </w:r>
      <w:r w:rsidR="00496E33" w:rsidRPr="00D92ED2">
        <w:rPr>
          <w:rFonts w:asciiTheme="minorHAnsi" w:hAnsiTheme="minorHAnsi" w:cstheme="minorHAnsi"/>
          <w:color w:val="000000"/>
          <w:lang w:val="cs-CZ"/>
        </w:rPr>
        <w:t>byly zadávány v souladu s právními předpisy a vedly k hospodárnému vynaložení peněžních prostředků</w:t>
      </w:r>
      <w:r w:rsidR="00974BCB" w:rsidRPr="00D92ED2">
        <w:rPr>
          <w:rFonts w:asciiTheme="minorHAnsi" w:hAnsiTheme="minorHAnsi" w:cstheme="minorHAnsi"/>
          <w:color w:val="000000"/>
          <w:lang w:val="cs-CZ"/>
        </w:rPr>
        <w:t>;</w:t>
      </w:r>
    </w:p>
    <w:p w14:paraId="51D96BBD" w14:textId="77777777" w:rsidR="00694D66" w:rsidRDefault="004C3DF5" w:rsidP="00362BC6">
      <w:pPr>
        <w:pStyle w:val="Odstavecseseznamem"/>
        <w:numPr>
          <w:ilvl w:val="0"/>
          <w:numId w:val="1"/>
        </w:numPr>
        <w:ind w:left="425" w:hanging="425"/>
        <w:contextualSpacing w:val="0"/>
        <w:jc w:val="both"/>
        <w:rPr>
          <w:rFonts w:asciiTheme="minorHAnsi" w:hAnsiTheme="minorHAnsi" w:cstheme="minorHAnsi"/>
          <w:color w:val="000000"/>
          <w:lang w:val="cs-CZ"/>
        </w:rPr>
      </w:pPr>
      <w:r w:rsidRPr="00B2676F">
        <w:rPr>
          <w:rFonts w:asciiTheme="minorHAnsi" w:hAnsiTheme="minorHAnsi" w:cstheme="minorHAnsi"/>
          <w:color w:val="000000"/>
          <w:lang w:val="cs-CZ"/>
        </w:rPr>
        <w:t>z</w:t>
      </w:r>
      <w:r w:rsidR="0069204D" w:rsidRPr="00B2676F">
        <w:rPr>
          <w:rFonts w:asciiTheme="minorHAnsi" w:hAnsiTheme="minorHAnsi" w:cstheme="minorHAnsi"/>
          <w:color w:val="000000"/>
          <w:lang w:val="cs-CZ"/>
        </w:rPr>
        <w:t xml:space="preserve">da </w:t>
      </w:r>
      <w:r w:rsidR="0065631B" w:rsidRPr="00B2676F">
        <w:rPr>
          <w:rFonts w:asciiTheme="minorHAnsi" w:hAnsiTheme="minorHAnsi" w:cstheme="minorHAnsi"/>
          <w:color w:val="000000"/>
          <w:lang w:val="cs-CZ"/>
        </w:rPr>
        <w:t>v</w:t>
      </w:r>
      <w:r w:rsidR="0069204D" w:rsidRPr="00B2676F">
        <w:rPr>
          <w:rFonts w:asciiTheme="minorHAnsi" w:hAnsiTheme="minorHAnsi" w:cstheme="minorHAnsi"/>
          <w:color w:val="000000"/>
          <w:lang w:val="cs-CZ"/>
        </w:rPr>
        <w:t xml:space="preserve"> ČR </w:t>
      </w:r>
      <w:r w:rsidR="00E06438" w:rsidRPr="00B2676F">
        <w:rPr>
          <w:rFonts w:asciiTheme="minorHAnsi" w:hAnsiTheme="minorHAnsi" w:cstheme="minorHAnsi"/>
          <w:color w:val="000000"/>
          <w:lang w:val="cs-CZ"/>
        </w:rPr>
        <w:t>zavedený systém informační podpory</w:t>
      </w:r>
      <w:r w:rsidR="0088356B">
        <w:rPr>
          <w:rFonts w:asciiTheme="minorHAnsi" w:hAnsiTheme="minorHAnsi" w:cstheme="minorHAnsi"/>
          <w:color w:val="000000"/>
          <w:lang w:val="cs-CZ"/>
        </w:rPr>
        <w:t xml:space="preserve"> </w:t>
      </w:r>
      <w:r w:rsidR="0088356B" w:rsidRPr="00C45925">
        <w:rPr>
          <w:rFonts w:asciiTheme="minorHAnsi" w:hAnsiTheme="minorHAnsi" w:cstheme="minorHAnsi"/>
          <w:color w:val="000000"/>
          <w:lang w:val="cs-CZ"/>
        </w:rPr>
        <w:t>(dále také „ICT“)</w:t>
      </w:r>
      <w:r w:rsidR="00E06438" w:rsidRPr="00B2676F">
        <w:rPr>
          <w:rFonts w:asciiTheme="minorHAnsi" w:hAnsiTheme="minorHAnsi" w:cstheme="minorHAnsi"/>
          <w:color w:val="000000"/>
          <w:lang w:val="cs-CZ"/>
        </w:rPr>
        <w:t xml:space="preserve"> poskytování </w:t>
      </w:r>
      <w:r w:rsidR="00612535" w:rsidRPr="00B2676F">
        <w:rPr>
          <w:rFonts w:asciiTheme="minorHAnsi" w:hAnsiTheme="minorHAnsi" w:cstheme="minorHAnsi"/>
          <w:color w:val="000000"/>
          <w:lang w:val="cs-CZ"/>
        </w:rPr>
        <w:t xml:space="preserve">prostředků na programy reprodukce majetku a </w:t>
      </w:r>
      <w:r w:rsidR="00E06438" w:rsidRPr="005345C0">
        <w:rPr>
          <w:rFonts w:asciiTheme="minorHAnsi" w:hAnsiTheme="minorHAnsi" w:cstheme="minorHAnsi"/>
          <w:color w:val="000000"/>
          <w:lang w:val="cs-CZ"/>
        </w:rPr>
        <w:t xml:space="preserve">dotací umožňuje efektivní </w:t>
      </w:r>
      <w:r w:rsidR="00956351" w:rsidRPr="005345C0">
        <w:rPr>
          <w:rFonts w:asciiTheme="minorHAnsi" w:hAnsiTheme="minorHAnsi" w:cstheme="minorHAnsi"/>
          <w:color w:val="000000"/>
          <w:lang w:val="cs-CZ"/>
        </w:rPr>
        <w:t xml:space="preserve">řízení </w:t>
      </w:r>
      <w:r w:rsidR="0065631B" w:rsidRPr="00BD47A4">
        <w:rPr>
          <w:rFonts w:asciiTheme="minorHAnsi" w:hAnsiTheme="minorHAnsi" w:cstheme="minorHAnsi"/>
          <w:color w:val="000000"/>
          <w:lang w:val="cs-CZ"/>
        </w:rPr>
        <w:t>alokace</w:t>
      </w:r>
      <w:r w:rsidR="00E06438" w:rsidRPr="00BD47A4">
        <w:rPr>
          <w:rFonts w:asciiTheme="minorHAnsi" w:hAnsiTheme="minorHAnsi" w:cstheme="minorHAnsi"/>
          <w:color w:val="000000"/>
          <w:lang w:val="cs-CZ"/>
        </w:rPr>
        <w:t xml:space="preserve"> prostředků SR</w:t>
      </w:r>
      <w:r w:rsidR="0074441D" w:rsidRPr="00BD47A4">
        <w:rPr>
          <w:rFonts w:asciiTheme="minorHAnsi" w:hAnsiTheme="minorHAnsi" w:cstheme="minorHAnsi"/>
          <w:color w:val="000000"/>
          <w:lang w:val="cs-CZ"/>
        </w:rPr>
        <w:t xml:space="preserve"> zejména s ohledem na spolehlivost </w:t>
      </w:r>
      <w:r w:rsidR="00A16B44" w:rsidRPr="00BD47A4">
        <w:rPr>
          <w:rFonts w:asciiTheme="minorHAnsi" w:hAnsiTheme="minorHAnsi" w:cstheme="minorHAnsi"/>
          <w:color w:val="000000"/>
          <w:lang w:val="cs-CZ"/>
        </w:rPr>
        <w:t xml:space="preserve">dat </w:t>
      </w:r>
      <w:r w:rsidR="00E06438" w:rsidRPr="009951AE">
        <w:rPr>
          <w:rFonts w:asciiTheme="minorHAnsi" w:hAnsiTheme="minorHAnsi" w:cstheme="minorHAnsi"/>
          <w:color w:val="000000"/>
          <w:lang w:val="cs-CZ"/>
        </w:rPr>
        <w:t>obsažených v těchto IS</w:t>
      </w:r>
      <w:r w:rsidR="00694D66">
        <w:rPr>
          <w:rFonts w:asciiTheme="minorHAnsi" w:hAnsiTheme="minorHAnsi" w:cstheme="minorHAnsi"/>
          <w:color w:val="000000"/>
          <w:lang w:val="cs-CZ"/>
        </w:rPr>
        <w:t>.</w:t>
      </w:r>
    </w:p>
    <w:p w14:paraId="1D070129" w14:textId="77777777" w:rsidR="00362BC6" w:rsidRDefault="00362BC6" w:rsidP="00362BC6">
      <w:pPr>
        <w:jc w:val="both"/>
        <w:rPr>
          <w:rFonts w:asciiTheme="minorHAnsi" w:hAnsiTheme="minorHAnsi" w:cstheme="minorHAnsi"/>
          <w:color w:val="000000"/>
          <w:lang w:val="cs-CZ"/>
        </w:rPr>
      </w:pPr>
    </w:p>
    <w:p w14:paraId="30C45105" w14:textId="77777777" w:rsidR="00362BC6" w:rsidRPr="00362BC6" w:rsidRDefault="00362BC6" w:rsidP="00362BC6">
      <w:pPr>
        <w:jc w:val="both"/>
        <w:rPr>
          <w:rFonts w:asciiTheme="minorHAnsi" w:hAnsiTheme="minorHAnsi" w:cstheme="minorHAnsi"/>
          <w:color w:val="000000"/>
          <w:lang w:val="cs-CZ"/>
        </w:rPr>
      </w:pPr>
    </w:p>
    <w:p w14:paraId="7664FF76" w14:textId="77777777" w:rsidR="00D53D97" w:rsidRPr="00694D66" w:rsidRDefault="00D53D97" w:rsidP="00701D3A">
      <w:pPr>
        <w:tabs>
          <w:tab w:val="left" w:pos="567"/>
        </w:tabs>
        <w:ind w:left="567" w:hanging="567"/>
        <w:jc w:val="both"/>
        <w:rPr>
          <w:rFonts w:asciiTheme="minorHAnsi" w:hAnsiTheme="minorHAnsi" w:cstheme="minorHAnsi"/>
          <w:color w:val="000000"/>
          <w:lang w:val="cs-CZ"/>
        </w:rPr>
      </w:pPr>
      <w:r w:rsidRPr="00694D66">
        <w:rPr>
          <w:rFonts w:ascii="Calibri" w:hAnsi="Calibri" w:cs="Calibri"/>
          <w:b/>
          <w:iCs/>
          <w:sz w:val="20"/>
          <w:szCs w:val="20"/>
          <w:lang w:val="cs-CZ" w:eastAsia="cs-CZ"/>
        </w:rPr>
        <w:t>Pozn.:</w:t>
      </w:r>
      <w:r w:rsidRPr="00694D66">
        <w:rPr>
          <w:rFonts w:ascii="Calibri" w:hAnsi="Calibri" w:cs="Calibri"/>
          <w:b/>
          <w:iCs/>
          <w:sz w:val="20"/>
          <w:szCs w:val="20"/>
          <w:lang w:val="cs-CZ" w:eastAsia="cs-CZ"/>
        </w:rPr>
        <w:tab/>
      </w:r>
      <w:r w:rsidRPr="00694D66">
        <w:rPr>
          <w:rFonts w:ascii="Calibri" w:hAnsi="Calibri" w:cs="Calibri"/>
          <w:iCs/>
          <w:sz w:val="20"/>
          <w:szCs w:val="20"/>
          <w:lang w:val="cs-CZ" w:eastAsia="cs-CZ"/>
        </w:rPr>
        <w:t>Všechny právní předpisy uvedené v tomto kontrolním závěru jsou aplikovány ve znění účinném pro kontrolované období</w:t>
      </w:r>
      <w:r w:rsidR="004810BA" w:rsidRPr="00694D66">
        <w:rPr>
          <w:rFonts w:ascii="Calibri" w:hAnsi="Calibri" w:cs="Calibri"/>
          <w:iCs/>
          <w:sz w:val="20"/>
          <w:szCs w:val="20"/>
          <w:lang w:val="cs-CZ" w:eastAsia="cs-CZ"/>
        </w:rPr>
        <w:t>. Všechny uvedené částky v textu kontrolního závěru jsou včetně DPH, pokud není v</w:t>
      </w:r>
      <w:r w:rsidR="00701D3A">
        <w:rPr>
          <w:rFonts w:ascii="Calibri" w:hAnsi="Calibri" w:cs="Calibri"/>
          <w:iCs/>
          <w:sz w:val="20"/>
          <w:szCs w:val="20"/>
          <w:lang w:val="cs-CZ" w:eastAsia="cs-CZ"/>
        </w:rPr>
        <w:t> </w:t>
      </w:r>
      <w:r w:rsidR="004810BA" w:rsidRPr="00694D66">
        <w:rPr>
          <w:rFonts w:ascii="Calibri" w:hAnsi="Calibri" w:cs="Calibri"/>
          <w:iCs/>
          <w:sz w:val="20"/>
          <w:szCs w:val="20"/>
          <w:lang w:val="cs-CZ" w:eastAsia="cs-CZ"/>
        </w:rPr>
        <w:t>textu uvedeno jinak.</w:t>
      </w:r>
      <w:r w:rsidR="00092D1F">
        <w:rPr>
          <w:rFonts w:ascii="Calibri" w:hAnsi="Calibri" w:cs="Calibri"/>
          <w:iCs/>
          <w:sz w:val="20"/>
          <w:szCs w:val="20"/>
          <w:lang w:val="cs-CZ" w:eastAsia="cs-CZ"/>
        </w:rPr>
        <w:t xml:space="preserve"> </w:t>
      </w:r>
      <w:r w:rsidR="00B909EA">
        <w:rPr>
          <w:rFonts w:ascii="Calibri" w:hAnsi="Calibri" w:cs="Calibri"/>
          <w:iCs/>
          <w:sz w:val="20"/>
          <w:szCs w:val="20"/>
          <w:lang w:val="cs-CZ" w:eastAsia="cs-CZ"/>
        </w:rPr>
        <w:t>Informace</w:t>
      </w:r>
      <w:r w:rsidR="00092D1F">
        <w:rPr>
          <w:rFonts w:ascii="Calibri" w:hAnsi="Calibri" w:cs="Calibri"/>
          <w:iCs/>
          <w:sz w:val="20"/>
          <w:szCs w:val="20"/>
          <w:lang w:val="cs-CZ" w:eastAsia="cs-CZ"/>
        </w:rPr>
        <w:t xml:space="preserve"> uveden</w:t>
      </w:r>
      <w:r w:rsidR="00B909EA">
        <w:rPr>
          <w:rFonts w:ascii="Calibri" w:hAnsi="Calibri" w:cs="Calibri"/>
          <w:iCs/>
          <w:sz w:val="20"/>
          <w:szCs w:val="20"/>
          <w:lang w:val="cs-CZ" w:eastAsia="cs-CZ"/>
        </w:rPr>
        <w:t>é</w:t>
      </w:r>
      <w:r w:rsidR="00092D1F">
        <w:rPr>
          <w:rFonts w:ascii="Calibri" w:hAnsi="Calibri" w:cs="Calibri"/>
          <w:iCs/>
          <w:sz w:val="20"/>
          <w:szCs w:val="20"/>
          <w:lang w:val="cs-CZ" w:eastAsia="cs-CZ"/>
        </w:rPr>
        <w:t xml:space="preserve"> v úvodu ohledně objemu dat v IS byla vygenerována z IS</w:t>
      </w:r>
      <w:r w:rsidR="00701D3A">
        <w:rPr>
          <w:rFonts w:ascii="Calibri" w:hAnsi="Calibri" w:cs="Calibri"/>
          <w:iCs/>
          <w:sz w:val="20"/>
          <w:szCs w:val="20"/>
          <w:lang w:val="cs-CZ" w:eastAsia="cs-CZ"/>
        </w:rPr>
        <w:t> </w:t>
      </w:r>
      <w:r w:rsidR="00B909EA">
        <w:rPr>
          <w:rFonts w:ascii="Calibri" w:hAnsi="Calibri" w:cs="Calibri"/>
          <w:iCs/>
          <w:sz w:val="20"/>
          <w:szCs w:val="20"/>
          <w:lang w:val="cs-CZ" w:eastAsia="cs-CZ"/>
        </w:rPr>
        <w:t>EDS/SMVS a IS CEDR </w:t>
      </w:r>
      <w:r w:rsidR="00092D1F">
        <w:rPr>
          <w:rFonts w:ascii="Calibri" w:hAnsi="Calibri" w:cs="Calibri"/>
          <w:iCs/>
          <w:sz w:val="20"/>
          <w:szCs w:val="20"/>
          <w:lang w:val="cs-CZ" w:eastAsia="cs-CZ"/>
        </w:rPr>
        <w:t>III ke dni 20. 5. 2016.</w:t>
      </w:r>
    </w:p>
    <w:p w14:paraId="1BA9391F" w14:textId="77777777" w:rsidR="00A549B3" w:rsidRDefault="00A549B3" w:rsidP="00362BC6">
      <w:pPr>
        <w:pStyle w:val="Odstavecseseznamem"/>
        <w:ind w:left="0"/>
        <w:contextualSpacing w:val="0"/>
        <w:jc w:val="both"/>
        <w:rPr>
          <w:rFonts w:asciiTheme="minorHAnsi" w:hAnsiTheme="minorHAnsi" w:cstheme="minorHAnsi"/>
          <w:color w:val="000000"/>
          <w:lang w:val="cs-CZ"/>
        </w:rPr>
      </w:pPr>
    </w:p>
    <w:p w14:paraId="4601196D" w14:textId="77777777" w:rsidR="00362BC6" w:rsidRPr="00D92ED2" w:rsidRDefault="00362BC6" w:rsidP="00362BC6">
      <w:pPr>
        <w:pStyle w:val="Odstavecseseznamem"/>
        <w:ind w:left="0"/>
        <w:contextualSpacing w:val="0"/>
        <w:jc w:val="both"/>
        <w:rPr>
          <w:rFonts w:asciiTheme="minorHAnsi" w:hAnsiTheme="minorHAnsi" w:cstheme="minorHAnsi"/>
          <w:color w:val="000000"/>
          <w:lang w:val="cs-CZ"/>
        </w:rPr>
      </w:pPr>
    </w:p>
    <w:p w14:paraId="33394929" w14:textId="77777777" w:rsidR="008376AD" w:rsidRDefault="005C3DF0" w:rsidP="009E29D1">
      <w:pPr>
        <w:jc w:val="center"/>
        <w:rPr>
          <w:rFonts w:asciiTheme="minorHAnsi" w:hAnsiTheme="minorHAnsi" w:cstheme="minorHAnsi"/>
          <w:b/>
          <w:color w:val="000000"/>
          <w:sz w:val="28"/>
          <w:szCs w:val="28"/>
          <w:lang w:val="cs-CZ"/>
        </w:rPr>
      </w:pPr>
      <w:r w:rsidRPr="00D92ED2">
        <w:rPr>
          <w:rFonts w:asciiTheme="minorHAnsi" w:hAnsiTheme="minorHAnsi" w:cstheme="minorHAnsi"/>
          <w:b/>
          <w:color w:val="000000"/>
          <w:sz w:val="28"/>
          <w:szCs w:val="28"/>
          <w:lang w:val="cs-CZ"/>
        </w:rPr>
        <w:t xml:space="preserve">II. </w:t>
      </w:r>
      <w:r w:rsidR="008376AD" w:rsidRPr="00D92ED2">
        <w:rPr>
          <w:rFonts w:asciiTheme="minorHAnsi" w:hAnsiTheme="minorHAnsi" w:cstheme="minorHAnsi"/>
          <w:b/>
          <w:color w:val="000000"/>
          <w:sz w:val="28"/>
          <w:szCs w:val="28"/>
          <w:lang w:val="cs-CZ"/>
        </w:rPr>
        <w:t>Shrnutí</w:t>
      </w:r>
      <w:r w:rsidR="00E06024">
        <w:rPr>
          <w:rFonts w:asciiTheme="minorHAnsi" w:hAnsiTheme="minorHAnsi" w:cstheme="minorHAnsi"/>
          <w:b/>
          <w:color w:val="000000"/>
          <w:sz w:val="28"/>
          <w:szCs w:val="28"/>
          <w:lang w:val="cs-CZ"/>
        </w:rPr>
        <w:t xml:space="preserve"> a vyhodnocení</w:t>
      </w:r>
    </w:p>
    <w:p w14:paraId="37B86636" w14:textId="77777777" w:rsidR="00165160" w:rsidRDefault="00165160" w:rsidP="00362BC6">
      <w:pPr>
        <w:jc w:val="both"/>
        <w:rPr>
          <w:rFonts w:asciiTheme="minorHAnsi" w:hAnsiTheme="minorHAnsi" w:cstheme="minorHAnsi"/>
          <w:color w:val="000000"/>
          <w:lang w:val="cs-CZ"/>
        </w:rPr>
      </w:pPr>
    </w:p>
    <w:p w14:paraId="383607ED" w14:textId="77777777" w:rsidR="004B0D47" w:rsidRPr="00304B03" w:rsidRDefault="004B0D47" w:rsidP="00362BC6">
      <w:pPr>
        <w:jc w:val="both"/>
        <w:rPr>
          <w:rFonts w:asciiTheme="minorHAnsi" w:hAnsiTheme="minorHAnsi"/>
          <w:b/>
          <w:bCs/>
          <w:color w:val="000000"/>
          <w:sz w:val="22"/>
          <w:szCs w:val="22"/>
          <w:lang w:val="cs-CZ"/>
        </w:rPr>
      </w:pPr>
      <w:r w:rsidRPr="00304B03">
        <w:rPr>
          <w:rFonts w:asciiTheme="minorHAnsi" w:hAnsiTheme="minorHAnsi"/>
          <w:b/>
          <w:bCs/>
          <w:color w:val="000000"/>
          <w:lang w:val="cs-CZ"/>
        </w:rPr>
        <w:t xml:space="preserve">Česká republika dosáhla v mezinárodním srovnání </w:t>
      </w:r>
      <w:r w:rsidR="00306423">
        <w:rPr>
          <w:rFonts w:asciiTheme="minorHAnsi" w:hAnsiTheme="minorHAnsi"/>
          <w:b/>
          <w:bCs/>
          <w:color w:val="000000"/>
          <w:lang w:val="cs-CZ"/>
        </w:rPr>
        <w:t xml:space="preserve">vybraných výkonnostních ukazatelů </w:t>
      </w:r>
      <w:r w:rsidRPr="00304B03">
        <w:rPr>
          <w:rFonts w:asciiTheme="minorHAnsi" w:hAnsiTheme="minorHAnsi"/>
          <w:b/>
          <w:bCs/>
          <w:color w:val="000000"/>
          <w:lang w:val="cs-CZ"/>
        </w:rPr>
        <w:t>rozpočtového procesu za rok 2015 (dosažená úroveň rozpočtové správy, tzv. Open Budget Index) v porovnání například se Slovenskem,</w:t>
      </w:r>
      <w:r w:rsidR="00C01646">
        <w:rPr>
          <w:rFonts w:asciiTheme="minorHAnsi" w:hAnsiTheme="minorHAnsi"/>
          <w:b/>
          <w:bCs/>
          <w:color w:val="000000"/>
          <w:lang w:val="cs-CZ"/>
        </w:rPr>
        <w:t xml:space="preserve"> </w:t>
      </w:r>
      <w:r w:rsidRPr="00304B03">
        <w:rPr>
          <w:rFonts w:asciiTheme="minorHAnsi" w:hAnsiTheme="minorHAnsi"/>
          <w:b/>
          <w:bCs/>
          <w:color w:val="000000"/>
          <w:lang w:val="cs-CZ"/>
        </w:rPr>
        <w:t>Polskem, Maďarskem, Slovinskem nebo Německem nejméně příznivého výsledku. Toto nepříznivé hodnocení se v čase nemění a je ovlivněno</w:t>
      </w:r>
      <w:r w:rsidR="00C01646">
        <w:rPr>
          <w:rFonts w:asciiTheme="minorHAnsi" w:hAnsiTheme="minorHAnsi"/>
          <w:b/>
          <w:bCs/>
          <w:color w:val="000000"/>
          <w:lang w:val="cs-CZ"/>
        </w:rPr>
        <w:t xml:space="preserve"> </w:t>
      </w:r>
      <w:r w:rsidR="00306423">
        <w:rPr>
          <w:rFonts w:asciiTheme="minorHAnsi" w:hAnsiTheme="minorHAnsi"/>
          <w:b/>
          <w:bCs/>
          <w:color w:val="000000"/>
          <w:lang w:val="cs-CZ"/>
        </w:rPr>
        <w:t xml:space="preserve">zejména </w:t>
      </w:r>
      <w:r w:rsidRPr="00304B03">
        <w:rPr>
          <w:rFonts w:asciiTheme="minorHAnsi" w:hAnsiTheme="minorHAnsi"/>
          <w:b/>
          <w:bCs/>
          <w:color w:val="000000"/>
          <w:lang w:val="cs-CZ"/>
        </w:rPr>
        <w:t>form</w:t>
      </w:r>
      <w:r w:rsidR="00306423">
        <w:rPr>
          <w:rFonts w:asciiTheme="minorHAnsi" w:hAnsiTheme="minorHAnsi"/>
          <w:b/>
          <w:bCs/>
          <w:color w:val="000000"/>
          <w:lang w:val="cs-CZ"/>
        </w:rPr>
        <w:t xml:space="preserve">álním pojetím celého systému </w:t>
      </w:r>
      <w:r w:rsidRPr="00304B03">
        <w:rPr>
          <w:rFonts w:asciiTheme="minorHAnsi" w:hAnsiTheme="minorHAnsi"/>
          <w:b/>
          <w:bCs/>
          <w:color w:val="000000"/>
          <w:lang w:val="cs-CZ"/>
        </w:rPr>
        <w:t xml:space="preserve">programového financování, který pokrývá významnou část výdajových aktivit zajišťovaných ze státního rozpočtu. </w:t>
      </w:r>
    </w:p>
    <w:p w14:paraId="0BDACE91" w14:textId="77777777" w:rsidR="004B0D47" w:rsidRPr="00042D3F" w:rsidRDefault="004B0D47" w:rsidP="00362BC6">
      <w:pPr>
        <w:jc w:val="both"/>
        <w:rPr>
          <w:rFonts w:asciiTheme="minorHAnsi" w:hAnsiTheme="minorHAnsi"/>
          <w:bCs/>
          <w:color w:val="000000"/>
          <w:lang w:val="cs-CZ"/>
        </w:rPr>
      </w:pPr>
    </w:p>
    <w:p w14:paraId="64333E61" w14:textId="77777777" w:rsidR="004B0D47" w:rsidRPr="00304B03" w:rsidRDefault="0025296C" w:rsidP="00362BC6">
      <w:pPr>
        <w:jc w:val="both"/>
        <w:rPr>
          <w:rFonts w:asciiTheme="minorHAnsi" w:hAnsiTheme="minorHAnsi"/>
          <w:b/>
          <w:bCs/>
          <w:color w:val="000000"/>
          <w:lang w:val="cs-CZ"/>
        </w:rPr>
      </w:pPr>
      <w:r>
        <w:rPr>
          <w:rFonts w:asciiTheme="minorHAnsi" w:hAnsiTheme="minorHAnsi"/>
          <w:b/>
          <w:bCs/>
          <w:color w:val="000000"/>
          <w:lang w:val="cs-CZ"/>
        </w:rPr>
        <w:t xml:space="preserve">Stávající systém </w:t>
      </w:r>
      <w:r w:rsidR="004B0D47" w:rsidRPr="00304B03">
        <w:rPr>
          <w:rFonts w:asciiTheme="minorHAnsi" w:hAnsiTheme="minorHAnsi"/>
          <w:b/>
          <w:bCs/>
          <w:color w:val="000000"/>
          <w:lang w:val="cs-CZ"/>
        </w:rPr>
        <w:t xml:space="preserve">řízení výdajových aktivit prostřednictvím programů </w:t>
      </w:r>
      <w:r w:rsidR="00985515" w:rsidRPr="00304B03">
        <w:rPr>
          <w:rFonts w:asciiTheme="minorHAnsi" w:hAnsiTheme="minorHAnsi"/>
          <w:b/>
          <w:bCs/>
          <w:color w:val="000000"/>
          <w:lang w:val="cs-CZ"/>
        </w:rPr>
        <w:t>neslouží jako nástroj k rozhodování o alokaci veřejných výdajů</w:t>
      </w:r>
      <w:r w:rsidR="00985515">
        <w:rPr>
          <w:rFonts w:asciiTheme="minorHAnsi" w:hAnsiTheme="minorHAnsi"/>
          <w:b/>
          <w:bCs/>
          <w:color w:val="000000"/>
          <w:lang w:val="cs-CZ"/>
        </w:rPr>
        <w:t>. Programové financování</w:t>
      </w:r>
      <w:r w:rsidR="00985515" w:rsidRPr="00304B03">
        <w:rPr>
          <w:rFonts w:asciiTheme="minorHAnsi" w:hAnsiTheme="minorHAnsi"/>
          <w:b/>
          <w:bCs/>
          <w:color w:val="000000"/>
          <w:lang w:val="cs-CZ"/>
        </w:rPr>
        <w:t xml:space="preserve"> </w:t>
      </w:r>
      <w:r w:rsidR="004B0D47" w:rsidRPr="00304B03">
        <w:rPr>
          <w:rFonts w:asciiTheme="minorHAnsi" w:hAnsiTheme="minorHAnsi"/>
          <w:b/>
          <w:bCs/>
          <w:color w:val="000000"/>
          <w:lang w:val="cs-CZ"/>
        </w:rPr>
        <w:t>neumožňuje srovnatelnost a měřitelnost cílů, indikátorů či parametrů pro vyhodnocení plnění strategických úkolů v rámci jednotlivých politik</w:t>
      </w:r>
      <w:r w:rsidR="00985515">
        <w:rPr>
          <w:rFonts w:asciiTheme="minorHAnsi" w:hAnsiTheme="minorHAnsi"/>
          <w:b/>
          <w:bCs/>
          <w:color w:val="000000"/>
          <w:lang w:val="cs-CZ"/>
        </w:rPr>
        <w:t xml:space="preserve"> a o</w:t>
      </w:r>
      <w:r w:rsidR="004B0D47" w:rsidRPr="00304B03">
        <w:rPr>
          <w:rFonts w:asciiTheme="minorHAnsi" w:hAnsiTheme="minorHAnsi"/>
          <w:b/>
          <w:bCs/>
          <w:color w:val="000000"/>
          <w:lang w:val="cs-CZ"/>
        </w:rPr>
        <w:t>mezuje s</w:t>
      </w:r>
      <w:r w:rsidR="00FF7220">
        <w:rPr>
          <w:rFonts w:asciiTheme="minorHAnsi" w:hAnsiTheme="minorHAnsi"/>
          <w:b/>
          <w:bCs/>
          <w:color w:val="000000"/>
          <w:lang w:val="cs-CZ"/>
        </w:rPr>
        <w:t xml:space="preserve">e pouze na evidenci budoucích </w:t>
      </w:r>
      <w:r w:rsidR="00FF7220">
        <w:rPr>
          <w:rFonts w:asciiTheme="minorHAnsi" w:hAnsiTheme="minorHAnsi"/>
          <w:b/>
          <w:bCs/>
          <w:color w:val="000000"/>
          <w:lang w:val="cs-CZ"/>
        </w:rPr>
        <w:lastRenderedPageBreak/>
        <w:t>a </w:t>
      </w:r>
      <w:r w:rsidR="004B0D47" w:rsidRPr="00304B03">
        <w:rPr>
          <w:rFonts w:asciiTheme="minorHAnsi" w:hAnsiTheme="minorHAnsi"/>
          <w:b/>
          <w:bCs/>
          <w:color w:val="000000"/>
          <w:lang w:val="cs-CZ"/>
        </w:rPr>
        <w:t>realizovaných výdajů na pořízení nebo technické zho</w:t>
      </w:r>
      <w:r w:rsidR="00FF7220">
        <w:rPr>
          <w:rFonts w:asciiTheme="minorHAnsi" w:hAnsiTheme="minorHAnsi"/>
          <w:b/>
          <w:bCs/>
          <w:color w:val="000000"/>
          <w:lang w:val="cs-CZ"/>
        </w:rPr>
        <w:t>dnocení dlouhodobého hmotného a </w:t>
      </w:r>
      <w:r w:rsidR="004B0D47" w:rsidRPr="00304B03">
        <w:rPr>
          <w:rFonts w:asciiTheme="minorHAnsi" w:hAnsiTheme="minorHAnsi"/>
          <w:b/>
          <w:bCs/>
          <w:color w:val="000000"/>
          <w:lang w:val="cs-CZ"/>
        </w:rPr>
        <w:t>nehmotného majetku</w:t>
      </w:r>
      <w:r w:rsidR="00F17DDA">
        <w:rPr>
          <w:rFonts w:asciiTheme="minorHAnsi" w:hAnsiTheme="minorHAnsi"/>
          <w:b/>
          <w:bCs/>
          <w:color w:val="000000"/>
          <w:lang w:val="cs-CZ"/>
        </w:rPr>
        <w:t>.</w:t>
      </w:r>
    </w:p>
    <w:p w14:paraId="1CED07CD" w14:textId="77777777" w:rsidR="004B0D47" w:rsidRPr="00042D3F" w:rsidRDefault="004B0D47" w:rsidP="00362BC6">
      <w:pPr>
        <w:jc w:val="both"/>
        <w:rPr>
          <w:rFonts w:asciiTheme="minorHAnsi" w:hAnsiTheme="minorHAnsi"/>
          <w:bCs/>
          <w:color w:val="000000"/>
          <w:lang w:val="cs-CZ"/>
        </w:rPr>
      </w:pPr>
    </w:p>
    <w:p w14:paraId="4C5100EA" w14:textId="77777777" w:rsidR="004B0D47" w:rsidRPr="00304B03" w:rsidRDefault="004B0D47" w:rsidP="00362BC6">
      <w:pPr>
        <w:jc w:val="both"/>
        <w:rPr>
          <w:rFonts w:asciiTheme="minorHAnsi" w:hAnsiTheme="minorHAnsi"/>
          <w:b/>
          <w:bCs/>
          <w:color w:val="000000"/>
          <w:lang w:val="cs-CZ"/>
        </w:rPr>
      </w:pPr>
      <w:r w:rsidRPr="00304B03">
        <w:rPr>
          <w:rFonts w:asciiTheme="minorHAnsi" w:hAnsiTheme="minorHAnsi"/>
          <w:b/>
          <w:bCs/>
          <w:color w:val="000000"/>
          <w:lang w:val="cs-CZ"/>
        </w:rPr>
        <w:t xml:space="preserve">Výdaje na vytváření, provoz a rozvoj informační podpory systému financování programů a dotací </w:t>
      </w:r>
      <w:r w:rsidR="00306423">
        <w:rPr>
          <w:rFonts w:asciiTheme="minorHAnsi" w:hAnsiTheme="minorHAnsi"/>
          <w:b/>
          <w:bCs/>
          <w:color w:val="000000"/>
          <w:lang w:val="cs-CZ"/>
        </w:rPr>
        <w:t>ne</w:t>
      </w:r>
      <w:r w:rsidRPr="00304B03">
        <w:rPr>
          <w:rFonts w:asciiTheme="minorHAnsi" w:hAnsiTheme="minorHAnsi"/>
          <w:b/>
          <w:bCs/>
          <w:color w:val="000000"/>
          <w:lang w:val="cs-CZ"/>
        </w:rPr>
        <w:t xml:space="preserve">byly </w:t>
      </w:r>
      <w:r w:rsidR="00306423">
        <w:rPr>
          <w:rFonts w:asciiTheme="minorHAnsi" w:hAnsiTheme="minorHAnsi"/>
          <w:b/>
          <w:bCs/>
          <w:color w:val="000000"/>
          <w:lang w:val="cs-CZ"/>
        </w:rPr>
        <w:t xml:space="preserve">vždy </w:t>
      </w:r>
      <w:r w:rsidRPr="00304B03">
        <w:rPr>
          <w:rFonts w:asciiTheme="minorHAnsi" w:hAnsiTheme="minorHAnsi"/>
          <w:b/>
          <w:bCs/>
          <w:color w:val="000000"/>
          <w:lang w:val="cs-CZ"/>
        </w:rPr>
        <w:t>vyna</w:t>
      </w:r>
      <w:r w:rsidR="00306423">
        <w:rPr>
          <w:rFonts w:asciiTheme="minorHAnsi" w:hAnsiTheme="minorHAnsi"/>
          <w:b/>
          <w:bCs/>
          <w:color w:val="000000"/>
          <w:lang w:val="cs-CZ"/>
        </w:rPr>
        <w:t>k</w:t>
      </w:r>
      <w:r w:rsidRPr="00304B03">
        <w:rPr>
          <w:rFonts w:asciiTheme="minorHAnsi" w:hAnsiTheme="minorHAnsi"/>
          <w:b/>
          <w:bCs/>
          <w:color w:val="000000"/>
          <w:lang w:val="cs-CZ"/>
        </w:rPr>
        <w:t>l</w:t>
      </w:r>
      <w:r w:rsidR="00306423">
        <w:rPr>
          <w:rFonts w:asciiTheme="minorHAnsi" w:hAnsiTheme="minorHAnsi"/>
          <w:b/>
          <w:bCs/>
          <w:color w:val="000000"/>
          <w:lang w:val="cs-CZ"/>
        </w:rPr>
        <w:t xml:space="preserve">ádány hospodárně, </w:t>
      </w:r>
      <w:r w:rsidRPr="00304B03">
        <w:rPr>
          <w:rFonts w:asciiTheme="minorHAnsi" w:hAnsiTheme="minorHAnsi"/>
          <w:b/>
          <w:bCs/>
          <w:color w:val="000000"/>
          <w:lang w:val="cs-CZ"/>
        </w:rPr>
        <w:t>efekt</w:t>
      </w:r>
      <w:r w:rsidR="00306423">
        <w:rPr>
          <w:rFonts w:asciiTheme="minorHAnsi" w:hAnsiTheme="minorHAnsi"/>
          <w:b/>
          <w:bCs/>
          <w:color w:val="000000"/>
          <w:lang w:val="cs-CZ"/>
        </w:rPr>
        <w:t xml:space="preserve">ivně a </w:t>
      </w:r>
      <w:r w:rsidRPr="00304B03">
        <w:rPr>
          <w:rFonts w:asciiTheme="minorHAnsi" w:hAnsiTheme="minorHAnsi"/>
          <w:b/>
          <w:bCs/>
          <w:color w:val="000000"/>
          <w:lang w:val="cs-CZ"/>
        </w:rPr>
        <w:t>účelně. I přes rozsáhlou infrastrukturu informační podpory nejsou v případě dotací k dispozici spolehlivé údaje</w:t>
      </w:r>
      <w:r w:rsidRPr="00304B03">
        <w:rPr>
          <w:rFonts w:asciiTheme="minorHAnsi" w:hAnsiTheme="minorHAnsi"/>
          <w:b/>
          <w:bCs/>
          <w:color w:val="000000"/>
        </w:rPr>
        <w:t xml:space="preserve"> </w:t>
      </w:r>
      <w:r w:rsidRPr="00304B03">
        <w:rPr>
          <w:rFonts w:asciiTheme="minorHAnsi" w:hAnsiTheme="minorHAnsi"/>
          <w:b/>
          <w:bCs/>
          <w:color w:val="000000"/>
          <w:lang w:val="cs-CZ"/>
        </w:rPr>
        <w:t>o celkovém vyplaceném objemu za jednotlivé poskytovatele. Programové financování napříč kapitolami SR systémově selhává, neboť je využív</w:t>
      </w:r>
      <w:r w:rsidR="00C01646">
        <w:rPr>
          <w:rFonts w:asciiTheme="minorHAnsi" w:hAnsiTheme="minorHAnsi"/>
          <w:b/>
          <w:bCs/>
          <w:color w:val="000000"/>
          <w:lang w:val="cs-CZ"/>
        </w:rPr>
        <w:t>áno</w:t>
      </w:r>
      <w:r w:rsidRPr="00304B03">
        <w:rPr>
          <w:rFonts w:asciiTheme="minorHAnsi" w:hAnsiTheme="minorHAnsi"/>
          <w:b/>
          <w:bCs/>
          <w:color w:val="000000"/>
          <w:lang w:val="cs-CZ"/>
        </w:rPr>
        <w:t xml:space="preserve"> způsobem, který neumožňuje rozlišit priority úkolů k zajištění veřejných potřeb a poskytnout odpověď na otázku</w:t>
      </w:r>
      <w:r w:rsidR="00C01646">
        <w:rPr>
          <w:rFonts w:asciiTheme="minorHAnsi" w:hAnsiTheme="minorHAnsi"/>
          <w:b/>
          <w:bCs/>
          <w:color w:val="000000"/>
          <w:lang w:val="cs-CZ"/>
        </w:rPr>
        <w:t>:</w:t>
      </w:r>
      <w:r w:rsidRPr="00304B03">
        <w:rPr>
          <w:rFonts w:asciiTheme="minorHAnsi" w:hAnsiTheme="minorHAnsi"/>
          <w:b/>
          <w:bCs/>
          <w:color w:val="000000"/>
          <w:lang w:val="cs-CZ"/>
        </w:rPr>
        <w:t xml:space="preserve"> </w:t>
      </w:r>
      <w:r w:rsidRPr="00304B03">
        <w:rPr>
          <w:rFonts w:asciiTheme="minorHAnsi" w:hAnsiTheme="minorHAnsi"/>
          <w:b/>
          <w:bCs/>
          <w:i/>
          <w:iCs/>
          <w:color w:val="000000"/>
          <w:lang w:val="cs-CZ"/>
        </w:rPr>
        <w:t>„Čeho chceme dosáhnout, jak a za kolik?“</w:t>
      </w:r>
      <w:r w:rsidRPr="00304B03">
        <w:rPr>
          <w:rFonts w:asciiTheme="minorHAnsi" w:hAnsiTheme="minorHAnsi"/>
          <w:b/>
          <w:bCs/>
          <w:color w:val="000000"/>
          <w:lang w:val="cs-CZ"/>
        </w:rPr>
        <w:t xml:space="preserve"> Tento nedostatek však není řešitelný pouze </w:t>
      </w:r>
      <w:r w:rsidR="00C01646">
        <w:rPr>
          <w:rFonts w:asciiTheme="minorHAnsi" w:hAnsiTheme="minorHAnsi"/>
          <w:b/>
          <w:bCs/>
          <w:color w:val="000000"/>
          <w:lang w:val="cs-CZ"/>
        </w:rPr>
        <w:t xml:space="preserve">na </w:t>
      </w:r>
      <w:r w:rsidRPr="00304B03">
        <w:rPr>
          <w:rFonts w:asciiTheme="minorHAnsi" w:hAnsiTheme="minorHAnsi"/>
          <w:b/>
          <w:bCs/>
          <w:color w:val="000000"/>
          <w:lang w:val="cs-CZ"/>
        </w:rPr>
        <w:t>úrovni informačního systému programového financování.</w:t>
      </w:r>
    </w:p>
    <w:p w14:paraId="5A9CE8BF" w14:textId="77777777" w:rsidR="00D64966" w:rsidRPr="00042D3F" w:rsidRDefault="00D64966" w:rsidP="00362BC6">
      <w:pPr>
        <w:jc w:val="both"/>
        <w:rPr>
          <w:rFonts w:asciiTheme="minorHAnsi" w:hAnsiTheme="minorHAnsi" w:cs="Calibri"/>
          <w:color w:val="000000"/>
          <w:lang w:val="cs-CZ"/>
        </w:rPr>
      </w:pPr>
    </w:p>
    <w:p w14:paraId="5099DC20" w14:textId="77777777" w:rsidR="00D64966" w:rsidRPr="00304B03" w:rsidRDefault="00D64966" w:rsidP="00042D3F">
      <w:pPr>
        <w:pStyle w:val="Odstavecseseznamem"/>
        <w:numPr>
          <w:ilvl w:val="0"/>
          <w:numId w:val="13"/>
        </w:numPr>
        <w:ind w:left="284" w:hanging="284"/>
        <w:contextualSpacing w:val="0"/>
        <w:jc w:val="both"/>
        <w:rPr>
          <w:rFonts w:asciiTheme="minorHAnsi" w:hAnsiTheme="minorHAnsi" w:cstheme="minorHAnsi"/>
          <w:b/>
          <w:color w:val="000000"/>
          <w:lang w:val="cs-CZ"/>
        </w:rPr>
      </w:pPr>
      <w:r w:rsidRPr="00304B03">
        <w:rPr>
          <w:rFonts w:asciiTheme="minorHAnsi" w:hAnsiTheme="minorHAnsi"/>
          <w:b/>
          <w:bCs/>
          <w:color w:val="000000"/>
          <w:lang w:val="cs-CZ"/>
        </w:rPr>
        <w:t>Nedostatky v právní úpravě, informačních systémech, metodické činnosti i v postupech posuzování a schvalování dokumentace programů reprodukce majetku ze strany MF způsobují, že programové financování nepodporuje principy cílově orientovaného rozpočtování.</w:t>
      </w:r>
    </w:p>
    <w:p w14:paraId="399E9151" w14:textId="77777777" w:rsidR="00D64966" w:rsidRPr="00042D3F" w:rsidRDefault="00D64966" w:rsidP="00362BC6">
      <w:pPr>
        <w:rPr>
          <w:rFonts w:asciiTheme="minorHAnsi" w:hAnsiTheme="minorHAnsi" w:cstheme="minorHAnsi"/>
          <w:color w:val="000000"/>
          <w:lang w:val="cs-CZ"/>
        </w:rPr>
      </w:pPr>
    </w:p>
    <w:p w14:paraId="1339942A" w14:textId="77777777" w:rsidR="00606B82" w:rsidRPr="00304B03" w:rsidRDefault="00606B82" w:rsidP="00362BC6">
      <w:pPr>
        <w:jc w:val="both"/>
        <w:rPr>
          <w:rFonts w:asciiTheme="minorHAnsi" w:hAnsiTheme="minorHAnsi" w:cstheme="minorHAnsi"/>
          <w:b/>
          <w:color w:val="000000"/>
          <w:lang w:val="cs-CZ"/>
        </w:rPr>
      </w:pPr>
      <w:r w:rsidRPr="00304B03">
        <w:rPr>
          <w:rFonts w:asciiTheme="minorHAnsi" w:hAnsiTheme="minorHAnsi" w:cstheme="minorHAnsi"/>
          <w:b/>
          <w:color w:val="000000"/>
          <w:lang w:val="cs-CZ"/>
        </w:rPr>
        <w:t>NKÚ pravidelně prezentuje kontrolní zjištění napříč kap</w:t>
      </w:r>
      <w:r w:rsidRPr="00606B82">
        <w:rPr>
          <w:rFonts w:asciiTheme="minorHAnsi" w:hAnsiTheme="minorHAnsi" w:cstheme="minorHAnsi"/>
          <w:b/>
          <w:color w:val="000000"/>
          <w:lang w:val="cs-CZ"/>
        </w:rPr>
        <w:t>itolami státního rozpočtu, která</w:t>
      </w:r>
      <w:r w:rsidRPr="0069460F">
        <w:rPr>
          <w:rFonts w:asciiTheme="minorHAnsi" w:hAnsiTheme="minorHAnsi" w:cstheme="minorHAnsi"/>
          <w:b/>
          <w:color w:val="000000"/>
          <w:lang w:val="cs-CZ"/>
        </w:rPr>
        <w:t xml:space="preserve"> se vztahují</w:t>
      </w:r>
      <w:r w:rsidRPr="00304B03">
        <w:rPr>
          <w:rFonts w:asciiTheme="minorHAnsi" w:hAnsiTheme="minorHAnsi" w:cstheme="minorHAnsi"/>
          <w:b/>
          <w:color w:val="000000"/>
          <w:lang w:val="cs-CZ"/>
        </w:rPr>
        <w:t xml:space="preserve"> k prodlužování programů, nedostatkům </w:t>
      </w:r>
      <w:r w:rsidR="00C01646">
        <w:rPr>
          <w:rFonts w:asciiTheme="minorHAnsi" w:hAnsiTheme="minorHAnsi" w:cstheme="minorHAnsi"/>
          <w:b/>
          <w:color w:val="000000"/>
          <w:lang w:val="cs-CZ"/>
        </w:rPr>
        <w:t>stanovených</w:t>
      </w:r>
      <w:r w:rsidRPr="00304B03">
        <w:rPr>
          <w:rFonts w:asciiTheme="minorHAnsi" w:hAnsiTheme="minorHAnsi" w:cstheme="minorHAnsi"/>
          <w:b/>
          <w:color w:val="000000"/>
          <w:lang w:val="cs-CZ"/>
        </w:rPr>
        <w:t xml:space="preserve"> parametrů a</w:t>
      </w:r>
      <w:r w:rsidR="00C01646">
        <w:rPr>
          <w:rFonts w:asciiTheme="minorHAnsi" w:hAnsiTheme="minorHAnsi" w:cstheme="minorHAnsi"/>
          <w:b/>
          <w:color w:val="000000"/>
          <w:lang w:val="cs-CZ"/>
        </w:rPr>
        <w:t> </w:t>
      </w:r>
      <w:r w:rsidRPr="00304B03">
        <w:rPr>
          <w:rFonts w:asciiTheme="minorHAnsi" w:hAnsiTheme="minorHAnsi" w:cstheme="minorHAnsi"/>
          <w:b/>
          <w:color w:val="000000"/>
          <w:lang w:val="cs-CZ"/>
        </w:rPr>
        <w:t>indikátorů atd., což ukazuje na systémové selhávání programového financová</w:t>
      </w:r>
      <w:r w:rsidR="00FF7220">
        <w:rPr>
          <w:rFonts w:asciiTheme="minorHAnsi" w:hAnsiTheme="minorHAnsi" w:cstheme="minorHAnsi"/>
          <w:b/>
          <w:color w:val="000000"/>
          <w:lang w:val="cs-CZ"/>
        </w:rPr>
        <w:t>ní a jeho fungování v rozporu s </w:t>
      </w:r>
      <w:r w:rsidRPr="00304B03">
        <w:rPr>
          <w:rFonts w:asciiTheme="minorHAnsi" w:hAnsiTheme="minorHAnsi" w:cstheme="minorHAnsi"/>
          <w:b/>
          <w:color w:val="000000"/>
          <w:lang w:val="cs-CZ"/>
        </w:rPr>
        <w:t>jeho účelem.</w:t>
      </w:r>
    </w:p>
    <w:p w14:paraId="22F5CA87" w14:textId="77777777" w:rsidR="00042D3F" w:rsidRDefault="00042D3F" w:rsidP="00362BC6">
      <w:pPr>
        <w:jc w:val="both"/>
        <w:rPr>
          <w:rFonts w:asciiTheme="minorHAnsi" w:hAnsiTheme="minorHAnsi" w:cstheme="minorHAnsi"/>
          <w:color w:val="000000"/>
          <w:lang w:val="cs-CZ"/>
        </w:rPr>
      </w:pPr>
    </w:p>
    <w:p w14:paraId="4A676A85" w14:textId="77777777" w:rsidR="00D64966" w:rsidRDefault="00D64966" w:rsidP="00362BC6">
      <w:pPr>
        <w:jc w:val="both"/>
        <w:rPr>
          <w:rFonts w:asciiTheme="minorHAnsi" w:hAnsiTheme="minorHAnsi" w:cstheme="minorHAnsi"/>
          <w:color w:val="000000"/>
          <w:lang w:val="cs-CZ"/>
        </w:rPr>
      </w:pPr>
      <w:r w:rsidRPr="00D92ED2">
        <w:rPr>
          <w:rFonts w:asciiTheme="minorHAnsi" w:hAnsiTheme="minorHAnsi" w:cstheme="minorHAnsi"/>
          <w:color w:val="000000"/>
          <w:lang w:val="cs-CZ"/>
        </w:rPr>
        <w:t>MF má zákonnou povinnost stanovit výši účasti SR na financování programu na základě posouzení dokumentace programu u všech programů, je-li účast SR nižší než 5 mld. Kč</w:t>
      </w:r>
      <w:r w:rsidRPr="00D92ED2">
        <w:rPr>
          <w:rStyle w:val="Znakapoznpodarou"/>
          <w:rFonts w:asciiTheme="minorHAnsi" w:hAnsiTheme="minorHAnsi" w:cstheme="minorHAnsi"/>
          <w:color w:val="000000"/>
          <w:lang w:val="cs-CZ"/>
        </w:rPr>
        <w:footnoteReference w:id="4"/>
      </w:r>
      <w:r w:rsidR="00FF7220">
        <w:rPr>
          <w:rFonts w:asciiTheme="minorHAnsi" w:hAnsiTheme="minorHAnsi" w:cstheme="minorHAnsi"/>
          <w:color w:val="000000"/>
          <w:lang w:val="cs-CZ"/>
        </w:rPr>
        <w:t>. MF </w:t>
      </w:r>
      <w:r w:rsidRPr="00D92ED2">
        <w:rPr>
          <w:rFonts w:asciiTheme="minorHAnsi" w:hAnsiTheme="minorHAnsi" w:cstheme="minorHAnsi"/>
          <w:color w:val="000000"/>
          <w:lang w:val="cs-CZ"/>
        </w:rPr>
        <w:t>u dvou kontrolovaných programů</w:t>
      </w:r>
      <w:r w:rsidRPr="00D92ED2">
        <w:rPr>
          <w:rStyle w:val="Znakapoznpodarou"/>
          <w:rFonts w:asciiTheme="minorHAnsi" w:hAnsiTheme="minorHAnsi" w:cstheme="minorHAnsi"/>
          <w:color w:val="000000"/>
          <w:lang w:val="cs-CZ"/>
        </w:rPr>
        <w:footnoteReference w:id="5"/>
      </w:r>
      <w:r w:rsidRPr="00D92ED2">
        <w:rPr>
          <w:rFonts w:asciiTheme="minorHAnsi" w:hAnsiTheme="minorHAnsi" w:cstheme="minorHAnsi"/>
          <w:color w:val="000000"/>
          <w:lang w:val="cs-CZ"/>
        </w:rPr>
        <w:t xml:space="preserve"> mělo </w:t>
      </w:r>
      <w:r>
        <w:rPr>
          <w:rFonts w:asciiTheme="minorHAnsi" w:hAnsiTheme="minorHAnsi" w:cstheme="minorHAnsi"/>
          <w:color w:val="000000"/>
          <w:lang w:val="cs-CZ"/>
        </w:rPr>
        <w:t xml:space="preserve">v dokumentaci </w:t>
      </w:r>
      <w:r w:rsidRPr="00D92ED2">
        <w:rPr>
          <w:rFonts w:asciiTheme="minorHAnsi" w:hAnsiTheme="minorHAnsi" w:cstheme="minorHAnsi"/>
          <w:color w:val="000000"/>
          <w:lang w:val="cs-CZ"/>
        </w:rPr>
        <w:t xml:space="preserve">posoudit mj. specifikaci věcných cílů, bilanci potřeb a zdrojů financování programu a související dokumenty evidovat. </w:t>
      </w:r>
      <w:r w:rsidRPr="00304B03">
        <w:rPr>
          <w:rFonts w:asciiTheme="minorHAnsi" w:hAnsiTheme="minorHAnsi" w:cstheme="minorHAnsi"/>
          <w:b/>
          <w:color w:val="000000"/>
          <w:lang w:val="cs-CZ"/>
        </w:rPr>
        <w:t>MF však během kontroly předložilo doklady, které neprokázaly, že MF splnilo svou povinnost vztahující se k vyjádření o účasti SR</w:t>
      </w:r>
      <w:r>
        <w:rPr>
          <w:rFonts w:asciiTheme="minorHAnsi" w:hAnsiTheme="minorHAnsi" w:cstheme="minorHAnsi"/>
          <w:color w:val="000000"/>
          <w:lang w:val="cs-CZ"/>
        </w:rPr>
        <w:t xml:space="preserve"> (tj. posouzení specifikace věcných cílů a bilanci potřeb a zdrojů)</w:t>
      </w:r>
      <w:r w:rsidRPr="00D92ED2">
        <w:rPr>
          <w:rFonts w:asciiTheme="minorHAnsi" w:hAnsiTheme="minorHAnsi" w:cstheme="minorHAnsi"/>
          <w:color w:val="000000"/>
          <w:lang w:val="cs-CZ"/>
        </w:rPr>
        <w:t xml:space="preserve">. MF u těchto dvou kontrolovaných programů </w:t>
      </w:r>
      <w:r>
        <w:rPr>
          <w:rFonts w:asciiTheme="minorHAnsi" w:hAnsiTheme="minorHAnsi" w:cstheme="minorHAnsi"/>
          <w:color w:val="000000"/>
          <w:lang w:val="cs-CZ"/>
        </w:rPr>
        <w:t>týkajících</w:t>
      </w:r>
      <w:r w:rsidRPr="00D92ED2">
        <w:rPr>
          <w:rFonts w:asciiTheme="minorHAnsi" w:hAnsiTheme="minorHAnsi" w:cstheme="minorHAnsi"/>
          <w:color w:val="000000"/>
          <w:lang w:val="cs-CZ"/>
        </w:rPr>
        <w:t xml:space="preserve"> se pořizování služeb informační podpory systému financování programů a dotací vystupovalo současně v roli správce, účastníka </w:t>
      </w:r>
      <w:r>
        <w:rPr>
          <w:rFonts w:asciiTheme="minorHAnsi" w:hAnsiTheme="minorHAnsi" w:cstheme="minorHAnsi"/>
          <w:color w:val="000000"/>
          <w:lang w:val="cs-CZ"/>
        </w:rPr>
        <w:t>i </w:t>
      </w:r>
      <w:r w:rsidRPr="00D92ED2">
        <w:rPr>
          <w:rFonts w:asciiTheme="minorHAnsi" w:hAnsiTheme="minorHAnsi" w:cstheme="minorHAnsi"/>
          <w:color w:val="000000"/>
          <w:lang w:val="cs-CZ"/>
        </w:rPr>
        <w:t>posuzovatele programu</w:t>
      </w:r>
      <w:r>
        <w:rPr>
          <w:rFonts w:asciiTheme="minorHAnsi" w:hAnsiTheme="minorHAnsi" w:cstheme="minorHAnsi"/>
          <w:color w:val="000000"/>
          <w:lang w:val="cs-CZ"/>
        </w:rPr>
        <w:t>, tudíž samo sobě schvalovalo dokumentace programu i jejich prodloužení</w:t>
      </w:r>
      <w:r w:rsidRPr="00D92ED2">
        <w:rPr>
          <w:rFonts w:asciiTheme="minorHAnsi" w:hAnsiTheme="minorHAnsi" w:cstheme="minorHAnsi"/>
          <w:color w:val="000000"/>
          <w:lang w:val="cs-CZ"/>
        </w:rPr>
        <w:t>.</w:t>
      </w:r>
    </w:p>
    <w:p w14:paraId="7C6E431C" w14:textId="77777777" w:rsidR="00042D3F" w:rsidRDefault="00042D3F" w:rsidP="00362BC6">
      <w:pPr>
        <w:jc w:val="both"/>
        <w:rPr>
          <w:rFonts w:asciiTheme="minorHAnsi" w:hAnsiTheme="minorHAnsi" w:cstheme="minorHAnsi"/>
          <w:color w:val="000000"/>
          <w:lang w:val="cs-CZ"/>
        </w:rPr>
      </w:pPr>
    </w:p>
    <w:p w14:paraId="2D117E5C" w14:textId="77777777" w:rsidR="00D64966" w:rsidRDefault="00D64966" w:rsidP="00362BC6">
      <w:pPr>
        <w:jc w:val="both"/>
        <w:rPr>
          <w:rFonts w:asciiTheme="minorHAnsi" w:hAnsiTheme="minorHAnsi" w:cstheme="minorHAnsi"/>
          <w:color w:val="000000"/>
          <w:lang w:val="cs-CZ"/>
        </w:rPr>
      </w:pPr>
      <w:r w:rsidRPr="00D92ED2">
        <w:rPr>
          <w:rFonts w:asciiTheme="minorHAnsi" w:hAnsiTheme="minorHAnsi" w:cstheme="minorHAnsi"/>
          <w:color w:val="000000"/>
          <w:lang w:val="cs-CZ"/>
        </w:rPr>
        <w:t xml:space="preserve">Přestože je </w:t>
      </w:r>
      <w:r w:rsidRPr="00304B03">
        <w:rPr>
          <w:rFonts w:asciiTheme="minorHAnsi" w:hAnsiTheme="minorHAnsi" w:cstheme="minorHAnsi"/>
          <w:b/>
          <w:color w:val="000000"/>
          <w:lang w:val="cs-CZ"/>
        </w:rPr>
        <w:t>MF</w:t>
      </w:r>
      <w:r w:rsidRPr="00D92ED2">
        <w:rPr>
          <w:rFonts w:asciiTheme="minorHAnsi" w:hAnsiTheme="minorHAnsi" w:cstheme="minorHAnsi"/>
          <w:color w:val="000000"/>
          <w:lang w:val="cs-CZ"/>
        </w:rPr>
        <w:t xml:space="preserve"> odpovědné za metodiku programového financování, </w:t>
      </w:r>
      <w:r w:rsidRPr="00304B03">
        <w:rPr>
          <w:rFonts w:asciiTheme="minorHAnsi" w:hAnsiTheme="minorHAnsi" w:cstheme="minorHAnsi"/>
          <w:b/>
          <w:color w:val="000000"/>
          <w:lang w:val="cs-CZ"/>
        </w:rPr>
        <w:t>nenastavilo cíle ani indikátory u žádné z 24 kontrolovaných akcí</w:t>
      </w:r>
      <w:r w:rsidRPr="00D92ED2">
        <w:rPr>
          <w:rFonts w:asciiTheme="minorHAnsi" w:hAnsiTheme="minorHAnsi" w:cstheme="minorHAnsi"/>
          <w:color w:val="000000"/>
          <w:lang w:val="cs-CZ"/>
        </w:rPr>
        <w:t xml:space="preserve"> programového financování</w:t>
      </w:r>
      <w:r>
        <w:rPr>
          <w:rFonts w:asciiTheme="minorHAnsi" w:hAnsiTheme="minorHAnsi" w:cstheme="minorHAnsi"/>
          <w:color w:val="000000"/>
          <w:lang w:val="cs-CZ"/>
        </w:rPr>
        <w:t xml:space="preserve"> a</w:t>
      </w:r>
      <w:r w:rsidRPr="00D92ED2">
        <w:rPr>
          <w:rFonts w:asciiTheme="minorHAnsi" w:hAnsiTheme="minorHAnsi" w:cstheme="minorHAnsi"/>
          <w:color w:val="000000"/>
          <w:lang w:val="cs-CZ"/>
        </w:rPr>
        <w:t xml:space="preserve"> u dvou výdajových akcí</w:t>
      </w:r>
      <w:r>
        <w:rPr>
          <w:rFonts w:asciiTheme="minorHAnsi" w:hAnsiTheme="minorHAnsi" w:cstheme="minorHAnsi"/>
          <w:color w:val="000000"/>
          <w:lang w:val="cs-CZ"/>
        </w:rPr>
        <w:t xml:space="preserve"> si</w:t>
      </w:r>
      <w:r w:rsidRPr="00D92ED2">
        <w:rPr>
          <w:rFonts w:asciiTheme="minorHAnsi" w:hAnsiTheme="minorHAnsi" w:cstheme="minorHAnsi"/>
          <w:color w:val="000000"/>
          <w:lang w:val="cs-CZ"/>
        </w:rPr>
        <w:t xml:space="preserve"> stanovilo takový parametr, který nebylo po ukon</w:t>
      </w:r>
      <w:r w:rsidR="00FF7220">
        <w:rPr>
          <w:rFonts w:asciiTheme="minorHAnsi" w:hAnsiTheme="minorHAnsi" w:cstheme="minorHAnsi"/>
          <w:color w:val="000000"/>
          <w:lang w:val="cs-CZ"/>
        </w:rPr>
        <w:t>čení akce schopno vyhodnotit. U </w:t>
      </w:r>
      <w:r w:rsidRPr="00D92ED2">
        <w:rPr>
          <w:rFonts w:asciiTheme="minorHAnsi" w:hAnsiTheme="minorHAnsi" w:cstheme="minorHAnsi"/>
          <w:color w:val="000000"/>
          <w:lang w:val="cs-CZ"/>
        </w:rPr>
        <w:t xml:space="preserve">výdajové akce programového financování na služby související s informační podporou místo kvalitativních ukazatelů stanovilo ukazatele kvantitativní, </w:t>
      </w:r>
      <w:r w:rsidR="00FF7220">
        <w:rPr>
          <w:rFonts w:asciiTheme="minorHAnsi" w:hAnsiTheme="minorHAnsi" w:cstheme="minorHAnsi"/>
          <w:color w:val="000000"/>
          <w:lang w:val="cs-CZ"/>
        </w:rPr>
        <w:t>které navíc věcně nesouvisely s </w:t>
      </w:r>
      <w:r w:rsidRPr="00D92ED2">
        <w:rPr>
          <w:rFonts w:asciiTheme="minorHAnsi" w:hAnsiTheme="minorHAnsi" w:cstheme="minorHAnsi"/>
          <w:color w:val="000000"/>
          <w:lang w:val="cs-CZ"/>
        </w:rPr>
        <w:t xml:space="preserve">předmětem akce. MF </w:t>
      </w:r>
      <w:r>
        <w:rPr>
          <w:rFonts w:asciiTheme="minorHAnsi" w:hAnsiTheme="minorHAnsi" w:cstheme="minorHAnsi"/>
          <w:color w:val="000000"/>
          <w:lang w:val="cs-CZ"/>
        </w:rPr>
        <w:t xml:space="preserve">samo sobě </w:t>
      </w:r>
      <w:r w:rsidRPr="00D92ED2">
        <w:rPr>
          <w:rFonts w:asciiTheme="minorHAnsi" w:hAnsiTheme="minorHAnsi" w:cstheme="minorHAnsi"/>
          <w:color w:val="000000"/>
          <w:lang w:val="cs-CZ"/>
        </w:rPr>
        <w:t>prodlouž</w:t>
      </w:r>
      <w:r>
        <w:rPr>
          <w:rFonts w:asciiTheme="minorHAnsi" w:hAnsiTheme="minorHAnsi" w:cstheme="minorHAnsi"/>
          <w:color w:val="000000"/>
          <w:lang w:val="cs-CZ"/>
        </w:rPr>
        <w:t xml:space="preserve">ilo dobu realizace </w:t>
      </w:r>
      <w:r w:rsidRPr="00D92ED2">
        <w:rPr>
          <w:rFonts w:asciiTheme="minorHAnsi" w:hAnsiTheme="minorHAnsi" w:cstheme="minorHAnsi"/>
          <w:color w:val="000000"/>
          <w:lang w:val="cs-CZ"/>
        </w:rPr>
        <w:t>programu 112</w:t>
      </w:r>
      <w:r>
        <w:rPr>
          <w:rFonts w:asciiTheme="minorHAnsi" w:hAnsiTheme="minorHAnsi" w:cstheme="minorHAnsi"/>
          <w:color w:val="000000"/>
          <w:lang w:val="cs-CZ"/>
        </w:rPr>
        <w:t> </w:t>
      </w:r>
      <w:r w:rsidRPr="00D92ED2">
        <w:rPr>
          <w:rFonts w:asciiTheme="minorHAnsi" w:hAnsiTheme="minorHAnsi" w:cstheme="minorHAnsi"/>
          <w:color w:val="000000"/>
          <w:lang w:val="cs-CZ"/>
        </w:rPr>
        <w:t>090</w:t>
      </w:r>
      <w:r>
        <w:rPr>
          <w:rFonts w:asciiTheme="minorHAnsi" w:hAnsiTheme="minorHAnsi" w:cstheme="minorHAnsi"/>
          <w:color w:val="000000"/>
          <w:lang w:val="cs-CZ"/>
        </w:rPr>
        <w:t xml:space="preserve"> po termínu</w:t>
      </w:r>
      <w:r w:rsidRPr="00D92ED2">
        <w:rPr>
          <w:rFonts w:asciiTheme="minorHAnsi" w:hAnsiTheme="minorHAnsi" w:cstheme="minorHAnsi"/>
          <w:color w:val="000000"/>
          <w:lang w:val="cs-CZ"/>
        </w:rPr>
        <w:t xml:space="preserve">, kdy již měla být </w:t>
      </w:r>
      <w:r>
        <w:rPr>
          <w:rFonts w:asciiTheme="minorHAnsi" w:hAnsiTheme="minorHAnsi" w:cstheme="minorHAnsi"/>
          <w:color w:val="000000"/>
          <w:lang w:val="cs-CZ"/>
        </w:rPr>
        <w:t xml:space="preserve">její </w:t>
      </w:r>
      <w:r w:rsidRPr="00D92ED2">
        <w:rPr>
          <w:rFonts w:asciiTheme="minorHAnsi" w:hAnsiTheme="minorHAnsi" w:cstheme="minorHAnsi"/>
          <w:color w:val="000000"/>
          <w:lang w:val="cs-CZ"/>
        </w:rPr>
        <w:t>realizace podle platné dokumentace ukončena a vypracováno závěrečné vyhodnocení</w:t>
      </w:r>
      <w:r>
        <w:rPr>
          <w:rFonts w:asciiTheme="minorHAnsi" w:hAnsiTheme="minorHAnsi" w:cstheme="minorHAnsi"/>
          <w:color w:val="000000"/>
          <w:lang w:val="cs-CZ"/>
        </w:rPr>
        <w:t>.</w:t>
      </w:r>
      <w:r w:rsidRPr="00D92ED2">
        <w:rPr>
          <w:rFonts w:asciiTheme="minorHAnsi" w:hAnsiTheme="minorHAnsi" w:cstheme="minorHAnsi"/>
          <w:color w:val="000000"/>
          <w:lang w:val="cs-CZ"/>
        </w:rPr>
        <w:t xml:space="preserve"> </w:t>
      </w:r>
    </w:p>
    <w:p w14:paraId="13296C90" w14:textId="77777777" w:rsidR="00042D3F" w:rsidRDefault="00042D3F" w:rsidP="00362BC6">
      <w:pPr>
        <w:jc w:val="both"/>
        <w:rPr>
          <w:rFonts w:asciiTheme="minorHAnsi" w:hAnsiTheme="minorHAnsi" w:cstheme="minorHAnsi"/>
          <w:color w:val="000000"/>
          <w:lang w:val="cs-CZ"/>
        </w:rPr>
      </w:pPr>
    </w:p>
    <w:p w14:paraId="37367B52" w14:textId="77777777" w:rsidR="004009BC" w:rsidRDefault="007F10F3" w:rsidP="00042D3F">
      <w:pPr>
        <w:pStyle w:val="Odstavecseseznamem"/>
        <w:numPr>
          <w:ilvl w:val="0"/>
          <w:numId w:val="13"/>
        </w:numPr>
        <w:ind w:left="284" w:hanging="284"/>
        <w:contextualSpacing w:val="0"/>
        <w:jc w:val="both"/>
        <w:rPr>
          <w:rFonts w:asciiTheme="minorHAnsi" w:hAnsiTheme="minorHAnsi" w:cstheme="minorHAnsi"/>
          <w:b/>
          <w:color w:val="000000"/>
          <w:lang w:val="cs-CZ"/>
        </w:rPr>
      </w:pPr>
      <w:r w:rsidRPr="00694D66">
        <w:rPr>
          <w:rFonts w:asciiTheme="minorHAnsi" w:hAnsiTheme="minorHAnsi" w:cstheme="minorHAnsi"/>
          <w:b/>
          <w:color w:val="000000"/>
          <w:lang w:val="cs-CZ"/>
        </w:rPr>
        <w:t>Nekoncepční rozvoj kontrolovaných IS přispěl k</w:t>
      </w:r>
      <w:r w:rsidR="00165160">
        <w:rPr>
          <w:rFonts w:asciiTheme="minorHAnsi" w:hAnsiTheme="minorHAnsi" w:cstheme="minorHAnsi"/>
          <w:b/>
          <w:color w:val="000000"/>
          <w:lang w:val="cs-CZ"/>
        </w:rPr>
        <w:t> neúčelnému rozvoji</w:t>
      </w:r>
      <w:r w:rsidRPr="00694D66">
        <w:rPr>
          <w:rFonts w:asciiTheme="minorHAnsi" w:hAnsiTheme="minorHAnsi" w:cstheme="minorHAnsi"/>
          <w:b/>
          <w:color w:val="000000"/>
          <w:lang w:val="cs-CZ"/>
        </w:rPr>
        <w:t xml:space="preserve"> </w:t>
      </w:r>
      <w:r w:rsidR="00996C0F" w:rsidRPr="00694D66">
        <w:rPr>
          <w:rFonts w:asciiTheme="minorHAnsi" w:hAnsiTheme="minorHAnsi" w:cstheme="minorHAnsi"/>
          <w:b/>
          <w:color w:val="000000"/>
          <w:lang w:val="cs-CZ"/>
        </w:rPr>
        <w:t>IS CEDR III</w:t>
      </w:r>
      <w:r w:rsidR="00165160">
        <w:rPr>
          <w:rFonts w:asciiTheme="minorHAnsi" w:hAnsiTheme="minorHAnsi" w:cstheme="minorHAnsi"/>
          <w:b/>
          <w:color w:val="000000"/>
          <w:lang w:val="cs-CZ"/>
        </w:rPr>
        <w:t>, který</w:t>
      </w:r>
      <w:r w:rsidR="00996C0F" w:rsidRPr="00694D66">
        <w:rPr>
          <w:rFonts w:asciiTheme="minorHAnsi" w:hAnsiTheme="minorHAnsi" w:cstheme="minorHAnsi"/>
          <w:b/>
          <w:color w:val="000000"/>
          <w:lang w:val="cs-CZ"/>
        </w:rPr>
        <w:t xml:space="preserve"> ani </w:t>
      </w:r>
      <w:r w:rsidR="00423C61" w:rsidRPr="00694D66">
        <w:rPr>
          <w:rFonts w:asciiTheme="minorHAnsi" w:hAnsiTheme="minorHAnsi" w:cstheme="minorHAnsi"/>
          <w:b/>
          <w:color w:val="000000"/>
          <w:lang w:val="cs-CZ"/>
        </w:rPr>
        <w:t xml:space="preserve">po </w:t>
      </w:r>
      <w:r w:rsidRPr="00694D66">
        <w:rPr>
          <w:rFonts w:asciiTheme="minorHAnsi" w:hAnsiTheme="minorHAnsi" w:cstheme="minorHAnsi"/>
          <w:b/>
          <w:color w:val="000000"/>
          <w:lang w:val="cs-CZ"/>
        </w:rPr>
        <w:t>téměř 20</w:t>
      </w:r>
      <w:r w:rsidR="00996C0F" w:rsidRPr="00694D66">
        <w:rPr>
          <w:rFonts w:asciiTheme="minorHAnsi" w:hAnsiTheme="minorHAnsi" w:cstheme="minorHAnsi"/>
          <w:b/>
          <w:color w:val="000000"/>
          <w:lang w:val="cs-CZ"/>
        </w:rPr>
        <w:t xml:space="preserve"> letech od </w:t>
      </w:r>
      <w:r w:rsidRPr="00694D66">
        <w:rPr>
          <w:rFonts w:asciiTheme="minorHAnsi" w:hAnsiTheme="minorHAnsi" w:cstheme="minorHAnsi"/>
          <w:b/>
          <w:color w:val="000000"/>
          <w:lang w:val="cs-CZ"/>
        </w:rPr>
        <w:t xml:space="preserve">svého vzniku </w:t>
      </w:r>
      <w:r w:rsidR="00423C61" w:rsidRPr="00694D66">
        <w:rPr>
          <w:rFonts w:asciiTheme="minorHAnsi" w:hAnsiTheme="minorHAnsi" w:cstheme="minorHAnsi"/>
          <w:b/>
          <w:color w:val="000000"/>
          <w:lang w:val="cs-CZ"/>
        </w:rPr>
        <w:t xml:space="preserve">neeviduje </w:t>
      </w:r>
      <w:r w:rsidR="00996C0F" w:rsidRPr="00694D66">
        <w:rPr>
          <w:rFonts w:asciiTheme="minorHAnsi" w:hAnsiTheme="minorHAnsi" w:cstheme="minorHAnsi"/>
          <w:b/>
          <w:color w:val="000000"/>
          <w:lang w:val="cs-CZ"/>
        </w:rPr>
        <w:t>správné a zákonem</w:t>
      </w:r>
      <w:r w:rsidR="00996C0F" w:rsidRPr="00E52F26">
        <w:rPr>
          <w:rStyle w:val="Znakapoznpodarou"/>
          <w:rFonts w:asciiTheme="minorHAnsi" w:hAnsiTheme="minorHAnsi" w:cstheme="minorHAnsi"/>
          <w:b/>
          <w:color w:val="000000"/>
          <w:lang w:val="cs-CZ"/>
        </w:rPr>
        <w:footnoteReference w:id="6"/>
      </w:r>
      <w:r w:rsidR="00996C0F" w:rsidRPr="00694D66">
        <w:rPr>
          <w:rFonts w:asciiTheme="minorHAnsi" w:hAnsiTheme="minorHAnsi" w:cstheme="minorHAnsi"/>
          <w:b/>
          <w:color w:val="000000"/>
          <w:lang w:val="cs-CZ"/>
        </w:rPr>
        <w:t xml:space="preserve"> stanovené údaje o dotacích ze SR </w:t>
      </w:r>
      <w:r w:rsidR="00771704" w:rsidRPr="00694D66">
        <w:rPr>
          <w:rFonts w:asciiTheme="minorHAnsi" w:hAnsiTheme="minorHAnsi" w:cstheme="minorHAnsi"/>
          <w:b/>
          <w:color w:val="000000"/>
          <w:lang w:val="cs-CZ"/>
        </w:rPr>
        <w:t xml:space="preserve">poskytnutých </w:t>
      </w:r>
      <w:r w:rsidR="00996C0F" w:rsidRPr="00694D66">
        <w:rPr>
          <w:rFonts w:asciiTheme="minorHAnsi" w:hAnsiTheme="minorHAnsi" w:cstheme="minorHAnsi"/>
          <w:b/>
          <w:color w:val="000000"/>
          <w:lang w:val="cs-CZ"/>
        </w:rPr>
        <w:t>konečným příjemcům.</w:t>
      </w:r>
    </w:p>
    <w:p w14:paraId="4025DCAB" w14:textId="77777777" w:rsidR="00694D66" w:rsidRPr="00042D3F" w:rsidRDefault="00694D66" w:rsidP="00042D3F">
      <w:pPr>
        <w:pStyle w:val="Odstavecseseznamem"/>
        <w:ind w:hanging="720"/>
        <w:contextualSpacing w:val="0"/>
        <w:jc w:val="both"/>
        <w:rPr>
          <w:rFonts w:asciiTheme="minorHAnsi" w:hAnsiTheme="minorHAnsi" w:cstheme="minorHAnsi"/>
          <w:color w:val="000000"/>
          <w:lang w:val="cs-CZ"/>
        </w:rPr>
      </w:pPr>
    </w:p>
    <w:p w14:paraId="078F6AD6" w14:textId="77777777" w:rsidR="00694D66" w:rsidRDefault="00DF7E67" w:rsidP="00362BC6">
      <w:pPr>
        <w:jc w:val="both"/>
        <w:rPr>
          <w:rFonts w:asciiTheme="minorHAnsi" w:hAnsiTheme="minorHAnsi" w:cstheme="minorHAnsi"/>
          <w:b/>
          <w:color w:val="000000"/>
          <w:lang w:val="cs-CZ"/>
        </w:rPr>
      </w:pPr>
      <w:r>
        <w:rPr>
          <w:rFonts w:asciiTheme="minorHAnsi" w:hAnsiTheme="minorHAnsi" w:cstheme="minorHAnsi"/>
          <w:color w:val="000000"/>
          <w:lang w:val="cs-CZ"/>
        </w:rPr>
        <w:t xml:space="preserve">MF chybělo </w:t>
      </w:r>
      <w:r w:rsidRPr="00454026">
        <w:rPr>
          <w:rFonts w:asciiTheme="minorHAnsi" w:hAnsiTheme="minorHAnsi" w:cstheme="minorHAnsi"/>
          <w:b/>
          <w:color w:val="000000"/>
          <w:lang w:val="cs-CZ"/>
        </w:rPr>
        <w:t>koncepční</w:t>
      </w:r>
      <w:r w:rsidRPr="009C4A68">
        <w:rPr>
          <w:rFonts w:asciiTheme="minorHAnsi" w:hAnsiTheme="minorHAnsi" w:cstheme="minorHAnsi"/>
          <w:b/>
          <w:color w:val="000000"/>
          <w:lang w:val="cs-CZ"/>
        </w:rPr>
        <w:t>,</w:t>
      </w:r>
      <w:r>
        <w:rPr>
          <w:rFonts w:asciiTheme="minorHAnsi" w:hAnsiTheme="minorHAnsi" w:cstheme="minorHAnsi"/>
          <w:color w:val="000000"/>
          <w:lang w:val="cs-CZ"/>
        </w:rPr>
        <w:t xml:space="preserve"> </w:t>
      </w:r>
      <w:r w:rsidR="006A035D">
        <w:rPr>
          <w:rFonts w:asciiTheme="minorHAnsi" w:hAnsiTheme="minorHAnsi" w:cstheme="minorHAnsi"/>
          <w:color w:val="000000"/>
          <w:lang w:val="cs-CZ"/>
        </w:rPr>
        <w:t xml:space="preserve">GFŘ </w:t>
      </w:r>
      <w:r>
        <w:rPr>
          <w:rFonts w:asciiTheme="minorHAnsi" w:hAnsiTheme="minorHAnsi" w:cstheme="minorHAnsi"/>
          <w:color w:val="000000"/>
          <w:lang w:val="cs-CZ"/>
        </w:rPr>
        <w:t xml:space="preserve">navíc i </w:t>
      </w:r>
      <w:r w:rsidR="00047AA6">
        <w:rPr>
          <w:rFonts w:asciiTheme="minorHAnsi" w:hAnsiTheme="minorHAnsi" w:cstheme="minorHAnsi"/>
          <w:b/>
          <w:color w:val="000000"/>
          <w:lang w:val="cs-CZ"/>
        </w:rPr>
        <w:t xml:space="preserve">strategické </w:t>
      </w:r>
      <w:r w:rsidR="00996C0F" w:rsidRPr="00D92ED2">
        <w:rPr>
          <w:rFonts w:asciiTheme="minorHAnsi" w:hAnsiTheme="minorHAnsi" w:cstheme="minorHAnsi"/>
          <w:b/>
          <w:color w:val="000000"/>
          <w:lang w:val="cs-CZ"/>
        </w:rPr>
        <w:t>řízení</w:t>
      </w:r>
      <w:r w:rsidR="00996C0F">
        <w:rPr>
          <w:rFonts w:asciiTheme="minorHAnsi" w:hAnsiTheme="minorHAnsi" w:cstheme="minorHAnsi"/>
          <w:b/>
          <w:color w:val="000000"/>
          <w:lang w:val="cs-CZ"/>
        </w:rPr>
        <w:t xml:space="preserve"> </w:t>
      </w:r>
      <w:r w:rsidR="00996C0F" w:rsidRPr="0088356B">
        <w:rPr>
          <w:rFonts w:asciiTheme="minorHAnsi" w:hAnsiTheme="minorHAnsi" w:cstheme="minorHAnsi"/>
          <w:b/>
          <w:color w:val="000000"/>
          <w:lang w:val="cs-CZ"/>
        </w:rPr>
        <w:t>ICT</w:t>
      </w:r>
      <w:r w:rsidR="00AA0471">
        <w:rPr>
          <w:rFonts w:asciiTheme="minorHAnsi" w:hAnsiTheme="minorHAnsi" w:cstheme="minorHAnsi"/>
          <w:b/>
          <w:color w:val="000000"/>
          <w:lang w:val="cs-CZ"/>
        </w:rPr>
        <w:t xml:space="preserve"> </w:t>
      </w:r>
      <w:r w:rsidR="007F10F3" w:rsidRPr="00D92ED2">
        <w:rPr>
          <w:rFonts w:asciiTheme="minorHAnsi" w:hAnsiTheme="minorHAnsi" w:cstheme="minorHAnsi"/>
          <w:color w:val="000000"/>
          <w:lang w:val="cs-CZ"/>
        </w:rPr>
        <w:t xml:space="preserve">pro stanovení dlouhodobých cílů v oblasti řízení kvality a bezpečnosti informačních systémů a dále </w:t>
      </w:r>
      <w:r w:rsidR="007F10F3">
        <w:rPr>
          <w:rFonts w:asciiTheme="minorHAnsi" w:hAnsiTheme="minorHAnsi" w:cstheme="minorHAnsi"/>
          <w:color w:val="000000"/>
          <w:lang w:val="cs-CZ"/>
        </w:rPr>
        <w:t xml:space="preserve">nebyly </w:t>
      </w:r>
      <w:r w:rsidR="007F10F3" w:rsidRPr="00D92ED2">
        <w:rPr>
          <w:rFonts w:asciiTheme="minorHAnsi" w:hAnsiTheme="minorHAnsi" w:cstheme="minorHAnsi"/>
          <w:color w:val="000000"/>
          <w:lang w:val="cs-CZ"/>
        </w:rPr>
        <w:t xml:space="preserve">vymezeny obecné principy pořizování, vytváření a provozování informačních </w:t>
      </w:r>
      <w:r w:rsidR="007F10F3" w:rsidRPr="007F10F3">
        <w:rPr>
          <w:rFonts w:asciiTheme="minorHAnsi" w:hAnsiTheme="minorHAnsi" w:cstheme="minorHAnsi"/>
          <w:color w:val="000000"/>
          <w:lang w:val="cs-CZ"/>
        </w:rPr>
        <w:t xml:space="preserve">systémů, </w:t>
      </w:r>
      <w:r w:rsidR="00996C0F" w:rsidRPr="00047AA6">
        <w:rPr>
          <w:rFonts w:asciiTheme="minorHAnsi" w:hAnsiTheme="minorHAnsi" w:cstheme="minorHAnsi"/>
          <w:color w:val="000000"/>
          <w:lang w:val="cs-CZ"/>
        </w:rPr>
        <w:t>což se projevilo řadou negativních důsledků.</w:t>
      </w:r>
      <w:r w:rsidR="00996C0F" w:rsidRPr="009C4A68">
        <w:rPr>
          <w:rFonts w:asciiTheme="minorHAnsi" w:hAnsiTheme="minorHAnsi" w:cstheme="minorHAnsi"/>
          <w:color w:val="000000"/>
          <w:lang w:val="cs-CZ"/>
        </w:rPr>
        <w:t xml:space="preserve"> </w:t>
      </w:r>
      <w:r w:rsidR="00996C0F" w:rsidRPr="00DA7825">
        <w:rPr>
          <w:rFonts w:asciiTheme="minorHAnsi" w:hAnsiTheme="minorHAnsi" w:cstheme="minorHAnsi"/>
          <w:color w:val="000000"/>
          <w:lang w:val="cs-CZ"/>
        </w:rPr>
        <w:t>Například</w:t>
      </w:r>
      <w:r w:rsidR="00996C0F">
        <w:rPr>
          <w:rFonts w:asciiTheme="minorHAnsi" w:hAnsiTheme="minorHAnsi" w:cstheme="minorHAnsi"/>
          <w:b/>
          <w:color w:val="000000"/>
          <w:lang w:val="cs-CZ"/>
        </w:rPr>
        <w:t xml:space="preserve"> </w:t>
      </w:r>
      <w:r w:rsidR="00BC7583" w:rsidRPr="00DA7825">
        <w:rPr>
          <w:rFonts w:asciiTheme="minorHAnsi" w:hAnsiTheme="minorHAnsi" w:cstheme="minorHAnsi"/>
          <w:b/>
          <w:color w:val="000000"/>
          <w:lang w:val="cs-CZ"/>
        </w:rPr>
        <w:t>přenos dat z IS EDS/SMVS do IS CEDR III</w:t>
      </w:r>
      <w:r w:rsidR="00BC7583" w:rsidRPr="00BC7583">
        <w:rPr>
          <w:rFonts w:asciiTheme="minorHAnsi" w:hAnsiTheme="minorHAnsi" w:cstheme="minorHAnsi"/>
          <w:color w:val="000000"/>
          <w:lang w:val="cs-CZ"/>
        </w:rPr>
        <w:t xml:space="preserve"> </w:t>
      </w:r>
      <w:r w:rsidR="009209A7" w:rsidRPr="00BC7583">
        <w:rPr>
          <w:rFonts w:asciiTheme="minorHAnsi" w:hAnsiTheme="minorHAnsi" w:cstheme="minorHAnsi"/>
          <w:color w:val="000000"/>
          <w:lang w:val="cs-CZ"/>
        </w:rPr>
        <w:t xml:space="preserve">neprobíhal </w:t>
      </w:r>
      <w:r w:rsidR="00BC7583" w:rsidRPr="00BC7583">
        <w:rPr>
          <w:rFonts w:asciiTheme="minorHAnsi" w:hAnsiTheme="minorHAnsi" w:cstheme="minorHAnsi"/>
          <w:color w:val="000000"/>
          <w:lang w:val="cs-CZ"/>
        </w:rPr>
        <w:t xml:space="preserve">v případě evidence dotací automatizovaně, ale manuálně </w:t>
      </w:r>
      <w:r w:rsidR="008E5D5E">
        <w:rPr>
          <w:rFonts w:asciiTheme="minorHAnsi" w:hAnsiTheme="minorHAnsi" w:cstheme="minorHAnsi"/>
          <w:color w:val="000000"/>
          <w:lang w:val="cs-CZ"/>
        </w:rPr>
        <w:t>a vyžadoval součinnost jak MF a </w:t>
      </w:r>
      <w:r w:rsidR="00BC7583" w:rsidRPr="00BC7583">
        <w:rPr>
          <w:rFonts w:asciiTheme="minorHAnsi" w:hAnsiTheme="minorHAnsi" w:cstheme="minorHAnsi"/>
          <w:color w:val="000000"/>
          <w:lang w:val="cs-CZ"/>
        </w:rPr>
        <w:t xml:space="preserve">GFŘ (správci IS), tak dvou dodavatelů těchto IS </w:t>
      </w:r>
      <w:r w:rsidR="00E3432E">
        <w:rPr>
          <w:rFonts w:asciiTheme="minorHAnsi" w:hAnsiTheme="minorHAnsi" w:cstheme="minorHAnsi"/>
          <w:lang w:val="cs-CZ"/>
        </w:rPr>
        <w:t>(</w:t>
      </w:r>
      <w:r w:rsidR="00771704">
        <w:rPr>
          <w:rFonts w:asciiTheme="minorHAnsi" w:hAnsiTheme="minorHAnsi" w:cstheme="minorHAnsi"/>
          <w:lang w:val="cs-CZ"/>
        </w:rPr>
        <w:t xml:space="preserve">viz </w:t>
      </w:r>
      <w:r w:rsidR="00E3432E">
        <w:rPr>
          <w:rFonts w:asciiTheme="minorHAnsi" w:hAnsiTheme="minorHAnsi" w:cstheme="minorHAnsi"/>
          <w:lang w:val="cs-CZ"/>
        </w:rPr>
        <w:t xml:space="preserve">schéma </w:t>
      </w:r>
      <w:r w:rsidR="00771704">
        <w:rPr>
          <w:rFonts w:asciiTheme="minorHAnsi" w:hAnsiTheme="minorHAnsi" w:cstheme="minorHAnsi"/>
          <w:lang w:val="cs-CZ"/>
        </w:rPr>
        <w:t xml:space="preserve">na </w:t>
      </w:r>
      <w:r w:rsidR="00E3432E">
        <w:rPr>
          <w:rFonts w:asciiTheme="minorHAnsi" w:hAnsiTheme="minorHAnsi" w:cstheme="minorHAnsi"/>
          <w:lang w:val="cs-CZ"/>
        </w:rPr>
        <w:t xml:space="preserve">str. </w:t>
      </w:r>
      <w:r w:rsidR="00C45925">
        <w:rPr>
          <w:rFonts w:asciiTheme="minorHAnsi" w:hAnsiTheme="minorHAnsi" w:cstheme="minorHAnsi"/>
          <w:lang w:val="cs-CZ"/>
        </w:rPr>
        <w:t>12</w:t>
      </w:r>
      <w:r w:rsidR="00E3432E">
        <w:rPr>
          <w:rFonts w:asciiTheme="minorHAnsi" w:hAnsiTheme="minorHAnsi" w:cstheme="minorHAnsi"/>
          <w:lang w:val="cs-CZ"/>
        </w:rPr>
        <w:t>).</w:t>
      </w:r>
    </w:p>
    <w:p w14:paraId="240237A3" w14:textId="77777777" w:rsidR="00042D3F" w:rsidRDefault="00042D3F" w:rsidP="00362BC6">
      <w:pPr>
        <w:jc w:val="both"/>
        <w:rPr>
          <w:rFonts w:asciiTheme="minorHAnsi" w:hAnsiTheme="minorHAnsi" w:cstheme="minorHAnsi"/>
          <w:color w:val="000000"/>
          <w:lang w:val="cs-CZ"/>
        </w:rPr>
      </w:pPr>
    </w:p>
    <w:p w14:paraId="041D1BEB" w14:textId="77777777" w:rsidR="00053F97" w:rsidRPr="00694D66" w:rsidRDefault="00107EA7" w:rsidP="00362BC6">
      <w:pPr>
        <w:jc w:val="both"/>
        <w:rPr>
          <w:rFonts w:asciiTheme="minorHAnsi" w:hAnsiTheme="minorHAnsi" w:cstheme="minorHAnsi"/>
          <w:b/>
          <w:color w:val="000000"/>
          <w:lang w:val="cs-CZ"/>
        </w:rPr>
      </w:pPr>
      <w:r w:rsidRPr="00D92ED2">
        <w:rPr>
          <w:rFonts w:asciiTheme="minorHAnsi" w:hAnsiTheme="minorHAnsi" w:cstheme="minorHAnsi"/>
          <w:color w:val="000000"/>
          <w:lang w:val="cs-CZ"/>
        </w:rPr>
        <w:t xml:space="preserve">MF nemělo </w:t>
      </w:r>
      <w:r w:rsidR="00E52F26" w:rsidRPr="00D92ED2">
        <w:rPr>
          <w:rFonts w:asciiTheme="minorHAnsi" w:hAnsiTheme="minorHAnsi" w:cstheme="minorHAnsi"/>
          <w:color w:val="000000"/>
          <w:lang w:val="cs-CZ"/>
        </w:rPr>
        <w:t>v období od 1. 1. 2014 do ukončení kontroly</w:t>
      </w:r>
      <w:r w:rsidR="00694D66">
        <w:rPr>
          <w:rFonts w:asciiTheme="minorHAnsi" w:hAnsiTheme="minorHAnsi" w:cstheme="minorHAnsi"/>
          <w:color w:val="000000"/>
          <w:lang w:val="cs-CZ"/>
        </w:rPr>
        <w:t xml:space="preserve"> </w:t>
      </w:r>
      <w:r w:rsidRPr="00D92ED2">
        <w:rPr>
          <w:rFonts w:asciiTheme="minorHAnsi" w:hAnsiTheme="minorHAnsi" w:cstheme="minorHAnsi"/>
          <w:color w:val="000000"/>
          <w:lang w:val="cs-CZ"/>
        </w:rPr>
        <w:t>vypracovanou</w:t>
      </w:r>
      <w:r w:rsidR="00351834" w:rsidRPr="00D92ED2">
        <w:rPr>
          <w:rFonts w:asciiTheme="minorHAnsi" w:hAnsiTheme="minorHAnsi" w:cstheme="minorHAnsi"/>
          <w:color w:val="000000"/>
          <w:lang w:val="cs-CZ"/>
        </w:rPr>
        <w:t xml:space="preserve"> a schválenou</w:t>
      </w:r>
      <w:r w:rsidRPr="00D92ED2">
        <w:rPr>
          <w:rFonts w:asciiTheme="minorHAnsi" w:hAnsiTheme="minorHAnsi" w:cstheme="minorHAnsi"/>
          <w:color w:val="000000"/>
          <w:lang w:val="cs-CZ"/>
        </w:rPr>
        <w:t xml:space="preserve"> informační koncepci</w:t>
      </w:r>
      <w:r w:rsidR="00694D66">
        <w:rPr>
          <w:rFonts w:asciiTheme="minorHAnsi" w:hAnsiTheme="minorHAnsi" w:cstheme="minorHAnsi"/>
          <w:color w:val="000000"/>
          <w:lang w:val="cs-CZ"/>
        </w:rPr>
        <w:t>.</w:t>
      </w:r>
      <w:r w:rsidR="00351834" w:rsidRPr="00D92ED2">
        <w:rPr>
          <w:rFonts w:asciiTheme="minorHAnsi" w:hAnsiTheme="minorHAnsi" w:cstheme="minorHAnsi"/>
          <w:color w:val="000000"/>
          <w:lang w:val="cs-CZ"/>
        </w:rPr>
        <w:t xml:space="preserve"> GFŘ </w:t>
      </w:r>
      <w:r w:rsidR="00953F1D" w:rsidRPr="00D92ED2">
        <w:rPr>
          <w:rFonts w:asciiTheme="minorHAnsi" w:hAnsiTheme="minorHAnsi" w:cstheme="minorHAnsi"/>
          <w:color w:val="000000"/>
          <w:lang w:val="cs-CZ"/>
        </w:rPr>
        <w:t xml:space="preserve">od svého vzniku </w:t>
      </w:r>
      <w:r w:rsidR="005409FD">
        <w:rPr>
          <w:rFonts w:asciiTheme="minorHAnsi" w:hAnsiTheme="minorHAnsi" w:cstheme="minorHAnsi"/>
          <w:color w:val="000000"/>
          <w:lang w:val="cs-CZ"/>
        </w:rPr>
        <w:t xml:space="preserve">v roce 2011 </w:t>
      </w:r>
      <w:r w:rsidR="005C0026" w:rsidRPr="00D92ED2">
        <w:rPr>
          <w:rFonts w:asciiTheme="minorHAnsi" w:hAnsiTheme="minorHAnsi" w:cstheme="minorHAnsi"/>
          <w:color w:val="000000"/>
          <w:lang w:val="cs-CZ"/>
        </w:rPr>
        <w:t>nezpracovalo strategi</w:t>
      </w:r>
      <w:r w:rsidR="00694D66">
        <w:rPr>
          <w:rFonts w:asciiTheme="minorHAnsi" w:hAnsiTheme="minorHAnsi" w:cstheme="minorHAnsi"/>
          <w:color w:val="000000"/>
          <w:lang w:val="cs-CZ"/>
        </w:rPr>
        <w:t>i</w:t>
      </w:r>
      <w:r w:rsidR="008E5D5E">
        <w:rPr>
          <w:rFonts w:asciiTheme="minorHAnsi" w:hAnsiTheme="minorHAnsi" w:cstheme="minorHAnsi"/>
          <w:color w:val="000000"/>
          <w:lang w:val="cs-CZ"/>
        </w:rPr>
        <w:t xml:space="preserve"> rozvoje ICT a </w:t>
      </w:r>
      <w:r w:rsidR="005C0026" w:rsidRPr="00D92ED2">
        <w:rPr>
          <w:rFonts w:asciiTheme="minorHAnsi" w:hAnsiTheme="minorHAnsi" w:cstheme="minorHAnsi"/>
          <w:color w:val="000000"/>
          <w:lang w:val="cs-CZ"/>
        </w:rPr>
        <w:t xml:space="preserve">pouze převzalo </w:t>
      </w:r>
      <w:r w:rsidR="005C0026" w:rsidRPr="00D92ED2">
        <w:rPr>
          <w:rFonts w:asciiTheme="minorHAnsi" w:hAnsiTheme="minorHAnsi" w:cstheme="minorHAnsi"/>
          <w:i/>
          <w:color w:val="000000"/>
          <w:lang w:val="cs-CZ"/>
        </w:rPr>
        <w:t>ICT strategii resortu Ministerst</w:t>
      </w:r>
      <w:r w:rsidR="00A922EB" w:rsidRPr="00D92ED2">
        <w:rPr>
          <w:rFonts w:asciiTheme="minorHAnsi" w:hAnsiTheme="minorHAnsi" w:cstheme="minorHAnsi"/>
          <w:i/>
          <w:color w:val="000000"/>
          <w:lang w:val="cs-CZ"/>
        </w:rPr>
        <w:t>va financí ČR pro období 2009–</w:t>
      </w:r>
      <w:r w:rsidR="005C0026" w:rsidRPr="00D92ED2">
        <w:rPr>
          <w:rFonts w:asciiTheme="minorHAnsi" w:hAnsiTheme="minorHAnsi" w:cstheme="minorHAnsi"/>
          <w:i/>
          <w:color w:val="000000"/>
          <w:lang w:val="cs-CZ"/>
        </w:rPr>
        <w:t>2013</w:t>
      </w:r>
      <w:r w:rsidR="005C0026" w:rsidRPr="00D92ED2">
        <w:rPr>
          <w:rFonts w:asciiTheme="minorHAnsi" w:hAnsiTheme="minorHAnsi" w:cstheme="minorHAnsi"/>
          <w:color w:val="000000"/>
          <w:lang w:val="cs-CZ"/>
        </w:rPr>
        <w:t xml:space="preserve">. </w:t>
      </w:r>
      <w:r w:rsidR="008F4420" w:rsidRPr="00D92ED2">
        <w:rPr>
          <w:rFonts w:asciiTheme="minorHAnsi" w:hAnsiTheme="minorHAnsi" w:cstheme="minorHAnsi"/>
          <w:color w:val="000000"/>
          <w:lang w:val="cs-CZ"/>
        </w:rPr>
        <w:t xml:space="preserve">Tento nedostatek přispěl </w:t>
      </w:r>
      <w:r w:rsidR="007B08B8">
        <w:rPr>
          <w:rFonts w:asciiTheme="minorHAnsi" w:hAnsiTheme="minorHAnsi" w:cstheme="minorHAnsi"/>
          <w:color w:val="000000"/>
          <w:lang w:val="cs-CZ"/>
        </w:rPr>
        <w:t xml:space="preserve">k neúčelnému </w:t>
      </w:r>
      <w:r w:rsidR="00D97C83" w:rsidRPr="00D92ED2">
        <w:rPr>
          <w:rFonts w:asciiTheme="minorHAnsi" w:hAnsiTheme="minorHAnsi" w:cstheme="minorHAnsi"/>
          <w:color w:val="000000"/>
          <w:lang w:val="cs-CZ"/>
        </w:rPr>
        <w:t xml:space="preserve">budování, rozvoji a provozu informační podpory </w:t>
      </w:r>
      <w:r w:rsidR="001D19D5" w:rsidRPr="00D92ED2">
        <w:rPr>
          <w:rFonts w:asciiTheme="minorHAnsi" w:hAnsiTheme="minorHAnsi" w:cstheme="minorHAnsi"/>
          <w:color w:val="000000"/>
          <w:lang w:val="cs-CZ"/>
        </w:rPr>
        <w:t xml:space="preserve">financování programů a dotací </w:t>
      </w:r>
      <w:r w:rsidR="00D97C83" w:rsidRPr="00D92ED2">
        <w:rPr>
          <w:rFonts w:asciiTheme="minorHAnsi" w:hAnsiTheme="minorHAnsi" w:cstheme="minorHAnsi"/>
          <w:color w:val="000000"/>
          <w:lang w:val="cs-CZ"/>
        </w:rPr>
        <w:t xml:space="preserve">k jejímu pořizování bez </w:t>
      </w:r>
      <w:r w:rsidR="008A796D">
        <w:rPr>
          <w:rFonts w:asciiTheme="minorHAnsi" w:hAnsiTheme="minorHAnsi" w:cstheme="minorHAnsi"/>
          <w:color w:val="000000"/>
          <w:lang w:val="cs-CZ"/>
        </w:rPr>
        <w:t xml:space="preserve">otevřené </w:t>
      </w:r>
      <w:r w:rsidR="00D97C83" w:rsidRPr="00D92ED2">
        <w:rPr>
          <w:rFonts w:asciiTheme="minorHAnsi" w:hAnsiTheme="minorHAnsi" w:cstheme="minorHAnsi"/>
          <w:color w:val="000000"/>
          <w:lang w:val="cs-CZ"/>
        </w:rPr>
        <w:t>hospodářské soutěže</w:t>
      </w:r>
      <w:r w:rsidR="00A922EB" w:rsidRPr="00D92ED2">
        <w:rPr>
          <w:rFonts w:asciiTheme="minorHAnsi" w:hAnsiTheme="minorHAnsi" w:cstheme="minorHAnsi"/>
          <w:color w:val="000000"/>
          <w:lang w:val="cs-CZ"/>
        </w:rPr>
        <w:t xml:space="preserve"> a </w:t>
      </w:r>
      <w:r w:rsidR="001D19D5" w:rsidRPr="00D92ED2">
        <w:rPr>
          <w:rFonts w:asciiTheme="minorHAnsi" w:hAnsiTheme="minorHAnsi" w:cstheme="minorHAnsi"/>
          <w:color w:val="000000"/>
          <w:lang w:val="cs-CZ"/>
        </w:rPr>
        <w:t>zadávání veřejn</w:t>
      </w:r>
      <w:r w:rsidR="00A514FC" w:rsidRPr="00D92ED2">
        <w:rPr>
          <w:rFonts w:asciiTheme="minorHAnsi" w:hAnsiTheme="minorHAnsi" w:cstheme="minorHAnsi"/>
          <w:color w:val="000000"/>
          <w:lang w:val="cs-CZ"/>
        </w:rPr>
        <w:t>ých</w:t>
      </w:r>
      <w:r w:rsidR="001D19D5" w:rsidRPr="00D92ED2">
        <w:rPr>
          <w:rFonts w:asciiTheme="minorHAnsi" w:hAnsiTheme="minorHAnsi" w:cstheme="minorHAnsi"/>
          <w:color w:val="000000"/>
          <w:lang w:val="cs-CZ"/>
        </w:rPr>
        <w:t xml:space="preserve"> zakáz</w:t>
      </w:r>
      <w:r w:rsidR="00A514FC" w:rsidRPr="00D92ED2">
        <w:rPr>
          <w:rFonts w:asciiTheme="minorHAnsi" w:hAnsiTheme="minorHAnsi" w:cstheme="minorHAnsi"/>
          <w:color w:val="000000"/>
          <w:lang w:val="cs-CZ"/>
        </w:rPr>
        <w:t>e</w:t>
      </w:r>
      <w:r w:rsidR="001D19D5" w:rsidRPr="00D92ED2">
        <w:rPr>
          <w:rFonts w:asciiTheme="minorHAnsi" w:hAnsiTheme="minorHAnsi" w:cstheme="minorHAnsi"/>
          <w:color w:val="000000"/>
          <w:lang w:val="cs-CZ"/>
        </w:rPr>
        <w:t xml:space="preserve">k </w:t>
      </w:r>
      <w:r w:rsidR="00E52F26">
        <w:rPr>
          <w:rFonts w:asciiTheme="minorHAnsi" w:hAnsiTheme="minorHAnsi" w:cstheme="minorHAnsi"/>
          <w:color w:val="000000"/>
          <w:lang w:val="cs-CZ"/>
        </w:rPr>
        <w:t>stejným</w:t>
      </w:r>
      <w:r w:rsidR="001D19D5" w:rsidRPr="00D92ED2">
        <w:rPr>
          <w:rFonts w:asciiTheme="minorHAnsi" w:hAnsiTheme="minorHAnsi" w:cstheme="minorHAnsi"/>
          <w:color w:val="000000"/>
          <w:lang w:val="cs-CZ"/>
        </w:rPr>
        <w:t xml:space="preserve"> dodavatel</w:t>
      </w:r>
      <w:r w:rsidR="00BC7583">
        <w:rPr>
          <w:rFonts w:asciiTheme="minorHAnsi" w:hAnsiTheme="minorHAnsi" w:cstheme="minorHAnsi"/>
          <w:color w:val="000000"/>
          <w:lang w:val="cs-CZ"/>
        </w:rPr>
        <w:t>ům</w:t>
      </w:r>
      <w:r w:rsidR="00F5580F" w:rsidRPr="00D92ED2">
        <w:rPr>
          <w:rFonts w:asciiTheme="minorHAnsi" w:hAnsiTheme="minorHAnsi" w:cstheme="minorHAnsi"/>
          <w:color w:val="000000"/>
          <w:lang w:val="cs-CZ"/>
        </w:rPr>
        <w:t xml:space="preserve">, </w:t>
      </w:r>
      <w:r w:rsidR="00D97C83" w:rsidRPr="00D92ED2">
        <w:rPr>
          <w:rFonts w:asciiTheme="minorHAnsi" w:hAnsiTheme="minorHAnsi" w:cstheme="minorHAnsi"/>
          <w:color w:val="000000"/>
          <w:lang w:val="cs-CZ"/>
        </w:rPr>
        <w:t>k</w:t>
      </w:r>
      <w:r w:rsidR="00F173E8" w:rsidRPr="00D92ED2">
        <w:rPr>
          <w:rFonts w:asciiTheme="minorHAnsi" w:hAnsiTheme="minorHAnsi" w:cstheme="minorHAnsi"/>
          <w:color w:val="000000"/>
          <w:lang w:val="cs-CZ"/>
        </w:rPr>
        <w:t> </w:t>
      </w:r>
      <w:r w:rsidR="00D97C83" w:rsidRPr="00D92ED2">
        <w:rPr>
          <w:rFonts w:asciiTheme="minorHAnsi" w:hAnsiTheme="minorHAnsi" w:cstheme="minorHAnsi"/>
          <w:color w:val="000000"/>
          <w:lang w:val="cs-CZ"/>
        </w:rPr>
        <w:t>ne</w:t>
      </w:r>
      <w:r w:rsidR="00F173E8" w:rsidRPr="00D92ED2">
        <w:rPr>
          <w:rFonts w:asciiTheme="minorHAnsi" w:hAnsiTheme="minorHAnsi" w:cstheme="minorHAnsi"/>
          <w:color w:val="000000"/>
          <w:lang w:val="cs-CZ"/>
        </w:rPr>
        <w:t xml:space="preserve">dosažení </w:t>
      </w:r>
      <w:r w:rsidR="00D97C83" w:rsidRPr="00D92ED2">
        <w:rPr>
          <w:rFonts w:asciiTheme="minorHAnsi" w:hAnsiTheme="minorHAnsi" w:cstheme="minorHAnsi"/>
          <w:color w:val="000000"/>
          <w:lang w:val="cs-CZ"/>
        </w:rPr>
        <w:t>automatizované</w:t>
      </w:r>
      <w:r w:rsidR="00F173E8" w:rsidRPr="00D92ED2">
        <w:rPr>
          <w:rFonts w:asciiTheme="minorHAnsi" w:hAnsiTheme="minorHAnsi" w:cstheme="minorHAnsi"/>
          <w:color w:val="000000"/>
          <w:lang w:val="cs-CZ"/>
        </w:rPr>
        <w:t>ho</w:t>
      </w:r>
      <w:r w:rsidR="00D97C83" w:rsidRPr="00D92ED2">
        <w:rPr>
          <w:rFonts w:asciiTheme="minorHAnsi" w:hAnsiTheme="minorHAnsi" w:cstheme="minorHAnsi"/>
          <w:color w:val="000000"/>
          <w:lang w:val="cs-CZ"/>
        </w:rPr>
        <w:t xml:space="preserve"> přenosu dat z</w:t>
      </w:r>
      <w:r w:rsidR="00FF7220">
        <w:rPr>
          <w:rFonts w:asciiTheme="minorHAnsi" w:hAnsiTheme="minorHAnsi" w:cstheme="minorHAnsi"/>
          <w:color w:val="000000"/>
          <w:lang w:val="cs-CZ"/>
        </w:rPr>
        <w:t> </w:t>
      </w:r>
      <w:r w:rsidR="00D97C83" w:rsidRPr="00D92ED2">
        <w:rPr>
          <w:rFonts w:asciiTheme="minorHAnsi" w:hAnsiTheme="minorHAnsi" w:cstheme="minorHAnsi"/>
          <w:color w:val="000000"/>
          <w:lang w:val="cs-CZ"/>
        </w:rPr>
        <w:t>IS</w:t>
      </w:r>
      <w:r w:rsidR="00FF7220">
        <w:rPr>
          <w:rFonts w:asciiTheme="minorHAnsi" w:hAnsiTheme="minorHAnsi" w:cstheme="minorHAnsi"/>
          <w:color w:val="000000"/>
          <w:lang w:val="cs-CZ"/>
        </w:rPr>
        <w:t> </w:t>
      </w:r>
      <w:r w:rsidR="00D97C83" w:rsidRPr="00D92ED2">
        <w:rPr>
          <w:rFonts w:asciiTheme="minorHAnsi" w:hAnsiTheme="minorHAnsi" w:cstheme="minorHAnsi"/>
          <w:color w:val="000000"/>
          <w:lang w:val="cs-CZ"/>
        </w:rPr>
        <w:t>EDS/SMVS do IS CEDR III</w:t>
      </w:r>
      <w:r w:rsidR="00F5580F" w:rsidRPr="00D92ED2">
        <w:rPr>
          <w:rFonts w:asciiTheme="minorHAnsi" w:hAnsiTheme="minorHAnsi" w:cstheme="minorHAnsi"/>
          <w:color w:val="000000"/>
          <w:lang w:val="cs-CZ"/>
        </w:rPr>
        <w:t>,</w:t>
      </w:r>
      <w:r w:rsidR="00D97C83" w:rsidRPr="00D92ED2">
        <w:rPr>
          <w:rFonts w:asciiTheme="minorHAnsi" w:hAnsiTheme="minorHAnsi" w:cstheme="minorHAnsi"/>
          <w:color w:val="000000"/>
          <w:lang w:val="cs-CZ"/>
        </w:rPr>
        <w:t xml:space="preserve"> </w:t>
      </w:r>
      <w:r w:rsidR="00F5580F" w:rsidRPr="00D92ED2">
        <w:rPr>
          <w:rFonts w:asciiTheme="minorHAnsi" w:hAnsiTheme="minorHAnsi" w:cstheme="minorHAnsi"/>
          <w:color w:val="000000"/>
          <w:lang w:val="cs-CZ"/>
        </w:rPr>
        <w:t>k vybudování nového</w:t>
      </w:r>
      <w:r w:rsidR="00B962C7">
        <w:rPr>
          <w:rFonts w:asciiTheme="minorHAnsi" w:hAnsiTheme="minorHAnsi" w:cstheme="minorHAnsi"/>
          <w:color w:val="000000"/>
          <w:lang w:val="cs-CZ"/>
        </w:rPr>
        <w:t xml:space="preserve"> </w:t>
      </w:r>
      <w:r w:rsidR="00E03F78">
        <w:rPr>
          <w:rFonts w:asciiTheme="minorHAnsi" w:hAnsiTheme="minorHAnsi" w:cstheme="minorHAnsi"/>
          <w:color w:val="000000"/>
          <w:lang w:val="cs-CZ"/>
        </w:rPr>
        <w:t xml:space="preserve">IS </w:t>
      </w:r>
      <w:r w:rsidR="00793012">
        <w:rPr>
          <w:rFonts w:asciiTheme="minorHAnsi" w:hAnsiTheme="minorHAnsi" w:cstheme="minorHAnsi"/>
          <w:color w:val="000000"/>
          <w:lang w:val="cs-CZ"/>
        </w:rPr>
        <w:t xml:space="preserve">DotInfo EDS </w:t>
      </w:r>
      <w:r w:rsidR="00F5580F" w:rsidRPr="00D92ED2">
        <w:rPr>
          <w:rFonts w:asciiTheme="minorHAnsi" w:hAnsiTheme="minorHAnsi" w:cstheme="minorHAnsi"/>
          <w:color w:val="000000"/>
          <w:lang w:val="cs-CZ"/>
        </w:rPr>
        <w:t>s podobným účelem</w:t>
      </w:r>
      <w:r w:rsidR="00A514FC" w:rsidRPr="00D92ED2">
        <w:rPr>
          <w:rFonts w:asciiTheme="minorHAnsi" w:hAnsiTheme="minorHAnsi" w:cstheme="minorHAnsi"/>
          <w:color w:val="000000"/>
          <w:lang w:val="cs-CZ"/>
        </w:rPr>
        <w:t>,</w:t>
      </w:r>
      <w:r w:rsidR="00F5580F" w:rsidRPr="00D92ED2">
        <w:rPr>
          <w:rFonts w:asciiTheme="minorHAnsi" w:hAnsiTheme="minorHAnsi" w:cstheme="minorHAnsi"/>
          <w:color w:val="000000"/>
          <w:lang w:val="cs-CZ"/>
        </w:rPr>
        <w:t xml:space="preserve"> jako </w:t>
      </w:r>
      <w:r w:rsidR="00A514FC" w:rsidRPr="00D92ED2">
        <w:rPr>
          <w:rFonts w:asciiTheme="minorHAnsi" w:hAnsiTheme="minorHAnsi" w:cstheme="minorHAnsi"/>
          <w:color w:val="000000"/>
          <w:lang w:val="cs-CZ"/>
        </w:rPr>
        <w:t>měl již několik let provozovaný</w:t>
      </w:r>
      <w:r w:rsidR="00F5580F" w:rsidRPr="00D92ED2">
        <w:rPr>
          <w:rFonts w:asciiTheme="minorHAnsi" w:hAnsiTheme="minorHAnsi" w:cstheme="minorHAnsi"/>
          <w:color w:val="000000"/>
          <w:lang w:val="cs-CZ"/>
        </w:rPr>
        <w:t xml:space="preserve"> </w:t>
      </w:r>
      <w:r w:rsidR="001753B0" w:rsidRPr="00D92ED2">
        <w:rPr>
          <w:rFonts w:asciiTheme="minorHAnsi" w:hAnsiTheme="minorHAnsi" w:cstheme="minorHAnsi"/>
          <w:color w:val="000000"/>
          <w:lang w:val="cs-CZ"/>
        </w:rPr>
        <w:t>IS CEDR III</w:t>
      </w:r>
      <w:r w:rsidR="00A514FC" w:rsidRPr="00D92ED2">
        <w:rPr>
          <w:rFonts w:asciiTheme="minorHAnsi" w:hAnsiTheme="minorHAnsi" w:cstheme="minorHAnsi"/>
          <w:color w:val="000000"/>
          <w:lang w:val="cs-CZ"/>
        </w:rPr>
        <w:t>,</w:t>
      </w:r>
      <w:r w:rsidR="00F5580F" w:rsidRPr="00D92ED2">
        <w:rPr>
          <w:rFonts w:asciiTheme="minorHAnsi" w:hAnsiTheme="minorHAnsi" w:cstheme="minorHAnsi"/>
          <w:color w:val="000000"/>
          <w:lang w:val="cs-CZ"/>
        </w:rPr>
        <w:t xml:space="preserve"> </w:t>
      </w:r>
      <w:r w:rsidR="00D97C83" w:rsidRPr="00D92ED2">
        <w:rPr>
          <w:rFonts w:asciiTheme="minorHAnsi" w:hAnsiTheme="minorHAnsi" w:cstheme="minorHAnsi"/>
          <w:color w:val="000000"/>
          <w:lang w:val="cs-CZ"/>
        </w:rPr>
        <w:t>a k rozdílné evidenci výše pos</w:t>
      </w:r>
      <w:r w:rsidR="00127814" w:rsidRPr="00D92ED2">
        <w:rPr>
          <w:rFonts w:asciiTheme="minorHAnsi" w:hAnsiTheme="minorHAnsi" w:cstheme="minorHAnsi"/>
          <w:color w:val="000000"/>
          <w:lang w:val="cs-CZ"/>
        </w:rPr>
        <w:t>kytnutých dotací v několika IS</w:t>
      </w:r>
      <w:r w:rsidR="001D19D5" w:rsidRPr="00D92ED2">
        <w:rPr>
          <w:rFonts w:asciiTheme="minorHAnsi" w:hAnsiTheme="minorHAnsi" w:cstheme="minorHAnsi"/>
          <w:color w:val="000000"/>
          <w:lang w:val="cs-CZ"/>
        </w:rPr>
        <w:t xml:space="preserve"> zaměřených na dotace</w:t>
      </w:r>
      <w:r w:rsidR="00127814" w:rsidRPr="00D92ED2">
        <w:rPr>
          <w:rFonts w:asciiTheme="minorHAnsi" w:hAnsiTheme="minorHAnsi" w:cstheme="minorHAnsi"/>
          <w:color w:val="000000"/>
          <w:lang w:val="cs-CZ"/>
        </w:rPr>
        <w:t>.</w:t>
      </w:r>
    </w:p>
    <w:p w14:paraId="6BC4C695" w14:textId="77777777" w:rsidR="00A13A43" w:rsidRPr="00D92ED2" w:rsidRDefault="00A13A43" w:rsidP="00362BC6">
      <w:pPr>
        <w:jc w:val="both"/>
        <w:rPr>
          <w:rFonts w:asciiTheme="minorHAnsi" w:hAnsiTheme="minorHAnsi" w:cstheme="minorHAnsi"/>
          <w:color w:val="000000"/>
          <w:lang w:val="cs-CZ"/>
        </w:rPr>
      </w:pPr>
    </w:p>
    <w:p w14:paraId="77033584" w14:textId="77777777" w:rsidR="00694D66" w:rsidRPr="00694D66" w:rsidRDefault="00BC7583" w:rsidP="00042D3F">
      <w:pPr>
        <w:pStyle w:val="Odstavecseseznamem"/>
        <w:numPr>
          <w:ilvl w:val="0"/>
          <w:numId w:val="13"/>
        </w:numPr>
        <w:ind w:left="284" w:hanging="284"/>
        <w:contextualSpacing w:val="0"/>
        <w:jc w:val="both"/>
        <w:rPr>
          <w:rFonts w:asciiTheme="minorHAnsi" w:hAnsiTheme="minorHAnsi" w:cstheme="minorHAnsi"/>
          <w:color w:val="000000"/>
          <w:lang w:val="cs-CZ"/>
        </w:rPr>
      </w:pPr>
      <w:r w:rsidRPr="00694D66">
        <w:rPr>
          <w:rFonts w:asciiTheme="minorHAnsi" w:hAnsiTheme="minorHAnsi" w:cstheme="minorHAnsi"/>
          <w:b/>
          <w:color w:val="000000"/>
          <w:lang w:val="cs-CZ"/>
        </w:rPr>
        <w:t xml:space="preserve">I přes </w:t>
      </w:r>
      <w:r w:rsidRPr="00AA0471">
        <w:rPr>
          <w:rFonts w:asciiTheme="minorHAnsi" w:hAnsiTheme="minorHAnsi" w:cstheme="minorHAnsi"/>
          <w:b/>
          <w:color w:val="000000"/>
          <w:lang w:val="cs-CZ"/>
        </w:rPr>
        <w:t>vynaložení</w:t>
      </w:r>
      <w:r w:rsidRPr="00694D66">
        <w:rPr>
          <w:rFonts w:asciiTheme="minorHAnsi" w:hAnsiTheme="minorHAnsi" w:cstheme="minorHAnsi"/>
          <w:b/>
          <w:color w:val="000000"/>
          <w:lang w:val="cs-CZ"/>
        </w:rPr>
        <w:t xml:space="preserve"> 338 mil. Kč na informační podporu </w:t>
      </w:r>
      <w:r w:rsidR="00042D3F">
        <w:rPr>
          <w:rFonts w:asciiTheme="minorHAnsi" w:hAnsiTheme="minorHAnsi" w:cstheme="minorHAnsi"/>
          <w:b/>
          <w:color w:val="000000"/>
          <w:lang w:val="cs-CZ"/>
        </w:rPr>
        <w:t>systému financování programů a </w:t>
      </w:r>
      <w:r w:rsidR="0065326F" w:rsidRPr="00694D66">
        <w:rPr>
          <w:rFonts w:asciiTheme="minorHAnsi" w:hAnsiTheme="minorHAnsi" w:cstheme="minorHAnsi"/>
          <w:b/>
          <w:color w:val="000000"/>
          <w:lang w:val="cs-CZ"/>
        </w:rPr>
        <w:t xml:space="preserve">dotací </w:t>
      </w:r>
      <w:r w:rsidRPr="00694D66">
        <w:rPr>
          <w:rFonts w:asciiTheme="minorHAnsi" w:hAnsiTheme="minorHAnsi" w:cstheme="minorHAnsi"/>
          <w:b/>
          <w:color w:val="000000"/>
          <w:lang w:val="cs-CZ"/>
        </w:rPr>
        <w:t>v letech 2009–2015</w:t>
      </w:r>
      <w:r w:rsidRPr="007A1E4B">
        <w:rPr>
          <w:rStyle w:val="Znakapoznpodarou"/>
          <w:rFonts w:asciiTheme="minorHAnsi" w:hAnsiTheme="minorHAnsi" w:cstheme="minorHAnsi"/>
          <w:b/>
          <w:color w:val="000000"/>
          <w:lang w:val="cs-CZ"/>
        </w:rPr>
        <w:footnoteReference w:id="7"/>
      </w:r>
      <w:r w:rsidRPr="00694D66">
        <w:rPr>
          <w:rFonts w:asciiTheme="minorHAnsi" w:hAnsiTheme="minorHAnsi" w:cstheme="minorHAnsi"/>
          <w:b/>
          <w:color w:val="000000"/>
          <w:lang w:val="cs-CZ"/>
        </w:rPr>
        <w:t xml:space="preserve"> nemělo MF kompletní přehled o </w:t>
      </w:r>
      <w:r w:rsidR="00165160">
        <w:rPr>
          <w:rFonts w:asciiTheme="minorHAnsi" w:hAnsiTheme="minorHAnsi" w:cstheme="minorHAnsi"/>
          <w:b/>
          <w:color w:val="000000"/>
          <w:lang w:val="cs-CZ"/>
        </w:rPr>
        <w:t>výdajích realizovaných prostřednictvím programového financování</w:t>
      </w:r>
      <w:r w:rsidR="00425ED8">
        <w:rPr>
          <w:rFonts w:asciiTheme="minorHAnsi" w:hAnsiTheme="minorHAnsi" w:cstheme="minorHAnsi"/>
          <w:b/>
          <w:color w:val="000000"/>
          <w:lang w:val="cs-CZ"/>
        </w:rPr>
        <w:t xml:space="preserve">. </w:t>
      </w:r>
      <w:r w:rsidR="006A035D">
        <w:rPr>
          <w:rFonts w:asciiTheme="minorHAnsi" w:hAnsiTheme="minorHAnsi" w:cstheme="minorHAnsi"/>
          <w:b/>
          <w:color w:val="000000"/>
          <w:lang w:val="cs-CZ"/>
        </w:rPr>
        <w:t>IS CEDR III a IS DotInfo EDS neposkytova</w:t>
      </w:r>
      <w:r w:rsidR="00425ED8">
        <w:rPr>
          <w:rFonts w:asciiTheme="minorHAnsi" w:hAnsiTheme="minorHAnsi" w:cstheme="minorHAnsi"/>
          <w:b/>
          <w:color w:val="000000"/>
          <w:lang w:val="cs-CZ"/>
        </w:rPr>
        <w:t>ly</w:t>
      </w:r>
      <w:r w:rsidR="00C3731C">
        <w:rPr>
          <w:rFonts w:asciiTheme="minorHAnsi" w:hAnsiTheme="minorHAnsi" w:cstheme="minorHAnsi"/>
          <w:b/>
          <w:color w:val="000000"/>
          <w:lang w:val="cs-CZ"/>
        </w:rPr>
        <w:t xml:space="preserve"> kompletní přehled o vyplacených dotacích</w:t>
      </w:r>
      <w:r w:rsidR="00DF7E67">
        <w:rPr>
          <w:rFonts w:asciiTheme="minorHAnsi" w:hAnsiTheme="minorHAnsi" w:cstheme="minorHAnsi"/>
          <w:b/>
          <w:color w:val="000000"/>
          <w:lang w:val="cs-CZ"/>
        </w:rPr>
        <w:t>,</w:t>
      </w:r>
      <w:r w:rsidR="006A035D">
        <w:rPr>
          <w:rFonts w:asciiTheme="minorHAnsi" w:hAnsiTheme="minorHAnsi" w:cstheme="minorHAnsi"/>
          <w:b/>
          <w:color w:val="000000"/>
          <w:lang w:val="cs-CZ"/>
        </w:rPr>
        <w:t xml:space="preserve"> </w:t>
      </w:r>
      <w:r w:rsidR="00DF7E67">
        <w:rPr>
          <w:rFonts w:asciiTheme="minorHAnsi" w:hAnsiTheme="minorHAnsi" w:cstheme="minorHAnsi"/>
          <w:b/>
          <w:color w:val="000000"/>
          <w:lang w:val="cs-CZ"/>
        </w:rPr>
        <w:t xml:space="preserve">IS tak </w:t>
      </w:r>
      <w:r w:rsidR="00F156BD">
        <w:rPr>
          <w:rFonts w:asciiTheme="minorHAnsi" w:hAnsiTheme="minorHAnsi" w:cstheme="minorHAnsi"/>
          <w:b/>
          <w:color w:val="000000"/>
          <w:lang w:val="cs-CZ"/>
        </w:rPr>
        <w:t>nemoh</w:t>
      </w:r>
      <w:r w:rsidR="006A035D">
        <w:rPr>
          <w:rFonts w:asciiTheme="minorHAnsi" w:hAnsiTheme="minorHAnsi" w:cstheme="minorHAnsi"/>
          <w:b/>
          <w:color w:val="000000"/>
          <w:lang w:val="cs-CZ"/>
        </w:rPr>
        <w:t>ly</w:t>
      </w:r>
      <w:r w:rsidR="00F156BD">
        <w:rPr>
          <w:rFonts w:asciiTheme="minorHAnsi" w:hAnsiTheme="minorHAnsi" w:cstheme="minorHAnsi"/>
          <w:b/>
          <w:color w:val="000000"/>
          <w:lang w:val="cs-CZ"/>
        </w:rPr>
        <w:t xml:space="preserve"> plnit účel, pro který byly vybudovány</w:t>
      </w:r>
      <w:r w:rsidR="00C3731C">
        <w:rPr>
          <w:rFonts w:asciiTheme="minorHAnsi" w:hAnsiTheme="minorHAnsi" w:cstheme="minorHAnsi"/>
          <w:b/>
          <w:color w:val="000000"/>
          <w:lang w:val="cs-CZ"/>
        </w:rPr>
        <w:t>.</w:t>
      </w:r>
    </w:p>
    <w:p w14:paraId="5128FEAA" w14:textId="77777777" w:rsidR="00AA0471" w:rsidRDefault="00AA0471" w:rsidP="00362BC6">
      <w:pPr>
        <w:jc w:val="both"/>
        <w:rPr>
          <w:rFonts w:asciiTheme="minorHAnsi" w:hAnsiTheme="minorHAnsi" w:cstheme="minorHAnsi"/>
          <w:color w:val="000000"/>
          <w:lang w:val="cs-CZ"/>
        </w:rPr>
      </w:pPr>
    </w:p>
    <w:p w14:paraId="2CBEA763" w14:textId="77777777" w:rsidR="00AA0471" w:rsidRDefault="00E5707A" w:rsidP="00362BC6">
      <w:pPr>
        <w:jc w:val="both"/>
        <w:rPr>
          <w:rFonts w:asciiTheme="minorHAnsi" w:hAnsiTheme="minorHAnsi" w:cstheme="minorHAnsi"/>
          <w:lang w:val="cs-CZ"/>
        </w:rPr>
      </w:pPr>
      <w:r>
        <w:rPr>
          <w:rFonts w:asciiTheme="minorHAnsi" w:hAnsiTheme="minorHAnsi" w:cstheme="minorHAnsi"/>
          <w:color w:val="000000"/>
          <w:lang w:val="cs-CZ"/>
        </w:rPr>
        <w:t>P</w:t>
      </w:r>
      <w:r w:rsidR="00BC7583" w:rsidRPr="00BC7583">
        <w:rPr>
          <w:rFonts w:asciiTheme="minorHAnsi" w:hAnsiTheme="minorHAnsi" w:cstheme="minorHAnsi"/>
          <w:color w:val="000000"/>
          <w:lang w:val="cs-CZ"/>
        </w:rPr>
        <w:t xml:space="preserve">řenos dat z IS EDS/SMVS do IS CEDR III v případě evidence dotací neprobíhal automatizovaně, ale manuálně a vyžadoval součinnost jak MF a GFŘ (správci IS), tak dvou dodavatelů těchto IS </w:t>
      </w:r>
      <w:r w:rsidR="00BC7583" w:rsidRPr="00BC7583">
        <w:rPr>
          <w:rFonts w:asciiTheme="minorHAnsi" w:hAnsiTheme="minorHAnsi" w:cstheme="minorHAnsi"/>
          <w:lang w:val="cs-CZ"/>
        </w:rPr>
        <w:t>(</w:t>
      </w:r>
      <w:r w:rsidR="00771704">
        <w:rPr>
          <w:rFonts w:asciiTheme="minorHAnsi" w:hAnsiTheme="minorHAnsi" w:cstheme="minorHAnsi"/>
          <w:lang w:val="cs-CZ"/>
        </w:rPr>
        <w:t xml:space="preserve">viz </w:t>
      </w:r>
      <w:r w:rsidR="00BC7583" w:rsidRPr="00BC7583">
        <w:rPr>
          <w:rFonts w:asciiTheme="minorHAnsi" w:hAnsiTheme="minorHAnsi" w:cstheme="minorHAnsi"/>
          <w:lang w:val="cs-CZ"/>
        </w:rPr>
        <w:t>schéma</w:t>
      </w:r>
      <w:r w:rsidR="00771704">
        <w:rPr>
          <w:rFonts w:asciiTheme="minorHAnsi" w:hAnsiTheme="minorHAnsi" w:cstheme="minorHAnsi"/>
          <w:lang w:val="cs-CZ"/>
        </w:rPr>
        <w:t xml:space="preserve"> na</w:t>
      </w:r>
      <w:r w:rsidR="00BC7583" w:rsidRPr="00BC7583">
        <w:rPr>
          <w:rFonts w:asciiTheme="minorHAnsi" w:hAnsiTheme="minorHAnsi" w:cstheme="minorHAnsi"/>
          <w:lang w:val="cs-CZ"/>
        </w:rPr>
        <w:t xml:space="preserve"> str. </w:t>
      </w:r>
      <w:r w:rsidR="00C45925">
        <w:rPr>
          <w:rFonts w:asciiTheme="minorHAnsi" w:hAnsiTheme="minorHAnsi" w:cstheme="minorHAnsi"/>
          <w:lang w:val="cs-CZ"/>
        </w:rPr>
        <w:t>12</w:t>
      </w:r>
      <w:r w:rsidR="00BC7583" w:rsidRPr="00BC7583">
        <w:rPr>
          <w:rFonts w:asciiTheme="minorHAnsi" w:hAnsiTheme="minorHAnsi" w:cstheme="minorHAnsi"/>
          <w:lang w:val="cs-CZ"/>
        </w:rPr>
        <w:t>)</w:t>
      </w:r>
      <w:r w:rsidR="00694D66">
        <w:rPr>
          <w:rFonts w:asciiTheme="minorHAnsi" w:hAnsiTheme="minorHAnsi" w:cstheme="minorHAnsi"/>
          <w:lang w:val="cs-CZ"/>
        </w:rPr>
        <w:t>.</w:t>
      </w:r>
    </w:p>
    <w:p w14:paraId="29283C76" w14:textId="77777777" w:rsidR="00042D3F" w:rsidRDefault="00042D3F" w:rsidP="00362BC6">
      <w:pPr>
        <w:jc w:val="both"/>
        <w:rPr>
          <w:rFonts w:asciiTheme="minorHAnsi" w:hAnsiTheme="minorHAnsi" w:cstheme="minorHAnsi"/>
          <w:lang w:val="cs-CZ"/>
        </w:rPr>
      </w:pPr>
    </w:p>
    <w:p w14:paraId="07A436E3" w14:textId="77777777" w:rsidR="00203C17" w:rsidRPr="00694D66" w:rsidRDefault="00666E26" w:rsidP="00362BC6">
      <w:pPr>
        <w:jc w:val="both"/>
        <w:rPr>
          <w:rFonts w:asciiTheme="minorHAnsi" w:hAnsiTheme="minorHAnsi" w:cstheme="minorHAnsi"/>
          <w:lang w:val="cs-CZ"/>
        </w:rPr>
      </w:pPr>
      <w:r w:rsidRPr="00D92ED2">
        <w:rPr>
          <w:rFonts w:asciiTheme="minorHAnsi" w:hAnsiTheme="minorHAnsi" w:cstheme="minorHAnsi"/>
          <w:color w:val="000000"/>
          <w:lang w:val="cs-CZ"/>
        </w:rPr>
        <w:t>Data evidovaná</w:t>
      </w:r>
      <w:r w:rsidR="00203C17" w:rsidRPr="00D92ED2">
        <w:rPr>
          <w:rFonts w:asciiTheme="minorHAnsi" w:hAnsiTheme="minorHAnsi" w:cstheme="minorHAnsi"/>
          <w:color w:val="000000"/>
          <w:lang w:val="cs-CZ"/>
        </w:rPr>
        <w:t xml:space="preserve"> v kontrolovan</w:t>
      </w:r>
      <w:r w:rsidR="009229D1" w:rsidRPr="00D92ED2">
        <w:rPr>
          <w:rFonts w:asciiTheme="minorHAnsi" w:hAnsiTheme="minorHAnsi" w:cstheme="minorHAnsi"/>
          <w:color w:val="000000"/>
          <w:lang w:val="cs-CZ"/>
        </w:rPr>
        <w:t>ých IS neodpovídala skutečnosti.</w:t>
      </w:r>
      <w:r w:rsidR="00203C17" w:rsidRPr="00D92ED2">
        <w:rPr>
          <w:rFonts w:asciiTheme="minorHAnsi" w:hAnsiTheme="minorHAnsi" w:cstheme="minorHAnsi"/>
          <w:color w:val="000000"/>
          <w:lang w:val="cs-CZ"/>
        </w:rPr>
        <w:t xml:space="preserve"> </w:t>
      </w:r>
      <w:r w:rsidR="009229D1" w:rsidRPr="00D92ED2">
        <w:rPr>
          <w:rFonts w:asciiTheme="minorHAnsi" w:hAnsiTheme="minorHAnsi" w:cstheme="minorHAnsi"/>
          <w:color w:val="000000"/>
          <w:lang w:val="cs-CZ"/>
        </w:rPr>
        <w:t xml:space="preserve">IS </w:t>
      </w:r>
      <w:r w:rsidR="007B08B8">
        <w:rPr>
          <w:rFonts w:asciiTheme="minorHAnsi" w:hAnsiTheme="minorHAnsi" w:cstheme="minorHAnsi"/>
          <w:color w:val="000000"/>
          <w:lang w:val="cs-CZ"/>
        </w:rPr>
        <w:t xml:space="preserve">CEDR III a IS DotInfo EDS </w:t>
      </w:r>
      <w:r w:rsidR="00203C17" w:rsidRPr="00D92ED2">
        <w:rPr>
          <w:rFonts w:asciiTheme="minorHAnsi" w:hAnsiTheme="minorHAnsi" w:cstheme="minorHAnsi"/>
          <w:color w:val="000000"/>
          <w:lang w:val="cs-CZ"/>
        </w:rPr>
        <w:t>tak nemohl</w:t>
      </w:r>
      <w:r w:rsidR="007B08B8">
        <w:rPr>
          <w:rFonts w:asciiTheme="minorHAnsi" w:hAnsiTheme="minorHAnsi" w:cstheme="minorHAnsi"/>
          <w:color w:val="000000"/>
          <w:lang w:val="cs-CZ"/>
        </w:rPr>
        <w:t>y</w:t>
      </w:r>
      <w:r w:rsidR="00203C17" w:rsidRPr="00D92ED2">
        <w:rPr>
          <w:rFonts w:asciiTheme="minorHAnsi" w:hAnsiTheme="minorHAnsi" w:cstheme="minorHAnsi"/>
          <w:color w:val="000000"/>
          <w:lang w:val="cs-CZ"/>
        </w:rPr>
        <w:t xml:space="preserve"> plnit účel, pro který byly vybudovány.</w:t>
      </w:r>
      <w:r w:rsidR="00DB7276">
        <w:rPr>
          <w:rFonts w:asciiTheme="minorHAnsi" w:hAnsiTheme="minorHAnsi" w:cstheme="minorHAnsi"/>
          <w:color w:val="000000"/>
          <w:lang w:val="cs-CZ"/>
        </w:rPr>
        <w:t xml:space="preserve"> </w:t>
      </w:r>
      <w:r w:rsidR="00710A7F" w:rsidRPr="00D92ED2">
        <w:rPr>
          <w:rFonts w:asciiTheme="minorHAnsi" w:hAnsiTheme="minorHAnsi" w:cstheme="minorHAnsi"/>
          <w:color w:val="000000"/>
          <w:lang w:val="cs-CZ"/>
        </w:rPr>
        <w:t xml:space="preserve">Manuálně </w:t>
      </w:r>
      <w:r w:rsidRPr="00D92ED2">
        <w:rPr>
          <w:rFonts w:asciiTheme="minorHAnsi" w:hAnsiTheme="minorHAnsi" w:cstheme="minorHAnsi"/>
          <w:color w:val="000000"/>
          <w:lang w:val="cs-CZ"/>
        </w:rPr>
        <w:t>p</w:t>
      </w:r>
      <w:r w:rsidR="00203C17" w:rsidRPr="00D92ED2">
        <w:rPr>
          <w:rFonts w:asciiTheme="minorHAnsi" w:hAnsiTheme="minorHAnsi" w:cstheme="minorHAnsi"/>
          <w:color w:val="000000"/>
          <w:lang w:val="cs-CZ"/>
        </w:rPr>
        <w:t>ředávaná</w:t>
      </w:r>
      <w:r w:rsidR="00710A7F" w:rsidRPr="00D92ED2">
        <w:rPr>
          <w:rFonts w:asciiTheme="minorHAnsi" w:hAnsiTheme="minorHAnsi" w:cstheme="minorHAnsi"/>
          <w:color w:val="000000"/>
          <w:lang w:val="cs-CZ"/>
        </w:rPr>
        <w:t xml:space="preserve"> data</w:t>
      </w:r>
      <w:r w:rsidR="00203C17" w:rsidRPr="00D92ED2">
        <w:rPr>
          <w:rFonts w:asciiTheme="minorHAnsi" w:hAnsiTheme="minorHAnsi" w:cstheme="minorHAnsi"/>
          <w:color w:val="000000"/>
          <w:lang w:val="cs-CZ"/>
        </w:rPr>
        <w:t xml:space="preserve"> z IS EDS/SMVS do IS</w:t>
      </w:r>
      <w:r w:rsidR="00771704">
        <w:rPr>
          <w:rFonts w:asciiTheme="minorHAnsi" w:hAnsiTheme="minorHAnsi" w:cstheme="minorHAnsi"/>
          <w:color w:val="000000"/>
          <w:lang w:val="cs-CZ"/>
        </w:rPr>
        <w:t> </w:t>
      </w:r>
      <w:r w:rsidR="00203C17" w:rsidRPr="00D92ED2">
        <w:rPr>
          <w:rFonts w:asciiTheme="minorHAnsi" w:hAnsiTheme="minorHAnsi" w:cstheme="minorHAnsi"/>
          <w:color w:val="000000"/>
          <w:lang w:val="cs-CZ"/>
        </w:rPr>
        <w:t xml:space="preserve">CEDR III obsahovala </w:t>
      </w:r>
      <w:r w:rsidR="007C6F37" w:rsidRPr="00D92ED2">
        <w:rPr>
          <w:rFonts w:asciiTheme="minorHAnsi" w:hAnsiTheme="minorHAnsi" w:cstheme="minorHAnsi"/>
          <w:color w:val="000000"/>
          <w:lang w:val="cs-CZ"/>
        </w:rPr>
        <w:t xml:space="preserve">též </w:t>
      </w:r>
      <w:r w:rsidR="00203C17" w:rsidRPr="00D92ED2">
        <w:rPr>
          <w:rFonts w:asciiTheme="minorHAnsi" w:hAnsiTheme="minorHAnsi" w:cstheme="minorHAnsi"/>
          <w:color w:val="000000"/>
          <w:lang w:val="cs-CZ"/>
        </w:rPr>
        <w:t xml:space="preserve">data o výdajích SR vynaložených na pořízení nebo technické zhodnocení hmotného a nehmotného majetku, která do IS CEDR III </w:t>
      </w:r>
      <w:r w:rsidR="001753B0" w:rsidRPr="00D92ED2">
        <w:rPr>
          <w:rFonts w:asciiTheme="minorHAnsi" w:hAnsiTheme="minorHAnsi" w:cstheme="minorHAnsi"/>
          <w:color w:val="000000"/>
          <w:lang w:val="cs-CZ"/>
        </w:rPr>
        <w:t>nepatří</w:t>
      </w:r>
      <w:r w:rsidR="00203C17" w:rsidRPr="00D92ED2">
        <w:rPr>
          <w:rFonts w:asciiTheme="minorHAnsi" w:hAnsiTheme="minorHAnsi" w:cstheme="minorHAnsi"/>
          <w:color w:val="000000"/>
          <w:lang w:val="cs-CZ"/>
        </w:rPr>
        <w:t>. Tato data věcně nesouvisel</w:t>
      </w:r>
      <w:r w:rsidR="00665AC0" w:rsidRPr="00D92ED2">
        <w:rPr>
          <w:rFonts w:asciiTheme="minorHAnsi" w:hAnsiTheme="minorHAnsi" w:cstheme="minorHAnsi"/>
          <w:color w:val="000000"/>
          <w:lang w:val="cs-CZ"/>
        </w:rPr>
        <w:t>a</w:t>
      </w:r>
      <w:r w:rsidR="00203C17" w:rsidRPr="00D92ED2">
        <w:rPr>
          <w:rFonts w:asciiTheme="minorHAnsi" w:hAnsiTheme="minorHAnsi" w:cstheme="minorHAnsi"/>
          <w:color w:val="000000"/>
          <w:lang w:val="cs-CZ"/>
        </w:rPr>
        <w:t xml:space="preserve"> se zaměřením IS CEDR III a byla prezentována veřejnosti prostřednictvím internetových stránek</w:t>
      </w:r>
      <w:r w:rsidR="00203C17" w:rsidRPr="00D92ED2">
        <w:rPr>
          <w:rStyle w:val="Znakapoznpodarou"/>
          <w:rFonts w:asciiTheme="minorHAnsi" w:hAnsiTheme="minorHAnsi" w:cstheme="minorHAnsi"/>
          <w:color w:val="000000"/>
          <w:lang w:val="cs-CZ"/>
        </w:rPr>
        <w:footnoteReference w:id="8"/>
      </w:r>
      <w:r w:rsidR="00203C17" w:rsidRPr="00D92ED2">
        <w:rPr>
          <w:rFonts w:asciiTheme="minorHAnsi" w:hAnsiTheme="minorHAnsi" w:cstheme="minorHAnsi"/>
          <w:color w:val="000000"/>
          <w:lang w:val="cs-CZ"/>
        </w:rPr>
        <w:t xml:space="preserve"> jako dotace. U kontrolního vzorku deseti příjemců dotací </w:t>
      </w:r>
      <w:r w:rsidR="001955D8" w:rsidRPr="00D92ED2">
        <w:rPr>
          <w:rFonts w:asciiTheme="minorHAnsi" w:hAnsiTheme="minorHAnsi" w:cstheme="minorHAnsi"/>
          <w:color w:val="000000"/>
          <w:lang w:val="cs-CZ"/>
        </w:rPr>
        <w:t xml:space="preserve">za období 2013–2014 </w:t>
      </w:r>
      <w:r w:rsidR="00203C17" w:rsidRPr="00D92ED2">
        <w:rPr>
          <w:rFonts w:asciiTheme="minorHAnsi" w:hAnsiTheme="minorHAnsi" w:cstheme="minorHAnsi"/>
          <w:color w:val="000000"/>
          <w:lang w:val="cs-CZ"/>
        </w:rPr>
        <w:t xml:space="preserve">bylo zjištěno, že IS DotInfo EDS obsahoval </w:t>
      </w:r>
      <w:r w:rsidR="007A48C3">
        <w:rPr>
          <w:rFonts w:asciiTheme="minorHAnsi" w:hAnsiTheme="minorHAnsi" w:cstheme="minorHAnsi"/>
          <w:color w:val="000000"/>
          <w:lang w:val="cs-CZ"/>
        </w:rPr>
        <w:t>data pouze o</w:t>
      </w:r>
      <w:r w:rsidR="006E1CC3">
        <w:rPr>
          <w:rFonts w:asciiTheme="minorHAnsi" w:hAnsiTheme="minorHAnsi" w:cstheme="minorHAnsi"/>
          <w:color w:val="000000"/>
          <w:lang w:val="cs-CZ"/>
        </w:rPr>
        <w:t> </w:t>
      </w:r>
      <w:r w:rsidR="007A48C3">
        <w:rPr>
          <w:rFonts w:asciiTheme="minorHAnsi" w:hAnsiTheme="minorHAnsi" w:cstheme="minorHAnsi"/>
          <w:color w:val="000000"/>
          <w:lang w:val="cs-CZ"/>
        </w:rPr>
        <w:t>marginální části objemu dotací (</w:t>
      </w:r>
      <w:r w:rsidR="00203C17" w:rsidRPr="00D92ED2">
        <w:rPr>
          <w:rFonts w:asciiTheme="minorHAnsi" w:hAnsiTheme="minorHAnsi" w:cstheme="minorHAnsi"/>
          <w:color w:val="000000"/>
          <w:lang w:val="cs-CZ"/>
        </w:rPr>
        <w:t>12 %</w:t>
      </w:r>
      <w:r w:rsidR="007A48C3">
        <w:rPr>
          <w:rFonts w:asciiTheme="minorHAnsi" w:hAnsiTheme="minorHAnsi" w:cstheme="minorHAnsi"/>
          <w:color w:val="000000"/>
          <w:lang w:val="cs-CZ"/>
        </w:rPr>
        <w:t>)</w:t>
      </w:r>
      <w:r w:rsidR="00203C17" w:rsidRPr="00D92ED2">
        <w:rPr>
          <w:rFonts w:asciiTheme="minorHAnsi" w:hAnsiTheme="minorHAnsi" w:cstheme="minorHAnsi"/>
          <w:color w:val="000000"/>
          <w:lang w:val="cs-CZ"/>
        </w:rPr>
        <w:t xml:space="preserve"> oproti</w:t>
      </w:r>
      <w:r w:rsidR="00F173E8" w:rsidRPr="00D92ED2">
        <w:rPr>
          <w:rFonts w:asciiTheme="minorHAnsi" w:hAnsiTheme="minorHAnsi" w:cstheme="minorHAnsi"/>
          <w:color w:val="000000"/>
          <w:lang w:val="cs-CZ"/>
        </w:rPr>
        <w:t xml:space="preserve"> údajům v</w:t>
      </w:r>
      <w:r w:rsidR="00203C17" w:rsidRPr="00D92ED2">
        <w:rPr>
          <w:rFonts w:asciiTheme="minorHAnsi" w:hAnsiTheme="minorHAnsi" w:cstheme="minorHAnsi"/>
          <w:color w:val="000000"/>
          <w:lang w:val="cs-CZ"/>
        </w:rPr>
        <w:t xml:space="preserve"> </w:t>
      </w:r>
      <w:r w:rsidR="009F2667" w:rsidRPr="00D92ED2">
        <w:rPr>
          <w:rFonts w:asciiTheme="minorHAnsi" w:hAnsiTheme="minorHAnsi" w:cstheme="minorHAnsi"/>
          <w:color w:val="000000"/>
          <w:lang w:val="cs-CZ"/>
        </w:rPr>
        <w:t>r</w:t>
      </w:r>
      <w:r w:rsidR="00203C17" w:rsidRPr="00D92ED2">
        <w:rPr>
          <w:rFonts w:asciiTheme="minorHAnsi" w:hAnsiTheme="minorHAnsi" w:cstheme="minorHAnsi"/>
          <w:color w:val="000000"/>
          <w:lang w:val="cs-CZ"/>
        </w:rPr>
        <w:t>ozbor</w:t>
      </w:r>
      <w:r w:rsidR="0089764B" w:rsidRPr="00D92ED2">
        <w:rPr>
          <w:rFonts w:asciiTheme="minorHAnsi" w:hAnsiTheme="minorHAnsi" w:cstheme="minorHAnsi"/>
          <w:color w:val="000000"/>
          <w:lang w:val="cs-CZ"/>
        </w:rPr>
        <w:t>ech</w:t>
      </w:r>
      <w:r w:rsidR="00203C17" w:rsidRPr="00D92ED2">
        <w:rPr>
          <w:rFonts w:asciiTheme="minorHAnsi" w:hAnsiTheme="minorHAnsi" w:cstheme="minorHAnsi"/>
          <w:color w:val="000000"/>
          <w:lang w:val="cs-CZ"/>
        </w:rPr>
        <w:t xml:space="preserve"> financování nestátních neziskových organizací z veřejných rozpočtů</w:t>
      </w:r>
      <w:r w:rsidR="0089764B" w:rsidRPr="00D92ED2">
        <w:rPr>
          <w:rFonts w:asciiTheme="minorHAnsi" w:hAnsiTheme="minorHAnsi" w:cstheme="minorHAnsi"/>
          <w:color w:val="000000"/>
          <w:lang w:val="cs-CZ"/>
        </w:rPr>
        <w:t xml:space="preserve"> v </w:t>
      </w:r>
      <w:r w:rsidR="009F2667" w:rsidRPr="00D92ED2">
        <w:rPr>
          <w:rFonts w:asciiTheme="minorHAnsi" w:hAnsiTheme="minorHAnsi" w:cstheme="minorHAnsi"/>
          <w:color w:val="000000"/>
          <w:lang w:val="cs-CZ"/>
        </w:rPr>
        <w:t>letech</w:t>
      </w:r>
      <w:r w:rsidR="0089764B" w:rsidRPr="00D92ED2">
        <w:rPr>
          <w:rFonts w:asciiTheme="minorHAnsi" w:hAnsiTheme="minorHAnsi" w:cstheme="minorHAnsi"/>
          <w:color w:val="000000"/>
          <w:lang w:val="cs-CZ"/>
        </w:rPr>
        <w:t xml:space="preserve"> 2013 a 2014</w:t>
      </w:r>
      <w:r w:rsidR="004342F4" w:rsidRPr="00D92ED2">
        <w:rPr>
          <w:rStyle w:val="Znakapoznpodarou"/>
          <w:rFonts w:asciiTheme="minorHAnsi" w:hAnsiTheme="minorHAnsi" w:cstheme="minorHAnsi"/>
          <w:i/>
          <w:color w:val="000000"/>
          <w:lang w:val="cs-CZ"/>
        </w:rPr>
        <w:footnoteReference w:id="9"/>
      </w:r>
      <w:r w:rsidR="00203C17" w:rsidRPr="00D92ED2">
        <w:rPr>
          <w:rFonts w:asciiTheme="minorHAnsi" w:hAnsiTheme="minorHAnsi" w:cstheme="minorHAnsi"/>
          <w:color w:val="000000"/>
          <w:lang w:val="cs-CZ"/>
        </w:rPr>
        <w:t xml:space="preserve">. </w:t>
      </w:r>
      <w:r w:rsidR="00E23A0E">
        <w:rPr>
          <w:rFonts w:asciiTheme="minorHAnsi" w:hAnsiTheme="minorHAnsi" w:cstheme="minorHAnsi"/>
          <w:color w:val="000000"/>
          <w:lang w:val="cs-CZ"/>
        </w:rPr>
        <w:t xml:space="preserve">IS DotInfo EDS tak nemůže </w:t>
      </w:r>
      <w:r w:rsidR="00AA0471">
        <w:rPr>
          <w:rFonts w:asciiTheme="minorHAnsi" w:hAnsiTheme="minorHAnsi" w:cstheme="minorHAnsi"/>
          <w:color w:val="000000"/>
          <w:lang w:val="cs-CZ"/>
        </w:rPr>
        <w:t xml:space="preserve">sloužit k účelnému </w:t>
      </w:r>
      <w:r w:rsidR="00AA0471">
        <w:rPr>
          <w:rFonts w:asciiTheme="minorHAnsi" w:hAnsiTheme="minorHAnsi" w:cstheme="minorHAnsi"/>
          <w:color w:val="000000"/>
          <w:lang w:val="cs-CZ"/>
        </w:rPr>
        <w:lastRenderedPageBreak/>
        <w:t>naplňování cílů vyplývajících z</w:t>
      </w:r>
      <w:r w:rsidR="00156361">
        <w:rPr>
          <w:rFonts w:asciiTheme="minorHAnsi" w:hAnsiTheme="minorHAnsi" w:cstheme="minorHAnsi"/>
          <w:color w:val="000000"/>
          <w:lang w:val="cs-CZ"/>
        </w:rPr>
        <w:t>e</w:t>
      </w:r>
      <w:r w:rsidR="00AA0471">
        <w:rPr>
          <w:rFonts w:asciiTheme="minorHAnsi" w:hAnsiTheme="minorHAnsi" w:cstheme="minorHAnsi"/>
          <w:color w:val="000000"/>
          <w:lang w:val="cs-CZ"/>
        </w:rPr>
        <w:t xml:space="preserve"> </w:t>
      </w:r>
      <w:r w:rsidR="00AA0471" w:rsidRPr="004442C6">
        <w:rPr>
          <w:rFonts w:asciiTheme="minorHAnsi" w:hAnsiTheme="minorHAnsi" w:cstheme="minorHAnsi"/>
          <w:i/>
          <w:color w:val="000000"/>
          <w:lang w:val="cs-CZ"/>
        </w:rPr>
        <w:t>Strategie vlády v boji proti korupci na období let 2011 a 2012</w:t>
      </w:r>
      <w:r w:rsidR="00AA0471">
        <w:rPr>
          <w:rFonts w:asciiTheme="minorHAnsi" w:hAnsiTheme="minorHAnsi" w:cstheme="minorHAnsi"/>
          <w:color w:val="000000"/>
          <w:lang w:val="cs-CZ"/>
        </w:rPr>
        <w:t>.</w:t>
      </w:r>
      <w:r w:rsidR="00E23A0E">
        <w:rPr>
          <w:rFonts w:asciiTheme="minorHAnsi" w:hAnsiTheme="minorHAnsi" w:cstheme="minorHAnsi"/>
          <w:color w:val="000000"/>
          <w:lang w:val="cs-CZ"/>
        </w:rPr>
        <w:t xml:space="preserve"> </w:t>
      </w:r>
      <w:r w:rsidR="00203C17" w:rsidRPr="00D92ED2">
        <w:rPr>
          <w:rFonts w:asciiTheme="minorHAnsi" w:hAnsiTheme="minorHAnsi" w:cstheme="minorHAnsi"/>
          <w:color w:val="000000"/>
          <w:lang w:val="cs-CZ"/>
        </w:rPr>
        <w:t>Tři ukončené kontrolované programy na výstavbu, obnovu a</w:t>
      </w:r>
      <w:r w:rsidR="006E1CC3">
        <w:rPr>
          <w:rFonts w:asciiTheme="minorHAnsi" w:hAnsiTheme="minorHAnsi" w:cstheme="minorHAnsi"/>
          <w:color w:val="000000"/>
          <w:lang w:val="cs-CZ"/>
        </w:rPr>
        <w:t> </w:t>
      </w:r>
      <w:r w:rsidR="00203C17" w:rsidRPr="00D92ED2">
        <w:rPr>
          <w:rFonts w:asciiTheme="minorHAnsi" w:hAnsiTheme="minorHAnsi" w:cstheme="minorHAnsi"/>
          <w:color w:val="000000"/>
          <w:lang w:val="cs-CZ"/>
        </w:rPr>
        <w:t>provozování ICT obsahovaly celkem 290 akcí, z nichž bylo v IS EDS/SMVS evidováno 289 akcí v hodnotě 10,5 mld. Kč jako dosud neukončené a stále v realizaci. Zákonná povinnost ohledně vkládání dat do výše uvedených IS</w:t>
      </w:r>
      <w:r w:rsidR="00F173E8" w:rsidRPr="00D92ED2">
        <w:rPr>
          <w:rFonts w:asciiTheme="minorHAnsi" w:hAnsiTheme="minorHAnsi" w:cstheme="minorHAnsi"/>
          <w:color w:val="000000"/>
          <w:lang w:val="cs-CZ"/>
        </w:rPr>
        <w:t xml:space="preserve"> sice existuje, ale</w:t>
      </w:r>
      <w:r w:rsidR="00203C17" w:rsidRPr="00D92ED2">
        <w:rPr>
          <w:rFonts w:asciiTheme="minorHAnsi" w:hAnsiTheme="minorHAnsi" w:cstheme="minorHAnsi"/>
          <w:color w:val="000000"/>
          <w:lang w:val="cs-CZ"/>
        </w:rPr>
        <w:t xml:space="preserve"> není </w:t>
      </w:r>
      <w:r w:rsidR="006E1CC3">
        <w:rPr>
          <w:rFonts w:asciiTheme="minorHAnsi" w:hAnsiTheme="minorHAnsi" w:cstheme="minorHAnsi"/>
          <w:color w:val="000000"/>
          <w:lang w:val="cs-CZ"/>
        </w:rPr>
        <w:t xml:space="preserve">správci těchto IS </w:t>
      </w:r>
      <w:r w:rsidR="00F173E8" w:rsidRPr="00D92ED2">
        <w:rPr>
          <w:rFonts w:asciiTheme="minorHAnsi" w:hAnsiTheme="minorHAnsi" w:cstheme="minorHAnsi"/>
          <w:color w:val="000000"/>
          <w:lang w:val="cs-CZ"/>
        </w:rPr>
        <w:t xml:space="preserve">prakticky </w:t>
      </w:r>
      <w:r w:rsidR="00203C17" w:rsidRPr="00D92ED2">
        <w:rPr>
          <w:rFonts w:asciiTheme="minorHAnsi" w:hAnsiTheme="minorHAnsi" w:cstheme="minorHAnsi"/>
          <w:color w:val="000000"/>
          <w:lang w:val="cs-CZ"/>
        </w:rPr>
        <w:t>vymahatelná</w:t>
      </w:r>
      <w:r w:rsidR="00F173E8" w:rsidRPr="00D92ED2">
        <w:rPr>
          <w:rFonts w:asciiTheme="minorHAnsi" w:hAnsiTheme="minorHAnsi" w:cstheme="minorHAnsi"/>
          <w:color w:val="000000"/>
          <w:lang w:val="cs-CZ"/>
        </w:rPr>
        <w:t>.</w:t>
      </w:r>
      <w:r w:rsidR="00203C17" w:rsidRPr="00D92ED2">
        <w:rPr>
          <w:rFonts w:asciiTheme="minorHAnsi" w:hAnsiTheme="minorHAnsi" w:cstheme="minorHAnsi"/>
          <w:color w:val="000000"/>
          <w:lang w:val="cs-CZ"/>
        </w:rPr>
        <w:t xml:space="preserve"> </w:t>
      </w:r>
      <w:r w:rsidR="00F173E8" w:rsidRPr="00D92ED2">
        <w:rPr>
          <w:rFonts w:asciiTheme="minorHAnsi" w:hAnsiTheme="minorHAnsi" w:cstheme="minorHAnsi"/>
          <w:color w:val="000000"/>
          <w:lang w:val="cs-CZ"/>
        </w:rPr>
        <w:t>Tato</w:t>
      </w:r>
      <w:r w:rsidR="00560DC1" w:rsidRPr="00D92ED2">
        <w:rPr>
          <w:rFonts w:asciiTheme="minorHAnsi" w:hAnsiTheme="minorHAnsi" w:cstheme="minorHAnsi"/>
          <w:color w:val="000000"/>
          <w:lang w:val="cs-CZ"/>
        </w:rPr>
        <w:t xml:space="preserve"> </w:t>
      </w:r>
      <w:r w:rsidR="00F173E8" w:rsidRPr="00D92ED2">
        <w:rPr>
          <w:rFonts w:asciiTheme="minorHAnsi" w:hAnsiTheme="minorHAnsi" w:cstheme="minorHAnsi"/>
          <w:color w:val="000000"/>
          <w:lang w:val="cs-CZ"/>
        </w:rPr>
        <w:t xml:space="preserve">skutečnost přispívá k tomu, že </w:t>
      </w:r>
      <w:r w:rsidR="007D4EAA" w:rsidRPr="00D92ED2">
        <w:rPr>
          <w:rFonts w:asciiTheme="minorHAnsi" w:hAnsiTheme="minorHAnsi" w:cstheme="minorHAnsi"/>
          <w:color w:val="000000"/>
          <w:lang w:val="cs-CZ"/>
        </w:rPr>
        <w:t>data obsažená v </w:t>
      </w:r>
      <w:r w:rsidR="00F173E8" w:rsidRPr="00D92ED2">
        <w:rPr>
          <w:rFonts w:asciiTheme="minorHAnsi" w:hAnsiTheme="minorHAnsi" w:cstheme="minorHAnsi"/>
          <w:color w:val="000000"/>
          <w:lang w:val="cs-CZ"/>
        </w:rPr>
        <w:t>kontrolovaných</w:t>
      </w:r>
      <w:r w:rsidR="00203C17" w:rsidRPr="00D92ED2">
        <w:rPr>
          <w:rFonts w:asciiTheme="minorHAnsi" w:hAnsiTheme="minorHAnsi" w:cstheme="minorHAnsi"/>
          <w:color w:val="000000"/>
          <w:lang w:val="cs-CZ"/>
        </w:rPr>
        <w:t xml:space="preserve"> IS </w:t>
      </w:r>
      <w:r w:rsidR="00F173E8" w:rsidRPr="00D92ED2">
        <w:rPr>
          <w:rFonts w:asciiTheme="minorHAnsi" w:hAnsiTheme="minorHAnsi" w:cstheme="minorHAnsi"/>
          <w:color w:val="000000"/>
          <w:lang w:val="cs-CZ"/>
        </w:rPr>
        <w:t xml:space="preserve">nebyla </w:t>
      </w:r>
      <w:r w:rsidR="00203C17" w:rsidRPr="00D92ED2">
        <w:rPr>
          <w:rFonts w:asciiTheme="minorHAnsi" w:hAnsiTheme="minorHAnsi" w:cstheme="minorHAnsi"/>
          <w:color w:val="000000"/>
          <w:lang w:val="cs-CZ"/>
        </w:rPr>
        <w:t>úplná.</w:t>
      </w:r>
    </w:p>
    <w:p w14:paraId="41DA68E6" w14:textId="77777777" w:rsidR="00203C17" w:rsidRPr="00D92ED2" w:rsidRDefault="00203C17" w:rsidP="00362BC6">
      <w:pPr>
        <w:jc w:val="both"/>
        <w:rPr>
          <w:rFonts w:asciiTheme="minorHAnsi" w:hAnsiTheme="minorHAnsi" w:cstheme="minorHAnsi"/>
          <w:color w:val="000000"/>
          <w:lang w:val="cs-CZ"/>
        </w:rPr>
      </w:pPr>
    </w:p>
    <w:p w14:paraId="72F70F80" w14:textId="77777777" w:rsidR="00EC4C5A" w:rsidRDefault="00EC4C5A" w:rsidP="00042D3F">
      <w:pPr>
        <w:pStyle w:val="Odstavecseseznamem"/>
        <w:numPr>
          <w:ilvl w:val="0"/>
          <w:numId w:val="13"/>
        </w:numPr>
        <w:ind w:left="284" w:hanging="284"/>
        <w:contextualSpacing w:val="0"/>
        <w:jc w:val="both"/>
        <w:rPr>
          <w:rFonts w:asciiTheme="minorHAnsi" w:hAnsiTheme="minorHAnsi" w:cstheme="minorHAnsi"/>
          <w:b/>
          <w:color w:val="000000"/>
          <w:lang w:val="cs-CZ"/>
        </w:rPr>
      </w:pPr>
      <w:r>
        <w:rPr>
          <w:rFonts w:asciiTheme="minorHAnsi" w:hAnsiTheme="minorHAnsi" w:cstheme="minorHAnsi"/>
          <w:b/>
          <w:color w:val="000000"/>
          <w:lang w:val="cs-CZ"/>
        </w:rPr>
        <w:t>Veřejné zakázky na zajištění informační podpory systému</w:t>
      </w:r>
      <w:r w:rsidR="00F156BD">
        <w:rPr>
          <w:rFonts w:asciiTheme="minorHAnsi" w:hAnsiTheme="minorHAnsi" w:cstheme="minorHAnsi"/>
          <w:b/>
          <w:color w:val="000000"/>
          <w:lang w:val="cs-CZ"/>
        </w:rPr>
        <w:t xml:space="preserve"> financování programů</w:t>
      </w:r>
      <w:r>
        <w:rPr>
          <w:rFonts w:asciiTheme="minorHAnsi" w:hAnsiTheme="minorHAnsi" w:cstheme="minorHAnsi"/>
          <w:b/>
          <w:color w:val="000000"/>
          <w:lang w:val="cs-CZ"/>
        </w:rPr>
        <w:t xml:space="preserve"> a</w:t>
      </w:r>
      <w:r w:rsidR="006E1CC3">
        <w:rPr>
          <w:rFonts w:asciiTheme="minorHAnsi" w:hAnsiTheme="minorHAnsi" w:cstheme="minorHAnsi"/>
          <w:b/>
          <w:color w:val="000000"/>
          <w:lang w:val="cs-CZ"/>
        </w:rPr>
        <w:t> </w:t>
      </w:r>
      <w:r>
        <w:rPr>
          <w:rFonts w:asciiTheme="minorHAnsi" w:hAnsiTheme="minorHAnsi" w:cstheme="minorHAnsi"/>
          <w:b/>
          <w:color w:val="000000"/>
          <w:lang w:val="cs-CZ"/>
        </w:rPr>
        <w:t>dotací nebyly vždy zadány v souladu s právními předpisy a nevedly k hospodárnému vynaložení peněžních prostředků.</w:t>
      </w:r>
    </w:p>
    <w:p w14:paraId="0B1A9A70" w14:textId="77777777" w:rsidR="00AA0471" w:rsidRDefault="00AA0471" w:rsidP="00362BC6">
      <w:pPr>
        <w:jc w:val="both"/>
        <w:rPr>
          <w:rFonts w:asciiTheme="minorHAnsi" w:hAnsiTheme="minorHAnsi" w:cstheme="minorHAnsi"/>
          <w:color w:val="000000"/>
          <w:lang w:val="cs-CZ"/>
        </w:rPr>
      </w:pPr>
    </w:p>
    <w:p w14:paraId="16A374C3" w14:textId="77777777" w:rsidR="00694D66" w:rsidRDefault="00ED69BE" w:rsidP="00362BC6">
      <w:pPr>
        <w:jc w:val="both"/>
        <w:rPr>
          <w:rFonts w:asciiTheme="minorHAnsi" w:hAnsiTheme="minorHAnsi" w:cstheme="minorHAnsi"/>
          <w:color w:val="000000"/>
          <w:lang w:val="cs-CZ"/>
        </w:rPr>
      </w:pPr>
      <w:r w:rsidRPr="00EC4C5A">
        <w:rPr>
          <w:rFonts w:asciiTheme="minorHAnsi" w:hAnsiTheme="minorHAnsi" w:cstheme="minorHAnsi"/>
          <w:color w:val="000000"/>
          <w:lang w:val="cs-CZ"/>
        </w:rPr>
        <w:t>MF i GFŘ se při pořizování služeb na rozšíření, úpravu a technickou podporu dopustily porušení zákona o veřejných zakázkách</w:t>
      </w:r>
      <w:r>
        <w:rPr>
          <w:rStyle w:val="Znakapoznpodarou"/>
          <w:rFonts w:asciiTheme="minorHAnsi" w:hAnsiTheme="minorHAnsi" w:cstheme="minorHAnsi"/>
          <w:color w:val="000000"/>
          <w:lang w:val="cs-CZ"/>
        </w:rPr>
        <w:footnoteReference w:id="10"/>
      </w:r>
      <w:r w:rsidR="00EC4C5A" w:rsidRPr="00EC4C5A">
        <w:rPr>
          <w:rFonts w:asciiTheme="minorHAnsi" w:hAnsiTheme="minorHAnsi" w:cstheme="minorHAnsi"/>
          <w:color w:val="000000"/>
          <w:lang w:val="cs-CZ"/>
        </w:rPr>
        <w:t xml:space="preserve"> a MF </w:t>
      </w:r>
      <w:r w:rsidR="00EC4C5A" w:rsidRPr="00AA0471">
        <w:rPr>
          <w:rFonts w:asciiTheme="minorHAnsi" w:hAnsiTheme="minorHAnsi" w:cstheme="minorHAnsi"/>
          <w:color w:val="000000"/>
          <w:lang w:val="cs-CZ"/>
        </w:rPr>
        <w:t>při</w:t>
      </w:r>
      <w:r w:rsidR="00EC4C5A" w:rsidRPr="009C4A68">
        <w:rPr>
          <w:rFonts w:asciiTheme="minorHAnsi" w:hAnsiTheme="minorHAnsi" w:cstheme="minorHAnsi"/>
          <w:color w:val="000000"/>
          <w:lang w:val="cs-CZ"/>
        </w:rPr>
        <w:t xml:space="preserve"> </w:t>
      </w:r>
      <w:r w:rsidR="00EC4C5A" w:rsidRPr="00EC4C5A">
        <w:rPr>
          <w:rFonts w:asciiTheme="minorHAnsi" w:hAnsiTheme="minorHAnsi" w:cstheme="minorHAnsi"/>
          <w:color w:val="000000"/>
          <w:lang w:val="cs-CZ"/>
        </w:rPr>
        <w:t>pořizování služeb informační podpory způsobilo, že další rozvoj informační podpory systému financování programů a dotací je závislý na stávajících poskytovatelích ICT služeb, kteří vybudovali předmětné informační systémy (</w:t>
      </w:r>
      <w:r w:rsidR="00FA6C30">
        <w:rPr>
          <w:rFonts w:asciiTheme="minorHAnsi" w:hAnsiTheme="minorHAnsi" w:cstheme="minorHAnsi"/>
          <w:color w:val="000000"/>
          <w:lang w:val="cs-CZ"/>
        </w:rPr>
        <w:t>„</w:t>
      </w:r>
      <w:r w:rsidR="00EC4C5A" w:rsidRPr="00EC4C5A">
        <w:rPr>
          <w:rFonts w:asciiTheme="minorHAnsi" w:hAnsiTheme="minorHAnsi" w:cstheme="minorHAnsi"/>
          <w:color w:val="000000"/>
          <w:lang w:val="cs-CZ"/>
        </w:rPr>
        <w:t>efekt vendor lock</w:t>
      </w:r>
      <w:r w:rsidR="00EC4C5A" w:rsidRPr="00EC4C5A">
        <w:rPr>
          <w:rFonts w:asciiTheme="minorHAnsi" w:hAnsiTheme="minorHAnsi" w:cstheme="minorHAnsi"/>
          <w:color w:val="000000"/>
          <w:lang w:val="cs-CZ"/>
        </w:rPr>
        <w:noBreakHyphen/>
        <w:t>in</w:t>
      </w:r>
      <w:r w:rsidR="00FA6C30">
        <w:rPr>
          <w:rFonts w:asciiTheme="minorHAnsi" w:hAnsiTheme="minorHAnsi" w:cstheme="minorHAnsi"/>
          <w:color w:val="000000"/>
          <w:lang w:val="cs-CZ"/>
        </w:rPr>
        <w:t>“</w:t>
      </w:r>
      <w:r w:rsidR="00EC4C5A" w:rsidRPr="00EC4C5A">
        <w:rPr>
          <w:rStyle w:val="Znakapoznpodarou"/>
          <w:rFonts w:asciiTheme="minorHAnsi" w:hAnsiTheme="minorHAnsi" w:cstheme="minorHAnsi"/>
          <w:color w:val="000000"/>
          <w:lang w:val="cs-CZ"/>
        </w:rPr>
        <w:footnoteReference w:id="11"/>
      </w:r>
      <w:r w:rsidR="00FA6C30">
        <w:rPr>
          <w:rFonts w:asciiTheme="minorHAnsi" w:hAnsiTheme="minorHAnsi" w:cstheme="minorHAnsi"/>
          <w:color w:val="000000"/>
          <w:lang w:val="cs-CZ"/>
        </w:rPr>
        <w:t>)</w:t>
      </w:r>
      <w:r w:rsidRPr="00694D66">
        <w:rPr>
          <w:rFonts w:asciiTheme="minorHAnsi" w:hAnsiTheme="minorHAnsi" w:cstheme="minorHAnsi"/>
          <w:color w:val="000000"/>
          <w:lang w:val="cs-CZ"/>
        </w:rPr>
        <w:t>.</w:t>
      </w:r>
    </w:p>
    <w:p w14:paraId="17C3078D" w14:textId="77777777" w:rsidR="00042D3F" w:rsidRDefault="00042D3F" w:rsidP="00362BC6">
      <w:pPr>
        <w:jc w:val="both"/>
        <w:rPr>
          <w:rFonts w:asciiTheme="minorHAnsi" w:hAnsiTheme="minorHAnsi" w:cstheme="minorHAnsi"/>
          <w:color w:val="000000"/>
          <w:lang w:val="cs-CZ"/>
        </w:rPr>
      </w:pPr>
    </w:p>
    <w:p w14:paraId="3005743B" w14:textId="77777777" w:rsidR="00694D66" w:rsidRDefault="001B6F99" w:rsidP="00362BC6">
      <w:pPr>
        <w:jc w:val="both"/>
        <w:rPr>
          <w:rFonts w:asciiTheme="minorHAnsi" w:hAnsiTheme="minorHAnsi" w:cstheme="minorHAnsi"/>
          <w:color w:val="000000"/>
          <w:lang w:val="cs-CZ"/>
        </w:rPr>
      </w:pPr>
      <w:r w:rsidRPr="00D92ED2">
        <w:rPr>
          <w:rFonts w:asciiTheme="minorHAnsi" w:hAnsiTheme="minorHAnsi" w:cstheme="minorHAnsi"/>
          <w:color w:val="000000"/>
          <w:lang w:val="cs-CZ"/>
        </w:rPr>
        <w:t xml:space="preserve">V oblasti veřejných zakázek na technickou podporu provozu, </w:t>
      </w:r>
      <w:r w:rsidR="00FF7220">
        <w:rPr>
          <w:rFonts w:asciiTheme="minorHAnsi" w:hAnsiTheme="minorHAnsi" w:cstheme="minorHAnsi"/>
          <w:color w:val="000000"/>
          <w:lang w:val="cs-CZ"/>
        </w:rPr>
        <w:t>vývoje a úpravy IS CEDR III, IS </w:t>
      </w:r>
      <w:r w:rsidRPr="00D92ED2">
        <w:rPr>
          <w:rFonts w:asciiTheme="minorHAnsi" w:hAnsiTheme="minorHAnsi" w:cstheme="minorHAnsi"/>
          <w:color w:val="000000"/>
          <w:lang w:val="cs-CZ"/>
        </w:rPr>
        <w:t>EDS/SMVS a IS DotInfo EDS neučinil</w:t>
      </w:r>
      <w:r w:rsidR="00694D66">
        <w:rPr>
          <w:rFonts w:asciiTheme="minorHAnsi" w:hAnsiTheme="minorHAnsi" w:cstheme="minorHAnsi"/>
          <w:color w:val="000000"/>
          <w:lang w:val="cs-CZ"/>
        </w:rPr>
        <w:t>y</w:t>
      </w:r>
      <w:r w:rsidRPr="00D92ED2">
        <w:rPr>
          <w:rFonts w:asciiTheme="minorHAnsi" w:hAnsiTheme="minorHAnsi" w:cstheme="minorHAnsi"/>
          <w:color w:val="000000"/>
          <w:lang w:val="cs-CZ"/>
        </w:rPr>
        <w:t xml:space="preserve"> MF ani GFŘ žádné kroky, které by omezily závislost na dodavatel</w:t>
      </w:r>
      <w:r w:rsidR="00065A11" w:rsidRPr="00D92ED2">
        <w:rPr>
          <w:rFonts w:asciiTheme="minorHAnsi" w:hAnsiTheme="minorHAnsi" w:cstheme="minorHAnsi"/>
          <w:color w:val="000000"/>
          <w:lang w:val="cs-CZ"/>
        </w:rPr>
        <w:t>ích</w:t>
      </w:r>
      <w:r w:rsidRPr="00D92ED2">
        <w:rPr>
          <w:rFonts w:asciiTheme="minorHAnsi" w:hAnsiTheme="minorHAnsi" w:cstheme="minorHAnsi"/>
          <w:color w:val="000000"/>
          <w:lang w:val="cs-CZ"/>
        </w:rPr>
        <w:t xml:space="preserve"> a odstranily efekt vendor lock-in</w:t>
      </w:r>
      <w:r w:rsidR="004442C6">
        <w:rPr>
          <w:rFonts w:asciiTheme="minorHAnsi" w:hAnsiTheme="minorHAnsi" w:cstheme="minorHAnsi"/>
          <w:color w:val="000000"/>
          <w:lang w:val="cs-CZ"/>
        </w:rPr>
        <w:t>, naopak MF závislost na dodavatelích neodůvodněně prohlubovalo.</w:t>
      </w:r>
      <w:r w:rsidRPr="00D92ED2">
        <w:rPr>
          <w:rFonts w:asciiTheme="minorHAnsi" w:hAnsiTheme="minorHAnsi" w:cstheme="minorHAnsi"/>
          <w:color w:val="000000"/>
          <w:lang w:val="cs-CZ"/>
        </w:rPr>
        <w:t xml:space="preserve"> </w:t>
      </w:r>
      <w:r w:rsidR="00ED69BE">
        <w:rPr>
          <w:rFonts w:asciiTheme="minorHAnsi" w:hAnsiTheme="minorHAnsi" w:cstheme="minorHAnsi"/>
          <w:color w:val="000000"/>
          <w:lang w:val="cs-CZ"/>
        </w:rPr>
        <w:t>MF a GFŘ tak při jakýchkoliv úpravách těchto IS zadáv</w:t>
      </w:r>
      <w:r w:rsidR="009209A7">
        <w:rPr>
          <w:rFonts w:asciiTheme="minorHAnsi" w:hAnsiTheme="minorHAnsi" w:cstheme="minorHAnsi"/>
          <w:color w:val="000000"/>
          <w:lang w:val="cs-CZ"/>
        </w:rPr>
        <w:t>á</w:t>
      </w:r>
      <w:r w:rsidR="00ED69BE">
        <w:rPr>
          <w:rFonts w:asciiTheme="minorHAnsi" w:hAnsiTheme="minorHAnsi" w:cstheme="minorHAnsi"/>
          <w:color w:val="000000"/>
          <w:lang w:val="cs-CZ"/>
        </w:rPr>
        <w:t xml:space="preserve"> VZ bez </w:t>
      </w:r>
      <w:r w:rsidR="006E1CC3">
        <w:rPr>
          <w:rFonts w:asciiTheme="minorHAnsi" w:hAnsiTheme="minorHAnsi" w:cstheme="minorHAnsi"/>
          <w:color w:val="000000"/>
          <w:lang w:val="cs-CZ"/>
        </w:rPr>
        <w:t xml:space="preserve">otevřené </w:t>
      </w:r>
      <w:r w:rsidR="00ED69BE">
        <w:rPr>
          <w:rFonts w:asciiTheme="minorHAnsi" w:hAnsiTheme="minorHAnsi" w:cstheme="minorHAnsi"/>
          <w:color w:val="000000"/>
          <w:lang w:val="cs-CZ"/>
        </w:rPr>
        <w:t xml:space="preserve">hospodářské soutěže formou </w:t>
      </w:r>
      <w:r w:rsidR="006E1CC3">
        <w:rPr>
          <w:rFonts w:asciiTheme="minorHAnsi" w:hAnsiTheme="minorHAnsi" w:cstheme="minorHAnsi"/>
          <w:color w:val="000000"/>
          <w:lang w:val="cs-CZ"/>
        </w:rPr>
        <w:t>jednacího řízení bez uveřejnění (dále také „JŘBU“)</w:t>
      </w:r>
      <w:r w:rsidR="00ED69BE">
        <w:rPr>
          <w:rFonts w:asciiTheme="minorHAnsi" w:hAnsiTheme="minorHAnsi" w:cstheme="minorHAnsi"/>
          <w:color w:val="000000"/>
          <w:lang w:val="cs-CZ"/>
        </w:rPr>
        <w:t>.</w:t>
      </w:r>
    </w:p>
    <w:p w14:paraId="5C48C443" w14:textId="77777777" w:rsidR="00042D3F" w:rsidRDefault="00042D3F" w:rsidP="00362BC6">
      <w:pPr>
        <w:jc w:val="both"/>
        <w:rPr>
          <w:rFonts w:asciiTheme="minorHAnsi" w:hAnsiTheme="minorHAnsi" w:cstheme="minorHAnsi"/>
          <w:color w:val="000000"/>
          <w:lang w:val="cs-CZ"/>
        </w:rPr>
      </w:pPr>
    </w:p>
    <w:p w14:paraId="6E9E2D75" w14:textId="77777777" w:rsidR="00042D3F" w:rsidRDefault="00065A11" w:rsidP="00362BC6">
      <w:pPr>
        <w:jc w:val="both"/>
        <w:rPr>
          <w:rFonts w:asciiTheme="minorHAnsi" w:hAnsiTheme="minorHAnsi" w:cs="Calibri"/>
          <w:lang w:val="cs-CZ"/>
        </w:rPr>
      </w:pPr>
      <w:r w:rsidRPr="00D92ED2">
        <w:rPr>
          <w:rFonts w:asciiTheme="minorHAnsi" w:hAnsiTheme="minorHAnsi" w:cstheme="minorHAnsi"/>
          <w:color w:val="000000"/>
          <w:lang w:val="cs-CZ"/>
        </w:rPr>
        <w:t xml:space="preserve">MF </w:t>
      </w:r>
      <w:r w:rsidR="006F3CD6" w:rsidRPr="00D92ED2">
        <w:rPr>
          <w:rFonts w:asciiTheme="minorHAnsi" w:hAnsiTheme="minorHAnsi" w:cstheme="minorHAnsi"/>
          <w:color w:val="000000"/>
          <w:lang w:val="cs-CZ"/>
        </w:rPr>
        <w:t xml:space="preserve">neoprávněně </w:t>
      </w:r>
      <w:r w:rsidRPr="00694D66">
        <w:rPr>
          <w:rFonts w:asciiTheme="minorHAnsi" w:hAnsiTheme="minorHAnsi" w:cstheme="minorHAnsi"/>
          <w:color w:val="000000"/>
          <w:lang w:val="cs-CZ"/>
        </w:rPr>
        <w:t xml:space="preserve">užilo JŘBU </w:t>
      </w:r>
      <w:r w:rsidR="00FD33F2" w:rsidRPr="00694D66">
        <w:rPr>
          <w:rFonts w:asciiTheme="minorHAnsi" w:hAnsiTheme="minorHAnsi" w:cstheme="minorHAnsi"/>
          <w:color w:val="000000"/>
          <w:lang w:val="cs-CZ"/>
        </w:rPr>
        <w:t>při vybudování nového</w:t>
      </w:r>
      <w:r w:rsidR="00FD33F2" w:rsidRPr="00D92ED2">
        <w:rPr>
          <w:rFonts w:asciiTheme="minorHAnsi" w:hAnsiTheme="minorHAnsi" w:cs="Calibri"/>
          <w:lang w:val="cs-CZ"/>
        </w:rPr>
        <w:t xml:space="preserve"> IS DotInfo EDS</w:t>
      </w:r>
      <w:r w:rsidR="00FD33F2" w:rsidRPr="00D92ED2">
        <w:rPr>
          <w:rFonts w:asciiTheme="minorHAnsi" w:hAnsiTheme="minorHAnsi" w:cstheme="minorHAnsi"/>
          <w:color w:val="000000"/>
          <w:lang w:val="cs-CZ"/>
        </w:rPr>
        <w:t xml:space="preserve"> </w:t>
      </w:r>
      <w:r w:rsidR="00E06388" w:rsidRPr="00D92ED2">
        <w:rPr>
          <w:rFonts w:asciiTheme="minorHAnsi" w:hAnsiTheme="minorHAnsi" w:cstheme="minorHAnsi"/>
          <w:color w:val="000000"/>
          <w:lang w:val="cs-CZ"/>
        </w:rPr>
        <w:t>za 38,2 mil. Kč</w:t>
      </w:r>
      <w:r w:rsidR="00E06388" w:rsidRPr="00D92ED2">
        <w:rPr>
          <w:rStyle w:val="Znakapoznpodarou"/>
          <w:rFonts w:asciiTheme="minorHAnsi" w:hAnsiTheme="minorHAnsi" w:cstheme="minorHAnsi"/>
          <w:color w:val="000000"/>
          <w:lang w:val="cs-CZ"/>
        </w:rPr>
        <w:footnoteReference w:id="12"/>
      </w:r>
      <w:r w:rsidR="00E06388" w:rsidRPr="00D92ED2">
        <w:rPr>
          <w:rFonts w:asciiTheme="minorHAnsi" w:hAnsiTheme="minorHAnsi" w:cstheme="minorHAnsi"/>
          <w:color w:val="000000"/>
          <w:lang w:val="cs-CZ"/>
        </w:rPr>
        <w:t xml:space="preserve"> </w:t>
      </w:r>
      <w:r w:rsidR="00FD33F2" w:rsidRPr="00D92ED2">
        <w:rPr>
          <w:rFonts w:asciiTheme="minorHAnsi" w:hAnsiTheme="minorHAnsi" w:cstheme="minorHAnsi"/>
          <w:color w:val="000000"/>
          <w:lang w:val="cs-CZ"/>
        </w:rPr>
        <w:t xml:space="preserve">a </w:t>
      </w:r>
      <w:r w:rsidR="00CC6E6B" w:rsidRPr="00D92ED2">
        <w:rPr>
          <w:rFonts w:asciiTheme="minorHAnsi" w:hAnsiTheme="minorHAnsi" w:cstheme="minorHAnsi"/>
          <w:color w:val="000000"/>
          <w:lang w:val="cs-CZ"/>
        </w:rPr>
        <w:t>při</w:t>
      </w:r>
      <w:r w:rsidRPr="00D92ED2">
        <w:rPr>
          <w:rFonts w:asciiTheme="minorHAnsi" w:hAnsiTheme="minorHAnsi" w:cstheme="minorHAnsi"/>
          <w:color w:val="000000"/>
          <w:lang w:val="cs-CZ"/>
        </w:rPr>
        <w:t xml:space="preserve"> </w:t>
      </w:r>
      <w:r w:rsidR="00FD33F2" w:rsidRPr="00D92ED2">
        <w:rPr>
          <w:rFonts w:asciiTheme="minorHAnsi" w:hAnsiTheme="minorHAnsi" w:cstheme="minorHAnsi"/>
          <w:color w:val="000000"/>
          <w:lang w:val="cs-CZ"/>
        </w:rPr>
        <w:t xml:space="preserve">pořizování </w:t>
      </w:r>
      <w:r w:rsidRPr="00D92ED2">
        <w:rPr>
          <w:rFonts w:asciiTheme="minorHAnsi" w:hAnsiTheme="minorHAnsi" w:cstheme="minorHAnsi"/>
          <w:color w:val="000000"/>
          <w:lang w:val="cs-CZ"/>
        </w:rPr>
        <w:t xml:space="preserve">informační podpory pro správu programů </w:t>
      </w:r>
      <w:r w:rsidRPr="00D92ED2">
        <w:rPr>
          <w:rFonts w:asciiTheme="minorHAnsi" w:hAnsiTheme="minorHAnsi" w:cs="Calibri"/>
          <w:lang w:val="cs-CZ"/>
        </w:rPr>
        <w:t>z </w:t>
      </w:r>
      <w:r w:rsidRPr="00D92ED2">
        <w:rPr>
          <w:rFonts w:asciiTheme="minorHAnsi" w:hAnsiTheme="minorHAnsi" w:cs="Calibri"/>
          <w:i/>
          <w:lang w:val="cs-CZ"/>
        </w:rPr>
        <w:t>F</w:t>
      </w:r>
      <w:r w:rsidR="00FD33F2" w:rsidRPr="00D92ED2">
        <w:rPr>
          <w:rFonts w:asciiTheme="minorHAnsi" w:hAnsiTheme="minorHAnsi" w:cs="Calibri"/>
          <w:i/>
          <w:lang w:val="cs-CZ"/>
        </w:rPr>
        <w:t xml:space="preserve">inančních mechanismů Evropského </w:t>
      </w:r>
      <w:r w:rsidRPr="00D92ED2">
        <w:rPr>
          <w:rFonts w:asciiTheme="minorHAnsi" w:hAnsiTheme="minorHAnsi" w:cs="Calibri"/>
          <w:i/>
          <w:lang w:val="cs-CZ"/>
        </w:rPr>
        <w:t>hospodářského prostoru a Norsk</w:t>
      </w:r>
      <w:r w:rsidR="00FA6C30">
        <w:rPr>
          <w:rFonts w:asciiTheme="minorHAnsi" w:hAnsiTheme="minorHAnsi" w:cs="Calibri"/>
          <w:i/>
          <w:lang w:val="cs-CZ"/>
        </w:rPr>
        <w:t>a</w:t>
      </w:r>
      <w:r w:rsidR="00FD33F2" w:rsidRPr="00D92ED2">
        <w:rPr>
          <w:rFonts w:asciiTheme="minorHAnsi" w:hAnsiTheme="minorHAnsi" w:cs="Calibri"/>
          <w:i/>
          <w:lang w:val="cs-CZ"/>
        </w:rPr>
        <w:t xml:space="preserve"> 2009</w:t>
      </w:r>
      <w:r w:rsidR="004C3DF5" w:rsidRPr="00D92ED2">
        <w:rPr>
          <w:rFonts w:asciiTheme="minorHAnsi" w:hAnsiTheme="minorHAnsi" w:cs="Calibri"/>
          <w:i/>
          <w:lang w:val="cs-CZ"/>
        </w:rPr>
        <w:t>–</w:t>
      </w:r>
      <w:r w:rsidR="00FD33F2" w:rsidRPr="00D92ED2">
        <w:rPr>
          <w:rFonts w:asciiTheme="minorHAnsi" w:hAnsiTheme="minorHAnsi" w:cs="Calibri"/>
          <w:i/>
          <w:lang w:val="cs-CZ"/>
        </w:rPr>
        <w:t>2014</w:t>
      </w:r>
      <w:r w:rsidR="007D4EAA" w:rsidRPr="00D92ED2">
        <w:rPr>
          <w:rFonts w:asciiTheme="minorHAnsi" w:hAnsiTheme="minorHAnsi" w:cs="Calibri"/>
          <w:lang w:val="cs-CZ"/>
        </w:rPr>
        <w:t xml:space="preserve"> za 3,22 </w:t>
      </w:r>
      <w:r w:rsidR="001955D8" w:rsidRPr="00D92ED2">
        <w:rPr>
          <w:rFonts w:asciiTheme="minorHAnsi" w:hAnsiTheme="minorHAnsi" w:cs="Calibri"/>
          <w:lang w:val="cs-CZ"/>
        </w:rPr>
        <w:t>mil. Kč</w:t>
      </w:r>
      <w:r w:rsidRPr="00D92ED2">
        <w:rPr>
          <w:rFonts w:asciiTheme="minorHAnsi" w:hAnsiTheme="minorHAnsi" w:cs="Calibri"/>
          <w:lang w:val="cs-CZ"/>
        </w:rPr>
        <w:t xml:space="preserve">. Jelikož nebyly naplněny zákonné podmínky pro užití JŘBU, mělo MF </w:t>
      </w:r>
      <w:r w:rsidR="00F173E8" w:rsidRPr="00D92ED2">
        <w:rPr>
          <w:rFonts w:asciiTheme="minorHAnsi" w:hAnsiTheme="minorHAnsi" w:cs="Calibri"/>
          <w:lang w:val="cs-CZ"/>
        </w:rPr>
        <w:t>pořizovat</w:t>
      </w:r>
      <w:r w:rsidRPr="00D92ED2">
        <w:rPr>
          <w:rFonts w:asciiTheme="minorHAnsi" w:hAnsiTheme="minorHAnsi" w:cs="Calibri"/>
          <w:lang w:val="cs-CZ"/>
        </w:rPr>
        <w:t xml:space="preserve"> tyto služby </w:t>
      </w:r>
      <w:r w:rsidR="00FD33F2" w:rsidRPr="00D92ED2">
        <w:rPr>
          <w:rFonts w:asciiTheme="minorHAnsi" w:hAnsiTheme="minorHAnsi" w:cs="Calibri"/>
          <w:lang w:val="cs-CZ"/>
        </w:rPr>
        <w:t>některým z druhů zadávacího řízení podporujících</w:t>
      </w:r>
      <w:r w:rsidRPr="00D92ED2">
        <w:rPr>
          <w:rFonts w:asciiTheme="minorHAnsi" w:hAnsiTheme="minorHAnsi" w:cs="Calibri"/>
          <w:lang w:val="cs-CZ"/>
        </w:rPr>
        <w:t xml:space="preserve"> </w:t>
      </w:r>
      <w:r w:rsidR="00FD33F2" w:rsidRPr="00D92ED2">
        <w:rPr>
          <w:rFonts w:asciiTheme="minorHAnsi" w:hAnsiTheme="minorHAnsi" w:cs="Calibri"/>
          <w:lang w:val="cs-CZ"/>
        </w:rPr>
        <w:t>otevřenou hospodářskou soutěž</w:t>
      </w:r>
      <w:r w:rsidRPr="00D92ED2">
        <w:rPr>
          <w:rFonts w:asciiTheme="minorHAnsi" w:hAnsiTheme="minorHAnsi" w:cs="Calibri"/>
          <w:lang w:val="cs-CZ"/>
        </w:rPr>
        <w:t xml:space="preserve">. </w:t>
      </w:r>
    </w:p>
    <w:p w14:paraId="4542C9A7" w14:textId="77777777" w:rsidR="00042D3F" w:rsidRDefault="00042D3F" w:rsidP="00362BC6">
      <w:pPr>
        <w:jc w:val="both"/>
        <w:rPr>
          <w:rFonts w:asciiTheme="minorHAnsi" w:hAnsiTheme="minorHAnsi" w:cs="Calibri"/>
          <w:lang w:val="cs-CZ"/>
        </w:rPr>
      </w:pPr>
    </w:p>
    <w:p w14:paraId="2E3EF817" w14:textId="77777777" w:rsidR="0098104D" w:rsidRDefault="007D4EAA" w:rsidP="00362BC6">
      <w:pPr>
        <w:jc w:val="both"/>
        <w:rPr>
          <w:rFonts w:asciiTheme="minorHAnsi" w:hAnsiTheme="minorHAnsi" w:cs="Calibri"/>
          <w:color w:val="000000"/>
          <w:lang w:val="cs-CZ"/>
        </w:rPr>
      </w:pPr>
      <w:r w:rsidRPr="00D92ED2">
        <w:rPr>
          <w:rFonts w:asciiTheme="minorHAnsi" w:hAnsiTheme="minorHAnsi" w:cs="Calibri"/>
          <w:color w:val="000000"/>
          <w:lang w:val="cs-CZ"/>
        </w:rPr>
        <w:t>U </w:t>
      </w:r>
      <w:r w:rsidR="00CC6E6B" w:rsidRPr="00D92ED2">
        <w:rPr>
          <w:rFonts w:asciiTheme="minorHAnsi" w:hAnsiTheme="minorHAnsi" w:cs="Calibri"/>
          <w:color w:val="000000"/>
          <w:lang w:val="cs-CZ"/>
        </w:rPr>
        <w:t xml:space="preserve">poloviny z </w:t>
      </w:r>
      <w:r w:rsidR="0098104D" w:rsidRPr="00D92ED2">
        <w:rPr>
          <w:rFonts w:asciiTheme="minorHAnsi" w:hAnsiTheme="minorHAnsi" w:cs="Calibri"/>
          <w:color w:val="000000"/>
          <w:lang w:val="cs-CZ"/>
        </w:rPr>
        <w:t xml:space="preserve">dalších osmi veřejných zakázek malého rozsahu, které byly v celkové hodnotě cca 10 mil. Kč bez DPH, byly </w:t>
      </w:r>
      <w:r w:rsidR="002D32E8" w:rsidRPr="00D92ED2">
        <w:rPr>
          <w:rFonts w:asciiTheme="minorHAnsi" w:hAnsiTheme="minorHAnsi" w:cs="Calibri"/>
          <w:color w:val="000000"/>
          <w:lang w:val="cs-CZ"/>
        </w:rPr>
        <w:t xml:space="preserve">u MF </w:t>
      </w:r>
      <w:r w:rsidR="0098104D" w:rsidRPr="00D92ED2">
        <w:rPr>
          <w:rFonts w:asciiTheme="minorHAnsi" w:hAnsiTheme="minorHAnsi" w:cs="Calibri"/>
          <w:color w:val="000000"/>
          <w:lang w:val="cs-CZ"/>
        </w:rPr>
        <w:t xml:space="preserve">kontrolou zjištěny nedostatky spočívající v neodůvodněném zadání </w:t>
      </w:r>
      <w:r w:rsidR="00666E26" w:rsidRPr="00D92ED2">
        <w:rPr>
          <w:rFonts w:asciiTheme="minorHAnsi" w:hAnsiTheme="minorHAnsi" w:cs="Calibri"/>
          <w:color w:val="000000"/>
          <w:lang w:val="cs-CZ"/>
        </w:rPr>
        <w:t xml:space="preserve">veřejné zakázky </w:t>
      </w:r>
      <w:r w:rsidR="00A81448">
        <w:rPr>
          <w:rFonts w:asciiTheme="minorHAnsi" w:hAnsiTheme="minorHAnsi" w:cs="Calibri"/>
          <w:color w:val="000000"/>
          <w:lang w:val="cs-CZ"/>
        </w:rPr>
        <w:t>bez otevřené hospodářské soutěže</w:t>
      </w:r>
      <w:r w:rsidR="0066604B">
        <w:rPr>
          <w:rFonts w:asciiTheme="minorHAnsi" w:hAnsiTheme="minorHAnsi" w:cs="Calibri"/>
          <w:color w:val="000000"/>
          <w:lang w:val="cs-CZ"/>
        </w:rPr>
        <w:t xml:space="preserve">. </w:t>
      </w:r>
      <w:r w:rsidR="000A48AC">
        <w:rPr>
          <w:rFonts w:asciiTheme="minorHAnsi" w:hAnsiTheme="minorHAnsi" w:cs="Calibri"/>
          <w:color w:val="000000"/>
          <w:lang w:val="cs-CZ"/>
        </w:rPr>
        <w:t>Dle názoru NKÚ tak MF ne</w:t>
      </w:r>
      <w:r w:rsidR="001A2AC6">
        <w:rPr>
          <w:rFonts w:asciiTheme="minorHAnsi" w:hAnsiTheme="minorHAnsi" w:cs="Calibri"/>
          <w:color w:val="000000"/>
          <w:lang w:val="cs-CZ"/>
        </w:rPr>
        <w:t xml:space="preserve">postupovalo </w:t>
      </w:r>
      <w:r w:rsidR="000A48AC">
        <w:rPr>
          <w:rFonts w:asciiTheme="minorHAnsi" w:hAnsiTheme="minorHAnsi" w:cs="Calibri"/>
          <w:color w:val="000000"/>
          <w:lang w:val="cs-CZ"/>
        </w:rPr>
        <w:t>hospodárn</w:t>
      </w:r>
      <w:r w:rsidR="001A2AC6">
        <w:rPr>
          <w:rFonts w:asciiTheme="minorHAnsi" w:hAnsiTheme="minorHAnsi" w:cs="Calibri"/>
          <w:color w:val="000000"/>
          <w:lang w:val="cs-CZ"/>
        </w:rPr>
        <w:t>ě</w:t>
      </w:r>
      <w:r w:rsidR="000A48AC">
        <w:rPr>
          <w:rFonts w:asciiTheme="minorHAnsi" w:hAnsiTheme="minorHAnsi" w:cs="Calibri"/>
          <w:color w:val="000000"/>
          <w:lang w:val="cs-CZ"/>
        </w:rPr>
        <w:t xml:space="preserve"> </w:t>
      </w:r>
      <w:r w:rsidR="001A2AC6">
        <w:rPr>
          <w:rFonts w:asciiTheme="minorHAnsi" w:hAnsiTheme="minorHAnsi" w:cs="Calibri"/>
          <w:color w:val="000000"/>
          <w:lang w:val="cs-CZ"/>
        </w:rPr>
        <w:t>při vynaložení</w:t>
      </w:r>
      <w:r w:rsidR="000A48AC">
        <w:rPr>
          <w:rFonts w:asciiTheme="minorHAnsi" w:hAnsiTheme="minorHAnsi" w:cs="Calibri"/>
          <w:color w:val="000000"/>
          <w:lang w:val="cs-CZ"/>
        </w:rPr>
        <w:t xml:space="preserve"> peněžních prostředků </w:t>
      </w:r>
      <w:r w:rsidR="001A2AC6">
        <w:rPr>
          <w:rFonts w:asciiTheme="minorHAnsi" w:hAnsiTheme="minorHAnsi" w:cs="Calibri"/>
          <w:color w:val="000000"/>
          <w:lang w:val="cs-CZ"/>
        </w:rPr>
        <w:t>na</w:t>
      </w:r>
      <w:r w:rsidR="000A48AC">
        <w:rPr>
          <w:rFonts w:asciiTheme="minorHAnsi" w:hAnsiTheme="minorHAnsi" w:cs="Calibri"/>
          <w:color w:val="000000"/>
          <w:lang w:val="cs-CZ"/>
        </w:rPr>
        <w:t xml:space="preserve"> pořizování informační podpory systému financování programů a dotací. </w:t>
      </w:r>
      <w:r w:rsidR="0066604B">
        <w:rPr>
          <w:rFonts w:asciiTheme="minorHAnsi" w:hAnsiTheme="minorHAnsi" w:cs="Calibri"/>
          <w:color w:val="000000"/>
          <w:lang w:val="cs-CZ"/>
        </w:rPr>
        <w:t>Další porušení zákona o </w:t>
      </w:r>
      <w:r w:rsidR="00666E26" w:rsidRPr="00D92ED2">
        <w:rPr>
          <w:rFonts w:asciiTheme="minorHAnsi" w:hAnsiTheme="minorHAnsi" w:cs="Calibri"/>
          <w:color w:val="000000"/>
          <w:lang w:val="cs-CZ"/>
        </w:rPr>
        <w:t>veřejných zakázkách</w:t>
      </w:r>
      <w:r w:rsidR="00AA34BA">
        <w:rPr>
          <w:rStyle w:val="Znakapoznpodarou"/>
          <w:rFonts w:asciiTheme="minorHAnsi" w:hAnsiTheme="minorHAnsi" w:cs="Calibri"/>
          <w:color w:val="000000"/>
          <w:lang w:val="cs-CZ"/>
        </w:rPr>
        <w:t>10</w:t>
      </w:r>
      <w:r w:rsidR="0098104D" w:rsidRPr="00D92ED2">
        <w:rPr>
          <w:rFonts w:asciiTheme="minorHAnsi" w:hAnsiTheme="minorHAnsi" w:cs="Calibri"/>
          <w:color w:val="000000"/>
          <w:lang w:val="cs-CZ"/>
        </w:rPr>
        <w:t xml:space="preserve"> </w:t>
      </w:r>
      <w:r w:rsidR="007B08B8">
        <w:rPr>
          <w:rFonts w:asciiTheme="minorHAnsi" w:hAnsiTheme="minorHAnsi" w:cs="Calibri"/>
          <w:color w:val="000000"/>
          <w:lang w:val="cs-CZ"/>
        </w:rPr>
        <w:t>spočívalo v</w:t>
      </w:r>
      <w:r w:rsidR="0098104D" w:rsidRPr="00D92ED2">
        <w:rPr>
          <w:rFonts w:asciiTheme="minorHAnsi" w:hAnsiTheme="minorHAnsi" w:cs="Calibri"/>
          <w:color w:val="000000"/>
          <w:lang w:val="cs-CZ"/>
        </w:rPr>
        <w:t xml:space="preserve"> netransparentnosti po</w:t>
      </w:r>
      <w:r w:rsidR="0066604B">
        <w:rPr>
          <w:rFonts w:asciiTheme="minorHAnsi" w:hAnsiTheme="minorHAnsi" w:cs="Calibri"/>
          <w:color w:val="000000"/>
          <w:lang w:val="cs-CZ"/>
        </w:rPr>
        <w:t>stupu zadavatele GFŘ</w:t>
      </w:r>
      <w:r w:rsidR="006F2C25">
        <w:rPr>
          <w:rFonts w:asciiTheme="minorHAnsi" w:hAnsiTheme="minorHAnsi" w:cs="Calibri"/>
          <w:color w:val="000000"/>
          <w:lang w:val="cs-CZ"/>
        </w:rPr>
        <w:t xml:space="preserve"> u VZ </w:t>
      </w:r>
      <w:r w:rsidR="006F2C25" w:rsidRPr="00DB226C">
        <w:rPr>
          <w:rFonts w:asciiTheme="minorHAnsi" w:hAnsiTheme="minorHAnsi" w:cs="Calibri"/>
          <w:i/>
          <w:color w:val="000000"/>
          <w:lang w:val="cs-CZ"/>
        </w:rPr>
        <w:t>Vývoj IS CEDR II</w:t>
      </w:r>
      <w:r w:rsidR="00694D66">
        <w:rPr>
          <w:rFonts w:asciiTheme="minorHAnsi" w:hAnsiTheme="minorHAnsi" w:cs="Calibri"/>
          <w:color w:val="000000"/>
          <w:lang w:val="cs-CZ"/>
        </w:rPr>
        <w:t xml:space="preserve"> </w:t>
      </w:r>
      <w:r w:rsidR="00694D66">
        <w:rPr>
          <w:rFonts w:asciiTheme="minorHAnsi" w:hAnsiTheme="minorHAnsi" w:cs="Calibri"/>
          <w:color w:val="000000"/>
          <w:lang w:val="cs-CZ"/>
        </w:rPr>
        <w:lastRenderedPageBreak/>
        <w:t>v hodnotě 12</w:t>
      </w:r>
      <w:r w:rsidR="00A1448A">
        <w:rPr>
          <w:rFonts w:asciiTheme="minorHAnsi" w:hAnsiTheme="minorHAnsi" w:cs="Calibri"/>
          <w:color w:val="000000"/>
          <w:lang w:val="cs-CZ"/>
        </w:rPr>
        <w:t> </w:t>
      </w:r>
      <w:r w:rsidR="006F2C25">
        <w:rPr>
          <w:rFonts w:asciiTheme="minorHAnsi" w:hAnsiTheme="minorHAnsi" w:cs="Calibri"/>
          <w:color w:val="000000"/>
          <w:lang w:val="cs-CZ"/>
        </w:rPr>
        <w:t>mil. Kč</w:t>
      </w:r>
      <w:r w:rsidR="00E54915">
        <w:rPr>
          <w:rFonts w:asciiTheme="minorHAnsi" w:hAnsiTheme="minorHAnsi" w:cs="Calibri"/>
          <w:color w:val="000000"/>
          <w:lang w:val="cs-CZ"/>
        </w:rPr>
        <w:t xml:space="preserve">, když nabídka na VZ nebyla co do obsahu shodná s výzvou ani s návrhem na </w:t>
      </w:r>
      <w:r w:rsidR="006F2C25">
        <w:rPr>
          <w:rFonts w:asciiTheme="minorHAnsi" w:hAnsiTheme="minorHAnsi" w:cs="Calibri"/>
          <w:color w:val="000000"/>
          <w:lang w:val="cs-CZ"/>
        </w:rPr>
        <w:t>její plnění</w:t>
      </w:r>
      <w:r w:rsidR="00E54915">
        <w:rPr>
          <w:rFonts w:asciiTheme="minorHAnsi" w:hAnsiTheme="minorHAnsi" w:cs="Calibri"/>
          <w:color w:val="000000"/>
          <w:lang w:val="cs-CZ"/>
        </w:rPr>
        <w:t>.</w:t>
      </w:r>
    </w:p>
    <w:p w14:paraId="40C05DD3" w14:textId="77777777" w:rsidR="00E52F26" w:rsidRDefault="00E52F26" w:rsidP="00362BC6">
      <w:pPr>
        <w:jc w:val="both"/>
        <w:rPr>
          <w:rFonts w:asciiTheme="minorHAnsi" w:hAnsiTheme="minorHAnsi" w:cstheme="minorHAnsi"/>
          <w:color w:val="000000"/>
          <w:lang w:val="cs-CZ"/>
        </w:rPr>
      </w:pPr>
    </w:p>
    <w:p w14:paraId="2EDC4ED4" w14:textId="77777777" w:rsidR="00E52F26" w:rsidRDefault="00E52F26" w:rsidP="00362BC6">
      <w:pPr>
        <w:jc w:val="both"/>
        <w:rPr>
          <w:rFonts w:asciiTheme="minorHAnsi" w:hAnsiTheme="minorHAnsi" w:cstheme="minorHAnsi"/>
          <w:b/>
          <w:color w:val="000000"/>
          <w:lang w:val="cs-CZ"/>
        </w:rPr>
      </w:pPr>
      <w:r w:rsidRPr="00D92ED2">
        <w:rPr>
          <w:rFonts w:asciiTheme="minorHAnsi" w:hAnsiTheme="minorHAnsi" w:cstheme="minorHAnsi"/>
          <w:b/>
          <w:color w:val="000000"/>
          <w:lang w:val="cs-CZ"/>
        </w:rPr>
        <w:t>Nejvyšší kontrolní úřad doporučuje:</w:t>
      </w:r>
    </w:p>
    <w:p w14:paraId="54C8F96D" w14:textId="77777777" w:rsidR="00E52F26" w:rsidRDefault="00E52F26" w:rsidP="00362BC6">
      <w:pPr>
        <w:pStyle w:val="Odstavecseseznamem"/>
        <w:numPr>
          <w:ilvl w:val="0"/>
          <w:numId w:val="1"/>
        </w:numPr>
        <w:ind w:left="425" w:hanging="425"/>
        <w:contextualSpacing w:val="0"/>
        <w:jc w:val="both"/>
        <w:rPr>
          <w:rFonts w:asciiTheme="minorHAnsi" w:hAnsiTheme="minorHAnsi" w:cstheme="minorHAnsi"/>
          <w:color w:val="000000"/>
          <w:lang w:val="cs-CZ"/>
        </w:rPr>
      </w:pPr>
      <w:r w:rsidRPr="00D92ED2">
        <w:rPr>
          <w:rFonts w:asciiTheme="minorHAnsi" w:hAnsiTheme="minorHAnsi" w:cstheme="minorHAnsi"/>
          <w:color w:val="000000"/>
          <w:lang w:val="cs-CZ"/>
        </w:rPr>
        <w:t>zajistit, aby při stávající infrastruktuře informačních systémů byla data z programového financování evidovaná v IS EDS převáděna do IS CEDR III bez</w:t>
      </w:r>
      <w:r w:rsidR="00FF7220">
        <w:rPr>
          <w:rFonts w:asciiTheme="minorHAnsi" w:hAnsiTheme="minorHAnsi" w:cstheme="minorHAnsi"/>
          <w:color w:val="000000"/>
          <w:lang w:val="cs-CZ"/>
        </w:rPr>
        <w:t xml:space="preserve"> věcně nesouvisejících dat z IS </w:t>
      </w:r>
      <w:r w:rsidRPr="00D92ED2">
        <w:rPr>
          <w:rFonts w:asciiTheme="minorHAnsi" w:hAnsiTheme="minorHAnsi" w:cstheme="minorHAnsi"/>
          <w:color w:val="000000"/>
          <w:lang w:val="cs-CZ"/>
        </w:rPr>
        <w:t>SMVS, a to v zákonem stanoveném rozsahu, intervalech a automatizovaně;</w:t>
      </w:r>
    </w:p>
    <w:p w14:paraId="3D159F58" w14:textId="77777777" w:rsidR="00E52F26" w:rsidRPr="00D92ED2" w:rsidRDefault="00E52F26" w:rsidP="00362BC6">
      <w:pPr>
        <w:pStyle w:val="Odstavecseseznamem"/>
        <w:numPr>
          <w:ilvl w:val="0"/>
          <w:numId w:val="1"/>
        </w:numPr>
        <w:ind w:left="425" w:hanging="425"/>
        <w:contextualSpacing w:val="0"/>
        <w:jc w:val="both"/>
        <w:rPr>
          <w:rFonts w:asciiTheme="minorHAnsi" w:hAnsiTheme="minorHAnsi" w:cstheme="minorHAnsi"/>
          <w:color w:val="000000"/>
          <w:lang w:val="cs-CZ"/>
        </w:rPr>
      </w:pPr>
      <w:r w:rsidRPr="00D92ED2">
        <w:rPr>
          <w:rFonts w:asciiTheme="minorHAnsi" w:hAnsiTheme="minorHAnsi" w:cstheme="minorHAnsi"/>
          <w:color w:val="000000"/>
          <w:lang w:val="cs-CZ"/>
        </w:rPr>
        <w:t xml:space="preserve">konsolidovat data o poskytnutých dotacích ze SR </w:t>
      </w:r>
      <w:r w:rsidR="008A796D">
        <w:rPr>
          <w:rFonts w:asciiTheme="minorHAnsi" w:hAnsiTheme="minorHAnsi" w:cstheme="minorHAnsi"/>
          <w:color w:val="000000"/>
          <w:lang w:val="cs-CZ"/>
        </w:rPr>
        <w:t>tak</w:t>
      </w:r>
      <w:r w:rsidRPr="00D92ED2">
        <w:rPr>
          <w:rFonts w:asciiTheme="minorHAnsi" w:hAnsiTheme="minorHAnsi" w:cstheme="minorHAnsi"/>
          <w:color w:val="000000"/>
          <w:lang w:val="cs-CZ"/>
        </w:rPr>
        <w:t>, aby byla zajištěna správnost informací a úplný přehled o poskytnutých dotacích jak pro sestavení návrhu státního závěrečného účtu, tak i pro potřeby veřejnosti;</w:t>
      </w:r>
    </w:p>
    <w:p w14:paraId="018EB728" w14:textId="77777777" w:rsidR="00E52F26" w:rsidRDefault="00E52F26" w:rsidP="00362BC6">
      <w:pPr>
        <w:pStyle w:val="Odstavecseseznamem"/>
        <w:numPr>
          <w:ilvl w:val="0"/>
          <w:numId w:val="1"/>
        </w:numPr>
        <w:ind w:left="425" w:hanging="425"/>
        <w:contextualSpacing w:val="0"/>
        <w:jc w:val="both"/>
        <w:rPr>
          <w:rFonts w:asciiTheme="minorHAnsi" w:hAnsiTheme="minorHAnsi" w:cstheme="minorHAnsi"/>
          <w:color w:val="000000"/>
          <w:lang w:val="cs-CZ"/>
        </w:rPr>
      </w:pPr>
      <w:r w:rsidRPr="00D92ED2">
        <w:rPr>
          <w:rFonts w:asciiTheme="minorHAnsi" w:hAnsiTheme="minorHAnsi" w:cstheme="minorHAnsi"/>
          <w:color w:val="000000"/>
          <w:lang w:val="cs-CZ"/>
        </w:rPr>
        <w:t xml:space="preserve">iniciovat změny v právních předpisech, které by </w:t>
      </w:r>
      <w:r w:rsidR="00A1448A">
        <w:rPr>
          <w:rFonts w:asciiTheme="minorHAnsi" w:hAnsiTheme="minorHAnsi" w:cstheme="minorHAnsi"/>
          <w:color w:val="000000"/>
          <w:lang w:val="cs-CZ"/>
        </w:rPr>
        <w:t>umožnily</w:t>
      </w:r>
      <w:r w:rsidR="00EC35F5">
        <w:rPr>
          <w:rFonts w:asciiTheme="minorHAnsi" w:hAnsiTheme="minorHAnsi" w:cstheme="minorHAnsi"/>
          <w:color w:val="000000"/>
          <w:lang w:val="cs-CZ"/>
        </w:rPr>
        <w:t xml:space="preserve"> vynutitelnost povinnosti</w:t>
      </w:r>
      <w:r w:rsidRPr="00D92ED2">
        <w:rPr>
          <w:rFonts w:asciiTheme="minorHAnsi" w:hAnsiTheme="minorHAnsi" w:cstheme="minorHAnsi"/>
          <w:color w:val="000000"/>
          <w:lang w:val="cs-CZ"/>
        </w:rPr>
        <w:t xml:space="preserve"> správc</w:t>
      </w:r>
      <w:r w:rsidR="00EC35F5">
        <w:rPr>
          <w:rFonts w:asciiTheme="minorHAnsi" w:hAnsiTheme="minorHAnsi" w:cstheme="minorHAnsi"/>
          <w:color w:val="000000"/>
          <w:lang w:val="cs-CZ"/>
        </w:rPr>
        <w:t>ů</w:t>
      </w:r>
      <w:r w:rsidRPr="00D92ED2">
        <w:rPr>
          <w:rFonts w:asciiTheme="minorHAnsi" w:hAnsiTheme="minorHAnsi" w:cstheme="minorHAnsi"/>
          <w:color w:val="000000"/>
          <w:lang w:val="cs-CZ"/>
        </w:rPr>
        <w:t xml:space="preserve"> programů vést v IS EDS/SMVS veškeré peněžní prostředky vztahující se k programovému financování</w:t>
      </w:r>
      <w:r>
        <w:rPr>
          <w:rFonts w:asciiTheme="minorHAnsi" w:hAnsiTheme="minorHAnsi" w:cstheme="minorHAnsi"/>
          <w:color w:val="000000"/>
          <w:lang w:val="cs-CZ"/>
        </w:rPr>
        <w:t xml:space="preserve"> a </w:t>
      </w:r>
      <w:r w:rsidR="00EE0C85">
        <w:rPr>
          <w:rFonts w:asciiTheme="minorHAnsi" w:hAnsiTheme="minorHAnsi" w:cstheme="minorHAnsi"/>
          <w:color w:val="000000"/>
          <w:lang w:val="cs-CZ"/>
        </w:rPr>
        <w:t xml:space="preserve">dále vynutitelnost povinnosti </w:t>
      </w:r>
      <w:r w:rsidRPr="00D92ED2">
        <w:rPr>
          <w:rFonts w:asciiTheme="minorHAnsi" w:hAnsiTheme="minorHAnsi" w:cstheme="minorHAnsi"/>
          <w:color w:val="000000"/>
          <w:lang w:val="cs-CZ"/>
        </w:rPr>
        <w:t>poskytovatel</w:t>
      </w:r>
      <w:r w:rsidR="00EE0C85">
        <w:rPr>
          <w:rFonts w:asciiTheme="minorHAnsi" w:hAnsiTheme="minorHAnsi" w:cstheme="minorHAnsi"/>
          <w:color w:val="000000"/>
          <w:lang w:val="cs-CZ"/>
        </w:rPr>
        <w:t>ů</w:t>
      </w:r>
      <w:r w:rsidRPr="00D92ED2">
        <w:rPr>
          <w:rFonts w:asciiTheme="minorHAnsi" w:hAnsiTheme="minorHAnsi" w:cstheme="minorHAnsi"/>
          <w:color w:val="000000"/>
          <w:lang w:val="cs-CZ"/>
        </w:rPr>
        <w:t xml:space="preserve"> dotací včas</w:t>
      </w:r>
      <w:r w:rsidR="00EE0C85">
        <w:rPr>
          <w:rFonts w:asciiTheme="minorHAnsi" w:hAnsiTheme="minorHAnsi" w:cstheme="minorHAnsi"/>
          <w:color w:val="000000"/>
          <w:lang w:val="cs-CZ"/>
        </w:rPr>
        <w:t xml:space="preserve"> </w:t>
      </w:r>
      <w:r w:rsidRPr="00D92ED2">
        <w:rPr>
          <w:rFonts w:asciiTheme="minorHAnsi" w:hAnsiTheme="minorHAnsi" w:cstheme="minorHAnsi"/>
          <w:color w:val="000000"/>
          <w:lang w:val="cs-CZ"/>
        </w:rPr>
        <w:t>předávat přesné a úplné informace o poskytnutých dotacích ze státního rozpočtu pro potřeby MF, GFŘ i</w:t>
      </w:r>
      <w:r w:rsidR="00EC35F5">
        <w:rPr>
          <w:rFonts w:asciiTheme="minorHAnsi" w:hAnsiTheme="minorHAnsi" w:cstheme="minorHAnsi"/>
          <w:color w:val="000000"/>
          <w:lang w:val="cs-CZ"/>
        </w:rPr>
        <w:t> </w:t>
      </w:r>
      <w:r w:rsidRPr="00D92ED2">
        <w:rPr>
          <w:rFonts w:asciiTheme="minorHAnsi" w:hAnsiTheme="minorHAnsi" w:cstheme="minorHAnsi"/>
          <w:color w:val="000000"/>
          <w:lang w:val="cs-CZ"/>
        </w:rPr>
        <w:t>veřejnosti;</w:t>
      </w:r>
    </w:p>
    <w:p w14:paraId="5B15383F" w14:textId="77777777" w:rsidR="00E52F26" w:rsidRDefault="00E52F26" w:rsidP="00362BC6">
      <w:pPr>
        <w:pStyle w:val="Odstavecseseznamem"/>
        <w:numPr>
          <w:ilvl w:val="0"/>
          <w:numId w:val="1"/>
        </w:numPr>
        <w:ind w:left="425" w:hanging="425"/>
        <w:contextualSpacing w:val="0"/>
        <w:jc w:val="both"/>
        <w:rPr>
          <w:rFonts w:asciiTheme="minorHAnsi" w:hAnsiTheme="minorHAnsi" w:cstheme="minorHAnsi"/>
          <w:color w:val="000000"/>
          <w:lang w:val="cs-CZ"/>
        </w:rPr>
      </w:pPr>
      <w:r>
        <w:rPr>
          <w:rFonts w:asciiTheme="minorHAnsi" w:hAnsiTheme="minorHAnsi" w:cstheme="minorHAnsi"/>
          <w:color w:val="000000"/>
          <w:lang w:val="cs-CZ"/>
        </w:rPr>
        <w:t>p</w:t>
      </w:r>
      <w:r w:rsidRPr="00304218">
        <w:rPr>
          <w:rFonts w:asciiTheme="minorHAnsi" w:hAnsiTheme="minorHAnsi" w:cstheme="minorHAnsi"/>
          <w:color w:val="000000"/>
          <w:lang w:val="cs-CZ"/>
        </w:rPr>
        <w:t xml:space="preserve">ři dalším pořizování informační podpory programového financování a dotací dodržovat </w:t>
      </w:r>
      <w:r w:rsidRPr="00B83455">
        <w:rPr>
          <w:rFonts w:asciiTheme="minorHAnsi" w:hAnsiTheme="minorHAnsi" w:cstheme="minorHAnsi"/>
          <w:color w:val="000000"/>
          <w:lang w:val="cs-CZ"/>
        </w:rPr>
        <w:t>architektonické principy</w:t>
      </w:r>
      <w:r>
        <w:rPr>
          <w:rFonts w:asciiTheme="minorHAnsi" w:hAnsiTheme="minorHAnsi" w:cstheme="minorHAnsi"/>
          <w:i/>
          <w:color w:val="000000"/>
          <w:lang w:val="cs-CZ"/>
        </w:rPr>
        <w:t xml:space="preserve"> </w:t>
      </w:r>
      <w:r>
        <w:rPr>
          <w:rFonts w:asciiTheme="minorHAnsi" w:hAnsiTheme="minorHAnsi" w:cstheme="minorHAnsi"/>
          <w:color w:val="000000"/>
          <w:lang w:val="cs-CZ"/>
        </w:rPr>
        <w:t>n</w:t>
      </w:r>
      <w:r w:rsidRPr="00B83455">
        <w:rPr>
          <w:rFonts w:asciiTheme="minorHAnsi" w:hAnsiTheme="minorHAnsi" w:cstheme="minorHAnsi"/>
          <w:color w:val="000000"/>
          <w:lang w:val="cs-CZ"/>
        </w:rPr>
        <w:t>árodní architektury veřejné správy ČR</w:t>
      </w:r>
      <w:r w:rsidRPr="00B83455">
        <w:rPr>
          <w:rStyle w:val="Znakapoznpodarou"/>
          <w:rFonts w:asciiTheme="minorHAnsi" w:hAnsiTheme="minorHAnsi" w:cstheme="minorHAnsi"/>
          <w:color w:val="000000"/>
          <w:lang w:val="cs-CZ"/>
        </w:rPr>
        <w:footnoteReference w:id="13"/>
      </w:r>
      <w:r w:rsidRPr="00B83455">
        <w:rPr>
          <w:rFonts w:asciiTheme="minorHAnsi" w:hAnsiTheme="minorHAnsi" w:cstheme="minorHAnsi"/>
          <w:color w:val="000000"/>
          <w:lang w:val="cs-CZ"/>
        </w:rPr>
        <w:t>,</w:t>
      </w:r>
      <w:r w:rsidRPr="00304218">
        <w:rPr>
          <w:rFonts w:asciiTheme="minorHAnsi" w:hAnsiTheme="minorHAnsi" w:cstheme="minorHAnsi"/>
          <w:color w:val="000000"/>
          <w:lang w:val="cs-CZ"/>
        </w:rPr>
        <w:t xml:space="preserve"> konkrétně </w:t>
      </w:r>
      <w:r>
        <w:rPr>
          <w:rFonts w:asciiTheme="minorHAnsi" w:hAnsiTheme="minorHAnsi" w:cstheme="minorHAnsi"/>
          <w:color w:val="000000"/>
          <w:lang w:val="cs-CZ"/>
        </w:rPr>
        <w:t>t</w:t>
      </w:r>
      <w:r w:rsidRPr="00B83455">
        <w:rPr>
          <w:rFonts w:asciiTheme="minorHAnsi" w:hAnsiTheme="minorHAnsi" w:cstheme="minorHAnsi"/>
          <w:color w:val="000000"/>
          <w:lang w:val="cs-CZ"/>
        </w:rPr>
        <w:t>echnologickou neutralitu</w:t>
      </w:r>
      <w:r w:rsidRPr="00304218">
        <w:rPr>
          <w:rFonts w:asciiTheme="minorHAnsi" w:hAnsiTheme="minorHAnsi" w:cstheme="minorHAnsi"/>
          <w:color w:val="000000"/>
          <w:lang w:val="cs-CZ"/>
        </w:rPr>
        <w:t xml:space="preserve"> spočívající v</w:t>
      </w:r>
      <w:r w:rsidR="004D68E1">
        <w:rPr>
          <w:rFonts w:asciiTheme="minorHAnsi" w:hAnsiTheme="minorHAnsi" w:cstheme="minorHAnsi"/>
          <w:color w:val="000000"/>
          <w:lang w:val="cs-CZ"/>
        </w:rPr>
        <w:t> </w:t>
      </w:r>
      <w:r w:rsidRPr="00304218">
        <w:rPr>
          <w:rFonts w:asciiTheme="minorHAnsi" w:hAnsiTheme="minorHAnsi" w:cstheme="minorHAnsi"/>
          <w:color w:val="000000"/>
          <w:lang w:val="cs-CZ"/>
        </w:rPr>
        <w:t>nezávislosti zvoleného ICT řešení</w:t>
      </w:r>
      <w:r>
        <w:rPr>
          <w:rFonts w:asciiTheme="minorHAnsi" w:hAnsiTheme="minorHAnsi" w:cstheme="minorHAnsi"/>
          <w:color w:val="000000"/>
          <w:lang w:val="cs-CZ"/>
        </w:rPr>
        <w:t>;</w:t>
      </w:r>
    </w:p>
    <w:p w14:paraId="581BA400" w14:textId="77777777" w:rsidR="000F00E5" w:rsidRPr="00306423" w:rsidRDefault="00E52F26" w:rsidP="00362BC6">
      <w:pPr>
        <w:pStyle w:val="Odstavecseseznamem"/>
        <w:numPr>
          <w:ilvl w:val="0"/>
          <w:numId w:val="1"/>
        </w:numPr>
        <w:ind w:left="425" w:hanging="425"/>
        <w:contextualSpacing w:val="0"/>
        <w:jc w:val="both"/>
        <w:rPr>
          <w:rFonts w:asciiTheme="minorHAnsi" w:hAnsiTheme="minorHAnsi" w:cstheme="minorHAnsi"/>
          <w:b/>
          <w:color w:val="000000"/>
          <w:sz w:val="28"/>
          <w:szCs w:val="28"/>
          <w:lang w:val="cs-CZ"/>
        </w:rPr>
      </w:pPr>
      <w:r w:rsidRPr="00306423">
        <w:rPr>
          <w:rFonts w:asciiTheme="minorHAnsi" w:hAnsiTheme="minorHAnsi" w:cstheme="minorHAnsi"/>
          <w:color w:val="000000"/>
          <w:lang w:val="cs-CZ"/>
        </w:rPr>
        <w:t>přehodnotit dosavadní proces schvalování programů tak, aby byla prosazena jednoznačná odpovědnost správců programů za nastavení a vyhodn</w:t>
      </w:r>
      <w:r w:rsidR="007F5FD7" w:rsidRPr="00306423">
        <w:rPr>
          <w:rFonts w:asciiTheme="minorHAnsi" w:hAnsiTheme="minorHAnsi" w:cstheme="minorHAnsi"/>
          <w:color w:val="000000"/>
          <w:lang w:val="cs-CZ"/>
        </w:rPr>
        <w:t>ocení</w:t>
      </w:r>
      <w:r w:rsidRPr="00306423">
        <w:rPr>
          <w:rFonts w:asciiTheme="minorHAnsi" w:hAnsiTheme="minorHAnsi" w:cstheme="minorHAnsi"/>
          <w:color w:val="000000"/>
          <w:lang w:val="cs-CZ"/>
        </w:rPr>
        <w:t xml:space="preserve"> efektivnosti a účelnosti vynakládaných prostředků. </w:t>
      </w:r>
    </w:p>
    <w:p w14:paraId="376F7482" w14:textId="77777777" w:rsidR="00306423" w:rsidRDefault="00306423" w:rsidP="00362BC6">
      <w:pPr>
        <w:jc w:val="both"/>
        <w:rPr>
          <w:rFonts w:asciiTheme="minorHAnsi" w:hAnsiTheme="minorHAnsi" w:cstheme="minorHAnsi"/>
          <w:color w:val="000000"/>
          <w:lang w:val="cs-CZ"/>
        </w:rPr>
      </w:pPr>
    </w:p>
    <w:p w14:paraId="49D57744" w14:textId="77777777" w:rsidR="00362BC6" w:rsidRPr="00362BC6" w:rsidRDefault="00362BC6" w:rsidP="00362BC6">
      <w:pPr>
        <w:jc w:val="both"/>
        <w:rPr>
          <w:rFonts w:asciiTheme="minorHAnsi" w:hAnsiTheme="minorHAnsi" w:cstheme="minorHAnsi"/>
          <w:color w:val="000000"/>
          <w:lang w:val="cs-CZ"/>
        </w:rPr>
      </w:pPr>
    </w:p>
    <w:p w14:paraId="1D4D55F4" w14:textId="77777777" w:rsidR="00F86D14" w:rsidRPr="00D92ED2" w:rsidRDefault="005C3DF0" w:rsidP="009E29D1">
      <w:pPr>
        <w:jc w:val="center"/>
        <w:rPr>
          <w:rFonts w:asciiTheme="minorHAnsi" w:hAnsiTheme="minorHAnsi" w:cstheme="minorHAnsi"/>
          <w:b/>
          <w:color w:val="000000"/>
          <w:sz w:val="28"/>
          <w:szCs w:val="28"/>
          <w:lang w:val="cs-CZ"/>
        </w:rPr>
      </w:pPr>
      <w:r w:rsidRPr="00D92ED2">
        <w:rPr>
          <w:rFonts w:asciiTheme="minorHAnsi" w:hAnsiTheme="minorHAnsi" w:cstheme="minorHAnsi"/>
          <w:b/>
          <w:color w:val="000000"/>
          <w:sz w:val="28"/>
          <w:szCs w:val="28"/>
          <w:lang w:val="cs-CZ"/>
        </w:rPr>
        <w:t xml:space="preserve">III. </w:t>
      </w:r>
      <w:r w:rsidR="00F86D14" w:rsidRPr="00D92ED2">
        <w:rPr>
          <w:rFonts w:asciiTheme="minorHAnsi" w:hAnsiTheme="minorHAnsi" w:cstheme="minorHAnsi"/>
          <w:b/>
          <w:color w:val="000000"/>
          <w:sz w:val="28"/>
          <w:szCs w:val="28"/>
          <w:lang w:val="cs-CZ"/>
        </w:rPr>
        <w:t>Podrobn</w:t>
      </w:r>
      <w:r w:rsidR="005D5F8C" w:rsidRPr="00D92ED2">
        <w:rPr>
          <w:rFonts w:asciiTheme="minorHAnsi" w:hAnsiTheme="minorHAnsi" w:cstheme="minorHAnsi"/>
          <w:b/>
          <w:color w:val="000000"/>
          <w:sz w:val="28"/>
          <w:szCs w:val="28"/>
          <w:lang w:val="cs-CZ"/>
        </w:rPr>
        <w:t>é</w:t>
      </w:r>
      <w:r w:rsidR="00F86D14" w:rsidRPr="00D92ED2">
        <w:rPr>
          <w:rFonts w:asciiTheme="minorHAnsi" w:hAnsiTheme="minorHAnsi" w:cstheme="minorHAnsi"/>
          <w:b/>
          <w:color w:val="000000"/>
          <w:sz w:val="28"/>
          <w:szCs w:val="28"/>
          <w:lang w:val="cs-CZ"/>
        </w:rPr>
        <w:t xml:space="preserve"> informace </w:t>
      </w:r>
      <w:r w:rsidR="00EE0C85">
        <w:rPr>
          <w:rFonts w:asciiTheme="minorHAnsi" w:hAnsiTheme="minorHAnsi" w:cstheme="minorHAnsi"/>
          <w:b/>
          <w:color w:val="000000"/>
          <w:sz w:val="28"/>
          <w:szCs w:val="28"/>
          <w:lang w:val="cs-CZ"/>
        </w:rPr>
        <w:t>ke zjištěným skutečnostem</w:t>
      </w:r>
    </w:p>
    <w:p w14:paraId="3AE73AD9" w14:textId="77777777" w:rsidR="00AE0DBD" w:rsidRPr="00042D3F" w:rsidRDefault="00AE0DBD" w:rsidP="00042D3F">
      <w:pPr>
        <w:jc w:val="both"/>
        <w:rPr>
          <w:rFonts w:ascii="Calibri" w:hAnsi="Calibri" w:cs="Calibri"/>
          <w:color w:val="000000"/>
          <w:lang w:val="cs-CZ"/>
        </w:rPr>
      </w:pPr>
    </w:p>
    <w:p w14:paraId="53C95C11" w14:textId="77777777" w:rsidR="00D64966" w:rsidRPr="00042D3F" w:rsidRDefault="00D64966" w:rsidP="00042D3F">
      <w:pPr>
        <w:rPr>
          <w:rFonts w:ascii="Calibri" w:hAnsi="Calibri" w:cs="Calibri"/>
          <w:b/>
          <w:color w:val="000000"/>
          <w:lang w:val="cs-CZ"/>
        </w:rPr>
      </w:pPr>
      <w:r w:rsidRPr="00042D3F">
        <w:rPr>
          <w:rFonts w:ascii="Calibri" w:hAnsi="Calibri" w:cs="Calibri"/>
          <w:b/>
          <w:color w:val="000000"/>
          <w:lang w:val="cs-CZ"/>
        </w:rPr>
        <w:t xml:space="preserve">Ad 1. </w:t>
      </w:r>
      <w:r w:rsidR="00007CD9" w:rsidRPr="00042D3F">
        <w:rPr>
          <w:rFonts w:ascii="Calibri" w:hAnsi="Calibri" w:cs="Calibri"/>
          <w:b/>
          <w:color w:val="000000"/>
          <w:lang w:val="cs-CZ"/>
        </w:rPr>
        <w:t>Cílově orientované rozpočtování limitují n</w:t>
      </w:r>
      <w:r w:rsidRPr="00042D3F">
        <w:rPr>
          <w:rFonts w:ascii="Calibri" w:hAnsi="Calibri" w:cs="Calibri"/>
          <w:b/>
          <w:color w:val="000000"/>
          <w:lang w:val="cs-CZ"/>
        </w:rPr>
        <w:t>edostatky programového financování</w:t>
      </w:r>
    </w:p>
    <w:p w14:paraId="6EDDCBB8" w14:textId="77777777" w:rsidR="00D64966" w:rsidRPr="00042D3F" w:rsidRDefault="00D64966" w:rsidP="00042D3F">
      <w:pPr>
        <w:rPr>
          <w:rFonts w:ascii="Calibri" w:hAnsi="Calibri" w:cs="Calibri"/>
          <w:b/>
          <w:color w:val="000000"/>
          <w:lang w:val="cs-CZ"/>
        </w:rPr>
      </w:pPr>
    </w:p>
    <w:p w14:paraId="4DDD3FFD" w14:textId="77777777" w:rsidR="00D64966" w:rsidRPr="00042D3F" w:rsidRDefault="00D64966" w:rsidP="00042D3F">
      <w:pPr>
        <w:rPr>
          <w:rFonts w:ascii="Calibri" w:hAnsi="Calibri" w:cs="Calibri"/>
          <w:b/>
          <w:color w:val="000000"/>
          <w:lang w:val="cs-CZ"/>
        </w:rPr>
      </w:pPr>
      <w:r w:rsidRPr="00042D3F">
        <w:rPr>
          <w:rFonts w:ascii="Calibri" w:hAnsi="Calibri" w:cs="Calibri"/>
          <w:b/>
          <w:color w:val="000000"/>
          <w:lang w:val="cs-CZ"/>
        </w:rPr>
        <w:t>Schvalování programů reprodukce majetku</w:t>
      </w:r>
    </w:p>
    <w:p w14:paraId="3BECA759" w14:textId="77777777" w:rsidR="00D64966" w:rsidRPr="00042D3F" w:rsidRDefault="00D64966" w:rsidP="00042D3F">
      <w:pPr>
        <w:rPr>
          <w:rFonts w:ascii="Calibri" w:hAnsi="Calibri" w:cs="Calibri"/>
          <w:color w:val="000000"/>
          <w:lang w:val="cs-CZ"/>
        </w:rPr>
      </w:pPr>
    </w:p>
    <w:p w14:paraId="00DCE464" w14:textId="77777777" w:rsidR="00D64966" w:rsidRDefault="00D64966" w:rsidP="00042D3F">
      <w:pPr>
        <w:jc w:val="both"/>
        <w:rPr>
          <w:rFonts w:ascii="Calibri" w:hAnsi="Calibri" w:cs="Calibri"/>
          <w:lang w:val="cs-CZ"/>
        </w:rPr>
      </w:pPr>
      <w:r w:rsidRPr="00042D3F">
        <w:rPr>
          <w:rFonts w:ascii="Calibri" w:hAnsi="Calibri" w:cs="Calibri"/>
          <w:lang w:val="cs-CZ" w:eastAsia="cs-CZ"/>
        </w:rPr>
        <w:t xml:space="preserve">MF nedoložilo u dokumentace programů 112 010 – </w:t>
      </w:r>
      <w:r w:rsidRPr="00042D3F">
        <w:rPr>
          <w:rFonts w:ascii="Calibri" w:hAnsi="Calibri" w:cs="Calibri"/>
          <w:i/>
          <w:lang w:val="cs-CZ" w:eastAsia="cs-CZ"/>
        </w:rPr>
        <w:t xml:space="preserve">Rozvoj a obnova materiálně technické základny řízení Ministerstva financí </w:t>
      </w:r>
      <w:r w:rsidRPr="00042D3F">
        <w:rPr>
          <w:rFonts w:ascii="Calibri" w:hAnsi="Calibri" w:cs="Calibri"/>
          <w:lang w:val="cs-CZ" w:eastAsia="cs-CZ"/>
        </w:rPr>
        <w:t xml:space="preserve">a 112 090 – </w:t>
      </w:r>
      <w:r w:rsidRPr="00042D3F">
        <w:rPr>
          <w:rFonts w:ascii="Calibri" w:hAnsi="Calibri" w:cs="Calibri"/>
          <w:i/>
          <w:lang w:val="cs-CZ" w:eastAsia="cs-CZ"/>
        </w:rPr>
        <w:t>Výstavba, obnova a provozování Státní pokladny v letech 2007–2014</w:t>
      </w:r>
      <w:r w:rsidRPr="00042D3F">
        <w:rPr>
          <w:rFonts w:ascii="Calibri" w:hAnsi="Calibri" w:cs="Calibri"/>
          <w:lang w:val="cs-CZ" w:eastAsia="cs-CZ"/>
        </w:rPr>
        <w:t xml:space="preserve"> žádné </w:t>
      </w:r>
      <w:r w:rsidRPr="00042D3F">
        <w:rPr>
          <w:rFonts w:ascii="Calibri" w:hAnsi="Calibri" w:cs="Calibri"/>
          <w:lang w:val="cs-CZ"/>
        </w:rPr>
        <w:t>dokumenty k posouzení specifikace věcných cílů, jejich zdůvodnění a posouzení bilance potřeb</w:t>
      </w:r>
      <w:r w:rsidRPr="00042D3F">
        <w:rPr>
          <w:rStyle w:val="Znakapoznpodarou"/>
          <w:rFonts w:ascii="Calibri" w:hAnsi="Calibri" w:cs="Calibri"/>
          <w:lang w:val="cs-CZ"/>
        </w:rPr>
        <w:footnoteReference w:id="14"/>
      </w:r>
      <w:r w:rsidRPr="00042D3F">
        <w:rPr>
          <w:rFonts w:ascii="Calibri" w:hAnsi="Calibri" w:cs="Calibri"/>
          <w:lang w:val="cs-CZ"/>
        </w:rPr>
        <w:t xml:space="preserve"> tak, jak stanovil metodický pokyn, a tudíž ani posouzení účasti SR na financování těchto dvou programů podle vyhlášky</w:t>
      </w:r>
      <w:r w:rsidRPr="00042D3F">
        <w:rPr>
          <w:rStyle w:val="Znakapoznpodarou"/>
          <w:rFonts w:ascii="Calibri" w:hAnsi="Calibri" w:cs="Calibri"/>
          <w:lang w:val="cs-CZ"/>
        </w:rPr>
        <w:footnoteReference w:id="15"/>
      </w:r>
      <w:r w:rsidRPr="00042D3F">
        <w:rPr>
          <w:rFonts w:ascii="Calibri" w:hAnsi="Calibri" w:cs="Calibri"/>
          <w:lang w:val="cs-CZ"/>
        </w:rPr>
        <w:t>. MF i přes tvrzení, že posuzování specifikace věcných cílů programů a jejich zdůvodnění a bilance potřeb a zdrojů financování programů a jejich podprogramů dokumentuje, příslušné doklady nedoložilo.</w:t>
      </w:r>
    </w:p>
    <w:p w14:paraId="353288C0" w14:textId="77777777" w:rsidR="00042D3F" w:rsidRPr="00042D3F" w:rsidRDefault="00042D3F" w:rsidP="00042D3F">
      <w:pPr>
        <w:jc w:val="both"/>
        <w:rPr>
          <w:rFonts w:ascii="Calibri" w:hAnsi="Calibri" w:cs="Calibri"/>
          <w:lang w:val="cs-CZ"/>
        </w:rPr>
      </w:pPr>
    </w:p>
    <w:p w14:paraId="6EB4FEF9" w14:textId="77777777" w:rsidR="00D64966" w:rsidRDefault="00D64966" w:rsidP="00042D3F">
      <w:pPr>
        <w:jc w:val="both"/>
        <w:rPr>
          <w:rFonts w:ascii="Calibri" w:hAnsi="Calibri" w:cs="Calibri"/>
          <w:lang w:val="cs-CZ"/>
        </w:rPr>
      </w:pPr>
      <w:r w:rsidRPr="00042D3F">
        <w:rPr>
          <w:rFonts w:ascii="Calibri" w:hAnsi="Calibri" w:cs="Calibri"/>
          <w:lang w:val="cs-CZ"/>
        </w:rPr>
        <w:lastRenderedPageBreak/>
        <w:t>Dokumentace obou programů vymezila, že správce programu má povinnost sledovat hospodárnost, efektivnost a účelnost vynakládaných prostředků SR v jednotlivých podprogramech, a tím i</w:t>
      </w:r>
      <w:r w:rsidR="00D45167">
        <w:rPr>
          <w:rFonts w:ascii="Calibri" w:hAnsi="Calibri" w:cs="Calibri"/>
          <w:lang w:val="cs-CZ"/>
        </w:rPr>
        <w:t> v</w:t>
      </w:r>
      <w:r w:rsidRPr="00042D3F">
        <w:rPr>
          <w:rFonts w:ascii="Calibri" w:hAnsi="Calibri" w:cs="Calibri"/>
          <w:lang w:val="cs-CZ"/>
        </w:rPr>
        <w:t xml:space="preserve"> programech jako celku, a že výsledky uvede v ročních zprávách. Tyto roční zprávy byly vypracovány jako součást každoročního procesu vypracování a schvalování státního závěrečného účtu kapitoly MF. Z jednotlivých závěrečných účtů kapitoly MF však nelze usuzovat, zda docházelo k průběžnému vyhodnocování hospodárnosti, efektivnosti a účelnosti vynakládaných prostředků SR u dvou kontrolovaných programů.</w:t>
      </w:r>
    </w:p>
    <w:p w14:paraId="30A677E7" w14:textId="77777777" w:rsidR="00042D3F" w:rsidRPr="00042D3F" w:rsidRDefault="00042D3F" w:rsidP="00042D3F">
      <w:pPr>
        <w:jc w:val="both"/>
        <w:rPr>
          <w:rFonts w:ascii="Calibri" w:hAnsi="Calibri" w:cs="Calibri"/>
          <w:lang w:val="cs-CZ"/>
        </w:rPr>
      </w:pPr>
    </w:p>
    <w:p w14:paraId="7D52A843" w14:textId="77777777" w:rsidR="00D64966" w:rsidRDefault="00D64966" w:rsidP="00042D3F">
      <w:pPr>
        <w:jc w:val="both"/>
        <w:rPr>
          <w:rFonts w:ascii="Calibri" w:hAnsi="Calibri" w:cs="Calibri"/>
          <w:lang w:val="cs-CZ" w:eastAsia="cs-CZ"/>
        </w:rPr>
      </w:pPr>
      <w:r w:rsidRPr="00042D3F">
        <w:rPr>
          <w:rFonts w:ascii="Calibri" w:hAnsi="Calibri" w:cs="Calibri"/>
          <w:lang w:val="cs-CZ" w:eastAsia="cs-CZ"/>
        </w:rPr>
        <w:t xml:space="preserve">MF si prodloužilo o tři roky program 112 010 – </w:t>
      </w:r>
      <w:r w:rsidRPr="00042D3F">
        <w:rPr>
          <w:rFonts w:ascii="Calibri" w:hAnsi="Calibri" w:cs="Calibri"/>
          <w:i/>
          <w:lang w:val="cs-CZ" w:eastAsia="cs-CZ"/>
        </w:rPr>
        <w:t xml:space="preserve">Rozvoj a obnova materiálně technické základny řízení Ministerstva financí </w:t>
      </w:r>
      <w:r w:rsidRPr="00042D3F">
        <w:rPr>
          <w:rFonts w:ascii="Calibri" w:hAnsi="Calibri" w:cs="Calibri"/>
          <w:lang w:val="cs-CZ" w:eastAsia="cs-CZ"/>
        </w:rPr>
        <w:t>z důvodu nutnosti dokončení realizace akce č. </w:t>
      </w:r>
      <w:r w:rsidRPr="00042D3F">
        <w:rPr>
          <w:rFonts w:ascii="Calibri" w:hAnsi="Calibri" w:cs="Calibri"/>
          <w:lang w:val="cs-CZ"/>
        </w:rPr>
        <w:t xml:space="preserve">112V011002046 – </w:t>
      </w:r>
      <w:r w:rsidRPr="009C4A68">
        <w:rPr>
          <w:rFonts w:ascii="Calibri" w:hAnsi="Calibri" w:cs="Calibri"/>
          <w:i/>
          <w:lang w:val="cs-CZ"/>
        </w:rPr>
        <w:t>Protikorupční opatření EHP – Norsko</w:t>
      </w:r>
      <w:r w:rsidRPr="00042D3F">
        <w:rPr>
          <w:rFonts w:ascii="Calibri" w:hAnsi="Calibri" w:cs="Calibri"/>
          <w:lang w:val="cs-CZ"/>
        </w:rPr>
        <w:t xml:space="preserve">, kde z finančních zdrojů EHP/Norsko zbývalo dočerpat necelých 14 mil. Kč. Finanční a věcné parametry programu 112 010 (bilance a cíle) zůstaly zachovány dle předchozí schválené dokumentace. Program 112 090 </w:t>
      </w:r>
      <w:r w:rsidRPr="00042D3F">
        <w:rPr>
          <w:rFonts w:ascii="Calibri" w:hAnsi="Calibri" w:cs="Calibri"/>
          <w:lang w:val="cs-CZ" w:eastAsia="cs-CZ"/>
        </w:rPr>
        <w:t xml:space="preserve">– </w:t>
      </w:r>
      <w:r w:rsidRPr="00042D3F">
        <w:rPr>
          <w:rFonts w:ascii="Calibri" w:hAnsi="Calibri" w:cs="Calibri"/>
          <w:i/>
          <w:lang w:val="cs-CZ" w:eastAsia="cs-CZ"/>
        </w:rPr>
        <w:t>Výstavba, obnova a provozování Státní pokladny v letech 2007–2014</w:t>
      </w:r>
      <w:r w:rsidRPr="00042D3F">
        <w:rPr>
          <w:rFonts w:ascii="Calibri" w:hAnsi="Calibri" w:cs="Calibri"/>
          <w:lang w:val="cs-CZ" w:eastAsia="cs-CZ"/>
        </w:rPr>
        <w:t xml:space="preserve"> si </w:t>
      </w:r>
      <w:r w:rsidR="0060508C">
        <w:rPr>
          <w:rFonts w:ascii="Calibri" w:hAnsi="Calibri" w:cs="Calibri"/>
          <w:lang w:val="cs-CZ" w:eastAsia="cs-CZ"/>
        </w:rPr>
        <w:t xml:space="preserve">MF </w:t>
      </w:r>
      <w:r w:rsidRPr="00042D3F">
        <w:rPr>
          <w:rFonts w:ascii="Calibri" w:hAnsi="Calibri" w:cs="Calibri"/>
          <w:lang w:val="cs-CZ" w:eastAsia="cs-CZ"/>
        </w:rPr>
        <w:t xml:space="preserve">prodloužilo o čtyři roky z důvodu zavedení nových akcí do podprogramu 112 091 – </w:t>
      </w:r>
      <w:r w:rsidRPr="00042D3F">
        <w:rPr>
          <w:rFonts w:ascii="Calibri" w:hAnsi="Calibri" w:cs="Calibri"/>
          <w:i/>
          <w:lang w:val="cs-CZ" w:eastAsia="cs-CZ"/>
        </w:rPr>
        <w:t>Integrovaný systém Státní pokladny (ISSP)</w:t>
      </w:r>
      <w:r w:rsidRPr="00042D3F">
        <w:rPr>
          <w:rFonts w:ascii="Calibri" w:hAnsi="Calibri" w:cs="Calibri"/>
          <w:lang w:val="cs-CZ" w:eastAsia="cs-CZ"/>
        </w:rPr>
        <w:t>, kterým se rozšířily i jeho cíle. MF samo sobě prodloužilo dobu realizace</w:t>
      </w:r>
      <w:r w:rsidR="00FF7220" w:rsidRPr="00042D3F">
        <w:rPr>
          <w:rFonts w:ascii="Calibri" w:hAnsi="Calibri" w:cs="Calibri"/>
          <w:lang w:val="cs-CZ" w:eastAsia="cs-CZ"/>
        </w:rPr>
        <w:t xml:space="preserve"> programu 112 090 po </w:t>
      </w:r>
      <w:r w:rsidRPr="00042D3F">
        <w:rPr>
          <w:rFonts w:ascii="Calibri" w:hAnsi="Calibri" w:cs="Calibri"/>
          <w:lang w:val="cs-CZ" w:eastAsia="cs-CZ"/>
        </w:rPr>
        <w:t>termínu, kdy již měla být její realizace podle platné dokumentace ukončena a vypracováno závěrečné vyhodnocení programu.</w:t>
      </w:r>
    </w:p>
    <w:p w14:paraId="670E2041" w14:textId="77777777" w:rsidR="00042D3F" w:rsidRPr="00042D3F" w:rsidRDefault="00042D3F" w:rsidP="00042D3F">
      <w:pPr>
        <w:jc w:val="both"/>
        <w:rPr>
          <w:rFonts w:ascii="Calibri" w:hAnsi="Calibri" w:cs="Calibri"/>
          <w:lang w:val="cs-CZ" w:eastAsia="cs-CZ"/>
        </w:rPr>
      </w:pPr>
    </w:p>
    <w:p w14:paraId="23F838A7" w14:textId="77777777" w:rsidR="00D64966" w:rsidRPr="00042D3F" w:rsidRDefault="00D64966" w:rsidP="00042D3F">
      <w:pPr>
        <w:jc w:val="both"/>
        <w:rPr>
          <w:rFonts w:ascii="Calibri" w:hAnsi="Calibri" w:cs="Calibri"/>
          <w:lang w:val="cs-CZ" w:eastAsia="cs-CZ"/>
        </w:rPr>
      </w:pPr>
      <w:r w:rsidRPr="00042D3F">
        <w:rPr>
          <w:rFonts w:ascii="Calibri" w:hAnsi="Calibri" w:cs="Calibri"/>
          <w:lang w:val="cs-CZ" w:eastAsia="cs-CZ"/>
        </w:rPr>
        <w:t>NKÚ pravidelně upozorňuje na prodlužování programů např. v KA č. 15/16</w:t>
      </w:r>
      <w:r w:rsidRPr="00042D3F">
        <w:rPr>
          <w:rStyle w:val="Znakapoznpodarou"/>
          <w:rFonts w:ascii="Calibri" w:hAnsi="Calibri" w:cs="Calibri"/>
          <w:lang w:val="cs-CZ" w:eastAsia="cs-CZ"/>
        </w:rPr>
        <w:footnoteReference w:id="16"/>
      </w:r>
      <w:r w:rsidRPr="00042D3F">
        <w:rPr>
          <w:rFonts w:ascii="Calibri" w:hAnsi="Calibri" w:cs="Calibri"/>
          <w:lang w:val="cs-CZ" w:eastAsia="cs-CZ"/>
        </w:rPr>
        <w:t>, kde Ministerstvo spravedlnosti opakovaně prodlužovalo dobu realizace programů z důvodu zařazení projektů spolufinancovaných z rozpočtu EU; v KA č. 14/23</w:t>
      </w:r>
      <w:r w:rsidRPr="00042D3F">
        <w:rPr>
          <w:rStyle w:val="Znakapoznpodarou"/>
          <w:rFonts w:ascii="Calibri" w:hAnsi="Calibri" w:cs="Calibri"/>
          <w:lang w:val="cs-CZ" w:eastAsia="cs-CZ"/>
        </w:rPr>
        <w:footnoteReference w:id="17"/>
      </w:r>
      <w:r w:rsidRPr="00042D3F">
        <w:rPr>
          <w:rFonts w:ascii="Calibri" w:hAnsi="Calibri" w:cs="Calibri"/>
          <w:lang w:val="cs-CZ" w:eastAsia="cs-CZ"/>
        </w:rPr>
        <w:t>, kde Ministerstvo vnitra posunulo realizaci až o čtyři roky z důvodu nedokončení některých akcí; v KA č. 12/03</w:t>
      </w:r>
      <w:r w:rsidRPr="00042D3F">
        <w:rPr>
          <w:rStyle w:val="Znakapoznpodarou"/>
          <w:rFonts w:ascii="Calibri" w:hAnsi="Calibri" w:cs="Calibri"/>
          <w:lang w:val="cs-CZ" w:eastAsia="cs-CZ"/>
        </w:rPr>
        <w:footnoteReference w:id="18"/>
      </w:r>
      <w:r w:rsidRPr="00042D3F">
        <w:rPr>
          <w:rFonts w:ascii="Calibri" w:hAnsi="Calibri" w:cs="Calibri"/>
          <w:lang w:val="cs-CZ" w:eastAsia="cs-CZ"/>
        </w:rPr>
        <w:t xml:space="preserve">, kde Ministerstvo zdravotnictví prodloužilo dobu realizace programu o devět let z důvodu zapojení nových podprogramů. Prodlužování programů snižuje dle názoru NKÚ možnost věrohodného vyhodnocování stanoveného cíle. </w:t>
      </w:r>
    </w:p>
    <w:p w14:paraId="04A22CBF" w14:textId="77777777" w:rsidR="00D64966" w:rsidRPr="00042D3F" w:rsidRDefault="00D64966" w:rsidP="00042D3F">
      <w:pPr>
        <w:jc w:val="both"/>
        <w:rPr>
          <w:rFonts w:ascii="Calibri" w:hAnsi="Calibri" w:cs="Calibri"/>
          <w:lang w:val="cs-CZ" w:eastAsia="cs-CZ"/>
        </w:rPr>
      </w:pPr>
    </w:p>
    <w:p w14:paraId="5C9B5933" w14:textId="77777777" w:rsidR="00D64966" w:rsidRPr="00042D3F" w:rsidRDefault="00D64966" w:rsidP="00042D3F">
      <w:pPr>
        <w:jc w:val="both"/>
        <w:rPr>
          <w:rFonts w:ascii="Calibri" w:hAnsi="Calibri" w:cs="Calibri"/>
          <w:b/>
          <w:color w:val="000000"/>
          <w:lang w:val="cs-CZ"/>
        </w:rPr>
      </w:pPr>
      <w:r w:rsidRPr="00042D3F">
        <w:rPr>
          <w:rFonts w:ascii="Calibri" w:hAnsi="Calibri" w:cs="Calibri"/>
          <w:b/>
          <w:color w:val="000000"/>
          <w:lang w:val="cs-CZ"/>
        </w:rPr>
        <w:t>Nastavení cílů, indikátorů a parametrů</w:t>
      </w:r>
    </w:p>
    <w:p w14:paraId="4EB9F41C" w14:textId="77777777" w:rsidR="00D64966" w:rsidRPr="00042D3F" w:rsidRDefault="00D64966" w:rsidP="00042D3F">
      <w:pPr>
        <w:jc w:val="both"/>
        <w:rPr>
          <w:rFonts w:ascii="Calibri" w:hAnsi="Calibri" w:cs="Calibri"/>
          <w:color w:val="000000"/>
          <w:lang w:val="cs-CZ"/>
        </w:rPr>
      </w:pPr>
    </w:p>
    <w:p w14:paraId="4ED6B64E" w14:textId="77777777" w:rsidR="00D64966" w:rsidRDefault="00D64966" w:rsidP="00042D3F">
      <w:pPr>
        <w:jc w:val="both"/>
        <w:rPr>
          <w:rFonts w:ascii="Calibri" w:hAnsi="Calibri" w:cs="Calibri"/>
          <w:color w:val="000000"/>
          <w:lang w:val="cs-CZ"/>
        </w:rPr>
      </w:pPr>
      <w:r w:rsidRPr="00042D3F">
        <w:rPr>
          <w:rFonts w:ascii="Calibri" w:hAnsi="Calibri" w:cs="Calibri"/>
          <w:color w:val="000000"/>
          <w:lang w:val="cs-CZ"/>
        </w:rPr>
        <w:t xml:space="preserve">V kontrolovaném období umožnily nedostatečně nastavené kontrolní mechanismy v příslušných IS realizovat jednotlivé akce, přestože neměly nastavené cíle, které jsou pro programové financování stěžejní. </w:t>
      </w:r>
    </w:p>
    <w:p w14:paraId="1E1CA9E7" w14:textId="77777777" w:rsidR="00042D3F" w:rsidRPr="00042D3F" w:rsidRDefault="00042D3F" w:rsidP="00042D3F">
      <w:pPr>
        <w:jc w:val="both"/>
        <w:rPr>
          <w:rFonts w:ascii="Calibri" w:hAnsi="Calibri" w:cs="Calibri"/>
          <w:lang w:val="cs-CZ"/>
        </w:rPr>
      </w:pPr>
    </w:p>
    <w:p w14:paraId="4CAEB50B" w14:textId="77777777" w:rsidR="00D64966" w:rsidRDefault="00D64966" w:rsidP="00042D3F">
      <w:pPr>
        <w:jc w:val="both"/>
        <w:rPr>
          <w:rFonts w:ascii="Calibri" w:hAnsi="Calibri" w:cs="Calibri"/>
          <w:color w:val="000000"/>
          <w:lang w:val="cs-CZ"/>
        </w:rPr>
      </w:pPr>
      <w:r w:rsidRPr="00042D3F">
        <w:rPr>
          <w:rFonts w:ascii="Calibri" w:hAnsi="Calibri" w:cs="Calibri"/>
          <w:lang w:val="cs-CZ"/>
        </w:rPr>
        <w:t>MF v pozici správce, účastníka, posuzovatele i tvůrce metodiky programů reprodukce majetku nepostupovalo v souladu s cílově orientovaným rozpočtováním, když u programů reprodukce majetku nestanovilo u</w:t>
      </w:r>
      <w:r w:rsidRPr="00042D3F">
        <w:rPr>
          <w:rFonts w:ascii="Calibri" w:hAnsi="Calibri" w:cs="Calibri"/>
          <w:color w:val="000000"/>
          <w:lang w:val="cs-CZ"/>
        </w:rPr>
        <w:t xml:space="preserve"> žádné z 24 kontrolovaných akcí programového financování cíle ani indikátory, na </w:t>
      </w:r>
      <w:r w:rsidR="005B1A16">
        <w:rPr>
          <w:rFonts w:ascii="Calibri" w:hAnsi="Calibri" w:cs="Calibri"/>
          <w:color w:val="000000"/>
          <w:lang w:val="cs-CZ"/>
        </w:rPr>
        <w:t xml:space="preserve">jejichž </w:t>
      </w:r>
      <w:r w:rsidRPr="00042D3F">
        <w:rPr>
          <w:rFonts w:ascii="Calibri" w:hAnsi="Calibri" w:cs="Calibri"/>
          <w:color w:val="000000"/>
          <w:lang w:val="cs-CZ"/>
        </w:rPr>
        <w:t>základě by bylo schopn</w:t>
      </w:r>
      <w:r w:rsidR="005B1A16">
        <w:rPr>
          <w:rFonts w:ascii="Calibri" w:hAnsi="Calibri" w:cs="Calibri"/>
          <w:color w:val="000000"/>
          <w:lang w:val="cs-CZ"/>
        </w:rPr>
        <w:t>o</w:t>
      </w:r>
      <w:r w:rsidRPr="00042D3F">
        <w:rPr>
          <w:rFonts w:ascii="Calibri" w:hAnsi="Calibri" w:cs="Calibri"/>
          <w:color w:val="000000"/>
          <w:lang w:val="cs-CZ"/>
        </w:rPr>
        <w:t xml:space="preserve"> vyhodnotit, do jaké míry byly stanovené cíle splněny a jak přispěly k naplňování celkových cílů programu. MF u dvou výdajových akcí programového financování vztahujících se k pořizování ICT stanovilo jako parametr dostupnost informačního systému, který ovšem z důvodu nedostatečného sledování nebylo schopn</w:t>
      </w:r>
      <w:r w:rsidR="005B1A16">
        <w:rPr>
          <w:rFonts w:ascii="Calibri" w:hAnsi="Calibri" w:cs="Calibri"/>
          <w:color w:val="000000"/>
          <w:lang w:val="cs-CZ"/>
        </w:rPr>
        <w:t>o</w:t>
      </w:r>
      <w:r w:rsidRPr="00042D3F">
        <w:rPr>
          <w:rFonts w:ascii="Calibri" w:hAnsi="Calibri" w:cs="Calibri"/>
          <w:color w:val="000000"/>
          <w:lang w:val="cs-CZ"/>
        </w:rPr>
        <w:t xml:space="preserve"> vyhodnotit. </w:t>
      </w:r>
    </w:p>
    <w:p w14:paraId="656454B0" w14:textId="77777777" w:rsidR="00042D3F" w:rsidRPr="00042D3F" w:rsidRDefault="00042D3F" w:rsidP="00042D3F">
      <w:pPr>
        <w:jc w:val="both"/>
        <w:rPr>
          <w:rFonts w:ascii="Calibri" w:hAnsi="Calibri" w:cs="Calibri"/>
          <w:color w:val="000000"/>
          <w:lang w:val="cs-CZ"/>
        </w:rPr>
      </w:pPr>
    </w:p>
    <w:p w14:paraId="5511E124" w14:textId="77777777" w:rsidR="00D64966" w:rsidRDefault="00D64966" w:rsidP="00042D3F">
      <w:pPr>
        <w:jc w:val="both"/>
        <w:rPr>
          <w:rFonts w:ascii="Calibri" w:hAnsi="Calibri" w:cs="Calibri"/>
          <w:color w:val="000000"/>
          <w:lang w:val="cs-CZ"/>
        </w:rPr>
      </w:pPr>
      <w:r w:rsidRPr="00042D3F">
        <w:rPr>
          <w:rFonts w:ascii="Calibri" w:hAnsi="Calibri" w:cs="Calibri"/>
          <w:color w:val="000000"/>
          <w:lang w:val="cs-CZ"/>
        </w:rPr>
        <w:t>MF nepostupovalo v souladu s vyhlášk</w:t>
      </w:r>
      <w:r w:rsidR="00BD4873" w:rsidRPr="00042D3F">
        <w:rPr>
          <w:rFonts w:ascii="Calibri" w:hAnsi="Calibri" w:cs="Calibri"/>
          <w:color w:val="000000"/>
          <w:lang w:val="cs-CZ"/>
        </w:rPr>
        <w:t>ou</w:t>
      </w:r>
      <w:r w:rsidRPr="00042D3F">
        <w:rPr>
          <w:rFonts w:ascii="Calibri" w:hAnsi="Calibri" w:cs="Calibri"/>
          <w:color w:val="000000"/>
          <w:lang w:val="cs-CZ"/>
        </w:rPr>
        <w:t xml:space="preserve"> </w:t>
      </w:r>
      <w:r w:rsidR="00BD4873" w:rsidRPr="00042D3F">
        <w:rPr>
          <w:rFonts w:ascii="Calibri" w:hAnsi="Calibri" w:cs="Calibri"/>
          <w:color w:val="000000"/>
          <w:lang w:val="cs-CZ"/>
        </w:rPr>
        <w:t>o účasti státního rozpočtu na financování programů reprodukce majetku</w:t>
      </w:r>
      <w:r w:rsidR="00BD4873" w:rsidRPr="00042D3F">
        <w:rPr>
          <w:rStyle w:val="Znakapoznpodarou"/>
          <w:rFonts w:ascii="Calibri" w:hAnsi="Calibri" w:cs="Calibri"/>
          <w:color w:val="000000"/>
          <w:lang w:val="cs-CZ"/>
        </w:rPr>
        <w:footnoteReference w:id="19"/>
      </w:r>
      <w:r w:rsidRPr="00042D3F">
        <w:rPr>
          <w:rFonts w:ascii="Calibri" w:hAnsi="Calibri" w:cs="Calibri"/>
          <w:color w:val="000000"/>
          <w:lang w:val="cs-CZ"/>
        </w:rPr>
        <w:t xml:space="preserve"> a s </w:t>
      </w:r>
      <w:r w:rsidR="00BD4873" w:rsidRPr="00042D3F">
        <w:rPr>
          <w:rFonts w:ascii="Calibri" w:hAnsi="Calibri" w:cs="Calibri"/>
          <w:color w:val="000000"/>
          <w:lang w:val="cs-CZ"/>
        </w:rPr>
        <w:t>p</w:t>
      </w:r>
      <w:r w:rsidRPr="00042D3F">
        <w:rPr>
          <w:rFonts w:ascii="Calibri" w:hAnsi="Calibri" w:cs="Calibri"/>
          <w:color w:val="000000"/>
          <w:lang w:val="cs-CZ"/>
        </w:rPr>
        <w:t>okyn</w:t>
      </w:r>
      <w:r w:rsidR="00BD4873" w:rsidRPr="00042D3F">
        <w:rPr>
          <w:rFonts w:ascii="Calibri" w:hAnsi="Calibri" w:cs="Calibri"/>
          <w:color w:val="000000"/>
          <w:lang w:val="cs-CZ"/>
        </w:rPr>
        <w:t>em</w:t>
      </w:r>
      <w:r w:rsidRPr="00042D3F">
        <w:rPr>
          <w:rFonts w:ascii="Calibri" w:hAnsi="Calibri" w:cs="Calibri"/>
          <w:color w:val="000000"/>
          <w:lang w:val="cs-CZ"/>
        </w:rPr>
        <w:t xml:space="preserve"> MF </w:t>
      </w:r>
      <w:r w:rsidR="00414BC3">
        <w:rPr>
          <w:rFonts w:ascii="Calibri" w:hAnsi="Calibri" w:cs="Calibri"/>
          <w:color w:val="000000"/>
          <w:lang w:val="cs-CZ"/>
        </w:rPr>
        <w:t>č. </w:t>
      </w:r>
      <w:r w:rsidRPr="00042D3F">
        <w:rPr>
          <w:rFonts w:ascii="Calibri" w:hAnsi="Calibri" w:cs="Calibri"/>
          <w:color w:val="000000"/>
          <w:lang w:val="cs-CZ"/>
        </w:rPr>
        <w:t>R</w:t>
      </w:r>
      <w:r w:rsidR="00414BC3">
        <w:rPr>
          <w:rFonts w:ascii="Calibri" w:hAnsi="Calibri" w:cs="Calibri"/>
          <w:color w:val="000000"/>
          <w:lang w:val="cs-CZ"/>
        </w:rPr>
        <w:t> </w:t>
      </w:r>
      <w:r w:rsidRPr="00042D3F">
        <w:rPr>
          <w:rFonts w:ascii="Calibri" w:hAnsi="Calibri" w:cs="Calibri"/>
          <w:color w:val="000000"/>
          <w:lang w:val="cs-CZ"/>
        </w:rPr>
        <w:t>2-07</w:t>
      </w:r>
      <w:r w:rsidRPr="00042D3F">
        <w:rPr>
          <w:rStyle w:val="Znakapoznpodarou"/>
          <w:rFonts w:ascii="Calibri" w:hAnsi="Calibri" w:cs="Calibri"/>
          <w:color w:val="000000"/>
          <w:lang w:val="cs-CZ"/>
        </w:rPr>
        <w:footnoteReference w:id="20"/>
      </w:r>
      <w:r w:rsidRPr="00042D3F">
        <w:rPr>
          <w:rFonts w:ascii="Calibri" w:hAnsi="Calibri" w:cs="Calibri"/>
          <w:color w:val="000000"/>
          <w:lang w:val="cs-CZ"/>
        </w:rPr>
        <w:t>, když jako indikátory pro akci č.</w:t>
      </w:r>
      <w:r w:rsidR="00594E26" w:rsidRPr="00042D3F">
        <w:rPr>
          <w:rFonts w:ascii="Calibri" w:hAnsi="Calibri" w:cs="Calibri"/>
          <w:color w:val="000000"/>
          <w:lang w:val="cs-CZ"/>
        </w:rPr>
        <w:t> </w:t>
      </w:r>
      <w:r w:rsidRPr="00042D3F">
        <w:rPr>
          <w:rFonts w:ascii="Calibri" w:hAnsi="Calibri" w:cs="Calibri"/>
          <w:color w:val="000000"/>
          <w:lang w:val="cs-CZ"/>
        </w:rPr>
        <w:t xml:space="preserve">112V091000008 – </w:t>
      </w:r>
      <w:r w:rsidRPr="009C4A68">
        <w:rPr>
          <w:rFonts w:ascii="Calibri" w:hAnsi="Calibri" w:cs="Calibri"/>
          <w:i/>
          <w:color w:val="000000"/>
          <w:lang w:val="cs-CZ"/>
        </w:rPr>
        <w:t>Projektový dozor – IS EDS/ISPROFIN a SMVS/ISPROFIN</w:t>
      </w:r>
      <w:r w:rsidRPr="00042D3F">
        <w:rPr>
          <w:rFonts w:ascii="Calibri" w:hAnsi="Calibri" w:cs="Calibri"/>
          <w:color w:val="000000"/>
          <w:lang w:val="cs-CZ"/>
        </w:rPr>
        <w:t xml:space="preserve"> místo kvalitativních ukazatelů stanovilo ukazatele kvantitativní, </w:t>
      </w:r>
      <w:r w:rsidR="003D25EB" w:rsidRPr="00042D3F">
        <w:rPr>
          <w:rFonts w:ascii="Calibri" w:hAnsi="Calibri" w:cs="Calibri"/>
          <w:color w:val="000000"/>
          <w:lang w:val="cs-CZ"/>
        </w:rPr>
        <w:t>které navíc věcně nesouvisely s </w:t>
      </w:r>
      <w:r w:rsidRPr="00042D3F">
        <w:rPr>
          <w:rFonts w:ascii="Calibri" w:hAnsi="Calibri" w:cs="Calibri"/>
          <w:color w:val="000000"/>
          <w:lang w:val="cs-CZ"/>
        </w:rPr>
        <w:t>předmětem akce. MF stanovené indikátory definovalo jako počty uživatelů, průměrné provozní náklady a počty akcí, které převzalo z podprogramu 112 091, ačkoliv předmět uzavřených smluv na projektové dozory obsahoval např.</w:t>
      </w:r>
      <w:r w:rsidR="003D25EB" w:rsidRPr="00042D3F">
        <w:rPr>
          <w:rFonts w:ascii="Calibri" w:hAnsi="Calibri" w:cs="Calibri"/>
          <w:color w:val="000000"/>
          <w:lang w:val="cs-CZ"/>
        </w:rPr>
        <w:t xml:space="preserve"> nezávislé testování aplikace a </w:t>
      </w:r>
      <w:r w:rsidRPr="00042D3F">
        <w:rPr>
          <w:rFonts w:ascii="Calibri" w:hAnsi="Calibri" w:cs="Calibri"/>
          <w:color w:val="000000"/>
          <w:lang w:val="cs-CZ"/>
        </w:rPr>
        <w:t>metodickou podporu.</w:t>
      </w:r>
    </w:p>
    <w:p w14:paraId="29F70FED" w14:textId="77777777" w:rsidR="00042D3F" w:rsidRPr="00042D3F" w:rsidRDefault="00042D3F" w:rsidP="00042D3F">
      <w:pPr>
        <w:jc w:val="both"/>
        <w:rPr>
          <w:rFonts w:ascii="Calibri" w:hAnsi="Calibri" w:cs="Calibri"/>
          <w:color w:val="000000"/>
          <w:lang w:val="cs-CZ"/>
        </w:rPr>
      </w:pPr>
    </w:p>
    <w:p w14:paraId="062AB584" w14:textId="77777777" w:rsidR="00D64966" w:rsidRDefault="00D64966" w:rsidP="00042D3F">
      <w:pPr>
        <w:jc w:val="both"/>
        <w:rPr>
          <w:rFonts w:ascii="Calibri" w:hAnsi="Calibri" w:cs="Calibri"/>
          <w:color w:val="000000"/>
          <w:lang w:val="cs-CZ"/>
        </w:rPr>
      </w:pPr>
      <w:r w:rsidRPr="00042D3F">
        <w:rPr>
          <w:rFonts w:ascii="Calibri" w:hAnsi="Calibri" w:cs="Calibri"/>
          <w:color w:val="000000"/>
          <w:lang w:val="cs-CZ"/>
        </w:rPr>
        <w:t>Na nedostatky ohledně kvality stanovování parametrů upozornil</w:t>
      </w:r>
      <w:r w:rsidR="00414BC3" w:rsidRPr="00414BC3">
        <w:rPr>
          <w:rFonts w:ascii="Calibri" w:hAnsi="Calibri" w:cs="Calibri"/>
          <w:color w:val="000000"/>
          <w:lang w:val="cs-CZ"/>
        </w:rPr>
        <w:t xml:space="preserve"> </w:t>
      </w:r>
      <w:r w:rsidR="00414BC3" w:rsidRPr="00042D3F">
        <w:rPr>
          <w:rFonts w:ascii="Calibri" w:hAnsi="Calibri" w:cs="Calibri"/>
          <w:color w:val="000000"/>
          <w:lang w:val="cs-CZ"/>
        </w:rPr>
        <w:t>NKÚ</w:t>
      </w:r>
      <w:r w:rsidRPr="00042D3F">
        <w:rPr>
          <w:rFonts w:ascii="Calibri" w:hAnsi="Calibri" w:cs="Calibri"/>
          <w:color w:val="000000"/>
          <w:lang w:val="cs-CZ"/>
        </w:rPr>
        <w:t xml:space="preserve"> např. v KA č.</w:t>
      </w:r>
      <w:r w:rsidR="00414BC3">
        <w:rPr>
          <w:rFonts w:ascii="Calibri" w:hAnsi="Calibri" w:cs="Calibri"/>
          <w:color w:val="000000"/>
          <w:lang w:val="cs-CZ"/>
        </w:rPr>
        <w:t> </w:t>
      </w:r>
      <w:r w:rsidRPr="00042D3F">
        <w:rPr>
          <w:rFonts w:ascii="Calibri" w:hAnsi="Calibri" w:cs="Calibri"/>
          <w:color w:val="000000"/>
          <w:lang w:val="cs-CZ"/>
        </w:rPr>
        <w:t>15/16</w:t>
      </w:r>
      <w:r w:rsidR="00C0348F" w:rsidRPr="00042D3F">
        <w:rPr>
          <w:rFonts w:ascii="Calibri" w:hAnsi="Calibri" w:cs="Calibri"/>
          <w:color w:val="000000"/>
          <w:vertAlign w:val="superscript"/>
          <w:lang w:val="cs-CZ"/>
        </w:rPr>
        <w:t>16</w:t>
      </w:r>
      <w:r w:rsidRPr="00042D3F">
        <w:rPr>
          <w:rFonts w:ascii="Calibri" w:hAnsi="Calibri" w:cs="Calibri"/>
          <w:color w:val="000000"/>
          <w:lang w:val="cs-CZ"/>
        </w:rPr>
        <w:t xml:space="preserve">, </w:t>
      </w:r>
      <w:r w:rsidR="00414BC3">
        <w:rPr>
          <w:rFonts w:ascii="Calibri" w:hAnsi="Calibri" w:cs="Calibri"/>
          <w:color w:val="000000"/>
          <w:lang w:val="cs-CZ"/>
        </w:rPr>
        <w:t xml:space="preserve">při které zjistil, že </w:t>
      </w:r>
      <w:r w:rsidRPr="00042D3F">
        <w:rPr>
          <w:rFonts w:ascii="Calibri" w:hAnsi="Calibri" w:cs="Calibri"/>
          <w:color w:val="000000"/>
          <w:lang w:val="cs-CZ"/>
        </w:rPr>
        <w:t>Ministerstvo spravedlnosti několikrát měnilo rozsah i obsah věcných parametrů; v KA č. 15/01</w:t>
      </w:r>
      <w:r w:rsidRPr="00042D3F">
        <w:rPr>
          <w:rStyle w:val="Znakapoznpodarou"/>
          <w:rFonts w:ascii="Calibri" w:hAnsi="Calibri" w:cs="Calibri"/>
          <w:color w:val="000000"/>
          <w:lang w:val="cs-CZ"/>
        </w:rPr>
        <w:footnoteReference w:id="21"/>
      </w:r>
      <w:r w:rsidRPr="00042D3F">
        <w:rPr>
          <w:rFonts w:ascii="Calibri" w:hAnsi="Calibri" w:cs="Calibri"/>
          <w:color w:val="000000"/>
          <w:lang w:val="cs-CZ"/>
        </w:rPr>
        <w:t xml:space="preserve">, </w:t>
      </w:r>
      <w:r w:rsidR="00414BC3">
        <w:rPr>
          <w:rFonts w:ascii="Calibri" w:hAnsi="Calibri" w:cs="Calibri"/>
          <w:color w:val="000000"/>
          <w:lang w:val="cs-CZ"/>
        </w:rPr>
        <w:t>při které zjistil, že</w:t>
      </w:r>
      <w:r w:rsidRPr="00042D3F">
        <w:rPr>
          <w:rFonts w:ascii="Calibri" w:hAnsi="Calibri" w:cs="Calibri"/>
          <w:color w:val="000000"/>
          <w:lang w:val="cs-CZ"/>
        </w:rPr>
        <w:t xml:space="preserve"> Ministerstvo zemědělství stanovilo parametry, které nebyly objektivními ukazateli pro hodnocení míry naplňování cílů programů; v KA č.</w:t>
      </w:r>
      <w:r w:rsidR="00714DA7">
        <w:rPr>
          <w:rFonts w:ascii="Calibri" w:hAnsi="Calibri" w:cs="Calibri"/>
          <w:color w:val="000000"/>
          <w:lang w:val="cs-CZ"/>
        </w:rPr>
        <w:t> </w:t>
      </w:r>
      <w:r w:rsidRPr="00042D3F">
        <w:rPr>
          <w:rFonts w:ascii="Calibri" w:hAnsi="Calibri" w:cs="Calibri"/>
          <w:color w:val="000000"/>
          <w:lang w:val="cs-CZ"/>
        </w:rPr>
        <w:t>14/23</w:t>
      </w:r>
      <w:r w:rsidR="00AA5DCF" w:rsidRPr="00042D3F">
        <w:rPr>
          <w:rFonts w:ascii="Calibri" w:hAnsi="Calibri" w:cs="Calibri"/>
          <w:color w:val="000000"/>
          <w:vertAlign w:val="superscript"/>
          <w:lang w:val="cs-CZ"/>
        </w:rPr>
        <w:t>17</w:t>
      </w:r>
      <w:r w:rsidRPr="00042D3F">
        <w:rPr>
          <w:rFonts w:ascii="Calibri" w:hAnsi="Calibri" w:cs="Calibri"/>
          <w:color w:val="000000"/>
          <w:lang w:val="cs-CZ"/>
        </w:rPr>
        <w:t xml:space="preserve">, </w:t>
      </w:r>
      <w:r w:rsidR="00414BC3">
        <w:rPr>
          <w:rFonts w:ascii="Calibri" w:hAnsi="Calibri" w:cs="Calibri"/>
          <w:color w:val="000000"/>
          <w:lang w:val="cs-CZ"/>
        </w:rPr>
        <w:t>při které zjistil, že</w:t>
      </w:r>
      <w:r w:rsidRPr="00042D3F">
        <w:rPr>
          <w:rFonts w:ascii="Calibri" w:hAnsi="Calibri" w:cs="Calibri"/>
          <w:color w:val="000000"/>
          <w:lang w:val="cs-CZ"/>
        </w:rPr>
        <w:t xml:space="preserve"> Ministerstvo vnitra provedlo zásadní změny parametrů, které se však vůbec neprojevily na stanovených cílech, ačkoliv byly pro jejich dosažení zásadní.</w:t>
      </w:r>
    </w:p>
    <w:p w14:paraId="2F824832" w14:textId="77777777" w:rsidR="00042D3F" w:rsidRPr="00042D3F" w:rsidRDefault="00042D3F" w:rsidP="00042D3F">
      <w:pPr>
        <w:jc w:val="both"/>
        <w:rPr>
          <w:rFonts w:ascii="Calibri" w:hAnsi="Calibri" w:cs="Calibri"/>
          <w:color w:val="000000"/>
          <w:lang w:val="cs-CZ"/>
        </w:rPr>
      </w:pPr>
    </w:p>
    <w:p w14:paraId="34186554" w14:textId="77777777" w:rsidR="00D64966" w:rsidRDefault="00D64966" w:rsidP="00042D3F">
      <w:pPr>
        <w:jc w:val="both"/>
        <w:rPr>
          <w:rFonts w:ascii="Calibri" w:hAnsi="Calibri" w:cs="Calibri"/>
          <w:color w:val="000000"/>
          <w:lang w:val="cs-CZ"/>
        </w:rPr>
      </w:pPr>
      <w:r w:rsidRPr="00042D3F">
        <w:rPr>
          <w:rFonts w:ascii="Calibri" w:hAnsi="Calibri" w:cs="Calibri"/>
          <w:color w:val="000000"/>
          <w:lang w:val="cs-CZ"/>
        </w:rPr>
        <w:t>Na nedostatky ohledně kvality stanovování jednotlivých indikátorů NKÚ již upozornil např. v KA č. 14/05</w:t>
      </w:r>
      <w:r w:rsidRPr="00042D3F">
        <w:rPr>
          <w:rStyle w:val="Znakapoznpodarou"/>
          <w:rFonts w:ascii="Calibri" w:hAnsi="Calibri" w:cs="Calibri"/>
          <w:color w:val="000000"/>
          <w:lang w:val="cs-CZ"/>
        </w:rPr>
        <w:footnoteReference w:id="22"/>
      </w:r>
      <w:r w:rsidRPr="00042D3F">
        <w:rPr>
          <w:rFonts w:ascii="Calibri" w:hAnsi="Calibri" w:cs="Calibri"/>
          <w:color w:val="000000"/>
          <w:lang w:val="cs-CZ"/>
        </w:rPr>
        <w:t xml:space="preserve">, </w:t>
      </w:r>
      <w:r w:rsidR="00414BC3">
        <w:rPr>
          <w:rFonts w:ascii="Calibri" w:hAnsi="Calibri" w:cs="Calibri"/>
          <w:color w:val="000000"/>
          <w:lang w:val="cs-CZ"/>
        </w:rPr>
        <w:t>při které zjistil, že</w:t>
      </w:r>
      <w:r w:rsidRPr="00042D3F">
        <w:rPr>
          <w:rFonts w:ascii="Calibri" w:hAnsi="Calibri" w:cs="Calibri"/>
          <w:color w:val="000000"/>
          <w:lang w:val="cs-CZ"/>
        </w:rPr>
        <w:t xml:space="preserve"> Ministerstvo práce a sociálních věcí nestanovilo indikátory jako objektivní ukazatele pro hodnocení míry naplňování stanovených cílů; v KA č.</w:t>
      </w:r>
      <w:r w:rsidR="00414BC3">
        <w:rPr>
          <w:rFonts w:ascii="Calibri" w:hAnsi="Calibri" w:cs="Calibri"/>
          <w:color w:val="000000"/>
          <w:lang w:val="cs-CZ"/>
        </w:rPr>
        <w:t> </w:t>
      </w:r>
      <w:r w:rsidRPr="00042D3F">
        <w:rPr>
          <w:rFonts w:ascii="Calibri" w:hAnsi="Calibri" w:cs="Calibri"/>
          <w:color w:val="000000"/>
          <w:lang w:val="cs-CZ"/>
        </w:rPr>
        <w:t>12/27</w:t>
      </w:r>
      <w:r w:rsidRPr="00042D3F">
        <w:rPr>
          <w:rStyle w:val="Znakapoznpodarou"/>
          <w:rFonts w:ascii="Calibri" w:hAnsi="Calibri" w:cs="Calibri"/>
          <w:color w:val="000000"/>
          <w:lang w:val="cs-CZ"/>
        </w:rPr>
        <w:footnoteReference w:id="23"/>
      </w:r>
      <w:r w:rsidRPr="00042D3F">
        <w:rPr>
          <w:rFonts w:ascii="Calibri" w:hAnsi="Calibri" w:cs="Calibri"/>
          <w:color w:val="000000"/>
          <w:lang w:val="cs-CZ"/>
        </w:rPr>
        <w:t xml:space="preserve">, </w:t>
      </w:r>
      <w:r w:rsidR="00414BC3">
        <w:rPr>
          <w:rFonts w:ascii="Calibri" w:hAnsi="Calibri" w:cs="Calibri"/>
          <w:color w:val="000000"/>
          <w:lang w:val="cs-CZ"/>
        </w:rPr>
        <w:t>při které NKÚ zjistil, že</w:t>
      </w:r>
      <w:r w:rsidRPr="00042D3F">
        <w:rPr>
          <w:rFonts w:ascii="Calibri" w:hAnsi="Calibri" w:cs="Calibri"/>
          <w:color w:val="000000"/>
          <w:lang w:val="cs-CZ"/>
        </w:rPr>
        <w:t xml:space="preserve"> Ministerstvo zemědělství nenastavilo hodnoty indikátorů; v KA č. 12/03</w:t>
      </w:r>
      <w:r w:rsidR="00C0348F" w:rsidRPr="00042D3F">
        <w:rPr>
          <w:rFonts w:ascii="Calibri" w:hAnsi="Calibri" w:cs="Calibri"/>
          <w:color w:val="000000"/>
          <w:vertAlign w:val="superscript"/>
          <w:lang w:val="cs-CZ"/>
        </w:rPr>
        <w:t>18</w:t>
      </w:r>
      <w:r w:rsidRPr="00042D3F">
        <w:rPr>
          <w:rFonts w:ascii="Calibri" w:hAnsi="Calibri" w:cs="Calibri"/>
          <w:color w:val="000000"/>
          <w:lang w:val="cs-CZ"/>
        </w:rPr>
        <w:t xml:space="preserve">, </w:t>
      </w:r>
      <w:r w:rsidR="00414BC3">
        <w:rPr>
          <w:rFonts w:ascii="Calibri" w:hAnsi="Calibri" w:cs="Calibri"/>
          <w:color w:val="000000"/>
          <w:lang w:val="cs-CZ"/>
        </w:rPr>
        <w:t>při které NKÚ zjistil, že</w:t>
      </w:r>
      <w:r w:rsidRPr="00042D3F">
        <w:rPr>
          <w:rFonts w:ascii="Calibri" w:hAnsi="Calibri" w:cs="Calibri"/>
          <w:color w:val="000000"/>
          <w:lang w:val="cs-CZ"/>
        </w:rPr>
        <w:t xml:space="preserve"> Ministerstvo zdravotnictví nevyhodnocovalo naplňování indikátorů podpory investičních akcí.</w:t>
      </w:r>
    </w:p>
    <w:p w14:paraId="26F42614" w14:textId="77777777" w:rsidR="00042D3F" w:rsidRPr="00042D3F" w:rsidRDefault="00042D3F" w:rsidP="00042D3F">
      <w:pPr>
        <w:jc w:val="both"/>
        <w:rPr>
          <w:rFonts w:ascii="Calibri" w:hAnsi="Calibri" w:cs="Calibri"/>
          <w:color w:val="000000"/>
          <w:lang w:val="cs-CZ"/>
        </w:rPr>
      </w:pPr>
    </w:p>
    <w:p w14:paraId="7F658994" w14:textId="77777777" w:rsidR="00D64966" w:rsidRPr="00042D3F" w:rsidRDefault="00D64966" w:rsidP="00042D3F">
      <w:pPr>
        <w:jc w:val="both"/>
        <w:rPr>
          <w:rFonts w:ascii="Calibri" w:hAnsi="Calibri" w:cs="Calibri"/>
          <w:b/>
          <w:color w:val="000000"/>
          <w:lang w:val="cs-CZ"/>
        </w:rPr>
      </w:pPr>
      <w:r w:rsidRPr="00042D3F">
        <w:rPr>
          <w:rFonts w:ascii="Calibri" w:hAnsi="Calibri" w:cs="Calibri"/>
          <w:b/>
          <w:color w:val="000000"/>
          <w:lang w:val="cs-CZ"/>
        </w:rPr>
        <w:t xml:space="preserve">Obdobná kontrolní zjištění u programového financování jako na MF se pravidelně objevují v kontrolních závěrech napříč kapitolami SR. NKÚ </w:t>
      </w:r>
      <w:r w:rsidR="0060508C">
        <w:rPr>
          <w:rFonts w:ascii="Calibri" w:hAnsi="Calibri" w:cs="Calibri"/>
          <w:b/>
          <w:color w:val="000000"/>
          <w:lang w:val="cs-CZ"/>
        </w:rPr>
        <w:t>je toho názoru, že s</w:t>
      </w:r>
      <w:r w:rsidRPr="00042D3F">
        <w:rPr>
          <w:rFonts w:ascii="Calibri" w:hAnsi="Calibri" w:cs="Calibri"/>
          <w:b/>
          <w:color w:val="000000"/>
          <w:lang w:val="cs-CZ"/>
        </w:rPr>
        <w:t>e jedná o</w:t>
      </w:r>
      <w:r w:rsidR="00414BC3">
        <w:rPr>
          <w:rFonts w:ascii="Calibri" w:hAnsi="Calibri" w:cs="Calibri"/>
          <w:b/>
          <w:color w:val="000000"/>
          <w:lang w:val="cs-CZ"/>
        </w:rPr>
        <w:t> </w:t>
      </w:r>
      <w:r w:rsidRPr="00042D3F">
        <w:rPr>
          <w:rFonts w:ascii="Calibri" w:hAnsi="Calibri" w:cs="Calibri"/>
          <w:b/>
          <w:color w:val="000000"/>
          <w:lang w:val="cs-CZ"/>
        </w:rPr>
        <w:t>systémové selhávání programového financování a jeho využívání způsobem, který neumožňuje dohled nad realizací investiční a dotační politiky státu, a to i přes dlouhodobé a</w:t>
      </w:r>
      <w:r w:rsidR="00414BC3">
        <w:rPr>
          <w:rFonts w:ascii="Calibri" w:hAnsi="Calibri" w:cs="Calibri"/>
          <w:b/>
          <w:color w:val="000000"/>
          <w:lang w:val="cs-CZ"/>
        </w:rPr>
        <w:t> </w:t>
      </w:r>
      <w:r w:rsidRPr="00042D3F">
        <w:rPr>
          <w:rFonts w:ascii="Calibri" w:hAnsi="Calibri" w:cs="Calibri"/>
          <w:b/>
          <w:color w:val="000000"/>
          <w:lang w:val="cs-CZ"/>
        </w:rPr>
        <w:t>nákladné rozšiřování informační podpory.</w:t>
      </w:r>
    </w:p>
    <w:p w14:paraId="755BFB6F" w14:textId="77777777" w:rsidR="00042D3F" w:rsidRDefault="00042D3F" w:rsidP="00042D3F">
      <w:pPr>
        <w:autoSpaceDE w:val="0"/>
        <w:autoSpaceDN w:val="0"/>
        <w:adjustRightInd w:val="0"/>
        <w:jc w:val="both"/>
        <w:rPr>
          <w:rFonts w:ascii="Calibri" w:hAnsi="Calibri" w:cs="Calibri"/>
          <w:lang w:val="cs-CZ"/>
        </w:rPr>
      </w:pPr>
    </w:p>
    <w:p w14:paraId="64C9B726" w14:textId="77777777" w:rsidR="00D64966" w:rsidRDefault="00D64966" w:rsidP="00042D3F">
      <w:pPr>
        <w:autoSpaceDE w:val="0"/>
        <w:autoSpaceDN w:val="0"/>
        <w:adjustRightInd w:val="0"/>
        <w:jc w:val="both"/>
        <w:rPr>
          <w:rFonts w:ascii="Calibri" w:hAnsi="Calibri" w:cs="Calibri"/>
          <w:lang w:val="cs-CZ"/>
        </w:rPr>
      </w:pPr>
      <w:r w:rsidRPr="00042D3F">
        <w:rPr>
          <w:rFonts w:ascii="Calibri" w:hAnsi="Calibri" w:cs="Calibri"/>
          <w:lang w:val="cs-CZ"/>
        </w:rPr>
        <w:t>Výdaje na programové financování používá MF jako průřezový ukazatel</w:t>
      </w:r>
      <w:r w:rsidRPr="00042D3F">
        <w:rPr>
          <w:rFonts w:ascii="Calibri" w:hAnsi="Calibri" w:cs="Calibri"/>
          <w:vertAlign w:val="superscript"/>
          <w:lang w:val="cs-CZ"/>
        </w:rPr>
        <w:footnoteReference w:id="24"/>
      </w:r>
      <w:r w:rsidRPr="00042D3F">
        <w:rPr>
          <w:rFonts w:ascii="Calibri" w:hAnsi="Calibri" w:cs="Calibri"/>
          <w:lang w:val="cs-CZ"/>
        </w:rPr>
        <w:t xml:space="preserve"> výdajů státního rozpočtu, který je součástí vládního návrhu zákona o státním rozpočtu na příslušný rok. Tento průřezový ukazatel je sice doprovázen sestavami k jednotlivým výdajovým titulům za jednotlivé kapitoly, nicméně takto prezentované údaje za oblast programového financování </w:t>
      </w:r>
      <w:r w:rsidRPr="00042D3F">
        <w:rPr>
          <w:rFonts w:ascii="Calibri" w:hAnsi="Calibri" w:cs="Calibri"/>
          <w:lang w:val="cs-CZ"/>
        </w:rPr>
        <w:lastRenderedPageBreak/>
        <w:t>nejsou s ohledem na jejich kvalitu a způsob tvorby výkonnostními ukazateli, které by odpovídaly jednomu z deseti principů dobré rozpočtové správy doporučených OECD.</w:t>
      </w:r>
      <w:r w:rsidRPr="00042D3F">
        <w:rPr>
          <w:rFonts w:ascii="Calibri" w:hAnsi="Calibri" w:cs="Calibri"/>
          <w:vertAlign w:val="superscript"/>
          <w:lang w:val="cs-CZ"/>
        </w:rPr>
        <w:footnoteReference w:id="25"/>
      </w:r>
      <w:r w:rsidRPr="00042D3F">
        <w:rPr>
          <w:rFonts w:ascii="Calibri" w:hAnsi="Calibri" w:cs="Calibri"/>
          <w:lang w:val="cs-CZ"/>
        </w:rPr>
        <w:t xml:space="preserve"> </w:t>
      </w:r>
    </w:p>
    <w:p w14:paraId="29842750" w14:textId="77777777" w:rsidR="00042D3F" w:rsidRPr="00042D3F" w:rsidRDefault="00042D3F" w:rsidP="00042D3F">
      <w:pPr>
        <w:autoSpaceDE w:val="0"/>
        <w:autoSpaceDN w:val="0"/>
        <w:adjustRightInd w:val="0"/>
        <w:jc w:val="both"/>
        <w:rPr>
          <w:rFonts w:ascii="Calibri" w:hAnsi="Calibri" w:cs="Calibri"/>
          <w:lang w:val="cs-CZ"/>
        </w:rPr>
      </w:pPr>
    </w:p>
    <w:p w14:paraId="4DE5013A" w14:textId="77777777" w:rsidR="00D64966" w:rsidRPr="00042D3F" w:rsidRDefault="00D64966" w:rsidP="00042D3F">
      <w:pPr>
        <w:autoSpaceDE w:val="0"/>
        <w:autoSpaceDN w:val="0"/>
        <w:adjustRightInd w:val="0"/>
        <w:jc w:val="both"/>
        <w:rPr>
          <w:rFonts w:ascii="Calibri" w:hAnsi="Calibri" w:cs="Calibri"/>
          <w:lang w:val="cs-CZ"/>
        </w:rPr>
      </w:pPr>
      <w:r w:rsidRPr="00042D3F">
        <w:rPr>
          <w:rFonts w:ascii="Calibri" w:hAnsi="Calibri" w:cs="Calibri"/>
          <w:lang w:val="cs-CZ"/>
        </w:rPr>
        <w:t xml:space="preserve">Průřezový ukazatel za oblast programového financování nemá při sestavování a schvalování státního rozpočtu potřebnou vypovídací schopnost o </w:t>
      </w:r>
      <w:r w:rsidRPr="00042D3F">
        <w:rPr>
          <w:rFonts w:ascii="Calibri" w:hAnsi="Calibri" w:cs="Calibri"/>
          <w:color w:val="000000"/>
          <w:lang w:val="cs-CZ"/>
        </w:rPr>
        <w:t xml:space="preserve">cílovém stavu výdajových politik, způsobu, kterým bude cílového stavu dosaženo, rovněž chybí výkonnostní ukazatele, které by umožnily ověření dosažení stanovených cílů. Tento stav potvrzuje i skutečnost, že Česká republika i přes celkově dobré hodnocení v rámci mezinárodního srovnání </w:t>
      </w:r>
      <w:r w:rsidRPr="009C4A68">
        <w:rPr>
          <w:rFonts w:ascii="Calibri" w:hAnsi="Calibri" w:cs="Calibri"/>
          <w:i/>
          <w:color w:val="000000"/>
          <w:lang w:val="cs-CZ"/>
        </w:rPr>
        <w:t>Open Budget Index</w:t>
      </w:r>
      <w:r w:rsidRPr="00042D3F">
        <w:rPr>
          <w:rFonts w:ascii="Calibri" w:hAnsi="Calibri" w:cs="Calibri"/>
          <w:color w:val="000000"/>
          <w:vertAlign w:val="superscript"/>
          <w:lang w:val="cs-CZ"/>
        </w:rPr>
        <w:footnoteReference w:id="26"/>
      </w:r>
      <w:r w:rsidRPr="00042D3F">
        <w:rPr>
          <w:rFonts w:ascii="Calibri" w:hAnsi="Calibri" w:cs="Calibri"/>
          <w:color w:val="000000"/>
          <w:lang w:val="cs-CZ"/>
        </w:rPr>
        <w:t xml:space="preserve"> dosáhla v porovnání například se Slovenskem,</w:t>
      </w:r>
      <w:r w:rsidR="00414BC3">
        <w:rPr>
          <w:rFonts w:ascii="Calibri" w:hAnsi="Calibri" w:cs="Calibri"/>
          <w:color w:val="000000"/>
          <w:lang w:val="cs-CZ"/>
        </w:rPr>
        <w:t xml:space="preserve"> </w:t>
      </w:r>
      <w:r w:rsidRPr="00042D3F">
        <w:rPr>
          <w:rFonts w:ascii="Calibri" w:hAnsi="Calibri" w:cs="Calibri"/>
          <w:color w:val="000000"/>
          <w:lang w:val="cs-CZ"/>
        </w:rPr>
        <w:t xml:space="preserve">Polskem, Maďarskem, Slovinskem nebo Německem v dílčích oblastech hodnocení rozpočtového procesu nejméně příznivého výsledku. Hlavním problémem je nedostatečné prosazování ukazatelů výkonnosti do návrhu zákona o státním rozpočtu na příslušný rok, a tudíž nemožnost jejich vyhodnocení ve státním závěrečném účtu po plnění schváleného státního rozpočtu. Tento nedostatek vychází z nastaveného systému programového financování, který pokrývá významnou část výdajů zajišťovaných ze státního rozpočtu. Případné změny tohoto systému nelze omezit pouze na oblast informační podpory. </w:t>
      </w:r>
      <w:r w:rsidRPr="00042D3F" w:rsidDel="005D688E">
        <w:rPr>
          <w:rFonts w:ascii="Calibri" w:hAnsi="Calibri" w:cs="Calibri"/>
          <w:color w:val="000000"/>
          <w:lang w:val="cs-CZ"/>
        </w:rPr>
        <w:t xml:space="preserve"> </w:t>
      </w:r>
    </w:p>
    <w:p w14:paraId="656CEDC0" w14:textId="77777777" w:rsidR="00D64966" w:rsidRPr="00042D3F" w:rsidRDefault="00D64966" w:rsidP="00042D3F">
      <w:pPr>
        <w:rPr>
          <w:rFonts w:ascii="Calibri" w:hAnsi="Calibri" w:cs="Calibri"/>
          <w:color w:val="000000"/>
          <w:lang w:val="cs-CZ"/>
        </w:rPr>
      </w:pPr>
    </w:p>
    <w:p w14:paraId="1EE9DD3B" w14:textId="77777777" w:rsidR="004E1240" w:rsidRPr="00042D3F" w:rsidRDefault="00EA2276" w:rsidP="00042D3F">
      <w:pPr>
        <w:rPr>
          <w:rFonts w:ascii="Calibri" w:hAnsi="Calibri" w:cs="Calibri"/>
          <w:b/>
          <w:color w:val="000000"/>
          <w:lang w:val="cs-CZ"/>
        </w:rPr>
      </w:pPr>
      <w:r w:rsidRPr="00042D3F">
        <w:rPr>
          <w:rFonts w:ascii="Calibri" w:hAnsi="Calibri" w:cs="Calibri"/>
          <w:b/>
          <w:color w:val="000000"/>
          <w:lang w:val="cs-CZ"/>
        </w:rPr>
        <w:t xml:space="preserve">Ad </w:t>
      </w:r>
      <w:r w:rsidR="00D64966" w:rsidRPr="00042D3F">
        <w:rPr>
          <w:rFonts w:ascii="Calibri" w:hAnsi="Calibri" w:cs="Calibri"/>
          <w:b/>
          <w:color w:val="000000"/>
          <w:lang w:val="cs-CZ"/>
        </w:rPr>
        <w:t>2</w:t>
      </w:r>
      <w:r w:rsidRPr="00042D3F">
        <w:rPr>
          <w:rFonts w:ascii="Calibri" w:hAnsi="Calibri" w:cs="Calibri"/>
          <w:b/>
          <w:color w:val="000000"/>
          <w:lang w:val="cs-CZ"/>
        </w:rPr>
        <w:t>.</w:t>
      </w:r>
      <w:r w:rsidR="004E1240" w:rsidRPr="00042D3F">
        <w:rPr>
          <w:rFonts w:ascii="Calibri" w:hAnsi="Calibri" w:cs="Calibri"/>
          <w:b/>
          <w:color w:val="000000"/>
          <w:lang w:val="cs-CZ"/>
        </w:rPr>
        <w:t xml:space="preserve"> </w:t>
      </w:r>
      <w:r w:rsidR="00717EDA" w:rsidRPr="00042D3F">
        <w:rPr>
          <w:rFonts w:ascii="Calibri" w:hAnsi="Calibri" w:cs="Calibri"/>
          <w:b/>
          <w:color w:val="000000"/>
          <w:lang w:val="cs-CZ"/>
        </w:rPr>
        <w:t>Negativní důsledky chybějícího strategického a koncepčního řízení</w:t>
      </w:r>
    </w:p>
    <w:p w14:paraId="0CD8EB4A" w14:textId="77777777" w:rsidR="004E1240" w:rsidRPr="00042D3F" w:rsidRDefault="004E1240" w:rsidP="00042D3F">
      <w:pPr>
        <w:rPr>
          <w:rFonts w:ascii="Calibri" w:hAnsi="Calibri" w:cs="Calibri"/>
          <w:color w:val="000000"/>
          <w:lang w:val="cs-CZ"/>
        </w:rPr>
      </w:pPr>
    </w:p>
    <w:p w14:paraId="78C73AF7" w14:textId="77777777" w:rsidR="00291769" w:rsidRDefault="005B302A" w:rsidP="00042D3F">
      <w:pPr>
        <w:jc w:val="both"/>
        <w:rPr>
          <w:rFonts w:ascii="Calibri" w:hAnsi="Calibri" w:cs="Calibri"/>
          <w:color w:val="000000"/>
          <w:lang w:val="cs-CZ"/>
        </w:rPr>
      </w:pPr>
      <w:r w:rsidRPr="00042D3F">
        <w:rPr>
          <w:rFonts w:ascii="Calibri" w:hAnsi="Calibri" w:cs="Calibri"/>
          <w:color w:val="000000"/>
          <w:lang w:val="cs-CZ"/>
        </w:rPr>
        <w:t xml:space="preserve">MF nemělo od 1. 1. 2014 do ukončení </w:t>
      </w:r>
      <w:r w:rsidR="00414BC3">
        <w:rPr>
          <w:rFonts w:ascii="Calibri" w:hAnsi="Calibri" w:cs="Calibri"/>
          <w:color w:val="000000"/>
          <w:lang w:val="cs-CZ"/>
        </w:rPr>
        <w:t>kontrolní akce NKÚ</w:t>
      </w:r>
      <w:r w:rsidRPr="00042D3F">
        <w:rPr>
          <w:rFonts w:ascii="Calibri" w:hAnsi="Calibri" w:cs="Calibri"/>
          <w:color w:val="000000"/>
          <w:lang w:val="cs-CZ"/>
        </w:rPr>
        <w:t xml:space="preserve"> schválenou informační koncepci pro stanovení dlouhodobých cílů v oblasti řízení kvality a bezp</w:t>
      </w:r>
      <w:r w:rsidR="00A922EB" w:rsidRPr="00042D3F">
        <w:rPr>
          <w:rFonts w:ascii="Calibri" w:hAnsi="Calibri" w:cs="Calibri"/>
          <w:color w:val="000000"/>
          <w:lang w:val="cs-CZ"/>
        </w:rPr>
        <w:t>ečnosti informačních systémů a </w:t>
      </w:r>
      <w:r w:rsidRPr="00042D3F">
        <w:rPr>
          <w:rFonts w:ascii="Calibri" w:hAnsi="Calibri" w:cs="Calibri"/>
          <w:color w:val="000000"/>
          <w:lang w:val="cs-CZ"/>
        </w:rPr>
        <w:t>dále nemělo vymezeny obecné principy pořizování, vytváření a provozování informačních systémů. GFŘ od svého vzniku žádnou strategi</w:t>
      </w:r>
      <w:r w:rsidR="004D68E1" w:rsidRPr="00042D3F">
        <w:rPr>
          <w:rFonts w:ascii="Calibri" w:hAnsi="Calibri" w:cs="Calibri"/>
          <w:color w:val="000000"/>
          <w:lang w:val="cs-CZ"/>
        </w:rPr>
        <w:t>i</w:t>
      </w:r>
      <w:r w:rsidRPr="00042D3F">
        <w:rPr>
          <w:rFonts w:ascii="Calibri" w:hAnsi="Calibri" w:cs="Calibri"/>
          <w:color w:val="000000"/>
          <w:lang w:val="cs-CZ"/>
        </w:rPr>
        <w:t xml:space="preserve"> rozvoje v oblasti ICT orgánů Finanční správy ČR nezpracovalo.</w:t>
      </w:r>
      <w:r w:rsidR="00CC5781" w:rsidRPr="00042D3F">
        <w:rPr>
          <w:rFonts w:ascii="Calibri" w:hAnsi="Calibri" w:cs="Calibri"/>
          <w:color w:val="000000"/>
          <w:lang w:val="cs-CZ"/>
        </w:rPr>
        <w:t xml:space="preserve"> Jako náhradu za chybějící </w:t>
      </w:r>
      <w:r w:rsidR="003B64C8" w:rsidRPr="00042D3F">
        <w:rPr>
          <w:rFonts w:ascii="Calibri" w:hAnsi="Calibri" w:cs="Calibri"/>
          <w:color w:val="000000"/>
          <w:lang w:val="cs-CZ"/>
        </w:rPr>
        <w:t xml:space="preserve">koncepční </w:t>
      </w:r>
      <w:r w:rsidR="00CC5781" w:rsidRPr="00042D3F">
        <w:rPr>
          <w:rFonts w:ascii="Calibri" w:hAnsi="Calibri" w:cs="Calibri"/>
          <w:color w:val="000000"/>
          <w:lang w:val="cs-CZ"/>
        </w:rPr>
        <w:t>dokument převzalo ICT</w:t>
      </w:r>
      <w:r w:rsidR="0069507D" w:rsidRPr="00042D3F">
        <w:rPr>
          <w:rFonts w:ascii="Calibri" w:hAnsi="Calibri" w:cs="Calibri"/>
          <w:color w:val="000000"/>
          <w:lang w:val="cs-CZ"/>
        </w:rPr>
        <w:t xml:space="preserve"> strategii resortu MF.</w:t>
      </w:r>
      <w:r w:rsidR="00B131E8" w:rsidRPr="00042D3F">
        <w:rPr>
          <w:rFonts w:ascii="Calibri" w:hAnsi="Calibri" w:cs="Calibri"/>
          <w:color w:val="000000"/>
          <w:lang w:val="cs-CZ"/>
        </w:rPr>
        <w:t xml:space="preserve"> </w:t>
      </w:r>
    </w:p>
    <w:p w14:paraId="0E2E01B5" w14:textId="77777777" w:rsidR="00042D3F" w:rsidRPr="00042D3F" w:rsidRDefault="00042D3F" w:rsidP="00042D3F">
      <w:pPr>
        <w:jc w:val="both"/>
        <w:rPr>
          <w:rFonts w:ascii="Calibri" w:hAnsi="Calibri" w:cs="Calibri"/>
          <w:color w:val="000000"/>
          <w:lang w:val="cs-CZ"/>
        </w:rPr>
      </w:pPr>
    </w:p>
    <w:p w14:paraId="1604267E" w14:textId="77777777" w:rsidR="00291769" w:rsidRDefault="00291769" w:rsidP="00042D3F">
      <w:pPr>
        <w:jc w:val="both"/>
        <w:rPr>
          <w:rFonts w:ascii="Calibri" w:hAnsi="Calibri" w:cs="Calibri"/>
          <w:color w:val="000000"/>
          <w:lang w:val="cs-CZ"/>
        </w:rPr>
      </w:pPr>
      <w:r w:rsidRPr="00042D3F">
        <w:rPr>
          <w:rFonts w:ascii="Calibri" w:hAnsi="Calibri" w:cs="Calibri"/>
          <w:color w:val="000000"/>
          <w:lang w:val="cs-CZ"/>
        </w:rPr>
        <w:t>Na poradě vedení MF z r</w:t>
      </w:r>
      <w:r w:rsidR="000C669B" w:rsidRPr="00042D3F">
        <w:rPr>
          <w:rFonts w:ascii="Calibri" w:hAnsi="Calibri" w:cs="Calibri"/>
          <w:color w:val="000000"/>
          <w:lang w:val="cs-CZ"/>
        </w:rPr>
        <w:t xml:space="preserve">oku 2008 bylo rozhodnuto, že </w:t>
      </w:r>
      <w:r w:rsidRPr="00042D3F">
        <w:rPr>
          <w:rFonts w:ascii="Calibri" w:hAnsi="Calibri" w:cs="Calibri"/>
          <w:color w:val="000000"/>
          <w:lang w:val="cs-CZ"/>
        </w:rPr>
        <w:t xml:space="preserve">ISPROFIN je nutné rozdělit na dva moduly programového financování: IS EDS pro dotační tituly a IS SMVS pro výdajové tituly. Toto rozdělení bylo </w:t>
      </w:r>
      <w:r w:rsidR="00E06388" w:rsidRPr="00042D3F">
        <w:rPr>
          <w:rFonts w:ascii="Calibri" w:hAnsi="Calibri" w:cs="Calibri"/>
          <w:color w:val="000000"/>
          <w:lang w:val="cs-CZ"/>
        </w:rPr>
        <w:t xml:space="preserve">dle </w:t>
      </w:r>
      <w:r w:rsidR="00C0348F" w:rsidRPr="00042D3F">
        <w:rPr>
          <w:rFonts w:ascii="Calibri" w:hAnsi="Calibri" w:cs="Calibri"/>
          <w:color w:val="000000"/>
          <w:lang w:val="cs-CZ"/>
        </w:rPr>
        <w:t>předložených materiálů</w:t>
      </w:r>
      <w:r w:rsidR="00E06388" w:rsidRPr="00042D3F">
        <w:rPr>
          <w:rFonts w:ascii="Calibri" w:hAnsi="Calibri" w:cs="Calibri"/>
          <w:color w:val="000000"/>
          <w:lang w:val="cs-CZ"/>
        </w:rPr>
        <w:t xml:space="preserve"> </w:t>
      </w:r>
      <w:r w:rsidRPr="00042D3F">
        <w:rPr>
          <w:rFonts w:ascii="Calibri" w:hAnsi="Calibri" w:cs="Calibri"/>
          <w:color w:val="000000"/>
          <w:lang w:val="cs-CZ"/>
        </w:rPr>
        <w:t xml:space="preserve">nutné pro </w:t>
      </w:r>
      <w:r w:rsidR="00E06388" w:rsidRPr="00042D3F">
        <w:rPr>
          <w:rFonts w:ascii="Calibri" w:hAnsi="Calibri" w:cs="Calibri"/>
          <w:color w:val="000000"/>
          <w:lang w:val="cs-CZ"/>
        </w:rPr>
        <w:t xml:space="preserve">zajištění kompatibility </w:t>
      </w:r>
      <w:r w:rsidRPr="00042D3F">
        <w:rPr>
          <w:rFonts w:ascii="Calibri" w:hAnsi="Calibri" w:cs="Calibri"/>
          <w:color w:val="000000"/>
          <w:lang w:val="cs-CZ"/>
        </w:rPr>
        <w:t xml:space="preserve">s projektem </w:t>
      </w:r>
      <w:r w:rsidRPr="009C4A68">
        <w:rPr>
          <w:rFonts w:ascii="Calibri" w:hAnsi="Calibri" w:cs="Calibri"/>
          <w:i/>
          <w:color w:val="000000"/>
          <w:lang w:val="cs-CZ"/>
        </w:rPr>
        <w:t>Rozpočtový informační systém</w:t>
      </w:r>
      <w:r w:rsidRPr="00042D3F">
        <w:rPr>
          <w:rFonts w:ascii="Calibri" w:hAnsi="Calibri" w:cs="Calibri"/>
          <w:color w:val="000000"/>
          <w:lang w:val="cs-CZ"/>
        </w:rPr>
        <w:t xml:space="preserve">. </w:t>
      </w:r>
      <w:r w:rsidR="005C16C5" w:rsidRPr="00042D3F">
        <w:rPr>
          <w:rFonts w:ascii="Calibri" w:hAnsi="Calibri" w:cs="Calibri"/>
          <w:color w:val="000000"/>
          <w:lang w:val="cs-CZ"/>
        </w:rPr>
        <w:t>R</w:t>
      </w:r>
      <w:r w:rsidRPr="00042D3F">
        <w:rPr>
          <w:rFonts w:ascii="Calibri" w:hAnsi="Calibri" w:cs="Calibri"/>
          <w:color w:val="000000"/>
          <w:lang w:val="cs-CZ"/>
        </w:rPr>
        <w:t xml:space="preserve">ozdělení IS na výdajové a dotační tituly </w:t>
      </w:r>
      <w:r w:rsidR="007B4613" w:rsidRPr="00042D3F">
        <w:rPr>
          <w:rFonts w:ascii="Calibri" w:hAnsi="Calibri" w:cs="Calibri"/>
          <w:color w:val="000000"/>
          <w:lang w:val="cs-CZ"/>
        </w:rPr>
        <w:t xml:space="preserve">bylo </w:t>
      </w:r>
      <w:r w:rsidRPr="00042D3F">
        <w:rPr>
          <w:rFonts w:ascii="Calibri" w:hAnsi="Calibri" w:cs="Calibri"/>
          <w:color w:val="000000"/>
          <w:lang w:val="cs-CZ"/>
        </w:rPr>
        <w:t xml:space="preserve">plně funkční v roce 2010, </w:t>
      </w:r>
      <w:r w:rsidR="005C16C5" w:rsidRPr="00042D3F">
        <w:rPr>
          <w:rFonts w:ascii="Calibri" w:hAnsi="Calibri" w:cs="Calibri"/>
          <w:color w:val="000000"/>
          <w:lang w:val="cs-CZ"/>
        </w:rPr>
        <w:t xml:space="preserve">avšak </w:t>
      </w:r>
      <w:r w:rsidRPr="00042D3F">
        <w:rPr>
          <w:rFonts w:ascii="Calibri" w:hAnsi="Calibri" w:cs="Calibri"/>
          <w:color w:val="000000"/>
          <w:lang w:val="cs-CZ"/>
        </w:rPr>
        <w:t>MF doposud nenastavilo automatizované předávání dotačních titulů do IS</w:t>
      </w:r>
      <w:r w:rsidR="00414BC3">
        <w:rPr>
          <w:rFonts w:ascii="Calibri" w:hAnsi="Calibri" w:cs="Calibri"/>
          <w:color w:val="000000"/>
          <w:lang w:val="cs-CZ"/>
        </w:rPr>
        <w:t> </w:t>
      </w:r>
      <w:r w:rsidRPr="00042D3F">
        <w:rPr>
          <w:rFonts w:ascii="Calibri" w:hAnsi="Calibri" w:cs="Calibri"/>
          <w:color w:val="000000"/>
          <w:lang w:val="cs-CZ"/>
        </w:rPr>
        <w:t>CEDR III.</w:t>
      </w:r>
    </w:p>
    <w:p w14:paraId="384569EB" w14:textId="77777777" w:rsidR="00042D3F" w:rsidRPr="00042D3F" w:rsidRDefault="00042D3F" w:rsidP="00042D3F">
      <w:pPr>
        <w:jc w:val="both"/>
        <w:rPr>
          <w:rFonts w:ascii="Calibri" w:hAnsi="Calibri" w:cs="Calibri"/>
          <w:color w:val="000000"/>
          <w:lang w:val="cs-CZ"/>
        </w:rPr>
      </w:pPr>
    </w:p>
    <w:p w14:paraId="59FD3469" w14:textId="77777777" w:rsidR="00291769" w:rsidRDefault="00291769" w:rsidP="00042D3F">
      <w:pPr>
        <w:jc w:val="both"/>
        <w:rPr>
          <w:rFonts w:ascii="Calibri" w:hAnsi="Calibri" w:cs="Calibri"/>
          <w:color w:val="000000"/>
          <w:lang w:val="cs-CZ"/>
        </w:rPr>
      </w:pPr>
      <w:r w:rsidRPr="00042D3F">
        <w:rPr>
          <w:rFonts w:ascii="Calibri" w:hAnsi="Calibri" w:cs="Calibri"/>
          <w:color w:val="000000"/>
          <w:lang w:val="cs-CZ"/>
        </w:rPr>
        <w:t xml:space="preserve">V roce 2011 MF předalo </w:t>
      </w:r>
      <w:r w:rsidR="000A48AC" w:rsidRPr="00042D3F">
        <w:rPr>
          <w:rFonts w:ascii="Calibri" w:hAnsi="Calibri" w:cs="Calibri"/>
          <w:color w:val="000000"/>
          <w:lang w:val="cs-CZ"/>
        </w:rPr>
        <w:t xml:space="preserve">mj. </w:t>
      </w:r>
      <w:r w:rsidRPr="00042D3F">
        <w:rPr>
          <w:rFonts w:ascii="Calibri" w:hAnsi="Calibri" w:cs="Calibri"/>
          <w:color w:val="000000"/>
          <w:lang w:val="cs-CZ"/>
        </w:rPr>
        <w:t>IS CEDR</w:t>
      </w:r>
      <w:r w:rsidR="000A48AC" w:rsidRPr="00042D3F">
        <w:rPr>
          <w:rFonts w:ascii="Calibri" w:hAnsi="Calibri" w:cs="Calibri"/>
          <w:color w:val="000000"/>
          <w:lang w:val="cs-CZ"/>
        </w:rPr>
        <w:t xml:space="preserve"> III</w:t>
      </w:r>
      <w:r w:rsidRPr="00042D3F">
        <w:rPr>
          <w:rFonts w:ascii="Calibri" w:hAnsi="Calibri" w:cs="Calibri"/>
          <w:color w:val="000000"/>
          <w:lang w:val="cs-CZ"/>
        </w:rPr>
        <w:t xml:space="preserve"> do správy GFŘ, ale v následujícím roce pořídilo v rámci naplňování </w:t>
      </w:r>
      <w:r w:rsidRPr="00042D3F">
        <w:rPr>
          <w:rFonts w:ascii="Calibri" w:hAnsi="Calibri" w:cs="Calibri"/>
          <w:i/>
          <w:color w:val="000000"/>
          <w:lang w:val="cs-CZ"/>
        </w:rPr>
        <w:t>Strategie vlády v boji proti korupci na období let 2011 a 2012</w:t>
      </w:r>
      <w:r w:rsidRPr="00042D3F">
        <w:rPr>
          <w:rFonts w:ascii="Calibri" w:hAnsi="Calibri" w:cs="Calibri"/>
          <w:color w:val="000000"/>
          <w:lang w:val="cs-CZ"/>
        </w:rPr>
        <w:t xml:space="preserve"> IS DotInfo EDS. Tento IS slouží ke zveřejňování informací o dotacích a návratných finančních výpomocí</w:t>
      </w:r>
      <w:r w:rsidR="00F05C68" w:rsidRPr="00042D3F">
        <w:rPr>
          <w:rFonts w:ascii="Calibri" w:hAnsi="Calibri" w:cs="Calibri"/>
          <w:color w:val="000000"/>
          <w:lang w:val="cs-CZ"/>
        </w:rPr>
        <w:t>ch</w:t>
      </w:r>
      <w:r w:rsidRPr="00042D3F">
        <w:rPr>
          <w:rFonts w:ascii="Calibri" w:hAnsi="Calibri" w:cs="Calibri"/>
          <w:color w:val="000000"/>
          <w:lang w:val="cs-CZ"/>
        </w:rPr>
        <w:t>. MF při pořizování nového IS nezvažovalo variantu zveřejňování těch</w:t>
      </w:r>
      <w:r w:rsidR="00344C2F" w:rsidRPr="00042D3F">
        <w:rPr>
          <w:rFonts w:ascii="Calibri" w:hAnsi="Calibri" w:cs="Calibri"/>
          <w:color w:val="000000"/>
          <w:lang w:val="cs-CZ"/>
        </w:rPr>
        <w:t>to informací prostřednictvím IS </w:t>
      </w:r>
      <w:r w:rsidRPr="00042D3F">
        <w:rPr>
          <w:rFonts w:ascii="Calibri" w:hAnsi="Calibri" w:cs="Calibri"/>
          <w:color w:val="000000"/>
          <w:lang w:val="cs-CZ"/>
        </w:rPr>
        <w:t xml:space="preserve">CEDR III </w:t>
      </w:r>
      <w:r w:rsidR="007A4E4E" w:rsidRPr="00042D3F">
        <w:rPr>
          <w:rFonts w:ascii="Calibri" w:hAnsi="Calibri" w:cs="Calibri"/>
          <w:color w:val="000000"/>
          <w:lang w:val="cs-CZ"/>
        </w:rPr>
        <w:t xml:space="preserve">u </w:t>
      </w:r>
      <w:r w:rsidRPr="00042D3F">
        <w:rPr>
          <w:rFonts w:ascii="Calibri" w:hAnsi="Calibri" w:cs="Calibri"/>
          <w:color w:val="000000"/>
          <w:lang w:val="cs-CZ"/>
        </w:rPr>
        <w:t>podřízené organizac</w:t>
      </w:r>
      <w:r w:rsidR="007A4E4E" w:rsidRPr="00042D3F">
        <w:rPr>
          <w:rFonts w:ascii="Calibri" w:hAnsi="Calibri" w:cs="Calibri"/>
          <w:color w:val="000000"/>
          <w:lang w:val="cs-CZ"/>
        </w:rPr>
        <w:t>e</w:t>
      </w:r>
      <w:r w:rsidRPr="00042D3F">
        <w:rPr>
          <w:rFonts w:ascii="Calibri" w:hAnsi="Calibri" w:cs="Calibri"/>
          <w:color w:val="000000"/>
          <w:lang w:val="cs-CZ"/>
        </w:rPr>
        <w:t xml:space="preserve"> GFŘ.</w:t>
      </w:r>
    </w:p>
    <w:p w14:paraId="61D08A64" w14:textId="77777777" w:rsidR="00042D3F" w:rsidRPr="00042D3F" w:rsidRDefault="00042D3F" w:rsidP="00042D3F">
      <w:pPr>
        <w:jc w:val="both"/>
        <w:rPr>
          <w:rFonts w:ascii="Calibri" w:hAnsi="Calibri" w:cs="Calibri"/>
          <w:color w:val="000000"/>
          <w:lang w:val="cs-CZ"/>
        </w:rPr>
      </w:pPr>
    </w:p>
    <w:p w14:paraId="185A0DE6" w14:textId="77777777" w:rsidR="00691A96" w:rsidRPr="00042D3F" w:rsidRDefault="00B131E8" w:rsidP="00042D3F">
      <w:pPr>
        <w:jc w:val="both"/>
        <w:rPr>
          <w:rFonts w:ascii="Calibri" w:hAnsi="Calibri" w:cs="Calibri"/>
          <w:color w:val="000000"/>
          <w:lang w:val="cs-CZ"/>
        </w:rPr>
      </w:pPr>
      <w:r w:rsidRPr="00042D3F">
        <w:rPr>
          <w:rFonts w:ascii="Calibri" w:hAnsi="Calibri" w:cs="Calibri"/>
          <w:color w:val="000000"/>
          <w:lang w:val="cs-CZ"/>
        </w:rPr>
        <w:lastRenderedPageBreak/>
        <w:t xml:space="preserve">GFŘ </w:t>
      </w:r>
      <w:r w:rsidR="007A457E" w:rsidRPr="00042D3F">
        <w:rPr>
          <w:rFonts w:ascii="Calibri" w:hAnsi="Calibri" w:cs="Calibri"/>
          <w:color w:val="000000"/>
          <w:lang w:val="cs-CZ"/>
        </w:rPr>
        <w:t xml:space="preserve">a MF </w:t>
      </w:r>
      <w:r w:rsidRPr="00042D3F">
        <w:rPr>
          <w:rFonts w:ascii="Calibri" w:hAnsi="Calibri" w:cs="Calibri"/>
          <w:color w:val="000000"/>
          <w:lang w:val="cs-CZ"/>
        </w:rPr>
        <w:t>jako orgán</w:t>
      </w:r>
      <w:r w:rsidR="007A457E" w:rsidRPr="00042D3F">
        <w:rPr>
          <w:rFonts w:ascii="Calibri" w:hAnsi="Calibri" w:cs="Calibri"/>
          <w:color w:val="000000"/>
          <w:lang w:val="cs-CZ"/>
        </w:rPr>
        <w:t>y</w:t>
      </w:r>
      <w:r w:rsidRPr="00042D3F">
        <w:rPr>
          <w:rFonts w:ascii="Calibri" w:hAnsi="Calibri" w:cs="Calibri"/>
          <w:color w:val="000000"/>
          <w:lang w:val="cs-CZ"/>
        </w:rPr>
        <w:t xml:space="preserve"> veřejné správy </w:t>
      </w:r>
      <w:r w:rsidR="007A457E" w:rsidRPr="00042D3F">
        <w:rPr>
          <w:rFonts w:ascii="Calibri" w:hAnsi="Calibri" w:cs="Calibri"/>
          <w:color w:val="000000"/>
          <w:lang w:val="cs-CZ"/>
        </w:rPr>
        <w:t xml:space="preserve">nesplnily </w:t>
      </w:r>
      <w:r w:rsidRPr="00042D3F">
        <w:rPr>
          <w:rFonts w:ascii="Calibri" w:hAnsi="Calibri" w:cs="Calibri"/>
          <w:color w:val="000000"/>
          <w:lang w:val="cs-CZ"/>
        </w:rPr>
        <w:t>zákon</w:t>
      </w:r>
      <w:r w:rsidR="00460510" w:rsidRPr="00042D3F">
        <w:rPr>
          <w:rFonts w:ascii="Calibri" w:hAnsi="Calibri" w:cs="Calibri"/>
          <w:color w:val="000000"/>
          <w:lang w:val="cs-CZ"/>
        </w:rPr>
        <w:t>nou</w:t>
      </w:r>
      <w:r w:rsidR="00291769" w:rsidRPr="00042D3F">
        <w:rPr>
          <w:rStyle w:val="Znakapoznpodarou"/>
          <w:rFonts w:ascii="Calibri" w:hAnsi="Calibri" w:cs="Calibri"/>
          <w:color w:val="000000"/>
          <w:lang w:val="cs-CZ"/>
        </w:rPr>
        <w:footnoteReference w:id="27"/>
      </w:r>
      <w:r w:rsidRPr="00042D3F">
        <w:rPr>
          <w:rFonts w:ascii="Calibri" w:hAnsi="Calibri" w:cs="Calibri"/>
          <w:color w:val="000000"/>
          <w:lang w:val="cs-CZ"/>
        </w:rPr>
        <w:t xml:space="preserve"> povinnost vytvářet a vydávat</w:t>
      </w:r>
      <w:r w:rsidR="00460510" w:rsidRPr="00042D3F">
        <w:rPr>
          <w:rFonts w:ascii="Calibri" w:hAnsi="Calibri" w:cs="Calibri"/>
          <w:color w:val="000000"/>
          <w:lang w:val="cs-CZ"/>
        </w:rPr>
        <w:t xml:space="preserve"> </w:t>
      </w:r>
      <w:r w:rsidRPr="00042D3F">
        <w:rPr>
          <w:rFonts w:ascii="Calibri" w:hAnsi="Calibri" w:cs="Calibri"/>
          <w:color w:val="000000"/>
          <w:lang w:val="cs-CZ"/>
        </w:rPr>
        <w:t>v</w:t>
      </w:r>
      <w:r w:rsidR="00460510" w:rsidRPr="00042D3F">
        <w:rPr>
          <w:rFonts w:ascii="Calibri" w:hAnsi="Calibri" w:cs="Calibri"/>
          <w:color w:val="000000"/>
          <w:lang w:val="cs-CZ"/>
        </w:rPr>
        <w:t> </w:t>
      </w:r>
      <w:r w:rsidRPr="00042D3F">
        <w:rPr>
          <w:rFonts w:ascii="Calibri" w:hAnsi="Calibri" w:cs="Calibri"/>
          <w:color w:val="000000"/>
          <w:lang w:val="cs-CZ"/>
        </w:rPr>
        <w:t>souvis</w:t>
      </w:r>
      <w:r w:rsidR="009D2DC5" w:rsidRPr="00042D3F">
        <w:rPr>
          <w:rFonts w:ascii="Calibri" w:hAnsi="Calibri" w:cs="Calibri"/>
          <w:color w:val="000000"/>
          <w:lang w:val="cs-CZ"/>
        </w:rPr>
        <w:t>losti s dlouhodobým řízením IS</w:t>
      </w:r>
      <w:r w:rsidRPr="00042D3F">
        <w:rPr>
          <w:rFonts w:ascii="Calibri" w:hAnsi="Calibri" w:cs="Calibri"/>
          <w:color w:val="000000"/>
          <w:lang w:val="cs-CZ"/>
        </w:rPr>
        <w:t xml:space="preserve"> informační koncepci</w:t>
      </w:r>
      <w:r w:rsidR="007A457E" w:rsidRPr="00042D3F">
        <w:rPr>
          <w:rFonts w:ascii="Calibri" w:hAnsi="Calibri" w:cs="Calibri"/>
          <w:color w:val="000000"/>
          <w:lang w:val="cs-CZ"/>
        </w:rPr>
        <w:t xml:space="preserve"> a</w:t>
      </w:r>
      <w:r w:rsidRPr="00042D3F">
        <w:rPr>
          <w:rFonts w:ascii="Calibri" w:hAnsi="Calibri" w:cs="Calibri"/>
          <w:color w:val="000000"/>
          <w:lang w:val="cs-CZ"/>
        </w:rPr>
        <w:t xml:space="preserve"> uplatňovat ji v</w:t>
      </w:r>
      <w:r w:rsidR="00291769" w:rsidRPr="00042D3F">
        <w:rPr>
          <w:rFonts w:ascii="Calibri" w:hAnsi="Calibri" w:cs="Calibri"/>
          <w:color w:val="000000"/>
          <w:lang w:val="cs-CZ"/>
        </w:rPr>
        <w:t> </w:t>
      </w:r>
      <w:r w:rsidRPr="00042D3F">
        <w:rPr>
          <w:rFonts w:ascii="Calibri" w:hAnsi="Calibri" w:cs="Calibri"/>
          <w:color w:val="000000"/>
          <w:lang w:val="cs-CZ"/>
        </w:rPr>
        <w:t>prax</w:t>
      </w:r>
      <w:r w:rsidR="00291769" w:rsidRPr="00042D3F">
        <w:rPr>
          <w:rFonts w:ascii="Calibri" w:hAnsi="Calibri" w:cs="Calibri"/>
          <w:color w:val="000000"/>
          <w:lang w:val="cs-CZ"/>
        </w:rPr>
        <w:t xml:space="preserve">i. Současně </w:t>
      </w:r>
      <w:r w:rsidR="007A457E" w:rsidRPr="00042D3F">
        <w:rPr>
          <w:rFonts w:ascii="Calibri" w:hAnsi="Calibri" w:cs="Calibri"/>
          <w:color w:val="000000"/>
          <w:lang w:val="cs-CZ"/>
        </w:rPr>
        <w:t>nemohly</w:t>
      </w:r>
      <w:r w:rsidR="00291769" w:rsidRPr="00042D3F">
        <w:rPr>
          <w:rFonts w:ascii="Calibri" w:hAnsi="Calibri" w:cs="Calibri"/>
          <w:color w:val="000000"/>
          <w:lang w:val="cs-CZ"/>
        </w:rPr>
        <w:t xml:space="preserve"> vyhodnotit její dodržování ve smyslu vyhlášky </w:t>
      </w:r>
      <w:r w:rsidR="00460510" w:rsidRPr="00042D3F">
        <w:rPr>
          <w:rFonts w:ascii="Calibri" w:hAnsi="Calibri" w:cs="Calibri"/>
          <w:lang w:val="cs-CZ"/>
        </w:rPr>
        <w:t>o dlouhodobém řízení informačních systémů veřejné správy</w:t>
      </w:r>
      <w:r w:rsidR="00147199" w:rsidRPr="00042D3F">
        <w:rPr>
          <w:rStyle w:val="Znakapoznpodarou"/>
          <w:rFonts w:ascii="Calibri" w:hAnsi="Calibri" w:cs="Calibri"/>
          <w:color w:val="000000"/>
          <w:lang w:val="cs-CZ"/>
        </w:rPr>
        <w:footnoteReference w:id="28"/>
      </w:r>
      <w:r w:rsidR="00460510" w:rsidRPr="00042D3F">
        <w:rPr>
          <w:rFonts w:ascii="Calibri" w:hAnsi="Calibri" w:cs="Calibri"/>
          <w:color w:val="000000"/>
          <w:lang w:val="cs-CZ"/>
        </w:rPr>
        <w:t>.</w:t>
      </w:r>
      <w:r w:rsidR="00291769" w:rsidRPr="00042D3F">
        <w:rPr>
          <w:rFonts w:ascii="Calibri" w:hAnsi="Calibri" w:cs="Calibri"/>
          <w:color w:val="000000"/>
          <w:lang w:val="cs-CZ"/>
        </w:rPr>
        <w:t xml:space="preserve"> Absence stěžejního nástroje dlouh</w:t>
      </w:r>
      <w:r w:rsidR="009D2DC5" w:rsidRPr="00042D3F">
        <w:rPr>
          <w:rFonts w:ascii="Calibri" w:hAnsi="Calibri" w:cs="Calibri"/>
          <w:color w:val="000000"/>
          <w:lang w:val="cs-CZ"/>
        </w:rPr>
        <w:t>odobého řízení spravovaných IS</w:t>
      </w:r>
      <w:r w:rsidR="00291769" w:rsidRPr="00042D3F">
        <w:rPr>
          <w:rFonts w:ascii="Calibri" w:hAnsi="Calibri" w:cs="Calibri"/>
          <w:color w:val="000000"/>
          <w:lang w:val="cs-CZ"/>
        </w:rPr>
        <w:t xml:space="preserve"> Finanční správy</w:t>
      </w:r>
      <w:r w:rsidR="007D6A89">
        <w:rPr>
          <w:rFonts w:ascii="Calibri" w:hAnsi="Calibri" w:cs="Calibri"/>
          <w:color w:val="000000"/>
          <w:lang w:val="cs-CZ"/>
        </w:rPr>
        <w:t> ČR,</w:t>
      </w:r>
      <w:r w:rsidR="00291769" w:rsidRPr="00042D3F">
        <w:rPr>
          <w:rFonts w:ascii="Calibri" w:hAnsi="Calibri" w:cs="Calibri"/>
          <w:color w:val="000000"/>
          <w:lang w:val="cs-CZ"/>
        </w:rPr>
        <w:t xml:space="preserve"> </w:t>
      </w:r>
      <w:r w:rsidR="007A457E" w:rsidRPr="00042D3F">
        <w:rPr>
          <w:rFonts w:ascii="Calibri" w:hAnsi="Calibri" w:cs="Calibri"/>
          <w:color w:val="000000"/>
          <w:lang w:val="cs-CZ"/>
        </w:rPr>
        <w:t xml:space="preserve">a MF </w:t>
      </w:r>
      <w:r w:rsidR="00147199" w:rsidRPr="00042D3F">
        <w:rPr>
          <w:rFonts w:ascii="Calibri" w:hAnsi="Calibri" w:cs="Calibri"/>
          <w:color w:val="000000"/>
          <w:lang w:val="cs-CZ"/>
        </w:rPr>
        <w:t>tak vytvořil</w:t>
      </w:r>
      <w:r w:rsidR="003B0016" w:rsidRPr="00042D3F">
        <w:rPr>
          <w:rFonts w:ascii="Calibri" w:hAnsi="Calibri" w:cs="Calibri"/>
          <w:color w:val="000000"/>
          <w:lang w:val="cs-CZ"/>
        </w:rPr>
        <w:t>a</w:t>
      </w:r>
      <w:r w:rsidR="00291769" w:rsidRPr="00042D3F">
        <w:rPr>
          <w:rFonts w:ascii="Calibri" w:hAnsi="Calibri" w:cs="Calibri"/>
          <w:color w:val="000000"/>
          <w:lang w:val="cs-CZ"/>
        </w:rPr>
        <w:t xml:space="preserve"> riziko nekoncepčního vývoje</w:t>
      </w:r>
      <w:r w:rsidR="009D2DC5" w:rsidRPr="00042D3F">
        <w:rPr>
          <w:rFonts w:ascii="Calibri" w:hAnsi="Calibri" w:cs="Calibri"/>
          <w:color w:val="000000"/>
          <w:lang w:val="cs-CZ"/>
        </w:rPr>
        <w:t xml:space="preserve"> celé soustavy spravovaných IS</w:t>
      </w:r>
      <w:r w:rsidR="00291769" w:rsidRPr="00042D3F">
        <w:rPr>
          <w:rFonts w:ascii="Calibri" w:hAnsi="Calibri" w:cs="Calibri"/>
          <w:color w:val="000000"/>
          <w:lang w:val="cs-CZ"/>
        </w:rPr>
        <w:t>.</w:t>
      </w:r>
    </w:p>
    <w:p w14:paraId="51D3F5CA" w14:textId="77777777" w:rsidR="00304B03" w:rsidRPr="00042D3F" w:rsidRDefault="00304B03" w:rsidP="00042D3F">
      <w:pPr>
        <w:jc w:val="both"/>
        <w:rPr>
          <w:rFonts w:ascii="Calibri" w:hAnsi="Calibri" w:cs="Calibri"/>
          <w:color w:val="000000"/>
          <w:lang w:val="cs-CZ"/>
        </w:rPr>
      </w:pPr>
    </w:p>
    <w:p w14:paraId="4B8919ED" w14:textId="77777777" w:rsidR="00A30231" w:rsidRPr="00042D3F" w:rsidRDefault="005B302A" w:rsidP="00042D3F">
      <w:pPr>
        <w:rPr>
          <w:rFonts w:ascii="Calibri" w:hAnsi="Calibri" w:cs="Calibri"/>
          <w:b/>
          <w:color w:val="000000"/>
          <w:lang w:val="cs-CZ"/>
        </w:rPr>
      </w:pPr>
      <w:r w:rsidRPr="00042D3F">
        <w:rPr>
          <w:rFonts w:ascii="Calibri" w:hAnsi="Calibri" w:cs="Calibri"/>
          <w:b/>
          <w:color w:val="000000"/>
          <w:lang w:val="cs-CZ"/>
        </w:rPr>
        <w:t xml:space="preserve">Ad </w:t>
      </w:r>
      <w:r w:rsidR="00D64966" w:rsidRPr="00042D3F">
        <w:rPr>
          <w:rFonts w:ascii="Calibri" w:hAnsi="Calibri" w:cs="Calibri"/>
          <w:b/>
          <w:color w:val="000000"/>
          <w:lang w:val="cs-CZ"/>
        </w:rPr>
        <w:t>3</w:t>
      </w:r>
      <w:r w:rsidRPr="00042D3F">
        <w:rPr>
          <w:rFonts w:ascii="Calibri" w:hAnsi="Calibri" w:cs="Calibri"/>
          <w:b/>
          <w:color w:val="000000"/>
          <w:lang w:val="cs-CZ"/>
        </w:rPr>
        <w:t xml:space="preserve">. </w:t>
      </w:r>
      <w:r w:rsidR="00717EDA" w:rsidRPr="00042D3F">
        <w:rPr>
          <w:rFonts w:ascii="Calibri" w:hAnsi="Calibri" w:cs="Calibri"/>
          <w:b/>
          <w:color w:val="000000"/>
          <w:lang w:val="cs-CZ"/>
        </w:rPr>
        <w:t>Výdaje prezentované jako dotace a další nesprávné informace v IS</w:t>
      </w:r>
    </w:p>
    <w:p w14:paraId="65B4873E" w14:textId="77777777" w:rsidR="00A30231" w:rsidRPr="00042D3F" w:rsidRDefault="00A30231" w:rsidP="00042D3F">
      <w:pPr>
        <w:rPr>
          <w:rFonts w:ascii="Calibri" w:hAnsi="Calibri" w:cs="Calibri"/>
          <w:color w:val="000000"/>
          <w:lang w:val="cs-CZ"/>
        </w:rPr>
      </w:pPr>
    </w:p>
    <w:p w14:paraId="59B52FD0" w14:textId="77777777" w:rsidR="00B56137" w:rsidRPr="00042D3F" w:rsidRDefault="00391944" w:rsidP="00042D3F">
      <w:pPr>
        <w:rPr>
          <w:rFonts w:ascii="Calibri" w:hAnsi="Calibri" w:cs="Calibri"/>
          <w:b/>
          <w:color w:val="000000"/>
          <w:lang w:val="cs-CZ"/>
        </w:rPr>
      </w:pPr>
      <w:r w:rsidRPr="00042D3F">
        <w:rPr>
          <w:rFonts w:ascii="Calibri" w:hAnsi="Calibri" w:cs="Calibri"/>
          <w:b/>
          <w:color w:val="000000"/>
          <w:lang w:val="cs-CZ"/>
        </w:rPr>
        <w:t>P</w:t>
      </w:r>
      <w:r w:rsidR="00B56137" w:rsidRPr="00042D3F">
        <w:rPr>
          <w:rFonts w:ascii="Calibri" w:hAnsi="Calibri" w:cs="Calibri"/>
          <w:b/>
          <w:color w:val="000000"/>
          <w:lang w:val="cs-CZ"/>
        </w:rPr>
        <w:t>rogramy</w:t>
      </w:r>
    </w:p>
    <w:p w14:paraId="16F813AF" w14:textId="77777777" w:rsidR="00391944" w:rsidRPr="00042D3F" w:rsidRDefault="00391944" w:rsidP="00042D3F">
      <w:pPr>
        <w:rPr>
          <w:rFonts w:ascii="Calibri" w:hAnsi="Calibri" w:cs="Calibri"/>
          <w:color w:val="000000"/>
          <w:lang w:val="cs-CZ"/>
        </w:rPr>
      </w:pPr>
    </w:p>
    <w:p w14:paraId="4617E13D" w14:textId="77777777" w:rsidR="00B56137" w:rsidRDefault="00B56137" w:rsidP="00042D3F">
      <w:pPr>
        <w:jc w:val="both"/>
        <w:rPr>
          <w:rFonts w:ascii="Calibri" w:hAnsi="Calibri" w:cs="Calibri"/>
          <w:color w:val="000000"/>
          <w:lang w:val="cs-CZ"/>
        </w:rPr>
      </w:pPr>
      <w:r w:rsidRPr="00042D3F">
        <w:rPr>
          <w:rFonts w:ascii="Calibri" w:hAnsi="Calibri" w:cs="Calibri"/>
          <w:color w:val="000000"/>
          <w:lang w:val="cs-CZ"/>
        </w:rPr>
        <w:t>Správci rozpočtových kapitol mají povinnost</w:t>
      </w:r>
      <w:r w:rsidRPr="00042D3F">
        <w:rPr>
          <w:rStyle w:val="Znakapoznpodarou"/>
          <w:rFonts w:ascii="Calibri" w:hAnsi="Calibri" w:cs="Calibri"/>
          <w:color w:val="000000"/>
          <w:lang w:val="cs-CZ"/>
        </w:rPr>
        <w:footnoteReference w:id="29"/>
      </w:r>
      <w:r w:rsidRPr="00042D3F">
        <w:rPr>
          <w:rFonts w:ascii="Calibri" w:hAnsi="Calibri" w:cs="Calibri"/>
          <w:color w:val="000000"/>
          <w:lang w:val="cs-CZ"/>
        </w:rPr>
        <w:t xml:space="preserve"> provádět registraci akcí/projektů v IS EDS/SMVS na pořízení nebo technické zhodnocení hmotného a neh</w:t>
      </w:r>
      <w:r w:rsidR="00A922EB" w:rsidRPr="00042D3F">
        <w:rPr>
          <w:rFonts w:ascii="Calibri" w:hAnsi="Calibri" w:cs="Calibri"/>
          <w:color w:val="000000"/>
          <w:lang w:val="cs-CZ"/>
        </w:rPr>
        <w:t>motného dlouhodobého majetku, s </w:t>
      </w:r>
      <w:r w:rsidRPr="00042D3F">
        <w:rPr>
          <w:rFonts w:ascii="Calibri" w:hAnsi="Calibri" w:cs="Calibri"/>
          <w:color w:val="000000"/>
          <w:lang w:val="cs-CZ"/>
        </w:rPr>
        <w:t xml:space="preserve">výjimkou drobného hmotného a nehmotného dlouhodobého majetku. MF každoročně ve </w:t>
      </w:r>
      <w:r w:rsidR="00441AD4" w:rsidRPr="00042D3F">
        <w:rPr>
          <w:rFonts w:ascii="Calibri" w:hAnsi="Calibri" w:cs="Calibri"/>
          <w:color w:val="000000"/>
          <w:lang w:val="cs-CZ"/>
        </w:rPr>
        <w:t>s</w:t>
      </w:r>
      <w:r w:rsidRPr="00042D3F">
        <w:rPr>
          <w:rFonts w:ascii="Calibri" w:hAnsi="Calibri" w:cs="Calibri"/>
          <w:color w:val="000000"/>
          <w:lang w:val="cs-CZ"/>
        </w:rPr>
        <w:t xml:space="preserve">tátním závěrečném účtu uvádělo informaci o čerpání peněžních prostředků v rámci programového financování. IS EDS/SMVS </w:t>
      </w:r>
      <w:r w:rsidR="00515559" w:rsidRPr="00042D3F">
        <w:rPr>
          <w:rFonts w:ascii="Calibri" w:hAnsi="Calibri" w:cs="Calibri"/>
          <w:color w:val="000000"/>
          <w:lang w:val="cs-CZ"/>
        </w:rPr>
        <w:t xml:space="preserve">a státní závěrečný účet </w:t>
      </w:r>
      <w:r w:rsidRPr="00042D3F">
        <w:rPr>
          <w:rFonts w:ascii="Calibri" w:hAnsi="Calibri" w:cs="Calibri"/>
          <w:color w:val="000000"/>
          <w:lang w:val="cs-CZ"/>
        </w:rPr>
        <w:t>však neobsahoval</w:t>
      </w:r>
      <w:r w:rsidR="00515559" w:rsidRPr="00042D3F">
        <w:rPr>
          <w:rFonts w:ascii="Calibri" w:hAnsi="Calibri" w:cs="Calibri"/>
          <w:color w:val="000000"/>
          <w:lang w:val="cs-CZ"/>
        </w:rPr>
        <w:t>y</w:t>
      </w:r>
      <w:r w:rsidRPr="00042D3F">
        <w:rPr>
          <w:rFonts w:ascii="Calibri" w:hAnsi="Calibri" w:cs="Calibri"/>
          <w:color w:val="000000"/>
          <w:lang w:val="cs-CZ"/>
        </w:rPr>
        <w:t xml:space="preserve"> v letech 2009</w:t>
      </w:r>
      <w:r w:rsidR="004C3DF5" w:rsidRPr="00042D3F">
        <w:rPr>
          <w:rFonts w:ascii="Calibri" w:hAnsi="Calibri" w:cs="Calibri"/>
          <w:color w:val="000000"/>
          <w:lang w:val="cs-CZ"/>
        </w:rPr>
        <w:t>–</w:t>
      </w:r>
      <w:r w:rsidRPr="00042D3F">
        <w:rPr>
          <w:rFonts w:ascii="Calibri" w:hAnsi="Calibri" w:cs="Calibri"/>
          <w:color w:val="000000"/>
          <w:lang w:val="cs-CZ"/>
        </w:rPr>
        <w:t xml:space="preserve">2014 data o pořizování dlouhodobého hmotného a nehmotného majetku spolufinancovaného z prostředků Evropské unie u kapitoly </w:t>
      </w:r>
      <w:r w:rsidRPr="009C4A68">
        <w:rPr>
          <w:rFonts w:ascii="Calibri" w:hAnsi="Calibri" w:cs="Calibri"/>
          <w:i/>
          <w:color w:val="000000"/>
          <w:lang w:val="cs-CZ"/>
        </w:rPr>
        <w:t>Ministerstv</w:t>
      </w:r>
      <w:r w:rsidR="007D6A89">
        <w:rPr>
          <w:rFonts w:ascii="Calibri" w:hAnsi="Calibri" w:cs="Calibri"/>
          <w:i/>
          <w:color w:val="000000"/>
          <w:lang w:val="cs-CZ"/>
        </w:rPr>
        <w:t>o</w:t>
      </w:r>
      <w:r w:rsidRPr="009C4A68">
        <w:rPr>
          <w:rFonts w:ascii="Calibri" w:hAnsi="Calibri" w:cs="Calibri"/>
          <w:i/>
          <w:color w:val="000000"/>
          <w:lang w:val="cs-CZ"/>
        </w:rPr>
        <w:t xml:space="preserve"> průmyslu a obchodu</w:t>
      </w:r>
      <w:r w:rsidRPr="00042D3F">
        <w:rPr>
          <w:rFonts w:ascii="Calibri" w:hAnsi="Calibri" w:cs="Calibri"/>
          <w:color w:val="000000"/>
          <w:lang w:val="cs-CZ"/>
        </w:rPr>
        <w:t>.</w:t>
      </w:r>
    </w:p>
    <w:p w14:paraId="1D28B1A3" w14:textId="77777777" w:rsidR="00042D3F" w:rsidRPr="00042D3F" w:rsidRDefault="00042D3F" w:rsidP="00042D3F">
      <w:pPr>
        <w:jc w:val="both"/>
        <w:rPr>
          <w:rFonts w:ascii="Calibri" w:hAnsi="Calibri" w:cs="Calibri"/>
          <w:color w:val="000000"/>
          <w:lang w:val="cs-CZ"/>
        </w:rPr>
      </w:pPr>
    </w:p>
    <w:p w14:paraId="3D3370D7" w14:textId="77777777" w:rsidR="00B56137" w:rsidRDefault="00B56137" w:rsidP="00042D3F">
      <w:pPr>
        <w:jc w:val="both"/>
        <w:rPr>
          <w:rFonts w:ascii="Calibri" w:hAnsi="Calibri" w:cs="Calibri"/>
          <w:color w:val="000000"/>
          <w:lang w:val="cs-CZ"/>
        </w:rPr>
      </w:pPr>
      <w:r w:rsidRPr="00042D3F">
        <w:rPr>
          <w:rFonts w:ascii="Calibri" w:hAnsi="Calibri" w:cs="Calibri"/>
          <w:color w:val="000000"/>
          <w:lang w:val="cs-CZ"/>
        </w:rPr>
        <w:t xml:space="preserve">Kontrolou souladu schválené dokumentace </w:t>
      </w:r>
      <w:r w:rsidR="00FB798A" w:rsidRPr="00042D3F">
        <w:rPr>
          <w:rFonts w:ascii="Calibri" w:hAnsi="Calibri" w:cs="Calibri"/>
          <w:color w:val="000000"/>
          <w:lang w:val="cs-CZ"/>
        </w:rPr>
        <w:t>s údaji evidovanými</w:t>
      </w:r>
      <w:r w:rsidRPr="00042D3F">
        <w:rPr>
          <w:rFonts w:ascii="Calibri" w:hAnsi="Calibri" w:cs="Calibri"/>
          <w:color w:val="000000"/>
          <w:lang w:val="cs-CZ"/>
        </w:rPr>
        <w:t xml:space="preserve"> v IS EDS/SMVS </w:t>
      </w:r>
      <w:r w:rsidR="00FB798A" w:rsidRPr="00042D3F">
        <w:rPr>
          <w:rFonts w:ascii="Calibri" w:hAnsi="Calibri" w:cs="Calibri"/>
          <w:color w:val="000000"/>
          <w:lang w:val="cs-CZ"/>
        </w:rPr>
        <w:t xml:space="preserve">bylo zjištěno, že údaje uvedené v IS </w:t>
      </w:r>
      <w:r w:rsidRPr="00042D3F">
        <w:rPr>
          <w:rFonts w:ascii="Calibri" w:hAnsi="Calibri" w:cs="Calibri"/>
          <w:color w:val="000000"/>
          <w:lang w:val="cs-CZ"/>
        </w:rPr>
        <w:t>ne</w:t>
      </w:r>
      <w:r w:rsidR="003C39DA" w:rsidRPr="00042D3F">
        <w:rPr>
          <w:rFonts w:ascii="Calibri" w:hAnsi="Calibri" w:cs="Calibri"/>
          <w:color w:val="000000"/>
          <w:lang w:val="cs-CZ"/>
        </w:rPr>
        <w:t>byly</w:t>
      </w:r>
      <w:r w:rsidRPr="00042D3F">
        <w:rPr>
          <w:rFonts w:ascii="Calibri" w:hAnsi="Calibri" w:cs="Calibri"/>
          <w:color w:val="000000"/>
          <w:lang w:val="cs-CZ"/>
        </w:rPr>
        <w:t xml:space="preserve"> v souladu se skutečným stavem realizace programů, resp. akcí. </w:t>
      </w:r>
      <w:r w:rsidR="003C39DA" w:rsidRPr="00042D3F">
        <w:rPr>
          <w:rFonts w:ascii="Calibri" w:hAnsi="Calibri" w:cs="Calibri"/>
          <w:color w:val="000000"/>
          <w:lang w:val="cs-CZ"/>
        </w:rPr>
        <w:t>Celkem 289 a</w:t>
      </w:r>
      <w:r w:rsidRPr="00042D3F">
        <w:rPr>
          <w:rFonts w:ascii="Calibri" w:hAnsi="Calibri" w:cs="Calibri"/>
          <w:color w:val="000000"/>
          <w:lang w:val="cs-CZ"/>
        </w:rPr>
        <w:t>kc</w:t>
      </w:r>
      <w:r w:rsidR="003C39DA" w:rsidRPr="00042D3F">
        <w:rPr>
          <w:rFonts w:ascii="Calibri" w:hAnsi="Calibri" w:cs="Calibri"/>
          <w:color w:val="000000"/>
          <w:lang w:val="cs-CZ"/>
        </w:rPr>
        <w:t>í v hodnotě 10,479 mld. Kč</w:t>
      </w:r>
      <w:r w:rsidRPr="00042D3F">
        <w:rPr>
          <w:rFonts w:ascii="Calibri" w:hAnsi="Calibri" w:cs="Calibri"/>
          <w:color w:val="000000"/>
          <w:lang w:val="cs-CZ"/>
        </w:rPr>
        <w:t xml:space="preserve"> v programech 212 010 – </w:t>
      </w:r>
      <w:r w:rsidR="00A922EB" w:rsidRPr="00042D3F">
        <w:rPr>
          <w:rFonts w:ascii="Calibri" w:hAnsi="Calibri" w:cs="Calibri"/>
          <w:i/>
          <w:color w:val="000000"/>
          <w:lang w:val="cs-CZ"/>
        </w:rPr>
        <w:t>Rozvoj a </w:t>
      </w:r>
      <w:r w:rsidRPr="00042D3F">
        <w:rPr>
          <w:rFonts w:ascii="Calibri" w:hAnsi="Calibri" w:cs="Calibri"/>
          <w:i/>
          <w:color w:val="000000"/>
          <w:lang w:val="cs-CZ"/>
        </w:rPr>
        <w:t>obnova MTZ, řízení MF v letech 2003–2007</w:t>
      </w:r>
      <w:r w:rsidR="007D6A89">
        <w:rPr>
          <w:rFonts w:ascii="Calibri" w:hAnsi="Calibri" w:cs="Calibri"/>
          <w:color w:val="000000"/>
          <w:lang w:val="cs-CZ"/>
        </w:rPr>
        <w:t>,</w:t>
      </w:r>
      <w:r w:rsidRPr="00042D3F">
        <w:rPr>
          <w:rFonts w:ascii="Calibri" w:hAnsi="Calibri" w:cs="Calibri"/>
          <w:color w:val="000000"/>
          <w:lang w:val="cs-CZ"/>
        </w:rPr>
        <w:t xml:space="preserve"> 212 110 – </w:t>
      </w:r>
      <w:r w:rsidRPr="00042D3F">
        <w:rPr>
          <w:rFonts w:ascii="Calibri" w:hAnsi="Calibri" w:cs="Calibri"/>
          <w:i/>
          <w:color w:val="000000"/>
          <w:lang w:val="cs-CZ"/>
        </w:rPr>
        <w:t>Rozvoj a obnova MTZ ÚFO</w:t>
      </w:r>
      <w:r w:rsidRPr="00042D3F">
        <w:rPr>
          <w:rFonts w:ascii="Calibri" w:hAnsi="Calibri" w:cs="Calibri"/>
          <w:color w:val="000000"/>
          <w:lang w:val="cs-CZ"/>
        </w:rPr>
        <w:t xml:space="preserve"> a 212 910 – </w:t>
      </w:r>
      <w:r w:rsidRPr="00042D3F">
        <w:rPr>
          <w:rFonts w:ascii="Calibri" w:hAnsi="Calibri" w:cs="Calibri"/>
          <w:i/>
          <w:color w:val="000000"/>
          <w:lang w:val="cs-CZ"/>
        </w:rPr>
        <w:t>Výstavba, obnov</w:t>
      </w:r>
      <w:r w:rsidR="00441AD4" w:rsidRPr="00042D3F">
        <w:rPr>
          <w:rFonts w:ascii="Calibri" w:hAnsi="Calibri" w:cs="Calibri"/>
          <w:i/>
          <w:color w:val="000000"/>
          <w:lang w:val="cs-CZ"/>
        </w:rPr>
        <w:t>a a provozování ICT resortu</w:t>
      </w:r>
      <w:r w:rsidR="00441AD4" w:rsidRPr="00042D3F">
        <w:rPr>
          <w:rFonts w:ascii="Calibri" w:hAnsi="Calibri" w:cs="Calibri"/>
          <w:color w:val="000000"/>
          <w:lang w:val="cs-CZ"/>
        </w:rPr>
        <w:t xml:space="preserve"> byl</w:t>
      </w:r>
      <w:r w:rsidR="001846F8">
        <w:rPr>
          <w:rFonts w:ascii="Calibri" w:hAnsi="Calibri" w:cs="Calibri"/>
          <w:color w:val="000000"/>
          <w:lang w:val="cs-CZ"/>
        </w:rPr>
        <w:t>o</w:t>
      </w:r>
      <w:r w:rsidRPr="00042D3F">
        <w:rPr>
          <w:rFonts w:ascii="Calibri" w:hAnsi="Calibri" w:cs="Calibri"/>
          <w:color w:val="000000"/>
          <w:lang w:val="cs-CZ"/>
        </w:rPr>
        <w:t xml:space="preserve"> </w:t>
      </w:r>
      <w:r w:rsidR="00441AD4" w:rsidRPr="00042D3F">
        <w:rPr>
          <w:rFonts w:ascii="Calibri" w:hAnsi="Calibri" w:cs="Calibri"/>
          <w:color w:val="000000"/>
          <w:lang w:val="cs-CZ"/>
        </w:rPr>
        <w:t>v průběhu kontroly v IS označen</w:t>
      </w:r>
      <w:r w:rsidR="001846F8">
        <w:rPr>
          <w:rFonts w:ascii="Calibri" w:hAnsi="Calibri" w:cs="Calibri"/>
          <w:color w:val="000000"/>
          <w:lang w:val="cs-CZ"/>
        </w:rPr>
        <w:t>o</w:t>
      </w:r>
      <w:r w:rsidR="003C39DA" w:rsidRPr="00042D3F">
        <w:rPr>
          <w:rFonts w:ascii="Calibri" w:hAnsi="Calibri" w:cs="Calibri"/>
          <w:color w:val="000000"/>
          <w:lang w:val="cs-CZ"/>
        </w:rPr>
        <w:t xml:space="preserve"> </w:t>
      </w:r>
      <w:r w:rsidRPr="00042D3F">
        <w:rPr>
          <w:rFonts w:ascii="Calibri" w:hAnsi="Calibri" w:cs="Calibri"/>
          <w:color w:val="000000"/>
          <w:lang w:val="cs-CZ"/>
        </w:rPr>
        <w:t>jako stále probíhající</w:t>
      </w:r>
      <w:r w:rsidR="005C16C5" w:rsidRPr="00042D3F">
        <w:rPr>
          <w:rFonts w:ascii="Calibri" w:hAnsi="Calibri" w:cs="Calibri"/>
          <w:color w:val="000000"/>
          <w:lang w:val="cs-CZ"/>
        </w:rPr>
        <w:t xml:space="preserve">, ačkoliv podle listinné dokumentace byly </w:t>
      </w:r>
      <w:r w:rsidR="001846F8">
        <w:rPr>
          <w:rFonts w:ascii="Calibri" w:hAnsi="Calibri" w:cs="Calibri"/>
          <w:color w:val="000000"/>
          <w:lang w:val="cs-CZ"/>
        </w:rPr>
        <w:t xml:space="preserve">akce </w:t>
      </w:r>
      <w:r w:rsidR="005C16C5" w:rsidRPr="00042D3F">
        <w:rPr>
          <w:rFonts w:ascii="Calibri" w:hAnsi="Calibri" w:cs="Calibri"/>
          <w:color w:val="000000"/>
          <w:lang w:val="cs-CZ"/>
        </w:rPr>
        <w:t>již ukončen</w:t>
      </w:r>
      <w:r w:rsidR="001846F8">
        <w:rPr>
          <w:rFonts w:ascii="Calibri" w:hAnsi="Calibri" w:cs="Calibri"/>
          <w:color w:val="000000"/>
          <w:lang w:val="cs-CZ"/>
        </w:rPr>
        <w:t>y</w:t>
      </w:r>
      <w:r w:rsidR="007E078F" w:rsidRPr="00042D3F">
        <w:rPr>
          <w:rFonts w:ascii="Calibri" w:hAnsi="Calibri" w:cs="Calibri"/>
          <w:color w:val="000000"/>
          <w:lang w:val="cs-CZ"/>
        </w:rPr>
        <w:t>.</w:t>
      </w:r>
    </w:p>
    <w:p w14:paraId="797CAB8A" w14:textId="77777777" w:rsidR="00042D3F" w:rsidRPr="00042D3F" w:rsidRDefault="00042D3F" w:rsidP="00042D3F">
      <w:pPr>
        <w:jc w:val="both"/>
        <w:rPr>
          <w:rFonts w:ascii="Calibri" w:hAnsi="Calibri" w:cs="Calibri"/>
          <w:color w:val="000000"/>
          <w:lang w:val="cs-CZ"/>
        </w:rPr>
      </w:pPr>
    </w:p>
    <w:p w14:paraId="3ECDB941" w14:textId="77777777" w:rsidR="00B56137" w:rsidRPr="00042D3F" w:rsidRDefault="00B56137" w:rsidP="00042D3F">
      <w:pPr>
        <w:jc w:val="both"/>
        <w:rPr>
          <w:rFonts w:ascii="Calibri" w:hAnsi="Calibri" w:cs="Calibri"/>
          <w:color w:val="000000"/>
          <w:lang w:val="cs-CZ"/>
        </w:rPr>
      </w:pPr>
      <w:r w:rsidRPr="00042D3F">
        <w:rPr>
          <w:rFonts w:ascii="Calibri" w:hAnsi="Calibri" w:cs="Calibri"/>
          <w:color w:val="000000"/>
          <w:lang w:val="cs-CZ"/>
        </w:rPr>
        <w:t xml:space="preserve">U kontrolovaných dotačních </w:t>
      </w:r>
      <w:r w:rsidR="00A922EB" w:rsidRPr="00042D3F">
        <w:rPr>
          <w:rFonts w:ascii="Calibri" w:hAnsi="Calibri" w:cs="Calibri"/>
          <w:color w:val="000000"/>
          <w:lang w:val="cs-CZ"/>
        </w:rPr>
        <w:t xml:space="preserve">programů </w:t>
      </w:r>
      <w:r w:rsidRPr="00042D3F">
        <w:rPr>
          <w:rFonts w:ascii="Calibri" w:hAnsi="Calibri" w:cs="Calibri"/>
          <w:color w:val="000000"/>
          <w:lang w:val="cs-CZ"/>
        </w:rPr>
        <w:t xml:space="preserve">298 210 </w:t>
      </w:r>
      <w:r w:rsidR="00A922EB" w:rsidRPr="00042D3F">
        <w:rPr>
          <w:rFonts w:ascii="Calibri" w:hAnsi="Calibri" w:cs="Calibri"/>
          <w:color w:val="000000"/>
          <w:lang w:val="cs-CZ"/>
        </w:rPr>
        <w:t>–</w:t>
      </w:r>
      <w:r w:rsidRPr="00042D3F">
        <w:rPr>
          <w:rFonts w:ascii="Calibri" w:hAnsi="Calibri" w:cs="Calibri"/>
          <w:color w:val="000000"/>
          <w:lang w:val="cs-CZ"/>
        </w:rPr>
        <w:t xml:space="preserve"> </w:t>
      </w:r>
      <w:r w:rsidRPr="00042D3F">
        <w:rPr>
          <w:rFonts w:ascii="Calibri" w:hAnsi="Calibri" w:cs="Calibri"/>
          <w:i/>
          <w:color w:val="000000"/>
          <w:lang w:val="cs-CZ"/>
        </w:rPr>
        <w:t>Podpora rozvoje a obnovy materiálně technické základny regionálního školství</w:t>
      </w:r>
      <w:r w:rsidRPr="00042D3F">
        <w:rPr>
          <w:rFonts w:ascii="Calibri" w:hAnsi="Calibri" w:cs="Calibri"/>
          <w:color w:val="000000"/>
          <w:lang w:val="cs-CZ"/>
        </w:rPr>
        <w:t xml:space="preserve"> a 298 220</w:t>
      </w:r>
      <w:r w:rsidR="00A922EB" w:rsidRPr="00042D3F">
        <w:rPr>
          <w:rFonts w:ascii="Calibri" w:hAnsi="Calibri" w:cs="Calibri"/>
          <w:color w:val="000000"/>
          <w:lang w:val="cs-CZ"/>
        </w:rPr>
        <w:t xml:space="preserve"> –</w:t>
      </w:r>
      <w:r w:rsidRPr="00042D3F">
        <w:rPr>
          <w:rFonts w:ascii="Calibri" w:hAnsi="Calibri" w:cs="Calibri"/>
          <w:color w:val="000000"/>
          <w:lang w:val="cs-CZ"/>
        </w:rPr>
        <w:t xml:space="preserve"> </w:t>
      </w:r>
      <w:r w:rsidRPr="00042D3F">
        <w:rPr>
          <w:rFonts w:ascii="Calibri" w:hAnsi="Calibri" w:cs="Calibri"/>
          <w:i/>
          <w:color w:val="000000"/>
          <w:lang w:val="cs-CZ"/>
        </w:rPr>
        <w:t>Akce financované z rozhodnutí Poslanecké sněmovny Parlamentu a vlády ČR</w:t>
      </w:r>
      <w:r w:rsidRPr="00042D3F">
        <w:rPr>
          <w:rFonts w:ascii="Calibri" w:hAnsi="Calibri" w:cs="Calibri"/>
          <w:color w:val="000000"/>
          <w:lang w:val="cs-CZ"/>
        </w:rPr>
        <w:t xml:space="preserve"> bylo zjištěno, že ve všech 24 kontrolovaných akcích v celkové hodnotě 228 mil. Kč byly písemné záznamy uvedené v dokumentu registrace akce shodné s údaji uvedenými v IS EDS/SMVS</w:t>
      </w:r>
      <w:r w:rsidR="003C39DA" w:rsidRPr="00042D3F">
        <w:rPr>
          <w:rFonts w:ascii="Calibri" w:hAnsi="Calibri" w:cs="Calibri"/>
          <w:color w:val="000000"/>
          <w:lang w:val="cs-CZ"/>
        </w:rPr>
        <w:t>, ale v </w:t>
      </w:r>
      <w:r w:rsidR="003F090C" w:rsidRPr="00042D3F">
        <w:rPr>
          <w:rFonts w:ascii="Calibri" w:hAnsi="Calibri" w:cs="Calibri"/>
          <w:color w:val="000000"/>
          <w:lang w:val="cs-CZ"/>
        </w:rPr>
        <w:t>žádném</w:t>
      </w:r>
      <w:r w:rsidR="003C39DA" w:rsidRPr="00042D3F">
        <w:rPr>
          <w:rFonts w:ascii="Calibri" w:hAnsi="Calibri" w:cs="Calibri"/>
          <w:color w:val="000000"/>
          <w:lang w:val="cs-CZ"/>
        </w:rPr>
        <w:t xml:space="preserve"> ze zdrojů nebyly uvedeny cíle těchto akcí a</w:t>
      </w:r>
      <w:r w:rsidR="00CC6E6B" w:rsidRPr="00042D3F">
        <w:rPr>
          <w:rFonts w:ascii="Calibri" w:hAnsi="Calibri" w:cs="Calibri"/>
          <w:color w:val="000000"/>
          <w:lang w:val="cs-CZ"/>
        </w:rPr>
        <w:t>ni</w:t>
      </w:r>
      <w:r w:rsidR="003C39DA" w:rsidRPr="00042D3F">
        <w:rPr>
          <w:rFonts w:ascii="Calibri" w:hAnsi="Calibri" w:cs="Calibri"/>
          <w:color w:val="000000"/>
          <w:lang w:val="cs-CZ"/>
        </w:rPr>
        <w:t xml:space="preserve"> jejich závazné indikátory</w:t>
      </w:r>
      <w:r w:rsidRPr="00042D3F">
        <w:rPr>
          <w:rFonts w:ascii="Calibri" w:hAnsi="Calibri" w:cs="Calibri"/>
          <w:color w:val="000000"/>
          <w:lang w:val="cs-CZ"/>
        </w:rPr>
        <w:t xml:space="preserve">. </w:t>
      </w:r>
      <w:r w:rsidR="000B6B4E" w:rsidRPr="00042D3F">
        <w:rPr>
          <w:rFonts w:ascii="Calibri" w:hAnsi="Calibri" w:cs="Calibri"/>
          <w:color w:val="000000"/>
          <w:lang w:val="cs-CZ"/>
        </w:rPr>
        <w:t>Dle názoru NKÚ není</w:t>
      </w:r>
      <w:r w:rsidR="005C16C5" w:rsidRPr="00042D3F">
        <w:rPr>
          <w:rFonts w:ascii="Calibri" w:hAnsi="Calibri" w:cs="Calibri"/>
          <w:color w:val="000000"/>
          <w:lang w:val="cs-CZ"/>
        </w:rPr>
        <w:t xml:space="preserve"> i</w:t>
      </w:r>
      <w:r w:rsidRPr="00042D3F">
        <w:rPr>
          <w:rFonts w:ascii="Calibri" w:hAnsi="Calibri" w:cs="Calibri"/>
          <w:color w:val="000000"/>
          <w:lang w:val="cs-CZ"/>
        </w:rPr>
        <w:t xml:space="preserve">nformační podpora </w:t>
      </w:r>
      <w:r w:rsidR="005C16C5" w:rsidRPr="00042D3F">
        <w:rPr>
          <w:rFonts w:ascii="Calibri" w:hAnsi="Calibri" w:cs="Calibri"/>
          <w:color w:val="000000"/>
          <w:lang w:val="cs-CZ"/>
        </w:rPr>
        <w:t xml:space="preserve">na úrovni </w:t>
      </w:r>
      <w:r w:rsidRPr="00042D3F">
        <w:rPr>
          <w:rFonts w:ascii="Calibri" w:hAnsi="Calibri" w:cs="Calibri"/>
          <w:color w:val="000000"/>
          <w:lang w:val="cs-CZ"/>
        </w:rPr>
        <w:t>IS EDS/SMVS</w:t>
      </w:r>
      <w:r w:rsidR="004D68E1" w:rsidRPr="00042D3F">
        <w:rPr>
          <w:rFonts w:ascii="Calibri" w:hAnsi="Calibri" w:cs="Calibri"/>
          <w:color w:val="000000"/>
          <w:lang w:val="cs-CZ"/>
        </w:rPr>
        <w:t xml:space="preserve"> </w:t>
      </w:r>
      <w:r w:rsidRPr="00042D3F">
        <w:rPr>
          <w:rFonts w:ascii="Calibri" w:hAnsi="Calibri" w:cs="Calibri"/>
          <w:color w:val="000000"/>
          <w:lang w:val="cs-CZ"/>
        </w:rPr>
        <w:t xml:space="preserve">nastavena tak, aby </w:t>
      </w:r>
      <w:r w:rsidR="005C16C5" w:rsidRPr="00042D3F">
        <w:rPr>
          <w:rFonts w:ascii="Calibri" w:hAnsi="Calibri" w:cs="Calibri"/>
          <w:color w:val="000000"/>
          <w:lang w:val="cs-CZ"/>
        </w:rPr>
        <w:t xml:space="preserve">prostřednictvím </w:t>
      </w:r>
      <w:r w:rsidRPr="00042D3F">
        <w:rPr>
          <w:rFonts w:ascii="Calibri" w:hAnsi="Calibri" w:cs="Calibri"/>
          <w:color w:val="000000"/>
          <w:lang w:val="cs-CZ"/>
        </w:rPr>
        <w:t>kontrolní</w:t>
      </w:r>
      <w:r w:rsidR="005C16C5" w:rsidRPr="00042D3F">
        <w:rPr>
          <w:rFonts w:ascii="Calibri" w:hAnsi="Calibri" w:cs="Calibri"/>
          <w:color w:val="000000"/>
          <w:lang w:val="cs-CZ"/>
        </w:rPr>
        <w:t>ch</w:t>
      </w:r>
      <w:r w:rsidRPr="00042D3F">
        <w:rPr>
          <w:rFonts w:ascii="Calibri" w:hAnsi="Calibri" w:cs="Calibri"/>
          <w:color w:val="000000"/>
          <w:lang w:val="cs-CZ"/>
        </w:rPr>
        <w:t xml:space="preserve"> mechanizm</w:t>
      </w:r>
      <w:r w:rsidR="005C16C5" w:rsidRPr="00042D3F">
        <w:rPr>
          <w:rFonts w:ascii="Calibri" w:hAnsi="Calibri" w:cs="Calibri"/>
          <w:color w:val="000000"/>
          <w:lang w:val="cs-CZ"/>
        </w:rPr>
        <w:t>ů</w:t>
      </w:r>
      <w:r w:rsidRPr="00042D3F">
        <w:rPr>
          <w:rFonts w:ascii="Calibri" w:hAnsi="Calibri" w:cs="Calibri"/>
          <w:color w:val="000000"/>
          <w:lang w:val="cs-CZ"/>
        </w:rPr>
        <w:t xml:space="preserve"> upozornil</w:t>
      </w:r>
      <w:r w:rsidR="00791278" w:rsidRPr="00042D3F">
        <w:rPr>
          <w:rFonts w:ascii="Calibri" w:hAnsi="Calibri" w:cs="Calibri"/>
          <w:color w:val="000000"/>
          <w:lang w:val="cs-CZ"/>
        </w:rPr>
        <w:t>a</w:t>
      </w:r>
      <w:r w:rsidRPr="00042D3F">
        <w:rPr>
          <w:rFonts w:ascii="Calibri" w:hAnsi="Calibri" w:cs="Calibri"/>
          <w:color w:val="000000"/>
          <w:lang w:val="cs-CZ"/>
        </w:rPr>
        <w:t xml:space="preserve"> na tyto nedostatky při čerpání prostředků ze SR.</w:t>
      </w:r>
    </w:p>
    <w:p w14:paraId="7548D0A5" w14:textId="77777777" w:rsidR="00B56137" w:rsidRDefault="00B56137" w:rsidP="00042D3F">
      <w:pPr>
        <w:rPr>
          <w:rFonts w:ascii="Calibri" w:hAnsi="Calibri" w:cs="Calibri"/>
          <w:color w:val="000000"/>
          <w:lang w:val="cs-CZ"/>
        </w:rPr>
      </w:pPr>
    </w:p>
    <w:p w14:paraId="05794893" w14:textId="77777777" w:rsidR="00714DA7" w:rsidRDefault="00714DA7" w:rsidP="00042D3F">
      <w:pPr>
        <w:rPr>
          <w:rFonts w:ascii="Calibri" w:hAnsi="Calibri" w:cs="Calibri"/>
          <w:color w:val="000000"/>
          <w:lang w:val="cs-CZ"/>
        </w:rPr>
      </w:pPr>
    </w:p>
    <w:p w14:paraId="18E1E1FB" w14:textId="77777777" w:rsidR="00714DA7" w:rsidRDefault="00714DA7" w:rsidP="00042D3F">
      <w:pPr>
        <w:rPr>
          <w:rFonts w:ascii="Calibri" w:hAnsi="Calibri" w:cs="Calibri"/>
          <w:color w:val="000000"/>
          <w:lang w:val="cs-CZ"/>
        </w:rPr>
      </w:pPr>
    </w:p>
    <w:p w14:paraId="2CA724F7" w14:textId="77777777" w:rsidR="00714DA7" w:rsidRDefault="00714DA7" w:rsidP="00042D3F">
      <w:pPr>
        <w:rPr>
          <w:rFonts w:ascii="Calibri" w:hAnsi="Calibri" w:cs="Calibri"/>
          <w:color w:val="000000"/>
          <w:lang w:val="cs-CZ"/>
        </w:rPr>
      </w:pPr>
    </w:p>
    <w:p w14:paraId="2341D5D9" w14:textId="77777777" w:rsidR="00714DA7" w:rsidRPr="00042D3F" w:rsidRDefault="00714DA7" w:rsidP="00042D3F">
      <w:pPr>
        <w:rPr>
          <w:rFonts w:ascii="Calibri" w:hAnsi="Calibri" w:cs="Calibri"/>
          <w:color w:val="000000"/>
          <w:lang w:val="cs-CZ"/>
        </w:rPr>
      </w:pPr>
    </w:p>
    <w:p w14:paraId="2FB5AF90" w14:textId="77777777" w:rsidR="00B56137" w:rsidRPr="00042D3F" w:rsidRDefault="00391944" w:rsidP="00042D3F">
      <w:pPr>
        <w:rPr>
          <w:rFonts w:ascii="Calibri" w:hAnsi="Calibri" w:cs="Calibri"/>
          <w:b/>
          <w:color w:val="000000"/>
          <w:lang w:val="cs-CZ"/>
        </w:rPr>
      </w:pPr>
      <w:r w:rsidRPr="00042D3F">
        <w:rPr>
          <w:rFonts w:ascii="Calibri" w:hAnsi="Calibri" w:cs="Calibri"/>
          <w:b/>
          <w:color w:val="000000"/>
          <w:lang w:val="cs-CZ"/>
        </w:rPr>
        <w:lastRenderedPageBreak/>
        <w:t>D</w:t>
      </w:r>
      <w:r w:rsidR="00B56137" w:rsidRPr="00042D3F">
        <w:rPr>
          <w:rFonts w:ascii="Calibri" w:hAnsi="Calibri" w:cs="Calibri"/>
          <w:b/>
          <w:color w:val="000000"/>
          <w:lang w:val="cs-CZ"/>
        </w:rPr>
        <w:t>otace</w:t>
      </w:r>
    </w:p>
    <w:p w14:paraId="681CF6F6" w14:textId="77777777" w:rsidR="00391944" w:rsidRPr="00042D3F" w:rsidRDefault="00391944" w:rsidP="00042D3F">
      <w:pPr>
        <w:rPr>
          <w:rFonts w:ascii="Calibri" w:hAnsi="Calibri" w:cs="Calibri"/>
          <w:color w:val="000000"/>
          <w:lang w:val="cs-CZ"/>
        </w:rPr>
      </w:pPr>
    </w:p>
    <w:p w14:paraId="3A3B186E" w14:textId="77777777" w:rsidR="00BF6570" w:rsidRPr="00042D3F" w:rsidRDefault="00814247" w:rsidP="00042D3F">
      <w:pPr>
        <w:jc w:val="both"/>
        <w:rPr>
          <w:rFonts w:ascii="Calibri" w:hAnsi="Calibri" w:cs="Calibri"/>
          <w:color w:val="000000"/>
          <w:lang w:val="cs-CZ"/>
        </w:rPr>
      </w:pPr>
      <w:r w:rsidRPr="00042D3F">
        <w:rPr>
          <w:rFonts w:ascii="Calibri" w:hAnsi="Calibri" w:cs="Calibri"/>
          <w:color w:val="000000"/>
          <w:lang w:val="cs-CZ"/>
        </w:rPr>
        <w:t xml:space="preserve">NKÚ již </w:t>
      </w:r>
      <w:r w:rsidR="003317E9" w:rsidRPr="00042D3F">
        <w:rPr>
          <w:rFonts w:ascii="Calibri" w:hAnsi="Calibri" w:cs="Calibri"/>
          <w:color w:val="000000"/>
          <w:lang w:val="cs-CZ"/>
        </w:rPr>
        <w:t xml:space="preserve">v </w:t>
      </w:r>
      <w:r w:rsidRPr="00042D3F">
        <w:rPr>
          <w:rFonts w:ascii="Calibri" w:hAnsi="Calibri" w:cs="Calibri"/>
          <w:color w:val="000000"/>
          <w:lang w:val="cs-CZ"/>
        </w:rPr>
        <w:t>k</w:t>
      </w:r>
      <w:r w:rsidR="0069507D" w:rsidRPr="00042D3F">
        <w:rPr>
          <w:rFonts w:ascii="Calibri" w:hAnsi="Calibri" w:cs="Calibri"/>
          <w:color w:val="000000"/>
          <w:lang w:val="cs-CZ"/>
        </w:rPr>
        <w:t>ontrolní akc</w:t>
      </w:r>
      <w:r w:rsidR="002E5AAB" w:rsidRPr="00042D3F">
        <w:rPr>
          <w:rFonts w:ascii="Calibri" w:hAnsi="Calibri" w:cs="Calibri"/>
          <w:color w:val="000000"/>
          <w:lang w:val="cs-CZ"/>
        </w:rPr>
        <w:t>i</w:t>
      </w:r>
      <w:r w:rsidR="0069507D" w:rsidRPr="00042D3F">
        <w:rPr>
          <w:rFonts w:ascii="Calibri" w:hAnsi="Calibri" w:cs="Calibri"/>
          <w:color w:val="000000"/>
          <w:lang w:val="cs-CZ"/>
        </w:rPr>
        <w:t xml:space="preserve"> </w:t>
      </w:r>
      <w:r w:rsidR="003317E9" w:rsidRPr="00042D3F">
        <w:rPr>
          <w:rFonts w:ascii="Calibri" w:hAnsi="Calibri" w:cs="Calibri"/>
          <w:color w:val="000000"/>
          <w:lang w:val="cs-CZ"/>
        </w:rPr>
        <w:t>realizované</w:t>
      </w:r>
      <w:r w:rsidRPr="00042D3F">
        <w:rPr>
          <w:rFonts w:ascii="Calibri" w:hAnsi="Calibri" w:cs="Calibri"/>
          <w:color w:val="000000"/>
          <w:lang w:val="cs-CZ"/>
        </w:rPr>
        <w:t xml:space="preserve"> v roce</w:t>
      </w:r>
      <w:r w:rsidR="0069507D" w:rsidRPr="00042D3F">
        <w:rPr>
          <w:rFonts w:ascii="Calibri" w:hAnsi="Calibri" w:cs="Calibri"/>
          <w:color w:val="000000"/>
          <w:lang w:val="cs-CZ"/>
        </w:rPr>
        <w:t xml:space="preserve"> 2003</w:t>
      </w:r>
      <w:r w:rsidR="00457025" w:rsidRPr="00042D3F">
        <w:rPr>
          <w:rStyle w:val="Znakapoznpodarou"/>
          <w:rFonts w:ascii="Calibri" w:hAnsi="Calibri" w:cs="Calibri"/>
          <w:color w:val="000000"/>
          <w:lang w:val="cs-CZ"/>
        </w:rPr>
        <w:footnoteReference w:id="30"/>
      </w:r>
      <w:r w:rsidR="0069507D" w:rsidRPr="00042D3F">
        <w:rPr>
          <w:rFonts w:ascii="Calibri" w:hAnsi="Calibri" w:cs="Calibri"/>
          <w:color w:val="000000"/>
          <w:lang w:val="cs-CZ"/>
        </w:rPr>
        <w:t xml:space="preserve"> upozornil, že</w:t>
      </w:r>
      <w:r w:rsidR="0069507D" w:rsidRPr="00042D3F">
        <w:rPr>
          <w:rFonts w:ascii="Calibri" w:hAnsi="Calibri" w:cs="Calibri"/>
        </w:rPr>
        <w:t xml:space="preserve"> </w:t>
      </w:r>
      <w:r w:rsidR="007E078F" w:rsidRPr="00042D3F">
        <w:rPr>
          <w:rFonts w:ascii="Calibri" w:hAnsi="Calibri" w:cs="Calibri"/>
          <w:color w:val="000000"/>
          <w:lang w:val="cs-CZ"/>
        </w:rPr>
        <w:t xml:space="preserve">IS CEDR neobsahoval informace </w:t>
      </w:r>
      <w:r w:rsidR="0069507D" w:rsidRPr="00042D3F">
        <w:rPr>
          <w:rFonts w:ascii="Calibri" w:hAnsi="Calibri" w:cs="Calibri"/>
          <w:color w:val="000000"/>
          <w:lang w:val="cs-CZ"/>
        </w:rPr>
        <w:t xml:space="preserve">o veškerých poskytnutých dotacích, a to i takových, které byly poskytnuty </w:t>
      </w:r>
      <w:r w:rsidR="007E078F" w:rsidRPr="00042D3F">
        <w:rPr>
          <w:rFonts w:ascii="Calibri" w:hAnsi="Calibri" w:cs="Calibri"/>
          <w:color w:val="000000"/>
          <w:lang w:val="cs-CZ"/>
        </w:rPr>
        <w:t xml:space="preserve">řádově </w:t>
      </w:r>
      <w:r w:rsidR="003C39DA" w:rsidRPr="00042D3F">
        <w:rPr>
          <w:rFonts w:ascii="Calibri" w:hAnsi="Calibri" w:cs="Calibri"/>
          <w:color w:val="000000"/>
          <w:lang w:val="cs-CZ"/>
        </w:rPr>
        <w:t>v</w:t>
      </w:r>
      <w:r w:rsidR="007D4EAA" w:rsidRPr="00042D3F">
        <w:rPr>
          <w:rFonts w:ascii="Calibri" w:hAnsi="Calibri" w:cs="Calibri"/>
          <w:color w:val="000000"/>
          <w:lang w:val="cs-CZ"/>
        </w:rPr>
        <w:t> </w:t>
      </w:r>
      <w:r w:rsidR="0069507D" w:rsidRPr="00042D3F">
        <w:rPr>
          <w:rFonts w:ascii="Calibri" w:hAnsi="Calibri" w:cs="Calibri"/>
          <w:color w:val="000000"/>
          <w:lang w:val="cs-CZ"/>
        </w:rPr>
        <w:t xml:space="preserve">milionových částkách. </w:t>
      </w:r>
      <w:r w:rsidRPr="00042D3F">
        <w:rPr>
          <w:rFonts w:ascii="Calibri" w:hAnsi="Calibri" w:cs="Calibri"/>
          <w:color w:val="000000"/>
          <w:lang w:val="cs-CZ"/>
        </w:rPr>
        <w:t xml:space="preserve">Výsledky </w:t>
      </w:r>
      <w:r w:rsidR="007D6A89">
        <w:rPr>
          <w:rFonts w:ascii="Calibri" w:hAnsi="Calibri" w:cs="Calibri"/>
          <w:color w:val="000000"/>
          <w:lang w:val="cs-CZ"/>
        </w:rPr>
        <w:t>této kontrolní akce</w:t>
      </w:r>
      <w:r w:rsidRPr="00042D3F">
        <w:rPr>
          <w:rFonts w:ascii="Calibri" w:hAnsi="Calibri" w:cs="Calibri"/>
          <w:color w:val="000000"/>
          <w:lang w:val="cs-CZ"/>
        </w:rPr>
        <w:t xml:space="preserve"> u </w:t>
      </w:r>
      <w:r w:rsidR="0069507D" w:rsidRPr="00042D3F">
        <w:rPr>
          <w:rFonts w:ascii="Calibri" w:hAnsi="Calibri" w:cs="Calibri"/>
          <w:color w:val="000000"/>
          <w:lang w:val="cs-CZ"/>
        </w:rPr>
        <w:t xml:space="preserve">MF a GFŘ </w:t>
      </w:r>
      <w:r w:rsidRPr="00042D3F">
        <w:rPr>
          <w:rFonts w:ascii="Calibri" w:hAnsi="Calibri" w:cs="Calibri"/>
          <w:color w:val="000000"/>
          <w:lang w:val="cs-CZ"/>
        </w:rPr>
        <w:t xml:space="preserve">ukazují, že kontrolované osoby </w:t>
      </w:r>
      <w:r w:rsidR="0069507D" w:rsidRPr="00042D3F">
        <w:rPr>
          <w:rFonts w:ascii="Calibri" w:hAnsi="Calibri" w:cs="Calibri"/>
          <w:color w:val="000000"/>
          <w:lang w:val="cs-CZ"/>
        </w:rPr>
        <w:t>doposud neučinily takové nápravné opatření, kterým by zajistil</w:t>
      </w:r>
      <w:r w:rsidR="003317E9" w:rsidRPr="00042D3F">
        <w:rPr>
          <w:rFonts w:ascii="Calibri" w:hAnsi="Calibri" w:cs="Calibri"/>
          <w:color w:val="000000"/>
          <w:lang w:val="cs-CZ"/>
        </w:rPr>
        <w:t>y</w:t>
      </w:r>
      <w:r w:rsidR="0069507D" w:rsidRPr="00042D3F">
        <w:rPr>
          <w:rFonts w:ascii="Calibri" w:hAnsi="Calibri" w:cs="Calibri"/>
          <w:color w:val="000000"/>
          <w:lang w:val="cs-CZ"/>
        </w:rPr>
        <w:t xml:space="preserve"> </w:t>
      </w:r>
      <w:r w:rsidRPr="00042D3F">
        <w:rPr>
          <w:rFonts w:ascii="Calibri" w:hAnsi="Calibri" w:cs="Calibri"/>
          <w:color w:val="000000"/>
          <w:lang w:val="cs-CZ"/>
        </w:rPr>
        <w:t xml:space="preserve">spolehlivou </w:t>
      </w:r>
      <w:r w:rsidR="0069507D" w:rsidRPr="00042D3F">
        <w:rPr>
          <w:rFonts w:ascii="Calibri" w:hAnsi="Calibri" w:cs="Calibri"/>
          <w:color w:val="000000"/>
          <w:lang w:val="cs-CZ"/>
        </w:rPr>
        <w:t>evidenci veškerých údajů o poskytnutých dotací</w:t>
      </w:r>
      <w:r w:rsidR="003C39DA" w:rsidRPr="00042D3F">
        <w:rPr>
          <w:rFonts w:ascii="Calibri" w:hAnsi="Calibri" w:cs="Calibri"/>
          <w:color w:val="000000"/>
          <w:lang w:val="cs-CZ"/>
        </w:rPr>
        <w:t>ch</w:t>
      </w:r>
      <w:r w:rsidR="0069507D" w:rsidRPr="00042D3F">
        <w:rPr>
          <w:rFonts w:ascii="Calibri" w:hAnsi="Calibri" w:cs="Calibri"/>
          <w:color w:val="000000"/>
          <w:lang w:val="cs-CZ"/>
        </w:rPr>
        <w:t xml:space="preserve">. </w:t>
      </w:r>
      <w:r w:rsidR="00745666" w:rsidRPr="00042D3F">
        <w:rPr>
          <w:rFonts w:ascii="Calibri" w:hAnsi="Calibri" w:cs="Calibri"/>
          <w:color w:val="000000"/>
          <w:lang w:val="cs-CZ"/>
        </w:rPr>
        <w:t xml:space="preserve">V IS CEDR III mají být evidovány pouze </w:t>
      </w:r>
      <w:r w:rsidR="0094638C" w:rsidRPr="00042D3F">
        <w:rPr>
          <w:rFonts w:ascii="Calibri" w:hAnsi="Calibri" w:cs="Calibri"/>
          <w:color w:val="000000"/>
          <w:lang w:val="cs-CZ"/>
        </w:rPr>
        <w:t>dotace, návratné finanční výpomoci a obdobné transfery poskytované ze SR, státních fondů, státních finančních aktiv a Národního fondu</w:t>
      </w:r>
      <w:r w:rsidR="003C39DA" w:rsidRPr="00042D3F">
        <w:rPr>
          <w:rStyle w:val="Znakapoznpodarou"/>
          <w:rFonts w:ascii="Calibri" w:hAnsi="Calibri" w:cs="Calibri"/>
          <w:color w:val="000000"/>
          <w:lang w:val="cs-CZ"/>
        </w:rPr>
        <w:footnoteReference w:id="31"/>
      </w:r>
      <w:r w:rsidR="0094638C" w:rsidRPr="00042D3F">
        <w:rPr>
          <w:rFonts w:ascii="Calibri" w:hAnsi="Calibri" w:cs="Calibri"/>
          <w:color w:val="000000"/>
          <w:lang w:val="cs-CZ"/>
        </w:rPr>
        <w:t>.</w:t>
      </w:r>
      <w:r w:rsidR="00745666" w:rsidRPr="00042D3F">
        <w:rPr>
          <w:rFonts w:ascii="Calibri" w:hAnsi="Calibri" w:cs="Calibri"/>
          <w:color w:val="000000"/>
          <w:lang w:val="cs-CZ"/>
        </w:rPr>
        <w:t xml:space="preserve"> </w:t>
      </w:r>
      <w:r w:rsidR="0094638C" w:rsidRPr="00042D3F">
        <w:rPr>
          <w:rFonts w:ascii="Calibri" w:hAnsi="Calibri" w:cs="Calibri"/>
          <w:color w:val="000000"/>
          <w:lang w:val="cs-CZ"/>
        </w:rPr>
        <w:t>IS CEDR III však evidoval data z</w:t>
      </w:r>
      <w:r w:rsidR="007D6A89">
        <w:rPr>
          <w:rFonts w:ascii="Calibri" w:hAnsi="Calibri" w:cs="Calibri"/>
          <w:color w:val="000000"/>
          <w:lang w:val="cs-CZ"/>
        </w:rPr>
        <w:t> </w:t>
      </w:r>
      <w:r w:rsidR="0094638C" w:rsidRPr="00042D3F">
        <w:rPr>
          <w:rFonts w:ascii="Calibri" w:hAnsi="Calibri" w:cs="Calibri"/>
          <w:color w:val="000000"/>
          <w:lang w:val="cs-CZ"/>
        </w:rPr>
        <w:t>IS EDS/SMVS</w:t>
      </w:r>
      <w:r w:rsidR="003317E9" w:rsidRPr="00042D3F">
        <w:rPr>
          <w:rFonts w:ascii="Calibri" w:hAnsi="Calibri" w:cs="Calibri"/>
          <w:color w:val="000000"/>
          <w:lang w:val="cs-CZ"/>
        </w:rPr>
        <w:t>, která nebyla dotacemi a nesouvisela</w:t>
      </w:r>
      <w:r w:rsidRPr="00042D3F">
        <w:rPr>
          <w:rFonts w:ascii="Calibri" w:hAnsi="Calibri" w:cs="Calibri"/>
          <w:color w:val="000000"/>
          <w:lang w:val="cs-CZ"/>
        </w:rPr>
        <w:t xml:space="preserve"> se zaměřením IS CEDR III. Jednalo se o</w:t>
      </w:r>
      <w:r w:rsidR="007D6A89">
        <w:rPr>
          <w:rFonts w:ascii="Calibri" w:hAnsi="Calibri" w:cs="Calibri"/>
          <w:color w:val="000000"/>
          <w:lang w:val="cs-CZ"/>
        </w:rPr>
        <w:t> </w:t>
      </w:r>
      <w:r w:rsidR="0094638C" w:rsidRPr="00042D3F">
        <w:rPr>
          <w:rFonts w:ascii="Calibri" w:hAnsi="Calibri" w:cs="Calibri"/>
          <w:color w:val="000000"/>
          <w:lang w:val="cs-CZ"/>
        </w:rPr>
        <w:t xml:space="preserve">individuálně posuzované výdaje a systémově určené výdaje SR vynaložené na pořízení nebo technické zhodnocení hmotného a nehmotného majetku MF a GFŘ za </w:t>
      </w:r>
      <w:r w:rsidRPr="00042D3F">
        <w:rPr>
          <w:rFonts w:ascii="Calibri" w:hAnsi="Calibri" w:cs="Calibri"/>
          <w:color w:val="000000"/>
          <w:lang w:val="cs-CZ"/>
        </w:rPr>
        <w:t xml:space="preserve">období </w:t>
      </w:r>
      <w:r w:rsidR="0094638C" w:rsidRPr="00042D3F">
        <w:rPr>
          <w:rFonts w:ascii="Calibri" w:hAnsi="Calibri" w:cs="Calibri"/>
          <w:color w:val="000000"/>
          <w:lang w:val="cs-CZ"/>
        </w:rPr>
        <w:t>2011</w:t>
      </w:r>
      <w:r w:rsidR="00861DBD" w:rsidRPr="00042D3F">
        <w:rPr>
          <w:rFonts w:ascii="Calibri" w:hAnsi="Calibri" w:cs="Calibri"/>
          <w:color w:val="000000"/>
          <w:lang w:val="cs-CZ"/>
        </w:rPr>
        <w:t>–</w:t>
      </w:r>
      <w:r w:rsidR="0094638C" w:rsidRPr="00042D3F">
        <w:rPr>
          <w:rFonts w:ascii="Calibri" w:hAnsi="Calibri" w:cs="Calibri"/>
          <w:color w:val="000000"/>
          <w:lang w:val="cs-CZ"/>
        </w:rPr>
        <w:t>2014</w:t>
      </w:r>
      <w:r w:rsidR="00691A96" w:rsidRPr="00042D3F">
        <w:rPr>
          <w:rStyle w:val="Znakapoznpodarou"/>
          <w:rFonts w:ascii="Calibri" w:hAnsi="Calibri" w:cs="Calibri"/>
          <w:color w:val="000000"/>
          <w:lang w:val="cs-CZ"/>
        </w:rPr>
        <w:footnoteReference w:id="32"/>
      </w:r>
      <w:r w:rsidR="0094638C" w:rsidRPr="00042D3F">
        <w:rPr>
          <w:rFonts w:ascii="Calibri" w:hAnsi="Calibri" w:cs="Calibri"/>
          <w:color w:val="000000"/>
          <w:lang w:val="cs-CZ"/>
        </w:rPr>
        <w:t xml:space="preserve"> v celkové hodnotě 9,06 mld. Kč</w:t>
      </w:r>
      <w:r w:rsidRPr="00042D3F">
        <w:rPr>
          <w:rFonts w:ascii="Calibri" w:hAnsi="Calibri" w:cs="Calibri"/>
          <w:color w:val="000000"/>
          <w:lang w:val="cs-CZ"/>
        </w:rPr>
        <w:t>.</w:t>
      </w:r>
      <w:r w:rsidR="000B1660" w:rsidRPr="00042D3F">
        <w:rPr>
          <w:rFonts w:ascii="Calibri" w:hAnsi="Calibri" w:cs="Calibri"/>
          <w:color w:val="000000"/>
          <w:lang w:val="cs-CZ"/>
        </w:rPr>
        <w:t xml:space="preserve"> </w:t>
      </w:r>
      <w:r w:rsidRPr="00042D3F">
        <w:rPr>
          <w:rFonts w:ascii="Calibri" w:hAnsi="Calibri" w:cs="Calibri"/>
          <w:color w:val="000000"/>
          <w:lang w:val="cs-CZ"/>
        </w:rPr>
        <w:t xml:space="preserve">Dále bylo zjištěno, že </w:t>
      </w:r>
      <w:r w:rsidR="00BF6570" w:rsidRPr="00042D3F">
        <w:rPr>
          <w:rFonts w:ascii="Calibri" w:hAnsi="Calibri" w:cs="Calibri"/>
          <w:color w:val="000000"/>
          <w:lang w:val="cs-CZ"/>
        </w:rPr>
        <w:t>MF a GFŘ převáděl</w:t>
      </w:r>
      <w:r w:rsidR="00515559" w:rsidRPr="00042D3F">
        <w:rPr>
          <w:rFonts w:ascii="Calibri" w:hAnsi="Calibri" w:cs="Calibri"/>
          <w:color w:val="000000"/>
          <w:lang w:val="cs-CZ"/>
        </w:rPr>
        <w:t>y</w:t>
      </w:r>
      <w:r w:rsidR="00BF6570" w:rsidRPr="00042D3F">
        <w:rPr>
          <w:rFonts w:ascii="Calibri" w:hAnsi="Calibri" w:cs="Calibri"/>
          <w:color w:val="000000"/>
          <w:lang w:val="cs-CZ"/>
        </w:rPr>
        <w:t xml:space="preserve"> data z IS EDS/SMVS pouze jednou ročně, ačkoliv </w:t>
      </w:r>
      <w:r w:rsidR="00F05C68" w:rsidRPr="00042D3F">
        <w:rPr>
          <w:rFonts w:ascii="Calibri" w:hAnsi="Calibri" w:cs="Calibri"/>
          <w:color w:val="000000"/>
          <w:lang w:val="cs-CZ"/>
        </w:rPr>
        <w:t>právní předpis</w:t>
      </w:r>
      <w:r w:rsidR="00BF6570" w:rsidRPr="00042D3F">
        <w:rPr>
          <w:rStyle w:val="Znakapoznpodarou"/>
          <w:rFonts w:ascii="Calibri" w:hAnsi="Calibri" w:cs="Calibri"/>
          <w:color w:val="000000"/>
          <w:lang w:val="cs-CZ"/>
        </w:rPr>
        <w:footnoteReference w:id="33"/>
      </w:r>
      <w:r w:rsidR="00BF6570" w:rsidRPr="00042D3F">
        <w:rPr>
          <w:rFonts w:ascii="Calibri" w:hAnsi="Calibri" w:cs="Calibri"/>
          <w:color w:val="000000"/>
          <w:lang w:val="cs-CZ"/>
        </w:rPr>
        <w:t xml:space="preserve"> stanovil čtvrtletní interval. Pro přenos dat byla nutná spolupráce MF s dodavatelem IS EDS/SMVS. </w:t>
      </w:r>
      <w:r w:rsidRPr="00042D3F">
        <w:rPr>
          <w:rFonts w:ascii="Calibri" w:hAnsi="Calibri" w:cs="Calibri"/>
          <w:color w:val="000000"/>
          <w:lang w:val="cs-CZ"/>
        </w:rPr>
        <w:t>D</w:t>
      </w:r>
      <w:r w:rsidR="00BF6570" w:rsidRPr="00042D3F">
        <w:rPr>
          <w:rFonts w:ascii="Calibri" w:hAnsi="Calibri" w:cs="Calibri"/>
          <w:color w:val="000000"/>
          <w:lang w:val="cs-CZ"/>
        </w:rPr>
        <w:t xml:space="preserve">ata </w:t>
      </w:r>
      <w:r w:rsidRPr="00042D3F">
        <w:rPr>
          <w:rFonts w:ascii="Calibri" w:hAnsi="Calibri" w:cs="Calibri"/>
          <w:color w:val="000000"/>
          <w:lang w:val="cs-CZ"/>
        </w:rPr>
        <w:t xml:space="preserve">byla následně </w:t>
      </w:r>
      <w:r w:rsidR="00BF6570" w:rsidRPr="00042D3F">
        <w:rPr>
          <w:rFonts w:ascii="Calibri" w:hAnsi="Calibri" w:cs="Calibri"/>
          <w:color w:val="000000"/>
          <w:lang w:val="cs-CZ"/>
        </w:rPr>
        <w:t>předána GFŘ, které je poskytlo dodavateli IS CEDR III, který je zprac</w:t>
      </w:r>
      <w:r w:rsidRPr="00042D3F">
        <w:rPr>
          <w:rFonts w:ascii="Calibri" w:hAnsi="Calibri" w:cs="Calibri"/>
          <w:color w:val="000000"/>
          <w:lang w:val="cs-CZ"/>
        </w:rPr>
        <w:t>oval</w:t>
      </w:r>
      <w:r w:rsidR="00BF6570" w:rsidRPr="00042D3F">
        <w:rPr>
          <w:rFonts w:ascii="Calibri" w:hAnsi="Calibri" w:cs="Calibri"/>
          <w:color w:val="000000"/>
          <w:lang w:val="cs-CZ"/>
        </w:rPr>
        <w:t xml:space="preserve"> a </w:t>
      </w:r>
      <w:r w:rsidRPr="00042D3F">
        <w:rPr>
          <w:rFonts w:ascii="Calibri" w:hAnsi="Calibri" w:cs="Calibri"/>
          <w:color w:val="000000"/>
          <w:lang w:val="cs-CZ"/>
        </w:rPr>
        <w:t xml:space="preserve">zanesl </w:t>
      </w:r>
      <w:r w:rsidR="00BF6570" w:rsidRPr="00042D3F">
        <w:rPr>
          <w:rFonts w:ascii="Calibri" w:hAnsi="Calibri" w:cs="Calibri"/>
          <w:color w:val="000000"/>
          <w:lang w:val="cs-CZ"/>
        </w:rPr>
        <w:t>do systému. GFŘ a MF tak do ukončení kontroly neměl</w:t>
      </w:r>
      <w:r w:rsidR="004D68E1" w:rsidRPr="00042D3F">
        <w:rPr>
          <w:rFonts w:ascii="Calibri" w:hAnsi="Calibri" w:cs="Calibri"/>
          <w:color w:val="000000"/>
          <w:lang w:val="cs-CZ"/>
        </w:rPr>
        <w:t>y</w:t>
      </w:r>
      <w:r w:rsidR="00BF6570" w:rsidRPr="00042D3F">
        <w:rPr>
          <w:rFonts w:ascii="Calibri" w:hAnsi="Calibri" w:cs="Calibri"/>
          <w:color w:val="000000"/>
          <w:lang w:val="cs-CZ"/>
        </w:rPr>
        <w:t xml:space="preserve"> nastaven</w:t>
      </w:r>
      <w:r w:rsidR="003C39DA" w:rsidRPr="00042D3F">
        <w:rPr>
          <w:rFonts w:ascii="Calibri" w:hAnsi="Calibri" w:cs="Calibri"/>
          <w:color w:val="000000"/>
          <w:lang w:val="cs-CZ"/>
        </w:rPr>
        <w:t>é</w:t>
      </w:r>
      <w:r w:rsidR="00BF6570" w:rsidRPr="00042D3F">
        <w:rPr>
          <w:rFonts w:ascii="Calibri" w:hAnsi="Calibri" w:cs="Calibri"/>
          <w:color w:val="000000"/>
          <w:lang w:val="cs-CZ"/>
        </w:rPr>
        <w:t xml:space="preserve"> automati</w:t>
      </w:r>
      <w:r w:rsidR="003C39DA" w:rsidRPr="00042D3F">
        <w:rPr>
          <w:rFonts w:ascii="Calibri" w:hAnsi="Calibri" w:cs="Calibri"/>
          <w:color w:val="000000"/>
          <w:lang w:val="cs-CZ"/>
        </w:rPr>
        <w:t>zované</w:t>
      </w:r>
      <w:r w:rsidR="00BF6570" w:rsidRPr="00042D3F">
        <w:rPr>
          <w:rFonts w:ascii="Calibri" w:hAnsi="Calibri" w:cs="Calibri"/>
          <w:color w:val="000000"/>
          <w:lang w:val="cs-CZ"/>
        </w:rPr>
        <w:t xml:space="preserve"> rozhraní pro přenos dat.</w:t>
      </w:r>
    </w:p>
    <w:p w14:paraId="0824FE5E" w14:textId="77777777" w:rsidR="00304B03" w:rsidRPr="00042D3F" w:rsidRDefault="00304B03" w:rsidP="00042D3F">
      <w:pPr>
        <w:rPr>
          <w:rFonts w:ascii="Calibri" w:hAnsi="Calibri" w:cs="Calibri"/>
          <w:color w:val="000000"/>
          <w:lang w:val="cs-CZ"/>
        </w:rPr>
      </w:pPr>
    </w:p>
    <w:p w14:paraId="0E3F1DCA" w14:textId="77777777" w:rsidR="00CF211E" w:rsidRPr="009C4A68" w:rsidRDefault="00CF211E" w:rsidP="00042D3F">
      <w:pPr>
        <w:spacing w:after="120"/>
        <w:rPr>
          <w:rFonts w:asciiTheme="minorHAnsi" w:hAnsiTheme="minorHAnsi" w:cstheme="minorHAnsi"/>
          <w:b/>
          <w:color w:val="000000"/>
          <w:lang w:val="cs-CZ"/>
        </w:rPr>
      </w:pPr>
      <w:r w:rsidRPr="009C4A68">
        <w:rPr>
          <w:rFonts w:asciiTheme="minorHAnsi" w:hAnsiTheme="minorHAnsi" w:cstheme="minorHAnsi"/>
          <w:b/>
          <w:color w:val="000000"/>
          <w:lang w:val="cs-CZ"/>
        </w:rPr>
        <w:t>Schéma</w:t>
      </w:r>
      <w:r w:rsidR="00E11A80" w:rsidRPr="009C4A68">
        <w:rPr>
          <w:rFonts w:asciiTheme="minorHAnsi" w:hAnsiTheme="minorHAnsi" w:cstheme="minorHAnsi"/>
          <w:b/>
          <w:color w:val="000000"/>
          <w:lang w:val="cs-CZ"/>
        </w:rPr>
        <w:t xml:space="preserve"> č. 1</w:t>
      </w:r>
      <w:r w:rsidRPr="009C4A68">
        <w:rPr>
          <w:rFonts w:asciiTheme="minorHAnsi" w:hAnsiTheme="minorHAnsi" w:cstheme="minorHAnsi"/>
          <w:b/>
          <w:color w:val="000000"/>
          <w:lang w:val="cs-CZ"/>
        </w:rPr>
        <w:t xml:space="preserve"> – Předávání dat mezi IS EDS/SMVS a IS CEDR III</w:t>
      </w:r>
    </w:p>
    <w:p w14:paraId="2666865B" w14:textId="77777777" w:rsidR="00CF211E" w:rsidRPr="00D92ED2" w:rsidRDefault="002C0914" w:rsidP="004C3E28">
      <w:pPr>
        <w:spacing w:after="120"/>
        <w:jc w:val="center"/>
        <w:rPr>
          <w:rFonts w:asciiTheme="minorHAnsi" w:hAnsiTheme="minorHAnsi" w:cstheme="minorHAnsi"/>
          <w:color w:val="000000"/>
          <w:lang w:val="cs-CZ"/>
        </w:rPr>
      </w:pPr>
      <w:r>
        <w:rPr>
          <w:noProof/>
          <w:lang w:val="cs-CZ" w:eastAsia="cs-CZ"/>
        </w:rPr>
        <w:drawing>
          <wp:inline distT="0" distB="0" distL="0" distR="0" wp14:anchorId="40C22720" wp14:editId="7363E092">
            <wp:extent cx="5831840" cy="370078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31840" cy="3700780"/>
                    </a:xfrm>
                    <a:prstGeom prst="rect">
                      <a:avLst/>
                    </a:prstGeom>
                  </pic:spPr>
                </pic:pic>
              </a:graphicData>
            </a:graphic>
          </wp:inline>
        </w:drawing>
      </w:r>
    </w:p>
    <w:p w14:paraId="463D1ED6" w14:textId="77777777" w:rsidR="00CF211E" w:rsidRPr="009C4A68" w:rsidRDefault="00CF211E" w:rsidP="00042D3F">
      <w:pPr>
        <w:spacing w:before="40"/>
        <w:rPr>
          <w:rFonts w:asciiTheme="minorHAnsi" w:hAnsiTheme="minorHAnsi" w:cstheme="minorHAnsi"/>
          <w:color w:val="000000"/>
          <w:sz w:val="20"/>
          <w:szCs w:val="20"/>
          <w:lang w:val="cs-CZ"/>
        </w:rPr>
      </w:pPr>
      <w:r w:rsidRPr="009C4A68">
        <w:rPr>
          <w:rFonts w:asciiTheme="minorHAnsi" w:hAnsiTheme="minorHAnsi" w:cstheme="minorHAnsi"/>
          <w:b/>
          <w:color w:val="000000"/>
          <w:sz w:val="20"/>
          <w:szCs w:val="20"/>
          <w:lang w:val="cs-CZ"/>
        </w:rPr>
        <w:t>Zdroj:</w:t>
      </w:r>
      <w:r w:rsidRPr="009C4A68">
        <w:rPr>
          <w:rFonts w:asciiTheme="minorHAnsi" w:hAnsiTheme="minorHAnsi" w:cstheme="minorHAnsi"/>
          <w:color w:val="000000"/>
          <w:sz w:val="20"/>
          <w:szCs w:val="20"/>
          <w:lang w:val="cs-CZ"/>
        </w:rPr>
        <w:t xml:space="preserve"> vlastní zpracování</w:t>
      </w:r>
      <w:r w:rsidR="0014384C" w:rsidRPr="009C4A68">
        <w:rPr>
          <w:rFonts w:asciiTheme="minorHAnsi" w:hAnsiTheme="minorHAnsi" w:cstheme="minorHAnsi"/>
          <w:color w:val="000000"/>
          <w:sz w:val="20"/>
          <w:szCs w:val="20"/>
          <w:lang w:val="cs-CZ"/>
        </w:rPr>
        <w:t xml:space="preserve"> na základě dokumentů MF a GFŘ</w:t>
      </w:r>
      <w:r w:rsidR="00CC7DE0" w:rsidRPr="009C4A68">
        <w:rPr>
          <w:rFonts w:asciiTheme="minorHAnsi" w:hAnsiTheme="minorHAnsi" w:cstheme="minorHAnsi"/>
          <w:color w:val="000000"/>
          <w:sz w:val="20"/>
          <w:szCs w:val="20"/>
          <w:lang w:val="cs-CZ"/>
        </w:rPr>
        <w:t>.</w:t>
      </w:r>
    </w:p>
    <w:p w14:paraId="31D4C00D" w14:textId="77777777" w:rsidR="000B1660" w:rsidRPr="00042D3F" w:rsidRDefault="000B1660" w:rsidP="00042D3F">
      <w:pPr>
        <w:jc w:val="both"/>
        <w:rPr>
          <w:rFonts w:ascii="Calibri" w:hAnsi="Calibri" w:cs="Calibri"/>
          <w:color w:val="000000"/>
          <w:lang w:val="cs-CZ"/>
        </w:rPr>
      </w:pPr>
    </w:p>
    <w:p w14:paraId="49D87110" w14:textId="77777777" w:rsidR="009A41F3" w:rsidRPr="00042D3F" w:rsidRDefault="00814247" w:rsidP="00042D3F">
      <w:pPr>
        <w:jc w:val="both"/>
        <w:rPr>
          <w:rFonts w:ascii="Calibri" w:hAnsi="Calibri" w:cs="Calibri"/>
          <w:b/>
          <w:color w:val="000000"/>
          <w:lang w:val="cs-CZ"/>
        </w:rPr>
      </w:pPr>
      <w:r w:rsidRPr="00042D3F">
        <w:rPr>
          <w:rFonts w:ascii="Calibri" w:hAnsi="Calibri" w:cs="Calibri"/>
          <w:b/>
          <w:color w:val="000000"/>
          <w:lang w:val="cs-CZ"/>
        </w:rPr>
        <w:t>Příkladem nedostatků v datech uložených v </w:t>
      </w:r>
      <w:r w:rsidR="00B56137" w:rsidRPr="00042D3F">
        <w:rPr>
          <w:rFonts w:ascii="Calibri" w:hAnsi="Calibri" w:cs="Calibri"/>
          <w:b/>
          <w:color w:val="000000"/>
          <w:lang w:val="cs-CZ"/>
        </w:rPr>
        <w:t xml:space="preserve">IS CEDR III </w:t>
      </w:r>
      <w:r w:rsidR="00A81448" w:rsidRPr="00042D3F">
        <w:rPr>
          <w:rFonts w:ascii="Calibri" w:hAnsi="Calibri" w:cs="Calibri"/>
          <w:b/>
          <w:color w:val="000000"/>
          <w:lang w:val="cs-CZ"/>
        </w:rPr>
        <w:t xml:space="preserve">bylo </w:t>
      </w:r>
      <w:r w:rsidRPr="00042D3F">
        <w:rPr>
          <w:rFonts w:ascii="Calibri" w:hAnsi="Calibri" w:cs="Calibri"/>
          <w:b/>
          <w:color w:val="000000"/>
          <w:lang w:val="cs-CZ"/>
        </w:rPr>
        <w:t xml:space="preserve">zjištění, že </w:t>
      </w:r>
      <w:r w:rsidR="008A1CF1" w:rsidRPr="00042D3F">
        <w:rPr>
          <w:rFonts w:ascii="Calibri" w:hAnsi="Calibri" w:cs="Calibri"/>
          <w:b/>
          <w:color w:val="000000"/>
          <w:lang w:val="cs-CZ"/>
        </w:rPr>
        <w:t xml:space="preserve">NKÚ </w:t>
      </w:r>
      <w:r w:rsidR="00A81448" w:rsidRPr="00042D3F">
        <w:rPr>
          <w:rFonts w:ascii="Calibri" w:hAnsi="Calibri" w:cs="Calibri"/>
          <w:b/>
          <w:color w:val="000000"/>
          <w:lang w:val="cs-CZ"/>
        </w:rPr>
        <w:t>byl</w:t>
      </w:r>
      <w:r w:rsidR="008A1CF1" w:rsidRPr="00042D3F">
        <w:rPr>
          <w:rFonts w:ascii="Calibri" w:hAnsi="Calibri" w:cs="Calibri"/>
          <w:b/>
          <w:color w:val="000000"/>
          <w:lang w:val="cs-CZ"/>
        </w:rPr>
        <w:t xml:space="preserve"> </w:t>
      </w:r>
      <w:r w:rsidR="00B56137" w:rsidRPr="00042D3F">
        <w:rPr>
          <w:rFonts w:ascii="Calibri" w:hAnsi="Calibri" w:cs="Calibri"/>
          <w:b/>
          <w:color w:val="000000"/>
          <w:lang w:val="cs-CZ"/>
        </w:rPr>
        <w:t>evidov</w:t>
      </w:r>
      <w:r w:rsidRPr="00042D3F">
        <w:rPr>
          <w:rFonts w:ascii="Calibri" w:hAnsi="Calibri" w:cs="Calibri"/>
          <w:b/>
          <w:color w:val="000000"/>
          <w:lang w:val="cs-CZ"/>
        </w:rPr>
        <w:t>á</w:t>
      </w:r>
      <w:r w:rsidR="008A1CF1" w:rsidRPr="00042D3F">
        <w:rPr>
          <w:rFonts w:ascii="Calibri" w:hAnsi="Calibri" w:cs="Calibri"/>
          <w:b/>
          <w:color w:val="000000"/>
          <w:lang w:val="cs-CZ"/>
        </w:rPr>
        <w:t xml:space="preserve">n </w:t>
      </w:r>
      <w:r w:rsidR="00253CB0" w:rsidRPr="00042D3F">
        <w:rPr>
          <w:rFonts w:ascii="Calibri" w:hAnsi="Calibri" w:cs="Calibri"/>
          <w:b/>
          <w:color w:val="000000"/>
          <w:lang w:val="cs-CZ"/>
        </w:rPr>
        <w:t>jako poskytovatel dotací</w:t>
      </w:r>
      <w:r w:rsidR="009A41F3" w:rsidRPr="00042D3F">
        <w:rPr>
          <w:rFonts w:ascii="Calibri" w:hAnsi="Calibri" w:cs="Calibri"/>
          <w:b/>
          <w:color w:val="000000"/>
          <w:lang w:val="cs-CZ"/>
        </w:rPr>
        <w:t>.</w:t>
      </w:r>
      <w:r w:rsidR="00253CB0" w:rsidRPr="00042D3F">
        <w:rPr>
          <w:rFonts w:ascii="Calibri" w:hAnsi="Calibri" w:cs="Calibri"/>
          <w:b/>
          <w:color w:val="000000"/>
          <w:lang w:val="cs-CZ"/>
        </w:rPr>
        <w:t xml:space="preserve"> </w:t>
      </w:r>
      <w:r w:rsidR="008A1CF1" w:rsidRPr="00042D3F">
        <w:rPr>
          <w:rFonts w:ascii="Calibri" w:hAnsi="Calibri" w:cs="Calibri"/>
          <w:b/>
          <w:color w:val="000000"/>
          <w:lang w:val="cs-CZ"/>
        </w:rPr>
        <w:t xml:space="preserve">Dle dat uvedených v IS měl </w:t>
      </w:r>
      <w:r w:rsidR="00253CB0" w:rsidRPr="00042D3F">
        <w:rPr>
          <w:rFonts w:ascii="Calibri" w:hAnsi="Calibri" w:cs="Calibri"/>
          <w:b/>
          <w:color w:val="000000"/>
          <w:lang w:val="cs-CZ"/>
        </w:rPr>
        <w:t>za období</w:t>
      </w:r>
      <w:r w:rsidR="004D68E1" w:rsidRPr="00042D3F">
        <w:rPr>
          <w:rFonts w:ascii="Calibri" w:hAnsi="Calibri" w:cs="Calibri"/>
          <w:b/>
          <w:color w:val="000000"/>
          <w:lang w:val="cs-CZ"/>
        </w:rPr>
        <w:t xml:space="preserve"> </w:t>
      </w:r>
      <w:r w:rsidR="00304218" w:rsidRPr="00042D3F">
        <w:rPr>
          <w:rFonts w:ascii="Calibri" w:hAnsi="Calibri" w:cs="Calibri"/>
          <w:b/>
          <w:color w:val="000000"/>
          <w:lang w:val="cs-CZ"/>
        </w:rPr>
        <w:t>200</w:t>
      </w:r>
      <w:r w:rsidR="00A922EB" w:rsidRPr="00042D3F">
        <w:rPr>
          <w:rFonts w:ascii="Calibri" w:hAnsi="Calibri" w:cs="Calibri"/>
          <w:b/>
          <w:color w:val="000000"/>
          <w:lang w:val="cs-CZ"/>
        </w:rPr>
        <w:t>9</w:t>
      </w:r>
      <w:r w:rsidR="00261ABE" w:rsidRPr="00042D3F">
        <w:rPr>
          <w:rFonts w:ascii="Calibri" w:hAnsi="Calibri" w:cs="Calibri"/>
          <w:b/>
          <w:color w:val="000000"/>
          <w:lang w:val="cs-CZ"/>
        </w:rPr>
        <w:t>–201</w:t>
      </w:r>
      <w:r w:rsidR="00304218" w:rsidRPr="00042D3F">
        <w:rPr>
          <w:rFonts w:ascii="Calibri" w:hAnsi="Calibri" w:cs="Calibri"/>
          <w:b/>
          <w:color w:val="000000"/>
          <w:lang w:val="cs-CZ"/>
        </w:rPr>
        <w:t>4</w:t>
      </w:r>
      <w:r w:rsidR="008A1CF1" w:rsidRPr="00042D3F">
        <w:rPr>
          <w:rFonts w:ascii="Calibri" w:hAnsi="Calibri" w:cs="Calibri"/>
          <w:b/>
          <w:color w:val="000000"/>
          <w:lang w:val="cs-CZ"/>
        </w:rPr>
        <w:t xml:space="preserve"> poskytnout dotace ve výši 278 mil. Kč</w:t>
      </w:r>
      <w:r w:rsidR="00261ABE" w:rsidRPr="00042D3F">
        <w:rPr>
          <w:rFonts w:ascii="Calibri" w:hAnsi="Calibri" w:cs="Calibri"/>
          <w:b/>
          <w:color w:val="000000"/>
          <w:lang w:val="cs-CZ"/>
        </w:rPr>
        <w:t xml:space="preserve">. </w:t>
      </w:r>
      <w:r w:rsidR="0094638C" w:rsidRPr="00042D3F">
        <w:rPr>
          <w:rFonts w:ascii="Calibri" w:hAnsi="Calibri" w:cs="Calibri"/>
          <w:b/>
          <w:color w:val="000000"/>
          <w:lang w:val="cs-CZ"/>
        </w:rPr>
        <w:t xml:space="preserve">NKÚ však nikdy </w:t>
      </w:r>
      <w:r w:rsidR="008A1CF1" w:rsidRPr="00042D3F">
        <w:rPr>
          <w:rFonts w:ascii="Calibri" w:hAnsi="Calibri" w:cs="Calibri"/>
          <w:b/>
          <w:color w:val="000000"/>
          <w:lang w:val="cs-CZ"/>
        </w:rPr>
        <w:t xml:space="preserve">nebyl </w:t>
      </w:r>
      <w:r w:rsidR="0094638C" w:rsidRPr="00042D3F">
        <w:rPr>
          <w:rFonts w:ascii="Calibri" w:hAnsi="Calibri" w:cs="Calibri"/>
          <w:b/>
          <w:color w:val="000000"/>
          <w:lang w:val="cs-CZ"/>
        </w:rPr>
        <w:t>poskytovatelem dotací</w:t>
      </w:r>
      <w:r w:rsidR="00253CB0" w:rsidRPr="00042D3F">
        <w:rPr>
          <w:rFonts w:ascii="Calibri" w:hAnsi="Calibri" w:cs="Calibri"/>
          <w:b/>
          <w:color w:val="000000"/>
          <w:lang w:val="cs-CZ"/>
        </w:rPr>
        <w:t>,</w:t>
      </w:r>
      <w:r w:rsidR="00547C74" w:rsidRPr="00042D3F">
        <w:rPr>
          <w:rFonts w:ascii="Calibri" w:hAnsi="Calibri" w:cs="Calibri"/>
          <w:b/>
          <w:color w:val="000000"/>
          <w:lang w:val="cs-CZ"/>
        </w:rPr>
        <w:t xml:space="preserve"> </w:t>
      </w:r>
      <w:r w:rsidR="0094638C" w:rsidRPr="00042D3F">
        <w:rPr>
          <w:rFonts w:ascii="Calibri" w:hAnsi="Calibri" w:cs="Calibri"/>
          <w:b/>
          <w:color w:val="000000"/>
          <w:lang w:val="cs-CZ"/>
        </w:rPr>
        <w:t xml:space="preserve">údaje do IS CEDR nevkládal a </w:t>
      </w:r>
      <w:r w:rsidR="00547C74" w:rsidRPr="00042D3F">
        <w:rPr>
          <w:rFonts w:ascii="Calibri" w:hAnsi="Calibri" w:cs="Calibri"/>
          <w:b/>
          <w:color w:val="000000"/>
          <w:lang w:val="cs-CZ"/>
        </w:rPr>
        <w:t xml:space="preserve">ani </w:t>
      </w:r>
      <w:r w:rsidR="0094638C" w:rsidRPr="00042D3F">
        <w:rPr>
          <w:rFonts w:ascii="Calibri" w:hAnsi="Calibri" w:cs="Calibri"/>
          <w:b/>
          <w:color w:val="000000"/>
          <w:lang w:val="cs-CZ"/>
        </w:rPr>
        <w:t>vkládat</w:t>
      </w:r>
      <w:r w:rsidR="00547C74" w:rsidRPr="00042D3F">
        <w:rPr>
          <w:rFonts w:ascii="Calibri" w:hAnsi="Calibri" w:cs="Calibri"/>
          <w:b/>
          <w:color w:val="000000"/>
          <w:lang w:val="cs-CZ"/>
        </w:rPr>
        <w:t xml:space="preserve"> nemohl</w:t>
      </w:r>
      <w:r w:rsidR="0094638C" w:rsidRPr="00042D3F">
        <w:rPr>
          <w:rFonts w:ascii="Calibri" w:hAnsi="Calibri" w:cs="Calibri"/>
          <w:b/>
          <w:color w:val="000000"/>
          <w:lang w:val="cs-CZ"/>
        </w:rPr>
        <w:t xml:space="preserve">. GFŘ </w:t>
      </w:r>
      <w:r w:rsidR="008A1CF1" w:rsidRPr="00042D3F">
        <w:rPr>
          <w:rFonts w:ascii="Calibri" w:hAnsi="Calibri" w:cs="Calibri"/>
          <w:b/>
          <w:color w:val="000000"/>
          <w:lang w:val="cs-CZ"/>
        </w:rPr>
        <w:t>však tato data</w:t>
      </w:r>
      <w:r w:rsidR="0094638C" w:rsidRPr="00042D3F">
        <w:rPr>
          <w:rFonts w:ascii="Calibri" w:hAnsi="Calibri" w:cs="Calibri"/>
          <w:b/>
          <w:color w:val="000000"/>
          <w:lang w:val="cs-CZ"/>
        </w:rPr>
        <w:t xml:space="preserve"> v</w:t>
      </w:r>
      <w:r w:rsidR="00A922EB" w:rsidRPr="00042D3F">
        <w:rPr>
          <w:rFonts w:ascii="Calibri" w:hAnsi="Calibri" w:cs="Calibri"/>
          <w:b/>
          <w:color w:val="000000"/>
          <w:lang w:val="cs-CZ"/>
        </w:rPr>
        <w:t> </w:t>
      </w:r>
      <w:r w:rsidR="0094638C" w:rsidRPr="00042D3F">
        <w:rPr>
          <w:rFonts w:ascii="Calibri" w:hAnsi="Calibri" w:cs="Calibri"/>
          <w:b/>
          <w:color w:val="000000"/>
          <w:lang w:val="cs-CZ"/>
        </w:rPr>
        <w:t xml:space="preserve">IS CEDR </w:t>
      </w:r>
      <w:r w:rsidR="00261ABE" w:rsidRPr="00042D3F">
        <w:rPr>
          <w:rFonts w:ascii="Calibri" w:hAnsi="Calibri" w:cs="Calibri"/>
          <w:b/>
          <w:color w:val="000000"/>
          <w:lang w:val="cs-CZ"/>
        </w:rPr>
        <w:t xml:space="preserve">III </w:t>
      </w:r>
      <w:r w:rsidR="0094638C" w:rsidRPr="00042D3F">
        <w:rPr>
          <w:rFonts w:ascii="Calibri" w:hAnsi="Calibri" w:cs="Calibri"/>
          <w:b/>
          <w:color w:val="000000"/>
          <w:lang w:val="cs-CZ"/>
        </w:rPr>
        <w:t>evid</w:t>
      </w:r>
      <w:r w:rsidR="00A81448" w:rsidRPr="00042D3F">
        <w:rPr>
          <w:rFonts w:ascii="Calibri" w:hAnsi="Calibri" w:cs="Calibri"/>
          <w:b/>
          <w:color w:val="000000"/>
          <w:lang w:val="cs-CZ"/>
        </w:rPr>
        <w:t>oval</w:t>
      </w:r>
      <w:r w:rsidR="0094638C" w:rsidRPr="00042D3F">
        <w:rPr>
          <w:rFonts w:ascii="Calibri" w:hAnsi="Calibri" w:cs="Calibri"/>
          <w:b/>
          <w:color w:val="000000"/>
          <w:lang w:val="cs-CZ"/>
        </w:rPr>
        <w:t xml:space="preserve"> a vykaz</w:t>
      </w:r>
      <w:r w:rsidR="00A81448" w:rsidRPr="00042D3F">
        <w:rPr>
          <w:rFonts w:ascii="Calibri" w:hAnsi="Calibri" w:cs="Calibri"/>
          <w:b/>
          <w:color w:val="000000"/>
          <w:lang w:val="cs-CZ"/>
        </w:rPr>
        <w:t>oval</w:t>
      </w:r>
      <w:r w:rsidR="0094638C" w:rsidRPr="00042D3F">
        <w:rPr>
          <w:rFonts w:ascii="Calibri" w:hAnsi="Calibri" w:cs="Calibri"/>
          <w:b/>
          <w:color w:val="000000"/>
          <w:lang w:val="cs-CZ"/>
        </w:rPr>
        <w:t xml:space="preserve"> nesprávně</w:t>
      </w:r>
      <w:r w:rsidR="008A1CF1" w:rsidRPr="00042D3F">
        <w:rPr>
          <w:rFonts w:ascii="Calibri" w:hAnsi="Calibri" w:cs="Calibri"/>
          <w:b/>
          <w:color w:val="000000"/>
          <w:lang w:val="cs-CZ"/>
        </w:rPr>
        <w:t>, tudíž</w:t>
      </w:r>
      <w:r w:rsidR="003317E9" w:rsidRPr="00042D3F">
        <w:rPr>
          <w:rFonts w:ascii="Calibri" w:hAnsi="Calibri" w:cs="Calibri"/>
          <w:b/>
          <w:color w:val="000000"/>
          <w:lang w:val="cs-CZ"/>
        </w:rPr>
        <w:t xml:space="preserve"> </w:t>
      </w:r>
      <w:r w:rsidR="00261ABE" w:rsidRPr="00042D3F">
        <w:rPr>
          <w:rFonts w:ascii="Calibri" w:hAnsi="Calibri" w:cs="Calibri"/>
          <w:b/>
          <w:color w:val="000000"/>
          <w:lang w:val="cs-CZ"/>
        </w:rPr>
        <w:t>zveřejň</w:t>
      </w:r>
      <w:r w:rsidR="00A81448" w:rsidRPr="00042D3F">
        <w:rPr>
          <w:rFonts w:ascii="Calibri" w:hAnsi="Calibri" w:cs="Calibri"/>
          <w:b/>
          <w:color w:val="000000"/>
          <w:lang w:val="cs-CZ"/>
        </w:rPr>
        <w:t>oval</w:t>
      </w:r>
      <w:r w:rsidR="00261ABE" w:rsidRPr="00042D3F">
        <w:rPr>
          <w:rFonts w:ascii="Calibri" w:hAnsi="Calibri" w:cs="Calibri"/>
          <w:b/>
          <w:color w:val="000000"/>
          <w:lang w:val="cs-CZ"/>
        </w:rPr>
        <w:t xml:space="preserve"> </w:t>
      </w:r>
      <w:r w:rsidR="008A1CF1" w:rsidRPr="00042D3F">
        <w:rPr>
          <w:rFonts w:ascii="Calibri" w:hAnsi="Calibri" w:cs="Calibri"/>
          <w:b/>
          <w:color w:val="000000"/>
          <w:lang w:val="cs-CZ"/>
        </w:rPr>
        <w:t>nepravdivé</w:t>
      </w:r>
      <w:r w:rsidR="00261ABE" w:rsidRPr="00042D3F">
        <w:rPr>
          <w:rFonts w:ascii="Calibri" w:hAnsi="Calibri" w:cs="Calibri"/>
          <w:b/>
          <w:color w:val="000000"/>
          <w:lang w:val="cs-CZ"/>
        </w:rPr>
        <w:t xml:space="preserve"> informace.</w:t>
      </w:r>
    </w:p>
    <w:p w14:paraId="0F765173" w14:textId="77777777" w:rsidR="009A41F3" w:rsidRPr="00042D3F" w:rsidRDefault="009A41F3" w:rsidP="00042D3F">
      <w:pPr>
        <w:jc w:val="both"/>
        <w:rPr>
          <w:rFonts w:ascii="Calibri" w:hAnsi="Calibri" w:cs="Calibri"/>
          <w:color w:val="000000"/>
          <w:lang w:val="cs-CZ"/>
        </w:rPr>
      </w:pPr>
    </w:p>
    <w:p w14:paraId="491F6C10" w14:textId="77777777" w:rsidR="00261ABE" w:rsidRDefault="00317240" w:rsidP="00042D3F">
      <w:pPr>
        <w:jc w:val="both"/>
        <w:rPr>
          <w:rFonts w:ascii="Calibri" w:hAnsi="Calibri" w:cs="Calibri"/>
          <w:color w:val="000000"/>
          <w:lang w:val="cs-CZ"/>
        </w:rPr>
      </w:pPr>
      <w:r w:rsidRPr="00042D3F">
        <w:rPr>
          <w:rFonts w:ascii="Calibri" w:hAnsi="Calibri" w:cs="Calibri"/>
          <w:color w:val="000000"/>
          <w:lang w:val="cs-CZ"/>
        </w:rPr>
        <w:t>P</w:t>
      </w:r>
      <w:r w:rsidR="00261ABE" w:rsidRPr="00042D3F">
        <w:rPr>
          <w:rFonts w:ascii="Calibri" w:hAnsi="Calibri" w:cs="Calibri"/>
          <w:color w:val="000000"/>
          <w:lang w:val="cs-CZ"/>
        </w:rPr>
        <w:t xml:space="preserve">ro kontrolu úplnosti dat obsažených v IS CEDR III </w:t>
      </w:r>
      <w:r w:rsidR="00633115" w:rsidRPr="00042D3F">
        <w:rPr>
          <w:rFonts w:ascii="Calibri" w:hAnsi="Calibri" w:cs="Calibri"/>
          <w:color w:val="000000"/>
          <w:lang w:val="cs-CZ"/>
        </w:rPr>
        <w:t xml:space="preserve">byl </w:t>
      </w:r>
      <w:r w:rsidR="00261ABE" w:rsidRPr="00042D3F">
        <w:rPr>
          <w:rFonts w:ascii="Calibri" w:hAnsi="Calibri" w:cs="Calibri"/>
          <w:color w:val="000000"/>
          <w:lang w:val="cs-CZ"/>
        </w:rPr>
        <w:t xml:space="preserve">vybrán kontrolní vzorek dvou dotačních titulů, jejichž správcem byla kapitola 398 </w:t>
      </w:r>
      <w:r w:rsidR="00A922EB" w:rsidRPr="00042D3F">
        <w:rPr>
          <w:rFonts w:ascii="Calibri" w:hAnsi="Calibri" w:cs="Calibri"/>
          <w:color w:val="000000"/>
          <w:lang w:val="cs-CZ"/>
        </w:rPr>
        <w:t>–</w:t>
      </w:r>
      <w:r w:rsidR="00261ABE" w:rsidRPr="00042D3F">
        <w:rPr>
          <w:rFonts w:ascii="Calibri" w:hAnsi="Calibri" w:cs="Calibri"/>
          <w:color w:val="000000"/>
          <w:lang w:val="cs-CZ"/>
        </w:rPr>
        <w:t xml:space="preserve"> </w:t>
      </w:r>
      <w:r w:rsidR="00261ABE" w:rsidRPr="00042D3F">
        <w:rPr>
          <w:rFonts w:ascii="Calibri" w:hAnsi="Calibri" w:cs="Calibri"/>
          <w:i/>
          <w:color w:val="000000"/>
          <w:lang w:val="cs-CZ"/>
        </w:rPr>
        <w:t>Všeobecná pokladní správa</w:t>
      </w:r>
      <w:r w:rsidR="00633115" w:rsidRPr="00042D3F">
        <w:rPr>
          <w:rStyle w:val="Znakapoznpodarou"/>
          <w:rFonts w:ascii="Calibri" w:hAnsi="Calibri" w:cs="Calibri"/>
          <w:i/>
          <w:color w:val="000000"/>
          <w:lang w:val="cs-CZ"/>
        </w:rPr>
        <w:footnoteReference w:id="34"/>
      </w:r>
      <w:r w:rsidR="00261ABE" w:rsidRPr="00042D3F">
        <w:rPr>
          <w:rFonts w:ascii="Calibri" w:hAnsi="Calibri" w:cs="Calibri"/>
          <w:color w:val="000000"/>
          <w:lang w:val="cs-CZ"/>
        </w:rPr>
        <w:t>, a to se zaměřením na dotace poskytnuté v letech 2012 a 2013. Jednalo</w:t>
      </w:r>
      <w:r w:rsidR="00A922EB" w:rsidRPr="00042D3F">
        <w:rPr>
          <w:rFonts w:ascii="Calibri" w:hAnsi="Calibri" w:cs="Calibri"/>
          <w:color w:val="000000"/>
          <w:lang w:val="cs-CZ"/>
        </w:rPr>
        <w:t xml:space="preserve"> se o </w:t>
      </w:r>
      <w:r w:rsidR="00261ABE" w:rsidRPr="00042D3F">
        <w:rPr>
          <w:rFonts w:ascii="Calibri" w:hAnsi="Calibri" w:cs="Calibri"/>
          <w:color w:val="000000"/>
          <w:lang w:val="cs-CZ"/>
        </w:rPr>
        <w:t>dotační tituly poskytované ze SR: 298</w:t>
      </w:r>
      <w:r w:rsidR="00344C2F" w:rsidRPr="00042D3F">
        <w:rPr>
          <w:rFonts w:ascii="Calibri" w:hAnsi="Calibri" w:cs="Calibri"/>
          <w:color w:val="000000"/>
          <w:lang w:val="cs-CZ"/>
        </w:rPr>
        <w:t> </w:t>
      </w:r>
      <w:r w:rsidR="00261ABE" w:rsidRPr="00042D3F">
        <w:rPr>
          <w:rFonts w:ascii="Calibri" w:hAnsi="Calibri" w:cs="Calibri"/>
          <w:color w:val="000000"/>
          <w:lang w:val="cs-CZ"/>
        </w:rPr>
        <w:t xml:space="preserve">210 </w:t>
      </w:r>
      <w:r w:rsidR="00A922EB" w:rsidRPr="00042D3F">
        <w:rPr>
          <w:rFonts w:ascii="Calibri" w:hAnsi="Calibri" w:cs="Calibri"/>
          <w:color w:val="000000"/>
          <w:lang w:val="cs-CZ"/>
        </w:rPr>
        <w:t>–</w:t>
      </w:r>
      <w:r w:rsidR="00261ABE" w:rsidRPr="00042D3F">
        <w:rPr>
          <w:rFonts w:ascii="Calibri" w:hAnsi="Calibri" w:cs="Calibri"/>
          <w:color w:val="000000"/>
          <w:lang w:val="cs-CZ"/>
        </w:rPr>
        <w:t xml:space="preserve"> </w:t>
      </w:r>
      <w:r w:rsidR="00261ABE" w:rsidRPr="00042D3F">
        <w:rPr>
          <w:rFonts w:ascii="Calibri" w:hAnsi="Calibri" w:cs="Calibri"/>
          <w:i/>
          <w:color w:val="000000"/>
          <w:lang w:val="cs-CZ"/>
        </w:rPr>
        <w:t>Podpora rozvoje a obnovy materiálně technické základny regionálního školství</w:t>
      </w:r>
      <w:r w:rsidR="00344C2F" w:rsidRPr="00042D3F">
        <w:rPr>
          <w:rFonts w:ascii="Calibri" w:hAnsi="Calibri" w:cs="Calibri"/>
          <w:color w:val="000000"/>
          <w:lang w:val="cs-CZ"/>
        </w:rPr>
        <w:t xml:space="preserve"> a </w:t>
      </w:r>
      <w:r w:rsidR="00261ABE" w:rsidRPr="00042D3F">
        <w:rPr>
          <w:rFonts w:ascii="Calibri" w:hAnsi="Calibri" w:cs="Calibri"/>
          <w:color w:val="000000"/>
          <w:lang w:val="cs-CZ"/>
        </w:rPr>
        <w:t xml:space="preserve">298 220 </w:t>
      </w:r>
      <w:r w:rsidR="00A922EB" w:rsidRPr="00042D3F">
        <w:rPr>
          <w:rFonts w:ascii="Calibri" w:hAnsi="Calibri" w:cs="Calibri"/>
          <w:color w:val="000000"/>
          <w:lang w:val="cs-CZ"/>
        </w:rPr>
        <w:t>–</w:t>
      </w:r>
      <w:r w:rsidR="00261ABE" w:rsidRPr="00042D3F">
        <w:rPr>
          <w:rFonts w:ascii="Calibri" w:hAnsi="Calibri" w:cs="Calibri"/>
          <w:color w:val="000000"/>
          <w:lang w:val="cs-CZ"/>
        </w:rPr>
        <w:t xml:space="preserve"> </w:t>
      </w:r>
      <w:r w:rsidR="00261ABE" w:rsidRPr="00042D3F">
        <w:rPr>
          <w:rFonts w:ascii="Calibri" w:hAnsi="Calibri" w:cs="Calibri"/>
          <w:i/>
          <w:color w:val="000000"/>
          <w:lang w:val="cs-CZ"/>
        </w:rPr>
        <w:t>Akce financované z rozhodnutí Poslanecké sněmovny Parlamentu a vlády ČR</w:t>
      </w:r>
      <w:r w:rsidR="00261ABE" w:rsidRPr="00042D3F">
        <w:rPr>
          <w:rFonts w:ascii="Calibri" w:hAnsi="Calibri" w:cs="Calibri"/>
          <w:color w:val="000000"/>
          <w:lang w:val="cs-CZ"/>
        </w:rPr>
        <w:t xml:space="preserve">. </w:t>
      </w:r>
      <w:r w:rsidR="00344C2F" w:rsidRPr="00042D3F">
        <w:rPr>
          <w:rFonts w:ascii="Calibri" w:hAnsi="Calibri" w:cs="Calibri"/>
          <w:color w:val="000000"/>
          <w:lang w:val="cs-CZ"/>
        </w:rPr>
        <w:t>V </w:t>
      </w:r>
      <w:r w:rsidR="00261ABE" w:rsidRPr="00042D3F">
        <w:rPr>
          <w:rFonts w:ascii="Calibri" w:hAnsi="Calibri" w:cs="Calibri"/>
          <w:color w:val="000000"/>
          <w:lang w:val="cs-CZ"/>
        </w:rPr>
        <w:t xml:space="preserve">kontrolním vzorku těchto </w:t>
      </w:r>
      <w:r w:rsidR="00633115" w:rsidRPr="00042D3F">
        <w:rPr>
          <w:rFonts w:ascii="Calibri" w:hAnsi="Calibri" w:cs="Calibri"/>
          <w:color w:val="000000"/>
          <w:lang w:val="cs-CZ"/>
        </w:rPr>
        <w:t xml:space="preserve">dotačních titulů </w:t>
      </w:r>
      <w:r w:rsidR="00C3760E">
        <w:rPr>
          <w:rFonts w:ascii="Calibri" w:hAnsi="Calibri" w:cs="Calibri"/>
          <w:color w:val="000000"/>
          <w:lang w:val="cs-CZ"/>
        </w:rPr>
        <w:t>v objemu</w:t>
      </w:r>
      <w:r w:rsidR="00261ABE" w:rsidRPr="00042D3F">
        <w:rPr>
          <w:rFonts w:ascii="Calibri" w:hAnsi="Calibri" w:cs="Calibri"/>
          <w:color w:val="000000"/>
          <w:lang w:val="cs-CZ"/>
        </w:rPr>
        <w:t xml:space="preserve"> 98 794,45 tis. Kč byly zahrnuty také vlastní zdroje účastníka programu, dotace z rozpočtu obcí a z územních rozpočtů, a to ve výši 27</w:t>
      </w:r>
      <w:r w:rsidR="00344C2F" w:rsidRPr="00042D3F">
        <w:rPr>
          <w:rFonts w:ascii="Calibri" w:hAnsi="Calibri" w:cs="Calibri"/>
          <w:color w:val="000000"/>
          <w:lang w:val="cs-CZ"/>
        </w:rPr>
        <w:t> </w:t>
      </w:r>
      <w:r w:rsidR="00261ABE" w:rsidRPr="00042D3F">
        <w:rPr>
          <w:rFonts w:ascii="Calibri" w:hAnsi="Calibri" w:cs="Calibri"/>
          <w:color w:val="000000"/>
          <w:lang w:val="cs-CZ"/>
        </w:rPr>
        <w:t>61</w:t>
      </w:r>
      <w:r w:rsidR="00344C2F" w:rsidRPr="00042D3F">
        <w:rPr>
          <w:rFonts w:ascii="Calibri" w:hAnsi="Calibri" w:cs="Calibri"/>
          <w:color w:val="000000"/>
          <w:lang w:val="cs-CZ"/>
        </w:rPr>
        <w:t>9 </w:t>
      </w:r>
      <w:r w:rsidR="00633115" w:rsidRPr="00042D3F">
        <w:rPr>
          <w:rFonts w:ascii="Calibri" w:hAnsi="Calibri" w:cs="Calibri"/>
          <w:color w:val="000000"/>
          <w:lang w:val="cs-CZ"/>
        </w:rPr>
        <w:t xml:space="preserve">tis. Kč, tzn. více </w:t>
      </w:r>
      <w:r w:rsidR="00B1185C" w:rsidRPr="00042D3F">
        <w:rPr>
          <w:rFonts w:ascii="Calibri" w:hAnsi="Calibri" w:cs="Calibri"/>
          <w:color w:val="000000"/>
          <w:lang w:val="cs-CZ"/>
        </w:rPr>
        <w:t xml:space="preserve">než </w:t>
      </w:r>
      <w:r w:rsidR="00633115" w:rsidRPr="00042D3F">
        <w:rPr>
          <w:rFonts w:ascii="Calibri" w:hAnsi="Calibri" w:cs="Calibri"/>
          <w:color w:val="000000"/>
          <w:lang w:val="cs-CZ"/>
        </w:rPr>
        <w:t>28 % z </w:t>
      </w:r>
      <w:r w:rsidR="00261ABE" w:rsidRPr="00042D3F">
        <w:rPr>
          <w:rFonts w:ascii="Calibri" w:hAnsi="Calibri" w:cs="Calibri"/>
          <w:color w:val="000000"/>
          <w:lang w:val="cs-CZ"/>
        </w:rPr>
        <w:t>celkové</w:t>
      </w:r>
      <w:r w:rsidRPr="00042D3F">
        <w:rPr>
          <w:rFonts w:ascii="Calibri" w:hAnsi="Calibri" w:cs="Calibri"/>
          <w:color w:val="000000"/>
          <w:lang w:val="cs-CZ"/>
        </w:rPr>
        <w:t>ho</w:t>
      </w:r>
      <w:r w:rsidR="00261ABE" w:rsidRPr="00042D3F">
        <w:rPr>
          <w:rFonts w:ascii="Calibri" w:hAnsi="Calibri" w:cs="Calibri"/>
          <w:color w:val="000000"/>
          <w:lang w:val="cs-CZ"/>
        </w:rPr>
        <w:t xml:space="preserve"> </w:t>
      </w:r>
      <w:r w:rsidRPr="00042D3F">
        <w:rPr>
          <w:rFonts w:ascii="Calibri" w:hAnsi="Calibri" w:cs="Calibri"/>
          <w:color w:val="000000"/>
          <w:lang w:val="cs-CZ"/>
        </w:rPr>
        <w:t>finančního objemu</w:t>
      </w:r>
      <w:r w:rsidR="00261ABE" w:rsidRPr="00042D3F">
        <w:rPr>
          <w:rFonts w:ascii="Calibri" w:hAnsi="Calibri" w:cs="Calibri"/>
          <w:color w:val="000000"/>
          <w:lang w:val="cs-CZ"/>
        </w:rPr>
        <w:t xml:space="preserve"> kontrolního vzorku.</w:t>
      </w:r>
      <w:r w:rsidR="009A41F3" w:rsidRPr="00042D3F">
        <w:rPr>
          <w:rFonts w:ascii="Calibri" w:hAnsi="Calibri" w:cs="Calibri"/>
          <w:color w:val="000000"/>
          <w:lang w:val="cs-CZ"/>
        </w:rPr>
        <w:t xml:space="preserve"> Tyto peněžní prostředky </w:t>
      </w:r>
      <w:r w:rsidR="00633115" w:rsidRPr="00042D3F">
        <w:rPr>
          <w:rFonts w:ascii="Calibri" w:hAnsi="Calibri" w:cs="Calibri"/>
          <w:color w:val="000000"/>
          <w:lang w:val="cs-CZ"/>
        </w:rPr>
        <w:t xml:space="preserve">však </w:t>
      </w:r>
      <w:r w:rsidR="00845A8F" w:rsidRPr="00042D3F">
        <w:rPr>
          <w:rFonts w:ascii="Calibri" w:hAnsi="Calibri" w:cs="Calibri"/>
          <w:color w:val="000000"/>
          <w:lang w:val="cs-CZ"/>
        </w:rPr>
        <w:t>nejsou dotacemi</w:t>
      </w:r>
      <w:r w:rsidR="00371E5F" w:rsidRPr="00042D3F">
        <w:rPr>
          <w:rFonts w:ascii="Calibri" w:hAnsi="Calibri" w:cs="Calibri"/>
          <w:color w:val="000000"/>
          <w:lang w:val="cs-CZ"/>
        </w:rPr>
        <w:t xml:space="preserve"> ze SR</w:t>
      </w:r>
      <w:r w:rsidR="00845A8F" w:rsidRPr="00042D3F">
        <w:rPr>
          <w:rFonts w:ascii="Calibri" w:hAnsi="Calibri" w:cs="Calibri"/>
          <w:color w:val="000000"/>
          <w:lang w:val="cs-CZ"/>
        </w:rPr>
        <w:t>,</w:t>
      </w:r>
      <w:r w:rsidR="008F2634" w:rsidRPr="00042D3F">
        <w:rPr>
          <w:rFonts w:ascii="Calibri" w:hAnsi="Calibri" w:cs="Calibri"/>
          <w:color w:val="000000"/>
          <w:lang w:val="cs-CZ"/>
        </w:rPr>
        <w:t xml:space="preserve"> návratnými finančními výpomoc</w:t>
      </w:r>
      <w:r w:rsidR="00B1185C" w:rsidRPr="00042D3F">
        <w:rPr>
          <w:rFonts w:ascii="Calibri" w:hAnsi="Calibri" w:cs="Calibri"/>
          <w:color w:val="000000"/>
          <w:lang w:val="cs-CZ"/>
        </w:rPr>
        <w:t>em</w:t>
      </w:r>
      <w:r w:rsidR="00845A8F" w:rsidRPr="00042D3F">
        <w:rPr>
          <w:rFonts w:ascii="Calibri" w:hAnsi="Calibri" w:cs="Calibri"/>
          <w:color w:val="000000"/>
          <w:lang w:val="cs-CZ"/>
        </w:rPr>
        <w:t>i ani obdobnými transfery</w:t>
      </w:r>
      <w:r w:rsidRPr="00042D3F">
        <w:rPr>
          <w:rFonts w:ascii="Calibri" w:hAnsi="Calibri" w:cs="Calibri"/>
          <w:color w:val="000000"/>
          <w:lang w:val="cs-CZ"/>
        </w:rPr>
        <w:t>,</w:t>
      </w:r>
      <w:r w:rsidR="00845A8F" w:rsidRPr="00042D3F">
        <w:rPr>
          <w:rFonts w:ascii="Calibri" w:hAnsi="Calibri" w:cs="Calibri"/>
          <w:color w:val="000000"/>
          <w:lang w:val="cs-CZ"/>
        </w:rPr>
        <w:t xml:space="preserve"> </w:t>
      </w:r>
      <w:r w:rsidR="00B1185C" w:rsidRPr="00042D3F">
        <w:rPr>
          <w:rFonts w:ascii="Calibri" w:hAnsi="Calibri" w:cs="Calibri"/>
          <w:color w:val="000000"/>
          <w:lang w:val="cs-CZ"/>
        </w:rPr>
        <w:t>a</w:t>
      </w:r>
      <w:r w:rsidR="007D4EAA" w:rsidRPr="00042D3F">
        <w:rPr>
          <w:rFonts w:ascii="Calibri" w:hAnsi="Calibri" w:cs="Calibri"/>
          <w:color w:val="000000"/>
          <w:lang w:val="cs-CZ"/>
        </w:rPr>
        <w:t> </w:t>
      </w:r>
      <w:r w:rsidR="00845A8F" w:rsidRPr="00042D3F">
        <w:rPr>
          <w:rFonts w:ascii="Calibri" w:hAnsi="Calibri" w:cs="Calibri"/>
          <w:color w:val="000000"/>
          <w:lang w:val="cs-CZ"/>
        </w:rPr>
        <w:t>tudíž nemají být evidovány v IS CEDR III.</w:t>
      </w:r>
    </w:p>
    <w:p w14:paraId="55817FFF" w14:textId="77777777" w:rsidR="00042D3F" w:rsidRPr="00042D3F" w:rsidRDefault="00042D3F" w:rsidP="00042D3F">
      <w:pPr>
        <w:jc w:val="both"/>
        <w:rPr>
          <w:rFonts w:ascii="Calibri" w:hAnsi="Calibri" w:cs="Calibri"/>
          <w:color w:val="000000"/>
          <w:lang w:val="cs-CZ"/>
        </w:rPr>
      </w:pPr>
    </w:p>
    <w:p w14:paraId="64183FD6" w14:textId="77777777" w:rsidR="00C66B1A" w:rsidRDefault="00B1185C" w:rsidP="00042D3F">
      <w:pPr>
        <w:jc w:val="both"/>
        <w:rPr>
          <w:rFonts w:ascii="Calibri" w:hAnsi="Calibri" w:cs="Calibri"/>
          <w:color w:val="000000"/>
          <w:lang w:val="cs-CZ"/>
        </w:rPr>
      </w:pPr>
      <w:r w:rsidRPr="00042D3F">
        <w:rPr>
          <w:rFonts w:ascii="Calibri" w:hAnsi="Calibri" w:cs="Calibri"/>
          <w:color w:val="000000"/>
          <w:lang w:val="cs-CZ"/>
        </w:rPr>
        <w:t>E</w:t>
      </w:r>
      <w:r w:rsidR="00845A8F" w:rsidRPr="00042D3F">
        <w:rPr>
          <w:rFonts w:ascii="Calibri" w:hAnsi="Calibri" w:cs="Calibri"/>
          <w:color w:val="000000"/>
          <w:lang w:val="cs-CZ"/>
        </w:rPr>
        <w:t>fektivnost využití IS</w:t>
      </w:r>
      <w:r w:rsidRPr="00042D3F">
        <w:rPr>
          <w:rFonts w:ascii="Calibri" w:hAnsi="Calibri" w:cs="Calibri"/>
          <w:color w:val="000000"/>
          <w:lang w:val="cs-CZ"/>
        </w:rPr>
        <w:t xml:space="preserve"> CEDR III</w:t>
      </w:r>
      <w:r w:rsidR="00845A8F" w:rsidRPr="00042D3F">
        <w:rPr>
          <w:rFonts w:ascii="Calibri" w:hAnsi="Calibri" w:cs="Calibri"/>
          <w:color w:val="000000"/>
          <w:lang w:val="cs-CZ"/>
        </w:rPr>
        <w:t xml:space="preserve"> pro zajištění kontrol ze strany </w:t>
      </w:r>
      <w:r w:rsidR="004D68E1" w:rsidRPr="00042D3F">
        <w:rPr>
          <w:rFonts w:ascii="Calibri" w:hAnsi="Calibri" w:cs="Calibri"/>
          <w:color w:val="000000"/>
          <w:lang w:val="cs-CZ"/>
        </w:rPr>
        <w:t>F</w:t>
      </w:r>
      <w:r w:rsidR="00845A8F" w:rsidRPr="00042D3F">
        <w:rPr>
          <w:rFonts w:ascii="Calibri" w:hAnsi="Calibri" w:cs="Calibri"/>
          <w:color w:val="000000"/>
          <w:lang w:val="cs-CZ"/>
        </w:rPr>
        <w:t>inanční správy ČR</w:t>
      </w:r>
      <w:r w:rsidR="007D4EAA" w:rsidRPr="00042D3F">
        <w:rPr>
          <w:rFonts w:ascii="Calibri" w:hAnsi="Calibri" w:cs="Calibri"/>
          <w:color w:val="000000"/>
          <w:lang w:val="cs-CZ"/>
        </w:rPr>
        <w:t xml:space="preserve"> je vzhledem k </w:t>
      </w:r>
      <w:r w:rsidRPr="00042D3F">
        <w:rPr>
          <w:rFonts w:ascii="Calibri" w:hAnsi="Calibri" w:cs="Calibri"/>
          <w:color w:val="000000"/>
          <w:lang w:val="cs-CZ"/>
        </w:rPr>
        <w:t xml:space="preserve">neúplnosti a nesprávnosti dat </w:t>
      </w:r>
      <w:r w:rsidR="00717EDA" w:rsidRPr="00042D3F">
        <w:rPr>
          <w:rFonts w:ascii="Calibri" w:hAnsi="Calibri" w:cs="Calibri"/>
          <w:color w:val="000000"/>
          <w:lang w:val="cs-CZ"/>
        </w:rPr>
        <w:t xml:space="preserve">v </w:t>
      </w:r>
      <w:r w:rsidR="00256776" w:rsidRPr="00042D3F">
        <w:rPr>
          <w:rFonts w:ascii="Calibri" w:hAnsi="Calibri" w:cs="Calibri"/>
          <w:color w:val="000000"/>
          <w:lang w:val="cs-CZ"/>
        </w:rPr>
        <w:t>to</w:t>
      </w:r>
      <w:r w:rsidR="00717EDA" w:rsidRPr="00042D3F">
        <w:rPr>
          <w:rFonts w:ascii="Calibri" w:hAnsi="Calibri" w:cs="Calibri"/>
          <w:color w:val="000000"/>
          <w:lang w:val="cs-CZ"/>
        </w:rPr>
        <w:t>m</w:t>
      </w:r>
      <w:r w:rsidR="00256776" w:rsidRPr="00042D3F">
        <w:rPr>
          <w:rFonts w:ascii="Calibri" w:hAnsi="Calibri" w:cs="Calibri"/>
          <w:color w:val="000000"/>
          <w:lang w:val="cs-CZ"/>
        </w:rPr>
        <w:t xml:space="preserve">to IS </w:t>
      </w:r>
      <w:r w:rsidR="00845A8F" w:rsidRPr="00042D3F">
        <w:rPr>
          <w:rFonts w:ascii="Calibri" w:hAnsi="Calibri" w:cs="Calibri"/>
          <w:color w:val="000000"/>
          <w:lang w:val="cs-CZ"/>
        </w:rPr>
        <w:t xml:space="preserve">spojená s nutným ověřováním těchto dat. Informační podpora IS CEDR III pro řízení veřejných financí je na základě uvedených rozdílných informací nespolehlivá. </w:t>
      </w:r>
    </w:p>
    <w:p w14:paraId="1155EBA8" w14:textId="77777777" w:rsidR="00042D3F" w:rsidRPr="00042D3F" w:rsidRDefault="00042D3F" w:rsidP="00042D3F">
      <w:pPr>
        <w:jc w:val="both"/>
        <w:rPr>
          <w:rFonts w:ascii="Calibri" w:hAnsi="Calibri" w:cs="Calibri"/>
          <w:color w:val="000000"/>
          <w:lang w:val="cs-CZ"/>
        </w:rPr>
      </w:pPr>
    </w:p>
    <w:p w14:paraId="283E49A0" w14:textId="77777777" w:rsidR="00845A8F" w:rsidRDefault="00836967" w:rsidP="00042D3F">
      <w:pPr>
        <w:jc w:val="both"/>
        <w:rPr>
          <w:rFonts w:ascii="Calibri" w:hAnsi="Calibri" w:cs="Calibri"/>
          <w:b/>
          <w:color w:val="000000"/>
          <w:lang w:val="cs-CZ"/>
        </w:rPr>
      </w:pPr>
      <w:r w:rsidRPr="00042D3F">
        <w:rPr>
          <w:rFonts w:ascii="Calibri" w:hAnsi="Calibri" w:cs="Calibri"/>
          <w:b/>
          <w:color w:val="000000"/>
          <w:lang w:val="cs-CZ"/>
        </w:rPr>
        <w:t xml:space="preserve">Na základě skutečností zjištěných při kontrole NKÚ konstatuje, že </w:t>
      </w:r>
      <w:r w:rsidR="00845A8F" w:rsidRPr="00042D3F">
        <w:rPr>
          <w:rFonts w:ascii="Calibri" w:hAnsi="Calibri" w:cs="Calibri"/>
          <w:b/>
          <w:color w:val="000000"/>
          <w:lang w:val="cs-CZ"/>
        </w:rPr>
        <w:t xml:space="preserve">IS CEDR III nelze považovat za důvěryhodný zdroj informací pro </w:t>
      </w:r>
      <w:r w:rsidR="00F8699F" w:rsidRPr="00042D3F">
        <w:rPr>
          <w:rFonts w:ascii="Calibri" w:hAnsi="Calibri" w:cs="Calibri"/>
          <w:b/>
          <w:color w:val="000000"/>
          <w:lang w:val="cs-CZ"/>
        </w:rPr>
        <w:t xml:space="preserve">evidenci, </w:t>
      </w:r>
      <w:r w:rsidR="004D68E1" w:rsidRPr="00042D3F">
        <w:rPr>
          <w:rFonts w:ascii="Calibri" w:hAnsi="Calibri" w:cs="Calibri"/>
          <w:b/>
          <w:color w:val="000000"/>
          <w:lang w:val="cs-CZ"/>
        </w:rPr>
        <w:t>sledování</w:t>
      </w:r>
      <w:r w:rsidR="00845A8F" w:rsidRPr="00042D3F">
        <w:rPr>
          <w:rFonts w:ascii="Calibri" w:hAnsi="Calibri" w:cs="Calibri"/>
          <w:b/>
          <w:color w:val="000000"/>
          <w:lang w:val="cs-CZ"/>
        </w:rPr>
        <w:t xml:space="preserve"> a kontrolu dotací, n</w:t>
      </w:r>
      <w:r w:rsidR="007D4EAA" w:rsidRPr="00042D3F">
        <w:rPr>
          <w:rFonts w:ascii="Calibri" w:hAnsi="Calibri" w:cs="Calibri"/>
          <w:b/>
          <w:color w:val="000000"/>
          <w:lang w:val="cs-CZ"/>
        </w:rPr>
        <w:t>ávratných finančních výpomocí a </w:t>
      </w:r>
      <w:r w:rsidR="00845A8F" w:rsidRPr="00042D3F">
        <w:rPr>
          <w:rFonts w:ascii="Calibri" w:hAnsi="Calibri" w:cs="Calibri"/>
          <w:b/>
          <w:color w:val="000000"/>
          <w:lang w:val="cs-CZ"/>
        </w:rPr>
        <w:t>obdobných transferů poskytnutých ze SR, prostředků EU a jiných finančních mechanismů.</w:t>
      </w:r>
    </w:p>
    <w:p w14:paraId="789B3E70" w14:textId="77777777" w:rsidR="00042D3F" w:rsidRPr="00042D3F" w:rsidRDefault="00042D3F" w:rsidP="00042D3F">
      <w:pPr>
        <w:jc w:val="both"/>
        <w:rPr>
          <w:rFonts w:ascii="Calibri" w:hAnsi="Calibri" w:cs="Calibri"/>
          <w:color w:val="000000"/>
          <w:lang w:val="cs-CZ"/>
        </w:rPr>
      </w:pPr>
    </w:p>
    <w:p w14:paraId="76B73B2E" w14:textId="77777777" w:rsidR="00D35C99" w:rsidRPr="00042D3F" w:rsidRDefault="00D35C99" w:rsidP="00042D3F">
      <w:pPr>
        <w:jc w:val="both"/>
        <w:rPr>
          <w:rFonts w:ascii="Calibri" w:hAnsi="Calibri" w:cs="Calibri"/>
          <w:color w:val="000000"/>
          <w:lang w:val="cs-CZ"/>
        </w:rPr>
      </w:pPr>
      <w:r w:rsidRPr="00042D3F">
        <w:rPr>
          <w:rFonts w:ascii="Calibri" w:hAnsi="Calibri" w:cs="Calibri"/>
          <w:color w:val="000000"/>
          <w:lang w:val="cs-CZ"/>
        </w:rPr>
        <w:t>Pro ověření úplnosti dat v IS CEDR III a IS DotInfo EDS byl vybrán vzorek deseti nestátních neziskových organizací, které získaly dotaci ze SR.</w:t>
      </w:r>
      <w:r w:rsidR="00CC683B" w:rsidRPr="00042D3F">
        <w:rPr>
          <w:rFonts w:ascii="Calibri" w:hAnsi="Calibri" w:cs="Calibri"/>
          <w:color w:val="000000"/>
          <w:lang w:val="cs-CZ"/>
        </w:rPr>
        <w:t xml:space="preserve"> Pro srovnání</w:t>
      </w:r>
      <w:r w:rsidR="00F5580F" w:rsidRPr="00042D3F">
        <w:rPr>
          <w:rFonts w:ascii="Calibri" w:hAnsi="Calibri" w:cs="Calibri"/>
          <w:color w:val="000000"/>
          <w:lang w:val="cs-CZ"/>
        </w:rPr>
        <w:t xml:space="preserve"> evidovaných dat </w:t>
      </w:r>
      <w:r w:rsidR="000A48AC" w:rsidRPr="00042D3F">
        <w:rPr>
          <w:rFonts w:ascii="Calibri" w:hAnsi="Calibri" w:cs="Calibri"/>
          <w:color w:val="000000"/>
          <w:lang w:val="cs-CZ"/>
        </w:rPr>
        <w:t xml:space="preserve">NKÚ </w:t>
      </w:r>
      <w:r w:rsidR="00F5580F" w:rsidRPr="00042D3F">
        <w:rPr>
          <w:rFonts w:ascii="Calibri" w:hAnsi="Calibri" w:cs="Calibri"/>
          <w:color w:val="000000"/>
          <w:lang w:val="cs-CZ"/>
        </w:rPr>
        <w:t>vycháze</w:t>
      </w:r>
      <w:r w:rsidR="004D68E1" w:rsidRPr="00042D3F">
        <w:rPr>
          <w:rFonts w:ascii="Calibri" w:hAnsi="Calibri" w:cs="Calibri"/>
          <w:color w:val="000000"/>
          <w:lang w:val="cs-CZ"/>
        </w:rPr>
        <w:t>l</w:t>
      </w:r>
      <w:r w:rsidR="00F5580F" w:rsidRPr="00042D3F">
        <w:rPr>
          <w:rFonts w:ascii="Calibri" w:hAnsi="Calibri" w:cs="Calibri"/>
          <w:color w:val="000000"/>
          <w:lang w:val="cs-CZ"/>
        </w:rPr>
        <w:t xml:space="preserve"> z </w:t>
      </w:r>
      <w:r w:rsidR="009359AA" w:rsidRPr="00042D3F">
        <w:rPr>
          <w:rFonts w:ascii="Calibri" w:hAnsi="Calibri" w:cs="Calibri"/>
          <w:color w:val="000000"/>
          <w:lang w:val="cs-CZ"/>
        </w:rPr>
        <w:t>r</w:t>
      </w:r>
      <w:r w:rsidR="00F5580F" w:rsidRPr="00042D3F">
        <w:rPr>
          <w:rFonts w:ascii="Calibri" w:hAnsi="Calibri" w:cs="Calibri"/>
          <w:color w:val="000000"/>
          <w:lang w:val="cs-CZ"/>
        </w:rPr>
        <w:t>ozboru financování nestátních neziskových organizací z veřejných rozpočtů</w:t>
      </w:r>
      <w:r w:rsidR="00371E5F" w:rsidRPr="00042D3F">
        <w:rPr>
          <w:rFonts w:ascii="Calibri" w:hAnsi="Calibri" w:cs="Calibri"/>
          <w:color w:val="000000"/>
          <w:vertAlign w:val="superscript"/>
          <w:lang w:val="cs-CZ"/>
        </w:rPr>
        <w:t>9</w:t>
      </w:r>
      <w:r w:rsidR="00F5580F" w:rsidRPr="00042D3F">
        <w:rPr>
          <w:rFonts w:ascii="Calibri" w:hAnsi="Calibri" w:cs="Calibri"/>
          <w:color w:val="000000"/>
          <w:lang w:val="cs-CZ"/>
        </w:rPr>
        <w:t>.</w:t>
      </w:r>
      <w:r w:rsidRPr="00042D3F">
        <w:rPr>
          <w:rFonts w:ascii="Calibri" w:hAnsi="Calibri" w:cs="Calibri"/>
          <w:color w:val="000000"/>
          <w:lang w:val="cs-CZ"/>
        </w:rPr>
        <w:t xml:space="preserve"> Z tohoto materiálu vyplývá, že za roky 2013 a 2014 bylo vyplaceno deseti konkrétním nestátním neziskovým organizacím 2,796 mld. Kč. Těmto deseti subjektům bylo za stejné období podle IS</w:t>
      </w:r>
      <w:r w:rsidR="00C3538C" w:rsidRPr="00042D3F">
        <w:rPr>
          <w:rFonts w:ascii="Calibri" w:hAnsi="Calibri" w:cs="Calibri"/>
          <w:color w:val="000000"/>
          <w:lang w:val="cs-CZ"/>
        </w:rPr>
        <w:t> </w:t>
      </w:r>
      <w:r w:rsidRPr="00042D3F">
        <w:rPr>
          <w:rFonts w:ascii="Calibri" w:hAnsi="Calibri" w:cs="Calibri"/>
          <w:color w:val="000000"/>
          <w:lang w:val="cs-CZ"/>
        </w:rPr>
        <w:t xml:space="preserve">CEDR III poskytnuto 2,794 mld. Kč a podle IS DotInfo EDS </w:t>
      </w:r>
      <w:r w:rsidR="00FE433E" w:rsidRPr="00042D3F">
        <w:rPr>
          <w:rFonts w:ascii="Calibri" w:hAnsi="Calibri" w:cs="Calibri"/>
          <w:color w:val="000000"/>
          <w:lang w:val="cs-CZ"/>
        </w:rPr>
        <w:t xml:space="preserve">pouze </w:t>
      </w:r>
      <w:r w:rsidRPr="00042D3F">
        <w:rPr>
          <w:rFonts w:ascii="Calibri" w:hAnsi="Calibri" w:cs="Calibri"/>
          <w:color w:val="000000"/>
          <w:lang w:val="cs-CZ"/>
        </w:rPr>
        <w:t>0,342 mld. Kč.</w:t>
      </w:r>
    </w:p>
    <w:p w14:paraId="6E665483" w14:textId="77777777" w:rsidR="00D35C99" w:rsidRPr="00042D3F" w:rsidRDefault="00D35C99" w:rsidP="00042D3F">
      <w:pPr>
        <w:jc w:val="both"/>
        <w:rPr>
          <w:rFonts w:ascii="Calibri" w:hAnsi="Calibri" w:cs="Calibri"/>
          <w:color w:val="000000"/>
          <w:lang w:val="cs-CZ"/>
        </w:rPr>
      </w:pPr>
    </w:p>
    <w:p w14:paraId="66C508B8" w14:textId="77777777" w:rsidR="00B87043" w:rsidRPr="00042D3F" w:rsidRDefault="00B87043" w:rsidP="00042D3F">
      <w:pPr>
        <w:rPr>
          <w:rFonts w:ascii="Calibri" w:hAnsi="Calibri" w:cs="Calibri"/>
          <w:b/>
          <w:color w:val="000000"/>
          <w:lang w:val="cs-CZ"/>
        </w:rPr>
      </w:pPr>
      <w:r w:rsidRPr="00042D3F">
        <w:rPr>
          <w:rFonts w:ascii="Calibri" w:hAnsi="Calibri" w:cs="Calibri"/>
          <w:b/>
          <w:color w:val="000000"/>
          <w:lang w:val="cs-CZ"/>
        </w:rPr>
        <w:t xml:space="preserve">Ad </w:t>
      </w:r>
      <w:r w:rsidR="00D64966" w:rsidRPr="00042D3F">
        <w:rPr>
          <w:rFonts w:ascii="Calibri" w:hAnsi="Calibri" w:cs="Calibri"/>
          <w:b/>
          <w:color w:val="000000"/>
          <w:lang w:val="cs-CZ"/>
        </w:rPr>
        <w:t>4</w:t>
      </w:r>
      <w:r w:rsidRPr="00042D3F">
        <w:rPr>
          <w:rFonts w:ascii="Calibri" w:hAnsi="Calibri" w:cs="Calibri"/>
          <w:b/>
          <w:color w:val="000000"/>
          <w:lang w:val="cs-CZ"/>
        </w:rPr>
        <w:t xml:space="preserve">. </w:t>
      </w:r>
      <w:r w:rsidR="00D501D4" w:rsidRPr="00042D3F">
        <w:rPr>
          <w:rFonts w:ascii="Calibri" w:hAnsi="Calibri" w:cs="Calibri"/>
          <w:b/>
          <w:color w:val="000000"/>
          <w:lang w:val="cs-CZ"/>
        </w:rPr>
        <w:t>Neoprávněné přímé</w:t>
      </w:r>
      <w:r w:rsidR="00717EDA" w:rsidRPr="00042D3F">
        <w:rPr>
          <w:rFonts w:ascii="Calibri" w:hAnsi="Calibri" w:cs="Calibri"/>
          <w:b/>
          <w:color w:val="000000"/>
          <w:lang w:val="cs-CZ"/>
        </w:rPr>
        <w:t xml:space="preserve"> zadávání veřejných zakázek bez</w:t>
      </w:r>
      <w:r w:rsidR="00C66B1A" w:rsidRPr="00042D3F">
        <w:rPr>
          <w:rFonts w:ascii="Calibri" w:hAnsi="Calibri" w:cs="Calibri"/>
          <w:b/>
          <w:color w:val="000000"/>
          <w:lang w:val="cs-CZ"/>
        </w:rPr>
        <w:t xml:space="preserve"> otevřené</w:t>
      </w:r>
      <w:r w:rsidR="00717EDA" w:rsidRPr="00042D3F">
        <w:rPr>
          <w:rFonts w:ascii="Calibri" w:hAnsi="Calibri" w:cs="Calibri"/>
          <w:b/>
          <w:color w:val="000000"/>
          <w:lang w:val="cs-CZ"/>
        </w:rPr>
        <w:t xml:space="preserve"> </w:t>
      </w:r>
      <w:r w:rsidR="00991702" w:rsidRPr="00042D3F">
        <w:rPr>
          <w:rFonts w:ascii="Calibri" w:hAnsi="Calibri" w:cs="Calibri"/>
          <w:b/>
          <w:color w:val="000000"/>
          <w:lang w:val="cs-CZ"/>
        </w:rPr>
        <w:t xml:space="preserve">hospodářské </w:t>
      </w:r>
      <w:r w:rsidR="00717EDA" w:rsidRPr="00042D3F">
        <w:rPr>
          <w:rFonts w:ascii="Calibri" w:hAnsi="Calibri" w:cs="Calibri"/>
          <w:b/>
          <w:color w:val="000000"/>
          <w:lang w:val="cs-CZ"/>
        </w:rPr>
        <w:t>soutěže</w:t>
      </w:r>
    </w:p>
    <w:p w14:paraId="2FEC60AC" w14:textId="77777777" w:rsidR="00B87043" w:rsidRPr="00042D3F" w:rsidRDefault="00B87043" w:rsidP="00042D3F">
      <w:pPr>
        <w:jc w:val="both"/>
        <w:rPr>
          <w:rFonts w:ascii="Calibri" w:hAnsi="Calibri" w:cs="Calibri"/>
          <w:lang w:val="cs-CZ"/>
        </w:rPr>
      </w:pPr>
    </w:p>
    <w:p w14:paraId="1A457A8E" w14:textId="77777777" w:rsidR="00B87043" w:rsidRDefault="00B87043" w:rsidP="00042D3F">
      <w:pPr>
        <w:jc w:val="both"/>
        <w:rPr>
          <w:rFonts w:ascii="Calibri" w:hAnsi="Calibri" w:cs="Calibri"/>
          <w:lang w:val="cs-CZ"/>
        </w:rPr>
      </w:pPr>
      <w:r w:rsidRPr="00042D3F">
        <w:rPr>
          <w:rFonts w:ascii="Calibri" w:hAnsi="Calibri" w:cs="Calibri"/>
          <w:lang w:val="cs-CZ"/>
        </w:rPr>
        <w:t xml:space="preserve">MF v rámci </w:t>
      </w:r>
      <w:r w:rsidR="00B1185C" w:rsidRPr="00042D3F">
        <w:rPr>
          <w:rFonts w:ascii="Calibri" w:hAnsi="Calibri" w:cs="Calibri"/>
          <w:lang w:val="cs-CZ"/>
        </w:rPr>
        <w:t xml:space="preserve">veřejné zakázky </w:t>
      </w:r>
      <w:r w:rsidRPr="00042D3F">
        <w:rPr>
          <w:rFonts w:ascii="Calibri" w:hAnsi="Calibri" w:cs="Calibri"/>
          <w:lang w:val="cs-CZ"/>
        </w:rPr>
        <w:t>na zajištění informační podpory pro programy z </w:t>
      </w:r>
      <w:r w:rsidRPr="00042D3F">
        <w:rPr>
          <w:rFonts w:ascii="Calibri" w:hAnsi="Calibri" w:cs="Calibri"/>
          <w:i/>
          <w:lang w:val="cs-CZ"/>
        </w:rPr>
        <w:t>Finančních mechanismů Evropského hospodářského prostoru a Norsk</w:t>
      </w:r>
      <w:r w:rsidR="00C3760E">
        <w:rPr>
          <w:rFonts w:ascii="Calibri" w:hAnsi="Calibri" w:cs="Calibri"/>
          <w:i/>
          <w:lang w:val="cs-CZ"/>
        </w:rPr>
        <w:t>a</w:t>
      </w:r>
      <w:r w:rsidRPr="00042D3F">
        <w:rPr>
          <w:rFonts w:ascii="Calibri" w:hAnsi="Calibri" w:cs="Calibri"/>
          <w:lang w:val="cs-CZ"/>
        </w:rPr>
        <w:t xml:space="preserve"> </w:t>
      </w:r>
      <w:r w:rsidR="005C4539" w:rsidRPr="00042D3F">
        <w:rPr>
          <w:rFonts w:ascii="Calibri" w:hAnsi="Calibri" w:cs="Calibri"/>
          <w:i/>
          <w:lang w:val="cs-CZ"/>
        </w:rPr>
        <w:t>2009</w:t>
      </w:r>
      <w:r w:rsidR="00861DBD" w:rsidRPr="00042D3F">
        <w:rPr>
          <w:rFonts w:ascii="Calibri" w:hAnsi="Calibri" w:cs="Calibri"/>
          <w:i/>
          <w:lang w:val="cs-CZ"/>
        </w:rPr>
        <w:t>–</w:t>
      </w:r>
      <w:r w:rsidR="005C4539" w:rsidRPr="00042D3F">
        <w:rPr>
          <w:rFonts w:ascii="Calibri" w:hAnsi="Calibri" w:cs="Calibri"/>
          <w:i/>
          <w:lang w:val="cs-CZ"/>
        </w:rPr>
        <w:t xml:space="preserve">2014 </w:t>
      </w:r>
      <w:r w:rsidRPr="00042D3F">
        <w:rPr>
          <w:rFonts w:ascii="Calibri" w:hAnsi="Calibri" w:cs="Calibri"/>
          <w:lang w:val="cs-CZ"/>
        </w:rPr>
        <w:t>nezjišťovalo možnost</w:t>
      </w:r>
      <w:r w:rsidR="001045A0" w:rsidRPr="00042D3F">
        <w:rPr>
          <w:rFonts w:ascii="Calibri" w:hAnsi="Calibri" w:cs="Calibri"/>
          <w:lang w:val="cs-CZ"/>
        </w:rPr>
        <w:t>i variantního řešení</w:t>
      </w:r>
      <w:r w:rsidRPr="00042D3F">
        <w:rPr>
          <w:rFonts w:ascii="Calibri" w:hAnsi="Calibri" w:cs="Calibri"/>
          <w:lang w:val="cs-CZ"/>
        </w:rPr>
        <w:t>. MF nezpracovalo finanční srovnání mezi úpravou stávajícího IS Troll</w:t>
      </w:r>
      <w:r w:rsidR="00DA1EA2" w:rsidRPr="00042D3F">
        <w:rPr>
          <w:rStyle w:val="Znakapoznpodarou"/>
          <w:rFonts w:ascii="Calibri" w:hAnsi="Calibri" w:cs="Calibri"/>
          <w:lang w:val="cs-CZ"/>
        </w:rPr>
        <w:footnoteReference w:id="35"/>
      </w:r>
      <w:r w:rsidRPr="00042D3F">
        <w:rPr>
          <w:rFonts w:ascii="Calibri" w:hAnsi="Calibri" w:cs="Calibri"/>
          <w:lang w:val="cs-CZ"/>
        </w:rPr>
        <w:t xml:space="preserve">, rozšířením IS CEDR MF nebo vybudování nového IS. Žádný z předložených dokumentů MF neprokázal objektivní nemožnost ostatních dodavatelů poskytnout zadavateli jím požadované plnění. MF užilo JŘBU v případě veřejné zakázky </w:t>
      </w:r>
      <w:r w:rsidRPr="00042D3F">
        <w:rPr>
          <w:rFonts w:ascii="Calibri" w:hAnsi="Calibri" w:cs="Calibri"/>
          <w:i/>
          <w:lang w:val="cs-CZ"/>
        </w:rPr>
        <w:t>Úprava IS CEDR MF</w:t>
      </w:r>
      <w:r w:rsidRPr="00042D3F">
        <w:rPr>
          <w:rFonts w:ascii="Calibri" w:hAnsi="Calibri" w:cs="Calibri"/>
          <w:lang w:val="cs-CZ"/>
        </w:rPr>
        <w:t xml:space="preserve">, aniž by byly naplněny podmínky pro jeho užití, a mělo postupovat v jiném druhu zadávacího řízení. MF se tím </w:t>
      </w:r>
      <w:r w:rsidRPr="00042D3F">
        <w:rPr>
          <w:rFonts w:ascii="Calibri" w:hAnsi="Calibri" w:cs="Calibri"/>
          <w:lang w:val="cs-CZ"/>
        </w:rPr>
        <w:lastRenderedPageBreak/>
        <w:t>dopustilo porušení zásady zákazu diskriminace a NKÚ toto jednání vyhodnotil jako porušení rozpočtové kázně ve výš</w:t>
      </w:r>
      <w:r w:rsidR="004D68E1" w:rsidRPr="00042D3F">
        <w:rPr>
          <w:rFonts w:ascii="Calibri" w:hAnsi="Calibri" w:cs="Calibri"/>
          <w:lang w:val="cs-CZ"/>
        </w:rPr>
        <w:t>i</w:t>
      </w:r>
      <w:r w:rsidRPr="00042D3F">
        <w:rPr>
          <w:rFonts w:ascii="Calibri" w:hAnsi="Calibri" w:cs="Calibri"/>
          <w:lang w:val="cs-CZ"/>
        </w:rPr>
        <w:t xml:space="preserve"> 3,22 mil. Kč. MF se svým jednáním dostalo do situace, kdy je při nakupování informační</w:t>
      </w:r>
      <w:r w:rsidR="00E56448" w:rsidRPr="00042D3F">
        <w:rPr>
          <w:rFonts w:ascii="Calibri" w:hAnsi="Calibri" w:cs="Calibri"/>
          <w:lang w:val="cs-CZ"/>
        </w:rPr>
        <w:t xml:space="preserve"> podpory</w:t>
      </w:r>
      <w:r w:rsidRPr="00042D3F">
        <w:rPr>
          <w:rFonts w:ascii="Calibri" w:hAnsi="Calibri" w:cs="Calibri"/>
          <w:lang w:val="cs-CZ"/>
        </w:rPr>
        <w:t xml:space="preserve"> související s</w:t>
      </w:r>
      <w:r w:rsidR="00C161EE" w:rsidRPr="00042D3F">
        <w:rPr>
          <w:rFonts w:ascii="Calibri" w:hAnsi="Calibri" w:cs="Calibri"/>
          <w:lang w:val="cs-CZ"/>
        </w:rPr>
        <w:t xml:space="preserve"> řízením </w:t>
      </w:r>
      <w:r w:rsidRPr="00042D3F">
        <w:rPr>
          <w:rFonts w:ascii="Calibri" w:hAnsi="Calibri" w:cs="Calibri"/>
          <w:lang w:val="cs-CZ"/>
        </w:rPr>
        <w:t>program</w:t>
      </w:r>
      <w:r w:rsidR="00C161EE" w:rsidRPr="00042D3F">
        <w:rPr>
          <w:rFonts w:ascii="Calibri" w:hAnsi="Calibri" w:cs="Calibri"/>
          <w:lang w:val="cs-CZ"/>
        </w:rPr>
        <w:t xml:space="preserve">ů </w:t>
      </w:r>
      <w:r w:rsidRPr="00042D3F">
        <w:rPr>
          <w:rFonts w:ascii="Calibri" w:hAnsi="Calibri" w:cs="Calibri"/>
          <w:lang w:val="cs-CZ"/>
        </w:rPr>
        <w:t xml:space="preserve">z </w:t>
      </w:r>
      <w:r w:rsidRPr="00042D3F">
        <w:rPr>
          <w:rFonts w:ascii="Calibri" w:hAnsi="Calibri" w:cs="Calibri"/>
          <w:i/>
          <w:lang w:val="cs-CZ"/>
        </w:rPr>
        <w:t>Finančních mechanismů Evropského hospodářského prostoru a Norsk</w:t>
      </w:r>
      <w:r w:rsidR="00C3760E">
        <w:rPr>
          <w:rFonts w:ascii="Calibri" w:hAnsi="Calibri" w:cs="Calibri"/>
          <w:i/>
          <w:lang w:val="cs-CZ"/>
        </w:rPr>
        <w:t>a</w:t>
      </w:r>
      <w:r w:rsidR="00E56448" w:rsidRPr="00042D3F">
        <w:rPr>
          <w:rFonts w:ascii="Calibri" w:hAnsi="Calibri" w:cs="Calibri"/>
          <w:i/>
          <w:lang w:val="cs-CZ"/>
        </w:rPr>
        <w:t xml:space="preserve"> 2009</w:t>
      </w:r>
      <w:r w:rsidR="004C3DF5" w:rsidRPr="00042D3F">
        <w:rPr>
          <w:rFonts w:ascii="Calibri" w:hAnsi="Calibri" w:cs="Calibri"/>
          <w:i/>
          <w:lang w:val="cs-CZ"/>
        </w:rPr>
        <w:t>–</w:t>
      </w:r>
      <w:r w:rsidR="00E56448" w:rsidRPr="00042D3F">
        <w:rPr>
          <w:rFonts w:ascii="Calibri" w:hAnsi="Calibri" w:cs="Calibri"/>
          <w:i/>
          <w:lang w:val="cs-CZ"/>
        </w:rPr>
        <w:t>2014</w:t>
      </w:r>
      <w:r w:rsidRPr="00042D3F">
        <w:rPr>
          <w:rFonts w:ascii="Calibri" w:hAnsi="Calibri" w:cs="Calibri"/>
          <w:lang w:val="cs-CZ"/>
        </w:rPr>
        <w:t xml:space="preserve"> závislé na současném poskytovateli služeb.</w:t>
      </w:r>
    </w:p>
    <w:p w14:paraId="767B6BC7" w14:textId="77777777" w:rsidR="00042D3F" w:rsidRPr="00042D3F" w:rsidRDefault="00042D3F" w:rsidP="00042D3F">
      <w:pPr>
        <w:jc w:val="both"/>
        <w:rPr>
          <w:rFonts w:ascii="Calibri" w:hAnsi="Calibri" w:cs="Calibri"/>
          <w:lang w:val="cs-CZ"/>
        </w:rPr>
      </w:pPr>
    </w:p>
    <w:p w14:paraId="77E2BB75" w14:textId="77777777" w:rsidR="00B87043" w:rsidRDefault="00B87043" w:rsidP="00042D3F">
      <w:pPr>
        <w:jc w:val="both"/>
        <w:rPr>
          <w:rFonts w:ascii="Calibri" w:hAnsi="Calibri" w:cs="Calibri"/>
          <w:color w:val="000000"/>
          <w:lang w:val="cs-CZ"/>
        </w:rPr>
      </w:pPr>
      <w:r w:rsidRPr="00042D3F">
        <w:rPr>
          <w:rFonts w:ascii="Calibri" w:hAnsi="Calibri" w:cs="Calibri"/>
          <w:lang w:val="cs-CZ"/>
        </w:rPr>
        <w:t xml:space="preserve">MF </w:t>
      </w:r>
      <w:r w:rsidR="005115B3" w:rsidRPr="00042D3F">
        <w:rPr>
          <w:rFonts w:ascii="Calibri" w:hAnsi="Calibri" w:cs="Calibri"/>
          <w:lang w:val="cs-CZ"/>
        </w:rPr>
        <w:t xml:space="preserve">pro </w:t>
      </w:r>
      <w:r w:rsidR="001D5BE6" w:rsidRPr="00042D3F">
        <w:rPr>
          <w:rFonts w:ascii="Calibri" w:hAnsi="Calibri" w:cs="Calibri"/>
          <w:lang w:val="cs-CZ"/>
        </w:rPr>
        <w:t>zvýšení transparentnosti a</w:t>
      </w:r>
      <w:r w:rsidR="00454026" w:rsidRPr="00042D3F">
        <w:rPr>
          <w:rFonts w:ascii="Calibri" w:hAnsi="Calibri" w:cs="Calibri"/>
          <w:lang w:val="cs-CZ"/>
        </w:rPr>
        <w:t xml:space="preserve"> zajištění</w:t>
      </w:r>
      <w:r w:rsidR="00C3760E">
        <w:rPr>
          <w:rFonts w:ascii="Calibri" w:hAnsi="Calibri" w:cs="Calibri"/>
          <w:lang w:val="cs-CZ"/>
        </w:rPr>
        <w:t xml:space="preserve"> </w:t>
      </w:r>
      <w:r w:rsidR="001D5BE6" w:rsidRPr="00042D3F">
        <w:rPr>
          <w:rFonts w:ascii="Calibri" w:hAnsi="Calibri" w:cs="Calibri"/>
          <w:lang w:val="cs-CZ"/>
        </w:rPr>
        <w:t>informační povinnost</w:t>
      </w:r>
      <w:r w:rsidR="00454026" w:rsidRPr="00042D3F">
        <w:rPr>
          <w:rFonts w:ascii="Calibri" w:hAnsi="Calibri" w:cs="Calibri"/>
          <w:lang w:val="cs-CZ"/>
        </w:rPr>
        <w:t>i</w:t>
      </w:r>
      <w:r w:rsidR="001D5BE6" w:rsidRPr="00042D3F">
        <w:rPr>
          <w:rFonts w:ascii="Calibri" w:hAnsi="Calibri" w:cs="Calibri"/>
          <w:lang w:val="cs-CZ"/>
        </w:rPr>
        <w:t xml:space="preserve"> v oblasti poskytování dotací, grantů a darů v rámci </w:t>
      </w:r>
      <w:r w:rsidR="001D5BE6" w:rsidRPr="00042D3F">
        <w:rPr>
          <w:rFonts w:ascii="Calibri" w:hAnsi="Calibri" w:cs="Calibri"/>
          <w:color w:val="000000"/>
          <w:lang w:val="cs-CZ"/>
        </w:rPr>
        <w:t xml:space="preserve">naplňování </w:t>
      </w:r>
      <w:r w:rsidR="001D5BE6" w:rsidRPr="00042D3F">
        <w:rPr>
          <w:rFonts w:ascii="Calibri" w:hAnsi="Calibri" w:cs="Calibri"/>
          <w:i/>
          <w:color w:val="000000"/>
          <w:lang w:val="cs-CZ"/>
        </w:rPr>
        <w:t>Strategie vlády v boji proti korupci na období let 2011 a 2012</w:t>
      </w:r>
      <w:r w:rsidR="001D5BE6" w:rsidRPr="00042D3F">
        <w:rPr>
          <w:rFonts w:ascii="Calibri" w:hAnsi="Calibri" w:cs="Calibri"/>
          <w:color w:val="000000"/>
          <w:lang w:val="cs-CZ"/>
        </w:rPr>
        <w:t xml:space="preserve"> vytvořilo</w:t>
      </w:r>
      <w:r w:rsidRPr="00042D3F">
        <w:rPr>
          <w:rFonts w:ascii="Calibri" w:hAnsi="Calibri" w:cs="Calibri"/>
          <w:lang w:val="cs-CZ"/>
        </w:rPr>
        <w:t xml:space="preserve"> </w:t>
      </w:r>
      <w:r w:rsidRPr="00042D3F">
        <w:rPr>
          <w:rFonts w:ascii="Calibri" w:hAnsi="Calibri" w:cs="Calibri"/>
          <w:color w:val="000000"/>
          <w:lang w:val="cs-CZ"/>
        </w:rPr>
        <w:t>IS DotInfo EDS, který slouží ke zveřejňování informací o dotacích a návratných finančních výpomocí</w:t>
      </w:r>
      <w:r w:rsidR="00B1185C" w:rsidRPr="00042D3F">
        <w:rPr>
          <w:rFonts w:ascii="Calibri" w:hAnsi="Calibri" w:cs="Calibri"/>
          <w:color w:val="000000"/>
          <w:lang w:val="cs-CZ"/>
        </w:rPr>
        <w:t>ch</w:t>
      </w:r>
      <w:r w:rsidRPr="00042D3F">
        <w:rPr>
          <w:rFonts w:ascii="Calibri" w:hAnsi="Calibri" w:cs="Calibri"/>
          <w:color w:val="000000"/>
          <w:lang w:val="cs-CZ"/>
        </w:rPr>
        <w:t xml:space="preserve">. MF </w:t>
      </w:r>
      <w:r w:rsidR="00F5580F" w:rsidRPr="00042D3F">
        <w:rPr>
          <w:rFonts w:ascii="Calibri" w:hAnsi="Calibri" w:cs="Calibri"/>
          <w:color w:val="000000"/>
          <w:lang w:val="cs-CZ"/>
        </w:rPr>
        <w:t xml:space="preserve">před </w:t>
      </w:r>
      <w:r w:rsidR="00C161EE" w:rsidRPr="00042D3F">
        <w:rPr>
          <w:rFonts w:ascii="Calibri" w:hAnsi="Calibri" w:cs="Calibri"/>
          <w:color w:val="000000"/>
          <w:lang w:val="cs-CZ"/>
        </w:rPr>
        <w:t xml:space="preserve">zahájením zadávacího řízení na </w:t>
      </w:r>
      <w:r w:rsidR="00F5580F" w:rsidRPr="00042D3F">
        <w:rPr>
          <w:rFonts w:ascii="Calibri" w:hAnsi="Calibri" w:cs="Calibri"/>
          <w:color w:val="000000"/>
          <w:lang w:val="cs-CZ"/>
        </w:rPr>
        <w:t xml:space="preserve">jeho vybudování </w:t>
      </w:r>
      <w:r w:rsidRPr="00042D3F">
        <w:rPr>
          <w:rFonts w:ascii="Calibri" w:hAnsi="Calibri" w:cs="Calibri"/>
          <w:color w:val="000000"/>
          <w:lang w:val="cs-CZ"/>
        </w:rPr>
        <w:t>informovalo vládu, že vznikne nový IS.</w:t>
      </w:r>
      <w:r w:rsidR="006F49A3" w:rsidRPr="00042D3F">
        <w:rPr>
          <w:rFonts w:ascii="Calibri" w:hAnsi="Calibri" w:cs="Calibri"/>
          <w:color w:val="000000"/>
          <w:lang w:val="cs-CZ"/>
        </w:rPr>
        <w:t xml:space="preserve"> MF před </w:t>
      </w:r>
      <w:r w:rsidR="00D163BD" w:rsidRPr="00042D3F">
        <w:rPr>
          <w:rFonts w:ascii="Calibri" w:hAnsi="Calibri" w:cs="Calibri"/>
          <w:color w:val="000000"/>
          <w:lang w:val="cs-CZ"/>
        </w:rPr>
        <w:t>pořízením</w:t>
      </w:r>
      <w:r w:rsidR="006F49A3" w:rsidRPr="00042D3F">
        <w:rPr>
          <w:rFonts w:ascii="Calibri" w:hAnsi="Calibri" w:cs="Calibri"/>
          <w:color w:val="000000"/>
          <w:lang w:val="cs-CZ"/>
        </w:rPr>
        <w:t xml:space="preserve"> IS DotInfo EDS neprovedlo posouzení variantního řešení a nebralo v úvahu </w:t>
      </w:r>
      <w:r w:rsidR="00C13910" w:rsidRPr="00042D3F">
        <w:rPr>
          <w:rFonts w:ascii="Calibri" w:hAnsi="Calibri" w:cs="Calibri"/>
          <w:color w:val="000000"/>
          <w:lang w:val="cs-CZ"/>
        </w:rPr>
        <w:t xml:space="preserve">možnost </w:t>
      </w:r>
      <w:r w:rsidR="006F49A3" w:rsidRPr="00042D3F">
        <w:rPr>
          <w:rFonts w:ascii="Calibri" w:hAnsi="Calibri" w:cs="Calibri"/>
          <w:color w:val="000000"/>
          <w:lang w:val="cs-CZ"/>
        </w:rPr>
        <w:t>zveřejňování informací o dotacích a návratných finančních výpomocích v</w:t>
      </w:r>
      <w:r w:rsidR="005B2528" w:rsidRPr="00042D3F">
        <w:rPr>
          <w:rFonts w:ascii="Calibri" w:hAnsi="Calibri" w:cs="Calibri"/>
          <w:color w:val="000000"/>
          <w:lang w:val="cs-CZ"/>
        </w:rPr>
        <w:t> </w:t>
      </w:r>
      <w:r w:rsidR="006F49A3" w:rsidRPr="00042D3F">
        <w:rPr>
          <w:rFonts w:ascii="Calibri" w:hAnsi="Calibri" w:cs="Calibri"/>
          <w:color w:val="000000"/>
          <w:lang w:val="cs-CZ"/>
        </w:rPr>
        <w:t>již</w:t>
      </w:r>
      <w:r w:rsidR="005B2528" w:rsidRPr="00042D3F">
        <w:rPr>
          <w:rFonts w:ascii="Calibri" w:hAnsi="Calibri" w:cs="Calibri"/>
          <w:color w:val="000000"/>
          <w:lang w:val="cs-CZ"/>
        </w:rPr>
        <w:t xml:space="preserve"> </w:t>
      </w:r>
      <w:r w:rsidR="006F49A3" w:rsidRPr="00042D3F">
        <w:rPr>
          <w:rFonts w:ascii="Calibri" w:hAnsi="Calibri" w:cs="Calibri"/>
          <w:color w:val="000000"/>
          <w:lang w:val="cs-CZ"/>
        </w:rPr>
        <w:t>provozovan</w:t>
      </w:r>
      <w:r w:rsidR="00A53DFE" w:rsidRPr="00042D3F">
        <w:rPr>
          <w:rFonts w:ascii="Calibri" w:hAnsi="Calibri" w:cs="Calibri"/>
          <w:color w:val="000000"/>
          <w:lang w:val="cs-CZ"/>
        </w:rPr>
        <w:t>é</w:t>
      </w:r>
      <w:r w:rsidR="006F49A3" w:rsidRPr="00042D3F">
        <w:rPr>
          <w:rFonts w:ascii="Calibri" w:hAnsi="Calibri" w:cs="Calibri"/>
          <w:color w:val="000000"/>
          <w:lang w:val="cs-CZ"/>
        </w:rPr>
        <w:t xml:space="preserve">m IS CEDR III, který byl ve správě </w:t>
      </w:r>
      <w:r w:rsidR="00C66B1A" w:rsidRPr="00042D3F">
        <w:rPr>
          <w:rFonts w:ascii="Calibri" w:hAnsi="Calibri" w:cs="Calibri"/>
          <w:color w:val="000000"/>
          <w:lang w:val="cs-CZ"/>
        </w:rPr>
        <w:t xml:space="preserve">u </w:t>
      </w:r>
      <w:r w:rsidR="006F49A3" w:rsidRPr="00042D3F">
        <w:rPr>
          <w:rFonts w:ascii="Calibri" w:hAnsi="Calibri" w:cs="Calibri"/>
          <w:color w:val="000000"/>
          <w:lang w:val="cs-CZ"/>
        </w:rPr>
        <w:t>podřízené organizac</w:t>
      </w:r>
      <w:r w:rsidR="00C66B1A" w:rsidRPr="00042D3F">
        <w:rPr>
          <w:rFonts w:ascii="Calibri" w:hAnsi="Calibri" w:cs="Calibri"/>
          <w:color w:val="000000"/>
          <w:lang w:val="cs-CZ"/>
        </w:rPr>
        <w:t>e</w:t>
      </w:r>
      <w:r w:rsidR="006F49A3" w:rsidRPr="00042D3F">
        <w:rPr>
          <w:rFonts w:ascii="Calibri" w:hAnsi="Calibri" w:cs="Calibri"/>
          <w:color w:val="000000"/>
          <w:lang w:val="cs-CZ"/>
        </w:rPr>
        <w:t xml:space="preserve"> GFŘ</w:t>
      </w:r>
      <w:r w:rsidR="00C13910" w:rsidRPr="00042D3F">
        <w:rPr>
          <w:rFonts w:ascii="Calibri" w:hAnsi="Calibri" w:cs="Calibri"/>
          <w:color w:val="000000"/>
          <w:lang w:val="cs-CZ"/>
        </w:rPr>
        <w:t xml:space="preserve"> a poskytoval informace o proplacených dotací</w:t>
      </w:r>
      <w:r w:rsidR="00CC38F1" w:rsidRPr="00042D3F">
        <w:rPr>
          <w:rFonts w:ascii="Calibri" w:hAnsi="Calibri" w:cs="Calibri"/>
          <w:color w:val="000000"/>
          <w:lang w:val="cs-CZ"/>
        </w:rPr>
        <w:t>ch</w:t>
      </w:r>
      <w:r w:rsidR="006F49A3" w:rsidRPr="00042D3F">
        <w:rPr>
          <w:rFonts w:ascii="Calibri" w:hAnsi="Calibri" w:cs="Calibri"/>
          <w:color w:val="000000"/>
          <w:lang w:val="cs-CZ"/>
        </w:rPr>
        <w:t>.</w:t>
      </w:r>
      <w:r w:rsidRPr="00042D3F">
        <w:rPr>
          <w:rFonts w:ascii="Calibri" w:hAnsi="Calibri" w:cs="Calibri"/>
          <w:color w:val="000000"/>
          <w:lang w:val="cs-CZ"/>
        </w:rPr>
        <w:t xml:space="preserve"> </w:t>
      </w:r>
      <w:r w:rsidR="00C161EE" w:rsidRPr="00042D3F">
        <w:rPr>
          <w:rFonts w:ascii="Calibri" w:hAnsi="Calibri" w:cs="Calibri"/>
          <w:color w:val="000000"/>
          <w:lang w:val="cs-CZ"/>
        </w:rPr>
        <w:t xml:space="preserve">Vybudování nového IS DotInfo EDS bylo zahrnuto do VZ na úpravy IS EDS/SMVS, aniž by s předmětem této VZ věcně souviselo. </w:t>
      </w:r>
      <w:r w:rsidRPr="00042D3F">
        <w:rPr>
          <w:rFonts w:ascii="Calibri" w:hAnsi="Calibri" w:cs="Calibri"/>
          <w:color w:val="000000"/>
          <w:lang w:val="cs-CZ"/>
        </w:rPr>
        <w:t xml:space="preserve">MF </w:t>
      </w:r>
      <w:r w:rsidR="001548B2" w:rsidRPr="00042D3F">
        <w:rPr>
          <w:rFonts w:ascii="Calibri" w:hAnsi="Calibri" w:cs="Calibri"/>
          <w:color w:val="000000"/>
          <w:lang w:val="cs-CZ"/>
        </w:rPr>
        <w:t xml:space="preserve">v rámci VZ </w:t>
      </w:r>
      <w:r w:rsidR="001548B2" w:rsidRPr="00042D3F">
        <w:rPr>
          <w:rFonts w:ascii="Calibri" w:hAnsi="Calibri" w:cs="Calibri"/>
          <w:i/>
          <w:color w:val="000000"/>
          <w:lang w:val="cs-CZ"/>
        </w:rPr>
        <w:t>Vývoj informačního systému EDS/SMVS</w:t>
      </w:r>
      <w:r w:rsidR="001548B2" w:rsidRPr="00042D3F">
        <w:rPr>
          <w:rFonts w:ascii="Calibri" w:hAnsi="Calibri" w:cs="Calibri"/>
          <w:color w:val="000000"/>
          <w:lang w:val="cs-CZ"/>
        </w:rPr>
        <w:t xml:space="preserve"> </w:t>
      </w:r>
      <w:r w:rsidR="00C161EE" w:rsidRPr="00042D3F">
        <w:rPr>
          <w:rFonts w:ascii="Calibri" w:hAnsi="Calibri" w:cs="Calibri"/>
          <w:color w:val="000000"/>
          <w:lang w:val="cs-CZ"/>
        </w:rPr>
        <w:t xml:space="preserve">tak spojilo věcně nesouvisející plnění </w:t>
      </w:r>
      <w:r w:rsidR="001548B2" w:rsidRPr="00042D3F">
        <w:rPr>
          <w:rFonts w:ascii="Calibri" w:hAnsi="Calibri" w:cs="Calibri"/>
          <w:color w:val="000000"/>
          <w:lang w:val="cs-CZ"/>
        </w:rPr>
        <w:t xml:space="preserve">a zadalo VZ v </w:t>
      </w:r>
      <w:r w:rsidRPr="00042D3F">
        <w:rPr>
          <w:rFonts w:ascii="Calibri" w:hAnsi="Calibri" w:cs="Calibri"/>
          <w:color w:val="000000"/>
          <w:lang w:val="cs-CZ"/>
        </w:rPr>
        <w:t>JŘBU,</w:t>
      </w:r>
      <w:r w:rsidRPr="00042D3F">
        <w:rPr>
          <w:rFonts w:ascii="Calibri" w:hAnsi="Calibri" w:cs="Calibri"/>
          <w:i/>
          <w:color w:val="000000"/>
          <w:lang w:val="cs-CZ"/>
        </w:rPr>
        <w:t xml:space="preserve"> </w:t>
      </w:r>
      <w:r w:rsidRPr="00042D3F">
        <w:rPr>
          <w:rFonts w:ascii="Calibri" w:hAnsi="Calibri" w:cs="Calibri"/>
          <w:color w:val="000000"/>
          <w:lang w:val="cs-CZ"/>
        </w:rPr>
        <w:t>aniž by byly naplněny podmínky pro jeho užití. MF se tak dopustilo porušení zásady zákazu diskriminace</w:t>
      </w:r>
      <w:r w:rsidR="004D68E1" w:rsidRPr="00042D3F">
        <w:rPr>
          <w:rFonts w:ascii="Calibri" w:hAnsi="Calibri" w:cs="Calibri"/>
          <w:color w:val="000000"/>
          <w:lang w:val="cs-CZ"/>
        </w:rPr>
        <w:t xml:space="preserve"> a</w:t>
      </w:r>
      <w:r w:rsidRPr="00042D3F">
        <w:rPr>
          <w:rFonts w:ascii="Calibri" w:hAnsi="Calibri" w:cs="Calibri"/>
          <w:color w:val="000000"/>
          <w:lang w:val="cs-CZ"/>
        </w:rPr>
        <w:t xml:space="preserve"> NKÚ toto jednání vyhodnotil jako porušení rozpočtové kázně ve výši 38,2 mil. Kč.</w:t>
      </w:r>
    </w:p>
    <w:p w14:paraId="503E759C" w14:textId="77777777" w:rsidR="00042D3F" w:rsidRPr="00042D3F" w:rsidRDefault="00042D3F" w:rsidP="00042D3F">
      <w:pPr>
        <w:jc w:val="both"/>
        <w:rPr>
          <w:rFonts w:ascii="Calibri" w:hAnsi="Calibri" w:cs="Calibri"/>
          <w:color w:val="000000"/>
          <w:lang w:val="cs-CZ"/>
        </w:rPr>
      </w:pPr>
    </w:p>
    <w:p w14:paraId="0732B020" w14:textId="77777777" w:rsidR="001A15DD" w:rsidRDefault="001A15DD" w:rsidP="00042D3F">
      <w:pPr>
        <w:jc w:val="both"/>
        <w:rPr>
          <w:rFonts w:ascii="Calibri" w:hAnsi="Calibri" w:cs="Calibri"/>
          <w:color w:val="000000"/>
          <w:lang w:val="cs-CZ"/>
        </w:rPr>
      </w:pPr>
      <w:r w:rsidRPr="00042D3F">
        <w:rPr>
          <w:rFonts w:ascii="Calibri" w:hAnsi="Calibri" w:cs="Calibri"/>
          <w:color w:val="000000"/>
          <w:lang w:val="cs-CZ"/>
        </w:rPr>
        <w:t>MF v souvislosti s vývojem informační podpory programového financování v období let</w:t>
      </w:r>
      <w:r w:rsidR="00CC7DE0" w:rsidRPr="00042D3F">
        <w:rPr>
          <w:rFonts w:ascii="Calibri" w:hAnsi="Calibri" w:cs="Calibri"/>
          <w:color w:val="000000"/>
          <w:lang w:val="cs-CZ"/>
        </w:rPr>
        <w:br/>
      </w:r>
      <w:r w:rsidRPr="00042D3F">
        <w:rPr>
          <w:rFonts w:ascii="Calibri" w:hAnsi="Calibri" w:cs="Calibri"/>
          <w:color w:val="000000"/>
          <w:lang w:val="cs-CZ"/>
        </w:rPr>
        <w:t xml:space="preserve">2005–2011 </w:t>
      </w:r>
      <w:r w:rsidR="00AF1B0B" w:rsidRPr="00042D3F">
        <w:rPr>
          <w:rFonts w:ascii="Calibri" w:hAnsi="Calibri" w:cs="Calibri"/>
          <w:color w:val="000000"/>
          <w:lang w:val="cs-CZ"/>
        </w:rPr>
        <w:t xml:space="preserve">zadalo </w:t>
      </w:r>
      <w:r w:rsidRPr="00042D3F">
        <w:rPr>
          <w:rFonts w:ascii="Calibri" w:hAnsi="Calibri" w:cs="Calibri"/>
          <w:color w:val="000000"/>
          <w:lang w:val="cs-CZ"/>
        </w:rPr>
        <w:t xml:space="preserve">osm </w:t>
      </w:r>
      <w:r w:rsidR="0089764B" w:rsidRPr="00042D3F">
        <w:rPr>
          <w:rFonts w:ascii="Calibri" w:hAnsi="Calibri" w:cs="Calibri"/>
          <w:color w:val="000000"/>
          <w:lang w:val="cs-CZ"/>
        </w:rPr>
        <w:t xml:space="preserve">VZ na </w:t>
      </w:r>
      <w:r w:rsidRPr="00042D3F">
        <w:rPr>
          <w:rFonts w:ascii="Calibri" w:hAnsi="Calibri" w:cs="Calibri"/>
          <w:color w:val="000000"/>
          <w:lang w:val="cs-CZ"/>
        </w:rPr>
        <w:t>projektov</w:t>
      </w:r>
      <w:r w:rsidR="0089764B" w:rsidRPr="00042D3F">
        <w:rPr>
          <w:rFonts w:ascii="Calibri" w:hAnsi="Calibri" w:cs="Calibri"/>
          <w:color w:val="000000"/>
          <w:lang w:val="cs-CZ"/>
        </w:rPr>
        <w:t>é</w:t>
      </w:r>
      <w:r w:rsidRPr="00042D3F">
        <w:rPr>
          <w:rFonts w:ascii="Calibri" w:hAnsi="Calibri" w:cs="Calibri"/>
          <w:color w:val="000000"/>
          <w:lang w:val="cs-CZ"/>
        </w:rPr>
        <w:t xml:space="preserve"> dozor</w:t>
      </w:r>
      <w:r w:rsidR="0089764B" w:rsidRPr="00042D3F">
        <w:rPr>
          <w:rFonts w:ascii="Calibri" w:hAnsi="Calibri" w:cs="Calibri"/>
          <w:color w:val="000000"/>
          <w:lang w:val="cs-CZ"/>
        </w:rPr>
        <w:t>y</w:t>
      </w:r>
      <w:r w:rsidRPr="00042D3F">
        <w:rPr>
          <w:rFonts w:ascii="Calibri" w:hAnsi="Calibri" w:cs="Calibri"/>
          <w:color w:val="000000"/>
          <w:lang w:val="cs-CZ"/>
        </w:rPr>
        <w:t xml:space="preserve">. </w:t>
      </w:r>
      <w:r w:rsidR="00AF1B0B" w:rsidRPr="00042D3F">
        <w:rPr>
          <w:rFonts w:ascii="Calibri" w:hAnsi="Calibri" w:cs="Calibri"/>
          <w:color w:val="000000"/>
          <w:lang w:val="cs-CZ"/>
        </w:rPr>
        <w:t>MF s</w:t>
      </w:r>
      <w:r w:rsidRPr="00042D3F">
        <w:rPr>
          <w:rFonts w:ascii="Calibri" w:hAnsi="Calibri" w:cs="Calibri"/>
          <w:color w:val="000000"/>
          <w:lang w:val="cs-CZ"/>
        </w:rPr>
        <w:t xml:space="preserve"> odůvodněním ochrany výhradních práv </w:t>
      </w:r>
      <w:r w:rsidR="008F6B26" w:rsidRPr="00042D3F">
        <w:rPr>
          <w:rFonts w:ascii="Calibri" w:hAnsi="Calibri" w:cs="Calibri"/>
          <w:color w:val="000000"/>
          <w:lang w:val="cs-CZ"/>
        </w:rPr>
        <w:t xml:space="preserve">realizovalo </w:t>
      </w:r>
      <w:r w:rsidRPr="00042D3F">
        <w:rPr>
          <w:rFonts w:ascii="Calibri" w:hAnsi="Calibri" w:cs="Calibri"/>
          <w:color w:val="000000"/>
          <w:lang w:val="cs-CZ"/>
        </w:rPr>
        <w:t>pát</w:t>
      </w:r>
      <w:r w:rsidR="00AF1B0B" w:rsidRPr="00042D3F">
        <w:rPr>
          <w:rFonts w:ascii="Calibri" w:hAnsi="Calibri" w:cs="Calibri"/>
          <w:color w:val="000000"/>
          <w:lang w:val="cs-CZ"/>
        </w:rPr>
        <w:t>ou</w:t>
      </w:r>
      <w:r w:rsidRPr="00042D3F">
        <w:rPr>
          <w:rFonts w:ascii="Calibri" w:hAnsi="Calibri" w:cs="Calibri"/>
          <w:color w:val="000000"/>
          <w:lang w:val="cs-CZ"/>
        </w:rPr>
        <w:t xml:space="preserve"> až osm</w:t>
      </w:r>
      <w:r w:rsidR="00AF1B0B" w:rsidRPr="00042D3F">
        <w:rPr>
          <w:rFonts w:ascii="Calibri" w:hAnsi="Calibri" w:cs="Calibri"/>
          <w:color w:val="000000"/>
          <w:lang w:val="cs-CZ"/>
        </w:rPr>
        <w:t>ou VZ na</w:t>
      </w:r>
      <w:r w:rsidRPr="00042D3F">
        <w:rPr>
          <w:rFonts w:ascii="Calibri" w:hAnsi="Calibri" w:cs="Calibri"/>
          <w:color w:val="000000"/>
          <w:lang w:val="cs-CZ"/>
        </w:rPr>
        <w:t xml:space="preserve"> projektový dozor v letech 2008, 2009 a 2011 formou JŘBU</w:t>
      </w:r>
      <w:r w:rsidR="00C3760E">
        <w:rPr>
          <w:rFonts w:ascii="Calibri" w:hAnsi="Calibri" w:cs="Calibri"/>
          <w:color w:val="000000"/>
          <w:lang w:val="cs-CZ"/>
        </w:rPr>
        <w:t>,</w:t>
      </w:r>
      <w:r w:rsidRPr="00042D3F">
        <w:rPr>
          <w:rFonts w:ascii="Calibri" w:hAnsi="Calibri" w:cs="Calibri"/>
          <w:color w:val="000000"/>
          <w:lang w:val="cs-CZ"/>
        </w:rPr>
        <w:t xml:space="preserve"> </w:t>
      </w:r>
      <w:r w:rsidR="00C3760E">
        <w:rPr>
          <w:rFonts w:ascii="Calibri" w:hAnsi="Calibri" w:cs="Calibri"/>
          <w:color w:val="000000"/>
          <w:lang w:val="cs-CZ"/>
        </w:rPr>
        <w:t>a</w:t>
      </w:r>
      <w:r w:rsidRPr="00042D3F">
        <w:rPr>
          <w:rFonts w:ascii="Calibri" w:hAnsi="Calibri" w:cs="Calibri"/>
          <w:color w:val="000000"/>
          <w:lang w:val="cs-CZ"/>
        </w:rPr>
        <w:t xml:space="preserve">však </w:t>
      </w:r>
      <w:r w:rsidR="00C3760E" w:rsidRPr="00042D3F">
        <w:rPr>
          <w:rFonts w:ascii="Calibri" w:hAnsi="Calibri" w:cs="Calibri"/>
          <w:color w:val="000000"/>
          <w:lang w:val="cs-CZ"/>
        </w:rPr>
        <w:t xml:space="preserve">neobjasnilo a nedoložilo </w:t>
      </w:r>
      <w:r w:rsidRPr="00042D3F">
        <w:rPr>
          <w:rFonts w:ascii="Calibri" w:hAnsi="Calibri" w:cs="Calibri"/>
          <w:color w:val="000000"/>
          <w:lang w:val="cs-CZ"/>
        </w:rPr>
        <w:t>licenční oprávnění prokazující ochranu výhradních práv, na základě kterého zadávalo VZ jednomu poskytovateli služeb. NKÚ toto jednání vyhodnotil jako vytvoření neodůvodněné překážky pro otevření veřejné zakázky hospodářské soutěži, čímž se MF dopustilo porušení zásady transparentnosti a zákazu d</w:t>
      </w:r>
      <w:r w:rsidR="00CC7DE0" w:rsidRPr="00042D3F">
        <w:rPr>
          <w:rFonts w:ascii="Calibri" w:hAnsi="Calibri" w:cs="Calibri"/>
          <w:color w:val="000000"/>
          <w:lang w:val="cs-CZ"/>
        </w:rPr>
        <w:t>iskriminace. NKÚ toto jednání v </w:t>
      </w:r>
      <w:r w:rsidRPr="00042D3F">
        <w:rPr>
          <w:rFonts w:ascii="Calibri" w:hAnsi="Calibri" w:cs="Calibri"/>
          <w:color w:val="000000"/>
          <w:lang w:val="cs-CZ"/>
        </w:rPr>
        <w:t>kontrolovaném období vyhodnotil jako porušení rozpočtové kázně ve výši 1,60 mil. Kč. MF v</w:t>
      </w:r>
      <w:r w:rsidR="007D4EAA" w:rsidRPr="00042D3F">
        <w:rPr>
          <w:rFonts w:ascii="Calibri" w:hAnsi="Calibri" w:cs="Calibri"/>
          <w:color w:val="000000"/>
          <w:lang w:val="cs-CZ"/>
        </w:rPr>
        <w:t> </w:t>
      </w:r>
      <w:r w:rsidRPr="00042D3F">
        <w:rPr>
          <w:rFonts w:ascii="Calibri" w:hAnsi="Calibri" w:cs="Calibri"/>
          <w:color w:val="000000"/>
          <w:lang w:val="cs-CZ"/>
        </w:rPr>
        <w:t>roce 2007 rozdělilo předmět plnění veřejné zakázky na projektový dozor, čímž snížilo její předpokládanou hodnotu pod finanční limit pro podlimitní veřejnou zakázku. MF tímto jednáním vytvořilo z jedné podlimitní VZ dvě veřejné zakázky malého rozsahu.</w:t>
      </w:r>
    </w:p>
    <w:p w14:paraId="3E9B75EB" w14:textId="77777777" w:rsidR="00042D3F" w:rsidRPr="00042D3F" w:rsidRDefault="00042D3F" w:rsidP="00042D3F">
      <w:pPr>
        <w:jc w:val="both"/>
        <w:rPr>
          <w:rFonts w:ascii="Calibri" w:hAnsi="Calibri" w:cs="Calibri"/>
          <w:color w:val="000000"/>
          <w:lang w:val="cs-CZ"/>
        </w:rPr>
      </w:pPr>
    </w:p>
    <w:p w14:paraId="6D079E59" w14:textId="77777777" w:rsidR="00B87043" w:rsidRPr="00042D3F" w:rsidRDefault="00B87043" w:rsidP="00042D3F">
      <w:pPr>
        <w:jc w:val="both"/>
        <w:rPr>
          <w:rFonts w:ascii="Calibri" w:hAnsi="Calibri" w:cs="Calibri"/>
          <w:color w:val="000000"/>
          <w:lang w:val="cs-CZ"/>
        </w:rPr>
      </w:pPr>
      <w:r w:rsidRPr="00042D3F">
        <w:rPr>
          <w:rFonts w:ascii="Calibri" w:hAnsi="Calibri" w:cs="Calibri"/>
          <w:color w:val="000000"/>
          <w:lang w:val="cs-CZ"/>
        </w:rPr>
        <w:t xml:space="preserve">GFŘ po převedení majetku a správy IS CEDR od MF nezjišťovalo, zda technickou a provozní podporu IS CEDR II a IS CEDR III může realizovat prostřednictvím </w:t>
      </w:r>
      <w:r w:rsidR="00356E06" w:rsidRPr="00042D3F">
        <w:rPr>
          <w:rFonts w:ascii="Calibri" w:hAnsi="Calibri" w:cs="Calibri"/>
          <w:color w:val="000000"/>
          <w:lang w:val="cs-CZ"/>
        </w:rPr>
        <w:t xml:space="preserve">zadávacího řízení, které by umožnilo </w:t>
      </w:r>
      <w:r w:rsidR="00F05C68" w:rsidRPr="00042D3F">
        <w:rPr>
          <w:rFonts w:ascii="Calibri" w:hAnsi="Calibri" w:cs="Calibri"/>
          <w:color w:val="000000"/>
          <w:lang w:val="cs-CZ"/>
        </w:rPr>
        <w:t xml:space="preserve">otevřenou </w:t>
      </w:r>
      <w:r w:rsidR="00356E06" w:rsidRPr="00042D3F">
        <w:rPr>
          <w:rFonts w:ascii="Calibri" w:hAnsi="Calibri" w:cs="Calibri"/>
          <w:color w:val="000000"/>
          <w:lang w:val="cs-CZ"/>
        </w:rPr>
        <w:t>hospodářskou soutěž</w:t>
      </w:r>
      <w:r w:rsidRPr="00042D3F">
        <w:rPr>
          <w:rFonts w:ascii="Calibri" w:hAnsi="Calibri" w:cs="Calibri"/>
          <w:color w:val="000000"/>
          <w:lang w:val="cs-CZ"/>
        </w:rPr>
        <w:t xml:space="preserve">. </w:t>
      </w:r>
      <w:r w:rsidR="00F8699F" w:rsidRPr="00042D3F">
        <w:rPr>
          <w:rFonts w:ascii="Calibri" w:hAnsi="Calibri" w:cs="Calibri"/>
          <w:color w:val="000000"/>
          <w:lang w:val="cs-CZ"/>
        </w:rPr>
        <w:t>GFŘ p</w:t>
      </w:r>
      <w:r w:rsidRPr="00042D3F">
        <w:rPr>
          <w:rFonts w:ascii="Calibri" w:hAnsi="Calibri" w:cs="Calibri"/>
          <w:color w:val="000000"/>
          <w:lang w:val="cs-CZ"/>
        </w:rPr>
        <w:t>oužití JŘBU pro VZ na technickou a provozní podporu IS CEDR zdůvodnilo technickými důvody a ochranou autorských práv dodavatele a</w:t>
      </w:r>
      <w:r w:rsidR="00A922EB" w:rsidRPr="00042D3F">
        <w:rPr>
          <w:rFonts w:ascii="Calibri" w:hAnsi="Calibri" w:cs="Calibri"/>
          <w:color w:val="000000"/>
          <w:lang w:val="cs-CZ"/>
        </w:rPr>
        <w:t> </w:t>
      </w:r>
      <w:r w:rsidRPr="00042D3F">
        <w:rPr>
          <w:rFonts w:ascii="Calibri" w:hAnsi="Calibri" w:cs="Calibri"/>
          <w:color w:val="000000"/>
          <w:lang w:val="cs-CZ"/>
        </w:rPr>
        <w:t>nepodniklo kroky k ověření možností vyvázat se ze závislosti na současn</w:t>
      </w:r>
      <w:r w:rsidR="004D68E1" w:rsidRPr="00042D3F">
        <w:rPr>
          <w:rFonts w:ascii="Calibri" w:hAnsi="Calibri" w:cs="Calibri"/>
          <w:color w:val="000000"/>
          <w:lang w:val="cs-CZ"/>
        </w:rPr>
        <w:t>é</w:t>
      </w:r>
      <w:r w:rsidRPr="00042D3F">
        <w:rPr>
          <w:rFonts w:ascii="Calibri" w:hAnsi="Calibri" w:cs="Calibri"/>
          <w:color w:val="000000"/>
          <w:lang w:val="cs-CZ"/>
        </w:rPr>
        <w:t>m dodavatel</w:t>
      </w:r>
      <w:r w:rsidR="004D68E1" w:rsidRPr="00042D3F">
        <w:rPr>
          <w:rFonts w:ascii="Calibri" w:hAnsi="Calibri" w:cs="Calibri"/>
          <w:color w:val="000000"/>
          <w:lang w:val="cs-CZ"/>
        </w:rPr>
        <w:t>i</w:t>
      </w:r>
      <w:r w:rsidRPr="00042D3F">
        <w:rPr>
          <w:rFonts w:ascii="Calibri" w:hAnsi="Calibri" w:cs="Calibri"/>
          <w:color w:val="000000"/>
          <w:lang w:val="cs-CZ"/>
        </w:rPr>
        <w:t xml:space="preserve"> IT služeb pro IS CEDR.</w:t>
      </w:r>
    </w:p>
    <w:p w14:paraId="58529E56" w14:textId="77777777" w:rsidR="00B87043" w:rsidRPr="00042D3F" w:rsidRDefault="00B87043" w:rsidP="00042D3F">
      <w:pPr>
        <w:jc w:val="both"/>
        <w:rPr>
          <w:rFonts w:ascii="Calibri" w:hAnsi="Calibri" w:cs="Calibri"/>
          <w:color w:val="000000"/>
          <w:lang w:val="cs-CZ"/>
        </w:rPr>
      </w:pPr>
    </w:p>
    <w:p w14:paraId="7491398F" w14:textId="77777777" w:rsidR="00DF59DE" w:rsidRPr="00042D3F" w:rsidRDefault="00DF59DE" w:rsidP="00042D3F">
      <w:pPr>
        <w:rPr>
          <w:rFonts w:ascii="Calibri" w:hAnsi="Calibri" w:cs="Calibri"/>
          <w:b/>
          <w:color w:val="000000"/>
          <w:lang w:val="cs-CZ"/>
        </w:rPr>
      </w:pPr>
      <w:r w:rsidRPr="00042D3F">
        <w:rPr>
          <w:rFonts w:ascii="Calibri" w:hAnsi="Calibri" w:cs="Calibri"/>
          <w:b/>
          <w:color w:val="000000"/>
          <w:lang w:val="cs-CZ"/>
        </w:rPr>
        <w:br w:type="page"/>
      </w:r>
    </w:p>
    <w:p w14:paraId="025A0782" w14:textId="77777777" w:rsidR="008376AD" w:rsidRPr="00042D3F" w:rsidRDefault="008376AD" w:rsidP="00042D3F">
      <w:pPr>
        <w:jc w:val="both"/>
        <w:rPr>
          <w:rFonts w:ascii="Calibri" w:hAnsi="Calibri" w:cs="Calibri"/>
          <w:b/>
          <w:color w:val="000000"/>
          <w:lang w:val="cs-CZ"/>
        </w:rPr>
      </w:pPr>
      <w:r w:rsidRPr="00042D3F">
        <w:rPr>
          <w:rFonts w:ascii="Calibri" w:hAnsi="Calibri" w:cs="Calibri"/>
          <w:b/>
          <w:color w:val="000000"/>
          <w:lang w:val="cs-CZ"/>
        </w:rPr>
        <w:lastRenderedPageBreak/>
        <w:t>Seznam zkratek</w:t>
      </w:r>
    </w:p>
    <w:p w14:paraId="52DEB0B6" w14:textId="77777777" w:rsidR="00D73254" w:rsidRPr="00042D3F" w:rsidRDefault="00D73254" w:rsidP="00042D3F">
      <w:pPr>
        <w:jc w:val="center"/>
        <w:rPr>
          <w:rFonts w:ascii="Calibri" w:hAnsi="Calibri" w:cs="Calibri"/>
          <w:b/>
          <w:color w:val="000000"/>
          <w:lang w:val="cs-CZ"/>
        </w:rPr>
      </w:pPr>
    </w:p>
    <w:tbl>
      <w:tblPr>
        <w:tblStyle w:val="Mkatabulky1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20"/>
      </w:tblGrid>
      <w:tr w:rsidR="00A549B3" w:rsidRPr="00042D3F" w14:paraId="6CA45C14" w14:textId="77777777" w:rsidTr="004B33DA">
        <w:trPr>
          <w:trHeight w:hRule="exact" w:val="680"/>
        </w:trPr>
        <w:tc>
          <w:tcPr>
            <w:tcW w:w="2660" w:type="dxa"/>
          </w:tcPr>
          <w:p w14:paraId="442E0F95" w14:textId="77777777" w:rsidR="00A549B3" w:rsidRPr="00042D3F" w:rsidRDefault="00A549B3" w:rsidP="00042D3F">
            <w:pPr>
              <w:tabs>
                <w:tab w:val="left" w:pos="-426"/>
              </w:tabs>
              <w:rPr>
                <w:rFonts w:ascii="Calibri" w:hAnsi="Calibri" w:cs="Calibri"/>
                <w:lang w:val="cs-CZ"/>
              </w:rPr>
            </w:pPr>
            <w:r w:rsidRPr="00042D3F">
              <w:rPr>
                <w:rFonts w:ascii="Calibri" w:hAnsi="Calibri" w:cs="Calibri"/>
                <w:lang w:val="cs-CZ"/>
              </w:rPr>
              <w:t>ČR</w:t>
            </w:r>
          </w:p>
        </w:tc>
        <w:tc>
          <w:tcPr>
            <w:tcW w:w="6520" w:type="dxa"/>
          </w:tcPr>
          <w:p w14:paraId="3618B354" w14:textId="77777777" w:rsidR="00A549B3" w:rsidRPr="00042D3F" w:rsidRDefault="00A549B3" w:rsidP="00042D3F">
            <w:pPr>
              <w:tabs>
                <w:tab w:val="left" w:pos="-426"/>
              </w:tabs>
              <w:rPr>
                <w:rFonts w:ascii="Calibri" w:hAnsi="Calibri" w:cs="Calibri"/>
                <w:lang w:val="cs-CZ"/>
              </w:rPr>
            </w:pPr>
            <w:r w:rsidRPr="00042D3F">
              <w:rPr>
                <w:rFonts w:ascii="Calibri" w:hAnsi="Calibri" w:cs="Calibri"/>
                <w:lang w:val="cs-CZ"/>
              </w:rPr>
              <w:t>Česká republika</w:t>
            </w:r>
          </w:p>
        </w:tc>
      </w:tr>
      <w:tr w:rsidR="00F42378" w:rsidRPr="00042D3F" w14:paraId="66275E63" w14:textId="77777777" w:rsidTr="004B33DA">
        <w:trPr>
          <w:trHeight w:hRule="exact" w:val="680"/>
        </w:trPr>
        <w:tc>
          <w:tcPr>
            <w:tcW w:w="2660" w:type="dxa"/>
          </w:tcPr>
          <w:p w14:paraId="786D5ECD" w14:textId="77777777" w:rsidR="00F42378" w:rsidRPr="00042D3F" w:rsidRDefault="00F42378" w:rsidP="00042D3F">
            <w:pPr>
              <w:tabs>
                <w:tab w:val="left" w:pos="-426"/>
              </w:tabs>
              <w:rPr>
                <w:rFonts w:ascii="Calibri" w:hAnsi="Calibri" w:cs="Calibri"/>
                <w:lang w:val="cs-CZ"/>
              </w:rPr>
            </w:pPr>
            <w:r w:rsidRPr="00042D3F">
              <w:rPr>
                <w:rFonts w:ascii="Calibri" w:hAnsi="Calibri" w:cs="Calibri"/>
                <w:lang w:val="cs-CZ"/>
              </w:rPr>
              <w:t>EU</w:t>
            </w:r>
          </w:p>
        </w:tc>
        <w:tc>
          <w:tcPr>
            <w:tcW w:w="6520" w:type="dxa"/>
          </w:tcPr>
          <w:p w14:paraId="16DAE246" w14:textId="77777777" w:rsidR="00F42378" w:rsidRPr="00042D3F" w:rsidRDefault="00F42378" w:rsidP="00042D3F">
            <w:pPr>
              <w:tabs>
                <w:tab w:val="left" w:pos="-426"/>
              </w:tabs>
              <w:rPr>
                <w:rFonts w:ascii="Calibri" w:hAnsi="Calibri" w:cs="Calibri"/>
                <w:lang w:val="cs-CZ"/>
              </w:rPr>
            </w:pPr>
            <w:r w:rsidRPr="00042D3F">
              <w:rPr>
                <w:rFonts w:ascii="Calibri" w:hAnsi="Calibri" w:cs="Calibri"/>
                <w:lang w:val="cs-CZ"/>
              </w:rPr>
              <w:t>Evropská unie</w:t>
            </w:r>
          </w:p>
        </w:tc>
      </w:tr>
      <w:tr w:rsidR="00F42378" w:rsidRPr="00042D3F" w14:paraId="7E3066D9" w14:textId="77777777" w:rsidTr="004B33DA">
        <w:trPr>
          <w:trHeight w:hRule="exact" w:val="680"/>
        </w:trPr>
        <w:tc>
          <w:tcPr>
            <w:tcW w:w="2660" w:type="dxa"/>
          </w:tcPr>
          <w:p w14:paraId="0F5CD655" w14:textId="77777777" w:rsidR="00F42378" w:rsidRPr="00042D3F" w:rsidRDefault="00F42378" w:rsidP="00042D3F">
            <w:pPr>
              <w:tabs>
                <w:tab w:val="left" w:pos="-426"/>
              </w:tabs>
              <w:rPr>
                <w:rFonts w:ascii="Calibri" w:hAnsi="Calibri" w:cs="Calibri"/>
                <w:lang w:val="cs-CZ"/>
              </w:rPr>
            </w:pPr>
            <w:r w:rsidRPr="00042D3F">
              <w:rPr>
                <w:rFonts w:ascii="Calibri" w:hAnsi="Calibri" w:cs="Calibri"/>
                <w:lang w:val="cs-CZ"/>
              </w:rPr>
              <w:t>GFŘ</w:t>
            </w:r>
          </w:p>
        </w:tc>
        <w:tc>
          <w:tcPr>
            <w:tcW w:w="6520" w:type="dxa"/>
          </w:tcPr>
          <w:p w14:paraId="77973099" w14:textId="77777777" w:rsidR="00F42378" w:rsidRPr="00042D3F" w:rsidRDefault="00F42378" w:rsidP="00042D3F">
            <w:pPr>
              <w:tabs>
                <w:tab w:val="left" w:pos="-426"/>
              </w:tabs>
              <w:rPr>
                <w:rFonts w:ascii="Calibri" w:hAnsi="Calibri" w:cs="Calibri"/>
                <w:lang w:val="cs-CZ"/>
              </w:rPr>
            </w:pPr>
            <w:r w:rsidRPr="00042D3F">
              <w:rPr>
                <w:rFonts w:ascii="Calibri" w:hAnsi="Calibri" w:cs="Calibri"/>
                <w:lang w:val="cs-CZ"/>
              </w:rPr>
              <w:t>Generální finanční ředitelství</w:t>
            </w:r>
          </w:p>
        </w:tc>
      </w:tr>
      <w:tr w:rsidR="00F42378" w:rsidRPr="00042D3F" w14:paraId="5E23E0EE" w14:textId="77777777" w:rsidTr="004B33DA">
        <w:trPr>
          <w:trHeight w:hRule="exact" w:val="680"/>
        </w:trPr>
        <w:tc>
          <w:tcPr>
            <w:tcW w:w="2660" w:type="dxa"/>
          </w:tcPr>
          <w:p w14:paraId="21E68A0C" w14:textId="77777777" w:rsidR="00F42378" w:rsidRPr="00042D3F" w:rsidRDefault="00F42378" w:rsidP="00042D3F">
            <w:pPr>
              <w:tabs>
                <w:tab w:val="left" w:pos="-426"/>
              </w:tabs>
              <w:rPr>
                <w:rFonts w:ascii="Calibri" w:hAnsi="Calibri" w:cs="Calibri"/>
                <w:lang w:val="cs-CZ"/>
              </w:rPr>
            </w:pPr>
            <w:r w:rsidRPr="00042D3F">
              <w:rPr>
                <w:rFonts w:ascii="Calibri" w:hAnsi="Calibri" w:cs="Calibri"/>
                <w:lang w:val="cs-CZ"/>
              </w:rPr>
              <w:t>ICT</w:t>
            </w:r>
          </w:p>
        </w:tc>
        <w:tc>
          <w:tcPr>
            <w:tcW w:w="6520" w:type="dxa"/>
          </w:tcPr>
          <w:p w14:paraId="244AA18A" w14:textId="77777777" w:rsidR="00F42378" w:rsidRPr="00042D3F" w:rsidRDefault="00F42378" w:rsidP="00042D3F">
            <w:pPr>
              <w:tabs>
                <w:tab w:val="left" w:pos="-426"/>
              </w:tabs>
              <w:rPr>
                <w:rFonts w:ascii="Calibri" w:hAnsi="Calibri" w:cs="Calibri"/>
                <w:lang w:val="cs-CZ"/>
              </w:rPr>
            </w:pPr>
            <w:r w:rsidRPr="00042D3F">
              <w:rPr>
                <w:rFonts w:ascii="Calibri" w:hAnsi="Calibri" w:cs="Calibri"/>
                <w:lang w:val="cs-CZ"/>
              </w:rPr>
              <w:t>informační a komunikační technologie</w:t>
            </w:r>
          </w:p>
        </w:tc>
      </w:tr>
      <w:tr w:rsidR="00F42378" w:rsidRPr="00042D3F" w14:paraId="639C2AEE" w14:textId="77777777" w:rsidTr="004B33DA">
        <w:trPr>
          <w:trHeight w:hRule="exact" w:val="680"/>
        </w:trPr>
        <w:tc>
          <w:tcPr>
            <w:tcW w:w="2660" w:type="dxa"/>
          </w:tcPr>
          <w:p w14:paraId="2178F456" w14:textId="77777777" w:rsidR="00F42378" w:rsidRPr="00042D3F" w:rsidRDefault="00F42378" w:rsidP="00042D3F">
            <w:pPr>
              <w:tabs>
                <w:tab w:val="left" w:pos="-426"/>
              </w:tabs>
              <w:rPr>
                <w:rFonts w:ascii="Calibri" w:hAnsi="Calibri" w:cs="Calibri"/>
                <w:lang w:val="cs-CZ"/>
              </w:rPr>
            </w:pPr>
            <w:r w:rsidRPr="00042D3F">
              <w:rPr>
                <w:rFonts w:ascii="Calibri" w:hAnsi="Calibri" w:cs="Calibri"/>
                <w:lang w:val="cs-CZ"/>
              </w:rPr>
              <w:t>IS</w:t>
            </w:r>
          </w:p>
        </w:tc>
        <w:tc>
          <w:tcPr>
            <w:tcW w:w="6520" w:type="dxa"/>
          </w:tcPr>
          <w:p w14:paraId="384253F8" w14:textId="77777777" w:rsidR="00F42378" w:rsidRPr="00042D3F" w:rsidRDefault="00F42378" w:rsidP="00042D3F">
            <w:pPr>
              <w:tabs>
                <w:tab w:val="left" w:pos="-426"/>
              </w:tabs>
              <w:rPr>
                <w:rFonts w:ascii="Calibri" w:hAnsi="Calibri" w:cs="Calibri"/>
                <w:lang w:val="cs-CZ"/>
              </w:rPr>
            </w:pPr>
            <w:r w:rsidRPr="00042D3F">
              <w:rPr>
                <w:rFonts w:ascii="Calibri" w:hAnsi="Calibri" w:cs="Calibri"/>
                <w:lang w:val="cs-CZ"/>
              </w:rPr>
              <w:t>informační systém</w:t>
            </w:r>
          </w:p>
        </w:tc>
      </w:tr>
      <w:tr w:rsidR="00F42378" w:rsidRPr="00042D3F" w14:paraId="60C1CA57" w14:textId="77777777" w:rsidTr="004B33DA">
        <w:trPr>
          <w:trHeight w:hRule="exact" w:val="680"/>
        </w:trPr>
        <w:tc>
          <w:tcPr>
            <w:tcW w:w="2660" w:type="dxa"/>
          </w:tcPr>
          <w:p w14:paraId="7927E47E" w14:textId="77777777" w:rsidR="00F42378" w:rsidRPr="00042D3F" w:rsidRDefault="00F42378" w:rsidP="00042D3F">
            <w:pPr>
              <w:tabs>
                <w:tab w:val="left" w:pos="-426"/>
              </w:tabs>
              <w:rPr>
                <w:rFonts w:ascii="Calibri" w:hAnsi="Calibri" w:cs="Calibri"/>
                <w:lang w:val="cs-CZ"/>
              </w:rPr>
            </w:pPr>
            <w:r w:rsidRPr="00042D3F">
              <w:rPr>
                <w:rFonts w:ascii="Calibri" w:hAnsi="Calibri" w:cs="Calibri"/>
                <w:lang w:val="cs-CZ"/>
              </w:rPr>
              <w:t>IS CEDR III</w:t>
            </w:r>
          </w:p>
        </w:tc>
        <w:tc>
          <w:tcPr>
            <w:tcW w:w="6520" w:type="dxa"/>
          </w:tcPr>
          <w:p w14:paraId="0A75B588" w14:textId="77777777" w:rsidR="00F42378" w:rsidRPr="00042D3F" w:rsidRDefault="00F42378" w:rsidP="00042D3F">
            <w:pPr>
              <w:tabs>
                <w:tab w:val="left" w:pos="-426"/>
              </w:tabs>
              <w:rPr>
                <w:rFonts w:ascii="Calibri" w:hAnsi="Calibri" w:cs="Calibri"/>
                <w:lang w:val="cs-CZ"/>
              </w:rPr>
            </w:pPr>
            <w:r w:rsidRPr="00042D3F">
              <w:rPr>
                <w:rFonts w:ascii="Calibri" w:hAnsi="Calibri" w:cs="Calibri"/>
                <w:lang w:val="cs-CZ"/>
              </w:rPr>
              <w:t xml:space="preserve">informační systém </w:t>
            </w:r>
            <w:r w:rsidRPr="009C4A68">
              <w:rPr>
                <w:rFonts w:ascii="Calibri" w:hAnsi="Calibri" w:cs="Calibri"/>
                <w:i/>
                <w:lang w:val="cs-CZ"/>
              </w:rPr>
              <w:t>Centrální evidence dotací z rozpočtu</w:t>
            </w:r>
          </w:p>
        </w:tc>
      </w:tr>
      <w:tr w:rsidR="00F42378" w:rsidRPr="00042D3F" w14:paraId="0E6CB9CB" w14:textId="77777777" w:rsidTr="004B33DA">
        <w:trPr>
          <w:trHeight w:hRule="exact" w:val="680"/>
        </w:trPr>
        <w:tc>
          <w:tcPr>
            <w:tcW w:w="2660" w:type="dxa"/>
          </w:tcPr>
          <w:p w14:paraId="057C64B2" w14:textId="77777777" w:rsidR="00F42378" w:rsidRPr="00042D3F" w:rsidRDefault="00F42378" w:rsidP="00042D3F">
            <w:pPr>
              <w:tabs>
                <w:tab w:val="left" w:pos="-426"/>
              </w:tabs>
              <w:rPr>
                <w:rFonts w:ascii="Calibri" w:hAnsi="Calibri" w:cs="Calibri"/>
                <w:lang w:val="cs-CZ"/>
              </w:rPr>
            </w:pPr>
            <w:r w:rsidRPr="00042D3F">
              <w:rPr>
                <w:rFonts w:ascii="Calibri" w:hAnsi="Calibri" w:cs="Calibri"/>
                <w:lang w:val="cs-CZ"/>
              </w:rPr>
              <w:t>IS DotInfo EDS</w:t>
            </w:r>
          </w:p>
        </w:tc>
        <w:tc>
          <w:tcPr>
            <w:tcW w:w="6520" w:type="dxa"/>
          </w:tcPr>
          <w:p w14:paraId="102FA229" w14:textId="77777777" w:rsidR="00FF7220" w:rsidRPr="00042D3F" w:rsidRDefault="00F42378" w:rsidP="00042D3F">
            <w:pPr>
              <w:tabs>
                <w:tab w:val="left" w:pos="-426"/>
              </w:tabs>
              <w:rPr>
                <w:rFonts w:ascii="Calibri" w:hAnsi="Calibri" w:cs="Calibri"/>
                <w:color w:val="000000"/>
                <w:lang w:val="cs-CZ"/>
              </w:rPr>
            </w:pPr>
            <w:r w:rsidRPr="00042D3F">
              <w:rPr>
                <w:rFonts w:ascii="Calibri" w:hAnsi="Calibri" w:cs="Calibri"/>
                <w:color w:val="000000"/>
                <w:lang w:val="cs-CZ"/>
              </w:rPr>
              <w:t>informační systém pro zveřejňování informací o dotacích a návratných finančních výpomocí EDS</w:t>
            </w:r>
          </w:p>
        </w:tc>
      </w:tr>
      <w:tr w:rsidR="00F42378" w:rsidRPr="00042D3F" w14:paraId="4876F388" w14:textId="77777777" w:rsidTr="004B33DA">
        <w:trPr>
          <w:trHeight w:hRule="exact" w:val="680"/>
        </w:trPr>
        <w:tc>
          <w:tcPr>
            <w:tcW w:w="2660" w:type="dxa"/>
          </w:tcPr>
          <w:p w14:paraId="7C204B60" w14:textId="77777777" w:rsidR="00F42378" w:rsidRPr="00042D3F" w:rsidRDefault="00F42378" w:rsidP="00042D3F">
            <w:pPr>
              <w:tabs>
                <w:tab w:val="left" w:pos="-426"/>
              </w:tabs>
              <w:rPr>
                <w:rFonts w:ascii="Calibri" w:hAnsi="Calibri" w:cs="Calibri"/>
                <w:lang w:val="cs-CZ"/>
              </w:rPr>
            </w:pPr>
            <w:r w:rsidRPr="00042D3F">
              <w:rPr>
                <w:rFonts w:ascii="Calibri" w:hAnsi="Calibri" w:cs="Calibri"/>
                <w:lang w:val="cs-CZ"/>
              </w:rPr>
              <w:t>IS EDS/SMVS</w:t>
            </w:r>
          </w:p>
        </w:tc>
        <w:tc>
          <w:tcPr>
            <w:tcW w:w="6520" w:type="dxa"/>
          </w:tcPr>
          <w:p w14:paraId="7DF8AFA3" w14:textId="77777777" w:rsidR="00F42378" w:rsidRPr="00042D3F" w:rsidRDefault="00F42378" w:rsidP="00042D3F">
            <w:pPr>
              <w:tabs>
                <w:tab w:val="left" w:pos="-426"/>
              </w:tabs>
              <w:rPr>
                <w:rFonts w:ascii="Calibri" w:hAnsi="Calibri" w:cs="Calibri"/>
                <w:lang w:val="cs-CZ"/>
              </w:rPr>
            </w:pPr>
            <w:r w:rsidRPr="00042D3F">
              <w:rPr>
                <w:rFonts w:ascii="Calibri" w:hAnsi="Calibri" w:cs="Calibri"/>
                <w:color w:val="000000"/>
                <w:lang w:val="cs-CZ"/>
              </w:rPr>
              <w:t>informační systém</w:t>
            </w:r>
            <w:r w:rsidR="006A705B">
              <w:rPr>
                <w:rFonts w:ascii="Calibri" w:hAnsi="Calibri" w:cs="Calibri"/>
                <w:color w:val="000000"/>
                <w:lang w:val="cs-CZ"/>
              </w:rPr>
              <w:t>y</w:t>
            </w:r>
            <w:r w:rsidRPr="00042D3F">
              <w:rPr>
                <w:rFonts w:ascii="Calibri" w:hAnsi="Calibri" w:cs="Calibri"/>
                <w:color w:val="000000"/>
                <w:lang w:val="cs-CZ"/>
              </w:rPr>
              <w:t xml:space="preserve"> </w:t>
            </w:r>
            <w:r w:rsidRPr="009C4A68">
              <w:rPr>
                <w:rFonts w:ascii="Calibri" w:hAnsi="Calibri" w:cs="Calibri"/>
                <w:i/>
                <w:color w:val="000000"/>
                <w:lang w:val="cs-CZ"/>
              </w:rPr>
              <w:t>Evidenční dotační systém</w:t>
            </w:r>
            <w:r w:rsidRPr="00042D3F">
              <w:rPr>
                <w:rFonts w:ascii="Calibri" w:hAnsi="Calibri" w:cs="Calibri"/>
                <w:color w:val="000000"/>
                <w:lang w:val="cs-CZ"/>
              </w:rPr>
              <w:t xml:space="preserve"> a </w:t>
            </w:r>
            <w:r w:rsidRPr="009C4A68">
              <w:rPr>
                <w:rFonts w:ascii="Calibri" w:hAnsi="Calibri" w:cs="Calibri"/>
                <w:i/>
                <w:color w:val="000000"/>
                <w:lang w:val="cs-CZ"/>
              </w:rPr>
              <w:t>Správa majetku ve vlastnictví státu</w:t>
            </w:r>
          </w:p>
        </w:tc>
      </w:tr>
      <w:tr w:rsidR="00F42378" w:rsidRPr="00042D3F" w14:paraId="4C055CB4" w14:textId="77777777" w:rsidTr="004B33DA">
        <w:trPr>
          <w:trHeight w:hRule="exact" w:val="680"/>
        </w:trPr>
        <w:tc>
          <w:tcPr>
            <w:tcW w:w="2660" w:type="dxa"/>
          </w:tcPr>
          <w:p w14:paraId="166970DD" w14:textId="77777777" w:rsidR="00F42378" w:rsidRPr="00042D3F" w:rsidRDefault="00F42378" w:rsidP="00042D3F">
            <w:pPr>
              <w:tabs>
                <w:tab w:val="left" w:pos="-426"/>
              </w:tabs>
              <w:rPr>
                <w:rFonts w:ascii="Calibri" w:hAnsi="Calibri" w:cs="Calibri"/>
                <w:lang w:val="cs-CZ"/>
              </w:rPr>
            </w:pPr>
            <w:r w:rsidRPr="00042D3F">
              <w:rPr>
                <w:rFonts w:ascii="Calibri" w:hAnsi="Calibri" w:cs="Calibri"/>
                <w:lang w:val="cs-CZ"/>
              </w:rPr>
              <w:t>ISPROFIN</w:t>
            </w:r>
          </w:p>
        </w:tc>
        <w:tc>
          <w:tcPr>
            <w:tcW w:w="6520" w:type="dxa"/>
          </w:tcPr>
          <w:p w14:paraId="661B9A8F" w14:textId="77777777" w:rsidR="00F42378" w:rsidRPr="009C4A68" w:rsidRDefault="00F42378" w:rsidP="00042D3F">
            <w:pPr>
              <w:tabs>
                <w:tab w:val="left" w:pos="-426"/>
              </w:tabs>
              <w:rPr>
                <w:rFonts w:ascii="Calibri" w:hAnsi="Calibri" w:cs="Calibri"/>
                <w:i/>
                <w:lang w:val="cs-CZ"/>
              </w:rPr>
            </w:pPr>
            <w:r w:rsidRPr="009C4A68">
              <w:rPr>
                <w:rFonts w:ascii="Calibri" w:hAnsi="Calibri" w:cs="Calibri"/>
                <w:i/>
                <w:lang w:val="cs-CZ"/>
              </w:rPr>
              <w:t>Informační systém programového financování</w:t>
            </w:r>
          </w:p>
        </w:tc>
      </w:tr>
      <w:tr w:rsidR="00F42378" w:rsidRPr="00042D3F" w14:paraId="01D52B0A" w14:textId="77777777" w:rsidTr="004B33DA">
        <w:trPr>
          <w:trHeight w:hRule="exact" w:val="680"/>
        </w:trPr>
        <w:tc>
          <w:tcPr>
            <w:tcW w:w="2660" w:type="dxa"/>
          </w:tcPr>
          <w:p w14:paraId="04C24FCB" w14:textId="77777777" w:rsidR="00F42378" w:rsidRPr="00042D3F" w:rsidRDefault="00F42378" w:rsidP="00042D3F">
            <w:pPr>
              <w:tabs>
                <w:tab w:val="left" w:pos="-426"/>
              </w:tabs>
              <w:rPr>
                <w:rFonts w:ascii="Calibri" w:hAnsi="Calibri" w:cs="Calibri"/>
                <w:lang w:val="cs-CZ"/>
              </w:rPr>
            </w:pPr>
            <w:r w:rsidRPr="00042D3F">
              <w:rPr>
                <w:rFonts w:ascii="Calibri" w:hAnsi="Calibri" w:cs="Calibri"/>
                <w:lang w:val="cs-CZ"/>
              </w:rPr>
              <w:t>JŘBU</w:t>
            </w:r>
          </w:p>
        </w:tc>
        <w:tc>
          <w:tcPr>
            <w:tcW w:w="6520" w:type="dxa"/>
          </w:tcPr>
          <w:p w14:paraId="2D7BCF87" w14:textId="77777777" w:rsidR="00F42378" w:rsidRPr="00042D3F" w:rsidRDefault="00F42378" w:rsidP="00042D3F">
            <w:pPr>
              <w:tabs>
                <w:tab w:val="left" w:pos="-426"/>
              </w:tabs>
              <w:rPr>
                <w:rFonts w:ascii="Calibri" w:hAnsi="Calibri" w:cs="Calibri"/>
                <w:lang w:val="cs-CZ"/>
              </w:rPr>
            </w:pPr>
            <w:r w:rsidRPr="00042D3F">
              <w:rPr>
                <w:rFonts w:ascii="Calibri" w:hAnsi="Calibri" w:cs="Calibri"/>
                <w:lang w:val="cs-CZ"/>
              </w:rPr>
              <w:t>jednací řízení bez uveřejnění</w:t>
            </w:r>
          </w:p>
        </w:tc>
      </w:tr>
      <w:tr w:rsidR="00F42378" w:rsidRPr="00042D3F" w14:paraId="6101ABF3" w14:textId="77777777" w:rsidTr="004B33DA">
        <w:trPr>
          <w:trHeight w:hRule="exact" w:val="680"/>
        </w:trPr>
        <w:tc>
          <w:tcPr>
            <w:tcW w:w="2660" w:type="dxa"/>
          </w:tcPr>
          <w:p w14:paraId="69E0CC90" w14:textId="77777777" w:rsidR="00F42378" w:rsidRPr="00042D3F" w:rsidRDefault="00F42378" w:rsidP="00042D3F">
            <w:pPr>
              <w:tabs>
                <w:tab w:val="left" w:pos="-426"/>
              </w:tabs>
              <w:rPr>
                <w:rFonts w:ascii="Calibri" w:hAnsi="Calibri" w:cs="Calibri"/>
                <w:lang w:val="cs-CZ"/>
              </w:rPr>
            </w:pPr>
            <w:r w:rsidRPr="00042D3F">
              <w:rPr>
                <w:rFonts w:ascii="Calibri" w:hAnsi="Calibri" w:cs="Calibri"/>
                <w:lang w:val="cs-CZ"/>
              </w:rPr>
              <w:t>KA</w:t>
            </w:r>
          </w:p>
        </w:tc>
        <w:tc>
          <w:tcPr>
            <w:tcW w:w="6520" w:type="dxa"/>
          </w:tcPr>
          <w:p w14:paraId="7014976A" w14:textId="77777777" w:rsidR="00F42378" w:rsidRPr="00042D3F" w:rsidRDefault="00F42378" w:rsidP="00042D3F">
            <w:pPr>
              <w:tabs>
                <w:tab w:val="left" w:pos="-426"/>
              </w:tabs>
              <w:rPr>
                <w:rFonts w:ascii="Calibri" w:hAnsi="Calibri" w:cs="Calibri"/>
                <w:lang w:val="cs-CZ"/>
              </w:rPr>
            </w:pPr>
            <w:r w:rsidRPr="00042D3F">
              <w:rPr>
                <w:rFonts w:ascii="Calibri" w:hAnsi="Calibri" w:cs="Calibri"/>
                <w:lang w:val="cs-CZ"/>
              </w:rPr>
              <w:t>kontrolní akce</w:t>
            </w:r>
          </w:p>
        </w:tc>
      </w:tr>
      <w:tr w:rsidR="00F42378" w:rsidRPr="00042D3F" w14:paraId="4B54B3E1" w14:textId="77777777" w:rsidTr="004B33DA">
        <w:trPr>
          <w:trHeight w:hRule="exact" w:val="680"/>
        </w:trPr>
        <w:tc>
          <w:tcPr>
            <w:tcW w:w="2660" w:type="dxa"/>
          </w:tcPr>
          <w:p w14:paraId="182E7F98" w14:textId="77777777" w:rsidR="00F42378" w:rsidRPr="00042D3F" w:rsidRDefault="00F42378" w:rsidP="00042D3F">
            <w:pPr>
              <w:tabs>
                <w:tab w:val="left" w:pos="-426"/>
              </w:tabs>
              <w:rPr>
                <w:rFonts w:ascii="Calibri" w:hAnsi="Calibri" w:cs="Calibri"/>
                <w:lang w:val="cs-CZ"/>
              </w:rPr>
            </w:pPr>
            <w:r w:rsidRPr="00042D3F">
              <w:rPr>
                <w:rFonts w:ascii="Calibri" w:hAnsi="Calibri" w:cs="Calibri"/>
                <w:lang w:val="cs-CZ"/>
              </w:rPr>
              <w:t>MF</w:t>
            </w:r>
          </w:p>
        </w:tc>
        <w:tc>
          <w:tcPr>
            <w:tcW w:w="6520" w:type="dxa"/>
          </w:tcPr>
          <w:p w14:paraId="4AE1966D" w14:textId="77777777" w:rsidR="00F42378" w:rsidRPr="00042D3F" w:rsidRDefault="00F42378" w:rsidP="00042D3F">
            <w:pPr>
              <w:tabs>
                <w:tab w:val="left" w:pos="-426"/>
              </w:tabs>
              <w:rPr>
                <w:rFonts w:ascii="Calibri" w:hAnsi="Calibri" w:cs="Calibri"/>
                <w:lang w:val="cs-CZ"/>
              </w:rPr>
            </w:pPr>
            <w:r w:rsidRPr="00042D3F">
              <w:rPr>
                <w:rFonts w:ascii="Calibri" w:hAnsi="Calibri" w:cs="Calibri"/>
                <w:lang w:val="cs-CZ"/>
              </w:rPr>
              <w:t>Ministerstvo financí</w:t>
            </w:r>
          </w:p>
        </w:tc>
      </w:tr>
      <w:tr w:rsidR="00F42378" w:rsidRPr="00042D3F" w14:paraId="4547103A" w14:textId="77777777" w:rsidTr="004B33DA">
        <w:trPr>
          <w:trHeight w:hRule="exact" w:val="680"/>
        </w:trPr>
        <w:tc>
          <w:tcPr>
            <w:tcW w:w="2660" w:type="dxa"/>
          </w:tcPr>
          <w:p w14:paraId="0B85A83E" w14:textId="77777777" w:rsidR="00F42378" w:rsidRPr="00042D3F" w:rsidRDefault="00F42378" w:rsidP="00042D3F">
            <w:pPr>
              <w:tabs>
                <w:tab w:val="left" w:pos="-426"/>
              </w:tabs>
              <w:rPr>
                <w:rFonts w:ascii="Calibri" w:hAnsi="Calibri" w:cs="Calibri"/>
                <w:lang w:val="cs-CZ"/>
              </w:rPr>
            </w:pPr>
            <w:r w:rsidRPr="00042D3F">
              <w:rPr>
                <w:rFonts w:ascii="Calibri" w:hAnsi="Calibri" w:cs="Calibri"/>
                <w:lang w:val="cs-CZ"/>
              </w:rPr>
              <w:t>NKÚ</w:t>
            </w:r>
          </w:p>
        </w:tc>
        <w:tc>
          <w:tcPr>
            <w:tcW w:w="6520" w:type="dxa"/>
          </w:tcPr>
          <w:p w14:paraId="2193FC69" w14:textId="77777777" w:rsidR="00F42378" w:rsidRPr="00042D3F" w:rsidRDefault="00F42378" w:rsidP="00042D3F">
            <w:pPr>
              <w:tabs>
                <w:tab w:val="left" w:pos="-426"/>
              </w:tabs>
              <w:rPr>
                <w:rFonts w:ascii="Calibri" w:hAnsi="Calibri" w:cs="Calibri"/>
                <w:lang w:val="cs-CZ"/>
              </w:rPr>
            </w:pPr>
            <w:r w:rsidRPr="00042D3F">
              <w:rPr>
                <w:rFonts w:ascii="Calibri" w:hAnsi="Calibri" w:cs="Calibri"/>
                <w:lang w:val="cs-CZ"/>
              </w:rPr>
              <w:t>Nejvyšší kontrolní úřad</w:t>
            </w:r>
          </w:p>
        </w:tc>
      </w:tr>
      <w:tr w:rsidR="00F42378" w:rsidRPr="00042D3F" w14:paraId="082B8578" w14:textId="77777777" w:rsidTr="004B33DA">
        <w:trPr>
          <w:trHeight w:hRule="exact" w:val="680"/>
        </w:trPr>
        <w:tc>
          <w:tcPr>
            <w:tcW w:w="2660" w:type="dxa"/>
          </w:tcPr>
          <w:p w14:paraId="524650DE" w14:textId="77777777" w:rsidR="00F42378" w:rsidRPr="00042D3F" w:rsidRDefault="00344C2F" w:rsidP="00042D3F">
            <w:pPr>
              <w:tabs>
                <w:tab w:val="left" w:pos="-426"/>
              </w:tabs>
              <w:rPr>
                <w:rFonts w:ascii="Calibri" w:hAnsi="Calibri" w:cs="Calibri"/>
                <w:lang w:val="cs-CZ"/>
              </w:rPr>
            </w:pPr>
            <w:r w:rsidRPr="00042D3F">
              <w:rPr>
                <w:rFonts w:ascii="Calibri" w:hAnsi="Calibri" w:cs="Calibri"/>
                <w:lang w:val="cs-CZ"/>
              </w:rPr>
              <w:t>p</w:t>
            </w:r>
            <w:r w:rsidR="00F42378" w:rsidRPr="00042D3F">
              <w:rPr>
                <w:rFonts w:ascii="Calibri" w:hAnsi="Calibri" w:cs="Calibri"/>
                <w:lang w:val="cs-CZ"/>
              </w:rPr>
              <w:t>rogram</w:t>
            </w:r>
          </w:p>
        </w:tc>
        <w:tc>
          <w:tcPr>
            <w:tcW w:w="6520" w:type="dxa"/>
          </w:tcPr>
          <w:p w14:paraId="6E993FA5" w14:textId="77777777" w:rsidR="00FF7220" w:rsidRPr="00042D3F" w:rsidRDefault="00F42378" w:rsidP="00042D3F">
            <w:pPr>
              <w:tabs>
                <w:tab w:val="left" w:pos="-426"/>
              </w:tabs>
              <w:rPr>
                <w:rFonts w:ascii="Calibri" w:hAnsi="Calibri" w:cs="Calibri"/>
                <w:lang w:val="cs-CZ"/>
              </w:rPr>
            </w:pPr>
            <w:r w:rsidRPr="00042D3F">
              <w:rPr>
                <w:rFonts w:ascii="Calibri" w:hAnsi="Calibri" w:cs="Calibri"/>
                <w:lang w:val="cs-CZ"/>
              </w:rPr>
              <w:t>program reprodukce majetku</w:t>
            </w:r>
          </w:p>
        </w:tc>
      </w:tr>
      <w:tr w:rsidR="00F42378" w:rsidRPr="00042D3F" w14:paraId="2F5E9F24" w14:textId="77777777" w:rsidTr="004B33DA">
        <w:trPr>
          <w:trHeight w:hRule="exact" w:val="680"/>
        </w:trPr>
        <w:tc>
          <w:tcPr>
            <w:tcW w:w="2660" w:type="dxa"/>
          </w:tcPr>
          <w:p w14:paraId="08AC0F0F" w14:textId="77777777" w:rsidR="00F42378" w:rsidRPr="00042D3F" w:rsidRDefault="00F42378" w:rsidP="00042D3F">
            <w:pPr>
              <w:tabs>
                <w:tab w:val="left" w:pos="-426"/>
              </w:tabs>
              <w:rPr>
                <w:rFonts w:ascii="Calibri" w:hAnsi="Calibri" w:cs="Calibri"/>
                <w:lang w:val="cs-CZ"/>
              </w:rPr>
            </w:pPr>
            <w:r w:rsidRPr="00042D3F">
              <w:rPr>
                <w:rFonts w:ascii="Calibri" w:hAnsi="Calibri" w:cs="Calibri"/>
                <w:lang w:val="cs-CZ"/>
              </w:rPr>
              <w:t>program 112 010</w:t>
            </w:r>
          </w:p>
        </w:tc>
        <w:tc>
          <w:tcPr>
            <w:tcW w:w="6520" w:type="dxa"/>
          </w:tcPr>
          <w:p w14:paraId="4BCA6A58" w14:textId="77777777" w:rsidR="00FF7220" w:rsidRPr="00042D3F" w:rsidRDefault="006A705B" w:rsidP="00042D3F">
            <w:pPr>
              <w:tabs>
                <w:tab w:val="left" w:pos="-426"/>
              </w:tabs>
              <w:rPr>
                <w:rFonts w:ascii="Calibri" w:hAnsi="Calibri" w:cs="Calibri"/>
                <w:vanish/>
                <w:lang w:val="cs-CZ"/>
              </w:rPr>
            </w:pPr>
            <w:r>
              <w:rPr>
                <w:rFonts w:ascii="Calibri" w:hAnsi="Calibri" w:cs="Calibri"/>
                <w:lang w:val="cs-CZ"/>
              </w:rPr>
              <w:t>p</w:t>
            </w:r>
            <w:r w:rsidR="00F42378" w:rsidRPr="00042D3F">
              <w:rPr>
                <w:rFonts w:ascii="Calibri" w:hAnsi="Calibri" w:cs="Calibri"/>
                <w:lang w:val="cs-CZ"/>
              </w:rPr>
              <w:t xml:space="preserve">rogram 112 010 – </w:t>
            </w:r>
            <w:r w:rsidR="00F42378" w:rsidRPr="009C4A68">
              <w:rPr>
                <w:rFonts w:ascii="Calibri" w:hAnsi="Calibri" w:cs="Calibri"/>
                <w:i/>
                <w:lang w:val="cs-CZ"/>
              </w:rPr>
              <w:t>Rozvoj a obnova materiálně technické základny řízení Ministerstva financí</w:t>
            </w:r>
          </w:p>
        </w:tc>
      </w:tr>
      <w:tr w:rsidR="00F42378" w:rsidRPr="00042D3F" w14:paraId="62C582F4" w14:textId="77777777" w:rsidTr="004B33DA">
        <w:trPr>
          <w:trHeight w:hRule="exact" w:val="680"/>
        </w:trPr>
        <w:tc>
          <w:tcPr>
            <w:tcW w:w="2660" w:type="dxa"/>
          </w:tcPr>
          <w:p w14:paraId="5C0BF481" w14:textId="77777777" w:rsidR="00F42378" w:rsidRPr="00042D3F" w:rsidRDefault="00F42378" w:rsidP="00042D3F">
            <w:pPr>
              <w:tabs>
                <w:tab w:val="left" w:pos="-426"/>
              </w:tabs>
              <w:rPr>
                <w:rFonts w:ascii="Calibri" w:hAnsi="Calibri" w:cs="Calibri"/>
                <w:lang w:val="cs-CZ"/>
              </w:rPr>
            </w:pPr>
            <w:r w:rsidRPr="00042D3F">
              <w:rPr>
                <w:rFonts w:ascii="Calibri" w:hAnsi="Calibri" w:cs="Calibri"/>
                <w:lang w:val="cs-CZ"/>
              </w:rPr>
              <w:t>program 112 090</w:t>
            </w:r>
          </w:p>
        </w:tc>
        <w:tc>
          <w:tcPr>
            <w:tcW w:w="6520" w:type="dxa"/>
          </w:tcPr>
          <w:p w14:paraId="51AFDD31" w14:textId="77777777" w:rsidR="00FF7220" w:rsidRPr="00042D3F" w:rsidRDefault="006A705B" w:rsidP="00042D3F">
            <w:pPr>
              <w:tabs>
                <w:tab w:val="left" w:pos="-426"/>
              </w:tabs>
              <w:rPr>
                <w:rFonts w:ascii="Calibri" w:hAnsi="Calibri" w:cs="Calibri"/>
                <w:lang w:val="cs-CZ"/>
              </w:rPr>
            </w:pPr>
            <w:r>
              <w:rPr>
                <w:rFonts w:ascii="Calibri" w:hAnsi="Calibri" w:cs="Calibri"/>
                <w:lang w:val="cs-CZ"/>
              </w:rPr>
              <w:t>p</w:t>
            </w:r>
            <w:r w:rsidR="00F42378" w:rsidRPr="00042D3F">
              <w:rPr>
                <w:rFonts w:ascii="Calibri" w:hAnsi="Calibri" w:cs="Calibri"/>
                <w:lang w:val="cs-CZ"/>
              </w:rPr>
              <w:t xml:space="preserve">rogram 112 090 – </w:t>
            </w:r>
            <w:r w:rsidR="00F42378" w:rsidRPr="009C4A68">
              <w:rPr>
                <w:rFonts w:ascii="Calibri" w:hAnsi="Calibri" w:cs="Calibri"/>
                <w:i/>
                <w:lang w:val="cs-CZ"/>
              </w:rPr>
              <w:t>Výstavba, obnova a provozování St</w:t>
            </w:r>
            <w:r w:rsidR="00FF7220" w:rsidRPr="009C4A68">
              <w:rPr>
                <w:rFonts w:ascii="Calibri" w:hAnsi="Calibri" w:cs="Calibri"/>
                <w:i/>
                <w:lang w:val="cs-CZ"/>
              </w:rPr>
              <w:t>átní pokladny v letech 2007–2014</w:t>
            </w:r>
          </w:p>
        </w:tc>
      </w:tr>
      <w:tr w:rsidR="00F42378" w:rsidRPr="00042D3F" w14:paraId="3F1B8750" w14:textId="77777777" w:rsidTr="004B33DA">
        <w:trPr>
          <w:trHeight w:hRule="exact" w:val="680"/>
        </w:trPr>
        <w:tc>
          <w:tcPr>
            <w:tcW w:w="2660" w:type="dxa"/>
          </w:tcPr>
          <w:p w14:paraId="4E3DC8E5" w14:textId="77777777" w:rsidR="00F42378" w:rsidRPr="00042D3F" w:rsidRDefault="00F42378" w:rsidP="00042D3F">
            <w:pPr>
              <w:tabs>
                <w:tab w:val="left" w:pos="-426"/>
              </w:tabs>
              <w:rPr>
                <w:rFonts w:ascii="Calibri" w:hAnsi="Calibri" w:cs="Calibri"/>
                <w:lang w:val="cs-CZ"/>
              </w:rPr>
            </w:pPr>
            <w:r w:rsidRPr="00042D3F">
              <w:rPr>
                <w:rFonts w:ascii="Calibri" w:hAnsi="Calibri" w:cs="Calibri"/>
                <w:lang w:val="cs-CZ"/>
              </w:rPr>
              <w:t>SR</w:t>
            </w:r>
          </w:p>
        </w:tc>
        <w:tc>
          <w:tcPr>
            <w:tcW w:w="6520" w:type="dxa"/>
          </w:tcPr>
          <w:p w14:paraId="3350D581" w14:textId="77777777" w:rsidR="00F42378" w:rsidRPr="00042D3F" w:rsidRDefault="00F42378" w:rsidP="00042D3F">
            <w:pPr>
              <w:tabs>
                <w:tab w:val="left" w:pos="-426"/>
              </w:tabs>
              <w:rPr>
                <w:rFonts w:ascii="Calibri" w:hAnsi="Calibri" w:cs="Calibri"/>
                <w:lang w:val="cs-CZ"/>
              </w:rPr>
            </w:pPr>
            <w:r w:rsidRPr="00042D3F">
              <w:rPr>
                <w:rFonts w:ascii="Calibri" w:hAnsi="Calibri" w:cs="Calibri"/>
                <w:lang w:val="cs-CZ"/>
              </w:rPr>
              <w:t>státní rozpočet</w:t>
            </w:r>
          </w:p>
        </w:tc>
      </w:tr>
      <w:tr w:rsidR="00F42378" w:rsidRPr="00042D3F" w14:paraId="09F49369" w14:textId="77777777" w:rsidTr="004B33DA">
        <w:trPr>
          <w:trHeight w:hRule="exact" w:val="680"/>
        </w:trPr>
        <w:tc>
          <w:tcPr>
            <w:tcW w:w="2660" w:type="dxa"/>
          </w:tcPr>
          <w:p w14:paraId="1E22CC8D" w14:textId="77777777" w:rsidR="00F42378" w:rsidRPr="00042D3F" w:rsidRDefault="00F42378" w:rsidP="00042D3F">
            <w:pPr>
              <w:tabs>
                <w:tab w:val="left" w:pos="-426"/>
              </w:tabs>
              <w:rPr>
                <w:rFonts w:ascii="Calibri" w:hAnsi="Calibri" w:cs="Calibri"/>
                <w:lang w:val="cs-CZ"/>
              </w:rPr>
            </w:pPr>
            <w:r w:rsidRPr="00042D3F">
              <w:rPr>
                <w:rFonts w:ascii="Calibri" w:hAnsi="Calibri" w:cs="Calibri"/>
                <w:lang w:val="cs-CZ"/>
              </w:rPr>
              <w:t>VZ</w:t>
            </w:r>
          </w:p>
        </w:tc>
        <w:tc>
          <w:tcPr>
            <w:tcW w:w="6520" w:type="dxa"/>
          </w:tcPr>
          <w:p w14:paraId="380DF173" w14:textId="77777777" w:rsidR="00F42378" w:rsidRPr="00042D3F" w:rsidRDefault="00F42378" w:rsidP="00042D3F">
            <w:pPr>
              <w:tabs>
                <w:tab w:val="left" w:pos="-426"/>
              </w:tabs>
              <w:rPr>
                <w:rFonts w:ascii="Calibri" w:hAnsi="Calibri" w:cs="Calibri"/>
                <w:lang w:val="cs-CZ"/>
              </w:rPr>
            </w:pPr>
            <w:r w:rsidRPr="00042D3F">
              <w:rPr>
                <w:rFonts w:ascii="Calibri" w:hAnsi="Calibri" w:cs="Calibri"/>
                <w:lang w:val="cs-CZ"/>
              </w:rPr>
              <w:t>veřejná zakázka</w:t>
            </w:r>
          </w:p>
        </w:tc>
      </w:tr>
    </w:tbl>
    <w:p w14:paraId="06C7D354" w14:textId="77777777" w:rsidR="00F42378" w:rsidRPr="00042D3F" w:rsidRDefault="00F42378" w:rsidP="00042D3F">
      <w:pPr>
        <w:rPr>
          <w:rFonts w:ascii="Calibri" w:hAnsi="Calibri" w:cs="Calibri"/>
          <w:lang w:val="cs-CZ"/>
        </w:rPr>
      </w:pPr>
      <w:r w:rsidRPr="00042D3F">
        <w:rPr>
          <w:rFonts w:ascii="Calibri" w:hAnsi="Calibri" w:cs="Calibri"/>
          <w:lang w:val="cs-CZ"/>
        </w:rPr>
        <w:br w:type="page"/>
      </w:r>
    </w:p>
    <w:p w14:paraId="3B02E920" w14:textId="77777777" w:rsidR="004F5ED1" w:rsidRPr="009C4A68" w:rsidRDefault="00792837">
      <w:pPr>
        <w:spacing w:after="120"/>
        <w:jc w:val="both"/>
        <w:rPr>
          <w:rFonts w:asciiTheme="minorHAnsi" w:hAnsiTheme="minorHAnsi" w:cstheme="minorHAnsi"/>
          <w:b/>
          <w:lang w:val="cs-CZ"/>
        </w:rPr>
      </w:pPr>
      <w:r w:rsidRPr="009C4A68">
        <w:rPr>
          <w:rFonts w:asciiTheme="minorHAnsi" w:hAnsiTheme="minorHAnsi" w:cstheme="minorHAnsi"/>
          <w:b/>
          <w:lang w:val="cs-CZ"/>
        </w:rPr>
        <w:lastRenderedPageBreak/>
        <w:t xml:space="preserve">Příloha </w:t>
      </w:r>
      <w:r w:rsidR="006A705B" w:rsidRPr="009C4A68">
        <w:rPr>
          <w:rFonts w:asciiTheme="minorHAnsi" w:hAnsiTheme="minorHAnsi" w:cstheme="minorHAnsi"/>
          <w:b/>
          <w:lang w:val="cs-CZ"/>
        </w:rPr>
        <w:t xml:space="preserve">č. 1 </w:t>
      </w:r>
      <w:r w:rsidR="00861DBD" w:rsidRPr="009C4A68">
        <w:rPr>
          <w:rFonts w:asciiTheme="minorHAnsi" w:hAnsiTheme="minorHAnsi" w:cstheme="minorHAnsi"/>
          <w:b/>
          <w:lang w:val="cs-CZ"/>
        </w:rPr>
        <w:t>–</w:t>
      </w:r>
      <w:r w:rsidRPr="009C4A68">
        <w:rPr>
          <w:rFonts w:asciiTheme="minorHAnsi" w:hAnsiTheme="minorHAnsi" w:cstheme="minorHAnsi"/>
          <w:b/>
          <w:lang w:val="cs-CZ"/>
        </w:rPr>
        <w:t xml:space="preserve"> Zjednodušené schéma IS EDS/SMVS a IS CEDR</w:t>
      </w:r>
    </w:p>
    <w:p w14:paraId="79B63F85" w14:textId="77777777" w:rsidR="00792837" w:rsidRPr="00D92ED2" w:rsidRDefault="00D1165A" w:rsidP="004C3E28">
      <w:pPr>
        <w:spacing w:after="120"/>
        <w:jc w:val="center"/>
        <w:rPr>
          <w:rFonts w:asciiTheme="minorHAnsi" w:hAnsiTheme="minorHAnsi" w:cstheme="minorHAnsi"/>
          <w:lang w:val="cs-CZ"/>
        </w:rPr>
      </w:pPr>
      <w:r>
        <w:rPr>
          <w:noProof/>
          <w:lang w:val="cs-CZ" w:eastAsia="cs-CZ"/>
        </w:rPr>
        <w:drawing>
          <wp:inline distT="0" distB="0" distL="0" distR="0" wp14:anchorId="59AB3B19" wp14:editId="190703E1">
            <wp:extent cx="5461200" cy="832680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61200" cy="8326800"/>
                    </a:xfrm>
                    <a:prstGeom prst="rect">
                      <a:avLst/>
                    </a:prstGeom>
                  </pic:spPr>
                </pic:pic>
              </a:graphicData>
            </a:graphic>
          </wp:inline>
        </w:drawing>
      </w:r>
    </w:p>
    <w:p w14:paraId="5FAFDBC8" w14:textId="77777777" w:rsidR="00792837" w:rsidRPr="009C4A68" w:rsidRDefault="00792837" w:rsidP="00042D3F">
      <w:pPr>
        <w:spacing w:before="40"/>
        <w:jc w:val="both"/>
        <w:rPr>
          <w:rFonts w:asciiTheme="minorHAnsi" w:hAnsiTheme="minorHAnsi" w:cstheme="minorHAnsi"/>
          <w:color w:val="000000"/>
          <w:sz w:val="20"/>
          <w:szCs w:val="20"/>
          <w:lang w:val="cs-CZ"/>
        </w:rPr>
      </w:pPr>
      <w:r w:rsidRPr="009C4A68">
        <w:rPr>
          <w:rFonts w:asciiTheme="minorHAnsi" w:hAnsiTheme="minorHAnsi" w:cstheme="minorHAnsi"/>
          <w:b/>
          <w:color w:val="000000"/>
          <w:sz w:val="20"/>
          <w:szCs w:val="20"/>
          <w:lang w:val="cs-CZ"/>
        </w:rPr>
        <w:t>Zdroj:</w:t>
      </w:r>
      <w:r w:rsidRPr="009C4A68">
        <w:rPr>
          <w:rFonts w:asciiTheme="minorHAnsi" w:hAnsiTheme="minorHAnsi" w:cstheme="minorHAnsi"/>
          <w:color w:val="000000"/>
          <w:sz w:val="20"/>
          <w:szCs w:val="20"/>
          <w:lang w:val="cs-CZ"/>
        </w:rPr>
        <w:t xml:space="preserve"> vlastní zpracování</w:t>
      </w:r>
      <w:r w:rsidR="003D7914" w:rsidRPr="009C4A68">
        <w:rPr>
          <w:rFonts w:asciiTheme="minorHAnsi" w:hAnsiTheme="minorHAnsi" w:cstheme="minorHAnsi"/>
          <w:color w:val="000000"/>
          <w:sz w:val="20"/>
          <w:szCs w:val="20"/>
          <w:lang w:val="cs-CZ"/>
        </w:rPr>
        <w:t xml:space="preserve"> na základě dokumentů MF a GFŘ</w:t>
      </w:r>
      <w:r w:rsidR="0014384C" w:rsidRPr="009C4A68">
        <w:rPr>
          <w:rFonts w:asciiTheme="minorHAnsi" w:hAnsiTheme="minorHAnsi" w:cstheme="minorHAnsi"/>
          <w:color w:val="000000"/>
          <w:sz w:val="20"/>
          <w:szCs w:val="20"/>
          <w:lang w:val="cs-CZ"/>
        </w:rPr>
        <w:t>.</w:t>
      </w:r>
    </w:p>
    <w:sectPr w:rsidR="00792837" w:rsidRPr="009C4A68" w:rsidSect="00714DA7">
      <w:footerReference w:type="default" r:id="rId11"/>
      <w:footerReference w:type="first" r:id="rId12"/>
      <w:pgSz w:w="11906" w:h="16838"/>
      <w:pgMar w:top="1418" w:right="130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51438" w14:textId="77777777" w:rsidR="00A75622" w:rsidRDefault="00A75622" w:rsidP="00945821">
      <w:r>
        <w:separator/>
      </w:r>
    </w:p>
  </w:endnote>
  <w:endnote w:type="continuationSeparator" w:id="0">
    <w:p w14:paraId="032D837F" w14:textId="77777777" w:rsidR="00A75622" w:rsidRDefault="00A75622" w:rsidP="0094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829995"/>
      <w:docPartObj>
        <w:docPartGallery w:val="Page Numbers (Bottom of Page)"/>
        <w:docPartUnique/>
      </w:docPartObj>
    </w:sdtPr>
    <w:sdtEndPr>
      <w:rPr>
        <w:rFonts w:ascii="Calibri" w:hAnsi="Calibri" w:cs="Calibri"/>
      </w:rPr>
    </w:sdtEndPr>
    <w:sdtContent>
      <w:p w14:paraId="7C51F123" w14:textId="77777777" w:rsidR="00714DA7" w:rsidRPr="00714DA7" w:rsidRDefault="00714DA7">
        <w:pPr>
          <w:pStyle w:val="Zpat"/>
          <w:jc w:val="center"/>
          <w:rPr>
            <w:rFonts w:ascii="Calibri" w:hAnsi="Calibri" w:cs="Calibri"/>
          </w:rPr>
        </w:pPr>
        <w:r w:rsidRPr="00714DA7">
          <w:rPr>
            <w:rFonts w:ascii="Calibri" w:hAnsi="Calibri" w:cs="Calibri"/>
          </w:rPr>
          <w:fldChar w:fldCharType="begin"/>
        </w:r>
        <w:r w:rsidRPr="00714DA7">
          <w:rPr>
            <w:rFonts w:ascii="Calibri" w:hAnsi="Calibri" w:cs="Calibri"/>
          </w:rPr>
          <w:instrText>PAGE   \* MERGEFORMAT</w:instrText>
        </w:r>
        <w:r w:rsidRPr="00714DA7">
          <w:rPr>
            <w:rFonts w:ascii="Calibri" w:hAnsi="Calibri" w:cs="Calibri"/>
          </w:rPr>
          <w:fldChar w:fldCharType="separate"/>
        </w:r>
        <w:r w:rsidR="000E3CCC" w:rsidRPr="000E3CCC">
          <w:rPr>
            <w:rFonts w:ascii="Calibri" w:hAnsi="Calibri" w:cs="Calibri"/>
            <w:noProof/>
            <w:lang w:val="cs-CZ"/>
          </w:rPr>
          <w:t>2</w:t>
        </w:r>
        <w:r w:rsidRPr="00714DA7">
          <w:rPr>
            <w:rFonts w:ascii="Calibri" w:hAnsi="Calibri" w:cs="Calibri"/>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6F4B9" w14:textId="77777777" w:rsidR="00810710" w:rsidRPr="00362BC6" w:rsidRDefault="00810710" w:rsidP="00AD7DCD">
    <w:pPr>
      <w:tabs>
        <w:tab w:val="center" w:pos="4536"/>
        <w:tab w:val="right" w:pos="9072"/>
      </w:tabs>
      <w:jc w:val="center"/>
      <w:rPr>
        <w:rFonts w:ascii="Calibri" w:hAnsi="Calibri" w:cs="Calibri"/>
        <w:color w:val="000000" w:themeColor="text1"/>
        <w:sz w:val="20"/>
        <w:lang w:val="cs-CZ" w:eastAsia="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2586E" w14:textId="77777777" w:rsidR="00A75622" w:rsidRDefault="00A75622" w:rsidP="00945821">
      <w:r>
        <w:separator/>
      </w:r>
    </w:p>
  </w:footnote>
  <w:footnote w:type="continuationSeparator" w:id="0">
    <w:p w14:paraId="5FAE8D60" w14:textId="77777777" w:rsidR="00A75622" w:rsidRDefault="00A75622" w:rsidP="00945821">
      <w:r>
        <w:continuationSeparator/>
      </w:r>
    </w:p>
  </w:footnote>
  <w:footnote w:id="1">
    <w:p w14:paraId="531341FF" w14:textId="77777777" w:rsidR="001E0066" w:rsidRPr="00362BC6" w:rsidRDefault="001E0066" w:rsidP="00362BC6">
      <w:pPr>
        <w:pStyle w:val="Textpoznpodarou"/>
        <w:ind w:left="284" w:hanging="284"/>
        <w:jc w:val="both"/>
        <w:rPr>
          <w:rFonts w:ascii="Calibri" w:hAnsi="Calibri" w:cs="Calibri"/>
          <w:lang w:val="cs-CZ"/>
        </w:rPr>
      </w:pPr>
      <w:r w:rsidRPr="00362BC6">
        <w:rPr>
          <w:rStyle w:val="Znakapoznpodarou"/>
          <w:rFonts w:ascii="Calibri" w:hAnsi="Calibri" w:cs="Calibri"/>
        </w:rPr>
        <w:footnoteRef/>
      </w:r>
      <w:r w:rsidR="00611D66" w:rsidRPr="00362BC6">
        <w:rPr>
          <w:rFonts w:ascii="Calibri" w:hAnsi="Calibri" w:cs="Calibri"/>
        </w:rPr>
        <w:tab/>
      </w:r>
      <w:r w:rsidRPr="00362BC6">
        <w:rPr>
          <w:rFonts w:ascii="Calibri" w:hAnsi="Calibri" w:cs="Calibri"/>
          <w:lang w:val="cs-CZ"/>
        </w:rPr>
        <w:t>P</w:t>
      </w:r>
      <w:r w:rsidRPr="00362BC6">
        <w:rPr>
          <w:rFonts w:ascii="Calibri" w:hAnsi="Calibri" w:cs="Calibri"/>
          <w:color w:val="000000"/>
          <w:lang w:val="cs-CZ"/>
        </w:rPr>
        <w:t>řidělení omezených zdrojů nějakému projektu, procesu, instituci apod.</w:t>
      </w:r>
    </w:p>
  </w:footnote>
  <w:footnote w:id="2">
    <w:p w14:paraId="24D7AD2E" w14:textId="77777777" w:rsidR="00CF42E3" w:rsidRPr="00362BC6" w:rsidRDefault="006415D1" w:rsidP="00362BC6">
      <w:pPr>
        <w:pStyle w:val="Textpoznpodarou"/>
        <w:ind w:left="284" w:hanging="284"/>
        <w:jc w:val="both"/>
        <w:rPr>
          <w:rFonts w:ascii="Calibri" w:hAnsi="Calibri" w:cs="Calibri"/>
          <w:lang w:val="cs-CZ"/>
        </w:rPr>
      </w:pPr>
      <w:r w:rsidRPr="00362BC6">
        <w:rPr>
          <w:rStyle w:val="Znakapoznpodarou"/>
          <w:rFonts w:ascii="Calibri" w:hAnsi="Calibri" w:cs="Calibri"/>
        </w:rPr>
        <w:footnoteRef/>
      </w:r>
      <w:r w:rsidR="00611D66" w:rsidRPr="00362BC6">
        <w:rPr>
          <w:rFonts w:ascii="Calibri" w:hAnsi="Calibri" w:cs="Calibri"/>
        </w:rPr>
        <w:tab/>
      </w:r>
      <w:r w:rsidRPr="00362BC6">
        <w:rPr>
          <w:rFonts w:ascii="Calibri" w:hAnsi="Calibri" w:cs="Calibri"/>
          <w:lang w:val="cs-CZ"/>
        </w:rPr>
        <w:t>Jedná se o dva moduly IS EDS a IS SMVS vztahující se k řízení a evidenci peněžním prostředkům určených na pořízení nebo technické zhodnocení dlouhodobého hmotného a nehmotného majetku. IS EDS/SMVS vznikl transformací z předchozího informačního systému programového financování (dále také „ISPROFIN“).</w:t>
      </w:r>
      <w:r w:rsidR="00362BC6">
        <w:rPr>
          <w:rFonts w:ascii="Calibri" w:hAnsi="Calibri" w:cs="Calibri"/>
          <w:lang w:val="cs-CZ"/>
        </w:rPr>
        <w:t xml:space="preserve"> </w:t>
      </w:r>
      <w:r w:rsidR="00FA6C30">
        <w:rPr>
          <w:rFonts w:ascii="Calibri" w:hAnsi="Calibri" w:cs="Calibri"/>
          <w:lang w:val="cs-CZ"/>
        </w:rPr>
        <w:t xml:space="preserve">Více viz </w:t>
      </w:r>
      <w:hyperlink r:id="rId1" w:history="1">
        <w:r w:rsidR="00FA6C30" w:rsidRPr="00184B6F">
          <w:rPr>
            <w:rStyle w:val="Hypertextovodkaz"/>
            <w:rFonts w:ascii="Calibri" w:hAnsi="Calibri" w:cs="Calibri"/>
            <w:lang w:val="cs-CZ"/>
          </w:rPr>
          <w:t>http://www.edssmvs.cz/</w:t>
        </w:r>
      </w:hyperlink>
      <w:r w:rsidR="008E5D5E" w:rsidRPr="00362BC6">
        <w:rPr>
          <w:rFonts w:ascii="Calibri" w:hAnsi="Calibri" w:cs="Calibri"/>
          <w:lang w:val="cs-CZ"/>
        </w:rPr>
        <w:t>.</w:t>
      </w:r>
    </w:p>
  </w:footnote>
  <w:footnote w:id="3">
    <w:p w14:paraId="011B7383" w14:textId="77777777" w:rsidR="00302234" w:rsidRPr="00362BC6" w:rsidRDefault="00103413" w:rsidP="00362BC6">
      <w:pPr>
        <w:pStyle w:val="Textpoznpodarou"/>
        <w:ind w:left="284" w:hanging="284"/>
        <w:jc w:val="both"/>
        <w:rPr>
          <w:rFonts w:ascii="Calibri" w:hAnsi="Calibri" w:cs="Calibri"/>
          <w:lang w:val="cs-CZ"/>
        </w:rPr>
      </w:pPr>
      <w:r w:rsidRPr="00362BC6">
        <w:rPr>
          <w:rStyle w:val="Znakapoznpodarou"/>
          <w:rFonts w:ascii="Calibri" w:hAnsi="Calibri" w:cs="Calibri"/>
        </w:rPr>
        <w:footnoteRef/>
      </w:r>
      <w:r w:rsidR="00611D66" w:rsidRPr="00362BC6">
        <w:rPr>
          <w:rFonts w:ascii="Calibri" w:hAnsi="Calibri" w:cs="Calibri"/>
        </w:rPr>
        <w:tab/>
      </w:r>
      <w:r w:rsidR="00302234" w:rsidRPr="00362BC6">
        <w:rPr>
          <w:rFonts w:ascii="Calibri" w:hAnsi="Calibri" w:cs="Calibri"/>
          <w:lang w:val="cs-CZ"/>
        </w:rPr>
        <w:t xml:space="preserve">Součet zahrnuje </w:t>
      </w:r>
      <w:r w:rsidR="000D5A9D" w:rsidRPr="00362BC6">
        <w:rPr>
          <w:rFonts w:ascii="Calibri" w:hAnsi="Calibri" w:cs="Calibri"/>
          <w:lang w:val="cs-CZ"/>
        </w:rPr>
        <w:t>také</w:t>
      </w:r>
      <w:r w:rsidR="00171F9B" w:rsidRPr="00362BC6">
        <w:rPr>
          <w:rFonts w:ascii="Calibri" w:hAnsi="Calibri" w:cs="Calibri"/>
          <w:lang w:val="cs-CZ"/>
        </w:rPr>
        <w:t xml:space="preserve"> 38,2 mil. Kč</w:t>
      </w:r>
      <w:r w:rsidR="00302234" w:rsidRPr="00362BC6">
        <w:rPr>
          <w:rFonts w:ascii="Calibri" w:hAnsi="Calibri" w:cs="Calibri"/>
          <w:lang w:val="cs-CZ"/>
        </w:rPr>
        <w:t xml:space="preserve"> vynaložen</w:t>
      </w:r>
      <w:r w:rsidR="00171F9B" w:rsidRPr="00362BC6">
        <w:rPr>
          <w:rFonts w:ascii="Calibri" w:hAnsi="Calibri" w:cs="Calibri"/>
          <w:lang w:val="cs-CZ"/>
        </w:rPr>
        <w:t>ých</w:t>
      </w:r>
      <w:r w:rsidR="00302234" w:rsidRPr="00362BC6">
        <w:rPr>
          <w:rFonts w:ascii="Calibri" w:hAnsi="Calibri" w:cs="Calibri"/>
          <w:lang w:val="cs-CZ"/>
        </w:rPr>
        <w:t xml:space="preserve"> na </w:t>
      </w:r>
      <w:r w:rsidR="00171F9B" w:rsidRPr="00362BC6">
        <w:rPr>
          <w:rFonts w:ascii="Calibri" w:hAnsi="Calibri" w:cs="Calibri"/>
          <w:lang w:val="cs-CZ"/>
        </w:rPr>
        <w:t>rozšíření funkcionalit IS EDS/SMVS, které mj. obsahovaly i</w:t>
      </w:r>
      <w:r w:rsidR="00861DBD" w:rsidRPr="00362BC6">
        <w:rPr>
          <w:rFonts w:ascii="Calibri" w:hAnsi="Calibri" w:cs="Calibri"/>
          <w:lang w:val="cs-CZ"/>
        </w:rPr>
        <w:t> </w:t>
      </w:r>
      <w:r w:rsidR="00171F9B" w:rsidRPr="00362BC6">
        <w:rPr>
          <w:rFonts w:ascii="Calibri" w:hAnsi="Calibri" w:cs="Calibri"/>
          <w:lang w:val="cs-CZ"/>
        </w:rPr>
        <w:t>vytvoření IS DotInfo EDS.</w:t>
      </w:r>
    </w:p>
  </w:footnote>
  <w:footnote w:id="4">
    <w:p w14:paraId="152B2C1A" w14:textId="77777777" w:rsidR="00D64966" w:rsidRPr="007E078F" w:rsidRDefault="00D64966" w:rsidP="00042D3F">
      <w:pPr>
        <w:pStyle w:val="Textpoznpodarou"/>
        <w:ind w:left="284" w:hanging="284"/>
        <w:jc w:val="both"/>
        <w:rPr>
          <w:rFonts w:asciiTheme="minorHAnsi" w:hAnsiTheme="minorHAnsi"/>
          <w:lang w:val="cs-CZ"/>
        </w:rPr>
      </w:pPr>
      <w:r w:rsidRPr="007E078F">
        <w:rPr>
          <w:rStyle w:val="Znakapoznpodarou"/>
          <w:rFonts w:asciiTheme="minorHAnsi" w:hAnsiTheme="minorHAnsi"/>
        </w:rPr>
        <w:footnoteRef/>
      </w:r>
      <w:r w:rsidR="00611D66">
        <w:rPr>
          <w:rFonts w:asciiTheme="minorHAnsi" w:hAnsiTheme="minorHAnsi"/>
        </w:rPr>
        <w:tab/>
      </w:r>
      <w:r w:rsidRPr="007E078F">
        <w:rPr>
          <w:rFonts w:asciiTheme="minorHAnsi" w:hAnsiTheme="minorHAnsi"/>
          <w:lang w:val="cs-CZ"/>
        </w:rPr>
        <w:t>Výši účasti SR na financování programů stanoví na základě posouzení dokumentace programu vláda, je</w:t>
      </w:r>
      <w:r>
        <w:rPr>
          <w:rFonts w:asciiTheme="minorHAnsi" w:hAnsiTheme="minorHAnsi"/>
          <w:lang w:val="cs-CZ"/>
        </w:rPr>
        <w:t>-</w:t>
      </w:r>
      <w:r w:rsidRPr="007E078F">
        <w:rPr>
          <w:rFonts w:asciiTheme="minorHAnsi" w:hAnsiTheme="minorHAnsi"/>
          <w:lang w:val="cs-CZ"/>
        </w:rPr>
        <w:t>li účast SR nejméně 5 mld. Kč [</w:t>
      </w:r>
      <w:r w:rsidR="00C01646">
        <w:rPr>
          <w:rFonts w:asciiTheme="minorHAnsi" w:hAnsiTheme="minorHAnsi"/>
          <w:lang w:val="cs-CZ"/>
        </w:rPr>
        <w:t>v souladu s </w:t>
      </w:r>
      <w:r w:rsidRPr="007E078F">
        <w:rPr>
          <w:rFonts w:asciiTheme="minorHAnsi" w:hAnsiTheme="minorHAnsi"/>
          <w:lang w:val="cs-CZ"/>
        </w:rPr>
        <w:t>§ 13 odst. 2 zákona č. 218/2000 Sb., o rozpočtových pravidlech a</w:t>
      </w:r>
      <w:r w:rsidR="00C01646">
        <w:rPr>
          <w:rFonts w:asciiTheme="minorHAnsi" w:hAnsiTheme="minorHAnsi"/>
          <w:lang w:val="cs-CZ"/>
        </w:rPr>
        <w:t> </w:t>
      </w:r>
      <w:r w:rsidRPr="007E078F">
        <w:rPr>
          <w:rFonts w:asciiTheme="minorHAnsi" w:hAnsiTheme="minorHAnsi"/>
          <w:lang w:val="cs-CZ"/>
        </w:rPr>
        <w:t>o</w:t>
      </w:r>
      <w:r w:rsidR="00C01646">
        <w:rPr>
          <w:rFonts w:asciiTheme="minorHAnsi" w:hAnsiTheme="minorHAnsi"/>
          <w:lang w:val="cs-CZ"/>
        </w:rPr>
        <w:t> </w:t>
      </w:r>
      <w:r w:rsidRPr="007E078F">
        <w:rPr>
          <w:rFonts w:asciiTheme="minorHAnsi" w:hAnsiTheme="minorHAnsi"/>
          <w:lang w:val="cs-CZ"/>
        </w:rPr>
        <w:t>změně některých souvisejících zákonů (rozpočtová pravidla)].</w:t>
      </w:r>
    </w:p>
  </w:footnote>
  <w:footnote w:id="5">
    <w:p w14:paraId="3447AE2D" w14:textId="77777777" w:rsidR="00D64966" w:rsidRPr="000946BE" w:rsidRDefault="00D64966" w:rsidP="00042D3F">
      <w:pPr>
        <w:pStyle w:val="Textpoznpodarou"/>
        <w:ind w:left="284" w:hanging="284"/>
        <w:jc w:val="both"/>
        <w:rPr>
          <w:lang w:val="cs-CZ"/>
        </w:rPr>
      </w:pPr>
      <w:r w:rsidRPr="007E078F">
        <w:rPr>
          <w:rStyle w:val="Znakapoznpodarou"/>
          <w:rFonts w:asciiTheme="minorHAnsi" w:hAnsiTheme="minorHAnsi"/>
        </w:rPr>
        <w:footnoteRef/>
      </w:r>
      <w:r w:rsidR="00611D66">
        <w:rPr>
          <w:rFonts w:asciiTheme="minorHAnsi" w:hAnsiTheme="minorHAnsi"/>
        </w:rPr>
        <w:tab/>
      </w:r>
      <w:r w:rsidRPr="00C17650">
        <w:rPr>
          <w:rFonts w:asciiTheme="minorHAnsi" w:hAnsiTheme="minorHAnsi" w:cstheme="minorHAnsi"/>
          <w:lang w:val="cs-CZ"/>
        </w:rPr>
        <w:t xml:space="preserve">Program 112 010 – </w:t>
      </w:r>
      <w:r w:rsidRPr="009C4A68">
        <w:rPr>
          <w:rFonts w:asciiTheme="minorHAnsi" w:hAnsiTheme="minorHAnsi" w:cstheme="minorHAnsi"/>
          <w:i/>
          <w:lang w:val="cs-CZ"/>
        </w:rPr>
        <w:t>Rozvoj a obnova materiálně technické základny řízení Ministerstva financí</w:t>
      </w:r>
      <w:r w:rsidRPr="00C17650">
        <w:rPr>
          <w:rFonts w:asciiTheme="minorHAnsi" w:hAnsiTheme="minorHAnsi" w:cstheme="minorHAnsi"/>
          <w:lang w:val="cs-CZ"/>
        </w:rPr>
        <w:t xml:space="preserve"> </w:t>
      </w:r>
      <w:r w:rsidR="00F42378">
        <w:rPr>
          <w:rFonts w:asciiTheme="minorHAnsi" w:hAnsiTheme="minorHAnsi" w:cstheme="minorHAnsi"/>
          <w:lang w:val="cs-CZ"/>
        </w:rPr>
        <w:t xml:space="preserve">(dále také „program 112 010“) </w:t>
      </w:r>
      <w:r w:rsidRPr="00C17650">
        <w:rPr>
          <w:rFonts w:asciiTheme="minorHAnsi" w:hAnsiTheme="minorHAnsi" w:cstheme="minorHAnsi"/>
          <w:lang w:val="cs-CZ"/>
        </w:rPr>
        <w:t xml:space="preserve">a </w:t>
      </w:r>
      <w:r w:rsidR="00C01646">
        <w:rPr>
          <w:rFonts w:asciiTheme="minorHAnsi" w:hAnsiTheme="minorHAnsi" w:cstheme="minorHAnsi"/>
          <w:lang w:val="cs-CZ"/>
        </w:rPr>
        <w:t>p</w:t>
      </w:r>
      <w:r w:rsidRPr="00C17650">
        <w:rPr>
          <w:rFonts w:asciiTheme="minorHAnsi" w:hAnsiTheme="minorHAnsi" w:cstheme="minorHAnsi"/>
          <w:lang w:val="cs-CZ"/>
        </w:rPr>
        <w:t xml:space="preserve">rogram 112 090 – </w:t>
      </w:r>
      <w:r w:rsidRPr="009C4A68">
        <w:rPr>
          <w:rFonts w:asciiTheme="minorHAnsi" w:hAnsiTheme="minorHAnsi" w:cstheme="minorHAnsi"/>
          <w:i/>
          <w:lang w:val="cs-CZ"/>
        </w:rPr>
        <w:t>Výstavba, obnova a provozování Státní pokladny</w:t>
      </w:r>
      <w:r w:rsidRPr="00C17650">
        <w:rPr>
          <w:rFonts w:asciiTheme="minorHAnsi" w:hAnsiTheme="minorHAnsi" w:cstheme="minorHAnsi"/>
          <w:lang w:val="cs-CZ"/>
        </w:rPr>
        <w:t xml:space="preserve"> v letech </w:t>
      </w:r>
      <w:r w:rsidR="00C01646">
        <w:rPr>
          <w:rFonts w:asciiTheme="minorHAnsi" w:hAnsiTheme="minorHAnsi" w:cstheme="minorHAnsi"/>
          <w:lang w:val="cs-CZ"/>
        </w:rPr>
        <w:br/>
      </w:r>
      <w:r w:rsidRPr="00C17650">
        <w:rPr>
          <w:rFonts w:asciiTheme="minorHAnsi" w:hAnsiTheme="minorHAnsi" w:cstheme="minorHAnsi"/>
          <w:lang w:val="cs-CZ"/>
        </w:rPr>
        <w:t>2007–2014</w:t>
      </w:r>
      <w:r w:rsidR="00F42378">
        <w:rPr>
          <w:rFonts w:asciiTheme="minorHAnsi" w:hAnsiTheme="minorHAnsi" w:cstheme="minorHAnsi"/>
          <w:lang w:val="cs-CZ"/>
        </w:rPr>
        <w:t xml:space="preserve"> (dále také „program 112 090“)</w:t>
      </w:r>
      <w:r w:rsidRPr="00C17650">
        <w:rPr>
          <w:rFonts w:asciiTheme="minorHAnsi" w:hAnsiTheme="minorHAnsi" w:cstheme="minorHAnsi"/>
          <w:lang w:val="cs-CZ"/>
        </w:rPr>
        <w:t>.</w:t>
      </w:r>
    </w:p>
  </w:footnote>
  <w:footnote w:id="6">
    <w:p w14:paraId="3CF1B353" w14:textId="77777777" w:rsidR="00996C0F" w:rsidRPr="00042D3F" w:rsidRDefault="00996C0F" w:rsidP="00042D3F">
      <w:pPr>
        <w:pStyle w:val="Textpoznpodarou"/>
        <w:ind w:left="284" w:hanging="284"/>
        <w:jc w:val="both"/>
        <w:rPr>
          <w:rFonts w:ascii="Calibri" w:hAnsi="Calibri" w:cs="Calibri"/>
          <w:lang w:val="cs-CZ"/>
        </w:rPr>
      </w:pPr>
      <w:r w:rsidRPr="00042D3F">
        <w:rPr>
          <w:rStyle w:val="Znakapoznpodarou"/>
          <w:rFonts w:ascii="Calibri" w:hAnsi="Calibri" w:cs="Calibri"/>
        </w:rPr>
        <w:footnoteRef/>
      </w:r>
      <w:r w:rsidR="00611D66" w:rsidRPr="00042D3F">
        <w:rPr>
          <w:rFonts w:ascii="Calibri" w:hAnsi="Calibri" w:cs="Calibri"/>
        </w:rPr>
        <w:tab/>
      </w:r>
      <w:r w:rsidRPr="00042D3F">
        <w:rPr>
          <w:rFonts w:ascii="Calibri" w:hAnsi="Calibri" w:cs="Calibri"/>
          <w:lang w:val="cs-CZ"/>
        </w:rPr>
        <w:t>Ustanovení § 75b zákona č. 218/2000 Sb., o rozpočtových pravidlech a o změně</w:t>
      </w:r>
      <w:r w:rsidR="008E5D5E" w:rsidRPr="00042D3F">
        <w:rPr>
          <w:rFonts w:ascii="Calibri" w:hAnsi="Calibri" w:cs="Calibri"/>
          <w:lang w:val="cs-CZ"/>
        </w:rPr>
        <w:t xml:space="preserve"> některých souvisejících zákonů </w:t>
      </w:r>
      <w:r w:rsidRPr="00042D3F">
        <w:rPr>
          <w:rFonts w:ascii="Calibri" w:hAnsi="Calibri" w:cs="Calibri"/>
          <w:lang w:val="cs-CZ"/>
        </w:rPr>
        <w:t>(rozpočtová pravidla).</w:t>
      </w:r>
    </w:p>
  </w:footnote>
  <w:footnote w:id="7">
    <w:p w14:paraId="1F79577A" w14:textId="77777777" w:rsidR="00BC7583" w:rsidRPr="00042D3F" w:rsidRDefault="00BC7583" w:rsidP="00042D3F">
      <w:pPr>
        <w:pStyle w:val="Textpoznpodarou"/>
        <w:ind w:left="284" w:hanging="284"/>
        <w:jc w:val="both"/>
        <w:rPr>
          <w:rFonts w:ascii="Calibri" w:hAnsi="Calibri" w:cs="Calibri"/>
          <w:lang w:val="cs-CZ"/>
        </w:rPr>
      </w:pPr>
      <w:r w:rsidRPr="00042D3F">
        <w:rPr>
          <w:rStyle w:val="Znakapoznpodarou"/>
          <w:rFonts w:ascii="Calibri" w:hAnsi="Calibri" w:cs="Calibri"/>
          <w:lang w:val="cs-CZ"/>
        </w:rPr>
        <w:footnoteRef/>
      </w:r>
      <w:r w:rsidR="00611D66" w:rsidRPr="00042D3F">
        <w:rPr>
          <w:rFonts w:ascii="Calibri" w:hAnsi="Calibri" w:cs="Calibri"/>
          <w:lang w:val="cs-CZ"/>
        </w:rPr>
        <w:tab/>
      </w:r>
      <w:r w:rsidRPr="00042D3F">
        <w:rPr>
          <w:rFonts w:ascii="Calibri" w:hAnsi="Calibri" w:cs="Calibri"/>
          <w:lang w:val="cs-CZ"/>
        </w:rPr>
        <w:t xml:space="preserve">Částka nezahrnuje výdaje za IS CEDR od doby jeho vzniku do konce roku 2008. Období 2000–2003 bylo předmětem kontrolní akce </w:t>
      </w:r>
      <w:r w:rsidR="00C020DD">
        <w:rPr>
          <w:rFonts w:ascii="Calibri" w:hAnsi="Calibri" w:cs="Calibri"/>
          <w:lang w:val="cs-CZ"/>
        </w:rPr>
        <w:t xml:space="preserve">NKÚ </w:t>
      </w:r>
      <w:r w:rsidRPr="00042D3F">
        <w:rPr>
          <w:rFonts w:ascii="Calibri" w:hAnsi="Calibri" w:cs="Calibri"/>
          <w:lang w:val="cs-CZ"/>
        </w:rPr>
        <w:t>č. 03/05.</w:t>
      </w:r>
    </w:p>
  </w:footnote>
  <w:footnote w:id="8">
    <w:p w14:paraId="0D1D96B9" w14:textId="77777777" w:rsidR="00203C17" w:rsidRPr="00771704" w:rsidRDefault="00203C17" w:rsidP="00042D3F">
      <w:pPr>
        <w:pStyle w:val="Textpoznpodarou"/>
        <w:ind w:left="284" w:hanging="284"/>
        <w:jc w:val="both"/>
        <w:rPr>
          <w:rFonts w:ascii="Calibri" w:hAnsi="Calibri" w:cs="Calibri"/>
          <w:lang w:val="cs-CZ"/>
        </w:rPr>
      </w:pPr>
      <w:r w:rsidRPr="00042D3F">
        <w:rPr>
          <w:rStyle w:val="Znakapoznpodarou"/>
          <w:rFonts w:ascii="Calibri" w:hAnsi="Calibri" w:cs="Calibri"/>
        </w:rPr>
        <w:footnoteRef/>
      </w:r>
      <w:r w:rsidR="00611D66" w:rsidRPr="00042D3F">
        <w:rPr>
          <w:rFonts w:ascii="Calibri" w:hAnsi="Calibri" w:cs="Calibri"/>
        </w:rPr>
        <w:tab/>
      </w:r>
      <w:r w:rsidR="00771704">
        <w:rPr>
          <w:rFonts w:ascii="Calibri" w:hAnsi="Calibri" w:cs="Calibri"/>
        </w:rPr>
        <w:t xml:space="preserve">Viz </w:t>
      </w:r>
      <w:hyperlink r:id="rId2" w:history="1">
        <w:r w:rsidR="00A922EB" w:rsidRPr="00042D3F">
          <w:rPr>
            <w:rStyle w:val="Hypertextovodkaz"/>
            <w:rFonts w:ascii="Calibri" w:eastAsia="Arial" w:hAnsi="Calibri" w:cs="Calibri"/>
          </w:rPr>
          <w:t>http://cedr.mfcr.cz</w:t>
        </w:r>
      </w:hyperlink>
      <w:r w:rsidR="00771704">
        <w:rPr>
          <w:rStyle w:val="Hypertextovodkaz"/>
          <w:rFonts w:ascii="Calibri" w:eastAsia="Arial" w:hAnsi="Calibri" w:cs="Calibri"/>
          <w:u w:val="none"/>
        </w:rPr>
        <w:t>.</w:t>
      </w:r>
    </w:p>
  </w:footnote>
  <w:footnote w:id="9">
    <w:p w14:paraId="432C01E9" w14:textId="77777777" w:rsidR="004342F4" w:rsidRPr="00042D3F" w:rsidRDefault="004342F4" w:rsidP="00042D3F">
      <w:pPr>
        <w:pStyle w:val="Textpoznpodarou"/>
        <w:ind w:left="284" w:hanging="284"/>
        <w:jc w:val="both"/>
        <w:rPr>
          <w:rFonts w:ascii="Calibri" w:hAnsi="Calibri" w:cs="Calibri"/>
          <w:lang w:val="cs-CZ"/>
        </w:rPr>
      </w:pPr>
      <w:r w:rsidRPr="00042D3F">
        <w:rPr>
          <w:rStyle w:val="Znakapoznpodarou"/>
          <w:rFonts w:ascii="Calibri" w:hAnsi="Calibri" w:cs="Calibri"/>
        </w:rPr>
        <w:footnoteRef/>
      </w:r>
      <w:r w:rsidR="00611D66" w:rsidRPr="00042D3F">
        <w:rPr>
          <w:rFonts w:ascii="Calibri" w:hAnsi="Calibri" w:cs="Calibri"/>
        </w:rPr>
        <w:tab/>
      </w:r>
      <w:r w:rsidRPr="00042D3F">
        <w:rPr>
          <w:rFonts w:ascii="Calibri" w:eastAsia="Arial" w:hAnsi="Calibri" w:cs="Calibri"/>
          <w:lang w:val="cs-CZ"/>
        </w:rPr>
        <w:t xml:space="preserve">Předseda </w:t>
      </w:r>
      <w:r w:rsidRPr="00042D3F">
        <w:rPr>
          <w:rFonts w:ascii="Calibri" w:eastAsia="Arial" w:hAnsi="Calibri" w:cs="Calibri"/>
          <w:i/>
          <w:lang w:val="cs-CZ"/>
        </w:rPr>
        <w:t>Rady vlády pro nestátní neziskové organizace</w:t>
      </w:r>
      <w:r w:rsidRPr="00042D3F">
        <w:rPr>
          <w:rFonts w:ascii="Calibri" w:eastAsia="Arial" w:hAnsi="Calibri" w:cs="Calibri"/>
          <w:lang w:val="cs-CZ"/>
        </w:rPr>
        <w:t xml:space="preserve"> ročně předkládá vládě ke schválení </w:t>
      </w:r>
      <w:r w:rsidRPr="00042D3F">
        <w:rPr>
          <w:rFonts w:ascii="Calibri" w:eastAsia="Arial" w:hAnsi="Calibri" w:cs="Calibri"/>
          <w:i/>
          <w:lang w:val="cs-CZ"/>
        </w:rPr>
        <w:t>Rozbor financování nestátních neziskových organizací z veřejných rozpočtů</w:t>
      </w:r>
      <w:r w:rsidRPr="00042D3F">
        <w:rPr>
          <w:rFonts w:ascii="Calibri" w:eastAsia="Arial" w:hAnsi="Calibri" w:cs="Calibri"/>
          <w:lang w:val="cs-CZ"/>
        </w:rPr>
        <w:t>. Vláda tento materiál bere na vědomí. Od roku 2012 je součástí příloh tohoto materiálu mj. přehled neziskových organizací s výší zís</w:t>
      </w:r>
      <w:r w:rsidR="00611D66" w:rsidRPr="00042D3F">
        <w:rPr>
          <w:rFonts w:ascii="Calibri" w:eastAsia="Arial" w:hAnsi="Calibri" w:cs="Calibri"/>
          <w:lang w:val="cs-CZ"/>
        </w:rPr>
        <w:t>kaných dotací ze SR nad 50 mil. </w:t>
      </w:r>
      <w:r w:rsidRPr="00042D3F">
        <w:rPr>
          <w:rFonts w:ascii="Calibri" w:eastAsia="Arial" w:hAnsi="Calibri" w:cs="Calibri"/>
          <w:lang w:val="cs-CZ"/>
        </w:rPr>
        <w:t xml:space="preserve">Kč za daný rok. Data jsou získávána na základě žádosti předsedy </w:t>
      </w:r>
      <w:r w:rsidRPr="009C4A68">
        <w:rPr>
          <w:rFonts w:ascii="Calibri" w:eastAsia="Arial" w:hAnsi="Calibri" w:cs="Calibri"/>
          <w:lang w:val="cs-CZ"/>
        </w:rPr>
        <w:t>Rady vlády pro nestátní neziskové organizace</w:t>
      </w:r>
      <w:r w:rsidRPr="00042D3F">
        <w:rPr>
          <w:rFonts w:ascii="Calibri" w:eastAsia="Arial" w:hAnsi="Calibri" w:cs="Calibri"/>
          <w:lang w:val="cs-CZ"/>
        </w:rPr>
        <w:t xml:space="preserve"> jednotlivým rozpočtovým kapitolám o poskytnutí dat o získaných dotací</w:t>
      </w:r>
      <w:r w:rsidR="0052634E" w:rsidRPr="00042D3F">
        <w:rPr>
          <w:rFonts w:ascii="Calibri" w:eastAsia="Arial" w:hAnsi="Calibri" w:cs="Calibri"/>
          <w:lang w:val="cs-CZ"/>
        </w:rPr>
        <w:t>ch</w:t>
      </w:r>
      <w:r w:rsidRPr="00042D3F">
        <w:rPr>
          <w:rFonts w:ascii="Calibri" w:eastAsia="Arial" w:hAnsi="Calibri" w:cs="Calibri"/>
          <w:lang w:val="cs-CZ"/>
        </w:rPr>
        <w:t>.</w:t>
      </w:r>
      <w:r w:rsidR="0052634E" w:rsidRPr="00042D3F">
        <w:rPr>
          <w:rFonts w:ascii="Calibri" w:eastAsia="Arial" w:hAnsi="Calibri" w:cs="Calibri"/>
          <w:lang w:val="cs-CZ"/>
        </w:rPr>
        <w:t xml:space="preserve"> Pro ověření úplnosti dat v kontrolovaných IS byly použity </w:t>
      </w:r>
      <w:r w:rsidR="0052634E" w:rsidRPr="00042D3F">
        <w:rPr>
          <w:rFonts w:ascii="Calibri" w:eastAsia="Arial" w:hAnsi="Calibri" w:cs="Calibri"/>
          <w:i/>
          <w:lang w:val="cs-CZ"/>
        </w:rPr>
        <w:t>Rozbor financování nestátních neziskových organizací z</w:t>
      </w:r>
      <w:r w:rsidR="00FA6C30">
        <w:rPr>
          <w:rFonts w:ascii="Calibri" w:eastAsia="Arial" w:hAnsi="Calibri" w:cs="Calibri"/>
          <w:i/>
          <w:lang w:val="cs-CZ"/>
        </w:rPr>
        <w:t> </w:t>
      </w:r>
      <w:r w:rsidR="0052634E" w:rsidRPr="00042D3F">
        <w:rPr>
          <w:rFonts w:ascii="Calibri" w:eastAsia="Arial" w:hAnsi="Calibri" w:cs="Calibri"/>
          <w:i/>
          <w:lang w:val="cs-CZ"/>
        </w:rPr>
        <w:t>veřejných rozpočtů v roce 2013</w:t>
      </w:r>
      <w:r w:rsidR="0052634E" w:rsidRPr="00042D3F">
        <w:rPr>
          <w:rFonts w:ascii="Calibri" w:eastAsia="Arial" w:hAnsi="Calibri" w:cs="Calibri"/>
          <w:lang w:val="cs-CZ"/>
        </w:rPr>
        <w:t xml:space="preserve"> a </w:t>
      </w:r>
      <w:r w:rsidR="0052634E" w:rsidRPr="00042D3F">
        <w:rPr>
          <w:rFonts w:ascii="Calibri" w:eastAsia="Arial" w:hAnsi="Calibri" w:cs="Calibri"/>
          <w:i/>
          <w:lang w:val="cs-CZ"/>
        </w:rPr>
        <w:t>Rozbo</w:t>
      </w:r>
      <w:r w:rsidR="007E078F" w:rsidRPr="00042D3F">
        <w:rPr>
          <w:rFonts w:ascii="Calibri" w:eastAsia="Arial" w:hAnsi="Calibri" w:cs="Calibri"/>
          <w:i/>
          <w:lang w:val="cs-CZ"/>
        </w:rPr>
        <w:t>r</w:t>
      </w:r>
      <w:r w:rsidR="0052634E" w:rsidRPr="00042D3F">
        <w:rPr>
          <w:rFonts w:ascii="Calibri" w:eastAsia="Arial" w:hAnsi="Calibri" w:cs="Calibri"/>
          <w:i/>
          <w:lang w:val="cs-CZ"/>
        </w:rPr>
        <w:t xml:space="preserve"> financování nestátních neziskových organizací z veřejných rozpočtů v roce 2014.</w:t>
      </w:r>
    </w:p>
  </w:footnote>
  <w:footnote w:id="10">
    <w:p w14:paraId="0A522529" w14:textId="77777777" w:rsidR="00ED69BE" w:rsidRPr="00042D3F" w:rsidRDefault="00ED69BE" w:rsidP="00042D3F">
      <w:pPr>
        <w:pStyle w:val="Textpoznpodarou"/>
        <w:ind w:left="284" w:hanging="284"/>
        <w:jc w:val="both"/>
        <w:rPr>
          <w:rFonts w:ascii="Calibri" w:hAnsi="Calibri" w:cs="Calibri"/>
          <w:lang w:val="cs-CZ"/>
        </w:rPr>
      </w:pPr>
      <w:r w:rsidRPr="00042D3F">
        <w:rPr>
          <w:rStyle w:val="Znakapoznpodarou"/>
          <w:rFonts w:ascii="Calibri" w:hAnsi="Calibri" w:cs="Calibri"/>
        </w:rPr>
        <w:footnoteRef/>
      </w:r>
      <w:r w:rsidR="00611D66" w:rsidRPr="00042D3F">
        <w:rPr>
          <w:rFonts w:ascii="Calibri" w:hAnsi="Calibri" w:cs="Calibri"/>
          <w:lang w:val="cs-CZ"/>
        </w:rPr>
        <w:tab/>
      </w:r>
      <w:r w:rsidRPr="00042D3F">
        <w:rPr>
          <w:rFonts w:ascii="Calibri" w:hAnsi="Calibri" w:cs="Calibri"/>
          <w:lang w:val="cs-CZ"/>
        </w:rPr>
        <w:t>Zákon č. 137/2006 Sb., o veřejných zakázkách.</w:t>
      </w:r>
    </w:p>
  </w:footnote>
  <w:footnote w:id="11">
    <w:p w14:paraId="0C683D63" w14:textId="77777777" w:rsidR="00EC4C5A" w:rsidRPr="00042D3F" w:rsidRDefault="00EC4C5A" w:rsidP="00042D3F">
      <w:pPr>
        <w:pStyle w:val="Textpoznpodarou"/>
        <w:ind w:left="284" w:hanging="284"/>
        <w:jc w:val="both"/>
        <w:rPr>
          <w:rFonts w:ascii="Calibri" w:hAnsi="Calibri" w:cs="Calibri"/>
          <w:lang w:val="cs-CZ"/>
        </w:rPr>
      </w:pPr>
      <w:r w:rsidRPr="00042D3F">
        <w:rPr>
          <w:rStyle w:val="Znakapoznpodarou"/>
          <w:rFonts w:ascii="Calibri" w:hAnsi="Calibri" w:cs="Calibri"/>
          <w:lang w:val="cs-CZ"/>
        </w:rPr>
        <w:footnoteRef/>
      </w:r>
      <w:r w:rsidR="00611D66" w:rsidRPr="00042D3F">
        <w:rPr>
          <w:rFonts w:ascii="Calibri" w:hAnsi="Calibri" w:cs="Calibri"/>
          <w:lang w:val="cs-CZ"/>
        </w:rPr>
        <w:tab/>
      </w:r>
      <w:r w:rsidRPr="00042D3F">
        <w:rPr>
          <w:rFonts w:ascii="Calibri" w:hAnsi="Calibri" w:cs="Calibri"/>
          <w:lang w:val="cs-CZ"/>
        </w:rPr>
        <w:t>Efekt vendor lock-in spočívá v závislosti zákazníka na produktech nebo službách konkrétního dodavatele. Tento efekt může být zapříčiněn např. nestandardizovanými součástmi produktu, které jsou chráněny licenčním oprávněním.</w:t>
      </w:r>
    </w:p>
  </w:footnote>
  <w:footnote w:id="12">
    <w:p w14:paraId="1607A7E1" w14:textId="77777777" w:rsidR="00E06388" w:rsidRPr="00042D3F" w:rsidRDefault="00E06388" w:rsidP="00042D3F">
      <w:pPr>
        <w:pStyle w:val="Textpoznpodarou"/>
        <w:ind w:left="284" w:hanging="284"/>
        <w:jc w:val="both"/>
        <w:rPr>
          <w:rFonts w:ascii="Calibri" w:hAnsi="Calibri" w:cs="Calibri"/>
          <w:lang w:val="cs-CZ"/>
        </w:rPr>
      </w:pPr>
      <w:r w:rsidRPr="00042D3F">
        <w:rPr>
          <w:rStyle w:val="Znakapoznpodarou"/>
          <w:rFonts w:ascii="Calibri" w:hAnsi="Calibri" w:cs="Calibri"/>
        </w:rPr>
        <w:footnoteRef/>
      </w:r>
      <w:r w:rsidR="00611D66" w:rsidRPr="00042D3F">
        <w:rPr>
          <w:rFonts w:ascii="Calibri" w:hAnsi="Calibri" w:cs="Calibri"/>
          <w:lang w:val="cs-CZ"/>
        </w:rPr>
        <w:tab/>
      </w:r>
      <w:r w:rsidRPr="00042D3F">
        <w:rPr>
          <w:rFonts w:ascii="Calibri" w:hAnsi="Calibri" w:cs="Calibri"/>
          <w:lang w:val="cs-CZ"/>
        </w:rPr>
        <w:t>Tyto peněžní prostředky byly vynaloženy na rozšíření funkcionalit IS EDS/</w:t>
      </w:r>
      <w:r w:rsidR="005778CB" w:rsidRPr="00042D3F">
        <w:rPr>
          <w:rFonts w:ascii="Calibri" w:hAnsi="Calibri" w:cs="Calibri"/>
          <w:lang w:val="cs-CZ"/>
        </w:rPr>
        <w:t xml:space="preserve">SMVS, které mj. obsahovaly také </w:t>
      </w:r>
      <w:r w:rsidRPr="00042D3F">
        <w:rPr>
          <w:rFonts w:ascii="Calibri" w:hAnsi="Calibri" w:cs="Calibri"/>
          <w:lang w:val="cs-CZ"/>
        </w:rPr>
        <w:t>vytvoření IS DotInfo EDS.</w:t>
      </w:r>
    </w:p>
  </w:footnote>
  <w:footnote w:id="13">
    <w:p w14:paraId="3EC01CF5" w14:textId="77777777" w:rsidR="00E52F26" w:rsidRPr="00927059" w:rsidRDefault="00E52F26" w:rsidP="00042D3F">
      <w:pPr>
        <w:pStyle w:val="Textpoznpodarou"/>
        <w:ind w:left="284" w:hanging="284"/>
        <w:jc w:val="both"/>
        <w:rPr>
          <w:rFonts w:asciiTheme="minorHAnsi" w:hAnsiTheme="minorHAnsi"/>
          <w:lang w:val="cs-CZ"/>
        </w:rPr>
      </w:pPr>
      <w:r w:rsidRPr="00927059">
        <w:rPr>
          <w:rStyle w:val="Znakapoznpodarou"/>
          <w:rFonts w:asciiTheme="minorHAnsi" w:hAnsiTheme="minorHAnsi"/>
          <w:lang w:val="cs-CZ"/>
        </w:rPr>
        <w:footnoteRef/>
      </w:r>
      <w:r w:rsidR="00611D66">
        <w:rPr>
          <w:rFonts w:asciiTheme="minorHAnsi" w:hAnsiTheme="minorHAnsi"/>
          <w:lang w:val="cs-CZ"/>
        </w:rPr>
        <w:tab/>
      </w:r>
      <w:r w:rsidR="00991702">
        <w:rPr>
          <w:rFonts w:asciiTheme="minorHAnsi" w:hAnsiTheme="minorHAnsi"/>
          <w:lang w:val="cs-CZ"/>
        </w:rPr>
        <w:t>Architektonické principy n</w:t>
      </w:r>
      <w:r w:rsidRPr="00B83455">
        <w:rPr>
          <w:rFonts w:asciiTheme="minorHAnsi" w:hAnsiTheme="minorHAnsi"/>
          <w:lang w:val="cs-CZ"/>
        </w:rPr>
        <w:t>árodní architektury veřejné správy ČR</w:t>
      </w:r>
      <w:r w:rsidRPr="00927059">
        <w:rPr>
          <w:rFonts w:asciiTheme="minorHAnsi" w:hAnsiTheme="minorHAnsi"/>
          <w:lang w:val="cs-CZ"/>
        </w:rPr>
        <w:t xml:space="preserve"> jsou odvozená pravidla z cílů rozvoje </w:t>
      </w:r>
      <w:r w:rsidR="001846F8">
        <w:rPr>
          <w:rFonts w:asciiTheme="minorHAnsi" w:hAnsiTheme="minorHAnsi"/>
          <w:lang w:val="cs-CZ"/>
        </w:rPr>
        <w:br/>
      </w:r>
      <w:r w:rsidRPr="00927059">
        <w:rPr>
          <w:rFonts w:asciiTheme="minorHAnsi" w:hAnsiTheme="minorHAnsi"/>
          <w:lang w:val="cs-CZ"/>
        </w:rPr>
        <w:t>e</w:t>
      </w:r>
      <w:r w:rsidR="001846F8">
        <w:rPr>
          <w:rFonts w:asciiTheme="minorHAnsi" w:hAnsiTheme="minorHAnsi"/>
          <w:lang w:val="cs-CZ"/>
        </w:rPr>
        <w:t>-g</w:t>
      </w:r>
      <w:r w:rsidRPr="00927059">
        <w:rPr>
          <w:rFonts w:asciiTheme="minorHAnsi" w:hAnsiTheme="minorHAnsi"/>
          <w:lang w:val="cs-CZ"/>
        </w:rPr>
        <w:t>overnmentu, konkrétně</w:t>
      </w:r>
      <w:r w:rsidR="00EE0C85">
        <w:rPr>
          <w:rFonts w:asciiTheme="minorHAnsi" w:hAnsiTheme="minorHAnsi"/>
          <w:lang w:val="cs-CZ"/>
        </w:rPr>
        <w:t xml:space="preserve"> ze</w:t>
      </w:r>
      <w:r w:rsidRPr="00927059">
        <w:rPr>
          <w:rFonts w:asciiTheme="minorHAnsi" w:hAnsiTheme="minorHAnsi"/>
          <w:lang w:val="cs-CZ"/>
        </w:rPr>
        <w:t xml:space="preserve"> </w:t>
      </w:r>
      <w:r w:rsidRPr="009C4A68">
        <w:rPr>
          <w:rFonts w:asciiTheme="minorHAnsi" w:hAnsiTheme="minorHAnsi"/>
          <w:i/>
          <w:lang w:val="cs-CZ"/>
        </w:rPr>
        <w:t>Strategie rozvoje ICT služeb veřejné správy a její opatření na zefektivnění ICT služeb</w:t>
      </w:r>
      <w:r w:rsidRPr="00927059">
        <w:rPr>
          <w:rFonts w:asciiTheme="minorHAnsi" w:hAnsiTheme="minorHAnsi"/>
          <w:lang w:val="cs-CZ"/>
        </w:rPr>
        <w:t xml:space="preserve">, přijatá usnesením vlády </w:t>
      </w:r>
      <w:r>
        <w:rPr>
          <w:rFonts w:asciiTheme="minorHAnsi" w:hAnsiTheme="minorHAnsi"/>
          <w:lang w:val="cs-CZ"/>
        </w:rPr>
        <w:t xml:space="preserve">č. 889 </w:t>
      </w:r>
      <w:r w:rsidRPr="00927059">
        <w:rPr>
          <w:rFonts w:asciiTheme="minorHAnsi" w:hAnsiTheme="minorHAnsi"/>
          <w:lang w:val="cs-CZ"/>
        </w:rPr>
        <w:t xml:space="preserve">ze dne 2. </w:t>
      </w:r>
      <w:r>
        <w:rPr>
          <w:rFonts w:asciiTheme="minorHAnsi" w:hAnsiTheme="minorHAnsi"/>
          <w:lang w:val="cs-CZ"/>
        </w:rPr>
        <w:t>11. 2015</w:t>
      </w:r>
      <w:r w:rsidRPr="00927059">
        <w:rPr>
          <w:rFonts w:asciiTheme="minorHAnsi" w:hAnsiTheme="minorHAnsi"/>
          <w:lang w:val="cs-CZ"/>
        </w:rPr>
        <w:t>. Tato pravidla by měla být dodržována při návrzích cílové architektury veřejné správy (a jejích informačních systémů).</w:t>
      </w:r>
    </w:p>
  </w:footnote>
  <w:footnote w:id="14">
    <w:p w14:paraId="6B23C203" w14:textId="77777777" w:rsidR="00D64966" w:rsidRPr="006631B4" w:rsidRDefault="00D64966" w:rsidP="00042D3F">
      <w:pPr>
        <w:pStyle w:val="Textpoznpodarou"/>
        <w:ind w:left="284" w:hanging="284"/>
        <w:jc w:val="both"/>
        <w:rPr>
          <w:rFonts w:asciiTheme="minorHAnsi" w:hAnsiTheme="minorHAnsi"/>
          <w:lang w:val="cs-CZ"/>
        </w:rPr>
      </w:pPr>
      <w:r w:rsidRPr="006631B4">
        <w:rPr>
          <w:rStyle w:val="Znakapoznpodarou"/>
          <w:rFonts w:asciiTheme="minorHAnsi" w:hAnsiTheme="minorHAnsi"/>
        </w:rPr>
        <w:footnoteRef/>
      </w:r>
      <w:r w:rsidR="00611D66">
        <w:rPr>
          <w:rFonts w:asciiTheme="minorHAnsi" w:hAnsiTheme="minorHAnsi"/>
          <w:lang w:val="cs-CZ"/>
        </w:rPr>
        <w:tab/>
      </w:r>
      <w:r w:rsidRPr="006631B4">
        <w:rPr>
          <w:rFonts w:asciiTheme="minorHAnsi" w:hAnsiTheme="minorHAnsi"/>
          <w:lang w:val="cs-CZ"/>
        </w:rPr>
        <w:t xml:space="preserve">Ustanovení </w:t>
      </w:r>
      <w:r w:rsidR="00EE0C85">
        <w:rPr>
          <w:rFonts w:asciiTheme="minorHAnsi" w:hAnsiTheme="minorHAnsi"/>
          <w:lang w:val="cs-CZ"/>
        </w:rPr>
        <w:t>č</w:t>
      </w:r>
      <w:r w:rsidRPr="006631B4">
        <w:rPr>
          <w:rFonts w:asciiTheme="minorHAnsi" w:hAnsiTheme="minorHAnsi"/>
          <w:lang w:val="cs-CZ"/>
        </w:rPr>
        <w:t xml:space="preserve">l. 3 odst. 2 písm. d) a e) </w:t>
      </w:r>
      <w:r w:rsidR="00EE0C85">
        <w:rPr>
          <w:rFonts w:asciiTheme="minorHAnsi" w:hAnsiTheme="minorHAnsi"/>
          <w:lang w:val="cs-CZ"/>
        </w:rPr>
        <w:t>p</w:t>
      </w:r>
      <w:r w:rsidRPr="006631B4">
        <w:rPr>
          <w:rFonts w:asciiTheme="minorHAnsi" w:hAnsiTheme="minorHAnsi"/>
          <w:lang w:val="cs-CZ"/>
        </w:rPr>
        <w:t>okynu MF č. R 1-2010, k upřesnění postupu Ministerstva financí, správců programů a účastníků programu při přípravě, realizaci, financování a vyhodnocování programu nebo akce a k provozování informačního systému programového financování.</w:t>
      </w:r>
    </w:p>
  </w:footnote>
  <w:footnote w:id="15">
    <w:p w14:paraId="55D6D337" w14:textId="77777777" w:rsidR="00D64966" w:rsidRPr="00A05665" w:rsidRDefault="00D64966" w:rsidP="00042D3F">
      <w:pPr>
        <w:pStyle w:val="Textpoznpodarou"/>
        <w:ind w:left="284" w:hanging="284"/>
        <w:jc w:val="both"/>
        <w:rPr>
          <w:rFonts w:asciiTheme="minorHAnsi" w:hAnsiTheme="minorHAnsi"/>
          <w:lang w:val="cs-CZ"/>
        </w:rPr>
      </w:pPr>
      <w:r w:rsidRPr="006631B4">
        <w:rPr>
          <w:rStyle w:val="Znakapoznpodarou"/>
          <w:rFonts w:asciiTheme="minorHAnsi" w:hAnsiTheme="minorHAnsi"/>
        </w:rPr>
        <w:footnoteRef/>
      </w:r>
      <w:r w:rsidR="00611D66">
        <w:rPr>
          <w:rFonts w:asciiTheme="minorHAnsi" w:hAnsiTheme="minorHAnsi"/>
          <w:lang w:val="cs-CZ"/>
        </w:rPr>
        <w:tab/>
      </w:r>
      <w:r w:rsidRPr="006631B4">
        <w:rPr>
          <w:rFonts w:asciiTheme="minorHAnsi" w:hAnsiTheme="minorHAnsi"/>
          <w:lang w:val="cs-CZ"/>
        </w:rPr>
        <w:t>Ustanovení § 3 odst. 1 písm. a) a b) vyhlášky č. 560/2006 Sb.</w:t>
      </w:r>
      <w:r>
        <w:rPr>
          <w:rFonts w:asciiTheme="minorHAnsi" w:hAnsiTheme="minorHAnsi"/>
          <w:lang w:val="cs-CZ"/>
        </w:rPr>
        <w:t>, o účasti státního rozpočtu na financování programů reprodukce majetku.</w:t>
      </w:r>
    </w:p>
  </w:footnote>
  <w:footnote w:id="16">
    <w:p w14:paraId="2D71D500" w14:textId="77777777" w:rsidR="00D64966" w:rsidRPr="006631B4" w:rsidRDefault="00D64966" w:rsidP="00042D3F">
      <w:pPr>
        <w:pStyle w:val="Textpoznpodarou"/>
        <w:ind w:left="284" w:hanging="284"/>
        <w:jc w:val="both"/>
        <w:rPr>
          <w:rFonts w:asciiTheme="minorHAnsi" w:hAnsiTheme="minorHAnsi"/>
          <w:lang w:val="cs-CZ"/>
        </w:rPr>
      </w:pPr>
      <w:r w:rsidRPr="006631B4">
        <w:rPr>
          <w:rStyle w:val="Znakapoznpodarou"/>
          <w:rFonts w:asciiTheme="minorHAnsi" w:hAnsiTheme="minorHAnsi"/>
        </w:rPr>
        <w:footnoteRef/>
      </w:r>
      <w:r w:rsidR="00611D66">
        <w:rPr>
          <w:rFonts w:asciiTheme="minorHAnsi" w:hAnsiTheme="minorHAnsi"/>
        </w:rPr>
        <w:tab/>
      </w:r>
      <w:r w:rsidRPr="006631B4">
        <w:rPr>
          <w:rFonts w:asciiTheme="minorHAnsi" w:hAnsiTheme="minorHAnsi"/>
          <w:lang w:val="cs-CZ"/>
        </w:rPr>
        <w:t>Kontrolní akce č. 15/16</w:t>
      </w:r>
      <w:r w:rsidR="005B1A16">
        <w:rPr>
          <w:rFonts w:asciiTheme="minorHAnsi" w:hAnsiTheme="minorHAnsi"/>
          <w:lang w:val="cs-CZ"/>
        </w:rPr>
        <w:t> –</w:t>
      </w:r>
      <w:r w:rsidRPr="006631B4">
        <w:rPr>
          <w:rFonts w:asciiTheme="minorHAnsi" w:hAnsiTheme="minorHAnsi"/>
          <w:lang w:val="cs-CZ"/>
        </w:rPr>
        <w:t xml:space="preserve"> </w:t>
      </w:r>
      <w:r w:rsidRPr="006631B4">
        <w:rPr>
          <w:rFonts w:asciiTheme="minorHAnsi" w:hAnsiTheme="minorHAnsi"/>
          <w:i/>
          <w:lang w:val="cs-CZ"/>
        </w:rPr>
        <w:t>Peněžní prostředky určené na financování vybraných programů v působnosti Ministerstva spravedlnosti</w:t>
      </w:r>
      <w:r w:rsidR="005B1A16">
        <w:rPr>
          <w:rFonts w:asciiTheme="minorHAnsi" w:hAnsiTheme="minorHAnsi"/>
          <w:lang w:val="cs-CZ"/>
        </w:rPr>
        <w:t>;</w:t>
      </w:r>
      <w:r w:rsidRPr="006631B4">
        <w:rPr>
          <w:rFonts w:asciiTheme="minorHAnsi" w:hAnsiTheme="minorHAnsi"/>
          <w:lang w:val="cs-CZ"/>
        </w:rPr>
        <w:t xml:space="preserve"> kontrolní závěr zveřejněn v částce 3/2016 </w:t>
      </w:r>
      <w:r w:rsidRPr="006631B4">
        <w:rPr>
          <w:rFonts w:asciiTheme="minorHAnsi" w:hAnsiTheme="minorHAnsi"/>
          <w:i/>
          <w:lang w:val="cs-CZ"/>
        </w:rPr>
        <w:t>Věstníku NKÚ.</w:t>
      </w:r>
    </w:p>
  </w:footnote>
  <w:footnote w:id="17">
    <w:p w14:paraId="030529AF" w14:textId="77777777" w:rsidR="00D64966" w:rsidRPr="006631B4" w:rsidRDefault="00D64966" w:rsidP="00042D3F">
      <w:pPr>
        <w:pStyle w:val="Textpoznpodarou"/>
        <w:ind w:left="284" w:hanging="284"/>
        <w:jc w:val="both"/>
        <w:rPr>
          <w:rFonts w:asciiTheme="minorHAnsi" w:hAnsiTheme="minorHAnsi"/>
          <w:lang w:val="cs-CZ"/>
        </w:rPr>
      </w:pPr>
      <w:r w:rsidRPr="006631B4">
        <w:rPr>
          <w:rStyle w:val="Znakapoznpodarou"/>
          <w:rFonts w:asciiTheme="minorHAnsi" w:hAnsiTheme="minorHAnsi"/>
        </w:rPr>
        <w:footnoteRef/>
      </w:r>
      <w:r w:rsidR="00611D66">
        <w:rPr>
          <w:rFonts w:asciiTheme="minorHAnsi" w:hAnsiTheme="minorHAnsi"/>
        </w:rPr>
        <w:tab/>
      </w:r>
      <w:r w:rsidRPr="006631B4">
        <w:rPr>
          <w:rFonts w:asciiTheme="minorHAnsi" w:hAnsiTheme="minorHAnsi"/>
          <w:lang w:val="cs-CZ"/>
        </w:rPr>
        <w:t>Kontrolní akce č. 14/23</w:t>
      </w:r>
      <w:r w:rsidR="005B1A16">
        <w:rPr>
          <w:rFonts w:asciiTheme="minorHAnsi" w:hAnsiTheme="minorHAnsi"/>
          <w:lang w:val="cs-CZ"/>
        </w:rPr>
        <w:t> –</w:t>
      </w:r>
      <w:r w:rsidRPr="006631B4">
        <w:rPr>
          <w:rFonts w:asciiTheme="minorHAnsi" w:hAnsiTheme="minorHAnsi"/>
          <w:lang w:val="cs-CZ"/>
        </w:rPr>
        <w:t xml:space="preserve"> </w:t>
      </w:r>
      <w:r w:rsidRPr="006631B4">
        <w:rPr>
          <w:rFonts w:asciiTheme="minorHAnsi" w:hAnsiTheme="minorHAnsi"/>
          <w:i/>
          <w:lang w:val="cs-CZ"/>
        </w:rPr>
        <w:t>Peněžní prostředky určené na rozvoj a obnovu materiálně technické základny Hasičského záchranného sboru ČR</w:t>
      </w:r>
      <w:r w:rsidR="005B1A16">
        <w:rPr>
          <w:rFonts w:asciiTheme="minorHAnsi" w:hAnsiTheme="minorHAnsi"/>
          <w:lang w:val="cs-CZ"/>
        </w:rPr>
        <w:t>;</w:t>
      </w:r>
      <w:r w:rsidRPr="006631B4">
        <w:rPr>
          <w:rFonts w:asciiTheme="minorHAnsi" w:hAnsiTheme="minorHAnsi"/>
          <w:lang w:val="cs-CZ"/>
        </w:rPr>
        <w:t xml:space="preserve"> kontrolní závěr zveřejněn v částce 2/2015 </w:t>
      </w:r>
      <w:r w:rsidRPr="006631B4">
        <w:rPr>
          <w:rFonts w:asciiTheme="minorHAnsi" w:hAnsiTheme="minorHAnsi"/>
          <w:i/>
          <w:lang w:val="cs-CZ"/>
        </w:rPr>
        <w:t>Věstníku NKÚ.</w:t>
      </w:r>
    </w:p>
  </w:footnote>
  <w:footnote w:id="18">
    <w:p w14:paraId="781CD964" w14:textId="77777777" w:rsidR="00D64966" w:rsidRPr="006631B4" w:rsidRDefault="00D64966" w:rsidP="00042D3F">
      <w:pPr>
        <w:pStyle w:val="Textpoznpodarou"/>
        <w:ind w:left="284" w:hanging="284"/>
        <w:jc w:val="both"/>
        <w:rPr>
          <w:rFonts w:asciiTheme="minorHAnsi" w:hAnsiTheme="minorHAnsi"/>
          <w:lang w:val="cs-CZ"/>
        </w:rPr>
      </w:pPr>
      <w:r w:rsidRPr="006631B4">
        <w:rPr>
          <w:rStyle w:val="Znakapoznpodarou"/>
          <w:rFonts w:asciiTheme="minorHAnsi" w:hAnsiTheme="minorHAnsi"/>
        </w:rPr>
        <w:footnoteRef/>
      </w:r>
      <w:r w:rsidR="00611D66">
        <w:rPr>
          <w:rFonts w:asciiTheme="minorHAnsi" w:hAnsiTheme="minorHAnsi"/>
        </w:rPr>
        <w:tab/>
      </w:r>
      <w:r w:rsidRPr="006631B4">
        <w:rPr>
          <w:rFonts w:asciiTheme="minorHAnsi" w:hAnsiTheme="minorHAnsi"/>
          <w:lang w:val="cs-CZ"/>
        </w:rPr>
        <w:t>Kontrolní akce č. 12/03</w:t>
      </w:r>
      <w:r w:rsidR="005B1A16">
        <w:rPr>
          <w:rFonts w:asciiTheme="minorHAnsi" w:hAnsiTheme="minorHAnsi"/>
          <w:lang w:val="cs-CZ"/>
        </w:rPr>
        <w:t> –</w:t>
      </w:r>
      <w:r w:rsidRPr="006631B4">
        <w:rPr>
          <w:rFonts w:asciiTheme="minorHAnsi" w:hAnsiTheme="minorHAnsi"/>
          <w:lang w:val="cs-CZ"/>
        </w:rPr>
        <w:t xml:space="preserve"> </w:t>
      </w:r>
      <w:r w:rsidRPr="006631B4">
        <w:rPr>
          <w:rFonts w:asciiTheme="minorHAnsi" w:hAnsiTheme="minorHAnsi"/>
          <w:i/>
          <w:lang w:val="cs-CZ"/>
        </w:rPr>
        <w:t>Peněžní prostředky určené na rozvoj a obnovu materiálně-technické základny fakultních nemocnic</w:t>
      </w:r>
      <w:r w:rsidR="005B1A16">
        <w:rPr>
          <w:rFonts w:asciiTheme="minorHAnsi" w:hAnsiTheme="minorHAnsi"/>
          <w:lang w:val="cs-CZ"/>
        </w:rPr>
        <w:t>;</w:t>
      </w:r>
      <w:r w:rsidRPr="006631B4">
        <w:rPr>
          <w:rFonts w:asciiTheme="minorHAnsi" w:hAnsiTheme="minorHAnsi"/>
          <w:lang w:val="cs-CZ"/>
        </w:rPr>
        <w:t xml:space="preserve"> kontrolní závěr zveřejněn v částce 2/2013 </w:t>
      </w:r>
      <w:r w:rsidRPr="006631B4">
        <w:rPr>
          <w:rFonts w:asciiTheme="minorHAnsi" w:hAnsiTheme="minorHAnsi"/>
          <w:i/>
          <w:lang w:val="cs-CZ"/>
        </w:rPr>
        <w:t>Věstníku NKÚ</w:t>
      </w:r>
      <w:r w:rsidRPr="006631B4">
        <w:rPr>
          <w:rFonts w:asciiTheme="minorHAnsi" w:hAnsiTheme="minorHAnsi"/>
          <w:lang w:val="cs-CZ"/>
        </w:rPr>
        <w:t>.</w:t>
      </w:r>
    </w:p>
  </w:footnote>
  <w:footnote w:id="19">
    <w:p w14:paraId="05CCC1BA" w14:textId="77777777" w:rsidR="00BD4873" w:rsidRPr="00042D3F" w:rsidRDefault="00BD4873" w:rsidP="00042D3F">
      <w:pPr>
        <w:pStyle w:val="Textpoznpodarou"/>
        <w:ind w:left="284" w:hanging="284"/>
        <w:jc w:val="both"/>
        <w:rPr>
          <w:rFonts w:ascii="Calibri" w:hAnsi="Calibri" w:cs="Calibri"/>
          <w:lang w:val="cs-CZ"/>
        </w:rPr>
      </w:pPr>
      <w:r w:rsidRPr="00042D3F">
        <w:rPr>
          <w:rStyle w:val="Znakapoznpodarou"/>
          <w:rFonts w:ascii="Calibri" w:hAnsi="Calibri" w:cs="Calibri"/>
        </w:rPr>
        <w:footnoteRef/>
      </w:r>
      <w:r w:rsidRPr="00042D3F">
        <w:rPr>
          <w:rFonts w:ascii="Calibri" w:hAnsi="Calibri" w:cs="Calibri"/>
          <w:lang w:val="cs-CZ"/>
        </w:rPr>
        <w:tab/>
        <w:t>Ustanovení § 2 písm. c) vyhlášky č. 560/2006 Sb.</w:t>
      </w:r>
      <w:r w:rsidR="00594E26" w:rsidRPr="00042D3F">
        <w:rPr>
          <w:rFonts w:ascii="Calibri" w:hAnsi="Calibri" w:cs="Calibri"/>
          <w:lang w:val="cs-CZ"/>
        </w:rPr>
        <w:t>,</w:t>
      </w:r>
      <w:r w:rsidRPr="00042D3F">
        <w:rPr>
          <w:rFonts w:ascii="Calibri" w:hAnsi="Calibri" w:cs="Calibri"/>
          <w:lang w:val="cs-CZ"/>
        </w:rPr>
        <w:t xml:space="preserve"> o účasti státního rozpočtu na financování programů reprodukce majetku.</w:t>
      </w:r>
    </w:p>
  </w:footnote>
  <w:footnote w:id="20">
    <w:p w14:paraId="1B30B272" w14:textId="77777777" w:rsidR="00D64966" w:rsidRPr="00042D3F" w:rsidRDefault="00D64966" w:rsidP="00042D3F">
      <w:pPr>
        <w:pStyle w:val="Textpoznpodarou"/>
        <w:ind w:left="284" w:hanging="284"/>
        <w:jc w:val="both"/>
        <w:rPr>
          <w:rFonts w:ascii="Calibri" w:hAnsi="Calibri" w:cs="Calibri"/>
          <w:lang w:val="cs-CZ"/>
        </w:rPr>
      </w:pPr>
      <w:r w:rsidRPr="00042D3F">
        <w:rPr>
          <w:rStyle w:val="Znakapoznpodarou"/>
          <w:rFonts w:ascii="Calibri" w:hAnsi="Calibri" w:cs="Calibri"/>
        </w:rPr>
        <w:footnoteRef/>
      </w:r>
      <w:r w:rsidR="00611D66" w:rsidRPr="00042D3F">
        <w:rPr>
          <w:rFonts w:ascii="Calibri" w:hAnsi="Calibri" w:cs="Calibri"/>
          <w:i/>
          <w:lang w:val="cs-CZ"/>
        </w:rPr>
        <w:tab/>
      </w:r>
      <w:r w:rsidR="00BD4873" w:rsidRPr="00042D3F">
        <w:rPr>
          <w:rFonts w:ascii="Calibri" w:hAnsi="Calibri" w:cs="Calibri"/>
          <w:lang w:val="cs-CZ"/>
        </w:rPr>
        <w:t>Ustanovení čl. 2 písm. j) p</w:t>
      </w:r>
      <w:r w:rsidRPr="00042D3F">
        <w:rPr>
          <w:rFonts w:ascii="Calibri" w:hAnsi="Calibri" w:cs="Calibri"/>
          <w:lang w:val="cs-CZ"/>
        </w:rPr>
        <w:t>okyn</w:t>
      </w:r>
      <w:r w:rsidR="00BD4873" w:rsidRPr="00042D3F">
        <w:rPr>
          <w:rFonts w:ascii="Calibri" w:hAnsi="Calibri" w:cs="Calibri"/>
          <w:lang w:val="cs-CZ"/>
        </w:rPr>
        <w:t>u</w:t>
      </w:r>
      <w:r w:rsidRPr="00042D3F">
        <w:rPr>
          <w:rFonts w:ascii="Calibri" w:hAnsi="Calibri" w:cs="Calibri"/>
          <w:lang w:val="cs-CZ"/>
        </w:rPr>
        <w:t xml:space="preserve"> MF </w:t>
      </w:r>
      <w:r w:rsidR="00414BC3">
        <w:rPr>
          <w:rFonts w:ascii="Calibri" w:hAnsi="Calibri" w:cs="Calibri"/>
          <w:lang w:val="cs-CZ"/>
        </w:rPr>
        <w:t>č. </w:t>
      </w:r>
      <w:r w:rsidRPr="00042D3F">
        <w:rPr>
          <w:rFonts w:ascii="Calibri" w:hAnsi="Calibri" w:cs="Calibri"/>
          <w:lang w:val="cs-CZ"/>
        </w:rPr>
        <w:t>R 2-07 k řízení programů a provozování informačního systému programového financování.</w:t>
      </w:r>
    </w:p>
  </w:footnote>
  <w:footnote w:id="21">
    <w:p w14:paraId="363A89E5" w14:textId="77777777" w:rsidR="00D64966" w:rsidRPr="00042D3F" w:rsidRDefault="00D64966" w:rsidP="00042D3F">
      <w:pPr>
        <w:pStyle w:val="Textpoznpodarou"/>
        <w:ind w:left="284" w:hanging="284"/>
        <w:jc w:val="both"/>
        <w:rPr>
          <w:rFonts w:ascii="Calibri" w:hAnsi="Calibri" w:cs="Calibri"/>
          <w:lang w:val="cs-CZ"/>
        </w:rPr>
      </w:pPr>
      <w:r w:rsidRPr="00042D3F">
        <w:rPr>
          <w:rStyle w:val="Znakapoznpodarou"/>
          <w:rFonts w:ascii="Calibri" w:hAnsi="Calibri" w:cs="Calibri"/>
        </w:rPr>
        <w:footnoteRef/>
      </w:r>
      <w:r w:rsidR="00611D66" w:rsidRPr="00042D3F">
        <w:rPr>
          <w:rFonts w:ascii="Calibri" w:hAnsi="Calibri" w:cs="Calibri"/>
        </w:rPr>
        <w:tab/>
      </w:r>
      <w:r w:rsidRPr="00042D3F">
        <w:rPr>
          <w:rFonts w:ascii="Calibri" w:hAnsi="Calibri" w:cs="Calibri"/>
          <w:lang w:val="cs-CZ"/>
        </w:rPr>
        <w:t>Kontrolní akce č. 15/01</w:t>
      </w:r>
      <w:r w:rsidR="00414BC3">
        <w:rPr>
          <w:rFonts w:ascii="Calibri" w:hAnsi="Calibri" w:cs="Calibri"/>
          <w:lang w:val="cs-CZ"/>
        </w:rPr>
        <w:t> –</w:t>
      </w:r>
      <w:r w:rsidRPr="00042D3F">
        <w:rPr>
          <w:rFonts w:ascii="Calibri" w:hAnsi="Calibri" w:cs="Calibri"/>
          <w:lang w:val="cs-CZ"/>
        </w:rPr>
        <w:t xml:space="preserve"> </w:t>
      </w:r>
      <w:r w:rsidRPr="00042D3F">
        <w:rPr>
          <w:rFonts w:ascii="Calibri" w:hAnsi="Calibri" w:cs="Calibri"/>
          <w:i/>
          <w:lang w:val="cs-CZ"/>
        </w:rPr>
        <w:t>Peněžní prostředky určené na infrastrukturu vodovodů a kanalizací</w:t>
      </w:r>
      <w:r w:rsidR="00414BC3">
        <w:rPr>
          <w:rFonts w:ascii="Calibri" w:hAnsi="Calibri" w:cs="Calibri"/>
          <w:lang w:val="cs-CZ"/>
        </w:rPr>
        <w:t>;</w:t>
      </w:r>
      <w:r w:rsidRPr="00042D3F">
        <w:rPr>
          <w:rFonts w:ascii="Calibri" w:hAnsi="Calibri" w:cs="Calibri"/>
          <w:lang w:val="cs-CZ"/>
        </w:rPr>
        <w:t xml:space="preserve"> kontrolní závěr zveřejněn v částce 1/2016 </w:t>
      </w:r>
      <w:r w:rsidRPr="00042D3F">
        <w:rPr>
          <w:rFonts w:ascii="Calibri" w:hAnsi="Calibri" w:cs="Calibri"/>
          <w:i/>
          <w:lang w:val="cs-CZ"/>
        </w:rPr>
        <w:t>Věstníku NKÚ</w:t>
      </w:r>
      <w:r w:rsidRPr="00042D3F">
        <w:rPr>
          <w:rFonts w:ascii="Calibri" w:hAnsi="Calibri" w:cs="Calibri"/>
          <w:lang w:val="cs-CZ"/>
        </w:rPr>
        <w:t>.</w:t>
      </w:r>
    </w:p>
  </w:footnote>
  <w:footnote w:id="22">
    <w:p w14:paraId="7EC8DECB" w14:textId="77777777" w:rsidR="00D64966" w:rsidRPr="00042D3F" w:rsidRDefault="00D64966" w:rsidP="00042D3F">
      <w:pPr>
        <w:pStyle w:val="Textpoznpodarou"/>
        <w:ind w:left="284" w:hanging="284"/>
        <w:jc w:val="both"/>
        <w:rPr>
          <w:rFonts w:ascii="Calibri" w:hAnsi="Calibri" w:cs="Calibri"/>
          <w:lang w:val="cs-CZ"/>
        </w:rPr>
      </w:pPr>
      <w:r w:rsidRPr="00042D3F">
        <w:rPr>
          <w:rStyle w:val="Znakapoznpodarou"/>
          <w:rFonts w:ascii="Calibri" w:hAnsi="Calibri" w:cs="Calibri"/>
        </w:rPr>
        <w:footnoteRef/>
      </w:r>
      <w:r w:rsidR="00611D66" w:rsidRPr="00042D3F">
        <w:rPr>
          <w:rFonts w:ascii="Calibri" w:hAnsi="Calibri" w:cs="Calibri"/>
        </w:rPr>
        <w:tab/>
      </w:r>
      <w:r w:rsidRPr="00042D3F">
        <w:rPr>
          <w:rFonts w:ascii="Calibri" w:hAnsi="Calibri" w:cs="Calibri"/>
          <w:lang w:val="cs-CZ"/>
        </w:rPr>
        <w:t>Kontrolní akce č. 14/05</w:t>
      </w:r>
      <w:r w:rsidR="00414BC3">
        <w:rPr>
          <w:rFonts w:ascii="Calibri" w:hAnsi="Calibri" w:cs="Calibri"/>
          <w:lang w:val="cs-CZ"/>
        </w:rPr>
        <w:t> –</w:t>
      </w:r>
      <w:r w:rsidRPr="00042D3F">
        <w:rPr>
          <w:rFonts w:ascii="Calibri" w:hAnsi="Calibri" w:cs="Calibri"/>
          <w:lang w:val="cs-CZ"/>
        </w:rPr>
        <w:t xml:space="preserve"> </w:t>
      </w:r>
      <w:r w:rsidRPr="00042D3F">
        <w:rPr>
          <w:rFonts w:ascii="Calibri" w:hAnsi="Calibri" w:cs="Calibri"/>
          <w:i/>
          <w:lang w:val="cs-CZ"/>
        </w:rPr>
        <w:t>Peněžní prostředky určené na financování vybraných programů v působnosti Ministerstva práce a sociálních věcí</w:t>
      </w:r>
      <w:r w:rsidR="00414BC3">
        <w:rPr>
          <w:rFonts w:ascii="Calibri" w:hAnsi="Calibri" w:cs="Calibri"/>
          <w:lang w:val="cs-CZ"/>
        </w:rPr>
        <w:t>;</w:t>
      </w:r>
      <w:r w:rsidRPr="00042D3F">
        <w:rPr>
          <w:rFonts w:ascii="Calibri" w:hAnsi="Calibri" w:cs="Calibri"/>
          <w:lang w:val="cs-CZ"/>
        </w:rPr>
        <w:t xml:space="preserve"> kontrolní závěr zveřejněn v částce 4/2014 </w:t>
      </w:r>
      <w:r w:rsidRPr="00042D3F">
        <w:rPr>
          <w:rFonts w:ascii="Calibri" w:hAnsi="Calibri" w:cs="Calibri"/>
          <w:i/>
          <w:lang w:val="cs-CZ"/>
        </w:rPr>
        <w:t>Věstníku NKÚ.</w:t>
      </w:r>
    </w:p>
  </w:footnote>
  <w:footnote w:id="23">
    <w:p w14:paraId="7B181252" w14:textId="77777777" w:rsidR="00D64966" w:rsidRPr="00042D3F" w:rsidRDefault="00D64966" w:rsidP="00042D3F">
      <w:pPr>
        <w:pStyle w:val="Textpoznpodarou"/>
        <w:ind w:left="284" w:hanging="284"/>
        <w:jc w:val="both"/>
        <w:rPr>
          <w:rFonts w:ascii="Calibri" w:hAnsi="Calibri" w:cs="Calibri"/>
          <w:lang w:val="cs-CZ"/>
        </w:rPr>
      </w:pPr>
      <w:r w:rsidRPr="00042D3F">
        <w:rPr>
          <w:rStyle w:val="Znakapoznpodarou"/>
          <w:rFonts w:ascii="Calibri" w:hAnsi="Calibri" w:cs="Calibri"/>
        </w:rPr>
        <w:footnoteRef/>
      </w:r>
      <w:r w:rsidR="00611D66" w:rsidRPr="00042D3F">
        <w:rPr>
          <w:rFonts w:ascii="Calibri" w:hAnsi="Calibri" w:cs="Calibri"/>
          <w:lang w:val="cs-CZ"/>
        </w:rPr>
        <w:tab/>
      </w:r>
      <w:r w:rsidRPr="00042D3F">
        <w:rPr>
          <w:rFonts w:ascii="Calibri" w:hAnsi="Calibri" w:cs="Calibri"/>
          <w:lang w:val="cs-CZ"/>
        </w:rPr>
        <w:t>Kontrolní akce č. 12/27</w:t>
      </w:r>
      <w:r w:rsidR="00414BC3">
        <w:rPr>
          <w:rFonts w:ascii="Calibri" w:hAnsi="Calibri" w:cs="Calibri"/>
          <w:lang w:val="cs-CZ"/>
        </w:rPr>
        <w:t> –</w:t>
      </w:r>
      <w:r w:rsidRPr="00042D3F">
        <w:rPr>
          <w:rFonts w:ascii="Calibri" w:hAnsi="Calibri" w:cs="Calibri"/>
          <w:lang w:val="cs-CZ"/>
        </w:rPr>
        <w:t xml:space="preserve"> </w:t>
      </w:r>
      <w:r w:rsidRPr="00042D3F">
        <w:rPr>
          <w:rFonts w:ascii="Calibri" w:hAnsi="Calibri" w:cs="Calibri"/>
          <w:i/>
          <w:lang w:val="cs-CZ"/>
        </w:rPr>
        <w:t>Peněžní prostředky určené na programy prevence před povodněmi</w:t>
      </w:r>
      <w:r w:rsidR="00414BC3">
        <w:rPr>
          <w:rFonts w:ascii="Calibri" w:hAnsi="Calibri" w:cs="Calibri"/>
          <w:lang w:val="cs-CZ"/>
        </w:rPr>
        <w:t>;</w:t>
      </w:r>
      <w:r w:rsidRPr="00042D3F">
        <w:rPr>
          <w:rFonts w:ascii="Calibri" w:hAnsi="Calibri" w:cs="Calibri"/>
          <w:lang w:val="cs-CZ"/>
        </w:rPr>
        <w:t xml:space="preserve"> kontrolní závěr zveřejněn v částce 3/2013 </w:t>
      </w:r>
      <w:r w:rsidRPr="00042D3F">
        <w:rPr>
          <w:rFonts w:ascii="Calibri" w:hAnsi="Calibri" w:cs="Calibri"/>
          <w:i/>
          <w:lang w:val="cs-CZ"/>
        </w:rPr>
        <w:t>Věstníku NKÚ.</w:t>
      </w:r>
    </w:p>
  </w:footnote>
  <w:footnote w:id="24">
    <w:p w14:paraId="6583C84D" w14:textId="77777777" w:rsidR="00D64966" w:rsidRPr="00042D3F" w:rsidRDefault="00D64966" w:rsidP="00042D3F">
      <w:pPr>
        <w:pStyle w:val="Textpoznpodarou"/>
        <w:ind w:left="284" w:hanging="284"/>
        <w:jc w:val="both"/>
        <w:rPr>
          <w:rFonts w:ascii="Calibri" w:hAnsi="Calibri" w:cs="Calibri"/>
        </w:rPr>
      </w:pPr>
      <w:r w:rsidRPr="00042D3F">
        <w:rPr>
          <w:rStyle w:val="Znakapoznpodarou"/>
          <w:rFonts w:ascii="Calibri" w:hAnsi="Calibri" w:cs="Calibri"/>
        </w:rPr>
        <w:footnoteRef/>
      </w:r>
      <w:r w:rsidR="00611D66" w:rsidRPr="00042D3F">
        <w:rPr>
          <w:rFonts w:ascii="Calibri" w:hAnsi="Calibri" w:cs="Calibri"/>
        </w:rPr>
        <w:tab/>
      </w:r>
      <w:r w:rsidRPr="00042D3F">
        <w:rPr>
          <w:rFonts w:ascii="Calibri" w:hAnsi="Calibri" w:cs="Calibri"/>
          <w:lang w:val="cs-CZ"/>
        </w:rPr>
        <w:t>Výdaje vedené v informačním systému programového financování EDS/SMVS.</w:t>
      </w:r>
    </w:p>
  </w:footnote>
  <w:footnote w:id="25">
    <w:p w14:paraId="0BA81D33" w14:textId="77777777" w:rsidR="00D64966" w:rsidRPr="00042D3F" w:rsidRDefault="00D64966" w:rsidP="00042D3F">
      <w:pPr>
        <w:pStyle w:val="Textpoznpodarou"/>
        <w:ind w:left="284" w:hanging="284"/>
        <w:jc w:val="both"/>
        <w:rPr>
          <w:rFonts w:ascii="Calibri" w:hAnsi="Calibri" w:cs="Calibri"/>
        </w:rPr>
      </w:pPr>
      <w:r w:rsidRPr="00042D3F">
        <w:rPr>
          <w:rStyle w:val="Znakapoznpodarou"/>
          <w:rFonts w:ascii="Calibri" w:hAnsi="Calibri" w:cs="Calibri"/>
        </w:rPr>
        <w:footnoteRef/>
      </w:r>
      <w:r w:rsidR="00611D66" w:rsidRPr="00042D3F">
        <w:rPr>
          <w:rFonts w:ascii="Calibri" w:hAnsi="Calibri" w:cs="Calibri"/>
        </w:rPr>
        <w:tab/>
      </w:r>
      <w:r w:rsidRPr="00042D3F">
        <w:rPr>
          <w:rFonts w:ascii="Calibri" w:hAnsi="Calibri" w:cs="Calibri"/>
          <w:lang w:val="cs-CZ"/>
        </w:rPr>
        <w:t xml:space="preserve">Princip č. 8 </w:t>
      </w:r>
      <w:r w:rsidR="00414BC3">
        <w:rPr>
          <w:rFonts w:ascii="Calibri" w:hAnsi="Calibri" w:cs="Calibri"/>
          <w:lang w:val="cs-CZ"/>
        </w:rPr>
        <w:t>d</w:t>
      </w:r>
      <w:r w:rsidR="00414BC3" w:rsidRPr="00042D3F">
        <w:rPr>
          <w:rFonts w:ascii="Calibri" w:hAnsi="Calibri" w:cs="Calibri"/>
          <w:lang w:val="cs-CZ"/>
        </w:rPr>
        <w:t>oporučení Rady OECD pro rozpočtovou správu</w:t>
      </w:r>
      <w:r w:rsidR="00414BC3">
        <w:rPr>
          <w:rFonts w:ascii="Calibri" w:hAnsi="Calibri" w:cs="Calibri"/>
          <w:lang w:val="cs-CZ"/>
        </w:rPr>
        <w:t xml:space="preserve"> ze dne</w:t>
      </w:r>
      <w:r w:rsidR="00414BC3" w:rsidRPr="00042D3F">
        <w:rPr>
          <w:rFonts w:ascii="Calibri" w:hAnsi="Calibri" w:cs="Calibri"/>
          <w:lang w:val="cs-CZ"/>
        </w:rPr>
        <w:t xml:space="preserve"> 18. února 2015</w:t>
      </w:r>
      <w:r w:rsidR="00414BC3">
        <w:rPr>
          <w:rFonts w:ascii="Calibri" w:hAnsi="Calibri" w:cs="Calibri"/>
          <w:lang w:val="cs-CZ"/>
        </w:rPr>
        <w:t xml:space="preserve"> </w:t>
      </w:r>
      <w:r w:rsidRPr="00042D3F">
        <w:rPr>
          <w:rFonts w:ascii="Calibri" w:hAnsi="Calibri" w:cs="Calibri"/>
          <w:lang w:val="cs-CZ"/>
        </w:rPr>
        <w:t xml:space="preserve">mj. stanoví, aby ukazatele výkonnosti, jejich monitoring a vyhodnocování v rámci výdajových programů byly integrální součástí rozpočtového procesu; </w:t>
      </w:r>
      <w:r w:rsidR="00414BC3">
        <w:rPr>
          <w:rFonts w:ascii="Calibri" w:hAnsi="Calibri" w:cs="Calibri"/>
          <w:lang w:val="cs-CZ"/>
        </w:rPr>
        <w:t xml:space="preserve">viz </w:t>
      </w:r>
      <w:hyperlink r:id="rId3" w:history="1">
        <w:r w:rsidR="00414BC3" w:rsidRPr="0024267B">
          <w:rPr>
            <w:rStyle w:val="Hypertextovodkaz"/>
            <w:rFonts w:ascii="Calibri" w:hAnsi="Calibri" w:cs="Calibri"/>
            <w:lang w:val="cs-CZ"/>
          </w:rPr>
          <w:t>http://www.oecd.org/gov/budgeting/principles-budgetary-governance.htm</w:t>
        </w:r>
      </w:hyperlink>
      <w:r w:rsidRPr="00042D3F">
        <w:rPr>
          <w:rFonts w:ascii="Calibri" w:hAnsi="Calibri" w:cs="Calibri"/>
          <w:lang w:val="cs-CZ"/>
        </w:rPr>
        <w:t>.</w:t>
      </w:r>
    </w:p>
  </w:footnote>
  <w:footnote w:id="26">
    <w:p w14:paraId="4B74DE3B" w14:textId="77777777" w:rsidR="00D64966" w:rsidRPr="00042D3F" w:rsidRDefault="00D64966" w:rsidP="00042D3F">
      <w:pPr>
        <w:pStyle w:val="Textpoznpodarou"/>
        <w:ind w:left="284" w:hanging="284"/>
        <w:jc w:val="both"/>
        <w:rPr>
          <w:rFonts w:ascii="Calibri" w:hAnsi="Calibri" w:cs="Calibri"/>
        </w:rPr>
      </w:pPr>
      <w:r w:rsidRPr="00042D3F">
        <w:rPr>
          <w:rStyle w:val="Znakapoznpodarou"/>
          <w:rFonts w:ascii="Calibri" w:hAnsi="Calibri" w:cs="Calibri"/>
          <w:lang w:val="cs-CZ"/>
        </w:rPr>
        <w:footnoteRef/>
      </w:r>
      <w:r w:rsidR="00611D66" w:rsidRPr="00042D3F">
        <w:rPr>
          <w:rFonts w:ascii="Calibri" w:hAnsi="Calibri" w:cs="Calibri"/>
          <w:lang w:val="cs-CZ"/>
        </w:rPr>
        <w:tab/>
      </w:r>
      <w:r w:rsidRPr="00042D3F">
        <w:rPr>
          <w:rFonts w:ascii="Calibri" w:hAnsi="Calibri" w:cs="Calibri"/>
          <w:lang w:val="cs-CZ"/>
        </w:rPr>
        <w:t>Mezinárodní hodnocení prováděné od roku 2006 nevládní organizací Mezinárodní rozpočtové partnerství (IBP)</w:t>
      </w:r>
      <w:r w:rsidR="007D6A89">
        <w:rPr>
          <w:rFonts w:ascii="Calibri" w:hAnsi="Calibri" w:cs="Calibri"/>
          <w:lang w:val="cs-CZ"/>
        </w:rPr>
        <w:t>;</w:t>
      </w:r>
      <w:r w:rsidRPr="00042D3F">
        <w:rPr>
          <w:rFonts w:ascii="Calibri" w:hAnsi="Calibri" w:cs="Calibri"/>
          <w:lang w:val="cs-CZ"/>
        </w:rPr>
        <w:t xml:space="preserve"> </w:t>
      </w:r>
      <w:r w:rsidR="00414BC3">
        <w:rPr>
          <w:rFonts w:ascii="Calibri" w:hAnsi="Calibri" w:cs="Calibri"/>
          <w:lang w:val="cs-CZ"/>
        </w:rPr>
        <w:t>v</w:t>
      </w:r>
      <w:r w:rsidRPr="00042D3F">
        <w:rPr>
          <w:rFonts w:ascii="Calibri" w:hAnsi="Calibri" w:cs="Calibri"/>
          <w:lang w:val="cs-CZ"/>
        </w:rPr>
        <w:t xml:space="preserve">ýsledky související s výdajovými programy a hodnocením výstupových a výsledkových ukazatelů jsou například za rok 2015 spojeny s otázkami č. 49 až 52; </w:t>
      </w:r>
      <w:r w:rsidR="007D6A89">
        <w:rPr>
          <w:rFonts w:ascii="Calibri" w:hAnsi="Calibri" w:cs="Calibri"/>
          <w:lang w:val="cs-CZ"/>
        </w:rPr>
        <w:t xml:space="preserve">viz </w:t>
      </w:r>
      <w:hyperlink r:id="rId4" w:anchor="rankings" w:history="1">
        <w:r w:rsidR="007D6A89" w:rsidRPr="0024267B">
          <w:rPr>
            <w:rStyle w:val="Hypertextovodkaz"/>
            <w:rFonts w:ascii="Calibri" w:hAnsi="Calibri" w:cs="Calibri"/>
            <w:lang w:val="cs-CZ"/>
          </w:rPr>
          <w:t>http://survey.internationalbudget.org/#rankings</w:t>
        </w:r>
      </w:hyperlink>
      <w:r w:rsidRPr="00042D3F">
        <w:rPr>
          <w:rFonts w:ascii="Calibri" w:hAnsi="Calibri" w:cs="Calibri"/>
          <w:lang w:val="cs-CZ"/>
        </w:rPr>
        <w:t>.</w:t>
      </w:r>
    </w:p>
  </w:footnote>
  <w:footnote w:id="27">
    <w:p w14:paraId="5D7E59D2" w14:textId="77777777" w:rsidR="00291769" w:rsidRPr="00042D3F" w:rsidRDefault="00291769" w:rsidP="00042D3F">
      <w:pPr>
        <w:pStyle w:val="Textpoznpodarou"/>
        <w:ind w:left="284" w:hanging="284"/>
        <w:jc w:val="both"/>
        <w:rPr>
          <w:rFonts w:ascii="Calibri" w:hAnsi="Calibri" w:cs="Calibri"/>
          <w:lang w:val="cs-CZ"/>
        </w:rPr>
      </w:pPr>
      <w:r w:rsidRPr="00042D3F">
        <w:rPr>
          <w:rStyle w:val="Znakapoznpodarou"/>
          <w:rFonts w:ascii="Calibri" w:hAnsi="Calibri" w:cs="Calibri"/>
        </w:rPr>
        <w:footnoteRef/>
      </w:r>
      <w:r w:rsidR="00611D66" w:rsidRPr="00042D3F">
        <w:rPr>
          <w:rFonts w:ascii="Calibri" w:hAnsi="Calibri" w:cs="Calibri"/>
        </w:rPr>
        <w:tab/>
      </w:r>
      <w:r w:rsidR="00147199" w:rsidRPr="00042D3F">
        <w:rPr>
          <w:rFonts w:ascii="Calibri" w:hAnsi="Calibri" w:cs="Calibri"/>
          <w:lang w:val="cs-CZ"/>
        </w:rPr>
        <w:t xml:space="preserve">Zákon č. 365/2000 Sb., </w:t>
      </w:r>
      <w:r w:rsidR="00147199" w:rsidRPr="00042D3F">
        <w:rPr>
          <w:rFonts w:ascii="Calibri" w:hAnsi="Calibri" w:cs="Calibri"/>
          <w:bCs/>
          <w:iCs/>
          <w:color w:val="000000" w:themeColor="text1"/>
          <w:lang w:val="cs-CZ"/>
        </w:rPr>
        <w:t>o informačních systémech veřejné správy a o změn</w:t>
      </w:r>
      <w:r w:rsidR="004D68E1" w:rsidRPr="00042D3F">
        <w:rPr>
          <w:rFonts w:ascii="Calibri" w:hAnsi="Calibri" w:cs="Calibri"/>
          <w:bCs/>
          <w:iCs/>
          <w:color w:val="000000" w:themeColor="text1"/>
          <w:lang w:val="cs-CZ"/>
        </w:rPr>
        <w:t>ě</w:t>
      </w:r>
      <w:r w:rsidR="00147199" w:rsidRPr="00042D3F">
        <w:rPr>
          <w:rFonts w:ascii="Calibri" w:hAnsi="Calibri" w:cs="Calibri"/>
          <w:bCs/>
          <w:iCs/>
          <w:color w:val="000000" w:themeColor="text1"/>
          <w:lang w:val="cs-CZ"/>
        </w:rPr>
        <w:t xml:space="preserve"> některých dalších zákonů.</w:t>
      </w:r>
      <w:r w:rsidR="00344C2F" w:rsidRPr="00042D3F">
        <w:rPr>
          <w:rFonts w:ascii="Calibri" w:hAnsi="Calibri" w:cs="Calibri"/>
          <w:bCs/>
          <w:iCs/>
          <w:color w:val="000000" w:themeColor="text1"/>
          <w:lang w:val="cs-CZ"/>
        </w:rPr>
        <w:t xml:space="preserve"> Podle § </w:t>
      </w:r>
      <w:r w:rsidR="007A4E4E" w:rsidRPr="00042D3F">
        <w:rPr>
          <w:rFonts w:ascii="Calibri" w:hAnsi="Calibri" w:cs="Calibri"/>
          <w:bCs/>
          <w:iCs/>
          <w:color w:val="000000" w:themeColor="text1"/>
          <w:lang w:val="cs-CZ"/>
        </w:rPr>
        <w:t>5a odst. 1 tohoto zákona orgány veřejné správy v informační koncepci stanoví své dlouhodobé cíle v oblasti řízení kvality a bezpečnosti spravovaných informačních systémů veřejné správy a vymezí obecné principy pořizování, vytváření a provozování informačních systémů veřejné správy.</w:t>
      </w:r>
    </w:p>
  </w:footnote>
  <w:footnote w:id="28">
    <w:p w14:paraId="5348A5B4" w14:textId="77777777" w:rsidR="00147199" w:rsidRPr="00042D3F" w:rsidRDefault="00147199" w:rsidP="00042D3F">
      <w:pPr>
        <w:pStyle w:val="Textpoznpodarou"/>
        <w:ind w:left="284" w:hanging="284"/>
        <w:jc w:val="both"/>
        <w:rPr>
          <w:rFonts w:ascii="Calibri" w:hAnsi="Calibri" w:cs="Calibri"/>
          <w:lang w:val="cs-CZ"/>
        </w:rPr>
      </w:pPr>
      <w:r w:rsidRPr="00042D3F">
        <w:rPr>
          <w:rStyle w:val="Znakapoznpodarou"/>
          <w:rFonts w:ascii="Calibri" w:hAnsi="Calibri" w:cs="Calibri"/>
        </w:rPr>
        <w:footnoteRef/>
      </w:r>
      <w:r w:rsidR="00611D66" w:rsidRPr="00042D3F">
        <w:rPr>
          <w:rFonts w:ascii="Calibri" w:hAnsi="Calibri" w:cs="Calibri"/>
        </w:rPr>
        <w:tab/>
      </w:r>
      <w:r w:rsidR="00460510" w:rsidRPr="00042D3F">
        <w:rPr>
          <w:rFonts w:ascii="Calibri" w:hAnsi="Calibri" w:cs="Calibri"/>
          <w:lang w:val="cs-CZ"/>
        </w:rPr>
        <w:t>Ustanovení § 7 odst. 1 v</w:t>
      </w:r>
      <w:r w:rsidRPr="00042D3F">
        <w:rPr>
          <w:rFonts w:ascii="Calibri" w:hAnsi="Calibri" w:cs="Calibri"/>
          <w:lang w:val="cs-CZ"/>
        </w:rPr>
        <w:t>yhlášk</w:t>
      </w:r>
      <w:r w:rsidR="00460510" w:rsidRPr="00042D3F">
        <w:rPr>
          <w:rFonts w:ascii="Calibri" w:hAnsi="Calibri" w:cs="Calibri"/>
          <w:lang w:val="cs-CZ"/>
        </w:rPr>
        <w:t>y</w:t>
      </w:r>
      <w:r w:rsidRPr="00042D3F">
        <w:rPr>
          <w:rFonts w:ascii="Calibri" w:hAnsi="Calibri" w:cs="Calibri"/>
          <w:lang w:val="cs-CZ"/>
        </w:rPr>
        <w:t xml:space="preserve"> č. 529/2006 Sb., o požadavcích na strukturu a obsah informační ko</w:t>
      </w:r>
      <w:r w:rsidR="007D4EAA" w:rsidRPr="00042D3F">
        <w:rPr>
          <w:rFonts w:ascii="Calibri" w:hAnsi="Calibri" w:cs="Calibri"/>
          <w:lang w:val="cs-CZ"/>
        </w:rPr>
        <w:t>ncepce a</w:t>
      </w:r>
      <w:r w:rsidR="00460510" w:rsidRPr="00042D3F">
        <w:rPr>
          <w:rFonts w:ascii="Calibri" w:hAnsi="Calibri" w:cs="Calibri"/>
          <w:lang w:val="cs-CZ"/>
        </w:rPr>
        <w:t> </w:t>
      </w:r>
      <w:r w:rsidR="007D4EAA" w:rsidRPr="00042D3F">
        <w:rPr>
          <w:rFonts w:ascii="Calibri" w:hAnsi="Calibri" w:cs="Calibri"/>
          <w:lang w:val="cs-CZ"/>
        </w:rPr>
        <w:t>provozní dokumentace a </w:t>
      </w:r>
      <w:r w:rsidRPr="00042D3F">
        <w:rPr>
          <w:rFonts w:ascii="Calibri" w:hAnsi="Calibri" w:cs="Calibri"/>
          <w:lang w:val="cs-CZ"/>
        </w:rPr>
        <w:t>o požadavcích na řízení bezpečnosti a kvality informačních sys</w:t>
      </w:r>
      <w:r w:rsidR="00611D66" w:rsidRPr="00042D3F">
        <w:rPr>
          <w:rFonts w:ascii="Calibri" w:hAnsi="Calibri" w:cs="Calibri"/>
          <w:lang w:val="cs-CZ"/>
        </w:rPr>
        <w:t>témů veřejné správy (vyhláška o </w:t>
      </w:r>
      <w:r w:rsidRPr="00042D3F">
        <w:rPr>
          <w:rFonts w:ascii="Calibri" w:hAnsi="Calibri" w:cs="Calibri"/>
          <w:lang w:val="cs-CZ"/>
        </w:rPr>
        <w:t>dlouhodobém řízení informačních systémů veřejné správy).</w:t>
      </w:r>
    </w:p>
  </w:footnote>
  <w:footnote w:id="29">
    <w:p w14:paraId="2509D11F" w14:textId="77777777" w:rsidR="00B56137" w:rsidRPr="00042D3F" w:rsidRDefault="00B56137" w:rsidP="00042D3F">
      <w:pPr>
        <w:pStyle w:val="Textpoznpodarou"/>
        <w:ind w:left="284" w:hanging="284"/>
        <w:jc w:val="both"/>
        <w:rPr>
          <w:rFonts w:ascii="Calibri" w:hAnsi="Calibri" w:cs="Calibri"/>
          <w:lang w:val="cs-CZ"/>
        </w:rPr>
      </w:pPr>
      <w:r w:rsidRPr="00042D3F">
        <w:rPr>
          <w:rStyle w:val="Znakapoznpodarou"/>
          <w:rFonts w:ascii="Calibri" w:hAnsi="Calibri" w:cs="Calibri"/>
        </w:rPr>
        <w:footnoteRef/>
      </w:r>
      <w:r w:rsidR="00611D66" w:rsidRPr="00042D3F">
        <w:rPr>
          <w:rFonts w:ascii="Calibri" w:hAnsi="Calibri" w:cs="Calibri"/>
        </w:rPr>
        <w:tab/>
      </w:r>
      <w:r w:rsidR="006B5C6C" w:rsidRPr="00042D3F">
        <w:rPr>
          <w:rFonts w:ascii="Calibri" w:hAnsi="Calibri" w:cs="Calibri"/>
          <w:lang w:val="cs-CZ"/>
        </w:rPr>
        <w:t xml:space="preserve">Ustanovení </w:t>
      </w:r>
      <w:r w:rsidRPr="00042D3F">
        <w:rPr>
          <w:rFonts w:ascii="Calibri" w:hAnsi="Calibri" w:cs="Calibri"/>
          <w:lang w:val="cs-CZ"/>
        </w:rPr>
        <w:t>§ 12 odst. 6 zákona č. 218/2000 Sb., o rozpočtových pravidlech a o změně některých souvisejících zákonů (rozpočtová pravidla)</w:t>
      </w:r>
      <w:r w:rsidR="00A922EB" w:rsidRPr="00042D3F">
        <w:rPr>
          <w:rFonts w:ascii="Calibri" w:hAnsi="Calibri" w:cs="Calibri"/>
          <w:lang w:val="cs-CZ"/>
        </w:rPr>
        <w:t>.</w:t>
      </w:r>
    </w:p>
  </w:footnote>
  <w:footnote w:id="30">
    <w:p w14:paraId="04A846DE" w14:textId="77777777" w:rsidR="00457025" w:rsidRPr="00042D3F" w:rsidRDefault="00457025" w:rsidP="00042D3F">
      <w:pPr>
        <w:pStyle w:val="Textpoznpodarou"/>
        <w:ind w:left="284" w:hanging="284"/>
        <w:jc w:val="both"/>
        <w:rPr>
          <w:rFonts w:ascii="Calibri" w:hAnsi="Calibri" w:cs="Calibri"/>
          <w:lang w:val="cs-CZ"/>
        </w:rPr>
      </w:pPr>
      <w:r w:rsidRPr="00042D3F">
        <w:rPr>
          <w:rStyle w:val="Znakapoznpodarou"/>
          <w:rFonts w:ascii="Calibri" w:hAnsi="Calibri" w:cs="Calibri"/>
        </w:rPr>
        <w:footnoteRef/>
      </w:r>
      <w:r w:rsidR="00611D66" w:rsidRPr="00042D3F">
        <w:rPr>
          <w:rFonts w:ascii="Calibri" w:hAnsi="Calibri" w:cs="Calibri"/>
        </w:rPr>
        <w:tab/>
      </w:r>
      <w:r w:rsidRPr="00042D3F">
        <w:rPr>
          <w:rFonts w:ascii="Calibri" w:hAnsi="Calibri" w:cs="Calibri"/>
          <w:lang w:val="cs-CZ"/>
        </w:rPr>
        <w:t>Kontrolní akce č. 03/05</w:t>
      </w:r>
      <w:r w:rsidR="007D6A89">
        <w:rPr>
          <w:rFonts w:ascii="Calibri" w:hAnsi="Calibri" w:cs="Calibri"/>
          <w:lang w:val="cs-CZ"/>
        </w:rPr>
        <w:t> –</w:t>
      </w:r>
      <w:r w:rsidRPr="00042D3F">
        <w:rPr>
          <w:rFonts w:ascii="Calibri" w:hAnsi="Calibri" w:cs="Calibri"/>
          <w:lang w:val="cs-CZ"/>
        </w:rPr>
        <w:t xml:space="preserve"> </w:t>
      </w:r>
      <w:r w:rsidRPr="00042D3F">
        <w:rPr>
          <w:rFonts w:ascii="Calibri" w:hAnsi="Calibri" w:cs="Calibri"/>
          <w:i/>
          <w:lang w:val="cs-CZ"/>
        </w:rPr>
        <w:t>Správa dotací poskytovaných ze státního rozpočtu vykonávaná územními finančními orgány</w:t>
      </w:r>
      <w:r w:rsidR="007D6A89">
        <w:rPr>
          <w:rFonts w:ascii="Calibri" w:hAnsi="Calibri" w:cs="Calibri"/>
          <w:lang w:val="cs-CZ"/>
        </w:rPr>
        <w:t>;</w:t>
      </w:r>
      <w:r w:rsidRPr="00042D3F">
        <w:rPr>
          <w:rFonts w:ascii="Calibri" w:hAnsi="Calibri" w:cs="Calibri"/>
          <w:lang w:val="cs-CZ"/>
        </w:rPr>
        <w:t xml:space="preserve"> kontrolní závěr zveřejněn v částce 4/2003 </w:t>
      </w:r>
      <w:r w:rsidRPr="00042D3F">
        <w:rPr>
          <w:rFonts w:ascii="Calibri" w:hAnsi="Calibri" w:cs="Calibri"/>
          <w:i/>
          <w:lang w:val="cs-CZ"/>
        </w:rPr>
        <w:t>Věstníku NKÚ.</w:t>
      </w:r>
    </w:p>
  </w:footnote>
  <w:footnote w:id="31">
    <w:p w14:paraId="46B35364" w14:textId="77777777" w:rsidR="003C39DA" w:rsidRPr="00042D3F" w:rsidRDefault="003C39DA" w:rsidP="00042D3F">
      <w:pPr>
        <w:pStyle w:val="Textpoznpodarou"/>
        <w:ind w:left="284" w:hanging="284"/>
        <w:jc w:val="both"/>
        <w:rPr>
          <w:rFonts w:ascii="Calibri" w:hAnsi="Calibri" w:cs="Calibri"/>
          <w:lang w:val="cs-CZ"/>
        </w:rPr>
      </w:pPr>
      <w:r w:rsidRPr="00042D3F">
        <w:rPr>
          <w:rStyle w:val="Znakapoznpodarou"/>
          <w:rFonts w:ascii="Calibri" w:hAnsi="Calibri" w:cs="Calibri"/>
          <w:lang w:val="cs-CZ"/>
        </w:rPr>
        <w:footnoteRef/>
      </w:r>
      <w:r w:rsidR="00611D66" w:rsidRPr="00042D3F">
        <w:rPr>
          <w:rFonts w:ascii="Calibri" w:hAnsi="Calibri" w:cs="Calibri"/>
          <w:lang w:val="cs-CZ"/>
        </w:rPr>
        <w:tab/>
      </w:r>
      <w:r w:rsidR="001B06B8" w:rsidRPr="00042D3F">
        <w:rPr>
          <w:rFonts w:ascii="Calibri" w:hAnsi="Calibri" w:cs="Calibri"/>
          <w:lang w:val="cs-CZ"/>
        </w:rPr>
        <w:t xml:space="preserve">Ustanovení </w:t>
      </w:r>
      <w:r w:rsidRPr="00042D3F">
        <w:rPr>
          <w:rFonts w:ascii="Calibri" w:hAnsi="Calibri" w:cs="Calibri"/>
          <w:lang w:val="cs-CZ"/>
        </w:rPr>
        <w:t>§ 75b zákona č. 218/2000 Sb., o rozpočtových pravidlech a o změně</w:t>
      </w:r>
      <w:r w:rsidR="007E078F" w:rsidRPr="00042D3F">
        <w:rPr>
          <w:rFonts w:ascii="Calibri" w:hAnsi="Calibri" w:cs="Calibri"/>
          <w:lang w:val="cs-CZ"/>
        </w:rPr>
        <w:t xml:space="preserve"> některých souvisejících zákonů </w:t>
      </w:r>
      <w:r w:rsidRPr="00042D3F">
        <w:rPr>
          <w:rFonts w:ascii="Calibri" w:hAnsi="Calibri" w:cs="Calibri"/>
          <w:lang w:val="cs-CZ"/>
        </w:rPr>
        <w:t>(rozpočtová pravidla)</w:t>
      </w:r>
      <w:r w:rsidR="007E078F" w:rsidRPr="00042D3F">
        <w:rPr>
          <w:rFonts w:ascii="Calibri" w:hAnsi="Calibri" w:cs="Calibri"/>
          <w:lang w:val="cs-CZ"/>
        </w:rPr>
        <w:t>.</w:t>
      </w:r>
    </w:p>
  </w:footnote>
  <w:footnote w:id="32">
    <w:p w14:paraId="68930BA0" w14:textId="77777777" w:rsidR="00691A96" w:rsidRPr="00042D3F" w:rsidRDefault="00691A96" w:rsidP="00042D3F">
      <w:pPr>
        <w:pStyle w:val="Textpoznpodarou"/>
        <w:ind w:left="284" w:hanging="284"/>
        <w:jc w:val="both"/>
        <w:rPr>
          <w:rFonts w:ascii="Calibri" w:hAnsi="Calibri" w:cs="Calibri"/>
          <w:lang w:val="cs-CZ"/>
        </w:rPr>
      </w:pPr>
      <w:r w:rsidRPr="00042D3F">
        <w:rPr>
          <w:rStyle w:val="Znakapoznpodarou"/>
          <w:rFonts w:ascii="Calibri" w:hAnsi="Calibri" w:cs="Calibri"/>
        </w:rPr>
        <w:footnoteRef/>
      </w:r>
      <w:r w:rsidR="00611D66" w:rsidRPr="00042D3F">
        <w:rPr>
          <w:rFonts w:ascii="Calibri" w:hAnsi="Calibri" w:cs="Calibri"/>
        </w:rPr>
        <w:tab/>
      </w:r>
      <w:r w:rsidRPr="00042D3F">
        <w:rPr>
          <w:rFonts w:ascii="Calibri" w:hAnsi="Calibri" w:cs="Calibri"/>
          <w:lang w:val="cs-CZ"/>
        </w:rPr>
        <w:t>Období 2011</w:t>
      </w:r>
      <w:r w:rsidR="00CD5B36">
        <w:rPr>
          <w:rFonts w:ascii="Calibri" w:hAnsi="Calibri" w:cs="Calibri"/>
          <w:lang w:val="cs-CZ"/>
        </w:rPr>
        <w:t>–</w:t>
      </w:r>
      <w:r w:rsidRPr="00042D3F">
        <w:rPr>
          <w:rFonts w:ascii="Calibri" w:hAnsi="Calibri" w:cs="Calibri"/>
          <w:lang w:val="cs-CZ"/>
        </w:rPr>
        <w:t>2014 bylo stanoveno z důvodu vzniku GFŘ v roce 2011 a převod dat za rok 2015 nebyl v době kontroly ukončen.</w:t>
      </w:r>
    </w:p>
  </w:footnote>
  <w:footnote w:id="33">
    <w:p w14:paraId="6C31F355" w14:textId="77777777" w:rsidR="00BF6570" w:rsidRPr="00042D3F" w:rsidRDefault="00BF6570" w:rsidP="00042D3F">
      <w:pPr>
        <w:pStyle w:val="Textpoznpodarou"/>
        <w:ind w:left="284" w:hanging="284"/>
        <w:jc w:val="both"/>
        <w:rPr>
          <w:rFonts w:ascii="Calibri" w:hAnsi="Calibri" w:cs="Calibri"/>
          <w:lang w:val="cs-CZ"/>
        </w:rPr>
      </w:pPr>
      <w:r w:rsidRPr="00042D3F">
        <w:rPr>
          <w:rStyle w:val="Znakapoznpodarou"/>
          <w:rFonts w:ascii="Calibri" w:hAnsi="Calibri" w:cs="Calibri"/>
          <w:lang w:val="cs-CZ"/>
        </w:rPr>
        <w:footnoteRef/>
      </w:r>
      <w:r w:rsidR="00CE288C" w:rsidRPr="00042D3F">
        <w:rPr>
          <w:rFonts w:ascii="Calibri" w:hAnsi="Calibri" w:cs="Calibri"/>
          <w:lang w:val="cs-CZ"/>
        </w:rPr>
        <w:tab/>
      </w:r>
      <w:r w:rsidR="001B06B8" w:rsidRPr="00042D3F">
        <w:rPr>
          <w:rFonts w:ascii="Calibri" w:hAnsi="Calibri" w:cs="Calibri"/>
          <w:lang w:val="cs-CZ"/>
        </w:rPr>
        <w:t xml:space="preserve">Ustanovení </w:t>
      </w:r>
      <w:r w:rsidRPr="00042D3F">
        <w:rPr>
          <w:rFonts w:ascii="Calibri" w:hAnsi="Calibri" w:cs="Calibri"/>
          <w:lang w:val="cs-CZ"/>
        </w:rPr>
        <w:t>§ 4 vyhlášky č. 286/2007 Sb., o centrální evidenci dotací</w:t>
      </w:r>
      <w:r w:rsidR="00A922EB" w:rsidRPr="00042D3F">
        <w:rPr>
          <w:rFonts w:ascii="Calibri" w:hAnsi="Calibri" w:cs="Calibri"/>
          <w:lang w:val="cs-CZ"/>
        </w:rPr>
        <w:t>.</w:t>
      </w:r>
    </w:p>
  </w:footnote>
  <w:footnote w:id="34">
    <w:p w14:paraId="5350E788" w14:textId="77777777" w:rsidR="00633115" w:rsidRPr="00042D3F" w:rsidRDefault="00633115" w:rsidP="00042D3F">
      <w:pPr>
        <w:pStyle w:val="Textpoznpodarou"/>
        <w:ind w:left="284" w:hanging="284"/>
        <w:jc w:val="both"/>
        <w:rPr>
          <w:rFonts w:ascii="Calibri" w:hAnsi="Calibri" w:cs="Calibri"/>
          <w:lang w:val="cs-CZ"/>
        </w:rPr>
      </w:pPr>
      <w:r w:rsidRPr="00042D3F">
        <w:rPr>
          <w:rStyle w:val="Znakapoznpodarou"/>
          <w:rFonts w:ascii="Calibri" w:hAnsi="Calibri" w:cs="Calibri"/>
          <w:lang w:val="cs-CZ"/>
        </w:rPr>
        <w:footnoteRef/>
      </w:r>
      <w:r w:rsidR="00CE288C" w:rsidRPr="00042D3F">
        <w:rPr>
          <w:rFonts w:ascii="Calibri" w:hAnsi="Calibri" w:cs="Calibri"/>
          <w:lang w:val="cs-CZ"/>
        </w:rPr>
        <w:tab/>
      </w:r>
      <w:r w:rsidRPr="00042D3F">
        <w:rPr>
          <w:rFonts w:ascii="Calibri" w:hAnsi="Calibri" w:cs="Calibri"/>
          <w:lang w:val="cs-CZ"/>
        </w:rPr>
        <w:t xml:space="preserve">Správcem kapitoly 398 – </w:t>
      </w:r>
      <w:r w:rsidRPr="00042D3F">
        <w:rPr>
          <w:rFonts w:ascii="Calibri" w:hAnsi="Calibri" w:cs="Calibri"/>
          <w:i/>
          <w:lang w:val="cs-CZ"/>
        </w:rPr>
        <w:t>Všeobecná pokladní správa</w:t>
      </w:r>
      <w:r w:rsidRPr="00042D3F">
        <w:rPr>
          <w:rFonts w:ascii="Calibri" w:hAnsi="Calibri" w:cs="Calibri"/>
          <w:lang w:val="cs-CZ"/>
        </w:rPr>
        <w:t xml:space="preserve"> je MF.</w:t>
      </w:r>
    </w:p>
  </w:footnote>
  <w:footnote w:id="35">
    <w:p w14:paraId="61CF3CB9" w14:textId="77777777" w:rsidR="00DA1EA2" w:rsidRPr="00042D3F" w:rsidRDefault="00DA1EA2" w:rsidP="00042D3F">
      <w:pPr>
        <w:pStyle w:val="Textpoznpodarou"/>
        <w:ind w:left="284" w:hanging="284"/>
        <w:jc w:val="both"/>
        <w:rPr>
          <w:rFonts w:ascii="Calibri" w:hAnsi="Calibri" w:cs="Calibri"/>
          <w:lang w:val="cs-CZ"/>
        </w:rPr>
      </w:pPr>
      <w:r w:rsidRPr="00042D3F">
        <w:rPr>
          <w:rStyle w:val="Znakapoznpodarou"/>
          <w:rFonts w:ascii="Calibri" w:hAnsi="Calibri" w:cs="Calibri"/>
        </w:rPr>
        <w:footnoteRef/>
      </w:r>
      <w:r w:rsidR="00CE288C" w:rsidRPr="00042D3F">
        <w:rPr>
          <w:rFonts w:ascii="Calibri" w:hAnsi="Calibri" w:cs="Calibri"/>
        </w:rPr>
        <w:tab/>
      </w:r>
      <w:r w:rsidR="00E56448" w:rsidRPr="00042D3F">
        <w:rPr>
          <w:rFonts w:ascii="Calibri" w:hAnsi="Calibri" w:cs="Calibri"/>
          <w:lang w:val="cs-CZ"/>
        </w:rPr>
        <w:t xml:space="preserve">IS Troll sloužil pro zajištění informační podpory pro programy z </w:t>
      </w:r>
      <w:r w:rsidR="00E56448" w:rsidRPr="009C4A68">
        <w:rPr>
          <w:rFonts w:ascii="Calibri" w:hAnsi="Calibri" w:cs="Calibri"/>
          <w:i/>
          <w:lang w:val="cs-CZ"/>
        </w:rPr>
        <w:t>Finančních mechanismů Evropského hospodářského prostoru a Norsk</w:t>
      </w:r>
      <w:r w:rsidR="00C3760E" w:rsidRPr="009C4A68">
        <w:rPr>
          <w:rFonts w:ascii="Calibri" w:hAnsi="Calibri" w:cs="Calibri"/>
          <w:i/>
          <w:lang w:val="cs-CZ"/>
        </w:rPr>
        <w:t>a</w:t>
      </w:r>
      <w:r w:rsidR="00E56448" w:rsidRPr="009C4A68">
        <w:rPr>
          <w:rFonts w:ascii="Calibri" w:hAnsi="Calibri" w:cs="Calibri"/>
          <w:i/>
          <w:lang w:val="cs-CZ"/>
        </w:rPr>
        <w:t xml:space="preserve"> 2004</w:t>
      </w:r>
      <w:r w:rsidR="00861DBD" w:rsidRPr="009C4A68">
        <w:rPr>
          <w:rFonts w:ascii="Calibri" w:hAnsi="Calibri" w:cs="Calibri"/>
          <w:i/>
          <w:lang w:val="cs-CZ"/>
        </w:rPr>
        <w:t>–</w:t>
      </w:r>
      <w:r w:rsidR="00E56448" w:rsidRPr="009C4A68">
        <w:rPr>
          <w:rFonts w:ascii="Calibri" w:hAnsi="Calibri" w:cs="Calibri"/>
          <w:i/>
          <w:lang w:val="cs-CZ"/>
        </w:rPr>
        <w:t>2009</w:t>
      </w:r>
      <w:r w:rsidR="00E56448" w:rsidRPr="00042D3F">
        <w:rPr>
          <w:rFonts w:ascii="Calibri" w:hAnsi="Calibri" w:cs="Calibri"/>
          <w:lang w:val="cs-CZ"/>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21E4"/>
    <w:multiLevelType w:val="hybridMultilevel"/>
    <w:tmpl w:val="F5788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BD69CA"/>
    <w:multiLevelType w:val="hybridMultilevel"/>
    <w:tmpl w:val="1D940E2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nsid w:val="0C571E30"/>
    <w:multiLevelType w:val="hybridMultilevel"/>
    <w:tmpl w:val="91864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1218F4"/>
    <w:multiLevelType w:val="hybridMultilevel"/>
    <w:tmpl w:val="079C6BF6"/>
    <w:lvl w:ilvl="0" w:tplc="4884465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5F73EEE"/>
    <w:multiLevelType w:val="hybridMultilevel"/>
    <w:tmpl w:val="03DA397E"/>
    <w:lvl w:ilvl="0" w:tplc="6CA2EA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EDB55F2"/>
    <w:multiLevelType w:val="hybridMultilevel"/>
    <w:tmpl w:val="F61643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FD0055D"/>
    <w:multiLevelType w:val="hybridMultilevel"/>
    <w:tmpl w:val="DF346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5C6182D"/>
    <w:multiLevelType w:val="hybridMultilevel"/>
    <w:tmpl w:val="677456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5E37B23"/>
    <w:multiLevelType w:val="hybridMultilevel"/>
    <w:tmpl w:val="7236103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nsid w:val="39424783"/>
    <w:multiLevelType w:val="hybridMultilevel"/>
    <w:tmpl w:val="D91A3E8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39E00984"/>
    <w:multiLevelType w:val="multilevel"/>
    <w:tmpl w:val="7E9A664A"/>
    <w:lvl w:ilvl="0">
      <w:start w:val="1"/>
      <w:numFmt w:val="decimal"/>
      <w:pStyle w:val="Nadpis1x"/>
      <w:lvlText w:val="%1."/>
      <w:lvlJc w:val="left"/>
      <w:pPr>
        <w:ind w:left="360" w:hanging="360"/>
      </w:pPr>
      <w:rPr>
        <w:rFonts w:cs="Times New Roman"/>
      </w:rPr>
    </w:lvl>
    <w:lvl w:ilvl="1">
      <w:start w:val="1"/>
      <w:numFmt w:val="decimal"/>
      <w:pStyle w:val="Nadpis2x"/>
      <w:lvlText w:val="%1.%2."/>
      <w:lvlJc w:val="left"/>
      <w:pPr>
        <w:ind w:left="716" w:hanging="432"/>
      </w:pPr>
      <w:rPr>
        <w:rFonts w:cs="Times New Roman"/>
        <w:i w:val="0"/>
        <w:sz w:val="24"/>
        <w:szCs w:val="24"/>
      </w:rPr>
    </w:lvl>
    <w:lvl w:ilvl="2">
      <w:start w:val="1"/>
      <w:numFmt w:val="decimal"/>
      <w:pStyle w:val="Nadpis3x"/>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F170DB2"/>
    <w:multiLevelType w:val="hybridMultilevel"/>
    <w:tmpl w:val="35161C0E"/>
    <w:lvl w:ilvl="0" w:tplc="569E7D4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90E6FB0"/>
    <w:multiLevelType w:val="hybridMultilevel"/>
    <w:tmpl w:val="2934F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8E046B5"/>
    <w:multiLevelType w:val="hybridMultilevel"/>
    <w:tmpl w:val="B1105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44B3EEA"/>
    <w:multiLevelType w:val="hybridMultilevel"/>
    <w:tmpl w:val="7EF6104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1"/>
  </w:num>
  <w:num w:numId="2">
    <w:abstractNumId w:val="12"/>
  </w:num>
  <w:num w:numId="3">
    <w:abstractNumId w:val="10"/>
  </w:num>
  <w:num w:numId="4">
    <w:abstractNumId w:val="6"/>
  </w:num>
  <w:num w:numId="5">
    <w:abstractNumId w:val="5"/>
  </w:num>
  <w:num w:numId="6">
    <w:abstractNumId w:val="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9"/>
  </w:num>
  <w:num w:numId="11">
    <w:abstractNumId w:val="4"/>
  </w:num>
  <w:num w:numId="12">
    <w:abstractNumId w:val="8"/>
  </w:num>
  <w:num w:numId="13">
    <w:abstractNumId w:val="3"/>
  </w:num>
  <w:num w:numId="14">
    <w:abstractNumId w:val="2"/>
  </w:num>
  <w:num w:numId="15">
    <w:abstractNumId w:val="13"/>
  </w:num>
  <w:num w:numId="1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821"/>
    <w:rsid w:val="00000206"/>
    <w:rsid w:val="0000123B"/>
    <w:rsid w:val="000012A8"/>
    <w:rsid w:val="000015FA"/>
    <w:rsid w:val="00001ED3"/>
    <w:rsid w:val="00004462"/>
    <w:rsid w:val="000046F4"/>
    <w:rsid w:val="0000646D"/>
    <w:rsid w:val="00007CD9"/>
    <w:rsid w:val="00011413"/>
    <w:rsid w:val="000116B5"/>
    <w:rsid w:val="00011FE7"/>
    <w:rsid w:val="000128CA"/>
    <w:rsid w:val="000144F6"/>
    <w:rsid w:val="00014B18"/>
    <w:rsid w:val="00017F47"/>
    <w:rsid w:val="00020046"/>
    <w:rsid w:val="00021FC7"/>
    <w:rsid w:val="0002729F"/>
    <w:rsid w:val="00031EB1"/>
    <w:rsid w:val="00031FAE"/>
    <w:rsid w:val="00032E50"/>
    <w:rsid w:val="000338D3"/>
    <w:rsid w:val="00034784"/>
    <w:rsid w:val="00035445"/>
    <w:rsid w:val="000369E2"/>
    <w:rsid w:val="00041067"/>
    <w:rsid w:val="000416B4"/>
    <w:rsid w:val="00041C33"/>
    <w:rsid w:val="00042078"/>
    <w:rsid w:val="0004247D"/>
    <w:rsid w:val="00042A05"/>
    <w:rsid w:val="00042D3F"/>
    <w:rsid w:val="00043719"/>
    <w:rsid w:val="00044413"/>
    <w:rsid w:val="00044BCA"/>
    <w:rsid w:val="000460AA"/>
    <w:rsid w:val="00047AA6"/>
    <w:rsid w:val="000508C0"/>
    <w:rsid w:val="00050D4C"/>
    <w:rsid w:val="0005343A"/>
    <w:rsid w:val="00053AF0"/>
    <w:rsid w:val="00053F97"/>
    <w:rsid w:val="00055909"/>
    <w:rsid w:val="00056DFB"/>
    <w:rsid w:val="000570FB"/>
    <w:rsid w:val="00063848"/>
    <w:rsid w:val="00063A97"/>
    <w:rsid w:val="00063EA0"/>
    <w:rsid w:val="00065816"/>
    <w:rsid w:val="00065A11"/>
    <w:rsid w:val="00070016"/>
    <w:rsid w:val="00070147"/>
    <w:rsid w:val="0007193C"/>
    <w:rsid w:val="00071FD1"/>
    <w:rsid w:val="00072F41"/>
    <w:rsid w:val="00073933"/>
    <w:rsid w:val="00073CB9"/>
    <w:rsid w:val="000764BF"/>
    <w:rsid w:val="00076F24"/>
    <w:rsid w:val="00076F80"/>
    <w:rsid w:val="00080120"/>
    <w:rsid w:val="00080830"/>
    <w:rsid w:val="00081350"/>
    <w:rsid w:val="000820A4"/>
    <w:rsid w:val="000842B8"/>
    <w:rsid w:val="000845D7"/>
    <w:rsid w:val="00086A09"/>
    <w:rsid w:val="0008744D"/>
    <w:rsid w:val="0008780A"/>
    <w:rsid w:val="00090A8E"/>
    <w:rsid w:val="00092D1F"/>
    <w:rsid w:val="00093B34"/>
    <w:rsid w:val="0009426F"/>
    <w:rsid w:val="000946BE"/>
    <w:rsid w:val="00094A0D"/>
    <w:rsid w:val="000957FC"/>
    <w:rsid w:val="0009754B"/>
    <w:rsid w:val="00097CB4"/>
    <w:rsid w:val="000A1189"/>
    <w:rsid w:val="000A25D1"/>
    <w:rsid w:val="000A2B71"/>
    <w:rsid w:val="000A302F"/>
    <w:rsid w:val="000A31FC"/>
    <w:rsid w:val="000A48AC"/>
    <w:rsid w:val="000A562C"/>
    <w:rsid w:val="000B08E8"/>
    <w:rsid w:val="000B0FB4"/>
    <w:rsid w:val="000B1660"/>
    <w:rsid w:val="000B38C0"/>
    <w:rsid w:val="000B39EB"/>
    <w:rsid w:val="000B402A"/>
    <w:rsid w:val="000B4904"/>
    <w:rsid w:val="000B5128"/>
    <w:rsid w:val="000B5F3C"/>
    <w:rsid w:val="000B6014"/>
    <w:rsid w:val="000B6B4E"/>
    <w:rsid w:val="000B78D8"/>
    <w:rsid w:val="000C08CB"/>
    <w:rsid w:val="000C4B6E"/>
    <w:rsid w:val="000C4D45"/>
    <w:rsid w:val="000C532A"/>
    <w:rsid w:val="000C669B"/>
    <w:rsid w:val="000D08BA"/>
    <w:rsid w:val="000D1A39"/>
    <w:rsid w:val="000D31FB"/>
    <w:rsid w:val="000D384E"/>
    <w:rsid w:val="000D3F41"/>
    <w:rsid w:val="000D5A9D"/>
    <w:rsid w:val="000D620F"/>
    <w:rsid w:val="000D63A6"/>
    <w:rsid w:val="000D6642"/>
    <w:rsid w:val="000E04CC"/>
    <w:rsid w:val="000E0C1A"/>
    <w:rsid w:val="000E107B"/>
    <w:rsid w:val="000E3341"/>
    <w:rsid w:val="000E3922"/>
    <w:rsid w:val="000E3CCC"/>
    <w:rsid w:val="000E5C5E"/>
    <w:rsid w:val="000E6034"/>
    <w:rsid w:val="000E620D"/>
    <w:rsid w:val="000E6A4E"/>
    <w:rsid w:val="000E7563"/>
    <w:rsid w:val="000F00E5"/>
    <w:rsid w:val="000F0251"/>
    <w:rsid w:val="000F277A"/>
    <w:rsid w:val="000F2E2E"/>
    <w:rsid w:val="000F3C89"/>
    <w:rsid w:val="000F5354"/>
    <w:rsid w:val="000F7451"/>
    <w:rsid w:val="00101164"/>
    <w:rsid w:val="00101EE7"/>
    <w:rsid w:val="00103413"/>
    <w:rsid w:val="001045A0"/>
    <w:rsid w:val="001045D5"/>
    <w:rsid w:val="00105F79"/>
    <w:rsid w:val="00107EA7"/>
    <w:rsid w:val="001105AB"/>
    <w:rsid w:val="00111AD1"/>
    <w:rsid w:val="0011785F"/>
    <w:rsid w:val="00121EBC"/>
    <w:rsid w:val="001220B3"/>
    <w:rsid w:val="00123BDC"/>
    <w:rsid w:val="00124C20"/>
    <w:rsid w:val="00126A29"/>
    <w:rsid w:val="001274D5"/>
    <w:rsid w:val="00127814"/>
    <w:rsid w:val="00130DF8"/>
    <w:rsid w:val="00130E1B"/>
    <w:rsid w:val="00133B8B"/>
    <w:rsid w:val="0013430B"/>
    <w:rsid w:val="001347F6"/>
    <w:rsid w:val="001348BE"/>
    <w:rsid w:val="00135203"/>
    <w:rsid w:val="0013523B"/>
    <w:rsid w:val="00140421"/>
    <w:rsid w:val="001431D8"/>
    <w:rsid w:val="0014384C"/>
    <w:rsid w:val="00143DD8"/>
    <w:rsid w:val="00145415"/>
    <w:rsid w:val="001463ED"/>
    <w:rsid w:val="00146528"/>
    <w:rsid w:val="00147047"/>
    <w:rsid w:val="00147199"/>
    <w:rsid w:val="00151200"/>
    <w:rsid w:val="001515F4"/>
    <w:rsid w:val="00152BFD"/>
    <w:rsid w:val="001548B2"/>
    <w:rsid w:val="00154982"/>
    <w:rsid w:val="00156361"/>
    <w:rsid w:val="00157C14"/>
    <w:rsid w:val="00161075"/>
    <w:rsid w:val="00161733"/>
    <w:rsid w:val="0016204B"/>
    <w:rsid w:val="001625F3"/>
    <w:rsid w:val="001626B9"/>
    <w:rsid w:val="0016351C"/>
    <w:rsid w:val="00165160"/>
    <w:rsid w:val="00165797"/>
    <w:rsid w:val="0016591F"/>
    <w:rsid w:val="00165D46"/>
    <w:rsid w:val="001660A3"/>
    <w:rsid w:val="00166BB6"/>
    <w:rsid w:val="00167ED1"/>
    <w:rsid w:val="00171F9B"/>
    <w:rsid w:val="0017243A"/>
    <w:rsid w:val="00173803"/>
    <w:rsid w:val="00173D53"/>
    <w:rsid w:val="001753B0"/>
    <w:rsid w:val="00175CBE"/>
    <w:rsid w:val="00177A28"/>
    <w:rsid w:val="00177BB3"/>
    <w:rsid w:val="0018218E"/>
    <w:rsid w:val="001846F8"/>
    <w:rsid w:val="00186820"/>
    <w:rsid w:val="00191129"/>
    <w:rsid w:val="00192C12"/>
    <w:rsid w:val="001945A6"/>
    <w:rsid w:val="001953C9"/>
    <w:rsid w:val="001955D8"/>
    <w:rsid w:val="001A09AF"/>
    <w:rsid w:val="001A1482"/>
    <w:rsid w:val="001A15DD"/>
    <w:rsid w:val="001A25EB"/>
    <w:rsid w:val="001A2AC6"/>
    <w:rsid w:val="001A3709"/>
    <w:rsid w:val="001A3BC7"/>
    <w:rsid w:val="001A5098"/>
    <w:rsid w:val="001A6016"/>
    <w:rsid w:val="001A61AB"/>
    <w:rsid w:val="001A649A"/>
    <w:rsid w:val="001B06B8"/>
    <w:rsid w:val="001B094E"/>
    <w:rsid w:val="001B0E77"/>
    <w:rsid w:val="001B1077"/>
    <w:rsid w:val="001B1720"/>
    <w:rsid w:val="001B1E80"/>
    <w:rsid w:val="001B5238"/>
    <w:rsid w:val="001B5BEA"/>
    <w:rsid w:val="001B6F99"/>
    <w:rsid w:val="001C2A49"/>
    <w:rsid w:val="001C405B"/>
    <w:rsid w:val="001C4CD7"/>
    <w:rsid w:val="001C6F5F"/>
    <w:rsid w:val="001C7137"/>
    <w:rsid w:val="001C76D5"/>
    <w:rsid w:val="001D19D5"/>
    <w:rsid w:val="001D1C32"/>
    <w:rsid w:val="001D1F39"/>
    <w:rsid w:val="001D2D14"/>
    <w:rsid w:val="001D3107"/>
    <w:rsid w:val="001D3237"/>
    <w:rsid w:val="001D501E"/>
    <w:rsid w:val="001D50EB"/>
    <w:rsid w:val="001D5BE6"/>
    <w:rsid w:val="001D6B2C"/>
    <w:rsid w:val="001D71E4"/>
    <w:rsid w:val="001E0066"/>
    <w:rsid w:val="001E0224"/>
    <w:rsid w:val="001E0CA5"/>
    <w:rsid w:val="001E1D07"/>
    <w:rsid w:val="001E68EB"/>
    <w:rsid w:val="001F1FEC"/>
    <w:rsid w:val="001F2178"/>
    <w:rsid w:val="001F241D"/>
    <w:rsid w:val="001F246F"/>
    <w:rsid w:val="001F3E03"/>
    <w:rsid w:val="001F692B"/>
    <w:rsid w:val="001F7C4B"/>
    <w:rsid w:val="0020389A"/>
    <w:rsid w:val="00203C17"/>
    <w:rsid w:val="00203F0B"/>
    <w:rsid w:val="00205C9E"/>
    <w:rsid w:val="00206AC8"/>
    <w:rsid w:val="002072EE"/>
    <w:rsid w:val="00207EB1"/>
    <w:rsid w:val="00212ED2"/>
    <w:rsid w:val="0021409A"/>
    <w:rsid w:val="00214229"/>
    <w:rsid w:val="002143E8"/>
    <w:rsid w:val="00216054"/>
    <w:rsid w:val="00216961"/>
    <w:rsid w:val="00221016"/>
    <w:rsid w:val="00221080"/>
    <w:rsid w:val="0022125B"/>
    <w:rsid w:val="0022195C"/>
    <w:rsid w:val="0022398F"/>
    <w:rsid w:val="00226857"/>
    <w:rsid w:val="002273E6"/>
    <w:rsid w:val="0023281B"/>
    <w:rsid w:val="0023369D"/>
    <w:rsid w:val="00234147"/>
    <w:rsid w:val="002349E3"/>
    <w:rsid w:val="00234E55"/>
    <w:rsid w:val="00235EC9"/>
    <w:rsid w:val="002404B3"/>
    <w:rsid w:val="00240AEE"/>
    <w:rsid w:val="00242BDA"/>
    <w:rsid w:val="002438B9"/>
    <w:rsid w:val="00244336"/>
    <w:rsid w:val="00251C8E"/>
    <w:rsid w:val="00251E1C"/>
    <w:rsid w:val="0025296C"/>
    <w:rsid w:val="00253CB0"/>
    <w:rsid w:val="00256776"/>
    <w:rsid w:val="0025737A"/>
    <w:rsid w:val="00261ABE"/>
    <w:rsid w:val="00262F10"/>
    <w:rsid w:val="002633AF"/>
    <w:rsid w:val="00263DC8"/>
    <w:rsid w:val="00264A15"/>
    <w:rsid w:val="00264CFD"/>
    <w:rsid w:val="002666D7"/>
    <w:rsid w:val="00266C9F"/>
    <w:rsid w:val="002702C6"/>
    <w:rsid w:val="00275F9B"/>
    <w:rsid w:val="00276AAB"/>
    <w:rsid w:val="00276B33"/>
    <w:rsid w:val="002772FE"/>
    <w:rsid w:val="00280819"/>
    <w:rsid w:val="00280D40"/>
    <w:rsid w:val="00281727"/>
    <w:rsid w:val="00281E1E"/>
    <w:rsid w:val="00281E97"/>
    <w:rsid w:val="002823B0"/>
    <w:rsid w:val="00284C3E"/>
    <w:rsid w:val="002858FD"/>
    <w:rsid w:val="00285DCC"/>
    <w:rsid w:val="002867E6"/>
    <w:rsid w:val="00291769"/>
    <w:rsid w:val="0029296D"/>
    <w:rsid w:val="002946D1"/>
    <w:rsid w:val="002965FC"/>
    <w:rsid w:val="002A0E34"/>
    <w:rsid w:val="002A218D"/>
    <w:rsid w:val="002A24A2"/>
    <w:rsid w:val="002A3147"/>
    <w:rsid w:val="002A6785"/>
    <w:rsid w:val="002A7178"/>
    <w:rsid w:val="002A78DC"/>
    <w:rsid w:val="002A7F81"/>
    <w:rsid w:val="002B181D"/>
    <w:rsid w:val="002B188C"/>
    <w:rsid w:val="002B2775"/>
    <w:rsid w:val="002B2AB5"/>
    <w:rsid w:val="002B3539"/>
    <w:rsid w:val="002B47DE"/>
    <w:rsid w:val="002B50ED"/>
    <w:rsid w:val="002B53D7"/>
    <w:rsid w:val="002B575A"/>
    <w:rsid w:val="002C0914"/>
    <w:rsid w:val="002C27C6"/>
    <w:rsid w:val="002C4E99"/>
    <w:rsid w:val="002C5580"/>
    <w:rsid w:val="002C5FCE"/>
    <w:rsid w:val="002C67C7"/>
    <w:rsid w:val="002D2EDB"/>
    <w:rsid w:val="002D32E8"/>
    <w:rsid w:val="002D3777"/>
    <w:rsid w:val="002D41A7"/>
    <w:rsid w:val="002D58A3"/>
    <w:rsid w:val="002D7CF6"/>
    <w:rsid w:val="002E022B"/>
    <w:rsid w:val="002E2A9A"/>
    <w:rsid w:val="002E2F0F"/>
    <w:rsid w:val="002E479A"/>
    <w:rsid w:val="002E5AAB"/>
    <w:rsid w:val="002E6626"/>
    <w:rsid w:val="002F234E"/>
    <w:rsid w:val="002F33C8"/>
    <w:rsid w:val="002F3FFB"/>
    <w:rsid w:val="002F4AEC"/>
    <w:rsid w:val="002F4FBF"/>
    <w:rsid w:val="003016CC"/>
    <w:rsid w:val="00302234"/>
    <w:rsid w:val="003041D9"/>
    <w:rsid w:val="00304218"/>
    <w:rsid w:val="00304B03"/>
    <w:rsid w:val="00306423"/>
    <w:rsid w:val="003067F4"/>
    <w:rsid w:val="00310D97"/>
    <w:rsid w:val="00310DFC"/>
    <w:rsid w:val="00312F75"/>
    <w:rsid w:val="0031534E"/>
    <w:rsid w:val="00317240"/>
    <w:rsid w:val="00317E9A"/>
    <w:rsid w:val="00320342"/>
    <w:rsid w:val="00320540"/>
    <w:rsid w:val="003229B0"/>
    <w:rsid w:val="00323DE7"/>
    <w:rsid w:val="00323F4D"/>
    <w:rsid w:val="003243F9"/>
    <w:rsid w:val="003252D8"/>
    <w:rsid w:val="00325732"/>
    <w:rsid w:val="003258C7"/>
    <w:rsid w:val="00326A44"/>
    <w:rsid w:val="003300EC"/>
    <w:rsid w:val="00331465"/>
    <w:rsid w:val="0033160A"/>
    <w:rsid w:val="003317E9"/>
    <w:rsid w:val="003337EC"/>
    <w:rsid w:val="003342F1"/>
    <w:rsid w:val="00334586"/>
    <w:rsid w:val="0033474C"/>
    <w:rsid w:val="00334994"/>
    <w:rsid w:val="00336332"/>
    <w:rsid w:val="00342427"/>
    <w:rsid w:val="00342FCA"/>
    <w:rsid w:val="003430B4"/>
    <w:rsid w:val="00343274"/>
    <w:rsid w:val="00344C2F"/>
    <w:rsid w:val="00345887"/>
    <w:rsid w:val="00345A83"/>
    <w:rsid w:val="00346934"/>
    <w:rsid w:val="00347152"/>
    <w:rsid w:val="00347DC1"/>
    <w:rsid w:val="003511FB"/>
    <w:rsid w:val="00351834"/>
    <w:rsid w:val="00352BE8"/>
    <w:rsid w:val="00352E1F"/>
    <w:rsid w:val="0035361A"/>
    <w:rsid w:val="003539E6"/>
    <w:rsid w:val="00354360"/>
    <w:rsid w:val="003564D7"/>
    <w:rsid w:val="00356D93"/>
    <w:rsid w:val="00356E06"/>
    <w:rsid w:val="00357CA0"/>
    <w:rsid w:val="00360ACC"/>
    <w:rsid w:val="00361840"/>
    <w:rsid w:val="00362BC6"/>
    <w:rsid w:val="00363269"/>
    <w:rsid w:val="00363727"/>
    <w:rsid w:val="00365EAB"/>
    <w:rsid w:val="003712C9"/>
    <w:rsid w:val="00371BD5"/>
    <w:rsid w:val="00371E5F"/>
    <w:rsid w:val="00373809"/>
    <w:rsid w:val="00380AFB"/>
    <w:rsid w:val="0038368E"/>
    <w:rsid w:val="00384412"/>
    <w:rsid w:val="0038789E"/>
    <w:rsid w:val="00391944"/>
    <w:rsid w:val="00393FE1"/>
    <w:rsid w:val="00394DD5"/>
    <w:rsid w:val="00395A0C"/>
    <w:rsid w:val="003968D3"/>
    <w:rsid w:val="003A471F"/>
    <w:rsid w:val="003A4E5C"/>
    <w:rsid w:val="003A620E"/>
    <w:rsid w:val="003A66B9"/>
    <w:rsid w:val="003A7DB3"/>
    <w:rsid w:val="003B0016"/>
    <w:rsid w:val="003B2A63"/>
    <w:rsid w:val="003B51B8"/>
    <w:rsid w:val="003B64C8"/>
    <w:rsid w:val="003B696D"/>
    <w:rsid w:val="003C17E7"/>
    <w:rsid w:val="003C2331"/>
    <w:rsid w:val="003C39DA"/>
    <w:rsid w:val="003C4A49"/>
    <w:rsid w:val="003C71C0"/>
    <w:rsid w:val="003C7410"/>
    <w:rsid w:val="003C7859"/>
    <w:rsid w:val="003D079D"/>
    <w:rsid w:val="003D25EB"/>
    <w:rsid w:val="003D27A6"/>
    <w:rsid w:val="003D429E"/>
    <w:rsid w:val="003D5860"/>
    <w:rsid w:val="003D6712"/>
    <w:rsid w:val="003D6E38"/>
    <w:rsid w:val="003D7914"/>
    <w:rsid w:val="003E2D0B"/>
    <w:rsid w:val="003E4E13"/>
    <w:rsid w:val="003E4E33"/>
    <w:rsid w:val="003E548C"/>
    <w:rsid w:val="003E6516"/>
    <w:rsid w:val="003E6A7C"/>
    <w:rsid w:val="003F090C"/>
    <w:rsid w:val="003F0CF4"/>
    <w:rsid w:val="003F1709"/>
    <w:rsid w:val="003F2972"/>
    <w:rsid w:val="003F3290"/>
    <w:rsid w:val="003F424D"/>
    <w:rsid w:val="003F4D98"/>
    <w:rsid w:val="003F522F"/>
    <w:rsid w:val="004009BC"/>
    <w:rsid w:val="00403D84"/>
    <w:rsid w:val="00403FF5"/>
    <w:rsid w:val="004045D0"/>
    <w:rsid w:val="0040571B"/>
    <w:rsid w:val="00405A46"/>
    <w:rsid w:val="00406B38"/>
    <w:rsid w:val="00406B55"/>
    <w:rsid w:val="00406B58"/>
    <w:rsid w:val="00407BC1"/>
    <w:rsid w:val="0041000E"/>
    <w:rsid w:val="00410363"/>
    <w:rsid w:val="00410512"/>
    <w:rsid w:val="0041148D"/>
    <w:rsid w:val="00411FB5"/>
    <w:rsid w:val="004128A4"/>
    <w:rsid w:val="00414BAC"/>
    <w:rsid w:val="00414BC3"/>
    <w:rsid w:val="00415D94"/>
    <w:rsid w:val="004171B1"/>
    <w:rsid w:val="004173D5"/>
    <w:rsid w:val="00421EE4"/>
    <w:rsid w:val="00422C68"/>
    <w:rsid w:val="00423C52"/>
    <w:rsid w:val="00423C61"/>
    <w:rsid w:val="00425ED8"/>
    <w:rsid w:val="00426A39"/>
    <w:rsid w:val="00426FC3"/>
    <w:rsid w:val="0042787F"/>
    <w:rsid w:val="004326E0"/>
    <w:rsid w:val="00432763"/>
    <w:rsid w:val="00433CBF"/>
    <w:rsid w:val="00433CF6"/>
    <w:rsid w:val="00434179"/>
    <w:rsid w:val="004342F4"/>
    <w:rsid w:val="0043450D"/>
    <w:rsid w:val="00437EFC"/>
    <w:rsid w:val="00437FAF"/>
    <w:rsid w:val="004401FF"/>
    <w:rsid w:val="00441AD4"/>
    <w:rsid w:val="004429AD"/>
    <w:rsid w:val="00443507"/>
    <w:rsid w:val="0044363B"/>
    <w:rsid w:val="00443D5E"/>
    <w:rsid w:val="004442C6"/>
    <w:rsid w:val="00444466"/>
    <w:rsid w:val="004445CA"/>
    <w:rsid w:val="00444679"/>
    <w:rsid w:val="004450B9"/>
    <w:rsid w:val="00445556"/>
    <w:rsid w:val="00447516"/>
    <w:rsid w:val="004476BC"/>
    <w:rsid w:val="00447A95"/>
    <w:rsid w:val="00447F77"/>
    <w:rsid w:val="004503CD"/>
    <w:rsid w:val="00451E1E"/>
    <w:rsid w:val="00454026"/>
    <w:rsid w:val="00455753"/>
    <w:rsid w:val="00456146"/>
    <w:rsid w:val="00457025"/>
    <w:rsid w:val="004577C0"/>
    <w:rsid w:val="004578DA"/>
    <w:rsid w:val="00457A33"/>
    <w:rsid w:val="00457C61"/>
    <w:rsid w:val="00460510"/>
    <w:rsid w:val="00461C9B"/>
    <w:rsid w:val="004637EB"/>
    <w:rsid w:val="00464180"/>
    <w:rsid w:val="00465F71"/>
    <w:rsid w:val="00467031"/>
    <w:rsid w:val="00467188"/>
    <w:rsid w:val="0046755F"/>
    <w:rsid w:val="00467866"/>
    <w:rsid w:val="004678A3"/>
    <w:rsid w:val="004706A3"/>
    <w:rsid w:val="00476EA5"/>
    <w:rsid w:val="004773BF"/>
    <w:rsid w:val="004807E5"/>
    <w:rsid w:val="004810BA"/>
    <w:rsid w:val="004814A4"/>
    <w:rsid w:val="00481BE2"/>
    <w:rsid w:val="00481E47"/>
    <w:rsid w:val="004821B8"/>
    <w:rsid w:val="00483552"/>
    <w:rsid w:val="00484733"/>
    <w:rsid w:val="00484F5F"/>
    <w:rsid w:val="0049116F"/>
    <w:rsid w:val="004912F0"/>
    <w:rsid w:val="004916F3"/>
    <w:rsid w:val="00494EFB"/>
    <w:rsid w:val="00495102"/>
    <w:rsid w:val="00496E33"/>
    <w:rsid w:val="00496EB4"/>
    <w:rsid w:val="004A11D8"/>
    <w:rsid w:val="004A2AA9"/>
    <w:rsid w:val="004A359A"/>
    <w:rsid w:val="004A5FC6"/>
    <w:rsid w:val="004B0045"/>
    <w:rsid w:val="004B0D47"/>
    <w:rsid w:val="004B0D55"/>
    <w:rsid w:val="004B33DA"/>
    <w:rsid w:val="004B4496"/>
    <w:rsid w:val="004B5540"/>
    <w:rsid w:val="004B60E4"/>
    <w:rsid w:val="004B6368"/>
    <w:rsid w:val="004B6D82"/>
    <w:rsid w:val="004B7129"/>
    <w:rsid w:val="004B7454"/>
    <w:rsid w:val="004C3DF5"/>
    <w:rsid w:val="004C3E28"/>
    <w:rsid w:val="004C42C1"/>
    <w:rsid w:val="004C79B5"/>
    <w:rsid w:val="004C7E83"/>
    <w:rsid w:val="004D0D4E"/>
    <w:rsid w:val="004D24CE"/>
    <w:rsid w:val="004D3927"/>
    <w:rsid w:val="004D5FDF"/>
    <w:rsid w:val="004D68E1"/>
    <w:rsid w:val="004D7171"/>
    <w:rsid w:val="004D73BF"/>
    <w:rsid w:val="004E1240"/>
    <w:rsid w:val="004E2BA6"/>
    <w:rsid w:val="004E31F1"/>
    <w:rsid w:val="004E3C7C"/>
    <w:rsid w:val="004F0F53"/>
    <w:rsid w:val="004F28FD"/>
    <w:rsid w:val="004F2F3B"/>
    <w:rsid w:val="004F32B6"/>
    <w:rsid w:val="004F455D"/>
    <w:rsid w:val="004F5AA1"/>
    <w:rsid w:val="004F5ED1"/>
    <w:rsid w:val="004F66EB"/>
    <w:rsid w:val="004F6D4F"/>
    <w:rsid w:val="004F6D90"/>
    <w:rsid w:val="004F7534"/>
    <w:rsid w:val="004F76E8"/>
    <w:rsid w:val="005016F0"/>
    <w:rsid w:val="00501A8E"/>
    <w:rsid w:val="00503935"/>
    <w:rsid w:val="00504466"/>
    <w:rsid w:val="00505054"/>
    <w:rsid w:val="00505403"/>
    <w:rsid w:val="00506CD3"/>
    <w:rsid w:val="005073C9"/>
    <w:rsid w:val="00507F80"/>
    <w:rsid w:val="005115B3"/>
    <w:rsid w:val="00513107"/>
    <w:rsid w:val="00513FBE"/>
    <w:rsid w:val="0051420D"/>
    <w:rsid w:val="005145F8"/>
    <w:rsid w:val="005147A6"/>
    <w:rsid w:val="00515559"/>
    <w:rsid w:val="0051578E"/>
    <w:rsid w:val="005167CF"/>
    <w:rsid w:val="0051693B"/>
    <w:rsid w:val="00517A70"/>
    <w:rsid w:val="00521958"/>
    <w:rsid w:val="00521F78"/>
    <w:rsid w:val="00522EFD"/>
    <w:rsid w:val="00523BB1"/>
    <w:rsid w:val="00523E60"/>
    <w:rsid w:val="00524BA1"/>
    <w:rsid w:val="0052634E"/>
    <w:rsid w:val="005266D7"/>
    <w:rsid w:val="00530398"/>
    <w:rsid w:val="00531468"/>
    <w:rsid w:val="00531DB1"/>
    <w:rsid w:val="00532FE7"/>
    <w:rsid w:val="005334A7"/>
    <w:rsid w:val="005345C0"/>
    <w:rsid w:val="005349F6"/>
    <w:rsid w:val="00534ED9"/>
    <w:rsid w:val="00536F32"/>
    <w:rsid w:val="005371F8"/>
    <w:rsid w:val="00537E2F"/>
    <w:rsid w:val="005404AD"/>
    <w:rsid w:val="005409FD"/>
    <w:rsid w:val="00540F38"/>
    <w:rsid w:val="00547C74"/>
    <w:rsid w:val="00551901"/>
    <w:rsid w:val="00551E57"/>
    <w:rsid w:val="005539C7"/>
    <w:rsid w:val="005551B5"/>
    <w:rsid w:val="005565EC"/>
    <w:rsid w:val="00556791"/>
    <w:rsid w:val="005608C7"/>
    <w:rsid w:val="00560B26"/>
    <w:rsid w:val="00560C43"/>
    <w:rsid w:val="00560DC1"/>
    <w:rsid w:val="00561964"/>
    <w:rsid w:val="005619EE"/>
    <w:rsid w:val="00561C20"/>
    <w:rsid w:val="0056357D"/>
    <w:rsid w:val="005653FD"/>
    <w:rsid w:val="0056598F"/>
    <w:rsid w:val="0056780C"/>
    <w:rsid w:val="00574908"/>
    <w:rsid w:val="00575ACA"/>
    <w:rsid w:val="00575CBF"/>
    <w:rsid w:val="00576729"/>
    <w:rsid w:val="00576743"/>
    <w:rsid w:val="005778CB"/>
    <w:rsid w:val="00577E26"/>
    <w:rsid w:val="00580D2E"/>
    <w:rsid w:val="00581909"/>
    <w:rsid w:val="00581C0A"/>
    <w:rsid w:val="00582ABC"/>
    <w:rsid w:val="00584026"/>
    <w:rsid w:val="00585B90"/>
    <w:rsid w:val="005866E2"/>
    <w:rsid w:val="005868AC"/>
    <w:rsid w:val="00586F4D"/>
    <w:rsid w:val="00591FAA"/>
    <w:rsid w:val="005925BD"/>
    <w:rsid w:val="005925E8"/>
    <w:rsid w:val="0059275B"/>
    <w:rsid w:val="00593020"/>
    <w:rsid w:val="005947DF"/>
    <w:rsid w:val="00594E26"/>
    <w:rsid w:val="00595AD0"/>
    <w:rsid w:val="0059652B"/>
    <w:rsid w:val="005A302B"/>
    <w:rsid w:val="005A361D"/>
    <w:rsid w:val="005A3DB0"/>
    <w:rsid w:val="005A3EA6"/>
    <w:rsid w:val="005A4B91"/>
    <w:rsid w:val="005A6214"/>
    <w:rsid w:val="005A69D2"/>
    <w:rsid w:val="005A6BA6"/>
    <w:rsid w:val="005A7006"/>
    <w:rsid w:val="005A71D9"/>
    <w:rsid w:val="005A7E1B"/>
    <w:rsid w:val="005B0530"/>
    <w:rsid w:val="005B13A9"/>
    <w:rsid w:val="005B1426"/>
    <w:rsid w:val="005B165F"/>
    <w:rsid w:val="005B1A16"/>
    <w:rsid w:val="005B1F17"/>
    <w:rsid w:val="005B2528"/>
    <w:rsid w:val="005B302A"/>
    <w:rsid w:val="005B40C8"/>
    <w:rsid w:val="005B4FCE"/>
    <w:rsid w:val="005B57D9"/>
    <w:rsid w:val="005B6ACA"/>
    <w:rsid w:val="005B6F9C"/>
    <w:rsid w:val="005C0026"/>
    <w:rsid w:val="005C16C5"/>
    <w:rsid w:val="005C1CEE"/>
    <w:rsid w:val="005C22EE"/>
    <w:rsid w:val="005C2648"/>
    <w:rsid w:val="005C38F4"/>
    <w:rsid w:val="005C3920"/>
    <w:rsid w:val="005C3DF0"/>
    <w:rsid w:val="005C3FDA"/>
    <w:rsid w:val="005C4539"/>
    <w:rsid w:val="005C479A"/>
    <w:rsid w:val="005C4BBB"/>
    <w:rsid w:val="005C6709"/>
    <w:rsid w:val="005C67F4"/>
    <w:rsid w:val="005C7B25"/>
    <w:rsid w:val="005D0258"/>
    <w:rsid w:val="005D09D5"/>
    <w:rsid w:val="005D2881"/>
    <w:rsid w:val="005D28F4"/>
    <w:rsid w:val="005D2C21"/>
    <w:rsid w:val="005D35E9"/>
    <w:rsid w:val="005D3E30"/>
    <w:rsid w:val="005D4B19"/>
    <w:rsid w:val="005D5F8C"/>
    <w:rsid w:val="005D688E"/>
    <w:rsid w:val="005D6BB7"/>
    <w:rsid w:val="005D6FF8"/>
    <w:rsid w:val="005E0C00"/>
    <w:rsid w:val="005E14E6"/>
    <w:rsid w:val="005E1FA3"/>
    <w:rsid w:val="005E2B5D"/>
    <w:rsid w:val="005E3398"/>
    <w:rsid w:val="005E3D61"/>
    <w:rsid w:val="005E4150"/>
    <w:rsid w:val="005E4551"/>
    <w:rsid w:val="005E469D"/>
    <w:rsid w:val="005E687C"/>
    <w:rsid w:val="005E7AB9"/>
    <w:rsid w:val="005F1CCB"/>
    <w:rsid w:val="005F3ABF"/>
    <w:rsid w:val="005F45B8"/>
    <w:rsid w:val="005F4C00"/>
    <w:rsid w:val="005F62DD"/>
    <w:rsid w:val="005F64C4"/>
    <w:rsid w:val="005F6ABB"/>
    <w:rsid w:val="00600188"/>
    <w:rsid w:val="0060021A"/>
    <w:rsid w:val="00603700"/>
    <w:rsid w:val="00603B59"/>
    <w:rsid w:val="0060508C"/>
    <w:rsid w:val="00606B82"/>
    <w:rsid w:val="0060790D"/>
    <w:rsid w:val="00607F18"/>
    <w:rsid w:val="00611D66"/>
    <w:rsid w:val="00612535"/>
    <w:rsid w:val="006156C8"/>
    <w:rsid w:val="00617051"/>
    <w:rsid w:val="00617846"/>
    <w:rsid w:val="006178D1"/>
    <w:rsid w:val="00620FE6"/>
    <w:rsid w:val="00622AE3"/>
    <w:rsid w:val="0062585E"/>
    <w:rsid w:val="0063114B"/>
    <w:rsid w:val="006320D1"/>
    <w:rsid w:val="00633115"/>
    <w:rsid w:val="00633373"/>
    <w:rsid w:val="00633719"/>
    <w:rsid w:val="00637B18"/>
    <w:rsid w:val="00640D49"/>
    <w:rsid w:val="00641018"/>
    <w:rsid w:val="0064115E"/>
    <w:rsid w:val="006415D1"/>
    <w:rsid w:val="00641915"/>
    <w:rsid w:val="00642C82"/>
    <w:rsid w:val="0064323C"/>
    <w:rsid w:val="006434F3"/>
    <w:rsid w:val="00645160"/>
    <w:rsid w:val="00645EDC"/>
    <w:rsid w:val="00646B74"/>
    <w:rsid w:val="006477E4"/>
    <w:rsid w:val="00652B6E"/>
    <w:rsid w:val="0065307B"/>
    <w:rsid w:val="0065326F"/>
    <w:rsid w:val="006535AC"/>
    <w:rsid w:val="006548E8"/>
    <w:rsid w:val="00654D44"/>
    <w:rsid w:val="006559B7"/>
    <w:rsid w:val="00655BC2"/>
    <w:rsid w:val="0065631B"/>
    <w:rsid w:val="0066047C"/>
    <w:rsid w:val="006609F7"/>
    <w:rsid w:val="006625A6"/>
    <w:rsid w:val="0066276B"/>
    <w:rsid w:val="006631B4"/>
    <w:rsid w:val="006639EE"/>
    <w:rsid w:val="00665A04"/>
    <w:rsid w:val="00665AC0"/>
    <w:rsid w:val="0066604B"/>
    <w:rsid w:val="00666E26"/>
    <w:rsid w:val="0067002E"/>
    <w:rsid w:val="00670EE2"/>
    <w:rsid w:val="00672990"/>
    <w:rsid w:val="0067430A"/>
    <w:rsid w:val="00681126"/>
    <w:rsid w:val="0068422A"/>
    <w:rsid w:val="006842C6"/>
    <w:rsid w:val="0068602D"/>
    <w:rsid w:val="00687E7C"/>
    <w:rsid w:val="00690255"/>
    <w:rsid w:val="0069076D"/>
    <w:rsid w:val="00691A96"/>
    <w:rsid w:val="0069204D"/>
    <w:rsid w:val="00692D4F"/>
    <w:rsid w:val="006933B0"/>
    <w:rsid w:val="00693B6E"/>
    <w:rsid w:val="0069460F"/>
    <w:rsid w:val="00694D66"/>
    <w:rsid w:val="00694E99"/>
    <w:rsid w:val="0069507D"/>
    <w:rsid w:val="00695FDA"/>
    <w:rsid w:val="006968B4"/>
    <w:rsid w:val="00696D8D"/>
    <w:rsid w:val="006A01D3"/>
    <w:rsid w:val="006A035D"/>
    <w:rsid w:val="006A073F"/>
    <w:rsid w:val="006A27B8"/>
    <w:rsid w:val="006A3DCF"/>
    <w:rsid w:val="006A5E75"/>
    <w:rsid w:val="006A705B"/>
    <w:rsid w:val="006B0A6D"/>
    <w:rsid w:val="006B0BD6"/>
    <w:rsid w:val="006B1A77"/>
    <w:rsid w:val="006B1BBA"/>
    <w:rsid w:val="006B288D"/>
    <w:rsid w:val="006B36B2"/>
    <w:rsid w:val="006B46BA"/>
    <w:rsid w:val="006B5C6C"/>
    <w:rsid w:val="006B6043"/>
    <w:rsid w:val="006B63A5"/>
    <w:rsid w:val="006B6AD8"/>
    <w:rsid w:val="006C0D84"/>
    <w:rsid w:val="006C17BE"/>
    <w:rsid w:val="006C19DC"/>
    <w:rsid w:val="006C41E1"/>
    <w:rsid w:val="006C4511"/>
    <w:rsid w:val="006C48E6"/>
    <w:rsid w:val="006C4A57"/>
    <w:rsid w:val="006C5FA5"/>
    <w:rsid w:val="006C71F7"/>
    <w:rsid w:val="006D1C3C"/>
    <w:rsid w:val="006D33D1"/>
    <w:rsid w:val="006D400D"/>
    <w:rsid w:val="006D57F4"/>
    <w:rsid w:val="006D58BE"/>
    <w:rsid w:val="006D6B6A"/>
    <w:rsid w:val="006E0ACD"/>
    <w:rsid w:val="006E1CC3"/>
    <w:rsid w:val="006E2271"/>
    <w:rsid w:val="006E46D8"/>
    <w:rsid w:val="006E53A9"/>
    <w:rsid w:val="006E69FB"/>
    <w:rsid w:val="006E6AF6"/>
    <w:rsid w:val="006E7E91"/>
    <w:rsid w:val="006F2C25"/>
    <w:rsid w:val="006F2C89"/>
    <w:rsid w:val="006F3038"/>
    <w:rsid w:val="006F3CD6"/>
    <w:rsid w:val="006F3D32"/>
    <w:rsid w:val="006F49A3"/>
    <w:rsid w:val="006F4A25"/>
    <w:rsid w:val="006F59AB"/>
    <w:rsid w:val="00701D3A"/>
    <w:rsid w:val="0070232A"/>
    <w:rsid w:val="007039D1"/>
    <w:rsid w:val="00705103"/>
    <w:rsid w:val="00705E13"/>
    <w:rsid w:val="00707B1A"/>
    <w:rsid w:val="00710A7F"/>
    <w:rsid w:val="00712A07"/>
    <w:rsid w:val="00714DA7"/>
    <w:rsid w:val="00717EDA"/>
    <w:rsid w:val="00720467"/>
    <w:rsid w:val="007222F8"/>
    <w:rsid w:val="007224F9"/>
    <w:rsid w:val="007279D3"/>
    <w:rsid w:val="00731ACE"/>
    <w:rsid w:val="00731FFE"/>
    <w:rsid w:val="00732433"/>
    <w:rsid w:val="00732CFC"/>
    <w:rsid w:val="0073446F"/>
    <w:rsid w:val="007348F4"/>
    <w:rsid w:val="007363A2"/>
    <w:rsid w:val="007365EE"/>
    <w:rsid w:val="00736EB6"/>
    <w:rsid w:val="007428B4"/>
    <w:rsid w:val="00744315"/>
    <w:rsid w:val="0074441D"/>
    <w:rsid w:val="007454D4"/>
    <w:rsid w:val="00745666"/>
    <w:rsid w:val="00750860"/>
    <w:rsid w:val="00751A62"/>
    <w:rsid w:val="007524F1"/>
    <w:rsid w:val="00753513"/>
    <w:rsid w:val="00755A9C"/>
    <w:rsid w:val="00756D19"/>
    <w:rsid w:val="0075758F"/>
    <w:rsid w:val="007600A2"/>
    <w:rsid w:val="00760599"/>
    <w:rsid w:val="00762646"/>
    <w:rsid w:val="00762EDE"/>
    <w:rsid w:val="00764BC7"/>
    <w:rsid w:val="00766AB8"/>
    <w:rsid w:val="00770C31"/>
    <w:rsid w:val="00771704"/>
    <w:rsid w:val="007750CA"/>
    <w:rsid w:val="0077526F"/>
    <w:rsid w:val="00775FD4"/>
    <w:rsid w:val="00776344"/>
    <w:rsid w:val="0077737C"/>
    <w:rsid w:val="00782066"/>
    <w:rsid w:val="00784B24"/>
    <w:rsid w:val="00786D9B"/>
    <w:rsid w:val="00787834"/>
    <w:rsid w:val="00791278"/>
    <w:rsid w:val="00792761"/>
    <w:rsid w:val="00792837"/>
    <w:rsid w:val="00792D99"/>
    <w:rsid w:val="00793012"/>
    <w:rsid w:val="0079488F"/>
    <w:rsid w:val="00796082"/>
    <w:rsid w:val="00797125"/>
    <w:rsid w:val="0079750F"/>
    <w:rsid w:val="007A1E4B"/>
    <w:rsid w:val="007A457E"/>
    <w:rsid w:val="007A48C3"/>
    <w:rsid w:val="007A4E4E"/>
    <w:rsid w:val="007A6332"/>
    <w:rsid w:val="007A6C71"/>
    <w:rsid w:val="007A7D63"/>
    <w:rsid w:val="007B08B8"/>
    <w:rsid w:val="007B0B56"/>
    <w:rsid w:val="007B159B"/>
    <w:rsid w:val="007B16DD"/>
    <w:rsid w:val="007B1DB1"/>
    <w:rsid w:val="007B3368"/>
    <w:rsid w:val="007B4613"/>
    <w:rsid w:val="007B7B73"/>
    <w:rsid w:val="007C0B7D"/>
    <w:rsid w:val="007C21BD"/>
    <w:rsid w:val="007C2BE5"/>
    <w:rsid w:val="007C40C0"/>
    <w:rsid w:val="007C6743"/>
    <w:rsid w:val="007C6976"/>
    <w:rsid w:val="007C69A1"/>
    <w:rsid w:val="007C6F37"/>
    <w:rsid w:val="007C7914"/>
    <w:rsid w:val="007D0B4C"/>
    <w:rsid w:val="007D3E42"/>
    <w:rsid w:val="007D4EAA"/>
    <w:rsid w:val="007D5208"/>
    <w:rsid w:val="007D5598"/>
    <w:rsid w:val="007D55C5"/>
    <w:rsid w:val="007D6A89"/>
    <w:rsid w:val="007E0500"/>
    <w:rsid w:val="007E078F"/>
    <w:rsid w:val="007E2EF2"/>
    <w:rsid w:val="007E33D6"/>
    <w:rsid w:val="007E4351"/>
    <w:rsid w:val="007E5114"/>
    <w:rsid w:val="007E6C18"/>
    <w:rsid w:val="007E6C97"/>
    <w:rsid w:val="007E7C31"/>
    <w:rsid w:val="007F060A"/>
    <w:rsid w:val="007F10F3"/>
    <w:rsid w:val="007F2449"/>
    <w:rsid w:val="007F3BE1"/>
    <w:rsid w:val="007F3FE1"/>
    <w:rsid w:val="007F5BF2"/>
    <w:rsid w:val="007F5FD7"/>
    <w:rsid w:val="008014C1"/>
    <w:rsid w:val="00802964"/>
    <w:rsid w:val="00803677"/>
    <w:rsid w:val="0080533E"/>
    <w:rsid w:val="00805AFB"/>
    <w:rsid w:val="0080645D"/>
    <w:rsid w:val="00810653"/>
    <w:rsid w:val="00810710"/>
    <w:rsid w:val="00810D54"/>
    <w:rsid w:val="00811DF5"/>
    <w:rsid w:val="008124A3"/>
    <w:rsid w:val="0081287C"/>
    <w:rsid w:val="00814153"/>
    <w:rsid w:val="00814247"/>
    <w:rsid w:val="008152AD"/>
    <w:rsid w:val="00815EE2"/>
    <w:rsid w:val="00823FE9"/>
    <w:rsid w:val="0082497D"/>
    <w:rsid w:val="008263A9"/>
    <w:rsid w:val="00831193"/>
    <w:rsid w:val="00831633"/>
    <w:rsid w:val="00832C20"/>
    <w:rsid w:val="00834235"/>
    <w:rsid w:val="00834DED"/>
    <w:rsid w:val="00835FD2"/>
    <w:rsid w:val="008360CF"/>
    <w:rsid w:val="0083643D"/>
    <w:rsid w:val="00836967"/>
    <w:rsid w:val="00836F32"/>
    <w:rsid w:val="008376AD"/>
    <w:rsid w:val="00837808"/>
    <w:rsid w:val="00841004"/>
    <w:rsid w:val="00841D17"/>
    <w:rsid w:val="00844268"/>
    <w:rsid w:val="00845A8F"/>
    <w:rsid w:val="00845C16"/>
    <w:rsid w:val="00846AA6"/>
    <w:rsid w:val="0084750C"/>
    <w:rsid w:val="00847F99"/>
    <w:rsid w:val="00850485"/>
    <w:rsid w:val="00851169"/>
    <w:rsid w:val="0085168E"/>
    <w:rsid w:val="008524C6"/>
    <w:rsid w:val="00854B44"/>
    <w:rsid w:val="00857658"/>
    <w:rsid w:val="00857ECA"/>
    <w:rsid w:val="008601CD"/>
    <w:rsid w:val="00861DBD"/>
    <w:rsid w:val="008630D0"/>
    <w:rsid w:val="0086365F"/>
    <w:rsid w:val="00863F20"/>
    <w:rsid w:val="00866D86"/>
    <w:rsid w:val="00870C75"/>
    <w:rsid w:val="0087112B"/>
    <w:rsid w:val="008714CD"/>
    <w:rsid w:val="008724B1"/>
    <w:rsid w:val="00872A92"/>
    <w:rsid w:val="00873241"/>
    <w:rsid w:val="00880CFC"/>
    <w:rsid w:val="00881E23"/>
    <w:rsid w:val="008824F2"/>
    <w:rsid w:val="0088356B"/>
    <w:rsid w:val="00884981"/>
    <w:rsid w:val="00885429"/>
    <w:rsid w:val="0088561C"/>
    <w:rsid w:val="00885E3D"/>
    <w:rsid w:val="00886758"/>
    <w:rsid w:val="008900CC"/>
    <w:rsid w:val="00892FC4"/>
    <w:rsid w:val="00893CC5"/>
    <w:rsid w:val="00896221"/>
    <w:rsid w:val="0089764B"/>
    <w:rsid w:val="0089770E"/>
    <w:rsid w:val="00897B20"/>
    <w:rsid w:val="008A05E4"/>
    <w:rsid w:val="008A07D1"/>
    <w:rsid w:val="008A10F2"/>
    <w:rsid w:val="008A11C1"/>
    <w:rsid w:val="008A1CF1"/>
    <w:rsid w:val="008A2B4F"/>
    <w:rsid w:val="008A796D"/>
    <w:rsid w:val="008B129F"/>
    <w:rsid w:val="008B2E7D"/>
    <w:rsid w:val="008B3566"/>
    <w:rsid w:val="008B57BF"/>
    <w:rsid w:val="008B69DE"/>
    <w:rsid w:val="008C45FD"/>
    <w:rsid w:val="008C5189"/>
    <w:rsid w:val="008D1F70"/>
    <w:rsid w:val="008D31BA"/>
    <w:rsid w:val="008D3BA5"/>
    <w:rsid w:val="008D73B7"/>
    <w:rsid w:val="008E1ACA"/>
    <w:rsid w:val="008E216F"/>
    <w:rsid w:val="008E309B"/>
    <w:rsid w:val="008E32D6"/>
    <w:rsid w:val="008E5119"/>
    <w:rsid w:val="008E5D5E"/>
    <w:rsid w:val="008E7BE9"/>
    <w:rsid w:val="008F0024"/>
    <w:rsid w:val="008F0F3E"/>
    <w:rsid w:val="008F1035"/>
    <w:rsid w:val="008F1FA0"/>
    <w:rsid w:val="008F2634"/>
    <w:rsid w:val="008F28A8"/>
    <w:rsid w:val="008F4097"/>
    <w:rsid w:val="008F4420"/>
    <w:rsid w:val="008F4565"/>
    <w:rsid w:val="008F4908"/>
    <w:rsid w:val="008F6B26"/>
    <w:rsid w:val="008F6E80"/>
    <w:rsid w:val="008F7D61"/>
    <w:rsid w:val="00901C3D"/>
    <w:rsid w:val="00902A0D"/>
    <w:rsid w:val="009039B6"/>
    <w:rsid w:val="00903CF2"/>
    <w:rsid w:val="009049CF"/>
    <w:rsid w:val="00904B96"/>
    <w:rsid w:val="00904E31"/>
    <w:rsid w:val="0090528B"/>
    <w:rsid w:val="009064A3"/>
    <w:rsid w:val="0090688B"/>
    <w:rsid w:val="00910778"/>
    <w:rsid w:val="00910C62"/>
    <w:rsid w:val="00912AEF"/>
    <w:rsid w:val="00913087"/>
    <w:rsid w:val="00915FC3"/>
    <w:rsid w:val="00917C9C"/>
    <w:rsid w:val="009209A7"/>
    <w:rsid w:val="00921439"/>
    <w:rsid w:val="009221EC"/>
    <w:rsid w:val="009229D1"/>
    <w:rsid w:val="00926B62"/>
    <w:rsid w:val="00927059"/>
    <w:rsid w:val="0092709C"/>
    <w:rsid w:val="009313C5"/>
    <w:rsid w:val="009316B8"/>
    <w:rsid w:val="00931BB6"/>
    <w:rsid w:val="00932FFC"/>
    <w:rsid w:val="0093311F"/>
    <w:rsid w:val="00933A4F"/>
    <w:rsid w:val="00934CA2"/>
    <w:rsid w:val="009359AA"/>
    <w:rsid w:val="00935D6C"/>
    <w:rsid w:val="009368C8"/>
    <w:rsid w:val="00937E98"/>
    <w:rsid w:val="009432E4"/>
    <w:rsid w:val="009441D6"/>
    <w:rsid w:val="009445F2"/>
    <w:rsid w:val="00945528"/>
    <w:rsid w:val="00945821"/>
    <w:rsid w:val="0094638C"/>
    <w:rsid w:val="009471F3"/>
    <w:rsid w:val="00947380"/>
    <w:rsid w:val="009473A4"/>
    <w:rsid w:val="00951B3C"/>
    <w:rsid w:val="00951C73"/>
    <w:rsid w:val="009531A8"/>
    <w:rsid w:val="00953F1D"/>
    <w:rsid w:val="00955F87"/>
    <w:rsid w:val="00955FE8"/>
    <w:rsid w:val="00956351"/>
    <w:rsid w:val="00956D6F"/>
    <w:rsid w:val="00956EEC"/>
    <w:rsid w:val="009571BE"/>
    <w:rsid w:val="0096187E"/>
    <w:rsid w:val="009669DA"/>
    <w:rsid w:val="00970746"/>
    <w:rsid w:val="00970F07"/>
    <w:rsid w:val="009728B5"/>
    <w:rsid w:val="009734D2"/>
    <w:rsid w:val="009735A0"/>
    <w:rsid w:val="0097416F"/>
    <w:rsid w:val="00974BCB"/>
    <w:rsid w:val="0097593F"/>
    <w:rsid w:val="00975976"/>
    <w:rsid w:val="009778B4"/>
    <w:rsid w:val="0098104D"/>
    <w:rsid w:val="009816D5"/>
    <w:rsid w:val="00982EBB"/>
    <w:rsid w:val="009845B2"/>
    <w:rsid w:val="00984911"/>
    <w:rsid w:val="00985515"/>
    <w:rsid w:val="00986275"/>
    <w:rsid w:val="0098771C"/>
    <w:rsid w:val="00990C1B"/>
    <w:rsid w:val="0099150A"/>
    <w:rsid w:val="00991702"/>
    <w:rsid w:val="00992D9C"/>
    <w:rsid w:val="00992E0F"/>
    <w:rsid w:val="00994637"/>
    <w:rsid w:val="0099504A"/>
    <w:rsid w:val="009951AE"/>
    <w:rsid w:val="0099563E"/>
    <w:rsid w:val="00996C0F"/>
    <w:rsid w:val="009A097D"/>
    <w:rsid w:val="009A0CDB"/>
    <w:rsid w:val="009A1A63"/>
    <w:rsid w:val="009A301B"/>
    <w:rsid w:val="009A41F3"/>
    <w:rsid w:val="009A72BE"/>
    <w:rsid w:val="009B4185"/>
    <w:rsid w:val="009B4F4C"/>
    <w:rsid w:val="009B6667"/>
    <w:rsid w:val="009B71EE"/>
    <w:rsid w:val="009B7D0D"/>
    <w:rsid w:val="009C052F"/>
    <w:rsid w:val="009C1E46"/>
    <w:rsid w:val="009C470E"/>
    <w:rsid w:val="009C4A68"/>
    <w:rsid w:val="009C54F9"/>
    <w:rsid w:val="009C560E"/>
    <w:rsid w:val="009C70C6"/>
    <w:rsid w:val="009C71FF"/>
    <w:rsid w:val="009D038F"/>
    <w:rsid w:val="009D06C5"/>
    <w:rsid w:val="009D2301"/>
    <w:rsid w:val="009D2BFC"/>
    <w:rsid w:val="009D2DC5"/>
    <w:rsid w:val="009D4E86"/>
    <w:rsid w:val="009D5ABD"/>
    <w:rsid w:val="009D5BD5"/>
    <w:rsid w:val="009D6B09"/>
    <w:rsid w:val="009D7739"/>
    <w:rsid w:val="009E255A"/>
    <w:rsid w:val="009E29D1"/>
    <w:rsid w:val="009E2C79"/>
    <w:rsid w:val="009E4A47"/>
    <w:rsid w:val="009E4CEF"/>
    <w:rsid w:val="009E544F"/>
    <w:rsid w:val="009E5469"/>
    <w:rsid w:val="009E75FD"/>
    <w:rsid w:val="009F0B71"/>
    <w:rsid w:val="009F155E"/>
    <w:rsid w:val="009F1AF8"/>
    <w:rsid w:val="009F21D3"/>
    <w:rsid w:val="009F23D5"/>
    <w:rsid w:val="009F2620"/>
    <w:rsid w:val="009F2667"/>
    <w:rsid w:val="009F407A"/>
    <w:rsid w:val="009F5BC3"/>
    <w:rsid w:val="009F603E"/>
    <w:rsid w:val="009F6BD6"/>
    <w:rsid w:val="009F7873"/>
    <w:rsid w:val="00A00A6B"/>
    <w:rsid w:val="00A01232"/>
    <w:rsid w:val="00A02610"/>
    <w:rsid w:val="00A0390C"/>
    <w:rsid w:val="00A04DE9"/>
    <w:rsid w:val="00A05665"/>
    <w:rsid w:val="00A05CB5"/>
    <w:rsid w:val="00A10253"/>
    <w:rsid w:val="00A11109"/>
    <w:rsid w:val="00A129FF"/>
    <w:rsid w:val="00A13190"/>
    <w:rsid w:val="00A13A43"/>
    <w:rsid w:val="00A13BED"/>
    <w:rsid w:val="00A14311"/>
    <w:rsid w:val="00A1448A"/>
    <w:rsid w:val="00A152BA"/>
    <w:rsid w:val="00A15BBC"/>
    <w:rsid w:val="00A16008"/>
    <w:rsid w:val="00A16B44"/>
    <w:rsid w:val="00A172A0"/>
    <w:rsid w:val="00A20598"/>
    <w:rsid w:val="00A21439"/>
    <w:rsid w:val="00A21FE1"/>
    <w:rsid w:val="00A21FFC"/>
    <w:rsid w:val="00A241F4"/>
    <w:rsid w:val="00A24829"/>
    <w:rsid w:val="00A274AD"/>
    <w:rsid w:val="00A27DE6"/>
    <w:rsid w:val="00A30231"/>
    <w:rsid w:val="00A32991"/>
    <w:rsid w:val="00A3496A"/>
    <w:rsid w:val="00A35D9B"/>
    <w:rsid w:val="00A40768"/>
    <w:rsid w:val="00A41126"/>
    <w:rsid w:val="00A4153A"/>
    <w:rsid w:val="00A415EF"/>
    <w:rsid w:val="00A46833"/>
    <w:rsid w:val="00A512AE"/>
    <w:rsid w:val="00A514FC"/>
    <w:rsid w:val="00A53DFE"/>
    <w:rsid w:val="00A549B3"/>
    <w:rsid w:val="00A62F8C"/>
    <w:rsid w:val="00A63AAF"/>
    <w:rsid w:val="00A653B5"/>
    <w:rsid w:val="00A66368"/>
    <w:rsid w:val="00A71C70"/>
    <w:rsid w:val="00A7279B"/>
    <w:rsid w:val="00A72B1F"/>
    <w:rsid w:val="00A7357F"/>
    <w:rsid w:val="00A745DB"/>
    <w:rsid w:val="00A74C2F"/>
    <w:rsid w:val="00A75622"/>
    <w:rsid w:val="00A76EDA"/>
    <w:rsid w:val="00A803AB"/>
    <w:rsid w:val="00A807E4"/>
    <w:rsid w:val="00A80AAB"/>
    <w:rsid w:val="00A81448"/>
    <w:rsid w:val="00A81CF5"/>
    <w:rsid w:val="00A81FC3"/>
    <w:rsid w:val="00A820E7"/>
    <w:rsid w:val="00A83566"/>
    <w:rsid w:val="00A83D81"/>
    <w:rsid w:val="00A84186"/>
    <w:rsid w:val="00A855F3"/>
    <w:rsid w:val="00A856F0"/>
    <w:rsid w:val="00A8570F"/>
    <w:rsid w:val="00A8596A"/>
    <w:rsid w:val="00A86900"/>
    <w:rsid w:val="00A86968"/>
    <w:rsid w:val="00A905D9"/>
    <w:rsid w:val="00A90A6E"/>
    <w:rsid w:val="00A90E76"/>
    <w:rsid w:val="00A91183"/>
    <w:rsid w:val="00A9136D"/>
    <w:rsid w:val="00A914A5"/>
    <w:rsid w:val="00A91DB9"/>
    <w:rsid w:val="00A91F50"/>
    <w:rsid w:val="00A922EB"/>
    <w:rsid w:val="00A931F3"/>
    <w:rsid w:val="00A93383"/>
    <w:rsid w:val="00A93705"/>
    <w:rsid w:val="00A94071"/>
    <w:rsid w:val="00A94931"/>
    <w:rsid w:val="00A96BC8"/>
    <w:rsid w:val="00A970C9"/>
    <w:rsid w:val="00AA0326"/>
    <w:rsid w:val="00AA0471"/>
    <w:rsid w:val="00AA1D25"/>
    <w:rsid w:val="00AA1F62"/>
    <w:rsid w:val="00AA258E"/>
    <w:rsid w:val="00AA34BA"/>
    <w:rsid w:val="00AA5DCF"/>
    <w:rsid w:val="00AB0790"/>
    <w:rsid w:val="00AB09AB"/>
    <w:rsid w:val="00AB1B5E"/>
    <w:rsid w:val="00AB3F88"/>
    <w:rsid w:val="00AB55B4"/>
    <w:rsid w:val="00AB6C03"/>
    <w:rsid w:val="00AB7B3D"/>
    <w:rsid w:val="00AC078B"/>
    <w:rsid w:val="00AC13F1"/>
    <w:rsid w:val="00AC1C82"/>
    <w:rsid w:val="00AC498D"/>
    <w:rsid w:val="00AC4EA4"/>
    <w:rsid w:val="00AC71C6"/>
    <w:rsid w:val="00AC742F"/>
    <w:rsid w:val="00AC75A5"/>
    <w:rsid w:val="00AC777F"/>
    <w:rsid w:val="00AC7925"/>
    <w:rsid w:val="00AD0574"/>
    <w:rsid w:val="00AD38CB"/>
    <w:rsid w:val="00AD3B3C"/>
    <w:rsid w:val="00AD4000"/>
    <w:rsid w:val="00AD5E80"/>
    <w:rsid w:val="00AD62D3"/>
    <w:rsid w:val="00AD7702"/>
    <w:rsid w:val="00AD7DCD"/>
    <w:rsid w:val="00AD7EF3"/>
    <w:rsid w:val="00AE0DBD"/>
    <w:rsid w:val="00AE13F0"/>
    <w:rsid w:val="00AE189E"/>
    <w:rsid w:val="00AE30BC"/>
    <w:rsid w:val="00AE34BB"/>
    <w:rsid w:val="00AE55ED"/>
    <w:rsid w:val="00AE6594"/>
    <w:rsid w:val="00AE7A2C"/>
    <w:rsid w:val="00AE7BBD"/>
    <w:rsid w:val="00AF1B0B"/>
    <w:rsid w:val="00AF47D8"/>
    <w:rsid w:val="00AF4E87"/>
    <w:rsid w:val="00AF5809"/>
    <w:rsid w:val="00B013F6"/>
    <w:rsid w:val="00B046FB"/>
    <w:rsid w:val="00B048EE"/>
    <w:rsid w:val="00B0509E"/>
    <w:rsid w:val="00B05212"/>
    <w:rsid w:val="00B071E1"/>
    <w:rsid w:val="00B10296"/>
    <w:rsid w:val="00B10426"/>
    <w:rsid w:val="00B108AD"/>
    <w:rsid w:val="00B1145F"/>
    <w:rsid w:val="00B1170C"/>
    <w:rsid w:val="00B1185C"/>
    <w:rsid w:val="00B11D34"/>
    <w:rsid w:val="00B1297A"/>
    <w:rsid w:val="00B131E8"/>
    <w:rsid w:val="00B15120"/>
    <w:rsid w:val="00B219D7"/>
    <w:rsid w:val="00B21B92"/>
    <w:rsid w:val="00B222FB"/>
    <w:rsid w:val="00B2248E"/>
    <w:rsid w:val="00B2676F"/>
    <w:rsid w:val="00B300B2"/>
    <w:rsid w:val="00B3176E"/>
    <w:rsid w:val="00B31F3D"/>
    <w:rsid w:val="00B331BA"/>
    <w:rsid w:val="00B338E5"/>
    <w:rsid w:val="00B33DA1"/>
    <w:rsid w:val="00B34507"/>
    <w:rsid w:val="00B36996"/>
    <w:rsid w:val="00B36A86"/>
    <w:rsid w:val="00B40CB6"/>
    <w:rsid w:val="00B427B8"/>
    <w:rsid w:val="00B42CAD"/>
    <w:rsid w:val="00B43A26"/>
    <w:rsid w:val="00B44DB3"/>
    <w:rsid w:val="00B465A7"/>
    <w:rsid w:val="00B47292"/>
    <w:rsid w:val="00B478A5"/>
    <w:rsid w:val="00B508FD"/>
    <w:rsid w:val="00B50A04"/>
    <w:rsid w:val="00B5148A"/>
    <w:rsid w:val="00B51BBE"/>
    <w:rsid w:val="00B5274A"/>
    <w:rsid w:val="00B555E6"/>
    <w:rsid w:val="00B55FD7"/>
    <w:rsid w:val="00B56137"/>
    <w:rsid w:val="00B56BB9"/>
    <w:rsid w:val="00B57DE6"/>
    <w:rsid w:val="00B603CA"/>
    <w:rsid w:val="00B63C46"/>
    <w:rsid w:val="00B72EB8"/>
    <w:rsid w:val="00B74DD2"/>
    <w:rsid w:val="00B7510C"/>
    <w:rsid w:val="00B75FED"/>
    <w:rsid w:val="00B7657F"/>
    <w:rsid w:val="00B7668E"/>
    <w:rsid w:val="00B77912"/>
    <w:rsid w:val="00B80413"/>
    <w:rsid w:val="00B822AF"/>
    <w:rsid w:val="00B83455"/>
    <w:rsid w:val="00B84E29"/>
    <w:rsid w:val="00B84EA7"/>
    <w:rsid w:val="00B863AC"/>
    <w:rsid w:val="00B864BC"/>
    <w:rsid w:val="00B86832"/>
    <w:rsid w:val="00B86F05"/>
    <w:rsid w:val="00B87043"/>
    <w:rsid w:val="00B87A16"/>
    <w:rsid w:val="00B87C81"/>
    <w:rsid w:val="00B909EA"/>
    <w:rsid w:val="00B92ABC"/>
    <w:rsid w:val="00B9374E"/>
    <w:rsid w:val="00B96225"/>
    <w:rsid w:val="00B962C7"/>
    <w:rsid w:val="00B97442"/>
    <w:rsid w:val="00B97E2B"/>
    <w:rsid w:val="00BA1142"/>
    <w:rsid w:val="00BA1BBD"/>
    <w:rsid w:val="00BA408E"/>
    <w:rsid w:val="00BA48A9"/>
    <w:rsid w:val="00BA4CEA"/>
    <w:rsid w:val="00BA6202"/>
    <w:rsid w:val="00BA6D56"/>
    <w:rsid w:val="00BA7943"/>
    <w:rsid w:val="00BB050C"/>
    <w:rsid w:val="00BB0BC9"/>
    <w:rsid w:val="00BB0DB6"/>
    <w:rsid w:val="00BB429E"/>
    <w:rsid w:val="00BB57B0"/>
    <w:rsid w:val="00BB6DEE"/>
    <w:rsid w:val="00BB7209"/>
    <w:rsid w:val="00BB78C0"/>
    <w:rsid w:val="00BB7B7A"/>
    <w:rsid w:val="00BC0CB3"/>
    <w:rsid w:val="00BC2156"/>
    <w:rsid w:val="00BC318F"/>
    <w:rsid w:val="00BC37A1"/>
    <w:rsid w:val="00BC4632"/>
    <w:rsid w:val="00BC478D"/>
    <w:rsid w:val="00BC5B2B"/>
    <w:rsid w:val="00BC5FEF"/>
    <w:rsid w:val="00BC7327"/>
    <w:rsid w:val="00BC7583"/>
    <w:rsid w:val="00BD07C2"/>
    <w:rsid w:val="00BD160C"/>
    <w:rsid w:val="00BD1FC4"/>
    <w:rsid w:val="00BD275F"/>
    <w:rsid w:val="00BD47A4"/>
    <w:rsid w:val="00BD4873"/>
    <w:rsid w:val="00BD6512"/>
    <w:rsid w:val="00BD6DCE"/>
    <w:rsid w:val="00BD714C"/>
    <w:rsid w:val="00BD75AC"/>
    <w:rsid w:val="00BE0B95"/>
    <w:rsid w:val="00BE1D27"/>
    <w:rsid w:val="00BE3B92"/>
    <w:rsid w:val="00BE50F7"/>
    <w:rsid w:val="00BE582D"/>
    <w:rsid w:val="00BE58FB"/>
    <w:rsid w:val="00BE79FD"/>
    <w:rsid w:val="00BF0A0E"/>
    <w:rsid w:val="00BF10AD"/>
    <w:rsid w:val="00BF1585"/>
    <w:rsid w:val="00BF172F"/>
    <w:rsid w:val="00BF6570"/>
    <w:rsid w:val="00C00C64"/>
    <w:rsid w:val="00C00E0E"/>
    <w:rsid w:val="00C01646"/>
    <w:rsid w:val="00C020DD"/>
    <w:rsid w:val="00C02D8E"/>
    <w:rsid w:val="00C0348F"/>
    <w:rsid w:val="00C05F82"/>
    <w:rsid w:val="00C0653F"/>
    <w:rsid w:val="00C137F4"/>
    <w:rsid w:val="00C13910"/>
    <w:rsid w:val="00C161EE"/>
    <w:rsid w:val="00C171C0"/>
    <w:rsid w:val="00C17650"/>
    <w:rsid w:val="00C20816"/>
    <w:rsid w:val="00C22E22"/>
    <w:rsid w:val="00C25693"/>
    <w:rsid w:val="00C27F22"/>
    <w:rsid w:val="00C30ED6"/>
    <w:rsid w:val="00C31003"/>
    <w:rsid w:val="00C32192"/>
    <w:rsid w:val="00C32AC9"/>
    <w:rsid w:val="00C34121"/>
    <w:rsid w:val="00C3442D"/>
    <w:rsid w:val="00C34DF0"/>
    <w:rsid w:val="00C3526C"/>
    <w:rsid w:val="00C3538C"/>
    <w:rsid w:val="00C35587"/>
    <w:rsid w:val="00C368ED"/>
    <w:rsid w:val="00C3731C"/>
    <w:rsid w:val="00C373D5"/>
    <w:rsid w:val="00C3760E"/>
    <w:rsid w:val="00C40808"/>
    <w:rsid w:val="00C40C6F"/>
    <w:rsid w:val="00C41B9B"/>
    <w:rsid w:val="00C43BC8"/>
    <w:rsid w:val="00C44A59"/>
    <w:rsid w:val="00C44BE7"/>
    <w:rsid w:val="00C45925"/>
    <w:rsid w:val="00C47AB5"/>
    <w:rsid w:val="00C50497"/>
    <w:rsid w:val="00C53231"/>
    <w:rsid w:val="00C5429B"/>
    <w:rsid w:val="00C544B1"/>
    <w:rsid w:val="00C553BD"/>
    <w:rsid w:val="00C558CB"/>
    <w:rsid w:val="00C577DE"/>
    <w:rsid w:val="00C62DB7"/>
    <w:rsid w:val="00C64330"/>
    <w:rsid w:val="00C64E50"/>
    <w:rsid w:val="00C65F52"/>
    <w:rsid w:val="00C66125"/>
    <w:rsid w:val="00C66ADC"/>
    <w:rsid w:val="00C66B1A"/>
    <w:rsid w:val="00C67534"/>
    <w:rsid w:val="00C7094F"/>
    <w:rsid w:val="00C72703"/>
    <w:rsid w:val="00C72BA7"/>
    <w:rsid w:val="00C741B7"/>
    <w:rsid w:val="00C75C2D"/>
    <w:rsid w:val="00C76ABA"/>
    <w:rsid w:val="00C811C0"/>
    <w:rsid w:val="00C8216D"/>
    <w:rsid w:val="00C824A9"/>
    <w:rsid w:val="00C82997"/>
    <w:rsid w:val="00C82C58"/>
    <w:rsid w:val="00C833DB"/>
    <w:rsid w:val="00C83B9A"/>
    <w:rsid w:val="00C909C4"/>
    <w:rsid w:val="00C90AAA"/>
    <w:rsid w:val="00C915DC"/>
    <w:rsid w:val="00C917FF"/>
    <w:rsid w:val="00C925AF"/>
    <w:rsid w:val="00C92AAF"/>
    <w:rsid w:val="00C935D9"/>
    <w:rsid w:val="00C93FEA"/>
    <w:rsid w:val="00C95AB5"/>
    <w:rsid w:val="00C96021"/>
    <w:rsid w:val="00C97F9F"/>
    <w:rsid w:val="00CA1E6D"/>
    <w:rsid w:val="00CA3AF1"/>
    <w:rsid w:val="00CA4BE4"/>
    <w:rsid w:val="00CA7ED3"/>
    <w:rsid w:val="00CB050D"/>
    <w:rsid w:val="00CB1C68"/>
    <w:rsid w:val="00CB3784"/>
    <w:rsid w:val="00CB4889"/>
    <w:rsid w:val="00CB65F2"/>
    <w:rsid w:val="00CC15CB"/>
    <w:rsid w:val="00CC2542"/>
    <w:rsid w:val="00CC2A9C"/>
    <w:rsid w:val="00CC38F1"/>
    <w:rsid w:val="00CC5781"/>
    <w:rsid w:val="00CC63F9"/>
    <w:rsid w:val="00CC683B"/>
    <w:rsid w:val="00CC6E6B"/>
    <w:rsid w:val="00CC770B"/>
    <w:rsid w:val="00CC7DE0"/>
    <w:rsid w:val="00CD11C6"/>
    <w:rsid w:val="00CD1A70"/>
    <w:rsid w:val="00CD1BF9"/>
    <w:rsid w:val="00CD1C85"/>
    <w:rsid w:val="00CD2AEE"/>
    <w:rsid w:val="00CD3D7E"/>
    <w:rsid w:val="00CD46F2"/>
    <w:rsid w:val="00CD5B36"/>
    <w:rsid w:val="00CD5E57"/>
    <w:rsid w:val="00CD60C1"/>
    <w:rsid w:val="00CD73FA"/>
    <w:rsid w:val="00CD7F52"/>
    <w:rsid w:val="00CE0D37"/>
    <w:rsid w:val="00CE0D8F"/>
    <w:rsid w:val="00CE20AF"/>
    <w:rsid w:val="00CE288C"/>
    <w:rsid w:val="00CE2AA4"/>
    <w:rsid w:val="00CE57D2"/>
    <w:rsid w:val="00CE5D1C"/>
    <w:rsid w:val="00CE6327"/>
    <w:rsid w:val="00CF211E"/>
    <w:rsid w:val="00CF35A5"/>
    <w:rsid w:val="00CF42E3"/>
    <w:rsid w:val="00CF4390"/>
    <w:rsid w:val="00CF6D3E"/>
    <w:rsid w:val="00CF71D1"/>
    <w:rsid w:val="00D022F4"/>
    <w:rsid w:val="00D02AE7"/>
    <w:rsid w:val="00D02F07"/>
    <w:rsid w:val="00D031F1"/>
    <w:rsid w:val="00D03561"/>
    <w:rsid w:val="00D05226"/>
    <w:rsid w:val="00D0605F"/>
    <w:rsid w:val="00D069FB"/>
    <w:rsid w:val="00D10442"/>
    <w:rsid w:val="00D1165A"/>
    <w:rsid w:val="00D119EE"/>
    <w:rsid w:val="00D1362B"/>
    <w:rsid w:val="00D14352"/>
    <w:rsid w:val="00D15001"/>
    <w:rsid w:val="00D1638C"/>
    <w:rsid w:val="00D163BD"/>
    <w:rsid w:val="00D17D46"/>
    <w:rsid w:val="00D17D58"/>
    <w:rsid w:val="00D224E7"/>
    <w:rsid w:val="00D227C7"/>
    <w:rsid w:val="00D22CE3"/>
    <w:rsid w:val="00D23A41"/>
    <w:rsid w:val="00D23D69"/>
    <w:rsid w:val="00D264AC"/>
    <w:rsid w:val="00D2687E"/>
    <w:rsid w:val="00D27C59"/>
    <w:rsid w:val="00D27FCE"/>
    <w:rsid w:val="00D3047E"/>
    <w:rsid w:val="00D313D0"/>
    <w:rsid w:val="00D344BD"/>
    <w:rsid w:val="00D35C99"/>
    <w:rsid w:val="00D36DB0"/>
    <w:rsid w:val="00D37E37"/>
    <w:rsid w:val="00D37E7D"/>
    <w:rsid w:val="00D40F4D"/>
    <w:rsid w:val="00D436A9"/>
    <w:rsid w:val="00D44189"/>
    <w:rsid w:val="00D44208"/>
    <w:rsid w:val="00D448B5"/>
    <w:rsid w:val="00D45167"/>
    <w:rsid w:val="00D451F7"/>
    <w:rsid w:val="00D501D4"/>
    <w:rsid w:val="00D50AC3"/>
    <w:rsid w:val="00D53D97"/>
    <w:rsid w:val="00D55A9C"/>
    <w:rsid w:val="00D56095"/>
    <w:rsid w:val="00D56B92"/>
    <w:rsid w:val="00D571A4"/>
    <w:rsid w:val="00D579AA"/>
    <w:rsid w:val="00D62A80"/>
    <w:rsid w:val="00D6396B"/>
    <w:rsid w:val="00D64966"/>
    <w:rsid w:val="00D662C1"/>
    <w:rsid w:val="00D66489"/>
    <w:rsid w:val="00D67080"/>
    <w:rsid w:val="00D70A59"/>
    <w:rsid w:val="00D710EF"/>
    <w:rsid w:val="00D73180"/>
    <w:rsid w:val="00D73254"/>
    <w:rsid w:val="00D74447"/>
    <w:rsid w:val="00D748A7"/>
    <w:rsid w:val="00D76431"/>
    <w:rsid w:val="00D80008"/>
    <w:rsid w:val="00D8133D"/>
    <w:rsid w:val="00D829D9"/>
    <w:rsid w:val="00D84112"/>
    <w:rsid w:val="00D8489E"/>
    <w:rsid w:val="00D84DB9"/>
    <w:rsid w:val="00D85397"/>
    <w:rsid w:val="00D859C3"/>
    <w:rsid w:val="00D87D74"/>
    <w:rsid w:val="00D902CC"/>
    <w:rsid w:val="00D9129A"/>
    <w:rsid w:val="00D92ED2"/>
    <w:rsid w:val="00D936B1"/>
    <w:rsid w:val="00D93AB9"/>
    <w:rsid w:val="00D93FC4"/>
    <w:rsid w:val="00D94001"/>
    <w:rsid w:val="00D97623"/>
    <w:rsid w:val="00D97C83"/>
    <w:rsid w:val="00D97F9B"/>
    <w:rsid w:val="00DA0ABC"/>
    <w:rsid w:val="00DA0CAB"/>
    <w:rsid w:val="00DA1553"/>
    <w:rsid w:val="00DA176D"/>
    <w:rsid w:val="00DA17D2"/>
    <w:rsid w:val="00DA1EA2"/>
    <w:rsid w:val="00DA225A"/>
    <w:rsid w:val="00DA53A4"/>
    <w:rsid w:val="00DA57D1"/>
    <w:rsid w:val="00DA7825"/>
    <w:rsid w:val="00DA79B0"/>
    <w:rsid w:val="00DB226C"/>
    <w:rsid w:val="00DB2CB5"/>
    <w:rsid w:val="00DB3890"/>
    <w:rsid w:val="00DB5788"/>
    <w:rsid w:val="00DB6353"/>
    <w:rsid w:val="00DB7276"/>
    <w:rsid w:val="00DC0858"/>
    <w:rsid w:val="00DC16D3"/>
    <w:rsid w:val="00DC5D04"/>
    <w:rsid w:val="00DD47EE"/>
    <w:rsid w:val="00DD5507"/>
    <w:rsid w:val="00DD5C62"/>
    <w:rsid w:val="00DD7C3D"/>
    <w:rsid w:val="00DE2C3F"/>
    <w:rsid w:val="00DE32F6"/>
    <w:rsid w:val="00DE4D3D"/>
    <w:rsid w:val="00DE6367"/>
    <w:rsid w:val="00DE6FBB"/>
    <w:rsid w:val="00DF09B6"/>
    <w:rsid w:val="00DF0EBA"/>
    <w:rsid w:val="00DF117F"/>
    <w:rsid w:val="00DF1AF1"/>
    <w:rsid w:val="00DF47EB"/>
    <w:rsid w:val="00DF4945"/>
    <w:rsid w:val="00DF517B"/>
    <w:rsid w:val="00DF58ED"/>
    <w:rsid w:val="00DF59CE"/>
    <w:rsid w:val="00DF59DE"/>
    <w:rsid w:val="00DF5A6A"/>
    <w:rsid w:val="00DF75C9"/>
    <w:rsid w:val="00DF7902"/>
    <w:rsid w:val="00DF7E67"/>
    <w:rsid w:val="00E00525"/>
    <w:rsid w:val="00E0276C"/>
    <w:rsid w:val="00E03631"/>
    <w:rsid w:val="00E03F78"/>
    <w:rsid w:val="00E04144"/>
    <w:rsid w:val="00E05504"/>
    <w:rsid w:val="00E06024"/>
    <w:rsid w:val="00E06388"/>
    <w:rsid w:val="00E06438"/>
    <w:rsid w:val="00E115C1"/>
    <w:rsid w:val="00E11A80"/>
    <w:rsid w:val="00E1294A"/>
    <w:rsid w:val="00E13DF3"/>
    <w:rsid w:val="00E174FE"/>
    <w:rsid w:val="00E17A46"/>
    <w:rsid w:val="00E20063"/>
    <w:rsid w:val="00E209AE"/>
    <w:rsid w:val="00E218A0"/>
    <w:rsid w:val="00E22523"/>
    <w:rsid w:val="00E22609"/>
    <w:rsid w:val="00E2270C"/>
    <w:rsid w:val="00E23222"/>
    <w:rsid w:val="00E23911"/>
    <w:rsid w:val="00E23A0E"/>
    <w:rsid w:val="00E24791"/>
    <w:rsid w:val="00E253CB"/>
    <w:rsid w:val="00E273E5"/>
    <w:rsid w:val="00E30CD0"/>
    <w:rsid w:val="00E31A53"/>
    <w:rsid w:val="00E33645"/>
    <w:rsid w:val="00E3432E"/>
    <w:rsid w:val="00E40753"/>
    <w:rsid w:val="00E421FD"/>
    <w:rsid w:val="00E43718"/>
    <w:rsid w:val="00E4702D"/>
    <w:rsid w:val="00E500FE"/>
    <w:rsid w:val="00E52F26"/>
    <w:rsid w:val="00E54915"/>
    <w:rsid w:val="00E54E5F"/>
    <w:rsid w:val="00E56448"/>
    <w:rsid w:val="00E567A4"/>
    <w:rsid w:val="00E5707A"/>
    <w:rsid w:val="00E576CA"/>
    <w:rsid w:val="00E60B3A"/>
    <w:rsid w:val="00E611AA"/>
    <w:rsid w:val="00E62C4E"/>
    <w:rsid w:val="00E63A34"/>
    <w:rsid w:val="00E649E2"/>
    <w:rsid w:val="00E64CBE"/>
    <w:rsid w:val="00E6582A"/>
    <w:rsid w:val="00E65A88"/>
    <w:rsid w:val="00E6772A"/>
    <w:rsid w:val="00E67A3E"/>
    <w:rsid w:val="00E72D9D"/>
    <w:rsid w:val="00E72F2C"/>
    <w:rsid w:val="00E747A8"/>
    <w:rsid w:val="00E74BBB"/>
    <w:rsid w:val="00E75BB7"/>
    <w:rsid w:val="00E75C05"/>
    <w:rsid w:val="00E764B8"/>
    <w:rsid w:val="00E76750"/>
    <w:rsid w:val="00E80016"/>
    <w:rsid w:val="00E80819"/>
    <w:rsid w:val="00E8125E"/>
    <w:rsid w:val="00E83D78"/>
    <w:rsid w:val="00E83FA9"/>
    <w:rsid w:val="00E8530E"/>
    <w:rsid w:val="00E865FB"/>
    <w:rsid w:val="00E87DBD"/>
    <w:rsid w:val="00E904A4"/>
    <w:rsid w:val="00E9084C"/>
    <w:rsid w:val="00E90E91"/>
    <w:rsid w:val="00E91E13"/>
    <w:rsid w:val="00E92FF4"/>
    <w:rsid w:val="00E93361"/>
    <w:rsid w:val="00E94BD9"/>
    <w:rsid w:val="00E95174"/>
    <w:rsid w:val="00E955B7"/>
    <w:rsid w:val="00E963D7"/>
    <w:rsid w:val="00E96FE0"/>
    <w:rsid w:val="00E972AB"/>
    <w:rsid w:val="00EA047D"/>
    <w:rsid w:val="00EA0D3E"/>
    <w:rsid w:val="00EA136A"/>
    <w:rsid w:val="00EA1B87"/>
    <w:rsid w:val="00EA2276"/>
    <w:rsid w:val="00EA2B18"/>
    <w:rsid w:val="00EA2E55"/>
    <w:rsid w:val="00EA4FE4"/>
    <w:rsid w:val="00EA70E4"/>
    <w:rsid w:val="00EB0CAE"/>
    <w:rsid w:val="00EB1026"/>
    <w:rsid w:val="00EB2D74"/>
    <w:rsid w:val="00EB35EC"/>
    <w:rsid w:val="00EB3717"/>
    <w:rsid w:val="00EB4179"/>
    <w:rsid w:val="00EB6A6B"/>
    <w:rsid w:val="00EC0C19"/>
    <w:rsid w:val="00EC22F7"/>
    <w:rsid w:val="00EC329F"/>
    <w:rsid w:val="00EC3577"/>
    <w:rsid w:val="00EC35F5"/>
    <w:rsid w:val="00EC45B0"/>
    <w:rsid w:val="00EC4C5A"/>
    <w:rsid w:val="00ED0A58"/>
    <w:rsid w:val="00ED262C"/>
    <w:rsid w:val="00ED2DBA"/>
    <w:rsid w:val="00ED35DC"/>
    <w:rsid w:val="00ED3CCF"/>
    <w:rsid w:val="00ED4183"/>
    <w:rsid w:val="00ED4FE3"/>
    <w:rsid w:val="00ED5979"/>
    <w:rsid w:val="00ED65A2"/>
    <w:rsid w:val="00ED69BE"/>
    <w:rsid w:val="00EE04DE"/>
    <w:rsid w:val="00EE0C85"/>
    <w:rsid w:val="00EE18EB"/>
    <w:rsid w:val="00EE2CEF"/>
    <w:rsid w:val="00EE2FB4"/>
    <w:rsid w:val="00EE391E"/>
    <w:rsid w:val="00EE4EFB"/>
    <w:rsid w:val="00EE673F"/>
    <w:rsid w:val="00EE6E90"/>
    <w:rsid w:val="00EF188A"/>
    <w:rsid w:val="00EF3B4F"/>
    <w:rsid w:val="00EF58A4"/>
    <w:rsid w:val="00EF6F7F"/>
    <w:rsid w:val="00EF7A1A"/>
    <w:rsid w:val="00EF7E7F"/>
    <w:rsid w:val="00F002E7"/>
    <w:rsid w:val="00F02697"/>
    <w:rsid w:val="00F03179"/>
    <w:rsid w:val="00F0552C"/>
    <w:rsid w:val="00F05C68"/>
    <w:rsid w:val="00F11F88"/>
    <w:rsid w:val="00F12650"/>
    <w:rsid w:val="00F12BB8"/>
    <w:rsid w:val="00F13734"/>
    <w:rsid w:val="00F13B7E"/>
    <w:rsid w:val="00F144B6"/>
    <w:rsid w:val="00F14E30"/>
    <w:rsid w:val="00F156BD"/>
    <w:rsid w:val="00F173E8"/>
    <w:rsid w:val="00F17A9C"/>
    <w:rsid w:val="00F17DDA"/>
    <w:rsid w:val="00F20C0A"/>
    <w:rsid w:val="00F20FD8"/>
    <w:rsid w:val="00F2196E"/>
    <w:rsid w:val="00F21979"/>
    <w:rsid w:val="00F21B69"/>
    <w:rsid w:val="00F26397"/>
    <w:rsid w:val="00F26CB9"/>
    <w:rsid w:val="00F32301"/>
    <w:rsid w:val="00F3280C"/>
    <w:rsid w:val="00F33D0C"/>
    <w:rsid w:val="00F34CCB"/>
    <w:rsid w:val="00F35E3C"/>
    <w:rsid w:val="00F367FD"/>
    <w:rsid w:val="00F4069F"/>
    <w:rsid w:val="00F41CA1"/>
    <w:rsid w:val="00F42378"/>
    <w:rsid w:val="00F437E4"/>
    <w:rsid w:val="00F4383A"/>
    <w:rsid w:val="00F44DD3"/>
    <w:rsid w:val="00F454E7"/>
    <w:rsid w:val="00F46441"/>
    <w:rsid w:val="00F4782D"/>
    <w:rsid w:val="00F50A27"/>
    <w:rsid w:val="00F52BFB"/>
    <w:rsid w:val="00F5319F"/>
    <w:rsid w:val="00F53C5A"/>
    <w:rsid w:val="00F54622"/>
    <w:rsid w:val="00F5557C"/>
    <w:rsid w:val="00F5580F"/>
    <w:rsid w:val="00F57C95"/>
    <w:rsid w:val="00F60830"/>
    <w:rsid w:val="00F60CE1"/>
    <w:rsid w:val="00F60DB2"/>
    <w:rsid w:val="00F60ED8"/>
    <w:rsid w:val="00F62E5F"/>
    <w:rsid w:val="00F63637"/>
    <w:rsid w:val="00F704FD"/>
    <w:rsid w:val="00F70B54"/>
    <w:rsid w:val="00F72638"/>
    <w:rsid w:val="00F740D7"/>
    <w:rsid w:val="00F757C8"/>
    <w:rsid w:val="00F75B03"/>
    <w:rsid w:val="00F75BE7"/>
    <w:rsid w:val="00F7776F"/>
    <w:rsid w:val="00F77D7F"/>
    <w:rsid w:val="00F80509"/>
    <w:rsid w:val="00F81724"/>
    <w:rsid w:val="00F819AD"/>
    <w:rsid w:val="00F81E16"/>
    <w:rsid w:val="00F820DF"/>
    <w:rsid w:val="00F8356A"/>
    <w:rsid w:val="00F8391B"/>
    <w:rsid w:val="00F85B37"/>
    <w:rsid w:val="00F85D93"/>
    <w:rsid w:val="00F8699F"/>
    <w:rsid w:val="00F86D14"/>
    <w:rsid w:val="00F86F2E"/>
    <w:rsid w:val="00F87668"/>
    <w:rsid w:val="00F87B46"/>
    <w:rsid w:val="00F90382"/>
    <w:rsid w:val="00F907DC"/>
    <w:rsid w:val="00F92031"/>
    <w:rsid w:val="00F92B6B"/>
    <w:rsid w:val="00F92FDD"/>
    <w:rsid w:val="00F9320A"/>
    <w:rsid w:val="00F93620"/>
    <w:rsid w:val="00F9565C"/>
    <w:rsid w:val="00F977F2"/>
    <w:rsid w:val="00FA06B8"/>
    <w:rsid w:val="00FA2DB3"/>
    <w:rsid w:val="00FA3787"/>
    <w:rsid w:val="00FA4679"/>
    <w:rsid w:val="00FA4ADB"/>
    <w:rsid w:val="00FA4D4A"/>
    <w:rsid w:val="00FA5D45"/>
    <w:rsid w:val="00FA6C30"/>
    <w:rsid w:val="00FA77D9"/>
    <w:rsid w:val="00FB00B8"/>
    <w:rsid w:val="00FB0874"/>
    <w:rsid w:val="00FB1014"/>
    <w:rsid w:val="00FB3F2F"/>
    <w:rsid w:val="00FB46FD"/>
    <w:rsid w:val="00FB6E02"/>
    <w:rsid w:val="00FB798A"/>
    <w:rsid w:val="00FC17D7"/>
    <w:rsid w:val="00FC1BCA"/>
    <w:rsid w:val="00FC3743"/>
    <w:rsid w:val="00FC710F"/>
    <w:rsid w:val="00FC76BF"/>
    <w:rsid w:val="00FD1053"/>
    <w:rsid w:val="00FD112C"/>
    <w:rsid w:val="00FD18FB"/>
    <w:rsid w:val="00FD2A0C"/>
    <w:rsid w:val="00FD2C99"/>
    <w:rsid w:val="00FD33F2"/>
    <w:rsid w:val="00FD7329"/>
    <w:rsid w:val="00FE181D"/>
    <w:rsid w:val="00FE1A2E"/>
    <w:rsid w:val="00FE3817"/>
    <w:rsid w:val="00FE415B"/>
    <w:rsid w:val="00FE433E"/>
    <w:rsid w:val="00FE52CC"/>
    <w:rsid w:val="00FE52D8"/>
    <w:rsid w:val="00FE56D8"/>
    <w:rsid w:val="00FE7117"/>
    <w:rsid w:val="00FE75F9"/>
    <w:rsid w:val="00FE79D1"/>
    <w:rsid w:val="00FF241A"/>
    <w:rsid w:val="00FF2580"/>
    <w:rsid w:val="00FF322D"/>
    <w:rsid w:val="00FF5909"/>
    <w:rsid w:val="00FF5ED1"/>
    <w:rsid w:val="00FF6393"/>
    <w:rsid w:val="00FF698F"/>
    <w:rsid w:val="00FF7220"/>
    <w:rsid w:val="00FF79D1"/>
    <w:rsid w:val="00FF7D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752FA8"/>
  <w15:docId w15:val="{DAE9F9CA-2733-4A2A-B110-4B5CF607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5821"/>
    <w:pPr>
      <w:spacing w:after="0" w:line="240" w:lineRule="auto"/>
    </w:pPr>
    <w:rPr>
      <w:rFonts w:ascii="Times New Roman" w:eastAsia="Times New Roman" w:hAnsi="Times New Roman" w:cs="Times New Roman"/>
      <w:sz w:val="24"/>
      <w:szCs w:val="24"/>
      <w:lang w:val="en-US"/>
    </w:rPr>
  </w:style>
  <w:style w:type="paragraph" w:styleId="Nadpis1">
    <w:name w:val="heading 1"/>
    <w:basedOn w:val="Normln"/>
    <w:next w:val="Normln"/>
    <w:link w:val="Nadpis1Char"/>
    <w:qFormat/>
    <w:rsid w:val="00945821"/>
    <w:pPr>
      <w:keepNext/>
      <w:jc w:val="center"/>
      <w:outlineLvl w:val="0"/>
    </w:pPr>
    <w:rPr>
      <w:b/>
      <w:bCs/>
      <w:sz w:val="48"/>
      <w:szCs w:val="34"/>
    </w:rPr>
  </w:style>
  <w:style w:type="paragraph" w:styleId="Nadpis2">
    <w:name w:val="heading 2"/>
    <w:basedOn w:val="Normln"/>
    <w:next w:val="Normln"/>
    <w:link w:val="Nadpis2Char"/>
    <w:qFormat/>
    <w:rsid w:val="00945821"/>
    <w:pPr>
      <w:keepNext/>
      <w:autoSpaceDE w:val="0"/>
      <w:autoSpaceDN w:val="0"/>
      <w:adjustRightInd w:val="0"/>
      <w:outlineLvl w:val="1"/>
    </w:pPr>
    <w:rPr>
      <w:rFonts w:eastAsia="SimSun"/>
      <w:b/>
      <w:szCs w:val="20"/>
      <w:lang w:val="cs-CZ" w:eastAsia="cs-CZ"/>
    </w:rPr>
  </w:style>
  <w:style w:type="paragraph" w:styleId="Nadpis3">
    <w:name w:val="heading 3"/>
    <w:basedOn w:val="Normln"/>
    <w:next w:val="Normln"/>
    <w:link w:val="Nadpis3Char"/>
    <w:qFormat/>
    <w:rsid w:val="00945821"/>
    <w:pPr>
      <w:keepNext/>
      <w:jc w:val="center"/>
      <w:outlineLvl w:val="2"/>
    </w:pPr>
    <w:rPr>
      <w:b/>
      <w:bCs/>
      <w:color w:val="000000"/>
      <w:sz w:val="20"/>
      <w:szCs w:val="20"/>
      <w:lang w:val="cs-CZ" w:eastAsia="cs-CZ"/>
    </w:rPr>
  </w:style>
  <w:style w:type="paragraph" w:styleId="Nadpis4">
    <w:name w:val="heading 4"/>
    <w:basedOn w:val="Normln"/>
    <w:next w:val="Normln"/>
    <w:link w:val="Nadpis4Char"/>
    <w:qFormat/>
    <w:rsid w:val="00945821"/>
    <w:pPr>
      <w:keepNext/>
      <w:ind w:firstLine="720"/>
      <w:jc w:val="both"/>
      <w:outlineLvl w:val="3"/>
    </w:pPr>
    <w:rPr>
      <w:b/>
      <w:bCs/>
      <w:color w:val="FF0000"/>
      <w:lang w:val="cs-CZ"/>
    </w:rPr>
  </w:style>
  <w:style w:type="paragraph" w:styleId="Nadpis5">
    <w:name w:val="heading 5"/>
    <w:basedOn w:val="Normln"/>
    <w:next w:val="Normln"/>
    <w:link w:val="Nadpis5Char"/>
    <w:qFormat/>
    <w:rsid w:val="00945821"/>
    <w:pPr>
      <w:keepNext/>
      <w:outlineLvl w:val="4"/>
    </w:pPr>
    <w:rPr>
      <w:b/>
      <w:bCs/>
      <w:color w:val="0000FF"/>
      <w:sz w:val="28"/>
    </w:rPr>
  </w:style>
  <w:style w:type="paragraph" w:styleId="Nadpis6">
    <w:name w:val="heading 6"/>
    <w:basedOn w:val="Normln"/>
    <w:next w:val="Normln"/>
    <w:link w:val="Nadpis6Char"/>
    <w:qFormat/>
    <w:rsid w:val="00945821"/>
    <w:pPr>
      <w:keepNext/>
      <w:spacing w:before="360"/>
      <w:ind w:firstLine="357"/>
      <w:jc w:val="center"/>
      <w:outlineLvl w:val="5"/>
    </w:pPr>
    <w:rPr>
      <w:rFonts w:ascii="Arial" w:hAnsi="Arial" w:cs="Arial"/>
      <w:b/>
      <w:bCs/>
      <w:sz w:val="28"/>
      <w:lang w:val="cs-CZ"/>
    </w:rPr>
  </w:style>
  <w:style w:type="paragraph" w:styleId="Nadpis7">
    <w:name w:val="heading 7"/>
    <w:basedOn w:val="Normln"/>
    <w:next w:val="Normln"/>
    <w:link w:val="Nadpis7Char"/>
    <w:qFormat/>
    <w:rsid w:val="00945821"/>
    <w:pPr>
      <w:keepNext/>
      <w:ind w:firstLine="540"/>
      <w:outlineLvl w:val="6"/>
    </w:pPr>
    <w:rPr>
      <w:b/>
      <w:bCs/>
      <w:color w:val="0000FF"/>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45821"/>
    <w:rPr>
      <w:rFonts w:ascii="Times New Roman" w:eastAsia="Times New Roman" w:hAnsi="Times New Roman" w:cs="Times New Roman"/>
      <w:b/>
      <w:bCs/>
      <w:sz w:val="48"/>
      <w:szCs w:val="34"/>
      <w:lang w:val="en-US"/>
    </w:rPr>
  </w:style>
  <w:style w:type="character" w:customStyle="1" w:styleId="Nadpis2Char">
    <w:name w:val="Nadpis 2 Char"/>
    <w:basedOn w:val="Standardnpsmoodstavce"/>
    <w:link w:val="Nadpis2"/>
    <w:rsid w:val="00945821"/>
    <w:rPr>
      <w:rFonts w:ascii="Times New Roman" w:eastAsia="SimSun" w:hAnsi="Times New Roman" w:cs="Times New Roman"/>
      <w:b/>
      <w:sz w:val="24"/>
      <w:szCs w:val="20"/>
      <w:lang w:eastAsia="cs-CZ"/>
    </w:rPr>
  </w:style>
  <w:style w:type="character" w:customStyle="1" w:styleId="Nadpis3Char">
    <w:name w:val="Nadpis 3 Char"/>
    <w:basedOn w:val="Standardnpsmoodstavce"/>
    <w:link w:val="Nadpis3"/>
    <w:rsid w:val="00945821"/>
    <w:rPr>
      <w:rFonts w:ascii="Times New Roman" w:eastAsia="Times New Roman" w:hAnsi="Times New Roman" w:cs="Times New Roman"/>
      <w:b/>
      <w:bCs/>
      <w:color w:val="000000"/>
      <w:sz w:val="20"/>
      <w:szCs w:val="20"/>
      <w:lang w:eastAsia="cs-CZ"/>
    </w:rPr>
  </w:style>
  <w:style w:type="character" w:customStyle="1" w:styleId="Nadpis4Char">
    <w:name w:val="Nadpis 4 Char"/>
    <w:basedOn w:val="Standardnpsmoodstavce"/>
    <w:link w:val="Nadpis4"/>
    <w:rsid w:val="00945821"/>
    <w:rPr>
      <w:rFonts w:ascii="Times New Roman" w:eastAsia="Times New Roman" w:hAnsi="Times New Roman" w:cs="Times New Roman"/>
      <w:b/>
      <w:bCs/>
      <w:color w:val="FF0000"/>
      <w:sz w:val="24"/>
      <w:szCs w:val="24"/>
    </w:rPr>
  </w:style>
  <w:style w:type="character" w:customStyle="1" w:styleId="Nadpis5Char">
    <w:name w:val="Nadpis 5 Char"/>
    <w:basedOn w:val="Standardnpsmoodstavce"/>
    <w:link w:val="Nadpis5"/>
    <w:rsid w:val="00945821"/>
    <w:rPr>
      <w:rFonts w:ascii="Times New Roman" w:eastAsia="Times New Roman" w:hAnsi="Times New Roman" w:cs="Times New Roman"/>
      <w:b/>
      <w:bCs/>
      <w:color w:val="0000FF"/>
      <w:sz w:val="28"/>
      <w:szCs w:val="24"/>
      <w:lang w:val="en-US"/>
    </w:rPr>
  </w:style>
  <w:style w:type="character" w:customStyle="1" w:styleId="Nadpis6Char">
    <w:name w:val="Nadpis 6 Char"/>
    <w:basedOn w:val="Standardnpsmoodstavce"/>
    <w:link w:val="Nadpis6"/>
    <w:rsid w:val="00945821"/>
    <w:rPr>
      <w:rFonts w:ascii="Arial" w:eastAsia="Times New Roman" w:hAnsi="Arial" w:cs="Arial"/>
      <w:b/>
      <w:bCs/>
      <w:sz w:val="28"/>
      <w:szCs w:val="24"/>
    </w:rPr>
  </w:style>
  <w:style w:type="character" w:customStyle="1" w:styleId="Nadpis7Char">
    <w:name w:val="Nadpis 7 Char"/>
    <w:basedOn w:val="Standardnpsmoodstavce"/>
    <w:link w:val="Nadpis7"/>
    <w:rsid w:val="00945821"/>
    <w:rPr>
      <w:rFonts w:ascii="Times New Roman" w:eastAsia="Times New Roman" w:hAnsi="Times New Roman" w:cs="Times New Roman"/>
      <w:b/>
      <w:bCs/>
      <w:color w:val="0000FF"/>
      <w:sz w:val="24"/>
      <w:szCs w:val="24"/>
    </w:rPr>
  </w:style>
  <w:style w:type="paragraph" w:customStyle="1" w:styleId="sloKZ">
    <w:name w:val="Číslo KZ"/>
    <w:basedOn w:val="Normln"/>
    <w:rsid w:val="00945821"/>
    <w:rPr>
      <w:b/>
      <w:bCs/>
      <w:sz w:val="32"/>
      <w:lang w:val="cs-CZ" w:eastAsia="cs-CZ"/>
    </w:rPr>
  </w:style>
  <w:style w:type="paragraph" w:customStyle="1" w:styleId="odsazen">
    <w:name w:val="odsazený"/>
    <w:basedOn w:val="Normln"/>
    <w:rsid w:val="00945821"/>
    <w:pPr>
      <w:spacing w:before="120"/>
      <w:ind w:firstLine="567"/>
      <w:jc w:val="both"/>
    </w:pPr>
    <w:rPr>
      <w:iCs/>
      <w:lang w:val="cs-CZ" w:eastAsia="cs-CZ"/>
    </w:rPr>
  </w:style>
  <w:style w:type="paragraph" w:styleId="Zkladntext">
    <w:name w:val="Body Text"/>
    <w:basedOn w:val="Normln"/>
    <w:link w:val="ZkladntextChar"/>
    <w:semiHidden/>
    <w:rsid w:val="00945821"/>
    <w:pPr>
      <w:jc w:val="both"/>
    </w:pPr>
    <w:rPr>
      <w:b/>
      <w:bCs/>
      <w:sz w:val="28"/>
      <w:szCs w:val="28"/>
      <w:lang w:val="cs-CZ"/>
    </w:rPr>
  </w:style>
  <w:style w:type="character" w:customStyle="1" w:styleId="ZkladntextChar">
    <w:name w:val="Základní text Char"/>
    <w:basedOn w:val="Standardnpsmoodstavce"/>
    <w:link w:val="Zkladntext"/>
    <w:semiHidden/>
    <w:rsid w:val="00945821"/>
    <w:rPr>
      <w:rFonts w:ascii="Times New Roman" w:eastAsia="Times New Roman" w:hAnsi="Times New Roman" w:cs="Times New Roman"/>
      <w:b/>
      <w:bCs/>
      <w:sz w:val="28"/>
      <w:szCs w:val="28"/>
    </w:rPr>
  </w:style>
  <w:style w:type="paragraph" w:styleId="Zkladntextodsazen2">
    <w:name w:val="Body Text Indent 2"/>
    <w:basedOn w:val="Normln"/>
    <w:link w:val="Zkladntextodsazen2Char"/>
    <w:semiHidden/>
    <w:rsid w:val="00945821"/>
    <w:pPr>
      <w:ind w:left="1080" w:hanging="1080"/>
    </w:pPr>
    <w:rPr>
      <w:sz w:val="20"/>
      <w:szCs w:val="20"/>
      <w:lang w:val="cs-CZ"/>
    </w:rPr>
  </w:style>
  <w:style w:type="character" w:customStyle="1" w:styleId="Zkladntextodsazen2Char">
    <w:name w:val="Základní text odsazený 2 Char"/>
    <w:basedOn w:val="Standardnpsmoodstavce"/>
    <w:link w:val="Zkladntextodsazen2"/>
    <w:semiHidden/>
    <w:rsid w:val="00945821"/>
    <w:rPr>
      <w:rFonts w:ascii="Times New Roman" w:eastAsia="Times New Roman" w:hAnsi="Times New Roman" w:cs="Times New Roman"/>
      <w:sz w:val="20"/>
      <w:szCs w:val="20"/>
    </w:rPr>
  </w:style>
  <w:style w:type="paragraph" w:customStyle="1" w:styleId="vod">
    <w:name w:val="Úvod"/>
    <w:basedOn w:val="Normln"/>
    <w:rsid w:val="00945821"/>
    <w:pPr>
      <w:keepNext/>
      <w:spacing w:before="360" w:after="240"/>
      <w:jc w:val="both"/>
      <w:outlineLvl w:val="0"/>
    </w:pPr>
    <w:rPr>
      <w:b/>
      <w:bCs/>
      <w:sz w:val="28"/>
      <w:szCs w:val="28"/>
      <w:lang w:val="cs-CZ" w:eastAsia="cs-CZ"/>
    </w:rPr>
  </w:style>
  <w:style w:type="paragraph" w:customStyle="1" w:styleId="Prosttext1">
    <w:name w:val="Prostý text1"/>
    <w:basedOn w:val="Normln"/>
    <w:rsid w:val="00945821"/>
    <w:rPr>
      <w:rFonts w:ascii="Courier New" w:hAnsi="Courier New"/>
      <w:sz w:val="20"/>
      <w:szCs w:val="20"/>
      <w:lang w:val="cs-CZ" w:eastAsia="cs-CZ"/>
    </w:rPr>
  </w:style>
  <w:style w:type="paragraph" w:styleId="Zkladntextodsazen">
    <w:name w:val="Body Text Indent"/>
    <w:basedOn w:val="Normln"/>
    <w:link w:val="ZkladntextodsazenChar"/>
    <w:semiHidden/>
    <w:rsid w:val="00945821"/>
    <w:pPr>
      <w:ind w:firstLine="720"/>
      <w:jc w:val="both"/>
    </w:pPr>
    <w:rPr>
      <w:lang w:val="cs-CZ"/>
    </w:rPr>
  </w:style>
  <w:style w:type="character" w:customStyle="1" w:styleId="ZkladntextodsazenChar">
    <w:name w:val="Základní text odsazený Char"/>
    <w:basedOn w:val="Standardnpsmoodstavce"/>
    <w:link w:val="Zkladntextodsazen"/>
    <w:semiHidden/>
    <w:rsid w:val="00945821"/>
    <w:rPr>
      <w:rFonts w:ascii="Times New Roman" w:eastAsia="Times New Roman" w:hAnsi="Times New Roman" w:cs="Times New Roman"/>
      <w:sz w:val="24"/>
      <w:szCs w:val="24"/>
    </w:rPr>
  </w:style>
  <w:style w:type="paragraph" w:styleId="Zkladntext3">
    <w:name w:val="Body Text 3"/>
    <w:basedOn w:val="Normln"/>
    <w:link w:val="Zkladntext3Char"/>
    <w:semiHidden/>
    <w:rsid w:val="00945821"/>
    <w:pPr>
      <w:keepNext/>
      <w:keepLines/>
      <w:jc w:val="both"/>
    </w:pPr>
    <w:rPr>
      <w:b/>
      <w:bCs/>
      <w:lang w:val="cs-CZ"/>
    </w:rPr>
  </w:style>
  <w:style w:type="character" w:customStyle="1" w:styleId="Zkladntext3Char">
    <w:name w:val="Základní text 3 Char"/>
    <w:basedOn w:val="Standardnpsmoodstavce"/>
    <w:link w:val="Zkladntext3"/>
    <w:semiHidden/>
    <w:rsid w:val="00945821"/>
    <w:rPr>
      <w:rFonts w:ascii="Times New Roman" w:eastAsia="Times New Roman" w:hAnsi="Times New Roman" w:cs="Times New Roman"/>
      <w:b/>
      <w:bCs/>
      <w:sz w:val="24"/>
      <w:szCs w:val="24"/>
    </w:rPr>
  </w:style>
  <w:style w:type="paragraph" w:styleId="Zkladntext2">
    <w:name w:val="Body Text 2"/>
    <w:basedOn w:val="Normln"/>
    <w:link w:val="Zkladntext2Char"/>
    <w:semiHidden/>
    <w:rsid w:val="00945821"/>
    <w:pPr>
      <w:spacing w:after="120" w:line="480" w:lineRule="auto"/>
    </w:pPr>
  </w:style>
  <w:style w:type="character" w:customStyle="1" w:styleId="Zkladntext2Char">
    <w:name w:val="Základní text 2 Char"/>
    <w:basedOn w:val="Standardnpsmoodstavce"/>
    <w:link w:val="Zkladntext2"/>
    <w:semiHidden/>
    <w:rsid w:val="00945821"/>
    <w:rPr>
      <w:rFonts w:ascii="Times New Roman" w:eastAsia="Times New Roman" w:hAnsi="Times New Roman" w:cs="Times New Roman"/>
      <w:sz w:val="24"/>
      <w:szCs w:val="24"/>
      <w:lang w:val="en-US"/>
    </w:rPr>
  </w:style>
  <w:style w:type="paragraph" w:customStyle="1" w:styleId="BodyText21">
    <w:name w:val="Body Text 21"/>
    <w:basedOn w:val="Normln"/>
    <w:rsid w:val="00945821"/>
    <w:pPr>
      <w:overflowPunct w:val="0"/>
      <w:autoSpaceDE w:val="0"/>
      <w:autoSpaceDN w:val="0"/>
      <w:adjustRightInd w:val="0"/>
      <w:spacing w:after="120"/>
      <w:jc w:val="both"/>
      <w:textAlignment w:val="baseline"/>
    </w:pPr>
    <w:rPr>
      <w:szCs w:val="20"/>
      <w:lang w:val="cs-CZ" w:eastAsia="cs-CZ"/>
    </w:rPr>
  </w:style>
  <w:style w:type="paragraph" w:styleId="Zpat">
    <w:name w:val="footer"/>
    <w:basedOn w:val="Normln"/>
    <w:link w:val="ZpatChar"/>
    <w:uiPriority w:val="99"/>
    <w:rsid w:val="00945821"/>
    <w:pPr>
      <w:tabs>
        <w:tab w:val="center" w:pos="4536"/>
        <w:tab w:val="right" w:pos="9072"/>
      </w:tabs>
    </w:pPr>
  </w:style>
  <w:style w:type="character" w:customStyle="1" w:styleId="ZpatChar">
    <w:name w:val="Zápatí Char"/>
    <w:basedOn w:val="Standardnpsmoodstavce"/>
    <w:link w:val="Zpat"/>
    <w:uiPriority w:val="99"/>
    <w:rsid w:val="00945821"/>
    <w:rPr>
      <w:rFonts w:ascii="Times New Roman" w:eastAsia="Times New Roman" w:hAnsi="Times New Roman" w:cs="Times New Roman"/>
      <w:sz w:val="24"/>
      <w:szCs w:val="24"/>
      <w:lang w:val="en-US"/>
    </w:rPr>
  </w:style>
  <w:style w:type="character" w:styleId="slostrnky">
    <w:name w:val="page number"/>
    <w:basedOn w:val="Standardnpsmoodstavce"/>
    <w:semiHidden/>
    <w:rsid w:val="00945821"/>
  </w:style>
  <w:style w:type="paragraph" w:styleId="Zhlav">
    <w:name w:val="header"/>
    <w:basedOn w:val="Normln"/>
    <w:link w:val="ZhlavChar"/>
    <w:semiHidden/>
    <w:rsid w:val="00945821"/>
    <w:pPr>
      <w:tabs>
        <w:tab w:val="center" w:pos="4536"/>
        <w:tab w:val="right" w:pos="9072"/>
      </w:tabs>
    </w:pPr>
  </w:style>
  <w:style w:type="character" w:customStyle="1" w:styleId="ZhlavChar">
    <w:name w:val="Záhlaví Char"/>
    <w:basedOn w:val="Standardnpsmoodstavce"/>
    <w:link w:val="Zhlav"/>
    <w:semiHidden/>
    <w:rsid w:val="00945821"/>
    <w:rPr>
      <w:rFonts w:ascii="Times New Roman" w:eastAsia="Times New Roman" w:hAnsi="Times New Roman" w:cs="Times New Roman"/>
      <w:sz w:val="24"/>
      <w:szCs w:val="24"/>
      <w:lang w:val="en-US"/>
    </w:rPr>
  </w:style>
  <w:style w:type="character" w:styleId="Odkaznakoment">
    <w:name w:val="annotation reference"/>
    <w:basedOn w:val="Standardnpsmoodstavce"/>
    <w:uiPriority w:val="99"/>
    <w:semiHidden/>
    <w:rsid w:val="00945821"/>
    <w:rPr>
      <w:sz w:val="16"/>
      <w:szCs w:val="16"/>
    </w:rPr>
  </w:style>
  <w:style w:type="paragraph" w:styleId="Textkomente">
    <w:name w:val="annotation text"/>
    <w:basedOn w:val="Normln"/>
    <w:link w:val="TextkomenteChar"/>
    <w:uiPriority w:val="99"/>
    <w:semiHidden/>
    <w:rsid w:val="00945821"/>
    <w:rPr>
      <w:sz w:val="20"/>
      <w:szCs w:val="20"/>
    </w:rPr>
  </w:style>
  <w:style w:type="character" w:customStyle="1" w:styleId="TextkomenteChar">
    <w:name w:val="Text komentáře Char"/>
    <w:basedOn w:val="Standardnpsmoodstavce"/>
    <w:link w:val="Textkomente"/>
    <w:uiPriority w:val="99"/>
    <w:semiHidden/>
    <w:rsid w:val="00945821"/>
    <w:rPr>
      <w:rFonts w:ascii="Times New Roman" w:eastAsia="Times New Roman" w:hAnsi="Times New Roman" w:cs="Times New Roman"/>
      <w:sz w:val="20"/>
      <w:szCs w:val="20"/>
      <w:lang w:val="en-US"/>
    </w:rPr>
  </w:style>
  <w:style w:type="paragraph" w:customStyle="1" w:styleId="Zkladntext21">
    <w:name w:val="Základní text 21"/>
    <w:basedOn w:val="Normln"/>
    <w:rsid w:val="00945821"/>
    <w:pPr>
      <w:overflowPunct w:val="0"/>
      <w:autoSpaceDE w:val="0"/>
      <w:autoSpaceDN w:val="0"/>
      <w:adjustRightInd w:val="0"/>
      <w:spacing w:line="240" w:lineRule="atLeast"/>
      <w:ind w:firstLine="425"/>
      <w:jc w:val="both"/>
    </w:pPr>
    <w:rPr>
      <w:color w:val="FF0000"/>
      <w:szCs w:val="20"/>
      <w:lang w:val="cs-CZ" w:eastAsia="cs-CZ"/>
    </w:rPr>
  </w:style>
  <w:style w:type="paragraph" w:styleId="Titulek">
    <w:name w:val="caption"/>
    <w:basedOn w:val="Normln"/>
    <w:next w:val="Normln"/>
    <w:uiPriority w:val="35"/>
    <w:qFormat/>
    <w:rsid w:val="00945821"/>
    <w:pPr>
      <w:jc w:val="both"/>
    </w:pPr>
    <w:rPr>
      <w:rFonts w:asciiTheme="minorHAnsi" w:hAnsiTheme="minorHAnsi" w:cs="Arial"/>
      <w:b/>
      <w:iCs/>
      <w:color w:val="000000" w:themeColor="text1"/>
      <w:lang w:val="cs-CZ"/>
    </w:rPr>
  </w:style>
  <w:style w:type="paragraph" w:styleId="Zkladntextodsazen3">
    <w:name w:val="Body Text Indent 3"/>
    <w:basedOn w:val="Normln"/>
    <w:link w:val="Zkladntextodsazen3Char"/>
    <w:semiHidden/>
    <w:rsid w:val="00945821"/>
    <w:pPr>
      <w:autoSpaceDE w:val="0"/>
      <w:autoSpaceDN w:val="0"/>
      <w:adjustRightInd w:val="0"/>
      <w:spacing w:line="240" w:lineRule="atLeast"/>
      <w:ind w:left="360" w:hanging="360"/>
      <w:jc w:val="both"/>
    </w:pPr>
    <w:rPr>
      <w:lang w:val="cs-CZ"/>
    </w:rPr>
  </w:style>
  <w:style w:type="character" w:customStyle="1" w:styleId="Zkladntextodsazen3Char">
    <w:name w:val="Základní text odsazený 3 Char"/>
    <w:basedOn w:val="Standardnpsmoodstavce"/>
    <w:link w:val="Zkladntextodsazen3"/>
    <w:semiHidden/>
    <w:rsid w:val="00945821"/>
    <w:rPr>
      <w:rFonts w:ascii="Times New Roman" w:eastAsia="Times New Roman" w:hAnsi="Times New Roman" w:cs="Times New Roman"/>
      <w:sz w:val="24"/>
      <w:szCs w:val="24"/>
    </w:rPr>
  </w:style>
  <w:style w:type="table" w:styleId="Mkatabulky">
    <w:name w:val="Table Grid"/>
    <w:basedOn w:val="Normlntabulka"/>
    <w:uiPriority w:val="59"/>
    <w:rsid w:val="00945821"/>
    <w:pPr>
      <w:spacing w:after="0" w:line="240" w:lineRule="auto"/>
    </w:pPr>
    <w:rPr>
      <w:rFonts w:ascii="Times New Roman" w:eastAsia="Times New Roman" w:hAnsi="Times New Roman" w:cs="Times New Roman"/>
      <w:sz w:val="20"/>
      <w:szCs w:val="20"/>
      <w:lang w:eastAsia="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945821"/>
    <w:rPr>
      <w:rFonts w:ascii="Tahoma" w:hAnsi="Tahoma" w:cs="Tahoma"/>
      <w:sz w:val="16"/>
      <w:szCs w:val="16"/>
    </w:rPr>
  </w:style>
  <w:style w:type="character" w:customStyle="1" w:styleId="TextbublinyChar">
    <w:name w:val="Text bubliny Char"/>
    <w:basedOn w:val="Standardnpsmoodstavce"/>
    <w:link w:val="Textbubliny"/>
    <w:uiPriority w:val="99"/>
    <w:semiHidden/>
    <w:rsid w:val="00945821"/>
    <w:rPr>
      <w:rFonts w:ascii="Tahoma" w:eastAsia="Times New Roman" w:hAnsi="Tahoma" w:cs="Tahoma"/>
      <w:sz w:val="16"/>
      <w:szCs w:val="16"/>
      <w:lang w:val="en-US"/>
    </w:rPr>
  </w:style>
  <w:style w:type="paragraph" w:styleId="Odstavecseseznamem">
    <w:name w:val="List Paragraph"/>
    <w:basedOn w:val="Normln"/>
    <w:link w:val="OdstavecseseznamemChar"/>
    <w:uiPriority w:val="34"/>
    <w:qFormat/>
    <w:rsid w:val="00945821"/>
    <w:pPr>
      <w:ind w:left="720"/>
      <w:contextualSpacing/>
    </w:pPr>
  </w:style>
  <w:style w:type="paragraph" w:styleId="Textpoznpodarou">
    <w:name w:val="footnote text"/>
    <w:basedOn w:val="Normln"/>
    <w:link w:val="TextpoznpodarouChar"/>
    <w:uiPriority w:val="99"/>
    <w:unhideWhenUsed/>
    <w:rsid w:val="00945821"/>
    <w:rPr>
      <w:sz w:val="20"/>
      <w:szCs w:val="20"/>
    </w:rPr>
  </w:style>
  <w:style w:type="character" w:customStyle="1" w:styleId="TextpoznpodarouChar">
    <w:name w:val="Text pozn. pod čarou Char"/>
    <w:basedOn w:val="Standardnpsmoodstavce"/>
    <w:link w:val="Textpoznpodarou"/>
    <w:uiPriority w:val="99"/>
    <w:rsid w:val="00945821"/>
    <w:rPr>
      <w:rFonts w:ascii="Times New Roman" w:eastAsia="Times New Roman" w:hAnsi="Times New Roman" w:cs="Times New Roman"/>
      <w:sz w:val="20"/>
      <w:szCs w:val="20"/>
      <w:lang w:val="en-US"/>
    </w:rPr>
  </w:style>
  <w:style w:type="character" w:styleId="Znakapoznpodarou">
    <w:name w:val="footnote reference"/>
    <w:basedOn w:val="Standardnpsmoodstavce"/>
    <w:uiPriority w:val="99"/>
    <w:semiHidden/>
    <w:unhideWhenUsed/>
    <w:rsid w:val="00945821"/>
    <w:rPr>
      <w:vertAlign w:val="superscript"/>
    </w:rPr>
  </w:style>
  <w:style w:type="table" w:customStyle="1" w:styleId="Mkatabulky1">
    <w:name w:val="Mřížka tabulky1"/>
    <w:basedOn w:val="Normlntabulka"/>
    <w:next w:val="Mkatabulky"/>
    <w:uiPriority w:val="59"/>
    <w:rsid w:val="00945821"/>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5821"/>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45821"/>
    <w:rPr>
      <w:b/>
      <w:bCs/>
    </w:rPr>
  </w:style>
  <w:style w:type="character" w:customStyle="1" w:styleId="PedmtkomenteChar">
    <w:name w:val="Předmět komentáře Char"/>
    <w:basedOn w:val="TextkomenteChar"/>
    <w:link w:val="Pedmtkomente"/>
    <w:uiPriority w:val="99"/>
    <w:semiHidden/>
    <w:rsid w:val="00945821"/>
    <w:rPr>
      <w:rFonts w:ascii="Times New Roman" w:eastAsia="Times New Roman" w:hAnsi="Times New Roman" w:cs="Times New Roman"/>
      <w:b/>
      <w:bCs/>
      <w:sz w:val="20"/>
      <w:szCs w:val="20"/>
      <w:lang w:val="en-US"/>
    </w:rPr>
  </w:style>
  <w:style w:type="paragraph" w:styleId="Normlnweb">
    <w:name w:val="Normal (Web)"/>
    <w:basedOn w:val="Normln"/>
    <w:uiPriority w:val="99"/>
    <w:semiHidden/>
    <w:unhideWhenUsed/>
    <w:rsid w:val="00945821"/>
  </w:style>
  <w:style w:type="character" w:customStyle="1" w:styleId="OdstavecseseznamemChar">
    <w:name w:val="Odstavec se seznamem Char"/>
    <w:basedOn w:val="Standardnpsmoodstavce"/>
    <w:link w:val="Odstavecseseznamem"/>
    <w:uiPriority w:val="34"/>
    <w:locked/>
    <w:rsid w:val="00945821"/>
    <w:rPr>
      <w:rFonts w:ascii="Times New Roman" w:eastAsia="Times New Roman" w:hAnsi="Times New Roman" w:cs="Times New Roman"/>
      <w:sz w:val="24"/>
      <w:szCs w:val="24"/>
      <w:lang w:val="en-US"/>
    </w:rPr>
  </w:style>
  <w:style w:type="paragraph" w:styleId="Bezmezer">
    <w:name w:val="No Spacing"/>
    <w:uiPriority w:val="1"/>
    <w:qFormat/>
    <w:rsid w:val="00945821"/>
    <w:pPr>
      <w:spacing w:after="0" w:line="240" w:lineRule="auto"/>
      <w:contextualSpacing/>
      <w:jc w:val="both"/>
    </w:pPr>
    <w:rPr>
      <w:rFonts w:eastAsia="Times New Roman" w:cs="Times New Roman"/>
      <w:color w:val="000000" w:themeColor="text1"/>
      <w:sz w:val="24"/>
      <w:szCs w:val="24"/>
    </w:rPr>
  </w:style>
  <w:style w:type="character" w:styleId="Hypertextovodkaz">
    <w:name w:val="Hyperlink"/>
    <w:basedOn w:val="Standardnpsmoodstavce"/>
    <w:uiPriority w:val="99"/>
    <w:unhideWhenUsed/>
    <w:rsid w:val="00945821"/>
    <w:rPr>
      <w:color w:val="0563C1" w:themeColor="hyperlink"/>
      <w:u w:val="single"/>
    </w:rPr>
  </w:style>
  <w:style w:type="table" w:customStyle="1" w:styleId="Mkatabulky11">
    <w:name w:val="Mřížka tabulky11"/>
    <w:basedOn w:val="Normlntabulka"/>
    <w:next w:val="Mkatabulky"/>
    <w:uiPriority w:val="59"/>
    <w:rsid w:val="00641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uiPriority w:val="22"/>
    <w:qFormat/>
    <w:rsid w:val="00947380"/>
    <w:rPr>
      <w:b/>
      <w:bCs/>
    </w:rPr>
  </w:style>
  <w:style w:type="paragraph" w:customStyle="1" w:styleId="Nadpis1x">
    <w:name w:val="Nadpis 1x"/>
    <w:basedOn w:val="Odstavecseseznamem"/>
    <w:qFormat/>
    <w:rsid w:val="002D3777"/>
    <w:pPr>
      <w:numPr>
        <w:numId w:val="3"/>
      </w:numPr>
      <w:tabs>
        <w:tab w:val="left" w:pos="426"/>
      </w:tabs>
      <w:spacing w:before="240" w:after="120"/>
      <w:jc w:val="both"/>
    </w:pPr>
    <w:rPr>
      <w:rFonts w:ascii="Calibri" w:hAnsi="Calibri" w:cs="Calibri"/>
      <w:b/>
      <w:szCs w:val="22"/>
      <w:lang w:val="cs-CZ"/>
    </w:rPr>
  </w:style>
  <w:style w:type="paragraph" w:customStyle="1" w:styleId="Nadpis2x">
    <w:name w:val="Nadpis 2x"/>
    <w:basedOn w:val="Nadpis1x"/>
    <w:qFormat/>
    <w:rsid w:val="002D3777"/>
    <w:pPr>
      <w:numPr>
        <w:ilvl w:val="1"/>
      </w:numPr>
      <w:spacing w:before="120"/>
      <w:ind w:left="0"/>
    </w:pPr>
  </w:style>
  <w:style w:type="paragraph" w:customStyle="1" w:styleId="Nadpis3x">
    <w:name w:val="Nadpis 3x"/>
    <w:basedOn w:val="Nadpis2x"/>
    <w:qFormat/>
    <w:rsid w:val="002D3777"/>
    <w:pPr>
      <w:numPr>
        <w:ilvl w:val="2"/>
      </w:numPr>
      <w:ind w:left="2160" w:hanging="360"/>
    </w:pPr>
  </w:style>
  <w:style w:type="paragraph" w:customStyle="1" w:styleId="normln2">
    <w:name w:val="normální 2"/>
    <w:basedOn w:val="Normln"/>
    <w:qFormat/>
    <w:rsid w:val="00C5429B"/>
    <w:pPr>
      <w:spacing w:after="120"/>
      <w:jc w:val="both"/>
    </w:pPr>
    <w:rPr>
      <w:rFonts w:ascii="Calibri" w:hAnsi="Calibri"/>
      <w:lang w:val="cs-CZ"/>
    </w:rPr>
  </w:style>
  <w:style w:type="table" w:customStyle="1" w:styleId="Mkatabulky2">
    <w:name w:val="Mřížka tabulky2"/>
    <w:basedOn w:val="Normlntabulka"/>
    <w:next w:val="Mkatabulky"/>
    <w:uiPriority w:val="59"/>
    <w:rsid w:val="00B046FB"/>
    <w:pPr>
      <w:spacing w:after="0" w:line="240" w:lineRule="auto"/>
    </w:pPr>
    <w:rPr>
      <w:rFonts w:ascii="Times New Roman" w:eastAsia="Times New Roman" w:hAnsi="Times New Roman" w:cs="Times New Roman"/>
      <w:sz w:val="20"/>
      <w:szCs w:val="20"/>
      <w:lang w:eastAsia="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vysvtlivek">
    <w:name w:val="endnote text"/>
    <w:basedOn w:val="Normln"/>
    <w:link w:val="TextvysvtlivekChar"/>
    <w:uiPriority w:val="99"/>
    <w:semiHidden/>
    <w:unhideWhenUsed/>
    <w:rsid w:val="00863F20"/>
    <w:rPr>
      <w:sz w:val="20"/>
      <w:szCs w:val="20"/>
    </w:rPr>
  </w:style>
  <w:style w:type="character" w:customStyle="1" w:styleId="TextvysvtlivekChar">
    <w:name w:val="Text vysvětlivek Char"/>
    <w:basedOn w:val="Standardnpsmoodstavce"/>
    <w:link w:val="Textvysvtlivek"/>
    <w:uiPriority w:val="99"/>
    <w:semiHidden/>
    <w:rsid w:val="00863F20"/>
    <w:rPr>
      <w:rFonts w:ascii="Times New Roman" w:eastAsia="Times New Roman" w:hAnsi="Times New Roman" w:cs="Times New Roman"/>
      <w:sz w:val="20"/>
      <w:szCs w:val="20"/>
      <w:lang w:val="en-US"/>
    </w:rPr>
  </w:style>
  <w:style w:type="character" w:styleId="Odkaznavysvtlivky">
    <w:name w:val="endnote reference"/>
    <w:basedOn w:val="Standardnpsmoodstavce"/>
    <w:uiPriority w:val="99"/>
    <w:semiHidden/>
    <w:unhideWhenUsed/>
    <w:rsid w:val="00863F20"/>
    <w:rPr>
      <w:vertAlign w:val="superscript"/>
    </w:rPr>
  </w:style>
  <w:style w:type="character" w:styleId="Sledovanodkaz">
    <w:name w:val="FollowedHyperlink"/>
    <w:basedOn w:val="Standardnpsmoodstavce"/>
    <w:uiPriority w:val="99"/>
    <w:semiHidden/>
    <w:unhideWhenUsed/>
    <w:rsid w:val="00F437E4"/>
    <w:rPr>
      <w:color w:val="954F72" w:themeColor="followedHyperlink"/>
      <w:u w:val="single"/>
    </w:rPr>
  </w:style>
  <w:style w:type="paragraph" w:styleId="Revize">
    <w:name w:val="Revision"/>
    <w:hidden/>
    <w:uiPriority w:val="99"/>
    <w:semiHidden/>
    <w:rsid w:val="00586F4D"/>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62945">
      <w:bodyDiv w:val="1"/>
      <w:marLeft w:val="0"/>
      <w:marRight w:val="0"/>
      <w:marTop w:val="0"/>
      <w:marBottom w:val="0"/>
      <w:divBdr>
        <w:top w:val="none" w:sz="0" w:space="0" w:color="auto"/>
        <w:left w:val="none" w:sz="0" w:space="0" w:color="auto"/>
        <w:bottom w:val="none" w:sz="0" w:space="0" w:color="auto"/>
        <w:right w:val="none" w:sz="0" w:space="0" w:color="auto"/>
      </w:divBdr>
    </w:div>
    <w:div w:id="194270963">
      <w:bodyDiv w:val="1"/>
      <w:marLeft w:val="0"/>
      <w:marRight w:val="0"/>
      <w:marTop w:val="0"/>
      <w:marBottom w:val="0"/>
      <w:divBdr>
        <w:top w:val="none" w:sz="0" w:space="0" w:color="auto"/>
        <w:left w:val="none" w:sz="0" w:space="0" w:color="auto"/>
        <w:bottom w:val="none" w:sz="0" w:space="0" w:color="auto"/>
        <w:right w:val="none" w:sz="0" w:space="0" w:color="auto"/>
      </w:divBdr>
    </w:div>
    <w:div w:id="198469451">
      <w:bodyDiv w:val="1"/>
      <w:marLeft w:val="0"/>
      <w:marRight w:val="0"/>
      <w:marTop w:val="0"/>
      <w:marBottom w:val="0"/>
      <w:divBdr>
        <w:top w:val="none" w:sz="0" w:space="0" w:color="auto"/>
        <w:left w:val="none" w:sz="0" w:space="0" w:color="auto"/>
        <w:bottom w:val="none" w:sz="0" w:space="0" w:color="auto"/>
        <w:right w:val="none" w:sz="0" w:space="0" w:color="auto"/>
      </w:divBdr>
    </w:div>
    <w:div w:id="277420851">
      <w:bodyDiv w:val="1"/>
      <w:marLeft w:val="0"/>
      <w:marRight w:val="0"/>
      <w:marTop w:val="0"/>
      <w:marBottom w:val="0"/>
      <w:divBdr>
        <w:top w:val="none" w:sz="0" w:space="0" w:color="auto"/>
        <w:left w:val="none" w:sz="0" w:space="0" w:color="auto"/>
        <w:bottom w:val="none" w:sz="0" w:space="0" w:color="auto"/>
        <w:right w:val="none" w:sz="0" w:space="0" w:color="auto"/>
      </w:divBdr>
    </w:div>
    <w:div w:id="288702210">
      <w:bodyDiv w:val="1"/>
      <w:marLeft w:val="0"/>
      <w:marRight w:val="0"/>
      <w:marTop w:val="0"/>
      <w:marBottom w:val="0"/>
      <w:divBdr>
        <w:top w:val="none" w:sz="0" w:space="0" w:color="auto"/>
        <w:left w:val="none" w:sz="0" w:space="0" w:color="auto"/>
        <w:bottom w:val="none" w:sz="0" w:space="0" w:color="auto"/>
        <w:right w:val="none" w:sz="0" w:space="0" w:color="auto"/>
      </w:divBdr>
    </w:div>
    <w:div w:id="589584504">
      <w:bodyDiv w:val="1"/>
      <w:marLeft w:val="0"/>
      <w:marRight w:val="0"/>
      <w:marTop w:val="0"/>
      <w:marBottom w:val="0"/>
      <w:divBdr>
        <w:top w:val="none" w:sz="0" w:space="0" w:color="auto"/>
        <w:left w:val="none" w:sz="0" w:space="0" w:color="auto"/>
        <w:bottom w:val="none" w:sz="0" w:space="0" w:color="auto"/>
        <w:right w:val="none" w:sz="0" w:space="0" w:color="auto"/>
      </w:divBdr>
    </w:div>
    <w:div w:id="822431239">
      <w:bodyDiv w:val="1"/>
      <w:marLeft w:val="0"/>
      <w:marRight w:val="0"/>
      <w:marTop w:val="0"/>
      <w:marBottom w:val="0"/>
      <w:divBdr>
        <w:top w:val="none" w:sz="0" w:space="0" w:color="auto"/>
        <w:left w:val="none" w:sz="0" w:space="0" w:color="auto"/>
        <w:bottom w:val="none" w:sz="0" w:space="0" w:color="auto"/>
        <w:right w:val="none" w:sz="0" w:space="0" w:color="auto"/>
      </w:divBdr>
    </w:div>
    <w:div w:id="1212499519">
      <w:bodyDiv w:val="1"/>
      <w:marLeft w:val="0"/>
      <w:marRight w:val="0"/>
      <w:marTop w:val="0"/>
      <w:marBottom w:val="0"/>
      <w:divBdr>
        <w:top w:val="none" w:sz="0" w:space="0" w:color="auto"/>
        <w:left w:val="none" w:sz="0" w:space="0" w:color="auto"/>
        <w:bottom w:val="none" w:sz="0" w:space="0" w:color="auto"/>
        <w:right w:val="none" w:sz="0" w:space="0" w:color="auto"/>
      </w:divBdr>
    </w:div>
    <w:div w:id="135877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ecd.org/gov/budgeting/principles-budgetary-governance.htm" TargetMode="External"/><Relationship Id="rId2" Type="http://schemas.openxmlformats.org/officeDocument/2006/relationships/hyperlink" Target="http://cedr.mfcr.cz" TargetMode="External"/><Relationship Id="rId1" Type="http://schemas.openxmlformats.org/officeDocument/2006/relationships/hyperlink" Target="http://www.edssmvs.cz/" TargetMode="External"/><Relationship Id="rId4" Type="http://schemas.openxmlformats.org/officeDocument/2006/relationships/hyperlink" Target="http://survey.internationalbudget.or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24848B-1808-4D4C-9A40-AA2E08417828}"/>
</file>

<file path=customXml/itemProps2.xml><?xml version="1.0" encoding="utf-8"?>
<ds:datastoreItem xmlns:ds="http://schemas.openxmlformats.org/officeDocument/2006/customXml" ds:itemID="{9A3311CB-8865-4C48-B1AD-6A751D210E94}"/>
</file>

<file path=customXml/itemProps3.xml><?xml version="1.0" encoding="utf-8"?>
<ds:datastoreItem xmlns:ds="http://schemas.openxmlformats.org/officeDocument/2006/customXml" ds:itemID="{022A0699-EDC3-4131-BCB5-29A73B33F34E}"/>
</file>

<file path=customXml/itemProps4.xml><?xml version="1.0" encoding="utf-8"?>
<ds:datastoreItem xmlns:ds="http://schemas.openxmlformats.org/officeDocument/2006/customXml" ds:itemID="{9AE11ABB-3249-433B-B1E6-0B5647A7E120}"/>
</file>

<file path=docProps/app.xml><?xml version="1.0" encoding="utf-8"?>
<Properties xmlns="http://schemas.openxmlformats.org/officeDocument/2006/extended-properties" xmlns:vt="http://schemas.openxmlformats.org/officeDocument/2006/docPropsVTypes">
  <Template>580C3BC0.dotm</Template>
  <TotalTime>0</TotalTime>
  <Pages>16</Pages>
  <Words>5240</Words>
  <Characters>30920</Characters>
  <Application>Microsoft Office Word</Application>
  <DocSecurity>4</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NKU</Company>
  <LinksUpToDate>false</LinksUpToDate>
  <CharactersWithSpaces>36088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15/31 - Peněžní prostředky určené na zajištění informační podpory systému financování programů a dotací a vybrané dotace a programy reprodukce majetku</dc:title>
  <dc:creator>Nejvyšší kontrolní úřad</dc:creator>
  <cp:keywords>kontrolní závěr; informační podpora; dotace</cp:keywords>
  <dc:description/>
  <cp:lastModifiedBy>KOKRDA Daniel</cp:lastModifiedBy>
  <cp:revision>2</cp:revision>
  <cp:lastPrinted>2016-07-11T11:30:00Z</cp:lastPrinted>
  <dcterms:created xsi:type="dcterms:W3CDTF">2016-08-08T08:28:00Z</dcterms:created>
  <dcterms:modified xsi:type="dcterms:W3CDTF">2016-08-08T08:28:00Z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0x0101002F7A625AE9F5AB4A939F92BCAA7FEC02</vt:lpwstr>
  </property>
</Properties>
</file>