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644FA" w14:textId="77777777" w:rsidR="00390FA5" w:rsidRPr="002B021C" w:rsidRDefault="002B021C" w:rsidP="00390FA5">
      <w:pPr>
        <w:jc w:val="center"/>
        <w:rPr>
          <w:rFonts w:ascii="Calibri" w:hAnsi="Calibri" w:cs="Calibri"/>
          <w:b/>
          <w:color w:val="000000"/>
          <w:lang w:val="cs-CZ"/>
        </w:rPr>
      </w:pPr>
      <w:r w:rsidRPr="002B021C">
        <w:rPr>
          <w:rFonts w:ascii="Calibri" w:hAnsi="Calibri" w:cs="Calibri"/>
          <w:noProof/>
          <w:highlight w:val="yellow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9355865" wp14:editId="6E8CFF2B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763905" cy="53975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0D813" w14:textId="77777777" w:rsidR="00390FA5" w:rsidRPr="002B021C" w:rsidRDefault="00390FA5" w:rsidP="00390FA5">
      <w:pPr>
        <w:jc w:val="center"/>
        <w:rPr>
          <w:rFonts w:ascii="Calibri" w:hAnsi="Calibri" w:cs="Calibri"/>
          <w:b/>
          <w:color w:val="000000"/>
          <w:lang w:val="cs-CZ"/>
        </w:rPr>
      </w:pPr>
    </w:p>
    <w:p w14:paraId="565E4604" w14:textId="77777777" w:rsidR="002B021C" w:rsidRPr="002B021C" w:rsidRDefault="002B021C" w:rsidP="00390FA5">
      <w:pPr>
        <w:jc w:val="center"/>
        <w:rPr>
          <w:rFonts w:ascii="Calibri" w:hAnsi="Calibri" w:cs="Calibri"/>
          <w:b/>
          <w:color w:val="000000"/>
          <w:lang w:val="cs-CZ"/>
        </w:rPr>
      </w:pPr>
    </w:p>
    <w:p w14:paraId="79B0DDB1" w14:textId="77777777" w:rsidR="0066795A" w:rsidRDefault="0066795A" w:rsidP="00390FA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bookmarkStart w:id="0" w:name="_GoBack"/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Kontrolní závěr z kontrolní akce</w:t>
      </w:r>
    </w:p>
    <w:p w14:paraId="1135D221" w14:textId="77777777" w:rsidR="00390FA5" w:rsidRPr="00A74DC0" w:rsidRDefault="00390FA5" w:rsidP="00390FA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</w:p>
    <w:p w14:paraId="58CAF528" w14:textId="0BCC986A" w:rsidR="0066795A" w:rsidRDefault="0066795A" w:rsidP="00390FA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16/1</w:t>
      </w:r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5</w:t>
      </w:r>
    </w:p>
    <w:p w14:paraId="7D2BF012" w14:textId="77777777" w:rsidR="00390FA5" w:rsidRPr="00A74DC0" w:rsidRDefault="00390FA5" w:rsidP="00390FA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</w:p>
    <w:p w14:paraId="0AF5B06A" w14:textId="3CB2B499" w:rsidR="0066795A" w:rsidRDefault="0066795A" w:rsidP="00390FA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Majetek a peněžní prostředk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y státu, </w:t>
      </w:r>
      <w:r w:rsidR="001911CD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br/>
      </w: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se kterými je příslušná</w:t>
      </w:r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 hospodařit </w:t>
      </w: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příspěvková organizace Národní divadlo</w:t>
      </w:r>
    </w:p>
    <w:bookmarkEnd w:id="0"/>
    <w:p w14:paraId="0E7D7FC5" w14:textId="77777777" w:rsidR="00390FA5" w:rsidRPr="002B021C" w:rsidRDefault="00390FA5" w:rsidP="00B121B9">
      <w:pPr>
        <w:jc w:val="both"/>
        <w:rPr>
          <w:rFonts w:asciiTheme="minorHAnsi" w:hAnsiTheme="minorHAnsi" w:cstheme="minorHAnsi"/>
          <w:color w:val="000000"/>
          <w:szCs w:val="28"/>
          <w:lang w:val="cs-CZ"/>
        </w:rPr>
      </w:pPr>
    </w:p>
    <w:p w14:paraId="7F9B50F3" w14:textId="77777777" w:rsidR="00390FA5" w:rsidRPr="002B021C" w:rsidRDefault="00390FA5" w:rsidP="00B121B9">
      <w:pPr>
        <w:jc w:val="both"/>
        <w:rPr>
          <w:rFonts w:asciiTheme="minorHAnsi" w:hAnsiTheme="minorHAnsi" w:cstheme="minorHAnsi"/>
          <w:color w:val="000000"/>
          <w:sz w:val="22"/>
          <w:lang w:val="cs-CZ"/>
        </w:rPr>
      </w:pPr>
    </w:p>
    <w:p w14:paraId="047D76D0" w14:textId="77777777" w:rsidR="0066795A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Kontrolní akce byla zařazena do plánu kontrolní činnosti Nej</w:t>
      </w:r>
      <w:r>
        <w:rPr>
          <w:rFonts w:asciiTheme="minorHAnsi" w:hAnsiTheme="minorHAnsi" w:cstheme="minorHAnsi"/>
          <w:color w:val="000000"/>
          <w:lang w:val="cs-CZ"/>
        </w:rPr>
        <w:t>vyššího kontrolního úřadu (dále 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jen „NKÚ“) </w:t>
      </w:r>
      <w:r>
        <w:rPr>
          <w:rFonts w:asciiTheme="minorHAnsi" w:hAnsiTheme="minorHAnsi" w:cstheme="minorHAnsi"/>
          <w:color w:val="000000"/>
          <w:lang w:val="cs-CZ"/>
        </w:rPr>
        <w:t>na rok 2016 pod číslem 16/1</w:t>
      </w:r>
      <w:r w:rsidRPr="00C31436">
        <w:rPr>
          <w:rFonts w:asciiTheme="minorHAnsi" w:hAnsiTheme="minorHAnsi" w:cstheme="minorHAnsi"/>
          <w:color w:val="000000"/>
          <w:lang w:val="cs-CZ"/>
        </w:rPr>
        <w:t>5. Kontrolní akci řídil</w:t>
      </w:r>
      <w:r>
        <w:rPr>
          <w:rFonts w:asciiTheme="minorHAnsi" w:hAnsiTheme="minorHAnsi" w:cstheme="minorHAnsi"/>
          <w:color w:val="000000"/>
          <w:lang w:val="cs-CZ"/>
        </w:rPr>
        <w:t>a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a kontrolní závěr vypracoval</w:t>
      </w:r>
      <w:r>
        <w:rPr>
          <w:rFonts w:asciiTheme="minorHAnsi" w:hAnsiTheme="minorHAnsi" w:cstheme="minorHAnsi"/>
          <w:color w:val="000000"/>
          <w:lang w:val="cs-CZ"/>
        </w:rPr>
        <w:t>a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člen</w:t>
      </w:r>
      <w:r>
        <w:rPr>
          <w:rFonts w:asciiTheme="minorHAnsi" w:hAnsiTheme="minorHAnsi" w:cstheme="minorHAnsi"/>
          <w:color w:val="000000"/>
          <w:lang w:val="cs-CZ"/>
        </w:rPr>
        <w:t>ka NKÚ RNDr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. </w:t>
      </w:r>
      <w:r>
        <w:rPr>
          <w:rFonts w:asciiTheme="minorHAnsi" w:hAnsiTheme="minorHAnsi" w:cstheme="minorHAnsi"/>
          <w:color w:val="000000"/>
          <w:lang w:val="cs-CZ"/>
        </w:rPr>
        <w:t>Hana Pýchová</w:t>
      </w:r>
      <w:r w:rsidRPr="00C31436">
        <w:rPr>
          <w:rFonts w:asciiTheme="minorHAnsi" w:hAnsiTheme="minorHAnsi" w:cstheme="minorHAnsi"/>
          <w:color w:val="000000"/>
          <w:lang w:val="cs-CZ"/>
        </w:rPr>
        <w:t>.</w:t>
      </w:r>
    </w:p>
    <w:p w14:paraId="5C43B8D7" w14:textId="77777777" w:rsidR="00B121B9" w:rsidRPr="00C31436" w:rsidRDefault="00B121B9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2D17018C" w14:textId="77777777" w:rsidR="0066795A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Cílem kontroly bylo prověřit hospodaření s majetkem a peněžními prostředk</w:t>
      </w:r>
      <w:r>
        <w:rPr>
          <w:rFonts w:asciiTheme="minorHAnsi" w:hAnsiTheme="minorHAnsi" w:cstheme="minorHAnsi"/>
          <w:color w:val="000000"/>
          <w:lang w:val="cs-CZ"/>
        </w:rPr>
        <w:t>y státu, se kterými je příslušná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hospodařit </w:t>
      </w:r>
      <w:r>
        <w:rPr>
          <w:rFonts w:asciiTheme="minorHAnsi" w:hAnsiTheme="minorHAnsi" w:cstheme="minorHAnsi"/>
          <w:color w:val="000000"/>
          <w:lang w:val="cs-CZ"/>
        </w:rPr>
        <w:t>příspěvková organizace Národní divadlo</w:t>
      </w:r>
      <w:r w:rsidRPr="00C31436">
        <w:rPr>
          <w:rFonts w:asciiTheme="minorHAnsi" w:hAnsiTheme="minorHAnsi" w:cstheme="minorHAnsi"/>
          <w:color w:val="000000"/>
          <w:lang w:val="cs-CZ"/>
        </w:rPr>
        <w:t>.</w:t>
      </w:r>
    </w:p>
    <w:p w14:paraId="66A331D9" w14:textId="77777777" w:rsidR="00B121B9" w:rsidRPr="00C31436" w:rsidRDefault="00B121B9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1DBC3171" w14:textId="77777777" w:rsidR="0066795A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Kont</w:t>
      </w:r>
      <w:r>
        <w:rPr>
          <w:rFonts w:asciiTheme="minorHAnsi" w:hAnsiTheme="minorHAnsi" w:cstheme="minorHAnsi"/>
          <w:color w:val="000000"/>
          <w:lang w:val="cs-CZ"/>
        </w:rPr>
        <w:t>rolovaným obdobím byly roky 2013 až 2015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, v případě věcných souvislostí i období předcházející a následující. Kontrola byla prováděna </w:t>
      </w:r>
      <w:r w:rsidR="00187877">
        <w:rPr>
          <w:rFonts w:asciiTheme="minorHAnsi" w:hAnsiTheme="minorHAnsi" w:cstheme="minorHAnsi"/>
          <w:color w:val="000000"/>
          <w:lang w:val="cs-CZ"/>
        </w:rPr>
        <w:t xml:space="preserve">u kontrolované osoby 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od </w:t>
      </w:r>
      <w:r>
        <w:rPr>
          <w:rFonts w:asciiTheme="minorHAnsi" w:hAnsiTheme="minorHAnsi" w:cstheme="minorHAnsi"/>
          <w:color w:val="000000"/>
          <w:lang w:val="cs-CZ"/>
        </w:rPr>
        <w:t xml:space="preserve">května </w:t>
      </w:r>
      <w:r w:rsidR="00315415">
        <w:rPr>
          <w:rFonts w:asciiTheme="minorHAnsi" w:hAnsiTheme="minorHAnsi" w:cstheme="minorHAnsi"/>
          <w:color w:val="000000"/>
          <w:lang w:val="cs-CZ"/>
        </w:rPr>
        <w:t>do </w:t>
      </w:r>
      <w:r w:rsidRPr="00C31436">
        <w:rPr>
          <w:rFonts w:asciiTheme="minorHAnsi" w:hAnsiTheme="minorHAnsi" w:cstheme="minorHAnsi"/>
          <w:color w:val="000000"/>
          <w:lang w:val="cs-CZ"/>
        </w:rPr>
        <w:t>l</w:t>
      </w:r>
      <w:r>
        <w:rPr>
          <w:rFonts w:asciiTheme="minorHAnsi" w:hAnsiTheme="minorHAnsi" w:cstheme="minorHAnsi"/>
          <w:color w:val="000000"/>
          <w:lang w:val="cs-CZ"/>
        </w:rPr>
        <w:t>istopadu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2016.</w:t>
      </w:r>
    </w:p>
    <w:p w14:paraId="57C18D32" w14:textId="77777777" w:rsidR="00B121B9" w:rsidRPr="00C31436" w:rsidRDefault="00B121B9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3752AC81" w14:textId="77777777" w:rsidR="0066795A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6F2B9D">
        <w:rPr>
          <w:rFonts w:asciiTheme="minorHAnsi" w:hAnsiTheme="minorHAnsi" w:cstheme="minorHAnsi"/>
          <w:b/>
          <w:color w:val="000000"/>
          <w:lang w:val="cs-CZ"/>
        </w:rPr>
        <w:t>Kontrolovaná osoba: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Národní divadlo (dále také „ND</w:t>
      </w:r>
      <w:r w:rsidRPr="00C31436">
        <w:rPr>
          <w:rFonts w:asciiTheme="minorHAnsi" w:hAnsiTheme="minorHAnsi" w:cstheme="minorHAnsi"/>
          <w:color w:val="000000"/>
          <w:lang w:val="cs-CZ"/>
        </w:rPr>
        <w:t>“).</w:t>
      </w:r>
    </w:p>
    <w:p w14:paraId="79B09592" w14:textId="77777777" w:rsidR="00B121B9" w:rsidRPr="00C31436" w:rsidRDefault="00B121B9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0666F189" w14:textId="77777777" w:rsidR="0066795A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Námitka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proti </w:t>
      </w:r>
      <w:r>
        <w:rPr>
          <w:rFonts w:asciiTheme="minorHAnsi" w:hAnsiTheme="minorHAnsi" w:cstheme="minorHAnsi"/>
          <w:color w:val="000000"/>
          <w:lang w:val="cs-CZ"/>
        </w:rPr>
        <w:t>kontrolnímu protokolu, kterou podalo ND, byla vypořádána vedoucí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skupiny kontrolujících rozhodnutím o námitkách. </w:t>
      </w:r>
    </w:p>
    <w:p w14:paraId="364CD309" w14:textId="77777777" w:rsidR="00B121B9" w:rsidRDefault="00B121B9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3C48D7F0" w14:textId="77777777" w:rsidR="00B121B9" w:rsidRDefault="00B121B9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5190D998" w14:textId="3AD5D03D" w:rsidR="0066795A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Kolegium</w:t>
      </w:r>
      <w:r w:rsidR="000F38AE" w:rsidRPr="000F38AE">
        <w:rPr>
          <w:rFonts w:asciiTheme="minorHAnsi" w:hAnsiTheme="minorHAnsi" w:cstheme="minorHAnsi"/>
          <w:b/>
          <w:i/>
          <w:color w:val="000000"/>
          <w:lang w:val="cs-CZ"/>
        </w:rPr>
        <w:t xml:space="preserve">  </w:t>
      </w:r>
      <w:r w:rsidRPr="000F38AE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Pr="00C31436">
        <w:rPr>
          <w:rFonts w:asciiTheme="minorHAnsi" w:hAnsiTheme="minorHAnsi" w:cstheme="minorHAnsi"/>
          <w:b/>
          <w:i/>
          <w:color w:val="000000"/>
          <w:lang w:val="cs-CZ"/>
        </w:rPr>
        <w:t>N</w:t>
      </w:r>
      <w:r w:rsidR="00BD633C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Pr="00C31436">
        <w:rPr>
          <w:rFonts w:asciiTheme="minorHAnsi" w:hAnsiTheme="minorHAnsi" w:cstheme="minorHAnsi"/>
          <w:b/>
          <w:i/>
          <w:color w:val="000000"/>
          <w:lang w:val="cs-CZ"/>
        </w:rPr>
        <w:t>K</w:t>
      </w:r>
      <w:r w:rsidR="00BD633C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Pr="00C31436">
        <w:rPr>
          <w:rFonts w:asciiTheme="minorHAnsi" w:hAnsiTheme="minorHAnsi" w:cstheme="minorHAnsi"/>
          <w:b/>
          <w:i/>
          <w:color w:val="000000"/>
          <w:lang w:val="cs-CZ"/>
        </w:rPr>
        <w:t xml:space="preserve">Ú 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na svém </w:t>
      </w:r>
      <w:r w:rsidR="00FF54F1">
        <w:rPr>
          <w:rFonts w:asciiTheme="minorHAnsi" w:hAnsiTheme="minorHAnsi" w:cstheme="minorHAnsi"/>
          <w:color w:val="000000"/>
          <w:lang w:val="cs-CZ"/>
        </w:rPr>
        <w:t>III.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jednání, které se konalo dne </w:t>
      </w:r>
      <w:r w:rsidR="00FF54F1">
        <w:rPr>
          <w:rFonts w:asciiTheme="minorHAnsi" w:hAnsiTheme="minorHAnsi" w:cstheme="minorHAnsi"/>
          <w:color w:val="000000"/>
          <w:lang w:val="cs-CZ"/>
        </w:rPr>
        <w:t>13. února</w:t>
      </w:r>
      <w:r w:rsidR="003D4E50" w:rsidRPr="003D4E50">
        <w:t xml:space="preserve"> </w:t>
      </w:r>
      <w:r w:rsidR="003D4E50" w:rsidRPr="003D4E50">
        <w:rPr>
          <w:rFonts w:asciiTheme="minorHAnsi" w:hAnsiTheme="minorHAnsi" w:cstheme="minorHAnsi"/>
          <w:color w:val="000000"/>
          <w:lang w:val="cs-CZ"/>
        </w:rPr>
        <w:t>2017</w:t>
      </w:r>
      <w:r w:rsidRPr="00C31436">
        <w:rPr>
          <w:rFonts w:asciiTheme="minorHAnsi" w:hAnsiTheme="minorHAnsi" w:cstheme="minorHAnsi"/>
          <w:color w:val="000000"/>
          <w:lang w:val="cs-CZ"/>
        </w:rPr>
        <w:t>,</w:t>
      </w:r>
    </w:p>
    <w:p w14:paraId="3CF87A08" w14:textId="17F82964" w:rsidR="0066795A" w:rsidRPr="00C31436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s</w:t>
      </w:r>
      <w:r w:rsidRPr="00C31436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chválilo</w:t>
      </w:r>
      <w:r w:rsidR="000F38AE" w:rsidRPr="000F38AE">
        <w:rPr>
          <w:rFonts w:asciiTheme="minorHAnsi" w:hAnsiTheme="minorHAnsi" w:cstheme="minorHAnsi"/>
          <w:b/>
          <w:i/>
          <w:color w:val="000000"/>
          <w:lang w:val="cs-CZ"/>
        </w:rPr>
        <w:t xml:space="preserve">  </w:t>
      </w:r>
      <w:r w:rsidRPr="000F38AE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Pr="006F2B9D">
        <w:rPr>
          <w:rFonts w:asciiTheme="minorHAnsi" w:hAnsiTheme="minorHAnsi" w:cstheme="minorHAnsi"/>
          <w:color w:val="000000"/>
          <w:lang w:val="cs-CZ"/>
        </w:rPr>
        <w:t>usnesením</w:t>
      </w:r>
      <w:r w:rsidRPr="00BD633C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 xml:space="preserve">č. </w:t>
      </w:r>
      <w:r w:rsidR="00390FA5">
        <w:rPr>
          <w:rFonts w:asciiTheme="minorHAnsi" w:hAnsiTheme="minorHAnsi" w:cstheme="minorHAnsi"/>
          <w:color w:val="000000"/>
          <w:lang w:val="cs-CZ"/>
        </w:rPr>
        <w:t>16</w:t>
      </w:r>
      <w:r>
        <w:rPr>
          <w:rFonts w:asciiTheme="minorHAnsi" w:hAnsiTheme="minorHAnsi" w:cstheme="minorHAnsi"/>
          <w:color w:val="000000"/>
          <w:lang w:val="cs-CZ"/>
        </w:rPr>
        <w:t>/</w:t>
      </w:r>
      <w:r w:rsidR="00FF54F1">
        <w:rPr>
          <w:rFonts w:asciiTheme="minorHAnsi" w:hAnsiTheme="minorHAnsi" w:cstheme="minorHAnsi"/>
          <w:color w:val="000000"/>
          <w:lang w:val="cs-CZ"/>
        </w:rPr>
        <w:t>III</w:t>
      </w:r>
      <w:r>
        <w:rPr>
          <w:rFonts w:asciiTheme="minorHAnsi" w:hAnsiTheme="minorHAnsi" w:cstheme="minorHAnsi"/>
          <w:color w:val="000000"/>
          <w:lang w:val="cs-CZ"/>
        </w:rPr>
        <w:t>/2017</w:t>
      </w:r>
    </w:p>
    <w:p w14:paraId="236E4845" w14:textId="77777777" w:rsidR="0066795A" w:rsidRDefault="0066795A" w:rsidP="00B121B9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kontrolní</w:t>
      </w:r>
      <w:r w:rsidRPr="00C31436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C31436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závěr</w:t>
      </w:r>
      <w:r w:rsidRPr="00C31436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C31436">
        <w:rPr>
          <w:rFonts w:asciiTheme="minorHAnsi" w:hAnsiTheme="minorHAnsi" w:cstheme="minorHAnsi"/>
          <w:color w:val="000000"/>
          <w:lang w:val="cs-CZ"/>
        </w:rPr>
        <w:t>v tomto znění:</w:t>
      </w:r>
    </w:p>
    <w:p w14:paraId="58D73DDB" w14:textId="77777777" w:rsidR="00EE535A" w:rsidRDefault="00EE535A" w:rsidP="00B121B9">
      <w:pPr>
        <w:rPr>
          <w:rFonts w:asciiTheme="minorHAnsi" w:hAnsiTheme="minorHAnsi" w:cstheme="minorHAnsi"/>
          <w:color w:val="000000"/>
          <w:lang w:val="cs-CZ"/>
        </w:rPr>
      </w:pPr>
    </w:p>
    <w:p w14:paraId="546CDCA4" w14:textId="77777777" w:rsidR="00EE535A" w:rsidRDefault="00EE535A" w:rsidP="00B121B9">
      <w:pPr>
        <w:rPr>
          <w:rFonts w:asciiTheme="minorHAnsi" w:hAnsiTheme="minorHAnsi" w:cstheme="minorHAnsi"/>
          <w:color w:val="000000"/>
          <w:lang w:val="cs-CZ"/>
        </w:rPr>
      </w:pPr>
    </w:p>
    <w:p w14:paraId="6F595080" w14:textId="77777777" w:rsidR="001E7910" w:rsidRDefault="001E7910">
      <w:pPr>
        <w:spacing w:after="160" w:line="259" w:lineRule="auto"/>
        <w:rPr>
          <w:rFonts w:asciiTheme="minorHAnsi" w:hAnsiTheme="minorHAnsi" w:cstheme="minorHAnsi"/>
          <w:b/>
          <w:color w:val="000000"/>
          <w:sz w:val="28"/>
          <w:lang w:val="cs-CZ"/>
        </w:rPr>
      </w:pPr>
      <w:r>
        <w:rPr>
          <w:rFonts w:asciiTheme="minorHAnsi" w:hAnsiTheme="minorHAnsi" w:cstheme="minorHAnsi"/>
          <w:b/>
          <w:color w:val="000000"/>
          <w:sz w:val="28"/>
          <w:lang w:val="cs-CZ"/>
        </w:rPr>
        <w:br w:type="page"/>
      </w:r>
    </w:p>
    <w:p w14:paraId="50721EEF" w14:textId="77777777" w:rsidR="0066795A" w:rsidRPr="006F2B9D" w:rsidRDefault="0066795A" w:rsidP="002B021C">
      <w:pPr>
        <w:jc w:val="center"/>
        <w:rPr>
          <w:rFonts w:asciiTheme="minorHAnsi" w:hAnsiTheme="minorHAnsi" w:cstheme="minorHAnsi"/>
          <w:b/>
          <w:color w:val="000000"/>
          <w:sz w:val="28"/>
          <w:lang w:val="cs-CZ"/>
        </w:rPr>
      </w:pPr>
      <w:r w:rsidRPr="006F2B9D">
        <w:rPr>
          <w:rFonts w:asciiTheme="minorHAnsi" w:hAnsiTheme="minorHAnsi" w:cstheme="minorHAnsi"/>
          <w:b/>
          <w:color w:val="000000"/>
          <w:sz w:val="28"/>
          <w:lang w:val="cs-CZ"/>
        </w:rPr>
        <w:lastRenderedPageBreak/>
        <w:t>I. Úvod</w:t>
      </w:r>
    </w:p>
    <w:p w14:paraId="451987F9" w14:textId="77777777" w:rsidR="002B021C" w:rsidRDefault="002B021C" w:rsidP="002B021C">
      <w:pPr>
        <w:jc w:val="both"/>
        <w:rPr>
          <w:rFonts w:asciiTheme="minorHAnsi" w:hAnsiTheme="minorHAnsi" w:cstheme="minorHAnsi"/>
          <w:lang w:val="cs-CZ"/>
        </w:rPr>
      </w:pPr>
    </w:p>
    <w:p w14:paraId="7F822A6E" w14:textId="4BDC79E7" w:rsidR="0066795A" w:rsidRDefault="0070441F" w:rsidP="002B021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Kontrola byla zaměřena na prověření hospodaření s majetkem a peněžními prostředky státu, se kterými je příslušné hospodařit Národní divadlo. Dalším c</w:t>
      </w:r>
      <w:r w:rsidR="0066795A">
        <w:rPr>
          <w:rFonts w:asciiTheme="minorHAnsi" w:hAnsiTheme="minorHAnsi" w:cstheme="minorHAnsi"/>
          <w:lang w:val="cs-CZ"/>
        </w:rPr>
        <w:t xml:space="preserve">ílem kontroly bylo zjistit, zda transformace Státní opery Praha (dále také „SOP“) přispěla k účelnému a hospodárnému </w:t>
      </w:r>
      <w:r w:rsidR="00A56964">
        <w:rPr>
          <w:rFonts w:asciiTheme="minorHAnsi" w:hAnsiTheme="minorHAnsi" w:cstheme="minorHAnsi"/>
          <w:lang w:val="cs-CZ"/>
        </w:rPr>
        <w:t>nakládání</w:t>
      </w:r>
      <w:r w:rsidR="0066795A">
        <w:rPr>
          <w:rFonts w:asciiTheme="minorHAnsi" w:hAnsiTheme="minorHAnsi" w:cstheme="minorHAnsi"/>
          <w:lang w:val="cs-CZ"/>
        </w:rPr>
        <w:t xml:space="preserve"> s peněžními prostředky </w:t>
      </w:r>
      <w:r w:rsidR="00A56964">
        <w:rPr>
          <w:rFonts w:asciiTheme="minorHAnsi" w:hAnsiTheme="minorHAnsi" w:cstheme="minorHAnsi"/>
          <w:lang w:val="cs-CZ"/>
        </w:rPr>
        <w:t xml:space="preserve">a majetkem </w:t>
      </w:r>
      <w:r w:rsidR="0066795A">
        <w:rPr>
          <w:rFonts w:asciiTheme="minorHAnsi" w:hAnsiTheme="minorHAnsi" w:cstheme="minorHAnsi"/>
          <w:lang w:val="cs-CZ"/>
        </w:rPr>
        <w:t>státu a zda bylo dosaženo předpokládané úspory. ND</w:t>
      </w:r>
      <w:r w:rsidR="00094A8A">
        <w:rPr>
          <w:rFonts w:asciiTheme="minorHAnsi" w:hAnsiTheme="minorHAnsi" w:cstheme="minorHAnsi"/>
          <w:lang w:val="cs-CZ"/>
        </w:rPr>
        <w:t xml:space="preserve"> </w:t>
      </w:r>
      <w:r w:rsidR="0066795A">
        <w:rPr>
          <w:rFonts w:asciiTheme="minorHAnsi" w:hAnsiTheme="minorHAnsi" w:cstheme="minorHAnsi"/>
          <w:lang w:val="cs-CZ"/>
        </w:rPr>
        <w:t>je</w:t>
      </w:r>
      <w:r w:rsidR="00094A8A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státní </w:t>
      </w:r>
      <w:r w:rsidR="0066795A">
        <w:rPr>
          <w:rFonts w:asciiTheme="minorHAnsi" w:hAnsiTheme="minorHAnsi" w:cstheme="minorHAnsi"/>
          <w:lang w:val="cs-CZ"/>
        </w:rPr>
        <w:t xml:space="preserve">příspěvkovou organizací, jejímž zřizovatelem je Ministerstvo kultury (dále také „MK“). Je reprezentativní scénou České republiky a </w:t>
      </w:r>
      <w:r w:rsidR="00AB5A5F">
        <w:rPr>
          <w:rFonts w:asciiTheme="minorHAnsi" w:hAnsiTheme="minorHAnsi" w:cstheme="minorHAnsi"/>
          <w:lang w:val="cs-CZ"/>
        </w:rPr>
        <w:t>dle zřizovací listiny je jeho posláním</w:t>
      </w:r>
      <w:r w:rsidR="0066795A">
        <w:rPr>
          <w:rFonts w:asciiTheme="minorHAnsi" w:hAnsiTheme="minorHAnsi" w:cstheme="minorHAnsi"/>
          <w:lang w:val="cs-CZ"/>
        </w:rPr>
        <w:t xml:space="preserve"> mj. provozování divadelní, výstavní</w:t>
      </w:r>
      <w:r w:rsidR="005A5602">
        <w:rPr>
          <w:rFonts w:asciiTheme="minorHAnsi" w:hAnsiTheme="minorHAnsi" w:cstheme="minorHAnsi"/>
          <w:lang w:val="cs-CZ"/>
        </w:rPr>
        <w:t>,</w:t>
      </w:r>
      <w:r w:rsidR="0066795A">
        <w:rPr>
          <w:rFonts w:asciiTheme="minorHAnsi" w:hAnsiTheme="minorHAnsi" w:cstheme="minorHAnsi"/>
          <w:lang w:val="cs-CZ"/>
        </w:rPr>
        <w:t xml:space="preserve"> vzdělávací a výchovné činnosti.</w:t>
      </w:r>
    </w:p>
    <w:p w14:paraId="3FA2A909" w14:textId="77777777" w:rsidR="002B021C" w:rsidRDefault="002B021C" w:rsidP="002B021C">
      <w:pPr>
        <w:jc w:val="both"/>
        <w:rPr>
          <w:rFonts w:asciiTheme="minorHAnsi" w:hAnsiTheme="minorHAnsi" w:cstheme="minorHAnsi"/>
          <w:lang w:val="cs-CZ"/>
        </w:rPr>
      </w:pPr>
    </w:p>
    <w:p w14:paraId="5E3B8779" w14:textId="4DB0EDC8" w:rsidR="0066795A" w:rsidRDefault="0066795A" w:rsidP="002B021C">
      <w:pPr>
        <w:pStyle w:val="Odstavecseseznamem"/>
        <w:ind w:left="0"/>
        <w:contextualSpacing w:val="0"/>
        <w:jc w:val="both"/>
        <w:rPr>
          <w:rFonts w:asciiTheme="minorHAnsi" w:hAnsiTheme="minorHAnsi" w:cs="Arial"/>
          <w:szCs w:val="22"/>
          <w:lang w:val="cs-CZ"/>
        </w:rPr>
      </w:pPr>
      <w:r w:rsidRPr="004D0E82">
        <w:rPr>
          <w:rFonts w:asciiTheme="minorHAnsi" w:hAnsiTheme="minorHAnsi" w:cs="Arial"/>
          <w:szCs w:val="22"/>
          <w:lang w:val="cs-CZ"/>
        </w:rPr>
        <w:t>Ke kontrole byl vybrán vzorek majetku v hodnotě 1 701 971 </w:t>
      </w:r>
      <w:r w:rsidR="0070441F">
        <w:rPr>
          <w:rFonts w:asciiTheme="minorHAnsi" w:hAnsiTheme="minorHAnsi" w:cs="Arial"/>
          <w:szCs w:val="22"/>
          <w:lang w:val="cs-CZ"/>
        </w:rPr>
        <w:t>tis.</w:t>
      </w:r>
      <w:r w:rsidRPr="004D0E82">
        <w:rPr>
          <w:rFonts w:asciiTheme="minorHAnsi" w:hAnsiTheme="minorHAnsi" w:cs="Arial"/>
          <w:szCs w:val="22"/>
          <w:lang w:val="cs-CZ"/>
        </w:rPr>
        <w:t xml:space="preserve"> Kč.</w:t>
      </w:r>
      <w:r w:rsidRPr="004D0E82">
        <w:rPr>
          <w:rFonts w:asciiTheme="minorHAnsi" w:hAnsiTheme="minorHAnsi" w:cs="Arial"/>
          <w:spacing w:val="-2"/>
          <w:szCs w:val="22"/>
          <w:lang w:val="cs-CZ"/>
        </w:rPr>
        <w:t xml:space="preserve"> Objem kontrolovaných finančních prostředků za kontrolované období činil 270 093 </w:t>
      </w:r>
      <w:r w:rsidR="0070441F">
        <w:rPr>
          <w:rFonts w:asciiTheme="minorHAnsi" w:hAnsiTheme="minorHAnsi" w:cs="Arial"/>
          <w:spacing w:val="-2"/>
          <w:szCs w:val="22"/>
          <w:lang w:val="cs-CZ"/>
        </w:rPr>
        <w:t>tis.</w:t>
      </w:r>
      <w:r w:rsidRPr="004D0E82">
        <w:rPr>
          <w:rFonts w:asciiTheme="minorHAnsi" w:hAnsiTheme="minorHAnsi" w:cs="Arial"/>
          <w:spacing w:val="-2"/>
          <w:szCs w:val="22"/>
          <w:lang w:val="cs-CZ"/>
        </w:rPr>
        <w:t xml:space="preserve"> Kč</w:t>
      </w:r>
      <w:r w:rsidRPr="004D0E82">
        <w:rPr>
          <w:rFonts w:asciiTheme="minorHAnsi" w:hAnsiTheme="minorHAnsi" w:cs="Arial"/>
          <w:szCs w:val="22"/>
          <w:lang w:val="cs-CZ"/>
        </w:rPr>
        <w:t>.</w:t>
      </w:r>
    </w:p>
    <w:p w14:paraId="2CC9188E" w14:textId="77777777" w:rsidR="002B021C" w:rsidRPr="004D0E82" w:rsidRDefault="002B021C" w:rsidP="002B021C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</w:p>
    <w:p w14:paraId="39BFD322" w14:textId="179EE847" w:rsidR="0066795A" w:rsidRDefault="0066795A" w:rsidP="002B021C">
      <w:pPr>
        <w:jc w:val="both"/>
        <w:rPr>
          <w:rFonts w:asciiTheme="minorHAnsi" w:hAnsiTheme="minorHAnsi" w:cs="Calibri"/>
          <w:lang w:val="cs-CZ"/>
        </w:rPr>
      </w:pPr>
      <w:r w:rsidRPr="00414DCD">
        <w:rPr>
          <w:rFonts w:asciiTheme="minorHAnsi" w:hAnsiTheme="minorHAnsi" w:cstheme="minorHAnsi"/>
          <w:lang w:val="cs-CZ"/>
        </w:rPr>
        <w:t xml:space="preserve">V tabulce č. </w:t>
      </w:r>
      <w:r>
        <w:rPr>
          <w:rFonts w:asciiTheme="minorHAnsi" w:hAnsiTheme="minorHAnsi" w:cstheme="minorHAnsi"/>
          <w:lang w:val="cs-CZ"/>
        </w:rPr>
        <w:t>1</w:t>
      </w:r>
      <w:r w:rsidRPr="00414DCD">
        <w:rPr>
          <w:rFonts w:asciiTheme="minorHAnsi" w:hAnsiTheme="minorHAnsi" w:cstheme="minorHAnsi"/>
          <w:lang w:val="cs-CZ"/>
        </w:rPr>
        <w:t xml:space="preserve"> je uveden přehled stav</w:t>
      </w:r>
      <w:r w:rsidR="005A5602">
        <w:rPr>
          <w:rFonts w:asciiTheme="minorHAnsi" w:hAnsiTheme="minorHAnsi" w:cstheme="minorHAnsi"/>
          <w:lang w:val="cs-CZ"/>
        </w:rPr>
        <w:t>ů</w:t>
      </w:r>
      <w:r w:rsidRPr="00414DCD">
        <w:rPr>
          <w:rFonts w:asciiTheme="minorHAnsi" w:hAnsiTheme="minorHAnsi" w:cstheme="minorHAnsi"/>
          <w:lang w:val="cs-CZ"/>
        </w:rPr>
        <w:t xml:space="preserve"> majetku, se kterým bylo ND příslušné hospodařit k </w:t>
      </w:r>
      <w:r w:rsidRPr="00414DCD">
        <w:rPr>
          <w:rFonts w:asciiTheme="minorHAnsi" w:hAnsiTheme="minorHAnsi" w:cs="Calibri"/>
          <w:lang w:val="cs-CZ"/>
        </w:rPr>
        <w:t>31. 12. 2013, k 31. 12. 2014 a k 31. 12. 2015.</w:t>
      </w:r>
    </w:p>
    <w:p w14:paraId="0F138723" w14:textId="77777777" w:rsidR="00390FA5" w:rsidRPr="00414DCD" w:rsidRDefault="00390FA5" w:rsidP="002B021C">
      <w:pPr>
        <w:jc w:val="both"/>
        <w:rPr>
          <w:rFonts w:asciiTheme="minorHAnsi" w:hAnsiTheme="minorHAnsi" w:cs="Calibri"/>
          <w:lang w:val="cs-CZ"/>
        </w:rPr>
      </w:pPr>
    </w:p>
    <w:p w14:paraId="7B33FDA3" w14:textId="46419E5F" w:rsidR="00390FA5" w:rsidRDefault="0066795A" w:rsidP="0066795A">
      <w:pPr>
        <w:spacing w:after="60" w:line="19" w:lineRule="atLeast"/>
        <w:jc w:val="both"/>
        <w:rPr>
          <w:rFonts w:asciiTheme="minorHAnsi" w:hAnsiTheme="minorHAnsi" w:cs="Calibri"/>
          <w:b/>
          <w:spacing w:val="-2"/>
          <w:lang w:val="cs-CZ"/>
        </w:rPr>
      </w:pPr>
      <w:r w:rsidRPr="00390FA5">
        <w:rPr>
          <w:rFonts w:asciiTheme="minorHAnsi" w:hAnsiTheme="minorHAnsi" w:cstheme="minorHAnsi"/>
          <w:b/>
          <w:bCs/>
          <w:spacing w:val="-2"/>
          <w:lang w:val="cs-CZ"/>
        </w:rPr>
        <w:t>Tabulka č. 1</w:t>
      </w:r>
      <w:r w:rsidR="000F38AE">
        <w:rPr>
          <w:rFonts w:asciiTheme="minorHAnsi" w:hAnsiTheme="minorHAnsi" w:cstheme="minorHAnsi"/>
          <w:b/>
          <w:bCs/>
          <w:spacing w:val="-2"/>
          <w:lang w:val="cs-CZ"/>
        </w:rPr>
        <w:t xml:space="preserve"> –</w:t>
      </w:r>
      <w:r w:rsidRPr="00390FA5">
        <w:rPr>
          <w:rFonts w:asciiTheme="minorHAnsi" w:hAnsiTheme="minorHAnsi" w:cstheme="minorHAnsi"/>
          <w:b/>
          <w:bCs/>
          <w:spacing w:val="-2"/>
          <w:lang w:val="cs-CZ"/>
        </w:rPr>
        <w:t xml:space="preserve"> </w:t>
      </w:r>
      <w:r w:rsidRPr="00390FA5">
        <w:rPr>
          <w:rFonts w:asciiTheme="minorHAnsi" w:hAnsiTheme="minorHAnsi" w:cs="Calibri"/>
          <w:b/>
          <w:spacing w:val="-2"/>
          <w:lang w:val="cs-CZ"/>
        </w:rPr>
        <w:t>Stav majetku k 31. 12. 2013, k 31. 12. 2014 a k 31. 12. 2015 v brutto hodnotě</w:t>
      </w:r>
    </w:p>
    <w:p w14:paraId="149651B3" w14:textId="77777777" w:rsidR="0066795A" w:rsidRPr="00390FA5" w:rsidRDefault="00390FA5" w:rsidP="002B021C">
      <w:pPr>
        <w:tabs>
          <w:tab w:val="right" w:pos="9070"/>
        </w:tabs>
        <w:spacing w:after="60" w:line="19" w:lineRule="atLeast"/>
        <w:jc w:val="both"/>
        <w:rPr>
          <w:rFonts w:asciiTheme="minorHAnsi" w:hAnsiTheme="minorHAnsi" w:cs="Calibri"/>
          <w:b/>
          <w:spacing w:val="-2"/>
          <w:lang w:val="cs-CZ"/>
        </w:rPr>
      </w:pPr>
      <w:r>
        <w:rPr>
          <w:rFonts w:asciiTheme="minorHAnsi" w:hAnsiTheme="minorHAnsi" w:cs="Calibri"/>
          <w:b/>
          <w:spacing w:val="-2"/>
          <w:lang w:val="cs-CZ"/>
        </w:rPr>
        <w:tab/>
      </w:r>
      <w:r w:rsidR="0066795A" w:rsidRPr="00390FA5">
        <w:rPr>
          <w:rFonts w:asciiTheme="minorHAnsi" w:hAnsiTheme="minorHAnsi" w:cs="Calibri"/>
          <w:b/>
          <w:spacing w:val="-2"/>
          <w:lang w:val="cs-CZ"/>
        </w:rPr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1799"/>
        <w:gridCol w:w="1801"/>
        <w:gridCol w:w="1769"/>
      </w:tblGrid>
      <w:tr w:rsidR="0066795A" w:rsidRPr="005B5F0F" w14:paraId="6A92F2D3" w14:textId="77777777" w:rsidTr="00EE535A">
        <w:trPr>
          <w:trHeight w:val="28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5C900B0" w14:textId="77777777" w:rsidR="0066795A" w:rsidRPr="00E43C7A" w:rsidRDefault="0066795A" w:rsidP="00A56964">
            <w:pPr>
              <w:spacing w:line="20" w:lineRule="atLeast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43C7A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Název položky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B2C56C5" w14:textId="77777777" w:rsidR="0066795A" w:rsidRPr="00E43C7A" w:rsidRDefault="0066795A" w:rsidP="00A56964">
            <w:pPr>
              <w:spacing w:line="20" w:lineRule="atLeast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43C7A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k 31. 12. 2013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F1FF"/>
            <w:vAlign w:val="center"/>
            <w:hideMark/>
          </w:tcPr>
          <w:p w14:paraId="1F09C6EB" w14:textId="77777777" w:rsidR="0066795A" w:rsidRPr="00E43C7A" w:rsidRDefault="0066795A" w:rsidP="00A56964">
            <w:pPr>
              <w:spacing w:line="20" w:lineRule="atLeast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43C7A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k 31. 12. 2014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520E8E1" w14:textId="77777777" w:rsidR="0066795A" w:rsidRPr="00E43C7A" w:rsidRDefault="0066795A" w:rsidP="00A56964">
            <w:pPr>
              <w:spacing w:line="20" w:lineRule="atLeast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43C7A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k 31. 12. 2015</w:t>
            </w:r>
          </w:p>
        </w:tc>
      </w:tr>
      <w:tr w:rsidR="0066795A" w:rsidRPr="005B5F0F" w14:paraId="244E267E" w14:textId="77777777" w:rsidTr="00EE535A">
        <w:trPr>
          <w:trHeight w:val="283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8DB" w14:textId="77777777" w:rsidR="0066795A" w:rsidRPr="005B5F0F" w:rsidRDefault="0066795A" w:rsidP="00A56964">
            <w:pPr>
              <w:spacing w:line="20" w:lineRule="atLeast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cs-CZ" w:eastAsia="cs-CZ"/>
              </w:rPr>
              <w:t xml:space="preserve">AKTIVA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0B3B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  <w:t>4 633 628 015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AFD3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4 690 871 450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FFE1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4 750 276 523</w:t>
            </w:r>
          </w:p>
        </w:tc>
      </w:tr>
      <w:tr w:rsidR="0066795A" w:rsidRPr="005B5F0F" w14:paraId="0DDE2FB0" w14:textId="77777777" w:rsidTr="00EE535A">
        <w:trPr>
          <w:trHeight w:val="283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7BC0" w14:textId="77777777" w:rsidR="0066795A" w:rsidRPr="005B5F0F" w:rsidRDefault="0066795A" w:rsidP="00A56964">
            <w:pPr>
              <w:spacing w:line="20" w:lineRule="atLeast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cs-CZ" w:eastAsia="cs-CZ"/>
              </w:rPr>
              <w:t>Stálá aktiva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55A2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  <w:t>4 361 609 968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8FC5E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4 430 570 898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69E28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bCs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4 519 177 636</w:t>
            </w:r>
          </w:p>
        </w:tc>
      </w:tr>
      <w:tr w:rsidR="0066795A" w:rsidRPr="005B5F0F" w14:paraId="7F303D4A" w14:textId="77777777" w:rsidTr="00EE535A">
        <w:trPr>
          <w:trHeight w:val="283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2D89" w14:textId="77777777" w:rsidR="0066795A" w:rsidRPr="005B5F0F" w:rsidRDefault="0066795A" w:rsidP="00A56964">
            <w:pPr>
              <w:spacing w:line="20" w:lineRule="atLeast"/>
              <w:ind w:firstLineChars="195" w:firstLine="39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color w:val="000000"/>
                <w:sz w:val="20"/>
                <w:szCs w:val="20"/>
                <w:lang w:val="cs-CZ" w:eastAsia="cs-CZ"/>
              </w:rPr>
              <w:t xml:space="preserve">Dlouhodobý nehmotný majetek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795E5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  <w:t>22 753 505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E43B7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23 302 804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8EEF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23 063 416</w:t>
            </w:r>
          </w:p>
        </w:tc>
      </w:tr>
      <w:tr w:rsidR="0066795A" w:rsidRPr="005B5F0F" w14:paraId="61A9AD31" w14:textId="77777777" w:rsidTr="00EE535A">
        <w:trPr>
          <w:trHeight w:val="283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313F" w14:textId="77777777" w:rsidR="0066795A" w:rsidRPr="005B5F0F" w:rsidRDefault="0066795A" w:rsidP="00A56964">
            <w:pPr>
              <w:spacing w:line="20" w:lineRule="atLeast"/>
              <w:ind w:firstLineChars="195" w:firstLine="39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color w:val="000000"/>
                <w:sz w:val="20"/>
                <w:szCs w:val="20"/>
                <w:lang w:val="cs-CZ" w:eastAsia="cs-CZ"/>
              </w:rPr>
              <w:t xml:space="preserve">Dlouhodobý hmotný majetek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375A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  <w:t>4 338 856 463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15BE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4 407 268 094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0EDA4" w14:textId="77777777" w:rsidR="0066795A" w:rsidRPr="005B5F0F" w:rsidRDefault="0066795A" w:rsidP="00A56964">
            <w:pPr>
              <w:spacing w:line="20" w:lineRule="atLeast"/>
              <w:jc w:val="right"/>
              <w:rPr>
                <w:rFonts w:asciiTheme="minorHAnsi" w:hAnsiTheme="minorHAnsi" w:cs="Calibri"/>
                <w:sz w:val="20"/>
                <w:szCs w:val="20"/>
                <w:lang w:val="cs-CZ" w:eastAsia="cs-CZ"/>
              </w:rPr>
            </w:pPr>
            <w:r w:rsidRPr="005B5F0F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4 496 114 220</w:t>
            </w:r>
          </w:p>
        </w:tc>
      </w:tr>
    </w:tbl>
    <w:p w14:paraId="456615BB" w14:textId="542E7D84" w:rsidR="0066795A" w:rsidRPr="002B021C" w:rsidRDefault="0066795A" w:rsidP="00B121B9">
      <w:pPr>
        <w:spacing w:before="40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2B021C">
        <w:rPr>
          <w:rFonts w:asciiTheme="minorHAnsi" w:hAnsiTheme="minorHAnsi" w:cstheme="minorHAnsi"/>
          <w:b/>
          <w:bCs/>
          <w:sz w:val="20"/>
          <w:szCs w:val="20"/>
          <w:lang w:val="cs-CZ"/>
        </w:rPr>
        <w:t>Zdroj:</w:t>
      </w:r>
      <w:r w:rsidRPr="002B021C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="000F38AE">
        <w:rPr>
          <w:rFonts w:asciiTheme="minorHAnsi" w:hAnsiTheme="minorHAnsi" w:cstheme="minorHAnsi"/>
          <w:bCs/>
          <w:sz w:val="20"/>
          <w:szCs w:val="20"/>
          <w:lang w:val="cs-CZ"/>
        </w:rPr>
        <w:t>r</w:t>
      </w:r>
      <w:r w:rsidRPr="002B021C">
        <w:rPr>
          <w:rFonts w:asciiTheme="minorHAnsi" w:hAnsiTheme="minorHAnsi" w:cstheme="minorHAnsi"/>
          <w:bCs/>
          <w:sz w:val="20"/>
          <w:szCs w:val="20"/>
          <w:lang w:val="cs-CZ"/>
        </w:rPr>
        <w:t>ozvah</w:t>
      </w:r>
      <w:r w:rsidR="000F38AE">
        <w:rPr>
          <w:rFonts w:asciiTheme="minorHAnsi" w:hAnsiTheme="minorHAnsi" w:cstheme="minorHAnsi"/>
          <w:bCs/>
          <w:sz w:val="20"/>
          <w:szCs w:val="20"/>
          <w:lang w:val="cs-CZ"/>
        </w:rPr>
        <w:t>y</w:t>
      </w:r>
      <w:r w:rsidRPr="002B021C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ND sestaven</w:t>
      </w:r>
      <w:r w:rsidR="000F38AE">
        <w:rPr>
          <w:rFonts w:asciiTheme="minorHAnsi" w:hAnsiTheme="minorHAnsi" w:cstheme="minorHAnsi"/>
          <w:bCs/>
          <w:sz w:val="20"/>
          <w:szCs w:val="20"/>
          <w:lang w:val="cs-CZ"/>
        </w:rPr>
        <w:t>é</w:t>
      </w:r>
      <w:r w:rsidRPr="002B021C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k 31. 12. 2013, k 31. 12. 2014 a k 31. 12. 2015.</w:t>
      </w:r>
    </w:p>
    <w:p w14:paraId="785C741B" w14:textId="77777777" w:rsidR="002B021C" w:rsidRDefault="002B021C" w:rsidP="002B021C">
      <w:pPr>
        <w:pStyle w:val="Odstavecseseznamem"/>
        <w:ind w:left="0"/>
        <w:contextualSpacing w:val="0"/>
        <w:jc w:val="both"/>
        <w:rPr>
          <w:rFonts w:asciiTheme="minorHAnsi" w:hAnsiTheme="minorHAnsi" w:cs="Arial"/>
          <w:szCs w:val="22"/>
          <w:lang w:val="cs-CZ"/>
        </w:rPr>
      </w:pPr>
    </w:p>
    <w:p w14:paraId="0DDF3376" w14:textId="77777777" w:rsidR="0066795A" w:rsidRDefault="0066795A" w:rsidP="002B021C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="Arial"/>
          <w:szCs w:val="22"/>
          <w:lang w:val="cs-CZ"/>
        </w:rPr>
        <w:t xml:space="preserve">V tabulce č. 2 jsou uvedeny </w:t>
      </w:r>
      <w:r>
        <w:rPr>
          <w:rFonts w:asciiTheme="minorHAnsi" w:hAnsiTheme="minorHAnsi" w:cstheme="minorHAnsi"/>
          <w:lang w:val="cs-CZ"/>
        </w:rPr>
        <w:t>vybrané výnosy z hlavní činnosti ND v letech 2011 až 2015.</w:t>
      </w:r>
    </w:p>
    <w:p w14:paraId="46C5EEE3" w14:textId="77777777" w:rsidR="00390FA5" w:rsidRDefault="00390FA5" w:rsidP="002B021C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</w:p>
    <w:p w14:paraId="326A5D12" w14:textId="1692009B" w:rsidR="0066795A" w:rsidRPr="00390FA5" w:rsidRDefault="0066795A" w:rsidP="002B021C">
      <w:pPr>
        <w:tabs>
          <w:tab w:val="right" w:pos="9070"/>
        </w:tabs>
        <w:spacing w:after="4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390FA5">
        <w:rPr>
          <w:rFonts w:asciiTheme="minorHAnsi" w:hAnsiTheme="minorHAnsi" w:cstheme="minorHAnsi"/>
          <w:b/>
          <w:color w:val="000000"/>
          <w:lang w:val="cs-CZ"/>
        </w:rPr>
        <w:t>Tabulka č. 2</w:t>
      </w:r>
      <w:r w:rsidR="000F38AE">
        <w:rPr>
          <w:rFonts w:asciiTheme="minorHAnsi" w:hAnsiTheme="minorHAnsi" w:cstheme="minorHAnsi"/>
          <w:b/>
          <w:color w:val="000000"/>
          <w:lang w:val="cs-CZ"/>
        </w:rPr>
        <w:t xml:space="preserve"> –</w:t>
      </w:r>
      <w:r w:rsidRPr="00390FA5">
        <w:rPr>
          <w:rFonts w:asciiTheme="minorHAnsi" w:hAnsiTheme="minorHAnsi" w:cstheme="minorHAnsi"/>
          <w:b/>
          <w:color w:val="000000"/>
          <w:lang w:val="cs-CZ"/>
        </w:rPr>
        <w:t xml:space="preserve"> Vybrané výnosy z hlavní činnosti ND v letech 2011 až 2015 </w:t>
      </w:r>
      <w:r w:rsidR="00390FA5">
        <w:rPr>
          <w:rFonts w:asciiTheme="minorHAnsi" w:hAnsiTheme="minorHAnsi" w:cstheme="minorHAnsi"/>
          <w:b/>
          <w:color w:val="000000"/>
          <w:lang w:val="cs-CZ"/>
        </w:rPr>
        <w:tab/>
      </w:r>
      <w:r w:rsidRPr="00390FA5">
        <w:rPr>
          <w:rFonts w:asciiTheme="minorHAnsi" w:hAnsiTheme="minorHAnsi" w:cstheme="minorHAnsi"/>
          <w:b/>
          <w:color w:val="000000"/>
          <w:lang w:val="cs-CZ"/>
        </w:rPr>
        <w:t>(v Kč)</w:t>
      </w:r>
    </w:p>
    <w:tbl>
      <w:tblPr>
        <w:tblStyle w:val="Mkatabulky"/>
        <w:tblW w:w="5004" w:type="pct"/>
        <w:tblLook w:val="04A0" w:firstRow="1" w:lastRow="0" w:firstColumn="1" w:lastColumn="0" w:noHBand="0" w:noVBand="1"/>
      </w:tblPr>
      <w:tblGrid>
        <w:gridCol w:w="2950"/>
        <w:gridCol w:w="1134"/>
        <w:gridCol w:w="1133"/>
        <w:gridCol w:w="1246"/>
        <w:gridCol w:w="1302"/>
        <w:gridCol w:w="1302"/>
      </w:tblGrid>
      <w:tr w:rsidR="000F38AE" w:rsidRPr="00EE535A" w14:paraId="3FD731CF" w14:textId="77777777" w:rsidTr="000F38AE">
        <w:trPr>
          <w:trHeight w:val="283"/>
        </w:trPr>
        <w:tc>
          <w:tcPr>
            <w:tcW w:w="1625" w:type="pct"/>
            <w:shd w:val="clear" w:color="auto" w:fill="E5F1FF"/>
            <w:vAlign w:val="center"/>
          </w:tcPr>
          <w:p w14:paraId="358156E1" w14:textId="7A2DF101" w:rsidR="0066795A" w:rsidRPr="00EE535A" w:rsidRDefault="0066795A" w:rsidP="000F38A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Název položky</w:t>
            </w:r>
            <w:r w:rsidR="00EE535A"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0F38A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v</w:t>
            </w:r>
            <w:r w:rsidR="00EE535A"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ýkazu zisku a </w:t>
            </w: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ztráty</w:t>
            </w:r>
          </w:p>
        </w:tc>
        <w:tc>
          <w:tcPr>
            <w:tcW w:w="625" w:type="pct"/>
            <w:shd w:val="clear" w:color="auto" w:fill="E5F1FF"/>
            <w:vAlign w:val="center"/>
          </w:tcPr>
          <w:p w14:paraId="3DEEB953" w14:textId="4F83A421" w:rsidR="0066795A" w:rsidRPr="00EE535A" w:rsidRDefault="0066795A" w:rsidP="00A569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2011</w:t>
            </w:r>
          </w:p>
        </w:tc>
        <w:tc>
          <w:tcPr>
            <w:tcW w:w="625" w:type="pct"/>
            <w:shd w:val="clear" w:color="auto" w:fill="E5F1FF"/>
            <w:vAlign w:val="center"/>
          </w:tcPr>
          <w:p w14:paraId="0A4878DA" w14:textId="083C6E11" w:rsidR="0066795A" w:rsidRPr="00EE535A" w:rsidRDefault="0066795A" w:rsidP="00A569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2012</w:t>
            </w:r>
          </w:p>
        </w:tc>
        <w:tc>
          <w:tcPr>
            <w:tcW w:w="687" w:type="pct"/>
            <w:shd w:val="clear" w:color="auto" w:fill="E5F1FF"/>
            <w:vAlign w:val="center"/>
          </w:tcPr>
          <w:p w14:paraId="1950F28D" w14:textId="1157411E" w:rsidR="0066795A" w:rsidRPr="00EE535A" w:rsidRDefault="0066795A" w:rsidP="00A569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2013</w:t>
            </w:r>
          </w:p>
        </w:tc>
        <w:tc>
          <w:tcPr>
            <w:tcW w:w="718" w:type="pct"/>
            <w:shd w:val="clear" w:color="auto" w:fill="E5F1FF"/>
            <w:vAlign w:val="center"/>
          </w:tcPr>
          <w:p w14:paraId="5175DD45" w14:textId="5B69E58D" w:rsidR="0066795A" w:rsidRPr="00EE535A" w:rsidRDefault="0066795A" w:rsidP="00A569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2014</w:t>
            </w:r>
          </w:p>
        </w:tc>
        <w:tc>
          <w:tcPr>
            <w:tcW w:w="718" w:type="pct"/>
            <w:shd w:val="clear" w:color="auto" w:fill="E5F1FF"/>
            <w:vAlign w:val="center"/>
          </w:tcPr>
          <w:p w14:paraId="31B675EF" w14:textId="08984145" w:rsidR="0066795A" w:rsidRPr="00EE535A" w:rsidRDefault="0066795A" w:rsidP="00A569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2015</w:t>
            </w:r>
          </w:p>
        </w:tc>
      </w:tr>
      <w:tr w:rsidR="000F38AE" w:rsidRPr="00EE535A" w14:paraId="17159C0C" w14:textId="77777777" w:rsidTr="000F38AE">
        <w:trPr>
          <w:trHeight w:val="283"/>
        </w:trPr>
        <w:tc>
          <w:tcPr>
            <w:tcW w:w="1625" w:type="pct"/>
            <w:vAlign w:val="center"/>
          </w:tcPr>
          <w:p w14:paraId="3D9E9FD3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VÝNOSY CELKEM</w:t>
            </w:r>
          </w:p>
        </w:tc>
        <w:tc>
          <w:tcPr>
            <w:tcW w:w="625" w:type="pct"/>
            <w:vAlign w:val="center"/>
          </w:tcPr>
          <w:p w14:paraId="09664263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710 613 296</w:t>
            </w:r>
          </w:p>
        </w:tc>
        <w:tc>
          <w:tcPr>
            <w:tcW w:w="625" w:type="pct"/>
            <w:vAlign w:val="center"/>
          </w:tcPr>
          <w:p w14:paraId="330D968C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948 211 831</w:t>
            </w:r>
          </w:p>
        </w:tc>
        <w:tc>
          <w:tcPr>
            <w:tcW w:w="687" w:type="pct"/>
            <w:tcMar>
              <w:left w:w="57" w:type="dxa"/>
            </w:tcMar>
            <w:vAlign w:val="center"/>
          </w:tcPr>
          <w:p w14:paraId="2B5556BF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1 006 916 362</w:t>
            </w:r>
          </w:p>
        </w:tc>
        <w:tc>
          <w:tcPr>
            <w:tcW w:w="718" w:type="pct"/>
            <w:vAlign w:val="center"/>
          </w:tcPr>
          <w:p w14:paraId="03EDA7B8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1 021 858 364</w:t>
            </w:r>
          </w:p>
        </w:tc>
        <w:tc>
          <w:tcPr>
            <w:tcW w:w="718" w:type="pct"/>
            <w:vAlign w:val="center"/>
          </w:tcPr>
          <w:p w14:paraId="4F47F883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1 048 219 075</w:t>
            </w:r>
          </w:p>
        </w:tc>
      </w:tr>
      <w:tr w:rsidR="000F38AE" w:rsidRPr="00EE535A" w14:paraId="743EE595" w14:textId="77777777" w:rsidTr="000F38AE">
        <w:trPr>
          <w:trHeight w:val="283"/>
        </w:trPr>
        <w:tc>
          <w:tcPr>
            <w:tcW w:w="1625" w:type="pct"/>
            <w:vAlign w:val="center"/>
          </w:tcPr>
          <w:p w14:paraId="331045C3" w14:textId="77777777" w:rsidR="0066795A" w:rsidRPr="00EE535A" w:rsidRDefault="0066795A" w:rsidP="00EE535A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výnosy z transferů</w:t>
            </w:r>
          </w:p>
        </w:tc>
        <w:tc>
          <w:tcPr>
            <w:tcW w:w="625" w:type="pct"/>
            <w:vAlign w:val="center"/>
          </w:tcPr>
          <w:p w14:paraId="125115AC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462 628 483</w:t>
            </w:r>
          </w:p>
        </w:tc>
        <w:tc>
          <w:tcPr>
            <w:tcW w:w="625" w:type="pct"/>
            <w:vAlign w:val="center"/>
          </w:tcPr>
          <w:p w14:paraId="4BB91411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636 010 479</w:t>
            </w:r>
          </w:p>
        </w:tc>
        <w:tc>
          <w:tcPr>
            <w:tcW w:w="687" w:type="pct"/>
            <w:vAlign w:val="center"/>
          </w:tcPr>
          <w:p w14:paraId="1643ACF1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674 014 772</w:t>
            </w:r>
          </w:p>
        </w:tc>
        <w:tc>
          <w:tcPr>
            <w:tcW w:w="718" w:type="pct"/>
            <w:vAlign w:val="center"/>
          </w:tcPr>
          <w:p w14:paraId="3D4E4815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674 467 370</w:t>
            </w:r>
          </w:p>
        </w:tc>
        <w:tc>
          <w:tcPr>
            <w:tcW w:w="718" w:type="pct"/>
            <w:vAlign w:val="center"/>
          </w:tcPr>
          <w:p w14:paraId="7F301FBF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681 782 778</w:t>
            </w:r>
          </w:p>
        </w:tc>
      </w:tr>
      <w:tr w:rsidR="000F38AE" w:rsidRPr="00EE535A" w14:paraId="437364C7" w14:textId="77777777" w:rsidTr="000F38AE">
        <w:trPr>
          <w:trHeight w:val="283"/>
        </w:trPr>
        <w:tc>
          <w:tcPr>
            <w:tcW w:w="1625" w:type="pct"/>
            <w:vAlign w:val="center"/>
          </w:tcPr>
          <w:p w14:paraId="2BFA876E" w14:textId="77777777" w:rsidR="0066795A" w:rsidRPr="00EE535A" w:rsidRDefault="0066795A" w:rsidP="00EE535A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142"/>
              <w:contextualSpacing w:val="0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cs-CZ"/>
              </w:rPr>
              <w:t>z toho příspěvek na provoz*</w:t>
            </w:r>
          </w:p>
        </w:tc>
        <w:tc>
          <w:tcPr>
            <w:tcW w:w="625" w:type="pct"/>
            <w:vAlign w:val="center"/>
          </w:tcPr>
          <w:p w14:paraId="452A5C01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  <w:t>439 974 000</w:t>
            </w:r>
          </w:p>
        </w:tc>
        <w:tc>
          <w:tcPr>
            <w:tcW w:w="625" w:type="pct"/>
            <w:vAlign w:val="center"/>
          </w:tcPr>
          <w:p w14:paraId="0518726D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  <w:t>629 415 000</w:t>
            </w:r>
          </w:p>
        </w:tc>
        <w:tc>
          <w:tcPr>
            <w:tcW w:w="687" w:type="pct"/>
            <w:vAlign w:val="center"/>
          </w:tcPr>
          <w:p w14:paraId="15EA6DD5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  <w:t>626 013 000</w:t>
            </w:r>
          </w:p>
        </w:tc>
        <w:tc>
          <w:tcPr>
            <w:tcW w:w="718" w:type="pct"/>
            <w:vAlign w:val="center"/>
          </w:tcPr>
          <w:p w14:paraId="5D843AA0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  <w:t>606 179 000</w:t>
            </w:r>
          </w:p>
        </w:tc>
        <w:tc>
          <w:tcPr>
            <w:tcW w:w="718" w:type="pct"/>
            <w:vAlign w:val="center"/>
          </w:tcPr>
          <w:p w14:paraId="34C9F972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  <w:t>625 319 890</w:t>
            </w:r>
          </w:p>
        </w:tc>
      </w:tr>
      <w:tr w:rsidR="000F38AE" w:rsidRPr="00EE535A" w14:paraId="15453034" w14:textId="77777777" w:rsidTr="000F38AE">
        <w:trPr>
          <w:trHeight w:val="283"/>
        </w:trPr>
        <w:tc>
          <w:tcPr>
            <w:tcW w:w="1625" w:type="pct"/>
            <w:vAlign w:val="center"/>
          </w:tcPr>
          <w:p w14:paraId="3CEE0261" w14:textId="77777777" w:rsidR="0066795A" w:rsidRPr="00EE535A" w:rsidRDefault="0066795A" w:rsidP="00EE535A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  <w:t>výnosy z prodeje služeb</w:t>
            </w:r>
          </w:p>
        </w:tc>
        <w:tc>
          <w:tcPr>
            <w:tcW w:w="625" w:type="pct"/>
            <w:vAlign w:val="center"/>
          </w:tcPr>
          <w:p w14:paraId="11DE2626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174 246 980</w:t>
            </w:r>
          </w:p>
        </w:tc>
        <w:tc>
          <w:tcPr>
            <w:tcW w:w="625" w:type="pct"/>
            <w:vAlign w:val="center"/>
          </w:tcPr>
          <w:p w14:paraId="126A2A4B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270 291 763</w:t>
            </w:r>
          </w:p>
        </w:tc>
        <w:tc>
          <w:tcPr>
            <w:tcW w:w="687" w:type="pct"/>
            <w:vAlign w:val="center"/>
          </w:tcPr>
          <w:p w14:paraId="0DE5325A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292 686 066</w:t>
            </w:r>
          </w:p>
        </w:tc>
        <w:tc>
          <w:tcPr>
            <w:tcW w:w="718" w:type="pct"/>
            <w:vAlign w:val="center"/>
          </w:tcPr>
          <w:p w14:paraId="2CC95587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289 750 117</w:t>
            </w:r>
          </w:p>
        </w:tc>
        <w:tc>
          <w:tcPr>
            <w:tcW w:w="718" w:type="pct"/>
            <w:vAlign w:val="center"/>
          </w:tcPr>
          <w:p w14:paraId="42E2E3AD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313 307 139</w:t>
            </w:r>
          </w:p>
        </w:tc>
      </w:tr>
      <w:tr w:rsidR="000F38AE" w:rsidRPr="00EE535A" w14:paraId="37A1F6B0" w14:textId="77777777" w:rsidTr="000F38AE">
        <w:trPr>
          <w:trHeight w:val="283"/>
        </w:trPr>
        <w:tc>
          <w:tcPr>
            <w:tcW w:w="1625" w:type="pct"/>
            <w:vAlign w:val="center"/>
          </w:tcPr>
          <w:p w14:paraId="1A56F1E4" w14:textId="540CAEE2" w:rsidR="0066795A" w:rsidRPr="00EE535A" w:rsidRDefault="0066795A" w:rsidP="000F38AE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142"/>
              <w:contextualSpacing w:val="0"/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z toho výnosy ze vstupného**</w:t>
            </w:r>
          </w:p>
        </w:tc>
        <w:tc>
          <w:tcPr>
            <w:tcW w:w="625" w:type="pct"/>
            <w:vAlign w:val="center"/>
          </w:tcPr>
          <w:p w14:paraId="148A77BF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172 350 000</w:t>
            </w:r>
          </w:p>
        </w:tc>
        <w:tc>
          <w:tcPr>
            <w:tcW w:w="625" w:type="pct"/>
            <w:vAlign w:val="center"/>
          </w:tcPr>
          <w:p w14:paraId="1F208B8B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245 334 000</w:t>
            </w:r>
          </w:p>
        </w:tc>
        <w:tc>
          <w:tcPr>
            <w:tcW w:w="687" w:type="pct"/>
            <w:vAlign w:val="center"/>
          </w:tcPr>
          <w:p w14:paraId="3E960CF7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248 998 000</w:t>
            </w:r>
          </w:p>
        </w:tc>
        <w:tc>
          <w:tcPr>
            <w:tcW w:w="718" w:type="pct"/>
            <w:vAlign w:val="center"/>
          </w:tcPr>
          <w:p w14:paraId="1D7C45C9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260 658 000</w:t>
            </w:r>
          </w:p>
        </w:tc>
        <w:tc>
          <w:tcPr>
            <w:tcW w:w="718" w:type="pct"/>
            <w:vAlign w:val="center"/>
          </w:tcPr>
          <w:p w14:paraId="438DF2A2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cs-CZ"/>
              </w:rPr>
              <w:t>269 518 000</w:t>
            </w:r>
          </w:p>
        </w:tc>
      </w:tr>
      <w:tr w:rsidR="000F38AE" w:rsidRPr="00EE535A" w14:paraId="53AE5275" w14:textId="77777777" w:rsidTr="000F38AE">
        <w:trPr>
          <w:trHeight w:val="283"/>
        </w:trPr>
        <w:tc>
          <w:tcPr>
            <w:tcW w:w="1625" w:type="pct"/>
            <w:vAlign w:val="center"/>
          </w:tcPr>
          <w:p w14:paraId="5B817C80" w14:textId="059E047F" w:rsidR="0066795A" w:rsidRPr="00EE535A" w:rsidRDefault="0066795A" w:rsidP="00EE535A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ostatní výnosy***</w:t>
            </w:r>
          </w:p>
        </w:tc>
        <w:tc>
          <w:tcPr>
            <w:tcW w:w="625" w:type="pct"/>
            <w:vAlign w:val="center"/>
          </w:tcPr>
          <w:p w14:paraId="11922E0B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73 737 833</w:t>
            </w:r>
          </w:p>
        </w:tc>
        <w:tc>
          <w:tcPr>
            <w:tcW w:w="625" w:type="pct"/>
            <w:vAlign w:val="center"/>
          </w:tcPr>
          <w:p w14:paraId="2FFD12EB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41 909 589</w:t>
            </w:r>
          </w:p>
        </w:tc>
        <w:tc>
          <w:tcPr>
            <w:tcW w:w="687" w:type="pct"/>
            <w:vAlign w:val="center"/>
          </w:tcPr>
          <w:p w14:paraId="1ACBA0AF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40 215 524</w:t>
            </w:r>
          </w:p>
        </w:tc>
        <w:tc>
          <w:tcPr>
            <w:tcW w:w="718" w:type="pct"/>
            <w:vAlign w:val="center"/>
          </w:tcPr>
          <w:p w14:paraId="10E00EDA" w14:textId="77777777" w:rsidR="0066795A" w:rsidRPr="00EE535A" w:rsidRDefault="0066795A" w:rsidP="00A56964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57 640 877</w:t>
            </w:r>
          </w:p>
        </w:tc>
        <w:tc>
          <w:tcPr>
            <w:tcW w:w="718" w:type="pct"/>
            <w:vAlign w:val="center"/>
          </w:tcPr>
          <w:p w14:paraId="7EA67A4A" w14:textId="77777777" w:rsidR="0066795A" w:rsidRPr="00EE535A" w:rsidRDefault="0066795A" w:rsidP="00A56964">
            <w:pPr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</w:pPr>
            <w:r w:rsidRPr="00EE535A">
              <w:rPr>
                <w:rFonts w:asciiTheme="minorHAnsi" w:hAnsiTheme="minorHAnsi" w:cstheme="minorHAnsi"/>
                <w:iCs/>
                <w:sz w:val="18"/>
                <w:szCs w:val="18"/>
                <w:lang w:val="cs-CZ"/>
              </w:rPr>
              <w:t>53 129 158</w:t>
            </w:r>
          </w:p>
        </w:tc>
      </w:tr>
    </w:tbl>
    <w:p w14:paraId="0BB6420B" w14:textId="1658E3F6" w:rsidR="0066795A" w:rsidRPr="002B021C" w:rsidRDefault="0066795A" w:rsidP="002B021C">
      <w:pPr>
        <w:ind w:left="567" w:hanging="567"/>
        <w:jc w:val="both"/>
        <w:rPr>
          <w:rFonts w:ascii="Calibri" w:hAnsi="Calibri" w:cs="Calibri"/>
          <w:sz w:val="20"/>
          <w:szCs w:val="20"/>
          <w:lang w:val="cs-CZ"/>
        </w:rPr>
      </w:pPr>
      <w:r w:rsidRPr="002B021C">
        <w:rPr>
          <w:rFonts w:ascii="Calibri" w:hAnsi="Calibri" w:cs="Calibri"/>
          <w:b/>
          <w:sz w:val="20"/>
          <w:szCs w:val="20"/>
          <w:lang w:val="cs-CZ"/>
        </w:rPr>
        <w:t>Zdroj:</w:t>
      </w:r>
      <w:r w:rsidR="002B021C">
        <w:rPr>
          <w:rFonts w:ascii="Calibri" w:hAnsi="Calibri" w:cs="Calibri"/>
          <w:sz w:val="20"/>
          <w:szCs w:val="20"/>
          <w:lang w:val="cs-CZ"/>
        </w:rPr>
        <w:tab/>
      </w:r>
      <w:r w:rsidR="000F38AE">
        <w:rPr>
          <w:rFonts w:ascii="Calibri" w:hAnsi="Calibri" w:cs="Calibri"/>
          <w:sz w:val="20"/>
          <w:szCs w:val="20"/>
          <w:lang w:val="cs-CZ"/>
        </w:rPr>
        <w:t>v</w:t>
      </w:r>
      <w:r w:rsidRPr="002B021C">
        <w:rPr>
          <w:rFonts w:ascii="Calibri" w:hAnsi="Calibri" w:cs="Calibri"/>
          <w:bCs/>
          <w:sz w:val="20"/>
          <w:szCs w:val="20"/>
          <w:lang w:val="cs-CZ"/>
        </w:rPr>
        <w:t>ýkaz</w:t>
      </w:r>
      <w:r w:rsidR="000F38AE">
        <w:rPr>
          <w:rFonts w:ascii="Calibri" w:hAnsi="Calibri" w:cs="Calibri"/>
          <w:bCs/>
          <w:sz w:val="20"/>
          <w:szCs w:val="20"/>
          <w:lang w:val="cs-CZ"/>
        </w:rPr>
        <w:t>y</w:t>
      </w:r>
      <w:r w:rsidRPr="002B021C">
        <w:rPr>
          <w:rFonts w:ascii="Calibri" w:hAnsi="Calibri" w:cs="Calibri"/>
          <w:bCs/>
          <w:sz w:val="20"/>
          <w:szCs w:val="20"/>
          <w:lang w:val="cs-CZ"/>
        </w:rPr>
        <w:t xml:space="preserve"> zisku a ztráty ND sestaven</w:t>
      </w:r>
      <w:r w:rsidR="000F38AE">
        <w:rPr>
          <w:rFonts w:ascii="Calibri" w:hAnsi="Calibri" w:cs="Calibri"/>
          <w:bCs/>
          <w:sz w:val="20"/>
          <w:szCs w:val="20"/>
          <w:lang w:val="cs-CZ"/>
        </w:rPr>
        <w:t>é</w:t>
      </w:r>
      <w:r w:rsidRPr="002B021C">
        <w:rPr>
          <w:rFonts w:ascii="Calibri" w:hAnsi="Calibri" w:cs="Calibri"/>
          <w:bCs/>
          <w:sz w:val="20"/>
          <w:szCs w:val="20"/>
          <w:lang w:val="cs-CZ"/>
        </w:rPr>
        <w:t xml:space="preserve"> k 31. 12. 2011 za účetní období od 1. 1. 2011 do 31. 12. 2011, k 31. 12. 2012 za účetní období od 1. 1. 2012 do 31. 12. 2012, k 31. 12. 2013 za účetní období od 1. 1. 2013 do 31. 12. 2013, k 31. 12. 2014 za účetní období od 1. 1. 2014 do 31. 12. 2014 a k 31. 12</w:t>
      </w:r>
      <w:r w:rsidR="005A5602">
        <w:rPr>
          <w:rFonts w:ascii="Calibri" w:hAnsi="Calibri" w:cs="Calibri"/>
          <w:bCs/>
          <w:sz w:val="20"/>
          <w:szCs w:val="20"/>
          <w:lang w:val="cs-CZ"/>
        </w:rPr>
        <w:t>.</w:t>
      </w:r>
      <w:r w:rsidRPr="002B021C">
        <w:rPr>
          <w:rFonts w:ascii="Calibri" w:hAnsi="Calibri" w:cs="Calibri"/>
          <w:bCs/>
          <w:sz w:val="20"/>
          <w:szCs w:val="20"/>
          <w:lang w:val="cs-CZ"/>
        </w:rPr>
        <w:t> 2015 za účetní období od 1. 1. 2015 do 31. 12. 2015;</w:t>
      </w:r>
      <w:r w:rsidR="002B021C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 w:rsidR="000F38AE">
        <w:rPr>
          <w:rFonts w:ascii="Calibri" w:hAnsi="Calibri" w:cs="Calibri"/>
          <w:sz w:val="20"/>
          <w:szCs w:val="20"/>
          <w:lang w:val="cs-CZ"/>
        </w:rPr>
        <w:t>v</w:t>
      </w:r>
      <w:r w:rsidRPr="002B021C">
        <w:rPr>
          <w:rFonts w:ascii="Calibri" w:hAnsi="Calibri" w:cs="Calibri"/>
          <w:sz w:val="20"/>
          <w:szCs w:val="20"/>
          <w:lang w:val="cs-CZ"/>
        </w:rPr>
        <w:t>ýroční zprávy o činnosti a hospodaření Národního divadla za roky 2011 až 2015.</w:t>
      </w:r>
    </w:p>
    <w:p w14:paraId="0D4E326E" w14:textId="4423F236" w:rsidR="0066795A" w:rsidRPr="002B021C" w:rsidRDefault="0066795A" w:rsidP="000F38AE">
      <w:pPr>
        <w:ind w:left="425" w:hanging="425"/>
        <w:jc w:val="both"/>
        <w:rPr>
          <w:rFonts w:ascii="Calibri" w:hAnsi="Calibri" w:cs="Calibri"/>
          <w:sz w:val="20"/>
          <w:szCs w:val="20"/>
          <w:lang w:val="cs-CZ"/>
        </w:rPr>
      </w:pPr>
      <w:r w:rsidRPr="002B021C">
        <w:rPr>
          <w:rFonts w:ascii="Calibri" w:hAnsi="Calibri" w:cs="Calibri"/>
          <w:sz w:val="20"/>
          <w:szCs w:val="20"/>
          <w:lang w:val="cs-CZ"/>
        </w:rPr>
        <w:t xml:space="preserve">* </w:t>
      </w:r>
      <w:r w:rsidR="002B021C">
        <w:rPr>
          <w:rFonts w:ascii="Calibri" w:hAnsi="Calibri" w:cs="Calibri"/>
          <w:sz w:val="20"/>
          <w:szCs w:val="20"/>
          <w:lang w:val="cs-CZ"/>
        </w:rPr>
        <w:tab/>
      </w:r>
      <w:r w:rsidRPr="002B021C">
        <w:rPr>
          <w:rFonts w:ascii="Calibri" w:hAnsi="Calibri" w:cs="Calibri"/>
          <w:sz w:val="20"/>
          <w:szCs w:val="20"/>
          <w:lang w:val="cs-CZ"/>
        </w:rPr>
        <w:t xml:space="preserve">Zdrojem údajů jsou </w:t>
      </w:r>
      <w:r w:rsidR="000F38AE">
        <w:rPr>
          <w:rFonts w:ascii="Calibri" w:hAnsi="Calibri" w:cs="Calibri"/>
          <w:sz w:val="20"/>
          <w:szCs w:val="20"/>
          <w:lang w:val="cs-CZ"/>
        </w:rPr>
        <w:t>v</w:t>
      </w:r>
      <w:r w:rsidRPr="002B021C">
        <w:rPr>
          <w:rFonts w:ascii="Calibri" w:hAnsi="Calibri" w:cs="Calibri"/>
          <w:sz w:val="20"/>
          <w:szCs w:val="20"/>
          <w:lang w:val="cs-CZ"/>
        </w:rPr>
        <w:t>ýroční zprávy o činnosti a hospodaření ND za roky 2011 až 2015.</w:t>
      </w:r>
    </w:p>
    <w:p w14:paraId="0BF15000" w14:textId="2703B66D" w:rsidR="0066795A" w:rsidRPr="002B021C" w:rsidRDefault="0066795A" w:rsidP="000F38AE">
      <w:pPr>
        <w:ind w:left="425" w:hanging="425"/>
        <w:jc w:val="both"/>
        <w:rPr>
          <w:rFonts w:ascii="Calibri" w:hAnsi="Calibri" w:cs="Calibri"/>
          <w:sz w:val="20"/>
          <w:szCs w:val="20"/>
          <w:lang w:val="cs-CZ"/>
        </w:rPr>
      </w:pPr>
      <w:r w:rsidRPr="002B021C">
        <w:rPr>
          <w:rFonts w:ascii="Calibri" w:hAnsi="Calibri" w:cs="Calibri"/>
          <w:sz w:val="20"/>
          <w:szCs w:val="20"/>
          <w:lang w:val="cs-CZ"/>
        </w:rPr>
        <w:t xml:space="preserve">** </w:t>
      </w:r>
      <w:r w:rsidR="002B021C">
        <w:rPr>
          <w:rFonts w:ascii="Calibri" w:hAnsi="Calibri" w:cs="Calibri"/>
          <w:sz w:val="20"/>
          <w:szCs w:val="20"/>
          <w:lang w:val="cs-CZ"/>
        </w:rPr>
        <w:tab/>
      </w:r>
      <w:r w:rsidRPr="002B021C">
        <w:rPr>
          <w:rFonts w:ascii="Calibri" w:hAnsi="Calibri" w:cs="Calibri"/>
          <w:sz w:val="20"/>
          <w:szCs w:val="20"/>
          <w:lang w:val="cs-CZ"/>
        </w:rPr>
        <w:t>Jedná se o celkové tržby z prodaných vstupenek za všechny umělecké soubory ND. Zdrojem tohoto údaje jsou výroční zprávy, v nichž byla částka uvedena v tis. Kč</w:t>
      </w:r>
      <w:r w:rsidR="005A5602">
        <w:rPr>
          <w:rFonts w:ascii="Calibri" w:hAnsi="Calibri" w:cs="Calibri"/>
          <w:sz w:val="20"/>
          <w:szCs w:val="20"/>
          <w:lang w:val="cs-CZ"/>
        </w:rPr>
        <w:t>,</w:t>
      </w:r>
      <w:r w:rsidRPr="002B021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5A5602">
        <w:rPr>
          <w:rFonts w:ascii="Calibri" w:hAnsi="Calibri" w:cs="Calibri"/>
          <w:sz w:val="20"/>
          <w:szCs w:val="20"/>
          <w:lang w:val="cs-CZ"/>
        </w:rPr>
        <w:t>p</w:t>
      </w:r>
      <w:r w:rsidRPr="002B021C">
        <w:rPr>
          <w:rFonts w:ascii="Calibri" w:hAnsi="Calibri" w:cs="Calibri"/>
          <w:sz w:val="20"/>
          <w:szCs w:val="20"/>
          <w:lang w:val="cs-CZ"/>
        </w:rPr>
        <w:t>roto není v tabulce použita přesná částka.</w:t>
      </w:r>
    </w:p>
    <w:p w14:paraId="4396BFA8" w14:textId="77777777" w:rsidR="0066795A" w:rsidRPr="002B021C" w:rsidRDefault="0066795A" w:rsidP="000F38AE">
      <w:pPr>
        <w:ind w:left="425" w:hanging="425"/>
        <w:jc w:val="both"/>
        <w:rPr>
          <w:rFonts w:ascii="Calibri" w:hAnsi="Calibri" w:cs="Calibri"/>
          <w:sz w:val="20"/>
          <w:szCs w:val="20"/>
          <w:lang w:val="cs-CZ"/>
        </w:rPr>
      </w:pPr>
      <w:r w:rsidRPr="002B021C">
        <w:rPr>
          <w:rFonts w:ascii="Calibri" w:hAnsi="Calibri" w:cs="Calibri"/>
          <w:sz w:val="20"/>
          <w:szCs w:val="20"/>
          <w:lang w:val="cs-CZ"/>
        </w:rPr>
        <w:t xml:space="preserve">*** </w:t>
      </w:r>
      <w:r w:rsidR="002B021C">
        <w:rPr>
          <w:rFonts w:ascii="Calibri" w:hAnsi="Calibri" w:cs="Calibri"/>
          <w:sz w:val="20"/>
          <w:szCs w:val="20"/>
          <w:lang w:val="cs-CZ"/>
        </w:rPr>
        <w:tab/>
      </w:r>
      <w:r w:rsidRPr="002B021C">
        <w:rPr>
          <w:rFonts w:ascii="Calibri" w:hAnsi="Calibri" w:cs="Calibri"/>
          <w:sz w:val="20"/>
          <w:szCs w:val="20"/>
          <w:lang w:val="cs-CZ"/>
        </w:rPr>
        <w:t>Hodnota „ostatních výnosů“ byla získána odečtením výnosů z transferů a výnosů z prodeje služeb od celkových výnosů.</w:t>
      </w:r>
    </w:p>
    <w:p w14:paraId="09435797" w14:textId="77777777" w:rsidR="002B021C" w:rsidRDefault="002B021C" w:rsidP="002B021C">
      <w:pPr>
        <w:jc w:val="both"/>
        <w:rPr>
          <w:rFonts w:asciiTheme="minorHAnsi" w:hAnsiTheme="minorHAnsi" w:cstheme="minorHAnsi"/>
          <w:lang w:val="cs-CZ"/>
        </w:rPr>
      </w:pPr>
    </w:p>
    <w:p w14:paraId="7784013C" w14:textId="547A36E2" w:rsidR="0066795A" w:rsidRDefault="0066795A" w:rsidP="002B021C">
      <w:pPr>
        <w:jc w:val="both"/>
        <w:rPr>
          <w:rFonts w:asciiTheme="minorHAnsi" w:hAnsiTheme="minorHAnsi" w:cstheme="minorHAnsi"/>
          <w:lang w:val="cs-CZ"/>
        </w:rPr>
      </w:pPr>
      <w:r w:rsidRPr="00407BE7">
        <w:rPr>
          <w:rFonts w:asciiTheme="minorHAnsi" w:hAnsiTheme="minorHAnsi" w:cstheme="minorHAnsi"/>
          <w:lang w:val="cs-CZ"/>
        </w:rPr>
        <w:t>Celkové výnosy ND se v letech 2013 až 2015 pohybovaly v rozmezí 1 007 mil. Kč až 1 048 mil. Kč. Výnosy</w:t>
      </w:r>
      <w:r w:rsidR="005A5602" w:rsidRPr="005A5602">
        <w:rPr>
          <w:rFonts w:asciiTheme="minorHAnsi" w:hAnsiTheme="minorHAnsi" w:cstheme="minorHAnsi"/>
          <w:lang w:val="cs-CZ"/>
        </w:rPr>
        <w:t xml:space="preserve"> </w:t>
      </w:r>
      <w:r w:rsidR="005A5602" w:rsidRPr="00407BE7">
        <w:rPr>
          <w:rFonts w:asciiTheme="minorHAnsi" w:hAnsiTheme="minorHAnsi" w:cstheme="minorHAnsi"/>
          <w:lang w:val="cs-CZ"/>
        </w:rPr>
        <w:t>ND</w:t>
      </w:r>
      <w:r w:rsidRPr="00407BE7">
        <w:rPr>
          <w:rFonts w:asciiTheme="minorHAnsi" w:hAnsiTheme="minorHAnsi" w:cstheme="minorHAnsi"/>
          <w:lang w:val="cs-CZ"/>
        </w:rPr>
        <w:t xml:space="preserve"> ze vstupného činily</w:t>
      </w:r>
      <w:r w:rsidR="005A5602" w:rsidRPr="005A5602">
        <w:rPr>
          <w:rFonts w:asciiTheme="minorHAnsi" w:hAnsiTheme="minorHAnsi" w:cstheme="minorHAnsi"/>
          <w:lang w:val="cs-CZ"/>
        </w:rPr>
        <w:t xml:space="preserve"> </w:t>
      </w:r>
      <w:r w:rsidR="005A5602" w:rsidRPr="00407BE7">
        <w:rPr>
          <w:rFonts w:asciiTheme="minorHAnsi" w:hAnsiTheme="minorHAnsi" w:cstheme="minorHAnsi"/>
          <w:lang w:val="cs-CZ"/>
        </w:rPr>
        <w:t>v roce 2015</w:t>
      </w:r>
      <w:r w:rsidRPr="00407BE7">
        <w:rPr>
          <w:rFonts w:asciiTheme="minorHAnsi" w:hAnsiTheme="minorHAnsi" w:cstheme="minorHAnsi"/>
          <w:lang w:val="cs-CZ"/>
        </w:rPr>
        <w:t xml:space="preserve"> téměř 270 mil. Kč.</w:t>
      </w:r>
      <w:r>
        <w:rPr>
          <w:rFonts w:asciiTheme="minorHAnsi" w:hAnsiTheme="minorHAnsi" w:cstheme="minorHAnsi"/>
          <w:lang w:val="cs-CZ"/>
        </w:rPr>
        <w:t xml:space="preserve"> </w:t>
      </w:r>
      <w:r w:rsidR="00315415">
        <w:rPr>
          <w:rFonts w:asciiTheme="minorHAnsi" w:hAnsiTheme="minorHAnsi" w:cstheme="minorHAnsi"/>
          <w:lang w:val="cs-CZ"/>
        </w:rPr>
        <w:t>P</w:t>
      </w:r>
      <w:r w:rsidRPr="00407BE7">
        <w:rPr>
          <w:rFonts w:asciiTheme="minorHAnsi" w:hAnsiTheme="minorHAnsi" w:cstheme="minorHAnsi"/>
          <w:lang w:val="cs-CZ"/>
        </w:rPr>
        <w:t xml:space="preserve">oměr celkových </w:t>
      </w:r>
      <w:r w:rsidRPr="00407BE7">
        <w:rPr>
          <w:rFonts w:asciiTheme="minorHAnsi" w:hAnsiTheme="minorHAnsi" w:cstheme="minorHAnsi"/>
          <w:lang w:val="cs-CZ"/>
        </w:rPr>
        <w:lastRenderedPageBreak/>
        <w:t>výnosů z hlavní činnosti bez příspěvku na provoz k cel</w:t>
      </w:r>
      <w:r w:rsidR="00315415">
        <w:rPr>
          <w:rFonts w:asciiTheme="minorHAnsi" w:hAnsiTheme="minorHAnsi" w:cstheme="minorHAnsi"/>
          <w:lang w:val="cs-CZ"/>
        </w:rPr>
        <w:t>kovým výnosům z hlavní činnosti v roce 2015 překročil</w:t>
      </w:r>
      <w:r w:rsidRPr="00407BE7">
        <w:rPr>
          <w:rFonts w:asciiTheme="minorHAnsi" w:hAnsiTheme="minorHAnsi" w:cstheme="minorHAnsi"/>
          <w:lang w:val="cs-CZ"/>
        </w:rPr>
        <w:t xml:space="preserve"> 40 %.</w:t>
      </w:r>
      <w:r w:rsidR="00A56964">
        <w:rPr>
          <w:rFonts w:asciiTheme="minorHAnsi" w:hAnsiTheme="minorHAnsi" w:cstheme="minorHAnsi"/>
          <w:lang w:val="cs-CZ"/>
        </w:rPr>
        <w:t xml:space="preserve"> Vývoj </w:t>
      </w:r>
      <w:r w:rsidR="00315415">
        <w:rPr>
          <w:rFonts w:asciiTheme="minorHAnsi" w:hAnsiTheme="minorHAnsi" w:cstheme="minorHAnsi"/>
          <w:lang w:val="cs-CZ"/>
        </w:rPr>
        <w:t>tohoto ukazatele</w:t>
      </w:r>
      <w:r w:rsidR="00A56964">
        <w:rPr>
          <w:rFonts w:asciiTheme="minorHAnsi" w:hAnsiTheme="minorHAnsi" w:cstheme="minorHAnsi"/>
          <w:lang w:val="cs-CZ"/>
        </w:rPr>
        <w:t xml:space="preserve"> v letech 2011 až 2015 znázorňuje graf č. 1.</w:t>
      </w:r>
    </w:p>
    <w:p w14:paraId="1E3062A5" w14:textId="77777777" w:rsidR="00A56964" w:rsidRDefault="00A56964" w:rsidP="000F42B2">
      <w:pPr>
        <w:rPr>
          <w:rFonts w:asciiTheme="minorHAnsi" w:hAnsiTheme="minorHAnsi" w:cstheme="minorHAnsi"/>
          <w:lang w:val="cs-CZ"/>
        </w:rPr>
      </w:pPr>
    </w:p>
    <w:p w14:paraId="4145138E" w14:textId="6F985A49" w:rsidR="00A56964" w:rsidRPr="00390FA5" w:rsidRDefault="00A56964" w:rsidP="000F42B2">
      <w:pPr>
        <w:ind w:left="1134" w:hanging="1134"/>
        <w:jc w:val="both"/>
        <w:rPr>
          <w:rFonts w:asciiTheme="minorHAnsi" w:hAnsiTheme="minorHAnsi" w:cstheme="minorHAnsi"/>
          <w:b/>
          <w:lang w:val="cs-CZ"/>
        </w:rPr>
      </w:pPr>
      <w:r w:rsidRPr="00390FA5">
        <w:rPr>
          <w:rFonts w:asciiTheme="minorHAnsi" w:hAnsiTheme="minorHAnsi" w:cstheme="minorHAnsi"/>
          <w:b/>
          <w:lang w:val="cs-CZ"/>
        </w:rPr>
        <w:t xml:space="preserve">Graf č. 1 </w:t>
      </w:r>
      <w:r w:rsidR="00F516F9">
        <w:rPr>
          <w:rFonts w:asciiTheme="minorHAnsi" w:hAnsiTheme="minorHAnsi" w:cstheme="minorHAnsi"/>
          <w:b/>
          <w:lang w:val="cs-CZ"/>
        </w:rPr>
        <w:t>–</w:t>
      </w:r>
      <w:r w:rsidR="00390FA5">
        <w:rPr>
          <w:rFonts w:asciiTheme="minorHAnsi" w:hAnsiTheme="minorHAnsi" w:cstheme="minorHAnsi"/>
          <w:b/>
          <w:lang w:val="cs-CZ"/>
        </w:rPr>
        <w:tab/>
      </w:r>
      <w:r w:rsidR="00315415" w:rsidRPr="00390FA5">
        <w:rPr>
          <w:rFonts w:asciiTheme="minorHAnsi" w:hAnsiTheme="minorHAnsi" w:cstheme="minorHAnsi"/>
          <w:b/>
          <w:lang w:val="cs-CZ"/>
        </w:rPr>
        <w:t>Poměr celkových výnosů z hlavní činnosti bez příspěvku na provoz k celkovým výnosům z hlavní činnosti</w:t>
      </w:r>
      <w:r w:rsidRPr="00390FA5">
        <w:rPr>
          <w:rFonts w:asciiTheme="minorHAnsi" w:hAnsiTheme="minorHAnsi" w:cstheme="minorHAnsi"/>
          <w:b/>
          <w:lang w:val="cs-CZ"/>
        </w:rPr>
        <w:t xml:space="preserve"> v letech 2011 až 2015</w:t>
      </w:r>
    </w:p>
    <w:p w14:paraId="120C1098" w14:textId="77777777" w:rsidR="00A56964" w:rsidRPr="006849FE" w:rsidRDefault="00A56964" w:rsidP="00A56964">
      <w:pPr>
        <w:spacing w:after="60" w:line="19" w:lineRule="atLeast"/>
        <w:jc w:val="center"/>
        <w:rPr>
          <w:rFonts w:asciiTheme="minorHAnsi" w:hAnsiTheme="minorHAnsi" w:cstheme="minorHAnsi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DDCBF39" wp14:editId="18A0D988">
            <wp:extent cx="5325110" cy="2385391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E5612C" w14:textId="68385D11" w:rsidR="00A56964" w:rsidRPr="002B021C" w:rsidRDefault="00A56964" w:rsidP="002B021C">
      <w:pPr>
        <w:ind w:left="567" w:hanging="567"/>
        <w:jc w:val="both"/>
        <w:rPr>
          <w:rFonts w:asciiTheme="minorHAnsi" w:hAnsiTheme="minorHAnsi" w:cstheme="minorHAnsi"/>
          <w:spacing w:val="-2"/>
          <w:sz w:val="20"/>
          <w:szCs w:val="20"/>
          <w:lang w:val="cs-CZ"/>
        </w:rPr>
      </w:pPr>
      <w:r w:rsidRPr="002B021C">
        <w:rPr>
          <w:rFonts w:asciiTheme="minorHAnsi" w:hAnsiTheme="minorHAnsi" w:cstheme="minorHAnsi"/>
          <w:b/>
          <w:spacing w:val="-2"/>
          <w:sz w:val="20"/>
          <w:szCs w:val="20"/>
          <w:lang w:val="cs-CZ"/>
        </w:rPr>
        <w:t>Zdroj:</w:t>
      </w:r>
      <w:r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</w:t>
      </w:r>
      <w:r w:rsid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ab/>
      </w:r>
      <w:r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>zpracován</w:t>
      </w:r>
      <w:r w:rsidR="005B6AFA">
        <w:rPr>
          <w:rFonts w:asciiTheme="minorHAnsi" w:hAnsiTheme="minorHAnsi" w:cstheme="minorHAnsi"/>
          <w:spacing w:val="-2"/>
          <w:sz w:val="20"/>
          <w:szCs w:val="20"/>
          <w:lang w:val="cs-CZ"/>
        </w:rPr>
        <w:t>o</w:t>
      </w:r>
      <w:r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na základě údajů uvedených ve </w:t>
      </w:r>
      <w:r w:rsidR="00F516F9">
        <w:rPr>
          <w:rFonts w:asciiTheme="minorHAnsi" w:hAnsiTheme="minorHAnsi" w:cstheme="minorHAnsi"/>
          <w:spacing w:val="-2"/>
          <w:sz w:val="20"/>
          <w:szCs w:val="20"/>
          <w:lang w:val="cs-CZ"/>
        </w:rPr>
        <w:t>v</w:t>
      </w:r>
      <w:r w:rsidR="005A5602">
        <w:rPr>
          <w:rFonts w:asciiTheme="minorHAnsi" w:hAnsiTheme="minorHAnsi" w:cstheme="minorHAnsi"/>
          <w:spacing w:val="-2"/>
          <w:sz w:val="20"/>
          <w:szCs w:val="20"/>
          <w:lang w:val="cs-CZ"/>
        </w:rPr>
        <w:t>ýročních zprávách o činnosti a </w:t>
      </w:r>
      <w:r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>hospodaření ND za roky 2011 až 2015.</w:t>
      </w:r>
    </w:p>
    <w:p w14:paraId="41CDB98A" w14:textId="55573ADA" w:rsidR="00B07A2A" w:rsidRPr="002B021C" w:rsidRDefault="00B07A2A" w:rsidP="002B021C">
      <w:pPr>
        <w:ind w:left="567" w:hanging="567"/>
        <w:jc w:val="both"/>
        <w:rPr>
          <w:rFonts w:asciiTheme="minorHAnsi" w:hAnsiTheme="minorHAnsi" w:cstheme="minorHAnsi"/>
          <w:spacing w:val="-2"/>
          <w:sz w:val="20"/>
          <w:szCs w:val="20"/>
          <w:lang w:val="cs-CZ"/>
        </w:rPr>
      </w:pPr>
      <w:r w:rsidRPr="002B021C">
        <w:rPr>
          <w:rFonts w:asciiTheme="minorHAnsi" w:hAnsiTheme="minorHAnsi" w:cstheme="minorHAnsi"/>
          <w:b/>
          <w:spacing w:val="-2"/>
          <w:sz w:val="20"/>
          <w:szCs w:val="20"/>
          <w:lang w:val="cs-CZ"/>
        </w:rPr>
        <w:t>Pozn</w:t>
      </w:r>
      <w:r w:rsidR="00F516F9">
        <w:rPr>
          <w:rFonts w:asciiTheme="minorHAnsi" w:hAnsiTheme="minorHAnsi" w:cstheme="minorHAnsi"/>
          <w:b/>
          <w:spacing w:val="-2"/>
          <w:sz w:val="20"/>
          <w:szCs w:val="20"/>
          <w:lang w:val="cs-CZ"/>
        </w:rPr>
        <w:t>.</w:t>
      </w:r>
      <w:r w:rsidRPr="002B021C">
        <w:rPr>
          <w:rFonts w:asciiTheme="minorHAnsi" w:hAnsiTheme="minorHAnsi" w:cstheme="minorHAnsi"/>
          <w:b/>
          <w:spacing w:val="-2"/>
          <w:sz w:val="20"/>
          <w:szCs w:val="20"/>
          <w:lang w:val="cs-CZ"/>
        </w:rPr>
        <w:t>:</w:t>
      </w:r>
      <w:r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Významný podíl na celkových výnosech bez příspěvku na provoz mají výnosy z prodeje služeb, které jsou tvořeny především výnosy ze vstupného. </w:t>
      </w:r>
      <w:r w:rsidR="00FC12CD"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>Např. v roce 2015 v</w:t>
      </w:r>
      <w:r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ýnosy </w:t>
      </w:r>
      <w:r w:rsidR="00FC12CD"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ze vstupného tvořily 86 % výnosů z prodeje služeb. </w:t>
      </w:r>
      <w:r w:rsidRPr="002B021C">
        <w:rPr>
          <w:rFonts w:asciiTheme="minorHAnsi" w:hAnsiTheme="minorHAnsi" w:cstheme="minorHAnsi"/>
          <w:spacing w:val="-2"/>
          <w:sz w:val="20"/>
          <w:szCs w:val="20"/>
          <w:lang w:val="cs-CZ"/>
        </w:rPr>
        <w:t>Podíl výnosů ze vstupného na celkových výnosech ND se v letech 2011 až 2015 pohyboval mezi 24 % a 26 %.</w:t>
      </w:r>
    </w:p>
    <w:p w14:paraId="0C53B3FC" w14:textId="77777777" w:rsidR="002B021C" w:rsidRDefault="002B021C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022C7DA7" w14:textId="77777777" w:rsidR="00315415" w:rsidRDefault="00315415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V tabulce č. 3 je uveden přehled údajů o celkové návštěvnosti ND, průměrné ceně vstupenky a průměrných tržbách za jedno představení.</w:t>
      </w:r>
      <w:r w:rsidR="00082DD1">
        <w:rPr>
          <w:rFonts w:asciiTheme="minorHAnsi" w:hAnsiTheme="minorHAnsi" w:cstheme="minorHAnsi"/>
          <w:color w:val="000000"/>
          <w:lang w:val="cs-CZ"/>
        </w:rPr>
        <w:t xml:space="preserve"> V roce 2011 se jedná o </w:t>
      </w:r>
      <w:r w:rsidR="002F299B">
        <w:rPr>
          <w:rFonts w:asciiTheme="minorHAnsi" w:hAnsiTheme="minorHAnsi" w:cstheme="minorHAnsi"/>
          <w:color w:val="000000"/>
          <w:lang w:val="cs-CZ"/>
        </w:rPr>
        <w:t xml:space="preserve">údaje </w:t>
      </w:r>
      <w:r w:rsidR="00F376D5">
        <w:rPr>
          <w:rFonts w:asciiTheme="minorHAnsi" w:hAnsiTheme="minorHAnsi" w:cstheme="minorHAnsi"/>
          <w:color w:val="000000"/>
          <w:lang w:val="cs-CZ"/>
        </w:rPr>
        <w:t>před transformací</w:t>
      </w:r>
      <w:r w:rsidR="00082DD1">
        <w:rPr>
          <w:rFonts w:asciiTheme="minorHAnsi" w:hAnsiTheme="minorHAnsi" w:cstheme="minorHAnsi"/>
          <w:color w:val="000000"/>
          <w:lang w:val="cs-CZ"/>
        </w:rPr>
        <w:t>.</w:t>
      </w:r>
    </w:p>
    <w:p w14:paraId="7FDD1E7F" w14:textId="77777777" w:rsidR="00390FA5" w:rsidRDefault="00390FA5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60E7DC22" w14:textId="0E79A9B2" w:rsidR="00315415" w:rsidRPr="00390FA5" w:rsidRDefault="00315415" w:rsidP="000F42B2">
      <w:pPr>
        <w:spacing w:after="4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390FA5">
        <w:rPr>
          <w:rFonts w:asciiTheme="minorHAnsi" w:hAnsiTheme="minorHAnsi" w:cstheme="minorHAnsi"/>
          <w:b/>
          <w:color w:val="000000"/>
          <w:lang w:val="cs-CZ"/>
        </w:rPr>
        <w:t>Tabulka č. 3</w:t>
      </w:r>
      <w:r w:rsidR="00F516F9">
        <w:rPr>
          <w:rFonts w:asciiTheme="minorHAnsi" w:hAnsiTheme="minorHAnsi" w:cstheme="minorHAnsi"/>
          <w:b/>
          <w:color w:val="000000"/>
          <w:lang w:val="cs-CZ"/>
        </w:rPr>
        <w:t xml:space="preserve"> –</w:t>
      </w:r>
      <w:r w:rsidRPr="00390FA5">
        <w:rPr>
          <w:rFonts w:asciiTheme="minorHAnsi" w:hAnsiTheme="minorHAnsi" w:cstheme="minorHAnsi"/>
          <w:b/>
          <w:color w:val="000000"/>
          <w:lang w:val="cs-CZ"/>
        </w:rPr>
        <w:t xml:space="preserve"> Celková návštěvnost ND v letech 2011 až 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127"/>
        <w:gridCol w:w="1076"/>
        <w:gridCol w:w="865"/>
        <w:gridCol w:w="1174"/>
        <w:gridCol w:w="1678"/>
        <w:gridCol w:w="1240"/>
        <w:gridCol w:w="1354"/>
      </w:tblGrid>
      <w:tr w:rsidR="001E7910" w:rsidRPr="001E7910" w14:paraId="29F01B11" w14:textId="77777777" w:rsidTr="001E7910">
        <w:trPr>
          <w:trHeight w:val="2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9F4E7C8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36CBEEC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Počet představení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DE52059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Počet nabízených vstupenek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A16F483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Počet diváků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DAF1AEF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Návštěvnost</w:t>
            </w:r>
          </w:p>
          <w:p w14:paraId="01A91865" w14:textId="551EF275" w:rsidR="00315415" w:rsidRPr="001E7910" w:rsidRDefault="005A5602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="00315415"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v %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F199ECD" w14:textId="3A31396A" w:rsidR="00315415" w:rsidRPr="001E7910" w:rsidRDefault="005A5602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Celkové t</w:t>
            </w:r>
            <w:r w:rsidR="00315415"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rž</w:t>
            </w:r>
            <w:r w:rsidR="00FC6758"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by z prodeje vstupenek</w:t>
            </w:r>
          </w:p>
          <w:p w14:paraId="24EDFC96" w14:textId="3D3701F8" w:rsidR="00315415" w:rsidRPr="001E7910" w:rsidRDefault="005A5602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="00315415"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v tis. Kč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8FFCAD3" w14:textId="47F94BD2" w:rsidR="00315415" w:rsidRPr="001E7910" w:rsidRDefault="00315415" w:rsidP="005A5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Průměrná cena</w:t>
            </w:r>
            <w:r w:rsidR="005A5602"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*</w:t>
            </w: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vstupenky </w:t>
            </w:r>
            <w:r w:rsidR="005A56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v Kč</w:t>
            </w:r>
            <w:r w:rsidR="005A56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814F3AA" w14:textId="77777777" w:rsidR="00315415" w:rsidRPr="001E7910" w:rsidRDefault="00FC6758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Průměrné tržby za 1 </w:t>
            </w:r>
            <w:r w:rsidR="00315415"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představení</w:t>
            </w:r>
          </w:p>
          <w:p w14:paraId="06D4B9FF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(v tis. Kč)</w:t>
            </w:r>
          </w:p>
        </w:tc>
      </w:tr>
      <w:tr w:rsidR="001E7910" w:rsidRPr="001E7910" w14:paraId="468D5C51" w14:textId="77777777" w:rsidTr="001E7910">
        <w:trPr>
          <w:trHeight w:val="28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430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2011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0D8D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898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44C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553 796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D252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402 457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5BCC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72,67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69F1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172 350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0B4E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428,24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977C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191,93</w:t>
            </w:r>
          </w:p>
        </w:tc>
      </w:tr>
      <w:tr w:rsidR="001E7910" w:rsidRPr="001E7910" w14:paraId="1C31AD78" w14:textId="77777777" w:rsidTr="001E7910">
        <w:trPr>
          <w:trHeight w:val="28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7B53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E836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1 105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16EA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825 258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EACB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578 942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5B24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70,15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568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245 334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751D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423,76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9674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222,02</w:t>
            </w:r>
          </w:p>
        </w:tc>
      </w:tr>
      <w:tr w:rsidR="001E7910" w:rsidRPr="001E7910" w14:paraId="7179C8D7" w14:textId="77777777" w:rsidTr="001E7910">
        <w:trPr>
          <w:trHeight w:val="28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974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E35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1 080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3A4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802 615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2FF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565 643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100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70,48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7F7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248 998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15D7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440,20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9B0B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230,55</w:t>
            </w:r>
          </w:p>
        </w:tc>
      </w:tr>
      <w:tr w:rsidR="001E7910" w:rsidRPr="001E7910" w14:paraId="7488D6FA" w14:textId="77777777" w:rsidTr="001E7910">
        <w:trPr>
          <w:trHeight w:val="28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3C2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D9CB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1 071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254D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800 491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BAB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562 031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103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70,21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BD86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260 658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AAEE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463,78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97E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243,38</w:t>
            </w:r>
          </w:p>
        </w:tc>
      </w:tr>
      <w:tr w:rsidR="001E7910" w:rsidRPr="001E7910" w14:paraId="5399648F" w14:textId="77777777" w:rsidTr="001E7910">
        <w:trPr>
          <w:trHeight w:val="28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3DB7" w14:textId="77777777" w:rsidR="00315415" w:rsidRPr="001E7910" w:rsidRDefault="00315415" w:rsidP="001E79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2015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9ED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1 043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7C5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763 998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B622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551 555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99A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72,19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C14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269 518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6ABB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488,65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5C01" w14:textId="77777777" w:rsidR="00315415" w:rsidRPr="001E7910" w:rsidRDefault="00315415" w:rsidP="001E7910">
            <w:pPr>
              <w:ind w:right="71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E7910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258,41</w:t>
            </w:r>
          </w:p>
        </w:tc>
      </w:tr>
    </w:tbl>
    <w:p w14:paraId="3EB3A5C1" w14:textId="41DE9EFD" w:rsidR="00315415" w:rsidRPr="002B021C" w:rsidRDefault="00315415" w:rsidP="002B021C">
      <w:pPr>
        <w:spacing w:before="40"/>
        <w:jc w:val="both"/>
        <w:rPr>
          <w:rFonts w:asciiTheme="minorHAnsi" w:hAnsiTheme="minorHAnsi" w:cstheme="minorHAnsi"/>
          <w:sz w:val="20"/>
          <w:szCs w:val="18"/>
          <w:lang w:val="cs-CZ"/>
        </w:rPr>
      </w:pPr>
      <w:r w:rsidRPr="002B021C">
        <w:rPr>
          <w:rFonts w:asciiTheme="minorHAnsi" w:hAnsiTheme="minorHAnsi" w:cstheme="minorHAnsi"/>
          <w:b/>
          <w:sz w:val="20"/>
          <w:szCs w:val="18"/>
          <w:lang w:val="cs-CZ"/>
        </w:rPr>
        <w:t>Zdroj:</w:t>
      </w:r>
      <w:r w:rsidRPr="002B021C">
        <w:rPr>
          <w:rFonts w:asciiTheme="minorHAnsi" w:hAnsiTheme="minorHAnsi" w:cstheme="minorHAnsi"/>
          <w:sz w:val="20"/>
          <w:szCs w:val="18"/>
          <w:lang w:val="cs-CZ"/>
        </w:rPr>
        <w:t xml:space="preserve"> </w:t>
      </w:r>
      <w:r w:rsidR="00F516F9">
        <w:rPr>
          <w:rFonts w:asciiTheme="minorHAnsi" w:hAnsiTheme="minorHAnsi" w:cstheme="minorHAnsi"/>
          <w:sz w:val="20"/>
          <w:szCs w:val="18"/>
          <w:lang w:val="cs-CZ"/>
        </w:rPr>
        <w:t>v</w:t>
      </w:r>
      <w:r w:rsidRPr="002B021C">
        <w:rPr>
          <w:rFonts w:asciiTheme="minorHAnsi" w:hAnsiTheme="minorHAnsi" w:cstheme="minorHAnsi"/>
          <w:sz w:val="20"/>
          <w:szCs w:val="18"/>
          <w:lang w:val="cs-CZ"/>
        </w:rPr>
        <w:t>ýroční zprávy o činnosti a hospodaření Národního divadla za roky 2011 až 2015; vlastní výpočet.</w:t>
      </w:r>
    </w:p>
    <w:p w14:paraId="0CEAB4DC" w14:textId="77777777" w:rsidR="00F516F9" w:rsidRDefault="00315415" w:rsidP="002B021C">
      <w:pPr>
        <w:ind w:left="284" w:hanging="284"/>
        <w:jc w:val="both"/>
        <w:rPr>
          <w:rFonts w:asciiTheme="minorHAnsi" w:hAnsiTheme="minorHAnsi" w:cstheme="minorHAnsi"/>
          <w:spacing w:val="-4"/>
          <w:sz w:val="20"/>
          <w:szCs w:val="18"/>
          <w:lang w:val="cs-CZ"/>
        </w:rPr>
      </w:pPr>
      <w:r w:rsidRPr="002B021C">
        <w:rPr>
          <w:rFonts w:asciiTheme="minorHAnsi" w:hAnsiTheme="minorHAnsi" w:cstheme="minorHAnsi"/>
          <w:b/>
          <w:spacing w:val="-4"/>
          <w:sz w:val="20"/>
          <w:szCs w:val="18"/>
          <w:lang w:val="cs-CZ"/>
        </w:rPr>
        <w:t>Vysvětlivka:</w:t>
      </w:r>
      <w:r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 </w:t>
      </w:r>
    </w:p>
    <w:p w14:paraId="232903F0" w14:textId="471FFBFC" w:rsidR="00315415" w:rsidRPr="002B021C" w:rsidRDefault="00315415" w:rsidP="00F516F9">
      <w:pPr>
        <w:ind w:left="142" w:hanging="142"/>
        <w:jc w:val="both"/>
        <w:rPr>
          <w:rFonts w:asciiTheme="minorHAnsi" w:hAnsiTheme="minorHAnsi" w:cstheme="minorHAnsi"/>
          <w:spacing w:val="-4"/>
          <w:sz w:val="20"/>
          <w:szCs w:val="18"/>
          <w:lang w:val="cs-CZ"/>
        </w:rPr>
      </w:pPr>
      <w:r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*  „Průměrná cena vstupenky“ </w:t>
      </w:r>
      <w:r w:rsidR="005A5602">
        <w:rPr>
          <w:rFonts w:asciiTheme="minorHAnsi" w:hAnsiTheme="minorHAnsi" w:cstheme="minorHAnsi"/>
          <w:spacing w:val="-4"/>
          <w:sz w:val="20"/>
          <w:szCs w:val="18"/>
          <w:lang w:val="cs-CZ"/>
        </w:rPr>
        <w:t>byla vypočítána tak, že</w:t>
      </w:r>
      <w:r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 celkov</w:t>
      </w:r>
      <w:r w:rsidR="005A5602">
        <w:rPr>
          <w:rFonts w:asciiTheme="minorHAnsi" w:hAnsiTheme="minorHAnsi" w:cstheme="minorHAnsi"/>
          <w:spacing w:val="-4"/>
          <w:sz w:val="20"/>
          <w:szCs w:val="18"/>
          <w:lang w:val="cs-CZ"/>
        </w:rPr>
        <w:t>é</w:t>
      </w:r>
      <w:r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 tržb</w:t>
      </w:r>
      <w:r w:rsidR="005A5602">
        <w:rPr>
          <w:rFonts w:asciiTheme="minorHAnsi" w:hAnsiTheme="minorHAnsi" w:cstheme="minorHAnsi"/>
          <w:spacing w:val="-4"/>
          <w:sz w:val="20"/>
          <w:szCs w:val="18"/>
          <w:lang w:val="cs-CZ"/>
        </w:rPr>
        <w:t>y</w:t>
      </w:r>
      <w:r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 </w:t>
      </w:r>
      <w:r w:rsidR="00FC6758"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z prodaných vstupenek </w:t>
      </w:r>
      <w:r w:rsidR="005A5602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byly vyděleny </w:t>
      </w:r>
      <w:r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>počt</w:t>
      </w:r>
      <w:r w:rsidR="005A5602">
        <w:rPr>
          <w:rFonts w:asciiTheme="minorHAnsi" w:hAnsiTheme="minorHAnsi" w:cstheme="minorHAnsi"/>
          <w:spacing w:val="-4"/>
          <w:sz w:val="20"/>
          <w:szCs w:val="18"/>
          <w:lang w:val="cs-CZ"/>
        </w:rPr>
        <w:t>em</w:t>
      </w:r>
      <w:r w:rsidRPr="002B021C">
        <w:rPr>
          <w:rFonts w:asciiTheme="minorHAnsi" w:hAnsiTheme="minorHAnsi" w:cstheme="minorHAnsi"/>
          <w:spacing w:val="-4"/>
          <w:sz w:val="20"/>
          <w:szCs w:val="18"/>
          <w:lang w:val="cs-CZ"/>
        </w:rPr>
        <w:t xml:space="preserve"> diváků v daném roce.</w:t>
      </w:r>
    </w:p>
    <w:p w14:paraId="7788C183" w14:textId="77777777" w:rsidR="002B021C" w:rsidRPr="002B021C" w:rsidRDefault="002B021C" w:rsidP="002B021C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</w:p>
    <w:p w14:paraId="5474A8B0" w14:textId="383DAEE4" w:rsidR="00315415" w:rsidRPr="002B021C" w:rsidRDefault="00C00DD4" w:rsidP="002B021C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 w:rsidRPr="002B021C">
        <w:rPr>
          <w:rFonts w:asciiTheme="minorHAnsi" w:hAnsiTheme="minorHAnsi" w:cstheme="minorHAnsi"/>
          <w:lang w:val="cs-CZ"/>
        </w:rPr>
        <w:t>Celková návštěvnost ND se v letech 2013 až 2015 pohybovala od 70,21 % do 72,19 %. Od</w:t>
      </w:r>
      <w:r w:rsidR="001434CD">
        <w:rPr>
          <w:rFonts w:asciiTheme="minorHAnsi" w:hAnsiTheme="minorHAnsi" w:cstheme="minorHAnsi"/>
          <w:lang w:val="cs-CZ"/>
        </w:rPr>
        <w:t xml:space="preserve"> </w:t>
      </w:r>
      <w:r w:rsidRPr="002B021C">
        <w:rPr>
          <w:rFonts w:asciiTheme="minorHAnsi" w:hAnsiTheme="minorHAnsi" w:cstheme="minorHAnsi"/>
          <w:lang w:val="cs-CZ"/>
        </w:rPr>
        <w:t>roku</w:t>
      </w:r>
      <w:r w:rsidR="001434CD">
        <w:rPr>
          <w:rFonts w:asciiTheme="minorHAnsi" w:hAnsiTheme="minorHAnsi" w:cstheme="minorHAnsi"/>
          <w:lang w:val="cs-CZ"/>
        </w:rPr>
        <w:t xml:space="preserve"> </w:t>
      </w:r>
      <w:r w:rsidR="00315415" w:rsidRPr="002B021C">
        <w:rPr>
          <w:rFonts w:asciiTheme="minorHAnsi" w:hAnsiTheme="minorHAnsi" w:cstheme="minorHAnsi"/>
          <w:lang w:val="cs-CZ"/>
        </w:rPr>
        <w:t xml:space="preserve">2013 se snižoval počet představení ND, čemuž odpovídá klesající počet nabízených vstupenek a s tím souvisí i klesající počet diváků. Oproti tomu docházelo ve sledovaném období každý rok k nárůstu tržeb ze vstupného. </w:t>
      </w:r>
      <w:r w:rsidRPr="002B021C">
        <w:rPr>
          <w:rFonts w:asciiTheme="minorHAnsi" w:hAnsiTheme="minorHAnsi" w:cstheme="minorHAnsi"/>
          <w:lang w:val="cs-CZ"/>
        </w:rPr>
        <w:t>V roce 2015 ND utržilo za jedno představení v průměru 258</w:t>
      </w:r>
      <w:r w:rsidR="001434CD">
        <w:rPr>
          <w:rFonts w:asciiTheme="minorHAnsi" w:hAnsiTheme="minorHAnsi" w:cstheme="minorHAnsi"/>
          <w:lang w:val="cs-CZ"/>
        </w:rPr>
        <w:t> </w:t>
      </w:r>
      <w:r w:rsidRPr="002B021C">
        <w:rPr>
          <w:rFonts w:asciiTheme="minorHAnsi" w:hAnsiTheme="minorHAnsi" w:cstheme="minorHAnsi"/>
          <w:lang w:val="cs-CZ"/>
        </w:rPr>
        <w:t>tis.</w:t>
      </w:r>
      <w:r w:rsidR="001434CD">
        <w:rPr>
          <w:rFonts w:asciiTheme="minorHAnsi" w:hAnsiTheme="minorHAnsi" w:cstheme="minorHAnsi"/>
          <w:lang w:val="cs-CZ"/>
        </w:rPr>
        <w:t> </w:t>
      </w:r>
      <w:r w:rsidRPr="002B021C">
        <w:rPr>
          <w:rFonts w:asciiTheme="minorHAnsi" w:hAnsiTheme="minorHAnsi" w:cstheme="minorHAnsi"/>
          <w:lang w:val="cs-CZ"/>
        </w:rPr>
        <w:t xml:space="preserve">Kč. </w:t>
      </w:r>
      <w:r w:rsidR="00315415" w:rsidRPr="002B021C">
        <w:rPr>
          <w:rFonts w:asciiTheme="minorHAnsi" w:hAnsiTheme="minorHAnsi" w:cstheme="minorHAnsi"/>
          <w:lang w:val="cs-CZ"/>
        </w:rPr>
        <w:t>V roce 2012 průměrná cena vstupenky mírně klesla v porovnání s předch</w:t>
      </w:r>
      <w:r w:rsidR="005A5602">
        <w:rPr>
          <w:rFonts w:asciiTheme="minorHAnsi" w:hAnsiTheme="minorHAnsi" w:cstheme="minorHAnsi"/>
          <w:lang w:val="cs-CZ"/>
        </w:rPr>
        <w:t>o</w:t>
      </w:r>
      <w:r w:rsidR="00315415" w:rsidRPr="002B021C">
        <w:rPr>
          <w:rFonts w:asciiTheme="minorHAnsi" w:hAnsiTheme="minorHAnsi" w:cstheme="minorHAnsi"/>
          <w:lang w:val="cs-CZ"/>
        </w:rPr>
        <w:t>zím rokem, ale od roku 2013 se ji</w:t>
      </w:r>
      <w:r w:rsidRPr="002B021C">
        <w:rPr>
          <w:rFonts w:asciiTheme="minorHAnsi" w:hAnsiTheme="minorHAnsi" w:cstheme="minorHAnsi"/>
          <w:lang w:val="cs-CZ"/>
        </w:rPr>
        <w:t>ž hodnota tohoto ukazatele</w:t>
      </w:r>
      <w:r w:rsidR="00315415" w:rsidRPr="002B021C">
        <w:rPr>
          <w:rFonts w:asciiTheme="minorHAnsi" w:hAnsiTheme="minorHAnsi" w:cstheme="minorHAnsi"/>
          <w:lang w:val="cs-CZ"/>
        </w:rPr>
        <w:t xml:space="preserve"> zvyšuje. </w:t>
      </w:r>
      <w:r w:rsidRPr="002B021C">
        <w:rPr>
          <w:rFonts w:asciiTheme="minorHAnsi" w:hAnsiTheme="minorHAnsi" w:cstheme="minorHAnsi"/>
          <w:lang w:val="cs-CZ"/>
        </w:rPr>
        <w:t xml:space="preserve">V roce 2012 činila průměrná </w:t>
      </w:r>
      <w:r w:rsidRPr="002B021C">
        <w:rPr>
          <w:rFonts w:asciiTheme="minorHAnsi" w:hAnsiTheme="minorHAnsi" w:cstheme="minorHAnsi"/>
          <w:lang w:val="cs-CZ"/>
        </w:rPr>
        <w:lastRenderedPageBreak/>
        <w:t>cena vstupenky 428 Kč a v roce 2015 téměř 489 Kč. V tomto roce na každou 1 Kč z ceny vstupenky do ND přispíval stát částkou 2,53 Kč.</w:t>
      </w:r>
    </w:p>
    <w:p w14:paraId="1A784992" w14:textId="77777777" w:rsidR="002B021C" w:rsidRPr="002B021C" w:rsidRDefault="002B021C" w:rsidP="002B021C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</w:p>
    <w:p w14:paraId="13AB3385" w14:textId="77777777" w:rsidR="00EE535A" w:rsidRDefault="0066795A" w:rsidP="00EE535A">
      <w:pPr>
        <w:ind w:left="567" w:hanging="567"/>
        <w:jc w:val="both"/>
        <w:rPr>
          <w:rFonts w:asciiTheme="minorHAnsi" w:hAnsiTheme="minorHAnsi"/>
          <w:sz w:val="20"/>
          <w:lang w:val="cs-CZ"/>
        </w:rPr>
      </w:pPr>
      <w:r w:rsidRPr="002B021C">
        <w:rPr>
          <w:rFonts w:asciiTheme="minorHAnsi" w:hAnsiTheme="minorHAnsi"/>
          <w:b/>
          <w:sz w:val="20"/>
          <w:lang w:val="cs-CZ"/>
        </w:rPr>
        <w:t>Pozn.:</w:t>
      </w:r>
      <w:r w:rsidRPr="002B021C">
        <w:rPr>
          <w:rFonts w:asciiTheme="minorHAnsi" w:hAnsiTheme="minorHAnsi"/>
          <w:sz w:val="20"/>
          <w:lang w:val="cs-CZ"/>
        </w:rPr>
        <w:t xml:space="preserve"> Právní předpisy uvedené v tomto kontrolním závěru jsou aplikovány ve znění účinném pro kontrolované období.</w:t>
      </w:r>
    </w:p>
    <w:p w14:paraId="29E421C0" w14:textId="77777777" w:rsidR="00F516F9" w:rsidRDefault="00F516F9" w:rsidP="00F516F9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2FEF9193" w14:textId="77777777" w:rsidR="00F516F9" w:rsidRPr="002B021C" w:rsidRDefault="00F516F9" w:rsidP="00F516F9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14B0918B" w14:textId="77777777" w:rsidR="0066795A" w:rsidRPr="006F2B9D" w:rsidRDefault="0066795A" w:rsidP="002B021C">
      <w:pPr>
        <w:jc w:val="center"/>
        <w:rPr>
          <w:rFonts w:asciiTheme="minorHAnsi" w:hAnsiTheme="minorHAnsi" w:cstheme="minorHAnsi"/>
          <w:b/>
          <w:color w:val="000000"/>
          <w:sz w:val="28"/>
          <w:lang w:val="cs-CZ"/>
        </w:rPr>
      </w:pPr>
      <w:r w:rsidRPr="006F2B9D">
        <w:rPr>
          <w:rFonts w:asciiTheme="minorHAnsi" w:hAnsiTheme="minorHAnsi" w:cstheme="minorHAnsi"/>
          <w:b/>
          <w:color w:val="000000"/>
          <w:sz w:val="28"/>
          <w:lang w:val="cs-CZ"/>
        </w:rPr>
        <w:t>II. Shrnutí a vyhodnocení zjištěných skutečností</w:t>
      </w:r>
    </w:p>
    <w:p w14:paraId="54CC2C81" w14:textId="77777777" w:rsidR="002B021C" w:rsidRPr="002B021C" w:rsidRDefault="002B021C" w:rsidP="002B021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37D434BE" w14:textId="53E75F95" w:rsidR="0066795A" w:rsidRDefault="00A56964" w:rsidP="00A806CC">
      <w:pPr>
        <w:pStyle w:val="Odstavecseseznamem"/>
        <w:numPr>
          <w:ilvl w:val="0"/>
          <w:numId w:val="24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/>
          <w:b/>
          <w:lang w:val="cs-CZ"/>
        </w:rPr>
      </w:pPr>
      <w:r w:rsidRPr="002B021C">
        <w:rPr>
          <w:rFonts w:asciiTheme="minorHAnsi" w:hAnsiTheme="minorHAnsi" w:cstheme="minorHAnsi"/>
          <w:b/>
          <w:lang w:val="cs-CZ"/>
        </w:rPr>
        <w:t xml:space="preserve">Kontrolou bylo zjištěno, že transformace SOP nepřinesla deklarovanou úsporu nákladů. </w:t>
      </w:r>
      <w:r w:rsidR="00F170C8">
        <w:rPr>
          <w:rFonts w:asciiTheme="minorHAnsi" w:hAnsiTheme="minorHAnsi"/>
          <w:b/>
          <w:lang w:val="cs-CZ"/>
        </w:rPr>
        <w:t>Slouč</w:t>
      </w:r>
      <w:r w:rsidR="00F170C8" w:rsidRPr="002B021C">
        <w:rPr>
          <w:rFonts w:asciiTheme="minorHAnsi" w:hAnsiTheme="minorHAnsi"/>
          <w:b/>
          <w:lang w:val="cs-CZ"/>
        </w:rPr>
        <w:t>e</w:t>
      </w:r>
      <w:r w:rsidR="00F170C8">
        <w:rPr>
          <w:rFonts w:asciiTheme="minorHAnsi" w:hAnsiTheme="minorHAnsi"/>
          <w:b/>
          <w:lang w:val="cs-CZ"/>
        </w:rPr>
        <w:t>ní</w:t>
      </w:r>
      <w:r w:rsidR="00F170C8" w:rsidRPr="002B021C">
        <w:rPr>
          <w:rFonts w:asciiTheme="minorHAnsi" w:hAnsiTheme="minorHAnsi"/>
          <w:b/>
          <w:lang w:val="cs-CZ"/>
        </w:rPr>
        <w:t xml:space="preserve"> </w:t>
      </w:r>
      <w:r w:rsidR="0066795A" w:rsidRPr="002B021C">
        <w:rPr>
          <w:rFonts w:asciiTheme="minorHAnsi" w:hAnsiTheme="minorHAnsi"/>
          <w:b/>
          <w:lang w:val="cs-CZ"/>
        </w:rPr>
        <w:t xml:space="preserve">státní příspěvkové organizace SOP </w:t>
      </w:r>
      <w:r w:rsidR="00F170C8">
        <w:rPr>
          <w:rFonts w:asciiTheme="minorHAnsi" w:hAnsiTheme="minorHAnsi"/>
          <w:b/>
          <w:lang w:val="cs-CZ"/>
        </w:rPr>
        <w:t>s</w:t>
      </w:r>
      <w:r w:rsidR="0066795A" w:rsidRPr="002B021C">
        <w:rPr>
          <w:rFonts w:asciiTheme="minorHAnsi" w:hAnsiTheme="minorHAnsi"/>
          <w:b/>
          <w:lang w:val="cs-CZ"/>
        </w:rPr>
        <w:t xml:space="preserve"> ND měl</w:t>
      </w:r>
      <w:r w:rsidR="00F170C8">
        <w:rPr>
          <w:rFonts w:asciiTheme="minorHAnsi" w:hAnsiTheme="minorHAnsi"/>
          <w:b/>
          <w:lang w:val="cs-CZ"/>
        </w:rPr>
        <w:t>o</w:t>
      </w:r>
      <w:r w:rsidR="0066795A" w:rsidRPr="002B021C">
        <w:rPr>
          <w:rFonts w:asciiTheme="minorHAnsi" w:hAnsiTheme="minorHAnsi"/>
          <w:b/>
          <w:lang w:val="cs-CZ"/>
        </w:rPr>
        <w:t xml:space="preserve"> přinést ekonomicky a organizačně stabilní a umělecky výkonnou organizaci, která bude dále </w:t>
      </w:r>
      <w:r w:rsidR="005C5DC2" w:rsidRPr="002B021C">
        <w:rPr>
          <w:rFonts w:asciiTheme="minorHAnsi" w:hAnsiTheme="minorHAnsi"/>
          <w:b/>
          <w:lang w:val="cs-CZ"/>
        </w:rPr>
        <w:t>„</w:t>
      </w:r>
      <w:r w:rsidR="0066795A" w:rsidRPr="006F2B9D">
        <w:rPr>
          <w:rFonts w:asciiTheme="minorHAnsi" w:hAnsiTheme="minorHAnsi"/>
          <w:b/>
          <w:i/>
          <w:lang w:val="cs-CZ"/>
        </w:rPr>
        <w:t>budovat povědomí o kvalitě svých značek nejen v tuzemsku, ale také v</w:t>
      </w:r>
      <w:r w:rsidR="005C5DC2" w:rsidRPr="006F2B9D">
        <w:rPr>
          <w:rFonts w:asciiTheme="minorHAnsi" w:hAnsiTheme="minorHAnsi"/>
          <w:b/>
          <w:i/>
          <w:lang w:val="cs-CZ"/>
        </w:rPr>
        <w:t> </w:t>
      </w:r>
      <w:r w:rsidR="0066795A" w:rsidRPr="006F2B9D">
        <w:rPr>
          <w:rFonts w:asciiTheme="minorHAnsi" w:hAnsiTheme="minorHAnsi"/>
          <w:b/>
          <w:i/>
          <w:lang w:val="cs-CZ"/>
        </w:rPr>
        <w:t>zahraničí</w:t>
      </w:r>
      <w:r w:rsidR="005C5DC2" w:rsidRPr="002B021C">
        <w:rPr>
          <w:rFonts w:asciiTheme="minorHAnsi" w:hAnsiTheme="minorHAnsi"/>
          <w:b/>
          <w:lang w:val="cs-CZ"/>
        </w:rPr>
        <w:t>“</w:t>
      </w:r>
      <w:r w:rsidR="005B6AFA">
        <w:rPr>
          <w:rStyle w:val="Znakapoznpodarou"/>
          <w:rFonts w:asciiTheme="minorHAnsi" w:hAnsiTheme="minorHAnsi"/>
          <w:b/>
          <w:lang w:val="cs-CZ"/>
        </w:rPr>
        <w:footnoteReference w:id="1"/>
      </w:r>
      <w:r w:rsidR="0066795A" w:rsidRPr="002B021C">
        <w:rPr>
          <w:rFonts w:asciiTheme="minorHAnsi" w:hAnsiTheme="minorHAnsi"/>
          <w:b/>
          <w:lang w:val="cs-CZ"/>
        </w:rPr>
        <w:t>. ND nesledovalo celkové náklady transformace SOP, přičemž na vlastní přípravu transformace bylo vynaloženo minimálně 1,4</w:t>
      </w:r>
      <w:r w:rsidR="001911CD">
        <w:rPr>
          <w:rFonts w:asciiTheme="minorHAnsi" w:hAnsiTheme="minorHAnsi"/>
          <w:b/>
          <w:lang w:val="cs-CZ"/>
        </w:rPr>
        <w:t> mil. </w:t>
      </w:r>
      <w:r w:rsidR="0066795A" w:rsidRPr="002B021C">
        <w:rPr>
          <w:rFonts w:asciiTheme="minorHAnsi" w:hAnsiTheme="minorHAnsi"/>
          <w:b/>
          <w:lang w:val="cs-CZ"/>
        </w:rPr>
        <w:t>Kč. V souvislosti s transformací SOP byla očekávána úspora nákladů</w:t>
      </w:r>
      <w:r w:rsidR="00082DD1" w:rsidRPr="002B021C">
        <w:rPr>
          <w:rFonts w:asciiTheme="minorHAnsi" w:hAnsiTheme="minorHAnsi"/>
          <w:b/>
          <w:lang w:val="cs-CZ"/>
        </w:rPr>
        <w:t xml:space="preserve"> především v ekonomické oblasti</w:t>
      </w:r>
      <w:r w:rsidR="0066795A" w:rsidRPr="002B021C">
        <w:rPr>
          <w:rFonts w:asciiTheme="minorHAnsi" w:hAnsiTheme="minorHAnsi"/>
          <w:b/>
          <w:lang w:val="cs-CZ"/>
        </w:rPr>
        <w:t>. V roce 2012, tj. po sloučení SOP s ND, došlo sice oproti předchozímu roku k mírnému snížení celkových nákladů, a to o 8,3 mil. Kč (tj. o 0,87 %), avšak od roku 2013 již dochází k neustálému růstu jak nákladů z činnosti, tak celkových nákladů</w:t>
      </w:r>
      <w:r w:rsidR="00315415" w:rsidRPr="002B021C">
        <w:rPr>
          <w:rFonts w:asciiTheme="minorHAnsi" w:hAnsiTheme="minorHAnsi"/>
          <w:b/>
          <w:lang w:val="cs-CZ"/>
        </w:rPr>
        <w:t xml:space="preserve"> (viz příloha č. 1)</w:t>
      </w:r>
      <w:r w:rsidR="0066795A" w:rsidRPr="002B021C">
        <w:rPr>
          <w:rFonts w:asciiTheme="minorHAnsi" w:hAnsiTheme="minorHAnsi"/>
          <w:b/>
          <w:lang w:val="cs-CZ"/>
        </w:rPr>
        <w:t>.</w:t>
      </w:r>
    </w:p>
    <w:p w14:paraId="62F83BBB" w14:textId="77777777" w:rsidR="002B021C" w:rsidRPr="002B021C" w:rsidRDefault="002B021C" w:rsidP="002B021C">
      <w:pPr>
        <w:jc w:val="both"/>
        <w:rPr>
          <w:rFonts w:asciiTheme="minorHAnsi" w:hAnsiTheme="minorHAnsi"/>
          <w:b/>
          <w:lang w:val="cs-CZ"/>
        </w:rPr>
      </w:pPr>
    </w:p>
    <w:p w14:paraId="6818658C" w14:textId="77777777" w:rsidR="0066795A" w:rsidRPr="002B021C" w:rsidRDefault="0070441F" w:rsidP="00A806CC">
      <w:pPr>
        <w:pStyle w:val="Odstavecseseznamem"/>
        <w:numPr>
          <w:ilvl w:val="0"/>
          <w:numId w:val="24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  <w:b/>
          <w:lang w:val="cs-CZ"/>
        </w:rPr>
      </w:pPr>
      <w:r w:rsidRPr="002B021C">
        <w:rPr>
          <w:rFonts w:asciiTheme="minorHAnsi" w:hAnsiTheme="minorHAnsi" w:cstheme="minorHAnsi"/>
          <w:b/>
          <w:lang w:val="cs-CZ"/>
        </w:rPr>
        <w:t xml:space="preserve">Nebyly zjištěny systémové nedostatky v hospodaření Národního divadla. </w:t>
      </w:r>
      <w:r w:rsidR="0066795A" w:rsidRPr="002B021C">
        <w:rPr>
          <w:rFonts w:asciiTheme="minorHAnsi" w:hAnsiTheme="minorHAnsi" w:cstheme="minorHAnsi"/>
          <w:b/>
          <w:lang w:val="cs-CZ"/>
        </w:rPr>
        <w:t>Zjištěnými dílčími nedostatky jsou například tyto skutečnosti:</w:t>
      </w:r>
    </w:p>
    <w:p w14:paraId="0AFCAC4A" w14:textId="77777777" w:rsidR="00390FA5" w:rsidRPr="002B021C" w:rsidRDefault="0066795A" w:rsidP="00A806CC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="Calibri" w:hAnsi="Calibri" w:cs="Calibri"/>
          <w:b/>
          <w:bCs/>
          <w:lang w:val="cs-CZ"/>
        </w:rPr>
      </w:pPr>
      <w:r w:rsidRPr="002B021C">
        <w:rPr>
          <w:rFonts w:asciiTheme="minorHAnsi" w:hAnsiTheme="minorHAnsi" w:cstheme="minorHAnsi"/>
          <w:b/>
          <w:lang w:val="cs-CZ"/>
        </w:rPr>
        <w:t xml:space="preserve">ND v roce 2015 čerpalo prostředky rezervního fondu na úhradu potřeb nezajištěných výnosy příspěvkové organizace ve výši 12,4 mil. Kč, přestože byla pro tento rok rozpočtována pouze částka 10,3 mil. Kč. </w:t>
      </w:r>
    </w:p>
    <w:p w14:paraId="1A6A5319" w14:textId="77777777" w:rsidR="0066795A" w:rsidRPr="002B021C" w:rsidRDefault="0066795A" w:rsidP="00A806CC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="Calibri" w:hAnsi="Calibri" w:cs="Calibri"/>
          <w:b/>
          <w:bCs/>
          <w:lang w:val="cs-CZ"/>
        </w:rPr>
      </w:pPr>
      <w:r w:rsidRPr="002B021C">
        <w:rPr>
          <w:rFonts w:ascii="Calibri" w:hAnsi="Calibri" w:cs="Calibri"/>
          <w:b/>
          <w:bCs/>
          <w:lang w:val="cs-CZ"/>
        </w:rPr>
        <w:t xml:space="preserve">ND nesprávně vykazovalo výsledek hospodaření z hlavní a </w:t>
      </w:r>
      <w:r w:rsidR="00FA1412" w:rsidRPr="002B021C">
        <w:rPr>
          <w:rFonts w:ascii="Calibri" w:hAnsi="Calibri" w:cs="Calibri"/>
          <w:b/>
          <w:bCs/>
          <w:lang w:val="cs-CZ"/>
        </w:rPr>
        <w:t>hospodářské</w:t>
      </w:r>
      <w:r w:rsidRPr="002B021C">
        <w:rPr>
          <w:rFonts w:ascii="Calibri" w:hAnsi="Calibri" w:cs="Calibri"/>
          <w:b/>
          <w:bCs/>
          <w:lang w:val="cs-CZ"/>
        </w:rPr>
        <w:t xml:space="preserve"> činnosti, když do nákladů hlavní činnosti zahrnulo v roce 2013 náklady ve výši cca 1,5 mil. Kč, v roce 2014 přibližně 1,5 mil. Kč a v roce 2015 náklady ve výši 1,48 mil. Kč, přestože se jednalo o nák</w:t>
      </w:r>
      <w:r w:rsidR="008E6ED7" w:rsidRPr="002B021C">
        <w:rPr>
          <w:rFonts w:ascii="Calibri" w:hAnsi="Calibri" w:cs="Calibri"/>
          <w:b/>
          <w:bCs/>
          <w:lang w:val="cs-CZ"/>
        </w:rPr>
        <w:t>lady činnosti jiné</w:t>
      </w:r>
      <w:r w:rsidR="00FA1412" w:rsidRPr="002B021C">
        <w:rPr>
          <w:rFonts w:ascii="Calibri" w:hAnsi="Calibri" w:cs="Calibri"/>
          <w:b/>
          <w:bCs/>
          <w:lang w:val="cs-CZ"/>
        </w:rPr>
        <w:t xml:space="preserve"> (hospodářské)</w:t>
      </w:r>
      <w:r w:rsidRPr="002B021C">
        <w:rPr>
          <w:rFonts w:ascii="Calibri" w:hAnsi="Calibri" w:cs="Calibri"/>
          <w:b/>
          <w:bCs/>
          <w:lang w:val="cs-CZ"/>
        </w:rPr>
        <w:t>.</w:t>
      </w:r>
    </w:p>
    <w:p w14:paraId="7C02B31B" w14:textId="56A21769" w:rsidR="0066795A" w:rsidRPr="002B021C" w:rsidRDefault="00A56964" w:rsidP="00A806CC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2B021C">
        <w:rPr>
          <w:rFonts w:asciiTheme="minorHAnsi" w:hAnsiTheme="minorHAnsi" w:cstheme="minorHAnsi"/>
          <w:b/>
          <w:color w:val="000000"/>
          <w:lang w:val="cs-CZ"/>
        </w:rPr>
        <w:t xml:space="preserve">NKÚ se zabýval kontrolou nákladů a výnosů </w:t>
      </w:r>
      <w:r w:rsidR="005A5602">
        <w:rPr>
          <w:rFonts w:asciiTheme="minorHAnsi" w:hAnsiTheme="minorHAnsi" w:cstheme="minorHAnsi"/>
          <w:b/>
          <w:color w:val="000000"/>
          <w:lang w:val="cs-CZ"/>
        </w:rPr>
        <w:t>souvisejících s realizací</w:t>
      </w:r>
      <w:r w:rsidRPr="002B021C">
        <w:rPr>
          <w:rFonts w:asciiTheme="minorHAnsi" w:hAnsiTheme="minorHAnsi" w:cstheme="minorHAnsi"/>
          <w:b/>
          <w:color w:val="000000"/>
          <w:lang w:val="cs-CZ"/>
        </w:rPr>
        <w:t xml:space="preserve"> inscenací a</w:t>
      </w:r>
      <w:r w:rsidR="001911CD">
        <w:rPr>
          <w:rFonts w:asciiTheme="minorHAnsi" w:hAnsiTheme="minorHAnsi" w:cstheme="minorHAnsi"/>
          <w:b/>
          <w:color w:val="000000"/>
          <w:lang w:val="cs-CZ"/>
        </w:rPr>
        <w:t> </w:t>
      </w:r>
      <w:r w:rsidRPr="002B021C">
        <w:rPr>
          <w:rFonts w:asciiTheme="minorHAnsi" w:hAnsiTheme="minorHAnsi" w:cstheme="minorHAnsi"/>
          <w:b/>
          <w:color w:val="000000"/>
          <w:lang w:val="cs-CZ"/>
        </w:rPr>
        <w:t xml:space="preserve">zahraničních zájezdů a zjišťoval, zda tyto akce nebyly realizovány se ztrátou. </w:t>
      </w:r>
      <w:r w:rsidR="00923668" w:rsidRPr="002B021C">
        <w:rPr>
          <w:rFonts w:asciiTheme="minorHAnsi" w:hAnsiTheme="minorHAnsi" w:cstheme="minorHAnsi"/>
          <w:b/>
          <w:color w:val="000000"/>
          <w:lang w:val="cs-CZ"/>
        </w:rPr>
        <w:t xml:space="preserve">Bylo zjištěno, že 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>ND vykazovalo neúplné náklady a výnosy kontrolovaných inscenací a</w:t>
      </w:r>
      <w:r w:rsidR="001911CD">
        <w:rPr>
          <w:rFonts w:asciiTheme="minorHAnsi" w:hAnsiTheme="minorHAnsi" w:cstheme="minorHAnsi"/>
          <w:b/>
          <w:color w:val="000000"/>
          <w:lang w:val="cs-CZ"/>
        </w:rPr>
        <w:t> 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>zahraničních zájezdů. Náklady např. nezahrnovaly mzdové náklady včetně zákonných odvodů, náklady související s dopravou zajišťovanou ND, náklady na pojištění. Proto nebylo možné provést ekonomické vyhodnocení výsledků těchto inscenací a zahraničních zájezdů</w:t>
      </w:r>
      <w:r w:rsidR="00FE64FE">
        <w:rPr>
          <w:rFonts w:asciiTheme="minorHAnsi" w:hAnsiTheme="minorHAnsi" w:cstheme="minorHAnsi"/>
          <w:b/>
          <w:color w:val="000000"/>
          <w:lang w:val="cs-CZ"/>
        </w:rPr>
        <w:t>, a to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971174" w:rsidRPr="002B021C">
        <w:rPr>
          <w:rFonts w:asciiTheme="minorHAnsi" w:hAnsiTheme="minorHAnsi" w:cstheme="minorHAnsi"/>
          <w:b/>
          <w:color w:val="000000"/>
          <w:lang w:val="cs-CZ"/>
        </w:rPr>
        <w:t>jak ze strany kontrolované osoby, tak ani ze strany NKÚ</w:t>
      </w:r>
      <w:r w:rsidR="00390FA5" w:rsidRPr="002B021C">
        <w:rPr>
          <w:rFonts w:asciiTheme="minorHAnsi" w:hAnsiTheme="minorHAnsi" w:cstheme="minorHAnsi"/>
          <w:b/>
          <w:color w:val="000000"/>
          <w:lang w:val="cs-CZ"/>
        </w:rPr>
        <w:t>. V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>ykazované údaje nebyly dostatečným podkladem pro kvalitní řízení této oblasti.</w:t>
      </w:r>
    </w:p>
    <w:p w14:paraId="0E9E0886" w14:textId="6B29BE59" w:rsidR="00315415" w:rsidRPr="002B021C" w:rsidRDefault="0066795A" w:rsidP="00A806CC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2B021C">
        <w:rPr>
          <w:rFonts w:asciiTheme="minorHAnsi" w:hAnsiTheme="minorHAnsi" w:cstheme="minorHAnsi"/>
          <w:b/>
          <w:color w:val="000000"/>
          <w:lang w:val="cs-CZ"/>
        </w:rPr>
        <w:t>Ve dvou zjištěných případech ND zakoupilo hudební nástroj, jehož pořizovací cena činila více než 600 000 Kč</w:t>
      </w:r>
      <w:r w:rsidR="0070441F" w:rsidRPr="002B021C">
        <w:rPr>
          <w:rFonts w:asciiTheme="minorHAnsi" w:hAnsiTheme="minorHAnsi" w:cstheme="minorHAnsi"/>
          <w:b/>
          <w:color w:val="000000"/>
          <w:lang w:val="cs-CZ"/>
        </w:rPr>
        <w:t xml:space="preserve"> (pořizovací cena houslí byla 720 000 Kč, pořizovací cena flétny byla 643 720 Kč)</w:t>
      </w:r>
      <w:r w:rsidRPr="002B021C">
        <w:rPr>
          <w:rFonts w:asciiTheme="minorHAnsi" w:hAnsiTheme="minorHAnsi" w:cstheme="minorHAnsi"/>
          <w:b/>
          <w:color w:val="000000"/>
          <w:lang w:val="cs-CZ"/>
        </w:rPr>
        <w:t>, a</w:t>
      </w:r>
      <w:r w:rsidR="00A806CC">
        <w:rPr>
          <w:rFonts w:asciiTheme="minorHAnsi" w:hAnsiTheme="minorHAnsi" w:cstheme="minorHAnsi"/>
          <w:b/>
          <w:color w:val="000000"/>
          <w:lang w:val="cs-CZ"/>
        </w:rPr>
        <w:t>však</w:t>
      </w:r>
      <w:r w:rsidRPr="002B021C">
        <w:rPr>
          <w:rFonts w:asciiTheme="minorHAnsi" w:hAnsiTheme="minorHAnsi" w:cstheme="minorHAnsi"/>
          <w:b/>
          <w:color w:val="000000"/>
          <w:lang w:val="cs-CZ"/>
        </w:rPr>
        <w:t xml:space="preserve"> při jeho předání do užívání zaměstnanci s ním neuzavřelo dohodu o</w:t>
      </w:r>
      <w:r w:rsidR="00A806CC">
        <w:rPr>
          <w:rFonts w:asciiTheme="minorHAnsi" w:hAnsiTheme="minorHAnsi" w:cstheme="minorHAnsi"/>
          <w:b/>
          <w:color w:val="000000"/>
          <w:lang w:val="cs-CZ"/>
        </w:rPr>
        <w:t> </w:t>
      </w:r>
      <w:r w:rsidRPr="002B021C">
        <w:rPr>
          <w:rFonts w:asciiTheme="minorHAnsi" w:hAnsiTheme="minorHAnsi" w:cstheme="minorHAnsi"/>
          <w:b/>
          <w:color w:val="000000"/>
          <w:lang w:val="cs-CZ"/>
        </w:rPr>
        <w:t>odpovědnosti za ztrátu svěřen</w:t>
      </w:r>
      <w:r w:rsidR="00FE64FE">
        <w:rPr>
          <w:rFonts w:asciiTheme="minorHAnsi" w:hAnsiTheme="minorHAnsi" w:cstheme="minorHAnsi"/>
          <w:b/>
          <w:color w:val="000000"/>
          <w:lang w:val="cs-CZ"/>
        </w:rPr>
        <w:t>é</w:t>
      </w:r>
      <w:r w:rsidRPr="002B021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406F0B" w:rsidRPr="002B021C">
        <w:rPr>
          <w:rFonts w:asciiTheme="minorHAnsi" w:hAnsiTheme="minorHAnsi" w:cstheme="minorHAnsi"/>
          <w:b/>
          <w:color w:val="000000"/>
          <w:lang w:val="cs-CZ"/>
        </w:rPr>
        <w:t>věc</w:t>
      </w:r>
      <w:r w:rsidR="00FE64FE">
        <w:rPr>
          <w:rFonts w:asciiTheme="minorHAnsi" w:hAnsiTheme="minorHAnsi" w:cstheme="minorHAnsi"/>
          <w:b/>
          <w:color w:val="000000"/>
          <w:lang w:val="cs-CZ"/>
        </w:rPr>
        <w:t>i</w:t>
      </w:r>
      <w:r w:rsidRPr="002B021C">
        <w:rPr>
          <w:rFonts w:asciiTheme="minorHAnsi" w:hAnsiTheme="minorHAnsi" w:cstheme="minorHAnsi"/>
          <w:b/>
          <w:color w:val="000000"/>
          <w:lang w:val="cs-CZ"/>
        </w:rPr>
        <w:t>.</w:t>
      </w:r>
    </w:p>
    <w:p w14:paraId="24143008" w14:textId="77777777" w:rsidR="005B6AFA" w:rsidRDefault="005B6AFA" w:rsidP="005B6AFA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5FB9BDF1" w14:textId="0ED763DB" w:rsidR="00EE535A" w:rsidRDefault="00315415" w:rsidP="005B6AFA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2B021C">
        <w:rPr>
          <w:rFonts w:asciiTheme="minorHAnsi" w:hAnsiTheme="minorHAnsi" w:cstheme="minorHAnsi"/>
          <w:b/>
          <w:color w:val="000000"/>
          <w:lang w:val="cs-CZ"/>
        </w:rPr>
        <w:t xml:space="preserve">Dále 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>ND před uzavřením dvou smluvn</w:t>
      </w:r>
      <w:r w:rsidR="00406F0B" w:rsidRPr="002B021C">
        <w:rPr>
          <w:rFonts w:asciiTheme="minorHAnsi" w:hAnsiTheme="minorHAnsi" w:cstheme="minorHAnsi"/>
          <w:b/>
          <w:color w:val="000000"/>
          <w:lang w:val="cs-CZ"/>
        </w:rPr>
        <w:t xml:space="preserve">ích vztahů o přenechání majetku, který organizace dočasně nepotřebuje, 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 xml:space="preserve">neprovedlo úkony, které by vedly ke zjištění, zda je nájemné 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lastRenderedPageBreak/>
        <w:t xml:space="preserve">sjednáváno nejméně ve výši </w:t>
      </w:r>
      <w:r w:rsidR="00FE64FE" w:rsidRPr="002B021C">
        <w:rPr>
          <w:rFonts w:asciiTheme="minorHAnsi" w:hAnsiTheme="minorHAnsi" w:cstheme="minorHAnsi"/>
          <w:b/>
          <w:color w:val="000000"/>
          <w:lang w:val="cs-CZ"/>
        </w:rPr>
        <w:t xml:space="preserve">obvyklé 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>v</w:t>
      </w:r>
      <w:r w:rsidR="00FE64FE">
        <w:rPr>
          <w:rFonts w:asciiTheme="minorHAnsi" w:hAnsiTheme="minorHAnsi" w:cstheme="minorHAnsi"/>
          <w:b/>
          <w:color w:val="000000"/>
          <w:lang w:val="cs-CZ"/>
        </w:rPr>
        <w:t> daném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 xml:space="preserve"> místě a čas</w:t>
      </w:r>
      <w:r w:rsidR="00406F0B" w:rsidRPr="002B021C">
        <w:rPr>
          <w:rFonts w:asciiTheme="minorHAnsi" w:hAnsiTheme="minorHAnsi" w:cstheme="minorHAnsi"/>
          <w:b/>
          <w:color w:val="000000"/>
          <w:lang w:val="cs-CZ"/>
        </w:rPr>
        <w:t>e, jak stanoví zákon č. 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>219/2000</w:t>
      </w:r>
      <w:r w:rsidR="001911CD">
        <w:rPr>
          <w:rFonts w:asciiTheme="minorHAnsi" w:hAnsiTheme="minorHAnsi" w:cstheme="minorHAnsi"/>
          <w:b/>
          <w:color w:val="000000"/>
          <w:lang w:val="cs-CZ"/>
        </w:rPr>
        <w:t> </w:t>
      </w:r>
      <w:r w:rsidR="0066795A" w:rsidRPr="002B021C">
        <w:rPr>
          <w:rFonts w:asciiTheme="minorHAnsi" w:hAnsiTheme="minorHAnsi" w:cstheme="minorHAnsi"/>
          <w:b/>
          <w:color w:val="000000"/>
          <w:lang w:val="cs-CZ"/>
        </w:rPr>
        <w:t>Sb.</w:t>
      </w:r>
      <w:r w:rsidR="00923668" w:rsidRPr="002B021C">
        <w:rPr>
          <w:rStyle w:val="Znakapoznpodarou"/>
          <w:rFonts w:asciiTheme="minorHAnsi" w:hAnsiTheme="minorHAnsi" w:cstheme="minorHAnsi"/>
          <w:b/>
          <w:color w:val="000000"/>
          <w:lang w:val="cs-CZ"/>
        </w:rPr>
        <w:footnoteReference w:id="2"/>
      </w:r>
      <w:r w:rsidRPr="002B021C">
        <w:rPr>
          <w:rFonts w:asciiTheme="minorHAnsi" w:hAnsiTheme="minorHAnsi" w:cstheme="minorHAnsi"/>
          <w:b/>
          <w:color w:val="000000"/>
          <w:lang w:val="cs-CZ"/>
        </w:rPr>
        <w:t xml:space="preserve"> Dle názoru NKÚ v této oblasti selhal vnitřní kontrolní systém.</w:t>
      </w:r>
    </w:p>
    <w:p w14:paraId="73B8A868" w14:textId="77777777" w:rsidR="00EE535A" w:rsidRDefault="00EE535A" w:rsidP="00550ED8">
      <w:pPr>
        <w:pStyle w:val="Odstavecseseznamem"/>
        <w:ind w:left="567" w:hanging="567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0E21802A" w14:textId="77777777" w:rsidR="00550ED8" w:rsidRDefault="00550ED8" w:rsidP="00550ED8">
      <w:pPr>
        <w:pStyle w:val="Odstavecseseznamem"/>
        <w:ind w:left="567" w:hanging="567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363E91C4" w14:textId="77777777" w:rsidR="0066795A" w:rsidRPr="006F2B9D" w:rsidRDefault="0066795A" w:rsidP="0066795A">
      <w:pPr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6F2B9D">
        <w:rPr>
          <w:rFonts w:asciiTheme="minorHAnsi" w:hAnsiTheme="minorHAnsi" w:cstheme="minorHAnsi"/>
          <w:b/>
          <w:sz w:val="28"/>
          <w:lang w:val="cs-CZ"/>
        </w:rPr>
        <w:t>III. Skutečnosti zjištěné při kontrole</w:t>
      </w:r>
    </w:p>
    <w:p w14:paraId="196AE31F" w14:textId="77777777" w:rsidR="0066795A" w:rsidRDefault="0066795A" w:rsidP="000F42B2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3497EAB6" w14:textId="10F642CD" w:rsidR="0066795A" w:rsidRDefault="0066795A" w:rsidP="000F42B2">
      <w:pPr>
        <w:jc w:val="both"/>
        <w:rPr>
          <w:rFonts w:asciiTheme="minorHAnsi" w:hAnsiTheme="minorHAnsi" w:cstheme="minorHAnsi"/>
          <w:u w:val="single"/>
          <w:lang w:val="cs-CZ"/>
        </w:rPr>
      </w:pPr>
      <w:r w:rsidRPr="00C7592F">
        <w:rPr>
          <w:rFonts w:asciiTheme="minorHAnsi" w:hAnsiTheme="minorHAnsi" w:cstheme="minorHAnsi"/>
          <w:u w:val="single"/>
          <w:lang w:val="cs-CZ"/>
        </w:rPr>
        <w:t xml:space="preserve">K bodu </w:t>
      </w:r>
      <w:r w:rsidR="00FE64FE">
        <w:rPr>
          <w:rFonts w:asciiTheme="minorHAnsi" w:hAnsiTheme="minorHAnsi" w:cstheme="minorHAnsi"/>
          <w:u w:val="single"/>
          <w:lang w:val="cs-CZ"/>
        </w:rPr>
        <w:t>II.</w:t>
      </w:r>
      <w:r>
        <w:rPr>
          <w:rFonts w:asciiTheme="minorHAnsi" w:hAnsiTheme="minorHAnsi" w:cstheme="minorHAnsi"/>
          <w:u w:val="single"/>
          <w:lang w:val="cs-CZ"/>
        </w:rPr>
        <w:t>1</w:t>
      </w:r>
    </w:p>
    <w:p w14:paraId="431428C6" w14:textId="77777777" w:rsidR="000F42B2" w:rsidRPr="000F42B2" w:rsidRDefault="000F42B2" w:rsidP="000F42B2">
      <w:pPr>
        <w:jc w:val="both"/>
        <w:rPr>
          <w:rFonts w:asciiTheme="minorHAnsi" w:hAnsiTheme="minorHAnsi" w:cstheme="minorHAnsi"/>
          <w:lang w:val="cs-CZ"/>
        </w:rPr>
      </w:pPr>
    </w:p>
    <w:p w14:paraId="776D19E7" w14:textId="77777777" w:rsidR="0066795A" w:rsidRPr="00C7592F" w:rsidRDefault="0066795A" w:rsidP="000F42B2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C7592F">
        <w:rPr>
          <w:rFonts w:asciiTheme="minorHAnsi" w:hAnsiTheme="minorHAnsi" w:cstheme="minorHAnsi"/>
          <w:b/>
          <w:color w:val="000000"/>
          <w:lang w:val="cs-CZ"/>
        </w:rPr>
        <w:t>Transformace Státní opery Praha nepřinesla očekávanou úsporu nákladů</w:t>
      </w:r>
    </w:p>
    <w:p w14:paraId="2F87BB4A" w14:textId="77777777" w:rsidR="000F42B2" w:rsidRDefault="000F42B2" w:rsidP="000F42B2">
      <w:pPr>
        <w:jc w:val="both"/>
        <w:rPr>
          <w:rFonts w:asciiTheme="minorHAnsi" w:hAnsiTheme="minorHAnsi" w:cstheme="minorHAnsi"/>
          <w:lang w:val="cs-CZ"/>
        </w:rPr>
      </w:pPr>
    </w:p>
    <w:p w14:paraId="0528CFD7" w14:textId="77777777" w:rsidR="0066795A" w:rsidRDefault="0066795A" w:rsidP="000F42B2">
      <w:pPr>
        <w:jc w:val="both"/>
        <w:rPr>
          <w:rFonts w:asciiTheme="minorHAnsi" w:hAnsiTheme="minorHAnsi" w:cstheme="minorHAnsi"/>
          <w:lang w:val="cs-CZ"/>
        </w:rPr>
      </w:pPr>
      <w:r w:rsidRPr="00DF51E9">
        <w:rPr>
          <w:rFonts w:asciiTheme="minorHAnsi" w:hAnsiTheme="minorHAnsi" w:cstheme="minorHAnsi"/>
          <w:lang w:val="cs-CZ"/>
        </w:rPr>
        <w:t>Ministerstvo kult</w:t>
      </w:r>
      <w:r>
        <w:rPr>
          <w:rFonts w:asciiTheme="minorHAnsi" w:hAnsiTheme="minorHAnsi" w:cstheme="minorHAnsi"/>
          <w:lang w:val="cs-CZ"/>
        </w:rPr>
        <w:t>ury</w:t>
      </w:r>
      <w:r w:rsidR="002F299B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rozhodlo</w:t>
      </w:r>
      <w:r w:rsidR="002F299B">
        <w:rPr>
          <w:rFonts w:asciiTheme="minorHAnsi" w:hAnsiTheme="minorHAnsi" w:cstheme="minorHAnsi"/>
          <w:lang w:val="cs-CZ"/>
        </w:rPr>
        <w:t xml:space="preserve"> </w:t>
      </w:r>
      <w:r w:rsidR="00FC6758">
        <w:rPr>
          <w:rFonts w:asciiTheme="minorHAnsi" w:hAnsiTheme="minorHAnsi" w:cstheme="minorHAnsi"/>
          <w:lang w:val="cs-CZ"/>
        </w:rPr>
        <w:t xml:space="preserve">o </w:t>
      </w:r>
      <w:r>
        <w:rPr>
          <w:rFonts w:asciiTheme="minorHAnsi" w:hAnsiTheme="minorHAnsi" w:cstheme="minorHAnsi"/>
          <w:lang w:val="cs-CZ"/>
        </w:rPr>
        <w:t>zrušení státní příspěvkové org</w:t>
      </w:r>
      <w:r w:rsidR="00A806CC">
        <w:rPr>
          <w:rFonts w:asciiTheme="minorHAnsi" w:hAnsiTheme="minorHAnsi" w:cstheme="minorHAnsi"/>
          <w:lang w:val="cs-CZ"/>
        </w:rPr>
        <w:t xml:space="preserve">anizace Státní opera Praha ke </w:t>
      </w:r>
      <w:r>
        <w:rPr>
          <w:rFonts w:asciiTheme="minorHAnsi" w:hAnsiTheme="minorHAnsi" w:cstheme="minorHAnsi"/>
          <w:lang w:val="cs-CZ"/>
        </w:rPr>
        <w:t xml:space="preserve">dni 31. 12. 2011. Závazky SOP, které do 31. 12. 2011 nezanikly, stejně jako práva a povinnosti z pracovněprávních vztahů, jejichž nositelem byla SOP a které do 31. 12. 2011 </w:t>
      </w:r>
      <w:r w:rsidR="00082DD1">
        <w:rPr>
          <w:rFonts w:asciiTheme="minorHAnsi" w:hAnsiTheme="minorHAnsi" w:cstheme="minorHAnsi"/>
          <w:lang w:val="cs-CZ"/>
        </w:rPr>
        <w:t>nebyl</w:t>
      </w:r>
      <w:r w:rsidR="00F376D5">
        <w:rPr>
          <w:rFonts w:asciiTheme="minorHAnsi" w:hAnsiTheme="minorHAnsi" w:cstheme="minorHAnsi"/>
          <w:lang w:val="cs-CZ"/>
        </w:rPr>
        <w:t>y</w:t>
      </w:r>
      <w:r w:rsidR="00082DD1">
        <w:rPr>
          <w:rFonts w:asciiTheme="minorHAnsi" w:hAnsiTheme="minorHAnsi" w:cstheme="minorHAnsi"/>
          <w:lang w:val="cs-CZ"/>
        </w:rPr>
        <w:t xml:space="preserve"> ukončeny</w:t>
      </w:r>
      <w:r>
        <w:rPr>
          <w:rFonts w:asciiTheme="minorHAnsi" w:hAnsiTheme="minorHAnsi" w:cstheme="minorHAnsi"/>
          <w:lang w:val="cs-CZ"/>
        </w:rPr>
        <w:t xml:space="preserve">, </w:t>
      </w:r>
      <w:r w:rsidR="00FC6758">
        <w:rPr>
          <w:rFonts w:asciiTheme="minorHAnsi" w:hAnsiTheme="minorHAnsi" w:cstheme="minorHAnsi"/>
          <w:lang w:val="cs-CZ"/>
        </w:rPr>
        <w:t>převzalo</w:t>
      </w:r>
      <w:r>
        <w:rPr>
          <w:rFonts w:asciiTheme="minorHAnsi" w:hAnsiTheme="minorHAnsi" w:cstheme="minorHAnsi"/>
          <w:lang w:val="cs-CZ"/>
        </w:rPr>
        <w:t xml:space="preserve"> od 1. 1. 2012 Národní divadlo. Dále je ND od 1. 1. 2012 příslušné hospodařit s majetkem, s nímž byla příslušná hospodařit SOP.</w:t>
      </w:r>
    </w:p>
    <w:p w14:paraId="09BA294D" w14:textId="77777777" w:rsidR="000F42B2" w:rsidRDefault="000F42B2" w:rsidP="000F42B2">
      <w:pPr>
        <w:jc w:val="both"/>
        <w:rPr>
          <w:rFonts w:asciiTheme="minorHAnsi" w:hAnsiTheme="minorHAnsi" w:cstheme="minorHAnsi"/>
          <w:lang w:val="cs-CZ"/>
        </w:rPr>
      </w:pPr>
    </w:p>
    <w:p w14:paraId="45CF194F" w14:textId="461BA4D6" w:rsidR="0066795A" w:rsidRDefault="0066795A" w:rsidP="000F42B2">
      <w:pPr>
        <w:jc w:val="both"/>
        <w:rPr>
          <w:rFonts w:asciiTheme="minorHAnsi" w:hAnsiTheme="minorHAnsi" w:cstheme="minorHAnsi"/>
          <w:lang w:val="cs-CZ"/>
        </w:rPr>
      </w:pPr>
      <w:r w:rsidRPr="00DF51E9">
        <w:rPr>
          <w:rFonts w:asciiTheme="minorHAnsi" w:hAnsiTheme="minorHAnsi" w:cstheme="minorHAnsi"/>
          <w:lang w:val="cs-CZ"/>
        </w:rPr>
        <w:t>MK</w:t>
      </w:r>
      <w:r w:rsidR="00FE64FE" w:rsidRPr="00FE64FE">
        <w:rPr>
          <w:rFonts w:asciiTheme="minorHAnsi" w:hAnsiTheme="minorHAnsi" w:cstheme="minorHAnsi"/>
          <w:lang w:val="cs-CZ"/>
        </w:rPr>
        <w:t xml:space="preserve"> </w:t>
      </w:r>
      <w:r w:rsidR="00FE64FE" w:rsidRPr="00DF51E9">
        <w:rPr>
          <w:rFonts w:asciiTheme="minorHAnsi" w:hAnsiTheme="minorHAnsi" w:cstheme="minorHAnsi"/>
          <w:lang w:val="cs-CZ"/>
        </w:rPr>
        <w:t>očekávalo</w:t>
      </w:r>
      <w:r w:rsidR="00FE64FE">
        <w:rPr>
          <w:rFonts w:asciiTheme="minorHAnsi" w:hAnsiTheme="minorHAnsi" w:cstheme="minorHAnsi"/>
          <w:lang w:val="cs-CZ"/>
        </w:rPr>
        <w:t>, že</w:t>
      </w:r>
      <w:r w:rsidRPr="00DF51E9">
        <w:rPr>
          <w:rFonts w:asciiTheme="minorHAnsi" w:hAnsiTheme="minorHAnsi" w:cstheme="minorHAnsi"/>
          <w:lang w:val="cs-CZ"/>
        </w:rPr>
        <w:t xml:space="preserve"> transformac</w:t>
      </w:r>
      <w:r w:rsidR="00FE64FE">
        <w:rPr>
          <w:rFonts w:asciiTheme="minorHAnsi" w:hAnsiTheme="minorHAnsi" w:cstheme="minorHAnsi"/>
          <w:lang w:val="cs-CZ"/>
        </w:rPr>
        <w:t>í</w:t>
      </w:r>
      <w:r w:rsidRPr="00DF51E9">
        <w:rPr>
          <w:rFonts w:asciiTheme="minorHAnsi" w:hAnsiTheme="minorHAnsi" w:cstheme="minorHAnsi"/>
          <w:lang w:val="cs-CZ"/>
        </w:rPr>
        <w:t xml:space="preserve"> </w:t>
      </w:r>
      <w:r w:rsidR="00FE64FE">
        <w:rPr>
          <w:rFonts w:asciiTheme="minorHAnsi" w:hAnsiTheme="minorHAnsi" w:cstheme="minorHAnsi"/>
          <w:lang w:val="cs-CZ"/>
        </w:rPr>
        <w:t xml:space="preserve">vznikne </w:t>
      </w:r>
      <w:r w:rsidRPr="00DF51E9">
        <w:rPr>
          <w:rFonts w:asciiTheme="minorHAnsi" w:hAnsiTheme="minorHAnsi" w:cstheme="minorHAnsi"/>
          <w:lang w:val="cs-CZ"/>
        </w:rPr>
        <w:t>ekonomicky a organizačně stabilní, výkonn</w:t>
      </w:r>
      <w:r w:rsidR="00FE64FE">
        <w:rPr>
          <w:rFonts w:asciiTheme="minorHAnsi" w:hAnsiTheme="minorHAnsi" w:cstheme="minorHAnsi"/>
          <w:lang w:val="cs-CZ"/>
        </w:rPr>
        <w:t>á</w:t>
      </w:r>
      <w:r w:rsidRPr="00DF51E9">
        <w:rPr>
          <w:rFonts w:asciiTheme="minorHAnsi" w:hAnsiTheme="minorHAnsi" w:cstheme="minorHAnsi"/>
          <w:lang w:val="cs-CZ"/>
        </w:rPr>
        <w:t xml:space="preserve"> a</w:t>
      </w:r>
      <w:r w:rsidR="001911CD">
        <w:rPr>
          <w:rFonts w:asciiTheme="minorHAnsi" w:hAnsiTheme="minorHAnsi" w:cstheme="minorHAnsi"/>
          <w:lang w:val="cs-CZ"/>
        </w:rPr>
        <w:t> </w:t>
      </w:r>
      <w:r w:rsidRPr="00DF51E9">
        <w:rPr>
          <w:rFonts w:asciiTheme="minorHAnsi" w:hAnsiTheme="minorHAnsi" w:cstheme="minorHAnsi"/>
          <w:lang w:val="cs-CZ"/>
        </w:rPr>
        <w:t>umělecky drav</w:t>
      </w:r>
      <w:r w:rsidR="00FE64FE">
        <w:rPr>
          <w:rFonts w:asciiTheme="minorHAnsi" w:hAnsiTheme="minorHAnsi" w:cstheme="minorHAnsi"/>
          <w:lang w:val="cs-CZ"/>
        </w:rPr>
        <w:t>á</w:t>
      </w:r>
      <w:r w:rsidRPr="00DF51E9">
        <w:rPr>
          <w:rFonts w:asciiTheme="minorHAnsi" w:hAnsiTheme="minorHAnsi" w:cstheme="minorHAnsi"/>
          <w:lang w:val="cs-CZ"/>
        </w:rPr>
        <w:t xml:space="preserve"> organizac</w:t>
      </w:r>
      <w:r w:rsidR="00FE64FE">
        <w:rPr>
          <w:rFonts w:asciiTheme="minorHAnsi" w:hAnsiTheme="minorHAnsi" w:cstheme="minorHAnsi"/>
          <w:lang w:val="cs-CZ"/>
        </w:rPr>
        <w:t>e</w:t>
      </w:r>
      <w:r w:rsidRPr="00DF51E9">
        <w:rPr>
          <w:rFonts w:asciiTheme="minorHAnsi" w:hAnsiTheme="minorHAnsi" w:cstheme="minorHAnsi"/>
          <w:lang w:val="cs-CZ"/>
        </w:rPr>
        <w:t xml:space="preserve">, která bude dále </w:t>
      </w:r>
      <w:r w:rsidR="009E13E9">
        <w:rPr>
          <w:rFonts w:asciiTheme="minorHAnsi" w:hAnsiTheme="minorHAnsi" w:cstheme="minorHAnsi"/>
          <w:lang w:val="cs-CZ"/>
        </w:rPr>
        <w:t>„</w:t>
      </w:r>
      <w:r w:rsidRPr="006F2B9D">
        <w:rPr>
          <w:rFonts w:asciiTheme="minorHAnsi" w:hAnsiTheme="minorHAnsi" w:cstheme="minorHAnsi"/>
          <w:i/>
          <w:lang w:val="cs-CZ"/>
        </w:rPr>
        <w:t>budovat povědomí o kvalitě svých značek nejen v ČR, ale také v</w:t>
      </w:r>
      <w:r w:rsidR="009E13E9" w:rsidRPr="006F2B9D">
        <w:rPr>
          <w:rFonts w:asciiTheme="minorHAnsi" w:hAnsiTheme="minorHAnsi" w:cstheme="minorHAnsi"/>
          <w:i/>
          <w:lang w:val="cs-CZ"/>
        </w:rPr>
        <w:t> </w:t>
      </w:r>
      <w:r w:rsidRPr="006F2B9D">
        <w:rPr>
          <w:rFonts w:asciiTheme="minorHAnsi" w:hAnsiTheme="minorHAnsi" w:cstheme="minorHAnsi"/>
          <w:i/>
          <w:lang w:val="cs-CZ"/>
        </w:rPr>
        <w:t>zahraničí</w:t>
      </w:r>
      <w:r w:rsidR="009E13E9">
        <w:rPr>
          <w:rFonts w:asciiTheme="minorHAnsi" w:hAnsiTheme="minorHAnsi" w:cstheme="minorHAnsi"/>
          <w:lang w:val="cs-CZ"/>
        </w:rPr>
        <w:t>“</w:t>
      </w:r>
      <w:r w:rsidR="005B6AFA">
        <w:rPr>
          <w:rStyle w:val="Znakapoznpodarou"/>
          <w:rFonts w:asciiTheme="minorHAnsi" w:hAnsiTheme="minorHAnsi" w:cstheme="minorHAnsi"/>
          <w:lang w:val="cs-CZ"/>
        </w:rPr>
        <w:footnoteReference w:id="3"/>
      </w:r>
      <w:r w:rsidRPr="00DF51E9">
        <w:rPr>
          <w:rFonts w:asciiTheme="minorHAnsi" w:hAnsiTheme="minorHAnsi" w:cstheme="minorHAnsi"/>
          <w:lang w:val="cs-CZ"/>
        </w:rPr>
        <w:t>.</w:t>
      </w:r>
      <w:r>
        <w:rPr>
          <w:rFonts w:asciiTheme="minorHAnsi" w:hAnsiTheme="minorHAnsi" w:cstheme="minorHAnsi"/>
          <w:lang w:val="cs-CZ"/>
        </w:rPr>
        <w:t xml:space="preserve"> </w:t>
      </w:r>
      <w:r w:rsidRPr="00DF51E9">
        <w:rPr>
          <w:rFonts w:asciiTheme="minorHAnsi" w:hAnsiTheme="minorHAnsi" w:cstheme="minorHAnsi"/>
          <w:lang w:val="cs-CZ"/>
        </w:rPr>
        <w:t>Dílčími cíli transformace bylo</w:t>
      </w:r>
      <w:r>
        <w:rPr>
          <w:rFonts w:asciiTheme="minorHAnsi" w:hAnsiTheme="minorHAnsi" w:cstheme="minorHAnsi"/>
          <w:lang w:val="cs-CZ"/>
        </w:rPr>
        <w:t xml:space="preserve"> z</w:t>
      </w:r>
      <w:r w:rsidRPr="00802F6F">
        <w:rPr>
          <w:rFonts w:asciiTheme="minorHAnsi" w:hAnsiTheme="minorHAnsi" w:cstheme="minorHAnsi"/>
          <w:lang w:val="cs-CZ"/>
        </w:rPr>
        <w:t>kvalitnění a rozšíření pos</w:t>
      </w:r>
      <w:r>
        <w:rPr>
          <w:rFonts w:asciiTheme="minorHAnsi" w:hAnsiTheme="minorHAnsi" w:cstheme="minorHAnsi"/>
          <w:lang w:val="cs-CZ"/>
        </w:rPr>
        <w:t>kytovaných kulturních služeb, z</w:t>
      </w:r>
      <w:r w:rsidRPr="00802F6F">
        <w:rPr>
          <w:rFonts w:asciiTheme="minorHAnsi" w:hAnsiTheme="minorHAnsi" w:cstheme="minorHAnsi"/>
          <w:lang w:val="cs-CZ"/>
        </w:rPr>
        <w:t>výšení motivace uměleckých souborů p</w:t>
      </w:r>
      <w:r>
        <w:rPr>
          <w:rFonts w:asciiTheme="minorHAnsi" w:hAnsiTheme="minorHAnsi" w:cstheme="minorHAnsi"/>
          <w:lang w:val="cs-CZ"/>
        </w:rPr>
        <w:t>ro další zvýšení jejich kvality, z</w:t>
      </w:r>
      <w:r w:rsidRPr="00802F6F">
        <w:rPr>
          <w:rFonts w:asciiTheme="minorHAnsi" w:hAnsiTheme="minorHAnsi" w:cstheme="minorHAnsi"/>
          <w:lang w:val="cs-CZ"/>
        </w:rPr>
        <w:t>ajiš</w:t>
      </w:r>
      <w:r>
        <w:rPr>
          <w:rFonts w:asciiTheme="minorHAnsi" w:hAnsiTheme="minorHAnsi" w:cstheme="minorHAnsi"/>
          <w:lang w:val="cs-CZ"/>
        </w:rPr>
        <w:t>tění efektivnějšího hospodaření a rozvoje organizace a zlepšení</w:t>
      </w:r>
      <w:r w:rsidRPr="00802F6F">
        <w:rPr>
          <w:rFonts w:asciiTheme="minorHAnsi" w:hAnsiTheme="minorHAnsi" w:cstheme="minorHAnsi"/>
          <w:lang w:val="cs-CZ"/>
        </w:rPr>
        <w:t xml:space="preserve"> možnost</w:t>
      </w:r>
      <w:r w:rsidR="00FE64FE">
        <w:rPr>
          <w:rFonts w:asciiTheme="minorHAnsi" w:hAnsiTheme="minorHAnsi" w:cstheme="minorHAnsi"/>
          <w:lang w:val="cs-CZ"/>
        </w:rPr>
        <w:t>í</w:t>
      </w:r>
      <w:r w:rsidRPr="00802F6F">
        <w:rPr>
          <w:rFonts w:asciiTheme="minorHAnsi" w:hAnsiTheme="minorHAnsi" w:cstheme="minorHAnsi"/>
          <w:lang w:val="cs-CZ"/>
        </w:rPr>
        <w:t xml:space="preserve"> dlouhodobého plánování a investic.</w:t>
      </w:r>
    </w:p>
    <w:p w14:paraId="350AB73A" w14:textId="77777777" w:rsidR="000F42B2" w:rsidRPr="00802F6F" w:rsidRDefault="000F42B2" w:rsidP="000F42B2">
      <w:pPr>
        <w:jc w:val="both"/>
        <w:rPr>
          <w:rFonts w:asciiTheme="minorHAnsi" w:hAnsiTheme="minorHAnsi" w:cstheme="minorHAnsi"/>
          <w:lang w:val="cs-CZ"/>
        </w:rPr>
      </w:pPr>
    </w:p>
    <w:p w14:paraId="77240981" w14:textId="3B9C8B40" w:rsidR="0066795A" w:rsidRDefault="00CE2B78" w:rsidP="000F42B2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 w:cstheme="minorHAnsi"/>
          <w:lang w:val="cs-CZ"/>
        </w:rPr>
        <w:t>Informace o celkových nákladech</w:t>
      </w:r>
      <w:r w:rsidR="0066795A">
        <w:rPr>
          <w:rFonts w:asciiTheme="minorHAnsi" w:hAnsiTheme="minorHAnsi" w:cstheme="minorHAnsi"/>
          <w:lang w:val="cs-CZ"/>
        </w:rPr>
        <w:t xml:space="preserve"> transformace SOP </w:t>
      </w:r>
      <w:r>
        <w:rPr>
          <w:rFonts w:asciiTheme="minorHAnsi" w:hAnsiTheme="minorHAnsi" w:cstheme="minorHAnsi"/>
          <w:lang w:val="cs-CZ"/>
        </w:rPr>
        <w:t>nebyla</w:t>
      </w:r>
      <w:r w:rsidR="0066795A">
        <w:rPr>
          <w:rFonts w:asciiTheme="minorHAnsi" w:hAnsiTheme="minorHAnsi" w:cstheme="minorHAnsi"/>
          <w:lang w:val="cs-CZ"/>
        </w:rPr>
        <w:t xml:space="preserve"> v účetním systému ND sledována. </w:t>
      </w:r>
      <w:r>
        <w:rPr>
          <w:rFonts w:asciiTheme="minorHAnsi" w:hAnsiTheme="minorHAnsi" w:cstheme="minorHAnsi"/>
          <w:lang w:val="cs-CZ"/>
        </w:rPr>
        <w:t>Kontrolou však bylo</w:t>
      </w:r>
      <w:r w:rsidR="0066795A">
        <w:rPr>
          <w:rFonts w:asciiTheme="minorHAnsi" w:hAnsiTheme="minorHAnsi"/>
          <w:lang w:val="cs-CZ"/>
        </w:rPr>
        <w:t xml:space="preserve"> zjištěno, že </w:t>
      </w:r>
      <w:r w:rsidR="0066795A" w:rsidRPr="00DF51E9">
        <w:rPr>
          <w:rFonts w:asciiTheme="minorHAnsi" w:hAnsiTheme="minorHAnsi"/>
          <w:lang w:val="cs-CZ"/>
        </w:rPr>
        <w:t>náklady související s přípravou transf</w:t>
      </w:r>
      <w:r w:rsidR="0066795A">
        <w:rPr>
          <w:rFonts w:asciiTheme="minorHAnsi" w:hAnsiTheme="minorHAnsi"/>
          <w:lang w:val="cs-CZ"/>
        </w:rPr>
        <w:t xml:space="preserve">ormace byly minimálně </w:t>
      </w:r>
      <w:r w:rsidR="00FE64FE">
        <w:rPr>
          <w:rFonts w:asciiTheme="minorHAnsi" w:hAnsiTheme="minorHAnsi"/>
          <w:lang w:val="cs-CZ"/>
        </w:rPr>
        <w:t xml:space="preserve">ve výši </w:t>
      </w:r>
      <w:r w:rsidR="0066795A">
        <w:rPr>
          <w:rFonts w:asciiTheme="minorHAnsi" w:hAnsiTheme="minorHAnsi"/>
          <w:lang w:val="cs-CZ"/>
        </w:rPr>
        <w:t>1,4 mil.</w:t>
      </w:r>
      <w:r w:rsidR="0066795A" w:rsidRPr="00DF51E9">
        <w:rPr>
          <w:rFonts w:asciiTheme="minorHAnsi" w:hAnsiTheme="minorHAnsi"/>
          <w:lang w:val="cs-CZ"/>
        </w:rPr>
        <w:t xml:space="preserve"> Kč.</w:t>
      </w:r>
    </w:p>
    <w:p w14:paraId="3C8D871C" w14:textId="77777777" w:rsidR="000F42B2" w:rsidRPr="00802F6F" w:rsidRDefault="000F42B2" w:rsidP="000F42B2">
      <w:pPr>
        <w:jc w:val="both"/>
        <w:rPr>
          <w:rFonts w:asciiTheme="minorHAnsi" w:hAnsiTheme="minorHAnsi" w:cstheme="minorHAnsi"/>
          <w:lang w:val="cs-CZ"/>
        </w:rPr>
      </w:pPr>
    </w:p>
    <w:p w14:paraId="1C8510B8" w14:textId="2A4E9CB8" w:rsidR="0066795A" w:rsidRDefault="00A32A46" w:rsidP="000F42B2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 w:cstheme="minorHAnsi"/>
          <w:lang w:val="cs-CZ"/>
        </w:rPr>
        <w:t>Dle MK měla t</w:t>
      </w:r>
      <w:r w:rsidR="0066795A" w:rsidRPr="00050CD2">
        <w:rPr>
          <w:rFonts w:asciiTheme="minorHAnsi" w:hAnsiTheme="minorHAnsi" w:cstheme="minorHAnsi"/>
          <w:lang w:val="cs-CZ"/>
        </w:rPr>
        <w:t xml:space="preserve">ransformace </w:t>
      </w:r>
      <w:r w:rsidR="0066795A" w:rsidRPr="00923668">
        <w:rPr>
          <w:rFonts w:asciiTheme="minorHAnsi" w:hAnsiTheme="minorHAnsi" w:cstheme="minorHAnsi"/>
          <w:lang w:val="cs-CZ"/>
        </w:rPr>
        <w:t>SOP mj. přinést úsporu nákladů. V </w:t>
      </w:r>
      <w:r w:rsidR="0066795A" w:rsidRPr="006100B3">
        <w:rPr>
          <w:rFonts w:asciiTheme="minorHAnsi" w:hAnsiTheme="minorHAnsi" w:cstheme="minorHAnsi"/>
          <w:lang w:val="cs-CZ"/>
        </w:rPr>
        <w:t xml:space="preserve">příloze </w:t>
      </w:r>
      <w:r w:rsidR="00C47B3F">
        <w:rPr>
          <w:rFonts w:asciiTheme="minorHAnsi" w:hAnsiTheme="minorHAnsi" w:cstheme="minorHAnsi"/>
          <w:lang w:val="cs-CZ"/>
        </w:rPr>
        <w:t>č. 1</w:t>
      </w:r>
      <w:r w:rsidR="0066795A" w:rsidRPr="006100B3">
        <w:rPr>
          <w:rFonts w:asciiTheme="minorHAnsi" w:hAnsiTheme="minorHAnsi" w:cstheme="minorHAnsi"/>
          <w:lang w:val="cs-CZ"/>
        </w:rPr>
        <w:t xml:space="preserve"> </w:t>
      </w:r>
      <w:r w:rsidR="00A806CC">
        <w:rPr>
          <w:rFonts w:asciiTheme="minorHAnsi" w:hAnsiTheme="minorHAnsi" w:cstheme="minorHAnsi"/>
          <w:lang w:val="cs-CZ"/>
        </w:rPr>
        <w:t xml:space="preserve">tohoto </w:t>
      </w:r>
      <w:r w:rsidR="0066795A" w:rsidRPr="006100B3">
        <w:rPr>
          <w:rFonts w:asciiTheme="minorHAnsi" w:hAnsiTheme="minorHAnsi" w:cstheme="minorHAnsi"/>
          <w:lang w:val="cs-CZ"/>
        </w:rPr>
        <w:t>kontrolního</w:t>
      </w:r>
      <w:r w:rsidR="0066795A">
        <w:rPr>
          <w:rFonts w:asciiTheme="minorHAnsi" w:hAnsiTheme="minorHAnsi" w:cstheme="minorHAnsi"/>
          <w:lang w:val="cs-CZ"/>
        </w:rPr>
        <w:t xml:space="preserve"> závěru</w:t>
      </w:r>
      <w:r w:rsidR="0066795A" w:rsidRPr="00050CD2">
        <w:rPr>
          <w:rFonts w:asciiTheme="minorHAnsi" w:hAnsiTheme="minorHAnsi" w:cstheme="minorHAnsi"/>
          <w:lang w:val="cs-CZ"/>
        </w:rPr>
        <w:t xml:space="preserve"> je uveden vývoj jednot</w:t>
      </w:r>
      <w:r w:rsidR="00C47B3F">
        <w:rPr>
          <w:rFonts w:asciiTheme="minorHAnsi" w:hAnsiTheme="minorHAnsi" w:cstheme="minorHAnsi"/>
          <w:lang w:val="cs-CZ"/>
        </w:rPr>
        <w:t>livých položek nákladů a výnosů za roky 2010 až 2015, přičemž za roky 2010 a 2011 jsou tyto údaje za obě organizace sečteny</w:t>
      </w:r>
      <w:r w:rsidR="0066795A" w:rsidRPr="00050CD2">
        <w:rPr>
          <w:rFonts w:asciiTheme="minorHAnsi" w:hAnsiTheme="minorHAnsi" w:cstheme="minorHAnsi"/>
          <w:lang w:val="cs-CZ"/>
        </w:rPr>
        <w:t xml:space="preserve">. </w:t>
      </w:r>
      <w:r w:rsidR="00FE64FE">
        <w:rPr>
          <w:rFonts w:asciiTheme="minorHAnsi" w:hAnsiTheme="minorHAnsi"/>
          <w:lang w:val="cs-CZ"/>
        </w:rPr>
        <w:t xml:space="preserve">Kontrolou </w:t>
      </w:r>
      <w:r w:rsidR="0066795A" w:rsidRPr="00050CD2">
        <w:rPr>
          <w:rFonts w:asciiTheme="minorHAnsi" w:hAnsiTheme="minorHAnsi"/>
          <w:lang w:val="cs-CZ"/>
        </w:rPr>
        <w:t xml:space="preserve">údajů získaných z výkazů zisku a ztráty </w:t>
      </w:r>
      <w:r w:rsidR="0066795A">
        <w:rPr>
          <w:rFonts w:asciiTheme="minorHAnsi" w:hAnsiTheme="minorHAnsi"/>
          <w:lang w:val="cs-CZ"/>
        </w:rPr>
        <w:t>ND</w:t>
      </w:r>
      <w:r w:rsidR="0066795A" w:rsidRPr="00050CD2">
        <w:rPr>
          <w:rFonts w:asciiTheme="minorHAnsi" w:hAnsiTheme="minorHAnsi"/>
          <w:lang w:val="cs-CZ"/>
        </w:rPr>
        <w:t xml:space="preserve"> za roky 2010 až 2015 a z výkazů zisku a ztráty </w:t>
      </w:r>
      <w:r w:rsidR="0066795A">
        <w:rPr>
          <w:rFonts w:asciiTheme="minorHAnsi" w:hAnsiTheme="minorHAnsi"/>
          <w:lang w:val="cs-CZ"/>
        </w:rPr>
        <w:t>SOP</w:t>
      </w:r>
      <w:r w:rsidR="0066795A" w:rsidRPr="00050CD2">
        <w:rPr>
          <w:rFonts w:asciiTheme="minorHAnsi" w:hAnsiTheme="minorHAnsi"/>
          <w:lang w:val="cs-CZ"/>
        </w:rPr>
        <w:t xml:space="preserve"> za roky 2010 a</w:t>
      </w:r>
      <w:r w:rsidR="001911CD">
        <w:rPr>
          <w:rFonts w:asciiTheme="minorHAnsi" w:hAnsiTheme="minorHAnsi"/>
          <w:lang w:val="cs-CZ"/>
        </w:rPr>
        <w:t> </w:t>
      </w:r>
      <w:r w:rsidR="0066795A" w:rsidRPr="00050CD2">
        <w:rPr>
          <w:rFonts w:asciiTheme="minorHAnsi" w:hAnsiTheme="minorHAnsi"/>
          <w:lang w:val="cs-CZ"/>
        </w:rPr>
        <w:t xml:space="preserve">2011 bylo zjištěno, že v roce 2012, tj. po sloučení Státní opery Praha s Národním divadlem, </w:t>
      </w:r>
      <w:r w:rsidR="00C43297">
        <w:rPr>
          <w:rFonts w:asciiTheme="minorHAnsi" w:hAnsiTheme="minorHAnsi"/>
          <w:lang w:val="cs-CZ"/>
        </w:rPr>
        <w:t xml:space="preserve">sice </w:t>
      </w:r>
      <w:r w:rsidR="0066795A" w:rsidRPr="00050CD2">
        <w:rPr>
          <w:rFonts w:asciiTheme="minorHAnsi" w:hAnsiTheme="minorHAnsi"/>
          <w:lang w:val="cs-CZ"/>
        </w:rPr>
        <w:t>došlo oproti předchozímu roku k mírnému poklesu celkových nákl</w:t>
      </w:r>
      <w:r w:rsidR="00A806CC">
        <w:rPr>
          <w:rFonts w:asciiTheme="minorHAnsi" w:hAnsiTheme="minorHAnsi"/>
          <w:lang w:val="cs-CZ"/>
        </w:rPr>
        <w:t>adů, a to o </w:t>
      </w:r>
      <w:r w:rsidR="0066795A">
        <w:rPr>
          <w:rFonts w:asciiTheme="minorHAnsi" w:hAnsiTheme="minorHAnsi"/>
          <w:lang w:val="cs-CZ"/>
        </w:rPr>
        <w:t xml:space="preserve">více než 8,3 mil. </w:t>
      </w:r>
      <w:r w:rsidR="00C47B3F">
        <w:rPr>
          <w:rFonts w:asciiTheme="minorHAnsi" w:hAnsiTheme="minorHAnsi"/>
          <w:lang w:val="cs-CZ"/>
        </w:rPr>
        <w:t>Kč (tj. o </w:t>
      </w:r>
      <w:r w:rsidR="00C43297">
        <w:rPr>
          <w:rFonts w:asciiTheme="minorHAnsi" w:hAnsiTheme="minorHAnsi"/>
          <w:lang w:val="cs-CZ"/>
        </w:rPr>
        <w:t>0,87 %), ale např. u mzdový</w:t>
      </w:r>
      <w:r w:rsidR="00A806CC">
        <w:rPr>
          <w:rFonts w:asciiTheme="minorHAnsi" w:hAnsiTheme="minorHAnsi"/>
          <w:lang w:val="cs-CZ"/>
        </w:rPr>
        <w:t>ch nákladů, nákladů na opravy a </w:t>
      </w:r>
      <w:r w:rsidR="00C43297">
        <w:rPr>
          <w:rFonts w:asciiTheme="minorHAnsi" w:hAnsiTheme="minorHAnsi"/>
          <w:lang w:val="cs-CZ"/>
        </w:rPr>
        <w:t>udržování a</w:t>
      </w:r>
      <w:r w:rsidR="001911CD">
        <w:rPr>
          <w:rFonts w:asciiTheme="minorHAnsi" w:hAnsiTheme="minorHAnsi"/>
          <w:lang w:val="cs-CZ"/>
        </w:rPr>
        <w:t> </w:t>
      </w:r>
      <w:r w:rsidR="00C43297">
        <w:rPr>
          <w:rFonts w:asciiTheme="minorHAnsi" w:hAnsiTheme="minorHAnsi"/>
          <w:lang w:val="cs-CZ"/>
        </w:rPr>
        <w:t xml:space="preserve">spotřebu energie byl zaznamenán výraznější meziroční nárůst. Od roku 2013 </w:t>
      </w:r>
      <w:r w:rsidR="0066795A" w:rsidRPr="00050CD2">
        <w:rPr>
          <w:rFonts w:asciiTheme="minorHAnsi" w:hAnsiTheme="minorHAnsi"/>
          <w:lang w:val="cs-CZ"/>
        </w:rPr>
        <w:t>dochází k neustálému růstu jak nákladů z činnosti, tak celkových nákladů.</w:t>
      </w:r>
    </w:p>
    <w:p w14:paraId="37DF2AA0" w14:textId="77777777" w:rsidR="000F42B2" w:rsidRPr="00F66AED" w:rsidRDefault="000F42B2" w:rsidP="000F42B2">
      <w:pPr>
        <w:jc w:val="both"/>
        <w:rPr>
          <w:rFonts w:asciiTheme="minorHAnsi" w:hAnsiTheme="minorHAnsi"/>
          <w:lang w:val="cs-CZ"/>
        </w:rPr>
      </w:pPr>
    </w:p>
    <w:p w14:paraId="0773166B" w14:textId="77777777" w:rsidR="0066795A" w:rsidRDefault="0066795A" w:rsidP="000F42B2">
      <w:pPr>
        <w:jc w:val="both"/>
        <w:rPr>
          <w:rFonts w:asciiTheme="minorHAnsi" w:hAnsiTheme="minorHAnsi"/>
          <w:lang w:val="cs-CZ"/>
        </w:rPr>
      </w:pPr>
      <w:r w:rsidRPr="00050CD2">
        <w:rPr>
          <w:rFonts w:asciiTheme="minorHAnsi" w:hAnsiTheme="minorHAnsi"/>
          <w:lang w:val="cs-CZ"/>
        </w:rPr>
        <w:t xml:space="preserve">Vývoj celkových nákladů a výnosů </w:t>
      </w:r>
      <w:r w:rsidR="00EE01AF">
        <w:rPr>
          <w:rFonts w:asciiTheme="minorHAnsi" w:hAnsiTheme="minorHAnsi"/>
          <w:lang w:val="cs-CZ"/>
        </w:rPr>
        <w:t xml:space="preserve">Státní opery Praha v letech 2010 a 2011 a </w:t>
      </w:r>
      <w:r w:rsidRPr="00050CD2">
        <w:rPr>
          <w:rFonts w:asciiTheme="minorHAnsi" w:hAnsiTheme="minorHAnsi"/>
          <w:lang w:val="cs-CZ"/>
        </w:rPr>
        <w:t>Národn</w:t>
      </w:r>
      <w:r w:rsidR="00EE01AF">
        <w:rPr>
          <w:rFonts w:asciiTheme="minorHAnsi" w:hAnsiTheme="minorHAnsi"/>
          <w:lang w:val="cs-CZ"/>
        </w:rPr>
        <w:t>ího</w:t>
      </w:r>
      <w:r w:rsidRPr="00050CD2">
        <w:rPr>
          <w:rFonts w:asciiTheme="minorHAnsi" w:hAnsiTheme="minorHAnsi"/>
          <w:lang w:val="cs-CZ"/>
        </w:rPr>
        <w:t xml:space="preserve"> </w:t>
      </w:r>
      <w:r w:rsidR="00EE01AF">
        <w:rPr>
          <w:rFonts w:asciiTheme="minorHAnsi" w:hAnsiTheme="minorHAnsi"/>
          <w:lang w:val="cs-CZ"/>
        </w:rPr>
        <w:t xml:space="preserve">divadla </w:t>
      </w:r>
      <w:r w:rsidRPr="00050CD2">
        <w:rPr>
          <w:rFonts w:asciiTheme="minorHAnsi" w:hAnsiTheme="minorHAnsi"/>
          <w:lang w:val="cs-CZ"/>
        </w:rPr>
        <w:t xml:space="preserve">v letech 2010 až 2015 </w:t>
      </w:r>
      <w:r>
        <w:rPr>
          <w:rFonts w:asciiTheme="minorHAnsi" w:hAnsiTheme="minorHAnsi"/>
          <w:lang w:val="cs-CZ"/>
        </w:rPr>
        <w:t>znázorňuje graf č. 2</w:t>
      </w:r>
      <w:r w:rsidRPr="006100B3">
        <w:rPr>
          <w:rFonts w:asciiTheme="minorHAnsi" w:hAnsiTheme="minorHAnsi"/>
          <w:lang w:val="cs-CZ"/>
        </w:rPr>
        <w:t>.</w:t>
      </w:r>
    </w:p>
    <w:p w14:paraId="652FB5A0" w14:textId="77777777" w:rsidR="000F42B2" w:rsidRPr="001E1AF5" w:rsidRDefault="000F42B2" w:rsidP="000F42B2">
      <w:pPr>
        <w:jc w:val="both"/>
        <w:rPr>
          <w:rFonts w:asciiTheme="minorHAnsi" w:hAnsiTheme="minorHAnsi" w:cstheme="minorHAnsi"/>
          <w:lang w:val="cs-CZ"/>
        </w:rPr>
      </w:pPr>
    </w:p>
    <w:p w14:paraId="7257A226" w14:textId="77777777" w:rsidR="00EE535A" w:rsidRDefault="00EE535A">
      <w:pPr>
        <w:spacing w:after="160" w:line="259" w:lineRule="auto"/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b/>
          <w:lang w:val="cs-CZ"/>
        </w:rPr>
        <w:br w:type="page"/>
      </w:r>
    </w:p>
    <w:p w14:paraId="26F482A5" w14:textId="2FC1D412" w:rsidR="0066795A" w:rsidRPr="00673312" w:rsidRDefault="0066795A" w:rsidP="00F516F9">
      <w:pPr>
        <w:tabs>
          <w:tab w:val="right" w:pos="9070"/>
        </w:tabs>
        <w:ind w:left="1134" w:hanging="1134"/>
        <w:jc w:val="both"/>
        <w:rPr>
          <w:rFonts w:asciiTheme="minorHAnsi" w:hAnsiTheme="minorHAnsi"/>
          <w:b/>
          <w:lang w:val="cs-CZ"/>
        </w:rPr>
      </w:pPr>
      <w:r w:rsidRPr="00673312">
        <w:rPr>
          <w:rFonts w:asciiTheme="minorHAnsi" w:hAnsiTheme="minorHAnsi"/>
          <w:b/>
          <w:lang w:val="cs-CZ"/>
        </w:rPr>
        <w:lastRenderedPageBreak/>
        <w:t>Graf č. 2</w:t>
      </w:r>
      <w:r w:rsidR="00F516F9">
        <w:rPr>
          <w:rFonts w:asciiTheme="minorHAnsi" w:hAnsiTheme="minorHAnsi"/>
          <w:b/>
          <w:lang w:val="cs-CZ"/>
        </w:rPr>
        <w:t xml:space="preserve"> –</w:t>
      </w:r>
      <w:r w:rsidRPr="00673312">
        <w:rPr>
          <w:rFonts w:asciiTheme="minorHAnsi" w:hAnsiTheme="minorHAnsi"/>
          <w:b/>
          <w:lang w:val="cs-CZ"/>
        </w:rPr>
        <w:t xml:space="preserve"> Vývoj celkových nákladů a výnosů </w:t>
      </w:r>
      <w:r w:rsidR="00EE01AF" w:rsidRPr="00673312">
        <w:rPr>
          <w:rFonts w:asciiTheme="minorHAnsi" w:hAnsiTheme="minorHAnsi"/>
          <w:b/>
          <w:lang w:val="cs-CZ"/>
        </w:rPr>
        <w:t xml:space="preserve">SOP v letech 2010 a 2011 a </w:t>
      </w:r>
      <w:r w:rsidRPr="00673312">
        <w:rPr>
          <w:rFonts w:asciiTheme="minorHAnsi" w:hAnsiTheme="minorHAnsi"/>
          <w:b/>
          <w:lang w:val="cs-CZ"/>
        </w:rPr>
        <w:t xml:space="preserve">ND </w:t>
      </w:r>
      <w:r w:rsidR="00EE01AF" w:rsidRPr="00673312">
        <w:rPr>
          <w:rFonts w:asciiTheme="minorHAnsi" w:hAnsiTheme="minorHAnsi"/>
          <w:b/>
          <w:lang w:val="cs-CZ"/>
        </w:rPr>
        <w:t>v letech 2010 až </w:t>
      </w:r>
      <w:r w:rsidRPr="00673312">
        <w:rPr>
          <w:rFonts w:asciiTheme="minorHAnsi" w:hAnsiTheme="minorHAnsi"/>
          <w:b/>
          <w:lang w:val="cs-CZ"/>
        </w:rPr>
        <w:t xml:space="preserve">2015 </w:t>
      </w:r>
      <w:r w:rsidR="00673312">
        <w:rPr>
          <w:rFonts w:asciiTheme="minorHAnsi" w:hAnsiTheme="minorHAnsi"/>
          <w:b/>
          <w:lang w:val="cs-CZ"/>
        </w:rPr>
        <w:tab/>
      </w:r>
      <w:r w:rsidRPr="00673312">
        <w:rPr>
          <w:rFonts w:asciiTheme="minorHAnsi" w:hAnsiTheme="minorHAnsi"/>
          <w:b/>
          <w:lang w:val="cs-CZ"/>
        </w:rPr>
        <w:t xml:space="preserve">(v </w:t>
      </w:r>
      <w:r w:rsidR="00971174" w:rsidRPr="00673312">
        <w:rPr>
          <w:rFonts w:asciiTheme="minorHAnsi" w:hAnsiTheme="minorHAnsi"/>
          <w:b/>
          <w:lang w:val="cs-CZ"/>
        </w:rPr>
        <w:t xml:space="preserve">tis. </w:t>
      </w:r>
      <w:r w:rsidRPr="00673312">
        <w:rPr>
          <w:rFonts w:asciiTheme="minorHAnsi" w:hAnsiTheme="minorHAnsi"/>
          <w:b/>
          <w:lang w:val="cs-CZ"/>
        </w:rPr>
        <w:t>Kč)</w:t>
      </w:r>
    </w:p>
    <w:p w14:paraId="0D44AAB8" w14:textId="77777777" w:rsidR="0066795A" w:rsidRDefault="0066795A" w:rsidP="00550ED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cs-CZ" w:eastAsia="cs-CZ"/>
        </w:rPr>
        <w:drawing>
          <wp:inline distT="0" distB="0" distL="0" distR="0" wp14:anchorId="6DC5F891" wp14:editId="5EDDBB6D">
            <wp:extent cx="5723591" cy="2353586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_transforma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197" cy="235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5FFDB" w14:textId="05A4029D" w:rsidR="0066795A" w:rsidRPr="006F1911" w:rsidRDefault="0066795A" w:rsidP="00F516F9">
      <w:pPr>
        <w:spacing w:before="40"/>
        <w:ind w:left="567" w:hanging="56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6F55DF">
        <w:rPr>
          <w:rFonts w:asciiTheme="minorHAnsi" w:hAnsiTheme="minorHAnsi" w:cstheme="minorHAnsi"/>
          <w:b/>
          <w:sz w:val="20"/>
          <w:szCs w:val="20"/>
          <w:lang w:val="cs-CZ"/>
        </w:rPr>
        <w:t>Zdroj:</w:t>
      </w:r>
      <w:r w:rsidRPr="00050CD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F516F9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050CD2">
        <w:rPr>
          <w:rFonts w:asciiTheme="minorHAnsi" w:hAnsiTheme="minorHAnsi" w:cstheme="minorHAnsi"/>
          <w:sz w:val="20"/>
          <w:szCs w:val="20"/>
          <w:lang w:val="cs-CZ"/>
        </w:rPr>
        <w:t>zpracován</w:t>
      </w:r>
      <w:r w:rsidR="005B6AFA">
        <w:rPr>
          <w:rFonts w:asciiTheme="minorHAnsi" w:hAnsiTheme="minorHAnsi" w:cstheme="minorHAnsi"/>
          <w:sz w:val="20"/>
          <w:szCs w:val="20"/>
          <w:lang w:val="cs-CZ"/>
        </w:rPr>
        <w:t>o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050CD2">
        <w:rPr>
          <w:rFonts w:asciiTheme="minorHAnsi" w:hAnsiTheme="minorHAnsi" w:cstheme="minorHAnsi"/>
          <w:sz w:val="20"/>
          <w:szCs w:val="20"/>
          <w:lang w:val="cs-CZ"/>
        </w:rPr>
        <w:t>na základě dat uvedený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ch v příloze č. 1 </w:t>
      </w:r>
      <w:r w:rsidR="00F516F9">
        <w:rPr>
          <w:rFonts w:asciiTheme="minorHAnsi" w:hAnsiTheme="minorHAnsi" w:cstheme="minorHAnsi"/>
          <w:sz w:val="20"/>
          <w:szCs w:val="20"/>
          <w:lang w:val="cs-CZ"/>
        </w:rPr>
        <w:t xml:space="preserve">tohoto </w:t>
      </w:r>
      <w:r>
        <w:rPr>
          <w:rFonts w:asciiTheme="minorHAnsi" w:hAnsiTheme="minorHAnsi" w:cstheme="minorHAnsi"/>
          <w:sz w:val="20"/>
          <w:szCs w:val="20"/>
          <w:lang w:val="cs-CZ"/>
        </w:rPr>
        <w:t>kontrolního závěru.</w:t>
      </w:r>
    </w:p>
    <w:p w14:paraId="64453213" w14:textId="77777777" w:rsidR="000F42B2" w:rsidRDefault="000F42B2" w:rsidP="0066795A">
      <w:pPr>
        <w:spacing w:after="60"/>
        <w:jc w:val="both"/>
        <w:rPr>
          <w:rFonts w:asciiTheme="minorHAnsi" w:hAnsiTheme="minorHAnsi" w:cstheme="minorHAnsi"/>
          <w:color w:val="000000"/>
          <w:u w:val="single"/>
          <w:lang w:val="cs-CZ"/>
        </w:rPr>
      </w:pPr>
    </w:p>
    <w:p w14:paraId="4D9EE19C" w14:textId="0004EA7A" w:rsidR="0066795A" w:rsidRDefault="0066795A" w:rsidP="0066795A">
      <w:pPr>
        <w:spacing w:after="60"/>
        <w:jc w:val="both"/>
        <w:rPr>
          <w:rFonts w:asciiTheme="minorHAnsi" w:hAnsiTheme="minorHAnsi" w:cstheme="minorHAnsi"/>
          <w:color w:val="000000"/>
          <w:u w:val="single"/>
          <w:lang w:val="cs-CZ"/>
        </w:rPr>
      </w:pPr>
      <w:r w:rsidRPr="00C7592F">
        <w:rPr>
          <w:rFonts w:asciiTheme="minorHAnsi" w:hAnsiTheme="minorHAnsi" w:cstheme="minorHAnsi"/>
          <w:color w:val="000000"/>
          <w:u w:val="single"/>
          <w:lang w:val="cs-CZ"/>
        </w:rPr>
        <w:t xml:space="preserve">K bodu </w:t>
      </w:r>
      <w:r w:rsidR="00FE64FE">
        <w:rPr>
          <w:rFonts w:asciiTheme="minorHAnsi" w:hAnsiTheme="minorHAnsi" w:cstheme="minorHAnsi"/>
          <w:color w:val="000000"/>
          <w:u w:val="single"/>
          <w:lang w:val="cs-CZ"/>
        </w:rPr>
        <w:t>II.</w:t>
      </w:r>
      <w:r>
        <w:rPr>
          <w:rFonts w:asciiTheme="minorHAnsi" w:hAnsiTheme="minorHAnsi" w:cstheme="minorHAnsi"/>
          <w:color w:val="000000"/>
          <w:u w:val="single"/>
          <w:lang w:val="cs-CZ"/>
        </w:rPr>
        <w:t>2</w:t>
      </w:r>
    </w:p>
    <w:p w14:paraId="63420E4A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782B06F2" w14:textId="77777777" w:rsidR="00923668" w:rsidRDefault="00923668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Kontrola byla zaměřena na vybrané náklady a výnosy v letech 2013 až 2015.</w:t>
      </w:r>
    </w:p>
    <w:p w14:paraId="25B6587E" w14:textId="77777777" w:rsidR="000F42B2" w:rsidRPr="00923668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5F6DA6E0" w14:textId="77777777" w:rsidR="0066795A" w:rsidRDefault="0066795A" w:rsidP="000F42B2">
      <w:pPr>
        <w:pStyle w:val="Odstavecseseznamem"/>
        <w:numPr>
          <w:ilvl w:val="0"/>
          <w:numId w:val="21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4D0E82">
        <w:rPr>
          <w:rFonts w:asciiTheme="minorHAnsi" w:hAnsiTheme="minorHAnsi" w:cstheme="minorHAnsi"/>
          <w:b/>
          <w:color w:val="000000"/>
          <w:lang w:val="cs-CZ"/>
        </w:rPr>
        <w:t>ND čerpalo z rezervního fondu více, než bylo rozpočtováno</w:t>
      </w:r>
    </w:p>
    <w:p w14:paraId="0CA7B5B2" w14:textId="77777777" w:rsidR="00F516F9" w:rsidRDefault="00F516F9" w:rsidP="000F42B2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18F22ABC" w14:textId="57A3E897" w:rsidR="0066795A" w:rsidRDefault="0066795A" w:rsidP="000F42B2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 w:rsidRPr="002C73EA">
        <w:rPr>
          <w:rFonts w:asciiTheme="minorHAnsi" w:hAnsiTheme="minorHAnsi" w:cstheme="minorHAnsi"/>
          <w:color w:val="000000"/>
          <w:lang w:val="cs-CZ"/>
        </w:rPr>
        <w:t>Kontrola byla mimo jiné zaměřena i na sestav</w:t>
      </w:r>
      <w:r w:rsidR="00FE64FE">
        <w:rPr>
          <w:rFonts w:asciiTheme="minorHAnsi" w:hAnsiTheme="minorHAnsi" w:cstheme="minorHAnsi"/>
          <w:color w:val="000000"/>
          <w:lang w:val="cs-CZ"/>
        </w:rPr>
        <w:t>ová</w:t>
      </w:r>
      <w:r w:rsidRPr="002C73EA">
        <w:rPr>
          <w:rFonts w:asciiTheme="minorHAnsi" w:hAnsiTheme="minorHAnsi" w:cstheme="minorHAnsi"/>
          <w:color w:val="000000"/>
          <w:lang w:val="cs-CZ"/>
        </w:rPr>
        <w:t>ní rozpočtu ND v letech 2013 až 2015, vypořádání příspěvku na provoz, sledování jiné činnosti ND a stanovení odvodu odpisů a účtování o něm.</w:t>
      </w:r>
    </w:p>
    <w:p w14:paraId="1D5E2333" w14:textId="77777777" w:rsidR="000F42B2" w:rsidRPr="002C73EA" w:rsidRDefault="000F42B2" w:rsidP="000F42B2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3F791825" w14:textId="77777777" w:rsidR="0066795A" w:rsidRDefault="0066795A" w:rsidP="000F42B2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 w:rsidRPr="002C73EA">
        <w:rPr>
          <w:rFonts w:asciiTheme="minorHAnsi" w:hAnsiTheme="minorHAnsi" w:cstheme="minorHAnsi"/>
          <w:color w:val="000000"/>
          <w:lang w:val="cs-CZ"/>
        </w:rPr>
        <w:t xml:space="preserve">ND při sestavování rozpočtu nákladů a výnosů na rok 2015 nerozpočtovalo částku ve výši 2 129 876,64 Kč, o kterou v tomto roce </w:t>
      </w:r>
      <w:r w:rsidR="00082DD1">
        <w:rPr>
          <w:rFonts w:asciiTheme="minorHAnsi" w:hAnsiTheme="minorHAnsi" w:cstheme="minorHAnsi"/>
          <w:color w:val="000000"/>
          <w:lang w:val="cs-CZ"/>
        </w:rPr>
        <w:t xml:space="preserve">překročilo </w:t>
      </w:r>
      <w:r w:rsidRPr="002C73EA">
        <w:rPr>
          <w:rFonts w:asciiTheme="minorHAnsi" w:hAnsiTheme="minorHAnsi" w:cstheme="minorHAnsi"/>
          <w:color w:val="000000"/>
          <w:lang w:val="cs-CZ"/>
        </w:rPr>
        <w:t>skutečně čerpané prostředky rezervního fondu na úhradu potřeb nezajištěných výnosy příspěvkové organizace ve výši 12 449 876,64</w:t>
      </w:r>
      <w:r w:rsidR="00390FA5">
        <w:rPr>
          <w:rFonts w:asciiTheme="minorHAnsi" w:hAnsiTheme="minorHAnsi" w:cstheme="minorHAnsi"/>
          <w:color w:val="000000"/>
          <w:lang w:val="cs-CZ"/>
        </w:rPr>
        <w:t> </w:t>
      </w:r>
      <w:r w:rsidRPr="002C73EA">
        <w:rPr>
          <w:rFonts w:asciiTheme="minorHAnsi" w:hAnsiTheme="minorHAnsi" w:cstheme="minorHAnsi"/>
          <w:color w:val="000000"/>
          <w:lang w:val="cs-CZ"/>
        </w:rPr>
        <w:t>Kč</w:t>
      </w:r>
      <w:r w:rsidR="00082DD1">
        <w:rPr>
          <w:rFonts w:asciiTheme="minorHAnsi" w:hAnsiTheme="minorHAnsi" w:cstheme="minorHAnsi"/>
          <w:color w:val="000000"/>
          <w:lang w:val="cs-CZ"/>
        </w:rPr>
        <w:t>. Původní</w:t>
      </w:r>
      <w:r w:rsidRPr="002C73EA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082DD1" w:rsidRPr="002C73EA">
        <w:rPr>
          <w:rFonts w:asciiTheme="minorHAnsi" w:hAnsiTheme="minorHAnsi" w:cstheme="minorHAnsi"/>
          <w:color w:val="000000"/>
          <w:lang w:val="cs-CZ"/>
        </w:rPr>
        <w:t>rozpočtovan</w:t>
      </w:r>
      <w:r w:rsidR="00082DD1">
        <w:rPr>
          <w:rFonts w:asciiTheme="minorHAnsi" w:hAnsiTheme="minorHAnsi" w:cstheme="minorHAnsi"/>
          <w:color w:val="000000"/>
          <w:lang w:val="cs-CZ"/>
        </w:rPr>
        <w:t>á</w:t>
      </w:r>
      <w:r w:rsidR="00082DD1" w:rsidRPr="002C73EA">
        <w:rPr>
          <w:rFonts w:asciiTheme="minorHAnsi" w:hAnsiTheme="minorHAnsi" w:cstheme="minorHAnsi"/>
          <w:color w:val="000000"/>
          <w:lang w:val="cs-CZ"/>
        </w:rPr>
        <w:t xml:space="preserve"> částk</w:t>
      </w:r>
      <w:r w:rsidR="00082DD1">
        <w:rPr>
          <w:rFonts w:asciiTheme="minorHAnsi" w:hAnsiTheme="minorHAnsi" w:cstheme="minorHAnsi"/>
          <w:color w:val="000000"/>
          <w:lang w:val="cs-CZ"/>
        </w:rPr>
        <w:t>a byla</w:t>
      </w:r>
      <w:r w:rsidR="00082DD1" w:rsidRPr="002C73EA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2C73EA">
        <w:rPr>
          <w:rFonts w:asciiTheme="minorHAnsi" w:hAnsiTheme="minorHAnsi" w:cstheme="minorHAnsi"/>
          <w:color w:val="000000"/>
          <w:lang w:val="cs-CZ"/>
        </w:rPr>
        <w:t>ve výši 10 320 000 Kč.</w:t>
      </w:r>
    </w:p>
    <w:p w14:paraId="23A01B42" w14:textId="77777777" w:rsidR="000F42B2" w:rsidRPr="002C73EA" w:rsidRDefault="000F42B2" w:rsidP="000F42B2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50428852" w14:textId="0F482399" w:rsidR="0066795A" w:rsidRPr="002C73EA" w:rsidRDefault="00FE64FE" w:rsidP="000F42B2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O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 xml:space="preserve"> použití </w:t>
      </w:r>
      <w:r w:rsidR="00A806CC">
        <w:rPr>
          <w:rFonts w:asciiTheme="minorHAnsi" w:hAnsiTheme="minorHAnsi" w:cstheme="minorHAnsi"/>
          <w:color w:val="000000"/>
          <w:lang w:val="cs-CZ"/>
        </w:rPr>
        <w:t xml:space="preserve">prostředků 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 xml:space="preserve">rezervního fondu ve výši </w:t>
      </w:r>
      <w:r w:rsidR="0066795A" w:rsidRPr="002C73EA">
        <w:rPr>
          <w:rFonts w:ascii="Calibri" w:hAnsi="Calibri" w:cs="Calibri"/>
          <w:bCs/>
          <w:color w:val="000000"/>
          <w:szCs w:val="22"/>
          <w:lang w:val="cs-CZ" w:eastAsia="cs-CZ"/>
        </w:rPr>
        <w:t>2 136 113,62 Kč v roce 2013, 26 005 957,21 Kč v roce 2014 a 22 271 438,66 Kč</w:t>
      </w:r>
      <w:r w:rsidR="002F299B">
        <w:rPr>
          <w:rFonts w:ascii="Calibri" w:hAnsi="Calibri" w:cs="Calibri"/>
          <w:bCs/>
          <w:color w:val="000000"/>
          <w:szCs w:val="22"/>
          <w:lang w:val="cs-CZ" w:eastAsia="cs-CZ"/>
        </w:rPr>
        <w:t xml:space="preserve"> </w:t>
      </w:r>
      <w:r w:rsidR="0066795A" w:rsidRPr="002C73EA">
        <w:rPr>
          <w:rFonts w:ascii="Calibri" w:hAnsi="Calibri" w:cs="Calibri"/>
          <w:bCs/>
          <w:color w:val="000000"/>
          <w:szCs w:val="22"/>
          <w:lang w:val="cs-CZ" w:eastAsia="cs-CZ"/>
        </w:rPr>
        <w:t xml:space="preserve">v roce 2015 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>určený</w:t>
      </w:r>
      <w:r w:rsidR="00A806CC">
        <w:rPr>
          <w:rFonts w:asciiTheme="minorHAnsi" w:hAnsiTheme="minorHAnsi" w:cstheme="minorHAnsi"/>
          <w:color w:val="000000"/>
          <w:lang w:val="cs-CZ"/>
        </w:rPr>
        <w:t>ch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 xml:space="preserve"> k překlenutí časového nesouladu mezi výnosy a náklady </w:t>
      </w:r>
      <w:r w:rsidR="001D5D42" w:rsidRPr="002C73EA">
        <w:rPr>
          <w:rFonts w:asciiTheme="minorHAnsi" w:hAnsiTheme="minorHAnsi" w:cstheme="minorHAnsi"/>
          <w:color w:val="000000"/>
          <w:lang w:val="cs-CZ"/>
        </w:rPr>
        <w:t>účtovalo</w:t>
      </w:r>
      <w:r w:rsidR="005B6AFA">
        <w:rPr>
          <w:rFonts w:asciiTheme="minorHAnsi" w:hAnsiTheme="minorHAnsi" w:cstheme="minorHAnsi"/>
          <w:color w:val="000000"/>
          <w:lang w:val="cs-CZ"/>
        </w:rPr>
        <w:t xml:space="preserve"> ND</w:t>
      </w:r>
      <w:r w:rsidR="001D5D42" w:rsidRPr="002C73EA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>nesprávně ve prospěch účtu</w:t>
      </w:r>
      <w:r w:rsidR="000F42B2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 xml:space="preserve">671 – </w:t>
      </w:r>
      <w:r w:rsidR="0066795A" w:rsidRPr="002C73EA">
        <w:rPr>
          <w:rFonts w:asciiTheme="minorHAnsi" w:hAnsiTheme="minorHAnsi" w:cstheme="minorHAnsi"/>
          <w:i/>
          <w:color w:val="000000"/>
          <w:lang w:val="cs-CZ"/>
        </w:rPr>
        <w:t>Výnosy vybraných ústředních vládních institucí z transferů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>. Účetnictví ND tak nebylo v účetní</w:t>
      </w:r>
      <w:r w:rsidR="001D5D42">
        <w:rPr>
          <w:rFonts w:asciiTheme="minorHAnsi" w:hAnsiTheme="minorHAnsi" w:cstheme="minorHAnsi"/>
          <w:color w:val="000000"/>
          <w:lang w:val="cs-CZ"/>
        </w:rPr>
        <w:t>ch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 xml:space="preserve"> období</w:t>
      </w:r>
      <w:r w:rsidR="001D5D42">
        <w:rPr>
          <w:rFonts w:asciiTheme="minorHAnsi" w:hAnsiTheme="minorHAnsi" w:cstheme="minorHAnsi"/>
          <w:color w:val="000000"/>
          <w:lang w:val="cs-CZ"/>
        </w:rPr>
        <w:t>ch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 xml:space="preserve"> let 2013 až 2015 správné ve smyslu ustanovení § 8 odst. 2 </w:t>
      </w:r>
      <w:r w:rsidR="00C16F0B">
        <w:rPr>
          <w:rFonts w:asciiTheme="minorHAnsi" w:hAnsiTheme="minorHAnsi" w:cstheme="minorHAnsi"/>
          <w:color w:val="000000"/>
          <w:lang w:val="cs-CZ"/>
        </w:rPr>
        <w:t>zákona č. </w:t>
      </w:r>
      <w:r w:rsidR="0066795A" w:rsidRPr="002C73EA">
        <w:rPr>
          <w:rFonts w:asciiTheme="minorHAnsi" w:hAnsiTheme="minorHAnsi" w:cstheme="minorHAnsi"/>
          <w:color w:val="000000"/>
          <w:lang w:val="cs-CZ"/>
        </w:rPr>
        <w:t>563/1991 Sb.</w:t>
      </w:r>
      <w:r w:rsidR="003A661E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4"/>
      </w:r>
    </w:p>
    <w:p w14:paraId="2374875C" w14:textId="77777777" w:rsidR="0066795A" w:rsidRDefault="0066795A" w:rsidP="000F42B2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48799888" w14:textId="5D8A5582" w:rsidR="0066795A" w:rsidRPr="004D0E82" w:rsidRDefault="0066795A" w:rsidP="000F42B2">
      <w:pPr>
        <w:pStyle w:val="Odstavecseseznamem"/>
        <w:numPr>
          <w:ilvl w:val="0"/>
          <w:numId w:val="21"/>
        </w:numPr>
        <w:ind w:left="284" w:hanging="284"/>
        <w:contextualSpacing w:val="0"/>
        <w:jc w:val="both"/>
        <w:rPr>
          <w:rFonts w:asciiTheme="minorHAnsi" w:hAnsiTheme="minorHAnsi"/>
          <w:b/>
          <w:lang w:val="cs-CZ"/>
        </w:rPr>
      </w:pPr>
      <w:r w:rsidRPr="004D0E82">
        <w:rPr>
          <w:rFonts w:asciiTheme="minorHAnsi" w:hAnsiTheme="minorHAnsi"/>
          <w:b/>
          <w:lang w:val="cs-CZ"/>
        </w:rPr>
        <w:t>ND nesprávně vykazovalo výsled</w:t>
      </w:r>
      <w:r w:rsidR="001D5D42">
        <w:rPr>
          <w:rFonts w:asciiTheme="minorHAnsi" w:hAnsiTheme="minorHAnsi"/>
          <w:b/>
          <w:lang w:val="cs-CZ"/>
        </w:rPr>
        <w:t>ky</w:t>
      </w:r>
      <w:r w:rsidRPr="004D0E82">
        <w:rPr>
          <w:rFonts w:asciiTheme="minorHAnsi" w:hAnsiTheme="minorHAnsi"/>
          <w:b/>
          <w:lang w:val="cs-CZ"/>
        </w:rPr>
        <w:t xml:space="preserve"> hospodaření za </w:t>
      </w:r>
      <w:r w:rsidR="00FA1412">
        <w:rPr>
          <w:rFonts w:asciiTheme="minorHAnsi" w:hAnsiTheme="minorHAnsi"/>
          <w:b/>
          <w:lang w:val="cs-CZ"/>
        </w:rPr>
        <w:t xml:space="preserve">činnost </w:t>
      </w:r>
      <w:r w:rsidRPr="004D0E82">
        <w:rPr>
          <w:rFonts w:asciiTheme="minorHAnsi" w:hAnsiTheme="minorHAnsi"/>
          <w:b/>
          <w:lang w:val="cs-CZ"/>
        </w:rPr>
        <w:t xml:space="preserve">hlavní a </w:t>
      </w:r>
      <w:r w:rsidR="00FA1412">
        <w:rPr>
          <w:rFonts w:asciiTheme="minorHAnsi" w:hAnsiTheme="minorHAnsi"/>
          <w:b/>
          <w:lang w:val="cs-CZ"/>
        </w:rPr>
        <w:t>hospodářskou</w:t>
      </w:r>
    </w:p>
    <w:p w14:paraId="7BDD7783" w14:textId="77777777" w:rsidR="000F42B2" w:rsidRDefault="000F42B2" w:rsidP="000F42B2">
      <w:pPr>
        <w:jc w:val="both"/>
        <w:rPr>
          <w:rFonts w:asciiTheme="minorHAnsi" w:hAnsiTheme="minorHAnsi"/>
          <w:noProof/>
          <w:lang w:val="cs-CZ" w:eastAsia="cs-CZ"/>
        </w:rPr>
      </w:pPr>
    </w:p>
    <w:p w14:paraId="7A3EE22F" w14:textId="1EFF4D85" w:rsidR="0066795A" w:rsidRDefault="0066795A" w:rsidP="000F42B2">
      <w:pPr>
        <w:jc w:val="both"/>
        <w:rPr>
          <w:rFonts w:asciiTheme="minorHAnsi" w:hAnsiTheme="minorHAnsi"/>
          <w:noProof/>
          <w:lang w:val="cs-CZ" w:eastAsia="cs-CZ"/>
        </w:rPr>
      </w:pPr>
      <w:r>
        <w:rPr>
          <w:rFonts w:asciiTheme="minorHAnsi" w:hAnsiTheme="minorHAnsi"/>
          <w:noProof/>
          <w:lang w:val="cs-CZ" w:eastAsia="cs-CZ"/>
        </w:rPr>
        <w:t xml:space="preserve">Dle </w:t>
      </w:r>
      <w:r w:rsidR="00F516F9">
        <w:rPr>
          <w:rFonts w:asciiTheme="minorHAnsi" w:hAnsiTheme="minorHAnsi"/>
          <w:noProof/>
          <w:lang w:val="cs-CZ" w:eastAsia="cs-CZ"/>
        </w:rPr>
        <w:t>z</w:t>
      </w:r>
      <w:r>
        <w:rPr>
          <w:rFonts w:asciiTheme="minorHAnsi" w:hAnsiTheme="minorHAnsi"/>
          <w:noProof/>
          <w:lang w:val="cs-CZ" w:eastAsia="cs-CZ"/>
        </w:rPr>
        <w:t>řizovací listiny vykonává Národní divadlo vedle své hlavní činnosti také jinou činnost, která slouží k lepšímu využití majetku, se kterým ND hospodaří.</w:t>
      </w:r>
    </w:p>
    <w:p w14:paraId="5978202E" w14:textId="77777777" w:rsidR="000F42B2" w:rsidRDefault="000F42B2" w:rsidP="000F42B2">
      <w:pPr>
        <w:jc w:val="both"/>
        <w:rPr>
          <w:rFonts w:asciiTheme="minorHAnsi" w:hAnsiTheme="minorHAnsi"/>
          <w:noProof/>
          <w:lang w:val="cs-CZ" w:eastAsia="cs-CZ"/>
        </w:rPr>
      </w:pPr>
    </w:p>
    <w:p w14:paraId="70776F55" w14:textId="37B7A166" w:rsidR="0066795A" w:rsidRDefault="0066795A" w:rsidP="000F42B2">
      <w:pPr>
        <w:jc w:val="both"/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</w:pPr>
      <w:r w:rsidRPr="006C30F8">
        <w:rPr>
          <w:rFonts w:asciiTheme="minorHAnsi" w:hAnsiTheme="minorHAnsi"/>
          <w:noProof/>
          <w:lang w:val="cs-CZ" w:eastAsia="cs-CZ"/>
        </w:rPr>
        <w:t xml:space="preserve">ND účtuje do hlavní a jiné </w:t>
      </w:r>
      <w:r w:rsidR="00FA1412">
        <w:rPr>
          <w:rFonts w:asciiTheme="minorHAnsi" w:hAnsiTheme="minorHAnsi"/>
          <w:noProof/>
          <w:lang w:val="cs-CZ" w:eastAsia="cs-CZ"/>
        </w:rPr>
        <w:t xml:space="preserve">(hospodářské) </w:t>
      </w:r>
      <w:r w:rsidRPr="006C30F8">
        <w:rPr>
          <w:rFonts w:asciiTheme="minorHAnsi" w:hAnsiTheme="minorHAnsi"/>
          <w:noProof/>
          <w:lang w:val="cs-CZ" w:eastAsia="cs-CZ"/>
        </w:rPr>
        <w:t xml:space="preserve">činnosti náklady, které jsou přímo spojeny s realizací těchto činností. </w:t>
      </w:r>
      <w:r>
        <w:rPr>
          <w:rFonts w:asciiTheme="minorHAnsi" w:hAnsiTheme="minorHAnsi"/>
          <w:noProof/>
          <w:lang w:val="cs-CZ" w:eastAsia="cs-CZ"/>
        </w:rPr>
        <w:t>Náklady vynaložené s</w:t>
      </w:r>
      <w:r w:rsidRPr="006C30F8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polečně na hlavní a jiné </w:t>
      </w:r>
      <w:r w:rsidR="00FA1412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(hospodářské) </w:t>
      </w:r>
      <w:r w:rsidRPr="006C30F8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činnosti byly </w:t>
      </w:r>
      <w:r w:rsidRPr="006C30F8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lastRenderedPageBreak/>
        <w:t>vykázány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 pouze </w:t>
      </w:r>
      <w:r w:rsidRPr="006C30F8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v činnosti hlavní.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 ND t</w:t>
      </w:r>
      <w:r w:rsidR="00863258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udíž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 nepostupovalo v s</w:t>
      </w:r>
      <w:r w:rsidR="003A661E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ouladu s ustanovením § 63 odst. 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1 zákona č. 218/2000 Sb.</w:t>
      </w:r>
      <w:r w:rsidR="001D5D42">
        <w:rPr>
          <w:rStyle w:val="Znakapoznpodarou"/>
          <w:rFonts w:asciiTheme="minorHAnsi" w:hAnsiTheme="minorHAnsi"/>
          <w:noProof/>
          <w:shd w:val="clear" w:color="auto" w:fill="FFFFFF" w:themeFill="background1"/>
          <w:lang w:val="cs-CZ" w:eastAsia="cs-CZ"/>
        </w:rPr>
        <w:footnoteReference w:id="5"/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, neboť náklady ve výši cca 1 500 000 Kč v roce 2013, přibližně 1 500 000 Kč v roce 2014 a 1 478 000 Kč v roce 2015 vykázalo v nákladech hlavní činnosti, přestože se </w:t>
      </w:r>
      <w:r w:rsidR="008E6ED7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jednalo o náklady činnosti jiné</w:t>
      </w:r>
      <w:r w:rsidR="00FA1412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 (hospodářské)</w:t>
      </w:r>
      <w:r w:rsidR="008E6ED7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. 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Na pokrytí těchto nákladů ND použilo prostředky účtované do výnosů hlavní činnosti. Tím byla porušena věcná souvislost nákladů s výnosy</w:t>
      </w:r>
      <w:r w:rsidR="00863258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,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 neboť k výnosům účtovaným v hlavní činnosti byly nesprávně přiřazeny</w:t>
      </w:r>
      <w:r w:rsidR="008B2529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 i náklady, které s nimi nesouvis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í. Zároveň ND v letech 2013 až 2015 neúčtovalo </w:t>
      </w:r>
      <w:r w:rsidR="001D5D42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o 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náklad</w:t>
      </w:r>
      <w:r w:rsidR="001D5D42"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>ech</w:t>
      </w:r>
      <w:r>
        <w:rPr>
          <w:rFonts w:asciiTheme="minorHAnsi" w:hAnsiTheme="minorHAnsi"/>
          <w:noProof/>
          <w:shd w:val="clear" w:color="auto" w:fill="FFFFFF" w:themeFill="background1"/>
          <w:lang w:val="cs-CZ" w:eastAsia="cs-CZ"/>
        </w:rPr>
        <w:t xml:space="preserve"> na daň z příjmů právnických osob do nákladů hlavní činnosti, přestože do základu daně z příjmů právnických osob byly zahrnuty výnosy z činnosti hlavní.</w:t>
      </w:r>
    </w:p>
    <w:p w14:paraId="30F6FBED" w14:textId="77777777" w:rsidR="000F42B2" w:rsidRPr="006C30F8" w:rsidRDefault="000F42B2" w:rsidP="000F42B2">
      <w:pPr>
        <w:jc w:val="both"/>
        <w:rPr>
          <w:rFonts w:asciiTheme="minorHAnsi" w:hAnsiTheme="minorHAnsi"/>
          <w:noProof/>
          <w:lang w:val="cs-CZ" w:eastAsia="cs-CZ"/>
        </w:rPr>
      </w:pPr>
    </w:p>
    <w:p w14:paraId="0E2B8A3E" w14:textId="10EB4C76" w:rsidR="00923668" w:rsidRDefault="0066795A" w:rsidP="000F42B2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val="cs-CZ"/>
        </w:rPr>
      </w:pPr>
      <w:r>
        <w:rPr>
          <w:rFonts w:asciiTheme="minorHAnsi" w:hAnsiTheme="minorHAnsi"/>
          <w:noProof/>
          <w:lang w:val="cs-CZ" w:eastAsia="cs-CZ"/>
        </w:rPr>
        <w:t xml:space="preserve">V důsledku </w:t>
      </w:r>
      <w:r w:rsidRPr="00CC0683">
        <w:rPr>
          <w:rFonts w:asciiTheme="minorHAnsi" w:hAnsiTheme="minorHAnsi"/>
          <w:noProof/>
          <w:lang w:val="cs-CZ" w:eastAsia="cs-CZ"/>
        </w:rPr>
        <w:t xml:space="preserve">výše uvedeného </w:t>
      </w:r>
      <w:r w:rsidR="001D5D42">
        <w:rPr>
          <w:rFonts w:asciiTheme="minorHAnsi" w:hAnsiTheme="minorHAnsi"/>
          <w:noProof/>
          <w:lang w:val="cs-CZ" w:eastAsia="cs-CZ"/>
        </w:rPr>
        <w:t xml:space="preserve">postupu </w:t>
      </w:r>
      <w:r w:rsidRPr="00CC0683">
        <w:rPr>
          <w:rFonts w:ascii="Calibri" w:hAnsi="Calibri" w:cs="Calibri"/>
          <w:color w:val="000000"/>
          <w:lang w:val="cs-CZ" w:eastAsia="cs-CZ"/>
        </w:rPr>
        <w:t xml:space="preserve">ND </w:t>
      </w:r>
      <w:r w:rsidR="001D5D42">
        <w:rPr>
          <w:rFonts w:ascii="Calibri" w:hAnsi="Calibri" w:cs="Calibri"/>
          <w:color w:val="000000"/>
          <w:lang w:val="cs-CZ" w:eastAsia="cs-CZ"/>
        </w:rPr>
        <w:t>nejednalo</w:t>
      </w:r>
      <w:r w:rsidRPr="00CC0683">
        <w:rPr>
          <w:rFonts w:ascii="Calibri" w:hAnsi="Calibri" w:cs="Calibri"/>
          <w:color w:val="000000"/>
          <w:lang w:val="cs-CZ" w:eastAsia="cs-CZ"/>
        </w:rPr>
        <w:t xml:space="preserve"> v souladu s ustanovením §</w:t>
      </w:r>
      <w:r w:rsidR="001D5D42">
        <w:rPr>
          <w:rFonts w:ascii="Calibri" w:hAnsi="Calibri" w:cs="Calibri"/>
          <w:color w:val="000000"/>
          <w:lang w:val="cs-CZ" w:eastAsia="cs-CZ"/>
        </w:rPr>
        <w:t> </w:t>
      </w:r>
      <w:r w:rsidRPr="00CC0683">
        <w:rPr>
          <w:rFonts w:ascii="Calibri" w:hAnsi="Calibri" w:cs="Calibri"/>
          <w:color w:val="000000"/>
          <w:lang w:val="cs-CZ" w:eastAsia="cs-CZ"/>
        </w:rPr>
        <w:t>5 odst. 2 písm. a) vyhlášky č. 410/2009 Sb.</w:t>
      </w:r>
      <w:r>
        <w:rPr>
          <w:rStyle w:val="Znakapoznpodarou"/>
          <w:rFonts w:ascii="Calibri" w:hAnsi="Calibri" w:cs="Calibri"/>
          <w:color w:val="000000"/>
          <w:lang w:val="cs-CZ" w:eastAsia="cs-CZ"/>
        </w:rPr>
        <w:footnoteReference w:id="6"/>
      </w:r>
      <w:r w:rsidRPr="00CC0683">
        <w:rPr>
          <w:rFonts w:ascii="Calibri" w:hAnsi="Calibri" w:cs="Calibri"/>
          <w:color w:val="000000"/>
          <w:lang w:val="cs-CZ" w:eastAsia="cs-CZ"/>
        </w:rPr>
        <w:t>, neboť ve výkaz</w:t>
      </w:r>
      <w:r>
        <w:rPr>
          <w:rFonts w:ascii="Calibri" w:hAnsi="Calibri" w:cs="Calibri"/>
          <w:color w:val="000000"/>
          <w:lang w:val="cs-CZ" w:eastAsia="cs-CZ"/>
        </w:rPr>
        <w:t>ech</w:t>
      </w:r>
      <w:r w:rsidRPr="00CC0683">
        <w:rPr>
          <w:rFonts w:ascii="Calibri" w:hAnsi="Calibri" w:cs="Calibri"/>
          <w:color w:val="000000"/>
          <w:lang w:val="cs-CZ" w:eastAsia="cs-CZ"/>
        </w:rPr>
        <w:t xml:space="preserve"> </w:t>
      </w:r>
      <w:r w:rsidRPr="00CC0683">
        <w:rPr>
          <w:rFonts w:ascii="Calibri" w:hAnsi="Calibri" w:cs="Arial"/>
          <w:lang w:val="cs-CZ"/>
        </w:rPr>
        <w:t>zisku a ztráty</w:t>
      </w:r>
      <w:r w:rsidRPr="00CC0683">
        <w:rPr>
          <w:rFonts w:ascii="Calibri" w:hAnsi="Calibri" w:cs="Calibri"/>
          <w:color w:val="000000"/>
          <w:lang w:val="cs-CZ" w:eastAsia="cs-CZ"/>
        </w:rPr>
        <w:t xml:space="preserve"> </w:t>
      </w:r>
      <w:r w:rsidR="00406F0B">
        <w:rPr>
          <w:rFonts w:ascii="Calibri" w:hAnsi="Calibri" w:cs="Calibri"/>
          <w:color w:val="000000"/>
          <w:lang w:val="cs-CZ" w:eastAsia="cs-CZ"/>
        </w:rPr>
        <w:t xml:space="preserve">za roky 2013 až </w:t>
      </w:r>
      <w:r>
        <w:rPr>
          <w:rFonts w:ascii="Calibri" w:hAnsi="Calibri" w:cs="Calibri"/>
          <w:color w:val="000000"/>
          <w:lang w:val="cs-CZ" w:eastAsia="cs-CZ"/>
        </w:rPr>
        <w:t xml:space="preserve">2015 </w:t>
      </w:r>
      <w:r w:rsidRPr="00CC0683">
        <w:rPr>
          <w:rFonts w:ascii="Calibri" w:hAnsi="Calibri" w:cs="Calibri"/>
          <w:color w:val="000000"/>
          <w:lang w:val="cs-CZ" w:eastAsia="cs-CZ"/>
        </w:rPr>
        <w:t>vykázalo k rozvahovému dni nesprávné konečné zůstatky syntetických účtů nákladů a</w:t>
      </w:r>
      <w:r w:rsidR="001D5D42">
        <w:rPr>
          <w:rFonts w:ascii="Calibri" w:hAnsi="Calibri" w:cs="Calibri"/>
          <w:color w:val="000000"/>
          <w:lang w:val="cs-CZ" w:eastAsia="cs-CZ"/>
        </w:rPr>
        <w:t> </w:t>
      </w:r>
      <w:r w:rsidRPr="00CC0683">
        <w:rPr>
          <w:rFonts w:ascii="Calibri" w:hAnsi="Calibri" w:cs="Calibri"/>
          <w:color w:val="000000"/>
          <w:lang w:val="cs-CZ" w:eastAsia="cs-CZ"/>
        </w:rPr>
        <w:t>výnosů a výsledek hospodaření před zdaněním</w:t>
      </w:r>
      <w:r>
        <w:rPr>
          <w:rFonts w:ascii="Calibri" w:hAnsi="Calibri" w:cs="Calibri"/>
          <w:color w:val="000000"/>
          <w:lang w:val="cs-CZ" w:eastAsia="cs-CZ"/>
        </w:rPr>
        <w:t xml:space="preserve">. </w:t>
      </w:r>
      <w:r w:rsidRPr="00CC0683">
        <w:rPr>
          <w:rFonts w:ascii="Calibri" w:hAnsi="Calibri" w:cs="Calibri"/>
          <w:bCs/>
          <w:lang w:val="cs-CZ"/>
        </w:rPr>
        <w:t>Nesprávným vykázáním výsledku hospodaření z hlavní a</w:t>
      </w:r>
      <w:r>
        <w:rPr>
          <w:rFonts w:ascii="Calibri" w:hAnsi="Calibri" w:cs="Calibri"/>
          <w:bCs/>
          <w:lang w:val="cs-CZ"/>
        </w:rPr>
        <w:t> </w:t>
      </w:r>
      <w:r w:rsidR="00FA1412">
        <w:rPr>
          <w:rFonts w:ascii="Calibri" w:hAnsi="Calibri" w:cs="Calibri"/>
          <w:bCs/>
          <w:lang w:val="cs-CZ"/>
        </w:rPr>
        <w:t>hospodářské</w:t>
      </w:r>
      <w:r w:rsidRPr="00CC0683">
        <w:rPr>
          <w:rFonts w:ascii="Calibri" w:hAnsi="Calibri" w:cs="Calibri"/>
          <w:bCs/>
          <w:lang w:val="cs-CZ"/>
        </w:rPr>
        <w:t xml:space="preserve"> činnosti</w:t>
      </w:r>
      <w:r w:rsidR="008B2529">
        <w:rPr>
          <w:rFonts w:ascii="Calibri" w:hAnsi="Calibri" w:cs="Calibri"/>
          <w:bCs/>
          <w:lang w:val="cs-CZ"/>
        </w:rPr>
        <w:t xml:space="preserve"> tak ND nezabezpečilo</w:t>
      </w:r>
      <w:r>
        <w:rPr>
          <w:rFonts w:ascii="Calibri" w:hAnsi="Calibri" w:cs="Calibri"/>
          <w:bCs/>
          <w:lang w:val="cs-CZ"/>
        </w:rPr>
        <w:t xml:space="preserve"> </w:t>
      </w:r>
      <w:r w:rsidRPr="00CC0683">
        <w:rPr>
          <w:rFonts w:ascii="Calibri" w:hAnsi="Calibri" w:cs="Calibri"/>
          <w:bCs/>
          <w:lang w:val="cs-CZ"/>
        </w:rPr>
        <w:t>potřebnou vypovídací schopnost</w:t>
      </w:r>
      <w:r w:rsidR="00FA1412">
        <w:rPr>
          <w:rFonts w:ascii="Calibri" w:hAnsi="Calibri" w:cs="Calibri"/>
          <w:bCs/>
          <w:lang w:val="cs-CZ"/>
        </w:rPr>
        <w:t xml:space="preserve"> výkazů zisku a </w:t>
      </w:r>
      <w:r w:rsidR="008B2529">
        <w:rPr>
          <w:rFonts w:ascii="Calibri" w:hAnsi="Calibri" w:cs="Calibri"/>
          <w:bCs/>
          <w:lang w:val="cs-CZ"/>
        </w:rPr>
        <w:t>ztráty</w:t>
      </w:r>
      <w:r w:rsidRPr="00CC0683">
        <w:rPr>
          <w:rFonts w:ascii="Calibri" w:hAnsi="Calibri" w:cs="Calibri"/>
          <w:bCs/>
          <w:lang w:val="cs-CZ"/>
        </w:rPr>
        <w:t>.</w:t>
      </w:r>
    </w:p>
    <w:p w14:paraId="37632984" w14:textId="77777777" w:rsidR="0066795A" w:rsidRPr="00D004A3" w:rsidRDefault="0066795A" w:rsidP="000F42B2">
      <w:pPr>
        <w:rPr>
          <w:rFonts w:ascii="Calibri" w:hAnsi="Calibri" w:cs="Calibri"/>
          <w:bCs/>
          <w:lang w:val="cs-CZ"/>
        </w:rPr>
      </w:pPr>
    </w:p>
    <w:p w14:paraId="723C813F" w14:textId="66A813D6" w:rsidR="0066795A" w:rsidRPr="004D0E82" w:rsidRDefault="0066795A" w:rsidP="000F42B2">
      <w:pPr>
        <w:pStyle w:val="Odstavecseseznamem"/>
        <w:numPr>
          <w:ilvl w:val="0"/>
          <w:numId w:val="22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2C73EA">
        <w:rPr>
          <w:rFonts w:asciiTheme="minorHAnsi" w:hAnsiTheme="minorHAnsi" w:cstheme="minorHAnsi"/>
          <w:b/>
          <w:color w:val="000000"/>
          <w:lang w:val="cs-CZ"/>
        </w:rPr>
        <w:t xml:space="preserve">ND nesledovalo </w:t>
      </w:r>
      <w:r w:rsidR="001D5D42">
        <w:rPr>
          <w:rFonts w:asciiTheme="minorHAnsi" w:hAnsiTheme="minorHAnsi" w:cstheme="minorHAnsi"/>
          <w:b/>
          <w:color w:val="000000"/>
          <w:lang w:val="cs-CZ"/>
        </w:rPr>
        <w:t>konečnou výši</w:t>
      </w:r>
      <w:r w:rsidRPr="002C73EA">
        <w:rPr>
          <w:rFonts w:asciiTheme="minorHAnsi" w:hAnsiTheme="minorHAnsi" w:cstheme="minorHAnsi"/>
          <w:b/>
          <w:color w:val="000000"/>
          <w:lang w:val="cs-CZ"/>
        </w:rPr>
        <w:t xml:space="preserve"> skutečně vynaložen</w:t>
      </w:r>
      <w:r w:rsidR="001D5D42">
        <w:rPr>
          <w:rFonts w:asciiTheme="minorHAnsi" w:hAnsiTheme="minorHAnsi" w:cstheme="minorHAnsi"/>
          <w:b/>
          <w:color w:val="000000"/>
          <w:lang w:val="cs-CZ"/>
        </w:rPr>
        <w:t>ých</w:t>
      </w:r>
      <w:r w:rsidRPr="002C73EA">
        <w:rPr>
          <w:rFonts w:asciiTheme="minorHAnsi" w:hAnsiTheme="minorHAnsi" w:cstheme="minorHAnsi"/>
          <w:b/>
          <w:color w:val="000000"/>
          <w:lang w:val="cs-CZ"/>
        </w:rPr>
        <w:t xml:space="preserve"> náklad</w:t>
      </w:r>
      <w:r w:rsidR="001D5D42">
        <w:rPr>
          <w:rFonts w:asciiTheme="minorHAnsi" w:hAnsiTheme="minorHAnsi" w:cstheme="minorHAnsi"/>
          <w:b/>
          <w:color w:val="000000"/>
          <w:lang w:val="cs-CZ"/>
        </w:rPr>
        <w:t>ů</w:t>
      </w:r>
      <w:r w:rsidRPr="002C73EA">
        <w:rPr>
          <w:rFonts w:asciiTheme="minorHAnsi" w:hAnsiTheme="minorHAnsi" w:cstheme="minorHAnsi"/>
          <w:b/>
          <w:color w:val="000000"/>
          <w:lang w:val="cs-CZ"/>
        </w:rPr>
        <w:t xml:space="preserve"> na inscenace a</w:t>
      </w:r>
      <w:r w:rsidR="001D5D42">
        <w:rPr>
          <w:rFonts w:asciiTheme="minorHAnsi" w:hAnsiTheme="minorHAnsi" w:cstheme="minorHAnsi"/>
          <w:b/>
          <w:color w:val="000000"/>
          <w:lang w:val="cs-CZ"/>
        </w:rPr>
        <w:t> </w:t>
      </w:r>
      <w:r w:rsidRPr="002C73EA">
        <w:rPr>
          <w:rFonts w:asciiTheme="minorHAnsi" w:hAnsiTheme="minorHAnsi" w:cstheme="minorHAnsi"/>
          <w:b/>
          <w:color w:val="000000"/>
          <w:lang w:val="cs-CZ"/>
        </w:rPr>
        <w:t>zahraniční zájezdy a neprovádělo správně jejich vyhodnocení</w:t>
      </w:r>
    </w:p>
    <w:p w14:paraId="163734FE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5EF8A55A" w14:textId="77777777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Kontrolou byl proveden rozbor tří zahraničních zájezdů a dále tří inscenací nově uvedených v kontrolovaném období, a to za účelem jejich ekonomického vyhodnocení.</w:t>
      </w:r>
    </w:p>
    <w:p w14:paraId="03EC4690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1A5BC620" w14:textId="590DD3C7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Bylo zjištěno, že rozpočet kontrolovaných </w:t>
      </w:r>
      <w:r w:rsidR="008B2529">
        <w:rPr>
          <w:rFonts w:asciiTheme="minorHAnsi" w:hAnsiTheme="minorHAnsi" w:cstheme="minorHAnsi"/>
          <w:color w:val="000000"/>
          <w:lang w:val="cs-CZ"/>
        </w:rPr>
        <w:t xml:space="preserve">zahraničních </w:t>
      </w:r>
      <w:r>
        <w:rPr>
          <w:rFonts w:asciiTheme="minorHAnsi" w:hAnsiTheme="minorHAnsi" w:cstheme="minorHAnsi"/>
          <w:color w:val="000000"/>
          <w:lang w:val="cs-CZ"/>
        </w:rPr>
        <w:t xml:space="preserve">zájezdů nezohledňoval mzdové náklady včetně zákonných odvodů zaměstnanců ND, </w:t>
      </w:r>
      <w:r w:rsidR="001D5D42">
        <w:rPr>
          <w:rFonts w:asciiTheme="minorHAnsi" w:hAnsiTheme="minorHAnsi" w:cstheme="minorHAnsi"/>
          <w:color w:val="000000"/>
          <w:lang w:val="cs-CZ"/>
        </w:rPr>
        <w:t xml:space="preserve">kteří se zúčastnili zájezdů, </w:t>
      </w:r>
      <w:r>
        <w:rPr>
          <w:rFonts w:asciiTheme="minorHAnsi" w:hAnsiTheme="minorHAnsi" w:cstheme="minorHAnsi"/>
          <w:color w:val="000000"/>
          <w:lang w:val="cs-CZ"/>
        </w:rPr>
        <w:t xml:space="preserve">případně náklady související s dopravou zajišťovanou ND, náklady na pojištění ani možné nutné vedlejší výdaje vynaložené v souvislosti se zahraniční pracovní cestou. ND i při účtování skutečných nákladů a výnosů spojených se zahraničním zájezdem nesledovalo veškeré náklady </w:t>
      </w:r>
      <w:r w:rsidR="00082DD1">
        <w:rPr>
          <w:rFonts w:asciiTheme="minorHAnsi" w:hAnsiTheme="minorHAnsi" w:cstheme="minorHAnsi"/>
          <w:color w:val="000000"/>
          <w:lang w:val="cs-CZ"/>
        </w:rPr>
        <w:t xml:space="preserve">související </w:t>
      </w:r>
      <w:r>
        <w:rPr>
          <w:rFonts w:asciiTheme="minorHAnsi" w:hAnsiTheme="minorHAnsi" w:cstheme="minorHAnsi"/>
          <w:color w:val="000000"/>
          <w:lang w:val="cs-CZ"/>
        </w:rPr>
        <w:t>se zájezdem.</w:t>
      </w:r>
    </w:p>
    <w:p w14:paraId="4DCC7BDC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38B896A4" w14:textId="02826DBC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U vybraných zahraničních zájezdů bylo rovněž zjištěno, že ND neposkytlo účastníkům těchto zájezdů zahraniční stravné ve správné výši</w:t>
      </w:r>
      <w:r w:rsidR="001D5D42">
        <w:rPr>
          <w:rFonts w:asciiTheme="minorHAnsi" w:hAnsiTheme="minorHAnsi" w:cstheme="minorHAnsi"/>
          <w:color w:val="000000"/>
          <w:lang w:val="cs-CZ"/>
        </w:rPr>
        <w:t>,</w:t>
      </w:r>
      <w:r>
        <w:rPr>
          <w:rFonts w:asciiTheme="minorHAnsi" w:hAnsiTheme="minorHAnsi" w:cstheme="minorHAnsi"/>
          <w:color w:val="000000"/>
          <w:lang w:val="cs-CZ"/>
        </w:rPr>
        <w:t xml:space="preserve"> navíc pro určení korunové hodnoty zahraničního stravného v dohodnuté měně nepoužilo kurz vyhlášený Českou národní bankou </w:t>
      </w:r>
      <w:r w:rsidR="002550DF">
        <w:rPr>
          <w:rFonts w:asciiTheme="minorHAnsi" w:hAnsiTheme="minorHAnsi" w:cstheme="minorHAnsi"/>
          <w:color w:val="000000"/>
          <w:lang w:val="cs-CZ"/>
        </w:rPr>
        <w:t>a </w:t>
      </w:r>
      <w:r>
        <w:rPr>
          <w:rFonts w:asciiTheme="minorHAnsi" w:hAnsiTheme="minorHAnsi" w:cstheme="minorHAnsi"/>
          <w:color w:val="000000"/>
          <w:lang w:val="cs-CZ"/>
        </w:rPr>
        <w:t>platný v den vyplacení zálohy.</w:t>
      </w:r>
      <w:r w:rsidR="00971174">
        <w:rPr>
          <w:rFonts w:asciiTheme="minorHAnsi" w:hAnsiTheme="minorHAnsi" w:cstheme="minorHAnsi"/>
          <w:color w:val="000000"/>
          <w:lang w:val="cs-CZ"/>
        </w:rPr>
        <w:t xml:space="preserve"> Jednalo se o chybu v celkové výši 14 599 Kč.</w:t>
      </w:r>
    </w:p>
    <w:p w14:paraId="1C77E4C0" w14:textId="77777777" w:rsidR="000F42B2" w:rsidRPr="00971174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3E8F650E" w14:textId="77777777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Stejně tak ND v rozpočtu nákladů a výnosů spojených s přípravou a uváděním divadelního představení a při účtování skutečných nákladů a výnosů nesledovalo veškeré náklady</w:t>
      </w:r>
      <w:r w:rsidR="0099359E">
        <w:rPr>
          <w:rFonts w:asciiTheme="minorHAnsi" w:hAnsiTheme="minorHAnsi" w:cstheme="minorHAnsi"/>
          <w:color w:val="000000"/>
          <w:lang w:val="cs-CZ"/>
        </w:rPr>
        <w:t>, které</w:t>
      </w:r>
      <w:r>
        <w:rPr>
          <w:rFonts w:asciiTheme="minorHAnsi" w:hAnsiTheme="minorHAnsi" w:cstheme="minorHAnsi"/>
          <w:color w:val="000000"/>
          <w:lang w:val="cs-CZ"/>
        </w:rPr>
        <w:t xml:space="preserve"> souvisí s představením. Jednalo se především o mzdové náklady včetně zákonných odvodů.</w:t>
      </w:r>
    </w:p>
    <w:p w14:paraId="1E24929E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7C198AA4" w14:textId="77777777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V zájmu </w:t>
      </w:r>
      <w:r w:rsidR="00923668">
        <w:rPr>
          <w:rFonts w:asciiTheme="minorHAnsi" w:hAnsiTheme="minorHAnsi" w:cstheme="minorHAnsi"/>
          <w:color w:val="000000"/>
          <w:lang w:val="cs-CZ"/>
        </w:rPr>
        <w:t xml:space="preserve">řádného </w:t>
      </w:r>
      <w:r>
        <w:rPr>
          <w:rFonts w:asciiTheme="minorHAnsi" w:hAnsiTheme="minorHAnsi" w:cstheme="minorHAnsi"/>
          <w:color w:val="000000"/>
          <w:lang w:val="cs-CZ"/>
        </w:rPr>
        <w:t xml:space="preserve">ekonomického vyhodnocování výsledků a kvalitnějšího </w:t>
      </w:r>
      <w:r w:rsidR="00923668">
        <w:rPr>
          <w:rFonts w:asciiTheme="minorHAnsi" w:hAnsiTheme="minorHAnsi" w:cstheme="minorHAnsi"/>
          <w:color w:val="000000"/>
          <w:lang w:val="cs-CZ"/>
        </w:rPr>
        <w:t xml:space="preserve">finančního </w:t>
      </w:r>
      <w:r>
        <w:rPr>
          <w:rFonts w:asciiTheme="minorHAnsi" w:hAnsiTheme="minorHAnsi" w:cstheme="minorHAnsi"/>
          <w:color w:val="000000"/>
          <w:lang w:val="cs-CZ"/>
        </w:rPr>
        <w:t>řízení je účelné sledovat veškeré náklady vynaložené na tyto akce a veškeré výnosy z nich plynoucí.</w:t>
      </w:r>
    </w:p>
    <w:p w14:paraId="7AE8AE36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u w:val="single"/>
          <w:lang w:val="cs-CZ"/>
        </w:rPr>
      </w:pPr>
    </w:p>
    <w:p w14:paraId="24DF195C" w14:textId="77777777" w:rsidR="001911CD" w:rsidRPr="004D0E82" w:rsidRDefault="001911CD" w:rsidP="000F42B2">
      <w:pPr>
        <w:jc w:val="both"/>
        <w:rPr>
          <w:rFonts w:asciiTheme="minorHAnsi" w:hAnsiTheme="minorHAnsi" w:cstheme="minorHAnsi"/>
          <w:color w:val="000000"/>
          <w:u w:val="single"/>
          <w:lang w:val="cs-CZ"/>
        </w:rPr>
      </w:pPr>
    </w:p>
    <w:p w14:paraId="4B70388A" w14:textId="77777777" w:rsidR="0066795A" w:rsidRPr="00050DFC" w:rsidRDefault="0066795A" w:rsidP="000F42B2">
      <w:pPr>
        <w:pStyle w:val="Odstavecseseznamem"/>
        <w:numPr>
          <w:ilvl w:val="0"/>
          <w:numId w:val="22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050DFC">
        <w:rPr>
          <w:rFonts w:asciiTheme="minorHAnsi" w:hAnsiTheme="minorHAnsi" w:cstheme="minorHAnsi"/>
          <w:b/>
          <w:color w:val="000000"/>
          <w:lang w:val="cs-CZ"/>
        </w:rPr>
        <w:lastRenderedPageBreak/>
        <w:t>Nedostatky při nakládání s majetkem</w:t>
      </w:r>
    </w:p>
    <w:p w14:paraId="2B35E7C4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4E0917AE" w14:textId="77777777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NKÚ provedl kontrolu evidence majetku, nabývání, pozbývání a pronájmy majetku.</w:t>
      </w:r>
    </w:p>
    <w:p w14:paraId="4DDE4102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6270B88D" w14:textId="218AC3C2" w:rsidR="00FA1412" w:rsidRDefault="00FA141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V </w:t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oblasti </w:t>
      </w:r>
      <w:r w:rsidRPr="006F2B9D">
        <w:rPr>
          <w:rFonts w:asciiTheme="minorHAnsi" w:hAnsiTheme="minorHAnsi" w:cstheme="minorHAnsi"/>
          <w:b/>
          <w:color w:val="000000"/>
          <w:lang w:val="cs-CZ"/>
        </w:rPr>
        <w:t>nákupů majetku</w:t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 bylo zjištěno, že ND </w:t>
      </w:r>
      <w:r>
        <w:rPr>
          <w:rFonts w:asciiTheme="minorHAnsi" w:hAnsiTheme="minorHAnsi" w:cstheme="minorHAnsi"/>
          <w:color w:val="000000"/>
          <w:lang w:val="cs-CZ"/>
        </w:rPr>
        <w:t>nepostupovalo v souladu s ustanovením</w:t>
      </w:r>
      <w:r w:rsidR="007F4628">
        <w:rPr>
          <w:rFonts w:asciiTheme="minorHAnsi" w:hAnsiTheme="minorHAnsi" w:cstheme="minorHAnsi"/>
          <w:color w:val="000000"/>
          <w:lang w:val="cs-CZ"/>
        </w:rPr>
        <w:t>i</w:t>
      </w:r>
      <w:r>
        <w:rPr>
          <w:rFonts w:asciiTheme="minorHAnsi" w:hAnsiTheme="minorHAnsi" w:cstheme="minorHAnsi"/>
          <w:color w:val="000000"/>
          <w:lang w:val="cs-CZ"/>
        </w:rPr>
        <w:t xml:space="preserve"> § 14 odst. 1 a odst. 4 zákona č. 219/2000 Sb., neboť v období od předání </w:t>
      </w:r>
      <w:r w:rsidR="007F4628">
        <w:rPr>
          <w:rFonts w:asciiTheme="minorHAnsi" w:hAnsiTheme="minorHAnsi" w:cstheme="minorHAnsi"/>
          <w:color w:val="000000"/>
          <w:lang w:val="cs-CZ"/>
        </w:rPr>
        <w:t xml:space="preserve">hudebních </w:t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nástrojů do užívání zaměstnancům až po uzavření dohod o odpovědnosti za ztrátu svěřených věcí </w:t>
      </w:r>
      <w:r>
        <w:rPr>
          <w:rFonts w:asciiTheme="minorHAnsi" w:hAnsiTheme="minorHAnsi" w:cstheme="minorHAnsi"/>
          <w:color w:val="000000"/>
          <w:lang w:val="cs-CZ"/>
        </w:rPr>
        <w:t xml:space="preserve">(tj. v případě houslí čtyři měsíce a v případě flétny tři měsíce) </w:t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nechránilo </w:t>
      </w:r>
      <w:r w:rsidR="00F8089B">
        <w:rPr>
          <w:rFonts w:asciiTheme="minorHAnsi" w:hAnsiTheme="minorHAnsi" w:cstheme="minorHAnsi"/>
          <w:color w:val="000000"/>
          <w:lang w:val="cs-CZ"/>
        </w:rPr>
        <w:t xml:space="preserve">pořízený </w:t>
      </w:r>
      <w:r w:rsidRPr="00F64F96">
        <w:rPr>
          <w:rFonts w:asciiTheme="minorHAnsi" w:hAnsiTheme="minorHAnsi" w:cstheme="minorHAnsi"/>
          <w:color w:val="000000"/>
          <w:lang w:val="cs-CZ"/>
        </w:rPr>
        <w:t>majetek před poškozením, ztrátou, odcizením a zneužitím</w:t>
      </w:r>
      <w:r>
        <w:rPr>
          <w:rFonts w:asciiTheme="minorHAnsi" w:hAnsiTheme="minorHAnsi" w:cstheme="minorHAnsi"/>
          <w:color w:val="000000"/>
          <w:lang w:val="cs-CZ"/>
        </w:rPr>
        <w:t>. ND rovněž nesplnilo</w:t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 povinnost uveden</w:t>
      </w:r>
      <w:r>
        <w:rPr>
          <w:rFonts w:asciiTheme="minorHAnsi" w:hAnsiTheme="minorHAnsi" w:cstheme="minorHAnsi"/>
          <w:color w:val="000000"/>
          <w:lang w:val="cs-CZ"/>
        </w:rPr>
        <w:t>ou v ustanovení § 255 zákona č. </w:t>
      </w:r>
      <w:r w:rsidRPr="00F64F96">
        <w:rPr>
          <w:rFonts w:asciiTheme="minorHAnsi" w:hAnsiTheme="minorHAnsi" w:cstheme="minorHAnsi"/>
          <w:color w:val="000000"/>
          <w:lang w:val="cs-CZ"/>
        </w:rPr>
        <w:t>262/2006 Sb.</w:t>
      </w:r>
      <w:r w:rsidRPr="00F64F96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7"/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, </w:t>
      </w:r>
      <w:r w:rsidR="00F8089B">
        <w:rPr>
          <w:rFonts w:asciiTheme="minorHAnsi" w:hAnsiTheme="minorHAnsi" w:cstheme="minorHAnsi"/>
          <w:color w:val="000000"/>
          <w:lang w:val="cs-CZ"/>
        </w:rPr>
        <w:t xml:space="preserve">když </w:t>
      </w:r>
      <w:r w:rsidRPr="00F64F96">
        <w:rPr>
          <w:rFonts w:asciiTheme="minorHAnsi" w:hAnsiTheme="minorHAnsi" w:cstheme="minorHAnsi"/>
          <w:color w:val="000000"/>
          <w:lang w:val="cs-CZ"/>
        </w:rPr>
        <w:t>předalo zaměstnanc</w:t>
      </w:r>
      <w:r>
        <w:rPr>
          <w:rFonts w:asciiTheme="minorHAnsi" w:hAnsiTheme="minorHAnsi" w:cstheme="minorHAnsi"/>
          <w:color w:val="000000"/>
          <w:lang w:val="cs-CZ"/>
        </w:rPr>
        <w:t>ům</w:t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 do užívání h</w:t>
      </w:r>
      <w:r w:rsidR="0049437B">
        <w:rPr>
          <w:rFonts w:asciiTheme="minorHAnsi" w:hAnsiTheme="minorHAnsi" w:cstheme="minorHAnsi"/>
          <w:color w:val="000000"/>
          <w:lang w:val="cs-CZ"/>
        </w:rPr>
        <w:t>ousle v pořizovací ceně 720 000 </w:t>
      </w:r>
      <w:r w:rsidRPr="00F64F96">
        <w:rPr>
          <w:rFonts w:asciiTheme="minorHAnsi" w:hAnsiTheme="minorHAnsi" w:cstheme="minorHAnsi"/>
          <w:color w:val="000000"/>
          <w:lang w:val="cs-CZ"/>
        </w:rPr>
        <w:t xml:space="preserve">Kč a flétnu v pořizovací ceně 643 720 Kč, aniž by </w:t>
      </w:r>
      <w:r>
        <w:rPr>
          <w:rFonts w:asciiTheme="minorHAnsi" w:hAnsiTheme="minorHAnsi" w:cstheme="minorHAnsi"/>
          <w:color w:val="000000"/>
          <w:lang w:val="cs-CZ"/>
        </w:rPr>
        <w:t xml:space="preserve">s nimi ihned </w:t>
      </w:r>
      <w:r w:rsidRPr="00F64F96">
        <w:rPr>
          <w:rFonts w:asciiTheme="minorHAnsi" w:hAnsiTheme="minorHAnsi" w:cstheme="minorHAnsi"/>
          <w:color w:val="000000"/>
          <w:lang w:val="cs-CZ"/>
        </w:rPr>
        <w:t>uzavřelo dohody o</w:t>
      </w:r>
      <w:r>
        <w:rPr>
          <w:rFonts w:asciiTheme="minorHAnsi" w:hAnsiTheme="minorHAnsi" w:cstheme="minorHAnsi"/>
          <w:color w:val="000000"/>
          <w:lang w:val="cs-CZ"/>
        </w:rPr>
        <w:t> </w:t>
      </w:r>
      <w:r w:rsidRPr="00F64F96">
        <w:rPr>
          <w:rFonts w:asciiTheme="minorHAnsi" w:hAnsiTheme="minorHAnsi" w:cstheme="minorHAnsi"/>
          <w:color w:val="000000"/>
          <w:lang w:val="cs-CZ"/>
        </w:rPr>
        <w:t>odpovědnosti</w:t>
      </w:r>
      <w:r>
        <w:rPr>
          <w:rFonts w:asciiTheme="minorHAnsi" w:hAnsiTheme="minorHAnsi" w:cstheme="minorHAnsi"/>
          <w:color w:val="000000"/>
          <w:lang w:val="cs-CZ"/>
        </w:rPr>
        <w:t xml:space="preserve"> za ztrátu svěřených věcí.</w:t>
      </w:r>
    </w:p>
    <w:p w14:paraId="1964D65C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4C8058CB" w14:textId="75E9FBBE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6B0621">
        <w:rPr>
          <w:rFonts w:asciiTheme="minorHAnsi" w:hAnsiTheme="minorHAnsi" w:cstheme="minorHAnsi"/>
          <w:color w:val="000000"/>
          <w:lang w:val="cs-CZ"/>
        </w:rPr>
        <w:t xml:space="preserve">Kontrolou </w:t>
      </w:r>
      <w:r w:rsidRPr="006F2B9D">
        <w:rPr>
          <w:rFonts w:asciiTheme="minorHAnsi" w:hAnsiTheme="minorHAnsi" w:cstheme="minorHAnsi"/>
          <w:b/>
          <w:color w:val="000000"/>
          <w:lang w:val="cs-CZ"/>
        </w:rPr>
        <w:t>úbytků nepotřebného majetku</w:t>
      </w:r>
      <w:r w:rsidRPr="006B0621">
        <w:rPr>
          <w:rFonts w:asciiTheme="minorHAnsi" w:hAnsiTheme="minorHAnsi" w:cstheme="minorHAnsi"/>
          <w:color w:val="000000"/>
          <w:lang w:val="cs-CZ"/>
        </w:rPr>
        <w:t xml:space="preserve"> byly</w:t>
      </w:r>
      <w:r>
        <w:rPr>
          <w:rFonts w:asciiTheme="minorHAnsi" w:hAnsiTheme="minorHAnsi" w:cstheme="minorHAnsi"/>
          <w:color w:val="000000"/>
          <w:lang w:val="cs-CZ"/>
        </w:rPr>
        <w:t xml:space="preserve"> zjištěny případy, kdy byla část vyřazovaného majetku ponechána k dalšímu využití pro potřeby ND, např. demontováním věci a použitím na náhradní díly </w:t>
      </w:r>
      <w:r w:rsidR="00F8089B">
        <w:rPr>
          <w:rFonts w:asciiTheme="minorHAnsi" w:hAnsiTheme="minorHAnsi" w:cstheme="minorHAnsi"/>
          <w:color w:val="000000"/>
          <w:lang w:val="cs-CZ"/>
        </w:rPr>
        <w:t>a </w:t>
      </w:r>
      <w:r>
        <w:rPr>
          <w:rFonts w:asciiTheme="minorHAnsi" w:hAnsiTheme="minorHAnsi" w:cstheme="minorHAnsi"/>
          <w:color w:val="000000"/>
          <w:lang w:val="cs-CZ"/>
        </w:rPr>
        <w:t>jako další materiál. Jednalo se zejména o případy likvidace dekorací inscenací po derniérách</w:t>
      </w:r>
      <w:r w:rsidR="00F8089B">
        <w:rPr>
          <w:rFonts w:asciiTheme="minorHAnsi" w:hAnsiTheme="minorHAnsi" w:cstheme="minorHAnsi"/>
          <w:color w:val="000000"/>
          <w:lang w:val="cs-CZ"/>
        </w:rPr>
        <w:t>.</w:t>
      </w:r>
      <w:r w:rsidR="0070441F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8089B">
        <w:rPr>
          <w:rFonts w:asciiTheme="minorHAnsi" w:hAnsiTheme="minorHAnsi" w:cstheme="minorHAnsi"/>
          <w:color w:val="000000"/>
          <w:lang w:val="cs-CZ"/>
        </w:rPr>
        <w:t>P</w:t>
      </w:r>
      <w:r w:rsidR="0070441F">
        <w:rPr>
          <w:rFonts w:asciiTheme="minorHAnsi" w:hAnsiTheme="minorHAnsi" w:cstheme="minorHAnsi"/>
          <w:color w:val="000000"/>
          <w:lang w:val="cs-CZ"/>
        </w:rPr>
        <w:t>ořizovací cena vyřazovaného majetku činila 6 314 509 Kč, zůstatková cena 47 335 Kč. M</w:t>
      </w:r>
      <w:r>
        <w:rPr>
          <w:rFonts w:asciiTheme="minorHAnsi" w:hAnsiTheme="minorHAnsi" w:cstheme="minorHAnsi"/>
          <w:color w:val="000000"/>
          <w:lang w:val="cs-CZ"/>
        </w:rPr>
        <w:t>ateriál byl využíván v dílnách sekce výroby ND. ND však nemá vnitřním předpisem upraven postup pro tyto případy, nemá stanoveny povinnosti pro zpracování a předání podkladů pro oddělení účtárny za účelem provedení účetních</w:t>
      </w:r>
      <w:r w:rsidR="00FD3EB1">
        <w:rPr>
          <w:rFonts w:asciiTheme="minorHAnsi" w:hAnsiTheme="minorHAnsi" w:cstheme="minorHAnsi"/>
          <w:color w:val="000000"/>
          <w:lang w:val="cs-CZ"/>
        </w:rPr>
        <w:t xml:space="preserve"> operací účtování o zásobách, a </w:t>
      </w:r>
      <w:r>
        <w:rPr>
          <w:rFonts w:asciiTheme="minorHAnsi" w:hAnsiTheme="minorHAnsi" w:cstheme="minorHAnsi"/>
          <w:color w:val="000000"/>
          <w:lang w:val="cs-CZ"/>
        </w:rPr>
        <w:t>proto o těchto případech neúčtuje.</w:t>
      </w:r>
    </w:p>
    <w:p w14:paraId="72DB479F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6157A3D5" w14:textId="1AC21878" w:rsidR="00FD3EB1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AB34A5">
        <w:rPr>
          <w:rFonts w:asciiTheme="minorHAnsi" w:hAnsiTheme="minorHAnsi" w:cstheme="minorHAnsi"/>
          <w:color w:val="000000"/>
          <w:lang w:val="cs-CZ"/>
        </w:rPr>
        <w:t xml:space="preserve">V oblasti </w:t>
      </w:r>
      <w:r w:rsidR="007F4628">
        <w:rPr>
          <w:rFonts w:asciiTheme="minorHAnsi" w:hAnsiTheme="minorHAnsi" w:cstheme="minorHAnsi"/>
          <w:b/>
          <w:color w:val="000000"/>
          <w:lang w:val="cs-CZ"/>
        </w:rPr>
        <w:t>pronájmu</w:t>
      </w:r>
      <w:r w:rsidRPr="006F2B9D">
        <w:rPr>
          <w:rFonts w:asciiTheme="minorHAnsi" w:hAnsiTheme="minorHAnsi" w:cstheme="minorHAnsi"/>
          <w:b/>
          <w:color w:val="000000"/>
          <w:lang w:val="cs-CZ"/>
        </w:rPr>
        <w:t xml:space="preserve"> majetku</w:t>
      </w:r>
      <w:r w:rsidR="00953562" w:rsidRPr="006F2B9D">
        <w:rPr>
          <w:rFonts w:asciiTheme="minorHAnsi" w:hAnsiTheme="minorHAnsi" w:cstheme="minorHAnsi"/>
          <w:b/>
          <w:color w:val="000000"/>
          <w:lang w:val="cs-CZ"/>
        </w:rPr>
        <w:t>, který organizace dočasně nepotřebuje,</w:t>
      </w:r>
      <w:r w:rsidRPr="006F2B9D">
        <w:rPr>
          <w:rFonts w:asciiTheme="minorHAnsi" w:hAnsiTheme="minorHAnsi" w:cstheme="minorHAnsi"/>
          <w:b/>
          <w:color w:val="000000"/>
          <w:lang w:val="cs-CZ"/>
        </w:rPr>
        <w:t xml:space="preserve"> jiným osobám</w:t>
      </w:r>
      <w:r w:rsidRPr="00AB34A5">
        <w:rPr>
          <w:rFonts w:asciiTheme="minorHAnsi" w:hAnsiTheme="minorHAnsi" w:cstheme="minorHAnsi"/>
          <w:color w:val="000000"/>
          <w:lang w:val="cs-CZ"/>
        </w:rPr>
        <w:t xml:space="preserve"> bylo kontrolou</w:t>
      </w:r>
      <w:r>
        <w:rPr>
          <w:rFonts w:asciiTheme="minorHAnsi" w:hAnsiTheme="minorHAnsi" w:cstheme="minorHAnsi"/>
          <w:color w:val="000000"/>
          <w:lang w:val="cs-CZ"/>
        </w:rPr>
        <w:t xml:space="preserve"> zjištěno, že ND </w:t>
      </w:r>
      <w:r w:rsidR="00FD3EB1">
        <w:rPr>
          <w:rFonts w:asciiTheme="minorHAnsi" w:hAnsiTheme="minorHAnsi" w:cstheme="minorHAnsi"/>
          <w:color w:val="000000"/>
          <w:lang w:val="cs-CZ"/>
        </w:rPr>
        <w:t xml:space="preserve">před uzavřením dvou smluvních vztahů neposoudilo ekonomickou výhodnost pronájmu, </w:t>
      </w:r>
      <w:r w:rsidR="007F4628">
        <w:rPr>
          <w:rFonts w:asciiTheme="minorHAnsi" w:hAnsiTheme="minorHAnsi" w:cstheme="minorHAnsi"/>
          <w:color w:val="000000"/>
          <w:lang w:val="cs-CZ"/>
        </w:rPr>
        <w:t>tj</w:t>
      </w:r>
      <w:r w:rsidR="00FD3EB1">
        <w:rPr>
          <w:rFonts w:asciiTheme="minorHAnsi" w:hAnsiTheme="minorHAnsi" w:cstheme="minorHAnsi"/>
          <w:color w:val="000000"/>
          <w:lang w:val="cs-CZ"/>
        </w:rPr>
        <w:t xml:space="preserve">., že neprověřilo, zda je nájemné sjednáno nejméně ve výši </w:t>
      </w:r>
      <w:r w:rsidR="007F4628">
        <w:rPr>
          <w:rFonts w:asciiTheme="minorHAnsi" w:hAnsiTheme="minorHAnsi" w:cstheme="minorHAnsi"/>
          <w:color w:val="000000"/>
          <w:lang w:val="cs-CZ"/>
        </w:rPr>
        <w:t xml:space="preserve">obvyklé </w:t>
      </w:r>
      <w:r w:rsidR="00FD3EB1">
        <w:rPr>
          <w:rFonts w:asciiTheme="minorHAnsi" w:hAnsiTheme="minorHAnsi" w:cstheme="minorHAnsi"/>
          <w:color w:val="000000"/>
          <w:lang w:val="cs-CZ"/>
        </w:rPr>
        <w:t>v</w:t>
      </w:r>
      <w:r w:rsidR="007F4628">
        <w:rPr>
          <w:rFonts w:asciiTheme="minorHAnsi" w:hAnsiTheme="minorHAnsi" w:cstheme="minorHAnsi"/>
          <w:color w:val="000000"/>
          <w:lang w:val="cs-CZ"/>
        </w:rPr>
        <w:t xml:space="preserve"> daném </w:t>
      </w:r>
      <w:r w:rsidR="00FD3EB1">
        <w:rPr>
          <w:rFonts w:asciiTheme="minorHAnsi" w:hAnsiTheme="minorHAnsi" w:cstheme="minorHAnsi"/>
          <w:color w:val="000000"/>
          <w:lang w:val="cs-CZ"/>
        </w:rPr>
        <w:t>místě a čase (jak ukládá ustanovení § 27 od</w:t>
      </w:r>
      <w:r w:rsidR="007F4628">
        <w:rPr>
          <w:rFonts w:asciiTheme="minorHAnsi" w:hAnsiTheme="minorHAnsi" w:cstheme="minorHAnsi"/>
          <w:color w:val="000000"/>
          <w:lang w:val="cs-CZ"/>
        </w:rPr>
        <w:t>st. 3 zákona č. 219/2000 Sb.) a </w:t>
      </w:r>
      <w:r w:rsidR="00FD3EB1">
        <w:rPr>
          <w:rFonts w:asciiTheme="minorHAnsi" w:hAnsiTheme="minorHAnsi" w:cstheme="minorHAnsi"/>
          <w:color w:val="000000"/>
          <w:lang w:val="cs-CZ"/>
        </w:rPr>
        <w:t>zda navrhované řešení naplňuje z hlediska cílů finanční kontroly hospodárný výkon veřejné správy.</w:t>
      </w:r>
    </w:p>
    <w:p w14:paraId="7A3512FE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61269AB3" w14:textId="77777777" w:rsidR="0066795A" w:rsidRPr="00050DFC" w:rsidRDefault="0066795A" w:rsidP="000F42B2">
      <w:pPr>
        <w:pStyle w:val="Odstavecseseznamem"/>
        <w:numPr>
          <w:ilvl w:val="0"/>
          <w:numId w:val="22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050DFC">
        <w:rPr>
          <w:rFonts w:asciiTheme="minorHAnsi" w:hAnsiTheme="minorHAnsi" w:cstheme="minorHAnsi"/>
          <w:b/>
          <w:color w:val="000000"/>
          <w:lang w:val="cs-CZ"/>
        </w:rPr>
        <w:t>V účetnictví ND byly zjištěny nesprávnosti a neúplnost</w:t>
      </w:r>
    </w:p>
    <w:p w14:paraId="2109ABC2" w14:textId="77777777" w:rsidR="000F42B2" w:rsidRDefault="000F42B2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0B0EE614" w14:textId="77777777" w:rsidR="0066795A" w:rsidRDefault="0066795A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Na kontrolovaném vzorku bylo v některých případech zjištěno nedodržení postupů stanovených pro vedení účetnictví, např.:</w:t>
      </w:r>
    </w:p>
    <w:p w14:paraId="559D545F" w14:textId="77777777" w:rsidR="0066795A" w:rsidRDefault="0066795A" w:rsidP="000F42B2">
      <w:pPr>
        <w:pStyle w:val="Odstavecseseznamem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Při účtování o prostředcích z přijatého účelově určeného peněžního daru ve výši 150 000 Kč byla porušena časová a věcná souvislost nákladů a výnosů.</w:t>
      </w:r>
    </w:p>
    <w:p w14:paraId="0FBAA8D1" w14:textId="2331765B" w:rsidR="0066795A" w:rsidRDefault="0066795A" w:rsidP="000F42B2">
      <w:pPr>
        <w:pStyle w:val="Odstavecseseznamem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ND v účetním období 2013 nesprávně účtovalo o tvorbě rezervního fondu z titulu přijatých peněžních darů, ačkoliv tyto peněžní prostředky charakter peněžního daru neměly. Zároveň ND účtovalo </w:t>
      </w:r>
      <w:r w:rsidR="00F8089B">
        <w:rPr>
          <w:rFonts w:asciiTheme="minorHAnsi" w:hAnsiTheme="minorHAnsi" w:cstheme="minorHAnsi"/>
          <w:color w:val="000000"/>
          <w:lang w:val="cs-CZ"/>
        </w:rPr>
        <w:t xml:space="preserve">do výnosů </w:t>
      </w:r>
      <w:r>
        <w:rPr>
          <w:rFonts w:asciiTheme="minorHAnsi" w:hAnsiTheme="minorHAnsi" w:cstheme="minorHAnsi"/>
          <w:color w:val="000000"/>
          <w:lang w:val="cs-CZ"/>
        </w:rPr>
        <w:t>v účetním období 2013 o použití rezervního fondu ve výši 730 472,62 Kč, přestože tato částka časově a věcně souvisela s náklady účetního období 2011.</w:t>
      </w:r>
    </w:p>
    <w:p w14:paraId="06EB0769" w14:textId="114125B5" w:rsidR="0066795A" w:rsidRDefault="0066795A" w:rsidP="000F42B2">
      <w:pPr>
        <w:pStyle w:val="Odstavecseseznamem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ND v roce 2013 nesprávně účtovalo o zařazení majetku v pořizovací ceně 229 057,80 Kč, který nabylo změnou příslušnosti hospodaření již v roce 2011, a o nabytí majetku darem v hodnotě celkem 333 198 Kč, který převzalo od dárce v roce 2012. </w:t>
      </w:r>
      <w:r w:rsidRPr="00650460">
        <w:rPr>
          <w:rFonts w:asciiTheme="minorHAnsi" w:hAnsiTheme="minorHAnsi" w:cstheme="minorHAnsi"/>
          <w:color w:val="000000"/>
          <w:lang w:val="cs-CZ"/>
        </w:rPr>
        <w:t>Tento nesprávný postup ovlivnil výši odpisů dlouhodobého hmotného majetku v letech 2012 a 2013.</w:t>
      </w:r>
      <w:r>
        <w:rPr>
          <w:rFonts w:asciiTheme="minorHAnsi" w:hAnsiTheme="minorHAnsi" w:cstheme="minorHAnsi"/>
          <w:color w:val="000000"/>
          <w:lang w:val="cs-CZ"/>
        </w:rPr>
        <w:t xml:space="preserve"> ND rovněž pochybilo při provádění fyzické inventariza</w:t>
      </w:r>
      <w:r w:rsidR="003A661E">
        <w:rPr>
          <w:rFonts w:asciiTheme="minorHAnsi" w:hAnsiTheme="minorHAnsi" w:cstheme="minorHAnsi"/>
          <w:color w:val="000000"/>
          <w:lang w:val="cs-CZ"/>
        </w:rPr>
        <w:t>ce majetku k 31. 12. let 2011 a </w:t>
      </w:r>
      <w:r>
        <w:rPr>
          <w:rFonts w:asciiTheme="minorHAnsi" w:hAnsiTheme="minorHAnsi" w:cstheme="minorHAnsi"/>
          <w:color w:val="000000"/>
          <w:lang w:val="cs-CZ"/>
        </w:rPr>
        <w:t xml:space="preserve">2012, když nezjistilo nesoulad mezi skutečným stavem majetku a stavem </w:t>
      </w:r>
      <w:r w:rsidR="008E2254">
        <w:rPr>
          <w:rFonts w:asciiTheme="minorHAnsi" w:hAnsiTheme="minorHAnsi" w:cstheme="minorHAnsi"/>
          <w:color w:val="000000"/>
          <w:lang w:val="cs-CZ"/>
        </w:rPr>
        <w:t>majetku v</w:t>
      </w:r>
      <w:r>
        <w:rPr>
          <w:rFonts w:asciiTheme="minorHAnsi" w:hAnsiTheme="minorHAnsi" w:cstheme="minorHAnsi"/>
          <w:color w:val="000000"/>
          <w:lang w:val="cs-CZ"/>
        </w:rPr>
        <w:t> účetnictví.</w:t>
      </w:r>
    </w:p>
    <w:p w14:paraId="01880471" w14:textId="1F8D51AC" w:rsidR="0066795A" w:rsidRPr="00F64F96" w:rsidRDefault="0066795A" w:rsidP="000F42B2">
      <w:pPr>
        <w:pStyle w:val="Odstavecseseznamem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 w:rsidRPr="00F64F96">
        <w:rPr>
          <w:rFonts w:asciiTheme="minorHAnsi" w:hAnsiTheme="minorHAnsi" w:cstheme="minorHAnsi"/>
          <w:color w:val="000000"/>
          <w:lang w:val="cs-CZ"/>
        </w:rPr>
        <w:lastRenderedPageBreak/>
        <w:t xml:space="preserve">ND v roce 2014 účtovalo s prodlevou šesti měsíců o nabytí </w:t>
      </w:r>
      <w:r w:rsidR="007F4628">
        <w:rPr>
          <w:rFonts w:asciiTheme="minorHAnsi" w:hAnsiTheme="minorHAnsi" w:cstheme="minorHAnsi"/>
          <w:color w:val="000000"/>
          <w:lang w:val="cs-CZ"/>
        </w:rPr>
        <w:t xml:space="preserve">darovaného </w:t>
      </w:r>
      <w:r w:rsidRPr="00F64F96">
        <w:rPr>
          <w:rFonts w:asciiTheme="minorHAnsi" w:hAnsiTheme="minorHAnsi" w:cstheme="minorHAnsi"/>
          <w:color w:val="000000"/>
          <w:lang w:val="cs-CZ"/>
        </w:rPr>
        <w:t>majetku, jehož hodnota byla 1 800 000 Kč. Tím došlo k pozdnímu zahájení odpisování majetku, přičemž ND neprovedlo dopočet odpisů za těchto šest měsíců.</w:t>
      </w:r>
    </w:p>
    <w:p w14:paraId="5A1F067E" w14:textId="77777777" w:rsidR="0066795A" w:rsidRDefault="0066795A" w:rsidP="000F42B2">
      <w:pPr>
        <w:pStyle w:val="Odstavecseseznamem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 w:rsidRPr="00F64F96">
        <w:rPr>
          <w:rFonts w:asciiTheme="minorHAnsi" w:hAnsiTheme="minorHAnsi" w:cstheme="minorHAnsi"/>
          <w:color w:val="000000"/>
          <w:lang w:val="cs-CZ"/>
        </w:rPr>
        <w:t xml:space="preserve">ND neúčtovalo v účetních knihách roku 2014 o vyřazení dvou pozemků, které byly vydány v rámci restitučního řízení. O úbytku majetku </w:t>
      </w:r>
      <w:r w:rsidR="007560DD">
        <w:rPr>
          <w:rFonts w:asciiTheme="minorHAnsi" w:hAnsiTheme="minorHAnsi" w:cstheme="minorHAnsi"/>
          <w:color w:val="000000"/>
          <w:lang w:val="cs-CZ"/>
        </w:rPr>
        <w:t xml:space="preserve">v hodnotě 3 108 Kč </w:t>
      </w:r>
      <w:r w:rsidRPr="00F64F96">
        <w:rPr>
          <w:rFonts w:asciiTheme="minorHAnsi" w:hAnsiTheme="minorHAnsi" w:cstheme="minorHAnsi"/>
          <w:color w:val="000000"/>
          <w:lang w:val="cs-CZ"/>
        </w:rPr>
        <w:t>bylo účtováno až v</w:t>
      </w:r>
      <w:r>
        <w:rPr>
          <w:rFonts w:asciiTheme="minorHAnsi" w:hAnsiTheme="minorHAnsi" w:cstheme="minorHAnsi"/>
          <w:color w:val="000000"/>
          <w:lang w:val="cs-CZ"/>
        </w:rPr>
        <w:t> roce 2015.</w:t>
      </w:r>
    </w:p>
    <w:p w14:paraId="7348E664" w14:textId="3847D883" w:rsidR="0066795A" w:rsidRDefault="0066795A" w:rsidP="000F42B2">
      <w:pPr>
        <w:pStyle w:val="Odstavecseseznamem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ND neúčtovalo o vyřazení dlouhodobého hmotného majetku v celkové pořizovací ceně 100 754 Kč v účetních knihách roku 2013 ani v účetních knihách roku 2014, ačkoliv byl majetek </w:t>
      </w:r>
      <w:r w:rsidR="007F4628">
        <w:rPr>
          <w:rFonts w:asciiTheme="minorHAnsi" w:hAnsiTheme="minorHAnsi" w:cstheme="minorHAnsi"/>
          <w:color w:val="000000"/>
          <w:lang w:val="cs-CZ"/>
        </w:rPr>
        <w:t xml:space="preserve">v prosinci 2013 </w:t>
      </w:r>
      <w:r>
        <w:rPr>
          <w:rFonts w:asciiTheme="minorHAnsi" w:hAnsiTheme="minorHAnsi" w:cstheme="minorHAnsi"/>
          <w:color w:val="000000"/>
          <w:lang w:val="cs-CZ"/>
        </w:rPr>
        <w:t xml:space="preserve">předán k fyzické likvidaci. O úbytku majetku bylo účtováno až v únoru 2015. Navíc ND s majetkem naložilo dříve, než bylo písemně rozhodnuto o jeho nepotřebnosti, což je v rozporu s ustanovením </w:t>
      </w:r>
      <w:r w:rsidR="00923668">
        <w:rPr>
          <w:rFonts w:asciiTheme="minorHAnsi" w:hAnsiTheme="minorHAnsi" w:cstheme="minorHAnsi"/>
          <w:color w:val="000000"/>
          <w:lang w:val="cs-CZ"/>
        </w:rPr>
        <w:t>§ 14 odst. 7 zákona č. 219/2000 </w:t>
      </w:r>
      <w:r>
        <w:rPr>
          <w:rFonts w:asciiTheme="minorHAnsi" w:hAnsiTheme="minorHAnsi" w:cstheme="minorHAnsi"/>
          <w:color w:val="000000"/>
          <w:lang w:val="cs-CZ"/>
        </w:rPr>
        <w:t>Sb.</w:t>
      </w:r>
    </w:p>
    <w:p w14:paraId="4EBB6EBB" w14:textId="00E7BBAE" w:rsidR="0066795A" w:rsidRPr="007A1C79" w:rsidRDefault="0066795A" w:rsidP="000F42B2">
      <w:pPr>
        <w:pStyle w:val="Odstavecseseznamem"/>
        <w:numPr>
          <w:ilvl w:val="0"/>
          <w:numId w:val="23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ND v letech 2013 až 2015 nesledovalo na podrozvahových účtech najatý majetek</w:t>
      </w:r>
      <w:r w:rsidR="007F4628">
        <w:rPr>
          <w:rFonts w:asciiTheme="minorHAnsi" w:hAnsiTheme="minorHAnsi" w:cstheme="minorHAnsi"/>
          <w:color w:val="000000"/>
          <w:lang w:val="cs-CZ"/>
        </w:rPr>
        <w:t>, v důsledku čehož</w:t>
      </w:r>
      <w:r>
        <w:rPr>
          <w:rFonts w:asciiTheme="minorHAnsi" w:hAnsiTheme="minorHAnsi" w:cstheme="minorHAnsi"/>
          <w:color w:val="000000"/>
          <w:lang w:val="cs-CZ"/>
        </w:rPr>
        <w:t xml:space="preserve"> podhodnotilo příslušné podrozvahové účty v </w:t>
      </w:r>
      <w:r w:rsidR="00F8089B">
        <w:rPr>
          <w:rFonts w:asciiTheme="minorHAnsi" w:hAnsiTheme="minorHAnsi" w:cstheme="minorHAnsi"/>
          <w:color w:val="000000"/>
          <w:lang w:val="cs-CZ"/>
        </w:rPr>
        <w:t>p</w:t>
      </w:r>
      <w:r>
        <w:rPr>
          <w:rFonts w:asciiTheme="minorHAnsi" w:hAnsiTheme="minorHAnsi" w:cstheme="minorHAnsi"/>
          <w:color w:val="000000"/>
          <w:lang w:val="cs-CZ"/>
        </w:rPr>
        <w:t>řílo</w:t>
      </w:r>
      <w:r w:rsidR="00F8089B">
        <w:rPr>
          <w:rFonts w:asciiTheme="minorHAnsi" w:hAnsiTheme="minorHAnsi" w:cstheme="minorHAnsi"/>
          <w:color w:val="000000"/>
          <w:lang w:val="cs-CZ"/>
        </w:rPr>
        <w:t>hách</w:t>
      </w:r>
      <w:r>
        <w:rPr>
          <w:rFonts w:asciiTheme="minorHAnsi" w:hAnsiTheme="minorHAnsi" w:cstheme="minorHAnsi"/>
          <w:color w:val="000000"/>
          <w:lang w:val="cs-CZ"/>
        </w:rPr>
        <w:t xml:space="preserve"> účetní</w:t>
      </w:r>
      <w:r w:rsidR="00F8089B">
        <w:rPr>
          <w:rFonts w:asciiTheme="minorHAnsi" w:hAnsiTheme="minorHAnsi" w:cstheme="minorHAnsi"/>
          <w:color w:val="000000"/>
          <w:lang w:val="cs-CZ"/>
        </w:rPr>
        <w:t>ch</w:t>
      </w:r>
      <w:r>
        <w:rPr>
          <w:rFonts w:asciiTheme="minorHAnsi" w:hAnsiTheme="minorHAnsi" w:cstheme="minorHAnsi"/>
          <w:color w:val="000000"/>
          <w:lang w:val="cs-CZ"/>
        </w:rPr>
        <w:t xml:space="preserve"> závěr</w:t>
      </w:r>
      <w:r w:rsidR="00F8089B">
        <w:rPr>
          <w:rFonts w:asciiTheme="minorHAnsi" w:hAnsiTheme="minorHAnsi" w:cstheme="minorHAnsi"/>
          <w:color w:val="000000"/>
          <w:lang w:val="cs-CZ"/>
        </w:rPr>
        <w:t>e</w:t>
      </w:r>
      <w:r>
        <w:rPr>
          <w:rFonts w:asciiTheme="minorHAnsi" w:hAnsiTheme="minorHAnsi" w:cstheme="minorHAnsi"/>
          <w:color w:val="000000"/>
          <w:lang w:val="cs-CZ"/>
        </w:rPr>
        <w:t>k sestaven</w:t>
      </w:r>
      <w:r w:rsidR="00F8089B">
        <w:rPr>
          <w:rFonts w:asciiTheme="minorHAnsi" w:hAnsiTheme="minorHAnsi" w:cstheme="minorHAnsi"/>
          <w:color w:val="000000"/>
          <w:lang w:val="cs-CZ"/>
        </w:rPr>
        <w:t>ých</w:t>
      </w:r>
      <w:r>
        <w:rPr>
          <w:rFonts w:asciiTheme="minorHAnsi" w:hAnsiTheme="minorHAnsi" w:cstheme="minorHAnsi"/>
          <w:color w:val="000000"/>
          <w:lang w:val="cs-CZ"/>
        </w:rPr>
        <w:t xml:space="preserve"> k 31. 12. roku 2013, 2014 a 2015</w:t>
      </w:r>
      <w:r w:rsidR="001D5514">
        <w:rPr>
          <w:rFonts w:asciiTheme="minorHAnsi" w:hAnsiTheme="minorHAnsi" w:cstheme="minorHAnsi"/>
          <w:color w:val="000000"/>
          <w:lang w:val="cs-CZ"/>
        </w:rPr>
        <w:t>, a to minimálně o částku 531 840 Kč</w:t>
      </w:r>
      <w:r>
        <w:rPr>
          <w:rFonts w:asciiTheme="minorHAnsi" w:hAnsiTheme="minorHAnsi" w:cstheme="minorHAnsi"/>
          <w:color w:val="000000"/>
          <w:lang w:val="cs-CZ"/>
        </w:rPr>
        <w:t>.</w:t>
      </w:r>
    </w:p>
    <w:p w14:paraId="0793E510" w14:textId="77777777" w:rsidR="00A0163F" w:rsidRDefault="00A0163F" w:rsidP="000F42B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4FC74438" w14:textId="77777777" w:rsidR="0066795A" w:rsidRPr="00315415" w:rsidRDefault="0066795A" w:rsidP="000F42B2">
      <w:pPr>
        <w:jc w:val="both"/>
        <w:rPr>
          <w:rFonts w:asciiTheme="minorHAnsi" w:hAnsiTheme="minorHAnsi" w:cstheme="minorHAnsi"/>
          <w:color w:val="000000"/>
          <w:u w:val="single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ND výše uvedenými postupy porušilo ustanovení § 3 odst. 1, § 4 odst. 8 a § 8 odst. 2 a odst. 3 zákona č. 563/1991 Sb. a v účetních závěrkách ve výkazech rozvaha a výkazech zisku a ztráty vykázalo nesprávné údaje.</w:t>
      </w:r>
    </w:p>
    <w:p w14:paraId="2A90F508" w14:textId="77777777" w:rsidR="00A0163F" w:rsidRDefault="00A0163F" w:rsidP="000F42B2">
      <w:pPr>
        <w:rPr>
          <w:rFonts w:asciiTheme="minorHAnsi" w:hAnsiTheme="minorHAnsi" w:cstheme="minorHAnsi"/>
          <w:color w:val="000000"/>
          <w:lang w:val="cs-CZ"/>
        </w:rPr>
      </w:pPr>
    </w:p>
    <w:p w14:paraId="161501D6" w14:textId="77777777" w:rsidR="00A0163F" w:rsidRDefault="00A0163F" w:rsidP="000F42B2">
      <w:pPr>
        <w:rPr>
          <w:rFonts w:asciiTheme="minorHAnsi" w:hAnsiTheme="minorHAnsi" w:cstheme="minorHAnsi"/>
          <w:color w:val="000000"/>
          <w:lang w:val="cs-CZ"/>
        </w:rPr>
      </w:pPr>
    </w:p>
    <w:p w14:paraId="3EF41E9F" w14:textId="77777777" w:rsidR="0066795A" w:rsidRPr="00537CAC" w:rsidRDefault="0066795A" w:rsidP="0066795A">
      <w:pPr>
        <w:spacing w:after="240"/>
        <w:rPr>
          <w:rFonts w:asciiTheme="minorHAnsi" w:hAnsiTheme="minorHAnsi" w:cstheme="minorHAnsi"/>
          <w:b/>
          <w:color w:val="000000"/>
          <w:lang w:val="cs-CZ"/>
        </w:rPr>
      </w:pPr>
      <w:r w:rsidRPr="00537CAC">
        <w:rPr>
          <w:rFonts w:asciiTheme="minorHAnsi" w:hAnsiTheme="minorHAnsi" w:cstheme="minorHAnsi"/>
          <w:b/>
          <w:color w:val="000000"/>
          <w:lang w:val="cs-CZ"/>
        </w:rPr>
        <w:t>Seznam zkratek</w:t>
      </w:r>
    </w:p>
    <w:p w14:paraId="735AE817" w14:textId="0BEC583B" w:rsidR="0066795A" w:rsidRPr="00537CAC" w:rsidRDefault="00971A47" w:rsidP="00F516F9">
      <w:pPr>
        <w:tabs>
          <w:tab w:val="left" w:pos="851"/>
        </w:tabs>
        <w:spacing w:afterLines="60" w:after="144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ČR</w:t>
      </w:r>
      <w:r>
        <w:rPr>
          <w:rFonts w:asciiTheme="minorHAnsi" w:hAnsiTheme="minorHAnsi"/>
          <w:lang w:val="cs-CZ"/>
        </w:rPr>
        <w:tab/>
      </w:r>
      <w:r w:rsidR="0066795A">
        <w:rPr>
          <w:rFonts w:asciiTheme="minorHAnsi" w:hAnsiTheme="minorHAnsi"/>
          <w:lang w:val="cs-CZ"/>
        </w:rPr>
        <w:t>Česká republika</w:t>
      </w:r>
    </w:p>
    <w:p w14:paraId="01869CF7" w14:textId="6C33AEF8" w:rsidR="0066795A" w:rsidRPr="00537CAC" w:rsidRDefault="0066795A" w:rsidP="00F516F9">
      <w:pPr>
        <w:tabs>
          <w:tab w:val="left" w:pos="851"/>
        </w:tabs>
        <w:spacing w:afterLines="60" w:after="144"/>
        <w:rPr>
          <w:rFonts w:asciiTheme="minorHAnsi" w:hAnsiTheme="minorHAnsi"/>
          <w:lang w:val="cs-CZ"/>
        </w:rPr>
      </w:pPr>
      <w:r w:rsidRPr="00537CAC">
        <w:rPr>
          <w:rFonts w:asciiTheme="minorHAnsi" w:hAnsiTheme="minorHAnsi"/>
          <w:lang w:val="cs-CZ"/>
        </w:rPr>
        <w:t>MK</w:t>
      </w:r>
      <w:r w:rsidRPr="00537CAC">
        <w:rPr>
          <w:rFonts w:asciiTheme="minorHAnsi" w:hAnsiTheme="minorHAnsi"/>
          <w:lang w:val="cs-CZ"/>
        </w:rPr>
        <w:tab/>
        <w:t>Ministerstvo kultury</w:t>
      </w:r>
    </w:p>
    <w:p w14:paraId="244064B5" w14:textId="77777777" w:rsidR="0066795A" w:rsidRPr="00537CAC" w:rsidRDefault="0066795A" w:rsidP="00F516F9">
      <w:pPr>
        <w:tabs>
          <w:tab w:val="left" w:pos="851"/>
        </w:tabs>
        <w:spacing w:afterLines="60" w:after="144"/>
        <w:rPr>
          <w:rFonts w:asciiTheme="minorHAnsi" w:hAnsiTheme="minorHAnsi"/>
          <w:lang w:val="cs-CZ"/>
        </w:rPr>
      </w:pPr>
      <w:r w:rsidRPr="00537CAC">
        <w:rPr>
          <w:rFonts w:asciiTheme="minorHAnsi" w:hAnsiTheme="minorHAnsi"/>
          <w:lang w:val="cs-CZ"/>
        </w:rPr>
        <w:t>ND</w:t>
      </w:r>
      <w:r w:rsidRPr="00537CAC">
        <w:rPr>
          <w:rFonts w:asciiTheme="minorHAnsi" w:hAnsiTheme="minorHAnsi"/>
          <w:lang w:val="cs-CZ"/>
        </w:rPr>
        <w:tab/>
        <w:t>Národní divadlo</w:t>
      </w:r>
    </w:p>
    <w:p w14:paraId="55643757" w14:textId="77777777" w:rsidR="0066795A" w:rsidRPr="00537CAC" w:rsidRDefault="0066795A" w:rsidP="00F516F9">
      <w:pPr>
        <w:tabs>
          <w:tab w:val="left" w:pos="851"/>
        </w:tabs>
        <w:spacing w:afterLines="60" w:after="144"/>
        <w:rPr>
          <w:rFonts w:asciiTheme="minorHAnsi" w:hAnsiTheme="minorHAnsi"/>
          <w:lang w:val="cs-CZ"/>
        </w:rPr>
      </w:pPr>
      <w:r w:rsidRPr="00537CAC">
        <w:rPr>
          <w:rFonts w:asciiTheme="minorHAnsi" w:hAnsiTheme="minorHAnsi"/>
          <w:lang w:val="cs-CZ"/>
        </w:rPr>
        <w:t>NKÚ</w:t>
      </w:r>
      <w:r w:rsidRPr="00537CAC">
        <w:rPr>
          <w:rFonts w:asciiTheme="minorHAnsi" w:hAnsiTheme="minorHAnsi"/>
          <w:lang w:val="cs-CZ"/>
        </w:rPr>
        <w:tab/>
        <w:t>Nejvyšší kontrolní úřad</w:t>
      </w:r>
    </w:p>
    <w:p w14:paraId="00ABE3CE" w14:textId="77777777" w:rsidR="004C1745" w:rsidRDefault="0066795A" w:rsidP="00F516F9">
      <w:pPr>
        <w:tabs>
          <w:tab w:val="left" w:pos="851"/>
        </w:tabs>
        <w:spacing w:afterLines="60" w:after="144"/>
        <w:rPr>
          <w:rFonts w:asciiTheme="minorHAnsi" w:hAnsiTheme="minorHAnsi"/>
          <w:lang w:val="cs-CZ"/>
        </w:rPr>
      </w:pPr>
      <w:r w:rsidRPr="00537CAC">
        <w:rPr>
          <w:rFonts w:asciiTheme="minorHAnsi" w:hAnsiTheme="minorHAnsi"/>
          <w:lang w:val="cs-CZ"/>
        </w:rPr>
        <w:t>SOP</w:t>
      </w:r>
      <w:r w:rsidRPr="00537CAC">
        <w:rPr>
          <w:rFonts w:asciiTheme="minorHAnsi" w:hAnsiTheme="minorHAnsi"/>
          <w:lang w:val="cs-CZ"/>
        </w:rPr>
        <w:tab/>
        <w:t>Státní opera Praha</w:t>
      </w:r>
    </w:p>
    <w:p w14:paraId="5D4F13E0" w14:textId="77777777" w:rsidR="004C1745" w:rsidRDefault="004C1745" w:rsidP="0066795A">
      <w:pPr>
        <w:spacing w:afterLines="60" w:after="144"/>
        <w:rPr>
          <w:rFonts w:asciiTheme="minorHAnsi" w:hAnsiTheme="minorHAnsi"/>
          <w:lang w:val="cs-CZ"/>
        </w:rPr>
      </w:pPr>
    </w:p>
    <w:p w14:paraId="3DBA6180" w14:textId="77777777" w:rsidR="004C1745" w:rsidRDefault="004C1745" w:rsidP="0066795A">
      <w:pPr>
        <w:spacing w:afterLines="60" w:after="144"/>
        <w:rPr>
          <w:rFonts w:asciiTheme="minorHAnsi" w:hAnsiTheme="minorHAnsi" w:cstheme="minorHAnsi"/>
          <w:color w:val="000000"/>
          <w:lang w:val="cs-CZ"/>
        </w:rPr>
        <w:sectPr w:rsidR="004C1745" w:rsidSect="002B021C">
          <w:footerReference w:type="defaul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23B4ABC" w14:textId="77777777" w:rsidR="0066795A" w:rsidRPr="00315415" w:rsidRDefault="0066795A" w:rsidP="00315415">
      <w:pPr>
        <w:spacing w:after="480"/>
        <w:jc w:val="right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lastRenderedPageBreak/>
        <w:t>Příloha č. 1</w:t>
      </w:r>
    </w:p>
    <w:p w14:paraId="27AEE2F8" w14:textId="77777777" w:rsidR="0066795A" w:rsidRPr="004C1745" w:rsidRDefault="0066795A" w:rsidP="00550ED8">
      <w:pPr>
        <w:tabs>
          <w:tab w:val="right" w:pos="9070"/>
        </w:tabs>
        <w:spacing w:after="12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4C1745">
        <w:rPr>
          <w:rFonts w:asciiTheme="minorHAnsi" w:hAnsiTheme="minorHAnsi" w:cstheme="minorHAnsi"/>
          <w:b/>
          <w:color w:val="000000"/>
          <w:lang w:val="cs-CZ"/>
        </w:rPr>
        <w:t>Vývoj nákladů a výnosů ND a SOP v letech 2010 až 2015</w:t>
      </w:r>
      <w:r w:rsidR="00315415" w:rsidRPr="004C1745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4C1745">
        <w:rPr>
          <w:rFonts w:asciiTheme="minorHAnsi" w:hAnsiTheme="minorHAnsi" w:cstheme="minorHAnsi"/>
          <w:b/>
          <w:color w:val="000000"/>
          <w:lang w:val="cs-CZ"/>
        </w:rPr>
        <w:tab/>
      </w:r>
      <w:r w:rsidR="00315415" w:rsidRPr="004C1745">
        <w:rPr>
          <w:rFonts w:asciiTheme="minorHAnsi" w:hAnsiTheme="minorHAnsi" w:cstheme="minorHAnsi"/>
          <w:b/>
          <w:color w:val="000000"/>
          <w:lang w:val="cs-CZ"/>
        </w:rPr>
        <w:t>(v Kč)</w:t>
      </w:r>
    </w:p>
    <w:tbl>
      <w:tblPr>
        <w:tblW w:w="10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1276"/>
        <w:gridCol w:w="1134"/>
        <w:gridCol w:w="1134"/>
        <w:gridCol w:w="1276"/>
        <w:gridCol w:w="1275"/>
        <w:gridCol w:w="1215"/>
      </w:tblGrid>
      <w:tr w:rsidR="0066795A" w:rsidRPr="00201441" w14:paraId="7A0BDBCF" w14:textId="77777777" w:rsidTr="00A0163F">
        <w:trPr>
          <w:trHeight w:val="30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B46014F" w14:textId="05019139" w:rsidR="0066795A" w:rsidRPr="00201441" w:rsidRDefault="0066795A" w:rsidP="00F516F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Název položky </w:t>
            </w:r>
            <w:r w:rsidR="00F516F9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v</w:t>
            </w: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ýkazu zisku a ztráty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AD1CE6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Účet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73A7E4B" w14:textId="282CFD9E" w:rsidR="0066795A" w:rsidRPr="00201441" w:rsidRDefault="00F516F9" w:rsidP="00F516F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O</w:t>
            </w:r>
            <w:r w:rsidR="0066795A"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bdobí</w:t>
            </w:r>
          </w:p>
        </w:tc>
      </w:tr>
      <w:tr w:rsidR="0066795A" w:rsidRPr="00201441" w14:paraId="71177142" w14:textId="77777777" w:rsidTr="00A0163F">
        <w:trPr>
          <w:trHeight w:val="30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3FC88DD" w14:textId="77777777" w:rsidR="0066795A" w:rsidRPr="00201441" w:rsidRDefault="0066795A" w:rsidP="00A0163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1B5914" w14:textId="77777777" w:rsidR="0066795A" w:rsidRPr="00201441" w:rsidRDefault="0066795A" w:rsidP="00A5696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6354975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54FC447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029A92B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94B9422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37EE16C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59ADCDB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2015</w:t>
            </w:r>
          </w:p>
        </w:tc>
      </w:tr>
      <w:tr w:rsidR="0066795A" w:rsidRPr="00201441" w14:paraId="3214C7CA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0D78E" w14:textId="77777777" w:rsidR="0066795A" w:rsidRPr="00201441" w:rsidRDefault="0066795A" w:rsidP="00A0163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Náklady celkem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A2FB0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44940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1 002 251 525,02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B260B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956 530 935,62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F4F55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948 211 831,47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359D4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  <w:t>1 006 916 361,59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9EDB5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  <w:t>1 021 858 363,68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134D5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  <w:t>1 048 219 074,57</w:t>
            </w:r>
          </w:p>
        </w:tc>
      </w:tr>
      <w:tr w:rsidR="0066795A" w:rsidRPr="00201441" w14:paraId="3FA34311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16653" w14:textId="77777777" w:rsidR="0066795A" w:rsidRPr="00201441" w:rsidRDefault="0066795A" w:rsidP="00A0163F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Náklady z činnosti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F651C" w14:textId="77777777" w:rsidR="0066795A" w:rsidRPr="00201441" w:rsidRDefault="0066795A" w:rsidP="00A56964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68650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996 050 052,70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B8C2B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948 853 012,29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D4E0D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943 726 059,95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808EF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1 004 280 435,85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BAC37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1 020 630 990,96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A8955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1 046 941 831,03</w:t>
            </w:r>
          </w:p>
        </w:tc>
      </w:tr>
      <w:tr w:rsidR="0066795A" w:rsidRPr="00201441" w14:paraId="5CC5951C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0BE10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Spotřeba materiálu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85251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AB37C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41 412 537,04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46F8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43 694 375,30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7022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36 636 907,09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98A66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35 020 536,21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F3FC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40 918 835,64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F5FA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45 445 772,00</w:t>
            </w:r>
          </w:p>
        </w:tc>
      </w:tr>
      <w:tr w:rsidR="0066795A" w:rsidRPr="00201441" w14:paraId="48AEB565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62E49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Spotřeba energie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A7B90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3235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44 617 246,19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0C81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43 840 082,56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9907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48 397 458,53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92610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47 158 888,91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60A0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39 054 022,10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C978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31 485 526,84</w:t>
            </w:r>
          </w:p>
        </w:tc>
      </w:tr>
      <w:tr w:rsidR="0066795A" w:rsidRPr="00201441" w14:paraId="3202DB5D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1ADDE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Prodané zboží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8171C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B519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3 982 198,70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594C0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7 880 797,54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85880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3 185 067,21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7FCA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2 794 211,53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5019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2 756 518,44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BC78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2 705 783,31</w:t>
            </w:r>
          </w:p>
        </w:tc>
      </w:tr>
      <w:tr w:rsidR="0066795A" w:rsidRPr="00201441" w14:paraId="335FA581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65DA5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Aktivace dlouhodobého majetku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35B22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BF92D" w14:textId="6575A8E1" w:rsidR="0066795A" w:rsidRPr="00201441" w:rsidRDefault="007F4628" w:rsidP="007F462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2F450" w14:textId="6DDC9D65" w:rsidR="0066795A" w:rsidRPr="00201441" w:rsidRDefault="007F4628" w:rsidP="007F462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3670D" w14:textId="438F2DD8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34 214 170,50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503DD" w14:textId="66DE7E93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30 292 187,00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1FA39" w14:textId="00AAB5B5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38 534 216,00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91460" w14:textId="30098E3D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40 046 659,00</w:t>
            </w:r>
          </w:p>
        </w:tc>
      </w:tr>
      <w:tr w:rsidR="0066795A" w:rsidRPr="00201441" w14:paraId="35BE4F5D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D1ECD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Aktivace oběžného majetku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38F9D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95EAA" w14:textId="68CD7272" w:rsidR="0066795A" w:rsidRPr="00201441" w:rsidRDefault="007F4628" w:rsidP="007F462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1776C" w14:textId="2CAC64CB" w:rsidR="0066795A" w:rsidRPr="00201441" w:rsidRDefault="007F4628" w:rsidP="007F462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F5801" w14:textId="6CA3905E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4 641 649,27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FFC2D" w14:textId="59E65112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3 946 541,25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A0DB6" w14:textId="73C1012B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3 502 369,31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CBDE9" w14:textId="4E56C276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4 638 377,20</w:t>
            </w:r>
          </w:p>
        </w:tc>
      </w:tr>
      <w:tr w:rsidR="0066795A" w:rsidRPr="00201441" w14:paraId="1B48531C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773B5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Opravy a udržování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EC731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C4D83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13 970 805,79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6629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18 492 463,08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1506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38 299 565,50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6BB4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69 110 186,87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AE17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67 543 649,83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964A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52 963 518,94</w:t>
            </w:r>
          </w:p>
        </w:tc>
      </w:tr>
      <w:tr w:rsidR="0066795A" w:rsidRPr="00201441" w14:paraId="23404E99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9223A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Cestovné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2E8BB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729B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6 137 440,49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8653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14 330 439,65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0B67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6 078 685,41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5D7B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13 788 634,20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250F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5 143 472,36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7FAE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16 089 153,53</w:t>
            </w:r>
          </w:p>
        </w:tc>
      </w:tr>
      <w:tr w:rsidR="0066795A" w:rsidRPr="00201441" w14:paraId="4CBACEDA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41AA5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Náklady na reprezentaci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F2EB2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F14C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1 330 990,02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D771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2 103 282,02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E111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1 741 973,32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326A6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1 431 526,35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EB973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1 719 663,17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D301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3 792 873,57</w:t>
            </w:r>
          </w:p>
        </w:tc>
      </w:tr>
      <w:tr w:rsidR="0066795A" w:rsidRPr="00201441" w14:paraId="4379CB78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E5BA2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Ostatní služby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E38E9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9FB10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234 771 764,06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18C66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219 978 248,73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3FB00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207 733 442,82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0EF9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188 420 669,21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43D5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216 859 150,26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2D38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221 596 061,79</w:t>
            </w:r>
          </w:p>
        </w:tc>
      </w:tr>
      <w:tr w:rsidR="0066795A" w:rsidRPr="00201441" w14:paraId="71464AB5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F83F3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Mzdové náklady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5D472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40B1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404 698 960,00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9ED2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367 916 971,00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C112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383 169 558,00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A645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421 800 720,24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8951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423 356 949,07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D006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437 647 424,00</w:t>
            </w:r>
          </w:p>
        </w:tc>
      </w:tr>
      <w:tr w:rsidR="0066795A" w:rsidRPr="00201441" w14:paraId="3DFE4639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CFE49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Zákonné sociální pojištění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40C29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3725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137 498 696,00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6276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124 158 477,00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1A1D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129 926 553,00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B44C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142 740 874,34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B11D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143 358 383,46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9174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148 091 757,86</w:t>
            </w:r>
          </w:p>
        </w:tc>
      </w:tr>
      <w:tr w:rsidR="0066795A" w:rsidRPr="00201441" w14:paraId="6AFB5290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8CD39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Jiné sociální pojištění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5FFB7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FDA90" w14:textId="77777777" w:rsidR="0066795A" w:rsidRPr="00201441" w:rsidRDefault="0066795A" w:rsidP="00A56964">
            <w:pP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079F0" w14:textId="77777777" w:rsidR="0066795A" w:rsidRPr="00201441" w:rsidRDefault="0066795A" w:rsidP="00A56964">
            <w:pP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2CBCC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1 959 583,00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1224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2 272 021,00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C0CF3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2 444 767,00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9B17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2 404 934,00</w:t>
            </w:r>
          </w:p>
        </w:tc>
      </w:tr>
      <w:tr w:rsidR="0066795A" w:rsidRPr="00201441" w14:paraId="7D849315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B6136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Zákonné sociální náklady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D3B0B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EFA7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8 466 621,00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AE55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7 962 245,62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E2DF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8 599 726,46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5A535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9 069 660,82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FCB9B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10 485 273,50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2BBA0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11 827 239,03</w:t>
            </w:r>
          </w:p>
        </w:tc>
      </w:tr>
      <w:tr w:rsidR="0066795A" w:rsidRPr="00201441" w14:paraId="3EC9FE3B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B820A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Jiné sociální náklady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8ABBF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1B0B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2 239 674,00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5B09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2 902 712,00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4E66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7CAD2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CA61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D9FD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191618CB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AF253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Daň silniční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F52A4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2140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400 815,00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81296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181 270,00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DD27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225 586,00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108F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208 080,00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283E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200 214,00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A7B3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222 689,00</w:t>
            </w:r>
          </w:p>
        </w:tc>
      </w:tr>
      <w:tr w:rsidR="0066795A" w:rsidRPr="00201441" w14:paraId="1BFBCF44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1EA8D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Daň z nemovitostí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01603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9556C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18 905,00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ECC0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90 417,00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6006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B7EA3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39 601,00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604A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39 980,00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DB23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30 970,00</w:t>
            </w:r>
          </w:p>
        </w:tc>
      </w:tr>
      <w:tr w:rsidR="0066795A" w:rsidRPr="00201441" w14:paraId="4FEC4FAE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B15E8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Jiné daně a poplatky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43395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BADD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516 778,22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94C0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476 461,17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76FF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1 892 041,64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FC12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2 941 724,00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2E92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721 843,73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8AA5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1 511 242,14</w:t>
            </w:r>
          </w:p>
        </w:tc>
      </w:tr>
      <w:tr w:rsidR="0066795A" w:rsidRPr="00201441" w14:paraId="77275CD7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9B242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Jiné pokuty a penále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864F7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65382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EA52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32 703,00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1A30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90F2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808F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BC5F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6 052 693,70</w:t>
            </w:r>
          </w:p>
        </w:tc>
      </w:tr>
      <w:tr w:rsidR="0066795A" w:rsidRPr="00201441" w14:paraId="60D14351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18D75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Dary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C83F6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F78F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16F3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504C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5E233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37B25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81243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51CA6892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0765B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Manka a škody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96B88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F1E83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338 199,58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28D30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101 205,08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F3F2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34 352,00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7B243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E730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113 102,04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0BB32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13 437,58</w:t>
            </w:r>
          </w:p>
        </w:tc>
      </w:tr>
      <w:tr w:rsidR="0066795A" w:rsidRPr="00201441" w14:paraId="17D952F3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A892C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Odpisy dlouhodobého majetku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D388C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F2B5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88 187 163,80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EE30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89 011 907,79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85A62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86 036 641,00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04F72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75 257 757,00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4AD30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75 388 750,72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5166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74 444 867,24</w:t>
            </w:r>
          </w:p>
        </w:tc>
      </w:tr>
      <w:tr w:rsidR="0066795A" w:rsidRPr="00201441" w14:paraId="62CBEA11" w14:textId="77777777" w:rsidTr="00A0163F">
        <w:trPr>
          <w:trHeight w:val="4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FEC7A" w14:textId="77777777" w:rsidR="0066795A" w:rsidRPr="00201441" w:rsidRDefault="0066795A" w:rsidP="00A0163F">
            <w:pPr>
              <w:ind w:left="109" w:firstLineChars="1" w:firstLine="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Zůstatková cena prodaného</w:t>
            </w:r>
            <w:r w:rsidR="00A0163F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dlouhodobého hmotného majetku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FC0A4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E0F8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6472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42A83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15 777,00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FB5C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DC3D3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13 898,00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E4D6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4 615,00</w:t>
            </w:r>
          </w:p>
        </w:tc>
      </w:tr>
      <w:tr w:rsidR="0066795A" w:rsidRPr="00201441" w14:paraId="5A5F0640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F67DD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Prodané pozemky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07362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7583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0C35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3071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414C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E408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E6F4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0FEACF4B" w14:textId="77777777" w:rsidTr="00A0163F">
        <w:trPr>
          <w:trHeight w:val="30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FA5FC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Tvorba a zúčtování opravných položek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F7B21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37EE0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560 285,80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721B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137 111,50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4D76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384 729,52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92CB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307 988,68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44FB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148 786,92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2783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1 285 443,48</w:t>
            </w:r>
          </w:p>
        </w:tc>
      </w:tr>
      <w:tr w:rsidR="0066795A" w:rsidRPr="00201441" w14:paraId="54D4F64B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F26A5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Náklady z odepsaných pohledávek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A5CD6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84FD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53 816,50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CAE1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433 032,10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0B72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2 144 518,25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E14C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122 744,12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FDB1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14 385,00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45E5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00353FE6" w14:textId="77777777" w:rsidTr="00A0163F">
        <w:trPr>
          <w:trHeight w:val="4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9734A" w14:textId="77777777" w:rsidR="0066795A" w:rsidRPr="00201441" w:rsidRDefault="0066795A" w:rsidP="00A0163F">
            <w:pPr>
              <w:ind w:left="109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Náklady z drobného dlouhodobého</w:t>
            </w:r>
            <w:r w:rsidR="00A0163F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majetku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8A1C4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2CBC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0302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48EC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22 521 036,51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73C9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23 069 236,94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D53D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29 282 340,37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61BC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29 748 473,29</w:t>
            </w:r>
          </w:p>
        </w:tc>
      </w:tr>
      <w:tr w:rsidR="0066795A" w:rsidRPr="00201441" w14:paraId="46C2DDF5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1056B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Ostatní náklady z činnosti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98973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AF61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6 836 155,51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FE9B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5 123 860,15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6A42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3 526 725,13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4DB6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2 963 447,68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24A85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3 096 572,95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1C86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4 259 587,93</w:t>
            </w:r>
          </w:p>
        </w:tc>
      </w:tr>
      <w:tr w:rsidR="0066795A" w:rsidRPr="00201441" w14:paraId="6DF802F8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9CA42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Finanční náklady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1200B" w14:textId="77777777" w:rsidR="0066795A" w:rsidRPr="00201441" w:rsidRDefault="0066795A" w:rsidP="00A56964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70636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6 201 472,32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612A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7 677 923,33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6134A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1 871 786,52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E56E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1 409 004,74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4AE5C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1 222 388,82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1F3F0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1 143 440,91</w:t>
            </w:r>
          </w:p>
        </w:tc>
      </w:tr>
      <w:tr w:rsidR="0066795A" w:rsidRPr="00201441" w14:paraId="39DF7381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6DA8E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Kurzové ztráty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B5A2B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F02A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444 458,45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4C09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1 208 576,32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E36F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539 812,52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FFCE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231 919,74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5C27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209 701,82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34BC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305 245,91</w:t>
            </w:r>
          </w:p>
        </w:tc>
      </w:tr>
      <w:tr w:rsidR="0066795A" w:rsidRPr="00201441" w14:paraId="46CBDCE5" w14:textId="77777777" w:rsidTr="00A0163F">
        <w:trPr>
          <w:trHeight w:val="30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EDDA6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Náklady z přecenění reálnou hodnotou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A1593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A944C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8170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8454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6978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0BF2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15D0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3E933665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60BF2" w14:textId="77777777" w:rsidR="0066795A" w:rsidRPr="00201441" w:rsidRDefault="0066795A" w:rsidP="00A0163F">
            <w:pPr>
              <w:ind w:firstLineChars="70" w:firstLine="112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Ostatní finanční náklady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4F2B8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0525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5 757 013,87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390B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6 469 347,01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4D19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1 331 974,00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A795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1 177 085,00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D910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1 012 687,00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1FA7B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838 195,00</w:t>
            </w:r>
          </w:p>
        </w:tc>
      </w:tr>
      <w:tr w:rsidR="0066795A" w:rsidRPr="00201441" w14:paraId="25B8BEA1" w14:textId="77777777" w:rsidTr="00A0163F">
        <w:trPr>
          <w:trHeight w:val="4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AA852" w14:textId="4F3D9E39" w:rsidR="0066795A" w:rsidRPr="00201441" w:rsidRDefault="0066795A" w:rsidP="00711F0C">
            <w:pPr>
              <w:ind w:left="109" w:firstLineChars="1" w:firstLine="2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Náklady na nároky na prostředky</w:t>
            </w:r>
            <w:r w:rsidR="00A0163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F516F9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s</w:t>
            </w: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tátního</w:t>
            </w:r>
            <w:r w:rsidR="004C1745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77372A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rozpočtu</w:t>
            </w:r>
            <w:r w:rsidR="00F516F9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/</w:t>
            </w:r>
            <w:r w:rsidR="00F516F9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 xml:space="preserve"> n</w:t>
            </w: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áklady ústředních rozpočtů</w:t>
            </w:r>
            <w:r w:rsidR="00A0163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na transfery</w:t>
            </w:r>
            <w:r w:rsidRPr="006F2B9D">
              <w:rPr>
                <w:rFonts w:ascii="Calibri" w:hAnsi="Calibri"/>
                <w:iCs/>
                <w:color w:val="000000"/>
                <w:sz w:val="16"/>
                <w:szCs w:val="16"/>
                <w:lang w:val="cs-CZ" w:eastAsia="cs-CZ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80D48" w14:textId="77777777" w:rsidR="0066795A" w:rsidRPr="00201441" w:rsidRDefault="0066795A" w:rsidP="00A56964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2658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E259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3FBA0" w14:textId="77777777" w:rsidR="0066795A" w:rsidRPr="00201441" w:rsidRDefault="0066795A" w:rsidP="00A56964">
            <w:pPr>
              <w:jc w:val="right"/>
              <w:rPr>
                <w:rFonts w:ascii="Calibri" w:hAnsi="Calibri"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Cs/>
                <w:color w:val="000000"/>
                <w:sz w:val="16"/>
                <w:szCs w:val="16"/>
                <w:lang w:val="cs-CZ" w:eastAsia="cs-CZ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8FBB1" w14:textId="77777777" w:rsidR="0066795A" w:rsidRPr="00201441" w:rsidRDefault="0066795A" w:rsidP="00A56964">
            <w:pPr>
              <w:jc w:val="right"/>
              <w:rPr>
                <w:rFonts w:ascii="Calibri" w:hAnsi="Calibri"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Cs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CBBF3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31C7E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0,00</w:t>
            </w:r>
          </w:p>
        </w:tc>
      </w:tr>
    </w:tbl>
    <w:p w14:paraId="3B75EA73" w14:textId="77777777" w:rsidR="00315415" w:rsidRDefault="00315415" w:rsidP="0066795A">
      <w:pPr>
        <w:spacing w:after="160" w:line="259" w:lineRule="auto"/>
        <w:rPr>
          <w:rFonts w:asciiTheme="minorHAnsi" w:hAnsiTheme="minorHAnsi" w:cstheme="minorHAnsi"/>
          <w:color w:val="000000"/>
          <w:lang w:val="cs-CZ"/>
        </w:rPr>
      </w:pPr>
    </w:p>
    <w:p w14:paraId="35B00DF4" w14:textId="77777777" w:rsidR="0066795A" w:rsidRDefault="00315415" w:rsidP="0066795A">
      <w:pPr>
        <w:spacing w:after="160" w:line="259" w:lineRule="auto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br w:type="page"/>
      </w:r>
    </w:p>
    <w:tbl>
      <w:tblPr>
        <w:tblW w:w="10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1276"/>
        <w:gridCol w:w="1134"/>
        <w:gridCol w:w="1134"/>
        <w:gridCol w:w="1276"/>
        <w:gridCol w:w="1275"/>
        <w:gridCol w:w="1215"/>
      </w:tblGrid>
      <w:tr w:rsidR="0066795A" w:rsidRPr="00201441" w14:paraId="0A4BA218" w14:textId="77777777" w:rsidTr="00A0163F">
        <w:trPr>
          <w:trHeight w:val="300"/>
          <w:jc w:val="center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3E140AC1" w14:textId="09EBC54E" w:rsidR="0066795A" w:rsidRPr="00201441" w:rsidRDefault="0066795A" w:rsidP="00F516F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lastRenderedPageBreak/>
              <w:t xml:space="preserve">Název položky </w:t>
            </w:r>
            <w:r w:rsidR="00F516F9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v</w:t>
            </w: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ýkazu zisku a ztráty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noWrap/>
            <w:vAlign w:val="center"/>
            <w:hideMark/>
          </w:tcPr>
          <w:p w14:paraId="21ED6209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Účet</w:t>
            </w:r>
          </w:p>
        </w:tc>
        <w:tc>
          <w:tcPr>
            <w:tcW w:w="7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2AD6B788" w14:textId="34FCF796" w:rsidR="0066795A" w:rsidRPr="00201441" w:rsidRDefault="00F516F9" w:rsidP="00F516F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O</w:t>
            </w:r>
            <w:r w:rsidR="0066795A"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bdobí</w:t>
            </w:r>
          </w:p>
        </w:tc>
      </w:tr>
      <w:tr w:rsidR="0066795A" w:rsidRPr="00201441" w14:paraId="064ADD8E" w14:textId="77777777" w:rsidTr="00A0163F">
        <w:trPr>
          <w:trHeight w:val="300"/>
          <w:jc w:val="center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1296235A" w14:textId="77777777" w:rsidR="0066795A" w:rsidRPr="00201441" w:rsidRDefault="0066795A" w:rsidP="00A0163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24D6E2C1" w14:textId="77777777" w:rsidR="0066795A" w:rsidRPr="00201441" w:rsidRDefault="0066795A" w:rsidP="00A5696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62C5BC49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56D522DF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49A7A37F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3F381AD9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666ADD42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1FF"/>
            <w:vAlign w:val="center"/>
            <w:hideMark/>
          </w:tcPr>
          <w:p w14:paraId="2CB7126E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2015</w:t>
            </w:r>
          </w:p>
        </w:tc>
      </w:tr>
      <w:tr w:rsidR="0066795A" w:rsidRPr="00201441" w14:paraId="3ED67056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25107" w14:textId="77777777" w:rsidR="0066795A" w:rsidRPr="00201441" w:rsidRDefault="0066795A" w:rsidP="00A0163F">
            <w:pPr>
              <w:ind w:leftChars="-1" w:left="-1" w:hanging="1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Výnosy celkem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B351D" w14:textId="77777777" w:rsidR="0066795A" w:rsidRPr="00201441" w:rsidRDefault="0066795A" w:rsidP="00A5696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15C86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990 327 196,74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74E7E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959 118 005,62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B16BE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948 211 831,47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46CD8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  <w:t>1 006 916 361,59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09FB1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  <w:t>1 021 858 363,68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B21A4" w14:textId="77777777" w:rsidR="0066795A" w:rsidRPr="00201441" w:rsidRDefault="0066795A" w:rsidP="00A56964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b/>
                <w:bCs/>
                <w:sz w:val="16"/>
                <w:szCs w:val="16"/>
                <w:lang w:val="cs-CZ" w:eastAsia="cs-CZ"/>
              </w:rPr>
              <w:t>1 048 219 074,57</w:t>
            </w:r>
          </w:p>
        </w:tc>
      </w:tr>
      <w:tr w:rsidR="0066795A" w:rsidRPr="00201441" w14:paraId="3B132F63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07254" w14:textId="77777777" w:rsidR="0066795A" w:rsidRPr="00201441" w:rsidRDefault="0066795A" w:rsidP="00A0163F">
            <w:pPr>
              <w:ind w:leftChars="-1" w:left="-1" w:hanging="1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Výnosy z činnosti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EC73F" w14:textId="77777777" w:rsidR="0066795A" w:rsidRPr="00201441" w:rsidRDefault="0066795A" w:rsidP="00A56964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EA7B5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369 223 524,96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4B347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374 541 266,73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E938B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311 456 150,20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F12C9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330 248 960,24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09A50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347 261 901,83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CBB1D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366 338 496,48</w:t>
            </w:r>
          </w:p>
        </w:tc>
      </w:tr>
      <w:tr w:rsidR="0066795A" w:rsidRPr="00201441" w14:paraId="6AF4FD9A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DB95C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prodeje služeb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CFACE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E786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237 412 546,84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D8013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277 822 356,45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73A63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270 291 763,29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7A78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292 686 066,08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1DAE6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289 750 117,31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79DFE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313 307 139,33</w:t>
            </w:r>
          </w:p>
        </w:tc>
      </w:tr>
      <w:tr w:rsidR="0066795A" w:rsidRPr="00201441" w14:paraId="35AAD822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1DF1A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pronájmu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8C07C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D3F4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21 500 504,60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20FD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31 309 712,35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58A28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17 950 666,21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21A70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20 852 452,72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D28E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26 168 111,00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72D8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26 131 429,94</w:t>
            </w:r>
          </w:p>
        </w:tc>
      </w:tr>
      <w:tr w:rsidR="0066795A" w:rsidRPr="00201441" w14:paraId="2F9B350E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25163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prodaného zboží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93649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4309C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4 726 314,90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9C35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5 577 475,53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6AA9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4 150 142,93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BCE4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4 004 957,23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56F0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4 182 059,67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2503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4 077 043,99</w:t>
            </w:r>
          </w:p>
        </w:tc>
      </w:tr>
      <w:tr w:rsidR="0066795A" w:rsidRPr="00201441" w14:paraId="5E3A4E79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F17F9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Smluvní pokuty a úroky z prodlení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7AD03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501D1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896 624,99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36B7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114 408,55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EAB72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168 417,91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3E78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159 759,14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59F2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13 524,00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759BB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115 798,93</w:t>
            </w:r>
          </w:p>
        </w:tc>
      </w:tr>
      <w:tr w:rsidR="0066795A" w:rsidRPr="00201441" w14:paraId="3A60A06C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1553D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prodeje materiálu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00AD5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C690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59DE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7DD3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E848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04C46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8 144,56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AE99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2 401,52</w:t>
            </w:r>
          </w:p>
        </w:tc>
      </w:tr>
      <w:tr w:rsidR="0066795A" w:rsidRPr="00201441" w14:paraId="2B13B759" w14:textId="77777777" w:rsidTr="00A0163F">
        <w:trPr>
          <w:trHeight w:val="4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72328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prodeje dlouhodobého</w:t>
            </w:r>
            <w:r w:rsidR="00A0163F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hmotného majetku kromě pozemků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C79CA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9266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158 432,00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420F3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326 368,20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10610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503 862,15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249F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208 721,00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D2EE6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340 630,57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D0C0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131 752,05</w:t>
            </w:r>
          </w:p>
        </w:tc>
      </w:tr>
      <w:tr w:rsidR="0066795A" w:rsidRPr="00201441" w14:paraId="42E7C0A5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D9166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prodeje pozemků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FB525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5240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42DB6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A5AA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5D4ED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64A6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16E7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56788D6A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6459E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Čerpání fondů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9A9C5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2CF92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55 056 866,00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1E82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6 232 919,26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52C3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8 059 660,05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EFFD7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3 460 065,27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9D996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16 439 465,16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D1A5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18 487 570,34</w:t>
            </w:r>
          </w:p>
        </w:tc>
      </w:tr>
      <w:tr w:rsidR="0066795A" w:rsidRPr="00201441" w14:paraId="2CA11336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6077A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Ostatní výnosy z činnosti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9C9B5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BFE4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24 792 178,15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75F6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30 900 040,80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402C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9 954 503,98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C7380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8 710 790,55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7C718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10 358 035,96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DDC80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4 061 354,04</w:t>
            </w:r>
          </w:p>
        </w:tc>
      </w:tr>
      <w:tr w:rsidR="0066795A" w:rsidRPr="00201441" w14:paraId="77E324B1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ACA12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Finanční výnosy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6EB02" w14:textId="77777777" w:rsidR="0066795A" w:rsidRPr="00201441" w:rsidRDefault="0066795A" w:rsidP="00A56964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276B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834 535,07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1B6F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1 088 328,32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4925F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745 202,19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01748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2 652 629,67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A1E05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129 092,31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E58D8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sz w:val="16"/>
                <w:szCs w:val="16"/>
                <w:lang w:val="cs-CZ" w:eastAsia="cs-CZ"/>
              </w:rPr>
              <w:t>97 800,58</w:t>
            </w:r>
          </w:p>
        </w:tc>
      </w:tr>
      <w:tr w:rsidR="0066795A" w:rsidRPr="00201441" w14:paraId="0D8A48F9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38C6A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Úroky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EB0ED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63596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42 916,75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28BE4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77 172,06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D96D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117 918,37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0E7C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65 165,95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7F10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26 151,74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603B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14 504,66</w:t>
            </w:r>
          </w:p>
        </w:tc>
      </w:tr>
      <w:tr w:rsidR="0066795A" w:rsidRPr="00201441" w14:paraId="7F724C87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E2DBC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Kurzové zisky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D3E64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F6BE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139 962,10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B5422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462 811,51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786AC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176 944,36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66B0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1 016 462,05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4867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102 940,57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67EF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83 295,92</w:t>
            </w:r>
          </w:p>
        </w:tc>
      </w:tr>
      <w:tr w:rsidR="0066795A" w:rsidRPr="00201441" w14:paraId="40ADB3F1" w14:textId="77777777" w:rsidTr="00A0163F">
        <w:trPr>
          <w:trHeight w:val="30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EE614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přecenění reálnou hodnotou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D8408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ED68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A19D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F4565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6152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71EE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8C58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36BAEBE2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CF95E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Ostatní finanční výnosy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77CAA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666B8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651 674,55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F55F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548 326,42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1DC9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450 339,46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97052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1 571 001,67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6A1E1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CEF0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  <w:tr w:rsidR="0066795A" w:rsidRPr="00201441" w14:paraId="00C36208" w14:textId="77777777" w:rsidTr="00A0163F">
        <w:trPr>
          <w:trHeight w:val="67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81F1C" w14:textId="588BA224" w:rsidR="0066795A" w:rsidRPr="00201441" w:rsidRDefault="0066795A" w:rsidP="0077372A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Výnosy z nároků na prostředky</w:t>
            </w:r>
            <w:r w:rsidR="00A0163F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státního</w:t>
            </w:r>
            <w:r w:rsidR="0077372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rozpočtu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/</w:t>
            </w:r>
            <w:r w:rsidR="00F516F9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ýnosy ústředních rozpočtů</w:t>
            </w:r>
            <w:r w:rsidR="00A0163F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z</w:t>
            </w:r>
            <w:r w:rsidR="00A0163F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transferů**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E3F20" w14:textId="77777777" w:rsidR="0066795A" w:rsidRPr="00201441" w:rsidRDefault="0066795A" w:rsidP="00A56964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8932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616 449 610,00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31C68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583 488 410,57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5B3A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636 010 479,08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AAAEC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674 014 771,68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BE69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674 467 369,54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B0ECB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681 782 777,51</w:t>
            </w:r>
          </w:p>
        </w:tc>
      </w:tr>
      <w:tr w:rsidR="0066795A" w:rsidRPr="00201441" w14:paraId="7578E857" w14:textId="77777777" w:rsidTr="00A0163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4900A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Výsledek hospodaření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6C63E" w14:textId="77777777" w:rsidR="0066795A" w:rsidRPr="00201441" w:rsidRDefault="0066795A" w:rsidP="00A56964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0326F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B942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089F8" w14:textId="77777777" w:rsidR="0066795A" w:rsidRPr="00201441" w:rsidRDefault="0066795A" w:rsidP="00A56964">
            <w:pPr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9C017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B19C2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7F46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66795A" w:rsidRPr="00201441" w14:paraId="47AC3855" w14:textId="77777777" w:rsidTr="00A0163F">
        <w:trPr>
          <w:trHeight w:val="30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63D47" w14:textId="77777777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Výsledek hospodaření před zdaněním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9A761" w14:textId="7FD81B29" w:rsidR="0066795A" w:rsidRPr="00201441" w:rsidRDefault="007F4628" w:rsidP="007F462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7253B" w14:textId="2096FD2A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11 924 328,28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C1EF9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2 587 070,00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D2ECA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2 613 985,00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8F0CC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1 226 921,00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A8DCA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4 983,90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E4364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133 802,63</w:t>
            </w:r>
          </w:p>
        </w:tc>
      </w:tr>
      <w:tr w:rsidR="0066795A" w:rsidRPr="00201441" w14:paraId="736F3069" w14:textId="77777777" w:rsidTr="00A0163F">
        <w:trPr>
          <w:trHeight w:val="44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9E906" w14:textId="6DC26E21" w:rsidR="0066795A" w:rsidRPr="00201441" w:rsidRDefault="0066795A" w:rsidP="00A0163F">
            <w:pPr>
              <w:ind w:leftChars="45" w:left="109" w:hanging="1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Výsledek hospodaření po zdanění</w:t>
            </w:r>
            <w:r w:rsidR="00F516F9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/</w:t>
            </w:r>
            <w:r w:rsidR="00F516F9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77372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 xml:space="preserve">výsledek hospodaření </w:t>
            </w: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běžného účetního období***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D6457" w14:textId="5B7B051B" w:rsidR="0066795A" w:rsidRPr="00201441" w:rsidRDefault="007F4628" w:rsidP="007F462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F63A6" w14:textId="197FB647" w:rsidR="0066795A" w:rsidRPr="00201441" w:rsidRDefault="007F4628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−</w:t>
            </w:r>
            <w:r w:rsidR="0066795A"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13 530 109,28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ED5DD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F2ABE" w14:textId="77777777" w:rsidR="0066795A" w:rsidRPr="00201441" w:rsidRDefault="0066795A" w:rsidP="00A5696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7A259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C1CAF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50BB6" w14:textId="77777777" w:rsidR="0066795A" w:rsidRPr="00201441" w:rsidRDefault="0066795A" w:rsidP="00A56964">
            <w:pPr>
              <w:jc w:val="right"/>
              <w:rPr>
                <w:rFonts w:ascii="Calibri" w:hAnsi="Calibri"/>
                <w:sz w:val="16"/>
                <w:szCs w:val="16"/>
                <w:lang w:val="cs-CZ" w:eastAsia="cs-CZ"/>
              </w:rPr>
            </w:pPr>
            <w:r w:rsidRPr="00201441">
              <w:rPr>
                <w:rFonts w:ascii="Calibri" w:hAnsi="Calibri"/>
                <w:sz w:val="16"/>
                <w:szCs w:val="16"/>
                <w:lang w:val="cs-CZ" w:eastAsia="cs-CZ"/>
              </w:rPr>
              <w:t>0,00</w:t>
            </w:r>
          </w:p>
        </w:tc>
      </w:tr>
    </w:tbl>
    <w:p w14:paraId="0BA1308C" w14:textId="344F343F" w:rsidR="0066795A" w:rsidRPr="002550DF" w:rsidRDefault="0066795A" w:rsidP="00A0163F">
      <w:pPr>
        <w:pStyle w:val="Odstavecseseznamem"/>
        <w:autoSpaceDE w:val="0"/>
        <w:autoSpaceDN w:val="0"/>
        <w:adjustRightInd w:val="0"/>
        <w:spacing w:before="40"/>
        <w:ind w:left="567" w:hanging="567"/>
        <w:contextualSpacing w:val="0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2550DF">
        <w:rPr>
          <w:rFonts w:asciiTheme="minorHAnsi" w:hAnsiTheme="minorHAnsi" w:cstheme="minorHAnsi"/>
          <w:b/>
          <w:sz w:val="20"/>
          <w:szCs w:val="20"/>
          <w:lang w:val="cs-CZ"/>
        </w:rPr>
        <w:t>Zdroj:</w:t>
      </w:r>
      <w:r w:rsidR="00FF6BF1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="00F516F9" w:rsidRPr="002550DF">
        <w:rPr>
          <w:rFonts w:asciiTheme="minorHAnsi" w:hAnsiTheme="minorHAnsi" w:cstheme="minorHAnsi"/>
          <w:bCs/>
          <w:sz w:val="20"/>
          <w:szCs w:val="20"/>
          <w:lang w:val="cs-CZ"/>
        </w:rPr>
        <w:t>v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>ýkaz</w:t>
      </w:r>
      <w:r w:rsidR="00F516F9" w:rsidRPr="002550DF">
        <w:rPr>
          <w:rFonts w:asciiTheme="minorHAnsi" w:hAnsiTheme="minorHAnsi" w:cstheme="minorHAnsi"/>
          <w:bCs/>
          <w:sz w:val="20"/>
          <w:szCs w:val="20"/>
          <w:lang w:val="cs-CZ"/>
        </w:rPr>
        <w:t>y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zisku a ztráty SOP sestaven</w:t>
      </w:r>
      <w:r w:rsidR="00F516F9" w:rsidRPr="002550DF">
        <w:rPr>
          <w:rFonts w:asciiTheme="minorHAnsi" w:hAnsiTheme="minorHAnsi" w:cstheme="minorHAnsi"/>
          <w:bCs/>
          <w:sz w:val="20"/>
          <w:szCs w:val="20"/>
          <w:lang w:val="cs-CZ"/>
        </w:rPr>
        <w:t>é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k 31. 12. 2010 za účetní období od 1. 1. 2010 do 31. 12. 2010 a</w:t>
      </w:r>
      <w:r w:rsidR="002550DF">
        <w:rPr>
          <w:rFonts w:asciiTheme="minorHAnsi" w:hAnsiTheme="minorHAnsi" w:cstheme="minorHAnsi"/>
          <w:bCs/>
          <w:sz w:val="20"/>
          <w:szCs w:val="20"/>
          <w:lang w:val="cs-CZ"/>
        </w:rPr>
        <w:t> 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k 31. 12. 2011 za účetní období od 1. 1. 2011 do 31. 12. 2011; </w:t>
      </w:r>
      <w:r w:rsidR="00F516F9" w:rsidRPr="002550DF">
        <w:rPr>
          <w:rFonts w:asciiTheme="minorHAnsi" w:hAnsiTheme="minorHAnsi" w:cstheme="minorHAnsi"/>
          <w:bCs/>
          <w:sz w:val="20"/>
          <w:szCs w:val="20"/>
          <w:lang w:val="cs-CZ"/>
        </w:rPr>
        <w:t>v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>ýkaz</w:t>
      </w:r>
      <w:r w:rsidR="00F516F9" w:rsidRPr="002550DF">
        <w:rPr>
          <w:rFonts w:asciiTheme="minorHAnsi" w:hAnsiTheme="minorHAnsi" w:cstheme="minorHAnsi"/>
          <w:bCs/>
          <w:sz w:val="20"/>
          <w:szCs w:val="20"/>
          <w:lang w:val="cs-CZ"/>
        </w:rPr>
        <w:t>y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zisku a ztráty ND sestaven</w:t>
      </w:r>
      <w:r w:rsidR="00F516F9" w:rsidRPr="002550DF">
        <w:rPr>
          <w:rFonts w:asciiTheme="minorHAnsi" w:hAnsiTheme="minorHAnsi" w:cstheme="minorHAnsi"/>
          <w:bCs/>
          <w:sz w:val="20"/>
          <w:szCs w:val="20"/>
          <w:lang w:val="cs-CZ"/>
        </w:rPr>
        <w:t>é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k 31. 12. 2010 za účetní období od 1. 1. 2010 do 31. 12. 2010, k 31. 12. 2011 za účetní období od 1. 1. 2011 do 31. 12. 2011, k 31. 12. 2012 za účetní období od 1. 1. 2012 do 31. 12. 2012, k 31. 12</w:t>
      </w:r>
      <w:r w:rsidR="0077372A" w:rsidRPr="002550DF">
        <w:rPr>
          <w:rFonts w:asciiTheme="minorHAnsi" w:hAnsiTheme="minorHAnsi" w:cstheme="minorHAnsi"/>
          <w:bCs/>
          <w:sz w:val="20"/>
          <w:szCs w:val="20"/>
          <w:lang w:val="cs-CZ"/>
        </w:rPr>
        <w:t>.</w:t>
      </w:r>
      <w:r w:rsidRPr="002550DF">
        <w:rPr>
          <w:rFonts w:asciiTheme="minorHAnsi" w:hAnsiTheme="minorHAnsi" w:cstheme="minorHAnsi"/>
          <w:bCs/>
          <w:sz w:val="20"/>
          <w:szCs w:val="20"/>
          <w:lang w:val="cs-CZ"/>
        </w:rPr>
        <w:t> 2013 za účetní období od 1. 1. 2013 do 31. 12. 2013, k 31. 12. 2014 za účetní období od 1. 1. 2014 do 31. 12. 2014, k 31. 12. 2015 za účetní období od 1. 1. 2015 do 31. 12. 2015.</w:t>
      </w:r>
    </w:p>
    <w:p w14:paraId="1BC4419A" w14:textId="77777777" w:rsidR="002550DF" w:rsidRPr="005C6625" w:rsidRDefault="002550DF" w:rsidP="00FF6BF1">
      <w:pPr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5C6625">
        <w:rPr>
          <w:rFonts w:asciiTheme="minorHAnsi" w:hAnsiTheme="minorHAnsi" w:cstheme="minorHAnsi"/>
          <w:sz w:val="20"/>
          <w:szCs w:val="20"/>
          <w:lang w:val="cs-CZ"/>
        </w:rPr>
        <w:t>*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C6625">
        <w:rPr>
          <w:rFonts w:asciiTheme="minorHAnsi" w:hAnsiTheme="minorHAnsi" w:cstheme="minorHAnsi"/>
          <w:sz w:val="20"/>
          <w:szCs w:val="20"/>
          <w:lang w:val="cs-CZ"/>
        </w:rPr>
        <w:t xml:space="preserve">Název účtu 571 se ve sledovaném období měnil. Od roku 2012 je jeho název </w:t>
      </w:r>
      <w:r w:rsidRPr="005C6625">
        <w:rPr>
          <w:rFonts w:asciiTheme="minorHAnsi" w:hAnsiTheme="minorHAnsi" w:cstheme="minorHAnsi"/>
          <w:i/>
          <w:sz w:val="20"/>
          <w:szCs w:val="20"/>
          <w:lang w:val="cs-CZ"/>
        </w:rPr>
        <w:t>„Náklady vybraných ústředních vládních institucí na transfery“</w:t>
      </w:r>
      <w:r w:rsidRPr="005C6625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5315628C" w14:textId="77777777" w:rsidR="002550DF" w:rsidRPr="005C6625" w:rsidRDefault="002550DF" w:rsidP="00FF6BF1">
      <w:pPr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**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C6625">
        <w:rPr>
          <w:rFonts w:asciiTheme="minorHAnsi" w:hAnsiTheme="minorHAnsi" w:cstheme="minorHAnsi"/>
          <w:sz w:val="20"/>
          <w:szCs w:val="20"/>
          <w:lang w:val="cs-CZ"/>
        </w:rPr>
        <w:t xml:space="preserve">Název účtu 671 se ve sledovaném období měnil. Od roku 2012 je jeho název </w:t>
      </w:r>
      <w:r w:rsidRPr="005C6625">
        <w:rPr>
          <w:rFonts w:asciiTheme="minorHAnsi" w:hAnsiTheme="minorHAnsi" w:cstheme="minorHAnsi"/>
          <w:i/>
          <w:sz w:val="20"/>
          <w:szCs w:val="20"/>
          <w:lang w:val="cs-CZ"/>
        </w:rPr>
        <w:t>„Výnosy vybraných ústředních vládních institucí z transferů“</w:t>
      </w:r>
      <w:r w:rsidRPr="005C6625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41D01CD6" w14:textId="76727823" w:rsidR="0066795A" w:rsidRDefault="002550DF" w:rsidP="00FF6BF1">
      <w:pPr>
        <w:ind w:left="426" w:hanging="426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***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C6625">
        <w:rPr>
          <w:rFonts w:asciiTheme="minorHAnsi" w:hAnsiTheme="minorHAnsi" w:cstheme="minorHAnsi"/>
          <w:sz w:val="20"/>
          <w:szCs w:val="20"/>
          <w:lang w:val="cs-CZ"/>
        </w:rPr>
        <w:t xml:space="preserve">Od roku 2012 je název položky </w:t>
      </w:r>
      <w:r w:rsidRPr="005C6625">
        <w:rPr>
          <w:rFonts w:asciiTheme="minorHAnsi" w:hAnsiTheme="minorHAnsi" w:cstheme="minorHAnsi"/>
          <w:i/>
          <w:sz w:val="20"/>
          <w:szCs w:val="20"/>
          <w:lang w:val="cs-CZ"/>
        </w:rPr>
        <w:t>„Výsledek hospodaření běžného účetního období“</w:t>
      </w:r>
      <w:r w:rsidRPr="005C6625">
        <w:rPr>
          <w:rFonts w:asciiTheme="minorHAnsi" w:hAnsiTheme="minorHAnsi" w:cstheme="minorHAnsi"/>
          <w:sz w:val="20"/>
          <w:szCs w:val="20"/>
          <w:lang w:val="cs-CZ"/>
        </w:rPr>
        <w:t>.</w:t>
      </w:r>
    </w:p>
    <w:sectPr w:rsidR="0066795A" w:rsidSect="007671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0C00D" w14:textId="77777777" w:rsidR="00767193" w:rsidRDefault="00767193" w:rsidP="0066795A">
      <w:r>
        <w:separator/>
      </w:r>
    </w:p>
  </w:endnote>
  <w:endnote w:type="continuationSeparator" w:id="0">
    <w:p w14:paraId="7EB26C66" w14:textId="77777777" w:rsidR="00767193" w:rsidRDefault="00767193" w:rsidP="006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377B8" w14:textId="77777777" w:rsidR="00767193" w:rsidRPr="000546D5" w:rsidRDefault="00767193" w:rsidP="00A56964">
    <w:pPr>
      <w:pStyle w:val="Zpat"/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AE72B7">
      <w:rPr>
        <w:rFonts w:ascii="Calibri" w:hAnsi="Calibri" w:cs="Calibri"/>
        <w:noProof/>
      </w:rPr>
      <w:t>11</w:t>
    </w:r>
    <w:r w:rsidRPr="000546D5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4BF0C" w14:textId="77777777" w:rsidR="00767193" w:rsidRDefault="00767193" w:rsidP="0066795A">
      <w:r>
        <w:separator/>
      </w:r>
    </w:p>
  </w:footnote>
  <w:footnote w:type="continuationSeparator" w:id="0">
    <w:p w14:paraId="1E9D135F" w14:textId="77777777" w:rsidR="00767193" w:rsidRDefault="00767193" w:rsidP="0066795A">
      <w:r>
        <w:continuationSeparator/>
      </w:r>
    </w:p>
  </w:footnote>
  <w:footnote w:id="1">
    <w:p w14:paraId="6C042B4E" w14:textId="017A2DAF" w:rsidR="00767193" w:rsidRPr="005B6AFA" w:rsidRDefault="00767193" w:rsidP="005B6AFA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5B6AFA">
        <w:rPr>
          <w:rStyle w:val="Znakapoznpodarou"/>
          <w:rFonts w:ascii="Calibri" w:hAnsi="Calibri" w:cs="Calibri"/>
        </w:rPr>
        <w:footnoteRef/>
      </w:r>
      <w:r w:rsidRPr="005B6A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5B6AFA">
        <w:rPr>
          <w:rFonts w:ascii="Calibri" w:hAnsi="Calibri" w:cs="Calibri"/>
          <w:lang w:val="cs-CZ"/>
        </w:rPr>
        <w:t xml:space="preserve">Zdroj: Ministerstvo kultury: </w:t>
      </w:r>
      <w:r w:rsidRPr="005B6AFA">
        <w:rPr>
          <w:rFonts w:ascii="Calibri" w:hAnsi="Calibri" w:cs="Calibri"/>
          <w:i/>
          <w:lang w:val="cs-CZ"/>
        </w:rPr>
        <w:t>Koncepce transformace státních příspěvkových organizací Státní opera Praha a Národní divadlo</w:t>
      </w:r>
      <w:r w:rsidRPr="005B6AFA">
        <w:rPr>
          <w:rFonts w:ascii="Calibri" w:hAnsi="Calibri" w:cs="Calibri"/>
          <w:lang w:val="cs-CZ"/>
        </w:rPr>
        <w:t xml:space="preserve">, viz </w:t>
      </w:r>
      <w:hyperlink r:id="rId1" w:history="1">
        <w:r w:rsidRPr="005B6AFA">
          <w:rPr>
            <w:rStyle w:val="Hypertextovodkaz"/>
            <w:rFonts w:ascii="Calibri" w:hAnsi="Calibri" w:cs="Calibri"/>
            <w:lang w:val="cs-CZ"/>
          </w:rPr>
          <w:t>http://www.proculture.cz/cultureinfo/kulturni-politika-v-cr/mkcr-kroky-slouceni-narodniho-divadla-a-statni-opery-do-roku-2014-2851.html</w:t>
        </w:r>
      </w:hyperlink>
      <w:r w:rsidRPr="005B6AFA">
        <w:rPr>
          <w:rFonts w:ascii="Calibri" w:hAnsi="Calibri" w:cs="Calibri"/>
          <w:lang w:val="cs-CZ"/>
        </w:rPr>
        <w:t>.</w:t>
      </w:r>
    </w:p>
  </w:footnote>
  <w:footnote w:id="2">
    <w:p w14:paraId="5BD74E54" w14:textId="51FA24DB" w:rsidR="00767193" w:rsidRPr="000F42B2" w:rsidRDefault="00767193" w:rsidP="000F42B2">
      <w:pPr>
        <w:pStyle w:val="Textpoznpodarou"/>
        <w:ind w:left="284" w:hanging="284"/>
        <w:jc w:val="both"/>
        <w:rPr>
          <w:rFonts w:ascii="Calibri" w:hAnsi="Calibri" w:cs="Calibri"/>
          <w:lang w:val="cs-CZ"/>
        </w:rPr>
      </w:pPr>
      <w:r w:rsidRPr="000F42B2">
        <w:rPr>
          <w:rStyle w:val="Znakapoznpodarou"/>
          <w:rFonts w:ascii="Calibri" w:hAnsi="Calibri" w:cs="Calibri"/>
        </w:rPr>
        <w:footnoteRef/>
      </w:r>
      <w:r w:rsidRPr="000F42B2">
        <w:rPr>
          <w:rFonts w:ascii="Calibri" w:hAnsi="Calibri" w:cs="Calibri"/>
          <w:lang w:val="cs-CZ"/>
        </w:rPr>
        <w:t xml:space="preserve"> </w:t>
      </w:r>
      <w:r w:rsidRPr="000F42B2">
        <w:rPr>
          <w:rFonts w:ascii="Calibri" w:hAnsi="Calibri" w:cs="Calibri"/>
          <w:lang w:val="cs-CZ"/>
        </w:rPr>
        <w:tab/>
      </w:r>
      <w:r w:rsidRPr="000F42B2">
        <w:rPr>
          <w:rFonts w:ascii="Calibri" w:hAnsi="Calibri" w:cs="Calibri"/>
          <w:spacing w:val="-2"/>
          <w:lang w:val="cs-CZ"/>
        </w:rPr>
        <w:t>Zákon č. 219/2000 Sb., o majetku České republiky a jejím vystupování v právních vztazích.</w:t>
      </w:r>
    </w:p>
  </w:footnote>
  <w:footnote w:id="3">
    <w:p w14:paraId="0ACF53B2" w14:textId="609FCD0A" w:rsidR="00767193" w:rsidRPr="005B6AFA" w:rsidRDefault="00767193" w:rsidP="005B6AFA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5B6AFA">
        <w:rPr>
          <w:rStyle w:val="Znakapoznpodarou"/>
          <w:rFonts w:ascii="Calibri" w:hAnsi="Calibri" w:cs="Calibri"/>
        </w:rPr>
        <w:footnoteRef/>
      </w:r>
      <w:r w:rsidRPr="005B6A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5B6AFA">
        <w:rPr>
          <w:rFonts w:ascii="Calibri" w:hAnsi="Calibri" w:cs="Calibri"/>
          <w:lang w:val="cs-CZ"/>
        </w:rPr>
        <w:t>Viz pozn. pod čarou č. 1.</w:t>
      </w:r>
    </w:p>
  </w:footnote>
  <w:footnote w:id="4">
    <w:p w14:paraId="6DE4C767" w14:textId="0464CCD0" w:rsidR="00767193" w:rsidRPr="00673312" w:rsidRDefault="00767193" w:rsidP="00673312">
      <w:pPr>
        <w:pStyle w:val="Textpoznpodarou"/>
        <w:ind w:left="284" w:hanging="284"/>
        <w:rPr>
          <w:rFonts w:asciiTheme="minorHAnsi" w:hAnsiTheme="minorHAnsi"/>
          <w:lang w:val="cs-CZ"/>
        </w:rPr>
      </w:pPr>
      <w:r w:rsidRPr="00673312">
        <w:rPr>
          <w:rStyle w:val="Znakapoznpodarou"/>
          <w:rFonts w:asciiTheme="minorHAnsi" w:hAnsiTheme="minorHAnsi"/>
        </w:rPr>
        <w:footnoteRef/>
      </w:r>
      <w:r w:rsidRPr="0067331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ab/>
      </w:r>
      <w:r w:rsidRPr="00673312">
        <w:rPr>
          <w:rFonts w:asciiTheme="minorHAnsi" w:hAnsiTheme="minorHAnsi"/>
          <w:lang w:val="cs-CZ"/>
        </w:rPr>
        <w:t>Zákon č. 563/1991 Sb., o účetnictví.</w:t>
      </w:r>
    </w:p>
  </w:footnote>
  <w:footnote w:id="5">
    <w:p w14:paraId="233CA497" w14:textId="428C4A7C" w:rsidR="00767193" w:rsidRPr="001D5D42" w:rsidRDefault="00767193" w:rsidP="00FF6BF1">
      <w:pPr>
        <w:pStyle w:val="Textpoznpodarou"/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1D5D42">
        <w:rPr>
          <w:rStyle w:val="Znakapoznpodarou"/>
          <w:rFonts w:ascii="Calibri" w:hAnsi="Calibri" w:cs="Calibri"/>
        </w:rPr>
        <w:footnoteRef/>
      </w:r>
      <w:r w:rsidRPr="001D5D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-2"/>
          <w:lang w:val="cs-CZ"/>
        </w:rPr>
        <w:t>Zákon č. 218</w:t>
      </w:r>
      <w:r w:rsidRPr="000F42B2">
        <w:rPr>
          <w:rFonts w:ascii="Calibri" w:hAnsi="Calibri" w:cs="Calibri"/>
          <w:spacing w:val="-2"/>
          <w:lang w:val="cs-CZ"/>
        </w:rPr>
        <w:t xml:space="preserve">/2000 Sb., o </w:t>
      </w:r>
      <w:r>
        <w:rPr>
          <w:rFonts w:ascii="Calibri" w:hAnsi="Calibri" w:cs="Calibri"/>
          <w:spacing w:val="-2"/>
          <w:lang w:val="cs-CZ"/>
        </w:rPr>
        <w:t>r</w:t>
      </w:r>
      <w:r w:rsidRPr="001D5D42">
        <w:rPr>
          <w:rFonts w:ascii="Calibri" w:hAnsi="Calibri" w:cs="Calibri"/>
          <w:spacing w:val="-2"/>
          <w:lang w:val="cs-CZ"/>
        </w:rPr>
        <w:t>ozpočtových pravidlech a o změně některých souvisejících zákonů</w:t>
      </w:r>
      <w:r>
        <w:rPr>
          <w:rFonts w:ascii="Calibri" w:hAnsi="Calibri" w:cs="Calibri"/>
          <w:spacing w:val="-2"/>
          <w:lang w:val="cs-CZ"/>
        </w:rPr>
        <w:t xml:space="preserve"> </w:t>
      </w:r>
      <w:r w:rsidRPr="001D5D42">
        <w:rPr>
          <w:rFonts w:ascii="Calibri" w:hAnsi="Calibri" w:cs="Calibri"/>
          <w:spacing w:val="-2"/>
          <w:lang w:val="cs-CZ"/>
        </w:rPr>
        <w:t>(rozpočtová pravidla)</w:t>
      </w:r>
      <w:r w:rsidRPr="000F42B2">
        <w:rPr>
          <w:rFonts w:ascii="Calibri" w:hAnsi="Calibri" w:cs="Calibri"/>
          <w:spacing w:val="-2"/>
          <w:lang w:val="cs-CZ"/>
        </w:rPr>
        <w:t>.</w:t>
      </w:r>
    </w:p>
  </w:footnote>
  <w:footnote w:id="6">
    <w:p w14:paraId="7CC2A0EB" w14:textId="77777777" w:rsidR="00767193" w:rsidRPr="00673312" w:rsidRDefault="00767193" w:rsidP="00FF6BF1">
      <w:pPr>
        <w:pStyle w:val="Textpoznpodarou"/>
        <w:ind w:left="284" w:hanging="284"/>
        <w:jc w:val="both"/>
        <w:rPr>
          <w:rFonts w:asciiTheme="minorHAnsi" w:hAnsiTheme="minorHAnsi"/>
          <w:lang w:val="cs-CZ"/>
        </w:rPr>
      </w:pPr>
      <w:r w:rsidRPr="00673312">
        <w:rPr>
          <w:rStyle w:val="Znakapoznpodarou"/>
          <w:rFonts w:asciiTheme="minorHAnsi" w:hAnsiTheme="minorHAnsi"/>
        </w:rPr>
        <w:footnoteRef/>
      </w:r>
      <w:r w:rsidRPr="0067331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ab/>
      </w:r>
      <w:r w:rsidRPr="00673312">
        <w:rPr>
          <w:rFonts w:asciiTheme="minorHAnsi" w:hAnsiTheme="minorHAnsi"/>
          <w:lang w:val="cs-CZ"/>
        </w:rPr>
        <w:t>Vyhláška č. 410/2009 Sb., kterou se provádějí některá ustanovení zákona č. 563/1991 Sb., o účetnictví, ve znění pozdějších předpisů, pro některé vybrané účetní jednotky.</w:t>
      </w:r>
    </w:p>
  </w:footnote>
  <w:footnote w:id="7">
    <w:p w14:paraId="51A443CB" w14:textId="77777777" w:rsidR="00767193" w:rsidRPr="00673312" w:rsidRDefault="00767193" w:rsidP="00673312">
      <w:pPr>
        <w:pStyle w:val="Textpoznpodarou"/>
        <w:ind w:left="284" w:hanging="284"/>
        <w:rPr>
          <w:rFonts w:asciiTheme="minorHAnsi" w:hAnsiTheme="minorHAnsi"/>
          <w:lang w:val="cs-CZ"/>
        </w:rPr>
      </w:pPr>
      <w:r w:rsidRPr="00673312">
        <w:rPr>
          <w:rStyle w:val="Znakapoznpodarou"/>
          <w:rFonts w:asciiTheme="minorHAnsi" w:hAnsiTheme="minorHAnsi"/>
          <w:lang w:val="cs-CZ"/>
        </w:rPr>
        <w:footnoteRef/>
      </w:r>
      <w:r w:rsidRPr="0067331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ab/>
      </w:r>
      <w:r w:rsidRPr="00673312">
        <w:rPr>
          <w:rFonts w:asciiTheme="minorHAnsi" w:hAnsiTheme="minorHAnsi"/>
          <w:lang w:val="cs-CZ"/>
        </w:rPr>
        <w:t>Zákon č. 262/2006 Sb., zákoník práce.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ADA"/>
    <w:multiLevelType w:val="hybridMultilevel"/>
    <w:tmpl w:val="833E3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568"/>
    <w:multiLevelType w:val="hybridMultilevel"/>
    <w:tmpl w:val="71DED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20E4"/>
    <w:multiLevelType w:val="hybridMultilevel"/>
    <w:tmpl w:val="5F78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38D8"/>
    <w:multiLevelType w:val="hybridMultilevel"/>
    <w:tmpl w:val="F4D8B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34C1"/>
    <w:multiLevelType w:val="hybridMultilevel"/>
    <w:tmpl w:val="34C4C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E7654"/>
    <w:multiLevelType w:val="hybridMultilevel"/>
    <w:tmpl w:val="C7BC0AFA"/>
    <w:lvl w:ilvl="0" w:tplc="EF705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E0A60" w:tentative="1">
      <w:start w:val="1"/>
      <w:numFmt w:val="lowerLetter"/>
      <w:lvlText w:val="%2."/>
      <w:lvlJc w:val="left"/>
      <w:pPr>
        <w:ind w:left="1440" w:hanging="360"/>
      </w:pPr>
    </w:lvl>
    <w:lvl w:ilvl="2" w:tplc="45AEB82E" w:tentative="1">
      <w:start w:val="1"/>
      <w:numFmt w:val="lowerRoman"/>
      <w:lvlText w:val="%3."/>
      <w:lvlJc w:val="right"/>
      <w:pPr>
        <w:ind w:left="2160" w:hanging="180"/>
      </w:pPr>
    </w:lvl>
    <w:lvl w:ilvl="3" w:tplc="36E8DB4C" w:tentative="1">
      <w:start w:val="1"/>
      <w:numFmt w:val="decimal"/>
      <w:lvlText w:val="%4."/>
      <w:lvlJc w:val="left"/>
      <w:pPr>
        <w:ind w:left="2880" w:hanging="360"/>
      </w:pPr>
    </w:lvl>
    <w:lvl w:ilvl="4" w:tplc="7BBEA88A" w:tentative="1">
      <w:start w:val="1"/>
      <w:numFmt w:val="lowerLetter"/>
      <w:lvlText w:val="%5."/>
      <w:lvlJc w:val="left"/>
      <w:pPr>
        <w:ind w:left="3600" w:hanging="360"/>
      </w:pPr>
    </w:lvl>
    <w:lvl w:ilvl="5" w:tplc="63FAE258" w:tentative="1">
      <w:start w:val="1"/>
      <w:numFmt w:val="lowerRoman"/>
      <w:lvlText w:val="%6."/>
      <w:lvlJc w:val="right"/>
      <w:pPr>
        <w:ind w:left="4320" w:hanging="180"/>
      </w:pPr>
    </w:lvl>
    <w:lvl w:ilvl="6" w:tplc="F36617EC" w:tentative="1">
      <w:start w:val="1"/>
      <w:numFmt w:val="decimal"/>
      <w:lvlText w:val="%7."/>
      <w:lvlJc w:val="left"/>
      <w:pPr>
        <w:ind w:left="5040" w:hanging="360"/>
      </w:pPr>
    </w:lvl>
    <w:lvl w:ilvl="7" w:tplc="3BFA7122" w:tentative="1">
      <w:start w:val="1"/>
      <w:numFmt w:val="lowerLetter"/>
      <w:lvlText w:val="%8."/>
      <w:lvlJc w:val="left"/>
      <w:pPr>
        <w:ind w:left="5760" w:hanging="360"/>
      </w:pPr>
    </w:lvl>
    <w:lvl w:ilvl="8" w:tplc="B8E60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201BA"/>
    <w:multiLevelType w:val="hybridMultilevel"/>
    <w:tmpl w:val="B4BE6E4E"/>
    <w:lvl w:ilvl="0" w:tplc="434E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F6DB1"/>
    <w:multiLevelType w:val="hybridMultilevel"/>
    <w:tmpl w:val="2400996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32BD4"/>
    <w:multiLevelType w:val="hybridMultilevel"/>
    <w:tmpl w:val="F03029BC"/>
    <w:lvl w:ilvl="0" w:tplc="36E8F4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D4F8C"/>
    <w:multiLevelType w:val="hybridMultilevel"/>
    <w:tmpl w:val="47747E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623863"/>
    <w:multiLevelType w:val="hybridMultilevel"/>
    <w:tmpl w:val="DB4A4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D7882"/>
    <w:multiLevelType w:val="hybridMultilevel"/>
    <w:tmpl w:val="72F83036"/>
    <w:lvl w:ilvl="0" w:tplc="8C8E8C9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30AC6"/>
    <w:multiLevelType w:val="hybridMultilevel"/>
    <w:tmpl w:val="2D7C6C9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75988"/>
    <w:multiLevelType w:val="hybridMultilevel"/>
    <w:tmpl w:val="F2880E74"/>
    <w:lvl w:ilvl="0" w:tplc="BE50A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017BA"/>
    <w:multiLevelType w:val="hybridMultilevel"/>
    <w:tmpl w:val="E13A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92DF6"/>
    <w:multiLevelType w:val="multilevel"/>
    <w:tmpl w:val="FD5095E8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9605418"/>
    <w:multiLevelType w:val="hybridMultilevel"/>
    <w:tmpl w:val="E892E83C"/>
    <w:lvl w:ilvl="0" w:tplc="9FB8D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60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4A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C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8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47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CC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8B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A3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95DCC"/>
    <w:multiLevelType w:val="hybridMultilevel"/>
    <w:tmpl w:val="2DAC6E7A"/>
    <w:lvl w:ilvl="0" w:tplc="E3782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B2153"/>
    <w:multiLevelType w:val="hybridMultilevel"/>
    <w:tmpl w:val="6F4082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23666"/>
    <w:multiLevelType w:val="hybridMultilevel"/>
    <w:tmpl w:val="3348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E5D14"/>
    <w:multiLevelType w:val="hybridMultilevel"/>
    <w:tmpl w:val="60EE0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606C0"/>
    <w:multiLevelType w:val="hybridMultilevel"/>
    <w:tmpl w:val="268E7CD4"/>
    <w:lvl w:ilvl="0" w:tplc="33A84288">
      <w:start w:val="201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DA9088F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E8496B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D065E6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5849E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818AB8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D4231B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DEE6CB5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6492AA1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EE85486"/>
    <w:multiLevelType w:val="hybridMultilevel"/>
    <w:tmpl w:val="C4269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F1045"/>
    <w:multiLevelType w:val="hybridMultilevel"/>
    <w:tmpl w:val="905E1046"/>
    <w:lvl w:ilvl="0" w:tplc="91D4E45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5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3"/>
  </w:num>
  <w:num w:numId="12">
    <w:abstractNumId w:val="21"/>
  </w:num>
  <w:num w:numId="13">
    <w:abstractNumId w:val="5"/>
  </w:num>
  <w:num w:numId="14">
    <w:abstractNumId w:val="22"/>
  </w:num>
  <w:num w:numId="15">
    <w:abstractNumId w:val="23"/>
  </w:num>
  <w:num w:numId="16">
    <w:abstractNumId w:val="19"/>
  </w:num>
  <w:num w:numId="17">
    <w:abstractNumId w:val="12"/>
  </w:num>
  <w:num w:numId="18">
    <w:abstractNumId w:val="7"/>
  </w:num>
  <w:num w:numId="19">
    <w:abstractNumId w:val="1"/>
  </w:num>
  <w:num w:numId="20">
    <w:abstractNumId w:val="9"/>
  </w:num>
  <w:num w:numId="21">
    <w:abstractNumId w:val="10"/>
  </w:num>
  <w:num w:numId="22">
    <w:abstractNumId w:val="2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5A"/>
    <w:rsid w:val="00021431"/>
    <w:rsid w:val="0007687A"/>
    <w:rsid w:val="00082DD1"/>
    <w:rsid w:val="00094A8A"/>
    <w:rsid w:val="000F38AE"/>
    <w:rsid w:val="000F42B2"/>
    <w:rsid w:val="001217DD"/>
    <w:rsid w:val="001434CD"/>
    <w:rsid w:val="00187877"/>
    <w:rsid w:val="001911CD"/>
    <w:rsid w:val="001D5514"/>
    <w:rsid w:val="001D5D42"/>
    <w:rsid w:val="001E7910"/>
    <w:rsid w:val="002550DF"/>
    <w:rsid w:val="002B021C"/>
    <w:rsid w:val="002F299B"/>
    <w:rsid w:val="00315415"/>
    <w:rsid w:val="00390FA5"/>
    <w:rsid w:val="003A0E1B"/>
    <w:rsid w:val="003A661E"/>
    <w:rsid w:val="003D4E50"/>
    <w:rsid w:val="00406F0B"/>
    <w:rsid w:val="004247BA"/>
    <w:rsid w:val="00450DEB"/>
    <w:rsid w:val="0049437B"/>
    <w:rsid w:val="004C1745"/>
    <w:rsid w:val="004D006B"/>
    <w:rsid w:val="00516585"/>
    <w:rsid w:val="00532296"/>
    <w:rsid w:val="00550ED8"/>
    <w:rsid w:val="005560B9"/>
    <w:rsid w:val="00557F56"/>
    <w:rsid w:val="005A5602"/>
    <w:rsid w:val="005B6AFA"/>
    <w:rsid w:val="005C5DC2"/>
    <w:rsid w:val="005D3EDD"/>
    <w:rsid w:val="0066795A"/>
    <w:rsid w:val="00673312"/>
    <w:rsid w:val="006838C0"/>
    <w:rsid w:val="006F2B9D"/>
    <w:rsid w:val="006F55DF"/>
    <w:rsid w:val="0070441F"/>
    <w:rsid w:val="00711F0C"/>
    <w:rsid w:val="007325AF"/>
    <w:rsid w:val="007560DD"/>
    <w:rsid w:val="00767193"/>
    <w:rsid w:val="0077372A"/>
    <w:rsid w:val="00790DAC"/>
    <w:rsid w:val="007C766A"/>
    <w:rsid w:val="007F0739"/>
    <w:rsid w:val="007F4628"/>
    <w:rsid w:val="00823F85"/>
    <w:rsid w:val="00855ADE"/>
    <w:rsid w:val="00863258"/>
    <w:rsid w:val="008A6578"/>
    <w:rsid w:val="008B2529"/>
    <w:rsid w:val="008E2254"/>
    <w:rsid w:val="008E6ED7"/>
    <w:rsid w:val="00907F6B"/>
    <w:rsid w:val="00923668"/>
    <w:rsid w:val="00953562"/>
    <w:rsid w:val="00971174"/>
    <w:rsid w:val="00971A47"/>
    <w:rsid w:val="0099359E"/>
    <w:rsid w:val="009E13E9"/>
    <w:rsid w:val="009F6FBC"/>
    <w:rsid w:val="00A0163F"/>
    <w:rsid w:val="00A14A56"/>
    <w:rsid w:val="00A32A46"/>
    <w:rsid w:val="00A56964"/>
    <w:rsid w:val="00A806CC"/>
    <w:rsid w:val="00A90A97"/>
    <w:rsid w:val="00AB5A5F"/>
    <w:rsid w:val="00AE72B7"/>
    <w:rsid w:val="00B07A2A"/>
    <w:rsid w:val="00B121B9"/>
    <w:rsid w:val="00B77526"/>
    <w:rsid w:val="00BD633C"/>
    <w:rsid w:val="00C00DD4"/>
    <w:rsid w:val="00C16F0B"/>
    <w:rsid w:val="00C43297"/>
    <w:rsid w:val="00C47B3F"/>
    <w:rsid w:val="00CE2B78"/>
    <w:rsid w:val="00D87945"/>
    <w:rsid w:val="00DA68E9"/>
    <w:rsid w:val="00DC3A9C"/>
    <w:rsid w:val="00E70BB5"/>
    <w:rsid w:val="00EA447A"/>
    <w:rsid w:val="00EA641D"/>
    <w:rsid w:val="00EB1B66"/>
    <w:rsid w:val="00EE01AF"/>
    <w:rsid w:val="00EE535A"/>
    <w:rsid w:val="00F170C8"/>
    <w:rsid w:val="00F376D5"/>
    <w:rsid w:val="00F516F9"/>
    <w:rsid w:val="00F66AED"/>
    <w:rsid w:val="00F8089B"/>
    <w:rsid w:val="00F95AE7"/>
    <w:rsid w:val="00FA1412"/>
    <w:rsid w:val="00FA6245"/>
    <w:rsid w:val="00FC12CD"/>
    <w:rsid w:val="00FC5F18"/>
    <w:rsid w:val="00FC6758"/>
    <w:rsid w:val="00FD3EB1"/>
    <w:rsid w:val="00FE64FE"/>
    <w:rsid w:val="00FF54F1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2E80"/>
  <w15:chartTrackingRefBased/>
  <w15:docId w15:val="{D980FCC3-2E91-45CC-9351-C6E7DC03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66795A"/>
    <w:pPr>
      <w:keepNext/>
      <w:numPr>
        <w:numId w:val="6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hAnsi="Calibri"/>
      <w:b/>
      <w:bCs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66795A"/>
    <w:pPr>
      <w:keepNext/>
      <w:numPr>
        <w:ilvl w:val="1"/>
        <w:numId w:val="6"/>
      </w:numPr>
      <w:jc w:val="both"/>
      <w:outlineLvl w:val="1"/>
    </w:pPr>
    <w:rPr>
      <w:rFonts w:asciiTheme="minorHAnsi" w:hAnsiTheme="minorHAnsi" w:cs="Arial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795A"/>
    <w:pPr>
      <w:keepNext/>
      <w:keepLines/>
      <w:numPr>
        <w:ilvl w:val="2"/>
        <w:numId w:val="6"/>
      </w:numPr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95A"/>
    <w:pPr>
      <w:keepNext/>
      <w:keepLines/>
      <w:numPr>
        <w:ilvl w:val="3"/>
        <w:numId w:val="6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95A"/>
    <w:pPr>
      <w:keepNext/>
      <w:keepLines/>
      <w:numPr>
        <w:ilvl w:val="4"/>
        <w:numId w:val="6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val="cs-CZ"/>
    </w:rPr>
  </w:style>
  <w:style w:type="paragraph" w:styleId="Nadpis6">
    <w:name w:val="heading 6"/>
    <w:basedOn w:val="Normln"/>
    <w:next w:val="Normln"/>
    <w:link w:val="Nadpis6Char"/>
    <w:qFormat/>
    <w:rsid w:val="0066795A"/>
    <w:pPr>
      <w:keepNext/>
      <w:numPr>
        <w:ilvl w:val="5"/>
        <w:numId w:val="6"/>
      </w:numPr>
      <w:spacing w:before="120"/>
      <w:jc w:val="center"/>
      <w:outlineLvl w:val="5"/>
    </w:pPr>
    <w:rPr>
      <w:rFonts w:ascii="Calibri" w:hAnsi="Calibri"/>
      <w:b/>
      <w:bCs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95A"/>
    <w:pPr>
      <w:keepNext/>
      <w:keepLines/>
      <w:numPr>
        <w:ilvl w:val="6"/>
        <w:numId w:val="6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95A"/>
    <w:pPr>
      <w:keepNext/>
      <w:keepLines/>
      <w:numPr>
        <w:ilvl w:val="7"/>
        <w:numId w:val="6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95A"/>
    <w:pPr>
      <w:keepNext/>
      <w:keepLines/>
      <w:numPr>
        <w:ilvl w:val="8"/>
        <w:numId w:val="6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795A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6795A"/>
    <w:rPr>
      <w:rFonts w:eastAsia="Times New Roman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6795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9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9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66795A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9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9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9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pat">
    <w:name w:val="footer"/>
    <w:basedOn w:val="Normln"/>
    <w:link w:val="ZpatChar"/>
    <w:uiPriority w:val="99"/>
    <w:rsid w:val="006679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95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66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6795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66795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66795A"/>
    <w:rPr>
      <w:vertAlign w:val="superscript"/>
    </w:rPr>
  </w:style>
  <w:style w:type="paragraph" w:styleId="Odstavecseseznamem">
    <w:name w:val="List Paragraph"/>
    <w:aliases w:val="odrážky,Nadpis pro KZ,List Paragraph_0,List Paragraph"/>
    <w:basedOn w:val="Normln"/>
    <w:link w:val="OdstavecseseznamemChar"/>
    <w:uiPriority w:val="34"/>
    <w:qFormat/>
    <w:rsid w:val="0066795A"/>
    <w:pPr>
      <w:ind w:left="720"/>
      <w:contextualSpacing/>
    </w:pPr>
  </w:style>
  <w:style w:type="character" w:customStyle="1" w:styleId="OdstavecseseznamemChar">
    <w:name w:val="Odstavec se seznamem Char"/>
    <w:aliases w:val="odrážky Char,Nadpis pro KZ Char,List Paragraph_0 Char,List Paragraph Char"/>
    <w:link w:val="Odstavecseseznamem"/>
    <w:uiPriority w:val="34"/>
    <w:rsid w:val="006679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6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9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95A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679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79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rsid w:val="0066795A"/>
    <w:rPr>
      <w:color w:val="0000FF"/>
      <w:u w:val="single"/>
    </w:rPr>
  </w:style>
  <w:style w:type="paragraph" w:styleId="Revize">
    <w:name w:val="Revision"/>
    <w:hidden/>
    <w:uiPriority w:val="99"/>
    <w:semiHidden/>
    <w:rsid w:val="0008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3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2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2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25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culture.cz/cultureinfo/kulturni-politika-v-cr/mkcr-kroky-slouceni-narodniho-divadla-a-statni-opery-do-roku-2014-2851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gendy\NK&#218;\16_15\sob&#283;sta&#269;nost_N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234199856904363E-2"/>
          <c:y val="4.6267087276550996E-2"/>
          <c:w val="0.92845218220844283"/>
          <c:h val="0.84982786836085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List1!$B$2:$F$2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List1!$B$3:$F$3</c:f>
              <c:numCache>
                <c:formatCode>0.00_I%</c:formatCode>
                <c:ptCount val="5"/>
                <c:pt idx="0">
                  <c:v>0.38100000000000001</c:v>
                </c:pt>
                <c:pt idx="1">
                  <c:v>0.3362</c:v>
                </c:pt>
                <c:pt idx="2">
                  <c:v>0.37819999999999998</c:v>
                </c:pt>
                <c:pt idx="3">
                  <c:v>0.40679999999999999</c:v>
                </c:pt>
                <c:pt idx="4">
                  <c:v>0.40339999999999998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316624"/>
        <c:axId val="180439360"/>
      </c:barChart>
      <c:catAx>
        <c:axId val="18031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0439360"/>
        <c:crosses val="autoZero"/>
        <c:auto val="1"/>
        <c:lblAlgn val="ctr"/>
        <c:lblOffset val="100"/>
        <c:noMultiLvlLbl val="0"/>
      </c:catAx>
      <c:valAx>
        <c:axId val="180439360"/>
        <c:scaling>
          <c:orientation val="minMax"/>
        </c:scaling>
        <c:delete val="1"/>
        <c:axPos val="l"/>
        <c:numFmt formatCode="0.00_I%" sourceLinked="1"/>
        <c:majorTickMark val="none"/>
        <c:minorTickMark val="none"/>
        <c:tickLblPos val="nextTo"/>
        <c:crossAx val="18031662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9F41-58A3-403D-B083-0C13935E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B3175F4A.dotm</Template>
  <TotalTime>2</TotalTime>
  <Pages>11</Pages>
  <Words>3929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 16/15</vt:lpstr>
    </vt:vector>
  </TitlesOfParts>
  <Company>NKU</Company>
  <LinksUpToDate>false</LinksUpToDate>
  <CharactersWithSpaces>27062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16/15 - Majetek a peněžní prostředky státu, se kterými je příslušná hospodařit příspěvková organizace Národní divadlo</dc:title>
  <dc:subject/>
  <dc:creator>Nejvyšší kontrolní úřad</dc:creator>
  <cp:keywords>kontrolní závěr; národní divadlo</cp:keywords>
  <dc:description/>
  <cp:lastModifiedBy>KOKRDA Daniel</cp:lastModifiedBy>
  <cp:revision>4</cp:revision>
  <cp:lastPrinted>2017-03-09T08:36:00Z</cp:lastPrinted>
  <dcterms:created xsi:type="dcterms:W3CDTF">2017-03-09T08:35:00Z</dcterms:created>
  <dcterms:modified xsi:type="dcterms:W3CDTF">2017-03-09T08:36:00Z</dcterms:modified>
</cp:coreProperties>
</file>