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58" w:rsidRPr="00D15A6D" w:rsidRDefault="00073158" w:rsidP="00CF622A">
      <w:pPr>
        <w:jc w:val="center"/>
        <w:rPr>
          <w:rFonts w:ascii="Calibri" w:hAnsi="Calibri" w:cs="Calibri"/>
        </w:rPr>
      </w:pPr>
      <w:r w:rsidRPr="00A315CB">
        <w:rPr>
          <w:noProof/>
        </w:rPr>
        <w:drawing>
          <wp:anchor distT="0" distB="0" distL="114300" distR="114300" simplePos="0" relativeHeight="251659264" behindDoc="0" locked="0" layoutInCell="1" allowOverlap="1" wp14:anchorId="077DB8AE" wp14:editId="7D229FE2">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rsidR="00073158" w:rsidRPr="00D15A6D" w:rsidRDefault="00073158" w:rsidP="00CF622A">
      <w:pPr>
        <w:jc w:val="center"/>
        <w:rPr>
          <w:rFonts w:ascii="Calibri" w:hAnsi="Calibri" w:cs="Calibri"/>
        </w:rPr>
      </w:pPr>
    </w:p>
    <w:p w:rsidR="00073158" w:rsidRPr="00D15A6D" w:rsidRDefault="00073158" w:rsidP="00CF622A">
      <w:pPr>
        <w:pStyle w:val="Nadpis9"/>
        <w:spacing w:before="0" w:after="0"/>
        <w:jc w:val="center"/>
        <w:rPr>
          <w:rFonts w:ascii="Calibri" w:hAnsi="Calibri" w:cs="Calibri"/>
          <w:sz w:val="24"/>
          <w:szCs w:val="24"/>
        </w:rPr>
      </w:pPr>
    </w:p>
    <w:p w:rsidR="00073158" w:rsidRPr="00D15A6D" w:rsidRDefault="00073158" w:rsidP="00CF622A">
      <w:pPr>
        <w:pStyle w:val="Nadpis9"/>
        <w:spacing w:before="0" w:after="0"/>
        <w:jc w:val="center"/>
        <w:rPr>
          <w:rFonts w:ascii="Calibri" w:hAnsi="Calibri" w:cs="Calibri"/>
          <w:b/>
          <w:sz w:val="28"/>
          <w:szCs w:val="24"/>
        </w:rPr>
      </w:pPr>
      <w:r w:rsidRPr="00D15A6D">
        <w:rPr>
          <w:rFonts w:ascii="Calibri" w:hAnsi="Calibri" w:cs="Calibri"/>
          <w:b/>
          <w:sz w:val="28"/>
          <w:szCs w:val="24"/>
        </w:rPr>
        <w:t>Kontrolní závěr z kontrolní akce</w:t>
      </w:r>
    </w:p>
    <w:p w:rsidR="00073158" w:rsidRPr="00D15A6D" w:rsidRDefault="00073158" w:rsidP="00CF622A">
      <w:pPr>
        <w:jc w:val="center"/>
        <w:rPr>
          <w:rFonts w:ascii="Calibri" w:hAnsi="Calibri" w:cs="Calibri"/>
        </w:rPr>
      </w:pPr>
    </w:p>
    <w:p w:rsidR="00073158" w:rsidRPr="004C031F" w:rsidRDefault="00E151F2" w:rsidP="00CF622A">
      <w:pPr>
        <w:ind w:right="68"/>
        <w:jc w:val="center"/>
        <w:rPr>
          <w:rFonts w:ascii="Calibri" w:hAnsi="Calibri" w:cs="Calibri"/>
          <w:b/>
          <w:bCs/>
          <w:sz w:val="28"/>
        </w:rPr>
      </w:pPr>
      <w:r>
        <w:rPr>
          <w:rFonts w:ascii="Calibri" w:hAnsi="Calibri" w:cs="Calibri"/>
          <w:b/>
          <w:bCs/>
          <w:sz w:val="28"/>
        </w:rPr>
        <w:t>16</w:t>
      </w:r>
      <w:r w:rsidR="00073158" w:rsidRPr="004C031F">
        <w:rPr>
          <w:rFonts w:ascii="Calibri" w:hAnsi="Calibri" w:cs="Calibri"/>
          <w:b/>
          <w:bCs/>
          <w:sz w:val="28"/>
        </w:rPr>
        <w:t>/</w:t>
      </w:r>
      <w:r>
        <w:rPr>
          <w:rFonts w:ascii="Calibri" w:hAnsi="Calibri" w:cs="Calibri"/>
          <w:b/>
          <w:bCs/>
          <w:sz w:val="28"/>
        </w:rPr>
        <w:t>19</w:t>
      </w:r>
    </w:p>
    <w:p w:rsidR="00073158" w:rsidRPr="00D15A6D" w:rsidRDefault="00073158" w:rsidP="00CF622A">
      <w:pPr>
        <w:ind w:right="68"/>
        <w:jc w:val="center"/>
        <w:rPr>
          <w:rFonts w:ascii="Calibri" w:hAnsi="Calibri" w:cs="Calibri"/>
          <w:bCs/>
        </w:rPr>
      </w:pPr>
    </w:p>
    <w:p w:rsidR="00073158" w:rsidRPr="004C031F" w:rsidRDefault="00073158" w:rsidP="00CF622A">
      <w:pPr>
        <w:jc w:val="center"/>
        <w:rPr>
          <w:rFonts w:ascii="Calibri" w:hAnsi="Calibri" w:cs="Calibri"/>
          <w:b/>
          <w:sz w:val="28"/>
        </w:rPr>
      </w:pPr>
      <w:r w:rsidRPr="004C031F">
        <w:rPr>
          <w:rFonts w:ascii="Calibri" w:hAnsi="Calibri" w:cs="Calibri"/>
          <w:b/>
          <w:sz w:val="28"/>
        </w:rPr>
        <w:t xml:space="preserve">Peněžní prostředky </w:t>
      </w:r>
      <w:r>
        <w:rPr>
          <w:rFonts w:ascii="Calibri" w:hAnsi="Calibri" w:cs="Calibri"/>
          <w:b/>
          <w:sz w:val="28"/>
        </w:rPr>
        <w:t xml:space="preserve">státu </w:t>
      </w:r>
      <w:r w:rsidRPr="004C031F">
        <w:rPr>
          <w:rFonts w:ascii="Calibri" w:hAnsi="Calibri" w:cs="Calibri"/>
          <w:b/>
          <w:sz w:val="28"/>
        </w:rPr>
        <w:t xml:space="preserve">určené na </w:t>
      </w:r>
      <w:r>
        <w:rPr>
          <w:rFonts w:ascii="Calibri" w:hAnsi="Calibri" w:cs="Calibri"/>
          <w:b/>
          <w:sz w:val="28"/>
        </w:rPr>
        <w:t xml:space="preserve">účelovou podporu výzkumu a vývoje prostřednictvím rozpočtové kapitoly </w:t>
      </w:r>
      <w:r w:rsidR="00E151F2" w:rsidRPr="0024292D">
        <w:rPr>
          <w:rFonts w:ascii="Calibri" w:hAnsi="Calibri" w:cs="Calibri"/>
          <w:b/>
          <w:i/>
          <w:sz w:val="28"/>
        </w:rPr>
        <w:t>Grantová</w:t>
      </w:r>
      <w:r w:rsidRPr="0024292D">
        <w:rPr>
          <w:rFonts w:ascii="Calibri" w:hAnsi="Calibri" w:cs="Calibri"/>
          <w:b/>
          <w:i/>
          <w:sz w:val="28"/>
        </w:rPr>
        <w:t xml:space="preserve"> agentura České republiky</w:t>
      </w:r>
    </w:p>
    <w:p w:rsidR="00073158" w:rsidRPr="00CF622A" w:rsidRDefault="00073158" w:rsidP="00CF622A">
      <w:pPr>
        <w:jc w:val="both"/>
        <w:rPr>
          <w:rFonts w:ascii="Calibri" w:hAnsi="Calibri" w:cs="Calibri"/>
        </w:rPr>
      </w:pPr>
    </w:p>
    <w:p w:rsidR="00586F68" w:rsidRPr="00CF622A" w:rsidRDefault="00586F68" w:rsidP="00CF622A">
      <w:pPr>
        <w:jc w:val="both"/>
        <w:rPr>
          <w:rFonts w:ascii="Calibri" w:hAnsi="Calibri" w:cs="Calibri"/>
        </w:rPr>
      </w:pPr>
    </w:p>
    <w:p w:rsidR="00073158" w:rsidRPr="004C031F" w:rsidRDefault="00073158" w:rsidP="00CF622A">
      <w:pPr>
        <w:pStyle w:val="Zkladn"/>
        <w:spacing w:before="0"/>
        <w:rPr>
          <w:rFonts w:ascii="Calibri" w:hAnsi="Calibri" w:cs="Calibri"/>
        </w:rPr>
      </w:pPr>
      <w:r w:rsidRPr="00CF622A">
        <w:rPr>
          <w:rFonts w:ascii="Calibri" w:hAnsi="Calibri" w:cs="Calibri"/>
        </w:rPr>
        <w:t>Kontrolní akce byla zařazena do plánu kontrolní čin</w:t>
      </w:r>
      <w:bookmarkStart w:id="0" w:name="_GoBack"/>
      <w:bookmarkEnd w:id="0"/>
      <w:r w:rsidRPr="00CF622A">
        <w:rPr>
          <w:rFonts w:ascii="Calibri" w:hAnsi="Calibri" w:cs="Calibri"/>
        </w:rPr>
        <w:t>nosti</w:t>
      </w:r>
      <w:r w:rsidRPr="004C031F">
        <w:rPr>
          <w:rFonts w:ascii="Calibri" w:hAnsi="Calibri" w:cs="Calibri"/>
        </w:rPr>
        <w:t xml:space="preserve"> Nejvyššího kontrolního úřadu (dále </w:t>
      </w:r>
      <w:r w:rsidR="00BA43A1">
        <w:rPr>
          <w:rFonts w:ascii="Calibri" w:hAnsi="Calibri" w:cs="Calibri"/>
        </w:rPr>
        <w:t>také</w:t>
      </w:r>
      <w:r w:rsidRPr="004C031F">
        <w:rPr>
          <w:rFonts w:ascii="Calibri" w:hAnsi="Calibri" w:cs="Calibri"/>
        </w:rPr>
        <w:t xml:space="preserve"> „NKÚ“) na rok 201</w:t>
      </w:r>
      <w:r w:rsidR="00E151F2">
        <w:rPr>
          <w:rFonts w:ascii="Calibri" w:hAnsi="Calibri" w:cs="Calibri"/>
        </w:rPr>
        <w:t>6</w:t>
      </w:r>
      <w:r w:rsidRPr="004C031F">
        <w:rPr>
          <w:rFonts w:ascii="Calibri" w:hAnsi="Calibri" w:cs="Calibri"/>
        </w:rPr>
        <w:t xml:space="preserve"> pod číslem 1</w:t>
      </w:r>
      <w:r w:rsidR="00E151F2">
        <w:rPr>
          <w:rFonts w:ascii="Calibri" w:hAnsi="Calibri" w:cs="Calibri"/>
        </w:rPr>
        <w:t>6</w:t>
      </w:r>
      <w:r w:rsidRPr="004C031F">
        <w:rPr>
          <w:rFonts w:ascii="Calibri" w:hAnsi="Calibri" w:cs="Calibri"/>
        </w:rPr>
        <w:t>/</w:t>
      </w:r>
      <w:r w:rsidR="00E151F2">
        <w:rPr>
          <w:rFonts w:ascii="Calibri" w:hAnsi="Calibri" w:cs="Calibri"/>
        </w:rPr>
        <w:t>19</w:t>
      </w:r>
      <w:r w:rsidRPr="004C031F">
        <w:rPr>
          <w:rFonts w:ascii="Calibri" w:hAnsi="Calibri" w:cs="Calibri"/>
        </w:rPr>
        <w:t>. Kontrolní akci řídil a</w:t>
      </w:r>
      <w:r>
        <w:rPr>
          <w:rFonts w:ascii="Calibri" w:hAnsi="Calibri" w:cs="Calibri"/>
        </w:rPr>
        <w:t> </w:t>
      </w:r>
      <w:r w:rsidRPr="004C031F">
        <w:rPr>
          <w:rFonts w:ascii="Calibri" w:hAnsi="Calibri" w:cs="Calibri"/>
        </w:rPr>
        <w:t>kontrolní závěr vypracoval člen NKÚ RNDr. Petr Neuvirt.</w:t>
      </w:r>
      <w:r>
        <w:rPr>
          <w:rFonts w:ascii="Calibri" w:hAnsi="Calibri" w:cs="Calibri"/>
        </w:rPr>
        <w:t xml:space="preserve"> </w:t>
      </w:r>
    </w:p>
    <w:p w:rsidR="00073158" w:rsidRPr="004C031F" w:rsidRDefault="00073158" w:rsidP="00073158">
      <w:pPr>
        <w:pStyle w:val="Zkladntextodsazen"/>
        <w:spacing w:after="0"/>
        <w:ind w:left="0"/>
        <w:jc w:val="both"/>
        <w:rPr>
          <w:rFonts w:ascii="Calibri" w:hAnsi="Calibri" w:cs="Calibri"/>
        </w:rPr>
      </w:pPr>
    </w:p>
    <w:p w:rsidR="00073158" w:rsidRPr="004C031F" w:rsidRDefault="00073158" w:rsidP="00073158">
      <w:pPr>
        <w:jc w:val="both"/>
        <w:rPr>
          <w:rFonts w:ascii="Calibri" w:hAnsi="Calibri" w:cs="Calibri"/>
          <w:lang w:eastAsia="en-US"/>
        </w:rPr>
      </w:pPr>
      <w:r w:rsidRPr="003A4059">
        <w:rPr>
          <w:rFonts w:ascii="Calibri" w:hAnsi="Calibri" w:cs="Calibri"/>
          <w:lang w:eastAsia="en-US"/>
        </w:rPr>
        <w:t xml:space="preserve">Cílem kontroly bylo prověřit poskytování, čerpání a užití peněžních prostředků </w:t>
      </w:r>
      <w:r>
        <w:rPr>
          <w:rFonts w:ascii="Calibri" w:hAnsi="Calibri" w:cs="Calibri"/>
          <w:lang w:eastAsia="en-US"/>
        </w:rPr>
        <w:t xml:space="preserve">státu </w:t>
      </w:r>
      <w:r w:rsidRPr="003A4059">
        <w:rPr>
          <w:rFonts w:ascii="Calibri" w:hAnsi="Calibri" w:cs="Calibri"/>
          <w:lang w:eastAsia="en-US"/>
        </w:rPr>
        <w:t>určených na účelovou podporu výzkumu a vývoje</w:t>
      </w:r>
      <w:r w:rsidR="00E151F2">
        <w:rPr>
          <w:rFonts w:ascii="Calibri" w:hAnsi="Calibri" w:cs="Calibri"/>
          <w:lang w:eastAsia="en-US"/>
        </w:rPr>
        <w:t xml:space="preserve"> prostřednictvím </w:t>
      </w:r>
      <w:r w:rsidR="00575826">
        <w:rPr>
          <w:rFonts w:ascii="Calibri" w:hAnsi="Calibri" w:cs="Calibri"/>
          <w:lang w:eastAsia="en-US"/>
        </w:rPr>
        <w:t xml:space="preserve">rozpočtové kapitoly </w:t>
      </w:r>
      <w:r w:rsidR="00575826" w:rsidRPr="0024292D">
        <w:rPr>
          <w:rFonts w:ascii="Calibri" w:hAnsi="Calibri" w:cs="Calibri"/>
          <w:i/>
          <w:lang w:eastAsia="en-US"/>
        </w:rPr>
        <w:t>Grantová agentura</w:t>
      </w:r>
      <w:r w:rsidR="00E151F2" w:rsidRPr="0024292D">
        <w:rPr>
          <w:rFonts w:ascii="Calibri" w:hAnsi="Calibri" w:cs="Calibri"/>
          <w:i/>
          <w:lang w:eastAsia="en-US"/>
        </w:rPr>
        <w:t xml:space="preserve"> České republiky</w:t>
      </w:r>
      <w:r>
        <w:rPr>
          <w:rFonts w:ascii="Calibri" w:hAnsi="Calibri" w:cs="Calibri"/>
          <w:lang w:eastAsia="en-US"/>
        </w:rPr>
        <w:t>.</w:t>
      </w:r>
    </w:p>
    <w:p w:rsidR="00073158" w:rsidRPr="004C031F" w:rsidRDefault="00073158" w:rsidP="00073158">
      <w:pPr>
        <w:pStyle w:val="Zkladntextodsazen"/>
        <w:spacing w:after="0"/>
        <w:ind w:left="0"/>
        <w:jc w:val="both"/>
        <w:rPr>
          <w:rFonts w:ascii="Calibri" w:hAnsi="Calibri" w:cs="Calibri"/>
        </w:rPr>
      </w:pPr>
    </w:p>
    <w:p w:rsidR="00073158" w:rsidRPr="00D27A5B" w:rsidRDefault="00073158" w:rsidP="00073158">
      <w:pPr>
        <w:pStyle w:val="Zkladntextodsazen"/>
        <w:spacing w:after="0"/>
        <w:ind w:left="0"/>
        <w:jc w:val="both"/>
        <w:rPr>
          <w:rFonts w:ascii="Calibri" w:hAnsi="Calibri" w:cs="Calibri"/>
        </w:rPr>
      </w:pPr>
      <w:r w:rsidRPr="004C031F">
        <w:rPr>
          <w:rFonts w:ascii="Calibri" w:hAnsi="Calibri" w:cs="Calibri"/>
        </w:rPr>
        <w:t>Kontrolováno bylo období od roku 20</w:t>
      </w:r>
      <w:r>
        <w:rPr>
          <w:rFonts w:ascii="Calibri" w:hAnsi="Calibri" w:cs="Calibri"/>
        </w:rPr>
        <w:t>11</w:t>
      </w:r>
      <w:r w:rsidRPr="004C031F">
        <w:rPr>
          <w:rFonts w:ascii="Calibri" w:hAnsi="Calibri" w:cs="Calibri"/>
        </w:rPr>
        <w:t xml:space="preserve"> do roku 201</w:t>
      </w:r>
      <w:r w:rsidR="00E151F2">
        <w:rPr>
          <w:rFonts w:ascii="Calibri" w:hAnsi="Calibri" w:cs="Calibri"/>
        </w:rPr>
        <w:t>5</w:t>
      </w:r>
      <w:r w:rsidRPr="004C031F">
        <w:rPr>
          <w:rFonts w:ascii="Calibri" w:hAnsi="Calibri" w:cs="Calibri"/>
        </w:rPr>
        <w:t xml:space="preserve">, v případě věcných souvislostí i období </w:t>
      </w:r>
      <w:r w:rsidRPr="00D95701">
        <w:rPr>
          <w:rFonts w:ascii="Calibri" w:hAnsi="Calibri" w:cs="Calibri"/>
        </w:rPr>
        <w:t>předcházející a následující</w:t>
      </w:r>
      <w:r w:rsidRPr="004C031F">
        <w:rPr>
          <w:rFonts w:ascii="Calibri" w:hAnsi="Calibri" w:cs="Calibri"/>
        </w:rPr>
        <w:t xml:space="preserve">. Kontrola byla prováděna u kontrolovaných osob </w:t>
      </w:r>
      <w:r w:rsidRPr="00B91C75">
        <w:rPr>
          <w:rFonts w:ascii="Calibri" w:hAnsi="Calibri" w:cs="Calibri"/>
        </w:rPr>
        <w:t xml:space="preserve">od </w:t>
      </w:r>
      <w:r w:rsidR="00B91C75">
        <w:rPr>
          <w:rFonts w:ascii="Calibri" w:hAnsi="Calibri" w:cs="Calibri"/>
        </w:rPr>
        <w:t>června</w:t>
      </w:r>
      <w:r w:rsidR="00E151F2">
        <w:rPr>
          <w:rFonts w:ascii="Calibri" w:hAnsi="Calibri" w:cs="Calibri"/>
        </w:rPr>
        <w:t xml:space="preserve"> 2016</w:t>
      </w:r>
      <w:r w:rsidRPr="004C031F">
        <w:rPr>
          <w:rFonts w:ascii="Calibri" w:hAnsi="Calibri" w:cs="Calibri"/>
        </w:rPr>
        <w:t xml:space="preserve"> do </w:t>
      </w:r>
      <w:r w:rsidR="00E151F2" w:rsidRPr="00D27A5B">
        <w:rPr>
          <w:rFonts w:ascii="Calibri" w:hAnsi="Calibri" w:cs="Calibri"/>
        </w:rPr>
        <w:t>prosince</w:t>
      </w:r>
      <w:r w:rsidRPr="00D27A5B">
        <w:rPr>
          <w:rFonts w:ascii="Calibri" w:hAnsi="Calibri" w:cs="Calibri"/>
        </w:rPr>
        <w:t xml:space="preserve"> </w:t>
      </w:r>
      <w:r w:rsidR="00FD153C" w:rsidRPr="00D27A5B">
        <w:rPr>
          <w:rFonts w:ascii="Calibri" w:hAnsi="Calibri" w:cs="Calibri"/>
        </w:rPr>
        <w:t>2016</w:t>
      </w:r>
      <w:r w:rsidRPr="00D27A5B">
        <w:rPr>
          <w:rFonts w:ascii="Calibri" w:hAnsi="Calibri" w:cs="Calibri"/>
        </w:rPr>
        <w:t>.</w:t>
      </w:r>
    </w:p>
    <w:p w:rsidR="00073158" w:rsidRPr="00D27A5B" w:rsidRDefault="00073158" w:rsidP="00073158">
      <w:pPr>
        <w:pStyle w:val="Zkladn"/>
        <w:spacing w:before="0"/>
        <w:rPr>
          <w:rFonts w:ascii="Calibri" w:hAnsi="Calibri" w:cs="Calibri"/>
        </w:rPr>
      </w:pPr>
    </w:p>
    <w:p w:rsidR="00073158" w:rsidRPr="00D27A5B" w:rsidRDefault="00073158" w:rsidP="00073158">
      <w:pPr>
        <w:pStyle w:val="Zkladn"/>
        <w:spacing w:before="0"/>
        <w:rPr>
          <w:rFonts w:ascii="Calibri" w:hAnsi="Calibri" w:cs="Calibri"/>
          <w:b/>
        </w:rPr>
      </w:pPr>
      <w:r w:rsidRPr="00D27A5B">
        <w:rPr>
          <w:rFonts w:ascii="Calibri" w:hAnsi="Calibri" w:cs="Calibri"/>
          <w:b/>
        </w:rPr>
        <w:t>Kontrolované osoby:</w:t>
      </w:r>
    </w:p>
    <w:p w:rsidR="00073158" w:rsidRPr="00D27A5B" w:rsidRDefault="00E151F2" w:rsidP="00073158">
      <w:pPr>
        <w:pStyle w:val="Zkladn"/>
        <w:spacing w:before="0"/>
        <w:rPr>
          <w:rFonts w:ascii="Calibri" w:hAnsi="Calibri" w:cs="Calibri"/>
        </w:rPr>
      </w:pPr>
      <w:r w:rsidRPr="00D27A5B">
        <w:rPr>
          <w:rFonts w:ascii="Calibri" w:hAnsi="Calibri" w:cs="Calibri"/>
        </w:rPr>
        <w:t>Grantová</w:t>
      </w:r>
      <w:r w:rsidR="00073158" w:rsidRPr="00D27A5B">
        <w:rPr>
          <w:rFonts w:ascii="Calibri" w:hAnsi="Calibri" w:cs="Calibri"/>
        </w:rPr>
        <w:t xml:space="preserve"> agentura České republiky</w:t>
      </w:r>
      <w:r w:rsidR="00AC714C" w:rsidRPr="00D27A5B">
        <w:rPr>
          <w:rFonts w:ascii="Calibri" w:hAnsi="Calibri" w:cs="Calibri"/>
        </w:rPr>
        <w:t>, Praha</w:t>
      </w:r>
      <w:r w:rsidRPr="00D27A5B">
        <w:rPr>
          <w:rFonts w:ascii="Calibri" w:hAnsi="Calibri" w:cs="Calibri"/>
        </w:rPr>
        <w:t xml:space="preserve"> (dále také „G</w:t>
      </w:r>
      <w:r w:rsidR="00073158" w:rsidRPr="00D27A5B">
        <w:rPr>
          <w:rFonts w:ascii="Calibri" w:hAnsi="Calibri" w:cs="Calibri"/>
        </w:rPr>
        <w:t xml:space="preserve">A ČR“); </w:t>
      </w:r>
      <w:r w:rsidRPr="00D27A5B">
        <w:rPr>
          <w:rFonts w:ascii="Calibri" w:hAnsi="Calibri" w:cs="Calibri"/>
        </w:rPr>
        <w:t xml:space="preserve">Univerzita </w:t>
      </w:r>
      <w:r w:rsidR="003F3E81" w:rsidRPr="00D27A5B">
        <w:rPr>
          <w:rFonts w:ascii="Calibri" w:hAnsi="Calibri" w:cs="Calibri"/>
        </w:rPr>
        <w:t>Karlova</w:t>
      </w:r>
      <w:r w:rsidR="00AC714C" w:rsidRPr="00D27A5B">
        <w:rPr>
          <w:rFonts w:ascii="Calibri" w:hAnsi="Calibri" w:cs="Calibri"/>
        </w:rPr>
        <w:t xml:space="preserve"> v Praze</w:t>
      </w:r>
      <w:r w:rsidR="00073158" w:rsidRPr="00D27A5B">
        <w:rPr>
          <w:rFonts w:ascii="Calibri" w:hAnsi="Calibri" w:cs="Calibri"/>
        </w:rPr>
        <w:t>;</w:t>
      </w:r>
      <w:r w:rsidR="00CF3134" w:rsidRPr="00D27A5B">
        <w:rPr>
          <w:rFonts w:asciiTheme="minorHAnsi" w:hAnsiTheme="minorHAnsi" w:cs="Arial"/>
          <w:noProof/>
          <w:color w:val="000000"/>
        </w:rPr>
        <w:t xml:space="preserve"> Masarykova univerzita</w:t>
      </w:r>
      <w:r w:rsidR="00AC714C" w:rsidRPr="00D27A5B">
        <w:rPr>
          <w:rFonts w:asciiTheme="minorHAnsi" w:hAnsiTheme="minorHAnsi" w:cs="Arial"/>
          <w:noProof/>
          <w:color w:val="000000"/>
        </w:rPr>
        <w:t>, Brno</w:t>
      </w:r>
      <w:r w:rsidR="00073158" w:rsidRPr="00D27A5B">
        <w:rPr>
          <w:rFonts w:ascii="Calibri" w:hAnsi="Calibri" w:cs="Calibri"/>
        </w:rPr>
        <w:t xml:space="preserve">; </w:t>
      </w:r>
      <w:r w:rsidR="00CF3134" w:rsidRPr="00D27A5B">
        <w:rPr>
          <w:rFonts w:asciiTheme="minorHAnsi" w:hAnsiTheme="minorHAnsi" w:cs="Arial"/>
          <w:noProof/>
          <w:color w:val="000000"/>
        </w:rPr>
        <w:t>Univerzita Jana Evangelisty Purkyně v Ústí nad Labem</w:t>
      </w:r>
      <w:r w:rsidR="00073158" w:rsidRPr="00D27A5B">
        <w:rPr>
          <w:rFonts w:ascii="Calibri" w:hAnsi="Calibri" w:cs="Calibri"/>
        </w:rPr>
        <w:t xml:space="preserve">; </w:t>
      </w:r>
      <w:r w:rsidR="00CF3134" w:rsidRPr="00D27A5B">
        <w:rPr>
          <w:rFonts w:asciiTheme="minorHAnsi" w:hAnsiTheme="minorHAnsi" w:cs="Arial"/>
          <w:noProof/>
          <w:color w:val="000000"/>
        </w:rPr>
        <w:t>Univerzita Palackéh</w:t>
      </w:r>
      <w:r w:rsidR="001C7EA1" w:rsidRPr="00D27A5B">
        <w:rPr>
          <w:rFonts w:asciiTheme="minorHAnsi" w:hAnsiTheme="minorHAnsi" w:cs="Arial"/>
          <w:noProof/>
          <w:color w:val="000000"/>
        </w:rPr>
        <w:t>o v </w:t>
      </w:r>
      <w:r w:rsidR="00CF3134" w:rsidRPr="00D27A5B">
        <w:rPr>
          <w:rFonts w:asciiTheme="minorHAnsi" w:hAnsiTheme="minorHAnsi" w:cs="Arial"/>
          <w:noProof/>
          <w:color w:val="000000"/>
        </w:rPr>
        <w:t>Olomouci</w:t>
      </w:r>
      <w:r w:rsidR="00073158" w:rsidRPr="00D27A5B">
        <w:rPr>
          <w:rFonts w:ascii="Calibri" w:hAnsi="Calibri" w:cs="Calibri"/>
        </w:rPr>
        <w:t xml:space="preserve">; </w:t>
      </w:r>
      <w:r w:rsidR="00CF3134" w:rsidRPr="00D27A5B">
        <w:rPr>
          <w:rFonts w:asciiTheme="minorHAnsi" w:hAnsiTheme="minorHAnsi" w:cs="Arial"/>
          <w:noProof/>
          <w:color w:val="000000"/>
        </w:rPr>
        <w:t>Univerzita Pardubice</w:t>
      </w:r>
      <w:r w:rsidR="00073158" w:rsidRPr="00D27A5B">
        <w:rPr>
          <w:rFonts w:ascii="Calibri" w:hAnsi="Calibri" w:cs="Calibri"/>
        </w:rPr>
        <w:t xml:space="preserve">; </w:t>
      </w:r>
      <w:r w:rsidR="00CF3134" w:rsidRPr="00D27A5B">
        <w:rPr>
          <w:rFonts w:asciiTheme="minorHAnsi" w:hAnsiTheme="minorHAnsi" w:cs="Arial"/>
          <w:noProof/>
          <w:color w:val="000000"/>
        </w:rPr>
        <w:t>Biofyzikální ústav AV ČR</w:t>
      </w:r>
      <w:r w:rsidR="00577BCC" w:rsidRPr="00D27A5B">
        <w:rPr>
          <w:rFonts w:asciiTheme="minorHAnsi" w:hAnsiTheme="minorHAnsi" w:cs="Arial"/>
          <w:noProof/>
          <w:color w:val="000000"/>
        </w:rPr>
        <w:t>, v.v.i., Brno</w:t>
      </w:r>
      <w:r w:rsidR="00073158" w:rsidRPr="00D27A5B">
        <w:rPr>
          <w:rFonts w:ascii="Calibri" w:hAnsi="Calibri" w:cs="Calibri"/>
        </w:rPr>
        <w:t xml:space="preserve">; </w:t>
      </w:r>
      <w:r w:rsidR="00CF3134" w:rsidRPr="00D27A5B">
        <w:rPr>
          <w:rFonts w:asciiTheme="minorHAnsi" w:hAnsiTheme="minorHAnsi" w:cs="Arial"/>
          <w:noProof/>
          <w:color w:val="000000"/>
        </w:rPr>
        <w:t>Ú</w:t>
      </w:r>
      <w:r w:rsidR="001C7EA1" w:rsidRPr="00D27A5B">
        <w:rPr>
          <w:rFonts w:asciiTheme="minorHAnsi" w:hAnsiTheme="minorHAnsi" w:cs="Arial"/>
          <w:noProof/>
          <w:color w:val="000000"/>
        </w:rPr>
        <w:t>stav experimentální botaniky AV </w:t>
      </w:r>
      <w:r w:rsidR="00CF3134" w:rsidRPr="00D27A5B">
        <w:rPr>
          <w:rFonts w:asciiTheme="minorHAnsi" w:hAnsiTheme="minorHAnsi" w:cs="Arial"/>
          <w:noProof/>
          <w:color w:val="000000"/>
        </w:rPr>
        <w:t>ČR</w:t>
      </w:r>
      <w:r w:rsidR="00577BCC" w:rsidRPr="00D27A5B">
        <w:rPr>
          <w:rFonts w:asciiTheme="minorHAnsi" w:hAnsiTheme="minorHAnsi" w:cs="Arial"/>
          <w:noProof/>
          <w:color w:val="000000"/>
        </w:rPr>
        <w:t>, v.v.i., Praha</w:t>
      </w:r>
      <w:r w:rsidR="00073158" w:rsidRPr="00D27A5B">
        <w:rPr>
          <w:rFonts w:ascii="Calibri" w:hAnsi="Calibri" w:cs="Calibri"/>
        </w:rPr>
        <w:t xml:space="preserve">; </w:t>
      </w:r>
      <w:r w:rsidR="006D4A54" w:rsidRPr="00D27A5B">
        <w:rPr>
          <w:rFonts w:asciiTheme="minorHAnsi" w:hAnsiTheme="minorHAnsi" w:cs="Arial"/>
          <w:noProof/>
          <w:color w:val="000000"/>
        </w:rPr>
        <w:t>Ústav fyzikální chemi</w:t>
      </w:r>
      <w:r w:rsidR="00577BCC" w:rsidRPr="00D27A5B">
        <w:rPr>
          <w:rFonts w:asciiTheme="minorHAnsi" w:hAnsiTheme="minorHAnsi" w:cs="Arial"/>
          <w:noProof/>
          <w:color w:val="000000"/>
        </w:rPr>
        <w:t>e J. Heyrovského AV ČR, v. v. </w:t>
      </w:r>
      <w:r w:rsidR="006D4A54" w:rsidRPr="00D27A5B">
        <w:rPr>
          <w:rFonts w:asciiTheme="minorHAnsi" w:hAnsiTheme="minorHAnsi" w:cs="Arial"/>
          <w:noProof/>
          <w:color w:val="000000"/>
        </w:rPr>
        <w:t>i</w:t>
      </w:r>
      <w:r w:rsidR="00073158" w:rsidRPr="00D27A5B">
        <w:rPr>
          <w:rFonts w:ascii="Calibri" w:hAnsi="Calibri" w:cs="Calibri"/>
        </w:rPr>
        <w:t>.</w:t>
      </w:r>
      <w:r w:rsidR="00577BCC" w:rsidRPr="00D27A5B">
        <w:rPr>
          <w:rFonts w:ascii="Calibri" w:hAnsi="Calibri" w:cs="Calibri"/>
        </w:rPr>
        <w:t>, Praha.</w:t>
      </w:r>
    </w:p>
    <w:p w:rsidR="00073158" w:rsidRPr="00D27A5B" w:rsidRDefault="00073158" w:rsidP="00073158">
      <w:pPr>
        <w:jc w:val="both"/>
        <w:rPr>
          <w:rFonts w:ascii="Calibri" w:hAnsi="Calibri" w:cs="Calibri"/>
          <w:lang w:eastAsia="en-US"/>
        </w:rPr>
      </w:pPr>
    </w:p>
    <w:p w:rsidR="00073158" w:rsidRPr="00EF006D" w:rsidRDefault="00073158" w:rsidP="00073158">
      <w:pPr>
        <w:pStyle w:val="Zkladn"/>
        <w:spacing w:before="0"/>
        <w:rPr>
          <w:rFonts w:ascii="Calibri" w:hAnsi="Calibri" w:cs="Calibri"/>
        </w:rPr>
      </w:pPr>
      <w:r w:rsidRPr="00D27A5B">
        <w:rPr>
          <w:rFonts w:ascii="Calibri" w:hAnsi="Calibri" w:cs="Calibri"/>
        </w:rPr>
        <w:t>Námitky proti kontrolnímu protokolu, které podaly kontrolované osoby –</w:t>
      </w:r>
      <w:r w:rsidR="00E151F2" w:rsidRPr="00D27A5B">
        <w:rPr>
          <w:rFonts w:ascii="Calibri" w:hAnsi="Calibri" w:cs="Calibri"/>
        </w:rPr>
        <w:t xml:space="preserve"> GA ČR a</w:t>
      </w:r>
      <w:r w:rsidRPr="00D27A5B">
        <w:rPr>
          <w:rFonts w:ascii="Calibri" w:hAnsi="Calibri" w:cs="Calibri"/>
        </w:rPr>
        <w:t xml:space="preserve"> </w:t>
      </w:r>
      <w:r w:rsidR="003F3E81" w:rsidRPr="00D27A5B">
        <w:rPr>
          <w:rFonts w:ascii="Calibri" w:hAnsi="Calibri" w:cs="Calibri"/>
        </w:rPr>
        <w:t>Univerzita Karlova</w:t>
      </w:r>
      <w:r w:rsidRPr="00D27A5B">
        <w:rPr>
          <w:rFonts w:ascii="Calibri" w:hAnsi="Calibri" w:cs="Calibri"/>
        </w:rPr>
        <w:t>, vypořádali jednotliví vedoucí skupin kontrolujících rozhodnutími o námitkách. Odvolání, které proti rozhodnutí</w:t>
      </w:r>
      <w:r w:rsidRPr="00F34A35">
        <w:rPr>
          <w:rFonts w:ascii="Calibri" w:hAnsi="Calibri" w:cs="Calibri"/>
        </w:rPr>
        <w:t xml:space="preserve"> o námitkách podal</w:t>
      </w:r>
      <w:r w:rsidR="001043A9">
        <w:rPr>
          <w:rFonts w:ascii="Calibri" w:hAnsi="Calibri" w:cs="Calibri"/>
        </w:rPr>
        <w:t>y</w:t>
      </w:r>
      <w:r w:rsidR="00E151F2" w:rsidRPr="00F34A35">
        <w:rPr>
          <w:rFonts w:ascii="Calibri" w:hAnsi="Calibri" w:cs="Calibri"/>
        </w:rPr>
        <w:t xml:space="preserve"> G</w:t>
      </w:r>
      <w:r w:rsidRPr="00F34A35">
        <w:rPr>
          <w:rFonts w:ascii="Calibri" w:hAnsi="Calibri" w:cs="Calibri"/>
        </w:rPr>
        <w:t>A ČR</w:t>
      </w:r>
      <w:r w:rsidR="003F3E81">
        <w:rPr>
          <w:rFonts w:ascii="Calibri" w:hAnsi="Calibri" w:cs="Calibri"/>
        </w:rPr>
        <w:t xml:space="preserve"> a Univerzita Karlova</w:t>
      </w:r>
      <w:r w:rsidRPr="00F34A35">
        <w:rPr>
          <w:rFonts w:ascii="Calibri" w:hAnsi="Calibri" w:cs="Calibri"/>
        </w:rPr>
        <w:t>, bylo vypořádáno usnesením Kolegia NKÚ.</w:t>
      </w:r>
    </w:p>
    <w:p w:rsidR="00073158" w:rsidRDefault="00073158" w:rsidP="00073158">
      <w:pPr>
        <w:ind w:right="70"/>
        <w:jc w:val="both"/>
        <w:rPr>
          <w:rFonts w:ascii="Calibri" w:hAnsi="Calibri" w:cs="Calibri"/>
        </w:rPr>
      </w:pPr>
    </w:p>
    <w:p w:rsidR="00073158" w:rsidRPr="004C031F" w:rsidRDefault="00861EF9" w:rsidP="000424FF">
      <w:pPr>
        <w:tabs>
          <w:tab w:val="left" w:pos="825"/>
        </w:tabs>
        <w:ind w:right="70"/>
        <w:jc w:val="both"/>
        <w:rPr>
          <w:rFonts w:ascii="Calibri" w:hAnsi="Calibri" w:cs="Calibri"/>
        </w:rPr>
      </w:pPr>
      <w:r>
        <w:rPr>
          <w:rFonts w:ascii="Calibri" w:hAnsi="Calibri" w:cs="Calibri"/>
        </w:rPr>
        <w:tab/>
      </w:r>
    </w:p>
    <w:p w:rsidR="00073158" w:rsidRPr="00A531AF" w:rsidRDefault="00073158" w:rsidP="00073158">
      <w:pPr>
        <w:ind w:right="70"/>
        <w:jc w:val="both"/>
        <w:rPr>
          <w:rFonts w:ascii="Calibri" w:hAnsi="Calibri" w:cs="Calibri"/>
        </w:rPr>
      </w:pPr>
      <w:r w:rsidRPr="00A531AF">
        <w:rPr>
          <w:rFonts w:ascii="Calibri" w:hAnsi="Calibri" w:cs="Calibri"/>
          <w:b/>
          <w:bCs/>
          <w:i/>
          <w:iCs/>
        </w:rPr>
        <w:t>K o l e g i u m</w:t>
      </w:r>
      <w:r w:rsidRPr="00A531AF">
        <w:rPr>
          <w:rFonts w:ascii="Calibri" w:hAnsi="Calibri" w:cs="Calibri"/>
        </w:rPr>
        <w:t xml:space="preserve">   </w:t>
      </w:r>
      <w:r w:rsidRPr="00A531AF">
        <w:rPr>
          <w:rFonts w:ascii="Calibri" w:hAnsi="Calibri" w:cs="Calibri"/>
          <w:b/>
          <w:bCs/>
          <w:i/>
          <w:iCs/>
        </w:rPr>
        <w:t xml:space="preserve">N K Ú  </w:t>
      </w:r>
      <w:r w:rsidRPr="00A531AF">
        <w:rPr>
          <w:rFonts w:ascii="Calibri" w:hAnsi="Calibri" w:cs="Calibri"/>
          <w:b/>
          <w:bCs/>
          <w:iCs/>
        </w:rPr>
        <w:t xml:space="preserve"> </w:t>
      </w:r>
      <w:r w:rsidRPr="00A531AF">
        <w:rPr>
          <w:rFonts w:ascii="Calibri" w:hAnsi="Calibri" w:cs="Calibri"/>
        </w:rPr>
        <w:t xml:space="preserve">na svém </w:t>
      </w:r>
      <w:r w:rsidR="003024DE">
        <w:rPr>
          <w:rFonts w:ascii="Calibri" w:hAnsi="Calibri" w:cs="Calibri"/>
        </w:rPr>
        <w:t>V</w:t>
      </w:r>
      <w:r w:rsidRPr="00A531AF">
        <w:rPr>
          <w:rFonts w:ascii="Calibri" w:hAnsi="Calibri" w:cs="Calibri"/>
        </w:rPr>
        <w:t xml:space="preserve">. jednání, které se konalo dne </w:t>
      </w:r>
      <w:r w:rsidR="003024DE">
        <w:rPr>
          <w:rFonts w:ascii="Calibri" w:hAnsi="Calibri" w:cs="Calibri"/>
        </w:rPr>
        <w:t>20. března</w:t>
      </w:r>
      <w:r w:rsidR="00511982" w:rsidRPr="00A531AF">
        <w:rPr>
          <w:rFonts w:ascii="Calibri" w:hAnsi="Calibri" w:cs="Calibri"/>
        </w:rPr>
        <w:t xml:space="preserve"> 2017</w:t>
      </w:r>
      <w:r w:rsidRPr="00A531AF">
        <w:rPr>
          <w:rFonts w:ascii="Calibri" w:hAnsi="Calibri" w:cs="Calibri"/>
        </w:rPr>
        <w:t xml:space="preserve">, </w:t>
      </w:r>
    </w:p>
    <w:p w:rsidR="00073158" w:rsidRPr="00A531AF" w:rsidRDefault="00073158" w:rsidP="00073158">
      <w:pPr>
        <w:ind w:right="68"/>
        <w:jc w:val="both"/>
        <w:rPr>
          <w:rFonts w:ascii="Calibri" w:hAnsi="Calibri" w:cs="Calibri"/>
        </w:rPr>
      </w:pPr>
      <w:proofErr w:type="gramStart"/>
      <w:r w:rsidRPr="00A531AF">
        <w:rPr>
          <w:rFonts w:ascii="Calibri" w:hAnsi="Calibri" w:cs="Calibri"/>
          <w:b/>
          <w:bCs/>
          <w:i/>
          <w:iCs/>
        </w:rPr>
        <w:t>s c h v á l i l o</w:t>
      </w:r>
      <w:r w:rsidRPr="00A531AF">
        <w:rPr>
          <w:rFonts w:ascii="Calibri" w:hAnsi="Calibri" w:cs="Calibri"/>
        </w:rPr>
        <w:t xml:space="preserve">   usnesením č.</w:t>
      </w:r>
      <w:proofErr w:type="gramEnd"/>
      <w:r w:rsidRPr="00A531AF">
        <w:rPr>
          <w:rFonts w:ascii="Calibri" w:hAnsi="Calibri" w:cs="Calibri"/>
        </w:rPr>
        <w:t xml:space="preserve"> </w:t>
      </w:r>
      <w:r w:rsidR="00586F68">
        <w:rPr>
          <w:rFonts w:ascii="Calibri" w:hAnsi="Calibri" w:cs="Calibri"/>
        </w:rPr>
        <w:t>10</w:t>
      </w:r>
      <w:r w:rsidRPr="00A531AF">
        <w:rPr>
          <w:rFonts w:ascii="Calibri" w:hAnsi="Calibri" w:cs="Calibri"/>
        </w:rPr>
        <w:t>/</w:t>
      </w:r>
      <w:r w:rsidR="003024DE">
        <w:rPr>
          <w:rFonts w:ascii="Calibri" w:hAnsi="Calibri" w:cs="Calibri"/>
        </w:rPr>
        <w:t>V</w:t>
      </w:r>
      <w:r w:rsidR="00511982" w:rsidRPr="00A531AF">
        <w:rPr>
          <w:rFonts w:ascii="Calibri" w:hAnsi="Calibri" w:cs="Calibri"/>
        </w:rPr>
        <w:t>/2017</w:t>
      </w:r>
      <w:r w:rsidRPr="00A531AF">
        <w:rPr>
          <w:rFonts w:ascii="Calibri" w:hAnsi="Calibri" w:cs="Calibri"/>
        </w:rPr>
        <w:t xml:space="preserve"> </w:t>
      </w:r>
    </w:p>
    <w:p w:rsidR="00073158" w:rsidRDefault="00073158" w:rsidP="00073158">
      <w:pPr>
        <w:ind w:right="70"/>
        <w:jc w:val="both"/>
        <w:rPr>
          <w:rFonts w:ascii="Calibri" w:hAnsi="Calibri" w:cs="Calibri"/>
        </w:rPr>
      </w:pPr>
      <w:r w:rsidRPr="00A531AF">
        <w:rPr>
          <w:rFonts w:ascii="Calibri" w:hAnsi="Calibri" w:cs="Calibri"/>
          <w:b/>
          <w:bCs/>
          <w:i/>
          <w:iCs/>
        </w:rPr>
        <w:t>k o n t r o l n í   z á v ě r</w:t>
      </w:r>
      <w:r w:rsidRPr="00A531AF">
        <w:rPr>
          <w:rFonts w:ascii="Calibri" w:hAnsi="Calibri" w:cs="Calibri"/>
        </w:rPr>
        <w:t xml:space="preserve">   v tomto znění:</w:t>
      </w:r>
    </w:p>
    <w:p w:rsidR="00C51371" w:rsidRDefault="00C51371">
      <w:pPr>
        <w:spacing w:after="160" w:line="259" w:lineRule="auto"/>
        <w:rPr>
          <w:rFonts w:asciiTheme="minorHAnsi" w:hAnsiTheme="minorHAnsi" w:cstheme="minorHAnsi"/>
          <w:b/>
          <w:sz w:val="28"/>
          <w:szCs w:val="28"/>
          <w:highlight w:val="yellow"/>
        </w:rPr>
      </w:pPr>
      <w:r>
        <w:rPr>
          <w:rFonts w:asciiTheme="minorHAnsi" w:hAnsiTheme="minorHAnsi" w:cstheme="minorHAnsi"/>
          <w:b/>
          <w:sz w:val="28"/>
          <w:szCs w:val="28"/>
          <w:highlight w:val="yellow"/>
        </w:rPr>
        <w:br w:type="page"/>
      </w:r>
    </w:p>
    <w:p w:rsidR="00C51371" w:rsidRPr="00C51371" w:rsidRDefault="00CF622A" w:rsidP="00C51371">
      <w:pPr>
        <w:jc w:val="center"/>
        <w:rPr>
          <w:rFonts w:asciiTheme="minorHAnsi" w:hAnsiTheme="minorHAnsi" w:cstheme="minorHAnsi"/>
          <w:b/>
          <w:sz w:val="28"/>
          <w:szCs w:val="28"/>
        </w:rPr>
      </w:pPr>
      <w:r>
        <w:rPr>
          <w:rFonts w:asciiTheme="minorHAnsi" w:hAnsiTheme="minorHAnsi" w:cstheme="minorHAnsi"/>
          <w:b/>
          <w:sz w:val="28"/>
          <w:szCs w:val="28"/>
        </w:rPr>
        <w:lastRenderedPageBreak/>
        <w:t>Souhrn</w:t>
      </w:r>
    </w:p>
    <w:p w:rsidR="00C51371" w:rsidRPr="00CF622A" w:rsidRDefault="00C51371" w:rsidP="00C51371">
      <w:pPr>
        <w:pStyle w:val="Odstavecseseznamem"/>
        <w:ind w:left="0"/>
        <w:jc w:val="both"/>
        <w:rPr>
          <w:rFonts w:ascii="Calibri" w:hAnsi="Calibri" w:cs="Calibri"/>
        </w:rPr>
      </w:pPr>
    </w:p>
    <w:p w:rsidR="00C51371" w:rsidRPr="00C51371" w:rsidRDefault="00C51371" w:rsidP="00C51371">
      <w:pPr>
        <w:pStyle w:val="Odstavecseseznamem"/>
        <w:ind w:left="0"/>
        <w:jc w:val="both"/>
        <w:rPr>
          <w:rFonts w:ascii="Calibri" w:hAnsi="Calibri" w:cs="Calibri"/>
          <w:bCs/>
        </w:rPr>
      </w:pPr>
      <w:r w:rsidRPr="00C51371">
        <w:rPr>
          <w:rFonts w:ascii="Calibri" w:hAnsi="Calibri" w:cs="Calibri"/>
          <w:bCs/>
        </w:rPr>
        <w:t>NKÚ provedl kontrolu poskytování, čerpání a užití peněžní</w:t>
      </w:r>
      <w:r w:rsidR="001C7EA1">
        <w:rPr>
          <w:rFonts w:ascii="Calibri" w:hAnsi="Calibri" w:cs="Calibri"/>
          <w:bCs/>
        </w:rPr>
        <w:t>ch prostředků státu určených na</w:t>
      </w:r>
      <w:r w:rsidR="001043A9">
        <w:rPr>
          <w:rFonts w:ascii="Calibri" w:hAnsi="Calibri" w:cs="Calibri"/>
          <w:bCs/>
        </w:rPr>
        <w:t xml:space="preserve"> </w:t>
      </w:r>
      <w:r w:rsidRPr="00C51371">
        <w:rPr>
          <w:rFonts w:ascii="Calibri" w:hAnsi="Calibri" w:cs="Calibri"/>
          <w:bCs/>
        </w:rPr>
        <w:t xml:space="preserve">účelovou podporu výzkumu a vývoje prostřednictvím rozpočtové kapitoly </w:t>
      </w:r>
      <w:r w:rsidRPr="00446247">
        <w:rPr>
          <w:rFonts w:ascii="Calibri" w:hAnsi="Calibri"/>
          <w:i/>
        </w:rPr>
        <w:t>Grantová agentura České republiky</w:t>
      </w:r>
      <w:r w:rsidRPr="00C51371">
        <w:rPr>
          <w:rFonts w:ascii="Calibri" w:hAnsi="Calibri" w:cs="Calibri"/>
          <w:bCs/>
        </w:rPr>
        <w:t>.</w:t>
      </w:r>
    </w:p>
    <w:p w:rsidR="00C51371" w:rsidRPr="00C51371" w:rsidRDefault="00C51371" w:rsidP="00C51371">
      <w:pPr>
        <w:pStyle w:val="Odstavecseseznamem"/>
        <w:ind w:left="0"/>
        <w:jc w:val="both"/>
        <w:rPr>
          <w:rFonts w:ascii="Calibri" w:hAnsi="Calibri" w:cs="Calibri"/>
        </w:rPr>
      </w:pPr>
    </w:p>
    <w:p w:rsidR="00C51371" w:rsidRPr="00C51371" w:rsidRDefault="00AE1012" w:rsidP="00C51371">
      <w:pPr>
        <w:jc w:val="both"/>
        <w:rPr>
          <w:rFonts w:asciiTheme="minorHAnsi" w:hAnsiTheme="minorHAnsi"/>
        </w:rPr>
      </w:pPr>
      <w:r w:rsidRPr="001A6C40">
        <w:rPr>
          <w:rFonts w:asciiTheme="minorHAnsi" w:hAnsiTheme="minorHAnsi"/>
        </w:rPr>
        <w:t>GA Č</w:t>
      </w:r>
      <w:r>
        <w:rPr>
          <w:rFonts w:asciiTheme="minorHAnsi" w:hAnsiTheme="minorHAnsi"/>
        </w:rPr>
        <w:t xml:space="preserve">R je organizační složkou státu a správcem rozpočtové kapitoly. Řídí </w:t>
      </w:r>
      <w:r w:rsidR="005115E6">
        <w:rPr>
          <w:rFonts w:asciiTheme="minorHAnsi" w:hAnsiTheme="minorHAnsi"/>
        </w:rPr>
        <w:t xml:space="preserve">se </w:t>
      </w:r>
      <w:r w:rsidRPr="00C51371">
        <w:rPr>
          <w:rFonts w:asciiTheme="minorHAnsi" w:hAnsiTheme="minorHAnsi"/>
        </w:rPr>
        <w:t>zákonem č.</w:t>
      </w:r>
      <w:r>
        <w:rPr>
          <w:rFonts w:asciiTheme="minorHAnsi" w:hAnsiTheme="minorHAnsi"/>
        </w:rPr>
        <w:t> </w:t>
      </w:r>
      <w:r w:rsidRPr="00C51371">
        <w:rPr>
          <w:rFonts w:asciiTheme="minorHAnsi" w:hAnsiTheme="minorHAnsi"/>
        </w:rPr>
        <w:t>130/2002</w:t>
      </w:r>
      <w:r>
        <w:rPr>
          <w:rFonts w:asciiTheme="minorHAnsi" w:hAnsiTheme="minorHAnsi"/>
        </w:rPr>
        <w:t> </w:t>
      </w:r>
      <w:r w:rsidR="00FF542A">
        <w:rPr>
          <w:rFonts w:asciiTheme="minorHAnsi" w:hAnsiTheme="minorHAnsi"/>
        </w:rPr>
        <w:t>Sb.</w:t>
      </w:r>
      <w:r w:rsidRPr="00C51371">
        <w:rPr>
          <w:rStyle w:val="Znakapoznpodarou"/>
          <w:rFonts w:asciiTheme="minorHAnsi" w:hAnsiTheme="minorHAnsi"/>
        </w:rPr>
        <w:footnoteReference w:id="2"/>
      </w:r>
      <w:r>
        <w:rPr>
          <w:rFonts w:asciiTheme="minorHAnsi" w:hAnsiTheme="minorHAnsi"/>
        </w:rPr>
        <w:t xml:space="preserve"> (dále také „zákon“) a </w:t>
      </w:r>
      <w:r w:rsidR="00A918C8">
        <w:rPr>
          <w:rFonts w:asciiTheme="minorHAnsi" w:hAnsiTheme="minorHAnsi"/>
        </w:rPr>
        <w:t>zabezpečuje zejména vyhlašování veřejných soutěží</w:t>
      </w:r>
      <w:r w:rsidR="00C51371" w:rsidRPr="00C51371">
        <w:rPr>
          <w:rFonts w:asciiTheme="minorHAnsi" w:hAnsiTheme="minorHAnsi"/>
        </w:rPr>
        <w:t xml:space="preserve"> ve</w:t>
      </w:r>
      <w:r w:rsidR="001043A9">
        <w:rPr>
          <w:rFonts w:asciiTheme="minorHAnsi" w:hAnsiTheme="minorHAnsi"/>
        </w:rPr>
        <w:t xml:space="preserve"> </w:t>
      </w:r>
      <w:r w:rsidR="00C51371" w:rsidRPr="00C51371">
        <w:rPr>
          <w:rFonts w:asciiTheme="minorHAnsi" w:hAnsiTheme="minorHAnsi"/>
        </w:rPr>
        <w:t xml:space="preserve">výzkumu, experimentálním vývoji a inovacích </w:t>
      </w:r>
      <w:r w:rsidR="00F16558">
        <w:rPr>
          <w:rFonts w:asciiTheme="minorHAnsi" w:hAnsiTheme="minorHAnsi"/>
        </w:rPr>
        <w:t>(dále také „</w:t>
      </w:r>
      <w:proofErr w:type="spellStart"/>
      <w:r w:rsidR="00F16558">
        <w:rPr>
          <w:rFonts w:asciiTheme="minorHAnsi" w:hAnsiTheme="minorHAnsi"/>
        </w:rPr>
        <w:t>VaVaI</w:t>
      </w:r>
      <w:proofErr w:type="spellEnd"/>
      <w:r w:rsidR="00F16558">
        <w:rPr>
          <w:rFonts w:asciiTheme="minorHAnsi" w:hAnsiTheme="minorHAnsi"/>
        </w:rPr>
        <w:t xml:space="preserve">“) </w:t>
      </w:r>
      <w:r w:rsidR="00C51371" w:rsidRPr="00C51371">
        <w:rPr>
          <w:rFonts w:asciiTheme="minorHAnsi" w:hAnsiTheme="minorHAnsi"/>
        </w:rPr>
        <w:t>na podporu základního výzkumu</w:t>
      </w:r>
      <w:r w:rsidR="00C51371" w:rsidRPr="00C51371">
        <w:rPr>
          <w:rStyle w:val="Znakapoznpodarou"/>
          <w:rFonts w:asciiTheme="minorHAnsi" w:hAnsiTheme="minorHAnsi"/>
        </w:rPr>
        <w:footnoteReference w:id="3"/>
      </w:r>
      <w:r w:rsidR="00C51371" w:rsidRPr="00C51371">
        <w:rPr>
          <w:rFonts w:asciiTheme="minorHAnsi" w:hAnsiTheme="minorHAnsi"/>
        </w:rPr>
        <w:t>. V letech 2011 až 2015 poskytla GA ČR na podporu grantových projektů základního výzkumu 15,3 mld. Kč.</w:t>
      </w:r>
      <w:r w:rsidR="00F16558">
        <w:rPr>
          <w:rFonts w:asciiTheme="minorHAnsi" w:hAnsiTheme="minorHAnsi"/>
        </w:rPr>
        <w:t xml:space="preserve"> S</w:t>
      </w:r>
      <w:r w:rsidR="00F16558" w:rsidRPr="00442DF3">
        <w:rPr>
          <w:rFonts w:asciiTheme="minorHAnsi" w:hAnsiTheme="minorHAnsi"/>
        </w:rPr>
        <w:t xml:space="preserve">pecifikace jednotlivých skupin </w:t>
      </w:r>
      <w:r w:rsidR="00F16558">
        <w:rPr>
          <w:rFonts w:asciiTheme="minorHAnsi" w:hAnsiTheme="minorHAnsi"/>
        </w:rPr>
        <w:t xml:space="preserve">grantových </w:t>
      </w:r>
      <w:r w:rsidR="00F16558" w:rsidRPr="00442DF3">
        <w:rPr>
          <w:rFonts w:asciiTheme="minorHAnsi" w:hAnsiTheme="minorHAnsi"/>
        </w:rPr>
        <w:t>projektů je uvedena v</w:t>
      </w:r>
      <w:r w:rsidR="00F16558">
        <w:rPr>
          <w:rFonts w:asciiTheme="minorHAnsi" w:hAnsiTheme="minorHAnsi"/>
        </w:rPr>
        <w:t> </w:t>
      </w:r>
      <w:r w:rsidR="00F16558" w:rsidRPr="00442DF3">
        <w:rPr>
          <w:rFonts w:asciiTheme="minorHAnsi" w:hAnsiTheme="minorHAnsi"/>
        </w:rPr>
        <w:t>příloze</w:t>
      </w:r>
      <w:r w:rsidR="00F16558">
        <w:rPr>
          <w:rFonts w:asciiTheme="minorHAnsi" w:hAnsiTheme="minorHAnsi"/>
        </w:rPr>
        <w:t xml:space="preserve"> </w:t>
      </w:r>
      <w:r w:rsidR="00F16558" w:rsidRPr="00442DF3">
        <w:rPr>
          <w:rFonts w:asciiTheme="minorHAnsi" w:hAnsiTheme="minorHAnsi"/>
        </w:rPr>
        <w:t>č.</w:t>
      </w:r>
      <w:r w:rsidR="00F16558">
        <w:rPr>
          <w:rFonts w:asciiTheme="minorHAnsi" w:hAnsiTheme="minorHAnsi"/>
        </w:rPr>
        <w:t> 1 tohoto kontrolního závěru.</w:t>
      </w:r>
    </w:p>
    <w:p w:rsidR="00C51371" w:rsidRPr="00C51371" w:rsidRDefault="00C51371" w:rsidP="00C51371">
      <w:pPr>
        <w:pStyle w:val="Odstavecseseznamem"/>
        <w:ind w:left="0"/>
        <w:jc w:val="both"/>
        <w:rPr>
          <w:rFonts w:ascii="Calibri" w:hAnsi="Calibri" w:cs="Calibri"/>
          <w:b/>
        </w:rPr>
      </w:pPr>
    </w:p>
    <w:p w:rsidR="00C51371" w:rsidRPr="00C51371" w:rsidRDefault="00EB3EDD" w:rsidP="00C51371">
      <w:pPr>
        <w:jc w:val="both"/>
        <w:rPr>
          <w:rFonts w:asciiTheme="minorHAnsi" w:hAnsiTheme="minorHAnsi" w:cs="Arial"/>
        </w:rPr>
      </w:pPr>
      <w:r>
        <w:rPr>
          <w:rFonts w:ascii="Calibri" w:hAnsi="Calibri" w:cs="Calibri"/>
        </w:rPr>
        <w:t xml:space="preserve">Kontrolou bylo </w:t>
      </w:r>
      <w:r w:rsidR="001C68AB">
        <w:rPr>
          <w:rFonts w:ascii="Calibri" w:hAnsi="Calibri" w:cs="Calibri"/>
        </w:rPr>
        <w:t xml:space="preserve">zejména </w:t>
      </w:r>
      <w:r>
        <w:rPr>
          <w:rFonts w:ascii="Calibri" w:hAnsi="Calibri" w:cs="Calibri"/>
        </w:rPr>
        <w:t xml:space="preserve">prověřeno, zda </w:t>
      </w:r>
      <w:r w:rsidR="00C51371" w:rsidRPr="00C51371">
        <w:rPr>
          <w:rFonts w:asciiTheme="minorHAnsi" w:hAnsiTheme="minorHAnsi" w:cs="Arial"/>
        </w:rPr>
        <w:t xml:space="preserve">peněžní prostředky na </w:t>
      </w:r>
      <w:r w:rsidR="00C51371" w:rsidRPr="00C51371">
        <w:rPr>
          <w:rFonts w:asciiTheme="minorHAnsi" w:hAnsiTheme="minorHAnsi"/>
        </w:rPr>
        <w:t>podporu základního výzkumu</w:t>
      </w:r>
      <w:r w:rsidR="00C51371" w:rsidRPr="00C51371">
        <w:rPr>
          <w:rFonts w:asciiTheme="minorHAnsi" w:hAnsiTheme="minorHAnsi" w:cs="Arial"/>
        </w:rPr>
        <w:t xml:space="preserve"> </w:t>
      </w:r>
      <w:r w:rsidR="00E53A9B">
        <w:rPr>
          <w:rFonts w:asciiTheme="minorHAnsi" w:hAnsiTheme="minorHAnsi" w:cs="Arial"/>
        </w:rPr>
        <w:t xml:space="preserve">poskytovala GA ČR </w:t>
      </w:r>
      <w:r w:rsidR="00C51371" w:rsidRPr="00C51371">
        <w:rPr>
          <w:rFonts w:asciiTheme="minorHAnsi" w:hAnsiTheme="minorHAnsi" w:cs="Arial"/>
        </w:rPr>
        <w:t xml:space="preserve">v souladu </w:t>
      </w:r>
      <w:r w:rsidR="00E53A9B">
        <w:rPr>
          <w:rFonts w:asciiTheme="minorHAnsi" w:hAnsiTheme="minorHAnsi" w:cs="Arial"/>
        </w:rPr>
        <w:t>s</w:t>
      </w:r>
      <w:r w:rsidR="00C51371" w:rsidRPr="00C51371">
        <w:rPr>
          <w:rFonts w:asciiTheme="minorHAnsi" w:hAnsiTheme="minorHAnsi" w:cs="Arial"/>
        </w:rPr>
        <w:t xml:space="preserve"> národními koncepčními dokumenty </w:t>
      </w:r>
      <w:r w:rsidR="00E53A9B">
        <w:rPr>
          <w:rFonts w:asciiTheme="minorHAnsi" w:hAnsiTheme="minorHAnsi" w:cs="Arial"/>
        </w:rPr>
        <w:t xml:space="preserve">a </w:t>
      </w:r>
      <w:r w:rsidR="00A415EB">
        <w:rPr>
          <w:rFonts w:asciiTheme="minorHAnsi" w:hAnsiTheme="minorHAnsi" w:cs="Arial"/>
        </w:rPr>
        <w:t>právními předpisy</w:t>
      </w:r>
      <w:r w:rsidR="00E53A9B">
        <w:rPr>
          <w:rFonts w:asciiTheme="minorHAnsi" w:hAnsiTheme="minorHAnsi" w:cs="Arial"/>
        </w:rPr>
        <w:t xml:space="preserve"> transparentním způsobem </w:t>
      </w:r>
      <w:r w:rsidR="00C51371" w:rsidRPr="00C51371">
        <w:rPr>
          <w:rFonts w:asciiTheme="minorHAnsi" w:hAnsiTheme="minorHAnsi" w:cs="Arial"/>
        </w:rPr>
        <w:t xml:space="preserve">a zda tyto prostředky </w:t>
      </w:r>
      <w:r w:rsidR="00C51371" w:rsidRPr="00C51371">
        <w:rPr>
          <w:rFonts w:ascii="Calibri" w:hAnsi="Calibri" w:cs="Calibri"/>
        </w:rPr>
        <w:t>p</w:t>
      </w:r>
      <w:r w:rsidR="00C51371" w:rsidRPr="00C51371">
        <w:rPr>
          <w:rFonts w:asciiTheme="minorHAnsi" w:hAnsiTheme="minorHAnsi" w:cs="Arial"/>
        </w:rPr>
        <w:t>řinesly předpokládané výsledky.</w:t>
      </w:r>
    </w:p>
    <w:p w:rsidR="00C51371" w:rsidRPr="00C51371" w:rsidRDefault="00C51371" w:rsidP="00C51371">
      <w:pPr>
        <w:jc w:val="both"/>
        <w:rPr>
          <w:rFonts w:asciiTheme="minorHAnsi" w:hAnsiTheme="minorHAnsi" w:cs="Arial"/>
        </w:rPr>
      </w:pPr>
    </w:p>
    <w:p w:rsidR="00C51371" w:rsidRDefault="00C51371" w:rsidP="00C51371">
      <w:pPr>
        <w:jc w:val="both"/>
        <w:rPr>
          <w:rFonts w:asciiTheme="minorHAnsi" w:hAnsiTheme="minorHAnsi" w:cs="Arial"/>
        </w:rPr>
      </w:pPr>
      <w:r w:rsidRPr="00C51371">
        <w:rPr>
          <w:rFonts w:asciiTheme="minorHAnsi" w:hAnsiTheme="minorHAnsi" w:cs="Arial"/>
        </w:rPr>
        <w:t xml:space="preserve">NKÚ provedl kontrolu u </w:t>
      </w:r>
      <w:r w:rsidRPr="00C51371">
        <w:rPr>
          <w:rFonts w:asciiTheme="minorHAnsi" w:hAnsiTheme="minorHAnsi"/>
        </w:rPr>
        <w:t xml:space="preserve">GA ČR </w:t>
      </w:r>
      <w:r w:rsidRPr="00C51371">
        <w:rPr>
          <w:rFonts w:asciiTheme="minorHAnsi" w:hAnsiTheme="minorHAnsi" w:cs="Arial"/>
        </w:rPr>
        <w:t>a osmi příjemců podpory, u kterých prověřil 33 projektů.</w:t>
      </w:r>
    </w:p>
    <w:p w:rsidR="00C51371" w:rsidRPr="004C031F" w:rsidRDefault="00C51371" w:rsidP="00073158">
      <w:pPr>
        <w:ind w:right="70"/>
        <w:jc w:val="both"/>
        <w:rPr>
          <w:rFonts w:ascii="Calibri" w:hAnsi="Calibri" w:cs="Calibri"/>
        </w:rPr>
      </w:pPr>
    </w:p>
    <w:p w:rsidR="00073158" w:rsidRDefault="00FD153C" w:rsidP="00073158">
      <w:pPr>
        <w:rPr>
          <w:rFonts w:ascii="Calibri" w:hAnsi="Calibri" w:cs="Calibri"/>
          <w:b/>
        </w:rPr>
      </w:pPr>
      <w:r w:rsidRPr="00A3051A">
        <w:rPr>
          <w:rFonts w:ascii="Calibri" w:hAnsi="Calibri" w:cs="Calibri"/>
          <w:b/>
        </w:rPr>
        <w:t>NKÚ při kontrole zjistil:</w:t>
      </w:r>
    </w:p>
    <w:p w:rsidR="00EB3EDD" w:rsidRDefault="00EB3EDD" w:rsidP="00073158">
      <w:pPr>
        <w:rPr>
          <w:rFonts w:ascii="Calibri" w:hAnsi="Calibri" w:cs="Calibri"/>
          <w:b/>
        </w:rPr>
      </w:pPr>
    </w:p>
    <w:p w:rsidR="00EB3EDD" w:rsidRDefault="00EB3EDD" w:rsidP="008E4C96">
      <w:pPr>
        <w:jc w:val="both"/>
        <w:rPr>
          <w:rFonts w:ascii="Calibri" w:hAnsi="Calibri" w:cs="Calibri"/>
          <w:b/>
        </w:rPr>
      </w:pPr>
      <w:r>
        <w:rPr>
          <w:rFonts w:ascii="Calibri" w:hAnsi="Calibri" w:cs="Calibri"/>
          <w:b/>
        </w:rPr>
        <w:t xml:space="preserve">GA ČR </w:t>
      </w:r>
      <w:r w:rsidR="00540EEA">
        <w:rPr>
          <w:rFonts w:ascii="Calibri" w:hAnsi="Calibri" w:cs="Calibri"/>
          <w:b/>
        </w:rPr>
        <w:t xml:space="preserve">neplnila </w:t>
      </w:r>
      <w:r w:rsidR="00540EEA" w:rsidRPr="00540EEA">
        <w:rPr>
          <w:rFonts w:ascii="Calibri" w:hAnsi="Calibri" w:cs="Calibri"/>
          <w:b/>
        </w:rPr>
        <w:t>povinnost spolupodílet se na zajištění vazby základního výzkumu</w:t>
      </w:r>
      <w:r w:rsidR="00540EEA">
        <w:rPr>
          <w:rFonts w:ascii="Calibri" w:hAnsi="Calibri" w:cs="Calibri"/>
          <w:b/>
        </w:rPr>
        <w:t xml:space="preserve"> na další </w:t>
      </w:r>
      <w:r w:rsidR="00540EEA" w:rsidRPr="00540EEA">
        <w:rPr>
          <w:rFonts w:ascii="Calibri" w:hAnsi="Calibri" w:cs="Calibri"/>
          <w:b/>
        </w:rPr>
        <w:t>fáze inovačního procesu</w:t>
      </w:r>
      <w:r w:rsidR="00B8042E">
        <w:rPr>
          <w:rStyle w:val="Znakapoznpodarou"/>
          <w:rFonts w:ascii="Calibri" w:hAnsi="Calibri" w:cs="Calibri"/>
          <w:b/>
        </w:rPr>
        <w:footnoteReference w:id="4"/>
      </w:r>
      <w:r w:rsidR="008E4C96">
        <w:rPr>
          <w:rFonts w:ascii="Calibri" w:hAnsi="Calibri" w:cs="Calibri"/>
          <w:b/>
        </w:rPr>
        <w:t xml:space="preserve">, která jí byla uložena </w:t>
      </w:r>
      <w:r w:rsidR="008E4C96" w:rsidRPr="0024292D">
        <w:rPr>
          <w:rFonts w:ascii="Calibri" w:hAnsi="Calibri" w:cs="Calibri"/>
          <w:b/>
          <w:i/>
        </w:rPr>
        <w:t>Národní politikou výzkumu, vývoje a inova</w:t>
      </w:r>
      <w:r w:rsidR="003F3E81" w:rsidRPr="0024292D">
        <w:rPr>
          <w:rFonts w:ascii="Calibri" w:hAnsi="Calibri" w:cs="Calibri"/>
          <w:b/>
          <w:i/>
        </w:rPr>
        <w:t>cí České republiky na léta 2009–</w:t>
      </w:r>
      <w:r w:rsidR="008E4C96" w:rsidRPr="0024292D">
        <w:rPr>
          <w:rFonts w:ascii="Calibri" w:hAnsi="Calibri" w:cs="Calibri"/>
          <w:b/>
          <w:i/>
        </w:rPr>
        <w:t>2015</w:t>
      </w:r>
      <w:r w:rsidR="008E4C96">
        <w:rPr>
          <w:rFonts w:ascii="Calibri" w:hAnsi="Calibri" w:cs="Calibri"/>
          <w:b/>
        </w:rPr>
        <w:t>.</w:t>
      </w:r>
      <w:r w:rsidR="00735C52">
        <w:rPr>
          <w:rFonts w:ascii="Calibri" w:hAnsi="Calibri" w:cs="Calibri"/>
          <w:b/>
        </w:rPr>
        <w:t xml:space="preserve"> </w:t>
      </w:r>
      <w:r w:rsidR="00735C52" w:rsidRPr="00735C52">
        <w:rPr>
          <w:rFonts w:ascii="Calibri" w:hAnsi="Calibri" w:cs="Calibri"/>
          <w:b/>
        </w:rPr>
        <w:t xml:space="preserve">GA ČR </w:t>
      </w:r>
      <w:r w:rsidR="00735C52">
        <w:rPr>
          <w:rFonts w:ascii="Calibri" w:hAnsi="Calibri" w:cs="Calibri"/>
          <w:b/>
        </w:rPr>
        <w:t xml:space="preserve">nepodporovala </w:t>
      </w:r>
      <w:r w:rsidR="00735C52" w:rsidRPr="00735C52">
        <w:rPr>
          <w:rFonts w:ascii="Calibri" w:hAnsi="Calibri" w:cs="Calibri"/>
          <w:b/>
        </w:rPr>
        <w:t>orientovan</w:t>
      </w:r>
      <w:r w:rsidR="00735C52">
        <w:rPr>
          <w:rFonts w:ascii="Calibri" w:hAnsi="Calibri" w:cs="Calibri"/>
          <w:b/>
        </w:rPr>
        <w:t>ý</w:t>
      </w:r>
      <w:r w:rsidR="00735C52" w:rsidRPr="00735C52">
        <w:rPr>
          <w:rFonts w:ascii="Calibri" w:hAnsi="Calibri" w:cs="Calibri"/>
          <w:b/>
        </w:rPr>
        <w:t xml:space="preserve"> základní výzkum</w:t>
      </w:r>
      <w:r w:rsidR="00B80006">
        <w:rPr>
          <w:rStyle w:val="Znakapoznpodarou"/>
          <w:rFonts w:ascii="Calibri" w:hAnsi="Calibri" w:cs="Calibri"/>
          <w:b/>
        </w:rPr>
        <w:footnoteReference w:id="5"/>
      </w:r>
      <w:r w:rsidR="00864B07">
        <w:rPr>
          <w:rFonts w:ascii="Calibri" w:hAnsi="Calibri" w:cs="Calibri"/>
          <w:b/>
        </w:rPr>
        <w:t>,</w:t>
      </w:r>
      <w:r w:rsidR="00735C52">
        <w:rPr>
          <w:rFonts w:ascii="Calibri" w:hAnsi="Calibri" w:cs="Calibri"/>
          <w:b/>
        </w:rPr>
        <w:t xml:space="preserve"> přestože z</w:t>
      </w:r>
      <w:r w:rsidR="00735C52" w:rsidRPr="00735C52">
        <w:rPr>
          <w:rFonts w:ascii="Calibri" w:hAnsi="Calibri" w:cs="Calibri"/>
          <w:b/>
        </w:rPr>
        <w:t xml:space="preserve"> národních koncepčních dokumentů</w:t>
      </w:r>
      <w:r w:rsidR="00735C52">
        <w:rPr>
          <w:rFonts w:ascii="Calibri" w:hAnsi="Calibri" w:cs="Calibri"/>
          <w:b/>
        </w:rPr>
        <w:t xml:space="preserve"> tato potřeba jednoznačně vyplývá.</w:t>
      </w:r>
      <w:r w:rsidR="00864B07">
        <w:rPr>
          <w:rFonts w:ascii="Calibri" w:hAnsi="Calibri" w:cs="Calibri"/>
          <w:b/>
        </w:rPr>
        <w:t xml:space="preserve"> </w:t>
      </w:r>
      <w:r w:rsidR="00E53A9B">
        <w:rPr>
          <w:rFonts w:ascii="Calibri" w:hAnsi="Calibri" w:cs="Calibri"/>
          <w:b/>
        </w:rPr>
        <w:t xml:space="preserve">U </w:t>
      </w:r>
      <w:r w:rsidR="00E53A9B" w:rsidRPr="00EB3EDD">
        <w:rPr>
          <w:rFonts w:ascii="Calibri" w:hAnsi="Calibri" w:cs="Calibri"/>
          <w:b/>
        </w:rPr>
        <w:t>veřejné soutěže na podporu standardních grantových projektů na rok 2012</w:t>
      </w:r>
      <w:r w:rsidR="001956B7">
        <w:rPr>
          <w:rFonts w:ascii="Calibri" w:hAnsi="Calibri" w:cs="Calibri"/>
          <w:b/>
        </w:rPr>
        <w:t xml:space="preserve"> </w:t>
      </w:r>
      <w:r w:rsidR="000841FE">
        <w:rPr>
          <w:rFonts w:ascii="Calibri" w:hAnsi="Calibri" w:cs="Calibri"/>
          <w:b/>
        </w:rPr>
        <w:t>postupovala v rozporu se</w:t>
      </w:r>
      <w:r w:rsidR="001956B7">
        <w:rPr>
          <w:rFonts w:ascii="Calibri" w:hAnsi="Calibri" w:cs="Calibri"/>
          <w:b/>
        </w:rPr>
        <w:t xml:space="preserve"> zákon</w:t>
      </w:r>
      <w:r w:rsidR="000841FE">
        <w:rPr>
          <w:rFonts w:ascii="Calibri" w:hAnsi="Calibri" w:cs="Calibri"/>
          <w:b/>
        </w:rPr>
        <w:t>em</w:t>
      </w:r>
      <w:r w:rsidR="00E53A9B" w:rsidRPr="00EB3EDD">
        <w:rPr>
          <w:rFonts w:ascii="Calibri" w:hAnsi="Calibri" w:cs="Calibri"/>
          <w:b/>
        </w:rPr>
        <w:t>.</w:t>
      </w:r>
      <w:r w:rsidR="00E53A9B">
        <w:rPr>
          <w:rFonts w:ascii="Calibri" w:hAnsi="Calibri" w:cs="Calibri"/>
          <w:b/>
        </w:rPr>
        <w:t xml:space="preserve"> </w:t>
      </w:r>
      <w:r w:rsidR="00E32B3E" w:rsidRPr="00E32B3E">
        <w:rPr>
          <w:rFonts w:ascii="Calibri" w:hAnsi="Calibri" w:cs="Calibri"/>
          <w:b/>
        </w:rPr>
        <w:t xml:space="preserve">Kontrolou byly zjištěny skutečnosti, které negativně ovlivnily transparentnost výběru projektů. </w:t>
      </w:r>
      <w:r w:rsidR="00864B07">
        <w:rPr>
          <w:rFonts w:ascii="Calibri" w:hAnsi="Calibri" w:cs="Calibri"/>
          <w:b/>
        </w:rPr>
        <w:t xml:space="preserve">Cíle již ukončených </w:t>
      </w:r>
      <w:r w:rsidR="00B8042E">
        <w:rPr>
          <w:rFonts w:ascii="Calibri" w:hAnsi="Calibri" w:cs="Calibri"/>
          <w:b/>
        </w:rPr>
        <w:t xml:space="preserve">kontrolovaných </w:t>
      </w:r>
      <w:r w:rsidR="00864B07">
        <w:rPr>
          <w:rFonts w:ascii="Calibri" w:hAnsi="Calibri" w:cs="Calibri"/>
          <w:b/>
        </w:rPr>
        <w:t xml:space="preserve">projektů byly splněny. </w:t>
      </w:r>
      <w:r w:rsidR="00864B07" w:rsidRPr="00864B07">
        <w:rPr>
          <w:rFonts w:ascii="Calibri" w:hAnsi="Calibri" w:cs="Calibri"/>
          <w:b/>
        </w:rPr>
        <w:t xml:space="preserve">Kvalitu </w:t>
      </w:r>
      <w:r w:rsidR="00864B07">
        <w:rPr>
          <w:rFonts w:ascii="Calibri" w:hAnsi="Calibri" w:cs="Calibri"/>
          <w:b/>
        </w:rPr>
        <w:t xml:space="preserve">dosahovaných </w:t>
      </w:r>
      <w:r w:rsidR="00864B07" w:rsidRPr="00864B07">
        <w:rPr>
          <w:rFonts w:ascii="Calibri" w:hAnsi="Calibri" w:cs="Calibri"/>
          <w:b/>
        </w:rPr>
        <w:t>výsledků GA ČR souhrnně za poskytnutou podporu nesledovala</w:t>
      </w:r>
      <w:r w:rsidR="004A0A5C">
        <w:rPr>
          <w:rFonts w:ascii="Calibri" w:hAnsi="Calibri" w:cs="Calibri"/>
          <w:b/>
        </w:rPr>
        <w:t>,</w:t>
      </w:r>
      <w:r w:rsidR="00864B07">
        <w:rPr>
          <w:rFonts w:ascii="Calibri" w:hAnsi="Calibri" w:cs="Calibri"/>
          <w:b/>
        </w:rPr>
        <w:t xml:space="preserve"> </w:t>
      </w:r>
      <w:r w:rsidR="004A0A5C">
        <w:rPr>
          <w:rFonts w:ascii="Calibri" w:hAnsi="Calibri" w:cs="Calibri"/>
          <w:b/>
        </w:rPr>
        <w:t>c</w:t>
      </w:r>
      <w:r w:rsidR="009D113A">
        <w:rPr>
          <w:rFonts w:ascii="Calibri" w:hAnsi="Calibri" w:cs="Calibri"/>
          <w:b/>
        </w:rPr>
        <w:t xml:space="preserve">elkové dopady podpory </w:t>
      </w:r>
      <w:r w:rsidR="004A0A5C">
        <w:rPr>
          <w:rFonts w:ascii="Calibri" w:hAnsi="Calibri" w:cs="Calibri"/>
          <w:b/>
        </w:rPr>
        <w:t xml:space="preserve">tak </w:t>
      </w:r>
      <w:r w:rsidR="009D113A">
        <w:rPr>
          <w:rFonts w:ascii="Calibri" w:hAnsi="Calibri" w:cs="Calibri"/>
          <w:b/>
        </w:rPr>
        <w:t xml:space="preserve">nebylo možné vyhodnotit. </w:t>
      </w:r>
      <w:r w:rsidR="001C7EA1">
        <w:rPr>
          <w:rFonts w:ascii="Calibri" w:hAnsi="Calibri" w:cs="Calibri"/>
          <w:b/>
        </w:rPr>
        <w:t>V </w:t>
      </w:r>
      <w:r w:rsidR="00864B07" w:rsidRPr="00864B07">
        <w:rPr>
          <w:rFonts w:ascii="Calibri" w:hAnsi="Calibri" w:cs="Calibri"/>
          <w:b/>
        </w:rPr>
        <w:t>kvalitě základního výzkumu Česká republika za evropským průměrem zaostává.</w:t>
      </w:r>
    </w:p>
    <w:p w:rsidR="002C4E39" w:rsidRDefault="002C4E39" w:rsidP="00073158">
      <w:pPr>
        <w:rPr>
          <w:rFonts w:ascii="Calibri" w:hAnsi="Calibri" w:cs="Calibri"/>
          <w:b/>
        </w:rPr>
      </w:pPr>
    </w:p>
    <w:p w:rsidR="004D0A07" w:rsidRDefault="004D0A07" w:rsidP="00073158">
      <w:pPr>
        <w:rPr>
          <w:rFonts w:ascii="Calibri" w:hAnsi="Calibri" w:cs="Calibri"/>
          <w:b/>
        </w:rPr>
      </w:pPr>
    </w:p>
    <w:p w:rsidR="004D0A07" w:rsidRDefault="004D0A07" w:rsidP="00073158">
      <w:pPr>
        <w:rPr>
          <w:rFonts w:ascii="Calibri" w:hAnsi="Calibri" w:cs="Calibri"/>
          <w:b/>
        </w:rPr>
      </w:pPr>
    </w:p>
    <w:p w:rsidR="002C4E39" w:rsidRPr="0093705E" w:rsidRDefault="002C4E39" w:rsidP="0093705E">
      <w:pPr>
        <w:pStyle w:val="Odstavecseseznamem"/>
        <w:numPr>
          <w:ilvl w:val="0"/>
          <w:numId w:val="11"/>
        </w:numPr>
        <w:ind w:left="360"/>
        <w:jc w:val="both"/>
        <w:rPr>
          <w:rFonts w:asciiTheme="minorHAnsi" w:hAnsiTheme="minorHAnsi"/>
        </w:rPr>
      </w:pPr>
      <w:r w:rsidRPr="0093705E">
        <w:rPr>
          <w:rFonts w:asciiTheme="minorHAnsi" w:hAnsiTheme="minorHAnsi"/>
        </w:rPr>
        <w:lastRenderedPageBreak/>
        <w:t xml:space="preserve">Grantové agentuře České republiky byla uložena povinnost spolupodílet se na zajištění vazby základního výzkumu na další fáze inovačního procesu, přesto GA ČR tuto provázanost nesledovala, nevyhodnocovala a </w:t>
      </w:r>
      <w:r w:rsidR="00A0770D">
        <w:rPr>
          <w:rFonts w:asciiTheme="minorHAnsi" w:hAnsiTheme="minorHAnsi"/>
        </w:rPr>
        <w:t xml:space="preserve">systematicky </w:t>
      </w:r>
      <w:r w:rsidRPr="0093705E">
        <w:rPr>
          <w:rFonts w:asciiTheme="minorHAnsi" w:hAnsiTheme="minorHAnsi"/>
        </w:rPr>
        <w:t xml:space="preserve">nepodporovala. Podpora projektů zahrnujících </w:t>
      </w:r>
      <w:r w:rsidR="00323885">
        <w:rPr>
          <w:rFonts w:asciiTheme="minorHAnsi" w:hAnsiTheme="minorHAnsi"/>
        </w:rPr>
        <w:t>všechny fáze</w:t>
      </w:r>
      <w:r w:rsidRPr="0093705E">
        <w:rPr>
          <w:rFonts w:asciiTheme="minorHAnsi" w:hAnsiTheme="minorHAnsi"/>
        </w:rPr>
        <w:t xml:space="preserve"> inovační</w:t>
      </w:r>
      <w:r w:rsidR="00323885">
        <w:rPr>
          <w:rFonts w:asciiTheme="minorHAnsi" w:hAnsiTheme="minorHAnsi"/>
        </w:rPr>
        <w:t>ho</w:t>
      </w:r>
      <w:r w:rsidRPr="0093705E">
        <w:rPr>
          <w:rFonts w:asciiTheme="minorHAnsi" w:hAnsiTheme="minorHAnsi"/>
        </w:rPr>
        <w:t xml:space="preserve"> </w:t>
      </w:r>
      <w:r w:rsidR="00AE1324">
        <w:rPr>
          <w:rFonts w:asciiTheme="minorHAnsi" w:hAnsiTheme="minorHAnsi"/>
        </w:rPr>
        <w:t>proces</w:t>
      </w:r>
      <w:r w:rsidR="00323885">
        <w:rPr>
          <w:rFonts w:asciiTheme="minorHAnsi" w:hAnsiTheme="minorHAnsi"/>
        </w:rPr>
        <w:t>u</w:t>
      </w:r>
      <w:r w:rsidRPr="0093705E">
        <w:rPr>
          <w:rFonts w:asciiTheme="minorHAnsi" w:hAnsiTheme="minorHAnsi"/>
        </w:rPr>
        <w:t xml:space="preserve"> </w:t>
      </w:r>
      <w:r w:rsidR="00F16558">
        <w:rPr>
          <w:rFonts w:asciiTheme="minorHAnsi" w:hAnsiTheme="minorHAnsi"/>
        </w:rPr>
        <w:t xml:space="preserve">přitom </w:t>
      </w:r>
      <w:r w:rsidRPr="0093705E">
        <w:rPr>
          <w:rFonts w:asciiTheme="minorHAnsi" w:hAnsiTheme="minorHAnsi"/>
        </w:rPr>
        <w:t>ved</w:t>
      </w:r>
      <w:r w:rsidR="00F16558">
        <w:rPr>
          <w:rFonts w:asciiTheme="minorHAnsi" w:hAnsiTheme="minorHAnsi"/>
        </w:rPr>
        <w:t>e</w:t>
      </w:r>
      <w:r w:rsidRPr="0093705E">
        <w:rPr>
          <w:rFonts w:asciiTheme="minorHAnsi" w:hAnsiTheme="minorHAnsi"/>
        </w:rPr>
        <w:t xml:space="preserve"> k zefektivnění činnosti výzkumných organizací.</w:t>
      </w:r>
    </w:p>
    <w:p w:rsidR="002C4E39" w:rsidRDefault="002C4E39" w:rsidP="0093705E">
      <w:pPr>
        <w:jc w:val="both"/>
        <w:rPr>
          <w:rFonts w:asciiTheme="minorHAnsi" w:hAnsiTheme="minorHAnsi"/>
        </w:rPr>
      </w:pPr>
    </w:p>
    <w:p w:rsidR="002C4E39" w:rsidRPr="0093705E" w:rsidRDefault="002C4E39" w:rsidP="0093705E">
      <w:pPr>
        <w:pStyle w:val="Odstavecseseznamem"/>
        <w:numPr>
          <w:ilvl w:val="0"/>
          <w:numId w:val="11"/>
        </w:numPr>
        <w:ind w:left="360"/>
        <w:jc w:val="both"/>
        <w:rPr>
          <w:rFonts w:asciiTheme="minorHAnsi" w:hAnsiTheme="minorHAnsi"/>
        </w:rPr>
      </w:pPr>
      <w:r w:rsidRPr="0093705E">
        <w:rPr>
          <w:rFonts w:asciiTheme="minorHAnsi" w:hAnsiTheme="minorHAnsi"/>
        </w:rPr>
        <w:t xml:space="preserve">GA ČR </w:t>
      </w:r>
      <w:r w:rsidR="00A0770D">
        <w:rPr>
          <w:rFonts w:asciiTheme="minorHAnsi" w:hAnsiTheme="minorHAnsi"/>
        </w:rPr>
        <w:t>nepodporovala</w:t>
      </w:r>
      <w:r w:rsidRPr="0093705E">
        <w:rPr>
          <w:rFonts w:asciiTheme="minorHAnsi" w:hAnsiTheme="minorHAnsi"/>
        </w:rPr>
        <w:t xml:space="preserve"> orientovan</w:t>
      </w:r>
      <w:r w:rsidR="00A0770D">
        <w:rPr>
          <w:rFonts w:asciiTheme="minorHAnsi" w:hAnsiTheme="minorHAnsi"/>
        </w:rPr>
        <w:t>ý</w:t>
      </w:r>
      <w:r w:rsidRPr="0093705E">
        <w:rPr>
          <w:rFonts w:asciiTheme="minorHAnsi" w:hAnsiTheme="minorHAnsi"/>
        </w:rPr>
        <w:t xml:space="preserve"> základní výzkum</w:t>
      </w:r>
      <w:r w:rsidR="00D27A5B">
        <w:rPr>
          <w:rFonts w:asciiTheme="minorHAnsi" w:hAnsiTheme="minorHAnsi"/>
        </w:rPr>
        <w:t xml:space="preserve"> s cílem podpořit oblasti s vyšším předpokladem návaznosti a využití </w:t>
      </w:r>
      <w:r w:rsidR="006B2256">
        <w:rPr>
          <w:rFonts w:asciiTheme="minorHAnsi" w:hAnsiTheme="minorHAnsi"/>
        </w:rPr>
        <w:t xml:space="preserve">výsledků </w:t>
      </w:r>
      <w:r w:rsidR="00D27A5B">
        <w:rPr>
          <w:rFonts w:asciiTheme="minorHAnsi" w:hAnsiTheme="minorHAnsi"/>
        </w:rPr>
        <w:t>v následných fázích inovačního procesu</w:t>
      </w:r>
      <w:r w:rsidRPr="0093705E">
        <w:rPr>
          <w:rFonts w:asciiTheme="minorHAnsi" w:hAnsiTheme="minorHAnsi"/>
        </w:rPr>
        <w:t>. Namísto koncentrace části podpor</w:t>
      </w:r>
      <w:r w:rsidR="00A0770D">
        <w:rPr>
          <w:rFonts w:asciiTheme="minorHAnsi" w:hAnsiTheme="minorHAnsi"/>
        </w:rPr>
        <w:t xml:space="preserve">y do strategických oblastí </w:t>
      </w:r>
      <w:r w:rsidRPr="0093705E">
        <w:rPr>
          <w:rFonts w:asciiTheme="minorHAnsi" w:hAnsiTheme="minorHAnsi"/>
        </w:rPr>
        <w:t>upřednostňovala rovnoměrné rozložení podpory grantových projektů do všech pěti vědních oborů, které postihují všechny oblasti základního výzkumu. Z národních koncepčních dokumentů i z interních materiálů GA ČR přitom vyplývá potřeba strategického orientov</w:t>
      </w:r>
      <w:r w:rsidR="001C7EA1">
        <w:rPr>
          <w:rFonts w:asciiTheme="minorHAnsi" w:hAnsiTheme="minorHAnsi"/>
        </w:rPr>
        <w:t>ání části základního výzkumu do</w:t>
      </w:r>
      <w:r w:rsidR="006B2256">
        <w:rPr>
          <w:rFonts w:asciiTheme="minorHAnsi" w:hAnsiTheme="minorHAnsi"/>
        </w:rPr>
        <w:t xml:space="preserve"> </w:t>
      </w:r>
      <w:r w:rsidR="00A0770D">
        <w:rPr>
          <w:rFonts w:asciiTheme="minorHAnsi" w:hAnsiTheme="minorHAnsi"/>
        </w:rPr>
        <w:t xml:space="preserve">stanovených </w:t>
      </w:r>
      <w:r w:rsidR="004A0972">
        <w:rPr>
          <w:rFonts w:asciiTheme="minorHAnsi" w:hAnsiTheme="minorHAnsi"/>
        </w:rPr>
        <w:t xml:space="preserve">prioritních </w:t>
      </w:r>
      <w:r w:rsidRPr="0093705E">
        <w:rPr>
          <w:rFonts w:asciiTheme="minorHAnsi" w:hAnsiTheme="minorHAnsi"/>
        </w:rPr>
        <w:t>oblastí</w:t>
      </w:r>
      <w:r w:rsidR="00A0770D">
        <w:rPr>
          <w:rFonts w:asciiTheme="minorHAnsi" w:hAnsiTheme="minorHAnsi"/>
        </w:rPr>
        <w:t xml:space="preserve"> </w:t>
      </w:r>
      <w:proofErr w:type="spellStart"/>
      <w:r w:rsidR="00A0770D">
        <w:rPr>
          <w:rFonts w:asciiTheme="minorHAnsi" w:hAnsiTheme="minorHAnsi"/>
        </w:rPr>
        <w:t>VaVaI</w:t>
      </w:r>
      <w:proofErr w:type="spellEnd"/>
      <w:r w:rsidR="004A0972">
        <w:rPr>
          <w:rFonts w:asciiTheme="minorHAnsi" w:hAnsiTheme="minorHAnsi"/>
        </w:rPr>
        <w:t>.</w:t>
      </w:r>
    </w:p>
    <w:p w:rsidR="002C4E39" w:rsidRDefault="002C4E39" w:rsidP="0093705E">
      <w:pPr>
        <w:jc w:val="both"/>
        <w:rPr>
          <w:rFonts w:asciiTheme="minorHAnsi" w:hAnsiTheme="minorHAnsi"/>
        </w:rPr>
      </w:pPr>
    </w:p>
    <w:p w:rsidR="002C4E39" w:rsidRPr="0093705E" w:rsidRDefault="005E4C97" w:rsidP="0093705E">
      <w:pPr>
        <w:pStyle w:val="Odstavecseseznamem"/>
        <w:numPr>
          <w:ilvl w:val="0"/>
          <w:numId w:val="11"/>
        </w:numPr>
        <w:ind w:left="360"/>
        <w:jc w:val="both"/>
        <w:rPr>
          <w:rFonts w:ascii="Calibri" w:hAnsi="Calibri"/>
        </w:rPr>
      </w:pPr>
      <w:r>
        <w:rPr>
          <w:rFonts w:ascii="Calibri" w:hAnsi="Calibri"/>
        </w:rPr>
        <w:t>V</w:t>
      </w:r>
      <w:r w:rsidR="00582A7D">
        <w:rPr>
          <w:rFonts w:ascii="Calibri" w:hAnsi="Calibri"/>
        </w:rPr>
        <w:t> </w:t>
      </w:r>
      <w:r w:rsidR="006130C0">
        <w:rPr>
          <w:rFonts w:ascii="Calibri" w:hAnsi="Calibri"/>
        </w:rPr>
        <w:t>oblasti</w:t>
      </w:r>
      <w:r w:rsidR="00582A7D">
        <w:rPr>
          <w:rFonts w:ascii="Calibri" w:hAnsi="Calibri"/>
        </w:rPr>
        <w:t xml:space="preserve"> </w:t>
      </w:r>
      <w:r w:rsidR="00582A7D" w:rsidRPr="0041547B">
        <w:rPr>
          <w:rFonts w:ascii="Calibri" w:hAnsi="Calibri" w:cs="Calibri"/>
          <w:lang w:eastAsia="en-US"/>
        </w:rPr>
        <w:t>veřejn</w:t>
      </w:r>
      <w:r w:rsidR="00582A7D">
        <w:rPr>
          <w:rFonts w:ascii="Calibri" w:hAnsi="Calibri" w:cs="Calibri"/>
          <w:lang w:eastAsia="en-US"/>
        </w:rPr>
        <w:t xml:space="preserve">ých </w:t>
      </w:r>
      <w:r w:rsidR="00582A7D" w:rsidRPr="005E4C97">
        <w:rPr>
          <w:rFonts w:ascii="Calibri" w:hAnsi="Calibri"/>
        </w:rPr>
        <w:t xml:space="preserve">soutěží na podporu standardních grantových </w:t>
      </w:r>
      <w:r w:rsidR="00582A7D" w:rsidRPr="00A0770D">
        <w:rPr>
          <w:rFonts w:ascii="Calibri" w:hAnsi="Calibri"/>
        </w:rPr>
        <w:t>projektů na rok 2012 a</w:t>
      </w:r>
      <w:r w:rsidR="00320ED4">
        <w:rPr>
          <w:rFonts w:ascii="Calibri" w:hAnsi="Calibri"/>
        </w:rPr>
        <w:t> </w:t>
      </w:r>
      <w:r w:rsidR="00582A7D" w:rsidRPr="00A0770D">
        <w:rPr>
          <w:rFonts w:ascii="Calibri" w:hAnsi="Calibri"/>
        </w:rPr>
        <w:t>na</w:t>
      </w:r>
      <w:r w:rsidR="00320ED4">
        <w:rPr>
          <w:rFonts w:ascii="Calibri" w:hAnsi="Calibri"/>
        </w:rPr>
        <w:t> </w:t>
      </w:r>
      <w:r w:rsidR="00737261">
        <w:rPr>
          <w:rFonts w:ascii="Calibri" w:hAnsi="Calibri"/>
        </w:rPr>
        <w:t>„</w:t>
      </w:r>
      <w:r w:rsidR="00582A7D" w:rsidRPr="00A0770D">
        <w:rPr>
          <w:rFonts w:ascii="Calibri" w:hAnsi="Calibri"/>
        </w:rPr>
        <w:t>podporu excelence</w:t>
      </w:r>
      <w:r w:rsidR="00737261">
        <w:rPr>
          <w:rFonts w:ascii="Calibri" w:hAnsi="Calibri"/>
        </w:rPr>
        <w:t>“</w:t>
      </w:r>
      <w:r w:rsidR="00582A7D" w:rsidRPr="00A0770D">
        <w:rPr>
          <w:rFonts w:ascii="Calibri" w:hAnsi="Calibri"/>
        </w:rPr>
        <w:t xml:space="preserve"> na rok 2014 </w:t>
      </w:r>
      <w:r>
        <w:rPr>
          <w:rFonts w:ascii="Calibri" w:hAnsi="Calibri"/>
        </w:rPr>
        <w:t>byly k</w:t>
      </w:r>
      <w:r w:rsidRPr="005E4C97">
        <w:rPr>
          <w:rFonts w:ascii="Calibri" w:hAnsi="Calibri"/>
        </w:rPr>
        <w:t xml:space="preserve">ontrolou zjištěny skutečnosti, které negativně ovlivnily transparentnost výběru projektů. </w:t>
      </w:r>
      <w:r w:rsidR="00582A7D" w:rsidRPr="0093705E">
        <w:rPr>
          <w:rFonts w:ascii="Calibri" w:hAnsi="Calibri"/>
        </w:rPr>
        <w:t>V rozporu se zákonem GA ČR změnila podmínky již vyhlášené veřejné soutěže</w:t>
      </w:r>
      <w:r w:rsidR="00DC6D59">
        <w:rPr>
          <w:rFonts w:ascii="Calibri" w:hAnsi="Calibri"/>
        </w:rPr>
        <w:t>. Vytvořila tak</w:t>
      </w:r>
      <w:r w:rsidR="00582A7D" w:rsidRPr="0093705E">
        <w:rPr>
          <w:rFonts w:ascii="Calibri" w:hAnsi="Calibri"/>
        </w:rPr>
        <w:t xml:space="preserve"> </w:t>
      </w:r>
      <w:r w:rsidR="00DC6D59" w:rsidRPr="0093705E">
        <w:rPr>
          <w:rFonts w:ascii="Calibri" w:hAnsi="Calibri"/>
        </w:rPr>
        <w:t>nerovné soutěžní podmínky</w:t>
      </w:r>
      <w:r w:rsidR="00DC6D59">
        <w:rPr>
          <w:rFonts w:ascii="Calibri" w:hAnsi="Calibri"/>
        </w:rPr>
        <w:t>, čímž</w:t>
      </w:r>
      <w:r w:rsidR="00582A7D" w:rsidRPr="0093705E">
        <w:rPr>
          <w:rFonts w:ascii="Calibri" w:hAnsi="Calibri"/>
        </w:rPr>
        <w:t xml:space="preserve"> mohla</w:t>
      </w:r>
      <w:r w:rsidR="00DC6D59">
        <w:rPr>
          <w:rFonts w:ascii="Calibri" w:hAnsi="Calibri"/>
        </w:rPr>
        <w:t xml:space="preserve"> některé uchazeče zvýhodnit</w:t>
      </w:r>
      <w:r w:rsidR="00582A7D" w:rsidRPr="0093705E">
        <w:rPr>
          <w:rFonts w:ascii="Calibri" w:hAnsi="Calibri"/>
        </w:rPr>
        <w:t xml:space="preserve">. Předsednictvo GA ČR rozhodlo o poskytnutí podpory jiným </w:t>
      </w:r>
      <w:r w:rsidR="00582A7D">
        <w:rPr>
          <w:rFonts w:ascii="Calibri" w:hAnsi="Calibri"/>
        </w:rPr>
        <w:t xml:space="preserve">projektům, </w:t>
      </w:r>
      <w:r w:rsidR="00582A7D" w:rsidRPr="0093705E">
        <w:rPr>
          <w:rFonts w:ascii="Calibri" w:hAnsi="Calibri"/>
        </w:rPr>
        <w:t xml:space="preserve">než </w:t>
      </w:r>
      <w:r w:rsidR="00582A7D">
        <w:rPr>
          <w:rFonts w:ascii="Calibri" w:hAnsi="Calibri"/>
        </w:rPr>
        <w:t xml:space="preserve">které navrhla </w:t>
      </w:r>
      <w:r w:rsidR="00582A7D" w:rsidRPr="0093705E">
        <w:rPr>
          <w:rFonts w:ascii="Calibri" w:hAnsi="Calibri"/>
        </w:rPr>
        <w:t>obor</w:t>
      </w:r>
      <w:r w:rsidR="00582A7D">
        <w:rPr>
          <w:rFonts w:ascii="Calibri" w:hAnsi="Calibri"/>
        </w:rPr>
        <w:t>ová komise na základě</w:t>
      </w:r>
      <w:r w:rsidR="00582A7D" w:rsidRPr="0093705E">
        <w:rPr>
          <w:rFonts w:ascii="Calibri" w:hAnsi="Calibri"/>
        </w:rPr>
        <w:t xml:space="preserve"> hodnocení projektů, které bylo výsledkem </w:t>
      </w:r>
      <w:r w:rsidR="00582A7D">
        <w:rPr>
          <w:rFonts w:ascii="Calibri" w:hAnsi="Calibri"/>
        </w:rPr>
        <w:t>odborných</w:t>
      </w:r>
      <w:r w:rsidR="00582A7D" w:rsidRPr="0093705E">
        <w:rPr>
          <w:rFonts w:ascii="Calibri" w:hAnsi="Calibri"/>
        </w:rPr>
        <w:t xml:space="preserve"> jednání a oponentních posudků externích hodnotitelů, včetně zahraničních</w:t>
      </w:r>
      <w:r w:rsidR="004A0A5C">
        <w:rPr>
          <w:rFonts w:ascii="Calibri" w:hAnsi="Calibri"/>
        </w:rPr>
        <w:t>.</w:t>
      </w:r>
      <w:r w:rsidR="0026309C">
        <w:rPr>
          <w:rFonts w:ascii="Calibri" w:hAnsi="Calibri"/>
        </w:rPr>
        <w:t xml:space="preserve"> </w:t>
      </w:r>
      <w:r w:rsidR="00582A7D" w:rsidRPr="0093705E">
        <w:rPr>
          <w:rFonts w:ascii="Calibri" w:hAnsi="Calibri"/>
        </w:rPr>
        <w:t xml:space="preserve">Hodnoticí kritéria uvedená v zadávacích dokumentacích nebyla zcela totožná </w:t>
      </w:r>
      <w:r w:rsidR="00582A7D">
        <w:rPr>
          <w:rFonts w:ascii="Calibri" w:hAnsi="Calibri"/>
        </w:rPr>
        <w:t>s </w:t>
      </w:r>
      <w:r w:rsidR="00582A7D" w:rsidRPr="0093705E">
        <w:rPr>
          <w:rFonts w:ascii="Calibri" w:hAnsi="Calibri"/>
        </w:rPr>
        <w:t xml:space="preserve">kritérii, která hodnotili posuzovatelé v hodnoticích protokolech. GA ČR nevytvářela písemné záznamy </w:t>
      </w:r>
      <w:r w:rsidR="00582A7D">
        <w:rPr>
          <w:rFonts w:ascii="Calibri" w:hAnsi="Calibri"/>
        </w:rPr>
        <w:t>o hodnocení veškerých kritérií</w:t>
      </w:r>
      <w:r w:rsidR="006130C0">
        <w:rPr>
          <w:rFonts w:ascii="Calibri" w:hAnsi="Calibri"/>
        </w:rPr>
        <w:t>,</w:t>
      </w:r>
      <w:r w:rsidR="00582A7D">
        <w:rPr>
          <w:rFonts w:ascii="Calibri" w:hAnsi="Calibri"/>
        </w:rPr>
        <w:t xml:space="preserve"> a j</w:t>
      </w:r>
      <w:r w:rsidR="00582A7D" w:rsidRPr="0093705E">
        <w:rPr>
          <w:rFonts w:ascii="Calibri" w:hAnsi="Calibri"/>
        </w:rPr>
        <w:t>ejich zohlednění tak nebylo ověřitelné</w:t>
      </w:r>
      <w:r w:rsidR="00582A7D">
        <w:rPr>
          <w:rFonts w:ascii="Calibri" w:hAnsi="Calibri"/>
        </w:rPr>
        <w:t>.</w:t>
      </w:r>
    </w:p>
    <w:p w:rsidR="0093705E" w:rsidRDefault="0093705E" w:rsidP="0093705E">
      <w:pPr>
        <w:jc w:val="both"/>
        <w:rPr>
          <w:rFonts w:ascii="Calibri" w:hAnsi="Calibri"/>
        </w:rPr>
      </w:pPr>
    </w:p>
    <w:p w:rsidR="0093705E" w:rsidRPr="0093705E" w:rsidRDefault="005E4C97" w:rsidP="0093705E">
      <w:pPr>
        <w:pStyle w:val="Odstavecseseznamem"/>
        <w:numPr>
          <w:ilvl w:val="0"/>
          <w:numId w:val="11"/>
        </w:numPr>
        <w:ind w:left="360"/>
        <w:jc w:val="both"/>
        <w:rPr>
          <w:rFonts w:ascii="Calibri" w:hAnsi="Calibri"/>
        </w:rPr>
      </w:pPr>
      <w:r w:rsidRPr="00171622">
        <w:rPr>
          <w:rFonts w:asciiTheme="minorHAnsi" w:hAnsiTheme="minorHAnsi" w:cstheme="minorHAnsi"/>
        </w:rPr>
        <w:t>GA ČR vyplácela podporu na druhý a další roky řešení projektů vždy až po uzavření dodatku ke smlouvě o poskytnutí podpory na</w:t>
      </w:r>
      <w:r w:rsidR="006130C0">
        <w:rPr>
          <w:rFonts w:asciiTheme="minorHAnsi" w:hAnsiTheme="minorHAnsi" w:cstheme="minorHAnsi"/>
        </w:rPr>
        <w:t xml:space="preserve"> </w:t>
      </w:r>
      <w:r w:rsidRPr="00171622">
        <w:rPr>
          <w:rFonts w:asciiTheme="minorHAnsi" w:hAnsiTheme="minorHAnsi" w:cstheme="minorHAnsi"/>
        </w:rPr>
        <w:t>daný rok</w:t>
      </w:r>
      <w:r>
        <w:rPr>
          <w:rFonts w:asciiTheme="minorHAnsi" w:hAnsiTheme="minorHAnsi" w:cstheme="minorHAnsi"/>
        </w:rPr>
        <w:t>.</w:t>
      </w:r>
      <w:r w:rsidR="0093705E" w:rsidRPr="0093705E">
        <w:rPr>
          <w:rFonts w:asciiTheme="minorHAnsi" w:hAnsiTheme="minorHAnsi"/>
        </w:rPr>
        <w:t xml:space="preserve"> Těmito dodatky přitom nebyly ve většině případů měněny již sjednané podmínky. Nutnost </w:t>
      </w:r>
      <w:r w:rsidR="004A534A">
        <w:rPr>
          <w:rFonts w:asciiTheme="minorHAnsi" w:hAnsiTheme="minorHAnsi"/>
        </w:rPr>
        <w:t>uzavření</w:t>
      </w:r>
      <w:r w:rsidR="0093705E" w:rsidRPr="0093705E">
        <w:rPr>
          <w:rFonts w:asciiTheme="minorHAnsi" w:hAnsiTheme="minorHAnsi"/>
        </w:rPr>
        <w:t xml:space="preserve"> těchto dodatků </w:t>
      </w:r>
      <w:r w:rsidR="0093705E" w:rsidRPr="0093705E">
        <w:rPr>
          <w:rFonts w:ascii="Calibri" w:hAnsi="Calibri"/>
        </w:rPr>
        <w:t>vedla k</w:t>
      </w:r>
      <w:r w:rsidR="00320ED4">
        <w:rPr>
          <w:rFonts w:ascii="Calibri" w:hAnsi="Calibri"/>
        </w:rPr>
        <w:t> </w:t>
      </w:r>
      <w:r w:rsidR="0093705E" w:rsidRPr="0093705E">
        <w:rPr>
          <w:rFonts w:ascii="Calibri" w:hAnsi="Calibri"/>
        </w:rPr>
        <w:t>administrativně náročnému systému pro GA ČR i příjemce a rovněž k</w:t>
      </w:r>
      <w:r w:rsidR="006130C0">
        <w:rPr>
          <w:rFonts w:ascii="Calibri" w:hAnsi="Calibri"/>
        </w:rPr>
        <w:t> opožděnému</w:t>
      </w:r>
      <w:r w:rsidR="0093705E" w:rsidRPr="0093705E">
        <w:rPr>
          <w:rFonts w:ascii="Calibri" w:hAnsi="Calibri"/>
        </w:rPr>
        <w:t xml:space="preserve"> vyplácení podpory příjemcům.</w:t>
      </w:r>
    </w:p>
    <w:p w:rsidR="0093705E" w:rsidRDefault="0093705E" w:rsidP="0093705E">
      <w:pPr>
        <w:jc w:val="both"/>
        <w:rPr>
          <w:rFonts w:ascii="Calibri" w:hAnsi="Calibri"/>
        </w:rPr>
      </w:pPr>
    </w:p>
    <w:p w:rsidR="0093705E" w:rsidRDefault="00C94080" w:rsidP="0093705E">
      <w:pPr>
        <w:pStyle w:val="Odstavecseseznamem"/>
        <w:numPr>
          <w:ilvl w:val="0"/>
          <w:numId w:val="11"/>
        </w:numPr>
        <w:ind w:left="360"/>
        <w:jc w:val="both"/>
        <w:rPr>
          <w:rFonts w:ascii="Calibri" w:hAnsi="Calibri"/>
        </w:rPr>
      </w:pPr>
      <w:r w:rsidRPr="00CB3FF6">
        <w:rPr>
          <w:rFonts w:ascii="Calibri" w:hAnsi="Calibri"/>
        </w:rPr>
        <w:t xml:space="preserve">GA ČR </w:t>
      </w:r>
      <w:r>
        <w:rPr>
          <w:rFonts w:ascii="Calibri" w:hAnsi="Calibri"/>
        </w:rPr>
        <w:t>nesledovala</w:t>
      </w:r>
      <w:r w:rsidRPr="00CB3FF6">
        <w:rPr>
          <w:rFonts w:ascii="Calibri" w:hAnsi="Calibri"/>
        </w:rPr>
        <w:t xml:space="preserve"> kvalitu </w:t>
      </w:r>
      <w:r>
        <w:rPr>
          <w:rFonts w:ascii="Calibri" w:hAnsi="Calibri"/>
        </w:rPr>
        <w:t xml:space="preserve">dosahovaných </w:t>
      </w:r>
      <w:r w:rsidRPr="00CB3FF6">
        <w:rPr>
          <w:rFonts w:ascii="Calibri" w:hAnsi="Calibri"/>
        </w:rPr>
        <w:t xml:space="preserve">výsledků </w:t>
      </w:r>
      <w:r w:rsidR="004A0A5C">
        <w:rPr>
          <w:rFonts w:ascii="Calibri" w:hAnsi="Calibri"/>
        </w:rPr>
        <w:t>za jednotlivé vědní obory ani</w:t>
      </w:r>
      <w:r w:rsidR="004A0A5C" w:rsidRPr="00CB3FF6">
        <w:rPr>
          <w:rFonts w:ascii="Calibri" w:hAnsi="Calibri"/>
        </w:rPr>
        <w:t xml:space="preserve"> </w:t>
      </w:r>
      <w:r w:rsidRPr="00CB3FF6">
        <w:rPr>
          <w:rFonts w:ascii="Calibri" w:hAnsi="Calibri"/>
        </w:rPr>
        <w:t>so</w:t>
      </w:r>
      <w:r w:rsidR="001C7EA1">
        <w:rPr>
          <w:rFonts w:ascii="Calibri" w:hAnsi="Calibri"/>
        </w:rPr>
        <w:t>uhrnně za poskytnutou podporu</w:t>
      </w:r>
      <w:r w:rsidR="006130C0">
        <w:rPr>
          <w:rFonts w:ascii="Calibri" w:hAnsi="Calibri"/>
        </w:rPr>
        <w:t>,</w:t>
      </w:r>
      <w:r w:rsidR="001C7EA1">
        <w:rPr>
          <w:rFonts w:ascii="Calibri" w:hAnsi="Calibri"/>
        </w:rPr>
        <w:t xml:space="preserve"> a </w:t>
      </w:r>
      <w:r w:rsidRPr="00CB3FF6">
        <w:rPr>
          <w:rFonts w:ascii="Calibri" w:hAnsi="Calibri"/>
        </w:rPr>
        <w:t xml:space="preserve">nemohla </w:t>
      </w:r>
      <w:r w:rsidR="006130C0">
        <w:rPr>
          <w:rFonts w:ascii="Calibri" w:hAnsi="Calibri"/>
        </w:rPr>
        <w:t>proto</w:t>
      </w:r>
      <w:r w:rsidRPr="00CB3FF6">
        <w:rPr>
          <w:rFonts w:ascii="Calibri" w:hAnsi="Calibri"/>
        </w:rPr>
        <w:t xml:space="preserve"> adekvátně vyhodnotit </w:t>
      </w:r>
      <w:r w:rsidR="00176A85">
        <w:rPr>
          <w:rFonts w:ascii="Calibri" w:hAnsi="Calibri"/>
        </w:rPr>
        <w:t xml:space="preserve">celkové </w:t>
      </w:r>
      <w:r w:rsidRPr="00CB3FF6">
        <w:rPr>
          <w:rFonts w:ascii="Calibri" w:hAnsi="Calibri"/>
        </w:rPr>
        <w:t>dopady této podpory.</w:t>
      </w:r>
    </w:p>
    <w:p w:rsidR="0093705E" w:rsidRDefault="0093705E" w:rsidP="0093705E">
      <w:pPr>
        <w:jc w:val="both"/>
        <w:rPr>
          <w:rFonts w:ascii="Calibri" w:hAnsi="Calibri"/>
        </w:rPr>
      </w:pPr>
    </w:p>
    <w:p w:rsidR="0093705E" w:rsidRPr="0093705E" w:rsidRDefault="0093705E" w:rsidP="0093705E">
      <w:pPr>
        <w:pStyle w:val="Odstavecseseznamem"/>
        <w:numPr>
          <w:ilvl w:val="0"/>
          <w:numId w:val="11"/>
        </w:numPr>
        <w:ind w:left="360"/>
        <w:jc w:val="both"/>
        <w:rPr>
          <w:rFonts w:asciiTheme="minorHAnsi" w:hAnsiTheme="minorHAnsi"/>
        </w:rPr>
      </w:pPr>
      <w:r w:rsidRPr="0093705E">
        <w:rPr>
          <w:rFonts w:asciiTheme="minorHAnsi" w:hAnsiTheme="minorHAnsi"/>
        </w:rPr>
        <w:t xml:space="preserve">V kvalitě základního výzkumu Česká republika </w:t>
      </w:r>
      <w:r w:rsidR="00A0770D">
        <w:rPr>
          <w:rFonts w:asciiTheme="minorHAnsi" w:hAnsiTheme="minorHAnsi"/>
        </w:rPr>
        <w:t>nedosahuje evropského průměru</w:t>
      </w:r>
      <w:r w:rsidRPr="0093705E">
        <w:rPr>
          <w:rFonts w:asciiTheme="minorHAnsi" w:hAnsiTheme="minorHAnsi"/>
        </w:rPr>
        <w:t xml:space="preserve">. </w:t>
      </w:r>
      <w:r w:rsidR="00F6451F">
        <w:rPr>
          <w:rFonts w:asciiTheme="minorHAnsi" w:hAnsiTheme="minorHAnsi"/>
        </w:rPr>
        <w:t>Z</w:t>
      </w:r>
      <w:r w:rsidRPr="0093705E">
        <w:rPr>
          <w:rFonts w:asciiTheme="minorHAnsi" w:hAnsiTheme="minorHAnsi"/>
        </w:rPr>
        <w:t>aostává za evropským průměrem v indikátorech měřících kvalitu publikací, které jsou téměř výhradním výstupem základního výzkumu a</w:t>
      </w:r>
      <w:r w:rsidR="006130C0">
        <w:rPr>
          <w:rFonts w:asciiTheme="minorHAnsi" w:hAnsiTheme="minorHAnsi"/>
        </w:rPr>
        <w:t> měřítkem</w:t>
      </w:r>
      <w:r w:rsidRPr="0093705E">
        <w:rPr>
          <w:rFonts w:asciiTheme="minorHAnsi" w:hAnsiTheme="minorHAnsi"/>
        </w:rPr>
        <w:t xml:space="preserve"> úspěšnosti jejich autorů. Česká republika rovněž </w:t>
      </w:r>
      <w:r w:rsidR="00A0770D">
        <w:rPr>
          <w:rFonts w:asciiTheme="minorHAnsi" w:hAnsiTheme="minorHAnsi"/>
        </w:rPr>
        <w:t xml:space="preserve">není úspěšná </w:t>
      </w:r>
      <w:r w:rsidRPr="0093705E">
        <w:rPr>
          <w:rFonts w:asciiTheme="minorHAnsi" w:hAnsiTheme="minorHAnsi"/>
        </w:rPr>
        <w:t>v mezinárodním srovnání v získávání grantů Evropské výzkumné rady.</w:t>
      </w:r>
    </w:p>
    <w:p w:rsidR="0093705E" w:rsidRDefault="0093705E" w:rsidP="0093705E">
      <w:pPr>
        <w:jc w:val="both"/>
        <w:rPr>
          <w:rFonts w:asciiTheme="minorHAnsi" w:hAnsiTheme="minorHAnsi"/>
        </w:rPr>
      </w:pPr>
    </w:p>
    <w:p w:rsidR="008E5F3A" w:rsidRPr="006130C0" w:rsidRDefault="00BF7F02" w:rsidP="00B1114C">
      <w:pPr>
        <w:pStyle w:val="Odstavecseseznamem"/>
        <w:numPr>
          <w:ilvl w:val="0"/>
          <w:numId w:val="11"/>
        </w:numPr>
        <w:ind w:left="360"/>
        <w:jc w:val="both"/>
        <w:rPr>
          <w:rFonts w:asciiTheme="minorHAnsi" w:hAnsiTheme="minorHAnsi"/>
        </w:rPr>
      </w:pPr>
      <w:r w:rsidRPr="006130C0">
        <w:rPr>
          <w:rFonts w:asciiTheme="minorHAnsi" w:hAnsiTheme="minorHAnsi"/>
        </w:rPr>
        <w:t>Cíle již ukončených kontrolova</w:t>
      </w:r>
      <w:r w:rsidR="00AE1012" w:rsidRPr="006130C0">
        <w:rPr>
          <w:rFonts w:asciiTheme="minorHAnsi" w:hAnsiTheme="minorHAnsi"/>
        </w:rPr>
        <w:t>ných projektů příjemci splnili, neměli</w:t>
      </w:r>
      <w:r w:rsidR="00AE1012" w:rsidRPr="006130C0">
        <w:rPr>
          <w:rFonts w:asciiTheme="minorHAnsi" w:hAnsiTheme="minorHAnsi" w:cs="Arial"/>
        </w:rPr>
        <w:t xml:space="preserve"> však povinnost smluvně se zavázat ke konkrétnímu počtu a kvalitě dosažených výsledků</w:t>
      </w:r>
      <w:r w:rsidR="008642B6" w:rsidRPr="006130C0">
        <w:rPr>
          <w:rFonts w:asciiTheme="minorHAnsi" w:hAnsiTheme="minorHAnsi" w:cs="Arial"/>
        </w:rPr>
        <w:t xml:space="preserve"> (výstupů z cílů, především ve formě publikační činnosti)</w:t>
      </w:r>
      <w:r w:rsidR="00AE1012" w:rsidRPr="006130C0">
        <w:rPr>
          <w:rFonts w:asciiTheme="minorHAnsi" w:hAnsiTheme="minorHAnsi" w:cs="Arial"/>
        </w:rPr>
        <w:t>.</w:t>
      </w:r>
      <w:r w:rsidR="00AE1012" w:rsidRPr="006130C0">
        <w:rPr>
          <w:rFonts w:asciiTheme="minorHAnsi" w:hAnsiTheme="minorHAnsi"/>
        </w:rPr>
        <w:t xml:space="preserve"> </w:t>
      </w:r>
      <w:r w:rsidRPr="006130C0">
        <w:rPr>
          <w:rFonts w:asciiTheme="minorHAnsi" w:hAnsiTheme="minorHAnsi"/>
        </w:rPr>
        <w:t>U 13 projektů bylo zjištěno porušení podmínek čerpání poskytnuté podpory, které NKÚ vyhodnotil jako porušení rozpočtové kázně</w:t>
      </w:r>
      <w:r w:rsidR="008E5F3A" w:rsidRPr="006130C0">
        <w:rPr>
          <w:rFonts w:asciiTheme="minorHAnsi" w:hAnsiTheme="minorHAnsi"/>
        </w:rPr>
        <w:t>.</w:t>
      </w:r>
      <w:r w:rsidRPr="006130C0">
        <w:rPr>
          <w:rFonts w:asciiTheme="minorHAnsi" w:hAnsiTheme="minorHAnsi"/>
        </w:rPr>
        <w:t xml:space="preserve"> </w:t>
      </w:r>
      <w:r w:rsidR="008E5F3A" w:rsidRPr="006130C0">
        <w:rPr>
          <w:rFonts w:asciiTheme="minorHAnsi" w:hAnsiTheme="minorHAnsi"/>
        </w:rPr>
        <w:lastRenderedPageBreak/>
        <w:t>Finanční kontroly</w:t>
      </w:r>
      <w:r w:rsidR="004B02AA">
        <w:rPr>
          <w:rStyle w:val="Znakapoznpodarou"/>
          <w:rFonts w:asciiTheme="minorHAnsi" w:hAnsiTheme="minorHAnsi"/>
        </w:rPr>
        <w:footnoteReference w:id="6"/>
      </w:r>
      <w:r w:rsidR="008E5F3A" w:rsidRPr="006130C0">
        <w:rPr>
          <w:rFonts w:asciiTheme="minorHAnsi" w:hAnsiTheme="minorHAnsi"/>
        </w:rPr>
        <w:t xml:space="preserve"> provedené GA ČR poukazují na nárůst zjištěných porušení </w:t>
      </w:r>
      <w:r w:rsidR="004A0A5C" w:rsidRPr="006130C0">
        <w:rPr>
          <w:rFonts w:asciiTheme="minorHAnsi" w:hAnsiTheme="minorHAnsi"/>
        </w:rPr>
        <w:t xml:space="preserve">oprávněného </w:t>
      </w:r>
      <w:r w:rsidR="008E5F3A" w:rsidRPr="006130C0">
        <w:rPr>
          <w:rFonts w:asciiTheme="minorHAnsi" w:hAnsiTheme="minorHAnsi"/>
        </w:rPr>
        <w:t>použití finančních prostředků</w:t>
      </w:r>
      <w:r w:rsidR="0026309C" w:rsidRPr="006130C0">
        <w:rPr>
          <w:rFonts w:asciiTheme="minorHAnsi" w:hAnsiTheme="minorHAnsi"/>
        </w:rPr>
        <w:t xml:space="preserve"> i poč</w:t>
      </w:r>
      <w:r w:rsidR="008E5F3A" w:rsidRPr="006130C0">
        <w:rPr>
          <w:rFonts w:asciiTheme="minorHAnsi" w:hAnsiTheme="minorHAnsi"/>
        </w:rPr>
        <w:t>t</w:t>
      </w:r>
      <w:r w:rsidR="0026309C" w:rsidRPr="006130C0">
        <w:rPr>
          <w:rFonts w:asciiTheme="minorHAnsi" w:hAnsiTheme="minorHAnsi"/>
        </w:rPr>
        <w:t>u</w:t>
      </w:r>
      <w:r w:rsidR="008E5F3A" w:rsidRPr="006130C0">
        <w:rPr>
          <w:rFonts w:asciiTheme="minorHAnsi" w:hAnsiTheme="minorHAnsi"/>
        </w:rPr>
        <w:t xml:space="preserve"> podaných oznámení finančnímu úřadu.</w:t>
      </w:r>
    </w:p>
    <w:p w:rsidR="008F5E6A" w:rsidRDefault="008F5E6A">
      <w:pPr>
        <w:spacing w:after="160" w:line="259" w:lineRule="auto"/>
        <w:rPr>
          <w:rFonts w:ascii="Calibri" w:hAnsi="Calibri" w:cs="Calibri"/>
        </w:rPr>
      </w:pPr>
    </w:p>
    <w:p w:rsidR="00291E0D" w:rsidRPr="00CF622A" w:rsidRDefault="00291E0D" w:rsidP="008F5E6A">
      <w:pPr>
        <w:rPr>
          <w:rFonts w:ascii="Calibri" w:hAnsi="Calibri" w:cs="Calibri"/>
          <w:b/>
        </w:rPr>
      </w:pPr>
      <w:r w:rsidRPr="00CF622A">
        <w:rPr>
          <w:rFonts w:ascii="Calibri" w:hAnsi="Calibri" w:cs="Calibri"/>
          <w:b/>
        </w:rPr>
        <w:t>Doporučení:</w:t>
      </w:r>
    </w:p>
    <w:p w:rsidR="00291E0D" w:rsidRPr="008F5E6A" w:rsidRDefault="00291E0D" w:rsidP="008F5E6A">
      <w:pPr>
        <w:rPr>
          <w:rFonts w:ascii="Calibri" w:hAnsi="Calibri" w:cs="Calibri"/>
        </w:rPr>
      </w:pPr>
    </w:p>
    <w:p w:rsidR="00FD153C" w:rsidRPr="008F5E6A" w:rsidRDefault="00FD153C" w:rsidP="008F5E6A">
      <w:pPr>
        <w:rPr>
          <w:rFonts w:ascii="Calibri" w:hAnsi="Calibri" w:cs="Calibri"/>
        </w:rPr>
      </w:pPr>
      <w:r w:rsidRPr="008F5E6A">
        <w:rPr>
          <w:rFonts w:ascii="Calibri" w:hAnsi="Calibri" w:cs="Calibri"/>
        </w:rPr>
        <w:t>NKÚ doporučuje, aby GA ČR:</w:t>
      </w:r>
    </w:p>
    <w:p w:rsidR="00FD153C" w:rsidRDefault="00247419" w:rsidP="0024292D">
      <w:pPr>
        <w:pStyle w:val="Odstavecseseznamem"/>
        <w:numPr>
          <w:ilvl w:val="0"/>
          <w:numId w:val="16"/>
        </w:numPr>
        <w:ind w:left="284" w:hanging="284"/>
        <w:jc w:val="both"/>
        <w:rPr>
          <w:rFonts w:asciiTheme="minorHAnsi" w:hAnsiTheme="minorHAnsi" w:cstheme="minorHAnsi"/>
        </w:rPr>
      </w:pPr>
      <w:r>
        <w:rPr>
          <w:rFonts w:asciiTheme="minorHAnsi" w:hAnsiTheme="minorHAnsi" w:cstheme="minorHAnsi"/>
        </w:rPr>
        <w:t xml:space="preserve">sledovala, vyhodnocovala a </w:t>
      </w:r>
      <w:r w:rsidR="00A0770D">
        <w:rPr>
          <w:rFonts w:asciiTheme="minorHAnsi" w:hAnsiTheme="minorHAnsi" w:cstheme="minorHAnsi"/>
        </w:rPr>
        <w:t xml:space="preserve">systematicky </w:t>
      </w:r>
      <w:r>
        <w:rPr>
          <w:rFonts w:asciiTheme="minorHAnsi" w:hAnsiTheme="minorHAnsi" w:cstheme="minorHAnsi"/>
        </w:rPr>
        <w:t>podporovala</w:t>
      </w:r>
      <w:r w:rsidR="00FD153C">
        <w:rPr>
          <w:rFonts w:asciiTheme="minorHAnsi" w:hAnsiTheme="minorHAnsi" w:cstheme="minorHAnsi"/>
        </w:rPr>
        <w:t xml:space="preserve"> </w:t>
      </w:r>
      <w:r w:rsidR="00C8080E">
        <w:rPr>
          <w:rFonts w:asciiTheme="minorHAnsi" w:hAnsiTheme="minorHAnsi" w:cstheme="minorHAnsi"/>
        </w:rPr>
        <w:t>prová</w:t>
      </w:r>
      <w:r w:rsidR="00FD153C" w:rsidRPr="00FD153C">
        <w:rPr>
          <w:rFonts w:asciiTheme="minorHAnsi" w:hAnsiTheme="minorHAnsi" w:cstheme="minorHAnsi"/>
        </w:rPr>
        <w:t>z</w:t>
      </w:r>
      <w:r w:rsidR="00C8080E">
        <w:rPr>
          <w:rFonts w:asciiTheme="minorHAnsi" w:hAnsiTheme="minorHAnsi" w:cstheme="minorHAnsi"/>
        </w:rPr>
        <w:t>a</w:t>
      </w:r>
      <w:r w:rsidR="00FD153C" w:rsidRPr="00FD153C">
        <w:rPr>
          <w:rFonts w:asciiTheme="minorHAnsi" w:hAnsiTheme="minorHAnsi" w:cstheme="minorHAnsi"/>
        </w:rPr>
        <w:t xml:space="preserve">nost </w:t>
      </w:r>
      <w:r w:rsidRPr="00247419">
        <w:rPr>
          <w:rFonts w:asciiTheme="minorHAnsi" w:hAnsiTheme="minorHAnsi" w:cstheme="minorHAnsi"/>
        </w:rPr>
        <w:t xml:space="preserve">grantových projektů základního výzkumu </w:t>
      </w:r>
      <w:r w:rsidR="00C8080E">
        <w:rPr>
          <w:rFonts w:asciiTheme="minorHAnsi" w:hAnsiTheme="minorHAnsi" w:cstheme="minorHAnsi"/>
        </w:rPr>
        <w:t>s</w:t>
      </w:r>
      <w:r>
        <w:rPr>
          <w:rFonts w:asciiTheme="minorHAnsi" w:hAnsiTheme="minorHAnsi" w:cstheme="minorHAnsi"/>
        </w:rPr>
        <w:t xml:space="preserve"> další</w:t>
      </w:r>
      <w:r w:rsidR="00C8080E">
        <w:rPr>
          <w:rFonts w:asciiTheme="minorHAnsi" w:hAnsiTheme="minorHAnsi" w:cstheme="minorHAnsi"/>
        </w:rPr>
        <w:t>mi</w:t>
      </w:r>
      <w:r>
        <w:rPr>
          <w:rFonts w:asciiTheme="minorHAnsi" w:hAnsiTheme="minorHAnsi" w:cstheme="minorHAnsi"/>
        </w:rPr>
        <w:t xml:space="preserve"> fáze</w:t>
      </w:r>
      <w:r w:rsidR="00C8080E">
        <w:rPr>
          <w:rFonts w:asciiTheme="minorHAnsi" w:hAnsiTheme="minorHAnsi" w:cstheme="minorHAnsi"/>
        </w:rPr>
        <w:t>mi</w:t>
      </w:r>
      <w:r>
        <w:rPr>
          <w:rFonts w:asciiTheme="minorHAnsi" w:hAnsiTheme="minorHAnsi" w:cstheme="minorHAnsi"/>
        </w:rPr>
        <w:t xml:space="preserve"> inovačního procesu</w:t>
      </w:r>
      <w:r w:rsidR="00FD153C">
        <w:rPr>
          <w:rFonts w:asciiTheme="minorHAnsi" w:hAnsiTheme="minorHAnsi" w:cstheme="minorHAnsi"/>
        </w:rPr>
        <w:t>;</w:t>
      </w:r>
    </w:p>
    <w:p w:rsidR="00C8080E" w:rsidRDefault="00A0770D" w:rsidP="0024292D">
      <w:pPr>
        <w:pStyle w:val="Odstavecseseznamem"/>
        <w:numPr>
          <w:ilvl w:val="0"/>
          <w:numId w:val="16"/>
        </w:numPr>
        <w:ind w:left="284" w:hanging="284"/>
        <w:jc w:val="both"/>
        <w:rPr>
          <w:rFonts w:asciiTheme="minorHAnsi" w:hAnsiTheme="minorHAnsi" w:cstheme="minorHAnsi"/>
        </w:rPr>
      </w:pPr>
      <w:r>
        <w:rPr>
          <w:rFonts w:asciiTheme="minorHAnsi" w:hAnsiTheme="minorHAnsi" w:cstheme="minorHAnsi"/>
        </w:rPr>
        <w:t>cíleně</w:t>
      </w:r>
      <w:r w:rsidR="00C7060E">
        <w:rPr>
          <w:rFonts w:asciiTheme="minorHAnsi" w:hAnsiTheme="minorHAnsi" w:cstheme="minorHAnsi"/>
        </w:rPr>
        <w:t xml:space="preserve"> </w:t>
      </w:r>
      <w:r w:rsidR="00877564">
        <w:rPr>
          <w:rFonts w:asciiTheme="minorHAnsi" w:hAnsiTheme="minorHAnsi" w:cstheme="minorHAnsi"/>
        </w:rPr>
        <w:t>směřovala</w:t>
      </w:r>
      <w:r w:rsidR="008B792C">
        <w:rPr>
          <w:rFonts w:asciiTheme="minorHAnsi" w:hAnsiTheme="minorHAnsi" w:cstheme="minorHAnsi"/>
        </w:rPr>
        <w:t xml:space="preserve"> </w:t>
      </w:r>
      <w:r w:rsidR="00C8080E">
        <w:rPr>
          <w:rFonts w:asciiTheme="minorHAnsi" w:hAnsiTheme="minorHAnsi" w:cstheme="minorHAnsi"/>
        </w:rPr>
        <w:t>podpor</w:t>
      </w:r>
      <w:r w:rsidR="00877564">
        <w:rPr>
          <w:rFonts w:asciiTheme="minorHAnsi" w:hAnsiTheme="minorHAnsi" w:cstheme="minorHAnsi"/>
        </w:rPr>
        <w:t>u</w:t>
      </w:r>
      <w:r w:rsidR="00C8080E">
        <w:rPr>
          <w:rFonts w:asciiTheme="minorHAnsi" w:hAnsiTheme="minorHAnsi" w:cstheme="minorHAnsi"/>
        </w:rPr>
        <w:t xml:space="preserve"> </w:t>
      </w:r>
      <w:r w:rsidR="009F759B">
        <w:rPr>
          <w:rFonts w:asciiTheme="minorHAnsi" w:hAnsiTheme="minorHAnsi" w:cstheme="minorHAnsi"/>
        </w:rPr>
        <w:t xml:space="preserve">i </w:t>
      </w:r>
      <w:r w:rsidR="00877564">
        <w:rPr>
          <w:rFonts w:asciiTheme="minorHAnsi" w:hAnsiTheme="minorHAnsi" w:cstheme="minorHAnsi"/>
        </w:rPr>
        <w:t>do orientovaného</w:t>
      </w:r>
      <w:r w:rsidR="00C8080E">
        <w:rPr>
          <w:rFonts w:asciiTheme="minorHAnsi" w:hAnsiTheme="minorHAnsi" w:cstheme="minorHAnsi"/>
        </w:rPr>
        <w:t xml:space="preserve"> základní</w:t>
      </w:r>
      <w:r w:rsidR="00877564">
        <w:rPr>
          <w:rFonts w:asciiTheme="minorHAnsi" w:hAnsiTheme="minorHAnsi" w:cstheme="minorHAnsi"/>
        </w:rPr>
        <w:t>ho</w:t>
      </w:r>
      <w:r w:rsidR="00C8080E">
        <w:rPr>
          <w:rFonts w:asciiTheme="minorHAnsi" w:hAnsiTheme="minorHAnsi" w:cstheme="minorHAnsi"/>
        </w:rPr>
        <w:t xml:space="preserve"> výzkum</w:t>
      </w:r>
      <w:r w:rsidR="00877564">
        <w:rPr>
          <w:rFonts w:asciiTheme="minorHAnsi" w:hAnsiTheme="minorHAnsi" w:cstheme="minorHAnsi"/>
        </w:rPr>
        <w:t>u</w:t>
      </w:r>
      <w:r w:rsidR="002B2C01">
        <w:rPr>
          <w:rFonts w:asciiTheme="minorHAnsi" w:hAnsiTheme="minorHAnsi" w:cstheme="minorHAnsi"/>
        </w:rPr>
        <w:t>;</w:t>
      </w:r>
    </w:p>
    <w:p w:rsidR="00C8080E" w:rsidRDefault="00A0770D" w:rsidP="0024292D">
      <w:pPr>
        <w:pStyle w:val="Odstavecseseznamem"/>
        <w:numPr>
          <w:ilvl w:val="0"/>
          <w:numId w:val="16"/>
        </w:numPr>
        <w:ind w:left="284" w:hanging="284"/>
        <w:jc w:val="both"/>
        <w:rPr>
          <w:rFonts w:asciiTheme="minorHAnsi" w:hAnsiTheme="minorHAnsi" w:cstheme="minorHAnsi"/>
        </w:rPr>
      </w:pPr>
      <w:r>
        <w:rPr>
          <w:rFonts w:asciiTheme="minorHAnsi" w:hAnsiTheme="minorHAnsi" w:cstheme="minorHAnsi"/>
        </w:rPr>
        <w:t xml:space="preserve">odstranila ze </w:t>
      </w:r>
      <w:r w:rsidR="00C8080E">
        <w:rPr>
          <w:rFonts w:asciiTheme="minorHAnsi" w:hAnsiTheme="minorHAnsi" w:cstheme="minorHAnsi"/>
        </w:rPr>
        <w:t xml:space="preserve">zadávacích dokumentací veřejných soutěží na podporu projektů </w:t>
      </w:r>
      <w:r w:rsidR="00C8080E" w:rsidRPr="00C8080E">
        <w:rPr>
          <w:rFonts w:asciiTheme="minorHAnsi" w:hAnsiTheme="minorHAnsi" w:cstheme="minorHAnsi"/>
        </w:rPr>
        <w:t>možnost prodloužit soutěžní lhůtu</w:t>
      </w:r>
      <w:r w:rsidR="008F322D">
        <w:rPr>
          <w:rFonts w:asciiTheme="minorHAnsi" w:hAnsiTheme="minorHAnsi" w:cstheme="minorHAnsi"/>
        </w:rPr>
        <w:t>,</w:t>
      </w:r>
      <w:r w:rsidR="00C8080E" w:rsidRPr="00C8080E">
        <w:rPr>
          <w:rFonts w:asciiTheme="minorHAnsi" w:hAnsiTheme="minorHAnsi" w:cstheme="minorHAnsi"/>
        </w:rPr>
        <w:t xml:space="preserve"> </w:t>
      </w:r>
      <w:r w:rsidR="008F322D">
        <w:rPr>
          <w:rFonts w:asciiTheme="minorHAnsi" w:hAnsiTheme="minorHAnsi" w:cstheme="minorHAnsi"/>
        </w:rPr>
        <w:t>což</w:t>
      </w:r>
      <w:r w:rsidR="00C8080E" w:rsidRPr="00C8080E">
        <w:rPr>
          <w:rFonts w:asciiTheme="minorHAnsi" w:hAnsiTheme="minorHAnsi" w:cstheme="minorHAnsi"/>
        </w:rPr>
        <w:t xml:space="preserve"> je v rozporu s ustanovením § 17 odst. 2 zákona č.</w:t>
      </w:r>
      <w:r w:rsidR="008F322D">
        <w:rPr>
          <w:rFonts w:asciiTheme="minorHAnsi" w:hAnsiTheme="minorHAnsi" w:cstheme="minorHAnsi"/>
        </w:rPr>
        <w:t> </w:t>
      </w:r>
      <w:r w:rsidR="00C8080E" w:rsidRPr="00C8080E">
        <w:rPr>
          <w:rFonts w:asciiTheme="minorHAnsi" w:hAnsiTheme="minorHAnsi" w:cstheme="minorHAnsi"/>
        </w:rPr>
        <w:t>130/2002</w:t>
      </w:r>
      <w:r w:rsidR="008F322D">
        <w:rPr>
          <w:rFonts w:asciiTheme="minorHAnsi" w:hAnsiTheme="minorHAnsi" w:cstheme="minorHAnsi"/>
        </w:rPr>
        <w:t> </w:t>
      </w:r>
      <w:r w:rsidR="00C8080E" w:rsidRPr="00C8080E">
        <w:rPr>
          <w:rFonts w:asciiTheme="minorHAnsi" w:hAnsiTheme="minorHAnsi" w:cstheme="minorHAnsi"/>
        </w:rPr>
        <w:t>Sb.</w:t>
      </w:r>
      <w:r w:rsidR="002B2C01">
        <w:rPr>
          <w:rFonts w:asciiTheme="minorHAnsi" w:hAnsiTheme="minorHAnsi" w:cstheme="minorHAnsi"/>
        </w:rPr>
        <w:t>;</w:t>
      </w:r>
    </w:p>
    <w:p w:rsidR="00281B62" w:rsidRPr="008F322D" w:rsidRDefault="00281B62" w:rsidP="0024292D">
      <w:pPr>
        <w:pStyle w:val="Odstavecseseznamem"/>
        <w:numPr>
          <w:ilvl w:val="0"/>
          <w:numId w:val="16"/>
        </w:numPr>
        <w:ind w:left="284" w:hanging="284"/>
        <w:jc w:val="both"/>
        <w:rPr>
          <w:rFonts w:asciiTheme="minorHAnsi" w:hAnsiTheme="minorHAnsi" w:cstheme="minorHAnsi"/>
        </w:rPr>
      </w:pPr>
      <w:r w:rsidRPr="008F322D">
        <w:rPr>
          <w:rFonts w:asciiTheme="minorHAnsi" w:hAnsiTheme="minorHAnsi" w:cstheme="minorHAnsi"/>
        </w:rPr>
        <w:t>sjednoti</w:t>
      </w:r>
      <w:r w:rsidR="00E63329" w:rsidRPr="008F322D">
        <w:rPr>
          <w:rFonts w:asciiTheme="minorHAnsi" w:hAnsiTheme="minorHAnsi" w:cstheme="minorHAnsi"/>
        </w:rPr>
        <w:t>la</w:t>
      </w:r>
      <w:r w:rsidRPr="008F322D">
        <w:rPr>
          <w:rFonts w:asciiTheme="minorHAnsi" w:hAnsiTheme="minorHAnsi" w:cstheme="minorHAnsi"/>
        </w:rPr>
        <w:t xml:space="preserve"> hodnoticí kritéria uvedená v zadávacích dokumentacích s hodnoticími kritérii uvedenými v hodnoticích protokolech</w:t>
      </w:r>
      <w:r w:rsidR="008F322D" w:rsidRPr="008F322D">
        <w:rPr>
          <w:rFonts w:asciiTheme="minorHAnsi" w:hAnsiTheme="minorHAnsi" w:cstheme="minorHAnsi"/>
        </w:rPr>
        <w:t xml:space="preserve"> a</w:t>
      </w:r>
      <w:r w:rsidR="008F322D">
        <w:rPr>
          <w:rFonts w:asciiTheme="minorHAnsi" w:hAnsiTheme="minorHAnsi" w:cstheme="minorHAnsi"/>
        </w:rPr>
        <w:t xml:space="preserve"> </w:t>
      </w:r>
      <w:r w:rsidRPr="008F322D">
        <w:rPr>
          <w:rFonts w:asciiTheme="minorHAnsi" w:hAnsiTheme="minorHAnsi" w:cstheme="minorHAnsi"/>
        </w:rPr>
        <w:t>vytváře</w:t>
      </w:r>
      <w:r w:rsidR="00E63329" w:rsidRPr="008F322D">
        <w:rPr>
          <w:rFonts w:asciiTheme="minorHAnsi" w:hAnsiTheme="minorHAnsi" w:cstheme="minorHAnsi"/>
        </w:rPr>
        <w:t>la písemný a</w:t>
      </w:r>
      <w:r w:rsidR="001C7EA1">
        <w:rPr>
          <w:rFonts w:asciiTheme="minorHAnsi" w:hAnsiTheme="minorHAnsi" w:cstheme="minorHAnsi"/>
        </w:rPr>
        <w:t xml:space="preserve"> ověřitelný záznam o </w:t>
      </w:r>
      <w:r w:rsidRPr="008F322D">
        <w:rPr>
          <w:rFonts w:asciiTheme="minorHAnsi" w:hAnsiTheme="minorHAnsi" w:cstheme="minorHAnsi"/>
        </w:rPr>
        <w:t>hodnocení veškerých hodnoticích kritérií</w:t>
      </w:r>
      <w:r w:rsidR="002B2C01" w:rsidRPr="008F322D">
        <w:rPr>
          <w:rFonts w:asciiTheme="minorHAnsi" w:hAnsiTheme="minorHAnsi" w:cstheme="minorHAnsi"/>
        </w:rPr>
        <w:t>;</w:t>
      </w:r>
    </w:p>
    <w:p w:rsidR="002B2C01" w:rsidRDefault="00C7060E" w:rsidP="0024292D">
      <w:pPr>
        <w:pStyle w:val="Odstavecseseznamem"/>
        <w:numPr>
          <w:ilvl w:val="0"/>
          <w:numId w:val="16"/>
        </w:numPr>
        <w:ind w:left="284" w:hanging="284"/>
        <w:jc w:val="both"/>
        <w:rPr>
          <w:rFonts w:asciiTheme="minorHAnsi" w:hAnsiTheme="minorHAnsi" w:cstheme="minorHAnsi"/>
        </w:rPr>
      </w:pPr>
      <w:r>
        <w:rPr>
          <w:rFonts w:asciiTheme="minorHAnsi" w:hAnsiTheme="minorHAnsi" w:cstheme="minorHAnsi"/>
        </w:rPr>
        <w:t>uzavíral</w:t>
      </w:r>
      <w:r w:rsidR="00A918C8">
        <w:rPr>
          <w:rFonts w:asciiTheme="minorHAnsi" w:hAnsiTheme="minorHAnsi" w:cstheme="minorHAnsi"/>
        </w:rPr>
        <w:t>a</w:t>
      </w:r>
      <w:r>
        <w:rPr>
          <w:rFonts w:asciiTheme="minorHAnsi" w:hAnsiTheme="minorHAnsi" w:cstheme="minorHAnsi"/>
        </w:rPr>
        <w:t xml:space="preserve"> dodatky ke smlouvám o poskytnutí podpory jen v op</w:t>
      </w:r>
      <w:r w:rsidR="008F322D">
        <w:rPr>
          <w:rFonts w:asciiTheme="minorHAnsi" w:hAnsiTheme="minorHAnsi" w:cstheme="minorHAnsi"/>
        </w:rPr>
        <w:t>odstatněných případech</w:t>
      </w:r>
      <w:r w:rsidR="002B2C01">
        <w:rPr>
          <w:rFonts w:asciiTheme="minorHAnsi" w:hAnsiTheme="minorHAnsi" w:cstheme="minorHAnsi"/>
        </w:rPr>
        <w:t>;</w:t>
      </w:r>
    </w:p>
    <w:p w:rsidR="00E63329" w:rsidRDefault="00E63329" w:rsidP="0024292D">
      <w:pPr>
        <w:pStyle w:val="Odstavecseseznamem"/>
        <w:numPr>
          <w:ilvl w:val="0"/>
          <w:numId w:val="16"/>
        </w:numPr>
        <w:ind w:left="284" w:hanging="284"/>
        <w:jc w:val="both"/>
        <w:rPr>
          <w:rFonts w:asciiTheme="minorHAnsi" w:hAnsiTheme="minorHAnsi" w:cstheme="minorHAnsi"/>
        </w:rPr>
      </w:pPr>
      <w:r>
        <w:rPr>
          <w:rFonts w:asciiTheme="minorHAnsi" w:hAnsiTheme="minorHAnsi" w:cstheme="minorHAnsi"/>
        </w:rPr>
        <w:t>sledovala a vyhodnocovala</w:t>
      </w:r>
      <w:r w:rsidR="00694B5E">
        <w:rPr>
          <w:rFonts w:asciiTheme="minorHAnsi" w:hAnsiTheme="minorHAnsi" w:cstheme="minorHAnsi"/>
        </w:rPr>
        <w:t xml:space="preserve"> kvalitu výsledků souhrnn</w:t>
      </w:r>
      <w:r w:rsidR="00682782">
        <w:rPr>
          <w:rFonts w:asciiTheme="minorHAnsi" w:hAnsiTheme="minorHAnsi" w:cstheme="minorHAnsi"/>
        </w:rPr>
        <w:t>ě za všechny podpořené projekty.</w:t>
      </w:r>
    </w:p>
    <w:p w:rsidR="001A6C40" w:rsidRDefault="001A6C40" w:rsidP="001A6C40">
      <w:pPr>
        <w:jc w:val="both"/>
        <w:rPr>
          <w:rFonts w:asciiTheme="minorHAnsi" w:hAnsiTheme="minorHAnsi" w:cstheme="minorHAnsi"/>
        </w:rPr>
      </w:pPr>
    </w:p>
    <w:p w:rsidR="00586F68" w:rsidRDefault="00586F68" w:rsidP="001A6C40">
      <w:pPr>
        <w:jc w:val="both"/>
        <w:rPr>
          <w:rFonts w:asciiTheme="minorHAnsi" w:hAnsiTheme="minorHAnsi" w:cstheme="minorHAnsi"/>
        </w:rPr>
      </w:pPr>
    </w:p>
    <w:p w:rsidR="001A6C40" w:rsidRPr="008F5E6A" w:rsidRDefault="008F5E6A" w:rsidP="008F5E6A">
      <w:pPr>
        <w:ind w:left="360"/>
        <w:jc w:val="center"/>
        <w:rPr>
          <w:rFonts w:asciiTheme="minorHAnsi" w:hAnsiTheme="minorHAnsi" w:cstheme="minorHAnsi"/>
          <w:b/>
          <w:sz w:val="28"/>
          <w:szCs w:val="28"/>
        </w:rPr>
      </w:pPr>
      <w:r>
        <w:rPr>
          <w:rFonts w:asciiTheme="minorHAnsi" w:hAnsiTheme="minorHAnsi" w:cstheme="minorHAnsi"/>
          <w:b/>
          <w:sz w:val="28"/>
          <w:szCs w:val="28"/>
        </w:rPr>
        <w:t xml:space="preserve">I. </w:t>
      </w:r>
      <w:r w:rsidR="001A6C40" w:rsidRPr="008F5E6A">
        <w:rPr>
          <w:rFonts w:asciiTheme="minorHAnsi" w:hAnsiTheme="minorHAnsi" w:cstheme="minorHAnsi"/>
          <w:b/>
          <w:sz w:val="28"/>
          <w:szCs w:val="28"/>
        </w:rPr>
        <w:t>Úvod do kontrolované problematiky</w:t>
      </w:r>
    </w:p>
    <w:p w:rsidR="001A6C40" w:rsidRPr="008F5E6A" w:rsidRDefault="001A6C40" w:rsidP="008F5E6A">
      <w:pPr>
        <w:pStyle w:val="Odstavecseseznamem"/>
        <w:ind w:left="0"/>
        <w:rPr>
          <w:rFonts w:asciiTheme="minorHAnsi" w:hAnsiTheme="minorHAnsi" w:cstheme="minorHAnsi"/>
          <w:szCs w:val="28"/>
        </w:rPr>
      </w:pPr>
    </w:p>
    <w:p w:rsidR="00F42913" w:rsidRPr="00F42913" w:rsidRDefault="00F42913" w:rsidP="00F42913">
      <w:pPr>
        <w:jc w:val="both"/>
        <w:rPr>
          <w:rFonts w:asciiTheme="minorHAnsi" w:hAnsiTheme="minorHAnsi"/>
          <w:b/>
          <w:color w:val="000000"/>
        </w:rPr>
      </w:pPr>
      <w:r w:rsidRPr="00F42913">
        <w:rPr>
          <w:rFonts w:asciiTheme="minorHAnsi" w:hAnsiTheme="minorHAnsi"/>
          <w:b/>
          <w:color w:val="000000"/>
        </w:rPr>
        <w:t>A.</w:t>
      </w:r>
      <w:r>
        <w:rPr>
          <w:rFonts w:asciiTheme="minorHAnsi" w:hAnsiTheme="minorHAnsi"/>
          <w:b/>
          <w:color w:val="000000"/>
        </w:rPr>
        <w:t xml:space="preserve"> </w:t>
      </w:r>
      <w:r w:rsidR="00854C1C">
        <w:rPr>
          <w:rFonts w:asciiTheme="minorHAnsi" w:hAnsiTheme="minorHAnsi"/>
          <w:b/>
          <w:color w:val="000000"/>
        </w:rPr>
        <w:t>Č</w:t>
      </w:r>
      <w:r w:rsidRPr="00F42913">
        <w:rPr>
          <w:rFonts w:asciiTheme="minorHAnsi" w:hAnsiTheme="minorHAnsi"/>
          <w:b/>
          <w:color w:val="000000"/>
        </w:rPr>
        <w:t>innost GA ČR</w:t>
      </w:r>
    </w:p>
    <w:p w:rsidR="00F42913" w:rsidRPr="00F42913" w:rsidRDefault="00F42913" w:rsidP="00F42913">
      <w:pPr>
        <w:jc w:val="both"/>
        <w:rPr>
          <w:rFonts w:asciiTheme="minorHAnsi" w:hAnsiTheme="minorHAnsi"/>
        </w:rPr>
      </w:pPr>
    </w:p>
    <w:p w:rsidR="001A6C40" w:rsidRDefault="00AE1012" w:rsidP="001A6C40">
      <w:pPr>
        <w:jc w:val="both"/>
        <w:rPr>
          <w:rFonts w:asciiTheme="minorHAnsi" w:hAnsiTheme="minorHAnsi"/>
        </w:rPr>
      </w:pPr>
      <w:r w:rsidRPr="00C51371">
        <w:rPr>
          <w:rFonts w:asciiTheme="minorHAnsi" w:hAnsiTheme="minorHAnsi"/>
        </w:rPr>
        <w:t>GA ČR byla zřízena zákonem č. 300/1992 Sb.</w:t>
      </w:r>
      <w:r w:rsidRPr="00C51371">
        <w:rPr>
          <w:rStyle w:val="Znakapoznpodarou"/>
          <w:rFonts w:asciiTheme="minorHAnsi" w:hAnsiTheme="minorHAnsi"/>
        </w:rPr>
        <w:footnoteReference w:id="7"/>
      </w:r>
      <w:r>
        <w:rPr>
          <w:rFonts w:asciiTheme="minorHAnsi" w:hAnsiTheme="minorHAnsi"/>
        </w:rPr>
        <w:t xml:space="preserve"> a svou činnost zahájila v roce 1993.</w:t>
      </w:r>
      <w:r w:rsidRPr="00C51371">
        <w:rPr>
          <w:rFonts w:asciiTheme="minorHAnsi" w:hAnsiTheme="minorHAnsi"/>
        </w:rPr>
        <w:t xml:space="preserve"> </w:t>
      </w:r>
      <w:r>
        <w:rPr>
          <w:rFonts w:asciiTheme="minorHAnsi" w:hAnsiTheme="minorHAnsi"/>
        </w:rPr>
        <w:t xml:space="preserve">V současné době se řídí </w:t>
      </w:r>
      <w:r w:rsidRPr="00C51371">
        <w:rPr>
          <w:rFonts w:asciiTheme="minorHAnsi" w:hAnsiTheme="minorHAnsi"/>
        </w:rPr>
        <w:t>zákonem č.</w:t>
      </w:r>
      <w:r>
        <w:rPr>
          <w:rFonts w:asciiTheme="minorHAnsi" w:hAnsiTheme="minorHAnsi"/>
        </w:rPr>
        <w:t> </w:t>
      </w:r>
      <w:r w:rsidRPr="00C51371">
        <w:rPr>
          <w:rFonts w:asciiTheme="minorHAnsi" w:hAnsiTheme="minorHAnsi"/>
        </w:rPr>
        <w:t>130/2002 Sb.</w:t>
      </w:r>
      <w:r>
        <w:rPr>
          <w:rFonts w:asciiTheme="minorHAnsi" w:hAnsiTheme="minorHAnsi"/>
        </w:rPr>
        <w:t xml:space="preserve"> </w:t>
      </w:r>
      <w:r w:rsidR="001A6C40" w:rsidRPr="001A6C40">
        <w:rPr>
          <w:rFonts w:asciiTheme="minorHAnsi" w:hAnsiTheme="minorHAnsi"/>
        </w:rPr>
        <w:t xml:space="preserve">GA ČR </w:t>
      </w:r>
      <w:r w:rsidR="005909F5">
        <w:rPr>
          <w:rFonts w:asciiTheme="minorHAnsi" w:hAnsiTheme="minorHAnsi"/>
        </w:rPr>
        <w:t>poskytuje</w:t>
      </w:r>
      <w:r w:rsidR="0007449E">
        <w:rPr>
          <w:rFonts w:asciiTheme="minorHAnsi" w:hAnsiTheme="minorHAnsi"/>
        </w:rPr>
        <w:t xml:space="preserve"> </w:t>
      </w:r>
      <w:r w:rsidR="005909F5">
        <w:rPr>
          <w:rFonts w:asciiTheme="minorHAnsi" w:hAnsiTheme="minorHAnsi"/>
        </w:rPr>
        <w:t>účelovou podporu</w:t>
      </w:r>
      <w:r w:rsidR="005909F5" w:rsidRPr="0007449E">
        <w:rPr>
          <w:rFonts w:asciiTheme="minorHAnsi" w:hAnsiTheme="minorHAnsi"/>
        </w:rPr>
        <w:t xml:space="preserve"> </w:t>
      </w:r>
      <w:r w:rsidR="005909F5" w:rsidRPr="001A6C40">
        <w:rPr>
          <w:rFonts w:asciiTheme="minorHAnsi" w:hAnsiTheme="minorHAnsi"/>
        </w:rPr>
        <w:t>grantových projektů základního výzkumu</w:t>
      </w:r>
      <w:r w:rsidR="005909F5">
        <w:rPr>
          <w:rFonts w:asciiTheme="minorHAnsi" w:hAnsiTheme="minorHAnsi"/>
        </w:rPr>
        <w:t xml:space="preserve"> </w:t>
      </w:r>
      <w:r w:rsidR="0007449E">
        <w:rPr>
          <w:rFonts w:asciiTheme="minorHAnsi" w:hAnsiTheme="minorHAnsi"/>
        </w:rPr>
        <w:t>formou veřejných soutěží</w:t>
      </w:r>
      <w:r w:rsidR="0007449E" w:rsidRPr="0007449E">
        <w:rPr>
          <w:rFonts w:asciiTheme="minorHAnsi" w:hAnsiTheme="minorHAnsi"/>
        </w:rPr>
        <w:t xml:space="preserve"> ve výzkumu, experimentální</w:t>
      </w:r>
      <w:r w:rsidR="0007449E">
        <w:rPr>
          <w:rFonts w:asciiTheme="minorHAnsi" w:hAnsiTheme="minorHAnsi"/>
        </w:rPr>
        <w:t>m vývoji a</w:t>
      </w:r>
      <w:r w:rsidR="00320ED4">
        <w:rPr>
          <w:rFonts w:asciiTheme="minorHAnsi" w:hAnsiTheme="minorHAnsi"/>
        </w:rPr>
        <w:t> </w:t>
      </w:r>
      <w:r w:rsidR="0007449E">
        <w:rPr>
          <w:rFonts w:asciiTheme="minorHAnsi" w:hAnsiTheme="minorHAnsi"/>
        </w:rPr>
        <w:t>inovacích</w:t>
      </w:r>
      <w:r w:rsidR="005909F5">
        <w:rPr>
          <w:rFonts w:asciiTheme="minorHAnsi" w:hAnsiTheme="minorHAnsi"/>
        </w:rPr>
        <w:t>. Je povinna svoji činnost řídit</w:t>
      </w:r>
      <w:r w:rsidR="005909F5" w:rsidRPr="001A6C40">
        <w:rPr>
          <w:rFonts w:asciiTheme="minorHAnsi" w:hAnsiTheme="minorHAnsi"/>
        </w:rPr>
        <w:t xml:space="preserve"> </w:t>
      </w:r>
      <w:r w:rsidR="00A918C8">
        <w:rPr>
          <w:rFonts w:asciiTheme="minorHAnsi" w:hAnsiTheme="minorHAnsi"/>
        </w:rPr>
        <w:t xml:space="preserve">příslušnými </w:t>
      </w:r>
      <w:r w:rsidR="005909F5">
        <w:rPr>
          <w:rFonts w:asciiTheme="minorHAnsi" w:hAnsiTheme="minorHAnsi"/>
        </w:rPr>
        <w:t>právními předpisy a národními koncepčními materiály</w:t>
      </w:r>
      <w:r w:rsidR="001A6C40" w:rsidRPr="001A6C40">
        <w:rPr>
          <w:rFonts w:asciiTheme="minorHAnsi" w:hAnsiTheme="minorHAnsi"/>
        </w:rPr>
        <w:t xml:space="preserve"> upravujícími </w:t>
      </w:r>
      <w:r w:rsidR="005909F5">
        <w:rPr>
          <w:rFonts w:asciiTheme="minorHAnsi" w:hAnsiTheme="minorHAnsi"/>
        </w:rPr>
        <w:t xml:space="preserve">oblast </w:t>
      </w:r>
      <w:proofErr w:type="spellStart"/>
      <w:r w:rsidR="005909F5">
        <w:rPr>
          <w:rFonts w:asciiTheme="minorHAnsi" w:hAnsiTheme="minorHAnsi"/>
        </w:rPr>
        <w:t>VaVaI</w:t>
      </w:r>
      <w:proofErr w:type="spellEnd"/>
      <w:r w:rsidR="00E869DF">
        <w:rPr>
          <w:rFonts w:asciiTheme="minorHAnsi" w:hAnsiTheme="minorHAnsi"/>
        </w:rPr>
        <w:t>.</w:t>
      </w:r>
      <w:r w:rsidR="00F9019B">
        <w:rPr>
          <w:rFonts w:asciiTheme="minorHAnsi" w:hAnsiTheme="minorHAnsi"/>
        </w:rPr>
        <w:t xml:space="preserve"> Na léta 2016–</w:t>
      </w:r>
      <w:r w:rsidR="00597DCF">
        <w:rPr>
          <w:rFonts w:asciiTheme="minorHAnsi" w:hAnsiTheme="minorHAnsi"/>
        </w:rPr>
        <w:t xml:space="preserve">2020 má GA ČR </w:t>
      </w:r>
      <w:r w:rsidR="00A918C8">
        <w:rPr>
          <w:rFonts w:asciiTheme="minorHAnsi" w:hAnsiTheme="minorHAnsi"/>
        </w:rPr>
        <w:t xml:space="preserve">rovněž </w:t>
      </w:r>
      <w:r w:rsidR="00597DCF">
        <w:rPr>
          <w:rFonts w:asciiTheme="minorHAnsi" w:hAnsiTheme="minorHAnsi"/>
        </w:rPr>
        <w:t>vypracovanou vlastní koncepci činnosti.</w:t>
      </w:r>
    </w:p>
    <w:p w:rsidR="00597DCF" w:rsidRDefault="00597DCF" w:rsidP="001A6C40">
      <w:pPr>
        <w:jc w:val="both"/>
        <w:rPr>
          <w:rFonts w:asciiTheme="minorHAnsi" w:hAnsiTheme="minorHAnsi"/>
        </w:rPr>
      </w:pPr>
    </w:p>
    <w:p w:rsidR="001A6C40" w:rsidRDefault="00F42913" w:rsidP="001A6C40">
      <w:pPr>
        <w:jc w:val="both"/>
        <w:rPr>
          <w:rFonts w:asciiTheme="minorHAnsi" w:hAnsiTheme="minorHAnsi"/>
        </w:rPr>
      </w:pPr>
      <w:r>
        <w:rPr>
          <w:rFonts w:asciiTheme="minorHAnsi" w:hAnsiTheme="minorHAnsi"/>
        </w:rPr>
        <w:t>GA ČR z</w:t>
      </w:r>
      <w:r w:rsidR="001A6C40" w:rsidRPr="001A6C40">
        <w:rPr>
          <w:rFonts w:asciiTheme="minorHAnsi" w:hAnsiTheme="minorHAnsi"/>
        </w:rPr>
        <w:t xml:space="preserve">abezpečuje </w:t>
      </w:r>
      <w:r w:rsidR="00597DCF">
        <w:rPr>
          <w:rFonts w:asciiTheme="minorHAnsi" w:hAnsiTheme="minorHAnsi"/>
        </w:rPr>
        <w:t>zejména</w:t>
      </w:r>
      <w:r w:rsidR="001A6C40" w:rsidRPr="001A6C40">
        <w:rPr>
          <w:rFonts w:asciiTheme="minorHAnsi" w:hAnsiTheme="minorHAnsi"/>
        </w:rPr>
        <w:t xml:space="preserve"> přípravu a realizaci </w:t>
      </w:r>
      <w:r w:rsidR="00D80219">
        <w:rPr>
          <w:rFonts w:asciiTheme="minorHAnsi" w:hAnsiTheme="minorHAnsi"/>
        </w:rPr>
        <w:t xml:space="preserve">skupin </w:t>
      </w:r>
      <w:r w:rsidR="001A6C40" w:rsidRPr="001A6C40">
        <w:rPr>
          <w:rFonts w:asciiTheme="minorHAnsi" w:hAnsiTheme="minorHAnsi"/>
        </w:rPr>
        <w:t>grantových projektů, hodnocení a</w:t>
      </w:r>
      <w:r w:rsidR="00320ED4">
        <w:rPr>
          <w:rFonts w:asciiTheme="minorHAnsi" w:hAnsiTheme="minorHAnsi"/>
        </w:rPr>
        <w:t> </w:t>
      </w:r>
      <w:r w:rsidR="001A6C40" w:rsidRPr="001A6C40">
        <w:rPr>
          <w:rFonts w:asciiTheme="minorHAnsi" w:hAnsiTheme="minorHAnsi"/>
        </w:rPr>
        <w:t>výběr návrhů projektů, kontrolu plnění smluv o poskytnutí podpory nebo rozhodnutí o</w:t>
      </w:r>
      <w:r w:rsidR="00320ED4">
        <w:rPr>
          <w:rFonts w:asciiTheme="minorHAnsi" w:hAnsiTheme="minorHAnsi"/>
        </w:rPr>
        <w:t> </w:t>
      </w:r>
      <w:r w:rsidR="001A6C40" w:rsidRPr="001A6C40">
        <w:rPr>
          <w:rFonts w:asciiTheme="minorHAnsi" w:hAnsiTheme="minorHAnsi"/>
        </w:rPr>
        <w:t>poskytnutí podpory a čerpání, hodnocení a kontrolu průběhu řešení, spolupráci s obd</w:t>
      </w:r>
      <w:r w:rsidR="00AE1012">
        <w:rPr>
          <w:rFonts w:asciiTheme="minorHAnsi" w:hAnsiTheme="minorHAnsi"/>
        </w:rPr>
        <w:t>obnými zahraničními agenturami.</w:t>
      </w:r>
    </w:p>
    <w:p w:rsidR="00F42913" w:rsidRDefault="00F42913" w:rsidP="001A6C40">
      <w:pPr>
        <w:jc w:val="both"/>
        <w:rPr>
          <w:rFonts w:asciiTheme="minorHAnsi" w:hAnsiTheme="minorHAnsi"/>
        </w:rPr>
      </w:pPr>
    </w:p>
    <w:p w:rsidR="00F42913" w:rsidRPr="00F42913" w:rsidRDefault="00F42913" w:rsidP="00F42913">
      <w:pPr>
        <w:jc w:val="both"/>
        <w:rPr>
          <w:rFonts w:asciiTheme="minorHAnsi" w:hAnsiTheme="minorHAnsi"/>
        </w:rPr>
      </w:pPr>
      <w:r w:rsidRPr="00F42913">
        <w:rPr>
          <w:rFonts w:asciiTheme="minorHAnsi" w:hAnsiTheme="minorHAnsi"/>
          <w:b/>
          <w:color w:val="000000"/>
        </w:rPr>
        <w:t xml:space="preserve">B. Objem a struktura poskytnuté </w:t>
      </w:r>
      <w:r w:rsidR="00F6451F">
        <w:rPr>
          <w:rFonts w:asciiTheme="minorHAnsi" w:hAnsiTheme="minorHAnsi"/>
          <w:b/>
          <w:color w:val="000000"/>
        </w:rPr>
        <w:t xml:space="preserve">účelové </w:t>
      </w:r>
      <w:r w:rsidRPr="00F42913">
        <w:rPr>
          <w:rFonts w:asciiTheme="minorHAnsi" w:hAnsiTheme="minorHAnsi"/>
          <w:b/>
          <w:color w:val="000000"/>
        </w:rPr>
        <w:t>podpory</w:t>
      </w:r>
    </w:p>
    <w:p w:rsidR="00F42913" w:rsidRDefault="00F42913" w:rsidP="001A6C40">
      <w:pPr>
        <w:jc w:val="both"/>
        <w:rPr>
          <w:rFonts w:asciiTheme="minorHAnsi" w:hAnsiTheme="minorHAnsi"/>
        </w:rPr>
      </w:pPr>
    </w:p>
    <w:p w:rsidR="00442DF3" w:rsidRDefault="00442DF3" w:rsidP="001A6C40">
      <w:pPr>
        <w:jc w:val="both"/>
        <w:rPr>
          <w:rFonts w:asciiTheme="minorHAnsi" w:hAnsiTheme="minorHAnsi"/>
        </w:rPr>
      </w:pPr>
      <w:r w:rsidRPr="00442DF3">
        <w:rPr>
          <w:rFonts w:asciiTheme="minorHAnsi" w:hAnsiTheme="minorHAnsi"/>
        </w:rPr>
        <w:t xml:space="preserve">Přehled účelové podpory GA ČR v období let 2011 až 2015 dle skupin projektů zobrazuje </w:t>
      </w:r>
      <w:r>
        <w:rPr>
          <w:rFonts w:asciiTheme="minorHAnsi" w:hAnsiTheme="minorHAnsi"/>
        </w:rPr>
        <w:t>následující tabulka</w:t>
      </w:r>
      <w:r w:rsidRPr="00442DF3">
        <w:rPr>
          <w:rFonts w:asciiTheme="minorHAnsi" w:hAnsiTheme="minorHAnsi"/>
        </w:rPr>
        <w:t>.</w:t>
      </w:r>
    </w:p>
    <w:p w:rsidR="008F5E6A" w:rsidRDefault="008F5E6A" w:rsidP="001A6C40">
      <w:pPr>
        <w:jc w:val="both"/>
        <w:rPr>
          <w:rFonts w:asciiTheme="minorHAnsi" w:hAnsiTheme="minorHAnsi"/>
        </w:rPr>
      </w:pPr>
    </w:p>
    <w:p w:rsidR="00AC460D" w:rsidRDefault="00AC460D" w:rsidP="001A6C40">
      <w:pPr>
        <w:jc w:val="both"/>
        <w:rPr>
          <w:rFonts w:asciiTheme="minorHAnsi" w:hAnsiTheme="minorHAnsi"/>
        </w:rPr>
      </w:pPr>
    </w:p>
    <w:p w:rsidR="00AC460D" w:rsidRDefault="00AC460D" w:rsidP="001A6C40">
      <w:pPr>
        <w:jc w:val="both"/>
        <w:rPr>
          <w:rFonts w:asciiTheme="minorHAnsi" w:hAnsiTheme="minorHAnsi"/>
        </w:rPr>
      </w:pPr>
    </w:p>
    <w:p w:rsidR="00CC68D4" w:rsidRDefault="00CC68D4" w:rsidP="001A6C40">
      <w:pPr>
        <w:jc w:val="both"/>
        <w:rPr>
          <w:rFonts w:asciiTheme="minorHAnsi" w:hAnsiTheme="minorHAnsi"/>
        </w:rPr>
      </w:pPr>
    </w:p>
    <w:p w:rsidR="00AC460D" w:rsidRDefault="00AC460D" w:rsidP="001A6C40">
      <w:pPr>
        <w:jc w:val="both"/>
        <w:rPr>
          <w:rFonts w:asciiTheme="minorHAnsi" w:hAnsiTheme="minorHAnsi"/>
        </w:rPr>
      </w:pPr>
    </w:p>
    <w:p w:rsidR="00442DF3" w:rsidRPr="008F5E6A" w:rsidRDefault="00442DF3" w:rsidP="008F5E6A">
      <w:pPr>
        <w:tabs>
          <w:tab w:val="right" w:pos="9072"/>
        </w:tabs>
        <w:spacing w:after="40"/>
        <w:rPr>
          <w:rFonts w:ascii="Calibri" w:hAnsi="Calibri" w:cs="Calibri"/>
          <w:b/>
          <w:lang w:eastAsia="en-US"/>
        </w:rPr>
      </w:pPr>
      <w:r w:rsidRPr="008F5E6A">
        <w:rPr>
          <w:rFonts w:ascii="Calibri" w:hAnsi="Calibri" w:cs="Calibri"/>
          <w:b/>
          <w:lang w:eastAsia="en-US"/>
        </w:rPr>
        <w:lastRenderedPageBreak/>
        <w:t xml:space="preserve">Tabulka č. </w:t>
      </w:r>
      <w:r w:rsidRPr="008F5E6A">
        <w:rPr>
          <w:rFonts w:ascii="Calibri" w:hAnsi="Calibri" w:cs="Calibri"/>
          <w:b/>
          <w:lang w:eastAsia="en-US"/>
        </w:rPr>
        <w:fldChar w:fldCharType="begin"/>
      </w:r>
      <w:r w:rsidRPr="008F5E6A">
        <w:rPr>
          <w:rFonts w:ascii="Calibri" w:hAnsi="Calibri" w:cs="Calibri"/>
          <w:b/>
          <w:lang w:eastAsia="en-US"/>
        </w:rPr>
        <w:instrText xml:space="preserve"> SEQ Tabulka_č. \* ARABIC </w:instrText>
      </w:r>
      <w:r w:rsidRPr="008F5E6A">
        <w:rPr>
          <w:rFonts w:ascii="Calibri" w:hAnsi="Calibri" w:cs="Calibri"/>
          <w:b/>
          <w:lang w:eastAsia="en-US"/>
        </w:rPr>
        <w:fldChar w:fldCharType="separate"/>
      </w:r>
      <w:r w:rsidR="003D719E">
        <w:rPr>
          <w:rFonts w:ascii="Calibri" w:hAnsi="Calibri" w:cs="Calibri"/>
          <w:b/>
          <w:noProof/>
          <w:lang w:eastAsia="en-US"/>
        </w:rPr>
        <w:t>1</w:t>
      </w:r>
      <w:r w:rsidRPr="008F5E6A">
        <w:rPr>
          <w:rFonts w:ascii="Calibri" w:hAnsi="Calibri" w:cs="Calibri"/>
          <w:b/>
          <w:lang w:eastAsia="en-US"/>
        </w:rPr>
        <w:fldChar w:fldCharType="end"/>
      </w:r>
      <w:r w:rsidRPr="008F5E6A">
        <w:rPr>
          <w:rFonts w:ascii="Calibri" w:hAnsi="Calibri" w:cs="Calibri"/>
          <w:b/>
          <w:lang w:eastAsia="en-US"/>
        </w:rPr>
        <w:t xml:space="preserve">: Účelová podpora </w:t>
      </w:r>
      <w:r w:rsidR="00466D86" w:rsidRPr="008F5E6A">
        <w:rPr>
          <w:rFonts w:ascii="Calibri" w:hAnsi="Calibri" w:cs="Calibri"/>
          <w:b/>
          <w:lang w:eastAsia="en-US"/>
        </w:rPr>
        <w:t xml:space="preserve">GA ČR </w:t>
      </w:r>
      <w:r w:rsidRPr="008F5E6A">
        <w:rPr>
          <w:rFonts w:ascii="Calibri" w:hAnsi="Calibri" w:cs="Calibri"/>
          <w:b/>
          <w:lang w:eastAsia="en-US"/>
        </w:rPr>
        <w:t xml:space="preserve">dle skupin projektů </w:t>
      </w:r>
      <w:r w:rsidR="001C7EA1" w:rsidRPr="008F5E6A">
        <w:rPr>
          <w:rFonts w:ascii="Calibri" w:hAnsi="Calibri" w:cs="Calibri"/>
          <w:b/>
          <w:lang w:eastAsia="en-US"/>
        </w:rPr>
        <w:t>v letech 2011 až 2015</w:t>
      </w:r>
      <w:r w:rsidR="00466D86" w:rsidRPr="008F5E6A">
        <w:rPr>
          <w:rFonts w:ascii="Calibri" w:hAnsi="Calibri" w:cs="Calibri"/>
          <w:b/>
          <w:lang w:eastAsia="en-US"/>
        </w:rPr>
        <w:t xml:space="preserve"> </w:t>
      </w:r>
      <w:r w:rsidR="008F5E6A">
        <w:rPr>
          <w:rFonts w:ascii="Calibri" w:hAnsi="Calibri" w:cs="Calibri"/>
          <w:b/>
          <w:lang w:eastAsia="en-US"/>
        </w:rPr>
        <w:tab/>
      </w:r>
      <w:r w:rsidR="00586F68" w:rsidRPr="008F5E6A">
        <w:rPr>
          <w:rFonts w:ascii="Calibri" w:hAnsi="Calibri" w:cs="Calibri"/>
          <w:b/>
          <w:lang w:eastAsia="en-US"/>
        </w:rPr>
        <w:t>(</w:t>
      </w:r>
      <w:r w:rsidR="001C7EA1" w:rsidRPr="008F5E6A">
        <w:rPr>
          <w:rFonts w:ascii="Calibri" w:hAnsi="Calibri" w:cs="Calibri"/>
          <w:b/>
          <w:lang w:eastAsia="en-US"/>
        </w:rPr>
        <w:t>v </w:t>
      </w:r>
      <w:r w:rsidRPr="008F5E6A">
        <w:rPr>
          <w:rFonts w:ascii="Calibri" w:hAnsi="Calibri" w:cs="Calibri"/>
          <w:b/>
          <w:lang w:eastAsia="en-US"/>
        </w:rPr>
        <w:t>tis. Kč</w:t>
      </w:r>
      <w:r w:rsidR="00586F68" w:rsidRPr="008F5E6A">
        <w:rPr>
          <w:rFonts w:ascii="Calibri" w:hAnsi="Calibri" w:cs="Calibri"/>
          <w:b/>
          <w:lang w:eastAsia="en-US"/>
        </w:rPr>
        <w:t>)</w:t>
      </w:r>
    </w:p>
    <w:tbl>
      <w:tblPr>
        <w:tblW w:w="497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665"/>
        <w:gridCol w:w="910"/>
        <w:gridCol w:w="908"/>
        <w:gridCol w:w="908"/>
        <w:gridCol w:w="908"/>
        <w:gridCol w:w="908"/>
        <w:gridCol w:w="1079"/>
        <w:gridCol w:w="738"/>
      </w:tblGrid>
      <w:tr w:rsidR="008F5E6A" w:rsidRPr="008F5E6A" w:rsidTr="00CF622A">
        <w:trPr>
          <w:trHeight w:val="227"/>
        </w:trPr>
        <w:tc>
          <w:tcPr>
            <w:tcW w:w="1477"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Skupiny projektů</w:t>
            </w:r>
          </w:p>
        </w:tc>
        <w:tc>
          <w:tcPr>
            <w:tcW w:w="504"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2011</w:t>
            </w:r>
          </w:p>
        </w:tc>
        <w:tc>
          <w:tcPr>
            <w:tcW w:w="503"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2012</w:t>
            </w:r>
          </w:p>
        </w:tc>
        <w:tc>
          <w:tcPr>
            <w:tcW w:w="503"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2013</w:t>
            </w:r>
          </w:p>
        </w:tc>
        <w:tc>
          <w:tcPr>
            <w:tcW w:w="503"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2014</w:t>
            </w:r>
          </w:p>
        </w:tc>
        <w:tc>
          <w:tcPr>
            <w:tcW w:w="503"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2015</w:t>
            </w:r>
          </w:p>
        </w:tc>
        <w:tc>
          <w:tcPr>
            <w:tcW w:w="598" w:type="pct"/>
            <w:shd w:val="clear" w:color="000000" w:fill="DDEBF7"/>
            <w:noWrap/>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Celkem</w:t>
            </w:r>
          </w:p>
        </w:tc>
        <w:tc>
          <w:tcPr>
            <w:tcW w:w="409" w:type="pct"/>
            <w:shd w:val="clear" w:color="000000" w:fill="DDEBF7"/>
            <w:tcMar>
              <w:top w:w="15" w:type="dxa"/>
              <w:left w:w="15" w:type="dxa"/>
              <w:bottom w:w="0" w:type="dxa"/>
              <w:right w:w="15" w:type="dxa"/>
            </w:tcMar>
            <w:vAlign w:val="center"/>
            <w:hideMark/>
          </w:tcPr>
          <w:p w:rsidR="008F5E6A" w:rsidRPr="008F5E6A" w:rsidRDefault="008F5E6A" w:rsidP="008F5E6A">
            <w:pPr>
              <w:ind w:right="57"/>
              <w:jc w:val="center"/>
              <w:rPr>
                <w:rFonts w:ascii="Calibri" w:hAnsi="Calibri" w:cs="Calibri"/>
                <w:b/>
                <w:color w:val="000000"/>
                <w:sz w:val="20"/>
                <w:szCs w:val="20"/>
                <w:lang w:eastAsia="en-US"/>
              </w:rPr>
            </w:pPr>
            <w:r w:rsidRPr="008F5E6A">
              <w:rPr>
                <w:rFonts w:ascii="Calibri" w:hAnsi="Calibri" w:cs="Calibri"/>
                <w:b/>
                <w:color w:val="000000"/>
                <w:sz w:val="20"/>
                <w:szCs w:val="20"/>
                <w:lang w:eastAsia="en-US"/>
              </w:rPr>
              <w:t>Podíl celkem</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Standardní projekty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1 955 230</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2 288 403</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2 505 378</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2 552 850</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2 752 629</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12 054 490</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78,6</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proofErr w:type="spellStart"/>
            <w:r w:rsidRPr="008F5E6A">
              <w:rPr>
                <w:rFonts w:ascii="Calibri" w:hAnsi="Calibri" w:cs="Calibri"/>
                <w:color w:val="000000"/>
                <w:sz w:val="20"/>
                <w:szCs w:val="20"/>
                <w:lang w:eastAsia="en-US"/>
              </w:rPr>
              <w:t>Postdoktorské</w:t>
            </w:r>
            <w:proofErr w:type="spellEnd"/>
            <w:r w:rsidRPr="008F5E6A">
              <w:rPr>
                <w:rFonts w:ascii="Calibri" w:hAnsi="Calibri" w:cs="Calibri"/>
                <w:color w:val="000000"/>
                <w:sz w:val="20"/>
                <w:szCs w:val="20"/>
                <w:lang w:eastAsia="en-US"/>
              </w:rPr>
              <w:t xml:space="preserve"> projekty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192 299</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478 890</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248 237</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278 215</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177 377</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1 375 018</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9,0</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Projekty na podporu excelence</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36 276</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328 428</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468 169</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485 517</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1 318 390</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8,6</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Doktorské projekty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159 448</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39 380</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198 828</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1,3</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Mezinárodní projekty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40 270</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42 432</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22 446</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36 212</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52 518</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193 878</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1,3</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Juniorské granty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89 791</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89 791</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0,6</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Bilaterální projekty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32 314</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13 386</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2 038</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47 738</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0,3</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EUROCORES</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16 172</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12 591</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8 696</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543</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38 002</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0,2</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color w:val="000000"/>
                <w:sz w:val="20"/>
                <w:szCs w:val="20"/>
                <w:lang w:eastAsia="en-US"/>
              </w:rPr>
            </w:pPr>
            <w:r w:rsidRPr="008F5E6A">
              <w:rPr>
                <w:rFonts w:ascii="Calibri" w:hAnsi="Calibri" w:cs="Calibri"/>
                <w:color w:val="000000"/>
                <w:sz w:val="20"/>
                <w:szCs w:val="20"/>
                <w:lang w:eastAsia="en-US"/>
              </w:rPr>
              <w:t>LA granty</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center"/>
              <w:rPr>
                <w:rFonts w:ascii="Calibri" w:hAnsi="Calibri" w:cs="Calibri"/>
                <w:color w:val="000000"/>
                <w:sz w:val="20"/>
                <w:szCs w:val="20"/>
                <w:lang w:eastAsia="en-US"/>
              </w:rPr>
            </w:pPr>
            <w:r w:rsidRPr="008F5E6A">
              <w:rPr>
                <w:rFonts w:ascii="Calibri" w:hAnsi="Calibri" w:cs="Calibri"/>
                <w:color w:val="000000"/>
                <w:sz w:val="20"/>
                <w:szCs w:val="20"/>
                <w:lang w:eastAsia="en-US"/>
              </w:rPr>
              <w:t>-</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14 855</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14 855</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color w:val="000000"/>
                <w:sz w:val="20"/>
                <w:szCs w:val="20"/>
                <w:lang w:eastAsia="en-US"/>
              </w:rPr>
            </w:pPr>
            <w:r w:rsidRPr="008F5E6A">
              <w:rPr>
                <w:rFonts w:ascii="Calibri" w:hAnsi="Calibri" w:cs="Calibri"/>
                <w:color w:val="000000"/>
                <w:sz w:val="20"/>
                <w:szCs w:val="20"/>
                <w:lang w:eastAsia="en-US"/>
              </w:rPr>
              <w:t>0,1</w:t>
            </w:r>
            <w:r w:rsidR="0042452E">
              <w:rPr>
                <w:rFonts w:ascii="Calibri" w:hAnsi="Calibri" w:cs="Calibri"/>
                <w:color w:val="000000"/>
                <w:sz w:val="20"/>
                <w:szCs w:val="20"/>
                <w:lang w:eastAsia="en-US"/>
              </w:rPr>
              <w:t> </w:t>
            </w:r>
            <w:r w:rsidRPr="008F5E6A">
              <w:rPr>
                <w:rFonts w:ascii="Calibri" w:hAnsi="Calibri" w:cs="Calibri"/>
                <w:color w:val="000000"/>
                <w:sz w:val="20"/>
                <w:szCs w:val="20"/>
                <w:lang w:eastAsia="en-US"/>
              </w:rPr>
              <w:t>%</w:t>
            </w:r>
          </w:p>
        </w:tc>
      </w:tr>
      <w:tr w:rsidR="008F5E6A" w:rsidRPr="008F5E6A" w:rsidTr="00CF622A">
        <w:trPr>
          <w:trHeight w:val="227"/>
        </w:trPr>
        <w:tc>
          <w:tcPr>
            <w:tcW w:w="1477"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both"/>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Celkem</w:t>
            </w:r>
          </w:p>
        </w:tc>
        <w:tc>
          <w:tcPr>
            <w:tcW w:w="504"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2 363 419</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2 897 972</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3 145 499</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3 349 375</w:t>
            </w:r>
          </w:p>
        </w:tc>
        <w:tc>
          <w:tcPr>
            <w:tcW w:w="503"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3 574 725</w:t>
            </w:r>
          </w:p>
        </w:tc>
        <w:tc>
          <w:tcPr>
            <w:tcW w:w="598"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15 330 990</w:t>
            </w:r>
          </w:p>
        </w:tc>
        <w:tc>
          <w:tcPr>
            <w:tcW w:w="409" w:type="pct"/>
            <w:shd w:val="clear" w:color="auto" w:fill="auto"/>
            <w:noWrap/>
            <w:tcMar>
              <w:top w:w="15" w:type="dxa"/>
              <w:left w:w="15" w:type="dxa"/>
              <w:bottom w:w="0" w:type="dxa"/>
              <w:right w:w="15" w:type="dxa"/>
            </w:tcMar>
            <w:vAlign w:val="bottom"/>
            <w:hideMark/>
          </w:tcPr>
          <w:p w:rsidR="008F5E6A" w:rsidRPr="008F5E6A" w:rsidRDefault="008F5E6A" w:rsidP="008F5E6A">
            <w:pPr>
              <w:ind w:right="57"/>
              <w:jc w:val="right"/>
              <w:rPr>
                <w:rFonts w:ascii="Calibri" w:hAnsi="Calibri" w:cs="Calibri"/>
                <w:b/>
                <w:bCs/>
                <w:color w:val="000000"/>
                <w:sz w:val="20"/>
                <w:szCs w:val="20"/>
                <w:lang w:eastAsia="en-US"/>
              </w:rPr>
            </w:pPr>
            <w:r w:rsidRPr="008F5E6A">
              <w:rPr>
                <w:rFonts w:ascii="Calibri" w:hAnsi="Calibri" w:cs="Calibri"/>
                <w:b/>
                <w:bCs/>
                <w:color w:val="000000"/>
                <w:sz w:val="20"/>
                <w:szCs w:val="20"/>
                <w:lang w:eastAsia="en-US"/>
              </w:rPr>
              <w:t>100</w:t>
            </w:r>
            <w:r w:rsidR="0042452E">
              <w:rPr>
                <w:rFonts w:ascii="Calibri" w:hAnsi="Calibri" w:cs="Calibri"/>
                <w:b/>
                <w:bCs/>
                <w:color w:val="000000"/>
                <w:sz w:val="20"/>
                <w:szCs w:val="20"/>
                <w:lang w:eastAsia="en-US"/>
              </w:rPr>
              <w:t> </w:t>
            </w:r>
            <w:r w:rsidRPr="008F5E6A">
              <w:rPr>
                <w:rFonts w:ascii="Calibri" w:hAnsi="Calibri" w:cs="Calibri"/>
                <w:b/>
                <w:bCs/>
                <w:color w:val="000000"/>
                <w:sz w:val="20"/>
                <w:szCs w:val="20"/>
                <w:lang w:eastAsia="en-US"/>
              </w:rPr>
              <w:t>%</w:t>
            </w:r>
          </w:p>
        </w:tc>
      </w:tr>
    </w:tbl>
    <w:p w:rsidR="00442DF3" w:rsidRPr="008F5E6A" w:rsidRDefault="00442DF3" w:rsidP="008F5E6A">
      <w:pPr>
        <w:spacing w:before="40"/>
        <w:rPr>
          <w:rFonts w:ascii="Calibri" w:hAnsi="Calibri" w:cs="Calibri"/>
          <w:sz w:val="20"/>
          <w:szCs w:val="20"/>
          <w:lang w:eastAsia="en-US"/>
        </w:rPr>
      </w:pPr>
      <w:r w:rsidRPr="008F5E6A">
        <w:rPr>
          <w:rFonts w:ascii="Calibri" w:hAnsi="Calibri" w:cs="Calibri"/>
          <w:b/>
          <w:sz w:val="20"/>
          <w:szCs w:val="20"/>
          <w:lang w:eastAsia="en-US"/>
        </w:rPr>
        <w:t>Zdroj:</w:t>
      </w:r>
      <w:r w:rsidRPr="008F5E6A">
        <w:rPr>
          <w:rFonts w:ascii="Calibri" w:hAnsi="Calibri" w:cs="Calibri"/>
          <w:sz w:val="20"/>
          <w:szCs w:val="20"/>
          <w:lang w:eastAsia="en-US"/>
        </w:rPr>
        <w:t xml:space="preserve"> </w:t>
      </w:r>
      <w:r w:rsidR="0042452E">
        <w:rPr>
          <w:rFonts w:ascii="Calibri" w:hAnsi="Calibri" w:cs="Calibri"/>
          <w:sz w:val="20"/>
          <w:szCs w:val="20"/>
          <w:lang w:eastAsia="en-US"/>
        </w:rPr>
        <w:t>p</w:t>
      </w:r>
      <w:r w:rsidRPr="008F5E6A">
        <w:rPr>
          <w:rFonts w:ascii="Calibri" w:hAnsi="Calibri" w:cs="Calibri"/>
          <w:sz w:val="20"/>
          <w:szCs w:val="20"/>
          <w:lang w:eastAsia="en-US"/>
        </w:rPr>
        <w:t>řehled účelové podpory GA ČR</w:t>
      </w:r>
      <w:r w:rsidR="00F9019B" w:rsidRPr="008F5E6A">
        <w:rPr>
          <w:rFonts w:ascii="Calibri" w:hAnsi="Calibri" w:cs="Calibri"/>
          <w:sz w:val="20"/>
          <w:szCs w:val="20"/>
          <w:lang w:eastAsia="en-US"/>
        </w:rPr>
        <w:t>.</w:t>
      </w:r>
    </w:p>
    <w:p w:rsidR="00442DF3" w:rsidRPr="008F5E6A" w:rsidRDefault="00442DF3" w:rsidP="00442DF3">
      <w:pPr>
        <w:jc w:val="both"/>
        <w:rPr>
          <w:rFonts w:ascii="Calibri" w:hAnsi="Calibri" w:cs="Calibri"/>
          <w:sz w:val="20"/>
          <w:szCs w:val="20"/>
        </w:rPr>
      </w:pPr>
      <w:r w:rsidRPr="008F5E6A">
        <w:rPr>
          <w:rFonts w:ascii="Calibri" w:hAnsi="Calibri" w:cs="Calibri"/>
          <w:b/>
          <w:sz w:val="20"/>
          <w:szCs w:val="20"/>
          <w:lang w:eastAsia="en-US"/>
        </w:rPr>
        <w:t>Pozn.:</w:t>
      </w:r>
      <w:r w:rsidRPr="008F5E6A">
        <w:rPr>
          <w:rFonts w:ascii="Calibri" w:hAnsi="Calibri" w:cs="Calibri"/>
          <w:sz w:val="20"/>
          <w:szCs w:val="20"/>
          <w:lang w:eastAsia="en-US"/>
        </w:rPr>
        <w:t xml:space="preserve"> Bez započítání vratek grantů</w:t>
      </w:r>
      <w:r w:rsidR="00F9019B" w:rsidRPr="008F5E6A">
        <w:rPr>
          <w:rFonts w:ascii="Calibri" w:hAnsi="Calibri" w:cs="Calibri"/>
          <w:sz w:val="20"/>
          <w:szCs w:val="20"/>
          <w:lang w:eastAsia="en-US"/>
        </w:rPr>
        <w:t>.</w:t>
      </w:r>
    </w:p>
    <w:p w:rsidR="00442DF3" w:rsidRPr="008F5E6A" w:rsidRDefault="00442DF3" w:rsidP="001A6C40">
      <w:pPr>
        <w:jc w:val="both"/>
        <w:rPr>
          <w:rFonts w:asciiTheme="minorHAnsi" w:hAnsiTheme="minorHAnsi"/>
          <w:color w:val="000000" w:themeColor="text1"/>
        </w:rPr>
      </w:pPr>
    </w:p>
    <w:p w:rsidR="00F42913" w:rsidRPr="008F5E6A" w:rsidRDefault="00F42913" w:rsidP="001A6C40">
      <w:pPr>
        <w:jc w:val="both"/>
        <w:rPr>
          <w:rFonts w:asciiTheme="minorHAnsi" w:hAnsiTheme="minorHAnsi"/>
          <w:color w:val="000000" w:themeColor="text1"/>
        </w:rPr>
      </w:pPr>
      <w:r w:rsidRPr="008F5E6A">
        <w:rPr>
          <w:rFonts w:asciiTheme="minorHAnsi" w:hAnsiTheme="minorHAnsi"/>
          <w:color w:val="000000" w:themeColor="text1"/>
        </w:rPr>
        <w:t xml:space="preserve">Největšími příjemci účelové podpory </w:t>
      </w:r>
      <w:r w:rsidR="00994DCC" w:rsidRPr="008F5E6A">
        <w:rPr>
          <w:rFonts w:asciiTheme="minorHAnsi" w:hAnsiTheme="minorHAnsi"/>
          <w:color w:val="000000" w:themeColor="text1"/>
        </w:rPr>
        <w:t xml:space="preserve">základního </w:t>
      </w:r>
      <w:r w:rsidRPr="008F5E6A">
        <w:rPr>
          <w:rFonts w:asciiTheme="minorHAnsi" w:hAnsiTheme="minorHAnsi"/>
          <w:color w:val="000000" w:themeColor="text1"/>
        </w:rPr>
        <w:t xml:space="preserve">výzkumu </w:t>
      </w:r>
      <w:r w:rsidR="00774495" w:rsidRPr="008F5E6A">
        <w:rPr>
          <w:rFonts w:asciiTheme="minorHAnsi" w:hAnsiTheme="minorHAnsi"/>
          <w:color w:val="000000" w:themeColor="text1"/>
        </w:rPr>
        <w:t>byly</w:t>
      </w:r>
      <w:r w:rsidR="001C7EA1" w:rsidRPr="008F5E6A">
        <w:rPr>
          <w:rFonts w:asciiTheme="minorHAnsi" w:hAnsiTheme="minorHAnsi"/>
          <w:color w:val="000000" w:themeColor="text1"/>
        </w:rPr>
        <w:t xml:space="preserve"> veřejné výzkumné instituce a </w:t>
      </w:r>
      <w:r w:rsidRPr="008F5E6A">
        <w:rPr>
          <w:rFonts w:asciiTheme="minorHAnsi" w:hAnsiTheme="minorHAnsi"/>
          <w:color w:val="000000" w:themeColor="text1"/>
        </w:rPr>
        <w:t>vysoké školy. V let</w:t>
      </w:r>
      <w:r w:rsidR="002B6FBB" w:rsidRPr="008F5E6A">
        <w:rPr>
          <w:rFonts w:asciiTheme="minorHAnsi" w:hAnsiTheme="minorHAnsi"/>
          <w:color w:val="000000" w:themeColor="text1"/>
        </w:rPr>
        <w:t>ech</w:t>
      </w:r>
      <w:r w:rsidRPr="008F5E6A">
        <w:rPr>
          <w:rFonts w:asciiTheme="minorHAnsi" w:hAnsiTheme="minorHAnsi"/>
          <w:color w:val="000000" w:themeColor="text1"/>
        </w:rPr>
        <w:t xml:space="preserve"> 2011 až 2015 obdržely </w:t>
      </w:r>
      <w:r w:rsidR="00A76947" w:rsidRPr="008F5E6A">
        <w:rPr>
          <w:rFonts w:asciiTheme="minorHAnsi" w:hAnsiTheme="minorHAnsi"/>
          <w:color w:val="000000" w:themeColor="text1"/>
        </w:rPr>
        <w:t xml:space="preserve">celkem 15,3 mld. Kč. </w:t>
      </w:r>
      <w:r w:rsidR="00C03E43" w:rsidRPr="008F5E6A">
        <w:rPr>
          <w:rFonts w:asciiTheme="minorHAnsi" w:hAnsiTheme="minorHAnsi"/>
          <w:color w:val="000000" w:themeColor="text1"/>
        </w:rPr>
        <w:t>Účelovou podporu GA ČR členila do pěti vědních oborů</w:t>
      </w:r>
      <w:r w:rsidR="00C03E43" w:rsidRPr="008F5E6A">
        <w:rPr>
          <w:rStyle w:val="Znakapoznpodarou"/>
          <w:rFonts w:asciiTheme="minorHAnsi" w:hAnsiTheme="minorHAnsi"/>
          <w:color w:val="000000" w:themeColor="text1"/>
        </w:rPr>
        <w:footnoteReference w:id="8"/>
      </w:r>
      <w:r w:rsidR="00C03E43" w:rsidRPr="008F5E6A">
        <w:rPr>
          <w:rFonts w:asciiTheme="minorHAnsi" w:hAnsiTheme="minorHAnsi"/>
          <w:color w:val="000000" w:themeColor="text1"/>
        </w:rPr>
        <w:t xml:space="preserve">. </w:t>
      </w:r>
      <w:r w:rsidR="00966BFD" w:rsidRPr="008F5E6A">
        <w:rPr>
          <w:rFonts w:asciiTheme="minorHAnsi" w:hAnsiTheme="minorHAnsi"/>
          <w:color w:val="000000" w:themeColor="text1"/>
        </w:rPr>
        <w:t>R</w:t>
      </w:r>
      <w:r w:rsidR="00A76947" w:rsidRPr="008F5E6A">
        <w:rPr>
          <w:rFonts w:asciiTheme="minorHAnsi" w:hAnsiTheme="minorHAnsi"/>
          <w:color w:val="000000" w:themeColor="text1"/>
        </w:rPr>
        <w:t>ozdělení</w:t>
      </w:r>
      <w:r w:rsidR="00133C9E" w:rsidRPr="008F5E6A">
        <w:rPr>
          <w:rFonts w:asciiTheme="minorHAnsi" w:hAnsiTheme="minorHAnsi"/>
          <w:color w:val="000000" w:themeColor="text1"/>
        </w:rPr>
        <w:t xml:space="preserve"> účelové podpory</w:t>
      </w:r>
      <w:r w:rsidR="00A76947" w:rsidRPr="008F5E6A">
        <w:rPr>
          <w:rFonts w:asciiTheme="minorHAnsi" w:hAnsiTheme="minorHAnsi"/>
          <w:color w:val="000000" w:themeColor="text1"/>
        </w:rPr>
        <w:t xml:space="preserve"> </w:t>
      </w:r>
      <w:r w:rsidR="00966BFD" w:rsidRPr="008F5E6A">
        <w:rPr>
          <w:rFonts w:asciiTheme="minorHAnsi" w:hAnsiTheme="minorHAnsi"/>
          <w:color w:val="000000" w:themeColor="text1"/>
        </w:rPr>
        <w:t xml:space="preserve">dle příjemců a vědních oborů </w:t>
      </w:r>
      <w:r w:rsidR="00A76947" w:rsidRPr="008F5E6A">
        <w:rPr>
          <w:rFonts w:asciiTheme="minorHAnsi" w:hAnsiTheme="minorHAnsi"/>
          <w:color w:val="000000" w:themeColor="text1"/>
        </w:rPr>
        <w:t>uvádí následující graf.</w:t>
      </w:r>
    </w:p>
    <w:p w:rsidR="002B6829" w:rsidRPr="008F5E6A" w:rsidRDefault="002B6829" w:rsidP="001A6C40">
      <w:pPr>
        <w:jc w:val="both"/>
        <w:rPr>
          <w:rFonts w:asciiTheme="minorHAnsi" w:hAnsiTheme="minorHAnsi"/>
          <w:color w:val="000000" w:themeColor="text1"/>
        </w:rPr>
      </w:pPr>
    </w:p>
    <w:p w:rsidR="002B6829" w:rsidRPr="00586F68" w:rsidRDefault="002B6829" w:rsidP="00205BE2">
      <w:pPr>
        <w:keepNext/>
        <w:jc w:val="both"/>
        <w:rPr>
          <w:rFonts w:asciiTheme="minorHAnsi" w:hAnsiTheme="minorHAnsi"/>
          <w:b/>
        </w:rPr>
      </w:pPr>
      <w:r w:rsidRPr="00586F68">
        <w:rPr>
          <w:rFonts w:asciiTheme="minorHAnsi" w:hAnsiTheme="minorHAnsi"/>
          <w:b/>
        </w:rPr>
        <w:t xml:space="preserve">Graf č. 1: </w:t>
      </w:r>
      <w:r w:rsidR="00966BFD" w:rsidRPr="00586F68">
        <w:rPr>
          <w:rFonts w:asciiTheme="minorHAnsi" w:hAnsiTheme="minorHAnsi"/>
          <w:b/>
        </w:rPr>
        <w:t>Účelová podpora GA ČR dle příjemců a vědních oborů</w:t>
      </w:r>
      <w:r w:rsidR="00F9019B" w:rsidRPr="00586F68">
        <w:rPr>
          <w:rFonts w:asciiTheme="minorHAnsi" w:hAnsiTheme="minorHAnsi"/>
          <w:b/>
        </w:rPr>
        <w:t xml:space="preserve"> v letech 2011–</w:t>
      </w:r>
      <w:r w:rsidR="00966BFD" w:rsidRPr="00586F68">
        <w:rPr>
          <w:rFonts w:asciiTheme="minorHAnsi" w:hAnsiTheme="minorHAnsi"/>
          <w:b/>
        </w:rPr>
        <w:t>2015</w:t>
      </w:r>
    </w:p>
    <w:p w:rsidR="003F3E81" w:rsidRPr="001C7EA1" w:rsidRDefault="00CF622A" w:rsidP="00205BE2">
      <w:pPr>
        <w:keepNext/>
        <w:jc w:val="both"/>
        <w:rPr>
          <w:noProof/>
        </w:rPr>
      </w:pPr>
      <w:r>
        <w:rPr>
          <w:noProof/>
        </w:rPr>
        <w:drawing>
          <wp:inline distT="0" distB="0" distL="0" distR="0" wp14:anchorId="039417B8" wp14:editId="635EA331">
            <wp:extent cx="2679590" cy="1502410"/>
            <wp:effectExtent l="0" t="0" r="6985" b="25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F3E81">
        <w:rPr>
          <w:noProof/>
        </w:rPr>
        <w:drawing>
          <wp:inline distT="0" distB="0" distL="0" distR="0" wp14:anchorId="40A7753A" wp14:editId="73491785">
            <wp:extent cx="3005455" cy="1502161"/>
            <wp:effectExtent l="0" t="0" r="4445" b="317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6829" w:rsidRPr="00A76947" w:rsidRDefault="002B6829" w:rsidP="00205BE2">
      <w:pPr>
        <w:keepNext/>
        <w:jc w:val="both"/>
        <w:rPr>
          <w:rFonts w:asciiTheme="minorHAnsi" w:hAnsiTheme="minorHAnsi"/>
          <w:sz w:val="22"/>
        </w:rPr>
      </w:pPr>
      <w:r w:rsidRPr="00F9019B">
        <w:rPr>
          <w:rFonts w:asciiTheme="minorHAnsi" w:hAnsiTheme="minorHAnsi"/>
          <w:b/>
          <w:sz w:val="22"/>
        </w:rPr>
        <w:t>Zdroj:</w:t>
      </w:r>
      <w:r w:rsidRPr="00A76947">
        <w:rPr>
          <w:rFonts w:asciiTheme="minorHAnsi" w:hAnsiTheme="minorHAnsi"/>
          <w:sz w:val="22"/>
        </w:rPr>
        <w:t xml:space="preserve"> </w:t>
      </w:r>
      <w:r w:rsidR="006130C0">
        <w:rPr>
          <w:rFonts w:asciiTheme="minorHAnsi" w:hAnsiTheme="minorHAnsi"/>
          <w:sz w:val="22"/>
        </w:rPr>
        <w:t>d</w:t>
      </w:r>
      <w:r w:rsidR="00A76947" w:rsidRPr="00A76947">
        <w:rPr>
          <w:rFonts w:asciiTheme="minorHAnsi" w:hAnsiTheme="minorHAnsi"/>
          <w:sz w:val="22"/>
        </w:rPr>
        <w:t>ata poskytnutá GA ČR</w:t>
      </w:r>
      <w:r w:rsidR="00F9019B">
        <w:rPr>
          <w:rFonts w:asciiTheme="minorHAnsi" w:hAnsiTheme="minorHAnsi"/>
          <w:sz w:val="22"/>
        </w:rPr>
        <w:t>.</w:t>
      </w:r>
    </w:p>
    <w:p w:rsidR="002B6FBB" w:rsidRDefault="002B6FBB" w:rsidP="001A6C40">
      <w:pPr>
        <w:jc w:val="both"/>
        <w:rPr>
          <w:rFonts w:asciiTheme="minorHAnsi" w:hAnsiTheme="minorHAnsi"/>
        </w:rPr>
      </w:pPr>
    </w:p>
    <w:p w:rsidR="002B6FBB" w:rsidRDefault="002B6FBB" w:rsidP="001A6C40">
      <w:pPr>
        <w:jc w:val="both"/>
        <w:rPr>
          <w:rFonts w:asciiTheme="minorHAnsi" w:hAnsiTheme="minorHAnsi"/>
        </w:rPr>
      </w:pPr>
      <w:r w:rsidRPr="002B6FBB">
        <w:rPr>
          <w:rFonts w:asciiTheme="minorHAnsi" w:hAnsiTheme="minorHAnsi"/>
        </w:rPr>
        <w:t>V let</w:t>
      </w:r>
      <w:r>
        <w:rPr>
          <w:rFonts w:asciiTheme="minorHAnsi" w:hAnsiTheme="minorHAnsi"/>
        </w:rPr>
        <w:t>ech</w:t>
      </w:r>
      <w:r w:rsidR="001C7EA1">
        <w:rPr>
          <w:rFonts w:asciiTheme="minorHAnsi" w:hAnsiTheme="minorHAnsi"/>
        </w:rPr>
        <w:t xml:space="preserve"> 2011 až 2015 rozdělila GA </w:t>
      </w:r>
      <w:r w:rsidRPr="002B6FBB">
        <w:rPr>
          <w:rFonts w:asciiTheme="minorHAnsi" w:hAnsiTheme="minorHAnsi"/>
        </w:rPr>
        <w:t>ČR účelovou podporu mezi jednotlivé obory rovnoměrně. Podíl na celkové podpoře se pohyboval od 18 % u společenských a humanitních věd, do 23 % u věd o neživé přírodě.</w:t>
      </w:r>
    </w:p>
    <w:p w:rsidR="002B6FBB" w:rsidRDefault="002B6FBB" w:rsidP="001A6C40">
      <w:pPr>
        <w:jc w:val="both"/>
        <w:rPr>
          <w:rFonts w:asciiTheme="minorHAnsi" w:hAnsiTheme="minorHAnsi"/>
        </w:rPr>
      </w:pPr>
    </w:p>
    <w:p w:rsidR="002B6FBB" w:rsidRDefault="002B6FBB" w:rsidP="002B6FBB">
      <w:pPr>
        <w:jc w:val="both"/>
        <w:rPr>
          <w:rFonts w:asciiTheme="minorHAnsi" w:hAnsiTheme="minorHAnsi"/>
        </w:rPr>
      </w:pPr>
      <w:r w:rsidRPr="002B6FBB">
        <w:rPr>
          <w:rFonts w:asciiTheme="minorHAnsi" w:hAnsiTheme="minorHAnsi"/>
        </w:rPr>
        <w:t xml:space="preserve">Průměrná předpokládaná podpora jednoho standardního projektu </w:t>
      </w:r>
      <w:r>
        <w:rPr>
          <w:rFonts w:asciiTheme="minorHAnsi" w:hAnsiTheme="minorHAnsi"/>
        </w:rPr>
        <w:t>v</w:t>
      </w:r>
      <w:r w:rsidRPr="002B6FBB">
        <w:rPr>
          <w:rFonts w:asciiTheme="minorHAnsi" w:hAnsiTheme="minorHAnsi"/>
        </w:rPr>
        <w:t xml:space="preserve"> let</w:t>
      </w:r>
      <w:r>
        <w:rPr>
          <w:rFonts w:asciiTheme="minorHAnsi" w:hAnsiTheme="minorHAnsi"/>
        </w:rPr>
        <w:t>ech</w:t>
      </w:r>
      <w:r w:rsidRPr="002B6FBB">
        <w:rPr>
          <w:rFonts w:asciiTheme="minorHAnsi" w:hAnsiTheme="minorHAnsi"/>
        </w:rPr>
        <w:t xml:space="preserve"> 2011 </w:t>
      </w:r>
      <w:r w:rsidR="000751D6">
        <w:rPr>
          <w:rFonts w:asciiTheme="minorHAnsi" w:hAnsiTheme="minorHAnsi"/>
        </w:rPr>
        <w:t xml:space="preserve">až 2016 činila 5,5 mil. Kč. </w:t>
      </w:r>
      <w:r w:rsidRPr="002B6FBB">
        <w:rPr>
          <w:rFonts w:asciiTheme="minorHAnsi" w:hAnsiTheme="minorHAnsi"/>
        </w:rPr>
        <w:t xml:space="preserve">U projektů na </w:t>
      </w:r>
      <w:r w:rsidR="00737261">
        <w:rPr>
          <w:rFonts w:asciiTheme="minorHAnsi" w:hAnsiTheme="minorHAnsi"/>
        </w:rPr>
        <w:t>„</w:t>
      </w:r>
      <w:r w:rsidRPr="002B6FBB">
        <w:rPr>
          <w:rFonts w:asciiTheme="minorHAnsi" w:hAnsiTheme="minorHAnsi"/>
        </w:rPr>
        <w:t>podporu excelence</w:t>
      </w:r>
      <w:r w:rsidR="00737261">
        <w:rPr>
          <w:rFonts w:asciiTheme="minorHAnsi" w:hAnsiTheme="minorHAnsi"/>
        </w:rPr>
        <w:t>“</w:t>
      </w:r>
      <w:r w:rsidRPr="002B6FBB">
        <w:rPr>
          <w:rFonts w:asciiTheme="minorHAnsi" w:hAnsiTheme="minorHAnsi"/>
        </w:rPr>
        <w:t xml:space="preserve"> činila průměrná předpokládaná podpora jednoho projektu s počátečním rokem řešení 2012 téměř 93 mil. Kč a s počátečním rokem řešení 2014 téměř 64 mil. Kč.</w:t>
      </w:r>
    </w:p>
    <w:p w:rsidR="00C84BDE" w:rsidRDefault="00C84BDE" w:rsidP="002B6FBB">
      <w:pPr>
        <w:jc w:val="both"/>
        <w:rPr>
          <w:rFonts w:asciiTheme="minorHAnsi" w:hAnsiTheme="minorHAnsi"/>
        </w:rPr>
      </w:pPr>
    </w:p>
    <w:p w:rsidR="00C84BDE" w:rsidRPr="008F5E6A" w:rsidRDefault="00C84BDE" w:rsidP="008F5E6A">
      <w:pPr>
        <w:rPr>
          <w:rFonts w:ascii="Calibri" w:hAnsi="Calibri" w:cs="Calibri"/>
          <w:b/>
        </w:rPr>
      </w:pPr>
      <w:r w:rsidRPr="008F5E6A">
        <w:rPr>
          <w:rFonts w:ascii="Calibri" w:hAnsi="Calibri" w:cs="Calibri"/>
          <w:b/>
        </w:rPr>
        <w:t>C. Proces hodnocení návrhů projektů</w:t>
      </w:r>
    </w:p>
    <w:p w:rsidR="00E054EB" w:rsidRPr="008F5E6A" w:rsidRDefault="00E054EB" w:rsidP="008F5E6A">
      <w:pPr>
        <w:rPr>
          <w:rFonts w:ascii="Calibri" w:hAnsi="Calibri" w:cs="Calibri"/>
        </w:rPr>
      </w:pPr>
    </w:p>
    <w:p w:rsidR="004821E6" w:rsidRDefault="004821E6" w:rsidP="00E054EB">
      <w:pPr>
        <w:jc w:val="both"/>
        <w:rPr>
          <w:rFonts w:asciiTheme="minorHAnsi" w:hAnsiTheme="minorHAnsi"/>
        </w:rPr>
      </w:pPr>
      <w:r w:rsidRPr="00E054EB">
        <w:rPr>
          <w:rFonts w:asciiTheme="minorHAnsi" w:hAnsiTheme="minorHAnsi"/>
        </w:rPr>
        <w:t xml:space="preserve">GA ČR využívá metodu hodnocení návrhů projektů „peer </w:t>
      </w:r>
      <w:proofErr w:type="spellStart"/>
      <w:r w:rsidRPr="00E054EB">
        <w:rPr>
          <w:rFonts w:asciiTheme="minorHAnsi" w:hAnsiTheme="minorHAnsi"/>
        </w:rPr>
        <w:t>review</w:t>
      </w:r>
      <w:proofErr w:type="spellEnd"/>
      <w:r w:rsidRPr="00E054EB">
        <w:rPr>
          <w:rFonts w:asciiTheme="minorHAnsi" w:hAnsiTheme="minorHAnsi"/>
        </w:rPr>
        <w:t xml:space="preserve">“, neboli hodnocení návrhů projektů experty. Každý návrh projektu musí mít minimálně dva nezávislé posudky. </w:t>
      </w:r>
      <w:r w:rsidR="001C7EA1">
        <w:rPr>
          <w:rFonts w:asciiTheme="minorHAnsi" w:hAnsiTheme="minorHAnsi"/>
        </w:rPr>
        <w:lastRenderedPageBreak/>
        <w:t>K </w:t>
      </w:r>
      <w:r w:rsidR="00D9210A">
        <w:rPr>
          <w:rFonts w:asciiTheme="minorHAnsi" w:hAnsiTheme="minorHAnsi"/>
        </w:rPr>
        <w:t>p</w:t>
      </w:r>
      <w:r w:rsidRPr="00E054EB">
        <w:rPr>
          <w:rFonts w:asciiTheme="minorHAnsi" w:hAnsiTheme="minorHAnsi"/>
        </w:rPr>
        <w:t>rojekt</w:t>
      </w:r>
      <w:r w:rsidR="00D9210A">
        <w:rPr>
          <w:rFonts w:asciiTheme="minorHAnsi" w:hAnsiTheme="minorHAnsi"/>
        </w:rPr>
        <w:t>ům</w:t>
      </w:r>
      <w:r w:rsidRPr="00E054EB">
        <w:rPr>
          <w:rFonts w:asciiTheme="minorHAnsi" w:hAnsiTheme="minorHAnsi"/>
        </w:rPr>
        <w:t xml:space="preserve">, které postoupí do </w:t>
      </w:r>
      <w:r w:rsidR="00133C9E">
        <w:rPr>
          <w:rFonts w:asciiTheme="minorHAnsi" w:hAnsiTheme="minorHAnsi"/>
        </w:rPr>
        <w:t>další</w:t>
      </w:r>
      <w:r w:rsidRPr="00E054EB">
        <w:rPr>
          <w:rFonts w:asciiTheme="minorHAnsi" w:hAnsiTheme="minorHAnsi"/>
        </w:rPr>
        <w:t xml:space="preserve"> fáze posuzování, musí </w:t>
      </w:r>
      <w:r w:rsidR="00D9210A">
        <w:rPr>
          <w:rFonts w:asciiTheme="minorHAnsi" w:hAnsiTheme="minorHAnsi"/>
        </w:rPr>
        <w:t>být následně vypracován</w:t>
      </w:r>
      <w:r w:rsidRPr="00E054EB">
        <w:rPr>
          <w:rFonts w:asciiTheme="minorHAnsi" w:hAnsiTheme="minorHAnsi"/>
        </w:rPr>
        <w:t xml:space="preserve"> alespoň jeden zahraniční posudek.</w:t>
      </w:r>
    </w:p>
    <w:p w:rsidR="00E05B25" w:rsidRDefault="00E05B25" w:rsidP="00E054EB">
      <w:pPr>
        <w:jc w:val="both"/>
        <w:rPr>
          <w:rFonts w:asciiTheme="minorHAnsi" w:hAnsiTheme="minorHAnsi"/>
        </w:rPr>
      </w:pPr>
    </w:p>
    <w:p w:rsidR="00E05B25" w:rsidRDefault="00E05B25" w:rsidP="00E054EB">
      <w:pPr>
        <w:jc w:val="both"/>
        <w:rPr>
          <w:rFonts w:asciiTheme="minorHAnsi" w:hAnsiTheme="minorHAnsi"/>
        </w:rPr>
      </w:pPr>
      <w:r>
        <w:rPr>
          <w:rFonts w:asciiTheme="minorHAnsi" w:hAnsiTheme="minorHAnsi"/>
        </w:rPr>
        <w:t xml:space="preserve">Projekty jsou hodnoceny experty v rámci hodnoticích panelů, poté jsou hodnoceny oborovými komisemi. O poskytnutí účelové podpory s přihlédnutím k výsledkům tohoto hodnocení rozhoduje </w:t>
      </w:r>
      <w:r w:rsidR="00B1114C">
        <w:rPr>
          <w:rFonts w:asciiTheme="minorHAnsi" w:hAnsiTheme="minorHAnsi"/>
        </w:rPr>
        <w:t>p</w:t>
      </w:r>
      <w:r>
        <w:rPr>
          <w:rFonts w:asciiTheme="minorHAnsi" w:hAnsiTheme="minorHAnsi"/>
        </w:rPr>
        <w:t>ředsednictvo GA ČR.</w:t>
      </w:r>
    </w:p>
    <w:p w:rsidR="00774495" w:rsidRDefault="00774495" w:rsidP="00E054EB">
      <w:pPr>
        <w:jc w:val="both"/>
        <w:rPr>
          <w:rFonts w:asciiTheme="minorHAnsi" w:hAnsiTheme="minorHAnsi"/>
        </w:rPr>
      </w:pPr>
    </w:p>
    <w:p w:rsidR="00E054EB" w:rsidRDefault="00E05B25" w:rsidP="00E054EB">
      <w:pPr>
        <w:jc w:val="both"/>
        <w:rPr>
          <w:rFonts w:asciiTheme="minorHAnsi" w:hAnsiTheme="minorHAnsi"/>
        </w:rPr>
      </w:pPr>
      <w:r>
        <w:rPr>
          <w:rFonts w:asciiTheme="minorHAnsi" w:hAnsiTheme="minorHAnsi"/>
        </w:rPr>
        <w:t xml:space="preserve">Podmínky pro uchazeče o poskytnutí podpory jsou zakotveny v zadávací dokumentaci vyhlášené veřejné soutěže. </w:t>
      </w:r>
      <w:r w:rsidR="00E054EB" w:rsidRPr="00E054EB">
        <w:rPr>
          <w:rFonts w:asciiTheme="minorHAnsi" w:hAnsiTheme="minorHAnsi"/>
        </w:rPr>
        <w:t>Kritérii hodnocení jsou cíle projektu, návrh způsobu řešení, návrh výstupů řešení, zahraniční spolupráce uchazeče, posouzení předchozí spolupráce uchazeče s GA ČR a př</w:t>
      </w:r>
      <w:r>
        <w:rPr>
          <w:rFonts w:asciiTheme="minorHAnsi" w:hAnsiTheme="minorHAnsi"/>
        </w:rPr>
        <w:t>iměřenost finančních požadavků.</w:t>
      </w:r>
    </w:p>
    <w:p w:rsidR="00FE2688" w:rsidRDefault="00FE2688" w:rsidP="002B6FBB">
      <w:pPr>
        <w:jc w:val="both"/>
        <w:rPr>
          <w:rFonts w:asciiTheme="minorHAnsi" w:hAnsiTheme="minorHAnsi"/>
        </w:rPr>
      </w:pPr>
    </w:p>
    <w:p w:rsidR="00FE2688" w:rsidRDefault="00C84BDE" w:rsidP="002B6FBB">
      <w:pPr>
        <w:jc w:val="both"/>
        <w:rPr>
          <w:rFonts w:asciiTheme="minorHAnsi" w:hAnsiTheme="minorHAnsi"/>
          <w:b/>
        </w:rPr>
      </w:pPr>
      <w:r>
        <w:rPr>
          <w:rFonts w:asciiTheme="minorHAnsi" w:hAnsiTheme="minorHAnsi"/>
          <w:b/>
        </w:rPr>
        <w:t>D</w:t>
      </w:r>
      <w:r w:rsidR="00FE2688" w:rsidRPr="0050390A">
        <w:rPr>
          <w:rFonts w:asciiTheme="minorHAnsi" w:hAnsiTheme="minorHAnsi"/>
          <w:b/>
        </w:rPr>
        <w:t xml:space="preserve">. </w:t>
      </w:r>
      <w:r w:rsidR="00FE2688">
        <w:rPr>
          <w:rFonts w:asciiTheme="minorHAnsi" w:hAnsiTheme="minorHAnsi"/>
          <w:b/>
        </w:rPr>
        <w:t>Zaměření kontroly</w:t>
      </w:r>
    </w:p>
    <w:p w:rsidR="00FE2688" w:rsidRDefault="00FE2688" w:rsidP="002B6FBB">
      <w:pPr>
        <w:jc w:val="both"/>
        <w:rPr>
          <w:rFonts w:asciiTheme="minorHAnsi" w:hAnsiTheme="minorHAnsi"/>
          <w:b/>
        </w:rPr>
      </w:pPr>
    </w:p>
    <w:p w:rsidR="00FE2688" w:rsidRPr="00CF4E5C" w:rsidRDefault="00E035A6" w:rsidP="00FE2688">
      <w:pPr>
        <w:jc w:val="both"/>
        <w:rPr>
          <w:rFonts w:asciiTheme="minorHAnsi" w:hAnsiTheme="minorHAnsi" w:cs="Arial"/>
        </w:rPr>
      </w:pPr>
      <w:r>
        <w:rPr>
          <w:rFonts w:ascii="Calibri" w:hAnsi="Calibri" w:cs="Calibri"/>
        </w:rPr>
        <w:t>Při kontrolní akci</w:t>
      </w:r>
      <w:r w:rsidR="00FE2688" w:rsidRPr="00031995">
        <w:rPr>
          <w:rFonts w:ascii="Calibri" w:hAnsi="Calibri" w:cs="Calibri"/>
        </w:rPr>
        <w:t xml:space="preserve"> bylo prověřeno, zda </w:t>
      </w:r>
      <w:r w:rsidR="00031995" w:rsidRPr="00031995">
        <w:rPr>
          <w:rFonts w:asciiTheme="minorHAnsi" w:hAnsiTheme="minorHAnsi" w:cs="Arial"/>
        </w:rPr>
        <w:t>poskytovaná účelov</w:t>
      </w:r>
      <w:r w:rsidR="001C7EA1">
        <w:rPr>
          <w:rFonts w:asciiTheme="minorHAnsi" w:hAnsiTheme="minorHAnsi" w:cs="Arial"/>
        </w:rPr>
        <w:t>á podpora zabezpečovala úkoly a </w:t>
      </w:r>
      <w:r w:rsidR="00031995" w:rsidRPr="00031995">
        <w:rPr>
          <w:rFonts w:asciiTheme="minorHAnsi" w:hAnsiTheme="minorHAnsi" w:cs="Arial"/>
        </w:rPr>
        <w:t>cíle stanovené národními koncepčními dokumenty výzkumu, vývoje a inovací,</w:t>
      </w:r>
      <w:r w:rsidR="00FE2688" w:rsidRPr="00031995">
        <w:rPr>
          <w:rFonts w:asciiTheme="minorHAnsi" w:hAnsiTheme="minorHAnsi" w:cs="Arial"/>
        </w:rPr>
        <w:t xml:space="preserve"> zda </w:t>
      </w:r>
      <w:r w:rsidR="00031995" w:rsidRPr="00031995">
        <w:rPr>
          <w:rFonts w:asciiTheme="minorHAnsi" w:hAnsiTheme="minorHAnsi" w:cs="Arial"/>
        </w:rPr>
        <w:t xml:space="preserve">GA ČR sledovala a vyhodnocovala dopady této podpory a zda byl proces výběru projektů </w:t>
      </w:r>
      <w:r w:rsidR="00031995" w:rsidRPr="00CF4E5C">
        <w:rPr>
          <w:rFonts w:asciiTheme="minorHAnsi" w:hAnsiTheme="minorHAnsi" w:cs="Arial"/>
        </w:rPr>
        <w:t>transparentní</w:t>
      </w:r>
      <w:r w:rsidR="00FE2688" w:rsidRPr="00CF4E5C">
        <w:rPr>
          <w:rFonts w:asciiTheme="minorHAnsi" w:hAnsiTheme="minorHAnsi" w:cs="Arial"/>
        </w:rPr>
        <w:t>.</w:t>
      </w:r>
      <w:r w:rsidR="00031995" w:rsidRPr="00CF4E5C">
        <w:rPr>
          <w:rFonts w:asciiTheme="minorHAnsi" w:hAnsiTheme="minorHAnsi" w:cs="Arial"/>
        </w:rPr>
        <w:t xml:space="preserve"> Dále bylo provedeno mezinárodní srovnání úrovně základního výzkumu.</w:t>
      </w:r>
    </w:p>
    <w:p w:rsidR="00FE2688" w:rsidRPr="00CF4E5C" w:rsidRDefault="00FE2688" w:rsidP="00FE2688">
      <w:pPr>
        <w:jc w:val="both"/>
        <w:rPr>
          <w:rFonts w:asciiTheme="minorHAnsi" w:hAnsiTheme="minorHAnsi" w:cs="Arial"/>
        </w:rPr>
      </w:pPr>
    </w:p>
    <w:p w:rsidR="00FE2688" w:rsidRPr="00CF4E5C" w:rsidRDefault="00A415EB" w:rsidP="00FE2688">
      <w:pPr>
        <w:jc w:val="both"/>
        <w:rPr>
          <w:rFonts w:asciiTheme="minorHAnsi" w:hAnsiTheme="minorHAnsi" w:cs="Arial"/>
        </w:rPr>
      </w:pPr>
      <w:r>
        <w:rPr>
          <w:rFonts w:asciiTheme="minorHAnsi" w:hAnsiTheme="minorHAnsi" w:cs="Arial"/>
        </w:rPr>
        <w:t xml:space="preserve">Kontrola byla zaměřena na následující dílčí </w:t>
      </w:r>
      <w:r w:rsidR="00B1114C">
        <w:rPr>
          <w:rFonts w:asciiTheme="minorHAnsi" w:hAnsiTheme="minorHAnsi" w:cs="Arial"/>
        </w:rPr>
        <w:t>otázky</w:t>
      </w:r>
      <w:r w:rsidR="00FE2688" w:rsidRPr="00CF4E5C">
        <w:rPr>
          <w:rFonts w:asciiTheme="minorHAnsi" w:hAnsiTheme="minorHAnsi" w:cs="Arial"/>
        </w:rPr>
        <w:t>:</w:t>
      </w:r>
    </w:p>
    <w:p w:rsidR="00FE2688" w:rsidRPr="00CF4E5C" w:rsidRDefault="00FE2688" w:rsidP="003A4259">
      <w:pPr>
        <w:pStyle w:val="Odstavecseseznamem"/>
        <w:numPr>
          <w:ilvl w:val="0"/>
          <w:numId w:val="15"/>
        </w:numPr>
        <w:ind w:left="284" w:hanging="284"/>
        <w:jc w:val="both"/>
        <w:rPr>
          <w:rFonts w:asciiTheme="minorHAnsi" w:hAnsiTheme="minorHAnsi" w:cs="Arial"/>
        </w:rPr>
      </w:pPr>
      <w:r w:rsidRPr="00CF4E5C">
        <w:rPr>
          <w:rFonts w:asciiTheme="minorHAnsi" w:hAnsiTheme="minorHAnsi" w:cs="Arial"/>
        </w:rPr>
        <w:t xml:space="preserve">zda </w:t>
      </w:r>
      <w:r w:rsidR="00031995" w:rsidRPr="00CF4E5C">
        <w:rPr>
          <w:rFonts w:asciiTheme="minorHAnsi" w:hAnsiTheme="minorHAnsi" w:cs="Arial"/>
        </w:rPr>
        <w:t>GA ČR poskytovala účelovou podporu základního výzkumu v souladu s</w:t>
      </w:r>
      <w:r w:rsidR="00DB1848">
        <w:rPr>
          <w:rFonts w:asciiTheme="minorHAnsi" w:hAnsiTheme="minorHAnsi" w:cs="Arial"/>
        </w:rPr>
        <w:t>e zákonem a</w:t>
      </w:r>
      <w:r w:rsidR="00031995" w:rsidRPr="00CF4E5C">
        <w:rPr>
          <w:rFonts w:asciiTheme="minorHAnsi" w:hAnsiTheme="minorHAnsi" w:cs="Arial"/>
        </w:rPr>
        <w:t xml:space="preserve"> národními koncepčními materiály v oblasti </w:t>
      </w:r>
      <w:proofErr w:type="spellStart"/>
      <w:r w:rsidR="00031995" w:rsidRPr="00CF4E5C">
        <w:rPr>
          <w:rFonts w:asciiTheme="minorHAnsi" w:hAnsiTheme="minorHAnsi" w:cs="Arial"/>
        </w:rPr>
        <w:t>VaVaI</w:t>
      </w:r>
      <w:proofErr w:type="spellEnd"/>
      <w:r w:rsidRPr="00CF4E5C">
        <w:rPr>
          <w:rFonts w:asciiTheme="minorHAnsi" w:hAnsiTheme="minorHAnsi" w:cs="Arial"/>
        </w:rPr>
        <w:t>;</w:t>
      </w:r>
    </w:p>
    <w:p w:rsidR="00FE2688" w:rsidRPr="00CF4E5C" w:rsidRDefault="00C05C8D" w:rsidP="003A4259">
      <w:pPr>
        <w:pStyle w:val="Odstavecseseznamem"/>
        <w:numPr>
          <w:ilvl w:val="0"/>
          <w:numId w:val="15"/>
        </w:numPr>
        <w:ind w:left="284" w:hanging="284"/>
        <w:jc w:val="both"/>
        <w:rPr>
          <w:rFonts w:asciiTheme="minorHAnsi" w:hAnsiTheme="minorHAnsi" w:cs="Arial"/>
        </w:rPr>
      </w:pPr>
      <w:r w:rsidRPr="00CF4E5C">
        <w:rPr>
          <w:rFonts w:asciiTheme="minorHAnsi" w:hAnsiTheme="minorHAnsi" w:cs="Arial"/>
        </w:rPr>
        <w:t>z</w:t>
      </w:r>
      <w:r w:rsidRPr="00CF4E5C">
        <w:rPr>
          <w:rFonts w:asciiTheme="minorHAnsi" w:hAnsiTheme="minorHAnsi" w:cstheme="minorHAnsi"/>
        </w:rPr>
        <w:t>da byly</w:t>
      </w:r>
      <w:r w:rsidRPr="00CF4E5C">
        <w:rPr>
          <w:rFonts w:ascii="Calibri" w:hAnsi="Calibri"/>
        </w:rPr>
        <w:t xml:space="preserve"> ve</w:t>
      </w:r>
      <w:r w:rsidR="00CF4E5C" w:rsidRPr="00CF4E5C">
        <w:rPr>
          <w:rFonts w:ascii="Calibri" w:hAnsi="Calibri"/>
        </w:rPr>
        <w:t>řejné soutěže vypsané GA ČR</w:t>
      </w:r>
      <w:r w:rsidRPr="00CF4E5C">
        <w:rPr>
          <w:rFonts w:ascii="Calibri" w:hAnsi="Calibri"/>
        </w:rPr>
        <w:t xml:space="preserve"> transparentní</w:t>
      </w:r>
      <w:r w:rsidR="00FE2688" w:rsidRPr="00CF4E5C">
        <w:rPr>
          <w:rFonts w:asciiTheme="minorHAnsi" w:hAnsiTheme="minorHAnsi" w:cs="Arial"/>
        </w:rPr>
        <w:t>;</w:t>
      </w:r>
    </w:p>
    <w:p w:rsidR="00FE2688" w:rsidRPr="00CF4E5C" w:rsidRDefault="00C05C8D" w:rsidP="003A4259">
      <w:pPr>
        <w:pStyle w:val="Odstavecseseznamem"/>
        <w:numPr>
          <w:ilvl w:val="0"/>
          <w:numId w:val="15"/>
        </w:numPr>
        <w:ind w:left="284" w:hanging="284"/>
        <w:jc w:val="both"/>
        <w:rPr>
          <w:rFonts w:asciiTheme="minorHAnsi" w:hAnsiTheme="minorHAnsi" w:cs="Arial"/>
        </w:rPr>
      </w:pPr>
      <w:r w:rsidRPr="00CF4E5C">
        <w:rPr>
          <w:rFonts w:ascii="Calibri" w:hAnsi="Calibri"/>
        </w:rPr>
        <w:t>zda GA ČR nastavila a realizovala efektivní systém kontroly průběhu řešení projektů</w:t>
      </w:r>
      <w:r w:rsidR="00FE2688" w:rsidRPr="00CF4E5C">
        <w:rPr>
          <w:rFonts w:asciiTheme="minorHAnsi" w:hAnsiTheme="minorHAnsi" w:cs="Arial"/>
        </w:rPr>
        <w:t>;</w:t>
      </w:r>
    </w:p>
    <w:p w:rsidR="00FE2688" w:rsidRPr="00CF4E5C" w:rsidRDefault="00CF4E5C" w:rsidP="003A4259">
      <w:pPr>
        <w:pStyle w:val="Odstavecseseznamem"/>
        <w:numPr>
          <w:ilvl w:val="0"/>
          <w:numId w:val="15"/>
        </w:numPr>
        <w:ind w:left="284" w:hanging="284"/>
        <w:jc w:val="both"/>
        <w:rPr>
          <w:rFonts w:asciiTheme="minorHAnsi" w:hAnsiTheme="minorHAnsi" w:cs="Arial"/>
        </w:rPr>
      </w:pPr>
      <w:r w:rsidRPr="00CF4E5C">
        <w:rPr>
          <w:rFonts w:asciiTheme="minorHAnsi" w:hAnsiTheme="minorHAnsi" w:cs="Arial"/>
        </w:rPr>
        <w:t>zda GA ČR sledovala a vyhodnocovala dosažené výsledky u jednotlivých podpořených projektů a souhrnně za celou poskytnutou podporu</w:t>
      </w:r>
      <w:r w:rsidR="00FE2688" w:rsidRPr="00CF4E5C">
        <w:rPr>
          <w:rFonts w:asciiTheme="minorHAnsi" w:hAnsiTheme="minorHAnsi" w:cs="Arial"/>
        </w:rPr>
        <w:t>;</w:t>
      </w:r>
    </w:p>
    <w:p w:rsidR="00CF4E5C" w:rsidRPr="00CF4E5C" w:rsidRDefault="00CF4E5C" w:rsidP="003A4259">
      <w:pPr>
        <w:pStyle w:val="Odstavecseseznamem"/>
        <w:numPr>
          <w:ilvl w:val="0"/>
          <w:numId w:val="15"/>
        </w:numPr>
        <w:ind w:left="284" w:hanging="284"/>
        <w:jc w:val="both"/>
        <w:rPr>
          <w:rFonts w:asciiTheme="minorHAnsi" w:hAnsiTheme="minorHAnsi" w:cs="Arial"/>
        </w:rPr>
      </w:pPr>
      <w:r w:rsidRPr="00CF4E5C">
        <w:rPr>
          <w:rFonts w:asciiTheme="minorHAnsi" w:hAnsiTheme="minorHAnsi" w:cs="Arial"/>
        </w:rPr>
        <w:t>mezinárodní srovnání úrovně základního výzkumu;</w:t>
      </w:r>
    </w:p>
    <w:p w:rsidR="00FE2688" w:rsidRPr="00CF4E5C" w:rsidRDefault="00FE2688" w:rsidP="003A4259">
      <w:pPr>
        <w:pStyle w:val="Odstavecseseznamem"/>
        <w:numPr>
          <w:ilvl w:val="0"/>
          <w:numId w:val="15"/>
        </w:numPr>
        <w:ind w:left="284" w:hanging="284"/>
        <w:jc w:val="both"/>
        <w:rPr>
          <w:rFonts w:asciiTheme="minorHAnsi" w:hAnsiTheme="minorHAnsi" w:cs="Arial"/>
        </w:rPr>
      </w:pPr>
      <w:r w:rsidRPr="00CF4E5C">
        <w:rPr>
          <w:rFonts w:asciiTheme="minorHAnsi" w:hAnsiTheme="minorHAnsi" w:cs="Arial"/>
        </w:rPr>
        <w:t>zda byly dodrženy podmínky čerpání a použití dotace st</w:t>
      </w:r>
      <w:r w:rsidR="001C7EA1">
        <w:rPr>
          <w:rFonts w:asciiTheme="minorHAnsi" w:hAnsiTheme="minorHAnsi" w:cs="Arial"/>
        </w:rPr>
        <w:t>anovené poskytovatelem dotace a </w:t>
      </w:r>
      <w:r w:rsidRPr="00CF4E5C">
        <w:rPr>
          <w:rFonts w:asciiTheme="minorHAnsi" w:hAnsiTheme="minorHAnsi" w:cs="Arial"/>
        </w:rPr>
        <w:t>obecně závazné právní předpisy.</w:t>
      </w:r>
    </w:p>
    <w:p w:rsidR="00FE2688" w:rsidRPr="00FE2688" w:rsidRDefault="00FE2688" w:rsidP="00FE2688">
      <w:pPr>
        <w:jc w:val="both"/>
        <w:rPr>
          <w:rFonts w:asciiTheme="minorHAnsi" w:hAnsiTheme="minorHAnsi" w:cstheme="minorHAnsi"/>
          <w:highlight w:val="yellow"/>
        </w:rPr>
      </w:pPr>
    </w:p>
    <w:p w:rsidR="00FE2688" w:rsidRPr="00F66CA0" w:rsidRDefault="00FE2688" w:rsidP="00FE2688">
      <w:pPr>
        <w:jc w:val="both"/>
        <w:rPr>
          <w:rFonts w:asciiTheme="minorHAnsi" w:hAnsiTheme="minorHAnsi" w:cstheme="minorHAnsi"/>
        </w:rPr>
      </w:pPr>
      <w:r w:rsidRPr="004F76A1">
        <w:rPr>
          <w:rFonts w:asciiTheme="minorHAnsi" w:hAnsiTheme="minorHAnsi" w:cstheme="minorHAnsi"/>
        </w:rPr>
        <w:t>V rámci kontrolní akce</w:t>
      </w:r>
      <w:r w:rsidR="004F76A1">
        <w:rPr>
          <w:rFonts w:asciiTheme="minorHAnsi" w:hAnsiTheme="minorHAnsi" w:cstheme="minorHAnsi"/>
        </w:rPr>
        <w:t xml:space="preserve"> </w:t>
      </w:r>
      <w:r w:rsidRPr="004F76A1">
        <w:rPr>
          <w:rFonts w:asciiTheme="minorHAnsi" w:hAnsiTheme="minorHAnsi" w:cstheme="minorHAnsi"/>
        </w:rPr>
        <w:t xml:space="preserve">byla také provedena kontrola u </w:t>
      </w:r>
      <w:r w:rsidR="00CF4E5C" w:rsidRPr="004F76A1">
        <w:rPr>
          <w:rFonts w:asciiTheme="minorHAnsi" w:hAnsiTheme="minorHAnsi" w:cstheme="minorHAnsi"/>
        </w:rPr>
        <w:t>33</w:t>
      </w:r>
      <w:r w:rsidRPr="004F76A1">
        <w:rPr>
          <w:rFonts w:asciiTheme="minorHAnsi" w:hAnsiTheme="minorHAnsi" w:cstheme="minorHAnsi"/>
        </w:rPr>
        <w:t xml:space="preserve"> projektů </w:t>
      </w:r>
      <w:r w:rsidR="00A76947">
        <w:rPr>
          <w:rFonts w:asciiTheme="minorHAnsi" w:hAnsiTheme="minorHAnsi" w:cstheme="minorHAnsi"/>
        </w:rPr>
        <w:t xml:space="preserve">základního výzkumu. Kontrolováno </w:t>
      </w:r>
      <w:r w:rsidRPr="00A76947">
        <w:rPr>
          <w:rFonts w:asciiTheme="minorHAnsi" w:hAnsiTheme="minorHAnsi" w:cstheme="minorHAnsi"/>
        </w:rPr>
        <w:t xml:space="preserve">bylo </w:t>
      </w:r>
      <w:r w:rsidR="00CF4E5C" w:rsidRPr="00A76947">
        <w:rPr>
          <w:rFonts w:asciiTheme="minorHAnsi" w:hAnsiTheme="minorHAnsi" w:cstheme="minorHAnsi"/>
        </w:rPr>
        <w:t>27</w:t>
      </w:r>
      <w:r w:rsidRPr="00A76947">
        <w:rPr>
          <w:rFonts w:asciiTheme="minorHAnsi" w:hAnsiTheme="minorHAnsi" w:cstheme="minorHAnsi"/>
        </w:rPr>
        <w:t xml:space="preserve"> </w:t>
      </w:r>
      <w:r w:rsidR="00CF4E5C" w:rsidRPr="00A76947">
        <w:rPr>
          <w:rFonts w:asciiTheme="minorHAnsi" w:hAnsiTheme="minorHAnsi" w:cstheme="minorHAnsi"/>
        </w:rPr>
        <w:t xml:space="preserve">již ukončených standardních projektů, 1 standardní projekt s předpokládaným ukončením v roce </w:t>
      </w:r>
      <w:r w:rsidR="004F76A1" w:rsidRPr="00A76947">
        <w:rPr>
          <w:rFonts w:asciiTheme="minorHAnsi" w:hAnsiTheme="minorHAnsi" w:cstheme="minorHAnsi"/>
        </w:rPr>
        <w:t>2017 a 5</w:t>
      </w:r>
      <w:r w:rsidR="00CF4E5C" w:rsidRPr="00A76947">
        <w:rPr>
          <w:rFonts w:asciiTheme="minorHAnsi" w:hAnsiTheme="minorHAnsi" w:cstheme="minorHAnsi"/>
        </w:rPr>
        <w:t xml:space="preserve"> projektů na </w:t>
      </w:r>
      <w:r w:rsidR="00737261">
        <w:rPr>
          <w:rFonts w:asciiTheme="minorHAnsi" w:hAnsiTheme="minorHAnsi" w:cstheme="minorHAnsi"/>
        </w:rPr>
        <w:t>„</w:t>
      </w:r>
      <w:r w:rsidR="00CF4E5C" w:rsidRPr="00A76947">
        <w:rPr>
          <w:rFonts w:asciiTheme="minorHAnsi" w:hAnsiTheme="minorHAnsi" w:cstheme="minorHAnsi"/>
        </w:rPr>
        <w:t>podporu excele</w:t>
      </w:r>
      <w:r w:rsidR="001C7EA1">
        <w:rPr>
          <w:rFonts w:asciiTheme="minorHAnsi" w:hAnsiTheme="minorHAnsi" w:cstheme="minorHAnsi"/>
        </w:rPr>
        <w:t>nce</w:t>
      </w:r>
      <w:r w:rsidR="00737261">
        <w:rPr>
          <w:rFonts w:asciiTheme="minorHAnsi" w:hAnsiTheme="minorHAnsi" w:cstheme="minorHAnsi"/>
        </w:rPr>
        <w:t>“</w:t>
      </w:r>
      <w:r w:rsidR="001C7EA1">
        <w:rPr>
          <w:rFonts w:asciiTheme="minorHAnsi" w:hAnsiTheme="minorHAnsi" w:cstheme="minorHAnsi"/>
        </w:rPr>
        <w:t xml:space="preserve"> s </w:t>
      </w:r>
      <w:r w:rsidR="00CF4E5C" w:rsidRPr="00A76947">
        <w:rPr>
          <w:rFonts w:asciiTheme="minorHAnsi" w:hAnsiTheme="minorHAnsi" w:cstheme="minorHAnsi"/>
        </w:rPr>
        <w:t>předpokládaným ukončením v roce 2018</w:t>
      </w:r>
      <w:r w:rsidRPr="00A76947">
        <w:rPr>
          <w:rFonts w:asciiTheme="minorHAnsi" w:hAnsiTheme="minorHAnsi" w:cstheme="minorHAnsi"/>
        </w:rPr>
        <w:t>.</w:t>
      </w:r>
      <w:r w:rsidRPr="004F76A1">
        <w:rPr>
          <w:rFonts w:asciiTheme="minorHAnsi" w:hAnsiTheme="minorHAnsi" w:cstheme="minorHAnsi"/>
        </w:rPr>
        <w:t xml:space="preserve"> Kontrola byla provedena především z pohledu legality, účelovosti vynaložených peněžních prostředků </w:t>
      </w:r>
      <w:r w:rsidR="00994DCC">
        <w:rPr>
          <w:rFonts w:asciiTheme="minorHAnsi" w:hAnsiTheme="minorHAnsi" w:cstheme="minorHAnsi"/>
        </w:rPr>
        <w:t>a</w:t>
      </w:r>
      <w:r w:rsidRPr="004F76A1">
        <w:rPr>
          <w:rFonts w:asciiTheme="minorHAnsi" w:hAnsiTheme="minorHAnsi" w:cstheme="minorHAnsi"/>
        </w:rPr>
        <w:t xml:space="preserve"> dosažení stanovených cílů projektů. </w:t>
      </w:r>
      <w:r w:rsidR="005A542D">
        <w:rPr>
          <w:rFonts w:asciiTheme="minorHAnsi" w:hAnsiTheme="minorHAnsi" w:cstheme="minorHAnsi"/>
        </w:rPr>
        <w:t>Ke kontrole</w:t>
      </w:r>
      <w:r w:rsidRPr="004F76A1">
        <w:rPr>
          <w:rFonts w:asciiTheme="minorHAnsi" w:hAnsiTheme="minorHAnsi" w:cstheme="minorHAnsi"/>
        </w:rPr>
        <w:t xml:space="preserve"> </w:t>
      </w:r>
      <w:r w:rsidR="004F76A1" w:rsidRPr="004F76A1">
        <w:rPr>
          <w:rFonts w:asciiTheme="minorHAnsi" w:hAnsiTheme="minorHAnsi" w:cstheme="minorHAnsi"/>
        </w:rPr>
        <w:t xml:space="preserve">byly vybrány </w:t>
      </w:r>
      <w:r w:rsidR="005A542D">
        <w:rPr>
          <w:rFonts w:asciiTheme="minorHAnsi" w:hAnsiTheme="minorHAnsi" w:cstheme="minorHAnsi"/>
        </w:rPr>
        <w:t xml:space="preserve">projekty ze skupiny </w:t>
      </w:r>
      <w:r w:rsidR="004F76A1" w:rsidRPr="004F76A1">
        <w:rPr>
          <w:rFonts w:asciiTheme="minorHAnsi" w:hAnsiTheme="minorHAnsi" w:cstheme="minorHAnsi"/>
        </w:rPr>
        <w:t>standardní</w:t>
      </w:r>
      <w:r w:rsidR="005A542D">
        <w:rPr>
          <w:rFonts w:asciiTheme="minorHAnsi" w:hAnsiTheme="minorHAnsi" w:cstheme="minorHAnsi"/>
        </w:rPr>
        <w:t>ch projektů</w:t>
      </w:r>
      <w:r w:rsidR="004F76A1" w:rsidRPr="004F76A1">
        <w:rPr>
          <w:rFonts w:asciiTheme="minorHAnsi" w:hAnsiTheme="minorHAnsi" w:cstheme="minorHAnsi"/>
        </w:rPr>
        <w:t xml:space="preserve">, </w:t>
      </w:r>
      <w:r w:rsidR="005A542D">
        <w:rPr>
          <w:rFonts w:asciiTheme="minorHAnsi" w:hAnsiTheme="minorHAnsi" w:cstheme="minorHAnsi"/>
        </w:rPr>
        <w:t xml:space="preserve">na kterou GA ČR poskytla </w:t>
      </w:r>
      <w:r w:rsidR="004F76A1" w:rsidRPr="004F76A1">
        <w:rPr>
          <w:rFonts w:asciiTheme="minorHAnsi" w:hAnsiTheme="minorHAnsi" w:cstheme="minorHAnsi"/>
        </w:rPr>
        <w:t xml:space="preserve">přes tři </w:t>
      </w:r>
      <w:r w:rsidR="00072979">
        <w:rPr>
          <w:rFonts w:asciiTheme="minorHAnsi" w:hAnsiTheme="minorHAnsi" w:cstheme="minorHAnsi"/>
        </w:rPr>
        <w:t>čtvrtiny celkové podpory</w:t>
      </w:r>
      <w:r w:rsidR="005A542D">
        <w:rPr>
          <w:rFonts w:asciiTheme="minorHAnsi" w:hAnsiTheme="minorHAnsi" w:cstheme="minorHAnsi"/>
        </w:rPr>
        <w:t>,</w:t>
      </w:r>
      <w:r w:rsidR="00072979">
        <w:rPr>
          <w:rFonts w:asciiTheme="minorHAnsi" w:hAnsiTheme="minorHAnsi" w:cstheme="minorHAnsi"/>
        </w:rPr>
        <w:t xml:space="preserve"> </w:t>
      </w:r>
      <w:r w:rsidR="004F76A1" w:rsidRPr="004F76A1">
        <w:rPr>
          <w:rFonts w:asciiTheme="minorHAnsi" w:hAnsiTheme="minorHAnsi" w:cstheme="minorHAnsi"/>
        </w:rPr>
        <w:t xml:space="preserve">a projekty na </w:t>
      </w:r>
      <w:r w:rsidR="00B1114C">
        <w:rPr>
          <w:rFonts w:asciiTheme="minorHAnsi" w:hAnsiTheme="minorHAnsi" w:cstheme="minorHAnsi"/>
        </w:rPr>
        <w:t>„</w:t>
      </w:r>
      <w:r w:rsidR="004F76A1" w:rsidRPr="004F76A1">
        <w:rPr>
          <w:rFonts w:asciiTheme="minorHAnsi" w:hAnsiTheme="minorHAnsi" w:cstheme="minorHAnsi"/>
        </w:rPr>
        <w:t>podporu excelence</w:t>
      </w:r>
      <w:r w:rsidR="00B1114C">
        <w:rPr>
          <w:rFonts w:asciiTheme="minorHAnsi" w:hAnsiTheme="minorHAnsi" w:cstheme="minorHAnsi"/>
        </w:rPr>
        <w:t>“, jelikož se jedná o </w:t>
      </w:r>
      <w:r w:rsidR="004F76A1" w:rsidRPr="004F76A1">
        <w:rPr>
          <w:rFonts w:asciiTheme="minorHAnsi" w:hAnsiTheme="minorHAnsi" w:cstheme="minorHAnsi"/>
        </w:rPr>
        <w:t xml:space="preserve">skupinu projektů s jednoznačně největší průměrnou schválenou podporou na jeden projekt. Kritériem výběru konkrétních projektů byla především výše udělené podpory </w:t>
      </w:r>
      <w:r w:rsidRPr="004F76A1">
        <w:rPr>
          <w:rFonts w:asciiTheme="minorHAnsi" w:hAnsiTheme="minorHAnsi" w:cstheme="minorHAnsi"/>
        </w:rPr>
        <w:t>a doba ukončení projektu.</w:t>
      </w:r>
      <w:r>
        <w:rPr>
          <w:rFonts w:asciiTheme="minorHAnsi" w:hAnsiTheme="minorHAnsi" w:cstheme="minorHAnsi"/>
          <w:i/>
          <w:sz w:val="20"/>
          <w:szCs w:val="20"/>
        </w:rPr>
        <w:t xml:space="preserve"> </w:t>
      </w:r>
    </w:p>
    <w:p w:rsidR="00FD153C" w:rsidRDefault="00FD153C" w:rsidP="00FD153C">
      <w:pPr>
        <w:jc w:val="both"/>
        <w:rPr>
          <w:rFonts w:asciiTheme="minorHAnsi" w:hAnsiTheme="minorHAnsi"/>
        </w:rPr>
      </w:pPr>
    </w:p>
    <w:p w:rsidR="0042452E" w:rsidRDefault="0042452E" w:rsidP="00FD153C">
      <w:pPr>
        <w:jc w:val="both"/>
        <w:rPr>
          <w:rFonts w:asciiTheme="minorHAnsi" w:hAnsiTheme="minorHAnsi"/>
        </w:rPr>
      </w:pPr>
    </w:p>
    <w:p w:rsidR="0042452E" w:rsidRPr="0024292D" w:rsidRDefault="0042452E" w:rsidP="0042452E">
      <w:pPr>
        <w:ind w:left="567" w:hanging="567"/>
        <w:jc w:val="both"/>
        <w:rPr>
          <w:rFonts w:asciiTheme="minorHAnsi" w:hAnsiTheme="minorHAnsi"/>
          <w:b/>
          <w:sz w:val="20"/>
          <w:szCs w:val="20"/>
        </w:rPr>
      </w:pPr>
      <w:r w:rsidRPr="0024292D">
        <w:rPr>
          <w:rFonts w:asciiTheme="minorHAnsi" w:hAnsiTheme="minorHAnsi"/>
          <w:b/>
          <w:sz w:val="20"/>
          <w:szCs w:val="20"/>
        </w:rPr>
        <w:t xml:space="preserve">Pozn.: </w:t>
      </w:r>
      <w:r w:rsidRPr="0024292D">
        <w:rPr>
          <w:rFonts w:asciiTheme="minorHAnsi" w:hAnsiTheme="minorHAnsi"/>
          <w:sz w:val="20"/>
          <w:szCs w:val="20"/>
        </w:rPr>
        <w:t>Právní předpisy jsou v textu kontrolního závěru aplikovány ve znění účinném pro kontrolované období.</w:t>
      </w:r>
    </w:p>
    <w:p w:rsidR="0042452E" w:rsidRDefault="0042452E" w:rsidP="00FD153C">
      <w:pPr>
        <w:jc w:val="both"/>
        <w:rPr>
          <w:rFonts w:asciiTheme="minorHAnsi" w:hAnsiTheme="minorHAnsi"/>
          <w:szCs w:val="20"/>
        </w:rPr>
      </w:pPr>
    </w:p>
    <w:p w:rsidR="00AC460D" w:rsidRDefault="00AC460D" w:rsidP="000424FF">
      <w:pPr>
        <w:spacing w:after="160" w:line="259" w:lineRule="auto"/>
        <w:rPr>
          <w:rFonts w:asciiTheme="minorHAnsi" w:hAnsiTheme="minorHAnsi"/>
          <w:szCs w:val="20"/>
        </w:rPr>
      </w:pPr>
      <w:r>
        <w:rPr>
          <w:rFonts w:asciiTheme="minorHAnsi" w:hAnsiTheme="minorHAnsi"/>
          <w:szCs w:val="20"/>
        </w:rPr>
        <w:br w:type="page"/>
      </w:r>
    </w:p>
    <w:p w:rsidR="00615363" w:rsidRPr="008F5E6A" w:rsidRDefault="00615363" w:rsidP="008F5E6A">
      <w:pPr>
        <w:jc w:val="center"/>
        <w:rPr>
          <w:rFonts w:ascii="Calibri" w:hAnsi="Calibri" w:cs="Calibri"/>
          <w:b/>
          <w:sz w:val="28"/>
        </w:rPr>
      </w:pPr>
      <w:r w:rsidRPr="008F5E6A">
        <w:rPr>
          <w:rFonts w:ascii="Calibri" w:hAnsi="Calibri" w:cs="Calibri"/>
          <w:b/>
          <w:sz w:val="28"/>
        </w:rPr>
        <w:lastRenderedPageBreak/>
        <w:t>II. Podrobnosti ke zjištěným skutečnostem</w:t>
      </w:r>
    </w:p>
    <w:p w:rsidR="00615363" w:rsidRPr="008F5E6A" w:rsidRDefault="00615363" w:rsidP="008F5E6A">
      <w:pPr>
        <w:rPr>
          <w:rFonts w:ascii="Calibri" w:hAnsi="Calibri" w:cs="Calibri"/>
        </w:rPr>
      </w:pPr>
    </w:p>
    <w:p w:rsidR="00825DA6" w:rsidRDefault="00825DA6" w:rsidP="00825DA6">
      <w:pPr>
        <w:ind w:left="284" w:hanging="284"/>
        <w:jc w:val="both"/>
        <w:rPr>
          <w:rFonts w:ascii="Calibri" w:hAnsi="Calibri"/>
          <w:b/>
        </w:rPr>
      </w:pPr>
      <w:r w:rsidRPr="00825DA6">
        <w:rPr>
          <w:rFonts w:ascii="Calibri" w:hAnsi="Calibri"/>
          <w:b/>
        </w:rPr>
        <w:t>1.</w:t>
      </w:r>
      <w:r>
        <w:rPr>
          <w:rFonts w:ascii="Calibri" w:hAnsi="Calibri"/>
          <w:b/>
        </w:rPr>
        <w:t xml:space="preserve"> </w:t>
      </w:r>
      <w:r w:rsidRPr="00825DA6">
        <w:rPr>
          <w:rFonts w:ascii="Calibri" w:hAnsi="Calibri"/>
          <w:b/>
        </w:rPr>
        <w:t xml:space="preserve">GA ČR nesledovala, nevyhodnocovala a </w:t>
      </w:r>
      <w:r w:rsidR="00E035A6">
        <w:rPr>
          <w:rFonts w:ascii="Calibri" w:hAnsi="Calibri"/>
          <w:b/>
        </w:rPr>
        <w:t xml:space="preserve">systematicky </w:t>
      </w:r>
      <w:r w:rsidRPr="00825DA6">
        <w:rPr>
          <w:rFonts w:ascii="Calibri" w:hAnsi="Calibri"/>
          <w:b/>
        </w:rPr>
        <w:t>nepodporovala provázanost grantových projektů základního výzkumu s dalš</w:t>
      </w:r>
      <w:r w:rsidR="001C7EA1">
        <w:rPr>
          <w:rFonts w:ascii="Calibri" w:hAnsi="Calibri"/>
          <w:b/>
        </w:rPr>
        <w:t>ími fázemi inovačního procesu</w:t>
      </w:r>
      <w:r w:rsidR="00B1114C">
        <w:rPr>
          <w:rFonts w:ascii="Calibri" w:hAnsi="Calibri"/>
          <w:b/>
        </w:rPr>
        <w:t>,</w:t>
      </w:r>
      <w:r w:rsidR="001C7EA1">
        <w:rPr>
          <w:rFonts w:ascii="Calibri" w:hAnsi="Calibri"/>
          <w:b/>
        </w:rPr>
        <w:t xml:space="preserve"> a </w:t>
      </w:r>
      <w:r w:rsidRPr="00825DA6">
        <w:rPr>
          <w:rFonts w:ascii="Calibri" w:hAnsi="Calibri"/>
          <w:b/>
        </w:rPr>
        <w:t xml:space="preserve">nepostupovala tak v souladu s národními koncepčními materiály v oblasti </w:t>
      </w:r>
      <w:proofErr w:type="spellStart"/>
      <w:r w:rsidRPr="00825DA6">
        <w:rPr>
          <w:rFonts w:ascii="Calibri" w:hAnsi="Calibri"/>
          <w:b/>
        </w:rPr>
        <w:t>VaVaI</w:t>
      </w:r>
      <w:proofErr w:type="spellEnd"/>
    </w:p>
    <w:p w:rsidR="00825DA6" w:rsidRDefault="00825DA6" w:rsidP="00825DA6">
      <w:pPr>
        <w:ind w:left="284" w:hanging="284"/>
        <w:jc w:val="both"/>
        <w:rPr>
          <w:rFonts w:ascii="Calibri" w:hAnsi="Calibri"/>
          <w:b/>
        </w:rPr>
      </w:pPr>
    </w:p>
    <w:p w:rsidR="008E7E7A" w:rsidRPr="00680CC9" w:rsidRDefault="00D87EBB" w:rsidP="00825DA6">
      <w:pPr>
        <w:shd w:val="clear" w:color="auto" w:fill="D9D9D9" w:themeFill="background1" w:themeFillShade="D9"/>
        <w:jc w:val="both"/>
        <w:rPr>
          <w:bCs/>
        </w:rPr>
      </w:pPr>
      <w:r w:rsidRPr="000424FF">
        <w:rPr>
          <w:rFonts w:ascii="Calibri" w:hAnsi="Calibri"/>
        </w:rPr>
        <w:t>Činnost poskytovatele podpory musí být v souladu se všemi pro něj závaznými předpisy a</w:t>
      </w:r>
      <w:r w:rsidR="00320ED4" w:rsidRPr="000424FF">
        <w:rPr>
          <w:rFonts w:ascii="Calibri" w:hAnsi="Calibri"/>
        </w:rPr>
        <w:t> </w:t>
      </w:r>
      <w:r w:rsidRPr="000424FF">
        <w:rPr>
          <w:rFonts w:ascii="Calibri" w:hAnsi="Calibri"/>
        </w:rPr>
        <w:t xml:space="preserve">dokumenty. Poskytovatel </w:t>
      </w:r>
      <w:r w:rsidR="004A1DE5" w:rsidRPr="000424FF">
        <w:rPr>
          <w:rFonts w:ascii="Calibri" w:hAnsi="Calibri"/>
        </w:rPr>
        <w:t>řídí</w:t>
      </w:r>
      <w:r w:rsidRPr="000424FF">
        <w:rPr>
          <w:rFonts w:ascii="Calibri" w:hAnsi="Calibri"/>
        </w:rPr>
        <w:t xml:space="preserve"> svoji činnost rovněž podle podrobnějších vlastních koncepčních materiálů, které </w:t>
      </w:r>
      <w:r w:rsidR="004A1DE5" w:rsidRPr="000424FF">
        <w:rPr>
          <w:rFonts w:ascii="Calibri" w:hAnsi="Calibri"/>
        </w:rPr>
        <w:t>by měly být</w:t>
      </w:r>
      <w:r w:rsidRPr="000424FF">
        <w:rPr>
          <w:rFonts w:ascii="Calibri" w:hAnsi="Calibri"/>
        </w:rPr>
        <w:t xml:space="preserve"> se závaznými předpisy a dokumenty v souladu</w:t>
      </w:r>
      <w:r w:rsidRPr="00680CC9">
        <w:rPr>
          <w:rFonts w:ascii="Calibri" w:hAnsi="Calibri"/>
        </w:rPr>
        <w:t>.</w:t>
      </w:r>
      <w:r w:rsidR="00D63A33" w:rsidRPr="00680CC9">
        <w:rPr>
          <w:bCs/>
        </w:rPr>
        <w:t xml:space="preserve"> </w:t>
      </w:r>
    </w:p>
    <w:p w:rsidR="00B1114C" w:rsidRDefault="00B1114C" w:rsidP="00825DA6">
      <w:pPr>
        <w:shd w:val="clear" w:color="auto" w:fill="D9D9D9" w:themeFill="background1" w:themeFillShade="D9"/>
        <w:jc w:val="both"/>
        <w:rPr>
          <w:rFonts w:ascii="Calibri" w:hAnsi="Calibri"/>
        </w:rPr>
      </w:pPr>
    </w:p>
    <w:p w:rsidR="00825DA6" w:rsidRPr="00744AB5" w:rsidRDefault="00D63A33" w:rsidP="00825DA6">
      <w:pPr>
        <w:shd w:val="clear" w:color="auto" w:fill="D9D9D9" w:themeFill="background1" w:themeFillShade="D9"/>
        <w:jc w:val="both"/>
        <w:rPr>
          <w:rFonts w:ascii="Calibri" w:hAnsi="Calibri"/>
          <w:i/>
        </w:rPr>
      </w:pPr>
      <w:r w:rsidRPr="00D63A33">
        <w:rPr>
          <w:rFonts w:ascii="Calibri" w:hAnsi="Calibri"/>
        </w:rPr>
        <w:t>Kontrolou byl</w:t>
      </w:r>
      <w:r w:rsidR="00072979">
        <w:rPr>
          <w:rFonts w:ascii="Calibri" w:hAnsi="Calibri"/>
        </w:rPr>
        <w:t>o</w:t>
      </w:r>
      <w:r w:rsidRPr="00D63A33">
        <w:rPr>
          <w:rFonts w:ascii="Calibri" w:hAnsi="Calibri"/>
        </w:rPr>
        <w:t xml:space="preserve"> </w:t>
      </w:r>
      <w:r w:rsidR="00B1645E">
        <w:rPr>
          <w:rFonts w:ascii="Calibri" w:hAnsi="Calibri"/>
        </w:rPr>
        <w:t>pr</w:t>
      </w:r>
      <w:r w:rsidRPr="00D63A33">
        <w:rPr>
          <w:rFonts w:ascii="Calibri" w:hAnsi="Calibri"/>
        </w:rPr>
        <w:t>ověřen</w:t>
      </w:r>
      <w:r w:rsidR="00072979">
        <w:rPr>
          <w:rFonts w:ascii="Calibri" w:hAnsi="Calibri"/>
        </w:rPr>
        <w:t>o, z</w:t>
      </w:r>
      <w:r w:rsidR="00072979" w:rsidRPr="008D7E1D">
        <w:rPr>
          <w:rFonts w:asciiTheme="minorHAnsi" w:hAnsiTheme="minorHAnsi" w:cstheme="minorHAnsi"/>
        </w:rPr>
        <w:t>da</w:t>
      </w:r>
      <w:r w:rsidR="00072979">
        <w:rPr>
          <w:rFonts w:asciiTheme="minorHAnsi" w:hAnsiTheme="minorHAnsi" w:cstheme="minorHAnsi"/>
        </w:rPr>
        <w:t xml:space="preserve"> </w:t>
      </w:r>
      <w:r w:rsidR="008D7953">
        <w:rPr>
          <w:rFonts w:asciiTheme="minorHAnsi" w:hAnsiTheme="minorHAnsi" w:cstheme="minorHAnsi"/>
        </w:rPr>
        <w:t>GA ČR řídila svoji činnost v souladu s vnitřními</w:t>
      </w:r>
      <w:r w:rsidR="00072979" w:rsidRPr="00B9263D">
        <w:rPr>
          <w:rFonts w:asciiTheme="minorHAnsi" w:hAnsiTheme="minorHAnsi" w:cstheme="minorHAnsi"/>
        </w:rPr>
        <w:t xml:space="preserve"> materiály </w:t>
      </w:r>
      <w:r w:rsidR="001C7EA1">
        <w:rPr>
          <w:rFonts w:asciiTheme="minorHAnsi" w:hAnsiTheme="minorHAnsi" w:cstheme="minorHAnsi"/>
        </w:rPr>
        <w:t>a </w:t>
      </w:r>
      <w:r w:rsidR="00072979" w:rsidRPr="00B9263D">
        <w:rPr>
          <w:rFonts w:asciiTheme="minorHAnsi" w:hAnsiTheme="minorHAnsi" w:cstheme="minorHAnsi"/>
        </w:rPr>
        <w:t xml:space="preserve">národními koncepčními dokumenty </w:t>
      </w:r>
      <w:proofErr w:type="spellStart"/>
      <w:r w:rsidR="00072979">
        <w:rPr>
          <w:rFonts w:asciiTheme="minorHAnsi" w:hAnsiTheme="minorHAnsi" w:cstheme="minorHAnsi"/>
        </w:rPr>
        <w:t>VaVaI</w:t>
      </w:r>
      <w:proofErr w:type="spellEnd"/>
      <w:r w:rsidR="00072979">
        <w:rPr>
          <w:rFonts w:asciiTheme="minorHAnsi" w:hAnsiTheme="minorHAnsi" w:cstheme="minorHAnsi"/>
        </w:rPr>
        <w:t>.</w:t>
      </w:r>
    </w:p>
    <w:p w:rsidR="00825DA6" w:rsidRPr="008F5E6A" w:rsidRDefault="00825DA6" w:rsidP="008F5E6A">
      <w:pPr>
        <w:ind w:left="624" w:hanging="624"/>
        <w:jc w:val="both"/>
        <w:rPr>
          <w:rFonts w:asciiTheme="minorHAnsi" w:hAnsiTheme="minorHAnsi" w:cstheme="minorHAnsi"/>
          <w:szCs w:val="28"/>
        </w:rPr>
      </w:pPr>
    </w:p>
    <w:p w:rsidR="00D63A33" w:rsidRDefault="00F96ED3" w:rsidP="00D63A33">
      <w:pPr>
        <w:jc w:val="both"/>
        <w:rPr>
          <w:rFonts w:asciiTheme="minorHAnsi" w:hAnsiTheme="minorHAnsi"/>
        </w:rPr>
      </w:pPr>
      <w:r>
        <w:rPr>
          <w:rFonts w:asciiTheme="minorHAnsi" w:hAnsiTheme="minorHAnsi"/>
        </w:rPr>
        <w:t>S</w:t>
      </w:r>
      <w:r w:rsidR="00D63A33" w:rsidRPr="00D63A33">
        <w:rPr>
          <w:rFonts w:asciiTheme="minorHAnsi" w:hAnsiTheme="minorHAnsi"/>
        </w:rPr>
        <w:t>trategickým dokumentem na národní úrovni, který udává</w:t>
      </w:r>
      <w:r w:rsidR="001C7EA1">
        <w:rPr>
          <w:rFonts w:asciiTheme="minorHAnsi" w:hAnsiTheme="minorHAnsi"/>
        </w:rPr>
        <w:t xml:space="preserve"> hlavní směry v oblasti </w:t>
      </w:r>
      <w:proofErr w:type="spellStart"/>
      <w:r w:rsidR="001C7EA1">
        <w:rPr>
          <w:rFonts w:asciiTheme="minorHAnsi" w:hAnsiTheme="minorHAnsi"/>
        </w:rPr>
        <w:t>VaVaI</w:t>
      </w:r>
      <w:proofErr w:type="spellEnd"/>
      <w:r w:rsidR="001C7EA1">
        <w:rPr>
          <w:rFonts w:asciiTheme="minorHAnsi" w:hAnsiTheme="minorHAnsi"/>
        </w:rPr>
        <w:t xml:space="preserve"> a </w:t>
      </w:r>
      <w:r w:rsidR="00D63A33" w:rsidRPr="00D63A33">
        <w:rPr>
          <w:rFonts w:asciiTheme="minorHAnsi" w:hAnsiTheme="minorHAnsi"/>
        </w:rPr>
        <w:t xml:space="preserve">zastřešuje ostatní související strategické dokumenty České republiky, je </w:t>
      </w:r>
      <w:r w:rsidR="00D63A33" w:rsidRPr="0024292D">
        <w:rPr>
          <w:rFonts w:asciiTheme="minorHAnsi" w:hAnsiTheme="minorHAnsi"/>
          <w:i/>
        </w:rPr>
        <w:t>Národní politika výzkumu, vývoje a inovací České republiky</w:t>
      </w:r>
      <w:r w:rsidR="00D63A33" w:rsidRPr="00D63A33">
        <w:rPr>
          <w:rFonts w:asciiTheme="minorHAnsi" w:hAnsiTheme="minorHAnsi"/>
        </w:rPr>
        <w:t xml:space="preserve"> (dále také „NP </w:t>
      </w:r>
      <w:proofErr w:type="spellStart"/>
      <w:r w:rsidR="00D63A33" w:rsidRPr="00D63A33">
        <w:rPr>
          <w:rFonts w:asciiTheme="minorHAnsi" w:hAnsiTheme="minorHAnsi"/>
        </w:rPr>
        <w:t>VaVaI</w:t>
      </w:r>
      <w:proofErr w:type="spellEnd"/>
      <w:r w:rsidR="00D63A33" w:rsidRPr="00D63A33">
        <w:rPr>
          <w:rFonts w:asciiTheme="minorHAnsi" w:hAnsiTheme="minorHAnsi"/>
        </w:rPr>
        <w:t xml:space="preserve">“). Ve </w:t>
      </w:r>
      <w:r w:rsidR="00B1114C">
        <w:rPr>
          <w:rFonts w:asciiTheme="minorHAnsi" w:hAnsiTheme="minorHAnsi"/>
        </w:rPr>
        <w:t>s</w:t>
      </w:r>
      <w:r w:rsidR="00D63A33" w:rsidRPr="00D63A33">
        <w:rPr>
          <w:rFonts w:asciiTheme="minorHAnsi" w:hAnsiTheme="minorHAnsi"/>
        </w:rPr>
        <w:t xml:space="preserve">tatutu Grantové agentury České republiky, který schvaluje vláda, má GA ČR stanoveno, že účelovou podporu poskytuje v souladu s NP </w:t>
      </w:r>
      <w:proofErr w:type="spellStart"/>
      <w:r w:rsidR="00D63A33" w:rsidRPr="00D63A33">
        <w:rPr>
          <w:rFonts w:asciiTheme="minorHAnsi" w:hAnsiTheme="minorHAnsi"/>
        </w:rPr>
        <w:t>VaVaI</w:t>
      </w:r>
      <w:proofErr w:type="spellEnd"/>
      <w:r w:rsidR="00D63A33" w:rsidRPr="00D63A33">
        <w:rPr>
          <w:rFonts w:asciiTheme="minorHAnsi" w:hAnsiTheme="minorHAnsi"/>
        </w:rPr>
        <w:t xml:space="preserve">. Další významné související strategické dokumenty v oblasti </w:t>
      </w:r>
      <w:proofErr w:type="spellStart"/>
      <w:r w:rsidR="00D63A33" w:rsidRPr="00D63A33">
        <w:rPr>
          <w:rFonts w:asciiTheme="minorHAnsi" w:hAnsiTheme="minorHAnsi"/>
        </w:rPr>
        <w:t>VaVaI</w:t>
      </w:r>
      <w:proofErr w:type="spellEnd"/>
      <w:r w:rsidR="00D63A33" w:rsidRPr="00D63A33">
        <w:rPr>
          <w:rFonts w:asciiTheme="minorHAnsi" w:hAnsiTheme="minorHAnsi"/>
        </w:rPr>
        <w:t xml:space="preserve"> představují především </w:t>
      </w:r>
      <w:r w:rsidR="00D63A33" w:rsidRPr="0024292D">
        <w:rPr>
          <w:rFonts w:asciiTheme="minorHAnsi" w:hAnsiTheme="minorHAnsi"/>
          <w:i/>
        </w:rPr>
        <w:t>Národní priority orientovaného výzkumu, experimentálního vývoje a inovací</w:t>
      </w:r>
      <w:r w:rsidR="00D63A33" w:rsidRPr="00D63A33">
        <w:rPr>
          <w:rFonts w:asciiTheme="minorHAnsi" w:hAnsiTheme="minorHAnsi"/>
        </w:rPr>
        <w:t xml:space="preserve"> </w:t>
      </w:r>
      <w:r w:rsidR="00C62E16">
        <w:rPr>
          <w:rFonts w:asciiTheme="minorHAnsi" w:hAnsiTheme="minorHAnsi"/>
        </w:rPr>
        <w:t xml:space="preserve">(dále také „Národní priority“) </w:t>
      </w:r>
      <w:r w:rsidR="00D63A33" w:rsidRPr="00D63A33">
        <w:rPr>
          <w:rFonts w:asciiTheme="minorHAnsi" w:hAnsiTheme="minorHAnsi"/>
        </w:rPr>
        <w:t xml:space="preserve">a </w:t>
      </w:r>
      <w:r w:rsidR="00D63A33" w:rsidRPr="0024292D">
        <w:rPr>
          <w:rFonts w:asciiTheme="minorHAnsi" w:hAnsiTheme="minorHAnsi"/>
          <w:i/>
        </w:rPr>
        <w:t>Národní inovační strategie České republiky</w:t>
      </w:r>
      <w:r w:rsidR="00D63A33" w:rsidRPr="00D63A33">
        <w:rPr>
          <w:rFonts w:asciiTheme="minorHAnsi" w:hAnsiTheme="minorHAnsi"/>
        </w:rPr>
        <w:t>.</w:t>
      </w:r>
    </w:p>
    <w:p w:rsidR="00D63A33" w:rsidRDefault="00D63A33" w:rsidP="00D63A33">
      <w:pPr>
        <w:jc w:val="both"/>
        <w:rPr>
          <w:rFonts w:asciiTheme="minorHAnsi" w:hAnsiTheme="minorHAnsi"/>
        </w:rPr>
      </w:pPr>
    </w:p>
    <w:p w:rsidR="00E970DD" w:rsidRDefault="00E970DD" w:rsidP="00D63A33">
      <w:pPr>
        <w:jc w:val="both"/>
        <w:rPr>
          <w:rFonts w:asciiTheme="minorHAnsi" w:hAnsiTheme="minorHAnsi"/>
        </w:rPr>
      </w:pPr>
      <w:r w:rsidRPr="00E970DD">
        <w:rPr>
          <w:rFonts w:asciiTheme="minorHAnsi" w:hAnsiTheme="minorHAnsi"/>
        </w:rPr>
        <w:t>Do roku 2015 neměla GA ČR vytvořenu koncepci, podle které by svoji činnost řídila.</w:t>
      </w:r>
      <w:r w:rsidR="00D63A33">
        <w:rPr>
          <w:rFonts w:asciiTheme="minorHAnsi" w:hAnsiTheme="minorHAnsi"/>
        </w:rPr>
        <w:t xml:space="preserve"> Následně GA ČR </w:t>
      </w:r>
      <w:r w:rsidR="00D63A33" w:rsidRPr="00D63A33">
        <w:rPr>
          <w:rFonts w:asciiTheme="minorHAnsi" w:hAnsiTheme="minorHAnsi"/>
        </w:rPr>
        <w:t xml:space="preserve">vypracovala </w:t>
      </w:r>
      <w:r w:rsidR="00D63A33" w:rsidRPr="0024292D">
        <w:rPr>
          <w:rFonts w:asciiTheme="minorHAnsi" w:hAnsiTheme="minorHAnsi"/>
          <w:i/>
        </w:rPr>
        <w:t>Koncepci činnosti Grantové agentu</w:t>
      </w:r>
      <w:r w:rsidR="00A016A8" w:rsidRPr="0024292D">
        <w:rPr>
          <w:rFonts w:asciiTheme="minorHAnsi" w:hAnsiTheme="minorHAnsi"/>
          <w:i/>
        </w:rPr>
        <w:t>ry České republiky na léta 2016–</w:t>
      </w:r>
      <w:r w:rsidR="00D63A33" w:rsidRPr="0024292D">
        <w:rPr>
          <w:rFonts w:asciiTheme="minorHAnsi" w:hAnsiTheme="minorHAnsi"/>
          <w:i/>
        </w:rPr>
        <w:t>2020</w:t>
      </w:r>
      <w:r w:rsidR="00D63A33" w:rsidRPr="00D63A33">
        <w:rPr>
          <w:rFonts w:asciiTheme="minorHAnsi" w:hAnsiTheme="minorHAnsi"/>
        </w:rPr>
        <w:t xml:space="preserve"> (dále také „Koncepce 2016“).</w:t>
      </w:r>
    </w:p>
    <w:p w:rsidR="00D63A33" w:rsidRDefault="00D63A33" w:rsidP="00D63A33">
      <w:pPr>
        <w:jc w:val="both"/>
        <w:rPr>
          <w:rFonts w:asciiTheme="minorHAnsi" w:hAnsiTheme="minorHAnsi"/>
        </w:rPr>
      </w:pPr>
    </w:p>
    <w:p w:rsidR="008C714A" w:rsidRDefault="008C714A" w:rsidP="00D63A33">
      <w:pPr>
        <w:jc w:val="both"/>
        <w:rPr>
          <w:rFonts w:asciiTheme="minorHAnsi" w:hAnsiTheme="minorHAnsi" w:cstheme="minorHAnsi"/>
          <w:bCs/>
        </w:rPr>
      </w:pPr>
      <w:r w:rsidRPr="00D86CDE">
        <w:rPr>
          <w:rFonts w:ascii="Calibri" w:hAnsi="Calibri"/>
        </w:rPr>
        <w:t xml:space="preserve">GA ČR nesledovala, nevyhodnocovala a </w:t>
      </w:r>
      <w:r w:rsidR="00E035A6" w:rsidRPr="00D86CDE">
        <w:rPr>
          <w:rFonts w:ascii="Calibri" w:hAnsi="Calibri"/>
        </w:rPr>
        <w:t xml:space="preserve">systematicky </w:t>
      </w:r>
      <w:r w:rsidRPr="00D86CDE">
        <w:rPr>
          <w:rFonts w:ascii="Calibri" w:hAnsi="Calibri"/>
        </w:rPr>
        <w:t xml:space="preserve">nepodporovala provázanost grantových projektů základního výzkumu s dalšími fázemi inovačního procesu. </w:t>
      </w:r>
      <w:r w:rsidR="00507F01">
        <w:rPr>
          <w:rFonts w:ascii="Calibri" w:hAnsi="Calibri"/>
        </w:rPr>
        <w:t>Jak vyplývá z národních koncepčních dokumentů, k</w:t>
      </w:r>
      <w:r w:rsidRPr="00D86CDE">
        <w:rPr>
          <w:rFonts w:asciiTheme="minorHAnsi" w:hAnsiTheme="minorHAnsi" w:cstheme="minorHAnsi"/>
          <w:bCs/>
        </w:rPr>
        <w:t xml:space="preserve">e zlepšení efektivity využívání nových poznatků </w:t>
      </w:r>
      <w:proofErr w:type="spellStart"/>
      <w:r w:rsidRPr="00D86CDE">
        <w:rPr>
          <w:rFonts w:asciiTheme="minorHAnsi" w:hAnsiTheme="minorHAnsi" w:cstheme="minorHAnsi"/>
          <w:bCs/>
        </w:rPr>
        <w:t>VaVaI</w:t>
      </w:r>
      <w:proofErr w:type="spellEnd"/>
      <w:r w:rsidRPr="00D86CDE">
        <w:rPr>
          <w:rFonts w:asciiTheme="minorHAnsi" w:hAnsiTheme="minorHAnsi" w:cstheme="minorHAnsi"/>
          <w:bCs/>
        </w:rPr>
        <w:t xml:space="preserve"> v praxi je nutné podporovat zejména projekty, které zahrnují </w:t>
      </w:r>
      <w:r w:rsidR="004A1DE5">
        <w:rPr>
          <w:rFonts w:asciiTheme="minorHAnsi" w:hAnsiTheme="minorHAnsi" w:cstheme="minorHAnsi"/>
          <w:bCs/>
        </w:rPr>
        <w:t>všechny fáze</w:t>
      </w:r>
      <w:r w:rsidRPr="00D86CDE">
        <w:rPr>
          <w:rFonts w:asciiTheme="minorHAnsi" w:hAnsiTheme="minorHAnsi" w:cstheme="minorHAnsi"/>
          <w:bCs/>
        </w:rPr>
        <w:t xml:space="preserve"> inovační</w:t>
      </w:r>
      <w:r w:rsidR="004A1DE5">
        <w:rPr>
          <w:rFonts w:asciiTheme="minorHAnsi" w:hAnsiTheme="minorHAnsi" w:cstheme="minorHAnsi"/>
          <w:bCs/>
        </w:rPr>
        <w:t>ho</w:t>
      </w:r>
      <w:r w:rsidRPr="00D86CDE">
        <w:rPr>
          <w:rFonts w:asciiTheme="minorHAnsi" w:hAnsiTheme="minorHAnsi" w:cstheme="minorHAnsi"/>
          <w:bCs/>
        </w:rPr>
        <w:t xml:space="preserve"> </w:t>
      </w:r>
      <w:r w:rsidR="00AE1324" w:rsidRPr="00D86CDE">
        <w:rPr>
          <w:rFonts w:asciiTheme="minorHAnsi" w:hAnsiTheme="minorHAnsi" w:cstheme="minorHAnsi"/>
          <w:bCs/>
        </w:rPr>
        <w:t>proces</w:t>
      </w:r>
      <w:r w:rsidR="004A1DE5">
        <w:rPr>
          <w:rFonts w:asciiTheme="minorHAnsi" w:hAnsiTheme="minorHAnsi" w:cstheme="minorHAnsi"/>
          <w:bCs/>
        </w:rPr>
        <w:t>u</w:t>
      </w:r>
      <w:r w:rsidRPr="00D86CDE">
        <w:rPr>
          <w:rFonts w:asciiTheme="minorHAnsi" w:hAnsiTheme="minorHAnsi" w:cstheme="minorHAnsi"/>
          <w:bCs/>
        </w:rPr>
        <w:t>. Tímto způsobem zároveň</w:t>
      </w:r>
      <w:r w:rsidRPr="008C714A">
        <w:rPr>
          <w:rFonts w:asciiTheme="minorHAnsi" w:hAnsiTheme="minorHAnsi" w:cstheme="minorHAnsi"/>
          <w:bCs/>
        </w:rPr>
        <w:t xml:space="preserve"> dojde k zefektivnění činnosti výzkumných organizací a rozvoji jejich spolupráce s aplikační sférou, vče</w:t>
      </w:r>
      <w:r w:rsidR="001C7EA1">
        <w:rPr>
          <w:rFonts w:asciiTheme="minorHAnsi" w:hAnsiTheme="minorHAnsi" w:cstheme="minorHAnsi"/>
          <w:bCs/>
        </w:rPr>
        <w:t>tně vyššího zapojení podniků do</w:t>
      </w:r>
      <w:r w:rsidR="00B1114C">
        <w:rPr>
          <w:rFonts w:asciiTheme="minorHAnsi" w:hAnsiTheme="minorHAnsi" w:cstheme="minorHAnsi"/>
          <w:bCs/>
        </w:rPr>
        <w:t xml:space="preserve"> </w:t>
      </w:r>
      <w:r w:rsidRPr="008C714A">
        <w:rPr>
          <w:rFonts w:asciiTheme="minorHAnsi" w:hAnsiTheme="minorHAnsi" w:cstheme="minorHAnsi"/>
          <w:bCs/>
        </w:rPr>
        <w:t>výzkumu.</w:t>
      </w:r>
      <w:r>
        <w:rPr>
          <w:rFonts w:asciiTheme="minorHAnsi" w:hAnsiTheme="minorHAnsi" w:cstheme="minorHAnsi"/>
          <w:bCs/>
        </w:rPr>
        <w:t xml:space="preserve"> </w:t>
      </w:r>
      <w:r w:rsidR="00B1114C">
        <w:rPr>
          <w:rFonts w:asciiTheme="minorHAnsi" w:hAnsiTheme="minorHAnsi" w:cstheme="minorHAnsi"/>
          <w:bCs/>
        </w:rPr>
        <w:t>N</w:t>
      </w:r>
      <w:r w:rsidRPr="00077A78">
        <w:rPr>
          <w:rFonts w:asciiTheme="minorHAnsi" w:hAnsiTheme="minorHAnsi" w:cstheme="minorHAnsi"/>
          <w:bCs/>
        </w:rPr>
        <w:t xml:space="preserve">a rozdíl </w:t>
      </w:r>
      <w:r w:rsidR="00077A78">
        <w:rPr>
          <w:rFonts w:asciiTheme="minorHAnsi" w:hAnsiTheme="minorHAnsi" w:cstheme="minorHAnsi"/>
          <w:bCs/>
        </w:rPr>
        <w:t>např. od Finska a Švédska, kte</w:t>
      </w:r>
      <w:r w:rsidR="00B1114C">
        <w:rPr>
          <w:rFonts w:asciiTheme="minorHAnsi" w:hAnsiTheme="minorHAnsi" w:cstheme="minorHAnsi"/>
          <w:bCs/>
        </w:rPr>
        <w:t>ré</w:t>
      </w:r>
      <w:r w:rsidR="00077A78">
        <w:rPr>
          <w:rFonts w:asciiTheme="minorHAnsi" w:hAnsiTheme="minorHAnsi" w:cstheme="minorHAnsi"/>
          <w:bCs/>
        </w:rPr>
        <w:t xml:space="preserve"> patří k evropským</w:t>
      </w:r>
      <w:r w:rsidR="00077A78" w:rsidRPr="00077A78">
        <w:rPr>
          <w:rFonts w:asciiTheme="minorHAnsi" w:hAnsiTheme="minorHAnsi" w:cstheme="minorHAnsi"/>
          <w:bCs/>
        </w:rPr>
        <w:t xml:space="preserve"> lídrů</w:t>
      </w:r>
      <w:r w:rsidR="00077A78">
        <w:rPr>
          <w:rFonts w:asciiTheme="minorHAnsi" w:hAnsiTheme="minorHAnsi" w:cstheme="minorHAnsi"/>
          <w:bCs/>
        </w:rPr>
        <w:t>m</w:t>
      </w:r>
      <w:r w:rsidR="00077A78" w:rsidRPr="00077A78">
        <w:rPr>
          <w:rFonts w:asciiTheme="minorHAnsi" w:hAnsiTheme="minorHAnsi" w:cstheme="minorHAnsi"/>
          <w:bCs/>
        </w:rPr>
        <w:t xml:space="preserve"> v oblasti </w:t>
      </w:r>
      <w:proofErr w:type="spellStart"/>
      <w:r w:rsidR="00077A78" w:rsidRPr="00077A78">
        <w:rPr>
          <w:rFonts w:asciiTheme="minorHAnsi" w:hAnsiTheme="minorHAnsi" w:cstheme="minorHAnsi"/>
          <w:bCs/>
        </w:rPr>
        <w:t>VaVaI</w:t>
      </w:r>
      <w:proofErr w:type="spellEnd"/>
      <w:r w:rsidR="00077A78" w:rsidRPr="00077A78">
        <w:rPr>
          <w:rFonts w:asciiTheme="minorHAnsi" w:hAnsiTheme="minorHAnsi" w:cstheme="minorHAnsi"/>
          <w:bCs/>
        </w:rPr>
        <w:t xml:space="preserve">, </w:t>
      </w:r>
      <w:r w:rsidR="00B1114C" w:rsidRPr="00077A78">
        <w:rPr>
          <w:rFonts w:asciiTheme="minorHAnsi" w:hAnsiTheme="minorHAnsi" w:cstheme="minorHAnsi"/>
          <w:bCs/>
        </w:rPr>
        <w:t xml:space="preserve">Česká republika </w:t>
      </w:r>
      <w:r w:rsidR="00994DCC" w:rsidRPr="00077A78">
        <w:rPr>
          <w:rFonts w:asciiTheme="minorHAnsi" w:hAnsiTheme="minorHAnsi" w:cstheme="minorHAnsi"/>
          <w:bCs/>
        </w:rPr>
        <w:t xml:space="preserve">striktně </w:t>
      </w:r>
      <w:r w:rsidRPr="00077A78">
        <w:rPr>
          <w:rFonts w:asciiTheme="minorHAnsi" w:hAnsiTheme="minorHAnsi" w:cstheme="minorHAnsi"/>
          <w:bCs/>
        </w:rPr>
        <w:t>rozlišuje</w:t>
      </w:r>
      <w:r>
        <w:rPr>
          <w:rFonts w:asciiTheme="minorHAnsi" w:hAnsiTheme="minorHAnsi" w:cstheme="minorHAnsi"/>
          <w:bCs/>
        </w:rPr>
        <w:t xml:space="preserve"> mezi základním a aplikovaným výzkumem, o to větší důraz by měl být kladen na jejich provázanost. </w:t>
      </w:r>
    </w:p>
    <w:p w:rsidR="008C714A" w:rsidRDefault="008C714A" w:rsidP="00D63A33">
      <w:pPr>
        <w:jc w:val="both"/>
        <w:rPr>
          <w:rFonts w:asciiTheme="minorHAnsi" w:hAnsiTheme="minorHAnsi" w:cstheme="minorHAnsi"/>
          <w:bCs/>
        </w:rPr>
      </w:pPr>
    </w:p>
    <w:p w:rsidR="008C714A" w:rsidRDefault="008C714A" w:rsidP="00D63A33">
      <w:pPr>
        <w:jc w:val="both"/>
        <w:rPr>
          <w:rFonts w:asciiTheme="minorHAnsi" w:hAnsiTheme="minorHAnsi" w:cstheme="minorHAnsi"/>
          <w:bCs/>
        </w:rPr>
      </w:pPr>
      <w:r>
        <w:rPr>
          <w:rFonts w:asciiTheme="minorHAnsi" w:hAnsiTheme="minorHAnsi" w:cstheme="minorHAnsi"/>
          <w:bCs/>
        </w:rPr>
        <w:t>S</w:t>
      </w:r>
      <w:r w:rsidRPr="00FB661A">
        <w:rPr>
          <w:rFonts w:asciiTheme="minorHAnsi" w:hAnsiTheme="minorHAnsi" w:cstheme="minorHAnsi"/>
          <w:bCs/>
        </w:rPr>
        <w:t xml:space="preserve">poluodpovědnost za zajištění vazby základního výzkumu na další fáze inovačního procesu </w:t>
      </w:r>
      <w:r>
        <w:rPr>
          <w:rFonts w:asciiTheme="minorHAnsi" w:hAnsiTheme="minorHAnsi" w:cstheme="minorHAnsi"/>
          <w:bCs/>
        </w:rPr>
        <w:t>byla Grantové agentuře České republiky</w:t>
      </w:r>
      <w:r w:rsidRPr="00FB661A">
        <w:rPr>
          <w:rFonts w:asciiTheme="minorHAnsi" w:hAnsiTheme="minorHAnsi" w:cstheme="minorHAnsi"/>
          <w:bCs/>
        </w:rPr>
        <w:t xml:space="preserve"> </w:t>
      </w:r>
      <w:r>
        <w:rPr>
          <w:rFonts w:asciiTheme="minorHAnsi" w:hAnsiTheme="minorHAnsi" w:cstheme="minorHAnsi"/>
          <w:bCs/>
        </w:rPr>
        <w:t xml:space="preserve">stanovena V </w:t>
      </w:r>
      <w:r w:rsidRPr="0024292D">
        <w:rPr>
          <w:rFonts w:asciiTheme="minorHAnsi" w:hAnsiTheme="minorHAnsi" w:cstheme="minorHAnsi"/>
          <w:bCs/>
          <w:i/>
        </w:rPr>
        <w:t>Národní politice</w:t>
      </w:r>
      <w:r w:rsidR="001C7EA1" w:rsidRPr="0024292D">
        <w:rPr>
          <w:rFonts w:asciiTheme="minorHAnsi" w:hAnsiTheme="minorHAnsi" w:cstheme="minorHAnsi"/>
          <w:bCs/>
          <w:i/>
        </w:rPr>
        <w:t xml:space="preserve"> výzkumu, vývoje a </w:t>
      </w:r>
      <w:r w:rsidRPr="0024292D">
        <w:rPr>
          <w:rFonts w:asciiTheme="minorHAnsi" w:hAnsiTheme="minorHAnsi" w:cstheme="minorHAnsi"/>
          <w:bCs/>
          <w:i/>
        </w:rPr>
        <w:t>inova</w:t>
      </w:r>
      <w:r w:rsidR="00A016A8" w:rsidRPr="0024292D">
        <w:rPr>
          <w:rFonts w:asciiTheme="minorHAnsi" w:hAnsiTheme="minorHAnsi" w:cstheme="minorHAnsi"/>
          <w:bCs/>
          <w:i/>
        </w:rPr>
        <w:t>cí České republiky na léta 2009–</w:t>
      </w:r>
      <w:r w:rsidRPr="0024292D">
        <w:rPr>
          <w:rFonts w:asciiTheme="minorHAnsi" w:hAnsiTheme="minorHAnsi" w:cstheme="minorHAnsi"/>
          <w:bCs/>
          <w:i/>
        </w:rPr>
        <w:t>2015</w:t>
      </w:r>
      <w:r>
        <w:rPr>
          <w:rFonts w:asciiTheme="minorHAnsi" w:hAnsiTheme="minorHAnsi" w:cstheme="minorHAnsi"/>
          <w:bCs/>
        </w:rPr>
        <w:t xml:space="preserve">. </w:t>
      </w:r>
      <w:r w:rsidRPr="00FB661A">
        <w:rPr>
          <w:rFonts w:asciiTheme="minorHAnsi" w:hAnsiTheme="minorHAnsi" w:cstheme="minorHAnsi"/>
          <w:bCs/>
        </w:rPr>
        <w:t>Potřeba zajištění vazby základního výzkumu na</w:t>
      </w:r>
      <w:r w:rsidR="00B1114C">
        <w:rPr>
          <w:rFonts w:asciiTheme="minorHAnsi" w:hAnsiTheme="minorHAnsi" w:cstheme="minorHAnsi"/>
          <w:bCs/>
        </w:rPr>
        <w:t xml:space="preserve"> </w:t>
      </w:r>
      <w:r w:rsidRPr="00FB661A">
        <w:rPr>
          <w:rFonts w:asciiTheme="minorHAnsi" w:hAnsiTheme="minorHAnsi" w:cstheme="minorHAnsi"/>
          <w:bCs/>
        </w:rPr>
        <w:t>další fáze inovačního procesu a nutnost podporovat inovační proces jako celek je zdůrazněna i v</w:t>
      </w:r>
      <w:r>
        <w:rPr>
          <w:rFonts w:asciiTheme="minorHAnsi" w:hAnsiTheme="minorHAnsi" w:cstheme="minorHAnsi"/>
          <w:bCs/>
        </w:rPr>
        <w:t> </w:t>
      </w:r>
      <w:r w:rsidRPr="00FB661A">
        <w:rPr>
          <w:rFonts w:asciiTheme="minorHAnsi" w:hAnsiTheme="minorHAnsi" w:cstheme="minorHAnsi"/>
          <w:bCs/>
        </w:rPr>
        <w:t>dalších národních koncepčních materiálech</w:t>
      </w:r>
      <w:r>
        <w:rPr>
          <w:rFonts w:asciiTheme="minorHAnsi" w:hAnsiTheme="minorHAnsi" w:cstheme="minorHAnsi"/>
          <w:bCs/>
        </w:rPr>
        <w:t xml:space="preserve">, </w:t>
      </w:r>
      <w:r w:rsidRPr="00FB661A">
        <w:rPr>
          <w:rFonts w:asciiTheme="minorHAnsi" w:hAnsiTheme="minorHAnsi" w:cstheme="minorHAnsi"/>
          <w:bCs/>
        </w:rPr>
        <w:t>kterými je GA ČR</w:t>
      </w:r>
      <w:r w:rsidR="00E035A6">
        <w:rPr>
          <w:rFonts w:asciiTheme="minorHAnsi" w:hAnsiTheme="minorHAnsi" w:cstheme="minorHAnsi"/>
          <w:bCs/>
        </w:rPr>
        <w:t xml:space="preserve"> na základě usnesení vlády</w:t>
      </w:r>
      <w:r w:rsidRPr="00FB661A">
        <w:rPr>
          <w:rFonts w:asciiTheme="minorHAnsi" w:hAnsiTheme="minorHAnsi" w:cstheme="minorHAnsi"/>
          <w:bCs/>
        </w:rPr>
        <w:t xml:space="preserve"> povinna řídit</w:t>
      </w:r>
      <w:r>
        <w:rPr>
          <w:rFonts w:asciiTheme="minorHAnsi" w:hAnsiTheme="minorHAnsi" w:cstheme="minorHAnsi"/>
          <w:bCs/>
        </w:rPr>
        <w:t xml:space="preserve"> svoji činnost</w:t>
      </w:r>
      <w:r w:rsidRPr="00FB661A">
        <w:rPr>
          <w:rFonts w:asciiTheme="minorHAnsi" w:hAnsiTheme="minorHAnsi" w:cstheme="minorHAnsi"/>
          <w:bCs/>
        </w:rPr>
        <w:t>.</w:t>
      </w:r>
      <w:r>
        <w:rPr>
          <w:rFonts w:asciiTheme="minorHAnsi" w:hAnsiTheme="minorHAnsi" w:cstheme="minorHAnsi"/>
          <w:bCs/>
        </w:rPr>
        <w:t xml:space="preserve"> Zmiňuje ji i </w:t>
      </w:r>
      <w:r w:rsidR="007811CB">
        <w:rPr>
          <w:rFonts w:asciiTheme="minorHAnsi" w:hAnsiTheme="minorHAnsi" w:cstheme="minorHAnsi"/>
          <w:bCs/>
        </w:rPr>
        <w:t>Koncepce</w:t>
      </w:r>
      <w:r w:rsidRPr="00FB661A">
        <w:rPr>
          <w:rFonts w:asciiTheme="minorHAnsi" w:hAnsiTheme="minorHAnsi" w:cstheme="minorHAnsi"/>
          <w:bCs/>
        </w:rPr>
        <w:t xml:space="preserve"> 2016 </w:t>
      </w:r>
      <w:r w:rsidR="001C7EA1">
        <w:rPr>
          <w:rFonts w:asciiTheme="minorHAnsi" w:hAnsiTheme="minorHAnsi" w:cstheme="minorHAnsi"/>
          <w:bCs/>
        </w:rPr>
        <w:t>a </w:t>
      </w:r>
      <w:r w:rsidR="000E6449">
        <w:rPr>
          <w:rFonts w:asciiTheme="minorHAnsi" w:hAnsiTheme="minorHAnsi" w:cstheme="minorHAnsi"/>
          <w:bCs/>
        </w:rPr>
        <w:t>důvodová zpráva</w:t>
      </w:r>
      <w:r w:rsidR="000E6449" w:rsidRPr="00FB661A">
        <w:rPr>
          <w:rFonts w:asciiTheme="minorHAnsi" w:hAnsiTheme="minorHAnsi" w:cstheme="minorHAnsi"/>
          <w:bCs/>
        </w:rPr>
        <w:t xml:space="preserve"> k</w:t>
      </w:r>
      <w:r w:rsidR="00320ED4">
        <w:rPr>
          <w:rFonts w:asciiTheme="minorHAnsi" w:hAnsiTheme="minorHAnsi" w:cstheme="minorHAnsi"/>
          <w:bCs/>
        </w:rPr>
        <w:t> </w:t>
      </w:r>
      <w:r w:rsidR="000E6449" w:rsidRPr="00FB661A">
        <w:rPr>
          <w:rFonts w:asciiTheme="minorHAnsi" w:hAnsiTheme="minorHAnsi" w:cstheme="minorHAnsi"/>
          <w:bCs/>
        </w:rPr>
        <w:t>zákonu č.</w:t>
      </w:r>
      <w:r w:rsidR="005423BF">
        <w:rPr>
          <w:rFonts w:asciiTheme="minorHAnsi" w:hAnsiTheme="minorHAnsi" w:cstheme="minorHAnsi"/>
          <w:bCs/>
        </w:rPr>
        <w:t> </w:t>
      </w:r>
      <w:r w:rsidR="000E6449" w:rsidRPr="00FB661A">
        <w:rPr>
          <w:rFonts w:asciiTheme="minorHAnsi" w:hAnsiTheme="minorHAnsi" w:cstheme="minorHAnsi"/>
          <w:bCs/>
        </w:rPr>
        <w:t>110/2009</w:t>
      </w:r>
      <w:r w:rsidR="00AC460D">
        <w:rPr>
          <w:rFonts w:asciiTheme="minorHAnsi" w:hAnsiTheme="minorHAnsi" w:cstheme="minorHAnsi"/>
          <w:bCs/>
        </w:rPr>
        <w:t> </w:t>
      </w:r>
      <w:r w:rsidR="000E6449" w:rsidRPr="00FB661A">
        <w:rPr>
          <w:rFonts w:asciiTheme="minorHAnsi" w:hAnsiTheme="minorHAnsi" w:cstheme="minorHAnsi"/>
          <w:bCs/>
        </w:rPr>
        <w:t>Sb.</w:t>
      </w:r>
      <w:r w:rsidR="007811CB">
        <w:rPr>
          <w:rStyle w:val="Znakapoznpodarou"/>
          <w:rFonts w:asciiTheme="minorHAnsi" w:hAnsiTheme="minorHAnsi" w:cstheme="minorHAnsi"/>
          <w:bCs/>
        </w:rPr>
        <w:footnoteReference w:id="9"/>
      </w:r>
    </w:p>
    <w:p w:rsidR="008C714A" w:rsidRDefault="008C714A" w:rsidP="00D63A33">
      <w:pPr>
        <w:jc w:val="both"/>
        <w:rPr>
          <w:rFonts w:asciiTheme="minorHAnsi" w:hAnsiTheme="minorHAnsi" w:cstheme="minorHAnsi"/>
          <w:bCs/>
        </w:rPr>
      </w:pPr>
    </w:p>
    <w:p w:rsidR="000E6449" w:rsidRDefault="000E6449" w:rsidP="00027CA1">
      <w:pPr>
        <w:keepLines/>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sidRPr="000E6449">
        <w:rPr>
          <w:rFonts w:ascii="Calibri" w:hAnsi="Calibri"/>
        </w:rPr>
        <w:lastRenderedPageBreak/>
        <w:t xml:space="preserve">Podpora projektů zahrnujících </w:t>
      </w:r>
      <w:r w:rsidR="00F32DDD">
        <w:rPr>
          <w:rFonts w:ascii="Calibri" w:hAnsi="Calibri"/>
        </w:rPr>
        <w:t>všechny fáze</w:t>
      </w:r>
      <w:r w:rsidRPr="000E6449">
        <w:rPr>
          <w:rFonts w:ascii="Calibri" w:hAnsi="Calibri"/>
        </w:rPr>
        <w:t xml:space="preserve"> inovační </w:t>
      </w:r>
      <w:r w:rsidR="00AE1324">
        <w:rPr>
          <w:rFonts w:ascii="Calibri" w:hAnsi="Calibri"/>
        </w:rPr>
        <w:t>proces</w:t>
      </w:r>
      <w:r w:rsidR="00F32DDD">
        <w:rPr>
          <w:rFonts w:ascii="Calibri" w:hAnsi="Calibri"/>
        </w:rPr>
        <w:t>u</w:t>
      </w:r>
      <w:r w:rsidRPr="000E6449">
        <w:rPr>
          <w:rFonts w:ascii="Calibri" w:hAnsi="Calibri"/>
        </w:rPr>
        <w:t xml:space="preserve"> </w:t>
      </w:r>
      <w:r w:rsidR="00F16558">
        <w:rPr>
          <w:rFonts w:ascii="Calibri" w:hAnsi="Calibri"/>
        </w:rPr>
        <w:t>vede</w:t>
      </w:r>
      <w:r w:rsidRPr="000E6449">
        <w:rPr>
          <w:rFonts w:ascii="Calibri" w:hAnsi="Calibri"/>
        </w:rPr>
        <w:t xml:space="preserve"> k zefektivnění činnosti výzkumných organizací. Grantové agentuře České republiky byla uložena povinnost spolupodílet se na zajištění vazby základního výzkumu na další fáze inovačního procesu, přesto GA ČR tuto provázanost nesledovala, ne</w:t>
      </w:r>
      <w:r>
        <w:rPr>
          <w:rFonts w:ascii="Calibri" w:hAnsi="Calibri"/>
        </w:rPr>
        <w:t xml:space="preserve">vyhodnocovala </w:t>
      </w:r>
      <w:r w:rsidRPr="000E6449">
        <w:rPr>
          <w:rFonts w:ascii="Calibri" w:hAnsi="Calibri"/>
        </w:rPr>
        <w:t xml:space="preserve">a </w:t>
      </w:r>
      <w:r w:rsidR="002F6301">
        <w:rPr>
          <w:rFonts w:ascii="Calibri" w:hAnsi="Calibri"/>
        </w:rPr>
        <w:t xml:space="preserve">systematicky </w:t>
      </w:r>
      <w:r w:rsidRPr="000E6449">
        <w:rPr>
          <w:rFonts w:ascii="Calibri" w:hAnsi="Calibri"/>
        </w:rPr>
        <w:t>nepodporovala</w:t>
      </w:r>
      <w:r>
        <w:rPr>
          <w:rFonts w:ascii="Calibri" w:hAnsi="Calibri"/>
        </w:rPr>
        <w:t>.</w:t>
      </w:r>
      <w:r w:rsidRPr="000E6449">
        <w:rPr>
          <w:rFonts w:ascii="Calibri" w:hAnsi="Calibri"/>
        </w:rPr>
        <w:t xml:space="preserve"> </w:t>
      </w:r>
    </w:p>
    <w:p w:rsidR="00D63A33" w:rsidRPr="008F5E6A" w:rsidRDefault="00D63A33" w:rsidP="008F5E6A">
      <w:pPr>
        <w:rPr>
          <w:rFonts w:ascii="Calibri" w:hAnsi="Calibri" w:cs="Calibri"/>
        </w:rPr>
      </w:pPr>
    </w:p>
    <w:p w:rsidR="00072979" w:rsidRPr="008F5E6A" w:rsidRDefault="00072979" w:rsidP="008F5E6A">
      <w:pPr>
        <w:rPr>
          <w:rFonts w:ascii="Calibri" w:hAnsi="Calibri" w:cs="Calibri"/>
          <w:b/>
        </w:rPr>
      </w:pPr>
      <w:r w:rsidRPr="008F5E6A">
        <w:rPr>
          <w:rFonts w:ascii="Calibri" w:hAnsi="Calibri" w:cs="Calibri"/>
          <w:b/>
        </w:rPr>
        <w:t xml:space="preserve">2. </w:t>
      </w:r>
      <w:r w:rsidR="00E33673" w:rsidRPr="008F5E6A">
        <w:rPr>
          <w:rFonts w:ascii="Calibri" w:hAnsi="Calibri" w:cs="Calibri"/>
          <w:b/>
        </w:rPr>
        <w:t>GA ČR nepodporovala orientovaný základní výzkum</w:t>
      </w:r>
    </w:p>
    <w:p w:rsidR="00072979" w:rsidRPr="008F5E6A" w:rsidRDefault="00072979" w:rsidP="008F5E6A">
      <w:pPr>
        <w:rPr>
          <w:rFonts w:ascii="Calibri" w:hAnsi="Calibri" w:cs="Calibri"/>
        </w:rPr>
      </w:pPr>
    </w:p>
    <w:p w:rsidR="002E5B6C" w:rsidRPr="000424FF" w:rsidRDefault="002E5B6C" w:rsidP="00072979">
      <w:pPr>
        <w:shd w:val="clear" w:color="auto" w:fill="D9D9D9" w:themeFill="background1" w:themeFillShade="D9"/>
        <w:jc w:val="both"/>
        <w:rPr>
          <w:rFonts w:ascii="Calibri" w:hAnsi="Calibri"/>
        </w:rPr>
      </w:pPr>
      <w:r w:rsidRPr="000424FF">
        <w:rPr>
          <w:rFonts w:ascii="Calibri" w:hAnsi="Calibri"/>
        </w:rPr>
        <w:t>Poskytovatel podpory by měl nastavit a realizovat systém alokace této podpory, který bude v souladu s jeho působnost</w:t>
      </w:r>
      <w:r w:rsidR="00C634C8" w:rsidRPr="000424FF">
        <w:rPr>
          <w:rFonts w:ascii="Calibri" w:hAnsi="Calibri"/>
        </w:rPr>
        <w:t>í, pravomocemi</w:t>
      </w:r>
      <w:r w:rsidRPr="000424FF">
        <w:rPr>
          <w:rFonts w:ascii="Calibri" w:hAnsi="Calibri"/>
        </w:rPr>
        <w:t xml:space="preserve"> a odpovědností a vytvoří ideální podmínky pro dosažení požadovaných výsledků</w:t>
      </w:r>
      <w:r w:rsidRPr="00680CC9">
        <w:rPr>
          <w:rFonts w:ascii="Calibri" w:hAnsi="Calibri"/>
        </w:rPr>
        <w:t>.</w:t>
      </w:r>
      <w:r w:rsidR="00072979" w:rsidRPr="000424FF">
        <w:rPr>
          <w:rFonts w:ascii="Calibri" w:hAnsi="Calibri"/>
        </w:rPr>
        <w:t xml:space="preserve"> </w:t>
      </w:r>
    </w:p>
    <w:p w:rsidR="00B1114C" w:rsidRDefault="00B1114C" w:rsidP="00072979">
      <w:pPr>
        <w:shd w:val="clear" w:color="auto" w:fill="D9D9D9" w:themeFill="background1" w:themeFillShade="D9"/>
        <w:jc w:val="both"/>
        <w:rPr>
          <w:rFonts w:ascii="Calibri" w:hAnsi="Calibri"/>
        </w:rPr>
      </w:pPr>
    </w:p>
    <w:p w:rsidR="00072979" w:rsidRPr="00744AB5" w:rsidRDefault="00072979" w:rsidP="00072979">
      <w:pPr>
        <w:shd w:val="clear" w:color="auto" w:fill="D9D9D9" w:themeFill="background1" w:themeFillShade="D9"/>
        <w:jc w:val="both"/>
        <w:rPr>
          <w:rFonts w:ascii="Calibri" w:hAnsi="Calibri"/>
          <w:i/>
        </w:rPr>
      </w:pPr>
      <w:r>
        <w:rPr>
          <w:rFonts w:ascii="Calibri" w:hAnsi="Calibri"/>
        </w:rPr>
        <w:t xml:space="preserve">Kontrolou byl prověřen způsob, jakým </w:t>
      </w:r>
      <w:r w:rsidRPr="00072979">
        <w:rPr>
          <w:rFonts w:asciiTheme="minorHAnsi" w:hAnsiTheme="minorHAnsi" w:cstheme="minorHAnsi"/>
        </w:rPr>
        <w:t>GA ČR rozhod</w:t>
      </w:r>
      <w:r w:rsidR="008D7953">
        <w:rPr>
          <w:rFonts w:asciiTheme="minorHAnsi" w:hAnsiTheme="minorHAnsi" w:cstheme="minorHAnsi"/>
        </w:rPr>
        <w:t>oval</w:t>
      </w:r>
      <w:r w:rsidR="00994DCC">
        <w:rPr>
          <w:rFonts w:asciiTheme="minorHAnsi" w:hAnsiTheme="minorHAnsi" w:cstheme="minorHAnsi"/>
        </w:rPr>
        <w:t>a</w:t>
      </w:r>
      <w:r w:rsidRPr="00072979">
        <w:rPr>
          <w:rFonts w:asciiTheme="minorHAnsi" w:hAnsiTheme="minorHAnsi" w:cstheme="minorHAnsi"/>
        </w:rPr>
        <w:t xml:space="preserve"> o alokaci prostředků na jednotlivé skupiny a obory grantových projektů</w:t>
      </w:r>
      <w:r w:rsidR="008D7953">
        <w:rPr>
          <w:rFonts w:asciiTheme="minorHAnsi" w:hAnsiTheme="minorHAnsi" w:cstheme="minorHAnsi"/>
        </w:rPr>
        <w:t xml:space="preserve"> a zda </w:t>
      </w:r>
      <w:r w:rsidR="008D7953" w:rsidRPr="00B9263D">
        <w:rPr>
          <w:rFonts w:asciiTheme="minorHAnsi" w:hAnsiTheme="minorHAnsi" w:cstheme="minorHAnsi"/>
        </w:rPr>
        <w:t>poskyto</w:t>
      </w:r>
      <w:r w:rsidR="008D7953">
        <w:rPr>
          <w:rFonts w:asciiTheme="minorHAnsi" w:hAnsiTheme="minorHAnsi" w:cstheme="minorHAnsi"/>
        </w:rPr>
        <w:t>vaná účelová podpora zabezpečovala</w:t>
      </w:r>
      <w:r w:rsidR="008D7953" w:rsidRPr="00B9263D">
        <w:rPr>
          <w:rFonts w:asciiTheme="minorHAnsi" w:hAnsiTheme="minorHAnsi" w:cstheme="minorHAnsi"/>
        </w:rPr>
        <w:t xml:space="preserve"> úkoly a cíle stanovené národními koncepčními dokumenty </w:t>
      </w:r>
      <w:proofErr w:type="spellStart"/>
      <w:r w:rsidR="008D7953">
        <w:rPr>
          <w:rFonts w:asciiTheme="minorHAnsi" w:hAnsiTheme="minorHAnsi" w:cstheme="minorHAnsi"/>
        </w:rPr>
        <w:t>VaVaI</w:t>
      </w:r>
      <w:proofErr w:type="spellEnd"/>
      <w:r w:rsidR="008D7953">
        <w:rPr>
          <w:rFonts w:asciiTheme="minorHAnsi" w:hAnsiTheme="minorHAnsi" w:cstheme="minorHAnsi"/>
        </w:rPr>
        <w:t>.</w:t>
      </w:r>
    </w:p>
    <w:p w:rsidR="00072979" w:rsidRPr="00B1114C" w:rsidRDefault="00072979" w:rsidP="00615363">
      <w:pPr>
        <w:ind w:left="284" w:hanging="284"/>
        <w:jc w:val="both"/>
        <w:rPr>
          <w:rFonts w:asciiTheme="minorHAnsi" w:hAnsiTheme="minorHAnsi" w:cstheme="minorHAnsi"/>
        </w:rPr>
      </w:pPr>
    </w:p>
    <w:p w:rsidR="00FE6AA2" w:rsidRDefault="00FE6AA2" w:rsidP="00EE2519">
      <w:pPr>
        <w:jc w:val="both"/>
        <w:rPr>
          <w:rFonts w:ascii="Calibri" w:eastAsia="Calibri" w:hAnsi="Calibri" w:cs="Calibri"/>
          <w:szCs w:val="22"/>
        </w:rPr>
      </w:pPr>
      <w:r w:rsidRPr="00127FFA">
        <w:rPr>
          <w:rFonts w:ascii="Calibri" w:eastAsia="Calibri" w:hAnsi="Calibri" w:cs="Calibri"/>
          <w:szCs w:val="22"/>
        </w:rPr>
        <w:t>V Národních prioritách je definováno celkem šest prioritních oblastí a ke každé z nich n</w:t>
      </w:r>
      <w:r w:rsidR="001C7EA1">
        <w:rPr>
          <w:rFonts w:ascii="Calibri" w:eastAsia="Calibri" w:hAnsi="Calibri" w:cs="Calibri"/>
          <w:szCs w:val="22"/>
        </w:rPr>
        <w:t>ěkolik prioritních podoblastí s </w:t>
      </w:r>
      <w:r w:rsidRPr="00127FFA">
        <w:rPr>
          <w:rFonts w:ascii="Calibri" w:eastAsia="Calibri" w:hAnsi="Calibri" w:cs="Calibri"/>
          <w:szCs w:val="22"/>
        </w:rPr>
        <w:t>definovanými konkrétními cíli. Hlavním přínosem a smyslem formulace těchto prioritních oblastí je strategické orientování části (zejména aplikovaného, ale i části základního) národního výzkumu, vývoje a inovací do oblastí, které nap</w:t>
      </w:r>
      <w:r w:rsidR="001C7EA1">
        <w:rPr>
          <w:rFonts w:ascii="Calibri" w:eastAsia="Calibri" w:hAnsi="Calibri" w:cs="Calibri"/>
          <w:szCs w:val="22"/>
        </w:rPr>
        <w:t>omohou řešit zásadní současné a </w:t>
      </w:r>
      <w:r w:rsidRPr="00127FFA">
        <w:rPr>
          <w:rFonts w:ascii="Calibri" w:eastAsia="Calibri" w:hAnsi="Calibri" w:cs="Calibri"/>
          <w:szCs w:val="22"/>
        </w:rPr>
        <w:t xml:space="preserve">předvídatelné budoucí problémy a výzvy </w:t>
      </w:r>
      <w:r w:rsidR="00214B0C">
        <w:rPr>
          <w:rFonts w:ascii="Calibri" w:eastAsia="Calibri" w:hAnsi="Calibri" w:cs="Calibri"/>
          <w:szCs w:val="22"/>
        </w:rPr>
        <w:t>České republiky</w:t>
      </w:r>
      <w:r w:rsidRPr="00127FFA">
        <w:rPr>
          <w:rFonts w:ascii="Calibri" w:eastAsia="Calibri" w:hAnsi="Calibri" w:cs="Calibri"/>
          <w:szCs w:val="22"/>
        </w:rPr>
        <w:t xml:space="preserve"> a umožní využít potenciální příležitosti pro </w:t>
      </w:r>
      <w:r w:rsidR="00214B0C">
        <w:rPr>
          <w:rFonts w:ascii="Calibri" w:eastAsia="Calibri" w:hAnsi="Calibri" w:cs="Calibri"/>
          <w:szCs w:val="22"/>
        </w:rPr>
        <w:t>její vyvážený rozvoj</w:t>
      </w:r>
      <w:r w:rsidRPr="00127FFA">
        <w:rPr>
          <w:rFonts w:ascii="Calibri" w:eastAsia="Calibri" w:hAnsi="Calibri" w:cs="Calibri"/>
          <w:szCs w:val="22"/>
        </w:rPr>
        <w:t>.</w:t>
      </w:r>
    </w:p>
    <w:p w:rsidR="00FE6AA2" w:rsidRDefault="00FE6AA2" w:rsidP="00EE2519">
      <w:pPr>
        <w:jc w:val="both"/>
        <w:rPr>
          <w:rFonts w:ascii="Calibri" w:eastAsia="Calibri" w:hAnsi="Calibri" w:cs="Calibri"/>
          <w:szCs w:val="22"/>
        </w:rPr>
      </w:pPr>
    </w:p>
    <w:p w:rsidR="00FE6AA2" w:rsidRDefault="00FE6AA2" w:rsidP="00EE2519">
      <w:pPr>
        <w:jc w:val="both"/>
        <w:rPr>
          <w:rFonts w:ascii="Calibri" w:eastAsia="Calibri" w:hAnsi="Calibri" w:cs="Calibri"/>
          <w:szCs w:val="22"/>
        </w:rPr>
      </w:pPr>
      <w:r>
        <w:rPr>
          <w:rFonts w:ascii="Calibri" w:eastAsia="Calibri" w:hAnsi="Calibri" w:cs="Calibri"/>
          <w:szCs w:val="22"/>
        </w:rPr>
        <w:t>Z</w:t>
      </w:r>
      <w:r w:rsidRPr="00127FFA">
        <w:rPr>
          <w:rFonts w:ascii="Calibri" w:eastAsia="Calibri" w:hAnsi="Calibri" w:cs="Calibri"/>
          <w:szCs w:val="22"/>
        </w:rPr>
        <w:t> národních koncepčních materiálů</w:t>
      </w:r>
      <w:r>
        <w:rPr>
          <w:rFonts w:ascii="Calibri" w:eastAsia="Calibri" w:hAnsi="Calibri" w:cs="Calibri"/>
          <w:szCs w:val="22"/>
        </w:rPr>
        <w:t>, kterými je GA ČR na základě usnesení vlády povinna řídit svoji činnost,</w:t>
      </w:r>
      <w:r w:rsidRPr="00127FFA">
        <w:rPr>
          <w:rFonts w:ascii="Calibri" w:eastAsia="Calibri" w:hAnsi="Calibri" w:cs="Calibri"/>
          <w:szCs w:val="22"/>
        </w:rPr>
        <w:t xml:space="preserve"> jednoznačně vyplývá </w:t>
      </w:r>
      <w:r>
        <w:rPr>
          <w:rFonts w:ascii="Calibri" w:eastAsia="Calibri" w:hAnsi="Calibri" w:cs="Calibri"/>
          <w:szCs w:val="22"/>
        </w:rPr>
        <w:t xml:space="preserve">důležitost podpory orientovaného výzkumu a </w:t>
      </w:r>
      <w:r w:rsidRPr="00127FFA">
        <w:rPr>
          <w:rFonts w:ascii="Calibri" w:eastAsia="Calibri" w:hAnsi="Calibri" w:cs="Calibri"/>
          <w:szCs w:val="22"/>
        </w:rPr>
        <w:t>skutečnost, že orientace na prioritní oblasti by se měla týkat rovněž základního výzkumu</w:t>
      </w:r>
      <w:r w:rsidR="00B1114C">
        <w:rPr>
          <w:rFonts w:ascii="Calibri" w:eastAsia="Calibri" w:hAnsi="Calibri" w:cs="Calibri"/>
          <w:szCs w:val="22"/>
        </w:rPr>
        <w:t>, a</w:t>
      </w:r>
      <w:r w:rsidRPr="00127FFA">
        <w:rPr>
          <w:rFonts w:ascii="Calibri" w:eastAsia="Calibri" w:hAnsi="Calibri" w:cs="Calibri"/>
          <w:szCs w:val="22"/>
        </w:rPr>
        <w:t xml:space="preserve"> tedy především činnosti GA ČR, jakožto jediného poskytovatele účelové podpory základního výzkumu v České republice.</w:t>
      </w:r>
      <w:r w:rsidR="0054704F">
        <w:rPr>
          <w:rFonts w:ascii="Calibri" w:eastAsia="Calibri" w:hAnsi="Calibri" w:cs="Calibri"/>
          <w:szCs w:val="22"/>
        </w:rPr>
        <w:t xml:space="preserve"> V</w:t>
      </w:r>
      <w:r>
        <w:rPr>
          <w:rFonts w:ascii="Calibri" w:eastAsia="Calibri" w:hAnsi="Calibri" w:cs="Calibri"/>
          <w:szCs w:val="22"/>
        </w:rPr>
        <w:t xml:space="preserve">hodnosti a potenciálu podpory orientovaného základního výzkumu si byla vědoma i GA ČR, o čemž svědčí </w:t>
      </w:r>
      <w:r>
        <w:rPr>
          <w:rFonts w:ascii="Calibri" w:eastAsia="Calibri" w:hAnsi="Calibri" w:cs="Calibri"/>
        </w:rPr>
        <w:t>Koncepce</w:t>
      </w:r>
      <w:r w:rsidRPr="00127FFA">
        <w:rPr>
          <w:rFonts w:ascii="Calibri" w:eastAsia="Calibri" w:hAnsi="Calibri" w:cs="Calibri"/>
        </w:rPr>
        <w:t xml:space="preserve"> </w:t>
      </w:r>
      <w:r w:rsidR="00C21C18">
        <w:rPr>
          <w:rFonts w:ascii="Calibri" w:eastAsia="Calibri" w:hAnsi="Calibri" w:cs="Calibri"/>
        </w:rPr>
        <w:t>2016</w:t>
      </w:r>
      <w:r>
        <w:rPr>
          <w:rFonts w:ascii="Calibri" w:eastAsia="Calibri" w:hAnsi="Calibri" w:cs="Calibri"/>
        </w:rPr>
        <w:t xml:space="preserve"> i </w:t>
      </w:r>
      <w:r w:rsidR="00B1114C">
        <w:rPr>
          <w:rFonts w:ascii="Calibri" w:eastAsia="Calibri" w:hAnsi="Calibri" w:cs="Calibri"/>
        </w:rPr>
        <w:t xml:space="preserve">příslušné </w:t>
      </w:r>
      <w:r>
        <w:rPr>
          <w:rFonts w:ascii="Calibri" w:eastAsia="Calibri" w:hAnsi="Calibri" w:cs="Calibri"/>
        </w:rPr>
        <w:t>zápis</w:t>
      </w:r>
      <w:r w:rsidR="00B1114C">
        <w:rPr>
          <w:rFonts w:ascii="Calibri" w:eastAsia="Calibri" w:hAnsi="Calibri" w:cs="Calibri"/>
        </w:rPr>
        <w:t>y</w:t>
      </w:r>
      <w:r w:rsidRPr="00127FFA">
        <w:rPr>
          <w:rFonts w:ascii="Calibri" w:eastAsia="Calibri" w:hAnsi="Calibri" w:cs="Calibri"/>
        </w:rPr>
        <w:t xml:space="preserve"> ze zasedání </w:t>
      </w:r>
      <w:r w:rsidR="00B1114C">
        <w:rPr>
          <w:rFonts w:ascii="Calibri" w:eastAsia="Calibri" w:hAnsi="Calibri" w:cs="Calibri"/>
        </w:rPr>
        <w:t>p</w:t>
      </w:r>
      <w:r w:rsidRPr="00127FFA">
        <w:rPr>
          <w:rFonts w:ascii="Calibri" w:eastAsia="Calibri" w:hAnsi="Calibri" w:cs="Calibri"/>
        </w:rPr>
        <w:t>ředsednictva GA ČR</w:t>
      </w:r>
      <w:r>
        <w:rPr>
          <w:rFonts w:ascii="Calibri" w:eastAsia="Calibri" w:hAnsi="Calibri" w:cs="Calibri"/>
        </w:rPr>
        <w:t>.</w:t>
      </w:r>
    </w:p>
    <w:p w:rsidR="00FE6AA2" w:rsidRDefault="00FE6AA2" w:rsidP="00EE2519">
      <w:pPr>
        <w:jc w:val="both"/>
        <w:rPr>
          <w:rFonts w:ascii="Calibri" w:eastAsia="Calibri" w:hAnsi="Calibri" w:cs="Calibri"/>
          <w:szCs w:val="22"/>
        </w:rPr>
      </w:pPr>
    </w:p>
    <w:p w:rsidR="00072979" w:rsidRDefault="00EE2519" w:rsidP="00EE2519">
      <w:pPr>
        <w:jc w:val="both"/>
        <w:rPr>
          <w:rFonts w:asciiTheme="minorHAnsi" w:hAnsiTheme="minorHAnsi" w:cstheme="minorHAnsi"/>
          <w:bCs/>
        </w:rPr>
      </w:pPr>
      <w:r>
        <w:rPr>
          <w:rFonts w:asciiTheme="minorHAnsi" w:hAnsiTheme="minorHAnsi" w:cstheme="minorHAnsi"/>
          <w:bCs/>
        </w:rPr>
        <w:t>P</w:t>
      </w:r>
      <w:r w:rsidRPr="00EE2519">
        <w:rPr>
          <w:rFonts w:asciiTheme="minorHAnsi" w:hAnsiTheme="minorHAnsi" w:cstheme="minorHAnsi"/>
          <w:bCs/>
        </w:rPr>
        <w:t xml:space="preserve">osláním </w:t>
      </w:r>
      <w:r>
        <w:rPr>
          <w:rFonts w:asciiTheme="minorHAnsi" w:hAnsiTheme="minorHAnsi" w:cstheme="minorHAnsi"/>
          <w:bCs/>
        </w:rPr>
        <w:t xml:space="preserve">GA ČR je podpora </w:t>
      </w:r>
      <w:r w:rsidRPr="00EE2519">
        <w:rPr>
          <w:rFonts w:asciiTheme="minorHAnsi" w:hAnsiTheme="minorHAnsi" w:cstheme="minorHAnsi"/>
          <w:bCs/>
        </w:rPr>
        <w:t xml:space="preserve">základního výzkumu, který může být tzv. badatelského </w:t>
      </w:r>
      <w:r w:rsidRPr="00B1114C">
        <w:rPr>
          <w:rFonts w:asciiTheme="minorHAnsi" w:hAnsiTheme="minorHAnsi" w:cstheme="minorHAnsi"/>
          <w:bCs/>
        </w:rPr>
        <w:t>(</w:t>
      </w:r>
      <w:r w:rsidRPr="0024292D">
        <w:rPr>
          <w:rFonts w:asciiTheme="minorHAnsi" w:hAnsiTheme="minorHAnsi" w:cstheme="minorHAnsi"/>
          <w:bCs/>
          <w:i/>
        </w:rPr>
        <w:t>blue-</w:t>
      </w:r>
      <w:proofErr w:type="spellStart"/>
      <w:r w:rsidRPr="0024292D">
        <w:rPr>
          <w:rFonts w:asciiTheme="minorHAnsi" w:hAnsiTheme="minorHAnsi" w:cstheme="minorHAnsi"/>
          <w:bCs/>
          <w:i/>
        </w:rPr>
        <w:t>sky</w:t>
      </w:r>
      <w:proofErr w:type="spellEnd"/>
      <w:r w:rsidRPr="00EE2519">
        <w:rPr>
          <w:rFonts w:asciiTheme="minorHAnsi" w:hAnsiTheme="minorHAnsi" w:cstheme="minorHAnsi"/>
          <w:bCs/>
        </w:rPr>
        <w:t>) charakteru,</w:t>
      </w:r>
      <w:r>
        <w:rPr>
          <w:rFonts w:asciiTheme="minorHAnsi" w:hAnsiTheme="minorHAnsi" w:cstheme="minorHAnsi"/>
          <w:bCs/>
        </w:rPr>
        <w:t xml:space="preserve"> </w:t>
      </w:r>
      <w:r w:rsidRPr="00EE2519">
        <w:rPr>
          <w:rFonts w:asciiTheme="minorHAnsi" w:hAnsiTheme="minorHAnsi" w:cstheme="minorHAnsi"/>
          <w:bCs/>
        </w:rPr>
        <w:t>spočívajícího primárně na principu stanovení tematického zaměření a cílů realizovaných</w:t>
      </w:r>
      <w:r>
        <w:rPr>
          <w:rFonts w:asciiTheme="minorHAnsi" w:hAnsiTheme="minorHAnsi" w:cstheme="minorHAnsi"/>
          <w:bCs/>
        </w:rPr>
        <w:t xml:space="preserve"> </w:t>
      </w:r>
      <w:r w:rsidRPr="00EE2519">
        <w:rPr>
          <w:rFonts w:asciiTheme="minorHAnsi" w:hAnsiTheme="minorHAnsi" w:cstheme="minorHAnsi"/>
          <w:bCs/>
        </w:rPr>
        <w:t xml:space="preserve">projektů </w:t>
      </w:r>
      <w:proofErr w:type="spellStart"/>
      <w:r w:rsidRPr="00EE2519">
        <w:rPr>
          <w:rFonts w:asciiTheme="minorHAnsi" w:hAnsiTheme="minorHAnsi" w:cstheme="minorHAnsi"/>
          <w:bCs/>
        </w:rPr>
        <w:t>VaV</w:t>
      </w:r>
      <w:r w:rsidR="00700697">
        <w:rPr>
          <w:rFonts w:asciiTheme="minorHAnsi" w:hAnsiTheme="minorHAnsi" w:cstheme="minorHAnsi"/>
          <w:bCs/>
        </w:rPr>
        <w:t>aI</w:t>
      </w:r>
      <w:proofErr w:type="spellEnd"/>
      <w:r w:rsidRPr="00EE2519">
        <w:rPr>
          <w:rFonts w:asciiTheme="minorHAnsi" w:hAnsiTheme="minorHAnsi" w:cstheme="minorHAnsi"/>
          <w:bCs/>
        </w:rPr>
        <w:t xml:space="preserve"> zdola, tedy samotnými výzkumníky, nebo orientovaného charakteru.</w:t>
      </w:r>
      <w:r>
        <w:rPr>
          <w:rFonts w:asciiTheme="minorHAnsi" w:hAnsiTheme="minorHAnsi" w:cstheme="minorHAnsi"/>
          <w:bCs/>
        </w:rPr>
        <w:t xml:space="preserve"> GA ČR </w:t>
      </w:r>
      <w:r w:rsidR="00877564">
        <w:rPr>
          <w:rFonts w:asciiTheme="minorHAnsi" w:hAnsiTheme="minorHAnsi" w:cstheme="minorHAnsi"/>
          <w:bCs/>
        </w:rPr>
        <w:t xml:space="preserve">směřovala </w:t>
      </w:r>
      <w:r>
        <w:rPr>
          <w:rFonts w:asciiTheme="minorHAnsi" w:hAnsiTheme="minorHAnsi" w:cstheme="minorHAnsi"/>
          <w:bCs/>
        </w:rPr>
        <w:t>podpor</w:t>
      </w:r>
      <w:r w:rsidR="00877564">
        <w:rPr>
          <w:rFonts w:asciiTheme="minorHAnsi" w:hAnsiTheme="minorHAnsi" w:cstheme="minorHAnsi"/>
          <w:bCs/>
        </w:rPr>
        <w:t>u</w:t>
      </w:r>
      <w:r>
        <w:rPr>
          <w:rFonts w:asciiTheme="minorHAnsi" w:hAnsiTheme="minorHAnsi" w:cstheme="minorHAnsi"/>
          <w:bCs/>
        </w:rPr>
        <w:t xml:space="preserve"> pouze </w:t>
      </w:r>
      <w:r w:rsidR="00877564">
        <w:rPr>
          <w:rFonts w:asciiTheme="minorHAnsi" w:hAnsiTheme="minorHAnsi" w:cstheme="minorHAnsi"/>
          <w:bCs/>
        </w:rPr>
        <w:t xml:space="preserve">do </w:t>
      </w:r>
      <w:r>
        <w:rPr>
          <w:rFonts w:asciiTheme="minorHAnsi" w:hAnsiTheme="minorHAnsi" w:cstheme="minorHAnsi"/>
          <w:bCs/>
        </w:rPr>
        <w:t>výzkum</w:t>
      </w:r>
      <w:r w:rsidR="00877564">
        <w:rPr>
          <w:rFonts w:asciiTheme="minorHAnsi" w:hAnsiTheme="minorHAnsi" w:cstheme="minorHAnsi"/>
          <w:bCs/>
        </w:rPr>
        <w:t>u</w:t>
      </w:r>
      <w:r>
        <w:rPr>
          <w:rFonts w:asciiTheme="minorHAnsi" w:hAnsiTheme="minorHAnsi" w:cstheme="minorHAnsi"/>
          <w:bCs/>
        </w:rPr>
        <w:t xml:space="preserve"> badatelského charakte</w:t>
      </w:r>
      <w:r w:rsidR="001C7EA1">
        <w:rPr>
          <w:rFonts w:asciiTheme="minorHAnsi" w:hAnsiTheme="minorHAnsi" w:cstheme="minorHAnsi"/>
          <w:bCs/>
        </w:rPr>
        <w:t>ru a </w:t>
      </w:r>
      <w:r>
        <w:rPr>
          <w:rFonts w:asciiTheme="minorHAnsi" w:hAnsiTheme="minorHAnsi" w:cstheme="minorHAnsi"/>
          <w:bCs/>
        </w:rPr>
        <w:t>orientovaný výzkum nepodporovala.</w:t>
      </w:r>
    </w:p>
    <w:p w:rsidR="00FE6AA2" w:rsidRDefault="00FE6AA2" w:rsidP="00EE2519">
      <w:pPr>
        <w:jc w:val="both"/>
        <w:rPr>
          <w:rFonts w:asciiTheme="minorHAnsi" w:hAnsiTheme="minorHAnsi" w:cstheme="minorHAnsi"/>
          <w:bCs/>
        </w:rPr>
      </w:pPr>
    </w:p>
    <w:p w:rsidR="00C2535C" w:rsidRPr="00B1114C" w:rsidRDefault="00FE6AA2" w:rsidP="00EE2519">
      <w:pPr>
        <w:jc w:val="both"/>
        <w:rPr>
          <w:rFonts w:asciiTheme="minorHAnsi" w:hAnsiTheme="minorHAnsi" w:cstheme="minorHAnsi"/>
          <w:bCs/>
        </w:rPr>
      </w:pPr>
      <w:r w:rsidRPr="00FE6AA2">
        <w:rPr>
          <w:rFonts w:asciiTheme="minorHAnsi" w:hAnsiTheme="minorHAnsi" w:cstheme="minorHAnsi"/>
          <w:bCs/>
        </w:rPr>
        <w:t xml:space="preserve">GA ČR nepodporovala ani nepodporuje žádné projekty přihlášené k některé oblasti nebo podoblasti Národních </w:t>
      </w:r>
      <w:r w:rsidRPr="00D86CDE">
        <w:rPr>
          <w:rFonts w:asciiTheme="minorHAnsi" w:hAnsiTheme="minorHAnsi" w:cstheme="minorHAnsi"/>
          <w:bCs/>
        </w:rPr>
        <w:t>priorit. GA ČR nepodporovala orientovaný základní výzkum, podporu směřovala a směřuje do neo</w:t>
      </w:r>
      <w:r w:rsidR="00BF3E06">
        <w:rPr>
          <w:rFonts w:asciiTheme="minorHAnsi" w:hAnsiTheme="minorHAnsi" w:cstheme="minorHAnsi"/>
          <w:bCs/>
        </w:rPr>
        <w:t xml:space="preserve">rientovaného základního výzkumu. Z národních koncepčních dokumentů přitom vyplývá, že </w:t>
      </w:r>
      <w:r w:rsidRPr="00D86CDE">
        <w:rPr>
          <w:rFonts w:asciiTheme="minorHAnsi" w:hAnsiTheme="minorHAnsi" w:cstheme="minorHAnsi"/>
          <w:bCs/>
        </w:rPr>
        <w:t xml:space="preserve">u </w:t>
      </w:r>
      <w:r w:rsidR="00BF3E06">
        <w:rPr>
          <w:rFonts w:asciiTheme="minorHAnsi" w:hAnsiTheme="minorHAnsi" w:cstheme="minorHAnsi"/>
          <w:bCs/>
        </w:rPr>
        <w:t>neorientovaného základního výzkumu</w:t>
      </w:r>
      <w:r w:rsidRPr="00D86CDE">
        <w:rPr>
          <w:rFonts w:asciiTheme="minorHAnsi" w:hAnsiTheme="minorHAnsi" w:cstheme="minorHAnsi"/>
          <w:bCs/>
        </w:rPr>
        <w:t xml:space="preserve"> je nižší</w:t>
      </w:r>
      <w:r w:rsidRPr="00E035A6">
        <w:rPr>
          <w:rFonts w:asciiTheme="minorHAnsi" w:hAnsiTheme="minorHAnsi" w:cstheme="minorHAnsi"/>
          <w:bCs/>
        </w:rPr>
        <w:t xml:space="preserve"> předpoklad návaznosti a využití </w:t>
      </w:r>
      <w:r w:rsidR="00B1114C">
        <w:rPr>
          <w:rFonts w:asciiTheme="minorHAnsi" w:hAnsiTheme="minorHAnsi" w:cstheme="minorHAnsi"/>
          <w:bCs/>
        </w:rPr>
        <w:t xml:space="preserve">výsledků </w:t>
      </w:r>
      <w:r w:rsidRPr="00E035A6">
        <w:rPr>
          <w:rFonts w:asciiTheme="minorHAnsi" w:hAnsiTheme="minorHAnsi" w:cstheme="minorHAnsi"/>
          <w:bCs/>
        </w:rPr>
        <w:t>v následném aplikovaném vý</w:t>
      </w:r>
      <w:r w:rsidR="00B1114C">
        <w:rPr>
          <w:rFonts w:asciiTheme="minorHAnsi" w:hAnsiTheme="minorHAnsi" w:cstheme="minorHAnsi"/>
          <w:bCs/>
        </w:rPr>
        <w:t>zkumu, experimentálním vývoji a </w:t>
      </w:r>
      <w:r w:rsidRPr="00E035A6">
        <w:rPr>
          <w:rFonts w:asciiTheme="minorHAnsi" w:hAnsiTheme="minorHAnsi" w:cstheme="minorHAnsi"/>
          <w:bCs/>
        </w:rPr>
        <w:t>inovacích, které by měly pro Českou republiku přinášet praktické přínosy a přispět k růstu její konkurenceschopnosti a k naplňování důležitých potřeb rozvoje společnosti. GA ČR upřednostňovala rovnoměrné rozložení podpory grantových projektů do všech pěti vědních oborů, které postihují všechny oblasti základního výzkumu.</w:t>
      </w:r>
    </w:p>
    <w:p w:rsidR="00D008C9" w:rsidRPr="00B1114C" w:rsidRDefault="00D008C9" w:rsidP="00EE2519">
      <w:pPr>
        <w:jc w:val="both"/>
        <w:rPr>
          <w:rFonts w:asciiTheme="minorHAnsi" w:hAnsiTheme="minorHAnsi" w:cstheme="minorHAnsi"/>
          <w:bCs/>
        </w:rPr>
      </w:pPr>
    </w:p>
    <w:p w:rsidR="00D008C9" w:rsidRPr="00D008C9" w:rsidRDefault="009D7558" w:rsidP="00027CA1">
      <w:pPr>
        <w:keepLines/>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Pr>
          <w:rFonts w:ascii="Calibri" w:hAnsi="Calibri"/>
        </w:rPr>
        <w:lastRenderedPageBreak/>
        <w:t xml:space="preserve">Z národních koncepčních dokumentů i z interních materiálů GA ČR vyplývá potřeba </w:t>
      </w:r>
      <w:r w:rsidRPr="00127FFA">
        <w:rPr>
          <w:rFonts w:ascii="Calibri" w:eastAsia="Calibri" w:hAnsi="Calibri" w:cs="Calibri"/>
          <w:szCs w:val="22"/>
        </w:rPr>
        <w:t>strategické</w:t>
      </w:r>
      <w:r>
        <w:rPr>
          <w:rFonts w:ascii="Calibri" w:eastAsia="Calibri" w:hAnsi="Calibri" w:cs="Calibri"/>
          <w:szCs w:val="22"/>
        </w:rPr>
        <w:t>ho</w:t>
      </w:r>
      <w:r w:rsidRPr="00127FFA">
        <w:rPr>
          <w:rFonts w:ascii="Calibri" w:eastAsia="Calibri" w:hAnsi="Calibri" w:cs="Calibri"/>
          <w:szCs w:val="22"/>
        </w:rPr>
        <w:t xml:space="preserve"> orientování části</w:t>
      </w:r>
      <w:r>
        <w:rPr>
          <w:rFonts w:ascii="Calibri" w:eastAsia="Calibri" w:hAnsi="Calibri" w:cs="Calibri"/>
          <w:szCs w:val="22"/>
        </w:rPr>
        <w:t xml:space="preserve"> základního</w:t>
      </w:r>
      <w:r w:rsidRPr="00127FFA">
        <w:rPr>
          <w:rFonts w:ascii="Calibri" w:eastAsia="Calibri" w:hAnsi="Calibri" w:cs="Calibri"/>
          <w:szCs w:val="22"/>
        </w:rPr>
        <w:t xml:space="preserve"> výzkumu</w:t>
      </w:r>
      <w:r w:rsidRPr="009D7558">
        <w:rPr>
          <w:rFonts w:ascii="Calibri" w:eastAsia="Calibri" w:hAnsi="Calibri" w:cs="Calibri"/>
          <w:szCs w:val="22"/>
        </w:rPr>
        <w:t xml:space="preserve"> </w:t>
      </w:r>
      <w:r w:rsidRPr="00127FFA">
        <w:rPr>
          <w:rFonts w:ascii="Calibri" w:eastAsia="Calibri" w:hAnsi="Calibri" w:cs="Calibri"/>
          <w:szCs w:val="22"/>
        </w:rPr>
        <w:t xml:space="preserve">do oblastí, které napomohou řešit zásadní současné a předvídatelné budoucí problémy a výzvy </w:t>
      </w:r>
      <w:r w:rsidR="00214B0C">
        <w:rPr>
          <w:rFonts w:ascii="Calibri" w:eastAsia="Calibri" w:hAnsi="Calibri" w:cs="Calibri"/>
          <w:szCs w:val="22"/>
        </w:rPr>
        <w:t>České republiky</w:t>
      </w:r>
      <w:r w:rsidR="00214B0C" w:rsidRPr="00127FFA">
        <w:rPr>
          <w:rFonts w:ascii="Calibri" w:eastAsia="Calibri" w:hAnsi="Calibri" w:cs="Calibri"/>
          <w:szCs w:val="22"/>
        </w:rPr>
        <w:t xml:space="preserve"> a umožní využít potenciální příležitosti pro </w:t>
      </w:r>
      <w:r w:rsidR="00214B0C">
        <w:rPr>
          <w:rFonts w:ascii="Calibri" w:eastAsia="Calibri" w:hAnsi="Calibri" w:cs="Calibri"/>
          <w:szCs w:val="22"/>
        </w:rPr>
        <w:t>její vyvážený rozvoj</w:t>
      </w:r>
      <w:r w:rsidRPr="00127FFA">
        <w:rPr>
          <w:rFonts w:ascii="Calibri" w:eastAsia="Calibri" w:hAnsi="Calibri" w:cs="Calibri"/>
          <w:szCs w:val="22"/>
        </w:rPr>
        <w:t>.</w:t>
      </w:r>
      <w:r>
        <w:rPr>
          <w:rFonts w:ascii="Calibri" w:eastAsia="Calibri" w:hAnsi="Calibri" w:cs="Calibri"/>
          <w:szCs w:val="22"/>
        </w:rPr>
        <w:t xml:space="preserve"> Tyto oblasti jsou definovány v národním koncepčním </w:t>
      </w:r>
      <w:r w:rsidR="00C60D98">
        <w:rPr>
          <w:rFonts w:ascii="Calibri" w:eastAsia="Calibri" w:hAnsi="Calibri" w:cs="Calibri"/>
          <w:szCs w:val="22"/>
        </w:rPr>
        <w:t>dokumentu</w:t>
      </w:r>
      <w:r>
        <w:rPr>
          <w:rFonts w:ascii="Calibri" w:eastAsia="Calibri" w:hAnsi="Calibri" w:cs="Calibri"/>
          <w:szCs w:val="22"/>
        </w:rPr>
        <w:t xml:space="preserve"> Národní priority. </w:t>
      </w:r>
      <w:r w:rsidRPr="009D7558">
        <w:rPr>
          <w:rFonts w:ascii="Calibri" w:eastAsia="Calibri" w:hAnsi="Calibri" w:cs="Calibri"/>
          <w:szCs w:val="22"/>
        </w:rPr>
        <w:t xml:space="preserve">GA ČR </w:t>
      </w:r>
      <w:r>
        <w:rPr>
          <w:rFonts w:ascii="Calibri" w:eastAsia="Calibri" w:hAnsi="Calibri" w:cs="Calibri"/>
          <w:szCs w:val="22"/>
        </w:rPr>
        <w:t xml:space="preserve">však </w:t>
      </w:r>
      <w:r w:rsidR="00E33673" w:rsidRPr="009D7558">
        <w:rPr>
          <w:rFonts w:ascii="Calibri" w:eastAsia="Calibri" w:hAnsi="Calibri" w:cs="Calibri"/>
          <w:szCs w:val="22"/>
        </w:rPr>
        <w:t>upřednostňovala rovnoměrné rozložení</w:t>
      </w:r>
      <w:r w:rsidR="001C7EA1">
        <w:rPr>
          <w:rFonts w:ascii="Calibri" w:eastAsia="Calibri" w:hAnsi="Calibri" w:cs="Calibri"/>
          <w:szCs w:val="22"/>
        </w:rPr>
        <w:t xml:space="preserve"> podpory grantových projektů do </w:t>
      </w:r>
      <w:r w:rsidR="00E33673" w:rsidRPr="009D7558">
        <w:rPr>
          <w:rFonts w:ascii="Calibri" w:eastAsia="Calibri" w:hAnsi="Calibri" w:cs="Calibri"/>
          <w:szCs w:val="22"/>
        </w:rPr>
        <w:t xml:space="preserve">všech pěti vědních oborů, které postihují všechny </w:t>
      </w:r>
      <w:r w:rsidR="001C7EA1">
        <w:rPr>
          <w:rFonts w:ascii="Calibri" w:eastAsia="Calibri" w:hAnsi="Calibri" w:cs="Calibri"/>
          <w:szCs w:val="22"/>
        </w:rPr>
        <w:t>oblasti základního výzkumu a </w:t>
      </w:r>
      <w:r w:rsidRPr="009D7558">
        <w:rPr>
          <w:rFonts w:ascii="Calibri" w:eastAsia="Calibri" w:hAnsi="Calibri" w:cs="Calibri"/>
          <w:szCs w:val="22"/>
        </w:rPr>
        <w:t>orientovaný základní výzkum nepodporovala</w:t>
      </w:r>
      <w:r w:rsidR="00E33673">
        <w:rPr>
          <w:rFonts w:ascii="Calibri" w:eastAsia="Calibri" w:hAnsi="Calibri" w:cs="Calibri"/>
          <w:szCs w:val="22"/>
        </w:rPr>
        <w:t>.</w:t>
      </w:r>
    </w:p>
    <w:p w:rsidR="00EE2519" w:rsidRPr="008F5E6A" w:rsidRDefault="00EE2519" w:rsidP="008F5E6A">
      <w:pPr>
        <w:jc w:val="both"/>
        <w:rPr>
          <w:rFonts w:ascii="Calibri" w:hAnsi="Calibri" w:cs="Calibri"/>
        </w:rPr>
      </w:pPr>
    </w:p>
    <w:p w:rsidR="00615363" w:rsidRPr="008F5E6A" w:rsidRDefault="00615363" w:rsidP="008F5E6A">
      <w:pPr>
        <w:tabs>
          <w:tab w:val="right" w:pos="284"/>
        </w:tabs>
        <w:ind w:left="284" w:hanging="284"/>
        <w:jc w:val="both"/>
        <w:rPr>
          <w:rFonts w:ascii="Calibri" w:hAnsi="Calibri" w:cs="Calibri"/>
          <w:b/>
        </w:rPr>
      </w:pPr>
      <w:r w:rsidRPr="008F5E6A">
        <w:rPr>
          <w:rFonts w:ascii="Calibri" w:hAnsi="Calibri" w:cs="Calibri"/>
          <w:b/>
        </w:rPr>
        <w:t xml:space="preserve">3. </w:t>
      </w:r>
      <w:r w:rsidR="008F5E6A">
        <w:rPr>
          <w:rFonts w:ascii="Calibri" w:hAnsi="Calibri" w:cs="Calibri"/>
          <w:b/>
        </w:rPr>
        <w:tab/>
      </w:r>
      <w:r w:rsidR="005E4C97" w:rsidRPr="008F5E6A">
        <w:rPr>
          <w:rFonts w:ascii="Calibri" w:hAnsi="Calibri" w:cs="Calibri"/>
          <w:b/>
        </w:rPr>
        <w:t>Kontrolou byly zjištěny skutečnosti, které negativně ovlivnily transparentnost výběru projektů</w:t>
      </w:r>
    </w:p>
    <w:p w:rsidR="00615363" w:rsidRPr="008F5E6A" w:rsidRDefault="00615363" w:rsidP="008F5E6A">
      <w:pPr>
        <w:jc w:val="both"/>
        <w:rPr>
          <w:rFonts w:ascii="Calibri" w:hAnsi="Calibri" w:cs="Calibri"/>
        </w:rPr>
      </w:pPr>
    </w:p>
    <w:p w:rsidR="00615363" w:rsidRPr="00680CC9" w:rsidRDefault="00A126E2" w:rsidP="00615363">
      <w:pPr>
        <w:shd w:val="clear" w:color="auto" w:fill="D9D9D9" w:themeFill="background1" w:themeFillShade="D9"/>
        <w:jc w:val="both"/>
        <w:rPr>
          <w:rFonts w:ascii="Calibri" w:hAnsi="Calibri"/>
        </w:rPr>
      </w:pPr>
      <w:r w:rsidRPr="000424FF">
        <w:rPr>
          <w:rFonts w:ascii="Calibri" w:hAnsi="Calibri"/>
        </w:rPr>
        <w:t xml:space="preserve">Stanovení, </w:t>
      </w:r>
      <w:r w:rsidR="00615363" w:rsidRPr="000424FF">
        <w:rPr>
          <w:rFonts w:ascii="Calibri" w:hAnsi="Calibri"/>
        </w:rPr>
        <w:t xml:space="preserve">zveřejnění </w:t>
      </w:r>
      <w:r w:rsidRPr="000424FF">
        <w:rPr>
          <w:rFonts w:ascii="Calibri" w:hAnsi="Calibri"/>
        </w:rPr>
        <w:t xml:space="preserve">a dodržení </w:t>
      </w:r>
      <w:r w:rsidR="00615363" w:rsidRPr="000424FF">
        <w:rPr>
          <w:rFonts w:ascii="Calibri" w:hAnsi="Calibri"/>
        </w:rPr>
        <w:t xml:space="preserve">pravidel pro hodnocení návrhů projektů v rámci vypsaných veřejných soutěží je základním předpokladem pro </w:t>
      </w:r>
      <w:r w:rsidRPr="000424FF">
        <w:rPr>
          <w:rFonts w:ascii="Calibri" w:hAnsi="Calibri"/>
        </w:rPr>
        <w:t>transparentní proces hodnocení a výběr podpořených projektů</w:t>
      </w:r>
      <w:r w:rsidR="00615363" w:rsidRPr="000424FF">
        <w:rPr>
          <w:rFonts w:ascii="Calibri" w:hAnsi="Calibri"/>
        </w:rPr>
        <w:t xml:space="preserve">. </w:t>
      </w:r>
      <w:r w:rsidRPr="000424FF">
        <w:rPr>
          <w:rFonts w:ascii="Calibri" w:hAnsi="Calibri"/>
        </w:rPr>
        <w:t>Pravidla musí být známa všem potenciálním zájemcům o úča</w:t>
      </w:r>
      <w:r w:rsidR="001C7EA1" w:rsidRPr="000424FF">
        <w:rPr>
          <w:rFonts w:ascii="Calibri" w:hAnsi="Calibri"/>
        </w:rPr>
        <w:t>st ve </w:t>
      </w:r>
      <w:r w:rsidRPr="000424FF">
        <w:rPr>
          <w:rFonts w:ascii="Calibri" w:hAnsi="Calibri"/>
        </w:rPr>
        <w:t xml:space="preserve">veřejné soutěži, zajišťovat jim rovné podmínky, musí být </w:t>
      </w:r>
      <w:r w:rsidR="001C7EA1" w:rsidRPr="000424FF">
        <w:rPr>
          <w:rFonts w:ascii="Calibri" w:hAnsi="Calibri"/>
        </w:rPr>
        <w:t xml:space="preserve">stanovena jasně a srozumitelně </w:t>
      </w:r>
      <w:r w:rsidRPr="000424FF">
        <w:rPr>
          <w:rFonts w:ascii="Calibri" w:hAnsi="Calibri"/>
        </w:rPr>
        <w:t>nesmí být měněna v průběhu již vypsané veřejné soutěže</w:t>
      </w:r>
      <w:r w:rsidRPr="00680CC9">
        <w:rPr>
          <w:rFonts w:ascii="Calibri" w:hAnsi="Calibri"/>
        </w:rPr>
        <w:t>.</w:t>
      </w:r>
    </w:p>
    <w:p w:rsidR="00B1114C" w:rsidRDefault="00B1114C" w:rsidP="00615363">
      <w:pPr>
        <w:shd w:val="clear" w:color="auto" w:fill="D9D9D9" w:themeFill="background1" w:themeFillShade="D9"/>
        <w:jc w:val="both"/>
        <w:rPr>
          <w:rFonts w:ascii="Calibri" w:hAnsi="Calibri"/>
        </w:rPr>
      </w:pPr>
    </w:p>
    <w:p w:rsidR="00615363" w:rsidRPr="00A126E2" w:rsidRDefault="00615363" w:rsidP="00615363">
      <w:pPr>
        <w:shd w:val="clear" w:color="auto" w:fill="D9D9D9" w:themeFill="background1" w:themeFillShade="D9"/>
        <w:jc w:val="both"/>
        <w:rPr>
          <w:rFonts w:asciiTheme="minorHAnsi" w:hAnsiTheme="minorHAnsi" w:cs="Arial"/>
        </w:rPr>
      </w:pPr>
      <w:r w:rsidRPr="00744AB5">
        <w:rPr>
          <w:rFonts w:ascii="Calibri" w:hAnsi="Calibri"/>
        </w:rPr>
        <w:t xml:space="preserve">Kontrolou bylo </w:t>
      </w:r>
      <w:r w:rsidR="00B1645E">
        <w:rPr>
          <w:rFonts w:ascii="Calibri" w:hAnsi="Calibri"/>
        </w:rPr>
        <w:t>pr</w:t>
      </w:r>
      <w:r w:rsidRPr="00744AB5">
        <w:rPr>
          <w:rFonts w:ascii="Calibri" w:hAnsi="Calibri"/>
        </w:rPr>
        <w:t xml:space="preserve">ověřeno, </w:t>
      </w:r>
      <w:r w:rsidR="00C05C8D" w:rsidRPr="00C05C8D">
        <w:rPr>
          <w:rFonts w:ascii="Calibri" w:hAnsi="Calibri"/>
        </w:rPr>
        <w:t>zda GA ČR nastavila a dodržova</w:t>
      </w:r>
      <w:r w:rsidR="001C7EA1">
        <w:rPr>
          <w:rFonts w:ascii="Calibri" w:hAnsi="Calibri"/>
        </w:rPr>
        <w:t>la interní postupy, hodnoticí i </w:t>
      </w:r>
      <w:r w:rsidR="00C05C8D" w:rsidRPr="00C05C8D">
        <w:rPr>
          <w:rFonts w:ascii="Calibri" w:hAnsi="Calibri"/>
        </w:rPr>
        <w:t>rozhodovací procesy o podporách projektů tak, aby byly minimalizovány možnosti ovlivňování</w:t>
      </w:r>
      <w:r w:rsidR="006C1074">
        <w:rPr>
          <w:rFonts w:ascii="Calibri" w:hAnsi="Calibri"/>
        </w:rPr>
        <w:t xml:space="preserve">, </w:t>
      </w:r>
      <w:r w:rsidR="00C05C8D" w:rsidRPr="00C05C8D">
        <w:rPr>
          <w:rFonts w:ascii="Calibri" w:hAnsi="Calibri"/>
        </w:rPr>
        <w:t>subjektivního a netransparentního rozhodování</w:t>
      </w:r>
      <w:r w:rsidR="006C1074">
        <w:rPr>
          <w:rFonts w:ascii="Calibri" w:hAnsi="Calibri"/>
        </w:rPr>
        <w:t xml:space="preserve"> a </w:t>
      </w:r>
      <w:r w:rsidR="00A9224B">
        <w:rPr>
          <w:rFonts w:ascii="Calibri" w:hAnsi="Calibri"/>
        </w:rPr>
        <w:t xml:space="preserve">byly </w:t>
      </w:r>
      <w:r w:rsidR="006C1074">
        <w:rPr>
          <w:rFonts w:ascii="Calibri" w:hAnsi="Calibri"/>
        </w:rPr>
        <w:t xml:space="preserve">vytvořeny rovné podmínky </w:t>
      </w:r>
      <w:r w:rsidR="00A9224B">
        <w:rPr>
          <w:rFonts w:ascii="Calibri" w:hAnsi="Calibri"/>
        </w:rPr>
        <w:t>pro všechny uchazeče</w:t>
      </w:r>
      <w:r w:rsidR="006C1074">
        <w:rPr>
          <w:rFonts w:ascii="Calibri" w:hAnsi="Calibri"/>
        </w:rPr>
        <w:t xml:space="preserve"> o podporu. </w:t>
      </w:r>
    </w:p>
    <w:p w:rsidR="009C2644" w:rsidRPr="008F5E6A" w:rsidRDefault="009C2644">
      <w:pPr>
        <w:rPr>
          <w:rFonts w:ascii="Calibri" w:hAnsi="Calibri" w:cs="Calibri"/>
        </w:rPr>
      </w:pPr>
    </w:p>
    <w:p w:rsidR="00A126E2" w:rsidRPr="00D86CDE" w:rsidRDefault="00E04A00" w:rsidP="00A126E2">
      <w:pPr>
        <w:spacing w:after="120"/>
        <w:jc w:val="both"/>
        <w:rPr>
          <w:rFonts w:ascii="Calibri" w:hAnsi="Calibri" w:cs="Calibri"/>
          <w:lang w:eastAsia="en-US"/>
        </w:rPr>
      </w:pPr>
      <w:r w:rsidRPr="0041547B">
        <w:rPr>
          <w:rFonts w:ascii="Calibri" w:hAnsi="Calibri" w:cs="Calibri"/>
          <w:lang w:eastAsia="en-US"/>
        </w:rPr>
        <w:t>U již vypsané veřejné soutěže na podporu standardních grantových projektů na rok 2012</w:t>
      </w:r>
      <w:r w:rsidR="00A126E2" w:rsidRPr="00A126E2">
        <w:rPr>
          <w:rFonts w:ascii="Calibri" w:hAnsi="Calibri" w:cs="Calibri"/>
          <w:lang w:eastAsia="en-US"/>
        </w:rPr>
        <w:t xml:space="preserve"> GA</w:t>
      </w:r>
      <w:r w:rsidRPr="0041547B">
        <w:rPr>
          <w:rFonts w:ascii="Calibri" w:hAnsi="Calibri" w:cs="Calibri"/>
          <w:lang w:eastAsia="en-US"/>
        </w:rPr>
        <w:t> </w:t>
      </w:r>
      <w:r w:rsidR="00A126E2" w:rsidRPr="00A126E2">
        <w:rPr>
          <w:rFonts w:ascii="Calibri" w:hAnsi="Calibri" w:cs="Calibri"/>
          <w:lang w:eastAsia="en-US"/>
        </w:rPr>
        <w:t xml:space="preserve">ČR </w:t>
      </w:r>
      <w:r w:rsidRPr="0041547B">
        <w:rPr>
          <w:rFonts w:ascii="Calibri" w:hAnsi="Calibri" w:cs="Calibri"/>
          <w:lang w:eastAsia="en-US"/>
        </w:rPr>
        <w:t xml:space="preserve">o šest dnů </w:t>
      </w:r>
      <w:r w:rsidR="00A126E2" w:rsidRPr="00A126E2">
        <w:rPr>
          <w:rFonts w:ascii="Calibri" w:hAnsi="Calibri" w:cs="Calibri"/>
          <w:lang w:eastAsia="en-US"/>
        </w:rPr>
        <w:t>prodloužila soutěžní lhůtu</w:t>
      </w:r>
      <w:r w:rsidRPr="0041547B">
        <w:rPr>
          <w:rFonts w:ascii="Calibri" w:hAnsi="Calibri" w:cs="Calibri"/>
          <w:lang w:eastAsia="en-US"/>
        </w:rPr>
        <w:t>. Tuto změnu podmínek GA ČR nezveřejnila</w:t>
      </w:r>
      <w:r w:rsidR="00A126E2" w:rsidRPr="00A126E2">
        <w:rPr>
          <w:rFonts w:ascii="Calibri" w:hAnsi="Calibri" w:cs="Calibri"/>
          <w:lang w:eastAsia="en-US"/>
        </w:rPr>
        <w:t xml:space="preserve"> v Obchodním věstníku</w:t>
      </w:r>
      <w:r w:rsidRPr="0041547B">
        <w:rPr>
          <w:rFonts w:ascii="Calibri" w:hAnsi="Calibri" w:cs="Calibri"/>
          <w:lang w:eastAsia="en-US"/>
        </w:rPr>
        <w:t xml:space="preserve"> a </w:t>
      </w:r>
      <w:r w:rsidR="0009295F" w:rsidRPr="0041547B">
        <w:rPr>
          <w:rFonts w:ascii="Calibri" w:hAnsi="Calibri" w:cs="Calibri"/>
          <w:lang w:eastAsia="en-US"/>
        </w:rPr>
        <w:t>o prodloužení soutěžní lhůty informovala</w:t>
      </w:r>
      <w:r w:rsidRPr="00A126E2">
        <w:rPr>
          <w:rFonts w:ascii="Calibri" w:hAnsi="Calibri" w:cs="Calibri"/>
          <w:lang w:eastAsia="en-US"/>
        </w:rPr>
        <w:t xml:space="preserve"> pouze na svých webových stránkách, a to den před jejím ukončením.</w:t>
      </w:r>
      <w:r w:rsidR="0009295F" w:rsidRPr="0041547B">
        <w:rPr>
          <w:rFonts w:ascii="Calibri" w:hAnsi="Calibri" w:cs="Calibri"/>
          <w:lang w:eastAsia="en-US"/>
        </w:rPr>
        <w:t xml:space="preserve"> </w:t>
      </w:r>
      <w:r w:rsidR="0009295F" w:rsidRPr="00A126E2">
        <w:rPr>
          <w:rFonts w:ascii="Calibri" w:hAnsi="Calibri" w:cs="Calibri"/>
          <w:lang w:eastAsia="en-US"/>
        </w:rPr>
        <w:t xml:space="preserve">V té době již přibližně polovina uchazečů svoje </w:t>
      </w:r>
      <w:r w:rsidR="0009295F" w:rsidRPr="00D86CDE">
        <w:rPr>
          <w:rFonts w:ascii="Calibri" w:hAnsi="Calibri" w:cs="Calibri"/>
          <w:lang w:eastAsia="en-US"/>
        </w:rPr>
        <w:t xml:space="preserve">soutěžní návrhy projektů podala. Prodloužením soutěžní lhůty tak GA ČR změnila vyhlášené podmínky veřejné soutěže, čímž porušila </w:t>
      </w:r>
      <w:r w:rsidR="00BD6EE8">
        <w:rPr>
          <w:rFonts w:ascii="Calibri" w:hAnsi="Calibri" w:cs="Calibri"/>
          <w:lang w:eastAsia="en-US"/>
        </w:rPr>
        <w:t xml:space="preserve">ustanovení </w:t>
      </w:r>
      <w:r w:rsidR="000841FE" w:rsidRPr="00C8080E">
        <w:rPr>
          <w:rFonts w:asciiTheme="minorHAnsi" w:hAnsiTheme="minorHAnsi" w:cstheme="minorHAnsi"/>
        </w:rPr>
        <w:t>§ 17 odst. 2</w:t>
      </w:r>
      <w:r w:rsidR="000841FE">
        <w:rPr>
          <w:rFonts w:asciiTheme="minorHAnsi" w:hAnsiTheme="minorHAnsi" w:cstheme="minorHAnsi"/>
        </w:rPr>
        <w:t xml:space="preserve"> </w:t>
      </w:r>
      <w:r w:rsidR="005423BF" w:rsidRPr="00D86CDE">
        <w:rPr>
          <w:rFonts w:ascii="Calibri" w:hAnsi="Calibri" w:cs="Calibri"/>
          <w:lang w:eastAsia="en-US"/>
        </w:rPr>
        <w:t>zákon</w:t>
      </w:r>
      <w:r w:rsidR="000841FE">
        <w:rPr>
          <w:rFonts w:ascii="Calibri" w:hAnsi="Calibri" w:cs="Calibri"/>
          <w:lang w:eastAsia="en-US"/>
        </w:rPr>
        <w:t>a</w:t>
      </w:r>
      <w:r w:rsidR="0009295F" w:rsidRPr="00D86CDE">
        <w:rPr>
          <w:rFonts w:ascii="Calibri" w:hAnsi="Calibri" w:cs="Calibri"/>
          <w:lang w:eastAsia="en-US"/>
        </w:rPr>
        <w:t xml:space="preserve">. Změnou podmínek GA ČR </w:t>
      </w:r>
      <w:r w:rsidR="00DC6D59">
        <w:rPr>
          <w:rFonts w:ascii="Calibri" w:hAnsi="Calibri" w:cs="Calibri"/>
          <w:lang w:eastAsia="en-US"/>
        </w:rPr>
        <w:t xml:space="preserve">vytvořila </w:t>
      </w:r>
      <w:r w:rsidR="00DC6D59" w:rsidRPr="00D86CDE">
        <w:rPr>
          <w:rFonts w:ascii="Calibri" w:hAnsi="Calibri" w:cs="Calibri"/>
          <w:lang w:eastAsia="en-US"/>
        </w:rPr>
        <w:t>uchazečům nerovné podmínky</w:t>
      </w:r>
      <w:r w:rsidR="00DC6D59">
        <w:rPr>
          <w:rFonts w:ascii="Calibri" w:hAnsi="Calibri" w:cs="Calibri"/>
          <w:lang w:eastAsia="en-US"/>
        </w:rPr>
        <w:t xml:space="preserve">, čímž </w:t>
      </w:r>
      <w:r w:rsidR="0009295F" w:rsidRPr="00D86CDE">
        <w:rPr>
          <w:rFonts w:ascii="Calibri" w:hAnsi="Calibri" w:cs="Calibri"/>
          <w:lang w:eastAsia="en-US"/>
        </w:rPr>
        <w:t>mohla některým uchazečům poskytnout zvýhodnění.</w:t>
      </w:r>
    </w:p>
    <w:p w:rsidR="00A126E2" w:rsidRPr="00D86CDE" w:rsidRDefault="0009295F" w:rsidP="00A126E2">
      <w:pPr>
        <w:spacing w:after="120"/>
        <w:jc w:val="both"/>
        <w:rPr>
          <w:rFonts w:ascii="Calibri" w:hAnsi="Calibri" w:cs="Calibri"/>
          <w:lang w:eastAsia="en-US"/>
        </w:rPr>
      </w:pPr>
      <w:r w:rsidRPr="00D86CDE">
        <w:rPr>
          <w:rFonts w:ascii="Calibri" w:hAnsi="Calibri" w:cs="Calibri"/>
          <w:lang w:eastAsia="en-US"/>
        </w:rPr>
        <w:t xml:space="preserve">Soutěžní lhůty GA ČR stejným způsobem prodloužila rovněž u veřejných soutěží </w:t>
      </w:r>
      <w:proofErr w:type="spellStart"/>
      <w:r w:rsidRPr="00D86CDE">
        <w:rPr>
          <w:rFonts w:ascii="Calibri" w:hAnsi="Calibri" w:cs="Calibri"/>
          <w:lang w:eastAsia="en-US"/>
        </w:rPr>
        <w:t>postdoktorských</w:t>
      </w:r>
      <w:proofErr w:type="spellEnd"/>
      <w:r w:rsidRPr="00D86CDE">
        <w:rPr>
          <w:rFonts w:ascii="Calibri" w:hAnsi="Calibri" w:cs="Calibri"/>
          <w:lang w:eastAsia="en-US"/>
        </w:rPr>
        <w:t xml:space="preserve"> a bilaterálních projektů s počátečním rokem řešení 2012. </w:t>
      </w:r>
      <w:r w:rsidR="00A126E2" w:rsidRPr="00D86CDE">
        <w:rPr>
          <w:rFonts w:ascii="Calibri" w:hAnsi="Calibri" w:cs="Calibri"/>
          <w:lang w:eastAsia="en-US"/>
        </w:rPr>
        <w:t xml:space="preserve">GA ČR poskytla podporu projektům s počátečním rokem řešení 2012 v případě standardních projektů ve výši 2 836 805 tis. Kč, v případě </w:t>
      </w:r>
      <w:proofErr w:type="spellStart"/>
      <w:r w:rsidR="00A126E2" w:rsidRPr="00D86CDE">
        <w:rPr>
          <w:rFonts w:ascii="Calibri" w:hAnsi="Calibri" w:cs="Calibri"/>
          <w:lang w:eastAsia="en-US"/>
        </w:rPr>
        <w:t>postdoktorských</w:t>
      </w:r>
      <w:proofErr w:type="spellEnd"/>
      <w:r w:rsidR="00A126E2" w:rsidRPr="00D86CDE">
        <w:rPr>
          <w:rFonts w:ascii="Calibri" w:hAnsi="Calibri" w:cs="Calibri"/>
          <w:lang w:eastAsia="en-US"/>
        </w:rPr>
        <w:t xml:space="preserve"> projektů ve výši 303 351 tis. Kč a v případě bilaterálních projektů ve výši 41 103 tis. Kč. Veškerou tuto podporu GA ČR poskytla úspěšným uchazečům z veřejných soutěží</w:t>
      </w:r>
      <w:r w:rsidR="001E7A22">
        <w:rPr>
          <w:rFonts w:ascii="Calibri" w:hAnsi="Calibri" w:cs="Calibri"/>
          <w:lang w:eastAsia="en-US"/>
        </w:rPr>
        <w:t>, u</w:t>
      </w:r>
      <w:r w:rsidR="00A126E2" w:rsidRPr="00D86CDE">
        <w:rPr>
          <w:rFonts w:ascii="Calibri" w:hAnsi="Calibri" w:cs="Calibri"/>
          <w:lang w:eastAsia="en-US"/>
        </w:rPr>
        <w:t xml:space="preserve"> kterých </w:t>
      </w:r>
      <w:r w:rsidR="0052327E">
        <w:rPr>
          <w:rFonts w:ascii="Calibri" w:hAnsi="Calibri" w:cs="Calibri"/>
          <w:lang w:eastAsia="en-US"/>
        </w:rPr>
        <w:t>po</w:t>
      </w:r>
      <w:r w:rsidR="00B1645E">
        <w:rPr>
          <w:rFonts w:ascii="Calibri" w:hAnsi="Calibri" w:cs="Calibri"/>
          <w:lang w:eastAsia="en-US"/>
        </w:rPr>
        <w:t xml:space="preserve"> vyhlášení</w:t>
      </w:r>
      <w:r w:rsidR="0052327E">
        <w:rPr>
          <w:rFonts w:ascii="Calibri" w:hAnsi="Calibri" w:cs="Calibri"/>
          <w:lang w:eastAsia="en-US"/>
        </w:rPr>
        <w:t xml:space="preserve"> </w:t>
      </w:r>
      <w:r w:rsidR="001E7A22">
        <w:rPr>
          <w:rFonts w:ascii="Calibri" w:hAnsi="Calibri" w:cs="Calibri"/>
          <w:lang w:eastAsia="en-US"/>
        </w:rPr>
        <w:t>měnila podmínky, čímž porušila</w:t>
      </w:r>
      <w:r w:rsidR="001956B7">
        <w:rPr>
          <w:rFonts w:ascii="Calibri" w:hAnsi="Calibri" w:cs="Calibri"/>
          <w:lang w:eastAsia="en-US"/>
        </w:rPr>
        <w:t xml:space="preserve"> zákon</w:t>
      </w:r>
      <w:r w:rsidR="0052327E">
        <w:rPr>
          <w:rFonts w:ascii="Calibri" w:hAnsi="Calibri" w:cs="Calibri"/>
          <w:lang w:eastAsia="en-US"/>
        </w:rPr>
        <w:t xml:space="preserve"> a </w:t>
      </w:r>
      <w:r w:rsidR="001E7A22">
        <w:rPr>
          <w:rFonts w:ascii="Calibri" w:hAnsi="Calibri" w:cs="Calibri"/>
          <w:lang w:eastAsia="en-US"/>
        </w:rPr>
        <w:t>mohla uchazečům vytvořit nerovné podmínky</w:t>
      </w:r>
      <w:r w:rsidR="00A126E2" w:rsidRPr="00D86CDE">
        <w:rPr>
          <w:rFonts w:ascii="Calibri" w:hAnsi="Calibri" w:cs="Calibri"/>
          <w:lang w:eastAsia="en-US"/>
        </w:rPr>
        <w:t>.</w:t>
      </w:r>
    </w:p>
    <w:p w:rsidR="00A126E2" w:rsidRPr="00D86CDE" w:rsidRDefault="009D1980" w:rsidP="009D1980">
      <w:pPr>
        <w:jc w:val="both"/>
        <w:rPr>
          <w:rFonts w:asciiTheme="minorHAnsi" w:hAnsiTheme="minorHAnsi"/>
        </w:rPr>
      </w:pPr>
      <w:r w:rsidRPr="00D86CDE">
        <w:rPr>
          <w:rFonts w:asciiTheme="minorHAnsi" w:hAnsiTheme="minorHAnsi"/>
        </w:rPr>
        <w:t xml:space="preserve">GA ČR si </w:t>
      </w:r>
      <w:r w:rsidR="00A126E2" w:rsidRPr="00D86CDE">
        <w:rPr>
          <w:rFonts w:asciiTheme="minorHAnsi" w:hAnsiTheme="minorHAnsi"/>
        </w:rPr>
        <w:t xml:space="preserve">v zadávacích dokumentacích </w:t>
      </w:r>
      <w:r w:rsidRPr="00D86CDE">
        <w:rPr>
          <w:rFonts w:asciiTheme="minorHAnsi" w:hAnsiTheme="minorHAnsi"/>
        </w:rPr>
        <w:t xml:space="preserve">veškerých veřejných soutěží na podporu grantových projektů základního výzkumu s počátečním rokem řešení 2013 a všech následujících až do roku 2017 </w:t>
      </w:r>
      <w:r w:rsidR="00A126E2" w:rsidRPr="00D86CDE">
        <w:rPr>
          <w:rFonts w:asciiTheme="minorHAnsi" w:hAnsiTheme="minorHAnsi"/>
        </w:rPr>
        <w:t>stanovila možnost prodloužit soutěžní lhůtu j</w:t>
      </w:r>
      <w:r w:rsidR="00BD6EE8">
        <w:rPr>
          <w:rFonts w:asciiTheme="minorHAnsi" w:hAnsiTheme="minorHAnsi"/>
        </w:rPr>
        <w:t>iž vypsaných veřejných soutěží</w:t>
      </w:r>
      <w:r w:rsidR="0052327E">
        <w:rPr>
          <w:rFonts w:asciiTheme="minorHAnsi" w:hAnsiTheme="minorHAnsi"/>
        </w:rPr>
        <w:t>,</w:t>
      </w:r>
      <w:r w:rsidR="00A126E2" w:rsidRPr="00D86CDE">
        <w:rPr>
          <w:rFonts w:asciiTheme="minorHAnsi" w:hAnsiTheme="minorHAnsi"/>
        </w:rPr>
        <w:t xml:space="preserve"> a </w:t>
      </w:r>
      <w:r w:rsidR="0052327E">
        <w:rPr>
          <w:rFonts w:asciiTheme="minorHAnsi" w:hAnsiTheme="minorHAnsi"/>
        </w:rPr>
        <w:t xml:space="preserve">tím </w:t>
      </w:r>
      <w:r w:rsidR="00A126E2" w:rsidRPr="00D86CDE">
        <w:rPr>
          <w:rFonts w:asciiTheme="minorHAnsi" w:hAnsiTheme="minorHAnsi"/>
        </w:rPr>
        <w:t>změnit jeji</w:t>
      </w:r>
      <w:r w:rsidR="005423BF" w:rsidRPr="00D86CDE">
        <w:rPr>
          <w:rFonts w:asciiTheme="minorHAnsi" w:hAnsiTheme="minorHAnsi"/>
        </w:rPr>
        <w:t>ch podmínky, což je v rozporu</w:t>
      </w:r>
      <w:r w:rsidR="00A126E2" w:rsidRPr="00D86CDE">
        <w:rPr>
          <w:rFonts w:asciiTheme="minorHAnsi" w:hAnsiTheme="minorHAnsi"/>
        </w:rPr>
        <w:t xml:space="preserve"> </w:t>
      </w:r>
      <w:r w:rsidRPr="00D86CDE">
        <w:rPr>
          <w:rFonts w:asciiTheme="minorHAnsi" w:hAnsiTheme="minorHAnsi"/>
        </w:rPr>
        <w:t>se zákonem</w:t>
      </w:r>
      <w:r w:rsidR="00A126E2" w:rsidRPr="00D86CDE">
        <w:rPr>
          <w:rFonts w:asciiTheme="minorHAnsi" w:hAnsiTheme="minorHAnsi"/>
        </w:rPr>
        <w:t>.</w:t>
      </w:r>
    </w:p>
    <w:p w:rsidR="00BE1CB9" w:rsidRPr="00D86CDE" w:rsidRDefault="00BE1CB9" w:rsidP="009D1980">
      <w:pPr>
        <w:jc w:val="both"/>
        <w:rPr>
          <w:rFonts w:asciiTheme="minorHAnsi" w:hAnsiTheme="minorHAnsi"/>
        </w:rPr>
      </w:pPr>
    </w:p>
    <w:p w:rsidR="0063213E" w:rsidRDefault="00582A7D" w:rsidP="009D1980">
      <w:pPr>
        <w:jc w:val="both"/>
        <w:rPr>
          <w:rFonts w:asciiTheme="minorHAnsi" w:hAnsiTheme="minorHAnsi"/>
        </w:rPr>
      </w:pPr>
      <w:r w:rsidRPr="00D86CDE">
        <w:rPr>
          <w:rFonts w:asciiTheme="minorHAnsi" w:hAnsiTheme="minorHAnsi"/>
        </w:rPr>
        <w:t xml:space="preserve">V rámci veřejné soutěže </w:t>
      </w:r>
      <w:r w:rsidRPr="00A0770D">
        <w:rPr>
          <w:rFonts w:ascii="Calibri" w:hAnsi="Calibri"/>
        </w:rPr>
        <w:t xml:space="preserve">na </w:t>
      </w:r>
      <w:r w:rsidR="00737261">
        <w:rPr>
          <w:rFonts w:ascii="Calibri" w:hAnsi="Calibri"/>
        </w:rPr>
        <w:t>„</w:t>
      </w:r>
      <w:r w:rsidRPr="00A0770D">
        <w:rPr>
          <w:rFonts w:ascii="Calibri" w:hAnsi="Calibri"/>
        </w:rPr>
        <w:t>podporu excelence</w:t>
      </w:r>
      <w:r w:rsidR="00737261">
        <w:rPr>
          <w:rFonts w:ascii="Calibri" w:hAnsi="Calibri"/>
        </w:rPr>
        <w:t>“</w:t>
      </w:r>
      <w:r w:rsidRPr="00A0770D">
        <w:rPr>
          <w:rFonts w:ascii="Calibri" w:hAnsi="Calibri"/>
        </w:rPr>
        <w:t xml:space="preserve"> na rok 2014</w:t>
      </w:r>
      <w:r w:rsidRPr="00D86CDE">
        <w:rPr>
          <w:rFonts w:asciiTheme="minorHAnsi" w:hAnsiTheme="minorHAnsi"/>
        </w:rPr>
        <w:t xml:space="preserve"> </w:t>
      </w:r>
      <w:r w:rsidR="0052327E">
        <w:rPr>
          <w:rFonts w:ascii="Calibri" w:hAnsi="Calibri"/>
        </w:rPr>
        <w:t>p</w:t>
      </w:r>
      <w:r w:rsidRPr="0093705E">
        <w:rPr>
          <w:rFonts w:ascii="Calibri" w:hAnsi="Calibri"/>
        </w:rPr>
        <w:t>ředsednictvo GA ČR rozhodlo o</w:t>
      </w:r>
      <w:r w:rsidR="00320ED4">
        <w:rPr>
          <w:rFonts w:ascii="Calibri" w:hAnsi="Calibri"/>
        </w:rPr>
        <w:t> </w:t>
      </w:r>
      <w:r w:rsidRPr="0093705E">
        <w:rPr>
          <w:rFonts w:ascii="Calibri" w:hAnsi="Calibri"/>
        </w:rPr>
        <w:t xml:space="preserve">poskytnutí podpory jiným </w:t>
      </w:r>
      <w:r>
        <w:rPr>
          <w:rFonts w:ascii="Calibri" w:hAnsi="Calibri"/>
        </w:rPr>
        <w:t xml:space="preserve">projektům, </w:t>
      </w:r>
      <w:r w:rsidRPr="0093705E">
        <w:rPr>
          <w:rFonts w:ascii="Calibri" w:hAnsi="Calibri"/>
        </w:rPr>
        <w:t xml:space="preserve">než </w:t>
      </w:r>
      <w:r>
        <w:rPr>
          <w:rFonts w:ascii="Calibri" w:hAnsi="Calibri"/>
        </w:rPr>
        <w:t xml:space="preserve">které navrhla </w:t>
      </w:r>
      <w:r w:rsidRPr="0093705E">
        <w:rPr>
          <w:rFonts w:ascii="Calibri" w:hAnsi="Calibri"/>
        </w:rPr>
        <w:t>obor</w:t>
      </w:r>
      <w:r>
        <w:rPr>
          <w:rFonts w:ascii="Calibri" w:hAnsi="Calibri"/>
        </w:rPr>
        <w:t>ová komise.</w:t>
      </w:r>
      <w:r w:rsidR="00BE1CB9" w:rsidRPr="00D86CDE">
        <w:rPr>
          <w:rFonts w:asciiTheme="minorHAnsi" w:hAnsiTheme="minorHAnsi"/>
        </w:rPr>
        <w:t xml:space="preserve"> </w:t>
      </w:r>
      <w:r w:rsidR="003C7710" w:rsidRPr="00D86CDE">
        <w:rPr>
          <w:rFonts w:asciiTheme="minorHAnsi" w:hAnsiTheme="minorHAnsi"/>
        </w:rPr>
        <w:t>Oborová komise</w:t>
      </w:r>
      <w:r w:rsidR="00BE1CB9" w:rsidRPr="00D86CDE">
        <w:rPr>
          <w:rFonts w:asciiTheme="minorHAnsi" w:hAnsiTheme="minorHAnsi"/>
        </w:rPr>
        <w:t xml:space="preserve"> navrhla k podpoře čtyři projekty</w:t>
      </w:r>
      <w:r w:rsidR="003C7710" w:rsidRPr="00D86CDE">
        <w:rPr>
          <w:rFonts w:asciiTheme="minorHAnsi" w:hAnsiTheme="minorHAnsi"/>
        </w:rPr>
        <w:t xml:space="preserve"> </w:t>
      </w:r>
      <w:r w:rsidR="00BE1CB9" w:rsidRPr="00D86CDE">
        <w:rPr>
          <w:rFonts w:asciiTheme="minorHAnsi" w:hAnsiTheme="minorHAnsi"/>
        </w:rPr>
        <w:t xml:space="preserve">seřazené od nejlepšího po nejhorší. </w:t>
      </w:r>
      <w:r w:rsidR="00994DCC" w:rsidRPr="00D86CDE">
        <w:rPr>
          <w:rFonts w:asciiTheme="minorHAnsi" w:hAnsiTheme="minorHAnsi"/>
        </w:rPr>
        <w:t>První dva projekty byly</w:t>
      </w:r>
      <w:r w:rsidR="00994DCC">
        <w:rPr>
          <w:rFonts w:asciiTheme="minorHAnsi" w:hAnsiTheme="minorHAnsi"/>
        </w:rPr>
        <w:t xml:space="preserve"> </w:t>
      </w:r>
      <w:r w:rsidR="0052327E">
        <w:rPr>
          <w:rFonts w:asciiTheme="minorHAnsi" w:hAnsiTheme="minorHAnsi"/>
        </w:rPr>
        <w:t>p</w:t>
      </w:r>
      <w:r w:rsidR="00BE1CB9" w:rsidRPr="00BE1CB9">
        <w:rPr>
          <w:rFonts w:asciiTheme="minorHAnsi" w:hAnsiTheme="minorHAnsi"/>
        </w:rPr>
        <w:t xml:space="preserve">ředsednictvem </w:t>
      </w:r>
      <w:r w:rsidR="00994DCC">
        <w:rPr>
          <w:rFonts w:asciiTheme="minorHAnsi" w:hAnsiTheme="minorHAnsi"/>
        </w:rPr>
        <w:t xml:space="preserve">GA ČR </w:t>
      </w:r>
      <w:r w:rsidR="00BE1CB9" w:rsidRPr="00BE1CB9">
        <w:rPr>
          <w:rFonts w:asciiTheme="minorHAnsi" w:hAnsiTheme="minorHAnsi"/>
        </w:rPr>
        <w:t xml:space="preserve">přehodnoceny jako projekty k neudělení dotace, zároveň projekty </w:t>
      </w:r>
      <w:r w:rsidR="00BE1CB9" w:rsidRPr="00BE1CB9">
        <w:rPr>
          <w:rFonts w:asciiTheme="minorHAnsi" w:hAnsiTheme="minorHAnsi"/>
        </w:rPr>
        <w:lastRenderedPageBreak/>
        <w:t>na</w:t>
      </w:r>
      <w:r w:rsidR="00320ED4">
        <w:rPr>
          <w:rFonts w:asciiTheme="minorHAnsi" w:hAnsiTheme="minorHAnsi"/>
        </w:rPr>
        <w:t> </w:t>
      </w:r>
      <w:r w:rsidR="00BE1CB9" w:rsidRPr="00BE1CB9">
        <w:rPr>
          <w:rFonts w:asciiTheme="minorHAnsi" w:hAnsiTheme="minorHAnsi"/>
        </w:rPr>
        <w:t>třetím a čtvrtém místě byly vyh</w:t>
      </w:r>
      <w:r w:rsidR="00994DCC">
        <w:rPr>
          <w:rFonts w:asciiTheme="minorHAnsi" w:hAnsiTheme="minorHAnsi"/>
        </w:rPr>
        <w:t>odnoceny jako lepší</w:t>
      </w:r>
      <w:r w:rsidR="0052327E">
        <w:rPr>
          <w:rFonts w:asciiTheme="minorHAnsi" w:hAnsiTheme="minorHAnsi"/>
        </w:rPr>
        <w:t>,</w:t>
      </w:r>
      <w:r w:rsidR="00994DCC">
        <w:rPr>
          <w:rFonts w:asciiTheme="minorHAnsi" w:hAnsiTheme="minorHAnsi"/>
        </w:rPr>
        <w:t xml:space="preserve"> a tudíž se </w:t>
      </w:r>
      <w:r w:rsidR="0052327E">
        <w:rPr>
          <w:rFonts w:asciiTheme="minorHAnsi" w:hAnsiTheme="minorHAnsi"/>
        </w:rPr>
        <w:t>p</w:t>
      </w:r>
      <w:r w:rsidR="00BE1CB9" w:rsidRPr="00BE1CB9">
        <w:rPr>
          <w:rFonts w:asciiTheme="minorHAnsi" w:hAnsiTheme="minorHAnsi"/>
        </w:rPr>
        <w:t>ředsednictvo GA ČR rozhodlo podpořit tyto projekty.</w:t>
      </w:r>
      <w:r w:rsidR="002A5309">
        <w:rPr>
          <w:rFonts w:asciiTheme="minorHAnsi" w:hAnsiTheme="minorHAnsi"/>
        </w:rPr>
        <w:t xml:space="preserve"> </w:t>
      </w:r>
      <w:r w:rsidR="002A5309" w:rsidRPr="002A5309">
        <w:rPr>
          <w:rFonts w:asciiTheme="minorHAnsi" w:hAnsiTheme="minorHAnsi"/>
        </w:rPr>
        <w:t xml:space="preserve">Po vyhlášení </w:t>
      </w:r>
      <w:r w:rsidR="006D3FCE">
        <w:rPr>
          <w:rFonts w:asciiTheme="minorHAnsi" w:hAnsiTheme="minorHAnsi"/>
        </w:rPr>
        <w:t xml:space="preserve">výsledků </w:t>
      </w:r>
      <w:r w:rsidR="002C2783">
        <w:rPr>
          <w:rFonts w:asciiTheme="minorHAnsi" w:hAnsiTheme="minorHAnsi"/>
        </w:rPr>
        <w:t>bylo podáno pět</w:t>
      </w:r>
      <w:r w:rsidR="00994DCC">
        <w:rPr>
          <w:rFonts w:asciiTheme="minorHAnsi" w:hAnsiTheme="minorHAnsi"/>
        </w:rPr>
        <w:t xml:space="preserve"> stížností na rozhodnutí </w:t>
      </w:r>
      <w:r w:rsidR="0052327E">
        <w:rPr>
          <w:rFonts w:asciiTheme="minorHAnsi" w:hAnsiTheme="minorHAnsi"/>
        </w:rPr>
        <w:t>p</w:t>
      </w:r>
      <w:r w:rsidR="002A5309" w:rsidRPr="002A5309">
        <w:rPr>
          <w:rFonts w:asciiTheme="minorHAnsi" w:hAnsiTheme="minorHAnsi"/>
        </w:rPr>
        <w:t xml:space="preserve">ředsednictva </w:t>
      </w:r>
      <w:r w:rsidR="00994DCC">
        <w:rPr>
          <w:rFonts w:asciiTheme="minorHAnsi" w:hAnsiTheme="minorHAnsi"/>
        </w:rPr>
        <w:t xml:space="preserve">GA ČR. Stížnosti na rozhodnutí </w:t>
      </w:r>
      <w:r w:rsidR="0052327E">
        <w:rPr>
          <w:rFonts w:asciiTheme="minorHAnsi" w:hAnsiTheme="minorHAnsi"/>
        </w:rPr>
        <w:t>p</w:t>
      </w:r>
      <w:r w:rsidR="002A5309" w:rsidRPr="002A5309">
        <w:rPr>
          <w:rFonts w:asciiTheme="minorHAnsi" w:hAnsiTheme="minorHAnsi"/>
        </w:rPr>
        <w:t>ředsednictva GA ČR byly pod</w:t>
      </w:r>
      <w:r w:rsidR="003C7710">
        <w:rPr>
          <w:rFonts w:asciiTheme="minorHAnsi" w:hAnsiTheme="minorHAnsi"/>
        </w:rPr>
        <w:t>ány dvěma členy oborové komise</w:t>
      </w:r>
      <w:r w:rsidR="002A5309" w:rsidRPr="002A5309">
        <w:rPr>
          <w:rFonts w:asciiTheme="minorHAnsi" w:hAnsiTheme="minorHAnsi"/>
        </w:rPr>
        <w:t xml:space="preserve"> a dále třemi navrhovateli projektů. Stížnostmi s</w:t>
      </w:r>
      <w:r w:rsidR="006D3FCE">
        <w:rPr>
          <w:rFonts w:asciiTheme="minorHAnsi" w:hAnsiTheme="minorHAnsi"/>
        </w:rPr>
        <w:t>e zabývala kontrolní rada GA</w:t>
      </w:r>
      <w:r w:rsidR="00994DCC">
        <w:rPr>
          <w:rFonts w:asciiTheme="minorHAnsi" w:hAnsiTheme="minorHAnsi"/>
        </w:rPr>
        <w:t> </w:t>
      </w:r>
      <w:r w:rsidR="006D3FCE">
        <w:rPr>
          <w:rFonts w:asciiTheme="minorHAnsi" w:hAnsiTheme="minorHAnsi"/>
        </w:rPr>
        <w:t xml:space="preserve">ČR, která vydala závazné stanovisko. Tímto stanoviskem se </w:t>
      </w:r>
      <w:r w:rsidR="0052327E">
        <w:rPr>
          <w:rFonts w:asciiTheme="minorHAnsi" w:hAnsiTheme="minorHAnsi"/>
        </w:rPr>
        <w:t>p</w:t>
      </w:r>
      <w:r w:rsidR="002A5309" w:rsidRPr="002A5309">
        <w:rPr>
          <w:rFonts w:asciiTheme="minorHAnsi" w:hAnsiTheme="minorHAnsi"/>
        </w:rPr>
        <w:t xml:space="preserve">ředsednictvo GA ČR </w:t>
      </w:r>
      <w:r w:rsidR="006D3FCE">
        <w:rPr>
          <w:rFonts w:asciiTheme="minorHAnsi" w:hAnsiTheme="minorHAnsi"/>
        </w:rPr>
        <w:t>řídilo a</w:t>
      </w:r>
      <w:r w:rsidR="00BD6EE8">
        <w:rPr>
          <w:rFonts w:asciiTheme="minorHAnsi" w:hAnsiTheme="minorHAnsi"/>
        </w:rPr>
        <w:t> </w:t>
      </w:r>
      <w:r w:rsidR="002A5309" w:rsidRPr="002A5309">
        <w:rPr>
          <w:rFonts w:asciiTheme="minorHAnsi" w:hAnsiTheme="minorHAnsi"/>
        </w:rPr>
        <w:t xml:space="preserve">rozhodlo o dodatečném udělení podpory </w:t>
      </w:r>
      <w:r w:rsidR="006A32C6">
        <w:rPr>
          <w:rFonts w:asciiTheme="minorHAnsi" w:hAnsiTheme="minorHAnsi"/>
        </w:rPr>
        <w:t xml:space="preserve">prvním </w:t>
      </w:r>
      <w:r w:rsidR="002A5309" w:rsidRPr="002A5309">
        <w:rPr>
          <w:rFonts w:asciiTheme="minorHAnsi" w:hAnsiTheme="minorHAnsi"/>
        </w:rPr>
        <w:t>dvěma p</w:t>
      </w:r>
      <w:r w:rsidR="00BD6EE8">
        <w:rPr>
          <w:rFonts w:asciiTheme="minorHAnsi" w:hAnsiTheme="minorHAnsi"/>
        </w:rPr>
        <w:t xml:space="preserve">rojektům na </w:t>
      </w:r>
      <w:r w:rsidR="00737261">
        <w:rPr>
          <w:rFonts w:asciiTheme="minorHAnsi" w:hAnsiTheme="minorHAnsi"/>
        </w:rPr>
        <w:t>„</w:t>
      </w:r>
      <w:r w:rsidR="00BD6EE8">
        <w:rPr>
          <w:rFonts w:asciiTheme="minorHAnsi" w:hAnsiTheme="minorHAnsi"/>
        </w:rPr>
        <w:t>podporu excelence</w:t>
      </w:r>
      <w:r w:rsidR="00737261">
        <w:rPr>
          <w:rFonts w:asciiTheme="minorHAnsi" w:hAnsiTheme="minorHAnsi"/>
        </w:rPr>
        <w:t>“</w:t>
      </w:r>
      <w:r w:rsidR="00BD6EE8">
        <w:rPr>
          <w:rFonts w:asciiTheme="minorHAnsi" w:hAnsiTheme="minorHAnsi"/>
        </w:rPr>
        <w:t xml:space="preserve"> a </w:t>
      </w:r>
      <w:r w:rsidR="002A5309" w:rsidRPr="002A5309">
        <w:rPr>
          <w:rFonts w:asciiTheme="minorHAnsi" w:hAnsiTheme="minorHAnsi"/>
        </w:rPr>
        <w:t>současně rozhodlo o snížení podpory u všech</w:t>
      </w:r>
      <w:r w:rsidR="002A5309">
        <w:rPr>
          <w:rFonts w:asciiTheme="minorHAnsi" w:hAnsiTheme="minorHAnsi"/>
        </w:rPr>
        <w:t xml:space="preserve"> čtyř podpořených pr</w:t>
      </w:r>
      <w:r w:rsidR="003C7710">
        <w:rPr>
          <w:rFonts w:asciiTheme="minorHAnsi" w:hAnsiTheme="minorHAnsi"/>
        </w:rPr>
        <w:t>ojektů</w:t>
      </w:r>
      <w:r w:rsidR="0063213E">
        <w:rPr>
          <w:rFonts w:asciiTheme="minorHAnsi" w:hAnsiTheme="minorHAnsi"/>
        </w:rPr>
        <w:t xml:space="preserve">. </w:t>
      </w:r>
    </w:p>
    <w:p w:rsidR="0063213E" w:rsidRDefault="0063213E" w:rsidP="009D1980">
      <w:pPr>
        <w:jc w:val="both"/>
        <w:rPr>
          <w:rFonts w:asciiTheme="minorHAnsi" w:hAnsiTheme="minorHAnsi"/>
        </w:rPr>
      </w:pPr>
    </w:p>
    <w:p w:rsidR="00BE1CB9" w:rsidRPr="00D86CDE" w:rsidRDefault="00847918" w:rsidP="009D1980">
      <w:pPr>
        <w:jc w:val="both"/>
        <w:rPr>
          <w:rFonts w:asciiTheme="minorHAnsi" w:hAnsiTheme="minorHAnsi"/>
        </w:rPr>
      </w:pPr>
      <w:r w:rsidRPr="00847918">
        <w:rPr>
          <w:rFonts w:asciiTheme="minorHAnsi" w:hAnsiTheme="minorHAnsi"/>
        </w:rPr>
        <w:t xml:space="preserve">Vytváření databáze </w:t>
      </w:r>
      <w:r>
        <w:rPr>
          <w:rFonts w:asciiTheme="minorHAnsi" w:hAnsiTheme="minorHAnsi"/>
        </w:rPr>
        <w:t xml:space="preserve">hodnotitelů a </w:t>
      </w:r>
      <w:r w:rsidRPr="00847918">
        <w:rPr>
          <w:rFonts w:asciiTheme="minorHAnsi" w:hAnsiTheme="minorHAnsi"/>
        </w:rPr>
        <w:t xml:space="preserve">jejich výběru </w:t>
      </w:r>
      <w:r>
        <w:rPr>
          <w:rFonts w:asciiTheme="minorHAnsi" w:hAnsiTheme="minorHAnsi"/>
        </w:rPr>
        <w:t>věnuje GA </w:t>
      </w:r>
      <w:r w:rsidRPr="00847918">
        <w:rPr>
          <w:rFonts w:asciiTheme="minorHAnsi" w:hAnsiTheme="minorHAnsi"/>
        </w:rPr>
        <w:t xml:space="preserve">ČR značnou pozornost. </w:t>
      </w:r>
      <w:r>
        <w:rPr>
          <w:rFonts w:asciiTheme="minorHAnsi" w:hAnsiTheme="minorHAnsi"/>
        </w:rPr>
        <w:t>Hodnotitelé</w:t>
      </w:r>
      <w:r w:rsidRPr="00847918">
        <w:rPr>
          <w:rFonts w:asciiTheme="minorHAnsi" w:hAnsiTheme="minorHAnsi"/>
        </w:rPr>
        <w:t xml:space="preserve"> by měli představovat záruku odbornosti a orientace na problematiku řešenou v konkrétním projektu.</w:t>
      </w:r>
      <w:r>
        <w:rPr>
          <w:rFonts w:asciiTheme="minorHAnsi" w:hAnsiTheme="minorHAnsi"/>
        </w:rPr>
        <w:t xml:space="preserve"> Pořadí návrhů projektů sestavené oborovými komisemi je výsledkem </w:t>
      </w:r>
      <w:r w:rsidR="00325C4C">
        <w:rPr>
          <w:rFonts w:asciiTheme="minorHAnsi" w:hAnsiTheme="minorHAnsi"/>
        </w:rPr>
        <w:t>četných</w:t>
      </w:r>
      <w:r>
        <w:rPr>
          <w:rFonts w:asciiTheme="minorHAnsi" w:hAnsiTheme="minorHAnsi"/>
        </w:rPr>
        <w:t xml:space="preserve"> jednání a oponentních posudků externích hodnotitelů, včetně zahraničních. </w:t>
      </w:r>
      <w:r w:rsidR="001C7EA1">
        <w:rPr>
          <w:rFonts w:asciiTheme="minorHAnsi" w:hAnsiTheme="minorHAnsi"/>
        </w:rPr>
        <w:t>Předsednictvo GA </w:t>
      </w:r>
      <w:r w:rsidRPr="002A5309">
        <w:rPr>
          <w:rFonts w:asciiTheme="minorHAnsi" w:hAnsiTheme="minorHAnsi"/>
        </w:rPr>
        <w:t>ČR</w:t>
      </w:r>
      <w:r>
        <w:rPr>
          <w:rFonts w:asciiTheme="minorHAnsi" w:hAnsiTheme="minorHAnsi"/>
        </w:rPr>
        <w:t xml:space="preserve"> při </w:t>
      </w:r>
      <w:r w:rsidRPr="00D86CDE">
        <w:rPr>
          <w:rFonts w:asciiTheme="minorHAnsi" w:hAnsiTheme="minorHAnsi"/>
        </w:rPr>
        <w:t>přehodnocení projektů vybraných k podpoře jed</w:t>
      </w:r>
      <w:r w:rsidR="001C7EA1">
        <w:rPr>
          <w:rFonts w:asciiTheme="minorHAnsi" w:hAnsiTheme="minorHAnsi"/>
        </w:rPr>
        <w:t>nalo v rámci svých kompetencí a </w:t>
      </w:r>
      <w:r w:rsidRPr="00D86CDE">
        <w:rPr>
          <w:rFonts w:asciiTheme="minorHAnsi" w:hAnsiTheme="minorHAnsi"/>
        </w:rPr>
        <w:t>své stanovisko zdůvodnilo.</w:t>
      </w:r>
      <w:r w:rsidR="00EF659D" w:rsidRPr="00D86CDE">
        <w:rPr>
          <w:rFonts w:asciiTheme="minorHAnsi" w:hAnsiTheme="minorHAnsi"/>
        </w:rPr>
        <w:t xml:space="preserve"> </w:t>
      </w:r>
      <w:r w:rsidR="002F7CF6" w:rsidRPr="0093705E">
        <w:rPr>
          <w:rFonts w:ascii="Calibri" w:hAnsi="Calibri"/>
        </w:rPr>
        <w:t xml:space="preserve">Předsednictvo GA ČR </w:t>
      </w:r>
      <w:r w:rsidR="002F7CF6">
        <w:rPr>
          <w:rFonts w:ascii="Calibri" w:hAnsi="Calibri"/>
        </w:rPr>
        <w:t xml:space="preserve">však </w:t>
      </w:r>
      <w:r w:rsidR="002F7CF6" w:rsidRPr="0093705E">
        <w:rPr>
          <w:rFonts w:ascii="Calibri" w:hAnsi="Calibri"/>
        </w:rPr>
        <w:t xml:space="preserve">rozhodlo o poskytnutí podpory jiným </w:t>
      </w:r>
      <w:r w:rsidR="002F7CF6">
        <w:rPr>
          <w:rFonts w:ascii="Calibri" w:hAnsi="Calibri"/>
        </w:rPr>
        <w:t xml:space="preserve">projektům, </w:t>
      </w:r>
      <w:r w:rsidR="002F7CF6" w:rsidRPr="0093705E">
        <w:rPr>
          <w:rFonts w:ascii="Calibri" w:hAnsi="Calibri"/>
        </w:rPr>
        <w:t xml:space="preserve">než </w:t>
      </w:r>
      <w:r w:rsidR="002F7CF6">
        <w:rPr>
          <w:rFonts w:ascii="Calibri" w:hAnsi="Calibri"/>
        </w:rPr>
        <w:t xml:space="preserve">které navrhla </w:t>
      </w:r>
      <w:r w:rsidR="002F7CF6" w:rsidRPr="0093705E">
        <w:rPr>
          <w:rFonts w:ascii="Calibri" w:hAnsi="Calibri"/>
        </w:rPr>
        <w:t>obor</w:t>
      </w:r>
      <w:r w:rsidR="002F7CF6">
        <w:rPr>
          <w:rFonts w:ascii="Calibri" w:hAnsi="Calibri"/>
        </w:rPr>
        <w:t>ová komise na základě</w:t>
      </w:r>
      <w:r w:rsidR="002F7CF6" w:rsidRPr="0093705E">
        <w:rPr>
          <w:rFonts w:ascii="Calibri" w:hAnsi="Calibri"/>
        </w:rPr>
        <w:t xml:space="preserve"> hodnocení projektů, které bylo výsledkem </w:t>
      </w:r>
      <w:r w:rsidR="002F7CF6">
        <w:rPr>
          <w:rFonts w:ascii="Calibri" w:hAnsi="Calibri"/>
        </w:rPr>
        <w:t>odborných</w:t>
      </w:r>
      <w:r w:rsidR="002F7CF6" w:rsidRPr="0093705E">
        <w:rPr>
          <w:rFonts w:ascii="Calibri" w:hAnsi="Calibri"/>
        </w:rPr>
        <w:t xml:space="preserve"> jednání a oponentních posudků externích hodnotitelů, včetně zahraničních</w:t>
      </w:r>
      <w:r w:rsidR="0052327E">
        <w:rPr>
          <w:rFonts w:ascii="Calibri" w:hAnsi="Calibri"/>
        </w:rPr>
        <w:t>,</w:t>
      </w:r>
      <w:r w:rsidR="002F7CF6" w:rsidRPr="0093705E">
        <w:rPr>
          <w:rFonts w:ascii="Calibri" w:hAnsi="Calibri"/>
        </w:rPr>
        <w:t xml:space="preserve"> a mělo by tak být zárukou odborného, nezávislého a transparentního posouzení.</w:t>
      </w:r>
    </w:p>
    <w:p w:rsidR="005C3332" w:rsidRPr="00D86CDE" w:rsidRDefault="005C3332" w:rsidP="009D1980">
      <w:pPr>
        <w:jc w:val="both"/>
        <w:rPr>
          <w:rFonts w:asciiTheme="minorHAnsi" w:hAnsiTheme="minorHAnsi"/>
        </w:rPr>
      </w:pPr>
    </w:p>
    <w:p w:rsidR="00BD6EE8" w:rsidRDefault="002C2783" w:rsidP="009D1980">
      <w:pPr>
        <w:jc w:val="both"/>
        <w:rPr>
          <w:rFonts w:asciiTheme="minorHAnsi" w:hAnsiTheme="minorHAnsi"/>
          <w:b/>
        </w:rPr>
      </w:pPr>
      <w:r w:rsidRPr="00D86CDE">
        <w:rPr>
          <w:rFonts w:asciiTheme="minorHAnsi" w:hAnsiTheme="minorHAnsi"/>
        </w:rPr>
        <w:t xml:space="preserve">U </w:t>
      </w:r>
      <w:r w:rsidR="005C3332" w:rsidRPr="00D86CDE">
        <w:rPr>
          <w:rFonts w:asciiTheme="minorHAnsi" w:hAnsiTheme="minorHAnsi"/>
        </w:rPr>
        <w:t xml:space="preserve">kontrolovaných veřejných soutěží </w:t>
      </w:r>
      <w:r w:rsidR="00667F95" w:rsidRPr="00D86CDE">
        <w:rPr>
          <w:rFonts w:asciiTheme="minorHAnsi" w:hAnsiTheme="minorHAnsi"/>
        </w:rPr>
        <w:t>nebyla h</w:t>
      </w:r>
      <w:r w:rsidR="005C3332" w:rsidRPr="00D86CDE">
        <w:rPr>
          <w:rFonts w:asciiTheme="minorHAnsi" w:hAnsiTheme="minorHAnsi"/>
        </w:rPr>
        <w:t>odnoticí kritéria uvede</w:t>
      </w:r>
      <w:r w:rsidR="00667F95" w:rsidRPr="00D86CDE">
        <w:rPr>
          <w:rFonts w:asciiTheme="minorHAnsi" w:hAnsiTheme="minorHAnsi"/>
        </w:rPr>
        <w:t>ná v zadávací dokumentaci</w:t>
      </w:r>
      <w:r w:rsidR="005C3332" w:rsidRPr="00D86CDE">
        <w:rPr>
          <w:rFonts w:asciiTheme="minorHAnsi" w:hAnsiTheme="minorHAnsi"/>
        </w:rPr>
        <w:t xml:space="preserve"> zcela totožná s kritérii, která hodnotili posuzovatelé v hodnoticích protokolech. Hodnoticí kritérium zahraniční spolupráce, které GA ČR uvedla v zadávací dokumentaci, nebylo součástí hodnocení posuzov</w:t>
      </w:r>
      <w:r w:rsidR="00667F95" w:rsidRPr="00D86CDE">
        <w:rPr>
          <w:rFonts w:asciiTheme="minorHAnsi" w:hAnsiTheme="minorHAnsi"/>
        </w:rPr>
        <w:t xml:space="preserve">atelů v hodnoticích protokolech. </w:t>
      </w:r>
      <w:r w:rsidR="005C3332" w:rsidRPr="00D86CDE">
        <w:rPr>
          <w:rFonts w:asciiTheme="minorHAnsi" w:hAnsiTheme="minorHAnsi"/>
        </w:rPr>
        <w:t xml:space="preserve">Dle vyjádření GA ČR </w:t>
      </w:r>
      <w:r w:rsidR="007E2DF8">
        <w:rPr>
          <w:rFonts w:asciiTheme="minorHAnsi" w:hAnsiTheme="minorHAnsi"/>
        </w:rPr>
        <w:t xml:space="preserve">jsou </w:t>
      </w:r>
      <w:r w:rsidR="005C3332" w:rsidRPr="00D86CDE">
        <w:rPr>
          <w:rFonts w:asciiTheme="minorHAnsi" w:hAnsiTheme="minorHAnsi"/>
        </w:rPr>
        <w:t>při odborném hodnocení návrhů projektů na</w:t>
      </w:r>
      <w:r w:rsidR="007E2DF8">
        <w:rPr>
          <w:rFonts w:asciiTheme="minorHAnsi" w:hAnsiTheme="minorHAnsi"/>
        </w:rPr>
        <w:t xml:space="preserve"> zasedání oborových komisí </w:t>
      </w:r>
      <w:r w:rsidR="005C3332" w:rsidRPr="00D86CDE">
        <w:rPr>
          <w:rFonts w:asciiTheme="minorHAnsi" w:hAnsiTheme="minorHAnsi"/>
        </w:rPr>
        <w:t xml:space="preserve">posuzována veškerá kritéria dle zadávací dokumentace, nicméně záznam o tomto hodnocení </w:t>
      </w:r>
      <w:r w:rsidR="001C7EA1">
        <w:rPr>
          <w:rFonts w:asciiTheme="minorHAnsi" w:hAnsiTheme="minorHAnsi"/>
        </w:rPr>
        <w:t>jednotlivých návrhů projektů GA </w:t>
      </w:r>
      <w:r w:rsidR="005C3332" w:rsidRPr="00D86CDE">
        <w:rPr>
          <w:rFonts w:asciiTheme="minorHAnsi" w:hAnsiTheme="minorHAnsi"/>
        </w:rPr>
        <w:t>ČR nevytváří</w:t>
      </w:r>
      <w:r w:rsidR="00B1645E">
        <w:rPr>
          <w:rFonts w:asciiTheme="minorHAnsi" w:hAnsiTheme="minorHAnsi"/>
        </w:rPr>
        <w:t>,</w:t>
      </w:r>
      <w:r w:rsidR="005C3332" w:rsidRPr="00D86CDE">
        <w:rPr>
          <w:rFonts w:asciiTheme="minorHAnsi" w:hAnsiTheme="minorHAnsi"/>
        </w:rPr>
        <w:t xml:space="preserve"> </w:t>
      </w:r>
      <w:r w:rsidR="00B1645E">
        <w:rPr>
          <w:rFonts w:asciiTheme="minorHAnsi" w:hAnsiTheme="minorHAnsi"/>
        </w:rPr>
        <w:t>takže</w:t>
      </w:r>
      <w:r w:rsidR="005C3332" w:rsidRPr="00D86CDE">
        <w:rPr>
          <w:rFonts w:asciiTheme="minorHAnsi" w:hAnsiTheme="minorHAnsi"/>
        </w:rPr>
        <w:t xml:space="preserve"> zohlednění kritéria zahraniční spolupráce ne</w:t>
      </w:r>
      <w:r w:rsidR="00635D01" w:rsidRPr="00D86CDE">
        <w:rPr>
          <w:rFonts w:asciiTheme="minorHAnsi" w:hAnsiTheme="minorHAnsi"/>
        </w:rPr>
        <w:t>bylo</w:t>
      </w:r>
      <w:r w:rsidR="005C3332" w:rsidRPr="00D86CDE">
        <w:rPr>
          <w:rFonts w:asciiTheme="minorHAnsi" w:hAnsiTheme="minorHAnsi"/>
        </w:rPr>
        <w:t xml:space="preserve"> ověřitelné.</w:t>
      </w:r>
    </w:p>
    <w:p w:rsidR="002A16DD" w:rsidRDefault="002A16DD" w:rsidP="009D1980">
      <w:pPr>
        <w:jc w:val="both"/>
        <w:rPr>
          <w:rFonts w:asciiTheme="minorHAnsi" w:hAnsiTheme="minorHAnsi"/>
          <w:b/>
        </w:rPr>
      </w:pPr>
    </w:p>
    <w:p w:rsidR="00961AD6" w:rsidRDefault="00F77AD6" w:rsidP="002A16DD">
      <w:pPr>
        <w:keepNext/>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sidRPr="00961AD6">
        <w:rPr>
          <w:rFonts w:ascii="Calibri" w:hAnsi="Calibri"/>
        </w:rPr>
        <w:t>V rozporu se zákonem GA ČR změnila podmínky již vyhlášené veřejné soutěže</w:t>
      </w:r>
      <w:r w:rsidR="00DC6D59">
        <w:rPr>
          <w:rFonts w:ascii="Calibri" w:hAnsi="Calibri"/>
        </w:rPr>
        <w:t>. V</w:t>
      </w:r>
      <w:r w:rsidR="00DC6D59">
        <w:rPr>
          <w:rFonts w:ascii="Calibri" w:hAnsi="Calibri" w:cs="Calibri"/>
          <w:lang w:eastAsia="en-US"/>
        </w:rPr>
        <w:t xml:space="preserve">ytvořila tak </w:t>
      </w:r>
      <w:r w:rsidR="00DC6D59" w:rsidRPr="00D86CDE">
        <w:rPr>
          <w:rFonts w:ascii="Calibri" w:hAnsi="Calibri" w:cs="Calibri"/>
          <w:lang w:eastAsia="en-US"/>
        </w:rPr>
        <w:t>uchazečům nerovné podmínky</w:t>
      </w:r>
      <w:r w:rsidR="00DC6D59">
        <w:rPr>
          <w:rFonts w:ascii="Calibri" w:hAnsi="Calibri" w:cs="Calibri"/>
          <w:lang w:eastAsia="en-US"/>
        </w:rPr>
        <w:t xml:space="preserve">, čímž </w:t>
      </w:r>
      <w:r w:rsidR="00DC6D59" w:rsidRPr="00D86CDE">
        <w:rPr>
          <w:rFonts w:ascii="Calibri" w:hAnsi="Calibri" w:cs="Calibri"/>
          <w:lang w:eastAsia="en-US"/>
        </w:rPr>
        <w:t>mohla některým uchazečům poskytnout zvýhodnění.</w:t>
      </w:r>
      <w:r w:rsidRPr="00961AD6">
        <w:rPr>
          <w:rFonts w:ascii="Calibri" w:hAnsi="Calibri"/>
        </w:rPr>
        <w:t xml:space="preserve"> </w:t>
      </w:r>
      <w:r w:rsidRPr="0093705E">
        <w:rPr>
          <w:rFonts w:ascii="Calibri" w:hAnsi="Calibri"/>
        </w:rPr>
        <w:t xml:space="preserve">Předsednictvo GA ČR rozhodlo o poskytnutí podpory jiným </w:t>
      </w:r>
      <w:r>
        <w:rPr>
          <w:rFonts w:ascii="Calibri" w:hAnsi="Calibri"/>
        </w:rPr>
        <w:t xml:space="preserve">projektům, </w:t>
      </w:r>
      <w:r w:rsidRPr="0093705E">
        <w:rPr>
          <w:rFonts w:ascii="Calibri" w:hAnsi="Calibri"/>
        </w:rPr>
        <w:t xml:space="preserve">než </w:t>
      </w:r>
      <w:r>
        <w:rPr>
          <w:rFonts w:ascii="Calibri" w:hAnsi="Calibri"/>
        </w:rPr>
        <w:t xml:space="preserve">které navrhla </w:t>
      </w:r>
      <w:r w:rsidRPr="0093705E">
        <w:rPr>
          <w:rFonts w:ascii="Calibri" w:hAnsi="Calibri"/>
        </w:rPr>
        <w:t>obor</w:t>
      </w:r>
      <w:r>
        <w:rPr>
          <w:rFonts w:ascii="Calibri" w:hAnsi="Calibri"/>
        </w:rPr>
        <w:t>ová komise na základě</w:t>
      </w:r>
      <w:r w:rsidRPr="0093705E">
        <w:rPr>
          <w:rFonts w:ascii="Calibri" w:hAnsi="Calibri"/>
        </w:rPr>
        <w:t xml:space="preserve"> hodnocení projektů, které bylo výsledkem </w:t>
      </w:r>
      <w:r>
        <w:rPr>
          <w:rFonts w:ascii="Calibri" w:hAnsi="Calibri"/>
        </w:rPr>
        <w:t>četných</w:t>
      </w:r>
      <w:r w:rsidRPr="0093705E">
        <w:rPr>
          <w:rFonts w:ascii="Calibri" w:hAnsi="Calibri"/>
        </w:rPr>
        <w:t xml:space="preserve"> jednání a</w:t>
      </w:r>
      <w:r w:rsidR="00320ED4">
        <w:rPr>
          <w:rFonts w:ascii="Calibri" w:hAnsi="Calibri"/>
        </w:rPr>
        <w:t> </w:t>
      </w:r>
      <w:r w:rsidRPr="0093705E">
        <w:rPr>
          <w:rFonts w:ascii="Calibri" w:hAnsi="Calibri"/>
        </w:rPr>
        <w:t>oponentních posudků externích hodnotitelů, včetně zahraničních</w:t>
      </w:r>
      <w:r w:rsidR="00B1645E">
        <w:rPr>
          <w:rFonts w:ascii="Calibri" w:hAnsi="Calibri"/>
        </w:rPr>
        <w:t>,</w:t>
      </w:r>
      <w:r w:rsidRPr="0093705E">
        <w:rPr>
          <w:rFonts w:ascii="Calibri" w:hAnsi="Calibri"/>
        </w:rPr>
        <w:t xml:space="preserve"> a mělo by tak být zárukou odborného, nezávislého a transparentního posouzení.</w:t>
      </w:r>
      <w:r>
        <w:rPr>
          <w:rFonts w:ascii="Calibri" w:hAnsi="Calibri"/>
        </w:rPr>
        <w:t xml:space="preserve"> </w:t>
      </w:r>
      <w:r w:rsidRPr="00961AD6">
        <w:rPr>
          <w:rFonts w:ascii="Calibri" w:hAnsi="Calibri"/>
        </w:rPr>
        <w:t xml:space="preserve">Hodnoticí kritéria uvedená v zadávacích dokumentacích nebyla zcela totožná s kritérii, která hodnotili posuzovatelé v hodnoticích protokolech. GA ČR nevytvářela písemné záznamy o hodnocení veškerých kritérií. Jejich zohlednění tak nebylo ověřitelné. Výše uvedené skutečnosti </w:t>
      </w:r>
      <w:r>
        <w:rPr>
          <w:rFonts w:ascii="Calibri" w:hAnsi="Calibri"/>
        </w:rPr>
        <w:t xml:space="preserve">negativně ovlivnily </w:t>
      </w:r>
      <w:r w:rsidRPr="00961AD6">
        <w:rPr>
          <w:rFonts w:ascii="Calibri" w:hAnsi="Calibri"/>
        </w:rPr>
        <w:t>transparentnost výběru projektů.</w:t>
      </w:r>
    </w:p>
    <w:p w:rsidR="00961AD6" w:rsidRPr="00B1645E" w:rsidRDefault="00961AD6" w:rsidP="009D1980">
      <w:pPr>
        <w:jc w:val="both"/>
        <w:rPr>
          <w:rFonts w:asciiTheme="minorHAnsi" w:hAnsiTheme="minorHAnsi"/>
        </w:rPr>
      </w:pPr>
    </w:p>
    <w:p w:rsidR="00167A55" w:rsidRDefault="00167A55" w:rsidP="00167A55">
      <w:pPr>
        <w:ind w:left="284" w:hanging="284"/>
        <w:jc w:val="both"/>
        <w:rPr>
          <w:rFonts w:asciiTheme="minorHAnsi" w:hAnsiTheme="minorHAnsi" w:cstheme="minorHAnsi"/>
          <w:b/>
        </w:rPr>
      </w:pPr>
      <w:r>
        <w:rPr>
          <w:rFonts w:asciiTheme="minorHAnsi" w:hAnsiTheme="minorHAnsi" w:cstheme="minorHAnsi"/>
          <w:b/>
        </w:rPr>
        <w:t>4</w:t>
      </w:r>
      <w:r w:rsidRPr="005C727B">
        <w:rPr>
          <w:rFonts w:asciiTheme="minorHAnsi" w:hAnsiTheme="minorHAnsi" w:cstheme="minorHAnsi"/>
          <w:b/>
        </w:rPr>
        <w:t xml:space="preserve">. </w:t>
      </w:r>
      <w:r>
        <w:rPr>
          <w:rFonts w:asciiTheme="minorHAnsi" w:hAnsiTheme="minorHAnsi" w:cstheme="minorHAnsi"/>
          <w:b/>
        </w:rPr>
        <w:t>GA ČR nastavila a realizovala administrativně náročný systém kontroly průběhu řešení projektů, který vedl k pozdějšímu vyplácení podpory</w:t>
      </w:r>
    </w:p>
    <w:p w:rsidR="00D66C87" w:rsidRPr="00B1645E" w:rsidRDefault="00D66C87" w:rsidP="00167A55">
      <w:pPr>
        <w:ind w:left="284" w:hanging="284"/>
        <w:jc w:val="both"/>
        <w:rPr>
          <w:rFonts w:asciiTheme="minorHAnsi" w:hAnsiTheme="minorHAnsi" w:cstheme="minorHAnsi"/>
        </w:rPr>
      </w:pPr>
    </w:p>
    <w:p w:rsidR="00D66C87" w:rsidRPr="000424FF" w:rsidRDefault="0010015E" w:rsidP="00D66C87">
      <w:pPr>
        <w:shd w:val="clear" w:color="auto" w:fill="D9D9D9" w:themeFill="background1" w:themeFillShade="D9"/>
        <w:jc w:val="both"/>
        <w:rPr>
          <w:rFonts w:ascii="Calibri" w:hAnsi="Calibri"/>
        </w:rPr>
      </w:pPr>
      <w:r w:rsidRPr="000424FF">
        <w:rPr>
          <w:rFonts w:asciiTheme="minorHAnsi" w:hAnsiTheme="minorHAnsi"/>
        </w:rPr>
        <w:t xml:space="preserve">Zásadním předpokladem řádného sledování a vyhodnocování poskytnuté podpory je správně nastavený systém kontroly průběhu řešení projektů. </w:t>
      </w:r>
      <w:r w:rsidR="00F32DDD" w:rsidRPr="000424FF">
        <w:rPr>
          <w:rFonts w:asciiTheme="minorHAnsi" w:hAnsiTheme="minorHAnsi"/>
        </w:rPr>
        <w:t>Takový</w:t>
      </w:r>
      <w:r w:rsidRPr="000424FF">
        <w:rPr>
          <w:rFonts w:asciiTheme="minorHAnsi" w:hAnsiTheme="minorHAnsi"/>
        </w:rPr>
        <w:t xml:space="preserve"> systém </w:t>
      </w:r>
      <w:r w:rsidR="00F32DDD" w:rsidRPr="000424FF">
        <w:rPr>
          <w:rFonts w:asciiTheme="minorHAnsi" w:hAnsiTheme="minorHAnsi"/>
        </w:rPr>
        <w:t>dává</w:t>
      </w:r>
      <w:r w:rsidRPr="000424FF">
        <w:rPr>
          <w:rFonts w:asciiTheme="minorHAnsi" w:hAnsiTheme="minorHAnsi"/>
        </w:rPr>
        <w:t xml:space="preserve"> poskytovateli ujištění, že podpora u jednotlivých projektů směřuje k naplnění svého účelu. Naopak v případě, že</w:t>
      </w:r>
      <w:r w:rsidR="00320ED4" w:rsidRPr="000424FF">
        <w:rPr>
          <w:rFonts w:asciiTheme="minorHAnsi" w:hAnsiTheme="minorHAnsi"/>
        </w:rPr>
        <w:t> </w:t>
      </w:r>
      <w:r w:rsidRPr="000424FF">
        <w:rPr>
          <w:rFonts w:asciiTheme="minorHAnsi" w:hAnsiTheme="minorHAnsi"/>
        </w:rPr>
        <w:t xml:space="preserve">dosavadní průběh řešení neodpovídá původnímu předpokladu, umožňuje poskytovateli podporu zastavit, krátit či změnit podmínky jejího dalšího poskytování. Tuto kontrolu by měl poskytovatel realizovat před vyplacením podpory na další rok řešení projektů. Zároveň by </w:t>
      </w:r>
      <w:r w:rsidRPr="000424FF">
        <w:rPr>
          <w:rFonts w:asciiTheme="minorHAnsi" w:hAnsiTheme="minorHAnsi"/>
        </w:rPr>
        <w:lastRenderedPageBreak/>
        <w:t>neměla nadměrně zatěžovat příjemce ani poskytovatele a vést k neopodstatněnému zadržování podpory na další rok řešení projektů</w:t>
      </w:r>
      <w:r w:rsidRPr="00680CC9">
        <w:rPr>
          <w:rFonts w:asciiTheme="minorHAnsi" w:hAnsiTheme="minorHAnsi"/>
        </w:rPr>
        <w:t>.</w:t>
      </w:r>
      <w:r w:rsidR="000648D1" w:rsidRPr="000424FF">
        <w:rPr>
          <w:rFonts w:asciiTheme="minorHAnsi" w:hAnsiTheme="minorHAnsi"/>
        </w:rPr>
        <w:t xml:space="preserve">  </w:t>
      </w:r>
    </w:p>
    <w:p w:rsidR="00B1645E" w:rsidRDefault="00B1645E" w:rsidP="00D66C87">
      <w:pPr>
        <w:shd w:val="clear" w:color="auto" w:fill="D9D9D9" w:themeFill="background1" w:themeFillShade="D9"/>
        <w:jc w:val="both"/>
        <w:rPr>
          <w:rFonts w:ascii="Calibri" w:hAnsi="Calibri"/>
        </w:rPr>
      </w:pPr>
    </w:p>
    <w:p w:rsidR="00D66C87" w:rsidRPr="000648D1" w:rsidRDefault="00D66C87" w:rsidP="00D66C87">
      <w:pPr>
        <w:shd w:val="clear" w:color="auto" w:fill="D9D9D9" w:themeFill="background1" w:themeFillShade="D9"/>
        <w:jc w:val="both"/>
        <w:rPr>
          <w:rFonts w:asciiTheme="minorHAnsi" w:hAnsiTheme="minorHAnsi" w:cs="Arial"/>
        </w:rPr>
      </w:pPr>
      <w:r w:rsidRPr="000648D1">
        <w:rPr>
          <w:rFonts w:ascii="Calibri" w:hAnsi="Calibri"/>
        </w:rPr>
        <w:t xml:space="preserve">Kontrolou bylo </w:t>
      </w:r>
      <w:r w:rsidR="00B1645E">
        <w:rPr>
          <w:rFonts w:ascii="Calibri" w:hAnsi="Calibri"/>
        </w:rPr>
        <w:t>pr</w:t>
      </w:r>
      <w:r w:rsidRPr="000648D1">
        <w:rPr>
          <w:rFonts w:ascii="Calibri" w:hAnsi="Calibri"/>
        </w:rPr>
        <w:t xml:space="preserve">ověřeno, zda GA ČR </w:t>
      </w:r>
      <w:r w:rsidR="000648D1" w:rsidRPr="000648D1">
        <w:rPr>
          <w:rFonts w:ascii="Calibri" w:hAnsi="Calibri"/>
        </w:rPr>
        <w:t xml:space="preserve">nastavila a realizovala </w:t>
      </w:r>
      <w:r w:rsidR="00973FCD">
        <w:rPr>
          <w:rFonts w:ascii="Calibri" w:hAnsi="Calibri"/>
        </w:rPr>
        <w:t>efektivní</w:t>
      </w:r>
      <w:r w:rsidR="000648D1" w:rsidRPr="000648D1">
        <w:rPr>
          <w:rFonts w:ascii="Calibri" w:hAnsi="Calibri"/>
        </w:rPr>
        <w:t xml:space="preserve"> systém kontroly průběhu řešení projektů</w:t>
      </w:r>
      <w:r w:rsidR="009D113A">
        <w:rPr>
          <w:rFonts w:ascii="Calibri" w:hAnsi="Calibri"/>
        </w:rPr>
        <w:t xml:space="preserve"> z hlediska naplňování jejich cílů.</w:t>
      </w:r>
    </w:p>
    <w:p w:rsidR="00167A55" w:rsidRDefault="00167A55" w:rsidP="00167A55">
      <w:pPr>
        <w:ind w:left="284" w:hanging="284"/>
        <w:jc w:val="both"/>
        <w:rPr>
          <w:rFonts w:asciiTheme="minorHAnsi" w:hAnsiTheme="minorHAnsi" w:cstheme="minorHAnsi"/>
          <w:b/>
        </w:rPr>
      </w:pPr>
    </w:p>
    <w:p w:rsidR="008C6F4B" w:rsidRDefault="006B0E02" w:rsidP="009D113A">
      <w:pPr>
        <w:jc w:val="both"/>
        <w:rPr>
          <w:rFonts w:asciiTheme="minorHAnsi" w:hAnsiTheme="minorHAnsi"/>
        </w:rPr>
      </w:pPr>
      <w:r w:rsidRPr="006B0E02">
        <w:rPr>
          <w:rFonts w:asciiTheme="minorHAnsi" w:hAnsiTheme="minorHAnsi"/>
        </w:rPr>
        <w:t>GA ČR kontrol</w:t>
      </w:r>
      <w:r>
        <w:rPr>
          <w:rFonts w:asciiTheme="minorHAnsi" w:hAnsiTheme="minorHAnsi"/>
        </w:rPr>
        <w:t>ovala</w:t>
      </w:r>
      <w:r w:rsidRPr="006B0E02">
        <w:rPr>
          <w:rFonts w:asciiTheme="minorHAnsi" w:hAnsiTheme="minorHAnsi"/>
        </w:rPr>
        <w:t xml:space="preserve"> průběh řešení u všech projektů ještě před zasláním podpory na další rok řešení projektu. </w:t>
      </w:r>
      <w:r w:rsidR="008C6F4B" w:rsidRPr="008C6F4B">
        <w:rPr>
          <w:rFonts w:asciiTheme="minorHAnsi" w:hAnsiTheme="minorHAnsi"/>
        </w:rPr>
        <w:t>Hodnocení průběhu řešení grantového projektu každoročně provád</w:t>
      </w:r>
      <w:r w:rsidR="008C6F4B">
        <w:rPr>
          <w:rFonts w:asciiTheme="minorHAnsi" w:hAnsiTheme="minorHAnsi"/>
        </w:rPr>
        <w:t>ěla</w:t>
      </w:r>
      <w:r w:rsidR="008C6F4B" w:rsidRPr="008C6F4B">
        <w:rPr>
          <w:rFonts w:asciiTheme="minorHAnsi" w:hAnsiTheme="minorHAnsi"/>
        </w:rPr>
        <w:t xml:space="preserve"> oborová komise, do jejíž p</w:t>
      </w:r>
      <w:r w:rsidR="008C6F4B">
        <w:rPr>
          <w:rFonts w:asciiTheme="minorHAnsi" w:hAnsiTheme="minorHAnsi"/>
        </w:rPr>
        <w:t>ůsobnosti grantový projekt spadal</w:t>
      </w:r>
      <w:r w:rsidR="008C6F4B" w:rsidRPr="008C6F4B">
        <w:rPr>
          <w:rFonts w:asciiTheme="minorHAnsi" w:hAnsiTheme="minorHAnsi"/>
        </w:rPr>
        <w:t xml:space="preserve">, </w:t>
      </w:r>
      <w:r w:rsidR="008C6F4B">
        <w:rPr>
          <w:rFonts w:asciiTheme="minorHAnsi" w:hAnsiTheme="minorHAnsi"/>
        </w:rPr>
        <w:t xml:space="preserve">a to především </w:t>
      </w:r>
      <w:r w:rsidR="008C6F4B" w:rsidRPr="008C6F4B">
        <w:rPr>
          <w:rFonts w:asciiTheme="minorHAnsi" w:hAnsiTheme="minorHAnsi"/>
        </w:rPr>
        <w:t xml:space="preserve">na základě posouzení </w:t>
      </w:r>
      <w:r w:rsidR="008C6F4B">
        <w:rPr>
          <w:rFonts w:asciiTheme="minorHAnsi" w:hAnsiTheme="minorHAnsi"/>
        </w:rPr>
        <w:t>dílčíc</w:t>
      </w:r>
      <w:r w:rsidR="00EB318D">
        <w:rPr>
          <w:rFonts w:asciiTheme="minorHAnsi" w:hAnsiTheme="minorHAnsi"/>
        </w:rPr>
        <w:t>h zpráv, které příjemci zasílali</w:t>
      </w:r>
      <w:r w:rsidR="008C6F4B">
        <w:rPr>
          <w:rFonts w:asciiTheme="minorHAnsi" w:hAnsiTheme="minorHAnsi"/>
        </w:rPr>
        <w:t xml:space="preserve"> v polovině ledna následujícího roku. </w:t>
      </w:r>
      <w:r w:rsidR="009D113A">
        <w:rPr>
          <w:rFonts w:asciiTheme="minorHAnsi" w:hAnsiTheme="minorHAnsi"/>
        </w:rPr>
        <w:t>Hodnocen</w:t>
      </w:r>
      <w:r w:rsidR="00C5439A">
        <w:rPr>
          <w:rFonts w:asciiTheme="minorHAnsi" w:hAnsiTheme="minorHAnsi"/>
        </w:rPr>
        <w:t>o</w:t>
      </w:r>
      <w:r w:rsidR="009D113A">
        <w:rPr>
          <w:rFonts w:asciiTheme="minorHAnsi" w:hAnsiTheme="minorHAnsi"/>
        </w:rPr>
        <w:t xml:space="preserve"> byl</w:t>
      </w:r>
      <w:r w:rsidR="00C5439A">
        <w:rPr>
          <w:rFonts w:asciiTheme="minorHAnsi" w:hAnsiTheme="minorHAnsi"/>
        </w:rPr>
        <w:t>o</w:t>
      </w:r>
      <w:r w:rsidR="009D113A">
        <w:rPr>
          <w:rFonts w:asciiTheme="minorHAnsi" w:hAnsiTheme="minorHAnsi"/>
        </w:rPr>
        <w:t xml:space="preserve"> </w:t>
      </w:r>
      <w:r w:rsidR="00C5439A">
        <w:rPr>
          <w:rFonts w:asciiTheme="minorHAnsi" w:hAnsiTheme="minorHAnsi"/>
        </w:rPr>
        <w:t>mj.</w:t>
      </w:r>
      <w:r w:rsidR="009D113A">
        <w:rPr>
          <w:rFonts w:asciiTheme="minorHAnsi" w:hAnsiTheme="minorHAnsi"/>
        </w:rPr>
        <w:t xml:space="preserve"> </w:t>
      </w:r>
      <w:r w:rsidR="00C5439A">
        <w:rPr>
          <w:rFonts w:asciiTheme="minorHAnsi" w:hAnsiTheme="minorHAnsi"/>
        </w:rPr>
        <w:t>dosavadní</w:t>
      </w:r>
      <w:r w:rsidR="009D113A" w:rsidRPr="009D113A">
        <w:rPr>
          <w:rFonts w:asciiTheme="minorHAnsi" w:hAnsiTheme="minorHAnsi"/>
        </w:rPr>
        <w:t xml:space="preserve"> řešení grantového projektu a p</w:t>
      </w:r>
      <w:r w:rsidR="00C5439A">
        <w:rPr>
          <w:rFonts w:asciiTheme="minorHAnsi" w:hAnsiTheme="minorHAnsi"/>
        </w:rPr>
        <w:t>lán</w:t>
      </w:r>
      <w:r w:rsidR="009D113A" w:rsidRPr="009D113A">
        <w:rPr>
          <w:rFonts w:asciiTheme="minorHAnsi" w:hAnsiTheme="minorHAnsi"/>
        </w:rPr>
        <w:t xml:space="preserve"> řešení projektu na další</w:t>
      </w:r>
      <w:r w:rsidR="009D113A">
        <w:rPr>
          <w:rFonts w:asciiTheme="minorHAnsi" w:hAnsiTheme="minorHAnsi"/>
        </w:rPr>
        <w:t xml:space="preserve"> </w:t>
      </w:r>
      <w:r w:rsidR="009D113A" w:rsidRPr="009D113A">
        <w:rPr>
          <w:rFonts w:asciiTheme="minorHAnsi" w:hAnsiTheme="minorHAnsi"/>
        </w:rPr>
        <w:t>rok</w:t>
      </w:r>
      <w:r w:rsidR="00C5439A">
        <w:rPr>
          <w:rFonts w:asciiTheme="minorHAnsi" w:hAnsiTheme="minorHAnsi"/>
        </w:rPr>
        <w:t>, a</w:t>
      </w:r>
      <w:r w:rsidR="00320ED4">
        <w:rPr>
          <w:rFonts w:asciiTheme="minorHAnsi" w:hAnsiTheme="minorHAnsi"/>
        </w:rPr>
        <w:t> </w:t>
      </w:r>
      <w:r w:rsidR="00C5439A">
        <w:rPr>
          <w:rFonts w:asciiTheme="minorHAnsi" w:hAnsiTheme="minorHAnsi"/>
        </w:rPr>
        <w:t>to</w:t>
      </w:r>
      <w:r w:rsidR="00320ED4">
        <w:rPr>
          <w:rFonts w:asciiTheme="minorHAnsi" w:hAnsiTheme="minorHAnsi"/>
        </w:rPr>
        <w:t> </w:t>
      </w:r>
      <w:r w:rsidR="00C5439A">
        <w:rPr>
          <w:rFonts w:asciiTheme="minorHAnsi" w:hAnsiTheme="minorHAnsi"/>
        </w:rPr>
        <w:t xml:space="preserve">především z </w:t>
      </w:r>
      <w:r w:rsidR="00C5439A">
        <w:rPr>
          <w:rFonts w:ascii="Calibri" w:hAnsi="Calibri"/>
        </w:rPr>
        <w:t>hlediska naplňování stanovených cílů.</w:t>
      </w:r>
      <w:r w:rsidR="00C5439A">
        <w:rPr>
          <w:rFonts w:asciiTheme="minorHAnsi" w:hAnsiTheme="minorHAnsi"/>
        </w:rPr>
        <w:t xml:space="preserve"> </w:t>
      </w:r>
      <w:r w:rsidR="00B63EC9">
        <w:rPr>
          <w:rFonts w:asciiTheme="minorHAnsi" w:hAnsiTheme="minorHAnsi"/>
        </w:rPr>
        <w:t>Byly</w:t>
      </w:r>
      <w:r w:rsidR="008C6F4B" w:rsidRPr="008C6F4B">
        <w:rPr>
          <w:rFonts w:asciiTheme="minorHAnsi" w:hAnsiTheme="minorHAnsi"/>
        </w:rPr>
        <w:t>-</w:t>
      </w:r>
      <w:r w:rsidR="00C5439A">
        <w:rPr>
          <w:rFonts w:asciiTheme="minorHAnsi" w:hAnsiTheme="minorHAnsi"/>
        </w:rPr>
        <w:t>l</w:t>
      </w:r>
      <w:r w:rsidR="008C6F4B" w:rsidRPr="008C6F4B">
        <w:rPr>
          <w:rFonts w:asciiTheme="minorHAnsi" w:hAnsiTheme="minorHAnsi"/>
        </w:rPr>
        <w:t>i splněny předpoklady pro pokračování</w:t>
      </w:r>
      <w:r w:rsidR="00552726">
        <w:rPr>
          <w:rFonts w:asciiTheme="minorHAnsi" w:hAnsiTheme="minorHAnsi"/>
        </w:rPr>
        <w:t xml:space="preserve"> podpory grantového projektu a </w:t>
      </w:r>
      <w:r w:rsidR="00B1645E">
        <w:rPr>
          <w:rFonts w:asciiTheme="minorHAnsi" w:hAnsiTheme="minorHAnsi"/>
        </w:rPr>
        <w:t>p</w:t>
      </w:r>
      <w:r w:rsidR="008C6F4B" w:rsidRPr="008C6F4B">
        <w:rPr>
          <w:rFonts w:asciiTheme="minorHAnsi" w:hAnsiTheme="minorHAnsi"/>
        </w:rPr>
        <w:t>ředsednictvo GA ČR rozhod</w:t>
      </w:r>
      <w:r w:rsidR="008C6F4B">
        <w:rPr>
          <w:rFonts w:asciiTheme="minorHAnsi" w:hAnsiTheme="minorHAnsi"/>
        </w:rPr>
        <w:t>lo</w:t>
      </w:r>
      <w:r w:rsidR="008C6F4B" w:rsidRPr="008C6F4B">
        <w:rPr>
          <w:rFonts w:asciiTheme="minorHAnsi" w:hAnsiTheme="minorHAnsi"/>
        </w:rPr>
        <w:t xml:space="preserve"> o pokračování podpory grantového projektu, zas</w:t>
      </w:r>
      <w:r w:rsidR="008C6F4B">
        <w:rPr>
          <w:rFonts w:asciiTheme="minorHAnsi" w:hAnsiTheme="minorHAnsi"/>
        </w:rPr>
        <w:t>lal</w:t>
      </w:r>
      <w:r w:rsidR="00EB318D">
        <w:rPr>
          <w:rFonts w:asciiTheme="minorHAnsi" w:hAnsiTheme="minorHAnsi"/>
        </w:rPr>
        <w:t>a</w:t>
      </w:r>
      <w:r w:rsidR="008C6F4B" w:rsidRPr="008C6F4B">
        <w:rPr>
          <w:rFonts w:asciiTheme="minorHAnsi" w:hAnsiTheme="minorHAnsi"/>
        </w:rPr>
        <w:t xml:space="preserve"> GA ČR příjemcům návrh dodatku ke smlouvě o</w:t>
      </w:r>
      <w:r w:rsidR="00320ED4">
        <w:rPr>
          <w:rFonts w:asciiTheme="minorHAnsi" w:hAnsiTheme="minorHAnsi"/>
        </w:rPr>
        <w:t> </w:t>
      </w:r>
      <w:r w:rsidR="008C6F4B" w:rsidRPr="008C6F4B">
        <w:rPr>
          <w:rFonts w:asciiTheme="minorHAnsi" w:hAnsiTheme="minorHAnsi"/>
        </w:rPr>
        <w:t>poskytnutí podpory</w:t>
      </w:r>
      <w:r w:rsidR="008C6F4B">
        <w:rPr>
          <w:rFonts w:asciiTheme="minorHAnsi" w:hAnsiTheme="minorHAnsi"/>
        </w:rPr>
        <w:t>.</w:t>
      </w:r>
    </w:p>
    <w:p w:rsidR="008C6F4B" w:rsidRDefault="008C6F4B" w:rsidP="006B0E02">
      <w:pPr>
        <w:jc w:val="both"/>
        <w:rPr>
          <w:rFonts w:asciiTheme="minorHAnsi" w:hAnsiTheme="minorHAnsi"/>
        </w:rPr>
      </w:pPr>
    </w:p>
    <w:p w:rsidR="008C6F4B" w:rsidRDefault="008C6F4B" w:rsidP="008C6F4B">
      <w:pPr>
        <w:jc w:val="both"/>
        <w:rPr>
          <w:rFonts w:asciiTheme="minorHAnsi" w:hAnsiTheme="minorHAnsi"/>
        </w:rPr>
      </w:pPr>
      <w:r>
        <w:rPr>
          <w:rFonts w:asciiTheme="minorHAnsi" w:hAnsiTheme="minorHAnsi"/>
        </w:rPr>
        <w:t>Zákon stanovuje, že u</w:t>
      </w:r>
      <w:r w:rsidRPr="008C6F4B">
        <w:rPr>
          <w:rFonts w:asciiTheme="minorHAnsi" w:hAnsiTheme="minorHAnsi"/>
        </w:rPr>
        <w:t xml:space="preserve"> víceletých projektů ve druhém roce a dalších letech řešení je povinností poskytovatele začít poskytovat podporu do 60 kalendářních dnů od začátku kalendářního roku v případě, že jsou </w:t>
      </w:r>
      <w:r w:rsidR="006D247E">
        <w:rPr>
          <w:rFonts w:asciiTheme="minorHAnsi" w:hAnsiTheme="minorHAnsi"/>
        </w:rPr>
        <w:t xml:space="preserve">mj. </w:t>
      </w:r>
      <w:r w:rsidRPr="008C6F4B">
        <w:rPr>
          <w:rFonts w:asciiTheme="minorHAnsi" w:hAnsiTheme="minorHAnsi"/>
        </w:rPr>
        <w:t xml:space="preserve">splněny závazky příjemce vyplývající </w:t>
      </w:r>
      <w:r w:rsidR="001C7EA1">
        <w:rPr>
          <w:rFonts w:asciiTheme="minorHAnsi" w:hAnsiTheme="minorHAnsi"/>
        </w:rPr>
        <w:t>ze</w:t>
      </w:r>
      <w:r w:rsidR="008F128F">
        <w:rPr>
          <w:rFonts w:asciiTheme="minorHAnsi" w:hAnsiTheme="minorHAnsi"/>
        </w:rPr>
        <w:t xml:space="preserve"> </w:t>
      </w:r>
      <w:r>
        <w:rPr>
          <w:rFonts w:asciiTheme="minorHAnsi" w:hAnsiTheme="minorHAnsi"/>
        </w:rPr>
        <w:t xml:space="preserve">smlouvy o poskytnutí podpory. </w:t>
      </w:r>
      <w:r w:rsidRPr="008C6F4B">
        <w:rPr>
          <w:rFonts w:asciiTheme="minorHAnsi" w:hAnsiTheme="minorHAnsi"/>
        </w:rPr>
        <w:t>Poskytování podpory na druhý rok a další roky řešení je dle GA</w:t>
      </w:r>
      <w:r w:rsidR="00813D72">
        <w:rPr>
          <w:rFonts w:asciiTheme="minorHAnsi" w:hAnsiTheme="minorHAnsi"/>
        </w:rPr>
        <w:t> </w:t>
      </w:r>
      <w:r w:rsidRPr="008C6F4B">
        <w:rPr>
          <w:rFonts w:asciiTheme="minorHAnsi" w:hAnsiTheme="minorHAnsi"/>
        </w:rPr>
        <w:t>ČR nastaveného systému vázáno na splnění podmínek, mezi kterými je mj. i povinnost příjemce podepsat dodatek ke</w:t>
      </w:r>
      <w:r w:rsidR="008F128F">
        <w:rPr>
          <w:rFonts w:asciiTheme="minorHAnsi" w:hAnsiTheme="minorHAnsi"/>
        </w:rPr>
        <w:t xml:space="preserve"> </w:t>
      </w:r>
      <w:r w:rsidRPr="008C6F4B">
        <w:rPr>
          <w:rFonts w:asciiTheme="minorHAnsi" w:hAnsiTheme="minorHAnsi"/>
        </w:rPr>
        <w:t>smlouvě o poskytnutí podpory</w:t>
      </w:r>
      <w:r w:rsidR="001C7EA1">
        <w:rPr>
          <w:rFonts w:asciiTheme="minorHAnsi" w:hAnsiTheme="minorHAnsi"/>
        </w:rPr>
        <w:t>. Tato povinnost je stanovena v </w:t>
      </w:r>
      <w:r w:rsidR="005B36C4">
        <w:rPr>
          <w:rFonts w:asciiTheme="minorHAnsi" w:hAnsiTheme="minorHAnsi"/>
        </w:rPr>
        <w:t>zadávací dokumentaci i </w:t>
      </w:r>
      <w:r w:rsidRPr="008C6F4B">
        <w:rPr>
          <w:rFonts w:asciiTheme="minorHAnsi" w:hAnsiTheme="minorHAnsi"/>
        </w:rPr>
        <w:t>uzavřené smlouvě o poskytnutí podpory.</w:t>
      </w:r>
    </w:p>
    <w:p w:rsidR="008C6F4B" w:rsidRDefault="008C6F4B" w:rsidP="006B0E02">
      <w:pPr>
        <w:jc w:val="both"/>
        <w:rPr>
          <w:rFonts w:asciiTheme="minorHAnsi" w:hAnsiTheme="minorHAnsi"/>
        </w:rPr>
      </w:pPr>
    </w:p>
    <w:p w:rsidR="00BA777C" w:rsidRDefault="00692959" w:rsidP="006B0E02">
      <w:pPr>
        <w:jc w:val="both"/>
        <w:rPr>
          <w:rFonts w:asciiTheme="minorHAnsi" w:hAnsiTheme="minorHAnsi"/>
        </w:rPr>
      </w:pPr>
      <w:r w:rsidRPr="00692959">
        <w:rPr>
          <w:rFonts w:asciiTheme="minorHAnsi" w:hAnsiTheme="minorHAnsi"/>
        </w:rPr>
        <w:t xml:space="preserve">Na vzorku 11 standardních projektů </w:t>
      </w:r>
      <w:r>
        <w:rPr>
          <w:rFonts w:asciiTheme="minorHAnsi" w:hAnsiTheme="minorHAnsi"/>
        </w:rPr>
        <w:t>NKÚ zjistil</w:t>
      </w:r>
      <w:r w:rsidRPr="00692959">
        <w:rPr>
          <w:rFonts w:asciiTheme="minorHAnsi" w:hAnsiTheme="minorHAnsi"/>
        </w:rPr>
        <w:t>, že v</w:t>
      </w:r>
      <w:r w:rsidR="00BA777C">
        <w:rPr>
          <w:rFonts w:asciiTheme="minorHAnsi" w:hAnsiTheme="minorHAnsi"/>
        </w:rPr>
        <w:t xml:space="preserve"> roce 2013 poskytla GA ČR podporu příjemcům v průměru až na konci května a v </w:t>
      </w:r>
      <w:r w:rsidRPr="00692959">
        <w:rPr>
          <w:rFonts w:asciiTheme="minorHAnsi" w:hAnsiTheme="minorHAnsi"/>
        </w:rPr>
        <w:t>letech 2014 a 2015 v průměru na začátku dubna.</w:t>
      </w:r>
      <w:r>
        <w:rPr>
          <w:rFonts w:asciiTheme="minorHAnsi" w:hAnsiTheme="minorHAnsi"/>
        </w:rPr>
        <w:t xml:space="preserve"> </w:t>
      </w:r>
      <w:r w:rsidR="009C2644">
        <w:rPr>
          <w:rFonts w:asciiTheme="minorHAnsi" w:hAnsiTheme="minorHAnsi"/>
        </w:rPr>
        <w:t>Kontrola průběhu řešení projektů zakončená návrhem dodatku</w:t>
      </w:r>
      <w:r w:rsidR="00586451">
        <w:rPr>
          <w:rFonts w:asciiTheme="minorHAnsi" w:hAnsiTheme="minorHAnsi"/>
        </w:rPr>
        <w:t xml:space="preserve"> ke smlouvě o poskytnutí podpory trvala v roce 2013 </w:t>
      </w:r>
      <w:r w:rsidR="00BB6F99">
        <w:rPr>
          <w:rFonts w:asciiTheme="minorHAnsi" w:hAnsiTheme="minorHAnsi"/>
        </w:rPr>
        <w:t xml:space="preserve">v průměru </w:t>
      </w:r>
      <w:r w:rsidR="00586451">
        <w:rPr>
          <w:rFonts w:asciiTheme="minorHAnsi" w:hAnsiTheme="minorHAnsi"/>
        </w:rPr>
        <w:t xml:space="preserve">do konce března a </w:t>
      </w:r>
      <w:r w:rsidR="009C2644" w:rsidRPr="009C2644">
        <w:rPr>
          <w:rFonts w:asciiTheme="minorHAnsi" w:hAnsiTheme="minorHAnsi"/>
        </w:rPr>
        <w:t xml:space="preserve">v letech 2014 a 2015 </w:t>
      </w:r>
      <w:r w:rsidR="00BB6F99">
        <w:rPr>
          <w:rFonts w:asciiTheme="minorHAnsi" w:hAnsiTheme="minorHAnsi"/>
        </w:rPr>
        <w:t xml:space="preserve">v průměru </w:t>
      </w:r>
      <w:r w:rsidR="00586451">
        <w:rPr>
          <w:rFonts w:asciiTheme="minorHAnsi" w:hAnsiTheme="minorHAnsi"/>
        </w:rPr>
        <w:t>do</w:t>
      </w:r>
      <w:r w:rsidR="008F128F">
        <w:rPr>
          <w:rFonts w:asciiTheme="minorHAnsi" w:hAnsiTheme="minorHAnsi"/>
        </w:rPr>
        <w:t xml:space="preserve"> </w:t>
      </w:r>
      <w:r w:rsidR="00586451">
        <w:rPr>
          <w:rFonts w:asciiTheme="minorHAnsi" w:hAnsiTheme="minorHAnsi"/>
        </w:rPr>
        <w:t xml:space="preserve">konce února. </w:t>
      </w:r>
      <w:r w:rsidR="00BA777C">
        <w:rPr>
          <w:rFonts w:asciiTheme="minorHAnsi" w:hAnsiTheme="minorHAnsi"/>
        </w:rPr>
        <w:t xml:space="preserve">Pozdní termíny vyplácení podpory byly způsobeny zejména procesem uzavírání </w:t>
      </w:r>
      <w:r w:rsidR="00BA777C" w:rsidRPr="00692959">
        <w:rPr>
          <w:rFonts w:asciiTheme="minorHAnsi" w:hAnsiTheme="minorHAnsi"/>
        </w:rPr>
        <w:t>dodatků ke smlouvám o poskytnutí podpory</w:t>
      </w:r>
      <w:r w:rsidR="00822396">
        <w:rPr>
          <w:rFonts w:asciiTheme="minorHAnsi" w:hAnsiTheme="minorHAnsi"/>
        </w:rPr>
        <w:t>. Tento proces</w:t>
      </w:r>
      <w:r w:rsidR="00BA777C">
        <w:rPr>
          <w:rFonts w:asciiTheme="minorHAnsi" w:hAnsiTheme="minorHAnsi"/>
        </w:rPr>
        <w:t xml:space="preserve"> trval v roce 2013</w:t>
      </w:r>
      <w:r w:rsidR="00BA777C" w:rsidRPr="00692959">
        <w:rPr>
          <w:rFonts w:asciiTheme="minorHAnsi" w:hAnsiTheme="minorHAnsi"/>
        </w:rPr>
        <w:t xml:space="preserve"> v</w:t>
      </w:r>
      <w:r w:rsidR="00320ED4">
        <w:rPr>
          <w:rFonts w:asciiTheme="minorHAnsi" w:hAnsiTheme="minorHAnsi"/>
        </w:rPr>
        <w:t> </w:t>
      </w:r>
      <w:r w:rsidR="00BA777C" w:rsidRPr="00692959">
        <w:rPr>
          <w:rFonts w:asciiTheme="minorHAnsi" w:hAnsiTheme="minorHAnsi"/>
        </w:rPr>
        <w:t>průměru téměř 2 měsíce</w:t>
      </w:r>
      <w:r w:rsidR="001C7EA1">
        <w:rPr>
          <w:rFonts w:asciiTheme="minorHAnsi" w:hAnsiTheme="minorHAnsi"/>
        </w:rPr>
        <w:t xml:space="preserve"> a </w:t>
      </w:r>
      <w:r w:rsidR="00BA777C" w:rsidRPr="00692959">
        <w:rPr>
          <w:rFonts w:asciiTheme="minorHAnsi" w:hAnsiTheme="minorHAnsi"/>
        </w:rPr>
        <w:t xml:space="preserve">v letech 2014 </w:t>
      </w:r>
      <w:r w:rsidR="00BB6F99">
        <w:rPr>
          <w:rFonts w:asciiTheme="minorHAnsi" w:hAnsiTheme="minorHAnsi"/>
        </w:rPr>
        <w:t xml:space="preserve">a 2015 </w:t>
      </w:r>
      <w:r w:rsidR="00BA777C" w:rsidRPr="00692959">
        <w:rPr>
          <w:rFonts w:asciiTheme="minorHAnsi" w:hAnsiTheme="minorHAnsi"/>
        </w:rPr>
        <w:t>v průměru více než měsíc</w:t>
      </w:r>
      <w:r w:rsidR="00BA777C">
        <w:rPr>
          <w:rFonts w:asciiTheme="minorHAnsi" w:hAnsiTheme="minorHAnsi"/>
        </w:rPr>
        <w:t>.</w:t>
      </w:r>
    </w:p>
    <w:p w:rsidR="00854C1C" w:rsidRDefault="00854C1C" w:rsidP="006B0E02">
      <w:pPr>
        <w:jc w:val="both"/>
        <w:rPr>
          <w:rFonts w:asciiTheme="minorHAnsi" w:hAnsiTheme="minorHAnsi"/>
        </w:rPr>
      </w:pPr>
    </w:p>
    <w:p w:rsidR="00167A55" w:rsidRPr="00D86CDE" w:rsidRDefault="006B0E02" w:rsidP="006B0E02">
      <w:pPr>
        <w:jc w:val="both"/>
        <w:rPr>
          <w:rFonts w:asciiTheme="minorHAnsi" w:hAnsiTheme="minorHAnsi"/>
        </w:rPr>
      </w:pPr>
      <w:r w:rsidRPr="00D86CDE">
        <w:rPr>
          <w:rFonts w:asciiTheme="minorHAnsi" w:hAnsiTheme="minorHAnsi"/>
        </w:rPr>
        <w:t xml:space="preserve">Zaslání podpory příjemcům </w:t>
      </w:r>
      <w:r w:rsidR="006D247E" w:rsidRPr="00D86CDE">
        <w:rPr>
          <w:rFonts w:asciiTheme="minorHAnsi" w:hAnsiTheme="minorHAnsi"/>
        </w:rPr>
        <w:t>bylo</w:t>
      </w:r>
      <w:r w:rsidRPr="00D86CDE">
        <w:rPr>
          <w:rFonts w:asciiTheme="minorHAnsi" w:hAnsiTheme="minorHAnsi"/>
        </w:rPr>
        <w:t xml:space="preserve"> dle nastavených podmínek možné až po </w:t>
      </w:r>
      <w:r w:rsidR="00EB318D" w:rsidRPr="00D86CDE">
        <w:rPr>
          <w:rFonts w:asciiTheme="minorHAnsi" w:hAnsiTheme="minorHAnsi"/>
        </w:rPr>
        <w:t>uzavření</w:t>
      </w:r>
      <w:r w:rsidRPr="00D86CDE">
        <w:rPr>
          <w:rFonts w:asciiTheme="minorHAnsi" w:hAnsiTheme="minorHAnsi"/>
        </w:rPr>
        <w:t xml:space="preserve"> dodatku ke</w:t>
      </w:r>
      <w:r w:rsidR="008F128F">
        <w:rPr>
          <w:rFonts w:asciiTheme="minorHAnsi" w:hAnsiTheme="minorHAnsi"/>
        </w:rPr>
        <w:t xml:space="preserve"> </w:t>
      </w:r>
      <w:r w:rsidRPr="00D86CDE">
        <w:rPr>
          <w:rFonts w:asciiTheme="minorHAnsi" w:hAnsiTheme="minorHAnsi"/>
        </w:rPr>
        <w:t>smlouvě o poskytnutí podpory, a to i u projektů, u kterých tímto dodatkem ne</w:t>
      </w:r>
      <w:r w:rsidR="006D247E" w:rsidRPr="00D86CDE">
        <w:rPr>
          <w:rFonts w:asciiTheme="minorHAnsi" w:hAnsiTheme="minorHAnsi"/>
        </w:rPr>
        <w:t>byly</w:t>
      </w:r>
      <w:r w:rsidRPr="00D86CDE">
        <w:rPr>
          <w:rFonts w:asciiTheme="minorHAnsi" w:hAnsiTheme="minorHAnsi"/>
        </w:rPr>
        <w:t xml:space="preserve"> měněny již sjednané podmínky. Takovýchto projektů </w:t>
      </w:r>
      <w:r w:rsidR="006D247E" w:rsidRPr="00D86CDE">
        <w:rPr>
          <w:rFonts w:asciiTheme="minorHAnsi" w:hAnsiTheme="minorHAnsi"/>
        </w:rPr>
        <w:t>bylo</w:t>
      </w:r>
      <w:r w:rsidRPr="00D86CDE">
        <w:rPr>
          <w:rFonts w:asciiTheme="minorHAnsi" w:hAnsiTheme="minorHAnsi"/>
        </w:rPr>
        <w:t xml:space="preserve"> přitom v rámci standardních projektů téměř 90</w:t>
      </w:r>
      <w:r w:rsidR="00BA777C">
        <w:rPr>
          <w:rFonts w:asciiTheme="minorHAnsi" w:hAnsiTheme="minorHAnsi"/>
        </w:rPr>
        <w:t> </w:t>
      </w:r>
      <w:r w:rsidRPr="00D86CDE">
        <w:rPr>
          <w:rFonts w:asciiTheme="minorHAnsi" w:hAnsiTheme="minorHAnsi"/>
        </w:rPr>
        <w:t xml:space="preserve">%. Vzhledem k množství každoročně řešených projektů </w:t>
      </w:r>
      <w:r w:rsidR="006D247E" w:rsidRPr="00D86CDE">
        <w:rPr>
          <w:rFonts w:asciiTheme="minorHAnsi" w:hAnsiTheme="minorHAnsi"/>
        </w:rPr>
        <w:t>byl</w:t>
      </w:r>
      <w:r w:rsidRPr="00D86CDE">
        <w:rPr>
          <w:rFonts w:asciiTheme="minorHAnsi" w:hAnsiTheme="minorHAnsi"/>
        </w:rPr>
        <w:t xml:space="preserve"> tento systém administrativně značně náročný a rovněž ved</w:t>
      </w:r>
      <w:r w:rsidR="006D247E" w:rsidRPr="00D86CDE">
        <w:rPr>
          <w:rFonts w:asciiTheme="minorHAnsi" w:hAnsiTheme="minorHAnsi"/>
        </w:rPr>
        <w:t>l</w:t>
      </w:r>
      <w:r w:rsidRPr="00D86CDE">
        <w:rPr>
          <w:rFonts w:asciiTheme="minorHAnsi" w:hAnsiTheme="minorHAnsi"/>
        </w:rPr>
        <w:t xml:space="preserve"> k pozdějšímu vyplácení podpory příjemcům.</w:t>
      </w:r>
    </w:p>
    <w:p w:rsidR="00603675" w:rsidRDefault="00603675" w:rsidP="006B0E02">
      <w:pPr>
        <w:jc w:val="both"/>
        <w:rPr>
          <w:rFonts w:asciiTheme="minorHAnsi" w:hAnsiTheme="minorHAnsi"/>
          <w:b/>
        </w:rPr>
      </w:pPr>
    </w:p>
    <w:p w:rsidR="00603675" w:rsidRDefault="008209F2" w:rsidP="00603675">
      <w:pPr>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sidRPr="00171622">
        <w:rPr>
          <w:rFonts w:asciiTheme="minorHAnsi" w:hAnsiTheme="minorHAnsi" w:cstheme="minorHAnsi"/>
        </w:rPr>
        <w:t>GA ČR vyplácela podporu na druhý a další roky řešení projektů vždy až po uzavření dodatku ke</w:t>
      </w:r>
      <w:r w:rsidR="008F128F">
        <w:rPr>
          <w:rFonts w:asciiTheme="minorHAnsi" w:hAnsiTheme="minorHAnsi" w:cstheme="minorHAnsi"/>
        </w:rPr>
        <w:t xml:space="preserve"> </w:t>
      </w:r>
      <w:r w:rsidRPr="00171622">
        <w:rPr>
          <w:rFonts w:asciiTheme="minorHAnsi" w:hAnsiTheme="minorHAnsi" w:cstheme="minorHAnsi"/>
        </w:rPr>
        <w:t>smlouvě o poskytnutí podpory na</w:t>
      </w:r>
      <w:r w:rsidR="008F128F">
        <w:rPr>
          <w:rFonts w:asciiTheme="minorHAnsi" w:hAnsiTheme="minorHAnsi" w:cstheme="minorHAnsi"/>
        </w:rPr>
        <w:t xml:space="preserve"> </w:t>
      </w:r>
      <w:r w:rsidRPr="00171622">
        <w:rPr>
          <w:rFonts w:asciiTheme="minorHAnsi" w:hAnsiTheme="minorHAnsi" w:cstheme="minorHAnsi"/>
        </w:rPr>
        <w:t>daný rok</w:t>
      </w:r>
      <w:r>
        <w:rPr>
          <w:rFonts w:asciiTheme="minorHAnsi" w:hAnsiTheme="minorHAnsi" w:cstheme="minorHAnsi"/>
        </w:rPr>
        <w:t>.</w:t>
      </w:r>
      <w:r w:rsidR="001C228E" w:rsidRPr="0093705E">
        <w:rPr>
          <w:rFonts w:asciiTheme="minorHAnsi" w:hAnsiTheme="minorHAnsi"/>
        </w:rPr>
        <w:t xml:space="preserve"> Těmito dodatky přitom nebyly ve většině případů měněny již sjednané podmínky. </w:t>
      </w:r>
      <w:r w:rsidR="00010D18">
        <w:rPr>
          <w:rFonts w:asciiTheme="minorHAnsi" w:hAnsiTheme="minorHAnsi"/>
        </w:rPr>
        <w:t>Povinnost</w:t>
      </w:r>
      <w:r w:rsidR="001C228E" w:rsidRPr="0093705E">
        <w:rPr>
          <w:rFonts w:asciiTheme="minorHAnsi" w:hAnsiTheme="minorHAnsi"/>
        </w:rPr>
        <w:t xml:space="preserve"> </w:t>
      </w:r>
      <w:r w:rsidR="001C228E">
        <w:rPr>
          <w:rFonts w:asciiTheme="minorHAnsi" w:hAnsiTheme="minorHAnsi"/>
        </w:rPr>
        <w:t>uzavření</w:t>
      </w:r>
      <w:r w:rsidR="001C228E" w:rsidRPr="0093705E">
        <w:rPr>
          <w:rFonts w:asciiTheme="minorHAnsi" w:hAnsiTheme="minorHAnsi"/>
        </w:rPr>
        <w:t xml:space="preserve"> těchto dodatků </w:t>
      </w:r>
      <w:r w:rsidR="001C228E" w:rsidRPr="0093705E">
        <w:rPr>
          <w:rFonts w:ascii="Calibri" w:hAnsi="Calibri"/>
        </w:rPr>
        <w:t>vedla k</w:t>
      </w:r>
      <w:r w:rsidR="00320ED4">
        <w:rPr>
          <w:rFonts w:ascii="Calibri" w:hAnsi="Calibri"/>
        </w:rPr>
        <w:t> </w:t>
      </w:r>
      <w:r w:rsidR="001C228E" w:rsidRPr="0093705E">
        <w:rPr>
          <w:rFonts w:ascii="Calibri" w:hAnsi="Calibri"/>
        </w:rPr>
        <w:t>administrativně náročnému systému pro GA ČR i příjemce a rovněž k pozdějšímu vyplácení podpory příjemcům.</w:t>
      </w:r>
    </w:p>
    <w:p w:rsidR="00603675" w:rsidRDefault="00603675" w:rsidP="006B0E02">
      <w:pPr>
        <w:jc w:val="both"/>
        <w:rPr>
          <w:rFonts w:asciiTheme="minorHAnsi" w:hAnsiTheme="minorHAnsi"/>
          <w:b/>
        </w:rPr>
      </w:pPr>
    </w:p>
    <w:p w:rsidR="00AC460D" w:rsidRDefault="00AC460D" w:rsidP="006B0E02">
      <w:pPr>
        <w:jc w:val="both"/>
        <w:rPr>
          <w:rFonts w:asciiTheme="minorHAnsi" w:hAnsiTheme="minorHAnsi"/>
          <w:b/>
        </w:rPr>
      </w:pPr>
    </w:p>
    <w:p w:rsidR="00AC460D" w:rsidRDefault="00AC460D" w:rsidP="006B0E02">
      <w:pPr>
        <w:jc w:val="both"/>
        <w:rPr>
          <w:rFonts w:asciiTheme="minorHAnsi" w:hAnsiTheme="minorHAnsi"/>
          <w:b/>
        </w:rPr>
      </w:pPr>
    </w:p>
    <w:p w:rsidR="00AC460D" w:rsidRDefault="00AC460D" w:rsidP="006B0E02">
      <w:pPr>
        <w:jc w:val="both"/>
        <w:rPr>
          <w:rFonts w:asciiTheme="minorHAnsi" w:hAnsiTheme="minorHAnsi"/>
          <w:b/>
        </w:rPr>
      </w:pPr>
    </w:p>
    <w:p w:rsidR="005344F6" w:rsidRDefault="00A30E3A" w:rsidP="006B0E02">
      <w:pPr>
        <w:jc w:val="both"/>
        <w:rPr>
          <w:rFonts w:asciiTheme="minorHAnsi" w:hAnsiTheme="minorHAnsi" w:cstheme="minorHAnsi"/>
          <w:b/>
        </w:rPr>
      </w:pPr>
      <w:r>
        <w:rPr>
          <w:rFonts w:asciiTheme="minorHAnsi" w:hAnsiTheme="minorHAnsi" w:cstheme="minorHAnsi"/>
          <w:b/>
        </w:rPr>
        <w:lastRenderedPageBreak/>
        <w:t>5</w:t>
      </w:r>
      <w:r w:rsidR="00EB318D">
        <w:rPr>
          <w:rFonts w:asciiTheme="minorHAnsi" w:hAnsiTheme="minorHAnsi" w:cstheme="minorHAnsi"/>
          <w:b/>
        </w:rPr>
        <w:t xml:space="preserve">. </w:t>
      </w:r>
      <w:r w:rsidR="00C94080" w:rsidRPr="00C94080">
        <w:rPr>
          <w:rFonts w:asciiTheme="minorHAnsi" w:hAnsiTheme="minorHAnsi" w:cstheme="minorHAnsi"/>
          <w:b/>
        </w:rPr>
        <w:t>GA ČR nesledovala kvalitu dosahovaných výsledků souhrnně za poskytnutou podporu</w:t>
      </w:r>
    </w:p>
    <w:p w:rsidR="003F6DC7" w:rsidRDefault="003F6DC7" w:rsidP="006B0E02">
      <w:pPr>
        <w:jc w:val="both"/>
        <w:rPr>
          <w:rFonts w:asciiTheme="minorHAnsi" w:hAnsiTheme="minorHAnsi" w:cstheme="minorHAnsi"/>
          <w:b/>
        </w:rPr>
      </w:pPr>
    </w:p>
    <w:p w:rsidR="003F6DC7" w:rsidRPr="00680CC9" w:rsidRDefault="003F6DC7" w:rsidP="003F6DC7">
      <w:pPr>
        <w:shd w:val="clear" w:color="auto" w:fill="D9D9D9" w:themeFill="background1" w:themeFillShade="D9"/>
        <w:autoSpaceDE w:val="0"/>
        <w:autoSpaceDN w:val="0"/>
        <w:adjustRightInd w:val="0"/>
        <w:jc w:val="both"/>
        <w:rPr>
          <w:rFonts w:asciiTheme="minorHAnsi" w:hAnsiTheme="minorHAnsi"/>
        </w:rPr>
      </w:pPr>
      <w:r w:rsidRPr="000424FF">
        <w:rPr>
          <w:rFonts w:asciiTheme="minorHAnsi" w:hAnsiTheme="minorHAnsi"/>
        </w:rPr>
        <w:t>Zásadním předpokladem řádné činnosti poskytovatele je sledování a vyhodnocování poskytnuté podpory.</w:t>
      </w:r>
      <w:r w:rsidR="008E5F3A" w:rsidRPr="000424FF">
        <w:rPr>
          <w:rFonts w:asciiTheme="minorHAnsi" w:hAnsiTheme="minorHAnsi"/>
        </w:rPr>
        <w:t xml:space="preserve"> </w:t>
      </w:r>
      <w:r w:rsidR="001C7EA1" w:rsidRPr="000424FF">
        <w:rPr>
          <w:rFonts w:asciiTheme="minorHAnsi" w:hAnsiTheme="minorHAnsi"/>
        </w:rPr>
        <w:t>Takové sledování a </w:t>
      </w:r>
      <w:r w:rsidRPr="000424FF">
        <w:rPr>
          <w:rFonts w:asciiTheme="minorHAnsi" w:hAnsiTheme="minorHAnsi"/>
        </w:rPr>
        <w:t xml:space="preserve">vyhodnocování </w:t>
      </w:r>
      <w:r w:rsidR="00C60D98" w:rsidRPr="000424FF">
        <w:rPr>
          <w:rFonts w:asciiTheme="minorHAnsi" w:hAnsiTheme="minorHAnsi"/>
        </w:rPr>
        <w:t>dává</w:t>
      </w:r>
      <w:r w:rsidRPr="000424FF">
        <w:rPr>
          <w:rFonts w:asciiTheme="minorHAnsi" w:hAnsiTheme="minorHAnsi"/>
        </w:rPr>
        <w:t xml:space="preserve"> </w:t>
      </w:r>
      <w:r w:rsidR="00B06347" w:rsidRPr="000424FF">
        <w:rPr>
          <w:rFonts w:asciiTheme="minorHAnsi" w:hAnsiTheme="minorHAnsi"/>
        </w:rPr>
        <w:t>poskytovateli</w:t>
      </w:r>
      <w:r w:rsidRPr="000424FF">
        <w:rPr>
          <w:rFonts w:asciiTheme="minorHAnsi" w:hAnsiTheme="minorHAnsi"/>
        </w:rPr>
        <w:t xml:space="preserve"> ujištění, že </w:t>
      </w:r>
      <w:r w:rsidR="00B06347" w:rsidRPr="000424FF">
        <w:rPr>
          <w:rFonts w:asciiTheme="minorHAnsi" w:hAnsiTheme="minorHAnsi"/>
        </w:rPr>
        <w:t xml:space="preserve">poskytovaná podpora přináší požadované výsledky a v případě jejich nedosahování </w:t>
      </w:r>
      <w:r w:rsidR="005652A0" w:rsidRPr="000424FF">
        <w:rPr>
          <w:rFonts w:asciiTheme="minorHAnsi" w:hAnsiTheme="minorHAnsi"/>
        </w:rPr>
        <w:t xml:space="preserve">možnost </w:t>
      </w:r>
      <w:r w:rsidR="00B06347" w:rsidRPr="000424FF">
        <w:rPr>
          <w:rFonts w:asciiTheme="minorHAnsi" w:hAnsiTheme="minorHAnsi"/>
        </w:rPr>
        <w:t>upravit systém poskytování této podpory</w:t>
      </w:r>
      <w:r w:rsidR="00B06347" w:rsidRPr="00680CC9">
        <w:rPr>
          <w:rFonts w:asciiTheme="minorHAnsi" w:hAnsiTheme="minorHAnsi"/>
        </w:rPr>
        <w:t>.</w:t>
      </w:r>
    </w:p>
    <w:p w:rsidR="008F128F" w:rsidRDefault="008F128F" w:rsidP="003F6DC7">
      <w:pPr>
        <w:shd w:val="clear" w:color="auto" w:fill="D9D9D9" w:themeFill="background1" w:themeFillShade="D9"/>
        <w:autoSpaceDE w:val="0"/>
        <w:autoSpaceDN w:val="0"/>
        <w:adjustRightInd w:val="0"/>
        <w:jc w:val="both"/>
        <w:rPr>
          <w:rFonts w:asciiTheme="minorHAnsi" w:hAnsiTheme="minorHAnsi" w:cs="Arial"/>
        </w:rPr>
      </w:pPr>
    </w:p>
    <w:p w:rsidR="003F6DC7" w:rsidRPr="005A2C92" w:rsidRDefault="003F6DC7" w:rsidP="003F6DC7">
      <w:pPr>
        <w:shd w:val="clear" w:color="auto" w:fill="D9D9D9" w:themeFill="background1" w:themeFillShade="D9"/>
        <w:autoSpaceDE w:val="0"/>
        <w:autoSpaceDN w:val="0"/>
        <w:adjustRightInd w:val="0"/>
        <w:jc w:val="both"/>
        <w:rPr>
          <w:rFonts w:asciiTheme="minorHAnsi" w:hAnsiTheme="minorHAnsi"/>
          <w:b/>
        </w:rPr>
      </w:pPr>
      <w:r w:rsidRPr="00744AB5">
        <w:rPr>
          <w:rFonts w:asciiTheme="minorHAnsi" w:hAnsiTheme="minorHAnsi" w:cs="Arial"/>
        </w:rPr>
        <w:t xml:space="preserve">Kontrolou bylo </w:t>
      </w:r>
      <w:r>
        <w:rPr>
          <w:rFonts w:asciiTheme="minorHAnsi" w:hAnsiTheme="minorHAnsi" w:cs="Arial"/>
        </w:rPr>
        <w:t xml:space="preserve">proto </w:t>
      </w:r>
      <w:r w:rsidR="008F128F">
        <w:rPr>
          <w:rFonts w:asciiTheme="minorHAnsi" w:hAnsiTheme="minorHAnsi" w:cs="Arial"/>
        </w:rPr>
        <w:t>pr</w:t>
      </w:r>
      <w:r w:rsidRPr="00744AB5">
        <w:rPr>
          <w:rFonts w:asciiTheme="minorHAnsi" w:hAnsiTheme="minorHAnsi" w:cs="Arial"/>
        </w:rPr>
        <w:t xml:space="preserve">ověřeno, zda </w:t>
      </w:r>
      <w:r w:rsidR="00B06347">
        <w:rPr>
          <w:rFonts w:asciiTheme="minorHAnsi" w:hAnsiTheme="minorHAnsi" w:cs="Arial"/>
        </w:rPr>
        <w:t xml:space="preserve">GA ČR sledovala a vyhodnocovala </w:t>
      </w:r>
      <w:r w:rsidRPr="005A2C92">
        <w:rPr>
          <w:rFonts w:asciiTheme="minorHAnsi" w:hAnsiTheme="minorHAnsi" w:cs="Arial"/>
        </w:rPr>
        <w:t xml:space="preserve">dosažené výsledky </w:t>
      </w:r>
      <w:r w:rsidR="001C7EA1">
        <w:rPr>
          <w:rFonts w:asciiTheme="minorHAnsi" w:hAnsiTheme="minorHAnsi" w:cs="Arial"/>
        </w:rPr>
        <w:t>u </w:t>
      </w:r>
      <w:r w:rsidR="00B06347" w:rsidRPr="005A2C92">
        <w:rPr>
          <w:rFonts w:asciiTheme="minorHAnsi" w:hAnsiTheme="minorHAnsi" w:cs="Arial"/>
        </w:rPr>
        <w:t>jednotlivých podpořených projektů a souhrnně za celou poskytnutou podporu.</w:t>
      </w:r>
      <w:r w:rsidR="00A30E3A" w:rsidRPr="005A2C92">
        <w:rPr>
          <w:rFonts w:asciiTheme="minorHAnsi" w:hAnsiTheme="minorHAnsi" w:cs="Arial"/>
        </w:rPr>
        <w:t xml:space="preserve"> </w:t>
      </w:r>
    </w:p>
    <w:p w:rsidR="003F6DC7" w:rsidRPr="005A2C92" w:rsidRDefault="003F6DC7" w:rsidP="003F6DC7">
      <w:pPr>
        <w:jc w:val="both"/>
        <w:rPr>
          <w:rFonts w:asciiTheme="minorHAnsi" w:hAnsiTheme="minorHAnsi"/>
          <w:b/>
        </w:rPr>
      </w:pPr>
    </w:p>
    <w:p w:rsidR="00C94080" w:rsidRPr="005A2C92" w:rsidRDefault="00F32DDD" w:rsidP="00C94080">
      <w:pPr>
        <w:jc w:val="both"/>
        <w:rPr>
          <w:rFonts w:asciiTheme="minorHAnsi" w:hAnsiTheme="minorHAnsi"/>
        </w:rPr>
      </w:pPr>
      <w:r w:rsidRPr="005A2C92">
        <w:rPr>
          <w:rFonts w:asciiTheme="minorHAnsi" w:hAnsiTheme="minorHAnsi"/>
        </w:rPr>
        <w:t>V letech 2011 až 2015 došlo ke každoročnímu nárůstu účelové podpory základního výzkumu GA ČR. V roce 2015 činila tato podpora 3,57 mld. Kč, tedy o 1,21 mld. Kč více, tj. o 51 % více než v roce 2011.</w:t>
      </w:r>
      <w:r>
        <w:rPr>
          <w:rFonts w:asciiTheme="minorHAnsi" w:hAnsiTheme="minorHAnsi"/>
        </w:rPr>
        <w:t xml:space="preserve"> </w:t>
      </w:r>
      <w:r w:rsidR="00AE5A8B" w:rsidRPr="005A2C92">
        <w:rPr>
          <w:rFonts w:asciiTheme="minorHAnsi" w:hAnsiTheme="minorHAnsi"/>
        </w:rPr>
        <w:t>V rámci celkových dopadů</w:t>
      </w:r>
      <w:r w:rsidR="00A0790C" w:rsidRPr="005A2C92">
        <w:rPr>
          <w:rFonts w:asciiTheme="minorHAnsi" w:hAnsiTheme="minorHAnsi"/>
        </w:rPr>
        <w:t xml:space="preserve"> poskytnuté podpory GA ČR monitoroval</w:t>
      </w:r>
      <w:r w:rsidR="00B35B30" w:rsidRPr="005A2C92">
        <w:rPr>
          <w:rFonts w:asciiTheme="minorHAnsi" w:hAnsiTheme="minorHAnsi"/>
        </w:rPr>
        <w:t>a</w:t>
      </w:r>
      <w:r w:rsidR="00AE5A8B" w:rsidRPr="005A2C92">
        <w:rPr>
          <w:rFonts w:asciiTheme="minorHAnsi" w:hAnsiTheme="minorHAnsi"/>
        </w:rPr>
        <w:t xml:space="preserve"> především</w:t>
      </w:r>
      <w:r w:rsidR="00A0790C" w:rsidRPr="005A2C92">
        <w:rPr>
          <w:rFonts w:asciiTheme="minorHAnsi" w:hAnsiTheme="minorHAnsi"/>
        </w:rPr>
        <w:t xml:space="preserve"> počet dosažených výsledků. Nejčastějším druhem výsledku v l</w:t>
      </w:r>
      <w:r w:rsidR="001C7EA1">
        <w:rPr>
          <w:rFonts w:asciiTheme="minorHAnsi" w:hAnsiTheme="minorHAnsi"/>
        </w:rPr>
        <w:t>etech 2011 až 2015 byl článek v </w:t>
      </w:r>
      <w:r w:rsidR="00A0790C" w:rsidRPr="005A2C92">
        <w:rPr>
          <w:rFonts w:asciiTheme="minorHAnsi" w:hAnsiTheme="minorHAnsi"/>
        </w:rPr>
        <w:t>odborném periodiku. I</w:t>
      </w:r>
      <w:r w:rsidR="005652A0" w:rsidRPr="005A2C92">
        <w:rPr>
          <w:rFonts w:asciiTheme="minorHAnsi" w:hAnsiTheme="minorHAnsi"/>
        </w:rPr>
        <w:t>nformační systém</w:t>
      </w:r>
      <w:r w:rsidR="00A0790C" w:rsidRPr="005A2C92">
        <w:rPr>
          <w:rFonts w:asciiTheme="minorHAnsi" w:hAnsiTheme="minorHAnsi"/>
        </w:rPr>
        <w:t xml:space="preserve"> </w:t>
      </w:r>
      <w:proofErr w:type="spellStart"/>
      <w:r w:rsidR="00A0790C" w:rsidRPr="005A2C92">
        <w:rPr>
          <w:rFonts w:asciiTheme="minorHAnsi" w:hAnsiTheme="minorHAnsi"/>
        </w:rPr>
        <w:t>VaVaI</w:t>
      </w:r>
      <w:proofErr w:type="spellEnd"/>
      <w:r w:rsidR="00A0790C" w:rsidRPr="005A2C92">
        <w:rPr>
          <w:rFonts w:asciiTheme="minorHAnsi" w:hAnsiTheme="minorHAnsi"/>
        </w:rPr>
        <w:t xml:space="preserve"> v této kategorii nerozlišuje period</w:t>
      </w:r>
      <w:r w:rsidR="006C3BB7" w:rsidRPr="005A2C92">
        <w:rPr>
          <w:rFonts w:asciiTheme="minorHAnsi" w:hAnsiTheme="minorHAnsi"/>
        </w:rPr>
        <w:t>ika impaktovaná a neimpaktovaná</w:t>
      </w:r>
      <w:r w:rsidR="006C3BB7" w:rsidRPr="005A2C92">
        <w:rPr>
          <w:rStyle w:val="Znakapoznpodarou"/>
          <w:rFonts w:asciiTheme="minorHAnsi" w:hAnsiTheme="minorHAnsi"/>
        </w:rPr>
        <w:footnoteReference w:id="10"/>
      </w:r>
      <w:r w:rsidR="00A0790C" w:rsidRPr="005A2C92">
        <w:rPr>
          <w:rFonts w:asciiTheme="minorHAnsi" w:hAnsiTheme="minorHAnsi"/>
        </w:rPr>
        <w:t xml:space="preserve">. Vývoj počtu výsledků </w:t>
      </w:r>
      <w:r w:rsidR="00DA7F39" w:rsidRPr="005A2C92">
        <w:rPr>
          <w:rFonts w:asciiTheme="minorHAnsi" w:hAnsiTheme="minorHAnsi"/>
        </w:rPr>
        <w:t>projektů podporovaných GA</w:t>
      </w:r>
      <w:r w:rsidR="00320ED4">
        <w:rPr>
          <w:rFonts w:asciiTheme="minorHAnsi" w:hAnsiTheme="minorHAnsi"/>
        </w:rPr>
        <w:t> </w:t>
      </w:r>
      <w:r w:rsidR="00DA7F39" w:rsidRPr="005A2C92">
        <w:rPr>
          <w:rFonts w:asciiTheme="minorHAnsi" w:hAnsiTheme="minorHAnsi"/>
        </w:rPr>
        <w:t>ČR</w:t>
      </w:r>
      <w:r w:rsidR="00A0790C" w:rsidRPr="005A2C92">
        <w:rPr>
          <w:rFonts w:asciiTheme="minorHAnsi" w:hAnsiTheme="minorHAnsi"/>
        </w:rPr>
        <w:t xml:space="preserve"> </w:t>
      </w:r>
      <w:r w:rsidR="006C3BB7" w:rsidRPr="005A2C92">
        <w:rPr>
          <w:rFonts w:asciiTheme="minorHAnsi" w:hAnsiTheme="minorHAnsi"/>
        </w:rPr>
        <w:t xml:space="preserve">je uveden </w:t>
      </w:r>
      <w:r w:rsidR="00C94080" w:rsidRPr="005A2C92">
        <w:rPr>
          <w:rFonts w:asciiTheme="minorHAnsi" w:hAnsiTheme="minorHAnsi"/>
        </w:rPr>
        <w:t>v následující tabulce.</w:t>
      </w:r>
    </w:p>
    <w:p w:rsidR="00C94080" w:rsidRPr="005A2C92" w:rsidRDefault="00C94080" w:rsidP="00C94080">
      <w:pPr>
        <w:jc w:val="both"/>
        <w:rPr>
          <w:rFonts w:asciiTheme="minorHAnsi" w:hAnsiTheme="minorHAnsi"/>
        </w:rPr>
      </w:pPr>
    </w:p>
    <w:p w:rsidR="00C94080" w:rsidRPr="00586F68" w:rsidRDefault="00C94080" w:rsidP="00044C21">
      <w:pPr>
        <w:keepNext/>
        <w:ind w:left="1276" w:hanging="1276"/>
        <w:jc w:val="both"/>
        <w:rPr>
          <w:rFonts w:asciiTheme="minorHAnsi" w:hAnsiTheme="minorHAnsi"/>
          <w:b/>
        </w:rPr>
      </w:pPr>
      <w:r w:rsidRPr="00586F68">
        <w:rPr>
          <w:rFonts w:asciiTheme="minorHAnsi" w:hAnsiTheme="minorHAnsi"/>
          <w:b/>
        </w:rPr>
        <w:t>Tabulka č. 2: Počet dosažených výsledků základního výzkumu podporovaného GA ČR za roky 2011 až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7"/>
        <w:gridCol w:w="911"/>
        <w:gridCol w:w="912"/>
        <w:gridCol w:w="912"/>
        <w:gridCol w:w="912"/>
        <w:gridCol w:w="912"/>
        <w:gridCol w:w="966"/>
      </w:tblGrid>
      <w:tr w:rsidR="00C94080" w:rsidRPr="008F5E6A" w:rsidTr="00044C21">
        <w:trPr>
          <w:cantSplit/>
          <w:trHeight w:val="227"/>
        </w:trPr>
        <w:tc>
          <w:tcPr>
            <w:tcW w:w="1952"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Výsledek</w:t>
            </w:r>
          </w:p>
        </w:tc>
        <w:tc>
          <w:tcPr>
            <w:tcW w:w="503"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2011</w:t>
            </w:r>
          </w:p>
        </w:tc>
        <w:tc>
          <w:tcPr>
            <w:tcW w:w="503"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2012</w:t>
            </w:r>
          </w:p>
        </w:tc>
        <w:tc>
          <w:tcPr>
            <w:tcW w:w="503"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2013</w:t>
            </w:r>
          </w:p>
        </w:tc>
        <w:tc>
          <w:tcPr>
            <w:tcW w:w="503"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2014</w:t>
            </w:r>
          </w:p>
        </w:tc>
        <w:tc>
          <w:tcPr>
            <w:tcW w:w="503"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2015</w:t>
            </w:r>
          </w:p>
        </w:tc>
        <w:tc>
          <w:tcPr>
            <w:tcW w:w="534" w:type="pct"/>
            <w:shd w:val="clear" w:color="000000" w:fill="DDEBF7"/>
            <w:noWrap/>
            <w:vAlign w:val="bottom"/>
            <w:hideMark/>
          </w:tcPr>
          <w:p w:rsidR="00C94080" w:rsidRPr="008F5E6A" w:rsidRDefault="00C94080" w:rsidP="00044C21">
            <w:pPr>
              <w:keepNext/>
              <w:widowControl w:val="0"/>
              <w:jc w:val="center"/>
              <w:rPr>
                <w:rFonts w:ascii="Calibri" w:hAnsi="Calibri" w:cs="Calibri"/>
                <w:color w:val="000000"/>
                <w:sz w:val="20"/>
                <w:szCs w:val="20"/>
              </w:rPr>
            </w:pPr>
            <w:r w:rsidRPr="008F5E6A">
              <w:rPr>
                <w:rFonts w:ascii="Calibri" w:hAnsi="Calibri" w:cs="Calibri"/>
                <w:color w:val="000000"/>
                <w:sz w:val="20"/>
                <w:szCs w:val="20"/>
              </w:rPr>
              <w:t>Celkem</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Článek v odborném periodiku</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5 663</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6 215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5 900</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6 424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9 292</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33 494</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Článek ve sborníku</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3 704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2 987</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2 381</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2 514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2 669</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14 255</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Ostatní výsledky</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864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835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665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734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1 033</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4 131</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Kapitola resp. kapitoly v odborné knize</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745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1 141</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585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565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666</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3 702</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Výsledky aplikovaného výzkumu</w:t>
            </w:r>
            <w:r w:rsidR="00793682" w:rsidRPr="008F5E6A">
              <w:rPr>
                <w:rStyle w:val="Znakapoznpodarou"/>
                <w:rFonts w:ascii="Calibri" w:hAnsi="Calibri" w:cs="Calibri"/>
                <w:color w:val="000000"/>
                <w:sz w:val="20"/>
                <w:szCs w:val="20"/>
              </w:rPr>
              <w:footnoteReference w:id="11"/>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517</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432</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294</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298</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265</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1 806</w:t>
            </w:r>
          </w:p>
        </w:tc>
      </w:tr>
      <w:tr w:rsidR="00C94080" w:rsidRPr="008F5E6A" w:rsidTr="00044C21">
        <w:trPr>
          <w:cantSplit/>
          <w:trHeight w:val="227"/>
        </w:trPr>
        <w:tc>
          <w:tcPr>
            <w:tcW w:w="1952" w:type="pct"/>
            <w:shd w:val="clear" w:color="auto" w:fill="auto"/>
            <w:noWrap/>
            <w:vAlign w:val="bottom"/>
            <w:hideMark/>
          </w:tcPr>
          <w:p w:rsidR="00C94080" w:rsidRPr="008F5E6A" w:rsidRDefault="00C94080" w:rsidP="00044C21">
            <w:pPr>
              <w:keepNext/>
              <w:widowControl w:val="0"/>
              <w:rPr>
                <w:rFonts w:ascii="Calibri" w:hAnsi="Calibri" w:cs="Calibri"/>
                <w:color w:val="000000"/>
                <w:sz w:val="20"/>
                <w:szCs w:val="20"/>
              </w:rPr>
            </w:pPr>
            <w:r w:rsidRPr="008F5E6A">
              <w:rPr>
                <w:rFonts w:ascii="Calibri" w:hAnsi="Calibri" w:cs="Calibri"/>
                <w:color w:val="000000"/>
                <w:sz w:val="20"/>
                <w:szCs w:val="20"/>
              </w:rPr>
              <w:t>Odborná kniha</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285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246</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235</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260</w:t>
            </w:r>
          </w:p>
        </w:tc>
        <w:tc>
          <w:tcPr>
            <w:tcW w:w="503"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292</w:t>
            </w:r>
          </w:p>
        </w:tc>
        <w:tc>
          <w:tcPr>
            <w:tcW w:w="534" w:type="pct"/>
            <w:shd w:val="clear" w:color="auto" w:fill="auto"/>
            <w:noWrap/>
            <w:vAlign w:val="bottom"/>
            <w:hideMark/>
          </w:tcPr>
          <w:p w:rsidR="00C94080" w:rsidRPr="008F5E6A" w:rsidRDefault="00C94080" w:rsidP="00044C21">
            <w:pPr>
              <w:keepNext/>
              <w:widowControl w:val="0"/>
              <w:ind w:right="57"/>
              <w:jc w:val="right"/>
              <w:rPr>
                <w:rFonts w:ascii="Calibri" w:hAnsi="Calibri" w:cs="Calibri"/>
                <w:color w:val="000000"/>
                <w:sz w:val="20"/>
                <w:szCs w:val="20"/>
              </w:rPr>
            </w:pPr>
            <w:r w:rsidRPr="008F5E6A">
              <w:rPr>
                <w:rFonts w:ascii="Calibri" w:hAnsi="Calibri" w:cs="Calibri"/>
                <w:color w:val="000000"/>
                <w:sz w:val="20"/>
                <w:szCs w:val="20"/>
              </w:rPr>
              <w:t>1 318</w:t>
            </w:r>
          </w:p>
        </w:tc>
      </w:tr>
    </w:tbl>
    <w:p w:rsidR="006C3BB7" w:rsidRPr="008F5E6A" w:rsidRDefault="00C94080" w:rsidP="00044C21">
      <w:pPr>
        <w:widowControl w:val="0"/>
        <w:ind w:left="567" w:hanging="567"/>
        <w:rPr>
          <w:rFonts w:ascii="Calibri" w:hAnsi="Calibri" w:cs="Calibri"/>
          <w:sz w:val="20"/>
          <w:lang w:eastAsia="en-US"/>
        </w:rPr>
      </w:pPr>
      <w:r w:rsidRPr="008F5E6A">
        <w:rPr>
          <w:rFonts w:ascii="Calibri" w:hAnsi="Calibri" w:cs="Calibri"/>
          <w:b/>
          <w:sz w:val="20"/>
          <w:lang w:eastAsia="en-US"/>
        </w:rPr>
        <w:t>Zdroj:</w:t>
      </w:r>
      <w:r w:rsidR="00586F68" w:rsidRPr="008F5E6A">
        <w:rPr>
          <w:rFonts w:ascii="Calibri" w:hAnsi="Calibri" w:cs="Calibri"/>
          <w:sz w:val="20"/>
          <w:lang w:eastAsia="en-US"/>
        </w:rPr>
        <w:tab/>
      </w:r>
      <w:r w:rsidR="008F128F">
        <w:rPr>
          <w:rFonts w:ascii="Calibri" w:hAnsi="Calibri" w:cs="Calibri"/>
          <w:sz w:val="20"/>
          <w:lang w:eastAsia="en-US"/>
        </w:rPr>
        <w:t>i</w:t>
      </w:r>
      <w:r w:rsidR="005B36C4" w:rsidRPr="008F5E6A">
        <w:rPr>
          <w:rFonts w:ascii="Calibri" w:hAnsi="Calibri" w:cs="Calibri"/>
          <w:sz w:val="20"/>
          <w:lang w:eastAsia="en-US"/>
        </w:rPr>
        <w:t xml:space="preserve">nformace GA ČR – </w:t>
      </w:r>
      <w:r w:rsidRPr="008F5E6A">
        <w:rPr>
          <w:rFonts w:ascii="Calibri" w:hAnsi="Calibri" w:cs="Calibri"/>
          <w:sz w:val="20"/>
          <w:lang w:eastAsia="en-US"/>
        </w:rPr>
        <w:t xml:space="preserve">data z IS </w:t>
      </w:r>
      <w:proofErr w:type="spellStart"/>
      <w:r w:rsidRPr="008F5E6A">
        <w:rPr>
          <w:rFonts w:ascii="Calibri" w:hAnsi="Calibri" w:cs="Calibri"/>
          <w:sz w:val="20"/>
          <w:lang w:eastAsia="en-US"/>
        </w:rPr>
        <w:t>VaVaI</w:t>
      </w:r>
      <w:proofErr w:type="spellEnd"/>
      <w:r w:rsidRPr="008F5E6A">
        <w:rPr>
          <w:rFonts w:ascii="Calibri" w:hAnsi="Calibri" w:cs="Calibri"/>
          <w:sz w:val="20"/>
          <w:lang w:eastAsia="en-US"/>
        </w:rPr>
        <w:t xml:space="preserve"> za roky 2011 až 2013 ke dni </w:t>
      </w:r>
      <w:r w:rsidR="008F5E6A" w:rsidRPr="008F5E6A">
        <w:rPr>
          <w:rFonts w:ascii="Calibri" w:hAnsi="Calibri" w:cs="Calibri"/>
          <w:sz w:val="20"/>
          <w:lang w:eastAsia="en-US"/>
        </w:rPr>
        <w:t>20. 5. 2015 a za roky 2014 a </w:t>
      </w:r>
      <w:r w:rsidRPr="008F5E6A">
        <w:rPr>
          <w:rFonts w:ascii="Calibri" w:hAnsi="Calibri" w:cs="Calibri"/>
          <w:sz w:val="20"/>
          <w:lang w:eastAsia="en-US"/>
        </w:rPr>
        <w:t>2015 ke dni 25. 5. 2016</w:t>
      </w:r>
      <w:r w:rsidR="005B36C4" w:rsidRPr="008F5E6A">
        <w:rPr>
          <w:rFonts w:ascii="Calibri" w:hAnsi="Calibri" w:cs="Calibri"/>
          <w:sz w:val="20"/>
          <w:lang w:eastAsia="en-US"/>
        </w:rPr>
        <w:t>.</w:t>
      </w:r>
    </w:p>
    <w:p w:rsidR="00C94080" w:rsidRPr="008F5E6A" w:rsidRDefault="00C94080" w:rsidP="008F5E6A">
      <w:pPr>
        <w:rPr>
          <w:rFonts w:ascii="Calibri" w:hAnsi="Calibri" w:cs="Calibri"/>
          <w:sz w:val="22"/>
          <w:szCs w:val="22"/>
          <w:lang w:eastAsia="en-US"/>
        </w:rPr>
      </w:pPr>
    </w:p>
    <w:p w:rsidR="006C3BB7" w:rsidRPr="005A2C92" w:rsidRDefault="006C3BB7" w:rsidP="008F5E6A">
      <w:pPr>
        <w:jc w:val="both"/>
        <w:rPr>
          <w:rFonts w:asciiTheme="minorHAnsi" w:hAnsiTheme="minorHAnsi" w:cstheme="minorHAnsi"/>
        </w:rPr>
      </w:pPr>
      <w:r w:rsidRPr="005A2C92">
        <w:rPr>
          <w:rFonts w:asciiTheme="minorHAnsi" w:hAnsiTheme="minorHAnsi"/>
        </w:rPr>
        <w:t xml:space="preserve">Kromě roku 2015 v kategorii </w:t>
      </w:r>
      <w:r w:rsidR="00F32DDD">
        <w:rPr>
          <w:rFonts w:asciiTheme="minorHAnsi" w:hAnsiTheme="minorHAnsi"/>
        </w:rPr>
        <w:t>článků v odborném periodiku</w:t>
      </w:r>
      <w:r w:rsidRPr="005A2C92">
        <w:rPr>
          <w:rFonts w:asciiTheme="minorHAnsi" w:hAnsiTheme="minorHAnsi"/>
        </w:rPr>
        <w:t xml:space="preserve"> nebyl v letech 2011 až 2015 </w:t>
      </w:r>
      <w:r w:rsidR="00507F01">
        <w:rPr>
          <w:rFonts w:asciiTheme="minorHAnsi" w:hAnsiTheme="minorHAnsi"/>
        </w:rPr>
        <w:t>v</w:t>
      </w:r>
      <w:r w:rsidRPr="005A2C92">
        <w:rPr>
          <w:rFonts w:asciiTheme="minorHAnsi" w:hAnsiTheme="minorHAnsi"/>
        </w:rPr>
        <w:t xml:space="preserve"> počtu dosažených výsledk</w:t>
      </w:r>
      <w:r w:rsidR="00507F01">
        <w:rPr>
          <w:rFonts w:asciiTheme="minorHAnsi" w:hAnsiTheme="minorHAnsi"/>
        </w:rPr>
        <w:t>ů výrazný nárůst</w:t>
      </w:r>
      <w:r w:rsidR="00C94080" w:rsidRPr="005A2C92">
        <w:rPr>
          <w:rFonts w:asciiTheme="minorHAnsi" w:hAnsiTheme="minorHAnsi"/>
        </w:rPr>
        <w:t>.</w:t>
      </w:r>
    </w:p>
    <w:p w:rsidR="00C94080" w:rsidRPr="005A2C92" w:rsidRDefault="00C94080" w:rsidP="008F5E6A">
      <w:pPr>
        <w:jc w:val="both"/>
        <w:rPr>
          <w:rFonts w:asciiTheme="minorHAnsi" w:hAnsiTheme="minorHAnsi"/>
        </w:rPr>
      </w:pPr>
    </w:p>
    <w:p w:rsidR="00B06347" w:rsidRPr="005A2C92" w:rsidRDefault="00136D4C" w:rsidP="008F5E6A">
      <w:pPr>
        <w:jc w:val="both"/>
        <w:rPr>
          <w:rFonts w:asciiTheme="minorHAnsi" w:hAnsiTheme="minorHAnsi"/>
        </w:rPr>
      </w:pPr>
      <w:r w:rsidRPr="005A2C92">
        <w:rPr>
          <w:rFonts w:asciiTheme="minorHAnsi" w:hAnsiTheme="minorHAnsi"/>
        </w:rPr>
        <w:t xml:space="preserve">O úrovni základního výzkumu vypovídá spíše než četnost dosažených výsledků především jejich kvalita. </w:t>
      </w:r>
      <w:r w:rsidR="00B06347" w:rsidRPr="005A2C92">
        <w:rPr>
          <w:rFonts w:asciiTheme="minorHAnsi" w:hAnsiTheme="minorHAnsi"/>
        </w:rPr>
        <w:t>Důležitými ukazateli kvality výsledků základního výzkumu</w:t>
      </w:r>
      <w:r w:rsidR="003C2479" w:rsidRPr="005A2C92">
        <w:rPr>
          <w:rFonts w:asciiTheme="minorHAnsi" w:hAnsiTheme="minorHAnsi"/>
        </w:rPr>
        <w:t>, které představuje téměř výhradně publikační činnost,</w:t>
      </w:r>
      <w:r w:rsidR="00B06347" w:rsidRPr="005A2C92">
        <w:rPr>
          <w:rFonts w:asciiTheme="minorHAnsi" w:hAnsiTheme="minorHAnsi"/>
        </w:rPr>
        <w:t xml:space="preserve"> jsou především citovanost výstupů a impaktní faktor periodika, ve k</w:t>
      </w:r>
      <w:r w:rsidR="00EE4EFA">
        <w:rPr>
          <w:rFonts w:asciiTheme="minorHAnsi" w:hAnsiTheme="minorHAnsi"/>
        </w:rPr>
        <w:t>terém byly výstupy publikovány.</w:t>
      </w:r>
    </w:p>
    <w:p w:rsidR="00B06347" w:rsidRPr="005A2C92" w:rsidRDefault="00B06347" w:rsidP="00B06347">
      <w:pPr>
        <w:jc w:val="both"/>
        <w:rPr>
          <w:rFonts w:asciiTheme="minorHAnsi" w:hAnsiTheme="minorHAnsi"/>
        </w:rPr>
      </w:pPr>
    </w:p>
    <w:p w:rsidR="00B06347" w:rsidRDefault="00B06347" w:rsidP="00B06347">
      <w:pPr>
        <w:jc w:val="both"/>
        <w:rPr>
          <w:rFonts w:asciiTheme="minorHAnsi" w:hAnsiTheme="minorHAnsi" w:cstheme="minorHAnsi"/>
          <w:b/>
        </w:rPr>
      </w:pPr>
      <w:r w:rsidRPr="005A2C92">
        <w:rPr>
          <w:rFonts w:asciiTheme="minorHAnsi" w:hAnsiTheme="minorHAnsi"/>
        </w:rPr>
        <w:t xml:space="preserve">GA ČR monitoruje kvalitu výstupů </w:t>
      </w:r>
      <w:r w:rsidR="003D5FC4">
        <w:rPr>
          <w:rFonts w:asciiTheme="minorHAnsi" w:hAnsiTheme="minorHAnsi"/>
        </w:rPr>
        <w:t xml:space="preserve">na základě závěrečných zpráv v rámci jednotlivých projektů. Přehled o citovanosti a impaktních faktorech za jednotlivé vědní obory a souhrnně za celou poskytnutou podporu však nemá. </w:t>
      </w:r>
      <w:r w:rsidR="00564ABA" w:rsidRPr="00D86CDE">
        <w:rPr>
          <w:rFonts w:asciiTheme="minorHAnsi" w:hAnsiTheme="minorHAnsi" w:cstheme="minorHAnsi"/>
        </w:rPr>
        <w:t>GA ČR nesledova</w:t>
      </w:r>
      <w:r w:rsidR="001C7EA1">
        <w:rPr>
          <w:rFonts w:asciiTheme="minorHAnsi" w:hAnsiTheme="minorHAnsi" w:cstheme="minorHAnsi"/>
        </w:rPr>
        <w:t>la kvalitu výsledků souhrnně za</w:t>
      </w:r>
      <w:r w:rsidR="008F128F">
        <w:rPr>
          <w:rFonts w:asciiTheme="minorHAnsi" w:hAnsiTheme="minorHAnsi" w:cstheme="minorHAnsi"/>
        </w:rPr>
        <w:t xml:space="preserve"> </w:t>
      </w:r>
      <w:r w:rsidR="00564ABA" w:rsidRPr="00D86CDE">
        <w:rPr>
          <w:rFonts w:asciiTheme="minorHAnsi" w:hAnsiTheme="minorHAnsi" w:cstheme="minorHAnsi"/>
        </w:rPr>
        <w:t>poskytnutou podporu</w:t>
      </w:r>
      <w:r w:rsidR="008F128F">
        <w:rPr>
          <w:rFonts w:asciiTheme="minorHAnsi" w:hAnsiTheme="minorHAnsi" w:cstheme="minorHAnsi"/>
        </w:rPr>
        <w:t>,</w:t>
      </w:r>
      <w:r w:rsidR="00564ABA" w:rsidRPr="00D86CDE">
        <w:rPr>
          <w:rFonts w:asciiTheme="minorHAnsi" w:hAnsiTheme="minorHAnsi" w:cstheme="minorHAnsi"/>
        </w:rPr>
        <w:t xml:space="preserve"> a nemohla </w:t>
      </w:r>
      <w:r w:rsidR="008F128F">
        <w:rPr>
          <w:rFonts w:asciiTheme="minorHAnsi" w:hAnsiTheme="minorHAnsi" w:cstheme="minorHAnsi"/>
        </w:rPr>
        <w:t>tedy</w:t>
      </w:r>
      <w:r w:rsidR="00564ABA" w:rsidRPr="00D86CDE">
        <w:rPr>
          <w:rFonts w:asciiTheme="minorHAnsi" w:hAnsiTheme="minorHAnsi" w:cstheme="minorHAnsi"/>
        </w:rPr>
        <w:t xml:space="preserve"> adekvátně vyhodnotit </w:t>
      </w:r>
      <w:r w:rsidR="00176A85">
        <w:rPr>
          <w:rFonts w:asciiTheme="minorHAnsi" w:hAnsiTheme="minorHAnsi" w:cstheme="minorHAnsi"/>
        </w:rPr>
        <w:t xml:space="preserve">celkové </w:t>
      </w:r>
      <w:r w:rsidR="00564ABA" w:rsidRPr="00D86CDE">
        <w:rPr>
          <w:rFonts w:asciiTheme="minorHAnsi" w:hAnsiTheme="minorHAnsi" w:cstheme="minorHAnsi"/>
        </w:rPr>
        <w:t>dopady této podpory.</w:t>
      </w:r>
    </w:p>
    <w:p w:rsidR="00CB3FF6" w:rsidRDefault="00CB3FF6" w:rsidP="00CB3FF6">
      <w:pPr>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sidRPr="00CB3FF6">
        <w:rPr>
          <w:rFonts w:ascii="Calibri" w:hAnsi="Calibri"/>
        </w:rPr>
        <w:lastRenderedPageBreak/>
        <w:t>Zásadním předpokladem řádné činnosti poskytovatele je sledování a vyhodnocování poskyt</w:t>
      </w:r>
      <w:r w:rsidR="00C74976">
        <w:rPr>
          <w:rFonts w:ascii="Calibri" w:hAnsi="Calibri"/>
        </w:rPr>
        <w:t>ovan</w:t>
      </w:r>
      <w:r w:rsidRPr="00CB3FF6">
        <w:rPr>
          <w:rFonts w:ascii="Calibri" w:hAnsi="Calibri"/>
        </w:rPr>
        <w:t>é podpory.</w:t>
      </w:r>
      <w:r>
        <w:rPr>
          <w:rFonts w:ascii="Calibri" w:hAnsi="Calibri"/>
        </w:rPr>
        <w:t xml:space="preserve"> </w:t>
      </w:r>
      <w:r w:rsidRPr="00CB3FF6">
        <w:rPr>
          <w:rFonts w:ascii="Calibri" w:hAnsi="Calibri"/>
        </w:rPr>
        <w:t xml:space="preserve">GA ČR </w:t>
      </w:r>
      <w:r w:rsidR="00C94080">
        <w:rPr>
          <w:rFonts w:ascii="Calibri" w:hAnsi="Calibri"/>
        </w:rPr>
        <w:t>nesledovala</w:t>
      </w:r>
      <w:r w:rsidRPr="00CB3FF6">
        <w:rPr>
          <w:rFonts w:ascii="Calibri" w:hAnsi="Calibri"/>
        </w:rPr>
        <w:t xml:space="preserve"> kvalitu </w:t>
      </w:r>
      <w:r w:rsidR="00C94080">
        <w:rPr>
          <w:rFonts w:ascii="Calibri" w:hAnsi="Calibri"/>
        </w:rPr>
        <w:t xml:space="preserve">dosahovaných </w:t>
      </w:r>
      <w:r w:rsidRPr="00CB3FF6">
        <w:rPr>
          <w:rFonts w:ascii="Calibri" w:hAnsi="Calibri"/>
        </w:rPr>
        <w:t xml:space="preserve">výsledků </w:t>
      </w:r>
      <w:r w:rsidR="004A0A5C">
        <w:rPr>
          <w:rFonts w:ascii="Calibri" w:hAnsi="Calibri"/>
        </w:rPr>
        <w:t>za jednotlivé vědní obory</w:t>
      </w:r>
      <w:r w:rsidR="004A0A5C" w:rsidRPr="00CB3FF6">
        <w:rPr>
          <w:rFonts w:ascii="Calibri" w:hAnsi="Calibri"/>
        </w:rPr>
        <w:t xml:space="preserve"> </w:t>
      </w:r>
      <w:r w:rsidR="004A0A5C">
        <w:rPr>
          <w:rFonts w:ascii="Calibri" w:hAnsi="Calibri"/>
        </w:rPr>
        <w:t>ani</w:t>
      </w:r>
      <w:r w:rsidR="004A0A5C" w:rsidRPr="00CB3FF6">
        <w:rPr>
          <w:rFonts w:ascii="Calibri" w:hAnsi="Calibri"/>
        </w:rPr>
        <w:t xml:space="preserve"> </w:t>
      </w:r>
      <w:r w:rsidRPr="00CB3FF6">
        <w:rPr>
          <w:rFonts w:ascii="Calibri" w:hAnsi="Calibri"/>
        </w:rPr>
        <w:t>souhrnně za poskytnutou podporu</w:t>
      </w:r>
      <w:r w:rsidR="008F128F">
        <w:rPr>
          <w:rFonts w:ascii="Calibri" w:hAnsi="Calibri"/>
        </w:rPr>
        <w:t>,</w:t>
      </w:r>
      <w:r w:rsidRPr="00CB3FF6">
        <w:rPr>
          <w:rFonts w:ascii="Calibri" w:hAnsi="Calibri"/>
        </w:rPr>
        <w:t xml:space="preserve"> a nemohla tak adekvátně vyhodnotit </w:t>
      </w:r>
      <w:r w:rsidR="00176A85">
        <w:rPr>
          <w:rFonts w:ascii="Calibri" w:hAnsi="Calibri"/>
        </w:rPr>
        <w:t xml:space="preserve">celkové </w:t>
      </w:r>
      <w:r w:rsidRPr="00CB3FF6">
        <w:rPr>
          <w:rFonts w:ascii="Calibri" w:hAnsi="Calibri"/>
        </w:rPr>
        <w:t>dopady této podpory.</w:t>
      </w:r>
    </w:p>
    <w:p w:rsidR="00CB3FF6" w:rsidRPr="008F5E6A" w:rsidRDefault="00CB3FF6" w:rsidP="008F5E6A">
      <w:pPr>
        <w:rPr>
          <w:rFonts w:ascii="Calibri" w:hAnsi="Calibri" w:cs="Calibri"/>
        </w:rPr>
      </w:pPr>
    </w:p>
    <w:p w:rsidR="002C0E61" w:rsidRPr="008F5E6A" w:rsidRDefault="002C0E61" w:rsidP="008F5E6A">
      <w:pPr>
        <w:rPr>
          <w:rFonts w:ascii="Calibri" w:hAnsi="Calibri" w:cs="Calibri"/>
          <w:b/>
        </w:rPr>
      </w:pPr>
      <w:r w:rsidRPr="008F5E6A">
        <w:rPr>
          <w:rFonts w:ascii="Calibri" w:hAnsi="Calibri" w:cs="Calibri"/>
          <w:b/>
        </w:rPr>
        <w:t>6. V kvalitě základního výzkumu Česká republika za evropským průměrem zaostává</w:t>
      </w:r>
    </w:p>
    <w:p w:rsidR="002C0E61" w:rsidRPr="008F5E6A" w:rsidRDefault="002C0E61" w:rsidP="008F5E6A">
      <w:pPr>
        <w:rPr>
          <w:rFonts w:ascii="Calibri" w:hAnsi="Calibri" w:cs="Calibri"/>
        </w:rPr>
      </w:pPr>
    </w:p>
    <w:p w:rsidR="00137E94" w:rsidRPr="00680CC9" w:rsidRDefault="006D0C92" w:rsidP="00137E94">
      <w:pPr>
        <w:shd w:val="clear" w:color="auto" w:fill="D9D9D9" w:themeFill="background1" w:themeFillShade="D9"/>
        <w:autoSpaceDE w:val="0"/>
        <w:autoSpaceDN w:val="0"/>
        <w:adjustRightInd w:val="0"/>
        <w:jc w:val="both"/>
        <w:rPr>
          <w:rFonts w:asciiTheme="minorHAnsi" w:hAnsiTheme="minorHAnsi"/>
        </w:rPr>
      </w:pPr>
      <w:r w:rsidRPr="000424FF">
        <w:rPr>
          <w:rFonts w:asciiTheme="minorHAnsi" w:hAnsiTheme="minorHAnsi"/>
        </w:rPr>
        <w:t>Pro možnost komplexního vyhodnocení poskytované podpory je nezbytné mít přehled o</w:t>
      </w:r>
      <w:r w:rsidR="00320ED4" w:rsidRPr="000424FF">
        <w:rPr>
          <w:rFonts w:asciiTheme="minorHAnsi" w:hAnsiTheme="minorHAnsi"/>
        </w:rPr>
        <w:t> </w:t>
      </w:r>
      <w:r w:rsidRPr="000424FF">
        <w:rPr>
          <w:rFonts w:asciiTheme="minorHAnsi" w:hAnsiTheme="minorHAnsi"/>
        </w:rPr>
        <w:t>výsledcích a dopadech této podpory nejen v rámci České republiky, ale rovněž v</w:t>
      </w:r>
      <w:r w:rsidR="00320ED4" w:rsidRPr="000424FF">
        <w:rPr>
          <w:rFonts w:asciiTheme="minorHAnsi" w:hAnsiTheme="minorHAnsi"/>
        </w:rPr>
        <w:t> </w:t>
      </w:r>
      <w:r w:rsidRPr="000424FF">
        <w:rPr>
          <w:rFonts w:asciiTheme="minorHAnsi" w:hAnsiTheme="minorHAnsi"/>
        </w:rPr>
        <w:t>mezinárodním srovnání. Toto srovnání může upozornit na oblasti, ve kterých má Česká republika největší rezervy a zároveň příležitosti ke zlepšení</w:t>
      </w:r>
      <w:r w:rsidRPr="00680CC9">
        <w:rPr>
          <w:rFonts w:asciiTheme="minorHAnsi" w:hAnsiTheme="minorHAnsi"/>
        </w:rPr>
        <w:t>.</w:t>
      </w:r>
    </w:p>
    <w:p w:rsidR="008F128F" w:rsidRDefault="008F128F" w:rsidP="00137E94">
      <w:pPr>
        <w:shd w:val="clear" w:color="auto" w:fill="D9D9D9" w:themeFill="background1" w:themeFillShade="D9"/>
        <w:autoSpaceDE w:val="0"/>
        <w:autoSpaceDN w:val="0"/>
        <w:adjustRightInd w:val="0"/>
        <w:jc w:val="both"/>
        <w:rPr>
          <w:rFonts w:asciiTheme="minorHAnsi" w:hAnsiTheme="minorHAnsi" w:cs="Arial"/>
        </w:rPr>
      </w:pPr>
    </w:p>
    <w:p w:rsidR="00137E94" w:rsidRPr="00137E94" w:rsidRDefault="00137E94" w:rsidP="00137E94">
      <w:pPr>
        <w:shd w:val="clear" w:color="auto" w:fill="D9D9D9" w:themeFill="background1" w:themeFillShade="D9"/>
        <w:autoSpaceDE w:val="0"/>
        <w:autoSpaceDN w:val="0"/>
        <w:adjustRightInd w:val="0"/>
        <w:jc w:val="both"/>
        <w:rPr>
          <w:rFonts w:asciiTheme="minorHAnsi" w:hAnsiTheme="minorHAnsi"/>
          <w:b/>
        </w:rPr>
      </w:pPr>
      <w:r>
        <w:rPr>
          <w:rFonts w:asciiTheme="minorHAnsi" w:hAnsiTheme="minorHAnsi" w:cs="Arial"/>
        </w:rPr>
        <w:t xml:space="preserve">V rámci kontroly </w:t>
      </w:r>
      <w:r w:rsidRPr="00137E94">
        <w:rPr>
          <w:rFonts w:asciiTheme="minorHAnsi" w:hAnsiTheme="minorHAnsi" w:cs="Arial"/>
        </w:rPr>
        <w:t xml:space="preserve">byla srovnána úroveň základního výzkumu v České republice s ostatními, především evropskými zeměmi. </w:t>
      </w:r>
    </w:p>
    <w:p w:rsidR="002C0E61" w:rsidRDefault="002C0E61" w:rsidP="00B06347">
      <w:pPr>
        <w:jc w:val="both"/>
        <w:rPr>
          <w:rFonts w:asciiTheme="minorHAnsi" w:hAnsiTheme="minorHAnsi"/>
        </w:rPr>
      </w:pPr>
    </w:p>
    <w:p w:rsidR="002C0E61" w:rsidRDefault="002C0E61" w:rsidP="002C0E61">
      <w:pPr>
        <w:jc w:val="both"/>
        <w:rPr>
          <w:rFonts w:asciiTheme="minorHAnsi" w:hAnsiTheme="minorHAnsi"/>
        </w:rPr>
      </w:pPr>
      <w:r w:rsidRPr="002C0E61">
        <w:rPr>
          <w:rFonts w:asciiTheme="minorHAnsi" w:hAnsiTheme="minorHAnsi"/>
        </w:rPr>
        <w:t>Pro srovnání</w:t>
      </w:r>
      <w:r w:rsidR="003C2479">
        <w:rPr>
          <w:rFonts w:asciiTheme="minorHAnsi" w:hAnsiTheme="minorHAnsi"/>
        </w:rPr>
        <w:t xml:space="preserve"> kvality základního výzkumu je</w:t>
      </w:r>
      <w:r w:rsidRPr="002C0E61">
        <w:rPr>
          <w:rFonts w:asciiTheme="minorHAnsi" w:hAnsiTheme="minorHAnsi"/>
        </w:rPr>
        <w:t xml:space="preserve"> relevantní zejména </w:t>
      </w:r>
      <w:r w:rsidR="003C2479">
        <w:rPr>
          <w:rFonts w:asciiTheme="minorHAnsi" w:hAnsiTheme="minorHAnsi"/>
        </w:rPr>
        <w:t>úroveň</w:t>
      </w:r>
      <w:r w:rsidRPr="002C0E61">
        <w:rPr>
          <w:rFonts w:asciiTheme="minorHAnsi" w:hAnsiTheme="minorHAnsi"/>
        </w:rPr>
        <w:t xml:space="preserve"> publikací, jelikož publikační činnost je téměř výhradním výstupem základního výzkumu.</w:t>
      </w:r>
      <w:r w:rsidR="00737D8D">
        <w:rPr>
          <w:rFonts w:asciiTheme="minorHAnsi" w:hAnsiTheme="minorHAnsi"/>
        </w:rPr>
        <w:t xml:space="preserve"> </w:t>
      </w:r>
      <w:r w:rsidRPr="004C6BB9">
        <w:rPr>
          <w:rFonts w:asciiTheme="minorHAnsi" w:hAnsiTheme="minorHAnsi"/>
        </w:rPr>
        <w:t>Ja</w:t>
      </w:r>
      <w:r w:rsidR="00702601">
        <w:rPr>
          <w:rFonts w:asciiTheme="minorHAnsi" w:hAnsiTheme="minorHAnsi"/>
        </w:rPr>
        <w:t>ko indikátor kvality publikací</w:t>
      </w:r>
      <w:r w:rsidRPr="004C6BB9">
        <w:rPr>
          <w:rFonts w:asciiTheme="minorHAnsi" w:hAnsiTheme="minorHAnsi"/>
        </w:rPr>
        <w:t xml:space="preserve"> je možno použít ukazatel podílu 10 % světově nejcitovanějších publikací na celkovém počtu publikací. </w:t>
      </w:r>
      <w:r w:rsidR="00F210EB">
        <w:rPr>
          <w:rFonts w:asciiTheme="minorHAnsi" w:hAnsiTheme="minorHAnsi"/>
        </w:rPr>
        <w:t xml:space="preserve">Tento ukazatel je </w:t>
      </w:r>
      <w:r w:rsidR="00DB08D4">
        <w:rPr>
          <w:rFonts w:asciiTheme="minorHAnsi" w:hAnsiTheme="minorHAnsi"/>
        </w:rPr>
        <w:t>v rámci</w:t>
      </w:r>
      <w:r w:rsidR="00F210EB">
        <w:rPr>
          <w:rFonts w:asciiTheme="minorHAnsi" w:hAnsiTheme="minorHAnsi"/>
        </w:rPr>
        <w:t xml:space="preserve"> srovnání úrovně v oblasti </w:t>
      </w:r>
      <w:proofErr w:type="spellStart"/>
      <w:r w:rsidR="00F210EB">
        <w:rPr>
          <w:rFonts w:asciiTheme="minorHAnsi" w:hAnsiTheme="minorHAnsi"/>
        </w:rPr>
        <w:t>VaVaI</w:t>
      </w:r>
      <w:proofErr w:type="spellEnd"/>
      <w:r w:rsidR="00F210EB">
        <w:rPr>
          <w:rFonts w:asciiTheme="minorHAnsi" w:hAnsiTheme="minorHAnsi"/>
        </w:rPr>
        <w:t xml:space="preserve"> využíván Evropskou komisí. </w:t>
      </w:r>
      <w:r w:rsidR="001C68AB">
        <w:rPr>
          <w:rFonts w:asciiTheme="minorHAnsi" w:hAnsiTheme="minorHAnsi"/>
        </w:rPr>
        <w:t>Jak zobrazuje následující graf, v</w:t>
      </w:r>
      <w:r w:rsidRPr="004C6BB9">
        <w:rPr>
          <w:rFonts w:asciiTheme="minorHAnsi" w:hAnsiTheme="minorHAnsi"/>
        </w:rPr>
        <w:t xml:space="preserve"> tomto ukazateli Česká republika oproti evropskému průměru výrazně zaostává.</w:t>
      </w:r>
    </w:p>
    <w:p w:rsidR="00375265" w:rsidRDefault="00375265" w:rsidP="002C0E61">
      <w:pPr>
        <w:jc w:val="both"/>
        <w:rPr>
          <w:rFonts w:asciiTheme="minorHAnsi" w:hAnsiTheme="minorHAnsi"/>
        </w:rPr>
      </w:pPr>
    </w:p>
    <w:p w:rsidR="00375265" w:rsidRPr="00586F68" w:rsidRDefault="00375265" w:rsidP="00044C21">
      <w:pPr>
        <w:keepNext/>
        <w:keepLines/>
        <w:ind w:left="992" w:hanging="992"/>
        <w:jc w:val="both"/>
        <w:rPr>
          <w:rFonts w:asciiTheme="minorHAnsi" w:hAnsiTheme="minorHAnsi"/>
          <w:b/>
        </w:rPr>
      </w:pPr>
      <w:r w:rsidRPr="00586F68">
        <w:rPr>
          <w:rFonts w:asciiTheme="minorHAnsi" w:hAnsiTheme="minorHAnsi"/>
          <w:b/>
        </w:rPr>
        <w:t xml:space="preserve">Graf č. 2: </w:t>
      </w:r>
      <w:r w:rsidR="00586F68">
        <w:rPr>
          <w:rFonts w:asciiTheme="minorHAnsi" w:hAnsiTheme="minorHAnsi"/>
          <w:b/>
        </w:rPr>
        <w:tab/>
      </w:r>
      <w:r w:rsidR="00133C9E" w:rsidRPr="00586F68">
        <w:rPr>
          <w:rFonts w:asciiTheme="minorHAnsi" w:hAnsiTheme="minorHAnsi"/>
          <w:b/>
        </w:rPr>
        <w:t xml:space="preserve">Srovnání ČR a EU </w:t>
      </w:r>
      <w:r w:rsidR="0085134D" w:rsidRPr="00586F68">
        <w:rPr>
          <w:rFonts w:asciiTheme="minorHAnsi" w:hAnsiTheme="minorHAnsi"/>
          <w:b/>
        </w:rPr>
        <w:t>–</w:t>
      </w:r>
      <w:r w:rsidR="00133C9E" w:rsidRPr="00586F68">
        <w:rPr>
          <w:rFonts w:asciiTheme="minorHAnsi" w:hAnsiTheme="minorHAnsi"/>
          <w:b/>
        </w:rPr>
        <w:t xml:space="preserve"> p</w:t>
      </w:r>
      <w:r w:rsidRPr="00586F68">
        <w:rPr>
          <w:rFonts w:asciiTheme="minorHAnsi" w:hAnsiTheme="minorHAnsi"/>
          <w:b/>
        </w:rPr>
        <w:t>odíl 10 % světově nejcitovanějších publikací na celkovém počtu publikací</w:t>
      </w:r>
    </w:p>
    <w:p w:rsidR="002C0E61" w:rsidRDefault="002627A4" w:rsidP="00044C21">
      <w:pPr>
        <w:keepLines/>
        <w:jc w:val="both"/>
        <w:rPr>
          <w:rFonts w:asciiTheme="minorHAnsi" w:hAnsiTheme="minorHAnsi"/>
        </w:rPr>
      </w:pPr>
      <w:r>
        <w:rPr>
          <w:noProof/>
        </w:rPr>
        <w:drawing>
          <wp:inline distT="0" distB="0" distL="0" distR="0" wp14:anchorId="37B6C2F1" wp14:editId="796167A5">
            <wp:extent cx="5760720" cy="2486025"/>
            <wp:effectExtent l="0" t="0" r="1143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265" w:rsidRPr="00586F68" w:rsidRDefault="006C0EE9" w:rsidP="00044C21">
      <w:pPr>
        <w:keepLines/>
        <w:jc w:val="both"/>
        <w:rPr>
          <w:rFonts w:asciiTheme="minorHAnsi" w:hAnsiTheme="minorHAnsi"/>
          <w:sz w:val="20"/>
          <w:szCs w:val="20"/>
        </w:rPr>
      </w:pPr>
      <w:r w:rsidRPr="00586F68">
        <w:rPr>
          <w:rFonts w:asciiTheme="minorHAnsi" w:hAnsiTheme="minorHAnsi"/>
          <w:b/>
          <w:sz w:val="20"/>
          <w:szCs w:val="20"/>
        </w:rPr>
        <w:t>Zdroj</w:t>
      </w:r>
      <w:r w:rsidR="00375265" w:rsidRPr="00586F68">
        <w:rPr>
          <w:rFonts w:asciiTheme="minorHAnsi" w:hAnsiTheme="minorHAnsi"/>
          <w:b/>
          <w:sz w:val="20"/>
          <w:szCs w:val="20"/>
        </w:rPr>
        <w:t>:</w:t>
      </w:r>
      <w:r w:rsidR="00375265" w:rsidRPr="00586F68">
        <w:rPr>
          <w:rFonts w:asciiTheme="minorHAnsi" w:hAnsiTheme="minorHAnsi"/>
          <w:sz w:val="20"/>
          <w:szCs w:val="20"/>
        </w:rPr>
        <w:t xml:space="preserve"> </w:t>
      </w:r>
      <w:proofErr w:type="spellStart"/>
      <w:r w:rsidR="00375265" w:rsidRPr="0024292D">
        <w:rPr>
          <w:rFonts w:asciiTheme="minorHAnsi" w:hAnsiTheme="minorHAnsi"/>
          <w:i/>
          <w:sz w:val="20"/>
          <w:szCs w:val="20"/>
        </w:rPr>
        <w:t>Innovation</w:t>
      </w:r>
      <w:proofErr w:type="spellEnd"/>
      <w:r w:rsidR="00375265" w:rsidRPr="0024292D">
        <w:rPr>
          <w:rFonts w:asciiTheme="minorHAnsi" w:hAnsiTheme="minorHAnsi"/>
          <w:i/>
          <w:sz w:val="20"/>
          <w:szCs w:val="20"/>
        </w:rPr>
        <w:t xml:space="preserve"> Union </w:t>
      </w:r>
      <w:proofErr w:type="spellStart"/>
      <w:r w:rsidR="00375265" w:rsidRPr="0024292D">
        <w:rPr>
          <w:rFonts w:asciiTheme="minorHAnsi" w:hAnsiTheme="minorHAnsi"/>
          <w:i/>
          <w:sz w:val="20"/>
          <w:szCs w:val="20"/>
        </w:rPr>
        <w:t>Scoreboard</w:t>
      </w:r>
      <w:proofErr w:type="spellEnd"/>
      <w:r w:rsidR="00375265" w:rsidRPr="00586F68">
        <w:rPr>
          <w:rFonts w:asciiTheme="minorHAnsi" w:hAnsiTheme="minorHAnsi"/>
          <w:sz w:val="20"/>
          <w:szCs w:val="20"/>
        </w:rPr>
        <w:t xml:space="preserve"> </w:t>
      </w:r>
      <w:r w:rsidR="008F128F">
        <w:rPr>
          <w:rFonts w:asciiTheme="minorHAnsi" w:hAnsiTheme="minorHAnsi"/>
          <w:sz w:val="20"/>
          <w:szCs w:val="20"/>
        </w:rPr>
        <w:t xml:space="preserve">za roky </w:t>
      </w:r>
      <w:r w:rsidR="00375265" w:rsidRPr="00586F68">
        <w:rPr>
          <w:rFonts w:asciiTheme="minorHAnsi" w:hAnsiTheme="minorHAnsi"/>
          <w:sz w:val="20"/>
          <w:szCs w:val="20"/>
        </w:rPr>
        <w:t>2013, 2014, 2015 a 2016</w:t>
      </w:r>
      <w:r w:rsidR="0063630D" w:rsidRPr="00586F68">
        <w:rPr>
          <w:rFonts w:asciiTheme="minorHAnsi" w:hAnsiTheme="minorHAnsi"/>
          <w:sz w:val="20"/>
          <w:szCs w:val="20"/>
        </w:rPr>
        <w:t>.</w:t>
      </w:r>
    </w:p>
    <w:p w:rsidR="00375265" w:rsidRPr="004C6BB9" w:rsidRDefault="00375265" w:rsidP="002C0E61">
      <w:pPr>
        <w:jc w:val="both"/>
        <w:rPr>
          <w:rFonts w:asciiTheme="minorHAnsi" w:hAnsiTheme="minorHAnsi"/>
        </w:rPr>
      </w:pPr>
    </w:p>
    <w:p w:rsidR="00375265" w:rsidRDefault="002C0E61" w:rsidP="00FD2E2E">
      <w:pPr>
        <w:jc w:val="both"/>
        <w:rPr>
          <w:rFonts w:asciiTheme="minorHAnsi" w:hAnsiTheme="minorHAnsi"/>
        </w:rPr>
      </w:pPr>
      <w:r w:rsidRPr="004C6BB9">
        <w:rPr>
          <w:rFonts w:asciiTheme="minorHAnsi" w:hAnsiTheme="minorHAnsi"/>
        </w:rPr>
        <w:t xml:space="preserve">Česká republika vykazuje v porovnání s evropským průměrem výrazně nižší podíl autorů spojených alespoň </w:t>
      </w:r>
      <w:r w:rsidR="008F128F">
        <w:rPr>
          <w:rFonts w:asciiTheme="minorHAnsi" w:hAnsiTheme="minorHAnsi"/>
        </w:rPr>
        <w:t>s </w:t>
      </w:r>
      <w:r w:rsidRPr="004C6BB9">
        <w:rPr>
          <w:rFonts w:asciiTheme="minorHAnsi" w:hAnsiTheme="minorHAnsi"/>
        </w:rPr>
        <w:t>jednou publikací v nejcitovanějších publikacích na světě a naopak vyšší podíl autorů s vytvořenými publikacemi, které nebyly citovány.</w:t>
      </w:r>
      <w:r w:rsidR="00CA649B">
        <w:rPr>
          <w:rFonts w:asciiTheme="minorHAnsi" w:hAnsiTheme="minorHAnsi"/>
        </w:rPr>
        <w:t xml:space="preserve"> </w:t>
      </w:r>
      <w:r w:rsidR="00F210EB">
        <w:rPr>
          <w:rFonts w:asciiTheme="minorHAnsi" w:hAnsiTheme="minorHAnsi"/>
        </w:rPr>
        <w:t>Tyto ukazatele v rámci detailní analýzy</w:t>
      </w:r>
      <w:r w:rsidR="00F210EB" w:rsidRPr="00F210EB">
        <w:rPr>
          <w:rFonts w:asciiTheme="minorHAnsi" w:hAnsiTheme="minorHAnsi"/>
        </w:rPr>
        <w:t xml:space="preserve"> výkonnosti </w:t>
      </w:r>
      <w:r w:rsidR="00F210EB">
        <w:rPr>
          <w:rFonts w:asciiTheme="minorHAnsi" w:hAnsiTheme="minorHAnsi"/>
        </w:rPr>
        <w:t xml:space="preserve">evropských států </w:t>
      </w:r>
      <w:r w:rsidR="00F210EB" w:rsidRPr="00F210EB">
        <w:rPr>
          <w:rFonts w:asciiTheme="minorHAnsi" w:hAnsiTheme="minorHAnsi"/>
        </w:rPr>
        <w:t xml:space="preserve">v oblasti </w:t>
      </w:r>
      <w:proofErr w:type="spellStart"/>
      <w:r w:rsidR="00F210EB">
        <w:rPr>
          <w:rFonts w:asciiTheme="minorHAnsi" w:hAnsiTheme="minorHAnsi"/>
        </w:rPr>
        <w:t>VaVaI</w:t>
      </w:r>
      <w:proofErr w:type="spellEnd"/>
      <w:r w:rsidR="00F210EB">
        <w:rPr>
          <w:rFonts w:asciiTheme="minorHAnsi" w:hAnsiTheme="minorHAnsi"/>
        </w:rPr>
        <w:t xml:space="preserve"> využívá Evropská komise.</w:t>
      </w:r>
      <w:r w:rsidR="00F210EB" w:rsidRPr="00F210EB">
        <w:rPr>
          <w:rFonts w:asciiTheme="minorHAnsi" w:hAnsiTheme="minorHAnsi"/>
        </w:rPr>
        <w:t xml:space="preserve"> </w:t>
      </w:r>
      <w:r w:rsidR="00F210EB">
        <w:rPr>
          <w:rFonts w:asciiTheme="minorHAnsi" w:hAnsiTheme="minorHAnsi"/>
        </w:rPr>
        <w:t>Jejich přehled</w:t>
      </w:r>
      <w:r w:rsidR="00CA649B">
        <w:rPr>
          <w:rFonts w:asciiTheme="minorHAnsi" w:hAnsiTheme="minorHAnsi"/>
        </w:rPr>
        <w:t xml:space="preserve"> zobrazuje následující graf.</w:t>
      </w:r>
    </w:p>
    <w:p w:rsidR="00FD2E2E" w:rsidRDefault="00FD2E2E" w:rsidP="00FD2E2E">
      <w:pPr>
        <w:jc w:val="both"/>
        <w:rPr>
          <w:rFonts w:asciiTheme="minorHAnsi" w:hAnsiTheme="minorHAnsi"/>
        </w:rPr>
      </w:pPr>
    </w:p>
    <w:p w:rsidR="00375265" w:rsidRPr="00586F68" w:rsidRDefault="00375265" w:rsidP="00586F68">
      <w:pPr>
        <w:keepNext/>
        <w:ind w:left="993" w:hanging="993"/>
        <w:jc w:val="both"/>
        <w:rPr>
          <w:rFonts w:asciiTheme="minorHAnsi" w:hAnsiTheme="minorHAnsi"/>
          <w:b/>
        </w:rPr>
      </w:pPr>
      <w:r w:rsidRPr="00586F68">
        <w:rPr>
          <w:rFonts w:asciiTheme="minorHAnsi" w:hAnsiTheme="minorHAnsi"/>
          <w:b/>
        </w:rPr>
        <w:lastRenderedPageBreak/>
        <w:t>Graf č. 3:</w:t>
      </w:r>
      <w:r w:rsidR="00586F68">
        <w:rPr>
          <w:rFonts w:asciiTheme="minorHAnsi" w:hAnsiTheme="minorHAnsi"/>
          <w:b/>
        </w:rPr>
        <w:tab/>
      </w:r>
      <w:r w:rsidR="00FD7DE4" w:rsidRPr="00586F68">
        <w:rPr>
          <w:rFonts w:asciiTheme="minorHAnsi" w:hAnsiTheme="minorHAnsi"/>
          <w:b/>
        </w:rPr>
        <w:t xml:space="preserve">Srovnání ČR a EU </w:t>
      </w:r>
      <w:r w:rsidR="0063630D" w:rsidRPr="00586F68">
        <w:rPr>
          <w:rFonts w:asciiTheme="minorHAnsi" w:hAnsiTheme="minorHAnsi"/>
          <w:b/>
        </w:rPr>
        <w:t>–</w:t>
      </w:r>
      <w:r w:rsidR="00FD7DE4" w:rsidRPr="00586F68">
        <w:rPr>
          <w:rFonts w:asciiTheme="minorHAnsi" w:hAnsiTheme="minorHAnsi"/>
          <w:b/>
        </w:rPr>
        <w:t xml:space="preserve"> </w:t>
      </w:r>
      <w:r w:rsidR="008F128F">
        <w:rPr>
          <w:rFonts w:asciiTheme="minorHAnsi" w:hAnsiTheme="minorHAnsi"/>
          <w:b/>
        </w:rPr>
        <w:t>u</w:t>
      </w:r>
      <w:r w:rsidRPr="00586F68">
        <w:rPr>
          <w:rFonts w:asciiTheme="minorHAnsi" w:hAnsiTheme="minorHAnsi"/>
          <w:b/>
        </w:rPr>
        <w:t xml:space="preserve">kazatele tvorby a kvality publikací zveřejněné v </w:t>
      </w:r>
      <w:r w:rsidRPr="008F128F">
        <w:rPr>
          <w:rFonts w:asciiTheme="minorHAnsi" w:hAnsiTheme="minorHAnsi"/>
          <w:b/>
          <w:i/>
        </w:rPr>
        <w:t xml:space="preserve">Science, </w:t>
      </w:r>
      <w:proofErr w:type="spellStart"/>
      <w:r w:rsidRPr="008F128F">
        <w:rPr>
          <w:rFonts w:asciiTheme="minorHAnsi" w:hAnsiTheme="minorHAnsi"/>
          <w:b/>
          <w:i/>
        </w:rPr>
        <w:t>Research</w:t>
      </w:r>
      <w:proofErr w:type="spellEnd"/>
      <w:r w:rsidRPr="008F128F">
        <w:rPr>
          <w:rFonts w:asciiTheme="minorHAnsi" w:hAnsiTheme="minorHAnsi"/>
          <w:b/>
          <w:i/>
        </w:rPr>
        <w:t xml:space="preserve"> and </w:t>
      </w:r>
      <w:proofErr w:type="spellStart"/>
      <w:r w:rsidRPr="008F128F">
        <w:rPr>
          <w:rFonts w:asciiTheme="minorHAnsi" w:hAnsiTheme="minorHAnsi"/>
          <w:b/>
          <w:i/>
        </w:rPr>
        <w:t>Innovation</w:t>
      </w:r>
      <w:proofErr w:type="spellEnd"/>
      <w:r w:rsidRPr="008F128F">
        <w:rPr>
          <w:rFonts w:asciiTheme="minorHAnsi" w:hAnsiTheme="minorHAnsi"/>
          <w:b/>
          <w:i/>
        </w:rPr>
        <w:t xml:space="preserve"> performance </w:t>
      </w:r>
      <w:proofErr w:type="spellStart"/>
      <w:r w:rsidRPr="008F128F">
        <w:rPr>
          <w:rFonts w:asciiTheme="minorHAnsi" w:hAnsiTheme="minorHAnsi"/>
          <w:b/>
          <w:i/>
        </w:rPr>
        <w:t>of</w:t>
      </w:r>
      <w:proofErr w:type="spellEnd"/>
      <w:r w:rsidRPr="008F128F">
        <w:rPr>
          <w:rFonts w:asciiTheme="minorHAnsi" w:hAnsiTheme="minorHAnsi"/>
          <w:b/>
          <w:i/>
        </w:rPr>
        <w:t xml:space="preserve"> </w:t>
      </w:r>
      <w:proofErr w:type="spellStart"/>
      <w:r w:rsidRPr="008F128F">
        <w:rPr>
          <w:rFonts w:asciiTheme="minorHAnsi" w:hAnsiTheme="minorHAnsi"/>
          <w:b/>
          <w:i/>
        </w:rPr>
        <w:t>the</w:t>
      </w:r>
      <w:proofErr w:type="spellEnd"/>
      <w:r w:rsidRPr="008F128F">
        <w:rPr>
          <w:rFonts w:asciiTheme="minorHAnsi" w:hAnsiTheme="minorHAnsi"/>
          <w:b/>
          <w:i/>
        </w:rPr>
        <w:t xml:space="preserve"> EU 2016</w:t>
      </w:r>
    </w:p>
    <w:p w:rsidR="00375265" w:rsidRDefault="00FD7DE4" w:rsidP="000460E8">
      <w:pPr>
        <w:keepNext/>
        <w:jc w:val="both"/>
        <w:rPr>
          <w:rFonts w:asciiTheme="minorHAnsi" w:hAnsiTheme="minorHAnsi"/>
        </w:rPr>
      </w:pPr>
      <w:r>
        <w:rPr>
          <w:noProof/>
        </w:rPr>
        <w:drawing>
          <wp:inline distT="0" distB="0" distL="0" distR="0" wp14:anchorId="2837A0B0" wp14:editId="791C3EB9">
            <wp:extent cx="5743575" cy="2560320"/>
            <wp:effectExtent l="0" t="0" r="9525" b="1143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265" w:rsidRPr="00586F68" w:rsidRDefault="00375265" w:rsidP="000460E8">
      <w:pPr>
        <w:keepNext/>
        <w:jc w:val="both"/>
        <w:rPr>
          <w:rFonts w:asciiTheme="minorHAnsi" w:hAnsiTheme="minorHAnsi"/>
          <w:sz w:val="20"/>
          <w:szCs w:val="20"/>
        </w:rPr>
      </w:pPr>
      <w:r w:rsidRPr="00586F68">
        <w:rPr>
          <w:rFonts w:asciiTheme="minorHAnsi" w:hAnsiTheme="minorHAnsi"/>
          <w:b/>
          <w:sz w:val="20"/>
          <w:szCs w:val="20"/>
        </w:rPr>
        <w:t>Zdroj:</w:t>
      </w:r>
      <w:r w:rsidRPr="00586F68">
        <w:rPr>
          <w:sz w:val="20"/>
          <w:szCs w:val="20"/>
        </w:rPr>
        <w:t xml:space="preserve"> </w:t>
      </w:r>
      <w:r w:rsidRPr="008F128F">
        <w:rPr>
          <w:rFonts w:asciiTheme="minorHAnsi" w:hAnsiTheme="minorHAnsi"/>
          <w:i/>
          <w:sz w:val="20"/>
          <w:szCs w:val="20"/>
        </w:rPr>
        <w:t xml:space="preserve">Science, </w:t>
      </w:r>
      <w:proofErr w:type="spellStart"/>
      <w:r w:rsidRPr="008F128F">
        <w:rPr>
          <w:rFonts w:asciiTheme="minorHAnsi" w:hAnsiTheme="minorHAnsi"/>
          <w:i/>
          <w:sz w:val="20"/>
          <w:szCs w:val="20"/>
        </w:rPr>
        <w:t>Research</w:t>
      </w:r>
      <w:proofErr w:type="spellEnd"/>
      <w:r w:rsidRPr="008F128F">
        <w:rPr>
          <w:rFonts w:asciiTheme="minorHAnsi" w:hAnsiTheme="minorHAnsi"/>
          <w:i/>
          <w:sz w:val="20"/>
          <w:szCs w:val="20"/>
        </w:rPr>
        <w:t xml:space="preserve"> and </w:t>
      </w:r>
      <w:proofErr w:type="spellStart"/>
      <w:r w:rsidRPr="008F128F">
        <w:rPr>
          <w:rFonts w:asciiTheme="minorHAnsi" w:hAnsiTheme="minorHAnsi"/>
          <w:i/>
          <w:sz w:val="20"/>
          <w:szCs w:val="20"/>
        </w:rPr>
        <w:t>Innovation</w:t>
      </w:r>
      <w:proofErr w:type="spellEnd"/>
      <w:r w:rsidRPr="008F128F">
        <w:rPr>
          <w:rFonts w:asciiTheme="minorHAnsi" w:hAnsiTheme="minorHAnsi"/>
          <w:i/>
          <w:sz w:val="20"/>
          <w:szCs w:val="20"/>
        </w:rPr>
        <w:t xml:space="preserve"> performance </w:t>
      </w:r>
      <w:proofErr w:type="spellStart"/>
      <w:r w:rsidRPr="008F128F">
        <w:rPr>
          <w:rFonts w:asciiTheme="minorHAnsi" w:hAnsiTheme="minorHAnsi"/>
          <w:i/>
          <w:sz w:val="20"/>
          <w:szCs w:val="20"/>
        </w:rPr>
        <w:t>of</w:t>
      </w:r>
      <w:proofErr w:type="spellEnd"/>
      <w:r w:rsidRPr="008F128F">
        <w:rPr>
          <w:rFonts w:asciiTheme="minorHAnsi" w:hAnsiTheme="minorHAnsi"/>
          <w:i/>
          <w:sz w:val="20"/>
          <w:szCs w:val="20"/>
        </w:rPr>
        <w:t xml:space="preserve"> </w:t>
      </w:r>
      <w:proofErr w:type="spellStart"/>
      <w:r w:rsidRPr="008F128F">
        <w:rPr>
          <w:rFonts w:asciiTheme="minorHAnsi" w:hAnsiTheme="minorHAnsi"/>
          <w:i/>
          <w:sz w:val="20"/>
          <w:szCs w:val="20"/>
        </w:rPr>
        <w:t>the</w:t>
      </w:r>
      <w:proofErr w:type="spellEnd"/>
      <w:r w:rsidRPr="008F128F">
        <w:rPr>
          <w:rFonts w:asciiTheme="minorHAnsi" w:hAnsiTheme="minorHAnsi"/>
          <w:i/>
          <w:sz w:val="20"/>
          <w:szCs w:val="20"/>
        </w:rPr>
        <w:t xml:space="preserve"> EU 2016</w:t>
      </w:r>
      <w:r w:rsidR="0063630D" w:rsidRPr="00586F68">
        <w:rPr>
          <w:rFonts w:asciiTheme="minorHAnsi" w:hAnsiTheme="minorHAnsi"/>
          <w:sz w:val="20"/>
          <w:szCs w:val="20"/>
        </w:rPr>
        <w:t>.</w:t>
      </w:r>
    </w:p>
    <w:p w:rsidR="00C109E2" w:rsidRDefault="00C109E2" w:rsidP="002C0E61">
      <w:pPr>
        <w:jc w:val="both"/>
        <w:rPr>
          <w:rFonts w:asciiTheme="minorHAnsi" w:hAnsiTheme="minorHAnsi"/>
          <w:b/>
        </w:rPr>
      </w:pPr>
    </w:p>
    <w:p w:rsidR="007F3050" w:rsidRDefault="007F3050" w:rsidP="007F3050">
      <w:pPr>
        <w:jc w:val="both"/>
        <w:rPr>
          <w:rFonts w:asciiTheme="minorHAnsi" w:hAnsiTheme="minorHAnsi"/>
        </w:rPr>
      </w:pPr>
      <w:r w:rsidRPr="007F3050">
        <w:rPr>
          <w:rFonts w:asciiTheme="minorHAnsi" w:hAnsiTheme="minorHAnsi"/>
        </w:rPr>
        <w:t xml:space="preserve">V roce 2007 byla Evropskou komisí zřízena </w:t>
      </w:r>
      <w:proofErr w:type="spellStart"/>
      <w:r w:rsidRPr="007F3050">
        <w:rPr>
          <w:rFonts w:asciiTheme="minorHAnsi" w:hAnsiTheme="minorHAnsi"/>
        </w:rPr>
        <w:t>European</w:t>
      </w:r>
      <w:proofErr w:type="spellEnd"/>
      <w:r w:rsidRPr="007F3050">
        <w:rPr>
          <w:rFonts w:asciiTheme="minorHAnsi" w:hAnsiTheme="minorHAnsi"/>
        </w:rPr>
        <w:t xml:space="preserve"> </w:t>
      </w:r>
      <w:proofErr w:type="spellStart"/>
      <w:r w:rsidRPr="007F3050">
        <w:rPr>
          <w:rFonts w:asciiTheme="minorHAnsi" w:hAnsiTheme="minorHAnsi"/>
        </w:rPr>
        <w:t>Research</w:t>
      </w:r>
      <w:proofErr w:type="spellEnd"/>
      <w:r w:rsidRPr="007F3050">
        <w:rPr>
          <w:rFonts w:asciiTheme="minorHAnsi" w:hAnsiTheme="minorHAnsi"/>
        </w:rPr>
        <w:t xml:space="preserve"> </w:t>
      </w:r>
      <w:proofErr w:type="spellStart"/>
      <w:r w:rsidRPr="007F3050">
        <w:rPr>
          <w:rFonts w:asciiTheme="minorHAnsi" w:hAnsiTheme="minorHAnsi"/>
        </w:rPr>
        <w:t>Council</w:t>
      </w:r>
      <w:proofErr w:type="spellEnd"/>
      <w:r w:rsidRPr="007F3050">
        <w:rPr>
          <w:rFonts w:asciiTheme="minorHAnsi" w:hAnsiTheme="minorHAnsi"/>
        </w:rPr>
        <w:t xml:space="preserve"> (Evropská výzkumná rada, </w:t>
      </w:r>
      <w:r w:rsidRPr="004C6BB9">
        <w:rPr>
          <w:rFonts w:asciiTheme="minorHAnsi" w:hAnsiTheme="minorHAnsi"/>
        </w:rPr>
        <w:t>dále také „ERC“) jako první celoevropská grantová agentura pro financování hraničního výzkumu</w:t>
      </w:r>
      <w:r w:rsidRPr="004C6BB9">
        <w:rPr>
          <w:rStyle w:val="Znakapoznpodarou"/>
          <w:rFonts w:asciiTheme="minorHAnsi" w:hAnsiTheme="minorHAnsi"/>
        </w:rPr>
        <w:footnoteReference w:id="12"/>
      </w:r>
      <w:r w:rsidRPr="004C6BB9">
        <w:rPr>
          <w:rFonts w:asciiTheme="minorHAnsi" w:hAnsiTheme="minorHAnsi"/>
        </w:rPr>
        <w:t xml:space="preserve">. Česká republika není v mezinárodním srovnání v získávání ERC grantů příliš úspěšná. </w:t>
      </w:r>
      <w:r w:rsidR="003E6DD3">
        <w:rPr>
          <w:rFonts w:asciiTheme="minorHAnsi" w:hAnsiTheme="minorHAnsi"/>
        </w:rPr>
        <w:t>Toto srovnání zobrazuje následující graf.</w:t>
      </w:r>
    </w:p>
    <w:p w:rsidR="00BF7F02" w:rsidRPr="00CF622A" w:rsidRDefault="00BF7F02" w:rsidP="007F3050">
      <w:pPr>
        <w:jc w:val="both"/>
        <w:rPr>
          <w:rFonts w:asciiTheme="minorHAnsi" w:hAnsiTheme="minorHAnsi"/>
          <w:color w:val="000000" w:themeColor="text1"/>
        </w:rPr>
      </w:pPr>
    </w:p>
    <w:p w:rsidR="00375265" w:rsidRPr="00586F68" w:rsidRDefault="00375265" w:rsidP="00FD2E2E">
      <w:pPr>
        <w:keepNext/>
        <w:jc w:val="both"/>
        <w:rPr>
          <w:rFonts w:asciiTheme="minorHAnsi" w:hAnsiTheme="minorHAnsi"/>
          <w:b/>
        </w:rPr>
      </w:pPr>
      <w:r w:rsidRPr="00586F68">
        <w:rPr>
          <w:rFonts w:asciiTheme="minorHAnsi" w:hAnsiTheme="minorHAnsi"/>
          <w:b/>
        </w:rPr>
        <w:t xml:space="preserve">Graf č. 4: </w:t>
      </w:r>
      <w:r w:rsidR="003E6DD3" w:rsidRPr="00586F68">
        <w:rPr>
          <w:rFonts w:asciiTheme="minorHAnsi" w:hAnsiTheme="minorHAnsi"/>
          <w:b/>
        </w:rPr>
        <w:t>Počet získaných ERC grantů od roku 2007 dle jednotlivých zemí</w:t>
      </w:r>
    </w:p>
    <w:p w:rsidR="00375265" w:rsidRDefault="00375265" w:rsidP="00FD2E2E">
      <w:pPr>
        <w:keepNext/>
        <w:jc w:val="both"/>
        <w:rPr>
          <w:rFonts w:asciiTheme="minorHAnsi" w:hAnsiTheme="minorHAnsi"/>
        </w:rPr>
      </w:pPr>
      <w:r>
        <w:rPr>
          <w:noProof/>
        </w:rPr>
        <w:drawing>
          <wp:inline distT="0" distB="0" distL="0" distR="0" wp14:anchorId="2B8D689E" wp14:editId="6AF34C8A">
            <wp:extent cx="5693134" cy="2313830"/>
            <wp:effectExtent l="0" t="0" r="3175" b="1079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050" w:rsidRDefault="00375265" w:rsidP="00FD2E2E">
      <w:pPr>
        <w:keepNext/>
        <w:jc w:val="both"/>
        <w:rPr>
          <w:rFonts w:asciiTheme="minorHAnsi" w:hAnsiTheme="minorHAnsi"/>
          <w:sz w:val="20"/>
          <w:szCs w:val="20"/>
        </w:rPr>
      </w:pPr>
      <w:r w:rsidRPr="00586F68">
        <w:rPr>
          <w:rFonts w:asciiTheme="minorHAnsi" w:hAnsiTheme="minorHAnsi"/>
          <w:b/>
          <w:sz w:val="20"/>
          <w:szCs w:val="20"/>
        </w:rPr>
        <w:t>Zdroj:</w:t>
      </w:r>
      <w:r w:rsidRPr="00586F68">
        <w:rPr>
          <w:rFonts w:asciiTheme="minorHAnsi" w:hAnsiTheme="minorHAnsi"/>
          <w:sz w:val="20"/>
          <w:szCs w:val="20"/>
        </w:rPr>
        <w:t xml:space="preserve"> </w:t>
      </w:r>
      <w:proofErr w:type="spellStart"/>
      <w:r w:rsidR="00696930" w:rsidRPr="00586F68">
        <w:rPr>
          <w:rFonts w:asciiTheme="minorHAnsi" w:hAnsiTheme="minorHAnsi"/>
          <w:sz w:val="20"/>
          <w:szCs w:val="20"/>
        </w:rPr>
        <w:t>European</w:t>
      </w:r>
      <w:proofErr w:type="spellEnd"/>
      <w:r w:rsidR="00696930" w:rsidRPr="00586F68">
        <w:rPr>
          <w:rFonts w:asciiTheme="minorHAnsi" w:hAnsiTheme="minorHAnsi"/>
          <w:sz w:val="20"/>
          <w:szCs w:val="20"/>
        </w:rPr>
        <w:t xml:space="preserve"> </w:t>
      </w:r>
      <w:proofErr w:type="spellStart"/>
      <w:r w:rsidR="00696930" w:rsidRPr="00586F68">
        <w:rPr>
          <w:rFonts w:asciiTheme="minorHAnsi" w:hAnsiTheme="minorHAnsi"/>
          <w:sz w:val="20"/>
          <w:szCs w:val="20"/>
        </w:rPr>
        <w:t>Research</w:t>
      </w:r>
      <w:proofErr w:type="spellEnd"/>
      <w:r w:rsidR="00696930" w:rsidRPr="00586F68">
        <w:rPr>
          <w:rFonts w:asciiTheme="minorHAnsi" w:hAnsiTheme="minorHAnsi"/>
          <w:sz w:val="20"/>
          <w:szCs w:val="20"/>
        </w:rPr>
        <w:t xml:space="preserve"> </w:t>
      </w:r>
      <w:proofErr w:type="spellStart"/>
      <w:r w:rsidR="00696930" w:rsidRPr="00586F68">
        <w:rPr>
          <w:rFonts w:asciiTheme="minorHAnsi" w:hAnsiTheme="minorHAnsi"/>
          <w:sz w:val="20"/>
          <w:szCs w:val="20"/>
        </w:rPr>
        <w:t>Council</w:t>
      </w:r>
      <w:proofErr w:type="spellEnd"/>
      <w:r w:rsidR="00696930" w:rsidRPr="00586F68">
        <w:rPr>
          <w:rFonts w:asciiTheme="minorHAnsi" w:hAnsiTheme="minorHAnsi"/>
          <w:sz w:val="20"/>
          <w:szCs w:val="20"/>
        </w:rPr>
        <w:t>, ke dni 12. 1. 2017</w:t>
      </w:r>
      <w:r w:rsidR="00063EC0" w:rsidRPr="00586F68">
        <w:rPr>
          <w:rFonts w:asciiTheme="minorHAnsi" w:hAnsiTheme="minorHAnsi"/>
          <w:sz w:val="20"/>
          <w:szCs w:val="20"/>
        </w:rPr>
        <w:t>.</w:t>
      </w:r>
    </w:p>
    <w:p w:rsidR="00446247" w:rsidRDefault="00446247" w:rsidP="00FD2E2E">
      <w:pPr>
        <w:keepNext/>
        <w:jc w:val="both"/>
        <w:rPr>
          <w:rFonts w:asciiTheme="minorHAnsi" w:hAnsiTheme="minorHAnsi"/>
          <w:sz w:val="20"/>
          <w:szCs w:val="20"/>
        </w:rPr>
      </w:pPr>
    </w:p>
    <w:p w:rsidR="00446247" w:rsidRDefault="00446247" w:rsidP="00FD2E2E">
      <w:pPr>
        <w:keepNext/>
        <w:jc w:val="both"/>
        <w:rPr>
          <w:rFonts w:asciiTheme="minorHAnsi" w:hAnsiTheme="minorHAnsi"/>
          <w:sz w:val="20"/>
          <w:szCs w:val="20"/>
        </w:rPr>
      </w:pPr>
    </w:p>
    <w:p w:rsidR="00446247" w:rsidRDefault="00446247" w:rsidP="00FD2E2E">
      <w:pPr>
        <w:keepNext/>
        <w:jc w:val="both"/>
        <w:rPr>
          <w:rFonts w:asciiTheme="minorHAnsi" w:hAnsiTheme="minorHAnsi"/>
          <w:sz w:val="20"/>
          <w:szCs w:val="20"/>
        </w:rPr>
      </w:pPr>
    </w:p>
    <w:p w:rsidR="006F66C3" w:rsidRPr="00586F68" w:rsidRDefault="006F66C3" w:rsidP="00FD2E2E">
      <w:pPr>
        <w:keepNext/>
        <w:jc w:val="both"/>
        <w:rPr>
          <w:rFonts w:asciiTheme="minorHAnsi" w:hAnsiTheme="minorHAnsi"/>
          <w:sz w:val="20"/>
          <w:szCs w:val="20"/>
        </w:rPr>
      </w:pPr>
    </w:p>
    <w:p w:rsidR="00FD2E2E" w:rsidRPr="007F3050" w:rsidRDefault="00FD2E2E" w:rsidP="007F3050">
      <w:pPr>
        <w:jc w:val="both"/>
        <w:rPr>
          <w:rFonts w:asciiTheme="minorHAnsi" w:hAnsiTheme="minorHAnsi"/>
        </w:rPr>
      </w:pPr>
    </w:p>
    <w:p w:rsidR="00612272" w:rsidRPr="0037455B" w:rsidRDefault="0037455B" w:rsidP="00612272">
      <w:pPr>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Pr>
          <w:rFonts w:ascii="Calibri" w:hAnsi="Calibri"/>
        </w:rPr>
        <w:lastRenderedPageBreak/>
        <w:t>V indikátorech</w:t>
      </w:r>
      <w:r w:rsidR="00612272" w:rsidRPr="0037455B">
        <w:rPr>
          <w:rFonts w:ascii="Calibri" w:hAnsi="Calibri"/>
        </w:rPr>
        <w:t xml:space="preserve"> </w:t>
      </w:r>
      <w:r>
        <w:rPr>
          <w:rFonts w:ascii="Calibri" w:hAnsi="Calibri"/>
        </w:rPr>
        <w:t>měřících kvalitu</w:t>
      </w:r>
      <w:r w:rsidR="00612272" w:rsidRPr="0037455B">
        <w:rPr>
          <w:rFonts w:ascii="Calibri" w:hAnsi="Calibri"/>
        </w:rPr>
        <w:t xml:space="preserve"> </w:t>
      </w:r>
      <w:r w:rsidR="00612272" w:rsidRPr="0037455B">
        <w:rPr>
          <w:rFonts w:asciiTheme="minorHAnsi" w:hAnsiTheme="minorHAnsi"/>
        </w:rPr>
        <w:t>publikací, které jsou téměř výhradním výstupem základního výzkumu</w:t>
      </w:r>
      <w:r w:rsidRPr="0037455B">
        <w:rPr>
          <w:rFonts w:asciiTheme="minorHAnsi" w:hAnsiTheme="minorHAnsi"/>
        </w:rPr>
        <w:t xml:space="preserve"> a </w:t>
      </w:r>
      <w:r>
        <w:rPr>
          <w:rFonts w:asciiTheme="minorHAnsi" w:hAnsiTheme="minorHAnsi"/>
        </w:rPr>
        <w:t>úspěšnosti jejich</w:t>
      </w:r>
      <w:r w:rsidRPr="0037455B">
        <w:rPr>
          <w:rFonts w:asciiTheme="minorHAnsi" w:hAnsiTheme="minorHAnsi"/>
        </w:rPr>
        <w:t xml:space="preserve"> autorů,</w:t>
      </w:r>
      <w:r w:rsidR="00612272" w:rsidRPr="0037455B">
        <w:rPr>
          <w:rFonts w:ascii="Calibri" w:hAnsi="Calibri"/>
        </w:rPr>
        <w:t xml:space="preserve"> </w:t>
      </w:r>
      <w:r w:rsidR="003F381F">
        <w:rPr>
          <w:rFonts w:ascii="Calibri" w:hAnsi="Calibri"/>
        </w:rPr>
        <w:t>nedosahuje</w:t>
      </w:r>
      <w:r w:rsidR="00612272" w:rsidRPr="0037455B">
        <w:rPr>
          <w:rFonts w:ascii="Calibri" w:hAnsi="Calibri"/>
        </w:rPr>
        <w:t xml:space="preserve"> </w:t>
      </w:r>
      <w:r w:rsidRPr="0037455B">
        <w:rPr>
          <w:rFonts w:ascii="Calibri" w:hAnsi="Calibri"/>
        </w:rPr>
        <w:t xml:space="preserve">Česká republika </w:t>
      </w:r>
      <w:r w:rsidR="003F381F">
        <w:rPr>
          <w:rFonts w:ascii="Calibri" w:hAnsi="Calibri"/>
        </w:rPr>
        <w:t>evropského průměru</w:t>
      </w:r>
      <w:r w:rsidR="00612272" w:rsidRPr="0037455B">
        <w:rPr>
          <w:rFonts w:ascii="Calibri" w:hAnsi="Calibri"/>
        </w:rPr>
        <w:t>.</w:t>
      </w:r>
      <w:r w:rsidRPr="0037455B">
        <w:rPr>
          <w:rFonts w:ascii="Calibri" w:hAnsi="Calibri"/>
        </w:rPr>
        <w:t xml:space="preserve"> Česká republika zaostává i v mezinárodním srovnání úspěšnosti v získávání grantů </w:t>
      </w:r>
      <w:r w:rsidRPr="0037455B">
        <w:rPr>
          <w:rFonts w:asciiTheme="minorHAnsi" w:hAnsiTheme="minorHAnsi"/>
        </w:rPr>
        <w:t>Evropské výzkumné rady.</w:t>
      </w:r>
    </w:p>
    <w:p w:rsidR="00DE2FEB" w:rsidRPr="00CF622A" w:rsidRDefault="00DE2FEB" w:rsidP="002C0E61">
      <w:pPr>
        <w:jc w:val="both"/>
        <w:rPr>
          <w:rFonts w:asciiTheme="minorHAnsi" w:hAnsiTheme="minorHAnsi"/>
        </w:rPr>
      </w:pPr>
    </w:p>
    <w:p w:rsidR="00DE2FEB" w:rsidRPr="001E745A" w:rsidRDefault="001E745A" w:rsidP="001E745A">
      <w:pPr>
        <w:jc w:val="both"/>
        <w:rPr>
          <w:rFonts w:asciiTheme="minorHAnsi" w:hAnsiTheme="minorHAnsi"/>
          <w:b/>
        </w:rPr>
      </w:pPr>
      <w:r w:rsidRPr="001E745A">
        <w:rPr>
          <w:rFonts w:asciiTheme="minorHAnsi" w:hAnsiTheme="minorHAnsi"/>
          <w:b/>
        </w:rPr>
        <w:t>7.</w:t>
      </w:r>
      <w:r>
        <w:rPr>
          <w:rFonts w:asciiTheme="minorHAnsi" w:hAnsiTheme="minorHAnsi"/>
          <w:b/>
        </w:rPr>
        <w:t xml:space="preserve"> </w:t>
      </w:r>
      <w:r w:rsidRPr="001E745A">
        <w:rPr>
          <w:rFonts w:asciiTheme="minorHAnsi" w:hAnsiTheme="minorHAnsi"/>
          <w:b/>
        </w:rPr>
        <w:t xml:space="preserve">Zjištění </w:t>
      </w:r>
      <w:r w:rsidR="00EB7D70">
        <w:rPr>
          <w:rFonts w:asciiTheme="minorHAnsi" w:hAnsiTheme="minorHAnsi"/>
          <w:b/>
        </w:rPr>
        <w:t>u příjemců</w:t>
      </w:r>
      <w:r w:rsidRPr="001E745A">
        <w:rPr>
          <w:rFonts w:asciiTheme="minorHAnsi" w:hAnsiTheme="minorHAnsi"/>
          <w:b/>
        </w:rPr>
        <w:t xml:space="preserve"> podpory</w:t>
      </w:r>
    </w:p>
    <w:p w:rsidR="00DE2FEB" w:rsidRPr="00CF622A" w:rsidRDefault="00DE2FEB" w:rsidP="002C0E61">
      <w:pPr>
        <w:jc w:val="both"/>
        <w:rPr>
          <w:rFonts w:asciiTheme="minorHAnsi" w:hAnsiTheme="minorHAnsi"/>
        </w:rPr>
      </w:pPr>
    </w:p>
    <w:p w:rsidR="001E745A" w:rsidRPr="007C3CCF" w:rsidRDefault="00FF3847" w:rsidP="001E745A">
      <w:pPr>
        <w:shd w:val="clear" w:color="auto" w:fill="D9D9D9" w:themeFill="background1" w:themeFillShade="D9"/>
        <w:autoSpaceDE w:val="0"/>
        <w:autoSpaceDN w:val="0"/>
        <w:adjustRightInd w:val="0"/>
        <w:jc w:val="both"/>
        <w:rPr>
          <w:rFonts w:asciiTheme="minorHAnsi" w:hAnsiTheme="minorHAnsi"/>
          <w:color w:val="000000" w:themeColor="text1"/>
        </w:rPr>
      </w:pPr>
      <w:r w:rsidRPr="000424FF">
        <w:rPr>
          <w:rFonts w:asciiTheme="minorHAnsi" w:hAnsiTheme="minorHAnsi"/>
          <w:color w:val="000000" w:themeColor="text1"/>
        </w:rPr>
        <w:t xml:space="preserve">Předpokladem dosažení </w:t>
      </w:r>
      <w:r w:rsidR="00F32DDD" w:rsidRPr="000424FF">
        <w:rPr>
          <w:rFonts w:asciiTheme="minorHAnsi" w:hAnsiTheme="minorHAnsi"/>
          <w:color w:val="000000" w:themeColor="text1"/>
        </w:rPr>
        <w:t>účelu</w:t>
      </w:r>
      <w:r w:rsidRPr="000424FF">
        <w:rPr>
          <w:rFonts w:asciiTheme="minorHAnsi" w:hAnsiTheme="minorHAnsi"/>
          <w:color w:val="000000" w:themeColor="text1"/>
        </w:rPr>
        <w:t xml:space="preserve"> poskytnuté podpory je na straně příjemců dodržení stanovených podmínek jejího využití a splnění očekávaných </w:t>
      </w:r>
      <w:r w:rsidR="002F15E7" w:rsidRPr="000424FF">
        <w:rPr>
          <w:rFonts w:asciiTheme="minorHAnsi" w:hAnsiTheme="minorHAnsi"/>
          <w:color w:val="000000" w:themeColor="text1"/>
        </w:rPr>
        <w:t>přínosů</w:t>
      </w:r>
      <w:r w:rsidRPr="000424FF">
        <w:rPr>
          <w:rFonts w:asciiTheme="minorHAnsi" w:hAnsiTheme="minorHAnsi"/>
          <w:color w:val="000000" w:themeColor="text1"/>
        </w:rPr>
        <w:t xml:space="preserve"> jednotlivých projektů</w:t>
      </w:r>
      <w:r w:rsidRPr="007C3CCF">
        <w:rPr>
          <w:rFonts w:asciiTheme="minorHAnsi" w:hAnsiTheme="minorHAnsi"/>
          <w:color w:val="000000" w:themeColor="text1"/>
        </w:rPr>
        <w:t>.</w:t>
      </w:r>
    </w:p>
    <w:p w:rsidR="00EE0535" w:rsidRDefault="00EE0535" w:rsidP="001E745A">
      <w:pPr>
        <w:shd w:val="clear" w:color="auto" w:fill="D9D9D9" w:themeFill="background1" w:themeFillShade="D9"/>
        <w:autoSpaceDE w:val="0"/>
        <w:autoSpaceDN w:val="0"/>
        <w:adjustRightInd w:val="0"/>
        <w:jc w:val="both"/>
        <w:rPr>
          <w:rFonts w:asciiTheme="minorHAnsi" w:hAnsiTheme="minorHAnsi" w:cs="Arial"/>
          <w:color w:val="000000" w:themeColor="text1"/>
        </w:rPr>
      </w:pPr>
    </w:p>
    <w:p w:rsidR="001E745A" w:rsidRPr="00CF622A" w:rsidRDefault="001E745A" w:rsidP="001E745A">
      <w:pPr>
        <w:shd w:val="clear" w:color="auto" w:fill="D9D9D9" w:themeFill="background1" w:themeFillShade="D9"/>
        <w:autoSpaceDE w:val="0"/>
        <w:autoSpaceDN w:val="0"/>
        <w:adjustRightInd w:val="0"/>
        <w:jc w:val="both"/>
        <w:rPr>
          <w:rFonts w:asciiTheme="minorHAnsi" w:hAnsiTheme="minorHAnsi"/>
          <w:color w:val="000000" w:themeColor="text1"/>
        </w:rPr>
      </w:pPr>
      <w:r w:rsidRPr="00CF622A">
        <w:rPr>
          <w:rFonts w:asciiTheme="minorHAnsi" w:hAnsiTheme="minorHAnsi" w:cs="Arial"/>
          <w:color w:val="000000" w:themeColor="text1"/>
        </w:rPr>
        <w:t>Kontrolou bylo prověřeno, zda byly dodrženy podmínky čerpání a použití podpory stanovené GA ČR a obecně závazné právní předpisy a z</w:t>
      </w:r>
      <w:r w:rsidRPr="00CF622A">
        <w:rPr>
          <w:rFonts w:asciiTheme="minorHAnsi" w:hAnsiTheme="minorHAnsi"/>
          <w:color w:val="000000" w:themeColor="text1"/>
        </w:rPr>
        <w:t>da příjemci dosáhli stanovených cílů projektu.</w:t>
      </w:r>
    </w:p>
    <w:p w:rsidR="001E745A" w:rsidRPr="00CF622A" w:rsidRDefault="001E745A" w:rsidP="002C0E61">
      <w:pPr>
        <w:jc w:val="both"/>
        <w:rPr>
          <w:rFonts w:asciiTheme="minorHAnsi" w:hAnsiTheme="minorHAnsi"/>
        </w:rPr>
      </w:pPr>
    </w:p>
    <w:p w:rsidR="001E745A" w:rsidRDefault="001E745A" w:rsidP="002C0E61">
      <w:pPr>
        <w:jc w:val="both"/>
        <w:rPr>
          <w:rFonts w:asciiTheme="minorHAnsi" w:hAnsiTheme="minorHAnsi" w:cstheme="minorHAnsi"/>
        </w:rPr>
      </w:pPr>
      <w:r w:rsidRPr="001213CD">
        <w:rPr>
          <w:rFonts w:asciiTheme="minorHAnsi" w:hAnsiTheme="minorHAnsi" w:cstheme="minorHAnsi"/>
        </w:rPr>
        <w:t xml:space="preserve">Kontrole bylo podrobeno </w:t>
      </w:r>
      <w:r w:rsidR="00EE0535">
        <w:rPr>
          <w:rFonts w:asciiTheme="minorHAnsi" w:hAnsiTheme="minorHAnsi" w:cstheme="minorHAnsi"/>
        </w:rPr>
        <w:t xml:space="preserve">celkem </w:t>
      </w:r>
      <w:r w:rsidRPr="001213CD">
        <w:rPr>
          <w:rFonts w:asciiTheme="minorHAnsi" w:hAnsiTheme="minorHAnsi" w:cstheme="minorHAnsi"/>
        </w:rPr>
        <w:t>33</w:t>
      </w:r>
      <w:r>
        <w:rPr>
          <w:rFonts w:asciiTheme="minorHAnsi" w:hAnsiTheme="minorHAnsi" w:cstheme="minorHAnsi"/>
        </w:rPr>
        <w:t xml:space="preserve"> projektů</w:t>
      </w:r>
      <w:r w:rsidRPr="00EE0535">
        <w:rPr>
          <w:rFonts w:ascii="Calibri" w:hAnsi="Calibri" w:cs="Calibri"/>
          <w:color w:val="000000" w:themeColor="text1"/>
        </w:rPr>
        <w:t xml:space="preserve">. </w:t>
      </w:r>
      <w:r w:rsidRPr="00EE0535">
        <w:rPr>
          <w:rFonts w:asciiTheme="minorHAnsi" w:hAnsiTheme="minorHAnsi" w:cstheme="minorHAnsi"/>
          <w:color w:val="000000" w:themeColor="text1"/>
        </w:rPr>
        <w:t>Ze</w:t>
      </w:r>
      <w:r w:rsidRPr="00C75062">
        <w:rPr>
          <w:rFonts w:asciiTheme="minorHAnsi" w:hAnsiTheme="minorHAnsi" w:cstheme="minorHAnsi"/>
        </w:rPr>
        <w:t xml:space="preserve"> skupiny grantových projektů </w:t>
      </w:r>
      <w:r w:rsidR="00737261">
        <w:rPr>
          <w:rFonts w:asciiTheme="minorHAnsi" w:hAnsiTheme="minorHAnsi" w:cstheme="minorHAnsi"/>
        </w:rPr>
        <w:t>„s</w:t>
      </w:r>
      <w:r w:rsidRPr="00C75062">
        <w:rPr>
          <w:rFonts w:asciiTheme="minorHAnsi" w:hAnsiTheme="minorHAnsi" w:cstheme="minorHAnsi"/>
        </w:rPr>
        <w:t>tandardní projekty</w:t>
      </w:r>
      <w:r w:rsidR="00737261">
        <w:rPr>
          <w:rFonts w:asciiTheme="minorHAnsi" w:hAnsiTheme="minorHAnsi" w:cstheme="minorHAnsi"/>
        </w:rPr>
        <w:t>“</w:t>
      </w:r>
      <w:r w:rsidRPr="00C75062">
        <w:rPr>
          <w:rFonts w:asciiTheme="minorHAnsi" w:hAnsiTheme="minorHAnsi" w:cstheme="minorHAnsi"/>
        </w:rPr>
        <w:t xml:space="preserve"> bylo 28 projektů (jeden neukončen k datu </w:t>
      </w:r>
      <w:r>
        <w:rPr>
          <w:rFonts w:asciiTheme="minorHAnsi" w:hAnsiTheme="minorHAnsi" w:cstheme="minorHAnsi"/>
        </w:rPr>
        <w:t>31. 12. 2016</w:t>
      </w:r>
      <w:r w:rsidRPr="00C75062">
        <w:rPr>
          <w:rFonts w:asciiTheme="minorHAnsi" w:hAnsiTheme="minorHAnsi" w:cstheme="minorHAnsi"/>
        </w:rPr>
        <w:t>) a pět projektů z</w:t>
      </w:r>
      <w:r w:rsidR="000B62F3">
        <w:rPr>
          <w:rFonts w:asciiTheme="minorHAnsi" w:hAnsiTheme="minorHAnsi" w:cstheme="minorHAnsi"/>
        </w:rPr>
        <w:t xml:space="preserve">e skupiny grantových projektů </w:t>
      </w:r>
      <w:r w:rsidR="00737261">
        <w:rPr>
          <w:rFonts w:asciiTheme="minorHAnsi" w:hAnsiTheme="minorHAnsi" w:cstheme="minorHAnsi"/>
        </w:rPr>
        <w:t>„e</w:t>
      </w:r>
      <w:r w:rsidRPr="00C75062">
        <w:rPr>
          <w:rFonts w:asciiTheme="minorHAnsi" w:hAnsiTheme="minorHAnsi" w:cstheme="minorHAnsi"/>
        </w:rPr>
        <w:t>xcelence</w:t>
      </w:r>
      <w:r w:rsidR="00737261">
        <w:rPr>
          <w:rFonts w:asciiTheme="minorHAnsi" w:hAnsiTheme="minorHAnsi" w:cstheme="minorHAnsi"/>
        </w:rPr>
        <w:t>“</w:t>
      </w:r>
      <w:r w:rsidRPr="00C75062">
        <w:rPr>
          <w:rFonts w:asciiTheme="minorHAnsi" w:hAnsiTheme="minorHAnsi" w:cstheme="minorHAnsi"/>
        </w:rPr>
        <w:t xml:space="preserve"> v základním výzkumu</w:t>
      </w:r>
      <w:r>
        <w:rPr>
          <w:rFonts w:asciiTheme="minorHAnsi" w:hAnsiTheme="minorHAnsi" w:cstheme="minorHAnsi"/>
        </w:rPr>
        <w:t xml:space="preserve"> (žádný projekt nebyl ukončen k datu 31.</w:t>
      </w:r>
      <w:r w:rsidR="00432F57">
        <w:rPr>
          <w:rFonts w:asciiTheme="minorHAnsi" w:hAnsiTheme="minorHAnsi" w:cstheme="minorHAnsi"/>
        </w:rPr>
        <w:t> </w:t>
      </w:r>
      <w:r>
        <w:rPr>
          <w:rFonts w:asciiTheme="minorHAnsi" w:hAnsiTheme="minorHAnsi" w:cstheme="minorHAnsi"/>
        </w:rPr>
        <w:t>12.</w:t>
      </w:r>
      <w:r w:rsidR="00432F57">
        <w:rPr>
          <w:rFonts w:asciiTheme="minorHAnsi" w:hAnsiTheme="minorHAnsi" w:cstheme="minorHAnsi"/>
        </w:rPr>
        <w:t> </w:t>
      </w:r>
      <w:r>
        <w:rPr>
          <w:rFonts w:asciiTheme="minorHAnsi" w:hAnsiTheme="minorHAnsi" w:cstheme="minorHAnsi"/>
        </w:rPr>
        <w:t>2016)</w:t>
      </w:r>
      <w:r w:rsidRPr="00C75062">
        <w:rPr>
          <w:rFonts w:asciiTheme="minorHAnsi" w:hAnsiTheme="minorHAnsi" w:cstheme="minorHAnsi"/>
        </w:rPr>
        <w:t>.</w:t>
      </w:r>
      <w:r w:rsidR="009D6CEF">
        <w:rPr>
          <w:rFonts w:asciiTheme="minorHAnsi" w:hAnsiTheme="minorHAnsi" w:cstheme="minorHAnsi"/>
        </w:rPr>
        <w:t xml:space="preserve"> </w:t>
      </w:r>
      <w:r>
        <w:rPr>
          <w:rFonts w:asciiTheme="minorHAnsi" w:hAnsiTheme="minorHAnsi" w:cstheme="minorHAnsi"/>
        </w:rPr>
        <w:t xml:space="preserve">S výjimkou jednoho projektu činila u všech ostatních kontrolovaných projektů </w:t>
      </w:r>
      <w:r w:rsidRPr="001E745A">
        <w:rPr>
          <w:rFonts w:asciiTheme="minorHAnsi" w:hAnsiTheme="minorHAnsi" w:cstheme="minorHAnsi"/>
        </w:rPr>
        <w:t>míra podpory 10</w:t>
      </w:r>
      <w:r w:rsidR="009D6CEF">
        <w:rPr>
          <w:rFonts w:asciiTheme="minorHAnsi" w:hAnsiTheme="minorHAnsi" w:cstheme="minorHAnsi"/>
        </w:rPr>
        <w:t>0 % celkových uznaných nákladů.</w:t>
      </w:r>
    </w:p>
    <w:p w:rsidR="00112B29" w:rsidRDefault="00112B29" w:rsidP="00112B29">
      <w:pPr>
        <w:jc w:val="both"/>
        <w:rPr>
          <w:rFonts w:asciiTheme="minorHAnsi" w:hAnsiTheme="minorHAnsi" w:cs="Arial"/>
        </w:rPr>
      </w:pPr>
    </w:p>
    <w:p w:rsidR="00112B29" w:rsidRPr="00112B29" w:rsidRDefault="00112B29" w:rsidP="002C0E61">
      <w:pPr>
        <w:jc w:val="both"/>
        <w:rPr>
          <w:rFonts w:asciiTheme="minorHAnsi" w:hAnsiTheme="minorHAnsi" w:cs="Arial"/>
        </w:rPr>
      </w:pPr>
      <w:r>
        <w:rPr>
          <w:rFonts w:asciiTheme="minorHAnsi" w:hAnsiTheme="minorHAnsi" w:cs="Arial"/>
        </w:rPr>
        <w:t xml:space="preserve">U </w:t>
      </w:r>
      <w:r w:rsidRPr="009A4CAA">
        <w:rPr>
          <w:rFonts w:asciiTheme="minorHAnsi" w:hAnsiTheme="minorHAnsi" w:cs="Arial"/>
        </w:rPr>
        <w:t xml:space="preserve">již ukončených kontrolovaných projektů </w:t>
      </w:r>
      <w:r>
        <w:rPr>
          <w:rFonts w:asciiTheme="minorHAnsi" w:hAnsiTheme="minorHAnsi"/>
        </w:rPr>
        <w:t>příjemci</w:t>
      </w:r>
      <w:r w:rsidRPr="00D235FA">
        <w:rPr>
          <w:rFonts w:asciiTheme="minorHAnsi" w:hAnsiTheme="minorHAnsi"/>
        </w:rPr>
        <w:t xml:space="preserve"> dosáhl</w:t>
      </w:r>
      <w:r>
        <w:rPr>
          <w:rFonts w:asciiTheme="minorHAnsi" w:hAnsiTheme="minorHAnsi"/>
        </w:rPr>
        <w:t>i</w:t>
      </w:r>
      <w:r w:rsidRPr="00D235FA">
        <w:rPr>
          <w:rFonts w:asciiTheme="minorHAnsi" w:hAnsiTheme="minorHAnsi"/>
        </w:rPr>
        <w:t xml:space="preserve"> stanovených cílů</w:t>
      </w:r>
      <w:r w:rsidR="00AB3E16">
        <w:rPr>
          <w:rFonts w:asciiTheme="minorHAnsi" w:hAnsiTheme="minorHAnsi"/>
        </w:rPr>
        <w:t xml:space="preserve"> (zejména získání nových vědomostí a poznatků)</w:t>
      </w:r>
      <w:r w:rsidRPr="009A4CAA">
        <w:rPr>
          <w:rFonts w:asciiTheme="minorHAnsi" w:hAnsiTheme="minorHAnsi" w:cs="Arial"/>
        </w:rPr>
        <w:t>.</w:t>
      </w:r>
      <w:r>
        <w:rPr>
          <w:rFonts w:asciiTheme="minorHAnsi" w:hAnsiTheme="minorHAnsi" w:cs="Arial"/>
        </w:rPr>
        <w:t xml:space="preserve"> </w:t>
      </w:r>
      <w:r w:rsidR="00C6480C">
        <w:rPr>
          <w:rFonts w:asciiTheme="minorHAnsi" w:hAnsiTheme="minorHAnsi" w:cs="Arial"/>
        </w:rPr>
        <w:t xml:space="preserve">Příjemci však neměli povinnost se smluvně zavázat </w:t>
      </w:r>
      <w:r w:rsidR="004A0690">
        <w:rPr>
          <w:rFonts w:asciiTheme="minorHAnsi" w:hAnsiTheme="minorHAnsi" w:cs="Arial"/>
        </w:rPr>
        <w:t>ke</w:t>
      </w:r>
      <w:r w:rsidR="00EE0535">
        <w:rPr>
          <w:rFonts w:asciiTheme="minorHAnsi" w:hAnsiTheme="minorHAnsi" w:cs="Arial"/>
        </w:rPr>
        <w:t xml:space="preserve"> </w:t>
      </w:r>
      <w:r w:rsidR="004A0690">
        <w:rPr>
          <w:rFonts w:asciiTheme="minorHAnsi" w:hAnsiTheme="minorHAnsi" w:cs="Arial"/>
        </w:rPr>
        <w:t>konkrétnímu počtu a kvalitě dosažených výsledků</w:t>
      </w:r>
      <w:r w:rsidR="004B02AA">
        <w:rPr>
          <w:rFonts w:asciiTheme="minorHAnsi" w:hAnsiTheme="minorHAnsi" w:cs="Arial"/>
        </w:rPr>
        <w:t xml:space="preserve">, tj. </w:t>
      </w:r>
      <w:r w:rsidR="00AB3E16">
        <w:rPr>
          <w:rFonts w:asciiTheme="minorHAnsi" w:hAnsiTheme="minorHAnsi" w:cs="Arial"/>
        </w:rPr>
        <w:t>výstupů z cílů, především ve formě publikační činnosti</w:t>
      </w:r>
      <w:r w:rsidR="004A0690">
        <w:rPr>
          <w:rFonts w:asciiTheme="minorHAnsi" w:hAnsiTheme="minorHAnsi" w:cs="Arial"/>
        </w:rPr>
        <w:t>.</w:t>
      </w:r>
    </w:p>
    <w:p w:rsidR="009D6CEF" w:rsidRDefault="009D6CEF" w:rsidP="002C0E61">
      <w:pPr>
        <w:jc w:val="both"/>
        <w:rPr>
          <w:rFonts w:asciiTheme="minorHAnsi" w:hAnsiTheme="minorHAnsi" w:cstheme="minorHAnsi"/>
        </w:rPr>
      </w:pPr>
    </w:p>
    <w:p w:rsidR="009D6CEF" w:rsidRPr="00D27A5B" w:rsidRDefault="009D6CEF" w:rsidP="002C0E61">
      <w:pPr>
        <w:jc w:val="both"/>
        <w:rPr>
          <w:rFonts w:asciiTheme="minorHAnsi" w:hAnsiTheme="minorHAnsi" w:cstheme="minorHAnsi"/>
        </w:rPr>
      </w:pPr>
      <w:r w:rsidRPr="00D27A5B">
        <w:rPr>
          <w:rFonts w:asciiTheme="minorHAnsi" w:hAnsiTheme="minorHAnsi" w:cstheme="minorHAnsi"/>
        </w:rPr>
        <w:t xml:space="preserve">Kontrole byly podrobeny uznané náklady u příjemců v celkové výši 317 mil. Kč. U 13 projektů byly zjištěny nedostatky, které NKÚ vyhodnotil jako porušení rozpočtové kázně v celkové výši 24,3 mil. Kč a </w:t>
      </w:r>
      <w:r w:rsidR="00EE0535" w:rsidRPr="00D27A5B">
        <w:rPr>
          <w:rFonts w:asciiTheme="minorHAnsi" w:hAnsiTheme="minorHAnsi" w:cstheme="minorHAnsi"/>
        </w:rPr>
        <w:t xml:space="preserve">o této skutečnosti </w:t>
      </w:r>
      <w:r w:rsidRPr="00D27A5B">
        <w:rPr>
          <w:rFonts w:asciiTheme="minorHAnsi" w:hAnsiTheme="minorHAnsi" w:cstheme="minorHAnsi"/>
        </w:rPr>
        <w:t>zaslal oznámení příslušnému správci daně.</w:t>
      </w:r>
      <w:r w:rsidR="00A11C92" w:rsidRPr="00D27A5B">
        <w:rPr>
          <w:rFonts w:asciiTheme="minorHAnsi" w:hAnsiTheme="minorHAnsi" w:cstheme="minorHAnsi"/>
        </w:rPr>
        <w:t xml:space="preserve"> </w:t>
      </w:r>
    </w:p>
    <w:p w:rsidR="009D6CEF" w:rsidRPr="00D27A5B" w:rsidRDefault="009D6CEF" w:rsidP="002C0E61">
      <w:pPr>
        <w:jc w:val="both"/>
        <w:rPr>
          <w:rFonts w:asciiTheme="minorHAnsi" w:hAnsiTheme="minorHAnsi" w:cstheme="minorHAnsi"/>
        </w:rPr>
      </w:pPr>
    </w:p>
    <w:p w:rsidR="009D6CEF" w:rsidRPr="00D27A5B" w:rsidRDefault="009D6CEF" w:rsidP="009D6CEF">
      <w:pPr>
        <w:jc w:val="both"/>
        <w:rPr>
          <w:rFonts w:asciiTheme="minorHAnsi" w:hAnsiTheme="minorHAnsi" w:cstheme="minorHAnsi"/>
        </w:rPr>
      </w:pPr>
      <w:r w:rsidRPr="00D27A5B">
        <w:rPr>
          <w:rFonts w:asciiTheme="minorHAnsi" w:hAnsiTheme="minorHAnsi" w:cstheme="minorHAnsi"/>
        </w:rPr>
        <w:t>Příjemc</w:t>
      </w:r>
      <w:r w:rsidR="00CA649B" w:rsidRPr="00D27A5B">
        <w:rPr>
          <w:rFonts w:asciiTheme="minorHAnsi" w:hAnsiTheme="minorHAnsi" w:cstheme="minorHAnsi"/>
        </w:rPr>
        <w:t>i</w:t>
      </w:r>
      <w:r w:rsidRPr="00D27A5B">
        <w:rPr>
          <w:rFonts w:asciiTheme="minorHAnsi" w:hAnsiTheme="minorHAnsi" w:cstheme="minorHAnsi"/>
        </w:rPr>
        <w:t xml:space="preserve"> porušili rozpočtovou kázeň např. tím, že: </w:t>
      </w:r>
    </w:p>
    <w:p w:rsidR="009D6CEF" w:rsidRPr="00D27A5B" w:rsidRDefault="009D6CEF" w:rsidP="00CF622A">
      <w:pPr>
        <w:pStyle w:val="Odstavecseseznamem"/>
        <w:numPr>
          <w:ilvl w:val="0"/>
          <w:numId w:val="14"/>
        </w:numPr>
        <w:ind w:left="284" w:hanging="284"/>
        <w:jc w:val="both"/>
        <w:rPr>
          <w:rFonts w:asciiTheme="minorHAnsi" w:hAnsiTheme="minorHAnsi" w:cstheme="minorHAnsi"/>
        </w:rPr>
      </w:pPr>
      <w:r w:rsidRPr="00D27A5B">
        <w:rPr>
          <w:rFonts w:asciiTheme="minorHAnsi" w:hAnsiTheme="minorHAnsi" w:cstheme="minorHAnsi"/>
        </w:rPr>
        <w:t>v pracovních smlouvách nespecifikoval</w:t>
      </w:r>
      <w:r w:rsidR="00CA649B" w:rsidRPr="00D27A5B">
        <w:rPr>
          <w:rFonts w:asciiTheme="minorHAnsi" w:hAnsiTheme="minorHAnsi" w:cstheme="minorHAnsi"/>
        </w:rPr>
        <w:t>i</w:t>
      </w:r>
      <w:r w:rsidRPr="00D27A5B">
        <w:rPr>
          <w:rFonts w:asciiTheme="minorHAnsi" w:hAnsiTheme="minorHAnsi" w:cstheme="minorHAnsi"/>
        </w:rPr>
        <w:t xml:space="preserve"> druh činnos</w:t>
      </w:r>
      <w:r w:rsidR="001C7EA1" w:rsidRPr="00D27A5B">
        <w:rPr>
          <w:rFonts w:asciiTheme="minorHAnsi" w:hAnsiTheme="minorHAnsi" w:cstheme="minorHAnsi"/>
        </w:rPr>
        <w:t>ti nebo práce a jejich rozsah a </w:t>
      </w:r>
      <w:r w:rsidRPr="00D27A5B">
        <w:rPr>
          <w:rFonts w:asciiTheme="minorHAnsi" w:hAnsiTheme="minorHAnsi" w:cstheme="minorHAnsi"/>
        </w:rPr>
        <w:t>neuvedl</w:t>
      </w:r>
      <w:r w:rsidR="00CA649B" w:rsidRPr="00D27A5B">
        <w:rPr>
          <w:rFonts w:asciiTheme="minorHAnsi" w:hAnsiTheme="minorHAnsi" w:cstheme="minorHAnsi"/>
        </w:rPr>
        <w:t>i</w:t>
      </w:r>
      <w:r w:rsidRPr="00D27A5B">
        <w:rPr>
          <w:rFonts w:asciiTheme="minorHAnsi" w:hAnsiTheme="minorHAnsi" w:cstheme="minorHAnsi"/>
        </w:rPr>
        <w:t xml:space="preserve"> souvislost s řešeným grantovým projektem,</w:t>
      </w:r>
    </w:p>
    <w:p w:rsidR="009D6CEF" w:rsidRPr="00D27A5B" w:rsidRDefault="009D6CEF" w:rsidP="00CF622A">
      <w:pPr>
        <w:pStyle w:val="Odstavecseseznamem"/>
        <w:numPr>
          <w:ilvl w:val="0"/>
          <w:numId w:val="14"/>
        </w:numPr>
        <w:ind w:left="284" w:hanging="284"/>
        <w:jc w:val="both"/>
        <w:rPr>
          <w:rFonts w:asciiTheme="minorHAnsi" w:hAnsiTheme="minorHAnsi" w:cstheme="minorHAnsi"/>
        </w:rPr>
      </w:pPr>
      <w:r w:rsidRPr="00D27A5B">
        <w:rPr>
          <w:rFonts w:asciiTheme="minorHAnsi" w:hAnsiTheme="minorHAnsi" w:cstheme="minorHAnsi"/>
        </w:rPr>
        <w:t>z poskytnuté podpory hradil</w:t>
      </w:r>
      <w:r w:rsidR="00CA649B" w:rsidRPr="00D27A5B">
        <w:rPr>
          <w:rFonts w:asciiTheme="minorHAnsi" w:hAnsiTheme="minorHAnsi" w:cstheme="minorHAnsi"/>
        </w:rPr>
        <w:t>i</w:t>
      </w:r>
      <w:r w:rsidRPr="00D27A5B">
        <w:rPr>
          <w:rFonts w:asciiTheme="minorHAnsi" w:hAnsiTheme="minorHAnsi" w:cstheme="minorHAnsi"/>
        </w:rPr>
        <w:t xml:space="preserve"> náklady nesouvisející s řešením projektu,</w:t>
      </w:r>
    </w:p>
    <w:p w:rsidR="009D6CEF" w:rsidRPr="00D27A5B" w:rsidRDefault="009D6CEF" w:rsidP="00CF622A">
      <w:pPr>
        <w:pStyle w:val="Odstavecseseznamem"/>
        <w:numPr>
          <w:ilvl w:val="0"/>
          <w:numId w:val="14"/>
        </w:numPr>
        <w:ind w:left="284" w:hanging="284"/>
        <w:jc w:val="both"/>
        <w:rPr>
          <w:rFonts w:asciiTheme="minorHAnsi" w:hAnsiTheme="minorHAnsi" w:cstheme="minorHAnsi"/>
        </w:rPr>
      </w:pPr>
      <w:r w:rsidRPr="00D27A5B">
        <w:rPr>
          <w:rFonts w:asciiTheme="minorHAnsi" w:hAnsiTheme="minorHAnsi" w:cstheme="minorHAnsi"/>
        </w:rPr>
        <w:t>hradil</w:t>
      </w:r>
      <w:r w:rsidR="00CA649B" w:rsidRPr="00D27A5B">
        <w:rPr>
          <w:rFonts w:asciiTheme="minorHAnsi" w:hAnsiTheme="minorHAnsi" w:cstheme="minorHAnsi"/>
        </w:rPr>
        <w:t>i</w:t>
      </w:r>
      <w:r w:rsidRPr="00D27A5B">
        <w:rPr>
          <w:rFonts w:asciiTheme="minorHAnsi" w:hAnsiTheme="minorHAnsi" w:cstheme="minorHAnsi"/>
        </w:rPr>
        <w:t xml:space="preserve"> cestovní náhrady při pracovní cestě osobám, se kterými neuzavřel</w:t>
      </w:r>
      <w:r w:rsidR="00CA649B" w:rsidRPr="00D27A5B">
        <w:rPr>
          <w:rFonts w:asciiTheme="minorHAnsi" w:hAnsiTheme="minorHAnsi" w:cstheme="minorHAnsi"/>
        </w:rPr>
        <w:t>i</w:t>
      </w:r>
      <w:r w:rsidRPr="00D27A5B">
        <w:rPr>
          <w:rFonts w:asciiTheme="minorHAnsi" w:hAnsiTheme="minorHAnsi" w:cstheme="minorHAnsi"/>
        </w:rPr>
        <w:t xml:space="preserve"> pracovně právní ani jiný smluvní vztah,</w:t>
      </w:r>
    </w:p>
    <w:p w:rsidR="009D6CEF" w:rsidRPr="00D27A5B" w:rsidRDefault="009D6CEF" w:rsidP="00CF622A">
      <w:pPr>
        <w:pStyle w:val="Odstavecseseznamem"/>
        <w:numPr>
          <w:ilvl w:val="0"/>
          <w:numId w:val="14"/>
        </w:numPr>
        <w:ind w:left="284" w:hanging="284"/>
        <w:jc w:val="both"/>
        <w:rPr>
          <w:rFonts w:asciiTheme="minorHAnsi" w:hAnsiTheme="minorHAnsi" w:cstheme="minorHAnsi"/>
        </w:rPr>
      </w:pPr>
      <w:r w:rsidRPr="00D27A5B">
        <w:rPr>
          <w:rFonts w:asciiTheme="minorHAnsi" w:hAnsiTheme="minorHAnsi" w:cstheme="minorHAnsi"/>
        </w:rPr>
        <w:t>vynaložil</w:t>
      </w:r>
      <w:r w:rsidR="00CA649B" w:rsidRPr="00D27A5B">
        <w:rPr>
          <w:rFonts w:asciiTheme="minorHAnsi" w:hAnsiTheme="minorHAnsi" w:cstheme="minorHAnsi"/>
        </w:rPr>
        <w:t>i</w:t>
      </w:r>
      <w:r w:rsidRPr="00D27A5B">
        <w:rPr>
          <w:rFonts w:asciiTheme="minorHAnsi" w:hAnsiTheme="minorHAnsi" w:cstheme="minorHAnsi"/>
        </w:rPr>
        <w:t xml:space="preserve"> náklady, které </w:t>
      </w:r>
      <w:r w:rsidR="00BC4551" w:rsidRPr="00D27A5B">
        <w:rPr>
          <w:rFonts w:asciiTheme="minorHAnsi" w:hAnsiTheme="minorHAnsi" w:cstheme="minorHAnsi"/>
        </w:rPr>
        <w:t>časově a věcně nesouvisely</w:t>
      </w:r>
      <w:r w:rsidRPr="00D27A5B">
        <w:rPr>
          <w:rFonts w:asciiTheme="minorHAnsi" w:hAnsiTheme="minorHAnsi" w:cstheme="minorHAnsi"/>
        </w:rPr>
        <w:t xml:space="preserve"> s řešením projektu.</w:t>
      </w:r>
    </w:p>
    <w:p w:rsidR="00A11C92" w:rsidRPr="00D27A5B" w:rsidRDefault="00A11C92" w:rsidP="00A11C92">
      <w:pPr>
        <w:jc w:val="both"/>
        <w:rPr>
          <w:rFonts w:asciiTheme="minorHAnsi" w:hAnsiTheme="minorHAnsi" w:cstheme="minorHAnsi"/>
        </w:rPr>
      </w:pPr>
    </w:p>
    <w:p w:rsidR="00A11C92" w:rsidRDefault="003D6841" w:rsidP="00A11C92">
      <w:pPr>
        <w:jc w:val="both"/>
        <w:rPr>
          <w:rFonts w:asciiTheme="minorHAnsi" w:hAnsiTheme="minorHAnsi" w:cstheme="minorHAnsi"/>
        </w:rPr>
      </w:pPr>
      <w:r w:rsidRPr="00D27A5B">
        <w:rPr>
          <w:rFonts w:asciiTheme="minorHAnsi" w:hAnsiTheme="minorHAnsi" w:cstheme="minorHAnsi"/>
        </w:rPr>
        <w:t>Dalším zjištěným nedostatkem</w:t>
      </w:r>
      <w:r w:rsidR="005808EF" w:rsidRPr="00D27A5B">
        <w:rPr>
          <w:rFonts w:asciiTheme="minorHAnsi" w:hAnsiTheme="minorHAnsi" w:cstheme="minorHAnsi"/>
        </w:rPr>
        <w:t xml:space="preserve"> byl</w:t>
      </w:r>
      <w:r w:rsidRPr="00D27A5B">
        <w:rPr>
          <w:rFonts w:asciiTheme="minorHAnsi" w:hAnsiTheme="minorHAnsi" w:cstheme="minorHAnsi"/>
        </w:rPr>
        <w:t>a např. skutečnost</w:t>
      </w:r>
      <w:r w:rsidR="005808EF" w:rsidRPr="00D27A5B">
        <w:rPr>
          <w:rFonts w:asciiTheme="minorHAnsi" w:hAnsiTheme="minorHAnsi" w:cstheme="minorHAnsi"/>
        </w:rPr>
        <w:t>, že p</w:t>
      </w:r>
      <w:r w:rsidR="00A11C92" w:rsidRPr="00D27A5B">
        <w:rPr>
          <w:rFonts w:asciiTheme="minorHAnsi" w:hAnsiTheme="minorHAnsi" w:cstheme="minorHAnsi"/>
        </w:rPr>
        <w:t xml:space="preserve">říjemci nepřeváděli </w:t>
      </w:r>
      <w:r w:rsidR="00E87E76" w:rsidRPr="00D27A5B">
        <w:rPr>
          <w:rFonts w:asciiTheme="minorHAnsi" w:hAnsiTheme="minorHAnsi" w:cstheme="minorHAnsi"/>
        </w:rPr>
        <w:t xml:space="preserve">vždy </w:t>
      </w:r>
      <w:r w:rsidR="00A11C92" w:rsidRPr="00D27A5B">
        <w:rPr>
          <w:rFonts w:asciiTheme="minorHAnsi" w:hAnsiTheme="minorHAnsi" w:cstheme="minorHAnsi"/>
        </w:rPr>
        <w:t xml:space="preserve">včas </w:t>
      </w:r>
      <w:r w:rsidR="00F605BF" w:rsidRPr="00D27A5B">
        <w:rPr>
          <w:rFonts w:asciiTheme="minorHAnsi" w:hAnsiTheme="minorHAnsi" w:cstheme="minorHAnsi"/>
        </w:rPr>
        <w:t xml:space="preserve">příslušnou </w:t>
      </w:r>
      <w:r w:rsidR="005808EF" w:rsidRPr="00D27A5B">
        <w:rPr>
          <w:rFonts w:asciiTheme="minorHAnsi" w:hAnsiTheme="minorHAnsi" w:cstheme="minorHAnsi"/>
        </w:rPr>
        <w:t>část účelové podpory</w:t>
      </w:r>
      <w:r w:rsidR="00A11C92" w:rsidRPr="00D27A5B">
        <w:rPr>
          <w:rFonts w:asciiTheme="minorHAnsi" w:hAnsiTheme="minorHAnsi" w:cstheme="minorHAnsi"/>
        </w:rPr>
        <w:t xml:space="preserve"> dalším účastníkům</w:t>
      </w:r>
      <w:r w:rsidRPr="00D27A5B">
        <w:rPr>
          <w:rFonts w:asciiTheme="minorHAnsi" w:hAnsiTheme="minorHAnsi" w:cstheme="minorHAnsi"/>
        </w:rPr>
        <w:t>. V každoročních dílčích zprávách byly zjištěny nesrovnalosti, i přesto byly</w:t>
      </w:r>
      <w:r w:rsidR="00AB3E16">
        <w:rPr>
          <w:rFonts w:asciiTheme="minorHAnsi" w:hAnsiTheme="minorHAnsi" w:cstheme="minorHAnsi"/>
        </w:rPr>
        <w:t xml:space="preserve"> zprávy</w:t>
      </w:r>
      <w:r w:rsidRPr="00D27A5B">
        <w:rPr>
          <w:rFonts w:asciiTheme="minorHAnsi" w:hAnsiTheme="minorHAnsi" w:cstheme="minorHAnsi"/>
        </w:rPr>
        <w:t xml:space="preserve"> vždy ze strany GA ČR schváleny.</w:t>
      </w:r>
    </w:p>
    <w:p w:rsidR="000149DC" w:rsidRDefault="000149DC" w:rsidP="00A11C92">
      <w:pPr>
        <w:jc w:val="both"/>
        <w:rPr>
          <w:rFonts w:asciiTheme="minorHAnsi" w:hAnsiTheme="minorHAnsi" w:cstheme="minorHAnsi"/>
        </w:rPr>
      </w:pPr>
    </w:p>
    <w:p w:rsidR="000149DC" w:rsidRDefault="000149DC" w:rsidP="000149DC">
      <w:pPr>
        <w:jc w:val="both"/>
        <w:rPr>
          <w:rFonts w:asciiTheme="minorHAnsi" w:hAnsiTheme="minorHAnsi" w:cstheme="minorHAnsi"/>
        </w:rPr>
      </w:pPr>
      <w:r w:rsidRPr="000149DC">
        <w:rPr>
          <w:rFonts w:asciiTheme="minorHAnsi" w:hAnsiTheme="minorHAnsi" w:cstheme="minorHAnsi"/>
        </w:rPr>
        <w:t xml:space="preserve">Dle </w:t>
      </w:r>
      <w:r>
        <w:rPr>
          <w:rFonts w:asciiTheme="minorHAnsi" w:hAnsiTheme="minorHAnsi" w:cstheme="minorHAnsi"/>
        </w:rPr>
        <w:t>zákona je GA ČR povinna</w:t>
      </w:r>
      <w:r w:rsidRPr="000149DC">
        <w:rPr>
          <w:rFonts w:asciiTheme="minorHAnsi" w:hAnsiTheme="minorHAnsi" w:cstheme="minorHAnsi"/>
        </w:rPr>
        <w:t xml:space="preserve"> provádět finanční kontrolu u příjemců podpory nejméně u 5 % objemu podpory poskytnuté v daném kalendářním roce.</w:t>
      </w:r>
      <w:r>
        <w:rPr>
          <w:rFonts w:asciiTheme="minorHAnsi" w:hAnsiTheme="minorHAnsi" w:cstheme="minorHAnsi"/>
        </w:rPr>
        <w:t xml:space="preserve"> </w:t>
      </w:r>
      <w:r w:rsidRPr="000149DC">
        <w:rPr>
          <w:rFonts w:asciiTheme="minorHAnsi" w:hAnsiTheme="minorHAnsi" w:cstheme="minorHAnsi"/>
        </w:rPr>
        <w:t>U poskytnuté podpory za roky 2012 až 2014 GA ČR provedla finanční kontrolu vždy nejméně u 6</w:t>
      </w:r>
      <w:r>
        <w:rPr>
          <w:rFonts w:asciiTheme="minorHAnsi" w:hAnsiTheme="minorHAnsi" w:cstheme="minorHAnsi"/>
        </w:rPr>
        <w:t> </w:t>
      </w:r>
      <w:r w:rsidRPr="000149DC">
        <w:rPr>
          <w:rFonts w:asciiTheme="minorHAnsi" w:hAnsiTheme="minorHAnsi" w:cstheme="minorHAnsi"/>
        </w:rPr>
        <w:t>% objemu</w:t>
      </w:r>
      <w:r w:rsidR="00EE0535">
        <w:rPr>
          <w:rFonts w:asciiTheme="minorHAnsi" w:hAnsiTheme="minorHAnsi" w:cstheme="minorHAnsi"/>
        </w:rPr>
        <w:t>,</w:t>
      </w:r>
      <w:r w:rsidRPr="000149DC">
        <w:rPr>
          <w:rFonts w:asciiTheme="minorHAnsi" w:hAnsiTheme="minorHAnsi" w:cstheme="minorHAnsi"/>
        </w:rPr>
        <w:t xml:space="preserve"> a</w:t>
      </w:r>
      <w:r w:rsidR="00EE0535">
        <w:rPr>
          <w:rFonts w:asciiTheme="minorHAnsi" w:hAnsiTheme="minorHAnsi" w:cstheme="minorHAnsi"/>
        </w:rPr>
        <w:t> tím</w:t>
      </w:r>
      <w:r w:rsidRPr="000149DC">
        <w:rPr>
          <w:rFonts w:asciiTheme="minorHAnsi" w:hAnsiTheme="minorHAnsi" w:cstheme="minorHAnsi"/>
        </w:rPr>
        <w:t xml:space="preserve"> splnila zákonnou podmínku.</w:t>
      </w:r>
      <w:r w:rsidR="00EE0535">
        <w:rPr>
          <w:rFonts w:asciiTheme="minorHAnsi" w:hAnsiTheme="minorHAnsi" w:cstheme="minorHAnsi"/>
        </w:rPr>
        <w:t xml:space="preserve"> </w:t>
      </w:r>
      <w:r w:rsidRPr="000149DC">
        <w:rPr>
          <w:rFonts w:asciiTheme="minorHAnsi" w:hAnsiTheme="minorHAnsi" w:cstheme="minorHAnsi"/>
        </w:rPr>
        <w:t>Přehled finančních kontrol realizovaných GA ČR v letech 2013 až 2015 vztahujících se</w:t>
      </w:r>
      <w:r w:rsidR="00EE0535">
        <w:rPr>
          <w:rFonts w:asciiTheme="minorHAnsi" w:hAnsiTheme="minorHAnsi" w:cstheme="minorHAnsi"/>
        </w:rPr>
        <w:t xml:space="preserve"> </w:t>
      </w:r>
      <w:r w:rsidRPr="000149DC">
        <w:rPr>
          <w:rFonts w:asciiTheme="minorHAnsi" w:hAnsiTheme="minorHAnsi" w:cstheme="minorHAnsi"/>
        </w:rPr>
        <w:t>k</w:t>
      </w:r>
      <w:r w:rsidR="00320ED4">
        <w:rPr>
          <w:rFonts w:asciiTheme="minorHAnsi" w:hAnsiTheme="minorHAnsi" w:cstheme="minorHAnsi"/>
        </w:rPr>
        <w:t> </w:t>
      </w:r>
      <w:r w:rsidRPr="000149DC">
        <w:rPr>
          <w:rFonts w:asciiTheme="minorHAnsi" w:hAnsiTheme="minorHAnsi" w:cstheme="minorHAnsi"/>
        </w:rPr>
        <w:t xml:space="preserve">poskytnuté podpoře let 2012 až 2014 zobrazuje </w:t>
      </w:r>
      <w:r>
        <w:rPr>
          <w:rFonts w:asciiTheme="minorHAnsi" w:hAnsiTheme="minorHAnsi" w:cstheme="minorHAnsi"/>
        </w:rPr>
        <w:t xml:space="preserve">následující </w:t>
      </w:r>
      <w:r w:rsidRPr="000149DC">
        <w:rPr>
          <w:rFonts w:asciiTheme="minorHAnsi" w:hAnsiTheme="minorHAnsi" w:cstheme="minorHAnsi"/>
        </w:rPr>
        <w:t>tabulka.</w:t>
      </w:r>
    </w:p>
    <w:p w:rsidR="00533247" w:rsidRPr="000424FF" w:rsidRDefault="00533247">
      <w:pPr>
        <w:spacing w:after="160" w:line="259" w:lineRule="auto"/>
        <w:rPr>
          <w:rFonts w:asciiTheme="minorHAnsi" w:hAnsiTheme="minorHAnsi" w:cstheme="minorHAnsi"/>
        </w:rPr>
      </w:pPr>
      <w:r w:rsidRPr="000424FF">
        <w:rPr>
          <w:rFonts w:asciiTheme="minorHAnsi" w:hAnsiTheme="minorHAnsi" w:cstheme="minorHAnsi"/>
        </w:rPr>
        <w:br w:type="page"/>
      </w:r>
    </w:p>
    <w:p w:rsidR="000149DC" w:rsidRPr="00432F57" w:rsidRDefault="000149DC" w:rsidP="00CF622A">
      <w:pPr>
        <w:keepNext/>
        <w:spacing w:after="40"/>
        <w:ind w:left="1276" w:hanging="1276"/>
        <w:jc w:val="both"/>
        <w:rPr>
          <w:rFonts w:asciiTheme="minorHAnsi" w:hAnsiTheme="minorHAnsi" w:cstheme="minorHAnsi"/>
          <w:b/>
        </w:rPr>
      </w:pPr>
      <w:r w:rsidRPr="00432F57">
        <w:rPr>
          <w:rFonts w:asciiTheme="minorHAnsi" w:hAnsiTheme="minorHAnsi" w:cstheme="minorHAnsi"/>
          <w:b/>
        </w:rPr>
        <w:lastRenderedPageBreak/>
        <w:t>Tabulka č. 3:</w:t>
      </w:r>
      <w:r w:rsidR="00432F57">
        <w:rPr>
          <w:rFonts w:asciiTheme="minorHAnsi" w:hAnsiTheme="minorHAnsi" w:cstheme="minorHAnsi"/>
          <w:b/>
        </w:rPr>
        <w:tab/>
      </w:r>
      <w:r w:rsidRPr="00432F57">
        <w:rPr>
          <w:rFonts w:asciiTheme="minorHAnsi" w:hAnsiTheme="minorHAnsi" w:cstheme="minorHAnsi"/>
          <w:b/>
        </w:rPr>
        <w:t>Přehled finančních kontrol realizovaných GA ČR v letech 2013 až 2015 vztahujících se k poskytnuté podpoře let 2012 až 2014</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842"/>
        <w:gridCol w:w="2980"/>
        <w:gridCol w:w="3123"/>
        <w:gridCol w:w="2117"/>
      </w:tblGrid>
      <w:tr w:rsidR="000149DC" w:rsidRPr="00CF622A" w:rsidTr="00CF622A">
        <w:trPr>
          <w:trHeight w:val="227"/>
        </w:trPr>
        <w:tc>
          <w:tcPr>
            <w:tcW w:w="465" w:type="pct"/>
            <w:shd w:val="clear" w:color="000000" w:fill="DDEBF7"/>
            <w:vAlign w:val="center"/>
            <w:hideMark/>
          </w:tcPr>
          <w:p w:rsidR="000149DC" w:rsidRPr="00437554" w:rsidRDefault="000149DC" w:rsidP="00CF622A">
            <w:pPr>
              <w:rPr>
                <w:rFonts w:ascii="Calibri" w:hAnsi="Calibri" w:cs="Calibri"/>
                <w:b/>
                <w:sz w:val="20"/>
              </w:rPr>
            </w:pPr>
            <w:r w:rsidRPr="00437554">
              <w:rPr>
                <w:rFonts w:ascii="Calibri" w:hAnsi="Calibri" w:cs="Calibri"/>
                <w:b/>
                <w:sz w:val="20"/>
              </w:rPr>
              <w:t>Rok</w:t>
            </w:r>
          </w:p>
        </w:tc>
        <w:tc>
          <w:tcPr>
            <w:tcW w:w="1644" w:type="pct"/>
            <w:shd w:val="clear" w:color="000000" w:fill="DDEBF7"/>
            <w:vAlign w:val="center"/>
            <w:hideMark/>
          </w:tcPr>
          <w:p w:rsidR="000149DC" w:rsidRPr="00437554" w:rsidRDefault="000149DC" w:rsidP="00CF622A">
            <w:pPr>
              <w:keepNext/>
              <w:jc w:val="center"/>
              <w:rPr>
                <w:rFonts w:ascii="Calibri" w:hAnsi="Calibri"/>
                <w:b/>
                <w:color w:val="000000"/>
                <w:sz w:val="20"/>
                <w:szCs w:val="20"/>
              </w:rPr>
            </w:pPr>
            <w:r w:rsidRPr="00437554">
              <w:rPr>
                <w:rFonts w:ascii="Calibri" w:hAnsi="Calibri"/>
                <w:b/>
                <w:color w:val="000000"/>
                <w:sz w:val="20"/>
                <w:szCs w:val="20"/>
              </w:rPr>
              <w:t xml:space="preserve">Zkontrolovaný objem </w:t>
            </w:r>
            <w:r w:rsidR="008223A4">
              <w:rPr>
                <w:rFonts w:ascii="Calibri" w:hAnsi="Calibri"/>
                <w:b/>
                <w:color w:val="000000"/>
                <w:sz w:val="20"/>
                <w:szCs w:val="20"/>
              </w:rPr>
              <w:t>(</w:t>
            </w:r>
            <w:r w:rsidRPr="00437554">
              <w:rPr>
                <w:rFonts w:ascii="Calibri" w:hAnsi="Calibri"/>
                <w:b/>
                <w:color w:val="000000"/>
                <w:sz w:val="20"/>
                <w:szCs w:val="20"/>
              </w:rPr>
              <w:t>v tis. Kč</w:t>
            </w:r>
            <w:r w:rsidR="008223A4">
              <w:rPr>
                <w:rFonts w:ascii="Calibri" w:hAnsi="Calibri"/>
                <w:b/>
                <w:color w:val="000000"/>
                <w:sz w:val="20"/>
                <w:szCs w:val="20"/>
              </w:rPr>
              <w:t>)</w:t>
            </w:r>
          </w:p>
        </w:tc>
        <w:tc>
          <w:tcPr>
            <w:tcW w:w="1723" w:type="pct"/>
            <w:shd w:val="clear" w:color="000000" w:fill="DDEBF7"/>
            <w:vAlign w:val="center"/>
            <w:hideMark/>
          </w:tcPr>
          <w:p w:rsidR="000149DC" w:rsidRPr="00437554" w:rsidRDefault="000149DC" w:rsidP="00CF622A">
            <w:pPr>
              <w:keepNext/>
              <w:jc w:val="center"/>
              <w:rPr>
                <w:rFonts w:ascii="Calibri" w:hAnsi="Calibri"/>
                <w:b/>
                <w:color w:val="000000"/>
                <w:sz w:val="20"/>
                <w:szCs w:val="20"/>
              </w:rPr>
            </w:pPr>
            <w:r w:rsidRPr="00437554">
              <w:rPr>
                <w:rFonts w:ascii="Calibri" w:hAnsi="Calibri"/>
                <w:b/>
                <w:color w:val="000000"/>
                <w:sz w:val="20"/>
                <w:szCs w:val="20"/>
              </w:rPr>
              <w:t xml:space="preserve">Porušení oprávněného použití finančních prostředků </w:t>
            </w:r>
            <w:r w:rsidR="008223A4">
              <w:rPr>
                <w:rFonts w:ascii="Calibri" w:hAnsi="Calibri"/>
                <w:b/>
                <w:color w:val="000000"/>
                <w:sz w:val="20"/>
                <w:szCs w:val="20"/>
              </w:rPr>
              <w:t>(</w:t>
            </w:r>
            <w:r w:rsidRPr="00437554">
              <w:rPr>
                <w:rFonts w:ascii="Calibri" w:hAnsi="Calibri"/>
                <w:b/>
                <w:color w:val="000000"/>
                <w:sz w:val="20"/>
                <w:szCs w:val="20"/>
              </w:rPr>
              <w:t>v tis. Kč</w:t>
            </w:r>
            <w:r w:rsidR="008223A4">
              <w:rPr>
                <w:rFonts w:ascii="Calibri" w:hAnsi="Calibri"/>
                <w:b/>
                <w:color w:val="000000"/>
                <w:sz w:val="20"/>
                <w:szCs w:val="20"/>
              </w:rPr>
              <w:t>)</w:t>
            </w:r>
          </w:p>
        </w:tc>
        <w:tc>
          <w:tcPr>
            <w:tcW w:w="1168" w:type="pct"/>
            <w:shd w:val="clear" w:color="000000" w:fill="DDEBF7"/>
            <w:vAlign w:val="center"/>
            <w:hideMark/>
          </w:tcPr>
          <w:p w:rsidR="000149DC" w:rsidRPr="00437554" w:rsidRDefault="000149DC" w:rsidP="00CF622A">
            <w:pPr>
              <w:keepNext/>
              <w:jc w:val="center"/>
              <w:rPr>
                <w:rFonts w:ascii="Calibri" w:hAnsi="Calibri"/>
                <w:b/>
                <w:color w:val="000000"/>
                <w:sz w:val="20"/>
                <w:szCs w:val="20"/>
              </w:rPr>
            </w:pPr>
            <w:r w:rsidRPr="00437554">
              <w:rPr>
                <w:rFonts w:ascii="Calibri" w:hAnsi="Calibri"/>
                <w:b/>
                <w:color w:val="000000"/>
                <w:sz w:val="20"/>
                <w:szCs w:val="20"/>
              </w:rPr>
              <w:t>Počet oznámení finančnímu úřadu</w:t>
            </w:r>
          </w:p>
        </w:tc>
      </w:tr>
      <w:tr w:rsidR="000149DC" w:rsidRPr="00CF622A" w:rsidTr="00CF622A">
        <w:trPr>
          <w:trHeight w:val="227"/>
        </w:trPr>
        <w:tc>
          <w:tcPr>
            <w:tcW w:w="465" w:type="pct"/>
            <w:shd w:val="clear" w:color="auto" w:fill="auto"/>
            <w:noWrap/>
            <w:vAlign w:val="bottom"/>
            <w:hideMark/>
          </w:tcPr>
          <w:p w:rsidR="000149DC" w:rsidRPr="00CF622A" w:rsidRDefault="000149DC" w:rsidP="00CF622A">
            <w:pPr>
              <w:rPr>
                <w:rFonts w:ascii="Calibri" w:hAnsi="Calibri" w:cs="Calibri"/>
                <w:sz w:val="20"/>
              </w:rPr>
            </w:pPr>
            <w:r w:rsidRPr="00CF622A">
              <w:rPr>
                <w:rFonts w:ascii="Calibri" w:hAnsi="Calibri" w:cs="Calibri"/>
                <w:sz w:val="20"/>
              </w:rPr>
              <w:t>2012</w:t>
            </w:r>
          </w:p>
        </w:tc>
        <w:tc>
          <w:tcPr>
            <w:tcW w:w="1644"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162 956</w:t>
            </w:r>
          </w:p>
        </w:tc>
        <w:tc>
          <w:tcPr>
            <w:tcW w:w="1723"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218</w:t>
            </w:r>
          </w:p>
        </w:tc>
        <w:tc>
          <w:tcPr>
            <w:tcW w:w="1168"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31</w:t>
            </w:r>
          </w:p>
        </w:tc>
      </w:tr>
      <w:tr w:rsidR="000149DC" w:rsidRPr="00CF622A" w:rsidTr="00CF622A">
        <w:trPr>
          <w:trHeight w:val="227"/>
        </w:trPr>
        <w:tc>
          <w:tcPr>
            <w:tcW w:w="465" w:type="pct"/>
            <w:shd w:val="clear" w:color="auto" w:fill="auto"/>
            <w:noWrap/>
            <w:vAlign w:val="bottom"/>
            <w:hideMark/>
          </w:tcPr>
          <w:p w:rsidR="000149DC" w:rsidRPr="00CF622A" w:rsidRDefault="000149DC" w:rsidP="00CF622A">
            <w:pPr>
              <w:rPr>
                <w:rFonts w:ascii="Calibri" w:hAnsi="Calibri" w:cs="Calibri"/>
                <w:sz w:val="20"/>
              </w:rPr>
            </w:pPr>
            <w:r w:rsidRPr="00CF622A">
              <w:rPr>
                <w:rFonts w:ascii="Calibri" w:hAnsi="Calibri" w:cs="Calibri"/>
                <w:sz w:val="20"/>
              </w:rPr>
              <w:t>2013</w:t>
            </w:r>
          </w:p>
        </w:tc>
        <w:tc>
          <w:tcPr>
            <w:tcW w:w="1644"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189 716</w:t>
            </w:r>
          </w:p>
        </w:tc>
        <w:tc>
          <w:tcPr>
            <w:tcW w:w="1723"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830</w:t>
            </w:r>
          </w:p>
        </w:tc>
        <w:tc>
          <w:tcPr>
            <w:tcW w:w="1168"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62</w:t>
            </w:r>
          </w:p>
        </w:tc>
      </w:tr>
      <w:tr w:rsidR="000149DC" w:rsidRPr="00CF622A" w:rsidTr="00CF622A">
        <w:trPr>
          <w:trHeight w:val="227"/>
        </w:trPr>
        <w:tc>
          <w:tcPr>
            <w:tcW w:w="465" w:type="pct"/>
            <w:shd w:val="clear" w:color="auto" w:fill="auto"/>
            <w:noWrap/>
            <w:vAlign w:val="bottom"/>
            <w:hideMark/>
          </w:tcPr>
          <w:p w:rsidR="000149DC" w:rsidRPr="00CF622A" w:rsidRDefault="000149DC" w:rsidP="00CF622A">
            <w:pPr>
              <w:rPr>
                <w:rFonts w:ascii="Calibri" w:hAnsi="Calibri" w:cs="Calibri"/>
                <w:sz w:val="20"/>
              </w:rPr>
            </w:pPr>
            <w:r w:rsidRPr="00CF622A">
              <w:rPr>
                <w:rFonts w:ascii="Calibri" w:hAnsi="Calibri" w:cs="Calibri"/>
                <w:sz w:val="20"/>
              </w:rPr>
              <w:t>2014</w:t>
            </w:r>
          </w:p>
        </w:tc>
        <w:tc>
          <w:tcPr>
            <w:tcW w:w="1644"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206 728</w:t>
            </w:r>
          </w:p>
        </w:tc>
        <w:tc>
          <w:tcPr>
            <w:tcW w:w="1723"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2 647</w:t>
            </w:r>
          </w:p>
        </w:tc>
        <w:tc>
          <w:tcPr>
            <w:tcW w:w="1168" w:type="pct"/>
            <w:shd w:val="clear" w:color="auto" w:fill="auto"/>
            <w:noWrap/>
            <w:vAlign w:val="bottom"/>
            <w:hideMark/>
          </w:tcPr>
          <w:p w:rsidR="000149DC" w:rsidRPr="00CF622A" w:rsidRDefault="000149DC" w:rsidP="00CF622A">
            <w:pPr>
              <w:keepNext/>
              <w:jc w:val="right"/>
              <w:rPr>
                <w:rFonts w:ascii="Calibri" w:hAnsi="Calibri"/>
                <w:color w:val="000000"/>
                <w:sz w:val="20"/>
                <w:szCs w:val="20"/>
              </w:rPr>
            </w:pPr>
            <w:r w:rsidRPr="00CF622A">
              <w:rPr>
                <w:rFonts w:ascii="Calibri" w:hAnsi="Calibri"/>
                <w:color w:val="000000"/>
                <w:sz w:val="20"/>
                <w:szCs w:val="20"/>
              </w:rPr>
              <w:t>104</w:t>
            </w:r>
          </w:p>
        </w:tc>
      </w:tr>
    </w:tbl>
    <w:p w:rsidR="000149DC" w:rsidRPr="00432F57" w:rsidRDefault="000149DC" w:rsidP="000149DC">
      <w:pPr>
        <w:keepNext/>
        <w:jc w:val="both"/>
        <w:rPr>
          <w:rFonts w:asciiTheme="minorHAnsi" w:hAnsiTheme="minorHAnsi" w:cstheme="minorHAnsi"/>
          <w:sz w:val="20"/>
          <w:szCs w:val="20"/>
        </w:rPr>
      </w:pPr>
      <w:r w:rsidRPr="00432F57">
        <w:rPr>
          <w:rFonts w:ascii="Calibri" w:hAnsi="Calibri" w:cs="Calibri"/>
          <w:b/>
          <w:sz w:val="20"/>
          <w:szCs w:val="20"/>
          <w:lang w:eastAsia="en-US"/>
        </w:rPr>
        <w:t>Zdroj:</w:t>
      </w:r>
      <w:r w:rsidRPr="00432F57">
        <w:rPr>
          <w:sz w:val="20"/>
          <w:szCs w:val="20"/>
        </w:rPr>
        <w:t xml:space="preserve"> </w:t>
      </w:r>
      <w:r w:rsidR="00153171">
        <w:rPr>
          <w:rFonts w:ascii="Calibri" w:hAnsi="Calibri" w:cs="Calibri"/>
          <w:sz w:val="20"/>
          <w:szCs w:val="20"/>
          <w:lang w:eastAsia="en-US"/>
        </w:rPr>
        <w:t>z</w:t>
      </w:r>
      <w:r w:rsidRPr="00432F57">
        <w:rPr>
          <w:rFonts w:ascii="Calibri" w:hAnsi="Calibri" w:cs="Calibri"/>
          <w:sz w:val="20"/>
          <w:szCs w:val="20"/>
          <w:lang w:eastAsia="en-US"/>
        </w:rPr>
        <w:t>ávěrečné účty GA ČR za roky 2013, 2014 a 2015</w:t>
      </w:r>
      <w:r w:rsidR="00A44085" w:rsidRPr="00432F57">
        <w:rPr>
          <w:rFonts w:ascii="Calibri" w:hAnsi="Calibri" w:cs="Calibri"/>
          <w:sz w:val="20"/>
          <w:szCs w:val="20"/>
          <w:lang w:eastAsia="en-US"/>
        </w:rPr>
        <w:t>.</w:t>
      </w:r>
    </w:p>
    <w:p w:rsidR="005808EF" w:rsidRPr="00CF622A" w:rsidRDefault="005808EF" w:rsidP="00A11C92">
      <w:pPr>
        <w:jc w:val="both"/>
        <w:rPr>
          <w:rFonts w:asciiTheme="minorHAnsi" w:hAnsiTheme="minorHAnsi" w:cs="Arial"/>
          <w:color w:val="000000" w:themeColor="text1"/>
        </w:rPr>
      </w:pPr>
    </w:p>
    <w:p w:rsidR="000149DC" w:rsidRPr="00CF622A" w:rsidRDefault="000149DC" w:rsidP="00A11C92">
      <w:pPr>
        <w:jc w:val="both"/>
        <w:rPr>
          <w:rFonts w:asciiTheme="minorHAnsi" w:hAnsiTheme="minorHAnsi" w:cstheme="minorHAnsi"/>
          <w:color w:val="000000" w:themeColor="text1"/>
        </w:rPr>
      </w:pPr>
      <w:r w:rsidRPr="00CF622A">
        <w:rPr>
          <w:rFonts w:asciiTheme="minorHAnsi" w:hAnsiTheme="minorHAnsi" w:cstheme="minorHAnsi"/>
          <w:color w:val="000000" w:themeColor="text1"/>
        </w:rPr>
        <w:t xml:space="preserve">Z tabulky je zřejmý </w:t>
      </w:r>
      <w:r w:rsidR="00D05C06" w:rsidRPr="00CF622A">
        <w:rPr>
          <w:rFonts w:asciiTheme="minorHAnsi" w:hAnsiTheme="minorHAnsi" w:cstheme="minorHAnsi"/>
          <w:color w:val="000000" w:themeColor="text1"/>
        </w:rPr>
        <w:t>nárůst v kontrolovaném objemu,</w:t>
      </w:r>
      <w:r w:rsidRPr="00CF622A">
        <w:rPr>
          <w:rFonts w:asciiTheme="minorHAnsi" w:hAnsiTheme="minorHAnsi" w:cstheme="minorHAnsi"/>
          <w:color w:val="000000" w:themeColor="text1"/>
        </w:rPr>
        <w:t xml:space="preserve"> počtu zjištěných porušení oprávněného</w:t>
      </w:r>
      <w:r w:rsidR="00D05C06" w:rsidRPr="00CF622A">
        <w:rPr>
          <w:rFonts w:asciiTheme="minorHAnsi" w:hAnsiTheme="minorHAnsi" w:cstheme="minorHAnsi"/>
          <w:color w:val="000000" w:themeColor="text1"/>
        </w:rPr>
        <w:t xml:space="preserve"> použití finančních prostředků i</w:t>
      </w:r>
      <w:r w:rsidRPr="00CF622A">
        <w:rPr>
          <w:rFonts w:asciiTheme="minorHAnsi" w:hAnsiTheme="minorHAnsi" w:cstheme="minorHAnsi"/>
          <w:color w:val="000000" w:themeColor="text1"/>
        </w:rPr>
        <w:t xml:space="preserve"> počtu oznámení finančnímu úřadu.</w:t>
      </w:r>
    </w:p>
    <w:p w:rsidR="000149DC" w:rsidRPr="00CF622A" w:rsidRDefault="000149DC" w:rsidP="00A11C92">
      <w:pPr>
        <w:jc w:val="both"/>
        <w:rPr>
          <w:rFonts w:asciiTheme="minorHAnsi" w:hAnsiTheme="minorHAnsi" w:cs="Arial"/>
          <w:color w:val="000000" w:themeColor="text1"/>
        </w:rPr>
      </w:pPr>
    </w:p>
    <w:p w:rsidR="00112B29" w:rsidRPr="00AA3B91" w:rsidRDefault="00112B29" w:rsidP="00AA3B91">
      <w:pPr>
        <w:pBdr>
          <w:top w:val="single" w:sz="4" w:space="1" w:color="auto" w:shadow="1"/>
          <w:left w:val="single" w:sz="4" w:space="4" w:color="auto" w:shadow="1"/>
          <w:bottom w:val="single" w:sz="4" w:space="1" w:color="auto" w:shadow="1"/>
          <w:right w:val="single" w:sz="4" w:space="4" w:color="auto" w:shadow="1"/>
        </w:pBdr>
        <w:jc w:val="both"/>
        <w:rPr>
          <w:rFonts w:ascii="Calibri" w:hAnsi="Calibri"/>
        </w:rPr>
      </w:pPr>
      <w:r w:rsidRPr="00D27A5B">
        <w:rPr>
          <w:rFonts w:ascii="Calibri" w:hAnsi="Calibri"/>
        </w:rPr>
        <w:t>Příjemcům již ukončených kontrolovaných projektů se poda</w:t>
      </w:r>
      <w:r w:rsidR="00D05C06">
        <w:rPr>
          <w:rFonts w:ascii="Calibri" w:hAnsi="Calibri"/>
        </w:rPr>
        <w:t>řilo dosáhnout stanovených cílů,</w:t>
      </w:r>
      <w:r w:rsidR="00D05C06" w:rsidRPr="00D05C06">
        <w:rPr>
          <w:rFonts w:asciiTheme="minorHAnsi" w:hAnsiTheme="minorHAnsi"/>
        </w:rPr>
        <w:t xml:space="preserve"> neměli</w:t>
      </w:r>
      <w:r w:rsidR="00D05C06" w:rsidRPr="00D05C06">
        <w:rPr>
          <w:rFonts w:asciiTheme="minorHAnsi" w:hAnsiTheme="minorHAnsi" w:cs="Arial"/>
        </w:rPr>
        <w:t xml:space="preserve"> však </w:t>
      </w:r>
      <w:r w:rsidR="00D05C06" w:rsidRPr="00124490">
        <w:rPr>
          <w:rFonts w:asciiTheme="minorHAnsi" w:hAnsiTheme="minorHAnsi" w:cs="Arial"/>
        </w:rPr>
        <w:t>povinnost smluvně se zavázat ke konkrétnímu počtu a kvalitě dosažených výsledků.</w:t>
      </w:r>
      <w:r w:rsidRPr="00124490">
        <w:rPr>
          <w:rFonts w:ascii="Calibri" w:hAnsi="Calibri"/>
        </w:rPr>
        <w:t xml:space="preserve"> U 13 z 33 kontrolovaných projektů příjemci porušili podmínky použití podpory způsobem, který NKÚ vyhodnotil jako porušení rozpočtové kázně, a to v celkové výši 24,3</w:t>
      </w:r>
      <w:r w:rsidR="00432F57">
        <w:rPr>
          <w:rFonts w:ascii="Calibri" w:hAnsi="Calibri"/>
        </w:rPr>
        <w:t> </w:t>
      </w:r>
      <w:r w:rsidRPr="00124490">
        <w:rPr>
          <w:rFonts w:ascii="Calibri" w:hAnsi="Calibri"/>
        </w:rPr>
        <w:t>mil.</w:t>
      </w:r>
      <w:r w:rsidR="00432F57">
        <w:rPr>
          <w:rFonts w:ascii="Calibri" w:hAnsi="Calibri"/>
        </w:rPr>
        <w:t> </w:t>
      </w:r>
      <w:r w:rsidRPr="00124490">
        <w:rPr>
          <w:rFonts w:ascii="Calibri" w:hAnsi="Calibri"/>
        </w:rPr>
        <w:t>Kč.</w:t>
      </w:r>
      <w:r w:rsidR="004A0A5C" w:rsidRPr="00124490">
        <w:rPr>
          <w:rFonts w:ascii="Calibri" w:hAnsi="Calibri"/>
        </w:rPr>
        <w:t xml:space="preserve"> </w:t>
      </w:r>
      <w:r w:rsidR="00AA3B91" w:rsidRPr="00124490">
        <w:rPr>
          <w:rFonts w:ascii="Calibri" w:hAnsi="Calibri"/>
        </w:rPr>
        <w:t>Na porušení oprávněného použití finančních prostředků poukazují i výsledky finančních kontrol provedené GA ČR.</w:t>
      </w:r>
    </w:p>
    <w:p w:rsidR="00112B29" w:rsidRDefault="00112B29" w:rsidP="002C0E61">
      <w:pPr>
        <w:jc w:val="both"/>
        <w:rPr>
          <w:rFonts w:asciiTheme="minorHAnsi" w:hAnsiTheme="minorHAnsi"/>
          <w:b/>
        </w:rPr>
      </w:pPr>
    </w:p>
    <w:p w:rsidR="00153171" w:rsidRDefault="00153171" w:rsidP="002C0E61">
      <w:pPr>
        <w:jc w:val="both"/>
        <w:rPr>
          <w:rFonts w:asciiTheme="minorHAnsi" w:hAnsiTheme="minorHAnsi"/>
          <w:b/>
        </w:rPr>
      </w:pPr>
    </w:p>
    <w:p w:rsidR="00991BB0" w:rsidRDefault="00991BB0" w:rsidP="00991BB0">
      <w:pPr>
        <w:jc w:val="center"/>
        <w:rPr>
          <w:rFonts w:ascii="Calibri" w:hAnsi="Calibri"/>
          <w:b/>
          <w:sz w:val="28"/>
          <w:szCs w:val="28"/>
        </w:rPr>
      </w:pPr>
      <w:r>
        <w:rPr>
          <w:rFonts w:ascii="Calibri" w:hAnsi="Calibri"/>
          <w:b/>
          <w:sz w:val="28"/>
          <w:szCs w:val="28"/>
        </w:rPr>
        <w:t>III.</w:t>
      </w:r>
      <w:r w:rsidRPr="0050390A">
        <w:rPr>
          <w:rFonts w:ascii="Calibri" w:hAnsi="Calibri"/>
          <w:b/>
          <w:sz w:val="28"/>
          <w:szCs w:val="28"/>
        </w:rPr>
        <w:t xml:space="preserve"> Závě</w:t>
      </w:r>
      <w:r>
        <w:rPr>
          <w:rFonts w:ascii="Calibri" w:hAnsi="Calibri"/>
          <w:b/>
          <w:sz w:val="28"/>
          <w:szCs w:val="28"/>
        </w:rPr>
        <w:t>rečné zhodnocení</w:t>
      </w:r>
    </w:p>
    <w:p w:rsidR="00991BB0" w:rsidRPr="00CF622A" w:rsidRDefault="00991BB0" w:rsidP="00CF622A">
      <w:pPr>
        <w:jc w:val="both"/>
        <w:rPr>
          <w:rFonts w:ascii="Calibri" w:hAnsi="Calibri"/>
          <w:szCs w:val="28"/>
        </w:rPr>
      </w:pPr>
    </w:p>
    <w:p w:rsidR="00702601" w:rsidRDefault="006C0EE9" w:rsidP="009A4CAA">
      <w:pPr>
        <w:jc w:val="both"/>
        <w:rPr>
          <w:rFonts w:asciiTheme="minorHAnsi" w:hAnsiTheme="minorHAnsi" w:cs="Arial"/>
        </w:rPr>
      </w:pPr>
      <w:r>
        <w:rPr>
          <w:rFonts w:asciiTheme="minorHAnsi" w:hAnsiTheme="minorHAnsi" w:cs="Arial"/>
        </w:rPr>
        <w:t>Největší příležitost</w:t>
      </w:r>
      <w:r w:rsidR="00702601">
        <w:rPr>
          <w:rFonts w:asciiTheme="minorHAnsi" w:hAnsiTheme="minorHAnsi" w:cs="Arial"/>
        </w:rPr>
        <w:t xml:space="preserve"> k z</w:t>
      </w:r>
      <w:r w:rsidR="00B70B51">
        <w:rPr>
          <w:rFonts w:asciiTheme="minorHAnsi" w:hAnsiTheme="minorHAnsi" w:cs="Arial"/>
        </w:rPr>
        <w:t>efektivnění</w:t>
      </w:r>
      <w:r w:rsidR="00702601">
        <w:rPr>
          <w:rFonts w:asciiTheme="minorHAnsi" w:hAnsiTheme="minorHAnsi" w:cs="Arial"/>
        </w:rPr>
        <w:t xml:space="preserve"> systému poskytování účelové podpory základního výzkumu Grantovou agenturou České rep</w:t>
      </w:r>
      <w:r w:rsidR="00E60914">
        <w:rPr>
          <w:rFonts w:asciiTheme="minorHAnsi" w:hAnsiTheme="minorHAnsi" w:cs="Arial"/>
        </w:rPr>
        <w:t>ubliky spatřuje NKÚ především v realizaci stanovených koncepcí a strategií.</w:t>
      </w:r>
    </w:p>
    <w:p w:rsidR="00702601" w:rsidRDefault="00702601" w:rsidP="009A4CAA">
      <w:pPr>
        <w:jc w:val="both"/>
        <w:rPr>
          <w:rFonts w:asciiTheme="minorHAnsi" w:hAnsiTheme="minorHAnsi" w:cs="Arial"/>
        </w:rPr>
      </w:pPr>
    </w:p>
    <w:p w:rsidR="00745E0F" w:rsidRDefault="009A4CAA" w:rsidP="009A4CAA">
      <w:pPr>
        <w:jc w:val="both"/>
        <w:rPr>
          <w:rFonts w:asciiTheme="minorHAnsi" w:hAnsiTheme="minorHAnsi" w:cs="Arial"/>
        </w:rPr>
      </w:pPr>
      <w:r w:rsidRPr="009A4CAA">
        <w:rPr>
          <w:rFonts w:asciiTheme="minorHAnsi" w:hAnsiTheme="minorHAnsi" w:cs="Arial"/>
        </w:rPr>
        <w:t xml:space="preserve">GA ČR </w:t>
      </w:r>
      <w:r w:rsidR="00866BF0">
        <w:rPr>
          <w:rFonts w:asciiTheme="minorHAnsi" w:hAnsiTheme="minorHAnsi" w:cs="Arial"/>
        </w:rPr>
        <w:t xml:space="preserve">se </w:t>
      </w:r>
      <w:r w:rsidR="00702601">
        <w:rPr>
          <w:rFonts w:asciiTheme="minorHAnsi" w:hAnsiTheme="minorHAnsi" w:cs="Arial"/>
        </w:rPr>
        <w:t xml:space="preserve">systematicky nepodílela na </w:t>
      </w:r>
      <w:r w:rsidR="00702601" w:rsidRPr="0093705E">
        <w:rPr>
          <w:rFonts w:asciiTheme="minorHAnsi" w:hAnsiTheme="minorHAnsi"/>
        </w:rPr>
        <w:t>zajištění vazby základního výzkumu na další fáze inovačního procesu</w:t>
      </w:r>
      <w:r w:rsidR="00702601">
        <w:rPr>
          <w:rFonts w:asciiTheme="minorHAnsi" w:hAnsiTheme="minorHAnsi" w:cs="Arial"/>
        </w:rPr>
        <w:t xml:space="preserve">. </w:t>
      </w:r>
      <w:r w:rsidR="00866BF0" w:rsidRPr="00077A78">
        <w:rPr>
          <w:rFonts w:asciiTheme="minorHAnsi" w:hAnsiTheme="minorHAnsi" w:cstheme="minorHAnsi"/>
          <w:bCs/>
        </w:rPr>
        <w:t>Česká republika striktně rozlišuje</w:t>
      </w:r>
      <w:r w:rsidR="00866BF0">
        <w:rPr>
          <w:rFonts w:asciiTheme="minorHAnsi" w:hAnsiTheme="minorHAnsi" w:cstheme="minorHAnsi"/>
          <w:bCs/>
        </w:rPr>
        <w:t xml:space="preserve"> mezi základním a aplikovaným výzkumem, o to větší důraz by měl být kladen na jejich provázanost. </w:t>
      </w:r>
      <w:r w:rsidR="00866BF0">
        <w:rPr>
          <w:rFonts w:asciiTheme="minorHAnsi" w:hAnsiTheme="minorHAnsi" w:cs="Arial"/>
        </w:rPr>
        <w:t xml:space="preserve">Tato provázanost je důležitým předpokladem na jedné straně lepší identifikace oblastí zajímavých pro aplikační sféru a na druhé straně vyššího </w:t>
      </w:r>
      <w:r w:rsidR="00B87E60">
        <w:rPr>
          <w:rFonts w:asciiTheme="minorHAnsi" w:hAnsiTheme="minorHAnsi" w:cs="Arial"/>
        </w:rPr>
        <w:t xml:space="preserve">reálného </w:t>
      </w:r>
      <w:r w:rsidR="00866BF0">
        <w:rPr>
          <w:rFonts w:asciiTheme="minorHAnsi" w:hAnsiTheme="minorHAnsi" w:cs="Arial"/>
        </w:rPr>
        <w:t>uplatnění výsledků základního výzkumu. Z pozice jediného poskytovatele účelové podpory základního výzkumu</w:t>
      </w:r>
      <w:r w:rsidR="00866BF0" w:rsidRPr="009A4CAA">
        <w:rPr>
          <w:rFonts w:asciiTheme="minorHAnsi" w:hAnsiTheme="minorHAnsi" w:cs="Arial"/>
        </w:rPr>
        <w:t xml:space="preserve"> </w:t>
      </w:r>
      <w:r w:rsidR="00866BF0">
        <w:rPr>
          <w:rFonts w:asciiTheme="minorHAnsi" w:hAnsiTheme="minorHAnsi" w:cs="Arial"/>
        </w:rPr>
        <w:t xml:space="preserve">v České republice může GA ČR </w:t>
      </w:r>
      <w:r w:rsidR="008223A4">
        <w:rPr>
          <w:rFonts w:asciiTheme="minorHAnsi" w:hAnsiTheme="minorHAnsi" w:cs="Arial"/>
        </w:rPr>
        <w:t xml:space="preserve">významně přispět </w:t>
      </w:r>
      <w:r w:rsidR="00866BF0">
        <w:rPr>
          <w:rFonts w:asciiTheme="minorHAnsi" w:hAnsiTheme="minorHAnsi" w:cs="Arial"/>
        </w:rPr>
        <w:t xml:space="preserve">k zajištění </w:t>
      </w:r>
      <w:r w:rsidR="00866BF0" w:rsidRPr="0093705E">
        <w:rPr>
          <w:rFonts w:asciiTheme="minorHAnsi" w:hAnsiTheme="minorHAnsi"/>
        </w:rPr>
        <w:t>vazby základního výzkumu na další fáze inovačního procesu</w:t>
      </w:r>
      <w:r w:rsidR="00866BF0">
        <w:rPr>
          <w:rFonts w:asciiTheme="minorHAnsi" w:hAnsiTheme="minorHAnsi" w:cs="Arial"/>
        </w:rPr>
        <w:t>.</w:t>
      </w:r>
    </w:p>
    <w:p w:rsidR="00B70B51" w:rsidRDefault="00B70B51" w:rsidP="009A4CAA">
      <w:pPr>
        <w:jc w:val="both"/>
        <w:rPr>
          <w:rFonts w:asciiTheme="minorHAnsi" w:hAnsiTheme="minorHAnsi" w:cs="Arial"/>
        </w:rPr>
      </w:pPr>
    </w:p>
    <w:p w:rsidR="00B70B51" w:rsidRDefault="009D113A" w:rsidP="009A4CAA">
      <w:pPr>
        <w:jc w:val="both"/>
        <w:rPr>
          <w:rFonts w:asciiTheme="minorHAnsi" w:hAnsiTheme="minorHAnsi"/>
        </w:rPr>
      </w:pPr>
      <w:r>
        <w:rPr>
          <w:rFonts w:asciiTheme="minorHAnsi" w:hAnsiTheme="minorHAnsi"/>
        </w:rPr>
        <w:t xml:space="preserve">GA ČR </w:t>
      </w:r>
      <w:r w:rsidR="00B70B51">
        <w:rPr>
          <w:rFonts w:asciiTheme="minorHAnsi" w:hAnsiTheme="minorHAnsi"/>
        </w:rPr>
        <w:t>nepodporovala</w:t>
      </w:r>
      <w:r w:rsidR="00B70B51" w:rsidRPr="0093705E">
        <w:rPr>
          <w:rFonts w:asciiTheme="minorHAnsi" w:hAnsiTheme="minorHAnsi"/>
        </w:rPr>
        <w:t xml:space="preserve"> orientovan</w:t>
      </w:r>
      <w:r w:rsidR="00B70B51">
        <w:rPr>
          <w:rFonts w:asciiTheme="minorHAnsi" w:hAnsiTheme="minorHAnsi"/>
        </w:rPr>
        <w:t>ý</w:t>
      </w:r>
      <w:r w:rsidR="00D04D5E">
        <w:rPr>
          <w:rFonts w:asciiTheme="minorHAnsi" w:hAnsiTheme="minorHAnsi"/>
        </w:rPr>
        <w:t xml:space="preserve"> základní výzkum. </w:t>
      </w:r>
      <w:r w:rsidR="000A7D18">
        <w:rPr>
          <w:rFonts w:asciiTheme="minorHAnsi" w:hAnsiTheme="minorHAnsi"/>
        </w:rPr>
        <w:t>Česká republika disponuje určitými finanční</w:t>
      </w:r>
      <w:r w:rsidR="008223A4">
        <w:rPr>
          <w:rFonts w:asciiTheme="minorHAnsi" w:hAnsiTheme="minorHAnsi"/>
        </w:rPr>
        <w:t>mi</w:t>
      </w:r>
      <w:r w:rsidR="000A7D18">
        <w:rPr>
          <w:rFonts w:asciiTheme="minorHAnsi" w:hAnsiTheme="minorHAnsi"/>
        </w:rPr>
        <w:t xml:space="preserve"> prostředky a</w:t>
      </w:r>
      <w:r w:rsidR="00D04D5E">
        <w:rPr>
          <w:rFonts w:asciiTheme="minorHAnsi" w:hAnsiTheme="minorHAnsi"/>
        </w:rPr>
        <w:t xml:space="preserve"> </w:t>
      </w:r>
      <w:r w:rsidR="000A7D18">
        <w:rPr>
          <w:rFonts w:asciiTheme="minorHAnsi" w:hAnsiTheme="minorHAnsi"/>
        </w:rPr>
        <w:t>výzkumnými kapacitami</w:t>
      </w:r>
      <w:r w:rsidR="00D04D5E">
        <w:rPr>
          <w:rFonts w:asciiTheme="minorHAnsi" w:hAnsiTheme="minorHAnsi"/>
        </w:rPr>
        <w:t xml:space="preserve">. </w:t>
      </w:r>
      <w:r w:rsidR="000A7D18">
        <w:rPr>
          <w:rFonts w:asciiTheme="minorHAnsi" w:hAnsiTheme="minorHAnsi"/>
        </w:rPr>
        <w:t>R</w:t>
      </w:r>
      <w:r w:rsidR="000A7D18" w:rsidRPr="0093705E">
        <w:rPr>
          <w:rFonts w:asciiTheme="minorHAnsi" w:hAnsiTheme="minorHAnsi"/>
        </w:rPr>
        <w:t>ovnoměrné rozložení podpory</w:t>
      </w:r>
      <w:r w:rsidR="000A7D18">
        <w:rPr>
          <w:rFonts w:asciiTheme="minorHAnsi" w:hAnsiTheme="minorHAnsi"/>
        </w:rPr>
        <w:t xml:space="preserve"> </w:t>
      </w:r>
      <w:r w:rsidR="00DF3724">
        <w:rPr>
          <w:rFonts w:asciiTheme="minorHAnsi" w:hAnsiTheme="minorHAnsi"/>
        </w:rPr>
        <w:t xml:space="preserve">do </w:t>
      </w:r>
      <w:r w:rsidR="000A7D18">
        <w:rPr>
          <w:rFonts w:asciiTheme="minorHAnsi" w:hAnsiTheme="minorHAnsi"/>
        </w:rPr>
        <w:t>všech vědních disciplín zákonitě vyčerpává t</w:t>
      </w:r>
      <w:r w:rsidR="00D04D5E">
        <w:rPr>
          <w:rFonts w:asciiTheme="minorHAnsi" w:hAnsiTheme="minorHAnsi"/>
        </w:rPr>
        <w:t>yto omezené zdroje</w:t>
      </w:r>
      <w:r w:rsidR="000A7D18">
        <w:rPr>
          <w:rFonts w:asciiTheme="minorHAnsi" w:hAnsiTheme="minorHAnsi"/>
        </w:rPr>
        <w:t>, které</w:t>
      </w:r>
      <w:r w:rsidR="00D04D5E">
        <w:rPr>
          <w:rFonts w:asciiTheme="minorHAnsi" w:hAnsiTheme="minorHAnsi"/>
        </w:rPr>
        <w:t xml:space="preserve"> tak nemohou být koncentrovány do výzkumných směrů, které </w:t>
      </w:r>
      <w:r w:rsidR="008223A4">
        <w:rPr>
          <w:rFonts w:asciiTheme="minorHAnsi" w:hAnsiTheme="minorHAnsi"/>
        </w:rPr>
        <w:t>by mohly</w:t>
      </w:r>
      <w:r w:rsidR="00D04D5E">
        <w:rPr>
          <w:rFonts w:asciiTheme="minorHAnsi" w:hAnsiTheme="minorHAnsi"/>
        </w:rPr>
        <w:t xml:space="preserve"> dosahovat v oblasti orientovaného základ</w:t>
      </w:r>
      <w:r w:rsidR="000A7D18">
        <w:rPr>
          <w:rFonts w:asciiTheme="minorHAnsi" w:hAnsiTheme="minorHAnsi"/>
        </w:rPr>
        <w:t>ního výzkumu průlomových objevů</w:t>
      </w:r>
      <w:r w:rsidR="00B3222C">
        <w:rPr>
          <w:rFonts w:asciiTheme="minorHAnsi" w:hAnsiTheme="minorHAnsi"/>
        </w:rPr>
        <w:t>, nalézt větší uplatnění</w:t>
      </w:r>
      <w:r w:rsidR="000A7D18">
        <w:rPr>
          <w:rFonts w:asciiTheme="minorHAnsi" w:hAnsiTheme="minorHAnsi"/>
        </w:rPr>
        <w:t xml:space="preserve"> a v konečném důsledku přispět k růstu konkurenceschopnosti České republiky.</w:t>
      </w:r>
      <w:r w:rsidR="00B3222C">
        <w:rPr>
          <w:rFonts w:asciiTheme="minorHAnsi" w:hAnsiTheme="minorHAnsi"/>
        </w:rPr>
        <w:t xml:space="preserve"> GA ČR by měla nastavit systém poskytování podpory tak, aby část této podpory směřovala do orientovaného základního </w:t>
      </w:r>
      <w:r w:rsidR="00B3222C" w:rsidRPr="00DF3724">
        <w:rPr>
          <w:rFonts w:asciiTheme="minorHAnsi" w:hAnsiTheme="minorHAnsi"/>
        </w:rPr>
        <w:t>výzkumu.</w:t>
      </w:r>
      <w:r w:rsidR="000A7D18" w:rsidRPr="00DF3724">
        <w:rPr>
          <w:rFonts w:asciiTheme="minorHAnsi" w:hAnsiTheme="minorHAnsi"/>
        </w:rPr>
        <w:t xml:space="preserve"> </w:t>
      </w:r>
      <w:r w:rsidR="00025DCE" w:rsidRPr="00DF3724">
        <w:rPr>
          <w:rFonts w:asciiTheme="minorHAnsi" w:hAnsiTheme="minorHAnsi"/>
        </w:rPr>
        <w:t xml:space="preserve">Lepších výsledků </w:t>
      </w:r>
      <w:r w:rsidR="00025DCE">
        <w:rPr>
          <w:rFonts w:asciiTheme="minorHAnsi" w:hAnsiTheme="minorHAnsi"/>
        </w:rPr>
        <w:t>lze dosáhnout koncentrací stávajících zdr</w:t>
      </w:r>
      <w:r w:rsidR="00F32DDD">
        <w:rPr>
          <w:rFonts w:asciiTheme="minorHAnsi" w:hAnsiTheme="minorHAnsi"/>
        </w:rPr>
        <w:t>ojů</w:t>
      </w:r>
      <w:r w:rsidR="00025DCE">
        <w:rPr>
          <w:rFonts w:asciiTheme="minorHAnsi" w:hAnsiTheme="minorHAnsi"/>
        </w:rPr>
        <w:t>. Tento závěr je v souladu s</w:t>
      </w:r>
      <w:r w:rsidR="00A951BE">
        <w:rPr>
          <w:rFonts w:asciiTheme="minorHAnsi" w:hAnsiTheme="minorHAnsi"/>
        </w:rPr>
        <w:t> Koncepcí 2016, ve které</w:t>
      </w:r>
      <w:r w:rsidR="00025DCE">
        <w:rPr>
          <w:rFonts w:asciiTheme="minorHAnsi" w:hAnsiTheme="minorHAnsi"/>
        </w:rPr>
        <w:t xml:space="preserve"> </w:t>
      </w:r>
      <w:r w:rsidR="00A951BE">
        <w:rPr>
          <w:rFonts w:asciiTheme="minorHAnsi" w:hAnsiTheme="minorHAnsi"/>
        </w:rPr>
        <w:t>GA ČR mj. uvádí</w:t>
      </w:r>
      <w:r w:rsidR="00B3222C">
        <w:rPr>
          <w:rFonts w:asciiTheme="minorHAnsi" w:hAnsiTheme="minorHAnsi"/>
        </w:rPr>
        <w:t xml:space="preserve">: </w:t>
      </w:r>
      <w:r w:rsidR="001C7EA1" w:rsidRPr="00437554">
        <w:rPr>
          <w:rFonts w:asciiTheme="minorHAnsi" w:hAnsiTheme="minorHAnsi"/>
        </w:rPr>
        <w:t>„</w:t>
      </w:r>
      <w:r w:rsidR="001C7EA1">
        <w:rPr>
          <w:rFonts w:asciiTheme="minorHAnsi" w:hAnsiTheme="minorHAnsi"/>
          <w:i/>
        </w:rPr>
        <w:t>V </w:t>
      </w:r>
      <w:r w:rsidR="00B3222C" w:rsidRPr="00B3222C">
        <w:rPr>
          <w:rFonts w:asciiTheme="minorHAnsi" w:hAnsiTheme="minorHAnsi"/>
          <w:i/>
        </w:rPr>
        <w:t>oborech, kde je to možné, bude účelné motivovat výzkumné týmy, které se zaměřují na orientovaný základní výzkum. Vzhledem k</w:t>
      </w:r>
      <w:r w:rsidR="00320ED4">
        <w:rPr>
          <w:rFonts w:asciiTheme="minorHAnsi" w:hAnsiTheme="minorHAnsi"/>
          <w:i/>
        </w:rPr>
        <w:t> </w:t>
      </w:r>
      <w:r w:rsidR="00B3222C" w:rsidRPr="00B3222C">
        <w:rPr>
          <w:rFonts w:asciiTheme="minorHAnsi" w:hAnsiTheme="minorHAnsi"/>
          <w:i/>
        </w:rPr>
        <w:t>nevyužitému potenciálu je tato příležitost využitelná i bez zásadních investic.</w:t>
      </w:r>
      <w:r w:rsidR="00B3222C" w:rsidRPr="00437554">
        <w:rPr>
          <w:rFonts w:asciiTheme="minorHAnsi" w:hAnsiTheme="minorHAnsi"/>
        </w:rPr>
        <w:t>“</w:t>
      </w:r>
    </w:p>
    <w:p w:rsidR="00025DCE" w:rsidRDefault="00025DCE" w:rsidP="00E6344B">
      <w:pPr>
        <w:rPr>
          <w:rFonts w:asciiTheme="minorHAnsi" w:hAnsiTheme="minorHAnsi" w:cstheme="minorHAnsi"/>
          <w:b/>
        </w:rPr>
      </w:pPr>
    </w:p>
    <w:p w:rsidR="00BD60E5" w:rsidRDefault="00BD60E5">
      <w:pPr>
        <w:spacing w:after="160" w:line="259" w:lineRule="auto"/>
        <w:rPr>
          <w:rFonts w:asciiTheme="minorHAnsi" w:hAnsiTheme="minorHAnsi" w:cstheme="minorHAnsi"/>
          <w:b/>
        </w:rPr>
      </w:pPr>
      <w:r>
        <w:rPr>
          <w:rFonts w:asciiTheme="minorHAnsi" w:hAnsiTheme="minorHAnsi" w:cstheme="minorHAnsi"/>
          <w:b/>
        </w:rPr>
        <w:br w:type="page"/>
      </w:r>
    </w:p>
    <w:p w:rsidR="002175F0" w:rsidRDefault="002175F0" w:rsidP="00E6344B">
      <w:pPr>
        <w:jc w:val="both"/>
        <w:rPr>
          <w:rFonts w:asciiTheme="minorHAnsi" w:hAnsiTheme="minorHAnsi" w:cstheme="minorHAnsi"/>
          <w:b/>
        </w:rPr>
      </w:pPr>
      <w:r w:rsidRPr="005738F8">
        <w:rPr>
          <w:rFonts w:asciiTheme="minorHAnsi" w:hAnsiTheme="minorHAnsi" w:cstheme="minorHAnsi"/>
          <w:b/>
        </w:rPr>
        <w:lastRenderedPageBreak/>
        <w:t xml:space="preserve">Seznam </w:t>
      </w:r>
      <w:r>
        <w:rPr>
          <w:rFonts w:asciiTheme="minorHAnsi" w:hAnsiTheme="minorHAnsi" w:cstheme="minorHAnsi"/>
          <w:b/>
        </w:rPr>
        <w:t xml:space="preserve">použitých </w:t>
      </w:r>
      <w:r w:rsidRPr="005738F8">
        <w:rPr>
          <w:rFonts w:asciiTheme="minorHAnsi" w:hAnsiTheme="minorHAnsi" w:cstheme="minorHAnsi"/>
          <w:b/>
        </w:rPr>
        <w:t>zkratek</w:t>
      </w:r>
    </w:p>
    <w:p w:rsidR="000B62F3" w:rsidRDefault="000B62F3" w:rsidP="001C7EA1">
      <w:pPr>
        <w:jc w:val="both"/>
        <w:rPr>
          <w:rFonts w:asciiTheme="minorHAnsi" w:hAnsiTheme="minorHAnsi"/>
        </w:rPr>
      </w:pPr>
    </w:p>
    <w:p w:rsidR="001869B9" w:rsidRDefault="001869B9" w:rsidP="00E6344B">
      <w:pPr>
        <w:tabs>
          <w:tab w:val="left" w:pos="1843"/>
        </w:tabs>
        <w:spacing w:before="40" w:after="40"/>
        <w:ind w:left="1843" w:hanging="1843"/>
        <w:jc w:val="both"/>
        <w:rPr>
          <w:rFonts w:asciiTheme="minorHAnsi" w:hAnsiTheme="minorHAnsi"/>
        </w:rPr>
      </w:pPr>
      <w:r>
        <w:rPr>
          <w:rFonts w:asciiTheme="minorHAnsi" w:hAnsiTheme="minorHAnsi"/>
        </w:rPr>
        <w:t>ČR</w:t>
      </w:r>
      <w:r>
        <w:rPr>
          <w:rFonts w:asciiTheme="minorHAnsi" w:hAnsiTheme="minorHAnsi"/>
        </w:rPr>
        <w:tab/>
        <w:t>Česká republika</w:t>
      </w:r>
    </w:p>
    <w:p w:rsidR="00193DB5" w:rsidRPr="00700697" w:rsidRDefault="00193DB5" w:rsidP="00E6344B">
      <w:pPr>
        <w:tabs>
          <w:tab w:val="left" w:pos="1843"/>
        </w:tabs>
        <w:spacing w:before="40" w:after="40"/>
        <w:ind w:left="1843" w:hanging="1843"/>
        <w:jc w:val="both"/>
        <w:rPr>
          <w:rFonts w:asciiTheme="minorHAnsi" w:hAnsiTheme="minorHAnsi" w:cstheme="minorHAnsi"/>
        </w:rPr>
      </w:pPr>
      <w:r>
        <w:rPr>
          <w:rFonts w:asciiTheme="minorHAnsi" w:hAnsiTheme="minorHAnsi"/>
        </w:rPr>
        <w:t>ERC</w:t>
      </w:r>
      <w:r>
        <w:rPr>
          <w:rFonts w:asciiTheme="minorHAnsi" w:hAnsiTheme="minorHAnsi"/>
        </w:rPr>
        <w:tab/>
      </w:r>
      <w:proofErr w:type="spellStart"/>
      <w:r w:rsidRPr="007F3050">
        <w:rPr>
          <w:rFonts w:asciiTheme="minorHAnsi" w:hAnsiTheme="minorHAnsi"/>
        </w:rPr>
        <w:t>European</w:t>
      </w:r>
      <w:proofErr w:type="spellEnd"/>
      <w:r w:rsidRPr="007F3050">
        <w:rPr>
          <w:rFonts w:asciiTheme="minorHAnsi" w:hAnsiTheme="minorHAnsi"/>
        </w:rPr>
        <w:t xml:space="preserve"> </w:t>
      </w:r>
      <w:proofErr w:type="spellStart"/>
      <w:r w:rsidRPr="007F3050">
        <w:rPr>
          <w:rFonts w:asciiTheme="minorHAnsi" w:hAnsiTheme="minorHAnsi"/>
        </w:rPr>
        <w:t>Research</w:t>
      </w:r>
      <w:proofErr w:type="spellEnd"/>
      <w:r w:rsidRPr="007F3050">
        <w:rPr>
          <w:rFonts w:asciiTheme="minorHAnsi" w:hAnsiTheme="minorHAnsi"/>
        </w:rPr>
        <w:t xml:space="preserve"> </w:t>
      </w:r>
      <w:proofErr w:type="spellStart"/>
      <w:r w:rsidRPr="007F3050">
        <w:rPr>
          <w:rFonts w:asciiTheme="minorHAnsi" w:hAnsiTheme="minorHAnsi"/>
        </w:rPr>
        <w:t>Council</w:t>
      </w:r>
      <w:proofErr w:type="spellEnd"/>
      <w:r w:rsidRPr="007F3050">
        <w:rPr>
          <w:rFonts w:asciiTheme="minorHAnsi" w:hAnsiTheme="minorHAnsi"/>
        </w:rPr>
        <w:t xml:space="preserve"> (Evropská výzkumná rada</w:t>
      </w:r>
      <w:r>
        <w:rPr>
          <w:rFonts w:asciiTheme="minorHAnsi" w:hAnsiTheme="minorHAnsi"/>
        </w:rPr>
        <w:t>)</w:t>
      </w:r>
    </w:p>
    <w:p w:rsidR="001869B9" w:rsidRDefault="001869B9" w:rsidP="00E6344B">
      <w:pPr>
        <w:tabs>
          <w:tab w:val="left" w:pos="1843"/>
        </w:tabs>
        <w:spacing w:before="40" w:after="40"/>
        <w:ind w:left="1843" w:hanging="1843"/>
        <w:jc w:val="both"/>
        <w:rPr>
          <w:rFonts w:asciiTheme="minorHAnsi" w:hAnsiTheme="minorHAnsi" w:cstheme="minorHAnsi"/>
        </w:rPr>
      </w:pPr>
      <w:r>
        <w:rPr>
          <w:rFonts w:asciiTheme="minorHAnsi" w:hAnsiTheme="minorHAnsi" w:cstheme="minorHAnsi"/>
        </w:rPr>
        <w:t>EU</w:t>
      </w:r>
      <w:r>
        <w:rPr>
          <w:rFonts w:asciiTheme="minorHAnsi" w:hAnsiTheme="minorHAnsi" w:cstheme="minorHAnsi"/>
        </w:rPr>
        <w:tab/>
        <w:t>Evropská unie</w:t>
      </w:r>
    </w:p>
    <w:p w:rsidR="001869B9" w:rsidRDefault="001869B9" w:rsidP="00E6344B">
      <w:pPr>
        <w:tabs>
          <w:tab w:val="left" w:pos="1843"/>
        </w:tabs>
        <w:spacing w:before="40" w:after="40"/>
        <w:ind w:left="1843" w:hanging="1843"/>
        <w:jc w:val="both"/>
        <w:rPr>
          <w:rFonts w:asciiTheme="minorHAnsi" w:hAnsiTheme="minorHAnsi" w:cstheme="minorHAnsi"/>
        </w:rPr>
      </w:pPr>
      <w:r>
        <w:rPr>
          <w:rFonts w:asciiTheme="minorHAnsi" w:hAnsiTheme="minorHAnsi" w:cstheme="minorHAnsi"/>
        </w:rPr>
        <w:t>EU28</w:t>
      </w:r>
      <w:r>
        <w:rPr>
          <w:rFonts w:asciiTheme="minorHAnsi" w:hAnsiTheme="minorHAnsi" w:cstheme="minorHAnsi"/>
        </w:rPr>
        <w:tab/>
        <w:t>28 členských zemí Evropské unie</w:t>
      </w:r>
    </w:p>
    <w:p w:rsidR="00193DB5" w:rsidRDefault="00193DB5" w:rsidP="00E6344B">
      <w:pPr>
        <w:tabs>
          <w:tab w:val="left" w:pos="1843"/>
        </w:tabs>
        <w:spacing w:before="40" w:after="40"/>
        <w:ind w:left="1843" w:hanging="1843"/>
        <w:jc w:val="both"/>
        <w:rPr>
          <w:rFonts w:asciiTheme="minorHAnsi" w:hAnsiTheme="minorHAnsi" w:cstheme="minorHAnsi"/>
        </w:rPr>
      </w:pPr>
      <w:r>
        <w:rPr>
          <w:rFonts w:asciiTheme="minorHAnsi" w:hAnsiTheme="minorHAnsi" w:cstheme="minorHAnsi"/>
        </w:rPr>
        <w:t>GA ČR</w:t>
      </w:r>
      <w:r>
        <w:rPr>
          <w:rFonts w:asciiTheme="minorHAnsi" w:hAnsiTheme="minorHAnsi" w:cstheme="minorHAnsi"/>
        </w:rPr>
        <w:tab/>
        <w:t>Grantová agentura České republiky</w:t>
      </w:r>
    </w:p>
    <w:p w:rsidR="00193DB5" w:rsidRPr="00193DB5" w:rsidRDefault="00193DB5" w:rsidP="00E6344B">
      <w:pPr>
        <w:tabs>
          <w:tab w:val="left" w:pos="1843"/>
        </w:tabs>
        <w:spacing w:before="40" w:after="40"/>
        <w:ind w:left="1843" w:hanging="1843"/>
        <w:jc w:val="both"/>
        <w:rPr>
          <w:rFonts w:ascii="Calibri" w:eastAsia="Calibri" w:hAnsi="Calibri" w:cs="Calibri"/>
          <w:szCs w:val="22"/>
        </w:rPr>
      </w:pPr>
      <w:r>
        <w:rPr>
          <w:rFonts w:ascii="Calibri" w:eastAsia="Calibri" w:hAnsi="Calibri" w:cs="Calibri"/>
          <w:szCs w:val="22"/>
        </w:rPr>
        <w:t>Koncepce 2016</w:t>
      </w:r>
      <w:r>
        <w:rPr>
          <w:rFonts w:ascii="Calibri" w:eastAsia="Calibri" w:hAnsi="Calibri" w:cs="Calibri"/>
          <w:szCs w:val="22"/>
        </w:rPr>
        <w:tab/>
      </w:r>
      <w:r w:rsidR="008223A4">
        <w:rPr>
          <w:rFonts w:ascii="Calibri" w:eastAsia="Calibri" w:hAnsi="Calibri" w:cs="Calibri"/>
          <w:szCs w:val="22"/>
        </w:rPr>
        <w:t xml:space="preserve">strategický dokument </w:t>
      </w:r>
      <w:r w:rsidRPr="00437554">
        <w:rPr>
          <w:rFonts w:ascii="Calibri" w:eastAsia="Calibri" w:hAnsi="Calibri" w:cs="Calibri"/>
          <w:i/>
          <w:szCs w:val="22"/>
        </w:rPr>
        <w:t>Koncepce činnosti Grantové agentury České republiky na léta</w:t>
      </w:r>
      <w:r w:rsidR="00E6344B" w:rsidRPr="00437554">
        <w:rPr>
          <w:rFonts w:ascii="Calibri" w:eastAsia="Calibri" w:hAnsi="Calibri" w:cs="Calibri"/>
          <w:i/>
          <w:szCs w:val="22"/>
        </w:rPr>
        <w:t xml:space="preserve"> </w:t>
      </w:r>
      <w:r w:rsidR="000B62F3" w:rsidRPr="00437554">
        <w:rPr>
          <w:rFonts w:ascii="Calibri" w:eastAsia="Calibri" w:hAnsi="Calibri" w:cs="Calibri"/>
          <w:i/>
          <w:szCs w:val="22"/>
        </w:rPr>
        <w:t>2016–</w:t>
      </w:r>
      <w:r w:rsidRPr="00437554">
        <w:rPr>
          <w:rFonts w:ascii="Calibri" w:eastAsia="Calibri" w:hAnsi="Calibri" w:cs="Calibri"/>
          <w:i/>
          <w:szCs w:val="22"/>
        </w:rPr>
        <w:t>2020</w:t>
      </w:r>
    </w:p>
    <w:p w:rsidR="00193DB5" w:rsidRDefault="00193DB5" w:rsidP="00E6344B">
      <w:pPr>
        <w:tabs>
          <w:tab w:val="left" w:pos="1843"/>
        </w:tabs>
        <w:spacing w:before="40" w:after="40"/>
        <w:ind w:left="1843" w:hanging="1843"/>
        <w:jc w:val="both"/>
        <w:rPr>
          <w:rFonts w:asciiTheme="minorHAnsi" w:hAnsiTheme="minorHAnsi"/>
        </w:rPr>
      </w:pPr>
      <w:r>
        <w:rPr>
          <w:rFonts w:ascii="Calibri" w:eastAsia="Calibri" w:hAnsi="Calibri" w:cs="Calibri"/>
          <w:szCs w:val="22"/>
        </w:rPr>
        <w:t xml:space="preserve">Národní priority </w:t>
      </w:r>
      <w:r>
        <w:rPr>
          <w:rFonts w:ascii="Calibri" w:eastAsia="Calibri" w:hAnsi="Calibri" w:cs="Calibri"/>
          <w:szCs w:val="22"/>
        </w:rPr>
        <w:tab/>
      </w:r>
      <w:r w:rsidR="008223A4">
        <w:rPr>
          <w:rFonts w:ascii="Calibri" w:eastAsia="Calibri" w:hAnsi="Calibri" w:cs="Calibri"/>
          <w:szCs w:val="22"/>
        </w:rPr>
        <w:t xml:space="preserve">strategický dokument </w:t>
      </w:r>
      <w:r w:rsidRPr="00437554">
        <w:rPr>
          <w:rFonts w:ascii="Calibri" w:eastAsia="Calibri" w:hAnsi="Calibri" w:cs="Calibri"/>
          <w:i/>
          <w:szCs w:val="22"/>
        </w:rPr>
        <w:t>Národní priority orientovaného výzkumu, experimentálního</w:t>
      </w:r>
      <w:r w:rsidRPr="00437554">
        <w:rPr>
          <w:rFonts w:asciiTheme="minorHAnsi" w:hAnsiTheme="minorHAnsi"/>
          <w:i/>
        </w:rPr>
        <w:t xml:space="preserve"> </w:t>
      </w:r>
      <w:r w:rsidR="000B62F3" w:rsidRPr="00437554">
        <w:rPr>
          <w:rFonts w:asciiTheme="minorHAnsi" w:hAnsiTheme="minorHAnsi"/>
          <w:i/>
        </w:rPr>
        <w:t>vývoje a </w:t>
      </w:r>
      <w:r w:rsidRPr="00437554">
        <w:rPr>
          <w:rFonts w:asciiTheme="minorHAnsi" w:hAnsiTheme="minorHAnsi"/>
          <w:i/>
        </w:rPr>
        <w:t>inovací</w:t>
      </w:r>
    </w:p>
    <w:p w:rsidR="00193DB5" w:rsidRDefault="00193DB5" w:rsidP="00E6344B">
      <w:pPr>
        <w:tabs>
          <w:tab w:val="left" w:pos="1843"/>
        </w:tabs>
        <w:spacing w:before="40" w:after="40"/>
        <w:ind w:left="1843" w:hanging="1843"/>
        <w:jc w:val="both"/>
        <w:rPr>
          <w:rFonts w:asciiTheme="minorHAnsi" w:hAnsiTheme="minorHAnsi" w:cstheme="minorHAnsi"/>
        </w:rPr>
      </w:pPr>
      <w:r w:rsidRPr="00700697">
        <w:rPr>
          <w:rFonts w:asciiTheme="minorHAnsi" w:hAnsiTheme="minorHAnsi" w:cstheme="minorHAnsi"/>
        </w:rPr>
        <w:t xml:space="preserve">NKÚ </w:t>
      </w:r>
      <w:r>
        <w:rPr>
          <w:rFonts w:asciiTheme="minorHAnsi" w:hAnsiTheme="minorHAnsi" w:cstheme="minorHAnsi"/>
        </w:rPr>
        <w:tab/>
        <w:t>Nejvyšší kontrolní úřad</w:t>
      </w:r>
    </w:p>
    <w:p w:rsidR="00193DB5" w:rsidRDefault="00193DB5" w:rsidP="00E6344B">
      <w:pPr>
        <w:tabs>
          <w:tab w:val="left" w:pos="1843"/>
        </w:tabs>
        <w:spacing w:before="40" w:after="40"/>
        <w:ind w:left="1843" w:hanging="1843"/>
        <w:jc w:val="both"/>
        <w:rPr>
          <w:rFonts w:asciiTheme="minorHAnsi" w:hAnsiTheme="minorHAnsi"/>
        </w:rPr>
      </w:pPr>
      <w:r>
        <w:rPr>
          <w:rFonts w:asciiTheme="minorHAnsi" w:hAnsiTheme="minorHAnsi" w:cstheme="minorHAnsi"/>
        </w:rPr>
        <w:t xml:space="preserve">NP </w:t>
      </w:r>
      <w:proofErr w:type="spellStart"/>
      <w:r>
        <w:rPr>
          <w:rFonts w:asciiTheme="minorHAnsi" w:hAnsiTheme="minorHAnsi" w:cstheme="minorHAnsi"/>
        </w:rPr>
        <w:t>VaVaI</w:t>
      </w:r>
      <w:proofErr w:type="spellEnd"/>
      <w:r>
        <w:rPr>
          <w:rFonts w:asciiTheme="minorHAnsi" w:hAnsiTheme="minorHAnsi" w:cstheme="minorHAnsi"/>
        </w:rPr>
        <w:tab/>
      </w:r>
      <w:r w:rsidR="00D02303">
        <w:rPr>
          <w:rFonts w:asciiTheme="minorHAnsi" w:hAnsiTheme="minorHAnsi" w:cstheme="minorHAnsi"/>
        </w:rPr>
        <w:t xml:space="preserve">strategický dokument </w:t>
      </w:r>
      <w:r w:rsidRPr="00437554">
        <w:rPr>
          <w:rFonts w:asciiTheme="minorHAnsi" w:hAnsiTheme="minorHAnsi"/>
          <w:i/>
        </w:rPr>
        <w:t>Národní politika výzkumu, vývoje a inovací České republiky</w:t>
      </w:r>
    </w:p>
    <w:p w:rsidR="00FA0C1D" w:rsidRDefault="00FA0C1D" w:rsidP="00E6344B">
      <w:pPr>
        <w:tabs>
          <w:tab w:val="left" w:pos="1843"/>
        </w:tabs>
        <w:spacing w:before="40" w:after="40"/>
        <w:ind w:left="1843" w:hanging="1843"/>
        <w:jc w:val="both"/>
        <w:rPr>
          <w:rFonts w:asciiTheme="minorHAnsi" w:hAnsiTheme="minorHAnsi"/>
        </w:rPr>
      </w:pPr>
      <w:proofErr w:type="spellStart"/>
      <w:r>
        <w:rPr>
          <w:rFonts w:asciiTheme="minorHAnsi" w:hAnsiTheme="minorHAnsi"/>
        </w:rPr>
        <w:t>VaVaI</w:t>
      </w:r>
      <w:proofErr w:type="spellEnd"/>
      <w:r>
        <w:rPr>
          <w:rFonts w:asciiTheme="minorHAnsi" w:hAnsiTheme="minorHAnsi"/>
        </w:rPr>
        <w:tab/>
      </w:r>
      <w:r w:rsidR="00D02303">
        <w:rPr>
          <w:rFonts w:asciiTheme="minorHAnsi" w:hAnsiTheme="minorHAnsi"/>
        </w:rPr>
        <w:t>v</w:t>
      </w:r>
      <w:r w:rsidRPr="00C51371">
        <w:rPr>
          <w:rFonts w:asciiTheme="minorHAnsi" w:hAnsiTheme="minorHAnsi"/>
        </w:rPr>
        <w:t>ýzkum, experimentální</w:t>
      </w:r>
      <w:r>
        <w:rPr>
          <w:rFonts w:asciiTheme="minorHAnsi" w:hAnsiTheme="minorHAnsi"/>
        </w:rPr>
        <w:t xml:space="preserve"> vývoj a inovace</w:t>
      </w:r>
    </w:p>
    <w:p w:rsidR="00193DB5" w:rsidRPr="00193DB5" w:rsidRDefault="008223A4" w:rsidP="00E6344B">
      <w:pPr>
        <w:tabs>
          <w:tab w:val="left" w:pos="1843"/>
        </w:tabs>
        <w:spacing w:before="40" w:after="40"/>
        <w:ind w:left="1843" w:hanging="1843"/>
        <w:jc w:val="both"/>
        <w:rPr>
          <w:rFonts w:ascii="Calibri" w:eastAsia="Calibri" w:hAnsi="Calibri" w:cs="Calibri"/>
          <w:szCs w:val="22"/>
        </w:rPr>
      </w:pPr>
      <w:r>
        <w:rPr>
          <w:rFonts w:ascii="Calibri" w:eastAsia="Calibri" w:hAnsi="Calibri" w:cs="Calibri"/>
          <w:szCs w:val="22"/>
        </w:rPr>
        <w:t>z</w:t>
      </w:r>
      <w:r w:rsidR="00193DB5">
        <w:rPr>
          <w:rFonts w:ascii="Calibri" w:eastAsia="Calibri" w:hAnsi="Calibri" w:cs="Calibri"/>
          <w:szCs w:val="22"/>
        </w:rPr>
        <w:t>ákon</w:t>
      </w:r>
      <w:r w:rsidR="00193DB5">
        <w:rPr>
          <w:rFonts w:ascii="Calibri" w:eastAsia="Calibri" w:hAnsi="Calibri" w:cs="Calibri"/>
          <w:szCs w:val="22"/>
        </w:rPr>
        <w:tab/>
      </w:r>
      <w:proofErr w:type="spellStart"/>
      <w:r>
        <w:rPr>
          <w:rFonts w:ascii="Calibri" w:eastAsia="Calibri" w:hAnsi="Calibri" w:cs="Calibri"/>
          <w:szCs w:val="22"/>
        </w:rPr>
        <w:t>z</w:t>
      </w:r>
      <w:r w:rsidR="00193DB5" w:rsidRPr="00193DB5">
        <w:rPr>
          <w:rFonts w:ascii="Calibri" w:eastAsia="Calibri" w:hAnsi="Calibri" w:cs="Calibri"/>
          <w:szCs w:val="22"/>
        </w:rPr>
        <w:t>ákon</w:t>
      </w:r>
      <w:proofErr w:type="spellEnd"/>
      <w:r w:rsidR="00193DB5" w:rsidRPr="00193DB5">
        <w:rPr>
          <w:rFonts w:ascii="Calibri" w:eastAsia="Calibri" w:hAnsi="Calibri" w:cs="Calibri"/>
          <w:szCs w:val="22"/>
        </w:rPr>
        <w:t xml:space="preserve"> č. 130/2002 Sb., o podpoře výz</w:t>
      </w:r>
      <w:r w:rsidR="000B62F3">
        <w:rPr>
          <w:rFonts w:ascii="Calibri" w:eastAsia="Calibri" w:hAnsi="Calibri" w:cs="Calibri"/>
          <w:szCs w:val="22"/>
        </w:rPr>
        <w:t>kumu, experimentálního vývoje a </w:t>
      </w:r>
      <w:r w:rsidR="00193DB5" w:rsidRPr="00193DB5">
        <w:rPr>
          <w:rFonts w:ascii="Calibri" w:eastAsia="Calibri" w:hAnsi="Calibri" w:cs="Calibri"/>
          <w:szCs w:val="22"/>
        </w:rPr>
        <w:t>inovací z veřejných prostředků a o změně některých souvisejících zákonů (zákon o podpoře výzkumu, experimentálního vývoje a inovací)</w:t>
      </w:r>
    </w:p>
    <w:p w:rsidR="00994DCC" w:rsidRDefault="00994DCC">
      <w:pPr>
        <w:spacing w:after="160" w:line="259" w:lineRule="auto"/>
        <w:rPr>
          <w:rFonts w:asciiTheme="minorHAnsi" w:hAnsiTheme="minorHAnsi" w:cstheme="minorHAnsi"/>
          <w:b/>
        </w:rPr>
      </w:pPr>
      <w:r>
        <w:rPr>
          <w:rFonts w:asciiTheme="minorHAnsi" w:hAnsiTheme="minorHAnsi" w:cstheme="minorHAnsi"/>
          <w:b/>
        </w:rPr>
        <w:br w:type="page"/>
      </w:r>
    </w:p>
    <w:p w:rsidR="00B61CDD" w:rsidRDefault="00B61CDD" w:rsidP="008B3EC5">
      <w:pPr>
        <w:jc w:val="right"/>
        <w:rPr>
          <w:rFonts w:asciiTheme="minorHAnsi" w:hAnsiTheme="minorHAnsi" w:cstheme="minorHAnsi"/>
          <w:b/>
        </w:rPr>
      </w:pPr>
      <w:r>
        <w:rPr>
          <w:rFonts w:asciiTheme="minorHAnsi" w:hAnsiTheme="minorHAnsi" w:cstheme="minorHAnsi"/>
          <w:b/>
        </w:rPr>
        <w:lastRenderedPageBreak/>
        <w:t>Příloha č. 1</w:t>
      </w:r>
    </w:p>
    <w:p w:rsidR="00B61CDD" w:rsidRPr="00437554" w:rsidRDefault="00B61CDD" w:rsidP="00B61CDD">
      <w:pPr>
        <w:spacing w:before="120" w:line="276" w:lineRule="auto"/>
        <w:jc w:val="both"/>
        <w:rPr>
          <w:rFonts w:ascii="Calibri" w:hAnsi="Calibri"/>
          <w:b/>
        </w:rPr>
      </w:pPr>
      <w:r w:rsidRPr="00437554">
        <w:rPr>
          <w:rFonts w:ascii="Calibri" w:hAnsi="Calibri"/>
          <w:b/>
        </w:rPr>
        <w:t>Standardní projekty</w:t>
      </w:r>
    </w:p>
    <w:p w:rsidR="00B61CDD" w:rsidRPr="00B61CDD" w:rsidRDefault="00B61CDD" w:rsidP="00B61CDD">
      <w:pPr>
        <w:spacing w:before="120"/>
        <w:jc w:val="both"/>
        <w:rPr>
          <w:rFonts w:ascii="Calibri" w:hAnsi="Calibri"/>
        </w:rPr>
      </w:pPr>
      <w:r w:rsidRPr="00B61CDD">
        <w:rPr>
          <w:rFonts w:ascii="Calibri" w:hAnsi="Calibri"/>
        </w:rPr>
        <w:t>Standardní projekty představují hlavní typ projektů, které GA ČR podporuje od svého vzniku, tj. od roku 1993. Délka trvání projektů je 2 až 5 let. Téma projektu volí navrhovatel v rámci všech oblastí základního výzkumu. Uchazečem může být právnická či fyzická osoba, organizační složka státu nebo územního samosprávného celku, organizační jednotka Ministerstva obrany nebo Ministerstva vnitra zabývající se výzkumem a experimentálním vývojem. Projekt řeší jedna osoba nebo tým vědeckých pracovníků z jedné nebo více institucí. Veřejná soutěž na podporu standardních projektů je vyhlašována vždy jednou za rok, zpravidla v únoru. Hodnoticí proces následně probíhá do podzimu a výsledky této veřejné soutěže jsou zveřejněny před koncem příslušného kalendářního roku. Hlavními kritérii hodnocení návrhů projektů jsou originalita a kvalita návrhu projektu, dále také odborné předpoklady navrhovatele dosáhnout deklarovaných cílů a přiměřenost nákladů.</w:t>
      </w:r>
    </w:p>
    <w:p w:rsidR="00B61CDD" w:rsidRPr="00437554" w:rsidRDefault="00B61CDD" w:rsidP="00B61CDD">
      <w:pPr>
        <w:spacing w:before="120" w:line="276" w:lineRule="auto"/>
        <w:jc w:val="both"/>
        <w:rPr>
          <w:rFonts w:ascii="Calibri" w:hAnsi="Calibri"/>
          <w:b/>
        </w:rPr>
      </w:pPr>
      <w:proofErr w:type="spellStart"/>
      <w:r w:rsidRPr="00437554">
        <w:rPr>
          <w:rFonts w:ascii="Calibri" w:hAnsi="Calibri"/>
          <w:b/>
        </w:rPr>
        <w:t>Postdoktorské</w:t>
      </w:r>
      <w:proofErr w:type="spellEnd"/>
      <w:r w:rsidRPr="00437554">
        <w:rPr>
          <w:rFonts w:ascii="Calibri" w:hAnsi="Calibri"/>
          <w:b/>
        </w:rPr>
        <w:t xml:space="preserve"> projekty</w:t>
      </w:r>
    </w:p>
    <w:p w:rsidR="00B61CDD" w:rsidRPr="00B61CDD" w:rsidRDefault="00B61CDD" w:rsidP="00B61CDD">
      <w:pPr>
        <w:spacing w:before="120"/>
        <w:jc w:val="both"/>
        <w:rPr>
          <w:rFonts w:ascii="Calibri" w:hAnsi="Calibri"/>
        </w:rPr>
      </w:pPr>
      <w:proofErr w:type="spellStart"/>
      <w:r w:rsidRPr="00B61CDD">
        <w:rPr>
          <w:rFonts w:ascii="Calibri" w:hAnsi="Calibri"/>
        </w:rPr>
        <w:t>Postdoktorské</w:t>
      </w:r>
      <w:proofErr w:type="spellEnd"/>
      <w:r w:rsidRPr="00B61CDD">
        <w:rPr>
          <w:rFonts w:ascii="Calibri" w:hAnsi="Calibri"/>
        </w:rPr>
        <w:t xml:space="preserve"> projekty jsou zaměřeny na podporu začínajících vědců, kteří mají ukončené doktorské studium. Jedná se o projekty jednoho řešitele podporované GA ČR od roku 1998. Poslední veřejnou soutěž na podporu </w:t>
      </w:r>
      <w:proofErr w:type="spellStart"/>
      <w:r w:rsidRPr="00B61CDD">
        <w:rPr>
          <w:rFonts w:ascii="Calibri" w:hAnsi="Calibri"/>
        </w:rPr>
        <w:t>postdoktorských</w:t>
      </w:r>
      <w:proofErr w:type="spellEnd"/>
      <w:r w:rsidRPr="00B61CDD">
        <w:rPr>
          <w:rFonts w:ascii="Calibri" w:hAnsi="Calibri"/>
        </w:rPr>
        <w:t xml:space="preserve"> projektů GA ČR vypsala v roce 2013 s počátečním rokem řešení 2014. </w:t>
      </w:r>
      <w:r w:rsidR="00455F5C">
        <w:rPr>
          <w:rFonts w:ascii="Calibri" w:hAnsi="Calibri"/>
        </w:rPr>
        <w:t>Podpora</w:t>
      </w:r>
      <w:r w:rsidRPr="00B61CDD">
        <w:rPr>
          <w:rFonts w:ascii="Calibri" w:hAnsi="Calibri"/>
        </w:rPr>
        <w:t xml:space="preserve"> této skupiny projektů</w:t>
      </w:r>
      <w:r w:rsidR="00455F5C">
        <w:rPr>
          <w:rFonts w:ascii="Calibri" w:hAnsi="Calibri"/>
        </w:rPr>
        <w:t xml:space="preserve"> </w:t>
      </w:r>
      <w:r w:rsidR="00C571D3">
        <w:rPr>
          <w:rFonts w:ascii="Calibri" w:hAnsi="Calibri"/>
        </w:rPr>
        <w:t xml:space="preserve">měla být </w:t>
      </w:r>
      <w:r w:rsidR="00455F5C">
        <w:rPr>
          <w:rFonts w:ascii="Calibri" w:hAnsi="Calibri"/>
        </w:rPr>
        <w:t>ukončena v roce 2016</w:t>
      </w:r>
      <w:r w:rsidRPr="00B61CDD">
        <w:rPr>
          <w:rFonts w:ascii="Calibri" w:hAnsi="Calibri"/>
        </w:rPr>
        <w:t>.</w:t>
      </w:r>
    </w:p>
    <w:p w:rsidR="00B61CDD" w:rsidRPr="00437554" w:rsidRDefault="00B61CDD" w:rsidP="00B61CDD">
      <w:pPr>
        <w:spacing w:before="120" w:line="276" w:lineRule="auto"/>
        <w:jc w:val="both"/>
        <w:rPr>
          <w:rFonts w:ascii="Calibri" w:hAnsi="Calibri"/>
          <w:b/>
        </w:rPr>
      </w:pPr>
      <w:r w:rsidRPr="00437554">
        <w:rPr>
          <w:rFonts w:ascii="Calibri" w:hAnsi="Calibri"/>
          <w:b/>
        </w:rPr>
        <w:t xml:space="preserve">Projekty na </w:t>
      </w:r>
      <w:r w:rsidR="00737261" w:rsidRPr="00437554">
        <w:rPr>
          <w:rFonts w:ascii="Calibri" w:hAnsi="Calibri"/>
          <w:b/>
        </w:rPr>
        <w:t>„</w:t>
      </w:r>
      <w:r w:rsidRPr="00437554">
        <w:rPr>
          <w:rFonts w:ascii="Calibri" w:hAnsi="Calibri"/>
          <w:b/>
        </w:rPr>
        <w:t>podporu excelence</w:t>
      </w:r>
      <w:r w:rsidR="00737261" w:rsidRPr="00437554">
        <w:rPr>
          <w:rFonts w:ascii="Calibri" w:hAnsi="Calibri"/>
          <w:b/>
        </w:rPr>
        <w:t>“</w:t>
      </w:r>
    </w:p>
    <w:p w:rsidR="00B61CDD" w:rsidRPr="00B61CDD" w:rsidRDefault="00B61CDD" w:rsidP="00B61CDD">
      <w:pPr>
        <w:spacing w:before="120"/>
        <w:jc w:val="both"/>
        <w:rPr>
          <w:rFonts w:ascii="Calibri" w:hAnsi="Calibri"/>
        </w:rPr>
      </w:pPr>
      <w:r w:rsidRPr="00B61CDD">
        <w:rPr>
          <w:rFonts w:ascii="Calibri" w:hAnsi="Calibri"/>
        </w:rPr>
        <w:t xml:space="preserve">Projekty na </w:t>
      </w:r>
      <w:r w:rsidR="00737261">
        <w:rPr>
          <w:rFonts w:ascii="Calibri" w:hAnsi="Calibri"/>
        </w:rPr>
        <w:t>„</w:t>
      </w:r>
      <w:r w:rsidRPr="00B61CDD">
        <w:rPr>
          <w:rFonts w:ascii="Calibri" w:hAnsi="Calibri"/>
        </w:rPr>
        <w:t>podporu excelence</w:t>
      </w:r>
      <w:r w:rsidR="00737261">
        <w:rPr>
          <w:rFonts w:ascii="Calibri" w:hAnsi="Calibri"/>
        </w:rPr>
        <w:t>“</w:t>
      </w:r>
      <w:r w:rsidRPr="00B61CDD">
        <w:rPr>
          <w:rFonts w:ascii="Calibri" w:hAnsi="Calibri"/>
        </w:rPr>
        <w:t xml:space="preserve"> jsou zaměřeny na špičkový základní výzkum, pro jehož uskutečnění nelze vytvořit podmínky v rámci existujících skupin grantových projektů GA ČR. Jedná se o projekty, které jsou multidisciplinární a na jejichž řešení se podílí více účastníků. GA ČR vypsala dvě veřejné soutěže na podporu </w:t>
      </w:r>
      <w:r w:rsidR="00737261">
        <w:rPr>
          <w:rFonts w:ascii="Calibri" w:hAnsi="Calibri"/>
        </w:rPr>
        <w:t>„</w:t>
      </w:r>
      <w:r w:rsidRPr="00B61CDD">
        <w:rPr>
          <w:rFonts w:ascii="Calibri" w:hAnsi="Calibri"/>
        </w:rPr>
        <w:t>projektů excelence</w:t>
      </w:r>
      <w:r w:rsidR="00737261">
        <w:rPr>
          <w:rFonts w:ascii="Calibri" w:hAnsi="Calibri"/>
        </w:rPr>
        <w:t>“</w:t>
      </w:r>
      <w:r w:rsidRPr="00B61CDD">
        <w:rPr>
          <w:rFonts w:ascii="Calibri" w:hAnsi="Calibri"/>
        </w:rPr>
        <w:t xml:space="preserve">, a </w:t>
      </w:r>
      <w:r w:rsidR="00737261">
        <w:rPr>
          <w:rFonts w:ascii="Calibri" w:hAnsi="Calibri"/>
        </w:rPr>
        <w:t>to</w:t>
      </w:r>
      <w:r w:rsidRPr="00B61CDD">
        <w:rPr>
          <w:rFonts w:ascii="Calibri" w:hAnsi="Calibri"/>
        </w:rPr>
        <w:t xml:space="preserve"> s počátečním rokem řešení 2012 a 2014. Projekty z obou veřejných soutěží by měly být ukončeny v roce 2018.</w:t>
      </w:r>
    </w:p>
    <w:p w:rsidR="00B61CDD" w:rsidRPr="00437554" w:rsidRDefault="00B61CDD" w:rsidP="00B61CDD">
      <w:pPr>
        <w:spacing w:before="120" w:line="276" w:lineRule="auto"/>
        <w:jc w:val="both"/>
        <w:rPr>
          <w:rFonts w:ascii="Calibri" w:hAnsi="Calibri"/>
          <w:b/>
        </w:rPr>
      </w:pPr>
      <w:r w:rsidRPr="00437554">
        <w:rPr>
          <w:rFonts w:ascii="Calibri" w:hAnsi="Calibri"/>
          <w:b/>
        </w:rPr>
        <w:t xml:space="preserve">Doktorské projekty </w:t>
      </w:r>
    </w:p>
    <w:p w:rsidR="00B61CDD" w:rsidRPr="00B61CDD" w:rsidRDefault="00B61CDD" w:rsidP="00B61CDD">
      <w:pPr>
        <w:spacing w:before="120"/>
        <w:jc w:val="both"/>
        <w:rPr>
          <w:rFonts w:ascii="Calibri" w:hAnsi="Calibri"/>
        </w:rPr>
      </w:pPr>
      <w:r w:rsidRPr="00B61CDD">
        <w:rPr>
          <w:rFonts w:ascii="Calibri" w:hAnsi="Calibri"/>
        </w:rPr>
        <w:t xml:space="preserve">Doktorské projekty jsou zaměřeny na podporu a koordinaci vědecké činnosti v rámci doktorských studijních programů s dobou trvání 1 až 4 roky. Podporu této skupiny projektů GA ČR ukončila v roce 2012.  </w:t>
      </w:r>
    </w:p>
    <w:p w:rsidR="00B61CDD" w:rsidRPr="00437554" w:rsidRDefault="00B61CDD" w:rsidP="00CF622A">
      <w:pPr>
        <w:spacing w:before="120" w:after="120"/>
        <w:rPr>
          <w:rFonts w:ascii="Calibri" w:hAnsi="Calibri" w:cs="Calibri"/>
          <w:b/>
        </w:rPr>
      </w:pPr>
      <w:r w:rsidRPr="00437554">
        <w:rPr>
          <w:rFonts w:ascii="Calibri" w:hAnsi="Calibri" w:cs="Calibri"/>
          <w:b/>
        </w:rPr>
        <w:t>Mezinárodní (bilaterální) projekty</w:t>
      </w:r>
    </w:p>
    <w:p w:rsidR="00B61CDD" w:rsidRPr="00B61CDD" w:rsidRDefault="00B61CDD" w:rsidP="00B61CDD">
      <w:pPr>
        <w:spacing w:before="120"/>
        <w:jc w:val="both"/>
        <w:rPr>
          <w:rFonts w:ascii="Calibri" w:hAnsi="Calibri"/>
        </w:rPr>
      </w:pPr>
      <w:r w:rsidRPr="00B61CDD">
        <w:rPr>
          <w:rFonts w:ascii="Calibri" w:hAnsi="Calibri"/>
        </w:rPr>
        <w:t xml:space="preserve">Mezinárodní grantové projekty jsou v GA ČR podporovány od roku 2005, kdy GA ČR navázala spolupráci s jihokorejskou agenturou </w:t>
      </w:r>
      <w:proofErr w:type="spellStart"/>
      <w:r w:rsidRPr="00B61CDD">
        <w:rPr>
          <w:rFonts w:ascii="Calibri" w:hAnsi="Calibri"/>
        </w:rPr>
        <w:t>National</w:t>
      </w:r>
      <w:proofErr w:type="spellEnd"/>
      <w:r w:rsidRPr="00B61CDD">
        <w:rPr>
          <w:rFonts w:ascii="Calibri" w:hAnsi="Calibri"/>
        </w:rPr>
        <w:t xml:space="preserve"> </w:t>
      </w:r>
      <w:proofErr w:type="spellStart"/>
      <w:r w:rsidRPr="00B61CDD">
        <w:rPr>
          <w:rFonts w:ascii="Calibri" w:hAnsi="Calibri"/>
        </w:rPr>
        <w:t>Researc</w:t>
      </w:r>
      <w:r w:rsidR="00907238">
        <w:rPr>
          <w:rFonts w:ascii="Calibri" w:hAnsi="Calibri"/>
        </w:rPr>
        <w:t>h</w:t>
      </w:r>
      <w:proofErr w:type="spellEnd"/>
      <w:r w:rsidR="00907238">
        <w:rPr>
          <w:rFonts w:ascii="Calibri" w:hAnsi="Calibri"/>
        </w:rPr>
        <w:t xml:space="preserve"> </w:t>
      </w:r>
      <w:proofErr w:type="spellStart"/>
      <w:r w:rsidR="00907238">
        <w:rPr>
          <w:rFonts w:ascii="Calibri" w:hAnsi="Calibri"/>
        </w:rPr>
        <w:t>Foundation</w:t>
      </w:r>
      <w:proofErr w:type="spellEnd"/>
      <w:r w:rsidR="00907238">
        <w:rPr>
          <w:rFonts w:ascii="Calibri" w:hAnsi="Calibri"/>
        </w:rPr>
        <w:t xml:space="preserve"> </w:t>
      </w:r>
      <w:proofErr w:type="spellStart"/>
      <w:r w:rsidR="00907238">
        <w:rPr>
          <w:rFonts w:ascii="Calibri" w:hAnsi="Calibri"/>
        </w:rPr>
        <w:t>of</w:t>
      </w:r>
      <w:proofErr w:type="spellEnd"/>
      <w:r w:rsidR="00907238">
        <w:rPr>
          <w:rFonts w:ascii="Calibri" w:hAnsi="Calibri"/>
        </w:rPr>
        <w:t xml:space="preserve"> </w:t>
      </w:r>
      <w:proofErr w:type="gramStart"/>
      <w:r w:rsidR="00907238">
        <w:rPr>
          <w:rFonts w:ascii="Calibri" w:hAnsi="Calibri"/>
        </w:rPr>
        <w:t>Korea</w:t>
      </w:r>
      <w:proofErr w:type="gramEnd"/>
      <w:r w:rsidR="00907238">
        <w:rPr>
          <w:rFonts w:ascii="Calibri" w:hAnsi="Calibri"/>
        </w:rPr>
        <w:t xml:space="preserve"> a s </w:t>
      </w:r>
      <w:r w:rsidRPr="00B61CDD">
        <w:rPr>
          <w:rFonts w:ascii="Calibri" w:hAnsi="Calibri"/>
        </w:rPr>
        <w:t xml:space="preserve">německou agenturou </w:t>
      </w:r>
      <w:proofErr w:type="spellStart"/>
      <w:r w:rsidRPr="00B61CDD">
        <w:rPr>
          <w:rFonts w:ascii="Calibri" w:hAnsi="Calibri"/>
        </w:rPr>
        <w:t>Deutsche</w:t>
      </w:r>
      <w:proofErr w:type="spellEnd"/>
      <w:r w:rsidRPr="00B61CDD">
        <w:rPr>
          <w:rFonts w:ascii="Calibri" w:hAnsi="Calibri"/>
        </w:rPr>
        <w:t xml:space="preserve"> </w:t>
      </w:r>
      <w:proofErr w:type="spellStart"/>
      <w:r w:rsidRPr="00B61CDD">
        <w:rPr>
          <w:rFonts w:ascii="Calibri" w:hAnsi="Calibri"/>
        </w:rPr>
        <w:t>Forschungsgemeinschaft</w:t>
      </w:r>
      <w:proofErr w:type="spellEnd"/>
      <w:r w:rsidRPr="00B61CDD">
        <w:rPr>
          <w:rFonts w:ascii="Calibri" w:hAnsi="Calibri"/>
        </w:rPr>
        <w:t xml:space="preserve">. V roce 2008 byla mezinárodní spolupráce rozšířena o nového partnera, a to tchajwanskou agenturu </w:t>
      </w:r>
      <w:proofErr w:type="spellStart"/>
      <w:r w:rsidRPr="00B61CDD">
        <w:rPr>
          <w:rFonts w:ascii="Calibri" w:hAnsi="Calibri"/>
        </w:rPr>
        <w:t>National</w:t>
      </w:r>
      <w:proofErr w:type="spellEnd"/>
      <w:r w:rsidRPr="00B61CDD">
        <w:rPr>
          <w:rFonts w:ascii="Calibri" w:hAnsi="Calibri"/>
        </w:rPr>
        <w:t xml:space="preserve"> Science </w:t>
      </w:r>
      <w:proofErr w:type="spellStart"/>
      <w:r w:rsidRPr="00B61CDD">
        <w:rPr>
          <w:rFonts w:ascii="Calibri" w:hAnsi="Calibri"/>
        </w:rPr>
        <w:t>Foundation</w:t>
      </w:r>
      <w:proofErr w:type="spellEnd"/>
      <w:r w:rsidRPr="00B61CDD">
        <w:rPr>
          <w:rFonts w:ascii="Calibri" w:hAnsi="Calibri"/>
        </w:rPr>
        <w:t xml:space="preserve">, nyní Ministry </w:t>
      </w:r>
      <w:proofErr w:type="spellStart"/>
      <w:r w:rsidRPr="00B61CDD">
        <w:rPr>
          <w:rFonts w:ascii="Calibri" w:hAnsi="Calibri"/>
        </w:rPr>
        <w:t>of</w:t>
      </w:r>
      <w:proofErr w:type="spellEnd"/>
      <w:r w:rsidRPr="00B61CDD">
        <w:rPr>
          <w:rFonts w:ascii="Calibri" w:hAnsi="Calibri"/>
        </w:rPr>
        <w:t xml:space="preserve"> Science and Technology. Délka trvání projektů je 2 až 3 roky. Téma projektu volí český navrhovatel ve spolupráci se zahraničním navrhovatelem. U této skupiny mezinárodních projektů hodnocení probíhá nezávisle v obou partnerských agenturách. Podmínkou poskytnutí podpory mezinárodnímu projektu ze strany GA ČR je jeho schválení oběma národními poskytovateli. Každý národní poskytovatel financuje aktivity týkající se části řešení projektu v</w:t>
      </w:r>
      <w:r w:rsidR="004D0A07">
        <w:rPr>
          <w:rFonts w:ascii="Calibri" w:hAnsi="Calibri"/>
        </w:rPr>
        <w:t> </w:t>
      </w:r>
      <w:r w:rsidRPr="00B61CDD">
        <w:rPr>
          <w:rFonts w:ascii="Calibri" w:hAnsi="Calibri"/>
        </w:rPr>
        <w:t>rámci svého teritoria.</w:t>
      </w:r>
    </w:p>
    <w:p w:rsidR="00B61CDD" w:rsidRPr="00437554" w:rsidRDefault="00B61CDD" w:rsidP="00C571D3">
      <w:pPr>
        <w:keepNext/>
        <w:spacing w:before="120" w:after="120"/>
        <w:rPr>
          <w:rFonts w:ascii="Calibri" w:hAnsi="Calibri" w:cs="Calibri"/>
          <w:b/>
        </w:rPr>
      </w:pPr>
      <w:r w:rsidRPr="00437554">
        <w:rPr>
          <w:rFonts w:ascii="Calibri" w:hAnsi="Calibri" w:cs="Calibri"/>
          <w:b/>
        </w:rPr>
        <w:lastRenderedPageBreak/>
        <w:t>Juniorské projekty</w:t>
      </w:r>
    </w:p>
    <w:p w:rsidR="00B61CDD" w:rsidRPr="00B61CDD" w:rsidRDefault="00B61CDD" w:rsidP="00994DCC">
      <w:pPr>
        <w:spacing w:before="120" w:after="120"/>
        <w:jc w:val="both"/>
        <w:rPr>
          <w:rFonts w:ascii="Calibri" w:hAnsi="Calibri"/>
        </w:rPr>
      </w:pPr>
      <w:r w:rsidRPr="00B61CDD">
        <w:rPr>
          <w:rFonts w:ascii="Calibri" w:hAnsi="Calibri"/>
        </w:rPr>
        <w:t>Juniorské grantové projekty jsou zaměřeny na vytvoření příležitosti pro excelentní mladé vědecké pracovníky s cílem vybudovat si nezávislou skupi</w:t>
      </w:r>
      <w:r w:rsidR="00907238">
        <w:rPr>
          <w:rFonts w:ascii="Calibri" w:hAnsi="Calibri"/>
        </w:rPr>
        <w:t>nu s několika spolupracovníky a </w:t>
      </w:r>
      <w:r w:rsidRPr="00B61CDD">
        <w:rPr>
          <w:rFonts w:ascii="Calibri" w:hAnsi="Calibri"/>
        </w:rPr>
        <w:t>moderním vybavením</w:t>
      </w:r>
      <w:r w:rsidR="00C571D3">
        <w:rPr>
          <w:rFonts w:ascii="Calibri" w:hAnsi="Calibri"/>
        </w:rPr>
        <w:t>.</w:t>
      </w:r>
      <w:r w:rsidRPr="00B61CDD">
        <w:rPr>
          <w:rFonts w:ascii="Calibri" w:hAnsi="Calibri"/>
        </w:rPr>
        <w:t xml:space="preserve"> </w:t>
      </w:r>
      <w:r w:rsidR="00C571D3">
        <w:rPr>
          <w:rFonts w:ascii="Calibri" w:hAnsi="Calibri"/>
        </w:rPr>
        <w:t>J</w:t>
      </w:r>
      <w:r w:rsidRPr="00B61CDD">
        <w:rPr>
          <w:rFonts w:ascii="Calibri" w:hAnsi="Calibri"/>
        </w:rPr>
        <w:t>ejich cílem je oživit současnou strukturu základního výzkumu v ČR. GA ČR podporuje tuto skupinu projektů od roku 2015.</w:t>
      </w:r>
    </w:p>
    <w:p w:rsidR="00B61CDD" w:rsidRPr="00437554" w:rsidRDefault="00B61CDD" w:rsidP="00B61CDD">
      <w:pPr>
        <w:spacing w:before="120" w:line="276" w:lineRule="auto"/>
        <w:jc w:val="both"/>
        <w:rPr>
          <w:rFonts w:ascii="Calibri" w:hAnsi="Calibri"/>
          <w:b/>
        </w:rPr>
      </w:pPr>
      <w:r w:rsidRPr="00437554">
        <w:rPr>
          <w:rFonts w:ascii="Calibri" w:hAnsi="Calibri"/>
          <w:b/>
        </w:rPr>
        <w:t>EUROCORES</w:t>
      </w:r>
    </w:p>
    <w:p w:rsidR="00B61CDD" w:rsidRPr="00B61CDD" w:rsidRDefault="00B61CDD" w:rsidP="00B61CDD">
      <w:pPr>
        <w:spacing w:before="120"/>
        <w:jc w:val="both"/>
        <w:rPr>
          <w:rFonts w:ascii="Calibri" w:hAnsi="Calibri"/>
        </w:rPr>
      </w:pPr>
      <w:r w:rsidRPr="00B61CDD">
        <w:rPr>
          <w:rFonts w:ascii="Calibri" w:hAnsi="Calibri"/>
        </w:rPr>
        <w:t xml:space="preserve">V programu EUROCORES spojily </w:t>
      </w:r>
      <w:proofErr w:type="spellStart"/>
      <w:r w:rsidRPr="00B61CDD">
        <w:rPr>
          <w:rFonts w:ascii="Calibri" w:hAnsi="Calibri"/>
        </w:rPr>
        <w:t>European</w:t>
      </w:r>
      <w:proofErr w:type="spellEnd"/>
      <w:r w:rsidRPr="00B61CDD">
        <w:rPr>
          <w:rFonts w:ascii="Calibri" w:hAnsi="Calibri"/>
        </w:rPr>
        <w:t xml:space="preserve"> Science </w:t>
      </w:r>
      <w:proofErr w:type="spellStart"/>
      <w:r w:rsidRPr="00B61CDD">
        <w:rPr>
          <w:rFonts w:ascii="Calibri" w:hAnsi="Calibri"/>
        </w:rPr>
        <w:t>Foundation</w:t>
      </w:r>
      <w:proofErr w:type="spellEnd"/>
      <w:r w:rsidRPr="00B61CDD">
        <w:rPr>
          <w:rFonts w:ascii="Calibri" w:hAnsi="Calibri"/>
        </w:rPr>
        <w:t xml:space="preserve"> a její členské organizace své úsilí a prostředky k podpoře společných projektů umožňujících zapojení vědeckých týmů evropských zemí do široké interdis</w:t>
      </w:r>
      <w:r w:rsidR="00027CA1">
        <w:rPr>
          <w:rFonts w:ascii="Calibri" w:hAnsi="Calibri"/>
        </w:rPr>
        <w:t>ciplinární spolupráce v rámci te</w:t>
      </w:r>
      <w:r w:rsidRPr="00B61CDD">
        <w:rPr>
          <w:rFonts w:ascii="Calibri" w:hAnsi="Calibri"/>
        </w:rPr>
        <w:t>maticky vymezených oblastí. Podporu této skupiny projektů GA ČR ukončila v roce 2014.</w:t>
      </w:r>
    </w:p>
    <w:p w:rsidR="00B61CDD" w:rsidRPr="00437554" w:rsidRDefault="00B61CDD" w:rsidP="00B61CDD">
      <w:pPr>
        <w:spacing w:before="120" w:line="276" w:lineRule="auto"/>
        <w:jc w:val="both"/>
        <w:rPr>
          <w:rFonts w:ascii="Calibri" w:hAnsi="Calibri"/>
          <w:b/>
        </w:rPr>
      </w:pPr>
      <w:r w:rsidRPr="00437554">
        <w:rPr>
          <w:rFonts w:ascii="Calibri" w:hAnsi="Calibri"/>
          <w:b/>
        </w:rPr>
        <w:t>LA granty (</w:t>
      </w:r>
      <w:proofErr w:type="spellStart"/>
      <w:r w:rsidRPr="00437554">
        <w:rPr>
          <w:rFonts w:ascii="Calibri" w:hAnsi="Calibri"/>
          <w:b/>
        </w:rPr>
        <w:t>Lead</w:t>
      </w:r>
      <w:proofErr w:type="spellEnd"/>
      <w:r w:rsidRPr="00437554">
        <w:rPr>
          <w:rFonts w:ascii="Calibri" w:hAnsi="Calibri"/>
          <w:b/>
        </w:rPr>
        <w:t xml:space="preserve"> </w:t>
      </w:r>
      <w:proofErr w:type="spellStart"/>
      <w:r w:rsidRPr="00437554">
        <w:rPr>
          <w:rFonts w:ascii="Calibri" w:hAnsi="Calibri"/>
          <w:b/>
        </w:rPr>
        <w:t>Agency</w:t>
      </w:r>
      <w:proofErr w:type="spellEnd"/>
      <w:r w:rsidRPr="00437554">
        <w:rPr>
          <w:rFonts w:ascii="Calibri" w:hAnsi="Calibri"/>
          <w:b/>
        </w:rPr>
        <w:t>)</w:t>
      </w:r>
    </w:p>
    <w:p w:rsidR="00BF7F02" w:rsidRDefault="00B61CDD" w:rsidP="006748C3">
      <w:pPr>
        <w:jc w:val="both"/>
        <w:rPr>
          <w:rFonts w:ascii="Calibri" w:hAnsi="Calibri"/>
        </w:rPr>
      </w:pPr>
      <w:r w:rsidRPr="00B61CDD">
        <w:rPr>
          <w:rFonts w:ascii="Calibri" w:hAnsi="Calibri"/>
        </w:rPr>
        <w:t>Tento typ projektů je zaměřen na podporu mezinárodní spolupráce v základním výzkumu na</w:t>
      </w:r>
      <w:r w:rsidR="00C571D3">
        <w:rPr>
          <w:rFonts w:ascii="Calibri" w:hAnsi="Calibri"/>
        </w:rPr>
        <w:t xml:space="preserve"> </w:t>
      </w:r>
      <w:r w:rsidRPr="00B61CDD">
        <w:rPr>
          <w:rFonts w:ascii="Calibri" w:hAnsi="Calibri"/>
        </w:rPr>
        <w:t>základě podepsaných mezinárodních dohod o spolupráci se zahraničními partnerskými organizacemi. Hodnocení mezinárodních grantových projektů probíhá s využitím principu „</w:t>
      </w:r>
      <w:proofErr w:type="spellStart"/>
      <w:r w:rsidR="00C571D3">
        <w:rPr>
          <w:rFonts w:ascii="Calibri" w:hAnsi="Calibri"/>
        </w:rPr>
        <w:t>l</w:t>
      </w:r>
      <w:r w:rsidRPr="00B61CDD">
        <w:rPr>
          <w:rFonts w:ascii="Calibri" w:hAnsi="Calibri"/>
        </w:rPr>
        <w:t>ead</w:t>
      </w:r>
      <w:proofErr w:type="spellEnd"/>
      <w:r w:rsidRPr="00B61CDD">
        <w:rPr>
          <w:rFonts w:ascii="Calibri" w:hAnsi="Calibri"/>
        </w:rPr>
        <w:t xml:space="preserve"> </w:t>
      </w:r>
      <w:proofErr w:type="spellStart"/>
      <w:r w:rsidR="00C571D3">
        <w:rPr>
          <w:rFonts w:ascii="Calibri" w:hAnsi="Calibri"/>
        </w:rPr>
        <w:t>a</w:t>
      </w:r>
      <w:r w:rsidRPr="00B61CDD">
        <w:rPr>
          <w:rFonts w:ascii="Calibri" w:hAnsi="Calibri"/>
        </w:rPr>
        <w:t>gency</w:t>
      </w:r>
      <w:proofErr w:type="spellEnd"/>
      <w:r w:rsidRPr="00B61CDD">
        <w:rPr>
          <w:rFonts w:ascii="Calibri" w:hAnsi="Calibri"/>
        </w:rPr>
        <w:t>“, tj. na základě dohod mezi agenturami jsou návrhy grantových projektů posuzovány pouze u jedné z národních agentur, druhá výsledky hodnoticího procesu přijímá. GA ČR podporuje tuto skupinu projektů od roku 2015.</w:t>
      </w:r>
    </w:p>
    <w:sectPr w:rsidR="00BF7F02" w:rsidSect="00CC68D4">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0D" w:rsidRDefault="00DA540D" w:rsidP="00C51371">
      <w:r>
        <w:separator/>
      </w:r>
    </w:p>
  </w:endnote>
  <w:endnote w:type="continuationSeparator" w:id="0">
    <w:p w:rsidR="00DA540D" w:rsidRDefault="00DA540D" w:rsidP="00C51371">
      <w:r>
        <w:continuationSeparator/>
      </w:r>
    </w:p>
  </w:endnote>
  <w:endnote w:type="continuationNotice" w:id="1">
    <w:p w:rsidR="000424FF" w:rsidRDefault="00042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41" w:rsidRDefault="00A820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56147"/>
      <w:docPartObj>
        <w:docPartGallery w:val="Page Numbers (Bottom of Page)"/>
        <w:docPartUnique/>
      </w:docPartObj>
    </w:sdtPr>
    <w:sdtEndPr>
      <w:rPr>
        <w:rFonts w:ascii="Calibri" w:hAnsi="Calibri"/>
      </w:rPr>
    </w:sdtEndPr>
    <w:sdtContent>
      <w:p w:rsidR="0024292D" w:rsidRPr="00111C7F" w:rsidRDefault="0024292D">
        <w:pPr>
          <w:pStyle w:val="Zpat"/>
          <w:jc w:val="center"/>
          <w:rPr>
            <w:rFonts w:ascii="Calibri" w:hAnsi="Calibri"/>
          </w:rPr>
        </w:pPr>
        <w:r w:rsidRPr="00111C7F">
          <w:rPr>
            <w:rFonts w:ascii="Calibri" w:hAnsi="Calibri"/>
          </w:rPr>
          <w:fldChar w:fldCharType="begin"/>
        </w:r>
        <w:r w:rsidRPr="00111C7F">
          <w:rPr>
            <w:rFonts w:ascii="Calibri" w:hAnsi="Calibri"/>
          </w:rPr>
          <w:instrText>PAGE   \* MERGEFORMAT</w:instrText>
        </w:r>
        <w:r w:rsidRPr="00111C7F">
          <w:rPr>
            <w:rFonts w:ascii="Calibri" w:hAnsi="Calibri"/>
          </w:rPr>
          <w:fldChar w:fldCharType="separate"/>
        </w:r>
        <w:r w:rsidR="00A82041">
          <w:rPr>
            <w:rFonts w:ascii="Calibri" w:hAnsi="Calibri"/>
            <w:noProof/>
          </w:rPr>
          <w:t>19</w:t>
        </w:r>
        <w:r w:rsidRPr="00111C7F">
          <w:rPr>
            <w:rFonts w:ascii="Calibri" w:hAnsi="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41" w:rsidRDefault="00A820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0D" w:rsidRDefault="00DA540D" w:rsidP="00C51371">
      <w:r>
        <w:separator/>
      </w:r>
    </w:p>
  </w:footnote>
  <w:footnote w:type="continuationSeparator" w:id="0">
    <w:p w:rsidR="00DA540D" w:rsidRDefault="00DA540D" w:rsidP="00C51371">
      <w:r>
        <w:continuationSeparator/>
      </w:r>
    </w:p>
  </w:footnote>
  <w:footnote w:type="continuationNotice" w:id="1">
    <w:p w:rsidR="000424FF" w:rsidRDefault="000424FF"/>
  </w:footnote>
  <w:footnote w:id="2">
    <w:p w:rsidR="0024292D" w:rsidRPr="008F5E6A" w:rsidRDefault="0024292D" w:rsidP="00586F68">
      <w:pPr>
        <w:pStyle w:val="Textpoznpodarou"/>
        <w:ind w:left="284" w:hanging="284"/>
        <w:jc w:val="both"/>
        <w:rPr>
          <w:rStyle w:val="Znakapoznpodarou"/>
          <w:rFonts w:ascii="Calibri" w:hAnsi="Calibri" w:cs="Calibri"/>
        </w:rPr>
      </w:pPr>
      <w:r w:rsidRPr="008F5E6A">
        <w:rPr>
          <w:rStyle w:val="Znakapoznpodarou"/>
          <w:rFonts w:ascii="Calibri" w:hAnsi="Calibri" w:cs="Calibri"/>
        </w:rPr>
        <w:footnoteRef/>
      </w:r>
      <w:r w:rsidRPr="008F5E6A">
        <w:rPr>
          <w:rFonts w:ascii="Calibri" w:hAnsi="Calibri" w:cs="Calibri"/>
        </w:rPr>
        <w:tab/>
        <w:t>Zákon č. 130/2002 Sb., o podpoře výzkumu, experimentálního vývoje a inovací z veřejných prostředků a o změně některých souvisejících zákonů (zákon o podpoře výzkumu, experimentálního vývoje a inovací).</w:t>
      </w:r>
    </w:p>
  </w:footnote>
  <w:footnote w:id="3">
    <w:p w:rsidR="0024292D" w:rsidRPr="008F5E6A" w:rsidRDefault="0024292D" w:rsidP="00586F68">
      <w:pPr>
        <w:pStyle w:val="Textpoznpodarou"/>
        <w:ind w:left="284" w:hanging="284"/>
        <w:jc w:val="both"/>
        <w:rPr>
          <w:rFonts w:ascii="Calibri" w:hAnsi="Calibri" w:cs="Calibri"/>
        </w:rPr>
      </w:pPr>
      <w:r w:rsidRPr="008F5E6A">
        <w:rPr>
          <w:rStyle w:val="Znakapoznpodarou"/>
          <w:rFonts w:ascii="Calibri" w:hAnsi="Calibri" w:cs="Calibri"/>
        </w:rPr>
        <w:footnoteRef/>
      </w:r>
      <w:r w:rsidRPr="008F5E6A">
        <w:rPr>
          <w:rFonts w:ascii="Calibri" w:hAnsi="Calibri" w:cs="Calibri"/>
        </w:rPr>
        <w:tab/>
        <w:t>Základní výzkum byl v kontrolovaném období zákonem č. 130/2002 Sb. definován jako teoretická nebo experimentální práce prováděná zejména za účelem získání nových vědomostí o základních principech jevů nebo pozorovatelných skutečností, která není primárně zaměřena na uplatnění nebo využití v praxi. S účinností od</w:t>
      </w:r>
      <w:r>
        <w:rPr>
          <w:rFonts w:ascii="Calibri" w:hAnsi="Calibri" w:cs="Calibri"/>
        </w:rPr>
        <w:t xml:space="preserve"> </w:t>
      </w:r>
      <w:r w:rsidRPr="008F5E6A">
        <w:rPr>
          <w:rFonts w:ascii="Calibri" w:hAnsi="Calibri" w:cs="Calibri"/>
        </w:rPr>
        <w:t>2. 7. 2016 se základním výzkumem rozumí experimentální nebo teoretická práce vykonávaná především za</w:t>
      </w:r>
      <w:r>
        <w:rPr>
          <w:rFonts w:ascii="Calibri" w:hAnsi="Calibri" w:cs="Calibri"/>
        </w:rPr>
        <w:t xml:space="preserve"> </w:t>
      </w:r>
      <w:r w:rsidRPr="008F5E6A">
        <w:rPr>
          <w:rFonts w:ascii="Calibri" w:hAnsi="Calibri" w:cs="Calibri"/>
        </w:rPr>
        <w:t>účelem získání nových poznatků o základních principech jevů a pozorovatelných skutečností, která není zaměřena na přímé komerční uplatnění nebo využití.</w:t>
      </w:r>
    </w:p>
  </w:footnote>
  <w:footnote w:id="4">
    <w:p w:rsidR="0024292D" w:rsidRPr="008F5E6A" w:rsidRDefault="0024292D" w:rsidP="00586F68">
      <w:pPr>
        <w:pStyle w:val="Textpoznpodarou"/>
        <w:ind w:left="284" w:hanging="284"/>
        <w:rPr>
          <w:rFonts w:ascii="Calibri" w:hAnsi="Calibri" w:cs="Calibri"/>
        </w:rPr>
      </w:pPr>
      <w:r w:rsidRPr="008F5E6A">
        <w:rPr>
          <w:rStyle w:val="Znakapoznpodarou"/>
          <w:rFonts w:ascii="Calibri" w:hAnsi="Calibri" w:cs="Calibri"/>
        </w:rPr>
        <w:footnoteRef/>
      </w:r>
      <w:r w:rsidRPr="008F5E6A">
        <w:rPr>
          <w:rFonts w:ascii="Calibri" w:hAnsi="Calibri" w:cs="Calibri"/>
        </w:rPr>
        <w:tab/>
        <w:t>Aplikovaný výzkum, experimentální vývoj a realizace jejich výsledků v inovacích.</w:t>
      </w:r>
    </w:p>
  </w:footnote>
  <w:footnote w:id="5">
    <w:p w:rsidR="0024292D" w:rsidRPr="008F5E6A" w:rsidRDefault="0024292D" w:rsidP="00586F68">
      <w:pPr>
        <w:pStyle w:val="Textpoznpodarou"/>
        <w:ind w:left="284" w:hanging="284"/>
        <w:jc w:val="both"/>
        <w:rPr>
          <w:rFonts w:ascii="Calibri" w:hAnsi="Calibri" w:cs="Calibri"/>
        </w:rPr>
      </w:pPr>
      <w:r w:rsidRPr="008F5E6A">
        <w:rPr>
          <w:rStyle w:val="Znakapoznpodarou"/>
          <w:rFonts w:ascii="Calibri" w:hAnsi="Calibri" w:cs="Calibri"/>
        </w:rPr>
        <w:footnoteRef/>
      </w:r>
      <w:r w:rsidRPr="008F5E6A">
        <w:rPr>
          <w:rFonts w:ascii="Calibri" w:hAnsi="Calibri" w:cs="Calibri"/>
        </w:rPr>
        <w:tab/>
        <w:t>Orientovaný základní výzkum je definován v</w:t>
      </w:r>
      <w:r>
        <w:rPr>
          <w:rFonts w:ascii="Calibri" w:hAnsi="Calibri" w:cs="Calibri"/>
        </w:rPr>
        <w:t>e strategickém dokumentu</w:t>
      </w:r>
      <w:r w:rsidRPr="008F5E6A">
        <w:rPr>
          <w:rFonts w:ascii="Calibri" w:hAnsi="Calibri" w:cs="Calibri"/>
        </w:rPr>
        <w:t xml:space="preserve"> </w:t>
      </w:r>
      <w:r w:rsidRPr="0024292D">
        <w:rPr>
          <w:rFonts w:ascii="Calibri" w:hAnsi="Calibri" w:cs="Calibri"/>
          <w:i/>
        </w:rPr>
        <w:t>Národní priority orientovaného výzkumu, experimentálního vývoje a inovací</w:t>
      </w:r>
      <w:r w:rsidRPr="008F5E6A">
        <w:rPr>
          <w:rFonts w:ascii="Calibri" w:hAnsi="Calibri" w:cs="Calibri"/>
        </w:rPr>
        <w:t xml:space="preserve">. Orientovaný základní výzkum </w:t>
      </w:r>
      <w:r>
        <w:rPr>
          <w:rFonts w:ascii="Calibri" w:hAnsi="Calibri" w:cs="Calibri"/>
        </w:rPr>
        <w:t>se</w:t>
      </w:r>
      <w:r w:rsidRPr="008F5E6A">
        <w:rPr>
          <w:rFonts w:ascii="Calibri" w:hAnsi="Calibri" w:cs="Calibri"/>
        </w:rPr>
        <w:t xml:space="preserve"> provádí s očekáváním získání nových poznatků, které vytvoří širokou znalostní základnu pro řešení současných nebo očekávaných problémů, využití současných nebo očekávaných příležitostí.</w:t>
      </w:r>
    </w:p>
  </w:footnote>
  <w:footnote w:id="6">
    <w:p w:rsidR="0024292D" w:rsidRDefault="0024292D" w:rsidP="00586F68">
      <w:pPr>
        <w:pStyle w:val="Textpoznpodarou"/>
        <w:ind w:left="284" w:hanging="284"/>
      </w:pPr>
      <w:r>
        <w:rPr>
          <w:rStyle w:val="Znakapoznpodarou"/>
        </w:rPr>
        <w:footnoteRef/>
      </w:r>
      <w:r>
        <w:t xml:space="preserve"> </w:t>
      </w:r>
      <w:r>
        <w:tab/>
      </w:r>
      <w:r w:rsidRPr="004B02AA">
        <w:rPr>
          <w:rFonts w:asciiTheme="minorHAnsi" w:hAnsiTheme="minorHAnsi" w:cstheme="minorHAnsi"/>
        </w:rPr>
        <w:t>Finanční kontrola dle</w:t>
      </w:r>
      <w:r>
        <w:rPr>
          <w:rFonts w:asciiTheme="minorHAnsi" w:hAnsiTheme="minorHAnsi" w:cstheme="minorHAnsi"/>
        </w:rPr>
        <w:t xml:space="preserve"> ustanovení</w:t>
      </w:r>
      <w:r w:rsidRPr="004B02AA">
        <w:rPr>
          <w:rFonts w:asciiTheme="minorHAnsi" w:hAnsiTheme="minorHAnsi" w:cstheme="minorHAnsi"/>
        </w:rPr>
        <w:t xml:space="preserve"> § 13 odst. 3 zákona.</w:t>
      </w:r>
    </w:p>
  </w:footnote>
  <w:footnote w:id="7">
    <w:p w:rsidR="0024292D" w:rsidRPr="00552726" w:rsidRDefault="0024292D" w:rsidP="00586F68">
      <w:pPr>
        <w:pStyle w:val="Textpoznpodarou"/>
        <w:ind w:left="284" w:hanging="284"/>
        <w:jc w:val="both"/>
        <w:rPr>
          <w:rFonts w:asciiTheme="minorHAnsi" w:hAnsiTheme="minorHAnsi"/>
        </w:rPr>
      </w:pPr>
      <w:r w:rsidRPr="00552726">
        <w:rPr>
          <w:rStyle w:val="Znakapoznpodarou"/>
          <w:rFonts w:asciiTheme="minorHAnsi" w:hAnsiTheme="minorHAnsi"/>
        </w:rPr>
        <w:footnoteRef/>
      </w:r>
      <w:r w:rsidRPr="00552726">
        <w:rPr>
          <w:rFonts w:asciiTheme="minorHAnsi" w:hAnsiTheme="minorHAnsi"/>
        </w:rPr>
        <w:t xml:space="preserve"> </w:t>
      </w:r>
      <w:r>
        <w:rPr>
          <w:rFonts w:asciiTheme="minorHAnsi" w:hAnsiTheme="minorHAnsi"/>
        </w:rPr>
        <w:t xml:space="preserve"> </w:t>
      </w:r>
      <w:r>
        <w:rPr>
          <w:rFonts w:asciiTheme="minorHAnsi" w:hAnsiTheme="minorHAnsi"/>
        </w:rPr>
        <w:tab/>
      </w:r>
      <w:r w:rsidRPr="00552726">
        <w:rPr>
          <w:rFonts w:asciiTheme="minorHAnsi" w:hAnsiTheme="minorHAnsi" w:cstheme="minorHAnsi"/>
        </w:rPr>
        <w:t>Zákon č. 300/1992 Sb., o státní podpoře výzkumu a vývoje</w:t>
      </w:r>
      <w:r>
        <w:rPr>
          <w:rFonts w:asciiTheme="minorHAnsi" w:hAnsiTheme="minorHAnsi" w:cstheme="minorHAnsi"/>
        </w:rPr>
        <w:t>.</w:t>
      </w:r>
    </w:p>
  </w:footnote>
  <w:footnote w:id="8">
    <w:p w:rsidR="0024292D" w:rsidRPr="00552726" w:rsidRDefault="0024292D" w:rsidP="00586F68">
      <w:pPr>
        <w:pStyle w:val="Textpoznpodarou"/>
        <w:ind w:left="284" w:hanging="284"/>
        <w:rPr>
          <w:rFonts w:asciiTheme="minorHAnsi" w:hAnsiTheme="minorHAnsi"/>
        </w:rPr>
      </w:pPr>
      <w:r w:rsidRPr="00552726">
        <w:rPr>
          <w:rStyle w:val="Znakapoznpodarou"/>
          <w:rFonts w:asciiTheme="minorHAnsi" w:hAnsiTheme="minorHAnsi"/>
        </w:rPr>
        <w:footnoteRef/>
      </w:r>
      <w:r w:rsidRPr="00552726">
        <w:rPr>
          <w:rFonts w:asciiTheme="minorHAnsi" w:hAnsiTheme="minorHAnsi"/>
        </w:rPr>
        <w:t xml:space="preserve"> </w:t>
      </w:r>
      <w:r>
        <w:rPr>
          <w:rFonts w:asciiTheme="minorHAnsi" w:hAnsiTheme="minorHAnsi"/>
        </w:rPr>
        <w:tab/>
        <w:t>V</w:t>
      </w:r>
      <w:r w:rsidRPr="00552726">
        <w:rPr>
          <w:rFonts w:asciiTheme="minorHAnsi" w:hAnsiTheme="minorHAnsi" w:cstheme="minorHAnsi"/>
        </w:rPr>
        <w:t>ědy o neživé přírodě, technické vědy, zemědělské a biologicko-environmentální vědy, lékařské a biologické vědy, společenské a humanitní vědy</w:t>
      </w:r>
      <w:r>
        <w:rPr>
          <w:rFonts w:asciiTheme="minorHAnsi" w:hAnsiTheme="minorHAnsi" w:cstheme="minorHAnsi"/>
        </w:rPr>
        <w:t>.</w:t>
      </w:r>
    </w:p>
  </w:footnote>
  <w:footnote w:id="9">
    <w:p w:rsidR="0024292D" w:rsidRPr="00552726" w:rsidRDefault="0024292D" w:rsidP="00586F68">
      <w:pPr>
        <w:pStyle w:val="Textpoznpodarou"/>
        <w:ind w:left="284" w:hanging="284"/>
        <w:jc w:val="both"/>
        <w:rPr>
          <w:rFonts w:asciiTheme="minorHAnsi" w:hAnsiTheme="minorHAnsi"/>
        </w:rPr>
      </w:pPr>
      <w:r w:rsidRPr="00552726">
        <w:rPr>
          <w:rStyle w:val="Znakapoznpodarou"/>
          <w:rFonts w:asciiTheme="minorHAnsi" w:hAnsiTheme="minorHAnsi"/>
        </w:rPr>
        <w:footnoteRef/>
      </w:r>
      <w:r>
        <w:rPr>
          <w:rFonts w:asciiTheme="minorHAnsi" w:hAnsiTheme="minorHAnsi"/>
        </w:rPr>
        <w:t xml:space="preserve"> </w:t>
      </w:r>
      <w:r>
        <w:rPr>
          <w:rFonts w:asciiTheme="minorHAnsi" w:hAnsiTheme="minorHAnsi"/>
        </w:rPr>
        <w:tab/>
        <w:t>Z</w:t>
      </w:r>
      <w:r w:rsidRPr="00552726">
        <w:rPr>
          <w:rFonts w:asciiTheme="minorHAnsi" w:hAnsiTheme="minorHAnsi" w:cstheme="minorHAnsi"/>
        </w:rPr>
        <w:t>ákon č. 110/2009 Sb., kterým se mění zákon č. 130/2002 Sb., o podpoře výzkumu a vývoje z veřejných prostředků a o změně některých souvisejících zákonů (zákon o podpoře výzkumu a vývoje)</w:t>
      </w:r>
      <w:r>
        <w:rPr>
          <w:rFonts w:asciiTheme="minorHAnsi" w:hAnsiTheme="minorHAnsi" w:cstheme="minorHAnsi"/>
        </w:rPr>
        <w:t>.</w:t>
      </w:r>
    </w:p>
  </w:footnote>
  <w:footnote w:id="10">
    <w:p w:rsidR="0024292D" w:rsidRPr="00586F68" w:rsidRDefault="0024292D" w:rsidP="00586F68">
      <w:pPr>
        <w:pStyle w:val="Textpoznpodarou"/>
        <w:ind w:left="284" w:hanging="284"/>
        <w:jc w:val="both"/>
        <w:rPr>
          <w:rFonts w:asciiTheme="minorHAnsi" w:hAnsiTheme="minorHAnsi" w:cstheme="minorHAnsi"/>
        </w:rPr>
      </w:pPr>
      <w:r w:rsidRPr="00586F68">
        <w:rPr>
          <w:rStyle w:val="Znakapoznpodarou"/>
          <w:rFonts w:asciiTheme="minorHAnsi" w:hAnsiTheme="minorHAnsi" w:cstheme="minorHAnsi"/>
        </w:rPr>
        <w:footnoteRef/>
      </w:r>
      <w:r>
        <w:rPr>
          <w:rFonts w:asciiTheme="minorHAnsi" w:hAnsiTheme="minorHAnsi" w:cstheme="minorHAnsi"/>
        </w:rPr>
        <w:tab/>
      </w:r>
      <w:r w:rsidRPr="00586F68">
        <w:rPr>
          <w:rFonts w:asciiTheme="minorHAnsi" w:hAnsiTheme="minorHAnsi" w:cstheme="minorHAnsi"/>
        </w:rPr>
        <w:t>Impaktované periodikum je periodikum s přiděleným impaktním faktorem, což je podíl množství citací článků z určitého časopisu v daném roce, které byly vydány v předchozích dvou letech, k počtu všech publikovaných článků v časopise v předchozích dvou letech. Čím vyšší impaktní faktor, tím je v daném oboru periodikum prestižnější. Impaktovaná periodika jsou obecně považována za prestižnější než neimpaktovaná.</w:t>
      </w:r>
    </w:p>
  </w:footnote>
  <w:footnote w:id="11">
    <w:p w:rsidR="0024292D" w:rsidRPr="00586F68" w:rsidRDefault="0024292D" w:rsidP="00586F68">
      <w:pPr>
        <w:pStyle w:val="Textpoznpodarou"/>
        <w:ind w:left="284" w:hanging="284"/>
        <w:jc w:val="both"/>
        <w:rPr>
          <w:rFonts w:asciiTheme="minorHAnsi" w:hAnsiTheme="minorHAnsi" w:cstheme="minorHAnsi"/>
        </w:rPr>
      </w:pPr>
      <w:r w:rsidRPr="00586F68">
        <w:rPr>
          <w:rStyle w:val="Znakapoznpodarou"/>
          <w:rFonts w:asciiTheme="minorHAnsi" w:hAnsiTheme="minorHAnsi" w:cstheme="minorHAnsi"/>
        </w:rPr>
        <w:footnoteRef/>
      </w:r>
      <w:r w:rsidRPr="00586F68">
        <w:rPr>
          <w:rFonts w:asciiTheme="minorHAnsi" w:hAnsiTheme="minorHAnsi" w:cstheme="minorHAnsi"/>
        </w:rPr>
        <w:t xml:space="preserve"> </w:t>
      </w:r>
      <w:r>
        <w:rPr>
          <w:rFonts w:asciiTheme="minorHAnsi" w:hAnsiTheme="minorHAnsi" w:cstheme="minorHAnsi"/>
        </w:rPr>
        <w:tab/>
      </w:r>
      <w:r w:rsidRPr="00586F68">
        <w:rPr>
          <w:rFonts w:asciiTheme="minorHAnsi" w:hAnsiTheme="minorHAnsi" w:cstheme="minorHAnsi"/>
          <w:color w:val="000000"/>
        </w:rPr>
        <w:t>Výsledky aplikovaného výzkumu</w:t>
      </w:r>
      <w:r w:rsidRPr="00586F68">
        <w:rPr>
          <w:rFonts w:asciiTheme="minorHAnsi" w:hAnsiTheme="minorHAnsi" w:cstheme="minorHAnsi"/>
        </w:rPr>
        <w:t xml:space="preserve"> – rovněž základní výzkum může vést k výsledku jako je např. patent, prototyp, funkční vzorek apod.</w:t>
      </w:r>
    </w:p>
  </w:footnote>
  <w:footnote w:id="12">
    <w:p w:rsidR="0024292D" w:rsidRPr="00552726" w:rsidRDefault="0024292D" w:rsidP="00586F68">
      <w:pPr>
        <w:pStyle w:val="Textpoznpodarou"/>
        <w:ind w:left="284" w:hanging="284"/>
        <w:jc w:val="both"/>
        <w:rPr>
          <w:rFonts w:asciiTheme="minorHAnsi" w:hAnsiTheme="minorHAnsi"/>
        </w:rPr>
      </w:pPr>
      <w:r w:rsidRPr="00552726">
        <w:rPr>
          <w:rStyle w:val="Znakapoznpodarou"/>
          <w:rFonts w:asciiTheme="minorHAnsi" w:hAnsiTheme="minorHAnsi"/>
        </w:rPr>
        <w:footnoteRef/>
      </w:r>
      <w:r w:rsidRPr="00552726">
        <w:rPr>
          <w:rFonts w:asciiTheme="minorHAnsi" w:hAnsiTheme="minorHAnsi"/>
        </w:rPr>
        <w:t xml:space="preserve"> </w:t>
      </w:r>
      <w:r>
        <w:rPr>
          <w:rFonts w:asciiTheme="minorHAnsi" w:hAnsiTheme="minorHAnsi"/>
        </w:rPr>
        <w:tab/>
      </w:r>
      <w:r w:rsidRPr="00552726">
        <w:rPr>
          <w:rFonts w:asciiTheme="minorHAnsi" w:hAnsiTheme="minorHAnsi" w:cstheme="minorHAnsi"/>
        </w:rPr>
        <w:t>Hraničním výzkumem se rozumí výzkum na hranici lidského poznání bez ohledu na to, zda je základní, či aplikovaný. Jedná se o výzkum originální, často interdisciplinární povahy. Vědci při jeho uskutečňování používají nových, nekonvenčních metod a přístupů, mají jasnou ambici překročit hranice současného poznání. Projekty jsou rizikové, ale mohou výrazně ovlivnit daný obor, posunout jeho hranice či otevřít zcela nové výzkumné perspektivy nebo směry.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41" w:rsidRDefault="00A820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2D" w:rsidRPr="00EE0535" w:rsidRDefault="0024292D" w:rsidP="00EE0535">
    <w:pPr>
      <w:pStyle w:val="Zhlav"/>
      <w:rPr>
        <w:rFonts w:ascii="Calibri" w:hAnsi="Calibri" w:cs="Calibri"/>
        <w:color w:val="FFFFFF" w:themeColor="background1"/>
      </w:rPr>
    </w:pPr>
  </w:p>
  <w:p w:rsidR="0024292D" w:rsidRPr="00EE0535" w:rsidRDefault="0024292D" w:rsidP="00EE0535">
    <w:pPr>
      <w:pStyle w:val="Zhlav"/>
      <w:rPr>
        <w:rFonts w:ascii="Calibri" w:hAnsi="Calibri" w:cs="Calibri"/>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41" w:rsidRDefault="00A820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F5"/>
    <w:multiLevelType w:val="hybridMultilevel"/>
    <w:tmpl w:val="A8F4282E"/>
    <w:lvl w:ilvl="0" w:tplc="0405000B">
      <w:start w:val="1"/>
      <w:numFmt w:val="bullet"/>
      <w:lvlText w:val=""/>
      <w:lvlJc w:val="left"/>
      <w:pPr>
        <w:ind w:left="1500" w:hanging="360"/>
      </w:pPr>
      <w:rPr>
        <w:rFonts w:ascii="Wingdings" w:hAnsi="Wingdings" w:hint="default"/>
      </w:rPr>
    </w:lvl>
    <w:lvl w:ilvl="1" w:tplc="CDA00F48">
      <w:numFmt w:val="bullet"/>
      <w:lvlText w:val="•"/>
      <w:lvlJc w:val="left"/>
      <w:pPr>
        <w:ind w:left="2565" w:hanging="705"/>
      </w:pPr>
      <w:rPr>
        <w:rFonts w:ascii="Calibri" w:eastAsia="Times New Roman" w:hAnsi="Calibri" w:cstheme="minorHAnsi"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 w15:restartNumberingAfterBreak="0">
    <w:nsid w:val="083E5069"/>
    <w:multiLevelType w:val="hybridMultilevel"/>
    <w:tmpl w:val="41DAD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B52596"/>
    <w:multiLevelType w:val="hybridMultilevel"/>
    <w:tmpl w:val="26B667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9497D"/>
    <w:multiLevelType w:val="hybridMultilevel"/>
    <w:tmpl w:val="62A498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851A9C"/>
    <w:multiLevelType w:val="hybridMultilevel"/>
    <w:tmpl w:val="50148DB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42008"/>
    <w:multiLevelType w:val="hybridMultilevel"/>
    <w:tmpl w:val="43BC0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8205DE"/>
    <w:multiLevelType w:val="hybridMultilevel"/>
    <w:tmpl w:val="D7602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0C2C71"/>
    <w:multiLevelType w:val="hybridMultilevel"/>
    <w:tmpl w:val="393E9204"/>
    <w:lvl w:ilvl="0" w:tplc="04050001">
      <w:start w:val="1"/>
      <w:numFmt w:val="bullet"/>
      <w:lvlText w:val=""/>
      <w:lvlJc w:val="left"/>
      <w:pPr>
        <w:ind w:left="1500" w:hanging="360"/>
      </w:pPr>
      <w:rPr>
        <w:rFonts w:ascii="Symbol" w:hAnsi="Symbol" w:hint="default"/>
      </w:rPr>
    </w:lvl>
    <w:lvl w:ilvl="1" w:tplc="CDA00F48">
      <w:numFmt w:val="bullet"/>
      <w:lvlText w:val="•"/>
      <w:lvlJc w:val="left"/>
      <w:pPr>
        <w:ind w:left="2565" w:hanging="705"/>
      </w:pPr>
      <w:rPr>
        <w:rFonts w:ascii="Calibri" w:eastAsia="Times New Roman" w:hAnsi="Calibri" w:cstheme="minorHAnsi"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382B1415"/>
    <w:multiLevelType w:val="hybridMultilevel"/>
    <w:tmpl w:val="6F84A164"/>
    <w:lvl w:ilvl="0" w:tplc="8286AC74">
      <w:numFmt w:val="bullet"/>
      <w:lvlText w:val="-"/>
      <w:lvlJc w:val="left"/>
      <w:pPr>
        <w:ind w:left="720" w:hanging="360"/>
      </w:pPr>
      <w:rPr>
        <w:rFonts w:ascii="Calibri" w:eastAsiaTheme="minorHAnsi" w:hAnsi="Calibri" w:cstheme="minorBidi" w:hint="default"/>
      </w:rPr>
    </w:lvl>
    <w:lvl w:ilvl="1" w:tplc="8C40D43A" w:tentative="1">
      <w:start w:val="1"/>
      <w:numFmt w:val="bullet"/>
      <w:lvlText w:val="o"/>
      <w:lvlJc w:val="left"/>
      <w:pPr>
        <w:ind w:left="1440" w:hanging="360"/>
      </w:pPr>
      <w:rPr>
        <w:rFonts w:ascii="Courier New" w:hAnsi="Courier New" w:cs="Courier New" w:hint="default"/>
      </w:rPr>
    </w:lvl>
    <w:lvl w:ilvl="2" w:tplc="5EF425F8" w:tentative="1">
      <w:start w:val="1"/>
      <w:numFmt w:val="bullet"/>
      <w:lvlText w:val=""/>
      <w:lvlJc w:val="left"/>
      <w:pPr>
        <w:ind w:left="2160" w:hanging="360"/>
      </w:pPr>
      <w:rPr>
        <w:rFonts w:ascii="Wingdings" w:hAnsi="Wingdings" w:hint="default"/>
      </w:rPr>
    </w:lvl>
    <w:lvl w:ilvl="3" w:tplc="06E4A148" w:tentative="1">
      <w:start w:val="1"/>
      <w:numFmt w:val="bullet"/>
      <w:lvlText w:val=""/>
      <w:lvlJc w:val="left"/>
      <w:pPr>
        <w:ind w:left="2880" w:hanging="360"/>
      </w:pPr>
      <w:rPr>
        <w:rFonts w:ascii="Symbol" w:hAnsi="Symbol" w:hint="default"/>
      </w:rPr>
    </w:lvl>
    <w:lvl w:ilvl="4" w:tplc="BB542374" w:tentative="1">
      <w:start w:val="1"/>
      <w:numFmt w:val="bullet"/>
      <w:lvlText w:val="o"/>
      <w:lvlJc w:val="left"/>
      <w:pPr>
        <w:ind w:left="3600" w:hanging="360"/>
      </w:pPr>
      <w:rPr>
        <w:rFonts w:ascii="Courier New" w:hAnsi="Courier New" w:cs="Courier New" w:hint="default"/>
      </w:rPr>
    </w:lvl>
    <w:lvl w:ilvl="5" w:tplc="6B90F7D0" w:tentative="1">
      <w:start w:val="1"/>
      <w:numFmt w:val="bullet"/>
      <w:lvlText w:val=""/>
      <w:lvlJc w:val="left"/>
      <w:pPr>
        <w:ind w:left="4320" w:hanging="360"/>
      </w:pPr>
      <w:rPr>
        <w:rFonts w:ascii="Wingdings" w:hAnsi="Wingdings" w:hint="default"/>
      </w:rPr>
    </w:lvl>
    <w:lvl w:ilvl="6" w:tplc="68B420DE" w:tentative="1">
      <w:start w:val="1"/>
      <w:numFmt w:val="bullet"/>
      <w:lvlText w:val=""/>
      <w:lvlJc w:val="left"/>
      <w:pPr>
        <w:ind w:left="5040" w:hanging="360"/>
      </w:pPr>
      <w:rPr>
        <w:rFonts w:ascii="Symbol" w:hAnsi="Symbol" w:hint="default"/>
      </w:rPr>
    </w:lvl>
    <w:lvl w:ilvl="7" w:tplc="29BA4014" w:tentative="1">
      <w:start w:val="1"/>
      <w:numFmt w:val="bullet"/>
      <w:lvlText w:val="o"/>
      <w:lvlJc w:val="left"/>
      <w:pPr>
        <w:ind w:left="5760" w:hanging="360"/>
      </w:pPr>
      <w:rPr>
        <w:rFonts w:ascii="Courier New" w:hAnsi="Courier New" w:cs="Courier New" w:hint="default"/>
      </w:rPr>
    </w:lvl>
    <w:lvl w:ilvl="8" w:tplc="976228AC" w:tentative="1">
      <w:start w:val="1"/>
      <w:numFmt w:val="bullet"/>
      <w:lvlText w:val=""/>
      <w:lvlJc w:val="left"/>
      <w:pPr>
        <w:ind w:left="6480" w:hanging="360"/>
      </w:pPr>
      <w:rPr>
        <w:rFonts w:ascii="Wingdings" w:hAnsi="Wingdings" w:hint="default"/>
      </w:rPr>
    </w:lvl>
  </w:abstractNum>
  <w:abstractNum w:abstractNumId="9" w15:restartNumberingAfterBreak="0">
    <w:nsid w:val="3A4B0C35"/>
    <w:multiLevelType w:val="hybridMultilevel"/>
    <w:tmpl w:val="B066E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A17A24"/>
    <w:multiLevelType w:val="hybridMultilevel"/>
    <w:tmpl w:val="1BC49E9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54225A7F"/>
    <w:multiLevelType w:val="hybridMultilevel"/>
    <w:tmpl w:val="D6A4EC42"/>
    <w:lvl w:ilvl="0" w:tplc="145C87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0C1C0E"/>
    <w:multiLevelType w:val="singleLevel"/>
    <w:tmpl w:val="77488E5A"/>
    <w:lvl w:ilvl="0">
      <w:start w:val="1"/>
      <w:numFmt w:val="decimal"/>
      <w:pStyle w:val="Styl1"/>
      <w:lvlText w:val="%1)"/>
      <w:lvlJc w:val="left"/>
      <w:pPr>
        <w:tabs>
          <w:tab w:val="num" w:pos="283"/>
        </w:tabs>
        <w:ind w:left="5812" w:hanging="283"/>
      </w:pPr>
      <w:rPr>
        <w:b/>
        <w:i w:val="0"/>
        <w:color w:val="auto"/>
      </w:rPr>
    </w:lvl>
  </w:abstractNum>
  <w:abstractNum w:abstractNumId="13" w15:restartNumberingAfterBreak="0">
    <w:nsid w:val="6B1D1445"/>
    <w:multiLevelType w:val="hybridMultilevel"/>
    <w:tmpl w:val="8CD43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C76937"/>
    <w:multiLevelType w:val="hybridMultilevel"/>
    <w:tmpl w:val="18189A5E"/>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EF672D"/>
    <w:multiLevelType w:val="hybridMultilevel"/>
    <w:tmpl w:val="F496CDC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3"/>
  </w:num>
  <w:num w:numId="6">
    <w:abstractNumId w:val="14"/>
  </w:num>
  <w:num w:numId="7">
    <w:abstractNumId w:val="10"/>
  </w:num>
  <w:num w:numId="8">
    <w:abstractNumId w:val="6"/>
  </w:num>
  <w:num w:numId="9">
    <w:abstractNumId w:val="9"/>
  </w:num>
  <w:num w:numId="10">
    <w:abstractNumId w:val="8"/>
  </w:num>
  <w:num w:numId="11">
    <w:abstractNumId w:val="5"/>
  </w:num>
  <w:num w:numId="12">
    <w:abstractNumId w:val="13"/>
  </w:num>
  <w:num w:numId="13">
    <w:abstractNumId w:val="2"/>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BD"/>
    <w:rsid w:val="00010D18"/>
    <w:rsid w:val="000117B5"/>
    <w:rsid w:val="00012064"/>
    <w:rsid w:val="000149DC"/>
    <w:rsid w:val="00017D9E"/>
    <w:rsid w:val="00025DCE"/>
    <w:rsid w:val="00027CA1"/>
    <w:rsid w:val="00031995"/>
    <w:rsid w:val="000424FF"/>
    <w:rsid w:val="00044C21"/>
    <w:rsid w:val="000460E8"/>
    <w:rsid w:val="0006045A"/>
    <w:rsid w:val="00063EC0"/>
    <w:rsid w:val="000648D1"/>
    <w:rsid w:val="000674B1"/>
    <w:rsid w:val="00072258"/>
    <w:rsid w:val="00072979"/>
    <w:rsid w:val="00073158"/>
    <w:rsid w:val="0007449E"/>
    <w:rsid w:val="000751D6"/>
    <w:rsid w:val="00077A78"/>
    <w:rsid w:val="000841FE"/>
    <w:rsid w:val="0009295F"/>
    <w:rsid w:val="000A3110"/>
    <w:rsid w:val="000A7D18"/>
    <w:rsid w:val="000B22BD"/>
    <w:rsid w:val="000B62F3"/>
    <w:rsid w:val="000E6449"/>
    <w:rsid w:val="000F19E8"/>
    <w:rsid w:val="000F5A7F"/>
    <w:rsid w:val="0010015E"/>
    <w:rsid w:val="001043A9"/>
    <w:rsid w:val="00105E13"/>
    <w:rsid w:val="00111C7F"/>
    <w:rsid w:val="00112B29"/>
    <w:rsid w:val="00113E8E"/>
    <w:rsid w:val="00124490"/>
    <w:rsid w:val="00127586"/>
    <w:rsid w:val="00133C9E"/>
    <w:rsid w:val="00136D4C"/>
    <w:rsid w:val="00137E94"/>
    <w:rsid w:val="00142731"/>
    <w:rsid w:val="00153171"/>
    <w:rsid w:val="001634B7"/>
    <w:rsid w:val="00164880"/>
    <w:rsid w:val="00167A55"/>
    <w:rsid w:val="0017336A"/>
    <w:rsid w:val="00176A85"/>
    <w:rsid w:val="001869B9"/>
    <w:rsid w:val="00193373"/>
    <w:rsid w:val="00193DB5"/>
    <w:rsid w:val="001956B7"/>
    <w:rsid w:val="001A6C40"/>
    <w:rsid w:val="001C228E"/>
    <w:rsid w:val="001C4808"/>
    <w:rsid w:val="001C68AB"/>
    <w:rsid w:val="001C7EA1"/>
    <w:rsid w:val="001D5234"/>
    <w:rsid w:val="001E745A"/>
    <w:rsid w:val="001E7A22"/>
    <w:rsid w:val="001E7B03"/>
    <w:rsid w:val="00205BE2"/>
    <w:rsid w:val="00214B0C"/>
    <w:rsid w:val="00217249"/>
    <w:rsid w:val="002175F0"/>
    <w:rsid w:val="0024292D"/>
    <w:rsid w:val="00247419"/>
    <w:rsid w:val="002627A4"/>
    <w:rsid w:val="0026309C"/>
    <w:rsid w:val="00280EEB"/>
    <w:rsid w:val="0028153B"/>
    <w:rsid w:val="00281B62"/>
    <w:rsid w:val="00282EC2"/>
    <w:rsid w:val="00291E0D"/>
    <w:rsid w:val="0029400D"/>
    <w:rsid w:val="002A16DD"/>
    <w:rsid w:val="002A1C38"/>
    <w:rsid w:val="002A5309"/>
    <w:rsid w:val="002A62BC"/>
    <w:rsid w:val="002B2C01"/>
    <w:rsid w:val="002B6829"/>
    <w:rsid w:val="002B6FBB"/>
    <w:rsid w:val="002C0E61"/>
    <w:rsid w:val="002C2783"/>
    <w:rsid w:val="002C4E39"/>
    <w:rsid w:val="002D3B6C"/>
    <w:rsid w:val="002E1C82"/>
    <w:rsid w:val="002E5B6C"/>
    <w:rsid w:val="002E799F"/>
    <w:rsid w:val="002F15E7"/>
    <w:rsid w:val="002F6301"/>
    <w:rsid w:val="002F7CF6"/>
    <w:rsid w:val="00300C2F"/>
    <w:rsid w:val="00301F76"/>
    <w:rsid w:val="003024DE"/>
    <w:rsid w:val="00312D2D"/>
    <w:rsid w:val="00320ED4"/>
    <w:rsid w:val="00323885"/>
    <w:rsid w:val="00325C4C"/>
    <w:rsid w:val="003319B7"/>
    <w:rsid w:val="00343419"/>
    <w:rsid w:val="0034425F"/>
    <w:rsid w:val="00372884"/>
    <w:rsid w:val="0037455B"/>
    <w:rsid w:val="00375265"/>
    <w:rsid w:val="0038640B"/>
    <w:rsid w:val="003A3A19"/>
    <w:rsid w:val="003A4259"/>
    <w:rsid w:val="003A5518"/>
    <w:rsid w:val="003C0C47"/>
    <w:rsid w:val="003C15CD"/>
    <w:rsid w:val="003C2479"/>
    <w:rsid w:val="003C7710"/>
    <w:rsid w:val="003D5FC4"/>
    <w:rsid w:val="003D6841"/>
    <w:rsid w:val="003D719E"/>
    <w:rsid w:val="003E6DD3"/>
    <w:rsid w:val="003E74DE"/>
    <w:rsid w:val="003F381F"/>
    <w:rsid w:val="003F3E81"/>
    <w:rsid w:val="003F5CC9"/>
    <w:rsid w:val="003F6DC7"/>
    <w:rsid w:val="00402013"/>
    <w:rsid w:val="00407F68"/>
    <w:rsid w:val="0041547B"/>
    <w:rsid w:val="0042452E"/>
    <w:rsid w:val="00432F57"/>
    <w:rsid w:val="004342AA"/>
    <w:rsid w:val="00437554"/>
    <w:rsid w:val="00442DF3"/>
    <w:rsid w:val="00446247"/>
    <w:rsid w:val="00455F5C"/>
    <w:rsid w:val="00457FC0"/>
    <w:rsid w:val="00466D86"/>
    <w:rsid w:val="00470014"/>
    <w:rsid w:val="004821E6"/>
    <w:rsid w:val="004A0690"/>
    <w:rsid w:val="004A0972"/>
    <w:rsid w:val="004A0A5C"/>
    <w:rsid w:val="004A1DE5"/>
    <w:rsid w:val="004A40F6"/>
    <w:rsid w:val="004A534A"/>
    <w:rsid w:val="004B02AA"/>
    <w:rsid w:val="004C2D8B"/>
    <w:rsid w:val="004C6BB9"/>
    <w:rsid w:val="004D0A07"/>
    <w:rsid w:val="004E73A0"/>
    <w:rsid w:val="004F0CDA"/>
    <w:rsid w:val="004F76A1"/>
    <w:rsid w:val="005069DB"/>
    <w:rsid w:val="00507F01"/>
    <w:rsid w:val="0051099D"/>
    <w:rsid w:val="005115E6"/>
    <w:rsid w:val="00511982"/>
    <w:rsid w:val="0052239F"/>
    <w:rsid w:val="0052327E"/>
    <w:rsid w:val="00533247"/>
    <w:rsid w:val="005344F6"/>
    <w:rsid w:val="00536482"/>
    <w:rsid w:val="005364A1"/>
    <w:rsid w:val="00540EEA"/>
    <w:rsid w:val="005423BF"/>
    <w:rsid w:val="0054704F"/>
    <w:rsid w:val="00552726"/>
    <w:rsid w:val="00564ABA"/>
    <w:rsid w:val="005652A0"/>
    <w:rsid w:val="00575826"/>
    <w:rsid w:val="00576AE1"/>
    <w:rsid w:val="00577BCC"/>
    <w:rsid w:val="005808EF"/>
    <w:rsid w:val="00582A7D"/>
    <w:rsid w:val="00586451"/>
    <w:rsid w:val="00586F68"/>
    <w:rsid w:val="005909F5"/>
    <w:rsid w:val="00597DCF"/>
    <w:rsid w:val="005A2B0C"/>
    <w:rsid w:val="005A2C92"/>
    <w:rsid w:val="005A542D"/>
    <w:rsid w:val="005B36C4"/>
    <w:rsid w:val="005B6E50"/>
    <w:rsid w:val="005C3332"/>
    <w:rsid w:val="005E4C97"/>
    <w:rsid w:val="00603675"/>
    <w:rsid w:val="0060782B"/>
    <w:rsid w:val="00610CB7"/>
    <w:rsid w:val="0061158A"/>
    <w:rsid w:val="00612272"/>
    <w:rsid w:val="006130C0"/>
    <w:rsid w:val="00615363"/>
    <w:rsid w:val="0062183A"/>
    <w:rsid w:val="006219CB"/>
    <w:rsid w:val="00621BA6"/>
    <w:rsid w:val="00622B50"/>
    <w:rsid w:val="0063213E"/>
    <w:rsid w:val="00635D01"/>
    <w:rsid w:val="0063630D"/>
    <w:rsid w:val="00665688"/>
    <w:rsid w:val="00667F95"/>
    <w:rsid w:val="006748C3"/>
    <w:rsid w:val="00680CC9"/>
    <w:rsid w:val="00682782"/>
    <w:rsid w:val="00683D8C"/>
    <w:rsid w:val="00692959"/>
    <w:rsid w:val="00694B5E"/>
    <w:rsid w:val="00696930"/>
    <w:rsid w:val="006A32C6"/>
    <w:rsid w:val="006B0E02"/>
    <w:rsid w:val="006B1703"/>
    <w:rsid w:val="006B1D36"/>
    <w:rsid w:val="006B2256"/>
    <w:rsid w:val="006C0EE9"/>
    <w:rsid w:val="006C1074"/>
    <w:rsid w:val="006C3BB7"/>
    <w:rsid w:val="006D0C92"/>
    <w:rsid w:val="006D247E"/>
    <w:rsid w:val="006D2F74"/>
    <w:rsid w:val="006D3FCE"/>
    <w:rsid w:val="006D4A54"/>
    <w:rsid w:val="006E2022"/>
    <w:rsid w:val="006E3AF3"/>
    <w:rsid w:val="006F66C3"/>
    <w:rsid w:val="00700697"/>
    <w:rsid w:val="00702601"/>
    <w:rsid w:val="0070299B"/>
    <w:rsid w:val="00707844"/>
    <w:rsid w:val="00721B2C"/>
    <w:rsid w:val="007256C7"/>
    <w:rsid w:val="00731865"/>
    <w:rsid w:val="00733088"/>
    <w:rsid w:val="00735C52"/>
    <w:rsid w:val="00737261"/>
    <w:rsid w:val="00737D8D"/>
    <w:rsid w:val="00745E0F"/>
    <w:rsid w:val="007462B7"/>
    <w:rsid w:val="007471DA"/>
    <w:rsid w:val="007474F5"/>
    <w:rsid w:val="00771A84"/>
    <w:rsid w:val="00774495"/>
    <w:rsid w:val="007811CB"/>
    <w:rsid w:val="00782FCD"/>
    <w:rsid w:val="00787640"/>
    <w:rsid w:val="00793682"/>
    <w:rsid w:val="007A2922"/>
    <w:rsid w:val="007B2963"/>
    <w:rsid w:val="007B3E6F"/>
    <w:rsid w:val="007C3CCF"/>
    <w:rsid w:val="007C6CB5"/>
    <w:rsid w:val="007E2DF8"/>
    <w:rsid w:val="007F3050"/>
    <w:rsid w:val="00811059"/>
    <w:rsid w:val="00813D72"/>
    <w:rsid w:val="008209F2"/>
    <w:rsid w:val="00822396"/>
    <w:rsid w:val="008223A4"/>
    <w:rsid w:val="00823F48"/>
    <w:rsid w:val="00825DA6"/>
    <w:rsid w:val="00843E64"/>
    <w:rsid w:val="00847918"/>
    <w:rsid w:val="0085134D"/>
    <w:rsid w:val="00854C1C"/>
    <w:rsid w:val="00861EF9"/>
    <w:rsid w:val="008642B6"/>
    <w:rsid w:val="00864B07"/>
    <w:rsid w:val="00866BF0"/>
    <w:rsid w:val="00875785"/>
    <w:rsid w:val="00877564"/>
    <w:rsid w:val="008A4687"/>
    <w:rsid w:val="008A62B0"/>
    <w:rsid w:val="008B3EC5"/>
    <w:rsid w:val="008B792C"/>
    <w:rsid w:val="008C6F4B"/>
    <w:rsid w:val="008C714A"/>
    <w:rsid w:val="008D446F"/>
    <w:rsid w:val="008D7953"/>
    <w:rsid w:val="008E4C96"/>
    <w:rsid w:val="008E5F3A"/>
    <w:rsid w:val="008E7E7A"/>
    <w:rsid w:val="008F128F"/>
    <w:rsid w:val="008F322D"/>
    <w:rsid w:val="008F469D"/>
    <w:rsid w:val="008F5E6A"/>
    <w:rsid w:val="00907238"/>
    <w:rsid w:val="00916FEE"/>
    <w:rsid w:val="0092269A"/>
    <w:rsid w:val="00922EA0"/>
    <w:rsid w:val="0093705E"/>
    <w:rsid w:val="009432A9"/>
    <w:rsid w:val="00952C8B"/>
    <w:rsid w:val="00957212"/>
    <w:rsid w:val="00961AD6"/>
    <w:rsid w:val="00966BFD"/>
    <w:rsid w:val="00973FCD"/>
    <w:rsid w:val="0097708D"/>
    <w:rsid w:val="00980012"/>
    <w:rsid w:val="00984FBD"/>
    <w:rsid w:val="00990547"/>
    <w:rsid w:val="00991BB0"/>
    <w:rsid w:val="00992450"/>
    <w:rsid w:val="00994DCC"/>
    <w:rsid w:val="009A4CAA"/>
    <w:rsid w:val="009C2644"/>
    <w:rsid w:val="009C5C64"/>
    <w:rsid w:val="009C6C30"/>
    <w:rsid w:val="009D113A"/>
    <w:rsid w:val="009D1980"/>
    <w:rsid w:val="009D498A"/>
    <w:rsid w:val="009D6CEF"/>
    <w:rsid w:val="009D7558"/>
    <w:rsid w:val="009E5B71"/>
    <w:rsid w:val="009F0151"/>
    <w:rsid w:val="009F759B"/>
    <w:rsid w:val="009F7F3A"/>
    <w:rsid w:val="00A016A8"/>
    <w:rsid w:val="00A0770D"/>
    <w:rsid w:val="00A0790C"/>
    <w:rsid w:val="00A11C92"/>
    <w:rsid w:val="00A126E2"/>
    <w:rsid w:val="00A30E3A"/>
    <w:rsid w:val="00A318E0"/>
    <w:rsid w:val="00A415EB"/>
    <w:rsid w:val="00A44085"/>
    <w:rsid w:val="00A531AF"/>
    <w:rsid w:val="00A541D4"/>
    <w:rsid w:val="00A71457"/>
    <w:rsid w:val="00A76947"/>
    <w:rsid w:val="00A82041"/>
    <w:rsid w:val="00A918C8"/>
    <w:rsid w:val="00A9224B"/>
    <w:rsid w:val="00A951BE"/>
    <w:rsid w:val="00AA0E22"/>
    <w:rsid w:val="00AA3B91"/>
    <w:rsid w:val="00AB3E16"/>
    <w:rsid w:val="00AC460D"/>
    <w:rsid w:val="00AC4DC8"/>
    <w:rsid w:val="00AC714C"/>
    <w:rsid w:val="00AD0F83"/>
    <w:rsid w:val="00AE1012"/>
    <w:rsid w:val="00AE1324"/>
    <w:rsid w:val="00AE5A8B"/>
    <w:rsid w:val="00AE5CD6"/>
    <w:rsid w:val="00AE5FE9"/>
    <w:rsid w:val="00B06347"/>
    <w:rsid w:val="00B1114C"/>
    <w:rsid w:val="00B158AF"/>
    <w:rsid w:val="00B1645E"/>
    <w:rsid w:val="00B252A5"/>
    <w:rsid w:val="00B3222C"/>
    <w:rsid w:val="00B35B30"/>
    <w:rsid w:val="00B61CDD"/>
    <w:rsid w:val="00B63EC9"/>
    <w:rsid w:val="00B66B22"/>
    <w:rsid w:val="00B70B51"/>
    <w:rsid w:val="00B80006"/>
    <w:rsid w:val="00B8042E"/>
    <w:rsid w:val="00B87E60"/>
    <w:rsid w:val="00B90558"/>
    <w:rsid w:val="00B91C75"/>
    <w:rsid w:val="00BA2F0E"/>
    <w:rsid w:val="00BA43A1"/>
    <w:rsid w:val="00BA777C"/>
    <w:rsid w:val="00BB6BC7"/>
    <w:rsid w:val="00BB6F99"/>
    <w:rsid w:val="00BB7B09"/>
    <w:rsid w:val="00BC4551"/>
    <w:rsid w:val="00BC51F9"/>
    <w:rsid w:val="00BD159E"/>
    <w:rsid w:val="00BD60E5"/>
    <w:rsid w:val="00BD6EE8"/>
    <w:rsid w:val="00BE1CB9"/>
    <w:rsid w:val="00BE1FEB"/>
    <w:rsid w:val="00BE3C46"/>
    <w:rsid w:val="00BF22AF"/>
    <w:rsid w:val="00BF3E06"/>
    <w:rsid w:val="00BF7F02"/>
    <w:rsid w:val="00C021AB"/>
    <w:rsid w:val="00C03E43"/>
    <w:rsid w:val="00C05C8D"/>
    <w:rsid w:val="00C0656E"/>
    <w:rsid w:val="00C06EA6"/>
    <w:rsid w:val="00C109E2"/>
    <w:rsid w:val="00C172FC"/>
    <w:rsid w:val="00C21C18"/>
    <w:rsid w:val="00C2535C"/>
    <w:rsid w:val="00C31972"/>
    <w:rsid w:val="00C51371"/>
    <w:rsid w:val="00C5439A"/>
    <w:rsid w:val="00C571D3"/>
    <w:rsid w:val="00C60D98"/>
    <w:rsid w:val="00C62E16"/>
    <w:rsid w:val="00C634C8"/>
    <w:rsid w:val="00C6480C"/>
    <w:rsid w:val="00C7060E"/>
    <w:rsid w:val="00C74976"/>
    <w:rsid w:val="00C8080E"/>
    <w:rsid w:val="00C84BDE"/>
    <w:rsid w:val="00C90970"/>
    <w:rsid w:val="00C94080"/>
    <w:rsid w:val="00CA649B"/>
    <w:rsid w:val="00CB1B52"/>
    <w:rsid w:val="00CB3FF6"/>
    <w:rsid w:val="00CB7614"/>
    <w:rsid w:val="00CC3B4D"/>
    <w:rsid w:val="00CC40A3"/>
    <w:rsid w:val="00CC68D4"/>
    <w:rsid w:val="00CD58F2"/>
    <w:rsid w:val="00CE1641"/>
    <w:rsid w:val="00CF3134"/>
    <w:rsid w:val="00CF4E5C"/>
    <w:rsid w:val="00CF622A"/>
    <w:rsid w:val="00D008C9"/>
    <w:rsid w:val="00D02303"/>
    <w:rsid w:val="00D04D5E"/>
    <w:rsid w:val="00D05C06"/>
    <w:rsid w:val="00D11044"/>
    <w:rsid w:val="00D11916"/>
    <w:rsid w:val="00D23F25"/>
    <w:rsid w:val="00D27A5B"/>
    <w:rsid w:val="00D352F9"/>
    <w:rsid w:val="00D43566"/>
    <w:rsid w:val="00D63A33"/>
    <w:rsid w:val="00D66C87"/>
    <w:rsid w:val="00D73F1F"/>
    <w:rsid w:val="00D753B0"/>
    <w:rsid w:val="00D80219"/>
    <w:rsid w:val="00D86CDE"/>
    <w:rsid w:val="00D87EBB"/>
    <w:rsid w:val="00D9210A"/>
    <w:rsid w:val="00D97C53"/>
    <w:rsid w:val="00DA540D"/>
    <w:rsid w:val="00DA7F39"/>
    <w:rsid w:val="00DB08D4"/>
    <w:rsid w:val="00DB1848"/>
    <w:rsid w:val="00DC6D59"/>
    <w:rsid w:val="00DC73AB"/>
    <w:rsid w:val="00DD4740"/>
    <w:rsid w:val="00DE2FEB"/>
    <w:rsid w:val="00DF3724"/>
    <w:rsid w:val="00DF610B"/>
    <w:rsid w:val="00E0235F"/>
    <w:rsid w:val="00E035A6"/>
    <w:rsid w:val="00E04A00"/>
    <w:rsid w:val="00E054EB"/>
    <w:rsid w:val="00E05B25"/>
    <w:rsid w:val="00E06A13"/>
    <w:rsid w:val="00E07938"/>
    <w:rsid w:val="00E151F2"/>
    <w:rsid w:val="00E32B3E"/>
    <w:rsid w:val="00E33673"/>
    <w:rsid w:val="00E34FE7"/>
    <w:rsid w:val="00E37166"/>
    <w:rsid w:val="00E42DBC"/>
    <w:rsid w:val="00E53A9B"/>
    <w:rsid w:val="00E60914"/>
    <w:rsid w:val="00E619A1"/>
    <w:rsid w:val="00E63329"/>
    <w:rsid w:val="00E6344B"/>
    <w:rsid w:val="00E66C9B"/>
    <w:rsid w:val="00E720CC"/>
    <w:rsid w:val="00E721C3"/>
    <w:rsid w:val="00E821E1"/>
    <w:rsid w:val="00E82EFE"/>
    <w:rsid w:val="00E85976"/>
    <w:rsid w:val="00E85A04"/>
    <w:rsid w:val="00E869DF"/>
    <w:rsid w:val="00E87E76"/>
    <w:rsid w:val="00E93EC3"/>
    <w:rsid w:val="00E970DD"/>
    <w:rsid w:val="00EA2963"/>
    <w:rsid w:val="00EA69B8"/>
    <w:rsid w:val="00EB318D"/>
    <w:rsid w:val="00EB3EDD"/>
    <w:rsid w:val="00EB7D70"/>
    <w:rsid w:val="00EC3ECA"/>
    <w:rsid w:val="00ED1FCE"/>
    <w:rsid w:val="00ED5A9F"/>
    <w:rsid w:val="00EE0535"/>
    <w:rsid w:val="00EE2519"/>
    <w:rsid w:val="00EE4EFA"/>
    <w:rsid w:val="00EF1EAC"/>
    <w:rsid w:val="00EF659D"/>
    <w:rsid w:val="00F16558"/>
    <w:rsid w:val="00F210EB"/>
    <w:rsid w:val="00F26488"/>
    <w:rsid w:val="00F32DDD"/>
    <w:rsid w:val="00F34A35"/>
    <w:rsid w:val="00F34AB0"/>
    <w:rsid w:val="00F42913"/>
    <w:rsid w:val="00F527A3"/>
    <w:rsid w:val="00F52DB4"/>
    <w:rsid w:val="00F54A7F"/>
    <w:rsid w:val="00F605BF"/>
    <w:rsid w:val="00F6066C"/>
    <w:rsid w:val="00F6451F"/>
    <w:rsid w:val="00F77AD6"/>
    <w:rsid w:val="00F9019B"/>
    <w:rsid w:val="00F93018"/>
    <w:rsid w:val="00F96ED3"/>
    <w:rsid w:val="00FA00A0"/>
    <w:rsid w:val="00FA0C1D"/>
    <w:rsid w:val="00FC4F46"/>
    <w:rsid w:val="00FD153C"/>
    <w:rsid w:val="00FD2E2E"/>
    <w:rsid w:val="00FD338E"/>
    <w:rsid w:val="00FD72A4"/>
    <w:rsid w:val="00FD7DE4"/>
    <w:rsid w:val="00FE2688"/>
    <w:rsid w:val="00FE4564"/>
    <w:rsid w:val="00FE6AA2"/>
    <w:rsid w:val="00FF3847"/>
    <w:rsid w:val="00FF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AA40B-70B1-4231-962B-1C519F5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158"/>
    <w:pPr>
      <w:spacing w:after="0" w:line="240" w:lineRule="auto"/>
    </w:pPr>
    <w:rPr>
      <w:rFonts w:ascii="Arial" w:eastAsia="Times New Roman" w:hAnsi="Arial" w:cs="Times New Roman"/>
      <w:sz w:val="24"/>
      <w:szCs w:val="24"/>
      <w:lang w:eastAsia="cs-CZ"/>
    </w:rPr>
  </w:style>
  <w:style w:type="paragraph" w:styleId="Nadpis2">
    <w:name w:val="heading 2"/>
    <w:basedOn w:val="Normln"/>
    <w:next w:val="Normln"/>
    <w:link w:val="Nadpis2Char"/>
    <w:uiPriority w:val="9"/>
    <w:semiHidden/>
    <w:unhideWhenUsed/>
    <w:qFormat/>
    <w:rsid w:val="00BE1C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9">
    <w:name w:val="heading 9"/>
    <w:basedOn w:val="Normln"/>
    <w:next w:val="Normln"/>
    <w:link w:val="Nadpis9Char"/>
    <w:qFormat/>
    <w:rsid w:val="0007315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073158"/>
    <w:rPr>
      <w:rFonts w:ascii="Cambria" w:eastAsia="Times New Roman" w:hAnsi="Cambria" w:cs="Times New Roman"/>
      <w:lang w:eastAsia="cs-CZ"/>
    </w:rPr>
  </w:style>
  <w:style w:type="paragraph" w:styleId="Zkladntextodsazen">
    <w:name w:val="Body Text Indent"/>
    <w:basedOn w:val="Normln"/>
    <w:link w:val="ZkladntextodsazenChar"/>
    <w:uiPriority w:val="99"/>
    <w:unhideWhenUsed/>
    <w:rsid w:val="00073158"/>
    <w:pPr>
      <w:spacing w:after="120"/>
      <w:ind w:left="283"/>
    </w:pPr>
  </w:style>
  <w:style w:type="character" w:customStyle="1" w:styleId="ZkladntextodsazenChar">
    <w:name w:val="Základní text odsazený Char"/>
    <w:basedOn w:val="Standardnpsmoodstavce"/>
    <w:link w:val="Zkladntextodsazen"/>
    <w:uiPriority w:val="99"/>
    <w:rsid w:val="00073158"/>
    <w:rPr>
      <w:rFonts w:ascii="Arial" w:eastAsia="Times New Roman" w:hAnsi="Arial" w:cs="Times New Roman"/>
      <w:sz w:val="24"/>
      <w:szCs w:val="24"/>
      <w:lang w:eastAsia="cs-CZ"/>
    </w:rPr>
  </w:style>
  <w:style w:type="paragraph" w:customStyle="1" w:styleId="Zkladn">
    <w:name w:val="Základní"/>
    <w:basedOn w:val="Normln"/>
    <w:rsid w:val="00073158"/>
    <w:pPr>
      <w:spacing w:before="120"/>
      <w:jc w:val="both"/>
    </w:pPr>
    <w:rPr>
      <w:lang w:eastAsia="en-US"/>
    </w:rPr>
  </w:style>
  <w:style w:type="paragraph" w:styleId="Textpoznpodarou">
    <w:name w:val="footnote text"/>
    <w:basedOn w:val="Normln"/>
    <w:link w:val="TextpoznpodarouChar"/>
    <w:uiPriority w:val="99"/>
    <w:unhideWhenUsed/>
    <w:rsid w:val="00C51371"/>
    <w:rPr>
      <w:sz w:val="20"/>
      <w:szCs w:val="20"/>
    </w:rPr>
  </w:style>
  <w:style w:type="character" w:customStyle="1" w:styleId="TextpoznpodarouChar">
    <w:name w:val="Text pozn. pod čarou Char"/>
    <w:basedOn w:val="Standardnpsmoodstavce"/>
    <w:link w:val="Textpoznpodarou"/>
    <w:uiPriority w:val="99"/>
    <w:rsid w:val="00C51371"/>
    <w:rPr>
      <w:rFonts w:ascii="Arial" w:eastAsia="Times New Roman" w:hAnsi="Arial" w:cs="Times New Roman"/>
      <w:sz w:val="20"/>
      <w:szCs w:val="20"/>
      <w:lang w:eastAsia="cs-CZ"/>
    </w:rPr>
  </w:style>
  <w:style w:type="character" w:styleId="Znakapoznpodarou">
    <w:name w:val="footnote reference"/>
    <w:aliases w:val="Footnote,Footnote call"/>
    <w:basedOn w:val="Standardnpsmoodstavce"/>
    <w:uiPriority w:val="99"/>
    <w:semiHidden/>
    <w:unhideWhenUsed/>
    <w:rsid w:val="00C51371"/>
    <w:rPr>
      <w:vertAlign w:val="superscript"/>
    </w:rPr>
  </w:style>
  <w:style w:type="paragraph" w:styleId="Odstavecseseznamem">
    <w:name w:val="List Paragraph"/>
    <w:aliases w:val="odrážky"/>
    <w:basedOn w:val="Normln"/>
    <w:uiPriority w:val="34"/>
    <w:qFormat/>
    <w:rsid w:val="00C51371"/>
    <w:pPr>
      <w:ind w:left="708"/>
    </w:pPr>
  </w:style>
  <w:style w:type="character" w:customStyle="1" w:styleId="Nadpis2Char">
    <w:name w:val="Nadpis 2 Char"/>
    <w:basedOn w:val="Standardnpsmoodstavce"/>
    <w:link w:val="Nadpis2"/>
    <w:uiPriority w:val="9"/>
    <w:semiHidden/>
    <w:rsid w:val="00BE1CB9"/>
    <w:rPr>
      <w:rFonts w:asciiTheme="majorHAnsi" w:eastAsiaTheme="majorEastAsia" w:hAnsiTheme="majorHAnsi" w:cstheme="majorBidi"/>
      <w:color w:val="2E74B5" w:themeColor="accent1" w:themeShade="BF"/>
      <w:sz w:val="26"/>
      <w:szCs w:val="26"/>
      <w:lang w:eastAsia="cs-CZ"/>
    </w:rPr>
  </w:style>
  <w:style w:type="paragraph" w:customStyle="1" w:styleId="Styl1">
    <w:name w:val="Styl1"/>
    <w:basedOn w:val="Normln"/>
    <w:link w:val="Styl1Char"/>
    <w:qFormat/>
    <w:rsid w:val="001A6C40"/>
    <w:pPr>
      <w:keepNext/>
      <w:numPr>
        <w:numId w:val="3"/>
      </w:numPr>
      <w:spacing w:before="120" w:after="120"/>
    </w:pPr>
    <w:rPr>
      <w:rFonts w:asciiTheme="minorHAnsi" w:hAnsiTheme="minorHAnsi" w:cs="Arial"/>
      <w:b/>
      <w:lang w:eastAsia="en-US"/>
    </w:rPr>
  </w:style>
  <w:style w:type="character" w:customStyle="1" w:styleId="Styl1Char">
    <w:name w:val="Styl1 Char"/>
    <w:basedOn w:val="Standardnpsmoodstavce"/>
    <w:link w:val="Styl1"/>
    <w:rsid w:val="001A6C40"/>
    <w:rPr>
      <w:rFonts w:eastAsia="Times New Roman" w:cs="Arial"/>
      <w:b/>
      <w:sz w:val="24"/>
      <w:szCs w:val="24"/>
    </w:rPr>
  </w:style>
  <w:style w:type="paragraph" w:styleId="Zhlav">
    <w:name w:val="header"/>
    <w:basedOn w:val="Normln"/>
    <w:link w:val="ZhlavChar"/>
    <w:uiPriority w:val="99"/>
    <w:unhideWhenUsed/>
    <w:rsid w:val="00774495"/>
    <w:pPr>
      <w:tabs>
        <w:tab w:val="center" w:pos="4536"/>
        <w:tab w:val="right" w:pos="9072"/>
      </w:tabs>
    </w:pPr>
  </w:style>
  <w:style w:type="character" w:customStyle="1" w:styleId="ZhlavChar">
    <w:name w:val="Záhlaví Char"/>
    <w:basedOn w:val="Standardnpsmoodstavce"/>
    <w:link w:val="Zhlav"/>
    <w:uiPriority w:val="99"/>
    <w:rsid w:val="00774495"/>
    <w:rPr>
      <w:rFonts w:ascii="Arial" w:eastAsia="Times New Roman" w:hAnsi="Arial" w:cs="Times New Roman"/>
      <w:sz w:val="24"/>
      <w:szCs w:val="24"/>
      <w:lang w:eastAsia="cs-CZ"/>
    </w:rPr>
  </w:style>
  <w:style w:type="paragraph" w:styleId="Zpat">
    <w:name w:val="footer"/>
    <w:basedOn w:val="Normln"/>
    <w:link w:val="ZpatChar"/>
    <w:uiPriority w:val="99"/>
    <w:unhideWhenUsed/>
    <w:rsid w:val="00774495"/>
    <w:pPr>
      <w:tabs>
        <w:tab w:val="center" w:pos="4536"/>
        <w:tab w:val="right" w:pos="9072"/>
      </w:tabs>
    </w:pPr>
  </w:style>
  <w:style w:type="character" w:customStyle="1" w:styleId="ZpatChar">
    <w:name w:val="Zápatí Char"/>
    <w:basedOn w:val="Standardnpsmoodstavce"/>
    <w:link w:val="Zpat"/>
    <w:uiPriority w:val="99"/>
    <w:rsid w:val="00774495"/>
    <w:rPr>
      <w:rFonts w:ascii="Arial" w:eastAsia="Times New Roman" w:hAnsi="Arial" w:cs="Times New Roman"/>
      <w:sz w:val="24"/>
      <w:szCs w:val="24"/>
      <w:lang w:eastAsia="cs-CZ"/>
    </w:rPr>
  </w:style>
  <w:style w:type="paragraph" w:styleId="Normlnweb">
    <w:name w:val="Normal (Web)"/>
    <w:basedOn w:val="Normln"/>
    <w:uiPriority w:val="99"/>
    <w:semiHidden/>
    <w:unhideWhenUsed/>
    <w:rsid w:val="00375265"/>
    <w:pPr>
      <w:spacing w:before="100" w:beforeAutospacing="1" w:after="100" w:afterAutospacing="1"/>
    </w:pPr>
    <w:rPr>
      <w:rFonts w:ascii="Times New Roman" w:hAnsi="Times New Roman"/>
    </w:rPr>
  </w:style>
  <w:style w:type="paragraph" w:styleId="Textbubliny">
    <w:name w:val="Balloon Text"/>
    <w:basedOn w:val="Normln"/>
    <w:link w:val="TextbublinyChar"/>
    <w:uiPriority w:val="99"/>
    <w:semiHidden/>
    <w:unhideWhenUsed/>
    <w:rsid w:val="00A415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5E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402013"/>
    <w:rPr>
      <w:sz w:val="16"/>
      <w:szCs w:val="16"/>
    </w:rPr>
  </w:style>
  <w:style w:type="paragraph" w:styleId="Textkomente">
    <w:name w:val="annotation text"/>
    <w:basedOn w:val="Normln"/>
    <w:link w:val="TextkomenteChar"/>
    <w:uiPriority w:val="99"/>
    <w:semiHidden/>
    <w:unhideWhenUsed/>
    <w:rsid w:val="00402013"/>
    <w:rPr>
      <w:sz w:val="20"/>
      <w:szCs w:val="20"/>
    </w:rPr>
  </w:style>
  <w:style w:type="character" w:customStyle="1" w:styleId="TextkomenteChar">
    <w:name w:val="Text komentáře Char"/>
    <w:basedOn w:val="Standardnpsmoodstavce"/>
    <w:link w:val="Textkomente"/>
    <w:uiPriority w:val="99"/>
    <w:semiHidden/>
    <w:rsid w:val="00402013"/>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02013"/>
    <w:rPr>
      <w:b/>
      <w:bCs/>
    </w:rPr>
  </w:style>
  <w:style w:type="character" w:customStyle="1" w:styleId="PedmtkomenteChar">
    <w:name w:val="Předmět komentáře Char"/>
    <w:basedOn w:val="TextkomenteChar"/>
    <w:link w:val="Pedmtkomente"/>
    <w:uiPriority w:val="99"/>
    <w:semiHidden/>
    <w:rsid w:val="00402013"/>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7160">
      <w:bodyDiv w:val="1"/>
      <w:marLeft w:val="0"/>
      <w:marRight w:val="0"/>
      <w:marTop w:val="0"/>
      <w:marBottom w:val="0"/>
      <w:divBdr>
        <w:top w:val="none" w:sz="0" w:space="0" w:color="auto"/>
        <w:left w:val="none" w:sz="0" w:space="0" w:color="auto"/>
        <w:bottom w:val="none" w:sz="0" w:space="0" w:color="auto"/>
        <w:right w:val="none" w:sz="0" w:space="0" w:color="auto"/>
      </w:divBdr>
    </w:div>
    <w:div w:id="490020507">
      <w:bodyDiv w:val="1"/>
      <w:marLeft w:val="0"/>
      <w:marRight w:val="0"/>
      <w:marTop w:val="0"/>
      <w:marBottom w:val="0"/>
      <w:divBdr>
        <w:top w:val="none" w:sz="0" w:space="0" w:color="auto"/>
        <w:left w:val="none" w:sz="0" w:space="0" w:color="auto"/>
        <w:bottom w:val="none" w:sz="0" w:space="0" w:color="auto"/>
        <w:right w:val="none" w:sz="0" w:space="0" w:color="auto"/>
      </w:divBdr>
    </w:div>
    <w:div w:id="517931688">
      <w:bodyDiv w:val="1"/>
      <w:marLeft w:val="0"/>
      <w:marRight w:val="0"/>
      <w:marTop w:val="0"/>
      <w:marBottom w:val="0"/>
      <w:divBdr>
        <w:top w:val="none" w:sz="0" w:space="0" w:color="auto"/>
        <w:left w:val="none" w:sz="0" w:space="0" w:color="auto"/>
        <w:bottom w:val="none" w:sz="0" w:space="0" w:color="auto"/>
        <w:right w:val="none" w:sz="0" w:space="0" w:color="auto"/>
      </w:divBdr>
    </w:div>
    <w:div w:id="756365582">
      <w:bodyDiv w:val="1"/>
      <w:marLeft w:val="0"/>
      <w:marRight w:val="0"/>
      <w:marTop w:val="0"/>
      <w:marBottom w:val="0"/>
      <w:divBdr>
        <w:top w:val="none" w:sz="0" w:space="0" w:color="auto"/>
        <w:left w:val="none" w:sz="0" w:space="0" w:color="auto"/>
        <w:bottom w:val="none" w:sz="0" w:space="0" w:color="auto"/>
        <w:right w:val="none" w:sz="0" w:space="0" w:color="auto"/>
      </w:divBdr>
    </w:div>
    <w:div w:id="865142967">
      <w:bodyDiv w:val="1"/>
      <w:marLeft w:val="0"/>
      <w:marRight w:val="0"/>
      <w:marTop w:val="0"/>
      <w:marBottom w:val="0"/>
      <w:divBdr>
        <w:top w:val="none" w:sz="0" w:space="0" w:color="auto"/>
        <w:left w:val="none" w:sz="0" w:space="0" w:color="auto"/>
        <w:bottom w:val="none" w:sz="0" w:space="0" w:color="auto"/>
        <w:right w:val="none" w:sz="0" w:space="0" w:color="auto"/>
      </w:divBdr>
    </w:div>
    <w:div w:id="1839802680">
      <w:bodyDiv w:val="1"/>
      <w:marLeft w:val="0"/>
      <w:marRight w:val="0"/>
      <w:marTop w:val="0"/>
      <w:marBottom w:val="0"/>
      <w:divBdr>
        <w:top w:val="none" w:sz="0" w:space="0" w:color="auto"/>
        <w:left w:val="none" w:sz="0" w:space="0" w:color="auto"/>
        <w:bottom w:val="none" w:sz="0" w:space="0" w:color="auto"/>
        <w:right w:val="none" w:sz="0" w:space="0" w:color="auto"/>
      </w:divBdr>
    </w:div>
    <w:div w:id="18496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tsclient\D\Agendy\16_19\p&#345;&#237;jemci%20podpory%20-%20v.v.i.,%20v&#35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tsclient\d\Agendy\16_19\P&#345;&#237;jemci%20tabul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CHALUPOVAI\Kopie%20-%20Mezin&#225;rodn&#237;%20srovn&#225;n&#23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CHALUPOVAI\Kopie%20-%20mezin&#225;rodn&#237;%20z%20eu%202016%20tabul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Users\CHALUPOVAI\AppData\Local\Microsoft\Windows\Temporary%20Internet%20Files\Content.Outlook\F8LBOMYM\ERC.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39890180585889"/>
          <c:y val="0.20620203539646301"/>
          <c:w val="0.36599585005844354"/>
          <c:h val="0.67212678296869699"/>
        </c:manualLayout>
      </c:layout>
      <c:doughnutChart>
        <c:varyColors val="1"/>
        <c:ser>
          <c:idx val="0"/>
          <c:order val="0"/>
          <c:spPr>
            <a:solidFill>
              <a:srgbClr val="BD2A33"/>
            </a:solidFill>
          </c:spPr>
          <c:dPt>
            <c:idx val="0"/>
            <c:bubble3D val="0"/>
            <c:spPr>
              <a:solidFill>
                <a:srgbClr val="BD2A33"/>
              </a:solidFill>
              <a:ln w="19050">
                <a:solidFill>
                  <a:schemeClr val="lt1"/>
                </a:solidFill>
              </a:ln>
              <a:effectLst/>
            </c:spPr>
            <c:extLst>
              <c:ext xmlns:c16="http://schemas.microsoft.com/office/drawing/2014/chart" uri="{C3380CC4-5D6E-409C-BE32-E72D297353CC}">
                <c16:uniqueId val="{00000001-D2F3-4486-9B87-F0EF6CD58A16}"/>
              </c:ext>
            </c:extLst>
          </c:dPt>
          <c:dPt>
            <c:idx val="1"/>
            <c:bubble3D val="0"/>
            <c:spPr>
              <a:solidFill>
                <a:srgbClr val="004595"/>
              </a:solidFill>
              <a:ln w="19050">
                <a:solidFill>
                  <a:schemeClr val="lt1"/>
                </a:solidFill>
              </a:ln>
              <a:effectLst/>
            </c:spPr>
            <c:extLst>
              <c:ext xmlns:c16="http://schemas.microsoft.com/office/drawing/2014/chart" uri="{C3380CC4-5D6E-409C-BE32-E72D297353CC}">
                <c16:uniqueId val="{00000003-D2F3-4486-9B87-F0EF6CD58A16}"/>
              </c:ext>
            </c:extLst>
          </c:dPt>
          <c:dPt>
            <c:idx val="2"/>
            <c:bubble3D val="0"/>
            <c:spPr>
              <a:solidFill>
                <a:srgbClr val="808080"/>
              </a:solidFill>
              <a:ln w="19050">
                <a:solidFill>
                  <a:schemeClr val="lt1"/>
                </a:solidFill>
              </a:ln>
              <a:effectLst/>
            </c:spPr>
            <c:extLst>
              <c:ext xmlns:c16="http://schemas.microsoft.com/office/drawing/2014/chart" uri="{C3380CC4-5D6E-409C-BE32-E72D297353CC}">
                <c16:uniqueId val="{00000005-D2F3-4486-9B87-F0EF6CD58A16}"/>
              </c:ext>
            </c:extLst>
          </c:dPt>
          <c:dLbls>
            <c:dLbl>
              <c:idx val="0"/>
              <c:layout>
                <c:manualLayout>
                  <c:x val="0.14166666666666655"/>
                  <c:y val="0"/>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r>
                      <a:rPr lang="en-US"/>
                      <a:t>Vysoké školy</a:t>
                    </a:r>
                    <a:r>
                      <a:rPr lang="en-US" baseline="0"/>
                      <a:t>
</a:t>
                    </a:r>
                    <a:fld id="{31527939-B0D2-439E-B7B5-0D6AB1E47343}" type="PERCENTAGE">
                      <a:rPr lang="en-US" baseline="0"/>
                      <a:pPr>
                        <a:defRPr/>
                      </a:pPr>
                      <a:t>[PROCENTO]</a:t>
                    </a:fld>
                    <a:endParaRPr lang="en-US" baseline="0"/>
                  </a:p>
                </c:rich>
              </c:tx>
              <c:numFmt formatCode="0_I%"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2F3-4486-9B87-F0EF6CD58A16}"/>
                </c:ext>
              </c:extLst>
            </c:dLbl>
            <c:dLbl>
              <c:idx val="1"/>
              <c:layout>
                <c:manualLayout>
                  <c:x val="-0.13975658037404914"/>
                  <c:y val="-9.994061107143104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r>
                      <a:rPr lang="en-US" baseline="0"/>
                      <a:t>Veřejné výzkumné instituce
</a:t>
                    </a:r>
                    <a:fld id="{C8C007B7-4DA3-43A5-8AEE-1565E2041A16}" type="PERCENTAGE">
                      <a:rPr lang="en-US" baseline="0"/>
                      <a:pPr>
                        <a:defRPr/>
                      </a:pPr>
                      <a:t>[PROCENTO]</a:t>
                    </a:fld>
                    <a:endParaRPr lang="en-US" baseline="0"/>
                  </a:p>
                </c:rich>
              </c:tx>
              <c:numFmt formatCode="0_I%"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19873535938584391"/>
                      <c:h val="0.3972559138352949"/>
                    </c:manualLayout>
                  </c15:layout>
                  <c15:dlblFieldTable/>
                  <c15:showDataLabelsRange val="0"/>
                </c:ext>
                <c:ext xmlns:c16="http://schemas.microsoft.com/office/drawing/2014/chart" uri="{C3380CC4-5D6E-409C-BE32-E72D297353CC}">
                  <c16:uniqueId val="{00000003-D2F3-4486-9B87-F0EF6CD58A16}"/>
                </c:ext>
              </c:extLst>
            </c:dLbl>
            <c:dLbl>
              <c:idx val="2"/>
              <c:layout>
                <c:manualLayout>
                  <c:x val="8.8458994409358217E-3"/>
                  <c:y val="-0.1851275617175072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r>
                      <a:rPr lang="en-US"/>
                      <a:t>Ostatní</a:t>
                    </a:r>
                    <a:r>
                      <a:rPr lang="en-US" baseline="0"/>
                      <a:t>
</a:t>
                    </a:r>
                    <a:fld id="{A6313586-AAD9-4EE2-B170-A22CEEE924E8}" type="PERCENTAGE">
                      <a:rPr lang="en-US" baseline="0"/>
                      <a:pPr>
                        <a:defRPr/>
                      </a:pPr>
                      <a:t>[PROCENTO]</a:t>
                    </a:fld>
                    <a:endParaRPr lang="en-US" baseline="0"/>
                  </a:p>
                </c:rich>
              </c:tx>
              <c:numFmt formatCode="0_I%"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3290831166242309"/>
                      <c:h val="0.19576280775553939"/>
                    </c:manualLayout>
                  </c15:layout>
                  <c15:dlblFieldTable/>
                  <c15:showDataLabelsRange val="0"/>
                </c:ext>
                <c:ext xmlns:c16="http://schemas.microsoft.com/office/drawing/2014/chart" uri="{C3380CC4-5D6E-409C-BE32-E72D297353CC}">
                  <c16:uniqueId val="{00000005-D2F3-4486-9B87-F0EF6CD58A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List2!$N$2:$N$4</c:f>
              <c:strCache>
                <c:ptCount val="3"/>
                <c:pt idx="0">
                  <c:v>vysoké školy</c:v>
                </c:pt>
                <c:pt idx="1">
                  <c:v>v.v.i.</c:v>
                </c:pt>
                <c:pt idx="2">
                  <c:v>ostatní</c:v>
                </c:pt>
              </c:strCache>
            </c:strRef>
          </c:cat>
          <c:val>
            <c:numRef>
              <c:f>List2!$O$2:$O$4</c:f>
              <c:numCache>
                <c:formatCode>#,##0</c:formatCode>
                <c:ptCount val="3"/>
                <c:pt idx="0">
                  <c:v>7541883.0271399999</c:v>
                </c:pt>
                <c:pt idx="1">
                  <c:v>7342138.2329700002</c:v>
                </c:pt>
                <c:pt idx="2">
                  <c:v>446967.73988999991</c:v>
                </c:pt>
              </c:numCache>
            </c:numRef>
          </c:val>
          <c:extLst>
            <c:ext xmlns:c16="http://schemas.microsoft.com/office/drawing/2014/chart" uri="{C3380CC4-5D6E-409C-BE32-E72D297353CC}">
              <c16:uniqueId val="{00000006-D2F3-4486-9B87-F0EF6CD58A16}"/>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714482499322067E-2"/>
          <c:y val="0.13176208153684807"/>
          <c:w val="0.44667087200965272"/>
          <c:h val="0.80217679816371756"/>
        </c:manualLayout>
      </c:layout>
      <c:doughnutChart>
        <c:varyColors val="1"/>
        <c:ser>
          <c:idx val="0"/>
          <c:order val="0"/>
          <c:tx>
            <c:strRef>
              <c:f>List1!$B$1</c:f>
              <c:strCache>
                <c:ptCount val="1"/>
                <c:pt idx="0">
                  <c:v>Podíl celkem</c:v>
                </c:pt>
              </c:strCache>
            </c:strRef>
          </c:tx>
          <c:dPt>
            <c:idx val="0"/>
            <c:bubble3D val="0"/>
            <c:spPr>
              <a:solidFill>
                <a:srgbClr val="BD2A33"/>
              </a:solidFill>
              <a:ln w="19050">
                <a:solidFill>
                  <a:schemeClr val="lt1"/>
                </a:solidFill>
              </a:ln>
              <a:effectLst/>
            </c:spPr>
            <c:extLst>
              <c:ext xmlns:c16="http://schemas.microsoft.com/office/drawing/2014/chart" uri="{C3380CC4-5D6E-409C-BE32-E72D297353CC}">
                <c16:uniqueId val="{00000001-923C-4EDE-9833-9B06B6457684}"/>
              </c:ext>
            </c:extLst>
          </c:dPt>
          <c:dPt>
            <c:idx val="1"/>
            <c:bubble3D val="0"/>
            <c:spPr>
              <a:solidFill>
                <a:srgbClr val="004595">
                  <a:alpha val="60000"/>
                </a:srgbClr>
              </a:solidFill>
              <a:ln w="19050">
                <a:solidFill>
                  <a:schemeClr val="lt1"/>
                </a:solidFill>
              </a:ln>
              <a:effectLst/>
            </c:spPr>
            <c:extLst>
              <c:ext xmlns:c16="http://schemas.microsoft.com/office/drawing/2014/chart" uri="{C3380CC4-5D6E-409C-BE32-E72D297353CC}">
                <c16:uniqueId val="{00000003-923C-4EDE-9833-9B06B6457684}"/>
              </c:ext>
            </c:extLst>
          </c:dPt>
          <c:dPt>
            <c:idx val="2"/>
            <c:bubble3D val="0"/>
            <c:spPr>
              <a:solidFill>
                <a:srgbClr val="BD2A33">
                  <a:alpha val="60000"/>
                </a:srgbClr>
              </a:solidFill>
              <a:ln w="19050">
                <a:solidFill>
                  <a:schemeClr val="lt1"/>
                </a:solidFill>
              </a:ln>
              <a:effectLst/>
            </c:spPr>
            <c:extLst>
              <c:ext xmlns:c16="http://schemas.microsoft.com/office/drawing/2014/chart" uri="{C3380CC4-5D6E-409C-BE32-E72D297353CC}">
                <c16:uniqueId val="{00000005-923C-4EDE-9833-9B06B6457684}"/>
              </c:ext>
            </c:extLst>
          </c:dPt>
          <c:dPt>
            <c:idx val="3"/>
            <c:bubble3D val="0"/>
            <c:spPr>
              <a:solidFill>
                <a:srgbClr val="808080"/>
              </a:solidFill>
              <a:ln w="19050">
                <a:solidFill>
                  <a:schemeClr val="lt1"/>
                </a:solidFill>
              </a:ln>
              <a:effectLst/>
            </c:spPr>
            <c:extLst>
              <c:ext xmlns:c16="http://schemas.microsoft.com/office/drawing/2014/chart" uri="{C3380CC4-5D6E-409C-BE32-E72D297353CC}">
                <c16:uniqueId val="{00000007-923C-4EDE-9833-9B06B6457684}"/>
              </c:ext>
            </c:extLst>
          </c:dPt>
          <c:dPt>
            <c:idx val="4"/>
            <c:bubble3D val="0"/>
            <c:spPr>
              <a:solidFill>
                <a:srgbClr val="004595"/>
              </a:solidFill>
              <a:ln w="19050">
                <a:solidFill>
                  <a:schemeClr val="lt1"/>
                </a:solidFill>
              </a:ln>
              <a:effectLst/>
            </c:spPr>
            <c:extLst>
              <c:ext xmlns:c16="http://schemas.microsoft.com/office/drawing/2014/chart" uri="{C3380CC4-5D6E-409C-BE32-E72D297353CC}">
                <c16:uniqueId val="{00000009-923C-4EDE-9833-9B06B6457684}"/>
              </c:ext>
            </c:extLst>
          </c:dPt>
          <c:dLbls>
            <c:dLbl>
              <c:idx val="0"/>
              <c:layout>
                <c:manualLayout>
                  <c:x val="4.6576618537494181E-2"/>
                  <c:y val="-9.20117105813467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23C-4EDE-9833-9B06B6457684}"/>
                </c:ext>
              </c:extLst>
            </c:dLbl>
            <c:dLbl>
              <c:idx val="1"/>
              <c:layout>
                <c:manualLayout>
                  <c:x val="2.7945971122496423E-2"/>
                  <c:y val="0.125470514429109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23C-4EDE-9833-9B06B6457684}"/>
                </c:ext>
              </c:extLst>
            </c:dLbl>
            <c:dLbl>
              <c:idx val="2"/>
              <c:layout>
                <c:manualLayout>
                  <c:x val="-3.8462728605152964E-2"/>
                  <c:y val="7.09999833530320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23C-4EDE-9833-9B06B6457684}"/>
                </c:ext>
              </c:extLst>
            </c:dLbl>
            <c:dLbl>
              <c:idx val="3"/>
              <c:layout>
                <c:manualLayout>
                  <c:x val="-3.5965269817714786E-2"/>
                  <c:y val="0.20038521083384647"/>
                </c:manualLayout>
              </c:layout>
              <c:numFmt formatCode="0_I%"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10987424312994877"/>
                      <c:h val="0.10025127034779373"/>
                    </c:manualLayout>
                  </c15:layout>
                </c:ext>
                <c:ext xmlns:c16="http://schemas.microsoft.com/office/drawing/2014/chart" uri="{C3380CC4-5D6E-409C-BE32-E72D297353CC}">
                  <c16:uniqueId val="{00000007-923C-4EDE-9833-9B06B6457684}"/>
                </c:ext>
              </c:extLst>
            </c:dLbl>
            <c:dLbl>
              <c:idx val="4"/>
              <c:layout>
                <c:manualLayout>
                  <c:x val="-5.5891942244993012E-2"/>
                  <c:y val="-8.36470096194061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23C-4EDE-9833-9B06B6457684}"/>
                </c:ext>
              </c:extLst>
            </c:dLbl>
            <c:numFmt formatCode="0_I%"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Vědy o neživé přírodě</c:v>
                </c:pt>
                <c:pt idx="1">
                  <c:v>Technické vědy</c:v>
                </c:pt>
                <c:pt idx="2">
                  <c:v>Zemědělské a biologicko-environmentální vědy</c:v>
                </c:pt>
                <c:pt idx="3">
                  <c:v>Lékařské a biologické vědy</c:v>
                </c:pt>
                <c:pt idx="4">
                  <c:v>Společenské a humanitní vědy</c:v>
                </c:pt>
              </c:strCache>
            </c:strRef>
          </c:cat>
          <c:val>
            <c:numRef>
              <c:f>List1!$B$2:$B$6</c:f>
              <c:numCache>
                <c:formatCode>0%</c:formatCode>
                <c:ptCount val="5"/>
                <c:pt idx="0">
                  <c:v>0.23</c:v>
                </c:pt>
                <c:pt idx="1">
                  <c:v>0.22</c:v>
                </c:pt>
                <c:pt idx="2">
                  <c:v>0.19</c:v>
                </c:pt>
                <c:pt idx="3">
                  <c:v>0.18</c:v>
                </c:pt>
                <c:pt idx="4">
                  <c:v>0.18</c:v>
                </c:pt>
              </c:numCache>
            </c:numRef>
          </c:val>
          <c:extLst>
            <c:ext xmlns:c16="http://schemas.microsoft.com/office/drawing/2014/chart" uri="{C3380CC4-5D6E-409C-BE32-E72D297353CC}">
              <c16:uniqueId val="{0000000A-923C-4EDE-9833-9B06B645768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46552858407491965"/>
          <c:y val="7.3708077378417905E-2"/>
          <c:w val="0.49192312613717576"/>
          <c:h val="0.887200021499019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Výsledek!$Q$2</c:f>
              <c:strCache>
                <c:ptCount val="1"/>
                <c:pt idx="0">
                  <c:v>Podíl 10 % světově nejcitovanějších publikací na celkovém počtu publikací</c:v>
                </c:pt>
              </c:strCache>
            </c:strRef>
          </c:tx>
          <c:spPr>
            <a:solidFill>
              <a:schemeClr val="accent1"/>
            </a:solidFill>
            <a:ln>
              <a:noFill/>
            </a:ln>
            <a:effectLst/>
          </c:spPr>
          <c:invertIfNegative val="0"/>
          <c:dPt>
            <c:idx val="0"/>
            <c:invertIfNegative val="0"/>
            <c:bubble3D val="0"/>
            <c:spPr>
              <a:solidFill>
                <a:srgbClr val="BD2A33"/>
              </a:solidFill>
              <a:ln>
                <a:noFill/>
              </a:ln>
              <a:effectLst/>
            </c:spPr>
            <c:extLst>
              <c:ext xmlns:c16="http://schemas.microsoft.com/office/drawing/2014/chart" uri="{C3380CC4-5D6E-409C-BE32-E72D297353CC}">
                <c16:uniqueId val="{00000001-B717-44A2-83D8-5381CC5CD602}"/>
              </c:ext>
            </c:extLst>
          </c:dPt>
          <c:dPt>
            <c:idx val="1"/>
            <c:invertIfNegative val="0"/>
            <c:bubble3D val="0"/>
            <c:spPr>
              <a:solidFill>
                <a:srgbClr val="004595"/>
              </a:solidFill>
              <a:ln>
                <a:noFill/>
              </a:ln>
              <a:effectLst/>
            </c:spPr>
            <c:extLst>
              <c:ext xmlns:c16="http://schemas.microsoft.com/office/drawing/2014/chart" uri="{C3380CC4-5D6E-409C-BE32-E72D297353CC}">
                <c16:uniqueId val="{00000003-B717-44A2-83D8-5381CC5CD602}"/>
              </c:ext>
            </c:extLst>
          </c:dPt>
          <c:dPt>
            <c:idx val="2"/>
            <c:invertIfNegative val="0"/>
            <c:bubble3D val="0"/>
            <c:spPr>
              <a:solidFill>
                <a:srgbClr val="BD2A33"/>
              </a:solidFill>
              <a:ln>
                <a:noFill/>
              </a:ln>
              <a:effectLst/>
            </c:spPr>
            <c:extLst>
              <c:ext xmlns:c16="http://schemas.microsoft.com/office/drawing/2014/chart" uri="{C3380CC4-5D6E-409C-BE32-E72D297353CC}">
                <c16:uniqueId val="{00000005-B717-44A2-83D8-5381CC5CD602}"/>
              </c:ext>
            </c:extLst>
          </c:dPt>
          <c:dPt>
            <c:idx val="3"/>
            <c:invertIfNegative val="0"/>
            <c:bubble3D val="0"/>
            <c:spPr>
              <a:solidFill>
                <a:srgbClr val="004595"/>
              </a:solidFill>
              <a:ln>
                <a:noFill/>
              </a:ln>
              <a:effectLst/>
            </c:spPr>
            <c:extLst>
              <c:ext xmlns:c16="http://schemas.microsoft.com/office/drawing/2014/chart" uri="{C3380CC4-5D6E-409C-BE32-E72D297353CC}">
                <c16:uniqueId val="{00000007-B717-44A2-83D8-5381CC5CD602}"/>
              </c:ext>
            </c:extLst>
          </c:dPt>
          <c:dPt>
            <c:idx val="4"/>
            <c:invertIfNegative val="0"/>
            <c:bubble3D val="0"/>
            <c:spPr>
              <a:solidFill>
                <a:srgbClr val="BD2A33"/>
              </a:solidFill>
              <a:ln>
                <a:noFill/>
              </a:ln>
              <a:effectLst/>
            </c:spPr>
            <c:extLst>
              <c:ext xmlns:c16="http://schemas.microsoft.com/office/drawing/2014/chart" uri="{C3380CC4-5D6E-409C-BE32-E72D297353CC}">
                <c16:uniqueId val="{00000009-B717-44A2-83D8-5381CC5CD602}"/>
              </c:ext>
            </c:extLst>
          </c:dPt>
          <c:dPt>
            <c:idx val="5"/>
            <c:invertIfNegative val="0"/>
            <c:bubble3D val="0"/>
            <c:spPr>
              <a:solidFill>
                <a:srgbClr val="004595"/>
              </a:solidFill>
              <a:ln>
                <a:noFill/>
              </a:ln>
              <a:effectLst/>
            </c:spPr>
            <c:extLst>
              <c:ext xmlns:c16="http://schemas.microsoft.com/office/drawing/2014/chart" uri="{C3380CC4-5D6E-409C-BE32-E72D297353CC}">
                <c16:uniqueId val="{0000000B-B717-44A2-83D8-5381CC5CD602}"/>
              </c:ext>
            </c:extLst>
          </c:dPt>
          <c:dPt>
            <c:idx val="6"/>
            <c:invertIfNegative val="0"/>
            <c:bubble3D val="0"/>
            <c:spPr>
              <a:solidFill>
                <a:srgbClr val="BD2A33"/>
              </a:solidFill>
              <a:ln>
                <a:noFill/>
              </a:ln>
              <a:effectLst/>
            </c:spPr>
            <c:extLst>
              <c:ext xmlns:c16="http://schemas.microsoft.com/office/drawing/2014/chart" uri="{C3380CC4-5D6E-409C-BE32-E72D297353CC}">
                <c16:uniqueId val="{0000000D-B717-44A2-83D8-5381CC5CD602}"/>
              </c:ext>
            </c:extLst>
          </c:dPt>
          <c:dPt>
            <c:idx val="7"/>
            <c:invertIfNegative val="0"/>
            <c:bubble3D val="0"/>
            <c:spPr>
              <a:solidFill>
                <a:srgbClr val="004595"/>
              </a:solidFill>
              <a:ln>
                <a:noFill/>
              </a:ln>
              <a:effectLst/>
            </c:spPr>
            <c:extLst>
              <c:ext xmlns:c16="http://schemas.microsoft.com/office/drawing/2014/chart" uri="{C3380CC4-5D6E-409C-BE32-E72D297353CC}">
                <c16:uniqueId val="{0000000F-B717-44A2-83D8-5381CC5CD6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Výsledek!$O$3:$P$10</c:f>
              <c:multiLvlStrCache>
                <c:ptCount val="8"/>
                <c:lvl>
                  <c:pt idx="0">
                    <c:v>ČR</c:v>
                  </c:pt>
                  <c:pt idx="1">
                    <c:v>EU28</c:v>
                  </c:pt>
                  <c:pt idx="2">
                    <c:v>ČR</c:v>
                  </c:pt>
                  <c:pt idx="3">
                    <c:v>EU28</c:v>
                  </c:pt>
                  <c:pt idx="4">
                    <c:v>ČR</c:v>
                  </c:pt>
                  <c:pt idx="5">
                    <c:v>EU28</c:v>
                  </c:pt>
                  <c:pt idx="6">
                    <c:v>ČR</c:v>
                  </c:pt>
                  <c:pt idx="7">
                    <c:v>EU28</c:v>
                  </c:pt>
                </c:lvl>
                <c:lvl>
                  <c:pt idx="0">
                    <c:v>2013</c:v>
                  </c:pt>
                  <c:pt idx="2">
                    <c:v>2014</c:v>
                  </c:pt>
                  <c:pt idx="4">
                    <c:v>2015</c:v>
                  </c:pt>
                  <c:pt idx="6">
                    <c:v>2016</c:v>
                  </c:pt>
                </c:lvl>
              </c:multiLvlStrCache>
            </c:multiLvlStrRef>
          </c:cat>
          <c:val>
            <c:numRef>
              <c:f>Výsledek!$Q$3:$Q$10</c:f>
              <c:numCache>
                <c:formatCode>#,##0.0</c:formatCode>
                <c:ptCount val="8"/>
                <c:pt idx="0">
                  <c:v>5.5</c:v>
                </c:pt>
                <c:pt idx="1">
                  <c:v>10.9</c:v>
                </c:pt>
                <c:pt idx="2">
                  <c:v>5.6</c:v>
                </c:pt>
                <c:pt idx="3">
                  <c:v>11</c:v>
                </c:pt>
                <c:pt idx="4">
                  <c:v>5.6</c:v>
                </c:pt>
                <c:pt idx="5">
                  <c:v>11</c:v>
                </c:pt>
                <c:pt idx="6">
                  <c:v>7.3</c:v>
                </c:pt>
                <c:pt idx="7">
                  <c:v>10.5</c:v>
                </c:pt>
              </c:numCache>
            </c:numRef>
          </c:val>
          <c:extLst>
            <c:ext xmlns:c16="http://schemas.microsoft.com/office/drawing/2014/chart" uri="{C3380CC4-5D6E-409C-BE32-E72D297353CC}">
              <c16:uniqueId val="{00000010-B717-44A2-83D8-5381CC5CD602}"/>
            </c:ext>
          </c:extLst>
        </c:ser>
        <c:dLbls>
          <c:showLegendKey val="0"/>
          <c:showVal val="0"/>
          <c:showCatName val="0"/>
          <c:showSerName val="0"/>
          <c:showPercent val="0"/>
          <c:showBubbleSize val="0"/>
        </c:dLbls>
        <c:gapWidth val="219"/>
        <c:overlap val="-27"/>
        <c:axId val="263308048"/>
        <c:axId val="300393400"/>
      </c:barChart>
      <c:catAx>
        <c:axId val="26330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0393400"/>
        <c:crosses val="autoZero"/>
        <c:auto val="1"/>
        <c:lblAlgn val="ctr"/>
        <c:lblOffset val="100"/>
        <c:noMultiLvlLbl val="0"/>
      </c:catAx>
      <c:valAx>
        <c:axId val="300393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a:t>
                </a:r>
              </a:p>
            </c:rich>
          </c:tx>
          <c:layout>
            <c:manualLayout>
              <c:xMode val="edge"/>
              <c:yMode val="edge"/>
              <c:x val="1.1527377521613832E-2"/>
              <c:y val="2.172158817248552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6330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List1!$B$4</c:f>
              <c:strCache>
                <c:ptCount val="1"/>
                <c:pt idx="0">
                  <c:v>Česká republika</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List1!$C$3:$E$3</c:f>
              <c:strCache>
                <c:ptCount val="3"/>
                <c:pt idx="0">
                  <c:v>% autorů spojených s alespoň jednou publikací v top 1 % nejcitovanějších publikací na světě</c:v>
                </c:pt>
                <c:pt idx="1">
                  <c:v>% autorů spojených s alespoň jednou publikací v top 10 % nejcitovanějších publikací na světě </c:v>
                </c:pt>
                <c:pt idx="2">
                  <c:v>% autorů s alespoň jednou publikací vytvořenou 
v období 2000–2010, ale necitovanou v období
2000–2013</c:v>
                </c:pt>
              </c:strCache>
            </c:strRef>
          </c:cat>
          <c:val>
            <c:numRef>
              <c:f>List1!$C$4:$E$4</c:f>
              <c:numCache>
                <c:formatCode>General</c:formatCode>
                <c:ptCount val="3"/>
                <c:pt idx="0">
                  <c:v>2.2999999999999998</c:v>
                </c:pt>
                <c:pt idx="1">
                  <c:v>15.8</c:v>
                </c:pt>
                <c:pt idx="2">
                  <c:v>18.2</c:v>
                </c:pt>
              </c:numCache>
            </c:numRef>
          </c:val>
          <c:extLst>
            <c:ext xmlns:c16="http://schemas.microsoft.com/office/drawing/2014/chart" uri="{C3380CC4-5D6E-409C-BE32-E72D297353CC}">
              <c16:uniqueId val="{00000000-778C-4517-AAFB-26059D809030}"/>
            </c:ext>
          </c:extLst>
        </c:ser>
        <c:ser>
          <c:idx val="1"/>
          <c:order val="1"/>
          <c:tx>
            <c:strRef>
              <c:f>List1!$B$5</c:f>
              <c:strCache>
                <c:ptCount val="1"/>
                <c:pt idx="0">
                  <c:v>EU</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List1!$C$3:$E$3</c:f>
              <c:strCache>
                <c:ptCount val="3"/>
                <c:pt idx="0">
                  <c:v>% autorů spojených s alespoň jednou publikací v top 1 % nejcitovanějších publikací na světě</c:v>
                </c:pt>
                <c:pt idx="1">
                  <c:v>% autorů spojených s alespoň jednou publikací v top 10 % nejcitovanějších publikací na světě </c:v>
                </c:pt>
                <c:pt idx="2">
                  <c:v>% autorů s alespoň jednou publikací vytvořenou 
v období 2000–2010, ale necitovanou v období
2000–2013</c:v>
                </c:pt>
              </c:strCache>
            </c:strRef>
          </c:cat>
          <c:val>
            <c:numRef>
              <c:f>List1!$C$5:$E$5</c:f>
              <c:numCache>
                <c:formatCode>General</c:formatCode>
                <c:ptCount val="3"/>
                <c:pt idx="0">
                  <c:v>5.7</c:v>
                </c:pt>
                <c:pt idx="1">
                  <c:v>27.4</c:v>
                </c:pt>
                <c:pt idx="2">
                  <c:v>14.4</c:v>
                </c:pt>
              </c:numCache>
            </c:numRef>
          </c:val>
          <c:extLst>
            <c:ext xmlns:c16="http://schemas.microsoft.com/office/drawing/2014/chart" uri="{C3380CC4-5D6E-409C-BE32-E72D297353CC}">
              <c16:uniqueId val="{00000001-778C-4517-AAFB-26059D809030}"/>
            </c:ext>
          </c:extLst>
        </c:ser>
        <c:dLbls>
          <c:dLblPos val="outEnd"/>
          <c:showLegendKey val="0"/>
          <c:showVal val="1"/>
          <c:showCatName val="0"/>
          <c:showSerName val="0"/>
          <c:showPercent val="0"/>
          <c:showBubbleSize val="0"/>
        </c:dLbls>
        <c:gapWidth val="199"/>
        <c:axId val="306725184"/>
        <c:axId val="306725576"/>
      </c:barChart>
      <c:catAx>
        <c:axId val="30672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n-lt"/>
                <a:ea typeface="+mn-ea"/>
                <a:cs typeface="+mn-cs"/>
              </a:defRPr>
            </a:pPr>
            <a:endParaRPr lang="cs-CZ"/>
          </a:p>
        </c:txPr>
        <c:crossAx val="306725576"/>
        <c:crosses val="autoZero"/>
        <c:auto val="1"/>
        <c:lblAlgn val="ctr"/>
        <c:lblOffset val="100"/>
        <c:noMultiLvlLbl val="0"/>
      </c:catAx>
      <c:valAx>
        <c:axId val="306725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cs-CZ"/>
                  <a:t>%</a:t>
                </a:r>
              </a:p>
            </c:rich>
          </c:tx>
          <c:layout>
            <c:manualLayout>
              <c:xMode val="edge"/>
              <c:yMode val="edge"/>
              <c:x val="1.1055831951354339E-2"/>
              <c:y val="0.15451433276722765"/>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67251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39877300613498E-2"/>
          <c:y val="9.8819654131210535E-2"/>
          <c:w val="0.95092024539877296"/>
          <c:h val="0.47951134848193383"/>
        </c:manualLayout>
      </c:layout>
      <c:barChart>
        <c:barDir val="col"/>
        <c:grouping val="clustered"/>
        <c:varyColors val="0"/>
        <c:ser>
          <c:idx val="0"/>
          <c:order val="0"/>
          <c:tx>
            <c:strRef>
              <c:f>'[ERC.xlsx]celkem graf'!$B$1</c:f>
              <c:strCache>
                <c:ptCount val="1"/>
                <c:pt idx="0">
                  <c:v>Celkem </c:v>
                </c:pt>
              </c:strCache>
            </c:strRef>
          </c:tx>
          <c:spPr>
            <a:solidFill>
              <a:srgbClr val="004595"/>
            </a:solidFill>
            <a:ln>
              <a:noFill/>
            </a:ln>
            <a:effectLst/>
          </c:spPr>
          <c:invertIfNegative val="0"/>
          <c:dPt>
            <c:idx val="18"/>
            <c:invertIfNegative val="0"/>
            <c:bubble3D val="0"/>
            <c:spPr>
              <a:solidFill>
                <a:srgbClr val="BD2A33"/>
              </a:solidFill>
              <a:ln>
                <a:noFill/>
              </a:ln>
              <a:effectLst/>
            </c:spPr>
            <c:extLst>
              <c:ext xmlns:c16="http://schemas.microsoft.com/office/drawing/2014/chart" uri="{C3380CC4-5D6E-409C-BE32-E72D297353CC}">
                <c16:uniqueId val="{00000001-6C34-47F4-A65A-B8F9971E9A20}"/>
              </c:ext>
            </c:extLst>
          </c:dPt>
          <c:dLbls>
            <c:dLbl>
              <c:idx val="18"/>
              <c:layout/>
              <c:tx>
                <c:rich>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fld id="{3F4032EE-2B44-403A-8284-1A1FEB6785DE}" type="VALUE">
                      <a:rPr lang="en-US">
                        <a:solidFill>
                          <a:sysClr val="windowText" lastClr="000000"/>
                        </a:solidFill>
                      </a:rPr>
                      <a:pPr>
                        <a:defRPr/>
                      </a:pPr>
                      <a:t>[HODNOTA]</a:t>
                    </a:fld>
                    <a:endParaRPr lang="cs-CZ"/>
                  </a:p>
                </c:rich>
              </c:tx>
              <c:numFmt formatCode="#,##0" sourceLinked="0"/>
              <c:spPr>
                <a:solidFill>
                  <a:srgbClr val="BD2A33"/>
                </a:solid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C34-47F4-A65A-B8F9971E9A20}"/>
                </c:ext>
              </c:extLst>
            </c:dLbl>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'[ERC.xlsx]celkem graf'!$A$2:$A$33</c:f>
              <c:strCache>
                <c:ptCount val="32"/>
                <c:pt idx="0">
                  <c:v>Velká Británie</c:v>
                </c:pt>
                <c:pt idx="1">
                  <c:v>Německo</c:v>
                </c:pt>
                <c:pt idx="2">
                  <c:v>Francie</c:v>
                </c:pt>
                <c:pt idx="3">
                  <c:v>Nizozemsko</c:v>
                </c:pt>
                <c:pt idx="4">
                  <c:v>Švýcarsko</c:v>
                </c:pt>
                <c:pt idx="5">
                  <c:v>Španělsko</c:v>
                </c:pt>
                <c:pt idx="6">
                  <c:v>Izrael</c:v>
                </c:pt>
                <c:pt idx="7">
                  <c:v>Itálie</c:v>
                </c:pt>
                <c:pt idx="8">
                  <c:v>Belgie</c:v>
                </c:pt>
                <c:pt idx="9">
                  <c:v>Švédsko</c:v>
                </c:pt>
                <c:pt idx="10">
                  <c:v>Rakousko</c:v>
                </c:pt>
                <c:pt idx="11">
                  <c:v>Dánsko</c:v>
                </c:pt>
                <c:pt idx="12">
                  <c:v>Finsko</c:v>
                </c:pt>
                <c:pt idx="13">
                  <c:v>Irsko</c:v>
                </c:pt>
                <c:pt idx="14">
                  <c:v>Portugalsko</c:v>
                </c:pt>
                <c:pt idx="15">
                  <c:v>Norsko</c:v>
                </c:pt>
                <c:pt idx="16">
                  <c:v>Maďarsko</c:v>
                </c:pt>
                <c:pt idx="17">
                  <c:v>Řecko</c:v>
                </c:pt>
                <c:pt idx="18">
                  <c:v>Česká republika</c:v>
                </c:pt>
                <c:pt idx="19">
                  <c:v>Polsko</c:v>
                </c:pt>
                <c:pt idx="20">
                  <c:v>Turecko</c:v>
                </c:pt>
                <c:pt idx="21">
                  <c:v>Kypr</c:v>
                </c:pt>
                <c:pt idx="22">
                  <c:v>Estonsko</c:v>
                </c:pt>
                <c:pt idx="23">
                  <c:v>Island</c:v>
                </c:pt>
                <c:pt idx="24">
                  <c:v>Lucembursko</c:v>
                </c:pt>
                <c:pt idx="25">
                  <c:v>Rumunsko</c:v>
                </c:pt>
                <c:pt idx="26">
                  <c:v>Bulharsko</c:v>
                </c:pt>
                <c:pt idx="27">
                  <c:v>Chorvatsko</c:v>
                </c:pt>
                <c:pt idx="28">
                  <c:v>Slovinsko</c:v>
                </c:pt>
                <c:pt idx="29">
                  <c:v>Srbsko</c:v>
                </c:pt>
                <c:pt idx="30">
                  <c:v>Malta</c:v>
                </c:pt>
                <c:pt idx="31">
                  <c:v>Slovensko</c:v>
                </c:pt>
              </c:strCache>
            </c:strRef>
          </c:cat>
          <c:val>
            <c:numRef>
              <c:f>'[ERC.xlsx]celkem graf'!$B$2:$B$33</c:f>
              <c:numCache>
                <c:formatCode>General</c:formatCode>
                <c:ptCount val="32"/>
                <c:pt idx="0">
                  <c:v>1593</c:v>
                </c:pt>
                <c:pt idx="1">
                  <c:v>1091</c:v>
                </c:pt>
                <c:pt idx="2">
                  <c:v>935</c:v>
                </c:pt>
                <c:pt idx="3">
                  <c:v>672</c:v>
                </c:pt>
                <c:pt idx="4">
                  <c:v>504</c:v>
                </c:pt>
                <c:pt idx="5">
                  <c:v>447</c:v>
                </c:pt>
                <c:pt idx="6">
                  <c:v>417</c:v>
                </c:pt>
                <c:pt idx="7">
                  <c:v>408</c:v>
                </c:pt>
                <c:pt idx="8">
                  <c:v>261</c:v>
                </c:pt>
                <c:pt idx="9">
                  <c:v>253</c:v>
                </c:pt>
                <c:pt idx="10">
                  <c:v>191</c:v>
                </c:pt>
                <c:pt idx="11">
                  <c:v>146</c:v>
                </c:pt>
                <c:pt idx="12">
                  <c:v>118</c:v>
                </c:pt>
                <c:pt idx="13">
                  <c:v>78</c:v>
                </c:pt>
                <c:pt idx="14">
                  <c:v>73</c:v>
                </c:pt>
                <c:pt idx="15">
                  <c:v>68</c:v>
                </c:pt>
                <c:pt idx="16">
                  <c:v>57</c:v>
                </c:pt>
                <c:pt idx="17">
                  <c:v>51</c:v>
                </c:pt>
                <c:pt idx="18">
                  <c:v>25</c:v>
                </c:pt>
                <c:pt idx="19">
                  <c:v>25</c:v>
                </c:pt>
                <c:pt idx="20">
                  <c:v>18</c:v>
                </c:pt>
                <c:pt idx="21">
                  <c:v>14</c:v>
                </c:pt>
                <c:pt idx="22">
                  <c:v>6</c:v>
                </c:pt>
                <c:pt idx="23">
                  <c:v>5</c:v>
                </c:pt>
                <c:pt idx="24">
                  <c:v>5</c:v>
                </c:pt>
                <c:pt idx="25">
                  <c:v>4</c:v>
                </c:pt>
                <c:pt idx="26">
                  <c:v>3</c:v>
                </c:pt>
                <c:pt idx="27">
                  <c:v>3</c:v>
                </c:pt>
                <c:pt idx="28">
                  <c:v>3</c:v>
                </c:pt>
                <c:pt idx="29">
                  <c:v>2</c:v>
                </c:pt>
                <c:pt idx="30">
                  <c:v>1</c:v>
                </c:pt>
                <c:pt idx="31">
                  <c:v>1</c:v>
                </c:pt>
              </c:numCache>
            </c:numRef>
          </c:val>
          <c:extLst>
            <c:ext xmlns:c16="http://schemas.microsoft.com/office/drawing/2014/chart" uri="{C3380CC4-5D6E-409C-BE32-E72D297353CC}">
              <c16:uniqueId val="{00000002-6C34-47F4-A65A-B8F9971E9A20}"/>
            </c:ext>
          </c:extLst>
        </c:ser>
        <c:dLbls>
          <c:dLblPos val="outEnd"/>
          <c:showLegendKey val="0"/>
          <c:showVal val="1"/>
          <c:showCatName val="0"/>
          <c:showSerName val="0"/>
          <c:showPercent val="0"/>
          <c:showBubbleSize val="0"/>
        </c:dLbls>
        <c:gapWidth val="444"/>
        <c:overlap val="-90"/>
        <c:axId val="306726752"/>
        <c:axId val="310711624"/>
      </c:barChart>
      <c:catAx>
        <c:axId val="30672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Calibri" panose="020F0502020204030204" pitchFamily="34" charset="0"/>
                <a:ea typeface="+mn-ea"/>
                <a:cs typeface="+mn-cs"/>
              </a:defRPr>
            </a:pPr>
            <a:endParaRPr lang="cs-CZ"/>
          </a:p>
        </c:txPr>
        <c:crossAx val="310711624"/>
        <c:crosses val="autoZero"/>
        <c:auto val="1"/>
        <c:lblAlgn val="ctr"/>
        <c:lblOffset val="100"/>
        <c:noMultiLvlLbl val="0"/>
      </c:catAx>
      <c:valAx>
        <c:axId val="310711624"/>
        <c:scaling>
          <c:orientation val="minMax"/>
        </c:scaling>
        <c:delete val="1"/>
        <c:axPos val="l"/>
        <c:numFmt formatCode="General" sourceLinked="1"/>
        <c:majorTickMark val="none"/>
        <c:minorTickMark val="none"/>
        <c:tickLblPos val="nextTo"/>
        <c:crossAx val="3067267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latin typeface="+mn-lt"/>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77CB-1EFB-4592-8D4F-ED5D3B0B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F7F0E9B.dotm</Template>
  <TotalTime>3</TotalTime>
  <Pages>19</Pages>
  <Words>6360</Words>
  <Characters>37530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Kontrolní závěr z kontrolní akce NKÚ č. 16/19 - Peněžní prostředky státu určené na účelovou podporu výzkumu a vývoje prostřednictvím rozpočtové kapitoly Grantová agentura České republiky</vt:lpstr>
    </vt:vector>
  </TitlesOfParts>
  <Company>NKU</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16/19 - Peněžní prostředky státu určené na účelovou podporu výzkumu a vývoje prostřednictvím rozpočtové kapitoly Grantová agentura České republiky</dc:title>
  <dc:subject>Kontrolní závěr z kontrolní akce NKÚ č. 16/19 - Peněžní prostředky státu určené na účelovou podporu výzkumu a vývoje prostřednictvím rozpočtové kapitoly Grantová agentura České republiky</dc:subject>
  <dc:creator>Nejvyšší kontrolní úřad</dc:creator>
  <cp:keywords/>
  <dc:description/>
  <cp:lastModifiedBy>KOKRDA Daniel</cp:lastModifiedBy>
  <cp:revision>5</cp:revision>
  <cp:lastPrinted>2017-03-28T10:15:00Z</cp:lastPrinted>
  <dcterms:created xsi:type="dcterms:W3CDTF">2017-03-28T10:14:00Z</dcterms:created>
  <dcterms:modified xsi:type="dcterms:W3CDTF">2017-03-28T10:17:00Z</dcterms:modified>
</cp:coreProperties>
</file>