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BDB10" w14:textId="6F80B0D7" w:rsidR="00853B8D" w:rsidRPr="00853B8D" w:rsidRDefault="00853B8D" w:rsidP="00853B8D">
      <w:pPr>
        <w:spacing w:after="0" w:line="240" w:lineRule="auto"/>
        <w:jc w:val="center"/>
        <w:outlineLvl w:val="0"/>
        <w:rPr>
          <w:rFonts w:ascii="Calibri" w:eastAsia="Times New Roman" w:hAnsi="Calibri" w:cs="Calibri"/>
          <w:b/>
          <w:sz w:val="24"/>
          <w:szCs w:val="28"/>
          <w:lang w:eastAsia="cs-CZ"/>
        </w:rPr>
      </w:pPr>
      <w:r w:rsidRPr="00853B8D">
        <w:rPr>
          <w:rFonts w:ascii="Calibri" w:eastAsia="Times New Roman" w:hAnsi="Calibri" w:cs="Calibri"/>
          <w:b/>
          <w:noProof/>
          <w:sz w:val="20"/>
          <w:szCs w:val="20"/>
          <w:lang w:eastAsia="cs-CZ"/>
        </w:rPr>
        <w:drawing>
          <wp:anchor distT="0" distB="0" distL="114300" distR="114300" simplePos="0" relativeHeight="251659264" behindDoc="0" locked="0" layoutInCell="1" allowOverlap="1" wp14:anchorId="2EAAC51F" wp14:editId="685912B9">
            <wp:simplePos x="0" y="0"/>
            <wp:positionH relativeFrom="column">
              <wp:posOffset>2503170</wp:posOffset>
            </wp:positionH>
            <wp:positionV relativeFrom="paragraph">
              <wp:posOffset>14909</wp:posOffset>
            </wp:positionV>
            <wp:extent cx="763270" cy="539750"/>
            <wp:effectExtent l="0" t="0" r="0" b="0"/>
            <wp:wrapTopAndBottom/>
            <wp:docPr id="1"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014FCB49" w14:textId="77777777" w:rsidR="00916EDC" w:rsidRPr="00853B8D" w:rsidRDefault="00916EDC" w:rsidP="00853B8D">
      <w:pPr>
        <w:spacing w:after="0" w:line="240" w:lineRule="auto"/>
        <w:jc w:val="center"/>
        <w:outlineLvl w:val="0"/>
        <w:rPr>
          <w:rFonts w:ascii="Calibri" w:eastAsia="Times New Roman" w:hAnsi="Calibri" w:cs="Calibri"/>
          <w:b/>
          <w:sz w:val="24"/>
          <w:szCs w:val="28"/>
          <w:lang w:eastAsia="cs-CZ"/>
        </w:rPr>
      </w:pPr>
    </w:p>
    <w:p w14:paraId="6D365428" w14:textId="77777777" w:rsidR="00853B8D" w:rsidRPr="00853B8D" w:rsidRDefault="00853B8D" w:rsidP="00853B8D">
      <w:pPr>
        <w:spacing w:after="0" w:line="240" w:lineRule="auto"/>
        <w:jc w:val="center"/>
        <w:outlineLvl w:val="0"/>
        <w:rPr>
          <w:rFonts w:ascii="Calibri" w:eastAsia="Times New Roman" w:hAnsi="Calibri" w:cs="Calibri"/>
          <w:b/>
          <w:sz w:val="24"/>
          <w:szCs w:val="28"/>
          <w:lang w:eastAsia="cs-CZ"/>
        </w:rPr>
      </w:pPr>
    </w:p>
    <w:p w14:paraId="58477BEA" w14:textId="77777777" w:rsidR="00916EDC" w:rsidRPr="00916EDC" w:rsidRDefault="00916EDC" w:rsidP="00916EDC">
      <w:pPr>
        <w:spacing w:after="0" w:line="240" w:lineRule="auto"/>
        <w:jc w:val="center"/>
        <w:outlineLvl w:val="0"/>
        <w:rPr>
          <w:rFonts w:eastAsia="Times New Roman" w:cstheme="minorHAnsi"/>
          <w:b/>
          <w:sz w:val="28"/>
          <w:szCs w:val="28"/>
          <w:lang w:eastAsia="cs-CZ"/>
        </w:rPr>
      </w:pPr>
      <w:bookmarkStart w:id="0" w:name="_GoBack"/>
      <w:r w:rsidRPr="00916EDC">
        <w:rPr>
          <w:rFonts w:eastAsia="Times New Roman" w:cstheme="minorHAnsi"/>
          <w:b/>
          <w:sz w:val="28"/>
          <w:szCs w:val="28"/>
          <w:lang w:eastAsia="cs-CZ"/>
        </w:rPr>
        <w:t>Kontrolní závěr z kontrolní akce</w:t>
      </w:r>
    </w:p>
    <w:p w14:paraId="4969AF47" w14:textId="77777777" w:rsidR="00916EDC" w:rsidRPr="00916EDC" w:rsidRDefault="00916EDC" w:rsidP="00916EDC">
      <w:pPr>
        <w:spacing w:after="0" w:line="240" w:lineRule="auto"/>
        <w:jc w:val="center"/>
        <w:outlineLvl w:val="0"/>
        <w:rPr>
          <w:rFonts w:eastAsia="Times New Roman" w:cstheme="minorHAnsi"/>
          <w:b/>
          <w:sz w:val="28"/>
          <w:szCs w:val="28"/>
          <w:lang w:eastAsia="cs-CZ"/>
        </w:rPr>
      </w:pPr>
    </w:p>
    <w:p w14:paraId="76760684" w14:textId="77777777" w:rsidR="00916EDC" w:rsidRPr="00916EDC" w:rsidRDefault="00916EDC" w:rsidP="00916EDC">
      <w:pPr>
        <w:spacing w:after="0" w:line="240" w:lineRule="auto"/>
        <w:jc w:val="center"/>
        <w:rPr>
          <w:rFonts w:eastAsia="Times New Roman" w:cstheme="minorHAnsi"/>
          <w:b/>
          <w:bCs/>
          <w:sz w:val="28"/>
          <w:szCs w:val="28"/>
        </w:rPr>
      </w:pPr>
      <w:r w:rsidRPr="00916EDC">
        <w:rPr>
          <w:rFonts w:eastAsia="Times New Roman" w:cstheme="minorHAnsi"/>
          <w:b/>
          <w:bCs/>
          <w:sz w:val="28"/>
          <w:szCs w:val="28"/>
        </w:rPr>
        <w:t>17/04</w:t>
      </w:r>
    </w:p>
    <w:p w14:paraId="28E4D9FC" w14:textId="77777777" w:rsidR="00916EDC" w:rsidRPr="00916EDC" w:rsidRDefault="00916EDC" w:rsidP="00916EDC">
      <w:pPr>
        <w:spacing w:after="0" w:line="240" w:lineRule="auto"/>
        <w:jc w:val="center"/>
        <w:rPr>
          <w:rFonts w:eastAsia="Times New Roman" w:cstheme="minorHAnsi"/>
          <w:b/>
          <w:bCs/>
          <w:sz w:val="28"/>
          <w:szCs w:val="28"/>
        </w:rPr>
      </w:pPr>
    </w:p>
    <w:p w14:paraId="6E8B5EE7" w14:textId="77777777" w:rsidR="00916EDC" w:rsidRPr="00916EDC" w:rsidRDefault="00916EDC" w:rsidP="00916EDC">
      <w:pPr>
        <w:spacing w:before="120" w:after="0" w:line="200" w:lineRule="atLeast"/>
        <w:jc w:val="center"/>
        <w:rPr>
          <w:rFonts w:eastAsia="Times New Roman" w:cstheme="minorHAnsi"/>
          <w:b/>
          <w:sz w:val="28"/>
          <w:szCs w:val="28"/>
        </w:rPr>
      </w:pPr>
      <w:r w:rsidRPr="00916EDC">
        <w:rPr>
          <w:rFonts w:eastAsia="Times New Roman" w:cstheme="minorHAnsi"/>
          <w:b/>
          <w:sz w:val="28"/>
          <w:szCs w:val="28"/>
        </w:rPr>
        <w:t xml:space="preserve">Odstraňování starých ekologických zátěží vzniklých před privatizací </w:t>
      </w:r>
    </w:p>
    <w:bookmarkEnd w:id="0"/>
    <w:p w14:paraId="73C4B342" w14:textId="77777777" w:rsidR="00916EDC" w:rsidRPr="00916EDC" w:rsidRDefault="00916EDC" w:rsidP="00916EDC">
      <w:pPr>
        <w:spacing w:after="0" w:line="240" w:lineRule="auto"/>
        <w:jc w:val="center"/>
        <w:rPr>
          <w:rFonts w:eastAsia="Times New Roman" w:cstheme="minorHAnsi"/>
          <w:b/>
          <w:sz w:val="28"/>
          <w:szCs w:val="28"/>
        </w:rPr>
      </w:pPr>
    </w:p>
    <w:p w14:paraId="5C1DE82E" w14:textId="77777777" w:rsidR="00916EDC" w:rsidRPr="00916EDC" w:rsidRDefault="00916EDC" w:rsidP="00916EDC">
      <w:pPr>
        <w:tabs>
          <w:tab w:val="left" w:pos="7988"/>
        </w:tabs>
        <w:spacing w:after="0" w:line="240" w:lineRule="auto"/>
        <w:jc w:val="both"/>
        <w:rPr>
          <w:rFonts w:eastAsia="Times New Roman" w:cstheme="minorHAnsi"/>
        </w:rPr>
      </w:pPr>
    </w:p>
    <w:p w14:paraId="02611AA3"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Kontrolní akce byla zařazena do plánu kontrolní činnosti Nejvyššího kontrolního úřadu (dále jen „NKÚ“) na rok 2017 pod číslem 17/04. Kontrolní akci řídil a kontrolní závěr vypracoval člen NKÚ Ing. Jan Málek.</w:t>
      </w:r>
    </w:p>
    <w:p w14:paraId="62477E3C" w14:textId="77777777" w:rsidR="00916EDC" w:rsidRPr="00916EDC" w:rsidRDefault="00916EDC" w:rsidP="00916EDC">
      <w:pPr>
        <w:spacing w:after="0" w:line="240" w:lineRule="auto"/>
        <w:jc w:val="both"/>
        <w:rPr>
          <w:rFonts w:eastAsia="Times New Roman" w:cstheme="minorHAnsi"/>
          <w:sz w:val="24"/>
          <w:szCs w:val="24"/>
        </w:rPr>
      </w:pPr>
    </w:p>
    <w:p w14:paraId="6BC2A547" w14:textId="77777777" w:rsidR="00916EDC" w:rsidRPr="00916EDC" w:rsidRDefault="00916EDC" w:rsidP="00916EDC">
      <w:pPr>
        <w:spacing w:before="120" w:after="0" w:line="200" w:lineRule="atLeast"/>
        <w:jc w:val="both"/>
        <w:rPr>
          <w:rFonts w:eastAsia="Times New Roman" w:cstheme="minorHAnsi"/>
          <w:sz w:val="24"/>
          <w:szCs w:val="24"/>
        </w:rPr>
      </w:pPr>
      <w:r w:rsidRPr="00916EDC">
        <w:rPr>
          <w:rFonts w:eastAsia="Times New Roman" w:cstheme="minorHAnsi"/>
          <w:sz w:val="24"/>
          <w:szCs w:val="24"/>
        </w:rPr>
        <w:t xml:space="preserve">Cílem kontroly bylo zjistit, zda je nastaven účinný a hospodárný systém pro likvidaci starých ekologických zátěží způsobených státními podniky před jejich privatizací a zda jsou pro jejich realizaci zajištěny dostatečné prostředky. </w:t>
      </w:r>
    </w:p>
    <w:p w14:paraId="254B91B3" w14:textId="77777777" w:rsidR="00916EDC" w:rsidRPr="00916EDC" w:rsidRDefault="00916EDC" w:rsidP="00916EDC">
      <w:pPr>
        <w:spacing w:after="0" w:line="240" w:lineRule="auto"/>
        <w:jc w:val="both"/>
        <w:rPr>
          <w:rFonts w:eastAsia="Times New Roman" w:cstheme="minorHAnsi"/>
          <w:sz w:val="24"/>
          <w:szCs w:val="24"/>
        </w:rPr>
      </w:pPr>
    </w:p>
    <w:p w14:paraId="5F215212"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 xml:space="preserve">Kontrola byla prováděna u kontrolovaných osob v období od ledna 2017 do července 2017. Kontrolovaným obdobím bylo období od roku 2011 do 2016, v případě věcných souvislostí i období předcházející a období do ukončení kontroly. </w:t>
      </w:r>
    </w:p>
    <w:p w14:paraId="1C5678C6" w14:textId="77777777" w:rsidR="00916EDC" w:rsidRPr="00916EDC" w:rsidRDefault="00916EDC" w:rsidP="00916EDC">
      <w:pPr>
        <w:spacing w:after="0" w:line="240" w:lineRule="auto"/>
        <w:jc w:val="both"/>
        <w:rPr>
          <w:rFonts w:eastAsia="Times New Roman" w:cstheme="minorHAnsi"/>
          <w:sz w:val="24"/>
          <w:szCs w:val="24"/>
        </w:rPr>
      </w:pPr>
    </w:p>
    <w:p w14:paraId="3C63FD8D"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Kontrolované osoby:</w:t>
      </w:r>
    </w:p>
    <w:p w14:paraId="6302D7D9"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Ministerstvo financí (dále také „MF“),</w:t>
      </w:r>
    </w:p>
    <w:p w14:paraId="7F1F8090" w14:textId="77777777" w:rsidR="00916EDC" w:rsidRPr="00916EDC" w:rsidRDefault="00916EDC" w:rsidP="00916EDC">
      <w:pPr>
        <w:spacing w:after="0" w:line="240" w:lineRule="auto"/>
        <w:jc w:val="both"/>
        <w:rPr>
          <w:rFonts w:eastAsia="Times New Roman" w:cs="Calibri"/>
          <w:sz w:val="24"/>
          <w:szCs w:val="24"/>
        </w:rPr>
      </w:pPr>
      <w:r w:rsidRPr="00916EDC">
        <w:rPr>
          <w:rFonts w:eastAsia="Times New Roman" w:cs="Calibri"/>
          <w:noProof/>
          <w:sz w:val="24"/>
          <w:szCs w:val="24"/>
        </w:rPr>
        <w:t>Ministerstvo životního prostředí (dále také „MŽP“)</w:t>
      </w:r>
      <w:r w:rsidR="00BC1316">
        <w:rPr>
          <w:rFonts w:eastAsia="Times New Roman" w:cs="Calibri"/>
          <w:noProof/>
          <w:sz w:val="24"/>
          <w:szCs w:val="24"/>
        </w:rPr>
        <w:t>.</w:t>
      </w:r>
    </w:p>
    <w:p w14:paraId="76940141" w14:textId="77777777" w:rsidR="00916EDC" w:rsidRPr="00916EDC" w:rsidRDefault="00916EDC" w:rsidP="00916EDC">
      <w:pPr>
        <w:spacing w:after="0" w:line="240" w:lineRule="auto"/>
        <w:jc w:val="both"/>
        <w:rPr>
          <w:rFonts w:eastAsia="Times New Roman" w:cstheme="minorHAnsi"/>
          <w:sz w:val="24"/>
          <w:szCs w:val="24"/>
        </w:rPr>
      </w:pPr>
    </w:p>
    <w:p w14:paraId="27011F03"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Námitky, které proti kontrolnímu protokolu podalo MF, byly vypořádány vedoucí skupiny kontrolujících rozhodnutím o námitkách.</w:t>
      </w:r>
    </w:p>
    <w:p w14:paraId="710F8E6D" w14:textId="77777777" w:rsidR="00916EDC" w:rsidRPr="00916EDC" w:rsidRDefault="00916EDC" w:rsidP="00916EDC">
      <w:pPr>
        <w:spacing w:after="0" w:line="240" w:lineRule="auto"/>
        <w:jc w:val="both"/>
        <w:rPr>
          <w:rFonts w:eastAsia="Times New Roman" w:cstheme="minorHAnsi"/>
          <w:sz w:val="24"/>
          <w:szCs w:val="24"/>
        </w:rPr>
      </w:pPr>
    </w:p>
    <w:p w14:paraId="7CD7F1B7" w14:textId="77777777" w:rsidR="00916EDC" w:rsidRPr="00916EDC" w:rsidRDefault="00916EDC" w:rsidP="00916EDC">
      <w:pPr>
        <w:spacing w:after="0" w:line="240" w:lineRule="auto"/>
        <w:jc w:val="both"/>
        <w:rPr>
          <w:rFonts w:eastAsia="Times New Roman" w:cstheme="minorHAnsi"/>
          <w:sz w:val="24"/>
          <w:szCs w:val="24"/>
        </w:rPr>
      </w:pPr>
    </w:p>
    <w:p w14:paraId="0360FF15" w14:textId="3F19675C"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b/>
          <w:bCs/>
          <w:i/>
          <w:iCs/>
          <w:sz w:val="24"/>
          <w:szCs w:val="24"/>
        </w:rPr>
        <w:t xml:space="preserve">K o l e g i u m   N K Ú  </w:t>
      </w:r>
      <w:r w:rsidRPr="00916EDC">
        <w:rPr>
          <w:rFonts w:eastAsia="Times New Roman" w:cstheme="minorHAnsi"/>
          <w:sz w:val="24"/>
          <w:szCs w:val="24"/>
        </w:rPr>
        <w:t xml:space="preserve"> na svém </w:t>
      </w:r>
      <w:r w:rsidR="00F90BA5">
        <w:rPr>
          <w:rFonts w:eastAsia="Times New Roman" w:cstheme="minorHAnsi"/>
          <w:sz w:val="24"/>
          <w:szCs w:val="24"/>
        </w:rPr>
        <w:t>XV.</w:t>
      </w:r>
      <w:r w:rsidRPr="00916EDC">
        <w:rPr>
          <w:rFonts w:eastAsia="Times New Roman" w:cstheme="minorHAnsi"/>
          <w:sz w:val="24"/>
          <w:szCs w:val="24"/>
        </w:rPr>
        <w:t xml:space="preserve"> jednání, </w:t>
      </w:r>
      <w:r w:rsidR="00AB7E36">
        <w:rPr>
          <w:rFonts w:eastAsia="Times New Roman" w:cstheme="minorHAnsi"/>
          <w:sz w:val="24"/>
          <w:szCs w:val="24"/>
        </w:rPr>
        <w:t xml:space="preserve">které se </w:t>
      </w:r>
      <w:r w:rsidRPr="00916EDC">
        <w:rPr>
          <w:rFonts w:eastAsia="Times New Roman" w:cstheme="minorHAnsi"/>
          <w:sz w:val="24"/>
          <w:szCs w:val="24"/>
        </w:rPr>
        <w:t>kona</w:t>
      </w:r>
      <w:r w:rsidR="00AB7E36">
        <w:rPr>
          <w:rFonts w:eastAsia="Times New Roman" w:cstheme="minorHAnsi"/>
          <w:sz w:val="24"/>
          <w:szCs w:val="24"/>
        </w:rPr>
        <w:t>lo</w:t>
      </w:r>
      <w:r w:rsidRPr="00916EDC">
        <w:rPr>
          <w:rFonts w:eastAsia="Times New Roman" w:cstheme="minorHAnsi"/>
          <w:sz w:val="24"/>
          <w:szCs w:val="24"/>
        </w:rPr>
        <w:t xml:space="preserve"> dne </w:t>
      </w:r>
      <w:r w:rsidR="00F90BA5">
        <w:rPr>
          <w:rFonts w:eastAsia="Times New Roman" w:cstheme="minorHAnsi"/>
          <w:sz w:val="24"/>
          <w:szCs w:val="24"/>
        </w:rPr>
        <w:t>23. října</w:t>
      </w:r>
      <w:r w:rsidRPr="00916EDC">
        <w:rPr>
          <w:rFonts w:eastAsia="Times New Roman" w:cstheme="minorHAnsi"/>
          <w:sz w:val="24"/>
          <w:szCs w:val="24"/>
        </w:rPr>
        <w:t xml:space="preserve"> 2017, </w:t>
      </w:r>
    </w:p>
    <w:p w14:paraId="3B267703" w14:textId="77777777" w:rsidR="00916EDC" w:rsidRPr="00916EDC" w:rsidRDefault="00916EDC" w:rsidP="00916EDC">
      <w:pPr>
        <w:spacing w:after="0" w:line="240" w:lineRule="auto"/>
        <w:jc w:val="both"/>
        <w:rPr>
          <w:rFonts w:eastAsia="Times New Roman" w:cstheme="minorHAnsi"/>
          <w:sz w:val="24"/>
          <w:szCs w:val="24"/>
          <w:lang w:eastAsia="cs-CZ"/>
        </w:rPr>
      </w:pPr>
      <w:proofErr w:type="gramStart"/>
      <w:r w:rsidRPr="00916EDC">
        <w:rPr>
          <w:rFonts w:eastAsia="Times New Roman" w:cstheme="minorHAnsi"/>
          <w:b/>
          <w:bCs/>
          <w:i/>
          <w:iCs/>
          <w:sz w:val="24"/>
          <w:szCs w:val="24"/>
          <w:lang w:eastAsia="cs-CZ"/>
        </w:rPr>
        <w:t xml:space="preserve">s c h v á l i l o  </w:t>
      </w:r>
      <w:r w:rsidRPr="00916EDC">
        <w:rPr>
          <w:rFonts w:eastAsia="Times New Roman" w:cstheme="minorHAnsi"/>
          <w:sz w:val="24"/>
          <w:szCs w:val="24"/>
          <w:lang w:eastAsia="cs-CZ"/>
        </w:rPr>
        <w:t xml:space="preserve"> usnesením č.</w:t>
      </w:r>
      <w:proofErr w:type="gramEnd"/>
      <w:r w:rsidRPr="00916EDC">
        <w:rPr>
          <w:rFonts w:eastAsia="Times New Roman" w:cstheme="minorHAnsi"/>
          <w:sz w:val="24"/>
          <w:szCs w:val="24"/>
          <w:lang w:eastAsia="cs-CZ"/>
        </w:rPr>
        <w:t xml:space="preserve"> </w:t>
      </w:r>
      <w:r w:rsidR="00952072">
        <w:rPr>
          <w:rFonts w:eastAsia="Times New Roman" w:cstheme="minorHAnsi"/>
          <w:sz w:val="24"/>
          <w:szCs w:val="24"/>
          <w:lang w:eastAsia="cs-CZ"/>
        </w:rPr>
        <w:t>12</w:t>
      </w:r>
      <w:r w:rsidRPr="00916EDC">
        <w:rPr>
          <w:rFonts w:eastAsia="Times New Roman" w:cstheme="minorHAnsi"/>
          <w:sz w:val="24"/>
          <w:szCs w:val="24"/>
          <w:lang w:eastAsia="cs-CZ"/>
        </w:rPr>
        <w:t>/</w:t>
      </w:r>
      <w:r w:rsidR="00F90BA5">
        <w:rPr>
          <w:rFonts w:eastAsia="Times New Roman" w:cstheme="minorHAnsi"/>
          <w:sz w:val="24"/>
          <w:szCs w:val="24"/>
          <w:lang w:eastAsia="cs-CZ"/>
        </w:rPr>
        <w:t>XV</w:t>
      </w:r>
      <w:r w:rsidRPr="00916EDC">
        <w:rPr>
          <w:rFonts w:eastAsia="Times New Roman" w:cstheme="minorHAnsi"/>
          <w:sz w:val="24"/>
          <w:szCs w:val="24"/>
          <w:lang w:eastAsia="cs-CZ"/>
        </w:rPr>
        <w:t>/2017</w:t>
      </w:r>
    </w:p>
    <w:p w14:paraId="4DB07246" w14:textId="77777777" w:rsidR="00916EDC" w:rsidRPr="00916EDC" w:rsidRDefault="00916EDC" w:rsidP="00916EDC">
      <w:pPr>
        <w:spacing w:after="0" w:line="240" w:lineRule="auto"/>
        <w:jc w:val="both"/>
        <w:rPr>
          <w:rFonts w:eastAsia="Times New Roman" w:cstheme="minorHAnsi"/>
          <w:sz w:val="24"/>
          <w:szCs w:val="24"/>
          <w:lang w:eastAsia="cs-CZ"/>
        </w:rPr>
      </w:pPr>
      <w:r w:rsidRPr="00916EDC">
        <w:rPr>
          <w:rFonts w:eastAsia="Times New Roman" w:cstheme="minorHAnsi"/>
          <w:b/>
          <w:bCs/>
          <w:i/>
          <w:iCs/>
          <w:sz w:val="24"/>
          <w:szCs w:val="24"/>
          <w:lang w:eastAsia="cs-CZ"/>
        </w:rPr>
        <w:t>k o n t r o l n í   z á v ě r</w:t>
      </w:r>
      <w:r w:rsidRPr="00916EDC">
        <w:rPr>
          <w:rFonts w:eastAsia="Times New Roman" w:cstheme="minorHAnsi"/>
          <w:sz w:val="24"/>
          <w:szCs w:val="24"/>
          <w:lang w:eastAsia="cs-CZ"/>
        </w:rPr>
        <w:t xml:space="preserve">   v tomto znění:</w:t>
      </w:r>
    </w:p>
    <w:p w14:paraId="051CCC83" w14:textId="77777777" w:rsidR="00916EDC" w:rsidRPr="00916EDC" w:rsidRDefault="00916EDC" w:rsidP="00916EDC">
      <w:pPr>
        <w:spacing w:after="0" w:line="240" w:lineRule="auto"/>
        <w:jc w:val="both"/>
        <w:rPr>
          <w:rFonts w:eastAsia="Times New Roman" w:cstheme="minorHAnsi"/>
          <w:sz w:val="24"/>
          <w:szCs w:val="24"/>
          <w:lang w:eastAsia="cs-CZ"/>
        </w:rPr>
      </w:pPr>
    </w:p>
    <w:p w14:paraId="3CDE7257" w14:textId="77777777" w:rsidR="00916EDC" w:rsidRPr="00916EDC" w:rsidRDefault="00916EDC" w:rsidP="00916EDC">
      <w:pPr>
        <w:spacing w:after="0" w:line="240" w:lineRule="auto"/>
        <w:jc w:val="both"/>
        <w:rPr>
          <w:rFonts w:eastAsia="Times New Roman" w:cstheme="minorHAnsi"/>
          <w:sz w:val="24"/>
          <w:szCs w:val="24"/>
          <w:lang w:eastAsia="cs-CZ"/>
        </w:rPr>
      </w:pPr>
    </w:p>
    <w:p w14:paraId="3CD548A6" w14:textId="77777777" w:rsidR="00916EDC" w:rsidRPr="00916EDC" w:rsidRDefault="00916EDC" w:rsidP="00916EDC">
      <w:pPr>
        <w:spacing w:after="200" w:line="240" w:lineRule="auto"/>
        <w:rPr>
          <w:rFonts w:eastAsia="Times New Roman" w:cstheme="minorHAnsi"/>
          <w:sz w:val="24"/>
          <w:szCs w:val="24"/>
          <w:lang w:eastAsia="cs-CZ"/>
        </w:rPr>
      </w:pPr>
      <w:r w:rsidRPr="00916EDC">
        <w:rPr>
          <w:rFonts w:eastAsia="Times New Roman" w:cstheme="minorHAnsi"/>
          <w:sz w:val="24"/>
          <w:szCs w:val="24"/>
        </w:rPr>
        <w:br w:type="page"/>
      </w:r>
    </w:p>
    <w:p w14:paraId="5D50E85C" w14:textId="77777777" w:rsidR="00916EDC" w:rsidRPr="00543633" w:rsidRDefault="00916EDC" w:rsidP="00916EDC">
      <w:pPr>
        <w:spacing w:after="200" w:line="276" w:lineRule="auto"/>
        <w:contextualSpacing/>
        <w:jc w:val="center"/>
        <w:rPr>
          <w:rFonts w:eastAsia="Calibri" w:cstheme="minorHAnsi"/>
          <w:b/>
          <w:bCs/>
          <w:sz w:val="28"/>
          <w:szCs w:val="24"/>
        </w:rPr>
      </w:pPr>
      <w:r w:rsidRPr="00543633">
        <w:rPr>
          <w:rFonts w:eastAsia="Calibri" w:cstheme="minorHAnsi"/>
          <w:b/>
          <w:bCs/>
          <w:sz w:val="28"/>
          <w:szCs w:val="24"/>
        </w:rPr>
        <w:lastRenderedPageBreak/>
        <w:t>I. Úvod</w:t>
      </w:r>
    </w:p>
    <w:p w14:paraId="03EF0C62" w14:textId="77777777" w:rsidR="00921F32" w:rsidRPr="00921F32" w:rsidRDefault="00921F32" w:rsidP="00916EDC">
      <w:pPr>
        <w:spacing w:after="0" w:line="240" w:lineRule="auto"/>
        <w:jc w:val="both"/>
        <w:rPr>
          <w:rFonts w:eastAsia="Times New Roman" w:cstheme="minorHAnsi"/>
          <w:bCs/>
          <w:sz w:val="24"/>
          <w:szCs w:val="24"/>
        </w:rPr>
      </w:pPr>
    </w:p>
    <w:p w14:paraId="04BAC1DB" w14:textId="77777777" w:rsidR="00916EDC" w:rsidRPr="00916EDC" w:rsidRDefault="00AB7E36" w:rsidP="00916EDC">
      <w:pPr>
        <w:spacing w:after="0" w:line="240" w:lineRule="auto"/>
        <w:jc w:val="both"/>
        <w:rPr>
          <w:rFonts w:eastAsia="Times New Roman" w:cstheme="minorHAnsi"/>
          <w:b/>
          <w:bCs/>
          <w:sz w:val="24"/>
          <w:szCs w:val="24"/>
        </w:rPr>
      </w:pPr>
      <w:r>
        <w:rPr>
          <w:rFonts w:eastAsia="Times New Roman" w:cstheme="minorHAnsi"/>
          <w:b/>
          <w:bCs/>
          <w:sz w:val="24"/>
          <w:szCs w:val="24"/>
        </w:rPr>
        <w:t xml:space="preserve">1. </w:t>
      </w:r>
      <w:r w:rsidR="00916EDC" w:rsidRPr="00916EDC">
        <w:rPr>
          <w:rFonts w:eastAsia="Times New Roman" w:cstheme="minorHAnsi"/>
          <w:b/>
          <w:bCs/>
          <w:sz w:val="24"/>
          <w:szCs w:val="24"/>
        </w:rPr>
        <w:t>Informace o kontrolované oblasti</w:t>
      </w:r>
    </w:p>
    <w:p w14:paraId="0BAB8F28" w14:textId="77777777" w:rsidR="002827CC" w:rsidRDefault="002827CC" w:rsidP="002827CC">
      <w:pPr>
        <w:spacing w:after="0" w:line="240" w:lineRule="auto"/>
        <w:jc w:val="both"/>
        <w:rPr>
          <w:rFonts w:eastAsia="Times New Roman" w:cstheme="minorHAnsi"/>
          <w:color w:val="000000"/>
          <w:sz w:val="24"/>
          <w:szCs w:val="24"/>
        </w:rPr>
      </w:pPr>
    </w:p>
    <w:p w14:paraId="4F9FA588" w14:textId="391EA88E" w:rsidR="00916EDC" w:rsidRPr="00916EDC" w:rsidRDefault="00916EDC" w:rsidP="002827CC">
      <w:pPr>
        <w:spacing w:after="0" w:line="240" w:lineRule="auto"/>
        <w:jc w:val="both"/>
        <w:rPr>
          <w:rFonts w:eastAsia="Times New Roman" w:cstheme="minorHAnsi"/>
          <w:sz w:val="24"/>
          <w:szCs w:val="24"/>
        </w:rPr>
      </w:pPr>
      <w:r w:rsidRPr="00916EDC">
        <w:rPr>
          <w:rFonts w:eastAsia="Times New Roman" w:cstheme="minorHAnsi"/>
          <w:color w:val="000000"/>
          <w:sz w:val="24"/>
          <w:szCs w:val="24"/>
        </w:rPr>
        <w:t>Při privatizaci majetku státu přešly na nabyvatele privatizovaného majetku,</w:t>
      </w:r>
      <w:r w:rsidR="00AB7E36">
        <w:rPr>
          <w:rFonts w:eastAsia="Times New Roman" w:cstheme="minorHAnsi"/>
          <w:color w:val="000000"/>
          <w:sz w:val="24"/>
          <w:szCs w:val="24"/>
        </w:rPr>
        <w:t xml:space="preserve"> </w:t>
      </w:r>
      <w:r w:rsidRPr="00916EDC">
        <w:rPr>
          <w:rFonts w:eastAsia="Times New Roman" w:cstheme="minorHAnsi"/>
          <w:color w:val="000000"/>
          <w:sz w:val="24"/>
          <w:szCs w:val="24"/>
        </w:rPr>
        <w:t>případně později na jejich právní nástupce, (dále také „nabyvatelé“) i závazky spojené</w:t>
      </w:r>
      <w:r w:rsidR="00AB7E36">
        <w:rPr>
          <w:rFonts w:eastAsia="Times New Roman" w:cstheme="minorHAnsi"/>
          <w:color w:val="000000"/>
          <w:sz w:val="24"/>
          <w:szCs w:val="24"/>
        </w:rPr>
        <w:t xml:space="preserve"> </w:t>
      </w:r>
      <w:r w:rsidRPr="00916EDC">
        <w:rPr>
          <w:rFonts w:eastAsia="Times New Roman" w:cstheme="minorHAnsi"/>
          <w:color w:val="000000"/>
          <w:sz w:val="24"/>
          <w:szCs w:val="24"/>
        </w:rPr>
        <w:t xml:space="preserve">s odstraněním starých ekologických zátěží vzniklých před privatizací (dále také „SEZ“). Nabyvatelé odpovídají </w:t>
      </w:r>
      <w:r w:rsidRPr="00916EDC">
        <w:rPr>
          <w:rFonts w:eastAsia="Times New Roman" w:cstheme="minorHAnsi"/>
          <w:sz w:val="24"/>
          <w:szCs w:val="24"/>
        </w:rPr>
        <w:t xml:space="preserve">za odstranění SEZ a splnění limitů v oblasti životního prostředí. S ohledem na nejasný rozsah ekologických zátěží nebyly zátěže zohledněny v ceně za prodej státního majetku. </w:t>
      </w:r>
    </w:p>
    <w:p w14:paraId="3A9E2E7E" w14:textId="77777777" w:rsidR="00916EDC" w:rsidRPr="00916EDC" w:rsidRDefault="00916EDC" w:rsidP="00916EDC">
      <w:pPr>
        <w:spacing w:after="0" w:line="240" w:lineRule="auto"/>
        <w:jc w:val="both"/>
        <w:rPr>
          <w:rFonts w:eastAsia="Times New Roman" w:cstheme="minorHAnsi"/>
          <w:sz w:val="24"/>
          <w:szCs w:val="24"/>
        </w:rPr>
      </w:pPr>
    </w:p>
    <w:p w14:paraId="616A7AAD" w14:textId="77777777" w:rsidR="00916EDC" w:rsidRPr="00916EDC" w:rsidRDefault="00916EDC" w:rsidP="00916EDC">
      <w:pPr>
        <w:spacing w:after="0" w:line="240" w:lineRule="auto"/>
        <w:jc w:val="both"/>
        <w:rPr>
          <w:rFonts w:eastAsia="Times New Roman" w:cstheme="minorHAnsi"/>
          <w:color w:val="000000"/>
          <w:sz w:val="24"/>
          <w:szCs w:val="24"/>
        </w:rPr>
      </w:pPr>
      <w:r w:rsidRPr="00916EDC">
        <w:rPr>
          <w:rFonts w:eastAsia="Times New Roman" w:cstheme="minorHAnsi"/>
          <w:sz w:val="24"/>
          <w:szCs w:val="24"/>
        </w:rPr>
        <w:t>Česká republika se proto při privatizaci jednotlivým nabyvatelům v tzv. ekologických smlouvách zavázala, že uhradí do určité předem stanovené výše</w:t>
      </w:r>
      <w:r w:rsidR="00A83644">
        <w:rPr>
          <w:rFonts w:eastAsia="Times New Roman" w:cstheme="minorHAnsi"/>
          <w:sz w:val="24"/>
          <w:szCs w:val="24"/>
        </w:rPr>
        <w:t>,</w:t>
      </w:r>
      <w:r w:rsidRPr="00916EDC">
        <w:rPr>
          <w:rFonts w:eastAsia="Times New Roman" w:cstheme="minorHAnsi"/>
          <w:sz w:val="24"/>
          <w:szCs w:val="24"/>
        </w:rPr>
        <w:t xml:space="preserve"> tzv. garance, náklady na odstranění SEZ. Garance byla v ekologických smlouvách </w:t>
      </w:r>
      <w:r w:rsidRPr="00916EDC">
        <w:rPr>
          <w:rFonts w:eastAsia="Times New Roman" w:cstheme="minorHAnsi"/>
          <w:color w:val="000000"/>
          <w:sz w:val="24"/>
          <w:szCs w:val="24"/>
        </w:rPr>
        <w:t xml:space="preserve">uvedena v maximální výši ve vztahu k výši kupní ceny privatizovaného majetku, případně byla stanovena do výše základního jmění společností. </w:t>
      </w:r>
    </w:p>
    <w:p w14:paraId="4CF1360F" w14:textId="77777777" w:rsidR="00916EDC" w:rsidRPr="00916EDC" w:rsidRDefault="00916EDC" w:rsidP="00916EDC">
      <w:pPr>
        <w:spacing w:after="0" w:line="240" w:lineRule="auto"/>
        <w:jc w:val="both"/>
        <w:rPr>
          <w:rFonts w:eastAsia="Times New Roman" w:cstheme="minorHAnsi"/>
          <w:color w:val="000000"/>
          <w:sz w:val="24"/>
          <w:szCs w:val="24"/>
        </w:rPr>
      </w:pPr>
    </w:p>
    <w:p w14:paraId="5CB3B6EA" w14:textId="5108127F"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color w:val="000000"/>
          <w:sz w:val="24"/>
          <w:szCs w:val="24"/>
        </w:rPr>
        <w:t>Ekologické smlouvy uzavíral s nabyvateli Fond národního majetku České republiky (dále také „FNM”) od roku 1991. K 31. prosinci 2005 byl FNM zrušen a finanční prostředky FNM i agenda SEZ přešly na MF.</w:t>
      </w:r>
      <w:r w:rsidRPr="00916EDC">
        <w:rPr>
          <w:rFonts w:eastAsia="Times New Roman" w:cstheme="minorHAnsi"/>
          <w:sz w:val="24"/>
          <w:szCs w:val="24"/>
        </w:rPr>
        <w:t xml:space="preserve"> Problematika odstraňování SEZ je upravena usnesením vlády ČR č. 51/2001</w:t>
      </w:r>
      <w:r w:rsidRPr="00916EDC">
        <w:rPr>
          <w:rFonts w:eastAsia="Times New Roman" w:cstheme="minorHAnsi"/>
          <w:sz w:val="24"/>
          <w:szCs w:val="24"/>
          <w:vertAlign w:val="superscript"/>
        </w:rPr>
        <w:footnoteReference w:id="1"/>
      </w:r>
      <w:r w:rsidRPr="00916EDC">
        <w:rPr>
          <w:rFonts w:eastAsia="Times New Roman" w:cstheme="minorHAnsi"/>
          <w:sz w:val="24"/>
          <w:szCs w:val="24"/>
        </w:rPr>
        <w:t xml:space="preserve">, jehož přílohou jsou </w:t>
      </w:r>
      <w:r w:rsidR="00A83644">
        <w:rPr>
          <w:rFonts w:eastAsia="Times New Roman" w:cstheme="minorHAnsi"/>
          <w:sz w:val="24"/>
          <w:szCs w:val="24"/>
        </w:rPr>
        <w:t>z</w:t>
      </w:r>
      <w:r w:rsidRPr="00916EDC">
        <w:rPr>
          <w:rFonts w:eastAsia="Times New Roman" w:cstheme="minorHAnsi"/>
          <w:sz w:val="24"/>
          <w:szCs w:val="24"/>
        </w:rPr>
        <w:t>ásady vypořádání ekologických závazků vzniklých před privatizací (dále také „Zásady“). Postupy a procesní zásady pro realizaci opatření k odstranění SEZ upravovala od roku 2004 směrnice FNM a MŽP</w:t>
      </w:r>
      <w:r w:rsidRPr="00916EDC">
        <w:rPr>
          <w:rFonts w:eastAsia="Times New Roman" w:cstheme="minorHAnsi"/>
          <w:sz w:val="24"/>
          <w:szCs w:val="24"/>
          <w:vertAlign w:val="superscript"/>
        </w:rPr>
        <w:footnoteReference w:id="2"/>
      </w:r>
      <w:r w:rsidRPr="00916EDC">
        <w:rPr>
          <w:rFonts w:eastAsia="Times New Roman" w:cstheme="minorHAnsi"/>
          <w:sz w:val="24"/>
          <w:szCs w:val="24"/>
        </w:rPr>
        <w:t>, kterou v plném rozsa</w:t>
      </w:r>
      <w:r w:rsidR="00EF1C22">
        <w:rPr>
          <w:rFonts w:eastAsia="Times New Roman" w:cstheme="minorHAnsi"/>
          <w:sz w:val="24"/>
          <w:szCs w:val="24"/>
        </w:rPr>
        <w:t>hu nahradila s platností od 30. </w:t>
      </w:r>
      <w:r w:rsidRPr="00916EDC">
        <w:rPr>
          <w:rFonts w:eastAsia="Times New Roman" w:cstheme="minorHAnsi"/>
          <w:sz w:val="24"/>
          <w:szCs w:val="24"/>
        </w:rPr>
        <w:t>března 2017 nová směrnice MF a MŽP</w:t>
      </w:r>
      <w:r w:rsidRPr="00916EDC">
        <w:rPr>
          <w:rFonts w:eastAsia="Times New Roman" w:cstheme="minorHAnsi"/>
          <w:sz w:val="24"/>
          <w:szCs w:val="24"/>
          <w:vertAlign w:val="superscript"/>
        </w:rPr>
        <w:footnoteReference w:id="3"/>
      </w:r>
      <w:r w:rsidRPr="00916EDC">
        <w:rPr>
          <w:rFonts w:eastAsia="Times New Roman" w:cstheme="minorHAnsi"/>
          <w:sz w:val="24"/>
          <w:szCs w:val="24"/>
        </w:rPr>
        <w:t xml:space="preserve">. </w:t>
      </w:r>
    </w:p>
    <w:p w14:paraId="757D0433" w14:textId="77777777" w:rsidR="00916EDC" w:rsidRPr="00916EDC" w:rsidRDefault="00916EDC" w:rsidP="00916EDC">
      <w:pPr>
        <w:spacing w:after="0" w:line="240" w:lineRule="auto"/>
        <w:jc w:val="both"/>
        <w:rPr>
          <w:rFonts w:eastAsia="Times New Roman" w:cstheme="minorHAnsi"/>
          <w:sz w:val="24"/>
          <w:szCs w:val="24"/>
        </w:rPr>
      </w:pPr>
    </w:p>
    <w:p w14:paraId="58170685"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Věcné vymezení ekologických zátěží bylo předmětem ekologických auditů, které zajišťovali nabyvatelé jako součást privatizačních projektů. Posouzení věcné správnosti a úplnosti ekologických auditů zabezpečovalo MŽP, které rozhodovalo o tom, zda konkrétní znečištění je ekologickou zátěží tak, jak ji definují Zásady. Zpracování auditů nebylo státem hrazeno. Následovaly analýzy rizik, které hradil FNM a následně MF, rozhodnutí České inspekce životního prostředí (dále také „ČIŽP“)</w:t>
      </w:r>
      <w:r w:rsidRPr="00916EDC">
        <w:rPr>
          <w:rFonts w:eastAsia="Times New Roman" w:cstheme="minorHAnsi"/>
          <w:sz w:val="24"/>
          <w:szCs w:val="24"/>
          <w:vertAlign w:val="superscript"/>
        </w:rPr>
        <w:footnoteReference w:id="4"/>
      </w:r>
      <w:r w:rsidRPr="00916EDC">
        <w:rPr>
          <w:rFonts w:eastAsia="Times New Roman" w:cstheme="minorHAnsi"/>
          <w:sz w:val="24"/>
          <w:szCs w:val="24"/>
        </w:rPr>
        <w:t>, stanoviska MŽP a projekty, na jejichž základě se realizovala opatření k odstranění SEZ. Zadavatelem veřejných zakázek na realizaci příslušných opatření k odstranění SEZ byli původně nabyvatelé, od roku 2001</w:t>
      </w:r>
      <w:r w:rsidRPr="00916EDC">
        <w:rPr>
          <w:rFonts w:eastAsia="Times New Roman" w:cstheme="minorHAnsi"/>
          <w:sz w:val="24"/>
          <w:szCs w:val="24"/>
          <w:vertAlign w:val="superscript"/>
        </w:rPr>
        <w:footnoteReference w:id="5"/>
      </w:r>
      <w:r w:rsidRPr="00916EDC">
        <w:rPr>
          <w:rFonts w:eastAsia="Times New Roman" w:cstheme="minorHAnsi"/>
          <w:sz w:val="24"/>
          <w:szCs w:val="24"/>
        </w:rPr>
        <w:t xml:space="preserve"> jím byl FNM a následně MF. </w:t>
      </w:r>
    </w:p>
    <w:p w14:paraId="06620F09" w14:textId="77777777" w:rsidR="00916EDC" w:rsidRPr="00916EDC" w:rsidRDefault="00916EDC" w:rsidP="00916EDC">
      <w:pPr>
        <w:spacing w:after="0" w:line="240" w:lineRule="auto"/>
        <w:jc w:val="both"/>
        <w:rPr>
          <w:rFonts w:eastAsia="Times New Roman" w:cstheme="minorHAnsi"/>
          <w:sz w:val="24"/>
          <w:szCs w:val="24"/>
        </w:rPr>
      </w:pPr>
    </w:p>
    <w:p w14:paraId="7AE78343" w14:textId="10A698BF"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Od roku 1991 do konce roku 2016 bylo ze státních prostředků na odstraňování SEZ uhrazeno celkem 60 900 mil. Kč, přičemž tyto výdaje měly v posledních pěti letech výrazně klesající tendenci. Z celkového počtu</w:t>
      </w:r>
      <w:r w:rsidR="00A83644">
        <w:rPr>
          <w:rFonts w:eastAsia="Times New Roman" w:cstheme="minorHAnsi"/>
          <w:sz w:val="24"/>
          <w:szCs w:val="24"/>
        </w:rPr>
        <w:t xml:space="preserve"> </w:t>
      </w:r>
      <w:r w:rsidRPr="00916EDC">
        <w:rPr>
          <w:rFonts w:eastAsia="Times New Roman" w:cstheme="minorHAnsi"/>
          <w:sz w:val="24"/>
          <w:szCs w:val="24"/>
        </w:rPr>
        <w:t xml:space="preserve">325 ekologických smluv nebyla téměř polovina ukončena a téměř u jedné třetiny neukončených smluv nebylo se sanací ani započato. Důvodem byl zejména nedostatek finančních zdrojů a způsob administrace procesu odstraňování zátěží limitovaný personální kapacitou MF. Pokud nedojde k urychlení celého procesu, existuje riziko žalob na </w:t>
      </w:r>
      <w:r w:rsidRPr="00916EDC">
        <w:rPr>
          <w:rFonts w:eastAsia="Times New Roman" w:cstheme="minorHAnsi"/>
          <w:sz w:val="24"/>
          <w:szCs w:val="24"/>
        </w:rPr>
        <w:lastRenderedPageBreak/>
        <w:t>stát ze strany nabyvatelů. Nedostatky uvedené</w:t>
      </w:r>
      <w:r w:rsidR="000C0778">
        <w:rPr>
          <w:rFonts w:eastAsia="Times New Roman" w:cstheme="minorHAnsi"/>
          <w:sz w:val="24"/>
          <w:szCs w:val="24"/>
        </w:rPr>
        <w:t xml:space="preserve"> v bodech 2, 4, 5 a 7 v části I</w:t>
      </w:r>
      <w:r w:rsidRPr="00916EDC">
        <w:rPr>
          <w:rFonts w:eastAsia="Times New Roman" w:cstheme="minorHAnsi"/>
          <w:sz w:val="24"/>
          <w:szCs w:val="24"/>
        </w:rPr>
        <w:t>I</w:t>
      </w:r>
      <w:r w:rsidR="00A83644">
        <w:rPr>
          <w:rFonts w:eastAsia="Times New Roman" w:cstheme="minorHAnsi"/>
          <w:sz w:val="24"/>
          <w:szCs w:val="24"/>
        </w:rPr>
        <w:t>.</w:t>
      </w:r>
      <w:r w:rsidRPr="00916EDC">
        <w:rPr>
          <w:rFonts w:eastAsia="Times New Roman" w:cstheme="minorHAnsi"/>
          <w:sz w:val="24"/>
          <w:szCs w:val="24"/>
        </w:rPr>
        <w:t xml:space="preserve"> tohoto kontrolního závěru, zjištěné již v kontrolní akci 09/18, přetrvávají. Navíc byla zjištěna neúčinnost opatření MF k urychlení procesu odstraňování SEZ, nejednotný přístup MF k nabyvatelům při navyšování garancí a nedostatečně účinný a nehospodárný postup odstraňování zátěže </w:t>
      </w:r>
      <w:r w:rsidR="00E63469">
        <w:rPr>
          <w:rFonts w:eastAsia="Times New Roman" w:cstheme="minorHAnsi"/>
          <w:sz w:val="24"/>
          <w:szCs w:val="24"/>
        </w:rPr>
        <w:t>l</w:t>
      </w:r>
      <w:r w:rsidRPr="00916EDC">
        <w:rPr>
          <w:rFonts w:eastAsia="Times New Roman" w:cstheme="minorHAnsi"/>
          <w:sz w:val="24"/>
          <w:szCs w:val="24"/>
        </w:rPr>
        <w:t xml:space="preserve">agun </w:t>
      </w:r>
      <w:proofErr w:type="spellStart"/>
      <w:r w:rsidRPr="00916EDC">
        <w:rPr>
          <w:rFonts w:eastAsia="Times New Roman" w:cstheme="minorHAnsi"/>
          <w:sz w:val="24"/>
          <w:szCs w:val="24"/>
        </w:rPr>
        <w:t>Ostramo</w:t>
      </w:r>
      <w:proofErr w:type="spellEnd"/>
      <w:r w:rsidRPr="00916EDC">
        <w:rPr>
          <w:rFonts w:eastAsia="Times New Roman" w:cstheme="minorHAnsi"/>
          <w:sz w:val="24"/>
          <w:szCs w:val="24"/>
        </w:rPr>
        <w:t>.</w:t>
      </w:r>
    </w:p>
    <w:p w14:paraId="1EA3ADFC" w14:textId="77777777" w:rsidR="00916EDC" w:rsidRPr="00916EDC" w:rsidRDefault="00916EDC" w:rsidP="00916EDC">
      <w:pPr>
        <w:spacing w:after="0" w:line="240" w:lineRule="auto"/>
        <w:jc w:val="both"/>
        <w:rPr>
          <w:rFonts w:ascii="Calibri" w:eastAsia="Times New Roman" w:hAnsi="Calibri" w:cs="Calibri"/>
          <w:b/>
        </w:rPr>
      </w:pPr>
    </w:p>
    <w:p w14:paraId="08564DC7" w14:textId="00104CC7" w:rsid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Z finančních prostředků zvláštního účtu na odstranění SEZ by</w:t>
      </w:r>
      <w:r w:rsidR="00EF1C22">
        <w:rPr>
          <w:rFonts w:eastAsia="Times New Roman" w:cstheme="minorHAnsi"/>
          <w:sz w:val="24"/>
          <w:szCs w:val="24"/>
        </w:rPr>
        <w:t>lo od roku 1991 do 31. prosince</w:t>
      </w:r>
      <w:r w:rsidR="00A83644">
        <w:rPr>
          <w:rFonts w:eastAsia="Times New Roman" w:cstheme="minorHAnsi"/>
          <w:sz w:val="24"/>
          <w:szCs w:val="24"/>
        </w:rPr>
        <w:t xml:space="preserve"> </w:t>
      </w:r>
      <w:r w:rsidRPr="00916EDC">
        <w:rPr>
          <w:rFonts w:eastAsia="Times New Roman" w:cstheme="minorHAnsi"/>
          <w:sz w:val="24"/>
          <w:szCs w:val="24"/>
        </w:rPr>
        <w:t>2016 bylo uhrazeno celkem 60 900 mil. Kč, z toho v letech 2011 až 2016 MF uhradilo 11 654 mil. Kč.</w:t>
      </w:r>
    </w:p>
    <w:p w14:paraId="71F28BBB" w14:textId="77777777" w:rsidR="00A83644" w:rsidRDefault="00A83644" w:rsidP="00916EDC">
      <w:pPr>
        <w:spacing w:after="0" w:line="240" w:lineRule="auto"/>
        <w:jc w:val="both"/>
        <w:rPr>
          <w:rFonts w:eastAsia="Times New Roman" w:cstheme="minorHAnsi"/>
          <w:sz w:val="24"/>
          <w:szCs w:val="24"/>
          <w:lang w:eastAsia="cs-CZ"/>
        </w:rPr>
      </w:pPr>
    </w:p>
    <w:p w14:paraId="00E766DE" w14:textId="63C769C1" w:rsidR="00A83644" w:rsidRPr="00804250" w:rsidRDefault="00A83644" w:rsidP="00A83644">
      <w:pPr>
        <w:tabs>
          <w:tab w:val="right" w:pos="9072"/>
        </w:tabs>
        <w:spacing w:after="0" w:line="240" w:lineRule="auto"/>
        <w:jc w:val="both"/>
        <w:rPr>
          <w:rFonts w:eastAsia="Times New Roman" w:cstheme="minorHAnsi"/>
          <w:b/>
          <w:color w:val="000000" w:themeColor="text1"/>
          <w:sz w:val="24"/>
          <w:szCs w:val="24"/>
          <w:lang w:eastAsia="cs-CZ"/>
        </w:rPr>
      </w:pPr>
      <w:r w:rsidRPr="00804250">
        <w:rPr>
          <w:rFonts w:eastAsia="Times New Roman" w:cstheme="minorHAnsi"/>
          <w:b/>
          <w:color w:val="000000" w:themeColor="text1"/>
          <w:sz w:val="24"/>
          <w:szCs w:val="24"/>
          <w:lang w:eastAsia="cs-CZ"/>
        </w:rPr>
        <w:t>Graf č. 1</w:t>
      </w:r>
      <w:r w:rsidRPr="00804250">
        <w:rPr>
          <w:rFonts w:ascii="Arial" w:eastAsia="Times New Roman" w:hAnsi="Arial" w:cs="Times New Roman"/>
          <w:b/>
          <w:noProof/>
          <w:color w:val="000000" w:themeColor="text1"/>
          <w:szCs w:val="24"/>
          <w:lang w:eastAsia="cs-CZ"/>
        </w:rPr>
        <w:drawing>
          <wp:anchor distT="0" distB="0" distL="114300" distR="114300" simplePos="0" relativeHeight="251660288" behindDoc="0" locked="0" layoutInCell="1" allowOverlap="1" wp14:anchorId="5F5B29D8" wp14:editId="3558B843">
            <wp:simplePos x="0" y="0"/>
            <wp:positionH relativeFrom="column">
              <wp:posOffset>-1905</wp:posOffset>
            </wp:positionH>
            <wp:positionV relativeFrom="paragraph">
              <wp:posOffset>314904</wp:posOffset>
            </wp:positionV>
            <wp:extent cx="5759450" cy="2480310"/>
            <wp:effectExtent l="0" t="0" r="0" b="0"/>
            <wp:wrapTopAndBottom/>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804250">
        <w:rPr>
          <w:rFonts w:eastAsia="Times New Roman" w:cstheme="minorHAnsi"/>
          <w:b/>
          <w:color w:val="000000" w:themeColor="text1"/>
          <w:sz w:val="24"/>
          <w:szCs w:val="24"/>
          <w:lang w:eastAsia="cs-CZ"/>
        </w:rPr>
        <w:t>:</w:t>
      </w:r>
      <w:r w:rsidRPr="00804250">
        <w:rPr>
          <w:rFonts w:eastAsia="Times New Roman" w:cstheme="minorHAnsi"/>
          <w:b/>
          <w:color w:val="000000" w:themeColor="text1"/>
          <w:sz w:val="24"/>
          <w:szCs w:val="24"/>
          <w:lang w:eastAsia="cs-CZ"/>
        </w:rPr>
        <w:t xml:space="preserve"> Výdaje MF na odstraňování SEZ v letech 2011 až 2016</w:t>
      </w:r>
      <w:r w:rsidRPr="00804250">
        <w:rPr>
          <w:rFonts w:eastAsia="Times New Roman" w:cstheme="minorHAnsi"/>
          <w:b/>
          <w:color w:val="000000" w:themeColor="text1"/>
          <w:sz w:val="24"/>
          <w:szCs w:val="24"/>
          <w:lang w:eastAsia="cs-CZ"/>
        </w:rPr>
        <w:tab/>
        <w:t>(v mil. Kč)</w:t>
      </w:r>
    </w:p>
    <w:p w14:paraId="486215B6" w14:textId="77777777" w:rsidR="00916EDC" w:rsidRPr="00916EDC" w:rsidRDefault="00916EDC" w:rsidP="00916EDC">
      <w:pPr>
        <w:spacing w:after="0" w:line="240" w:lineRule="atLeast"/>
        <w:jc w:val="both"/>
        <w:rPr>
          <w:rFonts w:eastAsia="Times New Roman" w:cstheme="minorHAnsi"/>
          <w:bCs/>
          <w:u w:val="single"/>
        </w:rPr>
      </w:pPr>
    </w:p>
    <w:p w14:paraId="75E7B065" w14:textId="77777777" w:rsidR="00916EDC" w:rsidRDefault="00916EDC" w:rsidP="00916EDC">
      <w:pPr>
        <w:spacing w:after="0" w:line="240" w:lineRule="auto"/>
        <w:jc w:val="both"/>
        <w:rPr>
          <w:rFonts w:ascii="Calibri" w:eastAsia="Calibri" w:hAnsi="Calibri" w:cstheme="minorHAnsi"/>
          <w:sz w:val="24"/>
          <w:szCs w:val="24"/>
        </w:rPr>
      </w:pPr>
      <w:r w:rsidRPr="00916EDC">
        <w:rPr>
          <w:rFonts w:ascii="Calibri" w:eastAsia="Calibri" w:hAnsi="Calibri" w:cstheme="minorHAnsi"/>
          <w:sz w:val="24"/>
          <w:szCs w:val="24"/>
        </w:rPr>
        <w:t>Kontrola se zaměřila na nastavení a fungování systému odstraňování SEZ</w:t>
      </w:r>
      <w:r w:rsidRPr="00916EDC">
        <w:rPr>
          <w:rFonts w:ascii="Calibri" w:eastAsia="Calibri" w:hAnsi="Calibri" w:cs="Times New Roman"/>
          <w:sz w:val="24"/>
          <w:szCs w:val="24"/>
          <w:lang w:eastAsia="cs-CZ"/>
        </w:rPr>
        <w:t>, na jejich evidenci, s</w:t>
      </w:r>
      <w:r w:rsidRPr="00916EDC">
        <w:rPr>
          <w:rFonts w:ascii="Calibri" w:eastAsia="Calibri" w:hAnsi="Calibri" w:cstheme="minorHAnsi"/>
          <w:sz w:val="24"/>
          <w:szCs w:val="24"/>
        </w:rPr>
        <w:t>tanovení potřeby peněžních prostředků k jejich odstranění,</w:t>
      </w:r>
      <w:r w:rsidR="00EF1C22">
        <w:rPr>
          <w:rFonts w:ascii="Calibri" w:eastAsia="Calibri" w:hAnsi="Calibri" w:cstheme="minorHAnsi"/>
          <w:sz w:val="24"/>
          <w:szCs w:val="24"/>
        </w:rPr>
        <w:t xml:space="preserve"> zajištění zdrojů financování a </w:t>
      </w:r>
      <w:r w:rsidRPr="00916EDC">
        <w:rPr>
          <w:rFonts w:ascii="Calibri" w:eastAsia="Calibri" w:hAnsi="Calibri" w:cstheme="minorHAnsi"/>
          <w:sz w:val="24"/>
          <w:szCs w:val="24"/>
        </w:rPr>
        <w:t xml:space="preserve">zajištění kontroly. Účinnost a hospodárnost postupu odstraňování SEZ byla ověřena u zátěží odstraňovaných na základě tří ekologických smluv uzavřených v letech 1995 a 1997 s celkovou garancí 5 144,7 mil. Kč., z nichž jedna byla již ukončena. </w:t>
      </w:r>
    </w:p>
    <w:p w14:paraId="546710B8" w14:textId="77777777" w:rsidR="00BA2792" w:rsidRPr="00BA2792" w:rsidRDefault="00BA2792" w:rsidP="00916EDC">
      <w:pPr>
        <w:spacing w:after="0" w:line="240" w:lineRule="auto"/>
        <w:jc w:val="both"/>
        <w:rPr>
          <w:rFonts w:ascii="Calibri" w:eastAsia="Calibri" w:hAnsi="Calibri" w:cs="Calibri"/>
          <w:vanish/>
          <w:sz w:val="24"/>
          <w:szCs w:val="24"/>
        </w:rPr>
      </w:pPr>
    </w:p>
    <w:p w14:paraId="10F950C4" w14:textId="77777777" w:rsidR="00916EDC" w:rsidRPr="00BA2792" w:rsidRDefault="00916EDC" w:rsidP="00916EDC">
      <w:pPr>
        <w:spacing w:after="0" w:line="240" w:lineRule="auto"/>
        <w:jc w:val="both"/>
        <w:rPr>
          <w:rFonts w:ascii="Calibri" w:eastAsia="Times New Roman" w:hAnsi="Calibri" w:cs="Calibri"/>
          <w:sz w:val="24"/>
          <w:szCs w:val="24"/>
        </w:rPr>
      </w:pPr>
      <w:r w:rsidRPr="00BA2792">
        <w:rPr>
          <w:rFonts w:ascii="Calibri" w:eastAsia="Times New Roman" w:hAnsi="Calibri" w:cs="Calibri"/>
          <w:sz w:val="24"/>
          <w:szCs w:val="24"/>
        </w:rPr>
        <w:t>Kontrola se dále zaměřila mj. i na účinnost opatření k nápravě nedostatků zjištěných při kontrolní akci č. 09/18</w:t>
      </w:r>
      <w:r w:rsidR="00A83644">
        <w:rPr>
          <w:rFonts w:ascii="Calibri" w:eastAsia="Times New Roman" w:hAnsi="Calibri" w:cs="Calibri"/>
          <w:sz w:val="24"/>
          <w:szCs w:val="24"/>
        </w:rPr>
        <w:t> –</w:t>
      </w:r>
      <w:r w:rsidRPr="00BA2792">
        <w:rPr>
          <w:rFonts w:ascii="Calibri" w:eastAsia="Times New Roman" w:hAnsi="Calibri" w:cs="Calibri"/>
          <w:sz w:val="24"/>
          <w:szCs w:val="24"/>
        </w:rPr>
        <w:t xml:space="preserve"> </w:t>
      </w:r>
      <w:r w:rsidRPr="00543633">
        <w:rPr>
          <w:rFonts w:ascii="Calibri" w:eastAsia="Times New Roman" w:hAnsi="Calibri" w:cs="Calibri"/>
          <w:bCs/>
          <w:i/>
          <w:sz w:val="24"/>
          <w:szCs w:val="24"/>
        </w:rPr>
        <w:t>Peněžní prostředky určené na odstraňování starých ekologických zátěží</w:t>
      </w:r>
      <w:r w:rsidRPr="00BA2792">
        <w:rPr>
          <w:rFonts w:ascii="Calibri" w:eastAsia="Times New Roman" w:hAnsi="Calibri" w:cs="Calibri"/>
          <w:bCs/>
          <w:sz w:val="24"/>
          <w:szCs w:val="24"/>
          <w:vertAlign w:val="superscript"/>
        </w:rPr>
        <w:footnoteReference w:id="6"/>
      </w:r>
      <w:r w:rsidRPr="00BA2792">
        <w:rPr>
          <w:rFonts w:ascii="Calibri" w:eastAsia="Times New Roman" w:hAnsi="Calibri" w:cs="Calibri"/>
          <w:sz w:val="24"/>
          <w:szCs w:val="24"/>
        </w:rPr>
        <w:t>.</w:t>
      </w:r>
    </w:p>
    <w:p w14:paraId="479C3496" w14:textId="77777777" w:rsidR="00916EDC" w:rsidRPr="00BA2792" w:rsidRDefault="00916EDC" w:rsidP="00916EDC">
      <w:pPr>
        <w:spacing w:after="0" w:line="240" w:lineRule="auto"/>
        <w:jc w:val="both"/>
        <w:rPr>
          <w:rFonts w:ascii="Calibri" w:eastAsia="Times New Roman" w:hAnsi="Calibri" w:cs="Calibri"/>
          <w:sz w:val="24"/>
          <w:szCs w:val="24"/>
        </w:rPr>
      </w:pPr>
    </w:p>
    <w:p w14:paraId="4E9A3FF9" w14:textId="77777777" w:rsidR="00916EDC" w:rsidRPr="00916EDC" w:rsidRDefault="00AB7E36" w:rsidP="00916EDC">
      <w:pPr>
        <w:spacing w:after="0" w:line="240" w:lineRule="auto"/>
        <w:jc w:val="both"/>
        <w:rPr>
          <w:rFonts w:eastAsia="Times New Roman" w:cstheme="minorHAnsi"/>
          <w:b/>
          <w:sz w:val="24"/>
          <w:szCs w:val="24"/>
        </w:rPr>
      </w:pPr>
      <w:r>
        <w:rPr>
          <w:rFonts w:ascii="Calibri" w:eastAsia="Times New Roman" w:hAnsi="Calibri" w:cs="Calibri"/>
          <w:b/>
          <w:sz w:val="24"/>
          <w:szCs w:val="24"/>
        </w:rPr>
        <w:t xml:space="preserve">2. </w:t>
      </w:r>
      <w:r w:rsidR="00916EDC" w:rsidRPr="00BA2792">
        <w:rPr>
          <w:rFonts w:ascii="Calibri" w:eastAsia="Times New Roman" w:hAnsi="Calibri" w:cs="Calibri"/>
          <w:b/>
          <w:sz w:val="24"/>
          <w:szCs w:val="24"/>
        </w:rPr>
        <w:t>Kontrolovan</w:t>
      </w:r>
      <w:r w:rsidR="00916EDC" w:rsidRPr="00916EDC">
        <w:rPr>
          <w:rFonts w:eastAsia="Times New Roman" w:cstheme="minorHAnsi"/>
          <w:b/>
          <w:sz w:val="24"/>
          <w:szCs w:val="24"/>
        </w:rPr>
        <w:t>é osoby a jejich působnost</w:t>
      </w:r>
    </w:p>
    <w:p w14:paraId="0E95195D" w14:textId="77777777" w:rsidR="002827CC" w:rsidRDefault="002827CC" w:rsidP="00916EDC">
      <w:pPr>
        <w:spacing w:after="0" w:line="240" w:lineRule="auto"/>
        <w:jc w:val="both"/>
        <w:rPr>
          <w:rFonts w:eastAsia="Times New Roman" w:cstheme="minorHAnsi"/>
          <w:b/>
          <w:sz w:val="24"/>
          <w:szCs w:val="24"/>
        </w:rPr>
      </w:pPr>
    </w:p>
    <w:p w14:paraId="08FAB977"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b/>
          <w:sz w:val="24"/>
          <w:szCs w:val="24"/>
        </w:rPr>
        <w:t xml:space="preserve">MF </w:t>
      </w:r>
      <w:r w:rsidRPr="00916EDC">
        <w:rPr>
          <w:rFonts w:eastAsia="Times New Roman" w:cstheme="minorHAnsi"/>
          <w:sz w:val="24"/>
          <w:szCs w:val="24"/>
          <w:lang w:eastAsia="cs-CZ"/>
        </w:rPr>
        <w:t xml:space="preserve">je ústředním orgánem státní správy, který převzal od 1. ledna 2006 majetek a závazky FNM. </w:t>
      </w:r>
      <w:r w:rsidRPr="00916EDC">
        <w:rPr>
          <w:rFonts w:eastAsia="Times New Roman" w:cstheme="minorHAnsi"/>
          <w:sz w:val="24"/>
          <w:szCs w:val="24"/>
        </w:rPr>
        <w:t>Podle ustanovení § 5 odst. 3 zákona č. 178/2005 Sb.</w:t>
      </w:r>
      <w:r w:rsidRPr="00916EDC">
        <w:rPr>
          <w:rFonts w:eastAsia="Times New Roman" w:cstheme="minorHAnsi"/>
          <w:sz w:val="24"/>
          <w:szCs w:val="24"/>
          <w:vertAlign w:val="superscript"/>
        </w:rPr>
        <w:footnoteReference w:id="7"/>
      </w:r>
      <w:r w:rsidRPr="00916EDC">
        <w:rPr>
          <w:rFonts w:eastAsia="Times New Roman" w:cstheme="minorHAnsi"/>
          <w:sz w:val="24"/>
          <w:szCs w:val="24"/>
        </w:rPr>
        <w:t xml:space="preserve"> majetek určený k privatizaci, výnosy z prodeje tohoto majetku a zisk z účasti státu v obchodních společnostech lze použít mimo jiné v souladu s rozhodnutím vlády ČR k úhradě nákladů na odstraňování škod na životním prostředí způsobených dosavadní činností podniků. </w:t>
      </w:r>
      <w:r w:rsidRPr="00916EDC">
        <w:rPr>
          <w:rFonts w:eastAsia="Times New Roman" w:cstheme="minorHAnsi"/>
          <w:sz w:val="24"/>
          <w:szCs w:val="24"/>
          <w:lang w:eastAsia="cs-CZ"/>
        </w:rPr>
        <w:t>MF je zadavatelem veřejných zakázek na realizaci opatření k odstranění SEZ a příslušné</w:t>
      </w:r>
      <w:r w:rsidRPr="00916EDC">
        <w:rPr>
          <w:rFonts w:eastAsia="Times New Roman" w:cstheme="minorHAnsi"/>
          <w:sz w:val="24"/>
          <w:szCs w:val="24"/>
        </w:rPr>
        <w:t xml:space="preserve"> výdaje hradí ze „zvláštního účtu </w:t>
      </w:r>
      <w:r w:rsidRPr="00916EDC">
        <w:rPr>
          <w:rFonts w:eastAsia="Times New Roman" w:cstheme="minorHAnsi"/>
          <w:sz w:val="24"/>
          <w:szCs w:val="24"/>
        </w:rPr>
        <w:lastRenderedPageBreak/>
        <w:t>prostředků z výnosu prodeje privatizovaného majetku a ze zisku z účasti státu v obchodních společnostech“ (dále také „zvláštní účet“). Zajišťuje kontrolu užití těchto prostředků prostřednictvím svých zaměstnanců a externích supervizorů.</w:t>
      </w:r>
    </w:p>
    <w:p w14:paraId="15A9B1F2" w14:textId="77777777" w:rsidR="00916EDC" w:rsidRPr="00916EDC" w:rsidRDefault="00916EDC" w:rsidP="00916EDC">
      <w:pPr>
        <w:spacing w:after="0" w:line="240" w:lineRule="auto"/>
        <w:jc w:val="both"/>
        <w:rPr>
          <w:rFonts w:eastAsia="Times New Roman" w:cstheme="minorHAnsi"/>
          <w:sz w:val="24"/>
          <w:szCs w:val="24"/>
        </w:rPr>
      </w:pPr>
    </w:p>
    <w:p w14:paraId="2A1C4EBB" w14:textId="77777777" w:rsidR="00916EDC" w:rsidRPr="00916EDC" w:rsidRDefault="00916EDC" w:rsidP="00916EDC">
      <w:pPr>
        <w:spacing w:after="0" w:line="240" w:lineRule="auto"/>
        <w:contextualSpacing/>
        <w:jc w:val="both"/>
        <w:rPr>
          <w:rFonts w:eastAsia="Times New Roman" w:cstheme="minorHAnsi"/>
          <w:sz w:val="24"/>
          <w:szCs w:val="24"/>
          <w:lang w:eastAsia="cs-CZ"/>
        </w:rPr>
      </w:pPr>
      <w:r w:rsidRPr="00916EDC">
        <w:rPr>
          <w:rFonts w:eastAsia="Times New Roman" w:cstheme="minorHAnsi"/>
          <w:b/>
          <w:sz w:val="24"/>
          <w:szCs w:val="24"/>
          <w:lang w:eastAsia="cs-CZ"/>
        </w:rPr>
        <w:t xml:space="preserve">MŽP </w:t>
      </w:r>
      <w:r w:rsidRPr="00916EDC">
        <w:rPr>
          <w:rFonts w:eastAsia="Times New Roman" w:cstheme="minorHAnsi"/>
          <w:sz w:val="24"/>
          <w:szCs w:val="24"/>
          <w:lang w:eastAsia="cs-CZ"/>
        </w:rPr>
        <w:t xml:space="preserve">je orgánem vrchního státního dozoru ve věcech životního prostředí. V rámci procesu vypořádání SEZ je odborným garantem, který vydává k dokumentům zpracovaným v jednotlivých etapách odstraňování SEZ stanoviska, a to zejména k analýzám rizik a jejich aktualizacím, </w:t>
      </w:r>
      <w:r w:rsidRPr="00D86CC6">
        <w:rPr>
          <w:rFonts w:eastAsia="Times New Roman" w:cstheme="minorHAnsi"/>
          <w:sz w:val="24"/>
          <w:szCs w:val="24"/>
          <w:lang w:eastAsia="cs-CZ"/>
        </w:rPr>
        <w:t>k závěrečným zprávám průzkumů</w:t>
      </w:r>
      <w:r w:rsidRPr="00916EDC">
        <w:rPr>
          <w:rFonts w:eastAsia="Times New Roman" w:cstheme="minorHAnsi"/>
          <w:sz w:val="24"/>
          <w:szCs w:val="24"/>
          <w:lang w:eastAsia="cs-CZ"/>
        </w:rPr>
        <w:t xml:space="preserve">, prováděcím projektům opatření a jejich metodickým změnám, studiím proveditelnosti, k uzavření nových ekologických smluv a k jejich ukončení. MŽP vede evidenci SEZ a stanovuje priority odstraňování SEZ z hlediska ekologie. Dále zástupci MŽP se účastní oponentních řízení, výběrových řízení a provádějí kontrolu průběhu procesu odstraňování SEZ. </w:t>
      </w:r>
    </w:p>
    <w:p w14:paraId="1B053028" w14:textId="77777777" w:rsidR="00F74281" w:rsidRPr="00F74281" w:rsidRDefault="00F74281" w:rsidP="00F74281">
      <w:pPr>
        <w:spacing w:after="0" w:line="240" w:lineRule="auto"/>
        <w:contextualSpacing/>
        <w:jc w:val="both"/>
        <w:rPr>
          <w:rFonts w:ascii="Calibri" w:eastAsia="Calibri" w:hAnsi="Calibri" w:cstheme="minorHAnsi"/>
          <w:sz w:val="24"/>
          <w:szCs w:val="24"/>
        </w:rPr>
      </w:pPr>
    </w:p>
    <w:p w14:paraId="3115284D" w14:textId="77777777" w:rsidR="00F74281" w:rsidRPr="00543633" w:rsidRDefault="00F74281" w:rsidP="00F74281">
      <w:pPr>
        <w:spacing w:before="40" w:after="0" w:line="240" w:lineRule="auto"/>
        <w:ind w:left="595" w:hanging="595"/>
        <w:jc w:val="both"/>
        <w:rPr>
          <w:rFonts w:eastAsia="Times New Roman" w:cstheme="minorHAnsi"/>
          <w:sz w:val="20"/>
          <w:szCs w:val="20"/>
          <w:lang w:eastAsia="cs-CZ"/>
        </w:rPr>
      </w:pPr>
      <w:r w:rsidRPr="00543633">
        <w:rPr>
          <w:rFonts w:eastAsia="Times New Roman" w:cstheme="minorHAnsi"/>
          <w:b/>
          <w:sz w:val="20"/>
          <w:szCs w:val="20"/>
          <w:lang w:eastAsia="cs-CZ"/>
        </w:rPr>
        <w:t>Pozn.</w:t>
      </w:r>
      <w:r w:rsidRPr="00543633">
        <w:rPr>
          <w:rFonts w:eastAsia="Times New Roman" w:cstheme="minorHAnsi"/>
          <w:sz w:val="20"/>
          <w:szCs w:val="20"/>
          <w:lang w:eastAsia="cs-CZ"/>
        </w:rPr>
        <w:t>: Všechny právní předpisy uvedené v tomto kontrolním závěru jsou aplikovány ve znění účinném pro kontrolované období.</w:t>
      </w:r>
    </w:p>
    <w:p w14:paraId="13B7ED8A" w14:textId="77777777" w:rsidR="00916EDC" w:rsidRPr="00785ACB" w:rsidRDefault="00916EDC" w:rsidP="00916EDC">
      <w:pPr>
        <w:spacing w:after="0" w:line="240" w:lineRule="auto"/>
        <w:jc w:val="both"/>
        <w:rPr>
          <w:rFonts w:ascii="Calibri" w:eastAsia="Times New Roman" w:hAnsi="Calibri" w:cs="Calibri"/>
          <w:sz w:val="24"/>
          <w:szCs w:val="24"/>
        </w:rPr>
      </w:pPr>
    </w:p>
    <w:p w14:paraId="12207943" w14:textId="77777777" w:rsidR="00916EDC" w:rsidRPr="00785ACB" w:rsidRDefault="00916EDC" w:rsidP="00916EDC">
      <w:pPr>
        <w:spacing w:after="0" w:line="240" w:lineRule="auto"/>
        <w:jc w:val="both"/>
        <w:rPr>
          <w:rFonts w:ascii="Calibri" w:eastAsia="Times New Roman" w:hAnsi="Calibri" w:cs="Calibri"/>
          <w:sz w:val="24"/>
          <w:szCs w:val="24"/>
        </w:rPr>
      </w:pPr>
    </w:p>
    <w:p w14:paraId="02D8C6AD" w14:textId="77777777" w:rsidR="00916EDC" w:rsidRPr="00543633" w:rsidRDefault="00916EDC" w:rsidP="00916EDC">
      <w:pPr>
        <w:spacing w:after="0" w:line="240" w:lineRule="auto"/>
        <w:jc w:val="center"/>
        <w:rPr>
          <w:rFonts w:eastAsia="Times New Roman" w:cstheme="minorHAnsi"/>
          <w:b/>
          <w:sz w:val="28"/>
          <w:szCs w:val="24"/>
        </w:rPr>
      </w:pPr>
      <w:r w:rsidRPr="00543633">
        <w:rPr>
          <w:rFonts w:eastAsia="Times New Roman" w:cstheme="minorHAnsi"/>
          <w:b/>
          <w:sz w:val="28"/>
          <w:szCs w:val="24"/>
        </w:rPr>
        <w:t>II. Shrnutí a vyhodnocení skutečností zjištěných při kontrole</w:t>
      </w:r>
    </w:p>
    <w:p w14:paraId="514A8B53" w14:textId="77777777" w:rsidR="00916EDC" w:rsidRPr="00BA2792" w:rsidRDefault="00916EDC" w:rsidP="00BA2792">
      <w:pPr>
        <w:spacing w:after="0" w:line="240" w:lineRule="auto"/>
        <w:jc w:val="both"/>
        <w:rPr>
          <w:rFonts w:eastAsia="Times New Roman" w:cstheme="minorHAnsi"/>
          <w:sz w:val="24"/>
          <w:szCs w:val="24"/>
        </w:rPr>
      </w:pPr>
    </w:p>
    <w:p w14:paraId="33CFDD00" w14:textId="77777777" w:rsidR="00916EDC" w:rsidRPr="002827CC" w:rsidRDefault="00C317A2" w:rsidP="002827CC">
      <w:pPr>
        <w:numPr>
          <w:ilvl w:val="0"/>
          <w:numId w:val="5"/>
        </w:numPr>
        <w:spacing w:after="0" w:line="240" w:lineRule="auto"/>
        <w:ind w:left="284" w:hanging="284"/>
        <w:jc w:val="both"/>
        <w:rPr>
          <w:rFonts w:eastAsia="Calibri" w:cstheme="minorHAnsi"/>
          <w:b/>
          <w:sz w:val="24"/>
          <w:szCs w:val="24"/>
        </w:rPr>
      </w:pPr>
      <w:r w:rsidRPr="002827CC">
        <w:rPr>
          <w:rFonts w:eastAsia="Calibri" w:cstheme="minorHAnsi"/>
          <w:b/>
          <w:sz w:val="24"/>
          <w:szCs w:val="24"/>
        </w:rPr>
        <w:t xml:space="preserve">Systém likvidace SEZ </w:t>
      </w:r>
      <w:r w:rsidR="00916EDC" w:rsidRPr="002827CC">
        <w:rPr>
          <w:rFonts w:eastAsia="Calibri" w:cstheme="minorHAnsi"/>
          <w:b/>
          <w:sz w:val="24"/>
          <w:szCs w:val="24"/>
        </w:rPr>
        <w:t>je pomalý a málo účinný.</w:t>
      </w:r>
    </w:p>
    <w:p w14:paraId="485E1E6B" w14:textId="77777777" w:rsidR="00916EDC" w:rsidRPr="002827CC" w:rsidRDefault="00916EDC" w:rsidP="002827CC">
      <w:pPr>
        <w:spacing w:after="0" w:line="240" w:lineRule="auto"/>
        <w:ind w:left="284" w:hanging="284"/>
        <w:jc w:val="both"/>
        <w:rPr>
          <w:rFonts w:eastAsia="Calibri" w:cstheme="minorHAnsi"/>
          <w:b/>
          <w:sz w:val="24"/>
          <w:szCs w:val="24"/>
        </w:rPr>
      </w:pPr>
    </w:p>
    <w:p w14:paraId="5DC1CB68" w14:textId="1AA9CEDA" w:rsidR="00916EDC" w:rsidRPr="002827CC" w:rsidRDefault="00916EDC" w:rsidP="002827CC">
      <w:pPr>
        <w:numPr>
          <w:ilvl w:val="0"/>
          <w:numId w:val="5"/>
        </w:numPr>
        <w:spacing w:after="0" w:line="240" w:lineRule="auto"/>
        <w:ind w:left="284" w:hanging="284"/>
        <w:jc w:val="both"/>
        <w:rPr>
          <w:rFonts w:eastAsia="Calibri" w:cstheme="minorHAnsi"/>
          <w:b/>
          <w:sz w:val="24"/>
          <w:szCs w:val="24"/>
        </w:rPr>
      </w:pPr>
      <w:r w:rsidRPr="002827CC">
        <w:rPr>
          <w:rFonts w:eastAsia="Calibri" w:cstheme="minorHAnsi"/>
          <w:b/>
          <w:sz w:val="24"/>
          <w:szCs w:val="24"/>
        </w:rPr>
        <w:t xml:space="preserve">Dlouhodobě není zajištěn dostatečný zdroj finančních prostředků pro plnění závazků státu v oblasti odstraňování SEZ vyplývajících z ekologických smluv. </w:t>
      </w:r>
      <w:r w:rsidRPr="002827CC">
        <w:rPr>
          <w:rFonts w:eastAsia="Calibri" w:cstheme="minorHAnsi"/>
          <w:sz w:val="24"/>
          <w:szCs w:val="24"/>
        </w:rPr>
        <w:t>Výše peněžních prostředků na zvláštním účtu k 31. květnu 2017 určených na odstraňování SEZ činila celkem 8 445,9 mil. Kč, z toho 6 465,9 mil. Kč bylo vázáno pro krytí smluvně zajištěných závazků a</w:t>
      </w:r>
      <w:r w:rsidR="00583FE6">
        <w:rPr>
          <w:rFonts w:eastAsia="Calibri" w:cstheme="minorHAnsi"/>
          <w:sz w:val="24"/>
          <w:szCs w:val="24"/>
        </w:rPr>
        <w:t> </w:t>
      </w:r>
      <w:r w:rsidRPr="002827CC">
        <w:rPr>
          <w:rFonts w:eastAsia="Calibri" w:cstheme="minorHAnsi"/>
          <w:sz w:val="24"/>
          <w:szCs w:val="24"/>
        </w:rPr>
        <w:t>jen 1 980 mil. Kč bylo volných. Sanační závazky MF však představují finanční dopad v desítkách miliard korun.</w:t>
      </w:r>
    </w:p>
    <w:p w14:paraId="6EA53B21" w14:textId="77777777" w:rsidR="00916EDC" w:rsidRPr="002827CC" w:rsidRDefault="00916EDC" w:rsidP="002827CC">
      <w:pPr>
        <w:spacing w:after="0" w:line="240" w:lineRule="auto"/>
        <w:ind w:left="284" w:hanging="284"/>
        <w:jc w:val="both"/>
        <w:rPr>
          <w:rFonts w:eastAsia="Calibri" w:cstheme="minorHAnsi"/>
          <w:b/>
          <w:sz w:val="24"/>
          <w:szCs w:val="24"/>
        </w:rPr>
      </w:pPr>
    </w:p>
    <w:p w14:paraId="53DA65D6" w14:textId="3A9E9380" w:rsidR="00916EDC" w:rsidRPr="002827CC" w:rsidRDefault="00916EDC" w:rsidP="002827CC">
      <w:pPr>
        <w:numPr>
          <w:ilvl w:val="0"/>
          <w:numId w:val="5"/>
        </w:numPr>
        <w:spacing w:after="0" w:line="240" w:lineRule="auto"/>
        <w:ind w:left="284" w:hanging="284"/>
        <w:jc w:val="both"/>
        <w:rPr>
          <w:rFonts w:eastAsia="Calibri" w:cstheme="minorHAnsi"/>
          <w:b/>
          <w:sz w:val="24"/>
          <w:szCs w:val="24"/>
        </w:rPr>
      </w:pPr>
      <w:r w:rsidRPr="002827CC">
        <w:rPr>
          <w:rFonts w:eastAsia="Calibri" w:cstheme="minorHAnsi"/>
          <w:b/>
          <w:sz w:val="24"/>
          <w:szCs w:val="24"/>
        </w:rPr>
        <w:t>Od zahájení procesu odstraňování SEZ v roce 1991 z celkového počtu</w:t>
      </w:r>
      <w:r w:rsidR="00583FE6">
        <w:rPr>
          <w:rFonts w:eastAsia="Calibri" w:cstheme="minorHAnsi"/>
          <w:b/>
          <w:sz w:val="24"/>
          <w:szCs w:val="24"/>
        </w:rPr>
        <w:t xml:space="preserve"> </w:t>
      </w:r>
      <w:r w:rsidRPr="002827CC">
        <w:rPr>
          <w:rFonts w:eastAsia="Calibri" w:cstheme="minorHAnsi"/>
          <w:b/>
          <w:sz w:val="24"/>
          <w:szCs w:val="24"/>
        </w:rPr>
        <w:t>325 ekologických smluv,</w:t>
      </w:r>
      <w:r w:rsidRPr="002827CC">
        <w:rPr>
          <w:rFonts w:eastAsia="Calibri" w:cstheme="minorHAnsi"/>
          <w:sz w:val="24"/>
          <w:szCs w:val="24"/>
        </w:rPr>
        <w:t xml:space="preserve"> evidovaných k 31. květnu 2017,</w:t>
      </w:r>
      <w:r w:rsidRPr="002827CC">
        <w:rPr>
          <w:rFonts w:eastAsia="Calibri" w:cstheme="minorHAnsi"/>
          <w:b/>
          <w:sz w:val="24"/>
          <w:szCs w:val="24"/>
        </w:rPr>
        <w:t xml:space="preserve"> nebylo ukončeno 154 smluv</w:t>
      </w:r>
      <w:r w:rsidRPr="002827CC">
        <w:rPr>
          <w:rFonts w:eastAsia="Calibri" w:cstheme="minorHAnsi"/>
          <w:sz w:val="24"/>
          <w:szCs w:val="24"/>
        </w:rPr>
        <w:t>, tj. 47</w:t>
      </w:r>
      <w:r w:rsidRPr="002827CC">
        <w:rPr>
          <w:rFonts w:eastAsia="Calibri" w:cstheme="minorHAnsi"/>
          <w:b/>
          <w:sz w:val="24"/>
          <w:szCs w:val="24"/>
        </w:rPr>
        <w:t xml:space="preserve"> %. </w:t>
      </w:r>
    </w:p>
    <w:p w14:paraId="7C819E87" w14:textId="2B81E67E" w:rsidR="00916EDC" w:rsidRPr="002827CC" w:rsidRDefault="00916EDC" w:rsidP="002827CC">
      <w:pPr>
        <w:spacing w:after="0" w:line="240" w:lineRule="auto"/>
        <w:ind w:left="284"/>
        <w:jc w:val="both"/>
        <w:rPr>
          <w:rFonts w:eastAsia="Calibri" w:cstheme="minorHAnsi"/>
          <w:sz w:val="24"/>
          <w:szCs w:val="24"/>
        </w:rPr>
      </w:pPr>
      <w:r w:rsidRPr="002827CC">
        <w:rPr>
          <w:rFonts w:eastAsia="Calibri" w:cstheme="minorHAnsi"/>
          <w:b/>
          <w:sz w:val="24"/>
          <w:szCs w:val="24"/>
        </w:rPr>
        <w:t xml:space="preserve">U 52 neukončených smluv, </w:t>
      </w:r>
      <w:r w:rsidRPr="002827CC">
        <w:rPr>
          <w:rFonts w:eastAsia="Calibri" w:cstheme="minorHAnsi"/>
          <w:sz w:val="24"/>
          <w:szCs w:val="24"/>
        </w:rPr>
        <w:t>tj. téměř u jedné třetiny z</w:t>
      </w:r>
      <w:r w:rsidR="00583FE6">
        <w:rPr>
          <w:rFonts w:eastAsia="Calibri" w:cstheme="minorHAnsi"/>
          <w:sz w:val="24"/>
          <w:szCs w:val="24"/>
        </w:rPr>
        <w:t> neukončených smluv</w:t>
      </w:r>
      <w:r w:rsidRPr="00543633">
        <w:rPr>
          <w:rFonts w:eastAsia="Calibri" w:cstheme="minorHAnsi"/>
          <w:sz w:val="24"/>
          <w:szCs w:val="24"/>
        </w:rPr>
        <w:t xml:space="preserve">, </w:t>
      </w:r>
      <w:r w:rsidRPr="002827CC">
        <w:rPr>
          <w:rFonts w:eastAsia="Calibri" w:cstheme="minorHAnsi"/>
          <w:b/>
          <w:sz w:val="24"/>
          <w:szCs w:val="24"/>
        </w:rPr>
        <w:t xml:space="preserve">nebylo se sanací vůbec započato, </w:t>
      </w:r>
      <w:r w:rsidRPr="002827CC">
        <w:rPr>
          <w:rFonts w:eastAsia="Calibri" w:cstheme="minorHAnsi"/>
          <w:sz w:val="24"/>
          <w:szCs w:val="24"/>
        </w:rPr>
        <w:t>přitom tyto smlouvy byly uzavřeny v období let 1994 až 1998.</w:t>
      </w:r>
    </w:p>
    <w:p w14:paraId="13AB8E71" w14:textId="77777777" w:rsidR="00916EDC" w:rsidRPr="002827CC" w:rsidRDefault="00916EDC" w:rsidP="002827CC">
      <w:pPr>
        <w:spacing w:after="0" w:line="240" w:lineRule="auto"/>
        <w:ind w:left="284"/>
        <w:jc w:val="both"/>
        <w:rPr>
          <w:rFonts w:eastAsia="Calibri" w:cstheme="minorHAnsi"/>
          <w:sz w:val="24"/>
          <w:szCs w:val="24"/>
        </w:rPr>
      </w:pPr>
      <w:r w:rsidRPr="002827CC">
        <w:rPr>
          <w:rFonts w:eastAsia="Calibri" w:cstheme="minorHAnsi"/>
          <w:b/>
          <w:sz w:val="24"/>
          <w:szCs w:val="24"/>
        </w:rPr>
        <w:t xml:space="preserve">MF </w:t>
      </w:r>
      <w:r w:rsidRPr="002827CC">
        <w:rPr>
          <w:rFonts w:eastAsia="Calibri" w:cstheme="minorHAnsi"/>
          <w:sz w:val="24"/>
          <w:szCs w:val="24"/>
        </w:rPr>
        <w:t xml:space="preserve">po zrušení </w:t>
      </w:r>
      <w:proofErr w:type="spellStart"/>
      <w:r w:rsidRPr="002827CC">
        <w:rPr>
          <w:rFonts w:eastAsia="Calibri" w:cstheme="minorHAnsi"/>
          <w:sz w:val="24"/>
          <w:szCs w:val="24"/>
        </w:rPr>
        <w:t>ekozakázky</w:t>
      </w:r>
      <w:proofErr w:type="spellEnd"/>
      <w:r w:rsidRPr="002827CC">
        <w:rPr>
          <w:rFonts w:ascii="Calibri" w:hAnsi="Calibri"/>
          <w:sz w:val="24"/>
          <w:szCs w:val="24"/>
          <w:vertAlign w:val="superscript"/>
        </w:rPr>
        <w:footnoteReference w:id="8"/>
      </w:r>
      <w:r w:rsidRPr="002827CC">
        <w:rPr>
          <w:rFonts w:eastAsia="Calibri" w:cstheme="minorHAnsi"/>
          <w:sz w:val="24"/>
          <w:szCs w:val="24"/>
        </w:rPr>
        <w:t xml:space="preserve"> </w:t>
      </w:r>
      <w:r w:rsidRPr="002827CC">
        <w:rPr>
          <w:rFonts w:eastAsia="Calibri" w:cstheme="minorHAnsi"/>
          <w:b/>
          <w:sz w:val="24"/>
          <w:szCs w:val="24"/>
        </w:rPr>
        <w:t>neprovedlo účinné kroky k urychlení celého procesu odstraňování SEZ.</w:t>
      </w:r>
    </w:p>
    <w:p w14:paraId="37844005" w14:textId="77777777" w:rsidR="00916EDC" w:rsidRPr="002827CC" w:rsidRDefault="00916EDC" w:rsidP="002827CC">
      <w:pPr>
        <w:spacing w:after="0" w:line="240" w:lineRule="auto"/>
        <w:ind w:left="284" w:hanging="284"/>
        <w:jc w:val="both"/>
        <w:rPr>
          <w:rFonts w:eastAsia="Calibri" w:cstheme="minorHAnsi"/>
          <w:b/>
          <w:sz w:val="24"/>
          <w:szCs w:val="24"/>
        </w:rPr>
      </w:pPr>
    </w:p>
    <w:p w14:paraId="6798D7C8" w14:textId="77777777" w:rsidR="00916EDC" w:rsidRPr="002827CC" w:rsidRDefault="00916EDC" w:rsidP="002827CC">
      <w:pPr>
        <w:numPr>
          <w:ilvl w:val="0"/>
          <w:numId w:val="5"/>
        </w:numPr>
        <w:spacing w:after="0" w:line="240" w:lineRule="auto"/>
        <w:ind w:left="284" w:hanging="284"/>
        <w:jc w:val="both"/>
        <w:rPr>
          <w:rFonts w:eastAsia="Calibri" w:cstheme="minorHAnsi"/>
          <w:b/>
          <w:sz w:val="24"/>
          <w:szCs w:val="24"/>
        </w:rPr>
      </w:pPr>
      <w:r w:rsidRPr="002827CC">
        <w:rPr>
          <w:rFonts w:eastAsia="Calibri" w:cstheme="minorHAnsi"/>
          <w:b/>
          <w:sz w:val="24"/>
          <w:szCs w:val="24"/>
        </w:rPr>
        <w:t xml:space="preserve">MF dlouhodobě hradilo ze zvláštního účtu i výdaje za ochranné sanační čerpání, které stav jen udržovalo nebo ho jen mírně zlepšovalo, ale odstranění zátěží definitivně neřešilo.  </w:t>
      </w:r>
    </w:p>
    <w:p w14:paraId="6D9AF6EF" w14:textId="77777777" w:rsidR="00916EDC" w:rsidRPr="002827CC" w:rsidRDefault="00916EDC" w:rsidP="002827CC">
      <w:pPr>
        <w:spacing w:after="0" w:line="240" w:lineRule="auto"/>
        <w:ind w:left="284"/>
        <w:jc w:val="both"/>
        <w:rPr>
          <w:rFonts w:eastAsia="Calibri" w:cstheme="minorHAnsi"/>
          <w:b/>
          <w:sz w:val="24"/>
          <w:szCs w:val="24"/>
        </w:rPr>
      </w:pPr>
      <w:r w:rsidRPr="002827CC">
        <w:rPr>
          <w:rFonts w:eastAsia="Calibri" w:cstheme="minorHAnsi"/>
          <w:b/>
          <w:sz w:val="24"/>
          <w:szCs w:val="24"/>
        </w:rPr>
        <w:t>K 31. prosinci 2016 tyto výdaje činily u 26 lokalit celkem 339,8 mil. Kč</w:t>
      </w:r>
      <w:r w:rsidRPr="002827CC">
        <w:rPr>
          <w:sz w:val="24"/>
          <w:szCs w:val="24"/>
          <w:vertAlign w:val="superscript"/>
        </w:rPr>
        <w:footnoteReference w:id="9"/>
      </w:r>
      <w:r w:rsidRPr="002827CC">
        <w:rPr>
          <w:rFonts w:eastAsia="Calibri" w:cstheme="minorHAnsi"/>
          <w:b/>
          <w:sz w:val="24"/>
          <w:szCs w:val="24"/>
        </w:rPr>
        <w:t xml:space="preserve">, </w:t>
      </w:r>
      <w:r w:rsidRPr="002827CC">
        <w:rPr>
          <w:rFonts w:eastAsia="Calibri" w:cstheme="minorHAnsi"/>
          <w:sz w:val="24"/>
          <w:szCs w:val="24"/>
        </w:rPr>
        <w:t>z toho téměř polovina výdajů (154,3 mil. Kč) byla za ochranné sanační čerpání v jedné lokalitě přetrvávající již 20 let.</w:t>
      </w:r>
      <w:r w:rsidRPr="002827CC">
        <w:rPr>
          <w:rFonts w:eastAsia="Calibri" w:cstheme="minorHAnsi"/>
          <w:b/>
          <w:sz w:val="24"/>
          <w:szCs w:val="24"/>
        </w:rPr>
        <w:t xml:space="preserve"> </w:t>
      </w:r>
    </w:p>
    <w:p w14:paraId="6D002283" w14:textId="77777777" w:rsidR="00916EDC" w:rsidRPr="002827CC" w:rsidRDefault="00916EDC" w:rsidP="002827CC">
      <w:pPr>
        <w:spacing w:after="0" w:line="240" w:lineRule="auto"/>
        <w:ind w:left="284"/>
        <w:jc w:val="both"/>
        <w:rPr>
          <w:rFonts w:eastAsia="Calibri" w:cstheme="minorHAnsi"/>
          <w:b/>
          <w:sz w:val="24"/>
          <w:szCs w:val="24"/>
        </w:rPr>
      </w:pPr>
      <w:r w:rsidRPr="002827CC">
        <w:rPr>
          <w:rFonts w:eastAsia="Calibri" w:cstheme="minorHAnsi"/>
          <w:b/>
          <w:sz w:val="24"/>
          <w:szCs w:val="24"/>
        </w:rPr>
        <w:lastRenderedPageBreak/>
        <w:t>MF nezdůvodnilo skutečnost, proč nebyla definitivní sanace v této lokalitě dosud zahájena.</w:t>
      </w:r>
    </w:p>
    <w:p w14:paraId="3938E6D0" w14:textId="77777777" w:rsidR="00916EDC" w:rsidRPr="002827CC" w:rsidRDefault="00916EDC" w:rsidP="002827CC">
      <w:pPr>
        <w:spacing w:after="0" w:line="240" w:lineRule="auto"/>
        <w:ind w:left="284" w:hanging="284"/>
        <w:jc w:val="both"/>
        <w:rPr>
          <w:rFonts w:eastAsia="Calibri" w:cstheme="minorHAnsi"/>
          <w:b/>
          <w:sz w:val="24"/>
          <w:szCs w:val="24"/>
        </w:rPr>
      </w:pPr>
    </w:p>
    <w:p w14:paraId="56FB90B4" w14:textId="77777777" w:rsidR="00916EDC" w:rsidRPr="002827CC" w:rsidRDefault="00916EDC" w:rsidP="002827CC">
      <w:pPr>
        <w:numPr>
          <w:ilvl w:val="0"/>
          <w:numId w:val="5"/>
        </w:numPr>
        <w:spacing w:after="0" w:line="240" w:lineRule="auto"/>
        <w:ind w:left="284" w:hanging="284"/>
        <w:jc w:val="both"/>
        <w:rPr>
          <w:rFonts w:eastAsia="Calibri" w:cstheme="minorHAnsi"/>
          <w:b/>
          <w:sz w:val="24"/>
          <w:szCs w:val="24"/>
        </w:rPr>
      </w:pPr>
      <w:r w:rsidRPr="002827CC">
        <w:rPr>
          <w:rFonts w:eastAsia="Calibri" w:cstheme="minorHAnsi"/>
          <w:b/>
          <w:sz w:val="24"/>
          <w:szCs w:val="24"/>
        </w:rPr>
        <w:t xml:space="preserve">Výše garancí, </w:t>
      </w:r>
      <w:r w:rsidRPr="002827CC">
        <w:rPr>
          <w:rFonts w:eastAsia="Calibri" w:cstheme="minorHAnsi"/>
          <w:sz w:val="24"/>
          <w:szCs w:val="24"/>
        </w:rPr>
        <w:t>o kterých MF pravidelně pololetně informuje vládu ČR,</w:t>
      </w:r>
      <w:r w:rsidRPr="002827CC">
        <w:rPr>
          <w:rFonts w:eastAsia="Calibri" w:cstheme="minorHAnsi"/>
          <w:b/>
          <w:sz w:val="24"/>
          <w:szCs w:val="24"/>
        </w:rPr>
        <w:t xml:space="preserve"> nevyjadřuje reálnou potřebu finančních prostředků na odstranění SEZ. </w:t>
      </w:r>
    </w:p>
    <w:p w14:paraId="0BEB2CC0" w14:textId="77777777" w:rsidR="00916EDC" w:rsidRPr="002827CC" w:rsidRDefault="00916EDC" w:rsidP="002827CC">
      <w:pPr>
        <w:spacing w:after="0" w:line="240" w:lineRule="auto"/>
        <w:ind w:left="284"/>
        <w:jc w:val="both"/>
        <w:rPr>
          <w:rFonts w:eastAsia="Calibri" w:cstheme="minorHAnsi"/>
          <w:b/>
          <w:sz w:val="24"/>
          <w:szCs w:val="24"/>
        </w:rPr>
      </w:pPr>
      <w:r w:rsidRPr="002827CC">
        <w:rPr>
          <w:rFonts w:eastAsia="Calibri" w:cstheme="minorHAnsi"/>
          <w:b/>
          <w:sz w:val="24"/>
          <w:szCs w:val="24"/>
        </w:rPr>
        <w:t>MF do doby ukončení kontroly NKÚ neznalo výši výdajů potřeb</w:t>
      </w:r>
      <w:r w:rsidR="00184ABC" w:rsidRPr="002827CC">
        <w:rPr>
          <w:rFonts w:eastAsia="Calibri" w:cstheme="minorHAnsi"/>
          <w:b/>
          <w:sz w:val="24"/>
          <w:szCs w:val="24"/>
        </w:rPr>
        <w:t>ných na odstranění SEZ a </w:t>
      </w:r>
      <w:r w:rsidRPr="002827CC">
        <w:rPr>
          <w:rFonts w:eastAsia="Calibri" w:cstheme="minorHAnsi"/>
          <w:b/>
          <w:sz w:val="24"/>
          <w:szCs w:val="24"/>
        </w:rPr>
        <w:t>nezajistilo ani ucelený aktuální odborný odhad těchto výdajů.</w:t>
      </w:r>
    </w:p>
    <w:p w14:paraId="58206FAE" w14:textId="77777777" w:rsidR="00916EDC" w:rsidRPr="002827CC" w:rsidRDefault="00916EDC" w:rsidP="002827CC">
      <w:pPr>
        <w:spacing w:after="0" w:line="240" w:lineRule="auto"/>
        <w:ind w:left="284" w:hanging="284"/>
        <w:jc w:val="both"/>
        <w:rPr>
          <w:rFonts w:eastAsia="Calibri" w:cstheme="minorHAnsi"/>
          <w:b/>
          <w:sz w:val="24"/>
          <w:szCs w:val="24"/>
        </w:rPr>
      </w:pPr>
    </w:p>
    <w:p w14:paraId="6F694D4F" w14:textId="77777777" w:rsidR="00916EDC" w:rsidRPr="002827CC" w:rsidRDefault="00916EDC" w:rsidP="002827CC">
      <w:pPr>
        <w:numPr>
          <w:ilvl w:val="0"/>
          <w:numId w:val="5"/>
        </w:numPr>
        <w:spacing w:after="0" w:line="240" w:lineRule="auto"/>
        <w:ind w:left="284" w:hanging="284"/>
        <w:jc w:val="both"/>
        <w:rPr>
          <w:rFonts w:ascii="Calibri" w:eastAsia="Calibri" w:hAnsi="Calibri" w:cs="Calibri"/>
          <w:b/>
          <w:sz w:val="24"/>
          <w:szCs w:val="24"/>
        </w:rPr>
      </w:pPr>
      <w:r w:rsidRPr="002827CC">
        <w:rPr>
          <w:rFonts w:eastAsia="Calibri" w:cstheme="minorHAnsi"/>
          <w:b/>
          <w:sz w:val="24"/>
          <w:szCs w:val="24"/>
        </w:rPr>
        <w:t xml:space="preserve">Dokončení příslušných </w:t>
      </w:r>
      <w:r w:rsidR="00B261F7" w:rsidRPr="002827CC">
        <w:rPr>
          <w:rFonts w:eastAsia="Calibri" w:cstheme="minorHAnsi"/>
          <w:b/>
          <w:sz w:val="24"/>
          <w:szCs w:val="24"/>
        </w:rPr>
        <w:t>SEZ</w:t>
      </w:r>
      <w:r w:rsidRPr="002827CC">
        <w:rPr>
          <w:rFonts w:eastAsia="Calibri" w:cstheme="minorHAnsi"/>
          <w:b/>
          <w:sz w:val="24"/>
          <w:szCs w:val="24"/>
        </w:rPr>
        <w:t xml:space="preserve"> s vyčerpanou garancí není dosud dořešeno.</w:t>
      </w:r>
      <w:r w:rsidRPr="002827CC">
        <w:rPr>
          <w:rFonts w:eastAsia="Calibri" w:cstheme="minorHAnsi"/>
          <w:sz w:val="24"/>
          <w:szCs w:val="24"/>
        </w:rPr>
        <w:t xml:space="preserve"> Řešením není navyšování garancí, na které MF v letech 2001 až 2013 vynaložilo 14 485</w:t>
      </w:r>
      <w:r w:rsidR="00A24ACA" w:rsidRPr="002827CC">
        <w:rPr>
          <w:rFonts w:eastAsia="Calibri" w:cstheme="minorHAnsi"/>
          <w:sz w:val="24"/>
          <w:szCs w:val="24"/>
        </w:rPr>
        <w:t>,17 mil. Kč</w:t>
      </w:r>
      <w:r w:rsidR="00583FE6">
        <w:rPr>
          <w:rFonts w:eastAsia="Calibri" w:cstheme="minorHAnsi"/>
          <w:sz w:val="24"/>
          <w:szCs w:val="24"/>
        </w:rPr>
        <w:t>,</w:t>
      </w:r>
      <w:r w:rsidRPr="002827CC">
        <w:rPr>
          <w:rFonts w:eastAsia="Calibri" w:cstheme="minorHAnsi"/>
          <w:sz w:val="24"/>
          <w:szCs w:val="24"/>
        </w:rPr>
        <w:t xml:space="preserve"> ani odmítání </w:t>
      </w:r>
      <w:r w:rsidR="00C83086" w:rsidRPr="002827CC">
        <w:rPr>
          <w:rFonts w:eastAsia="Calibri" w:cstheme="minorHAnsi"/>
          <w:sz w:val="24"/>
          <w:szCs w:val="24"/>
        </w:rPr>
        <w:t>navyšování</w:t>
      </w:r>
      <w:r w:rsidRPr="002827CC">
        <w:rPr>
          <w:rFonts w:eastAsia="Calibri" w:cstheme="minorHAnsi"/>
          <w:sz w:val="24"/>
          <w:szCs w:val="24"/>
        </w:rPr>
        <w:t xml:space="preserve"> garancí, které od roku 2015 MF praktikuje, aniž </w:t>
      </w:r>
      <w:r w:rsidR="00C83086" w:rsidRPr="002827CC">
        <w:rPr>
          <w:rFonts w:eastAsia="Calibri" w:cstheme="minorHAnsi"/>
          <w:sz w:val="24"/>
          <w:szCs w:val="24"/>
        </w:rPr>
        <w:t>by byl</w:t>
      </w:r>
      <w:r w:rsidRPr="002827CC">
        <w:rPr>
          <w:rFonts w:eastAsia="Calibri" w:cstheme="minorHAnsi"/>
          <w:sz w:val="24"/>
          <w:szCs w:val="24"/>
        </w:rPr>
        <w:t xml:space="preserve"> vyhodnocen</w:t>
      </w:r>
      <w:r w:rsidR="00A24ACA" w:rsidRPr="002827CC">
        <w:rPr>
          <w:rFonts w:eastAsia="Calibri" w:cstheme="minorHAnsi"/>
          <w:sz w:val="24"/>
          <w:szCs w:val="24"/>
        </w:rPr>
        <w:t xml:space="preserve"> </w:t>
      </w:r>
      <w:r w:rsidR="00C94B2C" w:rsidRPr="002827CC">
        <w:rPr>
          <w:rFonts w:eastAsia="Calibri" w:cstheme="minorHAnsi"/>
          <w:sz w:val="24"/>
          <w:szCs w:val="24"/>
        </w:rPr>
        <w:t>dopad nedokončené</w:t>
      </w:r>
      <w:r w:rsidR="008D301D" w:rsidRPr="002827CC">
        <w:rPr>
          <w:rFonts w:eastAsia="Calibri" w:cstheme="minorHAnsi"/>
          <w:sz w:val="24"/>
          <w:szCs w:val="24"/>
        </w:rPr>
        <w:t xml:space="preserve"> </w:t>
      </w:r>
      <w:r w:rsidR="00C94B2C" w:rsidRPr="002827CC">
        <w:rPr>
          <w:rFonts w:eastAsia="Calibri" w:cstheme="minorHAnsi"/>
          <w:sz w:val="24"/>
          <w:szCs w:val="24"/>
        </w:rPr>
        <w:t>SEZ</w:t>
      </w:r>
      <w:r w:rsidR="00A24ACA" w:rsidRPr="002827CC">
        <w:rPr>
          <w:rFonts w:eastAsia="Calibri" w:cstheme="minorHAnsi"/>
          <w:sz w:val="24"/>
          <w:szCs w:val="24"/>
        </w:rPr>
        <w:t xml:space="preserve"> na </w:t>
      </w:r>
      <w:r w:rsidR="006149AB" w:rsidRPr="002827CC">
        <w:rPr>
          <w:rFonts w:eastAsia="Calibri" w:cstheme="minorHAnsi"/>
          <w:sz w:val="24"/>
          <w:szCs w:val="24"/>
        </w:rPr>
        <w:t>životní prostředí a</w:t>
      </w:r>
      <w:r w:rsidR="007147F0" w:rsidRPr="002827CC">
        <w:rPr>
          <w:rFonts w:eastAsia="Calibri" w:cstheme="minorHAnsi"/>
          <w:sz w:val="24"/>
          <w:szCs w:val="24"/>
        </w:rPr>
        <w:t xml:space="preserve"> </w:t>
      </w:r>
      <w:r w:rsidR="00C94B2C" w:rsidRPr="002827CC">
        <w:rPr>
          <w:rFonts w:eastAsia="Calibri" w:cstheme="minorHAnsi"/>
          <w:sz w:val="24"/>
          <w:szCs w:val="24"/>
        </w:rPr>
        <w:t xml:space="preserve">na </w:t>
      </w:r>
      <w:r w:rsidRPr="002827CC">
        <w:rPr>
          <w:rFonts w:eastAsia="Calibri" w:cstheme="minorHAnsi"/>
          <w:sz w:val="24"/>
          <w:szCs w:val="24"/>
        </w:rPr>
        <w:t xml:space="preserve">hospodárnost a efektivnost </w:t>
      </w:r>
      <w:r w:rsidR="007147F0" w:rsidRPr="002827CC">
        <w:rPr>
          <w:rFonts w:eastAsia="Calibri" w:cstheme="minorHAnsi"/>
          <w:sz w:val="24"/>
          <w:szCs w:val="24"/>
        </w:rPr>
        <w:t>vynaložených finančních prostředků</w:t>
      </w:r>
      <w:r w:rsidR="0031684C" w:rsidRPr="002827CC">
        <w:rPr>
          <w:rFonts w:eastAsia="Calibri" w:cstheme="minorHAnsi"/>
          <w:sz w:val="24"/>
          <w:szCs w:val="24"/>
        </w:rPr>
        <w:t>.</w:t>
      </w:r>
      <w:r w:rsidR="00C83086" w:rsidRPr="002827CC">
        <w:rPr>
          <w:rFonts w:eastAsia="Calibri" w:cstheme="minorHAnsi"/>
          <w:sz w:val="24"/>
          <w:szCs w:val="24"/>
        </w:rPr>
        <w:t xml:space="preserve"> </w:t>
      </w:r>
    </w:p>
    <w:p w14:paraId="35C7CD81" w14:textId="77777777" w:rsidR="0031684C" w:rsidRPr="002827CC" w:rsidRDefault="0031684C" w:rsidP="002827CC">
      <w:pPr>
        <w:spacing w:after="0" w:line="240" w:lineRule="auto"/>
        <w:ind w:left="284" w:hanging="284"/>
        <w:jc w:val="both"/>
        <w:rPr>
          <w:rFonts w:ascii="Calibri" w:eastAsia="Calibri" w:hAnsi="Calibri" w:cs="Calibri"/>
          <w:b/>
          <w:sz w:val="24"/>
          <w:szCs w:val="24"/>
        </w:rPr>
      </w:pPr>
    </w:p>
    <w:p w14:paraId="4D23A6CD" w14:textId="35AC7D82" w:rsidR="00916EDC" w:rsidRPr="002827CC" w:rsidRDefault="00916EDC" w:rsidP="002827CC">
      <w:pPr>
        <w:numPr>
          <w:ilvl w:val="0"/>
          <w:numId w:val="5"/>
        </w:numPr>
        <w:spacing w:after="0" w:line="240" w:lineRule="auto"/>
        <w:ind w:left="284" w:hanging="284"/>
        <w:jc w:val="both"/>
        <w:rPr>
          <w:rFonts w:eastAsia="Calibri" w:cstheme="minorHAnsi"/>
          <w:b/>
          <w:sz w:val="24"/>
          <w:szCs w:val="24"/>
        </w:rPr>
      </w:pPr>
      <w:r w:rsidRPr="002827CC">
        <w:rPr>
          <w:rFonts w:ascii="Calibri" w:eastAsia="Calibri" w:hAnsi="Calibri" w:cs="Calibri"/>
          <w:b/>
          <w:sz w:val="24"/>
          <w:szCs w:val="24"/>
        </w:rPr>
        <w:t xml:space="preserve">Databáze ekologických zátěží, </w:t>
      </w:r>
      <w:r w:rsidRPr="002827CC">
        <w:rPr>
          <w:rFonts w:ascii="Calibri" w:eastAsia="Calibri" w:hAnsi="Calibri" w:cs="Calibri"/>
          <w:sz w:val="24"/>
          <w:szCs w:val="24"/>
        </w:rPr>
        <w:t>kterou vede MŽP</w:t>
      </w:r>
      <w:r w:rsidRPr="00543633">
        <w:rPr>
          <w:rFonts w:ascii="Calibri" w:eastAsia="Calibri" w:hAnsi="Calibri" w:cs="Calibri"/>
          <w:sz w:val="24"/>
          <w:szCs w:val="24"/>
        </w:rPr>
        <w:t xml:space="preserve">, </w:t>
      </w:r>
      <w:r w:rsidRPr="002827CC">
        <w:rPr>
          <w:rFonts w:ascii="Calibri" w:eastAsia="Calibri" w:hAnsi="Calibri" w:cs="Calibri"/>
          <w:b/>
          <w:sz w:val="24"/>
          <w:szCs w:val="24"/>
        </w:rPr>
        <w:t xml:space="preserve">není dodnes úplná a neobsahuje aktuální data. </w:t>
      </w:r>
      <w:r w:rsidRPr="002827CC">
        <w:rPr>
          <w:rFonts w:ascii="Calibri" w:eastAsia="Calibri" w:hAnsi="Calibri" w:cs="Calibri"/>
          <w:sz w:val="24"/>
          <w:szCs w:val="24"/>
        </w:rPr>
        <w:t>Úplnost a aktuálnost dat by měla zajistit inventarizace zátěží, která probíhá od roku 2009 a má být dokončena až v roce 2021, jako výstup realizace projektu financovaného z </w:t>
      </w:r>
      <w:r w:rsidR="00583FE6">
        <w:rPr>
          <w:rFonts w:ascii="Calibri" w:eastAsia="Calibri" w:hAnsi="Calibri" w:cs="Calibri"/>
          <w:sz w:val="24"/>
          <w:szCs w:val="24"/>
        </w:rPr>
        <w:t>o</w:t>
      </w:r>
      <w:r w:rsidRPr="002827CC">
        <w:rPr>
          <w:rFonts w:ascii="Calibri" w:eastAsia="Calibri" w:hAnsi="Calibri" w:cs="Calibri"/>
          <w:sz w:val="24"/>
          <w:szCs w:val="24"/>
        </w:rPr>
        <w:t xml:space="preserve">peračního programu </w:t>
      </w:r>
      <w:r w:rsidR="00583FE6" w:rsidRPr="00543633">
        <w:rPr>
          <w:rFonts w:ascii="Calibri" w:eastAsia="Calibri" w:hAnsi="Calibri" w:cs="Calibri"/>
          <w:i/>
          <w:sz w:val="24"/>
          <w:szCs w:val="24"/>
        </w:rPr>
        <w:t>Ž</w:t>
      </w:r>
      <w:r w:rsidRPr="00543633">
        <w:rPr>
          <w:rFonts w:ascii="Calibri" w:eastAsia="Calibri" w:hAnsi="Calibri" w:cs="Calibri"/>
          <w:i/>
          <w:sz w:val="24"/>
          <w:szCs w:val="24"/>
        </w:rPr>
        <w:t xml:space="preserve">ivotní prostředí </w:t>
      </w:r>
      <w:r w:rsidRPr="002827CC">
        <w:rPr>
          <w:rFonts w:ascii="Calibri" w:eastAsia="Calibri" w:hAnsi="Calibri" w:cs="Calibri"/>
          <w:sz w:val="24"/>
          <w:szCs w:val="24"/>
        </w:rPr>
        <w:t>s předpokládanými výdaji 113,252 mil. Kč.</w:t>
      </w:r>
    </w:p>
    <w:p w14:paraId="6BC2F79D" w14:textId="77777777" w:rsidR="00916EDC" w:rsidRPr="002827CC" w:rsidRDefault="00916EDC" w:rsidP="002827CC">
      <w:pPr>
        <w:spacing w:after="0" w:line="240" w:lineRule="auto"/>
        <w:ind w:left="284" w:hanging="284"/>
        <w:jc w:val="both"/>
        <w:rPr>
          <w:rFonts w:eastAsia="Calibri" w:cstheme="minorHAnsi"/>
          <w:b/>
          <w:sz w:val="24"/>
          <w:szCs w:val="24"/>
        </w:rPr>
      </w:pPr>
    </w:p>
    <w:p w14:paraId="31A22684" w14:textId="63ED2ED6" w:rsidR="00916EDC" w:rsidRPr="002827CC" w:rsidRDefault="007147F0" w:rsidP="002827CC">
      <w:pPr>
        <w:numPr>
          <w:ilvl w:val="0"/>
          <w:numId w:val="5"/>
        </w:numPr>
        <w:spacing w:after="0" w:line="240" w:lineRule="auto"/>
        <w:ind w:left="284" w:hanging="284"/>
        <w:jc w:val="both"/>
        <w:rPr>
          <w:rFonts w:eastAsia="Calibri" w:cstheme="minorHAnsi"/>
          <w:b/>
          <w:sz w:val="24"/>
          <w:szCs w:val="24"/>
        </w:rPr>
      </w:pPr>
      <w:r w:rsidRPr="002827CC">
        <w:rPr>
          <w:rFonts w:eastAsia="Calibri" w:cstheme="minorHAnsi"/>
          <w:b/>
          <w:sz w:val="24"/>
          <w:szCs w:val="24"/>
        </w:rPr>
        <w:t xml:space="preserve">Postup </w:t>
      </w:r>
      <w:r w:rsidR="0075697E" w:rsidRPr="002827CC">
        <w:rPr>
          <w:rFonts w:eastAsia="Calibri" w:cstheme="minorHAnsi"/>
          <w:b/>
          <w:sz w:val="24"/>
          <w:szCs w:val="24"/>
        </w:rPr>
        <w:t>odstraňování</w:t>
      </w:r>
      <w:r w:rsidR="00916EDC" w:rsidRPr="002827CC">
        <w:rPr>
          <w:rFonts w:eastAsia="Calibri" w:cstheme="minorHAnsi"/>
          <w:b/>
          <w:sz w:val="24"/>
          <w:szCs w:val="24"/>
        </w:rPr>
        <w:t xml:space="preserve"> ekologické z</w:t>
      </w:r>
      <w:r w:rsidR="009C14B6" w:rsidRPr="002827CC">
        <w:rPr>
          <w:rFonts w:eastAsia="Calibri" w:cstheme="minorHAnsi"/>
          <w:b/>
          <w:sz w:val="24"/>
          <w:szCs w:val="24"/>
        </w:rPr>
        <w:t xml:space="preserve">átěže </w:t>
      </w:r>
      <w:r w:rsidR="00E63469">
        <w:rPr>
          <w:rFonts w:eastAsia="Calibri" w:cstheme="minorHAnsi"/>
          <w:b/>
          <w:sz w:val="24"/>
          <w:szCs w:val="24"/>
        </w:rPr>
        <w:t>l</w:t>
      </w:r>
      <w:r w:rsidR="009C14B6" w:rsidRPr="002827CC">
        <w:rPr>
          <w:rFonts w:eastAsia="Calibri" w:cstheme="minorHAnsi"/>
          <w:b/>
          <w:sz w:val="24"/>
          <w:szCs w:val="24"/>
        </w:rPr>
        <w:t xml:space="preserve">agun </w:t>
      </w:r>
      <w:proofErr w:type="spellStart"/>
      <w:r w:rsidR="009C14B6" w:rsidRPr="002827CC">
        <w:rPr>
          <w:rFonts w:eastAsia="Calibri" w:cstheme="minorHAnsi"/>
          <w:b/>
          <w:sz w:val="24"/>
          <w:szCs w:val="24"/>
        </w:rPr>
        <w:t>Ostramo</w:t>
      </w:r>
      <w:proofErr w:type="spellEnd"/>
      <w:r w:rsidRPr="002827CC">
        <w:rPr>
          <w:rFonts w:eastAsia="Calibri" w:cstheme="minorHAnsi"/>
          <w:b/>
          <w:sz w:val="24"/>
          <w:szCs w:val="24"/>
        </w:rPr>
        <w:t xml:space="preserve"> je neúčinný a nehospodárný</w:t>
      </w:r>
      <w:r w:rsidR="00916EDC" w:rsidRPr="002827CC">
        <w:rPr>
          <w:rFonts w:eastAsia="Calibri" w:cstheme="minorHAnsi"/>
          <w:b/>
          <w:sz w:val="24"/>
          <w:szCs w:val="24"/>
        </w:rPr>
        <w:t xml:space="preserve">. </w:t>
      </w:r>
      <w:r w:rsidR="0075697E" w:rsidRPr="002827CC">
        <w:rPr>
          <w:rFonts w:eastAsia="Calibri" w:cstheme="minorHAnsi"/>
          <w:b/>
          <w:sz w:val="24"/>
          <w:szCs w:val="24"/>
        </w:rPr>
        <w:t>Sanace</w:t>
      </w:r>
      <w:r w:rsidR="00916EDC" w:rsidRPr="002827CC">
        <w:rPr>
          <w:rFonts w:eastAsia="Calibri" w:cstheme="minorHAnsi"/>
          <w:b/>
          <w:sz w:val="24"/>
          <w:szCs w:val="24"/>
        </w:rPr>
        <w:t xml:space="preserve"> této zátěže trvá 20 let a</w:t>
      </w:r>
      <w:r w:rsidR="00916EDC" w:rsidRPr="002827CC">
        <w:rPr>
          <w:rFonts w:eastAsia="Calibri" w:cstheme="minorHAnsi"/>
          <w:sz w:val="24"/>
          <w:szCs w:val="24"/>
        </w:rPr>
        <w:t xml:space="preserve"> </w:t>
      </w:r>
      <w:r w:rsidR="00916EDC" w:rsidRPr="002827CC">
        <w:rPr>
          <w:rFonts w:eastAsia="Calibri" w:cstheme="minorHAnsi"/>
          <w:b/>
          <w:sz w:val="24"/>
          <w:szCs w:val="24"/>
        </w:rPr>
        <w:t>MF za tuto dobu uhradilo již 2 800</w:t>
      </w:r>
      <w:r w:rsidR="00916EDC" w:rsidRPr="002827CC">
        <w:rPr>
          <w:rFonts w:eastAsia="Calibri" w:cs="Times New Roman"/>
          <w:b/>
          <w:sz w:val="24"/>
          <w:szCs w:val="24"/>
        </w:rPr>
        <w:t>,22 mil. Kč</w:t>
      </w:r>
      <w:r w:rsidR="00916EDC" w:rsidRPr="00543633">
        <w:rPr>
          <w:rFonts w:eastAsia="Calibri" w:cstheme="minorHAnsi"/>
          <w:b/>
          <w:sz w:val="24"/>
          <w:szCs w:val="24"/>
        </w:rPr>
        <w:t>,</w:t>
      </w:r>
      <w:r w:rsidR="00916EDC" w:rsidRPr="00583FE6">
        <w:rPr>
          <w:rFonts w:eastAsia="Calibri" w:cstheme="minorHAnsi"/>
          <w:b/>
          <w:sz w:val="24"/>
          <w:szCs w:val="24"/>
        </w:rPr>
        <w:t xml:space="preserve"> </w:t>
      </w:r>
      <w:r w:rsidR="0075697E" w:rsidRPr="002827CC">
        <w:rPr>
          <w:rFonts w:eastAsia="Calibri" w:cstheme="minorHAnsi"/>
          <w:sz w:val="24"/>
          <w:szCs w:val="24"/>
        </w:rPr>
        <w:t xml:space="preserve">přesto </w:t>
      </w:r>
      <w:r w:rsidR="00916EDC" w:rsidRPr="002827CC">
        <w:rPr>
          <w:rFonts w:eastAsia="Calibri" w:cstheme="minorHAnsi"/>
          <w:sz w:val="24"/>
          <w:szCs w:val="24"/>
        </w:rPr>
        <w:t xml:space="preserve">dosud </w:t>
      </w:r>
      <w:r w:rsidR="009C14B6" w:rsidRPr="002827CC">
        <w:rPr>
          <w:rFonts w:eastAsia="Calibri" w:cstheme="minorHAnsi"/>
          <w:sz w:val="24"/>
          <w:szCs w:val="24"/>
        </w:rPr>
        <w:t>ne</w:t>
      </w:r>
      <w:r w:rsidR="00583FE6">
        <w:rPr>
          <w:rFonts w:eastAsia="Calibri" w:cstheme="minorHAnsi"/>
          <w:sz w:val="24"/>
          <w:szCs w:val="24"/>
        </w:rPr>
        <w:t>jsou</w:t>
      </w:r>
      <w:r w:rsidR="009C14B6" w:rsidRPr="002827CC">
        <w:rPr>
          <w:rFonts w:eastAsia="Calibri" w:cstheme="minorHAnsi"/>
          <w:sz w:val="24"/>
          <w:szCs w:val="24"/>
        </w:rPr>
        <w:t xml:space="preserve"> </w:t>
      </w:r>
      <w:r w:rsidR="00916EDC" w:rsidRPr="002827CC">
        <w:rPr>
          <w:rFonts w:eastAsia="Calibri" w:cstheme="minorHAnsi"/>
          <w:sz w:val="24"/>
          <w:szCs w:val="24"/>
        </w:rPr>
        <w:t>znám</w:t>
      </w:r>
      <w:r w:rsidR="00583FE6">
        <w:rPr>
          <w:rFonts w:eastAsia="Calibri" w:cstheme="minorHAnsi"/>
          <w:sz w:val="24"/>
          <w:szCs w:val="24"/>
        </w:rPr>
        <w:t>y</w:t>
      </w:r>
      <w:r w:rsidR="00916EDC" w:rsidRPr="002827CC">
        <w:rPr>
          <w:rFonts w:eastAsia="Calibri" w:cstheme="minorHAnsi"/>
          <w:b/>
          <w:sz w:val="24"/>
          <w:szCs w:val="24"/>
        </w:rPr>
        <w:t>:</w:t>
      </w:r>
    </w:p>
    <w:p w14:paraId="34AC5FC2" w14:textId="6AF825D3" w:rsidR="00916EDC" w:rsidRPr="002827CC" w:rsidRDefault="00916EDC" w:rsidP="002827CC">
      <w:pPr>
        <w:numPr>
          <w:ilvl w:val="0"/>
          <w:numId w:val="3"/>
        </w:numPr>
        <w:spacing w:after="0" w:line="240" w:lineRule="auto"/>
        <w:ind w:left="567" w:hanging="284"/>
        <w:jc w:val="both"/>
        <w:rPr>
          <w:rFonts w:eastAsia="Calibri" w:cstheme="minorHAnsi"/>
          <w:b/>
          <w:sz w:val="24"/>
          <w:szCs w:val="24"/>
        </w:rPr>
      </w:pPr>
      <w:r w:rsidRPr="002827CC">
        <w:rPr>
          <w:rFonts w:eastAsia="Calibri" w:cstheme="minorHAnsi"/>
          <w:b/>
          <w:sz w:val="24"/>
          <w:szCs w:val="24"/>
        </w:rPr>
        <w:t>technické řešení pro dokončení odstranění</w:t>
      </w:r>
      <w:r w:rsidR="00583FE6">
        <w:rPr>
          <w:rFonts w:eastAsia="Calibri" w:cstheme="minorHAnsi"/>
          <w:b/>
          <w:sz w:val="24"/>
          <w:szCs w:val="24"/>
        </w:rPr>
        <w:t xml:space="preserve"> SEZ</w:t>
      </w:r>
      <w:r w:rsidRPr="002827CC">
        <w:rPr>
          <w:rFonts w:eastAsia="Calibri" w:cstheme="minorHAnsi"/>
          <w:b/>
          <w:sz w:val="24"/>
          <w:szCs w:val="24"/>
        </w:rPr>
        <w:t xml:space="preserve">, </w:t>
      </w:r>
    </w:p>
    <w:p w14:paraId="53E26C18" w14:textId="5345C49A" w:rsidR="00916EDC" w:rsidRPr="002827CC" w:rsidRDefault="00916EDC" w:rsidP="002827CC">
      <w:pPr>
        <w:numPr>
          <w:ilvl w:val="0"/>
          <w:numId w:val="3"/>
        </w:numPr>
        <w:spacing w:after="0" w:line="240" w:lineRule="auto"/>
        <w:ind w:left="567" w:hanging="284"/>
        <w:jc w:val="both"/>
        <w:rPr>
          <w:rFonts w:eastAsia="Calibri" w:cstheme="minorHAnsi"/>
          <w:b/>
          <w:sz w:val="24"/>
          <w:szCs w:val="24"/>
        </w:rPr>
      </w:pPr>
      <w:r w:rsidRPr="002827CC">
        <w:rPr>
          <w:rFonts w:eastAsia="Calibri" w:cstheme="minorHAnsi"/>
          <w:b/>
          <w:sz w:val="24"/>
          <w:szCs w:val="24"/>
        </w:rPr>
        <w:t>výše dalších potřebných finančních prostředků na její dokončení</w:t>
      </w:r>
      <w:r w:rsidR="00583FE6">
        <w:rPr>
          <w:rFonts w:eastAsia="Calibri" w:cstheme="minorHAnsi"/>
          <w:b/>
          <w:sz w:val="24"/>
          <w:szCs w:val="24"/>
        </w:rPr>
        <w:t>,</w:t>
      </w:r>
      <w:r w:rsidRPr="002827CC">
        <w:rPr>
          <w:rFonts w:eastAsia="Calibri" w:cstheme="minorHAnsi"/>
          <w:b/>
          <w:sz w:val="24"/>
          <w:szCs w:val="24"/>
        </w:rPr>
        <w:t xml:space="preserve"> </w:t>
      </w:r>
    </w:p>
    <w:p w14:paraId="3059ADA9" w14:textId="77777777" w:rsidR="00916EDC" w:rsidRPr="002827CC" w:rsidRDefault="00916EDC" w:rsidP="002827CC">
      <w:pPr>
        <w:numPr>
          <w:ilvl w:val="0"/>
          <w:numId w:val="3"/>
        </w:numPr>
        <w:spacing w:after="0" w:line="240" w:lineRule="auto"/>
        <w:ind w:left="567" w:hanging="284"/>
        <w:jc w:val="both"/>
        <w:rPr>
          <w:rFonts w:ascii="Calibri" w:eastAsia="Calibri" w:hAnsi="Calibri" w:cs="Calibri"/>
          <w:b/>
          <w:sz w:val="24"/>
          <w:szCs w:val="24"/>
        </w:rPr>
      </w:pPr>
      <w:r w:rsidRPr="002827CC">
        <w:rPr>
          <w:rFonts w:eastAsia="Calibri" w:cstheme="minorHAnsi"/>
          <w:b/>
          <w:sz w:val="24"/>
          <w:szCs w:val="24"/>
        </w:rPr>
        <w:t xml:space="preserve">termín jejího dokončení. </w:t>
      </w:r>
    </w:p>
    <w:p w14:paraId="7B67F72B" w14:textId="6F323B72" w:rsidR="00916EDC" w:rsidRPr="002827CC" w:rsidRDefault="00916EDC" w:rsidP="002827CC">
      <w:pPr>
        <w:spacing w:after="0" w:line="240" w:lineRule="auto"/>
        <w:ind w:left="284"/>
        <w:jc w:val="both"/>
        <w:rPr>
          <w:rFonts w:ascii="Calibri" w:eastAsia="Calibri" w:hAnsi="Calibri" w:cs="Calibri"/>
          <w:b/>
          <w:sz w:val="24"/>
          <w:szCs w:val="24"/>
        </w:rPr>
      </w:pPr>
      <w:r w:rsidRPr="002827CC">
        <w:rPr>
          <w:rFonts w:eastAsia="Calibri" w:cstheme="minorHAnsi"/>
          <w:b/>
          <w:sz w:val="24"/>
          <w:szCs w:val="24"/>
        </w:rPr>
        <w:t xml:space="preserve">MF proplatilo v souvislosti s odstraněním zátěže </w:t>
      </w:r>
      <w:r w:rsidR="00E63469">
        <w:rPr>
          <w:rFonts w:eastAsia="Calibri" w:cstheme="minorHAnsi"/>
          <w:b/>
          <w:sz w:val="24"/>
          <w:szCs w:val="24"/>
        </w:rPr>
        <w:t>l</w:t>
      </w:r>
      <w:r w:rsidRPr="002827CC">
        <w:rPr>
          <w:rFonts w:eastAsia="Calibri" w:cstheme="minorHAnsi"/>
          <w:b/>
          <w:sz w:val="24"/>
          <w:szCs w:val="24"/>
        </w:rPr>
        <w:t xml:space="preserve">agun </w:t>
      </w:r>
      <w:proofErr w:type="spellStart"/>
      <w:r w:rsidRPr="002827CC">
        <w:rPr>
          <w:rFonts w:eastAsia="Calibri" w:cstheme="minorHAnsi"/>
          <w:b/>
          <w:sz w:val="24"/>
          <w:szCs w:val="24"/>
        </w:rPr>
        <w:t>Ostramo</w:t>
      </w:r>
      <w:proofErr w:type="spellEnd"/>
      <w:r w:rsidRPr="002827CC">
        <w:rPr>
          <w:rFonts w:eastAsia="Calibri" w:cstheme="minorHAnsi"/>
          <w:b/>
          <w:sz w:val="24"/>
          <w:szCs w:val="24"/>
        </w:rPr>
        <w:t xml:space="preserve"> </w:t>
      </w:r>
      <w:r w:rsidRPr="002827CC">
        <w:rPr>
          <w:rFonts w:ascii="Calibri" w:eastAsia="Calibri" w:hAnsi="Calibri" w:cs="Calibri"/>
          <w:b/>
          <w:sz w:val="24"/>
          <w:szCs w:val="24"/>
        </w:rPr>
        <w:t xml:space="preserve">136,12 mil. Kč za </w:t>
      </w:r>
      <w:r w:rsidR="0075697E" w:rsidRPr="002827CC">
        <w:rPr>
          <w:rFonts w:ascii="Calibri" w:eastAsia="Calibri" w:hAnsi="Calibri" w:cs="Calibri"/>
          <w:b/>
          <w:sz w:val="24"/>
          <w:szCs w:val="24"/>
        </w:rPr>
        <w:t xml:space="preserve">technické </w:t>
      </w:r>
      <w:r w:rsidRPr="002827CC">
        <w:rPr>
          <w:rFonts w:ascii="Calibri" w:eastAsia="Calibri" w:hAnsi="Calibri" w:cs="Calibri"/>
          <w:b/>
          <w:sz w:val="24"/>
          <w:szCs w:val="24"/>
        </w:rPr>
        <w:t xml:space="preserve">zařízení pro nepřímou termickou desorpci, které nebylo nikdy použito. </w:t>
      </w:r>
    </w:p>
    <w:p w14:paraId="5E823776" w14:textId="64C83619" w:rsidR="00916EDC" w:rsidRPr="002827CC" w:rsidRDefault="00916EDC" w:rsidP="002827CC">
      <w:pPr>
        <w:spacing w:after="0" w:line="240" w:lineRule="auto"/>
        <w:ind w:left="284"/>
        <w:jc w:val="both"/>
        <w:rPr>
          <w:rFonts w:ascii="Calibri" w:eastAsia="Calibri" w:hAnsi="Calibri" w:cs="Calibri"/>
          <w:b/>
          <w:sz w:val="24"/>
          <w:szCs w:val="24"/>
        </w:rPr>
      </w:pPr>
      <w:r w:rsidRPr="002827CC">
        <w:rPr>
          <w:rFonts w:ascii="Calibri" w:eastAsia="Calibri" w:hAnsi="Calibri" w:cs="Calibri"/>
          <w:b/>
          <w:sz w:val="24"/>
          <w:szCs w:val="24"/>
        </w:rPr>
        <w:t>V důsledku nedostatečného dohledu státu na nakládání s vytěženými a zpracovanými kaly</w:t>
      </w:r>
      <w:r w:rsidRPr="002827CC">
        <w:rPr>
          <w:rFonts w:eastAsia="Calibri" w:cstheme="minorHAnsi"/>
          <w:b/>
          <w:sz w:val="24"/>
          <w:szCs w:val="24"/>
        </w:rPr>
        <w:t xml:space="preserve"> </w:t>
      </w:r>
      <w:r w:rsidR="00E63469">
        <w:rPr>
          <w:rFonts w:eastAsia="Calibri" w:cstheme="minorHAnsi"/>
          <w:b/>
          <w:sz w:val="24"/>
          <w:szCs w:val="24"/>
        </w:rPr>
        <w:t>l</w:t>
      </w:r>
      <w:r w:rsidRPr="002827CC">
        <w:rPr>
          <w:rFonts w:eastAsia="Calibri" w:cstheme="minorHAnsi"/>
          <w:b/>
          <w:sz w:val="24"/>
          <w:szCs w:val="24"/>
        </w:rPr>
        <w:t xml:space="preserve">agun </w:t>
      </w:r>
      <w:proofErr w:type="spellStart"/>
      <w:r w:rsidRPr="002827CC">
        <w:rPr>
          <w:rFonts w:eastAsia="Calibri" w:cstheme="minorHAnsi"/>
          <w:b/>
          <w:sz w:val="24"/>
          <w:szCs w:val="24"/>
        </w:rPr>
        <w:t>Ostramo</w:t>
      </w:r>
      <w:proofErr w:type="spellEnd"/>
      <w:r w:rsidRPr="002827CC">
        <w:rPr>
          <w:rFonts w:ascii="Calibri" w:eastAsia="Calibri" w:hAnsi="Calibri" w:cs="Calibri"/>
          <w:b/>
          <w:sz w:val="24"/>
          <w:szCs w:val="24"/>
        </w:rPr>
        <w:t xml:space="preserve"> budou nezbytné další </w:t>
      </w:r>
      <w:r w:rsidR="00A24ACA" w:rsidRPr="002827CC">
        <w:rPr>
          <w:rFonts w:ascii="Calibri" w:eastAsia="Calibri" w:hAnsi="Calibri" w:cs="Calibri"/>
          <w:b/>
          <w:sz w:val="24"/>
          <w:szCs w:val="24"/>
        </w:rPr>
        <w:t>finanční výdaje,</w:t>
      </w:r>
      <w:r w:rsidRPr="002827CC">
        <w:rPr>
          <w:rFonts w:ascii="Calibri" w:eastAsia="Calibri" w:hAnsi="Calibri" w:cs="Calibri"/>
          <w:b/>
          <w:sz w:val="24"/>
          <w:szCs w:val="24"/>
        </w:rPr>
        <w:t xml:space="preserve"> které jsou odhadovány na nejméně 40 mil. Kč.</w:t>
      </w:r>
    </w:p>
    <w:p w14:paraId="44969A09" w14:textId="77777777" w:rsidR="00916EDC" w:rsidRPr="002827CC" w:rsidRDefault="00916EDC" w:rsidP="002827CC">
      <w:pPr>
        <w:spacing w:after="0" w:line="240" w:lineRule="auto"/>
        <w:ind w:left="284" w:hanging="284"/>
        <w:jc w:val="both"/>
        <w:rPr>
          <w:rFonts w:ascii="Calibri" w:eastAsia="Times New Roman" w:hAnsi="Calibri" w:cs="Calibri"/>
          <w:b/>
          <w:sz w:val="24"/>
          <w:szCs w:val="24"/>
        </w:rPr>
      </w:pPr>
    </w:p>
    <w:p w14:paraId="60A021E3" w14:textId="77777777" w:rsidR="00916EDC" w:rsidRPr="00916EDC" w:rsidRDefault="00916EDC" w:rsidP="00916EDC">
      <w:pPr>
        <w:spacing w:after="0" w:line="240" w:lineRule="auto"/>
        <w:jc w:val="center"/>
        <w:rPr>
          <w:rFonts w:ascii="Calibri" w:eastAsia="Times New Roman" w:hAnsi="Calibri" w:cs="Calibri"/>
          <w:b/>
          <w:sz w:val="24"/>
          <w:szCs w:val="24"/>
        </w:rPr>
      </w:pPr>
      <w:r w:rsidRPr="00916EDC">
        <w:rPr>
          <w:rFonts w:ascii="Calibri" w:eastAsia="Times New Roman" w:hAnsi="Calibri" w:cs="Calibri"/>
          <w:b/>
          <w:sz w:val="24"/>
          <w:szCs w:val="24"/>
        </w:rPr>
        <w:t>Identifikovaná rizika</w:t>
      </w:r>
    </w:p>
    <w:p w14:paraId="7A40DA67" w14:textId="77777777" w:rsidR="00916EDC" w:rsidRPr="00916EDC" w:rsidRDefault="00916EDC" w:rsidP="002827CC">
      <w:pPr>
        <w:spacing w:after="0" w:line="240" w:lineRule="auto"/>
        <w:jc w:val="both"/>
        <w:rPr>
          <w:rFonts w:ascii="Calibri" w:eastAsia="Times New Roman" w:hAnsi="Calibri" w:cs="Calibri"/>
          <w:b/>
          <w:sz w:val="24"/>
          <w:szCs w:val="24"/>
        </w:rPr>
      </w:pPr>
    </w:p>
    <w:p w14:paraId="25079290" w14:textId="77777777" w:rsidR="00916EDC" w:rsidRPr="00916EDC" w:rsidRDefault="00C317A2" w:rsidP="002827CC">
      <w:pPr>
        <w:numPr>
          <w:ilvl w:val="0"/>
          <w:numId w:val="4"/>
        </w:numPr>
        <w:spacing w:after="120" w:line="240" w:lineRule="auto"/>
        <w:ind w:left="357" w:hanging="357"/>
        <w:jc w:val="both"/>
        <w:rPr>
          <w:rFonts w:ascii="Calibri" w:eastAsia="Calibri" w:hAnsi="Calibri" w:cs="Calibri"/>
          <w:b/>
          <w:sz w:val="24"/>
          <w:szCs w:val="24"/>
        </w:rPr>
      </w:pPr>
      <w:r>
        <w:rPr>
          <w:rFonts w:ascii="Calibri" w:eastAsia="Calibri" w:hAnsi="Calibri" w:cs="Calibri"/>
          <w:b/>
          <w:sz w:val="24"/>
          <w:szCs w:val="24"/>
        </w:rPr>
        <w:t>Z</w:t>
      </w:r>
      <w:r w:rsidRPr="00916EDC">
        <w:rPr>
          <w:rFonts w:ascii="Calibri" w:eastAsia="Calibri" w:hAnsi="Calibri" w:cs="Calibri"/>
          <w:b/>
          <w:sz w:val="24"/>
          <w:szCs w:val="24"/>
        </w:rPr>
        <w:t xml:space="preserve">e strany nabyvatelů </w:t>
      </w:r>
      <w:r w:rsidR="00746D56">
        <w:rPr>
          <w:rFonts w:ascii="Calibri" w:eastAsia="Calibri" w:hAnsi="Calibri" w:cs="Calibri"/>
          <w:b/>
          <w:sz w:val="24"/>
          <w:szCs w:val="24"/>
        </w:rPr>
        <w:t>existuje reálné</w:t>
      </w:r>
      <w:r w:rsidR="00916EDC" w:rsidRPr="00916EDC">
        <w:rPr>
          <w:rFonts w:ascii="Calibri" w:eastAsia="Calibri" w:hAnsi="Calibri" w:cs="Calibri"/>
          <w:b/>
          <w:sz w:val="24"/>
          <w:szCs w:val="24"/>
        </w:rPr>
        <w:t xml:space="preserve"> riziko žalob na stát p</w:t>
      </w:r>
      <w:r w:rsidR="00E6065C">
        <w:rPr>
          <w:rFonts w:ascii="Calibri" w:eastAsia="Calibri" w:hAnsi="Calibri" w:cs="Calibri"/>
          <w:b/>
          <w:sz w:val="24"/>
          <w:szCs w:val="24"/>
        </w:rPr>
        <w:t xml:space="preserve">ro zdlouhavé </w:t>
      </w:r>
      <w:r w:rsidR="00916EDC" w:rsidRPr="00916EDC">
        <w:rPr>
          <w:rFonts w:ascii="Calibri" w:eastAsia="Calibri" w:hAnsi="Calibri" w:cs="Calibri"/>
          <w:b/>
          <w:sz w:val="24"/>
          <w:szCs w:val="24"/>
        </w:rPr>
        <w:t>odstraňování SEZ s</w:t>
      </w:r>
      <w:r>
        <w:rPr>
          <w:rFonts w:ascii="Calibri" w:eastAsia="Calibri" w:hAnsi="Calibri" w:cs="Calibri"/>
          <w:b/>
          <w:sz w:val="24"/>
          <w:szCs w:val="24"/>
        </w:rPr>
        <w:t xml:space="preserve"> možným </w:t>
      </w:r>
      <w:r w:rsidR="00916EDC" w:rsidRPr="00916EDC">
        <w:rPr>
          <w:rFonts w:ascii="Calibri" w:eastAsia="Calibri" w:hAnsi="Calibri" w:cs="Calibri"/>
          <w:b/>
          <w:sz w:val="24"/>
          <w:szCs w:val="24"/>
        </w:rPr>
        <w:t>dopadem do státního rozpočtu.</w:t>
      </w:r>
    </w:p>
    <w:p w14:paraId="2E8E5C94" w14:textId="77777777" w:rsidR="00916EDC" w:rsidRPr="00916EDC" w:rsidRDefault="00916EDC" w:rsidP="002827CC">
      <w:pPr>
        <w:numPr>
          <w:ilvl w:val="0"/>
          <w:numId w:val="4"/>
        </w:numPr>
        <w:spacing w:after="120" w:line="240" w:lineRule="auto"/>
        <w:ind w:left="357" w:hanging="357"/>
        <w:jc w:val="both"/>
        <w:rPr>
          <w:rFonts w:ascii="Calibri" w:eastAsia="Calibri" w:hAnsi="Calibri" w:cs="Calibri"/>
          <w:b/>
          <w:sz w:val="24"/>
          <w:szCs w:val="24"/>
        </w:rPr>
      </w:pPr>
      <w:r w:rsidRPr="00916EDC">
        <w:rPr>
          <w:rFonts w:ascii="Calibri" w:eastAsia="Calibri" w:hAnsi="Calibri" w:cs="Calibri"/>
          <w:b/>
          <w:sz w:val="24"/>
          <w:szCs w:val="24"/>
        </w:rPr>
        <w:t xml:space="preserve">Není zajištěno dlouhodobé finanční krytí </w:t>
      </w:r>
      <w:r w:rsidR="00E31D31">
        <w:rPr>
          <w:rFonts w:ascii="Calibri" w:eastAsia="Calibri" w:hAnsi="Calibri" w:cs="Calibri"/>
          <w:b/>
          <w:sz w:val="24"/>
          <w:szCs w:val="24"/>
        </w:rPr>
        <w:t xml:space="preserve">prostředků </w:t>
      </w:r>
      <w:r w:rsidRPr="00916EDC">
        <w:rPr>
          <w:rFonts w:ascii="Calibri" w:eastAsia="Calibri" w:hAnsi="Calibri" w:cs="Calibri"/>
          <w:b/>
          <w:sz w:val="24"/>
          <w:szCs w:val="24"/>
        </w:rPr>
        <w:t>na odstraňování SEZ.</w:t>
      </w:r>
      <w:r w:rsidRPr="00916EDC">
        <w:rPr>
          <w:rFonts w:eastAsia="Calibri" w:cstheme="minorHAnsi"/>
          <w:sz w:val="24"/>
          <w:szCs w:val="24"/>
        </w:rPr>
        <w:t xml:space="preserve"> Postupně dochází k poklesu finančních prostředků zvláštního účtu. Pokud bude tento trend pokračovat, </w:t>
      </w:r>
      <w:r w:rsidRPr="00916EDC">
        <w:rPr>
          <w:rFonts w:eastAsia="Calibri" w:cstheme="minorHAnsi"/>
          <w:b/>
          <w:sz w:val="24"/>
          <w:szCs w:val="24"/>
        </w:rPr>
        <w:t>MF nebude v budoucnu schopno hradit závazky na odstraňování SEZ ze zvláštního účtu</w:t>
      </w:r>
      <w:r w:rsidRPr="00543633">
        <w:rPr>
          <w:rFonts w:eastAsia="Calibri" w:cstheme="minorHAnsi"/>
          <w:b/>
          <w:sz w:val="24"/>
          <w:szCs w:val="24"/>
        </w:rPr>
        <w:t>.</w:t>
      </w:r>
    </w:p>
    <w:p w14:paraId="2682716F" w14:textId="578C6582" w:rsidR="00916EDC" w:rsidRPr="00916EDC" w:rsidRDefault="00916EDC" w:rsidP="002827CC">
      <w:pPr>
        <w:numPr>
          <w:ilvl w:val="0"/>
          <w:numId w:val="4"/>
        </w:numPr>
        <w:spacing w:after="120" w:line="240" w:lineRule="auto"/>
        <w:ind w:left="357" w:hanging="357"/>
        <w:jc w:val="both"/>
        <w:rPr>
          <w:rFonts w:ascii="Calibri" w:eastAsia="Calibri" w:hAnsi="Calibri" w:cs="Calibri"/>
          <w:b/>
          <w:sz w:val="24"/>
          <w:szCs w:val="24"/>
        </w:rPr>
      </w:pPr>
      <w:r w:rsidRPr="00916EDC">
        <w:rPr>
          <w:rFonts w:ascii="Calibri" w:eastAsia="Calibri" w:hAnsi="Calibri" w:cs="Calibri"/>
          <w:b/>
          <w:sz w:val="24"/>
          <w:szCs w:val="24"/>
        </w:rPr>
        <w:t xml:space="preserve">Nedořešením konkrétních případů </w:t>
      </w:r>
      <w:r w:rsidR="00B261F7">
        <w:rPr>
          <w:rFonts w:ascii="Calibri" w:eastAsia="Calibri" w:hAnsi="Calibri" w:cs="Calibri"/>
          <w:b/>
          <w:sz w:val="24"/>
          <w:szCs w:val="24"/>
        </w:rPr>
        <w:t xml:space="preserve">vyčerpaných </w:t>
      </w:r>
      <w:r w:rsidRPr="00916EDC">
        <w:rPr>
          <w:rFonts w:ascii="Calibri" w:eastAsia="Calibri" w:hAnsi="Calibri" w:cs="Calibri"/>
          <w:b/>
          <w:sz w:val="24"/>
          <w:szCs w:val="24"/>
        </w:rPr>
        <w:t xml:space="preserve">garancí, </w:t>
      </w:r>
      <w:r w:rsidRPr="00916EDC">
        <w:rPr>
          <w:rFonts w:eastAsia="Calibri" w:cstheme="minorHAnsi"/>
          <w:sz w:val="24"/>
          <w:szCs w:val="24"/>
        </w:rPr>
        <w:t>kdy garance nebyla v dostatečné výši a nebylo možné za n</w:t>
      </w:r>
      <w:r w:rsidR="00E31D31">
        <w:rPr>
          <w:rFonts w:eastAsia="Calibri" w:cstheme="minorHAnsi"/>
          <w:sz w:val="24"/>
          <w:szCs w:val="24"/>
        </w:rPr>
        <w:t>i</w:t>
      </w:r>
      <w:r w:rsidRPr="00916EDC">
        <w:rPr>
          <w:rFonts w:eastAsia="Calibri" w:cstheme="minorHAnsi"/>
          <w:sz w:val="24"/>
          <w:szCs w:val="24"/>
        </w:rPr>
        <w:t xml:space="preserve"> zátěž zcela odstranit</w:t>
      </w:r>
      <w:r w:rsidRPr="00543633">
        <w:rPr>
          <w:rFonts w:eastAsia="Calibri" w:cstheme="minorHAnsi"/>
          <w:sz w:val="24"/>
          <w:szCs w:val="24"/>
        </w:rPr>
        <w:t>,</w:t>
      </w:r>
      <w:r w:rsidRPr="00916EDC">
        <w:rPr>
          <w:rFonts w:eastAsia="Calibri" w:cstheme="minorHAnsi"/>
          <w:b/>
          <w:sz w:val="24"/>
          <w:szCs w:val="24"/>
        </w:rPr>
        <w:t xml:space="preserve"> </w:t>
      </w:r>
      <w:r w:rsidRPr="00916EDC">
        <w:rPr>
          <w:rFonts w:ascii="Calibri" w:eastAsia="Calibri" w:hAnsi="Calibri" w:cs="Calibri"/>
          <w:b/>
          <w:sz w:val="24"/>
          <w:szCs w:val="24"/>
        </w:rPr>
        <w:t xml:space="preserve">hrozí riziko </w:t>
      </w:r>
      <w:r w:rsidR="00746D56">
        <w:rPr>
          <w:rFonts w:ascii="Calibri" w:eastAsia="Calibri" w:hAnsi="Calibri" w:cs="Calibri"/>
          <w:b/>
          <w:sz w:val="24"/>
          <w:szCs w:val="24"/>
        </w:rPr>
        <w:t xml:space="preserve">částečného nebo i úplného </w:t>
      </w:r>
      <w:r w:rsidRPr="00916EDC">
        <w:rPr>
          <w:rFonts w:ascii="Calibri" w:eastAsia="Calibri" w:hAnsi="Calibri" w:cs="Calibri"/>
          <w:b/>
          <w:sz w:val="24"/>
          <w:szCs w:val="24"/>
        </w:rPr>
        <w:t>znehodnocení některých provedených sanačních prací.</w:t>
      </w:r>
    </w:p>
    <w:p w14:paraId="754676BA" w14:textId="77777777" w:rsidR="0054368B" w:rsidRPr="00E224B4" w:rsidRDefault="00746D56" w:rsidP="002827CC">
      <w:pPr>
        <w:numPr>
          <w:ilvl w:val="0"/>
          <w:numId w:val="4"/>
        </w:numPr>
        <w:spacing w:after="0" w:line="240" w:lineRule="auto"/>
        <w:contextualSpacing/>
        <w:jc w:val="both"/>
        <w:rPr>
          <w:rFonts w:ascii="Calibri" w:eastAsia="Calibri" w:hAnsi="Calibri" w:cs="Calibri"/>
          <w:b/>
          <w:sz w:val="24"/>
          <w:szCs w:val="24"/>
        </w:rPr>
      </w:pPr>
      <w:r>
        <w:rPr>
          <w:rFonts w:ascii="Calibri" w:eastAsia="Calibri" w:hAnsi="Calibri" w:cs="Calibri"/>
          <w:b/>
          <w:sz w:val="24"/>
          <w:szCs w:val="24"/>
        </w:rPr>
        <w:t>Pro pomalost</w:t>
      </w:r>
      <w:r w:rsidR="00E31D31">
        <w:rPr>
          <w:rFonts w:ascii="Calibri" w:eastAsia="Calibri" w:hAnsi="Calibri" w:cs="Calibri"/>
          <w:b/>
          <w:sz w:val="24"/>
          <w:szCs w:val="24"/>
        </w:rPr>
        <w:t>,</w:t>
      </w:r>
      <w:r>
        <w:rPr>
          <w:rFonts w:ascii="Calibri" w:eastAsia="Calibri" w:hAnsi="Calibri" w:cs="Calibri"/>
          <w:b/>
          <w:sz w:val="24"/>
          <w:szCs w:val="24"/>
        </w:rPr>
        <w:t xml:space="preserve"> s jakou vzniká d</w:t>
      </w:r>
      <w:r w:rsidR="00916EDC" w:rsidRPr="00916EDC">
        <w:rPr>
          <w:rFonts w:ascii="Calibri" w:eastAsia="Calibri" w:hAnsi="Calibri" w:cs="Calibri"/>
          <w:b/>
          <w:sz w:val="24"/>
          <w:szCs w:val="24"/>
        </w:rPr>
        <w:t>atabáze ekologických zátěží</w:t>
      </w:r>
      <w:r>
        <w:rPr>
          <w:rFonts w:ascii="Calibri" w:eastAsia="Calibri" w:hAnsi="Calibri" w:cs="Calibri"/>
          <w:b/>
          <w:sz w:val="24"/>
          <w:szCs w:val="24"/>
        </w:rPr>
        <w:t>,</w:t>
      </w:r>
      <w:r w:rsidR="00916EDC" w:rsidRPr="00916EDC">
        <w:rPr>
          <w:rFonts w:ascii="Calibri" w:eastAsia="Calibri" w:hAnsi="Calibri" w:cs="Calibri"/>
          <w:b/>
          <w:sz w:val="24"/>
          <w:szCs w:val="24"/>
        </w:rPr>
        <w:t xml:space="preserve"> </w:t>
      </w:r>
      <w:r>
        <w:rPr>
          <w:rFonts w:ascii="Calibri" w:eastAsia="Calibri" w:hAnsi="Calibri" w:cs="Calibri"/>
          <w:b/>
          <w:sz w:val="24"/>
          <w:szCs w:val="24"/>
        </w:rPr>
        <w:t xml:space="preserve">hrozí riziko, že </w:t>
      </w:r>
      <w:r w:rsidR="00916EDC" w:rsidRPr="00916EDC">
        <w:rPr>
          <w:rFonts w:ascii="Calibri" w:eastAsia="Calibri" w:hAnsi="Calibri" w:cs="Calibri"/>
          <w:b/>
          <w:sz w:val="24"/>
          <w:szCs w:val="24"/>
        </w:rPr>
        <w:t>ne</w:t>
      </w:r>
      <w:r>
        <w:rPr>
          <w:rFonts w:ascii="Calibri" w:eastAsia="Calibri" w:hAnsi="Calibri" w:cs="Calibri"/>
          <w:b/>
          <w:sz w:val="24"/>
          <w:szCs w:val="24"/>
        </w:rPr>
        <w:t>bude</w:t>
      </w:r>
      <w:r w:rsidR="00916EDC" w:rsidRPr="00916EDC">
        <w:rPr>
          <w:rFonts w:ascii="Calibri" w:eastAsia="Calibri" w:hAnsi="Calibri" w:cs="Calibri"/>
          <w:b/>
          <w:sz w:val="24"/>
          <w:szCs w:val="24"/>
        </w:rPr>
        <w:t xml:space="preserve"> úplná a ne</w:t>
      </w:r>
      <w:r>
        <w:rPr>
          <w:rFonts w:ascii="Calibri" w:eastAsia="Calibri" w:hAnsi="Calibri" w:cs="Calibri"/>
          <w:b/>
          <w:sz w:val="24"/>
          <w:szCs w:val="24"/>
        </w:rPr>
        <w:t>bude</w:t>
      </w:r>
      <w:r w:rsidR="00184ABC">
        <w:rPr>
          <w:rFonts w:ascii="Calibri" w:eastAsia="Calibri" w:hAnsi="Calibri" w:cs="Calibri"/>
          <w:b/>
          <w:sz w:val="24"/>
          <w:szCs w:val="24"/>
        </w:rPr>
        <w:t xml:space="preserve"> obsahovat aktuální data.</w:t>
      </w:r>
    </w:p>
    <w:p w14:paraId="2B45C1BF" w14:textId="77777777" w:rsidR="00325BF9" w:rsidRDefault="00325BF9" w:rsidP="002827CC">
      <w:pPr>
        <w:spacing w:after="0" w:line="240" w:lineRule="auto"/>
        <w:rPr>
          <w:rFonts w:eastAsia="Times New Roman" w:cstheme="minorHAnsi"/>
          <w:b/>
          <w:sz w:val="24"/>
          <w:szCs w:val="24"/>
        </w:rPr>
      </w:pPr>
    </w:p>
    <w:p w14:paraId="2E267FC0" w14:textId="77777777" w:rsidR="002827CC" w:rsidRDefault="002827CC">
      <w:pPr>
        <w:rPr>
          <w:rFonts w:eastAsia="Times New Roman" w:cstheme="minorHAnsi"/>
          <w:b/>
          <w:sz w:val="24"/>
          <w:szCs w:val="24"/>
        </w:rPr>
      </w:pPr>
    </w:p>
    <w:p w14:paraId="15FFA78B" w14:textId="77777777" w:rsidR="00916EDC" w:rsidRPr="00543633" w:rsidRDefault="00916EDC" w:rsidP="002827CC">
      <w:pPr>
        <w:spacing w:after="0" w:line="240" w:lineRule="auto"/>
        <w:jc w:val="center"/>
        <w:rPr>
          <w:rFonts w:eastAsia="Times New Roman" w:cstheme="minorHAnsi"/>
          <w:b/>
          <w:sz w:val="28"/>
          <w:szCs w:val="24"/>
        </w:rPr>
      </w:pPr>
      <w:r w:rsidRPr="00543633">
        <w:rPr>
          <w:rFonts w:eastAsia="Times New Roman" w:cstheme="minorHAnsi"/>
          <w:b/>
          <w:sz w:val="28"/>
          <w:szCs w:val="24"/>
        </w:rPr>
        <w:lastRenderedPageBreak/>
        <w:t>III. Podrobn</w:t>
      </w:r>
      <w:r w:rsidR="003B4E6F" w:rsidRPr="00543633">
        <w:rPr>
          <w:rFonts w:eastAsia="Times New Roman" w:cstheme="minorHAnsi"/>
          <w:b/>
          <w:sz w:val="28"/>
          <w:szCs w:val="24"/>
        </w:rPr>
        <w:t>é skutečnosti</w:t>
      </w:r>
      <w:r w:rsidRPr="00543633">
        <w:rPr>
          <w:rFonts w:eastAsia="Times New Roman" w:cstheme="minorHAnsi"/>
          <w:b/>
          <w:sz w:val="28"/>
          <w:szCs w:val="24"/>
        </w:rPr>
        <w:t xml:space="preserve"> zjištěn</w:t>
      </w:r>
      <w:r w:rsidR="003B4E6F" w:rsidRPr="00543633">
        <w:rPr>
          <w:rFonts w:eastAsia="Times New Roman" w:cstheme="minorHAnsi"/>
          <w:b/>
          <w:sz w:val="28"/>
          <w:szCs w:val="24"/>
        </w:rPr>
        <w:t>é kontrolou</w:t>
      </w:r>
    </w:p>
    <w:p w14:paraId="0BCB3B38" w14:textId="77777777" w:rsidR="00916EDC" w:rsidRPr="00916EDC" w:rsidRDefault="00916EDC" w:rsidP="00E31D31">
      <w:pPr>
        <w:spacing w:after="0" w:line="240" w:lineRule="auto"/>
        <w:jc w:val="both"/>
        <w:rPr>
          <w:rFonts w:eastAsia="Times New Roman" w:cstheme="minorHAnsi"/>
          <w:b/>
          <w:sz w:val="24"/>
          <w:szCs w:val="24"/>
        </w:rPr>
      </w:pPr>
    </w:p>
    <w:p w14:paraId="0EAB7DE8" w14:textId="77777777" w:rsidR="00916EDC" w:rsidRPr="00916EDC" w:rsidRDefault="00916EDC" w:rsidP="00E31D31">
      <w:pPr>
        <w:spacing w:after="0" w:line="240" w:lineRule="auto"/>
        <w:jc w:val="both"/>
        <w:rPr>
          <w:rFonts w:eastAsia="Times New Roman" w:cstheme="minorHAnsi"/>
          <w:sz w:val="24"/>
          <w:szCs w:val="24"/>
        </w:rPr>
      </w:pPr>
      <w:r w:rsidRPr="00916EDC">
        <w:rPr>
          <w:rFonts w:eastAsia="Times New Roman" w:cstheme="minorHAnsi"/>
          <w:sz w:val="24"/>
          <w:szCs w:val="24"/>
        </w:rPr>
        <w:t xml:space="preserve">K 31. květnu 2017 MF evidovalo celkem 325 ekologických </w:t>
      </w:r>
      <w:r w:rsidR="00EA0BF8">
        <w:rPr>
          <w:rFonts w:eastAsia="Times New Roman" w:cstheme="minorHAnsi"/>
          <w:sz w:val="24"/>
          <w:szCs w:val="24"/>
        </w:rPr>
        <w:t>smluv, z toho bylo ukončeno 171 </w:t>
      </w:r>
      <w:r w:rsidRPr="00916EDC">
        <w:rPr>
          <w:rFonts w:eastAsia="Times New Roman" w:cstheme="minorHAnsi"/>
          <w:sz w:val="24"/>
          <w:szCs w:val="24"/>
        </w:rPr>
        <w:t>smluv. U celkem 154 neukončených smluv:</w:t>
      </w:r>
    </w:p>
    <w:p w14:paraId="6409E759" w14:textId="77777777" w:rsidR="00916EDC" w:rsidRPr="0054368B" w:rsidRDefault="00916EDC" w:rsidP="00E31D31">
      <w:pPr>
        <w:pStyle w:val="Odstavecseseznamem"/>
        <w:numPr>
          <w:ilvl w:val="0"/>
          <w:numId w:val="7"/>
        </w:numPr>
        <w:spacing w:after="0" w:line="240" w:lineRule="auto"/>
        <w:jc w:val="both"/>
        <w:rPr>
          <w:rFonts w:eastAsia="Calibri" w:cstheme="minorHAnsi"/>
          <w:sz w:val="24"/>
        </w:rPr>
      </w:pPr>
      <w:r w:rsidRPr="0054368B">
        <w:rPr>
          <w:rFonts w:eastAsia="Calibri" w:cstheme="minorHAnsi"/>
          <w:sz w:val="24"/>
        </w:rPr>
        <w:t xml:space="preserve">bylo započato s realizací opatření k odstranění zátěží u </w:t>
      </w:r>
      <w:r w:rsidRPr="0054368B">
        <w:rPr>
          <w:rFonts w:eastAsia="Calibri" w:cstheme="minorHAnsi"/>
          <w:b/>
          <w:sz w:val="24"/>
        </w:rPr>
        <w:t>102</w:t>
      </w:r>
      <w:r w:rsidRPr="0054368B">
        <w:rPr>
          <w:rFonts w:eastAsia="Calibri" w:cstheme="minorHAnsi"/>
          <w:sz w:val="24"/>
        </w:rPr>
        <w:t xml:space="preserve"> smluv, z toho realizace opatření skutečně probíhala u 72 smluv (47 %), u 24 smluv opatření neprobíhala z důvodu nečinnosti nabyvatele, změn vlastnických vztahů nebo nedostatečné výše garance a u šesti smluv probíhal proces jejich ukončování.</w:t>
      </w:r>
    </w:p>
    <w:p w14:paraId="6AFD38C4" w14:textId="77777777" w:rsidR="00916EDC" w:rsidRPr="0054368B" w:rsidRDefault="00916EDC" w:rsidP="00E31D31">
      <w:pPr>
        <w:pStyle w:val="Odstavecseseznamem"/>
        <w:numPr>
          <w:ilvl w:val="0"/>
          <w:numId w:val="7"/>
        </w:numPr>
        <w:spacing w:after="0" w:line="240" w:lineRule="auto"/>
        <w:jc w:val="both"/>
        <w:rPr>
          <w:rFonts w:eastAsia="Calibri" w:cstheme="minorHAnsi"/>
          <w:sz w:val="24"/>
        </w:rPr>
      </w:pPr>
      <w:r w:rsidRPr="0054368B">
        <w:rPr>
          <w:rFonts w:eastAsia="Calibri" w:cstheme="minorHAnsi"/>
          <w:sz w:val="24"/>
        </w:rPr>
        <w:t xml:space="preserve">nebylo započato s realizací opatření u </w:t>
      </w:r>
      <w:r w:rsidRPr="0054368B">
        <w:rPr>
          <w:rFonts w:eastAsia="Calibri" w:cstheme="minorHAnsi"/>
          <w:b/>
          <w:sz w:val="24"/>
        </w:rPr>
        <w:t>47</w:t>
      </w:r>
      <w:r w:rsidRPr="0054368B">
        <w:rPr>
          <w:rFonts w:eastAsia="Calibri" w:cstheme="minorHAnsi"/>
          <w:sz w:val="24"/>
        </w:rPr>
        <w:t xml:space="preserve"> smluv, přestože smlouvy byly uzavřeny v letech 1994 až 1997 a sanace je nutná. Realizace opatření rovněž neprobíhala u dalších </w:t>
      </w:r>
      <w:r w:rsidRPr="0054368B">
        <w:rPr>
          <w:rFonts w:eastAsia="Calibri" w:cstheme="minorHAnsi"/>
          <w:b/>
          <w:sz w:val="24"/>
        </w:rPr>
        <w:t>pěti</w:t>
      </w:r>
      <w:r w:rsidRPr="0054368B">
        <w:rPr>
          <w:rFonts w:eastAsia="Calibri" w:cstheme="minorHAnsi"/>
          <w:sz w:val="24"/>
        </w:rPr>
        <w:t xml:space="preserve"> neukončených smluv uzavřených v letech 1996 až 1998, kde MF neznalo přesný stav zátěží.</w:t>
      </w:r>
    </w:p>
    <w:p w14:paraId="0F77A593" w14:textId="77777777" w:rsidR="00E31D31" w:rsidRDefault="00E31D31" w:rsidP="00916EDC">
      <w:pPr>
        <w:spacing w:after="0" w:line="240" w:lineRule="auto"/>
        <w:jc w:val="both"/>
        <w:rPr>
          <w:rFonts w:eastAsia="Times New Roman" w:cstheme="minorHAnsi"/>
          <w:sz w:val="24"/>
          <w:szCs w:val="24"/>
        </w:rPr>
      </w:pPr>
    </w:p>
    <w:p w14:paraId="7C17C14E" w14:textId="389C883E" w:rsidR="00916EDC" w:rsidRPr="00916EDC" w:rsidRDefault="00916EDC" w:rsidP="00916EDC">
      <w:pPr>
        <w:spacing w:after="0" w:line="240" w:lineRule="auto"/>
        <w:jc w:val="both"/>
        <w:rPr>
          <w:rFonts w:eastAsia="Times New Roman" w:cstheme="minorHAnsi"/>
          <w:color w:val="000000"/>
          <w:sz w:val="24"/>
          <w:szCs w:val="24"/>
        </w:rPr>
      </w:pPr>
      <w:r w:rsidRPr="00916EDC">
        <w:rPr>
          <w:rFonts w:eastAsia="Times New Roman" w:cstheme="minorHAnsi"/>
          <w:sz w:val="24"/>
          <w:szCs w:val="24"/>
        </w:rPr>
        <w:t>Již při kontrole provedené v roce 2010</w:t>
      </w:r>
      <w:r w:rsidR="002105D3">
        <w:rPr>
          <w:rFonts w:eastAsia="Times New Roman" w:cstheme="minorHAnsi"/>
          <w:sz w:val="24"/>
          <w:szCs w:val="24"/>
          <w:vertAlign w:val="superscript"/>
        </w:rPr>
        <w:t>6</w:t>
      </w:r>
      <w:r w:rsidRPr="00916EDC">
        <w:rPr>
          <w:rFonts w:eastAsia="Times New Roman" w:cstheme="minorHAnsi"/>
          <w:sz w:val="24"/>
          <w:szCs w:val="24"/>
        </w:rPr>
        <w:t xml:space="preserve"> NKÚ zjistil, že došlo k pozastavení zadávání veřejných zakázek Ministerstvem financí v období let 2004 až 2006, což odstraňování SEZ zpomalilo. V prosinci 2008 </w:t>
      </w:r>
      <w:r w:rsidRPr="00916EDC">
        <w:rPr>
          <w:rFonts w:eastAsia="Times New Roman" w:cstheme="minorHAnsi"/>
          <w:color w:val="000000"/>
          <w:sz w:val="24"/>
          <w:szCs w:val="24"/>
        </w:rPr>
        <w:t xml:space="preserve">MF se souhlasem vlády ČR vyhlásilo zadávací řízení na </w:t>
      </w:r>
      <w:r w:rsidRPr="00916EDC">
        <w:rPr>
          <w:rFonts w:eastAsia="Times New Roman" w:cstheme="minorHAnsi"/>
          <w:sz w:val="24"/>
          <w:szCs w:val="24"/>
        </w:rPr>
        <w:t>veřejnou zakázku na realizaci</w:t>
      </w:r>
      <w:r w:rsidRPr="00916EDC">
        <w:rPr>
          <w:rFonts w:eastAsia="Times New Roman" w:cstheme="minorHAnsi"/>
          <w:color w:val="000000"/>
          <w:sz w:val="24"/>
          <w:szCs w:val="24"/>
        </w:rPr>
        <w:t xml:space="preserve"> koncesního projektu </w:t>
      </w:r>
      <w:r w:rsidRPr="00543633">
        <w:rPr>
          <w:rFonts w:eastAsia="Times New Roman" w:cstheme="minorHAnsi"/>
          <w:i/>
          <w:sz w:val="24"/>
          <w:szCs w:val="24"/>
        </w:rPr>
        <w:t>Odstranění některých ekologických zátěží vzniklých před privatizací</w:t>
      </w:r>
      <w:r w:rsidRPr="00916EDC">
        <w:rPr>
          <w:rFonts w:eastAsia="Times New Roman" w:cstheme="minorHAnsi"/>
          <w:color w:val="000000"/>
          <w:sz w:val="24"/>
          <w:szCs w:val="24"/>
        </w:rPr>
        <w:t xml:space="preserve">, tzv. </w:t>
      </w:r>
      <w:proofErr w:type="spellStart"/>
      <w:r w:rsidRPr="00916EDC">
        <w:rPr>
          <w:rFonts w:eastAsia="Times New Roman" w:cstheme="minorHAnsi"/>
          <w:color w:val="000000"/>
          <w:sz w:val="24"/>
          <w:szCs w:val="24"/>
        </w:rPr>
        <w:t>ekozakázku</w:t>
      </w:r>
      <w:proofErr w:type="spellEnd"/>
      <w:r w:rsidRPr="00916EDC">
        <w:rPr>
          <w:rFonts w:eastAsia="Times New Roman" w:cstheme="minorHAnsi"/>
          <w:color w:val="000000"/>
          <w:sz w:val="24"/>
          <w:szCs w:val="24"/>
        </w:rPr>
        <w:t xml:space="preserve">, která předpokládala odstranění SEZ jedním subjektem do roku 2015. NKÚ poukázalo na řadu nedostatků a významných rizik této </w:t>
      </w:r>
      <w:proofErr w:type="spellStart"/>
      <w:r w:rsidRPr="00916EDC">
        <w:rPr>
          <w:rFonts w:eastAsia="Times New Roman" w:cstheme="minorHAnsi"/>
          <w:color w:val="000000"/>
          <w:sz w:val="24"/>
          <w:szCs w:val="24"/>
        </w:rPr>
        <w:t>ekozakázky</w:t>
      </w:r>
      <w:proofErr w:type="spellEnd"/>
      <w:r w:rsidRPr="00916EDC">
        <w:rPr>
          <w:rFonts w:eastAsia="Times New Roman" w:cstheme="minorHAnsi"/>
          <w:color w:val="000000"/>
          <w:sz w:val="24"/>
          <w:szCs w:val="24"/>
        </w:rPr>
        <w:t xml:space="preserve">. </w:t>
      </w:r>
    </w:p>
    <w:p w14:paraId="365FC36D" w14:textId="77777777" w:rsidR="00916EDC" w:rsidRPr="00916EDC" w:rsidRDefault="00916EDC" w:rsidP="00916EDC">
      <w:pPr>
        <w:spacing w:after="0" w:line="240" w:lineRule="auto"/>
        <w:jc w:val="both"/>
        <w:rPr>
          <w:rFonts w:eastAsia="Times New Roman" w:cstheme="minorHAnsi"/>
          <w:sz w:val="24"/>
          <w:szCs w:val="24"/>
        </w:rPr>
      </w:pPr>
    </w:p>
    <w:p w14:paraId="12D8EA44"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 xml:space="preserve">MF zadávací řízení na veřejnou </w:t>
      </w:r>
      <w:proofErr w:type="spellStart"/>
      <w:r w:rsidRPr="00916EDC">
        <w:rPr>
          <w:rFonts w:eastAsia="Times New Roman" w:cstheme="minorHAnsi"/>
          <w:sz w:val="24"/>
          <w:szCs w:val="24"/>
        </w:rPr>
        <w:t>ekozakázku</w:t>
      </w:r>
      <w:proofErr w:type="spellEnd"/>
      <w:r w:rsidRPr="00916EDC">
        <w:rPr>
          <w:rFonts w:eastAsia="Times New Roman" w:cstheme="minorHAnsi"/>
          <w:sz w:val="24"/>
          <w:szCs w:val="24"/>
        </w:rPr>
        <w:t xml:space="preserve"> zrušilo v lednu 2012 n</w:t>
      </w:r>
      <w:r w:rsidRPr="00916EDC">
        <w:rPr>
          <w:rFonts w:eastAsia="Times New Roman" w:cstheme="minorHAnsi"/>
          <w:color w:val="000000"/>
          <w:sz w:val="24"/>
          <w:szCs w:val="24"/>
        </w:rPr>
        <w:t>a základě rozhodnutí vlády ČR</w:t>
      </w:r>
      <w:r w:rsidR="005D169D" w:rsidRPr="00916EDC">
        <w:rPr>
          <w:rFonts w:eastAsia="Times New Roman" w:cstheme="minorHAnsi"/>
          <w:sz w:val="24"/>
          <w:szCs w:val="24"/>
          <w:vertAlign w:val="superscript"/>
        </w:rPr>
        <w:footnoteReference w:id="10"/>
      </w:r>
      <w:r w:rsidRPr="00916EDC">
        <w:rPr>
          <w:rFonts w:eastAsia="Times New Roman" w:cstheme="minorHAnsi"/>
          <w:sz w:val="24"/>
          <w:szCs w:val="24"/>
        </w:rPr>
        <w:t>. Pokles počtu veřejných zakázek k odstraňování SEZ zadávaných Ministerstvem financí ale přetrvával. MF to zdůvodnilo zadáváním veřejných zakázek transparentním způsobem v otevřených řízeních, která jsou administrativně náročnější</w:t>
      </w:r>
      <w:r w:rsidR="00E31D31">
        <w:rPr>
          <w:rFonts w:eastAsia="Times New Roman" w:cstheme="minorHAnsi"/>
          <w:sz w:val="24"/>
          <w:szCs w:val="24"/>
        </w:rPr>
        <w:t>,</w:t>
      </w:r>
      <w:r w:rsidRPr="00916EDC">
        <w:rPr>
          <w:rFonts w:eastAsia="Times New Roman" w:cstheme="minorHAnsi"/>
          <w:sz w:val="24"/>
          <w:szCs w:val="24"/>
        </w:rPr>
        <w:t xml:space="preserve"> a hledáním nového přístupu k odstraňování SEZ. Do doby ukončení kontroly ale MF pokračovalo v administraci odstraňování SEZ stejným způsobem jako před zadáním </w:t>
      </w:r>
      <w:proofErr w:type="spellStart"/>
      <w:r w:rsidRPr="00916EDC">
        <w:rPr>
          <w:rFonts w:eastAsia="Times New Roman" w:cstheme="minorHAnsi"/>
          <w:sz w:val="24"/>
          <w:szCs w:val="24"/>
        </w:rPr>
        <w:t>ekozakázky</w:t>
      </w:r>
      <w:proofErr w:type="spellEnd"/>
      <w:r w:rsidRPr="00916EDC">
        <w:rPr>
          <w:rFonts w:eastAsia="Times New Roman" w:cstheme="minorHAnsi"/>
          <w:sz w:val="24"/>
          <w:szCs w:val="24"/>
        </w:rPr>
        <w:t>, tj. vlastními pracovníky.</w:t>
      </w:r>
    </w:p>
    <w:p w14:paraId="269FF8FD" w14:textId="77777777" w:rsidR="00916EDC" w:rsidRPr="00916EDC" w:rsidRDefault="00916EDC" w:rsidP="00916EDC">
      <w:pPr>
        <w:spacing w:after="0" w:line="240" w:lineRule="auto"/>
        <w:jc w:val="both"/>
        <w:rPr>
          <w:rFonts w:eastAsia="Times New Roman" w:cstheme="minorHAnsi"/>
          <w:sz w:val="24"/>
          <w:szCs w:val="24"/>
        </w:rPr>
      </w:pPr>
    </w:p>
    <w:p w14:paraId="621FC3EC"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Od roku 2014 vytvořilo samostatný útvar pro problematiku ekologických závazků státu a počet pracovníků zabývajících se touto problematikou navýšilo z původních 18 na 25 pracovníků. Vzhledem k personálnímu zabezpečení je MF schopno ročně zahájit jen 10 veřejných zakázek zadaných podle zákona o veřejných zakázkách</w:t>
      </w:r>
      <w:r w:rsidR="004B6DE6">
        <w:rPr>
          <w:rStyle w:val="Znakapoznpodarou"/>
          <w:rFonts w:eastAsia="Times New Roman" w:cstheme="minorHAnsi"/>
          <w:sz w:val="24"/>
          <w:szCs w:val="24"/>
        </w:rPr>
        <w:footnoteReference w:id="11"/>
      </w:r>
      <w:r w:rsidRPr="00916EDC">
        <w:rPr>
          <w:rFonts w:eastAsia="Times New Roman" w:cstheme="minorHAnsi"/>
          <w:sz w:val="24"/>
          <w:szCs w:val="24"/>
        </w:rPr>
        <w:t xml:space="preserve">. MF navíc zadává veřejné zakázky transparentním způsobem v otevřených řízeních, která jsou administrativně náročnější. Proces odstraňování SEZ se tak výrazně neurychlil. V této souvislosti je třeba upozornit na riziko žalob ze strany nabyvatelů z důvodu nečinnosti MF. Na základě jedné takové </w:t>
      </w:r>
      <w:r w:rsidRPr="00916EDC">
        <w:rPr>
          <w:rFonts w:ascii="Calibri" w:eastAsia="Times New Roman" w:hAnsi="Calibri" w:cs="Calibri"/>
          <w:sz w:val="24"/>
          <w:szCs w:val="24"/>
        </w:rPr>
        <w:t>žaloby muselo MF podle rozhodnutí soudu ze zvláštního účtu kromě výdajů na sanaci a supervizi ve výši 14,6 mil. Kč uhradit i úroky ve výši 3,8 mil. Kč, soudní poplatky ve výši 0,6 mil. Kč a náklady advokáta žalobce ve výši 0,5 mil. Kč.</w:t>
      </w:r>
    </w:p>
    <w:p w14:paraId="77AC0F8B" w14:textId="77777777" w:rsidR="0054368B" w:rsidRPr="00916EDC" w:rsidRDefault="0054368B" w:rsidP="00916EDC">
      <w:pPr>
        <w:tabs>
          <w:tab w:val="left" w:pos="2567"/>
        </w:tabs>
        <w:spacing w:after="0" w:line="240" w:lineRule="auto"/>
        <w:jc w:val="both"/>
        <w:rPr>
          <w:rFonts w:eastAsia="Times New Roman" w:cstheme="minorHAnsi"/>
          <w:sz w:val="24"/>
          <w:szCs w:val="24"/>
        </w:rPr>
      </w:pPr>
    </w:p>
    <w:p w14:paraId="1EDD4D65" w14:textId="77777777" w:rsidR="00916EDC" w:rsidRPr="00916EDC" w:rsidRDefault="00AB7E36" w:rsidP="00916EDC">
      <w:pPr>
        <w:tabs>
          <w:tab w:val="left" w:pos="2567"/>
        </w:tabs>
        <w:spacing w:after="0" w:line="240" w:lineRule="auto"/>
        <w:jc w:val="both"/>
        <w:rPr>
          <w:rFonts w:eastAsia="Times New Roman" w:cstheme="minorHAnsi"/>
          <w:b/>
          <w:sz w:val="24"/>
          <w:szCs w:val="24"/>
        </w:rPr>
      </w:pPr>
      <w:r>
        <w:rPr>
          <w:rFonts w:eastAsia="Times New Roman" w:cstheme="minorHAnsi"/>
          <w:b/>
          <w:sz w:val="24"/>
          <w:szCs w:val="24"/>
        </w:rPr>
        <w:t xml:space="preserve">1. </w:t>
      </w:r>
      <w:r w:rsidR="00916EDC" w:rsidRPr="00916EDC">
        <w:rPr>
          <w:rFonts w:eastAsia="Times New Roman" w:cstheme="minorHAnsi"/>
          <w:b/>
          <w:sz w:val="24"/>
          <w:szCs w:val="24"/>
        </w:rPr>
        <w:t>Ochranné sanační čerpání</w:t>
      </w:r>
    </w:p>
    <w:p w14:paraId="2AEEE5F2" w14:textId="77777777" w:rsidR="002827CC" w:rsidRDefault="002827CC" w:rsidP="00916EDC">
      <w:pPr>
        <w:tabs>
          <w:tab w:val="left" w:pos="2567"/>
        </w:tabs>
        <w:spacing w:after="0" w:line="240" w:lineRule="auto"/>
        <w:jc w:val="both"/>
        <w:rPr>
          <w:rFonts w:eastAsia="Times New Roman" w:cstheme="minorHAnsi"/>
          <w:sz w:val="24"/>
          <w:szCs w:val="24"/>
        </w:rPr>
      </w:pPr>
    </w:p>
    <w:p w14:paraId="29F84EFB" w14:textId="77777777" w:rsidR="00916EDC" w:rsidRPr="00916EDC" w:rsidRDefault="00916EDC" w:rsidP="00916EDC">
      <w:pPr>
        <w:tabs>
          <w:tab w:val="left" w:pos="2567"/>
        </w:tabs>
        <w:spacing w:after="0" w:line="240" w:lineRule="auto"/>
        <w:jc w:val="both"/>
        <w:rPr>
          <w:rFonts w:eastAsia="Times New Roman" w:cstheme="minorHAnsi"/>
          <w:sz w:val="24"/>
          <w:szCs w:val="24"/>
        </w:rPr>
      </w:pPr>
      <w:r w:rsidRPr="00916EDC">
        <w:rPr>
          <w:rFonts w:eastAsia="Times New Roman" w:cstheme="minorHAnsi"/>
          <w:sz w:val="24"/>
          <w:szCs w:val="24"/>
        </w:rPr>
        <w:t xml:space="preserve">U části SEZ je prováděno tzv. ochranné sanační čerpání, tj. opatření, které stav jen udržuje nebo ho jen mírně zlepšuje a definitivně neřeší odstranění zátěží. Ochranné sanační čerpání je prováděno na základě požadavku ČIŽP z důvodu zabránění šíření kontaminace, a to do doby zahájení sanace. MF nevedlo souhrnně informace o tomto čerpání, ale samostatně u příslušné ekologické smlouvy. </w:t>
      </w:r>
    </w:p>
    <w:p w14:paraId="35FAB366" w14:textId="77777777" w:rsidR="00916EDC" w:rsidRPr="00916EDC" w:rsidRDefault="00916EDC" w:rsidP="00916EDC">
      <w:pPr>
        <w:tabs>
          <w:tab w:val="left" w:pos="2567"/>
        </w:tabs>
        <w:spacing w:after="0" w:line="240" w:lineRule="auto"/>
        <w:jc w:val="both"/>
        <w:rPr>
          <w:rFonts w:eastAsia="Times New Roman" w:cstheme="minorHAnsi"/>
          <w:sz w:val="24"/>
          <w:szCs w:val="24"/>
        </w:rPr>
      </w:pPr>
    </w:p>
    <w:p w14:paraId="6DC11D14" w14:textId="275D8011" w:rsidR="00916EDC" w:rsidRPr="00916EDC" w:rsidRDefault="00916EDC" w:rsidP="00916EDC">
      <w:pPr>
        <w:tabs>
          <w:tab w:val="left" w:pos="2567"/>
        </w:tabs>
        <w:spacing w:after="0" w:line="240" w:lineRule="auto"/>
        <w:jc w:val="both"/>
        <w:rPr>
          <w:rFonts w:eastAsia="Times New Roman" w:cstheme="minorHAnsi"/>
          <w:sz w:val="24"/>
          <w:szCs w:val="24"/>
        </w:rPr>
      </w:pPr>
      <w:r w:rsidRPr="00916EDC">
        <w:rPr>
          <w:rFonts w:eastAsia="Times New Roman" w:cstheme="minorHAnsi"/>
          <w:sz w:val="24"/>
          <w:szCs w:val="24"/>
        </w:rPr>
        <w:t>V březnu 2014 provedlo MF analýzu příslušných údajů a identifikovalo 26 lokalit s ochranným čerpáním neukončeným do března 2014. Za ochranná čerpání v těchto lokalitách MF uhradilo ze zvláštního účtu k 31. prosinci 2016 celkem 339,8 mil. Kč. Z toho nejvyšším výdajem bylo ochranné čerpání u ekologické smlouvy č. 131/96/01/01, které probíhalo od roku 1997, přičemž přetrvávalo i v době ukončení kontroly</w:t>
      </w:r>
      <w:r w:rsidR="00AE588C">
        <w:rPr>
          <w:rFonts w:eastAsia="Times New Roman" w:cstheme="minorHAnsi"/>
          <w:sz w:val="24"/>
          <w:szCs w:val="24"/>
        </w:rPr>
        <w:t>,</w:t>
      </w:r>
      <w:r w:rsidRPr="00916EDC">
        <w:rPr>
          <w:rFonts w:eastAsia="Times New Roman" w:cstheme="minorHAnsi"/>
          <w:sz w:val="24"/>
          <w:szCs w:val="24"/>
        </w:rPr>
        <w:t xml:space="preserve"> a MF za něj uhradilo 154,3 mil. Kč. Veřejnou zakázku na zpracování příslušného projektu definitivní sanace MF zadalo až v roce 2015. Projekt byl v době kontroly zpracován a zadání jeho realizace MF předpokládalo v roce 2018, přitom uvedenou prodlevu nebylo schopno zdůvodnit. Od roku 2014 MF při výběru prioritních akcí k realizaci sice zohledňovalo i ochranné sanační čerpání, ale k 31. květnu 2017 stále zůstávalo pět lokalit s takovým čerpáním, které MF nezařadilo do priorit ani do střednědobého plánu. U těchto lokalit nebyla dosud provedena projektová příprava definitivní sanace a MF uvažovalo </w:t>
      </w:r>
      <w:r w:rsidR="00A25385">
        <w:rPr>
          <w:rFonts w:eastAsia="Times New Roman" w:cstheme="minorHAnsi"/>
          <w:sz w:val="24"/>
          <w:szCs w:val="24"/>
        </w:rPr>
        <w:t>o</w:t>
      </w:r>
      <w:r w:rsidRPr="00916EDC">
        <w:rPr>
          <w:rFonts w:eastAsia="Times New Roman" w:cstheme="minorHAnsi"/>
          <w:sz w:val="24"/>
          <w:szCs w:val="24"/>
        </w:rPr>
        <w:t xml:space="preserve"> jejím zahájení až od roku 2018. </w:t>
      </w:r>
    </w:p>
    <w:p w14:paraId="24857DFB" w14:textId="77777777" w:rsidR="00916EDC" w:rsidRPr="00916EDC" w:rsidRDefault="00916EDC" w:rsidP="00916EDC">
      <w:pPr>
        <w:spacing w:after="0" w:line="240" w:lineRule="auto"/>
        <w:jc w:val="both"/>
        <w:rPr>
          <w:rFonts w:eastAsia="Times New Roman" w:cstheme="minorHAnsi"/>
          <w:sz w:val="24"/>
          <w:szCs w:val="24"/>
        </w:rPr>
      </w:pPr>
    </w:p>
    <w:p w14:paraId="303EC773" w14:textId="77777777" w:rsidR="00916EDC" w:rsidRPr="00916EDC" w:rsidRDefault="00AB7E36" w:rsidP="00916EDC">
      <w:pPr>
        <w:spacing w:after="0" w:line="240" w:lineRule="auto"/>
        <w:jc w:val="both"/>
        <w:rPr>
          <w:rFonts w:eastAsia="Times New Roman" w:cstheme="minorHAnsi"/>
          <w:b/>
          <w:sz w:val="24"/>
          <w:szCs w:val="24"/>
        </w:rPr>
      </w:pPr>
      <w:r>
        <w:rPr>
          <w:rFonts w:eastAsia="Times New Roman" w:cstheme="minorHAnsi"/>
          <w:b/>
          <w:sz w:val="24"/>
          <w:szCs w:val="24"/>
        </w:rPr>
        <w:t xml:space="preserve">2. </w:t>
      </w:r>
      <w:r w:rsidR="00916EDC" w:rsidRPr="00916EDC">
        <w:rPr>
          <w:rFonts w:eastAsia="Times New Roman" w:cstheme="minorHAnsi"/>
          <w:b/>
          <w:sz w:val="24"/>
          <w:szCs w:val="24"/>
        </w:rPr>
        <w:t>Garance</w:t>
      </w:r>
    </w:p>
    <w:p w14:paraId="73764245" w14:textId="77777777" w:rsidR="002827CC" w:rsidRDefault="002827CC" w:rsidP="00916EDC">
      <w:pPr>
        <w:spacing w:after="0" w:line="240" w:lineRule="auto"/>
        <w:jc w:val="both"/>
        <w:rPr>
          <w:rFonts w:eastAsia="Times New Roman" w:cstheme="minorHAnsi"/>
          <w:sz w:val="24"/>
          <w:szCs w:val="24"/>
        </w:rPr>
      </w:pPr>
    </w:p>
    <w:p w14:paraId="1AD93373" w14:textId="78A30D5C" w:rsid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MF informovalo vládu ČR, že celková výše garancí, ke kterým se stát v ekologických smlouvách zavázal, u zbylých 160 dosud neukončených smluv byla k 31. prosinci 2016 ve výši 153 297</w:t>
      </w:r>
      <w:r w:rsidR="00A25385">
        <w:rPr>
          <w:rFonts w:eastAsia="Times New Roman" w:cstheme="minorHAnsi"/>
          <w:sz w:val="24"/>
          <w:szCs w:val="24"/>
        </w:rPr>
        <w:t> </w:t>
      </w:r>
      <w:r w:rsidRPr="00916EDC">
        <w:rPr>
          <w:rFonts w:eastAsia="Times New Roman" w:cstheme="minorHAnsi"/>
          <w:sz w:val="24"/>
          <w:szCs w:val="24"/>
        </w:rPr>
        <w:t>mil.</w:t>
      </w:r>
      <w:r w:rsidR="00A25385">
        <w:rPr>
          <w:rFonts w:eastAsia="Times New Roman" w:cstheme="minorHAnsi"/>
          <w:sz w:val="24"/>
          <w:szCs w:val="24"/>
        </w:rPr>
        <w:t> </w:t>
      </w:r>
      <w:r w:rsidRPr="00916EDC">
        <w:rPr>
          <w:rFonts w:eastAsia="Times New Roman" w:cstheme="minorHAnsi"/>
          <w:sz w:val="24"/>
          <w:szCs w:val="24"/>
        </w:rPr>
        <w:t xml:space="preserve">Kč. Výše garancí ale nevyjadřuje reálnou potřebu finančních prostředků na odstranění SEZ. Garance byla v ekologických smlouvách </w:t>
      </w:r>
      <w:r w:rsidRPr="00916EDC">
        <w:rPr>
          <w:rFonts w:eastAsia="Times New Roman" w:cstheme="minorHAnsi"/>
          <w:color w:val="000000"/>
          <w:sz w:val="24"/>
          <w:szCs w:val="24"/>
        </w:rPr>
        <w:t xml:space="preserve">uvedena v maximální výši ve vztahu k výši kupní ceny privatizovaného majetku, eventuálně byla stanovena do výše základního jmění společností. </w:t>
      </w:r>
      <w:r w:rsidRPr="00916EDC">
        <w:rPr>
          <w:rFonts w:eastAsia="Times New Roman" w:cstheme="minorHAnsi"/>
          <w:sz w:val="24"/>
          <w:szCs w:val="24"/>
        </w:rPr>
        <w:t>Rozdílnost garancí a skutečný</w:t>
      </w:r>
      <w:r w:rsidR="00A25385">
        <w:rPr>
          <w:rFonts w:eastAsia="Times New Roman" w:cstheme="minorHAnsi"/>
          <w:sz w:val="24"/>
          <w:szCs w:val="24"/>
        </w:rPr>
        <w:t>ch</w:t>
      </w:r>
      <w:r w:rsidRPr="00916EDC">
        <w:rPr>
          <w:rFonts w:eastAsia="Times New Roman" w:cstheme="minorHAnsi"/>
          <w:sz w:val="24"/>
          <w:szCs w:val="24"/>
        </w:rPr>
        <w:t xml:space="preserve"> výdaj</w:t>
      </w:r>
      <w:r w:rsidR="00A25385">
        <w:rPr>
          <w:rFonts w:eastAsia="Times New Roman" w:cstheme="minorHAnsi"/>
          <w:sz w:val="24"/>
          <w:szCs w:val="24"/>
        </w:rPr>
        <w:t>ů</w:t>
      </w:r>
      <w:r w:rsidRPr="00916EDC">
        <w:rPr>
          <w:rFonts w:eastAsia="Times New Roman" w:cstheme="minorHAnsi"/>
          <w:sz w:val="24"/>
          <w:szCs w:val="24"/>
        </w:rPr>
        <w:t xml:space="preserve"> potvrzuje fakt, že u ekologických smluv ukončených v letech 2011 až 2016 se podíl skutečných výdajů z výše posledně platné garance pohyboval v rozmezí od 15 % do 70 %. Podle stavu k 19. led</w:t>
      </w:r>
      <w:r w:rsidR="002105D3">
        <w:rPr>
          <w:rFonts w:eastAsia="Times New Roman" w:cstheme="minorHAnsi"/>
          <w:sz w:val="24"/>
          <w:szCs w:val="24"/>
        </w:rPr>
        <w:t>nu 2017 MF snížilo garanci u 33 </w:t>
      </w:r>
      <w:r w:rsidRPr="00916EDC">
        <w:rPr>
          <w:rFonts w:eastAsia="Times New Roman" w:cstheme="minorHAnsi"/>
          <w:sz w:val="24"/>
          <w:szCs w:val="24"/>
        </w:rPr>
        <w:t xml:space="preserve">smluv a navýšilo ji u 21 smluv. </w:t>
      </w:r>
    </w:p>
    <w:p w14:paraId="1997894A" w14:textId="77777777" w:rsidR="00A25385" w:rsidRPr="00916EDC" w:rsidRDefault="00A25385" w:rsidP="00916EDC">
      <w:pPr>
        <w:spacing w:after="0" w:line="240" w:lineRule="auto"/>
        <w:jc w:val="both"/>
        <w:rPr>
          <w:rFonts w:eastAsia="Times New Roman" w:cstheme="minorHAnsi"/>
          <w:sz w:val="24"/>
          <w:szCs w:val="24"/>
        </w:rPr>
      </w:pPr>
    </w:p>
    <w:p w14:paraId="657A8C6F" w14:textId="208F7B86" w:rsidR="00A25385" w:rsidRPr="00A554CD" w:rsidRDefault="00A25385" w:rsidP="00D56B0B">
      <w:pPr>
        <w:keepNext/>
        <w:tabs>
          <w:tab w:val="right" w:pos="9072"/>
        </w:tabs>
        <w:spacing w:after="0" w:line="240" w:lineRule="auto"/>
        <w:ind w:left="964" w:hanging="964"/>
        <w:jc w:val="both"/>
        <w:rPr>
          <w:rFonts w:eastAsia="Times New Roman" w:cstheme="minorHAnsi"/>
          <w:color w:val="000000" w:themeColor="text1"/>
        </w:rPr>
      </w:pPr>
      <w:r w:rsidRPr="00A554CD">
        <w:rPr>
          <w:rFonts w:eastAsia="Times New Roman" w:cstheme="minorHAnsi"/>
          <w:b/>
          <w:bCs/>
          <w:color w:val="000000" w:themeColor="text1"/>
        </w:rPr>
        <w:t>Graf č. 2</w:t>
      </w:r>
      <w:r w:rsidR="009C06E7">
        <w:rPr>
          <w:rFonts w:eastAsia="Times New Roman" w:cstheme="minorHAnsi"/>
          <w:b/>
          <w:bCs/>
          <w:color w:val="000000" w:themeColor="text1"/>
        </w:rPr>
        <w:t>:</w:t>
      </w:r>
      <w:r w:rsidRPr="00A554CD">
        <w:rPr>
          <w:rFonts w:eastAsia="Times New Roman" w:cstheme="minorHAnsi"/>
          <w:b/>
          <w:bCs/>
          <w:color w:val="000000" w:themeColor="text1"/>
        </w:rPr>
        <w:t xml:space="preserve"> </w:t>
      </w:r>
      <w:r w:rsidRPr="00A554CD">
        <w:rPr>
          <w:rFonts w:eastAsia="Times New Roman" w:cstheme="minorHAnsi"/>
          <w:b/>
          <w:bCs/>
          <w:color w:val="000000" w:themeColor="text1"/>
        </w:rPr>
        <w:tab/>
        <w:t xml:space="preserve">Porovnání výše posledně platných garancí a skutečných výdajů ukončených ekologických smluv v letech 2011 až 2016 </w:t>
      </w:r>
      <w:r w:rsidRPr="00A554CD">
        <w:rPr>
          <w:rFonts w:eastAsia="Times New Roman" w:cstheme="minorHAnsi"/>
          <w:b/>
          <w:bCs/>
          <w:color w:val="000000" w:themeColor="text1"/>
        </w:rPr>
        <w:tab/>
        <w:t>(v mil. Kč)</w:t>
      </w:r>
    </w:p>
    <w:p w14:paraId="296A7324" w14:textId="4F7608BA" w:rsidR="00A25385" w:rsidRDefault="00A25385" w:rsidP="00916EDC">
      <w:pPr>
        <w:spacing w:after="0" w:line="240" w:lineRule="auto"/>
        <w:jc w:val="both"/>
        <w:rPr>
          <w:rFonts w:eastAsia="Times New Roman" w:cstheme="minorHAnsi"/>
          <w:sz w:val="24"/>
          <w:szCs w:val="24"/>
        </w:rPr>
      </w:pPr>
    </w:p>
    <w:p w14:paraId="46ABEF22" w14:textId="37482BED" w:rsidR="007954A2" w:rsidRDefault="00D4363D" w:rsidP="00916EDC">
      <w:pPr>
        <w:spacing w:after="0" w:line="240" w:lineRule="auto"/>
        <w:jc w:val="both"/>
        <w:rPr>
          <w:rFonts w:eastAsia="Times New Roman" w:cstheme="minorHAnsi"/>
          <w:sz w:val="24"/>
          <w:szCs w:val="24"/>
        </w:rPr>
      </w:pPr>
      <w:r>
        <w:rPr>
          <w:noProof/>
          <w:lang w:eastAsia="cs-CZ"/>
        </w:rPr>
        <w:drawing>
          <wp:inline distT="0" distB="0" distL="0" distR="0" wp14:anchorId="6CFAF774" wp14:editId="66C9E9FA">
            <wp:extent cx="5760720" cy="2797810"/>
            <wp:effectExtent l="0" t="0" r="0" b="254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DA58AE" w14:textId="77777777" w:rsidR="007954A2" w:rsidRDefault="007954A2" w:rsidP="00916EDC">
      <w:pPr>
        <w:spacing w:after="0" w:line="240" w:lineRule="auto"/>
        <w:jc w:val="both"/>
        <w:rPr>
          <w:rFonts w:eastAsia="Times New Roman" w:cstheme="minorHAnsi"/>
          <w:sz w:val="24"/>
          <w:szCs w:val="24"/>
        </w:rPr>
      </w:pPr>
    </w:p>
    <w:p w14:paraId="73CFE65F" w14:textId="4ED49345"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 xml:space="preserve">MF do doby ukončení kontroly neznalo výši výdajů potřebných na odstranění SEZ a nezajistilo ani aktuální ucelený odborný odhad těchto výdajů. Potřebu odhadlo na 30 000 mil. Kč až </w:t>
      </w:r>
      <w:r w:rsidRPr="00916EDC">
        <w:rPr>
          <w:rFonts w:eastAsia="Times New Roman" w:cstheme="minorHAnsi"/>
          <w:sz w:val="24"/>
          <w:szCs w:val="24"/>
        </w:rPr>
        <w:lastRenderedPageBreak/>
        <w:t xml:space="preserve">35 000 mil. Kč, což stanovilo na základě posouzení ceny </w:t>
      </w:r>
      <w:proofErr w:type="spellStart"/>
      <w:r w:rsidRPr="00916EDC">
        <w:rPr>
          <w:rFonts w:eastAsia="Times New Roman" w:cstheme="minorHAnsi"/>
          <w:sz w:val="24"/>
          <w:szCs w:val="24"/>
        </w:rPr>
        <w:t>ekozakázky</w:t>
      </w:r>
      <w:proofErr w:type="spellEnd"/>
      <w:r w:rsidRPr="00916EDC">
        <w:rPr>
          <w:rFonts w:eastAsia="Times New Roman" w:cstheme="minorHAnsi"/>
          <w:sz w:val="24"/>
          <w:szCs w:val="24"/>
        </w:rPr>
        <w:t xml:space="preserve"> provedeného Ministerstvem životního prostředí v roce 2009 a podle odhadu externí firmy z roku 2011 zpracovaného v souvislosti s oponenturou ceny </w:t>
      </w:r>
      <w:proofErr w:type="spellStart"/>
      <w:r w:rsidRPr="00916EDC">
        <w:rPr>
          <w:rFonts w:eastAsia="Times New Roman" w:cstheme="minorHAnsi"/>
          <w:sz w:val="24"/>
          <w:szCs w:val="24"/>
        </w:rPr>
        <w:t>ekozakázky</w:t>
      </w:r>
      <w:proofErr w:type="spellEnd"/>
      <w:r w:rsidRPr="00916EDC">
        <w:rPr>
          <w:rFonts w:eastAsia="Times New Roman" w:cstheme="minorHAnsi"/>
          <w:sz w:val="24"/>
          <w:szCs w:val="24"/>
        </w:rPr>
        <w:t>. Od té doby ale uhradilo za odstranění SEZ celkem 11 654 mil. Kč.</w:t>
      </w:r>
    </w:p>
    <w:p w14:paraId="09C5B07E" w14:textId="77777777" w:rsidR="00916EDC" w:rsidRPr="00916EDC" w:rsidRDefault="00916EDC" w:rsidP="00916EDC">
      <w:pPr>
        <w:spacing w:after="0" w:line="240" w:lineRule="auto"/>
        <w:jc w:val="both"/>
        <w:rPr>
          <w:rFonts w:eastAsia="Times New Roman" w:cstheme="minorHAnsi"/>
        </w:rPr>
      </w:pPr>
    </w:p>
    <w:p w14:paraId="00108D7F" w14:textId="062984A9"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V průběhu odstraňování SEZ se v některých případech ukázalo, že výše garance není dostatečná a že za n</w:t>
      </w:r>
      <w:r w:rsidR="000F0C3E">
        <w:rPr>
          <w:rFonts w:eastAsia="Times New Roman" w:cstheme="minorHAnsi"/>
          <w:sz w:val="24"/>
          <w:szCs w:val="24"/>
        </w:rPr>
        <w:t>i</w:t>
      </w:r>
      <w:r w:rsidRPr="00916EDC">
        <w:rPr>
          <w:rFonts w:eastAsia="Times New Roman" w:cstheme="minorHAnsi"/>
          <w:sz w:val="24"/>
          <w:szCs w:val="24"/>
        </w:rPr>
        <w:t xml:space="preserve"> nelze zátěž odstranit tak, aby byly splněny stanovené limity koncentrací látek. MF evidovalo 12 ekologických smluv, u kterých z důvodu již vyčerpané garance neprobíhaly žádné práce k odstranění zátěží nebo probíhaly jen částečně. MF v roce 2015 předložilo vládě ČR čtyři žádosti nabyvatelů o navýšení garance. Ta ale v souladu se stanoviskem MF navýšení zamítla. Důvodem zamítavého stanoviska byl nedostatek finančních prostředků zvláštního účtu a skutečnost, že stát nese odpovědnost za odstranění SEZ jen do výše garancí vyčíslených v ekologických smlouvách a po vyčerpání garancí zůstává tato odpovědnost na nabyvatelích. Naopak MŽP navýšení garancí doporučilo schválit, což zejména zdůvodnilo tím, že vyjma jedné se jedná o prioritní akce a že je nezbytné řešit problém zabezpečení financování odstraňování SEZ ze zvláštního účtu. Následně se jeden ze čtyř žadatelů domáhal navýšení garance soudní cestou, což nebylo do doby ukončení kontroly uzavřeno. </w:t>
      </w:r>
    </w:p>
    <w:p w14:paraId="1610EBB3" w14:textId="77777777" w:rsidR="00916EDC" w:rsidRPr="00916EDC" w:rsidRDefault="00916EDC" w:rsidP="00916EDC">
      <w:pPr>
        <w:spacing w:after="0" w:line="240" w:lineRule="auto"/>
        <w:jc w:val="both"/>
        <w:rPr>
          <w:rFonts w:eastAsia="Times New Roman" w:cstheme="minorHAnsi"/>
          <w:sz w:val="24"/>
          <w:szCs w:val="24"/>
        </w:rPr>
      </w:pPr>
    </w:p>
    <w:p w14:paraId="222EEC1A" w14:textId="5697DE48"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Dříve ale FNM, resp. MF</w:t>
      </w:r>
      <w:r w:rsidR="000F0C3E">
        <w:rPr>
          <w:rFonts w:eastAsia="Times New Roman" w:cstheme="minorHAnsi"/>
          <w:sz w:val="24"/>
          <w:szCs w:val="24"/>
        </w:rPr>
        <w:t>,</w:t>
      </w:r>
      <w:r w:rsidRPr="00916EDC">
        <w:rPr>
          <w:rFonts w:eastAsia="Times New Roman" w:cstheme="minorHAnsi"/>
          <w:sz w:val="24"/>
          <w:szCs w:val="24"/>
        </w:rPr>
        <w:t xml:space="preserve"> uplatňoval</w:t>
      </w:r>
      <w:r w:rsidR="000F0C3E">
        <w:rPr>
          <w:rFonts w:eastAsia="Times New Roman" w:cstheme="minorHAnsi"/>
          <w:sz w:val="24"/>
          <w:szCs w:val="24"/>
        </w:rPr>
        <w:t>y</w:t>
      </w:r>
      <w:r w:rsidRPr="00916EDC">
        <w:rPr>
          <w:rFonts w:eastAsia="Times New Roman" w:cstheme="minorHAnsi"/>
          <w:sz w:val="24"/>
          <w:szCs w:val="24"/>
        </w:rPr>
        <w:t xml:space="preserve"> odlišný přístup k nabyvatelům, a to v letech 2001 až 2013, kdy celkem u 21 ekologických smluv garanci navýšil</w:t>
      </w:r>
      <w:r w:rsidR="000F0C3E">
        <w:rPr>
          <w:rFonts w:eastAsia="Times New Roman" w:cstheme="minorHAnsi"/>
          <w:sz w:val="24"/>
          <w:szCs w:val="24"/>
        </w:rPr>
        <w:t>y</w:t>
      </w:r>
      <w:r w:rsidRPr="00916EDC">
        <w:rPr>
          <w:rFonts w:eastAsia="Times New Roman" w:cstheme="minorHAnsi"/>
          <w:sz w:val="24"/>
          <w:szCs w:val="24"/>
        </w:rPr>
        <w:t xml:space="preserve"> v souladu s příslušným usnesením vlády ČR. Garanci navýšil</w:t>
      </w:r>
      <w:r w:rsidR="000F0C3E">
        <w:rPr>
          <w:rFonts w:eastAsia="Times New Roman" w:cstheme="minorHAnsi"/>
          <w:sz w:val="24"/>
          <w:szCs w:val="24"/>
        </w:rPr>
        <w:t>y</w:t>
      </w:r>
      <w:r w:rsidRPr="00916EDC">
        <w:rPr>
          <w:rFonts w:eastAsia="Times New Roman" w:cstheme="minorHAnsi"/>
          <w:sz w:val="24"/>
          <w:szCs w:val="24"/>
        </w:rPr>
        <w:t xml:space="preserve"> ze stejných</w:t>
      </w:r>
      <w:r w:rsidR="000F0C3E">
        <w:rPr>
          <w:rFonts w:eastAsia="Times New Roman" w:cstheme="minorHAnsi"/>
          <w:sz w:val="24"/>
          <w:szCs w:val="24"/>
        </w:rPr>
        <w:t xml:space="preserve"> </w:t>
      </w:r>
      <w:r w:rsidRPr="00916EDC">
        <w:rPr>
          <w:rFonts w:eastAsia="Times New Roman" w:cstheme="minorHAnsi"/>
          <w:sz w:val="24"/>
          <w:szCs w:val="24"/>
        </w:rPr>
        <w:t xml:space="preserve">důvodů, jako požadovali nabyvatelé, u nichž bylo navýšení zamítnuto v roce 2015, tj. z důvodů nových vyčíslených, doložených a schválených skutečností </w:t>
      </w:r>
      <w:r w:rsidR="00CA3362">
        <w:rPr>
          <w:rFonts w:eastAsia="Times New Roman" w:cstheme="minorHAnsi"/>
          <w:sz w:val="24"/>
          <w:szCs w:val="24"/>
        </w:rPr>
        <w:t>při realizaci sanace,</w:t>
      </w:r>
      <w:r w:rsidRPr="00CA3362">
        <w:rPr>
          <w:rFonts w:eastAsia="Times New Roman" w:cstheme="minorHAnsi"/>
          <w:sz w:val="24"/>
          <w:szCs w:val="24"/>
        </w:rPr>
        <w:t xml:space="preserve"> průzkumu lokality nebo aktualizované analýzy rizik.</w:t>
      </w:r>
      <w:r w:rsidRPr="00916EDC">
        <w:rPr>
          <w:rFonts w:eastAsia="Times New Roman" w:cstheme="minorHAnsi"/>
          <w:sz w:val="24"/>
          <w:szCs w:val="24"/>
        </w:rPr>
        <w:t xml:space="preserve"> Garance u těchto 21</w:t>
      </w:r>
      <w:r w:rsidR="00041F9F">
        <w:rPr>
          <w:rFonts w:eastAsia="Times New Roman" w:cstheme="minorHAnsi"/>
          <w:sz w:val="24"/>
          <w:szCs w:val="24"/>
        </w:rPr>
        <w:t> </w:t>
      </w:r>
      <w:r w:rsidRPr="00916EDC">
        <w:rPr>
          <w:rFonts w:eastAsia="Times New Roman" w:cstheme="minorHAnsi"/>
          <w:sz w:val="24"/>
          <w:szCs w:val="24"/>
        </w:rPr>
        <w:t xml:space="preserve">ekologických smluv byly v minulosti navýšeny celkem o 14 485,17 mil. Kč. </w:t>
      </w:r>
    </w:p>
    <w:p w14:paraId="7D2459CF" w14:textId="77777777" w:rsidR="00916EDC" w:rsidRPr="00916EDC" w:rsidRDefault="00916EDC" w:rsidP="00916EDC">
      <w:pPr>
        <w:spacing w:after="0" w:line="240" w:lineRule="auto"/>
        <w:jc w:val="both"/>
        <w:rPr>
          <w:rFonts w:eastAsia="Times New Roman" w:cstheme="minorHAnsi"/>
          <w:sz w:val="24"/>
          <w:szCs w:val="24"/>
        </w:rPr>
      </w:pPr>
    </w:p>
    <w:p w14:paraId="769642F2" w14:textId="77777777" w:rsidR="00916EDC" w:rsidRPr="00916EDC" w:rsidRDefault="00AB7E36" w:rsidP="00D56B0B">
      <w:pPr>
        <w:keepNext/>
        <w:spacing w:after="0" w:line="240" w:lineRule="auto"/>
        <w:jc w:val="both"/>
        <w:rPr>
          <w:rFonts w:eastAsia="Times New Roman" w:cstheme="minorHAnsi"/>
          <w:b/>
          <w:sz w:val="24"/>
          <w:szCs w:val="24"/>
        </w:rPr>
      </w:pPr>
      <w:r>
        <w:rPr>
          <w:rFonts w:eastAsia="Times New Roman" w:cstheme="minorHAnsi"/>
          <w:b/>
          <w:sz w:val="24"/>
          <w:szCs w:val="24"/>
        </w:rPr>
        <w:t xml:space="preserve">3. </w:t>
      </w:r>
      <w:r w:rsidR="00916EDC" w:rsidRPr="00916EDC">
        <w:rPr>
          <w:rFonts w:eastAsia="Times New Roman" w:cstheme="minorHAnsi"/>
          <w:b/>
          <w:sz w:val="24"/>
          <w:szCs w:val="24"/>
        </w:rPr>
        <w:t>Financování odstraňování SEZ</w:t>
      </w:r>
    </w:p>
    <w:p w14:paraId="7D933BB7" w14:textId="77777777" w:rsidR="002827CC" w:rsidRDefault="002827CC" w:rsidP="00D56B0B">
      <w:pPr>
        <w:keepNext/>
        <w:spacing w:after="0" w:line="240" w:lineRule="auto"/>
        <w:jc w:val="both"/>
        <w:rPr>
          <w:rFonts w:eastAsia="Times New Roman" w:cstheme="minorHAnsi"/>
          <w:sz w:val="24"/>
          <w:szCs w:val="24"/>
        </w:rPr>
      </w:pPr>
    </w:p>
    <w:p w14:paraId="1466DAC9" w14:textId="762B9B9E"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Financování odstraňování SEZ ze zvláštního účtu je závislé na příjmech z majetkových účastí státu, zejména z dividend společnosti ČEZ, a.s. Výdaje zvláštního účtu tvoří zejména prostředky převáděné do státního rozpočtu na úhradu schodku důchodového účtu, výdaje na podporu průmyslových zón, kulturních zařízení, odstraňování následků těžby uranu a na nápravu škod způsobených těžbou nerostů a</w:t>
      </w:r>
      <w:r w:rsidR="00AC7E81">
        <w:rPr>
          <w:rFonts w:eastAsia="Times New Roman" w:cstheme="minorHAnsi"/>
          <w:sz w:val="24"/>
          <w:szCs w:val="24"/>
        </w:rPr>
        <w:t> na</w:t>
      </w:r>
      <w:r w:rsidRPr="00916EDC">
        <w:rPr>
          <w:rFonts w:eastAsia="Times New Roman" w:cstheme="minorHAnsi"/>
          <w:sz w:val="24"/>
          <w:szCs w:val="24"/>
        </w:rPr>
        <w:t xml:space="preserve"> revitalizaci. Výše peněžních pro</w:t>
      </w:r>
      <w:r w:rsidR="003E7397">
        <w:rPr>
          <w:rFonts w:eastAsia="Times New Roman" w:cstheme="minorHAnsi"/>
          <w:sz w:val="24"/>
          <w:szCs w:val="24"/>
        </w:rPr>
        <w:t>středků na zvláštním účtu k 31. </w:t>
      </w:r>
      <w:r w:rsidRPr="00916EDC">
        <w:rPr>
          <w:rFonts w:eastAsia="Times New Roman" w:cstheme="minorHAnsi"/>
          <w:sz w:val="24"/>
          <w:szCs w:val="24"/>
        </w:rPr>
        <w:t>květnu 2017 činila celkem 10 673,8 mil. Kč, v tom prostředky na odstranění SEZ činily 8 445,9 mil. Kč. Z prostředků určených na odstranění SEZ bylo 6 465,9 mil. Kč vázáno pro krytí smluvně zajištěných závazků a jen 1 980 mil. Kč bylo volných, přitom potřeba finančních prostředků na dofinancování odstraňování SEZ bude nejméně v desítkách miliard korun. NKÚ několikrát upozorňovalo na nedostatečné rezervy na sanační závazky</w:t>
      </w:r>
      <w:r w:rsidR="00AC7E81">
        <w:rPr>
          <w:rFonts w:eastAsia="Times New Roman" w:cstheme="minorHAnsi"/>
          <w:sz w:val="24"/>
          <w:szCs w:val="24"/>
        </w:rPr>
        <w:t>,</w:t>
      </w:r>
      <w:r w:rsidRPr="00916EDC">
        <w:rPr>
          <w:rFonts w:eastAsia="Times New Roman" w:cstheme="minorHAnsi"/>
          <w:sz w:val="24"/>
          <w:szCs w:val="24"/>
        </w:rPr>
        <w:t xml:space="preserve"> např. v kontrolních závěrech z kontrolních </w:t>
      </w:r>
      <w:r w:rsidRPr="003E0738">
        <w:rPr>
          <w:rFonts w:eastAsia="Times New Roman" w:cstheme="minorHAnsi"/>
          <w:sz w:val="24"/>
          <w:szCs w:val="24"/>
        </w:rPr>
        <w:t>akcí 16/03</w:t>
      </w:r>
      <w:r w:rsidR="00090EC9">
        <w:rPr>
          <w:rStyle w:val="Znakapoznpodarou"/>
          <w:rFonts w:eastAsia="Times New Roman" w:cstheme="minorHAnsi"/>
          <w:sz w:val="24"/>
          <w:szCs w:val="24"/>
        </w:rPr>
        <w:footnoteReference w:id="12"/>
      </w:r>
      <w:r w:rsidR="00E971E3">
        <w:rPr>
          <w:rFonts w:eastAsia="Times New Roman" w:cstheme="minorHAnsi"/>
          <w:sz w:val="24"/>
          <w:szCs w:val="24"/>
        </w:rPr>
        <w:t xml:space="preserve"> a</w:t>
      </w:r>
      <w:r w:rsidRPr="003E0738">
        <w:rPr>
          <w:rFonts w:eastAsia="Times New Roman" w:cstheme="minorHAnsi"/>
          <w:sz w:val="24"/>
          <w:szCs w:val="24"/>
        </w:rPr>
        <w:t xml:space="preserve"> 16/07</w:t>
      </w:r>
      <w:r w:rsidR="00090EC9">
        <w:rPr>
          <w:rStyle w:val="Znakapoznpodarou"/>
          <w:rFonts w:eastAsia="Times New Roman" w:cstheme="minorHAnsi"/>
          <w:sz w:val="24"/>
          <w:szCs w:val="24"/>
        </w:rPr>
        <w:footnoteReference w:id="13"/>
      </w:r>
      <w:r w:rsidRPr="00916EDC">
        <w:rPr>
          <w:rFonts w:eastAsia="Times New Roman" w:cstheme="minorHAnsi"/>
          <w:sz w:val="24"/>
          <w:szCs w:val="24"/>
        </w:rPr>
        <w:t xml:space="preserve">. </w:t>
      </w:r>
    </w:p>
    <w:p w14:paraId="48E41BDF" w14:textId="77777777" w:rsidR="00916EDC" w:rsidRPr="00916EDC" w:rsidRDefault="00916EDC" w:rsidP="00916EDC">
      <w:pPr>
        <w:spacing w:after="0" w:line="240" w:lineRule="auto"/>
        <w:jc w:val="both"/>
        <w:rPr>
          <w:rFonts w:eastAsia="Times New Roman" w:cstheme="minorHAnsi"/>
          <w:sz w:val="24"/>
          <w:szCs w:val="24"/>
        </w:rPr>
      </w:pPr>
    </w:p>
    <w:p w14:paraId="720E2575" w14:textId="21323E55"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lastRenderedPageBreak/>
        <w:t xml:space="preserve">MF zpracovalo </w:t>
      </w:r>
      <w:r w:rsidRPr="00D56B0B">
        <w:rPr>
          <w:rFonts w:eastAsia="Times New Roman" w:cstheme="minorHAnsi"/>
          <w:i/>
          <w:sz w:val="24"/>
          <w:szCs w:val="24"/>
        </w:rPr>
        <w:t>Koncepci stabilizace finančního stavu zvláštních účtů privatizace</w:t>
      </w:r>
      <w:r w:rsidRPr="00916EDC">
        <w:rPr>
          <w:rFonts w:eastAsia="Times New Roman" w:cstheme="minorHAnsi"/>
          <w:sz w:val="24"/>
          <w:szCs w:val="24"/>
        </w:rPr>
        <w:t xml:space="preserve">, kterou zaslalo v květnu 2017 do mezirezortního připomínkového řízení. Cílem tohoto materiálu bylo zmapovat stav zvláštního účtu, identifikovat rizika a stanovit opatření k jejich odvrácení. V koncepci uvedlo, že dochází k dlouhodobému poklesu finančních prostředků zvláštního účtu a stav je způsoben výdajovým přetěžováním. Pokud bude tento trend pokračovat, nebude MF schopno hradit závazky včetně závazků na odstraňování SEZ, což může vést k soudním sporům a s tím spojeným dalším výdajům. MF navrhlo ze zvláštního účtu vyřadit výdaje na úhradu schodku důchodového účtu, na průmyslové zóny, kulturní zařízení a odstraňování následků těžby uranu, vytvořit rezervu prostředků pro odstraňování </w:t>
      </w:r>
      <w:r w:rsidR="003E7397">
        <w:rPr>
          <w:rFonts w:eastAsia="Times New Roman" w:cstheme="minorHAnsi"/>
          <w:sz w:val="24"/>
          <w:szCs w:val="24"/>
        </w:rPr>
        <w:t>SEZ pro případ výpadku příjmů a </w:t>
      </w:r>
      <w:r w:rsidRPr="00916EDC">
        <w:rPr>
          <w:rFonts w:eastAsia="Times New Roman" w:cstheme="minorHAnsi"/>
          <w:sz w:val="24"/>
          <w:szCs w:val="24"/>
        </w:rPr>
        <w:t>navýšit výdaje na odstraňování SEZ. Do doby ukončení kontroly nebyla problematika zajištění dostatečných peněžních prostředků na zvláštním účtu vyřešena.</w:t>
      </w:r>
    </w:p>
    <w:p w14:paraId="23BFE57A" w14:textId="77777777" w:rsidR="00916EDC" w:rsidRPr="00916EDC" w:rsidRDefault="00916EDC" w:rsidP="00916EDC">
      <w:pPr>
        <w:spacing w:after="0" w:line="240" w:lineRule="auto"/>
        <w:jc w:val="both"/>
        <w:rPr>
          <w:rFonts w:eastAsia="Times New Roman" w:cstheme="minorHAnsi"/>
        </w:rPr>
      </w:pPr>
    </w:p>
    <w:p w14:paraId="13D3496C" w14:textId="77777777" w:rsidR="00916EDC" w:rsidRPr="00916EDC" w:rsidRDefault="00AB7E36" w:rsidP="00916EDC">
      <w:pPr>
        <w:spacing w:after="0" w:line="240" w:lineRule="auto"/>
        <w:jc w:val="both"/>
        <w:rPr>
          <w:rFonts w:eastAsia="Times New Roman" w:cstheme="minorHAnsi"/>
          <w:b/>
          <w:sz w:val="24"/>
          <w:szCs w:val="24"/>
        </w:rPr>
      </w:pPr>
      <w:r>
        <w:rPr>
          <w:rFonts w:eastAsia="Times New Roman" w:cstheme="minorHAnsi"/>
          <w:b/>
          <w:sz w:val="24"/>
          <w:szCs w:val="24"/>
        </w:rPr>
        <w:t xml:space="preserve">4. </w:t>
      </w:r>
      <w:r w:rsidR="00916EDC" w:rsidRPr="00916EDC">
        <w:rPr>
          <w:rFonts w:eastAsia="Times New Roman" w:cstheme="minorHAnsi"/>
          <w:b/>
          <w:sz w:val="24"/>
          <w:szCs w:val="24"/>
        </w:rPr>
        <w:t>Databáze SEZ</w:t>
      </w:r>
    </w:p>
    <w:p w14:paraId="2BB46E61" w14:textId="77777777" w:rsidR="002827CC" w:rsidRDefault="002827CC" w:rsidP="00916EDC">
      <w:pPr>
        <w:spacing w:after="0" w:line="240" w:lineRule="auto"/>
        <w:jc w:val="both"/>
        <w:rPr>
          <w:rFonts w:eastAsia="Times New Roman" w:cstheme="minorHAnsi"/>
          <w:sz w:val="24"/>
          <w:szCs w:val="24"/>
        </w:rPr>
      </w:pPr>
    </w:p>
    <w:p w14:paraId="43FB5747" w14:textId="47727D85" w:rsidR="00916EDC" w:rsidRPr="00916EDC" w:rsidRDefault="00916EDC" w:rsidP="00916EDC">
      <w:pPr>
        <w:spacing w:after="0" w:line="240" w:lineRule="auto"/>
        <w:jc w:val="both"/>
        <w:rPr>
          <w:rFonts w:eastAsia="Times New Roman" w:cs="Times New Roman"/>
          <w:sz w:val="24"/>
          <w:szCs w:val="24"/>
        </w:rPr>
      </w:pPr>
      <w:r w:rsidRPr="00916EDC">
        <w:rPr>
          <w:rFonts w:eastAsia="Times New Roman" w:cstheme="minorHAnsi"/>
          <w:sz w:val="24"/>
          <w:szCs w:val="24"/>
        </w:rPr>
        <w:t xml:space="preserve">MŽP eviduje SEZ v databázi </w:t>
      </w:r>
      <w:r w:rsidRPr="00D56B0B">
        <w:rPr>
          <w:rFonts w:eastAsia="Times New Roman" w:cstheme="minorHAnsi"/>
          <w:i/>
          <w:sz w:val="24"/>
          <w:szCs w:val="24"/>
        </w:rPr>
        <w:t>Systém evidence kontaminovaných míst II</w:t>
      </w:r>
      <w:r w:rsidRPr="00916EDC">
        <w:rPr>
          <w:rFonts w:eastAsia="Times New Roman" w:cstheme="minorHAnsi"/>
          <w:sz w:val="24"/>
          <w:szCs w:val="24"/>
        </w:rPr>
        <w:t xml:space="preserve"> (dále také „SEKM“). SEKM obsahuje nejen záznamy o lokalitách SEZ, ale i údaje o dalších zátěžích. V době kontroly neobsahoval SEKM kompletní informace o lokalitách ekologických zátěží v České republice. Lokality týkající se SEZ byly vyjma jedné neukončené ekologické smlouvy a 39 již ukončených smluv v SEKM evidovány. Důvodem chybějících dat byla skutečnost, že teprve od roku 2004 platila pro nabyvatele a MF povinnost postupovat podle směrnice FNM a MŽP, kde bylo uvedeno, že nabídka v rámci výběrových řízení má obsahovat závazek zhotovitele/dodavatele pořídit záznamy do příslušné databáze. U ekologických smluv uzavřených před platností této</w:t>
      </w:r>
      <w:r w:rsidRPr="00916EDC">
        <w:rPr>
          <w:rFonts w:eastAsia="Times New Roman" w:cs="Times New Roman"/>
          <w:sz w:val="24"/>
          <w:szCs w:val="24"/>
        </w:rPr>
        <w:t xml:space="preserve"> směrnice byl záznam do databáze povinný jen v případě, že nabyvatel přistoupil na uzavření dodatku k ekologické smlouvě týkající se této povinnosti.  </w:t>
      </w:r>
    </w:p>
    <w:p w14:paraId="1C50290B" w14:textId="77777777" w:rsidR="00916EDC" w:rsidRPr="00916EDC" w:rsidRDefault="00916EDC" w:rsidP="00916EDC">
      <w:pPr>
        <w:spacing w:after="0" w:line="240" w:lineRule="auto"/>
        <w:jc w:val="both"/>
        <w:rPr>
          <w:rFonts w:eastAsia="Times New Roman" w:cs="Times New Roman"/>
          <w:sz w:val="24"/>
          <w:szCs w:val="24"/>
        </w:rPr>
      </w:pPr>
    </w:p>
    <w:p w14:paraId="4A435433" w14:textId="716C045C" w:rsidR="00916EDC" w:rsidRPr="00916EDC" w:rsidRDefault="00916EDC" w:rsidP="00916EDC">
      <w:pPr>
        <w:spacing w:after="0" w:line="240" w:lineRule="auto"/>
        <w:jc w:val="both"/>
        <w:rPr>
          <w:rFonts w:eastAsia="Times New Roman" w:cs="Times New Roman"/>
          <w:sz w:val="24"/>
          <w:szCs w:val="24"/>
        </w:rPr>
      </w:pPr>
      <w:r w:rsidRPr="00916EDC">
        <w:rPr>
          <w:rFonts w:eastAsia="Times New Roman" w:cs="Times New Roman"/>
          <w:sz w:val="24"/>
          <w:szCs w:val="24"/>
        </w:rPr>
        <w:t>Obecně platná povinnost dodavatelů a zhotovitelů prací zadat data do SEKM platí až od 1. února 2009</w:t>
      </w:r>
      <w:r w:rsidR="00CD2DDA">
        <w:rPr>
          <w:rStyle w:val="Znakapoznpodarou"/>
          <w:rFonts w:eastAsia="Times New Roman" w:cs="Times New Roman"/>
          <w:sz w:val="24"/>
          <w:szCs w:val="24"/>
        </w:rPr>
        <w:footnoteReference w:id="14"/>
      </w:r>
      <w:r w:rsidRPr="00916EDC">
        <w:rPr>
          <w:rFonts w:eastAsia="Times New Roman" w:cs="Times New Roman"/>
          <w:sz w:val="24"/>
          <w:szCs w:val="24"/>
        </w:rPr>
        <w:t xml:space="preserve">. Kompletní informace by měl SEKM obsahovat až po ukončení 2. etapy projektu </w:t>
      </w:r>
      <w:r w:rsidRPr="00350487">
        <w:rPr>
          <w:rFonts w:eastAsia="Times New Roman" w:cs="Times New Roman"/>
          <w:i/>
          <w:sz w:val="24"/>
          <w:szCs w:val="24"/>
        </w:rPr>
        <w:t>Národní inventarizace kontaminovaných míst</w:t>
      </w:r>
      <w:r w:rsidRPr="00916EDC">
        <w:rPr>
          <w:rFonts w:eastAsia="Times New Roman" w:cs="Times New Roman"/>
          <w:sz w:val="24"/>
          <w:szCs w:val="24"/>
        </w:rPr>
        <w:t xml:space="preserve">. Tato etapa byla k březnu 2017 ve fázi přípravy. V letech 2009–2013 byla realizována první etapa </w:t>
      </w:r>
      <w:r w:rsidRPr="00350487">
        <w:rPr>
          <w:rFonts w:eastAsia="Times New Roman" w:cs="Times New Roman"/>
          <w:i/>
          <w:sz w:val="24"/>
          <w:szCs w:val="24"/>
        </w:rPr>
        <w:t>Národní inventarizace kontaminovaných míst</w:t>
      </w:r>
      <w:r w:rsidR="00DE0159">
        <w:rPr>
          <w:rFonts w:eastAsia="Times New Roman" w:cs="Times New Roman"/>
          <w:sz w:val="24"/>
          <w:szCs w:val="24"/>
        </w:rPr>
        <w:t>,</w:t>
      </w:r>
      <w:r w:rsidRPr="00916EDC">
        <w:rPr>
          <w:rFonts w:eastAsia="Times New Roman" w:cs="Times New Roman"/>
          <w:sz w:val="24"/>
          <w:szCs w:val="24"/>
        </w:rPr>
        <w:t xml:space="preserve"> v </w:t>
      </w:r>
      <w:r w:rsidR="00DE0159">
        <w:rPr>
          <w:rFonts w:eastAsia="Times New Roman" w:cs="Times New Roman"/>
          <w:sz w:val="24"/>
          <w:szCs w:val="24"/>
        </w:rPr>
        <w:t xml:space="preserve">jejímž </w:t>
      </w:r>
      <w:r w:rsidRPr="00916EDC">
        <w:rPr>
          <w:rFonts w:eastAsia="Times New Roman" w:cs="Times New Roman"/>
          <w:sz w:val="24"/>
          <w:szCs w:val="24"/>
        </w:rPr>
        <w:t>rámci byla vytvořena metodika inventarizace kontaminovaných míst a shromážděna podkladová data o potenciálně kontaminovaných místech a indiciích kontaminace z dostupných databází. Výstupem 2. etapy má být naplněná celostátní databáze kontaminovaných a potenciálně kontaminovaných míst na ú</w:t>
      </w:r>
      <w:r w:rsidR="00224C04">
        <w:rPr>
          <w:rFonts w:eastAsia="Times New Roman" w:cs="Times New Roman"/>
          <w:sz w:val="24"/>
          <w:szCs w:val="24"/>
        </w:rPr>
        <w:t>zemí celého státu. Realizace 2. </w:t>
      </w:r>
      <w:r w:rsidRPr="00916EDC">
        <w:rPr>
          <w:rFonts w:eastAsia="Times New Roman" w:cs="Times New Roman"/>
          <w:sz w:val="24"/>
          <w:szCs w:val="24"/>
        </w:rPr>
        <w:t xml:space="preserve">etapy se předpokládá v letech 2018 až 2021 v rámci </w:t>
      </w:r>
      <w:r w:rsidR="00DE0159">
        <w:rPr>
          <w:rFonts w:eastAsia="Times New Roman" w:cs="Times New Roman"/>
          <w:sz w:val="24"/>
          <w:szCs w:val="24"/>
        </w:rPr>
        <w:t>o</w:t>
      </w:r>
      <w:r w:rsidRPr="00916EDC">
        <w:rPr>
          <w:rFonts w:eastAsia="Times New Roman" w:cs="Times New Roman"/>
          <w:sz w:val="24"/>
          <w:szCs w:val="24"/>
        </w:rPr>
        <w:t xml:space="preserve">peračního programu </w:t>
      </w:r>
      <w:r w:rsidR="00DE0159" w:rsidRPr="00350487">
        <w:rPr>
          <w:rFonts w:eastAsia="Times New Roman" w:cs="Times New Roman"/>
          <w:i/>
          <w:sz w:val="24"/>
          <w:szCs w:val="24"/>
        </w:rPr>
        <w:t>Ž</w:t>
      </w:r>
      <w:r w:rsidRPr="00350487">
        <w:rPr>
          <w:rFonts w:eastAsia="Times New Roman" w:cs="Times New Roman"/>
          <w:i/>
          <w:sz w:val="24"/>
          <w:szCs w:val="24"/>
        </w:rPr>
        <w:t xml:space="preserve">ivotní prostředí </w:t>
      </w:r>
      <w:r w:rsidRPr="00916EDC">
        <w:rPr>
          <w:rFonts w:eastAsia="Times New Roman" w:cs="Times New Roman"/>
          <w:sz w:val="24"/>
          <w:szCs w:val="24"/>
        </w:rPr>
        <w:t xml:space="preserve">s plánovanými výdaji ve výši 113,25 mil. Kč. </w:t>
      </w:r>
    </w:p>
    <w:p w14:paraId="52FC8D93" w14:textId="1B39110C" w:rsidR="00117ACA" w:rsidRPr="00916EDC" w:rsidRDefault="00117ACA" w:rsidP="00916EDC">
      <w:pPr>
        <w:spacing w:after="0" w:line="240" w:lineRule="auto"/>
        <w:jc w:val="both"/>
        <w:rPr>
          <w:rFonts w:eastAsia="Times New Roman" w:cstheme="minorHAnsi"/>
        </w:rPr>
      </w:pPr>
    </w:p>
    <w:p w14:paraId="2ECAE32C" w14:textId="0F11A110" w:rsidR="00916EDC" w:rsidRPr="00916EDC" w:rsidRDefault="00AB7E36" w:rsidP="00916EDC">
      <w:pPr>
        <w:spacing w:after="0" w:line="240" w:lineRule="auto"/>
        <w:jc w:val="both"/>
        <w:rPr>
          <w:rFonts w:eastAsia="Times New Roman" w:cstheme="minorHAnsi"/>
          <w:b/>
          <w:sz w:val="24"/>
          <w:szCs w:val="24"/>
        </w:rPr>
      </w:pPr>
      <w:r>
        <w:rPr>
          <w:rFonts w:eastAsia="Times New Roman" w:cstheme="minorHAnsi"/>
          <w:b/>
          <w:sz w:val="24"/>
          <w:szCs w:val="24"/>
        </w:rPr>
        <w:t xml:space="preserve">5. </w:t>
      </w:r>
      <w:r w:rsidR="00916EDC" w:rsidRPr="00916EDC">
        <w:rPr>
          <w:rFonts w:eastAsia="Times New Roman" w:cstheme="minorHAnsi"/>
          <w:b/>
          <w:sz w:val="24"/>
          <w:szCs w:val="24"/>
        </w:rPr>
        <w:t>Lagun</w:t>
      </w:r>
      <w:r w:rsidR="00E63469">
        <w:rPr>
          <w:rFonts w:eastAsia="Times New Roman" w:cstheme="minorHAnsi"/>
          <w:b/>
          <w:sz w:val="24"/>
          <w:szCs w:val="24"/>
        </w:rPr>
        <w:t>y</w:t>
      </w:r>
      <w:r w:rsidR="00916EDC" w:rsidRPr="00916EDC">
        <w:rPr>
          <w:rFonts w:eastAsia="Times New Roman" w:cstheme="minorHAnsi"/>
          <w:b/>
          <w:sz w:val="24"/>
          <w:szCs w:val="24"/>
        </w:rPr>
        <w:t xml:space="preserve"> </w:t>
      </w:r>
      <w:proofErr w:type="spellStart"/>
      <w:r w:rsidR="00916EDC" w:rsidRPr="00916EDC">
        <w:rPr>
          <w:rFonts w:eastAsia="Times New Roman" w:cstheme="minorHAnsi"/>
          <w:b/>
          <w:sz w:val="24"/>
          <w:szCs w:val="24"/>
        </w:rPr>
        <w:t>Ostramo</w:t>
      </w:r>
      <w:proofErr w:type="spellEnd"/>
    </w:p>
    <w:p w14:paraId="3879D6C4" w14:textId="77777777" w:rsidR="002827CC" w:rsidRDefault="002827CC" w:rsidP="00916EDC">
      <w:pPr>
        <w:spacing w:after="0" w:line="240" w:lineRule="auto"/>
        <w:jc w:val="both"/>
        <w:rPr>
          <w:rFonts w:eastAsia="Times New Roman" w:cstheme="minorHAnsi"/>
          <w:sz w:val="24"/>
          <w:szCs w:val="24"/>
        </w:rPr>
      </w:pPr>
    </w:p>
    <w:p w14:paraId="3530F77E" w14:textId="77777777" w:rsidR="00916EDC" w:rsidRPr="00916EDC" w:rsidRDefault="00916EDC" w:rsidP="00916EDC">
      <w:pPr>
        <w:spacing w:after="0" w:line="240" w:lineRule="auto"/>
        <w:jc w:val="both"/>
        <w:rPr>
          <w:rFonts w:eastAsia="Times New Roman" w:cstheme="minorHAnsi"/>
          <w:sz w:val="24"/>
          <w:szCs w:val="24"/>
        </w:rPr>
      </w:pPr>
      <w:r w:rsidRPr="00916EDC">
        <w:rPr>
          <w:rFonts w:eastAsia="Times New Roman" w:cstheme="minorHAnsi"/>
          <w:sz w:val="24"/>
          <w:szCs w:val="24"/>
        </w:rPr>
        <w:t>Ke kontrole postupu odstraňování SEZ byly vybrány ekologické zátěže:</w:t>
      </w:r>
    </w:p>
    <w:p w14:paraId="329371E5" w14:textId="70B03F6F" w:rsidR="00916EDC" w:rsidRPr="002A4C96" w:rsidRDefault="00E63469" w:rsidP="002A4C96">
      <w:pPr>
        <w:pStyle w:val="Odstavecseseznamem"/>
        <w:numPr>
          <w:ilvl w:val="0"/>
          <w:numId w:val="12"/>
        </w:numPr>
        <w:spacing w:after="0" w:line="240" w:lineRule="auto"/>
        <w:jc w:val="both"/>
        <w:rPr>
          <w:rFonts w:eastAsia="Times New Roman" w:cstheme="minorHAnsi"/>
          <w:sz w:val="24"/>
          <w:szCs w:val="24"/>
        </w:rPr>
      </w:pPr>
      <w:r>
        <w:rPr>
          <w:rFonts w:eastAsia="Times New Roman" w:cstheme="minorHAnsi"/>
          <w:sz w:val="24"/>
          <w:szCs w:val="24"/>
        </w:rPr>
        <w:t>l</w:t>
      </w:r>
      <w:r w:rsidR="00916EDC" w:rsidRPr="002A4C96">
        <w:rPr>
          <w:rFonts w:eastAsia="Times New Roman" w:cstheme="minorHAnsi"/>
          <w:sz w:val="24"/>
          <w:szCs w:val="24"/>
        </w:rPr>
        <w:t>agun</w:t>
      </w:r>
      <w:r w:rsidR="00DE0159">
        <w:rPr>
          <w:rFonts w:eastAsia="Times New Roman" w:cstheme="minorHAnsi"/>
          <w:sz w:val="24"/>
          <w:szCs w:val="24"/>
        </w:rPr>
        <w:t>a</w:t>
      </w:r>
      <w:r w:rsidR="00916EDC" w:rsidRPr="002A4C96">
        <w:rPr>
          <w:rFonts w:eastAsia="Times New Roman" w:cstheme="minorHAnsi"/>
          <w:sz w:val="24"/>
          <w:szCs w:val="24"/>
        </w:rPr>
        <w:t xml:space="preserve"> </w:t>
      </w:r>
      <w:proofErr w:type="spellStart"/>
      <w:r w:rsidR="00916EDC" w:rsidRPr="002A4C96">
        <w:rPr>
          <w:rFonts w:eastAsia="Times New Roman" w:cstheme="minorHAnsi"/>
          <w:sz w:val="24"/>
          <w:szCs w:val="24"/>
        </w:rPr>
        <w:t>Ostramo</w:t>
      </w:r>
      <w:proofErr w:type="spellEnd"/>
      <w:r w:rsidR="00916EDC" w:rsidRPr="002A4C96">
        <w:rPr>
          <w:rFonts w:eastAsia="Times New Roman" w:cstheme="minorHAnsi"/>
          <w:sz w:val="24"/>
          <w:szCs w:val="24"/>
        </w:rPr>
        <w:t xml:space="preserve"> (ekologická smlouva č. 193/97/01/01); </w:t>
      </w:r>
    </w:p>
    <w:p w14:paraId="5D851EDA" w14:textId="57583747" w:rsidR="00916EDC" w:rsidRPr="002A4C96" w:rsidRDefault="00DE0159" w:rsidP="002A4C96">
      <w:pPr>
        <w:pStyle w:val="Odstavecseseznamem"/>
        <w:numPr>
          <w:ilvl w:val="0"/>
          <w:numId w:val="12"/>
        </w:numPr>
        <w:spacing w:after="0" w:line="240" w:lineRule="auto"/>
        <w:jc w:val="both"/>
        <w:rPr>
          <w:rFonts w:eastAsia="Times New Roman" w:cstheme="minorHAnsi"/>
          <w:sz w:val="24"/>
          <w:szCs w:val="24"/>
        </w:rPr>
      </w:pPr>
      <w:r>
        <w:rPr>
          <w:rFonts w:eastAsia="Times New Roman" w:cstheme="minorHAnsi"/>
          <w:sz w:val="24"/>
          <w:szCs w:val="24"/>
        </w:rPr>
        <w:t>s</w:t>
      </w:r>
      <w:r w:rsidR="00916EDC" w:rsidRPr="002A4C96">
        <w:rPr>
          <w:rFonts w:eastAsia="Times New Roman" w:cstheme="minorHAnsi"/>
          <w:sz w:val="24"/>
          <w:szCs w:val="24"/>
        </w:rPr>
        <w:t>anace zemin a podzemních vod v areálu a.s. KARA Trutnov, nyní PRATR a.s. (ekologická smlouva č. 102/95/01/01);</w:t>
      </w:r>
    </w:p>
    <w:p w14:paraId="56FD8808" w14:textId="29181E6F" w:rsidR="00916EDC" w:rsidRPr="002A4C96" w:rsidRDefault="00DE0159" w:rsidP="002A4C96">
      <w:pPr>
        <w:pStyle w:val="Odstavecseseznamem"/>
        <w:numPr>
          <w:ilvl w:val="0"/>
          <w:numId w:val="12"/>
        </w:numPr>
        <w:spacing w:after="0" w:line="240" w:lineRule="auto"/>
        <w:jc w:val="both"/>
        <w:rPr>
          <w:rFonts w:eastAsia="Times New Roman" w:cstheme="minorHAnsi"/>
          <w:sz w:val="24"/>
          <w:szCs w:val="24"/>
        </w:rPr>
      </w:pPr>
      <w:r>
        <w:rPr>
          <w:rFonts w:eastAsia="Times New Roman" w:cstheme="minorHAnsi"/>
          <w:sz w:val="24"/>
          <w:szCs w:val="24"/>
        </w:rPr>
        <w:t>s</w:t>
      </w:r>
      <w:r w:rsidR="00916EDC" w:rsidRPr="002A4C96">
        <w:rPr>
          <w:rFonts w:eastAsia="Times New Roman" w:cstheme="minorHAnsi"/>
          <w:sz w:val="24"/>
          <w:szCs w:val="24"/>
        </w:rPr>
        <w:t xml:space="preserve">anace zemin a podzemních vod areálu ČKD ELEKTRONIKA, a.s., nyní Polygon BC s.r.o. (ekologická smlouva č. 107/95/02/02). </w:t>
      </w:r>
    </w:p>
    <w:p w14:paraId="575877E4" w14:textId="77777777" w:rsidR="00916EDC" w:rsidRPr="00916EDC" w:rsidRDefault="00916EDC" w:rsidP="00916EDC">
      <w:pPr>
        <w:spacing w:after="0" w:line="240" w:lineRule="auto"/>
        <w:jc w:val="both"/>
        <w:rPr>
          <w:rFonts w:ascii="Calibri" w:eastAsia="Times New Roman" w:hAnsi="Calibri" w:cs="Calibri"/>
          <w:sz w:val="24"/>
          <w:szCs w:val="24"/>
        </w:rPr>
      </w:pPr>
    </w:p>
    <w:p w14:paraId="77FC4FA0" w14:textId="23D426B4" w:rsidR="00916EDC" w:rsidRPr="00916EDC" w:rsidRDefault="00916EDC" w:rsidP="00916EDC">
      <w:pPr>
        <w:spacing w:after="0" w:line="240" w:lineRule="auto"/>
        <w:jc w:val="both"/>
        <w:rPr>
          <w:rFonts w:ascii="Calibri" w:eastAsia="Times New Roman" w:hAnsi="Calibri" w:cs="Calibri"/>
          <w:sz w:val="24"/>
          <w:szCs w:val="24"/>
        </w:rPr>
      </w:pPr>
      <w:r w:rsidRPr="00916EDC">
        <w:rPr>
          <w:rFonts w:ascii="Calibri" w:eastAsia="Times New Roman" w:hAnsi="Calibri" w:cs="Calibri"/>
          <w:sz w:val="24"/>
          <w:szCs w:val="24"/>
        </w:rPr>
        <w:lastRenderedPageBreak/>
        <w:t xml:space="preserve">Nedostatky byly zjištěny u postupu odstraňování ekologické zátěže </w:t>
      </w:r>
      <w:r w:rsidR="00E63469">
        <w:rPr>
          <w:rFonts w:ascii="Calibri" w:eastAsia="Times New Roman" w:hAnsi="Calibri" w:cs="Calibri"/>
          <w:sz w:val="24"/>
          <w:szCs w:val="24"/>
        </w:rPr>
        <w:t>l</w:t>
      </w:r>
      <w:r w:rsidRPr="00916EDC">
        <w:rPr>
          <w:rFonts w:ascii="Calibri" w:eastAsia="Times New Roman" w:hAnsi="Calibri" w:cs="Calibri"/>
          <w:sz w:val="24"/>
          <w:szCs w:val="24"/>
        </w:rPr>
        <w:t xml:space="preserve">agun </w:t>
      </w:r>
      <w:proofErr w:type="spellStart"/>
      <w:r w:rsidRPr="00916EDC">
        <w:rPr>
          <w:rFonts w:ascii="Calibri" w:eastAsia="Times New Roman" w:hAnsi="Calibri" w:cs="Calibri"/>
          <w:sz w:val="24"/>
          <w:szCs w:val="24"/>
        </w:rPr>
        <w:t>Ostramo</w:t>
      </w:r>
      <w:proofErr w:type="spellEnd"/>
      <w:r w:rsidRPr="00916EDC">
        <w:rPr>
          <w:rFonts w:ascii="Calibri" w:eastAsia="Times New Roman" w:hAnsi="Calibri" w:cs="Calibri"/>
          <w:sz w:val="24"/>
          <w:szCs w:val="24"/>
        </w:rPr>
        <w:t xml:space="preserve">. Tuto zátěž představují bývalé skládky odpadů z rafinerie minerálních olejů o rozloze cca 7 ha. Zátěž se nachází v blízkosti řeky Odra, obytných domů, obchodní zóny, sportoviště a frekventované silnice. Byl zde prokázán výskyt řady nadlimitních koncentrací kontaminantů, jako </w:t>
      </w:r>
      <w:r w:rsidR="00DE0159">
        <w:rPr>
          <w:rFonts w:ascii="Calibri" w:eastAsia="Times New Roman" w:hAnsi="Calibri" w:cs="Calibri"/>
          <w:sz w:val="24"/>
          <w:szCs w:val="24"/>
        </w:rPr>
        <w:t>jsou</w:t>
      </w:r>
      <w:r w:rsidRPr="00916EDC">
        <w:rPr>
          <w:rFonts w:ascii="Calibri" w:eastAsia="Times New Roman" w:hAnsi="Calibri" w:cs="Calibri"/>
          <w:sz w:val="24"/>
          <w:szCs w:val="24"/>
        </w:rPr>
        <w:t xml:space="preserve"> např. benzen, xylen, </w:t>
      </w:r>
      <w:proofErr w:type="spellStart"/>
      <w:r w:rsidRPr="00916EDC">
        <w:rPr>
          <w:rFonts w:ascii="Calibri" w:eastAsia="Times New Roman" w:hAnsi="Calibri" w:cs="Calibri"/>
          <w:sz w:val="24"/>
          <w:szCs w:val="24"/>
        </w:rPr>
        <w:t>polyaromatické</w:t>
      </w:r>
      <w:proofErr w:type="spellEnd"/>
      <w:r w:rsidRPr="00916EDC">
        <w:rPr>
          <w:rFonts w:ascii="Calibri" w:eastAsia="Times New Roman" w:hAnsi="Calibri" w:cs="Calibri"/>
          <w:sz w:val="24"/>
          <w:szCs w:val="24"/>
        </w:rPr>
        <w:t xml:space="preserve"> uhlovodíky, chlorované uhlovodíky, sírany, fenoly. </w:t>
      </w:r>
    </w:p>
    <w:p w14:paraId="25879940" w14:textId="77777777" w:rsidR="00916EDC" w:rsidRPr="00916EDC" w:rsidRDefault="00916EDC" w:rsidP="00916EDC">
      <w:pPr>
        <w:spacing w:after="0" w:line="240" w:lineRule="auto"/>
        <w:jc w:val="both"/>
        <w:rPr>
          <w:rFonts w:ascii="Calibri" w:eastAsia="Times New Roman" w:hAnsi="Calibri" w:cs="Calibri"/>
          <w:sz w:val="24"/>
          <w:szCs w:val="24"/>
        </w:rPr>
      </w:pPr>
    </w:p>
    <w:p w14:paraId="5E0EE3EC" w14:textId="77777777" w:rsidR="00916EDC" w:rsidRPr="00916EDC" w:rsidRDefault="00916EDC" w:rsidP="00916EDC">
      <w:pPr>
        <w:spacing w:after="0" w:line="240" w:lineRule="auto"/>
        <w:jc w:val="both"/>
        <w:rPr>
          <w:rFonts w:ascii="Calibri" w:eastAsia="Times New Roman" w:hAnsi="Calibri" w:cs="Calibri"/>
          <w:sz w:val="24"/>
          <w:szCs w:val="24"/>
        </w:rPr>
      </w:pPr>
      <w:r w:rsidRPr="00916EDC">
        <w:rPr>
          <w:rFonts w:ascii="Calibri" w:eastAsia="Times New Roman" w:hAnsi="Calibri" w:cs="Calibri"/>
          <w:sz w:val="24"/>
          <w:szCs w:val="24"/>
        </w:rPr>
        <w:t>Zátěž přešla v rámci privatizace státního majetku v roce 1992 na společnost VLČEK a spol., s.r.o. V roce 1996 vláda ČR rozhodla</w:t>
      </w:r>
      <w:r w:rsidR="0096495B">
        <w:rPr>
          <w:rStyle w:val="Znakapoznpodarou"/>
          <w:rFonts w:ascii="Calibri" w:eastAsia="Times New Roman" w:hAnsi="Calibri" w:cs="Calibri"/>
          <w:sz w:val="24"/>
          <w:szCs w:val="24"/>
        </w:rPr>
        <w:footnoteReference w:id="15"/>
      </w:r>
      <w:r w:rsidRPr="00916EDC">
        <w:rPr>
          <w:rFonts w:ascii="Calibri" w:eastAsia="Times New Roman" w:hAnsi="Calibri" w:cs="Calibri"/>
          <w:sz w:val="24"/>
          <w:szCs w:val="24"/>
        </w:rPr>
        <w:t>, že právo hospodaření k areálu skládky odpadů má vykonávat státní podnik DIAMO a ve spolupráci se Statutárním městem Ostrava má státní podnik zajišťovat jeho sanaci. Statutární město Ostrava se m</w:t>
      </w:r>
      <w:r w:rsidR="00224C04">
        <w:rPr>
          <w:rFonts w:ascii="Calibri" w:eastAsia="Times New Roman" w:hAnsi="Calibri" w:cs="Calibri"/>
          <w:sz w:val="24"/>
          <w:szCs w:val="24"/>
        </w:rPr>
        <w:t>á účastnit výběru technologie a </w:t>
      </w:r>
      <w:r w:rsidRPr="00916EDC">
        <w:rPr>
          <w:rFonts w:ascii="Calibri" w:eastAsia="Times New Roman" w:hAnsi="Calibri" w:cs="Calibri"/>
          <w:sz w:val="24"/>
          <w:szCs w:val="24"/>
        </w:rPr>
        <w:t>způsobu sanace areálu skládky odpadů včetně formulac</w:t>
      </w:r>
      <w:r w:rsidR="00224C04">
        <w:rPr>
          <w:rFonts w:ascii="Calibri" w:eastAsia="Times New Roman" w:hAnsi="Calibri" w:cs="Calibri"/>
          <w:sz w:val="24"/>
          <w:szCs w:val="24"/>
        </w:rPr>
        <w:t>e obsahu, výběru a rozhodnutí u </w:t>
      </w:r>
      <w:r w:rsidRPr="00916EDC">
        <w:rPr>
          <w:rFonts w:ascii="Calibri" w:eastAsia="Times New Roman" w:hAnsi="Calibri" w:cs="Calibri"/>
          <w:sz w:val="24"/>
          <w:szCs w:val="24"/>
        </w:rPr>
        <w:t xml:space="preserve">veřejných zakázek. </w:t>
      </w:r>
    </w:p>
    <w:p w14:paraId="7C4AACFF" w14:textId="77777777" w:rsidR="00916EDC" w:rsidRPr="00916EDC" w:rsidRDefault="00916EDC" w:rsidP="00916EDC">
      <w:pPr>
        <w:spacing w:after="0" w:line="240" w:lineRule="auto"/>
        <w:jc w:val="both"/>
        <w:rPr>
          <w:rFonts w:ascii="Calibri" w:eastAsia="Times New Roman" w:hAnsi="Calibri" w:cs="Calibri"/>
          <w:sz w:val="24"/>
          <w:szCs w:val="24"/>
        </w:rPr>
      </w:pPr>
    </w:p>
    <w:p w14:paraId="57DBB1CA" w14:textId="21367366" w:rsidR="00916EDC" w:rsidRPr="00916EDC" w:rsidRDefault="00916EDC" w:rsidP="00916EDC">
      <w:pPr>
        <w:spacing w:after="0" w:line="240" w:lineRule="auto"/>
        <w:jc w:val="both"/>
        <w:rPr>
          <w:rFonts w:eastAsia="Times New Roman" w:cs="Times New Roman"/>
          <w:sz w:val="24"/>
          <w:szCs w:val="24"/>
        </w:rPr>
      </w:pPr>
      <w:r w:rsidRPr="00916EDC">
        <w:rPr>
          <w:rFonts w:ascii="Calibri" w:eastAsia="Times New Roman" w:hAnsi="Calibri" w:cs="Calibri"/>
          <w:sz w:val="24"/>
          <w:szCs w:val="24"/>
        </w:rPr>
        <w:t>FNM v roce 1997 uzavřel se státním podnikem ekologickou smlouvu</w:t>
      </w:r>
      <w:r w:rsidR="00C26008">
        <w:rPr>
          <w:rStyle w:val="Znakapoznpodarou"/>
          <w:rFonts w:ascii="Calibri" w:eastAsia="Times New Roman" w:hAnsi="Calibri" w:cs="Calibri"/>
          <w:sz w:val="24"/>
          <w:szCs w:val="24"/>
        </w:rPr>
        <w:footnoteReference w:id="16"/>
      </w:r>
      <w:r w:rsidRPr="00916EDC">
        <w:rPr>
          <w:rFonts w:ascii="Calibri" w:eastAsia="Times New Roman" w:hAnsi="Calibri" w:cs="Calibri"/>
          <w:sz w:val="24"/>
          <w:szCs w:val="24"/>
        </w:rPr>
        <w:t xml:space="preserve"> s garancí ve výši 4 000</w:t>
      </w:r>
      <w:r w:rsidR="00DE0159">
        <w:rPr>
          <w:rFonts w:ascii="Calibri" w:eastAsia="Times New Roman" w:hAnsi="Calibri" w:cs="Calibri"/>
          <w:sz w:val="24"/>
          <w:szCs w:val="24"/>
        </w:rPr>
        <w:t> </w:t>
      </w:r>
      <w:r w:rsidRPr="00916EDC">
        <w:rPr>
          <w:rFonts w:ascii="Calibri" w:eastAsia="Times New Roman" w:hAnsi="Calibri" w:cs="Calibri"/>
          <w:sz w:val="24"/>
          <w:szCs w:val="24"/>
        </w:rPr>
        <w:t xml:space="preserve">mil. Kč, která byla následně navýšena na 4 200 mil. Kč. Opatření k odstranění zátěže měla být zaměřena na sanaci kalů, na sanaci zemin a navážek kontaminovaných ropnými látkami z lagun a na sanaci podzemní vody. </w:t>
      </w:r>
      <w:r w:rsidRPr="00916EDC">
        <w:rPr>
          <w:rFonts w:eastAsia="Times New Roman" w:cs="Times New Roman"/>
          <w:sz w:val="24"/>
          <w:szCs w:val="24"/>
        </w:rPr>
        <w:t>Odstranění zátěže je státem řešeno od roku 1997 prostřednictvím MF, MŽP a státního podniku. Tyto subjekty ale nezabránily nedostateč</w:t>
      </w:r>
      <w:r w:rsidR="00655A43">
        <w:rPr>
          <w:rFonts w:eastAsia="Times New Roman" w:cs="Times New Roman"/>
          <w:sz w:val="24"/>
          <w:szCs w:val="24"/>
        </w:rPr>
        <w:t>ně účinnému a </w:t>
      </w:r>
      <w:r w:rsidRPr="00916EDC">
        <w:rPr>
          <w:rFonts w:eastAsia="Times New Roman" w:cs="Times New Roman"/>
          <w:sz w:val="24"/>
          <w:szCs w:val="24"/>
        </w:rPr>
        <w:t>nedostatečně hospodárnému postupu, který vedl k těmto skutečnostem:</w:t>
      </w:r>
    </w:p>
    <w:p w14:paraId="224075AA" w14:textId="051761BC" w:rsidR="00094DEC" w:rsidRDefault="00916EDC" w:rsidP="005248FA">
      <w:pPr>
        <w:pStyle w:val="Odstavecseseznamem"/>
        <w:numPr>
          <w:ilvl w:val="0"/>
          <w:numId w:val="14"/>
        </w:numPr>
        <w:autoSpaceDE w:val="0"/>
        <w:autoSpaceDN w:val="0"/>
        <w:adjustRightInd w:val="0"/>
        <w:spacing w:after="0" w:line="240" w:lineRule="auto"/>
        <w:jc w:val="both"/>
        <w:rPr>
          <w:rFonts w:ascii="Calibri" w:eastAsia="Times New Roman" w:hAnsi="Calibri" w:cs="Calibri"/>
          <w:sz w:val="24"/>
          <w:szCs w:val="24"/>
        </w:rPr>
      </w:pPr>
      <w:r w:rsidRPr="005248FA">
        <w:rPr>
          <w:rFonts w:ascii="Calibri" w:eastAsia="Times New Roman" w:hAnsi="Calibri" w:cs="Calibri"/>
          <w:sz w:val="24"/>
          <w:szCs w:val="24"/>
        </w:rPr>
        <w:t>Do doby ukončení kontroly nebylo vůbec započato se sanací zemin a navážek kontaminovaných ropnými látkami a nebylo rozhodnuto, jaké technické řešení bude pro tuto sanaci použito. Realizační projekt uvažoval s použitím zařízení pro nepřímou termickou desorpci, které bylo na rozdíl od původně uvažovaného německého výrobce pořízeno od levnějšího českého výrobce. MF na pořízení zařízení nepřímé termické desorpce poskytlo ze zvláštního účtu a se souhlasem supervizora celkem 136,12 mil. Kč včetně DPH, což představovalo první dvě splátky ceny zařízení. Při zkouškách zařízení v roce 2010 bylo zjištěno riziko výbuchu příslušných látek a uvedené zařízení nebylo do doby ukončení kontroly pro stanovený účel nikdy využito a bylo zakonzervováno.</w:t>
      </w:r>
    </w:p>
    <w:p w14:paraId="1DEEC816" w14:textId="54DDB566" w:rsidR="00916EDC" w:rsidRPr="00094DEC" w:rsidRDefault="00916EDC" w:rsidP="005248FA">
      <w:pPr>
        <w:pStyle w:val="Odstavecseseznamem"/>
        <w:numPr>
          <w:ilvl w:val="0"/>
          <w:numId w:val="14"/>
        </w:numPr>
        <w:autoSpaceDE w:val="0"/>
        <w:autoSpaceDN w:val="0"/>
        <w:adjustRightInd w:val="0"/>
        <w:spacing w:after="0" w:line="240" w:lineRule="auto"/>
        <w:jc w:val="both"/>
        <w:rPr>
          <w:rFonts w:ascii="Calibri" w:eastAsia="Times New Roman" w:hAnsi="Calibri" w:cs="Calibri"/>
          <w:sz w:val="24"/>
          <w:szCs w:val="24"/>
        </w:rPr>
      </w:pPr>
      <w:r w:rsidRPr="005248FA">
        <w:rPr>
          <w:rFonts w:eastAsia="Times New Roman" w:cs="Times New Roman"/>
          <w:sz w:val="24"/>
          <w:szCs w:val="24"/>
        </w:rPr>
        <w:t>Kaly sice byly z části ze zátěže odtěženy, dosud však není ukončeno řízení Evropské komise, která vytýká České republice nesprávné uplatňování evropské legislativy o přepravě odpadů v souvislosti s prodejem části vytěžených a přepracovaných kalů do Polska. Předmětem řešení je i další část kalů umístěná ve Vratimově, u nichž nelze identifikovat vlastníka. K jejich</w:t>
      </w:r>
      <w:r w:rsidR="00DE0159">
        <w:rPr>
          <w:rFonts w:eastAsia="Times New Roman" w:cs="Times New Roman"/>
          <w:sz w:val="24"/>
          <w:szCs w:val="24"/>
        </w:rPr>
        <w:t xml:space="preserve"> </w:t>
      </w:r>
      <w:r w:rsidRPr="005248FA">
        <w:rPr>
          <w:rFonts w:eastAsia="Times New Roman" w:cs="Times New Roman"/>
          <w:sz w:val="24"/>
          <w:szCs w:val="24"/>
        </w:rPr>
        <w:t xml:space="preserve">odstranění bude použita dotace z </w:t>
      </w:r>
      <w:r w:rsidRPr="00350487">
        <w:rPr>
          <w:rFonts w:eastAsia="Times New Roman" w:cs="Times New Roman"/>
          <w:i/>
          <w:sz w:val="24"/>
          <w:szCs w:val="24"/>
        </w:rPr>
        <w:t xml:space="preserve">Národního programu Životní prostředí </w:t>
      </w:r>
      <w:r w:rsidRPr="005248FA">
        <w:rPr>
          <w:rFonts w:eastAsia="Times New Roman" w:cs="Times New Roman"/>
          <w:sz w:val="24"/>
          <w:szCs w:val="24"/>
        </w:rPr>
        <w:t xml:space="preserve">s předpokládanými náklady ve výši 40 mil. Kč. </w:t>
      </w:r>
    </w:p>
    <w:p w14:paraId="6C7EB8D9" w14:textId="77777777" w:rsidR="00916EDC" w:rsidRPr="005248FA" w:rsidRDefault="00916EDC" w:rsidP="005248FA">
      <w:pPr>
        <w:pStyle w:val="Odstavecseseznamem"/>
        <w:numPr>
          <w:ilvl w:val="0"/>
          <w:numId w:val="14"/>
        </w:numPr>
        <w:autoSpaceDE w:val="0"/>
        <w:autoSpaceDN w:val="0"/>
        <w:adjustRightInd w:val="0"/>
        <w:spacing w:after="0" w:line="240" w:lineRule="auto"/>
        <w:jc w:val="both"/>
        <w:rPr>
          <w:rFonts w:ascii="Calibri" w:eastAsia="Times New Roman" w:hAnsi="Calibri" w:cs="Calibri"/>
          <w:sz w:val="24"/>
          <w:szCs w:val="24"/>
        </w:rPr>
      </w:pPr>
      <w:r w:rsidRPr="005248FA">
        <w:rPr>
          <w:rFonts w:ascii="Calibri" w:eastAsia="Times New Roman" w:hAnsi="Calibri" w:cs="Calibri"/>
          <w:color w:val="000000"/>
          <w:sz w:val="24"/>
          <w:szCs w:val="24"/>
        </w:rPr>
        <w:t xml:space="preserve">Od října 2016 jsou realizovány jen práce na podzemních vodách, a to v omezeném </w:t>
      </w:r>
      <w:r w:rsidRPr="005248FA">
        <w:rPr>
          <w:rFonts w:ascii="Calibri" w:eastAsia="Times New Roman" w:hAnsi="Calibri" w:cs="Calibri"/>
          <w:sz w:val="24"/>
          <w:szCs w:val="24"/>
        </w:rPr>
        <w:t xml:space="preserve">rozsahu. </w:t>
      </w:r>
    </w:p>
    <w:p w14:paraId="54865A43" w14:textId="77777777" w:rsidR="00916EDC" w:rsidRPr="00916EDC" w:rsidRDefault="00916EDC" w:rsidP="00916EDC">
      <w:pPr>
        <w:spacing w:after="0" w:line="240" w:lineRule="auto"/>
        <w:jc w:val="both"/>
        <w:rPr>
          <w:rFonts w:eastAsia="Times New Roman" w:cs="Times New Roman"/>
          <w:sz w:val="24"/>
          <w:szCs w:val="24"/>
        </w:rPr>
      </w:pPr>
    </w:p>
    <w:p w14:paraId="414198E0" w14:textId="77777777" w:rsidR="00C17FA5" w:rsidRDefault="00916EDC" w:rsidP="00916EDC">
      <w:pPr>
        <w:spacing w:after="0" w:line="240" w:lineRule="auto"/>
        <w:jc w:val="both"/>
        <w:rPr>
          <w:rFonts w:eastAsia="Times New Roman" w:cs="Times New Roman"/>
          <w:sz w:val="24"/>
          <w:szCs w:val="24"/>
        </w:rPr>
      </w:pPr>
      <w:r w:rsidRPr="00916EDC">
        <w:rPr>
          <w:rFonts w:eastAsia="Times New Roman" w:cs="Times New Roman"/>
          <w:sz w:val="24"/>
          <w:szCs w:val="24"/>
        </w:rPr>
        <w:t xml:space="preserve">Z garance ve výši 4 200 mil. Kč bylo vyčerpáno a MF uhradilo v souvislosti s odstraňováním této zátěže ze zvláštního účtu k 31. květnu 2017 celkem 2 800,22 mil. Kč včetně DPH. Od roku 2014 MF nechalo zpracovat znalecké posudky a analýzy s cílem ověřit účelnost a hospodárnost tzv. nových skutečností navrhovaných státním podnikem a zefektivnit a zlevnit celý proces odstranění této zátěže. </w:t>
      </w:r>
    </w:p>
    <w:p w14:paraId="0C92AFBB" w14:textId="77777777" w:rsidR="00C17FA5" w:rsidRDefault="00C17FA5" w:rsidP="00916EDC">
      <w:pPr>
        <w:spacing w:after="0" w:line="240" w:lineRule="auto"/>
        <w:jc w:val="both"/>
        <w:rPr>
          <w:rFonts w:eastAsia="Times New Roman" w:cs="Times New Roman"/>
          <w:sz w:val="24"/>
          <w:szCs w:val="24"/>
        </w:rPr>
      </w:pPr>
    </w:p>
    <w:p w14:paraId="726C510D" w14:textId="69271459" w:rsidR="00916EDC" w:rsidRPr="00916EDC" w:rsidRDefault="00916EDC" w:rsidP="00916EDC">
      <w:pPr>
        <w:spacing w:after="0" w:line="240" w:lineRule="auto"/>
        <w:jc w:val="both"/>
        <w:rPr>
          <w:rFonts w:ascii="Arial" w:eastAsia="Times New Roman" w:hAnsi="Arial" w:cs="Calibri"/>
          <w:sz w:val="24"/>
          <w:szCs w:val="24"/>
        </w:rPr>
      </w:pPr>
      <w:r w:rsidRPr="00916EDC">
        <w:rPr>
          <w:rFonts w:eastAsia="Times New Roman" w:cs="Times New Roman"/>
          <w:sz w:val="24"/>
          <w:szCs w:val="24"/>
        </w:rPr>
        <w:lastRenderedPageBreak/>
        <w:t>Pro stanovení postupu sanace vznikla pracovní skupina složená ze zástupců MF, MPO, MŽP</w:t>
      </w:r>
      <w:r w:rsidR="00C17FA5">
        <w:rPr>
          <w:rFonts w:eastAsia="Times New Roman" w:cs="Times New Roman"/>
          <w:sz w:val="24"/>
          <w:szCs w:val="24"/>
        </w:rPr>
        <w:t>,</w:t>
      </w:r>
      <w:r w:rsidRPr="00916EDC">
        <w:rPr>
          <w:rFonts w:eastAsia="Times New Roman" w:cs="Times New Roman"/>
          <w:sz w:val="24"/>
          <w:szCs w:val="24"/>
        </w:rPr>
        <w:t xml:space="preserve"> </w:t>
      </w:r>
      <w:r w:rsidR="00C17FA5">
        <w:rPr>
          <w:rFonts w:eastAsia="Times New Roman" w:cs="Times New Roman"/>
          <w:sz w:val="24"/>
          <w:szCs w:val="24"/>
        </w:rPr>
        <w:t xml:space="preserve">DIAMO, </w:t>
      </w:r>
      <w:r w:rsidRPr="00916EDC">
        <w:rPr>
          <w:rFonts w:eastAsia="Times New Roman" w:cs="Times New Roman"/>
          <w:sz w:val="24"/>
          <w:szCs w:val="24"/>
        </w:rPr>
        <w:t>státního podniku</w:t>
      </w:r>
      <w:r w:rsidR="00AD4E55">
        <w:rPr>
          <w:rFonts w:eastAsia="Times New Roman" w:cs="Times New Roman"/>
          <w:sz w:val="24"/>
          <w:szCs w:val="24"/>
        </w:rPr>
        <w:t>,</w:t>
      </w:r>
      <w:r w:rsidR="00C17FA5">
        <w:rPr>
          <w:rFonts w:eastAsia="Times New Roman" w:cs="Times New Roman"/>
          <w:sz w:val="24"/>
          <w:szCs w:val="24"/>
        </w:rPr>
        <w:t xml:space="preserve"> </w:t>
      </w:r>
      <w:r w:rsidRPr="00916EDC">
        <w:rPr>
          <w:rFonts w:eastAsia="Times New Roman" w:cs="Times New Roman"/>
          <w:sz w:val="24"/>
          <w:szCs w:val="24"/>
        </w:rPr>
        <w:t>a města Ostrav</w:t>
      </w:r>
      <w:r w:rsidR="00C17FA5">
        <w:rPr>
          <w:rFonts w:eastAsia="Times New Roman" w:cs="Times New Roman"/>
          <w:sz w:val="24"/>
          <w:szCs w:val="24"/>
        </w:rPr>
        <w:t>y</w:t>
      </w:r>
      <w:r w:rsidRPr="00916EDC">
        <w:rPr>
          <w:rFonts w:eastAsia="Times New Roman" w:cs="Times New Roman"/>
          <w:sz w:val="24"/>
          <w:szCs w:val="24"/>
        </w:rPr>
        <w:t>. Zúčastněn</w:t>
      </w:r>
      <w:r w:rsidR="00655A43">
        <w:rPr>
          <w:rFonts w:eastAsia="Times New Roman" w:cs="Times New Roman"/>
          <w:sz w:val="24"/>
          <w:szCs w:val="24"/>
        </w:rPr>
        <w:t>é subjekty dlouhodobě jednají o </w:t>
      </w:r>
      <w:r w:rsidRPr="00916EDC">
        <w:rPr>
          <w:rFonts w:eastAsia="Times New Roman" w:cs="Times New Roman"/>
          <w:sz w:val="24"/>
          <w:szCs w:val="24"/>
        </w:rPr>
        <w:t>způsobu dokončení odstranění SEZ. Do doby ukončení kontroly nebylo rozhodnuto o</w:t>
      </w:r>
      <w:r w:rsidR="00655A43">
        <w:rPr>
          <w:rFonts w:eastAsia="Times New Roman" w:cs="Times New Roman"/>
          <w:sz w:val="24"/>
          <w:szCs w:val="24"/>
        </w:rPr>
        <w:t> </w:t>
      </w:r>
      <w:r w:rsidRPr="00916EDC">
        <w:rPr>
          <w:rFonts w:eastAsia="Times New Roman" w:cs="Times New Roman"/>
          <w:sz w:val="24"/>
          <w:szCs w:val="24"/>
        </w:rPr>
        <w:t>dořešení odstranění této zátěže po technické stránce, nebyla známa výše potřebných finančních prostředků ani termín dokončení.</w:t>
      </w:r>
      <w:r w:rsidRPr="00916EDC">
        <w:rPr>
          <w:rFonts w:ascii="Arial" w:eastAsia="Times New Roman" w:hAnsi="Arial" w:cs="Calibri"/>
          <w:sz w:val="24"/>
          <w:szCs w:val="24"/>
        </w:rPr>
        <w:t xml:space="preserve"> </w:t>
      </w:r>
    </w:p>
    <w:p w14:paraId="406E61CC" w14:textId="77777777" w:rsidR="00916EDC" w:rsidRPr="00916EDC" w:rsidRDefault="00916EDC" w:rsidP="00916EDC">
      <w:pPr>
        <w:spacing w:after="0" w:line="240" w:lineRule="auto"/>
        <w:jc w:val="both"/>
        <w:rPr>
          <w:rFonts w:ascii="Calibri" w:eastAsia="Times New Roman" w:hAnsi="Calibri" w:cs="Calibri"/>
          <w:sz w:val="24"/>
          <w:szCs w:val="24"/>
        </w:rPr>
      </w:pPr>
    </w:p>
    <w:p w14:paraId="65AAB589" w14:textId="77777777" w:rsidR="00916EDC" w:rsidRDefault="00916EDC" w:rsidP="00916EDC">
      <w:pPr>
        <w:spacing w:after="0" w:line="240" w:lineRule="auto"/>
        <w:jc w:val="both"/>
        <w:rPr>
          <w:rFonts w:ascii="Calibri" w:eastAsia="Times New Roman" w:hAnsi="Calibri" w:cs="Calibri"/>
          <w:sz w:val="24"/>
          <w:szCs w:val="24"/>
        </w:rPr>
      </w:pPr>
    </w:p>
    <w:p w14:paraId="61032E39" w14:textId="77777777" w:rsidR="00916EDC" w:rsidRDefault="00916EDC" w:rsidP="00916EDC">
      <w:pPr>
        <w:rPr>
          <w:b/>
          <w:sz w:val="24"/>
          <w:szCs w:val="24"/>
        </w:rPr>
      </w:pPr>
      <w:r w:rsidRPr="00916EDC">
        <w:rPr>
          <w:b/>
          <w:sz w:val="24"/>
          <w:szCs w:val="24"/>
        </w:rPr>
        <w:t>Seznam zkratek:</w:t>
      </w:r>
    </w:p>
    <w:p w14:paraId="5211184C" w14:textId="77777777" w:rsidR="00916EDC" w:rsidRPr="00916EDC" w:rsidRDefault="00916EDC" w:rsidP="00916EDC">
      <w:pPr>
        <w:rPr>
          <w:sz w:val="24"/>
          <w:szCs w:val="24"/>
        </w:rPr>
      </w:pPr>
      <w:r w:rsidRPr="00916EDC">
        <w:rPr>
          <w:sz w:val="24"/>
          <w:szCs w:val="24"/>
        </w:rPr>
        <w:t xml:space="preserve">ČIŽP </w:t>
      </w:r>
      <w:r w:rsidRPr="00916EDC">
        <w:rPr>
          <w:sz w:val="24"/>
          <w:szCs w:val="24"/>
        </w:rPr>
        <w:tab/>
        <w:t>Česká inspekce životního prostředí</w:t>
      </w:r>
    </w:p>
    <w:p w14:paraId="74DE0268" w14:textId="77777777" w:rsidR="00916EDC" w:rsidRPr="00916EDC" w:rsidRDefault="00916EDC" w:rsidP="00916EDC">
      <w:pPr>
        <w:rPr>
          <w:sz w:val="24"/>
          <w:szCs w:val="24"/>
        </w:rPr>
      </w:pPr>
      <w:r w:rsidRPr="00916EDC">
        <w:rPr>
          <w:sz w:val="24"/>
          <w:szCs w:val="24"/>
        </w:rPr>
        <w:t>FNM</w:t>
      </w:r>
      <w:r w:rsidRPr="00916EDC">
        <w:rPr>
          <w:sz w:val="24"/>
          <w:szCs w:val="24"/>
        </w:rPr>
        <w:tab/>
        <w:t>Fond národního majetku České republiky</w:t>
      </w:r>
    </w:p>
    <w:p w14:paraId="040F5814" w14:textId="77777777" w:rsidR="00916EDC" w:rsidRPr="00916EDC" w:rsidRDefault="00916EDC" w:rsidP="00916EDC">
      <w:pPr>
        <w:rPr>
          <w:sz w:val="24"/>
          <w:szCs w:val="24"/>
        </w:rPr>
      </w:pPr>
      <w:r w:rsidRPr="00916EDC">
        <w:rPr>
          <w:sz w:val="24"/>
          <w:szCs w:val="24"/>
        </w:rPr>
        <w:t>MF</w:t>
      </w:r>
      <w:r w:rsidRPr="00916EDC">
        <w:rPr>
          <w:sz w:val="24"/>
          <w:szCs w:val="24"/>
        </w:rPr>
        <w:tab/>
        <w:t>Ministerstvo financí</w:t>
      </w:r>
    </w:p>
    <w:p w14:paraId="5BB2BA53" w14:textId="77777777" w:rsidR="00916EDC" w:rsidRPr="00916EDC" w:rsidRDefault="00916EDC" w:rsidP="00916EDC">
      <w:pPr>
        <w:rPr>
          <w:sz w:val="24"/>
          <w:szCs w:val="24"/>
        </w:rPr>
      </w:pPr>
      <w:r w:rsidRPr="00916EDC">
        <w:rPr>
          <w:sz w:val="24"/>
          <w:szCs w:val="24"/>
        </w:rPr>
        <w:t>MPO</w:t>
      </w:r>
      <w:r w:rsidRPr="00916EDC">
        <w:rPr>
          <w:sz w:val="24"/>
          <w:szCs w:val="24"/>
        </w:rPr>
        <w:tab/>
        <w:t>Ministerstvo průmyslu a obchodu</w:t>
      </w:r>
    </w:p>
    <w:p w14:paraId="72A2F1CB" w14:textId="77777777" w:rsidR="00916EDC" w:rsidRPr="00916EDC" w:rsidRDefault="00916EDC" w:rsidP="00916EDC">
      <w:pPr>
        <w:rPr>
          <w:sz w:val="24"/>
          <w:szCs w:val="24"/>
        </w:rPr>
      </w:pPr>
      <w:r w:rsidRPr="00916EDC">
        <w:rPr>
          <w:sz w:val="24"/>
          <w:szCs w:val="24"/>
        </w:rPr>
        <w:t>MŽP</w:t>
      </w:r>
      <w:r w:rsidRPr="00916EDC">
        <w:rPr>
          <w:sz w:val="24"/>
          <w:szCs w:val="24"/>
        </w:rPr>
        <w:tab/>
        <w:t>Ministerstvo životního prostředí</w:t>
      </w:r>
    </w:p>
    <w:p w14:paraId="7022EB4F" w14:textId="77777777" w:rsidR="00916EDC" w:rsidRPr="00916EDC" w:rsidRDefault="00916EDC" w:rsidP="00916EDC">
      <w:pPr>
        <w:rPr>
          <w:sz w:val="24"/>
          <w:szCs w:val="24"/>
        </w:rPr>
      </w:pPr>
      <w:r w:rsidRPr="00916EDC">
        <w:rPr>
          <w:sz w:val="24"/>
          <w:szCs w:val="24"/>
        </w:rPr>
        <w:t>SEKM</w:t>
      </w:r>
      <w:r w:rsidRPr="00916EDC">
        <w:rPr>
          <w:sz w:val="24"/>
          <w:szCs w:val="24"/>
        </w:rPr>
        <w:tab/>
      </w:r>
      <w:r w:rsidRPr="00916EDC">
        <w:rPr>
          <w:rFonts w:cstheme="minorHAnsi"/>
          <w:sz w:val="24"/>
          <w:szCs w:val="24"/>
        </w:rPr>
        <w:t>Systém evidence kontaminovaných míst II</w:t>
      </w:r>
    </w:p>
    <w:p w14:paraId="06AA2B91" w14:textId="77777777" w:rsidR="00916EDC" w:rsidRPr="00916EDC" w:rsidRDefault="00916EDC" w:rsidP="00916EDC">
      <w:pPr>
        <w:rPr>
          <w:sz w:val="24"/>
          <w:szCs w:val="24"/>
        </w:rPr>
      </w:pPr>
      <w:r w:rsidRPr="00916EDC">
        <w:rPr>
          <w:sz w:val="24"/>
          <w:szCs w:val="24"/>
        </w:rPr>
        <w:t>SEZ</w:t>
      </w:r>
      <w:r w:rsidRPr="00916EDC">
        <w:rPr>
          <w:sz w:val="24"/>
          <w:szCs w:val="24"/>
        </w:rPr>
        <w:tab/>
        <w:t>stará ekologická zátěž</w:t>
      </w:r>
    </w:p>
    <w:p w14:paraId="49560283" w14:textId="77777777" w:rsidR="00E33374" w:rsidRDefault="00E33374"/>
    <w:sectPr w:rsidR="00E33374" w:rsidSect="00FA76A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8965" w14:textId="77777777" w:rsidR="00987F53" w:rsidRDefault="00987F53" w:rsidP="00916EDC">
      <w:pPr>
        <w:spacing w:after="0" w:line="240" w:lineRule="auto"/>
      </w:pPr>
      <w:r>
        <w:separator/>
      </w:r>
    </w:p>
  </w:endnote>
  <w:endnote w:type="continuationSeparator" w:id="0">
    <w:p w14:paraId="2BEC4AE8" w14:textId="77777777" w:rsidR="00987F53" w:rsidRDefault="00987F53" w:rsidP="0091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01763"/>
      <w:docPartObj>
        <w:docPartGallery w:val="Page Numbers (Bottom of Page)"/>
        <w:docPartUnique/>
      </w:docPartObj>
    </w:sdtPr>
    <w:sdtEndPr/>
    <w:sdtContent>
      <w:p w14:paraId="3033CB5E" w14:textId="4DCACD40" w:rsidR="00C3308F" w:rsidRDefault="00FA76A7" w:rsidP="00785ACB">
        <w:pPr>
          <w:pStyle w:val="Zpat"/>
          <w:jc w:val="center"/>
        </w:pPr>
        <w:r>
          <w:fldChar w:fldCharType="begin"/>
        </w:r>
        <w:r>
          <w:instrText>PAGE   \* MERGEFORMAT</w:instrText>
        </w:r>
        <w:r>
          <w:fldChar w:fldCharType="separate"/>
        </w:r>
        <w:r w:rsidR="00BE3DA8">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0198" w14:textId="77777777" w:rsidR="00987F53" w:rsidRDefault="00987F53" w:rsidP="00916EDC">
      <w:pPr>
        <w:spacing w:after="0" w:line="240" w:lineRule="auto"/>
      </w:pPr>
      <w:r>
        <w:separator/>
      </w:r>
    </w:p>
  </w:footnote>
  <w:footnote w:type="continuationSeparator" w:id="0">
    <w:p w14:paraId="51AD2A76" w14:textId="77777777" w:rsidR="00987F53" w:rsidRDefault="00987F53" w:rsidP="00916EDC">
      <w:pPr>
        <w:spacing w:after="0" w:line="240" w:lineRule="auto"/>
      </w:pPr>
      <w:r>
        <w:continuationSeparator/>
      </w:r>
    </w:p>
  </w:footnote>
  <w:footnote w:id="1">
    <w:p w14:paraId="1B0674B5" w14:textId="77777777" w:rsidR="00916EDC" w:rsidRPr="00EF1C22" w:rsidRDefault="00916EDC" w:rsidP="00BA2792">
      <w:pPr>
        <w:pStyle w:val="Textpoznpodarou"/>
        <w:ind w:left="284" w:hanging="284"/>
        <w:jc w:val="both"/>
        <w:rPr>
          <w:rStyle w:val="Znakapoznpodarou"/>
          <w:rFonts w:cstheme="minorHAnsi"/>
          <w:vertAlign w:val="baseline"/>
        </w:rPr>
      </w:pPr>
      <w:r w:rsidRPr="005D1D0F">
        <w:rPr>
          <w:rStyle w:val="Znakapoznpodarou"/>
          <w:rFonts w:cstheme="minorHAnsi"/>
        </w:rPr>
        <w:footnoteRef/>
      </w:r>
      <w:r w:rsidRPr="005D1D0F">
        <w:rPr>
          <w:rFonts w:cstheme="minorHAnsi"/>
        </w:rPr>
        <w:t xml:space="preserve"> </w:t>
      </w:r>
      <w:r w:rsidR="00BA2792">
        <w:rPr>
          <w:rFonts w:cstheme="minorHAnsi"/>
        </w:rPr>
        <w:tab/>
      </w:r>
      <w:r w:rsidRPr="00EF1C22">
        <w:rPr>
          <w:rStyle w:val="Znakapoznpodarou"/>
          <w:rFonts w:cstheme="minorHAnsi"/>
          <w:vertAlign w:val="baseline"/>
        </w:rPr>
        <w:t>Usnesení vlády ČR ze dne 10. ledna 2001 č. 51, o Zásadách vypořádání ekologických závazků vzniklých před privatizací</w:t>
      </w:r>
      <w:r w:rsidR="00EF1C22" w:rsidRPr="00EF1C22">
        <w:rPr>
          <w:rFonts w:cstheme="minorHAnsi"/>
        </w:rPr>
        <w:t>.</w:t>
      </w:r>
    </w:p>
  </w:footnote>
  <w:footnote w:id="2">
    <w:p w14:paraId="61B80A8F" w14:textId="77777777" w:rsidR="00916EDC" w:rsidRPr="00EF1C22" w:rsidRDefault="00916EDC" w:rsidP="00BA2792">
      <w:pPr>
        <w:pStyle w:val="Textpoznpodarou"/>
        <w:ind w:left="284" w:hanging="284"/>
        <w:jc w:val="both"/>
        <w:rPr>
          <w:rStyle w:val="Znakapoznpodarou"/>
          <w:rFonts w:cstheme="minorHAnsi"/>
          <w:vertAlign w:val="baseline"/>
        </w:rPr>
      </w:pPr>
      <w:r w:rsidRPr="005D1D0F">
        <w:rPr>
          <w:rStyle w:val="Znakapoznpodarou"/>
          <w:rFonts w:cstheme="minorHAnsi"/>
        </w:rPr>
        <w:footnoteRef/>
      </w:r>
      <w:r w:rsidRPr="005D1D0F">
        <w:rPr>
          <w:rStyle w:val="Znakapoznpodarou"/>
          <w:rFonts w:cstheme="minorHAnsi"/>
        </w:rPr>
        <w:t xml:space="preserve"> </w:t>
      </w:r>
      <w:r w:rsidRPr="005D1D0F">
        <w:rPr>
          <w:rFonts w:cstheme="minorHAnsi"/>
        </w:rPr>
        <w:t xml:space="preserve"> </w:t>
      </w:r>
      <w:r w:rsidR="00BA2792">
        <w:rPr>
          <w:rFonts w:cstheme="minorHAnsi"/>
        </w:rPr>
        <w:tab/>
      </w:r>
      <w:r w:rsidRPr="00EF1C22">
        <w:rPr>
          <w:rStyle w:val="Znakapoznpodarou"/>
          <w:rFonts w:cstheme="minorHAnsi"/>
          <w:vertAlign w:val="baseline"/>
        </w:rPr>
        <w:t>Směrnice FNM ČR a MŽP pro přípravu a realizaci zakázek řešících ekologické závazky při privatizaci č. 3/2004</w:t>
      </w:r>
      <w:r w:rsidRPr="00EF1C22">
        <w:rPr>
          <w:rFonts w:cstheme="minorHAnsi"/>
        </w:rPr>
        <w:t>.</w:t>
      </w:r>
    </w:p>
  </w:footnote>
  <w:footnote w:id="3">
    <w:p w14:paraId="6C7A02BD" w14:textId="77777777" w:rsidR="00916EDC" w:rsidRPr="00EF1C22" w:rsidRDefault="00916EDC" w:rsidP="00BA2792">
      <w:pPr>
        <w:pStyle w:val="Textpoznpodarou"/>
        <w:ind w:left="284" w:hanging="284"/>
        <w:jc w:val="both"/>
        <w:rPr>
          <w:rStyle w:val="Znakapoznpodarou"/>
          <w:rFonts w:cstheme="minorHAnsi"/>
          <w:vertAlign w:val="baseline"/>
        </w:rPr>
      </w:pPr>
      <w:r w:rsidRPr="005D1D0F">
        <w:rPr>
          <w:rStyle w:val="Znakapoznpodarou"/>
          <w:rFonts w:cstheme="minorHAnsi"/>
        </w:rPr>
        <w:footnoteRef/>
      </w:r>
      <w:r w:rsidRPr="005D1D0F">
        <w:rPr>
          <w:rStyle w:val="Znakapoznpodarou"/>
          <w:rFonts w:cstheme="minorHAnsi"/>
        </w:rPr>
        <w:t xml:space="preserve"> </w:t>
      </w:r>
      <w:r w:rsidR="00BA2792">
        <w:rPr>
          <w:rFonts w:cstheme="minorHAnsi"/>
        </w:rPr>
        <w:tab/>
      </w:r>
      <w:r w:rsidRPr="00EF1C22">
        <w:rPr>
          <w:rStyle w:val="Znakapoznpodarou"/>
          <w:rFonts w:cstheme="minorHAnsi"/>
          <w:vertAlign w:val="baseline"/>
        </w:rPr>
        <w:t>Směrnice MF a MŽP pro přípravu a realizaci zakázek řešících ekologické závazky vzniklé při privatizaci</w:t>
      </w:r>
      <w:r w:rsidRPr="00EF1C22">
        <w:rPr>
          <w:rFonts w:cstheme="minorHAnsi"/>
        </w:rPr>
        <w:t xml:space="preserve"> č. 4/2017.</w:t>
      </w:r>
    </w:p>
  </w:footnote>
  <w:footnote w:id="4">
    <w:p w14:paraId="1FC7F0FE" w14:textId="77777777" w:rsidR="00916EDC" w:rsidRPr="00EF1C22" w:rsidRDefault="00916EDC" w:rsidP="00BA2792">
      <w:pPr>
        <w:pStyle w:val="Textpoznpodarou"/>
        <w:ind w:left="284" w:hanging="284"/>
        <w:jc w:val="both"/>
        <w:rPr>
          <w:rFonts w:ascii="Calibri" w:hAnsi="Calibri" w:cs="Calibri"/>
        </w:rPr>
      </w:pPr>
      <w:r w:rsidRPr="005D1D0F">
        <w:rPr>
          <w:rStyle w:val="Znakapoznpodarou"/>
          <w:rFonts w:ascii="Calibri" w:hAnsi="Calibri" w:cs="Calibri"/>
          <w:sz w:val="16"/>
          <w:szCs w:val="16"/>
        </w:rPr>
        <w:footnoteRef/>
      </w:r>
      <w:r w:rsidRPr="005D1D0F">
        <w:rPr>
          <w:rFonts w:ascii="Calibri" w:hAnsi="Calibri" w:cs="Calibri"/>
          <w:sz w:val="16"/>
          <w:szCs w:val="16"/>
        </w:rPr>
        <w:t xml:space="preserve"> </w:t>
      </w:r>
      <w:r w:rsidR="00BA2792">
        <w:rPr>
          <w:rFonts w:ascii="Calibri" w:hAnsi="Calibri" w:cs="Calibri"/>
          <w:sz w:val="16"/>
          <w:szCs w:val="16"/>
        </w:rPr>
        <w:tab/>
      </w:r>
      <w:r w:rsidRPr="00EF1C22">
        <w:rPr>
          <w:rFonts w:ascii="Calibri" w:hAnsi="Calibri" w:cs="Calibri"/>
        </w:rPr>
        <w:t>Rozhodnutí o uložení opatření k nápravě ekologických zátěží vzniklých před privatizací v důsledku provozně hospodářské činnosti privatizovaného subjektu.</w:t>
      </w:r>
    </w:p>
  </w:footnote>
  <w:footnote w:id="5">
    <w:p w14:paraId="5474FC24" w14:textId="77777777" w:rsidR="00916EDC" w:rsidRPr="00EF1C22" w:rsidRDefault="00916EDC" w:rsidP="00BA2792">
      <w:pPr>
        <w:pStyle w:val="Textpoznpodarou"/>
        <w:ind w:left="284" w:hanging="284"/>
        <w:jc w:val="both"/>
        <w:rPr>
          <w:rFonts w:ascii="Calibri" w:hAnsi="Calibri" w:cs="Calibri"/>
        </w:rPr>
      </w:pPr>
      <w:r w:rsidRPr="005D1D0F">
        <w:rPr>
          <w:rStyle w:val="Znakapoznpodarou"/>
          <w:rFonts w:ascii="Calibri" w:hAnsi="Calibri" w:cs="Calibri"/>
          <w:sz w:val="16"/>
          <w:szCs w:val="16"/>
        </w:rPr>
        <w:footnoteRef/>
      </w:r>
      <w:r w:rsidRPr="005D1D0F">
        <w:rPr>
          <w:rFonts w:ascii="Calibri" w:hAnsi="Calibri" w:cs="Calibri"/>
          <w:sz w:val="16"/>
          <w:szCs w:val="16"/>
        </w:rPr>
        <w:t xml:space="preserve"> </w:t>
      </w:r>
      <w:r w:rsidR="00BA2792">
        <w:rPr>
          <w:rFonts w:ascii="Calibri" w:hAnsi="Calibri" w:cs="Calibri"/>
          <w:sz w:val="16"/>
          <w:szCs w:val="16"/>
        </w:rPr>
        <w:tab/>
      </w:r>
      <w:r w:rsidRPr="00EF1C22">
        <w:rPr>
          <w:rFonts w:ascii="Calibri" w:hAnsi="Calibri" w:cs="Calibri"/>
        </w:rPr>
        <w:t>Příloha usnesení vlády ČR ze dne 10. ledna 2001 č. 51, o Zásadách vypořádání ekologických závazků vzniklých před privatizací.</w:t>
      </w:r>
    </w:p>
  </w:footnote>
  <w:footnote w:id="6">
    <w:p w14:paraId="26F9CFF0" w14:textId="2D2C11A7" w:rsidR="00916EDC" w:rsidRPr="00EF1C22" w:rsidRDefault="00916EDC" w:rsidP="00BA2792">
      <w:pPr>
        <w:spacing w:after="0" w:line="240" w:lineRule="auto"/>
        <w:ind w:left="284" w:hanging="284"/>
        <w:rPr>
          <w:rFonts w:cstheme="minorHAnsi"/>
          <w:sz w:val="20"/>
          <w:szCs w:val="20"/>
        </w:rPr>
      </w:pPr>
      <w:r w:rsidRPr="00EF1C22">
        <w:rPr>
          <w:rStyle w:val="Znakapoznpodarou"/>
          <w:rFonts w:cstheme="minorHAnsi"/>
          <w:sz w:val="16"/>
          <w:szCs w:val="16"/>
        </w:rPr>
        <w:footnoteRef/>
      </w:r>
      <w:r w:rsidRPr="00EF1C22">
        <w:rPr>
          <w:rFonts w:cstheme="minorHAnsi"/>
          <w:sz w:val="20"/>
          <w:szCs w:val="20"/>
          <w:vertAlign w:val="superscript"/>
        </w:rPr>
        <w:t xml:space="preserve"> </w:t>
      </w:r>
      <w:r w:rsidR="00BA2792">
        <w:rPr>
          <w:rFonts w:cstheme="minorHAnsi"/>
          <w:sz w:val="20"/>
          <w:szCs w:val="20"/>
          <w:vertAlign w:val="superscript"/>
        </w:rPr>
        <w:tab/>
      </w:r>
      <w:r w:rsidRPr="00EF1C22">
        <w:rPr>
          <w:rFonts w:cstheme="minorHAnsi"/>
          <w:color w:val="000000"/>
          <w:sz w:val="20"/>
          <w:szCs w:val="20"/>
        </w:rPr>
        <w:t>Kontrolní závěr z kontrolní akce 09/18</w:t>
      </w:r>
      <w:r w:rsidR="00A83644">
        <w:rPr>
          <w:rFonts w:cstheme="minorHAnsi"/>
          <w:color w:val="000000"/>
          <w:sz w:val="20"/>
          <w:szCs w:val="20"/>
        </w:rPr>
        <w:t xml:space="preserve"> –</w:t>
      </w:r>
      <w:r w:rsidRPr="00EF1C22">
        <w:rPr>
          <w:rFonts w:cstheme="minorHAnsi"/>
          <w:color w:val="000000"/>
          <w:sz w:val="20"/>
          <w:szCs w:val="20"/>
        </w:rPr>
        <w:t xml:space="preserve"> </w:t>
      </w:r>
      <w:r w:rsidRPr="00543633">
        <w:rPr>
          <w:rFonts w:cstheme="minorHAnsi"/>
          <w:bCs/>
          <w:i/>
          <w:color w:val="000000"/>
          <w:sz w:val="20"/>
          <w:szCs w:val="20"/>
        </w:rPr>
        <w:t>Peněžní prostředky určené na odstraňování starých ekologických zátěží</w:t>
      </w:r>
      <w:r w:rsidRPr="00EF1C22">
        <w:rPr>
          <w:rFonts w:cstheme="minorHAnsi"/>
          <w:bCs/>
          <w:color w:val="000000"/>
          <w:sz w:val="20"/>
          <w:szCs w:val="20"/>
        </w:rPr>
        <w:t xml:space="preserve">, </w:t>
      </w:r>
      <w:r w:rsidRPr="00EF1C22">
        <w:rPr>
          <w:rFonts w:cstheme="minorHAnsi"/>
          <w:sz w:val="20"/>
          <w:szCs w:val="20"/>
        </w:rPr>
        <w:t xml:space="preserve">schválený dne 7. června 2010, </w:t>
      </w:r>
      <w:r w:rsidR="00A83644">
        <w:rPr>
          <w:rFonts w:cstheme="minorHAnsi"/>
          <w:sz w:val="20"/>
          <w:szCs w:val="20"/>
        </w:rPr>
        <w:t xml:space="preserve">byl </w:t>
      </w:r>
      <w:r w:rsidRPr="00EF1C22">
        <w:rPr>
          <w:rFonts w:cstheme="minorHAnsi"/>
          <w:sz w:val="20"/>
          <w:szCs w:val="20"/>
        </w:rPr>
        <w:t xml:space="preserve">zveřejněn v částce 2/2010 </w:t>
      </w:r>
      <w:r w:rsidRPr="00543633">
        <w:rPr>
          <w:rFonts w:cstheme="minorHAnsi"/>
          <w:i/>
          <w:sz w:val="20"/>
          <w:szCs w:val="20"/>
        </w:rPr>
        <w:t>Věstníku NKÚ</w:t>
      </w:r>
      <w:r w:rsidRPr="00EF1C22">
        <w:rPr>
          <w:rFonts w:cstheme="minorHAnsi"/>
          <w:sz w:val="20"/>
          <w:szCs w:val="20"/>
        </w:rPr>
        <w:t>.</w:t>
      </w:r>
    </w:p>
  </w:footnote>
  <w:footnote w:id="7">
    <w:p w14:paraId="58AB0260" w14:textId="77777777" w:rsidR="00916EDC" w:rsidRPr="00EF1C22" w:rsidRDefault="00916EDC" w:rsidP="00BA2792">
      <w:pPr>
        <w:pStyle w:val="Textpoznpodarou"/>
        <w:ind w:left="284" w:hanging="284"/>
        <w:jc w:val="both"/>
        <w:rPr>
          <w:rFonts w:ascii="Calibri" w:hAnsi="Calibri" w:cs="Calibri"/>
        </w:rPr>
      </w:pPr>
      <w:r w:rsidRPr="005D1D0F">
        <w:rPr>
          <w:rStyle w:val="Znakapoznpodarou"/>
          <w:rFonts w:ascii="Calibri" w:hAnsi="Calibri" w:cs="Calibri"/>
          <w:sz w:val="16"/>
          <w:szCs w:val="16"/>
        </w:rPr>
        <w:footnoteRef/>
      </w:r>
      <w:r w:rsidRPr="005D1D0F">
        <w:rPr>
          <w:rFonts w:ascii="Calibri" w:hAnsi="Calibri" w:cs="Calibri"/>
          <w:sz w:val="16"/>
          <w:szCs w:val="16"/>
        </w:rPr>
        <w:t xml:space="preserve"> </w:t>
      </w:r>
      <w:r w:rsidR="00BA2792">
        <w:rPr>
          <w:rFonts w:ascii="Calibri" w:hAnsi="Calibri" w:cs="Calibri"/>
          <w:sz w:val="16"/>
          <w:szCs w:val="16"/>
        </w:rPr>
        <w:tab/>
      </w:r>
      <w:r w:rsidRPr="00EF1C22">
        <w:rPr>
          <w:rFonts w:ascii="Calibri" w:hAnsi="Calibri" w:cs="Calibri"/>
        </w:rPr>
        <w:t>Zákon č. 178/2005 Sb., o zrušení Fondu národního majetku České republiky a o působnosti Ministerstva financí při privatizaci majetku České republiky (zákon o zrušení Fondu národního majetku).</w:t>
      </w:r>
    </w:p>
  </w:footnote>
  <w:footnote w:id="8">
    <w:p w14:paraId="33871510" w14:textId="25353710" w:rsidR="00916EDC" w:rsidRPr="00184ABC" w:rsidRDefault="00916EDC" w:rsidP="00BA2792">
      <w:pPr>
        <w:pStyle w:val="Textpoznpodarou"/>
        <w:ind w:left="284" w:hanging="284"/>
        <w:jc w:val="both"/>
        <w:rPr>
          <w:rFonts w:cstheme="minorHAnsi"/>
        </w:rPr>
      </w:pPr>
      <w:r w:rsidRPr="00291F63">
        <w:rPr>
          <w:rStyle w:val="Znakapoznpodarou"/>
          <w:rFonts w:cstheme="minorHAnsi"/>
          <w:sz w:val="16"/>
          <w:szCs w:val="16"/>
        </w:rPr>
        <w:footnoteRef/>
      </w:r>
      <w:r w:rsidRPr="00291F63">
        <w:rPr>
          <w:rFonts w:cstheme="minorHAnsi"/>
          <w:sz w:val="16"/>
          <w:szCs w:val="16"/>
        </w:rPr>
        <w:t xml:space="preserve"> </w:t>
      </w:r>
      <w:r w:rsidR="00BA2792">
        <w:rPr>
          <w:rFonts w:cstheme="minorHAnsi"/>
          <w:sz w:val="16"/>
          <w:szCs w:val="16"/>
        </w:rPr>
        <w:tab/>
      </w:r>
      <w:r w:rsidRPr="00184ABC">
        <w:rPr>
          <w:rFonts w:cstheme="minorHAnsi"/>
        </w:rPr>
        <w:t xml:space="preserve">Veřejná zakázka </w:t>
      </w:r>
      <w:r w:rsidRPr="00184ABC">
        <w:rPr>
          <w:rFonts w:cstheme="minorHAnsi"/>
          <w:i/>
        </w:rPr>
        <w:t>Odstranění některých ekologických zátěží vzniklých před privatizací</w:t>
      </w:r>
      <w:r w:rsidRPr="00184ABC">
        <w:rPr>
          <w:rFonts w:cstheme="minorHAnsi"/>
        </w:rPr>
        <w:t>, kterou MF, jakožto zadavatel</w:t>
      </w:r>
      <w:r w:rsidR="00F74281" w:rsidRPr="00184ABC">
        <w:rPr>
          <w:rFonts w:cstheme="minorHAnsi"/>
        </w:rPr>
        <w:t xml:space="preserve"> podle zákona č. 137/2006 Sb., o veřejných zakázkách, uveřejnilo</w:t>
      </w:r>
      <w:r w:rsidRPr="00184ABC">
        <w:rPr>
          <w:rFonts w:cstheme="minorHAnsi"/>
        </w:rPr>
        <w:t xml:space="preserve"> v prosinci 2008 na základě vládou schváleného koncesního projektu a předpokládala realizaci projektu jedním </w:t>
      </w:r>
      <w:r w:rsidR="00F74281" w:rsidRPr="00184ABC">
        <w:rPr>
          <w:rFonts w:cstheme="minorHAnsi"/>
        </w:rPr>
        <w:t>dodavatelem</w:t>
      </w:r>
      <w:r w:rsidRPr="00184ABC">
        <w:rPr>
          <w:rFonts w:cstheme="minorHAnsi"/>
        </w:rPr>
        <w:t>. Zadávací řízení MF zrušilo v lednu 2012.</w:t>
      </w:r>
    </w:p>
  </w:footnote>
  <w:footnote w:id="9">
    <w:p w14:paraId="603FC7C6" w14:textId="77777777" w:rsidR="00916EDC" w:rsidRPr="00184ABC" w:rsidRDefault="00916EDC" w:rsidP="00BA2792">
      <w:pPr>
        <w:pStyle w:val="Textpoznpodarou"/>
        <w:ind w:left="284" w:hanging="284"/>
        <w:jc w:val="both"/>
        <w:rPr>
          <w:rFonts w:cstheme="minorHAnsi"/>
        </w:rPr>
      </w:pPr>
      <w:r w:rsidRPr="00291F63">
        <w:rPr>
          <w:rStyle w:val="Znakapoznpodarou"/>
          <w:rFonts w:cstheme="minorHAnsi"/>
          <w:sz w:val="16"/>
          <w:szCs w:val="16"/>
        </w:rPr>
        <w:footnoteRef/>
      </w:r>
      <w:r w:rsidRPr="00291F63">
        <w:rPr>
          <w:rFonts w:cstheme="minorHAnsi"/>
          <w:sz w:val="16"/>
          <w:szCs w:val="16"/>
        </w:rPr>
        <w:t xml:space="preserve"> </w:t>
      </w:r>
      <w:r w:rsidR="00BA2792">
        <w:rPr>
          <w:rFonts w:cstheme="minorHAnsi"/>
          <w:sz w:val="16"/>
          <w:szCs w:val="16"/>
        </w:rPr>
        <w:tab/>
      </w:r>
      <w:r w:rsidRPr="00184ABC">
        <w:rPr>
          <w:rFonts w:cstheme="minorHAnsi"/>
        </w:rPr>
        <w:t>Výdaje za ochranné čerpání u 26 lokalit, které MF identifikovalo podle analýzy prove</w:t>
      </w:r>
      <w:r w:rsidR="00BA2792">
        <w:rPr>
          <w:rFonts w:cstheme="minorHAnsi"/>
        </w:rPr>
        <w:t>dené v březnu 2014 a </w:t>
      </w:r>
      <w:r w:rsidRPr="00184ABC">
        <w:rPr>
          <w:rFonts w:cstheme="minorHAnsi"/>
        </w:rPr>
        <w:t>kde ochranné čerpání nebylo k datu analýzy ukončeno.</w:t>
      </w:r>
    </w:p>
  </w:footnote>
  <w:footnote w:id="10">
    <w:p w14:paraId="09DFE348" w14:textId="77777777" w:rsidR="005928D8" w:rsidRPr="008D2504" w:rsidRDefault="00916EDC" w:rsidP="002827CC">
      <w:pPr>
        <w:autoSpaceDE w:val="0"/>
        <w:autoSpaceDN w:val="0"/>
        <w:adjustRightInd w:val="0"/>
        <w:spacing w:after="0" w:line="240" w:lineRule="auto"/>
        <w:ind w:left="284" w:hanging="284"/>
        <w:rPr>
          <w:rFonts w:cstheme="minorHAnsi"/>
          <w:sz w:val="20"/>
          <w:szCs w:val="20"/>
          <w:lang w:eastAsia="cs-CZ"/>
        </w:rPr>
      </w:pPr>
      <w:r w:rsidRPr="004B6DE6">
        <w:rPr>
          <w:rFonts w:cstheme="minorHAnsi"/>
          <w:sz w:val="20"/>
          <w:szCs w:val="20"/>
          <w:vertAlign w:val="superscript"/>
          <w:lang w:eastAsia="cs-CZ"/>
        </w:rPr>
        <w:footnoteRef/>
      </w:r>
      <w:r w:rsidRPr="004B6DE6">
        <w:rPr>
          <w:rFonts w:cstheme="minorHAnsi"/>
          <w:sz w:val="20"/>
          <w:szCs w:val="20"/>
          <w:lang w:eastAsia="cs-CZ"/>
        </w:rPr>
        <w:t xml:space="preserve"> </w:t>
      </w:r>
      <w:r w:rsidR="002827CC">
        <w:rPr>
          <w:rFonts w:cstheme="minorHAnsi"/>
          <w:sz w:val="20"/>
          <w:szCs w:val="20"/>
          <w:lang w:eastAsia="cs-CZ"/>
        </w:rPr>
        <w:tab/>
      </w:r>
      <w:r w:rsidRPr="00EA0BF8">
        <w:rPr>
          <w:rFonts w:cstheme="minorHAnsi"/>
          <w:sz w:val="20"/>
          <w:szCs w:val="20"/>
          <w:lang w:eastAsia="cs-CZ"/>
        </w:rPr>
        <w:t>Usnesení vlády ČR ze dne 21. prosince 2011 č. 956</w:t>
      </w:r>
      <w:r w:rsidR="00E31D31">
        <w:rPr>
          <w:rFonts w:cstheme="minorHAnsi"/>
          <w:sz w:val="20"/>
          <w:szCs w:val="20"/>
          <w:lang w:eastAsia="cs-CZ"/>
        </w:rPr>
        <w:t>,</w:t>
      </w:r>
      <w:r w:rsidRPr="00EA0BF8">
        <w:rPr>
          <w:rFonts w:cstheme="minorHAnsi"/>
          <w:sz w:val="20"/>
          <w:szCs w:val="20"/>
          <w:lang w:eastAsia="cs-CZ"/>
        </w:rPr>
        <w:t xml:space="preserve"> </w:t>
      </w:r>
      <w:r w:rsidRPr="00543633">
        <w:rPr>
          <w:rFonts w:cstheme="minorHAnsi"/>
          <w:i/>
          <w:sz w:val="20"/>
          <w:szCs w:val="20"/>
          <w:lang w:eastAsia="cs-CZ"/>
        </w:rPr>
        <w:t>k návrhu smlouvy na plnění veřejné zakázky Odstranění některých ekologických zátěží vzniklých před privatizací</w:t>
      </w:r>
      <w:r w:rsidRPr="00EA0BF8">
        <w:rPr>
          <w:rFonts w:cstheme="minorHAnsi"/>
          <w:sz w:val="20"/>
          <w:szCs w:val="20"/>
          <w:lang w:eastAsia="cs-CZ"/>
        </w:rPr>
        <w:t>.</w:t>
      </w:r>
    </w:p>
  </w:footnote>
  <w:footnote w:id="11">
    <w:p w14:paraId="6D1EE74B" w14:textId="77777777" w:rsidR="004B6DE6" w:rsidRDefault="004B6DE6" w:rsidP="002827CC">
      <w:pPr>
        <w:pStyle w:val="Textpoznpodarou"/>
        <w:ind w:left="284" w:hanging="284"/>
      </w:pPr>
      <w:r>
        <w:rPr>
          <w:rStyle w:val="Znakapoznpodarou"/>
        </w:rPr>
        <w:footnoteRef/>
      </w:r>
      <w:r>
        <w:t xml:space="preserve"> </w:t>
      </w:r>
      <w:r w:rsidR="002827CC">
        <w:tab/>
      </w:r>
      <w:r w:rsidRPr="00EA0BF8">
        <w:rPr>
          <w:rFonts w:eastAsia="Times New Roman" w:cstheme="minorHAnsi"/>
          <w:lang w:eastAsia="cs-CZ"/>
        </w:rPr>
        <w:t>Zákon č. 137/2006 Sb., o veřejných zakázkách.</w:t>
      </w:r>
    </w:p>
  </w:footnote>
  <w:footnote w:id="12">
    <w:p w14:paraId="559C138B" w14:textId="798C3FA4" w:rsidR="00090EC9" w:rsidRPr="00090EC9" w:rsidRDefault="00090EC9" w:rsidP="002827CC">
      <w:pPr>
        <w:pStyle w:val="Textpoznpodarou"/>
        <w:ind w:left="284" w:hanging="284"/>
      </w:pPr>
      <w:r>
        <w:rPr>
          <w:rStyle w:val="Znakapoznpodarou"/>
        </w:rPr>
        <w:footnoteRef/>
      </w:r>
      <w:r>
        <w:t xml:space="preserve"> </w:t>
      </w:r>
      <w:r w:rsidR="002827CC">
        <w:tab/>
      </w:r>
      <w:r w:rsidRPr="00090EC9">
        <w:rPr>
          <w:rFonts w:cstheme="minorHAnsi"/>
        </w:rPr>
        <w:t>Kontrolní závěr z kontrolní akce č. 16/03</w:t>
      </w:r>
      <w:r w:rsidR="00AC7E81">
        <w:rPr>
          <w:rFonts w:cstheme="minorHAnsi"/>
        </w:rPr>
        <w:t> –</w:t>
      </w:r>
      <w:r w:rsidRPr="00090EC9">
        <w:rPr>
          <w:rFonts w:cstheme="minorHAnsi"/>
        </w:rPr>
        <w:t xml:space="preserve"> </w:t>
      </w:r>
      <w:r w:rsidRPr="00D56B0B">
        <w:rPr>
          <w:rFonts w:cstheme="minorHAnsi"/>
          <w:i/>
        </w:rPr>
        <w:t>Závěrečné účty kapitol státního rozpočtu Ministerstva financí, Státní dluh, Operace státních finančních aktiv a Všeobecná pokladní správa za rok 2015, údaje pro hodnocení plnění rozpočtu za rok 2015 předkládané Ministerstvem financí za tyto kapitoly a účetnictví Ministerstva financí za rok 2015</w:t>
      </w:r>
      <w:r w:rsidRPr="00090EC9">
        <w:rPr>
          <w:rFonts w:cstheme="minorHAnsi"/>
        </w:rPr>
        <w:t xml:space="preserve"> </w:t>
      </w:r>
      <w:r w:rsidR="00AC7E81">
        <w:rPr>
          <w:rFonts w:cstheme="minorHAnsi"/>
        </w:rPr>
        <w:t xml:space="preserve">byl </w:t>
      </w:r>
      <w:r w:rsidRPr="00090EC9">
        <w:rPr>
          <w:rFonts w:cstheme="minorHAnsi"/>
        </w:rPr>
        <w:t xml:space="preserve">zveřejněn v částce 3/2017 </w:t>
      </w:r>
      <w:r w:rsidRPr="00D56B0B">
        <w:rPr>
          <w:rFonts w:cstheme="minorHAnsi"/>
          <w:i/>
        </w:rPr>
        <w:t>Věstníku NKÚ</w:t>
      </w:r>
      <w:r>
        <w:rPr>
          <w:rFonts w:cstheme="minorHAnsi"/>
        </w:rPr>
        <w:t>.</w:t>
      </w:r>
    </w:p>
  </w:footnote>
  <w:footnote w:id="13">
    <w:p w14:paraId="5FA69988" w14:textId="0269B4B1" w:rsidR="00090EC9" w:rsidRPr="00785ACB" w:rsidRDefault="00090EC9" w:rsidP="002827CC">
      <w:pPr>
        <w:pStyle w:val="Textpoznpodarou"/>
        <w:ind w:left="284" w:hanging="284"/>
        <w:jc w:val="both"/>
        <w:rPr>
          <w:rFonts w:cstheme="minorHAnsi"/>
        </w:rPr>
      </w:pPr>
      <w:r>
        <w:rPr>
          <w:rStyle w:val="Znakapoznpodarou"/>
        </w:rPr>
        <w:footnoteRef/>
      </w:r>
      <w:r>
        <w:t xml:space="preserve"> </w:t>
      </w:r>
      <w:r w:rsidR="002827CC">
        <w:tab/>
      </w:r>
      <w:r w:rsidRPr="00970250">
        <w:rPr>
          <w:rFonts w:cstheme="minorHAnsi"/>
        </w:rPr>
        <w:t>Kontrolní závěr z kontrolní akce č. 16/07</w:t>
      </w:r>
      <w:r w:rsidR="00AC7E81">
        <w:rPr>
          <w:rFonts w:cstheme="minorHAnsi"/>
        </w:rPr>
        <w:t> –</w:t>
      </w:r>
      <w:r w:rsidRPr="00970250">
        <w:rPr>
          <w:rFonts w:cstheme="minorHAnsi"/>
        </w:rPr>
        <w:t xml:space="preserve"> </w:t>
      </w:r>
      <w:r w:rsidRPr="00D56B0B">
        <w:rPr>
          <w:rFonts w:cstheme="minorHAnsi"/>
          <w:i/>
        </w:rPr>
        <w:t>Peněžní prostředky určené na zahlazování následk</w:t>
      </w:r>
      <w:r w:rsidR="00AC7E81" w:rsidRPr="00D56B0B">
        <w:rPr>
          <w:rFonts w:cstheme="minorHAnsi"/>
          <w:i/>
        </w:rPr>
        <w:t>ů</w:t>
      </w:r>
      <w:r w:rsidRPr="00D56B0B">
        <w:rPr>
          <w:rFonts w:cstheme="minorHAnsi"/>
          <w:i/>
        </w:rPr>
        <w:t xml:space="preserve"> hornické činnosti v podniku DIAMO, státní podnik</w:t>
      </w:r>
      <w:r w:rsidRPr="00970250">
        <w:rPr>
          <w:rFonts w:cstheme="minorHAnsi"/>
        </w:rPr>
        <w:t xml:space="preserve">, </w:t>
      </w:r>
      <w:r w:rsidR="00AC7E81">
        <w:rPr>
          <w:rFonts w:cstheme="minorHAnsi"/>
        </w:rPr>
        <w:t xml:space="preserve">byl </w:t>
      </w:r>
      <w:r w:rsidRPr="00970250">
        <w:rPr>
          <w:rFonts w:cstheme="minorHAnsi"/>
        </w:rPr>
        <w:t xml:space="preserve">zveřejněn v částce 1/2017 </w:t>
      </w:r>
      <w:r w:rsidRPr="00D56B0B">
        <w:rPr>
          <w:rFonts w:cstheme="minorHAnsi"/>
          <w:i/>
        </w:rPr>
        <w:t>Věstníku NKÚ</w:t>
      </w:r>
      <w:r>
        <w:rPr>
          <w:rFonts w:cstheme="minorHAnsi"/>
        </w:rPr>
        <w:t>.</w:t>
      </w:r>
    </w:p>
  </w:footnote>
  <w:footnote w:id="14">
    <w:p w14:paraId="155CCEAD" w14:textId="77777777" w:rsidR="00CD2DDA" w:rsidRPr="00785ACB" w:rsidRDefault="00CD2DDA" w:rsidP="002827CC">
      <w:pPr>
        <w:spacing w:after="0" w:line="240" w:lineRule="auto"/>
        <w:ind w:left="284" w:hanging="284"/>
        <w:jc w:val="both"/>
        <w:rPr>
          <w:rFonts w:eastAsia="Times New Roman" w:cstheme="minorHAnsi"/>
          <w:sz w:val="20"/>
          <w:szCs w:val="20"/>
          <w:lang w:eastAsia="cs-CZ"/>
        </w:rPr>
      </w:pPr>
      <w:r>
        <w:rPr>
          <w:rStyle w:val="Znakapoznpodarou"/>
        </w:rPr>
        <w:footnoteRef/>
      </w:r>
      <w:r>
        <w:t xml:space="preserve"> </w:t>
      </w:r>
      <w:r w:rsidR="002827CC">
        <w:tab/>
      </w:r>
      <w:r w:rsidRPr="00655A43">
        <w:rPr>
          <w:rFonts w:eastAsia="Times New Roman" w:cstheme="minorHAnsi"/>
          <w:sz w:val="20"/>
          <w:szCs w:val="20"/>
          <w:lang w:eastAsia="cs-CZ"/>
        </w:rPr>
        <w:t xml:space="preserve">Vyhláška č. 18/2009 Sb., kterou se mění vyhláška č. 369/2004 Sb., o projektování, provádění a vyhodnocování geologických prací, oznamování rizikových </w:t>
      </w:r>
      <w:proofErr w:type="spellStart"/>
      <w:r w:rsidRPr="00655A43">
        <w:rPr>
          <w:rFonts w:eastAsia="Times New Roman" w:cstheme="minorHAnsi"/>
          <w:sz w:val="20"/>
          <w:szCs w:val="20"/>
          <w:lang w:eastAsia="cs-CZ"/>
        </w:rPr>
        <w:t>geofaktorů</w:t>
      </w:r>
      <w:proofErr w:type="spellEnd"/>
      <w:r w:rsidRPr="00655A43">
        <w:rPr>
          <w:rFonts w:eastAsia="Times New Roman" w:cstheme="minorHAnsi"/>
          <w:sz w:val="20"/>
          <w:szCs w:val="20"/>
          <w:lang w:eastAsia="cs-CZ"/>
        </w:rPr>
        <w:t xml:space="preserve"> a o postupu při výpočtu zásob výhradních ložisek.</w:t>
      </w:r>
    </w:p>
  </w:footnote>
  <w:footnote w:id="15">
    <w:p w14:paraId="24717547" w14:textId="77777777" w:rsidR="0096495B" w:rsidRDefault="0096495B" w:rsidP="007C626B">
      <w:pPr>
        <w:pStyle w:val="Textpoznpodarou"/>
        <w:ind w:left="284" w:hanging="284"/>
      </w:pPr>
      <w:r>
        <w:rPr>
          <w:rStyle w:val="Znakapoznpodarou"/>
        </w:rPr>
        <w:footnoteRef/>
      </w:r>
      <w:r>
        <w:t xml:space="preserve"> </w:t>
      </w:r>
      <w:r w:rsidR="007C626B">
        <w:tab/>
      </w:r>
      <w:r w:rsidRPr="00655A43">
        <w:rPr>
          <w:rFonts w:cstheme="minorHAnsi"/>
        </w:rPr>
        <w:t xml:space="preserve">Usnesení vlády ČR ze dne 4. prosince 1996 č. 626, </w:t>
      </w:r>
      <w:r w:rsidRPr="00350487">
        <w:rPr>
          <w:rFonts w:cstheme="minorHAnsi"/>
          <w:i/>
        </w:rPr>
        <w:t>o dalším postupu při řešení sanace starých ekologických zátěží bývalého státního podniku OSTRAMO Ostrava</w:t>
      </w:r>
      <w:r w:rsidRPr="00655A43">
        <w:rPr>
          <w:rFonts w:cstheme="minorHAnsi"/>
        </w:rPr>
        <w:t>.</w:t>
      </w:r>
    </w:p>
  </w:footnote>
  <w:footnote w:id="16">
    <w:p w14:paraId="2FACE1A3" w14:textId="77777777" w:rsidR="00C26008" w:rsidRPr="00785ACB" w:rsidRDefault="00C26008" w:rsidP="007C626B">
      <w:pPr>
        <w:spacing w:after="0" w:line="240" w:lineRule="auto"/>
        <w:ind w:left="284" w:hanging="284"/>
        <w:jc w:val="both"/>
        <w:rPr>
          <w:rFonts w:eastAsia="Times New Roman" w:cstheme="minorHAnsi"/>
          <w:sz w:val="16"/>
          <w:szCs w:val="16"/>
          <w:lang w:eastAsia="cs-CZ"/>
        </w:rPr>
      </w:pPr>
      <w:r>
        <w:rPr>
          <w:rStyle w:val="Znakapoznpodarou"/>
        </w:rPr>
        <w:footnoteRef/>
      </w:r>
      <w:r w:rsidR="007C626B">
        <w:tab/>
      </w:r>
      <w:r w:rsidRPr="00655A43">
        <w:rPr>
          <w:rFonts w:eastAsia="Times New Roman" w:cstheme="minorHAnsi"/>
          <w:sz w:val="20"/>
          <w:szCs w:val="20"/>
          <w:lang w:eastAsia="cs-CZ"/>
        </w:rPr>
        <w:t>Smlouva o úhradě nákladů vynaložených na vypořádání ekologických závazků vzniklých před privatizací č. 193/97 uzavřená mezi FNM a státním podnikem DIAMO ze dne 20. listopadu 1997, ke které bylo uzavřeno šest dodatků.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2A4"/>
    <w:multiLevelType w:val="hybridMultilevel"/>
    <w:tmpl w:val="B8368972"/>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E340A2A"/>
    <w:multiLevelType w:val="hybridMultilevel"/>
    <w:tmpl w:val="1BAE3FD2"/>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1C90F18"/>
    <w:multiLevelType w:val="hybridMultilevel"/>
    <w:tmpl w:val="68DAE89C"/>
    <w:lvl w:ilvl="0" w:tplc="A9FC9890">
      <w:numFmt w:val="bullet"/>
      <w:lvlText w:val="–"/>
      <w:lvlJc w:val="left"/>
      <w:pPr>
        <w:ind w:left="720" w:hanging="360"/>
      </w:pPr>
      <w:rPr>
        <w:rFonts w:ascii="Times New Roman" w:eastAsia="Times New Roman" w:hAnsi="Times New Roman" w:cs="Times New Roman" w:hint="default"/>
        <w:i/>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753C8A"/>
    <w:multiLevelType w:val="hybridMultilevel"/>
    <w:tmpl w:val="4EB00870"/>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7DA144A"/>
    <w:multiLevelType w:val="hybridMultilevel"/>
    <w:tmpl w:val="0FD6F644"/>
    <w:lvl w:ilvl="0" w:tplc="A9FC9890">
      <w:numFmt w:val="bullet"/>
      <w:lvlText w:val="–"/>
      <w:lvlJc w:val="left"/>
      <w:pPr>
        <w:ind w:left="720" w:hanging="360"/>
      </w:pPr>
      <w:rPr>
        <w:rFonts w:ascii="Times New Roman" w:eastAsia="Times New Roman" w:hAnsi="Times New Roman" w:cs="Times New Roman" w:hint="default"/>
        <w:i/>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844057"/>
    <w:multiLevelType w:val="hybridMultilevel"/>
    <w:tmpl w:val="214822A8"/>
    <w:lvl w:ilvl="0" w:tplc="49326846">
      <w:start w:val="6"/>
      <w:numFmt w:val="bullet"/>
      <w:lvlText w:val="–"/>
      <w:lvlJc w:val="left"/>
      <w:pPr>
        <w:ind w:left="502"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6061A0"/>
    <w:multiLevelType w:val="hybridMultilevel"/>
    <w:tmpl w:val="17FEB3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4F06124"/>
    <w:multiLevelType w:val="hybridMultilevel"/>
    <w:tmpl w:val="606698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53C18C6"/>
    <w:multiLevelType w:val="hybridMultilevel"/>
    <w:tmpl w:val="2520A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B910AD9"/>
    <w:multiLevelType w:val="hybridMultilevel"/>
    <w:tmpl w:val="56624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10C5417"/>
    <w:multiLevelType w:val="hybridMultilevel"/>
    <w:tmpl w:val="8B9C4FD0"/>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9220A67"/>
    <w:multiLevelType w:val="hybridMultilevel"/>
    <w:tmpl w:val="8EC467AA"/>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B9F143E"/>
    <w:multiLevelType w:val="hybridMultilevel"/>
    <w:tmpl w:val="65A270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9266B72"/>
    <w:multiLevelType w:val="hybridMultilevel"/>
    <w:tmpl w:val="75B07F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12"/>
  </w:num>
  <w:num w:numId="6">
    <w:abstractNumId w:val="5"/>
  </w:num>
  <w:num w:numId="7">
    <w:abstractNumId w:val="13"/>
  </w:num>
  <w:num w:numId="8">
    <w:abstractNumId w:val="10"/>
  </w:num>
  <w:num w:numId="9">
    <w:abstractNumId w:val="1"/>
  </w:num>
  <w:num w:numId="10">
    <w:abstractNumId w:val="0"/>
  </w:num>
  <w:num w:numId="11">
    <w:abstractNumId w:val="11"/>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C"/>
    <w:rsid w:val="00023F89"/>
    <w:rsid w:val="00041F9F"/>
    <w:rsid w:val="00090EC9"/>
    <w:rsid w:val="00094DEC"/>
    <w:rsid w:val="00096EC7"/>
    <w:rsid w:val="000C0778"/>
    <w:rsid w:val="000C4702"/>
    <w:rsid w:val="000F0C3E"/>
    <w:rsid w:val="00103FDD"/>
    <w:rsid w:val="00117ACA"/>
    <w:rsid w:val="00184ABC"/>
    <w:rsid w:val="001A3895"/>
    <w:rsid w:val="002105D3"/>
    <w:rsid w:val="0022429F"/>
    <w:rsid w:val="00224C04"/>
    <w:rsid w:val="002267DA"/>
    <w:rsid w:val="002827CC"/>
    <w:rsid w:val="00291F63"/>
    <w:rsid w:val="002A4C96"/>
    <w:rsid w:val="002D5B9E"/>
    <w:rsid w:val="0031426C"/>
    <w:rsid w:val="0031684C"/>
    <w:rsid w:val="00325BF9"/>
    <w:rsid w:val="00350487"/>
    <w:rsid w:val="003B4E6F"/>
    <w:rsid w:val="003E0738"/>
    <w:rsid w:val="003E7397"/>
    <w:rsid w:val="00447B82"/>
    <w:rsid w:val="00476839"/>
    <w:rsid w:val="004B6DE6"/>
    <w:rsid w:val="004E2045"/>
    <w:rsid w:val="005248FA"/>
    <w:rsid w:val="00543633"/>
    <w:rsid w:val="0054368B"/>
    <w:rsid w:val="00551572"/>
    <w:rsid w:val="00562E5A"/>
    <w:rsid w:val="00583FE6"/>
    <w:rsid w:val="00586E1A"/>
    <w:rsid w:val="005928D8"/>
    <w:rsid w:val="005D169D"/>
    <w:rsid w:val="005D1D0F"/>
    <w:rsid w:val="005D3EA4"/>
    <w:rsid w:val="005D492E"/>
    <w:rsid w:val="006149AB"/>
    <w:rsid w:val="00655A43"/>
    <w:rsid w:val="006667A2"/>
    <w:rsid w:val="00684AF1"/>
    <w:rsid w:val="007147F0"/>
    <w:rsid w:val="007212B9"/>
    <w:rsid w:val="0074572F"/>
    <w:rsid w:val="00746D56"/>
    <w:rsid w:val="0075697E"/>
    <w:rsid w:val="00785ACB"/>
    <w:rsid w:val="007954A2"/>
    <w:rsid w:val="007C626B"/>
    <w:rsid w:val="00804250"/>
    <w:rsid w:val="00817627"/>
    <w:rsid w:val="00853B8D"/>
    <w:rsid w:val="008D301D"/>
    <w:rsid w:val="008D74C9"/>
    <w:rsid w:val="008E490C"/>
    <w:rsid w:val="0090534B"/>
    <w:rsid w:val="00916EDC"/>
    <w:rsid w:val="00921F32"/>
    <w:rsid w:val="00952072"/>
    <w:rsid w:val="0096495B"/>
    <w:rsid w:val="00967DD5"/>
    <w:rsid w:val="00970250"/>
    <w:rsid w:val="00987F53"/>
    <w:rsid w:val="009C06E7"/>
    <w:rsid w:val="009C14B6"/>
    <w:rsid w:val="009F20F2"/>
    <w:rsid w:val="009F72BE"/>
    <w:rsid w:val="00A1251E"/>
    <w:rsid w:val="00A24384"/>
    <w:rsid w:val="00A24ACA"/>
    <w:rsid w:val="00A25385"/>
    <w:rsid w:val="00A554CD"/>
    <w:rsid w:val="00A562F3"/>
    <w:rsid w:val="00A83644"/>
    <w:rsid w:val="00AB5C8E"/>
    <w:rsid w:val="00AB7E36"/>
    <w:rsid w:val="00AC7E81"/>
    <w:rsid w:val="00AD4E55"/>
    <w:rsid w:val="00AE588C"/>
    <w:rsid w:val="00B261F7"/>
    <w:rsid w:val="00B64CE3"/>
    <w:rsid w:val="00BA2792"/>
    <w:rsid w:val="00BC1316"/>
    <w:rsid w:val="00BE3DA8"/>
    <w:rsid w:val="00C0243E"/>
    <w:rsid w:val="00C14396"/>
    <w:rsid w:val="00C17FA5"/>
    <w:rsid w:val="00C23900"/>
    <w:rsid w:val="00C26008"/>
    <w:rsid w:val="00C317A2"/>
    <w:rsid w:val="00C3308F"/>
    <w:rsid w:val="00C416D2"/>
    <w:rsid w:val="00C532E8"/>
    <w:rsid w:val="00C72F54"/>
    <w:rsid w:val="00C83086"/>
    <w:rsid w:val="00C94B2C"/>
    <w:rsid w:val="00CA3362"/>
    <w:rsid w:val="00CD2DDA"/>
    <w:rsid w:val="00CE761F"/>
    <w:rsid w:val="00D4363D"/>
    <w:rsid w:val="00D56B0B"/>
    <w:rsid w:val="00D67B47"/>
    <w:rsid w:val="00D86CC6"/>
    <w:rsid w:val="00DC05EF"/>
    <w:rsid w:val="00DE0159"/>
    <w:rsid w:val="00E224B4"/>
    <w:rsid w:val="00E31D31"/>
    <w:rsid w:val="00E33374"/>
    <w:rsid w:val="00E6065C"/>
    <w:rsid w:val="00E63469"/>
    <w:rsid w:val="00E84B33"/>
    <w:rsid w:val="00E971E3"/>
    <w:rsid w:val="00EA0BF8"/>
    <w:rsid w:val="00EC5924"/>
    <w:rsid w:val="00EE1B31"/>
    <w:rsid w:val="00EF1C22"/>
    <w:rsid w:val="00F422BC"/>
    <w:rsid w:val="00F70C3E"/>
    <w:rsid w:val="00F74281"/>
    <w:rsid w:val="00F90BA5"/>
    <w:rsid w:val="00FA76A7"/>
    <w:rsid w:val="00FD6889"/>
    <w:rsid w:val="00FE24BF"/>
    <w:rsid w:val="00FF6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C2AC"/>
  <w15:chartTrackingRefBased/>
  <w15:docId w15:val="{23B86534-DDD6-4C8E-82E1-9D22F5B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16E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6EDC"/>
    <w:rPr>
      <w:sz w:val="20"/>
      <w:szCs w:val="20"/>
    </w:rPr>
  </w:style>
  <w:style w:type="character" w:styleId="Znakapoznpodarou">
    <w:name w:val="footnote reference"/>
    <w:aliases w:val="PGI Fußnote Ziffer + Times New Roman,12 b.,Zúžené o ...,PGI Fußnote Ziffer"/>
    <w:basedOn w:val="Standardnpsmoodstavce"/>
    <w:uiPriority w:val="99"/>
    <w:rsid w:val="00916EDC"/>
    <w:rPr>
      <w:vertAlign w:val="superscript"/>
    </w:rPr>
  </w:style>
  <w:style w:type="paragraph" w:styleId="Zhlav">
    <w:name w:val="header"/>
    <w:basedOn w:val="Normln"/>
    <w:link w:val="ZhlavChar"/>
    <w:uiPriority w:val="99"/>
    <w:unhideWhenUsed/>
    <w:rsid w:val="00C330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308F"/>
  </w:style>
  <w:style w:type="paragraph" w:styleId="Zpat">
    <w:name w:val="footer"/>
    <w:basedOn w:val="Normln"/>
    <w:link w:val="ZpatChar"/>
    <w:uiPriority w:val="99"/>
    <w:unhideWhenUsed/>
    <w:rsid w:val="00C330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3308F"/>
  </w:style>
  <w:style w:type="paragraph" w:styleId="Odstavecseseznamem">
    <w:name w:val="List Paragraph"/>
    <w:basedOn w:val="Normln"/>
    <w:uiPriority w:val="34"/>
    <w:qFormat/>
    <w:rsid w:val="0054368B"/>
    <w:pPr>
      <w:ind w:left="720"/>
      <w:contextualSpacing/>
    </w:pPr>
  </w:style>
  <w:style w:type="paragraph" w:styleId="Textbubliny">
    <w:name w:val="Balloon Text"/>
    <w:basedOn w:val="Normln"/>
    <w:link w:val="TextbublinyChar"/>
    <w:uiPriority w:val="99"/>
    <w:semiHidden/>
    <w:unhideWhenUsed/>
    <w:rsid w:val="00AB7E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E36"/>
    <w:rPr>
      <w:rFonts w:ascii="Segoe UI" w:hAnsi="Segoe UI" w:cs="Segoe UI"/>
      <w:sz w:val="18"/>
      <w:szCs w:val="18"/>
    </w:rPr>
  </w:style>
  <w:style w:type="character" w:styleId="Odkaznakoment">
    <w:name w:val="annotation reference"/>
    <w:basedOn w:val="Standardnpsmoodstavce"/>
    <w:uiPriority w:val="99"/>
    <w:semiHidden/>
    <w:unhideWhenUsed/>
    <w:rsid w:val="00A25385"/>
    <w:rPr>
      <w:sz w:val="16"/>
      <w:szCs w:val="16"/>
    </w:rPr>
  </w:style>
  <w:style w:type="paragraph" w:styleId="Textkomente">
    <w:name w:val="annotation text"/>
    <w:basedOn w:val="Normln"/>
    <w:link w:val="TextkomenteChar"/>
    <w:uiPriority w:val="99"/>
    <w:semiHidden/>
    <w:unhideWhenUsed/>
    <w:rsid w:val="00A25385"/>
    <w:pPr>
      <w:spacing w:line="240" w:lineRule="auto"/>
    </w:pPr>
    <w:rPr>
      <w:sz w:val="20"/>
      <w:szCs w:val="20"/>
    </w:rPr>
  </w:style>
  <w:style w:type="character" w:customStyle="1" w:styleId="TextkomenteChar">
    <w:name w:val="Text komentáře Char"/>
    <w:basedOn w:val="Standardnpsmoodstavce"/>
    <w:link w:val="Textkomente"/>
    <w:uiPriority w:val="99"/>
    <w:semiHidden/>
    <w:rsid w:val="00A25385"/>
    <w:rPr>
      <w:sz w:val="20"/>
      <w:szCs w:val="20"/>
    </w:rPr>
  </w:style>
  <w:style w:type="paragraph" w:styleId="Pedmtkomente">
    <w:name w:val="annotation subject"/>
    <w:basedOn w:val="Textkomente"/>
    <w:next w:val="Textkomente"/>
    <w:link w:val="PedmtkomenteChar"/>
    <w:uiPriority w:val="99"/>
    <w:semiHidden/>
    <w:unhideWhenUsed/>
    <w:rsid w:val="00A25385"/>
    <w:rPr>
      <w:b/>
      <w:bCs/>
    </w:rPr>
  </w:style>
  <w:style w:type="character" w:customStyle="1" w:styleId="PedmtkomenteChar">
    <w:name w:val="Předmět komentáře Char"/>
    <w:basedOn w:val="TextkomenteChar"/>
    <w:link w:val="Pedmtkomente"/>
    <w:uiPriority w:val="99"/>
    <w:semiHidden/>
    <w:rsid w:val="00A25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6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1\BOLERAZK\DATA\Agendy\17-04%20zateze%20pred%20privat\KZ\graf%20v&#253;daje%20na%20SEZ.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1\BOLERAZK\DATA\Agendy\17-04%20zateze%20pred%20privat\KZ\grafy%20a%20prac%20materialy%20ke%20KZ\graf%20porovnani%20garanci%20a%20sk.%20vydaj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List1!$B$1:$B$7</c:f>
              <c:strCache>
                <c:ptCount val="7"/>
                <c:pt idx="0">
                  <c:v>mil. Kč</c:v>
                </c:pt>
                <c:pt idx="1">
                  <c:v>3 389</c:v>
                </c:pt>
                <c:pt idx="2">
                  <c:v>3 392</c:v>
                </c:pt>
                <c:pt idx="3">
                  <c:v>2 295</c:v>
                </c:pt>
                <c:pt idx="4">
                  <c:v>1 155</c:v>
                </c:pt>
                <c:pt idx="5">
                  <c:v>764</c:v>
                </c:pt>
                <c:pt idx="6">
                  <c:v>659</c:v>
                </c:pt>
              </c:strCache>
            </c:strRef>
          </c:tx>
          <c:spPr>
            <a:ln w="28575" cap="rnd">
              <a:solidFill>
                <a:schemeClr val="accent5">
                  <a:lumMod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List1!$A$2:$A$7</c:f>
              <c:numCache>
                <c:formatCode>General</c:formatCode>
                <c:ptCount val="6"/>
                <c:pt idx="0">
                  <c:v>2011</c:v>
                </c:pt>
                <c:pt idx="1">
                  <c:v>2012</c:v>
                </c:pt>
                <c:pt idx="2">
                  <c:v>2013</c:v>
                </c:pt>
                <c:pt idx="3">
                  <c:v>2014</c:v>
                </c:pt>
                <c:pt idx="4">
                  <c:v>2015</c:v>
                </c:pt>
                <c:pt idx="5">
                  <c:v>2016</c:v>
                </c:pt>
              </c:numCache>
            </c:numRef>
          </c:cat>
          <c:val>
            <c:numRef>
              <c:f>List1!$B$2:$B$7</c:f>
              <c:numCache>
                <c:formatCode>#,##0</c:formatCode>
                <c:ptCount val="6"/>
                <c:pt idx="0">
                  <c:v>3389</c:v>
                </c:pt>
                <c:pt idx="1">
                  <c:v>3392</c:v>
                </c:pt>
                <c:pt idx="2">
                  <c:v>2295</c:v>
                </c:pt>
                <c:pt idx="3">
                  <c:v>1155</c:v>
                </c:pt>
                <c:pt idx="4" formatCode="General">
                  <c:v>764</c:v>
                </c:pt>
                <c:pt idx="5" formatCode="General">
                  <c:v>659</c:v>
                </c:pt>
              </c:numCache>
            </c:numRef>
          </c:val>
          <c:smooth val="0"/>
          <c:extLst>
            <c:ext xmlns:c16="http://schemas.microsoft.com/office/drawing/2014/chart" uri="{C3380CC4-5D6E-409C-BE32-E72D297353CC}">
              <c16:uniqueId val="{00000000-E5D0-4192-82EE-934DE7E19638}"/>
            </c:ext>
          </c:extLst>
        </c:ser>
        <c:dLbls>
          <c:dLblPos val="t"/>
          <c:showLegendKey val="0"/>
          <c:showVal val="1"/>
          <c:showCatName val="0"/>
          <c:showSerName val="0"/>
          <c:showPercent val="0"/>
          <c:showBubbleSize val="0"/>
        </c:dLbls>
        <c:smooth val="0"/>
        <c:axId val="167688512"/>
        <c:axId val="167687264"/>
      </c:lineChart>
      <c:catAx>
        <c:axId val="16768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67687264"/>
        <c:crosses val="autoZero"/>
        <c:auto val="0"/>
        <c:lblAlgn val="ctr"/>
        <c:lblOffset val="100"/>
        <c:tickLblSkip val="1"/>
        <c:noMultiLvlLbl val="0"/>
      </c:catAx>
      <c:valAx>
        <c:axId val="167687264"/>
        <c:scaling>
          <c:orientation val="minMax"/>
        </c:scaling>
        <c:delete val="1"/>
        <c:axPos val="l"/>
        <c:numFmt formatCode="#,##0" sourceLinked="1"/>
        <c:majorTickMark val="none"/>
        <c:minorTickMark val="none"/>
        <c:tickLblPos val="nextTo"/>
        <c:crossAx val="167688512"/>
        <c:crosses val="autoZero"/>
        <c:crossBetween val="between"/>
      </c:valAx>
      <c:spPr>
        <a:noFill/>
        <a:ln>
          <a:noFill/>
        </a:ln>
        <a:effectLst/>
      </c:spPr>
    </c:plotArea>
    <c:plotVisOnly val="1"/>
    <c:dispBlanksAs val="gap"/>
    <c:showDLblsOverMax val="0"/>
  </c:chart>
  <c:spPr>
    <a:solidFill>
      <a:schemeClr val="bg1"/>
    </a:solidFill>
    <a:ln w="3175" cap="flat" cmpd="sng" algn="ctr">
      <a:noFill/>
      <a:round/>
    </a:ln>
    <a:effectLst/>
  </c:spPr>
  <c:txPr>
    <a:bodyPr/>
    <a:lstStyle/>
    <a:p>
      <a:pPr>
        <a:defRPr baseline="0">
          <a:solidFill>
            <a:srgbClr val="C00000"/>
          </a:solidFill>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List1!$B$2</c:f>
              <c:strCache>
                <c:ptCount val="1"/>
                <c:pt idx="0">
                  <c:v>Garance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List1!$A$3:$A$8</c:f>
              <c:numCache>
                <c:formatCode>General</c:formatCode>
                <c:ptCount val="6"/>
                <c:pt idx="0">
                  <c:v>2011</c:v>
                </c:pt>
                <c:pt idx="1">
                  <c:v>2012</c:v>
                </c:pt>
                <c:pt idx="2">
                  <c:v>2013</c:v>
                </c:pt>
                <c:pt idx="3">
                  <c:v>2014</c:v>
                </c:pt>
                <c:pt idx="4">
                  <c:v>2015</c:v>
                </c:pt>
                <c:pt idx="5">
                  <c:v>2016</c:v>
                </c:pt>
              </c:numCache>
            </c:numRef>
          </c:cat>
          <c:val>
            <c:numRef>
              <c:f>List1!$B$3:$B$8</c:f>
              <c:numCache>
                <c:formatCode>#,##0</c:formatCode>
                <c:ptCount val="6"/>
                <c:pt idx="0">
                  <c:v>1067</c:v>
                </c:pt>
                <c:pt idx="1">
                  <c:v>1824</c:v>
                </c:pt>
                <c:pt idx="2" formatCode="General">
                  <c:v>97.5</c:v>
                </c:pt>
                <c:pt idx="3">
                  <c:v>3892</c:v>
                </c:pt>
                <c:pt idx="4">
                  <c:v>1089</c:v>
                </c:pt>
                <c:pt idx="5" formatCode="General">
                  <c:v>391.5</c:v>
                </c:pt>
              </c:numCache>
            </c:numRef>
          </c:val>
          <c:extLst>
            <c:ext xmlns:c16="http://schemas.microsoft.com/office/drawing/2014/chart" uri="{C3380CC4-5D6E-409C-BE32-E72D297353CC}">
              <c16:uniqueId val="{00000000-9689-4F02-A6FF-5587AE461144}"/>
            </c:ext>
          </c:extLst>
        </c:ser>
        <c:ser>
          <c:idx val="1"/>
          <c:order val="1"/>
          <c:tx>
            <c:strRef>
              <c:f>List1!$C$2</c:f>
              <c:strCache>
                <c:ptCount val="1"/>
                <c:pt idx="0">
                  <c:v>Skutečné výdaje</c:v>
                </c:pt>
              </c:strCache>
            </c:strRef>
          </c:tx>
          <c:spPr>
            <a:solidFill>
              <a:schemeClr val="accent5">
                <a:lumMod val="75000"/>
              </a:schemeClr>
            </a:solidFill>
            <a:ln>
              <a:solidFill>
                <a:schemeClr val="accent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List1!$A$3:$A$8</c:f>
              <c:numCache>
                <c:formatCode>General</c:formatCode>
                <c:ptCount val="6"/>
                <c:pt idx="0">
                  <c:v>2011</c:v>
                </c:pt>
                <c:pt idx="1">
                  <c:v>2012</c:v>
                </c:pt>
                <c:pt idx="2">
                  <c:v>2013</c:v>
                </c:pt>
                <c:pt idx="3">
                  <c:v>2014</c:v>
                </c:pt>
                <c:pt idx="4">
                  <c:v>2015</c:v>
                </c:pt>
                <c:pt idx="5">
                  <c:v>2016</c:v>
                </c:pt>
              </c:numCache>
            </c:numRef>
          </c:cat>
          <c:val>
            <c:numRef>
              <c:f>List1!$C$3:$C$8</c:f>
              <c:numCache>
                <c:formatCode>General</c:formatCode>
                <c:ptCount val="6"/>
                <c:pt idx="0">
                  <c:v>563</c:v>
                </c:pt>
                <c:pt idx="1">
                  <c:v>267</c:v>
                </c:pt>
                <c:pt idx="2">
                  <c:v>56.2</c:v>
                </c:pt>
                <c:pt idx="3" formatCode="#,##0">
                  <c:v>1155</c:v>
                </c:pt>
                <c:pt idx="4">
                  <c:v>764</c:v>
                </c:pt>
                <c:pt idx="5">
                  <c:v>221.9</c:v>
                </c:pt>
              </c:numCache>
            </c:numRef>
          </c:val>
          <c:extLst>
            <c:ext xmlns:c16="http://schemas.microsoft.com/office/drawing/2014/chart" uri="{C3380CC4-5D6E-409C-BE32-E72D297353CC}">
              <c16:uniqueId val="{00000001-9689-4F02-A6FF-5587AE461144}"/>
            </c:ext>
          </c:extLst>
        </c:ser>
        <c:dLbls>
          <c:dLblPos val="outEnd"/>
          <c:showLegendKey val="0"/>
          <c:showVal val="1"/>
          <c:showCatName val="0"/>
          <c:showSerName val="0"/>
          <c:showPercent val="0"/>
          <c:showBubbleSize val="0"/>
        </c:dLbls>
        <c:gapWidth val="219"/>
        <c:overlap val="-27"/>
        <c:axId val="274222096"/>
        <c:axId val="274485536"/>
      </c:barChart>
      <c:catAx>
        <c:axId val="274222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274485536"/>
        <c:crosses val="autoZero"/>
        <c:auto val="1"/>
        <c:lblAlgn val="ctr"/>
        <c:lblOffset val="100"/>
        <c:noMultiLvlLbl val="0"/>
      </c:catAx>
      <c:valAx>
        <c:axId val="274485536"/>
        <c:scaling>
          <c:orientation val="minMax"/>
        </c:scaling>
        <c:delete val="1"/>
        <c:axPos val="l"/>
        <c:majorGridlines>
          <c:spPr>
            <a:ln w="9525" cap="flat" cmpd="sng" algn="ctr">
              <a:noFill/>
              <a:round/>
            </a:ln>
            <a:effectLst/>
          </c:spPr>
        </c:majorGridlines>
        <c:numFmt formatCode="#,##0" sourceLinked="1"/>
        <c:majorTickMark val="out"/>
        <c:minorTickMark val="none"/>
        <c:tickLblPos val="nextTo"/>
        <c:crossAx val="274222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2EB6-0831-4305-A862-65144296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CF2D4ECF.dotm</Template>
  <TotalTime>1</TotalTime>
  <Pages>11</Pages>
  <Words>3701</Words>
  <Characters>21837</Characters>
  <Application>Microsoft Office Word</Application>
  <DocSecurity>4</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17/04 - Odstraňování starých ekologických zátěží vzniklých před privatizací</dc:title>
  <dc:subject/>
  <dc:creator>Nejvyšší kontrolní úřad</dc:creator>
  <cp:keywords>kontrolní závěr;ekologie;životní prostředí;staré ekologické zátěže</cp:keywords>
  <dc:description/>
  <cp:lastModifiedBy>KOKRDA Daniel</cp:lastModifiedBy>
  <cp:revision>2</cp:revision>
  <cp:lastPrinted>2017-10-30T12:06:00Z</cp:lastPrinted>
  <dcterms:created xsi:type="dcterms:W3CDTF">2017-10-31T11:39:00Z</dcterms:created>
  <dcterms:modified xsi:type="dcterms:W3CDTF">2017-10-31T11:39:00Z</dcterms:modified>
</cp:coreProperties>
</file>